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Default Extension="jpeg" ContentType="image/jpeg"/>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header57.xml" ContentType="application/vnd.openxmlformats-officedocument.wordprocessingml.header+xml"/>
  <Override PartName="/word/footer59.xml" ContentType="application/vnd.openxmlformats-officedocument.wordprocessingml.footer+xml"/>
  <Override PartName="/word/header58.xml" ContentType="application/vnd.openxmlformats-officedocument.wordprocessingml.header+xml"/>
  <Override PartName="/word/footer60.xml" ContentType="application/vnd.openxmlformats-officedocument.wordprocessingml.footer+xml"/>
  <Override PartName="/word/header59.xml" ContentType="application/vnd.openxmlformats-officedocument.wordprocessingml.header+xml"/>
  <Override PartName="/word/footer61.xml" ContentType="application/vnd.openxmlformats-officedocument.wordprocessingml.footer+xml"/>
  <Override PartName="/word/header60.xml" ContentType="application/vnd.openxmlformats-officedocument.wordprocessingml.header+xml"/>
  <Override PartName="/word/footer62.xml" ContentType="application/vnd.openxmlformats-officedocument.wordprocessingml.footer+xml"/>
  <Override PartName="/word/header61.xml" ContentType="application/vnd.openxmlformats-officedocument.wordprocessingml.header+xml"/>
  <Override PartName="/word/footer63.xml" ContentType="application/vnd.openxmlformats-officedocument.wordprocessingml.footer+xml"/>
  <Override PartName="/word/header62.xml" ContentType="application/vnd.openxmlformats-officedocument.wordprocessingml.header+xml"/>
  <Override PartName="/word/footer64.xml" ContentType="application/vnd.openxmlformats-officedocument.wordprocessingml.footer+xml"/>
  <Override PartName="/word/header63.xml" ContentType="application/vnd.openxmlformats-officedocument.wordprocessingml.header+xml"/>
  <Override PartName="/word/footer65.xml" ContentType="application/vnd.openxmlformats-officedocument.wordprocessingml.footer+xml"/>
  <Override PartName="/word/header64.xml" ContentType="application/vnd.openxmlformats-officedocument.wordprocessingml.header+xml"/>
  <Override PartName="/word/footer66.xml" ContentType="application/vnd.openxmlformats-officedocument.wordprocessingml.footer+xml"/>
  <Override PartName="/word/header65.xml" ContentType="application/vnd.openxmlformats-officedocument.wordprocessingml.header+xml"/>
  <Override PartName="/word/footer67.xml" ContentType="application/vnd.openxmlformats-officedocument.wordprocessingml.footer+xml"/>
  <Override PartName="/word/header66.xml" ContentType="application/vnd.openxmlformats-officedocument.wordprocessingml.header+xml"/>
  <Override PartName="/word/footer68.xml" ContentType="application/vnd.openxmlformats-officedocument.wordprocessingml.footer+xml"/>
  <Override PartName="/word/header67.xml" ContentType="application/vnd.openxmlformats-officedocument.wordprocessingml.header+xml"/>
  <Override PartName="/word/footer69.xml" ContentType="application/vnd.openxmlformats-officedocument.wordprocessingml.footer+xml"/>
  <Override PartName="/word/header68.xml" ContentType="application/vnd.openxmlformats-officedocument.wordprocessingml.header+xml"/>
  <Override PartName="/word/footer70.xml" ContentType="application/vnd.openxmlformats-officedocument.wordprocessingml.footer+xml"/>
  <Override PartName="/word/header69.xml" ContentType="application/vnd.openxmlformats-officedocument.wordprocessingml.header+xml"/>
  <Override PartName="/word/footer71.xml" ContentType="application/vnd.openxmlformats-officedocument.wordprocessingml.footer+xml"/>
  <Override PartName="/word/header70.xml" ContentType="application/vnd.openxmlformats-officedocument.wordprocessingml.header+xml"/>
  <Override PartName="/word/footer72.xml" ContentType="application/vnd.openxmlformats-officedocument.wordprocessingml.footer+xml"/>
  <Override PartName="/word/header71.xml" ContentType="application/vnd.openxmlformats-officedocument.wordprocessingml.header+xml"/>
  <Override PartName="/word/footer73.xml" ContentType="application/vnd.openxmlformats-officedocument.wordprocessingml.footer+xml"/>
  <Override PartName="/word/header72.xml" ContentType="application/vnd.openxmlformats-officedocument.wordprocessingml.header+xml"/>
  <Override PartName="/word/footer74.xml" ContentType="application/vnd.openxmlformats-officedocument.wordprocessingml.footer+xml"/>
  <Override PartName="/word/header73.xml" ContentType="application/vnd.openxmlformats-officedocument.wordprocessingml.header+xml"/>
  <Override PartName="/word/footer75.xml" ContentType="application/vnd.openxmlformats-officedocument.wordprocessingml.footer+xml"/>
  <Override PartName="/word/header74.xml" ContentType="application/vnd.openxmlformats-officedocument.wordprocessingml.header+xml"/>
  <Override PartName="/word/footer76.xml" ContentType="application/vnd.openxmlformats-officedocument.wordprocessingml.footer+xml"/>
  <Override PartName="/word/header75.xml" ContentType="application/vnd.openxmlformats-officedocument.wordprocessingml.header+xml"/>
  <Override PartName="/word/footer77.xml" ContentType="application/vnd.openxmlformats-officedocument.wordprocessingml.footer+xml"/>
  <Override PartName="/word/header76.xml" ContentType="application/vnd.openxmlformats-officedocument.wordprocessingml.header+xml"/>
  <Override PartName="/word/footer78.xml" ContentType="application/vnd.openxmlformats-officedocument.wordprocessingml.footer+xml"/>
  <Override PartName="/word/header77.xml" ContentType="application/vnd.openxmlformats-officedocument.wordprocessingml.header+xml"/>
  <Override PartName="/word/footer79.xml" ContentType="application/vnd.openxmlformats-officedocument.wordprocessingml.footer+xml"/>
  <Override PartName="/word/header78.xml" ContentType="application/vnd.openxmlformats-officedocument.wordprocessingml.header+xml"/>
  <Override PartName="/word/footer80.xml" ContentType="application/vnd.openxmlformats-officedocument.wordprocessingml.footer+xml"/>
  <Override PartName="/word/header79.xml" ContentType="application/vnd.openxmlformats-officedocument.wordprocessingml.header+xml"/>
  <Override PartName="/word/footer81.xml" ContentType="application/vnd.openxmlformats-officedocument.wordprocessingml.footer+xml"/>
  <Override PartName="/word/header80.xml" ContentType="application/vnd.openxmlformats-officedocument.wordprocessingml.header+xml"/>
  <Override PartName="/word/footer82.xml" ContentType="application/vnd.openxmlformats-officedocument.wordprocessingml.footer+xml"/>
  <Override PartName="/word/header81.xml" ContentType="application/vnd.openxmlformats-officedocument.wordprocessingml.header+xml"/>
  <Override PartName="/word/footer83.xml" ContentType="application/vnd.openxmlformats-officedocument.wordprocessingml.footer+xml"/>
  <Override PartName="/word/header82.xml" ContentType="application/vnd.openxmlformats-officedocument.wordprocessingml.header+xml"/>
  <Override PartName="/word/footer84.xml" ContentType="application/vnd.openxmlformats-officedocument.wordprocessingml.footer+xml"/>
  <Override PartName="/word/header83.xml" ContentType="application/vnd.openxmlformats-officedocument.wordprocessingml.header+xml"/>
  <Override PartName="/word/footer85.xml" ContentType="application/vnd.openxmlformats-officedocument.wordprocessingml.footer+xml"/>
  <Override PartName="/word/header84.xml" ContentType="application/vnd.openxmlformats-officedocument.wordprocessingml.header+xml"/>
  <Override PartName="/word/footer86.xml" ContentType="application/vnd.openxmlformats-officedocument.wordprocessingml.footer+xml"/>
  <Override PartName="/word/header85.xml" ContentType="application/vnd.openxmlformats-officedocument.wordprocessingml.header+xml"/>
  <Override PartName="/word/footer87.xml" ContentType="application/vnd.openxmlformats-officedocument.wordprocessingml.footer+xml"/>
  <Override PartName="/word/header86.xml" ContentType="application/vnd.openxmlformats-officedocument.wordprocessingml.header+xml"/>
  <Override PartName="/word/footer88.xml" ContentType="application/vnd.openxmlformats-officedocument.wordprocessingml.footer+xml"/>
  <Override PartName="/word/header87.xml" ContentType="application/vnd.openxmlformats-officedocument.wordprocessingml.header+xml"/>
  <Override PartName="/word/footer89.xml" ContentType="application/vnd.openxmlformats-officedocument.wordprocessingml.footer+xml"/>
  <Override PartName="/word/header88.xml" ContentType="application/vnd.openxmlformats-officedocument.wordprocessingml.header+xml"/>
  <Override PartName="/word/footer90.xml" ContentType="application/vnd.openxmlformats-officedocument.wordprocessingml.footer+xml"/>
  <Override PartName="/word/header89.xml" ContentType="application/vnd.openxmlformats-officedocument.wordprocessingml.header+xml"/>
  <Override PartName="/word/footer91.xml" ContentType="application/vnd.openxmlformats-officedocument.wordprocessingml.footer+xml"/>
  <Override PartName="/word/header90.xml" ContentType="application/vnd.openxmlformats-officedocument.wordprocessingml.header+xml"/>
  <Override PartName="/word/footer92.xml" ContentType="application/vnd.openxmlformats-officedocument.wordprocessingml.footer+xml"/>
  <Override PartName="/word/header91.xml" ContentType="application/vnd.openxmlformats-officedocument.wordprocessingml.header+xml"/>
  <Override PartName="/word/footer93.xml" ContentType="application/vnd.openxmlformats-officedocument.wordprocessingml.footer+xml"/>
  <Override PartName="/word/header92.xml" ContentType="application/vnd.openxmlformats-officedocument.wordprocessingml.header+xml"/>
  <Override PartName="/word/footer94.xml" ContentType="application/vnd.openxmlformats-officedocument.wordprocessingml.footer+xml"/>
  <Override PartName="/word/header93.xml" ContentType="application/vnd.openxmlformats-officedocument.wordprocessingml.header+xml"/>
  <Override PartName="/word/footer95.xml" ContentType="application/vnd.openxmlformats-officedocument.wordprocessingml.footer+xml"/>
  <Override PartName="/word/header94.xml" ContentType="application/vnd.openxmlformats-officedocument.wordprocessingml.header+xml"/>
  <Override PartName="/word/footer96.xml" ContentType="application/vnd.openxmlformats-officedocument.wordprocessingml.footer+xml"/>
  <Override PartName="/word/header95.xml" ContentType="application/vnd.openxmlformats-officedocument.wordprocessingml.header+xml"/>
  <Override PartName="/word/footer97.xml" ContentType="application/vnd.openxmlformats-officedocument.wordprocessingml.footer+xml"/>
  <Override PartName="/word/header96.xml" ContentType="application/vnd.openxmlformats-officedocument.wordprocessingml.header+xml"/>
  <Override PartName="/word/footer98.xml" ContentType="application/vnd.openxmlformats-officedocument.wordprocessingml.footer+xml"/>
  <Override PartName="/word/header97.xml" ContentType="application/vnd.openxmlformats-officedocument.wordprocessingml.header+xml"/>
  <Override PartName="/word/footer99.xml" ContentType="application/vnd.openxmlformats-officedocument.wordprocessingml.footer+xml"/>
  <Override PartName="/word/header98.xml" ContentType="application/vnd.openxmlformats-officedocument.wordprocessingml.header+xml"/>
  <Override PartName="/word/footer100.xml" ContentType="application/vnd.openxmlformats-officedocument.wordprocessingml.footer+xml"/>
  <Override PartName="/word/header99.xml" ContentType="application/vnd.openxmlformats-officedocument.wordprocessingml.header+xml"/>
  <Override PartName="/word/footer101.xml" ContentType="application/vnd.openxmlformats-officedocument.wordprocessingml.footer+xml"/>
  <Override PartName="/word/header100.xml" ContentType="application/vnd.openxmlformats-officedocument.wordprocessingml.header+xml"/>
  <Override PartName="/word/footer102.xml" ContentType="application/vnd.openxmlformats-officedocument.wordprocessingml.footer+xml"/>
  <Override PartName="/word/header101.xml" ContentType="application/vnd.openxmlformats-officedocument.wordprocessingml.header+xml"/>
  <Override PartName="/word/footer103.xml" ContentType="application/vnd.openxmlformats-officedocument.wordprocessingml.footer+xml"/>
  <Override PartName="/word/header102.xml" ContentType="application/vnd.openxmlformats-officedocument.wordprocessingml.header+xml"/>
  <Override PartName="/word/footer104.xml" ContentType="application/vnd.openxmlformats-officedocument.wordprocessingml.footer+xml"/>
  <Override PartName="/word/header103.xml" ContentType="application/vnd.openxmlformats-officedocument.wordprocessingml.header+xml"/>
  <Override PartName="/word/footer105.xml" ContentType="application/vnd.openxmlformats-officedocument.wordprocessingml.footer+xml"/>
  <Override PartName="/word/header104.xml" ContentType="application/vnd.openxmlformats-officedocument.wordprocessingml.header+xml"/>
  <Override PartName="/word/footer106.xml" ContentType="application/vnd.openxmlformats-officedocument.wordprocessingml.footer+xml"/>
  <Override PartName="/word/header105.xml" ContentType="application/vnd.openxmlformats-officedocument.wordprocessingml.header+xml"/>
  <Override PartName="/word/footer107.xml" ContentType="application/vnd.openxmlformats-officedocument.wordprocessingml.footer+xml"/>
  <Override PartName="/word/header106.xml" ContentType="application/vnd.openxmlformats-officedocument.wordprocessingml.header+xml"/>
  <Override PartName="/word/footer108.xml" ContentType="application/vnd.openxmlformats-officedocument.wordprocessingml.footer+xml"/>
  <Override PartName="/word/header107.xml" ContentType="application/vnd.openxmlformats-officedocument.wordprocessingml.header+xml"/>
  <Override PartName="/word/footer109.xml" ContentType="application/vnd.openxmlformats-officedocument.wordprocessingml.footer+xml"/>
  <Override PartName="/word/header108.xml" ContentType="application/vnd.openxmlformats-officedocument.wordprocessingml.header+xml"/>
  <Override PartName="/word/footer110.xml" ContentType="application/vnd.openxmlformats-officedocument.wordprocessingml.footer+xml"/>
  <Override PartName="/word/header109.xml" ContentType="application/vnd.openxmlformats-officedocument.wordprocessingml.header+xml"/>
  <Override PartName="/word/footer111.xml" ContentType="application/vnd.openxmlformats-officedocument.wordprocessingml.footer+xml"/>
  <Override PartName="/word/header110.xml" ContentType="application/vnd.openxmlformats-officedocument.wordprocessingml.header+xml"/>
  <Override PartName="/word/footer112.xml" ContentType="application/vnd.openxmlformats-officedocument.wordprocessingml.footer+xml"/>
  <Override PartName="/word/header111.xml" ContentType="application/vnd.openxmlformats-officedocument.wordprocessingml.header+xml"/>
  <Override PartName="/word/footer113.xml" ContentType="application/vnd.openxmlformats-officedocument.wordprocessingml.footer+xml"/>
  <Override PartName="/word/header112.xml" ContentType="application/vnd.openxmlformats-officedocument.wordprocessingml.header+xml"/>
  <Override PartName="/word/footer114.xml" ContentType="application/vnd.openxmlformats-officedocument.wordprocessingml.footer+xml"/>
  <Override PartName="/word/header113.xml" ContentType="application/vnd.openxmlformats-officedocument.wordprocessingml.header+xml"/>
  <Override PartName="/word/footer115.xml" ContentType="application/vnd.openxmlformats-officedocument.wordprocessingml.footer+xml"/>
  <Override PartName="/word/header114.xml" ContentType="application/vnd.openxmlformats-officedocument.wordprocessingml.header+xml"/>
  <Override PartName="/word/footer116.xml" ContentType="application/vnd.openxmlformats-officedocument.wordprocessingml.footer+xml"/>
  <Override PartName="/word/header115.xml" ContentType="application/vnd.openxmlformats-officedocument.wordprocessingml.header+xml"/>
  <Override PartName="/word/footer117.xml" ContentType="application/vnd.openxmlformats-officedocument.wordprocessingml.footer+xml"/>
  <Override PartName="/word/header116.xml" ContentType="application/vnd.openxmlformats-officedocument.wordprocessingml.header+xml"/>
  <Override PartName="/word/footer118.xml" ContentType="application/vnd.openxmlformats-officedocument.wordprocessingml.footer+xml"/>
  <Override PartName="/word/header117.xml" ContentType="application/vnd.openxmlformats-officedocument.wordprocessingml.header+xml"/>
  <Override PartName="/word/footer119.xml" ContentType="application/vnd.openxmlformats-officedocument.wordprocessingml.footer+xml"/>
  <Override PartName="/word/header118.xml" ContentType="application/vnd.openxmlformats-officedocument.wordprocessingml.header+xml"/>
  <Override PartName="/word/footer120.xml" ContentType="application/vnd.openxmlformats-officedocument.wordprocessingml.footer+xml"/>
  <Override PartName="/word/header119.xml" ContentType="application/vnd.openxmlformats-officedocument.wordprocessingml.header+xml"/>
  <Override PartName="/word/footer121.xml" ContentType="application/vnd.openxmlformats-officedocument.wordprocessingml.footer+xml"/>
  <Override PartName="/word/header120.xml" ContentType="application/vnd.openxmlformats-officedocument.wordprocessingml.header+xml"/>
  <Override PartName="/word/footer122.xml" ContentType="application/vnd.openxmlformats-officedocument.wordprocessingml.footer+xml"/>
  <Override PartName="/word/header121.xml" ContentType="application/vnd.openxmlformats-officedocument.wordprocessingml.header+xml"/>
  <Override PartName="/word/footer123.xml" ContentType="application/vnd.openxmlformats-officedocument.wordprocessingml.footer+xml"/>
  <Override PartName="/word/header122.xml" ContentType="application/vnd.openxmlformats-officedocument.wordprocessingml.header+xml"/>
  <Override PartName="/word/footer124.xml" ContentType="application/vnd.openxmlformats-officedocument.wordprocessingml.footer+xml"/>
  <Override PartName="/word/header123.xml" ContentType="application/vnd.openxmlformats-officedocument.wordprocessingml.header+xml"/>
  <Override PartName="/word/footer125.xml" ContentType="application/vnd.openxmlformats-officedocument.wordprocessingml.footer+xml"/>
  <Override PartName="/word/header124.xml" ContentType="application/vnd.openxmlformats-officedocument.wordprocessingml.header+xml"/>
  <Override PartName="/word/footer126.xml" ContentType="application/vnd.openxmlformats-officedocument.wordprocessingml.footer+xml"/>
  <Override PartName="/word/header125.xml" ContentType="application/vnd.openxmlformats-officedocument.wordprocessingml.header+xml"/>
  <Override PartName="/word/footer127.xml" ContentType="application/vnd.openxmlformats-officedocument.wordprocessingml.footer+xml"/>
  <Override PartName="/word/header126.xml" ContentType="application/vnd.openxmlformats-officedocument.wordprocessingml.header+xml"/>
  <Override PartName="/word/footer128.xml" ContentType="application/vnd.openxmlformats-officedocument.wordprocessingml.footer+xml"/>
  <Override PartName="/word/header127.xml" ContentType="application/vnd.openxmlformats-officedocument.wordprocessingml.header+xml"/>
  <Override PartName="/word/footer129.xml" ContentType="application/vnd.openxmlformats-officedocument.wordprocessingml.footer+xml"/>
  <Override PartName="/word/header128.xml" ContentType="application/vnd.openxmlformats-officedocument.wordprocessingml.header+xml"/>
  <Override PartName="/word/footer130.xml" ContentType="application/vnd.openxmlformats-officedocument.wordprocessingml.footer+xml"/>
  <Override PartName="/word/header129.xml" ContentType="application/vnd.openxmlformats-officedocument.wordprocessingml.header+xml"/>
  <Override PartName="/word/footer131.xml" ContentType="application/vnd.openxmlformats-officedocument.wordprocessingml.footer+xml"/>
  <Override PartName="/word/header130.xml" ContentType="application/vnd.openxmlformats-officedocument.wordprocessingml.header+xml"/>
  <Override PartName="/word/footer132.xml" ContentType="application/vnd.openxmlformats-officedocument.wordprocessingml.footer+xml"/>
  <Override PartName="/word/header131.xml" ContentType="application/vnd.openxmlformats-officedocument.wordprocessingml.header+xml"/>
  <Override PartName="/word/footer133.xml" ContentType="application/vnd.openxmlformats-officedocument.wordprocessingml.footer+xml"/>
  <Override PartName="/word/header132.xml" ContentType="application/vnd.openxmlformats-officedocument.wordprocessingml.header+xml"/>
  <Override PartName="/word/footer134.xml" ContentType="application/vnd.openxmlformats-officedocument.wordprocessingml.footer+xml"/>
  <Override PartName="/word/header133.xml" ContentType="application/vnd.openxmlformats-officedocument.wordprocessingml.header+xml"/>
  <Override PartName="/word/footer135.xml" ContentType="application/vnd.openxmlformats-officedocument.wordprocessingml.footer+xml"/>
  <Override PartName="/word/header134.xml" ContentType="application/vnd.openxmlformats-officedocument.wordprocessingml.header+xml"/>
  <Override PartName="/word/footer136.xml" ContentType="application/vnd.openxmlformats-officedocument.wordprocessingml.footer+xml"/>
  <Override PartName="/word/header135.xml" ContentType="application/vnd.openxmlformats-officedocument.wordprocessingml.header+xml"/>
  <Override PartName="/word/footer137.xml" ContentType="application/vnd.openxmlformats-officedocument.wordprocessingml.footer+xml"/>
  <Override PartName="/word/header136.xml" ContentType="application/vnd.openxmlformats-officedocument.wordprocessingml.header+xml"/>
  <Override PartName="/word/footer138.xml" ContentType="application/vnd.openxmlformats-officedocument.wordprocessingml.footer+xml"/>
  <Override PartName="/word/header137.xml" ContentType="application/vnd.openxmlformats-officedocument.wordprocessingml.header+xml"/>
  <Override PartName="/word/footer139.xml" ContentType="application/vnd.openxmlformats-officedocument.wordprocessingml.footer+xml"/>
  <Override PartName="/word/header138.xml" ContentType="application/vnd.openxmlformats-officedocument.wordprocessingml.header+xml"/>
  <Override PartName="/word/footer140.xml" ContentType="application/vnd.openxmlformats-officedocument.wordprocessingml.footer+xml"/>
  <Override PartName="/word/header139.xml" ContentType="application/vnd.openxmlformats-officedocument.wordprocessingml.header+xml"/>
  <Override PartName="/word/footer141.xml" ContentType="application/vnd.openxmlformats-officedocument.wordprocessingml.footer+xml"/>
  <Override PartName="/word/header140.xml" ContentType="application/vnd.openxmlformats-officedocument.wordprocessingml.header+xml"/>
  <Override PartName="/word/footer142.xml" ContentType="application/vnd.openxmlformats-officedocument.wordprocessingml.footer+xml"/>
  <Override PartName="/word/header141.xml" ContentType="application/vnd.openxmlformats-officedocument.wordprocessingml.header+xml"/>
  <Override PartName="/word/footer143.xml" ContentType="application/vnd.openxmlformats-officedocument.wordprocessingml.footer+xml"/>
  <Override PartName="/word/header142.xml" ContentType="application/vnd.openxmlformats-officedocument.wordprocessingml.header+xml"/>
  <Override PartName="/word/footer144.xml" ContentType="application/vnd.openxmlformats-officedocument.wordprocessingml.footer+xml"/>
  <Override PartName="/word/header143.xml" ContentType="application/vnd.openxmlformats-officedocument.wordprocessingml.header+xml"/>
  <Override PartName="/word/footer145.xml" ContentType="application/vnd.openxmlformats-officedocument.wordprocessingml.footer+xml"/>
  <Override PartName="/word/header144.xml" ContentType="application/vnd.openxmlformats-officedocument.wordprocessingml.header+xml"/>
  <Override PartName="/word/footer146.xml" ContentType="application/vnd.openxmlformats-officedocument.wordprocessingml.footer+xml"/>
  <Override PartName="/word/header145.xml" ContentType="application/vnd.openxmlformats-officedocument.wordprocessingml.header+xml"/>
  <Override PartName="/word/footer147.xml" ContentType="application/vnd.openxmlformats-officedocument.wordprocessingml.footer+xml"/>
  <Override PartName="/word/header146.xml" ContentType="application/vnd.openxmlformats-officedocument.wordprocessingml.header+xml"/>
  <Override PartName="/word/footer148.xml" ContentType="application/vnd.openxmlformats-officedocument.wordprocessingml.footer+xml"/>
  <Override PartName="/word/header147.xml" ContentType="application/vnd.openxmlformats-officedocument.wordprocessingml.header+xml"/>
  <Override PartName="/word/footer149.xml" ContentType="application/vnd.openxmlformats-officedocument.wordprocessingml.footer+xml"/>
  <Override PartName="/word/header148.xml" ContentType="application/vnd.openxmlformats-officedocument.wordprocessingml.header+xml"/>
  <Override PartName="/word/footer150.xml" ContentType="application/vnd.openxmlformats-officedocument.wordprocessingml.footer+xml"/>
  <Override PartName="/word/header149.xml" ContentType="application/vnd.openxmlformats-officedocument.wordprocessingml.header+xml"/>
  <Override PartName="/word/footer151.xml" ContentType="application/vnd.openxmlformats-officedocument.wordprocessingml.footer+xml"/>
  <Override PartName="/word/header150.xml" ContentType="application/vnd.openxmlformats-officedocument.wordprocessingml.header+xml"/>
  <Override PartName="/word/footer152.xml" ContentType="application/vnd.openxmlformats-officedocument.wordprocessingml.footer+xml"/>
  <Override PartName="/word/header151.xml" ContentType="application/vnd.openxmlformats-officedocument.wordprocessingml.header+xml"/>
  <Override PartName="/word/footer153.xml" ContentType="application/vnd.openxmlformats-officedocument.wordprocessingml.footer+xml"/>
  <Override PartName="/word/header152.xml" ContentType="application/vnd.openxmlformats-officedocument.wordprocessingml.header+xml"/>
  <Override PartName="/word/footer154.xml" ContentType="application/vnd.openxmlformats-officedocument.wordprocessingml.footer+xml"/>
  <Override PartName="/word/header153.xml" ContentType="application/vnd.openxmlformats-officedocument.wordprocessingml.header+xml"/>
  <Override PartName="/word/footer155.xml" ContentType="application/vnd.openxmlformats-officedocument.wordprocessingml.footer+xml"/>
  <Override PartName="/word/header154.xml" ContentType="application/vnd.openxmlformats-officedocument.wordprocessingml.header+xml"/>
  <Override PartName="/word/footer156.xml" ContentType="application/vnd.openxmlformats-officedocument.wordprocessingml.footer+xml"/>
  <Override PartName="/word/header155.xml" ContentType="application/vnd.openxmlformats-officedocument.wordprocessingml.header+xml"/>
  <Override PartName="/word/footer157.xml" ContentType="application/vnd.openxmlformats-officedocument.wordprocessingml.footer+xml"/>
  <Override PartName="/word/header156.xml" ContentType="application/vnd.openxmlformats-officedocument.wordprocessingml.header+xml"/>
  <Override PartName="/word/footer158.xml" ContentType="application/vnd.openxmlformats-officedocument.wordprocessingml.footer+xml"/>
  <Override PartName="/word/header157.xml" ContentType="application/vnd.openxmlformats-officedocument.wordprocessingml.header+xml"/>
  <Override PartName="/word/footer159.xml" ContentType="application/vnd.openxmlformats-officedocument.wordprocessingml.footer+xml"/>
  <Override PartName="/word/header158.xml" ContentType="application/vnd.openxmlformats-officedocument.wordprocessingml.header+xml"/>
  <Override PartName="/word/footer160.xml" ContentType="application/vnd.openxmlformats-officedocument.wordprocessingml.footer+xml"/>
  <Override PartName="/word/header159.xml" ContentType="application/vnd.openxmlformats-officedocument.wordprocessingml.header+xml"/>
  <Override PartName="/word/footer161.xml" ContentType="application/vnd.openxmlformats-officedocument.wordprocessingml.footer+xml"/>
  <Override PartName="/word/header160.xml" ContentType="application/vnd.openxmlformats-officedocument.wordprocessingml.header+xml"/>
  <Override PartName="/word/footer162.xml" ContentType="application/vnd.openxmlformats-officedocument.wordprocessingml.footer+xml"/>
  <Override PartName="/word/header161.xml" ContentType="application/vnd.openxmlformats-officedocument.wordprocessingml.header+xml"/>
  <Override PartName="/word/footer163.xml" ContentType="application/vnd.openxmlformats-officedocument.wordprocessingml.footer+xml"/>
  <Override PartName="/word/header162.xml" ContentType="application/vnd.openxmlformats-officedocument.wordprocessingml.header+xml"/>
  <Override PartName="/word/footer164.xml" ContentType="application/vnd.openxmlformats-officedocument.wordprocessingml.footer+xml"/>
  <Override PartName="/word/header163.xml" ContentType="application/vnd.openxmlformats-officedocument.wordprocessingml.header+xml"/>
  <Override PartName="/word/footer165.xml" ContentType="application/vnd.openxmlformats-officedocument.wordprocessingml.footer+xml"/>
  <Override PartName="/word/header164.xml" ContentType="application/vnd.openxmlformats-officedocument.wordprocessingml.header+xml"/>
  <Override PartName="/word/footer166.xml" ContentType="application/vnd.openxmlformats-officedocument.wordprocessingml.footer+xml"/>
  <Override PartName="/word/header165.xml" ContentType="application/vnd.openxmlformats-officedocument.wordprocessingml.header+xml"/>
  <Override PartName="/word/footer167.xml" ContentType="application/vnd.openxmlformats-officedocument.wordprocessingml.footer+xml"/>
  <Override PartName="/word/header166.xml" ContentType="application/vnd.openxmlformats-officedocument.wordprocessingml.header+xml"/>
  <Override PartName="/word/footer168.xml" ContentType="application/vnd.openxmlformats-officedocument.wordprocessingml.footer+xml"/>
  <Override PartName="/word/header167.xml" ContentType="application/vnd.openxmlformats-officedocument.wordprocessingml.header+xml"/>
  <Override PartName="/word/footer169.xml" ContentType="application/vnd.openxmlformats-officedocument.wordprocessingml.footer+xml"/>
  <Override PartName="/word/header168.xml" ContentType="application/vnd.openxmlformats-officedocument.wordprocessingml.header+xml"/>
  <Override PartName="/word/footer170.xml" ContentType="application/vnd.openxmlformats-officedocument.wordprocessingml.footer+xml"/>
  <Override PartName="/word/header169.xml" ContentType="application/vnd.openxmlformats-officedocument.wordprocessingml.header+xml"/>
  <Override PartName="/word/footer171.xml" ContentType="application/vnd.openxmlformats-officedocument.wordprocessingml.footer+xml"/>
  <Override PartName="/word/header170.xml" ContentType="application/vnd.openxmlformats-officedocument.wordprocessingml.header+xml"/>
  <Override PartName="/word/footer172.xml" ContentType="application/vnd.openxmlformats-officedocument.wordprocessingml.footer+xml"/>
  <Override PartName="/word/header171.xml" ContentType="application/vnd.openxmlformats-officedocument.wordprocessingml.header+xml"/>
  <Override PartName="/word/footer173.xml" ContentType="application/vnd.openxmlformats-officedocument.wordprocessingml.footer+xml"/>
  <Override PartName="/word/header172.xml" ContentType="application/vnd.openxmlformats-officedocument.wordprocessingml.header+xml"/>
  <Override PartName="/word/footer174.xml" ContentType="application/vnd.openxmlformats-officedocument.wordprocessingml.footer+xml"/>
  <Override PartName="/word/header173.xml" ContentType="application/vnd.openxmlformats-officedocument.wordprocessingml.header+xml"/>
  <Override PartName="/word/footer175.xml" ContentType="application/vnd.openxmlformats-officedocument.wordprocessingml.footer+xml"/>
  <Override PartName="/word/header174.xml" ContentType="application/vnd.openxmlformats-officedocument.wordprocessingml.header+xml"/>
  <Override PartName="/word/footer176.xml" ContentType="application/vnd.openxmlformats-officedocument.wordprocessingml.footer+xml"/>
  <Override PartName="/word/header175.xml" ContentType="application/vnd.openxmlformats-officedocument.wordprocessingml.header+xml"/>
  <Override PartName="/word/footer177.xml" ContentType="application/vnd.openxmlformats-officedocument.wordprocessingml.footer+xml"/>
  <Override PartName="/word/header176.xml" ContentType="application/vnd.openxmlformats-officedocument.wordprocessingml.header+xml"/>
  <Override PartName="/word/footer178.xml" ContentType="application/vnd.openxmlformats-officedocument.wordprocessingml.footer+xml"/>
  <Override PartName="/word/header177.xml" ContentType="application/vnd.openxmlformats-officedocument.wordprocessingml.header+xml"/>
  <Override PartName="/word/footer179.xml" ContentType="application/vnd.openxmlformats-officedocument.wordprocessingml.footer+xml"/>
  <Override PartName="/word/header178.xml" ContentType="application/vnd.openxmlformats-officedocument.wordprocessingml.header+xml"/>
  <Override PartName="/word/footer180.xml" ContentType="application/vnd.openxmlformats-officedocument.wordprocessingml.footer+xml"/>
  <Override PartName="/word/header179.xml" ContentType="application/vnd.openxmlformats-officedocument.wordprocessingml.header+xml"/>
  <Override PartName="/word/footer181.xml" ContentType="application/vnd.openxmlformats-officedocument.wordprocessingml.footer+xml"/>
  <Override PartName="/word/header180.xml" ContentType="application/vnd.openxmlformats-officedocument.wordprocessingml.header+xml"/>
  <Override PartName="/word/footer182.xml" ContentType="application/vnd.openxmlformats-officedocument.wordprocessingml.footer+xml"/>
  <Override PartName="/word/header181.xml" ContentType="application/vnd.openxmlformats-officedocument.wordprocessingml.header+xml"/>
  <Override PartName="/word/footer183.xml" ContentType="application/vnd.openxmlformats-officedocument.wordprocessingml.footer+xml"/>
  <Override PartName="/word/header182.xml" ContentType="application/vnd.openxmlformats-officedocument.wordprocessingml.header+xml"/>
  <Override PartName="/word/footer184.xml" ContentType="application/vnd.openxmlformats-officedocument.wordprocessingml.footer+xml"/>
  <Override PartName="/word/header183.xml" ContentType="application/vnd.openxmlformats-officedocument.wordprocessingml.header+xml"/>
  <Override PartName="/word/footer185.xml" ContentType="application/vnd.openxmlformats-officedocument.wordprocessingml.footer+xml"/>
  <Override PartName="/word/header184.xml" ContentType="application/vnd.openxmlformats-officedocument.wordprocessingml.header+xml"/>
  <Override PartName="/word/footer186.xml" ContentType="application/vnd.openxmlformats-officedocument.wordprocessingml.footer+xml"/>
  <Override PartName="/word/header185.xml" ContentType="application/vnd.openxmlformats-officedocument.wordprocessingml.header+xml"/>
  <Override PartName="/word/footer187.xml" ContentType="application/vnd.openxmlformats-officedocument.wordprocessingml.footer+xml"/>
  <Override PartName="/word/header186.xml" ContentType="application/vnd.openxmlformats-officedocument.wordprocessingml.header+xml"/>
  <Override PartName="/word/footer188.xml" ContentType="application/vnd.openxmlformats-officedocument.wordprocessingml.footer+xml"/>
  <Override PartName="/word/header187.xml" ContentType="application/vnd.openxmlformats-officedocument.wordprocessingml.header+xml"/>
  <Override PartName="/word/footer189.xml" ContentType="application/vnd.openxmlformats-officedocument.wordprocessingml.footer+xml"/>
  <Override PartName="/word/header188.xml" ContentType="application/vnd.openxmlformats-officedocument.wordprocessingml.header+xml"/>
  <Override PartName="/word/footer190.xml" ContentType="application/vnd.openxmlformats-officedocument.wordprocessingml.footer+xml"/>
  <Override PartName="/word/header189.xml" ContentType="application/vnd.openxmlformats-officedocument.wordprocessingml.header+xml"/>
  <Override PartName="/word/footer191.xml" ContentType="application/vnd.openxmlformats-officedocument.wordprocessingml.footer+xml"/>
  <Override PartName="/word/header190.xml" ContentType="application/vnd.openxmlformats-officedocument.wordprocessingml.header+xml"/>
  <Override PartName="/word/footer192.xml" ContentType="application/vnd.openxmlformats-officedocument.wordprocessingml.footer+xml"/>
  <Override PartName="/word/header191.xml" ContentType="application/vnd.openxmlformats-officedocument.wordprocessingml.header+xml"/>
  <Override PartName="/word/footer193.xml" ContentType="application/vnd.openxmlformats-officedocument.wordprocessingml.footer+xml"/>
  <Override PartName="/word/header192.xml" ContentType="application/vnd.openxmlformats-officedocument.wordprocessingml.header+xml"/>
  <Override PartName="/word/footer194.xml" ContentType="application/vnd.openxmlformats-officedocument.wordprocessingml.footer+xml"/>
  <Override PartName="/word/header193.xml" ContentType="application/vnd.openxmlformats-officedocument.wordprocessingml.header+xml"/>
  <Override PartName="/word/footer195.xml" ContentType="application/vnd.openxmlformats-officedocument.wordprocessingml.footer+xml"/>
  <Override PartName="/word/header194.xml" ContentType="application/vnd.openxmlformats-officedocument.wordprocessingml.header+xml"/>
  <Override PartName="/word/footer196.xml" ContentType="application/vnd.openxmlformats-officedocument.wordprocessingml.footer+xml"/>
  <Override PartName="/word/header195.xml" ContentType="application/vnd.openxmlformats-officedocument.wordprocessingml.header+xml"/>
  <Override PartName="/word/footer197.xml" ContentType="application/vnd.openxmlformats-officedocument.wordprocessingml.footer+xml"/>
  <Override PartName="/word/header196.xml" ContentType="application/vnd.openxmlformats-officedocument.wordprocessingml.header+xml"/>
  <Override PartName="/word/footer198.xml" ContentType="application/vnd.openxmlformats-officedocument.wordprocessingml.footer+xml"/>
  <Override PartName="/word/header197.xml" ContentType="application/vnd.openxmlformats-officedocument.wordprocessingml.header+xml"/>
  <Override PartName="/word/footer199.xml" ContentType="application/vnd.openxmlformats-officedocument.wordprocessingml.footer+xml"/>
  <Override PartName="/word/header198.xml" ContentType="application/vnd.openxmlformats-officedocument.wordprocessingml.header+xml"/>
  <Override PartName="/word/footer200.xml" ContentType="application/vnd.openxmlformats-officedocument.wordprocessingml.footer+xml"/>
  <Override PartName="/word/header199.xml" ContentType="application/vnd.openxmlformats-officedocument.wordprocessingml.header+xml"/>
  <Override PartName="/word/footer201.xml" ContentType="application/vnd.openxmlformats-officedocument.wordprocessingml.footer+xml"/>
  <Override PartName="/word/header200.xml" ContentType="application/vnd.openxmlformats-officedocument.wordprocessingml.header+xml"/>
  <Override PartName="/word/footer202.xml" ContentType="application/vnd.openxmlformats-officedocument.wordprocessingml.footer+xml"/>
  <Override PartName="/word/header201.xml" ContentType="application/vnd.openxmlformats-officedocument.wordprocessingml.header+xml"/>
  <Override PartName="/word/footer203.xml" ContentType="application/vnd.openxmlformats-officedocument.wordprocessingml.footer+xml"/>
  <Override PartName="/word/header202.xml" ContentType="application/vnd.openxmlformats-officedocument.wordprocessingml.header+xml"/>
  <Override PartName="/word/footer204.xml" ContentType="application/vnd.openxmlformats-officedocument.wordprocessingml.footer+xml"/>
  <Override PartName="/word/header203.xml" ContentType="application/vnd.openxmlformats-officedocument.wordprocessingml.header+xml"/>
  <Override PartName="/word/footer205.xml" ContentType="application/vnd.openxmlformats-officedocument.wordprocessingml.footer+xml"/>
  <Override PartName="/word/header204.xml" ContentType="application/vnd.openxmlformats-officedocument.wordprocessingml.header+xml"/>
  <Override PartName="/word/footer206.xml" ContentType="application/vnd.openxmlformats-officedocument.wordprocessingml.footer+xml"/>
  <Override PartName="/word/header205.xml" ContentType="application/vnd.openxmlformats-officedocument.wordprocessingml.header+xml"/>
  <Override PartName="/word/footer207.xml" ContentType="application/vnd.openxmlformats-officedocument.wordprocessingml.footer+xml"/>
  <Override PartName="/word/header206.xml" ContentType="application/vnd.openxmlformats-officedocument.wordprocessingml.header+xml"/>
  <Override PartName="/word/footer208.xml" ContentType="application/vnd.openxmlformats-officedocument.wordprocessingml.footer+xml"/>
  <Override PartName="/word/header207.xml" ContentType="application/vnd.openxmlformats-officedocument.wordprocessingml.header+xml"/>
  <Override PartName="/word/footer209.xml" ContentType="application/vnd.openxmlformats-officedocument.wordprocessingml.footer+xml"/>
  <Override PartName="/word/header208.xml" ContentType="application/vnd.openxmlformats-officedocument.wordprocessingml.header+xml"/>
  <Override PartName="/word/footer210.xml" ContentType="application/vnd.openxmlformats-officedocument.wordprocessingml.footer+xml"/>
  <Override PartName="/word/header209.xml" ContentType="application/vnd.openxmlformats-officedocument.wordprocessingml.header+xml"/>
  <Override PartName="/word/footer211.xml" ContentType="application/vnd.openxmlformats-officedocument.wordprocessingml.footer+xml"/>
  <Override PartName="/word/header210.xml" ContentType="application/vnd.openxmlformats-officedocument.wordprocessingml.header+xml"/>
  <Override PartName="/word/footer21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84"/>
        <w:ind w:left="1208" w:right="1194" w:firstLine="0"/>
        <w:jc w:val="center"/>
        <w:rPr>
          <w:rFonts w:ascii="Times New Roman"/>
          <w:b/>
          <w:sz w:val="44"/>
        </w:rPr>
      </w:pPr>
      <w:r>
        <w:rPr>
          <w:rFonts w:ascii="Times New Roman"/>
          <w:b/>
          <w:sz w:val="44"/>
        </w:rPr>
        <w:t>HAMPTON</w:t>
      </w:r>
      <w:r>
        <w:rPr>
          <w:rFonts w:ascii="Times New Roman"/>
          <w:b/>
          <w:spacing w:val="40"/>
          <w:w w:val="150"/>
          <w:sz w:val="44"/>
        </w:rPr>
        <w:t> </w:t>
      </w:r>
      <w:r>
        <w:rPr>
          <w:rFonts w:ascii="Times New Roman"/>
          <w:b/>
          <w:spacing w:val="-2"/>
          <w:w w:val="105"/>
          <w:sz w:val="44"/>
        </w:rPr>
        <w:t>UNIVERSITY</w:t>
      </w:r>
    </w:p>
    <w:p>
      <w:pPr>
        <w:spacing w:before="11"/>
        <w:ind w:left="1212" w:right="1194" w:firstLine="0"/>
        <w:jc w:val="center"/>
        <w:rPr>
          <w:sz w:val="36"/>
        </w:rPr>
      </w:pPr>
      <w:r>
        <w:rPr>
          <w:w w:val="80"/>
          <w:sz w:val="36"/>
        </w:rPr>
        <w:t>DEPARTMENT</w:t>
      </w:r>
      <w:r>
        <w:rPr>
          <w:spacing w:val="8"/>
          <w:sz w:val="36"/>
        </w:rPr>
        <w:t> </w:t>
      </w:r>
      <w:r>
        <w:rPr>
          <w:w w:val="80"/>
          <w:sz w:val="36"/>
        </w:rPr>
        <w:t>OF</w:t>
      </w:r>
      <w:r>
        <w:rPr>
          <w:spacing w:val="8"/>
          <w:sz w:val="36"/>
        </w:rPr>
        <w:t> </w:t>
      </w:r>
      <w:r>
        <w:rPr>
          <w:spacing w:val="-2"/>
          <w:w w:val="80"/>
          <w:sz w:val="36"/>
        </w:rPr>
        <w:t>ARCHITECTURE</w:t>
      </w:r>
    </w:p>
    <w:p>
      <w:pPr>
        <w:pStyle w:val="BodyText"/>
        <w:spacing w:before="6"/>
        <w:rPr>
          <w:sz w:val="33"/>
        </w:rPr>
      </w:pPr>
    </w:p>
    <w:p>
      <w:pPr>
        <w:spacing w:before="0"/>
        <w:ind w:left="1214" w:right="1194" w:firstLine="0"/>
        <w:jc w:val="center"/>
        <w:rPr>
          <w:sz w:val="36"/>
        </w:rPr>
      </w:pPr>
      <w:r>
        <w:rPr>
          <w:w w:val="90"/>
          <w:sz w:val="36"/>
        </w:rPr>
        <w:t>5½</w:t>
      </w:r>
      <w:r>
        <w:rPr>
          <w:spacing w:val="-8"/>
          <w:sz w:val="36"/>
        </w:rPr>
        <w:t> </w:t>
      </w:r>
      <w:r>
        <w:rPr>
          <w:w w:val="90"/>
          <w:sz w:val="36"/>
        </w:rPr>
        <w:t>Year</w:t>
      </w:r>
      <w:r>
        <w:rPr>
          <w:spacing w:val="-6"/>
          <w:sz w:val="36"/>
        </w:rPr>
        <w:t> </w:t>
      </w:r>
      <w:r>
        <w:rPr>
          <w:w w:val="90"/>
          <w:sz w:val="36"/>
        </w:rPr>
        <w:t>Master</w:t>
      </w:r>
      <w:r>
        <w:rPr>
          <w:spacing w:val="-10"/>
          <w:sz w:val="36"/>
        </w:rPr>
        <w:t> </w:t>
      </w:r>
      <w:r>
        <w:rPr>
          <w:w w:val="90"/>
          <w:sz w:val="36"/>
        </w:rPr>
        <w:t>of</w:t>
      </w:r>
      <w:r>
        <w:rPr>
          <w:spacing w:val="-5"/>
          <w:sz w:val="36"/>
        </w:rPr>
        <w:t> </w:t>
      </w:r>
      <w:r>
        <w:rPr>
          <w:w w:val="90"/>
          <w:sz w:val="36"/>
        </w:rPr>
        <w:t>Architecture</w:t>
      </w:r>
      <w:r>
        <w:rPr>
          <w:spacing w:val="-2"/>
          <w:sz w:val="36"/>
        </w:rPr>
        <w:t> </w:t>
      </w:r>
      <w:r>
        <w:rPr>
          <w:w w:val="90"/>
          <w:sz w:val="36"/>
        </w:rPr>
        <w:t>Degree</w:t>
      </w:r>
      <w:r>
        <w:rPr>
          <w:spacing w:val="-5"/>
          <w:sz w:val="36"/>
        </w:rPr>
        <w:t> </w:t>
      </w:r>
      <w:r>
        <w:rPr>
          <w:spacing w:val="-2"/>
          <w:w w:val="90"/>
          <w:sz w:val="36"/>
        </w:rPr>
        <w:t>Program</w:t>
      </w:r>
    </w:p>
    <w:p>
      <w:pPr>
        <w:pStyle w:val="BodyText"/>
        <w:rPr>
          <w:sz w:val="36"/>
        </w:rPr>
      </w:pPr>
    </w:p>
    <w:p>
      <w:pPr>
        <w:pStyle w:val="Heading3"/>
        <w:spacing w:before="208"/>
        <w:ind w:left="1213"/>
      </w:pPr>
      <w:r>
        <w:rPr>
          <w:w w:val="80"/>
        </w:rPr>
        <w:t>ARCHITECTURE</w:t>
      </w:r>
      <w:r>
        <w:rPr>
          <w:spacing w:val="-1"/>
        </w:rPr>
        <w:t> </w:t>
      </w:r>
      <w:r>
        <w:rPr>
          <w:w w:val="80"/>
        </w:rPr>
        <w:t>PROGRAM</w:t>
      </w:r>
      <w:r>
        <w:rPr>
          <w:spacing w:val="3"/>
        </w:rPr>
        <w:t> </w:t>
      </w:r>
      <w:r>
        <w:rPr>
          <w:w w:val="80"/>
        </w:rPr>
        <w:t>REPORT</w:t>
      </w:r>
      <w:r>
        <w:rPr>
          <w:spacing w:val="1"/>
        </w:rPr>
        <w:t> </w:t>
      </w:r>
      <w:r>
        <w:rPr>
          <w:w w:val="80"/>
        </w:rPr>
        <w:t>2013-</w:t>
      </w:r>
      <w:r>
        <w:rPr>
          <w:spacing w:val="-4"/>
          <w:w w:val="80"/>
        </w:rPr>
        <w:t>2014</w:t>
      </w:r>
    </w:p>
    <w:p>
      <w:pPr>
        <w:pStyle w:val="BodyText"/>
        <w:rPr>
          <w:sz w:val="32"/>
        </w:rPr>
      </w:pPr>
    </w:p>
    <w:p>
      <w:pPr>
        <w:spacing w:before="255"/>
        <w:ind w:left="1212" w:right="1194" w:firstLine="0"/>
        <w:jc w:val="center"/>
        <w:rPr>
          <w:b/>
          <w:sz w:val="32"/>
        </w:rPr>
      </w:pPr>
      <w:r>
        <w:rPr>
          <w:b/>
          <w:w w:val="85"/>
          <w:sz w:val="32"/>
        </w:rPr>
        <w:t>DR.</w:t>
      </w:r>
      <w:r>
        <w:rPr>
          <w:b/>
          <w:spacing w:val="-12"/>
          <w:sz w:val="32"/>
        </w:rPr>
        <w:t> </w:t>
      </w:r>
      <w:r>
        <w:rPr>
          <w:b/>
          <w:w w:val="85"/>
          <w:sz w:val="32"/>
        </w:rPr>
        <w:t>WILLIAM</w:t>
      </w:r>
      <w:r>
        <w:rPr>
          <w:b/>
          <w:spacing w:val="-13"/>
          <w:sz w:val="32"/>
        </w:rPr>
        <w:t> </w:t>
      </w:r>
      <w:r>
        <w:rPr>
          <w:b/>
          <w:w w:val="85"/>
          <w:sz w:val="32"/>
        </w:rPr>
        <w:t>R.</w:t>
      </w:r>
      <w:r>
        <w:rPr>
          <w:b/>
          <w:spacing w:val="-12"/>
          <w:sz w:val="32"/>
        </w:rPr>
        <w:t> </w:t>
      </w:r>
      <w:r>
        <w:rPr>
          <w:b/>
          <w:spacing w:val="-2"/>
          <w:w w:val="85"/>
          <w:sz w:val="32"/>
        </w:rPr>
        <w:t>HARVEY</w:t>
      </w:r>
    </w:p>
    <w:p>
      <w:pPr>
        <w:pStyle w:val="Heading3"/>
        <w:spacing w:before="24"/>
        <w:ind w:left="1210"/>
      </w:pPr>
      <w:r>
        <w:rPr>
          <w:spacing w:val="-2"/>
        </w:rPr>
        <w:t>President</w:t>
      </w:r>
    </w:p>
    <w:p>
      <w:pPr>
        <w:pStyle w:val="BodyText"/>
        <w:spacing w:before="8"/>
        <w:rPr>
          <w:sz w:val="43"/>
        </w:rPr>
      </w:pPr>
    </w:p>
    <w:p>
      <w:pPr>
        <w:spacing w:before="0"/>
        <w:ind w:left="1212" w:right="1194" w:firstLine="0"/>
        <w:jc w:val="center"/>
        <w:rPr>
          <w:b/>
          <w:sz w:val="32"/>
        </w:rPr>
      </w:pPr>
      <w:r>
        <w:rPr>
          <w:b/>
          <w:w w:val="85"/>
          <w:sz w:val="32"/>
        </w:rPr>
        <w:t>Dr.</w:t>
      </w:r>
      <w:r>
        <w:rPr>
          <w:b/>
          <w:spacing w:val="6"/>
          <w:sz w:val="32"/>
        </w:rPr>
        <w:t> </w:t>
      </w:r>
      <w:r>
        <w:rPr>
          <w:b/>
          <w:w w:val="85"/>
          <w:sz w:val="32"/>
        </w:rPr>
        <w:t>Pamela</w:t>
      </w:r>
      <w:r>
        <w:rPr>
          <w:b/>
          <w:spacing w:val="6"/>
          <w:sz w:val="32"/>
        </w:rPr>
        <w:t> </w:t>
      </w:r>
      <w:r>
        <w:rPr>
          <w:b/>
          <w:spacing w:val="-2"/>
          <w:w w:val="85"/>
          <w:sz w:val="32"/>
        </w:rPr>
        <w:t>Hammond</w:t>
      </w:r>
    </w:p>
    <w:p>
      <w:pPr>
        <w:pStyle w:val="Heading3"/>
        <w:spacing w:before="21"/>
        <w:ind w:left="1207"/>
      </w:pPr>
      <w:r>
        <w:rPr>
          <w:spacing w:val="-2"/>
        </w:rPr>
        <w:t>Provost</w:t>
      </w:r>
    </w:p>
    <w:p>
      <w:pPr>
        <w:pStyle w:val="BodyText"/>
        <w:spacing w:before="9"/>
        <w:rPr>
          <w:sz w:val="43"/>
        </w:rPr>
      </w:pPr>
    </w:p>
    <w:p>
      <w:pPr>
        <w:spacing w:before="0"/>
        <w:ind w:left="1213" w:right="1194" w:firstLine="0"/>
        <w:jc w:val="center"/>
        <w:rPr>
          <w:b/>
          <w:sz w:val="32"/>
        </w:rPr>
      </w:pPr>
      <w:r>
        <w:rPr>
          <w:b/>
          <w:w w:val="85"/>
          <w:sz w:val="32"/>
        </w:rPr>
        <w:t>Dr.</w:t>
      </w:r>
      <w:r>
        <w:rPr>
          <w:b/>
          <w:spacing w:val="-9"/>
          <w:w w:val="85"/>
          <w:sz w:val="32"/>
        </w:rPr>
        <w:t> </w:t>
      </w:r>
      <w:r>
        <w:rPr>
          <w:b/>
          <w:w w:val="85"/>
          <w:sz w:val="32"/>
        </w:rPr>
        <w:t>Eric</w:t>
      </w:r>
      <w:r>
        <w:rPr>
          <w:b/>
          <w:spacing w:val="44"/>
          <w:sz w:val="32"/>
        </w:rPr>
        <w:t> </w:t>
      </w:r>
      <w:r>
        <w:rPr>
          <w:b/>
          <w:spacing w:val="-2"/>
          <w:w w:val="85"/>
          <w:sz w:val="32"/>
        </w:rPr>
        <w:t>Sheppard</w:t>
      </w:r>
    </w:p>
    <w:p>
      <w:pPr>
        <w:pStyle w:val="Heading3"/>
        <w:spacing w:before="23"/>
        <w:ind w:left="1214"/>
      </w:pPr>
      <w:r>
        <w:rPr>
          <w:w w:val="90"/>
        </w:rPr>
        <w:t>Dean,</w:t>
      </w:r>
      <w:r>
        <w:rPr>
          <w:spacing w:val="-11"/>
          <w:w w:val="90"/>
        </w:rPr>
        <w:t> </w:t>
      </w:r>
      <w:r>
        <w:rPr>
          <w:w w:val="90"/>
        </w:rPr>
        <w:t>School</w:t>
      </w:r>
      <w:r>
        <w:rPr>
          <w:spacing w:val="-8"/>
          <w:w w:val="90"/>
        </w:rPr>
        <w:t> </w:t>
      </w:r>
      <w:r>
        <w:rPr>
          <w:w w:val="90"/>
        </w:rPr>
        <w:t>of</w:t>
      </w:r>
      <w:r>
        <w:rPr>
          <w:spacing w:val="-9"/>
          <w:w w:val="90"/>
        </w:rPr>
        <w:t> </w:t>
      </w:r>
      <w:r>
        <w:rPr>
          <w:w w:val="90"/>
        </w:rPr>
        <w:t>Engineering</w:t>
      </w:r>
      <w:r>
        <w:rPr>
          <w:spacing w:val="-8"/>
          <w:w w:val="90"/>
        </w:rPr>
        <w:t> </w:t>
      </w:r>
      <w:r>
        <w:rPr>
          <w:w w:val="90"/>
        </w:rPr>
        <w:t>&amp;</w:t>
      </w:r>
      <w:r>
        <w:rPr>
          <w:spacing w:val="-9"/>
          <w:w w:val="90"/>
        </w:rPr>
        <w:t> </w:t>
      </w:r>
      <w:r>
        <w:rPr>
          <w:spacing w:val="-2"/>
          <w:w w:val="90"/>
        </w:rPr>
        <w:t>Technology</w:t>
      </w:r>
    </w:p>
    <w:p>
      <w:pPr>
        <w:pStyle w:val="BodyText"/>
        <w:spacing w:before="9"/>
        <w:rPr>
          <w:sz w:val="43"/>
        </w:rPr>
      </w:pPr>
    </w:p>
    <w:p>
      <w:pPr>
        <w:spacing w:line="254" w:lineRule="auto" w:before="0"/>
        <w:ind w:left="3207" w:right="3190" w:firstLine="1"/>
        <w:jc w:val="center"/>
        <w:rPr>
          <w:sz w:val="32"/>
        </w:rPr>
      </w:pPr>
      <w:r>
        <w:rPr>
          <w:b/>
          <w:w w:val="90"/>
          <w:sz w:val="32"/>
        </w:rPr>
        <w:t>Robert</w:t>
      </w:r>
      <w:r>
        <w:rPr>
          <w:b/>
          <w:spacing w:val="-6"/>
          <w:w w:val="90"/>
          <w:sz w:val="32"/>
        </w:rPr>
        <w:t> </w:t>
      </w:r>
      <w:r>
        <w:rPr>
          <w:b/>
          <w:w w:val="90"/>
          <w:sz w:val="32"/>
        </w:rPr>
        <w:t>L.</w:t>
      </w:r>
      <w:r>
        <w:rPr>
          <w:b/>
          <w:spacing w:val="-7"/>
          <w:w w:val="90"/>
          <w:sz w:val="32"/>
        </w:rPr>
        <w:t> </w:t>
      </w:r>
      <w:r>
        <w:rPr>
          <w:b/>
          <w:w w:val="90"/>
          <w:sz w:val="32"/>
        </w:rPr>
        <w:t>Easter,</w:t>
      </w:r>
      <w:r>
        <w:rPr>
          <w:b/>
          <w:spacing w:val="-9"/>
          <w:w w:val="90"/>
          <w:sz w:val="32"/>
        </w:rPr>
        <w:t> </w:t>
      </w:r>
      <w:r>
        <w:rPr>
          <w:b/>
          <w:w w:val="90"/>
          <w:sz w:val="32"/>
        </w:rPr>
        <w:t>Chair </w:t>
      </w:r>
      <w:hyperlink r:id="rId5">
        <w:r>
          <w:rPr>
            <w:color w:val="0000FF"/>
            <w:spacing w:val="-2"/>
            <w:w w:val="90"/>
            <w:sz w:val="32"/>
            <w:u w:val="single" w:color="0000FF"/>
          </w:rPr>
          <w:t>robert.easter@hamptonu.edu</w:t>
        </w:r>
      </w:hyperlink>
      <w:r>
        <w:rPr>
          <w:color w:val="0000FF"/>
          <w:spacing w:val="-2"/>
          <w:w w:val="90"/>
          <w:sz w:val="32"/>
        </w:rPr>
        <w:t> </w:t>
      </w:r>
      <w:r>
        <w:rPr>
          <w:sz w:val="32"/>
        </w:rPr>
        <w:t>(757)</w:t>
      </w:r>
      <w:r>
        <w:rPr>
          <w:spacing w:val="-23"/>
          <w:sz w:val="32"/>
        </w:rPr>
        <w:t> </w:t>
      </w:r>
      <w:r>
        <w:rPr>
          <w:sz w:val="32"/>
        </w:rPr>
        <w:t>727-5440</w:t>
      </w:r>
    </w:p>
    <w:p>
      <w:pPr>
        <w:spacing w:before="241"/>
        <w:ind w:left="1211" w:right="1194" w:firstLine="0"/>
        <w:jc w:val="center"/>
        <w:rPr>
          <w:b/>
          <w:sz w:val="32"/>
        </w:rPr>
      </w:pPr>
      <w:r>
        <w:rPr>
          <w:b/>
          <w:w w:val="85"/>
          <w:sz w:val="32"/>
        </w:rPr>
        <w:t>Full-Time</w:t>
      </w:r>
      <w:r>
        <w:rPr>
          <w:b/>
          <w:spacing w:val="-8"/>
          <w:sz w:val="32"/>
        </w:rPr>
        <w:t> </w:t>
      </w:r>
      <w:r>
        <w:rPr>
          <w:b/>
          <w:spacing w:val="-2"/>
          <w:w w:val="85"/>
          <w:sz w:val="32"/>
        </w:rPr>
        <w:t>Faculty</w:t>
      </w:r>
    </w:p>
    <w:p>
      <w:pPr>
        <w:pStyle w:val="Heading3"/>
        <w:spacing w:line="254" w:lineRule="auto" w:before="143"/>
        <w:ind w:left="3955" w:right="3940" w:firstLine="4"/>
      </w:pPr>
      <w:r>
        <w:rPr/>
        <w:t>Mason</w:t>
      </w:r>
      <w:r>
        <w:rPr>
          <w:spacing w:val="-23"/>
        </w:rPr>
        <w:t> </w:t>
      </w:r>
      <w:r>
        <w:rPr/>
        <w:t>Andrews Robert</w:t>
      </w:r>
      <w:r>
        <w:rPr>
          <w:spacing w:val="-23"/>
        </w:rPr>
        <w:t> </w:t>
      </w:r>
      <w:r>
        <w:rPr/>
        <w:t>Easter </w:t>
      </w:r>
      <w:r>
        <w:rPr>
          <w:w w:val="95"/>
        </w:rPr>
        <w:t>Darryl Henderson </w:t>
      </w:r>
      <w:r>
        <w:rPr>
          <w:w w:val="90"/>
        </w:rPr>
        <w:t>Wesley</w:t>
      </w:r>
      <w:r>
        <w:rPr>
          <w:spacing w:val="-14"/>
          <w:w w:val="90"/>
        </w:rPr>
        <w:t> </w:t>
      </w:r>
      <w:r>
        <w:rPr>
          <w:w w:val="90"/>
        </w:rPr>
        <w:t>Henderson </w:t>
      </w:r>
      <w:r>
        <w:rPr>
          <w:spacing w:val="-2"/>
        </w:rPr>
        <w:t>Ronald</w:t>
      </w:r>
      <w:r>
        <w:rPr>
          <w:spacing w:val="-21"/>
        </w:rPr>
        <w:t> </w:t>
      </w:r>
      <w:r>
        <w:rPr>
          <w:spacing w:val="-2"/>
        </w:rPr>
        <w:t>Kloster </w:t>
      </w:r>
      <w:r>
        <w:rPr/>
        <w:t>David</w:t>
      </w:r>
      <w:r>
        <w:rPr>
          <w:spacing w:val="-23"/>
        </w:rPr>
        <w:t> </w:t>
      </w:r>
      <w:r>
        <w:rPr/>
        <w:t>Peronnet </w:t>
      </w:r>
      <w:r>
        <w:rPr>
          <w:spacing w:val="-2"/>
          <w:w w:val="95"/>
        </w:rPr>
        <w:t>Carmina</w:t>
      </w:r>
      <w:r>
        <w:rPr>
          <w:spacing w:val="-16"/>
          <w:w w:val="95"/>
        </w:rPr>
        <w:t> </w:t>
      </w:r>
      <w:r>
        <w:rPr>
          <w:spacing w:val="-2"/>
          <w:w w:val="95"/>
        </w:rPr>
        <w:t>Sanchez</w:t>
      </w:r>
    </w:p>
    <w:p>
      <w:pPr>
        <w:pStyle w:val="BodyText"/>
        <w:spacing w:before="7"/>
        <w:rPr>
          <w:sz w:val="31"/>
        </w:rPr>
      </w:pPr>
    </w:p>
    <w:p>
      <w:pPr>
        <w:spacing w:line="254" w:lineRule="auto" w:before="0"/>
        <w:ind w:left="2337" w:right="2319" w:firstLine="0"/>
        <w:jc w:val="center"/>
        <w:rPr>
          <w:sz w:val="32"/>
        </w:rPr>
      </w:pPr>
      <w:r>
        <w:rPr>
          <w:w w:val="90"/>
          <w:sz w:val="32"/>
        </w:rPr>
        <w:t>John H. Spencer, FAIA, Professor Emeritus Solil</w:t>
      </w:r>
      <w:r>
        <w:rPr>
          <w:spacing w:val="-14"/>
          <w:w w:val="90"/>
          <w:sz w:val="32"/>
        </w:rPr>
        <w:t> </w:t>
      </w:r>
      <w:r>
        <w:rPr>
          <w:w w:val="90"/>
          <w:sz w:val="32"/>
        </w:rPr>
        <w:t>Banarjee,</w:t>
      </w:r>
      <w:r>
        <w:rPr>
          <w:spacing w:val="-13"/>
          <w:w w:val="90"/>
          <w:sz w:val="32"/>
        </w:rPr>
        <w:t> </w:t>
      </w:r>
      <w:r>
        <w:rPr>
          <w:w w:val="90"/>
          <w:sz w:val="32"/>
        </w:rPr>
        <w:t>Associate</w:t>
      </w:r>
      <w:r>
        <w:rPr>
          <w:spacing w:val="-13"/>
          <w:w w:val="90"/>
          <w:sz w:val="32"/>
        </w:rPr>
        <w:t> </w:t>
      </w:r>
      <w:r>
        <w:rPr>
          <w:w w:val="90"/>
          <w:sz w:val="32"/>
        </w:rPr>
        <w:t>Professor</w:t>
      </w:r>
      <w:r>
        <w:rPr>
          <w:spacing w:val="-14"/>
          <w:w w:val="90"/>
          <w:sz w:val="32"/>
        </w:rPr>
        <w:t> </w:t>
      </w:r>
      <w:r>
        <w:rPr>
          <w:w w:val="90"/>
          <w:sz w:val="32"/>
        </w:rPr>
        <w:t>Emeritus</w:t>
      </w:r>
    </w:p>
    <w:p>
      <w:pPr>
        <w:spacing w:after="0" w:line="254" w:lineRule="auto"/>
        <w:jc w:val="center"/>
        <w:rPr>
          <w:sz w:val="32"/>
        </w:rPr>
        <w:sectPr>
          <w:type w:val="continuous"/>
          <w:pgSz w:w="12240" w:h="15840"/>
          <w:pgMar w:top="1360" w:bottom="280" w:left="940" w:right="960"/>
        </w:sectPr>
      </w:pPr>
    </w:p>
    <w:p>
      <w:pPr>
        <w:spacing w:before="45"/>
        <w:ind w:left="1055" w:right="1194" w:firstLine="0"/>
        <w:jc w:val="center"/>
        <w:rPr>
          <w:sz w:val="28"/>
        </w:rPr>
      </w:pPr>
      <w:r>
        <w:rPr>
          <w:smallCaps/>
          <w:color w:val="0000FF"/>
          <w:w w:val="105"/>
          <w:sz w:val="28"/>
        </w:rPr>
        <w:t>Hampton</w:t>
      </w:r>
      <w:r>
        <w:rPr>
          <w:smallCaps/>
          <w:color w:val="0000FF"/>
          <w:spacing w:val="10"/>
          <w:w w:val="105"/>
          <w:sz w:val="28"/>
        </w:rPr>
        <w:t> </w:t>
      </w:r>
      <w:r>
        <w:rPr>
          <w:smallCaps/>
          <w:color w:val="0000FF"/>
          <w:spacing w:val="-2"/>
          <w:w w:val="105"/>
          <w:sz w:val="28"/>
        </w:rPr>
        <w:t>Univeristy</w:t>
      </w:r>
    </w:p>
    <w:p>
      <w:pPr>
        <w:spacing w:before="187"/>
        <w:ind w:left="1057" w:right="1194" w:firstLine="0"/>
        <w:jc w:val="center"/>
        <w:rPr>
          <w:sz w:val="16"/>
        </w:rPr>
      </w:pPr>
      <w:r>
        <w:rPr>
          <w:color w:val="0000FF"/>
          <w:w w:val="105"/>
          <w:sz w:val="16"/>
        </w:rPr>
        <w:t>HAMPTON,</w:t>
      </w:r>
      <w:r>
        <w:rPr>
          <w:color w:val="0000FF"/>
          <w:spacing w:val="19"/>
          <w:w w:val="105"/>
          <w:sz w:val="16"/>
        </w:rPr>
        <w:t> </w:t>
      </w:r>
      <w:r>
        <w:rPr>
          <w:color w:val="0000FF"/>
          <w:w w:val="105"/>
          <w:sz w:val="16"/>
        </w:rPr>
        <w:t>VIRGINIA</w:t>
      </w:r>
      <w:r>
        <w:rPr>
          <w:color w:val="0000FF"/>
          <w:spacing w:val="17"/>
          <w:w w:val="105"/>
          <w:sz w:val="16"/>
        </w:rPr>
        <w:t> </w:t>
      </w:r>
      <w:r>
        <w:rPr>
          <w:color w:val="0000FF"/>
          <w:spacing w:val="-2"/>
          <w:w w:val="105"/>
          <w:sz w:val="16"/>
        </w:rPr>
        <w:t>23668</w:t>
      </w:r>
    </w:p>
    <w:p>
      <w:pPr>
        <w:pStyle w:val="BodyText"/>
        <w:spacing w:before="10"/>
        <w:rPr>
          <w:sz w:val="21"/>
        </w:rPr>
      </w:pPr>
    </w:p>
    <w:p>
      <w:pPr>
        <w:spacing w:line="403" w:lineRule="auto" w:before="77"/>
        <w:ind w:left="113" w:right="7616" w:firstLine="0"/>
        <w:jc w:val="left"/>
        <w:rPr>
          <w:sz w:val="14"/>
        </w:rPr>
      </w:pPr>
      <w:r>
        <w:rPr>
          <w:color w:val="0000FF"/>
          <w:sz w:val="14"/>
        </w:rPr>
        <w:t>DEPARTMENT</w:t>
      </w:r>
      <w:r>
        <w:rPr>
          <w:color w:val="0000FF"/>
          <w:spacing w:val="40"/>
          <w:sz w:val="14"/>
        </w:rPr>
        <w:t> </w:t>
      </w:r>
      <w:r>
        <w:rPr>
          <w:color w:val="0000FF"/>
          <w:sz w:val="14"/>
        </w:rPr>
        <w:t>OF</w:t>
      </w:r>
      <w:r>
        <w:rPr>
          <w:color w:val="0000FF"/>
          <w:spacing w:val="40"/>
          <w:sz w:val="14"/>
        </w:rPr>
        <w:t> </w:t>
      </w:r>
      <w:r>
        <w:rPr>
          <w:color w:val="0000FF"/>
          <w:sz w:val="14"/>
        </w:rPr>
        <w:t>ARCHITECTURE</w:t>
      </w:r>
      <w:r>
        <w:rPr>
          <w:color w:val="0000FF"/>
          <w:spacing w:val="40"/>
          <w:sz w:val="14"/>
        </w:rPr>
        <w:t> </w:t>
      </w:r>
      <w:r>
        <w:rPr>
          <w:color w:val="0000FF"/>
          <w:sz w:val="14"/>
        </w:rPr>
        <w:t>(757)</w:t>
      </w:r>
      <w:r>
        <w:rPr>
          <w:color w:val="0000FF"/>
          <w:spacing w:val="40"/>
          <w:sz w:val="14"/>
        </w:rPr>
        <w:t> </w:t>
      </w:r>
      <w:r>
        <w:rPr>
          <w:color w:val="0000FF"/>
          <w:sz w:val="14"/>
        </w:rPr>
        <w:t>727-5440</w:t>
      </w:r>
    </w:p>
    <w:p>
      <w:pPr>
        <w:pStyle w:val="BodyText"/>
      </w:pPr>
    </w:p>
    <w:p>
      <w:pPr>
        <w:pStyle w:val="BodyText"/>
        <w:spacing w:before="7"/>
        <w:rPr>
          <w:sz w:val="15"/>
        </w:rPr>
      </w:pPr>
    </w:p>
    <w:p>
      <w:pPr>
        <w:spacing w:before="90"/>
        <w:ind w:left="500" w:right="0" w:firstLine="0"/>
        <w:jc w:val="left"/>
        <w:rPr>
          <w:rFonts w:ascii="Times New Roman"/>
          <w:sz w:val="24"/>
        </w:rPr>
      </w:pPr>
      <w:r>
        <w:rPr>
          <w:rFonts w:ascii="Times New Roman"/>
          <w:sz w:val="24"/>
        </w:rPr>
        <w:t>September</w:t>
      </w:r>
      <w:r>
        <w:rPr>
          <w:rFonts w:ascii="Times New Roman"/>
          <w:spacing w:val="-4"/>
          <w:sz w:val="24"/>
        </w:rPr>
        <w:t> </w:t>
      </w:r>
      <w:r>
        <w:rPr>
          <w:rFonts w:ascii="Times New Roman"/>
          <w:sz w:val="24"/>
        </w:rPr>
        <w:t>11,</w:t>
      </w:r>
      <w:r>
        <w:rPr>
          <w:rFonts w:ascii="Times New Roman"/>
          <w:spacing w:val="-2"/>
          <w:sz w:val="24"/>
        </w:rPr>
        <w:t> </w:t>
      </w:r>
      <w:r>
        <w:rPr>
          <w:rFonts w:ascii="Times New Roman"/>
          <w:spacing w:val="-4"/>
          <w:sz w:val="24"/>
        </w:rPr>
        <w:t>2014</w:t>
      </w:r>
    </w:p>
    <w:p>
      <w:pPr>
        <w:pStyle w:val="BodyText"/>
        <w:rPr>
          <w:rFonts w:ascii="Times New Roman"/>
          <w:sz w:val="26"/>
        </w:rPr>
      </w:pPr>
    </w:p>
    <w:p>
      <w:pPr>
        <w:pStyle w:val="BodyText"/>
        <w:rPr>
          <w:rFonts w:ascii="Times New Roman"/>
          <w:sz w:val="26"/>
        </w:rPr>
      </w:pPr>
    </w:p>
    <w:p>
      <w:pPr>
        <w:spacing w:line="278" w:lineRule="auto" w:before="160"/>
        <w:ind w:left="500" w:right="7616" w:firstLine="0"/>
        <w:jc w:val="left"/>
        <w:rPr>
          <w:rFonts w:ascii="Times New Roman"/>
          <w:sz w:val="24"/>
        </w:rPr>
      </w:pPr>
      <w:r>
        <w:rPr>
          <w:rFonts w:ascii="Times New Roman"/>
          <w:sz w:val="24"/>
        </w:rPr>
        <w:t>Ms. Cassandra Pair Accreditation</w:t>
      </w:r>
      <w:r>
        <w:rPr>
          <w:rFonts w:ascii="Times New Roman"/>
          <w:spacing w:val="-15"/>
          <w:sz w:val="24"/>
        </w:rPr>
        <w:t> </w:t>
      </w:r>
      <w:r>
        <w:rPr>
          <w:rFonts w:ascii="Times New Roman"/>
          <w:sz w:val="24"/>
        </w:rPr>
        <w:t>Manager</w:t>
      </w:r>
    </w:p>
    <w:p>
      <w:pPr>
        <w:spacing w:line="276" w:lineRule="auto" w:before="0"/>
        <w:ind w:left="500" w:right="5670" w:firstLine="0"/>
        <w:jc w:val="left"/>
        <w:rPr>
          <w:rFonts w:ascii="Times New Roman"/>
          <w:sz w:val="24"/>
        </w:rPr>
      </w:pPr>
      <w:r>
        <w:rPr>
          <w:rFonts w:ascii="Times New Roman"/>
          <w:sz w:val="24"/>
        </w:rPr>
        <w:t>National</w:t>
      </w:r>
      <w:r>
        <w:rPr>
          <w:rFonts w:ascii="Times New Roman"/>
          <w:spacing w:val="-15"/>
          <w:sz w:val="24"/>
        </w:rPr>
        <w:t> </w:t>
      </w:r>
      <w:r>
        <w:rPr>
          <w:rFonts w:ascii="Times New Roman"/>
          <w:sz w:val="24"/>
        </w:rPr>
        <w:t>Architectural</w:t>
      </w:r>
      <w:r>
        <w:rPr>
          <w:rFonts w:ascii="Times New Roman"/>
          <w:spacing w:val="-15"/>
          <w:sz w:val="24"/>
        </w:rPr>
        <w:t> </w:t>
      </w:r>
      <w:r>
        <w:rPr>
          <w:rFonts w:ascii="Times New Roman"/>
          <w:sz w:val="24"/>
        </w:rPr>
        <w:t>Accreditation</w:t>
      </w:r>
      <w:r>
        <w:rPr>
          <w:rFonts w:ascii="Times New Roman"/>
          <w:spacing w:val="-13"/>
          <w:sz w:val="24"/>
        </w:rPr>
        <w:t> </w:t>
      </w:r>
      <w:r>
        <w:rPr>
          <w:rFonts w:ascii="Times New Roman"/>
          <w:sz w:val="24"/>
        </w:rPr>
        <w:t>Board 1735 New York Avenue, NW</w:t>
      </w:r>
    </w:p>
    <w:p>
      <w:pPr>
        <w:spacing w:line="275" w:lineRule="exact" w:before="0"/>
        <w:ind w:left="500" w:right="0" w:firstLine="0"/>
        <w:jc w:val="left"/>
        <w:rPr>
          <w:rFonts w:ascii="Times New Roman"/>
          <w:sz w:val="24"/>
        </w:rPr>
      </w:pPr>
      <w:r>
        <w:rPr>
          <w:rFonts w:ascii="Times New Roman"/>
          <w:sz w:val="24"/>
        </w:rPr>
        <w:t>Washington,</w:t>
      </w:r>
      <w:r>
        <w:rPr>
          <w:rFonts w:ascii="Times New Roman"/>
          <w:spacing w:val="-4"/>
          <w:sz w:val="24"/>
        </w:rPr>
        <w:t> </w:t>
      </w:r>
      <w:r>
        <w:rPr>
          <w:rFonts w:ascii="Times New Roman"/>
          <w:sz w:val="24"/>
        </w:rPr>
        <w:t>DC</w:t>
      </w:r>
      <w:r>
        <w:rPr>
          <w:rFonts w:ascii="Times New Roman"/>
          <w:spacing w:val="-3"/>
          <w:sz w:val="24"/>
        </w:rPr>
        <w:t> </w:t>
      </w:r>
      <w:r>
        <w:rPr>
          <w:rFonts w:ascii="Times New Roman"/>
          <w:spacing w:val="-2"/>
          <w:sz w:val="24"/>
        </w:rPr>
        <w:t>20006</w:t>
      </w:r>
    </w:p>
    <w:p>
      <w:pPr>
        <w:pStyle w:val="BodyText"/>
        <w:spacing w:before="3"/>
        <w:rPr>
          <w:rFonts w:ascii="Times New Roman"/>
          <w:sz w:val="24"/>
        </w:rPr>
      </w:pPr>
    </w:p>
    <w:p>
      <w:pPr>
        <w:tabs>
          <w:tab w:pos="1219" w:val="left" w:leader="none"/>
        </w:tabs>
        <w:spacing w:line="484" w:lineRule="auto" w:before="0"/>
        <w:ind w:left="500" w:right="2579" w:firstLine="0"/>
        <w:jc w:val="left"/>
        <w:rPr>
          <w:rFonts w:ascii="Times New Roman"/>
          <w:sz w:val="24"/>
        </w:rPr>
      </w:pPr>
      <w:r>
        <w:rPr>
          <w:rFonts w:ascii="Times New Roman"/>
          <w:spacing w:val="-4"/>
          <w:sz w:val="24"/>
        </w:rPr>
        <w:t>RE:</w:t>
      </w:r>
      <w:r>
        <w:rPr>
          <w:rFonts w:ascii="Times New Roman"/>
          <w:sz w:val="24"/>
        </w:rPr>
        <w:tab/>
        <w:t>ARP</w:t>
      </w:r>
      <w:r>
        <w:rPr>
          <w:rFonts w:ascii="Times New Roman"/>
          <w:spacing w:val="-5"/>
          <w:sz w:val="24"/>
        </w:rPr>
        <w:t> </w:t>
      </w:r>
      <w:r>
        <w:rPr>
          <w:rFonts w:ascii="Times New Roman"/>
          <w:sz w:val="24"/>
        </w:rPr>
        <w:t>Submittal</w:t>
      </w:r>
      <w:r>
        <w:rPr>
          <w:rFonts w:ascii="Times New Roman"/>
          <w:spacing w:val="-5"/>
          <w:sz w:val="24"/>
        </w:rPr>
        <w:t> </w:t>
      </w:r>
      <w:r>
        <w:rPr>
          <w:rFonts w:ascii="Times New Roman"/>
          <w:sz w:val="24"/>
        </w:rPr>
        <w:t>for</w:t>
      </w:r>
      <w:r>
        <w:rPr>
          <w:rFonts w:ascii="Times New Roman"/>
          <w:spacing w:val="-6"/>
          <w:sz w:val="24"/>
        </w:rPr>
        <w:t> </w:t>
      </w:r>
      <w:r>
        <w:rPr>
          <w:rFonts w:ascii="Times New Roman"/>
          <w:sz w:val="24"/>
        </w:rPr>
        <w:t>Hampton</w:t>
      </w:r>
      <w:r>
        <w:rPr>
          <w:rFonts w:ascii="Times New Roman"/>
          <w:spacing w:val="-5"/>
          <w:sz w:val="24"/>
        </w:rPr>
        <w:t> </w:t>
      </w:r>
      <w:r>
        <w:rPr>
          <w:rFonts w:ascii="Times New Roman"/>
          <w:sz w:val="24"/>
        </w:rPr>
        <w:t>University</w:t>
      </w:r>
      <w:r>
        <w:rPr>
          <w:rFonts w:ascii="Times New Roman"/>
          <w:spacing w:val="-9"/>
          <w:sz w:val="24"/>
        </w:rPr>
        <w:t> </w:t>
      </w:r>
      <w:r>
        <w:rPr>
          <w:rFonts w:ascii="Times New Roman"/>
          <w:sz w:val="24"/>
        </w:rPr>
        <w:t>Department</w:t>
      </w:r>
      <w:r>
        <w:rPr>
          <w:rFonts w:ascii="Times New Roman"/>
          <w:spacing w:val="-5"/>
          <w:sz w:val="24"/>
        </w:rPr>
        <w:t> </w:t>
      </w:r>
      <w:r>
        <w:rPr>
          <w:rFonts w:ascii="Times New Roman"/>
          <w:sz w:val="24"/>
        </w:rPr>
        <w:t>of</w:t>
      </w:r>
      <w:r>
        <w:rPr>
          <w:rFonts w:ascii="Times New Roman"/>
          <w:spacing w:val="-6"/>
          <w:sz w:val="24"/>
        </w:rPr>
        <w:t> </w:t>
      </w:r>
      <w:r>
        <w:rPr>
          <w:rFonts w:ascii="Times New Roman"/>
          <w:sz w:val="24"/>
        </w:rPr>
        <w:t>Architecture Dear Ms. Pair:</w:t>
      </w:r>
    </w:p>
    <w:p>
      <w:pPr>
        <w:spacing w:line="278" w:lineRule="auto" w:before="0"/>
        <w:ind w:left="499" w:right="705" w:firstLine="0"/>
        <w:jc w:val="left"/>
        <w:rPr>
          <w:rFonts w:ascii="Times New Roman"/>
          <w:sz w:val="24"/>
        </w:rPr>
      </w:pPr>
      <w:r>
        <w:rPr>
          <w:rFonts w:ascii="Times New Roman"/>
          <w:sz w:val="24"/>
        </w:rPr>
        <w:t>It</w:t>
      </w:r>
      <w:r>
        <w:rPr>
          <w:rFonts w:ascii="Times New Roman"/>
          <w:spacing w:val="-3"/>
          <w:sz w:val="24"/>
        </w:rPr>
        <w:t> </w:t>
      </w:r>
      <w:r>
        <w:rPr>
          <w:rFonts w:ascii="Times New Roman"/>
          <w:sz w:val="24"/>
        </w:rPr>
        <w:t>is</w:t>
      </w:r>
      <w:r>
        <w:rPr>
          <w:rFonts w:ascii="Times New Roman"/>
          <w:spacing w:val="-3"/>
          <w:sz w:val="24"/>
        </w:rPr>
        <w:t> </w:t>
      </w:r>
      <w:r>
        <w:rPr>
          <w:rFonts w:ascii="Times New Roman"/>
          <w:sz w:val="24"/>
        </w:rPr>
        <w:t>with</w:t>
      </w:r>
      <w:r>
        <w:rPr>
          <w:rFonts w:ascii="Times New Roman"/>
          <w:spacing w:val="-1"/>
          <w:sz w:val="24"/>
        </w:rPr>
        <w:t> </w:t>
      </w:r>
      <w:r>
        <w:rPr>
          <w:rFonts w:ascii="Times New Roman"/>
          <w:sz w:val="24"/>
        </w:rPr>
        <w:t>great</w:t>
      </w:r>
      <w:r>
        <w:rPr>
          <w:rFonts w:ascii="Times New Roman"/>
          <w:spacing w:val="-3"/>
          <w:sz w:val="24"/>
        </w:rPr>
        <w:t> </w:t>
      </w:r>
      <w:r>
        <w:rPr>
          <w:rFonts w:ascii="Times New Roman"/>
          <w:sz w:val="24"/>
        </w:rPr>
        <w:t>pleasure</w:t>
      </w:r>
      <w:r>
        <w:rPr>
          <w:rFonts w:ascii="Times New Roman"/>
          <w:spacing w:val="-4"/>
          <w:sz w:val="24"/>
        </w:rPr>
        <w:t> </w:t>
      </w:r>
      <w:r>
        <w:rPr>
          <w:rFonts w:ascii="Times New Roman"/>
          <w:sz w:val="24"/>
        </w:rPr>
        <w:t>that</w:t>
      </w:r>
      <w:r>
        <w:rPr>
          <w:rFonts w:ascii="Times New Roman"/>
          <w:spacing w:val="-1"/>
          <w:sz w:val="24"/>
        </w:rPr>
        <w:t> </w:t>
      </w:r>
      <w:r>
        <w:rPr>
          <w:rFonts w:ascii="Times New Roman"/>
          <w:sz w:val="24"/>
        </w:rPr>
        <w:t>I</w:t>
      </w:r>
      <w:r>
        <w:rPr>
          <w:rFonts w:ascii="Times New Roman"/>
          <w:spacing w:val="-9"/>
          <w:sz w:val="24"/>
        </w:rPr>
        <w:t> </w:t>
      </w:r>
      <w:r>
        <w:rPr>
          <w:rFonts w:ascii="Times New Roman"/>
          <w:sz w:val="24"/>
        </w:rPr>
        <w:t>submit,</w:t>
      </w:r>
      <w:r>
        <w:rPr>
          <w:rFonts w:ascii="Times New Roman"/>
          <w:spacing w:val="-3"/>
          <w:sz w:val="24"/>
        </w:rPr>
        <w:t> </w:t>
      </w:r>
      <w:r>
        <w:rPr>
          <w:rFonts w:ascii="Times New Roman"/>
          <w:sz w:val="24"/>
        </w:rPr>
        <w:t>on</w:t>
      </w:r>
      <w:r>
        <w:rPr>
          <w:rFonts w:ascii="Times New Roman"/>
          <w:spacing w:val="-3"/>
          <w:sz w:val="24"/>
        </w:rPr>
        <w:t> </w:t>
      </w:r>
      <w:r>
        <w:rPr>
          <w:rFonts w:ascii="Times New Roman"/>
          <w:sz w:val="24"/>
        </w:rPr>
        <w:t>behalf</w:t>
      </w:r>
      <w:r>
        <w:rPr>
          <w:rFonts w:ascii="Times New Roman"/>
          <w:spacing w:val="-4"/>
          <w:sz w:val="24"/>
        </w:rPr>
        <w:t> </w:t>
      </w:r>
      <w:r>
        <w:rPr>
          <w:rFonts w:ascii="Times New Roman"/>
          <w:sz w:val="24"/>
        </w:rPr>
        <w:t>of</w:t>
      </w:r>
      <w:r>
        <w:rPr>
          <w:rFonts w:ascii="Times New Roman"/>
          <w:spacing w:val="-2"/>
          <w:sz w:val="24"/>
        </w:rPr>
        <w:t> </w:t>
      </w:r>
      <w:r>
        <w:rPr>
          <w:rFonts w:ascii="Times New Roman"/>
          <w:sz w:val="24"/>
        </w:rPr>
        <w:t>Hampton</w:t>
      </w:r>
      <w:r>
        <w:rPr>
          <w:rFonts w:ascii="Times New Roman"/>
          <w:spacing w:val="-3"/>
          <w:sz w:val="24"/>
        </w:rPr>
        <w:t> </w:t>
      </w:r>
      <w:r>
        <w:rPr>
          <w:rFonts w:ascii="Times New Roman"/>
          <w:sz w:val="24"/>
        </w:rPr>
        <w:t>University,</w:t>
      </w:r>
      <w:r>
        <w:rPr>
          <w:rFonts w:ascii="Times New Roman"/>
          <w:spacing w:val="-3"/>
          <w:sz w:val="24"/>
        </w:rPr>
        <w:t> </w:t>
      </w:r>
      <w:r>
        <w:rPr>
          <w:rFonts w:ascii="Times New Roman"/>
          <w:sz w:val="24"/>
        </w:rPr>
        <w:t>the</w:t>
      </w:r>
      <w:r>
        <w:rPr>
          <w:rFonts w:ascii="Times New Roman"/>
          <w:spacing w:val="-2"/>
          <w:sz w:val="24"/>
        </w:rPr>
        <w:t> </w:t>
      </w:r>
      <w:r>
        <w:rPr>
          <w:rFonts w:ascii="Times New Roman"/>
          <w:sz w:val="24"/>
        </w:rPr>
        <w:t>enclosed</w:t>
      </w:r>
      <w:r>
        <w:rPr>
          <w:rFonts w:ascii="Times New Roman"/>
          <w:spacing w:val="-3"/>
          <w:sz w:val="24"/>
        </w:rPr>
        <w:t> </w:t>
      </w:r>
      <w:r>
        <w:rPr>
          <w:rFonts w:ascii="Times New Roman"/>
          <w:sz w:val="24"/>
        </w:rPr>
        <w:t>ARP</w:t>
      </w:r>
      <w:r>
        <w:rPr>
          <w:rFonts w:ascii="Times New Roman"/>
          <w:spacing w:val="-3"/>
          <w:sz w:val="24"/>
        </w:rPr>
        <w:t> </w:t>
      </w:r>
      <w:r>
        <w:rPr>
          <w:rFonts w:ascii="Times New Roman"/>
          <w:sz w:val="24"/>
        </w:rPr>
        <w:t>for the Department of Architecture in our School of Engineering &amp; Technology.</w:t>
      </w:r>
    </w:p>
    <w:p>
      <w:pPr>
        <w:spacing w:line="276" w:lineRule="auto" w:before="232"/>
        <w:ind w:left="500" w:right="499" w:firstLine="0"/>
        <w:jc w:val="left"/>
        <w:rPr>
          <w:rFonts w:ascii="Times New Roman"/>
          <w:sz w:val="24"/>
        </w:rPr>
      </w:pPr>
      <w:r>
        <w:rPr>
          <w:rFonts w:ascii="Times New Roman"/>
          <w:sz w:val="24"/>
        </w:rPr>
        <w:t>We have attempted to convey our excitement for the vision and promise of this program in this APR</w:t>
      </w:r>
      <w:r>
        <w:rPr>
          <w:rFonts w:ascii="Times New Roman"/>
          <w:spacing w:val="-3"/>
          <w:sz w:val="24"/>
        </w:rPr>
        <w:t> </w:t>
      </w:r>
      <w:r>
        <w:rPr>
          <w:rFonts w:ascii="Times New Roman"/>
          <w:sz w:val="24"/>
        </w:rPr>
        <w:t>and</w:t>
      </w:r>
      <w:r>
        <w:rPr>
          <w:rFonts w:ascii="Times New Roman"/>
          <w:spacing w:val="-3"/>
          <w:sz w:val="24"/>
        </w:rPr>
        <w:t> </w:t>
      </w:r>
      <w:r>
        <w:rPr>
          <w:rFonts w:ascii="Times New Roman"/>
          <w:sz w:val="24"/>
        </w:rPr>
        <w:t>look</w:t>
      </w:r>
      <w:r>
        <w:rPr>
          <w:rFonts w:ascii="Times New Roman"/>
          <w:spacing w:val="-3"/>
          <w:sz w:val="24"/>
        </w:rPr>
        <w:t> </w:t>
      </w:r>
      <w:r>
        <w:rPr>
          <w:rFonts w:ascii="Times New Roman"/>
          <w:sz w:val="24"/>
        </w:rPr>
        <w:t>forward</w:t>
      </w:r>
      <w:r>
        <w:rPr>
          <w:rFonts w:ascii="Times New Roman"/>
          <w:spacing w:val="-3"/>
          <w:sz w:val="24"/>
        </w:rPr>
        <w:t> </w:t>
      </w:r>
      <w:r>
        <w:rPr>
          <w:rFonts w:ascii="Times New Roman"/>
          <w:sz w:val="24"/>
        </w:rPr>
        <w:t>to</w:t>
      </w:r>
      <w:r>
        <w:rPr>
          <w:rFonts w:ascii="Times New Roman"/>
          <w:spacing w:val="-1"/>
          <w:sz w:val="24"/>
        </w:rPr>
        <w:t> </w:t>
      </w:r>
      <w:r>
        <w:rPr>
          <w:rFonts w:ascii="Times New Roman"/>
          <w:sz w:val="24"/>
        </w:rPr>
        <w:t>hearing</w:t>
      </w:r>
      <w:r>
        <w:rPr>
          <w:rFonts w:ascii="Times New Roman"/>
          <w:spacing w:val="-6"/>
          <w:sz w:val="24"/>
        </w:rPr>
        <w:t> </w:t>
      </w:r>
      <w:r>
        <w:rPr>
          <w:rFonts w:ascii="Times New Roman"/>
          <w:sz w:val="24"/>
        </w:rPr>
        <w:t>from you</w:t>
      </w:r>
      <w:r>
        <w:rPr>
          <w:rFonts w:ascii="Times New Roman"/>
          <w:spacing w:val="-1"/>
          <w:sz w:val="24"/>
        </w:rPr>
        <w:t> </w:t>
      </w:r>
      <w:r>
        <w:rPr>
          <w:rFonts w:ascii="Times New Roman"/>
          <w:sz w:val="24"/>
        </w:rPr>
        <w:t>as</w:t>
      </w:r>
      <w:r>
        <w:rPr>
          <w:rFonts w:ascii="Times New Roman"/>
          <w:spacing w:val="-3"/>
          <w:sz w:val="24"/>
        </w:rPr>
        <w:t> </w:t>
      </w:r>
      <w:r>
        <w:rPr>
          <w:rFonts w:ascii="Times New Roman"/>
          <w:sz w:val="24"/>
        </w:rPr>
        <w:t>this</w:t>
      </w:r>
      <w:r>
        <w:rPr>
          <w:rFonts w:ascii="Times New Roman"/>
          <w:spacing w:val="-3"/>
          <w:sz w:val="24"/>
        </w:rPr>
        <w:t> </w:t>
      </w:r>
      <w:r>
        <w:rPr>
          <w:rFonts w:ascii="Times New Roman"/>
          <w:sz w:val="24"/>
        </w:rPr>
        <w:t>process</w:t>
      </w:r>
      <w:r>
        <w:rPr>
          <w:rFonts w:ascii="Times New Roman"/>
          <w:spacing w:val="-3"/>
          <w:sz w:val="24"/>
        </w:rPr>
        <w:t> </w:t>
      </w:r>
      <w:r>
        <w:rPr>
          <w:rFonts w:ascii="Times New Roman"/>
          <w:sz w:val="24"/>
        </w:rPr>
        <w:t>progresses.</w:t>
      </w:r>
      <w:r>
        <w:rPr>
          <w:rFonts w:ascii="Times New Roman"/>
          <w:spacing w:val="-3"/>
          <w:sz w:val="24"/>
        </w:rPr>
        <w:t> </w:t>
      </w:r>
      <w:r>
        <w:rPr>
          <w:rFonts w:ascii="Times New Roman"/>
          <w:sz w:val="24"/>
        </w:rPr>
        <w:t>We</w:t>
      </w:r>
      <w:r>
        <w:rPr>
          <w:rFonts w:ascii="Times New Roman"/>
          <w:spacing w:val="-4"/>
          <w:sz w:val="24"/>
        </w:rPr>
        <w:t> </w:t>
      </w:r>
      <w:r>
        <w:rPr>
          <w:rFonts w:ascii="Times New Roman"/>
          <w:sz w:val="24"/>
        </w:rPr>
        <w:t>also</w:t>
      </w:r>
      <w:r>
        <w:rPr>
          <w:rFonts w:ascii="Times New Roman"/>
          <w:spacing w:val="-3"/>
          <w:sz w:val="24"/>
        </w:rPr>
        <w:t> </w:t>
      </w:r>
      <w:r>
        <w:rPr>
          <w:rFonts w:ascii="Times New Roman"/>
          <w:sz w:val="24"/>
        </w:rPr>
        <w:t>eagerly</w:t>
      </w:r>
      <w:r>
        <w:rPr>
          <w:rFonts w:ascii="Times New Roman"/>
          <w:spacing w:val="-8"/>
          <w:sz w:val="24"/>
        </w:rPr>
        <w:t> </w:t>
      </w:r>
      <w:r>
        <w:rPr>
          <w:rFonts w:ascii="Times New Roman"/>
          <w:sz w:val="24"/>
        </w:rPr>
        <w:t>anticipate our Team Visit this Spring. If there are any questions or concerns regarding this report or any other matter pertaining to the accreditation procedures, please call me at your earliest convenience. I may also be reached via email at </w:t>
      </w:r>
      <w:hyperlink r:id="rId5">
        <w:r>
          <w:rPr>
            <w:rFonts w:ascii="Times New Roman"/>
            <w:color w:val="0000FF"/>
            <w:sz w:val="24"/>
            <w:u w:val="single" w:color="0000FF"/>
          </w:rPr>
          <w:t>robert.easter@hamptonu.edu</w:t>
        </w:r>
        <w:r>
          <w:rPr>
            <w:rFonts w:ascii="Times New Roman"/>
            <w:sz w:val="24"/>
          </w:rPr>
          <w:t>.</w:t>
        </w:r>
      </w:hyperlink>
    </w:p>
    <w:p>
      <w:pPr>
        <w:pStyle w:val="BodyText"/>
        <w:spacing w:before="3"/>
        <w:rPr>
          <w:rFonts w:ascii="Times New Roman"/>
          <w:sz w:val="13"/>
        </w:rPr>
      </w:pPr>
    </w:p>
    <w:p>
      <w:pPr>
        <w:spacing w:line="484" w:lineRule="auto" w:before="90"/>
        <w:ind w:left="500" w:right="705" w:firstLine="0"/>
        <w:jc w:val="left"/>
        <w:rPr>
          <w:rFonts w:ascii="Times New Roman"/>
          <w:sz w:val="24"/>
        </w:rPr>
      </w:pPr>
      <w:r>
        <w:rPr/>
        <w:drawing>
          <wp:anchor distT="0" distB="0" distL="0" distR="0" allowOverlap="1" layoutInCell="1" locked="0" behindDoc="0" simplePos="0" relativeHeight="15728640">
            <wp:simplePos x="0" y="0"/>
            <wp:positionH relativeFrom="page">
              <wp:posOffset>1175766</wp:posOffset>
            </wp:positionH>
            <wp:positionV relativeFrom="paragraph">
              <wp:posOffset>387643</wp:posOffset>
            </wp:positionV>
            <wp:extent cx="1405127" cy="1325879"/>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1405127" cy="1325879"/>
                    </a:xfrm>
                    <a:prstGeom prst="rect">
                      <a:avLst/>
                    </a:prstGeom>
                  </pic:spPr>
                </pic:pic>
              </a:graphicData>
            </a:graphic>
          </wp:anchor>
        </w:drawing>
      </w:r>
      <w:r>
        <w:rPr>
          <w:rFonts w:ascii="Times New Roman"/>
          <w:sz w:val="24"/>
        </w:rPr>
        <w:t>Thank</w:t>
      </w:r>
      <w:r>
        <w:rPr>
          <w:rFonts w:ascii="Times New Roman"/>
          <w:spacing w:val="-2"/>
          <w:sz w:val="24"/>
        </w:rPr>
        <w:t> </w:t>
      </w:r>
      <w:r>
        <w:rPr>
          <w:rFonts w:ascii="Times New Roman"/>
          <w:sz w:val="24"/>
        </w:rPr>
        <w:t>you</w:t>
      </w:r>
      <w:r>
        <w:rPr>
          <w:rFonts w:ascii="Times New Roman"/>
          <w:spacing w:val="-4"/>
          <w:sz w:val="24"/>
        </w:rPr>
        <w:t> </w:t>
      </w:r>
      <w:r>
        <w:rPr>
          <w:rFonts w:ascii="Times New Roman"/>
          <w:sz w:val="24"/>
        </w:rPr>
        <w:t>in</w:t>
      </w:r>
      <w:r>
        <w:rPr>
          <w:rFonts w:ascii="Times New Roman"/>
          <w:spacing w:val="-4"/>
          <w:sz w:val="24"/>
        </w:rPr>
        <w:t> </w:t>
      </w:r>
      <w:r>
        <w:rPr>
          <w:rFonts w:ascii="Times New Roman"/>
          <w:sz w:val="24"/>
        </w:rPr>
        <w:t>advance</w:t>
      </w:r>
      <w:r>
        <w:rPr>
          <w:rFonts w:ascii="Times New Roman"/>
          <w:spacing w:val="-5"/>
          <w:sz w:val="24"/>
        </w:rPr>
        <w:t> </w:t>
      </w:r>
      <w:r>
        <w:rPr>
          <w:rFonts w:ascii="Times New Roman"/>
          <w:sz w:val="24"/>
        </w:rPr>
        <w:t>for</w:t>
      </w:r>
      <w:r>
        <w:rPr>
          <w:rFonts w:ascii="Times New Roman"/>
          <w:spacing w:val="-5"/>
          <w:sz w:val="24"/>
        </w:rPr>
        <w:t> </w:t>
      </w:r>
      <w:r>
        <w:rPr>
          <w:rFonts w:ascii="Times New Roman"/>
          <w:sz w:val="24"/>
        </w:rPr>
        <w:t>every</w:t>
      </w:r>
      <w:r>
        <w:rPr>
          <w:rFonts w:ascii="Times New Roman"/>
          <w:spacing w:val="-7"/>
          <w:sz w:val="24"/>
        </w:rPr>
        <w:t> </w:t>
      </w:r>
      <w:r>
        <w:rPr>
          <w:rFonts w:ascii="Times New Roman"/>
          <w:sz w:val="24"/>
        </w:rPr>
        <w:t>consideration</w:t>
      </w:r>
      <w:r>
        <w:rPr>
          <w:rFonts w:ascii="Times New Roman"/>
          <w:spacing w:val="-4"/>
          <w:sz w:val="24"/>
        </w:rPr>
        <w:t> </w:t>
      </w:r>
      <w:r>
        <w:rPr>
          <w:rFonts w:ascii="Times New Roman"/>
          <w:sz w:val="24"/>
        </w:rPr>
        <w:t>and</w:t>
      </w:r>
      <w:r>
        <w:rPr>
          <w:rFonts w:ascii="Times New Roman"/>
          <w:spacing w:val="-2"/>
          <w:sz w:val="24"/>
        </w:rPr>
        <w:t> </w:t>
      </w:r>
      <w:r>
        <w:rPr>
          <w:rFonts w:ascii="Times New Roman"/>
          <w:sz w:val="24"/>
        </w:rPr>
        <w:t>kindness</w:t>
      </w:r>
      <w:r>
        <w:rPr>
          <w:rFonts w:ascii="Times New Roman"/>
          <w:spacing w:val="-4"/>
          <w:sz w:val="24"/>
        </w:rPr>
        <w:t> </w:t>
      </w:r>
      <w:r>
        <w:rPr>
          <w:rFonts w:ascii="Times New Roman"/>
          <w:sz w:val="24"/>
        </w:rPr>
        <w:t>offered</w:t>
      </w:r>
      <w:r>
        <w:rPr>
          <w:rFonts w:ascii="Times New Roman"/>
          <w:spacing w:val="-4"/>
          <w:sz w:val="24"/>
        </w:rPr>
        <w:t> </w:t>
      </w:r>
      <w:r>
        <w:rPr>
          <w:rFonts w:ascii="Times New Roman"/>
          <w:sz w:val="24"/>
        </w:rPr>
        <w:t>to</w:t>
      </w:r>
      <w:r>
        <w:rPr>
          <w:rFonts w:ascii="Times New Roman"/>
          <w:spacing w:val="-4"/>
          <w:sz w:val="24"/>
        </w:rPr>
        <w:t> </w:t>
      </w:r>
      <w:r>
        <w:rPr>
          <w:rFonts w:ascii="Times New Roman"/>
          <w:sz w:val="24"/>
        </w:rPr>
        <w:t>this</w:t>
      </w:r>
      <w:r>
        <w:rPr>
          <w:rFonts w:ascii="Times New Roman"/>
          <w:spacing w:val="-4"/>
          <w:sz w:val="24"/>
        </w:rPr>
        <w:t> </w:t>
      </w:r>
      <w:r>
        <w:rPr>
          <w:rFonts w:ascii="Times New Roman"/>
          <w:sz w:val="24"/>
        </w:rPr>
        <w:t>University. </w:t>
      </w:r>
      <w:r>
        <w:rPr>
          <w:rFonts w:ascii="Times New Roman"/>
          <w:spacing w:val="-2"/>
          <w:sz w:val="24"/>
        </w:rPr>
        <w:t>Sincerely,</w:t>
      </w:r>
    </w:p>
    <w:p>
      <w:pPr>
        <w:pStyle w:val="BodyText"/>
        <w:rPr>
          <w:rFonts w:ascii="Times New Roman"/>
          <w:sz w:val="26"/>
        </w:rPr>
      </w:pPr>
    </w:p>
    <w:p>
      <w:pPr>
        <w:pStyle w:val="BodyText"/>
        <w:spacing w:before="8"/>
        <w:rPr>
          <w:rFonts w:ascii="Times New Roman"/>
          <w:sz w:val="36"/>
        </w:rPr>
      </w:pPr>
    </w:p>
    <w:p>
      <w:pPr>
        <w:spacing w:line="237" w:lineRule="auto" w:before="0"/>
        <w:ind w:left="500" w:right="6409" w:firstLine="0"/>
        <w:jc w:val="left"/>
        <w:rPr>
          <w:rFonts w:ascii="Times New Roman"/>
          <w:sz w:val="24"/>
        </w:rPr>
      </w:pPr>
      <w:r>
        <w:rPr>
          <w:rFonts w:ascii="Times New Roman"/>
          <w:sz w:val="24"/>
        </w:rPr>
        <w:t>Robert</w:t>
      </w:r>
      <w:r>
        <w:rPr>
          <w:rFonts w:ascii="Times New Roman"/>
          <w:spacing w:val="-9"/>
          <w:sz w:val="24"/>
        </w:rPr>
        <w:t> </w:t>
      </w:r>
      <w:r>
        <w:rPr>
          <w:rFonts w:ascii="Times New Roman"/>
          <w:sz w:val="24"/>
        </w:rPr>
        <w:t>L.</w:t>
      </w:r>
      <w:r>
        <w:rPr>
          <w:rFonts w:ascii="Times New Roman"/>
          <w:spacing w:val="-11"/>
          <w:sz w:val="24"/>
        </w:rPr>
        <w:t> </w:t>
      </w:r>
      <w:r>
        <w:rPr>
          <w:rFonts w:ascii="Times New Roman"/>
          <w:sz w:val="24"/>
        </w:rPr>
        <w:t>Easter,</w:t>
      </w:r>
      <w:r>
        <w:rPr>
          <w:rFonts w:ascii="Times New Roman"/>
          <w:spacing w:val="-11"/>
          <w:sz w:val="24"/>
        </w:rPr>
        <w:t> </w:t>
      </w:r>
      <w:r>
        <w:rPr>
          <w:rFonts w:ascii="Times New Roman"/>
          <w:sz w:val="24"/>
        </w:rPr>
        <w:t>NOMA,</w:t>
      </w:r>
      <w:r>
        <w:rPr>
          <w:rFonts w:ascii="Times New Roman"/>
          <w:spacing w:val="-11"/>
          <w:sz w:val="24"/>
        </w:rPr>
        <w:t> </w:t>
      </w:r>
      <w:r>
        <w:rPr>
          <w:rFonts w:ascii="Times New Roman"/>
          <w:sz w:val="24"/>
        </w:rPr>
        <w:t>AIA </w:t>
      </w:r>
      <w:r>
        <w:rPr>
          <w:rFonts w:ascii="Times New Roman"/>
          <w:spacing w:val="-4"/>
          <w:sz w:val="24"/>
        </w:rPr>
        <w:t>Chair</w: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8"/>
        <w:rPr>
          <w:rFonts w:ascii="Times New Roman"/>
          <w:sz w:val="22"/>
        </w:rPr>
      </w:pPr>
    </w:p>
    <w:p>
      <w:pPr>
        <w:tabs>
          <w:tab w:pos="2926" w:val="left" w:leader="none"/>
          <w:tab w:pos="3286" w:val="left" w:leader="none"/>
          <w:tab w:pos="5086" w:val="left" w:leader="none"/>
          <w:tab w:pos="5806" w:val="left" w:leader="none"/>
        </w:tabs>
        <w:spacing w:before="0"/>
        <w:ind w:left="766" w:right="0" w:firstLine="0"/>
        <w:jc w:val="left"/>
        <w:rPr>
          <w:sz w:val="14"/>
        </w:rPr>
      </w:pPr>
      <w:r>
        <w:rPr>
          <w:color w:val="0000CC"/>
          <w:sz w:val="14"/>
        </w:rPr>
        <w:t>HAMPTON</w:t>
      </w:r>
      <w:r>
        <w:rPr>
          <w:color w:val="0000CC"/>
          <w:spacing w:val="46"/>
          <w:sz w:val="14"/>
        </w:rPr>
        <w:t> </w:t>
      </w:r>
      <w:r>
        <w:rPr>
          <w:color w:val="0000CC"/>
          <w:spacing w:val="-2"/>
          <w:sz w:val="14"/>
        </w:rPr>
        <w:t>INSTITUTE</w:t>
      </w:r>
      <w:r>
        <w:rPr>
          <w:color w:val="0000CC"/>
          <w:sz w:val="14"/>
        </w:rPr>
        <w:tab/>
      </w:r>
      <w:r>
        <w:rPr>
          <w:rFonts w:ascii="Times New Roman" w:hAnsi="Times New Roman"/>
          <w:color w:val="0000CC"/>
          <w:spacing w:val="-10"/>
          <w:sz w:val="14"/>
        </w:rPr>
        <w:t>●</w:t>
      </w:r>
      <w:r>
        <w:rPr>
          <w:rFonts w:ascii="Times New Roman" w:hAnsi="Times New Roman"/>
          <w:color w:val="0000CC"/>
          <w:sz w:val="14"/>
        </w:rPr>
        <w:tab/>
      </w:r>
      <w:r>
        <w:rPr>
          <w:color w:val="0000CC"/>
          <w:sz w:val="14"/>
        </w:rPr>
        <w:t>GRADUATE</w:t>
      </w:r>
      <w:r>
        <w:rPr>
          <w:color w:val="0000CC"/>
          <w:spacing w:val="52"/>
          <w:sz w:val="14"/>
        </w:rPr>
        <w:t> </w:t>
      </w:r>
      <w:r>
        <w:rPr>
          <w:color w:val="0000CC"/>
          <w:spacing w:val="-2"/>
          <w:sz w:val="14"/>
        </w:rPr>
        <w:t>COLLEGE</w:t>
      </w:r>
      <w:r>
        <w:rPr>
          <w:color w:val="0000CC"/>
          <w:sz w:val="14"/>
        </w:rPr>
        <w:tab/>
      </w:r>
      <w:r>
        <w:rPr>
          <w:rFonts w:ascii="Times New Roman" w:hAnsi="Times New Roman"/>
          <w:color w:val="0000CC"/>
          <w:spacing w:val="-10"/>
          <w:sz w:val="14"/>
        </w:rPr>
        <w:t>●</w:t>
      </w:r>
      <w:r>
        <w:rPr>
          <w:rFonts w:ascii="Times New Roman" w:hAnsi="Times New Roman"/>
          <w:color w:val="0000CC"/>
          <w:sz w:val="14"/>
        </w:rPr>
        <w:tab/>
      </w:r>
      <w:r>
        <w:rPr>
          <w:color w:val="0000CC"/>
          <w:sz w:val="14"/>
        </w:rPr>
        <w:t>COLLEGE</w:t>
      </w:r>
      <w:r>
        <w:rPr>
          <w:color w:val="0000CC"/>
          <w:spacing w:val="48"/>
          <w:sz w:val="14"/>
        </w:rPr>
        <w:t> </w:t>
      </w:r>
      <w:r>
        <w:rPr>
          <w:color w:val="0000CC"/>
          <w:spacing w:val="-5"/>
          <w:sz w:val="14"/>
        </w:rPr>
        <w:t>OF</w:t>
      </w:r>
    </w:p>
    <w:p>
      <w:pPr>
        <w:tabs>
          <w:tab w:pos="5505" w:val="left" w:leader="none"/>
        </w:tabs>
        <w:spacing w:before="131"/>
        <w:ind w:left="394" w:right="0" w:firstLine="0"/>
        <w:jc w:val="left"/>
        <w:rPr>
          <w:sz w:val="14"/>
        </w:rPr>
      </w:pPr>
      <w:r>
        <w:rPr>
          <w:color w:val="0000CC"/>
          <w:w w:val="105"/>
          <w:sz w:val="14"/>
        </w:rPr>
        <w:t>THE</w:t>
      </w:r>
      <w:r>
        <w:rPr>
          <w:color w:val="0000CC"/>
          <w:spacing w:val="12"/>
          <w:w w:val="105"/>
          <w:sz w:val="14"/>
        </w:rPr>
        <w:t> </w:t>
      </w:r>
      <w:r>
        <w:rPr>
          <w:color w:val="0000CC"/>
          <w:w w:val="105"/>
          <w:sz w:val="14"/>
        </w:rPr>
        <w:t>UNDERGRADUATE</w:t>
      </w:r>
      <w:r>
        <w:rPr>
          <w:color w:val="0000CC"/>
          <w:spacing w:val="10"/>
          <w:w w:val="105"/>
          <w:sz w:val="14"/>
        </w:rPr>
        <w:t> </w:t>
      </w:r>
      <w:r>
        <w:rPr>
          <w:color w:val="0000CC"/>
          <w:spacing w:val="-2"/>
          <w:w w:val="105"/>
          <w:sz w:val="14"/>
        </w:rPr>
        <w:t>COLLEGE</w:t>
      </w:r>
      <w:r>
        <w:rPr>
          <w:color w:val="0000CC"/>
          <w:sz w:val="14"/>
        </w:rPr>
        <w:tab/>
      </w:r>
      <w:r>
        <w:rPr>
          <w:color w:val="0000CC"/>
          <w:w w:val="105"/>
          <w:sz w:val="14"/>
        </w:rPr>
        <w:t>CONTINUING</w:t>
      </w:r>
      <w:r>
        <w:rPr>
          <w:color w:val="0000CC"/>
          <w:spacing w:val="9"/>
          <w:w w:val="105"/>
          <w:sz w:val="14"/>
        </w:rPr>
        <w:t> </w:t>
      </w:r>
      <w:r>
        <w:rPr>
          <w:color w:val="0000CC"/>
          <w:spacing w:val="-2"/>
          <w:w w:val="105"/>
          <w:sz w:val="14"/>
        </w:rPr>
        <w:t>EDUCATION</w:t>
      </w:r>
    </w:p>
    <w:p>
      <w:pPr>
        <w:spacing w:after="0"/>
        <w:jc w:val="left"/>
        <w:rPr>
          <w:sz w:val="14"/>
        </w:rPr>
        <w:sectPr>
          <w:pgSz w:w="12240" w:h="15840"/>
          <w:pgMar w:top="760" w:bottom="280" w:left="940" w:right="960"/>
        </w:sectPr>
      </w:pPr>
    </w:p>
    <w:p>
      <w:pPr>
        <w:pStyle w:val="Heading5"/>
        <w:spacing w:before="76"/>
        <w:ind w:left="1210" w:right="1194" w:firstLine="0"/>
        <w:jc w:val="center"/>
      </w:pPr>
      <w:r>
        <w:rPr/>
        <w:t>TABLE</w:t>
      </w:r>
      <w:r>
        <w:rPr>
          <w:spacing w:val="-4"/>
        </w:rPr>
        <w:t> </w:t>
      </w:r>
      <w:r>
        <w:rPr/>
        <w:t>OF</w:t>
      </w:r>
      <w:r>
        <w:rPr>
          <w:spacing w:val="-3"/>
        </w:rPr>
        <w:t> </w:t>
      </w:r>
      <w:r>
        <w:rPr>
          <w:spacing w:val="-2"/>
        </w:rPr>
        <w:t>CONTENTS</w:t>
      </w:r>
    </w:p>
    <w:p>
      <w:pPr>
        <w:pStyle w:val="BodyText"/>
        <w:spacing w:before="7"/>
        <w:rPr>
          <w:b/>
          <w:sz w:val="37"/>
        </w:rPr>
      </w:pPr>
    </w:p>
    <w:p>
      <w:pPr>
        <w:pStyle w:val="ListParagraph"/>
        <w:numPr>
          <w:ilvl w:val="0"/>
          <w:numId w:val="1"/>
        </w:numPr>
        <w:tabs>
          <w:tab w:pos="860" w:val="left" w:leader="none"/>
        </w:tabs>
        <w:spacing w:line="240" w:lineRule="auto" w:before="0" w:after="0"/>
        <w:ind w:left="859" w:right="0" w:hanging="360"/>
        <w:jc w:val="left"/>
        <w:rPr>
          <w:sz w:val="20"/>
        </w:rPr>
      </w:pPr>
      <w:r>
        <w:rPr>
          <w:sz w:val="20"/>
        </w:rPr>
        <w:t>Part</w:t>
      </w:r>
      <w:r>
        <w:rPr>
          <w:spacing w:val="-7"/>
          <w:sz w:val="20"/>
        </w:rPr>
        <w:t> </w:t>
      </w:r>
      <w:r>
        <w:rPr>
          <w:sz w:val="20"/>
        </w:rPr>
        <w:t>One</w:t>
      </w:r>
      <w:r>
        <w:rPr>
          <w:spacing w:val="-7"/>
          <w:sz w:val="20"/>
        </w:rPr>
        <w:t> </w:t>
      </w:r>
      <w:r>
        <w:rPr>
          <w:sz w:val="20"/>
        </w:rPr>
        <w:t>–</w:t>
      </w:r>
      <w:r>
        <w:rPr>
          <w:spacing w:val="-7"/>
          <w:sz w:val="20"/>
        </w:rPr>
        <w:t> </w:t>
      </w:r>
      <w:r>
        <w:rPr>
          <w:sz w:val="20"/>
        </w:rPr>
        <w:t>Institutional</w:t>
      </w:r>
      <w:r>
        <w:rPr>
          <w:spacing w:val="-6"/>
          <w:sz w:val="20"/>
        </w:rPr>
        <w:t> </w:t>
      </w:r>
      <w:r>
        <w:rPr>
          <w:sz w:val="20"/>
        </w:rPr>
        <w:t>Support</w:t>
      </w:r>
      <w:r>
        <w:rPr>
          <w:spacing w:val="-6"/>
          <w:sz w:val="20"/>
        </w:rPr>
        <w:t> </w:t>
      </w:r>
      <w:r>
        <w:rPr>
          <w:sz w:val="20"/>
        </w:rPr>
        <w:t>and</w:t>
      </w:r>
      <w:r>
        <w:rPr>
          <w:spacing w:val="-7"/>
          <w:sz w:val="20"/>
        </w:rPr>
        <w:t> </w:t>
      </w:r>
      <w:r>
        <w:rPr>
          <w:sz w:val="20"/>
        </w:rPr>
        <w:t>Commitment</w:t>
      </w:r>
      <w:r>
        <w:rPr>
          <w:spacing w:val="-7"/>
          <w:sz w:val="20"/>
        </w:rPr>
        <w:t> </w:t>
      </w:r>
      <w:r>
        <w:rPr>
          <w:sz w:val="20"/>
        </w:rPr>
        <w:t>to</w:t>
      </w:r>
      <w:r>
        <w:rPr>
          <w:spacing w:val="-7"/>
          <w:sz w:val="20"/>
        </w:rPr>
        <w:t> </w:t>
      </w:r>
      <w:r>
        <w:rPr>
          <w:sz w:val="20"/>
        </w:rPr>
        <w:t>Continuous</w:t>
      </w:r>
      <w:r>
        <w:rPr>
          <w:spacing w:val="-6"/>
          <w:sz w:val="20"/>
        </w:rPr>
        <w:t> </w:t>
      </w:r>
      <w:r>
        <w:rPr>
          <w:spacing w:val="-2"/>
          <w:sz w:val="20"/>
        </w:rPr>
        <w:t>Improvement</w:t>
      </w:r>
    </w:p>
    <w:p>
      <w:pPr>
        <w:spacing w:after="0" w:line="240" w:lineRule="auto"/>
        <w:jc w:val="left"/>
        <w:rPr>
          <w:sz w:val="20"/>
        </w:rPr>
        <w:sectPr>
          <w:footerReference w:type="default" r:id="rId7"/>
          <w:pgSz w:w="12240" w:h="15840"/>
          <w:pgMar w:footer="974" w:header="0" w:top="1360" w:bottom="1682" w:left="940" w:right="960"/>
          <w:pgNumType w:start="3"/>
        </w:sectPr>
      </w:pPr>
    </w:p>
    <w:sdt>
      <w:sdtPr>
        <w:docPartObj>
          <w:docPartGallery w:val="Table of Contents"/>
          <w:docPartUnique/>
        </w:docPartObj>
      </w:sdtPr>
      <w:sdtEndPr/>
      <w:sdtContent>
        <w:p>
          <w:pPr>
            <w:pStyle w:val="TOC2"/>
            <w:numPr>
              <w:ilvl w:val="1"/>
              <w:numId w:val="1"/>
            </w:numPr>
            <w:tabs>
              <w:tab w:pos="1293" w:val="left" w:leader="none"/>
              <w:tab w:pos="10220" w:val="right" w:leader="dot"/>
            </w:tabs>
            <w:spacing w:line="240" w:lineRule="auto" w:before="200" w:after="0"/>
            <w:ind w:left="1292" w:right="0" w:hanging="434"/>
            <w:jc w:val="left"/>
          </w:pPr>
          <w:r>
            <w:rPr/>
            <w:t>Identity</w:t>
          </w:r>
          <w:r>
            <w:rPr>
              <w:spacing w:val="-10"/>
            </w:rPr>
            <w:t> </w:t>
          </w:r>
          <w:r>
            <w:rPr/>
            <w:t>&amp;</w:t>
          </w:r>
          <w:r>
            <w:rPr>
              <w:spacing w:val="-5"/>
            </w:rPr>
            <w:t> </w:t>
          </w:r>
          <w:r>
            <w:rPr/>
            <w:t>Self-</w:t>
          </w:r>
          <w:r>
            <w:rPr>
              <w:spacing w:val="-2"/>
            </w:rPr>
            <w:t>Assessment</w:t>
          </w:r>
          <w:r>
            <w:rPr/>
            <w:tab/>
          </w:r>
          <w:r>
            <w:rPr>
              <w:spacing w:val="-7"/>
            </w:rPr>
            <w:t>1-</w:t>
          </w:r>
          <w:r>
            <w:rPr>
              <w:w w:val="95"/>
            </w:rPr>
            <w:t>1</w:t>
          </w:r>
        </w:p>
        <w:p>
          <w:pPr>
            <w:pStyle w:val="TOC4"/>
            <w:numPr>
              <w:ilvl w:val="2"/>
              <w:numId w:val="1"/>
            </w:numPr>
            <w:tabs>
              <w:tab w:pos="1724" w:val="left" w:leader="none"/>
              <w:tab w:pos="10219" w:val="right" w:leader="dot"/>
            </w:tabs>
            <w:spacing w:line="240" w:lineRule="auto" w:before="200" w:after="0"/>
            <w:ind w:left="1723" w:right="0" w:hanging="505"/>
            <w:jc w:val="left"/>
          </w:pPr>
          <w:r>
            <w:rPr/>
            <w:t>History</w:t>
          </w:r>
          <w:r>
            <w:rPr>
              <w:spacing w:val="-7"/>
            </w:rPr>
            <w:t> </w:t>
          </w:r>
          <w:r>
            <w:rPr/>
            <w:t>and</w:t>
          </w:r>
          <w:r>
            <w:rPr>
              <w:spacing w:val="-5"/>
            </w:rPr>
            <w:t> </w:t>
          </w:r>
          <w:r>
            <w:rPr>
              <w:spacing w:val="-2"/>
              <w:w w:val="95"/>
            </w:rPr>
            <w:t>Mission</w:t>
          </w:r>
          <w:r>
            <w:rPr/>
            <w:tab/>
          </w:r>
          <w:r>
            <w:rPr>
              <w:spacing w:val="-7"/>
            </w:rPr>
            <w:t>1-</w:t>
          </w:r>
          <w:r>
            <w:rPr>
              <w:w w:val="95"/>
            </w:rPr>
            <w:t>1</w:t>
          </w:r>
        </w:p>
        <w:p>
          <w:pPr>
            <w:pStyle w:val="TOC4"/>
            <w:numPr>
              <w:ilvl w:val="2"/>
              <w:numId w:val="1"/>
            </w:numPr>
            <w:tabs>
              <w:tab w:pos="1724" w:val="left" w:leader="none"/>
              <w:tab w:pos="10216" w:val="right" w:leader="dot"/>
            </w:tabs>
            <w:spacing w:line="240" w:lineRule="auto" w:before="199" w:after="0"/>
            <w:ind w:left="1723" w:right="0" w:hanging="505"/>
            <w:jc w:val="left"/>
          </w:pPr>
          <w:hyperlink w:history="true" w:anchor="_TOC_250017">
            <w:r>
              <w:rPr/>
              <w:t>Learning</w:t>
            </w:r>
            <w:r>
              <w:rPr>
                <w:spacing w:val="-7"/>
              </w:rPr>
              <w:t> </w:t>
            </w:r>
            <w:r>
              <w:rPr/>
              <w:t>Culture</w:t>
            </w:r>
            <w:r>
              <w:rPr>
                <w:spacing w:val="-7"/>
              </w:rPr>
              <w:t> </w:t>
            </w:r>
            <w:r>
              <w:rPr/>
              <w:t>and</w:t>
            </w:r>
            <w:r>
              <w:rPr>
                <w:spacing w:val="-6"/>
              </w:rPr>
              <w:t> </w:t>
            </w:r>
            <w:r>
              <w:rPr/>
              <w:t>Social</w:t>
            </w:r>
            <w:r>
              <w:rPr>
                <w:spacing w:val="-10"/>
              </w:rPr>
              <w:t> </w:t>
            </w:r>
            <w:r>
              <w:rPr>
                <w:spacing w:val="-2"/>
              </w:rPr>
              <w:t>Equity</w:t>
            </w:r>
            <w:r>
              <w:rPr/>
              <w:tab/>
            </w:r>
            <w:r>
              <w:rPr>
                <w:spacing w:val="-5"/>
              </w:rPr>
              <w:t>1-</w:t>
            </w:r>
            <w:r>
              <w:rPr>
                <w:w w:val="95"/>
              </w:rPr>
              <w:t>19</w:t>
            </w:r>
          </w:hyperlink>
        </w:p>
        <w:p>
          <w:pPr>
            <w:pStyle w:val="TOC4"/>
            <w:numPr>
              <w:ilvl w:val="2"/>
              <w:numId w:val="1"/>
            </w:numPr>
            <w:tabs>
              <w:tab w:pos="1724" w:val="left" w:leader="none"/>
              <w:tab w:pos="10216" w:val="right" w:leader="dot"/>
            </w:tabs>
            <w:spacing w:line="240" w:lineRule="auto" w:before="202" w:after="0"/>
            <w:ind w:left="1723" w:right="0" w:hanging="505"/>
            <w:jc w:val="left"/>
          </w:pPr>
          <w:hyperlink w:history="true" w:anchor="_TOC_250016">
            <w:r>
              <w:rPr/>
              <w:t>Response</w:t>
            </w:r>
            <w:r>
              <w:rPr>
                <w:spacing w:val="-4"/>
              </w:rPr>
              <w:t> </w:t>
            </w:r>
            <w:r>
              <w:rPr/>
              <w:t>to</w:t>
            </w:r>
            <w:r>
              <w:rPr>
                <w:spacing w:val="-5"/>
              </w:rPr>
              <w:t> </w:t>
            </w:r>
            <w:r>
              <w:rPr/>
              <w:t>the</w:t>
            </w:r>
            <w:r>
              <w:rPr>
                <w:spacing w:val="-5"/>
              </w:rPr>
              <w:t> </w:t>
            </w:r>
            <w:r>
              <w:rPr/>
              <w:t>Five</w:t>
            </w:r>
            <w:r>
              <w:rPr>
                <w:spacing w:val="-6"/>
              </w:rPr>
              <w:t> </w:t>
            </w:r>
            <w:r>
              <w:rPr>
                <w:spacing w:val="-2"/>
              </w:rPr>
              <w:t>Perspectives</w:t>
            </w:r>
            <w:r>
              <w:rPr/>
              <w:tab/>
            </w:r>
            <w:r>
              <w:rPr>
                <w:spacing w:val="-5"/>
              </w:rPr>
              <w:t>1-</w:t>
            </w:r>
            <w:r>
              <w:rPr>
                <w:w w:val="95"/>
              </w:rPr>
              <w:t>20</w:t>
            </w:r>
          </w:hyperlink>
        </w:p>
        <w:p>
          <w:pPr>
            <w:pStyle w:val="TOC6"/>
            <w:numPr>
              <w:ilvl w:val="3"/>
              <w:numId w:val="1"/>
            </w:numPr>
            <w:tabs>
              <w:tab w:pos="2659" w:val="left" w:leader="none"/>
              <w:tab w:pos="2660" w:val="left" w:leader="none"/>
              <w:tab w:pos="10216" w:val="right" w:leader="dot"/>
            </w:tabs>
            <w:spacing w:line="240" w:lineRule="auto" w:before="200" w:after="0"/>
            <w:ind w:left="2659" w:right="0" w:hanging="1081"/>
            <w:jc w:val="left"/>
          </w:pPr>
          <w:hyperlink w:history="true" w:anchor="_TOC_250015">
            <w:r>
              <w:rPr/>
              <w:t>Architectural</w:t>
            </w:r>
            <w:r>
              <w:rPr>
                <w:spacing w:val="-9"/>
              </w:rPr>
              <w:t> </w:t>
            </w:r>
            <w:r>
              <w:rPr/>
              <w:t>Education</w:t>
            </w:r>
            <w:r>
              <w:rPr>
                <w:spacing w:val="-8"/>
              </w:rPr>
              <w:t> </w:t>
            </w:r>
            <w:r>
              <w:rPr/>
              <w:t>and</w:t>
            </w:r>
            <w:r>
              <w:rPr>
                <w:spacing w:val="-8"/>
              </w:rPr>
              <w:t> </w:t>
            </w:r>
            <w:r>
              <w:rPr/>
              <w:t>the</w:t>
            </w:r>
            <w:r>
              <w:rPr>
                <w:spacing w:val="-8"/>
              </w:rPr>
              <w:t> </w:t>
            </w:r>
            <w:r>
              <w:rPr/>
              <w:t>Academic</w:t>
            </w:r>
            <w:r>
              <w:rPr>
                <w:spacing w:val="-8"/>
              </w:rPr>
              <w:t> </w:t>
            </w:r>
            <w:r>
              <w:rPr>
                <w:spacing w:val="-2"/>
              </w:rPr>
              <w:t>Community</w:t>
            </w:r>
            <w:r>
              <w:rPr/>
              <w:tab/>
            </w:r>
            <w:r>
              <w:rPr>
                <w:spacing w:val="-5"/>
              </w:rPr>
              <w:t>1-</w:t>
            </w:r>
            <w:r>
              <w:rPr>
                <w:w w:val="95"/>
              </w:rPr>
              <w:t>20</w:t>
            </w:r>
          </w:hyperlink>
        </w:p>
        <w:p>
          <w:pPr>
            <w:pStyle w:val="TOC6"/>
            <w:numPr>
              <w:ilvl w:val="3"/>
              <w:numId w:val="1"/>
            </w:numPr>
            <w:tabs>
              <w:tab w:pos="2658" w:val="left" w:leader="none"/>
              <w:tab w:pos="2659" w:val="left" w:leader="none"/>
              <w:tab w:pos="10216" w:val="right" w:leader="dot"/>
            </w:tabs>
            <w:spacing w:line="240" w:lineRule="auto" w:before="200" w:after="0"/>
            <w:ind w:left="2658" w:right="0" w:hanging="1080"/>
            <w:jc w:val="left"/>
          </w:pPr>
          <w:hyperlink w:history="true" w:anchor="_TOC_250014">
            <w:r>
              <w:rPr/>
              <w:t>Architectural</w:t>
            </w:r>
            <w:r>
              <w:rPr>
                <w:spacing w:val="-10"/>
              </w:rPr>
              <w:t> </w:t>
            </w:r>
            <w:r>
              <w:rPr/>
              <w:t>Education</w:t>
            </w:r>
            <w:r>
              <w:rPr>
                <w:spacing w:val="-10"/>
              </w:rPr>
              <w:t> </w:t>
            </w:r>
            <w:r>
              <w:rPr/>
              <w:t>and</w:t>
            </w:r>
            <w:r>
              <w:rPr>
                <w:spacing w:val="-9"/>
              </w:rPr>
              <w:t> </w:t>
            </w:r>
            <w:r>
              <w:rPr>
                <w:spacing w:val="-2"/>
              </w:rPr>
              <w:t>Students</w:t>
            </w:r>
            <w:r>
              <w:rPr/>
              <w:tab/>
            </w:r>
            <w:r>
              <w:rPr>
                <w:spacing w:val="-5"/>
              </w:rPr>
              <w:t>1-</w:t>
            </w:r>
            <w:r>
              <w:rPr>
                <w:w w:val="95"/>
              </w:rPr>
              <w:t>24</w:t>
            </w:r>
          </w:hyperlink>
        </w:p>
        <w:p>
          <w:pPr>
            <w:pStyle w:val="TOC6"/>
            <w:numPr>
              <w:ilvl w:val="3"/>
              <w:numId w:val="1"/>
            </w:numPr>
            <w:tabs>
              <w:tab w:pos="2658" w:val="left" w:leader="none"/>
              <w:tab w:pos="2659" w:val="left" w:leader="none"/>
              <w:tab w:pos="10215" w:val="right" w:leader="dot"/>
            </w:tabs>
            <w:spacing w:line="240" w:lineRule="auto" w:before="199" w:after="0"/>
            <w:ind w:left="2658" w:right="0" w:hanging="1081"/>
            <w:jc w:val="left"/>
          </w:pPr>
          <w:hyperlink w:history="true" w:anchor="_TOC_250013">
            <w:r>
              <w:rPr/>
              <w:t>Architectural</w:t>
            </w:r>
            <w:r>
              <w:rPr>
                <w:spacing w:val="-9"/>
              </w:rPr>
              <w:t> </w:t>
            </w:r>
            <w:r>
              <w:rPr/>
              <w:t>Education</w:t>
            </w:r>
            <w:r>
              <w:rPr>
                <w:spacing w:val="-7"/>
              </w:rPr>
              <w:t> </w:t>
            </w:r>
            <w:r>
              <w:rPr/>
              <w:t>and</w:t>
            </w:r>
            <w:r>
              <w:rPr>
                <w:spacing w:val="-7"/>
              </w:rPr>
              <w:t> </w:t>
            </w:r>
            <w:r>
              <w:rPr/>
              <w:t>the</w:t>
            </w:r>
            <w:r>
              <w:rPr>
                <w:spacing w:val="-9"/>
              </w:rPr>
              <w:t> </w:t>
            </w:r>
            <w:r>
              <w:rPr/>
              <w:t>Regulatory</w:t>
            </w:r>
            <w:r>
              <w:rPr>
                <w:spacing w:val="-10"/>
              </w:rPr>
              <w:t> </w:t>
            </w:r>
            <w:r>
              <w:rPr>
                <w:spacing w:val="-2"/>
              </w:rPr>
              <w:t>Environment</w:t>
            </w:r>
            <w:r>
              <w:rPr/>
              <w:tab/>
            </w:r>
            <w:r>
              <w:rPr>
                <w:spacing w:val="-5"/>
              </w:rPr>
              <w:t>1-</w:t>
            </w:r>
            <w:r>
              <w:rPr>
                <w:w w:val="95"/>
              </w:rPr>
              <w:t>27</w:t>
            </w:r>
          </w:hyperlink>
        </w:p>
        <w:p>
          <w:pPr>
            <w:pStyle w:val="TOC6"/>
            <w:numPr>
              <w:ilvl w:val="3"/>
              <w:numId w:val="1"/>
            </w:numPr>
            <w:tabs>
              <w:tab w:pos="2658" w:val="left" w:leader="none"/>
              <w:tab w:pos="2659" w:val="left" w:leader="none"/>
              <w:tab w:pos="10215" w:val="right" w:leader="dot"/>
            </w:tabs>
            <w:spacing w:line="240" w:lineRule="auto" w:before="200" w:after="0"/>
            <w:ind w:left="2658" w:right="0" w:hanging="1081"/>
            <w:jc w:val="left"/>
          </w:pPr>
          <w:hyperlink w:history="true" w:anchor="_TOC_250012">
            <w:r>
              <w:rPr/>
              <w:t>Architectural</w:t>
            </w:r>
            <w:r>
              <w:rPr>
                <w:spacing w:val="-9"/>
              </w:rPr>
              <w:t> </w:t>
            </w:r>
            <w:r>
              <w:rPr/>
              <w:t>Education</w:t>
            </w:r>
            <w:r>
              <w:rPr>
                <w:spacing w:val="-8"/>
              </w:rPr>
              <w:t> </w:t>
            </w:r>
            <w:r>
              <w:rPr/>
              <w:t>and</w:t>
            </w:r>
            <w:r>
              <w:rPr>
                <w:spacing w:val="-8"/>
              </w:rPr>
              <w:t> </w:t>
            </w:r>
            <w:r>
              <w:rPr/>
              <w:t>the</w:t>
            </w:r>
            <w:r>
              <w:rPr>
                <w:spacing w:val="-8"/>
              </w:rPr>
              <w:t> </w:t>
            </w:r>
            <w:r>
              <w:rPr>
                <w:spacing w:val="-2"/>
              </w:rPr>
              <w:t>Profession</w:t>
            </w:r>
            <w:r>
              <w:rPr/>
              <w:tab/>
            </w:r>
            <w:r>
              <w:rPr>
                <w:spacing w:val="-5"/>
              </w:rPr>
              <w:t>1-</w:t>
            </w:r>
            <w:r>
              <w:rPr>
                <w:w w:val="95"/>
              </w:rPr>
              <w:t>29</w:t>
            </w:r>
          </w:hyperlink>
        </w:p>
        <w:p>
          <w:pPr>
            <w:pStyle w:val="TOC6"/>
            <w:numPr>
              <w:ilvl w:val="3"/>
              <w:numId w:val="1"/>
            </w:numPr>
            <w:tabs>
              <w:tab w:pos="2658" w:val="left" w:leader="none"/>
              <w:tab w:pos="2659" w:val="left" w:leader="none"/>
              <w:tab w:pos="10215" w:val="right" w:leader="dot"/>
            </w:tabs>
            <w:spacing w:line="240" w:lineRule="auto" w:before="200" w:after="0"/>
            <w:ind w:left="2658" w:right="0" w:hanging="1081"/>
            <w:jc w:val="left"/>
          </w:pPr>
          <w:hyperlink w:history="true" w:anchor="_TOC_250011">
            <w:r>
              <w:rPr/>
              <w:t>Architectural</w:t>
            </w:r>
            <w:r>
              <w:rPr>
                <w:spacing w:val="-9"/>
              </w:rPr>
              <w:t> </w:t>
            </w:r>
            <w:r>
              <w:rPr/>
              <w:t>Education</w:t>
            </w:r>
            <w:r>
              <w:rPr>
                <w:spacing w:val="-8"/>
              </w:rPr>
              <w:t> </w:t>
            </w:r>
            <w:r>
              <w:rPr/>
              <w:t>and</w:t>
            </w:r>
            <w:r>
              <w:rPr>
                <w:spacing w:val="-8"/>
              </w:rPr>
              <w:t> </w:t>
            </w:r>
            <w:r>
              <w:rPr/>
              <w:t>the</w:t>
            </w:r>
            <w:r>
              <w:rPr>
                <w:spacing w:val="-8"/>
              </w:rPr>
              <w:t> </w:t>
            </w:r>
            <w:r>
              <w:rPr/>
              <w:t>Public</w:t>
            </w:r>
            <w:r>
              <w:rPr>
                <w:spacing w:val="-9"/>
              </w:rPr>
              <w:t> </w:t>
            </w:r>
            <w:r>
              <w:rPr>
                <w:spacing w:val="-4"/>
              </w:rPr>
              <w:t>Good</w:t>
            </w:r>
            <w:r>
              <w:rPr/>
              <w:tab/>
            </w:r>
            <w:r>
              <w:rPr>
                <w:spacing w:val="-5"/>
              </w:rPr>
              <w:t>1-</w:t>
            </w:r>
            <w:r>
              <w:rPr>
                <w:w w:val="95"/>
              </w:rPr>
              <w:t>31</w:t>
            </w:r>
          </w:hyperlink>
        </w:p>
        <w:p>
          <w:pPr>
            <w:pStyle w:val="TOC4"/>
            <w:numPr>
              <w:ilvl w:val="2"/>
              <w:numId w:val="1"/>
            </w:numPr>
            <w:tabs>
              <w:tab w:pos="1722" w:val="left" w:leader="none"/>
              <w:tab w:pos="10215" w:val="right" w:leader="dot"/>
            </w:tabs>
            <w:spacing w:line="240" w:lineRule="auto" w:before="202" w:after="0"/>
            <w:ind w:left="1721" w:right="0" w:hanging="505"/>
            <w:jc w:val="left"/>
          </w:pPr>
          <w:hyperlink w:history="true" w:anchor="_TOC_250010">
            <w:r>
              <w:rPr/>
              <w:t>Long</w:t>
            </w:r>
            <w:r>
              <w:rPr>
                <w:spacing w:val="-6"/>
              </w:rPr>
              <w:t> </w:t>
            </w:r>
            <w:r>
              <w:rPr/>
              <w:t>Range</w:t>
            </w:r>
            <w:r>
              <w:rPr>
                <w:spacing w:val="-6"/>
              </w:rPr>
              <w:t> </w:t>
            </w:r>
            <w:r>
              <w:rPr>
                <w:spacing w:val="-2"/>
              </w:rPr>
              <w:t>Planning</w:t>
            </w:r>
            <w:r>
              <w:rPr/>
              <w:tab/>
            </w:r>
            <w:r>
              <w:rPr>
                <w:spacing w:val="-5"/>
              </w:rPr>
              <w:t>1-</w:t>
            </w:r>
            <w:r>
              <w:rPr>
                <w:w w:val="95"/>
              </w:rPr>
              <w:t>35</w:t>
            </w:r>
          </w:hyperlink>
        </w:p>
        <w:p>
          <w:pPr>
            <w:pStyle w:val="TOC4"/>
            <w:numPr>
              <w:ilvl w:val="2"/>
              <w:numId w:val="1"/>
            </w:numPr>
            <w:tabs>
              <w:tab w:pos="1722" w:val="left" w:leader="none"/>
              <w:tab w:pos="10215" w:val="right" w:leader="dot"/>
            </w:tabs>
            <w:spacing w:line="240" w:lineRule="auto" w:before="200" w:after="0"/>
            <w:ind w:left="1721" w:right="0" w:hanging="505"/>
            <w:jc w:val="left"/>
          </w:pPr>
          <w:hyperlink w:history="true" w:anchor="_TOC_250009">
            <w:r>
              <w:rPr/>
              <w:t>Self</w:t>
            </w:r>
            <w:r>
              <w:rPr>
                <w:spacing w:val="-7"/>
              </w:rPr>
              <w:t> </w:t>
            </w:r>
            <w:r>
              <w:rPr/>
              <w:t>Assessment</w:t>
            </w:r>
            <w:r>
              <w:rPr>
                <w:spacing w:val="-8"/>
              </w:rPr>
              <w:t> </w:t>
            </w:r>
            <w:r>
              <w:rPr>
                <w:spacing w:val="-2"/>
              </w:rPr>
              <w:t>Procedures</w:t>
            </w:r>
            <w:r>
              <w:rPr/>
              <w:tab/>
            </w:r>
            <w:r>
              <w:rPr>
                <w:spacing w:val="-5"/>
              </w:rPr>
              <w:t>1-</w:t>
            </w:r>
            <w:r>
              <w:rPr>
                <w:w w:val="95"/>
              </w:rPr>
              <w:t>37</w:t>
            </w:r>
          </w:hyperlink>
        </w:p>
        <w:p>
          <w:pPr>
            <w:pStyle w:val="TOC2"/>
            <w:numPr>
              <w:ilvl w:val="1"/>
              <w:numId w:val="1"/>
            </w:numPr>
            <w:tabs>
              <w:tab w:pos="1290" w:val="left" w:leader="none"/>
              <w:tab w:pos="10214" w:val="right" w:leader="dot"/>
            </w:tabs>
            <w:spacing w:line="240" w:lineRule="auto" w:before="199" w:after="0"/>
            <w:ind w:left="1289" w:right="0" w:hanging="433"/>
            <w:jc w:val="left"/>
          </w:pPr>
          <w:hyperlink w:history="true" w:anchor="_TOC_250008">
            <w:r>
              <w:rPr>
                <w:spacing w:val="-2"/>
              </w:rPr>
              <w:t>Resources</w:t>
            </w:r>
            <w:r>
              <w:rPr/>
              <w:tab/>
            </w:r>
            <w:r>
              <w:rPr>
                <w:spacing w:val="-5"/>
              </w:rPr>
              <w:t>1-</w:t>
            </w:r>
            <w:r>
              <w:rPr>
                <w:w w:val="95"/>
              </w:rPr>
              <w:t>46</w:t>
            </w:r>
          </w:hyperlink>
        </w:p>
        <w:p>
          <w:pPr>
            <w:pStyle w:val="TOC4"/>
            <w:numPr>
              <w:ilvl w:val="2"/>
              <w:numId w:val="1"/>
            </w:numPr>
            <w:tabs>
              <w:tab w:pos="1722" w:val="left" w:leader="none"/>
              <w:tab w:pos="10214" w:val="right" w:leader="dot"/>
            </w:tabs>
            <w:spacing w:line="240" w:lineRule="auto" w:before="200" w:after="0"/>
            <w:ind w:left="1721" w:right="0" w:hanging="505"/>
            <w:jc w:val="left"/>
          </w:pPr>
          <w:r>
            <w:rPr/>
            <w:t>Human</w:t>
          </w:r>
          <w:r>
            <w:rPr>
              <w:spacing w:val="-8"/>
            </w:rPr>
            <w:t> </w:t>
          </w:r>
          <w:r>
            <w:rPr/>
            <w:t>Resources</w:t>
          </w:r>
          <w:r>
            <w:rPr>
              <w:spacing w:val="-6"/>
            </w:rPr>
            <w:t> </w:t>
          </w:r>
          <w:r>
            <w:rPr/>
            <w:t>and</w:t>
          </w:r>
          <w:r>
            <w:rPr>
              <w:spacing w:val="-6"/>
            </w:rPr>
            <w:t> </w:t>
          </w:r>
          <w:r>
            <w:rPr/>
            <w:t>Human</w:t>
          </w:r>
          <w:r>
            <w:rPr>
              <w:spacing w:val="-7"/>
            </w:rPr>
            <w:t> </w:t>
          </w:r>
          <w:r>
            <w:rPr/>
            <w:t>Resource</w:t>
          </w:r>
          <w:r>
            <w:rPr>
              <w:spacing w:val="-8"/>
            </w:rPr>
            <w:t> </w:t>
          </w:r>
          <w:r>
            <w:rPr>
              <w:spacing w:val="-2"/>
            </w:rPr>
            <w:t>Development</w:t>
          </w:r>
          <w:r>
            <w:rPr/>
            <w:tab/>
          </w:r>
          <w:r>
            <w:rPr>
              <w:spacing w:val="-5"/>
            </w:rPr>
            <w:t>1-</w:t>
          </w:r>
          <w:r>
            <w:rPr>
              <w:w w:val="95"/>
            </w:rPr>
            <w:t>46</w:t>
          </w:r>
        </w:p>
        <w:p>
          <w:pPr>
            <w:pStyle w:val="TOC4"/>
            <w:numPr>
              <w:ilvl w:val="2"/>
              <w:numId w:val="1"/>
            </w:numPr>
            <w:tabs>
              <w:tab w:pos="1721" w:val="left" w:leader="none"/>
              <w:tab w:pos="10214" w:val="right" w:leader="dot"/>
            </w:tabs>
            <w:spacing w:line="240" w:lineRule="auto" w:before="200" w:after="0"/>
            <w:ind w:left="1720" w:right="0" w:hanging="505"/>
            <w:jc w:val="left"/>
          </w:pPr>
          <w:hyperlink w:history="true" w:anchor="_TOC_250007">
            <w:r>
              <w:rPr/>
              <w:t>Administrative</w:t>
            </w:r>
            <w:r>
              <w:rPr>
                <w:spacing w:val="43"/>
              </w:rPr>
              <w:t> </w:t>
            </w:r>
            <w:r>
              <w:rPr/>
              <w:t>Structure</w:t>
            </w:r>
            <w:r>
              <w:rPr>
                <w:spacing w:val="-7"/>
              </w:rPr>
              <w:t> </w:t>
            </w:r>
            <w:r>
              <w:rPr/>
              <w:t>and</w:t>
            </w:r>
            <w:r>
              <w:rPr>
                <w:spacing w:val="41"/>
              </w:rPr>
              <w:t> </w:t>
            </w:r>
            <w:r>
              <w:rPr>
                <w:spacing w:val="-2"/>
              </w:rPr>
              <w:t>Governance</w:t>
            </w:r>
            <w:r>
              <w:rPr/>
              <w:tab/>
            </w:r>
            <w:r>
              <w:rPr>
                <w:spacing w:val="-5"/>
              </w:rPr>
              <w:t>1-</w:t>
            </w:r>
            <w:r>
              <w:rPr>
                <w:w w:val="95"/>
              </w:rPr>
              <w:t>67</w:t>
            </w:r>
          </w:hyperlink>
        </w:p>
        <w:p>
          <w:pPr>
            <w:pStyle w:val="TOC4"/>
            <w:numPr>
              <w:ilvl w:val="2"/>
              <w:numId w:val="1"/>
            </w:numPr>
            <w:tabs>
              <w:tab w:pos="1721" w:val="left" w:leader="none"/>
              <w:tab w:pos="10213" w:val="right" w:leader="dot"/>
            </w:tabs>
            <w:spacing w:line="240" w:lineRule="auto" w:before="199" w:after="0"/>
            <w:ind w:left="1720" w:right="0" w:hanging="505"/>
            <w:jc w:val="left"/>
          </w:pPr>
          <w:hyperlink w:history="true" w:anchor="_TOC_250006">
            <w:r>
              <w:rPr/>
              <w:t>Physical</w:t>
            </w:r>
            <w:r>
              <w:rPr>
                <w:spacing w:val="-11"/>
              </w:rPr>
              <w:t> </w:t>
            </w:r>
            <w:r>
              <w:rPr>
                <w:spacing w:val="-2"/>
              </w:rPr>
              <w:t>Resources</w:t>
            </w:r>
            <w:r>
              <w:rPr/>
              <w:tab/>
            </w:r>
            <w:r>
              <w:rPr>
                <w:spacing w:val="-5"/>
              </w:rPr>
              <w:t>1-</w:t>
            </w:r>
            <w:r>
              <w:rPr>
                <w:w w:val="95"/>
              </w:rPr>
              <w:t>69</w:t>
            </w:r>
          </w:hyperlink>
        </w:p>
        <w:p>
          <w:pPr>
            <w:pStyle w:val="TOC4"/>
            <w:numPr>
              <w:ilvl w:val="2"/>
              <w:numId w:val="1"/>
            </w:numPr>
            <w:tabs>
              <w:tab w:pos="1721" w:val="left" w:leader="none"/>
              <w:tab w:pos="10213" w:val="right" w:leader="dot"/>
            </w:tabs>
            <w:spacing w:line="240" w:lineRule="auto" w:before="202" w:after="0"/>
            <w:ind w:left="1720" w:right="0" w:hanging="505"/>
            <w:jc w:val="left"/>
          </w:pPr>
          <w:hyperlink w:history="true" w:anchor="_TOC_250005">
            <w:r>
              <w:rPr/>
              <w:t>Financial</w:t>
            </w:r>
            <w:r>
              <w:rPr>
                <w:spacing w:val="-14"/>
              </w:rPr>
              <w:t> </w:t>
            </w:r>
            <w:r>
              <w:rPr>
                <w:spacing w:val="-2"/>
              </w:rPr>
              <w:t>Resources</w:t>
            </w:r>
            <w:r>
              <w:rPr/>
              <w:tab/>
            </w:r>
            <w:r>
              <w:rPr>
                <w:spacing w:val="-7"/>
              </w:rPr>
              <w:t>1-</w:t>
            </w:r>
            <w:r>
              <w:rPr>
                <w:w w:val="95"/>
              </w:rPr>
              <w:t>76</w:t>
            </w:r>
          </w:hyperlink>
        </w:p>
        <w:p>
          <w:pPr>
            <w:pStyle w:val="TOC4"/>
            <w:numPr>
              <w:ilvl w:val="2"/>
              <w:numId w:val="1"/>
            </w:numPr>
            <w:tabs>
              <w:tab w:pos="1720" w:val="left" w:leader="none"/>
              <w:tab w:pos="10212" w:val="right" w:leader="dot"/>
            </w:tabs>
            <w:spacing w:line="240" w:lineRule="auto" w:before="200" w:after="0"/>
            <w:ind w:left="1719" w:right="0" w:hanging="505"/>
            <w:jc w:val="left"/>
          </w:pPr>
          <w:hyperlink w:history="true" w:anchor="_TOC_250004">
            <w:r>
              <w:rPr>
                <w:spacing w:val="-2"/>
              </w:rPr>
              <w:t>Information</w:t>
            </w:r>
            <w:r>
              <w:rPr>
                <w:spacing w:val="5"/>
              </w:rPr>
              <w:t> </w:t>
            </w:r>
            <w:r>
              <w:rPr>
                <w:spacing w:val="-2"/>
              </w:rPr>
              <w:t>Resources</w:t>
            </w:r>
            <w:r>
              <w:rPr/>
              <w:tab/>
            </w:r>
            <w:r>
              <w:rPr>
                <w:spacing w:val="-5"/>
                <w:w w:val="95"/>
              </w:rPr>
              <w:t>1-</w:t>
            </w:r>
            <w:r>
              <w:rPr>
                <w:w w:val="95"/>
              </w:rPr>
              <w:t>82</w:t>
            </w:r>
          </w:hyperlink>
        </w:p>
        <w:p>
          <w:pPr>
            <w:pStyle w:val="TOC2"/>
            <w:numPr>
              <w:ilvl w:val="1"/>
              <w:numId w:val="1"/>
            </w:numPr>
            <w:tabs>
              <w:tab w:pos="1288" w:val="left" w:leader="none"/>
              <w:tab w:pos="10212" w:val="right" w:leader="dot"/>
            </w:tabs>
            <w:spacing w:line="240" w:lineRule="auto" w:before="200" w:after="0"/>
            <w:ind w:left="1287" w:right="0" w:hanging="433"/>
            <w:jc w:val="left"/>
          </w:pPr>
          <w:hyperlink w:history="true" w:anchor="_TOC_250003">
            <w:r>
              <w:rPr>
                <w:spacing w:val="-2"/>
              </w:rPr>
              <w:t>Institutional</w:t>
            </w:r>
            <w:r>
              <w:rPr>
                <w:spacing w:val="10"/>
              </w:rPr>
              <w:t> </w:t>
            </w:r>
            <w:r>
              <w:rPr>
                <w:spacing w:val="-2"/>
              </w:rPr>
              <w:t>Characteristics</w:t>
            </w:r>
            <w:r>
              <w:rPr/>
              <w:tab/>
            </w:r>
            <w:r>
              <w:rPr>
                <w:spacing w:val="-5"/>
              </w:rPr>
              <w:t>1-</w:t>
            </w:r>
            <w:r>
              <w:rPr>
                <w:w w:val="95"/>
              </w:rPr>
              <w:t>89</w:t>
            </w:r>
          </w:hyperlink>
        </w:p>
        <w:p>
          <w:pPr>
            <w:pStyle w:val="TOC4"/>
            <w:numPr>
              <w:ilvl w:val="2"/>
              <w:numId w:val="1"/>
            </w:numPr>
            <w:tabs>
              <w:tab w:pos="1720" w:val="left" w:leader="none"/>
              <w:tab w:pos="10212" w:val="right" w:leader="dot"/>
            </w:tabs>
            <w:spacing w:line="240" w:lineRule="auto" w:before="199" w:after="0"/>
            <w:ind w:left="1719" w:right="0" w:hanging="505"/>
            <w:jc w:val="left"/>
          </w:pPr>
          <w:r>
            <w:rPr/>
            <w:t>Statistical</w:t>
          </w:r>
          <w:r>
            <w:rPr>
              <w:spacing w:val="-13"/>
            </w:rPr>
            <w:t> </w:t>
          </w:r>
          <w:r>
            <w:rPr>
              <w:spacing w:val="-2"/>
            </w:rPr>
            <w:t>Reports</w:t>
          </w:r>
          <w:r>
            <w:rPr/>
            <w:tab/>
          </w:r>
          <w:r>
            <w:rPr>
              <w:spacing w:val="-5"/>
            </w:rPr>
            <w:t>1-</w:t>
          </w:r>
          <w:r>
            <w:rPr>
              <w:w w:val="95"/>
            </w:rPr>
            <w:t>89</w:t>
          </w:r>
        </w:p>
        <w:p>
          <w:pPr>
            <w:pStyle w:val="TOC6"/>
            <w:numPr>
              <w:ilvl w:val="3"/>
              <w:numId w:val="1"/>
            </w:numPr>
            <w:tabs>
              <w:tab w:pos="2654" w:val="left" w:leader="none"/>
              <w:tab w:pos="2655" w:val="left" w:leader="none"/>
              <w:tab w:pos="10212" w:val="right" w:leader="dot"/>
            </w:tabs>
            <w:spacing w:line="240" w:lineRule="auto" w:before="200" w:after="0"/>
            <w:ind w:left="2654" w:right="0" w:hanging="1080"/>
            <w:jc w:val="left"/>
          </w:pPr>
          <w:r>
            <w:rPr/>
            <w:t>Program</w:t>
          </w:r>
          <w:r>
            <w:rPr>
              <w:spacing w:val="-8"/>
            </w:rPr>
            <w:t> </w:t>
          </w:r>
          <w:r>
            <w:rPr/>
            <w:t>Student</w:t>
          </w:r>
          <w:r>
            <w:rPr>
              <w:spacing w:val="-11"/>
            </w:rPr>
            <w:t> </w:t>
          </w:r>
          <w:r>
            <w:rPr>
              <w:spacing w:val="-2"/>
            </w:rPr>
            <w:t>Characteristics</w:t>
          </w:r>
          <w:r>
            <w:rPr/>
            <w:tab/>
          </w:r>
          <w:r>
            <w:rPr>
              <w:spacing w:val="-5"/>
            </w:rPr>
            <w:t>1-</w:t>
          </w:r>
          <w:r>
            <w:rPr>
              <w:w w:val="95"/>
            </w:rPr>
            <w:t>89</w:t>
          </w:r>
        </w:p>
        <w:p>
          <w:pPr>
            <w:pStyle w:val="TOC6"/>
            <w:numPr>
              <w:ilvl w:val="3"/>
              <w:numId w:val="1"/>
            </w:numPr>
            <w:tabs>
              <w:tab w:pos="2654" w:val="left" w:leader="none"/>
              <w:tab w:pos="2655" w:val="left" w:leader="none"/>
              <w:tab w:pos="10211" w:val="right" w:leader="dot"/>
            </w:tabs>
            <w:spacing w:line="240" w:lineRule="auto" w:before="200" w:after="0"/>
            <w:ind w:left="2654" w:right="0" w:hanging="1081"/>
            <w:jc w:val="left"/>
          </w:pPr>
          <w:r>
            <w:rPr/>
            <w:t>Program</w:t>
          </w:r>
          <w:r>
            <w:rPr>
              <w:spacing w:val="-7"/>
            </w:rPr>
            <w:t> </w:t>
          </w:r>
          <w:r>
            <w:rPr/>
            <w:t>Faculty</w:t>
          </w:r>
          <w:r>
            <w:rPr>
              <w:spacing w:val="-11"/>
            </w:rPr>
            <w:t> </w:t>
          </w:r>
          <w:r>
            <w:rPr>
              <w:spacing w:val="-2"/>
            </w:rPr>
            <w:t>Characteristics</w:t>
          </w:r>
          <w:r>
            <w:rPr/>
            <w:tab/>
          </w:r>
          <w:r>
            <w:rPr>
              <w:spacing w:val="-5"/>
            </w:rPr>
            <w:t>1-</w:t>
          </w:r>
          <w:r>
            <w:rPr>
              <w:w w:val="95"/>
            </w:rPr>
            <w:t>91</w:t>
          </w:r>
        </w:p>
        <w:p>
          <w:pPr>
            <w:pStyle w:val="TOC5"/>
            <w:numPr>
              <w:ilvl w:val="2"/>
              <w:numId w:val="1"/>
            </w:numPr>
            <w:tabs>
              <w:tab w:pos="1719" w:val="left" w:leader="none"/>
              <w:tab w:pos="10217" w:val="right" w:leader="dot"/>
            </w:tabs>
            <w:spacing w:line="240" w:lineRule="auto" w:before="197" w:after="0"/>
            <w:ind w:left="1718" w:right="0" w:hanging="505"/>
            <w:jc w:val="left"/>
            <w:rPr>
              <w:b w:val="0"/>
              <w:i w:val="0"/>
              <w:sz w:val="20"/>
            </w:rPr>
          </w:pPr>
          <w:r>
            <w:rPr>
              <w:b w:val="0"/>
              <w:sz w:val="20"/>
            </w:rPr>
            <w:t>Annual</w:t>
          </w:r>
          <w:r>
            <w:rPr>
              <w:b w:val="0"/>
              <w:spacing w:val="-8"/>
              <w:sz w:val="20"/>
            </w:rPr>
            <w:t> </w:t>
          </w:r>
          <w:r>
            <w:rPr>
              <w:b w:val="0"/>
              <w:spacing w:val="-2"/>
              <w:sz w:val="20"/>
            </w:rPr>
            <w:t>Reports</w:t>
          </w:r>
          <w:r>
            <w:rPr>
              <w:b w:val="0"/>
              <w:i w:val="0"/>
              <w:spacing w:val="-2"/>
              <w:sz w:val="13"/>
            </w:rPr>
            <w:t>2</w:t>
          </w:r>
          <w:r>
            <w:rPr>
              <w:b w:val="0"/>
              <w:i w:val="0"/>
              <w:sz w:val="13"/>
            </w:rPr>
            <w:tab/>
          </w:r>
          <w:r>
            <w:rPr>
              <w:b w:val="0"/>
              <w:i w:val="0"/>
              <w:spacing w:val="-5"/>
              <w:sz w:val="20"/>
            </w:rPr>
            <w:t>1-</w:t>
          </w:r>
          <w:r>
            <w:rPr>
              <w:b w:val="0"/>
              <w:i w:val="0"/>
              <w:w w:val="95"/>
              <w:sz w:val="20"/>
            </w:rPr>
            <w:t>92</w:t>
          </w:r>
        </w:p>
        <w:p>
          <w:pPr>
            <w:pStyle w:val="TOC4"/>
            <w:numPr>
              <w:ilvl w:val="2"/>
              <w:numId w:val="1"/>
            </w:numPr>
            <w:tabs>
              <w:tab w:pos="1724" w:val="left" w:leader="none"/>
              <w:tab w:pos="10216" w:val="right" w:leader="dot"/>
            </w:tabs>
            <w:spacing w:line="240" w:lineRule="auto" w:before="203" w:after="0"/>
            <w:ind w:left="1723" w:right="0" w:hanging="505"/>
            <w:jc w:val="left"/>
          </w:pPr>
          <w:r>
            <w:rPr/>
            <w:t>Faculty</w:t>
          </w:r>
          <w:r>
            <w:rPr>
              <w:spacing w:val="-10"/>
            </w:rPr>
            <w:t> </w:t>
          </w:r>
          <w:r>
            <w:rPr>
              <w:spacing w:val="-2"/>
            </w:rPr>
            <w:t>Credentials</w:t>
          </w:r>
          <w:r>
            <w:rPr/>
            <w:tab/>
          </w:r>
          <w:r>
            <w:rPr>
              <w:spacing w:val="-5"/>
            </w:rPr>
            <w:t>1-</w:t>
          </w:r>
          <w:r>
            <w:rPr>
              <w:w w:val="95"/>
            </w:rPr>
            <w:t>92</w:t>
          </w:r>
        </w:p>
        <w:p>
          <w:pPr>
            <w:pStyle w:val="TOC2"/>
            <w:numPr>
              <w:ilvl w:val="1"/>
              <w:numId w:val="1"/>
            </w:numPr>
            <w:tabs>
              <w:tab w:pos="1292" w:val="left" w:leader="none"/>
              <w:tab w:pos="10216" w:val="right" w:leader="dot"/>
            </w:tabs>
            <w:spacing w:line="240" w:lineRule="auto" w:before="200" w:after="0"/>
            <w:ind w:left="1291" w:right="0" w:hanging="433"/>
            <w:jc w:val="left"/>
          </w:pPr>
          <w:r>
            <w:rPr/>
            <w:t>Policy</w:t>
          </w:r>
          <w:r>
            <w:rPr>
              <w:spacing w:val="-8"/>
            </w:rPr>
            <w:t> </w:t>
          </w:r>
          <w:r>
            <w:rPr>
              <w:spacing w:val="-2"/>
              <w:w w:val="95"/>
            </w:rPr>
            <w:t>Review</w:t>
          </w:r>
          <w:r>
            <w:rPr/>
            <w:tab/>
          </w:r>
          <w:r>
            <w:rPr>
              <w:spacing w:val="-5"/>
            </w:rPr>
            <w:t>1-</w:t>
          </w:r>
          <w:r>
            <w:rPr>
              <w:w w:val="95"/>
            </w:rPr>
            <w:t>92</w:t>
          </w:r>
        </w:p>
        <w:p>
          <w:pPr>
            <w:pStyle w:val="TOC1"/>
            <w:numPr>
              <w:ilvl w:val="0"/>
              <w:numId w:val="1"/>
            </w:numPr>
            <w:tabs>
              <w:tab w:pos="860" w:val="left" w:leader="none"/>
            </w:tabs>
            <w:spacing w:line="240" w:lineRule="auto" w:before="199" w:after="0"/>
            <w:ind w:left="859" w:right="0" w:hanging="361"/>
            <w:jc w:val="left"/>
          </w:pPr>
          <w:r>
            <w:rPr>
              <w:spacing w:val="-2"/>
            </w:rPr>
            <w:t>Part</w:t>
          </w:r>
          <w:r>
            <w:rPr>
              <w:spacing w:val="6"/>
            </w:rPr>
            <w:t> </w:t>
          </w:r>
          <w:r>
            <w:rPr>
              <w:spacing w:val="-2"/>
            </w:rPr>
            <w:t>Two</w:t>
          </w:r>
          <w:r>
            <w:rPr>
              <w:spacing w:val="9"/>
            </w:rPr>
            <w:t> </w:t>
          </w:r>
          <w:r>
            <w:rPr>
              <w:spacing w:val="-2"/>
            </w:rPr>
            <w:t>–</w:t>
          </w:r>
          <w:r>
            <w:rPr>
              <w:spacing w:val="9"/>
            </w:rPr>
            <w:t> </w:t>
          </w:r>
          <w:r>
            <w:rPr>
              <w:spacing w:val="-2"/>
            </w:rPr>
            <w:t>Educational</w:t>
          </w:r>
          <w:r>
            <w:rPr>
              <w:spacing w:val="6"/>
            </w:rPr>
            <w:t> </w:t>
          </w:r>
          <w:r>
            <w:rPr>
              <w:spacing w:val="-2"/>
            </w:rPr>
            <w:t>Outcomes</w:t>
          </w:r>
          <w:r>
            <w:rPr>
              <w:spacing w:val="8"/>
            </w:rPr>
            <w:t> </w:t>
          </w:r>
          <w:r>
            <w:rPr>
              <w:spacing w:val="-2"/>
            </w:rPr>
            <w:t>and</w:t>
          </w:r>
          <w:r>
            <w:rPr>
              <w:spacing w:val="6"/>
            </w:rPr>
            <w:t> </w:t>
          </w:r>
          <w:r>
            <w:rPr>
              <w:spacing w:val="-2"/>
            </w:rPr>
            <w:t>Curriculum</w:t>
          </w:r>
          <w:r>
            <w:rPr>
              <w:spacing w:val="3"/>
            </w:rPr>
            <w:t> </w:t>
          </w:r>
          <w:r>
            <w:rPr>
              <w:spacing w:val="-2"/>
            </w:rPr>
            <w:t>.......................................................................</w:t>
          </w:r>
          <w:r>
            <w:rPr>
              <w:spacing w:val="-14"/>
            </w:rPr>
            <w:t> </w:t>
          </w:r>
          <w:r>
            <w:rPr>
              <w:spacing w:val="-2"/>
            </w:rPr>
            <w:t>2-1</w:t>
          </w:r>
          <w:r>
            <w:rPr>
              <w:spacing w:val="6"/>
            </w:rPr>
            <w:t> </w:t>
          </w:r>
          <w:r>
            <w:rPr>
              <w:spacing w:val="-2"/>
            </w:rPr>
            <w:t>–</w:t>
          </w:r>
          <w:r>
            <w:rPr>
              <w:spacing w:val="7"/>
            </w:rPr>
            <w:t> </w:t>
          </w:r>
          <w:r>
            <w:rPr>
              <w:spacing w:val="-2"/>
            </w:rPr>
            <w:t>2-</w:t>
          </w:r>
          <w:r>
            <w:rPr>
              <w:spacing w:val="-5"/>
            </w:rPr>
            <w:t>20</w:t>
          </w:r>
        </w:p>
        <w:p>
          <w:pPr>
            <w:pStyle w:val="TOC2"/>
            <w:numPr>
              <w:ilvl w:val="1"/>
              <w:numId w:val="1"/>
            </w:numPr>
            <w:tabs>
              <w:tab w:pos="1293" w:val="left" w:leader="none"/>
              <w:tab w:pos="10220" w:val="right" w:leader="dot"/>
            </w:tabs>
            <w:spacing w:line="240" w:lineRule="auto" w:before="200" w:after="0"/>
            <w:ind w:left="1292" w:right="0" w:hanging="433"/>
            <w:jc w:val="left"/>
          </w:pPr>
          <w:r>
            <w:rPr/>
            <w:t>Educational</w:t>
          </w:r>
          <w:r>
            <w:rPr>
              <w:spacing w:val="-10"/>
            </w:rPr>
            <w:t> </w:t>
          </w:r>
          <w:r>
            <w:rPr/>
            <w:t>Realms</w:t>
          </w:r>
          <w:r>
            <w:rPr>
              <w:spacing w:val="-7"/>
            </w:rPr>
            <w:t> </w:t>
          </w:r>
          <w:r>
            <w:rPr/>
            <w:t>and</w:t>
          </w:r>
          <w:r>
            <w:rPr>
              <w:spacing w:val="-8"/>
            </w:rPr>
            <w:t> </w:t>
          </w:r>
          <w:r>
            <w:rPr/>
            <w:t>Student</w:t>
          </w:r>
          <w:r>
            <w:rPr>
              <w:spacing w:val="-8"/>
            </w:rPr>
            <w:t> </w:t>
          </w:r>
          <w:r>
            <w:rPr/>
            <w:t>Performance</w:t>
          </w:r>
          <w:r>
            <w:rPr>
              <w:spacing w:val="-8"/>
            </w:rPr>
            <w:t> </w:t>
          </w:r>
          <w:r>
            <w:rPr>
              <w:spacing w:val="-2"/>
            </w:rPr>
            <w:t>Criteria</w:t>
          </w:r>
          <w:r>
            <w:rPr/>
            <w:tab/>
          </w:r>
          <w:r>
            <w:rPr>
              <w:spacing w:val="-5"/>
            </w:rPr>
            <w:t>2-</w:t>
          </w:r>
          <w:r>
            <w:rPr>
              <w:w w:val="95"/>
            </w:rPr>
            <w:t>1</w:t>
          </w:r>
        </w:p>
        <w:p>
          <w:pPr>
            <w:pStyle w:val="TOC3"/>
            <w:numPr>
              <w:ilvl w:val="2"/>
              <w:numId w:val="1"/>
            </w:numPr>
            <w:tabs>
              <w:tab w:pos="1724" w:val="left" w:leader="none"/>
              <w:tab w:pos="10219" w:val="right" w:leader="dot"/>
            </w:tabs>
            <w:spacing w:line="240" w:lineRule="auto" w:before="197" w:after="130"/>
            <w:ind w:left="1723" w:right="0" w:hanging="505"/>
            <w:jc w:val="left"/>
          </w:pPr>
          <w:hyperlink w:history="true" w:anchor="_TOC_250002">
            <w:r>
              <w:rPr/>
              <w:t>Realm</w:t>
            </w:r>
            <w:r>
              <w:rPr>
                <w:spacing w:val="-4"/>
              </w:rPr>
              <w:t> </w:t>
            </w:r>
            <w:r>
              <w:rPr/>
              <w:t>A:</w:t>
            </w:r>
            <w:r>
              <w:rPr>
                <w:spacing w:val="-6"/>
              </w:rPr>
              <w:t> </w:t>
            </w:r>
            <w:r>
              <w:rPr/>
              <w:t>Critical</w:t>
            </w:r>
            <w:r>
              <w:rPr>
                <w:spacing w:val="-8"/>
              </w:rPr>
              <w:t> </w:t>
            </w:r>
            <w:r>
              <w:rPr/>
              <w:t>Thinking</w:t>
            </w:r>
            <w:r>
              <w:rPr>
                <w:spacing w:val="-8"/>
              </w:rPr>
              <w:t> </w:t>
            </w:r>
            <w:r>
              <w:rPr/>
              <w:t>and</w:t>
            </w:r>
            <w:r>
              <w:rPr>
                <w:spacing w:val="-7"/>
              </w:rPr>
              <w:t> </w:t>
            </w:r>
            <w:r>
              <w:rPr>
                <w:spacing w:val="-2"/>
              </w:rPr>
              <w:t>Representation</w:t>
            </w:r>
            <w:r>
              <w:rPr/>
              <w:tab/>
            </w:r>
            <w:r>
              <w:rPr>
                <w:spacing w:val="-5"/>
              </w:rPr>
              <w:t>2-</w:t>
            </w:r>
            <w:r>
              <w:rPr>
                <w:w w:val="95"/>
              </w:rPr>
              <w:t>1</w:t>
            </w:r>
          </w:hyperlink>
        </w:p>
        <w:p>
          <w:pPr>
            <w:pStyle w:val="TOC7"/>
            <w:tabs>
              <w:tab w:pos="2659" w:val="left" w:leader="none"/>
              <w:tab w:pos="10220" w:val="right" w:leader="dot"/>
            </w:tabs>
            <w:spacing w:before="79"/>
            <w:ind w:left="1940" w:firstLine="0"/>
          </w:pPr>
          <w:r>
            <w:rPr>
              <w:w w:val="95"/>
            </w:rPr>
            <w:t>A-</w:t>
          </w:r>
          <w:r>
            <w:rPr>
              <w:spacing w:val="-5"/>
            </w:rPr>
            <w:t>1:</w:t>
          </w:r>
          <w:r>
            <w:rPr/>
            <w:tab/>
          </w:r>
          <w:r>
            <w:rPr>
              <w:spacing w:val="-2"/>
            </w:rPr>
            <w:t>Communication</w:t>
          </w:r>
          <w:r>
            <w:rPr>
              <w:spacing w:val="10"/>
            </w:rPr>
            <w:t> </w:t>
          </w:r>
          <w:r>
            <w:rPr>
              <w:spacing w:val="-2"/>
            </w:rPr>
            <w:t>Skills:</w:t>
          </w:r>
          <w:r>
            <w:rPr/>
            <w:tab/>
          </w:r>
          <w:r>
            <w:rPr>
              <w:spacing w:val="-5"/>
            </w:rPr>
            <w:t>2-</w:t>
          </w:r>
          <w:r>
            <w:rPr>
              <w:w w:val="95"/>
            </w:rPr>
            <w:t>1</w:t>
          </w:r>
        </w:p>
        <w:p>
          <w:pPr>
            <w:pStyle w:val="TOC7"/>
            <w:numPr>
              <w:ilvl w:val="1"/>
              <w:numId w:val="2"/>
            </w:numPr>
            <w:tabs>
              <w:tab w:pos="2659" w:val="left" w:leader="none"/>
              <w:tab w:pos="2660" w:val="left" w:leader="none"/>
              <w:tab w:pos="10219" w:val="right" w:leader="dot"/>
            </w:tabs>
            <w:spacing w:line="240" w:lineRule="auto" w:before="200" w:after="0"/>
            <w:ind w:left="2659" w:right="0" w:hanging="721"/>
            <w:jc w:val="left"/>
          </w:pPr>
          <w:r>
            <w:rPr/>
            <w:t>Design</w:t>
          </w:r>
          <w:r>
            <w:rPr>
              <w:spacing w:val="-9"/>
            </w:rPr>
            <w:t> </w:t>
          </w:r>
          <w:r>
            <w:rPr/>
            <w:t>Thinking</w:t>
          </w:r>
          <w:r>
            <w:rPr>
              <w:spacing w:val="-9"/>
            </w:rPr>
            <w:t> </w:t>
          </w:r>
          <w:r>
            <w:rPr>
              <w:spacing w:val="-2"/>
            </w:rPr>
            <w:t>Skills:</w:t>
          </w:r>
          <w:r>
            <w:rPr/>
            <w:tab/>
          </w:r>
          <w:r>
            <w:rPr>
              <w:spacing w:val="-5"/>
            </w:rPr>
            <w:t>2-</w:t>
          </w:r>
          <w:r>
            <w:rPr>
              <w:w w:val="95"/>
            </w:rPr>
            <w:t>1</w:t>
          </w:r>
        </w:p>
        <w:p>
          <w:pPr>
            <w:pStyle w:val="TOC7"/>
            <w:numPr>
              <w:ilvl w:val="1"/>
              <w:numId w:val="2"/>
            </w:numPr>
            <w:tabs>
              <w:tab w:pos="2659" w:val="left" w:leader="none"/>
              <w:tab w:pos="2660" w:val="left" w:leader="none"/>
              <w:tab w:pos="10219" w:val="right" w:leader="dot"/>
            </w:tabs>
            <w:spacing w:line="240" w:lineRule="auto" w:before="200" w:after="0"/>
            <w:ind w:left="2659" w:right="0" w:hanging="721"/>
            <w:jc w:val="left"/>
          </w:pPr>
          <w:r>
            <w:rPr/>
            <w:t>Visual</w:t>
          </w:r>
          <w:r>
            <w:rPr>
              <w:spacing w:val="-13"/>
            </w:rPr>
            <w:t> </w:t>
          </w:r>
          <w:r>
            <w:rPr/>
            <w:t>Communication</w:t>
          </w:r>
          <w:r>
            <w:rPr>
              <w:spacing w:val="-10"/>
            </w:rPr>
            <w:t> </w:t>
          </w:r>
          <w:r>
            <w:rPr>
              <w:spacing w:val="-2"/>
            </w:rPr>
            <w:t>Skills:</w:t>
          </w:r>
          <w:r>
            <w:rPr/>
            <w:tab/>
          </w:r>
          <w:r>
            <w:rPr>
              <w:spacing w:val="-5"/>
            </w:rPr>
            <w:t>2-</w:t>
          </w:r>
          <w:r>
            <w:rPr>
              <w:w w:val="95"/>
            </w:rPr>
            <w:t>1</w:t>
          </w:r>
        </w:p>
        <w:p>
          <w:pPr>
            <w:pStyle w:val="TOC7"/>
            <w:numPr>
              <w:ilvl w:val="1"/>
              <w:numId w:val="2"/>
            </w:numPr>
            <w:tabs>
              <w:tab w:pos="2659" w:val="left" w:leader="none"/>
              <w:tab w:pos="2660" w:val="left" w:leader="none"/>
              <w:tab w:pos="10219" w:val="right" w:leader="dot"/>
            </w:tabs>
            <w:spacing w:line="240" w:lineRule="auto" w:before="199" w:after="0"/>
            <w:ind w:left="2659" w:right="0" w:hanging="721"/>
            <w:jc w:val="left"/>
          </w:pPr>
          <w:r>
            <w:rPr/>
            <w:t>Technical</w:t>
          </w:r>
          <w:r>
            <w:rPr>
              <w:spacing w:val="-12"/>
            </w:rPr>
            <w:t> </w:t>
          </w:r>
          <w:r>
            <w:rPr>
              <w:spacing w:val="-2"/>
            </w:rPr>
            <w:t>Documentation:</w:t>
          </w:r>
          <w:r>
            <w:rPr/>
            <w:tab/>
          </w:r>
          <w:r>
            <w:rPr>
              <w:spacing w:val="-5"/>
            </w:rPr>
            <w:t>2-</w:t>
          </w:r>
          <w:r>
            <w:rPr>
              <w:w w:val="95"/>
            </w:rPr>
            <w:t>1</w:t>
          </w:r>
        </w:p>
        <w:p>
          <w:pPr>
            <w:pStyle w:val="TOC7"/>
            <w:numPr>
              <w:ilvl w:val="1"/>
              <w:numId w:val="2"/>
            </w:numPr>
            <w:tabs>
              <w:tab w:pos="2659" w:val="left" w:leader="none"/>
              <w:tab w:pos="2660" w:val="left" w:leader="none"/>
              <w:tab w:pos="10219" w:val="right" w:leader="dot"/>
            </w:tabs>
            <w:spacing w:line="240" w:lineRule="auto" w:before="200" w:after="0"/>
            <w:ind w:left="2659" w:right="0" w:hanging="721"/>
            <w:jc w:val="left"/>
          </w:pPr>
          <w:r>
            <w:rPr>
              <w:spacing w:val="-2"/>
            </w:rPr>
            <w:t>Investigative</w:t>
          </w:r>
          <w:r>
            <w:rPr>
              <w:spacing w:val="10"/>
            </w:rPr>
            <w:t> </w:t>
          </w:r>
          <w:r>
            <w:rPr>
              <w:spacing w:val="-2"/>
            </w:rPr>
            <w:t>Skills:</w:t>
          </w:r>
          <w:r>
            <w:rPr/>
            <w:tab/>
          </w:r>
          <w:r>
            <w:rPr>
              <w:spacing w:val="-5"/>
            </w:rPr>
            <w:t>2-</w:t>
          </w:r>
          <w:r>
            <w:rPr>
              <w:w w:val="95"/>
            </w:rPr>
            <w:t>1</w:t>
          </w:r>
        </w:p>
        <w:p>
          <w:pPr>
            <w:pStyle w:val="TOC7"/>
            <w:numPr>
              <w:ilvl w:val="1"/>
              <w:numId w:val="2"/>
            </w:numPr>
            <w:tabs>
              <w:tab w:pos="2658" w:val="left" w:leader="none"/>
              <w:tab w:pos="2659" w:val="left" w:leader="none"/>
              <w:tab w:pos="10219" w:val="right" w:leader="dot"/>
            </w:tabs>
            <w:spacing w:line="240" w:lineRule="auto" w:before="200" w:after="0"/>
            <w:ind w:left="2658" w:right="0" w:hanging="720"/>
            <w:jc w:val="left"/>
          </w:pPr>
          <w:r>
            <w:rPr/>
            <w:t>Fundamental</w:t>
          </w:r>
          <w:r>
            <w:rPr>
              <w:spacing w:val="-11"/>
            </w:rPr>
            <w:t> </w:t>
          </w:r>
          <w:r>
            <w:rPr/>
            <w:t>Design</w:t>
          </w:r>
          <w:r>
            <w:rPr>
              <w:spacing w:val="-10"/>
            </w:rPr>
            <w:t> </w:t>
          </w:r>
          <w:r>
            <w:rPr>
              <w:spacing w:val="-2"/>
            </w:rPr>
            <w:t>Skills:</w:t>
          </w:r>
          <w:r>
            <w:rPr/>
            <w:tab/>
          </w:r>
          <w:r>
            <w:rPr>
              <w:spacing w:val="-5"/>
            </w:rPr>
            <w:t>2-</w:t>
          </w:r>
          <w:r>
            <w:rPr>
              <w:w w:val="95"/>
            </w:rPr>
            <w:t>2</w:t>
          </w:r>
        </w:p>
        <w:p>
          <w:pPr>
            <w:pStyle w:val="TOC7"/>
            <w:numPr>
              <w:ilvl w:val="1"/>
              <w:numId w:val="2"/>
            </w:numPr>
            <w:tabs>
              <w:tab w:pos="2658" w:val="left" w:leader="none"/>
              <w:tab w:pos="2659" w:val="left" w:leader="none"/>
              <w:tab w:pos="10218" w:val="right" w:leader="dot"/>
            </w:tabs>
            <w:spacing w:line="240" w:lineRule="auto" w:before="202" w:after="0"/>
            <w:ind w:left="2658" w:right="0" w:hanging="721"/>
            <w:jc w:val="left"/>
          </w:pPr>
          <w:r>
            <w:rPr/>
            <w:t>Use</w:t>
          </w:r>
          <w:r>
            <w:rPr>
              <w:spacing w:val="-4"/>
            </w:rPr>
            <w:t> </w:t>
          </w:r>
          <w:r>
            <w:rPr/>
            <w:t>of</w:t>
          </w:r>
          <w:r>
            <w:rPr>
              <w:spacing w:val="-2"/>
            </w:rPr>
            <w:t> Precedents:</w:t>
          </w:r>
          <w:r>
            <w:rPr/>
            <w:tab/>
          </w:r>
          <w:r>
            <w:rPr>
              <w:spacing w:val="-5"/>
            </w:rPr>
            <w:t>2-</w:t>
          </w:r>
          <w:r>
            <w:rPr>
              <w:w w:val="95"/>
            </w:rPr>
            <w:t>2</w:t>
          </w:r>
        </w:p>
        <w:p>
          <w:pPr>
            <w:pStyle w:val="TOC7"/>
            <w:numPr>
              <w:ilvl w:val="1"/>
              <w:numId w:val="2"/>
            </w:numPr>
            <w:tabs>
              <w:tab w:pos="2658" w:val="left" w:leader="none"/>
              <w:tab w:pos="2659" w:val="left" w:leader="none"/>
              <w:tab w:pos="10218" w:val="right" w:leader="dot"/>
            </w:tabs>
            <w:spacing w:line="240" w:lineRule="auto" w:before="200" w:after="0"/>
            <w:ind w:left="2658" w:right="0" w:hanging="721"/>
            <w:jc w:val="left"/>
          </w:pPr>
          <w:r>
            <w:rPr/>
            <w:t>Ordering</w:t>
          </w:r>
          <w:r>
            <w:rPr>
              <w:spacing w:val="-8"/>
            </w:rPr>
            <w:t> </w:t>
          </w:r>
          <w:r>
            <w:rPr/>
            <w:t>Systems</w:t>
          </w:r>
          <w:r>
            <w:rPr>
              <w:spacing w:val="-8"/>
            </w:rPr>
            <w:t> </w:t>
          </w:r>
          <w:r>
            <w:rPr>
              <w:spacing w:val="-2"/>
            </w:rPr>
            <w:t>Skills:</w:t>
          </w:r>
          <w:r>
            <w:rPr/>
            <w:tab/>
          </w:r>
          <w:r>
            <w:rPr>
              <w:spacing w:val="-5"/>
            </w:rPr>
            <w:t>2-</w:t>
          </w:r>
          <w:r>
            <w:rPr>
              <w:w w:val="95"/>
            </w:rPr>
            <w:t>2</w:t>
          </w:r>
        </w:p>
        <w:p>
          <w:pPr>
            <w:pStyle w:val="TOC7"/>
            <w:numPr>
              <w:ilvl w:val="1"/>
              <w:numId w:val="2"/>
            </w:numPr>
            <w:tabs>
              <w:tab w:pos="2658" w:val="left" w:leader="none"/>
              <w:tab w:pos="2659" w:val="left" w:leader="none"/>
              <w:tab w:pos="10218" w:val="right" w:leader="dot"/>
            </w:tabs>
            <w:spacing w:line="240" w:lineRule="auto" w:before="199" w:after="0"/>
            <w:ind w:left="2658" w:right="0" w:hanging="721"/>
            <w:jc w:val="left"/>
          </w:pPr>
          <w:r>
            <w:rPr/>
            <w:t>Historical</w:t>
          </w:r>
          <w:r>
            <w:rPr>
              <w:spacing w:val="-9"/>
            </w:rPr>
            <w:t> </w:t>
          </w:r>
          <w:r>
            <w:rPr/>
            <w:t>Traditions</w:t>
          </w:r>
          <w:r>
            <w:rPr>
              <w:spacing w:val="-8"/>
            </w:rPr>
            <w:t> </w:t>
          </w:r>
          <w:r>
            <w:rPr/>
            <w:t>and</w:t>
          </w:r>
          <w:r>
            <w:rPr>
              <w:spacing w:val="-8"/>
            </w:rPr>
            <w:t> </w:t>
          </w:r>
          <w:r>
            <w:rPr/>
            <w:t>Global</w:t>
          </w:r>
          <w:r>
            <w:rPr>
              <w:spacing w:val="-9"/>
            </w:rPr>
            <w:t> </w:t>
          </w:r>
          <w:r>
            <w:rPr>
              <w:spacing w:val="-2"/>
            </w:rPr>
            <w:t>Culture:</w:t>
          </w:r>
          <w:r>
            <w:rPr/>
            <w:tab/>
          </w:r>
          <w:r>
            <w:rPr>
              <w:spacing w:val="-5"/>
            </w:rPr>
            <w:t>2-</w:t>
          </w:r>
          <w:r>
            <w:rPr>
              <w:w w:val="95"/>
            </w:rPr>
            <w:t>2</w:t>
          </w:r>
        </w:p>
        <w:p>
          <w:pPr>
            <w:pStyle w:val="TOC7"/>
            <w:numPr>
              <w:ilvl w:val="1"/>
              <w:numId w:val="2"/>
            </w:numPr>
            <w:tabs>
              <w:tab w:pos="2658" w:val="left" w:leader="none"/>
              <w:tab w:pos="2659" w:val="left" w:leader="none"/>
              <w:tab w:pos="10218" w:val="right" w:leader="dot"/>
            </w:tabs>
            <w:spacing w:line="240" w:lineRule="auto" w:before="200" w:after="0"/>
            <w:ind w:left="2658" w:right="0" w:hanging="721"/>
            <w:jc w:val="left"/>
          </w:pPr>
          <w:r>
            <w:rPr/>
            <w:t>Applied</w:t>
          </w:r>
          <w:r>
            <w:rPr>
              <w:spacing w:val="-10"/>
            </w:rPr>
            <w:t> </w:t>
          </w:r>
          <w:r>
            <w:rPr>
              <w:spacing w:val="-2"/>
            </w:rPr>
            <w:t>Research:</w:t>
          </w:r>
          <w:r>
            <w:rPr/>
            <w:tab/>
          </w:r>
          <w:r>
            <w:rPr>
              <w:spacing w:val="-7"/>
            </w:rPr>
            <w:t>2-</w:t>
          </w:r>
          <w:r>
            <w:rPr>
              <w:w w:val="95"/>
            </w:rPr>
            <w:t>3</w:t>
          </w:r>
        </w:p>
        <w:p>
          <w:pPr>
            <w:pStyle w:val="TOC3"/>
            <w:numPr>
              <w:ilvl w:val="2"/>
              <w:numId w:val="1"/>
            </w:numPr>
            <w:tabs>
              <w:tab w:pos="1722" w:val="left" w:leader="none"/>
              <w:tab w:pos="10218" w:val="right" w:leader="dot"/>
            </w:tabs>
            <w:spacing w:line="240" w:lineRule="auto" w:before="197" w:after="0"/>
            <w:ind w:left="1721" w:right="0" w:hanging="505"/>
            <w:jc w:val="left"/>
          </w:pPr>
          <w:hyperlink w:history="true" w:anchor="_TOC_250001">
            <w:r>
              <w:rPr/>
              <w:t>Realm</w:t>
            </w:r>
            <w:r>
              <w:rPr>
                <w:spacing w:val="-9"/>
              </w:rPr>
              <w:t> </w:t>
            </w:r>
            <w:r>
              <w:rPr/>
              <w:t>B:</w:t>
            </w:r>
            <w:r>
              <w:rPr>
                <w:spacing w:val="-6"/>
              </w:rPr>
              <w:t> </w:t>
            </w:r>
            <w:r>
              <w:rPr/>
              <w:t>Integrated</w:t>
            </w:r>
            <w:r>
              <w:rPr>
                <w:spacing w:val="-6"/>
              </w:rPr>
              <w:t> </w:t>
            </w:r>
            <w:r>
              <w:rPr/>
              <w:t>Building</w:t>
            </w:r>
            <w:r>
              <w:rPr>
                <w:spacing w:val="-8"/>
              </w:rPr>
              <w:t> </w:t>
            </w:r>
            <w:r>
              <w:rPr/>
              <w:t>Practices,</w:t>
            </w:r>
            <w:r>
              <w:rPr>
                <w:spacing w:val="-9"/>
              </w:rPr>
              <w:t> </w:t>
            </w:r>
            <w:r>
              <w:rPr/>
              <w:t>Technical</w:t>
            </w:r>
            <w:r>
              <w:rPr>
                <w:spacing w:val="-8"/>
              </w:rPr>
              <w:t> </w:t>
            </w:r>
            <w:r>
              <w:rPr/>
              <w:t>Skills</w:t>
            </w:r>
            <w:r>
              <w:rPr>
                <w:spacing w:val="-9"/>
              </w:rPr>
              <w:t> </w:t>
            </w:r>
            <w:r>
              <w:rPr/>
              <w:t>and</w:t>
            </w:r>
            <w:r>
              <w:rPr>
                <w:spacing w:val="-8"/>
              </w:rPr>
              <w:t> </w:t>
            </w:r>
            <w:r>
              <w:rPr>
                <w:spacing w:val="-2"/>
              </w:rPr>
              <w:t>Knowledge:</w:t>
            </w:r>
            <w:r>
              <w:rPr/>
              <w:tab/>
            </w:r>
            <w:r>
              <w:rPr>
                <w:spacing w:val="-5"/>
              </w:rPr>
              <w:t>2-</w:t>
            </w:r>
            <w:r>
              <w:rPr>
                <w:w w:val="95"/>
              </w:rPr>
              <w:t>3</w:t>
            </w:r>
          </w:hyperlink>
        </w:p>
        <w:p>
          <w:pPr>
            <w:pStyle w:val="TOC7"/>
            <w:numPr>
              <w:ilvl w:val="1"/>
              <w:numId w:val="3"/>
            </w:numPr>
            <w:tabs>
              <w:tab w:pos="2657" w:val="left" w:leader="none"/>
              <w:tab w:pos="2658" w:val="left" w:leader="none"/>
              <w:tab w:pos="10217" w:val="right" w:leader="dot"/>
            </w:tabs>
            <w:spacing w:line="240" w:lineRule="auto" w:before="202" w:after="0"/>
            <w:ind w:left="2657" w:right="0" w:hanging="721"/>
            <w:jc w:val="left"/>
          </w:pPr>
          <w:r>
            <w:rPr>
              <w:w w:val="95"/>
            </w:rPr>
            <w:t>Pre-</w:t>
          </w:r>
          <w:r>
            <w:rPr>
              <w:spacing w:val="-2"/>
            </w:rPr>
            <w:t>Design:</w:t>
          </w:r>
          <w:r>
            <w:rPr/>
            <w:tab/>
          </w:r>
          <w:r>
            <w:rPr>
              <w:spacing w:val="-5"/>
            </w:rPr>
            <w:t>2-</w:t>
          </w:r>
          <w:r>
            <w:rPr>
              <w:w w:val="95"/>
            </w:rPr>
            <w:t>3</w:t>
          </w:r>
        </w:p>
        <w:p>
          <w:pPr>
            <w:pStyle w:val="TOC7"/>
            <w:numPr>
              <w:ilvl w:val="1"/>
              <w:numId w:val="3"/>
            </w:numPr>
            <w:tabs>
              <w:tab w:pos="2657" w:val="left" w:leader="none"/>
              <w:tab w:pos="2658" w:val="left" w:leader="none"/>
              <w:tab w:pos="10217" w:val="right" w:leader="dot"/>
            </w:tabs>
            <w:spacing w:line="240" w:lineRule="auto" w:before="202" w:after="0"/>
            <w:ind w:left="2657" w:right="0" w:hanging="721"/>
            <w:jc w:val="left"/>
          </w:pPr>
          <w:r>
            <w:rPr>
              <w:spacing w:val="-2"/>
            </w:rPr>
            <w:t>Accessibility:</w:t>
          </w:r>
          <w:r>
            <w:rPr/>
            <w:tab/>
          </w:r>
          <w:r>
            <w:rPr>
              <w:spacing w:val="-5"/>
            </w:rPr>
            <w:t>2-</w:t>
          </w:r>
          <w:r>
            <w:rPr>
              <w:w w:val="95"/>
            </w:rPr>
            <w:t>3</w:t>
          </w:r>
        </w:p>
        <w:p>
          <w:pPr>
            <w:pStyle w:val="TOC7"/>
            <w:numPr>
              <w:ilvl w:val="1"/>
              <w:numId w:val="3"/>
            </w:numPr>
            <w:tabs>
              <w:tab w:pos="2657" w:val="left" w:leader="none"/>
              <w:tab w:pos="2658" w:val="left" w:leader="none"/>
              <w:tab w:pos="10217" w:val="right" w:leader="dot"/>
            </w:tabs>
            <w:spacing w:line="240" w:lineRule="auto" w:before="200" w:after="0"/>
            <w:ind w:left="2657" w:right="0" w:hanging="721"/>
            <w:jc w:val="left"/>
          </w:pPr>
          <w:r>
            <w:rPr>
              <w:spacing w:val="-2"/>
            </w:rPr>
            <w:t>Sustainability:</w:t>
          </w:r>
          <w:r>
            <w:rPr/>
            <w:tab/>
          </w:r>
          <w:r>
            <w:rPr>
              <w:spacing w:val="-5"/>
            </w:rPr>
            <w:t>2-</w:t>
          </w:r>
          <w:r>
            <w:rPr>
              <w:w w:val="95"/>
            </w:rPr>
            <w:t>3</w:t>
          </w:r>
        </w:p>
        <w:p>
          <w:pPr>
            <w:pStyle w:val="TOC7"/>
            <w:numPr>
              <w:ilvl w:val="1"/>
              <w:numId w:val="3"/>
            </w:numPr>
            <w:tabs>
              <w:tab w:pos="2657" w:val="left" w:leader="none"/>
              <w:tab w:pos="2658" w:val="left" w:leader="none"/>
              <w:tab w:pos="10217" w:val="right" w:leader="dot"/>
            </w:tabs>
            <w:spacing w:line="240" w:lineRule="auto" w:before="200" w:after="0"/>
            <w:ind w:left="2657" w:right="0" w:hanging="721"/>
            <w:jc w:val="left"/>
          </w:pPr>
          <w:r>
            <w:rPr/>
            <w:t>Site</w:t>
          </w:r>
          <w:r>
            <w:rPr>
              <w:spacing w:val="-6"/>
            </w:rPr>
            <w:t> </w:t>
          </w:r>
          <w:r>
            <w:rPr>
              <w:spacing w:val="-2"/>
            </w:rPr>
            <w:t>Design</w:t>
          </w:r>
          <w:r>
            <w:rPr/>
            <w:tab/>
          </w:r>
          <w:r>
            <w:rPr>
              <w:spacing w:val="-5"/>
            </w:rPr>
            <w:t>2-</w:t>
          </w:r>
          <w:r>
            <w:rPr>
              <w:w w:val="95"/>
            </w:rPr>
            <w:t>3</w:t>
          </w:r>
        </w:p>
        <w:p>
          <w:pPr>
            <w:pStyle w:val="TOC7"/>
            <w:numPr>
              <w:ilvl w:val="1"/>
              <w:numId w:val="3"/>
            </w:numPr>
            <w:tabs>
              <w:tab w:pos="2656" w:val="left" w:leader="none"/>
              <w:tab w:pos="2657" w:val="left" w:leader="none"/>
              <w:tab w:pos="10217" w:val="right" w:leader="dot"/>
            </w:tabs>
            <w:spacing w:line="240" w:lineRule="auto" w:before="199" w:after="0"/>
            <w:ind w:left="2656" w:right="0" w:hanging="720"/>
            <w:jc w:val="left"/>
          </w:pPr>
          <w:r>
            <w:rPr/>
            <w:t>Life</w:t>
          </w:r>
          <w:r>
            <w:rPr>
              <w:spacing w:val="-6"/>
            </w:rPr>
            <w:t> </w:t>
          </w:r>
          <w:r>
            <w:rPr>
              <w:spacing w:val="-2"/>
            </w:rPr>
            <w:t>Safety:</w:t>
          </w:r>
          <w:r>
            <w:rPr/>
            <w:tab/>
          </w:r>
          <w:r>
            <w:rPr>
              <w:spacing w:val="-5"/>
            </w:rPr>
            <w:t>2-</w:t>
          </w:r>
          <w:r>
            <w:rPr>
              <w:w w:val="95"/>
            </w:rPr>
            <w:t>3</w:t>
          </w:r>
        </w:p>
        <w:p>
          <w:pPr>
            <w:pStyle w:val="TOC7"/>
            <w:tabs>
              <w:tab w:pos="2656" w:val="left" w:leader="none"/>
              <w:tab w:pos="10216" w:val="right" w:leader="dot"/>
            </w:tabs>
            <w:ind w:left="1936" w:firstLine="0"/>
          </w:pPr>
          <w:r>
            <w:rPr>
              <w:w w:val="95"/>
            </w:rPr>
            <w:t>B-</w:t>
          </w:r>
          <w:r>
            <w:rPr>
              <w:spacing w:val="-10"/>
            </w:rPr>
            <w:t>9</w:t>
          </w:r>
          <w:r>
            <w:rPr/>
            <w:tab/>
          </w:r>
          <w:r>
            <w:rPr>
              <w:w w:val="95"/>
            </w:rPr>
            <w:t>Comprehensive</w:t>
          </w:r>
          <w:r>
            <w:rPr>
              <w:spacing w:val="53"/>
            </w:rPr>
            <w:t> </w:t>
          </w:r>
          <w:r>
            <w:rPr>
              <w:spacing w:val="-2"/>
            </w:rPr>
            <w:t>Design:</w:t>
          </w:r>
          <w:r>
            <w:rPr/>
            <w:tab/>
          </w:r>
          <w:r>
            <w:rPr>
              <w:spacing w:val="-5"/>
            </w:rPr>
            <w:t>2-</w:t>
          </w:r>
          <w:r>
            <w:rPr>
              <w:w w:val="95"/>
            </w:rPr>
            <w:t>3</w:t>
          </w:r>
        </w:p>
        <w:p>
          <w:pPr>
            <w:pStyle w:val="TOC7"/>
            <w:numPr>
              <w:ilvl w:val="1"/>
              <w:numId w:val="4"/>
            </w:numPr>
            <w:tabs>
              <w:tab w:pos="2656" w:val="left" w:leader="none"/>
              <w:tab w:pos="2657" w:val="left" w:leader="none"/>
              <w:tab w:pos="10216" w:val="right" w:leader="dot"/>
            </w:tabs>
            <w:spacing w:line="240" w:lineRule="auto" w:before="200" w:after="0"/>
            <w:ind w:left="2656" w:right="0" w:hanging="721"/>
            <w:jc w:val="left"/>
          </w:pPr>
          <w:r>
            <w:rPr/>
            <w:t>Financial</w:t>
          </w:r>
          <w:r>
            <w:rPr>
              <w:spacing w:val="-14"/>
            </w:rPr>
            <w:t> </w:t>
          </w:r>
          <w:r>
            <w:rPr>
              <w:spacing w:val="-2"/>
              <w:w w:val="95"/>
            </w:rPr>
            <w:t>Considerations:</w:t>
          </w:r>
          <w:r>
            <w:rPr/>
            <w:tab/>
          </w:r>
          <w:r>
            <w:rPr>
              <w:spacing w:val="-5"/>
            </w:rPr>
            <w:t>2-</w:t>
          </w:r>
          <w:r>
            <w:rPr>
              <w:w w:val="95"/>
            </w:rPr>
            <w:t>5</w:t>
          </w:r>
        </w:p>
        <w:p>
          <w:pPr>
            <w:pStyle w:val="TOC7"/>
            <w:numPr>
              <w:ilvl w:val="1"/>
              <w:numId w:val="4"/>
            </w:numPr>
            <w:tabs>
              <w:tab w:pos="2656" w:val="left" w:leader="none"/>
              <w:tab w:pos="2657" w:val="left" w:leader="none"/>
              <w:tab w:pos="10216" w:val="right" w:leader="dot"/>
            </w:tabs>
            <w:spacing w:line="240" w:lineRule="auto" w:before="202" w:after="0"/>
            <w:ind w:left="2656" w:right="0" w:hanging="721"/>
            <w:jc w:val="left"/>
          </w:pPr>
          <w:r>
            <w:rPr>
              <w:w w:val="95"/>
            </w:rPr>
            <w:t>Environmental</w:t>
          </w:r>
          <w:r>
            <w:rPr>
              <w:spacing w:val="47"/>
            </w:rPr>
            <w:t> </w:t>
          </w:r>
          <w:r>
            <w:rPr>
              <w:spacing w:val="-2"/>
            </w:rPr>
            <w:t>Systems:</w:t>
          </w:r>
          <w:r>
            <w:rPr/>
            <w:tab/>
          </w:r>
          <w:r>
            <w:rPr>
              <w:spacing w:val="-5"/>
            </w:rPr>
            <w:t>2-</w:t>
          </w:r>
          <w:r>
            <w:rPr>
              <w:w w:val="95"/>
            </w:rPr>
            <w:t>6</w:t>
          </w:r>
        </w:p>
        <w:p>
          <w:pPr>
            <w:pStyle w:val="TOC7"/>
            <w:numPr>
              <w:ilvl w:val="1"/>
              <w:numId w:val="4"/>
            </w:numPr>
            <w:tabs>
              <w:tab w:pos="2656" w:val="left" w:leader="none"/>
              <w:tab w:pos="2657" w:val="left" w:leader="none"/>
              <w:tab w:pos="10216" w:val="right" w:leader="dot"/>
            </w:tabs>
            <w:spacing w:line="240" w:lineRule="auto" w:before="200" w:after="0"/>
            <w:ind w:left="2656" w:right="0" w:hanging="721"/>
            <w:jc w:val="left"/>
          </w:pPr>
          <w:r>
            <w:rPr/>
            <w:t>Structural</w:t>
          </w:r>
          <w:r>
            <w:rPr>
              <w:spacing w:val="-13"/>
            </w:rPr>
            <w:t> </w:t>
          </w:r>
          <w:r>
            <w:rPr>
              <w:spacing w:val="-2"/>
            </w:rPr>
            <w:t>Systems:</w:t>
          </w:r>
          <w:r>
            <w:rPr/>
            <w:tab/>
          </w:r>
          <w:r>
            <w:rPr>
              <w:spacing w:val="-5"/>
            </w:rPr>
            <w:t>2-</w:t>
          </w:r>
          <w:r>
            <w:rPr>
              <w:w w:val="95"/>
            </w:rPr>
            <w:t>6</w:t>
          </w:r>
        </w:p>
        <w:p>
          <w:pPr>
            <w:pStyle w:val="TOC7"/>
            <w:numPr>
              <w:ilvl w:val="1"/>
              <w:numId w:val="4"/>
            </w:numPr>
            <w:tabs>
              <w:tab w:pos="2655" w:val="left" w:leader="none"/>
              <w:tab w:pos="2656" w:val="left" w:leader="none"/>
              <w:tab w:pos="10216" w:val="right" w:leader="dot"/>
            </w:tabs>
            <w:spacing w:line="240" w:lineRule="auto" w:before="199" w:after="0"/>
            <w:ind w:left="2655" w:right="0" w:hanging="720"/>
            <w:jc w:val="left"/>
          </w:pPr>
          <w:r>
            <w:rPr/>
            <w:t>Building</w:t>
          </w:r>
          <w:r>
            <w:rPr>
              <w:spacing w:val="-10"/>
            </w:rPr>
            <w:t> </w:t>
          </w:r>
          <w:r>
            <w:rPr/>
            <w:t>Envelope</w:t>
          </w:r>
          <w:r>
            <w:rPr>
              <w:spacing w:val="-8"/>
            </w:rPr>
            <w:t> </w:t>
          </w:r>
          <w:r>
            <w:rPr>
              <w:spacing w:val="-2"/>
            </w:rPr>
            <w:t>Systems:</w:t>
          </w:r>
          <w:r>
            <w:rPr/>
            <w:tab/>
          </w:r>
          <w:r>
            <w:rPr>
              <w:spacing w:val="-5"/>
            </w:rPr>
            <w:t>2-</w:t>
          </w:r>
          <w:r>
            <w:rPr>
              <w:w w:val="95"/>
            </w:rPr>
            <w:t>6</w:t>
          </w:r>
        </w:p>
        <w:p>
          <w:pPr>
            <w:pStyle w:val="TOC7"/>
            <w:numPr>
              <w:ilvl w:val="1"/>
              <w:numId w:val="4"/>
            </w:numPr>
            <w:tabs>
              <w:tab w:pos="2655" w:val="left" w:leader="none"/>
              <w:tab w:pos="2656" w:val="left" w:leader="none"/>
              <w:tab w:pos="10215" w:val="right" w:leader="dot"/>
            </w:tabs>
            <w:spacing w:line="240" w:lineRule="auto" w:before="200" w:after="0"/>
            <w:ind w:left="2655" w:right="0" w:hanging="721"/>
            <w:jc w:val="left"/>
          </w:pPr>
          <w:r>
            <w:rPr/>
            <w:t>Building</w:t>
          </w:r>
          <w:r>
            <w:rPr>
              <w:spacing w:val="-9"/>
            </w:rPr>
            <w:t> </w:t>
          </w:r>
          <w:r>
            <w:rPr/>
            <w:t>Service</w:t>
          </w:r>
          <w:r>
            <w:rPr>
              <w:spacing w:val="-8"/>
            </w:rPr>
            <w:t> </w:t>
          </w:r>
          <w:r>
            <w:rPr>
              <w:spacing w:val="-2"/>
            </w:rPr>
            <w:t>Systems:</w:t>
          </w:r>
          <w:r>
            <w:rPr/>
            <w:tab/>
          </w:r>
          <w:r>
            <w:rPr>
              <w:spacing w:val="-5"/>
            </w:rPr>
            <w:t>2-</w:t>
          </w:r>
          <w:r>
            <w:rPr>
              <w:w w:val="95"/>
            </w:rPr>
            <w:t>6</w:t>
          </w:r>
        </w:p>
        <w:p>
          <w:pPr>
            <w:pStyle w:val="TOC7"/>
            <w:numPr>
              <w:ilvl w:val="1"/>
              <w:numId w:val="4"/>
            </w:numPr>
            <w:tabs>
              <w:tab w:pos="2655" w:val="left" w:leader="none"/>
              <w:tab w:pos="2656" w:val="left" w:leader="none"/>
              <w:tab w:pos="10215" w:val="right" w:leader="dot"/>
            </w:tabs>
            <w:spacing w:line="240" w:lineRule="auto" w:before="200" w:after="0"/>
            <w:ind w:left="2655" w:right="0" w:hanging="721"/>
            <w:jc w:val="left"/>
          </w:pPr>
          <w:r>
            <w:rPr/>
            <w:t>Building</w:t>
          </w:r>
          <w:r>
            <w:rPr>
              <w:spacing w:val="-9"/>
            </w:rPr>
            <w:t> </w:t>
          </w:r>
          <w:r>
            <w:rPr/>
            <w:t>Materials</w:t>
          </w:r>
          <w:r>
            <w:rPr>
              <w:spacing w:val="-7"/>
            </w:rPr>
            <w:t> </w:t>
          </w:r>
          <w:r>
            <w:rPr/>
            <w:t>and</w:t>
          </w:r>
          <w:r>
            <w:rPr>
              <w:spacing w:val="-6"/>
            </w:rPr>
            <w:t> </w:t>
          </w:r>
          <w:r>
            <w:rPr>
              <w:spacing w:val="-2"/>
            </w:rPr>
            <w:t>Assemblies:</w:t>
          </w:r>
          <w:r>
            <w:rPr/>
            <w:tab/>
          </w:r>
          <w:r>
            <w:rPr>
              <w:spacing w:val="-5"/>
            </w:rPr>
            <w:t>2-</w:t>
          </w:r>
          <w:r>
            <w:rPr>
              <w:w w:val="95"/>
            </w:rPr>
            <w:t>6</w:t>
          </w:r>
        </w:p>
        <w:p>
          <w:pPr>
            <w:pStyle w:val="TOC3"/>
            <w:numPr>
              <w:ilvl w:val="2"/>
              <w:numId w:val="1"/>
            </w:numPr>
            <w:tabs>
              <w:tab w:pos="1720" w:val="left" w:leader="none"/>
              <w:tab w:pos="10215" w:val="right" w:leader="dot"/>
            </w:tabs>
            <w:spacing w:line="240" w:lineRule="auto" w:before="197" w:after="0"/>
            <w:ind w:left="1719" w:right="0" w:hanging="505"/>
            <w:jc w:val="left"/>
          </w:pPr>
          <w:hyperlink w:history="true" w:anchor="_TOC_250000">
            <w:r>
              <w:rPr/>
              <w:t>Realm</w:t>
            </w:r>
            <w:r>
              <w:rPr>
                <w:spacing w:val="-7"/>
              </w:rPr>
              <w:t> </w:t>
            </w:r>
            <w:r>
              <w:rPr/>
              <w:t>C:</w:t>
            </w:r>
            <w:r>
              <w:rPr>
                <w:spacing w:val="-7"/>
              </w:rPr>
              <w:t> </w:t>
            </w:r>
            <w:r>
              <w:rPr/>
              <w:t>Leadership</w:t>
            </w:r>
            <w:r>
              <w:rPr>
                <w:spacing w:val="-4"/>
              </w:rPr>
              <w:t> </w:t>
            </w:r>
            <w:r>
              <w:rPr/>
              <w:t>and</w:t>
            </w:r>
            <w:r>
              <w:rPr>
                <w:spacing w:val="-7"/>
              </w:rPr>
              <w:t> </w:t>
            </w:r>
            <w:r>
              <w:rPr>
                <w:spacing w:val="-2"/>
              </w:rPr>
              <w:t>Practice:</w:t>
            </w:r>
            <w:r>
              <w:rPr/>
              <w:tab/>
            </w:r>
            <w:r>
              <w:rPr>
                <w:spacing w:val="-5"/>
              </w:rPr>
              <w:t>2-</w:t>
            </w:r>
            <w:r>
              <w:rPr>
                <w:w w:val="95"/>
              </w:rPr>
              <w:t>7</w:t>
            </w:r>
          </w:hyperlink>
        </w:p>
        <w:p>
          <w:pPr>
            <w:pStyle w:val="TOC7"/>
            <w:numPr>
              <w:ilvl w:val="1"/>
              <w:numId w:val="5"/>
            </w:numPr>
            <w:tabs>
              <w:tab w:pos="2654" w:val="left" w:leader="none"/>
              <w:tab w:pos="2655" w:val="left" w:leader="none"/>
              <w:tab w:pos="10215" w:val="right" w:leader="dot"/>
            </w:tabs>
            <w:spacing w:line="240" w:lineRule="auto" w:before="202" w:after="0"/>
            <w:ind w:left="2654" w:right="0" w:hanging="720"/>
            <w:jc w:val="left"/>
          </w:pPr>
          <w:r>
            <w:rPr>
              <w:spacing w:val="-2"/>
            </w:rPr>
            <w:t>Collaboration:</w:t>
          </w:r>
          <w:r>
            <w:rPr/>
            <w:tab/>
          </w:r>
          <w:r>
            <w:rPr>
              <w:spacing w:val="-5"/>
            </w:rPr>
            <w:t>2-</w:t>
          </w:r>
          <w:r>
            <w:rPr>
              <w:w w:val="95"/>
            </w:rPr>
            <w:t>7</w:t>
          </w:r>
        </w:p>
        <w:p>
          <w:pPr>
            <w:pStyle w:val="TOC7"/>
            <w:numPr>
              <w:ilvl w:val="1"/>
              <w:numId w:val="5"/>
            </w:numPr>
            <w:tabs>
              <w:tab w:pos="2659" w:val="left" w:leader="none"/>
              <w:tab w:pos="2660" w:val="left" w:leader="none"/>
              <w:tab w:pos="10220" w:val="right" w:leader="dot"/>
            </w:tabs>
            <w:spacing w:line="240" w:lineRule="auto" w:before="200" w:after="0"/>
            <w:ind w:left="2659" w:right="0" w:hanging="720"/>
            <w:jc w:val="left"/>
          </w:pPr>
          <w:r>
            <w:rPr/>
            <w:t>Human</w:t>
          </w:r>
          <w:r>
            <w:rPr>
              <w:spacing w:val="-6"/>
            </w:rPr>
            <w:t> </w:t>
          </w:r>
          <w:r>
            <w:rPr>
              <w:spacing w:val="-2"/>
            </w:rPr>
            <w:t>Behavior:</w:t>
          </w:r>
          <w:r>
            <w:rPr/>
            <w:tab/>
          </w:r>
          <w:r>
            <w:rPr>
              <w:spacing w:val="-5"/>
            </w:rPr>
            <w:t>2-</w:t>
          </w:r>
          <w:r>
            <w:rPr>
              <w:w w:val="95"/>
            </w:rPr>
            <w:t>7</w:t>
          </w:r>
        </w:p>
        <w:p>
          <w:pPr>
            <w:pStyle w:val="TOC7"/>
            <w:numPr>
              <w:ilvl w:val="1"/>
              <w:numId w:val="5"/>
            </w:numPr>
            <w:tabs>
              <w:tab w:pos="2659" w:val="left" w:leader="none"/>
              <w:tab w:pos="2660" w:val="left" w:leader="none"/>
              <w:tab w:pos="10219" w:val="right" w:leader="dot"/>
            </w:tabs>
            <w:spacing w:line="240" w:lineRule="auto" w:before="200" w:after="0"/>
            <w:ind w:left="2659" w:right="0" w:hanging="721"/>
            <w:jc w:val="left"/>
          </w:pPr>
          <w:r>
            <w:rPr/>
            <w:t>Client</w:t>
          </w:r>
          <w:r>
            <w:rPr>
              <w:spacing w:val="-5"/>
            </w:rPr>
            <w:t> </w:t>
          </w:r>
          <w:r>
            <w:rPr/>
            <w:t>Role</w:t>
          </w:r>
          <w:r>
            <w:rPr>
              <w:spacing w:val="-5"/>
            </w:rPr>
            <w:t> </w:t>
          </w:r>
          <w:r>
            <w:rPr/>
            <w:t>in</w:t>
          </w:r>
          <w:r>
            <w:rPr>
              <w:spacing w:val="-4"/>
            </w:rPr>
            <w:t> </w:t>
          </w:r>
          <w:r>
            <w:rPr>
              <w:spacing w:val="-2"/>
            </w:rPr>
            <w:t>Architecture:</w:t>
          </w:r>
          <w:r>
            <w:rPr/>
            <w:tab/>
          </w:r>
          <w:r>
            <w:rPr>
              <w:spacing w:val="-5"/>
            </w:rPr>
            <w:t>2-</w:t>
          </w:r>
          <w:r>
            <w:rPr>
              <w:w w:val="95"/>
            </w:rPr>
            <w:t>7</w:t>
          </w:r>
        </w:p>
        <w:p>
          <w:pPr>
            <w:pStyle w:val="TOC7"/>
            <w:numPr>
              <w:ilvl w:val="1"/>
              <w:numId w:val="5"/>
            </w:numPr>
            <w:tabs>
              <w:tab w:pos="2659" w:val="left" w:leader="none"/>
              <w:tab w:pos="2660" w:val="left" w:leader="none"/>
              <w:tab w:pos="10219" w:val="right" w:leader="dot"/>
            </w:tabs>
            <w:spacing w:line="240" w:lineRule="auto" w:before="200" w:after="0"/>
            <w:ind w:left="2659" w:right="0" w:hanging="721"/>
            <w:jc w:val="left"/>
          </w:pPr>
          <w:r>
            <w:rPr/>
            <w:t>Project</w:t>
          </w:r>
          <w:r>
            <w:rPr>
              <w:spacing w:val="-9"/>
            </w:rPr>
            <w:t> </w:t>
          </w:r>
          <w:r>
            <w:rPr>
              <w:spacing w:val="-2"/>
            </w:rPr>
            <w:t>Management:</w:t>
          </w:r>
          <w:r>
            <w:rPr/>
            <w:tab/>
          </w:r>
          <w:r>
            <w:rPr>
              <w:spacing w:val="-5"/>
            </w:rPr>
            <w:t>2-</w:t>
          </w:r>
          <w:r>
            <w:rPr>
              <w:w w:val="95"/>
            </w:rPr>
            <w:t>7</w:t>
          </w:r>
        </w:p>
        <w:p>
          <w:pPr>
            <w:pStyle w:val="TOC7"/>
            <w:numPr>
              <w:ilvl w:val="1"/>
              <w:numId w:val="5"/>
            </w:numPr>
            <w:tabs>
              <w:tab w:pos="2659" w:val="left" w:leader="none"/>
              <w:tab w:pos="2660" w:val="left" w:leader="none"/>
              <w:tab w:pos="10219" w:val="right" w:leader="dot"/>
            </w:tabs>
            <w:spacing w:line="240" w:lineRule="auto" w:before="199" w:after="0"/>
            <w:ind w:left="2659" w:right="0" w:hanging="721"/>
            <w:jc w:val="left"/>
          </w:pPr>
          <w:r>
            <w:rPr/>
            <w:t>Practice</w:t>
          </w:r>
          <w:r>
            <w:rPr>
              <w:spacing w:val="-10"/>
            </w:rPr>
            <w:t> </w:t>
          </w:r>
          <w:r>
            <w:rPr>
              <w:spacing w:val="-2"/>
              <w:w w:val="95"/>
            </w:rPr>
            <w:t>Management:</w:t>
          </w:r>
          <w:r>
            <w:rPr/>
            <w:tab/>
          </w:r>
          <w:r>
            <w:rPr>
              <w:spacing w:val="-5"/>
            </w:rPr>
            <w:t>2-</w:t>
          </w:r>
          <w:r>
            <w:rPr>
              <w:w w:val="95"/>
            </w:rPr>
            <w:t>8</w:t>
          </w:r>
        </w:p>
        <w:p>
          <w:pPr>
            <w:pStyle w:val="TOC7"/>
            <w:numPr>
              <w:ilvl w:val="1"/>
              <w:numId w:val="5"/>
            </w:numPr>
            <w:tabs>
              <w:tab w:pos="2659" w:val="left" w:leader="none"/>
              <w:tab w:pos="2660" w:val="left" w:leader="none"/>
              <w:tab w:pos="10216" w:val="right" w:leader="dot"/>
            </w:tabs>
            <w:spacing w:line="240" w:lineRule="auto" w:before="200" w:after="0"/>
            <w:ind w:left="2659" w:right="0" w:hanging="721"/>
            <w:jc w:val="left"/>
          </w:pPr>
          <w:r>
            <w:rPr>
              <w:spacing w:val="-2"/>
            </w:rPr>
            <w:t>Leadership:</w:t>
          </w:r>
          <w:r>
            <w:rPr/>
            <w:tab/>
          </w:r>
          <w:r>
            <w:rPr>
              <w:spacing w:val="-5"/>
            </w:rPr>
            <w:t>2-</w:t>
          </w:r>
          <w:r>
            <w:rPr>
              <w:w w:val="95"/>
            </w:rPr>
            <w:t>78</w:t>
          </w:r>
        </w:p>
      </w:sdtContent>
    </w:sdt>
    <w:p>
      <w:pPr>
        <w:spacing w:after="0" w:line="240" w:lineRule="auto"/>
        <w:jc w:val="left"/>
        <w:sectPr>
          <w:type w:val="continuous"/>
          <w:pgSz w:w="12240" w:h="15840"/>
          <w:pgMar w:header="0" w:footer="974" w:top="1360" w:bottom="1682" w:left="940" w:right="960"/>
        </w:sectPr>
      </w:pPr>
    </w:p>
    <w:p>
      <w:pPr>
        <w:pStyle w:val="ListParagraph"/>
        <w:numPr>
          <w:ilvl w:val="1"/>
          <w:numId w:val="6"/>
        </w:numPr>
        <w:tabs>
          <w:tab w:pos="2659" w:val="left" w:leader="none"/>
          <w:tab w:pos="2660" w:val="left" w:leader="none"/>
          <w:tab w:pos="9931" w:val="left" w:leader="dot"/>
        </w:tabs>
        <w:spacing w:line="240" w:lineRule="auto" w:before="79" w:after="0"/>
        <w:ind w:left="2659" w:right="0" w:hanging="720"/>
        <w:jc w:val="left"/>
        <w:rPr>
          <w:sz w:val="20"/>
        </w:rPr>
      </w:pPr>
      <w:r>
        <w:rPr>
          <w:sz w:val="20"/>
        </w:rPr>
        <w:t>Legal</w:t>
      </w:r>
      <w:r>
        <w:rPr>
          <w:spacing w:val="-8"/>
          <w:sz w:val="20"/>
        </w:rPr>
        <w:t> </w:t>
      </w:r>
      <w:r>
        <w:rPr>
          <w:spacing w:val="-2"/>
          <w:sz w:val="20"/>
        </w:rPr>
        <w:t>Responsibilities</w:t>
      </w:r>
      <w:r>
        <w:rPr>
          <w:sz w:val="20"/>
        </w:rPr>
        <w:tab/>
      </w:r>
      <w:r>
        <w:rPr>
          <w:w w:val="95"/>
          <w:sz w:val="20"/>
        </w:rPr>
        <w:t>2-</w:t>
      </w:r>
      <w:r>
        <w:rPr>
          <w:spacing w:val="-10"/>
          <w:sz w:val="20"/>
        </w:rPr>
        <w:t>8</w:t>
      </w:r>
    </w:p>
    <w:p>
      <w:pPr>
        <w:pStyle w:val="BodyText"/>
        <w:spacing w:before="4"/>
        <w:rPr>
          <w:sz w:val="17"/>
        </w:rPr>
      </w:pPr>
    </w:p>
    <w:p>
      <w:pPr>
        <w:pStyle w:val="ListParagraph"/>
        <w:numPr>
          <w:ilvl w:val="1"/>
          <w:numId w:val="6"/>
        </w:numPr>
        <w:tabs>
          <w:tab w:pos="2659" w:val="left" w:leader="none"/>
          <w:tab w:pos="2660" w:val="left" w:leader="none"/>
          <w:tab w:pos="9931" w:val="left" w:leader="dot"/>
        </w:tabs>
        <w:spacing w:line="240" w:lineRule="auto" w:before="1" w:after="0"/>
        <w:ind w:left="2659" w:right="0" w:hanging="721"/>
        <w:jc w:val="left"/>
        <w:rPr>
          <w:sz w:val="20"/>
        </w:rPr>
      </w:pPr>
      <w:r>
        <w:rPr>
          <w:sz w:val="20"/>
        </w:rPr>
        <w:t>Ethics</w:t>
      </w:r>
      <w:r>
        <w:rPr>
          <w:spacing w:val="-8"/>
          <w:sz w:val="20"/>
        </w:rPr>
        <w:t> </w:t>
      </w:r>
      <w:r>
        <w:rPr>
          <w:sz w:val="20"/>
        </w:rPr>
        <w:t>and</w:t>
      </w:r>
      <w:r>
        <w:rPr>
          <w:spacing w:val="-8"/>
          <w:sz w:val="20"/>
        </w:rPr>
        <w:t> </w:t>
      </w:r>
      <w:r>
        <w:rPr>
          <w:sz w:val="20"/>
        </w:rPr>
        <w:t>Professional</w:t>
      </w:r>
      <w:r>
        <w:rPr>
          <w:spacing w:val="-9"/>
          <w:sz w:val="20"/>
        </w:rPr>
        <w:t> </w:t>
      </w:r>
      <w:r>
        <w:rPr>
          <w:spacing w:val="-2"/>
          <w:w w:val="95"/>
          <w:sz w:val="20"/>
        </w:rPr>
        <w:t>Judgment:</w:t>
      </w:r>
      <w:r>
        <w:rPr>
          <w:sz w:val="20"/>
        </w:rPr>
        <w:tab/>
      </w:r>
      <w:r>
        <w:rPr>
          <w:w w:val="95"/>
          <w:sz w:val="20"/>
        </w:rPr>
        <w:t>2-</w:t>
      </w:r>
      <w:r>
        <w:rPr>
          <w:spacing w:val="-10"/>
          <w:sz w:val="20"/>
        </w:rPr>
        <w:t>8</w:t>
      </w:r>
    </w:p>
    <w:p>
      <w:pPr>
        <w:pStyle w:val="BodyText"/>
        <w:spacing w:before="4"/>
        <w:rPr>
          <w:sz w:val="17"/>
        </w:rPr>
      </w:pPr>
    </w:p>
    <w:p>
      <w:pPr>
        <w:pStyle w:val="ListParagraph"/>
        <w:numPr>
          <w:ilvl w:val="1"/>
          <w:numId w:val="6"/>
        </w:numPr>
        <w:tabs>
          <w:tab w:pos="2659" w:val="left" w:leader="none"/>
          <w:tab w:pos="2660" w:val="left" w:leader="none"/>
          <w:tab w:pos="9931" w:val="left" w:leader="dot"/>
        </w:tabs>
        <w:spacing w:line="240" w:lineRule="auto" w:before="0" w:after="0"/>
        <w:ind w:left="2659" w:right="0" w:hanging="721"/>
        <w:jc w:val="left"/>
        <w:rPr>
          <w:sz w:val="20"/>
        </w:rPr>
      </w:pPr>
      <w:r>
        <w:rPr>
          <w:sz w:val="20"/>
        </w:rPr>
        <w:t>Community</w:t>
      </w:r>
      <w:r>
        <w:rPr>
          <w:spacing w:val="-9"/>
          <w:sz w:val="20"/>
        </w:rPr>
        <w:t> </w:t>
      </w:r>
      <w:r>
        <w:rPr>
          <w:sz w:val="20"/>
        </w:rPr>
        <w:t>and</w:t>
      </w:r>
      <w:r>
        <w:rPr>
          <w:spacing w:val="-6"/>
          <w:sz w:val="20"/>
        </w:rPr>
        <w:t> </w:t>
      </w:r>
      <w:r>
        <w:rPr>
          <w:sz w:val="20"/>
        </w:rPr>
        <w:t>Social</w:t>
      </w:r>
      <w:r>
        <w:rPr>
          <w:spacing w:val="-6"/>
          <w:sz w:val="20"/>
        </w:rPr>
        <w:t> </w:t>
      </w:r>
      <w:r>
        <w:rPr>
          <w:spacing w:val="-2"/>
          <w:w w:val="95"/>
          <w:sz w:val="20"/>
        </w:rPr>
        <w:t>Responsibility:</w:t>
      </w:r>
      <w:r>
        <w:rPr>
          <w:sz w:val="20"/>
        </w:rPr>
        <w:tab/>
      </w:r>
      <w:r>
        <w:rPr>
          <w:w w:val="95"/>
          <w:sz w:val="20"/>
        </w:rPr>
        <w:t>2-</w:t>
      </w:r>
      <w:r>
        <w:rPr>
          <w:spacing w:val="-10"/>
          <w:sz w:val="20"/>
        </w:rPr>
        <w:t>9</w:t>
      </w:r>
    </w:p>
    <w:p>
      <w:pPr>
        <w:pStyle w:val="BodyText"/>
        <w:spacing w:before="4"/>
        <w:rPr>
          <w:sz w:val="17"/>
        </w:rPr>
      </w:pPr>
    </w:p>
    <w:p>
      <w:pPr>
        <w:pStyle w:val="ListParagraph"/>
        <w:numPr>
          <w:ilvl w:val="1"/>
          <w:numId w:val="7"/>
        </w:numPr>
        <w:tabs>
          <w:tab w:pos="1292" w:val="left" w:leader="none"/>
          <w:tab w:pos="9818" w:val="left" w:leader="dot"/>
        </w:tabs>
        <w:spacing w:line="240" w:lineRule="auto" w:before="0" w:after="0"/>
        <w:ind w:left="1291" w:right="0" w:hanging="433"/>
        <w:jc w:val="left"/>
        <w:rPr>
          <w:sz w:val="20"/>
        </w:rPr>
      </w:pPr>
      <w:r>
        <w:rPr>
          <w:spacing w:val="-2"/>
          <w:sz w:val="20"/>
        </w:rPr>
        <w:t>Curricular</w:t>
      </w:r>
      <w:r>
        <w:rPr>
          <w:spacing w:val="5"/>
          <w:sz w:val="20"/>
        </w:rPr>
        <w:t> </w:t>
      </w:r>
      <w:r>
        <w:rPr>
          <w:spacing w:val="-2"/>
          <w:sz w:val="20"/>
        </w:rPr>
        <w:t>Framework</w:t>
      </w:r>
      <w:r>
        <w:rPr>
          <w:sz w:val="20"/>
        </w:rPr>
        <w:tab/>
      </w:r>
      <w:r>
        <w:rPr>
          <w:w w:val="95"/>
          <w:sz w:val="20"/>
        </w:rPr>
        <w:t>2-</w:t>
      </w:r>
      <w:r>
        <w:rPr>
          <w:spacing w:val="-5"/>
          <w:sz w:val="20"/>
        </w:rPr>
        <w:t>13</w:t>
      </w:r>
    </w:p>
    <w:p>
      <w:pPr>
        <w:pStyle w:val="BodyText"/>
        <w:spacing w:before="4"/>
        <w:rPr>
          <w:sz w:val="17"/>
        </w:rPr>
      </w:pPr>
    </w:p>
    <w:p>
      <w:pPr>
        <w:pStyle w:val="ListParagraph"/>
        <w:numPr>
          <w:ilvl w:val="2"/>
          <w:numId w:val="7"/>
        </w:numPr>
        <w:tabs>
          <w:tab w:pos="1724" w:val="left" w:leader="none"/>
          <w:tab w:pos="9818" w:val="left" w:leader="dot"/>
        </w:tabs>
        <w:spacing w:line="240" w:lineRule="auto" w:before="0" w:after="0"/>
        <w:ind w:left="1723" w:right="0" w:hanging="505"/>
        <w:jc w:val="left"/>
        <w:rPr>
          <w:sz w:val="20"/>
        </w:rPr>
      </w:pPr>
      <w:r>
        <w:rPr>
          <w:sz w:val="20"/>
        </w:rPr>
        <w:t>Regional</w:t>
      </w:r>
      <w:r>
        <w:rPr>
          <w:spacing w:val="-9"/>
          <w:sz w:val="20"/>
        </w:rPr>
        <w:t> </w:t>
      </w:r>
      <w:r>
        <w:rPr>
          <w:spacing w:val="-2"/>
          <w:sz w:val="20"/>
        </w:rPr>
        <w:t>Accreditation</w:t>
      </w:r>
      <w:r>
        <w:rPr>
          <w:sz w:val="20"/>
        </w:rPr>
        <w:tab/>
      </w:r>
      <w:r>
        <w:rPr>
          <w:w w:val="95"/>
          <w:sz w:val="20"/>
        </w:rPr>
        <w:t>2-</w:t>
      </w:r>
      <w:r>
        <w:rPr>
          <w:spacing w:val="-5"/>
          <w:sz w:val="20"/>
        </w:rPr>
        <w:t>13</w:t>
      </w:r>
    </w:p>
    <w:p>
      <w:pPr>
        <w:pStyle w:val="BodyText"/>
        <w:spacing w:before="4"/>
        <w:rPr>
          <w:sz w:val="17"/>
        </w:rPr>
      </w:pPr>
    </w:p>
    <w:p>
      <w:pPr>
        <w:pStyle w:val="ListParagraph"/>
        <w:numPr>
          <w:ilvl w:val="2"/>
          <w:numId w:val="7"/>
        </w:numPr>
        <w:tabs>
          <w:tab w:pos="1724" w:val="left" w:leader="none"/>
          <w:tab w:pos="9818" w:val="left" w:leader="dot"/>
        </w:tabs>
        <w:spacing w:line="240" w:lineRule="auto" w:before="0" w:after="0"/>
        <w:ind w:left="1723" w:right="0" w:hanging="505"/>
        <w:jc w:val="left"/>
        <w:rPr>
          <w:sz w:val="20"/>
        </w:rPr>
      </w:pPr>
      <w:r>
        <w:rPr>
          <w:sz w:val="20"/>
        </w:rPr>
        <w:t>Professional</w:t>
      </w:r>
      <w:r>
        <w:rPr>
          <w:spacing w:val="-10"/>
          <w:sz w:val="20"/>
        </w:rPr>
        <w:t> </w:t>
      </w:r>
      <w:r>
        <w:rPr>
          <w:sz w:val="20"/>
        </w:rPr>
        <w:t>Degrees</w:t>
      </w:r>
      <w:r>
        <w:rPr>
          <w:spacing w:val="-8"/>
          <w:sz w:val="20"/>
        </w:rPr>
        <w:t> </w:t>
      </w:r>
      <w:r>
        <w:rPr>
          <w:sz w:val="20"/>
        </w:rPr>
        <w:t>and</w:t>
      </w:r>
      <w:r>
        <w:rPr>
          <w:spacing w:val="-6"/>
          <w:sz w:val="20"/>
        </w:rPr>
        <w:t> </w:t>
      </w:r>
      <w:r>
        <w:rPr>
          <w:spacing w:val="-2"/>
          <w:sz w:val="20"/>
        </w:rPr>
        <w:t>Curriculum</w:t>
      </w:r>
      <w:r>
        <w:rPr>
          <w:sz w:val="20"/>
        </w:rPr>
        <w:tab/>
      </w:r>
      <w:r>
        <w:rPr>
          <w:w w:val="95"/>
          <w:sz w:val="20"/>
        </w:rPr>
        <w:t>2-</w:t>
      </w:r>
      <w:r>
        <w:rPr>
          <w:spacing w:val="-5"/>
          <w:sz w:val="20"/>
        </w:rPr>
        <w:t>13</w:t>
      </w:r>
    </w:p>
    <w:p>
      <w:pPr>
        <w:pStyle w:val="BodyText"/>
        <w:spacing w:before="7"/>
        <w:rPr>
          <w:sz w:val="17"/>
        </w:rPr>
      </w:pPr>
    </w:p>
    <w:p>
      <w:pPr>
        <w:pStyle w:val="ListParagraph"/>
        <w:numPr>
          <w:ilvl w:val="1"/>
          <w:numId w:val="7"/>
        </w:numPr>
        <w:tabs>
          <w:tab w:pos="1291" w:val="left" w:leader="none"/>
          <w:tab w:pos="9818" w:val="left" w:leader="dot"/>
        </w:tabs>
        <w:spacing w:line="240" w:lineRule="auto" w:before="0" w:after="0"/>
        <w:ind w:left="1291" w:right="0" w:hanging="433"/>
        <w:jc w:val="left"/>
        <w:rPr>
          <w:sz w:val="20"/>
        </w:rPr>
      </w:pPr>
      <w:r>
        <w:rPr>
          <w:spacing w:val="-2"/>
          <w:sz w:val="20"/>
        </w:rPr>
        <w:t>Evaluation</w:t>
      </w:r>
      <w:r>
        <w:rPr>
          <w:spacing w:val="12"/>
          <w:sz w:val="20"/>
        </w:rPr>
        <w:t> </w:t>
      </w:r>
      <w:r>
        <w:rPr>
          <w:spacing w:val="-2"/>
          <w:sz w:val="20"/>
        </w:rPr>
        <w:t>of</w:t>
      </w:r>
      <w:r>
        <w:rPr>
          <w:spacing w:val="12"/>
          <w:sz w:val="20"/>
        </w:rPr>
        <w:t> </w:t>
      </w:r>
      <w:r>
        <w:rPr>
          <w:spacing w:val="-2"/>
          <w:sz w:val="20"/>
        </w:rPr>
        <w:t>Preparatory/Pre-professional</w:t>
      </w:r>
      <w:r>
        <w:rPr>
          <w:spacing w:val="11"/>
          <w:sz w:val="20"/>
        </w:rPr>
        <w:t> </w:t>
      </w:r>
      <w:r>
        <w:rPr>
          <w:spacing w:val="-2"/>
          <w:sz w:val="20"/>
        </w:rPr>
        <w:t>Education</w:t>
      </w:r>
      <w:r>
        <w:rPr>
          <w:sz w:val="20"/>
        </w:rPr>
        <w:tab/>
      </w:r>
      <w:r>
        <w:rPr>
          <w:w w:val="95"/>
          <w:sz w:val="20"/>
        </w:rPr>
        <w:t>2-</w:t>
      </w:r>
      <w:r>
        <w:rPr>
          <w:spacing w:val="-5"/>
          <w:sz w:val="20"/>
        </w:rPr>
        <w:t>17</w:t>
      </w:r>
    </w:p>
    <w:p>
      <w:pPr>
        <w:pStyle w:val="BodyText"/>
        <w:spacing w:before="4"/>
        <w:rPr>
          <w:sz w:val="17"/>
        </w:rPr>
      </w:pPr>
    </w:p>
    <w:p>
      <w:pPr>
        <w:pStyle w:val="ListParagraph"/>
        <w:numPr>
          <w:ilvl w:val="1"/>
          <w:numId w:val="7"/>
        </w:numPr>
        <w:tabs>
          <w:tab w:pos="1291" w:val="left" w:leader="none"/>
          <w:tab w:pos="9817" w:val="left" w:leader="dot"/>
        </w:tabs>
        <w:spacing w:line="240" w:lineRule="auto" w:before="0" w:after="0"/>
        <w:ind w:left="1290" w:right="0" w:hanging="433"/>
        <w:jc w:val="left"/>
        <w:rPr>
          <w:sz w:val="20"/>
        </w:rPr>
      </w:pPr>
      <w:r>
        <w:rPr>
          <w:sz w:val="20"/>
        </w:rPr>
        <w:t>Public</w:t>
      </w:r>
      <w:r>
        <w:rPr>
          <w:spacing w:val="-10"/>
          <w:sz w:val="20"/>
        </w:rPr>
        <w:t> </w:t>
      </w:r>
      <w:r>
        <w:rPr>
          <w:spacing w:val="-2"/>
          <w:sz w:val="20"/>
        </w:rPr>
        <w:t>Information</w:t>
      </w:r>
      <w:r>
        <w:rPr>
          <w:sz w:val="20"/>
        </w:rPr>
        <w:tab/>
      </w:r>
      <w:r>
        <w:rPr>
          <w:w w:val="95"/>
          <w:sz w:val="20"/>
        </w:rPr>
        <w:t>2-</w:t>
      </w:r>
      <w:r>
        <w:rPr>
          <w:spacing w:val="-5"/>
          <w:sz w:val="20"/>
        </w:rPr>
        <w:t>19</w:t>
      </w:r>
    </w:p>
    <w:p>
      <w:pPr>
        <w:pStyle w:val="BodyText"/>
        <w:spacing w:before="4"/>
        <w:rPr>
          <w:sz w:val="17"/>
        </w:rPr>
      </w:pPr>
    </w:p>
    <w:p>
      <w:pPr>
        <w:pStyle w:val="ListParagraph"/>
        <w:numPr>
          <w:ilvl w:val="2"/>
          <w:numId w:val="7"/>
        </w:numPr>
        <w:tabs>
          <w:tab w:pos="1723" w:val="left" w:leader="none"/>
          <w:tab w:pos="9817" w:val="left" w:leader="dot"/>
        </w:tabs>
        <w:spacing w:line="240" w:lineRule="auto" w:before="0" w:after="0"/>
        <w:ind w:left="1722" w:right="0" w:hanging="505"/>
        <w:jc w:val="left"/>
        <w:rPr>
          <w:sz w:val="20"/>
        </w:rPr>
      </w:pPr>
      <w:r>
        <w:rPr>
          <w:sz w:val="20"/>
        </w:rPr>
        <w:t>Statement</w:t>
      </w:r>
      <w:r>
        <w:rPr>
          <w:spacing w:val="-8"/>
          <w:sz w:val="20"/>
        </w:rPr>
        <w:t> </w:t>
      </w:r>
      <w:r>
        <w:rPr>
          <w:sz w:val="20"/>
        </w:rPr>
        <w:t>on</w:t>
      </w:r>
      <w:r>
        <w:rPr>
          <w:spacing w:val="-8"/>
          <w:sz w:val="20"/>
        </w:rPr>
        <w:t> </w:t>
      </w:r>
      <w:r>
        <w:rPr>
          <w:sz w:val="20"/>
        </w:rPr>
        <w:t>NAAB</w:t>
      </w:r>
      <w:r>
        <w:rPr>
          <w:spacing w:val="-6"/>
          <w:sz w:val="20"/>
        </w:rPr>
        <w:t> </w:t>
      </w:r>
      <w:r>
        <w:rPr>
          <w:sz w:val="20"/>
        </w:rPr>
        <w:t>Accredited</w:t>
      </w:r>
      <w:r>
        <w:rPr>
          <w:spacing w:val="-8"/>
          <w:sz w:val="20"/>
        </w:rPr>
        <w:t> </w:t>
      </w:r>
      <w:r>
        <w:rPr>
          <w:spacing w:val="-2"/>
          <w:sz w:val="20"/>
        </w:rPr>
        <w:t>Degrees</w:t>
      </w:r>
      <w:r>
        <w:rPr>
          <w:sz w:val="20"/>
        </w:rPr>
        <w:tab/>
      </w:r>
      <w:r>
        <w:rPr>
          <w:w w:val="95"/>
          <w:sz w:val="20"/>
        </w:rPr>
        <w:t>2-</w:t>
      </w:r>
      <w:r>
        <w:rPr>
          <w:spacing w:val="-5"/>
          <w:sz w:val="20"/>
        </w:rPr>
        <w:t>19</w:t>
      </w:r>
    </w:p>
    <w:p>
      <w:pPr>
        <w:pStyle w:val="BodyText"/>
        <w:spacing w:before="4"/>
        <w:rPr>
          <w:sz w:val="17"/>
        </w:rPr>
      </w:pPr>
    </w:p>
    <w:p>
      <w:pPr>
        <w:pStyle w:val="ListParagraph"/>
        <w:numPr>
          <w:ilvl w:val="2"/>
          <w:numId w:val="7"/>
        </w:numPr>
        <w:tabs>
          <w:tab w:pos="1723" w:val="left" w:leader="none"/>
          <w:tab w:pos="9817" w:val="left" w:leader="dot"/>
        </w:tabs>
        <w:spacing w:line="240" w:lineRule="auto" w:before="1" w:after="0"/>
        <w:ind w:left="1722" w:right="0" w:hanging="505"/>
        <w:jc w:val="left"/>
        <w:rPr>
          <w:sz w:val="20"/>
        </w:rPr>
      </w:pPr>
      <w:r>
        <w:rPr>
          <w:sz w:val="20"/>
        </w:rPr>
        <w:t>Access</w:t>
      </w:r>
      <w:r>
        <w:rPr>
          <w:spacing w:val="-6"/>
          <w:sz w:val="20"/>
        </w:rPr>
        <w:t> </w:t>
      </w:r>
      <w:r>
        <w:rPr>
          <w:sz w:val="20"/>
        </w:rPr>
        <w:t>to</w:t>
      </w:r>
      <w:r>
        <w:rPr>
          <w:spacing w:val="-6"/>
          <w:sz w:val="20"/>
        </w:rPr>
        <w:t> </w:t>
      </w:r>
      <w:r>
        <w:rPr>
          <w:sz w:val="20"/>
        </w:rPr>
        <w:t>NAAB</w:t>
      </w:r>
      <w:r>
        <w:rPr>
          <w:spacing w:val="-4"/>
          <w:sz w:val="20"/>
        </w:rPr>
        <w:t> </w:t>
      </w:r>
      <w:r>
        <w:rPr>
          <w:sz w:val="20"/>
        </w:rPr>
        <w:t>Conditions</w:t>
      </w:r>
      <w:r>
        <w:rPr>
          <w:spacing w:val="-5"/>
          <w:sz w:val="20"/>
        </w:rPr>
        <w:t> </w:t>
      </w:r>
      <w:r>
        <w:rPr>
          <w:sz w:val="20"/>
        </w:rPr>
        <w:t>and</w:t>
      </w:r>
      <w:r>
        <w:rPr>
          <w:spacing w:val="-5"/>
          <w:sz w:val="20"/>
        </w:rPr>
        <w:t> </w:t>
      </w:r>
      <w:r>
        <w:rPr>
          <w:spacing w:val="-2"/>
          <w:sz w:val="20"/>
        </w:rPr>
        <w:t>Procedures</w:t>
      </w:r>
      <w:r>
        <w:rPr>
          <w:sz w:val="20"/>
        </w:rPr>
        <w:tab/>
      </w:r>
      <w:r>
        <w:rPr>
          <w:w w:val="95"/>
          <w:sz w:val="20"/>
        </w:rPr>
        <w:t>2-</w:t>
      </w:r>
      <w:r>
        <w:rPr>
          <w:spacing w:val="-5"/>
          <w:sz w:val="20"/>
        </w:rPr>
        <w:t>19</w:t>
      </w:r>
    </w:p>
    <w:p>
      <w:pPr>
        <w:pStyle w:val="BodyText"/>
        <w:spacing w:before="4"/>
        <w:rPr>
          <w:sz w:val="17"/>
        </w:rPr>
      </w:pPr>
    </w:p>
    <w:p>
      <w:pPr>
        <w:pStyle w:val="ListParagraph"/>
        <w:numPr>
          <w:ilvl w:val="2"/>
          <w:numId w:val="7"/>
        </w:numPr>
        <w:tabs>
          <w:tab w:pos="1722" w:val="left" w:leader="none"/>
          <w:tab w:pos="9816" w:val="left" w:leader="dot"/>
        </w:tabs>
        <w:spacing w:line="240" w:lineRule="auto" w:before="0" w:after="0"/>
        <w:ind w:left="1721" w:right="0" w:hanging="505"/>
        <w:jc w:val="left"/>
        <w:rPr>
          <w:sz w:val="20"/>
        </w:rPr>
      </w:pPr>
      <w:r>
        <w:rPr>
          <w:sz w:val="20"/>
        </w:rPr>
        <w:t>Access</w:t>
      </w:r>
      <w:r>
        <w:rPr>
          <w:spacing w:val="-7"/>
          <w:sz w:val="20"/>
        </w:rPr>
        <w:t> </w:t>
      </w:r>
      <w:r>
        <w:rPr>
          <w:sz w:val="20"/>
        </w:rPr>
        <w:t>to</w:t>
      </w:r>
      <w:r>
        <w:rPr>
          <w:spacing w:val="-7"/>
          <w:sz w:val="20"/>
        </w:rPr>
        <w:t> </w:t>
      </w:r>
      <w:r>
        <w:rPr>
          <w:sz w:val="20"/>
        </w:rPr>
        <w:t>Career</w:t>
      </w:r>
      <w:r>
        <w:rPr>
          <w:spacing w:val="-5"/>
          <w:sz w:val="20"/>
        </w:rPr>
        <w:t> </w:t>
      </w:r>
      <w:r>
        <w:rPr>
          <w:sz w:val="20"/>
        </w:rPr>
        <w:t>Development</w:t>
      </w:r>
      <w:r>
        <w:rPr>
          <w:spacing w:val="-8"/>
          <w:sz w:val="20"/>
        </w:rPr>
        <w:t> </w:t>
      </w:r>
      <w:r>
        <w:rPr>
          <w:spacing w:val="-2"/>
          <w:sz w:val="20"/>
        </w:rPr>
        <w:t>Information</w:t>
      </w:r>
      <w:r>
        <w:rPr>
          <w:sz w:val="20"/>
        </w:rPr>
        <w:tab/>
      </w:r>
      <w:r>
        <w:rPr>
          <w:w w:val="95"/>
          <w:sz w:val="20"/>
        </w:rPr>
        <w:t>2-</w:t>
      </w:r>
      <w:r>
        <w:rPr>
          <w:spacing w:val="-5"/>
          <w:sz w:val="20"/>
        </w:rPr>
        <w:t>19</w:t>
      </w:r>
    </w:p>
    <w:p>
      <w:pPr>
        <w:pStyle w:val="BodyText"/>
        <w:spacing w:before="4"/>
        <w:rPr>
          <w:sz w:val="17"/>
        </w:rPr>
      </w:pPr>
    </w:p>
    <w:p>
      <w:pPr>
        <w:pStyle w:val="ListParagraph"/>
        <w:numPr>
          <w:ilvl w:val="2"/>
          <w:numId w:val="7"/>
        </w:numPr>
        <w:tabs>
          <w:tab w:pos="1722" w:val="left" w:leader="none"/>
          <w:tab w:pos="9816" w:val="left" w:leader="dot"/>
        </w:tabs>
        <w:spacing w:line="240" w:lineRule="auto" w:before="0" w:after="0"/>
        <w:ind w:left="1721" w:right="0" w:hanging="505"/>
        <w:jc w:val="left"/>
        <w:rPr>
          <w:sz w:val="20"/>
        </w:rPr>
      </w:pPr>
      <w:r>
        <w:rPr>
          <w:sz w:val="20"/>
        </w:rPr>
        <w:t>Public</w:t>
      </w:r>
      <w:r>
        <w:rPr>
          <w:spacing w:val="-3"/>
          <w:sz w:val="20"/>
        </w:rPr>
        <w:t> </w:t>
      </w:r>
      <w:r>
        <w:rPr>
          <w:sz w:val="20"/>
        </w:rPr>
        <w:t>Access</w:t>
      </w:r>
      <w:r>
        <w:rPr>
          <w:spacing w:val="-6"/>
          <w:sz w:val="20"/>
        </w:rPr>
        <w:t> </w:t>
      </w:r>
      <w:r>
        <w:rPr>
          <w:sz w:val="20"/>
        </w:rPr>
        <w:t>to</w:t>
      </w:r>
      <w:r>
        <w:rPr>
          <w:spacing w:val="-6"/>
          <w:sz w:val="20"/>
        </w:rPr>
        <w:t> </w:t>
      </w:r>
      <w:r>
        <w:rPr>
          <w:sz w:val="20"/>
        </w:rPr>
        <w:t>APR’s</w:t>
      </w:r>
      <w:r>
        <w:rPr>
          <w:spacing w:val="-3"/>
          <w:sz w:val="20"/>
        </w:rPr>
        <w:t> </w:t>
      </w:r>
      <w:r>
        <w:rPr>
          <w:sz w:val="20"/>
        </w:rPr>
        <w:t>and</w:t>
      </w:r>
      <w:r>
        <w:rPr>
          <w:spacing w:val="-6"/>
          <w:sz w:val="20"/>
        </w:rPr>
        <w:t> </w:t>
      </w:r>
      <w:r>
        <w:rPr>
          <w:spacing w:val="-2"/>
          <w:sz w:val="20"/>
        </w:rPr>
        <w:t>VTR’s</w:t>
      </w:r>
      <w:r>
        <w:rPr>
          <w:sz w:val="20"/>
        </w:rPr>
        <w:tab/>
      </w:r>
      <w:r>
        <w:rPr>
          <w:w w:val="95"/>
          <w:sz w:val="20"/>
        </w:rPr>
        <w:t>2-</w:t>
      </w:r>
      <w:r>
        <w:rPr>
          <w:spacing w:val="-5"/>
          <w:sz w:val="20"/>
        </w:rPr>
        <w:t>21</w:t>
      </w:r>
    </w:p>
    <w:p>
      <w:pPr>
        <w:pStyle w:val="BodyText"/>
        <w:spacing w:before="6"/>
        <w:rPr>
          <w:sz w:val="17"/>
        </w:rPr>
      </w:pPr>
    </w:p>
    <w:p>
      <w:pPr>
        <w:pStyle w:val="ListParagraph"/>
        <w:numPr>
          <w:ilvl w:val="2"/>
          <w:numId w:val="7"/>
        </w:numPr>
        <w:tabs>
          <w:tab w:pos="1722" w:val="left" w:leader="none"/>
          <w:tab w:pos="9816" w:val="left" w:leader="dot"/>
        </w:tabs>
        <w:spacing w:line="240" w:lineRule="auto" w:before="1" w:after="0"/>
        <w:ind w:left="1721" w:right="0" w:hanging="505"/>
        <w:jc w:val="left"/>
        <w:rPr>
          <w:sz w:val="20"/>
        </w:rPr>
      </w:pPr>
      <w:r>
        <w:rPr>
          <w:sz w:val="20"/>
        </w:rPr>
        <w:t>ARE</w:t>
      </w:r>
      <w:r>
        <w:rPr>
          <w:spacing w:val="-5"/>
          <w:sz w:val="20"/>
        </w:rPr>
        <w:t> </w:t>
      </w:r>
      <w:r>
        <w:rPr>
          <w:sz w:val="20"/>
        </w:rPr>
        <w:t>Pass</w:t>
      </w:r>
      <w:r>
        <w:rPr>
          <w:spacing w:val="-5"/>
          <w:sz w:val="20"/>
        </w:rPr>
        <w:t> </w:t>
      </w:r>
      <w:r>
        <w:rPr>
          <w:spacing w:val="-4"/>
          <w:sz w:val="20"/>
        </w:rPr>
        <w:t>Rate</w:t>
      </w:r>
      <w:r>
        <w:rPr>
          <w:sz w:val="20"/>
        </w:rPr>
        <w:tab/>
      </w:r>
      <w:r>
        <w:rPr>
          <w:w w:val="95"/>
          <w:sz w:val="20"/>
        </w:rPr>
        <w:t>2-</w:t>
      </w:r>
      <w:r>
        <w:rPr>
          <w:spacing w:val="-5"/>
          <w:sz w:val="20"/>
        </w:rPr>
        <w:t>21</w:t>
      </w:r>
    </w:p>
    <w:p>
      <w:pPr>
        <w:pStyle w:val="BodyText"/>
        <w:spacing w:before="4"/>
        <w:rPr>
          <w:sz w:val="17"/>
        </w:rPr>
      </w:pPr>
    </w:p>
    <w:p>
      <w:pPr>
        <w:pStyle w:val="ListParagraph"/>
        <w:numPr>
          <w:ilvl w:val="0"/>
          <w:numId w:val="8"/>
        </w:numPr>
        <w:tabs>
          <w:tab w:pos="858" w:val="left" w:leader="none"/>
        </w:tabs>
        <w:spacing w:line="240" w:lineRule="auto" w:before="0" w:after="0"/>
        <w:ind w:left="857" w:right="0" w:hanging="361"/>
        <w:jc w:val="left"/>
        <w:rPr>
          <w:sz w:val="20"/>
        </w:rPr>
      </w:pPr>
      <w:r>
        <w:rPr>
          <w:spacing w:val="-2"/>
          <w:sz w:val="20"/>
        </w:rPr>
        <w:t>Part</w:t>
      </w:r>
      <w:r>
        <w:rPr>
          <w:spacing w:val="5"/>
          <w:sz w:val="20"/>
        </w:rPr>
        <w:t> </w:t>
      </w:r>
      <w:r>
        <w:rPr>
          <w:spacing w:val="-2"/>
          <w:sz w:val="20"/>
        </w:rPr>
        <w:t>Three</w:t>
      </w:r>
      <w:r>
        <w:rPr>
          <w:spacing w:val="5"/>
          <w:sz w:val="20"/>
        </w:rPr>
        <w:t> </w:t>
      </w:r>
      <w:r>
        <w:rPr>
          <w:spacing w:val="-2"/>
          <w:sz w:val="20"/>
        </w:rPr>
        <w:t>–</w:t>
      </w:r>
      <w:r>
        <w:rPr>
          <w:spacing w:val="8"/>
          <w:sz w:val="20"/>
        </w:rPr>
        <w:t> </w:t>
      </w:r>
      <w:r>
        <w:rPr>
          <w:spacing w:val="-2"/>
          <w:sz w:val="20"/>
        </w:rPr>
        <w:t>Progress</w:t>
      </w:r>
      <w:r>
        <w:rPr>
          <w:spacing w:val="6"/>
          <w:sz w:val="20"/>
        </w:rPr>
        <w:t> </w:t>
      </w:r>
      <w:r>
        <w:rPr>
          <w:spacing w:val="-2"/>
          <w:sz w:val="20"/>
        </w:rPr>
        <w:t>Since</w:t>
      </w:r>
      <w:r>
        <w:rPr>
          <w:spacing w:val="6"/>
          <w:sz w:val="20"/>
        </w:rPr>
        <w:t> </w:t>
      </w:r>
      <w:r>
        <w:rPr>
          <w:spacing w:val="-2"/>
          <w:sz w:val="20"/>
        </w:rPr>
        <w:t>the</w:t>
      </w:r>
      <w:r>
        <w:rPr>
          <w:spacing w:val="7"/>
          <w:sz w:val="20"/>
        </w:rPr>
        <w:t> </w:t>
      </w:r>
      <w:r>
        <w:rPr>
          <w:spacing w:val="-2"/>
          <w:sz w:val="20"/>
        </w:rPr>
        <w:t>Last</w:t>
      </w:r>
      <w:r>
        <w:rPr>
          <w:spacing w:val="8"/>
          <w:sz w:val="20"/>
        </w:rPr>
        <w:t> </w:t>
      </w:r>
      <w:r>
        <w:rPr>
          <w:spacing w:val="-2"/>
          <w:sz w:val="20"/>
        </w:rPr>
        <w:t>Site</w:t>
      </w:r>
      <w:r>
        <w:rPr>
          <w:spacing w:val="7"/>
          <w:sz w:val="20"/>
        </w:rPr>
        <w:t> </w:t>
      </w:r>
      <w:r>
        <w:rPr>
          <w:spacing w:val="-2"/>
          <w:sz w:val="20"/>
        </w:rPr>
        <w:t>Visit</w:t>
      </w:r>
      <w:r>
        <w:rPr>
          <w:spacing w:val="-10"/>
          <w:sz w:val="20"/>
        </w:rPr>
        <w:t> </w:t>
      </w:r>
      <w:r>
        <w:rPr>
          <w:spacing w:val="-2"/>
          <w:sz w:val="20"/>
        </w:rPr>
        <w:t>.............................................................................</w:t>
      </w:r>
      <w:r>
        <w:rPr>
          <w:spacing w:val="-15"/>
          <w:sz w:val="20"/>
        </w:rPr>
        <w:t> </w:t>
      </w:r>
      <w:r>
        <w:rPr>
          <w:spacing w:val="-2"/>
          <w:sz w:val="20"/>
        </w:rPr>
        <w:t>3-1</w:t>
      </w:r>
      <w:r>
        <w:rPr>
          <w:spacing w:val="6"/>
          <w:sz w:val="20"/>
        </w:rPr>
        <w:t> </w:t>
      </w:r>
      <w:r>
        <w:rPr>
          <w:spacing w:val="-2"/>
          <w:sz w:val="20"/>
        </w:rPr>
        <w:t>–</w:t>
      </w:r>
      <w:r>
        <w:rPr>
          <w:spacing w:val="5"/>
          <w:sz w:val="20"/>
        </w:rPr>
        <w:t> </w:t>
      </w:r>
      <w:r>
        <w:rPr>
          <w:spacing w:val="-2"/>
          <w:sz w:val="20"/>
        </w:rPr>
        <w:t>3-</w:t>
      </w:r>
      <w:r>
        <w:rPr>
          <w:spacing w:val="-5"/>
          <w:sz w:val="20"/>
        </w:rPr>
        <w:t>17</w:t>
      </w:r>
    </w:p>
    <w:p>
      <w:pPr>
        <w:pStyle w:val="BodyText"/>
        <w:spacing w:before="4"/>
        <w:rPr>
          <w:sz w:val="17"/>
        </w:rPr>
      </w:pPr>
    </w:p>
    <w:p>
      <w:pPr>
        <w:pStyle w:val="ListParagraph"/>
        <w:numPr>
          <w:ilvl w:val="1"/>
          <w:numId w:val="8"/>
        </w:numPr>
        <w:tabs>
          <w:tab w:pos="1289" w:val="left" w:leader="none"/>
          <w:tab w:pos="9928" w:val="left" w:leader="dot"/>
        </w:tabs>
        <w:spacing w:line="240" w:lineRule="auto" w:before="0" w:after="0"/>
        <w:ind w:left="1288" w:right="0" w:hanging="433"/>
        <w:jc w:val="left"/>
        <w:rPr>
          <w:sz w:val="20"/>
        </w:rPr>
      </w:pPr>
      <w:r>
        <w:rPr>
          <w:sz w:val="20"/>
        </w:rPr>
        <w:t>Summary</w:t>
      </w:r>
      <w:r>
        <w:rPr>
          <w:spacing w:val="-11"/>
          <w:sz w:val="20"/>
        </w:rPr>
        <w:t> </w:t>
      </w:r>
      <w:r>
        <w:rPr>
          <w:sz w:val="20"/>
        </w:rPr>
        <w:t>of</w:t>
      </w:r>
      <w:r>
        <w:rPr>
          <w:spacing w:val="-4"/>
          <w:sz w:val="20"/>
        </w:rPr>
        <w:t> </w:t>
      </w:r>
      <w:r>
        <w:rPr>
          <w:sz w:val="20"/>
        </w:rPr>
        <w:t>Responses</w:t>
      </w:r>
      <w:r>
        <w:rPr>
          <w:spacing w:val="-4"/>
          <w:sz w:val="20"/>
        </w:rPr>
        <w:t> </w:t>
      </w:r>
      <w:r>
        <w:rPr>
          <w:sz w:val="20"/>
        </w:rPr>
        <w:t>to</w:t>
      </w:r>
      <w:r>
        <w:rPr>
          <w:spacing w:val="-4"/>
          <w:sz w:val="20"/>
        </w:rPr>
        <w:t> </w:t>
      </w:r>
      <w:r>
        <w:rPr>
          <w:sz w:val="20"/>
        </w:rPr>
        <w:t>the</w:t>
      </w:r>
      <w:r>
        <w:rPr>
          <w:spacing w:val="-5"/>
          <w:sz w:val="20"/>
        </w:rPr>
        <w:t> </w:t>
      </w:r>
      <w:r>
        <w:rPr>
          <w:sz w:val="20"/>
        </w:rPr>
        <w:t>Team</w:t>
      </w:r>
      <w:r>
        <w:rPr>
          <w:spacing w:val="-1"/>
          <w:sz w:val="20"/>
        </w:rPr>
        <w:t> </w:t>
      </w:r>
      <w:r>
        <w:rPr>
          <w:spacing w:val="-2"/>
          <w:sz w:val="20"/>
        </w:rPr>
        <w:t>Findings</w:t>
      </w:r>
      <w:r>
        <w:rPr>
          <w:sz w:val="20"/>
        </w:rPr>
        <w:tab/>
      </w:r>
      <w:r>
        <w:rPr>
          <w:w w:val="95"/>
          <w:sz w:val="20"/>
        </w:rPr>
        <w:t>3-</w:t>
      </w:r>
      <w:r>
        <w:rPr>
          <w:spacing w:val="-10"/>
          <w:sz w:val="20"/>
        </w:rPr>
        <w:t>1</w:t>
      </w:r>
    </w:p>
    <w:p>
      <w:pPr>
        <w:pStyle w:val="BodyText"/>
        <w:spacing w:before="4"/>
        <w:rPr>
          <w:sz w:val="17"/>
        </w:rPr>
      </w:pPr>
    </w:p>
    <w:p>
      <w:pPr>
        <w:pStyle w:val="ListParagraph"/>
        <w:numPr>
          <w:ilvl w:val="2"/>
          <w:numId w:val="8"/>
        </w:numPr>
        <w:tabs>
          <w:tab w:pos="1721" w:val="left" w:leader="none"/>
          <w:tab w:pos="9928" w:val="left" w:leader="dot"/>
        </w:tabs>
        <w:spacing w:line="240" w:lineRule="auto" w:before="0" w:after="0"/>
        <w:ind w:left="1720" w:right="0" w:hanging="505"/>
        <w:jc w:val="left"/>
        <w:rPr>
          <w:sz w:val="20"/>
        </w:rPr>
      </w:pPr>
      <w:r>
        <w:rPr>
          <w:sz w:val="20"/>
        </w:rPr>
        <w:t>Responses</w:t>
      </w:r>
      <w:r>
        <w:rPr>
          <w:spacing w:val="-7"/>
          <w:sz w:val="20"/>
        </w:rPr>
        <w:t> </w:t>
      </w:r>
      <w:r>
        <w:rPr>
          <w:sz w:val="20"/>
        </w:rPr>
        <w:t>to</w:t>
      </w:r>
      <w:r>
        <w:rPr>
          <w:spacing w:val="-7"/>
          <w:sz w:val="20"/>
        </w:rPr>
        <w:t> </w:t>
      </w:r>
      <w:r>
        <w:rPr>
          <w:sz w:val="20"/>
        </w:rPr>
        <w:t>Conditions</w:t>
      </w:r>
      <w:r>
        <w:rPr>
          <w:spacing w:val="-6"/>
          <w:sz w:val="20"/>
        </w:rPr>
        <w:t> </w:t>
      </w:r>
      <w:r>
        <w:rPr>
          <w:sz w:val="20"/>
        </w:rPr>
        <w:t>Not</w:t>
      </w:r>
      <w:r>
        <w:rPr>
          <w:spacing w:val="-8"/>
          <w:sz w:val="20"/>
        </w:rPr>
        <w:t> </w:t>
      </w:r>
      <w:r>
        <w:rPr>
          <w:spacing w:val="-5"/>
          <w:sz w:val="20"/>
        </w:rPr>
        <w:t>Met</w:t>
      </w:r>
      <w:r>
        <w:rPr>
          <w:sz w:val="20"/>
        </w:rPr>
        <w:tab/>
      </w:r>
      <w:r>
        <w:rPr>
          <w:w w:val="95"/>
          <w:sz w:val="20"/>
        </w:rPr>
        <w:t>3-</w:t>
      </w:r>
      <w:r>
        <w:rPr>
          <w:spacing w:val="-10"/>
          <w:sz w:val="20"/>
        </w:rPr>
        <w:t>1</w:t>
      </w:r>
    </w:p>
    <w:p>
      <w:pPr>
        <w:pStyle w:val="BodyText"/>
        <w:spacing w:before="4"/>
        <w:rPr>
          <w:sz w:val="17"/>
        </w:rPr>
      </w:pPr>
    </w:p>
    <w:p>
      <w:pPr>
        <w:pStyle w:val="ListParagraph"/>
        <w:numPr>
          <w:ilvl w:val="2"/>
          <w:numId w:val="8"/>
        </w:numPr>
        <w:tabs>
          <w:tab w:pos="1721" w:val="left" w:leader="none"/>
          <w:tab w:pos="9928" w:val="left" w:leader="dot"/>
        </w:tabs>
        <w:spacing w:line="240" w:lineRule="auto" w:before="0" w:after="0"/>
        <w:ind w:left="1720" w:right="0" w:hanging="505"/>
        <w:jc w:val="left"/>
        <w:rPr>
          <w:sz w:val="20"/>
        </w:rPr>
      </w:pPr>
      <w:r>
        <w:rPr>
          <w:sz w:val="20"/>
        </w:rPr>
        <w:t>Responses</w:t>
      </w:r>
      <w:r>
        <w:rPr>
          <w:spacing w:val="-6"/>
          <w:sz w:val="20"/>
        </w:rPr>
        <w:t> </w:t>
      </w:r>
      <w:r>
        <w:rPr>
          <w:sz w:val="20"/>
        </w:rPr>
        <w:t>to</w:t>
      </w:r>
      <w:r>
        <w:rPr>
          <w:spacing w:val="-6"/>
          <w:sz w:val="20"/>
        </w:rPr>
        <w:t> </w:t>
      </w:r>
      <w:r>
        <w:rPr>
          <w:sz w:val="20"/>
        </w:rPr>
        <w:t>Causes</w:t>
      </w:r>
      <w:r>
        <w:rPr>
          <w:spacing w:val="-5"/>
          <w:sz w:val="20"/>
        </w:rPr>
        <w:t> </w:t>
      </w:r>
      <w:r>
        <w:rPr>
          <w:sz w:val="20"/>
        </w:rPr>
        <w:t>of</w:t>
      </w:r>
      <w:r>
        <w:rPr>
          <w:spacing w:val="-5"/>
          <w:sz w:val="20"/>
        </w:rPr>
        <w:t> </w:t>
      </w:r>
      <w:r>
        <w:rPr>
          <w:spacing w:val="-2"/>
          <w:sz w:val="20"/>
        </w:rPr>
        <w:t>Concern</w:t>
      </w:r>
      <w:r>
        <w:rPr>
          <w:sz w:val="20"/>
        </w:rPr>
        <w:tab/>
      </w:r>
      <w:r>
        <w:rPr>
          <w:w w:val="95"/>
          <w:sz w:val="20"/>
        </w:rPr>
        <w:t>3-</w:t>
      </w:r>
      <w:r>
        <w:rPr>
          <w:spacing w:val="-10"/>
          <w:sz w:val="20"/>
        </w:rPr>
        <w:t>9</w:t>
      </w:r>
    </w:p>
    <w:p>
      <w:pPr>
        <w:pStyle w:val="BodyText"/>
        <w:spacing w:before="4"/>
        <w:rPr>
          <w:sz w:val="17"/>
        </w:rPr>
      </w:pPr>
    </w:p>
    <w:p>
      <w:pPr>
        <w:pStyle w:val="ListParagraph"/>
        <w:numPr>
          <w:ilvl w:val="2"/>
          <w:numId w:val="8"/>
        </w:numPr>
        <w:tabs>
          <w:tab w:pos="1721" w:val="left" w:leader="none"/>
          <w:tab w:pos="9815" w:val="left" w:leader="dot"/>
        </w:tabs>
        <w:spacing w:line="240" w:lineRule="auto" w:before="1" w:after="0"/>
        <w:ind w:left="1720" w:right="0" w:hanging="505"/>
        <w:jc w:val="left"/>
        <w:rPr>
          <w:sz w:val="20"/>
        </w:rPr>
      </w:pPr>
      <w:r>
        <w:rPr>
          <w:sz w:val="20"/>
        </w:rPr>
        <w:t>Summary</w:t>
      </w:r>
      <w:r>
        <w:rPr>
          <w:spacing w:val="-11"/>
          <w:sz w:val="20"/>
        </w:rPr>
        <w:t> </w:t>
      </w:r>
      <w:r>
        <w:rPr>
          <w:sz w:val="20"/>
        </w:rPr>
        <w:t>of</w:t>
      </w:r>
      <w:r>
        <w:rPr>
          <w:spacing w:val="-4"/>
          <w:sz w:val="20"/>
        </w:rPr>
        <w:t> </w:t>
      </w:r>
      <w:r>
        <w:rPr>
          <w:sz w:val="20"/>
        </w:rPr>
        <w:t>Responses</w:t>
      </w:r>
      <w:r>
        <w:rPr>
          <w:spacing w:val="-4"/>
          <w:sz w:val="20"/>
        </w:rPr>
        <w:t> </w:t>
      </w:r>
      <w:r>
        <w:rPr>
          <w:sz w:val="20"/>
        </w:rPr>
        <w:t>to</w:t>
      </w:r>
      <w:r>
        <w:rPr>
          <w:spacing w:val="-3"/>
          <w:sz w:val="20"/>
        </w:rPr>
        <w:t> </w:t>
      </w:r>
      <w:r>
        <w:rPr>
          <w:sz w:val="20"/>
        </w:rPr>
        <w:t>Changes</w:t>
      </w:r>
      <w:r>
        <w:rPr>
          <w:spacing w:val="-5"/>
          <w:sz w:val="20"/>
        </w:rPr>
        <w:t> </w:t>
      </w:r>
      <w:r>
        <w:rPr>
          <w:sz w:val="20"/>
        </w:rPr>
        <w:t>in</w:t>
      </w:r>
      <w:r>
        <w:rPr>
          <w:spacing w:val="-5"/>
          <w:sz w:val="20"/>
        </w:rPr>
        <w:t> </w:t>
      </w:r>
      <w:r>
        <w:rPr>
          <w:sz w:val="20"/>
        </w:rPr>
        <w:t>the</w:t>
      </w:r>
      <w:r>
        <w:rPr>
          <w:spacing w:val="-5"/>
          <w:sz w:val="20"/>
        </w:rPr>
        <w:t> </w:t>
      </w:r>
      <w:r>
        <w:rPr>
          <w:sz w:val="20"/>
        </w:rPr>
        <w:t>NAAB</w:t>
      </w:r>
      <w:r>
        <w:rPr>
          <w:spacing w:val="-6"/>
          <w:sz w:val="20"/>
        </w:rPr>
        <w:t> </w:t>
      </w:r>
      <w:r>
        <w:rPr>
          <w:spacing w:val="-2"/>
          <w:sz w:val="20"/>
        </w:rPr>
        <w:t>Conditions</w:t>
      </w:r>
      <w:r>
        <w:rPr>
          <w:sz w:val="20"/>
        </w:rPr>
        <w:tab/>
      </w:r>
      <w:r>
        <w:rPr>
          <w:w w:val="95"/>
          <w:sz w:val="20"/>
        </w:rPr>
        <w:t>3-</w:t>
      </w:r>
      <w:r>
        <w:rPr>
          <w:spacing w:val="-5"/>
          <w:sz w:val="20"/>
        </w:rPr>
        <w:t>13</w:t>
      </w:r>
    </w:p>
    <w:p>
      <w:pPr>
        <w:pStyle w:val="BodyText"/>
        <w:spacing w:before="6"/>
        <w:rPr>
          <w:sz w:val="17"/>
        </w:rPr>
      </w:pPr>
    </w:p>
    <w:p>
      <w:pPr>
        <w:pStyle w:val="ListParagraph"/>
        <w:numPr>
          <w:ilvl w:val="0"/>
          <w:numId w:val="8"/>
        </w:numPr>
        <w:tabs>
          <w:tab w:pos="856" w:val="left" w:leader="none"/>
          <w:tab w:pos="9927" w:val="left" w:leader="dot"/>
        </w:tabs>
        <w:spacing w:line="240" w:lineRule="auto" w:before="0" w:after="0"/>
        <w:ind w:left="855" w:right="0" w:hanging="361"/>
        <w:jc w:val="left"/>
        <w:rPr>
          <w:sz w:val="20"/>
        </w:rPr>
      </w:pPr>
      <w:r>
        <w:rPr>
          <w:sz w:val="20"/>
        </w:rPr>
        <w:t>Part</w:t>
      </w:r>
      <w:r>
        <w:rPr>
          <w:spacing w:val="-7"/>
          <w:sz w:val="20"/>
        </w:rPr>
        <w:t> </w:t>
      </w:r>
      <w:r>
        <w:rPr>
          <w:sz w:val="20"/>
        </w:rPr>
        <w:t>Four</w:t>
      </w:r>
      <w:r>
        <w:rPr>
          <w:spacing w:val="-6"/>
          <w:sz w:val="20"/>
        </w:rPr>
        <w:t> </w:t>
      </w:r>
      <w:r>
        <w:rPr>
          <w:sz w:val="20"/>
        </w:rPr>
        <w:t>–</w:t>
      </w:r>
      <w:r>
        <w:rPr>
          <w:spacing w:val="-5"/>
          <w:sz w:val="20"/>
        </w:rPr>
        <w:t> </w:t>
      </w:r>
      <w:r>
        <w:rPr>
          <w:sz w:val="20"/>
        </w:rPr>
        <w:t>Supplemental</w:t>
      </w:r>
      <w:r>
        <w:rPr>
          <w:spacing w:val="-8"/>
          <w:sz w:val="20"/>
        </w:rPr>
        <w:t> </w:t>
      </w:r>
      <w:r>
        <w:rPr>
          <w:spacing w:val="-2"/>
          <w:sz w:val="20"/>
        </w:rPr>
        <w:t>Information</w:t>
      </w:r>
      <w:r>
        <w:rPr>
          <w:sz w:val="20"/>
        </w:rPr>
        <w:tab/>
      </w:r>
      <w:r>
        <w:rPr>
          <w:w w:val="95"/>
          <w:sz w:val="20"/>
        </w:rPr>
        <w:t>4-</w:t>
      </w:r>
      <w:r>
        <w:rPr>
          <w:spacing w:val="-10"/>
          <w:sz w:val="20"/>
        </w:rPr>
        <w:t>1</w:t>
      </w:r>
    </w:p>
    <w:p>
      <w:pPr>
        <w:pStyle w:val="BodyText"/>
        <w:spacing w:before="4"/>
        <w:rPr>
          <w:sz w:val="17"/>
        </w:rPr>
      </w:pPr>
    </w:p>
    <w:p>
      <w:pPr>
        <w:pStyle w:val="ListParagraph"/>
        <w:numPr>
          <w:ilvl w:val="1"/>
          <w:numId w:val="8"/>
        </w:numPr>
        <w:tabs>
          <w:tab w:pos="1288" w:val="left" w:leader="none"/>
          <w:tab w:pos="9927" w:val="left" w:leader="dot"/>
        </w:tabs>
        <w:spacing w:line="240" w:lineRule="auto" w:before="0" w:after="0"/>
        <w:ind w:left="1287" w:right="0" w:hanging="433"/>
        <w:jc w:val="left"/>
        <w:rPr>
          <w:sz w:val="20"/>
        </w:rPr>
      </w:pPr>
      <w:r>
        <w:rPr>
          <w:sz w:val="20"/>
        </w:rPr>
        <w:t>Course</w:t>
      </w:r>
      <w:r>
        <w:rPr>
          <w:spacing w:val="-9"/>
          <w:sz w:val="20"/>
        </w:rPr>
        <w:t> </w:t>
      </w:r>
      <w:r>
        <w:rPr>
          <w:spacing w:val="-2"/>
          <w:sz w:val="20"/>
        </w:rPr>
        <w:t>Descriptions</w:t>
      </w:r>
      <w:r>
        <w:rPr>
          <w:sz w:val="20"/>
        </w:rPr>
        <w:tab/>
      </w:r>
      <w:r>
        <w:rPr>
          <w:w w:val="95"/>
          <w:sz w:val="20"/>
        </w:rPr>
        <w:t>4-</w:t>
      </w:r>
      <w:r>
        <w:rPr>
          <w:spacing w:val="-10"/>
          <w:sz w:val="20"/>
        </w:rPr>
        <w:t>1</w:t>
      </w:r>
    </w:p>
    <w:p>
      <w:pPr>
        <w:pStyle w:val="BodyText"/>
        <w:spacing w:before="4"/>
        <w:rPr>
          <w:sz w:val="17"/>
        </w:rPr>
      </w:pPr>
    </w:p>
    <w:p>
      <w:pPr>
        <w:pStyle w:val="ListParagraph"/>
        <w:numPr>
          <w:ilvl w:val="1"/>
          <w:numId w:val="8"/>
        </w:numPr>
        <w:tabs>
          <w:tab w:pos="1288" w:val="left" w:leader="none"/>
          <w:tab w:pos="9814" w:val="left" w:leader="dot"/>
        </w:tabs>
        <w:spacing w:line="240" w:lineRule="auto" w:before="1" w:after="0"/>
        <w:ind w:left="1287" w:right="0" w:hanging="433"/>
        <w:jc w:val="left"/>
        <w:rPr>
          <w:sz w:val="20"/>
        </w:rPr>
      </w:pPr>
      <w:r>
        <w:rPr>
          <w:sz w:val="20"/>
        </w:rPr>
        <w:t>Faculty</w:t>
      </w:r>
      <w:r>
        <w:rPr>
          <w:spacing w:val="-10"/>
          <w:sz w:val="20"/>
        </w:rPr>
        <w:t> </w:t>
      </w:r>
      <w:r>
        <w:rPr>
          <w:spacing w:val="-2"/>
          <w:w w:val="95"/>
          <w:sz w:val="20"/>
        </w:rPr>
        <w:t>Resumes</w:t>
      </w:r>
      <w:r>
        <w:rPr>
          <w:sz w:val="20"/>
        </w:rPr>
        <w:tab/>
      </w:r>
      <w:r>
        <w:rPr>
          <w:w w:val="95"/>
          <w:sz w:val="20"/>
        </w:rPr>
        <w:t>4-</w:t>
      </w:r>
      <w:r>
        <w:rPr>
          <w:spacing w:val="-5"/>
          <w:sz w:val="20"/>
        </w:rPr>
        <w:t>34</w:t>
      </w:r>
    </w:p>
    <w:p>
      <w:pPr>
        <w:pStyle w:val="BodyText"/>
        <w:spacing w:before="4"/>
        <w:rPr>
          <w:sz w:val="17"/>
        </w:rPr>
      </w:pPr>
    </w:p>
    <w:p>
      <w:pPr>
        <w:pStyle w:val="ListParagraph"/>
        <w:numPr>
          <w:ilvl w:val="1"/>
          <w:numId w:val="8"/>
        </w:numPr>
        <w:tabs>
          <w:tab w:pos="1288" w:val="left" w:leader="none"/>
          <w:tab w:pos="9091" w:val="left" w:leader="dot"/>
        </w:tabs>
        <w:spacing w:line="240" w:lineRule="auto" w:before="0" w:after="0"/>
        <w:ind w:left="1287" w:right="0" w:hanging="433"/>
        <w:jc w:val="left"/>
        <w:rPr>
          <w:sz w:val="20"/>
        </w:rPr>
      </w:pPr>
      <w:r>
        <w:rPr>
          <w:sz w:val="20"/>
        </w:rPr>
        <w:t>Visiting</w:t>
      </w:r>
      <w:r>
        <w:rPr>
          <w:spacing w:val="-8"/>
          <w:sz w:val="20"/>
        </w:rPr>
        <w:t> </w:t>
      </w:r>
      <w:r>
        <w:rPr>
          <w:sz w:val="20"/>
        </w:rPr>
        <w:t>Team</w:t>
      </w:r>
      <w:r>
        <w:rPr>
          <w:spacing w:val="-3"/>
          <w:sz w:val="20"/>
        </w:rPr>
        <w:t> </w:t>
      </w:r>
      <w:r>
        <w:rPr>
          <w:sz w:val="20"/>
        </w:rPr>
        <w:t>Report</w:t>
      </w:r>
      <w:r>
        <w:rPr>
          <w:spacing w:val="-8"/>
          <w:sz w:val="20"/>
        </w:rPr>
        <w:t> </w:t>
      </w:r>
      <w:r>
        <w:rPr>
          <w:sz w:val="20"/>
        </w:rPr>
        <w:t>(VTR)</w:t>
      </w:r>
      <w:r>
        <w:rPr>
          <w:spacing w:val="-8"/>
          <w:sz w:val="20"/>
        </w:rPr>
        <w:t> </w:t>
      </w:r>
      <w:r>
        <w:rPr>
          <w:sz w:val="20"/>
        </w:rPr>
        <w:t>from</w:t>
      </w:r>
      <w:r>
        <w:rPr>
          <w:spacing w:val="-3"/>
          <w:sz w:val="20"/>
        </w:rPr>
        <w:t> </w:t>
      </w:r>
      <w:r>
        <w:rPr>
          <w:sz w:val="20"/>
        </w:rPr>
        <w:t>the</w:t>
      </w:r>
      <w:r>
        <w:rPr>
          <w:spacing w:val="-8"/>
          <w:sz w:val="20"/>
        </w:rPr>
        <w:t> </w:t>
      </w:r>
      <w:r>
        <w:rPr>
          <w:sz w:val="20"/>
        </w:rPr>
        <w:t>previous</w:t>
      </w:r>
      <w:r>
        <w:rPr>
          <w:spacing w:val="-4"/>
          <w:sz w:val="20"/>
        </w:rPr>
        <w:t> visit</w:t>
      </w:r>
      <w:r>
        <w:rPr>
          <w:sz w:val="20"/>
        </w:rPr>
        <w:tab/>
      </w:r>
      <w:r>
        <w:rPr>
          <w:spacing w:val="-2"/>
          <w:sz w:val="20"/>
        </w:rPr>
        <w:t>unnumbered</w:t>
      </w:r>
    </w:p>
    <w:p>
      <w:pPr>
        <w:pStyle w:val="BodyText"/>
        <w:spacing w:before="4"/>
        <w:rPr>
          <w:sz w:val="17"/>
        </w:rPr>
      </w:pPr>
    </w:p>
    <w:p>
      <w:pPr>
        <w:pStyle w:val="ListParagraph"/>
        <w:numPr>
          <w:ilvl w:val="1"/>
          <w:numId w:val="8"/>
        </w:numPr>
        <w:tabs>
          <w:tab w:pos="1288" w:val="left" w:leader="none"/>
          <w:tab w:pos="9091" w:val="left" w:leader="dot"/>
        </w:tabs>
        <w:spacing w:line="240" w:lineRule="auto" w:before="0" w:after="0"/>
        <w:ind w:left="1287" w:right="0" w:hanging="433"/>
        <w:jc w:val="left"/>
        <w:rPr>
          <w:sz w:val="20"/>
        </w:rPr>
      </w:pPr>
      <w:r>
        <w:rPr>
          <w:sz w:val="20"/>
        </w:rPr>
        <w:t>Catalog</w:t>
      </w:r>
      <w:r>
        <w:rPr>
          <w:spacing w:val="-7"/>
          <w:sz w:val="20"/>
        </w:rPr>
        <w:t> </w:t>
      </w:r>
      <w:r>
        <w:rPr>
          <w:sz w:val="20"/>
        </w:rPr>
        <w:t>(or</w:t>
      </w:r>
      <w:r>
        <w:rPr>
          <w:spacing w:val="-5"/>
          <w:sz w:val="20"/>
        </w:rPr>
        <w:t> </w:t>
      </w:r>
      <w:r>
        <w:rPr>
          <w:sz w:val="20"/>
        </w:rPr>
        <w:t>URL</w:t>
      </w:r>
      <w:r>
        <w:rPr>
          <w:spacing w:val="-6"/>
          <w:sz w:val="20"/>
        </w:rPr>
        <w:t> </w:t>
      </w:r>
      <w:r>
        <w:rPr>
          <w:sz w:val="20"/>
        </w:rPr>
        <w:t>for</w:t>
      </w:r>
      <w:r>
        <w:rPr>
          <w:spacing w:val="-6"/>
          <w:sz w:val="20"/>
        </w:rPr>
        <w:t> </w:t>
      </w:r>
      <w:r>
        <w:rPr>
          <w:sz w:val="20"/>
        </w:rPr>
        <w:t>retrieving</w:t>
      </w:r>
      <w:r>
        <w:rPr>
          <w:spacing w:val="-6"/>
          <w:sz w:val="20"/>
        </w:rPr>
        <w:t> </w:t>
      </w:r>
      <w:r>
        <w:rPr>
          <w:sz w:val="20"/>
        </w:rPr>
        <w:t>online</w:t>
      </w:r>
      <w:r>
        <w:rPr>
          <w:spacing w:val="-6"/>
          <w:sz w:val="20"/>
        </w:rPr>
        <w:t> </w:t>
      </w:r>
      <w:r>
        <w:rPr>
          <w:sz w:val="20"/>
        </w:rPr>
        <w:t>catalogs</w:t>
      </w:r>
      <w:r>
        <w:rPr>
          <w:spacing w:val="-5"/>
          <w:sz w:val="20"/>
        </w:rPr>
        <w:t> </w:t>
      </w:r>
      <w:r>
        <w:rPr>
          <w:sz w:val="20"/>
        </w:rPr>
        <w:t>and</w:t>
      </w:r>
      <w:r>
        <w:rPr>
          <w:spacing w:val="-6"/>
          <w:sz w:val="20"/>
        </w:rPr>
        <w:t> </w:t>
      </w:r>
      <w:r>
        <w:rPr>
          <w:sz w:val="20"/>
        </w:rPr>
        <w:t>related</w:t>
      </w:r>
      <w:r>
        <w:rPr>
          <w:spacing w:val="-7"/>
          <w:sz w:val="20"/>
        </w:rPr>
        <w:t> </w:t>
      </w:r>
      <w:r>
        <w:rPr>
          <w:spacing w:val="-2"/>
          <w:sz w:val="20"/>
        </w:rPr>
        <w:t>materials)</w:t>
      </w:r>
      <w:r>
        <w:rPr>
          <w:sz w:val="20"/>
        </w:rPr>
        <w:tab/>
      </w:r>
      <w:r>
        <w:rPr>
          <w:spacing w:val="-2"/>
          <w:sz w:val="20"/>
        </w:rPr>
        <w:t>unnumbered</w:t>
      </w:r>
    </w:p>
    <w:p>
      <w:pPr>
        <w:pStyle w:val="BodyText"/>
        <w:spacing w:before="4"/>
        <w:rPr>
          <w:sz w:val="17"/>
        </w:rPr>
      </w:pPr>
    </w:p>
    <w:p>
      <w:pPr>
        <w:pStyle w:val="ListParagraph"/>
        <w:numPr>
          <w:ilvl w:val="1"/>
          <w:numId w:val="8"/>
        </w:numPr>
        <w:tabs>
          <w:tab w:pos="1288" w:val="left" w:leader="none"/>
          <w:tab w:pos="9092" w:val="left" w:leader="dot"/>
        </w:tabs>
        <w:spacing w:line="240" w:lineRule="auto" w:before="0" w:after="0"/>
        <w:ind w:left="1287" w:right="0" w:hanging="433"/>
        <w:jc w:val="left"/>
        <w:rPr>
          <w:sz w:val="20"/>
        </w:rPr>
      </w:pPr>
      <w:r>
        <w:rPr>
          <w:sz w:val="20"/>
        </w:rPr>
        <w:t>Studio</w:t>
      </w:r>
      <w:r>
        <w:rPr>
          <w:spacing w:val="-8"/>
          <w:sz w:val="20"/>
        </w:rPr>
        <w:t> </w:t>
      </w:r>
      <w:r>
        <w:rPr>
          <w:sz w:val="20"/>
        </w:rPr>
        <w:t>Culture</w:t>
      </w:r>
      <w:r>
        <w:rPr>
          <w:spacing w:val="-10"/>
          <w:sz w:val="20"/>
        </w:rPr>
        <w:t> </w:t>
      </w:r>
      <w:r>
        <w:rPr>
          <w:spacing w:val="-2"/>
          <w:sz w:val="20"/>
        </w:rPr>
        <w:t>Handbook</w:t>
      </w:r>
      <w:r>
        <w:rPr>
          <w:sz w:val="20"/>
        </w:rPr>
        <w:tab/>
      </w:r>
      <w:r>
        <w:rPr>
          <w:spacing w:val="-2"/>
          <w:sz w:val="20"/>
        </w:rPr>
        <w:t>unnumbered</w:t>
      </w:r>
    </w:p>
    <w:p>
      <w:pPr>
        <w:pStyle w:val="BodyText"/>
        <w:spacing w:before="4"/>
        <w:rPr>
          <w:sz w:val="17"/>
        </w:rPr>
      </w:pPr>
    </w:p>
    <w:p>
      <w:pPr>
        <w:pStyle w:val="ListParagraph"/>
        <w:numPr>
          <w:ilvl w:val="1"/>
          <w:numId w:val="8"/>
        </w:numPr>
        <w:tabs>
          <w:tab w:pos="1288" w:val="left" w:leader="none"/>
          <w:tab w:pos="9092" w:val="left" w:leader="dot"/>
        </w:tabs>
        <w:spacing w:line="240" w:lineRule="auto" w:before="1" w:after="0"/>
        <w:ind w:left="1287" w:right="0" w:hanging="433"/>
        <w:jc w:val="left"/>
        <w:rPr>
          <w:sz w:val="20"/>
        </w:rPr>
      </w:pPr>
      <w:r>
        <w:rPr>
          <w:sz w:val="20"/>
        </w:rPr>
        <w:t>University</w:t>
      </w:r>
      <w:r>
        <w:rPr>
          <w:spacing w:val="-14"/>
          <w:sz w:val="20"/>
        </w:rPr>
        <w:t> </w:t>
      </w:r>
      <w:r>
        <w:rPr>
          <w:sz w:val="20"/>
        </w:rPr>
        <w:t>Accreditation</w:t>
      </w:r>
      <w:r>
        <w:rPr>
          <w:spacing w:val="-13"/>
          <w:sz w:val="20"/>
        </w:rPr>
        <w:t> </w:t>
      </w:r>
      <w:r>
        <w:rPr>
          <w:spacing w:val="-2"/>
          <w:sz w:val="20"/>
        </w:rPr>
        <w:t>Letters</w:t>
      </w:r>
      <w:r>
        <w:rPr>
          <w:sz w:val="20"/>
        </w:rPr>
        <w:tab/>
      </w:r>
      <w:r>
        <w:rPr>
          <w:spacing w:val="-2"/>
          <w:sz w:val="20"/>
        </w:rPr>
        <w:t>unnumbered</w:t>
      </w:r>
    </w:p>
    <w:p>
      <w:pPr>
        <w:spacing w:after="0" w:line="240" w:lineRule="auto"/>
        <w:jc w:val="left"/>
        <w:rPr>
          <w:sz w:val="20"/>
        </w:rPr>
        <w:sectPr>
          <w:pgSz w:w="12240" w:h="15840"/>
          <w:pgMar w:header="0" w:footer="974" w:top="1360" w:bottom="1160" w:left="940" w:right="960"/>
        </w:sectPr>
      </w:pPr>
    </w:p>
    <w:p>
      <w:pPr>
        <w:pStyle w:val="Heading5"/>
        <w:numPr>
          <w:ilvl w:val="0"/>
          <w:numId w:val="9"/>
        </w:numPr>
        <w:tabs>
          <w:tab w:pos="860" w:val="left" w:leader="none"/>
        </w:tabs>
        <w:spacing w:line="240" w:lineRule="auto" w:before="76" w:after="0"/>
        <w:ind w:left="859" w:right="921" w:hanging="360"/>
        <w:jc w:val="left"/>
      </w:pPr>
      <w:r>
        <w:rPr/>
        <w:t>Part</w:t>
      </w:r>
      <w:r>
        <w:rPr>
          <w:spacing w:val="-5"/>
        </w:rPr>
        <w:t> </w:t>
      </w:r>
      <w:r>
        <w:rPr/>
        <w:t>One</w:t>
      </w:r>
      <w:r>
        <w:rPr>
          <w:spacing w:val="-3"/>
        </w:rPr>
        <w:t> </w:t>
      </w:r>
      <w:r>
        <w:rPr/>
        <w:t>–</w:t>
      </w:r>
      <w:r>
        <w:rPr>
          <w:spacing w:val="-8"/>
        </w:rPr>
        <w:t> </w:t>
      </w:r>
      <w:r>
        <w:rPr/>
        <w:t>Institutional</w:t>
      </w:r>
      <w:r>
        <w:rPr>
          <w:spacing w:val="-2"/>
        </w:rPr>
        <w:t> </w:t>
      </w:r>
      <w:r>
        <w:rPr/>
        <w:t>Support</w:t>
      </w:r>
      <w:r>
        <w:rPr>
          <w:spacing w:val="-5"/>
        </w:rPr>
        <w:t> </w:t>
      </w:r>
      <w:r>
        <w:rPr/>
        <w:t>and</w:t>
      </w:r>
      <w:r>
        <w:rPr>
          <w:spacing w:val="-4"/>
        </w:rPr>
        <w:t> </w:t>
      </w:r>
      <w:r>
        <w:rPr/>
        <w:t>Commitment</w:t>
      </w:r>
      <w:r>
        <w:rPr>
          <w:spacing w:val="-3"/>
        </w:rPr>
        <w:t> </w:t>
      </w:r>
      <w:r>
        <w:rPr/>
        <w:t>to</w:t>
      </w:r>
      <w:r>
        <w:rPr>
          <w:spacing w:val="-7"/>
        </w:rPr>
        <w:t> </w:t>
      </w:r>
      <w:r>
        <w:rPr/>
        <w:t>Continuous </w:t>
      </w:r>
      <w:r>
        <w:rPr>
          <w:spacing w:val="-2"/>
        </w:rPr>
        <w:t>Improvement</w:t>
      </w:r>
    </w:p>
    <w:p>
      <w:pPr>
        <w:pStyle w:val="ListParagraph"/>
        <w:numPr>
          <w:ilvl w:val="1"/>
          <w:numId w:val="9"/>
        </w:numPr>
        <w:tabs>
          <w:tab w:pos="1293" w:val="left" w:leader="none"/>
        </w:tabs>
        <w:spacing w:line="240" w:lineRule="auto" w:before="240" w:after="0"/>
        <w:ind w:left="1292" w:right="0" w:hanging="433"/>
        <w:jc w:val="left"/>
        <w:rPr>
          <w:sz w:val="20"/>
        </w:rPr>
      </w:pPr>
      <w:r>
        <w:rPr>
          <w:sz w:val="20"/>
        </w:rPr>
        <w:t>Identity</w:t>
      </w:r>
      <w:r>
        <w:rPr>
          <w:spacing w:val="-10"/>
          <w:sz w:val="20"/>
        </w:rPr>
        <w:t> </w:t>
      </w:r>
      <w:r>
        <w:rPr>
          <w:sz w:val="20"/>
        </w:rPr>
        <w:t>&amp;</w:t>
      </w:r>
      <w:r>
        <w:rPr>
          <w:spacing w:val="-5"/>
          <w:sz w:val="20"/>
        </w:rPr>
        <w:t> </w:t>
      </w:r>
      <w:r>
        <w:rPr>
          <w:sz w:val="20"/>
        </w:rPr>
        <w:t>Self-</w:t>
      </w:r>
      <w:r>
        <w:rPr>
          <w:spacing w:val="-2"/>
          <w:sz w:val="20"/>
        </w:rPr>
        <w:t>Assessment</w:t>
      </w:r>
    </w:p>
    <w:p>
      <w:pPr>
        <w:pStyle w:val="BodyText"/>
        <w:spacing w:before="10"/>
      </w:pPr>
    </w:p>
    <w:p>
      <w:pPr>
        <w:pStyle w:val="ListParagraph"/>
        <w:numPr>
          <w:ilvl w:val="2"/>
          <w:numId w:val="9"/>
        </w:numPr>
        <w:tabs>
          <w:tab w:pos="1725" w:val="left" w:leader="none"/>
        </w:tabs>
        <w:spacing w:line="240" w:lineRule="auto" w:before="1" w:after="0"/>
        <w:ind w:left="1724" w:right="0" w:hanging="505"/>
        <w:jc w:val="left"/>
        <w:rPr>
          <w:sz w:val="20"/>
        </w:rPr>
      </w:pPr>
      <w:r>
        <w:rPr>
          <w:sz w:val="20"/>
        </w:rPr>
        <w:t>History</w:t>
      </w:r>
      <w:r>
        <w:rPr>
          <w:spacing w:val="-7"/>
          <w:sz w:val="20"/>
        </w:rPr>
        <w:t> </w:t>
      </w:r>
      <w:r>
        <w:rPr>
          <w:sz w:val="20"/>
        </w:rPr>
        <w:t>and</w:t>
      </w:r>
      <w:r>
        <w:rPr>
          <w:spacing w:val="-5"/>
          <w:sz w:val="20"/>
        </w:rPr>
        <w:t> </w:t>
      </w:r>
      <w:r>
        <w:rPr>
          <w:spacing w:val="-2"/>
          <w:sz w:val="20"/>
        </w:rPr>
        <w:t>Mission</w:t>
      </w:r>
    </w:p>
    <w:p>
      <w:pPr>
        <w:pStyle w:val="BodyText"/>
        <w:spacing w:before="7"/>
      </w:pPr>
    </w:p>
    <w:p>
      <w:pPr>
        <w:numPr>
          <w:ilvl w:val="3"/>
          <w:numId w:val="9"/>
        </w:numPr>
        <w:tabs>
          <w:tab w:pos="2301" w:val="left" w:leader="none"/>
        </w:tabs>
        <w:spacing w:before="0"/>
        <w:ind w:left="2300" w:right="0" w:hanging="721"/>
        <w:jc w:val="left"/>
        <w:rPr>
          <w:sz w:val="20"/>
        </w:rPr>
      </w:pPr>
      <w:r>
        <w:rPr>
          <w:b/>
          <w:sz w:val="20"/>
        </w:rPr>
        <w:t>HAMPTON</w:t>
      </w:r>
      <w:r>
        <w:rPr>
          <w:b/>
          <w:spacing w:val="-11"/>
          <w:sz w:val="20"/>
        </w:rPr>
        <w:t> </w:t>
      </w:r>
      <w:r>
        <w:rPr>
          <w:b/>
          <w:spacing w:val="-2"/>
          <w:sz w:val="20"/>
        </w:rPr>
        <w:t>UNIVERSITY</w:t>
      </w:r>
    </w:p>
    <w:p>
      <w:pPr>
        <w:pStyle w:val="BodyText"/>
        <w:spacing w:before="2"/>
        <w:rPr>
          <w:b/>
          <w:sz w:val="21"/>
        </w:rPr>
      </w:pPr>
    </w:p>
    <w:p>
      <w:pPr>
        <w:pStyle w:val="BodyText"/>
        <w:ind w:left="1724" w:right="499"/>
      </w:pPr>
      <w:r>
        <w:rPr/>
        <w:t>Hampton University, founded in 1868, is a multicultural, historically-black, privately endowed, university</w:t>
      </w:r>
      <w:r>
        <w:rPr>
          <w:spacing w:val="-4"/>
        </w:rPr>
        <w:t> </w:t>
      </w:r>
      <w:r>
        <w:rPr/>
        <w:t>that</w:t>
      </w:r>
      <w:r>
        <w:rPr>
          <w:spacing w:val="-1"/>
        </w:rPr>
        <w:t> </w:t>
      </w:r>
      <w:r>
        <w:rPr/>
        <w:t>is located</w:t>
      </w:r>
      <w:r>
        <w:rPr>
          <w:spacing w:val="-1"/>
        </w:rPr>
        <w:t> </w:t>
      </w:r>
      <w:r>
        <w:rPr/>
        <w:t>on</w:t>
      </w:r>
      <w:r>
        <w:rPr>
          <w:spacing w:val="-1"/>
        </w:rPr>
        <w:t> </w:t>
      </w:r>
      <w:r>
        <w:rPr/>
        <w:t>314</w:t>
      </w:r>
      <w:r>
        <w:rPr>
          <w:spacing w:val="-1"/>
        </w:rPr>
        <w:t> </w:t>
      </w:r>
      <w:r>
        <w:rPr/>
        <w:t>acres of Virginia’s Peninsula at</w:t>
      </w:r>
      <w:r>
        <w:rPr>
          <w:spacing w:val="-1"/>
        </w:rPr>
        <w:t> </w:t>
      </w:r>
      <w:r>
        <w:rPr/>
        <w:t>the</w:t>
      </w:r>
      <w:r>
        <w:rPr>
          <w:spacing w:val="-1"/>
        </w:rPr>
        <w:t> </w:t>
      </w:r>
      <w:r>
        <w:rPr/>
        <w:t>mouth</w:t>
      </w:r>
      <w:r>
        <w:rPr>
          <w:spacing w:val="-1"/>
        </w:rPr>
        <w:t> </w:t>
      </w:r>
      <w:r>
        <w:rPr/>
        <w:t>of the Chesapeake Bay.</w:t>
      </w:r>
      <w:r>
        <w:rPr>
          <w:spacing w:val="40"/>
        </w:rPr>
        <w:t> </w:t>
      </w:r>
      <w:r>
        <w:rPr/>
        <w:t>With noted buildings listed with the National</w:t>
      </w:r>
      <w:r>
        <w:rPr>
          <w:spacing w:val="-1"/>
        </w:rPr>
        <w:t> </w:t>
      </w:r>
      <w:r>
        <w:rPr/>
        <w:t>Register of Historic Places, the university is within 40 miles of Jamestown, Yorktown, and Colonial Williamsburg.</w:t>
      </w:r>
      <w:r>
        <w:rPr>
          <w:spacing w:val="40"/>
        </w:rPr>
        <w:t> </w:t>
      </w:r>
      <w:r>
        <w:rPr/>
        <w:t>It is the oldest nonsectarian, co-educational, postsecondary institution in the Commonwealth of Virginia.</w:t>
      </w:r>
      <w:r>
        <w:rPr>
          <w:spacing w:val="40"/>
        </w:rPr>
        <w:t> </w:t>
      </w:r>
      <w:r>
        <w:rPr/>
        <w:t>Hampton University</w:t>
      </w:r>
      <w:r>
        <w:rPr>
          <w:spacing w:val="-1"/>
        </w:rPr>
        <w:t> </w:t>
      </w:r>
      <w:r>
        <w:rPr/>
        <w:t>ranks high when compared with institutions in the South and Southeast</w:t>
      </w:r>
      <w:r>
        <w:rPr>
          <w:spacing w:val="-3"/>
        </w:rPr>
        <w:t> </w:t>
      </w:r>
      <w:r>
        <w:rPr/>
        <w:t>due</w:t>
      </w:r>
      <w:r>
        <w:rPr>
          <w:spacing w:val="-5"/>
        </w:rPr>
        <w:t> </w:t>
      </w:r>
      <w:r>
        <w:rPr/>
        <w:t>to</w:t>
      </w:r>
      <w:r>
        <w:rPr>
          <w:spacing w:val="-3"/>
        </w:rPr>
        <w:t> </w:t>
      </w:r>
      <w:r>
        <w:rPr/>
        <w:t>its</w:t>
      </w:r>
      <w:r>
        <w:rPr>
          <w:spacing w:val="-4"/>
        </w:rPr>
        <w:t> </w:t>
      </w:r>
      <w:r>
        <w:rPr/>
        <w:t>selectivity</w:t>
      </w:r>
      <w:r>
        <w:rPr>
          <w:spacing w:val="-6"/>
        </w:rPr>
        <w:t> </w:t>
      </w:r>
      <w:r>
        <w:rPr/>
        <w:t>in</w:t>
      </w:r>
      <w:r>
        <w:rPr>
          <w:spacing w:val="-3"/>
        </w:rPr>
        <w:t> </w:t>
      </w:r>
      <w:r>
        <w:rPr/>
        <w:t>admissions,</w:t>
      </w:r>
      <w:r>
        <w:rPr>
          <w:spacing w:val="-5"/>
        </w:rPr>
        <w:t> </w:t>
      </w:r>
      <w:r>
        <w:rPr/>
        <w:t>high</w:t>
      </w:r>
      <w:r>
        <w:rPr>
          <w:spacing w:val="-5"/>
        </w:rPr>
        <w:t> </w:t>
      </w:r>
      <w:r>
        <w:rPr/>
        <w:t>standards</w:t>
      </w:r>
      <w:r>
        <w:rPr>
          <w:spacing w:val="-4"/>
        </w:rPr>
        <w:t> </w:t>
      </w:r>
      <w:r>
        <w:rPr/>
        <w:t>of</w:t>
      </w:r>
      <w:r>
        <w:rPr>
          <w:spacing w:val="-3"/>
        </w:rPr>
        <w:t> </w:t>
      </w:r>
      <w:r>
        <w:rPr/>
        <w:t>teaching,</w:t>
      </w:r>
      <w:r>
        <w:rPr>
          <w:spacing w:val="-5"/>
        </w:rPr>
        <w:t> </w:t>
      </w:r>
      <w:r>
        <w:rPr/>
        <w:t>rigorous</w:t>
      </w:r>
      <w:r>
        <w:rPr>
          <w:spacing w:val="-4"/>
        </w:rPr>
        <w:t> </w:t>
      </w:r>
      <w:r>
        <w:rPr/>
        <w:t>curricula and the professional activities of the faculty.</w:t>
      </w:r>
    </w:p>
    <w:p>
      <w:pPr>
        <w:pStyle w:val="BodyText"/>
        <w:spacing w:before="9"/>
      </w:pPr>
    </w:p>
    <w:p>
      <w:pPr>
        <w:pStyle w:val="BodyText"/>
        <w:ind w:left="1724" w:right="491"/>
      </w:pPr>
      <w:r>
        <w:rPr/>
        <w:t>Hampton</w:t>
      </w:r>
      <w:r>
        <w:rPr>
          <w:spacing w:val="-5"/>
        </w:rPr>
        <w:t> </w:t>
      </w:r>
      <w:r>
        <w:rPr/>
        <w:t>University</w:t>
      </w:r>
      <w:r>
        <w:rPr>
          <w:spacing w:val="-6"/>
        </w:rPr>
        <w:t> </w:t>
      </w:r>
      <w:r>
        <w:rPr/>
        <w:t>is</w:t>
      </w:r>
      <w:r>
        <w:rPr>
          <w:spacing w:val="-4"/>
        </w:rPr>
        <w:t> </w:t>
      </w:r>
      <w:r>
        <w:rPr/>
        <w:t>a</w:t>
      </w:r>
      <w:r>
        <w:rPr>
          <w:spacing w:val="-5"/>
        </w:rPr>
        <w:t> </w:t>
      </w:r>
      <w:r>
        <w:rPr/>
        <w:t>comprehensive</w:t>
      </w:r>
      <w:r>
        <w:rPr>
          <w:spacing w:val="-3"/>
        </w:rPr>
        <w:t> </w:t>
      </w:r>
      <w:r>
        <w:rPr/>
        <w:t>institution</w:t>
      </w:r>
      <w:r>
        <w:rPr>
          <w:spacing w:val="-3"/>
        </w:rPr>
        <w:t> </w:t>
      </w:r>
      <w:r>
        <w:rPr/>
        <w:t>dedicated</w:t>
      </w:r>
      <w:r>
        <w:rPr>
          <w:spacing w:val="-3"/>
        </w:rPr>
        <w:t> </w:t>
      </w:r>
      <w:r>
        <w:rPr/>
        <w:t>to</w:t>
      </w:r>
      <w:r>
        <w:rPr>
          <w:spacing w:val="-5"/>
        </w:rPr>
        <w:t> </w:t>
      </w:r>
      <w:r>
        <w:rPr/>
        <w:t>the</w:t>
      </w:r>
      <w:r>
        <w:rPr>
          <w:spacing w:val="-3"/>
        </w:rPr>
        <w:t> </w:t>
      </w:r>
      <w:r>
        <w:rPr/>
        <w:t>promotion</w:t>
      </w:r>
      <w:r>
        <w:rPr>
          <w:spacing w:val="-5"/>
        </w:rPr>
        <w:t> </w:t>
      </w:r>
      <w:r>
        <w:rPr/>
        <w:t>of world-class learning, building of character, and preparation of promising students of all backgrounds for positions of leadership and service.</w:t>
      </w:r>
      <w:r>
        <w:rPr>
          <w:spacing w:val="40"/>
        </w:rPr>
        <w:t> </w:t>
      </w:r>
      <w:r>
        <w:rPr/>
        <w:t>Placing its students at the center of its planning, the University</w:t>
      </w:r>
      <w:r>
        <w:rPr>
          <w:spacing w:val="-7"/>
        </w:rPr>
        <w:t> </w:t>
      </w:r>
      <w:r>
        <w:rPr/>
        <w:t>provides</w:t>
      </w:r>
      <w:r>
        <w:rPr>
          <w:spacing w:val="-3"/>
        </w:rPr>
        <w:t> </w:t>
      </w:r>
      <w:r>
        <w:rPr/>
        <w:t>a</w:t>
      </w:r>
      <w:r>
        <w:rPr>
          <w:spacing w:val="-2"/>
        </w:rPr>
        <w:t> </w:t>
      </w:r>
      <w:r>
        <w:rPr/>
        <w:t>holistic</w:t>
      </w:r>
      <w:r>
        <w:rPr>
          <w:spacing w:val="-3"/>
        </w:rPr>
        <w:t> </w:t>
      </w:r>
      <w:r>
        <w:rPr/>
        <w:t>educational</w:t>
      </w:r>
      <w:r>
        <w:rPr>
          <w:spacing w:val="-3"/>
        </w:rPr>
        <w:t> </w:t>
      </w:r>
      <w:r>
        <w:rPr/>
        <w:t>environment.</w:t>
      </w:r>
      <w:r>
        <w:rPr>
          <w:spacing w:val="80"/>
        </w:rPr>
        <w:t> </w:t>
      </w:r>
      <w:r>
        <w:rPr/>
        <w:t>Admission</w:t>
      </w:r>
      <w:r>
        <w:rPr>
          <w:spacing w:val="-4"/>
        </w:rPr>
        <w:t> </w:t>
      </w:r>
      <w:r>
        <w:rPr/>
        <w:t>to</w:t>
      </w:r>
      <w:r>
        <w:rPr>
          <w:spacing w:val="-2"/>
        </w:rPr>
        <w:t> </w:t>
      </w:r>
      <w:r>
        <w:rPr/>
        <w:t>Hampton</w:t>
      </w:r>
      <w:r>
        <w:rPr>
          <w:spacing w:val="-4"/>
        </w:rPr>
        <w:t> </w:t>
      </w:r>
      <w:r>
        <w:rPr/>
        <w:t>University</w:t>
      </w:r>
      <w:r>
        <w:rPr>
          <w:spacing w:val="-5"/>
        </w:rPr>
        <w:t> </w:t>
      </w:r>
      <w:r>
        <w:rPr/>
        <w:t>is selective and competitive. There are nearly 4,000 undergraduate and nearly 900 graduate and professional students.</w:t>
      </w:r>
      <w:r>
        <w:rPr>
          <w:spacing w:val="40"/>
        </w:rPr>
        <w:t> </w:t>
      </w:r>
      <w:r>
        <w:rPr/>
        <w:t>Approximately 90% of the students are African American, 7% are Caucasian, and the remaining 3% are from other ethnic groups; while 37% of the student population is a Virginia resident.</w:t>
      </w:r>
      <w:r>
        <w:rPr>
          <w:spacing w:val="40"/>
        </w:rPr>
        <w:t> </w:t>
      </w:r>
      <w:r>
        <w:rPr/>
        <w:t>The average freshman who enrolls at Hampton University has a cumulative grade point average (CGPA) of 3.2 and scores 1015 on the</w:t>
      </w:r>
      <w:r>
        <w:rPr/>
        <w:t> SAT (Math and Critical Reading only) or a 21 composite score on the ACT. The University has a Test Optional Policy.</w:t>
      </w:r>
      <w:r>
        <w:rPr>
          <w:spacing w:val="40"/>
        </w:rPr>
        <w:t> </w:t>
      </w:r>
      <w:r>
        <w:rPr/>
        <w:t>Students with a CGPA of at least 3.3 or rank in the top 10 percent of their class, have the option to choose whether or not to submit standardized test scores (SAT or ACT).</w:t>
      </w:r>
      <w:r>
        <w:rPr>
          <w:spacing w:val="40"/>
        </w:rPr>
        <w:t> </w:t>
      </w:r>
      <w:r>
        <w:rPr/>
        <w:t>Applicants with a cumulative GPA below 3.30 must submit standardized scores.</w:t>
      </w:r>
    </w:p>
    <w:p>
      <w:pPr>
        <w:pStyle w:val="BodyText"/>
        <w:rPr>
          <w:sz w:val="21"/>
        </w:rPr>
      </w:pPr>
    </w:p>
    <w:p>
      <w:pPr>
        <w:pStyle w:val="BodyText"/>
        <w:ind w:left="1724" w:right="499"/>
      </w:pPr>
      <w:r>
        <w:rPr/>
        <w:t>In achieving its mission, Hampton University offers exemplary programs and opportunities, which enable students, faculty and staff to grow, develop and contribute to society in a productive, useful manner. Its curricular emphasis is scientific and professional, with a strong</w:t>
      </w:r>
      <w:r>
        <w:rPr>
          <w:spacing w:val="-6"/>
        </w:rPr>
        <w:t> </w:t>
      </w:r>
      <w:r>
        <w:rPr/>
        <w:t>liberal</w:t>
      </w:r>
      <w:r>
        <w:rPr>
          <w:spacing w:val="-4"/>
        </w:rPr>
        <w:t> </w:t>
      </w:r>
      <w:r>
        <w:rPr/>
        <w:t>arts</w:t>
      </w:r>
      <w:r>
        <w:rPr>
          <w:spacing w:val="-5"/>
        </w:rPr>
        <w:t> </w:t>
      </w:r>
      <w:r>
        <w:rPr/>
        <w:t>undergirding.</w:t>
      </w:r>
      <w:r>
        <w:rPr>
          <w:spacing w:val="-4"/>
        </w:rPr>
        <w:t> </w:t>
      </w:r>
      <w:r>
        <w:rPr/>
        <w:t>Research</w:t>
      </w:r>
      <w:r>
        <w:rPr>
          <w:spacing w:val="-4"/>
        </w:rPr>
        <w:t> </w:t>
      </w:r>
      <w:r>
        <w:rPr/>
        <w:t>and</w:t>
      </w:r>
      <w:r>
        <w:rPr>
          <w:spacing w:val="-4"/>
        </w:rPr>
        <w:t> </w:t>
      </w:r>
      <w:r>
        <w:rPr/>
        <w:t>public</w:t>
      </w:r>
      <w:r>
        <w:rPr>
          <w:spacing w:val="-5"/>
        </w:rPr>
        <w:t> </w:t>
      </w:r>
      <w:r>
        <w:rPr/>
        <w:t>service</w:t>
      </w:r>
      <w:r>
        <w:rPr>
          <w:spacing w:val="-4"/>
        </w:rPr>
        <w:t> </w:t>
      </w:r>
      <w:r>
        <w:rPr/>
        <w:t>are</w:t>
      </w:r>
      <w:r>
        <w:rPr>
          <w:spacing w:val="-4"/>
        </w:rPr>
        <w:t> </w:t>
      </w:r>
      <w:r>
        <w:rPr/>
        <w:t>integral</w:t>
      </w:r>
      <w:r>
        <w:rPr>
          <w:spacing w:val="-5"/>
        </w:rPr>
        <w:t> </w:t>
      </w:r>
      <w:r>
        <w:rPr/>
        <w:t>parts</w:t>
      </w:r>
      <w:r>
        <w:rPr>
          <w:spacing w:val="-5"/>
        </w:rPr>
        <w:t> </w:t>
      </w:r>
      <w:r>
        <w:rPr/>
        <w:t>of</w:t>
      </w:r>
      <w:r>
        <w:rPr>
          <w:spacing w:val="-1"/>
        </w:rPr>
        <w:t> </w:t>
      </w:r>
      <w:r>
        <w:rPr/>
        <w:t>Hampton’s mission.</w:t>
      </w:r>
      <w:r>
        <w:rPr>
          <w:spacing w:val="40"/>
        </w:rPr>
        <w:t> </w:t>
      </w:r>
      <w:r>
        <w:rPr/>
        <w:t>In order to enhance scholarship and discovery, the faculty is engaged in writing, research and grantsmanship. Learning is facilitated by a range of educational offerings, a rigorous curriculum, excellent teaching, professional experiences, multiple leadership opportunities, and an emphasis on the development of character, which values integrity, respect, decency, dignity, and responsibility. From its humble origins, Hampton University has evolved into a prestigious, nationally acclaimed university that sets The Standard of Excellence in education.</w:t>
      </w:r>
    </w:p>
    <w:p>
      <w:pPr>
        <w:spacing w:after="0"/>
        <w:sectPr>
          <w:footerReference w:type="default" r:id="rId8"/>
          <w:pgSz w:w="12240" w:h="15840"/>
          <w:pgMar w:footer="974" w:header="0" w:top="1600" w:bottom="1160" w:left="940" w:right="960"/>
          <w:pgNumType w:start="1"/>
        </w:sectPr>
      </w:pPr>
    </w:p>
    <w:p>
      <w:pPr>
        <w:pStyle w:val="ListParagraph"/>
        <w:numPr>
          <w:ilvl w:val="3"/>
          <w:numId w:val="9"/>
        </w:numPr>
        <w:tabs>
          <w:tab w:pos="2660" w:val="left" w:leader="none"/>
        </w:tabs>
        <w:spacing w:line="242" w:lineRule="auto" w:before="74" w:after="0"/>
        <w:ind w:left="2659" w:right="598" w:hanging="1080"/>
        <w:jc w:val="left"/>
        <w:rPr>
          <w:sz w:val="28"/>
        </w:rPr>
      </w:pPr>
      <w:r>
        <w:rPr>
          <w:sz w:val="28"/>
        </w:rPr>
        <w:t>The</w:t>
      </w:r>
      <w:r>
        <w:rPr>
          <w:spacing w:val="-4"/>
          <w:sz w:val="28"/>
        </w:rPr>
        <w:t> </w:t>
      </w:r>
      <w:r>
        <w:rPr>
          <w:sz w:val="28"/>
        </w:rPr>
        <w:t>Program</w:t>
      </w:r>
      <w:r>
        <w:rPr>
          <w:spacing w:val="-7"/>
          <w:sz w:val="28"/>
        </w:rPr>
        <w:t> </w:t>
      </w:r>
      <w:r>
        <w:rPr>
          <w:sz w:val="28"/>
        </w:rPr>
        <w:t>-</w:t>
      </w:r>
      <w:r>
        <w:rPr>
          <w:spacing w:val="-4"/>
          <w:sz w:val="28"/>
        </w:rPr>
        <w:t> </w:t>
      </w:r>
      <w:r>
        <w:rPr>
          <w:b/>
          <w:sz w:val="28"/>
        </w:rPr>
        <w:t>The</w:t>
      </w:r>
      <w:r>
        <w:rPr>
          <w:b/>
          <w:spacing w:val="-7"/>
          <w:sz w:val="28"/>
        </w:rPr>
        <w:t> </w:t>
      </w:r>
      <w:r>
        <w:rPr>
          <w:b/>
          <w:sz w:val="28"/>
        </w:rPr>
        <w:t>Hampton</w:t>
      </w:r>
      <w:r>
        <w:rPr>
          <w:b/>
          <w:spacing w:val="-5"/>
          <w:sz w:val="28"/>
        </w:rPr>
        <w:t> </w:t>
      </w:r>
      <w:r>
        <w:rPr>
          <w:b/>
          <w:sz w:val="28"/>
        </w:rPr>
        <w:t>University</w:t>
      </w:r>
      <w:r>
        <w:rPr>
          <w:b/>
          <w:spacing w:val="-10"/>
          <w:sz w:val="28"/>
        </w:rPr>
        <w:t> </w:t>
      </w:r>
      <w:r>
        <w:rPr>
          <w:b/>
          <w:sz w:val="28"/>
        </w:rPr>
        <w:t>Department</w:t>
      </w:r>
      <w:r>
        <w:rPr>
          <w:b/>
          <w:spacing w:val="-4"/>
          <w:sz w:val="28"/>
        </w:rPr>
        <w:t> </w:t>
      </w:r>
      <w:r>
        <w:rPr>
          <w:b/>
          <w:sz w:val="28"/>
        </w:rPr>
        <w:t>of Architecture </w:t>
      </w:r>
      <w:r>
        <w:rPr>
          <w:sz w:val="28"/>
        </w:rPr>
        <w:t>(HUDA)</w:t>
      </w:r>
    </w:p>
    <w:p>
      <w:pPr>
        <w:pStyle w:val="BodyText"/>
        <w:spacing w:before="236"/>
        <w:ind w:left="1723" w:right="580"/>
      </w:pPr>
      <w:r>
        <w:rPr/>
        <w:t>It is within the context of that history and mission that form the foundation of the Hampton University Department of Architecture (HUDA). Research indicates that course work in architecture drafting was being offered to students in Industrial Arts Technology and Building Technology as early as 1889.</w:t>
      </w:r>
      <w:r>
        <w:rPr>
          <w:spacing w:val="40"/>
        </w:rPr>
        <w:t> </w:t>
      </w:r>
      <w:r>
        <w:rPr/>
        <w:t>Many of the old buildings on campus, including Bemis</w:t>
      </w:r>
      <w:r>
        <w:rPr>
          <w:spacing w:val="-4"/>
        </w:rPr>
        <w:t> </w:t>
      </w:r>
      <w:r>
        <w:rPr/>
        <w:t>Laboratories,</w:t>
      </w:r>
      <w:r>
        <w:rPr>
          <w:spacing w:val="-3"/>
        </w:rPr>
        <w:t> </w:t>
      </w:r>
      <w:r>
        <w:rPr/>
        <w:t>Memorial</w:t>
      </w:r>
      <w:r>
        <w:rPr>
          <w:spacing w:val="-5"/>
        </w:rPr>
        <w:t> </w:t>
      </w:r>
      <w:r>
        <w:rPr/>
        <w:t>Chapel,</w:t>
      </w:r>
      <w:r>
        <w:rPr>
          <w:spacing w:val="-5"/>
        </w:rPr>
        <w:t> </w:t>
      </w:r>
      <w:r>
        <w:rPr/>
        <w:t>and</w:t>
      </w:r>
      <w:r>
        <w:rPr>
          <w:spacing w:val="-5"/>
        </w:rPr>
        <w:t> </w:t>
      </w:r>
      <w:r>
        <w:rPr/>
        <w:t>Ogden</w:t>
      </w:r>
      <w:r>
        <w:rPr>
          <w:spacing w:val="-5"/>
        </w:rPr>
        <w:t> </w:t>
      </w:r>
      <w:r>
        <w:rPr/>
        <w:t>Hall</w:t>
      </w:r>
      <w:r>
        <w:rPr>
          <w:spacing w:val="-5"/>
        </w:rPr>
        <w:t> </w:t>
      </w:r>
      <w:r>
        <w:rPr/>
        <w:t>Auditorium were</w:t>
      </w:r>
      <w:r>
        <w:rPr>
          <w:spacing w:val="-5"/>
        </w:rPr>
        <w:t> </w:t>
      </w:r>
      <w:r>
        <w:rPr/>
        <w:t>either</w:t>
      </w:r>
      <w:r>
        <w:rPr>
          <w:spacing w:val="-4"/>
        </w:rPr>
        <w:t> </w:t>
      </w:r>
      <w:r>
        <w:rPr/>
        <w:t>designed</w:t>
      </w:r>
      <w:r>
        <w:rPr>
          <w:spacing w:val="-5"/>
        </w:rPr>
        <w:t> </w:t>
      </w:r>
      <w:r>
        <w:rPr/>
        <w:t>by faculty or built by faculty and students.</w:t>
      </w:r>
    </w:p>
    <w:p>
      <w:pPr>
        <w:pStyle w:val="BodyText"/>
        <w:spacing w:before="8"/>
      </w:pPr>
    </w:p>
    <w:p>
      <w:pPr>
        <w:pStyle w:val="BodyText"/>
        <w:ind w:left="1724" w:right="499"/>
      </w:pPr>
      <w:r>
        <w:rPr>
          <w:b/>
        </w:rPr>
        <w:t>The HUDA </w:t>
      </w:r>
      <w:r>
        <w:rPr/>
        <w:t>benefits from a unique setting.</w:t>
      </w:r>
      <w:r>
        <w:rPr>
          <w:spacing w:val="40"/>
        </w:rPr>
        <w:t> </w:t>
      </w:r>
      <w:r>
        <w:rPr/>
        <w:t>It is the only architecture program in the Hampton Roads area, and indeed within a 150 to 200 mile radius. The Department is located</w:t>
      </w:r>
      <w:r>
        <w:rPr>
          <w:spacing w:val="-4"/>
        </w:rPr>
        <w:t> </w:t>
      </w:r>
      <w:r>
        <w:rPr/>
        <w:t>on</w:t>
      </w:r>
      <w:r>
        <w:rPr>
          <w:spacing w:val="-4"/>
        </w:rPr>
        <w:t> </w:t>
      </w:r>
      <w:r>
        <w:rPr/>
        <w:t>“the water’s</w:t>
      </w:r>
      <w:r>
        <w:rPr>
          <w:spacing w:val="-2"/>
        </w:rPr>
        <w:t> </w:t>
      </w:r>
      <w:r>
        <w:rPr/>
        <w:t>edge,”</w:t>
      </w:r>
      <w:r>
        <w:rPr>
          <w:spacing w:val="-3"/>
        </w:rPr>
        <w:t> </w:t>
      </w:r>
      <w:r>
        <w:rPr/>
        <w:t>near</w:t>
      </w:r>
      <w:r>
        <w:rPr>
          <w:spacing w:val="-1"/>
        </w:rPr>
        <w:t> </w:t>
      </w:r>
      <w:r>
        <w:rPr/>
        <w:t>the</w:t>
      </w:r>
      <w:r>
        <w:rPr>
          <w:spacing w:val="-4"/>
        </w:rPr>
        <w:t> </w:t>
      </w:r>
      <w:r>
        <w:rPr/>
        <w:t>mouth</w:t>
      </w:r>
      <w:r>
        <w:rPr>
          <w:spacing w:val="-2"/>
        </w:rPr>
        <w:t> </w:t>
      </w:r>
      <w:r>
        <w:rPr/>
        <w:t>of</w:t>
      </w:r>
      <w:r>
        <w:rPr>
          <w:spacing w:val="-2"/>
        </w:rPr>
        <w:t> </w:t>
      </w:r>
      <w:r>
        <w:rPr/>
        <w:t>the</w:t>
      </w:r>
      <w:r>
        <w:rPr>
          <w:spacing w:val="-4"/>
        </w:rPr>
        <w:t> </w:t>
      </w:r>
      <w:r>
        <w:rPr/>
        <w:t>Chesapeake</w:t>
      </w:r>
      <w:r>
        <w:rPr>
          <w:spacing w:val="-4"/>
        </w:rPr>
        <w:t> </w:t>
      </w:r>
      <w:r>
        <w:rPr/>
        <w:t>Bay,</w:t>
      </w:r>
      <w:r>
        <w:rPr>
          <w:spacing w:val="-4"/>
        </w:rPr>
        <w:t> </w:t>
      </w:r>
      <w:r>
        <w:rPr/>
        <w:t>in</w:t>
      </w:r>
      <w:r>
        <w:rPr>
          <w:spacing w:val="-4"/>
        </w:rPr>
        <w:t> </w:t>
      </w:r>
      <w:r>
        <w:rPr/>
        <w:t>a</w:t>
      </w:r>
      <w:r>
        <w:rPr>
          <w:spacing w:val="-4"/>
        </w:rPr>
        <w:t> </w:t>
      </w:r>
      <w:r>
        <w:rPr/>
        <w:t>region</w:t>
      </w:r>
      <w:r>
        <w:rPr>
          <w:spacing w:val="-2"/>
        </w:rPr>
        <w:t> </w:t>
      </w:r>
      <w:r>
        <w:rPr/>
        <w:t>formerly known as “Tidewater.” This offers a variety of settings not found in many areas.</w:t>
      </w:r>
      <w:r>
        <w:rPr>
          <w:spacing w:val="40"/>
        </w:rPr>
        <w:t> </w:t>
      </w:r>
      <w:r>
        <w:rPr/>
        <w:t>And the program is</w:t>
      </w:r>
      <w:r>
        <w:rPr>
          <w:spacing w:val="-3"/>
        </w:rPr>
        <w:t> </w:t>
      </w:r>
      <w:r>
        <w:rPr/>
        <w:t>situated</w:t>
      </w:r>
      <w:r>
        <w:rPr>
          <w:spacing w:val="-4"/>
        </w:rPr>
        <w:t> </w:t>
      </w:r>
      <w:r>
        <w:rPr/>
        <w:t>in</w:t>
      </w:r>
      <w:r>
        <w:rPr>
          <w:spacing w:val="-4"/>
        </w:rPr>
        <w:t> </w:t>
      </w:r>
      <w:r>
        <w:rPr/>
        <w:t>a</w:t>
      </w:r>
      <w:r>
        <w:rPr>
          <w:spacing w:val="-4"/>
        </w:rPr>
        <w:t> </w:t>
      </w:r>
      <w:r>
        <w:rPr/>
        <w:t>student-focused</w:t>
      </w:r>
      <w:r>
        <w:rPr>
          <w:spacing w:val="-4"/>
        </w:rPr>
        <w:t> </w:t>
      </w:r>
      <w:r>
        <w:rPr/>
        <w:t>HBCU</w:t>
      </w:r>
      <w:r>
        <w:rPr>
          <w:spacing w:val="-4"/>
        </w:rPr>
        <w:t> </w:t>
      </w:r>
      <w:r>
        <w:rPr/>
        <w:t>(Historically</w:t>
      </w:r>
      <w:r>
        <w:rPr>
          <w:spacing w:val="-5"/>
        </w:rPr>
        <w:t> </w:t>
      </w:r>
      <w:r>
        <w:rPr/>
        <w:t>Black College</w:t>
      </w:r>
      <w:r>
        <w:rPr>
          <w:spacing w:val="-4"/>
        </w:rPr>
        <w:t> </w:t>
      </w:r>
      <w:r>
        <w:rPr/>
        <w:t>and</w:t>
      </w:r>
      <w:r>
        <w:rPr>
          <w:spacing w:val="-4"/>
        </w:rPr>
        <w:t> </w:t>
      </w:r>
      <w:r>
        <w:rPr/>
        <w:t>University).</w:t>
      </w:r>
    </w:p>
    <w:p>
      <w:pPr>
        <w:pStyle w:val="BodyText"/>
        <w:rPr>
          <w:sz w:val="21"/>
        </w:rPr>
      </w:pPr>
    </w:p>
    <w:p>
      <w:pPr>
        <w:pStyle w:val="BodyText"/>
        <w:spacing w:before="1"/>
        <w:ind w:left="1723" w:right="580"/>
      </w:pPr>
      <w:r>
        <w:rPr/>
        <w:t>HUDA offers a professional degree program that supports the education and the preparation of students for professional positions of environmental design practice, leadership,</w:t>
      </w:r>
      <w:r>
        <w:rPr>
          <w:spacing w:val="-1"/>
        </w:rPr>
        <w:t> </w:t>
      </w:r>
      <w:r>
        <w:rPr/>
        <w:t>and</w:t>
      </w:r>
      <w:r>
        <w:rPr>
          <w:spacing w:val="-1"/>
        </w:rPr>
        <w:t> </w:t>
      </w:r>
      <w:r>
        <w:rPr/>
        <w:t>service.</w:t>
      </w:r>
      <w:r>
        <w:rPr>
          <w:spacing w:val="40"/>
        </w:rPr>
        <w:t> </w:t>
      </w:r>
      <w:r>
        <w:rPr/>
        <w:t>The</w:t>
      </w:r>
      <w:r>
        <w:rPr>
          <w:spacing w:val="-1"/>
        </w:rPr>
        <w:t> </w:t>
      </w:r>
      <w:r>
        <w:rPr/>
        <w:t>Department</w:t>
      </w:r>
      <w:r>
        <w:rPr>
          <w:spacing w:val="-1"/>
        </w:rPr>
        <w:t> </w:t>
      </w:r>
      <w:r>
        <w:rPr/>
        <w:t>of Architecture</w:t>
      </w:r>
      <w:r>
        <w:rPr>
          <w:spacing w:val="-1"/>
        </w:rPr>
        <w:t> </w:t>
      </w:r>
      <w:r>
        <w:rPr/>
        <w:t>is committed</w:t>
      </w:r>
      <w:r>
        <w:rPr>
          <w:spacing w:val="-1"/>
        </w:rPr>
        <w:t> </w:t>
      </w:r>
      <w:r>
        <w:rPr/>
        <w:t>to</w:t>
      </w:r>
      <w:r>
        <w:rPr>
          <w:spacing w:val="-1"/>
        </w:rPr>
        <w:t> </w:t>
      </w:r>
      <w:r>
        <w:rPr/>
        <w:t>the development of critical inquiry and the pursuit of life-long learning necessary for participation in a changing society and profession.</w:t>
      </w:r>
      <w:r>
        <w:rPr>
          <w:spacing w:val="40"/>
        </w:rPr>
        <w:t> </w:t>
      </w:r>
      <w:r>
        <w:rPr/>
        <w:t>Education in the Department of Architecture, as a connection with engineering, the fine arts, the humanities, and social sciences, strives to provide an important synthesis of pragmatic, technical, and theoretical learning.</w:t>
      </w:r>
      <w:r>
        <w:rPr>
          <w:spacing w:val="40"/>
        </w:rPr>
        <w:t> </w:t>
      </w:r>
      <w:r>
        <w:rPr/>
        <w:t>The Department of Architecture sets the framework to explore the roles of African American identity</w:t>
      </w:r>
      <w:r>
        <w:rPr>
          <w:spacing w:val="-6"/>
        </w:rPr>
        <w:t> </w:t>
      </w:r>
      <w:r>
        <w:rPr/>
        <w:t>in</w:t>
      </w:r>
      <w:r>
        <w:rPr>
          <w:spacing w:val="-3"/>
        </w:rPr>
        <w:t> </w:t>
      </w:r>
      <w:r>
        <w:rPr/>
        <w:t>design</w:t>
      </w:r>
      <w:r>
        <w:rPr>
          <w:spacing w:val="-5"/>
        </w:rPr>
        <w:t> </w:t>
      </w:r>
      <w:r>
        <w:rPr/>
        <w:t>and</w:t>
      </w:r>
      <w:r>
        <w:rPr>
          <w:spacing w:val="-3"/>
        </w:rPr>
        <w:t> </w:t>
      </w:r>
      <w:r>
        <w:rPr/>
        <w:t>other</w:t>
      </w:r>
      <w:r>
        <w:rPr>
          <w:spacing w:val="-2"/>
        </w:rPr>
        <w:t> </w:t>
      </w:r>
      <w:r>
        <w:rPr/>
        <w:t>cultural,</w:t>
      </w:r>
      <w:r>
        <w:rPr>
          <w:spacing w:val="-5"/>
        </w:rPr>
        <w:t> </w:t>
      </w:r>
      <w:r>
        <w:rPr/>
        <w:t>technical,</w:t>
      </w:r>
      <w:r>
        <w:rPr>
          <w:spacing w:val="-3"/>
        </w:rPr>
        <w:t> </w:t>
      </w:r>
      <w:r>
        <w:rPr/>
        <w:t>and</w:t>
      </w:r>
      <w:r>
        <w:rPr>
          <w:spacing w:val="-5"/>
        </w:rPr>
        <w:t> </w:t>
      </w:r>
      <w:r>
        <w:rPr/>
        <w:t>social</w:t>
      </w:r>
      <w:r>
        <w:rPr>
          <w:spacing w:val="-6"/>
        </w:rPr>
        <w:t> </w:t>
      </w:r>
      <w:r>
        <w:rPr/>
        <w:t>factors</w:t>
      </w:r>
      <w:r>
        <w:rPr>
          <w:spacing w:val="-4"/>
        </w:rPr>
        <w:t> </w:t>
      </w:r>
      <w:r>
        <w:rPr/>
        <w:t>in</w:t>
      </w:r>
      <w:r>
        <w:rPr>
          <w:spacing w:val="-3"/>
        </w:rPr>
        <w:t> </w:t>
      </w:r>
      <w:r>
        <w:rPr/>
        <w:t>architectural</w:t>
      </w:r>
      <w:r>
        <w:rPr>
          <w:spacing w:val="-4"/>
        </w:rPr>
        <w:t> </w:t>
      </w:r>
      <w:r>
        <w:rPr/>
        <w:t>education. The Department is dedicated to promoting a global environmental sensitivity and to developing an ability and desire in students to help bring about important social and environmental change, especially in transitional urban areas and “communities of color.”</w:t>
      </w:r>
    </w:p>
    <w:p>
      <w:pPr>
        <w:pStyle w:val="BodyText"/>
        <w:spacing w:before="10"/>
      </w:pPr>
    </w:p>
    <w:p>
      <w:pPr>
        <w:pStyle w:val="BodyText"/>
        <w:spacing w:before="1"/>
        <w:ind w:left="1723" w:right="499"/>
      </w:pPr>
      <w:r>
        <w:rPr/>
        <w:t>HUDA, as a separate and distinct study, has its beginning in the 1930’s, when the Division of Technology added course work in architectural design to the technical courses already offered in mechanical drawing.</w:t>
      </w:r>
      <w:r>
        <w:rPr>
          <w:spacing w:val="40"/>
        </w:rPr>
        <w:t> </w:t>
      </w:r>
      <w:r>
        <w:rPr/>
        <w:t>In 1934, William H. Moses, Jr., became the first professionally trained African American Architect to join the faculty, replacing Theo Ballou White.</w:t>
      </w:r>
      <w:r>
        <w:rPr>
          <w:spacing w:val="40"/>
        </w:rPr>
        <w:t> </w:t>
      </w:r>
      <w:r>
        <w:rPr/>
        <w:t>Through William Moses’ initiative, a full four year professional curriculum was established within the Division of Technology in 1941.</w:t>
      </w:r>
      <w:r>
        <w:rPr>
          <w:spacing w:val="40"/>
        </w:rPr>
        <w:t> </w:t>
      </w:r>
      <w:r>
        <w:rPr/>
        <w:t>Bachelor of Science degrees were given to students majoring in architecture for the first time in 1948.</w:t>
      </w:r>
      <w:r>
        <w:rPr>
          <w:spacing w:val="40"/>
        </w:rPr>
        <w:t> </w:t>
      </w:r>
      <w:r>
        <w:rPr/>
        <w:t>By 1953, a comprehensive</w:t>
      </w:r>
      <w:r>
        <w:rPr>
          <w:spacing w:val="-3"/>
        </w:rPr>
        <w:t> </w:t>
      </w:r>
      <w:r>
        <w:rPr/>
        <w:t>engineering</w:t>
      </w:r>
      <w:r>
        <w:rPr>
          <w:spacing w:val="-4"/>
        </w:rPr>
        <w:t> </w:t>
      </w:r>
      <w:r>
        <w:rPr/>
        <w:t>sequence</w:t>
      </w:r>
      <w:r>
        <w:rPr>
          <w:spacing w:val="-4"/>
        </w:rPr>
        <w:t> </w:t>
      </w:r>
      <w:r>
        <w:rPr/>
        <w:t>had</w:t>
      </w:r>
      <w:r>
        <w:rPr>
          <w:spacing w:val="-3"/>
        </w:rPr>
        <w:t> </w:t>
      </w:r>
      <w:r>
        <w:rPr/>
        <w:t>become</w:t>
      </w:r>
      <w:r>
        <w:rPr>
          <w:spacing w:val="-4"/>
        </w:rPr>
        <w:t> </w:t>
      </w:r>
      <w:r>
        <w:rPr/>
        <w:t>a</w:t>
      </w:r>
      <w:r>
        <w:rPr>
          <w:spacing w:val="-4"/>
        </w:rPr>
        <w:t> </w:t>
      </w:r>
      <w:r>
        <w:rPr/>
        <w:t>part</w:t>
      </w:r>
      <w:r>
        <w:rPr>
          <w:spacing w:val="-4"/>
        </w:rPr>
        <w:t> </w:t>
      </w:r>
      <w:r>
        <w:rPr/>
        <w:t>of</w:t>
      </w:r>
      <w:r>
        <w:rPr>
          <w:spacing w:val="-3"/>
        </w:rPr>
        <w:t> </w:t>
      </w:r>
      <w:r>
        <w:rPr/>
        <w:t>the</w:t>
      </w:r>
      <w:r>
        <w:rPr>
          <w:spacing w:val="-3"/>
        </w:rPr>
        <w:t> </w:t>
      </w:r>
      <w:r>
        <w:rPr/>
        <w:t>program in</w:t>
      </w:r>
      <w:r>
        <w:rPr>
          <w:spacing w:val="-4"/>
        </w:rPr>
        <w:t> </w:t>
      </w:r>
      <w:r>
        <w:rPr/>
        <w:t>architecture.</w:t>
      </w:r>
      <w:r>
        <w:rPr>
          <w:spacing w:val="40"/>
        </w:rPr>
        <w:t> </w:t>
      </w:r>
      <w:r>
        <w:rPr/>
        <w:t>In 1951, this program was lengthened to five years in recognition of the need for broadening the non-professional aspects of the program and in line with the expansion at other institutions of undergraduate programs in architecture.</w:t>
      </w:r>
      <w:r>
        <w:rPr>
          <w:spacing w:val="40"/>
        </w:rPr>
        <w:t> </w:t>
      </w:r>
      <w:r>
        <w:rPr/>
        <w:t>Course work in construction, which has been traditional at Hampton, was retained.</w:t>
      </w:r>
    </w:p>
    <w:p>
      <w:pPr>
        <w:pStyle w:val="BodyText"/>
        <w:spacing w:before="10"/>
      </w:pPr>
    </w:p>
    <w:p>
      <w:pPr>
        <w:pStyle w:val="BodyText"/>
        <w:spacing w:before="1"/>
        <w:ind w:left="1723" w:right="580"/>
      </w:pPr>
      <w:r>
        <w:rPr/>
        <w:t>In 1965, Bertram Berenson became the second Head of the program in Architecture, and with administrative and faculty support, began to revise and improve the curriculum.</w:t>
      </w:r>
      <w:r>
        <w:rPr>
          <w:spacing w:val="40"/>
        </w:rPr>
        <w:t> </w:t>
      </w:r>
      <w:r>
        <w:rPr/>
        <w:t>The department</w:t>
      </w:r>
      <w:r>
        <w:rPr>
          <w:spacing w:val="-1"/>
        </w:rPr>
        <w:t> </w:t>
      </w:r>
      <w:r>
        <w:rPr/>
        <w:t>was</w:t>
      </w:r>
      <w:r>
        <w:rPr>
          <w:spacing w:val="-2"/>
        </w:rPr>
        <w:t> </w:t>
      </w:r>
      <w:r>
        <w:rPr/>
        <w:t>given</w:t>
      </w:r>
      <w:r>
        <w:rPr>
          <w:spacing w:val="-3"/>
        </w:rPr>
        <w:t> </w:t>
      </w:r>
      <w:r>
        <w:rPr/>
        <w:t>full</w:t>
      </w:r>
      <w:r>
        <w:rPr>
          <w:spacing w:val="-2"/>
        </w:rPr>
        <w:t> </w:t>
      </w:r>
      <w:r>
        <w:rPr/>
        <w:t>divisional</w:t>
      </w:r>
      <w:r>
        <w:rPr>
          <w:spacing w:val="-2"/>
        </w:rPr>
        <w:t> </w:t>
      </w:r>
      <w:r>
        <w:rPr/>
        <w:t>status in</w:t>
      </w:r>
      <w:r>
        <w:rPr>
          <w:spacing w:val="-3"/>
        </w:rPr>
        <w:t> </w:t>
      </w:r>
      <w:r>
        <w:rPr/>
        <w:t>the</w:t>
      </w:r>
      <w:r>
        <w:rPr>
          <w:spacing w:val="-3"/>
        </w:rPr>
        <w:t> </w:t>
      </w:r>
      <w:r>
        <w:rPr/>
        <w:t>summer</w:t>
      </w:r>
      <w:r>
        <w:rPr>
          <w:spacing w:val="-2"/>
        </w:rPr>
        <w:t> </w:t>
      </w:r>
      <w:r>
        <w:rPr/>
        <w:t>of</w:t>
      </w:r>
      <w:r>
        <w:rPr>
          <w:spacing w:val="-1"/>
        </w:rPr>
        <w:t> </w:t>
      </w:r>
      <w:r>
        <w:rPr/>
        <w:t>1966.</w:t>
      </w:r>
      <w:r>
        <w:rPr>
          <w:spacing w:val="40"/>
        </w:rPr>
        <w:t> </w:t>
      </w:r>
      <w:r>
        <w:rPr/>
        <w:t>In</w:t>
      </w:r>
      <w:r>
        <w:rPr>
          <w:spacing w:val="-1"/>
        </w:rPr>
        <w:t> </w:t>
      </w:r>
      <w:r>
        <w:rPr/>
        <w:t>May</w:t>
      </w:r>
      <w:r>
        <w:rPr>
          <w:spacing w:val="-6"/>
        </w:rPr>
        <w:t> </w:t>
      </w:r>
      <w:r>
        <w:rPr/>
        <w:t>1967,</w:t>
      </w:r>
      <w:r>
        <w:rPr>
          <w:spacing w:val="-3"/>
        </w:rPr>
        <w:t> </w:t>
      </w:r>
      <w:r>
        <w:rPr/>
        <w:t>Hampton Institute</w:t>
      </w:r>
      <w:r>
        <w:rPr>
          <w:spacing w:val="-5"/>
        </w:rPr>
        <w:t> </w:t>
      </w:r>
      <w:r>
        <w:rPr/>
        <w:t>graduated</w:t>
      </w:r>
      <w:r>
        <w:rPr>
          <w:spacing w:val="-3"/>
        </w:rPr>
        <w:t> </w:t>
      </w:r>
      <w:r>
        <w:rPr/>
        <w:t>its</w:t>
      </w:r>
      <w:r>
        <w:rPr>
          <w:spacing w:val="-4"/>
        </w:rPr>
        <w:t> </w:t>
      </w:r>
      <w:r>
        <w:rPr/>
        <w:t>first</w:t>
      </w:r>
      <w:r>
        <w:rPr>
          <w:spacing w:val="-5"/>
        </w:rPr>
        <w:t> </w:t>
      </w:r>
      <w:r>
        <w:rPr/>
        <w:t>class</w:t>
      </w:r>
      <w:r>
        <w:rPr>
          <w:spacing w:val="-1"/>
        </w:rPr>
        <w:t> </w:t>
      </w:r>
      <w:r>
        <w:rPr/>
        <w:t>with</w:t>
      </w:r>
      <w:r>
        <w:rPr>
          <w:spacing w:val="-5"/>
        </w:rPr>
        <w:t> </w:t>
      </w:r>
      <w:r>
        <w:rPr/>
        <w:t>the</w:t>
      </w:r>
      <w:r>
        <w:rPr>
          <w:spacing w:val="-5"/>
        </w:rPr>
        <w:t> </w:t>
      </w:r>
      <w:r>
        <w:rPr/>
        <w:t>professional</w:t>
      </w:r>
      <w:r>
        <w:rPr>
          <w:spacing w:val="-3"/>
        </w:rPr>
        <w:t> </w:t>
      </w:r>
      <w:r>
        <w:rPr/>
        <w:t>degree,</w:t>
      </w:r>
      <w:r>
        <w:rPr>
          <w:spacing w:val="-3"/>
        </w:rPr>
        <w:t> </w:t>
      </w:r>
      <w:r>
        <w:rPr/>
        <w:t>the</w:t>
      </w:r>
      <w:r>
        <w:rPr>
          <w:spacing w:val="-3"/>
        </w:rPr>
        <w:t> </w:t>
      </w:r>
      <w:r>
        <w:rPr/>
        <w:t>Bachelor</w:t>
      </w:r>
      <w:r>
        <w:rPr>
          <w:spacing w:val="-4"/>
        </w:rPr>
        <w:t> </w:t>
      </w:r>
      <w:r>
        <w:rPr/>
        <w:t>of</w:t>
      </w:r>
      <w:r>
        <w:rPr>
          <w:spacing w:val="-3"/>
        </w:rPr>
        <w:t> </w:t>
      </w:r>
      <w:r>
        <w:rPr/>
        <w:t>Architecture. In 1969 the Division of Architecture received its first accreditation, for a two year period, from the National Architectural Accrediting Board.</w:t>
      </w:r>
    </w:p>
    <w:p>
      <w:pPr>
        <w:pStyle w:val="BodyText"/>
        <w:spacing w:before="10"/>
      </w:pPr>
    </w:p>
    <w:p>
      <w:pPr>
        <w:pStyle w:val="BodyText"/>
        <w:ind w:left="1723" w:right="613"/>
      </w:pPr>
      <w:r>
        <w:rPr/>
        <w:t>In 1970, John H. Spencer became the Division Director following the resignation of Berenson.</w:t>
      </w:r>
      <w:r>
        <w:rPr>
          <w:spacing w:val="40"/>
        </w:rPr>
        <w:t> </w:t>
      </w:r>
      <w:r>
        <w:rPr/>
        <w:t>Spencer</w:t>
      </w:r>
      <w:r>
        <w:rPr>
          <w:spacing w:val="-4"/>
        </w:rPr>
        <w:t> </w:t>
      </w:r>
      <w:r>
        <w:rPr/>
        <w:t>continued</w:t>
      </w:r>
      <w:r>
        <w:rPr>
          <w:spacing w:val="-5"/>
        </w:rPr>
        <w:t> </w:t>
      </w:r>
      <w:r>
        <w:rPr/>
        <w:t>the</w:t>
      </w:r>
      <w:r>
        <w:rPr>
          <w:spacing w:val="-3"/>
        </w:rPr>
        <w:t> </w:t>
      </w:r>
      <w:r>
        <w:rPr/>
        <w:t>program development</w:t>
      </w:r>
      <w:r>
        <w:rPr>
          <w:spacing w:val="-5"/>
        </w:rPr>
        <w:t> </w:t>
      </w:r>
      <w:r>
        <w:rPr/>
        <w:t>started</w:t>
      </w:r>
      <w:r>
        <w:rPr>
          <w:spacing w:val="-5"/>
        </w:rPr>
        <w:t> </w:t>
      </w:r>
      <w:r>
        <w:rPr/>
        <w:t>by</w:t>
      </w:r>
      <w:r>
        <w:rPr>
          <w:spacing w:val="-6"/>
        </w:rPr>
        <w:t> </w:t>
      </w:r>
      <w:r>
        <w:rPr/>
        <w:t>Berenson.</w:t>
      </w:r>
      <w:r>
        <w:rPr>
          <w:spacing w:val="40"/>
        </w:rPr>
        <w:t> </w:t>
      </w:r>
      <w:r>
        <w:rPr/>
        <w:t>The Division of Architecture received a full five year accreditation in 1972.</w:t>
      </w:r>
    </w:p>
    <w:p>
      <w:pPr>
        <w:pStyle w:val="BodyText"/>
        <w:rPr>
          <w:sz w:val="21"/>
        </w:rPr>
      </w:pPr>
    </w:p>
    <w:p>
      <w:pPr>
        <w:pStyle w:val="BodyText"/>
        <w:ind w:left="1723"/>
      </w:pPr>
      <w:r>
        <w:rPr/>
        <w:t>With</w:t>
      </w:r>
      <w:r>
        <w:rPr>
          <w:spacing w:val="-5"/>
        </w:rPr>
        <w:t> </w:t>
      </w:r>
      <w:r>
        <w:rPr/>
        <w:t>changes</w:t>
      </w:r>
      <w:r>
        <w:rPr>
          <w:spacing w:val="-1"/>
        </w:rPr>
        <w:t> </w:t>
      </w:r>
      <w:r>
        <w:rPr/>
        <w:t>in</w:t>
      </w:r>
      <w:r>
        <w:rPr>
          <w:spacing w:val="-5"/>
        </w:rPr>
        <w:t> </w:t>
      </w:r>
      <w:r>
        <w:rPr/>
        <w:t>the</w:t>
      </w:r>
      <w:r>
        <w:rPr>
          <w:spacing w:val="-5"/>
        </w:rPr>
        <w:t> </w:t>
      </w:r>
      <w:r>
        <w:rPr/>
        <w:t>structure</w:t>
      </w:r>
      <w:r>
        <w:rPr>
          <w:spacing w:val="-5"/>
        </w:rPr>
        <w:t> </w:t>
      </w:r>
      <w:r>
        <w:rPr/>
        <w:t>of</w:t>
      </w:r>
      <w:r>
        <w:rPr>
          <w:spacing w:val="-3"/>
        </w:rPr>
        <w:t> </w:t>
      </w:r>
      <w:r>
        <w:rPr/>
        <w:t>Hampton</w:t>
      </w:r>
      <w:r>
        <w:rPr>
          <w:spacing w:val="-5"/>
        </w:rPr>
        <w:t> </w:t>
      </w:r>
      <w:r>
        <w:rPr/>
        <w:t>Institute</w:t>
      </w:r>
      <w:r>
        <w:rPr>
          <w:spacing w:val="-3"/>
        </w:rPr>
        <w:t> </w:t>
      </w:r>
      <w:r>
        <w:rPr/>
        <w:t>in</w:t>
      </w:r>
      <w:r>
        <w:rPr>
          <w:spacing w:val="-3"/>
        </w:rPr>
        <w:t> </w:t>
      </w:r>
      <w:r>
        <w:rPr/>
        <w:t>1972,</w:t>
      </w:r>
      <w:r>
        <w:rPr>
          <w:spacing w:val="-3"/>
        </w:rPr>
        <w:t> </w:t>
      </w:r>
      <w:r>
        <w:rPr/>
        <w:t>the</w:t>
      </w:r>
      <w:r>
        <w:rPr>
          <w:spacing w:val="-3"/>
        </w:rPr>
        <w:t> </w:t>
      </w:r>
      <w:r>
        <w:rPr/>
        <w:t>autonomous</w:t>
      </w:r>
      <w:r>
        <w:rPr>
          <w:spacing w:val="-4"/>
        </w:rPr>
        <w:t> </w:t>
      </w:r>
      <w:r>
        <w:rPr/>
        <w:t>Division</w:t>
      </w:r>
      <w:r>
        <w:rPr>
          <w:spacing w:val="-5"/>
        </w:rPr>
        <w:t> </w:t>
      </w:r>
      <w:r>
        <w:rPr/>
        <w:t>of Architecture became the Department of Architecture in the Division of Social and</w:t>
      </w:r>
    </w:p>
    <w:p>
      <w:pPr>
        <w:spacing w:after="0"/>
        <w:sectPr>
          <w:pgSz w:w="12240" w:h="15840"/>
          <w:pgMar w:header="0" w:footer="974" w:top="1360" w:bottom="1160" w:left="940" w:right="960"/>
        </w:sectPr>
      </w:pPr>
    </w:p>
    <w:p>
      <w:pPr>
        <w:pStyle w:val="BodyText"/>
        <w:spacing w:before="77"/>
        <w:ind w:left="1723" w:right="499"/>
      </w:pPr>
      <w:r>
        <w:rPr/>
        <w:t>Environmental</w:t>
      </w:r>
      <w:r>
        <w:rPr>
          <w:spacing w:val="-5"/>
        </w:rPr>
        <w:t> </w:t>
      </w:r>
      <w:r>
        <w:rPr/>
        <w:t>Studies.</w:t>
      </w:r>
      <w:r>
        <w:rPr>
          <w:spacing w:val="40"/>
        </w:rPr>
        <w:t> </w:t>
      </w:r>
      <w:r>
        <w:rPr/>
        <w:t>Further</w:t>
      </w:r>
      <w:r>
        <w:rPr>
          <w:spacing w:val="-3"/>
        </w:rPr>
        <w:t> </w:t>
      </w:r>
      <w:r>
        <w:rPr/>
        <w:t>changes</w:t>
      </w:r>
      <w:r>
        <w:rPr>
          <w:spacing w:val="-3"/>
        </w:rPr>
        <w:t> </w:t>
      </w:r>
      <w:r>
        <w:rPr/>
        <w:t>in</w:t>
      </w:r>
      <w:r>
        <w:rPr>
          <w:spacing w:val="-4"/>
        </w:rPr>
        <w:t> </w:t>
      </w:r>
      <w:r>
        <w:rPr/>
        <w:t>1979</w:t>
      </w:r>
      <w:r>
        <w:rPr>
          <w:spacing w:val="-2"/>
        </w:rPr>
        <w:t> </w:t>
      </w:r>
      <w:r>
        <w:rPr/>
        <w:t>placed</w:t>
      </w:r>
      <w:r>
        <w:rPr>
          <w:spacing w:val="-4"/>
        </w:rPr>
        <w:t> </w:t>
      </w:r>
      <w:r>
        <w:rPr/>
        <w:t>the</w:t>
      </w:r>
      <w:r>
        <w:rPr>
          <w:spacing w:val="-4"/>
        </w:rPr>
        <w:t> </w:t>
      </w:r>
      <w:r>
        <w:rPr/>
        <w:t>Department</w:t>
      </w:r>
      <w:r>
        <w:rPr>
          <w:spacing w:val="-4"/>
        </w:rPr>
        <w:t> </w:t>
      </w:r>
      <w:r>
        <w:rPr/>
        <w:t>of</w:t>
      </w:r>
      <w:r>
        <w:rPr>
          <w:spacing w:val="-2"/>
        </w:rPr>
        <w:t> </w:t>
      </w:r>
      <w:r>
        <w:rPr/>
        <w:t>Architecture</w:t>
      </w:r>
      <w:r>
        <w:rPr>
          <w:spacing w:val="-4"/>
        </w:rPr>
        <w:t> </w:t>
      </w:r>
      <w:r>
        <w:rPr/>
        <w:t>in the School of Pure and Applied Sciences.</w:t>
      </w:r>
    </w:p>
    <w:p>
      <w:pPr>
        <w:pStyle w:val="BodyText"/>
        <w:spacing w:before="11"/>
      </w:pPr>
    </w:p>
    <w:p>
      <w:pPr>
        <w:pStyle w:val="BodyText"/>
        <w:ind w:left="1723" w:right="580"/>
      </w:pPr>
      <w:r>
        <w:rPr/>
        <w:t>In 1993 the Department of Architecture was shifted to its present location in the School of Engineering and Technology. In January, 1997 Bradford Grant became the Chair of the Department,</w:t>
      </w:r>
      <w:r>
        <w:rPr>
          <w:spacing w:val="-4"/>
        </w:rPr>
        <w:t> </w:t>
      </w:r>
      <w:r>
        <w:rPr/>
        <w:t>following</w:t>
      </w:r>
      <w:r>
        <w:rPr>
          <w:spacing w:val="-4"/>
        </w:rPr>
        <w:t> </w:t>
      </w:r>
      <w:r>
        <w:rPr/>
        <w:t>the</w:t>
      </w:r>
      <w:r>
        <w:rPr>
          <w:spacing w:val="-4"/>
        </w:rPr>
        <w:t> </w:t>
      </w:r>
      <w:r>
        <w:rPr/>
        <w:t>retirement</w:t>
      </w:r>
      <w:r>
        <w:rPr>
          <w:spacing w:val="-4"/>
        </w:rPr>
        <w:t> </w:t>
      </w:r>
      <w:r>
        <w:rPr/>
        <w:t>of</w:t>
      </w:r>
      <w:r>
        <w:rPr>
          <w:spacing w:val="-2"/>
        </w:rPr>
        <w:t> </w:t>
      </w:r>
      <w:r>
        <w:rPr/>
        <w:t>Spencer.</w:t>
      </w:r>
      <w:r>
        <w:rPr>
          <w:spacing w:val="-4"/>
        </w:rPr>
        <w:t> </w:t>
      </w:r>
      <w:r>
        <w:rPr/>
        <w:t>The</w:t>
      </w:r>
      <w:r>
        <w:rPr>
          <w:spacing w:val="-2"/>
        </w:rPr>
        <w:t> </w:t>
      </w:r>
      <w:r>
        <w:rPr/>
        <w:t>University</w:t>
      </w:r>
      <w:r>
        <w:rPr>
          <w:spacing w:val="-7"/>
        </w:rPr>
        <w:t> </w:t>
      </w:r>
      <w:r>
        <w:rPr/>
        <w:t>eliminated</w:t>
      </w:r>
      <w:r>
        <w:rPr>
          <w:spacing w:val="-4"/>
        </w:rPr>
        <w:t> </w:t>
      </w:r>
      <w:r>
        <w:rPr/>
        <w:t>the</w:t>
      </w:r>
      <w:r>
        <w:rPr>
          <w:spacing w:val="-4"/>
        </w:rPr>
        <w:t> </w:t>
      </w:r>
      <w:r>
        <w:rPr/>
        <w:t>program in Building Construction Technology, traditionally connected to the Department of </w:t>
      </w:r>
      <w:r>
        <w:rPr>
          <w:spacing w:val="-2"/>
        </w:rPr>
        <w:t>Architecture.</w:t>
      </w:r>
    </w:p>
    <w:p>
      <w:pPr>
        <w:pStyle w:val="BodyText"/>
        <w:spacing w:before="9"/>
      </w:pPr>
    </w:p>
    <w:p>
      <w:pPr>
        <w:pStyle w:val="BodyText"/>
        <w:spacing w:before="1"/>
        <w:ind w:left="1724" w:right="499"/>
      </w:pPr>
      <w:r>
        <w:rPr/>
        <w:t>In</w:t>
      </w:r>
      <w:r>
        <w:rPr>
          <w:spacing w:val="-4"/>
        </w:rPr>
        <w:t> </w:t>
      </w:r>
      <w:r>
        <w:rPr/>
        <w:t>2002</w:t>
      </w:r>
      <w:r>
        <w:rPr>
          <w:spacing w:val="-4"/>
        </w:rPr>
        <w:t> </w:t>
      </w:r>
      <w:r>
        <w:rPr/>
        <w:t>the</w:t>
      </w:r>
      <w:r>
        <w:rPr>
          <w:spacing w:val="-4"/>
        </w:rPr>
        <w:t> </w:t>
      </w:r>
      <w:r>
        <w:rPr/>
        <w:t>Department</w:t>
      </w:r>
      <w:r>
        <w:rPr>
          <w:spacing w:val="-4"/>
        </w:rPr>
        <w:t> </w:t>
      </w:r>
      <w:r>
        <w:rPr/>
        <w:t>began</w:t>
      </w:r>
      <w:r>
        <w:rPr>
          <w:spacing w:val="-4"/>
        </w:rPr>
        <w:t> </w:t>
      </w:r>
      <w:r>
        <w:rPr/>
        <w:t>the</w:t>
      </w:r>
      <w:r>
        <w:rPr>
          <w:spacing w:val="-2"/>
        </w:rPr>
        <w:t> </w:t>
      </w:r>
      <w:r>
        <w:rPr/>
        <w:t>process</w:t>
      </w:r>
      <w:r>
        <w:rPr>
          <w:spacing w:val="-3"/>
        </w:rPr>
        <w:t> </w:t>
      </w:r>
      <w:r>
        <w:rPr/>
        <w:t>of</w:t>
      </w:r>
      <w:r>
        <w:rPr>
          <w:spacing w:val="-2"/>
        </w:rPr>
        <w:t> </w:t>
      </w:r>
      <w:r>
        <w:rPr/>
        <w:t>University</w:t>
      </w:r>
      <w:r>
        <w:rPr>
          <w:spacing w:val="-7"/>
        </w:rPr>
        <w:t> </w:t>
      </w:r>
      <w:r>
        <w:rPr/>
        <w:t>approval</w:t>
      </w:r>
      <w:r>
        <w:rPr>
          <w:spacing w:val="-5"/>
        </w:rPr>
        <w:t> </w:t>
      </w:r>
      <w:r>
        <w:rPr/>
        <w:t>for</w:t>
      </w:r>
      <w:r>
        <w:rPr>
          <w:spacing w:val="-3"/>
        </w:rPr>
        <w:t> </w:t>
      </w:r>
      <w:r>
        <w:rPr/>
        <w:t>a</w:t>
      </w:r>
      <w:r>
        <w:rPr>
          <w:spacing w:val="-4"/>
        </w:rPr>
        <w:t> </w:t>
      </w:r>
      <w:r>
        <w:rPr/>
        <w:t>revised</w:t>
      </w:r>
      <w:r>
        <w:rPr>
          <w:spacing w:val="-2"/>
        </w:rPr>
        <w:t> </w:t>
      </w:r>
      <w:r>
        <w:rPr/>
        <w:t>curriculum, and the conversion of the 5 year Bachelor of Architecture degree to a 5½ year Master of Architecture First Professional Degree. With University approval, the new curriculum was initiated with the entering freshman class in Fall Semester 2003.</w:t>
      </w:r>
    </w:p>
    <w:p>
      <w:pPr>
        <w:pStyle w:val="BodyText"/>
        <w:spacing w:before="9"/>
      </w:pPr>
    </w:p>
    <w:p>
      <w:pPr>
        <w:pStyle w:val="BodyText"/>
        <w:ind w:left="1723" w:right="546"/>
      </w:pPr>
      <w:r>
        <w:rPr/>
        <w:t>In</w:t>
      </w:r>
      <w:r>
        <w:rPr>
          <w:spacing w:val="-5"/>
        </w:rPr>
        <w:t> </w:t>
      </w:r>
      <w:r>
        <w:rPr/>
        <w:t>January,</w:t>
      </w:r>
      <w:r>
        <w:rPr>
          <w:spacing w:val="-3"/>
        </w:rPr>
        <w:t> </w:t>
      </w:r>
      <w:r>
        <w:rPr/>
        <w:t>2004</w:t>
      </w:r>
      <w:r>
        <w:rPr>
          <w:spacing w:val="-5"/>
        </w:rPr>
        <w:t> </w:t>
      </w:r>
      <w:r>
        <w:rPr/>
        <w:t>the</w:t>
      </w:r>
      <w:r>
        <w:rPr>
          <w:spacing w:val="-5"/>
        </w:rPr>
        <w:t> </w:t>
      </w:r>
      <w:r>
        <w:rPr/>
        <w:t>5½ year</w:t>
      </w:r>
      <w:r>
        <w:rPr>
          <w:spacing w:val="-4"/>
        </w:rPr>
        <w:t> </w:t>
      </w:r>
      <w:r>
        <w:rPr/>
        <w:t>Master</w:t>
      </w:r>
      <w:r>
        <w:rPr>
          <w:spacing w:val="-4"/>
        </w:rPr>
        <w:t> </w:t>
      </w:r>
      <w:r>
        <w:rPr/>
        <w:t>of</w:t>
      </w:r>
      <w:r>
        <w:rPr>
          <w:spacing w:val="-3"/>
        </w:rPr>
        <w:t> </w:t>
      </w:r>
      <w:r>
        <w:rPr/>
        <w:t>Architecture</w:t>
      </w:r>
      <w:r>
        <w:rPr>
          <w:spacing w:val="-3"/>
        </w:rPr>
        <w:t> </w:t>
      </w:r>
      <w:r>
        <w:rPr/>
        <w:t>First</w:t>
      </w:r>
      <w:r>
        <w:rPr>
          <w:spacing w:val="-5"/>
        </w:rPr>
        <w:t> </w:t>
      </w:r>
      <w:r>
        <w:rPr/>
        <w:t>Professional</w:t>
      </w:r>
      <w:r>
        <w:rPr>
          <w:spacing w:val="-4"/>
        </w:rPr>
        <w:t> </w:t>
      </w:r>
      <w:r>
        <w:rPr/>
        <w:t>Degree</w:t>
      </w:r>
      <w:r>
        <w:rPr>
          <w:spacing w:val="-3"/>
        </w:rPr>
        <w:t> </w:t>
      </w:r>
      <w:r>
        <w:rPr/>
        <w:t>was</w:t>
      </w:r>
      <w:r>
        <w:rPr>
          <w:spacing w:val="-4"/>
        </w:rPr>
        <w:t> </w:t>
      </w:r>
      <w:r>
        <w:rPr/>
        <w:t>granted accredited</w:t>
      </w:r>
      <w:r>
        <w:rPr>
          <w:spacing w:val="-2"/>
        </w:rPr>
        <w:t> </w:t>
      </w:r>
      <w:r>
        <w:rPr/>
        <w:t>status by</w:t>
      </w:r>
      <w:r>
        <w:rPr>
          <w:spacing w:val="-3"/>
        </w:rPr>
        <w:t> </w:t>
      </w:r>
      <w:r>
        <w:rPr/>
        <w:t>NAAB, and was</w:t>
      </w:r>
      <w:r>
        <w:rPr>
          <w:spacing w:val="-1"/>
        </w:rPr>
        <w:t> </w:t>
      </w:r>
      <w:r>
        <w:rPr/>
        <w:t>included in</w:t>
      </w:r>
      <w:r>
        <w:rPr>
          <w:spacing w:val="-2"/>
        </w:rPr>
        <w:t> </w:t>
      </w:r>
      <w:r>
        <w:rPr/>
        <w:t>the</w:t>
      </w:r>
      <w:r>
        <w:rPr>
          <w:spacing w:val="-2"/>
        </w:rPr>
        <w:t> </w:t>
      </w:r>
      <w:r>
        <w:rPr/>
        <w:t>six-year</w:t>
      </w:r>
      <w:r>
        <w:rPr>
          <w:spacing w:val="-1"/>
        </w:rPr>
        <w:t> </w:t>
      </w:r>
      <w:r>
        <w:rPr/>
        <w:t>term.</w:t>
      </w:r>
      <w:r>
        <w:rPr>
          <w:spacing w:val="-2"/>
        </w:rPr>
        <w:t> </w:t>
      </w:r>
      <w:r>
        <w:rPr/>
        <w:t>It</w:t>
      </w:r>
      <w:r>
        <w:rPr>
          <w:spacing w:val="-2"/>
        </w:rPr>
        <w:t> </w:t>
      </w:r>
      <w:r>
        <w:rPr/>
        <w:t>was</w:t>
      </w:r>
      <w:r>
        <w:rPr>
          <w:spacing w:val="-1"/>
        </w:rPr>
        <w:t> </w:t>
      </w:r>
      <w:r>
        <w:rPr/>
        <w:t>then</w:t>
      </w:r>
      <w:r>
        <w:rPr>
          <w:spacing w:val="-2"/>
        </w:rPr>
        <w:t> </w:t>
      </w:r>
      <w:r>
        <w:rPr/>
        <w:t>that, Dr.</w:t>
      </w:r>
      <w:r>
        <w:rPr>
          <w:spacing w:val="-2"/>
        </w:rPr>
        <w:t> </w:t>
      </w:r>
      <w:r>
        <w:rPr/>
        <w:t>Eric Sheppard was appointed Dean of the School of Engineering and Technology. The Master of Architecture curriculum was introduced in annual increments, and in May, 2008 the Hampton University Department of Architecture witnessed the first graduating class to receive the Master of Architecture degree.</w:t>
      </w:r>
    </w:p>
    <w:p>
      <w:pPr>
        <w:pStyle w:val="BodyText"/>
        <w:spacing w:before="10"/>
      </w:pPr>
    </w:p>
    <w:p>
      <w:pPr>
        <w:pStyle w:val="BodyText"/>
        <w:spacing w:before="1"/>
        <w:ind w:left="1723" w:right="499"/>
      </w:pPr>
      <w:r>
        <w:rPr/>
        <w:t>In 2006 Ronald Kloster, Assistant Professor of Architecture, was appointed as Assistant to the Dean of the School of Engineering and Technology.</w:t>
      </w:r>
      <w:r>
        <w:rPr>
          <w:spacing w:val="-4"/>
        </w:rPr>
        <w:t> </w:t>
      </w:r>
      <w:r>
        <w:rPr/>
        <w:t>With the departure of Grant in May 2007,</w:t>
      </w:r>
      <w:r>
        <w:rPr>
          <w:spacing w:val="-4"/>
        </w:rPr>
        <w:t> </w:t>
      </w:r>
      <w:r>
        <w:rPr/>
        <w:t>Prof.</w:t>
      </w:r>
      <w:r>
        <w:rPr>
          <w:spacing w:val="-4"/>
        </w:rPr>
        <w:t> </w:t>
      </w:r>
      <w:r>
        <w:rPr/>
        <w:t>Kloster</w:t>
      </w:r>
      <w:r>
        <w:rPr>
          <w:spacing w:val="-1"/>
        </w:rPr>
        <w:t> </w:t>
      </w:r>
      <w:r>
        <w:rPr/>
        <w:t>was</w:t>
      </w:r>
      <w:r>
        <w:rPr>
          <w:spacing w:val="-2"/>
        </w:rPr>
        <w:t> </w:t>
      </w:r>
      <w:r>
        <w:rPr/>
        <w:t>also</w:t>
      </w:r>
      <w:r>
        <w:rPr>
          <w:spacing w:val="-4"/>
        </w:rPr>
        <w:t> </w:t>
      </w:r>
      <w:r>
        <w:rPr/>
        <w:t>named</w:t>
      </w:r>
      <w:r>
        <w:rPr>
          <w:spacing w:val="-4"/>
        </w:rPr>
        <w:t> </w:t>
      </w:r>
      <w:r>
        <w:rPr/>
        <w:t>Acting</w:t>
      </w:r>
      <w:r>
        <w:rPr>
          <w:spacing w:val="-4"/>
        </w:rPr>
        <w:t> </w:t>
      </w:r>
      <w:r>
        <w:rPr/>
        <w:t>Chair.</w:t>
      </w:r>
      <w:r>
        <w:rPr>
          <w:spacing w:val="-4"/>
        </w:rPr>
        <w:t> </w:t>
      </w:r>
      <w:r>
        <w:rPr/>
        <w:t>A</w:t>
      </w:r>
      <w:r>
        <w:rPr>
          <w:spacing w:val="-5"/>
        </w:rPr>
        <w:t> </w:t>
      </w:r>
      <w:r>
        <w:rPr/>
        <w:t>search</w:t>
      </w:r>
      <w:r>
        <w:rPr>
          <w:spacing w:val="-4"/>
        </w:rPr>
        <w:t> </w:t>
      </w:r>
      <w:r>
        <w:rPr/>
        <w:t>committee</w:t>
      </w:r>
      <w:r>
        <w:rPr>
          <w:spacing w:val="-4"/>
        </w:rPr>
        <w:t> </w:t>
      </w:r>
      <w:r>
        <w:rPr/>
        <w:t>was appointed</w:t>
      </w:r>
      <w:r>
        <w:rPr>
          <w:spacing w:val="-4"/>
        </w:rPr>
        <w:t> </w:t>
      </w:r>
      <w:r>
        <w:rPr/>
        <w:t>by</w:t>
      </w:r>
      <w:r>
        <w:rPr>
          <w:spacing w:val="-7"/>
        </w:rPr>
        <w:t> </w:t>
      </w:r>
      <w:r>
        <w:rPr/>
        <w:t>the University Provost that was chaired by Professor Emeritus and former Architecture Chair, John Spencer.</w:t>
      </w:r>
    </w:p>
    <w:p>
      <w:pPr>
        <w:pStyle w:val="BodyText"/>
        <w:spacing w:before="9"/>
      </w:pPr>
    </w:p>
    <w:p>
      <w:pPr>
        <w:pStyle w:val="BodyText"/>
        <w:ind w:left="1723" w:right="580"/>
      </w:pPr>
      <w:r>
        <w:rPr/>
        <w:t>In September, 2008, Robert L. Easter, an alum of the program, became Chair of the Department of Architecture. In the ensuing years, the focus of the program has broadened to incorporate advancements in technology and sustainability. Easter is a former national president of the National Organization of Minority Architects, an inductee into its Council, and a 30 year private career in practice. His first task was to help the department prepare for</w:t>
      </w:r>
      <w:r>
        <w:rPr>
          <w:spacing w:val="-4"/>
        </w:rPr>
        <w:t> </w:t>
      </w:r>
      <w:r>
        <w:rPr/>
        <w:t>its</w:t>
      </w:r>
      <w:r>
        <w:rPr>
          <w:spacing w:val="-4"/>
        </w:rPr>
        <w:t> </w:t>
      </w:r>
      <w:r>
        <w:rPr/>
        <w:t>accreditation</w:t>
      </w:r>
      <w:r>
        <w:rPr>
          <w:spacing w:val="-2"/>
        </w:rPr>
        <w:t> </w:t>
      </w:r>
      <w:r>
        <w:rPr/>
        <w:t>assessment,</w:t>
      </w:r>
      <w:r>
        <w:rPr>
          <w:spacing w:val="-5"/>
        </w:rPr>
        <w:t> </w:t>
      </w:r>
      <w:r>
        <w:rPr/>
        <w:t>which</w:t>
      </w:r>
      <w:r>
        <w:rPr>
          <w:spacing w:val="-3"/>
        </w:rPr>
        <w:t> </w:t>
      </w:r>
      <w:r>
        <w:rPr/>
        <w:t>was</w:t>
      </w:r>
      <w:r>
        <w:rPr>
          <w:spacing w:val="-4"/>
        </w:rPr>
        <w:t> </w:t>
      </w:r>
      <w:r>
        <w:rPr/>
        <w:t>successfully</w:t>
      </w:r>
      <w:r>
        <w:rPr>
          <w:spacing w:val="-8"/>
        </w:rPr>
        <w:t> </w:t>
      </w:r>
      <w:r>
        <w:rPr/>
        <w:t>accomplished</w:t>
      </w:r>
      <w:r>
        <w:rPr>
          <w:spacing w:val="-3"/>
        </w:rPr>
        <w:t> </w:t>
      </w:r>
      <w:r>
        <w:rPr/>
        <w:t>in</w:t>
      </w:r>
      <w:r>
        <w:rPr>
          <w:spacing w:val="-3"/>
        </w:rPr>
        <w:t> </w:t>
      </w:r>
      <w:r>
        <w:rPr/>
        <w:t>the</w:t>
      </w:r>
      <w:r>
        <w:rPr>
          <w:spacing w:val="-2"/>
        </w:rPr>
        <w:t> </w:t>
      </w:r>
      <w:r>
        <w:rPr/>
        <w:t>Spring,</w:t>
      </w:r>
      <w:r>
        <w:rPr>
          <w:spacing w:val="-5"/>
        </w:rPr>
        <w:t> </w:t>
      </w:r>
      <w:r>
        <w:rPr/>
        <w:t>2009. The second task was to help the program advance its mission. In the Spring, 2009 faculty member, Mason Andrews, was added to the cadre to increase our full-time faculty count.</w:t>
      </w:r>
    </w:p>
    <w:p>
      <w:pPr>
        <w:pStyle w:val="BodyText"/>
        <w:spacing w:before="2"/>
        <w:ind w:left="1723"/>
      </w:pPr>
      <w:r>
        <w:rPr/>
        <w:t>The</w:t>
      </w:r>
      <w:r>
        <w:rPr>
          <w:spacing w:val="-5"/>
        </w:rPr>
        <w:t> </w:t>
      </w:r>
      <w:r>
        <w:rPr/>
        <w:t>2009</w:t>
      </w:r>
      <w:r>
        <w:rPr>
          <w:spacing w:val="-3"/>
        </w:rPr>
        <w:t> </w:t>
      </w:r>
      <w:r>
        <w:rPr/>
        <w:t>academic</w:t>
      </w:r>
      <w:r>
        <w:rPr>
          <w:spacing w:val="-1"/>
        </w:rPr>
        <w:t> </w:t>
      </w:r>
      <w:r>
        <w:rPr/>
        <w:t>year</w:t>
      </w:r>
      <w:r>
        <w:rPr>
          <w:spacing w:val="-4"/>
        </w:rPr>
        <w:t> </w:t>
      </w:r>
      <w:r>
        <w:rPr/>
        <w:t>concluded</w:t>
      </w:r>
      <w:r>
        <w:rPr>
          <w:spacing w:val="-3"/>
        </w:rPr>
        <w:t> </w:t>
      </w:r>
      <w:r>
        <w:rPr/>
        <w:t>with</w:t>
      </w:r>
      <w:r>
        <w:rPr>
          <w:spacing w:val="-5"/>
        </w:rPr>
        <w:t> </w:t>
      </w:r>
      <w:r>
        <w:rPr/>
        <w:t>the</w:t>
      </w:r>
      <w:r>
        <w:rPr>
          <w:spacing w:val="-5"/>
        </w:rPr>
        <w:t> </w:t>
      </w:r>
      <w:r>
        <w:rPr/>
        <w:t>program</w:t>
      </w:r>
      <w:r>
        <w:rPr>
          <w:spacing w:val="-3"/>
        </w:rPr>
        <w:t> </w:t>
      </w:r>
      <w:r>
        <w:rPr/>
        <w:t>receiving</w:t>
      </w:r>
      <w:r>
        <w:rPr>
          <w:spacing w:val="-5"/>
        </w:rPr>
        <w:t> </w:t>
      </w:r>
      <w:r>
        <w:rPr/>
        <w:t>a</w:t>
      </w:r>
      <w:r>
        <w:rPr>
          <w:spacing w:val="-5"/>
        </w:rPr>
        <w:t> </w:t>
      </w:r>
      <w:r>
        <w:rPr/>
        <w:t>six year</w:t>
      </w:r>
      <w:r>
        <w:rPr>
          <w:spacing w:val="-4"/>
        </w:rPr>
        <w:t> </w:t>
      </w:r>
      <w:r>
        <w:rPr/>
        <w:t>term of</w:t>
      </w:r>
      <w:r>
        <w:rPr>
          <w:spacing w:val="-5"/>
        </w:rPr>
        <w:t> </w:t>
      </w:r>
      <w:r>
        <w:rPr/>
        <w:t>continuing </w:t>
      </w:r>
      <w:r>
        <w:rPr>
          <w:spacing w:val="-2"/>
        </w:rPr>
        <w:t>accreditation.</w:t>
      </w:r>
    </w:p>
    <w:p>
      <w:pPr>
        <w:pStyle w:val="BodyText"/>
        <w:spacing w:before="6"/>
      </w:pPr>
    </w:p>
    <w:p>
      <w:pPr>
        <w:spacing w:before="0"/>
        <w:ind w:left="499" w:right="0" w:firstLine="0"/>
        <w:jc w:val="left"/>
        <w:rPr>
          <w:b/>
          <w:sz w:val="20"/>
        </w:rPr>
      </w:pPr>
      <w:r>
        <w:rPr>
          <w:b/>
          <w:sz w:val="20"/>
        </w:rPr>
        <w:t>Recent</w:t>
      </w:r>
      <w:r>
        <w:rPr>
          <w:b/>
          <w:spacing w:val="-7"/>
          <w:sz w:val="20"/>
        </w:rPr>
        <w:t> </w:t>
      </w:r>
      <w:r>
        <w:rPr>
          <w:b/>
          <w:sz w:val="20"/>
        </w:rPr>
        <w:t>History</w:t>
      </w:r>
      <w:r>
        <w:rPr>
          <w:b/>
          <w:spacing w:val="-8"/>
          <w:sz w:val="20"/>
        </w:rPr>
        <w:t> </w:t>
      </w:r>
      <w:r>
        <w:rPr>
          <w:b/>
          <w:sz w:val="20"/>
        </w:rPr>
        <w:t>and</w:t>
      </w:r>
      <w:r>
        <w:rPr>
          <w:b/>
          <w:spacing w:val="-7"/>
          <w:sz w:val="20"/>
        </w:rPr>
        <w:t> </w:t>
      </w:r>
      <w:r>
        <w:rPr>
          <w:b/>
          <w:sz w:val="20"/>
        </w:rPr>
        <w:t>Program</w:t>
      </w:r>
      <w:r>
        <w:rPr>
          <w:b/>
          <w:spacing w:val="-3"/>
          <w:sz w:val="20"/>
        </w:rPr>
        <w:t> </w:t>
      </w:r>
      <w:r>
        <w:rPr>
          <w:b/>
          <w:spacing w:val="-2"/>
          <w:sz w:val="20"/>
        </w:rPr>
        <w:t>Accomplishments</w:t>
      </w:r>
    </w:p>
    <w:p>
      <w:pPr>
        <w:pStyle w:val="BodyText"/>
        <w:spacing w:before="1"/>
        <w:rPr>
          <w:b/>
          <w:sz w:val="21"/>
        </w:rPr>
      </w:pPr>
    </w:p>
    <w:p>
      <w:pPr>
        <w:pStyle w:val="BodyText"/>
        <w:ind w:left="1723" w:right="613"/>
      </w:pPr>
      <w:r>
        <w:rPr/>
        <w:t>Since</w:t>
      </w:r>
      <w:r>
        <w:rPr>
          <w:spacing w:val="-3"/>
        </w:rPr>
        <w:t> </w:t>
      </w:r>
      <w:r>
        <w:rPr/>
        <w:t>our</w:t>
      </w:r>
      <w:r>
        <w:rPr>
          <w:spacing w:val="-2"/>
        </w:rPr>
        <w:t> </w:t>
      </w:r>
      <w:r>
        <w:rPr/>
        <w:t>last</w:t>
      </w:r>
      <w:r>
        <w:rPr>
          <w:spacing w:val="-5"/>
        </w:rPr>
        <w:t> </w:t>
      </w:r>
      <w:r>
        <w:rPr/>
        <w:t>accreditation</w:t>
      </w:r>
      <w:r>
        <w:rPr>
          <w:spacing w:val="-3"/>
        </w:rPr>
        <w:t> </w:t>
      </w:r>
      <w:r>
        <w:rPr/>
        <w:t>visit,</w:t>
      </w:r>
      <w:r>
        <w:rPr>
          <w:spacing w:val="-3"/>
        </w:rPr>
        <w:t> </w:t>
      </w:r>
      <w:r>
        <w:rPr/>
        <w:t>we</w:t>
      </w:r>
      <w:r>
        <w:rPr>
          <w:spacing w:val="-5"/>
        </w:rPr>
        <w:t> </w:t>
      </w:r>
      <w:r>
        <w:rPr/>
        <w:t>have</w:t>
      </w:r>
      <w:r>
        <w:rPr>
          <w:spacing w:val="-3"/>
        </w:rPr>
        <w:t> </w:t>
      </w:r>
      <w:r>
        <w:rPr/>
        <w:t>experienced</w:t>
      </w:r>
      <w:r>
        <w:rPr>
          <w:spacing w:val="-3"/>
        </w:rPr>
        <w:t> </w:t>
      </w:r>
      <w:r>
        <w:rPr/>
        <w:t>many</w:t>
      </w:r>
      <w:r>
        <w:rPr>
          <w:spacing w:val="-10"/>
        </w:rPr>
        <w:t> </w:t>
      </w:r>
      <w:r>
        <w:rPr/>
        <w:t>accomplishments</w:t>
      </w:r>
      <w:r>
        <w:rPr>
          <w:spacing w:val="-4"/>
        </w:rPr>
        <w:t> </w:t>
      </w:r>
      <w:r>
        <w:rPr/>
        <w:t>and challenges. Among them are the following:</w:t>
      </w:r>
    </w:p>
    <w:p>
      <w:pPr>
        <w:pStyle w:val="BodyText"/>
        <w:rPr>
          <w:sz w:val="21"/>
        </w:rPr>
      </w:pPr>
    </w:p>
    <w:p>
      <w:pPr>
        <w:pStyle w:val="BodyText"/>
        <w:ind w:left="1723" w:right="499"/>
      </w:pPr>
      <w:r>
        <w:rPr/>
        <w:t>One</w:t>
      </w:r>
      <w:r>
        <w:rPr>
          <w:spacing w:val="-4"/>
        </w:rPr>
        <w:t> </w:t>
      </w:r>
      <w:r>
        <w:rPr/>
        <w:t>of</w:t>
      </w:r>
      <w:r>
        <w:rPr>
          <w:spacing w:val="-2"/>
        </w:rPr>
        <w:t> </w:t>
      </w:r>
      <w:r>
        <w:rPr/>
        <w:t>the</w:t>
      </w:r>
      <w:r>
        <w:rPr>
          <w:spacing w:val="-4"/>
        </w:rPr>
        <w:t> </w:t>
      </w:r>
      <w:r>
        <w:rPr/>
        <w:t>significant</w:t>
      </w:r>
      <w:r>
        <w:rPr>
          <w:spacing w:val="-4"/>
        </w:rPr>
        <w:t> </w:t>
      </w:r>
      <w:r>
        <w:rPr/>
        <w:t>benefits</w:t>
      </w:r>
      <w:r>
        <w:rPr>
          <w:spacing w:val="-3"/>
        </w:rPr>
        <w:t> </w:t>
      </w:r>
      <w:r>
        <w:rPr/>
        <w:t>to</w:t>
      </w:r>
      <w:r>
        <w:rPr>
          <w:spacing w:val="-2"/>
        </w:rPr>
        <w:t> </w:t>
      </w:r>
      <w:r>
        <w:rPr/>
        <w:t>Mason</w:t>
      </w:r>
      <w:r>
        <w:rPr>
          <w:spacing w:val="-2"/>
        </w:rPr>
        <w:t> </w:t>
      </w:r>
      <w:r>
        <w:rPr/>
        <w:t>Andrews</w:t>
      </w:r>
      <w:r>
        <w:rPr>
          <w:spacing w:val="-3"/>
        </w:rPr>
        <w:t> </w:t>
      </w:r>
      <w:r>
        <w:rPr/>
        <w:t>joining</w:t>
      </w:r>
      <w:r>
        <w:rPr>
          <w:spacing w:val="-4"/>
        </w:rPr>
        <w:t> </w:t>
      </w:r>
      <w:r>
        <w:rPr/>
        <w:t>the</w:t>
      </w:r>
      <w:r>
        <w:rPr>
          <w:spacing w:val="-2"/>
        </w:rPr>
        <w:t> </w:t>
      </w:r>
      <w:r>
        <w:rPr/>
        <w:t>faculty</w:t>
      </w:r>
      <w:r>
        <w:rPr>
          <w:spacing w:val="-5"/>
        </w:rPr>
        <w:t> </w:t>
      </w:r>
      <w:r>
        <w:rPr/>
        <w:t>has</w:t>
      </w:r>
      <w:r>
        <w:rPr>
          <w:spacing w:val="-3"/>
        </w:rPr>
        <w:t> </w:t>
      </w:r>
      <w:r>
        <w:rPr/>
        <w:t>been</w:t>
      </w:r>
      <w:r>
        <w:rPr>
          <w:spacing w:val="-2"/>
        </w:rPr>
        <w:t> </w:t>
      </w:r>
      <w:r>
        <w:rPr/>
        <w:t>an</w:t>
      </w:r>
      <w:r>
        <w:rPr>
          <w:spacing w:val="-2"/>
        </w:rPr>
        <w:t> </w:t>
      </w:r>
      <w:r>
        <w:rPr/>
        <w:t>expanded relationship with Ray and Marilyn Gindroz. In the summer session of 2009, the HUDA summer</w:t>
      </w:r>
      <w:r>
        <w:rPr>
          <w:spacing w:val="-2"/>
        </w:rPr>
        <w:t> </w:t>
      </w:r>
      <w:r>
        <w:rPr/>
        <w:t>abroad</w:t>
      </w:r>
      <w:r>
        <w:rPr>
          <w:spacing w:val="-3"/>
        </w:rPr>
        <w:t> </w:t>
      </w:r>
      <w:r>
        <w:rPr/>
        <w:t>studio,</w:t>
      </w:r>
      <w:r>
        <w:rPr>
          <w:spacing w:val="-1"/>
        </w:rPr>
        <w:t> </w:t>
      </w:r>
      <w:r>
        <w:rPr/>
        <w:t>under</w:t>
      </w:r>
      <w:r>
        <w:rPr>
          <w:spacing w:val="-2"/>
        </w:rPr>
        <w:t> </w:t>
      </w:r>
      <w:r>
        <w:rPr/>
        <w:t>the</w:t>
      </w:r>
      <w:r>
        <w:rPr>
          <w:spacing w:val="-1"/>
        </w:rPr>
        <w:t> </w:t>
      </w:r>
      <w:r>
        <w:rPr/>
        <w:t>direction</w:t>
      </w:r>
      <w:r>
        <w:rPr>
          <w:spacing w:val="-1"/>
        </w:rPr>
        <w:t> </w:t>
      </w:r>
      <w:r>
        <w:rPr/>
        <w:t>of</w:t>
      </w:r>
      <w:r>
        <w:rPr>
          <w:spacing w:val="-1"/>
        </w:rPr>
        <w:t> </w:t>
      </w:r>
      <w:r>
        <w:rPr/>
        <w:t>Professor</w:t>
      </w:r>
      <w:r>
        <w:rPr>
          <w:spacing w:val="-2"/>
        </w:rPr>
        <w:t> </w:t>
      </w:r>
      <w:r>
        <w:rPr/>
        <w:t>Chance,</w:t>
      </w:r>
      <w:r>
        <w:rPr>
          <w:spacing w:val="-1"/>
        </w:rPr>
        <w:t> </w:t>
      </w:r>
      <w:r>
        <w:rPr/>
        <w:t>along with</w:t>
      </w:r>
      <w:r>
        <w:rPr>
          <w:spacing w:val="-3"/>
        </w:rPr>
        <w:t> </w:t>
      </w:r>
      <w:r>
        <w:rPr/>
        <w:t>Mason</w:t>
      </w:r>
      <w:r>
        <w:rPr>
          <w:spacing w:val="-3"/>
        </w:rPr>
        <w:t> </w:t>
      </w:r>
      <w:r>
        <w:rPr/>
        <w:t>and</w:t>
      </w:r>
      <w:r>
        <w:rPr>
          <w:spacing w:val="-3"/>
        </w:rPr>
        <w:t> </w:t>
      </w:r>
      <w:r>
        <w:rPr/>
        <w:t>the Giindroz’s,</w:t>
      </w:r>
      <w:r>
        <w:rPr>
          <w:spacing w:val="-4"/>
        </w:rPr>
        <w:t> </w:t>
      </w:r>
      <w:r>
        <w:rPr/>
        <w:t>took 22</w:t>
      </w:r>
      <w:r>
        <w:rPr>
          <w:spacing w:val="-4"/>
        </w:rPr>
        <w:t> </w:t>
      </w:r>
      <w:r>
        <w:rPr/>
        <w:t>students</w:t>
      </w:r>
      <w:r>
        <w:rPr>
          <w:spacing w:val="-3"/>
        </w:rPr>
        <w:t> </w:t>
      </w:r>
      <w:r>
        <w:rPr/>
        <w:t>to</w:t>
      </w:r>
      <w:r>
        <w:rPr>
          <w:spacing w:val="-4"/>
        </w:rPr>
        <w:t> </w:t>
      </w:r>
      <w:r>
        <w:rPr/>
        <w:t>Italy,</w:t>
      </w:r>
      <w:r>
        <w:rPr>
          <w:spacing w:val="-2"/>
        </w:rPr>
        <w:t> </w:t>
      </w:r>
      <w:r>
        <w:rPr/>
        <w:t>accompanied</w:t>
      </w:r>
      <w:r>
        <w:rPr>
          <w:spacing w:val="-2"/>
        </w:rPr>
        <w:t> </w:t>
      </w:r>
      <w:r>
        <w:rPr/>
        <w:t>by</w:t>
      </w:r>
      <w:r>
        <w:rPr>
          <w:spacing w:val="-7"/>
        </w:rPr>
        <w:t> </w:t>
      </w:r>
      <w:r>
        <w:rPr/>
        <w:t>four</w:t>
      </w:r>
      <w:r>
        <w:rPr>
          <w:spacing w:val="-3"/>
        </w:rPr>
        <w:t> </w:t>
      </w:r>
      <w:r>
        <w:rPr/>
        <w:t>other</w:t>
      </w:r>
      <w:r>
        <w:rPr>
          <w:spacing w:val="-2"/>
        </w:rPr>
        <w:t> </w:t>
      </w:r>
      <w:r>
        <w:rPr/>
        <w:t>faculty</w:t>
      </w:r>
      <w:r>
        <w:rPr>
          <w:spacing w:val="-7"/>
        </w:rPr>
        <w:t> </w:t>
      </w:r>
      <w:r>
        <w:rPr/>
        <w:t>members.</w:t>
      </w:r>
      <w:r>
        <w:rPr>
          <w:spacing w:val="-6"/>
        </w:rPr>
        <w:t> </w:t>
      </w:r>
      <w:r>
        <w:rPr/>
        <w:t>The</w:t>
      </w:r>
      <w:r>
        <w:rPr>
          <w:spacing w:val="-4"/>
        </w:rPr>
        <w:t> </w:t>
      </w:r>
      <w:r>
        <w:rPr/>
        <w:t>work of the studio and the relationship with the Gindroz’s evolved significantly. Since that time, the Ray and Marilyn Gindroz Foundation has supported each subsequent travel studio, providing significant financial and administrative assistance to the faculty and students.</w:t>
      </w:r>
    </w:p>
    <w:p>
      <w:pPr>
        <w:pStyle w:val="BodyText"/>
        <w:spacing w:before="1"/>
        <w:ind w:left="1723" w:right="499"/>
      </w:pPr>
      <w:r>
        <w:rPr/>
        <w:t>Using</w:t>
      </w:r>
      <w:r>
        <w:rPr>
          <w:spacing w:val="-3"/>
        </w:rPr>
        <w:t> </w:t>
      </w:r>
      <w:r>
        <w:rPr/>
        <w:t>their</w:t>
      </w:r>
      <w:r>
        <w:rPr>
          <w:spacing w:val="-2"/>
        </w:rPr>
        <w:t> </w:t>
      </w:r>
      <w:r>
        <w:rPr/>
        <w:t>international</w:t>
      </w:r>
      <w:r>
        <w:rPr>
          <w:spacing w:val="-4"/>
        </w:rPr>
        <w:t> </w:t>
      </w:r>
      <w:r>
        <w:rPr/>
        <w:t>connections,</w:t>
      </w:r>
      <w:r>
        <w:rPr>
          <w:spacing w:val="-3"/>
        </w:rPr>
        <w:t> </w:t>
      </w:r>
      <w:r>
        <w:rPr/>
        <w:t>they</w:t>
      </w:r>
      <w:r>
        <w:rPr>
          <w:spacing w:val="-6"/>
        </w:rPr>
        <w:t> </w:t>
      </w:r>
      <w:r>
        <w:rPr/>
        <w:t>have assisted</w:t>
      </w:r>
      <w:r>
        <w:rPr>
          <w:spacing w:val="-3"/>
        </w:rPr>
        <w:t> </w:t>
      </w:r>
      <w:r>
        <w:rPr/>
        <w:t>the</w:t>
      </w:r>
      <w:r>
        <w:rPr>
          <w:spacing w:val="-3"/>
        </w:rPr>
        <w:t> </w:t>
      </w:r>
      <w:r>
        <w:rPr/>
        <w:t>faculty</w:t>
      </w:r>
      <w:r>
        <w:rPr>
          <w:spacing w:val="-6"/>
        </w:rPr>
        <w:t> </w:t>
      </w:r>
      <w:r>
        <w:rPr/>
        <w:t>in</w:t>
      </w:r>
      <w:r>
        <w:rPr>
          <w:spacing w:val="-3"/>
        </w:rPr>
        <w:t> </w:t>
      </w:r>
      <w:r>
        <w:rPr/>
        <w:t>the</w:t>
      </w:r>
      <w:r>
        <w:rPr>
          <w:spacing w:val="-3"/>
        </w:rPr>
        <w:t> </w:t>
      </w:r>
      <w:r>
        <w:rPr/>
        <w:t>planning</w:t>
      </w:r>
      <w:r>
        <w:rPr>
          <w:spacing w:val="-3"/>
        </w:rPr>
        <w:t> </w:t>
      </w:r>
      <w:r>
        <w:rPr/>
        <w:t>of</w:t>
      </w:r>
      <w:r>
        <w:rPr>
          <w:spacing w:val="-1"/>
        </w:rPr>
        <w:t> </w:t>
      </w:r>
      <w:r>
        <w:rPr/>
        <w:t>each trip. Ray Gindroz was made a faculty research adjunct in 2011, and in 2012-2013 began teaching courses as a faculty adjunct.</w:t>
      </w:r>
    </w:p>
    <w:p>
      <w:pPr>
        <w:spacing w:after="0"/>
        <w:sectPr>
          <w:pgSz w:w="12240" w:h="15840"/>
          <w:pgMar w:header="0" w:footer="974" w:top="1360" w:bottom="1160" w:left="940" w:right="960"/>
        </w:sectPr>
      </w:pPr>
    </w:p>
    <w:p>
      <w:pPr>
        <w:pStyle w:val="BodyText"/>
        <w:spacing w:before="77"/>
        <w:ind w:left="1723" w:right="570"/>
      </w:pPr>
      <w:r>
        <w:rPr/>
        <w:t>At</w:t>
      </w:r>
      <w:r>
        <w:rPr>
          <w:spacing w:val="-4"/>
        </w:rPr>
        <w:t> </w:t>
      </w:r>
      <w:r>
        <w:rPr/>
        <w:t>the</w:t>
      </w:r>
      <w:r>
        <w:rPr>
          <w:spacing w:val="-4"/>
        </w:rPr>
        <w:t> </w:t>
      </w:r>
      <w:r>
        <w:rPr/>
        <w:t>end</w:t>
      </w:r>
      <w:r>
        <w:rPr>
          <w:spacing w:val="-4"/>
        </w:rPr>
        <w:t> </w:t>
      </w:r>
      <w:r>
        <w:rPr/>
        <w:t>of</w:t>
      </w:r>
      <w:r>
        <w:rPr>
          <w:spacing w:val="-2"/>
        </w:rPr>
        <w:t> </w:t>
      </w:r>
      <w:r>
        <w:rPr/>
        <w:t>the</w:t>
      </w:r>
      <w:r>
        <w:rPr>
          <w:spacing w:val="-4"/>
        </w:rPr>
        <w:t> </w:t>
      </w:r>
      <w:r>
        <w:rPr/>
        <w:t>Spring</w:t>
      </w:r>
      <w:r>
        <w:rPr>
          <w:spacing w:val="-4"/>
        </w:rPr>
        <w:t> </w:t>
      </w:r>
      <w:r>
        <w:rPr/>
        <w:t>term,</w:t>
      </w:r>
      <w:r>
        <w:rPr>
          <w:spacing w:val="-4"/>
        </w:rPr>
        <w:t> </w:t>
      </w:r>
      <w:r>
        <w:rPr/>
        <w:t>the</w:t>
      </w:r>
      <w:r>
        <w:rPr>
          <w:spacing w:val="-4"/>
        </w:rPr>
        <w:t> </w:t>
      </w:r>
      <w:r>
        <w:rPr/>
        <w:t>HUDA</w:t>
      </w:r>
      <w:r>
        <w:rPr>
          <w:spacing w:val="-2"/>
        </w:rPr>
        <w:t> </w:t>
      </w:r>
      <w:r>
        <w:rPr/>
        <w:t>learned</w:t>
      </w:r>
      <w:r>
        <w:rPr>
          <w:spacing w:val="-4"/>
        </w:rPr>
        <w:t> </w:t>
      </w:r>
      <w:r>
        <w:rPr/>
        <w:t>that</w:t>
      </w:r>
      <w:r>
        <w:rPr>
          <w:spacing w:val="-2"/>
        </w:rPr>
        <w:t> </w:t>
      </w:r>
      <w:r>
        <w:rPr/>
        <w:t>one</w:t>
      </w:r>
      <w:r>
        <w:rPr>
          <w:spacing w:val="-2"/>
        </w:rPr>
        <w:t> </w:t>
      </w:r>
      <w:r>
        <w:rPr/>
        <w:t>of</w:t>
      </w:r>
      <w:r>
        <w:rPr>
          <w:spacing w:val="-2"/>
        </w:rPr>
        <w:t> </w:t>
      </w:r>
      <w:r>
        <w:rPr/>
        <w:t>our</w:t>
      </w:r>
      <w:r>
        <w:rPr>
          <w:spacing w:val="-3"/>
        </w:rPr>
        <w:t> </w:t>
      </w:r>
      <w:r>
        <w:rPr/>
        <w:t>own,</w:t>
      </w:r>
      <w:r>
        <w:rPr>
          <w:spacing w:val="-4"/>
        </w:rPr>
        <w:t> </w:t>
      </w:r>
      <w:r>
        <w:rPr/>
        <w:t>Dr.</w:t>
      </w:r>
      <w:r>
        <w:rPr>
          <w:spacing w:val="-4"/>
        </w:rPr>
        <w:t> </w:t>
      </w:r>
      <w:r>
        <w:rPr/>
        <w:t>Carmina</w:t>
      </w:r>
      <w:r>
        <w:rPr>
          <w:spacing w:val="-4"/>
        </w:rPr>
        <w:t> </w:t>
      </w:r>
      <w:r>
        <w:rPr/>
        <w:t>Sanhez- del-Valle, was awarded the University’s prestigious E. L. Hamm Distinguished Teaching Award. The E.L. Hamm Award spans back to the 1960-1961 school year.</w:t>
      </w:r>
      <w:r>
        <w:rPr>
          <w:spacing w:val="-5"/>
        </w:rPr>
        <w:t> </w:t>
      </w:r>
      <w:r>
        <w:rPr/>
        <w:t>When the award was first introduced to the campus it was known by another name The Christian R. and Mary F. Linback Distinguished Award. Although the name of the award was changed in 1994, in</w:t>
      </w:r>
      <w:r>
        <w:rPr>
          <w:spacing w:val="-1"/>
        </w:rPr>
        <w:t> </w:t>
      </w:r>
      <w:r>
        <w:rPr/>
        <w:t>honor of a former trustee’s father, its purpose still remains the same; it recognizes those faculty who consistently attain teaching excellence by going above and beyond the classroom and inspiring their students to have a passion for learning and a commitment to </w:t>
      </w:r>
      <w:r>
        <w:rPr>
          <w:spacing w:val="-2"/>
        </w:rPr>
        <w:t>excellence.</w:t>
      </w:r>
    </w:p>
    <w:p>
      <w:pPr>
        <w:pStyle w:val="BodyText"/>
        <w:spacing w:before="9"/>
      </w:pPr>
    </w:p>
    <w:p>
      <w:pPr>
        <w:pStyle w:val="BodyText"/>
        <w:ind w:left="1723" w:right="580"/>
      </w:pPr>
      <w:r>
        <w:rPr/>
        <w:t>The following year, Dr. Sanchez was awarded the ACSA 2010-2011 Distinguished Professor Award. This award recognizes sustained creative achievement in the advancement</w:t>
      </w:r>
      <w:r>
        <w:rPr>
          <w:spacing w:val="-6"/>
        </w:rPr>
        <w:t> </w:t>
      </w:r>
      <w:r>
        <w:rPr/>
        <w:t>of</w:t>
      </w:r>
      <w:r>
        <w:rPr>
          <w:spacing w:val="-4"/>
        </w:rPr>
        <w:t> </w:t>
      </w:r>
      <w:r>
        <w:rPr/>
        <w:t>architectural</w:t>
      </w:r>
      <w:r>
        <w:rPr>
          <w:spacing w:val="-7"/>
        </w:rPr>
        <w:t> </w:t>
      </w:r>
      <w:r>
        <w:rPr/>
        <w:t>education</w:t>
      </w:r>
      <w:r>
        <w:rPr>
          <w:spacing w:val="-4"/>
        </w:rPr>
        <w:t> </w:t>
      </w:r>
      <w:r>
        <w:rPr/>
        <w:t>through</w:t>
      </w:r>
      <w:r>
        <w:rPr>
          <w:spacing w:val="-4"/>
        </w:rPr>
        <w:t> </w:t>
      </w:r>
      <w:r>
        <w:rPr/>
        <w:t>teaching,</w:t>
      </w:r>
      <w:r>
        <w:rPr>
          <w:spacing w:val="-6"/>
        </w:rPr>
        <w:t> </w:t>
      </w:r>
      <w:r>
        <w:rPr/>
        <w:t>design,</w:t>
      </w:r>
      <w:r>
        <w:rPr>
          <w:spacing w:val="-6"/>
        </w:rPr>
        <w:t> </w:t>
      </w:r>
      <w:r>
        <w:rPr/>
        <w:t>scholarship,</w:t>
      </w:r>
      <w:r>
        <w:rPr>
          <w:spacing w:val="-6"/>
        </w:rPr>
        <w:t> </w:t>
      </w:r>
      <w:r>
        <w:rPr/>
        <w:t>research,</w:t>
      </w:r>
      <w:r>
        <w:rPr>
          <w:spacing w:val="-6"/>
        </w:rPr>
        <w:t> </w:t>
      </w:r>
      <w:r>
        <w:rPr/>
        <w:t>or service.</w:t>
      </w:r>
      <w:r>
        <w:rPr>
          <w:spacing w:val="-4"/>
        </w:rPr>
        <w:t> </w:t>
      </w:r>
      <w:r>
        <w:rPr/>
        <w:t>Since</w:t>
      </w:r>
      <w:r>
        <w:rPr>
          <w:spacing w:val="-6"/>
        </w:rPr>
        <w:t> </w:t>
      </w:r>
      <w:r>
        <w:rPr/>
        <w:t>its</w:t>
      </w:r>
      <w:r>
        <w:rPr>
          <w:spacing w:val="-4"/>
        </w:rPr>
        <w:t> </w:t>
      </w:r>
      <w:r>
        <w:rPr/>
        <w:t>inaugural</w:t>
      </w:r>
      <w:r>
        <w:rPr>
          <w:spacing w:val="-5"/>
        </w:rPr>
        <w:t> </w:t>
      </w:r>
      <w:r>
        <w:rPr/>
        <w:t>award</w:t>
      </w:r>
      <w:r>
        <w:rPr>
          <w:spacing w:val="-5"/>
        </w:rPr>
        <w:t> </w:t>
      </w:r>
      <w:r>
        <w:rPr/>
        <w:t>in</w:t>
      </w:r>
      <w:r>
        <w:rPr>
          <w:spacing w:val="-4"/>
        </w:rPr>
        <w:t> </w:t>
      </w:r>
      <w:r>
        <w:rPr/>
        <w:t>1984,</w:t>
      </w:r>
      <w:r>
        <w:rPr>
          <w:spacing w:val="-5"/>
        </w:rPr>
        <w:t> </w:t>
      </w:r>
      <w:r>
        <w:rPr/>
        <w:t>she</w:t>
      </w:r>
      <w:r>
        <w:rPr>
          <w:spacing w:val="-5"/>
        </w:rPr>
        <w:t> </w:t>
      </w:r>
      <w:r>
        <w:rPr/>
        <w:t>is</w:t>
      </w:r>
      <w:r>
        <w:rPr>
          <w:spacing w:val="-5"/>
        </w:rPr>
        <w:t> </w:t>
      </w:r>
      <w:r>
        <w:rPr/>
        <w:t>only</w:t>
      </w:r>
      <w:r>
        <w:rPr>
          <w:spacing w:val="-8"/>
        </w:rPr>
        <w:t> </w:t>
      </w:r>
      <w:r>
        <w:rPr/>
        <w:t>the</w:t>
      </w:r>
      <w:r>
        <w:rPr>
          <w:spacing w:val="-6"/>
        </w:rPr>
        <w:t> </w:t>
      </w:r>
      <w:r>
        <w:rPr/>
        <w:t>second</w:t>
      </w:r>
      <w:r>
        <w:rPr>
          <w:spacing w:val="-6"/>
        </w:rPr>
        <w:t> </w:t>
      </w:r>
      <w:r>
        <w:rPr/>
        <w:t>recipient</w:t>
      </w:r>
      <w:r>
        <w:rPr>
          <w:spacing w:val="-6"/>
        </w:rPr>
        <w:t> </w:t>
      </w:r>
      <w:r>
        <w:rPr/>
        <w:t>from</w:t>
      </w:r>
      <w:r>
        <w:rPr>
          <w:spacing w:val="-1"/>
        </w:rPr>
        <w:t> </w:t>
      </w:r>
      <w:r>
        <w:rPr/>
        <w:t>an</w:t>
      </w:r>
      <w:r>
        <w:rPr>
          <w:spacing w:val="-6"/>
        </w:rPr>
        <w:t> </w:t>
      </w:r>
      <w:r>
        <w:rPr>
          <w:spacing w:val="-2"/>
        </w:rPr>
        <w:t>HBCU.</w:t>
      </w:r>
    </w:p>
    <w:p>
      <w:pPr>
        <w:pStyle w:val="BodyText"/>
        <w:spacing w:before="1"/>
        <w:rPr>
          <w:sz w:val="21"/>
        </w:rPr>
      </w:pPr>
    </w:p>
    <w:p>
      <w:pPr>
        <w:pStyle w:val="BodyText"/>
        <w:ind w:left="1723" w:right="499"/>
      </w:pPr>
      <w:r>
        <w:rPr/>
        <w:t>Later in</w:t>
      </w:r>
      <w:r>
        <w:rPr>
          <w:spacing w:val="-1"/>
        </w:rPr>
        <w:t> </w:t>
      </w:r>
      <w:r>
        <w:rPr/>
        <w:t>the</w:t>
      </w:r>
      <w:r>
        <w:rPr>
          <w:spacing w:val="-1"/>
        </w:rPr>
        <w:t> </w:t>
      </w:r>
      <w:r>
        <w:rPr/>
        <w:t>summer of 2009,</w:t>
      </w:r>
      <w:r>
        <w:rPr>
          <w:spacing w:val="-1"/>
        </w:rPr>
        <w:t> </w:t>
      </w:r>
      <w:r>
        <w:rPr/>
        <w:t>the</w:t>
      </w:r>
      <w:r>
        <w:rPr>
          <w:spacing w:val="-1"/>
        </w:rPr>
        <w:t> </w:t>
      </w:r>
      <w:r>
        <w:rPr/>
        <w:t>administrators of the seven HBCU</w:t>
      </w:r>
      <w:r>
        <w:rPr>
          <w:spacing w:val="-1"/>
        </w:rPr>
        <w:t> </w:t>
      </w:r>
      <w:r>
        <w:rPr/>
        <w:t>accredited architecture programs met and agreed to hold annual symposiums for student interaction. Hampton volunteered</w:t>
      </w:r>
      <w:r>
        <w:rPr>
          <w:spacing w:val="-5"/>
        </w:rPr>
        <w:t> </w:t>
      </w:r>
      <w:r>
        <w:rPr/>
        <w:t>to</w:t>
      </w:r>
      <w:r>
        <w:rPr>
          <w:spacing w:val="-3"/>
        </w:rPr>
        <w:t> </w:t>
      </w:r>
      <w:r>
        <w:rPr/>
        <w:t>plan</w:t>
      </w:r>
      <w:r>
        <w:rPr>
          <w:spacing w:val="-5"/>
        </w:rPr>
        <w:t> </w:t>
      </w:r>
      <w:r>
        <w:rPr/>
        <w:t>the</w:t>
      </w:r>
      <w:r>
        <w:rPr>
          <w:spacing w:val="-5"/>
        </w:rPr>
        <w:t> </w:t>
      </w:r>
      <w:r>
        <w:rPr/>
        <w:t>first</w:t>
      </w:r>
      <w:r>
        <w:rPr>
          <w:spacing w:val="-5"/>
        </w:rPr>
        <w:t> </w:t>
      </w:r>
      <w:r>
        <w:rPr/>
        <w:t>event,</w:t>
      </w:r>
      <w:r>
        <w:rPr>
          <w:spacing w:val="-3"/>
        </w:rPr>
        <w:t> </w:t>
      </w:r>
      <w:r>
        <w:rPr/>
        <w:t>and</w:t>
      </w:r>
      <w:r>
        <w:rPr>
          <w:spacing w:val="-3"/>
        </w:rPr>
        <w:t> </w:t>
      </w:r>
      <w:r>
        <w:rPr/>
        <w:t>Howard</w:t>
      </w:r>
      <w:r>
        <w:rPr>
          <w:spacing w:val="-5"/>
        </w:rPr>
        <w:t> </w:t>
      </w:r>
      <w:r>
        <w:rPr/>
        <w:t>University</w:t>
      </w:r>
      <w:r>
        <w:rPr>
          <w:spacing w:val="-5"/>
        </w:rPr>
        <w:t> </w:t>
      </w:r>
      <w:r>
        <w:rPr/>
        <w:t>hosted</w:t>
      </w:r>
      <w:r>
        <w:rPr>
          <w:spacing w:val="-3"/>
        </w:rPr>
        <w:t> </w:t>
      </w:r>
      <w:r>
        <w:rPr/>
        <w:t>that</w:t>
      </w:r>
      <w:r>
        <w:rPr>
          <w:spacing w:val="-5"/>
        </w:rPr>
        <w:t> </w:t>
      </w:r>
      <w:r>
        <w:rPr/>
        <w:t>symposium</w:t>
      </w:r>
      <w:r>
        <w:rPr>
          <w:spacing w:val="-3"/>
        </w:rPr>
        <w:t> </w:t>
      </w:r>
      <w:r>
        <w:rPr/>
        <w:t>in</w:t>
      </w:r>
      <w:r>
        <w:rPr>
          <w:spacing w:val="-3"/>
        </w:rPr>
        <w:t> </w:t>
      </w:r>
      <w:r>
        <w:rPr/>
        <w:t>Spring, 2010 in collaboration with a Focus on Inclusion seminar they had concurrently planned.</w:t>
      </w:r>
    </w:p>
    <w:p>
      <w:pPr>
        <w:pStyle w:val="BodyText"/>
        <w:ind w:left="1723" w:right="580"/>
      </w:pPr>
      <w:r>
        <w:rPr/>
        <w:t>Professors</w:t>
      </w:r>
      <w:r>
        <w:rPr>
          <w:spacing w:val="-4"/>
        </w:rPr>
        <w:t> </w:t>
      </w:r>
      <w:r>
        <w:rPr/>
        <w:t>Sanchez</w:t>
      </w:r>
      <w:r>
        <w:rPr>
          <w:spacing w:val="-6"/>
        </w:rPr>
        <w:t> </w:t>
      </w:r>
      <w:r>
        <w:rPr/>
        <w:t>and</w:t>
      </w:r>
      <w:r>
        <w:rPr>
          <w:spacing w:val="-5"/>
        </w:rPr>
        <w:t> </w:t>
      </w:r>
      <w:r>
        <w:rPr/>
        <w:t>Henderson</w:t>
      </w:r>
      <w:r>
        <w:rPr>
          <w:spacing w:val="-3"/>
        </w:rPr>
        <w:t> </w:t>
      </w:r>
      <w:r>
        <w:rPr/>
        <w:t>were</w:t>
      </w:r>
      <w:r>
        <w:rPr>
          <w:spacing w:val="-3"/>
        </w:rPr>
        <w:t> </w:t>
      </w:r>
      <w:r>
        <w:rPr/>
        <w:t>the</w:t>
      </w:r>
      <w:r>
        <w:rPr>
          <w:spacing w:val="-3"/>
        </w:rPr>
        <w:t> </w:t>
      </w:r>
      <w:r>
        <w:rPr/>
        <w:t>primary</w:t>
      </w:r>
      <w:r>
        <w:rPr>
          <w:spacing w:val="-7"/>
        </w:rPr>
        <w:t> </w:t>
      </w:r>
      <w:r>
        <w:rPr/>
        <w:t>planners</w:t>
      </w:r>
      <w:r>
        <w:rPr>
          <w:spacing w:val="-4"/>
        </w:rPr>
        <w:t> </w:t>
      </w:r>
      <w:r>
        <w:rPr/>
        <w:t>of</w:t>
      </w:r>
      <w:r>
        <w:rPr>
          <w:spacing w:val="-3"/>
        </w:rPr>
        <w:t> </w:t>
      </w:r>
      <w:r>
        <w:rPr/>
        <w:t>the</w:t>
      </w:r>
      <w:r>
        <w:rPr>
          <w:spacing w:val="-3"/>
        </w:rPr>
        <w:t> </w:t>
      </w:r>
      <w:r>
        <w:rPr/>
        <w:t>first</w:t>
      </w:r>
      <w:r>
        <w:rPr>
          <w:spacing w:val="-5"/>
        </w:rPr>
        <w:t> </w:t>
      </w:r>
      <w:r>
        <w:rPr/>
        <w:t>event</w:t>
      </w:r>
      <w:r>
        <w:rPr>
          <w:spacing w:val="-3"/>
        </w:rPr>
        <w:t> </w:t>
      </w:r>
      <w:r>
        <w:rPr/>
        <w:t>which</w:t>
      </w:r>
      <w:r>
        <w:rPr>
          <w:spacing w:val="-3"/>
        </w:rPr>
        <w:t> </w:t>
      </w:r>
      <w:r>
        <w:rPr/>
        <w:t>was attended by approximately 75 students from Hampton, along with Howard University, Florida A&amp;M University, Morgan State University, Prairie View A&amp;M University, Southern University</w:t>
      </w:r>
      <w:r>
        <w:rPr>
          <w:spacing w:val="-1"/>
        </w:rPr>
        <w:t> </w:t>
      </w:r>
      <w:r>
        <w:rPr/>
        <w:t>and Tuskegee University. During the academic year, the Department Chair was also designated to serve a rotating term as a member of the board of directors of the Virginia Society of the American Institute of Architects.</w:t>
      </w:r>
    </w:p>
    <w:p>
      <w:pPr>
        <w:pStyle w:val="BodyText"/>
        <w:spacing w:before="10"/>
      </w:pPr>
    </w:p>
    <w:p>
      <w:pPr>
        <w:pStyle w:val="BodyText"/>
        <w:ind w:left="1723" w:right="499"/>
      </w:pPr>
      <w:r>
        <w:rPr/>
        <w:t>During</w:t>
      </w:r>
      <w:r>
        <w:rPr>
          <w:spacing w:val="-4"/>
        </w:rPr>
        <w:t> </w:t>
      </w:r>
      <w:r>
        <w:rPr/>
        <w:t>the</w:t>
      </w:r>
      <w:r>
        <w:rPr>
          <w:spacing w:val="-4"/>
        </w:rPr>
        <w:t> </w:t>
      </w:r>
      <w:r>
        <w:rPr/>
        <w:t>2009-2010</w:t>
      </w:r>
      <w:r>
        <w:rPr>
          <w:spacing w:val="-2"/>
        </w:rPr>
        <w:t> </w:t>
      </w:r>
      <w:r>
        <w:rPr/>
        <w:t>academic year,</w:t>
      </w:r>
      <w:r>
        <w:rPr>
          <w:spacing w:val="-2"/>
        </w:rPr>
        <w:t> </w:t>
      </w:r>
      <w:r>
        <w:rPr/>
        <w:t>Dr.</w:t>
      </w:r>
      <w:r>
        <w:rPr>
          <w:spacing w:val="-9"/>
        </w:rPr>
        <w:t> </w:t>
      </w:r>
      <w:r>
        <w:rPr/>
        <w:t>Wesley</w:t>
      </w:r>
      <w:r>
        <w:rPr>
          <w:spacing w:val="-7"/>
        </w:rPr>
        <w:t> </w:t>
      </w:r>
      <w:r>
        <w:rPr/>
        <w:t>Henderson</w:t>
      </w:r>
      <w:r>
        <w:rPr>
          <w:spacing w:val="-4"/>
        </w:rPr>
        <w:t> </w:t>
      </w:r>
      <w:r>
        <w:rPr/>
        <w:t>and</w:t>
      </w:r>
      <w:r>
        <w:rPr>
          <w:spacing w:val="-2"/>
        </w:rPr>
        <w:t> </w:t>
      </w:r>
      <w:r>
        <w:rPr/>
        <w:t>Marci</w:t>
      </w:r>
      <w:r>
        <w:rPr>
          <w:spacing w:val="-5"/>
        </w:rPr>
        <w:t> </w:t>
      </w:r>
      <w:r>
        <w:rPr/>
        <w:t>Turner</w:t>
      </w:r>
      <w:r>
        <w:rPr>
          <w:spacing w:val="-1"/>
        </w:rPr>
        <w:t> </w:t>
      </w:r>
      <w:r>
        <w:rPr/>
        <w:t>were</w:t>
      </w:r>
      <w:r>
        <w:rPr>
          <w:spacing w:val="-4"/>
        </w:rPr>
        <w:t> </w:t>
      </w:r>
      <w:r>
        <w:rPr/>
        <w:t>added to the faculty to offset the loss of one full-time (Sarah Robertson, who relocated with her military</w:t>
      </w:r>
      <w:r>
        <w:rPr>
          <w:spacing w:val="-4"/>
        </w:rPr>
        <w:t> </w:t>
      </w:r>
      <w:r>
        <w:rPr/>
        <w:t>spouse</w:t>
      </w:r>
      <w:r>
        <w:rPr>
          <w:spacing w:val="-1"/>
        </w:rPr>
        <w:t> </w:t>
      </w:r>
      <w:r>
        <w:rPr/>
        <w:t>to Europe) and one part</w:t>
      </w:r>
      <w:r>
        <w:rPr>
          <w:spacing w:val="-1"/>
        </w:rPr>
        <w:t> </w:t>
      </w:r>
      <w:r>
        <w:rPr/>
        <w:t>time</w:t>
      </w:r>
      <w:r>
        <w:rPr>
          <w:spacing w:val="-1"/>
        </w:rPr>
        <w:t> </w:t>
      </w:r>
      <w:r>
        <w:rPr/>
        <w:t>faculty</w:t>
      </w:r>
      <w:r>
        <w:rPr>
          <w:spacing w:val="-4"/>
        </w:rPr>
        <w:t> </w:t>
      </w:r>
      <w:r>
        <w:rPr/>
        <w:t>member (Paula Loomis, who relocated to Washington, DC to work for USACE).</w:t>
      </w:r>
    </w:p>
    <w:p>
      <w:pPr>
        <w:pStyle w:val="BodyText"/>
        <w:spacing w:before="9"/>
      </w:pPr>
    </w:p>
    <w:p>
      <w:pPr>
        <w:pStyle w:val="BodyText"/>
        <w:ind w:left="1723" w:right="499"/>
      </w:pPr>
      <w:r>
        <w:rPr/>
        <w:t>During this academic year we also reaffirmed and strengthened our relationship with the Tidewater</w:t>
      </w:r>
      <w:r>
        <w:rPr>
          <w:spacing w:val="-4"/>
        </w:rPr>
        <w:t> </w:t>
      </w:r>
      <w:r>
        <w:rPr/>
        <w:t>Community</w:t>
      </w:r>
      <w:r>
        <w:rPr>
          <w:spacing w:val="-8"/>
        </w:rPr>
        <w:t> </w:t>
      </w:r>
      <w:r>
        <w:rPr/>
        <w:t>College.</w:t>
      </w:r>
      <w:r>
        <w:rPr>
          <w:spacing w:val="-7"/>
        </w:rPr>
        <w:t> </w:t>
      </w:r>
      <w:r>
        <w:rPr/>
        <w:t>We</w:t>
      </w:r>
      <w:r>
        <w:rPr>
          <w:spacing w:val="-5"/>
        </w:rPr>
        <w:t> </w:t>
      </w:r>
      <w:r>
        <w:rPr/>
        <w:t>developed</w:t>
      </w:r>
      <w:r>
        <w:rPr>
          <w:spacing w:val="-3"/>
        </w:rPr>
        <w:t> </w:t>
      </w:r>
      <w:r>
        <w:rPr/>
        <w:t>an</w:t>
      </w:r>
      <w:r>
        <w:rPr>
          <w:spacing w:val="-3"/>
        </w:rPr>
        <w:t> </w:t>
      </w:r>
      <w:r>
        <w:rPr/>
        <w:t>articulation</w:t>
      </w:r>
      <w:r>
        <w:rPr>
          <w:spacing w:val="-5"/>
        </w:rPr>
        <w:t> </w:t>
      </w:r>
      <w:r>
        <w:rPr/>
        <w:t>agreement</w:t>
      </w:r>
      <w:r>
        <w:rPr>
          <w:spacing w:val="-5"/>
        </w:rPr>
        <w:t> </w:t>
      </w:r>
      <w:r>
        <w:rPr/>
        <w:t>that</w:t>
      </w:r>
      <w:r>
        <w:rPr>
          <w:spacing w:val="-3"/>
        </w:rPr>
        <w:t> </w:t>
      </w:r>
      <w:r>
        <w:rPr/>
        <w:t>allowed</w:t>
      </w:r>
      <w:r>
        <w:rPr>
          <w:spacing w:val="-5"/>
        </w:rPr>
        <w:t> </w:t>
      </w:r>
      <w:r>
        <w:rPr/>
        <w:t>their associate degree graduates to enter our program with advanced standing. Their students annually attend the 5</w:t>
      </w:r>
      <w:r>
        <w:rPr>
          <w:vertAlign w:val="superscript"/>
        </w:rPr>
        <w:t>th</w:t>
      </w:r>
      <w:r>
        <w:rPr>
          <w:vertAlign w:val="baseline"/>
        </w:rPr>
        <w:t> year Thesis presentations and tour our facilities.</w:t>
      </w:r>
    </w:p>
    <w:p>
      <w:pPr>
        <w:pStyle w:val="BodyText"/>
        <w:spacing w:before="10"/>
      </w:pPr>
    </w:p>
    <w:p>
      <w:pPr>
        <w:pStyle w:val="BodyText"/>
        <w:ind w:left="1723" w:right="532"/>
      </w:pPr>
      <w:r>
        <w:rPr/>
        <w:t>That Fall, the program, led by Mason and David Peronnet, successfully teamed with Old Dominion University to enter the 2011 Solar Decathlon competitions, sponsored by the US Department of Energy in collaboration with the engineering programs at HU and Old Dominion</w:t>
      </w:r>
      <w:r>
        <w:rPr>
          <w:spacing w:val="-2"/>
        </w:rPr>
        <w:t> </w:t>
      </w:r>
      <w:r>
        <w:rPr/>
        <w:t>University.</w:t>
      </w:r>
      <w:r>
        <w:rPr>
          <w:spacing w:val="-4"/>
        </w:rPr>
        <w:t> </w:t>
      </w:r>
      <w:r>
        <w:rPr/>
        <w:t>We</w:t>
      </w:r>
      <w:r>
        <w:rPr>
          <w:spacing w:val="-2"/>
        </w:rPr>
        <w:t> </w:t>
      </w:r>
      <w:r>
        <w:rPr/>
        <w:t>were</w:t>
      </w:r>
      <w:r>
        <w:rPr>
          <w:spacing w:val="-2"/>
        </w:rPr>
        <w:t> </w:t>
      </w:r>
      <w:r>
        <w:rPr/>
        <w:t>one</w:t>
      </w:r>
      <w:r>
        <w:rPr>
          <w:spacing w:val="-2"/>
        </w:rPr>
        <w:t> </w:t>
      </w:r>
      <w:r>
        <w:rPr/>
        <w:t>of twenty</w:t>
      </w:r>
      <w:r>
        <w:rPr>
          <w:spacing w:val="-3"/>
        </w:rPr>
        <w:t> </w:t>
      </w:r>
      <w:r>
        <w:rPr/>
        <w:t>team finalists</w:t>
      </w:r>
      <w:r>
        <w:rPr>
          <w:spacing w:val="-1"/>
        </w:rPr>
        <w:t> </w:t>
      </w:r>
      <w:r>
        <w:rPr/>
        <w:t>invited</w:t>
      </w:r>
      <w:r>
        <w:rPr>
          <w:spacing w:val="-2"/>
        </w:rPr>
        <w:t> </w:t>
      </w:r>
      <w:r>
        <w:rPr/>
        <w:t>to display</w:t>
      </w:r>
      <w:r>
        <w:rPr>
          <w:spacing w:val="-5"/>
        </w:rPr>
        <w:t> </w:t>
      </w:r>
      <w:r>
        <w:rPr/>
        <w:t>a house</w:t>
      </w:r>
      <w:r>
        <w:rPr>
          <w:spacing w:val="-2"/>
        </w:rPr>
        <w:t> </w:t>
      </w:r>
      <w:r>
        <w:rPr/>
        <w:t>on</w:t>
      </w:r>
      <w:r>
        <w:rPr>
          <w:spacing w:val="-2"/>
        </w:rPr>
        <w:t> </w:t>
      </w:r>
      <w:r>
        <w:rPr/>
        <w:t>the Mall</w:t>
      </w:r>
      <w:r>
        <w:rPr>
          <w:spacing w:val="-1"/>
        </w:rPr>
        <w:t> </w:t>
      </w:r>
      <w:r>
        <w:rPr/>
        <w:t>in</w:t>
      </w:r>
      <w:r>
        <w:rPr>
          <w:spacing w:val="-3"/>
        </w:rPr>
        <w:t> </w:t>
      </w:r>
      <w:r>
        <w:rPr/>
        <w:t>Washington, DC. This effort was successful</w:t>
      </w:r>
      <w:r>
        <w:rPr>
          <w:spacing w:val="-1"/>
        </w:rPr>
        <w:t> </w:t>
      </w:r>
      <w:r>
        <w:rPr/>
        <w:t>largely</w:t>
      </w:r>
      <w:r>
        <w:rPr>
          <w:spacing w:val="-3"/>
        </w:rPr>
        <w:t> </w:t>
      </w:r>
      <w:r>
        <w:rPr/>
        <w:t>due to the enormous sacrifice of the faculty who doubled their workloads and contributed financial and tangible resources. Our</w:t>
      </w:r>
      <w:r>
        <w:rPr>
          <w:spacing w:val="-1"/>
        </w:rPr>
        <w:t> </w:t>
      </w:r>
      <w:r>
        <w:rPr/>
        <w:t>team placed 14</w:t>
      </w:r>
      <w:r>
        <w:rPr>
          <w:spacing w:val="-2"/>
        </w:rPr>
        <w:t> </w:t>
      </w:r>
      <w:r>
        <w:rPr/>
        <w:t>of the</w:t>
      </w:r>
      <w:r>
        <w:rPr>
          <w:spacing w:val="-2"/>
        </w:rPr>
        <w:t> </w:t>
      </w:r>
      <w:r>
        <w:rPr/>
        <w:t>final</w:t>
      </w:r>
      <w:r>
        <w:rPr>
          <w:spacing w:val="-3"/>
        </w:rPr>
        <w:t> </w:t>
      </w:r>
      <w:r>
        <w:rPr/>
        <w:t>20.</w:t>
      </w:r>
      <w:r>
        <w:rPr>
          <w:spacing w:val="-2"/>
        </w:rPr>
        <w:t> </w:t>
      </w:r>
      <w:r>
        <w:rPr/>
        <w:t>So</w:t>
      </w:r>
      <w:r>
        <w:rPr>
          <w:spacing w:val="-2"/>
        </w:rPr>
        <w:t> </w:t>
      </w:r>
      <w:r>
        <w:rPr/>
        <w:t>that</w:t>
      </w:r>
      <w:r>
        <w:rPr>
          <w:spacing w:val="-2"/>
        </w:rPr>
        <w:t> </w:t>
      </w:r>
      <w:r>
        <w:rPr/>
        <w:t>David and Mason</w:t>
      </w:r>
      <w:r>
        <w:rPr>
          <w:spacing w:val="-2"/>
        </w:rPr>
        <w:t> </w:t>
      </w:r>
      <w:r>
        <w:rPr/>
        <w:t>could</w:t>
      </w:r>
      <w:r>
        <w:rPr>
          <w:spacing w:val="-2"/>
        </w:rPr>
        <w:t> </w:t>
      </w:r>
      <w:r>
        <w:rPr/>
        <w:t>devote</w:t>
      </w:r>
      <w:r>
        <w:rPr>
          <w:spacing w:val="-2"/>
        </w:rPr>
        <w:t> </w:t>
      </w:r>
      <w:r>
        <w:rPr/>
        <w:t>their energies</w:t>
      </w:r>
      <w:r>
        <w:rPr>
          <w:spacing w:val="-1"/>
        </w:rPr>
        <w:t> </w:t>
      </w:r>
      <w:r>
        <w:rPr/>
        <w:t>to the</w:t>
      </w:r>
      <w:r>
        <w:rPr>
          <w:spacing w:val="-5"/>
        </w:rPr>
        <w:t> </w:t>
      </w:r>
      <w:r>
        <w:rPr/>
        <w:t>Decathlon,</w:t>
      </w:r>
      <w:r>
        <w:rPr>
          <w:spacing w:val="-3"/>
        </w:rPr>
        <w:t> </w:t>
      </w:r>
      <w:r>
        <w:rPr/>
        <w:t>the</w:t>
      </w:r>
      <w:r>
        <w:rPr>
          <w:spacing w:val="-3"/>
        </w:rPr>
        <w:t> </w:t>
      </w:r>
      <w:r>
        <w:rPr/>
        <w:t>Norfolk</w:t>
      </w:r>
      <w:r>
        <w:rPr>
          <w:spacing w:val="-1"/>
        </w:rPr>
        <w:t> </w:t>
      </w:r>
      <w:r>
        <w:rPr/>
        <w:t>based</w:t>
      </w:r>
      <w:r>
        <w:rPr>
          <w:spacing w:val="-5"/>
        </w:rPr>
        <w:t> </w:t>
      </w:r>
      <w:r>
        <w:rPr/>
        <w:t>firm of</w:t>
      </w:r>
      <w:r>
        <w:rPr>
          <w:spacing w:val="-3"/>
        </w:rPr>
        <w:t> </w:t>
      </w:r>
      <w:r>
        <w:rPr/>
        <w:t>Clark</w:t>
      </w:r>
      <w:r>
        <w:rPr>
          <w:spacing w:val="-1"/>
        </w:rPr>
        <w:t> </w:t>
      </w:r>
      <w:r>
        <w:rPr/>
        <w:t>Nexen</w:t>
      </w:r>
      <w:r>
        <w:rPr>
          <w:spacing w:val="-3"/>
        </w:rPr>
        <w:t> </w:t>
      </w:r>
      <w:r>
        <w:rPr/>
        <w:t>provided</w:t>
      </w:r>
      <w:r>
        <w:rPr>
          <w:spacing w:val="-5"/>
        </w:rPr>
        <w:t> </w:t>
      </w:r>
      <w:r>
        <w:rPr/>
        <w:t>three</w:t>
      </w:r>
      <w:r>
        <w:rPr>
          <w:spacing w:val="-5"/>
        </w:rPr>
        <w:t> </w:t>
      </w:r>
      <w:r>
        <w:rPr/>
        <w:t>of</w:t>
      </w:r>
      <w:r>
        <w:rPr>
          <w:spacing w:val="-3"/>
        </w:rPr>
        <w:t> </w:t>
      </w:r>
      <w:r>
        <w:rPr/>
        <w:t>its</w:t>
      </w:r>
      <w:r>
        <w:rPr>
          <w:spacing w:val="-4"/>
        </w:rPr>
        <w:t> </w:t>
      </w:r>
      <w:r>
        <w:rPr/>
        <w:t>design</w:t>
      </w:r>
      <w:r>
        <w:rPr>
          <w:spacing w:val="-3"/>
        </w:rPr>
        <w:t> </w:t>
      </w:r>
      <w:r>
        <w:rPr/>
        <w:t>staff,</w:t>
      </w:r>
      <w:r>
        <w:rPr>
          <w:spacing w:val="-5"/>
        </w:rPr>
        <w:t> </w:t>
      </w:r>
      <w:r>
        <w:rPr/>
        <w:t>Paul Battaglia, Laura Battaglia, and Katherine Mearns, to serve as adjuncts in our 2</w:t>
      </w:r>
      <w:r>
        <w:rPr>
          <w:vertAlign w:val="superscript"/>
        </w:rPr>
        <w:t>nd</w:t>
      </w:r>
      <w:r>
        <w:rPr>
          <w:vertAlign w:val="baseline"/>
        </w:rPr>
        <w:t> year design studios. This began a long-term relationship between that firm and the HUDA. Paul continued the following year, as an adjunct to the 4</w:t>
      </w:r>
      <w:r>
        <w:rPr>
          <w:vertAlign w:val="superscript"/>
        </w:rPr>
        <w:t>th</w:t>
      </w:r>
      <w:r>
        <w:rPr>
          <w:vertAlign w:val="baseline"/>
        </w:rPr>
        <w:t> year studio. The firm continues to provide consulting assistance, including engineers and planners who participate in the collaborative design element of the studio.</w:t>
      </w:r>
    </w:p>
    <w:p>
      <w:pPr>
        <w:pStyle w:val="BodyText"/>
        <w:spacing w:before="9"/>
      </w:pPr>
    </w:p>
    <w:p>
      <w:pPr>
        <w:pStyle w:val="BodyText"/>
        <w:ind w:left="1723" w:right="499"/>
      </w:pPr>
      <w:r>
        <w:rPr/>
        <w:t>During that Fall, the Virginia Education Facility Planners approached the Chair and requested that we participate in a statewide competition to design a school, introducing our students to came to education facility planning and design. It has since become an integral part</w:t>
      </w:r>
      <w:r>
        <w:rPr>
          <w:spacing w:val="-4"/>
        </w:rPr>
        <w:t> </w:t>
      </w:r>
      <w:r>
        <w:rPr/>
        <w:t>of</w:t>
      </w:r>
      <w:r>
        <w:rPr>
          <w:spacing w:val="-2"/>
        </w:rPr>
        <w:t> </w:t>
      </w:r>
      <w:r>
        <w:rPr/>
        <w:t>our</w:t>
      </w:r>
      <w:r>
        <w:rPr>
          <w:spacing w:val="-3"/>
        </w:rPr>
        <w:t> </w:t>
      </w:r>
      <w:r>
        <w:rPr/>
        <w:t>4</w:t>
      </w:r>
      <w:r>
        <w:rPr>
          <w:vertAlign w:val="superscript"/>
        </w:rPr>
        <w:t>th</w:t>
      </w:r>
      <w:r>
        <w:rPr>
          <w:spacing w:val="-2"/>
          <w:vertAlign w:val="baseline"/>
        </w:rPr>
        <w:t> </w:t>
      </w:r>
      <w:r>
        <w:rPr>
          <w:vertAlign w:val="baseline"/>
        </w:rPr>
        <w:t>year</w:t>
      </w:r>
      <w:r>
        <w:rPr>
          <w:spacing w:val="-3"/>
          <w:vertAlign w:val="baseline"/>
        </w:rPr>
        <w:t> </w:t>
      </w:r>
      <w:r>
        <w:rPr>
          <w:vertAlign w:val="baseline"/>
        </w:rPr>
        <w:t>design</w:t>
      </w:r>
      <w:r>
        <w:rPr>
          <w:spacing w:val="-4"/>
          <w:vertAlign w:val="baseline"/>
        </w:rPr>
        <w:t> </w:t>
      </w:r>
      <w:r>
        <w:rPr>
          <w:vertAlign w:val="baseline"/>
        </w:rPr>
        <w:t>studio.</w:t>
      </w:r>
      <w:r>
        <w:rPr>
          <w:spacing w:val="-4"/>
          <w:vertAlign w:val="baseline"/>
        </w:rPr>
        <w:t> </w:t>
      </w:r>
      <w:r>
        <w:rPr>
          <w:vertAlign w:val="baseline"/>
        </w:rPr>
        <w:t>The</w:t>
      </w:r>
      <w:r>
        <w:rPr>
          <w:spacing w:val="-4"/>
          <w:vertAlign w:val="baseline"/>
        </w:rPr>
        <w:t> </w:t>
      </w:r>
      <w:r>
        <w:rPr>
          <w:vertAlign w:val="baseline"/>
        </w:rPr>
        <w:t>VEFP</w:t>
      </w:r>
      <w:r>
        <w:rPr>
          <w:spacing w:val="-2"/>
          <w:vertAlign w:val="baseline"/>
        </w:rPr>
        <w:t> </w:t>
      </w:r>
      <w:r>
        <w:rPr>
          <w:vertAlign w:val="baseline"/>
        </w:rPr>
        <w:t>send</w:t>
      </w:r>
      <w:r>
        <w:rPr>
          <w:spacing w:val="-4"/>
          <w:vertAlign w:val="baseline"/>
        </w:rPr>
        <w:t> </w:t>
      </w:r>
      <w:r>
        <w:rPr>
          <w:vertAlign w:val="baseline"/>
        </w:rPr>
        <w:t>mentors</w:t>
      </w:r>
      <w:r>
        <w:rPr>
          <w:spacing w:val="-3"/>
          <w:vertAlign w:val="baseline"/>
        </w:rPr>
        <w:t> </w:t>
      </w:r>
      <w:r>
        <w:rPr>
          <w:vertAlign w:val="baseline"/>
        </w:rPr>
        <w:t>to</w:t>
      </w:r>
      <w:r>
        <w:rPr>
          <w:spacing w:val="-4"/>
          <w:vertAlign w:val="baseline"/>
        </w:rPr>
        <w:t> </w:t>
      </w:r>
      <w:r>
        <w:rPr>
          <w:vertAlign w:val="baseline"/>
        </w:rPr>
        <w:t>provide</w:t>
      </w:r>
      <w:r>
        <w:rPr>
          <w:spacing w:val="-2"/>
          <w:vertAlign w:val="baseline"/>
        </w:rPr>
        <w:t> </w:t>
      </w:r>
      <w:r>
        <w:rPr>
          <w:vertAlign w:val="baseline"/>
        </w:rPr>
        <w:t>intellectual</w:t>
      </w:r>
      <w:r>
        <w:rPr>
          <w:spacing w:val="-5"/>
          <w:vertAlign w:val="baseline"/>
        </w:rPr>
        <w:t> </w:t>
      </w:r>
      <w:r>
        <w:rPr>
          <w:vertAlign w:val="baseline"/>
        </w:rPr>
        <w:t>resources, crits and assistance during the competition. Students are able to tour local noteworthy schools and winners receive scholarship assistance.</w:t>
      </w:r>
    </w:p>
    <w:p>
      <w:pPr>
        <w:spacing w:after="0"/>
        <w:sectPr>
          <w:pgSz w:w="12240" w:h="15840"/>
          <w:pgMar w:header="0" w:footer="974" w:top="1360" w:bottom="1160" w:left="940" w:right="960"/>
        </w:sectPr>
      </w:pPr>
    </w:p>
    <w:p>
      <w:pPr>
        <w:pStyle w:val="BodyText"/>
        <w:spacing w:before="77"/>
        <w:ind w:left="1723" w:right="499"/>
      </w:pPr>
      <w:r>
        <w:rPr/>
        <w:t>In</w:t>
      </w:r>
      <w:r>
        <w:rPr>
          <w:spacing w:val="-2"/>
        </w:rPr>
        <w:t> </w:t>
      </w:r>
      <w:r>
        <w:rPr/>
        <w:t>February</w:t>
      </w:r>
      <w:r>
        <w:rPr>
          <w:spacing w:val="-3"/>
        </w:rPr>
        <w:t> </w:t>
      </w:r>
      <w:r>
        <w:rPr/>
        <w:t>2010,</w:t>
      </w:r>
      <w:r>
        <w:rPr>
          <w:spacing w:val="-2"/>
        </w:rPr>
        <w:t> </w:t>
      </w:r>
      <w:r>
        <w:rPr/>
        <w:t>as part</w:t>
      </w:r>
      <w:r>
        <w:rPr>
          <w:spacing w:val="-2"/>
        </w:rPr>
        <w:t> </w:t>
      </w:r>
      <w:r>
        <w:rPr/>
        <w:t>of a</w:t>
      </w:r>
      <w:r>
        <w:rPr>
          <w:spacing w:val="-2"/>
        </w:rPr>
        <w:t> </w:t>
      </w:r>
      <w:r>
        <w:rPr/>
        <w:t>grant</w:t>
      </w:r>
      <w:r>
        <w:rPr>
          <w:spacing w:val="-2"/>
        </w:rPr>
        <w:t> </w:t>
      </w:r>
      <w:r>
        <w:rPr/>
        <w:t>award</w:t>
      </w:r>
      <w:r>
        <w:rPr>
          <w:spacing w:val="-2"/>
        </w:rPr>
        <w:t> </w:t>
      </w:r>
      <w:r>
        <w:rPr/>
        <w:t>received</w:t>
      </w:r>
      <w:r>
        <w:rPr>
          <w:spacing w:val="-2"/>
        </w:rPr>
        <w:t> </w:t>
      </w:r>
      <w:r>
        <w:rPr/>
        <w:t>from NASA,</w:t>
      </w:r>
      <w:r>
        <w:rPr>
          <w:spacing w:val="-2"/>
        </w:rPr>
        <w:t> </w:t>
      </w:r>
      <w:r>
        <w:rPr/>
        <w:t>the</w:t>
      </w:r>
      <w:r>
        <w:rPr>
          <w:spacing w:val="-2"/>
        </w:rPr>
        <w:t> </w:t>
      </w:r>
      <w:r>
        <w:rPr/>
        <w:t>US</w:t>
      </w:r>
      <w:r>
        <w:rPr>
          <w:spacing w:val="-3"/>
        </w:rPr>
        <w:t> </w:t>
      </w:r>
      <w:r>
        <w:rPr/>
        <w:t>citizen</w:t>
      </w:r>
      <w:r>
        <w:rPr>
          <w:spacing w:val="-2"/>
        </w:rPr>
        <w:t> </w:t>
      </w:r>
      <w:r>
        <w:rPr/>
        <w:t>members</w:t>
      </w:r>
      <w:r>
        <w:rPr>
          <w:spacing w:val="-1"/>
        </w:rPr>
        <w:t> </w:t>
      </w:r>
      <w:r>
        <w:rPr/>
        <w:t>of department of architecture was granted a tour of the facilities at the National Aeronautics and Space Administration – Langley Research Facilities and the National Institute of Aerospace. This grant process initiated a long term relationship between the department and NASA, which has resulted in several student gaining employment in the facilities department and student coursework (Design Studio) being supplemented by NASA engineering</w:t>
      </w:r>
      <w:r>
        <w:rPr>
          <w:spacing w:val="-4"/>
        </w:rPr>
        <w:t> </w:t>
      </w:r>
      <w:r>
        <w:rPr/>
        <w:t>staff.</w:t>
      </w:r>
      <w:r>
        <w:rPr>
          <w:spacing w:val="-4"/>
        </w:rPr>
        <w:t> </w:t>
      </w:r>
      <w:r>
        <w:rPr/>
        <w:t>In</w:t>
      </w:r>
      <w:r>
        <w:rPr>
          <w:spacing w:val="-4"/>
        </w:rPr>
        <w:t> </w:t>
      </w:r>
      <w:r>
        <w:rPr/>
        <w:t>2011-12,</w:t>
      </w:r>
      <w:r>
        <w:rPr>
          <w:spacing w:val="-4"/>
        </w:rPr>
        <w:t> </w:t>
      </w:r>
      <w:r>
        <w:rPr/>
        <w:t>the</w:t>
      </w:r>
      <w:r>
        <w:rPr>
          <w:spacing w:val="-4"/>
        </w:rPr>
        <w:t> </w:t>
      </w:r>
      <w:r>
        <w:rPr/>
        <w:t>4</w:t>
      </w:r>
      <w:r>
        <w:rPr>
          <w:vertAlign w:val="superscript"/>
        </w:rPr>
        <w:t>th</w:t>
      </w:r>
      <w:r>
        <w:rPr>
          <w:spacing w:val="-2"/>
          <w:vertAlign w:val="baseline"/>
        </w:rPr>
        <w:t> </w:t>
      </w:r>
      <w:r>
        <w:rPr>
          <w:vertAlign w:val="baseline"/>
        </w:rPr>
        <w:t>year</w:t>
      </w:r>
      <w:r>
        <w:rPr>
          <w:spacing w:val="-3"/>
          <w:vertAlign w:val="baseline"/>
        </w:rPr>
        <w:t> </w:t>
      </w:r>
      <w:r>
        <w:rPr>
          <w:vertAlign w:val="baseline"/>
        </w:rPr>
        <w:t>design</w:t>
      </w:r>
      <w:r>
        <w:rPr>
          <w:spacing w:val="-4"/>
          <w:vertAlign w:val="baseline"/>
        </w:rPr>
        <w:t> </w:t>
      </w:r>
      <w:r>
        <w:rPr>
          <w:vertAlign w:val="baseline"/>
        </w:rPr>
        <w:t>studio</w:t>
      </w:r>
      <w:r>
        <w:rPr>
          <w:spacing w:val="-2"/>
          <w:vertAlign w:val="baseline"/>
        </w:rPr>
        <w:t> </w:t>
      </w:r>
      <w:r>
        <w:rPr>
          <w:vertAlign w:val="baseline"/>
        </w:rPr>
        <w:t>project</w:t>
      </w:r>
      <w:r>
        <w:rPr>
          <w:spacing w:val="-4"/>
          <w:vertAlign w:val="baseline"/>
        </w:rPr>
        <w:t> </w:t>
      </w:r>
      <w:r>
        <w:rPr>
          <w:vertAlign w:val="baseline"/>
        </w:rPr>
        <w:t>involved</w:t>
      </w:r>
      <w:r>
        <w:rPr>
          <w:spacing w:val="-2"/>
          <w:vertAlign w:val="baseline"/>
        </w:rPr>
        <w:t> </w:t>
      </w:r>
      <w:r>
        <w:rPr>
          <w:vertAlign w:val="baseline"/>
        </w:rPr>
        <w:t>the</w:t>
      </w:r>
      <w:r>
        <w:rPr>
          <w:spacing w:val="-2"/>
          <w:vertAlign w:val="baseline"/>
        </w:rPr>
        <w:t> </w:t>
      </w:r>
      <w:r>
        <w:rPr>
          <w:vertAlign w:val="baseline"/>
        </w:rPr>
        <w:t>development</w:t>
      </w:r>
      <w:r>
        <w:rPr>
          <w:spacing w:val="-4"/>
          <w:vertAlign w:val="baseline"/>
        </w:rPr>
        <w:t> </w:t>
      </w:r>
      <w:r>
        <w:rPr>
          <w:vertAlign w:val="baseline"/>
        </w:rPr>
        <w:t>of a masterplan for the expansion of the center’s campus, and the design of a major research facility on that campus. Facility engineering staff served as consultants and owner representatives / clients to the class.</w:t>
      </w:r>
    </w:p>
    <w:p>
      <w:pPr>
        <w:pStyle w:val="BodyText"/>
        <w:spacing w:before="9"/>
      </w:pPr>
    </w:p>
    <w:p>
      <w:pPr>
        <w:pStyle w:val="BodyText"/>
        <w:ind w:left="1723" w:right="580"/>
      </w:pPr>
      <w:r>
        <w:rPr/>
        <w:t>At</w:t>
      </w:r>
      <w:r>
        <w:rPr>
          <w:spacing w:val="-4"/>
        </w:rPr>
        <w:t> </w:t>
      </w:r>
      <w:r>
        <w:rPr/>
        <w:t>the</w:t>
      </w:r>
      <w:r>
        <w:rPr>
          <w:spacing w:val="-4"/>
        </w:rPr>
        <w:t> </w:t>
      </w:r>
      <w:r>
        <w:rPr/>
        <w:t>same</w:t>
      </w:r>
      <w:r>
        <w:rPr>
          <w:spacing w:val="-4"/>
        </w:rPr>
        <w:t> </w:t>
      </w:r>
      <w:r>
        <w:rPr/>
        <w:t>time,</w:t>
      </w:r>
      <w:r>
        <w:rPr>
          <w:spacing w:val="-4"/>
        </w:rPr>
        <w:t> </w:t>
      </w:r>
      <w:r>
        <w:rPr/>
        <w:t>the</w:t>
      </w:r>
      <w:r>
        <w:rPr>
          <w:spacing w:val="-4"/>
        </w:rPr>
        <w:t> </w:t>
      </w:r>
      <w:r>
        <w:rPr/>
        <w:t>studio</w:t>
      </w:r>
      <w:r>
        <w:rPr>
          <w:spacing w:val="-2"/>
        </w:rPr>
        <w:t> </w:t>
      </w:r>
      <w:r>
        <w:rPr/>
        <w:t>work developed</w:t>
      </w:r>
      <w:r>
        <w:rPr>
          <w:spacing w:val="-2"/>
        </w:rPr>
        <w:t> </w:t>
      </w:r>
      <w:r>
        <w:rPr/>
        <w:t>by</w:t>
      </w:r>
      <w:r>
        <w:rPr>
          <w:spacing w:val="-5"/>
        </w:rPr>
        <w:t> </w:t>
      </w:r>
      <w:r>
        <w:rPr/>
        <w:t>our</w:t>
      </w:r>
      <w:r>
        <w:rPr>
          <w:spacing w:val="-3"/>
        </w:rPr>
        <w:t> </w:t>
      </w:r>
      <w:r>
        <w:rPr/>
        <w:t>faculty</w:t>
      </w:r>
      <w:r>
        <w:rPr>
          <w:spacing w:val="-5"/>
        </w:rPr>
        <w:t> </w:t>
      </w:r>
      <w:r>
        <w:rPr/>
        <w:t>became</w:t>
      </w:r>
      <w:r>
        <w:rPr>
          <w:spacing w:val="-4"/>
        </w:rPr>
        <w:t> </w:t>
      </w:r>
      <w:r>
        <w:rPr/>
        <w:t>more</w:t>
      </w:r>
      <w:r>
        <w:rPr>
          <w:spacing w:val="-4"/>
        </w:rPr>
        <w:t> </w:t>
      </w:r>
      <w:r>
        <w:rPr/>
        <w:t>responsive</w:t>
      </w:r>
      <w:r>
        <w:rPr>
          <w:spacing w:val="-2"/>
        </w:rPr>
        <w:t> </w:t>
      </w:r>
      <w:r>
        <w:rPr/>
        <w:t>to</w:t>
      </w:r>
      <w:r>
        <w:rPr>
          <w:spacing w:val="-4"/>
        </w:rPr>
        <w:t> </w:t>
      </w:r>
      <w:r>
        <w:rPr/>
        <w:t>the needs of a variety of needs in our community. Successful grants to assist the Newport News Department of Community Development and the Portsmouth Health Clinic were funded.</w:t>
      </w:r>
      <w:r>
        <w:rPr>
          <w:spacing w:val="40"/>
        </w:rPr>
        <w:t> </w:t>
      </w:r>
      <w:r>
        <w:rPr/>
        <w:t>The HUDA was also successful revising the curriculum to respond to issues cited by</w:t>
      </w:r>
      <w:r>
        <w:rPr>
          <w:spacing w:val="-2"/>
        </w:rPr>
        <w:t> </w:t>
      </w:r>
      <w:r>
        <w:rPr/>
        <w:t>the NAAB team visit with a focus on managing gateways to insure that students did not proceed to far into the program if successful completion were not possible.</w:t>
      </w:r>
    </w:p>
    <w:p>
      <w:pPr>
        <w:pStyle w:val="BodyText"/>
        <w:spacing w:before="11"/>
      </w:pPr>
    </w:p>
    <w:p>
      <w:pPr>
        <w:pStyle w:val="BodyText"/>
        <w:ind w:left="1723" w:right="705"/>
      </w:pPr>
      <w:r>
        <w:rPr/>
        <w:t>In May, 2010, Professor Chance was award her Ph.D in Education from The College of William &amp; Mary. Her dissertation was cited by the international Society for Educational Planning</w:t>
      </w:r>
      <w:r>
        <w:rPr>
          <w:spacing w:val="-3"/>
        </w:rPr>
        <w:t> </w:t>
      </w:r>
      <w:r>
        <w:rPr/>
        <w:t>(ISEP)</w:t>
      </w:r>
      <w:r>
        <w:rPr>
          <w:spacing w:val="-4"/>
        </w:rPr>
        <w:t> </w:t>
      </w:r>
      <w:r>
        <w:rPr/>
        <w:t>as</w:t>
      </w:r>
      <w:r>
        <w:rPr>
          <w:spacing w:val="-2"/>
        </w:rPr>
        <w:t> </w:t>
      </w:r>
      <w:r>
        <w:rPr/>
        <w:t>an</w:t>
      </w:r>
      <w:r>
        <w:rPr>
          <w:spacing w:val="-5"/>
        </w:rPr>
        <w:t> </w:t>
      </w:r>
      <w:r>
        <w:rPr/>
        <w:t>outstanding</w:t>
      </w:r>
      <w:r>
        <w:rPr>
          <w:spacing w:val="-3"/>
        </w:rPr>
        <w:t> </w:t>
      </w:r>
      <w:r>
        <w:rPr/>
        <w:t>dissertation</w:t>
      </w:r>
      <w:r>
        <w:rPr>
          <w:spacing w:val="-5"/>
        </w:rPr>
        <w:t> </w:t>
      </w:r>
      <w:r>
        <w:rPr/>
        <w:t>for</w:t>
      </w:r>
      <w:r>
        <w:rPr>
          <w:spacing w:val="-4"/>
        </w:rPr>
        <w:t> </w:t>
      </w:r>
      <w:r>
        <w:rPr/>
        <w:t>2010.</w:t>
      </w:r>
      <w:r>
        <w:rPr>
          <w:spacing w:val="-5"/>
        </w:rPr>
        <w:t> </w:t>
      </w:r>
      <w:r>
        <w:rPr/>
        <w:t>In</w:t>
      </w:r>
      <w:r>
        <w:rPr>
          <w:spacing w:val="-3"/>
        </w:rPr>
        <w:t> </w:t>
      </w:r>
      <w:r>
        <w:rPr/>
        <w:t>Summer</w:t>
      </w:r>
      <w:r>
        <w:rPr>
          <w:spacing w:val="-4"/>
        </w:rPr>
        <w:t> </w:t>
      </w:r>
      <w:r>
        <w:rPr/>
        <w:t>2012,</w:t>
      </w:r>
      <w:r>
        <w:rPr>
          <w:spacing w:val="-3"/>
        </w:rPr>
        <w:t> </w:t>
      </w:r>
      <w:r>
        <w:rPr/>
        <w:t>Shannon</w:t>
      </w:r>
      <w:r>
        <w:rPr>
          <w:spacing w:val="-3"/>
        </w:rPr>
        <w:t> </w:t>
      </w:r>
      <w:r>
        <w:rPr/>
        <w:t>was selected as a recipient of a Fulbright Scholarship to continue her research in Dublin, Ireland. The University allowed the HUDA to fill Chance’s slot and Ogheneruno “Runo” Okiomah was hired for one year as an Assistant Professor. She spearheaded several community based projects, including the Menchville House vertical garden.</w:t>
      </w:r>
    </w:p>
    <w:p>
      <w:pPr>
        <w:pStyle w:val="BodyText"/>
        <w:spacing w:before="11"/>
      </w:pPr>
    </w:p>
    <w:p>
      <w:pPr>
        <w:pStyle w:val="BodyText"/>
        <w:ind w:left="1723" w:right="499"/>
      </w:pPr>
      <w:r>
        <w:rPr/>
        <w:t>In the summer of 2011, two students, Donald Watson and Michael Ellingson, under the guidance</w:t>
      </w:r>
      <w:r>
        <w:rPr>
          <w:spacing w:val="-3"/>
        </w:rPr>
        <w:t> </w:t>
      </w:r>
      <w:r>
        <w:rPr/>
        <w:t>of</w:t>
      </w:r>
      <w:r>
        <w:rPr>
          <w:spacing w:val="-3"/>
        </w:rPr>
        <w:t> </w:t>
      </w:r>
      <w:r>
        <w:rPr/>
        <w:t>Professor</w:t>
      </w:r>
      <w:r>
        <w:rPr>
          <w:spacing w:val="-4"/>
        </w:rPr>
        <w:t> </w:t>
      </w:r>
      <w:r>
        <w:rPr/>
        <w:t>Ronald</w:t>
      </w:r>
      <w:r>
        <w:rPr>
          <w:spacing w:val="-3"/>
        </w:rPr>
        <w:t> </w:t>
      </w:r>
      <w:r>
        <w:rPr/>
        <w:t>Kloster,</w:t>
      </w:r>
      <w:r>
        <w:rPr>
          <w:spacing w:val="-5"/>
        </w:rPr>
        <w:t> </w:t>
      </w:r>
      <w:r>
        <w:rPr/>
        <w:t>submitted</w:t>
      </w:r>
      <w:r>
        <w:rPr>
          <w:spacing w:val="-3"/>
        </w:rPr>
        <w:t> </w:t>
      </w:r>
      <w:r>
        <w:rPr/>
        <w:t>an</w:t>
      </w:r>
      <w:r>
        <w:rPr>
          <w:spacing w:val="-3"/>
        </w:rPr>
        <w:t> </w:t>
      </w:r>
      <w:r>
        <w:rPr/>
        <w:t>entry</w:t>
      </w:r>
      <w:r>
        <w:rPr>
          <w:spacing w:val="-7"/>
        </w:rPr>
        <w:t> </w:t>
      </w:r>
      <w:r>
        <w:rPr/>
        <w:t>to</w:t>
      </w:r>
      <w:r>
        <w:rPr>
          <w:spacing w:val="-5"/>
        </w:rPr>
        <w:t> </w:t>
      </w:r>
      <w:r>
        <w:rPr/>
        <w:t>the</w:t>
      </w:r>
      <w:r>
        <w:rPr>
          <w:spacing w:val="-5"/>
        </w:rPr>
        <w:t> </w:t>
      </w:r>
      <w:r>
        <w:rPr/>
        <w:t>Charles</w:t>
      </w:r>
      <w:r>
        <w:rPr>
          <w:spacing w:val="-1"/>
        </w:rPr>
        <w:t> </w:t>
      </w:r>
      <w:r>
        <w:rPr/>
        <w:t>E.</w:t>
      </w:r>
      <w:r>
        <w:rPr>
          <w:spacing w:val="-3"/>
        </w:rPr>
        <w:t> </w:t>
      </w:r>
      <w:r>
        <w:rPr/>
        <w:t>Peterson</w:t>
      </w:r>
      <w:r>
        <w:rPr>
          <w:spacing w:val="-5"/>
        </w:rPr>
        <w:t> </w:t>
      </w:r>
      <w:r>
        <w:rPr/>
        <w:t>Prize Competition, sponsored by the Historic American Building Survey (HABS) in the National Park Service. Their submittal, documenting historic Clarke Hall on campus, received an honorable mention award.</w:t>
      </w:r>
    </w:p>
    <w:p>
      <w:pPr>
        <w:pStyle w:val="BodyText"/>
        <w:spacing w:before="10"/>
      </w:pPr>
    </w:p>
    <w:p>
      <w:pPr>
        <w:pStyle w:val="BodyText"/>
        <w:ind w:left="1723" w:right="499"/>
      </w:pPr>
      <w:r>
        <w:rPr/>
        <w:t>In</w:t>
      </w:r>
      <w:r>
        <w:rPr>
          <w:spacing w:val="-1"/>
        </w:rPr>
        <w:t> </w:t>
      </w:r>
      <w:r>
        <w:rPr/>
        <w:t>Fall, 2011,</w:t>
      </w:r>
      <w:r>
        <w:rPr>
          <w:spacing w:val="-1"/>
        </w:rPr>
        <w:t> </w:t>
      </w:r>
      <w:r>
        <w:rPr/>
        <w:t>the</w:t>
      </w:r>
      <w:r>
        <w:rPr>
          <w:spacing w:val="-1"/>
        </w:rPr>
        <w:t> </w:t>
      </w:r>
      <w:r>
        <w:rPr/>
        <w:t>university</w:t>
      </w:r>
      <w:r>
        <w:rPr>
          <w:spacing w:val="-2"/>
        </w:rPr>
        <w:t> </w:t>
      </w:r>
      <w:r>
        <w:rPr/>
        <w:t>provided</w:t>
      </w:r>
      <w:r>
        <w:rPr>
          <w:spacing w:val="-1"/>
        </w:rPr>
        <w:t> </w:t>
      </w:r>
      <w:r>
        <w:rPr/>
        <w:t>$10,000 annual</w:t>
      </w:r>
      <w:r>
        <w:rPr>
          <w:spacing w:val="-2"/>
        </w:rPr>
        <w:t> </w:t>
      </w:r>
      <w:r>
        <w:rPr/>
        <w:t>funding</w:t>
      </w:r>
      <w:r>
        <w:rPr>
          <w:spacing w:val="-1"/>
        </w:rPr>
        <w:t> </w:t>
      </w:r>
      <w:r>
        <w:rPr/>
        <w:t>support</w:t>
      </w:r>
      <w:r>
        <w:rPr>
          <w:spacing w:val="-1"/>
        </w:rPr>
        <w:t> </w:t>
      </w:r>
      <w:r>
        <w:rPr/>
        <w:t>through</w:t>
      </w:r>
      <w:r>
        <w:rPr>
          <w:spacing w:val="-1"/>
        </w:rPr>
        <w:t> </w:t>
      </w:r>
      <w:r>
        <w:rPr/>
        <w:t>a Department of Education Title II grant for the Friday Lecture Series. The university also provided the department with the opportunity to designate one student in the department as a Graduate Assistant. In the Spring of 1011, Hampton planned and hosted the second annual HBCU student symposium. Profs. Easter, Henderson and Williams traveled to the NOMA conference</w:t>
      </w:r>
      <w:r>
        <w:rPr>
          <w:spacing w:val="-4"/>
        </w:rPr>
        <w:t> </w:t>
      </w:r>
      <w:r>
        <w:rPr/>
        <w:t>in</w:t>
      </w:r>
      <w:r>
        <w:rPr>
          <w:spacing w:val="-2"/>
        </w:rPr>
        <w:t> </w:t>
      </w:r>
      <w:r>
        <w:rPr/>
        <w:t>Boston,</w:t>
      </w:r>
      <w:r>
        <w:rPr>
          <w:spacing w:val="-2"/>
        </w:rPr>
        <w:t> </w:t>
      </w:r>
      <w:r>
        <w:rPr/>
        <w:t>MA</w:t>
      </w:r>
      <w:r>
        <w:rPr>
          <w:spacing w:val="-2"/>
        </w:rPr>
        <w:t> </w:t>
      </w:r>
      <w:r>
        <w:rPr/>
        <w:t>along</w:t>
      </w:r>
      <w:r>
        <w:rPr>
          <w:spacing w:val="-2"/>
        </w:rPr>
        <w:t> </w:t>
      </w:r>
      <w:r>
        <w:rPr/>
        <w:t>with</w:t>
      </w:r>
      <w:r>
        <w:rPr>
          <w:spacing w:val="-2"/>
        </w:rPr>
        <w:t> </w:t>
      </w:r>
      <w:r>
        <w:rPr/>
        <w:t>two</w:t>
      </w:r>
      <w:r>
        <w:rPr>
          <w:spacing w:val="-4"/>
        </w:rPr>
        <w:t> </w:t>
      </w:r>
      <w:r>
        <w:rPr/>
        <w:t>students,</w:t>
      </w:r>
      <w:r>
        <w:rPr>
          <w:spacing w:val="-4"/>
        </w:rPr>
        <w:t> </w:t>
      </w:r>
      <w:r>
        <w:rPr/>
        <w:t>in an</w:t>
      </w:r>
      <w:r>
        <w:rPr>
          <w:spacing w:val="-4"/>
        </w:rPr>
        <w:t> </w:t>
      </w:r>
      <w:r>
        <w:rPr/>
        <w:t>effort</w:t>
      </w:r>
      <w:r>
        <w:rPr>
          <w:spacing w:val="-4"/>
        </w:rPr>
        <w:t> </w:t>
      </w:r>
      <w:r>
        <w:rPr/>
        <w:t>to</w:t>
      </w:r>
      <w:r>
        <w:rPr>
          <w:spacing w:val="-4"/>
        </w:rPr>
        <w:t> </w:t>
      </w:r>
      <w:r>
        <w:rPr/>
        <w:t>introduce</w:t>
      </w:r>
      <w:r>
        <w:rPr>
          <w:spacing w:val="-2"/>
        </w:rPr>
        <w:t> </w:t>
      </w:r>
      <w:r>
        <w:rPr/>
        <w:t>the</w:t>
      </w:r>
      <w:r>
        <w:rPr>
          <w:spacing w:val="-2"/>
        </w:rPr>
        <w:t> </w:t>
      </w:r>
      <w:r>
        <w:rPr/>
        <w:t>student</w:t>
      </w:r>
      <w:r>
        <w:rPr>
          <w:spacing w:val="-4"/>
        </w:rPr>
        <w:t> </w:t>
      </w:r>
      <w:r>
        <w:rPr/>
        <w:t>body to NOMA and its benefits. The students presented their trip to the student body at a Friday lecture and the student body agreed that the AIAS chapter would also be a student affiliate of NOMA and that the students would attend the NOMA conference in 2012.</w:t>
      </w:r>
    </w:p>
    <w:p>
      <w:pPr>
        <w:pStyle w:val="BodyText"/>
        <w:rPr>
          <w:sz w:val="21"/>
        </w:rPr>
      </w:pPr>
    </w:p>
    <w:p>
      <w:pPr>
        <w:pStyle w:val="BodyText"/>
        <w:ind w:left="1723" w:right="499"/>
      </w:pPr>
      <w:r>
        <w:rPr/>
        <w:t>In the Fall, 2011, our students were invited to participate in a design competition by the Washington, DC chapter the AIA as part of their planning effort for the National AIA Convention.</w:t>
      </w:r>
      <w:r>
        <w:rPr>
          <w:spacing w:val="-5"/>
        </w:rPr>
        <w:t> </w:t>
      </w:r>
      <w:r>
        <w:rPr/>
        <w:t>This</w:t>
      </w:r>
      <w:r>
        <w:rPr>
          <w:spacing w:val="-4"/>
        </w:rPr>
        <w:t> </w:t>
      </w:r>
      <w:r>
        <w:rPr/>
        <w:t>competition,</w:t>
      </w:r>
      <w:r>
        <w:rPr>
          <w:spacing w:val="-5"/>
        </w:rPr>
        <w:t> </w:t>
      </w:r>
      <w:r>
        <w:rPr/>
        <w:t>entitled,</w:t>
      </w:r>
      <w:r>
        <w:rPr>
          <w:spacing w:val="-5"/>
        </w:rPr>
        <w:t> </w:t>
      </w:r>
      <w:r>
        <w:rPr/>
        <w:t>20x20x20</w:t>
      </w:r>
      <w:r>
        <w:rPr>
          <w:spacing w:val="-3"/>
        </w:rPr>
        <w:t> </w:t>
      </w:r>
      <w:r>
        <w:rPr/>
        <w:t>involved</w:t>
      </w:r>
      <w:r>
        <w:rPr>
          <w:spacing w:val="-3"/>
        </w:rPr>
        <w:t> </w:t>
      </w:r>
      <w:r>
        <w:rPr/>
        <w:t>the</w:t>
      </w:r>
      <w:r>
        <w:rPr>
          <w:spacing w:val="-3"/>
        </w:rPr>
        <w:t> </w:t>
      </w:r>
      <w:r>
        <w:rPr/>
        <w:t>design</w:t>
      </w:r>
      <w:r>
        <w:rPr>
          <w:spacing w:val="-3"/>
        </w:rPr>
        <w:t> </w:t>
      </w:r>
      <w:r>
        <w:rPr/>
        <w:t>of</w:t>
      </w:r>
      <w:r>
        <w:rPr>
          <w:spacing w:val="-3"/>
        </w:rPr>
        <w:t> </w:t>
      </w:r>
      <w:r>
        <w:rPr/>
        <w:t>a</w:t>
      </w:r>
      <w:r>
        <w:rPr>
          <w:spacing w:val="-3"/>
        </w:rPr>
        <w:t> </w:t>
      </w:r>
      <w:r>
        <w:rPr/>
        <w:t>workstation</w:t>
      </w:r>
      <w:r>
        <w:rPr>
          <w:spacing w:val="-3"/>
        </w:rPr>
        <w:t> </w:t>
      </w:r>
      <w:r>
        <w:rPr/>
        <w:t>of</w:t>
      </w:r>
      <w:r>
        <w:rPr>
          <w:spacing w:val="-3"/>
        </w:rPr>
        <w:t> </w:t>
      </w:r>
      <w:r>
        <w:rPr/>
        <w:t>the future, to be made of materials costing not more than $20, secured from not more than 20 miles from the campus, not containing more than 20 square feet. Designs with minimal resources is a program specialty, and our fourth year students took on the competition as part of their design studio. The project was displayed on the exhibit floor of the National Convention in summer 2012 with two series of voting: one by an assigned group of jurors, and the other by a floor vote of the professionals in the exhibit hall The People’s Choice.</w:t>
      </w:r>
    </w:p>
    <w:p>
      <w:pPr>
        <w:pStyle w:val="BodyText"/>
        <w:ind w:left="1723" w:right="705"/>
      </w:pPr>
      <w:r>
        <w:rPr/>
        <w:t>Only</w:t>
      </w:r>
      <w:r>
        <w:rPr>
          <w:spacing w:val="-6"/>
        </w:rPr>
        <w:t> </w:t>
      </w:r>
      <w:r>
        <w:rPr/>
        <w:t>the</w:t>
      </w:r>
      <w:r>
        <w:rPr>
          <w:spacing w:val="-3"/>
        </w:rPr>
        <w:t> </w:t>
      </w:r>
      <w:r>
        <w:rPr/>
        <w:t>two</w:t>
      </w:r>
      <w:r>
        <w:rPr>
          <w:spacing w:val="-3"/>
        </w:rPr>
        <w:t> </w:t>
      </w:r>
      <w:r>
        <w:rPr/>
        <w:t>awards</w:t>
      </w:r>
      <w:r>
        <w:rPr>
          <w:spacing w:val="-1"/>
        </w:rPr>
        <w:t> </w:t>
      </w:r>
      <w:r>
        <w:rPr/>
        <w:t>were</w:t>
      </w:r>
      <w:r>
        <w:rPr>
          <w:spacing w:val="-3"/>
        </w:rPr>
        <w:t> </w:t>
      </w:r>
      <w:r>
        <w:rPr/>
        <w:t>cited,</w:t>
      </w:r>
      <w:r>
        <w:rPr>
          <w:spacing w:val="-3"/>
        </w:rPr>
        <w:t> </w:t>
      </w:r>
      <w:r>
        <w:rPr/>
        <w:t>and</w:t>
      </w:r>
      <w:r>
        <w:rPr>
          <w:spacing w:val="-3"/>
        </w:rPr>
        <w:t> </w:t>
      </w:r>
      <w:r>
        <w:rPr/>
        <w:t>the</w:t>
      </w:r>
      <w:r>
        <w:rPr>
          <w:spacing w:val="-3"/>
        </w:rPr>
        <w:t> </w:t>
      </w:r>
      <w:r>
        <w:rPr/>
        <w:t>design</w:t>
      </w:r>
      <w:r>
        <w:rPr>
          <w:spacing w:val="-3"/>
        </w:rPr>
        <w:t> </w:t>
      </w:r>
      <w:r>
        <w:rPr/>
        <w:t>by</w:t>
      </w:r>
      <w:r>
        <w:rPr>
          <w:spacing w:val="-6"/>
        </w:rPr>
        <w:t> </w:t>
      </w:r>
      <w:r>
        <w:rPr/>
        <w:t>our</w:t>
      </w:r>
      <w:r>
        <w:rPr>
          <w:spacing w:val="-4"/>
        </w:rPr>
        <w:t> </w:t>
      </w:r>
      <w:r>
        <w:rPr/>
        <w:t>students</w:t>
      </w:r>
      <w:r>
        <w:rPr>
          <w:spacing w:val="-1"/>
        </w:rPr>
        <w:t> </w:t>
      </w:r>
      <w:r>
        <w:rPr/>
        <w:t>won</w:t>
      </w:r>
      <w:r>
        <w:rPr>
          <w:spacing w:val="-5"/>
        </w:rPr>
        <w:t> </w:t>
      </w:r>
      <w:r>
        <w:rPr/>
        <w:t>the</w:t>
      </w:r>
      <w:r>
        <w:rPr>
          <w:spacing w:val="-3"/>
        </w:rPr>
        <w:t> </w:t>
      </w:r>
      <w:r>
        <w:rPr/>
        <w:t>People’s</w:t>
      </w:r>
      <w:r>
        <w:rPr>
          <w:spacing w:val="-4"/>
        </w:rPr>
        <w:t> </w:t>
      </w:r>
      <w:r>
        <w:rPr/>
        <w:t>Choice </w:t>
      </w:r>
      <w:r>
        <w:rPr>
          <w:spacing w:val="-2"/>
        </w:rPr>
        <w:t>award.</w:t>
      </w:r>
    </w:p>
    <w:p>
      <w:pPr>
        <w:pStyle w:val="BodyText"/>
        <w:spacing w:before="10"/>
      </w:pPr>
    </w:p>
    <w:p>
      <w:pPr>
        <w:pStyle w:val="BodyText"/>
        <w:spacing w:before="1"/>
        <w:ind w:left="1723" w:right="705"/>
      </w:pPr>
      <w:r>
        <w:rPr/>
        <w:t>The</w:t>
      </w:r>
      <w:r>
        <w:rPr>
          <w:spacing w:val="-4"/>
        </w:rPr>
        <w:t> </w:t>
      </w:r>
      <w:r>
        <w:rPr/>
        <w:t>grit</w:t>
      </w:r>
      <w:r>
        <w:rPr>
          <w:spacing w:val="-4"/>
        </w:rPr>
        <w:t> </w:t>
      </w:r>
      <w:r>
        <w:rPr/>
        <w:t>and</w:t>
      </w:r>
      <w:r>
        <w:rPr>
          <w:spacing w:val="-4"/>
        </w:rPr>
        <w:t> </w:t>
      </w:r>
      <w:r>
        <w:rPr/>
        <w:t>tenacity</w:t>
      </w:r>
      <w:r>
        <w:rPr>
          <w:spacing w:val="-5"/>
        </w:rPr>
        <w:t> </w:t>
      </w:r>
      <w:r>
        <w:rPr/>
        <w:t>of</w:t>
      </w:r>
      <w:r>
        <w:rPr>
          <w:spacing w:val="-2"/>
        </w:rPr>
        <w:t> </w:t>
      </w:r>
      <w:r>
        <w:rPr/>
        <w:t>the</w:t>
      </w:r>
      <w:r>
        <w:rPr>
          <w:spacing w:val="-2"/>
        </w:rPr>
        <w:t> </w:t>
      </w:r>
      <w:r>
        <w:rPr/>
        <w:t>students,</w:t>
      </w:r>
      <w:r>
        <w:rPr>
          <w:spacing w:val="-2"/>
        </w:rPr>
        <w:t> </w:t>
      </w:r>
      <w:r>
        <w:rPr/>
        <w:t>however,</w:t>
      </w:r>
      <w:r>
        <w:rPr>
          <w:spacing w:val="-2"/>
        </w:rPr>
        <w:t> </w:t>
      </w:r>
      <w:r>
        <w:rPr/>
        <w:t>was</w:t>
      </w:r>
      <w:r>
        <w:rPr>
          <w:spacing w:val="-3"/>
        </w:rPr>
        <w:t> </w:t>
      </w:r>
      <w:r>
        <w:rPr/>
        <w:t>also</w:t>
      </w:r>
      <w:r>
        <w:rPr>
          <w:spacing w:val="-4"/>
        </w:rPr>
        <w:t> </w:t>
      </w:r>
      <w:r>
        <w:rPr/>
        <w:t>observed and</w:t>
      </w:r>
      <w:r>
        <w:rPr>
          <w:spacing w:val="-4"/>
        </w:rPr>
        <w:t> </w:t>
      </w:r>
      <w:r>
        <w:rPr/>
        <w:t>appreciated</w:t>
      </w:r>
      <w:r>
        <w:rPr>
          <w:spacing w:val="-4"/>
        </w:rPr>
        <w:t> </w:t>
      </w:r>
      <w:r>
        <w:rPr/>
        <w:t>by</w:t>
      </w:r>
      <w:r>
        <w:rPr>
          <w:spacing w:val="-7"/>
        </w:rPr>
        <w:t> </w:t>
      </w:r>
      <w:r>
        <w:rPr/>
        <w:t>the vendors</w:t>
      </w:r>
      <w:r>
        <w:rPr>
          <w:spacing w:val="-6"/>
        </w:rPr>
        <w:t> </w:t>
      </w:r>
      <w:r>
        <w:rPr/>
        <w:t>on</w:t>
      </w:r>
      <w:r>
        <w:rPr>
          <w:spacing w:val="-5"/>
        </w:rPr>
        <w:t> </w:t>
      </w:r>
      <w:r>
        <w:rPr/>
        <w:t>the</w:t>
      </w:r>
      <w:r>
        <w:rPr>
          <w:spacing w:val="-5"/>
        </w:rPr>
        <w:t> </w:t>
      </w:r>
      <w:r>
        <w:rPr/>
        <w:t>exhibition</w:t>
      </w:r>
      <w:r>
        <w:rPr>
          <w:spacing w:val="-7"/>
        </w:rPr>
        <w:t> </w:t>
      </w:r>
      <w:r>
        <w:rPr/>
        <w:t>floor.</w:t>
      </w:r>
      <w:r>
        <w:rPr>
          <w:spacing w:val="-6"/>
        </w:rPr>
        <w:t> </w:t>
      </w:r>
      <w:r>
        <w:rPr/>
        <w:t>One</w:t>
      </w:r>
      <w:r>
        <w:rPr>
          <w:spacing w:val="-5"/>
        </w:rPr>
        <w:t> </w:t>
      </w:r>
      <w:r>
        <w:rPr/>
        <w:t>of</w:t>
      </w:r>
      <w:r>
        <w:rPr>
          <w:spacing w:val="-5"/>
        </w:rPr>
        <w:t> </w:t>
      </w:r>
      <w:r>
        <w:rPr/>
        <w:t>them,</w:t>
      </w:r>
      <w:r>
        <w:rPr>
          <w:spacing w:val="-7"/>
        </w:rPr>
        <w:t> </w:t>
      </w:r>
      <w:r>
        <w:rPr/>
        <w:t>Hewlett</w:t>
      </w:r>
      <w:r>
        <w:rPr>
          <w:spacing w:val="-4"/>
        </w:rPr>
        <w:t> </w:t>
      </w:r>
      <w:r>
        <w:rPr/>
        <w:t>Packard,</w:t>
      </w:r>
      <w:r>
        <w:rPr>
          <w:spacing w:val="-7"/>
        </w:rPr>
        <w:t> </w:t>
      </w:r>
      <w:r>
        <w:rPr/>
        <w:t>was</w:t>
      </w:r>
      <w:r>
        <w:rPr>
          <w:spacing w:val="-6"/>
        </w:rPr>
        <w:t> </w:t>
      </w:r>
      <w:r>
        <w:rPr/>
        <w:t>so</w:t>
      </w:r>
      <w:r>
        <w:rPr>
          <w:spacing w:val="-6"/>
        </w:rPr>
        <w:t> </w:t>
      </w:r>
      <w:r>
        <w:rPr/>
        <w:t>impressed</w:t>
      </w:r>
      <w:r>
        <w:rPr>
          <w:spacing w:val="-7"/>
        </w:rPr>
        <w:t> </w:t>
      </w:r>
      <w:r>
        <w:rPr/>
        <w:t>that</w:t>
      </w:r>
      <w:r>
        <w:rPr>
          <w:spacing w:val="-7"/>
        </w:rPr>
        <w:t> </w:t>
      </w:r>
      <w:r>
        <w:rPr>
          <w:spacing w:val="-5"/>
        </w:rPr>
        <w:t>the</w:t>
      </w:r>
    </w:p>
    <w:p>
      <w:pPr>
        <w:spacing w:after="0"/>
        <w:sectPr>
          <w:pgSz w:w="12240" w:h="15840"/>
          <w:pgMar w:header="0" w:footer="974" w:top="1360" w:bottom="1160" w:left="940" w:right="960"/>
        </w:sectPr>
      </w:pPr>
    </w:p>
    <w:p>
      <w:pPr>
        <w:pStyle w:val="BodyText"/>
        <w:spacing w:before="77"/>
        <w:ind w:left="1723" w:right="499"/>
      </w:pPr>
      <w:r>
        <w:rPr/>
        <w:t>sales</w:t>
      </w:r>
      <w:r>
        <w:rPr>
          <w:spacing w:val="-4"/>
        </w:rPr>
        <w:t> </w:t>
      </w:r>
      <w:r>
        <w:rPr/>
        <w:t>manager</w:t>
      </w:r>
      <w:r>
        <w:rPr>
          <w:spacing w:val="-4"/>
        </w:rPr>
        <w:t> </w:t>
      </w:r>
      <w:r>
        <w:rPr/>
        <w:t>invited</w:t>
      </w:r>
      <w:r>
        <w:rPr>
          <w:spacing w:val="-5"/>
        </w:rPr>
        <w:t> </w:t>
      </w:r>
      <w:r>
        <w:rPr/>
        <w:t>our</w:t>
      </w:r>
      <w:r>
        <w:rPr>
          <w:spacing w:val="-4"/>
        </w:rPr>
        <w:t> </w:t>
      </w:r>
      <w:r>
        <w:rPr/>
        <w:t>program,</w:t>
      </w:r>
      <w:r>
        <w:rPr>
          <w:spacing w:val="-5"/>
        </w:rPr>
        <w:t> </w:t>
      </w:r>
      <w:r>
        <w:rPr/>
        <w:t>through</w:t>
      </w:r>
      <w:r>
        <w:rPr>
          <w:spacing w:val="-3"/>
        </w:rPr>
        <w:t> </w:t>
      </w:r>
      <w:r>
        <w:rPr/>
        <w:t>discussions</w:t>
      </w:r>
      <w:r>
        <w:rPr>
          <w:spacing w:val="-4"/>
        </w:rPr>
        <w:t> </w:t>
      </w:r>
      <w:r>
        <w:rPr/>
        <w:t>and</w:t>
      </w:r>
      <w:r>
        <w:rPr>
          <w:spacing w:val="-3"/>
        </w:rPr>
        <w:t> </w:t>
      </w:r>
      <w:r>
        <w:rPr/>
        <w:t>a</w:t>
      </w:r>
      <w:r>
        <w:rPr>
          <w:spacing w:val="-5"/>
        </w:rPr>
        <w:t> </w:t>
      </w:r>
      <w:r>
        <w:rPr/>
        <w:t>proposal</w:t>
      </w:r>
      <w:r>
        <w:rPr>
          <w:spacing w:val="-6"/>
        </w:rPr>
        <w:t> </w:t>
      </w:r>
      <w:r>
        <w:rPr/>
        <w:t>from the</w:t>
      </w:r>
      <w:r>
        <w:rPr>
          <w:spacing w:val="-3"/>
        </w:rPr>
        <w:t> </w:t>
      </w:r>
      <w:r>
        <w:rPr/>
        <w:t>Chair,</w:t>
      </w:r>
      <w:r>
        <w:rPr>
          <w:spacing w:val="-3"/>
        </w:rPr>
        <w:t> </w:t>
      </w:r>
      <w:r>
        <w:rPr/>
        <w:t>to participate in a study of their new E-share plotting/printing system and software. To participate, HP provided our CAD Lab with an upgrade of five new plotters.</w:t>
      </w:r>
    </w:p>
    <w:p>
      <w:pPr>
        <w:pStyle w:val="BodyText"/>
        <w:spacing w:before="9"/>
      </w:pPr>
    </w:p>
    <w:p>
      <w:pPr>
        <w:pStyle w:val="BodyText"/>
        <w:ind w:left="1723" w:right="497"/>
      </w:pPr>
      <w:r>
        <w:rPr/>
        <w:t>In 2012, the HUDA was also, again, successful leading a team, composed of Old Dominion University and the HU Department of Engineering to enter the 2013 Solar Decathlon with the “Canopy</w:t>
      </w:r>
      <w:r>
        <w:rPr>
          <w:spacing w:val="-3"/>
        </w:rPr>
        <w:t> </w:t>
      </w:r>
      <w:r>
        <w:rPr/>
        <w:t>House entry.” This effort was guided by</w:t>
      </w:r>
      <w:r>
        <w:rPr>
          <w:spacing w:val="-1"/>
        </w:rPr>
        <w:t> </w:t>
      </w:r>
      <w:r>
        <w:rPr/>
        <w:t>Professor David Peronnet. The team’s focus was on universal design: providing housing for those with physical and mental challenges. The design was quite successful. At the ground breaking ceremony, attended</w:t>
      </w:r>
      <w:r>
        <w:rPr/>
        <w:t> by Department of Energy’s SD program director Richard King, noted that the nature of the HU entry was, in his estimation, easily a top-five contender; that the project had responded impressively to the shortcomings of our previous 2011 entry. In the Summer of 2013, however,</w:t>
      </w:r>
      <w:r>
        <w:rPr>
          <w:spacing w:val="-2"/>
        </w:rPr>
        <w:t> </w:t>
      </w:r>
      <w:r>
        <w:rPr/>
        <w:t>we</w:t>
      </w:r>
      <w:r>
        <w:rPr>
          <w:spacing w:val="-4"/>
        </w:rPr>
        <w:t> </w:t>
      </w:r>
      <w:r>
        <w:rPr/>
        <w:t>realized</w:t>
      </w:r>
      <w:r>
        <w:rPr>
          <w:spacing w:val="-4"/>
        </w:rPr>
        <w:t> </w:t>
      </w:r>
      <w:r>
        <w:rPr/>
        <w:t>that</w:t>
      </w:r>
      <w:r>
        <w:rPr>
          <w:spacing w:val="-4"/>
        </w:rPr>
        <w:t> </w:t>
      </w:r>
      <w:r>
        <w:rPr/>
        <w:t>the</w:t>
      </w:r>
      <w:r>
        <w:rPr>
          <w:spacing w:val="-4"/>
        </w:rPr>
        <w:t> </w:t>
      </w:r>
      <w:r>
        <w:rPr/>
        <w:t>project</w:t>
      </w:r>
      <w:r>
        <w:rPr>
          <w:spacing w:val="-2"/>
        </w:rPr>
        <w:t> </w:t>
      </w:r>
      <w:r>
        <w:rPr/>
        <w:t>lacked</w:t>
      </w:r>
      <w:r>
        <w:rPr>
          <w:spacing w:val="-4"/>
        </w:rPr>
        <w:t> </w:t>
      </w:r>
      <w:r>
        <w:rPr/>
        <w:t>the</w:t>
      </w:r>
      <w:r>
        <w:rPr>
          <w:spacing w:val="-2"/>
        </w:rPr>
        <w:t> </w:t>
      </w:r>
      <w:r>
        <w:rPr/>
        <w:t>one</w:t>
      </w:r>
      <w:r>
        <w:rPr>
          <w:spacing w:val="-2"/>
        </w:rPr>
        <w:t> </w:t>
      </w:r>
      <w:r>
        <w:rPr/>
        <w:t>thing</w:t>
      </w:r>
      <w:r>
        <w:rPr>
          <w:spacing w:val="-4"/>
        </w:rPr>
        <w:t> </w:t>
      </w:r>
      <w:r>
        <w:rPr/>
        <w:t>that</w:t>
      </w:r>
      <w:r>
        <w:rPr>
          <w:spacing w:val="-2"/>
        </w:rPr>
        <w:t> </w:t>
      </w:r>
      <w:r>
        <w:rPr/>
        <w:t>would</w:t>
      </w:r>
      <w:r>
        <w:rPr>
          <w:spacing w:val="-4"/>
        </w:rPr>
        <w:t> </w:t>
      </w:r>
      <w:r>
        <w:rPr/>
        <w:t>assure</w:t>
      </w:r>
      <w:r>
        <w:rPr>
          <w:spacing w:val="-2"/>
        </w:rPr>
        <w:t> </w:t>
      </w:r>
      <w:r>
        <w:rPr/>
        <w:t>its</w:t>
      </w:r>
      <w:r>
        <w:rPr>
          <w:spacing w:val="-3"/>
        </w:rPr>
        <w:t> </w:t>
      </w:r>
      <w:r>
        <w:rPr/>
        <w:t>success:</w:t>
      </w:r>
      <w:r>
        <w:rPr>
          <w:spacing w:val="-4"/>
        </w:rPr>
        <w:t> </w:t>
      </w:r>
      <w:r>
        <w:rPr/>
        <w:t>we were not able to secure sufficient funding to send the house to Irvine, CA where the decathlon competition was to be held.</w:t>
      </w:r>
    </w:p>
    <w:p>
      <w:pPr>
        <w:pStyle w:val="BodyText"/>
        <w:spacing w:before="1"/>
        <w:rPr>
          <w:sz w:val="21"/>
        </w:rPr>
      </w:pPr>
    </w:p>
    <w:p>
      <w:pPr>
        <w:pStyle w:val="BodyText"/>
        <w:ind w:left="1723" w:right="499"/>
      </w:pPr>
      <w:r>
        <w:rPr/>
        <w:t>During</w:t>
      </w:r>
      <w:r>
        <w:rPr>
          <w:spacing w:val="-4"/>
        </w:rPr>
        <w:t> </w:t>
      </w:r>
      <w:r>
        <w:rPr/>
        <w:t>that</w:t>
      </w:r>
      <w:r>
        <w:rPr>
          <w:spacing w:val="-4"/>
        </w:rPr>
        <w:t> </w:t>
      </w:r>
      <w:r>
        <w:rPr/>
        <w:t>same</w:t>
      </w:r>
      <w:r>
        <w:rPr>
          <w:spacing w:val="-4"/>
        </w:rPr>
        <w:t> </w:t>
      </w:r>
      <w:r>
        <w:rPr/>
        <w:t>academic</w:t>
      </w:r>
      <w:r>
        <w:rPr>
          <w:spacing w:val="-3"/>
        </w:rPr>
        <w:t> </w:t>
      </w:r>
      <w:r>
        <w:rPr/>
        <w:t>year,</w:t>
      </w:r>
      <w:r>
        <w:rPr>
          <w:spacing w:val="-4"/>
        </w:rPr>
        <w:t> </w:t>
      </w:r>
      <w:r>
        <w:rPr/>
        <w:t>it</w:t>
      </w:r>
      <w:r>
        <w:rPr>
          <w:spacing w:val="-3"/>
        </w:rPr>
        <w:t> </w:t>
      </w:r>
      <w:r>
        <w:rPr/>
        <w:t>was</w:t>
      </w:r>
      <w:r>
        <w:rPr>
          <w:spacing w:val="-3"/>
        </w:rPr>
        <w:t> </w:t>
      </w:r>
      <w:r>
        <w:rPr/>
        <w:t>also</w:t>
      </w:r>
      <w:r>
        <w:rPr>
          <w:spacing w:val="-4"/>
        </w:rPr>
        <w:t> </w:t>
      </w:r>
      <w:r>
        <w:rPr/>
        <w:t>announced</w:t>
      </w:r>
      <w:r>
        <w:rPr>
          <w:spacing w:val="-4"/>
        </w:rPr>
        <w:t> </w:t>
      </w:r>
      <w:r>
        <w:rPr/>
        <w:t>that</w:t>
      </w:r>
      <w:r>
        <w:rPr>
          <w:spacing w:val="-4"/>
        </w:rPr>
        <w:t> </w:t>
      </w:r>
      <w:r>
        <w:rPr/>
        <w:t>the</w:t>
      </w:r>
      <w:r>
        <w:rPr>
          <w:spacing w:val="-4"/>
        </w:rPr>
        <w:t> </w:t>
      </w:r>
      <w:r>
        <w:rPr/>
        <w:t>John</w:t>
      </w:r>
      <w:r>
        <w:rPr>
          <w:spacing w:val="-3"/>
        </w:rPr>
        <w:t> </w:t>
      </w:r>
      <w:r>
        <w:rPr/>
        <w:t>Spencer</w:t>
      </w:r>
      <w:r>
        <w:rPr>
          <w:spacing w:val="-2"/>
        </w:rPr>
        <w:t> </w:t>
      </w:r>
      <w:r>
        <w:rPr/>
        <w:t>Scholarship had</w:t>
      </w:r>
      <w:r>
        <w:rPr>
          <w:spacing w:val="-1"/>
        </w:rPr>
        <w:t> </w:t>
      </w:r>
      <w:r>
        <w:rPr/>
        <w:t>reached a level of endowment</w:t>
      </w:r>
      <w:r>
        <w:rPr>
          <w:spacing w:val="-1"/>
        </w:rPr>
        <w:t> </w:t>
      </w:r>
      <w:r>
        <w:rPr/>
        <w:t>that</w:t>
      </w:r>
      <w:r>
        <w:rPr>
          <w:spacing w:val="-1"/>
        </w:rPr>
        <w:t> </w:t>
      </w:r>
      <w:r>
        <w:rPr/>
        <w:t>allowed</w:t>
      </w:r>
      <w:r>
        <w:rPr>
          <w:spacing w:val="-1"/>
        </w:rPr>
        <w:t> </w:t>
      </w:r>
      <w:r>
        <w:rPr/>
        <w:t>for our first</w:t>
      </w:r>
      <w:r>
        <w:rPr>
          <w:spacing w:val="-1"/>
        </w:rPr>
        <w:t> </w:t>
      </w:r>
      <w:r>
        <w:rPr/>
        <w:t>award. Mr. Spencer was invited to lecture and present his work at a Friday session, and the first winner, Jelani McCarthy, was announced. This is an ongoing award offering.</w:t>
      </w:r>
    </w:p>
    <w:p>
      <w:pPr>
        <w:pStyle w:val="BodyText"/>
        <w:spacing w:before="10"/>
      </w:pPr>
    </w:p>
    <w:p>
      <w:pPr>
        <w:pStyle w:val="BodyText"/>
        <w:ind w:left="1723" w:right="522"/>
      </w:pPr>
      <w:r>
        <w:rPr/>
        <w:t>At the conclusion of the Spring, 2012 term, we learned that Dr. Sanchez was promoted to full-professor in the first year that the ban on promotions had been lifted. Professors Easter and Chance were recognized the following year with tenure and promotion to Full Professor,</w:t>
      </w:r>
      <w:r>
        <w:rPr>
          <w:spacing w:val="-5"/>
        </w:rPr>
        <w:t> </w:t>
      </w:r>
      <w:r>
        <w:rPr/>
        <w:t>respectively.</w:t>
      </w:r>
      <w:r>
        <w:rPr>
          <w:spacing w:val="-4"/>
        </w:rPr>
        <w:t> </w:t>
      </w:r>
      <w:r>
        <w:rPr/>
        <w:t>Discussions</w:t>
      </w:r>
      <w:r>
        <w:rPr>
          <w:spacing w:val="-4"/>
        </w:rPr>
        <w:t> </w:t>
      </w:r>
      <w:r>
        <w:rPr/>
        <w:t>at</w:t>
      </w:r>
      <w:r>
        <w:rPr>
          <w:spacing w:val="-5"/>
        </w:rPr>
        <w:t> </w:t>
      </w:r>
      <w:r>
        <w:rPr/>
        <w:t>the</w:t>
      </w:r>
      <w:r>
        <w:rPr>
          <w:spacing w:val="-5"/>
        </w:rPr>
        <w:t> </w:t>
      </w:r>
      <w:r>
        <w:rPr/>
        <w:t>administrative</w:t>
      </w:r>
      <w:r>
        <w:rPr>
          <w:spacing w:val="-3"/>
        </w:rPr>
        <w:t> </w:t>
      </w:r>
      <w:r>
        <w:rPr/>
        <w:t>level</w:t>
      </w:r>
      <w:r>
        <w:rPr>
          <w:spacing w:val="-6"/>
        </w:rPr>
        <w:t> </w:t>
      </w:r>
      <w:r>
        <w:rPr/>
        <w:t>have</w:t>
      </w:r>
      <w:r>
        <w:rPr>
          <w:spacing w:val="-3"/>
        </w:rPr>
        <w:t> </w:t>
      </w:r>
      <w:r>
        <w:rPr/>
        <w:t>begun</w:t>
      </w:r>
      <w:r>
        <w:rPr>
          <w:spacing w:val="-3"/>
        </w:rPr>
        <w:t> </w:t>
      </w:r>
      <w:r>
        <w:rPr/>
        <w:t>on</w:t>
      </w:r>
      <w:r>
        <w:rPr>
          <w:spacing w:val="-3"/>
        </w:rPr>
        <w:t> </w:t>
      </w:r>
      <w:r>
        <w:rPr/>
        <w:t>providing</w:t>
      </w:r>
      <w:r>
        <w:rPr>
          <w:spacing w:val="-5"/>
        </w:rPr>
        <w:t> </w:t>
      </w:r>
      <w:r>
        <w:rPr/>
        <w:t>the same levels of recognition to other HUDA faculty in the coming year.</w:t>
      </w:r>
    </w:p>
    <w:p>
      <w:pPr>
        <w:pStyle w:val="BodyText"/>
        <w:spacing w:before="9"/>
      </w:pPr>
    </w:p>
    <w:p>
      <w:pPr>
        <w:pStyle w:val="BodyText"/>
        <w:spacing w:before="1"/>
        <w:ind w:left="1723" w:right="580"/>
      </w:pPr>
      <w:r>
        <w:rPr/>
        <w:t>In</w:t>
      </w:r>
      <w:r>
        <w:rPr>
          <w:spacing w:val="-4"/>
        </w:rPr>
        <w:t> </w:t>
      </w:r>
      <w:r>
        <w:rPr/>
        <w:t>Spring</w:t>
      </w:r>
      <w:r>
        <w:rPr>
          <w:spacing w:val="-4"/>
        </w:rPr>
        <w:t> </w:t>
      </w:r>
      <w:r>
        <w:rPr/>
        <w:t>of</w:t>
      </w:r>
      <w:r>
        <w:rPr>
          <w:spacing w:val="-2"/>
        </w:rPr>
        <w:t> </w:t>
      </w:r>
      <w:r>
        <w:rPr/>
        <w:t>2013,</w:t>
      </w:r>
      <w:r>
        <w:rPr>
          <w:spacing w:val="-4"/>
        </w:rPr>
        <w:t> </w:t>
      </w:r>
      <w:r>
        <w:rPr/>
        <w:t>the</w:t>
      </w:r>
      <w:r>
        <w:rPr>
          <w:spacing w:val="-4"/>
        </w:rPr>
        <w:t> </w:t>
      </w:r>
      <w:r>
        <w:rPr/>
        <w:t>HUDA</w:t>
      </w:r>
      <w:r>
        <w:rPr>
          <w:spacing w:val="-5"/>
        </w:rPr>
        <w:t> </w:t>
      </w:r>
      <w:r>
        <w:rPr/>
        <w:t>collaborated</w:t>
      </w:r>
      <w:r>
        <w:rPr>
          <w:spacing w:val="-2"/>
        </w:rPr>
        <w:t> </w:t>
      </w:r>
      <w:r>
        <w:rPr/>
        <w:t>with</w:t>
      </w:r>
      <w:r>
        <w:rPr>
          <w:spacing w:val="-4"/>
        </w:rPr>
        <w:t> </w:t>
      </w:r>
      <w:r>
        <w:rPr/>
        <w:t>the</w:t>
      </w:r>
      <w:r>
        <w:rPr>
          <w:spacing w:val="-2"/>
        </w:rPr>
        <w:t> </w:t>
      </w:r>
      <w:r>
        <w:rPr/>
        <w:t>Department</w:t>
      </w:r>
      <w:r>
        <w:rPr>
          <w:spacing w:val="-4"/>
        </w:rPr>
        <w:t> </w:t>
      </w:r>
      <w:r>
        <w:rPr/>
        <w:t>of</w:t>
      </w:r>
      <w:r>
        <w:rPr>
          <w:spacing w:val="-2"/>
        </w:rPr>
        <w:t> </w:t>
      </w:r>
      <w:r>
        <w:rPr/>
        <w:t>Aviation</w:t>
      </w:r>
      <w:r>
        <w:rPr>
          <w:spacing w:val="-4"/>
        </w:rPr>
        <w:t> </w:t>
      </w:r>
      <w:r>
        <w:rPr/>
        <w:t>to</w:t>
      </w:r>
      <w:r>
        <w:rPr>
          <w:spacing w:val="-2"/>
        </w:rPr>
        <w:t> </w:t>
      </w:r>
      <w:r>
        <w:rPr/>
        <w:t>offer</w:t>
      </w:r>
      <w:r>
        <w:rPr>
          <w:spacing w:val="-3"/>
        </w:rPr>
        <w:t> </w:t>
      </w:r>
      <w:r>
        <w:rPr/>
        <w:t>a</w:t>
      </w:r>
      <w:r>
        <w:rPr>
          <w:spacing w:val="-4"/>
        </w:rPr>
        <w:t> </w:t>
      </w:r>
      <w:r>
        <w:rPr/>
        <w:t>course in Airport Design. This course, taught by Robert Easter, is a required course in the Airport Management</w:t>
      </w:r>
      <w:r>
        <w:rPr>
          <w:spacing w:val="-3"/>
        </w:rPr>
        <w:t> </w:t>
      </w:r>
      <w:r>
        <w:rPr/>
        <w:t>curriculum,</w:t>
      </w:r>
      <w:r>
        <w:rPr>
          <w:spacing w:val="-3"/>
        </w:rPr>
        <w:t> </w:t>
      </w:r>
      <w:r>
        <w:rPr/>
        <w:t>and</w:t>
      </w:r>
      <w:r>
        <w:rPr>
          <w:spacing w:val="-3"/>
        </w:rPr>
        <w:t> </w:t>
      </w:r>
      <w:r>
        <w:rPr/>
        <w:t>a</w:t>
      </w:r>
      <w:r>
        <w:rPr>
          <w:spacing w:val="-1"/>
        </w:rPr>
        <w:t> </w:t>
      </w:r>
      <w:r>
        <w:rPr/>
        <w:t>graduate</w:t>
      </w:r>
      <w:r>
        <w:rPr>
          <w:spacing w:val="-1"/>
        </w:rPr>
        <w:t> </w:t>
      </w:r>
      <w:r>
        <w:rPr/>
        <w:t>level</w:t>
      </w:r>
      <w:r>
        <w:rPr>
          <w:spacing w:val="-4"/>
        </w:rPr>
        <w:t> </w:t>
      </w:r>
      <w:r>
        <w:rPr/>
        <w:t>architecture</w:t>
      </w:r>
      <w:r>
        <w:rPr>
          <w:spacing w:val="-3"/>
        </w:rPr>
        <w:t> </w:t>
      </w:r>
      <w:r>
        <w:rPr/>
        <w:t>elective</w:t>
      </w:r>
      <w:r>
        <w:rPr>
          <w:spacing w:val="-1"/>
        </w:rPr>
        <w:t> </w:t>
      </w:r>
      <w:r>
        <w:rPr/>
        <w:t>in</w:t>
      </w:r>
      <w:r>
        <w:rPr>
          <w:spacing w:val="-3"/>
        </w:rPr>
        <w:t> </w:t>
      </w:r>
      <w:r>
        <w:rPr/>
        <w:t>the</w:t>
      </w:r>
      <w:r>
        <w:rPr>
          <w:spacing w:val="-1"/>
        </w:rPr>
        <w:t> </w:t>
      </w:r>
      <w:r>
        <w:rPr/>
        <w:t>department.</w:t>
      </w:r>
      <w:r>
        <w:rPr>
          <w:spacing w:val="-5"/>
        </w:rPr>
        <w:t> </w:t>
      </w:r>
      <w:r>
        <w:rPr/>
        <w:t>This course was supported by three local airports (Patrick Henry Regional in Newport News, Norfolk International, and Richmond International</w:t>
      </w:r>
      <w:r>
        <w:rPr>
          <w:spacing w:val="-1"/>
        </w:rPr>
        <w:t> </w:t>
      </w:r>
      <w:r>
        <w:rPr/>
        <w:t>airports). During this academic term, the program also suffered a great loss with the death of our model shop director, Mr. James </w:t>
      </w:r>
      <w:r>
        <w:rPr>
          <w:spacing w:val="-2"/>
        </w:rPr>
        <w:t>Grant.</w:t>
      </w:r>
    </w:p>
    <w:p>
      <w:pPr>
        <w:pStyle w:val="BodyText"/>
        <w:spacing w:before="10"/>
      </w:pPr>
    </w:p>
    <w:p>
      <w:pPr>
        <w:pStyle w:val="BodyText"/>
        <w:spacing w:before="1"/>
        <w:ind w:left="1723" w:right="499"/>
      </w:pPr>
      <w:r>
        <w:rPr/>
        <w:t>That Spring, we initiated, with the support of Profs. Andrews, Kloster and the Gindroz Foundation,</w:t>
      </w:r>
      <w:r>
        <w:rPr>
          <w:spacing w:val="-2"/>
        </w:rPr>
        <w:t> </w:t>
      </w:r>
      <w:r>
        <w:rPr/>
        <w:t>a</w:t>
      </w:r>
      <w:r>
        <w:rPr>
          <w:spacing w:val="-4"/>
        </w:rPr>
        <w:t> </w:t>
      </w:r>
      <w:r>
        <w:rPr/>
        <w:t>Spring</w:t>
      </w:r>
      <w:r>
        <w:rPr>
          <w:spacing w:val="-4"/>
        </w:rPr>
        <w:t> </w:t>
      </w:r>
      <w:r>
        <w:rPr/>
        <w:t>Break trip</w:t>
      </w:r>
      <w:r>
        <w:rPr>
          <w:spacing w:val="-4"/>
        </w:rPr>
        <w:t> </w:t>
      </w:r>
      <w:r>
        <w:rPr/>
        <w:t>to</w:t>
      </w:r>
      <w:r>
        <w:rPr>
          <w:spacing w:val="-4"/>
        </w:rPr>
        <w:t> </w:t>
      </w:r>
      <w:r>
        <w:rPr/>
        <w:t>Seaside</w:t>
      </w:r>
      <w:r>
        <w:rPr>
          <w:spacing w:val="-2"/>
        </w:rPr>
        <w:t> </w:t>
      </w:r>
      <w:r>
        <w:rPr/>
        <w:t>in</w:t>
      </w:r>
      <w:r>
        <w:rPr>
          <w:spacing w:val="-4"/>
        </w:rPr>
        <w:t> </w:t>
      </w:r>
      <w:r>
        <w:rPr/>
        <w:t>Florida</w:t>
      </w:r>
      <w:r>
        <w:rPr>
          <w:spacing w:val="-3"/>
        </w:rPr>
        <w:t> </w:t>
      </w:r>
      <w:r>
        <w:rPr/>
        <w:t>a</w:t>
      </w:r>
      <w:r>
        <w:rPr>
          <w:spacing w:val="-2"/>
        </w:rPr>
        <w:t> </w:t>
      </w:r>
      <w:r>
        <w:rPr/>
        <w:t>travel</w:t>
      </w:r>
      <w:r>
        <w:rPr>
          <w:spacing w:val="-5"/>
        </w:rPr>
        <w:t> </w:t>
      </w:r>
      <w:r>
        <w:rPr/>
        <w:t>opportunity</w:t>
      </w:r>
      <w:r>
        <w:rPr>
          <w:spacing w:val="-7"/>
        </w:rPr>
        <w:t> </w:t>
      </w:r>
      <w:r>
        <w:rPr/>
        <w:t>for</w:t>
      </w:r>
      <w:r>
        <w:rPr>
          <w:spacing w:val="-3"/>
        </w:rPr>
        <w:t> </w:t>
      </w:r>
      <w:r>
        <w:rPr/>
        <w:t>students</w:t>
      </w:r>
      <w:r>
        <w:rPr>
          <w:spacing w:val="-3"/>
        </w:rPr>
        <w:t> </w:t>
      </w:r>
      <w:r>
        <w:rPr/>
        <w:t>to</w:t>
      </w:r>
      <w:r>
        <w:rPr>
          <w:spacing w:val="-2"/>
        </w:rPr>
        <w:t> </w:t>
      </w:r>
      <w:r>
        <w:rPr/>
        <w:t>visit the Seaside Newtown in Florida. This trip provides students an opportunity to stay on site, with grant support from the Seaside developer and the Gindroz Foundation, and receive lectures and demonstration from the town planners.</w:t>
      </w:r>
    </w:p>
    <w:p>
      <w:pPr>
        <w:pStyle w:val="BodyText"/>
        <w:spacing w:before="9"/>
      </w:pPr>
    </w:p>
    <w:p>
      <w:pPr>
        <w:pStyle w:val="BodyText"/>
        <w:ind w:left="1723" w:right="705"/>
      </w:pPr>
      <w:r>
        <w:rPr/>
        <w:t>At</w:t>
      </w:r>
      <w:r>
        <w:rPr>
          <w:spacing w:val="-5"/>
        </w:rPr>
        <w:t> </w:t>
      </w:r>
      <w:r>
        <w:rPr/>
        <w:t>the</w:t>
      </w:r>
      <w:r>
        <w:rPr>
          <w:spacing w:val="-5"/>
        </w:rPr>
        <w:t> </w:t>
      </w:r>
      <w:r>
        <w:rPr/>
        <w:t>beginning</w:t>
      </w:r>
      <w:r>
        <w:rPr>
          <w:spacing w:val="-3"/>
        </w:rPr>
        <w:t> </w:t>
      </w:r>
      <w:r>
        <w:rPr/>
        <w:t>of</w:t>
      </w:r>
      <w:r>
        <w:rPr>
          <w:spacing w:val="-3"/>
        </w:rPr>
        <w:t> </w:t>
      </w:r>
      <w:r>
        <w:rPr/>
        <w:t>the</w:t>
      </w:r>
      <w:r>
        <w:rPr>
          <w:spacing w:val="-3"/>
        </w:rPr>
        <w:t> </w:t>
      </w:r>
      <w:r>
        <w:rPr/>
        <w:t>2013-14</w:t>
      </w:r>
      <w:r>
        <w:rPr>
          <w:spacing w:val="-5"/>
        </w:rPr>
        <w:t> </w:t>
      </w:r>
      <w:r>
        <w:rPr/>
        <w:t>academic</w:t>
      </w:r>
      <w:r>
        <w:rPr>
          <w:spacing w:val="-1"/>
        </w:rPr>
        <w:t> </w:t>
      </w:r>
      <w:r>
        <w:rPr/>
        <w:t>year,</w:t>
      </w:r>
      <w:r>
        <w:rPr>
          <w:spacing w:val="-5"/>
        </w:rPr>
        <w:t> </w:t>
      </w:r>
      <w:r>
        <w:rPr/>
        <w:t>the</w:t>
      </w:r>
      <w:r>
        <w:rPr>
          <w:spacing w:val="-3"/>
        </w:rPr>
        <w:t> </w:t>
      </w:r>
      <w:r>
        <w:rPr/>
        <w:t>department</w:t>
      </w:r>
      <w:r>
        <w:rPr>
          <w:spacing w:val="-5"/>
        </w:rPr>
        <w:t> </w:t>
      </w:r>
      <w:r>
        <w:rPr/>
        <w:t>joined</w:t>
      </w:r>
      <w:r>
        <w:rPr>
          <w:spacing w:val="-3"/>
        </w:rPr>
        <w:t> </w:t>
      </w:r>
      <w:r>
        <w:rPr/>
        <w:t>the</w:t>
      </w:r>
      <w:r>
        <w:rPr>
          <w:spacing w:val="-3"/>
        </w:rPr>
        <w:t> </w:t>
      </w:r>
      <w:r>
        <w:rPr/>
        <w:t>Architecture Research Centers Consortium.</w:t>
      </w:r>
    </w:p>
    <w:p>
      <w:pPr>
        <w:pStyle w:val="BodyText"/>
        <w:rPr>
          <w:sz w:val="21"/>
        </w:rPr>
      </w:pPr>
    </w:p>
    <w:p>
      <w:pPr>
        <w:pStyle w:val="BodyText"/>
        <w:ind w:left="1723" w:right="532"/>
      </w:pPr>
      <w:r>
        <w:rPr/>
        <w:t>In the Spring, 2014, Prof. Andrews presented a paper on the work of our International Urban Design Studio. The work of that program was also highlighted in </w:t>
      </w:r>
      <w:r>
        <w:rPr>
          <w:i/>
        </w:rPr>
        <w:t>Classicist, </w:t>
      </w:r>
      <w:r>
        <w:rPr/>
        <w:t>the quarterly publication of the Institute for Classical Architecture and Art (ICAA). Andrews paper, "Global Immunology: A Potential Cure for Being Twenty", was also published in Globalizing</w:t>
      </w:r>
      <w:r>
        <w:rPr>
          <w:spacing w:val="-4"/>
        </w:rPr>
        <w:t> </w:t>
      </w:r>
      <w:r>
        <w:rPr/>
        <w:t>Architecture:</w:t>
      </w:r>
      <w:r>
        <w:rPr>
          <w:spacing w:val="-6"/>
        </w:rPr>
        <w:t> </w:t>
      </w:r>
      <w:r>
        <w:rPr/>
        <w:t>Flows</w:t>
      </w:r>
      <w:r>
        <w:rPr>
          <w:spacing w:val="-5"/>
        </w:rPr>
        <w:t> </w:t>
      </w:r>
      <w:r>
        <w:rPr/>
        <w:t>and</w:t>
      </w:r>
      <w:r>
        <w:rPr>
          <w:spacing w:val="-4"/>
        </w:rPr>
        <w:t> </w:t>
      </w:r>
      <w:r>
        <w:rPr/>
        <w:t>Disruptions,</w:t>
      </w:r>
      <w:r>
        <w:rPr>
          <w:spacing w:val="-6"/>
        </w:rPr>
        <w:t> </w:t>
      </w:r>
      <w:r>
        <w:rPr/>
        <w:t>102nd</w:t>
      </w:r>
      <w:r>
        <w:rPr>
          <w:spacing w:val="-6"/>
        </w:rPr>
        <w:t> </w:t>
      </w:r>
      <w:r>
        <w:rPr/>
        <w:t>ACSA</w:t>
      </w:r>
      <w:r>
        <w:rPr>
          <w:spacing w:val="-4"/>
        </w:rPr>
        <w:t> </w:t>
      </w:r>
      <w:r>
        <w:rPr/>
        <w:t>Annual</w:t>
      </w:r>
      <w:r>
        <w:rPr>
          <w:spacing w:val="-5"/>
        </w:rPr>
        <w:t> </w:t>
      </w:r>
      <w:r>
        <w:rPr/>
        <w:t>Meeting.</w:t>
      </w:r>
      <w:r>
        <w:rPr>
          <w:spacing w:val="40"/>
        </w:rPr>
        <w:t> </w:t>
      </w:r>
      <w:r>
        <w:rPr/>
        <w:t>Association of Collegiate Schools of Architecture (Washington): 2014.</w:t>
      </w:r>
    </w:p>
    <w:p>
      <w:pPr>
        <w:pStyle w:val="BodyText"/>
        <w:spacing w:before="8"/>
      </w:pPr>
    </w:p>
    <w:p>
      <w:pPr>
        <w:pStyle w:val="BodyText"/>
        <w:ind w:left="1219" w:right="493"/>
      </w:pPr>
      <w:r>
        <w:rPr/>
        <w:t>These highlights are offered to show the depth and breadth of our program, the diversity of our offerings,</w:t>
      </w:r>
      <w:r>
        <w:rPr>
          <w:spacing w:val="-4"/>
        </w:rPr>
        <w:t> </w:t>
      </w:r>
      <w:r>
        <w:rPr/>
        <w:t>the</w:t>
      </w:r>
      <w:r>
        <w:rPr>
          <w:spacing w:val="-4"/>
        </w:rPr>
        <w:t> </w:t>
      </w:r>
      <w:r>
        <w:rPr/>
        <w:t>challenges</w:t>
      </w:r>
      <w:r>
        <w:rPr>
          <w:spacing w:val="-3"/>
        </w:rPr>
        <w:t> </w:t>
      </w:r>
      <w:r>
        <w:rPr/>
        <w:t>that</w:t>
      </w:r>
      <w:r>
        <w:rPr>
          <w:spacing w:val="-2"/>
        </w:rPr>
        <w:t> </w:t>
      </w:r>
      <w:r>
        <w:rPr/>
        <w:t>we</w:t>
      </w:r>
      <w:r>
        <w:rPr>
          <w:spacing w:val="-2"/>
        </w:rPr>
        <w:t> </w:t>
      </w:r>
      <w:r>
        <w:rPr/>
        <w:t>have</w:t>
      </w:r>
      <w:r>
        <w:rPr>
          <w:spacing w:val="-2"/>
        </w:rPr>
        <w:t> </w:t>
      </w:r>
      <w:r>
        <w:rPr/>
        <w:t>overcome</w:t>
      </w:r>
      <w:r>
        <w:rPr>
          <w:spacing w:val="-4"/>
        </w:rPr>
        <w:t> </w:t>
      </w:r>
      <w:r>
        <w:rPr/>
        <w:t>and</w:t>
      </w:r>
      <w:r>
        <w:rPr>
          <w:spacing w:val="-4"/>
        </w:rPr>
        <w:t> </w:t>
      </w:r>
      <w:r>
        <w:rPr/>
        <w:t>the</w:t>
      </w:r>
      <w:r>
        <w:rPr>
          <w:spacing w:val="-4"/>
        </w:rPr>
        <w:t> </w:t>
      </w:r>
      <w:r>
        <w:rPr/>
        <w:t>commitment</w:t>
      </w:r>
      <w:r>
        <w:rPr>
          <w:spacing w:val="-4"/>
        </w:rPr>
        <w:t> </w:t>
      </w:r>
      <w:r>
        <w:rPr/>
        <w:t>that</w:t>
      </w:r>
      <w:r>
        <w:rPr>
          <w:spacing w:val="-2"/>
        </w:rPr>
        <w:t> </w:t>
      </w:r>
      <w:r>
        <w:rPr/>
        <w:t>we</w:t>
      </w:r>
      <w:r>
        <w:rPr>
          <w:spacing w:val="-4"/>
        </w:rPr>
        <w:t> </w:t>
      </w:r>
      <w:r>
        <w:rPr/>
        <w:t>continue</w:t>
      </w:r>
      <w:r>
        <w:rPr>
          <w:spacing w:val="-4"/>
        </w:rPr>
        <w:t> </w:t>
      </w:r>
      <w:r>
        <w:rPr/>
        <w:t>to</w:t>
      </w:r>
      <w:r>
        <w:rPr>
          <w:spacing w:val="-2"/>
        </w:rPr>
        <w:t> </w:t>
      </w:r>
      <w:r>
        <w:rPr/>
        <w:t>show</w:t>
      </w:r>
      <w:r>
        <w:rPr>
          <w:spacing w:val="-6"/>
        </w:rPr>
        <w:t> </w:t>
      </w:r>
      <w:r>
        <w:rPr/>
        <w:t>to creatively and innovatively bring excellence to the process of architectural education. Our</w:t>
      </w:r>
      <w:r>
        <w:rPr/>
        <w:t> program is committed to academic excellence, the development of design professionals who are competent in their fields, but also leaders in their communities. We seek those qualities in our</w:t>
      </w:r>
    </w:p>
    <w:p>
      <w:pPr>
        <w:spacing w:after="0"/>
        <w:sectPr>
          <w:pgSz w:w="12240" w:h="15840"/>
          <w:pgMar w:header="0" w:footer="974" w:top="1360" w:bottom="1160" w:left="940" w:right="960"/>
        </w:sectPr>
      </w:pPr>
    </w:p>
    <w:p>
      <w:pPr>
        <w:pStyle w:val="BodyText"/>
        <w:spacing w:before="77"/>
        <w:ind w:left="1220" w:right="499"/>
      </w:pPr>
      <w:r>
        <w:rPr/>
        <w:t>faculty, and support their engagement in the broader professional, social, political and cultural arenas.</w:t>
      </w:r>
      <w:r>
        <w:rPr>
          <w:spacing w:val="-6"/>
        </w:rPr>
        <w:t> </w:t>
      </w:r>
      <w:r>
        <w:rPr/>
        <w:t>We</w:t>
      </w:r>
      <w:r>
        <w:rPr>
          <w:spacing w:val="-7"/>
        </w:rPr>
        <w:t> </w:t>
      </w:r>
      <w:r>
        <w:rPr/>
        <w:t>model</w:t>
      </w:r>
      <w:r>
        <w:rPr>
          <w:spacing w:val="-5"/>
        </w:rPr>
        <w:t> </w:t>
      </w:r>
      <w:r>
        <w:rPr/>
        <w:t>these</w:t>
      </w:r>
      <w:r>
        <w:rPr>
          <w:spacing w:val="-2"/>
        </w:rPr>
        <w:t> </w:t>
      </w:r>
      <w:r>
        <w:rPr/>
        <w:t>attributes and</w:t>
      </w:r>
      <w:r>
        <w:rPr>
          <w:spacing w:val="-2"/>
        </w:rPr>
        <w:t> </w:t>
      </w:r>
      <w:r>
        <w:rPr/>
        <w:t>provide</w:t>
      </w:r>
      <w:r>
        <w:rPr>
          <w:spacing w:val="-4"/>
        </w:rPr>
        <w:t> </w:t>
      </w:r>
      <w:r>
        <w:rPr/>
        <w:t>opportunities</w:t>
      </w:r>
      <w:r>
        <w:rPr>
          <w:spacing w:val="-3"/>
        </w:rPr>
        <w:t> </w:t>
      </w:r>
      <w:r>
        <w:rPr/>
        <w:t>for</w:t>
      </w:r>
      <w:r>
        <w:rPr>
          <w:spacing w:val="-3"/>
        </w:rPr>
        <w:t> </w:t>
      </w:r>
      <w:r>
        <w:rPr/>
        <w:t>our</w:t>
      </w:r>
      <w:r>
        <w:rPr>
          <w:spacing w:val="-3"/>
        </w:rPr>
        <w:t> </w:t>
      </w:r>
      <w:r>
        <w:rPr/>
        <w:t>students</w:t>
      </w:r>
      <w:r>
        <w:rPr>
          <w:spacing w:val="-3"/>
        </w:rPr>
        <w:t> </w:t>
      </w:r>
      <w:r>
        <w:rPr/>
        <w:t>to</w:t>
      </w:r>
      <w:r>
        <w:rPr>
          <w:spacing w:val="-2"/>
        </w:rPr>
        <w:t> </w:t>
      </w:r>
      <w:r>
        <w:rPr/>
        <w:t>display</w:t>
      </w:r>
      <w:r>
        <w:rPr>
          <w:spacing w:val="-7"/>
        </w:rPr>
        <w:t> </w:t>
      </w:r>
      <w:r>
        <w:rPr/>
        <w:t>them in</w:t>
      </w:r>
      <w:r>
        <w:rPr>
          <w:spacing w:val="-4"/>
        </w:rPr>
        <w:t> </w:t>
      </w:r>
      <w:r>
        <w:rPr/>
        <w:t>a variety of forums, both in-house and in public settings.</w:t>
      </w:r>
    </w:p>
    <w:p>
      <w:pPr>
        <w:pStyle w:val="BodyText"/>
        <w:spacing w:before="6"/>
      </w:pPr>
    </w:p>
    <w:p>
      <w:pPr>
        <w:spacing w:before="0"/>
        <w:ind w:left="499" w:right="0" w:firstLine="0"/>
        <w:jc w:val="left"/>
        <w:rPr>
          <w:b/>
          <w:sz w:val="20"/>
        </w:rPr>
      </w:pPr>
      <w:r>
        <w:rPr>
          <w:b/>
          <w:sz w:val="20"/>
        </w:rPr>
        <w:t>Mission</w:t>
      </w:r>
      <w:r>
        <w:rPr>
          <w:b/>
          <w:spacing w:val="-8"/>
          <w:sz w:val="20"/>
        </w:rPr>
        <w:t> </w:t>
      </w:r>
      <w:r>
        <w:rPr>
          <w:b/>
          <w:spacing w:val="-2"/>
          <w:sz w:val="20"/>
        </w:rPr>
        <w:t>Statement</w:t>
      </w:r>
    </w:p>
    <w:p>
      <w:pPr>
        <w:pStyle w:val="BodyText"/>
        <w:spacing w:before="2"/>
        <w:rPr>
          <w:b/>
          <w:sz w:val="21"/>
        </w:rPr>
      </w:pPr>
    </w:p>
    <w:p>
      <w:pPr>
        <w:pStyle w:val="BodyText"/>
        <w:ind w:left="1219" w:right="546"/>
      </w:pPr>
      <w:r>
        <w:rPr/>
        <w:t>During the past six years, we have operated with two mission statements. The first was adopted in 2001 by</w:t>
      </w:r>
      <w:r>
        <w:rPr>
          <w:spacing w:val="-1"/>
        </w:rPr>
        <w:t> </w:t>
      </w:r>
      <w:r>
        <w:rPr/>
        <w:t>the faculty. Later, in 2012, the faculty</w:t>
      </w:r>
      <w:r>
        <w:rPr>
          <w:spacing w:val="-1"/>
        </w:rPr>
        <w:t> </w:t>
      </w:r>
      <w:r>
        <w:rPr/>
        <w:t>again met to discuss the strength, direction and value of the program, and in a forum moderated by one of our Advisory Board colleagues, Kathryn</w:t>
      </w:r>
      <w:r>
        <w:rPr>
          <w:spacing w:val="-3"/>
        </w:rPr>
        <w:t> </w:t>
      </w:r>
      <w:r>
        <w:rPr/>
        <w:t>Prigmore</w:t>
      </w:r>
      <w:r>
        <w:rPr>
          <w:spacing w:val="-4"/>
        </w:rPr>
        <w:t> </w:t>
      </w:r>
      <w:r>
        <w:rPr/>
        <w:t>Tyler,</w:t>
      </w:r>
      <w:r>
        <w:rPr>
          <w:spacing w:val="-4"/>
        </w:rPr>
        <w:t> </w:t>
      </w:r>
      <w:r>
        <w:rPr/>
        <w:t>FAIA,</w:t>
      </w:r>
      <w:r>
        <w:rPr>
          <w:spacing w:val="-3"/>
        </w:rPr>
        <w:t> </w:t>
      </w:r>
      <w:r>
        <w:rPr/>
        <w:t>we</w:t>
      </w:r>
      <w:r>
        <w:rPr>
          <w:spacing w:val="-4"/>
        </w:rPr>
        <w:t> </w:t>
      </w:r>
      <w:r>
        <w:rPr/>
        <w:t>reviewed</w:t>
      </w:r>
      <w:r>
        <w:rPr>
          <w:spacing w:val="-3"/>
        </w:rPr>
        <w:t> </w:t>
      </w:r>
      <w:r>
        <w:rPr/>
        <w:t>and</w:t>
      </w:r>
      <w:r>
        <w:rPr>
          <w:spacing w:val="-3"/>
        </w:rPr>
        <w:t> </w:t>
      </w:r>
      <w:r>
        <w:rPr/>
        <w:t>modified</w:t>
      </w:r>
      <w:r>
        <w:rPr>
          <w:spacing w:val="-4"/>
        </w:rPr>
        <w:t> </w:t>
      </w:r>
      <w:r>
        <w:rPr/>
        <w:t>that</w:t>
      </w:r>
      <w:r>
        <w:rPr>
          <w:spacing w:val="-4"/>
        </w:rPr>
        <w:t> </w:t>
      </w:r>
      <w:r>
        <w:rPr/>
        <w:t>Mission</w:t>
      </w:r>
      <w:r>
        <w:rPr>
          <w:spacing w:val="-4"/>
        </w:rPr>
        <w:t> </w:t>
      </w:r>
      <w:r>
        <w:rPr/>
        <w:t>Statement.</w:t>
      </w:r>
      <w:r>
        <w:rPr>
          <w:spacing w:val="-3"/>
        </w:rPr>
        <w:t> </w:t>
      </w:r>
      <w:r>
        <w:rPr/>
        <w:t>Our</w:t>
      </w:r>
      <w:r>
        <w:rPr>
          <w:spacing w:val="-4"/>
        </w:rPr>
        <w:t> </w:t>
      </w:r>
      <w:r>
        <w:rPr/>
        <w:t>aim was</w:t>
      </w:r>
      <w:r>
        <w:rPr>
          <w:spacing w:val="-4"/>
        </w:rPr>
        <w:t> </w:t>
      </w:r>
      <w:r>
        <w:rPr/>
        <w:t>to be more succinct, and adjusted to present and future conditions, needs and the demands of the industry. We developed the following statement:</w:t>
      </w:r>
    </w:p>
    <w:p>
      <w:pPr>
        <w:pStyle w:val="BodyText"/>
        <w:spacing w:before="8"/>
      </w:pPr>
    </w:p>
    <w:p>
      <w:pPr>
        <w:spacing w:before="0"/>
        <w:ind w:left="1939" w:right="499" w:firstLine="0"/>
        <w:jc w:val="left"/>
        <w:rPr>
          <w:b/>
          <w:sz w:val="20"/>
        </w:rPr>
      </w:pPr>
      <w:r>
        <w:rPr>
          <w:b/>
          <w:sz w:val="20"/>
        </w:rPr>
        <w:t>“With</w:t>
      </w:r>
      <w:r>
        <w:rPr>
          <w:b/>
          <w:spacing w:val="-4"/>
          <w:sz w:val="20"/>
        </w:rPr>
        <w:t> </w:t>
      </w:r>
      <w:r>
        <w:rPr>
          <w:b/>
          <w:sz w:val="20"/>
        </w:rPr>
        <w:t>a</w:t>
      </w:r>
      <w:r>
        <w:rPr>
          <w:b/>
          <w:spacing w:val="-5"/>
          <w:sz w:val="20"/>
        </w:rPr>
        <w:t> </w:t>
      </w:r>
      <w:r>
        <w:rPr>
          <w:b/>
          <w:sz w:val="20"/>
        </w:rPr>
        <w:t>critical,</w:t>
      </w:r>
      <w:r>
        <w:rPr>
          <w:b/>
          <w:spacing w:val="-5"/>
          <w:sz w:val="20"/>
        </w:rPr>
        <w:t> </w:t>
      </w:r>
      <w:r>
        <w:rPr>
          <w:b/>
          <w:sz w:val="20"/>
        </w:rPr>
        <w:t>holistic</w:t>
      </w:r>
      <w:r>
        <w:rPr>
          <w:b/>
          <w:spacing w:val="-5"/>
          <w:sz w:val="20"/>
        </w:rPr>
        <w:t> </w:t>
      </w:r>
      <w:r>
        <w:rPr>
          <w:b/>
          <w:sz w:val="20"/>
        </w:rPr>
        <w:t>approach</w:t>
      </w:r>
      <w:r>
        <w:rPr>
          <w:b/>
          <w:spacing w:val="-4"/>
          <w:sz w:val="20"/>
        </w:rPr>
        <w:t> </w:t>
      </w:r>
      <w:r>
        <w:rPr>
          <w:b/>
          <w:sz w:val="20"/>
        </w:rPr>
        <w:t>to</w:t>
      </w:r>
      <w:r>
        <w:rPr>
          <w:b/>
          <w:spacing w:val="-4"/>
          <w:sz w:val="20"/>
        </w:rPr>
        <w:t> </w:t>
      </w:r>
      <w:r>
        <w:rPr>
          <w:b/>
          <w:sz w:val="20"/>
        </w:rPr>
        <w:t>the</w:t>
      </w:r>
      <w:r>
        <w:rPr>
          <w:b/>
          <w:spacing w:val="-5"/>
          <w:sz w:val="20"/>
        </w:rPr>
        <w:t> </w:t>
      </w:r>
      <w:r>
        <w:rPr>
          <w:b/>
          <w:sz w:val="20"/>
        </w:rPr>
        <w:t>profession,</w:t>
      </w:r>
      <w:r>
        <w:rPr>
          <w:b/>
          <w:spacing w:val="-5"/>
          <w:sz w:val="20"/>
        </w:rPr>
        <w:t> </w:t>
      </w:r>
      <w:r>
        <w:rPr>
          <w:b/>
          <w:sz w:val="20"/>
        </w:rPr>
        <w:t>the</w:t>
      </w:r>
      <w:r>
        <w:rPr>
          <w:b/>
          <w:spacing w:val="-5"/>
          <w:sz w:val="20"/>
        </w:rPr>
        <w:t> </w:t>
      </w:r>
      <w:r>
        <w:rPr>
          <w:b/>
          <w:sz w:val="20"/>
        </w:rPr>
        <w:t>Department</w:t>
      </w:r>
      <w:r>
        <w:rPr>
          <w:b/>
          <w:spacing w:val="-4"/>
          <w:sz w:val="20"/>
        </w:rPr>
        <w:t> </w:t>
      </w:r>
      <w:r>
        <w:rPr>
          <w:b/>
          <w:sz w:val="20"/>
        </w:rPr>
        <w:t>of Architecture at Hampton University prepares students to lead the changing practice of architecture with thoughtful inquiry into tectonics, resources, and place-making, responding to urban, environmental, and historical contexts.”</w:t>
      </w:r>
    </w:p>
    <w:p>
      <w:pPr>
        <w:pStyle w:val="BodyText"/>
        <w:spacing w:before="2"/>
        <w:rPr>
          <w:b/>
          <w:sz w:val="21"/>
        </w:rPr>
      </w:pPr>
    </w:p>
    <w:p>
      <w:pPr>
        <w:pStyle w:val="BodyText"/>
        <w:ind w:left="1219" w:right="486"/>
      </w:pPr>
      <w:r>
        <w:rPr/>
        <w:t>The</w:t>
      </w:r>
      <w:r>
        <w:rPr>
          <w:spacing w:val="-3"/>
        </w:rPr>
        <w:t> </w:t>
      </w:r>
      <w:r>
        <w:rPr/>
        <w:t>HUDA</w:t>
      </w:r>
      <w:r>
        <w:rPr>
          <w:spacing w:val="-4"/>
        </w:rPr>
        <w:t> </w:t>
      </w:r>
      <w:r>
        <w:rPr/>
        <w:t>strongly</w:t>
      </w:r>
      <w:r>
        <w:rPr>
          <w:spacing w:val="-6"/>
        </w:rPr>
        <w:t> </w:t>
      </w:r>
      <w:r>
        <w:rPr/>
        <w:t>believes</w:t>
      </w:r>
      <w:r>
        <w:rPr>
          <w:spacing w:val="-2"/>
        </w:rPr>
        <w:t> </w:t>
      </w:r>
      <w:r>
        <w:rPr/>
        <w:t>in</w:t>
      </w:r>
      <w:r>
        <w:rPr>
          <w:spacing w:val="-3"/>
        </w:rPr>
        <w:t> </w:t>
      </w:r>
      <w:r>
        <w:rPr/>
        <w:t>the</w:t>
      </w:r>
      <w:r>
        <w:rPr>
          <w:spacing w:val="-3"/>
        </w:rPr>
        <w:t> </w:t>
      </w:r>
      <w:r>
        <w:rPr/>
        <w:t>architect</w:t>
      </w:r>
      <w:r>
        <w:rPr>
          <w:spacing w:val="-3"/>
        </w:rPr>
        <w:t> </w:t>
      </w:r>
      <w:r>
        <w:rPr/>
        <w:t>as</w:t>
      </w:r>
      <w:r>
        <w:rPr>
          <w:spacing w:val="-2"/>
        </w:rPr>
        <w:t> </w:t>
      </w:r>
      <w:r>
        <w:rPr/>
        <w:t>a</w:t>
      </w:r>
      <w:r>
        <w:rPr>
          <w:spacing w:val="-1"/>
        </w:rPr>
        <w:t> </w:t>
      </w:r>
      <w:r>
        <w:rPr/>
        <w:t>leader</w:t>
      </w:r>
      <w:r>
        <w:rPr>
          <w:spacing w:val="-2"/>
        </w:rPr>
        <w:t> </w:t>
      </w:r>
      <w:r>
        <w:rPr/>
        <w:t>who</w:t>
      </w:r>
      <w:r>
        <w:rPr>
          <w:spacing w:val="-3"/>
        </w:rPr>
        <w:t> </w:t>
      </w:r>
      <w:r>
        <w:rPr/>
        <w:t>must</w:t>
      </w:r>
      <w:r>
        <w:rPr>
          <w:spacing w:val="-3"/>
        </w:rPr>
        <w:t> </w:t>
      </w:r>
      <w:r>
        <w:rPr/>
        <w:t>bring</w:t>
      </w:r>
      <w:r>
        <w:rPr>
          <w:spacing w:val="-3"/>
        </w:rPr>
        <w:t> </w:t>
      </w:r>
      <w:r>
        <w:rPr/>
        <w:t>together</w:t>
      </w:r>
      <w:r>
        <w:rPr>
          <w:spacing w:val="-2"/>
        </w:rPr>
        <w:t> </w:t>
      </w:r>
      <w:r>
        <w:rPr/>
        <w:t>a</w:t>
      </w:r>
      <w:r>
        <w:rPr>
          <w:spacing w:val="-1"/>
        </w:rPr>
        <w:t> </w:t>
      </w:r>
      <w:r>
        <w:rPr/>
        <w:t>broad</w:t>
      </w:r>
      <w:r>
        <w:rPr>
          <w:spacing w:val="-3"/>
        </w:rPr>
        <w:t> </w:t>
      </w:r>
      <w:r>
        <w:rPr/>
        <w:t>range</w:t>
      </w:r>
      <w:r>
        <w:rPr>
          <w:spacing w:val="-3"/>
        </w:rPr>
        <w:t> </w:t>
      </w:r>
      <w:r>
        <w:rPr/>
        <w:t>of skills to solve building design, urban design, and community development problems. The Department of Architecture is focused on delivering a strong professional program leading to a professional degree, located within a small liberal arts oriented university.</w:t>
      </w:r>
    </w:p>
    <w:p>
      <w:pPr>
        <w:pStyle w:val="BodyText"/>
        <w:spacing w:before="10"/>
      </w:pPr>
    </w:p>
    <w:p>
      <w:pPr>
        <w:pStyle w:val="BodyText"/>
        <w:ind w:left="1219" w:right="546"/>
      </w:pPr>
      <w:r>
        <w:rPr/>
        <w:t>The Department is unique in that it is one of the few architecture programs to be located on the campus of a Historically Black College or University (HBCU).</w:t>
      </w:r>
      <w:r>
        <w:rPr>
          <w:spacing w:val="40"/>
        </w:rPr>
        <w:t> </w:t>
      </w:r>
      <w:r>
        <w:rPr/>
        <w:t>Within the tradition of the HBCU, we explore the questions of African American identity in design and other cultural, technical and social</w:t>
      </w:r>
      <w:r>
        <w:rPr>
          <w:spacing w:val="-5"/>
        </w:rPr>
        <w:t> </w:t>
      </w:r>
      <w:r>
        <w:rPr/>
        <w:t>factors</w:t>
      </w:r>
      <w:r>
        <w:rPr>
          <w:spacing w:val="-3"/>
        </w:rPr>
        <w:t> </w:t>
      </w:r>
      <w:r>
        <w:rPr/>
        <w:t>in</w:t>
      </w:r>
      <w:r>
        <w:rPr>
          <w:spacing w:val="-2"/>
        </w:rPr>
        <w:t> </w:t>
      </w:r>
      <w:r>
        <w:rPr/>
        <w:t>architecture.</w:t>
      </w:r>
      <w:r>
        <w:rPr>
          <w:spacing w:val="40"/>
        </w:rPr>
        <w:t> </w:t>
      </w:r>
      <w:r>
        <w:rPr/>
        <w:t>We</w:t>
      </w:r>
      <w:r>
        <w:rPr>
          <w:spacing w:val="-4"/>
        </w:rPr>
        <w:t> </w:t>
      </w:r>
      <w:r>
        <w:rPr/>
        <w:t>provide</w:t>
      </w:r>
      <w:r>
        <w:rPr>
          <w:spacing w:val="-2"/>
        </w:rPr>
        <w:t> </w:t>
      </w:r>
      <w:r>
        <w:rPr/>
        <w:t>the</w:t>
      </w:r>
      <w:r>
        <w:rPr>
          <w:spacing w:val="-2"/>
        </w:rPr>
        <w:t> </w:t>
      </w:r>
      <w:r>
        <w:rPr/>
        <w:t>educational</w:t>
      </w:r>
      <w:r>
        <w:rPr>
          <w:spacing w:val="-5"/>
        </w:rPr>
        <w:t> </w:t>
      </w:r>
      <w:r>
        <w:rPr/>
        <w:t>framework for</w:t>
      </w:r>
      <w:r>
        <w:rPr>
          <w:spacing w:val="-3"/>
        </w:rPr>
        <w:t> </w:t>
      </w:r>
      <w:r>
        <w:rPr/>
        <w:t>the</w:t>
      </w:r>
      <w:r>
        <w:rPr>
          <w:spacing w:val="-4"/>
        </w:rPr>
        <w:t> </w:t>
      </w:r>
      <w:r>
        <w:rPr/>
        <w:t>emerging</w:t>
      </w:r>
      <w:r>
        <w:rPr>
          <w:spacing w:val="-2"/>
        </w:rPr>
        <w:t> </w:t>
      </w:r>
      <w:r>
        <w:rPr/>
        <w:t>leadership roles of the student architect in the profession and society.</w:t>
      </w:r>
      <w:r>
        <w:rPr>
          <w:spacing w:val="40"/>
        </w:rPr>
        <w:t> </w:t>
      </w:r>
      <w:r>
        <w:rPr/>
        <w:t>Our rich and diverse student and faculty backgrounds allow us to contribute to the awareness of, and ability to work with, diverse </w:t>
      </w:r>
      <w:r>
        <w:rPr>
          <w:spacing w:val="-2"/>
        </w:rPr>
        <w:t>groups.</w:t>
      </w:r>
    </w:p>
    <w:p>
      <w:pPr>
        <w:pStyle w:val="BodyText"/>
        <w:spacing w:before="11"/>
      </w:pPr>
    </w:p>
    <w:p>
      <w:pPr>
        <w:pStyle w:val="BodyText"/>
        <w:ind w:left="1939" w:right="499"/>
      </w:pPr>
      <w:r>
        <w:rPr/>
        <w:t>We</w:t>
      </w:r>
      <w:r>
        <w:rPr>
          <w:spacing w:val="-7"/>
        </w:rPr>
        <w:t> </w:t>
      </w:r>
      <w:r>
        <w:rPr/>
        <w:t>are</w:t>
      </w:r>
      <w:r>
        <w:rPr>
          <w:spacing w:val="-4"/>
        </w:rPr>
        <w:t> </w:t>
      </w:r>
      <w:r>
        <w:rPr/>
        <w:t>about</w:t>
      </w:r>
      <w:r>
        <w:rPr>
          <w:spacing w:val="-2"/>
        </w:rPr>
        <w:t> </w:t>
      </w:r>
      <w:r>
        <w:rPr/>
        <w:t>the</w:t>
      </w:r>
      <w:r>
        <w:rPr>
          <w:spacing w:val="-4"/>
        </w:rPr>
        <w:t> </w:t>
      </w:r>
      <w:r>
        <w:rPr/>
        <w:t>connection</w:t>
      </w:r>
      <w:r>
        <w:rPr>
          <w:spacing w:val="-4"/>
        </w:rPr>
        <w:t> </w:t>
      </w:r>
      <w:r>
        <w:rPr/>
        <w:t>of</w:t>
      </w:r>
      <w:r>
        <w:rPr>
          <w:spacing w:val="-2"/>
        </w:rPr>
        <w:t> </w:t>
      </w:r>
      <w:r>
        <w:rPr/>
        <w:t>analytical,</w:t>
      </w:r>
      <w:r>
        <w:rPr>
          <w:spacing w:val="-3"/>
        </w:rPr>
        <w:t> </w:t>
      </w:r>
      <w:r>
        <w:rPr/>
        <w:t>creative,</w:t>
      </w:r>
      <w:r>
        <w:rPr>
          <w:spacing w:val="-4"/>
        </w:rPr>
        <w:t> </w:t>
      </w:r>
      <w:r>
        <w:rPr/>
        <w:t>and</w:t>
      </w:r>
      <w:r>
        <w:rPr>
          <w:spacing w:val="-4"/>
        </w:rPr>
        <w:t> </w:t>
      </w:r>
      <w:r>
        <w:rPr/>
        <w:t>most</w:t>
      </w:r>
      <w:r>
        <w:rPr>
          <w:spacing w:val="-4"/>
        </w:rPr>
        <w:t> </w:t>
      </w:r>
      <w:r>
        <w:rPr/>
        <w:t>importantly,</w:t>
      </w:r>
      <w:r>
        <w:rPr>
          <w:spacing w:val="-4"/>
        </w:rPr>
        <w:t> </w:t>
      </w:r>
      <w:r>
        <w:rPr/>
        <w:t>critical</w:t>
      </w:r>
      <w:r>
        <w:rPr>
          <w:spacing w:val="-2"/>
        </w:rPr>
        <w:t> </w:t>
      </w:r>
      <w:r>
        <w:rPr/>
        <w:t>thinking to professional and technical education. Form and place as the result of strong methods and process.</w:t>
      </w:r>
    </w:p>
    <w:p>
      <w:pPr>
        <w:pStyle w:val="BodyText"/>
        <w:spacing w:before="9"/>
      </w:pPr>
    </w:p>
    <w:p>
      <w:pPr>
        <w:pStyle w:val="BodyText"/>
        <w:ind w:left="1939" w:right="705"/>
      </w:pPr>
      <w:r>
        <w:rPr/>
        <w:t>We</w:t>
      </w:r>
      <w:r>
        <w:rPr>
          <w:spacing w:val="-8"/>
        </w:rPr>
        <w:t> </w:t>
      </w:r>
      <w:r>
        <w:rPr/>
        <w:t>are</w:t>
      </w:r>
      <w:r>
        <w:rPr>
          <w:spacing w:val="-5"/>
        </w:rPr>
        <w:t> </w:t>
      </w:r>
      <w:r>
        <w:rPr/>
        <w:t>about</w:t>
      </w:r>
      <w:r>
        <w:rPr>
          <w:spacing w:val="-5"/>
        </w:rPr>
        <w:t> </w:t>
      </w:r>
      <w:r>
        <w:rPr/>
        <w:t>socio-cultural</w:t>
      </w:r>
      <w:r>
        <w:rPr>
          <w:spacing w:val="-4"/>
        </w:rPr>
        <w:t> </w:t>
      </w:r>
      <w:r>
        <w:rPr/>
        <w:t>issues</w:t>
      </w:r>
      <w:r>
        <w:rPr>
          <w:spacing w:val="-4"/>
        </w:rPr>
        <w:t> </w:t>
      </w:r>
      <w:r>
        <w:rPr/>
        <w:t>in</w:t>
      </w:r>
      <w:r>
        <w:rPr>
          <w:spacing w:val="-3"/>
        </w:rPr>
        <w:t> </w:t>
      </w:r>
      <w:r>
        <w:rPr/>
        <w:t>architecture</w:t>
      </w:r>
      <w:r>
        <w:rPr>
          <w:spacing w:val="-5"/>
        </w:rPr>
        <w:t> </w:t>
      </w:r>
      <w:r>
        <w:rPr/>
        <w:t>and</w:t>
      </w:r>
      <w:r>
        <w:rPr>
          <w:spacing w:val="-3"/>
        </w:rPr>
        <w:t> </w:t>
      </w:r>
      <w:r>
        <w:rPr/>
        <w:t>environmental</w:t>
      </w:r>
      <w:r>
        <w:rPr>
          <w:spacing w:val="-4"/>
        </w:rPr>
        <w:t> </w:t>
      </w:r>
      <w:r>
        <w:rPr/>
        <w:t>design</w:t>
      </w:r>
      <w:r>
        <w:rPr>
          <w:spacing w:val="-4"/>
        </w:rPr>
        <w:t> </w:t>
      </w:r>
      <w:r>
        <w:rPr/>
        <w:t>Form</w:t>
      </w:r>
      <w:r>
        <w:rPr>
          <w:spacing w:val="-3"/>
        </w:rPr>
        <w:t> </w:t>
      </w:r>
      <w:r>
        <w:rPr/>
        <w:t>and place as they connect to socio-cultural methodologies.</w:t>
      </w:r>
    </w:p>
    <w:p>
      <w:pPr>
        <w:pStyle w:val="BodyText"/>
        <w:spacing w:before="10"/>
      </w:pPr>
    </w:p>
    <w:p>
      <w:pPr>
        <w:pStyle w:val="BodyText"/>
        <w:spacing w:before="1"/>
        <w:ind w:left="1939" w:right="705"/>
      </w:pPr>
      <w:r>
        <w:rPr/>
        <w:t>We</w:t>
      </w:r>
      <w:r>
        <w:rPr>
          <w:spacing w:val="-7"/>
        </w:rPr>
        <w:t> </w:t>
      </w:r>
      <w:r>
        <w:rPr/>
        <w:t>are</w:t>
      </w:r>
      <w:r>
        <w:rPr>
          <w:spacing w:val="-4"/>
        </w:rPr>
        <w:t> </w:t>
      </w:r>
      <w:r>
        <w:rPr/>
        <w:t>about</w:t>
      </w:r>
      <w:r>
        <w:rPr>
          <w:spacing w:val="-2"/>
        </w:rPr>
        <w:t> </w:t>
      </w:r>
      <w:r>
        <w:rPr/>
        <w:t>environmental</w:t>
      </w:r>
      <w:r>
        <w:rPr>
          <w:spacing w:val="-5"/>
        </w:rPr>
        <w:t> </w:t>
      </w:r>
      <w:r>
        <w:rPr/>
        <w:t>design</w:t>
      </w:r>
      <w:r>
        <w:rPr>
          <w:spacing w:val="-4"/>
        </w:rPr>
        <w:t> </w:t>
      </w:r>
      <w:r>
        <w:rPr/>
        <w:t>ethics</w:t>
      </w:r>
      <w:r>
        <w:rPr>
          <w:spacing w:val="-3"/>
        </w:rPr>
        <w:t> </w:t>
      </w:r>
      <w:r>
        <w:rPr/>
        <w:t>and</w:t>
      </w:r>
      <w:r>
        <w:rPr>
          <w:spacing w:val="-4"/>
        </w:rPr>
        <w:t> </w:t>
      </w:r>
      <w:r>
        <w:rPr/>
        <w:t>leadership.</w:t>
      </w:r>
      <w:r>
        <w:rPr>
          <w:spacing w:val="-3"/>
        </w:rPr>
        <w:t> </w:t>
      </w:r>
      <w:r>
        <w:rPr/>
        <w:t>Form and</w:t>
      </w:r>
      <w:r>
        <w:rPr>
          <w:spacing w:val="-4"/>
        </w:rPr>
        <w:t> </w:t>
      </w:r>
      <w:r>
        <w:rPr/>
        <w:t>place</w:t>
      </w:r>
      <w:r>
        <w:rPr>
          <w:spacing w:val="-2"/>
        </w:rPr>
        <w:t> </w:t>
      </w:r>
      <w:r>
        <w:rPr/>
        <w:t>as</w:t>
      </w:r>
      <w:r>
        <w:rPr>
          <w:spacing w:val="-3"/>
        </w:rPr>
        <w:t> </w:t>
      </w:r>
      <w:r>
        <w:rPr/>
        <w:t>part</w:t>
      </w:r>
      <w:r>
        <w:rPr>
          <w:spacing w:val="-4"/>
        </w:rPr>
        <w:t> </w:t>
      </w:r>
      <w:r>
        <w:rPr/>
        <w:t>of earth ethics and urbanization.</w:t>
      </w:r>
    </w:p>
    <w:p>
      <w:pPr>
        <w:pStyle w:val="BodyText"/>
        <w:spacing w:before="8"/>
      </w:pPr>
    </w:p>
    <w:p>
      <w:pPr>
        <w:pStyle w:val="BodyText"/>
        <w:ind w:left="1219" w:right="489"/>
      </w:pPr>
      <w:r>
        <w:rPr/>
        <w:t>Architecture programs at HBCU institutions offer something the mainstream schools in the nation do not: of 123 total architecture programs, the seven accredited HBCU architecture programs currently enroll approximately 31 percent of all Black students working toward architecture degrees. This is critical because of all NAAB accredited program, only 2% identify themselves as Black or African American.</w:t>
      </w:r>
      <w:r>
        <w:rPr>
          <w:spacing w:val="40"/>
        </w:rPr>
        <w:t> </w:t>
      </w:r>
      <w:r>
        <w:rPr/>
        <w:t>Roughly</w:t>
      </w:r>
      <w:r>
        <w:rPr>
          <w:spacing w:val="-2"/>
        </w:rPr>
        <w:t> </w:t>
      </w:r>
      <w:r>
        <w:rPr/>
        <w:t>half of the 1,930 Black licensed architects in the U.S. (of the estimated 150,000 total) attended HBCU institutions. Ninety (90), or 5.24 percent, received their first</w:t>
      </w:r>
      <w:r>
        <w:rPr>
          <w:spacing w:val="-5"/>
        </w:rPr>
        <w:t> </w:t>
      </w:r>
      <w:r>
        <w:rPr/>
        <w:t>professional</w:t>
      </w:r>
      <w:r>
        <w:rPr>
          <w:spacing w:val="-6"/>
        </w:rPr>
        <w:t> </w:t>
      </w:r>
      <w:r>
        <w:rPr/>
        <w:t>degree</w:t>
      </w:r>
      <w:r>
        <w:rPr>
          <w:spacing w:val="-3"/>
        </w:rPr>
        <w:t> </w:t>
      </w:r>
      <w:r>
        <w:rPr/>
        <w:t>at</w:t>
      </w:r>
      <w:r>
        <w:rPr>
          <w:spacing w:val="-3"/>
        </w:rPr>
        <w:t> </w:t>
      </w:r>
      <w:r>
        <w:rPr/>
        <w:t>Hampton</w:t>
      </w:r>
      <w:r>
        <w:rPr>
          <w:spacing w:val="-5"/>
        </w:rPr>
        <w:t> </w:t>
      </w:r>
      <w:r>
        <w:rPr/>
        <w:t>University.</w:t>
      </w:r>
      <w:r>
        <w:rPr>
          <w:spacing w:val="-5"/>
        </w:rPr>
        <w:t> </w:t>
      </w:r>
      <w:r>
        <w:rPr/>
        <w:t>The</w:t>
      </w:r>
      <w:r>
        <w:rPr>
          <w:spacing w:val="-3"/>
        </w:rPr>
        <w:t> </w:t>
      </w:r>
      <w:r>
        <w:rPr/>
        <w:t>architectural</w:t>
      </w:r>
      <w:r>
        <w:rPr>
          <w:spacing w:val="-6"/>
        </w:rPr>
        <w:t> </w:t>
      </w:r>
      <w:r>
        <w:rPr/>
        <w:t>program</w:t>
      </w:r>
      <w:r>
        <w:rPr>
          <w:spacing w:val="-1"/>
        </w:rPr>
        <w:t> </w:t>
      </w:r>
      <w:r>
        <w:rPr/>
        <w:t>at</w:t>
      </w:r>
      <w:r>
        <w:rPr>
          <w:spacing w:val="-5"/>
        </w:rPr>
        <w:t> </w:t>
      </w:r>
      <w:r>
        <w:rPr/>
        <w:t>Hampton</w:t>
      </w:r>
      <w:r>
        <w:rPr>
          <w:spacing w:val="-3"/>
        </w:rPr>
        <w:t> </w:t>
      </w:r>
      <w:r>
        <w:rPr/>
        <w:t>University, and</w:t>
      </w:r>
      <w:r>
        <w:rPr>
          <w:spacing w:val="-2"/>
        </w:rPr>
        <w:t> </w:t>
      </w:r>
      <w:r>
        <w:rPr/>
        <w:t>at</w:t>
      </w:r>
      <w:r>
        <w:rPr>
          <w:spacing w:val="-4"/>
        </w:rPr>
        <w:t> </w:t>
      </w:r>
      <w:r>
        <w:rPr/>
        <w:t>the</w:t>
      </w:r>
      <w:r>
        <w:rPr>
          <w:spacing w:val="-4"/>
        </w:rPr>
        <w:t> </w:t>
      </w:r>
      <w:r>
        <w:rPr/>
        <w:t>other</w:t>
      </w:r>
      <w:r>
        <w:rPr>
          <w:spacing w:val="-3"/>
        </w:rPr>
        <w:t> </w:t>
      </w:r>
      <w:r>
        <w:rPr/>
        <w:t>HBCU</w:t>
      </w:r>
      <w:r>
        <w:rPr>
          <w:spacing w:val="-1"/>
        </w:rPr>
        <w:t> </w:t>
      </w:r>
      <w:r>
        <w:rPr/>
        <w:t>institutions</w:t>
      </w:r>
      <w:r>
        <w:rPr>
          <w:spacing w:val="-3"/>
        </w:rPr>
        <w:t> </w:t>
      </w:r>
      <w:r>
        <w:rPr/>
        <w:t>meet</w:t>
      </w:r>
      <w:r>
        <w:rPr>
          <w:spacing w:val="-4"/>
        </w:rPr>
        <w:t> </w:t>
      </w:r>
      <w:r>
        <w:rPr/>
        <w:t>two</w:t>
      </w:r>
      <w:r>
        <w:rPr>
          <w:spacing w:val="-4"/>
        </w:rPr>
        <w:t> </w:t>
      </w:r>
      <w:r>
        <w:rPr/>
        <w:t>distinct</w:t>
      </w:r>
      <w:r>
        <w:rPr>
          <w:spacing w:val="-4"/>
        </w:rPr>
        <w:t> </w:t>
      </w:r>
      <w:r>
        <w:rPr/>
        <w:t>agendas:</w:t>
      </w:r>
      <w:r>
        <w:rPr>
          <w:spacing w:val="-2"/>
        </w:rPr>
        <w:t> </w:t>
      </w:r>
      <w:r>
        <w:rPr/>
        <w:t>the</w:t>
      </w:r>
      <w:r>
        <w:rPr>
          <w:spacing w:val="-4"/>
        </w:rPr>
        <w:t> </w:t>
      </w:r>
      <w:r>
        <w:rPr/>
        <w:t>mission</w:t>
      </w:r>
      <w:r>
        <w:rPr>
          <w:spacing w:val="-4"/>
        </w:rPr>
        <w:t> </w:t>
      </w:r>
      <w:r>
        <w:rPr/>
        <w:t>of</w:t>
      </w:r>
      <w:r>
        <w:rPr>
          <w:spacing w:val="-2"/>
        </w:rPr>
        <w:t> </w:t>
      </w:r>
      <w:r>
        <w:rPr/>
        <w:t>educating</w:t>
      </w:r>
      <w:r>
        <w:rPr>
          <w:spacing w:val="-4"/>
        </w:rPr>
        <w:t> </w:t>
      </w:r>
      <w:r>
        <w:rPr/>
        <w:t>architects, and that of educating Black students.</w:t>
      </w:r>
      <w:r>
        <w:rPr>
          <w:spacing w:val="71"/>
        </w:rPr>
        <w:t> </w:t>
      </w:r>
      <w:r>
        <w:rPr/>
        <w:t>HBCU pedagogy must balance issues of ethnicity, race</w:t>
      </w:r>
      <w:r>
        <w:rPr/>
        <w:t> and culture with the gamut of theoretical and practical topics required in architecture.</w:t>
      </w:r>
    </w:p>
    <w:p>
      <w:pPr>
        <w:spacing w:after="0"/>
        <w:sectPr>
          <w:pgSz w:w="12240" w:h="15840"/>
          <w:pgMar w:header="0" w:footer="974" w:top="1360" w:bottom="1160" w:left="940" w:right="960"/>
        </w:sectPr>
      </w:pPr>
    </w:p>
    <w:p>
      <w:pPr>
        <w:spacing w:before="75"/>
        <w:ind w:left="500" w:right="0" w:firstLine="0"/>
        <w:jc w:val="left"/>
        <w:rPr>
          <w:b/>
          <w:sz w:val="20"/>
        </w:rPr>
      </w:pPr>
      <w:r>
        <w:rPr>
          <w:b/>
          <w:sz w:val="20"/>
        </w:rPr>
        <w:t>(Adopted</w:t>
      </w:r>
      <w:r>
        <w:rPr>
          <w:b/>
          <w:spacing w:val="-7"/>
          <w:sz w:val="20"/>
        </w:rPr>
        <w:t> </w:t>
      </w:r>
      <w:r>
        <w:rPr>
          <w:b/>
          <w:sz w:val="20"/>
        </w:rPr>
        <w:t>March</w:t>
      </w:r>
      <w:r>
        <w:rPr>
          <w:b/>
          <w:spacing w:val="-6"/>
          <w:sz w:val="20"/>
        </w:rPr>
        <w:t> </w:t>
      </w:r>
      <w:r>
        <w:rPr>
          <w:b/>
          <w:sz w:val="20"/>
        </w:rPr>
        <w:t>2001,</w:t>
      </w:r>
      <w:r>
        <w:rPr>
          <w:b/>
          <w:spacing w:val="-7"/>
          <w:sz w:val="20"/>
        </w:rPr>
        <w:t> </w:t>
      </w:r>
      <w:r>
        <w:rPr>
          <w:b/>
          <w:sz w:val="20"/>
        </w:rPr>
        <w:t>with</w:t>
      </w:r>
      <w:r>
        <w:rPr>
          <w:b/>
          <w:spacing w:val="-7"/>
          <w:sz w:val="20"/>
        </w:rPr>
        <w:t> </w:t>
      </w:r>
      <w:r>
        <w:rPr>
          <w:b/>
          <w:sz w:val="20"/>
        </w:rPr>
        <w:t>minor</w:t>
      </w:r>
      <w:r>
        <w:rPr>
          <w:b/>
          <w:spacing w:val="-8"/>
          <w:sz w:val="20"/>
        </w:rPr>
        <w:t> </w:t>
      </w:r>
      <w:r>
        <w:rPr>
          <w:b/>
          <w:spacing w:val="-2"/>
          <w:sz w:val="20"/>
        </w:rPr>
        <w:t>amendments):</w:t>
      </w:r>
    </w:p>
    <w:p>
      <w:pPr>
        <w:pStyle w:val="BodyText"/>
        <w:spacing w:before="1"/>
        <w:rPr>
          <w:b/>
          <w:sz w:val="21"/>
        </w:rPr>
      </w:pPr>
    </w:p>
    <w:p>
      <w:pPr>
        <w:pStyle w:val="BodyText"/>
        <w:ind w:left="1219" w:right="499"/>
      </w:pPr>
      <w:r>
        <w:rPr/>
        <w:t>The Hampton University Department of Architecture is an accredited Architecture Program, geared towards those who desire preparation to engage in a critical practice of architecture. We believe that architectural education offers unique possibilities, which allow our students to face and lead the broad challenges confronting societies, from the level of individuals, to neighborhoods,</w:t>
      </w:r>
      <w:r>
        <w:rPr>
          <w:spacing w:val="-4"/>
        </w:rPr>
        <w:t> </w:t>
      </w:r>
      <w:r>
        <w:rPr/>
        <w:t>and</w:t>
      </w:r>
      <w:r>
        <w:rPr>
          <w:spacing w:val="-4"/>
        </w:rPr>
        <w:t> </w:t>
      </w:r>
      <w:r>
        <w:rPr/>
        <w:t>to</w:t>
      </w:r>
      <w:r>
        <w:rPr>
          <w:spacing w:val="-2"/>
        </w:rPr>
        <w:t> </w:t>
      </w:r>
      <w:r>
        <w:rPr/>
        <w:t>nations.</w:t>
      </w:r>
      <w:r>
        <w:rPr>
          <w:spacing w:val="-9"/>
        </w:rPr>
        <w:t> </w:t>
      </w:r>
      <w:r>
        <w:rPr/>
        <w:t>We</w:t>
      </w:r>
      <w:r>
        <w:rPr>
          <w:spacing w:val="-4"/>
        </w:rPr>
        <w:t> </w:t>
      </w:r>
      <w:r>
        <w:rPr/>
        <w:t>are</w:t>
      </w:r>
      <w:r>
        <w:rPr>
          <w:spacing w:val="-4"/>
        </w:rPr>
        <w:t> </w:t>
      </w:r>
      <w:r>
        <w:rPr/>
        <w:t>dedicated</w:t>
      </w:r>
      <w:r>
        <w:rPr>
          <w:spacing w:val="-4"/>
        </w:rPr>
        <w:t> </w:t>
      </w:r>
      <w:r>
        <w:rPr/>
        <w:t>to</w:t>
      </w:r>
      <w:r>
        <w:rPr>
          <w:spacing w:val="-4"/>
        </w:rPr>
        <w:t> </w:t>
      </w:r>
      <w:r>
        <w:rPr/>
        <w:t>promoting</w:t>
      </w:r>
      <w:r>
        <w:rPr>
          <w:spacing w:val="-4"/>
        </w:rPr>
        <w:t> </w:t>
      </w:r>
      <w:r>
        <w:rPr/>
        <w:t>a</w:t>
      </w:r>
      <w:r>
        <w:rPr>
          <w:spacing w:val="-4"/>
        </w:rPr>
        <w:t> </w:t>
      </w:r>
      <w:r>
        <w:rPr/>
        <w:t>global</w:t>
      </w:r>
      <w:r>
        <w:rPr>
          <w:spacing w:val="-3"/>
        </w:rPr>
        <w:t> </w:t>
      </w:r>
      <w:r>
        <w:rPr/>
        <w:t>environmental</w:t>
      </w:r>
      <w:r>
        <w:rPr>
          <w:spacing w:val="-5"/>
        </w:rPr>
        <w:t> </w:t>
      </w:r>
      <w:r>
        <w:rPr/>
        <w:t>sensitivity, and developing an ability in students to bring about important social and environmental change, especially in transitional urban areas and communities of color. The Department sets the framework for the investigation of architecture as a way of thinking about this world.</w:t>
      </w:r>
      <w:r>
        <w:rPr>
          <w:spacing w:val="-3"/>
        </w:rPr>
        <w:t> </w:t>
      </w:r>
      <w:r>
        <w:rPr/>
        <w:t>We</w:t>
      </w:r>
      <w:r>
        <w:rPr>
          <w:spacing w:val="-1"/>
        </w:rPr>
        <w:t> </w:t>
      </w:r>
      <w:r>
        <w:rPr/>
        <w:t>strive to provide an integration of:</w:t>
      </w:r>
    </w:p>
    <w:p>
      <w:pPr>
        <w:pStyle w:val="BodyText"/>
        <w:spacing w:before="9"/>
      </w:pPr>
    </w:p>
    <w:p>
      <w:pPr>
        <w:pStyle w:val="BodyText"/>
        <w:ind w:left="1939" w:right="3607"/>
      </w:pPr>
      <w:r>
        <w:rPr/>
        <w:t>Individual</w:t>
      </w:r>
      <w:r>
        <w:rPr>
          <w:spacing w:val="-11"/>
        </w:rPr>
        <w:t> </w:t>
      </w:r>
      <w:r>
        <w:rPr/>
        <w:t>imagination</w:t>
      </w:r>
      <w:r>
        <w:rPr>
          <w:spacing w:val="-7"/>
        </w:rPr>
        <w:t> </w:t>
      </w:r>
      <w:r>
        <w:rPr/>
        <w:t>with</w:t>
      </w:r>
      <w:r>
        <w:rPr>
          <w:spacing w:val="-10"/>
        </w:rPr>
        <w:t> </w:t>
      </w:r>
      <w:r>
        <w:rPr/>
        <w:t>communal</w:t>
      </w:r>
      <w:r>
        <w:rPr>
          <w:spacing w:val="-12"/>
        </w:rPr>
        <w:t> </w:t>
      </w:r>
      <w:r>
        <w:rPr/>
        <w:t>responsibilities; theoretical insights with pragmatic speculations; conceptual gestures with tectonic articulation; technical competence with creative articulation; and,</w:t>
      </w:r>
    </w:p>
    <w:p>
      <w:pPr>
        <w:pStyle w:val="BodyText"/>
        <w:spacing w:before="2"/>
        <w:ind w:left="1939"/>
      </w:pPr>
      <w:r>
        <w:rPr/>
        <w:t>contemporary</w:t>
      </w:r>
      <w:r>
        <w:rPr>
          <w:spacing w:val="-13"/>
        </w:rPr>
        <w:t> </w:t>
      </w:r>
      <w:r>
        <w:rPr/>
        <w:t>interpretations</w:t>
      </w:r>
      <w:r>
        <w:rPr>
          <w:spacing w:val="-10"/>
        </w:rPr>
        <w:t> </w:t>
      </w:r>
      <w:r>
        <w:rPr/>
        <w:t>with</w:t>
      </w:r>
      <w:r>
        <w:rPr>
          <w:spacing w:val="-8"/>
        </w:rPr>
        <w:t> </w:t>
      </w:r>
      <w:r>
        <w:rPr/>
        <w:t>histories</w:t>
      </w:r>
      <w:r>
        <w:rPr>
          <w:spacing w:val="-10"/>
        </w:rPr>
        <w:t> </w:t>
      </w:r>
      <w:r>
        <w:rPr/>
        <w:t>of</w:t>
      </w:r>
      <w:r>
        <w:rPr>
          <w:spacing w:val="-8"/>
        </w:rPr>
        <w:t> </w:t>
      </w:r>
      <w:r>
        <w:rPr>
          <w:spacing w:val="-2"/>
        </w:rPr>
        <w:t>architecture.</w:t>
      </w:r>
    </w:p>
    <w:p>
      <w:pPr>
        <w:spacing w:after="0"/>
        <w:sectPr>
          <w:pgSz w:w="12240" w:h="15840"/>
          <w:pgMar w:header="0" w:footer="974" w:top="1360" w:bottom="1160" w:left="940" w:right="960"/>
        </w:sectPr>
      </w:pPr>
    </w:p>
    <w:p>
      <w:pPr>
        <w:pStyle w:val="Heading5"/>
        <w:numPr>
          <w:ilvl w:val="3"/>
          <w:numId w:val="9"/>
        </w:numPr>
        <w:tabs>
          <w:tab w:pos="1581" w:val="left" w:leader="none"/>
        </w:tabs>
        <w:spacing w:line="240" w:lineRule="auto" w:before="76" w:after="0"/>
        <w:ind w:left="1580" w:right="0" w:hanging="1010"/>
        <w:jc w:val="left"/>
      </w:pPr>
      <w:r>
        <w:rPr/>
        <w:t>Program</w:t>
      </w:r>
      <w:r>
        <w:rPr>
          <w:spacing w:val="-6"/>
        </w:rPr>
        <w:t> </w:t>
      </w:r>
      <w:r>
        <w:rPr>
          <w:spacing w:val="-2"/>
        </w:rPr>
        <w:t>Description</w:t>
      </w:r>
    </w:p>
    <w:p>
      <w:pPr>
        <w:pStyle w:val="BodyText"/>
        <w:spacing w:before="241"/>
        <w:ind w:left="1220" w:right="495" w:hanging="1"/>
      </w:pPr>
      <w:r>
        <w:rPr/>
        <w:t>Our program is small, intimate and nurturing. We build on the collective strengths of faculty, staff and students who bring a broad range of experiences to not only measure student performance, but to also motivate, model, and mentor young aspiring architects. We focus on community based, design that has a social impact. Our faculty are embedded in the community and strive to engage our students in design projects that are culturally significant, and sensitive to diverse communities.</w:t>
      </w:r>
      <w:r>
        <w:rPr>
          <w:spacing w:val="-2"/>
        </w:rPr>
        <w:t> </w:t>
      </w:r>
      <w:r>
        <w:rPr/>
        <w:t>As</w:t>
      </w:r>
      <w:r>
        <w:rPr>
          <w:spacing w:val="-3"/>
        </w:rPr>
        <w:t> </w:t>
      </w:r>
      <w:r>
        <w:rPr/>
        <w:t>the</w:t>
      </w:r>
      <w:r>
        <w:rPr>
          <w:spacing w:val="-2"/>
        </w:rPr>
        <w:t> </w:t>
      </w:r>
      <w:r>
        <w:rPr/>
        <w:t>only</w:t>
      </w:r>
      <w:r>
        <w:rPr>
          <w:spacing w:val="-5"/>
        </w:rPr>
        <w:t> </w:t>
      </w:r>
      <w:r>
        <w:rPr/>
        <w:t>accredited</w:t>
      </w:r>
      <w:r>
        <w:rPr>
          <w:spacing w:val="-2"/>
        </w:rPr>
        <w:t> </w:t>
      </w:r>
      <w:r>
        <w:rPr/>
        <w:t>program on</w:t>
      </w:r>
      <w:r>
        <w:rPr>
          <w:spacing w:val="-4"/>
        </w:rPr>
        <w:t> </w:t>
      </w:r>
      <w:r>
        <w:rPr/>
        <w:t>the</w:t>
      </w:r>
      <w:r>
        <w:rPr>
          <w:spacing w:val="-4"/>
        </w:rPr>
        <w:t> </w:t>
      </w:r>
      <w:r>
        <w:rPr/>
        <w:t>east</w:t>
      </w:r>
      <w:r>
        <w:rPr>
          <w:spacing w:val="-4"/>
        </w:rPr>
        <w:t> </w:t>
      </w:r>
      <w:r>
        <w:rPr/>
        <w:t>coast</w:t>
      </w:r>
      <w:r>
        <w:rPr>
          <w:spacing w:val="-4"/>
        </w:rPr>
        <w:t> </w:t>
      </w:r>
      <w:r>
        <w:rPr/>
        <w:t>of</w:t>
      </w:r>
      <w:r>
        <w:rPr>
          <w:spacing w:val="-2"/>
        </w:rPr>
        <w:t> </w:t>
      </w:r>
      <w:r>
        <w:rPr/>
        <w:t>Virginia, we</w:t>
      </w:r>
      <w:r>
        <w:rPr>
          <w:spacing w:val="-2"/>
        </w:rPr>
        <w:t> </w:t>
      </w:r>
      <w:r>
        <w:rPr/>
        <w:t>also</w:t>
      </w:r>
      <w:r>
        <w:rPr>
          <w:spacing w:val="-3"/>
        </w:rPr>
        <w:t> </w:t>
      </w:r>
      <w:r>
        <w:rPr/>
        <w:t>have</w:t>
      </w:r>
      <w:r>
        <w:rPr>
          <w:spacing w:val="-2"/>
        </w:rPr>
        <w:t> </w:t>
      </w:r>
      <w:r>
        <w:rPr/>
        <w:t>a</w:t>
      </w:r>
      <w:r>
        <w:rPr>
          <w:spacing w:val="-4"/>
        </w:rPr>
        <w:t> </w:t>
      </w:r>
      <w:r>
        <w:rPr/>
        <w:t>unique opportunity to study the impacts of global climate change and sea level rise on the development</w:t>
      </w:r>
      <w:r>
        <w:rPr/>
        <w:t> of Virginia’s Tidewater region.</w:t>
      </w:r>
    </w:p>
    <w:p>
      <w:pPr>
        <w:pStyle w:val="BodyText"/>
        <w:spacing w:before="8"/>
      </w:pPr>
    </w:p>
    <w:p>
      <w:pPr>
        <w:spacing w:before="1"/>
        <w:ind w:left="500" w:right="0" w:firstLine="0"/>
        <w:jc w:val="left"/>
        <w:rPr>
          <w:b/>
          <w:sz w:val="20"/>
        </w:rPr>
      </w:pPr>
      <w:r>
        <w:rPr>
          <w:b/>
          <w:spacing w:val="-2"/>
          <w:sz w:val="20"/>
        </w:rPr>
        <w:t>Department</w:t>
      </w:r>
      <w:r>
        <w:rPr>
          <w:b/>
          <w:spacing w:val="4"/>
          <w:sz w:val="20"/>
        </w:rPr>
        <w:t> </w:t>
      </w:r>
      <w:r>
        <w:rPr>
          <w:b/>
          <w:spacing w:val="-2"/>
          <w:sz w:val="20"/>
        </w:rPr>
        <w:t>Goals:</w:t>
      </w:r>
    </w:p>
    <w:p>
      <w:pPr>
        <w:pStyle w:val="BodyText"/>
        <w:spacing w:before="1"/>
        <w:rPr>
          <w:b/>
          <w:sz w:val="21"/>
        </w:rPr>
      </w:pPr>
    </w:p>
    <w:p>
      <w:pPr>
        <w:pStyle w:val="BodyText"/>
        <w:ind w:left="1220" w:right="580"/>
      </w:pPr>
      <w:r>
        <w:rPr/>
        <w:t>To</w:t>
      </w:r>
      <w:r>
        <w:rPr>
          <w:spacing w:val="-4"/>
        </w:rPr>
        <w:t> </w:t>
      </w:r>
      <w:r>
        <w:rPr/>
        <w:t>provide</w:t>
      </w:r>
      <w:r>
        <w:rPr>
          <w:spacing w:val="-4"/>
        </w:rPr>
        <w:t> </w:t>
      </w:r>
      <w:r>
        <w:rPr/>
        <w:t>for</w:t>
      </w:r>
      <w:r>
        <w:rPr>
          <w:spacing w:val="-3"/>
        </w:rPr>
        <w:t> </w:t>
      </w:r>
      <w:r>
        <w:rPr/>
        <w:t>the</w:t>
      </w:r>
      <w:r>
        <w:rPr>
          <w:spacing w:val="-2"/>
        </w:rPr>
        <w:t> </w:t>
      </w:r>
      <w:r>
        <w:rPr/>
        <w:t>dual</w:t>
      </w:r>
      <w:r>
        <w:rPr>
          <w:spacing w:val="-5"/>
        </w:rPr>
        <w:t> </w:t>
      </w:r>
      <w:r>
        <w:rPr/>
        <w:t>pursuit</w:t>
      </w:r>
      <w:r>
        <w:rPr>
          <w:spacing w:val="-2"/>
        </w:rPr>
        <w:t> </w:t>
      </w:r>
      <w:r>
        <w:rPr/>
        <w:t>of</w:t>
      </w:r>
      <w:r>
        <w:rPr>
          <w:spacing w:val="-2"/>
        </w:rPr>
        <w:t> </w:t>
      </w:r>
      <w:r>
        <w:rPr/>
        <w:t>both</w:t>
      </w:r>
      <w:r>
        <w:rPr>
          <w:spacing w:val="-2"/>
        </w:rPr>
        <w:t> </w:t>
      </w:r>
      <w:r>
        <w:rPr/>
        <w:t>general</w:t>
      </w:r>
      <w:r>
        <w:rPr>
          <w:spacing w:val="-3"/>
        </w:rPr>
        <w:t> </w:t>
      </w:r>
      <w:r>
        <w:rPr/>
        <w:t>education</w:t>
      </w:r>
      <w:r>
        <w:rPr>
          <w:spacing w:val="-4"/>
        </w:rPr>
        <w:t> </w:t>
      </w:r>
      <w:r>
        <w:rPr/>
        <w:t>and</w:t>
      </w:r>
      <w:r>
        <w:rPr>
          <w:spacing w:val="-4"/>
        </w:rPr>
        <w:t> </w:t>
      </w:r>
      <w:r>
        <w:rPr/>
        <w:t>professional</w:t>
      </w:r>
      <w:r>
        <w:rPr>
          <w:spacing w:val="-3"/>
        </w:rPr>
        <w:t> </w:t>
      </w:r>
      <w:r>
        <w:rPr/>
        <w:t>education;</w:t>
      </w:r>
      <w:r>
        <w:rPr>
          <w:spacing w:val="-4"/>
        </w:rPr>
        <w:t> </w:t>
      </w:r>
      <w:r>
        <w:rPr/>
        <w:t>to</w:t>
      </w:r>
      <w:r>
        <w:rPr>
          <w:spacing w:val="-2"/>
        </w:rPr>
        <w:t> </w:t>
      </w:r>
      <w:r>
        <w:rPr/>
        <w:t>integrate a well-rounded liberal education with the professional architecture program.</w:t>
      </w:r>
    </w:p>
    <w:p>
      <w:pPr>
        <w:pStyle w:val="BodyText"/>
        <w:spacing w:before="8"/>
      </w:pPr>
    </w:p>
    <w:p>
      <w:pPr>
        <w:pStyle w:val="BodyText"/>
        <w:ind w:left="1220" w:right="580"/>
      </w:pPr>
      <w:r>
        <w:rPr/>
        <w:t>To</w:t>
      </w:r>
      <w:r>
        <w:rPr>
          <w:spacing w:val="-4"/>
        </w:rPr>
        <w:t> </w:t>
      </w:r>
      <w:r>
        <w:rPr/>
        <w:t>provide</w:t>
      </w:r>
      <w:r>
        <w:rPr>
          <w:spacing w:val="-4"/>
        </w:rPr>
        <w:t> </w:t>
      </w:r>
      <w:r>
        <w:rPr/>
        <w:t>the</w:t>
      </w:r>
      <w:r>
        <w:rPr>
          <w:spacing w:val="-4"/>
        </w:rPr>
        <w:t> </w:t>
      </w:r>
      <w:r>
        <w:rPr/>
        <w:t>opportunity</w:t>
      </w:r>
      <w:r>
        <w:rPr>
          <w:spacing w:val="-7"/>
        </w:rPr>
        <w:t> </w:t>
      </w:r>
      <w:r>
        <w:rPr/>
        <w:t>for</w:t>
      </w:r>
      <w:r>
        <w:rPr>
          <w:spacing w:val="-3"/>
        </w:rPr>
        <w:t> </w:t>
      </w:r>
      <w:r>
        <w:rPr/>
        <w:t>the</w:t>
      </w:r>
      <w:r>
        <w:rPr>
          <w:spacing w:val="-2"/>
        </w:rPr>
        <w:t> </w:t>
      </w:r>
      <w:r>
        <w:rPr/>
        <w:t>development</w:t>
      </w:r>
      <w:r>
        <w:rPr>
          <w:spacing w:val="-4"/>
        </w:rPr>
        <w:t> </w:t>
      </w:r>
      <w:r>
        <w:rPr/>
        <w:t>of</w:t>
      </w:r>
      <w:r>
        <w:rPr>
          <w:spacing w:val="-2"/>
        </w:rPr>
        <w:t> </w:t>
      </w:r>
      <w:r>
        <w:rPr/>
        <w:t>individual</w:t>
      </w:r>
      <w:r>
        <w:rPr>
          <w:spacing w:val="-5"/>
        </w:rPr>
        <w:t> </w:t>
      </w:r>
      <w:r>
        <w:rPr/>
        <w:t>personal</w:t>
      </w:r>
      <w:r>
        <w:rPr>
          <w:spacing w:val="-3"/>
        </w:rPr>
        <w:t> </w:t>
      </w:r>
      <w:r>
        <w:rPr/>
        <w:t>potential</w:t>
      </w:r>
      <w:r>
        <w:rPr>
          <w:spacing w:val="-5"/>
        </w:rPr>
        <w:t> </w:t>
      </w:r>
      <w:r>
        <w:rPr/>
        <w:t>through</w:t>
      </w:r>
      <w:r>
        <w:rPr>
          <w:spacing w:val="-2"/>
        </w:rPr>
        <w:t> </w:t>
      </w:r>
      <w:r>
        <w:rPr/>
        <w:t>exposure to programs, faculty, and other students in the University, regional, and department settings.</w:t>
      </w:r>
    </w:p>
    <w:p>
      <w:pPr>
        <w:pStyle w:val="BodyText"/>
        <w:spacing w:before="11"/>
      </w:pPr>
    </w:p>
    <w:p>
      <w:pPr>
        <w:pStyle w:val="BodyText"/>
        <w:ind w:left="1220" w:right="705"/>
      </w:pPr>
      <w:r>
        <w:rPr/>
        <w:t>To</w:t>
      </w:r>
      <w:r>
        <w:rPr>
          <w:spacing w:val="-4"/>
        </w:rPr>
        <w:t> </w:t>
      </w:r>
      <w:r>
        <w:rPr/>
        <w:t>develop</w:t>
      </w:r>
      <w:r>
        <w:rPr>
          <w:spacing w:val="-3"/>
        </w:rPr>
        <w:t> </w:t>
      </w:r>
      <w:r>
        <w:rPr/>
        <w:t>within</w:t>
      </w:r>
      <w:r>
        <w:rPr>
          <w:spacing w:val="-4"/>
        </w:rPr>
        <w:t> </w:t>
      </w:r>
      <w:r>
        <w:rPr/>
        <w:t>the</w:t>
      </w:r>
      <w:r>
        <w:rPr>
          <w:spacing w:val="-4"/>
        </w:rPr>
        <w:t> </w:t>
      </w:r>
      <w:r>
        <w:rPr/>
        <w:t>student</w:t>
      </w:r>
      <w:r>
        <w:rPr>
          <w:spacing w:val="-4"/>
        </w:rPr>
        <w:t> </w:t>
      </w:r>
      <w:r>
        <w:rPr/>
        <w:t>strong</w:t>
      </w:r>
      <w:r>
        <w:rPr>
          <w:spacing w:val="-3"/>
        </w:rPr>
        <w:t> </w:t>
      </w:r>
      <w:r>
        <w:rPr/>
        <w:t>environmental</w:t>
      </w:r>
      <w:r>
        <w:rPr>
          <w:spacing w:val="-5"/>
        </w:rPr>
        <w:t> </w:t>
      </w:r>
      <w:r>
        <w:rPr/>
        <w:t>ethics</w:t>
      </w:r>
      <w:r>
        <w:rPr>
          <w:spacing w:val="-3"/>
        </w:rPr>
        <w:t> </w:t>
      </w:r>
      <w:r>
        <w:rPr/>
        <w:t>and</w:t>
      </w:r>
      <w:r>
        <w:rPr>
          <w:spacing w:val="-3"/>
        </w:rPr>
        <w:t> </w:t>
      </w:r>
      <w:r>
        <w:rPr/>
        <w:t>high</w:t>
      </w:r>
      <w:r>
        <w:rPr>
          <w:spacing w:val="-4"/>
        </w:rPr>
        <w:t> </w:t>
      </w:r>
      <w:r>
        <w:rPr/>
        <w:t>professional</w:t>
      </w:r>
      <w:r>
        <w:rPr>
          <w:spacing w:val="-5"/>
        </w:rPr>
        <w:t> </w:t>
      </w:r>
      <w:r>
        <w:rPr/>
        <w:t>standards, consistent with social responsibility and leadership.</w:t>
      </w:r>
    </w:p>
    <w:p>
      <w:pPr>
        <w:pStyle w:val="BodyText"/>
        <w:spacing w:before="11"/>
      </w:pPr>
    </w:p>
    <w:p>
      <w:pPr>
        <w:pStyle w:val="BodyText"/>
        <w:ind w:left="1220"/>
      </w:pPr>
      <w:r>
        <w:rPr/>
        <w:t>To</w:t>
      </w:r>
      <w:r>
        <w:rPr>
          <w:spacing w:val="-3"/>
        </w:rPr>
        <w:t> </w:t>
      </w:r>
      <w:r>
        <w:rPr/>
        <w:t>instill</w:t>
      </w:r>
      <w:r>
        <w:rPr>
          <w:spacing w:val="-4"/>
        </w:rPr>
        <w:t> </w:t>
      </w:r>
      <w:r>
        <w:rPr/>
        <w:t>in</w:t>
      </w:r>
      <w:r>
        <w:rPr>
          <w:spacing w:val="-3"/>
        </w:rPr>
        <w:t> </w:t>
      </w:r>
      <w:r>
        <w:rPr/>
        <w:t>the</w:t>
      </w:r>
      <w:r>
        <w:rPr>
          <w:spacing w:val="-3"/>
        </w:rPr>
        <w:t> </w:t>
      </w:r>
      <w:r>
        <w:rPr/>
        <w:t>student</w:t>
      </w:r>
      <w:r>
        <w:rPr>
          <w:spacing w:val="-1"/>
        </w:rPr>
        <w:t> </w:t>
      </w:r>
      <w:r>
        <w:rPr/>
        <w:t>the</w:t>
      </w:r>
      <w:r>
        <w:rPr>
          <w:spacing w:val="-1"/>
        </w:rPr>
        <w:t> </w:t>
      </w:r>
      <w:r>
        <w:rPr/>
        <w:t>sense</w:t>
      </w:r>
      <w:r>
        <w:rPr>
          <w:spacing w:val="-3"/>
        </w:rPr>
        <w:t> </w:t>
      </w:r>
      <w:r>
        <w:rPr/>
        <w:t>of</w:t>
      </w:r>
      <w:r>
        <w:rPr>
          <w:spacing w:val="-1"/>
        </w:rPr>
        <w:t> </w:t>
      </w:r>
      <w:r>
        <w:rPr/>
        <w:t>inquiry</w:t>
      </w:r>
      <w:r>
        <w:rPr>
          <w:spacing w:val="-6"/>
        </w:rPr>
        <w:t> </w:t>
      </w:r>
      <w:r>
        <w:rPr/>
        <w:t>and</w:t>
      </w:r>
      <w:r>
        <w:rPr>
          <w:spacing w:val="-3"/>
        </w:rPr>
        <w:t> </w:t>
      </w:r>
      <w:r>
        <w:rPr/>
        <w:t>the</w:t>
      </w:r>
      <w:r>
        <w:rPr>
          <w:spacing w:val="-3"/>
        </w:rPr>
        <w:t> </w:t>
      </w:r>
      <w:r>
        <w:rPr/>
        <w:t>development</w:t>
      </w:r>
      <w:r>
        <w:rPr>
          <w:spacing w:val="-3"/>
        </w:rPr>
        <w:t> </w:t>
      </w:r>
      <w:r>
        <w:rPr/>
        <w:t>of</w:t>
      </w:r>
      <w:r>
        <w:rPr>
          <w:spacing w:val="-1"/>
        </w:rPr>
        <w:t> </w:t>
      </w:r>
      <w:r>
        <w:rPr/>
        <w:t>critical</w:t>
      </w:r>
      <w:r>
        <w:rPr>
          <w:spacing w:val="-2"/>
        </w:rPr>
        <w:t> </w:t>
      </w:r>
      <w:r>
        <w:rPr/>
        <w:t>and</w:t>
      </w:r>
      <w:r>
        <w:rPr>
          <w:spacing w:val="-3"/>
        </w:rPr>
        <w:t> </w:t>
      </w:r>
      <w:r>
        <w:rPr/>
        <w:t>creative</w:t>
      </w:r>
      <w:r>
        <w:rPr>
          <w:spacing w:val="-1"/>
        </w:rPr>
        <w:t> </w:t>
      </w:r>
      <w:r>
        <w:rPr/>
        <w:t>thought necessary for life-long personal growth.</w:t>
      </w:r>
    </w:p>
    <w:p>
      <w:pPr>
        <w:pStyle w:val="BodyText"/>
        <w:spacing w:before="8"/>
      </w:pPr>
    </w:p>
    <w:p>
      <w:pPr>
        <w:pStyle w:val="BodyText"/>
        <w:ind w:left="1220" w:right="705"/>
      </w:pPr>
      <w:r>
        <w:rPr/>
        <w:t>To</w:t>
      </w:r>
      <w:r>
        <w:rPr>
          <w:spacing w:val="-4"/>
        </w:rPr>
        <w:t> </w:t>
      </w:r>
      <w:r>
        <w:rPr/>
        <w:t>develop</w:t>
      </w:r>
      <w:r>
        <w:rPr>
          <w:spacing w:val="-2"/>
        </w:rPr>
        <w:t> </w:t>
      </w:r>
      <w:r>
        <w:rPr/>
        <w:t>an</w:t>
      </w:r>
      <w:r>
        <w:rPr>
          <w:spacing w:val="-2"/>
        </w:rPr>
        <w:t> </w:t>
      </w:r>
      <w:r>
        <w:rPr/>
        <w:t>ability</w:t>
      </w:r>
      <w:r>
        <w:rPr>
          <w:spacing w:val="-5"/>
        </w:rPr>
        <w:t> </w:t>
      </w:r>
      <w:r>
        <w:rPr/>
        <w:t>in</w:t>
      </w:r>
      <w:r>
        <w:rPr>
          <w:spacing w:val="-2"/>
        </w:rPr>
        <w:t> </w:t>
      </w:r>
      <w:r>
        <w:rPr/>
        <w:t>students</w:t>
      </w:r>
      <w:r>
        <w:rPr>
          <w:spacing w:val="-3"/>
        </w:rPr>
        <w:t> </w:t>
      </w:r>
      <w:r>
        <w:rPr/>
        <w:t>to</w:t>
      </w:r>
      <w:r>
        <w:rPr>
          <w:spacing w:val="-4"/>
        </w:rPr>
        <w:t> </w:t>
      </w:r>
      <w:r>
        <w:rPr/>
        <w:t>bring</w:t>
      </w:r>
      <w:r>
        <w:rPr>
          <w:spacing w:val="-2"/>
        </w:rPr>
        <w:t> </w:t>
      </w:r>
      <w:r>
        <w:rPr/>
        <w:t>about</w:t>
      </w:r>
      <w:r>
        <w:rPr>
          <w:spacing w:val="-4"/>
        </w:rPr>
        <w:t> </w:t>
      </w:r>
      <w:r>
        <w:rPr/>
        <w:t>important</w:t>
      </w:r>
      <w:r>
        <w:rPr>
          <w:spacing w:val="-4"/>
        </w:rPr>
        <w:t> </w:t>
      </w:r>
      <w:r>
        <w:rPr/>
        <w:t>social</w:t>
      </w:r>
      <w:r>
        <w:rPr>
          <w:spacing w:val="-3"/>
        </w:rPr>
        <w:t> </w:t>
      </w:r>
      <w:r>
        <w:rPr/>
        <w:t>and</w:t>
      </w:r>
      <w:r>
        <w:rPr>
          <w:spacing w:val="-2"/>
        </w:rPr>
        <w:t> </w:t>
      </w:r>
      <w:r>
        <w:rPr/>
        <w:t>environmental</w:t>
      </w:r>
      <w:r>
        <w:rPr>
          <w:spacing w:val="-5"/>
        </w:rPr>
        <w:t> </w:t>
      </w:r>
      <w:r>
        <w:rPr/>
        <w:t>change, especially in transitional urban areas and communities of color.</w:t>
      </w:r>
    </w:p>
    <w:p>
      <w:pPr>
        <w:pStyle w:val="BodyText"/>
        <w:rPr>
          <w:sz w:val="21"/>
        </w:rPr>
      </w:pPr>
    </w:p>
    <w:p>
      <w:pPr>
        <w:pStyle w:val="BodyText"/>
        <w:ind w:left="1220" w:right="499"/>
      </w:pPr>
      <w:r>
        <w:rPr/>
        <w:t>To</w:t>
      </w:r>
      <w:r>
        <w:rPr>
          <w:spacing w:val="-4"/>
        </w:rPr>
        <w:t> </w:t>
      </w:r>
      <w:r>
        <w:rPr/>
        <w:t>provide</w:t>
      </w:r>
      <w:r>
        <w:rPr>
          <w:spacing w:val="-4"/>
        </w:rPr>
        <w:t> </w:t>
      </w:r>
      <w:r>
        <w:rPr/>
        <w:t>professional</w:t>
      </w:r>
      <w:r>
        <w:rPr>
          <w:spacing w:val="-3"/>
        </w:rPr>
        <w:t> </w:t>
      </w:r>
      <w:r>
        <w:rPr/>
        <w:t>education</w:t>
      </w:r>
      <w:r>
        <w:rPr>
          <w:spacing w:val="-4"/>
        </w:rPr>
        <w:t> </w:t>
      </w:r>
      <w:r>
        <w:rPr/>
        <w:t>of</w:t>
      </w:r>
      <w:r>
        <w:rPr>
          <w:spacing w:val="-2"/>
        </w:rPr>
        <w:t> </w:t>
      </w:r>
      <w:r>
        <w:rPr/>
        <w:t>the</w:t>
      </w:r>
      <w:r>
        <w:rPr>
          <w:spacing w:val="-2"/>
        </w:rPr>
        <w:t> </w:t>
      </w:r>
      <w:r>
        <w:rPr/>
        <w:t>highest</w:t>
      </w:r>
      <w:r>
        <w:rPr>
          <w:spacing w:val="-1"/>
        </w:rPr>
        <w:t> </w:t>
      </w:r>
      <w:r>
        <w:rPr/>
        <w:t>quality</w:t>
      </w:r>
      <w:r>
        <w:rPr>
          <w:spacing w:val="-5"/>
        </w:rPr>
        <w:t> </w:t>
      </w:r>
      <w:r>
        <w:rPr/>
        <w:t>which</w:t>
      </w:r>
      <w:r>
        <w:rPr>
          <w:spacing w:val="-2"/>
        </w:rPr>
        <w:t> </w:t>
      </w:r>
      <w:r>
        <w:rPr/>
        <w:t>will</w:t>
      </w:r>
      <w:r>
        <w:rPr>
          <w:spacing w:val="-5"/>
        </w:rPr>
        <w:t> </w:t>
      </w:r>
      <w:r>
        <w:rPr/>
        <w:t>enable</w:t>
      </w:r>
      <w:r>
        <w:rPr>
          <w:spacing w:val="-2"/>
        </w:rPr>
        <w:t> </w:t>
      </w:r>
      <w:r>
        <w:rPr/>
        <w:t>the</w:t>
      </w:r>
      <w:r>
        <w:rPr>
          <w:spacing w:val="-4"/>
        </w:rPr>
        <w:t> </w:t>
      </w:r>
      <w:r>
        <w:rPr/>
        <w:t>student</w:t>
      </w:r>
      <w:r>
        <w:rPr>
          <w:spacing w:val="-4"/>
        </w:rPr>
        <w:t> </w:t>
      </w:r>
      <w:r>
        <w:rPr/>
        <w:t>to</w:t>
      </w:r>
      <w:r>
        <w:rPr>
          <w:spacing w:val="-4"/>
        </w:rPr>
        <w:t> </w:t>
      </w:r>
      <w:r>
        <w:rPr/>
        <w:t>practice architecture with a high level of competence within the broadest spectrum of responsibility to client, society, and the environment.</w:t>
      </w:r>
    </w:p>
    <w:p>
      <w:pPr>
        <w:pStyle w:val="BodyText"/>
        <w:spacing w:before="8"/>
      </w:pPr>
    </w:p>
    <w:p>
      <w:pPr>
        <w:pStyle w:val="BodyText"/>
        <w:spacing w:before="1"/>
        <w:ind w:left="1220" w:right="486"/>
      </w:pPr>
      <w:r>
        <w:rPr/>
        <w:t>Overall, the Department is committed to providing a strong professional education within an academic</w:t>
      </w:r>
      <w:r>
        <w:rPr>
          <w:spacing w:val="-3"/>
        </w:rPr>
        <w:t> </w:t>
      </w:r>
      <w:r>
        <w:rPr/>
        <w:t>context</w:t>
      </w:r>
      <w:r>
        <w:rPr>
          <w:spacing w:val="-4"/>
        </w:rPr>
        <w:t> </w:t>
      </w:r>
      <w:r>
        <w:rPr/>
        <w:t>that</w:t>
      </w:r>
      <w:r>
        <w:rPr>
          <w:spacing w:val="-4"/>
        </w:rPr>
        <w:t> </w:t>
      </w:r>
      <w:r>
        <w:rPr/>
        <w:t>stresses</w:t>
      </w:r>
      <w:r>
        <w:rPr>
          <w:spacing w:val="-3"/>
        </w:rPr>
        <w:t> </w:t>
      </w:r>
      <w:r>
        <w:rPr/>
        <w:t>a</w:t>
      </w:r>
      <w:r>
        <w:rPr>
          <w:spacing w:val="-4"/>
        </w:rPr>
        <w:t> </w:t>
      </w:r>
      <w:r>
        <w:rPr/>
        <w:t>critical</w:t>
      </w:r>
      <w:r>
        <w:rPr>
          <w:spacing w:val="-3"/>
        </w:rPr>
        <w:t> </w:t>
      </w:r>
      <w:r>
        <w:rPr/>
        <w:t>and</w:t>
      </w:r>
      <w:r>
        <w:rPr>
          <w:spacing w:val="-4"/>
        </w:rPr>
        <w:t> </w:t>
      </w:r>
      <w:r>
        <w:rPr/>
        <w:t>exploratory</w:t>
      </w:r>
      <w:r>
        <w:rPr>
          <w:spacing w:val="-5"/>
        </w:rPr>
        <w:t> </w:t>
      </w:r>
      <w:r>
        <w:rPr/>
        <w:t>attitude.</w:t>
      </w:r>
      <w:r>
        <w:rPr>
          <w:spacing w:val="-2"/>
        </w:rPr>
        <w:t> </w:t>
      </w:r>
      <w:r>
        <w:rPr/>
        <w:t>The</w:t>
      </w:r>
      <w:r>
        <w:rPr>
          <w:spacing w:val="-4"/>
        </w:rPr>
        <w:t> </w:t>
      </w:r>
      <w:r>
        <w:rPr/>
        <w:t>faculty</w:t>
      </w:r>
      <w:r>
        <w:rPr>
          <w:spacing w:val="-5"/>
        </w:rPr>
        <w:t> </w:t>
      </w:r>
      <w:r>
        <w:rPr/>
        <w:t>believes</w:t>
      </w:r>
      <w:r>
        <w:rPr>
          <w:spacing w:val="-3"/>
        </w:rPr>
        <w:t> </w:t>
      </w:r>
      <w:r>
        <w:rPr/>
        <w:t>in</w:t>
      </w:r>
      <w:r>
        <w:rPr>
          <w:spacing w:val="-4"/>
        </w:rPr>
        <w:t> </w:t>
      </w:r>
      <w:r>
        <w:rPr/>
        <w:t>providing an education, as opposed to training, and feels that all aspects of the curriculum, including the professional and technical, are best learned in the critical mode versus a rote learning, employment oriented construct. As the professional and academic areas of architecture evaluate their future roles in light of Ernest Boyer’s “Building Community,” as well as IDP enrollment, and required participation in internships, it is felt by the Department that this critical approach is necessary to educate leaders and to providing proper service to our ever-changing communities.</w:t>
      </w:r>
    </w:p>
    <w:p>
      <w:pPr>
        <w:pStyle w:val="BodyText"/>
        <w:spacing w:before="9"/>
      </w:pPr>
    </w:p>
    <w:p>
      <w:pPr>
        <w:spacing w:before="0"/>
        <w:ind w:left="500" w:right="0" w:firstLine="0"/>
        <w:jc w:val="left"/>
        <w:rPr>
          <w:b/>
          <w:sz w:val="20"/>
        </w:rPr>
      </w:pPr>
      <w:r>
        <w:rPr>
          <w:b/>
          <w:sz w:val="20"/>
        </w:rPr>
        <w:t>Program</w:t>
      </w:r>
      <w:r>
        <w:rPr>
          <w:b/>
          <w:spacing w:val="-8"/>
          <w:sz w:val="20"/>
        </w:rPr>
        <w:t> </w:t>
      </w:r>
      <w:r>
        <w:rPr>
          <w:b/>
          <w:sz w:val="20"/>
        </w:rPr>
        <w:t>Strengths</w:t>
      </w:r>
      <w:r>
        <w:rPr>
          <w:b/>
          <w:spacing w:val="-9"/>
          <w:sz w:val="20"/>
        </w:rPr>
        <w:t> </w:t>
      </w:r>
      <w:r>
        <w:rPr>
          <w:b/>
          <w:sz w:val="20"/>
        </w:rPr>
        <w:t>and</w:t>
      </w:r>
      <w:r>
        <w:rPr>
          <w:b/>
          <w:spacing w:val="-7"/>
          <w:sz w:val="20"/>
        </w:rPr>
        <w:t> </w:t>
      </w:r>
      <w:r>
        <w:rPr>
          <w:b/>
          <w:spacing w:val="-2"/>
          <w:sz w:val="20"/>
        </w:rPr>
        <w:t>Weakness</w:t>
      </w:r>
    </w:p>
    <w:p>
      <w:pPr>
        <w:pStyle w:val="BodyText"/>
        <w:spacing w:before="1"/>
        <w:rPr>
          <w:b/>
          <w:sz w:val="21"/>
        </w:rPr>
      </w:pPr>
    </w:p>
    <w:p>
      <w:pPr>
        <w:pStyle w:val="BodyText"/>
        <w:ind w:left="1220" w:right="705"/>
      </w:pPr>
      <w:r>
        <w:rPr/>
        <w:t>With the many challenges that we face given the uncertain economy and the range of issues faced</w:t>
      </w:r>
      <w:r>
        <w:rPr>
          <w:spacing w:val="-4"/>
        </w:rPr>
        <w:t> </w:t>
      </w:r>
      <w:r>
        <w:rPr/>
        <w:t>by</w:t>
      </w:r>
      <w:r>
        <w:rPr>
          <w:spacing w:val="-5"/>
        </w:rPr>
        <w:t> </w:t>
      </w:r>
      <w:r>
        <w:rPr/>
        <w:t>private,</w:t>
      </w:r>
      <w:r>
        <w:rPr>
          <w:spacing w:val="-2"/>
        </w:rPr>
        <w:t> </w:t>
      </w:r>
      <w:r>
        <w:rPr/>
        <w:t>endowment</w:t>
      </w:r>
      <w:r>
        <w:rPr>
          <w:spacing w:val="-4"/>
        </w:rPr>
        <w:t> </w:t>
      </w:r>
      <w:r>
        <w:rPr/>
        <w:t>driven</w:t>
      </w:r>
      <w:r>
        <w:rPr>
          <w:spacing w:val="-4"/>
        </w:rPr>
        <w:t> </w:t>
      </w:r>
      <w:r>
        <w:rPr/>
        <w:t>schools,</w:t>
      </w:r>
      <w:r>
        <w:rPr>
          <w:spacing w:val="-4"/>
        </w:rPr>
        <w:t> </w:t>
      </w:r>
      <w:r>
        <w:rPr/>
        <w:t>particularly</w:t>
      </w:r>
      <w:r>
        <w:rPr>
          <w:spacing w:val="-7"/>
        </w:rPr>
        <w:t> </w:t>
      </w:r>
      <w:r>
        <w:rPr/>
        <w:t>small,</w:t>
      </w:r>
      <w:r>
        <w:rPr>
          <w:spacing w:val="-4"/>
        </w:rPr>
        <w:t> </w:t>
      </w:r>
      <w:r>
        <w:rPr/>
        <w:t>Historically</w:t>
      </w:r>
      <w:r>
        <w:rPr>
          <w:spacing w:val="-5"/>
        </w:rPr>
        <w:t> </w:t>
      </w:r>
      <w:r>
        <w:rPr/>
        <w:t>Black</w:t>
      </w:r>
      <w:r>
        <w:rPr>
          <w:spacing w:val="-3"/>
        </w:rPr>
        <w:t> </w:t>
      </w:r>
      <w:r>
        <w:rPr/>
        <w:t>Colleges</w:t>
      </w:r>
      <w:r>
        <w:rPr>
          <w:spacing w:val="-3"/>
        </w:rPr>
        <w:t> </w:t>
      </w:r>
      <w:r>
        <w:rPr/>
        <w:t>and Universities, the HUDA Program is strong.</w:t>
      </w:r>
    </w:p>
    <w:p>
      <w:pPr>
        <w:pStyle w:val="BodyText"/>
        <w:spacing w:before="6"/>
      </w:pPr>
    </w:p>
    <w:p>
      <w:pPr>
        <w:spacing w:before="1"/>
        <w:ind w:left="500" w:right="0" w:firstLine="0"/>
        <w:jc w:val="left"/>
        <w:rPr>
          <w:b/>
          <w:sz w:val="20"/>
        </w:rPr>
      </w:pPr>
      <w:r>
        <w:rPr>
          <w:b/>
          <w:spacing w:val="-2"/>
          <w:sz w:val="20"/>
        </w:rPr>
        <w:t>Strengths</w:t>
      </w:r>
    </w:p>
    <w:p>
      <w:pPr>
        <w:pStyle w:val="BodyText"/>
        <w:spacing w:before="1"/>
        <w:rPr>
          <w:b/>
          <w:sz w:val="21"/>
        </w:rPr>
      </w:pPr>
    </w:p>
    <w:p>
      <w:pPr>
        <w:pStyle w:val="BodyText"/>
        <w:ind w:left="1220" w:right="499"/>
      </w:pPr>
      <w:r>
        <w:rPr/>
        <w:t>Our principal strengths lie within our human resources: our faculty, staff and our students. Our faculty</w:t>
      </w:r>
      <w:r>
        <w:rPr>
          <w:spacing w:val="-7"/>
        </w:rPr>
        <w:t> </w:t>
      </w:r>
      <w:r>
        <w:rPr/>
        <w:t>consists</w:t>
      </w:r>
      <w:r>
        <w:rPr>
          <w:spacing w:val="-3"/>
        </w:rPr>
        <w:t> </w:t>
      </w:r>
      <w:r>
        <w:rPr/>
        <w:t>of</w:t>
      </w:r>
      <w:r>
        <w:rPr>
          <w:spacing w:val="-2"/>
        </w:rPr>
        <w:t> </w:t>
      </w:r>
      <w:r>
        <w:rPr/>
        <w:t>full</w:t>
      </w:r>
      <w:r>
        <w:rPr>
          <w:spacing w:val="-5"/>
        </w:rPr>
        <w:t> </w:t>
      </w:r>
      <w:r>
        <w:rPr/>
        <w:t>time,</w:t>
      </w:r>
      <w:r>
        <w:rPr>
          <w:spacing w:val="-4"/>
        </w:rPr>
        <w:t> </w:t>
      </w:r>
      <w:r>
        <w:rPr/>
        <w:t>part-time</w:t>
      </w:r>
      <w:r>
        <w:rPr>
          <w:spacing w:val="-4"/>
        </w:rPr>
        <w:t> </w:t>
      </w:r>
      <w:r>
        <w:rPr/>
        <w:t>and</w:t>
      </w:r>
      <w:r>
        <w:rPr>
          <w:spacing w:val="-2"/>
        </w:rPr>
        <w:t> </w:t>
      </w:r>
      <w:r>
        <w:rPr/>
        <w:t>adjunct</w:t>
      </w:r>
      <w:r>
        <w:rPr>
          <w:spacing w:val="-4"/>
        </w:rPr>
        <w:t> </w:t>
      </w:r>
      <w:r>
        <w:rPr/>
        <w:t>members</w:t>
      </w:r>
      <w:r>
        <w:rPr>
          <w:spacing w:val="-3"/>
        </w:rPr>
        <w:t> </w:t>
      </w:r>
      <w:r>
        <w:rPr/>
        <w:t>who</w:t>
      </w:r>
      <w:r>
        <w:rPr>
          <w:spacing w:val="-2"/>
        </w:rPr>
        <w:t> </w:t>
      </w:r>
      <w:r>
        <w:rPr/>
        <w:t>are</w:t>
      </w:r>
      <w:r>
        <w:rPr>
          <w:spacing w:val="-4"/>
        </w:rPr>
        <w:t> </w:t>
      </w:r>
      <w:r>
        <w:rPr/>
        <w:t>collaborative,</w:t>
      </w:r>
      <w:r>
        <w:rPr>
          <w:spacing w:val="-2"/>
        </w:rPr>
        <w:t> </w:t>
      </w:r>
      <w:r>
        <w:rPr/>
        <w:t>committed,</w:t>
      </w:r>
      <w:r>
        <w:rPr>
          <w:spacing w:val="-4"/>
        </w:rPr>
        <w:t> </w:t>
      </w:r>
      <w:r>
        <w:rPr/>
        <w:t>and creative. They are passionate about the University, the students and architectural education.</w:t>
      </w:r>
    </w:p>
    <w:p>
      <w:pPr>
        <w:pStyle w:val="BodyText"/>
        <w:spacing w:before="11"/>
      </w:pPr>
    </w:p>
    <w:p>
      <w:pPr>
        <w:pStyle w:val="BodyText"/>
        <w:ind w:left="1220"/>
      </w:pPr>
      <w:r>
        <w:rPr/>
        <w:t>The</w:t>
      </w:r>
      <w:r>
        <w:rPr>
          <w:spacing w:val="-4"/>
        </w:rPr>
        <w:t> </w:t>
      </w:r>
      <w:r>
        <w:rPr/>
        <w:t>collaborative</w:t>
      </w:r>
      <w:r>
        <w:rPr>
          <w:spacing w:val="-4"/>
        </w:rPr>
        <w:t> </w:t>
      </w:r>
      <w:r>
        <w:rPr/>
        <w:t>nature</w:t>
      </w:r>
      <w:r>
        <w:rPr>
          <w:spacing w:val="-2"/>
        </w:rPr>
        <w:t> </w:t>
      </w:r>
      <w:r>
        <w:rPr/>
        <w:t>of</w:t>
      </w:r>
      <w:r>
        <w:rPr>
          <w:spacing w:val="-2"/>
        </w:rPr>
        <w:t> </w:t>
      </w:r>
      <w:r>
        <w:rPr/>
        <w:t>our</w:t>
      </w:r>
      <w:r>
        <w:rPr>
          <w:spacing w:val="-3"/>
        </w:rPr>
        <w:t> </w:t>
      </w:r>
      <w:r>
        <w:rPr/>
        <w:t>team is</w:t>
      </w:r>
      <w:r>
        <w:rPr>
          <w:spacing w:val="-3"/>
        </w:rPr>
        <w:t> </w:t>
      </w:r>
      <w:r>
        <w:rPr/>
        <w:t>evidenced</w:t>
      </w:r>
      <w:r>
        <w:rPr>
          <w:spacing w:val="-2"/>
        </w:rPr>
        <w:t> </w:t>
      </w:r>
      <w:r>
        <w:rPr/>
        <w:t>in</w:t>
      </w:r>
      <w:r>
        <w:rPr>
          <w:spacing w:val="-2"/>
        </w:rPr>
        <w:t> </w:t>
      </w:r>
      <w:r>
        <w:rPr/>
        <w:t>many</w:t>
      </w:r>
      <w:r>
        <w:rPr>
          <w:spacing w:val="-5"/>
        </w:rPr>
        <w:t> </w:t>
      </w:r>
      <w:r>
        <w:rPr/>
        <w:t>ways.</w:t>
      </w:r>
      <w:r>
        <w:rPr>
          <w:spacing w:val="-4"/>
        </w:rPr>
        <w:t> </w:t>
      </w:r>
      <w:r>
        <w:rPr/>
        <w:t>Critical</w:t>
      </w:r>
      <w:r>
        <w:rPr>
          <w:spacing w:val="-3"/>
        </w:rPr>
        <w:t> </w:t>
      </w:r>
      <w:r>
        <w:rPr/>
        <w:t>decisions</w:t>
      </w:r>
      <w:r>
        <w:rPr>
          <w:spacing w:val="-1"/>
        </w:rPr>
        <w:t> </w:t>
      </w:r>
      <w:r>
        <w:rPr/>
        <w:t>are</w:t>
      </w:r>
      <w:r>
        <w:rPr>
          <w:spacing w:val="-4"/>
        </w:rPr>
        <w:t> </w:t>
      </w:r>
      <w:r>
        <w:rPr/>
        <w:t>made</w:t>
      </w:r>
      <w:r>
        <w:rPr>
          <w:spacing w:val="-4"/>
        </w:rPr>
        <w:t> </w:t>
      </w:r>
      <w:r>
        <w:rPr/>
        <w:t>after deliberations that seeks consensus. We work with each other, to assist in the preparation of</w:t>
      </w:r>
    </w:p>
    <w:p>
      <w:pPr>
        <w:spacing w:after="0"/>
        <w:sectPr>
          <w:pgSz w:w="12240" w:h="15840"/>
          <w:pgMar w:header="0" w:footer="974" w:top="1360" w:bottom="1160" w:left="940" w:right="960"/>
        </w:sectPr>
      </w:pPr>
    </w:p>
    <w:p>
      <w:pPr>
        <w:pStyle w:val="BodyText"/>
        <w:spacing w:before="77"/>
        <w:ind w:left="1219" w:right="499"/>
      </w:pPr>
      <w:r>
        <w:rPr/>
        <w:t>course</w:t>
      </w:r>
      <w:r>
        <w:rPr>
          <w:spacing w:val="-4"/>
        </w:rPr>
        <w:t> </w:t>
      </w:r>
      <w:r>
        <w:rPr/>
        <w:t>materials</w:t>
      </w:r>
      <w:r>
        <w:rPr>
          <w:spacing w:val="-3"/>
        </w:rPr>
        <w:t> </w:t>
      </w:r>
      <w:r>
        <w:rPr/>
        <w:t>and</w:t>
      </w:r>
      <w:r>
        <w:rPr>
          <w:spacing w:val="-4"/>
        </w:rPr>
        <w:t> </w:t>
      </w:r>
      <w:r>
        <w:rPr/>
        <w:t>content.</w:t>
      </w:r>
      <w:r>
        <w:rPr>
          <w:spacing w:val="-8"/>
        </w:rPr>
        <w:t> </w:t>
      </w:r>
      <w:r>
        <w:rPr/>
        <w:t>We</w:t>
      </w:r>
      <w:r>
        <w:rPr>
          <w:spacing w:val="-4"/>
        </w:rPr>
        <w:t> </w:t>
      </w:r>
      <w:r>
        <w:rPr/>
        <w:t>work across</w:t>
      </w:r>
      <w:r>
        <w:rPr>
          <w:spacing w:val="-3"/>
        </w:rPr>
        <w:t> </w:t>
      </w:r>
      <w:r>
        <w:rPr/>
        <w:t>programs</w:t>
      </w:r>
      <w:r>
        <w:rPr>
          <w:spacing w:val="-3"/>
        </w:rPr>
        <w:t> </w:t>
      </w:r>
      <w:r>
        <w:rPr/>
        <w:t>to</w:t>
      </w:r>
      <w:r>
        <w:rPr>
          <w:spacing w:val="-4"/>
        </w:rPr>
        <w:t> </w:t>
      </w:r>
      <w:r>
        <w:rPr/>
        <w:t>expand</w:t>
      </w:r>
      <w:r>
        <w:rPr>
          <w:spacing w:val="-2"/>
        </w:rPr>
        <w:t> </w:t>
      </w:r>
      <w:r>
        <w:rPr/>
        <w:t>the</w:t>
      </w:r>
      <w:r>
        <w:rPr>
          <w:spacing w:val="-2"/>
        </w:rPr>
        <w:t> </w:t>
      </w:r>
      <w:r>
        <w:rPr/>
        <w:t>nature</w:t>
      </w:r>
      <w:r>
        <w:rPr>
          <w:spacing w:val="-4"/>
        </w:rPr>
        <w:t> </w:t>
      </w:r>
      <w:r>
        <w:rPr/>
        <w:t>of architecture</w:t>
      </w:r>
      <w:r>
        <w:rPr>
          <w:spacing w:val="-2"/>
        </w:rPr>
        <w:t> </w:t>
      </w:r>
      <w:r>
        <w:rPr/>
        <w:t>for our students. Collaborations include work with the Departments of Engineering, Aviation, Engineering, Marine and Environmental Science, Art, Physics, Fine and Performing Arts, and </w:t>
      </w:r>
      <w:r>
        <w:rPr>
          <w:spacing w:val="-2"/>
        </w:rPr>
        <w:t>Math.</w:t>
      </w:r>
    </w:p>
    <w:p>
      <w:pPr>
        <w:pStyle w:val="BodyText"/>
        <w:spacing w:before="9"/>
      </w:pPr>
    </w:p>
    <w:p>
      <w:pPr>
        <w:pStyle w:val="BodyText"/>
        <w:ind w:left="1219" w:right="499"/>
      </w:pPr>
      <w:r>
        <w:rPr/>
        <w:t>The university encourages units to seek independent outside sources for financing department functions. While fundraising has been made more difficult by nationwide economic issues, we have been able to raise capital to fund specific activities, such as construction of the two Solar Decathlon</w:t>
      </w:r>
      <w:r>
        <w:rPr>
          <w:spacing w:val="-2"/>
        </w:rPr>
        <w:t> </w:t>
      </w:r>
      <w:r>
        <w:rPr/>
        <w:t>houses,</w:t>
      </w:r>
      <w:r>
        <w:rPr>
          <w:spacing w:val="-2"/>
        </w:rPr>
        <w:t> </w:t>
      </w:r>
      <w:r>
        <w:rPr/>
        <w:t>the</w:t>
      </w:r>
      <w:r>
        <w:rPr>
          <w:spacing w:val="-2"/>
        </w:rPr>
        <w:t> </w:t>
      </w:r>
      <w:r>
        <w:rPr/>
        <w:t>international</w:t>
      </w:r>
      <w:r>
        <w:rPr>
          <w:spacing w:val="-5"/>
        </w:rPr>
        <w:t> </w:t>
      </w:r>
      <w:r>
        <w:rPr/>
        <w:t>travel</w:t>
      </w:r>
      <w:r>
        <w:rPr>
          <w:spacing w:val="-5"/>
        </w:rPr>
        <w:t> </w:t>
      </w:r>
      <w:r>
        <w:rPr/>
        <w:t>studio</w:t>
      </w:r>
      <w:r>
        <w:rPr>
          <w:spacing w:val="-2"/>
        </w:rPr>
        <w:t> </w:t>
      </w:r>
      <w:r>
        <w:rPr/>
        <w:t>and</w:t>
      </w:r>
      <w:r>
        <w:rPr>
          <w:spacing w:val="-4"/>
        </w:rPr>
        <w:t> </w:t>
      </w:r>
      <w:r>
        <w:rPr/>
        <w:t>other</w:t>
      </w:r>
      <w:r>
        <w:rPr>
          <w:spacing w:val="-3"/>
        </w:rPr>
        <w:t> </w:t>
      </w:r>
      <w:r>
        <w:rPr/>
        <w:t>student</w:t>
      </w:r>
      <w:r>
        <w:rPr>
          <w:spacing w:val="-4"/>
        </w:rPr>
        <w:t> </w:t>
      </w:r>
      <w:r>
        <w:rPr/>
        <w:t>travel</w:t>
      </w:r>
      <w:r>
        <w:rPr>
          <w:spacing w:val="-5"/>
        </w:rPr>
        <w:t> </w:t>
      </w:r>
      <w:r>
        <w:rPr/>
        <w:t>activities.</w:t>
      </w:r>
      <w:r>
        <w:rPr>
          <w:spacing w:val="-6"/>
        </w:rPr>
        <w:t> </w:t>
      </w:r>
      <w:r>
        <w:rPr/>
        <w:t>We</w:t>
      </w:r>
      <w:r>
        <w:rPr>
          <w:spacing w:val="-4"/>
        </w:rPr>
        <w:t> </w:t>
      </w:r>
      <w:r>
        <w:rPr/>
        <w:t>have</w:t>
      </w:r>
      <w:r>
        <w:rPr>
          <w:spacing w:val="-2"/>
        </w:rPr>
        <w:t> </w:t>
      </w:r>
      <w:r>
        <w:rPr/>
        <w:t>also received support for equipment, including a gift from a former student and a grant from Hewlett Packard. These, combined with generous university support through its Title III funding have allowed our program to remain outfitted so that our students meet our learning objectives.</w:t>
      </w:r>
      <w:r>
        <w:rPr>
          <w:spacing w:val="40"/>
        </w:rPr>
        <w:t> </w:t>
      </w:r>
      <w:r>
        <w:rPr/>
        <w:t>The School and Department are working closely with the Office of Development to identify new sources of external support.</w:t>
      </w:r>
    </w:p>
    <w:p>
      <w:pPr>
        <w:pStyle w:val="BodyText"/>
        <w:spacing w:before="1"/>
        <w:rPr>
          <w:sz w:val="21"/>
        </w:rPr>
      </w:pPr>
    </w:p>
    <w:p>
      <w:pPr>
        <w:pStyle w:val="BodyText"/>
        <w:ind w:left="1219" w:right="705"/>
      </w:pPr>
      <w:r>
        <w:rPr/>
        <w:t>The level of commitment is characterized by the level of sacrifice made continuously by our faculty, who often use their personal resources to assist and advance the cause of student learning.</w:t>
      </w:r>
      <w:r>
        <w:rPr>
          <w:spacing w:val="-4"/>
        </w:rPr>
        <w:t> </w:t>
      </w:r>
      <w:r>
        <w:rPr/>
        <w:t>This</w:t>
      </w:r>
      <w:r>
        <w:rPr>
          <w:spacing w:val="-3"/>
        </w:rPr>
        <w:t> </w:t>
      </w:r>
      <w:r>
        <w:rPr/>
        <w:t>has</w:t>
      </w:r>
      <w:r>
        <w:rPr>
          <w:spacing w:val="-3"/>
        </w:rPr>
        <w:t> </w:t>
      </w:r>
      <w:r>
        <w:rPr/>
        <w:t>included providing</w:t>
      </w:r>
      <w:r>
        <w:rPr>
          <w:spacing w:val="-4"/>
        </w:rPr>
        <w:t> </w:t>
      </w:r>
      <w:r>
        <w:rPr/>
        <w:t>funds</w:t>
      </w:r>
      <w:r>
        <w:rPr>
          <w:spacing w:val="-3"/>
        </w:rPr>
        <w:t> </w:t>
      </w:r>
      <w:r>
        <w:rPr/>
        <w:t>to</w:t>
      </w:r>
      <w:r>
        <w:rPr>
          <w:spacing w:val="-4"/>
        </w:rPr>
        <w:t> </w:t>
      </w:r>
      <w:r>
        <w:rPr/>
        <w:t>help</w:t>
      </w:r>
      <w:r>
        <w:rPr>
          <w:spacing w:val="-4"/>
        </w:rPr>
        <w:t> </w:t>
      </w:r>
      <w:r>
        <w:rPr/>
        <w:t>support</w:t>
      </w:r>
      <w:r>
        <w:rPr>
          <w:spacing w:val="-4"/>
        </w:rPr>
        <w:t> </w:t>
      </w:r>
      <w:r>
        <w:rPr/>
        <w:t>student</w:t>
      </w:r>
      <w:r>
        <w:rPr>
          <w:spacing w:val="-4"/>
        </w:rPr>
        <w:t> </w:t>
      </w:r>
      <w:r>
        <w:rPr/>
        <w:t>travel</w:t>
      </w:r>
      <w:r>
        <w:rPr>
          <w:spacing w:val="-3"/>
        </w:rPr>
        <w:t> </w:t>
      </w:r>
      <w:r>
        <w:rPr/>
        <w:t>and</w:t>
      </w:r>
      <w:r>
        <w:rPr>
          <w:spacing w:val="-2"/>
        </w:rPr>
        <w:t> </w:t>
      </w:r>
      <w:r>
        <w:rPr/>
        <w:t>purchase</w:t>
      </w:r>
      <w:r>
        <w:rPr>
          <w:spacing w:val="-4"/>
        </w:rPr>
        <w:t> </w:t>
      </w:r>
      <w:r>
        <w:rPr/>
        <w:t>student </w:t>
      </w:r>
      <w:r>
        <w:rPr>
          <w:spacing w:val="-2"/>
        </w:rPr>
        <w:t>supplies.</w:t>
      </w:r>
    </w:p>
    <w:p>
      <w:pPr>
        <w:pStyle w:val="BodyText"/>
        <w:spacing w:before="9"/>
      </w:pPr>
    </w:p>
    <w:p>
      <w:pPr>
        <w:pStyle w:val="BodyText"/>
        <w:ind w:left="1219" w:right="506"/>
      </w:pPr>
      <w:r>
        <w:rPr/>
        <w:t>The nature of creative effort is best exemplified in the level of resourcefulness displayed on a daily basis by faculty and students. Despite limited resources, we have been able to achieve significant</w:t>
      </w:r>
      <w:r>
        <w:rPr>
          <w:spacing w:val="-5"/>
        </w:rPr>
        <w:t> </w:t>
      </w:r>
      <w:r>
        <w:rPr/>
        <w:t>accomplishments</w:t>
      </w:r>
      <w:r>
        <w:rPr>
          <w:spacing w:val="-4"/>
        </w:rPr>
        <w:t> </w:t>
      </w:r>
      <w:r>
        <w:rPr/>
        <w:t>during</w:t>
      </w:r>
      <w:r>
        <w:rPr>
          <w:spacing w:val="-3"/>
        </w:rPr>
        <w:t> </w:t>
      </w:r>
      <w:r>
        <w:rPr/>
        <w:t>the</w:t>
      </w:r>
      <w:r>
        <w:rPr>
          <w:spacing w:val="-3"/>
        </w:rPr>
        <w:t> </w:t>
      </w:r>
      <w:r>
        <w:rPr/>
        <w:t>past</w:t>
      </w:r>
      <w:r>
        <w:rPr>
          <w:spacing w:val="-5"/>
        </w:rPr>
        <w:t> </w:t>
      </w:r>
      <w:r>
        <w:rPr/>
        <w:t>six</w:t>
      </w:r>
      <w:r>
        <w:rPr>
          <w:spacing w:val="-1"/>
        </w:rPr>
        <w:t> </w:t>
      </w:r>
      <w:r>
        <w:rPr/>
        <w:t>years.</w:t>
      </w:r>
      <w:r>
        <w:rPr>
          <w:spacing w:val="-5"/>
        </w:rPr>
        <w:t> </w:t>
      </w:r>
      <w:r>
        <w:rPr/>
        <w:t>Those</w:t>
      </w:r>
      <w:r>
        <w:rPr>
          <w:spacing w:val="-5"/>
        </w:rPr>
        <w:t> </w:t>
      </w:r>
      <w:r>
        <w:rPr/>
        <w:t>successes,</w:t>
      </w:r>
      <w:r>
        <w:rPr>
          <w:spacing w:val="-5"/>
        </w:rPr>
        <w:t> </w:t>
      </w:r>
      <w:r>
        <w:rPr/>
        <w:t>as</w:t>
      </w:r>
      <w:r>
        <w:rPr>
          <w:spacing w:val="-4"/>
        </w:rPr>
        <w:t> </w:t>
      </w:r>
      <w:r>
        <w:rPr/>
        <w:t>described</w:t>
      </w:r>
      <w:r>
        <w:rPr>
          <w:spacing w:val="-5"/>
        </w:rPr>
        <w:t> </w:t>
      </w:r>
      <w:r>
        <w:rPr/>
        <w:t>above,</w:t>
      </w:r>
      <w:r>
        <w:rPr>
          <w:spacing w:val="-5"/>
        </w:rPr>
        <w:t> </w:t>
      </w:r>
      <w:r>
        <w:rPr/>
        <w:t>are a testament to the level of commitment and passion</w:t>
      </w:r>
    </w:p>
    <w:p>
      <w:pPr>
        <w:pStyle w:val="BodyText"/>
        <w:spacing w:before="9"/>
      </w:pPr>
    </w:p>
    <w:p>
      <w:pPr>
        <w:pStyle w:val="BodyText"/>
        <w:spacing w:before="1"/>
        <w:ind w:left="1219" w:right="705"/>
      </w:pPr>
      <w:r>
        <w:rPr/>
        <w:t>Our students are a rare group of diverse individuals who bring a wealth of passion and commitment</w:t>
      </w:r>
      <w:r>
        <w:rPr>
          <w:spacing w:val="-4"/>
        </w:rPr>
        <w:t> </w:t>
      </w:r>
      <w:r>
        <w:rPr/>
        <w:t>to</w:t>
      </w:r>
      <w:r>
        <w:rPr>
          <w:spacing w:val="-4"/>
        </w:rPr>
        <w:t> </w:t>
      </w:r>
      <w:r>
        <w:rPr/>
        <w:t>the</w:t>
      </w:r>
      <w:r>
        <w:rPr>
          <w:spacing w:val="-2"/>
        </w:rPr>
        <w:t> </w:t>
      </w:r>
      <w:r>
        <w:rPr/>
        <w:t>program.</w:t>
      </w:r>
      <w:r>
        <w:rPr>
          <w:spacing w:val="-4"/>
        </w:rPr>
        <w:t> </w:t>
      </w:r>
      <w:r>
        <w:rPr/>
        <w:t>The</w:t>
      </w:r>
      <w:r>
        <w:rPr>
          <w:spacing w:val="-4"/>
        </w:rPr>
        <w:t> </w:t>
      </w:r>
      <w:r>
        <w:rPr/>
        <w:t>level</w:t>
      </w:r>
      <w:r>
        <w:rPr>
          <w:spacing w:val="-3"/>
        </w:rPr>
        <w:t> </w:t>
      </w:r>
      <w:r>
        <w:rPr/>
        <w:t>of</w:t>
      </w:r>
      <w:r>
        <w:rPr>
          <w:spacing w:val="-2"/>
        </w:rPr>
        <w:t> </w:t>
      </w:r>
      <w:r>
        <w:rPr/>
        <w:t>diversity</w:t>
      </w:r>
      <w:r>
        <w:rPr>
          <w:spacing w:val="-7"/>
        </w:rPr>
        <w:t> </w:t>
      </w:r>
      <w:r>
        <w:rPr/>
        <w:t>crosses</w:t>
      </w:r>
      <w:r>
        <w:rPr>
          <w:spacing w:val="-3"/>
        </w:rPr>
        <w:t> </w:t>
      </w:r>
      <w:r>
        <w:rPr/>
        <w:t>age,</w:t>
      </w:r>
      <w:r>
        <w:rPr>
          <w:spacing w:val="-4"/>
        </w:rPr>
        <w:t> </w:t>
      </w:r>
      <w:r>
        <w:rPr/>
        <w:t>sex,</w:t>
      </w:r>
      <w:r>
        <w:rPr>
          <w:spacing w:val="-4"/>
        </w:rPr>
        <w:t> </w:t>
      </w:r>
      <w:r>
        <w:rPr/>
        <w:t>culture,</w:t>
      </w:r>
      <w:r>
        <w:rPr>
          <w:spacing w:val="-2"/>
        </w:rPr>
        <w:t> </w:t>
      </w:r>
      <w:r>
        <w:rPr/>
        <w:t>geographic</w:t>
      </w:r>
      <w:r>
        <w:rPr>
          <w:spacing w:val="-3"/>
        </w:rPr>
        <w:t> </w:t>
      </w:r>
      <w:r>
        <w:rPr/>
        <w:t>region, nationality</w:t>
      </w:r>
      <w:r>
        <w:rPr>
          <w:spacing w:val="-5"/>
        </w:rPr>
        <w:t> </w:t>
      </w:r>
      <w:r>
        <w:rPr/>
        <w:t>and</w:t>
      </w:r>
      <w:r>
        <w:rPr>
          <w:spacing w:val="-2"/>
        </w:rPr>
        <w:t> </w:t>
      </w:r>
      <w:r>
        <w:rPr/>
        <w:t>economic</w:t>
      </w:r>
      <w:r>
        <w:rPr>
          <w:spacing w:val="-3"/>
        </w:rPr>
        <w:t> </w:t>
      </w:r>
      <w:r>
        <w:rPr/>
        <w:t>backgrounds.</w:t>
      </w:r>
      <w:r>
        <w:rPr>
          <w:spacing w:val="-4"/>
        </w:rPr>
        <w:t> </w:t>
      </w:r>
      <w:r>
        <w:rPr/>
        <w:t>Our</w:t>
      </w:r>
      <w:r>
        <w:rPr>
          <w:spacing w:val="-3"/>
        </w:rPr>
        <w:t> </w:t>
      </w:r>
      <w:r>
        <w:rPr/>
        <w:t>students</w:t>
      </w:r>
      <w:r>
        <w:rPr>
          <w:spacing w:val="-3"/>
        </w:rPr>
        <w:t> </w:t>
      </w:r>
      <w:r>
        <w:rPr/>
        <w:t>seek ways to</w:t>
      </w:r>
      <w:r>
        <w:rPr>
          <w:spacing w:val="-4"/>
        </w:rPr>
        <w:t> </w:t>
      </w:r>
      <w:r>
        <w:rPr/>
        <w:t>make</w:t>
      </w:r>
      <w:r>
        <w:rPr>
          <w:spacing w:val="-4"/>
        </w:rPr>
        <w:t> </w:t>
      </w:r>
      <w:r>
        <w:rPr/>
        <w:t>architecture</w:t>
      </w:r>
      <w:r>
        <w:rPr>
          <w:spacing w:val="-4"/>
        </w:rPr>
        <w:t> </w:t>
      </w:r>
      <w:r>
        <w:rPr/>
        <w:t>fun.</w:t>
      </w:r>
      <w:r>
        <w:rPr>
          <w:spacing w:val="-3"/>
        </w:rPr>
        <w:t> </w:t>
      </w:r>
      <w:r>
        <w:rPr/>
        <w:t>They are engaged in a variety of activities that stimulate growth, cultivate positive community relationships and provide extracurricular growth opportunities.</w:t>
      </w:r>
    </w:p>
    <w:p>
      <w:pPr>
        <w:pStyle w:val="BodyText"/>
        <w:spacing w:before="7"/>
      </w:pPr>
    </w:p>
    <w:p>
      <w:pPr>
        <w:spacing w:before="0"/>
        <w:ind w:left="500" w:right="0" w:firstLine="0"/>
        <w:jc w:val="left"/>
        <w:rPr>
          <w:b/>
          <w:sz w:val="20"/>
        </w:rPr>
      </w:pPr>
      <w:r>
        <w:rPr>
          <w:b/>
          <w:spacing w:val="-2"/>
          <w:sz w:val="20"/>
        </w:rPr>
        <w:t>Weaknesses</w:t>
      </w:r>
    </w:p>
    <w:p>
      <w:pPr>
        <w:pStyle w:val="BodyText"/>
        <w:spacing w:before="1"/>
        <w:rPr>
          <w:b/>
          <w:sz w:val="21"/>
        </w:rPr>
      </w:pPr>
    </w:p>
    <w:p>
      <w:pPr>
        <w:pStyle w:val="BodyText"/>
        <w:ind w:left="1219" w:right="499"/>
      </w:pPr>
      <w:r>
        <w:rPr/>
        <w:t>Our primary weakness is lowering enrollment.</w:t>
      </w:r>
      <w:r>
        <w:rPr>
          <w:spacing w:val="40"/>
        </w:rPr>
        <w:t> </w:t>
      </w:r>
      <w:r>
        <w:rPr/>
        <w:t>The program had maintained from 160 to 180 students from 2004 to 2008 with eight faculty members and the University responded to enrollment</w:t>
      </w:r>
      <w:r>
        <w:rPr>
          <w:spacing w:val="-4"/>
        </w:rPr>
        <w:t> </w:t>
      </w:r>
      <w:r>
        <w:rPr/>
        <w:t>growth</w:t>
      </w:r>
      <w:r>
        <w:rPr>
          <w:spacing w:val="-2"/>
        </w:rPr>
        <w:t> </w:t>
      </w:r>
      <w:r>
        <w:rPr/>
        <w:t>in</w:t>
      </w:r>
      <w:r>
        <w:rPr>
          <w:spacing w:val="-2"/>
        </w:rPr>
        <w:t> </w:t>
      </w:r>
      <w:r>
        <w:rPr/>
        <w:t>2009</w:t>
      </w:r>
      <w:r>
        <w:rPr>
          <w:spacing w:val="-2"/>
        </w:rPr>
        <w:t> </w:t>
      </w:r>
      <w:r>
        <w:rPr/>
        <w:t>by</w:t>
      </w:r>
      <w:r>
        <w:rPr>
          <w:spacing w:val="-5"/>
        </w:rPr>
        <w:t> </w:t>
      </w:r>
      <w:r>
        <w:rPr/>
        <w:t>adding</w:t>
      </w:r>
      <w:r>
        <w:rPr>
          <w:spacing w:val="-2"/>
        </w:rPr>
        <w:t> </w:t>
      </w:r>
      <w:r>
        <w:rPr/>
        <w:t>a</w:t>
      </w:r>
      <w:r>
        <w:rPr>
          <w:spacing w:val="-4"/>
        </w:rPr>
        <w:t> </w:t>
      </w:r>
      <w:r>
        <w:rPr/>
        <w:t>full-time</w:t>
      </w:r>
      <w:r>
        <w:rPr>
          <w:spacing w:val="-4"/>
        </w:rPr>
        <w:t> </w:t>
      </w:r>
      <w:r>
        <w:rPr/>
        <w:t>faculty</w:t>
      </w:r>
      <w:r>
        <w:rPr>
          <w:spacing w:val="-5"/>
        </w:rPr>
        <w:t> </w:t>
      </w:r>
      <w:r>
        <w:rPr/>
        <w:t>slot,</w:t>
      </w:r>
      <w:r>
        <w:rPr>
          <w:spacing w:val="-2"/>
        </w:rPr>
        <w:t> </w:t>
      </w:r>
      <w:r>
        <w:rPr/>
        <w:t>and</w:t>
      </w:r>
      <w:r>
        <w:rPr>
          <w:spacing w:val="-4"/>
        </w:rPr>
        <w:t> </w:t>
      </w:r>
      <w:r>
        <w:rPr/>
        <w:t>releasing</w:t>
      </w:r>
      <w:r>
        <w:rPr>
          <w:spacing w:val="-4"/>
        </w:rPr>
        <w:t> </w:t>
      </w:r>
      <w:r>
        <w:rPr/>
        <w:t>Professor</w:t>
      </w:r>
      <w:r>
        <w:rPr>
          <w:spacing w:val="-3"/>
        </w:rPr>
        <w:t> </w:t>
      </w:r>
      <w:r>
        <w:rPr/>
        <w:t>Kloster</w:t>
      </w:r>
      <w:r>
        <w:rPr>
          <w:spacing w:val="-3"/>
        </w:rPr>
        <w:t> </w:t>
      </w:r>
      <w:r>
        <w:rPr/>
        <w:t>from his dual</w:t>
      </w:r>
      <w:r>
        <w:rPr>
          <w:spacing w:val="-2"/>
        </w:rPr>
        <w:t> </w:t>
      </w:r>
      <w:r>
        <w:rPr/>
        <w:t>roles within the School</w:t>
      </w:r>
      <w:r>
        <w:rPr>
          <w:spacing w:val="-2"/>
        </w:rPr>
        <w:t> </w:t>
      </w:r>
      <w:r>
        <w:rPr/>
        <w:t>of Engineering and Technology.</w:t>
      </w:r>
      <w:r>
        <w:rPr>
          <w:spacing w:val="-1"/>
        </w:rPr>
        <w:t> </w:t>
      </w:r>
      <w:r>
        <w:rPr/>
        <w:t>The faculty</w:t>
      </w:r>
      <w:r>
        <w:rPr>
          <w:spacing w:val="-4"/>
        </w:rPr>
        <w:t> </w:t>
      </w:r>
      <w:r>
        <w:rPr/>
        <w:t>to</w:t>
      </w:r>
      <w:r>
        <w:rPr>
          <w:spacing w:val="-1"/>
        </w:rPr>
        <w:t> </w:t>
      </w:r>
      <w:r>
        <w:rPr/>
        <w:t>student</w:t>
      </w:r>
      <w:r>
        <w:rPr>
          <w:spacing w:val="-1"/>
        </w:rPr>
        <w:t> </w:t>
      </w:r>
      <w:r>
        <w:rPr/>
        <w:t>ratio was </w:t>
      </w:r>
      <w:r>
        <w:rPr>
          <w:spacing w:val="-2"/>
        </w:rPr>
        <w:t>21:1.</w:t>
      </w:r>
    </w:p>
    <w:p>
      <w:pPr>
        <w:pStyle w:val="BodyText"/>
        <w:spacing w:before="10"/>
      </w:pPr>
    </w:p>
    <w:p>
      <w:pPr>
        <w:pStyle w:val="BodyText"/>
        <w:ind w:left="1219" w:right="499"/>
      </w:pPr>
      <w:r>
        <w:rPr/>
        <w:t>The biggest recent human resources challenge in the program was in 2012-2013, when the department</w:t>
      </w:r>
      <w:r>
        <w:rPr>
          <w:spacing w:val="-2"/>
        </w:rPr>
        <w:t> </w:t>
      </w:r>
      <w:r>
        <w:rPr/>
        <w:t>was</w:t>
      </w:r>
      <w:r>
        <w:rPr>
          <w:spacing w:val="-3"/>
        </w:rPr>
        <w:t> </w:t>
      </w:r>
      <w:r>
        <w:rPr/>
        <w:t>essentially</w:t>
      </w:r>
      <w:r>
        <w:rPr>
          <w:spacing w:val="-5"/>
        </w:rPr>
        <w:t> </w:t>
      </w:r>
      <w:r>
        <w:rPr/>
        <w:t>down</w:t>
      </w:r>
      <w:r>
        <w:rPr>
          <w:spacing w:val="-2"/>
        </w:rPr>
        <w:t> </w:t>
      </w:r>
      <w:r>
        <w:rPr/>
        <w:t>to</w:t>
      </w:r>
      <w:r>
        <w:rPr>
          <w:spacing w:val="-4"/>
        </w:rPr>
        <w:t> </w:t>
      </w:r>
      <w:r>
        <w:rPr/>
        <w:t>seven</w:t>
      </w:r>
      <w:r>
        <w:rPr>
          <w:spacing w:val="-4"/>
        </w:rPr>
        <w:t> </w:t>
      </w:r>
      <w:r>
        <w:rPr/>
        <w:t>faculty</w:t>
      </w:r>
      <w:r>
        <w:rPr>
          <w:spacing w:val="-7"/>
        </w:rPr>
        <w:t> </w:t>
      </w:r>
      <w:r>
        <w:rPr/>
        <w:t>members</w:t>
      </w:r>
      <w:r>
        <w:rPr>
          <w:spacing w:val="-1"/>
        </w:rPr>
        <w:t> </w:t>
      </w:r>
      <w:r>
        <w:rPr/>
        <w:t>when</w:t>
      </w:r>
      <w:r>
        <w:rPr>
          <w:spacing w:val="-4"/>
        </w:rPr>
        <w:t> </w:t>
      </w:r>
      <w:r>
        <w:rPr/>
        <w:t>one</w:t>
      </w:r>
      <w:r>
        <w:rPr>
          <w:spacing w:val="-4"/>
        </w:rPr>
        <w:t> </w:t>
      </w:r>
      <w:r>
        <w:rPr/>
        <w:t>faculty</w:t>
      </w:r>
      <w:r>
        <w:rPr>
          <w:spacing w:val="-7"/>
        </w:rPr>
        <w:t> </w:t>
      </w:r>
      <w:r>
        <w:rPr/>
        <w:t>(Chance)</w:t>
      </w:r>
      <w:r>
        <w:rPr>
          <w:spacing w:val="-3"/>
        </w:rPr>
        <w:t> </w:t>
      </w:r>
      <w:r>
        <w:rPr/>
        <w:t>member was away</w:t>
      </w:r>
      <w:r>
        <w:rPr>
          <w:spacing w:val="-2"/>
        </w:rPr>
        <w:t> </w:t>
      </w:r>
      <w:r>
        <w:rPr/>
        <w:t>from campus on a Fulbright Fellowship and another (Peronnet) was provided release time to spearhead the Solar Decathlon project.</w:t>
      </w:r>
      <w:r>
        <w:rPr>
          <w:spacing w:val="40"/>
        </w:rPr>
        <w:t> </w:t>
      </w:r>
      <w:r>
        <w:rPr/>
        <w:t>The lower enrollment made this situation manageable.</w:t>
      </w:r>
      <w:r>
        <w:rPr>
          <w:spacing w:val="40"/>
        </w:rPr>
        <w:t> </w:t>
      </w:r>
      <w:r>
        <w:rPr/>
        <w:t>At the conclusion of the 2012-13 academic year, these two faculty were again available, but two faculty</w:t>
      </w:r>
      <w:r>
        <w:rPr>
          <w:spacing w:val="-1"/>
        </w:rPr>
        <w:t> </w:t>
      </w:r>
      <w:r>
        <w:rPr/>
        <w:t>members left the department in the summer of 2013.</w:t>
      </w:r>
      <w:r>
        <w:rPr>
          <w:spacing w:val="40"/>
        </w:rPr>
        <w:t> </w:t>
      </w:r>
      <w:r>
        <w:rPr/>
        <w:t>The department had eight fulltime faculty members for 2013-2014 and with enrollment approximately 140, the student to faculty ration was now 17.5.</w:t>
      </w:r>
    </w:p>
    <w:p>
      <w:pPr>
        <w:pStyle w:val="BodyText"/>
        <w:rPr>
          <w:sz w:val="21"/>
        </w:rPr>
      </w:pPr>
    </w:p>
    <w:p>
      <w:pPr>
        <w:pStyle w:val="BodyText"/>
        <w:ind w:left="1219" w:right="499"/>
      </w:pPr>
      <w:r>
        <w:rPr/>
        <w:t>The continued reductions in departmental enrollment (a drop of more than 37% compared with 2009), resulted in a reassessment of faculty allocations, but the University has maintained the improvements in student to faculty ratio. This past academic year, a veteran and tenured full Professor</w:t>
      </w:r>
      <w:r>
        <w:rPr>
          <w:spacing w:val="-3"/>
        </w:rPr>
        <w:t> </w:t>
      </w:r>
      <w:r>
        <w:rPr/>
        <w:t>resigned</w:t>
      </w:r>
      <w:r>
        <w:rPr>
          <w:spacing w:val="-2"/>
        </w:rPr>
        <w:t> </w:t>
      </w:r>
      <w:r>
        <w:rPr/>
        <w:t>and</w:t>
      </w:r>
      <w:r>
        <w:rPr>
          <w:spacing w:val="-4"/>
        </w:rPr>
        <w:t> </w:t>
      </w:r>
      <w:r>
        <w:rPr/>
        <w:t>the</w:t>
      </w:r>
      <w:r>
        <w:rPr>
          <w:spacing w:val="-2"/>
        </w:rPr>
        <w:t> </w:t>
      </w:r>
      <w:r>
        <w:rPr/>
        <w:t>University</w:t>
      </w:r>
      <w:r>
        <w:rPr>
          <w:spacing w:val="-5"/>
        </w:rPr>
        <w:t> </w:t>
      </w:r>
      <w:r>
        <w:rPr/>
        <w:t>is</w:t>
      </w:r>
      <w:r>
        <w:rPr>
          <w:spacing w:val="-3"/>
        </w:rPr>
        <w:t> </w:t>
      </w:r>
      <w:r>
        <w:rPr/>
        <w:t>reviewing</w:t>
      </w:r>
      <w:r>
        <w:rPr>
          <w:spacing w:val="-2"/>
        </w:rPr>
        <w:t> </w:t>
      </w:r>
      <w:r>
        <w:rPr/>
        <w:t>whether</w:t>
      </w:r>
      <w:r>
        <w:rPr>
          <w:spacing w:val="-3"/>
        </w:rPr>
        <w:t> </w:t>
      </w:r>
      <w:r>
        <w:rPr/>
        <w:t>the</w:t>
      </w:r>
      <w:r>
        <w:rPr>
          <w:spacing w:val="-4"/>
        </w:rPr>
        <w:t> </w:t>
      </w:r>
      <w:r>
        <w:rPr/>
        <w:t>slot</w:t>
      </w:r>
      <w:r>
        <w:rPr>
          <w:spacing w:val="-4"/>
        </w:rPr>
        <w:t> </w:t>
      </w:r>
      <w:r>
        <w:rPr/>
        <w:t>should</w:t>
      </w:r>
      <w:r>
        <w:rPr>
          <w:spacing w:val="-4"/>
        </w:rPr>
        <w:t> </w:t>
      </w:r>
      <w:r>
        <w:rPr/>
        <w:t>be</w:t>
      </w:r>
      <w:r>
        <w:rPr>
          <w:spacing w:val="-2"/>
        </w:rPr>
        <w:t> </w:t>
      </w:r>
      <w:r>
        <w:rPr/>
        <w:t>filled,</w:t>
      </w:r>
      <w:r>
        <w:rPr>
          <w:spacing w:val="-4"/>
        </w:rPr>
        <w:t> </w:t>
      </w:r>
      <w:r>
        <w:rPr/>
        <w:t>depending</w:t>
      </w:r>
      <w:r>
        <w:rPr>
          <w:spacing w:val="-4"/>
        </w:rPr>
        <w:t> </w:t>
      </w:r>
      <w:r>
        <w:rPr/>
        <w:t>on enrollment.</w:t>
      </w:r>
      <w:r>
        <w:rPr>
          <w:spacing w:val="40"/>
        </w:rPr>
        <w:t> </w:t>
      </w:r>
      <w:r>
        <w:rPr/>
        <w:t>As the 2014-2015 academic year starts, we are currently</w:t>
      </w:r>
      <w:r>
        <w:rPr>
          <w:spacing w:val="-1"/>
        </w:rPr>
        <w:t> </w:t>
      </w:r>
      <w:r>
        <w:rPr/>
        <w:t>at seven (6.75 FTE’s), and the student to faculty ratio is between 16 and 17 (we await the official enrollment count for 2014- 2015), which</w:t>
      </w:r>
      <w:r>
        <w:rPr>
          <w:spacing w:val="-1"/>
        </w:rPr>
        <w:t> </w:t>
      </w:r>
      <w:r>
        <w:rPr/>
        <w:t>is an</w:t>
      </w:r>
      <w:r>
        <w:rPr>
          <w:spacing w:val="-1"/>
        </w:rPr>
        <w:t> </w:t>
      </w:r>
      <w:r>
        <w:rPr/>
        <w:t>improvement</w:t>
      </w:r>
      <w:r>
        <w:rPr>
          <w:spacing w:val="-2"/>
        </w:rPr>
        <w:t> </w:t>
      </w:r>
      <w:r>
        <w:rPr/>
        <w:t>over the</w:t>
      </w:r>
      <w:r>
        <w:rPr>
          <w:spacing w:val="-1"/>
        </w:rPr>
        <w:t> </w:t>
      </w:r>
      <w:r>
        <w:rPr/>
        <w:t>2009</w:t>
      </w:r>
      <w:r>
        <w:rPr>
          <w:spacing w:val="-1"/>
        </w:rPr>
        <w:t> </w:t>
      </w:r>
      <w:r>
        <w:rPr/>
        <w:t>ratio as well</w:t>
      </w:r>
      <w:r>
        <w:rPr>
          <w:spacing w:val="-2"/>
        </w:rPr>
        <w:t> </w:t>
      </w:r>
      <w:r>
        <w:rPr/>
        <w:t>as the</w:t>
      </w:r>
      <w:r>
        <w:rPr>
          <w:spacing w:val="-1"/>
        </w:rPr>
        <w:t> </w:t>
      </w:r>
      <w:r>
        <w:rPr/>
        <w:t>2012-2013</w:t>
      </w:r>
      <w:r>
        <w:rPr>
          <w:spacing w:val="-1"/>
        </w:rPr>
        <w:t> </w:t>
      </w:r>
      <w:r>
        <w:rPr/>
        <w:t>ratio.</w:t>
      </w:r>
      <w:r>
        <w:rPr>
          <w:spacing w:val="40"/>
        </w:rPr>
        <w:t> </w:t>
      </w:r>
      <w:r>
        <w:rPr/>
        <w:t>The</w:t>
      </w:r>
      <w:r>
        <w:rPr>
          <w:spacing w:val="-1"/>
        </w:rPr>
        <w:t> </w:t>
      </w:r>
      <w:r>
        <w:rPr/>
        <w:t>program has relied on adjunct professors to fill the gaps in our curriculum, including Mr. Sherman Brown,</w:t>
      </w:r>
    </w:p>
    <w:p>
      <w:pPr>
        <w:spacing w:after="0"/>
        <w:sectPr>
          <w:pgSz w:w="12240" w:h="15840"/>
          <w:pgMar w:header="0" w:footer="974" w:top="1360" w:bottom="1160" w:left="940" w:right="960"/>
        </w:sectPr>
      </w:pPr>
    </w:p>
    <w:p>
      <w:pPr>
        <w:pStyle w:val="BodyText"/>
        <w:spacing w:before="77"/>
        <w:ind w:left="1219" w:right="499"/>
      </w:pPr>
      <w:r>
        <w:rPr/>
        <w:t>who is</w:t>
      </w:r>
      <w:r>
        <w:rPr>
          <w:spacing w:val="-1"/>
        </w:rPr>
        <w:t> </w:t>
      </w:r>
      <w:r>
        <w:rPr/>
        <w:t>available to participate</w:t>
      </w:r>
      <w:r>
        <w:rPr>
          <w:spacing w:val="-2"/>
        </w:rPr>
        <w:t> </w:t>
      </w:r>
      <w:r>
        <w:rPr/>
        <w:t>in</w:t>
      </w:r>
      <w:r>
        <w:rPr>
          <w:spacing w:val="-2"/>
        </w:rPr>
        <w:t> </w:t>
      </w:r>
      <w:r>
        <w:rPr/>
        <w:t>most</w:t>
      </w:r>
      <w:r>
        <w:rPr>
          <w:spacing w:val="-2"/>
        </w:rPr>
        <w:t> </w:t>
      </w:r>
      <w:r>
        <w:rPr/>
        <w:t>faculty</w:t>
      </w:r>
      <w:r>
        <w:rPr>
          <w:spacing w:val="-5"/>
        </w:rPr>
        <w:t> </w:t>
      </w:r>
      <w:r>
        <w:rPr/>
        <w:t>activities.</w:t>
      </w:r>
      <w:r>
        <w:rPr>
          <w:spacing w:val="40"/>
        </w:rPr>
        <w:t> </w:t>
      </w:r>
      <w:r>
        <w:rPr/>
        <w:t>The</w:t>
      </w:r>
      <w:r>
        <w:rPr>
          <w:spacing w:val="-2"/>
        </w:rPr>
        <w:t> </w:t>
      </w:r>
      <w:r>
        <w:rPr/>
        <w:t>Department,</w:t>
      </w:r>
      <w:r>
        <w:rPr>
          <w:spacing w:val="-2"/>
        </w:rPr>
        <w:t> </w:t>
      </w:r>
      <w:r>
        <w:rPr/>
        <w:t>School</w:t>
      </w:r>
      <w:r>
        <w:rPr>
          <w:spacing w:val="-1"/>
        </w:rPr>
        <w:t> </w:t>
      </w:r>
      <w:r>
        <w:rPr/>
        <w:t>and</w:t>
      </w:r>
      <w:r>
        <w:rPr>
          <w:spacing w:val="-2"/>
        </w:rPr>
        <w:t> </w:t>
      </w:r>
      <w:r>
        <w:rPr/>
        <w:t>University will continue to work together to maintain faculty resources and maintain the capacity of the program to network in the community, to conduct research and to do fund raising despite the enrollment</w:t>
      </w:r>
      <w:r>
        <w:rPr>
          <w:spacing w:val="-4"/>
        </w:rPr>
        <w:t> </w:t>
      </w:r>
      <w:r>
        <w:rPr/>
        <w:t>fluctuations.</w:t>
      </w:r>
      <w:r>
        <w:rPr>
          <w:spacing w:val="40"/>
        </w:rPr>
        <w:t> </w:t>
      </w:r>
      <w:r>
        <w:rPr/>
        <w:t>This</w:t>
      </w:r>
      <w:r>
        <w:rPr>
          <w:spacing w:val="-4"/>
        </w:rPr>
        <w:t> </w:t>
      </w:r>
      <w:r>
        <w:rPr/>
        <w:t>presents</w:t>
      </w:r>
      <w:r>
        <w:rPr>
          <w:spacing w:val="-4"/>
        </w:rPr>
        <w:t> </w:t>
      </w:r>
      <w:r>
        <w:rPr/>
        <w:t>another</w:t>
      </w:r>
      <w:r>
        <w:rPr>
          <w:spacing w:val="-4"/>
        </w:rPr>
        <w:t> </w:t>
      </w:r>
      <w:r>
        <w:rPr/>
        <w:t>challenge</w:t>
      </w:r>
      <w:r>
        <w:rPr>
          <w:spacing w:val="-4"/>
        </w:rPr>
        <w:t> </w:t>
      </w:r>
      <w:r>
        <w:rPr/>
        <w:t>for</w:t>
      </w:r>
      <w:r>
        <w:rPr>
          <w:spacing w:val="-4"/>
        </w:rPr>
        <w:t> </w:t>
      </w:r>
      <w:r>
        <w:rPr/>
        <w:t>the</w:t>
      </w:r>
      <w:r>
        <w:rPr>
          <w:spacing w:val="-3"/>
        </w:rPr>
        <w:t> </w:t>
      </w:r>
      <w:r>
        <w:rPr/>
        <w:t>department;</w:t>
      </w:r>
      <w:r>
        <w:rPr>
          <w:spacing w:val="-4"/>
        </w:rPr>
        <w:t> </w:t>
      </w:r>
      <w:r>
        <w:rPr/>
        <w:t>maintaining</w:t>
      </w:r>
      <w:r>
        <w:rPr>
          <w:spacing w:val="-4"/>
        </w:rPr>
        <w:t> </w:t>
      </w:r>
      <w:r>
        <w:rPr/>
        <w:t>one</w:t>
      </w:r>
      <w:r>
        <w:rPr>
          <w:spacing w:val="-3"/>
        </w:rPr>
        <w:t> </w:t>
      </w:r>
      <w:r>
        <w:rPr/>
        <w:t>of the strengths of our program which is developing relationships with the students through the investment of time and energy out of the classroom.</w:t>
      </w:r>
    </w:p>
    <w:p>
      <w:pPr>
        <w:pStyle w:val="BodyText"/>
        <w:spacing w:before="10"/>
      </w:pPr>
    </w:p>
    <w:p>
      <w:pPr>
        <w:pStyle w:val="BodyText"/>
        <w:ind w:left="1219" w:right="486"/>
      </w:pPr>
      <w:r>
        <w:rPr/>
        <w:t>In the previous VTR we were cited for the limited quantity and quality of space in the building. There are challenges in maintaining and upgrading a historic building for use in a 21st century profession. Our building has served the program well and adds to the culture of our department, but it is an older building.</w:t>
      </w:r>
      <w:r>
        <w:rPr>
          <w:spacing w:val="40"/>
        </w:rPr>
        <w:t> </w:t>
      </w:r>
      <w:r>
        <w:rPr/>
        <w:t>The University has responded to critical needs, including major renovations</w:t>
      </w:r>
      <w:r>
        <w:rPr>
          <w:spacing w:val="-2"/>
        </w:rPr>
        <w:t> </w:t>
      </w:r>
      <w:r>
        <w:rPr/>
        <w:t>such</w:t>
      </w:r>
      <w:r>
        <w:rPr>
          <w:spacing w:val="-2"/>
        </w:rPr>
        <w:t> </w:t>
      </w:r>
      <w:r>
        <w:rPr/>
        <w:t>as</w:t>
      </w:r>
      <w:r>
        <w:rPr>
          <w:spacing w:val="-3"/>
        </w:rPr>
        <w:t> </w:t>
      </w:r>
      <w:r>
        <w:rPr/>
        <w:t>a</w:t>
      </w:r>
      <w:r>
        <w:rPr>
          <w:spacing w:val="-4"/>
        </w:rPr>
        <w:t> </w:t>
      </w:r>
      <w:r>
        <w:rPr/>
        <w:t>full</w:t>
      </w:r>
      <w:r>
        <w:rPr>
          <w:spacing w:val="-3"/>
        </w:rPr>
        <w:t> </w:t>
      </w:r>
      <w:r>
        <w:rPr/>
        <w:t>replacement</w:t>
      </w:r>
      <w:r>
        <w:rPr>
          <w:spacing w:val="-4"/>
        </w:rPr>
        <w:t> </w:t>
      </w:r>
      <w:r>
        <w:rPr/>
        <w:t>of</w:t>
      </w:r>
      <w:r>
        <w:rPr>
          <w:spacing w:val="-2"/>
        </w:rPr>
        <w:t> </w:t>
      </w:r>
      <w:r>
        <w:rPr/>
        <w:t>the</w:t>
      </w:r>
      <w:r>
        <w:rPr>
          <w:spacing w:val="-4"/>
        </w:rPr>
        <w:t> </w:t>
      </w:r>
      <w:r>
        <w:rPr/>
        <w:t>roof,</w:t>
      </w:r>
      <w:r>
        <w:rPr>
          <w:spacing w:val="-4"/>
        </w:rPr>
        <w:t> </w:t>
      </w:r>
      <w:r>
        <w:rPr/>
        <w:t>and</w:t>
      </w:r>
      <w:r>
        <w:rPr>
          <w:spacing w:val="-2"/>
        </w:rPr>
        <w:t> </w:t>
      </w:r>
      <w:r>
        <w:rPr/>
        <w:t>the</w:t>
      </w:r>
      <w:r>
        <w:rPr>
          <w:spacing w:val="-2"/>
        </w:rPr>
        <w:t> </w:t>
      </w:r>
      <w:r>
        <w:rPr/>
        <w:t>department</w:t>
      </w:r>
      <w:r>
        <w:rPr>
          <w:spacing w:val="-4"/>
        </w:rPr>
        <w:t> </w:t>
      </w:r>
      <w:r>
        <w:rPr/>
        <w:t>and</w:t>
      </w:r>
      <w:r>
        <w:rPr>
          <w:spacing w:val="-2"/>
        </w:rPr>
        <w:t> </w:t>
      </w:r>
      <w:r>
        <w:rPr/>
        <w:t>School</w:t>
      </w:r>
      <w:r>
        <w:rPr>
          <w:spacing w:val="-3"/>
        </w:rPr>
        <w:t> </w:t>
      </w:r>
      <w:r>
        <w:rPr/>
        <w:t>will</w:t>
      </w:r>
      <w:r>
        <w:rPr>
          <w:spacing w:val="-3"/>
        </w:rPr>
        <w:t> </w:t>
      </w:r>
      <w:r>
        <w:rPr/>
        <w:t>continue</w:t>
      </w:r>
      <w:r>
        <w:rPr>
          <w:spacing w:val="-4"/>
        </w:rPr>
        <w:t> </w:t>
      </w:r>
      <w:r>
        <w:rPr/>
        <w:t>to work with the University Building and Ground staff to resolve other issues as they arise.</w:t>
      </w:r>
      <w:r>
        <w:rPr>
          <w:spacing w:val="40"/>
        </w:rPr>
        <w:t> </w:t>
      </w:r>
      <w:r>
        <w:rPr/>
        <w:t>The overcrowding evident in 2008-2009 with 190 students is not an issue in 2014-2015 with less than 130 students.</w:t>
      </w:r>
    </w:p>
    <w:p>
      <w:pPr>
        <w:pStyle w:val="BodyText"/>
        <w:rPr>
          <w:sz w:val="21"/>
        </w:rPr>
      </w:pPr>
    </w:p>
    <w:p>
      <w:pPr>
        <w:pStyle w:val="BodyText"/>
        <w:ind w:left="1219" w:right="498"/>
      </w:pPr>
      <w:r>
        <w:rPr/>
        <w:t>As they do at most other architecture programs in the U.S., students have typically supported certain areas including student travel, and for supplies for plotting equipment. In the past, one of our weaknesses was the program’s inability to collect fees from students, and students sometimes purchased low-grade supplies that affected the plotters and sometimes caused a</w:t>
      </w:r>
      <w:r>
        <w:rPr>
          <w:spacing w:val="40"/>
        </w:rPr>
        <w:t> </w:t>
      </w:r>
      <w:r>
        <w:rPr/>
        <w:t>need for repairs. The university recently agreed to access our students an additional</w:t>
      </w:r>
      <w:r>
        <w:rPr>
          <w:spacing w:val="40"/>
        </w:rPr>
        <w:t> </w:t>
      </w:r>
      <w:r>
        <w:rPr/>
        <w:t>“Professional</w:t>
      </w:r>
      <w:r>
        <w:rPr>
          <w:spacing w:val="-3"/>
        </w:rPr>
        <w:t> </w:t>
      </w:r>
      <w:r>
        <w:rPr/>
        <w:t>Fee”</w:t>
      </w:r>
      <w:r>
        <w:rPr>
          <w:spacing w:val="-1"/>
        </w:rPr>
        <w:t> </w:t>
      </w:r>
      <w:r>
        <w:rPr/>
        <w:t>in</w:t>
      </w:r>
      <w:r>
        <w:rPr>
          <w:spacing w:val="-4"/>
        </w:rPr>
        <w:t> </w:t>
      </w:r>
      <w:r>
        <w:rPr/>
        <w:t>the</w:t>
      </w:r>
      <w:r>
        <w:rPr>
          <w:spacing w:val="-4"/>
        </w:rPr>
        <w:t> </w:t>
      </w:r>
      <w:r>
        <w:rPr/>
        <w:t>amount</w:t>
      </w:r>
      <w:r>
        <w:rPr>
          <w:spacing w:val="-4"/>
        </w:rPr>
        <w:t> </w:t>
      </w:r>
      <w:r>
        <w:rPr/>
        <w:t>of</w:t>
      </w:r>
      <w:r>
        <w:rPr>
          <w:spacing w:val="-2"/>
        </w:rPr>
        <w:t> </w:t>
      </w:r>
      <w:r>
        <w:rPr/>
        <w:t>$400</w:t>
      </w:r>
      <w:r>
        <w:rPr>
          <w:spacing w:val="-4"/>
        </w:rPr>
        <w:t> </w:t>
      </w:r>
      <w:r>
        <w:rPr/>
        <w:t>per</w:t>
      </w:r>
      <w:r>
        <w:rPr>
          <w:spacing w:val="-3"/>
        </w:rPr>
        <w:t> </w:t>
      </w:r>
      <w:r>
        <w:rPr/>
        <w:t>semester,</w:t>
      </w:r>
      <w:r>
        <w:rPr>
          <w:spacing w:val="-4"/>
        </w:rPr>
        <w:t> </w:t>
      </w:r>
      <w:r>
        <w:rPr/>
        <w:t>starting</w:t>
      </w:r>
      <w:r>
        <w:rPr>
          <w:spacing w:val="-2"/>
        </w:rPr>
        <w:t> </w:t>
      </w:r>
      <w:r>
        <w:rPr/>
        <w:t>in</w:t>
      </w:r>
      <w:r>
        <w:rPr>
          <w:spacing w:val="-2"/>
        </w:rPr>
        <w:t> </w:t>
      </w:r>
      <w:r>
        <w:rPr/>
        <w:t>fall</w:t>
      </w:r>
      <w:r>
        <w:rPr>
          <w:spacing w:val="-3"/>
        </w:rPr>
        <w:t> </w:t>
      </w:r>
      <w:r>
        <w:rPr/>
        <w:t>2014,</w:t>
      </w:r>
      <w:r>
        <w:rPr>
          <w:spacing w:val="-4"/>
        </w:rPr>
        <w:t> </w:t>
      </w:r>
      <w:r>
        <w:rPr/>
        <w:t>to</w:t>
      </w:r>
      <w:r>
        <w:rPr>
          <w:spacing w:val="-2"/>
        </w:rPr>
        <w:t> </w:t>
      </w:r>
      <w:r>
        <w:rPr/>
        <w:t>provide</w:t>
      </w:r>
      <w:r>
        <w:rPr>
          <w:spacing w:val="-2"/>
        </w:rPr>
        <w:t> </w:t>
      </w:r>
      <w:r>
        <w:rPr/>
        <w:t>assistance to these critical needs.</w:t>
      </w:r>
    </w:p>
    <w:p>
      <w:pPr>
        <w:pStyle w:val="BodyText"/>
        <w:spacing w:before="6"/>
      </w:pPr>
    </w:p>
    <w:p>
      <w:pPr>
        <w:spacing w:before="0"/>
        <w:ind w:left="499" w:right="705" w:firstLine="0"/>
        <w:jc w:val="left"/>
        <w:rPr>
          <w:b/>
          <w:sz w:val="20"/>
        </w:rPr>
      </w:pPr>
      <w:r>
        <w:rPr>
          <w:b/>
          <w:sz w:val="20"/>
        </w:rPr>
        <w:t>Activities</w:t>
      </w:r>
      <w:r>
        <w:rPr>
          <w:b/>
          <w:spacing w:val="-5"/>
          <w:sz w:val="20"/>
        </w:rPr>
        <w:t> </w:t>
      </w:r>
      <w:r>
        <w:rPr>
          <w:b/>
          <w:sz w:val="20"/>
        </w:rPr>
        <w:t>and</w:t>
      </w:r>
      <w:r>
        <w:rPr>
          <w:b/>
          <w:spacing w:val="-4"/>
          <w:sz w:val="20"/>
        </w:rPr>
        <w:t> </w:t>
      </w:r>
      <w:r>
        <w:rPr>
          <w:b/>
          <w:sz w:val="20"/>
        </w:rPr>
        <w:t>Initiatives</w:t>
      </w:r>
      <w:r>
        <w:rPr>
          <w:b/>
          <w:spacing w:val="-3"/>
          <w:sz w:val="20"/>
        </w:rPr>
        <w:t> </w:t>
      </w:r>
      <w:r>
        <w:rPr>
          <w:b/>
          <w:sz w:val="20"/>
        </w:rPr>
        <w:t>that</w:t>
      </w:r>
      <w:r>
        <w:rPr>
          <w:b/>
          <w:spacing w:val="-4"/>
          <w:sz w:val="20"/>
        </w:rPr>
        <w:t> </w:t>
      </w:r>
      <w:r>
        <w:rPr>
          <w:b/>
          <w:sz w:val="20"/>
        </w:rPr>
        <w:t>demonstrate</w:t>
      </w:r>
      <w:r>
        <w:rPr>
          <w:b/>
          <w:spacing w:val="-5"/>
          <w:sz w:val="20"/>
        </w:rPr>
        <w:t> </w:t>
      </w:r>
      <w:r>
        <w:rPr>
          <w:b/>
          <w:sz w:val="20"/>
        </w:rPr>
        <w:t>the</w:t>
      </w:r>
      <w:r>
        <w:rPr>
          <w:b/>
          <w:spacing w:val="-3"/>
          <w:sz w:val="20"/>
        </w:rPr>
        <w:t> </w:t>
      </w:r>
      <w:r>
        <w:rPr>
          <w:b/>
          <w:sz w:val="20"/>
        </w:rPr>
        <w:t>program’s</w:t>
      </w:r>
      <w:r>
        <w:rPr>
          <w:b/>
          <w:spacing w:val="-3"/>
          <w:sz w:val="20"/>
        </w:rPr>
        <w:t> </w:t>
      </w:r>
      <w:r>
        <w:rPr>
          <w:b/>
          <w:sz w:val="20"/>
        </w:rPr>
        <w:t>benefits</w:t>
      </w:r>
      <w:r>
        <w:rPr>
          <w:b/>
          <w:spacing w:val="-5"/>
          <w:sz w:val="20"/>
        </w:rPr>
        <w:t> </w:t>
      </w:r>
      <w:r>
        <w:rPr>
          <w:b/>
          <w:sz w:val="20"/>
        </w:rPr>
        <w:t>to,</w:t>
      </w:r>
      <w:r>
        <w:rPr>
          <w:b/>
          <w:spacing w:val="-3"/>
          <w:sz w:val="20"/>
        </w:rPr>
        <w:t> </w:t>
      </w:r>
      <w:r>
        <w:rPr>
          <w:b/>
          <w:sz w:val="20"/>
        </w:rPr>
        <w:t>and</w:t>
      </w:r>
      <w:r>
        <w:rPr>
          <w:b/>
          <w:spacing w:val="-4"/>
          <w:sz w:val="20"/>
        </w:rPr>
        <w:t> </w:t>
      </w:r>
      <w:r>
        <w:rPr>
          <w:b/>
          <w:sz w:val="20"/>
        </w:rPr>
        <w:t>derived</w:t>
      </w:r>
      <w:r>
        <w:rPr>
          <w:b/>
          <w:spacing w:val="-4"/>
          <w:sz w:val="20"/>
        </w:rPr>
        <w:t> </w:t>
      </w:r>
      <w:r>
        <w:rPr>
          <w:b/>
          <w:sz w:val="20"/>
        </w:rPr>
        <w:t>from</w:t>
      </w:r>
      <w:r>
        <w:rPr>
          <w:b/>
          <w:spacing w:val="-4"/>
          <w:sz w:val="20"/>
        </w:rPr>
        <w:t> </w:t>
      </w:r>
      <w:r>
        <w:rPr>
          <w:b/>
          <w:sz w:val="20"/>
        </w:rPr>
        <w:t>the </w:t>
      </w:r>
      <w:r>
        <w:rPr>
          <w:b/>
          <w:spacing w:val="-2"/>
          <w:sz w:val="20"/>
        </w:rPr>
        <w:t>university.</w:t>
      </w:r>
    </w:p>
    <w:p>
      <w:pPr>
        <w:pStyle w:val="BodyText"/>
        <w:spacing w:before="2"/>
        <w:rPr>
          <w:b/>
          <w:sz w:val="21"/>
        </w:rPr>
      </w:pPr>
    </w:p>
    <w:p>
      <w:pPr>
        <w:pStyle w:val="BodyText"/>
        <w:ind w:left="1219" w:right="499"/>
      </w:pPr>
      <w:r>
        <w:rPr/>
        <w:t>The</w:t>
      </w:r>
      <w:r>
        <w:rPr>
          <w:spacing w:val="-4"/>
        </w:rPr>
        <w:t> </w:t>
      </w:r>
      <w:r>
        <w:rPr/>
        <w:t>Department</w:t>
      </w:r>
      <w:r>
        <w:rPr>
          <w:spacing w:val="-4"/>
        </w:rPr>
        <w:t> </w:t>
      </w:r>
      <w:r>
        <w:rPr/>
        <w:t>of</w:t>
      </w:r>
      <w:r>
        <w:rPr>
          <w:spacing w:val="-2"/>
        </w:rPr>
        <w:t> </w:t>
      </w:r>
      <w:r>
        <w:rPr/>
        <w:t>Architecture</w:t>
      </w:r>
      <w:r>
        <w:rPr>
          <w:spacing w:val="-4"/>
        </w:rPr>
        <w:t> </w:t>
      </w:r>
      <w:r>
        <w:rPr/>
        <w:t>provides</w:t>
      </w:r>
      <w:r>
        <w:rPr>
          <w:spacing w:val="-3"/>
        </w:rPr>
        <w:t> </w:t>
      </w:r>
      <w:r>
        <w:rPr/>
        <w:t>significant</w:t>
      </w:r>
      <w:r>
        <w:rPr>
          <w:spacing w:val="-4"/>
        </w:rPr>
        <w:t> </w:t>
      </w:r>
      <w:r>
        <w:rPr/>
        <w:t>benefits</w:t>
      </w:r>
      <w:r>
        <w:rPr>
          <w:spacing w:val="-3"/>
        </w:rPr>
        <w:t> </w:t>
      </w:r>
      <w:r>
        <w:rPr/>
        <w:t>to</w:t>
      </w:r>
      <w:r>
        <w:rPr>
          <w:spacing w:val="-4"/>
        </w:rPr>
        <w:t> </w:t>
      </w:r>
      <w:r>
        <w:rPr/>
        <w:t>the</w:t>
      </w:r>
      <w:r>
        <w:rPr>
          <w:spacing w:val="-4"/>
        </w:rPr>
        <w:t> </w:t>
      </w:r>
      <w:r>
        <w:rPr/>
        <w:t>university.</w:t>
      </w:r>
      <w:r>
        <w:rPr>
          <w:spacing w:val="-2"/>
        </w:rPr>
        <w:t> </w:t>
      </w:r>
      <w:r>
        <w:rPr/>
        <w:t>Most</w:t>
      </w:r>
      <w:r>
        <w:rPr>
          <w:spacing w:val="-4"/>
        </w:rPr>
        <w:t> </w:t>
      </w:r>
      <w:r>
        <w:rPr/>
        <w:t>significantly</w:t>
      </w:r>
      <w:r>
        <w:rPr>
          <w:spacing w:val="-5"/>
        </w:rPr>
        <w:t> </w:t>
      </w:r>
      <w:r>
        <w:rPr/>
        <w:t>is the public relations benefit derived from the myriad of activities of our faculty and students.</w:t>
      </w:r>
    </w:p>
    <w:p>
      <w:pPr>
        <w:pStyle w:val="BodyText"/>
        <w:spacing w:before="1"/>
        <w:ind w:left="1219"/>
      </w:pPr>
      <w:r>
        <w:rPr/>
        <w:t>Recent</w:t>
      </w:r>
      <w:r>
        <w:rPr>
          <w:spacing w:val="-9"/>
        </w:rPr>
        <w:t> </w:t>
      </w:r>
      <w:r>
        <w:rPr/>
        <w:t>news</w:t>
      </w:r>
      <w:r>
        <w:rPr>
          <w:spacing w:val="-7"/>
        </w:rPr>
        <w:t> </w:t>
      </w:r>
      <w:r>
        <w:rPr>
          <w:spacing w:val="-2"/>
        </w:rPr>
        <w:t>includes:</w:t>
      </w:r>
    </w:p>
    <w:p>
      <w:pPr>
        <w:pStyle w:val="BodyText"/>
        <w:spacing w:before="5"/>
      </w:pPr>
    </w:p>
    <w:p>
      <w:pPr>
        <w:pStyle w:val="BodyText"/>
        <w:spacing w:line="242" w:lineRule="auto" w:before="1"/>
        <w:ind w:left="1932"/>
      </w:pPr>
      <w:r>
        <w:rPr>
          <w:b/>
        </w:rPr>
        <w:t>Architecture</w:t>
      </w:r>
      <w:r>
        <w:rPr>
          <w:b/>
          <w:spacing w:val="-5"/>
        </w:rPr>
        <w:t> </w:t>
      </w:r>
      <w:r>
        <w:rPr>
          <w:b/>
        </w:rPr>
        <w:t>Barbie</w:t>
      </w:r>
      <w:r>
        <w:rPr/>
        <w:t>:</w:t>
      </w:r>
      <w:r>
        <w:rPr>
          <w:spacing w:val="-5"/>
        </w:rPr>
        <w:t> </w:t>
      </w:r>
      <w:r>
        <w:rPr/>
        <w:t>The</w:t>
      </w:r>
      <w:r>
        <w:rPr>
          <w:spacing w:val="-3"/>
        </w:rPr>
        <w:t> </w:t>
      </w:r>
      <w:r>
        <w:rPr/>
        <w:t>student</w:t>
      </w:r>
      <w:r>
        <w:rPr>
          <w:spacing w:val="-2"/>
        </w:rPr>
        <w:t> </w:t>
      </w:r>
      <w:r>
        <w:rPr/>
        <w:t>organization</w:t>
      </w:r>
      <w:r>
        <w:rPr>
          <w:spacing w:val="-5"/>
        </w:rPr>
        <w:t> </w:t>
      </w:r>
      <w:r>
        <w:rPr/>
        <w:t>planned</w:t>
      </w:r>
      <w:r>
        <w:rPr>
          <w:spacing w:val="-5"/>
        </w:rPr>
        <w:t> </w:t>
      </w:r>
      <w:r>
        <w:rPr/>
        <w:t>and</w:t>
      </w:r>
      <w:r>
        <w:rPr>
          <w:spacing w:val="-3"/>
        </w:rPr>
        <w:t> </w:t>
      </w:r>
      <w:r>
        <w:rPr/>
        <w:t>implemented</w:t>
      </w:r>
      <w:r>
        <w:rPr>
          <w:spacing w:val="-5"/>
        </w:rPr>
        <w:t> </w:t>
      </w:r>
      <w:r>
        <w:rPr/>
        <w:t>a</w:t>
      </w:r>
      <w:r>
        <w:rPr>
          <w:spacing w:val="-5"/>
        </w:rPr>
        <w:t> </w:t>
      </w:r>
      <w:r>
        <w:rPr/>
        <w:t>program to introduce the practice of architecture to young girls between the ages of 5 and 21.</w:t>
      </w:r>
    </w:p>
    <w:p>
      <w:pPr>
        <w:pStyle w:val="BodyText"/>
        <w:spacing w:before="6"/>
      </w:pPr>
    </w:p>
    <w:p>
      <w:pPr>
        <w:pStyle w:val="BodyText"/>
        <w:ind w:left="1931" w:right="507"/>
      </w:pPr>
      <w:r>
        <w:rPr>
          <w:b/>
        </w:rPr>
        <w:t>Solar Decathlon 2011:</w:t>
      </w:r>
      <w:r>
        <w:rPr/>
        <w:t>: The Solar Decathlon Program is an award-winning program sponsored by the U.S. Department of Energy that challenges collegiate teams to design, build, and operate solar-powered houses that are cost-effective, energy-efficient, and attractive. In 2010, HUDA teamed with the Engineering School at Old Dominion</w:t>
      </w:r>
      <w:r>
        <w:rPr/>
        <w:t> University to compete in the 2011 Solar Decathlon. This project, called the Six Pack, included the engineering programs of Old Dominion University and the Architecture program at Hampton University. Team Tidewater, comprised of Hampton University architecture students and Old Dominion University students in various disciplines in engineering and construction management, and was selected to compete in the Department of Energy’s 2011 Solar Decathlon.</w:t>
      </w:r>
      <w:r>
        <w:rPr>
          <w:spacing w:val="40"/>
        </w:rPr>
        <w:t> </w:t>
      </w:r>
      <w:r>
        <w:rPr/>
        <w:t>A</w:t>
      </w:r>
      <w:r>
        <w:rPr>
          <w:spacing w:val="-1"/>
        </w:rPr>
        <w:t> </w:t>
      </w:r>
      <w:r>
        <w:rPr/>
        <w:t>single family</w:t>
      </w:r>
      <w:r>
        <w:rPr>
          <w:spacing w:val="-3"/>
        </w:rPr>
        <w:t> </w:t>
      </w:r>
      <w:r>
        <w:rPr/>
        <w:t>research module, “Unit 6” was designed to net zero energy use and was built on the National Mall in Washington. Unit</w:t>
      </w:r>
      <w:r>
        <w:rPr>
          <w:spacing w:val="-2"/>
        </w:rPr>
        <w:t> </w:t>
      </w:r>
      <w:r>
        <w:rPr/>
        <w:t>6</w:t>
      </w:r>
      <w:r>
        <w:rPr>
          <w:spacing w:val="-2"/>
        </w:rPr>
        <w:t> </w:t>
      </w:r>
      <w:r>
        <w:rPr/>
        <w:t>was</w:t>
      </w:r>
      <w:r>
        <w:rPr>
          <w:spacing w:val="-3"/>
        </w:rPr>
        <w:t> </w:t>
      </w:r>
      <w:r>
        <w:rPr/>
        <w:t>conceived</w:t>
      </w:r>
      <w:r>
        <w:rPr>
          <w:spacing w:val="-2"/>
        </w:rPr>
        <w:t> </w:t>
      </w:r>
      <w:r>
        <w:rPr/>
        <w:t>as</w:t>
      </w:r>
      <w:r>
        <w:rPr>
          <w:spacing w:val="-3"/>
        </w:rPr>
        <w:t> </w:t>
      </w:r>
      <w:r>
        <w:rPr/>
        <w:t>a</w:t>
      </w:r>
      <w:r>
        <w:rPr>
          <w:spacing w:val="-2"/>
        </w:rPr>
        <w:t> </w:t>
      </w:r>
      <w:r>
        <w:rPr/>
        <w:t>unit</w:t>
      </w:r>
      <w:r>
        <w:rPr>
          <w:spacing w:val="-2"/>
        </w:rPr>
        <w:t> </w:t>
      </w:r>
      <w:r>
        <w:rPr/>
        <w:t>of</w:t>
      </w:r>
      <w:r>
        <w:rPr>
          <w:spacing w:val="-2"/>
        </w:rPr>
        <w:t> </w:t>
      </w:r>
      <w:r>
        <w:rPr/>
        <w:t>a</w:t>
      </w:r>
      <w:r>
        <w:rPr>
          <w:spacing w:val="-4"/>
        </w:rPr>
        <w:t> </w:t>
      </w:r>
      <w:r>
        <w:rPr/>
        <w:t>multi-family</w:t>
      </w:r>
      <w:r>
        <w:rPr>
          <w:spacing w:val="-5"/>
        </w:rPr>
        <w:t> </w:t>
      </w:r>
      <w:r>
        <w:rPr/>
        <w:t>urban</w:t>
      </w:r>
      <w:r>
        <w:rPr>
          <w:spacing w:val="-2"/>
        </w:rPr>
        <w:t> </w:t>
      </w:r>
      <w:r>
        <w:rPr/>
        <w:t>infill</w:t>
      </w:r>
      <w:r>
        <w:rPr>
          <w:spacing w:val="-3"/>
        </w:rPr>
        <w:t> </w:t>
      </w:r>
      <w:r>
        <w:rPr/>
        <w:t>building</w:t>
      </w:r>
      <w:r>
        <w:rPr>
          <w:spacing w:val="-2"/>
        </w:rPr>
        <w:t> </w:t>
      </w:r>
      <w:r>
        <w:rPr/>
        <w:t>dubbed</w:t>
      </w:r>
      <w:r>
        <w:rPr>
          <w:spacing w:val="40"/>
        </w:rPr>
        <w:t> </w:t>
      </w:r>
      <w:r>
        <w:rPr/>
        <w:t>“The</w:t>
      </w:r>
      <w:r>
        <w:rPr>
          <w:spacing w:val="-2"/>
        </w:rPr>
        <w:t> </w:t>
      </w:r>
      <w:r>
        <w:rPr/>
        <w:t>6</w:t>
      </w:r>
      <w:r>
        <w:rPr>
          <w:spacing w:val="-4"/>
        </w:rPr>
        <w:t> </w:t>
      </w:r>
      <w:r>
        <w:rPr/>
        <w:t>Pack.” Three versions of this building were developed by the team one was built in Norfolk.</w:t>
      </w:r>
      <w:r>
        <w:rPr>
          <w:spacing w:val="40"/>
        </w:rPr>
        <w:t> </w:t>
      </w:r>
      <w:r>
        <w:rPr/>
        <w:t>To facilitate collaborative work, a class was designed, which was open to all interested students.</w:t>
      </w:r>
      <w:r>
        <w:rPr>
          <w:spacing w:val="-3"/>
        </w:rPr>
        <w:t> </w:t>
      </w:r>
      <w:r>
        <w:rPr/>
        <w:t>At</w:t>
      </w:r>
      <w:r>
        <w:rPr>
          <w:spacing w:val="-3"/>
        </w:rPr>
        <w:t> </w:t>
      </w:r>
      <w:r>
        <w:rPr/>
        <w:t>each</w:t>
      </w:r>
      <w:r>
        <w:rPr>
          <w:spacing w:val="-4"/>
        </w:rPr>
        <w:t> </w:t>
      </w:r>
      <w:r>
        <w:rPr/>
        <w:t>class</w:t>
      </w:r>
      <w:r>
        <w:rPr>
          <w:spacing w:val="-3"/>
        </w:rPr>
        <w:t> </w:t>
      </w:r>
      <w:r>
        <w:rPr/>
        <w:t>a</w:t>
      </w:r>
      <w:r>
        <w:rPr>
          <w:spacing w:val="-4"/>
        </w:rPr>
        <w:t> </w:t>
      </w:r>
      <w:r>
        <w:rPr/>
        <w:t>guest</w:t>
      </w:r>
      <w:r>
        <w:rPr>
          <w:spacing w:val="-4"/>
        </w:rPr>
        <w:t> </w:t>
      </w:r>
      <w:r>
        <w:rPr/>
        <w:t>from either</w:t>
      </w:r>
      <w:r>
        <w:rPr>
          <w:spacing w:val="-3"/>
        </w:rPr>
        <w:t> </w:t>
      </w:r>
      <w:r>
        <w:rPr/>
        <w:t>academia</w:t>
      </w:r>
      <w:r>
        <w:rPr>
          <w:spacing w:val="-3"/>
        </w:rPr>
        <w:t> </w:t>
      </w:r>
      <w:r>
        <w:rPr/>
        <w:t>or</w:t>
      </w:r>
      <w:r>
        <w:rPr>
          <w:spacing w:val="-3"/>
        </w:rPr>
        <w:t> </w:t>
      </w:r>
      <w:r>
        <w:rPr/>
        <w:t>professional</w:t>
      </w:r>
      <w:r>
        <w:rPr>
          <w:spacing w:val="-5"/>
        </w:rPr>
        <w:t> </w:t>
      </w:r>
      <w:r>
        <w:rPr/>
        <w:t>circles,</w:t>
      </w:r>
      <w:r>
        <w:rPr>
          <w:spacing w:val="-3"/>
        </w:rPr>
        <w:t> </w:t>
      </w:r>
      <w:r>
        <w:rPr/>
        <w:t>addressed</w:t>
      </w:r>
      <w:r>
        <w:rPr>
          <w:spacing w:val="-4"/>
        </w:rPr>
        <w:t> </w:t>
      </w:r>
      <w:r>
        <w:rPr/>
        <w:t>a topic for a half hour.</w:t>
      </w:r>
      <w:r>
        <w:rPr>
          <w:spacing w:val="71"/>
        </w:rPr>
        <w:t> </w:t>
      </w:r>
      <w:r>
        <w:rPr/>
        <w:t>Thereafter design teams from both programs worked with the guests on issues relating to the topic of addressed by the lecturer.</w:t>
      </w:r>
      <w:r>
        <w:rPr>
          <w:spacing w:val="40"/>
        </w:rPr>
        <w:t> </w:t>
      </w:r>
      <w:r>
        <w:rPr/>
        <w:t>It was hoped that this would provide a unique opportunity for many to be involved in these exciting projects.</w:t>
      </w:r>
    </w:p>
    <w:p>
      <w:pPr>
        <w:pStyle w:val="BodyText"/>
        <w:spacing w:before="4"/>
        <w:ind w:left="1931" w:right="499"/>
      </w:pPr>
      <w:r>
        <w:rPr/>
        <w:t>Classes were held in two rooms in Old Dominion University’s Gornto Hall (Team Room 204, overflow room across the hall) and simulcast to ODU’s Peninsula Center as well. These</w:t>
      </w:r>
      <w:r>
        <w:rPr>
          <w:spacing w:val="-4"/>
        </w:rPr>
        <w:t> </w:t>
      </w:r>
      <w:r>
        <w:rPr/>
        <w:t>facilities</w:t>
      </w:r>
      <w:r>
        <w:rPr>
          <w:spacing w:val="-3"/>
        </w:rPr>
        <w:t> </w:t>
      </w:r>
      <w:r>
        <w:rPr/>
        <w:t>allowed</w:t>
      </w:r>
      <w:r>
        <w:rPr>
          <w:spacing w:val="-4"/>
        </w:rPr>
        <w:t> </w:t>
      </w:r>
      <w:r>
        <w:rPr/>
        <w:t>direct</w:t>
      </w:r>
      <w:r>
        <w:rPr>
          <w:spacing w:val="-4"/>
        </w:rPr>
        <w:t> </w:t>
      </w:r>
      <w:r>
        <w:rPr/>
        <w:t>video</w:t>
      </w:r>
      <w:r>
        <w:rPr>
          <w:spacing w:val="-4"/>
        </w:rPr>
        <w:t> </w:t>
      </w:r>
      <w:r>
        <w:rPr/>
        <w:t>communication</w:t>
      </w:r>
      <w:r>
        <w:rPr>
          <w:spacing w:val="-2"/>
        </w:rPr>
        <w:t> </w:t>
      </w:r>
      <w:r>
        <w:rPr/>
        <w:t>with</w:t>
      </w:r>
      <w:r>
        <w:rPr>
          <w:spacing w:val="-4"/>
        </w:rPr>
        <w:t> </w:t>
      </w:r>
      <w:r>
        <w:rPr/>
        <w:t>the</w:t>
      </w:r>
      <w:r>
        <w:rPr>
          <w:spacing w:val="-2"/>
        </w:rPr>
        <w:t> </w:t>
      </w:r>
      <w:r>
        <w:rPr/>
        <w:t>main</w:t>
      </w:r>
      <w:r>
        <w:rPr>
          <w:spacing w:val="-4"/>
        </w:rPr>
        <w:t> </w:t>
      </w:r>
      <w:r>
        <w:rPr/>
        <w:t>classroom.</w:t>
      </w:r>
      <w:r>
        <w:rPr>
          <w:spacing w:val="40"/>
        </w:rPr>
        <w:t> </w:t>
      </w:r>
      <w:r>
        <w:rPr/>
        <w:t>The</w:t>
      </w:r>
      <w:r>
        <w:rPr>
          <w:spacing w:val="-4"/>
        </w:rPr>
        <w:t> </w:t>
      </w:r>
      <w:r>
        <w:rPr/>
        <w:t>class was also live-streamed.</w:t>
      </w:r>
    </w:p>
    <w:p>
      <w:pPr>
        <w:spacing w:after="0"/>
        <w:sectPr>
          <w:pgSz w:w="12240" w:h="15840"/>
          <w:pgMar w:header="0" w:footer="974" w:top="1360" w:bottom="1160" w:left="940" w:right="960"/>
        </w:sectPr>
      </w:pPr>
    </w:p>
    <w:p>
      <w:pPr>
        <w:pStyle w:val="BodyText"/>
        <w:spacing w:before="75"/>
        <w:ind w:left="1932" w:right="492"/>
      </w:pPr>
      <w:r>
        <w:rPr>
          <w:b/>
        </w:rPr>
        <w:t>Solar Decathlon 2013</w:t>
      </w:r>
      <w:r>
        <w:rPr/>
        <w:t>: This international event invites college teams from around the world to compete in the design and construction of house designs that that best blends affordability,</w:t>
      </w:r>
      <w:r>
        <w:rPr>
          <w:spacing w:val="-5"/>
        </w:rPr>
        <w:t> </w:t>
      </w:r>
      <w:r>
        <w:rPr/>
        <w:t>consumer</w:t>
      </w:r>
      <w:r>
        <w:rPr>
          <w:spacing w:val="-4"/>
        </w:rPr>
        <w:t> </w:t>
      </w:r>
      <w:r>
        <w:rPr/>
        <w:t>appeal,</w:t>
      </w:r>
      <w:r>
        <w:rPr>
          <w:spacing w:val="-3"/>
        </w:rPr>
        <w:t> </w:t>
      </w:r>
      <w:r>
        <w:rPr/>
        <w:t>and</w:t>
      </w:r>
      <w:r>
        <w:rPr>
          <w:spacing w:val="-5"/>
        </w:rPr>
        <w:t> </w:t>
      </w:r>
      <w:r>
        <w:rPr/>
        <w:t>design</w:t>
      </w:r>
      <w:r>
        <w:rPr>
          <w:spacing w:val="-3"/>
        </w:rPr>
        <w:t> </w:t>
      </w:r>
      <w:r>
        <w:rPr/>
        <w:t>excellence</w:t>
      </w:r>
      <w:r>
        <w:rPr>
          <w:spacing w:val="-3"/>
        </w:rPr>
        <w:t> </w:t>
      </w:r>
      <w:r>
        <w:rPr/>
        <w:t>with</w:t>
      </w:r>
      <w:r>
        <w:rPr>
          <w:spacing w:val="-3"/>
        </w:rPr>
        <w:t> </w:t>
      </w:r>
      <w:r>
        <w:rPr/>
        <w:t>optimal</w:t>
      </w:r>
      <w:r>
        <w:rPr>
          <w:spacing w:val="-6"/>
        </w:rPr>
        <w:t> </w:t>
      </w:r>
      <w:r>
        <w:rPr/>
        <w:t>energy</w:t>
      </w:r>
      <w:r>
        <w:rPr>
          <w:spacing w:val="-8"/>
        </w:rPr>
        <w:t> </w:t>
      </w:r>
      <w:r>
        <w:rPr/>
        <w:t>production</w:t>
      </w:r>
      <w:r>
        <w:rPr>
          <w:spacing w:val="-3"/>
        </w:rPr>
        <w:t> </w:t>
      </w:r>
      <w:r>
        <w:rPr/>
        <w:t>and maximum efficiency.Again, the HUDA teamed with Old Dominion University to enter the Solar Decathlon. HU was the lead institution in this effort. Our entry, called the Canopy House, seeks to provide an independent living environment for aging and disabled communities using the principles of Universal Design. The Canopy House will make sustainable living accessible to those less technologically inclined, allowing its owners to age-in-place</w:t>
      </w:r>
      <w:r>
        <w:rPr>
          <w:spacing w:val="-4"/>
        </w:rPr>
        <w:t> </w:t>
      </w:r>
      <w:r>
        <w:rPr/>
        <w:t>comfortably,</w:t>
      </w:r>
      <w:r>
        <w:rPr>
          <w:spacing w:val="-4"/>
        </w:rPr>
        <w:t> </w:t>
      </w:r>
      <w:r>
        <w:rPr/>
        <w:t>safely</w:t>
      </w:r>
      <w:r>
        <w:rPr>
          <w:spacing w:val="-5"/>
        </w:rPr>
        <w:t> </w:t>
      </w:r>
      <w:r>
        <w:rPr/>
        <w:t>and</w:t>
      </w:r>
      <w:r>
        <w:rPr>
          <w:spacing w:val="-4"/>
        </w:rPr>
        <w:t> </w:t>
      </w:r>
      <w:r>
        <w:rPr/>
        <w:t>smartly.</w:t>
      </w:r>
      <w:r>
        <w:rPr>
          <w:spacing w:val="-4"/>
        </w:rPr>
        <w:t> </w:t>
      </w:r>
      <w:r>
        <w:rPr/>
        <w:t>The</w:t>
      </w:r>
      <w:r>
        <w:rPr>
          <w:spacing w:val="-4"/>
        </w:rPr>
        <w:t> </w:t>
      </w:r>
      <w:r>
        <w:rPr/>
        <w:t>design</w:t>
      </w:r>
      <w:r>
        <w:rPr>
          <w:spacing w:val="-4"/>
        </w:rPr>
        <w:t> </w:t>
      </w:r>
      <w:r>
        <w:rPr/>
        <w:t>harnesses</w:t>
      </w:r>
      <w:r>
        <w:rPr>
          <w:spacing w:val="-3"/>
        </w:rPr>
        <w:t> </w:t>
      </w:r>
      <w:r>
        <w:rPr/>
        <w:t>the</w:t>
      </w:r>
      <w:r>
        <w:rPr>
          <w:spacing w:val="-2"/>
        </w:rPr>
        <w:t> </w:t>
      </w:r>
      <w:r>
        <w:rPr/>
        <w:t>power</w:t>
      </w:r>
      <w:r>
        <w:rPr>
          <w:spacing w:val="-3"/>
        </w:rPr>
        <w:t> </w:t>
      </w:r>
      <w:r>
        <w:rPr/>
        <w:t>of</w:t>
      </w:r>
      <w:r>
        <w:rPr>
          <w:spacing w:val="-2"/>
        </w:rPr>
        <w:t> </w:t>
      </w:r>
      <w:r>
        <w:rPr/>
        <w:t>the</w:t>
      </w:r>
      <w:r>
        <w:rPr>
          <w:spacing w:val="-4"/>
        </w:rPr>
        <w:t> </w:t>
      </w:r>
      <w:r>
        <w:rPr/>
        <w:t>sun, both as an energy efficient method for providing heat and electricity, and as an integral foundation</w:t>
      </w:r>
      <w:r>
        <w:rPr>
          <w:spacing w:val="-2"/>
        </w:rPr>
        <w:t> </w:t>
      </w:r>
      <w:r>
        <w:rPr/>
        <w:t>for</w:t>
      </w:r>
      <w:r>
        <w:rPr>
          <w:spacing w:val="-1"/>
        </w:rPr>
        <w:t> </w:t>
      </w:r>
      <w:r>
        <w:rPr/>
        <w:t>the</w:t>
      </w:r>
      <w:r>
        <w:rPr>
          <w:spacing w:val="-2"/>
        </w:rPr>
        <w:t> </w:t>
      </w:r>
      <w:r>
        <w:rPr/>
        <w:t>home’s</w:t>
      </w:r>
      <w:r>
        <w:rPr>
          <w:spacing w:val="-1"/>
        </w:rPr>
        <w:t> </w:t>
      </w:r>
      <w:r>
        <w:rPr/>
        <w:t>innovative</w:t>
      </w:r>
      <w:r>
        <w:rPr>
          <w:spacing w:val="-2"/>
        </w:rPr>
        <w:t> </w:t>
      </w:r>
      <w:r>
        <w:rPr/>
        <w:t>technology.</w:t>
      </w:r>
      <w:r>
        <w:rPr>
          <w:spacing w:val="-2"/>
        </w:rPr>
        <w:t> </w:t>
      </w:r>
      <w:r>
        <w:rPr/>
        <w:t>This technology</w:t>
      </w:r>
      <w:r>
        <w:rPr>
          <w:spacing w:val="-3"/>
        </w:rPr>
        <w:t> </w:t>
      </w:r>
      <w:r>
        <w:rPr/>
        <w:t>instructs</w:t>
      </w:r>
      <w:r>
        <w:rPr>
          <w:spacing w:val="-1"/>
        </w:rPr>
        <w:t> </w:t>
      </w:r>
      <w:r>
        <w:rPr/>
        <w:t>the</w:t>
      </w:r>
      <w:r>
        <w:rPr>
          <w:spacing w:val="-2"/>
        </w:rPr>
        <w:t> </w:t>
      </w:r>
      <w:r>
        <w:rPr/>
        <w:t>user</w:t>
      </w:r>
      <w:r>
        <w:rPr>
          <w:spacing w:val="-1"/>
        </w:rPr>
        <w:t> </w:t>
      </w:r>
      <w:r>
        <w:rPr/>
        <w:t>about living sustainably and provides the tools to lead a safe and independent lifestyle.The faculty sponsor was David Peronnet, who expanded the involvement to include the Scripts Howard School of Journalism and the HU Electrical Engineering program. The event took place Oct. 3–13, 2013, at </w:t>
      </w:r>
      <w:hyperlink r:id="rId9">
        <w:r>
          <w:rPr/>
          <w:t>Orange County Great Park</w:t>
        </w:r>
      </w:hyperlink>
      <w:r>
        <w:rPr/>
        <w:t> in Irvine, California and included the universities of Texas, Southern Cal, North Carolina, Kentucky and Arizona, as well as international teams from Austria, Canada and Czech Republic. In the difficult economic climate, we were not able to raise sufficient funds to complete the house or</w:t>
      </w:r>
      <w:r>
        <w:rPr>
          <w:spacing w:val="40"/>
        </w:rPr>
        <w:t> </w:t>
      </w:r>
      <w:r>
        <w:rPr/>
        <w:t>ship it to California.</w:t>
      </w:r>
    </w:p>
    <w:p>
      <w:pPr>
        <w:pStyle w:val="BodyText"/>
        <w:rPr>
          <w:sz w:val="21"/>
        </w:rPr>
      </w:pPr>
    </w:p>
    <w:p>
      <w:pPr>
        <w:pStyle w:val="BodyText"/>
        <w:ind w:left="1932" w:right="499"/>
      </w:pPr>
      <w:r>
        <w:rPr>
          <w:b/>
        </w:rPr>
        <w:t>HP Study: </w:t>
      </w:r>
      <w:r>
        <w:rPr/>
        <w:t>We were able, in 2012, to engage with Hewlett Packard in a study of its eShare</w:t>
      </w:r>
      <w:r>
        <w:rPr>
          <w:spacing w:val="-4"/>
        </w:rPr>
        <w:t> </w:t>
      </w:r>
      <w:r>
        <w:rPr/>
        <w:t>printing</w:t>
      </w:r>
      <w:r>
        <w:rPr>
          <w:spacing w:val="-2"/>
        </w:rPr>
        <w:t> </w:t>
      </w:r>
      <w:r>
        <w:rPr/>
        <w:t>process.</w:t>
      </w:r>
      <w:r>
        <w:rPr>
          <w:spacing w:val="-4"/>
        </w:rPr>
        <w:t> </w:t>
      </w:r>
      <w:r>
        <w:rPr/>
        <w:t>For</w:t>
      </w:r>
      <w:r>
        <w:rPr>
          <w:spacing w:val="-3"/>
        </w:rPr>
        <w:t> </w:t>
      </w:r>
      <w:r>
        <w:rPr/>
        <w:t>its</w:t>
      </w:r>
      <w:r>
        <w:rPr>
          <w:spacing w:val="-3"/>
        </w:rPr>
        <w:t> </w:t>
      </w:r>
      <w:r>
        <w:rPr/>
        <w:t>part,</w:t>
      </w:r>
      <w:r>
        <w:rPr>
          <w:spacing w:val="-4"/>
        </w:rPr>
        <w:t> </w:t>
      </w:r>
      <w:r>
        <w:rPr/>
        <w:t>H-P</w:t>
      </w:r>
      <w:r>
        <w:rPr>
          <w:spacing w:val="-5"/>
        </w:rPr>
        <w:t> </w:t>
      </w:r>
      <w:r>
        <w:rPr/>
        <w:t>contributed</w:t>
      </w:r>
      <w:r>
        <w:rPr>
          <w:spacing w:val="-4"/>
        </w:rPr>
        <w:t> </w:t>
      </w:r>
      <w:r>
        <w:rPr/>
        <w:t>five</w:t>
      </w:r>
      <w:r>
        <w:rPr>
          <w:spacing w:val="-4"/>
        </w:rPr>
        <w:t> </w:t>
      </w:r>
      <w:r>
        <w:rPr/>
        <w:t>new</w:t>
      </w:r>
      <w:r>
        <w:rPr>
          <w:spacing w:val="-4"/>
        </w:rPr>
        <w:t> </w:t>
      </w:r>
      <w:r>
        <w:rPr/>
        <w:t>high</w:t>
      </w:r>
      <w:r>
        <w:rPr>
          <w:spacing w:val="-4"/>
        </w:rPr>
        <w:t> </w:t>
      </w:r>
      <w:r>
        <w:rPr/>
        <w:t>speed</w:t>
      </w:r>
      <w:r>
        <w:rPr>
          <w:spacing w:val="-4"/>
        </w:rPr>
        <w:t> </w:t>
      </w:r>
      <w:r>
        <w:rPr/>
        <w:t>plotters</w:t>
      </w:r>
      <w:r>
        <w:rPr>
          <w:spacing w:val="-3"/>
        </w:rPr>
        <w:t> </w:t>
      </w:r>
      <w:r>
        <w:rPr/>
        <w:t>to</w:t>
      </w:r>
      <w:r>
        <w:rPr>
          <w:spacing w:val="-4"/>
        </w:rPr>
        <w:t> </w:t>
      </w:r>
      <w:r>
        <w:rPr/>
        <w:t>our CADD Lab, including two personal</w:t>
      </w:r>
      <w:r>
        <w:rPr>
          <w:spacing w:val="-1"/>
        </w:rPr>
        <w:t> </w:t>
      </w:r>
      <w:r>
        <w:rPr/>
        <w:t>sized plotters that could be assigned to an individual student or a group of students. One of these units was used by the Solar Decathlon Studio and the other to the fifth year studio.</w:t>
      </w:r>
    </w:p>
    <w:p>
      <w:pPr>
        <w:pStyle w:val="BodyText"/>
        <w:spacing w:before="10"/>
      </w:pPr>
    </w:p>
    <w:p>
      <w:pPr>
        <w:pStyle w:val="BodyText"/>
        <w:ind w:left="1932" w:right="546" w:firstLine="7"/>
      </w:pPr>
      <w:r>
        <w:rPr>
          <w:b/>
        </w:rPr>
        <w:t>Fulbright Scholarship</w:t>
      </w:r>
      <w:r>
        <w:rPr/>
        <w:t>: in 2012, one of our tenured faculty members, Dr. Shannon Chance, was allowed a year of sabbatical to allow her to continue her research in the area of collaborative education in design and engineering disciplines. Her work took her to</w:t>
      </w:r>
      <w:r>
        <w:rPr>
          <w:spacing w:val="-5"/>
        </w:rPr>
        <w:t> </w:t>
      </w:r>
      <w:r>
        <w:rPr/>
        <w:t>Dublin,</w:t>
      </w:r>
      <w:r>
        <w:rPr>
          <w:spacing w:val="-5"/>
        </w:rPr>
        <w:t> </w:t>
      </w:r>
      <w:r>
        <w:rPr/>
        <w:t>Ireland</w:t>
      </w:r>
      <w:r>
        <w:rPr>
          <w:spacing w:val="-5"/>
        </w:rPr>
        <w:t> </w:t>
      </w:r>
      <w:r>
        <w:rPr/>
        <w:t>for</w:t>
      </w:r>
      <w:r>
        <w:rPr>
          <w:spacing w:val="-4"/>
        </w:rPr>
        <w:t> </w:t>
      </w:r>
      <w:r>
        <w:rPr/>
        <w:t>one</w:t>
      </w:r>
      <w:r>
        <w:rPr>
          <w:spacing w:val="-3"/>
        </w:rPr>
        <w:t> </w:t>
      </w:r>
      <w:r>
        <w:rPr/>
        <w:t>year.</w:t>
      </w:r>
      <w:r>
        <w:rPr>
          <w:spacing w:val="-5"/>
        </w:rPr>
        <w:t> </w:t>
      </w:r>
      <w:r>
        <w:rPr/>
        <w:t>Unfortunately,</w:t>
      </w:r>
      <w:r>
        <w:rPr>
          <w:spacing w:val="-3"/>
        </w:rPr>
        <w:t> </w:t>
      </w:r>
      <w:r>
        <w:rPr/>
        <w:t>the</w:t>
      </w:r>
      <w:r>
        <w:rPr>
          <w:spacing w:val="-5"/>
        </w:rPr>
        <w:t> </w:t>
      </w:r>
      <w:r>
        <w:rPr/>
        <w:t>value</w:t>
      </w:r>
      <w:r>
        <w:rPr>
          <w:spacing w:val="-5"/>
        </w:rPr>
        <w:t> </w:t>
      </w:r>
      <w:r>
        <w:rPr/>
        <w:t>of</w:t>
      </w:r>
      <w:r>
        <w:rPr>
          <w:spacing w:val="-3"/>
        </w:rPr>
        <w:t> </w:t>
      </w:r>
      <w:r>
        <w:rPr/>
        <w:t>her</w:t>
      </w:r>
      <w:r>
        <w:rPr>
          <w:spacing w:val="-2"/>
        </w:rPr>
        <w:t> </w:t>
      </w:r>
      <w:r>
        <w:rPr/>
        <w:t>work</w:t>
      </w:r>
      <w:r>
        <w:rPr>
          <w:spacing w:val="-1"/>
        </w:rPr>
        <w:t> </w:t>
      </w:r>
      <w:r>
        <w:rPr/>
        <w:t>was</w:t>
      </w:r>
      <w:r>
        <w:rPr>
          <w:spacing w:val="-1"/>
        </w:rPr>
        <w:t> </w:t>
      </w:r>
      <w:r>
        <w:rPr/>
        <w:t>also</w:t>
      </w:r>
      <w:r>
        <w:rPr>
          <w:spacing w:val="-3"/>
        </w:rPr>
        <w:t> </w:t>
      </w:r>
      <w:r>
        <w:rPr/>
        <w:t>appreciated by those in Ireland and, after her return, she was offered an opportunity to return to Ireland and continue her work there.</w:t>
      </w:r>
    </w:p>
    <w:p>
      <w:pPr>
        <w:pStyle w:val="BodyText"/>
        <w:spacing w:before="1"/>
        <w:rPr>
          <w:sz w:val="21"/>
        </w:rPr>
      </w:pPr>
    </w:p>
    <w:p>
      <w:pPr>
        <w:pStyle w:val="BodyText"/>
        <w:ind w:left="1219" w:right="499"/>
      </w:pPr>
      <w:r>
        <w:rPr/>
        <w:t>In addition, there are advantages that our program provides the community because we are do community level design. There are many civic agencies, non-profits organizations and government agencies that have used the academic and student creative resources of the Department.</w:t>
      </w:r>
      <w:r>
        <w:rPr>
          <w:spacing w:val="-4"/>
        </w:rPr>
        <w:t> </w:t>
      </w:r>
      <w:r>
        <w:rPr/>
        <w:t>The</w:t>
      </w:r>
      <w:r>
        <w:rPr>
          <w:spacing w:val="-3"/>
        </w:rPr>
        <w:t> </w:t>
      </w:r>
      <w:r>
        <w:rPr/>
        <w:t>work</w:t>
      </w:r>
      <w:r>
        <w:rPr>
          <w:spacing w:val="-1"/>
        </w:rPr>
        <w:t> </w:t>
      </w:r>
      <w:r>
        <w:rPr/>
        <w:t>is</w:t>
      </w:r>
      <w:r>
        <w:rPr>
          <w:spacing w:val="-3"/>
        </w:rPr>
        <w:t> </w:t>
      </w:r>
      <w:r>
        <w:rPr/>
        <w:t>sometimes</w:t>
      </w:r>
      <w:r>
        <w:rPr>
          <w:spacing w:val="-3"/>
        </w:rPr>
        <w:t> </w:t>
      </w:r>
      <w:r>
        <w:rPr/>
        <w:t>incorporated</w:t>
      </w:r>
      <w:r>
        <w:rPr>
          <w:spacing w:val="-3"/>
        </w:rPr>
        <w:t> </w:t>
      </w:r>
      <w:r>
        <w:rPr/>
        <w:t>into</w:t>
      </w:r>
      <w:r>
        <w:rPr>
          <w:spacing w:val="-4"/>
        </w:rPr>
        <w:t> </w:t>
      </w:r>
      <w:r>
        <w:rPr/>
        <w:t>the</w:t>
      </w:r>
      <w:r>
        <w:rPr>
          <w:spacing w:val="-4"/>
        </w:rPr>
        <w:t> </w:t>
      </w:r>
      <w:r>
        <w:rPr/>
        <w:t>design</w:t>
      </w:r>
      <w:r>
        <w:rPr>
          <w:spacing w:val="-3"/>
        </w:rPr>
        <w:t> </w:t>
      </w:r>
      <w:r>
        <w:rPr/>
        <w:t>studio</w:t>
      </w:r>
      <w:r>
        <w:rPr>
          <w:spacing w:val="-3"/>
        </w:rPr>
        <w:t> </w:t>
      </w:r>
      <w:r>
        <w:rPr/>
        <w:t>work</w:t>
      </w:r>
      <w:r>
        <w:rPr>
          <w:spacing w:val="-1"/>
        </w:rPr>
        <w:t> </w:t>
      </w:r>
      <w:r>
        <w:rPr/>
        <w:t>and</w:t>
      </w:r>
      <w:r>
        <w:rPr>
          <w:spacing w:val="-4"/>
        </w:rPr>
        <w:t> </w:t>
      </w:r>
      <w:r>
        <w:rPr/>
        <w:t>is</w:t>
      </w:r>
      <w:r>
        <w:rPr>
          <w:spacing w:val="-5"/>
        </w:rPr>
        <w:t> </w:t>
      </w:r>
      <w:r>
        <w:rPr/>
        <w:t>monitored</w:t>
      </w:r>
      <w:r>
        <w:rPr>
          <w:spacing w:val="-3"/>
        </w:rPr>
        <w:t> </w:t>
      </w:r>
      <w:r>
        <w:rPr/>
        <w:t>by the professors. At other times, it is the result of student led action. Some examples of recent activities include the following (this list is, in no way exhaustive).</w:t>
      </w:r>
    </w:p>
    <w:p>
      <w:pPr>
        <w:pStyle w:val="BodyText"/>
        <w:spacing w:before="8"/>
      </w:pPr>
    </w:p>
    <w:p>
      <w:pPr>
        <w:pStyle w:val="BodyText"/>
        <w:ind w:left="1939" w:right="499"/>
      </w:pPr>
      <w:r>
        <w:rPr>
          <w:b/>
        </w:rPr>
        <w:t>Portsmouth Health Clinic</w:t>
      </w:r>
      <w:r>
        <w:rPr/>
        <w:t>: Health planning and programming, provided by students as part</w:t>
      </w:r>
      <w:r>
        <w:rPr>
          <w:spacing w:val="-1"/>
        </w:rPr>
        <w:t> </w:t>
      </w:r>
      <w:r>
        <w:rPr/>
        <w:t>of an elective</w:t>
      </w:r>
      <w:r>
        <w:rPr>
          <w:spacing w:val="-1"/>
        </w:rPr>
        <w:t> </w:t>
      </w:r>
      <w:r>
        <w:rPr/>
        <w:t>course, directed by</w:t>
      </w:r>
      <w:r>
        <w:rPr>
          <w:spacing w:val="-4"/>
        </w:rPr>
        <w:t> </w:t>
      </w:r>
      <w:r>
        <w:rPr/>
        <w:t>Dr. Sanchez. Students conducted</w:t>
      </w:r>
      <w:r>
        <w:rPr>
          <w:spacing w:val="-1"/>
        </w:rPr>
        <w:t> </w:t>
      </w:r>
      <w:r>
        <w:rPr/>
        <w:t>research</w:t>
      </w:r>
      <w:r>
        <w:rPr>
          <w:spacing w:val="-1"/>
        </w:rPr>
        <w:t> </w:t>
      </w:r>
      <w:r>
        <w:rPr/>
        <w:t>on</w:t>
      </w:r>
      <w:r>
        <w:rPr>
          <w:spacing w:val="-1"/>
        </w:rPr>
        <w:t> </w:t>
      </w:r>
      <w:r>
        <w:rPr/>
        <w:t>the delivery</w:t>
      </w:r>
      <w:r>
        <w:rPr>
          <w:spacing w:val="-6"/>
        </w:rPr>
        <w:t> </w:t>
      </w:r>
      <w:r>
        <w:rPr/>
        <w:t>of</w:t>
      </w:r>
      <w:r>
        <w:rPr>
          <w:spacing w:val="-3"/>
        </w:rPr>
        <w:t> </w:t>
      </w:r>
      <w:r>
        <w:rPr/>
        <w:t>community</w:t>
      </w:r>
      <w:r>
        <w:rPr>
          <w:spacing w:val="-6"/>
        </w:rPr>
        <w:t> </w:t>
      </w:r>
      <w:r>
        <w:rPr/>
        <w:t>level</w:t>
      </w:r>
      <w:r>
        <w:rPr>
          <w:spacing w:val="-4"/>
        </w:rPr>
        <w:t> </w:t>
      </w:r>
      <w:r>
        <w:rPr/>
        <w:t>health</w:t>
      </w:r>
      <w:r>
        <w:rPr>
          <w:spacing w:val="-3"/>
        </w:rPr>
        <w:t> </w:t>
      </w:r>
      <w:r>
        <w:rPr/>
        <w:t>providers</w:t>
      </w:r>
      <w:r>
        <w:rPr>
          <w:spacing w:val="-4"/>
        </w:rPr>
        <w:t> </w:t>
      </w:r>
      <w:r>
        <w:rPr/>
        <w:t>and</w:t>
      </w:r>
      <w:r>
        <w:rPr>
          <w:spacing w:val="-3"/>
        </w:rPr>
        <w:t> </w:t>
      </w:r>
      <w:r>
        <w:rPr/>
        <w:t>prepared</w:t>
      </w:r>
      <w:r>
        <w:rPr>
          <w:spacing w:val="-5"/>
        </w:rPr>
        <w:t> </w:t>
      </w:r>
      <w:r>
        <w:rPr/>
        <w:t>a</w:t>
      </w:r>
      <w:r>
        <w:rPr>
          <w:spacing w:val="-5"/>
        </w:rPr>
        <w:t> </w:t>
      </w:r>
      <w:r>
        <w:rPr/>
        <w:t>space</w:t>
      </w:r>
      <w:r>
        <w:rPr>
          <w:spacing w:val="-3"/>
        </w:rPr>
        <w:t> </w:t>
      </w:r>
      <w:r>
        <w:rPr/>
        <w:t>program and</w:t>
      </w:r>
      <w:r>
        <w:rPr>
          <w:spacing w:val="-5"/>
        </w:rPr>
        <w:t> </w:t>
      </w:r>
      <w:r>
        <w:rPr/>
        <w:t>analysis of an existing community health facility to assist that agency determine their future </w:t>
      </w:r>
      <w:r>
        <w:rPr>
          <w:spacing w:val="-2"/>
        </w:rPr>
        <w:t>direction.</w:t>
      </w:r>
    </w:p>
    <w:p>
      <w:pPr>
        <w:pStyle w:val="BodyText"/>
        <w:spacing w:before="10"/>
      </w:pPr>
    </w:p>
    <w:p>
      <w:pPr>
        <w:pStyle w:val="BodyText"/>
        <w:ind w:left="1932" w:right="486"/>
      </w:pPr>
      <w:r>
        <w:rPr>
          <w:b/>
        </w:rPr>
        <w:t>Newport News Masterplan</w:t>
      </w:r>
      <w:r>
        <w:rPr/>
        <w:t>: As part of a HUD grant awarded to the City of Newport News,</w:t>
      </w:r>
      <w:r>
        <w:rPr>
          <w:spacing w:val="-4"/>
        </w:rPr>
        <w:t> </w:t>
      </w:r>
      <w:r>
        <w:rPr/>
        <w:t>the</w:t>
      </w:r>
      <w:r>
        <w:rPr>
          <w:spacing w:val="-4"/>
        </w:rPr>
        <w:t> </w:t>
      </w:r>
      <w:r>
        <w:rPr/>
        <w:t>Department</w:t>
      </w:r>
      <w:r>
        <w:rPr>
          <w:spacing w:val="-4"/>
        </w:rPr>
        <w:t> </w:t>
      </w:r>
      <w:r>
        <w:rPr/>
        <w:t>of</w:t>
      </w:r>
      <w:r>
        <w:rPr>
          <w:spacing w:val="-2"/>
        </w:rPr>
        <w:t> </w:t>
      </w:r>
      <w:r>
        <w:rPr/>
        <w:t>Architecture</w:t>
      </w:r>
      <w:r>
        <w:rPr>
          <w:spacing w:val="-4"/>
        </w:rPr>
        <w:t> </w:t>
      </w:r>
      <w:r>
        <w:rPr/>
        <w:t>served</w:t>
      </w:r>
      <w:r>
        <w:rPr>
          <w:spacing w:val="-2"/>
        </w:rPr>
        <w:t> </w:t>
      </w:r>
      <w:r>
        <w:rPr/>
        <w:t>as</w:t>
      </w:r>
      <w:r>
        <w:rPr>
          <w:spacing w:val="-3"/>
        </w:rPr>
        <w:t> </w:t>
      </w:r>
      <w:r>
        <w:rPr/>
        <w:t>master</w:t>
      </w:r>
      <w:r>
        <w:rPr>
          <w:spacing w:val="-3"/>
        </w:rPr>
        <w:t> </w:t>
      </w:r>
      <w:r>
        <w:rPr/>
        <w:t>planners</w:t>
      </w:r>
      <w:r>
        <w:rPr>
          <w:spacing w:val="-3"/>
        </w:rPr>
        <w:t> </w:t>
      </w:r>
      <w:r>
        <w:rPr/>
        <w:t>for</w:t>
      </w:r>
      <w:r>
        <w:rPr>
          <w:spacing w:val="-3"/>
        </w:rPr>
        <w:t> </w:t>
      </w:r>
      <w:r>
        <w:rPr/>
        <w:t>a</w:t>
      </w:r>
      <w:r>
        <w:rPr>
          <w:spacing w:val="-4"/>
        </w:rPr>
        <w:t> </w:t>
      </w:r>
      <w:r>
        <w:rPr/>
        <w:t>historic</w:t>
      </w:r>
      <w:r>
        <w:rPr>
          <w:spacing w:val="-3"/>
        </w:rPr>
        <w:t> </w:t>
      </w:r>
      <w:r>
        <w:rPr/>
        <w:t>community called Jefferson Park. The planning effort was performed as part of a 4</w:t>
      </w:r>
      <w:r>
        <w:rPr>
          <w:vertAlign w:val="superscript"/>
        </w:rPr>
        <w:t>th</w:t>
      </w:r>
      <w:r>
        <w:rPr>
          <w:vertAlign w:val="baseline"/>
        </w:rPr>
        <w:t> year comprehensive</w:t>
      </w:r>
      <w:r>
        <w:rPr>
          <w:spacing w:val="-3"/>
          <w:vertAlign w:val="baseline"/>
        </w:rPr>
        <w:t> </w:t>
      </w:r>
      <w:r>
        <w:rPr>
          <w:vertAlign w:val="baseline"/>
        </w:rPr>
        <w:t>design</w:t>
      </w:r>
      <w:r>
        <w:rPr>
          <w:spacing w:val="-5"/>
          <w:vertAlign w:val="baseline"/>
        </w:rPr>
        <w:t> </w:t>
      </w:r>
      <w:r>
        <w:rPr>
          <w:vertAlign w:val="baseline"/>
        </w:rPr>
        <w:t>studio.</w:t>
      </w:r>
      <w:r>
        <w:rPr>
          <w:spacing w:val="-3"/>
          <w:vertAlign w:val="baseline"/>
        </w:rPr>
        <w:t> </w:t>
      </w:r>
      <w:r>
        <w:rPr>
          <w:vertAlign w:val="baseline"/>
        </w:rPr>
        <w:t>Student</w:t>
      </w:r>
      <w:r>
        <w:rPr>
          <w:spacing w:val="-3"/>
          <w:vertAlign w:val="baseline"/>
        </w:rPr>
        <w:t> </w:t>
      </w:r>
      <w:r>
        <w:rPr>
          <w:vertAlign w:val="baseline"/>
        </w:rPr>
        <w:t>and</w:t>
      </w:r>
      <w:r>
        <w:rPr>
          <w:spacing w:val="-5"/>
          <w:vertAlign w:val="baseline"/>
        </w:rPr>
        <w:t> </w:t>
      </w:r>
      <w:r>
        <w:rPr>
          <w:vertAlign w:val="baseline"/>
        </w:rPr>
        <w:t>their</w:t>
      </w:r>
      <w:r>
        <w:rPr>
          <w:spacing w:val="-4"/>
          <w:vertAlign w:val="baseline"/>
        </w:rPr>
        <w:t> </w:t>
      </w:r>
      <w:r>
        <w:rPr>
          <w:vertAlign w:val="baseline"/>
        </w:rPr>
        <w:t>professors</w:t>
      </w:r>
      <w:r>
        <w:rPr>
          <w:spacing w:val="-4"/>
          <w:vertAlign w:val="baseline"/>
        </w:rPr>
        <w:t> </w:t>
      </w:r>
      <w:r>
        <w:rPr>
          <w:vertAlign w:val="baseline"/>
        </w:rPr>
        <w:t>(Easter</w:t>
      </w:r>
      <w:r>
        <w:rPr>
          <w:spacing w:val="-4"/>
          <w:vertAlign w:val="baseline"/>
        </w:rPr>
        <w:t> </w:t>
      </w:r>
      <w:r>
        <w:rPr>
          <w:vertAlign w:val="baseline"/>
        </w:rPr>
        <w:t>and</w:t>
      </w:r>
      <w:r>
        <w:rPr>
          <w:spacing w:val="-3"/>
          <w:vertAlign w:val="baseline"/>
        </w:rPr>
        <w:t> </w:t>
      </w:r>
      <w:r>
        <w:rPr>
          <w:vertAlign w:val="baseline"/>
        </w:rPr>
        <w:t>Chance)</w:t>
      </w:r>
      <w:r>
        <w:rPr>
          <w:spacing w:val="-2"/>
          <w:vertAlign w:val="baseline"/>
        </w:rPr>
        <w:t> </w:t>
      </w:r>
      <w:r>
        <w:rPr>
          <w:vertAlign w:val="baseline"/>
        </w:rPr>
        <w:t>met</w:t>
      </w:r>
      <w:r>
        <w:rPr>
          <w:spacing w:val="-5"/>
          <w:vertAlign w:val="baseline"/>
        </w:rPr>
        <w:t> </w:t>
      </w:r>
      <w:r>
        <w:rPr>
          <w:vertAlign w:val="baseline"/>
        </w:rPr>
        <w:t>with residents,</w:t>
      </w:r>
      <w:r>
        <w:rPr>
          <w:spacing w:val="-6"/>
          <w:vertAlign w:val="baseline"/>
        </w:rPr>
        <w:t> </w:t>
      </w:r>
      <w:r>
        <w:rPr>
          <w:vertAlign w:val="baseline"/>
        </w:rPr>
        <w:t>civic</w:t>
      </w:r>
      <w:r>
        <w:rPr>
          <w:spacing w:val="-5"/>
          <w:vertAlign w:val="baseline"/>
        </w:rPr>
        <w:t> </w:t>
      </w:r>
      <w:r>
        <w:rPr>
          <w:vertAlign w:val="baseline"/>
        </w:rPr>
        <w:t>leaders,</w:t>
      </w:r>
      <w:r>
        <w:rPr>
          <w:spacing w:val="-6"/>
          <w:vertAlign w:val="baseline"/>
        </w:rPr>
        <w:t> </w:t>
      </w:r>
      <w:r>
        <w:rPr>
          <w:vertAlign w:val="baseline"/>
        </w:rPr>
        <w:t>conducted</w:t>
      </w:r>
      <w:r>
        <w:rPr>
          <w:spacing w:val="-6"/>
          <w:vertAlign w:val="baseline"/>
        </w:rPr>
        <w:t> </w:t>
      </w:r>
      <w:r>
        <w:rPr>
          <w:vertAlign w:val="baseline"/>
        </w:rPr>
        <w:t>design</w:t>
      </w:r>
      <w:r>
        <w:rPr>
          <w:spacing w:val="-6"/>
          <w:vertAlign w:val="baseline"/>
        </w:rPr>
        <w:t> </w:t>
      </w:r>
      <w:r>
        <w:rPr>
          <w:vertAlign w:val="baseline"/>
        </w:rPr>
        <w:t>charrettes,</w:t>
      </w:r>
      <w:r>
        <w:rPr>
          <w:spacing w:val="-4"/>
          <w:vertAlign w:val="baseline"/>
        </w:rPr>
        <w:t> </w:t>
      </w:r>
      <w:r>
        <w:rPr>
          <w:vertAlign w:val="baseline"/>
        </w:rPr>
        <w:t>presented</w:t>
      </w:r>
      <w:r>
        <w:rPr>
          <w:spacing w:val="-6"/>
          <w:vertAlign w:val="baseline"/>
        </w:rPr>
        <w:t> </w:t>
      </w:r>
      <w:r>
        <w:rPr>
          <w:vertAlign w:val="baseline"/>
        </w:rPr>
        <w:t>information</w:t>
      </w:r>
      <w:r>
        <w:rPr>
          <w:spacing w:val="-6"/>
          <w:vertAlign w:val="baseline"/>
        </w:rPr>
        <w:t> </w:t>
      </w:r>
      <w:r>
        <w:rPr>
          <w:vertAlign w:val="baseline"/>
        </w:rPr>
        <w:t>symposiums, and prepared a plan for the revitalization of a blighted, but emerging community. This program received a tremendous amount of press coverage.</w:t>
      </w:r>
    </w:p>
    <w:p>
      <w:pPr>
        <w:pStyle w:val="BodyText"/>
        <w:spacing w:before="9"/>
      </w:pPr>
    </w:p>
    <w:p>
      <w:pPr>
        <w:spacing w:before="0"/>
        <w:ind w:left="1939" w:right="705" w:firstLine="0"/>
        <w:jc w:val="left"/>
        <w:rPr>
          <w:sz w:val="20"/>
        </w:rPr>
      </w:pPr>
      <w:r>
        <w:rPr>
          <w:b/>
          <w:sz w:val="20"/>
        </w:rPr>
        <w:t>Sixth</w:t>
      </w:r>
      <w:r>
        <w:rPr>
          <w:b/>
          <w:spacing w:val="-5"/>
          <w:sz w:val="20"/>
        </w:rPr>
        <w:t> </w:t>
      </w:r>
      <w:r>
        <w:rPr>
          <w:b/>
          <w:sz w:val="20"/>
        </w:rPr>
        <w:t>Mount</w:t>
      </w:r>
      <w:r>
        <w:rPr>
          <w:b/>
          <w:spacing w:val="-5"/>
          <w:sz w:val="20"/>
        </w:rPr>
        <w:t> </w:t>
      </w:r>
      <w:r>
        <w:rPr>
          <w:b/>
          <w:sz w:val="20"/>
        </w:rPr>
        <w:t>Zion</w:t>
      </w:r>
      <w:r>
        <w:rPr>
          <w:b/>
          <w:spacing w:val="-5"/>
          <w:sz w:val="20"/>
        </w:rPr>
        <w:t> </w:t>
      </w:r>
      <w:r>
        <w:rPr>
          <w:b/>
          <w:sz w:val="20"/>
        </w:rPr>
        <w:t>Baptist</w:t>
      </w:r>
      <w:r>
        <w:rPr>
          <w:b/>
          <w:spacing w:val="-5"/>
          <w:sz w:val="20"/>
        </w:rPr>
        <w:t> </w:t>
      </w:r>
      <w:r>
        <w:rPr>
          <w:b/>
          <w:sz w:val="20"/>
        </w:rPr>
        <w:t>Church</w:t>
      </w:r>
      <w:r>
        <w:rPr>
          <w:sz w:val="20"/>
        </w:rPr>
        <w:t>:</w:t>
      </w:r>
      <w:r>
        <w:rPr>
          <w:spacing w:val="-5"/>
          <w:sz w:val="20"/>
        </w:rPr>
        <w:t> </w:t>
      </w:r>
      <w:r>
        <w:rPr>
          <w:sz w:val="20"/>
        </w:rPr>
        <w:t>Design</w:t>
      </w:r>
      <w:r>
        <w:rPr>
          <w:spacing w:val="-4"/>
          <w:sz w:val="20"/>
        </w:rPr>
        <w:t> </w:t>
      </w:r>
      <w:r>
        <w:rPr>
          <w:sz w:val="20"/>
        </w:rPr>
        <w:t>concepts</w:t>
      </w:r>
      <w:r>
        <w:rPr>
          <w:spacing w:val="-2"/>
          <w:sz w:val="20"/>
        </w:rPr>
        <w:t> </w:t>
      </w:r>
      <w:r>
        <w:rPr>
          <w:sz w:val="20"/>
        </w:rPr>
        <w:t>provided</w:t>
      </w:r>
      <w:r>
        <w:rPr>
          <w:spacing w:val="-5"/>
          <w:sz w:val="20"/>
        </w:rPr>
        <w:t> </w:t>
      </w:r>
      <w:r>
        <w:rPr>
          <w:sz w:val="20"/>
        </w:rPr>
        <w:t>to</w:t>
      </w:r>
      <w:r>
        <w:rPr>
          <w:spacing w:val="-4"/>
          <w:sz w:val="20"/>
        </w:rPr>
        <w:t> </w:t>
      </w:r>
      <w:r>
        <w:rPr>
          <w:sz w:val="20"/>
        </w:rPr>
        <w:t>assist</w:t>
      </w:r>
      <w:r>
        <w:rPr>
          <w:spacing w:val="-5"/>
          <w:sz w:val="20"/>
        </w:rPr>
        <w:t> </w:t>
      </w:r>
      <w:r>
        <w:rPr>
          <w:sz w:val="20"/>
        </w:rPr>
        <w:t>a</w:t>
      </w:r>
      <w:r>
        <w:rPr>
          <w:spacing w:val="-4"/>
          <w:sz w:val="20"/>
        </w:rPr>
        <w:t> </w:t>
      </w:r>
      <w:r>
        <w:rPr>
          <w:sz w:val="20"/>
        </w:rPr>
        <w:t>historic Richmond church congregation as part of a 4</w:t>
      </w:r>
      <w:r>
        <w:rPr>
          <w:sz w:val="20"/>
          <w:vertAlign w:val="superscript"/>
        </w:rPr>
        <w:t>th</w:t>
      </w:r>
      <w:r>
        <w:rPr>
          <w:sz w:val="20"/>
          <w:vertAlign w:val="baseline"/>
        </w:rPr>
        <w:t> year design studio.</w:t>
      </w:r>
    </w:p>
    <w:p>
      <w:pPr>
        <w:spacing w:after="0"/>
        <w:jc w:val="left"/>
        <w:rPr>
          <w:sz w:val="20"/>
        </w:rPr>
        <w:sectPr>
          <w:pgSz w:w="12240" w:h="15840"/>
          <w:pgMar w:header="0" w:footer="974" w:top="1360" w:bottom="1160" w:left="940" w:right="960"/>
        </w:sectPr>
      </w:pPr>
    </w:p>
    <w:p>
      <w:pPr>
        <w:pStyle w:val="BodyText"/>
        <w:spacing w:line="242" w:lineRule="auto" w:before="75"/>
        <w:ind w:left="1940" w:right="705"/>
      </w:pPr>
      <w:r>
        <w:rPr>
          <w:b/>
        </w:rPr>
        <w:t>Norfolk</w:t>
      </w:r>
      <w:r>
        <w:rPr>
          <w:b/>
          <w:spacing w:val="-4"/>
        </w:rPr>
        <w:t> </w:t>
      </w:r>
      <w:r>
        <w:rPr>
          <w:b/>
        </w:rPr>
        <w:t>YMCA</w:t>
      </w:r>
      <w:r>
        <w:rPr/>
        <w:t>:</w:t>
      </w:r>
      <w:r>
        <w:rPr>
          <w:spacing w:val="-2"/>
        </w:rPr>
        <w:t> </w:t>
      </w:r>
      <w:r>
        <w:rPr/>
        <w:t>Design</w:t>
      </w:r>
      <w:r>
        <w:rPr>
          <w:spacing w:val="-4"/>
        </w:rPr>
        <w:t> </w:t>
      </w:r>
      <w:r>
        <w:rPr/>
        <w:t>concepts</w:t>
      </w:r>
      <w:r>
        <w:rPr>
          <w:spacing w:val="-3"/>
        </w:rPr>
        <w:t> </w:t>
      </w:r>
      <w:r>
        <w:rPr/>
        <w:t>provided</w:t>
      </w:r>
      <w:r>
        <w:rPr>
          <w:spacing w:val="-4"/>
        </w:rPr>
        <w:t> </w:t>
      </w:r>
      <w:r>
        <w:rPr/>
        <w:t>to</w:t>
      </w:r>
      <w:r>
        <w:rPr>
          <w:spacing w:val="-4"/>
        </w:rPr>
        <w:t> </w:t>
      </w:r>
      <w:r>
        <w:rPr/>
        <w:t>a</w:t>
      </w:r>
      <w:r>
        <w:rPr>
          <w:spacing w:val="-4"/>
        </w:rPr>
        <w:t> </w:t>
      </w:r>
      <w:r>
        <w:rPr/>
        <w:t>community</w:t>
      </w:r>
      <w:r>
        <w:rPr>
          <w:spacing w:val="-7"/>
        </w:rPr>
        <w:t> </w:t>
      </w:r>
      <w:r>
        <w:rPr/>
        <w:t>facility</w:t>
      </w:r>
      <w:r>
        <w:rPr>
          <w:spacing w:val="-5"/>
        </w:rPr>
        <w:t> </w:t>
      </w:r>
      <w:r>
        <w:rPr/>
        <w:t>proposed</w:t>
      </w:r>
      <w:r>
        <w:rPr>
          <w:spacing w:val="-4"/>
        </w:rPr>
        <w:t> </w:t>
      </w:r>
      <w:r>
        <w:rPr/>
        <w:t>to</w:t>
      </w:r>
      <w:r>
        <w:rPr>
          <w:spacing w:val="-4"/>
        </w:rPr>
        <w:t> </w:t>
      </w:r>
      <w:r>
        <w:rPr/>
        <w:t>help revitalize a community in Norfolk, as part of a 4</w:t>
      </w:r>
      <w:r>
        <w:rPr>
          <w:vertAlign w:val="superscript"/>
        </w:rPr>
        <w:t>th</w:t>
      </w:r>
      <w:r>
        <w:rPr>
          <w:vertAlign w:val="baseline"/>
        </w:rPr>
        <w:t> year design studio.</w:t>
      </w:r>
    </w:p>
    <w:p>
      <w:pPr>
        <w:pStyle w:val="BodyText"/>
        <w:spacing w:before="5"/>
      </w:pPr>
    </w:p>
    <w:p>
      <w:pPr>
        <w:pStyle w:val="BodyText"/>
        <w:spacing w:before="1"/>
        <w:ind w:left="1939" w:right="499"/>
      </w:pPr>
      <w:r>
        <w:rPr>
          <w:b/>
        </w:rPr>
        <w:t>NASA Langley Research Center</w:t>
      </w:r>
      <w:r>
        <w:rPr/>
        <w:t>: Design concepts provided to a federal agency to generate</w:t>
      </w:r>
      <w:r>
        <w:rPr>
          <w:spacing w:val="-3"/>
        </w:rPr>
        <w:t> </w:t>
      </w:r>
      <w:r>
        <w:rPr/>
        <w:t>ideas</w:t>
      </w:r>
      <w:r>
        <w:rPr>
          <w:spacing w:val="-3"/>
        </w:rPr>
        <w:t> </w:t>
      </w:r>
      <w:r>
        <w:rPr/>
        <w:t>regarding</w:t>
      </w:r>
      <w:r>
        <w:rPr>
          <w:spacing w:val="-4"/>
        </w:rPr>
        <w:t> </w:t>
      </w:r>
      <w:r>
        <w:rPr/>
        <w:t>sustainable</w:t>
      </w:r>
      <w:r>
        <w:rPr>
          <w:spacing w:val="-4"/>
        </w:rPr>
        <w:t> </w:t>
      </w:r>
      <w:r>
        <w:rPr/>
        <w:t>design</w:t>
      </w:r>
      <w:r>
        <w:rPr>
          <w:spacing w:val="-4"/>
        </w:rPr>
        <w:t> </w:t>
      </w:r>
      <w:r>
        <w:rPr/>
        <w:t>for</w:t>
      </w:r>
      <w:r>
        <w:rPr>
          <w:spacing w:val="-3"/>
        </w:rPr>
        <w:t> </w:t>
      </w:r>
      <w:r>
        <w:rPr/>
        <w:t>a</w:t>
      </w:r>
      <w:r>
        <w:rPr>
          <w:spacing w:val="-4"/>
        </w:rPr>
        <w:t> </w:t>
      </w:r>
      <w:r>
        <w:rPr/>
        <w:t>new</w:t>
      </w:r>
      <w:r>
        <w:rPr>
          <w:spacing w:val="-2"/>
        </w:rPr>
        <w:t> </w:t>
      </w:r>
      <w:r>
        <w:rPr/>
        <w:t>research</w:t>
      </w:r>
      <w:r>
        <w:rPr>
          <w:spacing w:val="-4"/>
        </w:rPr>
        <w:t> </w:t>
      </w:r>
      <w:r>
        <w:rPr/>
        <w:t>facility</w:t>
      </w:r>
      <w:r>
        <w:rPr>
          <w:spacing w:val="-5"/>
        </w:rPr>
        <w:t> </w:t>
      </w:r>
      <w:r>
        <w:rPr/>
        <w:t>proposed</w:t>
      </w:r>
      <w:r>
        <w:rPr>
          <w:spacing w:val="-4"/>
        </w:rPr>
        <w:t> </w:t>
      </w:r>
      <w:r>
        <w:rPr/>
        <w:t>for</w:t>
      </w:r>
      <w:r>
        <w:rPr>
          <w:spacing w:val="-3"/>
        </w:rPr>
        <w:t> </w:t>
      </w:r>
      <w:r>
        <w:rPr/>
        <w:t>their local campus in Hampton, as part of a 4</w:t>
      </w:r>
      <w:r>
        <w:rPr>
          <w:vertAlign w:val="superscript"/>
        </w:rPr>
        <w:t>th</w:t>
      </w:r>
      <w:r>
        <w:rPr>
          <w:vertAlign w:val="baseline"/>
        </w:rPr>
        <w:t> year design studio. There is a mutual benefit derived from NASA’s presence in the Hampton Roads area. Our students and faculty (those who are US citizens) have access to their enormous research resources, which include a variety of materials on climate and sustainability.</w:t>
      </w:r>
    </w:p>
    <w:p>
      <w:pPr>
        <w:pStyle w:val="BodyText"/>
        <w:spacing w:before="10"/>
      </w:pPr>
    </w:p>
    <w:p>
      <w:pPr>
        <w:pStyle w:val="BodyText"/>
        <w:ind w:left="1939" w:right="705"/>
      </w:pPr>
      <w:r>
        <w:rPr>
          <w:b/>
        </w:rPr>
        <w:t>1619</w:t>
      </w:r>
      <w:r>
        <w:rPr>
          <w:b/>
          <w:spacing w:val="-2"/>
        </w:rPr>
        <w:t> </w:t>
      </w:r>
      <w:r>
        <w:rPr>
          <w:b/>
        </w:rPr>
        <w:t>Celbration:</w:t>
      </w:r>
      <w:r>
        <w:rPr>
          <w:b/>
          <w:spacing w:val="-3"/>
        </w:rPr>
        <w:t> </w:t>
      </w:r>
      <w:r>
        <w:rPr/>
        <w:t>Dr.</w:t>
      </w:r>
      <w:r>
        <w:rPr>
          <w:spacing w:val="-8"/>
        </w:rPr>
        <w:t> </w:t>
      </w:r>
      <w:r>
        <w:rPr/>
        <w:t>Wesley</w:t>
      </w:r>
      <w:r>
        <w:rPr>
          <w:spacing w:val="-7"/>
        </w:rPr>
        <w:t> </w:t>
      </w:r>
      <w:r>
        <w:rPr/>
        <w:t>Henderson</w:t>
      </w:r>
      <w:r>
        <w:rPr>
          <w:spacing w:val="-4"/>
        </w:rPr>
        <w:t> </w:t>
      </w:r>
      <w:r>
        <w:rPr/>
        <w:t>engaged</w:t>
      </w:r>
      <w:r>
        <w:rPr>
          <w:spacing w:val="-2"/>
        </w:rPr>
        <w:t> </w:t>
      </w:r>
      <w:r>
        <w:rPr/>
        <w:t>a</w:t>
      </w:r>
      <w:r>
        <w:rPr>
          <w:spacing w:val="-4"/>
        </w:rPr>
        <w:t> </w:t>
      </w:r>
      <w:r>
        <w:rPr/>
        <w:t>group</w:t>
      </w:r>
      <w:r>
        <w:rPr>
          <w:spacing w:val="-4"/>
        </w:rPr>
        <w:t> </w:t>
      </w:r>
      <w:r>
        <w:rPr/>
        <w:t>of</w:t>
      </w:r>
      <w:r>
        <w:rPr>
          <w:spacing w:val="-2"/>
        </w:rPr>
        <w:t> </w:t>
      </w:r>
      <w:r>
        <w:rPr/>
        <w:t>students</w:t>
      </w:r>
      <w:r>
        <w:rPr>
          <w:spacing w:val="-3"/>
        </w:rPr>
        <w:t> </w:t>
      </w:r>
      <w:r>
        <w:rPr/>
        <w:t>to</w:t>
      </w:r>
      <w:r>
        <w:rPr>
          <w:spacing w:val="-2"/>
        </w:rPr>
        <w:t> </w:t>
      </w:r>
      <w:r>
        <w:rPr/>
        <w:t>design a memorial on the Fort Monroe peninsula to celebrate the arrival of the first African immigrants to the North American shore.</w:t>
      </w:r>
    </w:p>
    <w:p>
      <w:pPr>
        <w:pStyle w:val="BodyText"/>
        <w:spacing w:before="9"/>
      </w:pPr>
    </w:p>
    <w:p>
      <w:pPr>
        <w:pStyle w:val="BodyText"/>
        <w:spacing w:line="242" w:lineRule="auto"/>
        <w:ind w:left="1939" w:right="661"/>
        <w:jc w:val="both"/>
      </w:pPr>
      <w:r>
        <w:rPr>
          <w:b/>
        </w:rPr>
        <w:t>Tuskegee Airman</w:t>
      </w:r>
      <w:r>
        <w:rPr/>
        <w:t>:</w:t>
      </w:r>
      <w:r>
        <w:rPr>
          <w:spacing w:val="-2"/>
        </w:rPr>
        <w:t> </w:t>
      </w:r>
      <w:r>
        <w:rPr/>
        <w:t>Dr.</w:t>
      </w:r>
      <w:r>
        <w:rPr>
          <w:spacing w:val="-4"/>
        </w:rPr>
        <w:t> </w:t>
      </w:r>
      <w:r>
        <w:rPr/>
        <w:t>Wesley</w:t>
      </w:r>
      <w:r>
        <w:rPr>
          <w:spacing w:val="-3"/>
        </w:rPr>
        <w:t> </w:t>
      </w:r>
      <w:r>
        <w:rPr/>
        <w:t>Henderson worked</w:t>
      </w:r>
      <w:r>
        <w:rPr>
          <w:spacing w:val="-2"/>
        </w:rPr>
        <w:t> </w:t>
      </w:r>
      <w:r>
        <w:rPr/>
        <w:t>with</w:t>
      </w:r>
      <w:r>
        <w:rPr>
          <w:spacing w:val="-2"/>
        </w:rPr>
        <w:t> </w:t>
      </w:r>
      <w:r>
        <w:rPr/>
        <w:t>the local</w:t>
      </w:r>
      <w:r>
        <w:rPr>
          <w:spacing w:val="-3"/>
        </w:rPr>
        <w:t> </w:t>
      </w:r>
      <w:r>
        <w:rPr/>
        <w:t>branch</w:t>
      </w:r>
      <w:r>
        <w:rPr>
          <w:spacing w:val="-2"/>
        </w:rPr>
        <w:t> </w:t>
      </w:r>
      <w:r>
        <w:rPr/>
        <w:t>of this</w:t>
      </w:r>
      <w:r>
        <w:rPr>
          <w:spacing w:val="-1"/>
        </w:rPr>
        <w:t> </w:t>
      </w:r>
      <w:r>
        <w:rPr/>
        <w:t>national organization</w:t>
      </w:r>
      <w:r>
        <w:rPr>
          <w:spacing w:val="-3"/>
        </w:rPr>
        <w:t> </w:t>
      </w:r>
      <w:r>
        <w:rPr/>
        <w:t>institute</w:t>
      </w:r>
      <w:r>
        <w:rPr>
          <w:spacing w:val="-3"/>
        </w:rPr>
        <w:t> </w:t>
      </w:r>
      <w:r>
        <w:rPr/>
        <w:t>a</w:t>
      </w:r>
      <w:r>
        <w:rPr>
          <w:spacing w:val="-5"/>
        </w:rPr>
        <w:t> </w:t>
      </w:r>
      <w:r>
        <w:rPr/>
        <w:t>design</w:t>
      </w:r>
      <w:r>
        <w:rPr>
          <w:spacing w:val="-5"/>
        </w:rPr>
        <w:t> </w:t>
      </w:r>
      <w:r>
        <w:rPr/>
        <w:t>competition</w:t>
      </w:r>
      <w:r>
        <w:rPr>
          <w:spacing w:val="-3"/>
        </w:rPr>
        <w:t> </w:t>
      </w:r>
      <w:r>
        <w:rPr/>
        <w:t>in</w:t>
      </w:r>
      <w:r>
        <w:rPr>
          <w:spacing w:val="-3"/>
        </w:rPr>
        <w:t> </w:t>
      </w:r>
      <w:r>
        <w:rPr/>
        <w:t>which</w:t>
      </w:r>
      <w:r>
        <w:rPr>
          <w:spacing w:val="-5"/>
        </w:rPr>
        <w:t> </w:t>
      </w:r>
      <w:r>
        <w:rPr/>
        <w:t>students</w:t>
      </w:r>
      <w:r>
        <w:rPr>
          <w:spacing w:val="-4"/>
        </w:rPr>
        <w:t> </w:t>
      </w:r>
      <w:r>
        <w:rPr/>
        <w:t>designed</w:t>
      </w:r>
      <w:r>
        <w:rPr>
          <w:spacing w:val="-3"/>
        </w:rPr>
        <w:t> </w:t>
      </w:r>
      <w:r>
        <w:rPr/>
        <w:t>a</w:t>
      </w:r>
      <w:r>
        <w:rPr>
          <w:spacing w:val="-5"/>
        </w:rPr>
        <w:t> </w:t>
      </w:r>
      <w:r>
        <w:rPr/>
        <w:t>monument</w:t>
      </w:r>
      <w:r>
        <w:rPr>
          <w:spacing w:val="-5"/>
        </w:rPr>
        <w:t> </w:t>
      </w:r>
      <w:r>
        <w:rPr/>
        <w:t>and site honoring the contributions of the Tuskegee Airmen. The organization contributed</w:t>
      </w:r>
    </w:p>
    <w:p>
      <w:pPr>
        <w:pStyle w:val="BodyText"/>
        <w:spacing w:line="227" w:lineRule="exact"/>
        <w:ind w:left="1939"/>
        <w:jc w:val="both"/>
      </w:pPr>
      <w:r>
        <w:rPr/>
        <w:t>$1,000</w:t>
      </w:r>
      <w:r>
        <w:rPr>
          <w:spacing w:val="-3"/>
        </w:rPr>
        <w:t> </w:t>
      </w:r>
      <w:r>
        <w:rPr/>
        <w:t>in</w:t>
      </w:r>
      <w:r>
        <w:rPr>
          <w:spacing w:val="-4"/>
        </w:rPr>
        <w:t> </w:t>
      </w:r>
      <w:r>
        <w:rPr/>
        <w:t>prize</w:t>
      </w:r>
      <w:r>
        <w:rPr>
          <w:spacing w:val="-4"/>
        </w:rPr>
        <w:t> </w:t>
      </w:r>
      <w:r>
        <w:rPr/>
        <w:t>money</w:t>
      </w:r>
      <w:r>
        <w:rPr>
          <w:spacing w:val="-7"/>
        </w:rPr>
        <w:t> </w:t>
      </w:r>
      <w:r>
        <w:rPr/>
        <w:t>to</w:t>
      </w:r>
      <w:r>
        <w:rPr>
          <w:spacing w:val="-4"/>
        </w:rPr>
        <w:t> </w:t>
      </w:r>
      <w:r>
        <w:rPr/>
        <w:t>the</w:t>
      </w:r>
      <w:r>
        <w:rPr>
          <w:spacing w:val="-4"/>
        </w:rPr>
        <w:t> </w:t>
      </w:r>
      <w:r>
        <w:rPr>
          <w:spacing w:val="-2"/>
        </w:rPr>
        <w:t>students.</w:t>
      </w:r>
    </w:p>
    <w:p>
      <w:pPr>
        <w:pStyle w:val="BodyText"/>
        <w:spacing w:before="5"/>
      </w:pPr>
    </w:p>
    <w:p>
      <w:pPr>
        <w:pStyle w:val="BodyText"/>
        <w:spacing w:before="1"/>
        <w:ind w:left="1939" w:right="499"/>
      </w:pPr>
      <w:r>
        <w:rPr>
          <w:b/>
        </w:rPr>
        <w:t>Menchville House</w:t>
      </w:r>
      <w:r>
        <w:rPr/>
        <w:t>: Professor Okiomah engaged a group of students to work with a women’s</w:t>
      </w:r>
      <w:r>
        <w:rPr>
          <w:spacing w:val="-4"/>
        </w:rPr>
        <w:t> </w:t>
      </w:r>
      <w:r>
        <w:rPr/>
        <w:t>shelter</w:t>
      </w:r>
      <w:r>
        <w:rPr>
          <w:spacing w:val="-1"/>
        </w:rPr>
        <w:t> </w:t>
      </w:r>
      <w:r>
        <w:rPr/>
        <w:t>housing</w:t>
      </w:r>
      <w:r>
        <w:rPr>
          <w:spacing w:val="-3"/>
        </w:rPr>
        <w:t> </w:t>
      </w:r>
      <w:r>
        <w:rPr/>
        <w:t>battered</w:t>
      </w:r>
      <w:r>
        <w:rPr>
          <w:spacing w:val="-3"/>
        </w:rPr>
        <w:t> </w:t>
      </w:r>
      <w:r>
        <w:rPr/>
        <w:t>and</w:t>
      </w:r>
      <w:r>
        <w:rPr>
          <w:spacing w:val="-5"/>
        </w:rPr>
        <w:t> </w:t>
      </w:r>
      <w:r>
        <w:rPr/>
        <w:t>abused</w:t>
      </w:r>
      <w:r>
        <w:rPr>
          <w:spacing w:val="-5"/>
        </w:rPr>
        <w:t> </w:t>
      </w:r>
      <w:r>
        <w:rPr/>
        <w:t>families,</w:t>
      </w:r>
      <w:r>
        <w:rPr>
          <w:spacing w:val="-5"/>
        </w:rPr>
        <w:t> </w:t>
      </w:r>
      <w:r>
        <w:rPr/>
        <w:t>to</w:t>
      </w:r>
      <w:r>
        <w:rPr>
          <w:spacing w:val="-5"/>
        </w:rPr>
        <w:t> </w:t>
      </w:r>
      <w:r>
        <w:rPr/>
        <w:t>find</w:t>
      </w:r>
      <w:r>
        <w:rPr>
          <w:spacing w:val="-3"/>
        </w:rPr>
        <w:t> </w:t>
      </w:r>
      <w:r>
        <w:rPr/>
        <w:t>architectural</w:t>
      </w:r>
      <w:r>
        <w:rPr>
          <w:spacing w:val="-6"/>
        </w:rPr>
        <w:t> </w:t>
      </w:r>
      <w:r>
        <w:rPr/>
        <w:t>solutions</w:t>
      </w:r>
      <w:r>
        <w:rPr>
          <w:spacing w:val="-4"/>
        </w:rPr>
        <w:t> </w:t>
      </w:r>
      <w:r>
        <w:rPr/>
        <w:t>that enhance</w:t>
      </w:r>
      <w:r>
        <w:rPr>
          <w:spacing w:val="-1"/>
        </w:rPr>
        <w:t> </w:t>
      </w:r>
      <w:r>
        <w:rPr/>
        <w:t>their living experience</w:t>
      </w:r>
      <w:r>
        <w:rPr>
          <w:spacing w:val="-1"/>
        </w:rPr>
        <w:t> </w:t>
      </w:r>
      <w:r>
        <w:rPr/>
        <w:t>and</w:t>
      </w:r>
      <w:r>
        <w:rPr>
          <w:spacing w:val="-1"/>
        </w:rPr>
        <w:t> </w:t>
      </w:r>
      <w:r>
        <w:rPr/>
        <w:t>relieve the burden that</w:t>
      </w:r>
      <w:r>
        <w:rPr>
          <w:spacing w:val="-1"/>
        </w:rPr>
        <w:t> </w:t>
      </w:r>
      <w:r>
        <w:rPr/>
        <w:t>the women</w:t>
      </w:r>
      <w:r>
        <w:rPr>
          <w:spacing w:val="-1"/>
        </w:rPr>
        <w:t> </w:t>
      </w:r>
      <w:r>
        <w:rPr/>
        <w:t>and</w:t>
      </w:r>
      <w:r>
        <w:rPr>
          <w:spacing w:val="-1"/>
        </w:rPr>
        <w:t> </w:t>
      </w:r>
      <w:r>
        <w:rPr/>
        <w:t>their children were experiencing. The result was the design and development of portable vertical gardens and playgrounds.</w:t>
      </w:r>
    </w:p>
    <w:p>
      <w:pPr>
        <w:pStyle w:val="BodyText"/>
        <w:rPr>
          <w:sz w:val="21"/>
        </w:rPr>
      </w:pPr>
    </w:p>
    <w:p>
      <w:pPr>
        <w:pStyle w:val="BodyText"/>
        <w:ind w:left="1939" w:right="499"/>
      </w:pPr>
      <w:r>
        <w:rPr>
          <w:b/>
        </w:rPr>
        <w:t>Tucker’s</w:t>
      </w:r>
      <w:r>
        <w:rPr>
          <w:b/>
          <w:spacing w:val="-5"/>
        </w:rPr>
        <w:t> </w:t>
      </w:r>
      <w:r>
        <w:rPr>
          <w:b/>
        </w:rPr>
        <w:t>Landing</w:t>
      </w:r>
      <w:r>
        <w:rPr/>
        <w:t>:</w:t>
      </w:r>
      <w:r>
        <w:rPr>
          <w:spacing w:val="-3"/>
        </w:rPr>
        <w:t> </w:t>
      </w:r>
      <w:r>
        <w:rPr/>
        <w:t>Professor</w:t>
      </w:r>
      <w:r>
        <w:rPr>
          <w:spacing w:val="-4"/>
        </w:rPr>
        <w:t> </w:t>
      </w:r>
      <w:r>
        <w:rPr/>
        <w:t>Andrews</w:t>
      </w:r>
      <w:r>
        <w:rPr>
          <w:spacing w:val="-4"/>
        </w:rPr>
        <w:t> </w:t>
      </w:r>
      <w:r>
        <w:rPr/>
        <w:t>Design</w:t>
      </w:r>
      <w:r>
        <w:rPr>
          <w:spacing w:val="-5"/>
        </w:rPr>
        <w:t> </w:t>
      </w:r>
      <w:r>
        <w:rPr/>
        <w:t>for</w:t>
      </w:r>
      <w:r>
        <w:rPr>
          <w:spacing w:val="-4"/>
        </w:rPr>
        <w:t> </w:t>
      </w:r>
      <w:r>
        <w:rPr/>
        <w:t>a</w:t>
      </w:r>
      <w:r>
        <w:rPr>
          <w:spacing w:val="-5"/>
        </w:rPr>
        <w:t> </w:t>
      </w:r>
      <w:r>
        <w:rPr/>
        <w:t>net-zero</w:t>
      </w:r>
      <w:r>
        <w:rPr>
          <w:spacing w:val="-3"/>
        </w:rPr>
        <w:t> </w:t>
      </w:r>
      <w:r>
        <w:rPr/>
        <w:t>housing</w:t>
      </w:r>
      <w:r>
        <w:rPr>
          <w:spacing w:val="-5"/>
        </w:rPr>
        <w:t> </w:t>
      </w:r>
      <w:r>
        <w:rPr/>
        <w:t>subdivision</w:t>
      </w:r>
      <w:r>
        <w:rPr>
          <w:spacing w:val="-3"/>
        </w:rPr>
        <w:t> </w:t>
      </w:r>
      <w:r>
        <w:rPr/>
        <w:t>within an existing historic WPA-built African American community.</w:t>
      </w:r>
      <w:r>
        <w:rPr>
          <w:spacing w:val="40"/>
        </w:rPr>
        <w:t> </w:t>
      </w:r>
      <w:r>
        <w:rPr/>
        <w:t>Students worked with the developers</w:t>
      </w:r>
      <w:r>
        <w:rPr>
          <w:spacing w:val="-1"/>
        </w:rPr>
        <w:t> </w:t>
      </w:r>
      <w:r>
        <w:rPr/>
        <w:t>and were</w:t>
      </w:r>
      <w:r>
        <w:rPr>
          <w:spacing w:val="-2"/>
        </w:rPr>
        <w:t> </w:t>
      </w:r>
      <w:r>
        <w:rPr/>
        <w:t>reviewed</w:t>
      </w:r>
      <w:r>
        <w:rPr>
          <w:spacing w:val="-2"/>
        </w:rPr>
        <w:t> </w:t>
      </w:r>
      <w:r>
        <w:rPr/>
        <w:t>by</w:t>
      </w:r>
      <w:r>
        <w:rPr>
          <w:spacing w:val="-5"/>
        </w:rPr>
        <w:t> </w:t>
      </w:r>
      <w:r>
        <w:rPr/>
        <w:t>Hampton</w:t>
      </w:r>
      <w:r>
        <w:rPr>
          <w:spacing w:val="-2"/>
        </w:rPr>
        <w:t> </w:t>
      </w:r>
      <w:r>
        <w:rPr/>
        <w:t>city</w:t>
      </w:r>
      <w:r>
        <w:rPr>
          <w:spacing w:val="-5"/>
        </w:rPr>
        <w:t> </w:t>
      </w:r>
      <w:r>
        <w:rPr/>
        <w:t>officials.</w:t>
      </w:r>
      <w:r>
        <w:rPr>
          <w:spacing w:val="40"/>
        </w:rPr>
        <w:t> </w:t>
      </w:r>
      <w:r>
        <w:rPr/>
        <w:t>ARC</w:t>
      </w:r>
      <w:r>
        <w:rPr>
          <w:spacing w:val="-2"/>
        </w:rPr>
        <w:t> </w:t>
      </w:r>
      <w:r>
        <w:rPr/>
        <w:t>303</w:t>
      </w:r>
      <w:r>
        <w:rPr>
          <w:spacing w:val="-2"/>
        </w:rPr>
        <w:t> </w:t>
      </w:r>
      <w:r>
        <w:rPr/>
        <w:t>Fall</w:t>
      </w:r>
      <w:r>
        <w:rPr>
          <w:spacing w:val="-1"/>
        </w:rPr>
        <w:t> </w:t>
      </w:r>
      <w:r>
        <w:rPr/>
        <w:t>2012</w:t>
      </w:r>
      <w:r>
        <w:rPr>
          <w:spacing w:val="-2"/>
        </w:rPr>
        <w:t> </w:t>
      </w:r>
      <w:r>
        <w:rPr/>
        <w:t>and 2014. Further design development by graduate students ARC 530 Spring 2014.</w:t>
      </w:r>
    </w:p>
    <w:p>
      <w:pPr>
        <w:pStyle w:val="BodyText"/>
        <w:spacing w:before="10"/>
      </w:pPr>
    </w:p>
    <w:p>
      <w:pPr>
        <w:pStyle w:val="BodyText"/>
        <w:spacing w:line="242" w:lineRule="auto"/>
        <w:ind w:left="1939" w:right="751"/>
        <w:jc w:val="both"/>
      </w:pPr>
      <w:r>
        <w:rPr>
          <w:b/>
        </w:rPr>
        <w:t>Peterson</w:t>
      </w:r>
      <w:r>
        <w:rPr>
          <w:b/>
          <w:spacing w:val="-4"/>
        </w:rPr>
        <w:t> </w:t>
      </w:r>
      <w:r>
        <w:rPr>
          <w:b/>
        </w:rPr>
        <w:t>Prize</w:t>
      </w:r>
      <w:r>
        <w:rPr/>
        <w:t>:</w:t>
      </w:r>
      <w:r>
        <w:rPr>
          <w:spacing w:val="-5"/>
        </w:rPr>
        <w:t> </w:t>
      </w:r>
      <w:r>
        <w:rPr/>
        <w:t>Ron</w:t>
      </w:r>
      <w:r>
        <w:rPr>
          <w:spacing w:val="-3"/>
        </w:rPr>
        <w:t> </w:t>
      </w:r>
      <w:r>
        <w:rPr/>
        <w:t>Kloster</w:t>
      </w:r>
      <w:r>
        <w:rPr>
          <w:spacing w:val="-3"/>
        </w:rPr>
        <w:t> </w:t>
      </w:r>
      <w:r>
        <w:rPr/>
        <w:t>worked</w:t>
      </w:r>
      <w:r>
        <w:rPr>
          <w:spacing w:val="-5"/>
        </w:rPr>
        <w:t> </w:t>
      </w:r>
      <w:r>
        <w:rPr/>
        <w:t>with</w:t>
      </w:r>
      <w:r>
        <w:rPr>
          <w:spacing w:val="-3"/>
        </w:rPr>
        <w:t> </w:t>
      </w:r>
      <w:r>
        <w:rPr/>
        <w:t>two</w:t>
      </w:r>
      <w:r>
        <w:rPr>
          <w:spacing w:val="-5"/>
        </w:rPr>
        <w:t> </w:t>
      </w:r>
      <w:r>
        <w:rPr/>
        <w:t>students</w:t>
      </w:r>
      <w:r>
        <w:rPr>
          <w:spacing w:val="-4"/>
        </w:rPr>
        <w:t> </w:t>
      </w:r>
      <w:r>
        <w:rPr/>
        <w:t>to</w:t>
      </w:r>
      <w:r>
        <w:rPr>
          <w:spacing w:val="-5"/>
        </w:rPr>
        <w:t> </w:t>
      </w:r>
      <w:r>
        <w:rPr/>
        <w:t>develop</w:t>
      </w:r>
      <w:r>
        <w:rPr>
          <w:spacing w:val="-3"/>
        </w:rPr>
        <w:t> </w:t>
      </w:r>
      <w:r>
        <w:rPr/>
        <w:t>detailed</w:t>
      </w:r>
      <w:r>
        <w:rPr>
          <w:spacing w:val="-5"/>
        </w:rPr>
        <w:t> </w:t>
      </w:r>
      <w:r>
        <w:rPr/>
        <w:t>drawings</w:t>
      </w:r>
      <w:r>
        <w:rPr>
          <w:spacing w:val="-4"/>
        </w:rPr>
        <w:t> </w:t>
      </w:r>
      <w:r>
        <w:rPr/>
        <w:t>of HU’s historic Kathrin House.</w:t>
      </w:r>
    </w:p>
    <w:p>
      <w:pPr>
        <w:pStyle w:val="BodyText"/>
        <w:spacing w:before="3"/>
      </w:pPr>
    </w:p>
    <w:p>
      <w:pPr>
        <w:pStyle w:val="BodyText"/>
        <w:spacing w:line="242" w:lineRule="auto" w:before="1"/>
        <w:ind w:left="1939" w:right="580" w:hanging="1"/>
      </w:pPr>
      <w:r>
        <w:rPr>
          <w:b/>
        </w:rPr>
        <w:t>Norfolk</w:t>
      </w:r>
      <w:r>
        <w:rPr>
          <w:b/>
          <w:spacing w:val="-5"/>
        </w:rPr>
        <w:t> </w:t>
      </w:r>
      <w:r>
        <w:rPr>
          <w:b/>
        </w:rPr>
        <w:t>17</w:t>
      </w:r>
      <w:r>
        <w:rPr/>
        <w:t>:</w:t>
      </w:r>
      <w:r>
        <w:rPr>
          <w:spacing w:val="-5"/>
        </w:rPr>
        <w:t> </w:t>
      </w:r>
      <w:r>
        <w:rPr/>
        <w:t>Prof.</w:t>
      </w:r>
      <w:r>
        <w:rPr>
          <w:spacing w:val="-5"/>
        </w:rPr>
        <w:t> </w:t>
      </w:r>
      <w:r>
        <w:rPr/>
        <w:t>Andrews</w:t>
      </w:r>
      <w:r>
        <w:rPr>
          <w:spacing w:val="-1"/>
        </w:rPr>
        <w:t> </w:t>
      </w:r>
      <w:r>
        <w:rPr/>
        <w:t>Monument</w:t>
      </w:r>
      <w:r>
        <w:rPr>
          <w:spacing w:val="-5"/>
        </w:rPr>
        <w:t> </w:t>
      </w:r>
      <w:r>
        <w:rPr/>
        <w:t>to</w:t>
      </w:r>
      <w:r>
        <w:rPr>
          <w:spacing w:val="-3"/>
        </w:rPr>
        <w:t> </w:t>
      </w:r>
      <w:r>
        <w:rPr/>
        <w:t>the</w:t>
      </w:r>
      <w:r>
        <w:rPr>
          <w:spacing w:val="-3"/>
        </w:rPr>
        <w:t> </w:t>
      </w:r>
      <w:r>
        <w:rPr/>
        <w:t>end</w:t>
      </w:r>
      <w:r>
        <w:rPr>
          <w:spacing w:val="-5"/>
        </w:rPr>
        <w:t> </w:t>
      </w:r>
      <w:r>
        <w:rPr/>
        <w:t>of</w:t>
      </w:r>
      <w:r>
        <w:rPr>
          <w:spacing w:val="-3"/>
        </w:rPr>
        <w:t> </w:t>
      </w:r>
      <w:r>
        <w:rPr/>
        <w:t>Massive</w:t>
      </w:r>
      <w:r>
        <w:rPr>
          <w:spacing w:val="-5"/>
        </w:rPr>
        <w:t> </w:t>
      </w:r>
      <w:r>
        <w:rPr/>
        <w:t>Resistance.</w:t>
      </w:r>
      <w:r>
        <w:rPr>
          <w:spacing w:val="40"/>
        </w:rPr>
        <w:t> </w:t>
      </w:r>
      <w:r>
        <w:rPr/>
        <w:t>In</w:t>
      </w:r>
      <w:r>
        <w:rPr>
          <w:spacing w:val="-3"/>
        </w:rPr>
        <w:t> </w:t>
      </w:r>
      <w:r>
        <w:rPr/>
        <w:t>tandem with a Norfolk, VA, Public Arts project, students designed proposals for City Hall Plaza.</w:t>
      </w:r>
    </w:p>
    <w:p>
      <w:pPr>
        <w:pStyle w:val="BodyText"/>
        <w:ind w:left="1939" w:right="705"/>
      </w:pPr>
      <w:r>
        <w:rPr/>
        <w:t>Members</w:t>
      </w:r>
      <w:r>
        <w:rPr>
          <w:spacing w:val="-4"/>
        </w:rPr>
        <w:t> </w:t>
      </w:r>
      <w:r>
        <w:rPr/>
        <w:t>of</w:t>
      </w:r>
      <w:r>
        <w:rPr>
          <w:spacing w:val="-3"/>
        </w:rPr>
        <w:t> </w:t>
      </w:r>
      <w:r>
        <w:rPr/>
        <w:t>the</w:t>
      </w:r>
      <w:r>
        <w:rPr>
          <w:spacing w:val="-5"/>
        </w:rPr>
        <w:t> </w:t>
      </w:r>
      <w:r>
        <w:rPr/>
        <w:t>original</w:t>
      </w:r>
      <w:r>
        <w:rPr>
          <w:spacing w:val="-5"/>
        </w:rPr>
        <w:t> </w:t>
      </w:r>
      <w:r>
        <w:rPr/>
        <w:t>“Norfolk</w:t>
      </w:r>
      <w:r>
        <w:rPr>
          <w:spacing w:val="-1"/>
        </w:rPr>
        <w:t> </w:t>
      </w:r>
      <w:r>
        <w:rPr/>
        <w:t>17”</w:t>
      </w:r>
      <w:r>
        <w:rPr>
          <w:spacing w:val="-4"/>
        </w:rPr>
        <w:t> </w:t>
      </w:r>
      <w:r>
        <w:rPr/>
        <w:t>who</w:t>
      </w:r>
      <w:r>
        <w:rPr>
          <w:spacing w:val="-3"/>
        </w:rPr>
        <w:t> </w:t>
      </w:r>
      <w:r>
        <w:rPr/>
        <w:t>integrated</w:t>
      </w:r>
      <w:r>
        <w:rPr>
          <w:spacing w:val="-3"/>
        </w:rPr>
        <w:t> </w:t>
      </w:r>
      <w:r>
        <w:rPr/>
        <w:t>the</w:t>
      </w:r>
      <w:r>
        <w:rPr>
          <w:spacing w:val="-5"/>
        </w:rPr>
        <w:t> </w:t>
      </w:r>
      <w:r>
        <w:rPr/>
        <w:t>public</w:t>
      </w:r>
      <w:r>
        <w:rPr>
          <w:spacing w:val="-4"/>
        </w:rPr>
        <w:t> </w:t>
      </w:r>
      <w:r>
        <w:rPr/>
        <w:t>schools,</w:t>
      </w:r>
      <w:r>
        <w:rPr>
          <w:spacing w:val="-3"/>
        </w:rPr>
        <w:t> </w:t>
      </w:r>
      <w:r>
        <w:rPr/>
        <w:t>were</w:t>
      </w:r>
      <w:r>
        <w:rPr>
          <w:spacing w:val="-5"/>
        </w:rPr>
        <w:t> </w:t>
      </w:r>
      <w:r>
        <w:rPr/>
        <w:t>jurors,</w:t>
      </w:r>
      <w:r>
        <w:rPr>
          <w:spacing w:val="-5"/>
        </w:rPr>
        <w:t> </w:t>
      </w:r>
      <w:r>
        <w:rPr/>
        <w:t>as was the head of the public arts program and the actual commissioned artist, Walter Hood.</w:t>
      </w:r>
      <w:r>
        <w:rPr>
          <w:spacing w:val="40"/>
        </w:rPr>
        <w:t> </w:t>
      </w:r>
      <w:r>
        <w:rPr/>
        <w:t>ARC 304 Spring 2010 and 2011.</w:t>
      </w:r>
    </w:p>
    <w:p>
      <w:pPr>
        <w:pStyle w:val="BodyText"/>
        <w:spacing w:before="7"/>
      </w:pPr>
    </w:p>
    <w:p>
      <w:pPr>
        <w:spacing w:before="0"/>
        <w:ind w:left="1939" w:right="499" w:firstLine="0"/>
        <w:jc w:val="left"/>
        <w:rPr>
          <w:sz w:val="20"/>
        </w:rPr>
      </w:pPr>
      <w:r>
        <w:rPr>
          <w:b/>
          <w:sz w:val="20"/>
        </w:rPr>
        <w:t>Virginia</w:t>
      </w:r>
      <w:r>
        <w:rPr>
          <w:b/>
          <w:spacing w:val="-6"/>
          <w:sz w:val="20"/>
        </w:rPr>
        <w:t> </w:t>
      </w:r>
      <w:r>
        <w:rPr>
          <w:b/>
          <w:sz w:val="20"/>
        </w:rPr>
        <w:t>Tech</w:t>
      </w:r>
      <w:r>
        <w:rPr>
          <w:b/>
          <w:spacing w:val="-5"/>
          <w:sz w:val="20"/>
        </w:rPr>
        <w:t> </w:t>
      </w:r>
      <w:r>
        <w:rPr>
          <w:b/>
          <w:sz w:val="20"/>
        </w:rPr>
        <w:t>Seafood</w:t>
      </w:r>
      <w:r>
        <w:rPr>
          <w:b/>
          <w:spacing w:val="-5"/>
          <w:sz w:val="20"/>
        </w:rPr>
        <w:t> </w:t>
      </w:r>
      <w:r>
        <w:rPr>
          <w:b/>
          <w:sz w:val="20"/>
        </w:rPr>
        <w:t>Extension Agency</w:t>
      </w:r>
      <w:r>
        <w:rPr>
          <w:sz w:val="20"/>
        </w:rPr>
        <w:t>.</w:t>
      </w:r>
      <w:r>
        <w:rPr>
          <w:spacing w:val="40"/>
          <w:sz w:val="20"/>
        </w:rPr>
        <w:t> </w:t>
      </w:r>
      <w:r>
        <w:rPr>
          <w:sz w:val="20"/>
        </w:rPr>
        <w:t>Students</w:t>
      </w:r>
      <w:r>
        <w:rPr>
          <w:spacing w:val="-2"/>
          <w:sz w:val="20"/>
        </w:rPr>
        <w:t> </w:t>
      </w:r>
      <w:r>
        <w:rPr>
          <w:sz w:val="20"/>
        </w:rPr>
        <w:t>developed</w:t>
      </w:r>
      <w:r>
        <w:rPr>
          <w:spacing w:val="-6"/>
          <w:sz w:val="20"/>
        </w:rPr>
        <w:t> </w:t>
      </w:r>
      <w:r>
        <w:rPr>
          <w:sz w:val="20"/>
        </w:rPr>
        <w:t>program</w:t>
      </w:r>
      <w:r>
        <w:rPr>
          <w:spacing w:val="-1"/>
          <w:sz w:val="20"/>
        </w:rPr>
        <w:t> </w:t>
      </w:r>
      <w:r>
        <w:rPr>
          <w:sz w:val="20"/>
        </w:rPr>
        <w:t>and</w:t>
      </w:r>
      <w:r>
        <w:rPr>
          <w:spacing w:val="-6"/>
          <w:sz w:val="20"/>
        </w:rPr>
        <w:t> </w:t>
      </w:r>
      <w:r>
        <w:rPr>
          <w:sz w:val="20"/>
        </w:rPr>
        <w:t>design</w:t>
      </w:r>
      <w:r>
        <w:rPr>
          <w:spacing w:val="-4"/>
          <w:sz w:val="20"/>
        </w:rPr>
        <w:t> </w:t>
      </w:r>
      <w:r>
        <w:rPr>
          <w:sz w:val="20"/>
        </w:rPr>
        <w:t>in consultation with clients for a new waterfront building in Hampton.</w:t>
      </w:r>
      <w:r>
        <w:rPr>
          <w:spacing w:val="40"/>
          <w:sz w:val="20"/>
        </w:rPr>
        <w:t> </w:t>
      </w:r>
      <w:r>
        <w:rPr>
          <w:sz w:val="20"/>
        </w:rPr>
        <w:t>ARC 303 Fall 2013 and 2014.</w:t>
      </w:r>
    </w:p>
    <w:p>
      <w:pPr>
        <w:pStyle w:val="BodyText"/>
        <w:spacing w:before="9"/>
      </w:pPr>
    </w:p>
    <w:p>
      <w:pPr>
        <w:pStyle w:val="BodyText"/>
        <w:ind w:left="1939" w:right="499"/>
      </w:pPr>
      <w:r>
        <w:rPr>
          <w:b/>
        </w:rPr>
        <w:t>Adaptive Design for Sea Level Rise</w:t>
      </w:r>
      <w:r>
        <w:rPr/>
        <w:t>.</w:t>
      </w:r>
      <w:r>
        <w:rPr>
          <w:spacing w:val="40"/>
        </w:rPr>
        <w:t> </w:t>
      </w:r>
      <w:r>
        <w:rPr/>
        <w:t>Working as part of a Virginia SeaGrant team administered</w:t>
      </w:r>
      <w:r>
        <w:rPr>
          <w:spacing w:val="-4"/>
        </w:rPr>
        <w:t> </w:t>
      </w:r>
      <w:r>
        <w:rPr/>
        <w:t>by</w:t>
      </w:r>
      <w:r>
        <w:rPr>
          <w:spacing w:val="-11"/>
        </w:rPr>
        <w:t> </w:t>
      </w:r>
      <w:r>
        <w:rPr/>
        <w:t>Wetlands</w:t>
      </w:r>
      <w:r>
        <w:rPr>
          <w:spacing w:val="-2"/>
        </w:rPr>
        <w:t> </w:t>
      </w:r>
      <w:r>
        <w:rPr/>
        <w:t>watch,</w:t>
      </w:r>
      <w:r>
        <w:rPr>
          <w:spacing w:val="-5"/>
        </w:rPr>
        <w:t> </w:t>
      </w:r>
      <w:r>
        <w:rPr/>
        <w:t>students</w:t>
      </w:r>
      <w:r>
        <w:rPr>
          <w:spacing w:val="-2"/>
        </w:rPr>
        <w:t> </w:t>
      </w:r>
      <w:r>
        <w:rPr/>
        <w:t>are</w:t>
      </w:r>
      <w:r>
        <w:rPr>
          <w:spacing w:val="-5"/>
        </w:rPr>
        <w:t> </w:t>
      </w:r>
      <w:r>
        <w:rPr/>
        <w:t>studying</w:t>
      </w:r>
      <w:r>
        <w:rPr>
          <w:spacing w:val="-5"/>
        </w:rPr>
        <w:t> </w:t>
      </w:r>
      <w:r>
        <w:rPr/>
        <w:t>an</w:t>
      </w:r>
      <w:r>
        <w:rPr>
          <w:spacing w:val="-4"/>
        </w:rPr>
        <w:t> </w:t>
      </w:r>
      <w:r>
        <w:rPr/>
        <w:t>existing</w:t>
      </w:r>
      <w:r>
        <w:rPr>
          <w:spacing w:val="-5"/>
        </w:rPr>
        <w:t> </w:t>
      </w:r>
      <w:r>
        <w:rPr/>
        <w:t>historic</w:t>
      </w:r>
      <w:r>
        <w:rPr>
          <w:spacing w:val="-2"/>
        </w:rPr>
        <w:t> </w:t>
      </w:r>
      <w:r>
        <w:rPr/>
        <w:t>neighborhood suffering recurring flooding.</w:t>
      </w:r>
      <w:r>
        <w:rPr>
          <w:spacing w:val="40"/>
        </w:rPr>
        <w:t> </w:t>
      </w:r>
      <w:r>
        <w:rPr/>
        <w:t>Working with private sector engineers and city planners, students will lead community design charrettes and study ramifications of architectural modifications relative to existing urban fabric.</w:t>
      </w:r>
    </w:p>
    <w:p>
      <w:pPr>
        <w:pStyle w:val="BodyText"/>
        <w:spacing w:before="10"/>
      </w:pPr>
    </w:p>
    <w:p>
      <w:pPr>
        <w:pStyle w:val="BodyText"/>
        <w:ind w:left="1939" w:right="580"/>
      </w:pPr>
      <w:r>
        <w:rPr>
          <w:b/>
        </w:rPr>
        <w:t>The Virginia Tech Seafood Extension Agency</w:t>
      </w:r>
      <w:r>
        <w:rPr/>
        <w:t>, for a new waterfront lab facility; a hardware store developer in conjunction with the Norfolk Redevelopment and Housing Authority; Retail Alliance, for corporate offices and incubator retail at ground floor; a restaurateur for a mixed-use downtown project; a developer of a net-zero housing project;</w:t>
      </w:r>
      <w:r>
        <w:rPr>
          <w:spacing w:val="-4"/>
        </w:rPr>
        <w:t> </w:t>
      </w:r>
      <w:r>
        <w:rPr/>
        <w:t>a</w:t>
      </w:r>
      <w:r>
        <w:rPr>
          <w:spacing w:val="-4"/>
        </w:rPr>
        <w:t> </w:t>
      </w:r>
      <w:r>
        <w:rPr/>
        <w:t>developer</w:t>
      </w:r>
      <w:r>
        <w:rPr>
          <w:spacing w:val="-3"/>
        </w:rPr>
        <w:t> </w:t>
      </w:r>
      <w:r>
        <w:rPr/>
        <w:t>of</w:t>
      </w:r>
      <w:r>
        <w:rPr>
          <w:spacing w:val="-3"/>
        </w:rPr>
        <w:t> </w:t>
      </w:r>
      <w:r>
        <w:rPr/>
        <w:t>housing</w:t>
      </w:r>
      <w:r>
        <w:rPr>
          <w:spacing w:val="-3"/>
        </w:rPr>
        <w:t> </w:t>
      </w:r>
      <w:r>
        <w:rPr/>
        <w:t>in</w:t>
      </w:r>
      <w:r>
        <w:rPr>
          <w:spacing w:val="-4"/>
        </w:rPr>
        <w:t> </w:t>
      </w:r>
      <w:r>
        <w:rPr/>
        <w:t>downtown</w:t>
      </w:r>
      <w:r>
        <w:rPr>
          <w:spacing w:val="-3"/>
        </w:rPr>
        <w:t> </w:t>
      </w:r>
      <w:r>
        <w:rPr/>
        <w:t>Norfolk;</w:t>
      </w:r>
      <w:r>
        <w:rPr>
          <w:spacing w:val="-4"/>
        </w:rPr>
        <w:t> </w:t>
      </w:r>
      <w:r>
        <w:rPr/>
        <w:t>an</w:t>
      </w:r>
      <w:r>
        <w:rPr>
          <w:spacing w:val="-4"/>
        </w:rPr>
        <w:t> </w:t>
      </w:r>
      <w:r>
        <w:rPr/>
        <w:t>activist</w:t>
      </w:r>
      <w:r>
        <w:rPr>
          <w:spacing w:val="-3"/>
        </w:rPr>
        <w:t> </w:t>
      </w:r>
      <w:r>
        <w:rPr/>
        <w:t>who</w:t>
      </w:r>
      <w:r>
        <w:rPr>
          <w:spacing w:val="-3"/>
        </w:rPr>
        <w:t> </w:t>
      </w:r>
      <w:r>
        <w:rPr/>
        <w:t>inherited</w:t>
      </w:r>
      <w:r>
        <w:rPr>
          <w:spacing w:val="-3"/>
        </w:rPr>
        <w:t> </w:t>
      </w:r>
      <w:r>
        <w:rPr/>
        <w:t>land</w:t>
      </w:r>
      <w:r>
        <w:rPr>
          <w:spacing w:val="-4"/>
        </w:rPr>
        <w:t> </w:t>
      </w:r>
      <w:r>
        <w:rPr/>
        <w:t>on</w:t>
      </w:r>
      <w:r>
        <w:rPr>
          <w:spacing w:val="-3"/>
        </w:rPr>
        <w:t> </w:t>
      </w:r>
      <w:r>
        <w:rPr/>
        <w:t>a challenge commercial corridor, and a developer of shops.</w:t>
      </w:r>
      <w:r>
        <w:rPr>
          <w:spacing w:val="40"/>
        </w:rPr>
        <w:t> </w:t>
      </w:r>
      <w:r>
        <w:rPr/>
        <w:t>Students have also toured</w:t>
      </w:r>
    </w:p>
    <w:p>
      <w:pPr>
        <w:spacing w:after="0"/>
        <w:sectPr>
          <w:pgSz w:w="12240" w:h="15840"/>
          <w:pgMar w:header="0" w:footer="974" w:top="1360" w:bottom="1160" w:left="940" w:right="960"/>
        </w:sectPr>
      </w:pPr>
    </w:p>
    <w:p>
      <w:pPr>
        <w:pStyle w:val="BodyText"/>
        <w:spacing w:before="77"/>
        <w:ind w:left="1940" w:right="705"/>
      </w:pPr>
      <w:r>
        <w:rPr/>
        <w:t>sites,</w:t>
      </w:r>
      <w:r>
        <w:rPr>
          <w:spacing w:val="-5"/>
        </w:rPr>
        <w:t> </w:t>
      </w:r>
      <w:r>
        <w:rPr/>
        <w:t>interviewed,</w:t>
      </w:r>
      <w:r>
        <w:rPr>
          <w:spacing w:val="-3"/>
        </w:rPr>
        <w:t> </w:t>
      </w:r>
      <w:r>
        <w:rPr/>
        <w:t>and</w:t>
      </w:r>
      <w:r>
        <w:rPr>
          <w:spacing w:val="-5"/>
        </w:rPr>
        <w:t> </w:t>
      </w:r>
      <w:r>
        <w:rPr/>
        <w:t>attended</w:t>
      </w:r>
      <w:r>
        <w:rPr>
          <w:spacing w:val="-3"/>
        </w:rPr>
        <w:t> </w:t>
      </w:r>
      <w:r>
        <w:rPr/>
        <w:t>meetings</w:t>
      </w:r>
      <w:r>
        <w:rPr>
          <w:spacing w:val="-4"/>
        </w:rPr>
        <w:t> </w:t>
      </w:r>
      <w:r>
        <w:rPr/>
        <w:t>of</w:t>
      </w:r>
      <w:r>
        <w:rPr>
          <w:spacing w:val="-3"/>
        </w:rPr>
        <w:t> </w:t>
      </w:r>
      <w:r>
        <w:rPr/>
        <w:t>a</w:t>
      </w:r>
      <w:r>
        <w:rPr>
          <w:spacing w:val="-5"/>
        </w:rPr>
        <w:t> </w:t>
      </w:r>
      <w:r>
        <w:rPr/>
        <w:t>number</w:t>
      </w:r>
      <w:r>
        <w:rPr>
          <w:spacing w:val="-4"/>
        </w:rPr>
        <w:t> </w:t>
      </w:r>
      <w:r>
        <w:rPr/>
        <w:t>of</w:t>
      </w:r>
      <w:r>
        <w:rPr>
          <w:spacing w:val="-3"/>
        </w:rPr>
        <w:t> </w:t>
      </w:r>
      <w:r>
        <w:rPr/>
        <w:t>different</w:t>
      </w:r>
      <w:r>
        <w:rPr>
          <w:spacing w:val="-5"/>
        </w:rPr>
        <w:t> </w:t>
      </w:r>
      <w:r>
        <w:rPr/>
        <w:t>civic</w:t>
      </w:r>
      <w:r>
        <w:rPr>
          <w:spacing w:val="-1"/>
        </w:rPr>
        <w:t> </w:t>
      </w:r>
      <w:r>
        <w:rPr/>
        <w:t>leagues</w:t>
      </w:r>
      <w:r>
        <w:rPr>
          <w:spacing w:val="-4"/>
        </w:rPr>
        <w:t> </w:t>
      </w:r>
      <w:r>
        <w:rPr/>
        <w:t>in</w:t>
      </w:r>
      <w:r>
        <w:rPr>
          <w:spacing w:val="-3"/>
        </w:rPr>
        <w:t> </w:t>
      </w:r>
      <w:r>
        <w:rPr/>
        <w:t>site </w:t>
      </w:r>
      <w:r>
        <w:rPr>
          <w:spacing w:val="-2"/>
        </w:rPr>
        <w:t>areas.</w:t>
      </w:r>
    </w:p>
    <w:p>
      <w:pPr>
        <w:pStyle w:val="BodyText"/>
        <w:spacing w:before="8"/>
      </w:pPr>
    </w:p>
    <w:p>
      <w:pPr>
        <w:pStyle w:val="BodyText"/>
        <w:ind w:left="1940" w:right="705"/>
      </w:pPr>
      <w:r>
        <w:rPr>
          <w:b/>
        </w:rPr>
        <w:t>Airport</w:t>
      </w:r>
      <w:r>
        <w:rPr>
          <w:b/>
          <w:spacing w:val="-4"/>
        </w:rPr>
        <w:t> </w:t>
      </w:r>
      <w:r>
        <w:rPr>
          <w:b/>
        </w:rPr>
        <w:t>Design</w:t>
      </w:r>
      <w:r>
        <w:rPr/>
        <w:t>:</w:t>
      </w:r>
      <w:r>
        <w:rPr>
          <w:spacing w:val="-5"/>
        </w:rPr>
        <w:t> </w:t>
      </w:r>
      <w:r>
        <w:rPr/>
        <w:t>In</w:t>
      </w:r>
      <w:r>
        <w:rPr>
          <w:spacing w:val="-5"/>
        </w:rPr>
        <w:t> </w:t>
      </w:r>
      <w:r>
        <w:rPr/>
        <w:t>Spring,</w:t>
      </w:r>
      <w:r>
        <w:rPr>
          <w:spacing w:val="-3"/>
        </w:rPr>
        <w:t> </w:t>
      </w:r>
      <w:r>
        <w:rPr/>
        <w:t>2012,</w:t>
      </w:r>
      <w:r>
        <w:rPr>
          <w:spacing w:val="-5"/>
        </w:rPr>
        <w:t> </w:t>
      </w:r>
      <w:r>
        <w:rPr/>
        <w:t>the</w:t>
      </w:r>
      <w:r>
        <w:rPr>
          <w:spacing w:val="-5"/>
        </w:rPr>
        <w:t> </w:t>
      </w:r>
      <w:r>
        <w:rPr/>
        <w:t>Department</w:t>
      </w:r>
      <w:r>
        <w:rPr>
          <w:spacing w:val="-5"/>
        </w:rPr>
        <w:t> </w:t>
      </w:r>
      <w:r>
        <w:rPr/>
        <w:t>of</w:t>
      </w:r>
      <w:r>
        <w:rPr>
          <w:spacing w:val="-3"/>
        </w:rPr>
        <w:t> </w:t>
      </w:r>
      <w:r>
        <w:rPr/>
        <w:t>Aviation</w:t>
      </w:r>
      <w:r>
        <w:rPr>
          <w:spacing w:val="-3"/>
        </w:rPr>
        <w:t> </w:t>
      </w:r>
      <w:r>
        <w:rPr/>
        <w:t>developed</w:t>
      </w:r>
      <w:r>
        <w:rPr>
          <w:spacing w:val="-3"/>
        </w:rPr>
        <w:t> </w:t>
      </w:r>
      <w:r>
        <w:rPr/>
        <w:t>a</w:t>
      </w:r>
      <w:r>
        <w:rPr>
          <w:spacing w:val="-5"/>
        </w:rPr>
        <w:t> </w:t>
      </w:r>
      <w:r>
        <w:rPr/>
        <w:t>program</w:t>
      </w:r>
      <w:r>
        <w:rPr>
          <w:spacing w:val="-3"/>
        </w:rPr>
        <w:t> </w:t>
      </w:r>
      <w:r>
        <w:rPr/>
        <w:t>in Aviation Management. One of the required courses was AVN 409, Airport Design.</w:t>
      </w:r>
    </w:p>
    <w:p>
      <w:pPr>
        <w:pStyle w:val="BodyText"/>
        <w:spacing w:before="1"/>
        <w:ind w:left="1940" w:right="486"/>
      </w:pPr>
      <w:r>
        <w:rPr/>
        <w:t>Because the chair had experience with the design of airport facilities, we developed the course to coincide with our required architectural electives. The result was a course with aviation students and architecture students who were able to learn about the challenges and abilities that each discipline contributed to the design process. The class will be offered annually for both programs. A benefit of the surrounding community is the presence of three airports (one regional and two International). These facilities allowed our</w:t>
      </w:r>
      <w:r>
        <w:rPr>
          <w:spacing w:val="-3"/>
        </w:rPr>
        <w:t> </w:t>
      </w:r>
      <w:r>
        <w:rPr/>
        <w:t>students</w:t>
      </w:r>
      <w:r>
        <w:rPr>
          <w:spacing w:val="-3"/>
        </w:rPr>
        <w:t> </w:t>
      </w:r>
      <w:r>
        <w:rPr/>
        <w:t>access</w:t>
      </w:r>
      <w:r>
        <w:rPr>
          <w:spacing w:val="-3"/>
        </w:rPr>
        <w:t> </w:t>
      </w:r>
      <w:r>
        <w:rPr/>
        <w:t>to</w:t>
      </w:r>
      <w:r>
        <w:rPr>
          <w:spacing w:val="-4"/>
        </w:rPr>
        <w:t> </w:t>
      </w:r>
      <w:r>
        <w:rPr/>
        <w:t>remote</w:t>
      </w:r>
      <w:r>
        <w:rPr>
          <w:spacing w:val="-4"/>
        </w:rPr>
        <w:t> </w:t>
      </w:r>
      <w:r>
        <w:rPr/>
        <w:t>and</w:t>
      </w:r>
      <w:r>
        <w:rPr>
          <w:spacing w:val="-4"/>
        </w:rPr>
        <w:t> </w:t>
      </w:r>
      <w:r>
        <w:rPr/>
        <w:t>secure</w:t>
      </w:r>
      <w:r>
        <w:rPr>
          <w:spacing w:val="-2"/>
        </w:rPr>
        <w:t> </w:t>
      </w:r>
      <w:r>
        <w:rPr/>
        <w:t>areas</w:t>
      </w:r>
      <w:r>
        <w:rPr>
          <w:spacing w:val="-3"/>
        </w:rPr>
        <w:t> </w:t>
      </w:r>
      <w:r>
        <w:rPr/>
        <w:t>of</w:t>
      </w:r>
      <w:r>
        <w:rPr>
          <w:spacing w:val="-2"/>
        </w:rPr>
        <w:t> </w:t>
      </w:r>
      <w:r>
        <w:rPr/>
        <w:t>the</w:t>
      </w:r>
      <w:r>
        <w:rPr>
          <w:spacing w:val="-2"/>
        </w:rPr>
        <w:t> </w:t>
      </w:r>
      <w:r>
        <w:rPr/>
        <w:t>airport</w:t>
      </w:r>
      <w:r>
        <w:rPr>
          <w:spacing w:val="-2"/>
        </w:rPr>
        <w:t> </w:t>
      </w:r>
      <w:r>
        <w:rPr/>
        <w:t>so</w:t>
      </w:r>
      <w:r>
        <w:rPr>
          <w:spacing w:val="-4"/>
        </w:rPr>
        <w:t> </w:t>
      </w:r>
      <w:r>
        <w:rPr/>
        <w:t>that</w:t>
      </w:r>
      <w:r>
        <w:rPr>
          <w:spacing w:val="-4"/>
        </w:rPr>
        <w:t> </w:t>
      </w:r>
      <w:r>
        <w:rPr/>
        <w:t>they</w:t>
      </w:r>
      <w:r>
        <w:rPr>
          <w:spacing w:val="-6"/>
        </w:rPr>
        <w:t> </w:t>
      </w:r>
      <w:r>
        <w:rPr/>
        <w:t>could</w:t>
      </w:r>
      <w:r>
        <w:rPr>
          <w:spacing w:val="-4"/>
        </w:rPr>
        <w:t> </w:t>
      </w:r>
      <w:r>
        <w:rPr/>
        <w:t>learn</w:t>
      </w:r>
      <w:r>
        <w:rPr>
          <w:spacing w:val="-4"/>
        </w:rPr>
        <w:t> </w:t>
      </w:r>
      <w:r>
        <w:rPr/>
        <w:t>the intricacies of the design program. One airport had an employee enrolled in the course</w:t>
      </w:r>
    </w:p>
    <w:p>
      <w:pPr>
        <w:pStyle w:val="BodyText"/>
        <w:rPr>
          <w:sz w:val="21"/>
        </w:rPr>
      </w:pPr>
    </w:p>
    <w:p>
      <w:pPr>
        <w:pStyle w:val="BodyText"/>
        <w:ind w:left="1219"/>
      </w:pPr>
      <w:r>
        <w:rPr/>
        <w:t>There</w:t>
      </w:r>
      <w:r>
        <w:rPr>
          <w:spacing w:val="-5"/>
        </w:rPr>
        <w:t> </w:t>
      </w:r>
      <w:r>
        <w:rPr/>
        <w:t>are</w:t>
      </w:r>
      <w:r>
        <w:rPr>
          <w:spacing w:val="-5"/>
        </w:rPr>
        <w:t> </w:t>
      </w:r>
      <w:r>
        <w:rPr/>
        <w:t>multiple</w:t>
      </w:r>
      <w:r>
        <w:rPr>
          <w:spacing w:val="-5"/>
        </w:rPr>
        <w:t> </w:t>
      </w:r>
      <w:r>
        <w:rPr/>
        <w:t>advantages</w:t>
      </w:r>
      <w:r>
        <w:rPr>
          <w:spacing w:val="-4"/>
        </w:rPr>
        <w:t> </w:t>
      </w:r>
      <w:r>
        <w:rPr/>
        <w:t>and</w:t>
      </w:r>
      <w:r>
        <w:rPr>
          <w:spacing w:val="-5"/>
        </w:rPr>
        <w:t> </w:t>
      </w:r>
      <w:r>
        <w:rPr/>
        <w:t>benefits</w:t>
      </w:r>
      <w:r>
        <w:rPr>
          <w:spacing w:val="-4"/>
        </w:rPr>
        <w:t> </w:t>
      </w:r>
      <w:r>
        <w:rPr/>
        <w:t>that</w:t>
      </w:r>
      <w:r>
        <w:rPr>
          <w:spacing w:val="-5"/>
        </w:rPr>
        <w:t> </w:t>
      </w:r>
      <w:r>
        <w:rPr/>
        <w:t>our</w:t>
      </w:r>
      <w:r>
        <w:rPr>
          <w:spacing w:val="-4"/>
        </w:rPr>
        <w:t> </w:t>
      </w:r>
      <w:r>
        <w:rPr/>
        <w:t>program derives</w:t>
      </w:r>
      <w:r>
        <w:rPr>
          <w:spacing w:val="-4"/>
        </w:rPr>
        <w:t> </w:t>
      </w:r>
      <w:r>
        <w:rPr/>
        <w:t>from its</w:t>
      </w:r>
      <w:r>
        <w:rPr>
          <w:spacing w:val="-4"/>
        </w:rPr>
        <w:t> </w:t>
      </w:r>
      <w:r>
        <w:rPr/>
        <w:t>setting</w:t>
      </w:r>
      <w:r>
        <w:rPr>
          <w:spacing w:val="-3"/>
        </w:rPr>
        <w:t> </w:t>
      </w:r>
      <w:r>
        <w:rPr/>
        <w:t>within</w:t>
      </w:r>
      <w:r>
        <w:rPr>
          <w:spacing w:val="-5"/>
        </w:rPr>
        <w:t> </w:t>
      </w:r>
      <w:r>
        <w:rPr/>
        <w:t>the </w:t>
      </w:r>
      <w:r>
        <w:rPr>
          <w:spacing w:val="-2"/>
        </w:rPr>
        <w:t>University:</w:t>
      </w:r>
    </w:p>
    <w:p>
      <w:pPr>
        <w:pStyle w:val="BodyText"/>
        <w:spacing w:before="11"/>
      </w:pPr>
    </w:p>
    <w:p>
      <w:pPr>
        <w:pStyle w:val="BodyText"/>
        <w:ind w:left="1939" w:right="499"/>
      </w:pPr>
      <w:r>
        <w:rPr/>
        <w:t>Within the School of Engineering &amp; Technology, are the departments of Engineering, Aviation</w:t>
      </w:r>
      <w:r>
        <w:rPr>
          <w:spacing w:val="-3"/>
        </w:rPr>
        <w:t> </w:t>
      </w:r>
      <w:r>
        <w:rPr/>
        <w:t>and</w:t>
      </w:r>
      <w:r>
        <w:rPr>
          <w:spacing w:val="-5"/>
        </w:rPr>
        <w:t> </w:t>
      </w:r>
      <w:r>
        <w:rPr/>
        <w:t>Architecture.</w:t>
      </w:r>
      <w:r>
        <w:rPr>
          <w:spacing w:val="-3"/>
        </w:rPr>
        <w:t> </w:t>
      </w:r>
      <w:r>
        <w:rPr/>
        <w:t>The</w:t>
      </w:r>
      <w:r>
        <w:rPr>
          <w:spacing w:val="-5"/>
        </w:rPr>
        <w:t> </w:t>
      </w:r>
      <w:r>
        <w:rPr/>
        <w:t>School</w:t>
      </w:r>
      <w:r>
        <w:rPr>
          <w:spacing w:val="-6"/>
        </w:rPr>
        <w:t> </w:t>
      </w:r>
      <w:r>
        <w:rPr/>
        <w:t>provides</w:t>
      </w:r>
      <w:r>
        <w:rPr>
          <w:spacing w:val="-4"/>
        </w:rPr>
        <w:t> </w:t>
      </w:r>
      <w:r>
        <w:rPr/>
        <w:t>a</w:t>
      </w:r>
      <w:r>
        <w:rPr>
          <w:spacing w:val="-5"/>
        </w:rPr>
        <w:t> </w:t>
      </w:r>
      <w:r>
        <w:rPr/>
        <w:t>significant</w:t>
      </w:r>
      <w:r>
        <w:rPr>
          <w:spacing w:val="-5"/>
        </w:rPr>
        <w:t> </w:t>
      </w:r>
      <w:r>
        <w:rPr/>
        <w:t>resource</w:t>
      </w:r>
      <w:r>
        <w:rPr>
          <w:spacing w:val="-5"/>
        </w:rPr>
        <w:t> </w:t>
      </w:r>
      <w:r>
        <w:rPr/>
        <w:t>for</w:t>
      </w:r>
      <w:r>
        <w:rPr>
          <w:spacing w:val="-4"/>
        </w:rPr>
        <w:t> </w:t>
      </w:r>
      <w:r>
        <w:rPr/>
        <w:t>funding</w:t>
      </w:r>
      <w:r>
        <w:rPr>
          <w:spacing w:val="-3"/>
        </w:rPr>
        <w:t> </w:t>
      </w:r>
      <w:r>
        <w:rPr/>
        <w:t>support as well as instructional and planning support.</w:t>
      </w:r>
    </w:p>
    <w:p>
      <w:pPr>
        <w:pStyle w:val="BodyText"/>
        <w:spacing w:before="9"/>
      </w:pPr>
    </w:p>
    <w:p>
      <w:pPr>
        <w:pStyle w:val="BodyText"/>
        <w:ind w:left="1939" w:right="495"/>
      </w:pPr>
      <w:r>
        <w:rPr/>
        <w:t>The</w:t>
      </w:r>
      <w:r>
        <w:rPr>
          <w:spacing w:val="-5"/>
        </w:rPr>
        <w:t> </w:t>
      </w:r>
      <w:r>
        <w:rPr/>
        <w:t>program is</w:t>
      </w:r>
      <w:r>
        <w:rPr>
          <w:spacing w:val="-4"/>
        </w:rPr>
        <w:t> </w:t>
      </w:r>
      <w:r>
        <w:rPr/>
        <w:t>provided</w:t>
      </w:r>
      <w:r>
        <w:rPr>
          <w:spacing w:val="-3"/>
        </w:rPr>
        <w:t> </w:t>
      </w:r>
      <w:r>
        <w:rPr/>
        <w:t>with</w:t>
      </w:r>
      <w:r>
        <w:rPr>
          <w:spacing w:val="-5"/>
        </w:rPr>
        <w:t> </w:t>
      </w:r>
      <w:r>
        <w:rPr/>
        <w:t>a</w:t>
      </w:r>
      <w:r>
        <w:rPr>
          <w:spacing w:val="-3"/>
        </w:rPr>
        <w:t> </w:t>
      </w:r>
      <w:r>
        <w:rPr/>
        <w:t>budget</w:t>
      </w:r>
      <w:r>
        <w:rPr>
          <w:spacing w:val="-5"/>
        </w:rPr>
        <w:t> </w:t>
      </w:r>
      <w:r>
        <w:rPr/>
        <w:t>to</w:t>
      </w:r>
      <w:r>
        <w:rPr>
          <w:spacing w:val="-5"/>
        </w:rPr>
        <w:t> </w:t>
      </w:r>
      <w:r>
        <w:rPr/>
        <w:t>operate</w:t>
      </w:r>
      <w:r>
        <w:rPr>
          <w:spacing w:val="-5"/>
        </w:rPr>
        <w:t> </w:t>
      </w:r>
      <w:r>
        <w:rPr/>
        <w:t>administrative</w:t>
      </w:r>
      <w:r>
        <w:rPr>
          <w:spacing w:val="-3"/>
        </w:rPr>
        <w:t> </w:t>
      </w:r>
      <w:r>
        <w:rPr/>
        <w:t>functions,</w:t>
      </w:r>
      <w:r>
        <w:rPr>
          <w:spacing w:val="-5"/>
        </w:rPr>
        <w:t> </w:t>
      </w:r>
      <w:r>
        <w:rPr/>
        <w:t>to</w:t>
      </w:r>
      <w:r>
        <w:rPr>
          <w:spacing w:val="-3"/>
        </w:rPr>
        <w:t> </w:t>
      </w:r>
      <w:r>
        <w:rPr/>
        <w:t>operate</w:t>
      </w:r>
      <w:r>
        <w:rPr>
          <w:spacing w:val="-5"/>
        </w:rPr>
        <w:t> </w:t>
      </w:r>
      <w:r>
        <w:rPr/>
        <w:t>one of only two independent program libraries, and to operate a building that is open 24</w:t>
      </w:r>
      <w:r>
        <w:rPr/>
        <w:t> hours. Institution policy is that university facilities close at 12:00 midnight. It was acknowledged during the past NAAB visit that there were concerns with our students ability to maintain their competitive edge with programs that have different facility access policies. Though not cited as a cause of concern, the University has since allowed the program to maintain full access to students.</w:t>
      </w:r>
    </w:p>
    <w:p>
      <w:pPr>
        <w:pStyle w:val="BodyText"/>
        <w:spacing w:before="11"/>
      </w:pPr>
    </w:p>
    <w:p>
      <w:pPr>
        <w:pStyle w:val="BodyText"/>
        <w:ind w:left="1939" w:right="580"/>
      </w:pPr>
      <w:r>
        <w:rPr/>
        <w:t>The University provides significant resources to assist in the upkeep of the building. In the</w:t>
      </w:r>
      <w:r>
        <w:rPr>
          <w:spacing w:val="-4"/>
        </w:rPr>
        <w:t> </w:t>
      </w:r>
      <w:r>
        <w:rPr/>
        <w:t>past</w:t>
      </w:r>
      <w:r>
        <w:rPr>
          <w:spacing w:val="-4"/>
        </w:rPr>
        <w:t> </w:t>
      </w:r>
      <w:r>
        <w:rPr/>
        <w:t>six years,</w:t>
      </w:r>
      <w:r>
        <w:rPr>
          <w:spacing w:val="-4"/>
        </w:rPr>
        <w:t> </w:t>
      </w:r>
      <w:r>
        <w:rPr/>
        <w:t>that</w:t>
      </w:r>
      <w:r>
        <w:rPr>
          <w:spacing w:val="-4"/>
        </w:rPr>
        <w:t> </w:t>
      </w:r>
      <w:r>
        <w:rPr/>
        <w:t>maintenance</w:t>
      </w:r>
      <w:r>
        <w:rPr>
          <w:spacing w:val="-4"/>
        </w:rPr>
        <w:t> </w:t>
      </w:r>
      <w:r>
        <w:rPr/>
        <w:t>has</w:t>
      </w:r>
      <w:r>
        <w:rPr>
          <w:spacing w:val="-3"/>
        </w:rPr>
        <w:t> </w:t>
      </w:r>
      <w:r>
        <w:rPr/>
        <w:t>included</w:t>
      </w:r>
      <w:r>
        <w:rPr>
          <w:spacing w:val="-2"/>
        </w:rPr>
        <w:t> </w:t>
      </w:r>
      <w:r>
        <w:rPr/>
        <w:t>a</w:t>
      </w:r>
      <w:r>
        <w:rPr>
          <w:spacing w:val="-4"/>
        </w:rPr>
        <w:t> </w:t>
      </w:r>
      <w:r>
        <w:rPr/>
        <w:t>new</w:t>
      </w:r>
      <w:r>
        <w:rPr>
          <w:spacing w:val="-6"/>
        </w:rPr>
        <w:t> </w:t>
      </w:r>
      <w:r>
        <w:rPr/>
        <w:t>mechanical</w:t>
      </w:r>
      <w:r>
        <w:rPr>
          <w:spacing w:val="-5"/>
        </w:rPr>
        <w:t> </w:t>
      </w:r>
      <w:r>
        <w:rPr/>
        <w:t>system and</w:t>
      </w:r>
      <w:r>
        <w:rPr>
          <w:spacing w:val="-4"/>
        </w:rPr>
        <w:t> </w:t>
      </w:r>
      <w:r>
        <w:rPr/>
        <w:t>a</w:t>
      </w:r>
      <w:r>
        <w:rPr>
          <w:spacing w:val="-4"/>
        </w:rPr>
        <w:t> </w:t>
      </w:r>
      <w:r>
        <w:rPr/>
        <w:t>new roof. We have received funding to support our lecture series and enhance our instructional infrastructure.</w:t>
      </w:r>
    </w:p>
    <w:p>
      <w:pPr>
        <w:pStyle w:val="BodyText"/>
        <w:spacing w:before="9"/>
      </w:pPr>
    </w:p>
    <w:p>
      <w:pPr>
        <w:pStyle w:val="BodyText"/>
        <w:ind w:left="1939" w:right="499"/>
      </w:pPr>
      <w:r>
        <w:rPr/>
        <w:t>The</w:t>
      </w:r>
      <w:r>
        <w:rPr>
          <w:spacing w:val="-4"/>
        </w:rPr>
        <w:t> </w:t>
      </w:r>
      <w:r>
        <w:rPr/>
        <w:t>University</w:t>
      </w:r>
      <w:r>
        <w:rPr>
          <w:spacing w:val="-7"/>
        </w:rPr>
        <w:t> </w:t>
      </w:r>
      <w:r>
        <w:rPr/>
        <w:t>has</w:t>
      </w:r>
      <w:r>
        <w:rPr>
          <w:spacing w:val="-1"/>
        </w:rPr>
        <w:t> </w:t>
      </w:r>
      <w:r>
        <w:rPr/>
        <w:t>provided</w:t>
      </w:r>
      <w:r>
        <w:rPr>
          <w:spacing w:val="-4"/>
        </w:rPr>
        <w:t> </w:t>
      </w:r>
      <w:r>
        <w:rPr/>
        <w:t>support</w:t>
      </w:r>
      <w:r>
        <w:rPr>
          <w:spacing w:val="-4"/>
        </w:rPr>
        <w:t> </w:t>
      </w:r>
      <w:r>
        <w:rPr/>
        <w:t>to</w:t>
      </w:r>
      <w:r>
        <w:rPr>
          <w:spacing w:val="-4"/>
        </w:rPr>
        <w:t> </w:t>
      </w:r>
      <w:r>
        <w:rPr/>
        <w:t>the</w:t>
      </w:r>
      <w:r>
        <w:rPr>
          <w:spacing w:val="-2"/>
        </w:rPr>
        <w:t> </w:t>
      </w:r>
      <w:r>
        <w:rPr/>
        <w:t>program to</w:t>
      </w:r>
      <w:r>
        <w:rPr>
          <w:spacing w:val="-4"/>
        </w:rPr>
        <w:t> </w:t>
      </w:r>
      <w:r>
        <w:rPr/>
        <w:t>maintain</w:t>
      </w:r>
      <w:r>
        <w:rPr>
          <w:spacing w:val="-2"/>
        </w:rPr>
        <w:t> </w:t>
      </w:r>
      <w:r>
        <w:rPr/>
        <w:t>adequate</w:t>
      </w:r>
      <w:r>
        <w:rPr>
          <w:spacing w:val="-4"/>
        </w:rPr>
        <w:t> </w:t>
      </w:r>
      <w:r>
        <w:rPr/>
        <w:t>faculty</w:t>
      </w:r>
      <w:r>
        <w:rPr>
          <w:spacing w:val="-5"/>
        </w:rPr>
        <w:t> </w:t>
      </w:r>
      <w:r>
        <w:rPr/>
        <w:t>levels</w:t>
      </w:r>
      <w:r>
        <w:rPr>
          <w:spacing w:val="-3"/>
        </w:rPr>
        <w:t> </w:t>
      </w:r>
      <w:r>
        <w:rPr/>
        <w:t>at a time when, as a result of fiscal challenges brought on by the nation’s economic condition, University hiring and salaries were frozen. A critical part of the University’s 2010 plan for maintaining full employment of all faculty and staff, was to freeze hiring,</w:t>
      </w:r>
      <w:r>
        <w:rPr/>
        <w:t> with</w:t>
      </w:r>
      <w:r>
        <w:rPr>
          <w:spacing w:val="-2"/>
        </w:rPr>
        <w:t> </w:t>
      </w:r>
      <w:r>
        <w:rPr/>
        <w:t>reductions</w:t>
      </w:r>
      <w:r>
        <w:rPr>
          <w:spacing w:val="-1"/>
        </w:rPr>
        <w:t> </w:t>
      </w:r>
      <w:r>
        <w:rPr/>
        <w:t>occurring</w:t>
      </w:r>
      <w:r>
        <w:rPr>
          <w:spacing w:val="-2"/>
        </w:rPr>
        <w:t> </w:t>
      </w:r>
      <w:r>
        <w:rPr/>
        <w:t>only</w:t>
      </w:r>
      <w:r>
        <w:rPr>
          <w:spacing w:val="-5"/>
        </w:rPr>
        <w:t> </w:t>
      </w:r>
      <w:r>
        <w:rPr/>
        <w:t>through natural</w:t>
      </w:r>
      <w:r>
        <w:rPr>
          <w:spacing w:val="-1"/>
        </w:rPr>
        <w:t> </w:t>
      </w:r>
      <w:r>
        <w:rPr/>
        <w:t>attrition. At</w:t>
      </w:r>
      <w:r>
        <w:rPr>
          <w:spacing w:val="-2"/>
        </w:rPr>
        <w:t> </w:t>
      </w:r>
      <w:r>
        <w:rPr/>
        <w:t>the</w:t>
      </w:r>
      <w:r>
        <w:rPr>
          <w:spacing w:val="-2"/>
        </w:rPr>
        <w:t> </w:t>
      </w:r>
      <w:r>
        <w:rPr/>
        <w:t>same</w:t>
      </w:r>
      <w:r>
        <w:rPr>
          <w:spacing w:val="-2"/>
        </w:rPr>
        <w:t> </w:t>
      </w:r>
      <w:r>
        <w:rPr/>
        <w:t>time,</w:t>
      </w:r>
      <w:r>
        <w:rPr>
          <w:spacing w:val="-2"/>
        </w:rPr>
        <w:t> </w:t>
      </w:r>
      <w:r>
        <w:rPr/>
        <w:t>we</w:t>
      </w:r>
      <w:r>
        <w:rPr>
          <w:spacing w:val="-2"/>
        </w:rPr>
        <w:t> </w:t>
      </w:r>
      <w:r>
        <w:rPr/>
        <w:t>received our NAAB</w:t>
      </w:r>
      <w:r>
        <w:rPr>
          <w:spacing w:val="-1"/>
        </w:rPr>
        <w:t> </w:t>
      </w:r>
      <w:r>
        <w:rPr/>
        <w:t>Team evaluation that indicated that Human Resources were a “not met” condition. The University added one faculty slot to help with our student enrollment levels. In the intervening years, our program sustained enrollment losses due to a variety of factors, including the economy (many students having to discontinue their education) and public perceptions</w:t>
      </w:r>
      <w:r>
        <w:rPr>
          <w:spacing w:val="-3"/>
        </w:rPr>
        <w:t> </w:t>
      </w:r>
      <w:r>
        <w:rPr/>
        <w:t>regarding</w:t>
      </w:r>
      <w:r>
        <w:rPr>
          <w:spacing w:val="-4"/>
        </w:rPr>
        <w:t> </w:t>
      </w:r>
      <w:r>
        <w:rPr/>
        <w:t>the</w:t>
      </w:r>
      <w:r>
        <w:rPr>
          <w:spacing w:val="-4"/>
        </w:rPr>
        <w:t> </w:t>
      </w:r>
      <w:r>
        <w:rPr/>
        <w:t>status</w:t>
      </w:r>
      <w:r>
        <w:rPr>
          <w:spacing w:val="-3"/>
        </w:rPr>
        <w:t> </w:t>
      </w:r>
      <w:r>
        <w:rPr/>
        <w:t>of</w:t>
      </w:r>
      <w:r>
        <w:rPr>
          <w:spacing w:val="-2"/>
        </w:rPr>
        <w:t> </w:t>
      </w:r>
      <w:r>
        <w:rPr/>
        <w:t>the</w:t>
      </w:r>
      <w:r>
        <w:rPr>
          <w:spacing w:val="-2"/>
        </w:rPr>
        <w:t> </w:t>
      </w:r>
      <w:r>
        <w:rPr/>
        <w:t>profession</w:t>
      </w:r>
      <w:r>
        <w:rPr>
          <w:spacing w:val="-4"/>
        </w:rPr>
        <w:t> </w:t>
      </w:r>
      <w:r>
        <w:rPr/>
        <w:t>(declining</w:t>
      </w:r>
      <w:r>
        <w:rPr>
          <w:spacing w:val="-4"/>
        </w:rPr>
        <w:t> </w:t>
      </w:r>
      <w:r>
        <w:rPr/>
        <w:t>new</w:t>
      </w:r>
      <w:r>
        <w:rPr>
          <w:spacing w:val="-4"/>
        </w:rPr>
        <w:t> </w:t>
      </w:r>
      <w:r>
        <w:rPr/>
        <w:t>admittances).</w:t>
      </w:r>
      <w:r>
        <w:rPr>
          <w:spacing w:val="-5"/>
        </w:rPr>
        <w:t> </w:t>
      </w:r>
      <w:r>
        <w:rPr/>
        <w:t>When</w:t>
      </w:r>
      <w:r>
        <w:rPr>
          <w:spacing w:val="-4"/>
        </w:rPr>
        <w:t> </w:t>
      </w:r>
      <w:r>
        <w:rPr/>
        <w:t>the enrollment levels normalized, our interim NAAB review determined that our Human Resources</w:t>
      </w:r>
      <w:r>
        <w:rPr>
          <w:spacing w:val="-3"/>
        </w:rPr>
        <w:t> </w:t>
      </w:r>
      <w:r>
        <w:rPr/>
        <w:t>met</w:t>
      </w:r>
      <w:r>
        <w:rPr>
          <w:spacing w:val="-4"/>
        </w:rPr>
        <w:t> </w:t>
      </w:r>
      <w:r>
        <w:rPr/>
        <w:t>the</w:t>
      </w:r>
      <w:r>
        <w:rPr>
          <w:spacing w:val="-4"/>
        </w:rPr>
        <w:t> </w:t>
      </w:r>
      <w:r>
        <w:rPr/>
        <w:t>accreditation</w:t>
      </w:r>
      <w:r>
        <w:rPr>
          <w:spacing w:val="-4"/>
        </w:rPr>
        <w:t> </w:t>
      </w:r>
      <w:r>
        <w:rPr/>
        <w:t>standards.</w:t>
      </w:r>
      <w:r>
        <w:rPr>
          <w:spacing w:val="-4"/>
        </w:rPr>
        <w:t> </w:t>
      </w:r>
      <w:r>
        <w:rPr/>
        <w:t>The</w:t>
      </w:r>
      <w:r>
        <w:rPr>
          <w:spacing w:val="-4"/>
        </w:rPr>
        <w:t> </w:t>
      </w:r>
      <w:r>
        <w:rPr/>
        <w:t>university</w:t>
      </w:r>
      <w:r>
        <w:rPr>
          <w:spacing w:val="-7"/>
        </w:rPr>
        <w:t> </w:t>
      </w:r>
      <w:r>
        <w:rPr/>
        <w:t>continued</w:t>
      </w:r>
      <w:r>
        <w:rPr>
          <w:spacing w:val="-4"/>
        </w:rPr>
        <w:t> </w:t>
      </w:r>
      <w:r>
        <w:rPr/>
        <w:t>to</w:t>
      </w:r>
      <w:r>
        <w:rPr>
          <w:spacing w:val="-4"/>
        </w:rPr>
        <w:t> </w:t>
      </w:r>
      <w:r>
        <w:rPr/>
        <w:t>maintain</w:t>
      </w:r>
      <w:r>
        <w:rPr>
          <w:spacing w:val="-2"/>
        </w:rPr>
        <w:t> </w:t>
      </w:r>
      <w:r>
        <w:rPr/>
        <w:t>our</w:t>
      </w:r>
      <w:r>
        <w:rPr>
          <w:spacing w:val="-3"/>
        </w:rPr>
        <w:t> </w:t>
      </w:r>
      <w:r>
        <w:rPr/>
        <w:t>8.75 FTE’s until 2012-13, when, because our enrollment was dipped below the normal levels, we lost a faculty slot. This year, as enrollment continued to decline, we lost an additional slot. We now have 6.75 FTE’s.</w:t>
      </w:r>
    </w:p>
    <w:p>
      <w:pPr>
        <w:spacing w:after="0"/>
        <w:sectPr>
          <w:pgSz w:w="12240" w:h="15840"/>
          <w:pgMar w:header="0" w:footer="974" w:top="1360" w:bottom="1160" w:left="940" w:right="960"/>
        </w:sectPr>
      </w:pPr>
    </w:p>
    <w:p>
      <w:pPr>
        <w:spacing w:before="75"/>
        <w:ind w:left="500" w:right="0" w:firstLine="0"/>
        <w:jc w:val="left"/>
        <w:rPr>
          <w:b/>
          <w:sz w:val="20"/>
        </w:rPr>
      </w:pPr>
      <w:r>
        <w:rPr>
          <w:b/>
          <w:sz w:val="20"/>
        </w:rPr>
        <w:t>Recognized</w:t>
      </w:r>
      <w:r>
        <w:rPr>
          <w:b/>
          <w:spacing w:val="-11"/>
          <w:sz w:val="20"/>
        </w:rPr>
        <w:t> </w:t>
      </w:r>
      <w:r>
        <w:rPr>
          <w:b/>
          <w:sz w:val="20"/>
        </w:rPr>
        <w:t>Program</w:t>
      </w:r>
      <w:r>
        <w:rPr>
          <w:b/>
          <w:spacing w:val="-11"/>
          <w:sz w:val="20"/>
        </w:rPr>
        <w:t> </w:t>
      </w:r>
      <w:r>
        <w:rPr>
          <w:b/>
          <w:spacing w:val="-4"/>
          <w:sz w:val="20"/>
        </w:rPr>
        <w:t>Type</w:t>
      </w:r>
    </w:p>
    <w:p>
      <w:pPr>
        <w:pStyle w:val="BodyText"/>
        <w:spacing w:before="1"/>
        <w:rPr>
          <w:b/>
          <w:sz w:val="21"/>
        </w:rPr>
      </w:pPr>
    </w:p>
    <w:p>
      <w:pPr>
        <w:pStyle w:val="BodyText"/>
        <w:ind w:left="1220" w:right="507"/>
      </w:pPr>
      <w:r>
        <w:rPr/>
        <w:t>The</w:t>
      </w:r>
      <w:r>
        <w:rPr>
          <w:spacing w:val="-5"/>
        </w:rPr>
        <w:t> </w:t>
      </w:r>
      <w:r>
        <w:rPr/>
        <w:t>Department</w:t>
      </w:r>
      <w:r>
        <w:rPr>
          <w:spacing w:val="-5"/>
        </w:rPr>
        <w:t> </w:t>
      </w:r>
      <w:r>
        <w:rPr/>
        <w:t>of</w:t>
      </w:r>
      <w:r>
        <w:rPr>
          <w:spacing w:val="-3"/>
        </w:rPr>
        <w:t> </w:t>
      </w:r>
      <w:r>
        <w:rPr/>
        <w:t>Architecture</w:t>
      </w:r>
      <w:r>
        <w:rPr>
          <w:spacing w:val="-5"/>
        </w:rPr>
        <w:t> </w:t>
      </w:r>
      <w:r>
        <w:rPr/>
        <w:t>offers</w:t>
      </w:r>
      <w:r>
        <w:rPr>
          <w:spacing w:val="-4"/>
        </w:rPr>
        <w:t> </w:t>
      </w:r>
      <w:r>
        <w:rPr/>
        <w:t>a</w:t>
      </w:r>
      <w:r>
        <w:rPr>
          <w:spacing w:val="-5"/>
        </w:rPr>
        <w:t> </w:t>
      </w:r>
      <w:r>
        <w:rPr/>
        <w:t>five-and-one-half year</w:t>
      </w:r>
      <w:r>
        <w:rPr>
          <w:spacing w:val="-4"/>
        </w:rPr>
        <w:t> </w:t>
      </w:r>
      <w:r>
        <w:rPr/>
        <w:t>curriculum leading</w:t>
      </w:r>
      <w:r>
        <w:rPr>
          <w:spacing w:val="-5"/>
        </w:rPr>
        <w:t> </w:t>
      </w:r>
      <w:r>
        <w:rPr/>
        <w:t>to</w:t>
      </w:r>
      <w:r>
        <w:rPr>
          <w:spacing w:val="-5"/>
        </w:rPr>
        <w:t> </w:t>
      </w:r>
      <w:r>
        <w:rPr/>
        <w:t>the</w:t>
      </w:r>
      <w:r>
        <w:rPr>
          <w:spacing w:val="-3"/>
        </w:rPr>
        <w:t> </w:t>
      </w:r>
      <w:r>
        <w:rPr/>
        <w:t>Master</w:t>
      </w:r>
      <w:r>
        <w:rPr>
          <w:spacing w:val="-2"/>
        </w:rPr>
        <w:t> </w:t>
      </w:r>
      <w:r>
        <w:rPr/>
        <w:t>of Architecture first professional degree.</w:t>
      </w:r>
      <w:r>
        <w:rPr>
          <w:spacing w:val="40"/>
        </w:rPr>
        <w:t> </w:t>
      </w:r>
      <w:r>
        <w:rPr/>
        <w:t>The other professional degree offered by Hampton University is in Pharmacy, Physical Therapy and Nursing. The first Master of Architecture</w:t>
      </w:r>
      <w:r>
        <w:rPr>
          <w:spacing w:val="40"/>
        </w:rPr>
        <w:t> </w:t>
      </w:r>
      <w:r>
        <w:rPr/>
        <w:t>degrees under this structure were awarded in May, 2008. .</w:t>
      </w:r>
    </w:p>
    <w:p>
      <w:pPr>
        <w:spacing w:after="0"/>
        <w:sectPr>
          <w:pgSz w:w="12240" w:h="15840"/>
          <w:pgMar w:header="0" w:footer="974" w:top="1360" w:bottom="1160" w:left="940" w:right="960"/>
        </w:sectPr>
      </w:pPr>
    </w:p>
    <w:p>
      <w:pPr>
        <w:spacing w:before="75"/>
        <w:ind w:left="500" w:right="0" w:firstLine="0"/>
        <w:jc w:val="left"/>
        <w:rPr>
          <w:b/>
          <w:sz w:val="20"/>
        </w:rPr>
      </w:pPr>
      <w:r>
        <w:rPr>
          <w:b/>
          <w:sz w:val="20"/>
        </w:rPr>
        <w:t>Description</w:t>
      </w:r>
      <w:r>
        <w:rPr>
          <w:b/>
          <w:spacing w:val="-7"/>
          <w:sz w:val="20"/>
        </w:rPr>
        <w:t> </w:t>
      </w:r>
      <w:r>
        <w:rPr>
          <w:b/>
          <w:sz w:val="20"/>
        </w:rPr>
        <w:t>of</w:t>
      </w:r>
      <w:r>
        <w:rPr>
          <w:b/>
          <w:spacing w:val="-6"/>
          <w:sz w:val="20"/>
        </w:rPr>
        <w:t> </w:t>
      </w:r>
      <w:r>
        <w:rPr>
          <w:b/>
          <w:sz w:val="20"/>
        </w:rPr>
        <w:t>Program</w:t>
      </w:r>
      <w:r>
        <w:rPr>
          <w:b/>
          <w:spacing w:val="-4"/>
          <w:sz w:val="20"/>
        </w:rPr>
        <w:t> </w:t>
      </w:r>
      <w:r>
        <w:rPr>
          <w:b/>
          <w:sz w:val="20"/>
        </w:rPr>
        <w:t>and</w:t>
      </w:r>
      <w:r>
        <w:rPr>
          <w:b/>
          <w:spacing w:val="-6"/>
          <w:sz w:val="20"/>
        </w:rPr>
        <w:t> </w:t>
      </w:r>
      <w:r>
        <w:rPr>
          <w:b/>
          <w:sz w:val="20"/>
        </w:rPr>
        <w:t>Course</w:t>
      </w:r>
      <w:r>
        <w:rPr>
          <w:b/>
          <w:spacing w:val="-8"/>
          <w:sz w:val="20"/>
        </w:rPr>
        <w:t> </w:t>
      </w:r>
      <w:r>
        <w:rPr>
          <w:b/>
          <w:sz w:val="20"/>
        </w:rPr>
        <w:t>of</w:t>
      </w:r>
      <w:r>
        <w:rPr>
          <w:b/>
          <w:spacing w:val="-4"/>
          <w:sz w:val="20"/>
        </w:rPr>
        <w:t> </w:t>
      </w:r>
      <w:r>
        <w:rPr>
          <w:b/>
          <w:spacing w:val="-2"/>
          <w:sz w:val="20"/>
        </w:rPr>
        <w:t>Study:</w:t>
      </w:r>
    </w:p>
    <w:p>
      <w:pPr>
        <w:pStyle w:val="BodyText"/>
        <w:spacing w:before="1"/>
        <w:rPr>
          <w:b/>
          <w:sz w:val="21"/>
        </w:rPr>
      </w:pPr>
    </w:p>
    <w:p>
      <w:pPr>
        <w:pStyle w:val="BodyText"/>
        <w:ind w:left="1219" w:right="532"/>
      </w:pPr>
      <w:r>
        <w:rPr/>
        <w:t>The curriculum revisions that were made in 2003 created the 5½ M. Arch. That curriculum focused</w:t>
      </w:r>
      <w:r>
        <w:rPr>
          <w:spacing w:val="-4"/>
        </w:rPr>
        <w:t> </w:t>
      </w:r>
      <w:r>
        <w:rPr/>
        <w:t>on</w:t>
      </w:r>
      <w:r>
        <w:rPr>
          <w:spacing w:val="-4"/>
        </w:rPr>
        <w:t> </w:t>
      </w:r>
      <w:r>
        <w:rPr/>
        <w:t>refining</w:t>
      </w:r>
      <w:r>
        <w:rPr>
          <w:spacing w:val="-4"/>
        </w:rPr>
        <w:t> </w:t>
      </w:r>
      <w:r>
        <w:rPr/>
        <w:t>course</w:t>
      </w:r>
      <w:r>
        <w:rPr>
          <w:spacing w:val="-2"/>
        </w:rPr>
        <w:t> </w:t>
      </w:r>
      <w:r>
        <w:rPr/>
        <w:t>content</w:t>
      </w:r>
      <w:r>
        <w:rPr>
          <w:spacing w:val="-2"/>
        </w:rPr>
        <w:t> </w:t>
      </w:r>
      <w:r>
        <w:rPr/>
        <w:t>and</w:t>
      </w:r>
      <w:r>
        <w:rPr>
          <w:spacing w:val="-4"/>
        </w:rPr>
        <w:t> </w:t>
      </w:r>
      <w:r>
        <w:rPr/>
        <w:t>sought</w:t>
      </w:r>
      <w:r>
        <w:rPr>
          <w:spacing w:val="-4"/>
        </w:rPr>
        <w:t> </w:t>
      </w:r>
      <w:r>
        <w:rPr/>
        <w:t>to</w:t>
      </w:r>
      <w:r>
        <w:rPr>
          <w:spacing w:val="-4"/>
        </w:rPr>
        <w:t> </w:t>
      </w:r>
      <w:r>
        <w:rPr/>
        <w:t>increase</w:t>
      </w:r>
      <w:r>
        <w:rPr>
          <w:spacing w:val="-4"/>
        </w:rPr>
        <w:t> </w:t>
      </w:r>
      <w:r>
        <w:rPr/>
        <w:t>teaching</w:t>
      </w:r>
      <w:r>
        <w:rPr>
          <w:spacing w:val="-4"/>
        </w:rPr>
        <w:t> </w:t>
      </w:r>
      <w:r>
        <w:rPr/>
        <w:t>effectiveness</w:t>
      </w:r>
      <w:r>
        <w:rPr>
          <w:spacing w:val="-3"/>
        </w:rPr>
        <w:t> </w:t>
      </w:r>
      <w:r>
        <w:rPr/>
        <w:t>by</w:t>
      </w:r>
      <w:r>
        <w:rPr>
          <w:spacing w:val="-7"/>
        </w:rPr>
        <w:t> </w:t>
      </w:r>
      <w:r>
        <w:rPr/>
        <w:t>coordinating content and connections between courses and year levels. Our curriculum has been developed with</w:t>
      </w:r>
      <w:r>
        <w:rPr>
          <w:spacing w:val="-2"/>
        </w:rPr>
        <w:t> </w:t>
      </w:r>
      <w:r>
        <w:rPr/>
        <w:t>the</w:t>
      </w:r>
      <w:r>
        <w:rPr>
          <w:spacing w:val="-4"/>
        </w:rPr>
        <w:t> </w:t>
      </w:r>
      <w:r>
        <w:rPr/>
        <w:t>careful</w:t>
      </w:r>
      <w:r>
        <w:rPr>
          <w:spacing w:val="-5"/>
        </w:rPr>
        <w:t> </w:t>
      </w:r>
      <w:r>
        <w:rPr/>
        <w:t>and</w:t>
      </w:r>
      <w:r>
        <w:rPr>
          <w:spacing w:val="-4"/>
        </w:rPr>
        <w:t> </w:t>
      </w:r>
      <w:r>
        <w:rPr/>
        <w:t>intense</w:t>
      </w:r>
      <w:r>
        <w:rPr>
          <w:spacing w:val="-2"/>
        </w:rPr>
        <w:t> </w:t>
      </w:r>
      <w:r>
        <w:rPr/>
        <w:t>input</w:t>
      </w:r>
      <w:r>
        <w:rPr>
          <w:spacing w:val="-4"/>
        </w:rPr>
        <w:t> </w:t>
      </w:r>
      <w:r>
        <w:rPr/>
        <w:t>of</w:t>
      </w:r>
      <w:r>
        <w:rPr>
          <w:spacing w:val="-2"/>
        </w:rPr>
        <w:t> </w:t>
      </w:r>
      <w:r>
        <w:rPr/>
        <w:t>our</w:t>
      </w:r>
      <w:r>
        <w:rPr>
          <w:spacing w:val="-3"/>
        </w:rPr>
        <w:t> </w:t>
      </w:r>
      <w:r>
        <w:rPr/>
        <w:t>faculty</w:t>
      </w:r>
      <w:r>
        <w:rPr>
          <w:spacing w:val="-6"/>
        </w:rPr>
        <w:t> </w:t>
      </w:r>
      <w:r>
        <w:rPr/>
        <w:t>to</w:t>
      </w:r>
      <w:r>
        <w:rPr>
          <w:spacing w:val="-4"/>
        </w:rPr>
        <w:t> </w:t>
      </w:r>
      <w:r>
        <w:rPr/>
        <w:t>insure</w:t>
      </w:r>
      <w:r>
        <w:rPr>
          <w:spacing w:val="-4"/>
        </w:rPr>
        <w:t> </w:t>
      </w:r>
      <w:r>
        <w:rPr/>
        <w:t>the</w:t>
      </w:r>
      <w:r>
        <w:rPr>
          <w:spacing w:val="-2"/>
        </w:rPr>
        <w:t> </w:t>
      </w:r>
      <w:r>
        <w:rPr/>
        <w:t>preparation</w:t>
      </w:r>
      <w:r>
        <w:rPr>
          <w:spacing w:val="-2"/>
        </w:rPr>
        <w:t> </w:t>
      </w:r>
      <w:r>
        <w:rPr/>
        <w:t>of</w:t>
      </w:r>
      <w:r>
        <w:rPr>
          <w:spacing w:val="-2"/>
        </w:rPr>
        <w:t> </w:t>
      </w:r>
      <w:r>
        <w:rPr/>
        <w:t>students</w:t>
      </w:r>
      <w:r>
        <w:rPr>
          <w:spacing w:val="-3"/>
        </w:rPr>
        <w:t> </w:t>
      </w:r>
      <w:r>
        <w:rPr/>
        <w:t>who</w:t>
      </w:r>
      <w:r>
        <w:rPr>
          <w:spacing w:val="-4"/>
        </w:rPr>
        <w:t> </w:t>
      </w:r>
      <w:r>
        <w:rPr/>
        <w:t>are</w:t>
      </w:r>
      <w:r>
        <w:rPr>
          <w:spacing w:val="-2"/>
        </w:rPr>
        <w:t> </w:t>
      </w:r>
      <w:r>
        <w:rPr/>
        <w:t>able to practice architecture in a diverse world; diverse in the cultures we serve and the opportunities available to the students for practice. As previously stated, the curriculum recognizes that students arrive in our program with various levels of preparation.</w:t>
      </w:r>
    </w:p>
    <w:p>
      <w:pPr>
        <w:pStyle w:val="BodyText"/>
        <w:spacing w:before="10"/>
      </w:pPr>
    </w:p>
    <w:p>
      <w:pPr>
        <w:pStyle w:val="BodyText"/>
        <w:spacing w:before="1"/>
        <w:ind w:left="1219" w:right="506"/>
      </w:pPr>
      <w:r>
        <w:rPr/>
        <w:t>At</w:t>
      </w:r>
      <w:r>
        <w:rPr>
          <w:spacing w:val="-4"/>
        </w:rPr>
        <w:t> </w:t>
      </w:r>
      <w:r>
        <w:rPr/>
        <w:t>the</w:t>
      </w:r>
      <w:r>
        <w:rPr>
          <w:spacing w:val="-4"/>
        </w:rPr>
        <w:t> </w:t>
      </w:r>
      <w:r>
        <w:rPr/>
        <w:t>time</w:t>
      </w:r>
      <w:r>
        <w:rPr>
          <w:spacing w:val="-4"/>
        </w:rPr>
        <w:t> </w:t>
      </w:r>
      <w:r>
        <w:rPr/>
        <w:t>of</w:t>
      </w:r>
      <w:r>
        <w:rPr>
          <w:spacing w:val="-2"/>
        </w:rPr>
        <w:t> </w:t>
      </w:r>
      <w:r>
        <w:rPr/>
        <w:t>the</w:t>
      </w:r>
      <w:r>
        <w:rPr>
          <w:spacing w:val="-4"/>
        </w:rPr>
        <w:t> </w:t>
      </w:r>
      <w:r>
        <w:rPr/>
        <w:t>2009</w:t>
      </w:r>
      <w:r>
        <w:rPr>
          <w:spacing w:val="-4"/>
        </w:rPr>
        <w:t> </w:t>
      </w:r>
      <w:r>
        <w:rPr/>
        <w:t>NAAB</w:t>
      </w:r>
      <w:r>
        <w:rPr>
          <w:spacing w:val="-5"/>
        </w:rPr>
        <w:t> </w:t>
      </w:r>
      <w:r>
        <w:rPr/>
        <w:t>Team Visit,</w:t>
      </w:r>
      <w:r>
        <w:rPr>
          <w:spacing w:val="-4"/>
        </w:rPr>
        <w:t> </w:t>
      </w:r>
      <w:r>
        <w:rPr/>
        <w:t>the</w:t>
      </w:r>
      <w:r>
        <w:rPr>
          <w:spacing w:val="-4"/>
        </w:rPr>
        <w:t> </w:t>
      </w:r>
      <w:r>
        <w:rPr/>
        <w:t>curriculum required</w:t>
      </w:r>
      <w:r>
        <w:rPr>
          <w:spacing w:val="-4"/>
        </w:rPr>
        <w:t> </w:t>
      </w:r>
      <w:r>
        <w:rPr/>
        <w:t>171</w:t>
      </w:r>
      <w:r>
        <w:rPr>
          <w:spacing w:val="-4"/>
        </w:rPr>
        <w:t> </w:t>
      </w:r>
      <w:r>
        <w:rPr/>
        <w:t>credits.</w:t>
      </w:r>
      <w:r>
        <w:rPr>
          <w:spacing w:val="-4"/>
        </w:rPr>
        <w:t> </w:t>
      </w:r>
      <w:r>
        <w:rPr/>
        <w:t>Since</w:t>
      </w:r>
      <w:r>
        <w:rPr>
          <w:spacing w:val="-3"/>
        </w:rPr>
        <w:t> </w:t>
      </w:r>
      <w:r>
        <w:rPr/>
        <w:t>that</w:t>
      </w:r>
      <w:r>
        <w:rPr>
          <w:spacing w:val="-4"/>
        </w:rPr>
        <w:t> </w:t>
      </w:r>
      <w:r>
        <w:rPr/>
        <w:t>visit,</w:t>
      </w:r>
      <w:r>
        <w:rPr>
          <w:spacing w:val="-2"/>
        </w:rPr>
        <w:t> </w:t>
      </w:r>
      <w:r>
        <w:rPr/>
        <w:t>two amendments have been made to address the needs of our program. The 2009 curriculum</w:t>
      </w:r>
      <w:r>
        <w:rPr/>
        <w:t> revision provided for 30 credits of graduate study, and strengthen the gateways for continued study</w:t>
      </w:r>
      <w:r>
        <w:rPr>
          <w:spacing w:val="-1"/>
        </w:rPr>
        <w:t> </w:t>
      </w:r>
      <w:r>
        <w:rPr/>
        <w:t>in the program, per the 2009 VTR recommendations. The current curriculum was approved in July, 2014, the second modification since the last accreditation visit. The students who graduate in 2015 are the first students to be impacted by this curriculum. The current curriculum includes 168 total credits, including 36 general education credits and 9 open electives. Students affected by these changes only include the students entering during the 2014-15 academic year.</w:t>
      </w:r>
    </w:p>
    <w:p>
      <w:pPr>
        <w:pStyle w:val="BodyText"/>
        <w:spacing w:before="9"/>
      </w:pPr>
    </w:p>
    <w:p>
      <w:pPr>
        <w:pStyle w:val="BodyText"/>
        <w:ind w:left="1219" w:right="499"/>
      </w:pPr>
      <w:r>
        <w:rPr/>
        <w:t>The first year, therefore, is introductory, with a focus on the development of design thought.</w:t>
      </w:r>
      <w:r>
        <w:rPr>
          <w:spacing w:val="40"/>
        </w:rPr>
        <w:t> </w:t>
      </w:r>
      <w:r>
        <w:rPr/>
        <w:t>In addition to general education courses, students take an introductory level design studio and architectural</w:t>
      </w:r>
      <w:r>
        <w:rPr>
          <w:spacing w:val="-5"/>
        </w:rPr>
        <w:t> </w:t>
      </w:r>
      <w:r>
        <w:rPr/>
        <w:t>history.</w:t>
      </w:r>
      <w:r>
        <w:rPr>
          <w:spacing w:val="-5"/>
        </w:rPr>
        <w:t> </w:t>
      </w:r>
      <w:r>
        <w:rPr/>
        <w:t>This</w:t>
      </w:r>
      <w:r>
        <w:rPr>
          <w:spacing w:val="-4"/>
        </w:rPr>
        <w:t> </w:t>
      </w:r>
      <w:r>
        <w:rPr/>
        <w:t>studio,</w:t>
      </w:r>
      <w:r>
        <w:rPr>
          <w:spacing w:val="-5"/>
        </w:rPr>
        <w:t> </w:t>
      </w:r>
      <w:r>
        <w:rPr/>
        <w:t>under</w:t>
      </w:r>
      <w:r>
        <w:rPr>
          <w:spacing w:val="-4"/>
        </w:rPr>
        <w:t> </w:t>
      </w:r>
      <w:r>
        <w:rPr/>
        <w:t>the</w:t>
      </w:r>
      <w:r>
        <w:rPr>
          <w:spacing w:val="-3"/>
        </w:rPr>
        <w:t> </w:t>
      </w:r>
      <w:r>
        <w:rPr/>
        <w:t>direction</w:t>
      </w:r>
      <w:r>
        <w:rPr>
          <w:spacing w:val="-3"/>
        </w:rPr>
        <w:t> </w:t>
      </w:r>
      <w:r>
        <w:rPr/>
        <w:t>of</w:t>
      </w:r>
      <w:r>
        <w:rPr>
          <w:spacing w:val="-3"/>
        </w:rPr>
        <w:t> </w:t>
      </w:r>
      <w:r>
        <w:rPr/>
        <w:t>Ron</w:t>
      </w:r>
      <w:r>
        <w:rPr>
          <w:spacing w:val="-3"/>
        </w:rPr>
        <w:t> </w:t>
      </w:r>
      <w:r>
        <w:rPr/>
        <w:t>Kloster</w:t>
      </w:r>
      <w:r>
        <w:rPr>
          <w:spacing w:val="-4"/>
        </w:rPr>
        <w:t> </w:t>
      </w:r>
      <w:r>
        <w:rPr/>
        <w:t>and</w:t>
      </w:r>
      <w:r>
        <w:rPr>
          <w:spacing w:val="-5"/>
        </w:rPr>
        <w:t> </w:t>
      </w:r>
      <w:r>
        <w:rPr/>
        <w:t>Sherman</w:t>
      </w:r>
      <w:r>
        <w:rPr>
          <w:spacing w:val="-5"/>
        </w:rPr>
        <w:t> </w:t>
      </w:r>
      <w:r>
        <w:rPr/>
        <w:t>Brown,</w:t>
      </w:r>
      <w:r>
        <w:rPr>
          <w:spacing w:val="-3"/>
        </w:rPr>
        <w:t> </w:t>
      </w:r>
      <w:r>
        <w:rPr/>
        <w:t>provide and introduction into the study and design of space</w:t>
      </w:r>
    </w:p>
    <w:p>
      <w:pPr>
        <w:pStyle w:val="BodyText"/>
        <w:rPr>
          <w:sz w:val="21"/>
        </w:rPr>
      </w:pPr>
    </w:p>
    <w:p>
      <w:pPr>
        <w:pStyle w:val="BodyText"/>
        <w:ind w:left="1219" w:right="499"/>
      </w:pPr>
      <w:r>
        <w:rPr/>
        <w:t>The second year introduces students to the process of design. Students take courses in design and support courses about the elements of design (Architectural Ecology), the components of a building (Structures and Building Assemblies, formerly Building Science), and the tools for representing design (Architectural Representation). This work has been done, over the past six years,</w:t>
      </w:r>
      <w:r>
        <w:rPr>
          <w:spacing w:val="-3"/>
        </w:rPr>
        <w:t> </w:t>
      </w:r>
      <w:r>
        <w:rPr/>
        <w:t>by</w:t>
      </w:r>
      <w:r>
        <w:rPr>
          <w:spacing w:val="-4"/>
        </w:rPr>
        <w:t> </w:t>
      </w:r>
      <w:r>
        <w:rPr/>
        <w:t>Shannon</w:t>
      </w:r>
      <w:r>
        <w:rPr>
          <w:spacing w:val="-3"/>
        </w:rPr>
        <w:t> </w:t>
      </w:r>
      <w:r>
        <w:rPr/>
        <w:t>Chance,</w:t>
      </w:r>
      <w:r>
        <w:rPr>
          <w:spacing w:val="-3"/>
        </w:rPr>
        <w:t> </w:t>
      </w:r>
      <w:r>
        <w:rPr/>
        <w:t>with</w:t>
      </w:r>
      <w:r>
        <w:rPr>
          <w:spacing w:val="-3"/>
        </w:rPr>
        <w:t> </w:t>
      </w:r>
      <w:r>
        <w:rPr/>
        <w:t>the</w:t>
      </w:r>
      <w:r>
        <w:rPr>
          <w:spacing w:val="-3"/>
        </w:rPr>
        <w:t> </w:t>
      </w:r>
      <w:r>
        <w:rPr/>
        <w:t>assistance</w:t>
      </w:r>
      <w:r>
        <w:rPr>
          <w:spacing w:val="-1"/>
        </w:rPr>
        <w:t> </w:t>
      </w:r>
      <w:r>
        <w:rPr/>
        <w:t>of</w:t>
      </w:r>
      <w:r>
        <w:rPr>
          <w:spacing w:val="-1"/>
        </w:rPr>
        <w:t> </w:t>
      </w:r>
      <w:r>
        <w:rPr/>
        <w:t>Marci</w:t>
      </w:r>
      <w:r>
        <w:rPr>
          <w:spacing w:val="-4"/>
        </w:rPr>
        <w:t> </w:t>
      </w:r>
      <w:r>
        <w:rPr/>
        <w:t>Turner</w:t>
      </w:r>
      <w:r>
        <w:rPr>
          <w:spacing w:val="-2"/>
        </w:rPr>
        <w:t> </w:t>
      </w:r>
      <w:r>
        <w:rPr/>
        <w:t>and</w:t>
      </w:r>
      <w:r>
        <w:rPr>
          <w:spacing w:val="-3"/>
        </w:rPr>
        <w:t> </w:t>
      </w:r>
      <w:r>
        <w:rPr/>
        <w:t>Darryl</w:t>
      </w:r>
      <w:r>
        <w:rPr>
          <w:spacing w:val="-2"/>
        </w:rPr>
        <w:t> </w:t>
      </w:r>
      <w:r>
        <w:rPr/>
        <w:t>Henderson.</w:t>
      </w:r>
      <w:r>
        <w:rPr>
          <w:spacing w:val="-6"/>
        </w:rPr>
        <w:t> </w:t>
      </w:r>
      <w:r>
        <w:rPr/>
        <w:t>With</w:t>
      </w:r>
      <w:r>
        <w:rPr>
          <w:spacing w:val="-3"/>
        </w:rPr>
        <w:t> </w:t>
      </w:r>
      <w:r>
        <w:rPr/>
        <w:t>the recent departure of Prof. Chance, the latter two now continue the course.</w:t>
      </w:r>
    </w:p>
    <w:p>
      <w:pPr>
        <w:pStyle w:val="BodyText"/>
        <w:spacing w:before="8"/>
      </w:pPr>
    </w:p>
    <w:p>
      <w:pPr>
        <w:pStyle w:val="BodyText"/>
        <w:ind w:left="1219" w:right="499"/>
      </w:pPr>
      <w:r>
        <w:rPr/>
        <w:t>The third year is advanced building design with a focus on building structures, design theory. Students are introduced to the nature of design that impacts our communities (Global Urban Theory).</w:t>
      </w:r>
      <w:r>
        <w:rPr>
          <w:spacing w:val="-5"/>
        </w:rPr>
        <w:t> </w:t>
      </w:r>
      <w:r>
        <w:rPr/>
        <w:t>The</w:t>
      </w:r>
      <w:r>
        <w:rPr>
          <w:spacing w:val="-5"/>
        </w:rPr>
        <w:t> </w:t>
      </w:r>
      <w:r>
        <w:rPr/>
        <w:t>studio,</w:t>
      </w:r>
      <w:r>
        <w:rPr>
          <w:spacing w:val="-5"/>
        </w:rPr>
        <w:t> </w:t>
      </w:r>
      <w:r>
        <w:rPr/>
        <w:t>under</w:t>
      </w:r>
      <w:r>
        <w:rPr>
          <w:spacing w:val="-2"/>
        </w:rPr>
        <w:t> </w:t>
      </w:r>
      <w:r>
        <w:rPr/>
        <w:t>the</w:t>
      </w:r>
      <w:r>
        <w:rPr>
          <w:spacing w:val="-5"/>
        </w:rPr>
        <w:t> </w:t>
      </w:r>
      <w:r>
        <w:rPr/>
        <w:t>direction</w:t>
      </w:r>
      <w:r>
        <w:rPr>
          <w:spacing w:val="-3"/>
        </w:rPr>
        <w:t> </w:t>
      </w:r>
      <w:r>
        <w:rPr/>
        <w:t>of</w:t>
      </w:r>
      <w:r>
        <w:rPr>
          <w:spacing w:val="-3"/>
        </w:rPr>
        <w:t> </w:t>
      </w:r>
      <w:r>
        <w:rPr/>
        <w:t>Professor</w:t>
      </w:r>
      <w:r>
        <w:rPr>
          <w:spacing w:val="-4"/>
        </w:rPr>
        <w:t> </w:t>
      </w:r>
      <w:r>
        <w:rPr/>
        <w:t>Mason</w:t>
      </w:r>
      <w:r>
        <w:rPr>
          <w:spacing w:val="-5"/>
        </w:rPr>
        <w:t> </w:t>
      </w:r>
      <w:r>
        <w:rPr/>
        <w:t>Andrews,</w:t>
      </w:r>
      <w:r>
        <w:rPr>
          <w:spacing w:val="-1"/>
        </w:rPr>
        <w:t> </w:t>
      </w:r>
      <w:r>
        <w:rPr/>
        <w:t>introduces</w:t>
      </w:r>
      <w:r>
        <w:rPr>
          <w:spacing w:val="-1"/>
        </w:rPr>
        <w:t> </w:t>
      </w:r>
      <w:r>
        <w:rPr/>
        <w:t>students</w:t>
      </w:r>
      <w:r>
        <w:rPr>
          <w:spacing w:val="-4"/>
        </w:rPr>
        <w:t> </w:t>
      </w:r>
      <w:r>
        <w:rPr/>
        <w:t>to</w:t>
      </w:r>
      <w:r>
        <w:rPr>
          <w:spacing w:val="-5"/>
        </w:rPr>
        <w:t> </w:t>
      </w:r>
      <w:r>
        <w:rPr/>
        <w:t>an advanced level of building design. As students begin support course sequences in building technology, they are now taught to incorporate code, structure and building systems into a process that also includes design in an urban context. Students are also introduced to project clients. Many</w:t>
      </w:r>
      <w:r>
        <w:rPr>
          <w:spacing w:val="-1"/>
        </w:rPr>
        <w:t> </w:t>
      </w:r>
      <w:r>
        <w:rPr/>
        <w:t>of the remaining building design assignments that students have will include work with outside interests, including building developers, civic leaders and, interested citizens.</w:t>
      </w:r>
    </w:p>
    <w:p>
      <w:pPr>
        <w:pStyle w:val="BodyText"/>
        <w:spacing w:before="2"/>
        <w:ind w:left="1219" w:right="499"/>
      </w:pPr>
      <w:r>
        <w:rPr/>
        <w:t>Students</w:t>
      </w:r>
      <w:r>
        <w:rPr>
          <w:spacing w:val="-3"/>
        </w:rPr>
        <w:t> </w:t>
      </w:r>
      <w:r>
        <w:rPr/>
        <w:t>have</w:t>
      </w:r>
      <w:r>
        <w:rPr>
          <w:spacing w:val="-4"/>
        </w:rPr>
        <w:t> </w:t>
      </w:r>
      <w:r>
        <w:rPr/>
        <w:t>opportunities</w:t>
      </w:r>
      <w:r>
        <w:rPr>
          <w:spacing w:val="-3"/>
        </w:rPr>
        <w:t> </w:t>
      </w:r>
      <w:r>
        <w:rPr/>
        <w:t>to</w:t>
      </w:r>
      <w:r>
        <w:rPr>
          <w:spacing w:val="-4"/>
        </w:rPr>
        <w:t> </w:t>
      </w:r>
      <w:r>
        <w:rPr/>
        <w:t>present</w:t>
      </w:r>
      <w:r>
        <w:rPr>
          <w:spacing w:val="-2"/>
        </w:rPr>
        <w:t> </w:t>
      </w:r>
      <w:r>
        <w:rPr/>
        <w:t>before</w:t>
      </w:r>
      <w:r>
        <w:rPr>
          <w:spacing w:val="-4"/>
        </w:rPr>
        <w:t> </w:t>
      </w:r>
      <w:r>
        <w:rPr/>
        <w:t>municipal</w:t>
      </w:r>
      <w:r>
        <w:rPr>
          <w:spacing w:val="-5"/>
        </w:rPr>
        <w:t> </w:t>
      </w:r>
      <w:r>
        <w:rPr/>
        <w:t>boards</w:t>
      </w:r>
      <w:r>
        <w:rPr>
          <w:spacing w:val="-3"/>
        </w:rPr>
        <w:t> </w:t>
      </w:r>
      <w:r>
        <w:rPr/>
        <w:t>and</w:t>
      </w:r>
      <w:r>
        <w:rPr>
          <w:spacing w:val="-2"/>
        </w:rPr>
        <w:t> </w:t>
      </w:r>
      <w:r>
        <w:rPr/>
        <w:t>other</w:t>
      </w:r>
      <w:r>
        <w:rPr>
          <w:spacing w:val="-3"/>
        </w:rPr>
        <w:t> </w:t>
      </w:r>
      <w:r>
        <w:rPr/>
        <w:t>similar</w:t>
      </w:r>
      <w:r>
        <w:rPr>
          <w:spacing w:val="-1"/>
        </w:rPr>
        <w:t> </w:t>
      </w:r>
      <w:r>
        <w:rPr/>
        <w:t>public</w:t>
      </w:r>
      <w:r>
        <w:rPr>
          <w:spacing w:val="-3"/>
        </w:rPr>
        <w:t> </w:t>
      </w:r>
      <w:r>
        <w:rPr/>
        <w:t>forums. During this academic year, students are also prepared for their international travel studio.</w:t>
      </w:r>
    </w:p>
    <w:p>
      <w:pPr>
        <w:pStyle w:val="BodyText"/>
        <w:spacing w:before="10"/>
      </w:pPr>
    </w:p>
    <w:p>
      <w:pPr>
        <w:pStyle w:val="BodyText"/>
        <w:ind w:left="1219" w:right="580"/>
      </w:pPr>
      <w:r>
        <w:rPr/>
        <w:t>Between</w:t>
      </w:r>
      <w:r>
        <w:rPr>
          <w:spacing w:val="-2"/>
        </w:rPr>
        <w:t> </w:t>
      </w:r>
      <w:r>
        <w:rPr/>
        <w:t>the</w:t>
      </w:r>
      <w:r>
        <w:rPr>
          <w:spacing w:val="-2"/>
        </w:rPr>
        <w:t> </w:t>
      </w:r>
      <w:r>
        <w:rPr/>
        <w:t>third</w:t>
      </w:r>
      <w:r>
        <w:rPr>
          <w:spacing w:val="-4"/>
        </w:rPr>
        <w:t> </w:t>
      </w:r>
      <w:r>
        <w:rPr/>
        <w:t>and</w:t>
      </w:r>
      <w:r>
        <w:rPr>
          <w:spacing w:val="-4"/>
        </w:rPr>
        <w:t> </w:t>
      </w:r>
      <w:r>
        <w:rPr/>
        <w:t>fourth</w:t>
      </w:r>
      <w:r>
        <w:rPr>
          <w:spacing w:val="-4"/>
        </w:rPr>
        <w:t> </w:t>
      </w:r>
      <w:r>
        <w:rPr/>
        <w:t>academic years,</w:t>
      </w:r>
      <w:r>
        <w:rPr>
          <w:spacing w:val="-4"/>
        </w:rPr>
        <w:t> </w:t>
      </w:r>
      <w:r>
        <w:rPr/>
        <w:t>students</w:t>
      </w:r>
      <w:r>
        <w:rPr>
          <w:spacing w:val="-3"/>
        </w:rPr>
        <w:t> </w:t>
      </w:r>
      <w:r>
        <w:rPr/>
        <w:t>are</w:t>
      </w:r>
      <w:r>
        <w:rPr>
          <w:spacing w:val="-4"/>
        </w:rPr>
        <w:t> </w:t>
      </w:r>
      <w:r>
        <w:rPr/>
        <w:t>introduced</w:t>
      </w:r>
      <w:r>
        <w:rPr>
          <w:spacing w:val="-4"/>
        </w:rPr>
        <w:t> </w:t>
      </w:r>
      <w:r>
        <w:rPr/>
        <w:t>to</w:t>
      </w:r>
      <w:r>
        <w:rPr>
          <w:spacing w:val="-4"/>
        </w:rPr>
        <w:t> </w:t>
      </w:r>
      <w:r>
        <w:rPr/>
        <w:t>global</w:t>
      </w:r>
      <w:r>
        <w:rPr>
          <w:spacing w:val="-3"/>
        </w:rPr>
        <w:t> </w:t>
      </w:r>
      <w:r>
        <w:rPr/>
        <w:t>issues</w:t>
      </w:r>
      <w:r>
        <w:rPr>
          <w:spacing w:val="-3"/>
        </w:rPr>
        <w:t> </w:t>
      </w:r>
      <w:r>
        <w:rPr/>
        <w:t>in</w:t>
      </w:r>
      <w:r>
        <w:rPr>
          <w:spacing w:val="-2"/>
        </w:rPr>
        <w:t> </w:t>
      </w:r>
      <w:r>
        <w:rPr/>
        <w:t>design. There</w:t>
      </w:r>
      <w:r>
        <w:rPr>
          <w:spacing w:val="-3"/>
        </w:rPr>
        <w:t> </w:t>
      </w:r>
      <w:r>
        <w:rPr/>
        <w:t>is</w:t>
      </w:r>
      <w:r>
        <w:rPr>
          <w:spacing w:val="-2"/>
        </w:rPr>
        <w:t> </w:t>
      </w:r>
      <w:r>
        <w:rPr/>
        <w:t>a</w:t>
      </w:r>
      <w:r>
        <w:rPr>
          <w:spacing w:val="-3"/>
        </w:rPr>
        <w:t> </w:t>
      </w:r>
      <w:r>
        <w:rPr/>
        <w:t>required</w:t>
      </w:r>
      <w:r>
        <w:rPr>
          <w:spacing w:val="-1"/>
        </w:rPr>
        <w:t> </w:t>
      </w:r>
      <w:r>
        <w:rPr/>
        <w:t>study</w:t>
      </w:r>
      <w:r>
        <w:rPr>
          <w:spacing w:val="-6"/>
        </w:rPr>
        <w:t> </w:t>
      </w:r>
      <w:r>
        <w:rPr/>
        <w:t>abroad</w:t>
      </w:r>
      <w:r>
        <w:rPr>
          <w:spacing w:val="-3"/>
        </w:rPr>
        <w:t> </w:t>
      </w:r>
      <w:r>
        <w:rPr/>
        <w:t>component</w:t>
      </w:r>
      <w:r>
        <w:rPr>
          <w:spacing w:val="-1"/>
        </w:rPr>
        <w:t> </w:t>
      </w:r>
      <w:r>
        <w:rPr/>
        <w:t>where</w:t>
      </w:r>
      <w:r>
        <w:rPr>
          <w:spacing w:val="-3"/>
        </w:rPr>
        <w:t> </w:t>
      </w:r>
      <w:r>
        <w:rPr/>
        <w:t>students</w:t>
      </w:r>
      <w:r>
        <w:rPr>
          <w:spacing w:val="-2"/>
        </w:rPr>
        <w:t> </w:t>
      </w:r>
      <w:r>
        <w:rPr/>
        <w:t>study</w:t>
      </w:r>
      <w:r>
        <w:rPr>
          <w:spacing w:val="-6"/>
        </w:rPr>
        <w:t> </w:t>
      </w:r>
      <w:r>
        <w:rPr/>
        <w:t>historic</w:t>
      </w:r>
      <w:r>
        <w:rPr>
          <w:spacing w:val="-2"/>
        </w:rPr>
        <w:t> </w:t>
      </w:r>
      <w:r>
        <w:rPr/>
        <w:t>places</w:t>
      </w:r>
      <w:r>
        <w:rPr>
          <w:spacing w:val="-2"/>
        </w:rPr>
        <w:t> </w:t>
      </w:r>
      <w:r>
        <w:rPr/>
        <w:t>and</w:t>
      </w:r>
      <w:r>
        <w:rPr>
          <w:spacing w:val="-3"/>
        </w:rPr>
        <w:t> </w:t>
      </w:r>
      <w:r>
        <w:rPr/>
        <w:t>study</w:t>
      </w:r>
      <w:r>
        <w:rPr>
          <w:spacing w:val="-4"/>
        </w:rPr>
        <w:t> </w:t>
      </w:r>
      <w:r>
        <w:rPr/>
        <w:t>the, in a historic context, how building design shaped urban spaces. In the past six years, our study has focused on Eastern Europe, specifically</w:t>
      </w:r>
      <w:r>
        <w:rPr>
          <w:spacing w:val="-3"/>
        </w:rPr>
        <w:t> </w:t>
      </w:r>
      <w:r>
        <w:rPr/>
        <w:t>Italy</w:t>
      </w:r>
      <w:r>
        <w:rPr>
          <w:spacing w:val="-1"/>
        </w:rPr>
        <w:t> </w:t>
      </w:r>
      <w:r>
        <w:rPr/>
        <w:t>and France. Travel is generally</w:t>
      </w:r>
      <w:r>
        <w:rPr>
          <w:spacing w:val="-1"/>
        </w:rPr>
        <w:t> </w:t>
      </w:r>
      <w:r>
        <w:rPr/>
        <w:t>planned by</w:t>
      </w:r>
      <w:r>
        <w:rPr>
          <w:spacing w:val="-3"/>
        </w:rPr>
        <w:t> </w:t>
      </w:r>
      <w:r>
        <w:rPr/>
        <w:t>the professor who organizes and is assigned to teach the course, For the past four years, that responsibility has been assumed by Profs. Andrews and Chance. With the assistance of the Gindroz Foundation and additional funding from the Sol Cohen Student Travel Scholarship, our students travel for three weeks and study with internationally renowned architect, teacher and urban designer, Ray Gindroz. They study urban space and urban rooms. They learn the craft of drawing, and analyzing space and details. When they return, they are given a group design project, required to solve a problem that they studied during their travel. The design problem includes both an urban space (a group design) and a building within the urban space (an individual student design assignment).</w:t>
      </w:r>
    </w:p>
    <w:p>
      <w:pPr>
        <w:spacing w:after="0"/>
        <w:sectPr>
          <w:pgSz w:w="12240" w:h="15840"/>
          <w:pgMar w:header="0" w:footer="974" w:top="1360" w:bottom="1160" w:left="940" w:right="960"/>
        </w:sectPr>
      </w:pPr>
    </w:p>
    <w:p>
      <w:pPr>
        <w:pStyle w:val="BodyText"/>
        <w:spacing w:before="77"/>
        <w:ind w:left="1219" w:right="705"/>
      </w:pPr>
      <w:r>
        <w:rPr/>
        <w:t>A hallmark of the program is engagement with citizens, political leaders, and planners, and redevelopment</w:t>
      </w:r>
      <w:r>
        <w:rPr>
          <w:spacing w:val="-2"/>
        </w:rPr>
        <w:t> </w:t>
      </w:r>
      <w:r>
        <w:rPr/>
        <w:t>agency</w:t>
      </w:r>
      <w:r>
        <w:rPr>
          <w:spacing w:val="-3"/>
        </w:rPr>
        <w:t> </w:t>
      </w:r>
      <w:r>
        <w:rPr/>
        <w:t>heads.</w:t>
      </w:r>
      <w:r>
        <w:rPr>
          <w:spacing w:val="40"/>
        </w:rPr>
        <w:t> </w:t>
      </w:r>
      <w:r>
        <w:rPr/>
        <w:t>In</w:t>
      </w:r>
      <w:r>
        <w:rPr>
          <w:spacing w:val="-2"/>
        </w:rPr>
        <w:t> </w:t>
      </w:r>
      <w:r>
        <w:rPr/>
        <w:t>I tally</w:t>
      </w:r>
      <w:r>
        <w:rPr>
          <w:spacing w:val="-5"/>
        </w:rPr>
        <w:t> </w:t>
      </w:r>
      <w:r>
        <w:rPr/>
        <w:t>and</w:t>
      </w:r>
      <w:r>
        <w:rPr>
          <w:spacing w:val="-2"/>
        </w:rPr>
        <w:t> </w:t>
      </w:r>
      <w:r>
        <w:rPr/>
        <w:t>France,</w:t>
      </w:r>
      <w:r>
        <w:rPr>
          <w:spacing w:val="-2"/>
        </w:rPr>
        <w:t> </w:t>
      </w:r>
      <w:r>
        <w:rPr/>
        <w:t>relationships</w:t>
      </w:r>
      <w:r>
        <w:rPr>
          <w:spacing w:val="-1"/>
        </w:rPr>
        <w:t> </w:t>
      </w:r>
      <w:r>
        <w:rPr/>
        <w:t>have</w:t>
      </w:r>
      <w:r>
        <w:rPr>
          <w:spacing w:val="-2"/>
        </w:rPr>
        <w:t> </w:t>
      </w:r>
      <w:r>
        <w:rPr/>
        <w:t>been</w:t>
      </w:r>
      <w:r>
        <w:rPr>
          <w:spacing w:val="-2"/>
        </w:rPr>
        <w:t> </w:t>
      </w:r>
      <w:r>
        <w:rPr/>
        <w:t>cultivated to</w:t>
      </w:r>
      <w:r>
        <w:rPr>
          <w:spacing w:val="-2"/>
        </w:rPr>
        <w:t> </w:t>
      </w:r>
      <w:r>
        <w:rPr/>
        <w:t>allow students to hear the perceptions of and aspirations for their cities.</w:t>
      </w:r>
      <w:r>
        <w:rPr>
          <w:spacing w:val="40"/>
        </w:rPr>
        <w:t> </w:t>
      </w:r>
      <w:r>
        <w:rPr/>
        <w:t>In the last summer's visit students met with and interviewed design and planning professionals i Montpellier, Marseille, Toulon,</w:t>
      </w:r>
      <w:r>
        <w:rPr>
          <w:spacing w:val="-4"/>
        </w:rPr>
        <w:t> </w:t>
      </w:r>
      <w:r>
        <w:rPr/>
        <w:t>and</w:t>
      </w:r>
      <w:r>
        <w:rPr>
          <w:spacing w:val="-2"/>
        </w:rPr>
        <w:t> </w:t>
      </w:r>
      <w:r>
        <w:rPr/>
        <w:t>Paris,</w:t>
      </w:r>
      <w:r>
        <w:rPr>
          <w:spacing w:val="-4"/>
        </w:rPr>
        <w:t> </w:t>
      </w:r>
      <w:r>
        <w:rPr/>
        <w:t>as well</w:t>
      </w:r>
      <w:r>
        <w:rPr>
          <w:spacing w:val="-3"/>
        </w:rPr>
        <w:t> </w:t>
      </w:r>
      <w:r>
        <w:rPr/>
        <w:t>as</w:t>
      </w:r>
      <w:r>
        <w:rPr>
          <w:spacing w:val="-3"/>
        </w:rPr>
        <w:t> </w:t>
      </w:r>
      <w:r>
        <w:rPr/>
        <w:t>citizens and</w:t>
      </w:r>
      <w:r>
        <w:rPr>
          <w:spacing w:val="-2"/>
        </w:rPr>
        <w:t> </w:t>
      </w:r>
      <w:r>
        <w:rPr/>
        <w:t>political</w:t>
      </w:r>
      <w:r>
        <w:rPr>
          <w:spacing w:val="-3"/>
        </w:rPr>
        <w:t> </w:t>
      </w:r>
      <w:r>
        <w:rPr/>
        <w:t>leaders</w:t>
      </w:r>
      <w:r>
        <w:rPr>
          <w:spacing w:val="-3"/>
        </w:rPr>
        <w:t> </w:t>
      </w:r>
      <w:r>
        <w:rPr/>
        <w:t>in</w:t>
      </w:r>
      <w:r>
        <w:rPr>
          <w:spacing w:val="-4"/>
        </w:rPr>
        <w:t> </w:t>
      </w:r>
      <w:r>
        <w:rPr/>
        <w:t>Toulon.</w:t>
      </w:r>
      <w:r>
        <w:rPr>
          <w:spacing w:val="40"/>
        </w:rPr>
        <w:t> </w:t>
      </w:r>
      <w:r>
        <w:rPr/>
        <w:t>They</w:t>
      </w:r>
      <w:r>
        <w:rPr>
          <w:spacing w:val="-7"/>
        </w:rPr>
        <w:t> </w:t>
      </w:r>
      <w:r>
        <w:rPr/>
        <w:t>documented</w:t>
      </w:r>
      <w:r>
        <w:rPr>
          <w:spacing w:val="-4"/>
        </w:rPr>
        <w:t> </w:t>
      </w:r>
      <w:r>
        <w:rPr/>
        <w:t>sites</w:t>
      </w:r>
      <w:r>
        <w:rPr>
          <w:spacing w:val="-3"/>
        </w:rPr>
        <w:t> </w:t>
      </w:r>
      <w:r>
        <w:rPr/>
        <w:t>in these cities as well as in Nimes, Carcassonne, and Aix-en-Provence.</w:t>
      </w:r>
      <w:r>
        <w:rPr>
          <w:spacing w:val="40"/>
        </w:rPr>
        <w:t> </w:t>
      </w:r>
      <w:r>
        <w:rPr/>
        <w:t>Prior to developing the program in France, a similar program was held in Parma and Pienza. The Marilyn and Ray Gindroz Foundation began providing significant financial assistance for travel to Europe in the summer of 2009.</w:t>
      </w:r>
    </w:p>
    <w:p>
      <w:pPr>
        <w:pStyle w:val="BodyText"/>
        <w:spacing w:before="9"/>
      </w:pPr>
    </w:p>
    <w:p>
      <w:pPr>
        <w:pStyle w:val="BodyText"/>
        <w:ind w:left="1219" w:right="504"/>
      </w:pPr>
      <w:r>
        <w:rPr/>
        <w:t>The fourth year is comprehensive design. During this year, students demonstrate proficiency in their knowledge and understanding of the comprehensive nature of design. They are also introduced</w:t>
      </w:r>
      <w:r>
        <w:rPr>
          <w:spacing w:val="-4"/>
        </w:rPr>
        <w:t> </w:t>
      </w:r>
      <w:r>
        <w:rPr/>
        <w:t>to</w:t>
      </w:r>
      <w:r>
        <w:rPr>
          <w:spacing w:val="-4"/>
        </w:rPr>
        <w:t> </w:t>
      </w:r>
      <w:r>
        <w:rPr/>
        <w:t>the</w:t>
      </w:r>
      <w:r>
        <w:rPr>
          <w:spacing w:val="-4"/>
        </w:rPr>
        <w:t> </w:t>
      </w:r>
      <w:r>
        <w:rPr/>
        <w:t>professional</w:t>
      </w:r>
      <w:r>
        <w:rPr>
          <w:spacing w:val="-3"/>
        </w:rPr>
        <w:t> </w:t>
      </w:r>
      <w:r>
        <w:rPr/>
        <w:t>nature</w:t>
      </w:r>
      <w:r>
        <w:rPr>
          <w:spacing w:val="-4"/>
        </w:rPr>
        <w:t> </w:t>
      </w:r>
      <w:r>
        <w:rPr/>
        <w:t>of</w:t>
      </w:r>
      <w:r>
        <w:rPr>
          <w:spacing w:val="-2"/>
        </w:rPr>
        <w:t> </w:t>
      </w:r>
      <w:r>
        <w:rPr/>
        <w:t>architecture</w:t>
      </w:r>
      <w:r>
        <w:rPr>
          <w:spacing w:val="-4"/>
        </w:rPr>
        <w:t> </w:t>
      </w:r>
      <w:r>
        <w:rPr/>
        <w:t>(Professional</w:t>
      </w:r>
      <w:r>
        <w:rPr>
          <w:spacing w:val="-5"/>
        </w:rPr>
        <w:t> </w:t>
      </w:r>
      <w:r>
        <w:rPr/>
        <w:t>Practice)</w:t>
      </w:r>
      <w:r>
        <w:rPr>
          <w:spacing w:val="-3"/>
        </w:rPr>
        <w:t> </w:t>
      </w:r>
      <w:r>
        <w:rPr/>
        <w:t>and</w:t>
      </w:r>
      <w:r>
        <w:rPr>
          <w:spacing w:val="-2"/>
        </w:rPr>
        <w:t> </w:t>
      </w:r>
      <w:r>
        <w:rPr/>
        <w:t>prepared</w:t>
      </w:r>
      <w:r>
        <w:rPr>
          <w:spacing w:val="-4"/>
        </w:rPr>
        <w:t> </w:t>
      </w:r>
      <w:r>
        <w:rPr/>
        <w:t>to</w:t>
      </w:r>
      <w:r>
        <w:rPr>
          <w:spacing w:val="-2"/>
        </w:rPr>
        <w:t> </w:t>
      </w:r>
      <w:r>
        <w:rPr/>
        <w:t>enter the workforce. Students complete the technical courses and are given additional courses in design theory, exposing them to the design and practice philosophies of leading practitioners.</w:t>
      </w:r>
    </w:p>
    <w:p>
      <w:pPr>
        <w:pStyle w:val="BodyText"/>
        <w:spacing w:before="3"/>
        <w:ind w:left="1219" w:right="580"/>
      </w:pPr>
      <w:r>
        <w:rPr/>
        <w:t>The studio, under the guidance of Robert Easter, is formatted as an office and students work in groups</w:t>
      </w:r>
      <w:r>
        <w:rPr>
          <w:spacing w:val="-3"/>
        </w:rPr>
        <w:t> </w:t>
      </w:r>
      <w:r>
        <w:rPr/>
        <w:t>to</w:t>
      </w:r>
      <w:r>
        <w:rPr>
          <w:spacing w:val="-2"/>
        </w:rPr>
        <w:t> </w:t>
      </w:r>
      <w:r>
        <w:rPr/>
        <w:t>develop</w:t>
      </w:r>
      <w:r>
        <w:rPr>
          <w:spacing w:val="-4"/>
        </w:rPr>
        <w:t> </w:t>
      </w:r>
      <w:r>
        <w:rPr/>
        <w:t>initial</w:t>
      </w:r>
      <w:r>
        <w:rPr>
          <w:spacing w:val="-5"/>
        </w:rPr>
        <w:t> </w:t>
      </w:r>
      <w:r>
        <w:rPr/>
        <w:t>planning</w:t>
      </w:r>
      <w:r>
        <w:rPr>
          <w:spacing w:val="-4"/>
        </w:rPr>
        <w:t> </w:t>
      </w:r>
      <w:r>
        <w:rPr/>
        <w:t>and</w:t>
      </w:r>
      <w:r>
        <w:rPr>
          <w:spacing w:val="-2"/>
        </w:rPr>
        <w:t> </w:t>
      </w:r>
      <w:r>
        <w:rPr/>
        <w:t>design</w:t>
      </w:r>
      <w:r>
        <w:rPr>
          <w:spacing w:val="-4"/>
        </w:rPr>
        <w:t> </w:t>
      </w:r>
      <w:r>
        <w:rPr/>
        <w:t>concepts.</w:t>
      </w:r>
      <w:r>
        <w:rPr>
          <w:spacing w:val="-2"/>
        </w:rPr>
        <w:t> </w:t>
      </w:r>
      <w:r>
        <w:rPr/>
        <w:t>They</w:t>
      </w:r>
      <w:r>
        <w:rPr>
          <w:spacing w:val="-7"/>
        </w:rPr>
        <w:t> </w:t>
      </w:r>
      <w:r>
        <w:rPr/>
        <w:t>are</w:t>
      </w:r>
      <w:r>
        <w:rPr>
          <w:spacing w:val="-2"/>
        </w:rPr>
        <w:t> </w:t>
      </w:r>
      <w:r>
        <w:rPr/>
        <w:t>exposed</w:t>
      </w:r>
      <w:r>
        <w:rPr>
          <w:spacing w:val="-2"/>
        </w:rPr>
        <w:t> </w:t>
      </w:r>
      <w:r>
        <w:rPr/>
        <w:t>in</w:t>
      </w:r>
      <w:r>
        <w:rPr>
          <w:spacing w:val="-2"/>
        </w:rPr>
        <w:t> </w:t>
      </w:r>
      <w:r>
        <w:rPr/>
        <w:t>greater</w:t>
      </w:r>
      <w:r>
        <w:rPr>
          <w:spacing w:val="-3"/>
        </w:rPr>
        <w:t> </w:t>
      </w:r>
      <w:r>
        <w:rPr/>
        <w:t>depth</w:t>
      </w:r>
      <w:r>
        <w:rPr>
          <w:spacing w:val="-4"/>
        </w:rPr>
        <w:t> </w:t>
      </w:r>
      <w:r>
        <w:rPr/>
        <w:t>to</w:t>
      </w:r>
      <w:r>
        <w:rPr>
          <w:spacing w:val="-2"/>
        </w:rPr>
        <w:t> </w:t>
      </w:r>
      <w:r>
        <w:rPr/>
        <w:t>the collaborative nature of design, working in groups and with client representatives. Over the past four years,</w:t>
      </w:r>
      <w:r>
        <w:rPr>
          <w:spacing w:val="-3"/>
        </w:rPr>
        <w:t> </w:t>
      </w:r>
      <w:r>
        <w:rPr/>
        <w:t>students</w:t>
      </w:r>
      <w:r>
        <w:rPr>
          <w:spacing w:val="-2"/>
        </w:rPr>
        <w:t> </w:t>
      </w:r>
      <w:r>
        <w:rPr/>
        <w:t>have</w:t>
      </w:r>
      <w:r>
        <w:rPr>
          <w:spacing w:val="-1"/>
        </w:rPr>
        <w:t> </w:t>
      </w:r>
      <w:r>
        <w:rPr/>
        <w:t>worked</w:t>
      </w:r>
      <w:r>
        <w:rPr>
          <w:spacing w:val="-3"/>
        </w:rPr>
        <w:t> </w:t>
      </w:r>
      <w:r>
        <w:rPr/>
        <w:t>with</w:t>
      </w:r>
      <w:r>
        <w:rPr>
          <w:spacing w:val="-3"/>
        </w:rPr>
        <w:t> </w:t>
      </w:r>
      <w:r>
        <w:rPr/>
        <w:t>school</w:t>
      </w:r>
      <w:r>
        <w:rPr>
          <w:spacing w:val="-4"/>
        </w:rPr>
        <w:t> </w:t>
      </w:r>
      <w:r>
        <w:rPr/>
        <w:t>administrators,</w:t>
      </w:r>
      <w:r>
        <w:rPr>
          <w:spacing w:val="-3"/>
        </w:rPr>
        <w:t> </w:t>
      </w:r>
      <w:r>
        <w:rPr/>
        <w:t>planners,</w:t>
      </w:r>
      <w:r>
        <w:rPr>
          <w:spacing w:val="-3"/>
        </w:rPr>
        <w:t> </w:t>
      </w:r>
      <w:r>
        <w:rPr/>
        <w:t>design</w:t>
      </w:r>
      <w:r>
        <w:rPr>
          <w:spacing w:val="-1"/>
        </w:rPr>
        <w:t> </w:t>
      </w:r>
      <w:r>
        <w:rPr/>
        <w:t>professionals</w:t>
      </w:r>
      <w:r>
        <w:rPr>
          <w:spacing w:val="-2"/>
        </w:rPr>
        <w:t> </w:t>
      </w:r>
      <w:r>
        <w:rPr/>
        <w:t>and clients to incorporate a sense of reality to their design project assignment.</w:t>
      </w:r>
      <w:r>
        <w:rPr>
          <w:spacing w:val="40"/>
        </w:rPr>
        <w:t> </w:t>
      </w:r>
      <w:r>
        <w:rPr/>
        <w:t>Clientele have included the University, local municipalities, government agencies (most notably, the NASA Langley Research Center) and school districts.</w:t>
      </w:r>
    </w:p>
    <w:p>
      <w:pPr>
        <w:pStyle w:val="BodyText"/>
        <w:spacing w:before="8"/>
      </w:pPr>
    </w:p>
    <w:p>
      <w:pPr>
        <w:pStyle w:val="BodyText"/>
        <w:ind w:left="1219" w:right="488"/>
      </w:pPr>
      <w:r>
        <w:rPr/>
        <w:t>During the fourth year, we have required students to obtain their NCARB files and enroll in the Intern Development Program. (We are in the process of modifying this requirement to meet changing</w:t>
      </w:r>
      <w:r>
        <w:rPr>
          <w:spacing w:val="-3"/>
        </w:rPr>
        <w:t> </w:t>
      </w:r>
      <w:r>
        <w:rPr/>
        <w:t>IDP</w:t>
      </w:r>
      <w:r>
        <w:rPr>
          <w:spacing w:val="-3"/>
        </w:rPr>
        <w:t> </w:t>
      </w:r>
      <w:r>
        <w:rPr/>
        <w:t>guidelines.)</w:t>
      </w:r>
      <w:r>
        <w:rPr>
          <w:spacing w:val="-1"/>
        </w:rPr>
        <w:t> </w:t>
      </w:r>
      <w:r>
        <w:rPr/>
        <w:t>Between</w:t>
      </w:r>
      <w:r>
        <w:rPr>
          <w:spacing w:val="-3"/>
        </w:rPr>
        <w:t> </w:t>
      </w:r>
      <w:r>
        <w:rPr/>
        <w:t>the</w:t>
      </w:r>
      <w:r>
        <w:rPr>
          <w:spacing w:val="-5"/>
        </w:rPr>
        <w:t> </w:t>
      </w:r>
      <w:r>
        <w:rPr/>
        <w:t>fourth</w:t>
      </w:r>
      <w:r>
        <w:rPr>
          <w:spacing w:val="-5"/>
        </w:rPr>
        <w:t> </w:t>
      </w:r>
      <w:r>
        <w:rPr/>
        <w:t>and</w:t>
      </w:r>
      <w:r>
        <w:rPr>
          <w:spacing w:val="-5"/>
        </w:rPr>
        <w:t> </w:t>
      </w:r>
      <w:r>
        <w:rPr/>
        <w:t>fifth</w:t>
      </w:r>
      <w:r>
        <w:rPr>
          <w:spacing w:val="-3"/>
        </w:rPr>
        <w:t> </w:t>
      </w:r>
      <w:r>
        <w:rPr/>
        <w:t>year,</w:t>
      </w:r>
      <w:r>
        <w:rPr>
          <w:spacing w:val="-5"/>
        </w:rPr>
        <w:t> </w:t>
      </w:r>
      <w:r>
        <w:rPr/>
        <w:t>students</w:t>
      </w:r>
      <w:r>
        <w:rPr>
          <w:spacing w:val="-4"/>
        </w:rPr>
        <w:t> </w:t>
      </w:r>
      <w:r>
        <w:rPr/>
        <w:t>are</w:t>
      </w:r>
      <w:r>
        <w:rPr>
          <w:spacing w:val="-5"/>
        </w:rPr>
        <w:t> </w:t>
      </w:r>
      <w:r>
        <w:rPr/>
        <w:t>required</w:t>
      </w:r>
      <w:r>
        <w:rPr>
          <w:spacing w:val="-3"/>
        </w:rPr>
        <w:t> </w:t>
      </w:r>
      <w:r>
        <w:rPr/>
        <w:t>to</w:t>
      </w:r>
      <w:r>
        <w:rPr>
          <w:spacing w:val="-5"/>
        </w:rPr>
        <w:t> </w:t>
      </w:r>
      <w:r>
        <w:rPr/>
        <w:t>participate</w:t>
      </w:r>
      <w:r>
        <w:rPr>
          <w:spacing w:val="-3"/>
        </w:rPr>
        <w:t> </w:t>
      </w:r>
      <w:r>
        <w:rPr/>
        <w:t>in an internship that will earn NCARB approved IDP credits. Students are prepared through the Professional</w:t>
      </w:r>
      <w:r>
        <w:rPr>
          <w:spacing w:val="-3"/>
        </w:rPr>
        <w:t> </w:t>
      </w:r>
      <w:r>
        <w:rPr/>
        <w:t>Practice</w:t>
      </w:r>
      <w:r>
        <w:rPr>
          <w:spacing w:val="-2"/>
        </w:rPr>
        <w:t> </w:t>
      </w:r>
      <w:r>
        <w:rPr/>
        <w:t>course,</w:t>
      </w:r>
      <w:r>
        <w:rPr>
          <w:spacing w:val="-2"/>
        </w:rPr>
        <w:t> </w:t>
      </w:r>
      <w:r>
        <w:rPr/>
        <w:t>to</w:t>
      </w:r>
      <w:r>
        <w:rPr>
          <w:spacing w:val="-2"/>
        </w:rPr>
        <w:t> </w:t>
      </w:r>
      <w:r>
        <w:rPr/>
        <w:t>contact prospective firms,</w:t>
      </w:r>
      <w:r>
        <w:rPr>
          <w:spacing w:val="-2"/>
        </w:rPr>
        <w:t> </w:t>
      </w:r>
      <w:r>
        <w:rPr/>
        <w:t>to</w:t>
      </w:r>
      <w:r>
        <w:rPr>
          <w:spacing w:val="-2"/>
        </w:rPr>
        <w:t> </w:t>
      </w:r>
      <w:r>
        <w:rPr/>
        <w:t>submit</w:t>
      </w:r>
      <w:r>
        <w:rPr>
          <w:spacing w:val="-2"/>
        </w:rPr>
        <w:t> </w:t>
      </w:r>
      <w:r>
        <w:rPr/>
        <w:t>resumes</w:t>
      </w:r>
      <w:r>
        <w:rPr>
          <w:spacing w:val="-1"/>
        </w:rPr>
        <w:t> </w:t>
      </w:r>
      <w:r>
        <w:rPr/>
        <w:t>and</w:t>
      </w:r>
      <w:r>
        <w:rPr>
          <w:spacing w:val="-2"/>
        </w:rPr>
        <w:t> </w:t>
      </w:r>
      <w:r>
        <w:rPr/>
        <w:t>portfolios,</w:t>
      </w:r>
      <w:r>
        <w:rPr>
          <w:spacing w:val="-2"/>
        </w:rPr>
        <w:t> </w:t>
      </w:r>
      <w:r>
        <w:rPr/>
        <w:t>to</w:t>
      </w:r>
      <w:r>
        <w:rPr>
          <w:spacing w:val="-2"/>
        </w:rPr>
        <w:t> </w:t>
      </w:r>
      <w:r>
        <w:rPr/>
        <w:t>sit for interviews, to negotiate salaries / wages and to perform at a professional level in the workplace. Robert Easter has served for five years as the IDP coordinator, and uses his professional contacts to match students with professionals in areas around the country to serve</w:t>
      </w:r>
      <w:r>
        <w:rPr/>
        <w:t> as mentors for students, who begin their job search during the Thanksgiving break of the Fall semester. Students must submit evidence of fulfilling their IDP requirements upon their return, or document their efforts to secure work, should they not have been successful.</w:t>
      </w:r>
    </w:p>
    <w:p>
      <w:pPr>
        <w:pStyle w:val="BodyText"/>
        <w:spacing w:before="11"/>
      </w:pPr>
    </w:p>
    <w:p>
      <w:pPr>
        <w:pStyle w:val="BodyText"/>
        <w:ind w:left="1219" w:right="705"/>
      </w:pPr>
      <w:r>
        <w:rPr/>
        <w:t>After successfully completing the work described above, students enter their fifth and final academic year as Architecture Professional students, the graduate level of the curriculum. Students</w:t>
      </w:r>
      <w:r>
        <w:rPr>
          <w:spacing w:val="-2"/>
        </w:rPr>
        <w:t> </w:t>
      </w:r>
      <w:r>
        <w:rPr/>
        <w:t>are</w:t>
      </w:r>
      <w:r>
        <w:rPr>
          <w:spacing w:val="-4"/>
        </w:rPr>
        <w:t> </w:t>
      </w:r>
      <w:r>
        <w:rPr/>
        <w:t>introduced</w:t>
      </w:r>
      <w:r>
        <w:rPr>
          <w:spacing w:val="-4"/>
        </w:rPr>
        <w:t> </w:t>
      </w:r>
      <w:r>
        <w:rPr/>
        <w:t>to</w:t>
      </w:r>
      <w:r>
        <w:rPr>
          <w:spacing w:val="-2"/>
        </w:rPr>
        <w:t> </w:t>
      </w:r>
      <w:r>
        <w:rPr/>
        <w:t>the</w:t>
      </w:r>
      <w:r>
        <w:rPr>
          <w:spacing w:val="-4"/>
        </w:rPr>
        <w:t> </w:t>
      </w:r>
      <w:r>
        <w:rPr/>
        <w:t>process</w:t>
      </w:r>
      <w:r>
        <w:rPr>
          <w:spacing w:val="-3"/>
        </w:rPr>
        <w:t> </w:t>
      </w:r>
      <w:r>
        <w:rPr/>
        <w:t>of</w:t>
      </w:r>
      <w:r>
        <w:rPr>
          <w:spacing w:val="-2"/>
        </w:rPr>
        <w:t> </w:t>
      </w:r>
      <w:r>
        <w:rPr/>
        <w:t>design</w:t>
      </w:r>
      <w:r>
        <w:rPr>
          <w:spacing w:val="-4"/>
        </w:rPr>
        <w:t> </w:t>
      </w:r>
      <w:r>
        <w:rPr/>
        <w:t>research.</w:t>
      </w:r>
      <w:r>
        <w:rPr>
          <w:spacing w:val="-4"/>
        </w:rPr>
        <w:t> </w:t>
      </w:r>
      <w:r>
        <w:rPr/>
        <w:t>Under</w:t>
      </w:r>
      <w:r>
        <w:rPr>
          <w:spacing w:val="-3"/>
        </w:rPr>
        <w:t> </w:t>
      </w:r>
      <w:r>
        <w:rPr/>
        <w:t>the</w:t>
      </w:r>
      <w:r>
        <w:rPr>
          <w:spacing w:val="-2"/>
        </w:rPr>
        <w:t> </w:t>
      </w:r>
      <w:r>
        <w:rPr/>
        <w:t>tutelage</w:t>
      </w:r>
      <w:r>
        <w:rPr>
          <w:spacing w:val="-2"/>
        </w:rPr>
        <w:t> </w:t>
      </w:r>
      <w:r>
        <w:rPr/>
        <w:t>of Drs.</w:t>
      </w:r>
      <w:r>
        <w:rPr>
          <w:spacing w:val="-4"/>
        </w:rPr>
        <w:t> </w:t>
      </w:r>
      <w:r>
        <w:rPr/>
        <w:t>Sanchez and Henderson, students conduct in-depth research on an architectural problem of their </w:t>
      </w:r>
      <w:r>
        <w:rPr>
          <w:spacing w:val="-2"/>
        </w:rPr>
        <w:t>choosing.</w:t>
      </w:r>
    </w:p>
    <w:p>
      <w:pPr>
        <w:pStyle w:val="BodyText"/>
        <w:spacing w:before="1"/>
        <w:rPr>
          <w:sz w:val="21"/>
        </w:rPr>
      </w:pPr>
    </w:p>
    <w:p>
      <w:pPr>
        <w:pStyle w:val="BodyText"/>
        <w:ind w:left="1219" w:right="486"/>
      </w:pPr>
      <w:r>
        <w:rPr/>
        <w:t>The</w:t>
      </w:r>
      <w:r>
        <w:rPr>
          <w:spacing w:val="-2"/>
        </w:rPr>
        <w:t> </w:t>
      </w:r>
      <w:r>
        <w:rPr/>
        <w:t>Design</w:t>
      </w:r>
      <w:r>
        <w:rPr>
          <w:spacing w:val="-2"/>
        </w:rPr>
        <w:t> </w:t>
      </w:r>
      <w:r>
        <w:rPr/>
        <w:t>Thesis</w:t>
      </w:r>
      <w:r>
        <w:rPr>
          <w:spacing w:val="-1"/>
        </w:rPr>
        <w:t> </w:t>
      </w:r>
      <w:r>
        <w:rPr/>
        <w:t>sequence</w:t>
      </w:r>
      <w:r>
        <w:rPr>
          <w:spacing w:val="-2"/>
        </w:rPr>
        <w:t> </w:t>
      </w:r>
      <w:r>
        <w:rPr/>
        <w:t>includes ARC 601 and ARC</w:t>
      </w:r>
      <w:r>
        <w:rPr>
          <w:spacing w:val="-2"/>
        </w:rPr>
        <w:t> </w:t>
      </w:r>
      <w:r>
        <w:rPr/>
        <w:t>602.</w:t>
      </w:r>
      <w:r>
        <w:rPr>
          <w:spacing w:val="-2"/>
        </w:rPr>
        <w:t> </w:t>
      </w:r>
      <w:r>
        <w:rPr/>
        <w:t>These</w:t>
      </w:r>
      <w:r>
        <w:rPr>
          <w:spacing w:val="-2"/>
        </w:rPr>
        <w:t> </w:t>
      </w:r>
      <w:r>
        <w:rPr/>
        <w:t>two courses</w:t>
      </w:r>
      <w:r>
        <w:rPr>
          <w:spacing w:val="-3"/>
        </w:rPr>
        <w:t> </w:t>
      </w:r>
      <w:r>
        <w:rPr/>
        <w:t>must</w:t>
      </w:r>
      <w:r>
        <w:rPr>
          <w:spacing w:val="-2"/>
        </w:rPr>
        <w:t> </w:t>
      </w:r>
      <w:r>
        <w:rPr/>
        <w:t>be</w:t>
      </w:r>
      <w:r>
        <w:rPr>
          <w:spacing w:val="-2"/>
        </w:rPr>
        <w:t> </w:t>
      </w:r>
      <w:r>
        <w:rPr/>
        <w:t>taken in the Department of Architecture at Hampton University. No transfer credit from other institutions for these courses will be considered. The thesis course instructor and the student’s faculty thesis advisor, acting as a committee, are responsible for determining passing or failing of each thesis project. The thesis course instructor/coordinator along with the students are responsible for the approval of the thesis topic, outline and for guiding the student through to the completion of the project.</w:t>
      </w:r>
      <w:r>
        <w:rPr>
          <w:spacing w:val="-1"/>
        </w:rPr>
        <w:t> </w:t>
      </w:r>
      <w:r>
        <w:rPr/>
        <w:t>There</w:t>
      </w:r>
      <w:r>
        <w:rPr>
          <w:spacing w:val="-1"/>
        </w:rPr>
        <w:t> </w:t>
      </w:r>
      <w:r>
        <w:rPr/>
        <w:t>shall</w:t>
      </w:r>
      <w:r>
        <w:rPr>
          <w:spacing w:val="-2"/>
        </w:rPr>
        <w:t> </w:t>
      </w:r>
      <w:r>
        <w:rPr/>
        <w:t>be</w:t>
      </w:r>
      <w:r>
        <w:rPr>
          <w:spacing w:val="-1"/>
        </w:rPr>
        <w:t> </w:t>
      </w:r>
      <w:r>
        <w:rPr/>
        <w:t>scheduled, required</w:t>
      </w:r>
      <w:r>
        <w:rPr>
          <w:spacing w:val="-1"/>
        </w:rPr>
        <w:t> </w:t>
      </w:r>
      <w:r>
        <w:rPr/>
        <w:t>reviews throughout</w:t>
      </w:r>
      <w:r>
        <w:rPr>
          <w:spacing w:val="-1"/>
        </w:rPr>
        <w:t> </w:t>
      </w:r>
      <w:r>
        <w:rPr/>
        <w:t>the</w:t>
      </w:r>
      <w:r>
        <w:rPr>
          <w:spacing w:val="-1"/>
        </w:rPr>
        <w:t> </w:t>
      </w:r>
      <w:r>
        <w:rPr/>
        <w:t>semester,</w:t>
      </w:r>
      <w:r>
        <w:rPr>
          <w:spacing w:val="-1"/>
        </w:rPr>
        <w:t> </w:t>
      </w:r>
      <w:r>
        <w:rPr/>
        <w:t>with</w:t>
      </w:r>
      <w:r>
        <w:rPr>
          <w:spacing w:val="-1"/>
        </w:rPr>
        <w:t> </w:t>
      </w:r>
      <w:r>
        <w:rPr/>
        <w:t>a</w:t>
      </w:r>
      <w:r>
        <w:rPr>
          <w:spacing w:val="-1"/>
        </w:rPr>
        <w:t> </w:t>
      </w:r>
      <w:r>
        <w:rPr/>
        <w:t>required</w:t>
      </w:r>
      <w:r>
        <w:rPr>
          <w:spacing w:val="-1"/>
        </w:rPr>
        <w:t> </w:t>
      </w:r>
      <w:r>
        <w:rPr/>
        <w:t>final review by the department faculty at the end of the semester.</w:t>
      </w:r>
      <w:r>
        <w:rPr>
          <w:spacing w:val="40"/>
        </w:rPr>
        <w:t> </w:t>
      </w:r>
      <w:r>
        <w:rPr/>
        <w:t>After the final review, the instructor and advisor will determine the pass/fail status of each thesis student. The thesis studio instructor/coordinator will assign the final letter grade based upon the pass/fail determination of the student’s committee. The department faculty</w:t>
      </w:r>
      <w:r>
        <w:rPr>
          <w:spacing w:val="-1"/>
        </w:rPr>
        <w:t> </w:t>
      </w:r>
      <w:r>
        <w:rPr/>
        <w:t>also determine the best thesis which is awarded a</w:t>
      </w:r>
      <w:r>
        <w:rPr>
          <w:spacing w:val="-2"/>
        </w:rPr>
        <w:t> </w:t>
      </w:r>
      <w:r>
        <w:rPr/>
        <w:t>monetary</w:t>
      </w:r>
      <w:r>
        <w:rPr>
          <w:spacing w:val="-5"/>
        </w:rPr>
        <w:t> </w:t>
      </w:r>
      <w:r>
        <w:rPr/>
        <w:t>prize</w:t>
      </w:r>
      <w:r>
        <w:rPr>
          <w:spacing w:val="-2"/>
        </w:rPr>
        <w:t> </w:t>
      </w:r>
      <w:r>
        <w:rPr/>
        <w:t>named</w:t>
      </w:r>
      <w:r>
        <w:rPr>
          <w:spacing w:val="-2"/>
        </w:rPr>
        <w:t> </w:t>
      </w:r>
      <w:r>
        <w:rPr/>
        <w:t>for</w:t>
      </w:r>
      <w:r>
        <w:rPr>
          <w:spacing w:val="-3"/>
        </w:rPr>
        <w:t> </w:t>
      </w:r>
      <w:r>
        <w:rPr/>
        <w:t>a</w:t>
      </w:r>
      <w:r>
        <w:rPr>
          <w:spacing w:val="-2"/>
        </w:rPr>
        <w:t> </w:t>
      </w:r>
      <w:r>
        <w:rPr/>
        <w:t>former</w:t>
      </w:r>
      <w:r>
        <w:rPr>
          <w:spacing w:val="-1"/>
        </w:rPr>
        <w:t> </w:t>
      </w:r>
      <w:r>
        <w:rPr/>
        <w:t>student,</w:t>
      </w:r>
      <w:r>
        <w:rPr>
          <w:spacing w:val="-1"/>
        </w:rPr>
        <w:t> </w:t>
      </w:r>
      <w:r>
        <w:rPr/>
        <w:t>Keith</w:t>
      </w:r>
      <w:r>
        <w:rPr>
          <w:spacing w:val="-2"/>
        </w:rPr>
        <w:t> </w:t>
      </w:r>
      <w:r>
        <w:rPr/>
        <w:t>Thomas,</w:t>
      </w:r>
      <w:r>
        <w:rPr>
          <w:spacing w:val="-2"/>
        </w:rPr>
        <w:t> </w:t>
      </w:r>
      <w:r>
        <w:rPr/>
        <w:t>endowed</w:t>
      </w:r>
      <w:r>
        <w:rPr>
          <w:spacing w:val="-1"/>
        </w:rPr>
        <w:t> </w:t>
      </w:r>
      <w:r>
        <w:rPr/>
        <w:t>by</w:t>
      </w:r>
      <w:r>
        <w:rPr>
          <w:spacing w:val="-5"/>
        </w:rPr>
        <w:t> </w:t>
      </w:r>
      <w:r>
        <w:rPr/>
        <w:t>his</w:t>
      </w:r>
      <w:r>
        <w:rPr>
          <w:spacing w:val="-1"/>
        </w:rPr>
        <w:t> </w:t>
      </w:r>
      <w:r>
        <w:rPr/>
        <w:t>parents.</w:t>
      </w:r>
      <w:r>
        <w:rPr>
          <w:spacing w:val="-7"/>
        </w:rPr>
        <w:t> </w:t>
      </w:r>
      <w:r>
        <w:rPr/>
        <w:t>We</w:t>
      </w:r>
      <w:r>
        <w:rPr>
          <w:spacing w:val="-2"/>
        </w:rPr>
        <w:t> </w:t>
      </w:r>
      <w:r>
        <w:rPr/>
        <w:t>also,</w:t>
      </w:r>
      <w:r>
        <w:rPr>
          <w:spacing w:val="-2"/>
        </w:rPr>
        <w:t> </w:t>
      </w:r>
      <w:r>
        <w:rPr/>
        <w:t>in the Academic Year 2013-14, conferred the ARCC/King Student Medal for Excellence in Architectural and Environmental Research.</w:t>
      </w:r>
    </w:p>
    <w:p>
      <w:pPr>
        <w:spacing w:after="0"/>
        <w:sectPr>
          <w:pgSz w:w="12240" w:h="15840"/>
          <w:pgMar w:header="0" w:footer="974" w:top="1360" w:bottom="1160" w:left="940" w:right="960"/>
        </w:sectPr>
      </w:pPr>
    </w:p>
    <w:p>
      <w:pPr>
        <w:pStyle w:val="BodyText"/>
        <w:spacing w:before="77"/>
        <w:ind w:left="1219" w:right="1137"/>
        <w:jc w:val="both"/>
      </w:pPr>
      <w:r>
        <w:rPr/>
        <w:t>At</w:t>
      </w:r>
      <w:r>
        <w:rPr>
          <w:spacing w:val="-4"/>
        </w:rPr>
        <w:t> </w:t>
      </w:r>
      <w:r>
        <w:rPr/>
        <w:t>each</w:t>
      </w:r>
      <w:r>
        <w:rPr>
          <w:spacing w:val="-4"/>
        </w:rPr>
        <w:t> </w:t>
      </w:r>
      <w:r>
        <w:rPr/>
        <w:t>level</w:t>
      </w:r>
      <w:r>
        <w:rPr>
          <w:spacing w:val="-2"/>
        </w:rPr>
        <w:t> </w:t>
      </w:r>
      <w:r>
        <w:rPr/>
        <w:t>of</w:t>
      </w:r>
      <w:r>
        <w:rPr>
          <w:spacing w:val="-2"/>
        </w:rPr>
        <w:t> </w:t>
      </w:r>
      <w:r>
        <w:rPr/>
        <w:t>instruction,</w:t>
      </w:r>
      <w:r>
        <w:rPr>
          <w:spacing w:val="-2"/>
        </w:rPr>
        <w:t> </w:t>
      </w:r>
      <w:r>
        <w:rPr/>
        <w:t>our</w:t>
      </w:r>
      <w:r>
        <w:rPr>
          <w:spacing w:val="-3"/>
        </w:rPr>
        <w:t> </w:t>
      </w:r>
      <w:r>
        <w:rPr/>
        <w:t>instruction</w:t>
      </w:r>
      <w:r>
        <w:rPr>
          <w:spacing w:val="-2"/>
        </w:rPr>
        <w:t> </w:t>
      </w:r>
      <w:r>
        <w:rPr/>
        <w:t>is</w:t>
      </w:r>
      <w:r>
        <w:rPr>
          <w:spacing w:val="-3"/>
        </w:rPr>
        <w:t> </w:t>
      </w:r>
      <w:r>
        <w:rPr/>
        <w:t>supported</w:t>
      </w:r>
      <w:r>
        <w:rPr>
          <w:spacing w:val="-2"/>
        </w:rPr>
        <w:t> </w:t>
      </w:r>
      <w:r>
        <w:rPr/>
        <w:t>by</w:t>
      </w:r>
      <w:r>
        <w:rPr>
          <w:spacing w:val="-7"/>
        </w:rPr>
        <w:t> </w:t>
      </w:r>
      <w:r>
        <w:rPr/>
        <w:t>the</w:t>
      </w:r>
      <w:r>
        <w:rPr>
          <w:spacing w:val="-2"/>
        </w:rPr>
        <w:t> </w:t>
      </w:r>
      <w:r>
        <w:rPr/>
        <w:t>offerings</w:t>
      </w:r>
      <w:r>
        <w:rPr>
          <w:spacing w:val="-3"/>
        </w:rPr>
        <w:t> </w:t>
      </w:r>
      <w:r>
        <w:rPr/>
        <w:t>of</w:t>
      </w:r>
      <w:r>
        <w:rPr>
          <w:spacing w:val="-2"/>
        </w:rPr>
        <w:t> </w:t>
      </w:r>
      <w:r>
        <w:rPr/>
        <w:t>the</w:t>
      </w:r>
      <w:r>
        <w:rPr>
          <w:spacing w:val="-4"/>
        </w:rPr>
        <w:t> </w:t>
      </w:r>
      <w:r>
        <w:rPr/>
        <w:t>University</w:t>
      </w:r>
      <w:r>
        <w:rPr>
          <w:spacing w:val="-7"/>
        </w:rPr>
        <w:t> </w:t>
      </w:r>
      <w:r>
        <w:rPr/>
        <w:t>to provide</w:t>
      </w:r>
      <w:r>
        <w:rPr>
          <w:spacing w:val="-2"/>
        </w:rPr>
        <w:t> </w:t>
      </w:r>
      <w:r>
        <w:rPr/>
        <w:t>a</w:t>
      </w:r>
      <w:r>
        <w:rPr>
          <w:spacing w:val="-2"/>
        </w:rPr>
        <w:t> </w:t>
      </w:r>
      <w:r>
        <w:rPr/>
        <w:t>well-rounded</w:t>
      </w:r>
      <w:r>
        <w:rPr>
          <w:spacing w:val="-2"/>
        </w:rPr>
        <w:t> </w:t>
      </w:r>
      <w:r>
        <w:rPr/>
        <w:t>liberal</w:t>
      </w:r>
      <w:r>
        <w:rPr>
          <w:spacing w:val="-5"/>
        </w:rPr>
        <w:t> </w:t>
      </w:r>
      <w:r>
        <w:rPr/>
        <w:t>arts</w:t>
      </w:r>
      <w:r>
        <w:rPr>
          <w:spacing w:val="-3"/>
        </w:rPr>
        <w:t> </w:t>
      </w:r>
      <w:r>
        <w:rPr/>
        <w:t>education.</w:t>
      </w:r>
      <w:r>
        <w:rPr>
          <w:spacing w:val="-2"/>
        </w:rPr>
        <w:t> </w:t>
      </w:r>
      <w:r>
        <w:rPr/>
        <w:t>Students have</w:t>
      </w:r>
      <w:r>
        <w:rPr>
          <w:spacing w:val="-4"/>
        </w:rPr>
        <w:t> </w:t>
      </w:r>
      <w:r>
        <w:rPr/>
        <w:t>a</w:t>
      </w:r>
      <w:r>
        <w:rPr>
          <w:spacing w:val="-2"/>
        </w:rPr>
        <w:t> </w:t>
      </w:r>
      <w:r>
        <w:rPr/>
        <w:t>requirement</w:t>
      </w:r>
      <w:r>
        <w:rPr>
          <w:spacing w:val="-4"/>
        </w:rPr>
        <w:t> </w:t>
      </w:r>
      <w:r>
        <w:rPr/>
        <w:t>to</w:t>
      </w:r>
      <w:r>
        <w:rPr>
          <w:spacing w:val="-4"/>
        </w:rPr>
        <w:t> </w:t>
      </w:r>
      <w:r>
        <w:rPr/>
        <w:t>complete</w:t>
      </w:r>
      <w:r>
        <w:rPr>
          <w:spacing w:val="-2"/>
        </w:rPr>
        <w:t> </w:t>
      </w:r>
      <w:r>
        <w:rPr/>
        <w:t>36 general education credits, and 9 additional elective credits.</w:t>
      </w:r>
    </w:p>
    <w:p>
      <w:pPr>
        <w:pStyle w:val="BodyText"/>
        <w:spacing w:before="9"/>
      </w:pPr>
    </w:p>
    <w:p>
      <w:pPr>
        <w:pStyle w:val="BodyText"/>
        <w:ind w:left="1939" w:right="705"/>
      </w:pPr>
      <w:r>
        <w:rPr/>
        <w:t>Architecture students in the first four years of the curriculum are classified as Undergraduate Students (UG). Upon successful completion of the undergraduate curriculum,</w:t>
      </w:r>
      <w:r>
        <w:rPr>
          <w:spacing w:val="-6"/>
        </w:rPr>
        <w:t> </w:t>
      </w:r>
      <w:r>
        <w:rPr/>
        <w:t>student’s</w:t>
      </w:r>
      <w:r>
        <w:rPr>
          <w:spacing w:val="-5"/>
        </w:rPr>
        <w:t> </w:t>
      </w:r>
      <w:r>
        <w:rPr/>
        <w:t>progress</w:t>
      </w:r>
      <w:r>
        <w:rPr>
          <w:spacing w:val="-5"/>
        </w:rPr>
        <w:t> </w:t>
      </w:r>
      <w:r>
        <w:rPr/>
        <w:t>to</w:t>
      </w:r>
      <w:r>
        <w:rPr>
          <w:spacing w:val="-6"/>
        </w:rPr>
        <w:t> </w:t>
      </w:r>
      <w:r>
        <w:rPr/>
        <w:t>the</w:t>
      </w:r>
      <w:r>
        <w:rPr>
          <w:spacing w:val="-4"/>
        </w:rPr>
        <w:t> </w:t>
      </w:r>
      <w:r>
        <w:rPr/>
        <w:t>fifth</w:t>
      </w:r>
      <w:r>
        <w:rPr>
          <w:spacing w:val="-4"/>
        </w:rPr>
        <w:t> </w:t>
      </w:r>
      <w:r>
        <w:rPr/>
        <w:t>year</w:t>
      </w:r>
      <w:r>
        <w:rPr>
          <w:spacing w:val="-3"/>
        </w:rPr>
        <w:t> </w:t>
      </w:r>
      <w:r>
        <w:rPr/>
        <w:t>as</w:t>
      </w:r>
      <w:r>
        <w:rPr>
          <w:spacing w:val="-5"/>
        </w:rPr>
        <w:t> </w:t>
      </w:r>
      <w:r>
        <w:rPr/>
        <w:t>Architecture</w:t>
      </w:r>
      <w:r>
        <w:rPr>
          <w:spacing w:val="-4"/>
        </w:rPr>
        <w:t> </w:t>
      </w:r>
      <w:r>
        <w:rPr/>
        <w:t>Professional</w:t>
      </w:r>
      <w:r>
        <w:rPr>
          <w:spacing w:val="-5"/>
        </w:rPr>
        <w:t> </w:t>
      </w:r>
      <w:r>
        <w:rPr/>
        <w:t>Students </w:t>
      </w:r>
      <w:r>
        <w:rPr>
          <w:spacing w:val="-2"/>
        </w:rPr>
        <w:t>(AP).</w:t>
      </w:r>
    </w:p>
    <w:p>
      <w:pPr>
        <w:pStyle w:val="BodyText"/>
        <w:rPr>
          <w:sz w:val="21"/>
        </w:rPr>
      </w:pPr>
    </w:p>
    <w:p>
      <w:pPr>
        <w:pStyle w:val="BodyText"/>
        <w:ind w:left="1939" w:right="580"/>
      </w:pPr>
      <w:r>
        <w:rPr/>
        <w:t>Architecture students must have completed all 100 and 200 level Architecture courses, as well as MAT 118 and PHY</w:t>
      </w:r>
      <w:r>
        <w:rPr>
          <w:spacing w:val="-2"/>
        </w:rPr>
        <w:t> </w:t>
      </w:r>
      <w:r>
        <w:rPr/>
        <w:t>201, before being admitted to the third-year design studio at Hampton University. Students admitted to the third-year design studio must have earned</w:t>
      </w:r>
      <w:r>
        <w:rPr>
          <w:spacing w:val="-4"/>
        </w:rPr>
        <w:t> </w:t>
      </w:r>
      <w:r>
        <w:rPr/>
        <w:t>a</w:t>
      </w:r>
      <w:r>
        <w:rPr>
          <w:spacing w:val="-2"/>
        </w:rPr>
        <w:t> </w:t>
      </w:r>
      <w:r>
        <w:rPr/>
        <w:t>2.3</w:t>
      </w:r>
      <w:r>
        <w:rPr>
          <w:spacing w:val="-4"/>
        </w:rPr>
        <w:t> </w:t>
      </w:r>
      <w:r>
        <w:rPr/>
        <w:t>GPA</w:t>
      </w:r>
      <w:r>
        <w:rPr>
          <w:spacing w:val="-2"/>
        </w:rPr>
        <w:t> </w:t>
      </w:r>
      <w:r>
        <w:rPr/>
        <w:t>in</w:t>
      </w:r>
      <w:r>
        <w:rPr>
          <w:spacing w:val="-4"/>
        </w:rPr>
        <w:t> </w:t>
      </w:r>
      <w:r>
        <w:rPr/>
        <w:t>major</w:t>
      </w:r>
      <w:r>
        <w:rPr>
          <w:spacing w:val="-3"/>
        </w:rPr>
        <w:t> </w:t>
      </w:r>
      <w:r>
        <w:rPr/>
        <w:t>(ARC)</w:t>
      </w:r>
      <w:r>
        <w:rPr>
          <w:spacing w:val="-3"/>
        </w:rPr>
        <w:t> </w:t>
      </w:r>
      <w:r>
        <w:rPr/>
        <w:t>courses.</w:t>
      </w:r>
      <w:r>
        <w:rPr>
          <w:spacing w:val="-4"/>
        </w:rPr>
        <w:t> </w:t>
      </w:r>
      <w:r>
        <w:rPr/>
        <w:t>Students</w:t>
      </w:r>
      <w:r>
        <w:rPr>
          <w:spacing w:val="-3"/>
        </w:rPr>
        <w:t> </w:t>
      </w:r>
      <w:r>
        <w:rPr/>
        <w:t>must</w:t>
      </w:r>
      <w:r>
        <w:rPr>
          <w:spacing w:val="-4"/>
        </w:rPr>
        <w:t> </w:t>
      </w:r>
      <w:r>
        <w:rPr/>
        <w:t>also</w:t>
      </w:r>
      <w:r>
        <w:rPr>
          <w:spacing w:val="-4"/>
        </w:rPr>
        <w:t> </w:t>
      </w:r>
      <w:r>
        <w:rPr/>
        <w:t>successfully</w:t>
      </w:r>
      <w:r>
        <w:rPr>
          <w:spacing w:val="-7"/>
        </w:rPr>
        <w:t> </w:t>
      </w:r>
      <w:r>
        <w:rPr/>
        <w:t>complete</w:t>
      </w:r>
      <w:r>
        <w:rPr>
          <w:spacing w:val="-4"/>
        </w:rPr>
        <w:t> </w:t>
      </w:r>
      <w:r>
        <w:rPr/>
        <w:t>all 300 level Architecture courses before being admitted to the fourth-year design studio.</w:t>
      </w:r>
    </w:p>
    <w:p>
      <w:pPr>
        <w:pStyle w:val="BodyText"/>
        <w:spacing w:before="10"/>
      </w:pPr>
    </w:p>
    <w:p>
      <w:pPr>
        <w:pStyle w:val="BodyText"/>
        <w:ind w:left="1940" w:right="509"/>
      </w:pPr>
      <w:r>
        <w:rPr/>
        <w:t>For</w:t>
      </w:r>
      <w:r>
        <w:rPr>
          <w:spacing w:val="-4"/>
        </w:rPr>
        <w:t> </w:t>
      </w:r>
      <w:r>
        <w:rPr/>
        <w:t>admittance</w:t>
      </w:r>
      <w:r>
        <w:rPr>
          <w:spacing w:val="-5"/>
        </w:rPr>
        <w:t> </w:t>
      </w:r>
      <w:r>
        <w:rPr/>
        <w:t>to</w:t>
      </w:r>
      <w:r>
        <w:rPr>
          <w:spacing w:val="-3"/>
        </w:rPr>
        <w:t> </w:t>
      </w:r>
      <w:r>
        <w:rPr/>
        <w:t>fifth-year</w:t>
      </w:r>
      <w:r>
        <w:rPr>
          <w:spacing w:val="-2"/>
        </w:rPr>
        <w:t> </w:t>
      </w:r>
      <w:r>
        <w:rPr/>
        <w:t>design</w:t>
      </w:r>
      <w:r>
        <w:rPr>
          <w:spacing w:val="-5"/>
        </w:rPr>
        <w:t> </w:t>
      </w:r>
      <w:r>
        <w:rPr/>
        <w:t>studio</w:t>
      </w:r>
      <w:r>
        <w:rPr>
          <w:spacing w:val="-3"/>
        </w:rPr>
        <w:t> </w:t>
      </w:r>
      <w:r>
        <w:rPr/>
        <w:t>and</w:t>
      </w:r>
      <w:r>
        <w:rPr>
          <w:spacing w:val="-3"/>
        </w:rPr>
        <w:t> </w:t>
      </w:r>
      <w:r>
        <w:rPr/>
        <w:t>AP</w:t>
      </w:r>
      <w:r>
        <w:rPr>
          <w:spacing w:val="-5"/>
        </w:rPr>
        <w:t> </w:t>
      </w:r>
      <w:r>
        <w:rPr/>
        <w:t>status,</w:t>
      </w:r>
      <w:r>
        <w:rPr>
          <w:spacing w:val="-5"/>
        </w:rPr>
        <w:t> </w:t>
      </w:r>
      <w:r>
        <w:rPr/>
        <w:t>students</w:t>
      </w:r>
      <w:r>
        <w:rPr>
          <w:spacing w:val="-4"/>
        </w:rPr>
        <w:t> </w:t>
      </w:r>
      <w:r>
        <w:rPr/>
        <w:t>must</w:t>
      </w:r>
      <w:r>
        <w:rPr>
          <w:spacing w:val="-5"/>
        </w:rPr>
        <w:t> </w:t>
      </w:r>
      <w:r>
        <w:rPr/>
        <w:t>have</w:t>
      </w:r>
      <w:r>
        <w:rPr>
          <w:spacing w:val="-5"/>
        </w:rPr>
        <w:t> </w:t>
      </w:r>
      <w:r>
        <w:rPr/>
        <w:t>successfully completed the full undergraduate curriculum (only 500 and 600 level courses remain)</w:t>
      </w:r>
      <w:r>
        <w:rPr>
          <w:spacing w:val="40"/>
        </w:rPr>
        <w:t> </w:t>
      </w:r>
      <w:r>
        <w:rPr/>
        <w:t>with a cumulative GPA of 2.5.</w:t>
      </w:r>
    </w:p>
    <w:p>
      <w:pPr>
        <w:pStyle w:val="BodyText"/>
        <w:spacing w:before="9"/>
      </w:pPr>
    </w:p>
    <w:p>
      <w:pPr>
        <w:pStyle w:val="BodyText"/>
        <w:ind w:left="1940" w:right="499"/>
      </w:pPr>
      <w:r>
        <w:rPr/>
        <w:t>Students</w:t>
      </w:r>
      <w:r>
        <w:rPr>
          <w:spacing w:val="-3"/>
        </w:rPr>
        <w:t> </w:t>
      </w:r>
      <w:r>
        <w:rPr/>
        <w:t>are</w:t>
      </w:r>
      <w:r>
        <w:rPr>
          <w:spacing w:val="-4"/>
        </w:rPr>
        <w:t> </w:t>
      </w:r>
      <w:r>
        <w:rPr/>
        <w:t>limited</w:t>
      </w:r>
      <w:r>
        <w:rPr>
          <w:spacing w:val="-4"/>
        </w:rPr>
        <w:t> </w:t>
      </w:r>
      <w:r>
        <w:rPr/>
        <w:t>to</w:t>
      </w:r>
      <w:r>
        <w:rPr>
          <w:spacing w:val="-2"/>
        </w:rPr>
        <w:t> </w:t>
      </w:r>
      <w:r>
        <w:rPr/>
        <w:t>two</w:t>
      </w:r>
      <w:r>
        <w:rPr>
          <w:spacing w:val="-2"/>
        </w:rPr>
        <w:t> </w:t>
      </w:r>
      <w:r>
        <w:rPr/>
        <w:t>repeats</w:t>
      </w:r>
      <w:r>
        <w:rPr>
          <w:spacing w:val="-1"/>
        </w:rPr>
        <w:t> </w:t>
      </w:r>
      <w:r>
        <w:rPr/>
        <w:t>in</w:t>
      </w:r>
      <w:r>
        <w:rPr>
          <w:spacing w:val="-4"/>
        </w:rPr>
        <w:t> </w:t>
      </w:r>
      <w:r>
        <w:rPr/>
        <w:t>a</w:t>
      </w:r>
      <w:r>
        <w:rPr>
          <w:spacing w:val="-2"/>
        </w:rPr>
        <w:t> </w:t>
      </w:r>
      <w:r>
        <w:rPr/>
        <w:t>major</w:t>
      </w:r>
      <w:r>
        <w:rPr>
          <w:spacing w:val="-3"/>
        </w:rPr>
        <w:t> </w:t>
      </w:r>
      <w:r>
        <w:rPr/>
        <w:t>course</w:t>
      </w:r>
      <w:r>
        <w:rPr>
          <w:spacing w:val="-4"/>
        </w:rPr>
        <w:t> </w:t>
      </w:r>
      <w:r>
        <w:rPr/>
        <w:t>(a</w:t>
      </w:r>
      <w:r>
        <w:rPr>
          <w:spacing w:val="-4"/>
        </w:rPr>
        <w:t> </w:t>
      </w:r>
      <w:r>
        <w:rPr/>
        <w:t>total</w:t>
      </w:r>
      <w:r>
        <w:rPr>
          <w:spacing w:val="-3"/>
        </w:rPr>
        <w:t> </w:t>
      </w:r>
      <w:r>
        <w:rPr/>
        <w:t>of</w:t>
      </w:r>
      <w:r>
        <w:rPr>
          <w:spacing w:val="-2"/>
        </w:rPr>
        <w:t> </w:t>
      </w:r>
      <w:r>
        <w:rPr/>
        <w:t>three</w:t>
      </w:r>
      <w:r>
        <w:rPr>
          <w:spacing w:val="-4"/>
        </w:rPr>
        <w:t> </w:t>
      </w:r>
      <w:r>
        <w:rPr/>
        <w:t>attempts).</w:t>
      </w:r>
      <w:r>
        <w:rPr>
          <w:spacing w:val="-4"/>
        </w:rPr>
        <w:t> </w:t>
      </w:r>
      <w:r>
        <w:rPr/>
        <w:t>Students not earning a passing grade in a major course after the three attempts will be dismissed from the program and not recommended for readmission.</w:t>
      </w:r>
    </w:p>
    <w:p>
      <w:pPr>
        <w:pStyle w:val="BodyText"/>
        <w:rPr>
          <w:sz w:val="21"/>
        </w:rPr>
      </w:pPr>
    </w:p>
    <w:p>
      <w:pPr>
        <w:pStyle w:val="BodyText"/>
        <w:ind w:left="1940" w:right="580"/>
      </w:pPr>
      <w:r>
        <w:rPr/>
        <w:t>Students</w:t>
      </w:r>
      <w:r>
        <w:rPr>
          <w:spacing w:val="-4"/>
        </w:rPr>
        <w:t> </w:t>
      </w:r>
      <w:r>
        <w:rPr/>
        <w:t>entering</w:t>
      </w:r>
      <w:r>
        <w:rPr>
          <w:spacing w:val="-3"/>
        </w:rPr>
        <w:t> </w:t>
      </w:r>
      <w:r>
        <w:rPr/>
        <w:t>the</w:t>
      </w:r>
      <w:r>
        <w:rPr>
          <w:spacing w:val="-5"/>
        </w:rPr>
        <w:t> </w:t>
      </w:r>
      <w:r>
        <w:rPr/>
        <w:t>second-year</w:t>
      </w:r>
      <w:r>
        <w:rPr>
          <w:spacing w:val="-4"/>
        </w:rPr>
        <w:t> </w:t>
      </w:r>
      <w:r>
        <w:rPr/>
        <w:t>design</w:t>
      </w:r>
      <w:r>
        <w:rPr>
          <w:spacing w:val="-5"/>
        </w:rPr>
        <w:t> </w:t>
      </w:r>
      <w:r>
        <w:rPr/>
        <w:t>studio</w:t>
      </w:r>
      <w:r>
        <w:rPr>
          <w:spacing w:val="-5"/>
        </w:rPr>
        <w:t> </w:t>
      </w:r>
      <w:r>
        <w:rPr/>
        <w:t>are</w:t>
      </w:r>
      <w:r>
        <w:rPr>
          <w:spacing w:val="-3"/>
        </w:rPr>
        <w:t> </w:t>
      </w:r>
      <w:r>
        <w:rPr/>
        <w:t>required</w:t>
      </w:r>
      <w:r>
        <w:rPr>
          <w:spacing w:val="-5"/>
        </w:rPr>
        <w:t> </w:t>
      </w:r>
      <w:r>
        <w:rPr/>
        <w:t>to</w:t>
      </w:r>
      <w:r>
        <w:rPr>
          <w:spacing w:val="-5"/>
        </w:rPr>
        <w:t> </w:t>
      </w:r>
      <w:r>
        <w:rPr/>
        <w:t>have</w:t>
      </w:r>
      <w:r>
        <w:rPr>
          <w:spacing w:val="-5"/>
        </w:rPr>
        <w:t> </w:t>
      </w:r>
      <w:r>
        <w:rPr/>
        <w:t>a</w:t>
      </w:r>
      <w:r>
        <w:rPr>
          <w:spacing w:val="-3"/>
        </w:rPr>
        <w:t> </w:t>
      </w:r>
      <w:r>
        <w:rPr/>
        <w:t>laptop</w:t>
      </w:r>
      <w:r>
        <w:rPr>
          <w:spacing w:val="-5"/>
        </w:rPr>
        <w:t> </w:t>
      </w:r>
      <w:r>
        <w:rPr/>
        <w:t>computer with appropriate software for class use. Platform specifications and software requirements are furnished by the department.</w:t>
      </w:r>
    </w:p>
    <w:p>
      <w:pPr>
        <w:pStyle w:val="BodyText"/>
        <w:spacing w:before="9"/>
      </w:pPr>
    </w:p>
    <w:p>
      <w:pPr>
        <w:pStyle w:val="BodyText"/>
        <w:ind w:left="1940"/>
      </w:pPr>
      <w:r>
        <w:rPr/>
        <w:t>The</w:t>
      </w:r>
      <w:r>
        <w:rPr>
          <w:spacing w:val="-3"/>
        </w:rPr>
        <w:t> </w:t>
      </w:r>
      <w:r>
        <w:rPr/>
        <w:t>study</w:t>
      </w:r>
      <w:r>
        <w:rPr>
          <w:spacing w:val="-6"/>
        </w:rPr>
        <w:t> </w:t>
      </w:r>
      <w:r>
        <w:rPr/>
        <w:t>abroad</w:t>
      </w:r>
      <w:r>
        <w:rPr>
          <w:spacing w:val="-3"/>
        </w:rPr>
        <w:t> </w:t>
      </w:r>
      <w:r>
        <w:rPr/>
        <w:t>trip</w:t>
      </w:r>
      <w:r>
        <w:rPr>
          <w:spacing w:val="-3"/>
        </w:rPr>
        <w:t> </w:t>
      </w:r>
      <w:r>
        <w:rPr/>
        <w:t>generally</w:t>
      </w:r>
      <w:r>
        <w:rPr>
          <w:spacing w:val="-6"/>
        </w:rPr>
        <w:t> </w:t>
      </w:r>
      <w:r>
        <w:rPr/>
        <w:t>costs</w:t>
      </w:r>
      <w:r>
        <w:rPr>
          <w:spacing w:val="-2"/>
        </w:rPr>
        <w:t> </w:t>
      </w:r>
      <w:r>
        <w:rPr/>
        <w:t>$2,500</w:t>
      </w:r>
      <w:r>
        <w:rPr>
          <w:spacing w:val="-3"/>
        </w:rPr>
        <w:t> </w:t>
      </w:r>
      <w:r>
        <w:rPr/>
        <w:t>per</w:t>
      </w:r>
      <w:r>
        <w:rPr>
          <w:spacing w:val="-2"/>
        </w:rPr>
        <w:t> </w:t>
      </w:r>
      <w:r>
        <w:rPr/>
        <w:t>student.</w:t>
      </w:r>
      <w:r>
        <w:rPr>
          <w:spacing w:val="-3"/>
        </w:rPr>
        <w:t> </w:t>
      </w:r>
      <w:r>
        <w:rPr/>
        <w:t>That</w:t>
      </w:r>
      <w:r>
        <w:rPr>
          <w:spacing w:val="-3"/>
        </w:rPr>
        <w:t> </w:t>
      </w:r>
      <w:r>
        <w:rPr/>
        <w:t>cost</w:t>
      </w:r>
      <w:r>
        <w:rPr>
          <w:spacing w:val="-3"/>
        </w:rPr>
        <w:t> </w:t>
      </w:r>
      <w:r>
        <w:rPr/>
        <w:t>is</w:t>
      </w:r>
      <w:r>
        <w:rPr>
          <w:spacing w:val="-2"/>
        </w:rPr>
        <w:t> </w:t>
      </w:r>
      <w:r>
        <w:rPr/>
        <w:t>now</w:t>
      </w:r>
      <w:r>
        <w:rPr>
          <w:spacing w:val="-5"/>
        </w:rPr>
        <w:t> </w:t>
      </w:r>
      <w:r>
        <w:rPr/>
        <w:t>covered</w:t>
      </w:r>
      <w:r>
        <w:rPr>
          <w:spacing w:val="-3"/>
        </w:rPr>
        <w:t> </w:t>
      </w:r>
      <w:r>
        <w:rPr/>
        <w:t>in</w:t>
      </w:r>
      <w:r>
        <w:rPr>
          <w:spacing w:val="-1"/>
        </w:rPr>
        <w:t> </w:t>
      </w:r>
      <w:r>
        <w:rPr/>
        <w:t>the student fee, along with support from the Sol Cohen Funds.</w:t>
      </w:r>
    </w:p>
    <w:p>
      <w:pPr>
        <w:pStyle w:val="BodyText"/>
        <w:spacing w:before="11"/>
      </w:pPr>
    </w:p>
    <w:p>
      <w:pPr>
        <w:pStyle w:val="BodyText"/>
        <w:ind w:left="1219" w:right="506"/>
      </w:pPr>
      <w:r>
        <w:rPr/>
        <w:t>With this foundation, upper level work begins to address issues of synthesis and intention, particularly in the third year.</w:t>
      </w:r>
      <w:r>
        <w:rPr>
          <w:spacing w:val="40"/>
        </w:rPr>
        <w:t> </w:t>
      </w:r>
      <w:r>
        <w:rPr/>
        <w:t>Work in the fourth year centers on a comprehensive design project including</w:t>
      </w:r>
      <w:r>
        <w:rPr>
          <w:spacing w:val="-4"/>
        </w:rPr>
        <w:t> </w:t>
      </w:r>
      <w:r>
        <w:rPr/>
        <w:t>an</w:t>
      </w:r>
      <w:r>
        <w:rPr>
          <w:spacing w:val="-4"/>
        </w:rPr>
        <w:t> </w:t>
      </w:r>
      <w:r>
        <w:rPr/>
        <w:t>urban</w:t>
      </w:r>
      <w:r>
        <w:rPr>
          <w:spacing w:val="-2"/>
        </w:rPr>
        <w:t> </w:t>
      </w:r>
      <w:r>
        <w:rPr/>
        <w:t>design</w:t>
      </w:r>
      <w:r>
        <w:rPr>
          <w:spacing w:val="-4"/>
        </w:rPr>
        <w:t> </w:t>
      </w:r>
      <w:r>
        <w:rPr/>
        <w:t>response.</w:t>
      </w:r>
      <w:r>
        <w:rPr>
          <w:spacing w:val="40"/>
        </w:rPr>
        <w:t> </w:t>
      </w:r>
      <w:r>
        <w:rPr/>
        <w:t>Fifth</w:t>
      </w:r>
      <w:r>
        <w:rPr>
          <w:spacing w:val="-2"/>
        </w:rPr>
        <w:t> </w:t>
      </w:r>
      <w:r>
        <w:rPr/>
        <w:t>year</w:t>
      </w:r>
      <w:r>
        <w:rPr>
          <w:spacing w:val="-1"/>
        </w:rPr>
        <w:t> </w:t>
      </w:r>
      <w:r>
        <w:rPr/>
        <w:t>is</w:t>
      </w:r>
      <w:r>
        <w:rPr>
          <w:spacing w:val="-3"/>
        </w:rPr>
        <w:t> </w:t>
      </w:r>
      <w:r>
        <w:rPr/>
        <w:t>no</w:t>
      </w:r>
      <w:r>
        <w:rPr>
          <w:spacing w:val="-2"/>
        </w:rPr>
        <w:t> </w:t>
      </w:r>
      <w:r>
        <w:rPr/>
        <w:t>longer</w:t>
      </w:r>
      <w:r>
        <w:rPr>
          <w:spacing w:val="-3"/>
        </w:rPr>
        <w:t> </w:t>
      </w:r>
      <w:r>
        <w:rPr/>
        <w:t>a</w:t>
      </w:r>
      <w:r>
        <w:rPr>
          <w:spacing w:val="-2"/>
        </w:rPr>
        <w:t> </w:t>
      </w:r>
      <w:r>
        <w:rPr/>
        <w:t>terminal</w:t>
      </w:r>
      <w:r>
        <w:rPr>
          <w:spacing w:val="-5"/>
        </w:rPr>
        <w:t> </w:t>
      </w:r>
      <w:r>
        <w:rPr/>
        <w:t>design</w:t>
      </w:r>
      <w:r>
        <w:rPr>
          <w:spacing w:val="-4"/>
        </w:rPr>
        <w:t> </w:t>
      </w:r>
      <w:r>
        <w:rPr/>
        <w:t>project,</w:t>
      </w:r>
      <w:r>
        <w:rPr>
          <w:spacing w:val="-4"/>
        </w:rPr>
        <w:t> </w:t>
      </w:r>
      <w:r>
        <w:rPr/>
        <w:t>but</w:t>
      </w:r>
      <w:r>
        <w:rPr>
          <w:spacing w:val="-4"/>
        </w:rPr>
        <w:t> </w:t>
      </w:r>
      <w:r>
        <w:rPr/>
        <w:t>rather</w:t>
      </w:r>
      <w:r>
        <w:rPr>
          <w:spacing w:val="-1"/>
        </w:rPr>
        <w:t> </w:t>
      </w:r>
      <w:r>
        <w:rPr/>
        <w:t>a design thesis, as students undertake critical and theoretical investigations of environmental design issues. Related to issues of architectural content and intention is the question of cultural, social and environmental exposure and investigation.</w:t>
      </w:r>
      <w:r>
        <w:rPr>
          <w:spacing w:val="40"/>
        </w:rPr>
        <w:t> </w:t>
      </w:r>
      <w:r>
        <w:rPr/>
        <w:t>The faculty has attempted to generate as much</w:t>
      </w:r>
      <w:r>
        <w:rPr>
          <w:spacing w:val="-2"/>
        </w:rPr>
        <w:t> </w:t>
      </w:r>
      <w:r>
        <w:rPr/>
        <w:t>and</w:t>
      </w:r>
      <w:r>
        <w:rPr>
          <w:spacing w:val="-2"/>
        </w:rPr>
        <w:t> </w:t>
      </w:r>
      <w:r>
        <w:rPr/>
        <w:t>as broad an exposure</w:t>
      </w:r>
      <w:r>
        <w:rPr>
          <w:spacing w:val="-2"/>
        </w:rPr>
        <w:t> </w:t>
      </w:r>
      <w:r>
        <w:rPr/>
        <w:t>and</w:t>
      </w:r>
      <w:r>
        <w:rPr>
          <w:spacing w:val="-2"/>
        </w:rPr>
        <w:t> </w:t>
      </w:r>
      <w:r>
        <w:rPr/>
        <w:t>inquiry</w:t>
      </w:r>
      <w:r>
        <w:rPr>
          <w:spacing w:val="-3"/>
        </w:rPr>
        <w:t> </w:t>
      </w:r>
      <w:r>
        <w:rPr/>
        <w:t>as</w:t>
      </w:r>
      <w:r>
        <w:rPr>
          <w:spacing w:val="-1"/>
        </w:rPr>
        <w:t> </w:t>
      </w:r>
      <w:r>
        <w:rPr/>
        <w:t>possible within what is</w:t>
      </w:r>
      <w:r>
        <w:rPr>
          <w:spacing w:val="-1"/>
        </w:rPr>
        <w:t> </w:t>
      </w:r>
      <w:r>
        <w:rPr/>
        <w:t>a</w:t>
      </w:r>
      <w:r>
        <w:rPr>
          <w:spacing w:val="-2"/>
        </w:rPr>
        <w:t> </w:t>
      </w:r>
      <w:r>
        <w:rPr/>
        <w:t>relatively</w:t>
      </w:r>
      <w:r>
        <w:rPr>
          <w:spacing w:val="-3"/>
        </w:rPr>
        <w:t> </w:t>
      </w:r>
      <w:r>
        <w:rPr/>
        <w:t>small</w:t>
      </w:r>
      <w:r>
        <w:rPr>
          <w:spacing w:val="-3"/>
        </w:rPr>
        <w:t> </w:t>
      </w:r>
      <w:r>
        <w:rPr/>
        <w:t>program.</w:t>
      </w:r>
    </w:p>
    <w:p>
      <w:pPr>
        <w:pStyle w:val="BodyText"/>
        <w:spacing w:before="10"/>
      </w:pPr>
    </w:p>
    <w:p>
      <w:pPr>
        <w:pStyle w:val="BodyText"/>
        <w:spacing w:before="1"/>
        <w:ind w:left="1219" w:right="705"/>
      </w:pPr>
      <w:r>
        <w:rPr/>
        <w:t>Professionally,</w:t>
      </w:r>
      <w:r>
        <w:rPr>
          <w:spacing w:val="-5"/>
        </w:rPr>
        <w:t> </w:t>
      </w:r>
      <w:r>
        <w:rPr/>
        <w:t>the</w:t>
      </w:r>
      <w:r>
        <w:rPr>
          <w:spacing w:val="-5"/>
        </w:rPr>
        <w:t> </w:t>
      </w:r>
      <w:r>
        <w:rPr/>
        <w:t>Department</w:t>
      </w:r>
      <w:r>
        <w:rPr>
          <w:spacing w:val="-5"/>
        </w:rPr>
        <w:t> </w:t>
      </w:r>
      <w:r>
        <w:rPr/>
        <w:t>is</w:t>
      </w:r>
      <w:r>
        <w:rPr>
          <w:spacing w:val="-4"/>
        </w:rPr>
        <w:t> </w:t>
      </w:r>
      <w:r>
        <w:rPr/>
        <w:t>working</w:t>
      </w:r>
      <w:r>
        <w:rPr>
          <w:spacing w:val="-5"/>
        </w:rPr>
        <w:t> </w:t>
      </w:r>
      <w:r>
        <w:rPr/>
        <w:t>diligently</w:t>
      </w:r>
      <w:r>
        <w:rPr>
          <w:spacing w:val="-6"/>
        </w:rPr>
        <w:t> </w:t>
      </w:r>
      <w:r>
        <w:rPr/>
        <w:t>to</w:t>
      </w:r>
      <w:r>
        <w:rPr>
          <w:spacing w:val="-3"/>
        </w:rPr>
        <w:t> </w:t>
      </w:r>
      <w:r>
        <w:rPr/>
        <w:t>foster</w:t>
      </w:r>
      <w:r>
        <w:rPr>
          <w:spacing w:val="-4"/>
        </w:rPr>
        <w:t> </w:t>
      </w:r>
      <w:r>
        <w:rPr/>
        <w:t>post-graduate</w:t>
      </w:r>
      <w:r>
        <w:rPr>
          <w:spacing w:val="-3"/>
        </w:rPr>
        <w:t> </w:t>
      </w:r>
      <w:r>
        <w:rPr/>
        <w:t>opportunities</w:t>
      </w:r>
      <w:r>
        <w:rPr>
          <w:spacing w:val="-4"/>
        </w:rPr>
        <w:t> </w:t>
      </w:r>
      <w:r>
        <w:rPr/>
        <w:t>for</w:t>
      </w:r>
      <w:r>
        <w:rPr>
          <w:spacing w:val="-4"/>
        </w:rPr>
        <w:t> </w:t>
      </w:r>
      <w:r>
        <w:rPr/>
        <w:t>our students. The Department continues to investigate opportunities with the University</w:t>
      </w:r>
      <w:r>
        <w:rPr>
          <w:spacing w:val="-1"/>
        </w:rPr>
        <w:t> </w:t>
      </w:r>
      <w:r>
        <w:rPr/>
        <w:t>of Virginia, Virginia Tech and Georgia Tech. It has had a long time relationship with Cornell University graduate Landscape Architecture Program. In the last few years our graduates have also continued studies at Columbia University, Harvard University, the University of Texas: Austin, University of Southern California, and the University of Virginia.</w:t>
      </w:r>
    </w:p>
    <w:p>
      <w:pPr>
        <w:pStyle w:val="BodyText"/>
        <w:spacing w:before="10"/>
      </w:pPr>
    </w:p>
    <w:p>
      <w:pPr>
        <w:pStyle w:val="BodyText"/>
        <w:ind w:left="1219" w:right="499"/>
      </w:pPr>
      <w:r>
        <w:rPr/>
        <w:t>Our upper level students have an excellent record of winning or placing in the annual Disney ImagiNations</w:t>
      </w:r>
      <w:r>
        <w:rPr>
          <w:spacing w:val="-5"/>
        </w:rPr>
        <w:t> </w:t>
      </w:r>
      <w:r>
        <w:rPr/>
        <w:t>Competition,</w:t>
      </w:r>
      <w:r>
        <w:rPr>
          <w:spacing w:val="-1"/>
        </w:rPr>
        <w:t> </w:t>
      </w:r>
      <w:r>
        <w:rPr/>
        <w:t>and</w:t>
      </w:r>
      <w:r>
        <w:rPr>
          <w:spacing w:val="-4"/>
        </w:rPr>
        <w:t> </w:t>
      </w:r>
      <w:r>
        <w:rPr/>
        <w:t>of</w:t>
      </w:r>
      <w:r>
        <w:rPr>
          <w:spacing w:val="-4"/>
        </w:rPr>
        <w:t> </w:t>
      </w:r>
      <w:r>
        <w:rPr/>
        <w:t>receiving</w:t>
      </w:r>
      <w:r>
        <w:rPr>
          <w:spacing w:val="-4"/>
        </w:rPr>
        <w:t> </w:t>
      </w:r>
      <w:r>
        <w:rPr/>
        <w:t>design</w:t>
      </w:r>
      <w:r>
        <w:rPr>
          <w:spacing w:val="-4"/>
        </w:rPr>
        <w:t> </w:t>
      </w:r>
      <w:r>
        <w:rPr/>
        <w:t>internships</w:t>
      </w:r>
      <w:r>
        <w:rPr>
          <w:spacing w:val="-5"/>
        </w:rPr>
        <w:t> </w:t>
      </w:r>
      <w:r>
        <w:rPr/>
        <w:t>to</w:t>
      </w:r>
      <w:r>
        <w:rPr>
          <w:spacing w:val="-4"/>
        </w:rPr>
        <w:t> </w:t>
      </w:r>
      <w:r>
        <w:rPr/>
        <w:t>Imagineering,</w:t>
      </w:r>
      <w:r>
        <w:rPr>
          <w:spacing w:val="-1"/>
        </w:rPr>
        <w:t> </w:t>
      </w:r>
      <w:r>
        <w:rPr/>
        <w:t>where</w:t>
      </w:r>
      <w:r>
        <w:rPr>
          <w:spacing w:val="-6"/>
        </w:rPr>
        <w:t> </w:t>
      </w:r>
      <w:r>
        <w:rPr/>
        <w:t>two</w:t>
      </w:r>
      <w:r>
        <w:rPr>
          <w:spacing w:val="-4"/>
        </w:rPr>
        <w:t> </w:t>
      </w:r>
      <w:r>
        <w:rPr/>
        <w:t>of</w:t>
      </w:r>
      <w:r>
        <w:rPr>
          <w:spacing w:val="-4"/>
        </w:rPr>
        <w:t> </w:t>
      </w:r>
      <w:r>
        <w:rPr/>
        <w:t>our graduates are now employed. The Department is continuously exploring employment and internship opportunities, and is meeting with good response from the local and national professional community. Faculty members have served as board members and officers of the Hampton Roads American Institute of Architects Chapter, as well as serving on the Board of Virginia Society of the AIA. Concurrent with these courses of study, there are additional requirements that are provided to expose the students to design and professional excellence.</w:t>
      </w:r>
    </w:p>
    <w:p>
      <w:pPr>
        <w:spacing w:after="0"/>
        <w:sectPr>
          <w:pgSz w:w="12240" w:h="15840"/>
          <w:pgMar w:header="0" w:footer="974" w:top="1360" w:bottom="1160" w:left="940" w:right="960"/>
        </w:sectPr>
      </w:pPr>
    </w:p>
    <w:p>
      <w:pPr>
        <w:pStyle w:val="Heading5"/>
        <w:numPr>
          <w:ilvl w:val="2"/>
          <w:numId w:val="10"/>
        </w:numPr>
        <w:tabs>
          <w:tab w:pos="1940" w:val="left" w:leader="none"/>
        </w:tabs>
        <w:spacing w:line="240" w:lineRule="auto" w:before="74" w:after="0"/>
        <w:ind w:left="1939" w:right="0" w:hanging="720"/>
        <w:jc w:val="left"/>
      </w:pPr>
      <w:bookmarkStart w:name="_TOC_250017" w:id="1"/>
      <w:r>
        <w:rPr/>
        <w:t>Learning</w:t>
      </w:r>
      <w:r>
        <w:rPr>
          <w:spacing w:val="-6"/>
        </w:rPr>
        <w:t> </w:t>
      </w:r>
      <w:r>
        <w:rPr/>
        <w:t>Culture</w:t>
      </w:r>
      <w:r>
        <w:rPr>
          <w:spacing w:val="-6"/>
        </w:rPr>
        <w:t> </w:t>
      </w:r>
      <w:r>
        <w:rPr/>
        <w:t>and</w:t>
      </w:r>
      <w:r>
        <w:rPr>
          <w:spacing w:val="-5"/>
        </w:rPr>
        <w:t> </w:t>
      </w:r>
      <w:r>
        <w:rPr/>
        <w:t>Social</w:t>
      </w:r>
      <w:r>
        <w:rPr>
          <w:spacing w:val="-5"/>
        </w:rPr>
        <w:t> </w:t>
      </w:r>
      <w:bookmarkEnd w:id="1"/>
      <w:r>
        <w:rPr>
          <w:spacing w:val="-2"/>
        </w:rPr>
        <w:t>Equity</w:t>
      </w:r>
    </w:p>
    <w:p>
      <w:pPr>
        <w:pStyle w:val="BodyText"/>
        <w:spacing w:before="6"/>
        <w:rPr>
          <w:b/>
          <w:sz w:val="31"/>
        </w:rPr>
      </w:pPr>
    </w:p>
    <w:p>
      <w:pPr>
        <w:pStyle w:val="BodyText"/>
        <w:ind w:left="2228" w:right="532"/>
      </w:pPr>
      <w:r>
        <w:rPr/>
        <w:t>The University has a variety of policies and procedures that address issues of social equity. They publish a Faculty Handbook and Student Handbook that are distributed to all faculty and students, respectively that describe the university policies that prohibit</w:t>
      </w:r>
      <w:r>
        <w:rPr>
          <w:spacing w:val="-4"/>
        </w:rPr>
        <w:t> </w:t>
      </w:r>
      <w:r>
        <w:rPr/>
        <w:t>discrimination</w:t>
      </w:r>
      <w:r>
        <w:rPr>
          <w:spacing w:val="-6"/>
        </w:rPr>
        <w:t> </w:t>
      </w:r>
      <w:r>
        <w:rPr/>
        <w:t>and</w:t>
      </w:r>
      <w:r>
        <w:rPr>
          <w:spacing w:val="-4"/>
        </w:rPr>
        <w:t> </w:t>
      </w:r>
      <w:r>
        <w:rPr/>
        <w:t>intolerance,</w:t>
      </w:r>
      <w:r>
        <w:rPr>
          <w:spacing w:val="-4"/>
        </w:rPr>
        <w:t> </w:t>
      </w:r>
      <w:r>
        <w:rPr/>
        <w:t>while</w:t>
      </w:r>
      <w:r>
        <w:rPr>
          <w:spacing w:val="-4"/>
        </w:rPr>
        <w:t> </w:t>
      </w:r>
      <w:r>
        <w:rPr/>
        <w:t>establishing</w:t>
      </w:r>
      <w:r>
        <w:rPr>
          <w:spacing w:val="-6"/>
        </w:rPr>
        <w:t> </w:t>
      </w:r>
      <w:r>
        <w:rPr/>
        <w:t>an</w:t>
      </w:r>
      <w:r>
        <w:rPr>
          <w:spacing w:val="-6"/>
        </w:rPr>
        <w:t> </w:t>
      </w:r>
      <w:r>
        <w:rPr/>
        <w:t>environment</w:t>
      </w:r>
      <w:r>
        <w:rPr>
          <w:spacing w:val="-6"/>
        </w:rPr>
        <w:t> </w:t>
      </w:r>
      <w:r>
        <w:rPr/>
        <w:t>of</w:t>
      </w:r>
      <w:r>
        <w:rPr>
          <w:spacing w:val="-4"/>
        </w:rPr>
        <w:t> </w:t>
      </w:r>
      <w:r>
        <w:rPr/>
        <w:t>inclusion.</w:t>
      </w:r>
    </w:p>
    <w:p>
      <w:pPr>
        <w:pStyle w:val="BodyText"/>
        <w:spacing w:before="9"/>
      </w:pPr>
    </w:p>
    <w:p>
      <w:pPr>
        <w:pStyle w:val="BodyText"/>
        <w:spacing w:before="1"/>
        <w:ind w:left="2228" w:right="499"/>
      </w:pPr>
      <w:r>
        <w:rPr/>
        <w:t>The</w:t>
      </w:r>
      <w:r>
        <w:rPr>
          <w:spacing w:val="-4"/>
        </w:rPr>
        <w:t> </w:t>
      </w:r>
      <w:r>
        <w:rPr/>
        <w:t>department</w:t>
      </w:r>
      <w:r>
        <w:rPr>
          <w:spacing w:val="-4"/>
        </w:rPr>
        <w:t> </w:t>
      </w:r>
      <w:r>
        <w:rPr/>
        <w:t>reinforces</w:t>
      </w:r>
      <w:r>
        <w:rPr>
          <w:spacing w:val="-1"/>
        </w:rPr>
        <w:t> </w:t>
      </w:r>
      <w:r>
        <w:rPr/>
        <w:t>those</w:t>
      </w:r>
      <w:r>
        <w:rPr>
          <w:spacing w:val="-4"/>
        </w:rPr>
        <w:t> </w:t>
      </w:r>
      <w:r>
        <w:rPr/>
        <w:t>policies</w:t>
      </w:r>
      <w:r>
        <w:rPr>
          <w:spacing w:val="-1"/>
        </w:rPr>
        <w:t> </w:t>
      </w:r>
      <w:r>
        <w:rPr/>
        <w:t>with</w:t>
      </w:r>
      <w:r>
        <w:rPr>
          <w:spacing w:val="-4"/>
        </w:rPr>
        <w:t> </w:t>
      </w:r>
      <w:r>
        <w:rPr/>
        <w:t>students,</w:t>
      </w:r>
      <w:r>
        <w:rPr>
          <w:spacing w:val="-4"/>
        </w:rPr>
        <w:t> </w:t>
      </w:r>
      <w:r>
        <w:rPr/>
        <w:t>faculty</w:t>
      </w:r>
      <w:r>
        <w:rPr>
          <w:spacing w:val="-5"/>
        </w:rPr>
        <w:t> </w:t>
      </w:r>
      <w:r>
        <w:rPr/>
        <w:t>and</w:t>
      </w:r>
      <w:r>
        <w:rPr>
          <w:spacing w:val="-2"/>
        </w:rPr>
        <w:t> </w:t>
      </w:r>
      <w:r>
        <w:rPr/>
        <w:t>staff.</w:t>
      </w:r>
      <w:r>
        <w:rPr>
          <w:spacing w:val="-6"/>
        </w:rPr>
        <w:t> </w:t>
      </w:r>
      <w:r>
        <w:rPr/>
        <w:t>The</w:t>
      </w:r>
      <w:r>
        <w:rPr>
          <w:spacing w:val="-4"/>
        </w:rPr>
        <w:t> </w:t>
      </w:r>
      <w:r>
        <w:rPr/>
        <w:t>primary vehicle for disseminating this information is the Studio Culture Handbook. This document is the topic of one Friday Lecture.</w:t>
      </w:r>
    </w:p>
    <w:p>
      <w:pPr>
        <w:pStyle w:val="BodyText"/>
        <w:spacing w:before="11"/>
      </w:pPr>
    </w:p>
    <w:p>
      <w:pPr>
        <w:pStyle w:val="ListParagraph"/>
        <w:numPr>
          <w:ilvl w:val="3"/>
          <w:numId w:val="10"/>
        </w:numPr>
        <w:tabs>
          <w:tab w:pos="2300" w:val="left" w:leader="none"/>
        </w:tabs>
        <w:spacing w:line="240" w:lineRule="auto" w:before="0" w:after="0"/>
        <w:ind w:left="2299" w:right="0" w:hanging="720"/>
        <w:jc w:val="left"/>
        <w:rPr>
          <w:sz w:val="20"/>
        </w:rPr>
      </w:pPr>
      <w:r>
        <w:rPr>
          <w:sz w:val="20"/>
        </w:rPr>
        <w:t>Learning</w:t>
      </w:r>
      <w:r>
        <w:rPr>
          <w:spacing w:val="-11"/>
          <w:sz w:val="20"/>
        </w:rPr>
        <w:t> </w:t>
      </w:r>
      <w:r>
        <w:rPr>
          <w:spacing w:val="-2"/>
          <w:sz w:val="20"/>
        </w:rPr>
        <w:t>Culture:</w:t>
      </w:r>
    </w:p>
    <w:p>
      <w:pPr>
        <w:pStyle w:val="BodyText"/>
        <w:spacing w:before="10"/>
      </w:pPr>
    </w:p>
    <w:p>
      <w:pPr>
        <w:pStyle w:val="BodyText"/>
        <w:ind w:left="2228" w:right="580"/>
      </w:pPr>
      <w:r>
        <w:rPr/>
        <w:t>The initial Studio Culture Handbook was crafted by a committee of faculty and students in 2007.</w:t>
      </w:r>
      <w:r>
        <w:rPr>
          <w:spacing w:val="-1"/>
        </w:rPr>
        <w:t> </w:t>
      </w:r>
      <w:r>
        <w:rPr/>
        <w:t>In 2009,</w:t>
      </w:r>
      <w:r>
        <w:rPr>
          <w:spacing w:val="-2"/>
        </w:rPr>
        <w:t> </w:t>
      </w:r>
      <w:r>
        <w:rPr/>
        <w:t>the</w:t>
      </w:r>
      <w:r>
        <w:rPr>
          <w:spacing w:val="-2"/>
        </w:rPr>
        <w:t> </w:t>
      </w:r>
      <w:r>
        <w:rPr/>
        <w:t>faculty</w:t>
      </w:r>
      <w:r>
        <w:rPr>
          <w:spacing w:val="-5"/>
        </w:rPr>
        <w:t> </w:t>
      </w:r>
      <w:r>
        <w:rPr/>
        <w:t>committee</w:t>
      </w:r>
      <w:r>
        <w:rPr>
          <w:spacing w:val="-2"/>
        </w:rPr>
        <w:t> </w:t>
      </w:r>
      <w:r>
        <w:rPr/>
        <w:t>completed the initial</w:t>
      </w:r>
      <w:r>
        <w:rPr>
          <w:spacing w:val="-1"/>
        </w:rPr>
        <w:t> </w:t>
      </w:r>
      <w:r>
        <w:rPr/>
        <w:t>Studio</w:t>
      </w:r>
      <w:r>
        <w:rPr>
          <w:spacing w:val="-2"/>
        </w:rPr>
        <w:t> </w:t>
      </w:r>
      <w:r>
        <w:rPr/>
        <w:t>Culture Handbook. This document is considered an appendix to the University’s student handbook, with specific requirements as pertains to architecture students. After its review</w:t>
      </w:r>
      <w:r>
        <w:rPr>
          <w:spacing w:val="-6"/>
        </w:rPr>
        <w:t> </w:t>
      </w:r>
      <w:r>
        <w:rPr/>
        <w:t>and</w:t>
      </w:r>
      <w:r>
        <w:rPr>
          <w:spacing w:val="-2"/>
        </w:rPr>
        <w:t> </w:t>
      </w:r>
      <w:r>
        <w:rPr/>
        <w:t>adoption</w:t>
      </w:r>
      <w:r>
        <w:rPr>
          <w:spacing w:val="-4"/>
        </w:rPr>
        <w:t> </w:t>
      </w:r>
      <w:r>
        <w:rPr/>
        <w:t>by</w:t>
      </w:r>
      <w:r>
        <w:rPr>
          <w:spacing w:val="-7"/>
        </w:rPr>
        <w:t> </w:t>
      </w:r>
      <w:r>
        <w:rPr/>
        <w:t>the</w:t>
      </w:r>
      <w:r>
        <w:rPr>
          <w:spacing w:val="-2"/>
        </w:rPr>
        <w:t> </w:t>
      </w:r>
      <w:r>
        <w:rPr/>
        <w:t>HUDA</w:t>
      </w:r>
      <w:r>
        <w:rPr>
          <w:spacing w:val="-5"/>
        </w:rPr>
        <w:t> </w:t>
      </w:r>
      <w:r>
        <w:rPr/>
        <w:t>faculty</w:t>
      </w:r>
      <w:r>
        <w:rPr>
          <w:spacing w:val="-5"/>
        </w:rPr>
        <w:t> </w:t>
      </w:r>
      <w:r>
        <w:rPr/>
        <w:t>and</w:t>
      </w:r>
      <w:r>
        <w:rPr>
          <w:spacing w:val="-2"/>
        </w:rPr>
        <w:t> </w:t>
      </w:r>
      <w:r>
        <w:rPr/>
        <w:t>students it</w:t>
      </w:r>
      <w:r>
        <w:rPr>
          <w:spacing w:val="-2"/>
        </w:rPr>
        <w:t> </w:t>
      </w:r>
      <w:r>
        <w:rPr/>
        <w:t>was</w:t>
      </w:r>
      <w:r>
        <w:rPr>
          <w:spacing w:val="-3"/>
        </w:rPr>
        <w:t> </w:t>
      </w:r>
      <w:r>
        <w:rPr/>
        <w:t>submitted</w:t>
      </w:r>
      <w:r>
        <w:rPr>
          <w:spacing w:val="-4"/>
        </w:rPr>
        <w:t> </w:t>
      </w:r>
      <w:r>
        <w:rPr/>
        <w:t>to</w:t>
      </w:r>
      <w:r>
        <w:rPr>
          <w:spacing w:val="-2"/>
        </w:rPr>
        <w:t> </w:t>
      </w:r>
      <w:r>
        <w:rPr/>
        <w:t>the</w:t>
      </w:r>
      <w:r>
        <w:rPr>
          <w:spacing w:val="-2"/>
        </w:rPr>
        <w:t> </w:t>
      </w:r>
      <w:r>
        <w:rPr/>
        <w:t>Dean for review. It is now a formal requirement of the program and is distributed to all students electronically, through Blackboard.</w:t>
      </w:r>
    </w:p>
    <w:p>
      <w:pPr>
        <w:pStyle w:val="BodyText"/>
        <w:spacing w:before="9"/>
      </w:pPr>
    </w:p>
    <w:p>
      <w:pPr>
        <w:pStyle w:val="BodyText"/>
        <w:ind w:left="2228" w:right="499"/>
      </w:pPr>
      <w:r>
        <w:rPr>
          <w:b/>
        </w:rPr>
        <w:t>Attached,</w:t>
      </w:r>
      <w:r>
        <w:rPr>
          <w:b/>
          <w:spacing w:val="-5"/>
        </w:rPr>
        <w:t> </w:t>
      </w:r>
      <w:r>
        <w:rPr>
          <w:b/>
        </w:rPr>
        <w:t>in</w:t>
      </w:r>
      <w:r>
        <w:rPr>
          <w:b/>
          <w:spacing w:val="-4"/>
        </w:rPr>
        <w:t> </w:t>
      </w:r>
      <w:r>
        <w:rPr>
          <w:b/>
        </w:rPr>
        <w:t>the</w:t>
      </w:r>
      <w:r>
        <w:rPr>
          <w:b/>
          <w:spacing w:val="-3"/>
        </w:rPr>
        <w:t> </w:t>
      </w:r>
      <w:r>
        <w:rPr>
          <w:b/>
        </w:rPr>
        <w:t>appendix,</w:t>
      </w:r>
      <w:r>
        <w:rPr>
          <w:b/>
          <w:spacing w:val="-5"/>
        </w:rPr>
        <w:t> </w:t>
      </w:r>
      <w:r>
        <w:rPr>
          <w:b/>
        </w:rPr>
        <w:t>is</w:t>
      </w:r>
      <w:r>
        <w:rPr>
          <w:b/>
          <w:spacing w:val="-5"/>
        </w:rPr>
        <w:t> </w:t>
      </w:r>
      <w:r>
        <w:rPr>
          <w:b/>
        </w:rPr>
        <w:t>the</w:t>
      </w:r>
      <w:r>
        <w:rPr>
          <w:b/>
          <w:spacing w:val="-3"/>
        </w:rPr>
        <w:t> </w:t>
      </w:r>
      <w:r>
        <w:rPr>
          <w:b/>
        </w:rPr>
        <w:t>Studio</w:t>
      </w:r>
      <w:r>
        <w:rPr>
          <w:b/>
          <w:spacing w:val="-4"/>
        </w:rPr>
        <w:t> </w:t>
      </w:r>
      <w:r>
        <w:rPr>
          <w:b/>
        </w:rPr>
        <w:t>Culture</w:t>
      </w:r>
      <w:r>
        <w:rPr>
          <w:b/>
          <w:spacing w:val="-3"/>
        </w:rPr>
        <w:t> </w:t>
      </w:r>
      <w:r>
        <w:rPr>
          <w:b/>
        </w:rPr>
        <w:t>Handbook</w:t>
      </w:r>
      <w:r>
        <w:rPr>
          <w:b/>
          <w:spacing w:val="-5"/>
        </w:rPr>
        <w:t> </w:t>
      </w:r>
      <w:r>
        <w:rPr/>
        <w:t>that</w:t>
      </w:r>
      <w:r>
        <w:rPr>
          <w:spacing w:val="-3"/>
        </w:rPr>
        <w:t> </w:t>
      </w:r>
      <w:r>
        <w:rPr/>
        <w:t>is</w:t>
      </w:r>
      <w:r>
        <w:rPr>
          <w:spacing w:val="-4"/>
        </w:rPr>
        <w:t> </w:t>
      </w:r>
      <w:r>
        <w:rPr/>
        <w:t>made</w:t>
      </w:r>
      <w:r>
        <w:rPr>
          <w:spacing w:val="-5"/>
        </w:rPr>
        <w:t> </w:t>
      </w:r>
      <w:r>
        <w:rPr/>
        <w:t>available to all students when they enter the program.</w:t>
      </w:r>
      <w:r>
        <w:rPr>
          <w:spacing w:val="-1"/>
        </w:rPr>
        <w:t> </w:t>
      </w:r>
      <w:r>
        <w:rPr/>
        <w:t>This document is posted on Blackboard and each semester at one of the Friday lectures, faculty and student leaders review the content and discuss how they are applied and the implications.</w:t>
      </w:r>
    </w:p>
    <w:p>
      <w:pPr>
        <w:pStyle w:val="BodyText"/>
        <w:rPr>
          <w:sz w:val="21"/>
        </w:rPr>
      </w:pPr>
    </w:p>
    <w:p>
      <w:pPr>
        <w:pStyle w:val="ListParagraph"/>
        <w:numPr>
          <w:ilvl w:val="3"/>
          <w:numId w:val="10"/>
        </w:numPr>
        <w:tabs>
          <w:tab w:pos="2301" w:val="left" w:leader="none"/>
        </w:tabs>
        <w:spacing w:line="240" w:lineRule="auto" w:before="0" w:after="0"/>
        <w:ind w:left="2300" w:right="0" w:hanging="721"/>
        <w:jc w:val="left"/>
        <w:rPr>
          <w:sz w:val="20"/>
        </w:rPr>
      </w:pPr>
      <w:r>
        <w:rPr>
          <w:sz w:val="20"/>
        </w:rPr>
        <w:t>Social</w:t>
      </w:r>
      <w:r>
        <w:rPr>
          <w:spacing w:val="-7"/>
          <w:sz w:val="20"/>
        </w:rPr>
        <w:t> </w:t>
      </w:r>
      <w:r>
        <w:rPr>
          <w:spacing w:val="-2"/>
          <w:sz w:val="20"/>
        </w:rPr>
        <w:t>Equity:</w:t>
      </w:r>
    </w:p>
    <w:p>
      <w:pPr>
        <w:pStyle w:val="BodyText"/>
        <w:spacing w:before="10"/>
      </w:pPr>
    </w:p>
    <w:p>
      <w:pPr>
        <w:pStyle w:val="BodyText"/>
        <w:ind w:left="2228" w:right="705"/>
      </w:pPr>
      <w:r>
        <w:rPr/>
        <w:t>As</w:t>
      </w:r>
      <w:r>
        <w:rPr>
          <w:spacing w:val="-4"/>
        </w:rPr>
        <w:t> </w:t>
      </w:r>
      <w:r>
        <w:rPr/>
        <w:t>part</w:t>
      </w:r>
      <w:r>
        <w:rPr>
          <w:spacing w:val="-3"/>
        </w:rPr>
        <w:t> </w:t>
      </w:r>
      <w:r>
        <w:rPr/>
        <w:t>of</w:t>
      </w:r>
      <w:r>
        <w:rPr>
          <w:spacing w:val="-3"/>
        </w:rPr>
        <w:t> </w:t>
      </w:r>
      <w:r>
        <w:rPr/>
        <w:t>a</w:t>
      </w:r>
      <w:r>
        <w:rPr>
          <w:spacing w:val="-5"/>
        </w:rPr>
        <w:t> </w:t>
      </w:r>
      <w:r>
        <w:rPr/>
        <w:t>distinctive</w:t>
      </w:r>
      <w:r>
        <w:rPr>
          <w:spacing w:val="-3"/>
        </w:rPr>
        <w:t> </w:t>
      </w:r>
      <w:r>
        <w:rPr/>
        <w:t>HBCU,</w:t>
      </w:r>
      <w:r>
        <w:rPr>
          <w:spacing w:val="-5"/>
        </w:rPr>
        <w:t> </w:t>
      </w:r>
      <w:r>
        <w:rPr/>
        <w:t>the</w:t>
      </w:r>
      <w:r>
        <w:rPr>
          <w:spacing w:val="-3"/>
        </w:rPr>
        <w:t> </w:t>
      </w:r>
      <w:r>
        <w:rPr/>
        <w:t>Department</w:t>
      </w:r>
      <w:r>
        <w:rPr>
          <w:spacing w:val="-5"/>
        </w:rPr>
        <w:t> </w:t>
      </w:r>
      <w:r>
        <w:rPr/>
        <w:t>is</w:t>
      </w:r>
      <w:r>
        <w:rPr>
          <w:spacing w:val="-4"/>
        </w:rPr>
        <w:t> </w:t>
      </w:r>
      <w:r>
        <w:rPr/>
        <w:t>committed</w:t>
      </w:r>
      <w:r>
        <w:rPr>
          <w:spacing w:val="-5"/>
        </w:rPr>
        <w:t> </w:t>
      </w:r>
      <w:r>
        <w:rPr/>
        <w:t>to</w:t>
      </w:r>
      <w:r>
        <w:rPr>
          <w:spacing w:val="-3"/>
        </w:rPr>
        <w:t> </w:t>
      </w:r>
      <w:r>
        <w:rPr/>
        <w:t>inclusion</w:t>
      </w:r>
      <w:r>
        <w:rPr>
          <w:spacing w:val="-5"/>
        </w:rPr>
        <w:t> </w:t>
      </w:r>
      <w:r>
        <w:rPr/>
        <w:t>and</w:t>
      </w:r>
      <w:r>
        <w:rPr>
          <w:spacing w:val="-5"/>
        </w:rPr>
        <w:t> </w:t>
      </w:r>
      <w:r>
        <w:rPr/>
        <w:t>cultural awareness. Our student body is diverse ethnically, culturally, in gender and social status. We have students from five continents (North and South America, Africa, Europe and Asia). Those from the US hail from thirty states. Many of our students come from urban areas. 45% of our students are women.</w:t>
      </w:r>
    </w:p>
    <w:p>
      <w:pPr>
        <w:pStyle w:val="BodyText"/>
        <w:spacing w:before="10"/>
      </w:pPr>
    </w:p>
    <w:p>
      <w:pPr>
        <w:pStyle w:val="BodyText"/>
        <w:ind w:left="2228" w:right="580"/>
      </w:pPr>
      <w:r>
        <w:rPr/>
        <w:t>However,</w:t>
      </w:r>
      <w:r>
        <w:rPr>
          <w:spacing w:val="-3"/>
        </w:rPr>
        <w:t> </w:t>
      </w:r>
      <w:r>
        <w:rPr/>
        <w:t>what</w:t>
      </w:r>
      <w:r>
        <w:rPr>
          <w:spacing w:val="-3"/>
        </w:rPr>
        <w:t> </w:t>
      </w:r>
      <w:r>
        <w:rPr/>
        <w:t>is</w:t>
      </w:r>
      <w:r>
        <w:rPr>
          <w:spacing w:val="-3"/>
        </w:rPr>
        <w:t> </w:t>
      </w:r>
      <w:r>
        <w:rPr/>
        <w:t>most</w:t>
      </w:r>
      <w:r>
        <w:rPr>
          <w:spacing w:val="-4"/>
        </w:rPr>
        <w:t> </w:t>
      </w:r>
      <w:r>
        <w:rPr/>
        <w:t>important</w:t>
      </w:r>
      <w:r>
        <w:rPr>
          <w:spacing w:val="-3"/>
        </w:rPr>
        <w:t> </w:t>
      </w:r>
      <w:r>
        <w:rPr/>
        <w:t>is</w:t>
      </w:r>
      <w:r>
        <w:rPr>
          <w:spacing w:val="-3"/>
        </w:rPr>
        <w:t> </w:t>
      </w:r>
      <w:r>
        <w:rPr/>
        <w:t>not where</w:t>
      </w:r>
      <w:r>
        <w:rPr>
          <w:spacing w:val="-4"/>
        </w:rPr>
        <w:t> </w:t>
      </w:r>
      <w:r>
        <w:rPr/>
        <w:t>our</w:t>
      </w:r>
      <w:r>
        <w:rPr>
          <w:spacing w:val="-3"/>
        </w:rPr>
        <w:t> </w:t>
      </w:r>
      <w:r>
        <w:rPr/>
        <w:t>students</w:t>
      </w:r>
      <w:r>
        <w:rPr>
          <w:spacing w:val="-3"/>
        </w:rPr>
        <w:t> </w:t>
      </w:r>
      <w:r>
        <w:rPr/>
        <w:t>come</w:t>
      </w:r>
      <w:r>
        <w:rPr>
          <w:spacing w:val="-4"/>
        </w:rPr>
        <w:t> </w:t>
      </w:r>
      <w:r>
        <w:rPr/>
        <w:t>from,</w:t>
      </w:r>
      <w:r>
        <w:rPr>
          <w:spacing w:val="-4"/>
        </w:rPr>
        <w:t> </w:t>
      </w:r>
      <w:r>
        <w:rPr/>
        <w:t>but</w:t>
      </w:r>
      <w:r>
        <w:rPr>
          <w:spacing w:val="-3"/>
        </w:rPr>
        <w:t> </w:t>
      </w:r>
      <w:r>
        <w:rPr/>
        <w:t>what</w:t>
      </w:r>
      <w:r>
        <w:rPr>
          <w:spacing w:val="-4"/>
        </w:rPr>
        <w:t> </w:t>
      </w:r>
      <w:r>
        <w:rPr/>
        <w:t>level of cultural and social enrichment they receive once in the .program. A major component of our</w:t>
      </w:r>
      <w:r>
        <w:rPr>
          <w:spacing w:val="-1"/>
        </w:rPr>
        <w:t> </w:t>
      </w:r>
      <w:r>
        <w:rPr/>
        <w:t>5-½ program is</w:t>
      </w:r>
      <w:r>
        <w:rPr>
          <w:spacing w:val="-1"/>
        </w:rPr>
        <w:t> </w:t>
      </w:r>
      <w:r>
        <w:rPr/>
        <w:t>a</w:t>
      </w:r>
      <w:r>
        <w:rPr>
          <w:spacing w:val="-2"/>
        </w:rPr>
        <w:t> </w:t>
      </w:r>
      <w:r>
        <w:rPr/>
        <w:t>summer</w:t>
      </w:r>
      <w:r>
        <w:rPr>
          <w:spacing w:val="-1"/>
        </w:rPr>
        <w:t> </w:t>
      </w:r>
      <w:r>
        <w:rPr/>
        <w:t>international</w:t>
      </w:r>
      <w:r>
        <w:rPr>
          <w:spacing w:val="-1"/>
        </w:rPr>
        <w:t> </w:t>
      </w:r>
      <w:r>
        <w:rPr/>
        <w:t>urban</w:t>
      </w:r>
      <w:r>
        <w:rPr>
          <w:spacing w:val="-2"/>
        </w:rPr>
        <w:t> </w:t>
      </w:r>
      <w:r>
        <w:rPr/>
        <w:t>design</w:t>
      </w:r>
      <w:r>
        <w:rPr>
          <w:spacing w:val="-2"/>
        </w:rPr>
        <w:t> </w:t>
      </w:r>
      <w:r>
        <w:rPr/>
        <w:t>study.</w:t>
      </w:r>
      <w:r>
        <w:rPr>
          <w:spacing w:val="-2"/>
        </w:rPr>
        <w:t> </w:t>
      </w:r>
      <w:r>
        <w:rPr/>
        <w:t>During this course, students travel internationally (during the past five years those travels have been to Italy</w:t>
      </w:r>
      <w:r>
        <w:rPr>
          <w:spacing w:val="-1"/>
        </w:rPr>
        <w:t> </w:t>
      </w:r>
      <w:r>
        <w:rPr/>
        <w:t>or France) where they</w:t>
      </w:r>
      <w:r>
        <w:rPr>
          <w:spacing w:val="-1"/>
        </w:rPr>
        <w:t> </w:t>
      </w:r>
      <w:r>
        <w:rPr/>
        <w:t>experience the art, architecture and culture of historic places.</w:t>
      </w:r>
    </w:p>
    <w:p>
      <w:pPr>
        <w:pStyle w:val="BodyText"/>
        <w:spacing w:before="11"/>
      </w:pPr>
    </w:p>
    <w:p>
      <w:pPr>
        <w:pStyle w:val="BodyText"/>
        <w:ind w:left="2228"/>
      </w:pPr>
      <w:r>
        <w:rPr/>
        <w:t>Additionally, our faculty is very</w:t>
      </w:r>
      <w:r>
        <w:rPr>
          <w:spacing w:val="-1"/>
        </w:rPr>
        <w:t> </w:t>
      </w:r>
      <w:r>
        <w:rPr/>
        <w:t>diverse, including 50% gender split; racial and ethnic diversity</w:t>
      </w:r>
      <w:r>
        <w:rPr>
          <w:spacing w:val="-8"/>
        </w:rPr>
        <w:t> </w:t>
      </w:r>
      <w:r>
        <w:rPr/>
        <w:t>including</w:t>
      </w:r>
      <w:r>
        <w:rPr>
          <w:spacing w:val="-5"/>
        </w:rPr>
        <w:t> </w:t>
      </w:r>
      <w:r>
        <w:rPr/>
        <w:t>one</w:t>
      </w:r>
      <w:r>
        <w:rPr>
          <w:spacing w:val="-5"/>
        </w:rPr>
        <w:t> </w:t>
      </w:r>
      <w:r>
        <w:rPr/>
        <w:t>Latina,</w:t>
      </w:r>
      <w:r>
        <w:rPr>
          <w:spacing w:val="-5"/>
        </w:rPr>
        <w:t> </w:t>
      </w:r>
      <w:r>
        <w:rPr/>
        <w:t>four</w:t>
      </w:r>
      <w:r>
        <w:rPr>
          <w:spacing w:val="-4"/>
        </w:rPr>
        <w:t> </w:t>
      </w:r>
      <w:r>
        <w:rPr/>
        <w:t>African</w:t>
      </w:r>
      <w:r>
        <w:rPr>
          <w:spacing w:val="-3"/>
        </w:rPr>
        <w:t> </w:t>
      </w:r>
      <w:r>
        <w:rPr/>
        <w:t>American</w:t>
      </w:r>
      <w:r>
        <w:rPr>
          <w:spacing w:val="-5"/>
        </w:rPr>
        <w:t> </w:t>
      </w:r>
      <w:r>
        <w:rPr/>
        <w:t>and</w:t>
      </w:r>
      <w:r>
        <w:rPr>
          <w:spacing w:val="-5"/>
        </w:rPr>
        <w:t> </w:t>
      </w:r>
      <w:r>
        <w:rPr/>
        <w:t>three</w:t>
      </w:r>
      <w:r>
        <w:rPr>
          <w:spacing w:val="-3"/>
        </w:rPr>
        <w:t> </w:t>
      </w:r>
      <w:r>
        <w:rPr/>
        <w:t>European</w:t>
      </w:r>
      <w:r>
        <w:rPr>
          <w:spacing w:val="-3"/>
        </w:rPr>
        <w:t> </w:t>
      </w:r>
      <w:r>
        <w:rPr/>
        <w:t>Americans.</w:t>
      </w:r>
    </w:p>
    <w:p>
      <w:pPr>
        <w:pStyle w:val="BodyText"/>
        <w:spacing w:before="8"/>
      </w:pPr>
    </w:p>
    <w:p>
      <w:pPr>
        <w:pStyle w:val="BodyText"/>
        <w:ind w:left="1220" w:right="705"/>
      </w:pPr>
      <w:r>
        <w:rPr/>
        <w:t>When</w:t>
      </w:r>
      <w:r>
        <w:rPr>
          <w:spacing w:val="-4"/>
        </w:rPr>
        <w:t> </w:t>
      </w:r>
      <w:r>
        <w:rPr/>
        <w:t>issues</w:t>
      </w:r>
      <w:r>
        <w:rPr>
          <w:spacing w:val="-3"/>
        </w:rPr>
        <w:t> </w:t>
      </w:r>
      <w:r>
        <w:rPr/>
        <w:t>arise</w:t>
      </w:r>
      <w:r>
        <w:rPr>
          <w:spacing w:val="-4"/>
        </w:rPr>
        <w:t> </w:t>
      </w:r>
      <w:r>
        <w:rPr/>
        <w:t>that</w:t>
      </w:r>
      <w:r>
        <w:rPr>
          <w:spacing w:val="-4"/>
        </w:rPr>
        <w:t> </w:t>
      </w:r>
      <w:r>
        <w:rPr/>
        <w:t>suggest</w:t>
      </w:r>
      <w:r>
        <w:rPr>
          <w:spacing w:val="-4"/>
        </w:rPr>
        <w:t> </w:t>
      </w:r>
      <w:r>
        <w:rPr/>
        <w:t>that</w:t>
      </w:r>
      <w:r>
        <w:rPr>
          <w:spacing w:val="-4"/>
        </w:rPr>
        <w:t> </w:t>
      </w:r>
      <w:r>
        <w:rPr/>
        <w:t>additional</w:t>
      </w:r>
      <w:r>
        <w:rPr>
          <w:spacing w:val="-5"/>
        </w:rPr>
        <w:t> </w:t>
      </w:r>
      <w:r>
        <w:rPr/>
        <w:t>reinforcement</w:t>
      </w:r>
      <w:r>
        <w:rPr>
          <w:spacing w:val="-4"/>
        </w:rPr>
        <w:t> </w:t>
      </w:r>
      <w:r>
        <w:rPr/>
        <w:t>is</w:t>
      </w:r>
      <w:r>
        <w:rPr>
          <w:spacing w:val="-3"/>
        </w:rPr>
        <w:t> </w:t>
      </w:r>
      <w:r>
        <w:rPr/>
        <w:t>needed,</w:t>
      </w:r>
      <w:r>
        <w:rPr>
          <w:spacing w:val="-2"/>
        </w:rPr>
        <w:t> </w:t>
      </w:r>
      <w:r>
        <w:rPr/>
        <w:t>students or</w:t>
      </w:r>
      <w:r>
        <w:rPr>
          <w:spacing w:val="-3"/>
        </w:rPr>
        <w:t> </w:t>
      </w:r>
      <w:r>
        <w:rPr/>
        <w:t>faculty</w:t>
      </w:r>
      <w:r>
        <w:rPr>
          <w:spacing w:val="-5"/>
        </w:rPr>
        <w:t> </w:t>
      </w:r>
      <w:r>
        <w:rPr/>
        <w:t>will make recommendations to the Faculty and receive action from the Chair. Procedures for addressing the effectiveness of policies within the department are regularly discussed.</w:t>
      </w:r>
    </w:p>
    <w:p>
      <w:pPr>
        <w:pStyle w:val="BodyText"/>
        <w:rPr>
          <w:sz w:val="21"/>
        </w:rPr>
      </w:pPr>
    </w:p>
    <w:p>
      <w:pPr>
        <w:pStyle w:val="BodyText"/>
        <w:ind w:left="1220" w:right="705"/>
      </w:pPr>
      <w:r>
        <w:rPr/>
        <w:t>The</w:t>
      </w:r>
      <w:r>
        <w:rPr>
          <w:spacing w:val="-4"/>
        </w:rPr>
        <w:t> </w:t>
      </w:r>
      <w:r>
        <w:rPr/>
        <w:t>University’s</w:t>
      </w:r>
      <w:r>
        <w:rPr>
          <w:spacing w:val="-3"/>
        </w:rPr>
        <w:t> </w:t>
      </w:r>
      <w:r>
        <w:rPr/>
        <w:t>hiring</w:t>
      </w:r>
      <w:r>
        <w:rPr>
          <w:spacing w:val="-4"/>
        </w:rPr>
        <w:t> </w:t>
      </w:r>
      <w:r>
        <w:rPr/>
        <w:t>policy</w:t>
      </w:r>
      <w:r>
        <w:rPr>
          <w:spacing w:val="-5"/>
        </w:rPr>
        <w:t> </w:t>
      </w:r>
      <w:r>
        <w:rPr/>
        <w:t>is implemented</w:t>
      </w:r>
      <w:r>
        <w:rPr>
          <w:spacing w:val="-4"/>
        </w:rPr>
        <w:t> </w:t>
      </w:r>
      <w:r>
        <w:rPr/>
        <w:t>at</w:t>
      </w:r>
      <w:r>
        <w:rPr>
          <w:spacing w:val="-4"/>
        </w:rPr>
        <w:t> </w:t>
      </w:r>
      <w:r>
        <w:rPr/>
        <w:t>the</w:t>
      </w:r>
      <w:r>
        <w:rPr>
          <w:spacing w:val="-4"/>
        </w:rPr>
        <w:t> </w:t>
      </w:r>
      <w:r>
        <w:rPr/>
        <w:t>Department</w:t>
      </w:r>
      <w:r>
        <w:rPr>
          <w:spacing w:val="-4"/>
        </w:rPr>
        <w:t> </w:t>
      </w:r>
      <w:r>
        <w:rPr/>
        <w:t>level</w:t>
      </w:r>
      <w:r>
        <w:rPr>
          <w:spacing w:val="-3"/>
        </w:rPr>
        <w:t> </w:t>
      </w:r>
      <w:r>
        <w:rPr/>
        <w:t>and</w:t>
      </w:r>
      <w:r>
        <w:rPr>
          <w:spacing w:val="-2"/>
        </w:rPr>
        <w:t> </w:t>
      </w:r>
      <w:r>
        <w:rPr/>
        <w:t>we</w:t>
      </w:r>
      <w:r>
        <w:rPr>
          <w:spacing w:val="-2"/>
        </w:rPr>
        <w:t> </w:t>
      </w:r>
      <w:r>
        <w:rPr/>
        <w:t>have</w:t>
      </w:r>
      <w:r>
        <w:rPr>
          <w:spacing w:val="-2"/>
        </w:rPr>
        <w:t> </w:t>
      </w:r>
      <w:r>
        <w:rPr/>
        <w:t>been</w:t>
      </w:r>
      <w:r>
        <w:rPr>
          <w:spacing w:val="-4"/>
        </w:rPr>
        <w:t> </w:t>
      </w:r>
      <w:r>
        <w:rPr/>
        <w:t>very successful insuring the diversity of our workplace.</w:t>
      </w:r>
    </w:p>
    <w:p>
      <w:pPr>
        <w:spacing w:after="0"/>
        <w:sectPr>
          <w:pgSz w:w="12240" w:h="15840"/>
          <w:pgMar w:header="0" w:footer="974" w:top="1360" w:bottom="1160" w:left="940" w:right="960"/>
        </w:sectPr>
      </w:pPr>
    </w:p>
    <w:p>
      <w:pPr>
        <w:pStyle w:val="Heading5"/>
        <w:numPr>
          <w:ilvl w:val="2"/>
          <w:numId w:val="10"/>
        </w:numPr>
        <w:tabs>
          <w:tab w:pos="1659" w:val="left" w:leader="none"/>
          <w:tab w:pos="1660" w:val="left" w:leader="none"/>
        </w:tabs>
        <w:spacing w:line="240" w:lineRule="auto" w:before="74" w:after="0"/>
        <w:ind w:left="1659" w:right="0" w:hanging="1089"/>
        <w:jc w:val="left"/>
      </w:pPr>
      <w:bookmarkStart w:name="_TOC_250016" w:id="2"/>
      <w:r>
        <w:rPr/>
        <w:t>Response</w:t>
      </w:r>
      <w:r>
        <w:rPr>
          <w:spacing w:val="-4"/>
        </w:rPr>
        <w:t> </w:t>
      </w:r>
      <w:r>
        <w:rPr/>
        <w:t>to</w:t>
      </w:r>
      <w:r>
        <w:rPr>
          <w:spacing w:val="-4"/>
        </w:rPr>
        <w:t> </w:t>
      </w:r>
      <w:r>
        <w:rPr/>
        <w:t>the</w:t>
      </w:r>
      <w:r>
        <w:rPr>
          <w:spacing w:val="-8"/>
        </w:rPr>
        <w:t> </w:t>
      </w:r>
      <w:r>
        <w:rPr/>
        <w:t>Five</w:t>
      </w:r>
      <w:r>
        <w:rPr>
          <w:spacing w:val="-3"/>
        </w:rPr>
        <w:t> </w:t>
      </w:r>
      <w:bookmarkEnd w:id="2"/>
      <w:r>
        <w:rPr>
          <w:spacing w:val="-2"/>
        </w:rPr>
        <w:t>Perspectives</w:t>
      </w:r>
    </w:p>
    <w:p>
      <w:pPr>
        <w:pStyle w:val="Heading5"/>
        <w:numPr>
          <w:ilvl w:val="3"/>
          <w:numId w:val="10"/>
        </w:numPr>
        <w:tabs>
          <w:tab w:pos="1581" w:val="left" w:leader="none"/>
        </w:tabs>
        <w:spacing w:line="240" w:lineRule="auto" w:before="242" w:after="0"/>
        <w:ind w:left="1580" w:right="0" w:hanging="1010"/>
        <w:jc w:val="left"/>
      </w:pPr>
      <w:bookmarkStart w:name="_TOC_250015" w:id="3"/>
      <w:r>
        <w:rPr/>
        <w:t>Architectural</w:t>
      </w:r>
      <w:r>
        <w:rPr>
          <w:spacing w:val="-9"/>
        </w:rPr>
        <w:t> </w:t>
      </w:r>
      <w:r>
        <w:rPr/>
        <w:t>Education</w:t>
      </w:r>
      <w:r>
        <w:rPr>
          <w:spacing w:val="-7"/>
        </w:rPr>
        <w:t> </w:t>
      </w:r>
      <w:r>
        <w:rPr/>
        <w:t>and</w:t>
      </w:r>
      <w:r>
        <w:rPr>
          <w:spacing w:val="-7"/>
        </w:rPr>
        <w:t> </w:t>
      </w:r>
      <w:r>
        <w:rPr/>
        <w:t>the</w:t>
      </w:r>
      <w:r>
        <w:rPr>
          <w:spacing w:val="-6"/>
        </w:rPr>
        <w:t> </w:t>
      </w:r>
      <w:r>
        <w:rPr/>
        <w:t>Academic</w:t>
      </w:r>
      <w:r>
        <w:rPr>
          <w:spacing w:val="-6"/>
        </w:rPr>
        <w:t> </w:t>
      </w:r>
      <w:bookmarkEnd w:id="3"/>
      <w:r>
        <w:rPr>
          <w:spacing w:val="-2"/>
        </w:rPr>
        <w:t>Community</w:t>
      </w:r>
    </w:p>
    <w:p>
      <w:pPr>
        <w:spacing w:before="238"/>
        <w:ind w:left="499" w:right="705" w:firstLine="0"/>
        <w:jc w:val="left"/>
        <w:rPr>
          <w:sz w:val="20"/>
        </w:rPr>
      </w:pPr>
      <w:r>
        <w:rPr>
          <w:i/>
          <w:sz w:val="20"/>
        </w:rPr>
        <w:t>The faculty, staff, and students in the accredited degree program make unique contributions to the institution</w:t>
      </w:r>
      <w:r>
        <w:rPr>
          <w:i/>
          <w:spacing w:val="-3"/>
          <w:sz w:val="20"/>
        </w:rPr>
        <w:t> </w:t>
      </w:r>
      <w:r>
        <w:rPr>
          <w:i/>
          <w:sz w:val="20"/>
        </w:rPr>
        <w:t>in</w:t>
      </w:r>
      <w:r>
        <w:rPr>
          <w:i/>
          <w:spacing w:val="-4"/>
          <w:sz w:val="20"/>
        </w:rPr>
        <w:t> </w:t>
      </w:r>
      <w:r>
        <w:rPr>
          <w:i/>
          <w:sz w:val="20"/>
        </w:rPr>
        <w:t>the</w:t>
      </w:r>
      <w:r>
        <w:rPr>
          <w:i/>
          <w:spacing w:val="-3"/>
          <w:sz w:val="20"/>
        </w:rPr>
        <w:t> </w:t>
      </w:r>
      <w:r>
        <w:rPr>
          <w:i/>
          <w:sz w:val="20"/>
        </w:rPr>
        <w:t>areas</w:t>
      </w:r>
      <w:r>
        <w:rPr>
          <w:i/>
          <w:spacing w:val="-4"/>
          <w:sz w:val="20"/>
        </w:rPr>
        <w:t> </w:t>
      </w:r>
      <w:r>
        <w:rPr>
          <w:i/>
          <w:sz w:val="20"/>
        </w:rPr>
        <w:t>of</w:t>
      </w:r>
      <w:r>
        <w:rPr>
          <w:i/>
          <w:spacing w:val="-3"/>
          <w:sz w:val="20"/>
        </w:rPr>
        <w:t> </w:t>
      </w:r>
      <w:r>
        <w:rPr>
          <w:i/>
          <w:sz w:val="20"/>
        </w:rPr>
        <w:t>scholarship,</w:t>
      </w:r>
      <w:r>
        <w:rPr>
          <w:i/>
          <w:spacing w:val="-3"/>
          <w:sz w:val="20"/>
        </w:rPr>
        <w:t> </w:t>
      </w:r>
      <w:r>
        <w:rPr>
          <w:i/>
          <w:sz w:val="20"/>
        </w:rPr>
        <w:t>community</w:t>
      </w:r>
      <w:r>
        <w:rPr>
          <w:i/>
          <w:spacing w:val="-4"/>
          <w:sz w:val="20"/>
        </w:rPr>
        <w:t> </w:t>
      </w:r>
      <w:r>
        <w:rPr>
          <w:i/>
          <w:sz w:val="20"/>
        </w:rPr>
        <w:t>engagement,</w:t>
      </w:r>
      <w:r>
        <w:rPr>
          <w:i/>
          <w:spacing w:val="-4"/>
          <w:sz w:val="20"/>
        </w:rPr>
        <w:t> </w:t>
      </w:r>
      <w:r>
        <w:rPr>
          <w:i/>
          <w:sz w:val="20"/>
        </w:rPr>
        <w:t>service,</w:t>
      </w:r>
      <w:r>
        <w:rPr>
          <w:i/>
          <w:spacing w:val="-3"/>
          <w:sz w:val="20"/>
        </w:rPr>
        <w:t> </w:t>
      </w:r>
      <w:r>
        <w:rPr>
          <w:i/>
          <w:sz w:val="20"/>
        </w:rPr>
        <w:t>and</w:t>
      </w:r>
      <w:r>
        <w:rPr>
          <w:i/>
          <w:spacing w:val="-4"/>
          <w:sz w:val="20"/>
        </w:rPr>
        <w:t> </w:t>
      </w:r>
      <w:r>
        <w:rPr>
          <w:i/>
          <w:sz w:val="20"/>
        </w:rPr>
        <w:t>teaching.</w:t>
      </w:r>
      <w:r>
        <w:rPr>
          <w:i/>
          <w:spacing w:val="-4"/>
          <w:sz w:val="20"/>
        </w:rPr>
        <w:t> </w:t>
      </w:r>
      <w:r>
        <w:rPr>
          <w:i/>
          <w:sz w:val="20"/>
        </w:rPr>
        <w:t>In</w:t>
      </w:r>
      <w:r>
        <w:rPr>
          <w:i/>
          <w:spacing w:val="-4"/>
          <w:sz w:val="20"/>
        </w:rPr>
        <w:t> </w:t>
      </w:r>
      <w:r>
        <w:rPr>
          <w:i/>
          <w:sz w:val="20"/>
        </w:rPr>
        <w:t>addition,</w:t>
      </w:r>
      <w:r>
        <w:rPr>
          <w:i/>
          <w:spacing w:val="-4"/>
          <w:sz w:val="20"/>
        </w:rPr>
        <w:t> </w:t>
      </w:r>
      <w:r>
        <w:rPr>
          <w:i/>
          <w:sz w:val="20"/>
        </w:rPr>
        <w:t>the program must describe its commitment to the holistic, practical and liberal arts-based education of architects and to providing opportunities for all members of the learning community to engage in the development of new knowledge</w:t>
      </w:r>
      <w:r>
        <w:rPr>
          <w:sz w:val="20"/>
        </w:rPr>
        <w:t>.</w:t>
      </w:r>
    </w:p>
    <w:p>
      <w:pPr>
        <w:pStyle w:val="BodyText"/>
        <w:rPr>
          <w:sz w:val="21"/>
        </w:rPr>
      </w:pPr>
    </w:p>
    <w:p>
      <w:pPr>
        <w:pStyle w:val="BodyText"/>
        <w:spacing w:before="1"/>
        <w:ind w:left="1219" w:right="499"/>
      </w:pPr>
      <w:r>
        <w:rPr/>
        <w:t>Our program is, by its nature and degree, practice based with a focus on design research. That research</w:t>
      </w:r>
      <w:r>
        <w:rPr>
          <w:spacing w:val="-4"/>
        </w:rPr>
        <w:t> </w:t>
      </w:r>
      <w:r>
        <w:rPr/>
        <w:t>is</w:t>
      </w:r>
      <w:r>
        <w:rPr>
          <w:spacing w:val="-3"/>
        </w:rPr>
        <w:t> </w:t>
      </w:r>
      <w:r>
        <w:rPr/>
        <w:t>demonstrated</w:t>
      </w:r>
      <w:r>
        <w:rPr>
          <w:spacing w:val="-2"/>
        </w:rPr>
        <w:t> </w:t>
      </w:r>
      <w:r>
        <w:rPr/>
        <w:t>in</w:t>
      </w:r>
      <w:r>
        <w:rPr>
          <w:spacing w:val="-4"/>
        </w:rPr>
        <w:t> </w:t>
      </w:r>
      <w:r>
        <w:rPr/>
        <w:t>practical</w:t>
      </w:r>
      <w:r>
        <w:rPr>
          <w:spacing w:val="-5"/>
        </w:rPr>
        <w:t> </w:t>
      </w:r>
      <w:r>
        <w:rPr/>
        <w:t>terms,</w:t>
      </w:r>
      <w:r>
        <w:rPr>
          <w:spacing w:val="-6"/>
        </w:rPr>
        <w:t> </w:t>
      </w:r>
      <w:r>
        <w:rPr/>
        <w:t>meaning</w:t>
      </w:r>
      <w:r>
        <w:rPr>
          <w:spacing w:val="-2"/>
        </w:rPr>
        <w:t> </w:t>
      </w:r>
      <w:r>
        <w:rPr/>
        <w:t>that</w:t>
      </w:r>
      <w:r>
        <w:rPr>
          <w:spacing w:val="-2"/>
        </w:rPr>
        <w:t> </w:t>
      </w:r>
      <w:r>
        <w:rPr/>
        <w:t>our</w:t>
      </w:r>
      <w:r>
        <w:rPr>
          <w:spacing w:val="-3"/>
        </w:rPr>
        <w:t> </w:t>
      </w:r>
      <w:r>
        <w:rPr/>
        <w:t>students</w:t>
      </w:r>
      <w:r>
        <w:rPr>
          <w:spacing w:val="-3"/>
        </w:rPr>
        <w:t> </w:t>
      </w:r>
      <w:r>
        <w:rPr/>
        <w:t>and</w:t>
      </w:r>
      <w:r>
        <w:rPr>
          <w:spacing w:val="-4"/>
        </w:rPr>
        <w:t> </w:t>
      </w:r>
      <w:r>
        <w:rPr/>
        <w:t>faculty</w:t>
      </w:r>
      <w:r>
        <w:rPr>
          <w:spacing w:val="-5"/>
        </w:rPr>
        <w:t> </w:t>
      </w:r>
      <w:r>
        <w:rPr/>
        <w:t>are</w:t>
      </w:r>
      <w:r>
        <w:rPr>
          <w:spacing w:val="-2"/>
        </w:rPr>
        <w:t> </w:t>
      </w:r>
      <w:r>
        <w:rPr/>
        <w:t>about</w:t>
      </w:r>
      <w:r>
        <w:rPr>
          <w:spacing w:val="-4"/>
        </w:rPr>
        <w:t> </w:t>
      </w:r>
      <w:r>
        <w:rPr/>
        <w:t>the research or architecture and its characteristics in a way that make practical contributions to the design community and society at large. We are deeply involved in the study of global issues related to climate change and sustainability. We are committed to being a beneficial member of the academic community and providing critical support to other programs on the campus. Our faculty members serve on a variety of committees for the University.</w:t>
      </w:r>
    </w:p>
    <w:p>
      <w:pPr>
        <w:pStyle w:val="BodyText"/>
        <w:spacing w:before="10"/>
      </w:pPr>
    </w:p>
    <w:p>
      <w:pPr>
        <w:pStyle w:val="BodyText"/>
        <w:spacing w:before="1"/>
        <w:ind w:left="1219" w:right="705"/>
      </w:pPr>
      <w:r>
        <w:rPr/>
        <w:t>Beyond the general education courses, the university provide academic support through the instruction of math, physics classes that support our courses. They also provide elective instruction</w:t>
      </w:r>
      <w:r>
        <w:rPr>
          <w:spacing w:val="-2"/>
        </w:rPr>
        <w:t> </w:t>
      </w:r>
      <w:r>
        <w:rPr/>
        <w:t>in</w:t>
      </w:r>
      <w:r>
        <w:rPr>
          <w:spacing w:val="-4"/>
        </w:rPr>
        <w:t> </w:t>
      </w:r>
      <w:r>
        <w:rPr/>
        <w:t>a</w:t>
      </w:r>
      <w:r>
        <w:rPr>
          <w:spacing w:val="-2"/>
        </w:rPr>
        <w:t> </w:t>
      </w:r>
      <w:r>
        <w:rPr/>
        <w:t>variety</w:t>
      </w:r>
      <w:r>
        <w:rPr>
          <w:spacing w:val="-7"/>
        </w:rPr>
        <w:t> </w:t>
      </w:r>
      <w:r>
        <w:rPr/>
        <w:t>of</w:t>
      </w:r>
      <w:r>
        <w:rPr>
          <w:spacing w:val="-2"/>
        </w:rPr>
        <w:t> </w:t>
      </w:r>
      <w:r>
        <w:rPr/>
        <w:t>areas,</w:t>
      </w:r>
      <w:r>
        <w:rPr>
          <w:spacing w:val="-4"/>
        </w:rPr>
        <w:t> </w:t>
      </w:r>
      <w:r>
        <w:rPr/>
        <w:t>including</w:t>
      </w:r>
      <w:r>
        <w:rPr>
          <w:spacing w:val="-4"/>
        </w:rPr>
        <w:t> </w:t>
      </w:r>
      <w:r>
        <w:rPr/>
        <w:t>business</w:t>
      </w:r>
      <w:r>
        <w:rPr>
          <w:spacing w:val="-3"/>
        </w:rPr>
        <w:t> </w:t>
      </w:r>
      <w:r>
        <w:rPr/>
        <w:t>and</w:t>
      </w:r>
      <w:r>
        <w:rPr>
          <w:spacing w:val="-4"/>
        </w:rPr>
        <w:t> </w:t>
      </w:r>
      <w:r>
        <w:rPr/>
        <w:t>science.</w:t>
      </w:r>
      <w:r>
        <w:rPr>
          <w:spacing w:val="-4"/>
        </w:rPr>
        <w:t> </w:t>
      </w:r>
      <w:r>
        <w:rPr/>
        <w:t>There</w:t>
      </w:r>
      <w:r>
        <w:rPr>
          <w:spacing w:val="-2"/>
        </w:rPr>
        <w:t> </w:t>
      </w:r>
      <w:r>
        <w:rPr/>
        <w:t>are</w:t>
      </w:r>
      <w:r>
        <w:rPr>
          <w:spacing w:val="-4"/>
        </w:rPr>
        <w:t> </w:t>
      </w:r>
      <w:r>
        <w:rPr/>
        <w:t>other</w:t>
      </w:r>
      <w:r>
        <w:rPr>
          <w:spacing w:val="-1"/>
        </w:rPr>
        <w:t> </w:t>
      </w:r>
      <w:r>
        <w:rPr/>
        <w:t>extracurricular offerings that include:</w:t>
      </w:r>
    </w:p>
    <w:p>
      <w:pPr>
        <w:pStyle w:val="BodyText"/>
        <w:rPr>
          <w:sz w:val="21"/>
        </w:rPr>
      </w:pPr>
    </w:p>
    <w:p>
      <w:pPr>
        <w:pStyle w:val="BodyText"/>
        <w:ind w:left="1939" w:right="580"/>
      </w:pPr>
      <w:r>
        <w:rPr/>
        <w:t>Black</w:t>
      </w:r>
      <w:r>
        <w:rPr>
          <w:spacing w:val="-2"/>
        </w:rPr>
        <w:t> </w:t>
      </w:r>
      <w:r>
        <w:rPr/>
        <w:t>Family</w:t>
      </w:r>
      <w:r>
        <w:rPr>
          <w:spacing w:val="-8"/>
        </w:rPr>
        <w:t> </w:t>
      </w:r>
      <w:r>
        <w:rPr/>
        <w:t>Conference:</w:t>
      </w:r>
      <w:r>
        <w:rPr>
          <w:spacing w:val="-1"/>
        </w:rPr>
        <w:t> </w:t>
      </w:r>
      <w:r>
        <w:rPr/>
        <w:t>This</w:t>
      </w:r>
      <w:r>
        <w:rPr>
          <w:spacing w:val="-5"/>
        </w:rPr>
        <w:t> </w:t>
      </w:r>
      <w:r>
        <w:rPr/>
        <w:t>critical</w:t>
      </w:r>
      <w:r>
        <w:rPr>
          <w:spacing w:val="-7"/>
        </w:rPr>
        <w:t> </w:t>
      </w:r>
      <w:r>
        <w:rPr/>
        <w:t>component</w:t>
      </w:r>
      <w:r>
        <w:rPr>
          <w:spacing w:val="-4"/>
        </w:rPr>
        <w:t> </w:t>
      </w:r>
      <w:r>
        <w:rPr/>
        <w:t>of</w:t>
      </w:r>
      <w:r>
        <w:rPr>
          <w:spacing w:val="-4"/>
        </w:rPr>
        <w:t> </w:t>
      </w:r>
      <w:r>
        <w:rPr/>
        <w:t>the</w:t>
      </w:r>
      <w:r>
        <w:rPr>
          <w:spacing w:val="-6"/>
        </w:rPr>
        <w:t> </w:t>
      </w:r>
      <w:r>
        <w:rPr/>
        <w:t>University’s</w:t>
      </w:r>
      <w:r>
        <w:rPr>
          <w:spacing w:val="-5"/>
        </w:rPr>
        <w:t> </w:t>
      </w:r>
      <w:r>
        <w:rPr/>
        <w:t>cultural</w:t>
      </w:r>
      <w:r>
        <w:rPr>
          <w:spacing w:val="-7"/>
        </w:rPr>
        <w:t> </w:t>
      </w:r>
      <w:r>
        <w:rPr/>
        <w:t>contribution to the national dialog on the strengths and challenges for the American Black family, is led by one of the academic components each year. The School of Engineering &amp; Technology has held that charge with support from the HUDA.</w:t>
      </w:r>
    </w:p>
    <w:p>
      <w:pPr>
        <w:pStyle w:val="BodyText"/>
        <w:spacing w:before="9"/>
      </w:pPr>
    </w:p>
    <w:p>
      <w:pPr>
        <w:pStyle w:val="BodyText"/>
        <w:ind w:left="1600" w:right="1194"/>
        <w:jc w:val="center"/>
      </w:pPr>
      <w:r>
        <w:rPr/>
        <w:t>Band</w:t>
      </w:r>
      <w:r>
        <w:rPr>
          <w:spacing w:val="-7"/>
        </w:rPr>
        <w:t> </w:t>
      </w:r>
      <w:r>
        <w:rPr/>
        <w:t>and</w:t>
      </w:r>
      <w:r>
        <w:rPr>
          <w:spacing w:val="-6"/>
        </w:rPr>
        <w:t> </w:t>
      </w:r>
      <w:r>
        <w:rPr/>
        <w:t>Choir:</w:t>
      </w:r>
      <w:r>
        <w:rPr>
          <w:spacing w:val="-3"/>
        </w:rPr>
        <w:t> </w:t>
      </w:r>
      <w:r>
        <w:rPr/>
        <w:t>Many</w:t>
      </w:r>
      <w:r>
        <w:rPr>
          <w:spacing w:val="-9"/>
        </w:rPr>
        <w:t> </w:t>
      </w:r>
      <w:r>
        <w:rPr/>
        <w:t>members</w:t>
      </w:r>
      <w:r>
        <w:rPr>
          <w:spacing w:val="-5"/>
        </w:rPr>
        <w:t> </w:t>
      </w:r>
      <w:r>
        <w:rPr/>
        <w:t>of</w:t>
      </w:r>
      <w:r>
        <w:rPr>
          <w:spacing w:val="-4"/>
        </w:rPr>
        <w:t> </w:t>
      </w:r>
      <w:r>
        <w:rPr/>
        <w:t>our</w:t>
      </w:r>
      <w:r>
        <w:rPr>
          <w:spacing w:val="-6"/>
        </w:rPr>
        <w:t> </w:t>
      </w:r>
      <w:r>
        <w:rPr/>
        <w:t>sing</w:t>
      </w:r>
      <w:r>
        <w:rPr>
          <w:spacing w:val="-4"/>
        </w:rPr>
        <w:t> </w:t>
      </w:r>
      <w:r>
        <w:rPr/>
        <w:t>in</w:t>
      </w:r>
      <w:r>
        <w:rPr>
          <w:spacing w:val="-6"/>
        </w:rPr>
        <w:t> </w:t>
      </w:r>
      <w:r>
        <w:rPr/>
        <w:t>the</w:t>
      </w:r>
      <w:r>
        <w:rPr>
          <w:spacing w:val="-6"/>
        </w:rPr>
        <w:t> </w:t>
      </w:r>
      <w:r>
        <w:rPr/>
        <w:t>prestigious</w:t>
      </w:r>
      <w:r>
        <w:rPr>
          <w:spacing w:val="-5"/>
        </w:rPr>
        <w:t> </w:t>
      </w:r>
      <w:r>
        <w:rPr/>
        <w:t>university</w:t>
      </w:r>
      <w:r>
        <w:rPr>
          <w:spacing w:val="-9"/>
        </w:rPr>
        <w:t> </w:t>
      </w:r>
      <w:r>
        <w:rPr/>
        <w:t>concert</w:t>
      </w:r>
      <w:r>
        <w:rPr>
          <w:spacing w:val="-6"/>
        </w:rPr>
        <w:t> </w:t>
      </w:r>
      <w:r>
        <w:rPr>
          <w:spacing w:val="-2"/>
        </w:rPr>
        <w:t>choir.</w:t>
      </w:r>
    </w:p>
    <w:p>
      <w:pPr>
        <w:pStyle w:val="BodyText"/>
        <w:spacing w:before="10"/>
      </w:pPr>
    </w:p>
    <w:p>
      <w:pPr>
        <w:pStyle w:val="BodyText"/>
        <w:spacing w:before="1"/>
        <w:ind w:left="1939" w:right="499"/>
      </w:pPr>
      <w:r>
        <w:rPr/>
        <w:t>Athletics:</w:t>
      </w:r>
      <w:r>
        <w:rPr>
          <w:spacing w:val="-4"/>
        </w:rPr>
        <w:t> </w:t>
      </w:r>
      <w:r>
        <w:rPr/>
        <w:t>Our</w:t>
      </w:r>
      <w:r>
        <w:rPr>
          <w:spacing w:val="-3"/>
        </w:rPr>
        <w:t> </w:t>
      </w:r>
      <w:r>
        <w:rPr/>
        <w:t>program has</w:t>
      </w:r>
      <w:r>
        <w:rPr>
          <w:spacing w:val="-3"/>
        </w:rPr>
        <w:t> </w:t>
      </w:r>
      <w:r>
        <w:rPr/>
        <w:t>been</w:t>
      </w:r>
      <w:r>
        <w:rPr>
          <w:spacing w:val="-2"/>
        </w:rPr>
        <w:t> </w:t>
      </w:r>
      <w:r>
        <w:rPr/>
        <w:t>home</w:t>
      </w:r>
      <w:r>
        <w:rPr>
          <w:spacing w:val="-4"/>
        </w:rPr>
        <w:t> </w:t>
      </w:r>
      <w:r>
        <w:rPr/>
        <w:t>to</w:t>
      </w:r>
      <w:r>
        <w:rPr>
          <w:spacing w:val="-4"/>
        </w:rPr>
        <w:t> </w:t>
      </w:r>
      <w:r>
        <w:rPr/>
        <w:t>numerous</w:t>
      </w:r>
      <w:r>
        <w:rPr>
          <w:spacing w:val="-3"/>
        </w:rPr>
        <w:t> </w:t>
      </w:r>
      <w:r>
        <w:rPr/>
        <w:t>band</w:t>
      </w:r>
      <w:r>
        <w:rPr>
          <w:spacing w:val="-4"/>
        </w:rPr>
        <w:t> </w:t>
      </w:r>
      <w:r>
        <w:rPr/>
        <w:t>members,</w:t>
      </w:r>
      <w:r>
        <w:rPr>
          <w:spacing w:val="-4"/>
        </w:rPr>
        <w:t> </w:t>
      </w:r>
      <w:r>
        <w:rPr/>
        <w:t>but</w:t>
      </w:r>
      <w:r>
        <w:rPr>
          <w:spacing w:val="-4"/>
        </w:rPr>
        <w:t> </w:t>
      </w:r>
      <w:r>
        <w:rPr/>
        <w:t>also,</w:t>
      </w:r>
      <w:r>
        <w:rPr>
          <w:spacing w:val="-4"/>
        </w:rPr>
        <w:t> </w:t>
      </w:r>
      <w:r>
        <w:rPr/>
        <w:t>in</w:t>
      </w:r>
      <w:r>
        <w:rPr>
          <w:spacing w:val="-4"/>
        </w:rPr>
        <w:t> </w:t>
      </w:r>
      <w:r>
        <w:rPr/>
        <w:t>the</w:t>
      </w:r>
      <w:r>
        <w:rPr>
          <w:spacing w:val="-4"/>
        </w:rPr>
        <w:t> </w:t>
      </w:r>
      <w:r>
        <w:rPr/>
        <w:t>past years, has included two of the marching band drum majors.</w:t>
      </w:r>
    </w:p>
    <w:p>
      <w:pPr>
        <w:pStyle w:val="BodyText"/>
        <w:spacing w:before="8"/>
      </w:pPr>
    </w:p>
    <w:p>
      <w:pPr>
        <w:pStyle w:val="BodyText"/>
        <w:ind w:left="1939" w:right="705"/>
      </w:pPr>
      <w:r>
        <w:rPr/>
        <w:t>Honors: the university provide honors opportunities for our students, the Willian R. Harvey Leadership Institute, the Freddye Davy Honors College. Many of our students have</w:t>
      </w:r>
      <w:r>
        <w:rPr>
          <w:spacing w:val="-4"/>
        </w:rPr>
        <w:t> </w:t>
      </w:r>
      <w:r>
        <w:rPr/>
        <w:t>been</w:t>
      </w:r>
      <w:r>
        <w:rPr>
          <w:spacing w:val="-3"/>
        </w:rPr>
        <w:t> </w:t>
      </w:r>
      <w:r>
        <w:rPr/>
        <w:t>the</w:t>
      </w:r>
      <w:r>
        <w:rPr>
          <w:spacing w:val="-4"/>
        </w:rPr>
        <w:t> </w:t>
      </w:r>
      <w:r>
        <w:rPr/>
        <w:t>recipients</w:t>
      </w:r>
      <w:r>
        <w:rPr>
          <w:spacing w:val="-1"/>
        </w:rPr>
        <w:t> </w:t>
      </w:r>
      <w:r>
        <w:rPr/>
        <w:t>of</w:t>
      </w:r>
      <w:r>
        <w:rPr>
          <w:spacing w:val="-3"/>
        </w:rPr>
        <w:t> </w:t>
      </w:r>
      <w:r>
        <w:rPr/>
        <w:t>Presidential</w:t>
      </w:r>
      <w:r>
        <w:rPr>
          <w:spacing w:val="-5"/>
        </w:rPr>
        <w:t> </w:t>
      </w:r>
      <w:r>
        <w:rPr/>
        <w:t>and</w:t>
      </w:r>
      <w:r>
        <w:rPr>
          <w:spacing w:val="-4"/>
        </w:rPr>
        <w:t> </w:t>
      </w:r>
      <w:r>
        <w:rPr/>
        <w:t>Trustee</w:t>
      </w:r>
      <w:r>
        <w:rPr>
          <w:spacing w:val="-4"/>
        </w:rPr>
        <w:t> </w:t>
      </w:r>
      <w:r>
        <w:rPr/>
        <w:t>scholarships,</w:t>
      </w:r>
      <w:r>
        <w:rPr>
          <w:spacing w:val="-4"/>
        </w:rPr>
        <w:t> </w:t>
      </w:r>
      <w:r>
        <w:rPr/>
        <w:t>based</w:t>
      </w:r>
      <w:r>
        <w:rPr>
          <w:spacing w:val="-4"/>
        </w:rPr>
        <w:t> </w:t>
      </w:r>
      <w:r>
        <w:rPr/>
        <w:t>on</w:t>
      </w:r>
      <w:r>
        <w:rPr>
          <w:spacing w:val="-4"/>
        </w:rPr>
        <w:t> </w:t>
      </w:r>
      <w:r>
        <w:rPr/>
        <w:t>academic </w:t>
      </w:r>
      <w:r>
        <w:rPr>
          <w:spacing w:val="-2"/>
        </w:rPr>
        <w:t>acumen.</w:t>
      </w:r>
    </w:p>
    <w:p>
      <w:pPr>
        <w:pStyle w:val="BodyText"/>
        <w:rPr>
          <w:sz w:val="21"/>
        </w:rPr>
      </w:pPr>
    </w:p>
    <w:p>
      <w:pPr>
        <w:pStyle w:val="BodyText"/>
        <w:ind w:left="1219" w:right="705" w:hanging="1"/>
      </w:pPr>
      <w:r>
        <w:rPr/>
        <w:t>To that end, the HUDA faculty, staff and students make tremendous contributions to the academic environment of Hampton University in a number of areas, as individuals and as a group.</w:t>
      </w:r>
      <w:r>
        <w:rPr>
          <w:spacing w:val="-2"/>
        </w:rPr>
        <w:t> </w:t>
      </w:r>
      <w:r>
        <w:rPr/>
        <w:t>As</w:t>
      </w:r>
      <w:r>
        <w:rPr>
          <w:spacing w:val="-3"/>
        </w:rPr>
        <w:t> </w:t>
      </w:r>
      <w:r>
        <w:rPr/>
        <w:t>individuals,</w:t>
      </w:r>
      <w:r>
        <w:rPr>
          <w:spacing w:val="-2"/>
        </w:rPr>
        <w:t> </w:t>
      </w:r>
      <w:r>
        <w:rPr/>
        <w:t>each</w:t>
      </w:r>
      <w:r>
        <w:rPr>
          <w:spacing w:val="-2"/>
        </w:rPr>
        <w:t> </w:t>
      </w:r>
      <w:r>
        <w:rPr/>
        <w:t>member</w:t>
      </w:r>
      <w:r>
        <w:rPr>
          <w:spacing w:val="-3"/>
        </w:rPr>
        <w:t> </w:t>
      </w:r>
      <w:r>
        <w:rPr/>
        <w:t>of</w:t>
      </w:r>
      <w:r>
        <w:rPr>
          <w:spacing w:val="-2"/>
        </w:rPr>
        <w:t> </w:t>
      </w:r>
      <w:r>
        <w:rPr/>
        <w:t>the</w:t>
      </w:r>
      <w:r>
        <w:rPr>
          <w:spacing w:val="-4"/>
        </w:rPr>
        <w:t> </w:t>
      </w:r>
      <w:r>
        <w:rPr/>
        <w:t>faculty</w:t>
      </w:r>
      <w:r>
        <w:rPr>
          <w:spacing w:val="-6"/>
        </w:rPr>
        <w:t> </w:t>
      </w:r>
      <w:r>
        <w:rPr/>
        <w:t>serves</w:t>
      </w:r>
      <w:r>
        <w:rPr>
          <w:spacing w:val="-3"/>
        </w:rPr>
        <w:t> </w:t>
      </w:r>
      <w:r>
        <w:rPr/>
        <w:t>on</w:t>
      </w:r>
      <w:r>
        <w:rPr>
          <w:spacing w:val="-4"/>
        </w:rPr>
        <w:t> </w:t>
      </w:r>
      <w:r>
        <w:rPr/>
        <w:t>a</w:t>
      </w:r>
      <w:r>
        <w:rPr>
          <w:spacing w:val="-2"/>
        </w:rPr>
        <w:t> </w:t>
      </w:r>
      <w:r>
        <w:rPr/>
        <w:t>variety</w:t>
      </w:r>
      <w:r>
        <w:rPr>
          <w:spacing w:val="-6"/>
        </w:rPr>
        <w:t> </w:t>
      </w:r>
      <w:r>
        <w:rPr/>
        <w:t>of</w:t>
      </w:r>
      <w:r>
        <w:rPr>
          <w:spacing w:val="-2"/>
        </w:rPr>
        <w:t> </w:t>
      </w:r>
      <w:r>
        <w:rPr/>
        <w:t>university</w:t>
      </w:r>
      <w:r>
        <w:rPr>
          <w:spacing w:val="-4"/>
        </w:rPr>
        <w:t> </w:t>
      </w:r>
      <w:r>
        <w:rPr/>
        <w:t>committees.</w:t>
      </w:r>
    </w:p>
    <w:p>
      <w:pPr>
        <w:pStyle w:val="BodyText"/>
        <w:spacing w:before="9"/>
      </w:pPr>
    </w:p>
    <w:p>
      <w:pPr>
        <w:pStyle w:val="BodyText"/>
        <w:ind w:left="1219" w:right="499"/>
      </w:pPr>
      <w:r>
        <w:rPr/>
        <w:t>In</w:t>
      </w:r>
      <w:r>
        <w:rPr>
          <w:spacing w:val="-4"/>
        </w:rPr>
        <w:t> </w:t>
      </w:r>
      <w:r>
        <w:rPr/>
        <w:t>the</w:t>
      </w:r>
      <w:r>
        <w:rPr>
          <w:spacing w:val="-4"/>
        </w:rPr>
        <w:t> </w:t>
      </w:r>
      <w:r>
        <w:rPr/>
        <w:t>area</w:t>
      </w:r>
      <w:r>
        <w:rPr>
          <w:spacing w:val="-2"/>
        </w:rPr>
        <w:t> </w:t>
      </w:r>
      <w:r>
        <w:rPr/>
        <w:t>of</w:t>
      </w:r>
      <w:r>
        <w:rPr>
          <w:spacing w:val="-2"/>
        </w:rPr>
        <w:t> </w:t>
      </w:r>
      <w:r>
        <w:rPr/>
        <w:t>scholarship,</w:t>
      </w:r>
      <w:r>
        <w:rPr>
          <w:spacing w:val="-2"/>
        </w:rPr>
        <w:t> </w:t>
      </w:r>
      <w:r>
        <w:rPr/>
        <w:t>our</w:t>
      </w:r>
      <w:r>
        <w:rPr>
          <w:spacing w:val="-3"/>
        </w:rPr>
        <w:t> </w:t>
      </w:r>
      <w:r>
        <w:rPr/>
        <w:t>faculty</w:t>
      </w:r>
      <w:r>
        <w:rPr>
          <w:spacing w:val="-7"/>
        </w:rPr>
        <w:t> </w:t>
      </w:r>
      <w:r>
        <w:rPr/>
        <w:t>continually</w:t>
      </w:r>
      <w:r>
        <w:rPr>
          <w:spacing w:val="-7"/>
        </w:rPr>
        <w:t> </w:t>
      </w:r>
      <w:r>
        <w:rPr/>
        <w:t>contribute</w:t>
      </w:r>
      <w:r>
        <w:rPr>
          <w:spacing w:val="-4"/>
        </w:rPr>
        <w:t> </w:t>
      </w:r>
      <w:r>
        <w:rPr/>
        <w:t>to</w:t>
      </w:r>
      <w:r>
        <w:rPr>
          <w:spacing w:val="-2"/>
        </w:rPr>
        <w:t> </w:t>
      </w:r>
      <w:r>
        <w:rPr/>
        <w:t>the</w:t>
      </w:r>
      <w:r>
        <w:rPr>
          <w:spacing w:val="-2"/>
        </w:rPr>
        <w:t> </w:t>
      </w:r>
      <w:r>
        <w:rPr/>
        <w:t>expansion</w:t>
      </w:r>
      <w:r>
        <w:rPr>
          <w:spacing w:val="-2"/>
        </w:rPr>
        <w:t> </w:t>
      </w:r>
      <w:r>
        <w:rPr/>
        <w:t>of</w:t>
      </w:r>
      <w:r>
        <w:rPr>
          <w:spacing w:val="-2"/>
        </w:rPr>
        <w:t> </w:t>
      </w:r>
      <w:r>
        <w:rPr/>
        <w:t>knowledge</w:t>
      </w:r>
      <w:r>
        <w:rPr>
          <w:spacing w:val="-2"/>
        </w:rPr>
        <w:t> </w:t>
      </w:r>
      <w:r>
        <w:rPr/>
        <w:t>in</w:t>
      </w:r>
      <w:r>
        <w:rPr>
          <w:spacing w:val="-2"/>
        </w:rPr>
        <w:t> </w:t>
      </w:r>
      <w:r>
        <w:rPr/>
        <w:t>their work. Some examples of work during the past few years are cited below.</w:t>
      </w:r>
    </w:p>
    <w:p>
      <w:pPr>
        <w:pStyle w:val="BodyText"/>
        <w:spacing w:before="9"/>
      </w:pPr>
    </w:p>
    <w:p>
      <w:pPr>
        <w:pStyle w:val="BodyText"/>
        <w:ind w:left="1219" w:right="499"/>
      </w:pPr>
      <w:r>
        <w:rPr>
          <w:b/>
        </w:rPr>
        <w:t>Mason Andrews </w:t>
      </w:r>
      <w:r>
        <w:rPr/>
        <w:t>presented a paper at the 102nd ACSA Annual Meeting in Miami spring on the department's</w:t>
      </w:r>
      <w:r>
        <w:rPr>
          <w:spacing w:val="-3"/>
        </w:rPr>
        <w:t> </w:t>
      </w:r>
      <w:r>
        <w:rPr/>
        <w:t>travel</w:t>
      </w:r>
      <w:r>
        <w:rPr>
          <w:spacing w:val="-3"/>
        </w:rPr>
        <w:t> </w:t>
      </w:r>
      <w:r>
        <w:rPr/>
        <w:t>program.</w:t>
      </w:r>
      <w:r>
        <w:rPr>
          <w:spacing w:val="40"/>
        </w:rPr>
        <w:t> </w:t>
      </w:r>
      <w:r>
        <w:rPr/>
        <w:t>Entitled</w:t>
      </w:r>
      <w:r>
        <w:rPr>
          <w:spacing w:val="-2"/>
        </w:rPr>
        <w:t> </w:t>
      </w:r>
      <w:r>
        <w:rPr/>
        <w:t>"Global</w:t>
      </w:r>
      <w:r>
        <w:rPr>
          <w:spacing w:val="-5"/>
        </w:rPr>
        <w:t> </w:t>
      </w:r>
      <w:r>
        <w:rPr/>
        <w:t>Immunology:</w:t>
      </w:r>
      <w:r>
        <w:rPr>
          <w:spacing w:val="-2"/>
        </w:rPr>
        <w:t> </w:t>
      </w:r>
      <w:r>
        <w:rPr/>
        <w:t>A</w:t>
      </w:r>
      <w:r>
        <w:rPr>
          <w:spacing w:val="-2"/>
        </w:rPr>
        <w:t> </w:t>
      </w:r>
      <w:r>
        <w:rPr/>
        <w:t>Potential</w:t>
      </w:r>
      <w:r>
        <w:rPr>
          <w:spacing w:val="-5"/>
        </w:rPr>
        <w:t> </w:t>
      </w:r>
      <w:r>
        <w:rPr/>
        <w:t>Cure</w:t>
      </w:r>
      <w:r>
        <w:rPr>
          <w:spacing w:val="-2"/>
        </w:rPr>
        <w:t> </w:t>
      </w:r>
      <w:r>
        <w:rPr/>
        <w:t>for</w:t>
      </w:r>
      <w:r>
        <w:rPr>
          <w:spacing w:val="-3"/>
        </w:rPr>
        <w:t> </w:t>
      </w:r>
      <w:r>
        <w:rPr/>
        <w:t>Being</w:t>
      </w:r>
      <w:r>
        <w:rPr>
          <w:spacing w:val="-4"/>
        </w:rPr>
        <w:t> </w:t>
      </w:r>
      <w:r>
        <w:rPr/>
        <w:t>Twenty,"</w:t>
      </w:r>
      <w:r>
        <w:rPr>
          <w:spacing w:val="-5"/>
        </w:rPr>
        <w:t> </w:t>
      </w:r>
      <w:r>
        <w:rPr/>
        <w:t>it was also published as part of the ASCA's annual Proceedings.</w:t>
      </w:r>
      <w:r>
        <w:rPr>
          <w:spacing w:val="40"/>
        </w:rPr>
        <w:t> </w:t>
      </w:r>
      <w:r>
        <w:rPr/>
        <w:t>Her other accomplishments </w:t>
      </w:r>
      <w:r>
        <w:rPr>
          <w:spacing w:val="-2"/>
        </w:rPr>
        <w:t>include:</w:t>
      </w:r>
    </w:p>
    <w:p>
      <w:pPr>
        <w:pStyle w:val="BodyText"/>
        <w:rPr>
          <w:sz w:val="21"/>
        </w:rPr>
      </w:pPr>
    </w:p>
    <w:p>
      <w:pPr>
        <w:pStyle w:val="BodyText"/>
        <w:ind w:left="1939" w:right="705"/>
      </w:pPr>
      <w:r>
        <w:rPr/>
        <w:t>Andrews</w:t>
      </w:r>
      <w:r>
        <w:rPr>
          <w:spacing w:val="-1"/>
        </w:rPr>
        <w:t> </w:t>
      </w:r>
      <w:r>
        <w:rPr/>
        <w:t>was</w:t>
      </w:r>
      <w:r>
        <w:rPr>
          <w:spacing w:val="-4"/>
        </w:rPr>
        <w:t> </w:t>
      </w:r>
      <w:r>
        <w:rPr/>
        <w:t>also</w:t>
      </w:r>
      <w:r>
        <w:rPr>
          <w:spacing w:val="-5"/>
        </w:rPr>
        <w:t> </w:t>
      </w:r>
      <w:r>
        <w:rPr/>
        <w:t>brought onto</w:t>
      </w:r>
      <w:r>
        <w:rPr>
          <w:spacing w:val="-3"/>
        </w:rPr>
        <w:t> </w:t>
      </w:r>
      <w:r>
        <w:rPr/>
        <w:t>the</w:t>
      </w:r>
      <w:r>
        <w:rPr>
          <w:spacing w:val="-3"/>
        </w:rPr>
        <w:t> </w:t>
      </w:r>
      <w:r>
        <w:rPr/>
        <w:t>board</w:t>
      </w:r>
      <w:r>
        <w:rPr>
          <w:spacing w:val="-5"/>
        </w:rPr>
        <w:t> </w:t>
      </w:r>
      <w:r>
        <w:rPr/>
        <w:t>of</w:t>
      </w:r>
      <w:r>
        <w:rPr>
          <w:spacing w:val="-3"/>
        </w:rPr>
        <w:t> </w:t>
      </w:r>
      <w:r>
        <w:rPr/>
        <w:t>the</w:t>
      </w:r>
      <w:r>
        <w:rPr>
          <w:spacing w:val="-3"/>
        </w:rPr>
        <w:t> </w:t>
      </w:r>
      <w:r>
        <w:rPr/>
        <w:t>Virginia</w:t>
      </w:r>
      <w:r>
        <w:rPr>
          <w:spacing w:val="-5"/>
        </w:rPr>
        <w:t> </w:t>
      </w:r>
      <w:r>
        <w:rPr/>
        <w:t>Coastal</w:t>
      </w:r>
      <w:r>
        <w:rPr>
          <w:spacing w:val="-6"/>
        </w:rPr>
        <w:t> </w:t>
      </w:r>
      <w:r>
        <w:rPr/>
        <w:t>Coalition</w:t>
      </w:r>
      <w:r>
        <w:rPr>
          <w:spacing w:val="-3"/>
        </w:rPr>
        <w:t> </w:t>
      </w:r>
      <w:r>
        <w:rPr/>
        <w:t>and</w:t>
      </w:r>
      <w:r>
        <w:rPr>
          <w:spacing w:val="-3"/>
        </w:rPr>
        <w:t> </w:t>
      </w:r>
      <w:r>
        <w:rPr/>
        <w:t>was appointed by Norfolk City Council to serve on its new Architectural Review Board.</w:t>
      </w:r>
    </w:p>
    <w:p>
      <w:pPr>
        <w:spacing w:after="0"/>
        <w:sectPr>
          <w:pgSz w:w="12240" w:h="15840"/>
          <w:pgMar w:header="0" w:footer="974" w:top="1360" w:bottom="1160" w:left="940" w:right="960"/>
        </w:sectPr>
      </w:pPr>
    </w:p>
    <w:p>
      <w:pPr>
        <w:pStyle w:val="BodyText"/>
        <w:spacing w:before="77"/>
        <w:ind w:left="1940" w:right="705"/>
      </w:pPr>
      <w:r>
        <w:rPr/>
        <w:t>She</w:t>
      </w:r>
      <w:r>
        <w:rPr>
          <w:spacing w:val="-4"/>
        </w:rPr>
        <w:t> </w:t>
      </w:r>
      <w:r>
        <w:rPr/>
        <w:t>continues</w:t>
      </w:r>
      <w:r>
        <w:rPr>
          <w:spacing w:val="-3"/>
        </w:rPr>
        <w:t> </w:t>
      </w:r>
      <w:r>
        <w:rPr/>
        <w:t>to</w:t>
      </w:r>
      <w:r>
        <w:rPr>
          <w:spacing w:val="-4"/>
        </w:rPr>
        <w:t> </w:t>
      </w:r>
      <w:r>
        <w:rPr/>
        <w:t>serve</w:t>
      </w:r>
      <w:r>
        <w:rPr>
          <w:spacing w:val="-4"/>
        </w:rPr>
        <w:t> </w:t>
      </w:r>
      <w:r>
        <w:rPr/>
        <w:t>as Chair,</w:t>
      </w:r>
      <w:r>
        <w:rPr>
          <w:spacing w:val="-2"/>
        </w:rPr>
        <w:t> </w:t>
      </w:r>
      <w:r>
        <w:rPr/>
        <w:t>Design</w:t>
      </w:r>
      <w:r>
        <w:rPr>
          <w:spacing w:val="-4"/>
        </w:rPr>
        <w:t> </w:t>
      </w:r>
      <w:r>
        <w:rPr/>
        <w:t>Review</w:t>
      </w:r>
      <w:r>
        <w:rPr>
          <w:spacing w:val="-4"/>
        </w:rPr>
        <w:t> </w:t>
      </w:r>
      <w:r>
        <w:rPr/>
        <w:t>Committee,</w:t>
      </w:r>
      <w:r>
        <w:rPr>
          <w:spacing w:val="-4"/>
        </w:rPr>
        <w:t> </w:t>
      </w:r>
      <w:r>
        <w:rPr/>
        <w:t>City</w:t>
      </w:r>
      <w:r>
        <w:rPr>
          <w:spacing w:val="-7"/>
        </w:rPr>
        <w:t> </w:t>
      </w:r>
      <w:r>
        <w:rPr/>
        <w:t>of</w:t>
      </w:r>
      <w:r>
        <w:rPr>
          <w:spacing w:val="-2"/>
        </w:rPr>
        <w:t> </w:t>
      </w:r>
      <w:r>
        <w:rPr/>
        <w:t>Norfolk,</w:t>
      </w:r>
      <w:r>
        <w:rPr>
          <w:spacing w:val="-4"/>
        </w:rPr>
        <w:t> </w:t>
      </w:r>
      <w:r>
        <w:rPr/>
        <w:t>led</w:t>
      </w:r>
      <w:r>
        <w:rPr>
          <w:spacing w:val="-4"/>
        </w:rPr>
        <w:t> </w:t>
      </w:r>
      <w:r>
        <w:rPr/>
        <w:t>to citations in Virginian Pilot.</w:t>
      </w:r>
    </w:p>
    <w:p>
      <w:pPr>
        <w:pStyle w:val="BodyText"/>
        <w:spacing w:before="11"/>
      </w:pPr>
    </w:p>
    <w:p>
      <w:pPr>
        <w:pStyle w:val="BodyText"/>
        <w:ind w:left="1939" w:right="499"/>
      </w:pPr>
      <w:r>
        <w:rPr/>
        <w:t>She to serves on the Executive of Committee of the Hampton Roads Chamber of Commerce, as a Director of the Marilyn and Ray Gindroz Foundation (participating in directing funding to department students and activities), and</w:t>
      </w:r>
      <w:r>
        <w:rPr>
          <w:spacing w:val="40"/>
        </w:rPr>
        <w:t> </w:t>
      </w:r>
      <w:r>
        <w:rPr/>
        <w:t>Advisor to the Five Points Community Farm Market.</w:t>
      </w:r>
      <w:r>
        <w:rPr>
          <w:spacing w:val="40"/>
        </w:rPr>
        <w:t> </w:t>
      </w:r>
      <w:r>
        <w:rPr/>
        <w:t>In 2013 was drafted onto the board of the Environmental Council</w:t>
      </w:r>
      <w:r>
        <w:rPr>
          <w:spacing w:val="-6"/>
        </w:rPr>
        <w:t> </w:t>
      </w:r>
      <w:r>
        <w:rPr/>
        <w:t>of</w:t>
      </w:r>
      <w:r>
        <w:rPr>
          <w:spacing w:val="-4"/>
        </w:rPr>
        <w:t> </w:t>
      </w:r>
      <w:r>
        <w:rPr/>
        <w:t>Hampton</w:t>
      </w:r>
      <w:r>
        <w:rPr>
          <w:spacing w:val="-5"/>
        </w:rPr>
        <w:t> </w:t>
      </w:r>
      <w:r>
        <w:rPr/>
        <w:t>Roads,</w:t>
      </w:r>
      <w:r>
        <w:rPr>
          <w:spacing w:val="-4"/>
        </w:rPr>
        <w:t> </w:t>
      </w:r>
      <w:r>
        <w:rPr/>
        <w:t>a</w:t>
      </w:r>
      <w:r>
        <w:rPr>
          <w:spacing w:val="-5"/>
        </w:rPr>
        <w:t> </w:t>
      </w:r>
      <w:r>
        <w:rPr/>
        <w:t>consortium</w:t>
      </w:r>
      <w:r>
        <w:rPr>
          <w:spacing w:val="-1"/>
        </w:rPr>
        <w:t> </w:t>
      </w:r>
      <w:r>
        <w:rPr/>
        <w:t>of</w:t>
      </w:r>
      <w:r>
        <w:rPr>
          <w:spacing w:val="-4"/>
        </w:rPr>
        <w:t> </w:t>
      </w:r>
      <w:r>
        <w:rPr/>
        <w:t>business</w:t>
      </w:r>
      <w:r>
        <w:rPr>
          <w:spacing w:val="-4"/>
        </w:rPr>
        <w:t> </w:t>
      </w:r>
      <w:r>
        <w:rPr/>
        <w:t>leaders</w:t>
      </w:r>
      <w:r>
        <w:rPr>
          <w:spacing w:val="-4"/>
        </w:rPr>
        <w:t> </w:t>
      </w:r>
      <w:r>
        <w:rPr/>
        <w:t>and</w:t>
      </w:r>
      <w:r>
        <w:rPr>
          <w:spacing w:val="-4"/>
        </w:rPr>
        <w:t> </w:t>
      </w:r>
      <w:r>
        <w:rPr/>
        <w:t>environmental</w:t>
      </w:r>
      <w:r>
        <w:rPr>
          <w:spacing w:val="-4"/>
        </w:rPr>
        <w:t> </w:t>
      </w:r>
      <w:r>
        <w:rPr/>
        <w:t>groups.</w:t>
      </w:r>
    </w:p>
    <w:p>
      <w:pPr>
        <w:pStyle w:val="BodyText"/>
        <w:spacing w:before="9"/>
      </w:pPr>
    </w:p>
    <w:p>
      <w:pPr>
        <w:pStyle w:val="BodyText"/>
        <w:spacing w:before="1"/>
        <w:ind w:left="1939" w:right="499"/>
      </w:pPr>
      <w:r>
        <w:rPr/>
        <w:t>Mason</w:t>
      </w:r>
      <w:r>
        <w:rPr>
          <w:spacing w:val="-4"/>
        </w:rPr>
        <w:t> </w:t>
      </w:r>
      <w:r>
        <w:rPr/>
        <w:t>teamed</w:t>
      </w:r>
      <w:r>
        <w:rPr>
          <w:spacing w:val="-4"/>
        </w:rPr>
        <w:t> </w:t>
      </w:r>
      <w:r>
        <w:rPr/>
        <w:t>up</w:t>
      </w:r>
      <w:r>
        <w:rPr>
          <w:spacing w:val="-2"/>
        </w:rPr>
        <w:t> </w:t>
      </w:r>
      <w:r>
        <w:rPr/>
        <w:t>with</w:t>
      </w:r>
      <w:r>
        <w:rPr>
          <w:spacing w:val="-2"/>
        </w:rPr>
        <w:t> </w:t>
      </w:r>
      <w:r>
        <w:rPr/>
        <w:t>David</w:t>
      </w:r>
      <w:r>
        <w:rPr>
          <w:spacing w:val="-2"/>
        </w:rPr>
        <w:t> </w:t>
      </w:r>
      <w:r>
        <w:rPr/>
        <w:t>Peronnet</w:t>
      </w:r>
      <w:r>
        <w:rPr>
          <w:spacing w:val="-2"/>
        </w:rPr>
        <w:t> </w:t>
      </w:r>
      <w:r>
        <w:rPr/>
        <w:t>to</w:t>
      </w:r>
      <w:r>
        <w:rPr>
          <w:spacing w:val="-4"/>
        </w:rPr>
        <w:t> </w:t>
      </w:r>
      <w:r>
        <w:rPr/>
        <w:t>spearhead</w:t>
      </w:r>
      <w:r>
        <w:rPr>
          <w:spacing w:val="-4"/>
        </w:rPr>
        <w:t> </w:t>
      </w:r>
      <w:r>
        <w:rPr/>
        <w:t>the</w:t>
      </w:r>
      <w:r>
        <w:rPr>
          <w:spacing w:val="-4"/>
        </w:rPr>
        <w:t> </w:t>
      </w:r>
      <w:r>
        <w:rPr/>
        <w:t>HUDA</w:t>
      </w:r>
      <w:r>
        <w:rPr>
          <w:spacing w:val="-2"/>
        </w:rPr>
        <w:t> </w:t>
      </w:r>
      <w:r>
        <w:rPr/>
        <w:t>involvement</w:t>
      </w:r>
      <w:r>
        <w:rPr>
          <w:spacing w:val="-4"/>
        </w:rPr>
        <w:t> </w:t>
      </w:r>
      <w:r>
        <w:rPr/>
        <w:t>in</w:t>
      </w:r>
      <w:r>
        <w:rPr>
          <w:spacing w:val="-4"/>
        </w:rPr>
        <w:t> </w:t>
      </w:r>
      <w:r>
        <w:rPr/>
        <w:t>the</w:t>
      </w:r>
      <w:r>
        <w:rPr>
          <w:spacing w:val="-4"/>
        </w:rPr>
        <w:t> </w:t>
      </w:r>
      <w:r>
        <w:rPr/>
        <w:t>2011 Department of Energy’s Solar Decathlon. This effort teamed with the School of Engineering</w:t>
      </w:r>
      <w:r>
        <w:rPr>
          <w:spacing w:val="-2"/>
        </w:rPr>
        <w:t> </w:t>
      </w:r>
      <w:r>
        <w:rPr/>
        <w:t>at Old Dominion</w:t>
      </w:r>
      <w:r>
        <w:rPr>
          <w:spacing w:val="-2"/>
        </w:rPr>
        <w:t> </w:t>
      </w:r>
      <w:r>
        <w:rPr/>
        <w:t>University</w:t>
      </w:r>
      <w:r>
        <w:rPr>
          <w:spacing w:val="-3"/>
        </w:rPr>
        <w:t> </w:t>
      </w:r>
      <w:r>
        <w:rPr/>
        <w:t>and</w:t>
      </w:r>
      <w:r>
        <w:rPr>
          <w:spacing w:val="-2"/>
        </w:rPr>
        <w:t> </w:t>
      </w:r>
      <w:r>
        <w:rPr/>
        <w:t>resulted in several</w:t>
      </w:r>
      <w:r>
        <w:rPr>
          <w:spacing w:val="-3"/>
        </w:rPr>
        <w:t> </w:t>
      </w:r>
      <w:r>
        <w:rPr/>
        <w:t>courses</w:t>
      </w:r>
      <w:r>
        <w:rPr>
          <w:spacing w:val="-1"/>
        </w:rPr>
        <w:t> </w:t>
      </w:r>
      <w:r>
        <w:rPr/>
        <w:t>being</w:t>
      </w:r>
      <w:r>
        <w:rPr>
          <w:spacing w:val="-2"/>
        </w:rPr>
        <w:t> </w:t>
      </w:r>
      <w:r>
        <w:rPr/>
        <w:t>offered</w:t>
      </w:r>
      <w:r>
        <w:rPr>
          <w:spacing w:val="-2"/>
        </w:rPr>
        <w:t> </w:t>
      </w:r>
      <w:r>
        <w:rPr/>
        <w:t>to take advantage of our growing base of knowledge in the area of sustainable design.</w:t>
      </w:r>
    </w:p>
    <w:p>
      <w:pPr>
        <w:pStyle w:val="BodyText"/>
        <w:spacing w:before="9"/>
      </w:pPr>
    </w:p>
    <w:p>
      <w:pPr>
        <w:pStyle w:val="BodyText"/>
        <w:ind w:left="1939" w:right="486"/>
      </w:pPr>
      <w:r>
        <w:rPr/>
        <w:t>She</w:t>
      </w:r>
      <w:r>
        <w:rPr>
          <w:spacing w:val="-4"/>
        </w:rPr>
        <w:t> </w:t>
      </w:r>
      <w:r>
        <w:rPr/>
        <w:t>continues</w:t>
      </w:r>
      <w:r>
        <w:rPr>
          <w:spacing w:val="-3"/>
        </w:rPr>
        <w:t> </w:t>
      </w:r>
      <w:r>
        <w:rPr/>
        <w:t>research</w:t>
      </w:r>
      <w:r>
        <w:rPr>
          <w:spacing w:val="-4"/>
        </w:rPr>
        <w:t> </w:t>
      </w:r>
      <w:r>
        <w:rPr/>
        <w:t>on the</w:t>
      </w:r>
      <w:r>
        <w:rPr>
          <w:spacing w:val="-4"/>
        </w:rPr>
        <w:t> </w:t>
      </w:r>
      <w:r>
        <w:rPr/>
        <w:t>subject</w:t>
      </w:r>
      <w:r>
        <w:rPr>
          <w:spacing w:val="-2"/>
        </w:rPr>
        <w:t> </w:t>
      </w:r>
      <w:r>
        <w:rPr/>
        <w:t>of</w:t>
      </w:r>
      <w:r>
        <w:rPr>
          <w:spacing w:val="-2"/>
        </w:rPr>
        <w:t> </w:t>
      </w:r>
      <w:r>
        <w:rPr/>
        <w:t>amblyopia</w:t>
      </w:r>
      <w:r>
        <w:rPr>
          <w:spacing w:val="-4"/>
        </w:rPr>
        <w:t> </w:t>
      </w:r>
      <w:r>
        <w:rPr/>
        <w:t>and</w:t>
      </w:r>
      <w:r>
        <w:rPr>
          <w:spacing w:val="-4"/>
        </w:rPr>
        <w:t> </w:t>
      </w:r>
      <w:r>
        <w:rPr/>
        <w:t>architecture,</w:t>
      </w:r>
      <w:r>
        <w:rPr>
          <w:spacing w:val="-4"/>
        </w:rPr>
        <w:t> </w:t>
      </w:r>
      <w:r>
        <w:rPr/>
        <w:t>toward</w:t>
      </w:r>
      <w:r>
        <w:rPr>
          <w:spacing w:val="-2"/>
        </w:rPr>
        <w:t> </w:t>
      </w:r>
      <w:r>
        <w:rPr/>
        <w:t>a</w:t>
      </w:r>
      <w:r>
        <w:rPr>
          <w:spacing w:val="-4"/>
        </w:rPr>
        <w:t> </w:t>
      </w:r>
      <w:r>
        <w:rPr/>
        <w:t>paper</w:t>
      </w:r>
      <w:r>
        <w:rPr>
          <w:spacing w:val="-3"/>
        </w:rPr>
        <w:t> </w:t>
      </w:r>
      <w:r>
        <w:rPr/>
        <w:t>she hopes to publish soon.</w:t>
      </w:r>
    </w:p>
    <w:p>
      <w:pPr>
        <w:pStyle w:val="BodyText"/>
        <w:spacing w:before="11"/>
      </w:pPr>
    </w:p>
    <w:p>
      <w:pPr>
        <w:pStyle w:val="BodyText"/>
        <w:ind w:left="1939"/>
      </w:pPr>
      <w:r>
        <w:rPr/>
        <w:t>She</w:t>
      </w:r>
      <w:r>
        <w:rPr>
          <w:spacing w:val="-2"/>
        </w:rPr>
        <w:t> </w:t>
      </w:r>
      <w:r>
        <w:rPr/>
        <w:t>also</w:t>
      </w:r>
      <w:r>
        <w:rPr>
          <w:spacing w:val="-4"/>
        </w:rPr>
        <w:t> </w:t>
      </w:r>
      <w:r>
        <w:rPr/>
        <w:t>continues work as</w:t>
      </w:r>
      <w:r>
        <w:rPr>
          <w:spacing w:val="-3"/>
        </w:rPr>
        <w:t> </w:t>
      </w:r>
      <w:r>
        <w:rPr/>
        <w:t>a</w:t>
      </w:r>
      <w:r>
        <w:rPr>
          <w:spacing w:val="-4"/>
        </w:rPr>
        <w:t> </w:t>
      </w:r>
      <w:r>
        <w:rPr/>
        <w:t>director</w:t>
      </w:r>
      <w:r>
        <w:rPr>
          <w:spacing w:val="-3"/>
        </w:rPr>
        <w:t> </w:t>
      </w:r>
      <w:r>
        <w:rPr/>
        <w:t>of</w:t>
      </w:r>
      <w:r>
        <w:rPr>
          <w:spacing w:val="-2"/>
        </w:rPr>
        <w:t> </w:t>
      </w:r>
      <w:r>
        <w:rPr/>
        <w:t>the</w:t>
      </w:r>
      <w:r>
        <w:rPr>
          <w:spacing w:val="-2"/>
        </w:rPr>
        <w:t> </w:t>
      </w:r>
      <w:r>
        <w:rPr/>
        <w:t>Marilyn</w:t>
      </w:r>
      <w:r>
        <w:rPr>
          <w:spacing w:val="-4"/>
        </w:rPr>
        <w:t> </w:t>
      </w:r>
      <w:r>
        <w:rPr/>
        <w:t>and</w:t>
      </w:r>
      <w:r>
        <w:rPr>
          <w:spacing w:val="-4"/>
        </w:rPr>
        <w:t> </w:t>
      </w:r>
      <w:r>
        <w:rPr/>
        <w:t>Ray</w:t>
      </w:r>
      <w:r>
        <w:rPr>
          <w:spacing w:val="-7"/>
        </w:rPr>
        <w:t> </w:t>
      </w:r>
      <w:r>
        <w:rPr/>
        <w:t>Gindroz</w:t>
      </w:r>
      <w:r>
        <w:rPr>
          <w:spacing w:val="-5"/>
        </w:rPr>
        <w:t> </w:t>
      </w:r>
      <w:r>
        <w:rPr/>
        <w:t>Foundation</w:t>
      </w:r>
      <w:r>
        <w:rPr>
          <w:spacing w:val="-4"/>
        </w:rPr>
        <w:t> </w:t>
      </w:r>
      <w:r>
        <w:rPr/>
        <w:t>to</w:t>
      </w:r>
      <w:r>
        <w:rPr>
          <w:spacing w:val="-4"/>
        </w:rPr>
        <w:t> </w:t>
      </w:r>
      <w:r>
        <w:rPr/>
        <w:t>raise money for student travel.</w:t>
      </w:r>
    </w:p>
    <w:p>
      <w:pPr>
        <w:pStyle w:val="BodyText"/>
        <w:spacing w:before="6"/>
      </w:pPr>
    </w:p>
    <w:p>
      <w:pPr>
        <w:pStyle w:val="BodyText"/>
        <w:spacing w:line="242" w:lineRule="auto"/>
        <w:ind w:left="1219"/>
      </w:pPr>
      <w:r>
        <w:rPr>
          <w:b/>
        </w:rPr>
        <w:t>Shannon</w:t>
      </w:r>
      <w:r>
        <w:rPr>
          <w:b/>
          <w:spacing w:val="-4"/>
        </w:rPr>
        <w:t> </w:t>
      </w:r>
      <w:r>
        <w:rPr>
          <w:b/>
        </w:rPr>
        <w:t>Chance</w:t>
      </w:r>
      <w:r>
        <w:rPr/>
        <w:t>,</w:t>
      </w:r>
      <w:r>
        <w:rPr>
          <w:spacing w:val="-3"/>
        </w:rPr>
        <w:t> </w:t>
      </w:r>
      <w:r>
        <w:rPr/>
        <w:t>in</w:t>
      </w:r>
      <w:r>
        <w:rPr>
          <w:spacing w:val="-5"/>
        </w:rPr>
        <w:t> </w:t>
      </w:r>
      <w:r>
        <w:rPr/>
        <w:t>2010,</w:t>
      </w:r>
      <w:r>
        <w:rPr>
          <w:spacing w:val="-5"/>
        </w:rPr>
        <w:t> </w:t>
      </w:r>
      <w:r>
        <w:rPr/>
        <w:t>received</w:t>
      </w:r>
      <w:r>
        <w:rPr>
          <w:spacing w:val="-3"/>
        </w:rPr>
        <w:t> </w:t>
      </w:r>
      <w:r>
        <w:rPr/>
        <w:t>her</w:t>
      </w:r>
      <w:r>
        <w:rPr>
          <w:spacing w:val="-2"/>
        </w:rPr>
        <w:t> </w:t>
      </w:r>
      <w:r>
        <w:rPr/>
        <w:t>Ph.D</w:t>
      </w:r>
      <w:r>
        <w:rPr>
          <w:spacing w:val="-2"/>
        </w:rPr>
        <w:t> </w:t>
      </w:r>
      <w:r>
        <w:rPr/>
        <w:t>in</w:t>
      </w:r>
      <w:r>
        <w:rPr>
          <w:spacing w:val="-3"/>
        </w:rPr>
        <w:t> </w:t>
      </w:r>
      <w:r>
        <w:rPr/>
        <w:t>Education</w:t>
      </w:r>
      <w:r>
        <w:rPr>
          <w:spacing w:val="-5"/>
        </w:rPr>
        <w:t> </w:t>
      </w:r>
      <w:r>
        <w:rPr/>
        <w:t>focusing</w:t>
      </w:r>
      <w:r>
        <w:rPr>
          <w:spacing w:val="-3"/>
        </w:rPr>
        <w:t> </w:t>
      </w:r>
      <w:r>
        <w:rPr/>
        <w:t>on</w:t>
      </w:r>
      <w:r>
        <w:rPr>
          <w:spacing w:val="-5"/>
        </w:rPr>
        <w:t> </w:t>
      </w:r>
      <w:r>
        <w:rPr/>
        <w:t>collaborative</w:t>
      </w:r>
      <w:r>
        <w:rPr>
          <w:spacing w:val="-5"/>
        </w:rPr>
        <w:t> </w:t>
      </w:r>
      <w:r>
        <w:rPr/>
        <w:t>teaching pedagogy in interdisciplinary design discip0nes. Additional work includes:</w:t>
      </w:r>
    </w:p>
    <w:p>
      <w:pPr>
        <w:pStyle w:val="BodyText"/>
        <w:spacing w:before="8"/>
      </w:pPr>
    </w:p>
    <w:p>
      <w:pPr>
        <w:pStyle w:val="BodyText"/>
        <w:spacing w:before="1"/>
        <w:ind w:left="1939"/>
      </w:pPr>
      <w:r>
        <w:rPr/>
        <w:t>She</w:t>
      </w:r>
      <w:r>
        <w:rPr>
          <w:spacing w:val="-6"/>
        </w:rPr>
        <w:t> </w:t>
      </w:r>
      <w:r>
        <w:rPr/>
        <w:t>presented</w:t>
      </w:r>
      <w:r>
        <w:rPr>
          <w:spacing w:val="-7"/>
        </w:rPr>
        <w:t> </w:t>
      </w:r>
      <w:r>
        <w:rPr/>
        <w:t>research</w:t>
      </w:r>
      <w:r>
        <w:rPr>
          <w:spacing w:val="-7"/>
        </w:rPr>
        <w:t> </w:t>
      </w:r>
      <w:r>
        <w:rPr/>
        <w:t>at</w:t>
      </w:r>
      <w:r>
        <w:rPr>
          <w:spacing w:val="-5"/>
        </w:rPr>
        <w:t> </w:t>
      </w:r>
      <w:r>
        <w:rPr/>
        <w:t>the</w:t>
      </w:r>
      <w:r>
        <w:rPr>
          <w:spacing w:val="-7"/>
        </w:rPr>
        <w:t> </w:t>
      </w:r>
      <w:r>
        <w:rPr/>
        <w:t>National</w:t>
      </w:r>
      <w:r>
        <w:rPr>
          <w:spacing w:val="-8"/>
        </w:rPr>
        <w:t> </w:t>
      </w:r>
      <w:r>
        <w:rPr/>
        <w:t>Conference</w:t>
      </w:r>
      <w:r>
        <w:rPr>
          <w:spacing w:val="-7"/>
        </w:rPr>
        <w:t> </w:t>
      </w:r>
      <w:r>
        <w:rPr/>
        <w:t>on</w:t>
      </w:r>
      <w:r>
        <w:rPr>
          <w:spacing w:val="-5"/>
        </w:rPr>
        <w:t> </w:t>
      </w:r>
      <w:r>
        <w:rPr/>
        <w:t>the</w:t>
      </w:r>
      <w:r>
        <w:rPr>
          <w:spacing w:val="-6"/>
        </w:rPr>
        <w:t> </w:t>
      </w:r>
      <w:r>
        <w:rPr/>
        <w:t>Beginning</w:t>
      </w:r>
      <w:r>
        <w:rPr>
          <w:spacing w:val="-7"/>
        </w:rPr>
        <w:t> </w:t>
      </w:r>
      <w:r>
        <w:rPr/>
        <w:t>Design</w:t>
      </w:r>
      <w:r>
        <w:rPr>
          <w:spacing w:val="-5"/>
        </w:rPr>
        <w:t> </w:t>
      </w:r>
      <w:r>
        <w:rPr>
          <w:spacing w:val="-2"/>
        </w:rPr>
        <w:t>Student.</w:t>
      </w:r>
    </w:p>
    <w:p>
      <w:pPr>
        <w:pStyle w:val="BodyText"/>
        <w:spacing w:before="10"/>
      </w:pPr>
    </w:p>
    <w:p>
      <w:pPr>
        <w:pStyle w:val="BodyText"/>
        <w:ind w:left="1939" w:right="705"/>
      </w:pPr>
      <w:r>
        <w:rPr/>
        <w:t>She</w:t>
      </w:r>
      <w:r>
        <w:rPr>
          <w:spacing w:val="-2"/>
        </w:rPr>
        <w:t> </w:t>
      </w:r>
      <w:r>
        <w:rPr/>
        <w:t>and</w:t>
      </w:r>
      <w:r>
        <w:rPr>
          <w:spacing w:val="-2"/>
        </w:rPr>
        <w:t> </w:t>
      </w:r>
      <w:r>
        <w:rPr/>
        <w:t>two</w:t>
      </w:r>
      <w:r>
        <w:rPr>
          <w:spacing w:val="-4"/>
        </w:rPr>
        <w:t> </w:t>
      </w:r>
      <w:r>
        <w:rPr/>
        <w:t>colleagues</w:t>
      </w:r>
      <w:r>
        <w:rPr>
          <w:spacing w:val="-3"/>
        </w:rPr>
        <w:t> </w:t>
      </w:r>
      <w:r>
        <w:rPr/>
        <w:t>recently</w:t>
      </w:r>
      <w:r>
        <w:rPr>
          <w:spacing w:val="-5"/>
        </w:rPr>
        <w:t> </w:t>
      </w:r>
      <w:r>
        <w:rPr/>
        <w:t>won</w:t>
      </w:r>
      <w:r>
        <w:rPr>
          <w:spacing w:val="-4"/>
        </w:rPr>
        <w:t> </w:t>
      </w:r>
      <w:r>
        <w:rPr/>
        <w:t>a</w:t>
      </w:r>
      <w:r>
        <w:rPr>
          <w:spacing w:val="-4"/>
        </w:rPr>
        <w:t> </w:t>
      </w:r>
      <w:r>
        <w:rPr/>
        <w:t>merit</w:t>
      </w:r>
      <w:r>
        <w:rPr>
          <w:spacing w:val="-4"/>
        </w:rPr>
        <w:t> </w:t>
      </w:r>
      <w:r>
        <w:rPr/>
        <w:t>award</w:t>
      </w:r>
      <w:r>
        <w:rPr>
          <w:spacing w:val="-4"/>
        </w:rPr>
        <w:t> </w:t>
      </w:r>
      <w:r>
        <w:rPr/>
        <w:t>for</w:t>
      </w:r>
      <w:r>
        <w:rPr>
          <w:spacing w:val="-3"/>
        </w:rPr>
        <w:t> </w:t>
      </w:r>
      <w:r>
        <w:rPr/>
        <w:t>research</w:t>
      </w:r>
      <w:r>
        <w:rPr>
          <w:spacing w:val="-4"/>
        </w:rPr>
        <w:t> </w:t>
      </w:r>
      <w:r>
        <w:rPr/>
        <w:t>from the</w:t>
      </w:r>
      <w:r>
        <w:rPr>
          <w:spacing w:val="-4"/>
        </w:rPr>
        <w:t> </w:t>
      </w:r>
      <w:r>
        <w:rPr/>
        <w:t>Mississippi Chapter of the American Society of Landscape Architects for a project on student learning preferences.</w:t>
      </w:r>
    </w:p>
    <w:p>
      <w:pPr>
        <w:pStyle w:val="BodyText"/>
        <w:spacing w:before="9"/>
      </w:pPr>
    </w:p>
    <w:p>
      <w:pPr>
        <w:pStyle w:val="BodyText"/>
        <w:ind w:left="1939" w:right="705"/>
      </w:pPr>
      <w:r>
        <w:rPr/>
        <w:t>She</w:t>
      </w:r>
      <w:r>
        <w:rPr>
          <w:spacing w:val="-2"/>
        </w:rPr>
        <w:t> </w:t>
      </w:r>
      <w:r>
        <w:rPr/>
        <w:t>had</w:t>
      </w:r>
      <w:r>
        <w:rPr>
          <w:spacing w:val="-2"/>
        </w:rPr>
        <w:t> </w:t>
      </w:r>
      <w:r>
        <w:rPr/>
        <w:t>one</w:t>
      </w:r>
      <w:r>
        <w:rPr>
          <w:spacing w:val="-4"/>
        </w:rPr>
        <w:t> </w:t>
      </w:r>
      <w:r>
        <w:rPr/>
        <w:t>of</w:t>
      </w:r>
      <w:r>
        <w:rPr>
          <w:spacing w:val="-2"/>
        </w:rPr>
        <w:t> </w:t>
      </w:r>
      <w:r>
        <w:rPr/>
        <w:t>her</w:t>
      </w:r>
      <w:r>
        <w:rPr>
          <w:spacing w:val="-3"/>
        </w:rPr>
        <w:t> </w:t>
      </w:r>
      <w:r>
        <w:rPr/>
        <w:t>recent</w:t>
      </w:r>
      <w:r>
        <w:rPr>
          <w:spacing w:val="-2"/>
        </w:rPr>
        <w:t> </w:t>
      </w:r>
      <w:r>
        <w:rPr/>
        <w:t>studies</w:t>
      </w:r>
      <w:r>
        <w:rPr>
          <w:spacing w:val="-1"/>
        </w:rPr>
        <w:t> </w:t>
      </w:r>
      <w:r>
        <w:rPr/>
        <w:t>published</w:t>
      </w:r>
      <w:r>
        <w:rPr>
          <w:spacing w:val="-2"/>
        </w:rPr>
        <w:t> </w:t>
      </w:r>
      <w:r>
        <w:rPr/>
        <w:t>in</w:t>
      </w:r>
      <w:r>
        <w:rPr>
          <w:spacing w:val="-4"/>
        </w:rPr>
        <w:t> </w:t>
      </w:r>
      <w:r>
        <w:rPr/>
        <w:t>the</w:t>
      </w:r>
      <w:r>
        <w:rPr>
          <w:spacing w:val="-2"/>
        </w:rPr>
        <w:t> </w:t>
      </w:r>
      <w:r>
        <w:rPr/>
        <w:t>Spring</w:t>
      </w:r>
      <w:r>
        <w:rPr>
          <w:spacing w:val="-4"/>
        </w:rPr>
        <w:t> </w:t>
      </w:r>
      <w:r>
        <w:rPr/>
        <w:t>2010</w:t>
      </w:r>
      <w:r>
        <w:rPr>
          <w:spacing w:val="-4"/>
        </w:rPr>
        <w:t> </w:t>
      </w:r>
      <w:r>
        <w:rPr/>
        <w:t>journal</w:t>
      </w:r>
      <w:r>
        <w:rPr>
          <w:spacing w:val="-5"/>
        </w:rPr>
        <w:t> </w:t>
      </w:r>
      <w:r>
        <w:rPr/>
        <w:t>of</w:t>
      </w:r>
      <w:r>
        <w:rPr>
          <w:spacing w:val="-2"/>
        </w:rPr>
        <w:t> </w:t>
      </w:r>
      <w:r>
        <w:rPr/>
        <w:t>“Planning</w:t>
      </w:r>
      <w:r>
        <w:rPr>
          <w:spacing w:val="-4"/>
        </w:rPr>
        <w:t> </w:t>
      </w:r>
      <w:r>
        <w:rPr/>
        <w:t>for Higher Education”.</w:t>
      </w:r>
    </w:p>
    <w:p>
      <w:pPr>
        <w:pStyle w:val="BodyText"/>
        <w:spacing w:before="11"/>
      </w:pPr>
    </w:p>
    <w:p>
      <w:pPr>
        <w:pStyle w:val="BodyText"/>
        <w:ind w:left="1939" w:right="499"/>
      </w:pPr>
      <w:r>
        <w:rPr/>
        <w:t>She presented her dissertation work at an American Institute of Higher Education (AmHighEd)</w:t>
      </w:r>
      <w:r>
        <w:rPr>
          <w:spacing w:val="-3"/>
        </w:rPr>
        <w:t> </w:t>
      </w:r>
      <w:r>
        <w:rPr/>
        <w:t>conference</w:t>
      </w:r>
      <w:r>
        <w:rPr>
          <w:spacing w:val="-2"/>
        </w:rPr>
        <w:t> </w:t>
      </w:r>
      <w:r>
        <w:rPr/>
        <w:t>and</w:t>
      </w:r>
      <w:r>
        <w:rPr>
          <w:spacing w:val="-4"/>
        </w:rPr>
        <w:t> </w:t>
      </w:r>
      <w:r>
        <w:rPr/>
        <w:t>to</w:t>
      </w:r>
      <w:r>
        <w:rPr>
          <w:spacing w:val="-4"/>
        </w:rPr>
        <w:t> </w:t>
      </w:r>
      <w:r>
        <w:rPr/>
        <w:t>NASA</w:t>
      </w:r>
      <w:r>
        <w:rPr>
          <w:spacing w:val="-5"/>
        </w:rPr>
        <w:t> </w:t>
      </w:r>
      <w:r>
        <w:rPr/>
        <w:t>researchers</w:t>
      </w:r>
      <w:r>
        <w:rPr>
          <w:spacing w:val="-3"/>
        </w:rPr>
        <w:t> </w:t>
      </w:r>
      <w:r>
        <w:rPr/>
        <w:t>as part</w:t>
      </w:r>
      <w:r>
        <w:rPr>
          <w:spacing w:val="-4"/>
        </w:rPr>
        <w:t> </w:t>
      </w:r>
      <w:r>
        <w:rPr/>
        <w:t>of</w:t>
      </w:r>
      <w:r>
        <w:rPr>
          <w:spacing w:val="-2"/>
        </w:rPr>
        <w:t> </w:t>
      </w:r>
      <w:r>
        <w:rPr/>
        <w:t>a</w:t>
      </w:r>
      <w:r>
        <w:rPr>
          <w:spacing w:val="-4"/>
        </w:rPr>
        <w:t> </w:t>
      </w:r>
      <w:r>
        <w:rPr/>
        <w:t>panel</w:t>
      </w:r>
      <w:r>
        <w:rPr>
          <w:spacing w:val="-5"/>
        </w:rPr>
        <w:t> </w:t>
      </w:r>
      <w:r>
        <w:rPr/>
        <w:t>on</w:t>
      </w:r>
      <w:r>
        <w:rPr>
          <w:spacing w:val="-4"/>
        </w:rPr>
        <w:t> </w:t>
      </w:r>
      <w:r>
        <w:rPr/>
        <w:t>solar</w:t>
      </w:r>
      <w:r>
        <w:rPr>
          <w:spacing w:val="-3"/>
        </w:rPr>
        <w:t> </w:t>
      </w:r>
      <w:r>
        <w:rPr/>
        <w:t>power.</w:t>
      </w:r>
      <w:r>
        <w:rPr>
          <w:spacing w:val="40"/>
        </w:rPr>
        <w:t> </w:t>
      </w:r>
      <w:r>
        <w:rPr/>
        <w:t>Her dissertation explores how universities use the LEED Green Building Rating system.</w:t>
      </w:r>
    </w:p>
    <w:p>
      <w:pPr>
        <w:pStyle w:val="BodyText"/>
        <w:spacing w:before="9"/>
      </w:pPr>
    </w:p>
    <w:p>
      <w:pPr>
        <w:pStyle w:val="BodyText"/>
        <w:ind w:left="1939" w:right="499"/>
      </w:pPr>
      <w:r>
        <w:rPr/>
        <w:t>In</w:t>
      </w:r>
      <w:r>
        <w:rPr>
          <w:spacing w:val="-4"/>
        </w:rPr>
        <w:t> </w:t>
      </w:r>
      <w:r>
        <w:rPr/>
        <w:t>2011,</w:t>
      </w:r>
      <w:r>
        <w:rPr>
          <w:spacing w:val="-2"/>
        </w:rPr>
        <w:t> </w:t>
      </w:r>
      <w:r>
        <w:rPr/>
        <w:t>Dr.</w:t>
      </w:r>
      <w:r>
        <w:rPr>
          <w:spacing w:val="-4"/>
        </w:rPr>
        <w:t> </w:t>
      </w:r>
      <w:r>
        <w:rPr/>
        <w:t>Chance</w:t>
      </w:r>
      <w:r>
        <w:rPr>
          <w:spacing w:val="-4"/>
        </w:rPr>
        <w:t> </w:t>
      </w:r>
      <w:r>
        <w:rPr/>
        <w:t>secured</w:t>
      </w:r>
      <w:r>
        <w:rPr>
          <w:spacing w:val="-4"/>
        </w:rPr>
        <w:t> </w:t>
      </w:r>
      <w:r>
        <w:rPr/>
        <w:t>direct</w:t>
      </w:r>
      <w:r>
        <w:rPr>
          <w:spacing w:val="-4"/>
        </w:rPr>
        <w:t> </w:t>
      </w:r>
      <w:r>
        <w:rPr/>
        <w:t>funding</w:t>
      </w:r>
      <w:r>
        <w:rPr>
          <w:spacing w:val="-4"/>
        </w:rPr>
        <w:t> </w:t>
      </w:r>
      <w:r>
        <w:rPr/>
        <w:t>of</w:t>
      </w:r>
      <w:r>
        <w:rPr>
          <w:spacing w:val="-3"/>
        </w:rPr>
        <w:t> </w:t>
      </w:r>
      <w:r>
        <w:rPr/>
        <w:t>$9,000.00</w:t>
      </w:r>
      <w:r>
        <w:rPr>
          <w:spacing w:val="-4"/>
        </w:rPr>
        <w:t> </w:t>
      </w:r>
      <w:r>
        <w:rPr/>
        <w:t>(co-PI)</w:t>
      </w:r>
      <w:r>
        <w:rPr>
          <w:spacing w:val="-3"/>
        </w:rPr>
        <w:t> </w:t>
      </w:r>
      <w:r>
        <w:rPr/>
        <w:t>from Darryl</w:t>
      </w:r>
      <w:r>
        <w:rPr>
          <w:spacing w:val="-5"/>
        </w:rPr>
        <w:t> </w:t>
      </w:r>
      <w:r>
        <w:rPr/>
        <w:t>and</w:t>
      </w:r>
      <w:r>
        <w:rPr>
          <w:spacing w:val="-4"/>
        </w:rPr>
        <w:t> </w:t>
      </w:r>
      <w:r>
        <w:rPr/>
        <w:t>Robert Davis Foundation.</w:t>
      </w:r>
    </w:p>
    <w:p>
      <w:pPr>
        <w:pStyle w:val="BodyText"/>
        <w:spacing w:before="10"/>
      </w:pPr>
    </w:p>
    <w:p>
      <w:pPr>
        <w:pStyle w:val="BodyText"/>
        <w:spacing w:before="1"/>
        <w:ind w:left="1939" w:right="705"/>
      </w:pPr>
      <w:r>
        <w:rPr/>
        <w:t>In</w:t>
      </w:r>
      <w:r>
        <w:rPr>
          <w:spacing w:val="-4"/>
        </w:rPr>
        <w:t> </w:t>
      </w:r>
      <w:r>
        <w:rPr/>
        <w:t>2012,</w:t>
      </w:r>
      <w:r>
        <w:rPr>
          <w:spacing w:val="-2"/>
        </w:rPr>
        <w:t> </w:t>
      </w:r>
      <w:r>
        <w:rPr/>
        <w:t>Dr.</w:t>
      </w:r>
      <w:r>
        <w:rPr>
          <w:spacing w:val="-4"/>
        </w:rPr>
        <w:t> </w:t>
      </w:r>
      <w:r>
        <w:rPr/>
        <w:t>Chance</w:t>
      </w:r>
      <w:r>
        <w:rPr>
          <w:spacing w:val="-4"/>
        </w:rPr>
        <w:t> </w:t>
      </w:r>
      <w:r>
        <w:rPr/>
        <w:t>successfully</w:t>
      </w:r>
      <w:r>
        <w:rPr>
          <w:spacing w:val="-7"/>
        </w:rPr>
        <w:t> </w:t>
      </w:r>
      <w:r>
        <w:rPr/>
        <w:t>submitted</w:t>
      </w:r>
      <w:r>
        <w:rPr>
          <w:spacing w:val="-2"/>
        </w:rPr>
        <w:t> </w:t>
      </w:r>
      <w:r>
        <w:rPr/>
        <w:t>a</w:t>
      </w:r>
      <w:r>
        <w:rPr>
          <w:spacing w:val="-4"/>
        </w:rPr>
        <w:t> </w:t>
      </w:r>
      <w:r>
        <w:rPr/>
        <w:t>proposal</w:t>
      </w:r>
      <w:r>
        <w:rPr>
          <w:spacing w:val="-5"/>
        </w:rPr>
        <w:t> </w:t>
      </w:r>
      <w:r>
        <w:rPr/>
        <w:t>and</w:t>
      </w:r>
      <w:r>
        <w:rPr>
          <w:spacing w:val="-4"/>
        </w:rPr>
        <w:t> </w:t>
      </w:r>
      <w:r>
        <w:rPr/>
        <w:t>received</w:t>
      </w:r>
      <w:r>
        <w:rPr>
          <w:spacing w:val="-4"/>
        </w:rPr>
        <w:t> </w:t>
      </w:r>
      <w:r>
        <w:rPr/>
        <w:t>a</w:t>
      </w:r>
      <w:r>
        <w:rPr>
          <w:spacing w:val="-2"/>
        </w:rPr>
        <w:t> </w:t>
      </w:r>
      <w:r>
        <w:rPr/>
        <w:t>Fulbright Scholarship to continue her doctoral research in Dublin, Ireland.</w:t>
      </w:r>
    </w:p>
    <w:p>
      <w:pPr>
        <w:pStyle w:val="BodyText"/>
        <w:spacing w:before="8"/>
      </w:pPr>
    </w:p>
    <w:p>
      <w:pPr>
        <w:pStyle w:val="BodyText"/>
        <w:ind w:left="1218" w:right="546"/>
      </w:pPr>
      <w:r>
        <w:rPr>
          <w:b/>
        </w:rPr>
        <w:t>Robert</w:t>
      </w:r>
      <w:r>
        <w:rPr>
          <w:b/>
          <w:spacing w:val="-4"/>
        </w:rPr>
        <w:t> </w:t>
      </w:r>
      <w:r>
        <w:rPr>
          <w:b/>
        </w:rPr>
        <w:t>Easter</w:t>
      </w:r>
      <w:r>
        <w:rPr/>
        <w:t>,</w:t>
      </w:r>
      <w:r>
        <w:rPr>
          <w:spacing w:val="-3"/>
        </w:rPr>
        <w:t> </w:t>
      </w:r>
      <w:r>
        <w:rPr/>
        <w:t>worked</w:t>
      </w:r>
      <w:r>
        <w:rPr>
          <w:spacing w:val="-3"/>
        </w:rPr>
        <w:t> </w:t>
      </w:r>
      <w:r>
        <w:rPr/>
        <w:t>with</w:t>
      </w:r>
      <w:r>
        <w:rPr>
          <w:spacing w:val="-5"/>
        </w:rPr>
        <w:t> </w:t>
      </w:r>
      <w:r>
        <w:rPr/>
        <w:t>the</w:t>
      </w:r>
      <w:r>
        <w:rPr>
          <w:spacing w:val="-3"/>
        </w:rPr>
        <w:t> </w:t>
      </w:r>
      <w:r>
        <w:rPr/>
        <w:t>School</w:t>
      </w:r>
      <w:r>
        <w:rPr>
          <w:spacing w:val="-4"/>
        </w:rPr>
        <w:t> </w:t>
      </w:r>
      <w:r>
        <w:rPr/>
        <w:t>of</w:t>
      </w:r>
      <w:r>
        <w:rPr>
          <w:spacing w:val="-3"/>
        </w:rPr>
        <w:t> </w:t>
      </w:r>
      <w:r>
        <w:rPr/>
        <w:t>Engineering</w:t>
      </w:r>
      <w:r>
        <w:rPr>
          <w:spacing w:val="-5"/>
        </w:rPr>
        <w:t> </w:t>
      </w:r>
      <w:r>
        <w:rPr/>
        <w:t>&amp;</w:t>
      </w:r>
      <w:r>
        <w:rPr>
          <w:spacing w:val="-5"/>
        </w:rPr>
        <w:t> </w:t>
      </w:r>
      <w:r>
        <w:rPr/>
        <w:t>Technology’s</w:t>
      </w:r>
      <w:r>
        <w:rPr>
          <w:spacing w:val="-1"/>
        </w:rPr>
        <w:t> </w:t>
      </w:r>
      <w:r>
        <w:rPr/>
        <w:t>Department</w:t>
      </w:r>
      <w:r>
        <w:rPr>
          <w:spacing w:val="-5"/>
        </w:rPr>
        <w:t> </w:t>
      </w:r>
      <w:r>
        <w:rPr/>
        <w:t>of</w:t>
      </w:r>
      <w:r>
        <w:rPr>
          <w:spacing w:val="-3"/>
        </w:rPr>
        <w:t> </w:t>
      </w:r>
      <w:r>
        <w:rPr/>
        <w:t>Aviation</w:t>
      </w:r>
      <w:r>
        <w:rPr>
          <w:spacing w:val="-5"/>
        </w:rPr>
        <w:t> </w:t>
      </w:r>
      <w:r>
        <w:rPr/>
        <w:t>to develop a course on Airport Design. The Aviation Management degree program required this course as a part of its curriculum, and Easter has been involved with the planning and design of several airport facilities. He used his relationships with officials at those airports to design a course that was of value to both the Aviation and Architecture programs. Students worked collaboratively</w:t>
      </w:r>
      <w:r>
        <w:rPr>
          <w:spacing w:val="-1"/>
        </w:rPr>
        <w:t> </w:t>
      </w:r>
      <w:r>
        <w:rPr/>
        <w:t>to develop a masterplan for a local commuter level airport, along with facilities for each airport.</w:t>
      </w:r>
    </w:p>
    <w:p>
      <w:pPr>
        <w:pStyle w:val="BodyText"/>
        <w:spacing w:before="11"/>
      </w:pPr>
    </w:p>
    <w:p>
      <w:pPr>
        <w:pStyle w:val="BodyText"/>
        <w:ind w:left="1218" w:right="499"/>
      </w:pPr>
      <w:r>
        <w:rPr>
          <w:b/>
        </w:rPr>
        <w:t>Dr. Wesley Henderson </w:t>
      </w:r>
      <w:r>
        <w:rPr/>
        <w:t>has accepted to join a research project that will be based at the Massachusetts</w:t>
      </w:r>
      <w:r>
        <w:rPr>
          <w:spacing w:val="-3"/>
        </w:rPr>
        <w:t> </w:t>
      </w:r>
      <w:r>
        <w:rPr/>
        <w:t>Institute</w:t>
      </w:r>
      <w:r>
        <w:rPr>
          <w:spacing w:val="-4"/>
        </w:rPr>
        <w:t> </w:t>
      </w:r>
      <w:r>
        <w:rPr/>
        <w:t>of Technology.</w:t>
      </w:r>
      <w:r>
        <w:rPr>
          <w:spacing w:val="40"/>
        </w:rPr>
        <w:t> </w:t>
      </w:r>
      <w:r>
        <w:rPr/>
        <w:t>The</w:t>
      </w:r>
      <w:r>
        <w:rPr>
          <w:spacing w:val="-4"/>
        </w:rPr>
        <w:t> </w:t>
      </w:r>
      <w:r>
        <w:rPr/>
        <w:t>project</w:t>
      </w:r>
      <w:r>
        <w:rPr>
          <w:spacing w:val="-4"/>
        </w:rPr>
        <w:t> </w:t>
      </w:r>
      <w:r>
        <w:rPr/>
        <w:t>is a</w:t>
      </w:r>
      <w:r>
        <w:rPr>
          <w:spacing w:val="-4"/>
        </w:rPr>
        <w:t> </w:t>
      </w:r>
      <w:r>
        <w:rPr/>
        <w:t>Digital</w:t>
      </w:r>
      <w:r>
        <w:rPr>
          <w:spacing w:val="-3"/>
        </w:rPr>
        <w:t> </w:t>
      </w:r>
      <w:r>
        <w:rPr/>
        <w:t>Archive</w:t>
      </w:r>
      <w:r>
        <w:rPr>
          <w:spacing w:val="-2"/>
        </w:rPr>
        <w:t> </w:t>
      </w:r>
      <w:r>
        <w:rPr/>
        <w:t>of</w:t>
      </w:r>
      <w:r>
        <w:rPr>
          <w:spacing w:val="-2"/>
        </w:rPr>
        <w:t> </w:t>
      </w:r>
      <w:r>
        <w:rPr/>
        <w:t>Black</w:t>
      </w:r>
      <w:r>
        <w:rPr>
          <w:spacing w:val="-3"/>
        </w:rPr>
        <w:t> </w:t>
      </w:r>
      <w:r>
        <w:rPr/>
        <w:t>Architects.</w:t>
      </w:r>
      <w:r>
        <w:rPr>
          <w:spacing w:val="40"/>
        </w:rPr>
        <w:t> </w:t>
      </w:r>
      <w:r>
        <w:rPr/>
        <w:t>The principal investigator is at MIT.</w:t>
      </w:r>
      <w:r>
        <w:rPr>
          <w:spacing w:val="40"/>
        </w:rPr>
        <w:t> </w:t>
      </w:r>
      <w:r>
        <w:rPr/>
        <w:t>The have applied to the Graham Foundation for $30,000.00.</w:t>
      </w:r>
    </w:p>
    <w:p>
      <w:pPr>
        <w:pStyle w:val="BodyText"/>
        <w:spacing w:before="1"/>
        <w:ind w:left="1218"/>
      </w:pPr>
      <w:r>
        <w:rPr/>
        <w:t>They</w:t>
      </w:r>
      <w:r>
        <w:rPr>
          <w:spacing w:val="-8"/>
        </w:rPr>
        <w:t> </w:t>
      </w:r>
      <w:r>
        <w:rPr/>
        <w:t>are</w:t>
      </w:r>
      <w:r>
        <w:rPr>
          <w:spacing w:val="-4"/>
        </w:rPr>
        <w:t> </w:t>
      </w:r>
      <w:r>
        <w:rPr/>
        <w:t>seeking</w:t>
      </w:r>
      <w:r>
        <w:rPr>
          <w:spacing w:val="-3"/>
        </w:rPr>
        <w:t> </w:t>
      </w:r>
      <w:r>
        <w:rPr/>
        <w:t>to</w:t>
      </w:r>
      <w:r>
        <w:rPr>
          <w:spacing w:val="-4"/>
        </w:rPr>
        <w:t> </w:t>
      </w:r>
      <w:r>
        <w:rPr/>
        <w:t>apply</w:t>
      </w:r>
      <w:r>
        <w:rPr>
          <w:spacing w:val="-5"/>
        </w:rPr>
        <w:t> </w:t>
      </w:r>
      <w:r>
        <w:rPr/>
        <w:t>to</w:t>
      </w:r>
      <w:r>
        <w:rPr>
          <w:spacing w:val="-5"/>
        </w:rPr>
        <w:t> </w:t>
      </w:r>
      <w:r>
        <w:rPr/>
        <w:t>the</w:t>
      </w:r>
      <w:r>
        <w:rPr>
          <w:spacing w:val="-2"/>
        </w:rPr>
        <w:t> </w:t>
      </w:r>
      <w:r>
        <w:rPr/>
        <w:t>Mellon</w:t>
      </w:r>
      <w:r>
        <w:rPr>
          <w:spacing w:val="-5"/>
        </w:rPr>
        <w:t> </w:t>
      </w:r>
      <w:r>
        <w:rPr>
          <w:spacing w:val="-2"/>
        </w:rPr>
        <w:t>Foundation.</w:t>
      </w:r>
    </w:p>
    <w:p>
      <w:pPr>
        <w:spacing w:after="0"/>
        <w:sectPr>
          <w:pgSz w:w="12240" w:h="15840"/>
          <w:pgMar w:header="0" w:footer="974" w:top="1360" w:bottom="1160" w:left="940" w:right="960"/>
        </w:sectPr>
      </w:pPr>
    </w:p>
    <w:p>
      <w:pPr>
        <w:pStyle w:val="BodyText"/>
        <w:spacing w:before="77"/>
        <w:ind w:left="1940"/>
      </w:pPr>
      <w:r>
        <w:rPr/>
        <w:t>In</w:t>
      </w:r>
      <w:r>
        <w:rPr>
          <w:spacing w:val="-6"/>
        </w:rPr>
        <w:t> </w:t>
      </w:r>
      <w:r>
        <w:rPr/>
        <w:t>2012,</w:t>
      </w:r>
      <w:r>
        <w:rPr>
          <w:spacing w:val="-4"/>
        </w:rPr>
        <w:t> </w:t>
      </w:r>
      <w:r>
        <w:rPr/>
        <w:t>he</w:t>
      </w:r>
      <w:r>
        <w:rPr>
          <w:spacing w:val="-4"/>
        </w:rPr>
        <w:t> </w:t>
      </w:r>
      <w:r>
        <w:rPr/>
        <w:t>was</w:t>
      </w:r>
      <w:r>
        <w:rPr>
          <w:spacing w:val="-4"/>
        </w:rPr>
        <w:t> </w:t>
      </w:r>
      <w:r>
        <w:rPr/>
        <w:t>a</w:t>
      </w:r>
      <w:r>
        <w:rPr>
          <w:spacing w:val="-6"/>
        </w:rPr>
        <w:t> </w:t>
      </w:r>
      <w:r>
        <w:rPr/>
        <w:t>recipient</w:t>
      </w:r>
      <w:r>
        <w:rPr>
          <w:spacing w:val="-4"/>
        </w:rPr>
        <w:t> </w:t>
      </w:r>
      <w:r>
        <w:rPr/>
        <w:t>(in</w:t>
      </w:r>
      <w:r>
        <w:rPr>
          <w:spacing w:val="-6"/>
        </w:rPr>
        <w:t> </w:t>
      </w:r>
      <w:r>
        <w:rPr/>
        <w:t>collaboration</w:t>
      </w:r>
      <w:r>
        <w:rPr>
          <w:spacing w:val="-3"/>
        </w:rPr>
        <w:t> </w:t>
      </w:r>
      <w:r>
        <w:rPr/>
        <w:t>with</w:t>
      </w:r>
      <w:r>
        <w:rPr>
          <w:spacing w:val="-6"/>
        </w:rPr>
        <w:t> </w:t>
      </w:r>
      <w:r>
        <w:rPr/>
        <w:t>the</w:t>
      </w:r>
      <w:r>
        <w:rPr>
          <w:spacing w:val="-6"/>
        </w:rPr>
        <w:t> </w:t>
      </w:r>
      <w:r>
        <w:rPr/>
        <w:t>Robert</w:t>
      </w:r>
      <w:r>
        <w:rPr>
          <w:spacing w:val="-5"/>
        </w:rPr>
        <w:t> </w:t>
      </w:r>
      <w:r>
        <w:rPr/>
        <w:t>Taylor</w:t>
      </w:r>
      <w:r>
        <w:rPr>
          <w:spacing w:val="-5"/>
        </w:rPr>
        <w:t> </w:t>
      </w:r>
      <w:r>
        <w:rPr/>
        <w:t>Society</w:t>
      </w:r>
      <w:r>
        <w:rPr>
          <w:spacing w:val="-7"/>
        </w:rPr>
        <w:t> </w:t>
      </w:r>
      <w:r>
        <w:rPr/>
        <w:t>at</w:t>
      </w:r>
      <w:r>
        <w:rPr>
          <w:spacing w:val="-5"/>
        </w:rPr>
        <w:t> </w:t>
      </w:r>
      <w:r>
        <w:rPr/>
        <w:t>MIT),</w:t>
      </w:r>
      <w:r>
        <w:rPr>
          <w:spacing w:val="-6"/>
        </w:rPr>
        <w:t> </w:t>
      </w:r>
      <w:r>
        <w:rPr/>
        <w:t>of</w:t>
      </w:r>
      <w:r>
        <w:rPr>
          <w:spacing w:val="-4"/>
        </w:rPr>
        <w:t> </w:t>
      </w:r>
      <w:r>
        <w:rPr>
          <w:spacing w:val="-10"/>
        </w:rPr>
        <w:t>a</w:t>
      </w:r>
    </w:p>
    <w:p>
      <w:pPr>
        <w:pStyle w:val="BodyText"/>
        <w:ind w:left="1940"/>
      </w:pPr>
      <w:r>
        <w:rPr/>
        <w:t>$15,000</w:t>
      </w:r>
      <w:r>
        <w:rPr>
          <w:spacing w:val="-7"/>
        </w:rPr>
        <w:t> </w:t>
      </w:r>
      <w:r>
        <w:rPr/>
        <w:t>grant</w:t>
      </w:r>
      <w:r>
        <w:rPr>
          <w:spacing w:val="-6"/>
        </w:rPr>
        <w:t> </w:t>
      </w:r>
      <w:r>
        <w:rPr/>
        <w:t>to</w:t>
      </w:r>
      <w:r>
        <w:rPr>
          <w:spacing w:val="-6"/>
        </w:rPr>
        <w:t> </w:t>
      </w:r>
      <w:r>
        <w:rPr/>
        <w:t>develop</w:t>
      </w:r>
      <w:r>
        <w:rPr>
          <w:spacing w:val="-6"/>
        </w:rPr>
        <w:t> </w:t>
      </w:r>
      <w:r>
        <w:rPr/>
        <w:t>a</w:t>
      </w:r>
      <w:r>
        <w:rPr>
          <w:spacing w:val="-6"/>
        </w:rPr>
        <w:t> </w:t>
      </w:r>
      <w:r>
        <w:rPr/>
        <w:t>digital</w:t>
      </w:r>
      <w:r>
        <w:rPr>
          <w:spacing w:val="-8"/>
        </w:rPr>
        <w:t> </w:t>
      </w:r>
      <w:r>
        <w:rPr/>
        <w:t>documentation</w:t>
      </w:r>
      <w:r>
        <w:rPr>
          <w:spacing w:val="-8"/>
        </w:rPr>
        <w:t> </w:t>
      </w:r>
      <w:r>
        <w:rPr/>
        <w:t>of</w:t>
      </w:r>
      <w:r>
        <w:rPr>
          <w:spacing w:val="-6"/>
        </w:rPr>
        <w:t> </w:t>
      </w:r>
      <w:r>
        <w:rPr/>
        <w:t>African</w:t>
      </w:r>
      <w:r>
        <w:rPr>
          <w:spacing w:val="-6"/>
        </w:rPr>
        <w:t> </w:t>
      </w:r>
      <w:r>
        <w:rPr/>
        <w:t>American</w:t>
      </w:r>
      <w:r>
        <w:rPr>
          <w:spacing w:val="-8"/>
        </w:rPr>
        <w:t> </w:t>
      </w:r>
      <w:r>
        <w:rPr>
          <w:spacing w:val="-2"/>
        </w:rPr>
        <w:t>Architects.</w:t>
      </w:r>
    </w:p>
    <w:p>
      <w:pPr>
        <w:pStyle w:val="BodyText"/>
        <w:spacing w:before="11"/>
      </w:pPr>
    </w:p>
    <w:p>
      <w:pPr>
        <w:pStyle w:val="BodyText"/>
        <w:ind w:left="1940" w:right="522"/>
      </w:pPr>
      <w:r>
        <w:rPr/>
        <w:t>Wesley Henderson continued to work on a book, which will be a biography of African American architect, John S. Chase. Tentative publishing date is October 2014. The committed publisher is the University of Texas Press. There will be a major museum exhibition of Chase’s work that will start in October 2014, in Houston, Texas. Henderson will be involved in that exhibition.</w:t>
      </w:r>
      <w:r>
        <w:rPr>
          <w:spacing w:val="73"/>
        </w:rPr>
        <w:t> </w:t>
      </w:r>
      <w:r>
        <w:rPr/>
        <w:t>Chase was an alumnus of Hampton and was a</w:t>
      </w:r>
      <w:r>
        <w:rPr/>
        <w:t> member</w:t>
      </w:r>
      <w:r>
        <w:rPr>
          <w:spacing w:val="-3"/>
        </w:rPr>
        <w:t> </w:t>
      </w:r>
      <w:r>
        <w:rPr/>
        <w:t>of</w:t>
      </w:r>
      <w:r>
        <w:rPr>
          <w:spacing w:val="-2"/>
        </w:rPr>
        <w:t> </w:t>
      </w:r>
      <w:r>
        <w:rPr/>
        <w:t>the</w:t>
      </w:r>
      <w:r>
        <w:rPr>
          <w:spacing w:val="-4"/>
        </w:rPr>
        <w:t> </w:t>
      </w:r>
      <w:r>
        <w:rPr/>
        <w:t>Board</w:t>
      </w:r>
      <w:r>
        <w:rPr>
          <w:spacing w:val="-4"/>
        </w:rPr>
        <w:t> </w:t>
      </w:r>
      <w:r>
        <w:rPr/>
        <w:t>of</w:t>
      </w:r>
      <w:r>
        <w:rPr>
          <w:spacing w:val="-2"/>
        </w:rPr>
        <w:t> </w:t>
      </w:r>
      <w:r>
        <w:rPr/>
        <w:t>Trustees.</w:t>
      </w:r>
      <w:r>
        <w:rPr>
          <w:spacing w:val="40"/>
        </w:rPr>
        <w:t> </w:t>
      </w:r>
      <w:r>
        <w:rPr/>
        <w:t>Chase</w:t>
      </w:r>
      <w:r>
        <w:rPr>
          <w:spacing w:val="-2"/>
        </w:rPr>
        <w:t> </w:t>
      </w:r>
      <w:r>
        <w:rPr/>
        <w:t>was</w:t>
      </w:r>
      <w:r>
        <w:rPr>
          <w:spacing w:val="-3"/>
        </w:rPr>
        <w:t> </w:t>
      </w:r>
      <w:r>
        <w:rPr/>
        <w:t>a</w:t>
      </w:r>
      <w:r>
        <w:rPr>
          <w:spacing w:val="-4"/>
        </w:rPr>
        <w:t> </w:t>
      </w:r>
      <w:r>
        <w:rPr/>
        <w:t>native</w:t>
      </w:r>
      <w:r>
        <w:rPr>
          <w:spacing w:val="-4"/>
        </w:rPr>
        <w:t> </w:t>
      </w:r>
      <w:r>
        <w:rPr/>
        <w:t>of</w:t>
      </w:r>
      <w:r>
        <w:rPr>
          <w:spacing w:val="-2"/>
        </w:rPr>
        <w:t> </w:t>
      </w:r>
      <w:r>
        <w:rPr/>
        <w:t>Annapolis,</w:t>
      </w:r>
      <w:r>
        <w:rPr>
          <w:spacing w:val="-4"/>
        </w:rPr>
        <w:t> </w:t>
      </w:r>
      <w:r>
        <w:rPr/>
        <w:t>MD.</w:t>
      </w:r>
      <w:r>
        <w:rPr>
          <w:spacing w:val="40"/>
        </w:rPr>
        <w:t> </w:t>
      </w:r>
      <w:r>
        <w:rPr/>
        <w:t>I</w:t>
      </w:r>
      <w:r>
        <w:rPr>
          <w:spacing w:val="-4"/>
        </w:rPr>
        <w:t> </w:t>
      </w:r>
      <w:r>
        <w:rPr/>
        <w:t>have</w:t>
      </w:r>
      <w:r>
        <w:rPr>
          <w:spacing w:val="-2"/>
        </w:rPr>
        <w:t> </w:t>
      </w:r>
      <w:r>
        <w:rPr/>
        <w:t>traveled there to photograph buildings Chase knew in his childhood.</w:t>
      </w:r>
    </w:p>
    <w:p>
      <w:pPr>
        <w:pStyle w:val="BodyText"/>
        <w:spacing w:before="6"/>
      </w:pPr>
    </w:p>
    <w:p>
      <w:pPr>
        <w:pStyle w:val="BodyText"/>
        <w:spacing w:line="242" w:lineRule="auto"/>
        <w:ind w:left="1219" w:right="705"/>
      </w:pPr>
      <w:r>
        <w:rPr>
          <w:b/>
        </w:rPr>
        <w:t>Ronald</w:t>
      </w:r>
      <w:r>
        <w:rPr>
          <w:b/>
          <w:spacing w:val="-3"/>
        </w:rPr>
        <w:t> </w:t>
      </w:r>
      <w:r>
        <w:rPr>
          <w:b/>
        </w:rPr>
        <w:t>Kloster</w:t>
      </w:r>
      <w:r>
        <w:rPr/>
        <w:t>,</w:t>
      </w:r>
      <w:r>
        <w:rPr>
          <w:spacing w:val="-4"/>
        </w:rPr>
        <w:t> </w:t>
      </w:r>
      <w:r>
        <w:rPr/>
        <w:t>has worked</w:t>
      </w:r>
      <w:r>
        <w:rPr>
          <w:spacing w:val="-2"/>
        </w:rPr>
        <w:t> </w:t>
      </w:r>
      <w:r>
        <w:rPr/>
        <w:t>with</w:t>
      </w:r>
      <w:r>
        <w:rPr>
          <w:spacing w:val="-4"/>
        </w:rPr>
        <w:t> </w:t>
      </w:r>
      <w:r>
        <w:rPr/>
        <w:t>the</w:t>
      </w:r>
      <w:r>
        <w:rPr>
          <w:spacing w:val="-4"/>
        </w:rPr>
        <w:t> </w:t>
      </w:r>
      <w:r>
        <w:rPr/>
        <w:t>National</w:t>
      </w:r>
      <w:r>
        <w:rPr>
          <w:spacing w:val="-5"/>
        </w:rPr>
        <w:t> </w:t>
      </w:r>
      <w:r>
        <w:rPr/>
        <w:t>Park Service</w:t>
      </w:r>
      <w:r>
        <w:rPr>
          <w:spacing w:val="-4"/>
        </w:rPr>
        <w:t> </w:t>
      </w:r>
      <w:r>
        <w:rPr/>
        <w:t>to</w:t>
      </w:r>
      <w:r>
        <w:rPr>
          <w:spacing w:val="-4"/>
        </w:rPr>
        <w:t> </w:t>
      </w:r>
      <w:r>
        <w:rPr/>
        <w:t>conduct</w:t>
      </w:r>
      <w:r>
        <w:rPr>
          <w:spacing w:val="-4"/>
        </w:rPr>
        <w:t> </w:t>
      </w:r>
      <w:r>
        <w:rPr/>
        <w:t>a</w:t>
      </w:r>
      <w:r>
        <w:rPr>
          <w:spacing w:val="-4"/>
        </w:rPr>
        <w:t> </w:t>
      </w:r>
      <w:r>
        <w:rPr/>
        <w:t>two-day</w:t>
      </w:r>
      <w:r>
        <w:rPr>
          <w:spacing w:val="-5"/>
        </w:rPr>
        <w:t> </w:t>
      </w:r>
      <w:r>
        <w:rPr/>
        <w:t>workshop</w:t>
      </w:r>
      <w:r>
        <w:rPr>
          <w:spacing w:val="-4"/>
        </w:rPr>
        <w:t> </w:t>
      </w:r>
      <w:r>
        <w:rPr/>
        <w:t>on Historic Preservation in the department, as well as working as a board member of the Norfolk Preservation Alliance. He has also been instrumental in involving students with the Hard Hat Tours that AIA Hampton Roads organizes to projects under various stages of construction.</w:t>
      </w:r>
    </w:p>
    <w:p>
      <w:pPr>
        <w:pStyle w:val="BodyText"/>
        <w:spacing w:before="2"/>
      </w:pPr>
    </w:p>
    <w:p>
      <w:pPr>
        <w:pStyle w:val="BodyText"/>
        <w:spacing w:line="242" w:lineRule="auto" w:before="1"/>
        <w:ind w:left="1219" w:right="499"/>
      </w:pPr>
      <w:r>
        <w:rPr>
          <w:b/>
        </w:rPr>
        <w:t>Carminia</w:t>
      </w:r>
      <w:r>
        <w:rPr>
          <w:b/>
          <w:spacing w:val="-4"/>
        </w:rPr>
        <w:t> </w:t>
      </w:r>
      <w:r>
        <w:rPr>
          <w:b/>
        </w:rPr>
        <w:t>Sanchez</w:t>
      </w:r>
      <w:r>
        <w:rPr>
          <w:b/>
          <w:spacing w:val="-3"/>
        </w:rPr>
        <w:t> </w:t>
      </w:r>
      <w:r>
        <w:rPr>
          <w:b/>
        </w:rPr>
        <w:t>Del</w:t>
      </w:r>
      <w:r>
        <w:rPr>
          <w:b/>
          <w:spacing w:val="-4"/>
        </w:rPr>
        <w:t> </w:t>
      </w:r>
      <w:r>
        <w:rPr>
          <w:b/>
        </w:rPr>
        <w:t>Valle</w:t>
      </w:r>
      <w:r>
        <w:rPr/>
        <w:t>,</w:t>
      </w:r>
      <w:r>
        <w:rPr>
          <w:spacing w:val="-4"/>
        </w:rPr>
        <w:t> </w:t>
      </w:r>
      <w:r>
        <w:rPr/>
        <w:t>has</w:t>
      </w:r>
      <w:r>
        <w:rPr>
          <w:spacing w:val="-3"/>
        </w:rPr>
        <w:t> </w:t>
      </w:r>
      <w:r>
        <w:rPr/>
        <w:t>sought</w:t>
      </w:r>
      <w:r>
        <w:rPr>
          <w:spacing w:val="-4"/>
        </w:rPr>
        <w:t> </w:t>
      </w:r>
      <w:r>
        <w:rPr/>
        <w:t>collaboration</w:t>
      </w:r>
      <w:r>
        <w:rPr>
          <w:spacing w:val="-2"/>
        </w:rPr>
        <w:t> </w:t>
      </w:r>
      <w:r>
        <w:rPr/>
        <w:t>with</w:t>
      </w:r>
      <w:r>
        <w:rPr>
          <w:spacing w:val="-2"/>
        </w:rPr>
        <w:t> </w:t>
      </w:r>
      <w:r>
        <w:rPr/>
        <w:t>the</w:t>
      </w:r>
      <w:r>
        <w:rPr>
          <w:spacing w:val="-2"/>
        </w:rPr>
        <w:t> </w:t>
      </w:r>
      <w:r>
        <w:rPr/>
        <w:t>School</w:t>
      </w:r>
      <w:r>
        <w:rPr>
          <w:spacing w:val="-3"/>
        </w:rPr>
        <w:t> </w:t>
      </w:r>
      <w:r>
        <w:rPr/>
        <w:t>of</w:t>
      </w:r>
      <w:r>
        <w:rPr>
          <w:spacing w:val="-2"/>
        </w:rPr>
        <w:t> </w:t>
      </w:r>
      <w:r>
        <w:rPr/>
        <w:t>Liberal</w:t>
      </w:r>
      <w:r>
        <w:rPr>
          <w:spacing w:val="-3"/>
        </w:rPr>
        <w:t> </w:t>
      </w:r>
      <w:r>
        <w:rPr/>
        <w:t>Arts</w:t>
      </w:r>
      <w:r>
        <w:rPr>
          <w:spacing w:val="-3"/>
        </w:rPr>
        <w:t> </w:t>
      </w:r>
      <w:r>
        <w:rPr/>
        <w:t>to</w:t>
      </w:r>
      <w:r>
        <w:rPr>
          <w:spacing w:val="-4"/>
        </w:rPr>
        <w:t> </w:t>
      </w:r>
      <w:r>
        <w:rPr/>
        <w:t>submit several grants. Among her accomplishments during the past six years are the following:</w:t>
      </w:r>
    </w:p>
    <w:p>
      <w:pPr>
        <w:pStyle w:val="BodyText"/>
        <w:spacing w:before="6"/>
      </w:pPr>
    </w:p>
    <w:p>
      <w:pPr>
        <w:pStyle w:val="BodyText"/>
        <w:ind w:left="1939" w:right="705"/>
      </w:pPr>
      <w:r>
        <w:rPr/>
        <w:t>Dr. Carmina</w:t>
      </w:r>
      <w:r>
        <w:rPr>
          <w:spacing w:val="40"/>
        </w:rPr>
        <w:t> </w:t>
      </w:r>
      <w:r>
        <w:rPr/>
        <w:t>Sánchez-del-Valle. ACSA Distinguished Professor, Association of Collegiate</w:t>
      </w:r>
      <w:r>
        <w:rPr>
          <w:spacing w:val="-6"/>
        </w:rPr>
        <w:t> </w:t>
      </w:r>
      <w:r>
        <w:rPr/>
        <w:t>Schools</w:t>
      </w:r>
      <w:r>
        <w:rPr>
          <w:spacing w:val="-5"/>
        </w:rPr>
        <w:t> </w:t>
      </w:r>
      <w:r>
        <w:rPr/>
        <w:t>of</w:t>
      </w:r>
      <w:r>
        <w:rPr>
          <w:spacing w:val="-4"/>
        </w:rPr>
        <w:t> </w:t>
      </w:r>
      <w:r>
        <w:rPr/>
        <w:t>Architecture</w:t>
      </w:r>
      <w:r>
        <w:rPr>
          <w:spacing w:val="-6"/>
        </w:rPr>
        <w:t> </w:t>
      </w:r>
      <w:r>
        <w:rPr/>
        <w:t>(ACSA),</w:t>
      </w:r>
      <w:r>
        <w:rPr>
          <w:spacing w:val="-4"/>
        </w:rPr>
        <w:t> </w:t>
      </w:r>
      <w:r>
        <w:rPr/>
        <w:t>College</w:t>
      </w:r>
      <w:r>
        <w:rPr>
          <w:spacing w:val="-4"/>
        </w:rPr>
        <w:t> </w:t>
      </w:r>
      <w:r>
        <w:rPr/>
        <w:t>of</w:t>
      </w:r>
      <w:r>
        <w:rPr>
          <w:spacing w:val="-4"/>
        </w:rPr>
        <w:t> </w:t>
      </w:r>
      <w:r>
        <w:rPr/>
        <w:t>Distinguished</w:t>
      </w:r>
      <w:r>
        <w:rPr>
          <w:spacing w:val="-4"/>
        </w:rPr>
        <w:t> </w:t>
      </w:r>
      <w:r>
        <w:rPr/>
        <w:t>Professors.</w:t>
      </w:r>
      <w:r>
        <w:rPr>
          <w:spacing w:val="-6"/>
        </w:rPr>
        <w:t> </w:t>
      </w:r>
      <w:r>
        <w:rPr/>
        <w:t>March </w:t>
      </w:r>
      <w:r>
        <w:rPr>
          <w:spacing w:val="-2"/>
        </w:rPr>
        <w:t>2011.</w:t>
      </w:r>
    </w:p>
    <w:p>
      <w:pPr>
        <w:pStyle w:val="BodyText"/>
        <w:spacing w:before="11"/>
      </w:pPr>
    </w:p>
    <w:p>
      <w:pPr>
        <w:pStyle w:val="BodyText"/>
        <w:ind w:left="1939" w:right="499"/>
      </w:pPr>
      <w:r>
        <w:rPr/>
        <w:t>Dr. Carmina Sanchez-del-Valle . Co-coordinator: ACSA Women Leadership Council Session.</w:t>
      </w:r>
      <w:r>
        <w:rPr>
          <w:spacing w:val="-6"/>
        </w:rPr>
        <w:t> </w:t>
      </w:r>
      <w:r>
        <w:rPr/>
        <w:t>Association</w:t>
      </w:r>
      <w:r>
        <w:rPr>
          <w:spacing w:val="-6"/>
        </w:rPr>
        <w:t> </w:t>
      </w:r>
      <w:r>
        <w:rPr/>
        <w:t>of</w:t>
      </w:r>
      <w:r>
        <w:rPr>
          <w:spacing w:val="-4"/>
        </w:rPr>
        <w:t> </w:t>
      </w:r>
      <w:r>
        <w:rPr/>
        <w:t>Collegiate</w:t>
      </w:r>
      <w:r>
        <w:rPr>
          <w:spacing w:val="-6"/>
        </w:rPr>
        <w:t> </w:t>
      </w:r>
      <w:r>
        <w:rPr/>
        <w:t>Schools</w:t>
      </w:r>
      <w:r>
        <w:rPr>
          <w:spacing w:val="-5"/>
        </w:rPr>
        <w:t> </w:t>
      </w:r>
      <w:r>
        <w:rPr/>
        <w:t>of</w:t>
      </w:r>
      <w:r>
        <w:rPr>
          <w:spacing w:val="-4"/>
        </w:rPr>
        <w:t> </w:t>
      </w:r>
      <w:r>
        <w:rPr/>
        <w:t>Architecture</w:t>
      </w:r>
      <w:r>
        <w:rPr>
          <w:spacing w:val="-6"/>
        </w:rPr>
        <w:t> </w:t>
      </w:r>
      <w:r>
        <w:rPr/>
        <w:t>(ACSA)</w:t>
      </w:r>
      <w:r>
        <w:rPr>
          <w:spacing w:val="-3"/>
        </w:rPr>
        <w:t> </w:t>
      </w:r>
      <w:r>
        <w:rPr/>
        <w:t>99th</w:t>
      </w:r>
      <w:r>
        <w:rPr>
          <w:spacing w:val="-4"/>
        </w:rPr>
        <w:t> </w:t>
      </w:r>
      <w:r>
        <w:rPr/>
        <w:t>Annual</w:t>
      </w:r>
      <w:r>
        <w:rPr>
          <w:spacing w:val="-5"/>
        </w:rPr>
        <w:t> </w:t>
      </w:r>
      <w:r>
        <w:rPr/>
        <w:t>Meeting. Montréal, Canada. March 2011.</w:t>
      </w:r>
    </w:p>
    <w:p>
      <w:pPr>
        <w:pStyle w:val="BodyText"/>
        <w:spacing w:before="9"/>
      </w:pPr>
    </w:p>
    <w:p>
      <w:pPr>
        <w:pStyle w:val="BodyText"/>
        <w:ind w:left="1938" w:right="580"/>
      </w:pPr>
      <w:r>
        <w:rPr/>
        <w:t>Dr. Carmina Sanchez-del-Valle.</w:t>
      </w:r>
      <w:r>
        <w:rPr>
          <w:spacing w:val="40"/>
        </w:rPr>
        <w:t> </w:t>
      </w:r>
      <w:r>
        <w:rPr/>
        <w:t>Panelist, Teaching Teachers To Teach (TTTT): “The Collaborative</w:t>
      </w:r>
      <w:r>
        <w:rPr>
          <w:spacing w:val="-4"/>
        </w:rPr>
        <w:t> </w:t>
      </w:r>
      <w:r>
        <w:rPr/>
        <w:t>Playbook.”</w:t>
      </w:r>
      <w:r>
        <w:rPr>
          <w:spacing w:val="-5"/>
        </w:rPr>
        <w:t> </w:t>
      </w:r>
      <w:r>
        <w:rPr/>
        <w:t>Association</w:t>
      </w:r>
      <w:r>
        <w:rPr>
          <w:spacing w:val="-6"/>
        </w:rPr>
        <w:t> </w:t>
      </w:r>
      <w:r>
        <w:rPr/>
        <w:t>of</w:t>
      </w:r>
      <w:r>
        <w:rPr>
          <w:spacing w:val="-4"/>
        </w:rPr>
        <w:t> </w:t>
      </w:r>
      <w:r>
        <w:rPr/>
        <w:t>Collegiate</w:t>
      </w:r>
      <w:r>
        <w:rPr>
          <w:spacing w:val="-4"/>
        </w:rPr>
        <w:t> </w:t>
      </w:r>
      <w:r>
        <w:rPr/>
        <w:t>Schools</w:t>
      </w:r>
      <w:r>
        <w:rPr>
          <w:spacing w:val="-5"/>
        </w:rPr>
        <w:t> </w:t>
      </w:r>
      <w:r>
        <w:rPr/>
        <w:t>of</w:t>
      </w:r>
      <w:r>
        <w:rPr>
          <w:spacing w:val="-4"/>
        </w:rPr>
        <w:t> </w:t>
      </w:r>
      <w:r>
        <w:rPr/>
        <w:t>Architecture</w:t>
      </w:r>
      <w:r>
        <w:rPr>
          <w:spacing w:val="-6"/>
        </w:rPr>
        <w:t> </w:t>
      </w:r>
      <w:r>
        <w:rPr/>
        <w:t>(ACSA)</w:t>
      </w:r>
      <w:r>
        <w:rPr>
          <w:spacing w:val="-5"/>
        </w:rPr>
        <w:t> </w:t>
      </w:r>
      <w:r>
        <w:rPr/>
        <w:t>99th Annual Meeting. Montreal, Canada. March 2011.Dr.</w:t>
      </w:r>
      <w:r>
        <w:rPr>
          <w:spacing w:val="40"/>
        </w:rPr>
        <w:t> </w:t>
      </w:r>
      <w:r>
        <w:rPr/>
        <w:t>Carmina Sanchez-del-Valle - Served as Team Chair for the National Architectural Accrediting Board (NAAB) accreditation of the program at the College of Architecture and Design, Department of Architecture, Lawrence Technological University in Detroit, Michigan. October 2013 to April 2014.</w:t>
      </w:r>
    </w:p>
    <w:p>
      <w:pPr>
        <w:pStyle w:val="BodyText"/>
        <w:spacing w:before="11"/>
      </w:pPr>
    </w:p>
    <w:p>
      <w:pPr>
        <w:pStyle w:val="BodyText"/>
        <w:ind w:left="1938" w:right="705"/>
      </w:pPr>
      <w:r>
        <w:rPr/>
        <w:t>Invited Participation in Symposium and Exhibition: Mapping Meaning (March 2014) Curator</w:t>
      </w:r>
      <w:r>
        <w:rPr>
          <w:spacing w:val="-4"/>
        </w:rPr>
        <w:t> </w:t>
      </w:r>
      <w:r>
        <w:rPr/>
        <w:t>Krista</w:t>
      </w:r>
      <w:r>
        <w:rPr>
          <w:spacing w:val="-7"/>
        </w:rPr>
        <w:t> </w:t>
      </w:r>
      <w:r>
        <w:rPr/>
        <w:t>Caballero</w:t>
      </w:r>
      <w:r>
        <w:rPr>
          <w:spacing w:val="-7"/>
        </w:rPr>
        <w:t> </w:t>
      </w:r>
      <w:r>
        <w:rPr/>
        <w:t>Grossman</w:t>
      </w:r>
      <w:r>
        <w:rPr>
          <w:spacing w:val="-7"/>
        </w:rPr>
        <w:t> </w:t>
      </w:r>
      <w:r>
        <w:rPr/>
        <w:t>Gallery,</w:t>
      </w:r>
      <w:r>
        <w:rPr>
          <w:spacing w:val="-5"/>
        </w:rPr>
        <w:t> </w:t>
      </w:r>
      <w:r>
        <w:rPr/>
        <w:t>Lafayette</w:t>
      </w:r>
      <w:r>
        <w:rPr>
          <w:spacing w:val="-5"/>
        </w:rPr>
        <w:t> </w:t>
      </w:r>
      <w:r>
        <w:rPr/>
        <w:t>College</w:t>
      </w:r>
      <w:r>
        <w:rPr>
          <w:spacing w:val="-7"/>
        </w:rPr>
        <w:t> </w:t>
      </w:r>
      <w:r>
        <w:rPr/>
        <w:t>Easton,</w:t>
      </w:r>
      <w:r>
        <w:rPr>
          <w:spacing w:val="-5"/>
        </w:rPr>
        <w:t> </w:t>
      </w:r>
      <w:r>
        <w:rPr/>
        <w:t>Pennsylvania</w:t>
      </w:r>
    </w:p>
    <w:p>
      <w:pPr>
        <w:pStyle w:val="BodyText"/>
        <w:spacing w:before="11"/>
      </w:pPr>
    </w:p>
    <w:p>
      <w:pPr>
        <w:pStyle w:val="BodyText"/>
        <w:ind w:left="1938" w:right="705"/>
      </w:pPr>
      <w:r>
        <w:rPr/>
        <w:t>Invited</w:t>
      </w:r>
      <w:r>
        <w:rPr>
          <w:spacing w:val="-6"/>
        </w:rPr>
        <w:t> </w:t>
      </w:r>
      <w:r>
        <w:rPr/>
        <w:t>Guest</w:t>
      </w:r>
      <w:r>
        <w:rPr>
          <w:spacing w:val="-4"/>
        </w:rPr>
        <w:t> </w:t>
      </w:r>
      <w:r>
        <w:rPr/>
        <w:t>Lecture.</w:t>
      </w:r>
      <w:r>
        <w:rPr>
          <w:spacing w:val="-4"/>
        </w:rPr>
        <w:t> </w:t>
      </w:r>
      <w:r>
        <w:rPr/>
        <w:t>Hampton</w:t>
      </w:r>
      <w:r>
        <w:rPr>
          <w:spacing w:val="-4"/>
        </w:rPr>
        <w:t> </w:t>
      </w:r>
      <w:r>
        <w:rPr/>
        <w:t>History</w:t>
      </w:r>
      <w:r>
        <w:rPr>
          <w:spacing w:val="-8"/>
        </w:rPr>
        <w:t> </w:t>
      </w:r>
      <w:r>
        <w:rPr/>
        <w:t>Museum,</w:t>
      </w:r>
      <w:r>
        <w:rPr>
          <w:spacing w:val="-6"/>
        </w:rPr>
        <w:t> </w:t>
      </w:r>
      <w:r>
        <w:rPr/>
        <w:t>“Slabtown:</w:t>
      </w:r>
      <w:r>
        <w:rPr>
          <w:spacing w:val="-6"/>
        </w:rPr>
        <w:t> </w:t>
      </w:r>
      <w:r>
        <w:rPr/>
        <w:t>An</w:t>
      </w:r>
      <w:r>
        <w:rPr>
          <w:spacing w:val="-6"/>
        </w:rPr>
        <w:t> </w:t>
      </w:r>
      <w:r>
        <w:rPr/>
        <w:t>Architecture</w:t>
      </w:r>
      <w:r>
        <w:rPr>
          <w:spacing w:val="-4"/>
        </w:rPr>
        <w:t> </w:t>
      </w:r>
      <w:r>
        <w:rPr/>
        <w:t>of Practicality and Improvisation” January 6, 2014</w:t>
      </w:r>
    </w:p>
    <w:p>
      <w:pPr>
        <w:pStyle w:val="BodyText"/>
        <w:spacing w:before="8"/>
      </w:pPr>
    </w:p>
    <w:p>
      <w:pPr>
        <w:pStyle w:val="BodyText"/>
        <w:ind w:left="1938" w:right="705"/>
      </w:pPr>
      <w:r>
        <w:rPr/>
        <w:t>Invited</w:t>
      </w:r>
      <w:r>
        <w:rPr>
          <w:spacing w:val="-10"/>
        </w:rPr>
        <w:t> </w:t>
      </w:r>
      <w:r>
        <w:rPr/>
        <w:t>Workshop:</w:t>
      </w:r>
      <w:r>
        <w:rPr>
          <w:spacing w:val="-5"/>
        </w:rPr>
        <w:t> </w:t>
      </w:r>
      <w:r>
        <w:rPr/>
        <w:t>Visiting</w:t>
      </w:r>
      <w:r>
        <w:rPr>
          <w:spacing w:val="-3"/>
        </w:rPr>
        <w:t> </w:t>
      </w:r>
      <w:r>
        <w:rPr/>
        <w:t>Artist:</w:t>
      </w:r>
      <w:r>
        <w:rPr>
          <w:spacing w:val="-5"/>
        </w:rPr>
        <w:t> </w:t>
      </w:r>
      <w:r>
        <w:rPr/>
        <w:t>“Infinite</w:t>
      </w:r>
      <w:r>
        <w:rPr>
          <w:spacing w:val="-3"/>
        </w:rPr>
        <w:t> </w:t>
      </w:r>
      <w:r>
        <w:rPr/>
        <w:t>Space:</w:t>
      </w:r>
      <w:r>
        <w:rPr>
          <w:spacing w:val="-3"/>
        </w:rPr>
        <w:t> </w:t>
      </w:r>
      <w:r>
        <w:rPr/>
        <w:t>Shared</w:t>
      </w:r>
      <w:r>
        <w:rPr>
          <w:spacing w:val="-5"/>
        </w:rPr>
        <w:t> </w:t>
      </w:r>
      <w:r>
        <w:rPr/>
        <w:t>Terrain”</w:t>
      </w:r>
      <w:r>
        <w:rPr>
          <w:spacing w:val="-4"/>
        </w:rPr>
        <w:t> </w:t>
      </w:r>
      <w:r>
        <w:rPr/>
        <w:t>Mapping</w:t>
      </w:r>
      <w:r>
        <w:rPr>
          <w:spacing w:val="-8"/>
        </w:rPr>
        <w:t> </w:t>
      </w:r>
      <w:r>
        <w:rPr/>
        <w:t>Workshop (November 14, 2013) Department of Art and Grossman Gallery, Lafayette College, Easton, Pennsylvania</w:t>
      </w:r>
    </w:p>
    <w:p>
      <w:pPr>
        <w:pStyle w:val="BodyText"/>
        <w:rPr>
          <w:sz w:val="21"/>
        </w:rPr>
      </w:pPr>
    </w:p>
    <w:p>
      <w:pPr>
        <w:pStyle w:val="BodyText"/>
        <w:ind w:left="1938" w:right="705"/>
      </w:pPr>
      <w:r>
        <w:rPr/>
        <w:t>Moderator</w:t>
      </w:r>
      <w:r>
        <w:rPr>
          <w:spacing w:val="-4"/>
        </w:rPr>
        <w:t> </w:t>
      </w:r>
      <w:r>
        <w:rPr/>
        <w:t>(in</w:t>
      </w:r>
      <w:r>
        <w:rPr>
          <w:spacing w:val="-5"/>
        </w:rPr>
        <w:t> </w:t>
      </w:r>
      <w:r>
        <w:rPr/>
        <w:t>place</w:t>
      </w:r>
      <w:r>
        <w:rPr>
          <w:spacing w:val="-5"/>
        </w:rPr>
        <w:t> </w:t>
      </w:r>
      <w:r>
        <w:rPr/>
        <w:t>of</w:t>
      </w:r>
      <w:r>
        <w:rPr>
          <w:spacing w:val="-3"/>
        </w:rPr>
        <w:t> </w:t>
      </w:r>
      <w:r>
        <w:rPr/>
        <w:t>Prof.</w:t>
      </w:r>
      <w:r>
        <w:rPr>
          <w:spacing w:val="-3"/>
        </w:rPr>
        <w:t> </w:t>
      </w:r>
      <w:r>
        <w:rPr/>
        <w:t>LaVerne</w:t>
      </w:r>
      <w:r>
        <w:rPr>
          <w:spacing w:val="-8"/>
        </w:rPr>
        <w:t> </w:t>
      </w:r>
      <w:r>
        <w:rPr/>
        <w:t>Wells-Bowie)</w:t>
      </w:r>
      <w:r>
        <w:rPr>
          <w:spacing w:val="-4"/>
        </w:rPr>
        <w:t> </w:t>
      </w:r>
      <w:r>
        <w:rPr/>
        <w:t>“Design</w:t>
      </w:r>
      <w:r>
        <w:rPr>
          <w:spacing w:val="-3"/>
        </w:rPr>
        <w:t> </w:t>
      </w:r>
      <w:r>
        <w:rPr/>
        <w:t>Pedagogy”</w:t>
      </w:r>
      <w:r>
        <w:rPr>
          <w:spacing w:val="-2"/>
        </w:rPr>
        <w:t> </w:t>
      </w:r>
      <w:r>
        <w:rPr/>
        <w:t>Session.</w:t>
      </w:r>
      <w:r>
        <w:rPr>
          <w:spacing w:val="-3"/>
        </w:rPr>
        <w:t> </w:t>
      </w:r>
      <w:r>
        <w:rPr/>
        <w:t>ACSA Annual Conference, Miami, Fl April 2014.</w:t>
      </w:r>
    </w:p>
    <w:p>
      <w:pPr>
        <w:pStyle w:val="BodyText"/>
        <w:spacing w:before="11"/>
      </w:pPr>
    </w:p>
    <w:p>
      <w:pPr>
        <w:pStyle w:val="BodyText"/>
        <w:ind w:left="1938" w:right="705"/>
      </w:pPr>
      <w:r>
        <w:rPr/>
        <w:t>Collaboration on presentation of proposal with Dr. Karima Jeffrey [HU-English] for UNCF/Mellon</w:t>
      </w:r>
      <w:r>
        <w:rPr>
          <w:spacing w:val="-7"/>
        </w:rPr>
        <w:t> </w:t>
      </w:r>
      <w:r>
        <w:rPr/>
        <w:t>Teaching</w:t>
      </w:r>
      <w:r>
        <w:rPr>
          <w:spacing w:val="-5"/>
        </w:rPr>
        <w:t> </w:t>
      </w:r>
      <w:r>
        <w:rPr/>
        <w:t>and</w:t>
      </w:r>
      <w:r>
        <w:rPr>
          <w:spacing w:val="-7"/>
        </w:rPr>
        <w:t> </w:t>
      </w:r>
      <w:r>
        <w:rPr/>
        <w:t>Learning</w:t>
      </w:r>
      <w:r>
        <w:rPr>
          <w:spacing w:val="-7"/>
        </w:rPr>
        <w:t> </w:t>
      </w:r>
      <w:r>
        <w:rPr/>
        <w:t>Institute:</w:t>
      </w:r>
      <w:r>
        <w:rPr>
          <w:spacing w:val="-5"/>
        </w:rPr>
        <w:t> </w:t>
      </w:r>
      <w:r>
        <w:rPr/>
        <w:t>Expanding</w:t>
      </w:r>
      <w:r>
        <w:rPr>
          <w:spacing w:val="-7"/>
        </w:rPr>
        <w:t> </w:t>
      </w:r>
      <w:r>
        <w:rPr/>
        <w:t>the</w:t>
      </w:r>
      <w:r>
        <w:rPr>
          <w:spacing w:val="-7"/>
        </w:rPr>
        <w:t> </w:t>
      </w:r>
      <w:r>
        <w:rPr/>
        <w:t>Harlem</w:t>
      </w:r>
      <w:r>
        <w:rPr>
          <w:spacing w:val="-2"/>
        </w:rPr>
        <w:t> </w:t>
      </w:r>
      <w:r>
        <w:rPr/>
        <w:t>Renaissance’s Relevance across the HBCU Curriculum Nov. 4-6, 2013 at Paine College, Augusta, Georgia. Proposal title: Here, I Am, Now: Literary Spaces and Physical for an interdisciplinary micro-seminar to be implemented in Spring 2014. Funded by </w:t>
      </w:r>
      <w:r>
        <w:rPr>
          <w:spacing w:val="-2"/>
        </w:rPr>
        <w:t>UNCF/Mellon.</w:t>
      </w:r>
    </w:p>
    <w:p>
      <w:pPr>
        <w:spacing w:after="0"/>
        <w:sectPr>
          <w:pgSz w:w="12240" w:h="15840"/>
          <w:pgMar w:header="0" w:footer="974" w:top="1360" w:bottom="1160" w:left="940" w:right="960"/>
        </w:sectPr>
      </w:pPr>
    </w:p>
    <w:p>
      <w:pPr>
        <w:pStyle w:val="BodyText"/>
        <w:spacing w:before="77"/>
        <w:ind w:left="1940" w:right="499"/>
      </w:pPr>
      <w:r>
        <w:rPr/>
        <w:t>Micro-Seminar</w:t>
      </w:r>
      <w:r>
        <w:rPr>
          <w:spacing w:val="-4"/>
        </w:rPr>
        <w:t> </w:t>
      </w:r>
      <w:r>
        <w:rPr/>
        <w:t>incorporated</w:t>
      </w:r>
      <w:r>
        <w:rPr>
          <w:spacing w:val="-5"/>
        </w:rPr>
        <w:t> </w:t>
      </w:r>
      <w:r>
        <w:rPr/>
        <w:t>into</w:t>
      </w:r>
      <w:r>
        <w:rPr>
          <w:spacing w:val="-3"/>
        </w:rPr>
        <w:t> </w:t>
      </w:r>
      <w:r>
        <w:rPr/>
        <w:t>Spring</w:t>
      </w:r>
      <w:r>
        <w:rPr>
          <w:spacing w:val="-5"/>
        </w:rPr>
        <w:t> </w:t>
      </w:r>
      <w:r>
        <w:rPr/>
        <w:t>2014</w:t>
      </w:r>
      <w:r>
        <w:rPr>
          <w:spacing w:val="-3"/>
        </w:rPr>
        <w:t> </w:t>
      </w:r>
      <w:r>
        <w:rPr/>
        <w:t>Dr.</w:t>
      </w:r>
      <w:r>
        <w:rPr>
          <w:spacing w:val="-5"/>
        </w:rPr>
        <w:t> </w:t>
      </w:r>
      <w:r>
        <w:rPr/>
        <w:t>Jeffrey’s</w:t>
      </w:r>
      <w:r>
        <w:rPr>
          <w:spacing w:val="-2"/>
        </w:rPr>
        <w:t> </w:t>
      </w:r>
      <w:r>
        <w:rPr/>
        <w:t>English</w:t>
      </w:r>
      <w:r>
        <w:rPr>
          <w:spacing w:val="-5"/>
        </w:rPr>
        <w:t> </w:t>
      </w:r>
      <w:r>
        <w:rPr/>
        <w:t>102</w:t>
      </w:r>
      <w:r>
        <w:rPr>
          <w:spacing w:val="-5"/>
        </w:rPr>
        <w:t> </w:t>
      </w:r>
      <w:r>
        <w:rPr/>
        <w:t>section</w:t>
      </w:r>
      <w:r>
        <w:rPr>
          <w:spacing w:val="-3"/>
        </w:rPr>
        <w:t> </w:t>
      </w:r>
      <w:r>
        <w:rPr/>
        <w:t>and</w:t>
      </w:r>
      <w:r>
        <w:rPr>
          <w:spacing w:val="-5"/>
        </w:rPr>
        <w:t> </w:t>
      </w:r>
      <w:r>
        <w:rPr/>
        <w:t>ARC 617: Community Design Issues for three sessions.</w:t>
      </w:r>
    </w:p>
    <w:p>
      <w:pPr>
        <w:pStyle w:val="BodyText"/>
        <w:spacing w:before="11"/>
      </w:pPr>
    </w:p>
    <w:p>
      <w:pPr>
        <w:pStyle w:val="BodyText"/>
        <w:ind w:left="1939" w:right="830"/>
      </w:pPr>
      <w:r>
        <w:rPr/>
        <w:t>Published Essay:</w:t>
      </w:r>
      <w:r>
        <w:rPr>
          <w:spacing w:val="-1"/>
        </w:rPr>
        <w:t> </w:t>
      </w:r>
      <w:r>
        <w:rPr/>
        <w:t>“Outing</w:t>
      </w:r>
      <w:r>
        <w:rPr>
          <w:spacing w:val="-1"/>
        </w:rPr>
        <w:t> </w:t>
      </w:r>
      <w:r>
        <w:rPr/>
        <w:t>our Optimal</w:t>
      </w:r>
      <w:r>
        <w:rPr>
          <w:spacing w:val="-2"/>
        </w:rPr>
        <w:t> </w:t>
      </w:r>
      <w:r>
        <w:rPr/>
        <w:t>and</w:t>
      </w:r>
      <w:r>
        <w:rPr>
          <w:spacing w:val="-1"/>
        </w:rPr>
        <w:t> </w:t>
      </w:r>
      <w:r>
        <w:rPr/>
        <w:t>Invincible Architecture in</w:t>
      </w:r>
      <w:r>
        <w:rPr>
          <w:spacing w:val="-1"/>
        </w:rPr>
        <w:t> </w:t>
      </w:r>
      <w:r>
        <w:rPr/>
        <w:t>Uncertain</w:t>
      </w:r>
      <w:r>
        <w:rPr>
          <w:spacing w:val="-1"/>
        </w:rPr>
        <w:t> </w:t>
      </w:r>
      <w:r>
        <w:rPr/>
        <w:t>Times” (p.188-191)</w:t>
      </w:r>
      <w:r>
        <w:rPr>
          <w:spacing w:val="-5"/>
        </w:rPr>
        <w:t> </w:t>
      </w:r>
      <w:r>
        <w:rPr/>
        <w:t>In</w:t>
      </w:r>
      <w:r>
        <w:rPr>
          <w:spacing w:val="-6"/>
        </w:rPr>
        <w:t> </w:t>
      </w:r>
      <w:r>
        <w:rPr/>
        <w:t>Unconventional</w:t>
      </w:r>
      <w:r>
        <w:rPr>
          <w:spacing w:val="-5"/>
        </w:rPr>
        <w:t> </w:t>
      </w:r>
      <w:r>
        <w:rPr/>
        <w:t>Computing:</w:t>
      </w:r>
      <w:r>
        <w:rPr>
          <w:spacing w:val="-6"/>
        </w:rPr>
        <w:t> </w:t>
      </w:r>
      <w:r>
        <w:rPr/>
        <w:t>Design</w:t>
      </w:r>
      <w:r>
        <w:rPr>
          <w:spacing w:val="-4"/>
        </w:rPr>
        <w:t> </w:t>
      </w:r>
      <w:r>
        <w:rPr/>
        <w:t>Methods</w:t>
      </w:r>
      <w:r>
        <w:rPr>
          <w:spacing w:val="-5"/>
        </w:rPr>
        <w:t> </w:t>
      </w:r>
      <w:r>
        <w:rPr/>
        <w:t>for</w:t>
      </w:r>
      <w:r>
        <w:rPr>
          <w:spacing w:val="-5"/>
        </w:rPr>
        <w:t> </w:t>
      </w:r>
      <w:r>
        <w:rPr/>
        <w:t>Adaptive</w:t>
      </w:r>
      <w:r>
        <w:rPr>
          <w:spacing w:val="-6"/>
        </w:rPr>
        <w:t> </w:t>
      </w:r>
      <w:r>
        <w:rPr/>
        <w:t>Architecture. Rachel Armstrong and Simone Ferracina, eds. ACADIA and Riverside Architectural Press. 2013</w:t>
      </w:r>
    </w:p>
    <w:p>
      <w:pPr>
        <w:pStyle w:val="BodyText"/>
        <w:spacing w:before="9"/>
      </w:pPr>
    </w:p>
    <w:p>
      <w:pPr>
        <w:pStyle w:val="BodyText"/>
        <w:ind w:left="1940" w:right="705"/>
      </w:pPr>
      <w:r>
        <w:rPr/>
        <w:t>Book Chapter: Design Collaborative Learning in Design Studio Education Space Unveiled:</w:t>
      </w:r>
      <w:r>
        <w:rPr>
          <w:spacing w:val="-4"/>
        </w:rPr>
        <w:t> </w:t>
      </w:r>
      <w:r>
        <w:rPr/>
        <w:t>Invisible</w:t>
      </w:r>
      <w:r>
        <w:rPr>
          <w:spacing w:val="-6"/>
        </w:rPr>
        <w:t> </w:t>
      </w:r>
      <w:r>
        <w:rPr/>
        <w:t>Cultures</w:t>
      </w:r>
      <w:r>
        <w:rPr>
          <w:spacing w:val="-2"/>
        </w:rPr>
        <w:t> </w:t>
      </w:r>
      <w:r>
        <w:rPr/>
        <w:t>in</w:t>
      </w:r>
      <w:r>
        <w:rPr>
          <w:spacing w:val="-6"/>
        </w:rPr>
        <w:t> </w:t>
      </w:r>
      <w:r>
        <w:rPr/>
        <w:t>the</w:t>
      </w:r>
      <w:r>
        <w:rPr>
          <w:spacing w:val="-6"/>
        </w:rPr>
        <w:t> </w:t>
      </w:r>
      <w:r>
        <w:rPr/>
        <w:t>Design</w:t>
      </w:r>
      <w:r>
        <w:rPr>
          <w:spacing w:val="-6"/>
        </w:rPr>
        <w:t> </w:t>
      </w:r>
      <w:r>
        <w:rPr/>
        <w:t>Studio.</w:t>
      </w:r>
      <w:r>
        <w:rPr>
          <w:spacing w:val="-2"/>
        </w:rPr>
        <w:t> </w:t>
      </w:r>
      <w:r>
        <w:rPr/>
        <w:t>Carla</w:t>
      </w:r>
      <w:r>
        <w:rPr>
          <w:spacing w:val="-4"/>
        </w:rPr>
        <w:t> </w:t>
      </w:r>
      <w:r>
        <w:rPr/>
        <w:t>Jackson</w:t>
      </w:r>
      <w:r>
        <w:rPr>
          <w:spacing w:val="-6"/>
        </w:rPr>
        <w:t> </w:t>
      </w:r>
      <w:r>
        <w:rPr/>
        <w:t>Bell,</w:t>
      </w:r>
      <w:r>
        <w:rPr>
          <w:spacing w:val="-4"/>
        </w:rPr>
        <w:t> </w:t>
      </w:r>
      <w:r>
        <w:rPr/>
        <w:t>ed.</w:t>
      </w:r>
      <w:r>
        <w:rPr>
          <w:spacing w:val="-3"/>
        </w:rPr>
        <w:t> </w:t>
      </w:r>
      <w:r>
        <w:rPr/>
        <w:t>England: Informa UK/Taylor and Francis/ Routledge. (Forthcoming 2014)</w:t>
      </w:r>
    </w:p>
    <w:p>
      <w:pPr>
        <w:pStyle w:val="BodyText"/>
        <w:spacing w:before="9"/>
      </w:pPr>
    </w:p>
    <w:p>
      <w:pPr>
        <w:pStyle w:val="BodyText"/>
        <w:ind w:left="1940" w:right="499"/>
      </w:pPr>
      <w:r>
        <w:rPr/>
        <w:t>Dr.</w:t>
      </w:r>
      <w:r>
        <w:rPr>
          <w:spacing w:val="-5"/>
        </w:rPr>
        <w:t> </w:t>
      </w:r>
      <w:r>
        <w:rPr/>
        <w:t>Carmina</w:t>
      </w:r>
      <w:r>
        <w:rPr>
          <w:spacing w:val="-5"/>
        </w:rPr>
        <w:t> </w:t>
      </w:r>
      <w:r>
        <w:rPr/>
        <w:t>Sanchez</w:t>
      </w:r>
      <w:r>
        <w:rPr>
          <w:spacing w:val="-6"/>
        </w:rPr>
        <w:t> </w:t>
      </w:r>
      <w:r>
        <w:rPr/>
        <w:t>presented</w:t>
      </w:r>
      <w:r>
        <w:rPr>
          <w:spacing w:val="-5"/>
        </w:rPr>
        <w:t> </w:t>
      </w:r>
      <w:r>
        <w:rPr/>
        <w:t>a</w:t>
      </w:r>
      <w:r>
        <w:rPr>
          <w:spacing w:val="-3"/>
        </w:rPr>
        <w:t> </w:t>
      </w:r>
      <w:r>
        <w:rPr/>
        <w:t>lecture</w:t>
      </w:r>
      <w:r>
        <w:rPr>
          <w:spacing w:val="-3"/>
        </w:rPr>
        <w:t> </w:t>
      </w:r>
      <w:r>
        <w:rPr/>
        <w:t>“Comics:</w:t>
      </w:r>
      <w:r>
        <w:rPr>
          <w:spacing w:val="-7"/>
        </w:rPr>
        <w:t> </w:t>
      </w:r>
      <w:r>
        <w:rPr/>
        <w:t>Thick</w:t>
      </w:r>
      <w:r>
        <w:rPr>
          <w:spacing w:val="-1"/>
        </w:rPr>
        <w:t> </w:t>
      </w:r>
      <w:r>
        <w:rPr/>
        <w:t>Description</w:t>
      </w:r>
      <w:r>
        <w:rPr>
          <w:spacing w:val="-3"/>
        </w:rPr>
        <w:t> </w:t>
      </w:r>
      <w:r>
        <w:rPr/>
        <w:t>of</w:t>
      </w:r>
      <w:r>
        <w:rPr>
          <w:spacing w:val="-3"/>
        </w:rPr>
        <w:t> </w:t>
      </w:r>
      <w:r>
        <w:rPr/>
        <w:t>the</w:t>
      </w:r>
      <w:r>
        <w:rPr>
          <w:spacing w:val="-5"/>
        </w:rPr>
        <w:t> </w:t>
      </w:r>
      <w:r>
        <w:rPr/>
        <w:t>City”</w:t>
      </w:r>
      <w:r>
        <w:rPr>
          <w:spacing w:val="-2"/>
        </w:rPr>
        <w:t> </w:t>
      </w:r>
      <w:r>
        <w:rPr/>
        <w:t>(2009- 2010 Lecture Series – Sense Recession: What come Next?) on March 10, 2010 at the School of Architecture, Polytechnic University of</w:t>
      </w:r>
      <w:r>
        <w:rPr>
          <w:spacing w:val="40"/>
        </w:rPr>
        <w:t> </w:t>
      </w:r>
      <w:r>
        <w:rPr/>
        <w:t>Puerto Rico, San Juan.</w:t>
      </w:r>
    </w:p>
    <w:p>
      <w:pPr>
        <w:pStyle w:val="BodyText"/>
        <w:rPr>
          <w:sz w:val="21"/>
        </w:rPr>
      </w:pPr>
    </w:p>
    <w:p>
      <w:pPr>
        <w:pStyle w:val="BodyText"/>
        <w:ind w:left="1940" w:right="580"/>
      </w:pPr>
      <w:r>
        <w:rPr/>
        <w:t>Dr. Carmina Sanchez - [Presentation in English]. Making ‘City’ the Hard Way: Commonalities Among Distortions French language Comics Conference. Miami University: Oxford, Ohio. 2-3 November 2012. This was also presented at our Department</w:t>
      </w:r>
      <w:r>
        <w:rPr>
          <w:spacing w:val="-5"/>
        </w:rPr>
        <w:t> </w:t>
      </w:r>
      <w:r>
        <w:rPr/>
        <w:t>of</w:t>
      </w:r>
      <w:r>
        <w:rPr>
          <w:spacing w:val="-3"/>
        </w:rPr>
        <w:t> </w:t>
      </w:r>
      <w:r>
        <w:rPr/>
        <w:t>Architecture</w:t>
      </w:r>
      <w:r>
        <w:rPr>
          <w:spacing w:val="-3"/>
        </w:rPr>
        <w:t> </w:t>
      </w:r>
      <w:r>
        <w:rPr/>
        <w:t>Lecture</w:t>
      </w:r>
      <w:r>
        <w:rPr>
          <w:spacing w:val="-3"/>
        </w:rPr>
        <w:t> </w:t>
      </w:r>
      <w:r>
        <w:rPr/>
        <w:t>Series</w:t>
      </w:r>
      <w:r>
        <w:rPr>
          <w:spacing w:val="-4"/>
        </w:rPr>
        <w:t> </w:t>
      </w:r>
      <w:r>
        <w:rPr/>
        <w:t>Spring</w:t>
      </w:r>
      <w:r>
        <w:rPr>
          <w:spacing w:val="-3"/>
        </w:rPr>
        <w:t> </w:t>
      </w:r>
      <w:r>
        <w:rPr/>
        <w:t>2013.</w:t>
      </w:r>
      <w:r>
        <w:rPr>
          <w:spacing w:val="-5"/>
        </w:rPr>
        <w:t> </w:t>
      </w:r>
      <w:r>
        <w:rPr/>
        <w:t>Bemis</w:t>
      </w:r>
      <w:r>
        <w:rPr>
          <w:spacing w:val="-4"/>
        </w:rPr>
        <w:t> </w:t>
      </w:r>
      <w:r>
        <w:rPr/>
        <w:t>Hall,</w:t>
      </w:r>
      <w:r>
        <w:rPr>
          <w:spacing w:val="-5"/>
        </w:rPr>
        <w:t> </w:t>
      </w:r>
      <w:r>
        <w:rPr/>
        <w:t>March</w:t>
      </w:r>
      <w:r>
        <w:rPr>
          <w:spacing w:val="-5"/>
        </w:rPr>
        <w:t> </w:t>
      </w:r>
      <w:r>
        <w:rPr/>
        <w:t>1,</w:t>
      </w:r>
      <w:r>
        <w:rPr>
          <w:spacing w:val="-3"/>
        </w:rPr>
        <w:t> </w:t>
      </w:r>
      <w:r>
        <w:rPr/>
        <w:t>2013</w:t>
      </w:r>
      <w:r>
        <w:rPr>
          <w:spacing w:val="-5"/>
        </w:rPr>
        <w:t> </w:t>
      </w:r>
      <w:r>
        <w:rPr/>
        <w:t>and was submitted for publication in the European Comic Art Journal. Pending.</w:t>
      </w:r>
    </w:p>
    <w:p>
      <w:pPr>
        <w:pStyle w:val="BodyText"/>
        <w:spacing w:before="10"/>
      </w:pPr>
    </w:p>
    <w:p>
      <w:pPr>
        <w:pStyle w:val="BodyText"/>
        <w:ind w:left="1939" w:right="705"/>
      </w:pPr>
      <w:r>
        <w:rPr/>
        <w:t>Dr.</w:t>
      </w:r>
      <w:r>
        <w:rPr>
          <w:spacing w:val="-4"/>
        </w:rPr>
        <w:t> </w:t>
      </w:r>
      <w:r>
        <w:rPr/>
        <w:t>Carmina</w:t>
      </w:r>
      <w:r>
        <w:rPr>
          <w:spacing w:val="-4"/>
        </w:rPr>
        <w:t> </w:t>
      </w:r>
      <w:r>
        <w:rPr/>
        <w:t>Sanchez</w:t>
      </w:r>
      <w:r>
        <w:rPr>
          <w:spacing w:val="-5"/>
        </w:rPr>
        <w:t> </w:t>
      </w:r>
      <w:r>
        <w:rPr/>
        <w:t>-</w:t>
      </w:r>
      <w:r>
        <w:rPr>
          <w:spacing w:val="-3"/>
        </w:rPr>
        <w:t> </w:t>
      </w:r>
      <w:r>
        <w:rPr/>
        <w:t>[Presentation]</w:t>
      </w:r>
      <w:r>
        <w:rPr>
          <w:spacing w:val="-4"/>
        </w:rPr>
        <w:t> </w:t>
      </w:r>
      <w:r>
        <w:rPr/>
        <w:t>A</w:t>
      </w:r>
      <w:r>
        <w:rPr>
          <w:spacing w:val="-2"/>
        </w:rPr>
        <w:t> </w:t>
      </w:r>
      <w:r>
        <w:rPr/>
        <w:t>Graphic</w:t>
      </w:r>
      <w:r>
        <w:rPr>
          <w:spacing w:val="-3"/>
        </w:rPr>
        <w:t> </w:t>
      </w:r>
      <w:r>
        <w:rPr/>
        <w:t>Novel’s</w:t>
      </w:r>
      <w:r>
        <w:rPr>
          <w:spacing w:val="-3"/>
        </w:rPr>
        <w:t> </w:t>
      </w:r>
      <w:r>
        <w:rPr/>
        <w:t>View</w:t>
      </w:r>
      <w:r>
        <w:rPr>
          <w:spacing w:val="-4"/>
        </w:rPr>
        <w:t> </w:t>
      </w:r>
      <w:r>
        <w:rPr/>
        <w:t>of</w:t>
      </w:r>
      <w:r>
        <w:rPr>
          <w:spacing w:val="-2"/>
        </w:rPr>
        <w:t> </w:t>
      </w:r>
      <w:r>
        <w:rPr/>
        <w:t>the</w:t>
      </w:r>
      <w:r>
        <w:rPr>
          <w:spacing w:val="-4"/>
        </w:rPr>
        <w:t> </w:t>
      </w:r>
      <w:r>
        <w:rPr/>
        <w:t>NYC’s</w:t>
      </w:r>
      <w:r>
        <w:rPr>
          <w:spacing w:val="-3"/>
        </w:rPr>
        <w:t> </w:t>
      </w:r>
      <w:r>
        <w:rPr/>
        <w:t>Subway Underworld. Topic Area: Comics and Comic Art XIV: Beyond the Stereotype.</w:t>
      </w:r>
      <w:r>
        <w:rPr>
          <w:spacing w:val="40"/>
        </w:rPr>
        <w:t> </w:t>
      </w:r>
      <w:r>
        <w:rPr/>
        <w:t>The National Popular Culture Association/ American Culture Association [PCA/ACA] Conference, Washington D.C.</w:t>
      </w:r>
      <w:r>
        <w:rPr>
          <w:spacing w:val="40"/>
        </w:rPr>
        <w:t> </w:t>
      </w:r>
      <w:r>
        <w:rPr/>
        <w:t>March 29, 2013.</w:t>
      </w:r>
    </w:p>
    <w:p>
      <w:pPr>
        <w:pStyle w:val="BodyText"/>
        <w:spacing w:before="7"/>
      </w:pPr>
    </w:p>
    <w:p>
      <w:pPr>
        <w:pStyle w:val="BodyText"/>
        <w:ind w:left="1219" w:right="482"/>
      </w:pPr>
      <w:r>
        <w:rPr/>
        <w:t>While active in our program, </w:t>
      </w:r>
      <w:r>
        <w:rPr>
          <w:b/>
        </w:rPr>
        <w:t>Professor Daisy Williams</w:t>
      </w:r>
      <w:r>
        <w:rPr>
          <w:b/>
          <w:spacing w:val="40"/>
        </w:rPr>
        <w:t> </w:t>
      </w:r>
      <w:r>
        <w:rPr/>
        <w:t>co-authored an ACSA National Conference</w:t>
      </w:r>
      <w:r>
        <w:rPr>
          <w:spacing w:val="-1"/>
        </w:rPr>
        <w:t> </w:t>
      </w:r>
      <w:r>
        <w:rPr/>
        <w:t>panel</w:t>
      </w:r>
      <w:r>
        <w:rPr>
          <w:spacing w:val="-2"/>
        </w:rPr>
        <w:t> </w:t>
      </w:r>
      <w:r>
        <w:rPr/>
        <w:t>proposal on</w:t>
      </w:r>
      <w:r>
        <w:rPr>
          <w:spacing w:val="-1"/>
        </w:rPr>
        <w:t> </w:t>
      </w:r>
      <w:r>
        <w:rPr/>
        <w:t>the</w:t>
      </w:r>
      <w:r>
        <w:rPr>
          <w:spacing w:val="-1"/>
        </w:rPr>
        <w:t> </w:t>
      </w:r>
      <w:r>
        <w:rPr/>
        <w:t>state</w:t>
      </w:r>
      <w:r>
        <w:rPr>
          <w:spacing w:val="-1"/>
        </w:rPr>
        <w:t> </w:t>
      </w:r>
      <w:r>
        <w:rPr/>
        <w:t>of drawing in Architectural education. She</w:t>
      </w:r>
      <w:r>
        <w:rPr>
          <w:spacing w:val="-1"/>
        </w:rPr>
        <w:t> </w:t>
      </w:r>
      <w:r>
        <w:rPr/>
        <w:t>also served</w:t>
      </w:r>
      <w:r>
        <w:rPr>
          <w:spacing w:val="-1"/>
        </w:rPr>
        <w:t> </w:t>
      </w:r>
      <w:r>
        <w:rPr/>
        <w:t>as co-principle</w:t>
      </w:r>
      <w:r>
        <w:rPr>
          <w:spacing w:val="-3"/>
        </w:rPr>
        <w:t> </w:t>
      </w:r>
      <w:r>
        <w:rPr/>
        <w:t>investigator</w:t>
      </w:r>
      <w:r>
        <w:rPr>
          <w:spacing w:val="-4"/>
        </w:rPr>
        <w:t> </w:t>
      </w:r>
      <w:r>
        <w:rPr/>
        <w:t>in an</w:t>
      </w:r>
      <w:r>
        <w:rPr>
          <w:spacing w:val="-5"/>
        </w:rPr>
        <w:t> </w:t>
      </w:r>
      <w:r>
        <w:rPr/>
        <w:t>application</w:t>
      </w:r>
      <w:r>
        <w:rPr>
          <w:spacing w:val="-3"/>
        </w:rPr>
        <w:t> </w:t>
      </w:r>
      <w:r>
        <w:rPr/>
        <w:t>to</w:t>
      </w:r>
      <w:r>
        <w:rPr>
          <w:spacing w:val="-5"/>
        </w:rPr>
        <w:t> </w:t>
      </w:r>
      <w:r>
        <w:rPr/>
        <w:t>the</w:t>
      </w:r>
      <w:r>
        <w:rPr>
          <w:spacing w:val="-5"/>
        </w:rPr>
        <w:t> </w:t>
      </w:r>
      <w:r>
        <w:rPr/>
        <w:t>National</w:t>
      </w:r>
      <w:r>
        <w:rPr>
          <w:spacing w:val="-4"/>
        </w:rPr>
        <w:t> </w:t>
      </w:r>
      <w:r>
        <w:rPr/>
        <w:t>Endowment</w:t>
      </w:r>
      <w:r>
        <w:rPr>
          <w:spacing w:val="-5"/>
        </w:rPr>
        <w:t> </w:t>
      </w:r>
      <w:r>
        <w:rPr/>
        <w:t>for</w:t>
      </w:r>
      <w:r>
        <w:rPr>
          <w:spacing w:val="-4"/>
        </w:rPr>
        <w:t> </w:t>
      </w:r>
      <w:r>
        <w:rPr/>
        <w:t>the</w:t>
      </w:r>
      <w:r>
        <w:rPr>
          <w:spacing w:val="-5"/>
        </w:rPr>
        <w:t> </w:t>
      </w:r>
      <w:r>
        <w:rPr/>
        <w:t>Humanities</w:t>
      </w:r>
      <w:r>
        <w:rPr>
          <w:spacing w:val="-4"/>
        </w:rPr>
        <w:t> </w:t>
      </w:r>
      <w:r>
        <w:rPr/>
        <w:t>for</w:t>
      </w:r>
      <w:r>
        <w:rPr>
          <w:spacing w:val="-4"/>
        </w:rPr>
        <w:t> </w:t>
      </w:r>
      <w:r>
        <w:rPr/>
        <w:t>Digital Humanities Grant Funding for the project entitled “Freedom Fortress Island” and as co-principle investigator in</w:t>
      </w:r>
      <w:r>
        <w:rPr>
          <w:spacing w:val="-1"/>
        </w:rPr>
        <w:t> </w:t>
      </w:r>
      <w:r>
        <w:rPr/>
        <w:t>an</w:t>
      </w:r>
      <w:r>
        <w:rPr>
          <w:spacing w:val="-1"/>
        </w:rPr>
        <w:t> </w:t>
      </w:r>
      <w:r>
        <w:rPr/>
        <w:t>application</w:t>
      </w:r>
      <w:r>
        <w:rPr>
          <w:spacing w:val="-3"/>
        </w:rPr>
        <w:t> </w:t>
      </w:r>
      <w:r>
        <w:rPr/>
        <w:t>to</w:t>
      </w:r>
      <w:r>
        <w:rPr>
          <w:spacing w:val="-3"/>
        </w:rPr>
        <w:t> </w:t>
      </w:r>
      <w:r>
        <w:rPr/>
        <w:t>the</w:t>
      </w:r>
      <w:r>
        <w:rPr>
          <w:spacing w:val="-3"/>
        </w:rPr>
        <w:t> </w:t>
      </w:r>
      <w:r>
        <w:rPr/>
        <w:t>National</w:t>
      </w:r>
      <w:r>
        <w:rPr>
          <w:spacing w:val="-2"/>
        </w:rPr>
        <w:t> </w:t>
      </w:r>
      <w:r>
        <w:rPr/>
        <w:t>Endowment</w:t>
      </w:r>
      <w:r>
        <w:rPr>
          <w:spacing w:val="-3"/>
        </w:rPr>
        <w:t> </w:t>
      </w:r>
      <w:r>
        <w:rPr/>
        <w:t>for</w:t>
      </w:r>
      <w:r>
        <w:rPr>
          <w:spacing w:val="-2"/>
        </w:rPr>
        <w:t> </w:t>
      </w:r>
      <w:r>
        <w:rPr/>
        <w:t>the</w:t>
      </w:r>
      <w:r>
        <w:rPr>
          <w:spacing w:val="-3"/>
        </w:rPr>
        <w:t> </w:t>
      </w:r>
      <w:r>
        <w:rPr/>
        <w:t>Humanities</w:t>
      </w:r>
      <w:r>
        <w:rPr>
          <w:spacing w:val="-2"/>
        </w:rPr>
        <w:t> </w:t>
      </w:r>
      <w:r>
        <w:rPr/>
        <w:t>for</w:t>
      </w:r>
      <w:r>
        <w:rPr>
          <w:spacing w:val="-2"/>
        </w:rPr>
        <w:t> </w:t>
      </w:r>
      <w:r>
        <w:rPr/>
        <w:t>Digital</w:t>
      </w:r>
      <w:r>
        <w:rPr>
          <w:spacing w:val="-4"/>
        </w:rPr>
        <w:t> </w:t>
      </w:r>
      <w:r>
        <w:rPr/>
        <w:t>Humanities Grant Funding for the project entitled “Always in Season Island”.</w:t>
      </w:r>
    </w:p>
    <w:p>
      <w:pPr>
        <w:pStyle w:val="BodyText"/>
        <w:spacing w:before="1"/>
        <w:rPr>
          <w:sz w:val="21"/>
        </w:rPr>
      </w:pPr>
    </w:p>
    <w:p>
      <w:pPr>
        <w:pStyle w:val="BodyText"/>
        <w:ind w:left="1219"/>
      </w:pPr>
      <w:r>
        <w:rPr/>
        <w:t>Additionally,</w:t>
      </w:r>
      <w:r>
        <w:rPr>
          <w:spacing w:val="-2"/>
        </w:rPr>
        <w:t> </w:t>
      </w:r>
      <w:r>
        <w:rPr/>
        <w:t>our</w:t>
      </w:r>
      <w:r>
        <w:rPr>
          <w:spacing w:val="-3"/>
        </w:rPr>
        <w:t> </w:t>
      </w:r>
      <w:r>
        <w:rPr/>
        <w:t>students</w:t>
      </w:r>
      <w:r>
        <w:rPr>
          <w:spacing w:val="-2"/>
        </w:rPr>
        <w:t> </w:t>
      </w:r>
      <w:r>
        <w:rPr/>
        <w:t>are</w:t>
      </w:r>
      <w:r>
        <w:rPr>
          <w:spacing w:val="-4"/>
        </w:rPr>
        <w:t> </w:t>
      </w:r>
      <w:r>
        <w:rPr/>
        <w:t>involved</w:t>
      </w:r>
      <w:r>
        <w:rPr>
          <w:spacing w:val="-2"/>
        </w:rPr>
        <w:t> </w:t>
      </w:r>
      <w:r>
        <w:rPr/>
        <w:t>in</w:t>
      </w:r>
      <w:r>
        <w:rPr>
          <w:spacing w:val="-4"/>
        </w:rPr>
        <w:t> </w:t>
      </w:r>
      <w:r>
        <w:rPr/>
        <w:t>scholarly</w:t>
      </w:r>
      <w:r>
        <w:rPr>
          <w:spacing w:val="-7"/>
        </w:rPr>
        <w:t> </w:t>
      </w:r>
      <w:r>
        <w:rPr/>
        <w:t>research.</w:t>
      </w:r>
      <w:r>
        <w:rPr>
          <w:spacing w:val="-4"/>
        </w:rPr>
        <w:t> </w:t>
      </w:r>
      <w:r>
        <w:rPr/>
        <w:t>As a</w:t>
      </w:r>
      <w:r>
        <w:rPr>
          <w:spacing w:val="-4"/>
        </w:rPr>
        <w:t> </w:t>
      </w:r>
      <w:r>
        <w:rPr/>
        <w:t>Master’s</w:t>
      </w:r>
      <w:r>
        <w:rPr>
          <w:spacing w:val="-3"/>
        </w:rPr>
        <w:t> </w:t>
      </w:r>
      <w:r>
        <w:rPr/>
        <w:t>program,</w:t>
      </w:r>
      <w:r>
        <w:rPr>
          <w:spacing w:val="-4"/>
        </w:rPr>
        <w:t> </w:t>
      </w:r>
      <w:r>
        <w:rPr/>
        <w:t>students</w:t>
      </w:r>
      <w:r>
        <w:rPr>
          <w:spacing w:val="-3"/>
        </w:rPr>
        <w:t> </w:t>
      </w:r>
      <w:r>
        <w:rPr/>
        <w:t>are required to do masters level research in any area of design that peaks their interest.</w:t>
      </w:r>
    </w:p>
    <w:p>
      <w:pPr>
        <w:pStyle w:val="BodyText"/>
        <w:spacing w:before="11"/>
      </w:pPr>
    </w:p>
    <w:p>
      <w:pPr>
        <w:pStyle w:val="BodyText"/>
        <w:ind w:left="1219" w:right="499"/>
      </w:pPr>
      <w:r>
        <w:rPr/>
        <w:t>In</w:t>
      </w:r>
      <w:r>
        <w:rPr>
          <w:spacing w:val="-4"/>
        </w:rPr>
        <w:t> </w:t>
      </w:r>
      <w:r>
        <w:rPr/>
        <w:t>2006,</w:t>
      </w:r>
      <w:r>
        <w:rPr>
          <w:spacing w:val="-2"/>
        </w:rPr>
        <w:t> </w:t>
      </w:r>
      <w:r>
        <w:rPr/>
        <w:t>Professor</w:t>
      </w:r>
      <w:r>
        <w:rPr>
          <w:spacing w:val="-3"/>
        </w:rPr>
        <w:t> </w:t>
      </w:r>
      <w:r>
        <w:rPr/>
        <w:t>David</w:t>
      </w:r>
      <w:r>
        <w:rPr>
          <w:spacing w:val="-1"/>
        </w:rPr>
        <w:t> </w:t>
      </w:r>
      <w:r>
        <w:rPr/>
        <w:t>Peronnet</w:t>
      </w:r>
      <w:r>
        <w:rPr>
          <w:spacing w:val="-4"/>
        </w:rPr>
        <w:t> </w:t>
      </w:r>
      <w:r>
        <w:rPr/>
        <w:t>led</w:t>
      </w:r>
      <w:r>
        <w:rPr>
          <w:spacing w:val="-2"/>
        </w:rPr>
        <w:t> </w:t>
      </w:r>
      <w:r>
        <w:rPr/>
        <w:t>an</w:t>
      </w:r>
      <w:r>
        <w:rPr>
          <w:spacing w:val="-4"/>
        </w:rPr>
        <w:t> </w:t>
      </w:r>
      <w:r>
        <w:rPr/>
        <w:t>effort</w:t>
      </w:r>
      <w:r>
        <w:rPr>
          <w:spacing w:val="-4"/>
        </w:rPr>
        <w:t> </w:t>
      </w:r>
      <w:r>
        <w:rPr/>
        <w:t>to</w:t>
      </w:r>
      <w:r>
        <w:rPr>
          <w:spacing w:val="-4"/>
        </w:rPr>
        <w:t> </w:t>
      </w:r>
      <w:r>
        <w:rPr/>
        <w:t>initialte</w:t>
      </w:r>
      <w:r>
        <w:rPr>
          <w:spacing w:val="-2"/>
        </w:rPr>
        <w:t> </w:t>
      </w:r>
      <w:r>
        <w:rPr/>
        <w:t>a</w:t>
      </w:r>
      <w:r>
        <w:rPr>
          <w:spacing w:val="-4"/>
        </w:rPr>
        <w:t> </w:t>
      </w:r>
      <w:r>
        <w:rPr/>
        <w:t>chapter</w:t>
      </w:r>
      <w:r>
        <w:rPr>
          <w:spacing w:val="-1"/>
        </w:rPr>
        <w:t> </w:t>
      </w:r>
      <w:r>
        <w:rPr/>
        <w:t>of</w:t>
      </w:r>
      <w:r>
        <w:rPr>
          <w:spacing w:val="-2"/>
        </w:rPr>
        <w:t> </w:t>
      </w:r>
      <w:r>
        <w:rPr/>
        <w:t>Tau</w:t>
      </w:r>
      <w:r>
        <w:rPr>
          <w:spacing w:val="-4"/>
        </w:rPr>
        <w:t> </w:t>
      </w:r>
      <w:r>
        <w:rPr/>
        <w:t>Sigma</w:t>
      </w:r>
      <w:r>
        <w:rPr>
          <w:spacing w:val="-4"/>
        </w:rPr>
        <w:t> </w:t>
      </w:r>
      <w:r>
        <w:rPr/>
        <w:t>Delta</w:t>
      </w:r>
      <w:r>
        <w:rPr>
          <w:spacing w:val="-4"/>
        </w:rPr>
        <w:t> </w:t>
      </w:r>
      <w:r>
        <w:rPr/>
        <w:t>National Honor Society.</w:t>
      </w:r>
      <w:r>
        <w:rPr>
          <w:spacing w:val="40"/>
        </w:rPr>
        <w:t> </w:t>
      </w:r>
      <w:r>
        <w:rPr/>
        <w:t>This organization recognizes the scholastic success of our students and challenges the department in a variety of rigorous activities. Past activities include:</w:t>
      </w:r>
    </w:p>
    <w:p>
      <w:pPr>
        <w:pStyle w:val="BodyText"/>
        <w:spacing w:before="9"/>
      </w:pPr>
    </w:p>
    <w:p>
      <w:pPr>
        <w:pStyle w:val="ListParagraph"/>
        <w:numPr>
          <w:ilvl w:val="4"/>
          <w:numId w:val="10"/>
        </w:numPr>
        <w:tabs>
          <w:tab w:pos="1940" w:val="left" w:leader="none"/>
        </w:tabs>
        <w:spacing w:line="240" w:lineRule="auto" w:before="0" w:after="0"/>
        <w:ind w:left="1939" w:right="653" w:hanging="360"/>
        <w:jc w:val="left"/>
        <w:rPr>
          <w:sz w:val="20"/>
        </w:rPr>
      </w:pPr>
      <w:r>
        <w:rPr>
          <w:sz w:val="20"/>
        </w:rPr>
        <w:t>Architecture</w:t>
      </w:r>
      <w:r>
        <w:rPr>
          <w:spacing w:val="-5"/>
          <w:sz w:val="20"/>
        </w:rPr>
        <w:t> </w:t>
      </w:r>
      <w:r>
        <w:rPr>
          <w:sz w:val="20"/>
        </w:rPr>
        <w:t>Quizes:</w:t>
      </w:r>
      <w:r>
        <w:rPr>
          <w:spacing w:val="-3"/>
          <w:sz w:val="20"/>
        </w:rPr>
        <w:t> </w:t>
      </w:r>
      <w:r>
        <w:rPr>
          <w:sz w:val="20"/>
        </w:rPr>
        <w:t>Challenges</w:t>
      </w:r>
      <w:r>
        <w:rPr>
          <w:spacing w:val="-4"/>
          <w:sz w:val="20"/>
        </w:rPr>
        <w:t> </w:t>
      </w:r>
      <w:r>
        <w:rPr>
          <w:sz w:val="20"/>
        </w:rPr>
        <w:t>for</w:t>
      </w:r>
      <w:r>
        <w:rPr>
          <w:spacing w:val="-4"/>
          <w:sz w:val="20"/>
        </w:rPr>
        <w:t> </w:t>
      </w:r>
      <w:r>
        <w:rPr>
          <w:sz w:val="20"/>
        </w:rPr>
        <w:t>students</w:t>
      </w:r>
      <w:r>
        <w:rPr>
          <w:spacing w:val="-4"/>
          <w:sz w:val="20"/>
        </w:rPr>
        <w:t> </w:t>
      </w:r>
      <w:r>
        <w:rPr>
          <w:sz w:val="20"/>
        </w:rPr>
        <w:t>to</w:t>
      </w:r>
      <w:r>
        <w:rPr>
          <w:spacing w:val="-3"/>
          <w:sz w:val="20"/>
        </w:rPr>
        <w:t> </w:t>
      </w:r>
      <w:r>
        <w:rPr>
          <w:sz w:val="20"/>
        </w:rPr>
        <w:t>identify</w:t>
      </w:r>
      <w:r>
        <w:rPr>
          <w:spacing w:val="-6"/>
          <w:sz w:val="20"/>
        </w:rPr>
        <w:t> </w:t>
      </w:r>
      <w:r>
        <w:rPr>
          <w:sz w:val="20"/>
        </w:rPr>
        <w:t>key</w:t>
      </w:r>
      <w:r>
        <w:rPr>
          <w:spacing w:val="-10"/>
          <w:sz w:val="20"/>
        </w:rPr>
        <w:t> </w:t>
      </w:r>
      <w:r>
        <w:rPr>
          <w:sz w:val="20"/>
        </w:rPr>
        <w:t>architectural</w:t>
      </w:r>
      <w:r>
        <w:rPr>
          <w:spacing w:val="-4"/>
          <w:sz w:val="20"/>
        </w:rPr>
        <w:t> </w:t>
      </w:r>
      <w:r>
        <w:rPr>
          <w:sz w:val="20"/>
        </w:rPr>
        <w:t>landmarks</w:t>
      </w:r>
      <w:r>
        <w:rPr>
          <w:spacing w:val="-4"/>
          <w:sz w:val="20"/>
        </w:rPr>
        <w:t> </w:t>
      </w:r>
      <w:r>
        <w:rPr>
          <w:sz w:val="20"/>
        </w:rPr>
        <w:t>and </w:t>
      </w:r>
      <w:r>
        <w:rPr>
          <w:spacing w:val="-2"/>
          <w:sz w:val="20"/>
        </w:rPr>
        <w:t>personalities.</w:t>
      </w:r>
    </w:p>
    <w:p>
      <w:pPr>
        <w:pStyle w:val="ListParagraph"/>
        <w:numPr>
          <w:ilvl w:val="4"/>
          <w:numId w:val="10"/>
        </w:numPr>
        <w:tabs>
          <w:tab w:pos="1940" w:val="left" w:leader="none"/>
        </w:tabs>
        <w:spacing w:line="240" w:lineRule="auto" w:before="1" w:after="0"/>
        <w:ind w:left="1939" w:right="777" w:hanging="360"/>
        <w:jc w:val="left"/>
        <w:rPr>
          <w:sz w:val="20"/>
        </w:rPr>
      </w:pPr>
      <w:r>
        <w:rPr>
          <w:sz w:val="20"/>
        </w:rPr>
        <w:t>ARCHI-Challenge:</w:t>
      </w:r>
      <w:r>
        <w:rPr>
          <w:spacing w:val="-5"/>
          <w:sz w:val="20"/>
        </w:rPr>
        <w:t> </w:t>
      </w:r>
      <w:r>
        <w:rPr>
          <w:sz w:val="20"/>
        </w:rPr>
        <w:t>Contest</w:t>
      </w:r>
      <w:r>
        <w:rPr>
          <w:spacing w:val="-3"/>
          <w:sz w:val="20"/>
        </w:rPr>
        <w:t> </w:t>
      </w:r>
      <w:r>
        <w:rPr>
          <w:sz w:val="20"/>
        </w:rPr>
        <w:t>with</w:t>
      </w:r>
      <w:r>
        <w:rPr>
          <w:spacing w:val="-5"/>
          <w:sz w:val="20"/>
        </w:rPr>
        <w:t> </w:t>
      </w:r>
      <w:r>
        <w:rPr>
          <w:sz w:val="20"/>
        </w:rPr>
        <w:t>students</w:t>
      </w:r>
      <w:r>
        <w:rPr>
          <w:spacing w:val="-4"/>
          <w:sz w:val="20"/>
        </w:rPr>
        <w:t> </w:t>
      </w:r>
      <w:r>
        <w:rPr>
          <w:sz w:val="20"/>
        </w:rPr>
        <w:t>and</w:t>
      </w:r>
      <w:r>
        <w:rPr>
          <w:spacing w:val="-5"/>
          <w:sz w:val="20"/>
        </w:rPr>
        <w:t> </w:t>
      </w:r>
      <w:r>
        <w:rPr>
          <w:sz w:val="20"/>
        </w:rPr>
        <w:t>faculty</w:t>
      </w:r>
      <w:r>
        <w:rPr>
          <w:spacing w:val="-8"/>
          <w:sz w:val="20"/>
        </w:rPr>
        <w:t> </w:t>
      </w:r>
      <w:r>
        <w:rPr>
          <w:sz w:val="20"/>
        </w:rPr>
        <w:t>to</w:t>
      </w:r>
      <w:r>
        <w:rPr>
          <w:spacing w:val="-3"/>
          <w:sz w:val="20"/>
        </w:rPr>
        <w:t> </w:t>
      </w:r>
      <w:r>
        <w:rPr>
          <w:sz w:val="20"/>
        </w:rPr>
        <w:t>demonstrate</w:t>
      </w:r>
      <w:r>
        <w:rPr>
          <w:spacing w:val="-5"/>
          <w:sz w:val="20"/>
        </w:rPr>
        <w:t> </w:t>
      </w:r>
      <w:r>
        <w:rPr>
          <w:sz w:val="20"/>
        </w:rPr>
        <w:t>their</w:t>
      </w:r>
      <w:r>
        <w:rPr>
          <w:spacing w:val="-4"/>
          <w:sz w:val="20"/>
        </w:rPr>
        <w:t> </w:t>
      </w:r>
      <w:r>
        <w:rPr>
          <w:sz w:val="20"/>
        </w:rPr>
        <w:t>capacities</w:t>
      </w:r>
      <w:r>
        <w:rPr>
          <w:spacing w:val="-4"/>
          <w:sz w:val="20"/>
        </w:rPr>
        <w:t> </w:t>
      </w:r>
      <w:r>
        <w:rPr>
          <w:sz w:val="20"/>
        </w:rPr>
        <w:t>in construction, model making and design / sketching.</w:t>
      </w:r>
    </w:p>
    <w:p>
      <w:pPr>
        <w:pStyle w:val="BodyText"/>
        <w:spacing w:before="11"/>
      </w:pPr>
    </w:p>
    <w:p>
      <w:pPr>
        <w:pStyle w:val="BodyText"/>
        <w:ind w:left="1219" w:right="708"/>
        <w:jc w:val="both"/>
      </w:pPr>
      <w:r>
        <w:rPr/>
        <w:t>Finally,</w:t>
      </w:r>
      <w:r>
        <w:rPr>
          <w:spacing w:val="-4"/>
        </w:rPr>
        <w:t> </w:t>
      </w:r>
      <w:r>
        <w:rPr/>
        <w:t>our</w:t>
      </w:r>
      <w:r>
        <w:rPr>
          <w:spacing w:val="-3"/>
        </w:rPr>
        <w:t> </w:t>
      </w:r>
      <w:r>
        <w:rPr/>
        <w:t>commitment</w:t>
      </w:r>
      <w:r>
        <w:rPr>
          <w:spacing w:val="-4"/>
        </w:rPr>
        <w:t> </w:t>
      </w:r>
      <w:r>
        <w:rPr/>
        <w:t>to</w:t>
      </w:r>
      <w:r>
        <w:rPr>
          <w:spacing w:val="-4"/>
        </w:rPr>
        <w:t> </w:t>
      </w:r>
      <w:r>
        <w:rPr/>
        <w:t>a</w:t>
      </w:r>
      <w:r>
        <w:rPr>
          <w:spacing w:val="-4"/>
        </w:rPr>
        <w:t> </w:t>
      </w:r>
      <w:r>
        <w:rPr/>
        <w:t>broadly</w:t>
      </w:r>
      <w:r>
        <w:rPr>
          <w:spacing w:val="-7"/>
        </w:rPr>
        <w:t> </w:t>
      </w:r>
      <w:r>
        <w:rPr/>
        <w:t>based</w:t>
      </w:r>
      <w:r>
        <w:rPr>
          <w:spacing w:val="-2"/>
        </w:rPr>
        <w:t> </w:t>
      </w:r>
      <w:r>
        <w:rPr/>
        <w:t>liberal</w:t>
      </w:r>
      <w:r>
        <w:rPr>
          <w:spacing w:val="-5"/>
        </w:rPr>
        <w:t> </w:t>
      </w:r>
      <w:r>
        <w:rPr/>
        <w:t>arts education</w:t>
      </w:r>
      <w:r>
        <w:rPr>
          <w:spacing w:val="-4"/>
        </w:rPr>
        <w:t> </w:t>
      </w:r>
      <w:r>
        <w:rPr/>
        <w:t>is</w:t>
      </w:r>
      <w:r>
        <w:rPr>
          <w:spacing w:val="-3"/>
        </w:rPr>
        <w:t> </w:t>
      </w:r>
      <w:r>
        <w:rPr/>
        <w:t>evidenced</w:t>
      </w:r>
      <w:r>
        <w:rPr>
          <w:spacing w:val="-2"/>
        </w:rPr>
        <w:t> </w:t>
      </w:r>
      <w:r>
        <w:rPr/>
        <w:t>in</w:t>
      </w:r>
      <w:r>
        <w:rPr>
          <w:spacing w:val="-4"/>
        </w:rPr>
        <w:t> </w:t>
      </w:r>
      <w:r>
        <w:rPr/>
        <w:t>the</w:t>
      </w:r>
      <w:r>
        <w:rPr>
          <w:spacing w:val="-4"/>
        </w:rPr>
        <w:t> </w:t>
      </w:r>
      <w:r>
        <w:rPr/>
        <w:t>curriculum requirements that</w:t>
      </w:r>
      <w:r>
        <w:rPr>
          <w:spacing w:val="-1"/>
        </w:rPr>
        <w:t> </w:t>
      </w:r>
      <w:r>
        <w:rPr/>
        <w:t>include</w:t>
      </w:r>
      <w:r>
        <w:rPr>
          <w:spacing w:val="-1"/>
        </w:rPr>
        <w:t> </w:t>
      </w:r>
      <w:r>
        <w:rPr/>
        <w:t>36</w:t>
      </w:r>
      <w:r>
        <w:rPr>
          <w:spacing w:val="-1"/>
        </w:rPr>
        <w:t> </w:t>
      </w:r>
      <w:r>
        <w:rPr/>
        <w:t>credits in</w:t>
      </w:r>
      <w:r>
        <w:rPr>
          <w:spacing w:val="-1"/>
        </w:rPr>
        <w:t> </w:t>
      </w:r>
      <w:r>
        <w:rPr/>
        <w:t>required</w:t>
      </w:r>
      <w:r>
        <w:rPr>
          <w:spacing w:val="-1"/>
        </w:rPr>
        <w:t> </w:t>
      </w:r>
      <w:r>
        <w:rPr/>
        <w:t>courses and</w:t>
      </w:r>
      <w:r>
        <w:rPr>
          <w:spacing w:val="-1"/>
        </w:rPr>
        <w:t> </w:t>
      </w:r>
      <w:r>
        <w:rPr/>
        <w:t>9 credits of open electives.</w:t>
      </w:r>
      <w:r>
        <w:rPr>
          <w:spacing w:val="-1"/>
        </w:rPr>
        <w:t> </w:t>
      </w:r>
      <w:r>
        <w:rPr/>
        <w:t>This is further discussed in section 2.0, Curricula Framework.</w:t>
      </w:r>
    </w:p>
    <w:p>
      <w:pPr>
        <w:spacing w:after="0"/>
        <w:jc w:val="both"/>
        <w:sectPr>
          <w:pgSz w:w="12240" w:h="15840"/>
          <w:pgMar w:header="0" w:footer="974" w:top="1360" w:bottom="1160" w:left="940" w:right="960"/>
        </w:sectPr>
      </w:pPr>
    </w:p>
    <w:p>
      <w:pPr>
        <w:pStyle w:val="Heading5"/>
        <w:numPr>
          <w:ilvl w:val="3"/>
          <w:numId w:val="10"/>
        </w:numPr>
        <w:tabs>
          <w:tab w:pos="1581" w:val="left" w:leader="none"/>
        </w:tabs>
        <w:spacing w:line="240" w:lineRule="auto" w:before="74" w:after="0"/>
        <w:ind w:left="1580" w:right="0" w:hanging="1010"/>
        <w:jc w:val="left"/>
      </w:pPr>
      <w:bookmarkStart w:name="_TOC_250014" w:id="4"/>
      <w:r>
        <w:rPr/>
        <w:t>Architectural</w:t>
      </w:r>
      <w:r>
        <w:rPr>
          <w:spacing w:val="-7"/>
        </w:rPr>
        <w:t> </w:t>
      </w:r>
      <w:r>
        <w:rPr/>
        <w:t>Education</w:t>
      </w:r>
      <w:r>
        <w:rPr>
          <w:spacing w:val="-7"/>
        </w:rPr>
        <w:t> </w:t>
      </w:r>
      <w:r>
        <w:rPr/>
        <w:t>and</w:t>
      </w:r>
      <w:r>
        <w:rPr>
          <w:spacing w:val="-7"/>
        </w:rPr>
        <w:t> </w:t>
      </w:r>
      <w:bookmarkEnd w:id="4"/>
      <w:r>
        <w:rPr>
          <w:spacing w:val="-2"/>
        </w:rPr>
        <w:t>Students</w:t>
      </w:r>
    </w:p>
    <w:p>
      <w:pPr>
        <w:spacing w:before="240"/>
        <w:ind w:left="500" w:right="499" w:firstLine="0"/>
        <w:jc w:val="left"/>
        <w:rPr>
          <w:i/>
          <w:sz w:val="20"/>
        </w:rPr>
      </w:pPr>
      <w:r>
        <w:rPr>
          <w:i/>
          <w:sz w:val="20"/>
        </w:rPr>
        <w:t>That students enrolled in the accredited degree program are prepared: to live and work in a global world where</w:t>
      </w:r>
      <w:r>
        <w:rPr>
          <w:i/>
          <w:spacing w:val="-4"/>
          <w:sz w:val="20"/>
        </w:rPr>
        <w:t> </w:t>
      </w:r>
      <w:r>
        <w:rPr>
          <w:i/>
          <w:sz w:val="20"/>
        </w:rPr>
        <w:t>diversity,</w:t>
      </w:r>
      <w:r>
        <w:rPr>
          <w:i/>
          <w:spacing w:val="-4"/>
          <w:sz w:val="20"/>
        </w:rPr>
        <w:t> </w:t>
      </w:r>
      <w:r>
        <w:rPr>
          <w:i/>
          <w:sz w:val="20"/>
        </w:rPr>
        <w:t>distinctiveness,</w:t>
      </w:r>
      <w:r>
        <w:rPr>
          <w:i/>
          <w:spacing w:val="-4"/>
          <w:sz w:val="20"/>
        </w:rPr>
        <w:t> </w:t>
      </w:r>
      <w:r>
        <w:rPr>
          <w:i/>
          <w:sz w:val="20"/>
        </w:rPr>
        <w:t>self-worth,</w:t>
      </w:r>
      <w:r>
        <w:rPr>
          <w:i/>
          <w:spacing w:val="-2"/>
          <w:sz w:val="20"/>
        </w:rPr>
        <w:t> </w:t>
      </w:r>
      <w:r>
        <w:rPr>
          <w:i/>
          <w:sz w:val="20"/>
        </w:rPr>
        <w:t>and</w:t>
      </w:r>
      <w:r>
        <w:rPr>
          <w:i/>
          <w:spacing w:val="-4"/>
          <w:sz w:val="20"/>
        </w:rPr>
        <w:t> </w:t>
      </w:r>
      <w:r>
        <w:rPr>
          <w:i/>
          <w:sz w:val="20"/>
        </w:rPr>
        <w:t>dignity</w:t>
      </w:r>
      <w:r>
        <w:rPr>
          <w:i/>
          <w:spacing w:val="-1"/>
          <w:sz w:val="20"/>
        </w:rPr>
        <w:t> </w:t>
      </w:r>
      <w:r>
        <w:rPr>
          <w:i/>
          <w:sz w:val="20"/>
        </w:rPr>
        <w:t>are</w:t>
      </w:r>
      <w:r>
        <w:rPr>
          <w:i/>
          <w:spacing w:val="-4"/>
          <w:sz w:val="20"/>
        </w:rPr>
        <w:t> </w:t>
      </w:r>
      <w:r>
        <w:rPr>
          <w:i/>
          <w:sz w:val="20"/>
        </w:rPr>
        <w:t>nurtured</w:t>
      </w:r>
      <w:r>
        <w:rPr>
          <w:i/>
          <w:spacing w:val="-2"/>
          <w:sz w:val="20"/>
        </w:rPr>
        <w:t> </w:t>
      </w:r>
      <w:r>
        <w:rPr>
          <w:i/>
          <w:sz w:val="20"/>
        </w:rPr>
        <w:t>and</w:t>
      </w:r>
      <w:r>
        <w:rPr>
          <w:i/>
          <w:spacing w:val="-4"/>
          <w:sz w:val="20"/>
        </w:rPr>
        <w:t> </w:t>
      </w:r>
      <w:r>
        <w:rPr>
          <w:i/>
          <w:sz w:val="20"/>
        </w:rPr>
        <w:t>respected;</w:t>
      </w:r>
      <w:r>
        <w:rPr>
          <w:i/>
          <w:spacing w:val="-4"/>
          <w:sz w:val="20"/>
        </w:rPr>
        <w:t> </w:t>
      </w:r>
      <w:r>
        <w:rPr>
          <w:i/>
          <w:sz w:val="20"/>
        </w:rPr>
        <w:t>to</w:t>
      </w:r>
      <w:r>
        <w:rPr>
          <w:i/>
          <w:spacing w:val="-4"/>
          <w:sz w:val="20"/>
        </w:rPr>
        <w:t> </w:t>
      </w:r>
      <w:r>
        <w:rPr>
          <w:i/>
          <w:sz w:val="20"/>
        </w:rPr>
        <w:t>emerge</w:t>
      </w:r>
      <w:r>
        <w:rPr>
          <w:i/>
          <w:spacing w:val="-4"/>
          <w:sz w:val="20"/>
        </w:rPr>
        <w:t> </w:t>
      </w:r>
      <w:r>
        <w:rPr>
          <w:i/>
          <w:sz w:val="20"/>
        </w:rPr>
        <w:t>as</w:t>
      </w:r>
      <w:r>
        <w:rPr>
          <w:i/>
          <w:spacing w:val="-3"/>
          <w:sz w:val="20"/>
        </w:rPr>
        <w:t> </w:t>
      </w:r>
      <w:r>
        <w:rPr>
          <w:i/>
          <w:sz w:val="20"/>
        </w:rPr>
        <w:t>leaders in the academic setting and the profession; to understand the breadth of professional opportunities; to make thoughtful, deliberate, informed choices; and to develop the habit of lifelong learning.</w:t>
      </w:r>
    </w:p>
    <w:p>
      <w:pPr>
        <w:pStyle w:val="BodyText"/>
        <w:rPr>
          <w:i/>
          <w:sz w:val="21"/>
        </w:rPr>
      </w:pPr>
    </w:p>
    <w:p>
      <w:pPr>
        <w:pStyle w:val="BodyText"/>
        <w:ind w:left="1220" w:right="499" w:hanging="1"/>
      </w:pPr>
      <w:r>
        <w:rPr/>
        <w:t>The</w:t>
      </w:r>
      <w:r>
        <w:rPr>
          <w:spacing w:val="-4"/>
        </w:rPr>
        <w:t> </w:t>
      </w:r>
      <w:r>
        <w:rPr/>
        <w:t>HUDA</w:t>
      </w:r>
      <w:r>
        <w:rPr>
          <w:spacing w:val="-5"/>
        </w:rPr>
        <w:t> </w:t>
      </w:r>
      <w:r>
        <w:rPr/>
        <w:t>embraces</w:t>
      </w:r>
      <w:r>
        <w:rPr>
          <w:spacing w:val="-3"/>
        </w:rPr>
        <w:t> </w:t>
      </w:r>
      <w:r>
        <w:rPr/>
        <w:t>a</w:t>
      </w:r>
      <w:r>
        <w:rPr>
          <w:spacing w:val="-4"/>
        </w:rPr>
        <w:t> </w:t>
      </w:r>
      <w:r>
        <w:rPr/>
        <w:t>globalized</w:t>
      </w:r>
      <w:r>
        <w:rPr>
          <w:spacing w:val="-2"/>
        </w:rPr>
        <w:t> </w:t>
      </w:r>
      <w:r>
        <w:rPr/>
        <w:t>education</w:t>
      </w:r>
      <w:r>
        <w:rPr>
          <w:spacing w:val="-4"/>
        </w:rPr>
        <w:t> </w:t>
      </w:r>
      <w:r>
        <w:rPr/>
        <w:t>experience.</w:t>
      </w:r>
      <w:r>
        <w:rPr>
          <w:spacing w:val="-4"/>
        </w:rPr>
        <w:t> </w:t>
      </w:r>
      <w:r>
        <w:rPr/>
        <w:t>From the</w:t>
      </w:r>
      <w:r>
        <w:rPr>
          <w:spacing w:val="-4"/>
        </w:rPr>
        <w:t> </w:t>
      </w:r>
      <w:r>
        <w:rPr/>
        <w:t>diverse</w:t>
      </w:r>
      <w:r>
        <w:rPr>
          <w:spacing w:val="-4"/>
        </w:rPr>
        <w:t> </w:t>
      </w:r>
      <w:r>
        <w:rPr/>
        <w:t>racial,</w:t>
      </w:r>
      <w:r>
        <w:rPr>
          <w:spacing w:val="-2"/>
        </w:rPr>
        <w:t> </w:t>
      </w:r>
      <w:r>
        <w:rPr/>
        <w:t>gender,</w:t>
      </w:r>
      <w:r>
        <w:rPr>
          <w:spacing w:val="-4"/>
        </w:rPr>
        <w:t> </w:t>
      </w:r>
      <w:r>
        <w:rPr/>
        <w:t>socio- economic status and ethnic makeup of the faculty, staff and student body, to the curriculum that include international travel, our program teaches students that the world is their platform. Our students take advantage of these opportunities in several ways.</w:t>
      </w:r>
    </w:p>
    <w:p>
      <w:pPr>
        <w:pStyle w:val="BodyText"/>
        <w:spacing w:before="1"/>
        <w:rPr>
          <w:sz w:val="21"/>
        </w:rPr>
      </w:pPr>
    </w:p>
    <w:p>
      <w:pPr>
        <w:pStyle w:val="BodyText"/>
        <w:ind w:left="1220" w:right="499"/>
      </w:pPr>
      <w:r>
        <w:rPr/>
        <w:t>One of the distinctions of an HBCU program is the fact that issues of diversity and inclusion are inherent. Coming to our program are students from Brazil, Russia, Tanzania, Puerto Rico, the Caribbean,</w:t>
      </w:r>
      <w:r>
        <w:rPr>
          <w:spacing w:val="-1"/>
        </w:rPr>
        <w:t> </w:t>
      </w:r>
      <w:r>
        <w:rPr/>
        <w:t>Korea and Italy. Though</w:t>
      </w:r>
      <w:r>
        <w:rPr>
          <w:spacing w:val="-1"/>
        </w:rPr>
        <w:t> </w:t>
      </w:r>
      <w:r>
        <w:rPr/>
        <w:t>the</w:t>
      </w:r>
      <w:r>
        <w:rPr>
          <w:spacing w:val="-1"/>
        </w:rPr>
        <w:t> </w:t>
      </w:r>
      <w:r>
        <w:rPr/>
        <w:t>predominant number of students come</w:t>
      </w:r>
      <w:r>
        <w:rPr>
          <w:spacing w:val="-1"/>
        </w:rPr>
        <w:t> </w:t>
      </w:r>
      <w:r>
        <w:rPr/>
        <w:t>to</w:t>
      </w:r>
      <w:r>
        <w:rPr>
          <w:spacing w:val="-1"/>
        </w:rPr>
        <w:t> </w:t>
      </w:r>
      <w:r>
        <w:rPr/>
        <w:t>us through</w:t>
      </w:r>
      <w:r>
        <w:rPr>
          <w:spacing w:val="-1"/>
        </w:rPr>
        <w:t> </w:t>
      </w:r>
      <w:r>
        <w:rPr/>
        <w:t>the traditional route as high school graduates, we also have many non-traditional students: military retirees,</w:t>
      </w:r>
      <w:r>
        <w:rPr>
          <w:spacing w:val="-4"/>
        </w:rPr>
        <w:t> </w:t>
      </w:r>
      <w:r>
        <w:rPr/>
        <w:t>students</w:t>
      </w:r>
      <w:r>
        <w:rPr>
          <w:spacing w:val="-3"/>
        </w:rPr>
        <w:t> </w:t>
      </w:r>
      <w:r>
        <w:rPr/>
        <w:t>seeking</w:t>
      </w:r>
      <w:r>
        <w:rPr>
          <w:spacing w:val="-4"/>
        </w:rPr>
        <w:t> </w:t>
      </w:r>
      <w:r>
        <w:rPr/>
        <w:t>a</w:t>
      </w:r>
      <w:r>
        <w:rPr>
          <w:spacing w:val="-2"/>
        </w:rPr>
        <w:t> </w:t>
      </w:r>
      <w:r>
        <w:rPr/>
        <w:t>second</w:t>
      </w:r>
      <w:r>
        <w:rPr>
          <w:spacing w:val="-4"/>
        </w:rPr>
        <w:t> </w:t>
      </w:r>
      <w:r>
        <w:rPr/>
        <w:t>degree,</w:t>
      </w:r>
      <w:r>
        <w:rPr>
          <w:spacing w:val="-4"/>
        </w:rPr>
        <w:t> </w:t>
      </w:r>
      <w:r>
        <w:rPr/>
        <w:t>and</w:t>
      </w:r>
      <w:r>
        <w:rPr>
          <w:spacing w:val="-4"/>
        </w:rPr>
        <w:t> </w:t>
      </w:r>
      <w:r>
        <w:rPr/>
        <w:t>those</w:t>
      </w:r>
      <w:r>
        <w:rPr>
          <w:spacing w:val="-2"/>
        </w:rPr>
        <w:t> </w:t>
      </w:r>
      <w:r>
        <w:rPr/>
        <w:t>who</w:t>
      </w:r>
      <w:r>
        <w:rPr>
          <w:spacing w:val="-4"/>
        </w:rPr>
        <w:t> </w:t>
      </w:r>
      <w:r>
        <w:rPr/>
        <w:t>have</w:t>
      </w:r>
      <w:r>
        <w:rPr>
          <w:spacing w:val="-4"/>
        </w:rPr>
        <w:t> </w:t>
      </w:r>
      <w:r>
        <w:rPr/>
        <w:t>come</w:t>
      </w:r>
      <w:r>
        <w:rPr>
          <w:spacing w:val="-4"/>
        </w:rPr>
        <w:t> </w:t>
      </w:r>
      <w:r>
        <w:rPr/>
        <w:t>from</w:t>
      </w:r>
      <w:r>
        <w:rPr>
          <w:spacing w:val="-2"/>
        </w:rPr>
        <w:t> </w:t>
      </w:r>
      <w:r>
        <w:rPr/>
        <w:t>community</w:t>
      </w:r>
      <w:r>
        <w:rPr>
          <w:spacing w:val="-7"/>
        </w:rPr>
        <w:t> </w:t>
      </w:r>
      <w:r>
        <w:rPr/>
        <w:t>colleges. We are closely equal in gender. This composition fosters a high degree of understanding, tolerance and understanding. It adds immeasurably to the academic experience received by our </w:t>
      </w:r>
      <w:r>
        <w:rPr>
          <w:spacing w:val="-2"/>
        </w:rPr>
        <w:t>students.</w:t>
      </w:r>
    </w:p>
    <w:p>
      <w:pPr>
        <w:pStyle w:val="BodyText"/>
        <w:spacing w:before="9"/>
      </w:pPr>
    </w:p>
    <w:p>
      <w:pPr>
        <w:pStyle w:val="BodyText"/>
        <w:ind w:left="1220" w:right="499"/>
      </w:pPr>
      <w:r>
        <w:rPr/>
        <w:t>Leaving</w:t>
      </w:r>
      <w:r>
        <w:rPr>
          <w:spacing w:val="-4"/>
        </w:rPr>
        <w:t> </w:t>
      </w:r>
      <w:r>
        <w:rPr/>
        <w:t>our</w:t>
      </w:r>
      <w:r>
        <w:rPr>
          <w:spacing w:val="-3"/>
        </w:rPr>
        <w:t> </w:t>
      </w:r>
      <w:r>
        <w:rPr/>
        <w:t>program,</w:t>
      </w:r>
      <w:r>
        <w:rPr>
          <w:spacing w:val="-4"/>
        </w:rPr>
        <w:t> </w:t>
      </w:r>
      <w:r>
        <w:rPr/>
        <w:t>student</w:t>
      </w:r>
      <w:r>
        <w:rPr>
          <w:spacing w:val="-4"/>
        </w:rPr>
        <w:t> </w:t>
      </w:r>
      <w:r>
        <w:rPr/>
        <w:t>seek</w:t>
      </w:r>
      <w:r>
        <w:rPr>
          <w:spacing w:val="-1"/>
        </w:rPr>
        <w:t> </w:t>
      </w:r>
      <w:r>
        <w:rPr/>
        <w:t>work</w:t>
      </w:r>
      <w:r>
        <w:rPr>
          <w:spacing w:val="-1"/>
        </w:rPr>
        <w:t> </w:t>
      </w:r>
      <w:r>
        <w:rPr/>
        <w:t>and</w:t>
      </w:r>
      <w:r>
        <w:rPr>
          <w:spacing w:val="-2"/>
        </w:rPr>
        <w:t> </w:t>
      </w:r>
      <w:r>
        <w:rPr/>
        <w:t>graduate</w:t>
      </w:r>
      <w:r>
        <w:rPr>
          <w:spacing w:val="-2"/>
        </w:rPr>
        <w:t> </w:t>
      </w:r>
      <w:r>
        <w:rPr/>
        <w:t>study</w:t>
      </w:r>
      <w:r>
        <w:rPr>
          <w:spacing w:val="-5"/>
        </w:rPr>
        <w:t> </w:t>
      </w:r>
      <w:r>
        <w:rPr/>
        <w:t>opportunities</w:t>
      </w:r>
      <w:r>
        <w:rPr>
          <w:spacing w:val="-3"/>
        </w:rPr>
        <w:t> </w:t>
      </w:r>
      <w:r>
        <w:rPr/>
        <w:t>all</w:t>
      </w:r>
      <w:r>
        <w:rPr>
          <w:spacing w:val="-3"/>
        </w:rPr>
        <w:t> </w:t>
      </w:r>
      <w:r>
        <w:rPr/>
        <w:t>over the</w:t>
      </w:r>
      <w:r>
        <w:rPr>
          <w:spacing w:val="-2"/>
        </w:rPr>
        <w:t> </w:t>
      </w:r>
      <w:r>
        <w:rPr/>
        <w:t>world.</w:t>
      </w:r>
      <w:r>
        <w:rPr>
          <w:spacing w:val="-6"/>
        </w:rPr>
        <w:t> </w:t>
      </w:r>
      <w:r>
        <w:rPr/>
        <w:t>We have graduates working in Europe, Africa and Asia. Our students are sought after in graduate programs across the nation and excel in the workplace.</w:t>
      </w:r>
    </w:p>
    <w:p>
      <w:pPr>
        <w:pStyle w:val="BodyText"/>
        <w:spacing w:before="11"/>
      </w:pPr>
    </w:p>
    <w:p>
      <w:pPr>
        <w:pStyle w:val="BodyText"/>
        <w:ind w:left="1220"/>
      </w:pPr>
      <w:r>
        <w:rPr/>
        <w:t>Some</w:t>
      </w:r>
      <w:r>
        <w:rPr>
          <w:spacing w:val="-7"/>
        </w:rPr>
        <w:t> </w:t>
      </w:r>
      <w:r>
        <w:rPr/>
        <w:t>of</w:t>
      </w:r>
      <w:r>
        <w:rPr>
          <w:spacing w:val="-5"/>
        </w:rPr>
        <w:t> </w:t>
      </w:r>
      <w:r>
        <w:rPr/>
        <w:t>the</w:t>
      </w:r>
      <w:r>
        <w:rPr>
          <w:spacing w:val="-7"/>
        </w:rPr>
        <w:t> </w:t>
      </w:r>
      <w:r>
        <w:rPr/>
        <w:t>experiences</w:t>
      </w:r>
      <w:r>
        <w:rPr>
          <w:spacing w:val="-6"/>
        </w:rPr>
        <w:t> </w:t>
      </w:r>
      <w:r>
        <w:rPr/>
        <w:t>and</w:t>
      </w:r>
      <w:r>
        <w:rPr>
          <w:spacing w:val="-7"/>
        </w:rPr>
        <w:t> </w:t>
      </w:r>
      <w:r>
        <w:rPr/>
        <w:t>opportunities</w:t>
      </w:r>
      <w:r>
        <w:rPr>
          <w:spacing w:val="-6"/>
        </w:rPr>
        <w:t> </w:t>
      </w:r>
      <w:r>
        <w:rPr/>
        <w:t>that</w:t>
      </w:r>
      <w:r>
        <w:rPr>
          <w:spacing w:val="-5"/>
        </w:rPr>
        <w:t> </w:t>
      </w:r>
      <w:r>
        <w:rPr/>
        <w:t>we</w:t>
      </w:r>
      <w:r>
        <w:rPr>
          <w:spacing w:val="-6"/>
        </w:rPr>
        <w:t> </w:t>
      </w:r>
      <w:r>
        <w:rPr/>
        <w:t>offer</w:t>
      </w:r>
      <w:r>
        <w:rPr>
          <w:spacing w:val="-6"/>
        </w:rPr>
        <w:t> </w:t>
      </w:r>
      <w:r>
        <w:rPr/>
        <w:t>our</w:t>
      </w:r>
      <w:r>
        <w:rPr>
          <w:spacing w:val="-6"/>
        </w:rPr>
        <w:t> </w:t>
      </w:r>
      <w:r>
        <w:rPr/>
        <w:t>students</w:t>
      </w:r>
      <w:r>
        <w:rPr>
          <w:spacing w:val="-6"/>
        </w:rPr>
        <w:t> </w:t>
      </w:r>
      <w:r>
        <w:rPr>
          <w:spacing w:val="-5"/>
        </w:rPr>
        <w:t>to</w:t>
      </w:r>
    </w:p>
    <w:p>
      <w:pPr>
        <w:pStyle w:val="ListParagraph"/>
        <w:numPr>
          <w:ilvl w:val="4"/>
          <w:numId w:val="10"/>
        </w:numPr>
        <w:tabs>
          <w:tab w:pos="1581" w:val="left" w:leader="none"/>
        </w:tabs>
        <w:spacing w:line="240" w:lineRule="auto" w:before="118" w:after="0"/>
        <w:ind w:left="1580" w:right="1014" w:hanging="346"/>
        <w:jc w:val="left"/>
        <w:rPr>
          <w:sz w:val="20"/>
        </w:rPr>
      </w:pPr>
      <w:r>
        <w:rPr>
          <w:b/>
          <w:sz w:val="20"/>
        </w:rPr>
        <w:t>Study</w:t>
      </w:r>
      <w:r>
        <w:rPr>
          <w:b/>
          <w:spacing w:val="-4"/>
          <w:sz w:val="20"/>
        </w:rPr>
        <w:t> </w:t>
      </w:r>
      <w:r>
        <w:rPr>
          <w:b/>
          <w:sz w:val="20"/>
        </w:rPr>
        <w:t>Abroad</w:t>
      </w:r>
      <w:r>
        <w:rPr>
          <w:b/>
          <w:spacing w:val="-3"/>
          <w:sz w:val="20"/>
        </w:rPr>
        <w:t> </w:t>
      </w:r>
      <w:r>
        <w:rPr>
          <w:b/>
          <w:sz w:val="20"/>
        </w:rPr>
        <w:t>Program</w:t>
      </w:r>
      <w:r>
        <w:rPr>
          <w:sz w:val="20"/>
        </w:rPr>
        <w:t>:</w:t>
      </w:r>
      <w:r>
        <w:rPr>
          <w:spacing w:val="-4"/>
          <w:sz w:val="20"/>
        </w:rPr>
        <w:t> </w:t>
      </w:r>
      <w:r>
        <w:rPr>
          <w:sz w:val="20"/>
        </w:rPr>
        <w:t>The</w:t>
      </w:r>
      <w:r>
        <w:rPr>
          <w:spacing w:val="-5"/>
          <w:sz w:val="20"/>
        </w:rPr>
        <w:t> </w:t>
      </w:r>
      <w:r>
        <w:rPr>
          <w:sz w:val="20"/>
        </w:rPr>
        <w:t>international</w:t>
      </w:r>
      <w:r>
        <w:rPr>
          <w:spacing w:val="-6"/>
          <w:sz w:val="20"/>
        </w:rPr>
        <w:t> </w:t>
      </w:r>
      <w:r>
        <w:rPr>
          <w:sz w:val="20"/>
        </w:rPr>
        <w:t>travel</w:t>
      </w:r>
      <w:r>
        <w:rPr>
          <w:spacing w:val="-6"/>
          <w:sz w:val="20"/>
        </w:rPr>
        <w:t> </w:t>
      </w:r>
      <w:r>
        <w:rPr>
          <w:sz w:val="20"/>
        </w:rPr>
        <w:t>study,</w:t>
      </w:r>
      <w:r>
        <w:rPr>
          <w:spacing w:val="-5"/>
          <w:sz w:val="20"/>
        </w:rPr>
        <w:t> </w:t>
      </w:r>
      <w:r>
        <w:rPr>
          <w:sz w:val="20"/>
        </w:rPr>
        <w:t>described</w:t>
      </w:r>
      <w:r>
        <w:rPr>
          <w:spacing w:val="-5"/>
          <w:sz w:val="20"/>
        </w:rPr>
        <w:t> </w:t>
      </w:r>
      <w:r>
        <w:rPr>
          <w:sz w:val="20"/>
        </w:rPr>
        <w:t>throughout</w:t>
      </w:r>
      <w:r>
        <w:rPr>
          <w:spacing w:val="-4"/>
          <w:sz w:val="20"/>
        </w:rPr>
        <w:t> </w:t>
      </w:r>
      <w:r>
        <w:rPr>
          <w:sz w:val="20"/>
        </w:rPr>
        <w:t>this</w:t>
      </w:r>
      <w:r>
        <w:rPr>
          <w:spacing w:val="-4"/>
          <w:sz w:val="20"/>
        </w:rPr>
        <w:t> </w:t>
      </w:r>
      <w:r>
        <w:rPr>
          <w:sz w:val="20"/>
        </w:rPr>
        <w:t>APR, prepares our students to be comfortable in environments that are new and unfamiliar.</w:t>
      </w:r>
    </w:p>
    <w:p>
      <w:pPr>
        <w:pStyle w:val="ListParagraph"/>
        <w:numPr>
          <w:ilvl w:val="4"/>
          <w:numId w:val="10"/>
        </w:numPr>
        <w:tabs>
          <w:tab w:pos="1581" w:val="left" w:leader="none"/>
        </w:tabs>
        <w:spacing w:line="242" w:lineRule="auto" w:before="119" w:after="0"/>
        <w:ind w:left="1580" w:right="978" w:hanging="346"/>
        <w:jc w:val="left"/>
        <w:rPr>
          <w:sz w:val="20"/>
        </w:rPr>
      </w:pPr>
      <w:r>
        <w:rPr>
          <w:b/>
          <w:sz w:val="20"/>
        </w:rPr>
        <w:t>Scholarships</w:t>
      </w:r>
      <w:r>
        <w:rPr>
          <w:sz w:val="20"/>
        </w:rPr>
        <w:t>:</w:t>
      </w:r>
      <w:r>
        <w:rPr>
          <w:spacing w:val="-4"/>
          <w:sz w:val="20"/>
        </w:rPr>
        <w:t> </w:t>
      </w:r>
      <w:r>
        <w:rPr>
          <w:sz w:val="20"/>
        </w:rPr>
        <w:t>Though</w:t>
      </w:r>
      <w:r>
        <w:rPr>
          <w:spacing w:val="-2"/>
          <w:sz w:val="20"/>
        </w:rPr>
        <w:t> </w:t>
      </w:r>
      <w:r>
        <w:rPr>
          <w:sz w:val="20"/>
        </w:rPr>
        <w:t>limited,</w:t>
      </w:r>
      <w:r>
        <w:rPr>
          <w:spacing w:val="-2"/>
          <w:sz w:val="20"/>
        </w:rPr>
        <w:t> </w:t>
      </w:r>
      <w:r>
        <w:rPr>
          <w:sz w:val="20"/>
        </w:rPr>
        <w:t>we</w:t>
      </w:r>
      <w:r>
        <w:rPr>
          <w:spacing w:val="-4"/>
          <w:sz w:val="20"/>
        </w:rPr>
        <w:t> </w:t>
      </w:r>
      <w:r>
        <w:rPr>
          <w:sz w:val="20"/>
        </w:rPr>
        <w:t>have</w:t>
      </w:r>
      <w:r>
        <w:rPr>
          <w:spacing w:val="-4"/>
          <w:sz w:val="20"/>
        </w:rPr>
        <w:t> </w:t>
      </w:r>
      <w:r>
        <w:rPr>
          <w:sz w:val="20"/>
        </w:rPr>
        <w:t>scholarships</w:t>
      </w:r>
      <w:r>
        <w:rPr>
          <w:spacing w:val="-1"/>
          <w:sz w:val="20"/>
        </w:rPr>
        <w:t> </w:t>
      </w:r>
      <w:r>
        <w:rPr>
          <w:sz w:val="20"/>
        </w:rPr>
        <w:t>at</w:t>
      </w:r>
      <w:r>
        <w:rPr>
          <w:spacing w:val="-4"/>
          <w:sz w:val="20"/>
        </w:rPr>
        <w:t> </w:t>
      </w:r>
      <w:r>
        <w:rPr>
          <w:sz w:val="20"/>
        </w:rPr>
        <w:t>a</w:t>
      </w:r>
      <w:r>
        <w:rPr>
          <w:spacing w:val="-2"/>
          <w:sz w:val="20"/>
        </w:rPr>
        <w:t> </w:t>
      </w:r>
      <w:r>
        <w:rPr>
          <w:sz w:val="20"/>
        </w:rPr>
        <w:t>variety</w:t>
      </w:r>
      <w:r>
        <w:rPr>
          <w:spacing w:val="-7"/>
          <w:sz w:val="20"/>
        </w:rPr>
        <w:t> </w:t>
      </w:r>
      <w:r>
        <w:rPr>
          <w:sz w:val="20"/>
        </w:rPr>
        <w:t>of</w:t>
      </w:r>
      <w:r>
        <w:rPr>
          <w:spacing w:val="-2"/>
          <w:sz w:val="20"/>
        </w:rPr>
        <w:t> </w:t>
      </w:r>
      <w:r>
        <w:rPr>
          <w:sz w:val="20"/>
        </w:rPr>
        <w:t>student</w:t>
      </w:r>
      <w:r>
        <w:rPr>
          <w:spacing w:val="-4"/>
          <w:sz w:val="20"/>
        </w:rPr>
        <w:t> </w:t>
      </w:r>
      <w:r>
        <w:rPr>
          <w:sz w:val="20"/>
        </w:rPr>
        <w:t>levels,</w:t>
      </w:r>
      <w:r>
        <w:rPr>
          <w:spacing w:val="-6"/>
          <w:sz w:val="20"/>
        </w:rPr>
        <w:t> </w:t>
      </w:r>
      <w:r>
        <w:rPr>
          <w:sz w:val="20"/>
        </w:rPr>
        <w:t>most notably second and fifth year.</w:t>
      </w:r>
    </w:p>
    <w:p>
      <w:pPr>
        <w:pStyle w:val="ListParagraph"/>
        <w:numPr>
          <w:ilvl w:val="4"/>
          <w:numId w:val="10"/>
        </w:numPr>
        <w:tabs>
          <w:tab w:pos="1581" w:val="left" w:leader="none"/>
        </w:tabs>
        <w:spacing w:line="240" w:lineRule="auto" w:before="116" w:after="0"/>
        <w:ind w:left="1580" w:right="0" w:hanging="347"/>
        <w:jc w:val="left"/>
        <w:rPr>
          <w:sz w:val="20"/>
        </w:rPr>
      </w:pPr>
      <w:r>
        <w:rPr>
          <w:b/>
          <w:sz w:val="20"/>
        </w:rPr>
        <w:t>Emerging</w:t>
      </w:r>
      <w:r>
        <w:rPr>
          <w:b/>
          <w:spacing w:val="-7"/>
          <w:sz w:val="20"/>
        </w:rPr>
        <w:t> </w:t>
      </w:r>
      <w:r>
        <w:rPr>
          <w:b/>
          <w:sz w:val="20"/>
        </w:rPr>
        <w:t>Leaders</w:t>
      </w:r>
      <w:r>
        <w:rPr>
          <w:b/>
          <w:spacing w:val="-8"/>
          <w:sz w:val="20"/>
        </w:rPr>
        <w:t> </w:t>
      </w:r>
      <w:r>
        <w:rPr>
          <w:b/>
          <w:sz w:val="20"/>
        </w:rPr>
        <w:t>in Architecture</w:t>
      </w:r>
      <w:r>
        <w:rPr>
          <w:b/>
          <w:spacing w:val="-8"/>
          <w:sz w:val="20"/>
        </w:rPr>
        <w:t> </w:t>
      </w:r>
      <w:r>
        <w:rPr>
          <w:b/>
          <w:sz w:val="20"/>
        </w:rPr>
        <w:t>(ELA)</w:t>
      </w:r>
      <w:r>
        <w:rPr>
          <w:sz w:val="20"/>
        </w:rPr>
        <w:t>:</w:t>
      </w:r>
      <w:r>
        <w:rPr>
          <w:spacing w:val="42"/>
          <w:sz w:val="20"/>
        </w:rPr>
        <w:t> </w:t>
      </w:r>
      <w:r>
        <w:rPr>
          <w:sz w:val="20"/>
        </w:rPr>
        <w:t>This</w:t>
      </w:r>
      <w:r>
        <w:rPr>
          <w:spacing w:val="-6"/>
          <w:sz w:val="20"/>
        </w:rPr>
        <w:t> </w:t>
      </w:r>
      <w:r>
        <w:rPr>
          <w:sz w:val="20"/>
        </w:rPr>
        <w:t>program,</w:t>
      </w:r>
      <w:r>
        <w:rPr>
          <w:spacing w:val="-8"/>
          <w:sz w:val="20"/>
        </w:rPr>
        <w:t> </w:t>
      </w:r>
      <w:r>
        <w:rPr>
          <w:sz w:val="20"/>
        </w:rPr>
        <w:t>sponsored</w:t>
      </w:r>
      <w:r>
        <w:rPr>
          <w:spacing w:val="-8"/>
          <w:sz w:val="20"/>
        </w:rPr>
        <w:t> </w:t>
      </w:r>
      <w:r>
        <w:rPr>
          <w:sz w:val="20"/>
        </w:rPr>
        <w:t>by</w:t>
      </w:r>
      <w:r>
        <w:rPr>
          <w:spacing w:val="-8"/>
          <w:sz w:val="20"/>
        </w:rPr>
        <w:t> </w:t>
      </w:r>
      <w:r>
        <w:rPr>
          <w:sz w:val="20"/>
        </w:rPr>
        <w:t>the</w:t>
      </w:r>
      <w:r>
        <w:rPr>
          <w:spacing w:val="-6"/>
          <w:sz w:val="20"/>
        </w:rPr>
        <w:t> </w:t>
      </w:r>
      <w:r>
        <w:rPr>
          <w:spacing w:val="-2"/>
          <w:sz w:val="20"/>
        </w:rPr>
        <w:t>VSAIA</w:t>
      </w:r>
    </w:p>
    <w:p>
      <w:pPr>
        <w:pStyle w:val="ListParagraph"/>
        <w:numPr>
          <w:ilvl w:val="4"/>
          <w:numId w:val="10"/>
        </w:numPr>
        <w:tabs>
          <w:tab w:pos="1581" w:val="left" w:leader="none"/>
        </w:tabs>
        <w:spacing w:line="240" w:lineRule="auto" w:before="120" w:after="0"/>
        <w:ind w:left="1580" w:right="871" w:hanging="346"/>
        <w:jc w:val="left"/>
        <w:rPr>
          <w:sz w:val="20"/>
        </w:rPr>
      </w:pPr>
      <w:r>
        <w:rPr>
          <w:b/>
          <w:sz w:val="20"/>
        </w:rPr>
        <w:t>ICCAA</w:t>
      </w:r>
      <w:r>
        <w:rPr>
          <w:b/>
          <w:spacing w:val="-6"/>
          <w:sz w:val="20"/>
        </w:rPr>
        <w:t> </w:t>
      </w:r>
      <w:r>
        <w:rPr>
          <w:b/>
          <w:sz w:val="20"/>
        </w:rPr>
        <w:t>Winter</w:t>
      </w:r>
      <w:r>
        <w:rPr>
          <w:b/>
          <w:spacing w:val="-2"/>
          <w:sz w:val="20"/>
        </w:rPr>
        <w:t> </w:t>
      </w:r>
      <w:r>
        <w:rPr>
          <w:b/>
          <w:sz w:val="20"/>
        </w:rPr>
        <w:t>Interim</w:t>
      </w:r>
      <w:r>
        <w:rPr>
          <w:sz w:val="20"/>
        </w:rPr>
        <w:t>:</w:t>
      </w:r>
      <w:r>
        <w:rPr>
          <w:spacing w:val="-2"/>
          <w:sz w:val="20"/>
        </w:rPr>
        <w:t> </w:t>
      </w:r>
      <w:r>
        <w:rPr>
          <w:sz w:val="20"/>
        </w:rPr>
        <w:t>This</w:t>
      </w:r>
      <w:r>
        <w:rPr>
          <w:spacing w:val="-3"/>
          <w:sz w:val="20"/>
        </w:rPr>
        <w:t> </w:t>
      </w:r>
      <w:r>
        <w:rPr>
          <w:sz w:val="20"/>
        </w:rPr>
        <w:t>program,</w:t>
      </w:r>
      <w:r>
        <w:rPr>
          <w:spacing w:val="-4"/>
          <w:sz w:val="20"/>
        </w:rPr>
        <w:t> </w:t>
      </w:r>
      <w:r>
        <w:rPr>
          <w:sz w:val="20"/>
        </w:rPr>
        <w:t>sponsored</w:t>
      </w:r>
      <w:r>
        <w:rPr>
          <w:spacing w:val="-4"/>
          <w:sz w:val="20"/>
        </w:rPr>
        <w:t> </w:t>
      </w:r>
      <w:r>
        <w:rPr>
          <w:sz w:val="20"/>
        </w:rPr>
        <w:t>by</w:t>
      </w:r>
      <w:r>
        <w:rPr>
          <w:spacing w:val="-7"/>
          <w:sz w:val="20"/>
        </w:rPr>
        <w:t> </w:t>
      </w:r>
      <w:r>
        <w:rPr>
          <w:sz w:val="20"/>
        </w:rPr>
        <w:t>the</w:t>
      </w:r>
      <w:r>
        <w:rPr>
          <w:spacing w:val="-4"/>
          <w:sz w:val="20"/>
        </w:rPr>
        <w:t> </w:t>
      </w:r>
      <w:r>
        <w:rPr>
          <w:sz w:val="20"/>
        </w:rPr>
        <w:t>Gindroz</w:t>
      </w:r>
      <w:r>
        <w:rPr>
          <w:spacing w:val="-7"/>
          <w:sz w:val="20"/>
        </w:rPr>
        <w:t> </w:t>
      </w:r>
      <w:r>
        <w:rPr>
          <w:sz w:val="20"/>
        </w:rPr>
        <w:t>Foundation</w:t>
      </w:r>
      <w:r>
        <w:rPr>
          <w:spacing w:val="-2"/>
          <w:sz w:val="20"/>
        </w:rPr>
        <w:t> </w:t>
      </w:r>
      <w:r>
        <w:rPr>
          <w:sz w:val="20"/>
        </w:rPr>
        <w:t>affords</w:t>
      </w:r>
      <w:r>
        <w:rPr>
          <w:spacing w:val="-3"/>
          <w:sz w:val="20"/>
        </w:rPr>
        <w:t> </w:t>
      </w:r>
      <w:r>
        <w:rPr>
          <w:sz w:val="20"/>
        </w:rPr>
        <w:t>a</w:t>
      </w:r>
      <w:r>
        <w:rPr>
          <w:spacing w:val="-4"/>
          <w:sz w:val="20"/>
        </w:rPr>
        <w:t> </w:t>
      </w:r>
      <w:r>
        <w:rPr>
          <w:sz w:val="20"/>
        </w:rPr>
        <w:t>4</w:t>
      </w:r>
      <w:r>
        <w:rPr>
          <w:sz w:val="20"/>
          <w:vertAlign w:val="superscript"/>
        </w:rPr>
        <w:t>t</w:t>
      </w:r>
      <w:r>
        <w:rPr>
          <w:sz w:val="20"/>
          <w:vertAlign w:val="superscript"/>
        </w:rPr>
        <w:t>h</w:t>
      </w:r>
      <w:r>
        <w:rPr>
          <w:sz w:val="20"/>
          <w:vertAlign w:val="baseline"/>
        </w:rPr>
        <w:t> year student an opporutunity to travel to New York to participate in a 10 day intensive program in classical architecture.</w:t>
      </w:r>
    </w:p>
    <w:p>
      <w:pPr>
        <w:pStyle w:val="ListParagraph"/>
        <w:numPr>
          <w:ilvl w:val="4"/>
          <w:numId w:val="10"/>
        </w:numPr>
        <w:tabs>
          <w:tab w:pos="1581" w:val="left" w:leader="none"/>
        </w:tabs>
        <w:spacing w:line="240" w:lineRule="auto" w:before="119" w:after="0"/>
        <w:ind w:left="1580" w:right="587" w:hanging="346"/>
        <w:jc w:val="left"/>
        <w:rPr>
          <w:sz w:val="20"/>
        </w:rPr>
      </w:pPr>
      <w:r>
        <w:rPr>
          <w:b/>
          <w:sz w:val="20"/>
        </w:rPr>
        <w:t>Seaside Institute</w:t>
      </w:r>
      <w:r>
        <w:rPr>
          <w:sz w:val="20"/>
        </w:rPr>
        <w:t>: This project, developed by Robert Davis, and planned by Andres Duany and</w:t>
      </w:r>
      <w:r>
        <w:rPr>
          <w:spacing w:val="-3"/>
          <w:sz w:val="20"/>
        </w:rPr>
        <w:t> </w:t>
      </w:r>
      <w:r>
        <w:rPr>
          <w:sz w:val="20"/>
        </w:rPr>
        <w:t>Elizabeth</w:t>
      </w:r>
      <w:r>
        <w:rPr>
          <w:spacing w:val="-3"/>
          <w:sz w:val="20"/>
        </w:rPr>
        <w:t> </w:t>
      </w:r>
      <w:r>
        <w:rPr>
          <w:sz w:val="20"/>
        </w:rPr>
        <w:t>Plater-Zyberk</w:t>
      </w:r>
      <w:r>
        <w:rPr>
          <w:spacing w:val="-1"/>
          <w:sz w:val="20"/>
        </w:rPr>
        <w:t> </w:t>
      </w:r>
      <w:r>
        <w:rPr>
          <w:sz w:val="20"/>
        </w:rPr>
        <w:t>of</w:t>
      </w:r>
      <w:r>
        <w:rPr>
          <w:spacing w:val="-3"/>
          <w:sz w:val="20"/>
        </w:rPr>
        <w:t> </w:t>
      </w:r>
      <w:r>
        <w:rPr>
          <w:sz w:val="20"/>
        </w:rPr>
        <w:t>DPZ</w:t>
      </w:r>
      <w:r>
        <w:rPr>
          <w:spacing w:val="-4"/>
          <w:sz w:val="20"/>
        </w:rPr>
        <w:t> </w:t>
      </w:r>
      <w:r>
        <w:rPr>
          <w:sz w:val="20"/>
        </w:rPr>
        <w:t>sought</w:t>
      </w:r>
      <w:r>
        <w:rPr>
          <w:spacing w:val="-5"/>
          <w:sz w:val="20"/>
        </w:rPr>
        <w:t> </w:t>
      </w:r>
      <w:r>
        <w:rPr>
          <w:sz w:val="20"/>
        </w:rPr>
        <w:t>to</w:t>
      </w:r>
      <w:r>
        <w:rPr>
          <w:spacing w:val="-3"/>
          <w:sz w:val="20"/>
        </w:rPr>
        <w:t> </w:t>
      </w:r>
      <w:r>
        <w:rPr>
          <w:sz w:val="20"/>
        </w:rPr>
        <w:t>learn</w:t>
      </w:r>
      <w:r>
        <w:rPr>
          <w:spacing w:val="-5"/>
          <w:sz w:val="20"/>
        </w:rPr>
        <w:t> </w:t>
      </w:r>
      <w:r>
        <w:rPr>
          <w:sz w:val="20"/>
        </w:rPr>
        <w:t>from the</w:t>
      </w:r>
      <w:r>
        <w:rPr>
          <w:spacing w:val="-5"/>
          <w:sz w:val="20"/>
        </w:rPr>
        <w:t> </w:t>
      </w:r>
      <w:r>
        <w:rPr>
          <w:sz w:val="20"/>
        </w:rPr>
        <w:t>qualities</w:t>
      </w:r>
      <w:r>
        <w:rPr>
          <w:spacing w:val="-4"/>
          <w:sz w:val="20"/>
        </w:rPr>
        <w:t> </w:t>
      </w:r>
      <w:r>
        <w:rPr>
          <w:sz w:val="20"/>
        </w:rPr>
        <w:t>of</w:t>
      </w:r>
      <w:r>
        <w:rPr>
          <w:spacing w:val="-2"/>
          <w:sz w:val="20"/>
        </w:rPr>
        <w:t> </w:t>
      </w:r>
      <w:r>
        <w:rPr>
          <w:sz w:val="20"/>
        </w:rPr>
        <w:t>older</w:t>
      </w:r>
      <w:r>
        <w:rPr>
          <w:spacing w:val="-4"/>
          <w:sz w:val="20"/>
        </w:rPr>
        <w:t> </w:t>
      </w:r>
      <w:r>
        <w:rPr>
          <w:sz w:val="20"/>
        </w:rPr>
        <w:t>regional</w:t>
      </w:r>
      <w:r>
        <w:rPr>
          <w:spacing w:val="-6"/>
          <w:sz w:val="20"/>
        </w:rPr>
        <w:t> </w:t>
      </w:r>
      <w:r>
        <w:rPr>
          <w:sz w:val="20"/>
        </w:rPr>
        <w:t>towns those qualities appealed to him. This trip was sponsored by the developer and the Gindroz Foundation. Students engaged in charrettes and design lectures / forums. The academic focus was on reconsidering the planning of Seaside by exploring ways in which the urban design</w:t>
      </w:r>
      <w:r>
        <w:rPr>
          <w:spacing w:val="-1"/>
          <w:sz w:val="20"/>
        </w:rPr>
        <w:t> </w:t>
      </w:r>
      <w:r>
        <w:rPr>
          <w:sz w:val="20"/>
        </w:rPr>
        <w:t>patterns of prior cultures might</w:t>
      </w:r>
      <w:r>
        <w:rPr>
          <w:spacing w:val="-1"/>
          <w:sz w:val="20"/>
        </w:rPr>
        <w:t> </w:t>
      </w:r>
      <w:r>
        <w:rPr>
          <w:sz w:val="20"/>
        </w:rPr>
        <w:t>be</w:t>
      </w:r>
      <w:r>
        <w:rPr>
          <w:spacing w:val="-1"/>
          <w:sz w:val="20"/>
        </w:rPr>
        <w:t> </w:t>
      </w:r>
      <w:r>
        <w:rPr>
          <w:sz w:val="20"/>
        </w:rPr>
        <w:t>applied</w:t>
      </w:r>
      <w:r>
        <w:rPr>
          <w:spacing w:val="-1"/>
          <w:sz w:val="20"/>
        </w:rPr>
        <w:t> </w:t>
      </w:r>
      <w:r>
        <w:rPr>
          <w:sz w:val="20"/>
        </w:rPr>
        <w:t>to</w:t>
      </w:r>
      <w:r>
        <w:rPr>
          <w:spacing w:val="-1"/>
          <w:sz w:val="20"/>
        </w:rPr>
        <w:t> </w:t>
      </w:r>
      <w:r>
        <w:rPr>
          <w:sz w:val="20"/>
        </w:rPr>
        <w:t>it. It was so</w:t>
      </w:r>
      <w:r>
        <w:rPr>
          <w:spacing w:val="-1"/>
          <w:sz w:val="20"/>
        </w:rPr>
        <w:t> </w:t>
      </w:r>
      <w:r>
        <w:rPr>
          <w:sz w:val="20"/>
        </w:rPr>
        <w:t>successful</w:t>
      </w:r>
      <w:r>
        <w:rPr>
          <w:spacing w:val="-2"/>
          <w:sz w:val="20"/>
        </w:rPr>
        <w:t> </w:t>
      </w:r>
      <w:r>
        <w:rPr>
          <w:sz w:val="20"/>
        </w:rPr>
        <w:t>that our program has been invited to return next hear. We anticipate that it will be an annual event.</w:t>
      </w:r>
    </w:p>
    <w:p>
      <w:pPr>
        <w:pStyle w:val="ListParagraph"/>
        <w:numPr>
          <w:ilvl w:val="4"/>
          <w:numId w:val="10"/>
        </w:numPr>
        <w:tabs>
          <w:tab w:pos="1581" w:val="left" w:leader="none"/>
        </w:tabs>
        <w:spacing w:line="240" w:lineRule="auto" w:before="120" w:after="0"/>
        <w:ind w:left="1580" w:right="0" w:hanging="347"/>
        <w:jc w:val="left"/>
        <w:rPr>
          <w:sz w:val="20"/>
        </w:rPr>
      </w:pPr>
      <w:r>
        <w:rPr>
          <w:b/>
          <w:sz w:val="20"/>
        </w:rPr>
        <w:t>UDream</w:t>
      </w:r>
      <w:r>
        <w:rPr>
          <w:sz w:val="20"/>
        </w:rPr>
        <w:t>:</w:t>
      </w:r>
      <w:r>
        <w:rPr>
          <w:spacing w:val="-5"/>
          <w:sz w:val="20"/>
        </w:rPr>
        <w:t> </w:t>
      </w:r>
      <w:r>
        <w:rPr>
          <w:sz w:val="20"/>
        </w:rPr>
        <w:t>Also</w:t>
      </w:r>
      <w:r>
        <w:rPr>
          <w:spacing w:val="-6"/>
          <w:sz w:val="20"/>
        </w:rPr>
        <w:t> </w:t>
      </w:r>
      <w:r>
        <w:rPr>
          <w:sz w:val="20"/>
        </w:rPr>
        <w:t>sponsored</w:t>
      </w:r>
      <w:r>
        <w:rPr>
          <w:spacing w:val="-4"/>
          <w:sz w:val="20"/>
        </w:rPr>
        <w:t> </w:t>
      </w:r>
      <w:r>
        <w:rPr>
          <w:sz w:val="20"/>
        </w:rPr>
        <w:t>by</w:t>
      </w:r>
      <w:r>
        <w:rPr>
          <w:spacing w:val="-7"/>
          <w:sz w:val="20"/>
        </w:rPr>
        <w:t> </w:t>
      </w:r>
      <w:r>
        <w:rPr>
          <w:sz w:val="20"/>
        </w:rPr>
        <w:t>the</w:t>
      </w:r>
      <w:r>
        <w:rPr>
          <w:spacing w:val="-6"/>
          <w:sz w:val="20"/>
        </w:rPr>
        <w:t> </w:t>
      </w:r>
      <w:r>
        <w:rPr>
          <w:sz w:val="20"/>
        </w:rPr>
        <w:t>Gindroz</w:t>
      </w:r>
      <w:r>
        <w:rPr>
          <w:spacing w:val="-7"/>
          <w:sz w:val="20"/>
        </w:rPr>
        <w:t> </w:t>
      </w:r>
      <w:r>
        <w:rPr>
          <w:spacing w:val="-2"/>
          <w:sz w:val="20"/>
        </w:rPr>
        <w:t>Foundation,</w:t>
      </w:r>
    </w:p>
    <w:p>
      <w:pPr>
        <w:pStyle w:val="ListParagraph"/>
        <w:numPr>
          <w:ilvl w:val="4"/>
          <w:numId w:val="10"/>
        </w:numPr>
        <w:tabs>
          <w:tab w:pos="1581" w:val="left" w:leader="none"/>
        </w:tabs>
        <w:spacing w:line="240" w:lineRule="auto" w:before="121" w:after="0"/>
        <w:ind w:left="1580" w:right="524" w:hanging="346"/>
        <w:jc w:val="left"/>
        <w:rPr>
          <w:sz w:val="20"/>
        </w:rPr>
      </w:pPr>
      <w:r>
        <w:rPr>
          <w:b/>
          <w:sz w:val="20"/>
        </w:rPr>
        <w:t>HBCU</w:t>
      </w:r>
      <w:r>
        <w:rPr>
          <w:b/>
          <w:spacing w:val="-4"/>
          <w:sz w:val="20"/>
        </w:rPr>
        <w:t> </w:t>
      </w:r>
      <w:r>
        <w:rPr>
          <w:b/>
          <w:sz w:val="20"/>
        </w:rPr>
        <w:t>Student</w:t>
      </w:r>
      <w:r>
        <w:rPr>
          <w:b/>
          <w:spacing w:val="-3"/>
          <w:sz w:val="20"/>
        </w:rPr>
        <w:t> </w:t>
      </w:r>
      <w:r>
        <w:rPr>
          <w:b/>
          <w:sz w:val="20"/>
        </w:rPr>
        <w:t>Conference</w:t>
      </w:r>
      <w:r>
        <w:rPr>
          <w:sz w:val="20"/>
        </w:rPr>
        <w:t>:</w:t>
      </w:r>
      <w:r>
        <w:rPr>
          <w:spacing w:val="-9"/>
          <w:sz w:val="20"/>
        </w:rPr>
        <w:t> </w:t>
      </w:r>
      <w:r>
        <w:rPr>
          <w:sz w:val="20"/>
        </w:rPr>
        <w:t>We</w:t>
      </w:r>
      <w:r>
        <w:rPr>
          <w:spacing w:val="-4"/>
          <w:sz w:val="20"/>
        </w:rPr>
        <w:t> </w:t>
      </w:r>
      <w:r>
        <w:rPr>
          <w:sz w:val="20"/>
        </w:rPr>
        <w:t>have</w:t>
      </w:r>
      <w:r>
        <w:rPr>
          <w:spacing w:val="-2"/>
          <w:sz w:val="20"/>
        </w:rPr>
        <w:t> </w:t>
      </w:r>
      <w:r>
        <w:rPr>
          <w:sz w:val="20"/>
        </w:rPr>
        <w:t>worked</w:t>
      </w:r>
      <w:r>
        <w:rPr>
          <w:spacing w:val="-2"/>
          <w:sz w:val="20"/>
        </w:rPr>
        <w:t> </w:t>
      </w:r>
      <w:r>
        <w:rPr>
          <w:sz w:val="20"/>
        </w:rPr>
        <w:t>with</w:t>
      </w:r>
      <w:r>
        <w:rPr>
          <w:spacing w:val="-4"/>
          <w:sz w:val="20"/>
        </w:rPr>
        <w:t> </w:t>
      </w:r>
      <w:r>
        <w:rPr>
          <w:sz w:val="20"/>
        </w:rPr>
        <w:t>the</w:t>
      </w:r>
      <w:r>
        <w:rPr>
          <w:spacing w:val="-4"/>
          <w:sz w:val="20"/>
        </w:rPr>
        <w:t> </w:t>
      </w:r>
      <w:r>
        <w:rPr>
          <w:sz w:val="20"/>
        </w:rPr>
        <w:t>other</w:t>
      </w:r>
      <w:r>
        <w:rPr>
          <w:spacing w:val="-3"/>
          <w:sz w:val="20"/>
        </w:rPr>
        <w:t> </w:t>
      </w:r>
      <w:r>
        <w:rPr>
          <w:sz w:val="20"/>
        </w:rPr>
        <w:t>HBCU</w:t>
      </w:r>
      <w:r>
        <w:rPr>
          <w:spacing w:val="-4"/>
          <w:sz w:val="20"/>
        </w:rPr>
        <w:t> </w:t>
      </w:r>
      <w:r>
        <w:rPr>
          <w:sz w:val="20"/>
        </w:rPr>
        <w:t>architecture</w:t>
      </w:r>
      <w:r>
        <w:rPr>
          <w:spacing w:val="-2"/>
          <w:sz w:val="20"/>
        </w:rPr>
        <w:t> </w:t>
      </w:r>
      <w:r>
        <w:rPr>
          <w:sz w:val="20"/>
        </w:rPr>
        <w:t>programs</w:t>
      </w:r>
      <w:r>
        <w:rPr>
          <w:spacing w:val="-3"/>
          <w:sz w:val="20"/>
        </w:rPr>
        <w:t> </w:t>
      </w:r>
      <w:r>
        <w:rPr>
          <w:sz w:val="20"/>
        </w:rPr>
        <w:t>to develop</w:t>
      </w:r>
      <w:r>
        <w:rPr>
          <w:spacing w:val="-3"/>
          <w:sz w:val="20"/>
        </w:rPr>
        <w:t> </w:t>
      </w:r>
      <w:r>
        <w:rPr>
          <w:sz w:val="20"/>
        </w:rPr>
        <w:t>a</w:t>
      </w:r>
      <w:r>
        <w:rPr>
          <w:spacing w:val="-1"/>
          <w:sz w:val="20"/>
        </w:rPr>
        <w:t> </w:t>
      </w:r>
      <w:r>
        <w:rPr>
          <w:sz w:val="20"/>
        </w:rPr>
        <w:t>low</w:t>
      </w:r>
      <w:r>
        <w:rPr>
          <w:spacing w:val="-3"/>
          <w:sz w:val="20"/>
        </w:rPr>
        <w:t> </w:t>
      </w:r>
      <w:r>
        <w:rPr>
          <w:sz w:val="20"/>
        </w:rPr>
        <w:t>budget,</w:t>
      </w:r>
      <w:r>
        <w:rPr>
          <w:spacing w:val="-3"/>
          <w:sz w:val="20"/>
        </w:rPr>
        <w:t> </w:t>
      </w:r>
      <w:r>
        <w:rPr>
          <w:sz w:val="20"/>
        </w:rPr>
        <w:t>high</w:t>
      </w:r>
      <w:r>
        <w:rPr>
          <w:spacing w:val="-1"/>
          <w:sz w:val="20"/>
        </w:rPr>
        <w:t> </w:t>
      </w:r>
      <w:r>
        <w:rPr>
          <w:sz w:val="20"/>
        </w:rPr>
        <w:t>quality</w:t>
      </w:r>
      <w:r>
        <w:rPr>
          <w:spacing w:val="-5"/>
          <w:sz w:val="20"/>
        </w:rPr>
        <w:t> </w:t>
      </w:r>
      <w:r>
        <w:rPr>
          <w:sz w:val="20"/>
        </w:rPr>
        <w:t>conference</w:t>
      </w:r>
      <w:r>
        <w:rPr>
          <w:spacing w:val="-1"/>
          <w:sz w:val="20"/>
        </w:rPr>
        <w:t> </w:t>
      </w:r>
      <w:r>
        <w:rPr>
          <w:sz w:val="20"/>
        </w:rPr>
        <w:t>experience</w:t>
      </w:r>
      <w:r>
        <w:rPr>
          <w:spacing w:val="-3"/>
          <w:sz w:val="20"/>
        </w:rPr>
        <w:t> </w:t>
      </w:r>
      <w:r>
        <w:rPr>
          <w:sz w:val="20"/>
        </w:rPr>
        <w:t>where</w:t>
      </w:r>
      <w:r>
        <w:rPr>
          <w:spacing w:val="-3"/>
          <w:sz w:val="20"/>
        </w:rPr>
        <w:t> </w:t>
      </w:r>
      <w:r>
        <w:rPr>
          <w:sz w:val="20"/>
        </w:rPr>
        <w:t>students</w:t>
      </w:r>
      <w:r>
        <w:rPr>
          <w:spacing w:val="-2"/>
          <w:sz w:val="20"/>
        </w:rPr>
        <w:t> </w:t>
      </w:r>
      <w:r>
        <w:rPr>
          <w:sz w:val="20"/>
        </w:rPr>
        <w:t>are</w:t>
      </w:r>
      <w:r>
        <w:rPr>
          <w:spacing w:val="-3"/>
          <w:sz w:val="20"/>
        </w:rPr>
        <w:t> </w:t>
      </w:r>
      <w:r>
        <w:rPr>
          <w:sz w:val="20"/>
        </w:rPr>
        <w:t>able</w:t>
      </w:r>
      <w:r>
        <w:rPr>
          <w:spacing w:val="-1"/>
          <w:sz w:val="20"/>
        </w:rPr>
        <w:t> </w:t>
      </w:r>
      <w:r>
        <w:rPr>
          <w:sz w:val="20"/>
        </w:rPr>
        <w:t>to</w:t>
      </w:r>
      <w:r>
        <w:rPr>
          <w:spacing w:val="-3"/>
          <w:sz w:val="20"/>
        </w:rPr>
        <w:t> </w:t>
      </w:r>
      <w:r>
        <w:rPr>
          <w:sz w:val="20"/>
        </w:rPr>
        <w:t>interact learn from other perspectives. It also allows students to measure the quality and progress pf their academic experience.</w:t>
      </w:r>
    </w:p>
    <w:p>
      <w:pPr>
        <w:pStyle w:val="ListParagraph"/>
        <w:numPr>
          <w:ilvl w:val="4"/>
          <w:numId w:val="10"/>
        </w:numPr>
        <w:tabs>
          <w:tab w:pos="1581" w:val="left" w:leader="none"/>
        </w:tabs>
        <w:spacing w:line="242" w:lineRule="auto" w:before="119" w:after="0"/>
        <w:ind w:left="1580" w:right="746" w:hanging="346"/>
        <w:jc w:val="left"/>
        <w:rPr>
          <w:sz w:val="20"/>
        </w:rPr>
      </w:pPr>
      <w:r>
        <w:rPr>
          <w:b/>
          <w:sz w:val="20"/>
        </w:rPr>
        <w:t>Architecture</w:t>
      </w:r>
      <w:r>
        <w:rPr>
          <w:b/>
          <w:spacing w:val="-3"/>
          <w:sz w:val="20"/>
        </w:rPr>
        <w:t> </w:t>
      </w:r>
      <w:r>
        <w:rPr>
          <w:b/>
          <w:sz w:val="20"/>
        </w:rPr>
        <w:t>Exchange</w:t>
      </w:r>
      <w:r>
        <w:rPr>
          <w:b/>
          <w:spacing w:val="-3"/>
          <w:sz w:val="20"/>
        </w:rPr>
        <w:t> </w:t>
      </w:r>
      <w:r>
        <w:rPr>
          <w:b/>
          <w:sz w:val="20"/>
        </w:rPr>
        <w:t>East</w:t>
      </w:r>
      <w:r>
        <w:rPr>
          <w:sz w:val="20"/>
        </w:rPr>
        <w:t>:</w:t>
      </w:r>
      <w:r>
        <w:rPr>
          <w:spacing w:val="40"/>
          <w:sz w:val="20"/>
        </w:rPr>
        <w:t> </w:t>
      </w:r>
      <w:r>
        <w:rPr>
          <w:sz w:val="20"/>
        </w:rPr>
        <w:t>This</w:t>
      </w:r>
      <w:r>
        <w:rPr>
          <w:spacing w:val="-3"/>
          <w:sz w:val="20"/>
        </w:rPr>
        <w:t> </w:t>
      </w:r>
      <w:r>
        <w:rPr>
          <w:sz w:val="20"/>
        </w:rPr>
        <w:t>professional</w:t>
      </w:r>
      <w:r>
        <w:rPr>
          <w:spacing w:val="-5"/>
          <w:sz w:val="20"/>
        </w:rPr>
        <w:t> </w:t>
      </w:r>
      <w:r>
        <w:rPr>
          <w:sz w:val="20"/>
        </w:rPr>
        <w:t>conference</w:t>
      </w:r>
      <w:r>
        <w:rPr>
          <w:spacing w:val="-4"/>
          <w:sz w:val="20"/>
        </w:rPr>
        <w:t> </w:t>
      </w:r>
      <w:r>
        <w:rPr>
          <w:sz w:val="20"/>
        </w:rPr>
        <w:t>is</w:t>
      </w:r>
      <w:r>
        <w:rPr>
          <w:spacing w:val="-3"/>
          <w:sz w:val="20"/>
        </w:rPr>
        <w:t> </w:t>
      </w:r>
      <w:r>
        <w:rPr>
          <w:sz w:val="20"/>
        </w:rPr>
        <w:t>conducted</w:t>
      </w:r>
      <w:r>
        <w:rPr>
          <w:spacing w:val="-4"/>
          <w:sz w:val="20"/>
        </w:rPr>
        <w:t> </w:t>
      </w:r>
      <w:r>
        <w:rPr>
          <w:sz w:val="20"/>
        </w:rPr>
        <w:t>90</w:t>
      </w:r>
      <w:r>
        <w:rPr>
          <w:spacing w:val="-4"/>
          <w:sz w:val="20"/>
        </w:rPr>
        <w:t> </w:t>
      </w:r>
      <w:r>
        <w:rPr>
          <w:sz w:val="20"/>
        </w:rPr>
        <w:t>miles</w:t>
      </w:r>
      <w:r>
        <w:rPr>
          <w:spacing w:val="-3"/>
          <w:sz w:val="20"/>
        </w:rPr>
        <w:t> </w:t>
      </w:r>
      <w:r>
        <w:rPr>
          <w:sz w:val="20"/>
        </w:rPr>
        <w:t>east</w:t>
      </w:r>
      <w:r>
        <w:rPr>
          <w:spacing w:val="-4"/>
          <w:sz w:val="20"/>
        </w:rPr>
        <w:t> </w:t>
      </w:r>
      <w:r>
        <w:rPr>
          <w:sz w:val="20"/>
        </w:rPr>
        <w:t>of our campus and is set up to allow student to participate at no cost.</w:t>
      </w:r>
    </w:p>
    <w:p>
      <w:pPr>
        <w:pStyle w:val="ListParagraph"/>
        <w:numPr>
          <w:ilvl w:val="4"/>
          <w:numId w:val="10"/>
        </w:numPr>
        <w:tabs>
          <w:tab w:pos="1581" w:val="left" w:leader="none"/>
        </w:tabs>
        <w:spacing w:line="242" w:lineRule="auto" w:before="117" w:after="0"/>
        <w:ind w:left="1579" w:right="869" w:hanging="346"/>
        <w:jc w:val="left"/>
        <w:rPr>
          <w:sz w:val="20"/>
        </w:rPr>
      </w:pPr>
      <w:r>
        <w:rPr>
          <w:b/>
          <w:sz w:val="20"/>
        </w:rPr>
        <w:t>NOMA</w:t>
      </w:r>
      <w:r>
        <w:rPr>
          <w:b/>
          <w:spacing w:val="-9"/>
          <w:sz w:val="20"/>
        </w:rPr>
        <w:t> </w:t>
      </w:r>
      <w:r>
        <w:rPr>
          <w:b/>
          <w:sz w:val="20"/>
        </w:rPr>
        <w:t>Conference</w:t>
      </w:r>
      <w:r>
        <w:rPr>
          <w:b/>
          <w:spacing w:val="-1"/>
          <w:sz w:val="20"/>
        </w:rPr>
        <w:t> </w:t>
      </w:r>
      <w:r>
        <w:rPr>
          <w:b/>
          <w:sz w:val="20"/>
        </w:rPr>
        <w:t>Attendance</w:t>
      </w:r>
      <w:r>
        <w:rPr>
          <w:sz w:val="20"/>
        </w:rPr>
        <w:t>:</w:t>
      </w:r>
      <w:r>
        <w:rPr>
          <w:spacing w:val="40"/>
          <w:sz w:val="20"/>
        </w:rPr>
        <w:t> </w:t>
      </w:r>
      <w:r>
        <w:rPr>
          <w:sz w:val="20"/>
        </w:rPr>
        <w:t>This</w:t>
      </w:r>
      <w:r>
        <w:rPr>
          <w:spacing w:val="-2"/>
          <w:sz w:val="20"/>
        </w:rPr>
        <w:t> </w:t>
      </w:r>
      <w:r>
        <w:rPr>
          <w:sz w:val="20"/>
        </w:rPr>
        <w:t>is</w:t>
      </w:r>
      <w:r>
        <w:rPr>
          <w:spacing w:val="-5"/>
          <w:sz w:val="20"/>
        </w:rPr>
        <w:t> </w:t>
      </w:r>
      <w:r>
        <w:rPr>
          <w:sz w:val="20"/>
        </w:rPr>
        <w:t>another</w:t>
      </w:r>
      <w:r>
        <w:rPr>
          <w:spacing w:val="-3"/>
          <w:sz w:val="20"/>
        </w:rPr>
        <w:t> </w:t>
      </w:r>
      <w:r>
        <w:rPr>
          <w:sz w:val="20"/>
        </w:rPr>
        <w:t>professional</w:t>
      </w:r>
      <w:r>
        <w:rPr>
          <w:spacing w:val="-5"/>
          <w:sz w:val="20"/>
        </w:rPr>
        <w:t> </w:t>
      </w:r>
      <w:r>
        <w:rPr>
          <w:sz w:val="20"/>
        </w:rPr>
        <w:t>conference</w:t>
      </w:r>
      <w:r>
        <w:rPr>
          <w:spacing w:val="-6"/>
          <w:sz w:val="20"/>
        </w:rPr>
        <w:t> </w:t>
      </w:r>
      <w:r>
        <w:rPr>
          <w:sz w:val="20"/>
        </w:rPr>
        <w:t>that</w:t>
      </w:r>
      <w:r>
        <w:rPr>
          <w:spacing w:val="-4"/>
          <w:sz w:val="20"/>
        </w:rPr>
        <w:t> </w:t>
      </w:r>
      <w:r>
        <w:rPr>
          <w:sz w:val="20"/>
        </w:rPr>
        <w:t>embraces students and provide an experience directed at their interest.</w:t>
      </w:r>
    </w:p>
    <w:p>
      <w:pPr>
        <w:spacing w:after="0" w:line="242" w:lineRule="auto"/>
        <w:jc w:val="left"/>
        <w:rPr>
          <w:sz w:val="20"/>
        </w:rPr>
        <w:sectPr>
          <w:pgSz w:w="12240" w:h="15840"/>
          <w:pgMar w:header="0" w:footer="974" w:top="1360" w:bottom="1160" w:left="940" w:right="960"/>
        </w:sectPr>
      </w:pPr>
    </w:p>
    <w:p>
      <w:pPr>
        <w:pStyle w:val="ListParagraph"/>
        <w:numPr>
          <w:ilvl w:val="4"/>
          <w:numId w:val="10"/>
        </w:numPr>
        <w:tabs>
          <w:tab w:pos="1581" w:val="left" w:leader="none"/>
        </w:tabs>
        <w:spacing w:line="242" w:lineRule="auto" w:before="75" w:after="0"/>
        <w:ind w:left="1579" w:right="1030" w:hanging="346"/>
        <w:jc w:val="left"/>
        <w:rPr>
          <w:sz w:val="20"/>
        </w:rPr>
      </w:pPr>
      <w:r>
        <w:rPr>
          <w:b/>
          <w:sz w:val="20"/>
        </w:rPr>
        <w:t>Outreach</w:t>
      </w:r>
      <w:r>
        <w:rPr>
          <w:b/>
          <w:spacing w:val="-1"/>
          <w:sz w:val="20"/>
        </w:rPr>
        <w:t> </w:t>
      </w:r>
      <w:r>
        <w:rPr>
          <w:b/>
          <w:sz w:val="20"/>
        </w:rPr>
        <w:t>Projects</w:t>
      </w:r>
      <w:r>
        <w:rPr>
          <w:sz w:val="20"/>
        </w:rPr>
        <w:t>:</w:t>
      </w:r>
      <w:r>
        <w:rPr>
          <w:spacing w:val="-1"/>
          <w:sz w:val="20"/>
        </w:rPr>
        <w:t> </w:t>
      </w:r>
      <w:r>
        <w:rPr>
          <w:sz w:val="20"/>
        </w:rPr>
        <w:t>All</w:t>
      </w:r>
      <w:r>
        <w:rPr>
          <w:spacing w:val="-5"/>
          <w:sz w:val="20"/>
        </w:rPr>
        <w:t> </w:t>
      </w:r>
      <w:r>
        <w:rPr>
          <w:sz w:val="20"/>
        </w:rPr>
        <w:t>of</w:t>
      </w:r>
      <w:r>
        <w:rPr>
          <w:spacing w:val="-2"/>
          <w:sz w:val="20"/>
        </w:rPr>
        <w:t> </w:t>
      </w:r>
      <w:r>
        <w:rPr>
          <w:sz w:val="20"/>
        </w:rPr>
        <w:t>our</w:t>
      </w:r>
      <w:r>
        <w:rPr>
          <w:spacing w:val="-3"/>
          <w:sz w:val="20"/>
        </w:rPr>
        <w:t> </w:t>
      </w:r>
      <w:r>
        <w:rPr>
          <w:sz w:val="20"/>
        </w:rPr>
        <w:t>studios</w:t>
      </w:r>
      <w:r>
        <w:rPr>
          <w:spacing w:val="-3"/>
          <w:sz w:val="20"/>
        </w:rPr>
        <w:t> </w:t>
      </w:r>
      <w:r>
        <w:rPr>
          <w:sz w:val="20"/>
        </w:rPr>
        <w:t>attempt</w:t>
      </w:r>
      <w:r>
        <w:rPr>
          <w:spacing w:val="-4"/>
          <w:sz w:val="20"/>
        </w:rPr>
        <w:t> </w:t>
      </w:r>
      <w:r>
        <w:rPr>
          <w:sz w:val="20"/>
        </w:rPr>
        <w:t>to</w:t>
      </w:r>
      <w:r>
        <w:rPr>
          <w:spacing w:val="-4"/>
          <w:sz w:val="20"/>
        </w:rPr>
        <w:t> </w:t>
      </w:r>
      <w:r>
        <w:rPr>
          <w:sz w:val="20"/>
        </w:rPr>
        <w:t>focus on</w:t>
      </w:r>
      <w:r>
        <w:rPr>
          <w:spacing w:val="-4"/>
          <w:sz w:val="20"/>
        </w:rPr>
        <w:t> </w:t>
      </w:r>
      <w:r>
        <w:rPr>
          <w:sz w:val="20"/>
        </w:rPr>
        <w:t>projects</w:t>
      </w:r>
      <w:r>
        <w:rPr>
          <w:spacing w:val="-3"/>
          <w:sz w:val="20"/>
        </w:rPr>
        <w:t> </w:t>
      </w:r>
      <w:r>
        <w:rPr>
          <w:sz w:val="20"/>
        </w:rPr>
        <w:t>that</w:t>
      </w:r>
      <w:r>
        <w:rPr>
          <w:spacing w:val="-4"/>
          <w:sz w:val="20"/>
        </w:rPr>
        <w:t> </w:t>
      </w:r>
      <w:r>
        <w:rPr>
          <w:sz w:val="20"/>
        </w:rPr>
        <w:t>have</w:t>
      </w:r>
      <w:r>
        <w:rPr>
          <w:spacing w:val="-4"/>
          <w:sz w:val="20"/>
        </w:rPr>
        <w:t> </w:t>
      </w:r>
      <w:r>
        <w:rPr>
          <w:sz w:val="20"/>
        </w:rPr>
        <w:t>community impact. A list of some of those projects is described above, on pages 1-12 and 1-13.</w:t>
      </w:r>
    </w:p>
    <w:p>
      <w:pPr>
        <w:pStyle w:val="ListParagraph"/>
        <w:numPr>
          <w:ilvl w:val="4"/>
          <w:numId w:val="10"/>
        </w:numPr>
        <w:tabs>
          <w:tab w:pos="1580" w:val="left" w:leader="none"/>
        </w:tabs>
        <w:spacing w:line="240" w:lineRule="auto" w:before="116" w:after="0"/>
        <w:ind w:left="1579" w:right="677" w:hanging="346"/>
        <w:jc w:val="left"/>
        <w:rPr>
          <w:sz w:val="20"/>
        </w:rPr>
      </w:pPr>
      <w:r>
        <w:rPr>
          <w:b/>
          <w:sz w:val="20"/>
        </w:rPr>
        <w:t>Friday Lecture Series</w:t>
      </w:r>
      <w:r>
        <w:rPr>
          <w:sz w:val="20"/>
        </w:rPr>
        <w:t>: The program invites speakers to present works of architecture, including their firm work, architectural research or topics in related fields of study. Participation and attendance is required of all students. Presentations have included both outside and internal lecturers. In 2011-12 the University provided funding to support the lecture</w:t>
      </w:r>
      <w:r>
        <w:rPr>
          <w:spacing w:val="-4"/>
          <w:sz w:val="20"/>
        </w:rPr>
        <w:t> </w:t>
      </w:r>
      <w:r>
        <w:rPr>
          <w:sz w:val="20"/>
        </w:rPr>
        <w:t>series</w:t>
      </w:r>
      <w:r>
        <w:rPr>
          <w:spacing w:val="-3"/>
          <w:sz w:val="20"/>
        </w:rPr>
        <w:t> </w:t>
      </w:r>
      <w:r>
        <w:rPr>
          <w:sz w:val="20"/>
        </w:rPr>
        <w:t>that</w:t>
      </w:r>
      <w:r>
        <w:rPr>
          <w:spacing w:val="-4"/>
          <w:sz w:val="20"/>
        </w:rPr>
        <w:t> </w:t>
      </w:r>
      <w:r>
        <w:rPr>
          <w:sz w:val="20"/>
        </w:rPr>
        <w:t>allowed</w:t>
      </w:r>
      <w:r>
        <w:rPr>
          <w:spacing w:val="-4"/>
          <w:sz w:val="20"/>
        </w:rPr>
        <w:t> </w:t>
      </w:r>
      <w:r>
        <w:rPr>
          <w:sz w:val="20"/>
        </w:rPr>
        <w:t>the</w:t>
      </w:r>
      <w:r>
        <w:rPr>
          <w:spacing w:val="-4"/>
          <w:sz w:val="20"/>
        </w:rPr>
        <w:t> </w:t>
      </w:r>
      <w:r>
        <w:rPr>
          <w:sz w:val="20"/>
        </w:rPr>
        <w:t>inclusion</w:t>
      </w:r>
      <w:r>
        <w:rPr>
          <w:spacing w:val="-2"/>
          <w:sz w:val="20"/>
        </w:rPr>
        <w:t> </w:t>
      </w:r>
      <w:r>
        <w:rPr>
          <w:sz w:val="20"/>
        </w:rPr>
        <w:t>of</w:t>
      </w:r>
      <w:r>
        <w:rPr>
          <w:spacing w:val="-2"/>
          <w:sz w:val="20"/>
        </w:rPr>
        <w:t> </w:t>
      </w:r>
      <w:r>
        <w:rPr>
          <w:sz w:val="20"/>
        </w:rPr>
        <w:t>a</w:t>
      </w:r>
      <w:r>
        <w:rPr>
          <w:spacing w:val="-2"/>
          <w:sz w:val="20"/>
        </w:rPr>
        <w:t> </w:t>
      </w:r>
      <w:r>
        <w:rPr>
          <w:sz w:val="20"/>
        </w:rPr>
        <w:t>wider</w:t>
      </w:r>
      <w:r>
        <w:rPr>
          <w:spacing w:val="-3"/>
          <w:sz w:val="20"/>
        </w:rPr>
        <w:t> </w:t>
      </w:r>
      <w:r>
        <w:rPr>
          <w:sz w:val="20"/>
        </w:rPr>
        <w:t>range</w:t>
      </w:r>
      <w:r>
        <w:rPr>
          <w:spacing w:val="-4"/>
          <w:sz w:val="20"/>
        </w:rPr>
        <w:t> </w:t>
      </w:r>
      <w:r>
        <w:rPr>
          <w:sz w:val="20"/>
        </w:rPr>
        <w:t>and</w:t>
      </w:r>
      <w:r>
        <w:rPr>
          <w:spacing w:val="-4"/>
          <w:sz w:val="20"/>
        </w:rPr>
        <w:t> </w:t>
      </w:r>
      <w:r>
        <w:rPr>
          <w:sz w:val="20"/>
        </w:rPr>
        <w:t>elevated</w:t>
      </w:r>
      <w:r>
        <w:rPr>
          <w:spacing w:val="-4"/>
          <w:sz w:val="20"/>
        </w:rPr>
        <w:t> </w:t>
      </w:r>
      <w:r>
        <w:rPr>
          <w:sz w:val="20"/>
        </w:rPr>
        <w:t>quality</w:t>
      </w:r>
      <w:r>
        <w:rPr>
          <w:spacing w:val="-7"/>
          <w:sz w:val="20"/>
        </w:rPr>
        <w:t> </w:t>
      </w:r>
      <w:r>
        <w:rPr>
          <w:sz w:val="20"/>
        </w:rPr>
        <w:t>of</w:t>
      </w:r>
      <w:r>
        <w:rPr>
          <w:spacing w:val="-2"/>
          <w:sz w:val="20"/>
        </w:rPr>
        <w:t> </w:t>
      </w:r>
      <w:r>
        <w:rPr>
          <w:sz w:val="20"/>
        </w:rPr>
        <w:t>presenters. Recent lecturers have included:</w:t>
      </w:r>
    </w:p>
    <w:p>
      <w:pPr>
        <w:pStyle w:val="BodyText"/>
      </w:pPr>
    </w:p>
    <w:p>
      <w:pPr>
        <w:pStyle w:val="BodyText"/>
        <w:spacing w:before="11"/>
        <w:rPr>
          <w:sz w:val="11"/>
        </w:rPr>
      </w:pPr>
    </w:p>
    <w:tbl>
      <w:tblPr>
        <w:tblW w:w="0" w:type="auto"/>
        <w:jc w:val="left"/>
        <w:tblInd w:w="498"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top w:w="0" w:type="dxa"/>
          <w:left w:w="0" w:type="dxa"/>
          <w:bottom w:w="0" w:type="dxa"/>
          <w:right w:w="0" w:type="dxa"/>
        </w:tblCellMar>
        <w:tblLook w:val="01E0"/>
      </w:tblPr>
      <w:tblGrid>
        <w:gridCol w:w="2904"/>
        <w:gridCol w:w="3331"/>
        <w:gridCol w:w="3240"/>
      </w:tblGrid>
      <w:tr>
        <w:trPr>
          <w:trHeight w:val="375" w:hRule="atLeast"/>
        </w:trPr>
        <w:tc>
          <w:tcPr>
            <w:tcW w:w="9475" w:type="dxa"/>
            <w:gridSpan w:val="3"/>
            <w:tcBorders>
              <w:bottom w:val="single" w:sz="4" w:space="0" w:color="000000"/>
            </w:tcBorders>
          </w:tcPr>
          <w:p>
            <w:pPr>
              <w:pStyle w:val="TableParagraph"/>
              <w:spacing w:before="71"/>
              <w:ind w:left="3067" w:right="3061"/>
              <w:jc w:val="center"/>
              <w:rPr>
                <w:sz w:val="20"/>
              </w:rPr>
            </w:pPr>
            <w:r>
              <w:rPr>
                <w:sz w:val="20"/>
              </w:rPr>
              <w:t>2011</w:t>
            </w:r>
            <w:r>
              <w:rPr>
                <w:spacing w:val="-5"/>
                <w:sz w:val="20"/>
              </w:rPr>
              <w:t> </w:t>
            </w:r>
            <w:r>
              <w:rPr>
                <w:sz w:val="20"/>
              </w:rPr>
              <w:t>-</w:t>
            </w:r>
            <w:r>
              <w:rPr>
                <w:spacing w:val="-5"/>
                <w:sz w:val="20"/>
              </w:rPr>
              <w:t> </w:t>
            </w:r>
            <w:r>
              <w:rPr>
                <w:sz w:val="20"/>
              </w:rPr>
              <w:t>2012</w:t>
            </w:r>
            <w:r>
              <w:rPr>
                <w:spacing w:val="-7"/>
                <w:sz w:val="20"/>
              </w:rPr>
              <w:t> </w:t>
            </w:r>
            <w:r>
              <w:rPr>
                <w:sz w:val="20"/>
              </w:rPr>
              <w:t>Lecture</w:t>
            </w:r>
            <w:r>
              <w:rPr>
                <w:spacing w:val="-4"/>
                <w:sz w:val="20"/>
              </w:rPr>
              <w:t> </w:t>
            </w:r>
            <w:r>
              <w:rPr>
                <w:sz w:val="20"/>
              </w:rPr>
              <w:t>Series</w:t>
            </w:r>
            <w:r>
              <w:rPr>
                <w:spacing w:val="-5"/>
                <w:sz w:val="20"/>
              </w:rPr>
              <w:t> </w:t>
            </w:r>
            <w:r>
              <w:rPr>
                <w:spacing w:val="-2"/>
                <w:sz w:val="20"/>
              </w:rPr>
              <w:t>Schedule</w:t>
            </w:r>
          </w:p>
        </w:tc>
      </w:tr>
      <w:tr>
        <w:trPr>
          <w:trHeight w:val="376" w:hRule="atLeast"/>
        </w:trPr>
        <w:tc>
          <w:tcPr>
            <w:tcW w:w="2904" w:type="dxa"/>
            <w:tcBorders>
              <w:top w:val="single" w:sz="4" w:space="0" w:color="000000"/>
              <w:bottom w:val="single" w:sz="4" w:space="0" w:color="000000"/>
              <w:right w:val="single" w:sz="4" w:space="0" w:color="000000"/>
            </w:tcBorders>
          </w:tcPr>
          <w:p>
            <w:pPr>
              <w:pStyle w:val="TableParagraph"/>
              <w:spacing w:before="69"/>
              <w:ind w:left="1213" w:right="1205"/>
              <w:jc w:val="center"/>
              <w:rPr>
                <w:b/>
                <w:sz w:val="20"/>
              </w:rPr>
            </w:pPr>
            <w:r>
              <w:rPr>
                <w:b/>
                <w:spacing w:val="-4"/>
                <w:sz w:val="20"/>
              </w:rPr>
              <w:t>Date</w:t>
            </w:r>
          </w:p>
        </w:tc>
        <w:tc>
          <w:tcPr>
            <w:tcW w:w="3331" w:type="dxa"/>
            <w:tcBorders>
              <w:top w:val="single" w:sz="4" w:space="0" w:color="000000"/>
              <w:left w:val="single" w:sz="4" w:space="0" w:color="000000"/>
              <w:bottom w:val="single" w:sz="4" w:space="0" w:color="000000"/>
              <w:right w:val="single" w:sz="4" w:space="0" w:color="000000"/>
            </w:tcBorders>
          </w:tcPr>
          <w:p>
            <w:pPr>
              <w:pStyle w:val="TableParagraph"/>
              <w:spacing w:before="69"/>
              <w:ind w:left="1275" w:right="1261"/>
              <w:jc w:val="center"/>
              <w:rPr>
                <w:b/>
                <w:sz w:val="20"/>
              </w:rPr>
            </w:pPr>
            <w:r>
              <w:rPr>
                <w:b/>
                <w:spacing w:val="-2"/>
                <w:w w:val="95"/>
                <w:sz w:val="20"/>
              </w:rPr>
              <w:t>Lecturer</w:t>
            </w:r>
          </w:p>
        </w:tc>
        <w:tc>
          <w:tcPr>
            <w:tcW w:w="3240" w:type="dxa"/>
            <w:tcBorders>
              <w:top w:val="single" w:sz="4" w:space="0" w:color="000000"/>
              <w:left w:val="single" w:sz="4" w:space="0" w:color="000000"/>
              <w:bottom w:val="single" w:sz="4" w:space="0" w:color="000000"/>
            </w:tcBorders>
          </w:tcPr>
          <w:p>
            <w:pPr>
              <w:pStyle w:val="TableParagraph"/>
              <w:spacing w:before="69"/>
              <w:ind w:left="1326" w:right="1318"/>
              <w:jc w:val="center"/>
              <w:rPr>
                <w:b/>
                <w:sz w:val="20"/>
              </w:rPr>
            </w:pPr>
            <w:r>
              <w:rPr>
                <w:b/>
                <w:spacing w:val="-4"/>
                <w:w w:val="90"/>
                <w:sz w:val="20"/>
              </w:rPr>
              <w:t>Topic</w:t>
            </w:r>
          </w:p>
        </w:tc>
      </w:tr>
      <w:tr>
        <w:trPr>
          <w:trHeight w:val="287" w:hRule="atLeast"/>
        </w:trPr>
        <w:tc>
          <w:tcPr>
            <w:tcW w:w="2904" w:type="dxa"/>
            <w:tcBorders>
              <w:top w:val="single" w:sz="4" w:space="0" w:color="000000"/>
              <w:bottom w:val="single" w:sz="4" w:space="0" w:color="000000"/>
              <w:right w:val="single" w:sz="4" w:space="0" w:color="000000"/>
            </w:tcBorders>
          </w:tcPr>
          <w:p>
            <w:pPr>
              <w:pStyle w:val="TableParagraph"/>
              <w:spacing w:before="26"/>
              <w:ind w:left="92"/>
              <w:rPr>
                <w:sz w:val="20"/>
              </w:rPr>
            </w:pPr>
            <w:r>
              <w:rPr>
                <w:sz w:val="20"/>
              </w:rPr>
              <w:t>Friday,</w:t>
            </w:r>
            <w:r>
              <w:rPr>
                <w:spacing w:val="-9"/>
                <w:sz w:val="20"/>
              </w:rPr>
              <w:t> </w:t>
            </w:r>
            <w:r>
              <w:rPr>
                <w:sz w:val="20"/>
              </w:rPr>
              <w:t>September</w:t>
            </w:r>
            <w:r>
              <w:rPr>
                <w:spacing w:val="-7"/>
                <w:sz w:val="20"/>
              </w:rPr>
              <w:t> </w:t>
            </w:r>
            <w:r>
              <w:rPr>
                <w:sz w:val="20"/>
              </w:rPr>
              <w:t>30,</w:t>
            </w:r>
            <w:r>
              <w:rPr>
                <w:spacing w:val="-8"/>
                <w:sz w:val="20"/>
              </w:rPr>
              <w:t> </w:t>
            </w:r>
            <w:r>
              <w:rPr>
                <w:spacing w:val="-4"/>
                <w:sz w:val="20"/>
              </w:rPr>
              <w:t>2011</w:t>
            </w:r>
          </w:p>
        </w:tc>
        <w:tc>
          <w:tcPr>
            <w:tcW w:w="3331" w:type="dxa"/>
            <w:tcBorders>
              <w:top w:val="single" w:sz="4" w:space="0" w:color="000000"/>
              <w:left w:val="single" w:sz="4" w:space="0" w:color="000000"/>
              <w:bottom w:val="single" w:sz="4" w:space="0" w:color="000000"/>
              <w:right w:val="single" w:sz="4" w:space="0" w:color="000000"/>
            </w:tcBorders>
          </w:tcPr>
          <w:p>
            <w:pPr>
              <w:pStyle w:val="TableParagraph"/>
              <w:spacing w:before="26"/>
              <w:ind w:left="110"/>
              <w:rPr>
                <w:sz w:val="20"/>
              </w:rPr>
            </w:pPr>
            <w:r>
              <w:rPr>
                <w:sz w:val="20"/>
              </w:rPr>
              <w:t>4th</w:t>
            </w:r>
            <w:r>
              <w:rPr>
                <w:spacing w:val="-7"/>
                <w:sz w:val="20"/>
              </w:rPr>
              <w:t> </w:t>
            </w:r>
            <w:r>
              <w:rPr>
                <w:sz w:val="20"/>
              </w:rPr>
              <w:t>Year</w:t>
            </w:r>
            <w:r>
              <w:rPr>
                <w:spacing w:val="-4"/>
                <w:sz w:val="20"/>
              </w:rPr>
              <w:t> </w:t>
            </w:r>
            <w:r>
              <w:rPr>
                <w:spacing w:val="-2"/>
                <w:sz w:val="20"/>
              </w:rPr>
              <w:t>Students</w:t>
            </w:r>
          </w:p>
        </w:tc>
        <w:tc>
          <w:tcPr>
            <w:tcW w:w="3240" w:type="dxa"/>
            <w:tcBorders>
              <w:top w:val="single" w:sz="4" w:space="0" w:color="000000"/>
              <w:left w:val="single" w:sz="4" w:space="0" w:color="000000"/>
              <w:bottom w:val="single" w:sz="4" w:space="0" w:color="000000"/>
            </w:tcBorders>
          </w:tcPr>
          <w:p>
            <w:pPr>
              <w:pStyle w:val="TableParagraph"/>
              <w:spacing w:before="26"/>
              <w:ind w:left="90"/>
              <w:rPr>
                <w:sz w:val="20"/>
              </w:rPr>
            </w:pPr>
            <w:r>
              <w:rPr>
                <w:sz w:val="20"/>
              </w:rPr>
              <w:t>Italy</w:t>
            </w:r>
            <w:r>
              <w:rPr>
                <w:spacing w:val="-7"/>
                <w:sz w:val="20"/>
              </w:rPr>
              <w:t> </w:t>
            </w:r>
            <w:r>
              <w:rPr>
                <w:sz w:val="20"/>
              </w:rPr>
              <w:t>/</w:t>
            </w:r>
            <w:r>
              <w:rPr>
                <w:spacing w:val="-4"/>
                <w:sz w:val="20"/>
              </w:rPr>
              <w:t> </w:t>
            </w:r>
            <w:r>
              <w:rPr>
                <w:sz w:val="20"/>
              </w:rPr>
              <w:t>France</w:t>
            </w:r>
            <w:r>
              <w:rPr>
                <w:spacing w:val="-4"/>
                <w:sz w:val="20"/>
              </w:rPr>
              <w:t> Trips</w:t>
            </w:r>
          </w:p>
        </w:tc>
      </w:tr>
      <w:tr>
        <w:trPr>
          <w:trHeight w:val="460" w:hRule="atLeast"/>
        </w:trPr>
        <w:tc>
          <w:tcPr>
            <w:tcW w:w="2904" w:type="dxa"/>
            <w:tcBorders>
              <w:top w:val="single" w:sz="4" w:space="0" w:color="000000"/>
              <w:bottom w:val="single" w:sz="4" w:space="0" w:color="000000"/>
              <w:right w:val="single" w:sz="4" w:space="0" w:color="000000"/>
            </w:tcBorders>
          </w:tcPr>
          <w:p>
            <w:pPr>
              <w:pStyle w:val="TableParagraph"/>
              <w:spacing w:before="112"/>
              <w:ind w:left="92"/>
              <w:rPr>
                <w:sz w:val="20"/>
              </w:rPr>
            </w:pPr>
            <w:r>
              <w:rPr>
                <w:sz w:val="20"/>
              </w:rPr>
              <w:t>Friday,</w:t>
            </w:r>
            <w:r>
              <w:rPr>
                <w:spacing w:val="-10"/>
                <w:sz w:val="20"/>
              </w:rPr>
              <w:t> </w:t>
            </w:r>
            <w:r>
              <w:rPr>
                <w:sz w:val="20"/>
              </w:rPr>
              <w:t>October</w:t>
            </w:r>
            <w:r>
              <w:rPr>
                <w:spacing w:val="-7"/>
                <w:sz w:val="20"/>
              </w:rPr>
              <w:t> </w:t>
            </w:r>
            <w:r>
              <w:rPr>
                <w:sz w:val="20"/>
              </w:rPr>
              <w:t>07,</w:t>
            </w:r>
            <w:r>
              <w:rPr>
                <w:spacing w:val="-5"/>
                <w:sz w:val="20"/>
              </w:rPr>
              <w:t> </w:t>
            </w:r>
            <w:r>
              <w:rPr>
                <w:spacing w:val="-4"/>
                <w:sz w:val="20"/>
              </w:rPr>
              <w:t>2011</w:t>
            </w:r>
          </w:p>
        </w:tc>
        <w:tc>
          <w:tcPr>
            <w:tcW w:w="3331" w:type="dxa"/>
            <w:tcBorders>
              <w:top w:val="single" w:sz="4" w:space="0" w:color="000000"/>
              <w:left w:val="single" w:sz="4" w:space="0" w:color="000000"/>
              <w:bottom w:val="single" w:sz="4" w:space="0" w:color="000000"/>
              <w:right w:val="single" w:sz="4" w:space="0" w:color="000000"/>
            </w:tcBorders>
          </w:tcPr>
          <w:p>
            <w:pPr>
              <w:pStyle w:val="TableParagraph"/>
              <w:spacing w:before="112"/>
              <w:ind w:left="110"/>
              <w:rPr>
                <w:sz w:val="20"/>
              </w:rPr>
            </w:pPr>
            <w:r>
              <w:rPr>
                <w:sz w:val="20"/>
              </w:rPr>
              <w:t>Ralph</w:t>
            </w:r>
            <w:r>
              <w:rPr>
                <w:spacing w:val="-8"/>
                <w:sz w:val="20"/>
              </w:rPr>
              <w:t> </w:t>
            </w:r>
            <w:r>
              <w:rPr>
                <w:spacing w:val="-2"/>
                <w:sz w:val="20"/>
              </w:rPr>
              <w:t>Shellman</w:t>
            </w:r>
          </w:p>
        </w:tc>
        <w:tc>
          <w:tcPr>
            <w:tcW w:w="3240" w:type="dxa"/>
            <w:tcBorders>
              <w:top w:val="single" w:sz="4" w:space="0" w:color="000000"/>
              <w:left w:val="single" w:sz="4" w:space="0" w:color="000000"/>
              <w:bottom w:val="single" w:sz="4" w:space="0" w:color="000000"/>
            </w:tcBorders>
          </w:tcPr>
          <w:p>
            <w:pPr>
              <w:pStyle w:val="TableParagraph"/>
              <w:spacing w:line="230" w:lineRule="exact"/>
              <w:ind w:left="90" w:right="106"/>
              <w:rPr>
                <w:sz w:val="20"/>
              </w:rPr>
            </w:pPr>
            <w:r>
              <w:rPr>
                <w:sz w:val="20"/>
              </w:rPr>
              <w:t>Virginia</w:t>
            </w:r>
            <w:r>
              <w:rPr>
                <w:spacing w:val="-4"/>
                <w:sz w:val="20"/>
              </w:rPr>
              <w:t> </w:t>
            </w:r>
            <w:r>
              <w:rPr>
                <w:sz w:val="20"/>
              </w:rPr>
              <w:t>School</w:t>
            </w:r>
            <w:r>
              <w:rPr>
                <w:spacing w:val="-7"/>
                <w:sz w:val="20"/>
              </w:rPr>
              <w:t> </w:t>
            </w:r>
            <w:r>
              <w:rPr>
                <w:sz w:val="20"/>
              </w:rPr>
              <w:t>for</w:t>
            </w:r>
            <w:r>
              <w:rPr>
                <w:spacing w:val="-5"/>
                <w:sz w:val="20"/>
              </w:rPr>
              <w:t> </w:t>
            </w:r>
            <w:r>
              <w:rPr>
                <w:sz w:val="20"/>
              </w:rPr>
              <w:t>the</w:t>
            </w:r>
            <w:r>
              <w:rPr>
                <w:spacing w:val="-4"/>
                <w:sz w:val="20"/>
              </w:rPr>
              <w:t> </w:t>
            </w:r>
            <w:r>
              <w:rPr>
                <w:sz w:val="20"/>
              </w:rPr>
              <w:t>Deaf</w:t>
            </w:r>
            <w:r>
              <w:rPr>
                <w:spacing w:val="-2"/>
                <w:sz w:val="20"/>
              </w:rPr>
              <w:t> </w:t>
            </w:r>
            <w:r>
              <w:rPr>
                <w:sz w:val="20"/>
              </w:rPr>
              <w:t>&amp; </w:t>
            </w:r>
            <w:r>
              <w:rPr>
                <w:spacing w:val="-2"/>
                <w:sz w:val="20"/>
              </w:rPr>
              <w:t>Blind</w:t>
            </w:r>
          </w:p>
        </w:tc>
      </w:tr>
      <w:tr>
        <w:trPr>
          <w:trHeight w:val="287" w:hRule="atLeast"/>
        </w:trPr>
        <w:tc>
          <w:tcPr>
            <w:tcW w:w="2904" w:type="dxa"/>
            <w:tcBorders>
              <w:top w:val="single" w:sz="4" w:space="0" w:color="000000"/>
              <w:bottom w:val="single" w:sz="4" w:space="0" w:color="000000"/>
              <w:right w:val="single" w:sz="4" w:space="0" w:color="000000"/>
            </w:tcBorders>
          </w:tcPr>
          <w:p>
            <w:pPr>
              <w:pStyle w:val="TableParagraph"/>
              <w:spacing w:before="26"/>
              <w:ind w:left="92"/>
              <w:rPr>
                <w:sz w:val="20"/>
              </w:rPr>
            </w:pPr>
            <w:r>
              <w:rPr>
                <w:sz w:val="20"/>
              </w:rPr>
              <w:t>Friday,</w:t>
            </w:r>
            <w:r>
              <w:rPr>
                <w:spacing w:val="-10"/>
                <w:sz w:val="20"/>
              </w:rPr>
              <w:t> </w:t>
            </w:r>
            <w:r>
              <w:rPr>
                <w:sz w:val="20"/>
              </w:rPr>
              <w:t>October</w:t>
            </w:r>
            <w:r>
              <w:rPr>
                <w:spacing w:val="-7"/>
                <w:sz w:val="20"/>
              </w:rPr>
              <w:t> </w:t>
            </w:r>
            <w:r>
              <w:rPr>
                <w:sz w:val="20"/>
              </w:rPr>
              <w:t>14,</w:t>
            </w:r>
            <w:r>
              <w:rPr>
                <w:spacing w:val="-5"/>
                <w:sz w:val="20"/>
              </w:rPr>
              <w:t> </w:t>
            </w:r>
            <w:r>
              <w:rPr>
                <w:spacing w:val="-4"/>
                <w:sz w:val="20"/>
              </w:rPr>
              <w:t>2011</w:t>
            </w:r>
          </w:p>
        </w:tc>
        <w:tc>
          <w:tcPr>
            <w:tcW w:w="3331" w:type="dxa"/>
            <w:tcBorders>
              <w:top w:val="single" w:sz="4" w:space="0" w:color="000000"/>
              <w:left w:val="single" w:sz="4" w:space="0" w:color="000000"/>
              <w:bottom w:val="single" w:sz="4" w:space="0" w:color="000000"/>
              <w:right w:val="single" w:sz="4" w:space="0" w:color="000000"/>
            </w:tcBorders>
          </w:tcPr>
          <w:p>
            <w:pPr>
              <w:pStyle w:val="TableParagraph"/>
              <w:spacing w:before="26"/>
              <w:ind w:left="110"/>
              <w:rPr>
                <w:sz w:val="20"/>
              </w:rPr>
            </w:pPr>
            <w:r>
              <w:rPr>
                <w:spacing w:val="-4"/>
                <w:sz w:val="20"/>
              </w:rPr>
              <w:t>NASA</w:t>
            </w:r>
          </w:p>
        </w:tc>
        <w:tc>
          <w:tcPr>
            <w:tcW w:w="3240" w:type="dxa"/>
            <w:tcBorders>
              <w:top w:val="single" w:sz="4" w:space="0" w:color="000000"/>
              <w:left w:val="single" w:sz="4" w:space="0" w:color="000000"/>
              <w:bottom w:val="single" w:sz="4" w:space="0" w:color="000000"/>
            </w:tcBorders>
          </w:tcPr>
          <w:p>
            <w:pPr>
              <w:pStyle w:val="TableParagraph"/>
              <w:spacing w:before="26"/>
              <w:ind w:left="90"/>
              <w:rPr>
                <w:sz w:val="20"/>
              </w:rPr>
            </w:pPr>
            <w:r>
              <w:rPr>
                <w:spacing w:val="-4"/>
                <w:sz w:val="20"/>
              </w:rPr>
              <w:t>NASA</w:t>
            </w:r>
          </w:p>
        </w:tc>
      </w:tr>
      <w:tr>
        <w:trPr>
          <w:trHeight w:val="287" w:hRule="atLeast"/>
        </w:trPr>
        <w:tc>
          <w:tcPr>
            <w:tcW w:w="2904" w:type="dxa"/>
            <w:tcBorders>
              <w:top w:val="single" w:sz="4" w:space="0" w:color="000000"/>
              <w:bottom w:val="single" w:sz="4" w:space="0" w:color="000000"/>
              <w:right w:val="single" w:sz="4" w:space="0" w:color="000000"/>
            </w:tcBorders>
          </w:tcPr>
          <w:p>
            <w:pPr>
              <w:pStyle w:val="TableParagraph"/>
              <w:spacing w:before="26"/>
              <w:ind w:left="92"/>
              <w:rPr>
                <w:sz w:val="20"/>
              </w:rPr>
            </w:pPr>
            <w:r>
              <w:rPr>
                <w:sz w:val="20"/>
              </w:rPr>
              <w:t>Friday,</w:t>
            </w:r>
            <w:r>
              <w:rPr>
                <w:spacing w:val="-9"/>
                <w:sz w:val="20"/>
              </w:rPr>
              <w:t> </w:t>
            </w:r>
            <w:r>
              <w:rPr>
                <w:sz w:val="20"/>
              </w:rPr>
              <w:t>November</w:t>
            </w:r>
            <w:r>
              <w:rPr>
                <w:spacing w:val="-7"/>
                <w:sz w:val="20"/>
              </w:rPr>
              <w:t> </w:t>
            </w:r>
            <w:r>
              <w:rPr>
                <w:sz w:val="20"/>
              </w:rPr>
              <w:t>04,</w:t>
            </w:r>
            <w:r>
              <w:rPr>
                <w:spacing w:val="-7"/>
                <w:sz w:val="20"/>
              </w:rPr>
              <w:t> </w:t>
            </w:r>
            <w:r>
              <w:rPr>
                <w:spacing w:val="-4"/>
                <w:sz w:val="20"/>
              </w:rPr>
              <w:t>2011</w:t>
            </w:r>
          </w:p>
        </w:tc>
        <w:tc>
          <w:tcPr>
            <w:tcW w:w="3331" w:type="dxa"/>
            <w:tcBorders>
              <w:top w:val="single" w:sz="4" w:space="0" w:color="000000"/>
              <w:left w:val="single" w:sz="4" w:space="0" w:color="000000"/>
              <w:bottom w:val="single" w:sz="4" w:space="0" w:color="000000"/>
              <w:right w:val="single" w:sz="4" w:space="0" w:color="000000"/>
            </w:tcBorders>
          </w:tcPr>
          <w:p>
            <w:pPr>
              <w:pStyle w:val="TableParagraph"/>
              <w:spacing w:before="26"/>
              <w:ind w:left="110"/>
              <w:rPr>
                <w:sz w:val="20"/>
              </w:rPr>
            </w:pPr>
            <w:r>
              <w:rPr>
                <w:sz w:val="20"/>
              </w:rPr>
              <w:t>Darryl</w:t>
            </w:r>
            <w:r>
              <w:rPr>
                <w:spacing w:val="-10"/>
                <w:sz w:val="20"/>
              </w:rPr>
              <w:t> </w:t>
            </w:r>
            <w:r>
              <w:rPr>
                <w:sz w:val="20"/>
              </w:rPr>
              <w:t>Henderson,</w:t>
            </w:r>
            <w:r>
              <w:rPr>
                <w:spacing w:val="-9"/>
                <w:sz w:val="20"/>
              </w:rPr>
              <w:t> </w:t>
            </w:r>
            <w:r>
              <w:rPr>
                <w:spacing w:val="-5"/>
                <w:sz w:val="20"/>
              </w:rPr>
              <w:t>AIA</w:t>
            </w:r>
          </w:p>
        </w:tc>
        <w:tc>
          <w:tcPr>
            <w:tcW w:w="3240" w:type="dxa"/>
            <w:tcBorders>
              <w:top w:val="single" w:sz="4" w:space="0" w:color="000000"/>
              <w:left w:val="single" w:sz="4" w:space="0" w:color="000000"/>
              <w:bottom w:val="single" w:sz="4" w:space="0" w:color="000000"/>
            </w:tcBorders>
          </w:tcPr>
          <w:p>
            <w:pPr>
              <w:pStyle w:val="TableParagraph"/>
              <w:spacing w:before="26"/>
              <w:ind w:left="145"/>
              <w:rPr>
                <w:sz w:val="20"/>
              </w:rPr>
            </w:pPr>
            <w:r>
              <w:rPr>
                <w:spacing w:val="-2"/>
                <w:sz w:val="20"/>
              </w:rPr>
              <w:t>AECOM</w:t>
            </w:r>
          </w:p>
        </w:tc>
      </w:tr>
      <w:tr>
        <w:trPr>
          <w:trHeight w:val="287" w:hRule="atLeast"/>
        </w:trPr>
        <w:tc>
          <w:tcPr>
            <w:tcW w:w="2904" w:type="dxa"/>
            <w:tcBorders>
              <w:top w:val="single" w:sz="4" w:space="0" w:color="000000"/>
              <w:bottom w:val="single" w:sz="4" w:space="0" w:color="000000"/>
              <w:right w:val="single" w:sz="4" w:space="0" w:color="000000"/>
            </w:tcBorders>
          </w:tcPr>
          <w:p>
            <w:pPr>
              <w:pStyle w:val="TableParagraph"/>
              <w:spacing w:before="26"/>
              <w:ind w:left="92"/>
              <w:rPr>
                <w:sz w:val="20"/>
              </w:rPr>
            </w:pPr>
            <w:r>
              <w:rPr>
                <w:sz w:val="20"/>
              </w:rPr>
              <w:t>Friday,</w:t>
            </w:r>
            <w:r>
              <w:rPr>
                <w:spacing w:val="-9"/>
                <w:sz w:val="20"/>
              </w:rPr>
              <w:t> </w:t>
            </w:r>
            <w:r>
              <w:rPr>
                <w:sz w:val="20"/>
              </w:rPr>
              <w:t>November</w:t>
            </w:r>
            <w:r>
              <w:rPr>
                <w:spacing w:val="-7"/>
                <w:sz w:val="20"/>
              </w:rPr>
              <w:t> </w:t>
            </w:r>
            <w:r>
              <w:rPr>
                <w:sz w:val="20"/>
              </w:rPr>
              <w:t>11,</w:t>
            </w:r>
            <w:r>
              <w:rPr>
                <w:spacing w:val="-7"/>
                <w:sz w:val="20"/>
              </w:rPr>
              <w:t> </w:t>
            </w:r>
            <w:r>
              <w:rPr>
                <w:spacing w:val="-4"/>
                <w:sz w:val="20"/>
              </w:rPr>
              <w:t>2011</w:t>
            </w:r>
          </w:p>
        </w:tc>
        <w:tc>
          <w:tcPr>
            <w:tcW w:w="3331" w:type="dxa"/>
            <w:tcBorders>
              <w:top w:val="single" w:sz="4" w:space="0" w:color="000000"/>
              <w:left w:val="single" w:sz="4" w:space="0" w:color="000000"/>
              <w:bottom w:val="single" w:sz="4" w:space="0" w:color="000000"/>
              <w:right w:val="single" w:sz="4" w:space="0" w:color="000000"/>
            </w:tcBorders>
          </w:tcPr>
          <w:p>
            <w:pPr>
              <w:pStyle w:val="TableParagraph"/>
              <w:spacing w:before="26"/>
              <w:ind w:left="110"/>
              <w:rPr>
                <w:sz w:val="20"/>
              </w:rPr>
            </w:pPr>
            <w:r>
              <w:rPr>
                <w:sz w:val="20"/>
              </w:rPr>
              <w:t>5th</w:t>
            </w:r>
            <w:r>
              <w:rPr>
                <w:spacing w:val="-7"/>
                <w:sz w:val="20"/>
              </w:rPr>
              <w:t> </w:t>
            </w:r>
            <w:r>
              <w:rPr>
                <w:sz w:val="20"/>
              </w:rPr>
              <w:t>Year</w:t>
            </w:r>
            <w:r>
              <w:rPr>
                <w:spacing w:val="-4"/>
                <w:sz w:val="20"/>
              </w:rPr>
              <w:t> </w:t>
            </w:r>
            <w:r>
              <w:rPr>
                <w:spacing w:val="-2"/>
                <w:sz w:val="20"/>
              </w:rPr>
              <w:t>Students</w:t>
            </w:r>
          </w:p>
        </w:tc>
        <w:tc>
          <w:tcPr>
            <w:tcW w:w="3240" w:type="dxa"/>
            <w:tcBorders>
              <w:top w:val="single" w:sz="4" w:space="0" w:color="000000"/>
              <w:left w:val="single" w:sz="4" w:space="0" w:color="000000"/>
              <w:bottom w:val="single" w:sz="4" w:space="0" w:color="000000"/>
            </w:tcBorders>
          </w:tcPr>
          <w:p>
            <w:pPr>
              <w:pStyle w:val="TableParagraph"/>
              <w:spacing w:before="26"/>
              <w:ind w:left="90"/>
              <w:rPr>
                <w:sz w:val="20"/>
              </w:rPr>
            </w:pPr>
            <w:r>
              <w:rPr>
                <w:spacing w:val="-2"/>
                <w:sz w:val="20"/>
              </w:rPr>
              <w:t>Research</w:t>
            </w:r>
          </w:p>
        </w:tc>
      </w:tr>
      <w:tr>
        <w:trPr>
          <w:trHeight w:val="287" w:hRule="atLeast"/>
        </w:trPr>
        <w:tc>
          <w:tcPr>
            <w:tcW w:w="2904" w:type="dxa"/>
            <w:tcBorders>
              <w:top w:val="single" w:sz="4" w:space="0" w:color="000000"/>
              <w:bottom w:val="single" w:sz="4" w:space="0" w:color="000000"/>
              <w:right w:val="single" w:sz="4" w:space="0" w:color="000000"/>
            </w:tcBorders>
          </w:tcPr>
          <w:p>
            <w:pPr>
              <w:pStyle w:val="TableParagraph"/>
              <w:spacing w:before="28"/>
              <w:ind w:left="92"/>
              <w:rPr>
                <w:sz w:val="20"/>
              </w:rPr>
            </w:pPr>
            <w:r>
              <w:rPr>
                <w:sz w:val="20"/>
              </w:rPr>
              <w:t>Friday,</w:t>
            </w:r>
            <w:r>
              <w:rPr>
                <w:spacing w:val="-9"/>
                <w:sz w:val="20"/>
              </w:rPr>
              <w:t> </w:t>
            </w:r>
            <w:r>
              <w:rPr>
                <w:sz w:val="20"/>
              </w:rPr>
              <w:t>November</w:t>
            </w:r>
            <w:r>
              <w:rPr>
                <w:spacing w:val="-7"/>
                <w:sz w:val="20"/>
              </w:rPr>
              <w:t> </w:t>
            </w:r>
            <w:r>
              <w:rPr>
                <w:sz w:val="20"/>
              </w:rPr>
              <w:t>18,</w:t>
            </w:r>
            <w:r>
              <w:rPr>
                <w:spacing w:val="-7"/>
                <w:sz w:val="20"/>
              </w:rPr>
              <w:t> </w:t>
            </w:r>
            <w:r>
              <w:rPr>
                <w:spacing w:val="-4"/>
                <w:sz w:val="20"/>
              </w:rPr>
              <w:t>2011</w:t>
            </w:r>
          </w:p>
        </w:tc>
        <w:tc>
          <w:tcPr>
            <w:tcW w:w="3331" w:type="dxa"/>
            <w:tcBorders>
              <w:top w:val="single" w:sz="4" w:space="0" w:color="000000"/>
              <w:left w:val="single" w:sz="4" w:space="0" w:color="000000"/>
              <w:bottom w:val="single" w:sz="4" w:space="0" w:color="000000"/>
              <w:right w:val="single" w:sz="4" w:space="0" w:color="000000"/>
            </w:tcBorders>
          </w:tcPr>
          <w:p>
            <w:pPr>
              <w:pStyle w:val="TableParagraph"/>
              <w:spacing w:before="28"/>
              <w:ind w:left="110"/>
              <w:rPr>
                <w:sz w:val="20"/>
              </w:rPr>
            </w:pPr>
            <w:r>
              <w:rPr>
                <w:sz w:val="20"/>
              </w:rPr>
              <w:t>Al</w:t>
            </w:r>
            <w:r>
              <w:rPr>
                <w:spacing w:val="-7"/>
                <w:sz w:val="20"/>
              </w:rPr>
              <w:t> </w:t>
            </w:r>
            <w:r>
              <w:rPr>
                <w:spacing w:val="-2"/>
                <w:sz w:val="20"/>
              </w:rPr>
              <w:t>Willis</w:t>
            </w:r>
          </w:p>
        </w:tc>
        <w:tc>
          <w:tcPr>
            <w:tcW w:w="3240" w:type="dxa"/>
            <w:tcBorders>
              <w:top w:val="single" w:sz="4" w:space="0" w:color="000000"/>
              <w:left w:val="single" w:sz="4" w:space="0" w:color="000000"/>
              <w:bottom w:val="single" w:sz="4" w:space="0" w:color="000000"/>
            </w:tcBorders>
          </w:tcPr>
          <w:p>
            <w:pPr>
              <w:pStyle w:val="TableParagraph"/>
              <w:spacing w:before="28"/>
              <w:ind w:left="90"/>
              <w:rPr>
                <w:sz w:val="20"/>
              </w:rPr>
            </w:pPr>
            <w:r>
              <w:rPr>
                <w:sz w:val="20"/>
              </w:rPr>
              <w:t>Attrium</w:t>
            </w:r>
            <w:r>
              <w:rPr>
                <w:spacing w:val="-6"/>
                <w:sz w:val="20"/>
              </w:rPr>
              <w:t> </w:t>
            </w:r>
            <w:r>
              <w:rPr>
                <w:spacing w:val="-2"/>
                <w:sz w:val="20"/>
              </w:rPr>
              <w:t>Libraries</w:t>
            </w:r>
          </w:p>
        </w:tc>
      </w:tr>
      <w:tr>
        <w:trPr>
          <w:trHeight w:val="289" w:hRule="atLeast"/>
        </w:trPr>
        <w:tc>
          <w:tcPr>
            <w:tcW w:w="2904" w:type="dxa"/>
            <w:tcBorders>
              <w:top w:val="single" w:sz="4" w:space="0" w:color="000000"/>
              <w:bottom w:val="single" w:sz="4" w:space="0" w:color="000000"/>
              <w:right w:val="single" w:sz="4" w:space="0" w:color="000000"/>
            </w:tcBorders>
          </w:tcPr>
          <w:p>
            <w:pPr>
              <w:pStyle w:val="TableParagraph"/>
              <w:spacing w:before="28"/>
              <w:ind w:left="92"/>
              <w:rPr>
                <w:sz w:val="20"/>
              </w:rPr>
            </w:pPr>
            <w:r>
              <w:rPr>
                <w:sz w:val="20"/>
              </w:rPr>
              <w:t>Friday,</w:t>
            </w:r>
            <w:r>
              <w:rPr>
                <w:spacing w:val="-9"/>
                <w:sz w:val="20"/>
              </w:rPr>
              <w:t> </w:t>
            </w:r>
            <w:r>
              <w:rPr>
                <w:sz w:val="20"/>
              </w:rPr>
              <w:t>December</w:t>
            </w:r>
            <w:r>
              <w:rPr>
                <w:spacing w:val="-7"/>
                <w:sz w:val="20"/>
              </w:rPr>
              <w:t> </w:t>
            </w:r>
            <w:r>
              <w:rPr>
                <w:sz w:val="20"/>
              </w:rPr>
              <w:t>02,</w:t>
            </w:r>
            <w:r>
              <w:rPr>
                <w:spacing w:val="-7"/>
                <w:sz w:val="20"/>
              </w:rPr>
              <w:t> </w:t>
            </w:r>
            <w:r>
              <w:rPr>
                <w:spacing w:val="-4"/>
                <w:sz w:val="20"/>
              </w:rPr>
              <w:t>2011</w:t>
            </w:r>
          </w:p>
        </w:tc>
        <w:tc>
          <w:tcPr>
            <w:tcW w:w="3331" w:type="dxa"/>
            <w:tcBorders>
              <w:top w:val="single" w:sz="4" w:space="0" w:color="000000"/>
              <w:left w:val="single" w:sz="4" w:space="0" w:color="000000"/>
              <w:bottom w:val="single" w:sz="4" w:space="0" w:color="000000"/>
              <w:right w:val="single" w:sz="4" w:space="0" w:color="000000"/>
            </w:tcBorders>
          </w:tcPr>
          <w:p>
            <w:pPr>
              <w:pStyle w:val="TableParagraph"/>
              <w:spacing w:before="28"/>
              <w:ind w:left="110"/>
              <w:rPr>
                <w:sz w:val="20"/>
              </w:rPr>
            </w:pPr>
            <w:r>
              <w:rPr>
                <w:sz w:val="20"/>
              </w:rPr>
              <w:t>Paul</w:t>
            </w:r>
            <w:r>
              <w:rPr>
                <w:spacing w:val="-9"/>
                <w:sz w:val="20"/>
              </w:rPr>
              <w:t> </w:t>
            </w:r>
            <w:r>
              <w:rPr>
                <w:sz w:val="20"/>
              </w:rPr>
              <w:t>Battaglia,</w:t>
            </w:r>
            <w:r>
              <w:rPr>
                <w:spacing w:val="-8"/>
                <w:sz w:val="20"/>
              </w:rPr>
              <w:t> </w:t>
            </w:r>
            <w:r>
              <w:rPr>
                <w:spacing w:val="-5"/>
                <w:sz w:val="20"/>
              </w:rPr>
              <w:t>AIA</w:t>
            </w:r>
          </w:p>
        </w:tc>
        <w:tc>
          <w:tcPr>
            <w:tcW w:w="3240" w:type="dxa"/>
            <w:tcBorders>
              <w:top w:val="single" w:sz="4" w:space="0" w:color="000000"/>
              <w:left w:val="single" w:sz="4" w:space="0" w:color="000000"/>
              <w:bottom w:val="single" w:sz="4" w:space="0" w:color="000000"/>
            </w:tcBorders>
          </w:tcPr>
          <w:p>
            <w:pPr>
              <w:pStyle w:val="TableParagraph"/>
              <w:spacing w:before="28"/>
              <w:ind w:left="90"/>
              <w:rPr>
                <w:sz w:val="20"/>
              </w:rPr>
            </w:pPr>
            <w:r>
              <w:rPr>
                <w:sz w:val="20"/>
              </w:rPr>
              <w:t>Clarke</w:t>
            </w:r>
            <w:r>
              <w:rPr>
                <w:spacing w:val="-7"/>
                <w:sz w:val="20"/>
              </w:rPr>
              <w:t> </w:t>
            </w:r>
            <w:r>
              <w:rPr>
                <w:spacing w:val="-2"/>
                <w:sz w:val="20"/>
              </w:rPr>
              <w:t>Nexsen</w:t>
            </w:r>
          </w:p>
        </w:tc>
      </w:tr>
      <w:tr>
        <w:trPr>
          <w:trHeight w:val="287" w:hRule="atLeast"/>
        </w:trPr>
        <w:tc>
          <w:tcPr>
            <w:tcW w:w="2904" w:type="dxa"/>
            <w:tcBorders>
              <w:top w:val="single" w:sz="4" w:space="0" w:color="000000"/>
              <w:bottom w:val="single" w:sz="4" w:space="0" w:color="000000"/>
              <w:right w:val="single" w:sz="4" w:space="0" w:color="000000"/>
            </w:tcBorders>
          </w:tcPr>
          <w:p>
            <w:pPr>
              <w:pStyle w:val="TableParagraph"/>
              <w:spacing w:before="26"/>
              <w:ind w:left="92"/>
              <w:rPr>
                <w:sz w:val="20"/>
              </w:rPr>
            </w:pPr>
            <w:r>
              <w:rPr>
                <w:sz w:val="20"/>
              </w:rPr>
              <w:t>Friday,</w:t>
            </w:r>
            <w:r>
              <w:rPr>
                <w:spacing w:val="-9"/>
                <w:sz w:val="20"/>
              </w:rPr>
              <w:t> </w:t>
            </w:r>
            <w:r>
              <w:rPr>
                <w:sz w:val="20"/>
              </w:rPr>
              <w:t>January</w:t>
            </w:r>
            <w:r>
              <w:rPr>
                <w:spacing w:val="-8"/>
                <w:sz w:val="20"/>
              </w:rPr>
              <w:t> </w:t>
            </w:r>
            <w:r>
              <w:rPr>
                <w:sz w:val="20"/>
              </w:rPr>
              <w:t>27,</w:t>
            </w:r>
            <w:r>
              <w:rPr>
                <w:spacing w:val="-5"/>
                <w:sz w:val="20"/>
              </w:rPr>
              <w:t> </w:t>
            </w:r>
            <w:r>
              <w:rPr>
                <w:spacing w:val="-4"/>
                <w:sz w:val="20"/>
              </w:rPr>
              <w:t>2012</w:t>
            </w:r>
          </w:p>
        </w:tc>
        <w:tc>
          <w:tcPr>
            <w:tcW w:w="3331" w:type="dxa"/>
            <w:tcBorders>
              <w:top w:val="single" w:sz="4" w:space="0" w:color="000000"/>
              <w:left w:val="single" w:sz="4" w:space="0" w:color="000000"/>
              <w:bottom w:val="single" w:sz="4" w:space="0" w:color="000000"/>
              <w:right w:val="single" w:sz="4" w:space="0" w:color="000000"/>
            </w:tcBorders>
          </w:tcPr>
          <w:p>
            <w:pPr>
              <w:pStyle w:val="TableParagraph"/>
              <w:spacing w:before="26"/>
              <w:ind w:left="110"/>
              <w:rPr>
                <w:sz w:val="20"/>
              </w:rPr>
            </w:pPr>
            <w:r>
              <w:rPr>
                <w:sz w:val="20"/>
              </w:rPr>
              <w:t>Wesley</w:t>
            </w:r>
            <w:r>
              <w:rPr>
                <w:spacing w:val="-11"/>
                <w:sz w:val="20"/>
              </w:rPr>
              <w:t> </w:t>
            </w:r>
            <w:r>
              <w:rPr>
                <w:sz w:val="20"/>
              </w:rPr>
              <w:t>Page,</w:t>
            </w:r>
            <w:r>
              <w:rPr>
                <w:spacing w:val="-4"/>
                <w:sz w:val="20"/>
              </w:rPr>
              <w:t> </w:t>
            </w:r>
            <w:r>
              <w:rPr>
                <w:spacing w:val="-5"/>
                <w:sz w:val="20"/>
              </w:rPr>
              <w:t>AIA</w:t>
            </w:r>
          </w:p>
        </w:tc>
        <w:tc>
          <w:tcPr>
            <w:tcW w:w="3240" w:type="dxa"/>
            <w:tcBorders>
              <w:top w:val="single" w:sz="4" w:space="0" w:color="000000"/>
              <w:left w:val="single" w:sz="4" w:space="0" w:color="000000"/>
              <w:bottom w:val="single" w:sz="4" w:space="0" w:color="000000"/>
            </w:tcBorders>
          </w:tcPr>
          <w:p>
            <w:pPr>
              <w:pStyle w:val="TableParagraph"/>
              <w:spacing w:before="26"/>
              <w:ind w:left="90"/>
              <w:rPr>
                <w:sz w:val="20"/>
              </w:rPr>
            </w:pPr>
            <w:r>
              <w:rPr>
                <w:sz w:val="20"/>
              </w:rPr>
              <w:t>Methods</w:t>
            </w:r>
            <w:r>
              <w:rPr>
                <w:spacing w:val="-7"/>
                <w:sz w:val="20"/>
              </w:rPr>
              <w:t> </w:t>
            </w:r>
            <w:r>
              <w:rPr>
                <w:sz w:val="20"/>
              </w:rPr>
              <w:t>of</w:t>
            </w:r>
            <w:r>
              <w:rPr>
                <w:spacing w:val="-6"/>
                <w:sz w:val="20"/>
              </w:rPr>
              <w:t> </w:t>
            </w:r>
            <w:r>
              <w:rPr>
                <w:spacing w:val="-2"/>
                <w:sz w:val="20"/>
              </w:rPr>
              <w:t>Representation</w:t>
            </w:r>
          </w:p>
        </w:tc>
      </w:tr>
      <w:tr>
        <w:trPr>
          <w:trHeight w:val="287" w:hRule="atLeast"/>
        </w:trPr>
        <w:tc>
          <w:tcPr>
            <w:tcW w:w="2904" w:type="dxa"/>
            <w:tcBorders>
              <w:top w:val="single" w:sz="4" w:space="0" w:color="000000"/>
              <w:bottom w:val="single" w:sz="4" w:space="0" w:color="000000"/>
              <w:right w:val="single" w:sz="4" w:space="0" w:color="000000"/>
            </w:tcBorders>
          </w:tcPr>
          <w:p>
            <w:pPr>
              <w:pStyle w:val="TableParagraph"/>
              <w:spacing w:before="26"/>
              <w:ind w:left="92"/>
              <w:rPr>
                <w:sz w:val="20"/>
              </w:rPr>
            </w:pPr>
            <w:r>
              <w:rPr>
                <w:sz w:val="20"/>
              </w:rPr>
              <w:t>Friday,</w:t>
            </w:r>
            <w:r>
              <w:rPr>
                <w:spacing w:val="-8"/>
                <w:sz w:val="20"/>
              </w:rPr>
              <w:t> </w:t>
            </w:r>
            <w:r>
              <w:rPr>
                <w:sz w:val="20"/>
              </w:rPr>
              <w:t>February</w:t>
            </w:r>
            <w:r>
              <w:rPr>
                <w:spacing w:val="-9"/>
                <w:sz w:val="20"/>
              </w:rPr>
              <w:t> </w:t>
            </w:r>
            <w:r>
              <w:rPr>
                <w:sz w:val="20"/>
              </w:rPr>
              <w:t>03,</w:t>
            </w:r>
            <w:r>
              <w:rPr>
                <w:spacing w:val="-5"/>
                <w:sz w:val="20"/>
              </w:rPr>
              <w:t> </w:t>
            </w:r>
            <w:r>
              <w:rPr>
                <w:spacing w:val="-4"/>
                <w:sz w:val="20"/>
              </w:rPr>
              <w:t>2012</w:t>
            </w:r>
          </w:p>
        </w:tc>
        <w:tc>
          <w:tcPr>
            <w:tcW w:w="3331" w:type="dxa"/>
            <w:tcBorders>
              <w:top w:val="single" w:sz="4" w:space="0" w:color="000000"/>
              <w:left w:val="single" w:sz="4" w:space="0" w:color="000000"/>
              <w:bottom w:val="single" w:sz="4" w:space="0" w:color="000000"/>
              <w:right w:val="single" w:sz="4" w:space="0" w:color="000000"/>
            </w:tcBorders>
          </w:tcPr>
          <w:p>
            <w:pPr>
              <w:pStyle w:val="TableParagraph"/>
              <w:spacing w:before="26"/>
              <w:ind w:left="110"/>
              <w:rPr>
                <w:sz w:val="20"/>
              </w:rPr>
            </w:pPr>
            <w:r>
              <w:rPr>
                <w:sz w:val="20"/>
              </w:rPr>
              <w:t>Travel</w:t>
            </w:r>
            <w:r>
              <w:rPr>
                <w:spacing w:val="-8"/>
                <w:sz w:val="20"/>
              </w:rPr>
              <w:t> </w:t>
            </w:r>
            <w:r>
              <w:rPr>
                <w:sz w:val="20"/>
              </w:rPr>
              <w:t>Studio</w:t>
            </w:r>
            <w:r>
              <w:rPr>
                <w:spacing w:val="-6"/>
                <w:sz w:val="20"/>
              </w:rPr>
              <w:t> </w:t>
            </w:r>
            <w:r>
              <w:rPr>
                <w:spacing w:val="-2"/>
                <w:sz w:val="20"/>
              </w:rPr>
              <w:t>Presentations</w:t>
            </w:r>
          </w:p>
        </w:tc>
        <w:tc>
          <w:tcPr>
            <w:tcW w:w="3240"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287" w:hRule="atLeast"/>
        </w:trPr>
        <w:tc>
          <w:tcPr>
            <w:tcW w:w="2904" w:type="dxa"/>
            <w:tcBorders>
              <w:top w:val="single" w:sz="4" w:space="0" w:color="000000"/>
              <w:bottom w:val="single" w:sz="4" w:space="0" w:color="000000"/>
              <w:right w:val="single" w:sz="4" w:space="0" w:color="000000"/>
            </w:tcBorders>
          </w:tcPr>
          <w:p>
            <w:pPr>
              <w:pStyle w:val="TableParagraph"/>
              <w:spacing w:before="26"/>
              <w:ind w:left="92"/>
              <w:rPr>
                <w:sz w:val="20"/>
              </w:rPr>
            </w:pPr>
            <w:r>
              <w:rPr>
                <w:sz w:val="20"/>
              </w:rPr>
              <w:t>Friday,</w:t>
            </w:r>
            <w:r>
              <w:rPr>
                <w:spacing w:val="-8"/>
                <w:sz w:val="20"/>
              </w:rPr>
              <w:t> </w:t>
            </w:r>
            <w:r>
              <w:rPr>
                <w:sz w:val="20"/>
              </w:rPr>
              <w:t>February</w:t>
            </w:r>
            <w:r>
              <w:rPr>
                <w:spacing w:val="-9"/>
                <w:sz w:val="20"/>
              </w:rPr>
              <w:t> </w:t>
            </w:r>
            <w:r>
              <w:rPr>
                <w:sz w:val="20"/>
              </w:rPr>
              <w:t>10,</w:t>
            </w:r>
            <w:r>
              <w:rPr>
                <w:spacing w:val="-5"/>
                <w:sz w:val="20"/>
              </w:rPr>
              <w:t> </w:t>
            </w:r>
            <w:r>
              <w:rPr>
                <w:spacing w:val="-4"/>
                <w:sz w:val="20"/>
              </w:rPr>
              <w:t>2012</w:t>
            </w:r>
          </w:p>
        </w:tc>
        <w:tc>
          <w:tcPr>
            <w:tcW w:w="3331" w:type="dxa"/>
            <w:tcBorders>
              <w:top w:val="single" w:sz="4" w:space="0" w:color="000000"/>
              <w:left w:val="single" w:sz="4" w:space="0" w:color="000000"/>
              <w:bottom w:val="single" w:sz="4" w:space="0" w:color="000000"/>
              <w:right w:val="single" w:sz="4" w:space="0" w:color="000000"/>
            </w:tcBorders>
          </w:tcPr>
          <w:p>
            <w:pPr>
              <w:pStyle w:val="TableParagraph"/>
              <w:spacing w:before="26"/>
              <w:ind w:left="110"/>
              <w:rPr>
                <w:sz w:val="20"/>
              </w:rPr>
            </w:pPr>
            <w:r>
              <w:rPr>
                <w:sz w:val="20"/>
              </w:rPr>
              <w:t>Mike</w:t>
            </w:r>
            <w:r>
              <w:rPr>
                <w:spacing w:val="-9"/>
                <w:sz w:val="20"/>
              </w:rPr>
              <w:t> </w:t>
            </w:r>
            <w:r>
              <w:rPr>
                <w:sz w:val="20"/>
              </w:rPr>
              <w:t>Molzahn,</w:t>
            </w:r>
            <w:r>
              <w:rPr>
                <w:spacing w:val="-6"/>
                <w:sz w:val="20"/>
              </w:rPr>
              <w:t> </w:t>
            </w:r>
            <w:r>
              <w:rPr>
                <w:spacing w:val="-5"/>
                <w:sz w:val="20"/>
              </w:rPr>
              <w:t>AIA</w:t>
            </w:r>
          </w:p>
        </w:tc>
        <w:tc>
          <w:tcPr>
            <w:tcW w:w="3240" w:type="dxa"/>
            <w:tcBorders>
              <w:top w:val="single" w:sz="4" w:space="0" w:color="000000"/>
              <w:left w:val="single" w:sz="4" w:space="0" w:color="000000"/>
              <w:bottom w:val="single" w:sz="4" w:space="0" w:color="000000"/>
            </w:tcBorders>
          </w:tcPr>
          <w:p>
            <w:pPr>
              <w:pStyle w:val="TableParagraph"/>
              <w:spacing w:before="26"/>
              <w:ind w:left="145"/>
              <w:rPr>
                <w:sz w:val="20"/>
              </w:rPr>
            </w:pPr>
            <w:r>
              <w:rPr>
                <w:sz w:val="20"/>
              </w:rPr>
              <w:t>HBA</w:t>
            </w:r>
            <w:r>
              <w:rPr>
                <w:spacing w:val="-6"/>
                <w:sz w:val="20"/>
              </w:rPr>
              <w:t> </w:t>
            </w:r>
            <w:r>
              <w:rPr>
                <w:spacing w:val="-2"/>
                <w:sz w:val="20"/>
              </w:rPr>
              <w:t>Architects</w:t>
            </w:r>
          </w:p>
        </w:tc>
      </w:tr>
      <w:tr>
        <w:trPr>
          <w:trHeight w:val="287" w:hRule="atLeast"/>
        </w:trPr>
        <w:tc>
          <w:tcPr>
            <w:tcW w:w="2904" w:type="dxa"/>
            <w:tcBorders>
              <w:top w:val="single" w:sz="4" w:space="0" w:color="000000"/>
              <w:bottom w:val="single" w:sz="4" w:space="0" w:color="000000"/>
              <w:right w:val="single" w:sz="4" w:space="0" w:color="000000"/>
            </w:tcBorders>
          </w:tcPr>
          <w:p>
            <w:pPr>
              <w:pStyle w:val="TableParagraph"/>
              <w:spacing w:before="26"/>
              <w:ind w:left="92"/>
              <w:rPr>
                <w:sz w:val="20"/>
              </w:rPr>
            </w:pPr>
            <w:r>
              <w:rPr>
                <w:sz w:val="20"/>
              </w:rPr>
              <w:t>Friday,</w:t>
            </w:r>
            <w:r>
              <w:rPr>
                <w:spacing w:val="-8"/>
                <w:sz w:val="20"/>
              </w:rPr>
              <w:t> </w:t>
            </w:r>
            <w:r>
              <w:rPr>
                <w:sz w:val="20"/>
              </w:rPr>
              <w:t>February</w:t>
            </w:r>
            <w:r>
              <w:rPr>
                <w:spacing w:val="-9"/>
                <w:sz w:val="20"/>
              </w:rPr>
              <w:t> </w:t>
            </w:r>
            <w:r>
              <w:rPr>
                <w:sz w:val="20"/>
              </w:rPr>
              <w:t>17,</w:t>
            </w:r>
            <w:r>
              <w:rPr>
                <w:spacing w:val="-5"/>
                <w:sz w:val="20"/>
              </w:rPr>
              <w:t> </w:t>
            </w:r>
            <w:r>
              <w:rPr>
                <w:spacing w:val="-4"/>
                <w:sz w:val="20"/>
              </w:rPr>
              <w:t>2012</w:t>
            </w:r>
          </w:p>
        </w:tc>
        <w:tc>
          <w:tcPr>
            <w:tcW w:w="3331" w:type="dxa"/>
            <w:tcBorders>
              <w:top w:val="single" w:sz="4" w:space="0" w:color="000000"/>
              <w:left w:val="single" w:sz="4" w:space="0" w:color="000000"/>
              <w:bottom w:val="single" w:sz="4" w:space="0" w:color="000000"/>
              <w:right w:val="single" w:sz="4" w:space="0" w:color="000000"/>
            </w:tcBorders>
          </w:tcPr>
          <w:p>
            <w:pPr>
              <w:pStyle w:val="TableParagraph"/>
              <w:spacing w:before="26"/>
              <w:ind w:left="110"/>
              <w:rPr>
                <w:sz w:val="20"/>
              </w:rPr>
            </w:pPr>
            <w:r>
              <w:rPr>
                <w:sz w:val="20"/>
              </w:rPr>
              <w:t>Sarah</w:t>
            </w:r>
            <w:r>
              <w:rPr>
                <w:spacing w:val="-8"/>
                <w:sz w:val="20"/>
              </w:rPr>
              <w:t> </w:t>
            </w:r>
            <w:r>
              <w:rPr>
                <w:sz w:val="20"/>
              </w:rPr>
              <w:t>Caples,</w:t>
            </w:r>
            <w:r>
              <w:rPr>
                <w:spacing w:val="-7"/>
                <w:sz w:val="20"/>
              </w:rPr>
              <w:t> </w:t>
            </w:r>
            <w:r>
              <w:rPr>
                <w:sz w:val="20"/>
              </w:rPr>
              <w:t>Everado</w:t>
            </w:r>
            <w:r>
              <w:rPr>
                <w:spacing w:val="-9"/>
                <w:sz w:val="20"/>
              </w:rPr>
              <w:t> </w:t>
            </w:r>
            <w:r>
              <w:rPr>
                <w:spacing w:val="-2"/>
                <w:sz w:val="20"/>
              </w:rPr>
              <w:t>Jefferson</w:t>
            </w:r>
          </w:p>
        </w:tc>
        <w:tc>
          <w:tcPr>
            <w:tcW w:w="3240" w:type="dxa"/>
            <w:tcBorders>
              <w:top w:val="single" w:sz="4" w:space="0" w:color="000000"/>
              <w:left w:val="single" w:sz="4" w:space="0" w:color="000000"/>
              <w:bottom w:val="single" w:sz="4" w:space="0" w:color="000000"/>
            </w:tcBorders>
          </w:tcPr>
          <w:p>
            <w:pPr>
              <w:pStyle w:val="TableParagraph"/>
              <w:spacing w:before="26"/>
              <w:ind w:left="90"/>
              <w:rPr>
                <w:sz w:val="20"/>
              </w:rPr>
            </w:pPr>
            <w:r>
              <w:rPr>
                <w:sz w:val="20"/>
              </w:rPr>
              <w:t>Caples</w:t>
            </w:r>
            <w:r>
              <w:rPr>
                <w:spacing w:val="-5"/>
                <w:sz w:val="20"/>
              </w:rPr>
              <w:t> </w:t>
            </w:r>
            <w:r>
              <w:rPr>
                <w:sz w:val="20"/>
              </w:rPr>
              <w:t>&amp;</w:t>
            </w:r>
            <w:r>
              <w:rPr>
                <w:spacing w:val="-7"/>
                <w:sz w:val="20"/>
              </w:rPr>
              <w:t> </w:t>
            </w:r>
            <w:r>
              <w:rPr>
                <w:spacing w:val="-2"/>
                <w:sz w:val="20"/>
              </w:rPr>
              <w:t>Jefferson</w:t>
            </w:r>
          </w:p>
        </w:tc>
      </w:tr>
      <w:tr>
        <w:trPr>
          <w:trHeight w:val="287" w:hRule="atLeast"/>
        </w:trPr>
        <w:tc>
          <w:tcPr>
            <w:tcW w:w="2904" w:type="dxa"/>
            <w:tcBorders>
              <w:top w:val="single" w:sz="4" w:space="0" w:color="000000"/>
              <w:bottom w:val="single" w:sz="4" w:space="0" w:color="000000"/>
              <w:right w:val="single" w:sz="4" w:space="0" w:color="000000"/>
            </w:tcBorders>
          </w:tcPr>
          <w:p>
            <w:pPr>
              <w:pStyle w:val="TableParagraph"/>
              <w:spacing w:before="28"/>
              <w:ind w:left="92"/>
              <w:rPr>
                <w:sz w:val="20"/>
              </w:rPr>
            </w:pPr>
            <w:r>
              <w:rPr>
                <w:sz w:val="20"/>
              </w:rPr>
              <w:t>Friday,</w:t>
            </w:r>
            <w:r>
              <w:rPr>
                <w:spacing w:val="-8"/>
                <w:sz w:val="20"/>
              </w:rPr>
              <w:t> </w:t>
            </w:r>
            <w:r>
              <w:rPr>
                <w:sz w:val="20"/>
              </w:rPr>
              <w:t>February</w:t>
            </w:r>
            <w:r>
              <w:rPr>
                <w:spacing w:val="-9"/>
                <w:sz w:val="20"/>
              </w:rPr>
              <w:t> </w:t>
            </w:r>
            <w:r>
              <w:rPr>
                <w:sz w:val="20"/>
              </w:rPr>
              <w:t>24,</w:t>
            </w:r>
            <w:r>
              <w:rPr>
                <w:spacing w:val="-5"/>
                <w:sz w:val="20"/>
              </w:rPr>
              <w:t> </w:t>
            </w:r>
            <w:r>
              <w:rPr>
                <w:spacing w:val="-4"/>
                <w:sz w:val="20"/>
              </w:rPr>
              <w:t>2012</w:t>
            </w:r>
          </w:p>
        </w:tc>
        <w:tc>
          <w:tcPr>
            <w:tcW w:w="3331" w:type="dxa"/>
            <w:tcBorders>
              <w:top w:val="single" w:sz="4" w:space="0" w:color="000000"/>
              <w:left w:val="single" w:sz="4" w:space="0" w:color="000000"/>
              <w:bottom w:val="single" w:sz="4" w:space="0" w:color="000000"/>
              <w:right w:val="single" w:sz="4" w:space="0" w:color="000000"/>
            </w:tcBorders>
          </w:tcPr>
          <w:p>
            <w:pPr>
              <w:pStyle w:val="TableParagraph"/>
              <w:spacing w:before="28"/>
              <w:ind w:left="110"/>
              <w:rPr>
                <w:sz w:val="20"/>
              </w:rPr>
            </w:pPr>
            <w:r>
              <w:rPr>
                <w:sz w:val="20"/>
              </w:rPr>
              <w:t>Curtis</w:t>
            </w:r>
            <w:r>
              <w:rPr>
                <w:spacing w:val="-8"/>
                <w:sz w:val="20"/>
              </w:rPr>
              <w:t> </w:t>
            </w:r>
            <w:r>
              <w:rPr>
                <w:sz w:val="20"/>
              </w:rPr>
              <w:t>Moody,</w:t>
            </w:r>
            <w:r>
              <w:rPr>
                <w:spacing w:val="-9"/>
                <w:sz w:val="20"/>
              </w:rPr>
              <w:t> </w:t>
            </w:r>
            <w:r>
              <w:rPr>
                <w:spacing w:val="-4"/>
                <w:sz w:val="20"/>
              </w:rPr>
              <w:t>FAIA</w:t>
            </w:r>
          </w:p>
        </w:tc>
        <w:tc>
          <w:tcPr>
            <w:tcW w:w="3240" w:type="dxa"/>
            <w:tcBorders>
              <w:top w:val="single" w:sz="4" w:space="0" w:color="000000"/>
              <w:left w:val="single" w:sz="4" w:space="0" w:color="000000"/>
              <w:bottom w:val="single" w:sz="4" w:space="0" w:color="000000"/>
            </w:tcBorders>
          </w:tcPr>
          <w:p>
            <w:pPr>
              <w:pStyle w:val="TableParagraph"/>
              <w:spacing w:before="28"/>
              <w:ind w:left="145"/>
              <w:rPr>
                <w:sz w:val="20"/>
              </w:rPr>
            </w:pPr>
            <w:r>
              <w:rPr>
                <w:sz w:val="20"/>
              </w:rPr>
              <w:t>Moody</w:t>
            </w:r>
            <w:r>
              <w:rPr>
                <w:spacing w:val="-8"/>
                <w:sz w:val="20"/>
              </w:rPr>
              <w:t> </w:t>
            </w:r>
            <w:r>
              <w:rPr>
                <w:spacing w:val="-2"/>
                <w:sz w:val="20"/>
              </w:rPr>
              <w:t>Nolan</w:t>
            </w:r>
          </w:p>
        </w:tc>
      </w:tr>
      <w:tr>
        <w:trPr>
          <w:trHeight w:val="290" w:hRule="atLeast"/>
        </w:trPr>
        <w:tc>
          <w:tcPr>
            <w:tcW w:w="2904" w:type="dxa"/>
            <w:tcBorders>
              <w:top w:val="single" w:sz="4" w:space="0" w:color="000000"/>
              <w:bottom w:val="single" w:sz="4" w:space="0" w:color="000000"/>
              <w:right w:val="single" w:sz="4" w:space="0" w:color="000000"/>
            </w:tcBorders>
          </w:tcPr>
          <w:p>
            <w:pPr>
              <w:pStyle w:val="TableParagraph"/>
              <w:spacing w:before="28"/>
              <w:ind w:left="92"/>
              <w:rPr>
                <w:sz w:val="20"/>
              </w:rPr>
            </w:pPr>
            <w:r>
              <w:rPr>
                <w:sz w:val="20"/>
              </w:rPr>
              <w:t>Friday,</w:t>
            </w:r>
            <w:r>
              <w:rPr>
                <w:spacing w:val="-7"/>
                <w:sz w:val="20"/>
              </w:rPr>
              <w:t> </w:t>
            </w:r>
            <w:r>
              <w:rPr>
                <w:sz w:val="20"/>
              </w:rPr>
              <w:t>March</w:t>
            </w:r>
            <w:r>
              <w:rPr>
                <w:spacing w:val="-7"/>
                <w:sz w:val="20"/>
              </w:rPr>
              <w:t> </w:t>
            </w:r>
            <w:r>
              <w:rPr>
                <w:sz w:val="20"/>
              </w:rPr>
              <w:t>16,</w:t>
            </w:r>
            <w:r>
              <w:rPr>
                <w:spacing w:val="-5"/>
                <w:sz w:val="20"/>
              </w:rPr>
              <w:t> </w:t>
            </w:r>
            <w:r>
              <w:rPr>
                <w:spacing w:val="-4"/>
                <w:sz w:val="20"/>
              </w:rPr>
              <w:t>2012</w:t>
            </w:r>
          </w:p>
        </w:tc>
        <w:tc>
          <w:tcPr>
            <w:tcW w:w="3331" w:type="dxa"/>
            <w:tcBorders>
              <w:top w:val="single" w:sz="4" w:space="0" w:color="000000"/>
              <w:left w:val="single" w:sz="4" w:space="0" w:color="000000"/>
              <w:bottom w:val="single" w:sz="4" w:space="0" w:color="000000"/>
              <w:right w:val="single" w:sz="4" w:space="0" w:color="000000"/>
            </w:tcBorders>
          </w:tcPr>
          <w:p>
            <w:pPr>
              <w:pStyle w:val="TableParagraph"/>
              <w:spacing w:before="28"/>
              <w:ind w:left="110"/>
              <w:rPr>
                <w:sz w:val="20"/>
              </w:rPr>
            </w:pPr>
            <w:r>
              <w:rPr>
                <w:sz w:val="20"/>
              </w:rPr>
              <w:t>Phil</w:t>
            </w:r>
            <w:r>
              <w:rPr>
                <w:spacing w:val="-6"/>
                <w:sz w:val="20"/>
              </w:rPr>
              <w:t> </w:t>
            </w:r>
            <w:r>
              <w:rPr>
                <w:sz w:val="20"/>
              </w:rPr>
              <w:t>Freelon</w:t>
            </w:r>
            <w:r>
              <w:rPr>
                <w:spacing w:val="-5"/>
                <w:sz w:val="20"/>
              </w:rPr>
              <w:t> </w:t>
            </w:r>
            <w:r>
              <w:rPr>
                <w:sz w:val="20"/>
              </w:rPr>
              <w:t>,</w:t>
            </w:r>
            <w:r>
              <w:rPr>
                <w:spacing w:val="-4"/>
                <w:sz w:val="20"/>
              </w:rPr>
              <w:t> FAIA</w:t>
            </w:r>
          </w:p>
        </w:tc>
        <w:tc>
          <w:tcPr>
            <w:tcW w:w="3240" w:type="dxa"/>
            <w:tcBorders>
              <w:top w:val="single" w:sz="4" w:space="0" w:color="000000"/>
              <w:left w:val="single" w:sz="4" w:space="0" w:color="000000"/>
              <w:bottom w:val="single" w:sz="4" w:space="0" w:color="000000"/>
            </w:tcBorders>
          </w:tcPr>
          <w:p>
            <w:pPr>
              <w:pStyle w:val="TableParagraph"/>
              <w:spacing w:before="28"/>
              <w:ind w:left="145"/>
              <w:rPr>
                <w:sz w:val="20"/>
              </w:rPr>
            </w:pPr>
            <w:r>
              <w:rPr>
                <w:sz w:val="20"/>
              </w:rPr>
              <w:t>the</w:t>
            </w:r>
            <w:r>
              <w:rPr>
                <w:spacing w:val="-7"/>
                <w:sz w:val="20"/>
              </w:rPr>
              <w:t> </w:t>
            </w:r>
            <w:r>
              <w:rPr>
                <w:sz w:val="20"/>
              </w:rPr>
              <w:t>Freelon</w:t>
            </w:r>
            <w:r>
              <w:rPr>
                <w:spacing w:val="-6"/>
                <w:sz w:val="20"/>
              </w:rPr>
              <w:t> </w:t>
            </w:r>
            <w:r>
              <w:rPr>
                <w:spacing w:val="-4"/>
                <w:sz w:val="20"/>
              </w:rPr>
              <w:t>Group</w:t>
            </w:r>
          </w:p>
        </w:tc>
      </w:tr>
      <w:tr>
        <w:trPr>
          <w:trHeight w:val="287" w:hRule="atLeast"/>
        </w:trPr>
        <w:tc>
          <w:tcPr>
            <w:tcW w:w="2904" w:type="dxa"/>
            <w:tcBorders>
              <w:top w:val="single" w:sz="4" w:space="0" w:color="000000"/>
              <w:bottom w:val="single" w:sz="4" w:space="0" w:color="000000"/>
              <w:right w:val="single" w:sz="4" w:space="0" w:color="000000"/>
            </w:tcBorders>
          </w:tcPr>
          <w:p>
            <w:pPr>
              <w:pStyle w:val="TableParagraph"/>
              <w:spacing w:before="26"/>
              <w:ind w:left="92"/>
              <w:rPr>
                <w:sz w:val="20"/>
              </w:rPr>
            </w:pPr>
            <w:r>
              <w:rPr>
                <w:sz w:val="20"/>
              </w:rPr>
              <w:t>Friday,</w:t>
            </w:r>
            <w:r>
              <w:rPr>
                <w:spacing w:val="-7"/>
                <w:sz w:val="20"/>
              </w:rPr>
              <w:t> </w:t>
            </w:r>
            <w:r>
              <w:rPr>
                <w:sz w:val="20"/>
              </w:rPr>
              <w:t>March</w:t>
            </w:r>
            <w:r>
              <w:rPr>
                <w:spacing w:val="-7"/>
                <w:sz w:val="20"/>
              </w:rPr>
              <w:t> </w:t>
            </w:r>
            <w:r>
              <w:rPr>
                <w:sz w:val="20"/>
              </w:rPr>
              <w:t>23,</w:t>
            </w:r>
            <w:r>
              <w:rPr>
                <w:spacing w:val="-5"/>
                <w:sz w:val="20"/>
              </w:rPr>
              <w:t> </w:t>
            </w:r>
            <w:r>
              <w:rPr>
                <w:spacing w:val="-4"/>
                <w:sz w:val="20"/>
              </w:rPr>
              <w:t>2012</w:t>
            </w:r>
          </w:p>
        </w:tc>
        <w:tc>
          <w:tcPr>
            <w:tcW w:w="3331" w:type="dxa"/>
            <w:tcBorders>
              <w:top w:val="single" w:sz="4" w:space="0" w:color="000000"/>
              <w:left w:val="single" w:sz="4" w:space="0" w:color="000000"/>
              <w:bottom w:val="single" w:sz="4" w:space="0" w:color="000000"/>
              <w:right w:val="single" w:sz="4" w:space="0" w:color="000000"/>
            </w:tcBorders>
          </w:tcPr>
          <w:p>
            <w:pPr>
              <w:pStyle w:val="TableParagraph"/>
              <w:spacing w:before="26"/>
              <w:ind w:left="110"/>
              <w:rPr>
                <w:sz w:val="20"/>
              </w:rPr>
            </w:pPr>
            <w:r>
              <w:rPr>
                <w:sz w:val="20"/>
              </w:rPr>
              <w:t>Natasha</w:t>
            </w:r>
            <w:r>
              <w:rPr>
                <w:spacing w:val="-10"/>
                <w:sz w:val="20"/>
              </w:rPr>
              <w:t> </w:t>
            </w:r>
            <w:r>
              <w:rPr>
                <w:spacing w:val="-2"/>
                <w:sz w:val="20"/>
              </w:rPr>
              <w:t>Eubanks</w:t>
            </w:r>
          </w:p>
        </w:tc>
        <w:tc>
          <w:tcPr>
            <w:tcW w:w="3240" w:type="dxa"/>
            <w:tcBorders>
              <w:top w:val="single" w:sz="4" w:space="0" w:color="000000"/>
              <w:left w:val="single" w:sz="4" w:space="0" w:color="000000"/>
              <w:bottom w:val="single" w:sz="4" w:space="0" w:color="000000"/>
            </w:tcBorders>
          </w:tcPr>
          <w:p>
            <w:pPr>
              <w:pStyle w:val="TableParagraph"/>
              <w:spacing w:before="26"/>
              <w:ind w:left="148"/>
              <w:rPr>
                <w:sz w:val="20"/>
              </w:rPr>
            </w:pPr>
            <w:r>
              <w:rPr>
                <w:spacing w:val="-2"/>
                <w:sz w:val="20"/>
              </w:rPr>
              <w:t>YBF.com</w:t>
            </w:r>
          </w:p>
        </w:tc>
      </w:tr>
      <w:tr>
        <w:trPr>
          <w:trHeight w:val="287" w:hRule="atLeast"/>
        </w:trPr>
        <w:tc>
          <w:tcPr>
            <w:tcW w:w="2904" w:type="dxa"/>
            <w:tcBorders>
              <w:top w:val="single" w:sz="4" w:space="0" w:color="000000"/>
              <w:bottom w:val="single" w:sz="4" w:space="0" w:color="000000"/>
              <w:right w:val="single" w:sz="4" w:space="0" w:color="000000"/>
            </w:tcBorders>
          </w:tcPr>
          <w:p>
            <w:pPr>
              <w:pStyle w:val="TableParagraph"/>
              <w:spacing w:before="26"/>
              <w:ind w:left="92"/>
              <w:rPr>
                <w:sz w:val="20"/>
              </w:rPr>
            </w:pPr>
            <w:r>
              <w:rPr>
                <w:sz w:val="20"/>
              </w:rPr>
              <w:t>Friday,</w:t>
            </w:r>
            <w:r>
              <w:rPr>
                <w:spacing w:val="-6"/>
                <w:sz w:val="20"/>
              </w:rPr>
              <w:t> </w:t>
            </w:r>
            <w:r>
              <w:rPr>
                <w:sz w:val="20"/>
              </w:rPr>
              <w:t>April</w:t>
            </w:r>
            <w:r>
              <w:rPr>
                <w:spacing w:val="-7"/>
                <w:sz w:val="20"/>
              </w:rPr>
              <w:t> </w:t>
            </w:r>
            <w:r>
              <w:rPr>
                <w:sz w:val="20"/>
              </w:rPr>
              <w:t>06,</w:t>
            </w:r>
            <w:r>
              <w:rPr>
                <w:spacing w:val="-5"/>
                <w:sz w:val="20"/>
              </w:rPr>
              <w:t> </w:t>
            </w:r>
            <w:r>
              <w:rPr>
                <w:spacing w:val="-4"/>
                <w:sz w:val="20"/>
              </w:rPr>
              <w:t>2012</w:t>
            </w:r>
          </w:p>
        </w:tc>
        <w:tc>
          <w:tcPr>
            <w:tcW w:w="3331" w:type="dxa"/>
            <w:tcBorders>
              <w:top w:val="single" w:sz="4" w:space="0" w:color="000000"/>
              <w:left w:val="single" w:sz="4" w:space="0" w:color="000000"/>
              <w:bottom w:val="single" w:sz="4" w:space="0" w:color="000000"/>
              <w:right w:val="single" w:sz="4" w:space="0" w:color="000000"/>
            </w:tcBorders>
          </w:tcPr>
          <w:p>
            <w:pPr>
              <w:pStyle w:val="TableParagraph"/>
              <w:spacing w:before="26"/>
              <w:ind w:left="110"/>
              <w:rPr>
                <w:sz w:val="20"/>
              </w:rPr>
            </w:pPr>
            <w:r>
              <w:rPr>
                <w:sz w:val="20"/>
              </w:rPr>
              <w:t>David</w:t>
            </w:r>
            <w:r>
              <w:rPr>
                <w:spacing w:val="-8"/>
                <w:sz w:val="20"/>
              </w:rPr>
              <w:t> </w:t>
            </w:r>
            <w:r>
              <w:rPr>
                <w:sz w:val="20"/>
              </w:rPr>
              <w:t>Lee,</w:t>
            </w:r>
            <w:r>
              <w:rPr>
                <w:spacing w:val="-5"/>
                <w:sz w:val="20"/>
              </w:rPr>
              <w:t> </w:t>
            </w:r>
            <w:r>
              <w:rPr>
                <w:spacing w:val="-4"/>
                <w:sz w:val="20"/>
              </w:rPr>
              <w:t>FAIA</w:t>
            </w:r>
          </w:p>
        </w:tc>
        <w:tc>
          <w:tcPr>
            <w:tcW w:w="3240" w:type="dxa"/>
            <w:tcBorders>
              <w:top w:val="single" w:sz="4" w:space="0" w:color="000000"/>
              <w:left w:val="single" w:sz="4" w:space="0" w:color="000000"/>
              <w:bottom w:val="single" w:sz="4" w:space="0" w:color="000000"/>
            </w:tcBorders>
          </w:tcPr>
          <w:p>
            <w:pPr>
              <w:pStyle w:val="TableParagraph"/>
              <w:spacing w:before="26"/>
              <w:ind w:left="145"/>
              <w:rPr>
                <w:sz w:val="20"/>
              </w:rPr>
            </w:pPr>
            <w:r>
              <w:rPr>
                <w:sz w:val="20"/>
              </w:rPr>
              <w:t>Stull</w:t>
            </w:r>
            <w:r>
              <w:rPr>
                <w:spacing w:val="-4"/>
                <w:sz w:val="20"/>
              </w:rPr>
              <w:t> </w:t>
            </w:r>
            <w:r>
              <w:rPr>
                <w:sz w:val="20"/>
              </w:rPr>
              <w:t>&amp;</w:t>
            </w:r>
            <w:r>
              <w:rPr>
                <w:spacing w:val="-3"/>
                <w:sz w:val="20"/>
              </w:rPr>
              <w:t> </w:t>
            </w:r>
            <w:r>
              <w:rPr>
                <w:spacing w:val="-5"/>
                <w:sz w:val="20"/>
              </w:rPr>
              <w:t>Lee</w:t>
            </w:r>
          </w:p>
        </w:tc>
      </w:tr>
      <w:tr>
        <w:trPr>
          <w:trHeight w:val="287" w:hRule="atLeast"/>
        </w:trPr>
        <w:tc>
          <w:tcPr>
            <w:tcW w:w="2904" w:type="dxa"/>
            <w:tcBorders>
              <w:top w:val="single" w:sz="4" w:space="0" w:color="000000"/>
              <w:bottom w:val="single" w:sz="4" w:space="0" w:color="000000"/>
              <w:right w:val="single" w:sz="4" w:space="0" w:color="000000"/>
            </w:tcBorders>
          </w:tcPr>
          <w:p>
            <w:pPr>
              <w:pStyle w:val="TableParagraph"/>
              <w:spacing w:before="26"/>
              <w:ind w:left="92"/>
              <w:rPr>
                <w:sz w:val="20"/>
              </w:rPr>
            </w:pPr>
            <w:r>
              <w:rPr>
                <w:sz w:val="20"/>
              </w:rPr>
              <w:t>Friday,</w:t>
            </w:r>
            <w:r>
              <w:rPr>
                <w:spacing w:val="-6"/>
                <w:sz w:val="20"/>
              </w:rPr>
              <w:t> </w:t>
            </w:r>
            <w:r>
              <w:rPr>
                <w:sz w:val="20"/>
              </w:rPr>
              <w:t>April</w:t>
            </w:r>
            <w:r>
              <w:rPr>
                <w:spacing w:val="-7"/>
                <w:sz w:val="20"/>
              </w:rPr>
              <w:t> </w:t>
            </w:r>
            <w:r>
              <w:rPr>
                <w:sz w:val="20"/>
              </w:rPr>
              <w:t>13,</w:t>
            </w:r>
            <w:r>
              <w:rPr>
                <w:spacing w:val="-5"/>
                <w:sz w:val="20"/>
              </w:rPr>
              <w:t> </w:t>
            </w:r>
            <w:r>
              <w:rPr>
                <w:spacing w:val="-4"/>
                <w:sz w:val="20"/>
              </w:rPr>
              <w:t>2012</w:t>
            </w:r>
          </w:p>
        </w:tc>
        <w:tc>
          <w:tcPr>
            <w:tcW w:w="3331" w:type="dxa"/>
            <w:tcBorders>
              <w:top w:val="single" w:sz="4" w:space="0" w:color="000000"/>
              <w:left w:val="single" w:sz="4" w:space="0" w:color="000000"/>
              <w:bottom w:val="single" w:sz="4" w:space="0" w:color="000000"/>
              <w:right w:val="single" w:sz="4" w:space="0" w:color="000000"/>
            </w:tcBorders>
          </w:tcPr>
          <w:p>
            <w:pPr>
              <w:pStyle w:val="TableParagraph"/>
              <w:spacing w:before="26"/>
              <w:ind w:left="110"/>
              <w:rPr>
                <w:sz w:val="20"/>
              </w:rPr>
            </w:pPr>
            <w:r>
              <w:rPr>
                <w:sz w:val="20"/>
              </w:rPr>
              <w:t>Lori</w:t>
            </w:r>
            <w:r>
              <w:rPr>
                <w:spacing w:val="-8"/>
                <w:sz w:val="20"/>
              </w:rPr>
              <w:t> </w:t>
            </w:r>
            <w:r>
              <w:rPr>
                <w:spacing w:val="-2"/>
                <w:sz w:val="20"/>
              </w:rPr>
              <w:t>Garrett</w:t>
            </w:r>
          </w:p>
        </w:tc>
        <w:tc>
          <w:tcPr>
            <w:tcW w:w="3240" w:type="dxa"/>
            <w:tcBorders>
              <w:top w:val="single" w:sz="4" w:space="0" w:color="000000"/>
              <w:left w:val="single" w:sz="4" w:space="0" w:color="000000"/>
              <w:bottom w:val="single" w:sz="4" w:space="0" w:color="000000"/>
            </w:tcBorders>
          </w:tcPr>
          <w:p>
            <w:pPr>
              <w:pStyle w:val="TableParagraph"/>
              <w:spacing w:before="26"/>
              <w:ind w:left="90"/>
              <w:rPr>
                <w:sz w:val="20"/>
              </w:rPr>
            </w:pPr>
            <w:r>
              <w:rPr>
                <w:sz w:val="20"/>
              </w:rPr>
              <w:t>Glave</w:t>
            </w:r>
            <w:r>
              <w:rPr>
                <w:spacing w:val="-5"/>
                <w:sz w:val="20"/>
              </w:rPr>
              <w:t> </w:t>
            </w:r>
            <w:r>
              <w:rPr>
                <w:sz w:val="20"/>
              </w:rPr>
              <w:t>/</w:t>
            </w:r>
            <w:r>
              <w:rPr>
                <w:spacing w:val="-4"/>
                <w:sz w:val="20"/>
              </w:rPr>
              <w:t> </w:t>
            </w:r>
            <w:r>
              <w:rPr>
                <w:spacing w:val="-2"/>
                <w:sz w:val="20"/>
              </w:rPr>
              <w:t>Holmes</w:t>
            </w:r>
          </w:p>
        </w:tc>
      </w:tr>
    </w:tbl>
    <w:p>
      <w:pPr>
        <w:pStyle w:val="BodyText"/>
      </w:pPr>
    </w:p>
    <w:p>
      <w:pPr>
        <w:pStyle w:val="BodyText"/>
        <w:spacing w:before="8"/>
        <w:rPr>
          <w:sz w:val="21"/>
        </w:rPr>
      </w:pPr>
    </w:p>
    <w:tbl>
      <w:tblPr>
        <w:tblW w:w="0" w:type="auto"/>
        <w:jc w:val="left"/>
        <w:tblInd w:w="498"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top w:w="0" w:type="dxa"/>
          <w:left w:w="0" w:type="dxa"/>
          <w:bottom w:w="0" w:type="dxa"/>
          <w:right w:w="0" w:type="dxa"/>
        </w:tblCellMar>
        <w:tblLook w:val="01E0"/>
      </w:tblPr>
      <w:tblGrid>
        <w:gridCol w:w="2995"/>
        <w:gridCol w:w="3240"/>
        <w:gridCol w:w="3240"/>
      </w:tblGrid>
      <w:tr>
        <w:trPr>
          <w:trHeight w:val="481" w:hRule="atLeast"/>
        </w:trPr>
        <w:tc>
          <w:tcPr>
            <w:tcW w:w="9475" w:type="dxa"/>
            <w:gridSpan w:val="3"/>
            <w:tcBorders>
              <w:bottom w:val="single" w:sz="4" w:space="0" w:color="000000"/>
            </w:tcBorders>
          </w:tcPr>
          <w:p>
            <w:pPr>
              <w:pStyle w:val="TableParagraph"/>
              <w:spacing w:before="123"/>
              <w:ind w:left="3067" w:right="3061"/>
              <w:jc w:val="center"/>
              <w:rPr>
                <w:sz w:val="20"/>
              </w:rPr>
            </w:pPr>
            <w:r>
              <w:rPr>
                <w:sz w:val="20"/>
              </w:rPr>
              <w:t>2013</w:t>
            </w:r>
            <w:r>
              <w:rPr>
                <w:spacing w:val="-5"/>
                <w:sz w:val="20"/>
              </w:rPr>
              <w:t> </w:t>
            </w:r>
            <w:r>
              <w:rPr>
                <w:sz w:val="20"/>
              </w:rPr>
              <w:t>-</w:t>
            </w:r>
            <w:r>
              <w:rPr>
                <w:spacing w:val="-5"/>
                <w:sz w:val="20"/>
              </w:rPr>
              <w:t> </w:t>
            </w:r>
            <w:r>
              <w:rPr>
                <w:sz w:val="20"/>
              </w:rPr>
              <w:t>2014</w:t>
            </w:r>
            <w:r>
              <w:rPr>
                <w:spacing w:val="-7"/>
                <w:sz w:val="20"/>
              </w:rPr>
              <w:t> </w:t>
            </w:r>
            <w:r>
              <w:rPr>
                <w:sz w:val="20"/>
              </w:rPr>
              <w:t>Lecture</w:t>
            </w:r>
            <w:r>
              <w:rPr>
                <w:spacing w:val="-4"/>
                <w:sz w:val="20"/>
              </w:rPr>
              <w:t> </w:t>
            </w:r>
            <w:r>
              <w:rPr>
                <w:sz w:val="20"/>
              </w:rPr>
              <w:t>Series</w:t>
            </w:r>
            <w:r>
              <w:rPr>
                <w:spacing w:val="-5"/>
                <w:sz w:val="20"/>
              </w:rPr>
              <w:t> </w:t>
            </w:r>
            <w:r>
              <w:rPr>
                <w:spacing w:val="-2"/>
                <w:sz w:val="20"/>
              </w:rPr>
              <w:t>Schedule</w:t>
            </w:r>
          </w:p>
        </w:tc>
      </w:tr>
      <w:tr>
        <w:trPr>
          <w:trHeight w:val="493" w:hRule="atLeast"/>
        </w:trPr>
        <w:tc>
          <w:tcPr>
            <w:tcW w:w="2995" w:type="dxa"/>
            <w:tcBorders>
              <w:top w:val="single" w:sz="4" w:space="0" w:color="000000"/>
              <w:bottom w:val="single" w:sz="4" w:space="0" w:color="000000"/>
              <w:right w:val="single" w:sz="4" w:space="0" w:color="000000"/>
            </w:tcBorders>
          </w:tcPr>
          <w:p>
            <w:pPr>
              <w:pStyle w:val="TableParagraph"/>
              <w:spacing w:before="126"/>
              <w:ind w:left="1260" w:right="1250"/>
              <w:jc w:val="center"/>
              <w:rPr>
                <w:b/>
                <w:sz w:val="20"/>
              </w:rPr>
            </w:pPr>
            <w:r>
              <w:rPr>
                <w:b/>
                <w:spacing w:val="-4"/>
                <w:sz w:val="20"/>
              </w:rPr>
              <w:t>Date</w:t>
            </w:r>
          </w:p>
        </w:tc>
        <w:tc>
          <w:tcPr>
            <w:tcW w:w="3240" w:type="dxa"/>
            <w:tcBorders>
              <w:top w:val="single" w:sz="4" w:space="0" w:color="000000"/>
              <w:left w:val="single" w:sz="4" w:space="0" w:color="000000"/>
              <w:bottom w:val="single" w:sz="4" w:space="0" w:color="000000"/>
              <w:right w:val="single" w:sz="4" w:space="0" w:color="000000"/>
            </w:tcBorders>
          </w:tcPr>
          <w:p>
            <w:pPr>
              <w:pStyle w:val="TableParagraph"/>
              <w:spacing w:before="126"/>
              <w:ind w:left="1205" w:right="1200"/>
              <w:jc w:val="center"/>
              <w:rPr>
                <w:b/>
                <w:sz w:val="20"/>
              </w:rPr>
            </w:pPr>
            <w:r>
              <w:rPr>
                <w:b/>
                <w:spacing w:val="-2"/>
                <w:sz w:val="20"/>
              </w:rPr>
              <w:t>Lecturer</w:t>
            </w:r>
          </w:p>
        </w:tc>
        <w:tc>
          <w:tcPr>
            <w:tcW w:w="3240" w:type="dxa"/>
            <w:tcBorders>
              <w:top w:val="single" w:sz="4" w:space="0" w:color="000000"/>
              <w:left w:val="single" w:sz="4" w:space="0" w:color="000000"/>
              <w:bottom w:val="single" w:sz="4" w:space="0" w:color="000000"/>
            </w:tcBorders>
          </w:tcPr>
          <w:p>
            <w:pPr>
              <w:pStyle w:val="TableParagraph"/>
              <w:spacing w:before="126"/>
              <w:ind w:left="1330" w:right="1318"/>
              <w:jc w:val="center"/>
              <w:rPr>
                <w:b/>
                <w:sz w:val="20"/>
              </w:rPr>
            </w:pPr>
            <w:r>
              <w:rPr>
                <w:b/>
                <w:spacing w:val="-2"/>
                <w:sz w:val="20"/>
              </w:rPr>
              <w:t>Topic</w:t>
            </w:r>
          </w:p>
        </w:tc>
      </w:tr>
      <w:tr>
        <w:trPr>
          <w:trHeight w:val="460" w:hRule="atLeast"/>
        </w:trPr>
        <w:tc>
          <w:tcPr>
            <w:tcW w:w="2995" w:type="dxa"/>
            <w:tcBorders>
              <w:top w:val="single" w:sz="4" w:space="0" w:color="000000"/>
              <w:bottom w:val="single" w:sz="4" w:space="0" w:color="000000"/>
              <w:right w:val="single" w:sz="4" w:space="0" w:color="000000"/>
            </w:tcBorders>
          </w:tcPr>
          <w:p>
            <w:pPr>
              <w:pStyle w:val="TableParagraph"/>
              <w:spacing w:before="112"/>
              <w:ind w:left="92"/>
              <w:rPr>
                <w:sz w:val="20"/>
              </w:rPr>
            </w:pPr>
            <w:r>
              <w:rPr>
                <w:sz w:val="20"/>
              </w:rPr>
              <w:t>Monday,</w:t>
            </w:r>
            <w:r>
              <w:rPr>
                <w:spacing w:val="-7"/>
                <w:sz w:val="20"/>
              </w:rPr>
              <w:t> </w:t>
            </w:r>
            <w:r>
              <w:rPr>
                <w:sz w:val="20"/>
              </w:rPr>
              <w:t>September</w:t>
            </w:r>
            <w:r>
              <w:rPr>
                <w:spacing w:val="-8"/>
                <w:sz w:val="20"/>
              </w:rPr>
              <w:t> </w:t>
            </w:r>
            <w:r>
              <w:rPr>
                <w:sz w:val="20"/>
              </w:rPr>
              <w:t>16,</w:t>
            </w:r>
            <w:r>
              <w:rPr>
                <w:spacing w:val="-9"/>
                <w:sz w:val="20"/>
              </w:rPr>
              <w:t> </w:t>
            </w:r>
            <w:r>
              <w:rPr>
                <w:spacing w:val="-4"/>
                <w:sz w:val="20"/>
              </w:rPr>
              <w:t>2013</w:t>
            </w:r>
          </w:p>
        </w:tc>
        <w:tc>
          <w:tcPr>
            <w:tcW w:w="3240" w:type="dxa"/>
            <w:tcBorders>
              <w:top w:val="single" w:sz="4" w:space="0" w:color="000000"/>
              <w:left w:val="single" w:sz="4" w:space="0" w:color="000000"/>
              <w:bottom w:val="single" w:sz="4" w:space="0" w:color="000000"/>
              <w:right w:val="single" w:sz="4" w:space="0" w:color="000000"/>
            </w:tcBorders>
          </w:tcPr>
          <w:p>
            <w:pPr>
              <w:pStyle w:val="TableParagraph"/>
              <w:spacing w:before="112"/>
              <w:ind w:left="107"/>
              <w:rPr>
                <w:sz w:val="20"/>
              </w:rPr>
            </w:pPr>
            <w:r>
              <w:rPr>
                <w:sz w:val="20"/>
              </w:rPr>
              <w:t>Derek</w:t>
            </w:r>
            <w:r>
              <w:rPr>
                <w:spacing w:val="-5"/>
                <w:sz w:val="20"/>
              </w:rPr>
              <w:t> Ham</w:t>
            </w:r>
          </w:p>
        </w:tc>
        <w:tc>
          <w:tcPr>
            <w:tcW w:w="3240" w:type="dxa"/>
            <w:tcBorders>
              <w:top w:val="single" w:sz="4" w:space="0" w:color="000000"/>
              <w:left w:val="single" w:sz="4" w:space="0" w:color="000000"/>
              <w:bottom w:val="single" w:sz="4" w:space="0" w:color="000000"/>
            </w:tcBorders>
          </w:tcPr>
          <w:p>
            <w:pPr>
              <w:pStyle w:val="TableParagraph"/>
              <w:spacing w:line="230" w:lineRule="exact"/>
              <w:ind w:left="90"/>
              <w:rPr>
                <w:sz w:val="20"/>
              </w:rPr>
            </w:pPr>
            <w:r>
              <w:rPr>
                <w:sz w:val="20"/>
              </w:rPr>
              <w:t>New</w:t>
            </w:r>
            <w:r>
              <w:rPr>
                <w:spacing w:val="-9"/>
                <w:sz w:val="20"/>
              </w:rPr>
              <w:t> </w:t>
            </w:r>
            <w:r>
              <w:rPr>
                <w:sz w:val="20"/>
              </w:rPr>
              <w:t>Media</w:t>
            </w:r>
            <w:r>
              <w:rPr>
                <w:spacing w:val="-7"/>
                <w:sz w:val="20"/>
              </w:rPr>
              <w:t> </w:t>
            </w:r>
            <w:r>
              <w:rPr>
                <w:sz w:val="20"/>
              </w:rPr>
              <w:t>Methods</w:t>
            </w:r>
            <w:r>
              <w:rPr>
                <w:spacing w:val="-6"/>
                <w:sz w:val="20"/>
              </w:rPr>
              <w:t> </w:t>
            </w:r>
            <w:r>
              <w:rPr>
                <w:sz w:val="20"/>
              </w:rPr>
              <w:t>in </w:t>
            </w:r>
            <w:r>
              <w:rPr>
                <w:spacing w:val="-2"/>
                <w:sz w:val="20"/>
              </w:rPr>
              <w:t>Representation</w:t>
            </w:r>
          </w:p>
        </w:tc>
      </w:tr>
      <w:tr>
        <w:trPr>
          <w:trHeight w:val="287" w:hRule="atLeast"/>
        </w:trPr>
        <w:tc>
          <w:tcPr>
            <w:tcW w:w="2995" w:type="dxa"/>
            <w:tcBorders>
              <w:top w:val="single" w:sz="4" w:space="0" w:color="000000"/>
              <w:bottom w:val="single" w:sz="4" w:space="0" w:color="000000"/>
              <w:right w:val="single" w:sz="4" w:space="0" w:color="000000"/>
            </w:tcBorders>
          </w:tcPr>
          <w:p>
            <w:pPr>
              <w:pStyle w:val="TableParagraph"/>
              <w:spacing w:before="26"/>
              <w:ind w:left="92"/>
              <w:rPr>
                <w:sz w:val="20"/>
              </w:rPr>
            </w:pPr>
            <w:r>
              <w:rPr>
                <w:sz w:val="20"/>
              </w:rPr>
              <w:t>Friday,</w:t>
            </w:r>
            <w:r>
              <w:rPr>
                <w:spacing w:val="-9"/>
                <w:sz w:val="20"/>
              </w:rPr>
              <w:t> </w:t>
            </w:r>
            <w:r>
              <w:rPr>
                <w:sz w:val="20"/>
              </w:rPr>
              <w:t>September</w:t>
            </w:r>
            <w:r>
              <w:rPr>
                <w:spacing w:val="-7"/>
                <w:sz w:val="20"/>
              </w:rPr>
              <w:t> </w:t>
            </w:r>
            <w:r>
              <w:rPr>
                <w:sz w:val="20"/>
              </w:rPr>
              <w:t>27,</w:t>
            </w:r>
            <w:r>
              <w:rPr>
                <w:spacing w:val="-8"/>
                <w:sz w:val="20"/>
              </w:rPr>
              <w:t> </w:t>
            </w:r>
            <w:r>
              <w:rPr>
                <w:spacing w:val="-4"/>
                <w:sz w:val="20"/>
              </w:rPr>
              <w:t>2013</w:t>
            </w:r>
          </w:p>
        </w:tc>
        <w:tc>
          <w:tcPr>
            <w:tcW w:w="3240" w:type="dxa"/>
            <w:tcBorders>
              <w:top w:val="single" w:sz="4" w:space="0" w:color="000000"/>
              <w:left w:val="single" w:sz="4" w:space="0" w:color="000000"/>
              <w:bottom w:val="single" w:sz="4" w:space="0" w:color="000000"/>
              <w:right w:val="single" w:sz="4" w:space="0" w:color="000000"/>
            </w:tcBorders>
          </w:tcPr>
          <w:p>
            <w:pPr>
              <w:pStyle w:val="TableParagraph"/>
              <w:spacing w:before="26"/>
              <w:ind w:left="108"/>
              <w:rPr>
                <w:sz w:val="20"/>
              </w:rPr>
            </w:pPr>
            <w:r>
              <w:rPr>
                <w:sz w:val="20"/>
              </w:rPr>
              <w:t>Jack</w:t>
            </w:r>
            <w:r>
              <w:rPr>
                <w:spacing w:val="-7"/>
                <w:sz w:val="20"/>
              </w:rPr>
              <w:t> </w:t>
            </w:r>
            <w:r>
              <w:rPr>
                <w:sz w:val="20"/>
              </w:rPr>
              <w:t>Travis,</w:t>
            </w:r>
            <w:r>
              <w:rPr>
                <w:spacing w:val="-8"/>
                <w:sz w:val="20"/>
              </w:rPr>
              <w:t> </w:t>
            </w:r>
            <w:r>
              <w:rPr>
                <w:spacing w:val="-4"/>
                <w:sz w:val="20"/>
              </w:rPr>
              <w:t>FAIA</w:t>
            </w:r>
          </w:p>
        </w:tc>
        <w:tc>
          <w:tcPr>
            <w:tcW w:w="3240" w:type="dxa"/>
            <w:tcBorders>
              <w:top w:val="single" w:sz="4" w:space="0" w:color="000000"/>
              <w:left w:val="single" w:sz="4" w:space="0" w:color="000000"/>
              <w:bottom w:val="single" w:sz="4" w:space="0" w:color="000000"/>
            </w:tcBorders>
          </w:tcPr>
          <w:p>
            <w:pPr>
              <w:pStyle w:val="TableParagraph"/>
              <w:spacing w:before="26"/>
              <w:ind w:left="90"/>
              <w:rPr>
                <w:sz w:val="20"/>
              </w:rPr>
            </w:pPr>
            <w:r>
              <w:rPr>
                <w:spacing w:val="-2"/>
                <w:sz w:val="20"/>
              </w:rPr>
              <w:t>Afro-Centric</w:t>
            </w:r>
            <w:r>
              <w:rPr>
                <w:spacing w:val="8"/>
                <w:sz w:val="20"/>
              </w:rPr>
              <w:t> </w:t>
            </w:r>
            <w:r>
              <w:rPr>
                <w:spacing w:val="-2"/>
                <w:sz w:val="20"/>
              </w:rPr>
              <w:t>Architecture</w:t>
            </w:r>
          </w:p>
        </w:tc>
      </w:tr>
      <w:tr>
        <w:trPr>
          <w:trHeight w:val="287" w:hRule="atLeast"/>
        </w:trPr>
        <w:tc>
          <w:tcPr>
            <w:tcW w:w="2995" w:type="dxa"/>
            <w:tcBorders>
              <w:top w:val="single" w:sz="4" w:space="0" w:color="000000"/>
              <w:bottom w:val="single" w:sz="4" w:space="0" w:color="000000"/>
              <w:right w:val="single" w:sz="4" w:space="0" w:color="000000"/>
            </w:tcBorders>
          </w:tcPr>
          <w:p>
            <w:pPr>
              <w:pStyle w:val="TableParagraph"/>
              <w:spacing w:before="28"/>
              <w:ind w:left="92"/>
              <w:rPr>
                <w:sz w:val="20"/>
              </w:rPr>
            </w:pPr>
            <w:r>
              <w:rPr>
                <w:sz w:val="20"/>
              </w:rPr>
              <w:t>Friday,</w:t>
            </w:r>
            <w:r>
              <w:rPr>
                <w:spacing w:val="-10"/>
                <w:sz w:val="20"/>
              </w:rPr>
              <w:t> </w:t>
            </w:r>
            <w:r>
              <w:rPr>
                <w:sz w:val="20"/>
              </w:rPr>
              <w:t>October</w:t>
            </w:r>
            <w:r>
              <w:rPr>
                <w:spacing w:val="-7"/>
                <w:sz w:val="20"/>
              </w:rPr>
              <w:t> </w:t>
            </w:r>
            <w:r>
              <w:rPr>
                <w:sz w:val="20"/>
              </w:rPr>
              <w:t>11,</w:t>
            </w:r>
            <w:r>
              <w:rPr>
                <w:spacing w:val="-5"/>
                <w:sz w:val="20"/>
              </w:rPr>
              <w:t> </w:t>
            </w:r>
            <w:r>
              <w:rPr>
                <w:spacing w:val="-4"/>
                <w:sz w:val="20"/>
              </w:rPr>
              <w:t>2013</w:t>
            </w:r>
          </w:p>
        </w:tc>
        <w:tc>
          <w:tcPr>
            <w:tcW w:w="3240" w:type="dxa"/>
            <w:tcBorders>
              <w:top w:val="single" w:sz="4" w:space="0" w:color="000000"/>
              <w:left w:val="single" w:sz="4" w:space="0" w:color="000000"/>
              <w:bottom w:val="single" w:sz="4" w:space="0" w:color="000000"/>
              <w:right w:val="single" w:sz="4" w:space="0" w:color="000000"/>
            </w:tcBorders>
          </w:tcPr>
          <w:p>
            <w:pPr>
              <w:pStyle w:val="TableParagraph"/>
              <w:spacing w:before="28"/>
              <w:ind w:left="108"/>
              <w:rPr>
                <w:sz w:val="20"/>
              </w:rPr>
            </w:pPr>
            <w:r>
              <w:rPr>
                <w:sz w:val="20"/>
              </w:rPr>
              <w:t>Billy</w:t>
            </w:r>
            <w:r>
              <w:rPr>
                <w:spacing w:val="-7"/>
                <w:sz w:val="20"/>
              </w:rPr>
              <w:t> </w:t>
            </w:r>
            <w:r>
              <w:rPr>
                <w:spacing w:val="-2"/>
                <w:sz w:val="20"/>
              </w:rPr>
              <w:t>Cannon</w:t>
            </w:r>
          </w:p>
        </w:tc>
        <w:tc>
          <w:tcPr>
            <w:tcW w:w="3240" w:type="dxa"/>
            <w:tcBorders>
              <w:top w:val="single" w:sz="4" w:space="0" w:color="000000"/>
              <w:left w:val="single" w:sz="4" w:space="0" w:color="000000"/>
              <w:bottom w:val="single" w:sz="4" w:space="0" w:color="000000"/>
            </w:tcBorders>
          </w:tcPr>
          <w:p>
            <w:pPr>
              <w:pStyle w:val="TableParagraph"/>
              <w:spacing w:before="28"/>
              <w:ind w:left="90"/>
              <w:rPr>
                <w:sz w:val="20"/>
              </w:rPr>
            </w:pPr>
            <w:r>
              <w:rPr>
                <w:sz w:val="20"/>
              </w:rPr>
              <w:t>Marketing</w:t>
            </w:r>
            <w:r>
              <w:rPr>
                <w:spacing w:val="-13"/>
                <w:sz w:val="20"/>
              </w:rPr>
              <w:t> </w:t>
            </w:r>
            <w:r>
              <w:rPr>
                <w:sz w:val="20"/>
              </w:rPr>
              <w:t>Architecture</w:t>
            </w:r>
            <w:r>
              <w:rPr>
                <w:spacing w:val="-14"/>
                <w:sz w:val="20"/>
              </w:rPr>
              <w:t> </w:t>
            </w:r>
            <w:r>
              <w:rPr>
                <w:spacing w:val="-4"/>
                <w:sz w:val="20"/>
              </w:rPr>
              <w:t>Firms</w:t>
            </w:r>
          </w:p>
        </w:tc>
      </w:tr>
      <w:tr>
        <w:trPr>
          <w:trHeight w:val="290" w:hRule="atLeast"/>
        </w:trPr>
        <w:tc>
          <w:tcPr>
            <w:tcW w:w="2995" w:type="dxa"/>
            <w:tcBorders>
              <w:top w:val="single" w:sz="4" w:space="0" w:color="000000"/>
              <w:bottom w:val="single" w:sz="4" w:space="0" w:color="000000"/>
              <w:right w:val="single" w:sz="4" w:space="0" w:color="000000"/>
            </w:tcBorders>
          </w:tcPr>
          <w:p>
            <w:pPr>
              <w:pStyle w:val="TableParagraph"/>
              <w:spacing w:before="28"/>
              <w:ind w:left="92"/>
              <w:rPr>
                <w:sz w:val="20"/>
              </w:rPr>
            </w:pPr>
            <w:r>
              <w:rPr>
                <w:sz w:val="20"/>
              </w:rPr>
              <w:t>Friday,</w:t>
            </w:r>
            <w:r>
              <w:rPr>
                <w:spacing w:val="-10"/>
                <w:sz w:val="20"/>
              </w:rPr>
              <w:t> </w:t>
            </w:r>
            <w:r>
              <w:rPr>
                <w:sz w:val="20"/>
              </w:rPr>
              <w:t>October</w:t>
            </w:r>
            <w:r>
              <w:rPr>
                <w:spacing w:val="-7"/>
                <w:sz w:val="20"/>
              </w:rPr>
              <w:t> </w:t>
            </w:r>
            <w:r>
              <w:rPr>
                <w:sz w:val="20"/>
              </w:rPr>
              <w:t>18,</w:t>
            </w:r>
            <w:r>
              <w:rPr>
                <w:spacing w:val="-5"/>
                <w:sz w:val="20"/>
              </w:rPr>
              <w:t> </w:t>
            </w:r>
            <w:r>
              <w:rPr>
                <w:spacing w:val="-4"/>
                <w:sz w:val="20"/>
              </w:rPr>
              <w:t>2013</w:t>
            </w:r>
          </w:p>
        </w:tc>
        <w:tc>
          <w:tcPr>
            <w:tcW w:w="3240" w:type="dxa"/>
            <w:tcBorders>
              <w:top w:val="single" w:sz="4" w:space="0" w:color="000000"/>
              <w:left w:val="single" w:sz="4" w:space="0" w:color="000000"/>
              <w:bottom w:val="single" w:sz="4" w:space="0" w:color="000000"/>
              <w:right w:val="single" w:sz="4" w:space="0" w:color="000000"/>
            </w:tcBorders>
          </w:tcPr>
          <w:p>
            <w:pPr>
              <w:pStyle w:val="TableParagraph"/>
              <w:spacing w:before="28"/>
              <w:ind w:left="108"/>
              <w:rPr>
                <w:sz w:val="20"/>
              </w:rPr>
            </w:pPr>
            <w:r>
              <w:rPr>
                <w:sz w:val="20"/>
              </w:rPr>
              <w:t>Darryl</w:t>
            </w:r>
            <w:r>
              <w:rPr>
                <w:spacing w:val="-8"/>
                <w:sz w:val="20"/>
              </w:rPr>
              <w:t> </w:t>
            </w:r>
            <w:r>
              <w:rPr>
                <w:spacing w:val="-2"/>
                <w:sz w:val="20"/>
              </w:rPr>
              <w:t>Henderson</w:t>
            </w:r>
          </w:p>
        </w:tc>
        <w:tc>
          <w:tcPr>
            <w:tcW w:w="3240" w:type="dxa"/>
            <w:tcBorders>
              <w:top w:val="single" w:sz="4" w:space="0" w:color="000000"/>
              <w:left w:val="single" w:sz="4" w:space="0" w:color="000000"/>
              <w:bottom w:val="single" w:sz="4" w:space="0" w:color="000000"/>
            </w:tcBorders>
          </w:tcPr>
          <w:p>
            <w:pPr>
              <w:pStyle w:val="TableParagraph"/>
              <w:spacing w:before="28"/>
              <w:ind w:left="90"/>
              <w:rPr>
                <w:sz w:val="20"/>
              </w:rPr>
            </w:pPr>
            <w:r>
              <w:rPr>
                <w:sz w:val="20"/>
              </w:rPr>
              <w:t>Personal</w:t>
            </w:r>
            <w:r>
              <w:rPr>
                <w:spacing w:val="-8"/>
                <w:sz w:val="20"/>
              </w:rPr>
              <w:t> </w:t>
            </w:r>
            <w:r>
              <w:rPr>
                <w:sz w:val="20"/>
              </w:rPr>
              <w:t>History</w:t>
            </w:r>
            <w:r>
              <w:rPr>
                <w:spacing w:val="-7"/>
                <w:sz w:val="20"/>
              </w:rPr>
              <w:t> </w:t>
            </w:r>
            <w:r>
              <w:rPr>
                <w:sz w:val="20"/>
              </w:rPr>
              <w:t>in</w:t>
            </w:r>
            <w:r>
              <w:rPr>
                <w:spacing w:val="-5"/>
                <w:sz w:val="20"/>
              </w:rPr>
              <w:t> </w:t>
            </w:r>
            <w:r>
              <w:rPr>
                <w:spacing w:val="-2"/>
                <w:sz w:val="20"/>
              </w:rPr>
              <w:t>Architecture</w:t>
            </w:r>
          </w:p>
        </w:tc>
      </w:tr>
      <w:tr>
        <w:trPr>
          <w:trHeight w:val="287" w:hRule="atLeast"/>
        </w:trPr>
        <w:tc>
          <w:tcPr>
            <w:tcW w:w="2995" w:type="dxa"/>
            <w:tcBorders>
              <w:top w:val="single" w:sz="4" w:space="0" w:color="000000"/>
              <w:bottom w:val="single" w:sz="4" w:space="0" w:color="000000"/>
              <w:right w:val="single" w:sz="4" w:space="0" w:color="000000"/>
            </w:tcBorders>
          </w:tcPr>
          <w:p>
            <w:pPr>
              <w:pStyle w:val="TableParagraph"/>
              <w:spacing w:before="26"/>
              <w:ind w:left="92"/>
              <w:rPr>
                <w:sz w:val="20"/>
              </w:rPr>
            </w:pPr>
            <w:r>
              <w:rPr>
                <w:sz w:val="20"/>
              </w:rPr>
              <w:t>Friday,</w:t>
            </w:r>
            <w:r>
              <w:rPr>
                <w:spacing w:val="-10"/>
                <w:sz w:val="20"/>
              </w:rPr>
              <w:t> </w:t>
            </w:r>
            <w:r>
              <w:rPr>
                <w:sz w:val="20"/>
              </w:rPr>
              <w:t>October</w:t>
            </w:r>
            <w:r>
              <w:rPr>
                <w:spacing w:val="-7"/>
                <w:sz w:val="20"/>
              </w:rPr>
              <w:t> </w:t>
            </w:r>
            <w:r>
              <w:rPr>
                <w:sz w:val="20"/>
              </w:rPr>
              <w:t>25,</w:t>
            </w:r>
            <w:r>
              <w:rPr>
                <w:spacing w:val="-5"/>
                <w:sz w:val="20"/>
              </w:rPr>
              <w:t> </w:t>
            </w:r>
            <w:r>
              <w:rPr>
                <w:spacing w:val="-4"/>
                <w:sz w:val="20"/>
              </w:rPr>
              <w:t>2013</w:t>
            </w:r>
          </w:p>
        </w:tc>
        <w:tc>
          <w:tcPr>
            <w:tcW w:w="3240" w:type="dxa"/>
            <w:tcBorders>
              <w:top w:val="single" w:sz="4" w:space="0" w:color="000000"/>
              <w:left w:val="single" w:sz="4" w:space="0" w:color="000000"/>
              <w:bottom w:val="single" w:sz="4" w:space="0" w:color="000000"/>
              <w:right w:val="single" w:sz="4" w:space="0" w:color="000000"/>
            </w:tcBorders>
          </w:tcPr>
          <w:p>
            <w:pPr>
              <w:pStyle w:val="TableParagraph"/>
              <w:spacing w:before="26"/>
              <w:ind w:left="107"/>
              <w:rPr>
                <w:sz w:val="20"/>
              </w:rPr>
            </w:pPr>
            <w:r>
              <w:rPr>
                <w:sz w:val="20"/>
              </w:rPr>
              <w:t>Shannon</w:t>
            </w:r>
            <w:r>
              <w:rPr>
                <w:spacing w:val="-9"/>
                <w:sz w:val="20"/>
              </w:rPr>
              <w:t> </w:t>
            </w:r>
            <w:r>
              <w:rPr>
                <w:sz w:val="20"/>
              </w:rPr>
              <w:t>Chance,</w:t>
            </w:r>
            <w:r>
              <w:rPr>
                <w:spacing w:val="-7"/>
                <w:sz w:val="20"/>
              </w:rPr>
              <w:t> </w:t>
            </w:r>
            <w:r>
              <w:rPr>
                <w:spacing w:val="-4"/>
                <w:sz w:val="20"/>
              </w:rPr>
              <w:t>Ph.D.</w:t>
            </w:r>
          </w:p>
        </w:tc>
        <w:tc>
          <w:tcPr>
            <w:tcW w:w="3240" w:type="dxa"/>
            <w:tcBorders>
              <w:top w:val="single" w:sz="4" w:space="0" w:color="000000"/>
              <w:left w:val="single" w:sz="4" w:space="0" w:color="000000"/>
              <w:bottom w:val="single" w:sz="4" w:space="0" w:color="000000"/>
            </w:tcBorders>
          </w:tcPr>
          <w:p>
            <w:pPr>
              <w:pStyle w:val="TableParagraph"/>
              <w:spacing w:before="26"/>
              <w:ind w:left="90"/>
              <w:rPr>
                <w:sz w:val="20"/>
              </w:rPr>
            </w:pPr>
            <w:r>
              <w:rPr>
                <w:sz w:val="20"/>
              </w:rPr>
              <w:t>Doctoral</w:t>
            </w:r>
            <w:r>
              <w:rPr>
                <w:spacing w:val="-15"/>
                <w:sz w:val="20"/>
              </w:rPr>
              <w:t> </w:t>
            </w:r>
            <w:r>
              <w:rPr>
                <w:sz w:val="20"/>
              </w:rPr>
              <w:t>Dissertation</w:t>
            </w:r>
            <w:r>
              <w:rPr>
                <w:spacing w:val="-11"/>
                <w:sz w:val="20"/>
              </w:rPr>
              <w:t> </w:t>
            </w:r>
            <w:r>
              <w:rPr>
                <w:spacing w:val="-2"/>
                <w:sz w:val="20"/>
              </w:rPr>
              <w:t>Research</w:t>
            </w:r>
          </w:p>
        </w:tc>
      </w:tr>
      <w:tr>
        <w:trPr>
          <w:trHeight w:val="460" w:hRule="atLeast"/>
        </w:trPr>
        <w:tc>
          <w:tcPr>
            <w:tcW w:w="2995" w:type="dxa"/>
            <w:tcBorders>
              <w:top w:val="single" w:sz="4" w:space="0" w:color="000000"/>
              <w:bottom w:val="single" w:sz="4" w:space="0" w:color="000000"/>
              <w:right w:val="single" w:sz="4" w:space="0" w:color="000000"/>
            </w:tcBorders>
          </w:tcPr>
          <w:p>
            <w:pPr>
              <w:pStyle w:val="TableParagraph"/>
              <w:spacing w:before="112"/>
              <w:ind w:left="92"/>
              <w:rPr>
                <w:sz w:val="20"/>
              </w:rPr>
            </w:pPr>
            <w:r>
              <w:rPr>
                <w:sz w:val="20"/>
              </w:rPr>
              <w:t>Friday,</w:t>
            </w:r>
            <w:r>
              <w:rPr>
                <w:spacing w:val="-9"/>
                <w:sz w:val="20"/>
              </w:rPr>
              <w:t> </w:t>
            </w:r>
            <w:r>
              <w:rPr>
                <w:sz w:val="20"/>
              </w:rPr>
              <w:t>November</w:t>
            </w:r>
            <w:r>
              <w:rPr>
                <w:spacing w:val="-7"/>
                <w:sz w:val="20"/>
              </w:rPr>
              <w:t> </w:t>
            </w:r>
            <w:r>
              <w:rPr>
                <w:sz w:val="20"/>
              </w:rPr>
              <w:t>01,</w:t>
            </w:r>
            <w:r>
              <w:rPr>
                <w:spacing w:val="-7"/>
                <w:sz w:val="20"/>
              </w:rPr>
              <w:t> </w:t>
            </w:r>
            <w:r>
              <w:rPr>
                <w:spacing w:val="-4"/>
                <w:sz w:val="20"/>
              </w:rPr>
              <w:t>2013</w:t>
            </w:r>
          </w:p>
        </w:tc>
        <w:tc>
          <w:tcPr>
            <w:tcW w:w="3240" w:type="dxa"/>
            <w:tcBorders>
              <w:top w:val="single" w:sz="4" w:space="0" w:color="000000"/>
              <w:left w:val="single" w:sz="4" w:space="0" w:color="000000"/>
              <w:bottom w:val="single" w:sz="4" w:space="0" w:color="000000"/>
              <w:right w:val="single" w:sz="4" w:space="0" w:color="000000"/>
            </w:tcBorders>
          </w:tcPr>
          <w:p>
            <w:pPr>
              <w:pStyle w:val="TableParagraph"/>
              <w:spacing w:before="112"/>
              <w:ind w:left="107"/>
              <w:rPr>
                <w:sz w:val="20"/>
              </w:rPr>
            </w:pPr>
            <w:r>
              <w:rPr>
                <w:sz w:val="20"/>
              </w:rPr>
              <w:t>Ben</w:t>
            </w:r>
            <w:r>
              <w:rPr>
                <w:spacing w:val="-4"/>
                <w:sz w:val="20"/>
              </w:rPr>
              <w:t> </w:t>
            </w:r>
            <w:r>
              <w:rPr>
                <w:sz w:val="20"/>
              </w:rPr>
              <w:t>Cukar,</w:t>
            </w:r>
            <w:r>
              <w:rPr>
                <w:spacing w:val="-6"/>
                <w:sz w:val="20"/>
              </w:rPr>
              <w:t> </w:t>
            </w:r>
            <w:r>
              <w:rPr>
                <w:spacing w:val="-2"/>
                <w:sz w:val="20"/>
              </w:rPr>
              <w:t>Ph.D.</w:t>
            </w:r>
          </w:p>
        </w:tc>
        <w:tc>
          <w:tcPr>
            <w:tcW w:w="3240" w:type="dxa"/>
            <w:tcBorders>
              <w:top w:val="single" w:sz="4" w:space="0" w:color="000000"/>
              <w:left w:val="single" w:sz="4" w:space="0" w:color="000000"/>
              <w:bottom w:val="single" w:sz="4" w:space="0" w:color="000000"/>
            </w:tcBorders>
          </w:tcPr>
          <w:p>
            <w:pPr>
              <w:pStyle w:val="TableParagraph"/>
              <w:spacing w:line="230" w:lineRule="exact"/>
              <w:ind w:left="90"/>
              <w:rPr>
                <w:sz w:val="20"/>
              </w:rPr>
            </w:pPr>
            <w:r>
              <w:rPr>
                <w:sz w:val="20"/>
              </w:rPr>
              <w:t>HU</w:t>
            </w:r>
            <w:r>
              <w:rPr>
                <w:spacing w:val="-8"/>
                <w:sz w:val="20"/>
              </w:rPr>
              <w:t> </w:t>
            </w:r>
            <w:r>
              <w:rPr>
                <w:sz w:val="20"/>
              </w:rPr>
              <w:t>Department</w:t>
            </w:r>
            <w:r>
              <w:rPr>
                <w:spacing w:val="-8"/>
                <w:sz w:val="20"/>
              </w:rPr>
              <w:t> </w:t>
            </w:r>
            <w:r>
              <w:rPr>
                <w:sz w:val="20"/>
              </w:rPr>
              <w:t>of</w:t>
            </w:r>
            <w:r>
              <w:rPr>
                <w:spacing w:val="-6"/>
                <w:sz w:val="20"/>
              </w:rPr>
              <w:t> </w:t>
            </w:r>
            <w:r>
              <w:rPr>
                <w:sz w:val="20"/>
              </w:rPr>
              <w:t>Environmental </w:t>
            </w:r>
            <w:r>
              <w:rPr>
                <w:spacing w:val="-2"/>
                <w:sz w:val="20"/>
              </w:rPr>
              <w:t>Science</w:t>
            </w:r>
          </w:p>
        </w:tc>
      </w:tr>
      <w:tr>
        <w:trPr>
          <w:trHeight w:val="287" w:hRule="atLeast"/>
        </w:trPr>
        <w:tc>
          <w:tcPr>
            <w:tcW w:w="2995" w:type="dxa"/>
            <w:tcBorders>
              <w:top w:val="single" w:sz="4" w:space="0" w:color="000000"/>
              <w:bottom w:val="single" w:sz="4" w:space="0" w:color="000000"/>
              <w:right w:val="single" w:sz="4" w:space="0" w:color="000000"/>
            </w:tcBorders>
          </w:tcPr>
          <w:p>
            <w:pPr>
              <w:pStyle w:val="TableParagraph"/>
              <w:spacing w:before="26"/>
              <w:ind w:left="92"/>
              <w:rPr>
                <w:sz w:val="20"/>
              </w:rPr>
            </w:pPr>
            <w:r>
              <w:rPr>
                <w:sz w:val="20"/>
              </w:rPr>
              <w:t>Friday,</w:t>
            </w:r>
            <w:r>
              <w:rPr>
                <w:spacing w:val="-9"/>
                <w:sz w:val="20"/>
              </w:rPr>
              <w:t> </w:t>
            </w:r>
            <w:r>
              <w:rPr>
                <w:sz w:val="20"/>
              </w:rPr>
              <w:t>November</w:t>
            </w:r>
            <w:r>
              <w:rPr>
                <w:spacing w:val="-7"/>
                <w:sz w:val="20"/>
              </w:rPr>
              <w:t> </w:t>
            </w:r>
            <w:r>
              <w:rPr>
                <w:sz w:val="20"/>
              </w:rPr>
              <w:t>08,</w:t>
            </w:r>
            <w:r>
              <w:rPr>
                <w:spacing w:val="-7"/>
                <w:sz w:val="20"/>
              </w:rPr>
              <w:t> </w:t>
            </w:r>
            <w:r>
              <w:rPr>
                <w:spacing w:val="-4"/>
                <w:sz w:val="20"/>
              </w:rPr>
              <w:t>2013</w:t>
            </w:r>
          </w:p>
        </w:tc>
        <w:tc>
          <w:tcPr>
            <w:tcW w:w="3240" w:type="dxa"/>
            <w:tcBorders>
              <w:top w:val="single" w:sz="4" w:space="0" w:color="000000"/>
              <w:left w:val="single" w:sz="4" w:space="0" w:color="000000"/>
              <w:bottom w:val="single" w:sz="4" w:space="0" w:color="000000"/>
              <w:right w:val="single" w:sz="4" w:space="0" w:color="000000"/>
            </w:tcBorders>
          </w:tcPr>
          <w:p>
            <w:pPr>
              <w:pStyle w:val="TableParagraph"/>
              <w:spacing w:before="26"/>
              <w:ind w:left="108"/>
              <w:rPr>
                <w:sz w:val="20"/>
              </w:rPr>
            </w:pPr>
            <w:r>
              <w:rPr>
                <w:sz w:val="20"/>
              </w:rPr>
              <w:t>Fifth</w:t>
            </w:r>
            <w:r>
              <w:rPr>
                <w:spacing w:val="-4"/>
                <w:sz w:val="20"/>
              </w:rPr>
              <w:t> Year</w:t>
            </w:r>
          </w:p>
        </w:tc>
        <w:tc>
          <w:tcPr>
            <w:tcW w:w="3240" w:type="dxa"/>
            <w:tcBorders>
              <w:top w:val="single" w:sz="4" w:space="0" w:color="000000"/>
              <w:left w:val="single" w:sz="4" w:space="0" w:color="000000"/>
              <w:bottom w:val="single" w:sz="4" w:space="0" w:color="000000"/>
            </w:tcBorders>
          </w:tcPr>
          <w:p>
            <w:pPr>
              <w:pStyle w:val="TableParagraph"/>
              <w:spacing w:before="26"/>
              <w:ind w:left="90"/>
              <w:rPr>
                <w:sz w:val="20"/>
              </w:rPr>
            </w:pPr>
            <w:r>
              <w:rPr>
                <w:spacing w:val="-2"/>
                <w:sz w:val="20"/>
              </w:rPr>
              <w:t>27x60</w:t>
            </w:r>
          </w:p>
        </w:tc>
      </w:tr>
      <w:tr>
        <w:trPr>
          <w:trHeight w:val="287" w:hRule="atLeast"/>
        </w:trPr>
        <w:tc>
          <w:tcPr>
            <w:tcW w:w="2995" w:type="dxa"/>
            <w:tcBorders>
              <w:top w:val="single" w:sz="4" w:space="0" w:color="000000"/>
              <w:bottom w:val="single" w:sz="4" w:space="0" w:color="000000"/>
              <w:right w:val="single" w:sz="4" w:space="0" w:color="000000"/>
            </w:tcBorders>
          </w:tcPr>
          <w:p>
            <w:pPr>
              <w:pStyle w:val="TableParagraph"/>
              <w:spacing w:before="26"/>
              <w:ind w:left="92"/>
              <w:rPr>
                <w:sz w:val="20"/>
              </w:rPr>
            </w:pPr>
            <w:r>
              <w:rPr>
                <w:sz w:val="20"/>
              </w:rPr>
              <w:t>Friday,</w:t>
            </w:r>
            <w:r>
              <w:rPr>
                <w:spacing w:val="-9"/>
                <w:sz w:val="20"/>
              </w:rPr>
              <w:t> </w:t>
            </w:r>
            <w:r>
              <w:rPr>
                <w:sz w:val="20"/>
              </w:rPr>
              <w:t>November</w:t>
            </w:r>
            <w:r>
              <w:rPr>
                <w:spacing w:val="-7"/>
                <w:sz w:val="20"/>
              </w:rPr>
              <w:t> </w:t>
            </w:r>
            <w:r>
              <w:rPr>
                <w:sz w:val="20"/>
              </w:rPr>
              <w:t>15,</w:t>
            </w:r>
            <w:r>
              <w:rPr>
                <w:spacing w:val="-7"/>
                <w:sz w:val="20"/>
              </w:rPr>
              <w:t> </w:t>
            </w:r>
            <w:r>
              <w:rPr>
                <w:spacing w:val="-4"/>
                <w:sz w:val="20"/>
              </w:rPr>
              <w:t>2013</w:t>
            </w:r>
          </w:p>
        </w:tc>
        <w:tc>
          <w:tcPr>
            <w:tcW w:w="3240" w:type="dxa"/>
            <w:tcBorders>
              <w:top w:val="single" w:sz="4" w:space="0" w:color="000000"/>
              <w:left w:val="single" w:sz="4" w:space="0" w:color="000000"/>
              <w:bottom w:val="single" w:sz="4" w:space="0" w:color="000000"/>
              <w:right w:val="single" w:sz="4" w:space="0" w:color="000000"/>
            </w:tcBorders>
          </w:tcPr>
          <w:p>
            <w:pPr>
              <w:pStyle w:val="TableParagraph"/>
              <w:spacing w:before="26"/>
              <w:ind w:left="108"/>
              <w:rPr>
                <w:sz w:val="20"/>
              </w:rPr>
            </w:pPr>
            <w:r>
              <w:rPr>
                <w:sz w:val="20"/>
              </w:rPr>
              <w:t>Solar</w:t>
            </w:r>
            <w:r>
              <w:rPr>
                <w:spacing w:val="-7"/>
                <w:sz w:val="20"/>
              </w:rPr>
              <w:t> </w:t>
            </w:r>
            <w:r>
              <w:rPr>
                <w:spacing w:val="-2"/>
                <w:sz w:val="20"/>
              </w:rPr>
              <w:t>Decathlon</w:t>
            </w:r>
          </w:p>
        </w:tc>
        <w:tc>
          <w:tcPr>
            <w:tcW w:w="3240" w:type="dxa"/>
            <w:tcBorders>
              <w:top w:val="single" w:sz="4" w:space="0" w:color="000000"/>
              <w:left w:val="single" w:sz="4" w:space="0" w:color="000000"/>
              <w:bottom w:val="single" w:sz="4" w:space="0" w:color="000000"/>
            </w:tcBorders>
          </w:tcPr>
          <w:p>
            <w:pPr>
              <w:pStyle w:val="TableParagraph"/>
              <w:spacing w:before="26"/>
              <w:ind w:left="90"/>
              <w:rPr>
                <w:sz w:val="20"/>
              </w:rPr>
            </w:pPr>
            <w:r>
              <w:rPr>
                <w:sz w:val="20"/>
              </w:rPr>
              <w:t>Site</w:t>
            </w:r>
            <w:r>
              <w:rPr>
                <w:spacing w:val="-6"/>
                <w:sz w:val="20"/>
              </w:rPr>
              <w:t> </w:t>
            </w:r>
            <w:r>
              <w:rPr>
                <w:spacing w:val="-2"/>
                <w:sz w:val="20"/>
              </w:rPr>
              <w:t>Visit</w:t>
            </w:r>
          </w:p>
        </w:tc>
      </w:tr>
      <w:tr>
        <w:trPr>
          <w:trHeight w:val="287" w:hRule="atLeast"/>
        </w:trPr>
        <w:tc>
          <w:tcPr>
            <w:tcW w:w="2995" w:type="dxa"/>
            <w:tcBorders>
              <w:top w:val="single" w:sz="4" w:space="0" w:color="000000"/>
              <w:bottom w:val="single" w:sz="4" w:space="0" w:color="000000"/>
              <w:right w:val="single" w:sz="4" w:space="0" w:color="000000"/>
            </w:tcBorders>
          </w:tcPr>
          <w:p>
            <w:pPr>
              <w:pStyle w:val="TableParagraph"/>
              <w:spacing w:before="26"/>
              <w:ind w:left="92"/>
              <w:rPr>
                <w:sz w:val="20"/>
              </w:rPr>
            </w:pPr>
            <w:r>
              <w:rPr>
                <w:sz w:val="20"/>
              </w:rPr>
              <w:t>Friday,</w:t>
            </w:r>
            <w:r>
              <w:rPr>
                <w:spacing w:val="-9"/>
                <w:sz w:val="20"/>
              </w:rPr>
              <w:t> </w:t>
            </w:r>
            <w:r>
              <w:rPr>
                <w:sz w:val="20"/>
              </w:rPr>
              <w:t>November</w:t>
            </w:r>
            <w:r>
              <w:rPr>
                <w:spacing w:val="-7"/>
                <w:sz w:val="20"/>
              </w:rPr>
              <w:t> </w:t>
            </w:r>
            <w:r>
              <w:rPr>
                <w:sz w:val="20"/>
              </w:rPr>
              <w:t>22,</w:t>
            </w:r>
            <w:r>
              <w:rPr>
                <w:spacing w:val="-7"/>
                <w:sz w:val="20"/>
              </w:rPr>
              <w:t> </w:t>
            </w:r>
            <w:r>
              <w:rPr>
                <w:spacing w:val="-4"/>
                <w:sz w:val="20"/>
              </w:rPr>
              <w:t>2013</w:t>
            </w:r>
          </w:p>
        </w:tc>
        <w:tc>
          <w:tcPr>
            <w:tcW w:w="3240" w:type="dxa"/>
            <w:tcBorders>
              <w:top w:val="single" w:sz="4" w:space="0" w:color="000000"/>
              <w:left w:val="single" w:sz="4" w:space="0" w:color="000000"/>
              <w:bottom w:val="single" w:sz="4" w:space="0" w:color="000000"/>
              <w:right w:val="single" w:sz="4" w:space="0" w:color="000000"/>
            </w:tcBorders>
          </w:tcPr>
          <w:p>
            <w:pPr>
              <w:pStyle w:val="TableParagraph"/>
              <w:spacing w:before="26"/>
              <w:ind w:left="108"/>
              <w:rPr>
                <w:sz w:val="20"/>
              </w:rPr>
            </w:pPr>
            <w:r>
              <w:rPr>
                <w:spacing w:val="-2"/>
                <w:sz w:val="20"/>
              </w:rPr>
              <w:t>AIAS/NOMAS</w:t>
            </w:r>
          </w:p>
        </w:tc>
        <w:tc>
          <w:tcPr>
            <w:tcW w:w="3240" w:type="dxa"/>
            <w:tcBorders>
              <w:top w:val="single" w:sz="4" w:space="0" w:color="000000"/>
              <w:left w:val="single" w:sz="4" w:space="0" w:color="000000"/>
              <w:bottom w:val="single" w:sz="4" w:space="0" w:color="000000"/>
            </w:tcBorders>
          </w:tcPr>
          <w:p>
            <w:pPr>
              <w:pStyle w:val="TableParagraph"/>
              <w:spacing w:before="26"/>
              <w:ind w:left="90"/>
              <w:rPr>
                <w:sz w:val="20"/>
              </w:rPr>
            </w:pPr>
            <w:r>
              <w:rPr>
                <w:sz w:val="20"/>
              </w:rPr>
              <w:t>The</w:t>
            </w:r>
            <w:r>
              <w:rPr>
                <w:spacing w:val="-6"/>
                <w:sz w:val="20"/>
              </w:rPr>
              <w:t> </w:t>
            </w:r>
            <w:r>
              <w:rPr>
                <w:sz w:val="20"/>
              </w:rPr>
              <w:t>2013</w:t>
            </w:r>
            <w:r>
              <w:rPr>
                <w:spacing w:val="-5"/>
                <w:sz w:val="20"/>
              </w:rPr>
              <w:t> </w:t>
            </w:r>
            <w:r>
              <w:rPr>
                <w:sz w:val="20"/>
              </w:rPr>
              <w:t>NOMA</w:t>
            </w:r>
            <w:r>
              <w:rPr>
                <w:spacing w:val="-3"/>
                <w:sz w:val="20"/>
              </w:rPr>
              <w:t> </w:t>
            </w:r>
            <w:r>
              <w:rPr>
                <w:spacing w:val="-2"/>
                <w:sz w:val="20"/>
              </w:rPr>
              <w:t>Conference</w:t>
            </w:r>
          </w:p>
        </w:tc>
      </w:tr>
      <w:tr>
        <w:trPr>
          <w:trHeight w:val="287" w:hRule="atLeast"/>
        </w:trPr>
        <w:tc>
          <w:tcPr>
            <w:tcW w:w="2995" w:type="dxa"/>
            <w:tcBorders>
              <w:top w:val="single" w:sz="4" w:space="0" w:color="000000"/>
              <w:bottom w:val="single" w:sz="4" w:space="0" w:color="000000"/>
              <w:right w:val="single" w:sz="4" w:space="0" w:color="000000"/>
            </w:tcBorders>
          </w:tcPr>
          <w:p>
            <w:pPr>
              <w:pStyle w:val="TableParagraph"/>
              <w:spacing w:before="26"/>
              <w:ind w:left="92"/>
              <w:rPr>
                <w:sz w:val="20"/>
              </w:rPr>
            </w:pPr>
            <w:r>
              <w:rPr>
                <w:sz w:val="20"/>
              </w:rPr>
              <w:t>Friday,</w:t>
            </w:r>
            <w:r>
              <w:rPr>
                <w:spacing w:val="-9"/>
                <w:sz w:val="20"/>
              </w:rPr>
              <w:t> </w:t>
            </w:r>
            <w:r>
              <w:rPr>
                <w:sz w:val="20"/>
              </w:rPr>
              <w:t>January</w:t>
            </w:r>
            <w:r>
              <w:rPr>
                <w:spacing w:val="-8"/>
                <w:sz w:val="20"/>
              </w:rPr>
              <w:t> </w:t>
            </w:r>
            <w:r>
              <w:rPr>
                <w:sz w:val="20"/>
              </w:rPr>
              <w:t>31,</w:t>
            </w:r>
            <w:r>
              <w:rPr>
                <w:spacing w:val="-5"/>
                <w:sz w:val="20"/>
              </w:rPr>
              <w:t> </w:t>
            </w:r>
            <w:r>
              <w:rPr>
                <w:spacing w:val="-4"/>
                <w:sz w:val="20"/>
              </w:rPr>
              <w:t>2014</w:t>
            </w:r>
          </w:p>
        </w:tc>
        <w:tc>
          <w:tcPr>
            <w:tcW w:w="3240" w:type="dxa"/>
            <w:tcBorders>
              <w:top w:val="single" w:sz="4" w:space="0" w:color="000000"/>
              <w:left w:val="single" w:sz="4" w:space="0" w:color="000000"/>
              <w:bottom w:val="single" w:sz="4" w:space="0" w:color="000000"/>
              <w:right w:val="single" w:sz="4" w:space="0" w:color="000000"/>
            </w:tcBorders>
          </w:tcPr>
          <w:p>
            <w:pPr>
              <w:pStyle w:val="TableParagraph"/>
              <w:spacing w:before="26"/>
              <w:ind w:left="108"/>
              <w:rPr>
                <w:sz w:val="20"/>
              </w:rPr>
            </w:pPr>
            <w:r>
              <w:rPr>
                <w:sz w:val="20"/>
              </w:rPr>
              <w:t>Sec</w:t>
            </w:r>
            <w:r>
              <w:rPr>
                <w:spacing w:val="-6"/>
                <w:sz w:val="20"/>
              </w:rPr>
              <w:t> </w:t>
            </w:r>
            <w:r>
              <w:rPr>
                <w:spacing w:val="-2"/>
                <w:sz w:val="20"/>
              </w:rPr>
              <w:t>Moniz</w:t>
            </w:r>
          </w:p>
        </w:tc>
        <w:tc>
          <w:tcPr>
            <w:tcW w:w="3240" w:type="dxa"/>
            <w:tcBorders>
              <w:top w:val="single" w:sz="4" w:space="0" w:color="000000"/>
              <w:left w:val="single" w:sz="4" w:space="0" w:color="000000"/>
              <w:bottom w:val="single" w:sz="4" w:space="0" w:color="000000"/>
            </w:tcBorders>
          </w:tcPr>
          <w:p>
            <w:pPr>
              <w:pStyle w:val="TableParagraph"/>
              <w:spacing w:before="26"/>
              <w:ind w:left="90"/>
              <w:rPr>
                <w:sz w:val="20"/>
              </w:rPr>
            </w:pPr>
            <w:r>
              <w:rPr>
                <w:sz w:val="20"/>
              </w:rPr>
              <w:t>Secretary</w:t>
            </w:r>
            <w:r>
              <w:rPr>
                <w:spacing w:val="-10"/>
                <w:sz w:val="20"/>
              </w:rPr>
              <w:t> </w:t>
            </w:r>
            <w:r>
              <w:rPr>
                <w:sz w:val="20"/>
              </w:rPr>
              <w:t>of</w:t>
            </w:r>
            <w:r>
              <w:rPr>
                <w:spacing w:val="-6"/>
                <w:sz w:val="20"/>
              </w:rPr>
              <w:t> </w:t>
            </w:r>
            <w:r>
              <w:rPr>
                <w:sz w:val="20"/>
              </w:rPr>
              <w:t>US</w:t>
            </w:r>
            <w:r>
              <w:rPr>
                <w:spacing w:val="-5"/>
                <w:sz w:val="20"/>
              </w:rPr>
              <w:t> </w:t>
            </w:r>
            <w:r>
              <w:rPr>
                <w:sz w:val="20"/>
              </w:rPr>
              <w:t>Department</w:t>
            </w:r>
            <w:r>
              <w:rPr>
                <w:spacing w:val="-7"/>
                <w:sz w:val="20"/>
              </w:rPr>
              <w:t> </w:t>
            </w:r>
            <w:r>
              <w:rPr>
                <w:spacing w:val="-5"/>
                <w:sz w:val="20"/>
              </w:rPr>
              <w:t>of</w:t>
            </w:r>
          </w:p>
        </w:tc>
      </w:tr>
    </w:tbl>
    <w:p>
      <w:pPr>
        <w:spacing w:after="0"/>
        <w:rPr>
          <w:sz w:val="20"/>
        </w:rPr>
        <w:sectPr>
          <w:pgSz w:w="12240" w:h="15840"/>
          <w:pgMar w:header="0" w:footer="974" w:top="1360" w:bottom="1350" w:left="940" w:right="960"/>
        </w:sectPr>
      </w:pPr>
    </w:p>
    <w:tbl>
      <w:tblPr>
        <w:tblW w:w="0" w:type="auto"/>
        <w:jc w:val="left"/>
        <w:tblInd w:w="498"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top w:w="0" w:type="dxa"/>
          <w:left w:w="0" w:type="dxa"/>
          <w:bottom w:w="0" w:type="dxa"/>
          <w:right w:w="0" w:type="dxa"/>
        </w:tblCellMar>
        <w:tblLook w:val="01E0"/>
      </w:tblPr>
      <w:tblGrid>
        <w:gridCol w:w="2995"/>
        <w:gridCol w:w="3240"/>
        <w:gridCol w:w="3240"/>
      </w:tblGrid>
      <w:tr>
        <w:trPr>
          <w:trHeight w:val="287" w:hRule="atLeast"/>
        </w:trPr>
        <w:tc>
          <w:tcPr>
            <w:tcW w:w="2995" w:type="dxa"/>
            <w:tcBorders>
              <w:top w:val="nil"/>
              <w:bottom w:val="single" w:sz="4" w:space="0" w:color="000000"/>
              <w:right w:val="single" w:sz="4" w:space="0" w:color="000000"/>
            </w:tcBorders>
          </w:tcPr>
          <w:p>
            <w:pPr>
              <w:pStyle w:val="TableParagraph"/>
              <w:rPr>
                <w:rFonts w:ascii="Times New Roman"/>
                <w:sz w:val="18"/>
              </w:rPr>
            </w:pPr>
          </w:p>
        </w:tc>
        <w:tc>
          <w:tcPr>
            <w:tcW w:w="3240" w:type="dxa"/>
            <w:tcBorders>
              <w:top w:val="nil"/>
              <w:left w:val="single" w:sz="4" w:space="0" w:color="000000"/>
              <w:bottom w:val="single" w:sz="4" w:space="0" w:color="000000"/>
              <w:right w:val="single" w:sz="4" w:space="0" w:color="000000"/>
            </w:tcBorders>
          </w:tcPr>
          <w:p>
            <w:pPr>
              <w:pStyle w:val="TableParagraph"/>
              <w:rPr>
                <w:rFonts w:ascii="Times New Roman"/>
                <w:sz w:val="18"/>
              </w:rPr>
            </w:pPr>
          </w:p>
        </w:tc>
        <w:tc>
          <w:tcPr>
            <w:tcW w:w="3240" w:type="dxa"/>
            <w:tcBorders>
              <w:top w:val="nil"/>
              <w:left w:val="single" w:sz="4" w:space="0" w:color="000000"/>
              <w:bottom w:val="single" w:sz="4" w:space="0" w:color="000000"/>
            </w:tcBorders>
          </w:tcPr>
          <w:p>
            <w:pPr>
              <w:pStyle w:val="TableParagraph"/>
              <w:spacing w:line="227" w:lineRule="exact"/>
              <w:ind w:left="90"/>
              <w:rPr>
                <w:sz w:val="20"/>
              </w:rPr>
            </w:pPr>
            <w:r>
              <w:rPr>
                <w:spacing w:val="-2"/>
                <w:sz w:val="20"/>
              </w:rPr>
              <w:t>Energy</w:t>
            </w:r>
          </w:p>
        </w:tc>
      </w:tr>
      <w:tr>
        <w:trPr>
          <w:trHeight w:val="287" w:hRule="atLeast"/>
        </w:trPr>
        <w:tc>
          <w:tcPr>
            <w:tcW w:w="2995" w:type="dxa"/>
            <w:tcBorders>
              <w:top w:val="single" w:sz="4" w:space="0" w:color="000000"/>
              <w:bottom w:val="single" w:sz="4" w:space="0" w:color="000000"/>
              <w:right w:val="single" w:sz="4" w:space="0" w:color="000000"/>
            </w:tcBorders>
          </w:tcPr>
          <w:p>
            <w:pPr>
              <w:pStyle w:val="TableParagraph"/>
              <w:spacing w:before="26"/>
              <w:ind w:left="92"/>
              <w:rPr>
                <w:sz w:val="20"/>
              </w:rPr>
            </w:pPr>
            <w:r>
              <w:rPr>
                <w:sz w:val="20"/>
              </w:rPr>
              <w:t>Friday,</w:t>
            </w:r>
            <w:r>
              <w:rPr>
                <w:spacing w:val="-8"/>
                <w:sz w:val="20"/>
              </w:rPr>
              <w:t> </w:t>
            </w:r>
            <w:r>
              <w:rPr>
                <w:sz w:val="20"/>
              </w:rPr>
              <w:t>February</w:t>
            </w:r>
            <w:r>
              <w:rPr>
                <w:spacing w:val="-9"/>
                <w:sz w:val="20"/>
              </w:rPr>
              <w:t> </w:t>
            </w:r>
            <w:r>
              <w:rPr>
                <w:sz w:val="20"/>
              </w:rPr>
              <w:t>21,</w:t>
            </w:r>
            <w:r>
              <w:rPr>
                <w:spacing w:val="-5"/>
                <w:sz w:val="20"/>
              </w:rPr>
              <w:t> </w:t>
            </w:r>
            <w:r>
              <w:rPr>
                <w:spacing w:val="-4"/>
                <w:sz w:val="20"/>
              </w:rPr>
              <w:t>2014</w:t>
            </w:r>
          </w:p>
        </w:tc>
        <w:tc>
          <w:tcPr>
            <w:tcW w:w="3240" w:type="dxa"/>
            <w:tcBorders>
              <w:top w:val="single" w:sz="4" w:space="0" w:color="000000"/>
              <w:left w:val="single" w:sz="4" w:space="0" w:color="000000"/>
              <w:bottom w:val="single" w:sz="4" w:space="0" w:color="000000"/>
              <w:right w:val="single" w:sz="4" w:space="0" w:color="000000"/>
            </w:tcBorders>
          </w:tcPr>
          <w:p>
            <w:pPr>
              <w:pStyle w:val="TableParagraph"/>
              <w:spacing w:before="26"/>
              <w:ind w:left="107"/>
              <w:rPr>
                <w:sz w:val="20"/>
              </w:rPr>
            </w:pPr>
            <w:r>
              <w:rPr>
                <w:sz w:val="20"/>
              </w:rPr>
              <w:t>Gary</w:t>
            </w:r>
            <w:r>
              <w:rPr>
                <w:spacing w:val="-6"/>
                <w:sz w:val="20"/>
              </w:rPr>
              <w:t> </w:t>
            </w:r>
            <w:r>
              <w:rPr>
                <w:spacing w:val="-2"/>
                <w:sz w:val="20"/>
              </w:rPr>
              <w:t>Nelson</w:t>
            </w:r>
          </w:p>
        </w:tc>
        <w:tc>
          <w:tcPr>
            <w:tcW w:w="3240" w:type="dxa"/>
            <w:tcBorders>
              <w:top w:val="single" w:sz="4" w:space="0" w:color="000000"/>
              <w:left w:val="single" w:sz="4" w:space="0" w:color="000000"/>
              <w:bottom w:val="single" w:sz="4" w:space="0" w:color="000000"/>
            </w:tcBorders>
          </w:tcPr>
          <w:p>
            <w:pPr>
              <w:pStyle w:val="TableParagraph"/>
              <w:spacing w:before="26"/>
              <w:ind w:left="90"/>
              <w:rPr>
                <w:sz w:val="20"/>
              </w:rPr>
            </w:pPr>
            <w:r>
              <w:rPr>
                <w:sz w:val="20"/>
              </w:rPr>
              <w:t>360</w:t>
            </w:r>
            <w:r>
              <w:rPr>
                <w:spacing w:val="-5"/>
                <w:sz w:val="20"/>
              </w:rPr>
              <w:t> </w:t>
            </w:r>
            <w:r>
              <w:rPr>
                <w:spacing w:val="-2"/>
                <w:sz w:val="20"/>
              </w:rPr>
              <w:t>Architecture</w:t>
            </w:r>
          </w:p>
        </w:tc>
      </w:tr>
      <w:tr>
        <w:trPr>
          <w:trHeight w:val="287" w:hRule="atLeast"/>
        </w:trPr>
        <w:tc>
          <w:tcPr>
            <w:tcW w:w="2995" w:type="dxa"/>
            <w:tcBorders>
              <w:top w:val="single" w:sz="4" w:space="0" w:color="000000"/>
              <w:bottom w:val="single" w:sz="4" w:space="0" w:color="000000"/>
              <w:right w:val="single" w:sz="4" w:space="0" w:color="000000"/>
            </w:tcBorders>
          </w:tcPr>
          <w:p>
            <w:pPr>
              <w:pStyle w:val="TableParagraph"/>
              <w:spacing w:before="26"/>
              <w:ind w:left="92"/>
              <w:rPr>
                <w:sz w:val="20"/>
              </w:rPr>
            </w:pPr>
            <w:r>
              <w:rPr>
                <w:sz w:val="20"/>
              </w:rPr>
              <w:t>Friday,</w:t>
            </w:r>
            <w:r>
              <w:rPr>
                <w:spacing w:val="-8"/>
                <w:sz w:val="20"/>
              </w:rPr>
              <w:t> </w:t>
            </w:r>
            <w:r>
              <w:rPr>
                <w:sz w:val="20"/>
              </w:rPr>
              <w:t>February</w:t>
            </w:r>
            <w:r>
              <w:rPr>
                <w:spacing w:val="-9"/>
                <w:sz w:val="20"/>
              </w:rPr>
              <w:t> </w:t>
            </w:r>
            <w:r>
              <w:rPr>
                <w:sz w:val="20"/>
              </w:rPr>
              <w:t>28,</w:t>
            </w:r>
            <w:r>
              <w:rPr>
                <w:spacing w:val="-5"/>
                <w:sz w:val="20"/>
              </w:rPr>
              <w:t> </w:t>
            </w:r>
            <w:r>
              <w:rPr>
                <w:spacing w:val="-4"/>
                <w:sz w:val="20"/>
              </w:rPr>
              <w:t>2014</w:t>
            </w:r>
          </w:p>
        </w:tc>
        <w:tc>
          <w:tcPr>
            <w:tcW w:w="3240" w:type="dxa"/>
            <w:tcBorders>
              <w:top w:val="single" w:sz="4" w:space="0" w:color="000000"/>
              <w:left w:val="single" w:sz="4" w:space="0" w:color="000000"/>
              <w:bottom w:val="single" w:sz="4" w:space="0" w:color="000000"/>
              <w:right w:val="single" w:sz="4" w:space="0" w:color="000000"/>
            </w:tcBorders>
          </w:tcPr>
          <w:p>
            <w:pPr>
              <w:pStyle w:val="TableParagraph"/>
              <w:spacing w:before="26"/>
              <w:ind w:left="107"/>
              <w:rPr>
                <w:sz w:val="20"/>
              </w:rPr>
            </w:pPr>
            <w:r>
              <w:rPr>
                <w:sz w:val="20"/>
              </w:rPr>
              <w:t>Mark</w:t>
            </w:r>
            <w:r>
              <w:rPr>
                <w:spacing w:val="-4"/>
                <w:sz w:val="20"/>
              </w:rPr>
              <w:t> </w:t>
            </w:r>
            <w:r>
              <w:rPr>
                <w:spacing w:val="-2"/>
                <w:sz w:val="20"/>
              </w:rPr>
              <w:t>Mattel</w:t>
            </w:r>
          </w:p>
        </w:tc>
        <w:tc>
          <w:tcPr>
            <w:tcW w:w="3240" w:type="dxa"/>
            <w:tcBorders>
              <w:top w:val="single" w:sz="4" w:space="0" w:color="000000"/>
              <w:left w:val="single" w:sz="4" w:space="0" w:color="000000"/>
              <w:bottom w:val="single" w:sz="4" w:space="0" w:color="000000"/>
            </w:tcBorders>
          </w:tcPr>
          <w:p>
            <w:pPr>
              <w:pStyle w:val="TableParagraph"/>
              <w:spacing w:before="26"/>
              <w:ind w:left="90"/>
              <w:rPr>
                <w:sz w:val="20"/>
              </w:rPr>
            </w:pPr>
            <w:r>
              <w:rPr>
                <w:sz w:val="20"/>
              </w:rPr>
              <w:t>Rose</w:t>
            </w:r>
            <w:r>
              <w:rPr>
                <w:spacing w:val="-10"/>
                <w:sz w:val="20"/>
              </w:rPr>
              <w:t> </w:t>
            </w:r>
            <w:r>
              <w:rPr>
                <w:sz w:val="20"/>
              </w:rPr>
              <w:t>Fellowship</w:t>
            </w:r>
            <w:r>
              <w:rPr>
                <w:spacing w:val="-8"/>
                <w:sz w:val="20"/>
              </w:rPr>
              <w:t> </w:t>
            </w:r>
            <w:r>
              <w:rPr>
                <w:spacing w:val="-2"/>
                <w:sz w:val="20"/>
              </w:rPr>
              <w:t>Opportunities</w:t>
            </w:r>
          </w:p>
        </w:tc>
      </w:tr>
      <w:tr>
        <w:trPr>
          <w:trHeight w:val="289" w:hRule="atLeast"/>
        </w:trPr>
        <w:tc>
          <w:tcPr>
            <w:tcW w:w="2995" w:type="dxa"/>
            <w:tcBorders>
              <w:top w:val="single" w:sz="4" w:space="0" w:color="000000"/>
              <w:bottom w:val="single" w:sz="4" w:space="0" w:color="000000"/>
              <w:right w:val="single" w:sz="4" w:space="0" w:color="000000"/>
            </w:tcBorders>
          </w:tcPr>
          <w:p>
            <w:pPr>
              <w:pStyle w:val="TableParagraph"/>
              <w:spacing w:before="28"/>
              <w:ind w:left="92"/>
              <w:rPr>
                <w:sz w:val="20"/>
              </w:rPr>
            </w:pPr>
            <w:r>
              <w:rPr>
                <w:sz w:val="20"/>
              </w:rPr>
              <w:t>Friday,</w:t>
            </w:r>
            <w:r>
              <w:rPr>
                <w:spacing w:val="-7"/>
                <w:sz w:val="20"/>
              </w:rPr>
              <w:t> </w:t>
            </w:r>
            <w:r>
              <w:rPr>
                <w:sz w:val="20"/>
              </w:rPr>
              <w:t>March</w:t>
            </w:r>
            <w:r>
              <w:rPr>
                <w:spacing w:val="-7"/>
                <w:sz w:val="20"/>
              </w:rPr>
              <w:t> </w:t>
            </w:r>
            <w:r>
              <w:rPr>
                <w:sz w:val="20"/>
              </w:rPr>
              <w:t>21,</w:t>
            </w:r>
            <w:r>
              <w:rPr>
                <w:spacing w:val="-5"/>
                <w:sz w:val="20"/>
              </w:rPr>
              <w:t> </w:t>
            </w:r>
            <w:r>
              <w:rPr>
                <w:spacing w:val="-4"/>
                <w:sz w:val="20"/>
              </w:rPr>
              <w:t>2014</w:t>
            </w:r>
          </w:p>
        </w:tc>
        <w:tc>
          <w:tcPr>
            <w:tcW w:w="3240" w:type="dxa"/>
            <w:tcBorders>
              <w:top w:val="single" w:sz="4" w:space="0" w:color="000000"/>
              <w:left w:val="single" w:sz="4" w:space="0" w:color="000000"/>
              <w:bottom w:val="single" w:sz="4" w:space="0" w:color="000000"/>
              <w:right w:val="single" w:sz="4" w:space="0" w:color="000000"/>
            </w:tcBorders>
          </w:tcPr>
          <w:p>
            <w:pPr>
              <w:pStyle w:val="TableParagraph"/>
              <w:spacing w:before="28"/>
              <w:ind w:left="107"/>
              <w:rPr>
                <w:sz w:val="20"/>
              </w:rPr>
            </w:pPr>
            <w:r>
              <w:rPr>
                <w:sz w:val="20"/>
              </w:rPr>
              <w:t>James</w:t>
            </w:r>
            <w:r>
              <w:rPr>
                <w:spacing w:val="-5"/>
                <w:sz w:val="20"/>
              </w:rPr>
              <w:t> </w:t>
            </w:r>
            <w:r>
              <w:rPr>
                <w:spacing w:val="-2"/>
                <w:sz w:val="20"/>
              </w:rPr>
              <w:t>Harrison</w:t>
            </w:r>
          </w:p>
        </w:tc>
        <w:tc>
          <w:tcPr>
            <w:tcW w:w="3240" w:type="dxa"/>
            <w:tcBorders>
              <w:top w:val="single" w:sz="4" w:space="0" w:color="000000"/>
              <w:left w:val="single" w:sz="4" w:space="0" w:color="000000"/>
              <w:bottom w:val="single" w:sz="4" w:space="0" w:color="000000"/>
            </w:tcBorders>
          </w:tcPr>
          <w:p>
            <w:pPr>
              <w:pStyle w:val="TableParagraph"/>
              <w:spacing w:before="28"/>
              <w:ind w:left="90"/>
              <w:rPr>
                <w:sz w:val="20"/>
              </w:rPr>
            </w:pPr>
            <w:r>
              <w:rPr>
                <w:sz w:val="20"/>
              </w:rPr>
              <w:t>Harrison</w:t>
            </w:r>
            <w:r>
              <w:rPr>
                <w:spacing w:val="-11"/>
                <w:sz w:val="20"/>
              </w:rPr>
              <w:t> </w:t>
            </w:r>
            <w:r>
              <w:rPr>
                <w:sz w:val="20"/>
              </w:rPr>
              <w:t>Kornberg,</w:t>
            </w:r>
            <w:r>
              <w:rPr>
                <w:spacing w:val="-12"/>
                <w:sz w:val="20"/>
              </w:rPr>
              <w:t> </w:t>
            </w:r>
            <w:r>
              <w:rPr>
                <w:spacing w:val="-2"/>
                <w:sz w:val="20"/>
              </w:rPr>
              <w:t>Houston</w:t>
            </w:r>
          </w:p>
        </w:tc>
      </w:tr>
    </w:tbl>
    <w:p>
      <w:pPr>
        <w:pStyle w:val="BodyText"/>
        <w:spacing w:before="6"/>
        <w:rPr>
          <w:sz w:val="14"/>
        </w:rPr>
      </w:pPr>
    </w:p>
    <w:p>
      <w:pPr>
        <w:pStyle w:val="BodyText"/>
        <w:spacing w:before="93"/>
        <w:ind w:left="1220"/>
      </w:pPr>
      <w:r>
        <w:rPr/>
        <w:t>In</w:t>
      </w:r>
      <w:r>
        <w:rPr>
          <w:spacing w:val="-4"/>
        </w:rPr>
        <w:t> </w:t>
      </w:r>
      <w:r>
        <w:rPr/>
        <w:t>addition</w:t>
      </w:r>
      <w:r>
        <w:rPr>
          <w:spacing w:val="-4"/>
        </w:rPr>
        <w:t> </w:t>
      </w:r>
      <w:r>
        <w:rPr/>
        <w:t>to</w:t>
      </w:r>
      <w:r>
        <w:rPr>
          <w:spacing w:val="-2"/>
        </w:rPr>
        <w:t> </w:t>
      </w:r>
      <w:r>
        <w:rPr/>
        <w:t>these,</w:t>
      </w:r>
      <w:r>
        <w:rPr>
          <w:spacing w:val="-2"/>
        </w:rPr>
        <w:t> </w:t>
      </w:r>
      <w:r>
        <w:rPr/>
        <w:t>the</w:t>
      </w:r>
      <w:r>
        <w:rPr>
          <w:spacing w:val="-2"/>
        </w:rPr>
        <w:t> </w:t>
      </w:r>
      <w:r>
        <w:rPr/>
        <w:t>local</w:t>
      </w:r>
      <w:r>
        <w:rPr>
          <w:spacing w:val="-5"/>
        </w:rPr>
        <w:t> </w:t>
      </w:r>
      <w:r>
        <w:rPr/>
        <w:t>Hampton</w:t>
      </w:r>
      <w:r>
        <w:rPr>
          <w:spacing w:val="-4"/>
        </w:rPr>
        <w:t> </w:t>
      </w:r>
      <w:r>
        <w:rPr/>
        <w:t>Roads</w:t>
      </w:r>
      <w:r>
        <w:rPr>
          <w:spacing w:val="-3"/>
        </w:rPr>
        <w:t> </w:t>
      </w:r>
      <w:r>
        <w:rPr/>
        <w:t>Chapter</w:t>
      </w:r>
      <w:r>
        <w:rPr>
          <w:spacing w:val="-1"/>
        </w:rPr>
        <w:t> </w:t>
      </w:r>
      <w:r>
        <w:rPr/>
        <w:t>of</w:t>
      </w:r>
      <w:r>
        <w:rPr>
          <w:spacing w:val="-2"/>
        </w:rPr>
        <w:t> </w:t>
      </w:r>
      <w:r>
        <w:rPr/>
        <w:t>the</w:t>
      </w:r>
      <w:r>
        <w:rPr>
          <w:spacing w:val="-4"/>
        </w:rPr>
        <w:t> </w:t>
      </w:r>
      <w:r>
        <w:rPr/>
        <w:t>AIA</w:t>
      </w:r>
      <w:r>
        <w:rPr>
          <w:spacing w:val="-2"/>
        </w:rPr>
        <w:t> </w:t>
      </w:r>
      <w:r>
        <w:rPr/>
        <w:t>has</w:t>
      </w:r>
      <w:r>
        <w:rPr>
          <w:spacing w:val="-3"/>
        </w:rPr>
        <w:t> </w:t>
      </w:r>
      <w:r>
        <w:rPr/>
        <w:t>made</w:t>
      </w:r>
      <w:r>
        <w:rPr>
          <w:spacing w:val="-4"/>
        </w:rPr>
        <w:t> </w:t>
      </w:r>
      <w:r>
        <w:rPr/>
        <w:t>lectures</w:t>
      </w:r>
      <w:r>
        <w:rPr>
          <w:spacing w:val="-3"/>
        </w:rPr>
        <w:t> </w:t>
      </w:r>
      <w:r>
        <w:rPr/>
        <w:t>by</w:t>
      </w:r>
      <w:r>
        <w:rPr>
          <w:spacing w:val="-5"/>
        </w:rPr>
        <w:t> </w:t>
      </w:r>
      <w:r>
        <w:rPr/>
        <w:t>notable mainstream architects available to the student body.</w:t>
      </w:r>
    </w:p>
    <w:p>
      <w:pPr>
        <w:spacing w:after="0"/>
        <w:sectPr>
          <w:type w:val="continuous"/>
          <w:pgSz w:w="12240" w:h="15840"/>
          <w:pgMar w:header="0" w:footer="974" w:top="1420" w:bottom="1160" w:left="940" w:right="960"/>
        </w:sectPr>
      </w:pPr>
    </w:p>
    <w:p>
      <w:pPr>
        <w:pStyle w:val="Heading5"/>
        <w:numPr>
          <w:ilvl w:val="3"/>
          <w:numId w:val="10"/>
        </w:numPr>
        <w:tabs>
          <w:tab w:pos="1581" w:val="left" w:leader="none"/>
        </w:tabs>
        <w:spacing w:line="240" w:lineRule="auto" w:before="74" w:after="0"/>
        <w:ind w:left="1580" w:right="0" w:hanging="1010"/>
        <w:jc w:val="left"/>
      </w:pPr>
      <w:bookmarkStart w:name="_TOC_250013" w:id="5"/>
      <w:r>
        <w:rPr/>
        <w:t>Architectural</w:t>
      </w:r>
      <w:r>
        <w:rPr>
          <w:spacing w:val="-9"/>
        </w:rPr>
        <w:t> </w:t>
      </w:r>
      <w:r>
        <w:rPr/>
        <w:t>Education</w:t>
      </w:r>
      <w:r>
        <w:rPr>
          <w:spacing w:val="-7"/>
        </w:rPr>
        <w:t> </w:t>
      </w:r>
      <w:r>
        <w:rPr/>
        <w:t>and</w:t>
      </w:r>
      <w:r>
        <w:rPr>
          <w:spacing w:val="-6"/>
        </w:rPr>
        <w:t> </w:t>
      </w:r>
      <w:r>
        <w:rPr/>
        <w:t>the</w:t>
      </w:r>
      <w:r>
        <w:rPr>
          <w:spacing w:val="-8"/>
        </w:rPr>
        <w:t> </w:t>
      </w:r>
      <w:r>
        <w:rPr/>
        <w:t>Regulatory</w:t>
      </w:r>
      <w:r>
        <w:rPr>
          <w:spacing w:val="-12"/>
        </w:rPr>
        <w:t> </w:t>
      </w:r>
      <w:bookmarkEnd w:id="5"/>
      <w:r>
        <w:rPr>
          <w:spacing w:val="-2"/>
        </w:rPr>
        <w:t>Environment</w:t>
      </w:r>
    </w:p>
    <w:p>
      <w:pPr>
        <w:spacing w:before="240"/>
        <w:ind w:left="500" w:right="705" w:firstLine="0"/>
        <w:jc w:val="left"/>
        <w:rPr>
          <w:i/>
          <w:sz w:val="20"/>
        </w:rPr>
      </w:pPr>
      <w:r>
        <w:rPr>
          <w:i/>
          <w:sz w:val="20"/>
        </w:rPr>
        <w:t>That</w:t>
      </w:r>
      <w:r>
        <w:rPr>
          <w:i/>
          <w:spacing w:val="-4"/>
          <w:sz w:val="20"/>
        </w:rPr>
        <w:t> </w:t>
      </w:r>
      <w:r>
        <w:rPr>
          <w:i/>
          <w:sz w:val="20"/>
        </w:rPr>
        <w:t>students</w:t>
      </w:r>
      <w:r>
        <w:rPr>
          <w:i/>
          <w:spacing w:val="-3"/>
          <w:sz w:val="20"/>
        </w:rPr>
        <w:t> </w:t>
      </w:r>
      <w:r>
        <w:rPr>
          <w:i/>
          <w:sz w:val="20"/>
        </w:rPr>
        <w:t>enrolled</w:t>
      </w:r>
      <w:r>
        <w:rPr>
          <w:i/>
          <w:spacing w:val="-4"/>
          <w:sz w:val="20"/>
        </w:rPr>
        <w:t> </w:t>
      </w:r>
      <w:r>
        <w:rPr>
          <w:i/>
          <w:sz w:val="20"/>
        </w:rPr>
        <w:t>in</w:t>
      </w:r>
      <w:r>
        <w:rPr>
          <w:i/>
          <w:spacing w:val="-4"/>
          <w:sz w:val="20"/>
        </w:rPr>
        <w:t> </w:t>
      </w:r>
      <w:r>
        <w:rPr>
          <w:i/>
          <w:sz w:val="20"/>
        </w:rPr>
        <w:t>the</w:t>
      </w:r>
      <w:r>
        <w:rPr>
          <w:i/>
          <w:spacing w:val="-4"/>
          <w:sz w:val="20"/>
        </w:rPr>
        <w:t> </w:t>
      </w:r>
      <w:r>
        <w:rPr>
          <w:i/>
          <w:sz w:val="20"/>
        </w:rPr>
        <w:t>accredited</w:t>
      </w:r>
      <w:r>
        <w:rPr>
          <w:i/>
          <w:spacing w:val="-2"/>
          <w:sz w:val="20"/>
        </w:rPr>
        <w:t> </w:t>
      </w:r>
      <w:r>
        <w:rPr>
          <w:i/>
          <w:sz w:val="20"/>
        </w:rPr>
        <w:t>degree</w:t>
      </w:r>
      <w:r>
        <w:rPr>
          <w:i/>
          <w:spacing w:val="-4"/>
          <w:sz w:val="20"/>
        </w:rPr>
        <w:t> </w:t>
      </w:r>
      <w:r>
        <w:rPr>
          <w:i/>
          <w:sz w:val="20"/>
        </w:rPr>
        <w:t>program</w:t>
      </w:r>
      <w:r>
        <w:rPr>
          <w:i/>
          <w:spacing w:val="-4"/>
          <w:sz w:val="20"/>
        </w:rPr>
        <w:t> </w:t>
      </w:r>
      <w:r>
        <w:rPr>
          <w:i/>
          <w:sz w:val="20"/>
        </w:rPr>
        <w:t>are</w:t>
      </w:r>
      <w:r>
        <w:rPr>
          <w:i/>
          <w:spacing w:val="-2"/>
          <w:sz w:val="20"/>
        </w:rPr>
        <w:t> </w:t>
      </w:r>
      <w:r>
        <w:rPr>
          <w:i/>
          <w:sz w:val="20"/>
        </w:rPr>
        <w:t>provided</w:t>
      </w:r>
      <w:r>
        <w:rPr>
          <w:i/>
          <w:spacing w:val="-4"/>
          <w:sz w:val="20"/>
        </w:rPr>
        <w:t> </w:t>
      </w:r>
      <w:r>
        <w:rPr>
          <w:i/>
          <w:sz w:val="20"/>
        </w:rPr>
        <w:t>with:</w:t>
      </w:r>
      <w:r>
        <w:rPr>
          <w:i/>
          <w:spacing w:val="-2"/>
          <w:sz w:val="20"/>
        </w:rPr>
        <w:t> </w:t>
      </w:r>
      <w:r>
        <w:rPr>
          <w:i/>
          <w:sz w:val="20"/>
        </w:rPr>
        <w:t>a</w:t>
      </w:r>
      <w:r>
        <w:rPr>
          <w:i/>
          <w:spacing w:val="-4"/>
          <w:sz w:val="20"/>
        </w:rPr>
        <w:t> </w:t>
      </w:r>
      <w:r>
        <w:rPr>
          <w:i/>
          <w:sz w:val="20"/>
        </w:rPr>
        <w:t>sound</w:t>
      </w:r>
      <w:r>
        <w:rPr>
          <w:i/>
          <w:spacing w:val="-4"/>
          <w:sz w:val="20"/>
        </w:rPr>
        <w:t> </w:t>
      </w:r>
      <w:r>
        <w:rPr>
          <w:i/>
          <w:sz w:val="20"/>
        </w:rPr>
        <w:t>preparation</w:t>
      </w:r>
      <w:r>
        <w:rPr>
          <w:i/>
          <w:spacing w:val="-2"/>
          <w:sz w:val="20"/>
        </w:rPr>
        <w:t> </w:t>
      </w:r>
      <w:r>
        <w:rPr>
          <w:i/>
          <w:sz w:val="20"/>
        </w:rPr>
        <w:t>for</w:t>
      </w:r>
      <w:r>
        <w:rPr>
          <w:i/>
          <w:spacing w:val="-3"/>
          <w:sz w:val="20"/>
        </w:rPr>
        <w:t> </w:t>
      </w:r>
      <w:r>
        <w:rPr>
          <w:i/>
          <w:sz w:val="20"/>
        </w:rPr>
        <w:t>the transition to internship and licensure within the context of international, national, and state regulatory environments; an understanding of the role of the registration board for the jurisdiction in which it is located; and prior to the earliest point of eligibility, the information needed to enroll in the Intern Development Program (IDP).</w:t>
      </w:r>
    </w:p>
    <w:p>
      <w:pPr>
        <w:pStyle w:val="BodyText"/>
        <w:spacing w:before="1"/>
        <w:rPr>
          <w:i/>
          <w:sz w:val="21"/>
        </w:rPr>
      </w:pPr>
    </w:p>
    <w:p>
      <w:pPr>
        <w:pStyle w:val="BodyText"/>
        <w:ind w:left="1220" w:right="705"/>
      </w:pPr>
      <w:r>
        <w:rPr/>
        <w:t>One</w:t>
      </w:r>
      <w:r>
        <w:rPr>
          <w:spacing w:val="-4"/>
        </w:rPr>
        <w:t> </w:t>
      </w:r>
      <w:r>
        <w:rPr/>
        <w:t>of</w:t>
      </w:r>
      <w:r>
        <w:rPr>
          <w:spacing w:val="-2"/>
        </w:rPr>
        <w:t> </w:t>
      </w:r>
      <w:r>
        <w:rPr/>
        <w:t>our</w:t>
      </w:r>
      <w:r>
        <w:rPr>
          <w:spacing w:val="-3"/>
        </w:rPr>
        <w:t> </w:t>
      </w:r>
      <w:r>
        <w:rPr/>
        <w:t>missions</w:t>
      </w:r>
      <w:r>
        <w:rPr>
          <w:spacing w:val="-3"/>
        </w:rPr>
        <w:t> </w:t>
      </w:r>
      <w:r>
        <w:rPr/>
        <w:t>is</w:t>
      </w:r>
      <w:r>
        <w:rPr>
          <w:spacing w:val="-3"/>
        </w:rPr>
        <w:t> </w:t>
      </w:r>
      <w:r>
        <w:rPr/>
        <w:t>to</w:t>
      </w:r>
      <w:r>
        <w:rPr>
          <w:spacing w:val="-2"/>
        </w:rPr>
        <w:t> </w:t>
      </w:r>
      <w:r>
        <w:rPr/>
        <w:t>increase</w:t>
      </w:r>
      <w:r>
        <w:rPr>
          <w:spacing w:val="-4"/>
        </w:rPr>
        <w:t> </w:t>
      </w:r>
      <w:r>
        <w:rPr/>
        <w:t>the</w:t>
      </w:r>
      <w:r>
        <w:rPr>
          <w:spacing w:val="-2"/>
        </w:rPr>
        <w:t> </w:t>
      </w:r>
      <w:r>
        <w:rPr/>
        <w:t>number</w:t>
      </w:r>
      <w:r>
        <w:rPr>
          <w:spacing w:val="-3"/>
        </w:rPr>
        <w:t> </w:t>
      </w:r>
      <w:r>
        <w:rPr/>
        <w:t>of</w:t>
      </w:r>
      <w:r>
        <w:rPr>
          <w:spacing w:val="-2"/>
        </w:rPr>
        <w:t> </w:t>
      </w:r>
      <w:r>
        <w:rPr/>
        <w:t>licensed</w:t>
      </w:r>
      <w:r>
        <w:rPr>
          <w:spacing w:val="-4"/>
        </w:rPr>
        <w:t> </w:t>
      </w:r>
      <w:r>
        <w:rPr/>
        <w:t>architects</w:t>
      </w:r>
      <w:r>
        <w:rPr>
          <w:spacing w:val="-3"/>
        </w:rPr>
        <w:t> </w:t>
      </w:r>
      <w:r>
        <w:rPr/>
        <w:t>who</w:t>
      </w:r>
      <w:r>
        <w:rPr>
          <w:spacing w:val="-2"/>
        </w:rPr>
        <w:t> </w:t>
      </w:r>
      <w:r>
        <w:rPr/>
        <w:t>are</w:t>
      </w:r>
      <w:r>
        <w:rPr>
          <w:spacing w:val="-2"/>
        </w:rPr>
        <w:t> </w:t>
      </w:r>
      <w:r>
        <w:rPr/>
        <w:t>African</w:t>
      </w:r>
      <w:r>
        <w:rPr>
          <w:spacing w:val="-4"/>
        </w:rPr>
        <w:t> </w:t>
      </w:r>
      <w:r>
        <w:rPr/>
        <w:t>American. As indicated above, 45% of all African American Architects obtained their first professional degree from an HBCU. Hampton proudly boast that 11% of those graduated from Hampton University. We have worked extensively with the National Council of Architectural Registration Boards (NCARB) to educate our students about the requirements for professional registration.</w:t>
      </w:r>
    </w:p>
    <w:p>
      <w:pPr>
        <w:pStyle w:val="BodyText"/>
        <w:spacing w:before="10"/>
      </w:pPr>
    </w:p>
    <w:p>
      <w:pPr>
        <w:pStyle w:val="BodyText"/>
        <w:ind w:left="1220" w:right="705"/>
      </w:pPr>
      <w:r>
        <w:rPr/>
        <w:t>As part of the 2012 curriculum revision, the HUDA made the summer internship a formal requirement.</w:t>
      </w:r>
      <w:r>
        <w:rPr>
          <w:spacing w:val="-3"/>
        </w:rPr>
        <w:t> </w:t>
      </w:r>
      <w:r>
        <w:rPr/>
        <w:t>Students</w:t>
      </w:r>
      <w:r>
        <w:rPr>
          <w:spacing w:val="-4"/>
        </w:rPr>
        <w:t> </w:t>
      </w:r>
      <w:r>
        <w:rPr/>
        <w:t>are</w:t>
      </w:r>
      <w:r>
        <w:rPr>
          <w:spacing w:val="-3"/>
        </w:rPr>
        <w:t> </w:t>
      </w:r>
      <w:r>
        <w:rPr/>
        <w:t>mandated</w:t>
      </w:r>
      <w:r>
        <w:rPr>
          <w:spacing w:val="-5"/>
        </w:rPr>
        <w:t> </w:t>
      </w:r>
      <w:r>
        <w:rPr/>
        <w:t>to</w:t>
      </w:r>
      <w:r>
        <w:rPr>
          <w:spacing w:val="-3"/>
        </w:rPr>
        <w:t> </w:t>
      </w:r>
      <w:r>
        <w:rPr/>
        <w:t>get</w:t>
      </w:r>
      <w:r>
        <w:rPr>
          <w:spacing w:val="-3"/>
        </w:rPr>
        <w:t> </w:t>
      </w:r>
      <w:r>
        <w:rPr/>
        <w:t>a</w:t>
      </w:r>
      <w:r>
        <w:rPr>
          <w:spacing w:val="-5"/>
        </w:rPr>
        <w:t> </w:t>
      </w:r>
      <w:r>
        <w:rPr/>
        <w:t>NCARB</w:t>
      </w:r>
      <w:r>
        <w:rPr>
          <w:spacing w:val="-3"/>
        </w:rPr>
        <w:t> </w:t>
      </w:r>
      <w:r>
        <w:rPr/>
        <w:t>approved</w:t>
      </w:r>
      <w:r>
        <w:rPr>
          <w:spacing w:val="-5"/>
        </w:rPr>
        <w:t> </w:t>
      </w:r>
      <w:r>
        <w:rPr/>
        <w:t>internship</w:t>
      </w:r>
      <w:r>
        <w:rPr>
          <w:spacing w:val="-3"/>
        </w:rPr>
        <w:t> </w:t>
      </w:r>
      <w:r>
        <w:rPr/>
        <w:t>during</w:t>
      </w:r>
      <w:r>
        <w:rPr>
          <w:spacing w:val="-3"/>
        </w:rPr>
        <w:t> </w:t>
      </w:r>
      <w:r>
        <w:rPr/>
        <w:t>the</w:t>
      </w:r>
      <w:r>
        <w:rPr>
          <w:spacing w:val="-5"/>
        </w:rPr>
        <w:t> </w:t>
      </w:r>
      <w:r>
        <w:rPr/>
        <w:t>summer between</w:t>
      </w:r>
      <w:r>
        <w:rPr>
          <w:spacing w:val="-1"/>
        </w:rPr>
        <w:t> </w:t>
      </w:r>
      <w:r>
        <w:rPr/>
        <w:t>their 4th and</w:t>
      </w:r>
      <w:r>
        <w:rPr>
          <w:spacing w:val="-1"/>
        </w:rPr>
        <w:t> </w:t>
      </w:r>
      <w:r>
        <w:rPr/>
        <w:t>5th</w:t>
      </w:r>
      <w:r>
        <w:rPr>
          <w:spacing w:val="-1"/>
        </w:rPr>
        <w:t> </w:t>
      </w:r>
      <w:r>
        <w:rPr/>
        <w:t>academic years.</w:t>
      </w:r>
      <w:r>
        <w:rPr>
          <w:spacing w:val="-1"/>
        </w:rPr>
        <w:t> </w:t>
      </w:r>
      <w:r>
        <w:rPr/>
        <w:t>This internship</w:t>
      </w:r>
      <w:r>
        <w:rPr>
          <w:spacing w:val="-1"/>
        </w:rPr>
        <w:t> </w:t>
      </w:r>
      <w:r>
        <w:rPr/>
        <w:t>must</w:t>
      </w:r>
      <w:r>
        <w:rPr>
          <w:spacing w:val="-1"/>
        </w:rPr>
        <w:t> </w:t>
      </w:r>
      <w:r>
        <w:rPr/>
        <w:t>meet</w:t>
      </w:r>
      <w:r>
        <w:rPr>
          <w:spacing w:val="-1"/>
        </w:rPr>
        <w:t> </w:t>
      </w:r>
      <w:r>
        <w:rPr/>
        <w:t>the</w:t>
      </w:r>
      <w:r>
        <w:rPr>
          <w:spacing w:val="-1"/>
        </w:rPr>
        <w:t> </w:t>
      </w:r>
      <w:r>
        <w:rPr/>
        <w:t>requirements of the Intern Development Program as articulated by NCARB. In preparation for this requirement, several steps have been undertaken by the program.</w:t>
      </w:r>
    </w:p>
    <w:p>
      <w:pPr>
        <w:pStyle w:val="ListParagraph"/>
        <w:numPr>
          <w:ilvl w:val="4"/>
          <w:numId w:val="10"/>
        </w:numPr>
        <w:tabs>
          <w:tab w:pos="1581" w:val="left" w:leader="none"/>
        </w:tabs>
        <w:spacing w:line="240" w:lineRule="auto" w:before="122" w:after="0"/>
        <w:ind w:left="1580" w:right="599" w:hanging="346"/>
        <w:jc w:val="left"/>
        <w:rPr>
          <w:sz w:val="20"/>
        </w:rPr>
      </w:pPr>
      <w:r>
        <w:rPr>
          <w:sz w:val="20"/>
        </w:rPr>
        <w:t>NCARB Lecture: Annually, one of the lectures has been presented by Nick Sarfass, a regional</w:t>
      </w:r>
      <w:r>
        <w:rPr>
          <w:spacing w:val="-5"/>
          <w:sz w:val="20"/>
        </w:rPr>
        <w:t> </w:t>
      </w:r>
      <w:r>
        <w:rPr>
          <w:sz w:val="20"/>
        </w:rPr>
        <w:t>director</w:t>
      </w:r>
      <w:r>
        <w:rPr>
          <w:spacing w:val="-1"/>
          <w:sz w:val="20"/>
        </w:rPr>
        <w:t> </w:t>
      </w:r>
      <w:r>
        <w:rPr>
          <w:sz w:val="20"/>
        </w:rPr>
        <w:t>with</w:t>
      </w:r>
      <w:r>
        <w:rPr>
          <w:spacing w:val="-4"/>
          <w:sz w:val="20"/>
        </w:rPr>
        <w:t> </w:t>
      </w:r>
      <w:r>
        <w:rPr>
          <w:sz w:val="20"/>
        </w:rPr>
        <w:t>NCARB.</w:t>
      </w:r>
      <w:r>
        <w:rPr>
          <w:spacing w:val="-4"/>
          <w:sz w:val="20"/>
        </w:rPr>
        <w:t> </w:t>
      </w:r>
      <w:r>
        <w:rPr>
          <w:sz w:val="20"/>
        </w:rPr>
        <w:t>Nick has</w:t>
      </w:r>
      <w:r>
        <w:rPr>
          <w:spacing w:val="-3"/>
          <w:sz w:val="20"/>
        </w:rPr>
        <w:t> </w:t>
      </w:r>
      <w:r>
        <w:rPr>
          <w:sz w:val="20"/>
        </w:rPr>
        <w:t>presented</w:t>
      </w:r>
      <w:r>
        <w:rPr>
          <w:spacing w:val="-2"/>
          <w:sz w:val="20"/>
        </w:rPr>
        <w:t> </w:t>
      </w:r>
      <w:r>
        <w:rPr>
          <w:sz w:val="20"/>
        </w:rPr>
        <w:t>annually</w:t>
      </w:r>
      <w:r>
        <w:rPr>
          <w:spacing w:val="-7"/>
          <w:sz w:val="20"/>
        </w:rPr>
        <w:t> </w:t>
      </w:r>
      <w:r>
        <w:rPr>
          <w:sz w:val="20"/>
        </w:rPr>
        <w:t>to</w:t>
      </w:r>
      <w:r>
        <w:rPr>
          <w:spacing w:val="-2"/>
          <w:sz w:val="20"/>
        </w:rPr>
        <w:t> </w:t>
      </w:r>
      <w:r>
        <w:rPr>
          <w:sz w:val="20"/>
        </w:rPr>
        <w:t>our</w:t>
      </w:r>
      <w:r>
        <w:rPr>
          <w:spacing w:val="-3"/>
          <w:sz w:val="20"/>
        </w:rPr>
        <w:t> </w:t>
      </w:r>
      <w:r>
        <w:rPr>
          <w:sz w:val="20"/>
        </w:rPr>
        <w:t>student</w:t>
      </w:r>
      <w:r>
        <w:rPr>
          <w:spacing w:val="-4"/>
          <w:sz w:val="20"/>
        </w:rPr>
        <w:t> </w:t>
      </w:r>
      <w:r>
        <w:rPr>
          <w:sz w:val="20"/>
        </w:rPr>
        <w:t>body</w:t>
      </w:r>
      <w:r>
        <w:rPr>
          <w:spacing w:val="-3"/>
          <w:sz w:val="20"/>
        </w:rPr>
        <w:t> </w:t>
      </w:r>
      <w:r>
        <w:rPr>
          <w:sz w:val="20"/>
        </w:rPr>
        <w:t>about</w:t>
      </w:r>
      <w:r>
        <w:rPr>
          <w:spacing w:val="-4"/>
          <w:sz w:val="20"/>
        </w:rPr>
        <w:t> </w:t>
      </w:r>
      <w:r>
        <w:rPr>
          <w:sz w:val="20"/>
        </w:rPr>
        <w:t>the</w:t>
      </w:r>
      <w:r>
        <w:rPr>
          <w:spacing w:val="-4"/>
          <w:sz w:val="20"/>
        </w:rPr>
        <w:t> </w:t>
      </w:r>
      <w:r>
        <w:rPr>
          <w:sz w:val="20"/>
        </w:rPr>
        <w:t>oft changing requirements of the Intern Development Program (IDP).</w:t>
      </w:r>
    </w:p>
    <w:p>
      <w:pPr>
        <w:pStyle w:val="ListParagraph"/>
        <w:numPr>
          <w:ilvl w:val="4"/>
          <w:numId w:val="10"/>
        </w:numPr>
        <w:tabs>
          <w:tab w:pos="1581" w:val="left" w:leader="none"/>
        </w:tabs>
        <w:spacing w:line="240" w:lineRule="auto" w:before="119" w:after="0"/>
        <w:ind w:left="1580" w:right="0" w:hanging="347"/>
        <w:jc w:val="left"/>
        <w:rPr>
          <w:sz w:val="20"/>
        </w:rPr>
      </w:pPr>
      <w:r>
        <w:rPr>
          <w:sz w:val="20"/>
        </w:rPr>
        <w:t>IDP</w:t>
      </w:r>
      <w:r>
        <w:rPr>
          <w:spacing w:val="-7"/>
          <w:sz w:val="20"/>
        </w:rPr>
        <w:t> </w:t>
      </w:r>
      <w:r>
        <w:rPr>
          <w:sz w:val="20"/>
        </w:rPr>
        <w:t>Coordinator:</w:t>
      </w:r>
      <w:r>
        <w:rPr>
          <w:spacing w:val="-6"/>
          <w:sz w:val="20"/>
        </w:rPr>
        <w:t> </w:t>
      </w:r>
      <w:r>
        <w:rPr>
          <w:sz w:val="20"/>
        </w:rPr>
        <w:t>Prof.</w:t>
      </w:r>
      <w:r>
        <w:rPr>
          <w:spacing w:val="-6"/>
          <w:sz w:val="20"/>
        </w:rPr>
        <w:t> </w:t>
      </w:r>
      <w:r>
        <w:rPr>
          <w:sz w:val="20"/>
        </w:rPr>
        <w:t>Easter</w:t>
      </w:r>
      <w:r>
        <w:rPr>
          <w:spacing w:val="-6"/>
          <w:sz w:val="20"/>
        </w:rPr>
        <w:t> </w:t>
      </w:r>
      <w:r>
        <w:rPr>
          <w:sz w:val="20"/>
        </w:rPr>
        <w:t>has</w:t>
      </w:r>
      <w:r>
        <w:rPr>
          <w:spacing w:val="-5"/>
          <w:sz w:val="20"/>
        </w:rPr>
        <w:t> </w:t>
      </w:r>
      <w:r>
        <w:rPr>
          <w:sz w:val="20"/>
        </w:rPr>
        <w:t>served</w:t>
      </w:r>
      <w:r>
        <w:rPr>
          <w:spacing w:val="-6"/>
          <w:sz w:val="20"/>
        </w:rPr>
        <w:t> </w:t>
      </w:r>
      <w:r>
        <w:rPr>
          <w:sz w:val="20"/>
        </w:rPr>
        <w:t>each</w:t>
      </w:r>
      <w:r>
        <w:rPr>
          <w:spacing w:val="-2"/>
          <w:sz w:val="20"/>
        </w:rPr>
        <w:t> </w:t>
      </w:r>
      <w:r>
        <w:rPr>
          <w:sz w:val="20"/>
        </w:rPr>
        <w:t>year</w:t>
      </w:r>
      <w:r>
        <w:rPr>
          <w:spacing w:val="-3"/>
          <w:sz w:val="20"/>
        </w:rPr>
        <w:t> </w:t>
      </w:r>
      <w:r>
        <w:rPr>
          <w:sz w:val="20"/>
        </w:rPr>
        <w:t>as</w:t>
      </w:r>
      <w:r>
        <w:rPr>
          <w:spacing w:val="-6"/>
          <w:sz w:val="20"/>
        </w:rPr>
        <w:t> </w:t>
      </w:r>
      <w:r>
        <w:rPr>
          <w:sz w:val="20"/>
        </w:rPr>
        <w:t>the</w:t>
      </w:r>
      <w:r>
        <w:rPr>
          <w:spacing w:val="-6"/>
          <w:sz w:val="20"/>
        </w:rPr>
        <w:t> </w:t>
      </w:r>
      <w:r>
        <w:rPr>
          <w:sz w:val="20"/>
        </w:rPr>
        <w:t>IDP</w:t>
      </w:r>
      <w:r>
        <w:rPr>
          <w:spacing w:val="-7"/>
          <w:sz w:val="20"/>
        </w:rPr>
        <w:t> </w:t>
      </w:r>
      <w:r>
        <w:rPr>
          <w:spacing w:val="-2"/>
          <w:sz w:val="20"/>
        </w:rPr>
        <w:t>Coordinator.</w:t>
      </w:r>
    </w:p>
    <w:p>
      <w:pPr>
        <w:pStyle w:val="ListParagraph"/>
        <w:numPr>
          <w:ilvl w:val="4"/>
          <w:numId w:val="10"/>
        </w:numPr>
        <w:tabs>
          <w:tab w:pos="1581" w:val="left" w:leader="none"/>
        </w:tabs>
        <w:spacing w:line="240" w:lineRule="auto" w:before="121" w:after="0"/>
        <w:ind w:left="1580" w:right="621" w:hanging="346"/>
        <w:jc w:val="left"/>
        <w:rPr>
          <w:sz w:val="20"/>
        </w:rPr>
      </w:pPr>
      <w:r>
        <w:rPr>
          <w:sz w:val="20"/>
        </w:rPr>
        <w:t>Professional</w:t>
      </w:r>
      <w:r>
        <w:rPr>
          <w:spacing w:val="-6"/>
          <w:sz w:val="20"/>
        </w:rPr>
        <w:t> </w:t>
      </w:r>
      <w:r>
        <w:rPr>
          <w:sz w:val="20"/>
        </w:rPr>
        <w:t>Practice</w:t>
      </w:r>
      <w:r>
        <w:rPr>
          <w:spacing w:val="-3"/>
          <w:sz w:val="20"/>
        </w:rPr>
        <w:t> </w:t>
      </w:r>
      <w:r>
        <w:rPr>
          <w:sz w:val="20"/>
        </w:rPr>
        <w:t>Sequence:</w:t>
      </w:r>
      <w:r>
        <w:rPr>
          <w:spacing w:val="-5"/>
          <w:sz w:val="20"/>
        </w:rPr>
        <w:t> </w:t>
      </w:r>
      <w:r>
        <w:rPr>
          <w:sz w:val="20"/>
        </w:rPr>
        <w:t>During</w:t>
      </w:r>
      <w:r>
        <w:rPr>
          <w:spacing w:val="-5"/>
          <w:sz w:val="20"/>
        </w:rPr>
        <w:t> </w:t>
      </w:r>
      <w:r>
        <w:rPr>
          <w:sz w:val="20"/>
        </w:rPr>
        <w:t>the</w:t>
      </w:r>
      <w:r>
        <w:rPr>
          <w:spacing w:val="-5"/>
          <w:sz w:val="20"/>
        </w:rPr>
        <w:t> </w:t>
      </w:r>
      <w:r>
        <w:rPr>
          <w:sz w:val="20"/>
        </w:rPr>
        <w:t>professional</w:t>
      </w:r>
      <w:r>
        <w:rPr>
          <w:spacing w:val="-6"/>
          <w:sz w:val="20"/>
        </w:rPr>
        <w:t> </w:t>
      </w:r>
      <w:r>
        <w:rPr>
          <w:sz w:val="20"/>
        </w:rPr>
        <w:t>practice</w:t>
      </w:r>
      <w:r>
        <w:rPr>
          <w:spacing w:val="-5"/>
          <w:sz w:val="20"/>
        </w:rPr>
        <w:t> </w:t>
      </w:r>
      <w:r>
        <w:rPr>
          <w:sz w:val="20"/>
        </w:rPr>
        <w:t>sequence</w:t>
      </w:r>
      <w:r>
        <w:rPr>
          <w:spacing w:val="-3"/>
          <w:sz w:val="20"/>
        </w:rPr>
        <w:t> </w:t>
      </w:r>
      <w:r>
        <w:rPr>
          <w:sz w:val="20"/>
        </w:rPr>
        <w:t>(ARC</w:t>
      </w:r>
      <w:r>
        <w:rPr>
          <w:spacing w:val="-3"/>
          <w:sz w:val="20"/>
        </w:rPr>
        <w:t> </w:t>
      </w:r>
      <w:r>
        <w:rPr>
          <w:sz w:val="20"/>
        </w:rPr>
        <w:t>517-518), students visit architect offices, meet with and interview firm principals and learn about the many facet of professional practice.</w:t>
      </w:r>
    </w:p>
    <w:p>
      <w:pPr>
        <w:pStyle w:val="ListParagraph"/>
        <w:numPr>
          <w:ilvl w:val="4"/>
          <w:numId w:val="10"/>
        </w:numPr>
        <w:tabs>
          <w:tab w:pos="1581" w:val="left" w:leader="none"/>
        </w:tabs>
        <w:spacing w:line="240" w:lineRule="auto" w:before="119" w:after="0"/>
        <w:ind w:left="1580" w:right="641" w:hanging="346"/>
        <w:jc w:val="left"/>
        <w:rPr>
          <w:sz w:val="20"/>
        </w:rPr>
      </w:pPr>
      <w:r>
        <w:rPr>
          <w:sz w:val="20"/>
        </w:rPr>
        <w:t>Study</w:t>
      </w:r>
      <w:r>
        <w:rPr>
          <w:spacing w:val="-3"/>
          <w:sz w:val="20"/>
        </w:rPr>
        <w:t> </w:t>
      </w:r>
      <w:r>
        <w:rPr>
          <w:sz w:val="20"/>
        </w:rPr>
        <w:t>Abroad: A</w:t>
      </w:r>
      <w:r>
        <w:rPr>
          <w:spacing w:val="-3"/>
          <w:sz w:val="20"/>
        </w:rPr>
        <w:t> </w:t>
      </w:r>
      <w:r>
        <w:rPr>
          <w:sz w:val="20"/>
        </w:rPr>
        <w:t>key</w:t>
      </w:r>
      <w:r>
        <w:rPr>
          <w:spacing w:val="-5"/>
          <w:sz w:val="20"/>
        </w:rPr>
        <w:t> </w:t>
      </w:r>
      <w:r>
        <w:rPr>
          <w:sz w:val="20"/>
        </w:rPr>
        <w:t>component</w:t>
      </w:r>
      <w:r>
        <w:rPr>
          <w:spacing w:val="-2"/>
          <w:sz w:val="20"/>
        </w:rPr>
        <w:t> </w:t>
      </w:r>
      <w:r>
        <w:rPr>
          <w:sz w:val="20"/>
        </w:rPr>
        <w:t>of our</w:t>
      </w:r>
      <w:r>
        <w:rPr>
          <w:spacing w:val="-1"/>
          <w:sz w:val="20"/>
        </w:rPr>
        <w:t> </w:t>
      </w:r>
      <w:r>
        <w:rPr>
          <w:sz w:val="20"/>
        </w:rPr>
        <w:t>program is</w:t>
      </w:r>
      <w:r>
        <w:rPr>
          <w:spacing w:val="-1"/>
          <w:sz w:val="20"/>
        </w:rPr>
        <w:t> </w:t>
      </w:r>
      <w:r>
        <w:rPr>
          <w:sz w:val="20"/>
        </w:rPr>
        <w:t>the international Study</w:t>
      </w:r>
      <w:r>
        <w:rPr>
          <w:spacing w:val="-3"/>
          <w:sz w:val="20"/>
        </w:rPr>
        <w:t> </w:t>
      </w:r>
      <w:r>
        <w:rPr>
          <w:sz w:val="20"/>
        </w:rPr>
        <w:t>Abroad Studio.</w:t>
      </w:r>
      <w:r>
        <w:rPr>
          <w:spacing w:val="-2"/>
          <w:sz w:val="20"/>
        </w:rPr>
        <w:t> </w:t>
      </w:r>
      <w:r>
        <w:rPr>
          <w:sz w:val="20"/>
        </w:rPr>
        <w:t>In their travel experience, students meet with professionals from other nations to discuss procedures,</w:t>
      </w:r>
      <w:r>
        <w:rPr>
          <w:spacing w:val="-3"/>
          <w:sz w:val="20"/>
        </w:rPr>
        <w:t> </w:t>
      </w:r>
      <w:r>
        <w:rPr>
          <w:sz w:val="20"/>
        </w:rPr>
        <w:t>process</w:t>
      </w:r>
      <w:r>
        <w:rPr>
          <w:spacing w:val="-4"/>
          <w:sz w:val="20"/>
        </w:rPr>
        <w:t> </w:t>
      </w:r>
      <w:r>
        <w:rPr>
          <w:sz w:val="20"/>
        </w:rPr>
        <w:t>and</w:t>
      </w:r>
      <w:r>
        <w:rPr>
          <w:spacing w:val="-3"/>
          <w:sz w:val="20"/>
        </w:rPr>
        <w:t> </w:t>
      </w:r>
      <w:r>
        <w:rPr>
          <w:sz w:val="20"/>
        </w:rPr>
        <w:t>practices</w:t>
      </w:r>
      <w:r>
        <w:rPr>
          <w:spacing w:val="-4"/>
          <w:sz w:val="20"/>
        </w:rPr>
        <w:t> </w:t>
      </w:r>
      <w:r>
        <w:rPr>
          <w:sz w:val="20"/>
        </w:rPr>
        <w:t>pertinent</w:t>
      </w:r>
      <w:r>
        <w:rPr>
          <w:spacing w:val="-5"/>
          <w:sz w:val="20"/>
        </w:rPr>
        <w:t> </w:t>
      </w:r>
      <w:r>
        <w:rPr>
          <w:sz w:val="20"/>
        </w:rPr>
        <w:t>to</w:t>
      </w:r>
      <w:r>
        <w:rPr>
          <w:spacing w:val="-5"/>
          <w:sz w:val="20"/>
        </w:rPr>
        <w:t> </w:t>
      </w:r>
      <w:r>
        <w:rPr>
          <w:sz w:val="20"/>
        </w:rPr>
        <w:t>the</w:t>
      </w:r>
      <w:r>
        <w:rPr>
          <w:spacing w:val="-5"/>
          <w:sz w:val="20"/>
        </w:rPr>
        <w:t> </w:t>
      </w:r>
      <w:r>
        <w:rPr>
          <w:sz w:val="20"/>
        </w:rPr>
        <w:t>design</w:t>
      </w:r>
      <w:r>
        <w:rPr>
          <w:spacing w:val="-5"/>
          <w:sz w:val="20"/>
        </w:rPr>
        <w:t> </w:t>
      </w:r>
      <w:r>
        <w:rPr>
          <w:sz w:val="20"/>
        </w:rPr>
        <w:t>of</w:t>
      </w:r>
      <w:r>
        <w:rPr>
          <w:spacing w:val="-3"/>
          <w:sz w:val="20"/>
        </w:rPr>
        <w:t> </w:t>
      </w:r>
      <w:r>
        <w:rPr>
          <w:sz w:val="20"/>
        </w:rPr>
        <w:t>space</w:t>
      </w:r>
      <w:r>
        <w:rPr>
          <w:spacing w:val="-5"/>
          <w:sz w:val="20"/>
        </w:rPr>
        <w:t> </w:t>
      </w:r>
      <w:r>
        <w:rPr>
          <w:sz w:val="20"/>
        </w:rPr>
        <w:t>and</w:t>
      </w:r>
      <w:r>
        <w:rPr>
          <w:spacing w:val="-3"/>
          <w:sz w:val="20"/>
        </w:rPr>
        <w:t> </w:t>
      </w:r>
      <w:r>
        <w:rPr>
          <w:sz w:val="20"/>
        </w:rPr>
        <w:t>urban</w:t>
      </w:r>
      <w:r>
        <w:rPr>
          <w:spacing w:val="-3"/>
          <w:sz w:val="20"/>
        </w:rPr>
        <w:t> </w:t>
      </w:r>
      <w:r>
        <w:rPr>
          <w:sz w:val="20"/>
        </w:rPr>
        <w:t>environments that affect other cultures.</w:t>
      </w:r>
    </w:p>
    <w:p>
      <w:pPr>
        <w:pStyle w:val="ListParagraph"/>
        <w:numPr>
          <w:ilvl w:val="4"/>
          <w:numId w:val="10"/>
        </w:numPr>
        <w:tabs>
          <w:tab w:pos="1581" w:val="left" w:leader="none"/>
        </w:tabs>
        <w:spacing w:line="240" w:lineRule="auto" w:before="122" w:after="0"/>
        <w:ind w:left="1580" w:right="659" w:hanging="346"/>
        <w:jc w:val="left"/>
        <w:rPr>
          <w:sz w:val="20"/>
        </w:rPr>
      </w:pPr>
      <w:r>
        <w:rPr>
          <w:sz w:val="20"/>
        </w:rPr>
        <w:t>Professional Fee: In June, 2014, the Administration and Board of Trustees approved the implementation</w:t>
      </w:r>
      <w:r>
        <w:rPr>
          <w:spacing w:val="-3"/>
          <w:sz w:val="20"/>
        </w:rPr>
        <w:t> </w:t>
      </w:r>
      <w:r>
        <w:rPr>
          <w:sz w:val="20"/>
        </w:rPr>
        <w:t>of</w:t>
      </w:r>
      <w:r>
        <w:rPr>
          <w:spacing w:val="-3"/>
          <w:sz w:val="20"/>
        </w:rPr>
        <w:t> </w:t>
      </w:r>
      <w:r>
        <w:rPr>
          <w:sz w:val="20"/>
        </w:rPr>
        <w:t>the</w:t>
      </w:r>
      <w:r>
        <w:rPr>
          <w:spacing w:val="-3"/>
          <w:sz w:val="20"/>
        </w:rPr>
        <w:t> </w:t>
      </w:r>
      <w:r>
        <w:rPr>
          <w:sz w:val="20"/>
        </w:rPr>
        <w:t>Professional</w:t>
      </w:r>
      <w:r>
        <w:rPr>
          <w:spacing w:val="-4"/>
          <w:sz w:val="20"/>
        </w:rPr>
        <w:t> </w:t>
      </w:r>
      <w:r>
        <w:rPr>
          <w:sz w:val="20"/>
        </w:rPr>
        <w:t>Architecture</w:t>
      </w:r>
      <w:r>
        <w:rPr>
          <w:spacing w:val="-5"/>
          <w:sz w:val="20"/>
        </w:rPr>
        <w:t> </w:t>
      </w:r>
      <w:r>
        <w:rPr>
          <w:sz w:val="20"/>
        </w:rPr>
        <w:t>Fee.</w:t>
      </w:r>
      <w:r>
        <w:rPr>
          <w:spacing w:val="-5"/>
          <w:sz w:val="20"/>
        </w:rPr>
        <w:t> </w:t>
      </w:r>
      <w:r>
        <w:rPr>
          <w:sz w:val="20"/>
        </w:rPr>
        <w:t>One</w:t>
      </w:r>
      <w:r>
        <w:rPr>
          <w:spacing w:val="-5"/>
          <w:sz w:val="20"/>
        </w:rPr>
        <w:t> </w:t>
      </w:r>
      <w:r>
        <w:rPr>
          <w:sz w:val="20"/>
        </w:rPr>
        <w:t>of</w:t>
      </w:r>
      <w:r>
        <w:rPr>
          <w:spacing w:val="-3"/>
          <w:sz w:val="20"/>
        </w:rPr>
        <w:t> </w:t>
      </w:r>
      <w:r>
        <w:rPr>
          <w:sz w:val="20"/>
        </w:rPr>
        <w:t>the</w:t>
      </w:r>
      <w:r>
        <w:rPr>
          <w:spacing w:val="-3"/>
          <w:sz w:val="20"/>
        </w:rPr>
        <w:t> </w:t>
      </w:r>
      <w:r>
        <w:rPr>
          <w:sz w:val="20"/>
        </w:rPr>
        <w:t>items</w:t>
      </w:r>
      <w:r>
        <w:rPr>
          <w:spacing w:val="-5"/>
          <w:sz w:val="20"/>
        </w:rPr>
        <w:t> </w:t>
      </w:r>
      <w:r>
        <w:rPr>
          <w:sz w:val="20"/>
        </w:rPr>
        <w:t>covered</w:t>
      </w:r>
      <w:r>
        <w:rPr>
          <w:spacing w:val="-3"/>
          <w:sz w:val="20"/>
        </w:rPr>
        <w:t> </w:t>
      </w:r>
      <w:r>
        <w:rPr>
          <w:sz w:val="20"/>
        </w:rPr>
        <w:t>by</w:t>
      </w:r>
      <w:r>
        <w:rPr>
          <w:spacing w:val="-4"/>
          <w:sz w:val="20"/>
        </w:rPr>
        <w:t> </w:t>
      </w:r>
      <w:r>
        <w:rPr>
          <w:sz w:val="20"/>
        </w:rPr>
        <w:t>this</w:t>
      </w:r>
      <w:r>
        <w:rPr>
          <w:spacing w:val="-4"/>
          <w:sz w:val="20"/>
        </w:rPr>
        <w:t> </w:t>
      </w:r>
      <w:r>
        <w:rPr>
          <w:sz w:val="20"/>
        </w:rPr>
        <w:t>fee</w:t>
      </w:r>
      <w:r>
        <w:rPr>
          <w:spacing w:val="-5"/>
          <w:sz w:val="20"/>
        </w:rPr>
        <w:t> </w:t>
      </w:r>
      <w:r>
        <w:rPr>
          <w:sz w:val="20"/>
        </w:rPr>
        <w:t>is the requirement for students to obtain their NCARB files.</w:t>
      </w:r>
    </w:p>
    <w:p>
      <w:pPr>
        <w:pStyle w:val="ListParagraph"/>
        <w:numPr>
          <w:ilvl w:val="4"/>
          <w:numId w:val="10"/>
        </w:numPr>
        <w:tabs>
          <w:tab w:pos="1581" w:val="left" w:leader="none"/>
        </w:tabs>
        <w:spacing w:line="240" w:lineRule="auto" w:before="119" w:after="0"/>
        <w:ind w:left="1580" w:right="568" w:hanging="346"/>
        <w:jc w:val="both"/>
        <w:rPr>
          <w:sz w:val="20"/>
        </w:rPr>
      </w:pPr>
      <w:r>
        <w:rPr>
          <w:sz w:val="20"/>
        </w:rPr>
        <w:t>Guest</w:t>
      </w:r>
      <w:r>
        <w:rPr>
          <w:spacing w:val="-4"/>
          <w:sz w:val="20"/>
        </w:rPr>
        <w:t> </w:t>
      </w:r>
      <w:r>
        <w:rPr>
          <w:sz w:val="20"/>
        </w:rPr>
        <w:t>Reviewers;</w:t>
      </w:r>
      <w:r>
        <w:rPr>
          <w:spacing w:val="-4"/>
          <w:sz w:val="20"/>
        </w:rPr>
        <w:t> </w:t>
      </w:r>
      <w:r>
        <w:rPr>
          <w:sz w:val="20"/>
        </w:rPr>
        <w:t>Our</w:t>
      </w:r>
      <w:r>
        <w:rPr>
          <w:spacing w:val="-3"/>
          <w:sz w:val="20"/>
        </w:rPr>
        <w:t> </w:t>
      </w:r>
      <w:r>
        <w:rPr>
          <w:sz w:val="20"/>
        </w:rPr>
        <w:t>student</w:t>
      </w:r>
      <w:r>
        <w:rPr>
          <w:spacing w:val="-4"/>
          <w:sz w:val="20"/>
        </w:rPr>
        <w:t> </w:t>
      </w:r>
      <w:r>
        <w:rPr>
          <w:sz w:val="20"/>
        </w:rPr>
        <w:t>have</w:t>
      </w:r>
      <w:r>
        <w:rPr>
          <w:spacing w:val="-4"/>
          <w:sz w:val="20"/>
        </w:rPr>
        <w:t> </w:t>
      </w:r>
      <w:r>
        <w:rPr>
          <w:sz w:val="20"/>
        </w:rPr>
        <w:t>guest</w:t>
      </w:r>
      <w:r>
        <w:rPr>
          <w:spacing w:val="-4"/>
          <w:sz w:val="20"/>
        </w:rPr>
        <w:t> </w:t>
      </w:r>
      <w:r>
        <w:rPr>
          <w:sz w:val="20"/>
        </w:rPr>
        <w:t>reviewers</w:t>
      </w:r>
      <w:r>
        <w:rPr>
          <w:spacing w:val="-3"/>
          <w:sz w:val="20"/>
        </w:rPr>
        <w:t> </w:t>
      </w:r>
      <w:r>
        <w:rPr>
          <w:sz w:val="20"/>
        </w:rPr>
        <w:t>during</w:t>
      </w:r>
      <w:r>
        <w:rPr>
          <w:spacing w:val="-4"/>
          <w:sz w:val="20"/>
        </w:rPr>
        <w:t> </w:t>
      </w:r>
      <w:r>
        <w:rPr>
          <w:sz w:val="20"/>
        </w:rPr>
        <w:t>formal</w:t>
      </w:r>
      <w:r>
        <w:rPr>
          <w:spacing w:val="-5"/>
          <w:sz w:val="20"/>
        </w:rPr>
        <w:t> </w:t>
      </w:r>
      <w:r>
        <w:rPr>
          <w:sz w:val="20"/>
        </w:rPr>
        <w:t>presentations</w:t>
      </w:r>
      <w:r>
        <w:rPr>
          <w:spacing w:val="-3"/>
          <w:sz w:val="20"/>
        </w:rPr>
        <w:t> </w:t>
      </w:r>
      <w:r>
        <w:rPr>
          <w:sz w:val="20"/>
        </w:rPr>
        <w:t>that</w:t>
      </w:r>
      <w:r>
        <w:rPr>
          <w:spacing w:val="-2"/>
          <w:sz w:val="20"/>
        </w:rPr>
        <w:t> </w:t>
      </w:r>
      <w:r>
        <w:rPr>
          <w:sz w:val="20"/>
        </w:rPr>
        <w:t>include developers,</w:t>
      </w:r>
      <w:r>
        <w:rPr>
          <w:spacing w:val="-6"/>
          <w:sz w:val="20"/>
        </w:rPr>
        <w:t> </w:t>
      </w:r>
      <w:r>
        <w:rPr>
          <w:sz w:val="20"/>
        </w:rPr>
        <w:t>reviewers,</w:t>
      </w:r>
      <w:r>
        <w:rPr>
          <w:spacing w:val="-6"/>
          <w:sz w:val="20"/>
        </w:rPr>
        <w:t> </w:t>
      </w:r>
      <w:r>
        <w:rPr>
          <w:sz w:val="20"/>
        </w:rPr>
        <w:t>researchers,</w:t>
      </w:r>
      <w:r>
        <w:rPr>
          <w:spacing w:val="-6"/>
          <w:sz w:val="20"/>
        </w:rPr>
        <w:t> </w:t>
      </w:r>
      <w:r>
        <w:rPr>
          <w:sz w:val="20"/>
        </w:rPr>
        <w:t>consulting</w:t>
      </w:r>
      <w:r>
        <w:rPr>
          <w:spacing w:val="-4"/>
          <w:sz w:val="20"/>
        </w:rPr>
        <w:t> </w:t>
      </w:r>
      <w:r>
        <w:rPr>
          <w:sz w:val="20"/>
        </w:rPr>
        <w:t>engineers</w:t>
      </w:r>
      <w:r>
        <w:rPr>
          <w:spacing w:val="-5"/>
          <w:sz w:val="20"/>
        </w:rPr>
        <w:t> </w:t>
      </w:r>
      <w:r>
        <w:rPr>
          <w:sz w:val="20"/>
        </w:rPr>
        <w:t>and</w:t>
      </w:r>
      <w:r>
        <w:rPr>
          <w:spacing w:val="-6"/>
          <w:sz w:val="20"/>
        </w:rPr>
        <w:t> </w:t>
      </w:r>
      <w:r>
        <w:rPr>
          <w:sz w:val="20"/>
        </w:rPr>
        <w:t>architects</w:t>
      </w:r>
      <w:r>
        <w:rPr>
          <w:spacing w:val="-2"/>
          <w:sz w:val="20"/>
        </w:rPr>
        <w:t> </w:t>
      </w:r>
      <w:r>
        <w:rPr>
          <w:sz w:val="20"/>
        </w:rPr>
        <w:t>who</w:t>
      </w:r>
      <w:r>
        <w:rPr>
          <w:spacing w:val="-4"/>
          <w:sz w:val="20"/>
        </w:rPr>
        <w:t> </w:t>
      </w:r>
      <w:r>
        <w:rPr>
          <w:sz w:val="20"/>
        </w:rPr>
        <w:t>provide</w:t>
      </w:r>
      <w:r>
        <w:rPr>
          <w:spacing w:val="-6"/>
          <w:sz w:val="20"/>
        </w:rPr>
        <w:t> </w:t>
      </w:r>
      <w:r>
        <w:rPr>
          <w:sz w:val="20"/>
        </w:rPr>
        <w:t>critique for the work that they have done.</w:t>
      </w:r>
    </w:p>
    <w:p>
      <w:pPr>
        <w:pStyle w:val="BodyText"/>
        <w:spacing w:before="11"/>
      </w:pPr>
    </w:p>
    <w:p>
      <w:pPr>
        <w:pStyle w:val="BodyText"/>
        <w:ind w:left="1220" w:right="499"/>
      </w:pPr>
      <w:r>
        <w:rPr/>
        <w:t>There</w:t>
      </w:r>
      <w:r>
        <w:rPr>
          <w:spacing w:val="-4"/>
        </w:rPr>
        <w:t> </w:t>
      </w:r>
      <w:r>
        <w:rPr/>
        <w:t>are</w:t>
      </w:r>
      <w:r>
        <w:rPr>
          <w:spacing w:val="-4"/>
        </w:rPr>
        <w:t> </w:t>
      </w:r>
      <w:r>
        <w:rPr/>
        <w:t>several</w:t>
      </w:r>
      <w:r>
        <w:rPr>
          <w:spacing w:val="-3"/>
        </w:rPr>
        <w:t> </w:t>
      </w:r>
      <w:r>
        <w:rPr/>
        <w:t>additional</w:t>
      </w:r>
      <w:r>
        <w:rPr>
          <w:spacing w:val="-5"/>
        </w:rPr>
        <w:t> </w:t>
      </w:r>
      <w:r>
        <w:rPr/>
        <w:t>efforts</w:t>
      </w:r>
      <w:r>
        <w:rPr>
          <w:spacing w:val="-3"/>
        </w:rPr>
        <w:t> </w:t>
      </w:r>
      <w:r>
        <w:rPr/>
        <w:t>that</w:t>
      </w:r>
      <w:r>
        <w:rPr>
          <w:spacing w:val="-2"/>
        </w:rPr>
        <w:t> </w:t>
      </w:r>
      <w:r>
        <w:rPr/>
        <w:t>we</w:t>
      </w:r>
      <w:r>
        <w:rPr>
          <w:spacing w:val="-2"/>
        </w:rPr>
        <w:t> </w:t>
      </w:r>
      <w:r>
        <w:rPr/>
        <w:t>have</w:t>
      </w:r>
      <w:r>
        <w:rPr>
          <w:spacing w:val="-4"/>
        </w:rPr>
        <w:t> </w:t>
      </w:r>
      <w:r>
        <w:rPr/>
        <w:t>undertaken</w:t>
      </w:r>
      <w:r>
        <w:rPr>
          <w:spacing w:val="-4"/>
        </w:rPr>
        <w:t> </w:t>
      </w:r>
      <w:r>
        <w:rPr/>
        <w:t>to</w:t>
      </w:r>
      <w:r>
        <w:rPr>
          <w:spacing w:val="-4"/>
        </w:rPr>
        <w:t> </w:t>
      </w:r>
      <w:r>
        <w:rPr/>
        <w:t>place</w:t>
      </w:r>
      <w:r>
        <w:rPr>
          <w:spacing w:val="-4"/>
        </w:rPr>
        <w:t> </w:t>
      </w:r>
      <w:r>
        <w:rPr/>
        <w:t>an</w:t>
      </w:r>
      <w:r>
        <w:rPr>
          <w:spacing w:val="-4"/>
        </w:rPr>
        <w:t> </w:t>
      </w:r>
      <w:r>
        <w:rPr/>
        <w:t>emphasis on</w:t>
      </w:r>
      <w:r>
        <w:rPr>
          <w:spacing w:val="-2"/>
        </w:rPr>
        <w:t> </w:t>
      </w:r>
      <w:r>
        <w:rPr/>
        <w:t>licensure. These include:</w:t>
      </w:r>
    </w:p>
    <w:p>
      <w:pPr>
        <w:pStyle w:val="ListParagraph"/>
        <w:numPr>
          <w:ilvl w:val="0"/>
          <w:numId w:val="11"/>
        </w:numPr>
        <w:tabs>
          <w:tab w:pos="1581" w:val="left" w:leader="none"/>
        </w:tabs>
        <w:spacing w:line="240" w:lineRule="auto" w:before="118" w:after="0"/>
        <w:ind w:left="1580" w:right="767" w:hanging="346"/>
        <w:jc w:val="left"/>
        <w:rPr>
          <w:sz w:val="20"/>
        </w:rPr>
      </w:pPr>
      <w:r>
        <w:rPr>
          <w:sz w:val="20"/>
        </w:rPr>
        <w:t>During</w:t>
      </w:r>
      <w:r>
        <w:rPr>
          <w:spacing w:val="-2"/>
          <w:sz w:val="20"/>
        </w:rPr>
        <w:t> </w:t>
      </w:r>
      <w:r>
        <w:rPr>
          <w:sz w:val="20"/>
        </w:rPr>
        <w:t>the</w:t>
      </w:r>
      <w:r>
        <w:rPr>
          <w:spacing w:val="-2"/>
          <w:sz w:val="20"/>
        </w:rPr>
        <w:t> </w:t>
      </w:r>
      <w:r>
        <w:rPr>
          <w:sz w:val="20"/>
        </w:rPr>
        <w:t>fourth year of our</w:t>
      </w:r>
      <w:r>
        <w:rPr>
          <w:spacing w:val="-1"/>
          <w:sz w:val="20"/>
        </w:rPr>
        <w:t> </w:t>
      </w:r>
      <w:r>
        <w:rPr>
          <w:sz w:val="20"/>
        </w:rPr>
        <w:t>program,</w:t>
      </w:r>
      <w:r>
        <w:rPr>
          <w:spacing w:val="-2"/>
          <w:sz w:val="20"/>
        </w:rPr>
        <w:t> </w:t>
      </w:r>
      <w:r>
        <w:rPr>
          <w:sz w:val="20"/>
        </w:rPr>
        <w:t>students</w:t>
      </w:r>
      <w:r>
        <w:rPr>
          <w:spacing w:val="-1"/>
          <w:sz w:val="20"/>
        </w:rPr>
        <w:t> </w:t>
      </w:r>
      <w:r>
        <w:rPr>
          <w:sz w:val="20"/>
        </w:rPr>
        <w:t>enrolled</w:t>
      </w:r>
      <w:r>
        <w:rPr>
          <w:spacing w:val="-2"/>
          <w:sz w:val="20"/>
        </w:rPr>
        <w:t> </w:t>
      </w:r>
      <w:r>
        <w:rPr>
          <w:sz w:val="20"/>
        </w:rPr>
        <w:t>in the HUDA</w:t>
      </w:r>
      <w:r>
        <w:rPr>
          <w:spacing w:val="-3"/>
          <w:sz w:val="20"/>
        </w:rPr>
        <w:t> </w:t>
      </w:r>
      <w:r>
        <w:rPr>
          <w:sz w:val="20"/>
        </w:rPr>
        <w:t>are</w:t>
      </w:r>
      <w:r>
        <w:rPr>
          <w:spacing w:val="-2"/>
          <w:sz w:val="20"/>
        </w:rPr>
        <w:t> </w:t>
      </w:r>
      <w:r>
        <w:rPr>
          <w:sz w:val="20"/>
        </w:rPr>
        <w:t>required to</w:t>
      </w:r>
      <w:r>
        <w:rPr>
          <w:spacing w:val="-2"/>
          <w:sz w:val="20"/>
        </w:rPr>
        <w:t> </w:t>
      </w:r>
      <w:r>
        <w:rPr>
          <w:sz w:val="20"/>
        </w:rPr>
        <w:t>open NCARB files as part of the Professional Practice course (ARC 517). Those students are prepared for formal entry into the profession and are required to participate in paid internships during</w:t>
      </w:r>
      <w:r>
        <w:rPr>
          <w:spacing w:val="-1"/>
          <w:sz w:val="20"/>
        </w:rPr>
        <w:t> </w:t>
      </w:r>
      <w:r>
        <w:rPr>
          <w:sz w:val="20"/>
        </w:rPr>
        <w:t>the</w:t>
      </w:r>
      <w:r>
        <w:rPr>
          <w:spacing w:val="-1"/>
          <w:sz w:val="20"/>
        </w:rPr>
        <w:t> </w:t>
      </w:r>
      <w:r>
        <w:rPr>
          <w:sz w:val="20"/>
        </w:rPr>
        <w:t>summer before</w:t>
      </w:r>
      <w:r>
        <w:rPr>
          <w:spacing w:val="-1"/>
          <w:sz w:val="20"/>
        </w:rPr>
        <w:t> </w:t>
      </w:r>
      <w:r>
        <w:rPr>
          <w:sz w:val="20"/>
        </w:rPr>
        <w:t>their fifth year. During</w:t>
      </w:r>
      <w:r>
        <w:rPr>
          <w:spacing w:val="-1"/>
          <w:sz w:val="20"/>
        </w:rPr>
        <w:t> </w:t>
      </w:r>
      <w:r>
        <w:rPr>
          <w:sz w:val="20"/>
        </w:rPr>
        <w:t>the</w:t>
      </w:r>
      <w:r>
        <w:rPr>
          <w:spacing w:val="-1"/>
          <w:sz w:val="20"/>
        </w:rPr>
        <w:t> </w:t>
      </w:r>
      <w:r>
        <w:rPr>
          <w:sz w:val="20"/>
        </w:rPr>
        <w:t>instruction for this course, students are</w:t>
      </w:r>
      <w:r>
        <w:rPr>
          <w:spacing w:val="-2"/>
          <w:sz w:val="20"/>
        </w:rPr>
        <w:t> </w:t>
      </w:r>
      <w:r>
        <w:rPr>
          <w:sz w:val="20"/>
        </w:rPr>
        <w:t>required</w:t>
      </w:r>
      <w:r>
        <w:rPr>
          <w:spacing w:val="-2"/>
          <w:sz w:val="20"/>
        </w:rPr>
        <w:t> </w:t>
      </w:r>
      <w:r>
        <w:rPr>
          <w:sz w:val="20"/>
        </w:rPr>
        <w:t>to prepare</w:t>
      </w:r>
      <w:r>
        <w:rPr>
          <w:spacing w:val="-2"/>
          <w:sz w:val="20"/>
        </w:rPr>
        <w:t> </w:t>
      </w:r>
      <w:r>
        <w:rPr>
          <w:sz w:val="20"/>
        </w:rPr>
        <w:t>materials</w:t>
      </w:r>
      <w:r>
        <w:rPr>
          <w:spacing w:val="-1"/>
          <w:sz w:val="20"/>
        </w:rPr>
        <w:t> </w:t>
      </w:r>
      <w:r>
        <w:rPr>
          <w:sz w:val="20"/>
        </w:rPr>
        <w:t>needed</w:t>
      </w:r>
      <w:r>
        <w:rPr>
          <w:spacing w:val="-2"/>
          <w:sz w:val="20"/>
        </w:rPr>
        <w:t> </w:t>
      </w:r>
      <w:r>
        <w:rPr>
          <w:sz w:val="20"/>
        </w:rPr>
        <w:t>to professionally</w:t>
      </w:r>
      <w:r>
        <w:rPr>
          <w:spacing w:val="-5"/>
          <w:sz w:val="20"/>
        </w:rPr>
        <w:t> </w:t>
      </w:r>
      <w:r>
        <w:rPr>
          <w:sz w:val="20"/>
        </w:rPr>
        <w:t>present</w:t>
      </w:r>
      <w:r>
        <w:rPr>
          <w:spacing w:val="-2"/>
          <w:sz w:val="20"/>
        </w:rPr>
        <w:t> </w:t>
      </w:r>
      <w:r>
        <w:rPr>
          <w:sz w:val="20"/>
        </w:rPr>
        <w:t>themselves</w:t>
      </w:r>
      <w:r>
        <w:rPr>
          <w:spacing w:val="-1"/>
          <w:sz w:val="20"/>
        </w:rPr>
        <w:t> </w:t>
      </w:r>
      <w:r>
        <w:rPr>
          <w:sz w:val="20"/>
        </w:rPr>
        <w:t>to job</w:t>
      </w:r>
      <w:r>
        <w:rPr>
          <w:spacing w:val="-5"/>
          <w:sz w:val="20"/>
        </w:rPr>
        <w:t> </w:t>
      </w:r>
      <w:r>
        <w:rPr>
          <w:sz w:val="20"/>
        </w:rPr>
        <w:t>opportunities.</w:t>
      </w:r>
      <w:r>
        <w:rPr>
          <w:spacing w:val="-5"/>
          <w:sz w:val="20"/>
        </w:rPr>
        <w:t> </w:t>
      </w:r>
      <w:r>
        <w:rPr>
          <w:sz w:val="20"/>
        </w:rPr>
        <w:t>Students</w:t>
      </w:r>
      <w:r>
        <w:rPr>
          <w:spacing w:val="-1"/>
          <w:sz w:val="20"/>
        </w:rPr>
        <w:t> </w:t>
      </w:r>
      <w:r>
        <w:rPr>
          <w:sz w:val="20"/>
        </w:rPr>
        <w:t>are</w:t>
      </w:r>
      <w:r>
        <w:rPr>
          <w:spacing w:val="-5"/>
          <w:sz w:val="20"/>
        </w:rPr>
        <w:t> </w:t>
      </w:r>
      <w:r>
        <w:rPr>
          <w:sz w:val="20"/>
        </w:rPr>
        <w:t>paired</w:t>
      </w:r>
      <w:r>
        <w:rPr>
          <w:spacing w:val="-3"/>
          <w:sz w:val="20"/>
        </w:rPr>
        <w:t> </w:t>
      </w:r>
      <w:r>
        <w:rPr>
          <w:sz w:val="20"/>
        </w:rPr>
        <w:t>with</w:t>
      </w:r>
      <w:r>
        <w:rPr>
          <w:spacing w:val="-5"/>
          <w:sz w:val="20"/>
        </w:rPr>
        <w:t> </w:t>
      </w:r>
      <w:r>
        <w:rPr>
          <w:sz w:val="20"/>
        </w:rPr>
        <w:t>mentors</w:t>
      </w:r>
      <w:r>
        <w:rPr>
          <w:spacing w:val="-4"/>
          <w:sz w:val="20"/>
        </w:rPr>
        <w:t> </w:t>
      </w:r>
      <w:r>
        <w:rPr>
          <w:sz w:val="20"/>
        </w:rPr>
        <w:t>in</w:t>
      </w:r>
      <w:r>
        <w:rPr>
          <w:spacing w:val="-3"/>
          <w:sz w:val="20"/>
        </w:rPr>
        <w:t> </w:t>
      </w:r>
      <w:r>
        <w:rPr>
          <w:sz w:val="20"/>
        </w:rPr>
        <w:t>areas</w:t>
      </w:r>
      <w:r>
        <w:rPr>
          <w:spacing w:val="-1"/>
          <w:sz w:val="20"/>
        </w:rPr>
        <w:t> </w:t>
      </w:r>
      <w:r>
        <w:rPr>
          <w:sz w:val="20"/>
        </w:rPr>
        <w:t>where</w:t>
      </w:r>
      <w:r>
        <w:rPr>
          <w:spacing w:val="-5"/>
          <w:sz w:val="20"/>
        </w:rPr>
        <w:t> </w:t>
      </w:r>
      <w:r>
        <w:rPr>
          <w:sz w:val="20"/>
        </w:rPr>
        <w:t>they</w:t>
      </w:r>
      <w:r>
        <w:rPr>
          <w:spacing w:val="-5"/>
          <w:sz w:val="20"/>
        </w:rPr>
        <w:t> </w:t>
      </w:r>
      <w:r>
        <w:rPr>
          <w:sz w:val="20"/>
        </w:rPr>
        <w:t>express</w:t>
      </w:r>
      <w:r>
        <w:rPr>
          <w:spacing w:val="-4"/>
          <w:sz w:val="20"/>
        </w:rPr>
        <w:t> </w:t>
      </w:r>
      <w:r>
        <w:rPr>
          <w:sz w:val="20"/>
        </w:rPr>
        <w:t>interest</w:t>
      </w:r>
      <w:r>
        <w:rPr>
          <w:spacing w:val="-5"/>
          <w:sz w:val="20"/>
        </w:rPr>
        <w:t> </w:t>
      </w:r>
      <w:r>
        <w:rPr>
          <w:sz w:val="20"/>
        </w:rPr>
        <w:t>in working. Other specific requirements of the class include:</w:t>
      </w:r>
    </w:p>
    <w:p>
      <w:pPr>
        <w:pStyle w:val="ListParagraph"/>
        <w:numPr>
          <w:ilvl w:val="1"/>
          <w:numId w:val="11"/>
        </w:numPr>
        <w:tabs>
          <w:tab w:pos="1941" w:val="left" w:leader="none"/>
        </w:tabs>
        <w:spacing w:line="240" w:lineRule="auto" w:before="121" w:after="0"/>
        <w:ind w:left="1940" w:right="0" w:hanging="361"/>
        <w:jc w:val="left"/>
        <w:rPr>
          <w:sz w:val="20"/>
        </w:rPr>
      </w:pPr>
      <w:r>
        <w:rPr>
          <w:sz w:val="20"/>
        </w:rPr>
        <w:t>Site</w:t>
      </w:r>
      <w:r>
        <w:rPr>
          <w:spacing w:val="-7"/>
          <w:sz w:val="20"/>
        </w:rPr>
        <w:t> </w:t>
      </w:r>
      <w:r>
        <w:rPr>
          <w:sz w:val="20"/>
        </w:rPr>
        <w:t>visits</w:t>
      </w:r>
      <w:r>
        <w:rPr>
          <w:spacing w:val="-5"/>
          <w:sz w:val="20"/>
        </w:rPr>
        <w:t> </w:t>
      </w:r>
      <w:r>
        <w:rPr>
          <w:sz w:val="20"/>
        </w:rPr>
        <w:t>to</w:t>
      </w:r>
      <w:r>
        <w:rPr>
          <w:spacing w:val="-7"/>
          <w:sz w:val="20"/>
        </w:rPr>
        <w:t> </w:t>
      </w:r>
      <w:r>
        <w:rPr>
          <w:sz w:val="20"/>
        </w:rPr>
        <w:t>local</w:t>
      </w:r>
      <w:r>
        <w:rPr>
          <w:spacing w:val="-4"/>
          <w:sz w:val="20"/>
        </w:rPr>
        <w:t> </w:t>
      </w:r>
      <w:r>
        <w:rPr>
          <w:sz w:val="20"/>
        </w:rPr>
        <w:t>architect</w:t>
      </w:r>
      <w:r>
        <w:rPr>
          <w:spacing w:val="-5"/>
          <w:sz w:val="20"/>
        </w:rPr>
        <w:t> </w:t>
      </w:r>
      <w:r>
        <w:rPr>
          <w:spacing w:val="-2"/>
          <w:sz w:val="20"/>
        </w:rPr>
        <w:t>offices</w:t>
      </w:r>
    </w:p>
    <w:p>
      <w:pPr>
        <w:pStyle w:val="ListParagraph"/>
        <w:numPr>
          <w:ilvl w:val="1"/>
          <w:numId w:val="11"/>
        </w:numPr>
        <w:tabs>
          <w:tab w:pos="1941" w:val="left" w:leader="none"/>
        </w:tabs>
        <w:spacing w:line="240" w:lineRule="auto" w:before="121" w:after="0"/>
        <w:ind w:left="1940" w:right="796" w:hanging="360"/>
        <w:jc w:val="left"/>
        <w:rPr>
          <w:sz w:val="20"/>
        </w:rPr>
      </w:pPr>
      <w:r>
        <w:rPr>
          <w:sz w:val="20"/>
        </w:rPr>
        <w:t>Students</w:t>
      </w:r>
      <w:r>
        <w:rPr>
          <w:spacing w:val="-2"/>
          <w:sz w:val="20"/>
        </w:rPr>
        <w:t> </w:t>
      </w:r>
      <w:r>
        <w:rPr>
          <w:sz w:val="20"/>
        </w:rPr>
        <w:t>are</w:t>
      </w:r>
      <w:r>
        <w:rPr>
          <w:spacing w:val="-4"/>
          <w:sz w:val="20"/>
        </w:rPr>
        <w:t> </w:t>
      </w:r>
      <w:r>
        <w:rPr>
          <w:sz w:val="20"/>
        </w:rPr>
        <w:t>required</w:t>
      </w:r>
      <w:r>
        <w:rPr>
          <w:spacing w:val="-2"/>
          <w:sz w:val="20"/>
        </w:rPr>
        <w:t> </w:t>
      </w:r>
      <w:r>
        <w:rPr>
          <w:sz w:val="20"/>
        </w:rPr>
        <w:t>to</w:t>
      </w:r>
      <w:r>
        <w:rPr>
          <w:spacing w:val="-2"/>
          <w:sz w:val="20"/>
        </w:rPr>
        <w:t> </w:t>
      </w:r>
      <w:r>
        <w:rPr>
          <w:sz w:val="20"/>
        </w:rPr>
        <w:t>open</w:t>
      </w:r>
      <w:r>
        <w:rPr>
          <w:spacing w:val="-4"/>
          <w:sz w:val="20"/>
        </w:rPr>
        <w:t> </w:t>
      </w:r>
      <w:r>
        <w:rPr>
          <w:sz w:val="20"/>
        </w:rPr>
        <w:t>their</w:t>
      </w:r>
      <w:r>
        <w:rPr>
          <w:spacing w:val="-3"/>
          <w:sz w:val="20"/>
        </w:rPr>
        <w:t> </w:t>
      </w:r>
      <w:r>
        <w:rPr>
          <w:sz w:val="20"/>
        </w:rPr>
        <w:t>NCARB</w:t>
      </w:r>
      <w:r>
        <w:rPr>
          <w:spacing w:val="-5"/>
          <w:sz w:val="20"/>
        </w:rPr>
        <w:t> </w:t>
      </w:r>
      <w:r>
        <w:rPr>
          <w:sz w:val="20"/>
        </w:rPr>
        <w:t>file</w:t>
      </w:r>
      <w:r>
        <w:rPr>
          <w:spacing w:val="-4"/>
          <w:sz w:val="20"/>
        </w:rPr>
        <w:t> </w:t>
      </w:r>
      <w:r>
        <w:rPr>
          <w:sz w:val="20"/>
        </w:rPr>
        <w:t>as</w:t>
      </w:r>
      <w:r>
        <w:rPr>
          <w:spacing w:val="-3"/>
          <w:sz w:val="20"/>
        </w:rPr>
        <w:t> </w:t>
      </w:r>
      <w:r>
        <w:rPr>
          <w:sz w:val="20"/>
        </w:rPr>
        <w:t>part</w:t>
      </w:r>
      <w:r>
        <w:rPr>
          <w:spacing w:val="-4"/>
          <w:sz w:val="20"/>
        </w:rPr>
        <w:t> </w:t>
      </w:r>
      <w:r>
        <w:rPr>
          <w:sz w:val="20"/>
        </w:rPr>
        <w:t>of</w:t>
      </w:r>
      <w:r>
        <w:rPr>
          <w:spacing w:val="-2"/>
          <w:sz w:val="20"/>
        </w:rPr>
        <w:t> </w:t>
      </w:r>
      <w:r>
        <w:rPr>
          <w:sz w:val="20"/>
        </w:rPr>
        <w:t>the</w:t>
      </w:r>
      <w:r>
        <w:rPr>
          <w:spacing w:val="-4"/>
          <w:sz w:val="20"/>
        </w:rPr>
        <w:t> </w:t>
      </w:r>
      <w:r>
        <w:rPr>
          <w:sz w:val="20"/>
        </w:rPr>
        <w:t>course</w:t>
      </w:r>
      <w:r>
        <w:rPr>
          <w:spacing w:val="-4"/>
          <w:sz w:val="20"/>
        </w:rPr>
        <w:t> </w:t>
      </w:r>
      <w:r>
        <w:rPr>
          <w:sz w:val="20"/>
        </w:rPr>
        <w:t>requirements.</w:t>
      </w:r>
      <w:r>
        <w:rPr>
          <w:spacing w:val="-4"/>
          <w:sz w:val="20"/>
        </w:rPr>
        <w:t> </w:t>
      </w:r>
      <w:r>
        <w:rPr>
          <w:sz w:val="20"/>
        </w:rPr>
        <w:t>To date, it has counted 20-25% of the final grade, to insure that students meet the requirement in order to successfully complete the course.</w:t>
      </w:r>
    </w:p>
    <w:p>
      <w:pPr>
        <w:spacing w:after="0" w:line="240" w:lineRule="auto"/>
        <w:jc w:val="left"/>
        <w:rPr>
          <w:sz w:val="20"/>
        </w:rPr>
        <w:sectPr>
          <w:pgSz w:w="12240" w:h="15840"/>
          <w:pgMar w:header="0" w:footer="974" w:top="1360" w:bottom="1160" w:left="940" w:right="960"/>
        </w:sectPr>
      </w:pPr>
    </w:p>
    <w:p>
      <w:pPr>
        <w:pStyle w:val="ListParagraph"/>
        <w:numPr>
          <w:ilvl w:val="0"/>
          <w:numId w:val="11"/>
        </w:numPr>
        <w:tabs>
          <w:tab w:pos="1581" w:val="left" w:leader="none"/>
        </w:tabs>
        <w:spacing w:line="240" w:lineRule="auto" w:before="77" w:after="0"/>
        <w:ind w:left="1580" w:right="699" w:hanging="346"/>
        <w:jc w:val="left"/>
        <w:rPr>
          <w:sz w:val="20"/>
        </w:rPr>
      </w:pPr>
      <w:r>
        <w:rPr>
          <w:sz w:val="20"/>
        </w:rPr>
        <w:t>Students</w:t>
      </w:r>
      <w:r>
        <w:rPr>
          <w:spacing w:val="-3"/>
          <w:sz w:val="20"/>
        </w:rPr>
        <w:t> </w:t>
      </w:r>
      <w:r>
        <w:rPr>
          <w:sz w:val="20"/>
        </w:rPr>
        <w:t>are</w:t>
      </w:r>
      <w:r>
        <w:rPr>
          <w:spacing w:val="-4"/>
          <w:sz w:val="20"/>
        </w:rPr>
        <w:t> </w:t>
      </w:r>
      <w:r>
        <w:rPr>
          <w:sz w:val="20"/>
        </w:rPr>
        <w:t>required</w:t>
      </w:r>
      <w:r>
        <w:rPr>
          <w:spacing w:val="-3"/>
          <w:sz w:val="20"/>
        </w:rPr>
        <w:t> </w:t>
      </w:r>
      <w:r>
        <w:rPr>
          <w:sz w:val="20"/>
        </w:rPr>
        <w:t>to</w:t>
      </w:r>
      <w:r>
        <w:rPr>
          <w:spacing w:val="-3"/>
          <w:sz w:val="20"/>
        </w:rPr>
        <w:t> </w:t>
      </w:r>
      <w:r>
        <w:rPr>
          <w:sz w:val="20"/>
        </w:rPr>
        <w:t>obtain</w:t>
      </w:r>
      <w:r>
        <w:rPr>
          <w:spacing w:val="-3"/>
          <w:sz w:val="20"/>
        </w:rPr>
        <w:t> </w:t>
      </w:r>
      <w:r>
        <w:rPr>
          <w:sz w:val="20"/>
        </w:rPr>
        <w:t>credits</w:t>
      </w:r>
      <w:r>
        <w:rPr>
          <w:spacing w:val="-3"/>
          <w:sz w:val="20"/>
        </w:rPr>
        <w:t> </w:t>
      </w:r>
      <w:r>
        <w:rPr>
          <w:sz w:val="20"/>
        </w:rPr>
        <w:t>toward</w:t>
      </w:r>
      <w:r>
        <w:rPr>
          <w:spacing w:val="-3"/>
          <w:sz w:val="20"/>
        </w:rPr>
        <w:t> </w:t>
      </w:r>
      <w:r>
        <w:rPr>
          <w:sz w:val="20"/>
        </w:rPr>
        <w:t>their</w:t>
      </w:r>
      <w:r>
        <w:rPr>
          <w:spacing w:val="-3"/>
          <w:sz w:val="20"/>
        </w:rPr>
        <w:t> </w:t>
      </w:r>
      <w:r>
        <w:rPr>
          <w:sz w:val="20"/>
        </w:rPr>
        <w:t>IDP</w:t>
      </w:r>
      <w:r>
        <w:rPr>
          <w:spacing w:val="-5"/>
          <w:sz w:val="20"/>
        </w:rPr>
        <w:t> </w:t>
      </w:r>
      <w:r>
        <w:rPr>
          <w:sz w:val="20"/>
        </w:rPr>
        <w:t>during</w:t>
      </w:r>
      <w:r>
        <w:rPr>
          <w:spacing w:val="-3"/>
          <w:sz w:val="20"/>
        </w:rPr>
        <w:t> </w:t>
      </w:r>
      <w:r>
        <w:rPr>
          <w:sz w:val="20"/>
        </w:rPr>
        <w:t>the</w:t>
      </w:r>
      <w:r>
        <w:rPr>
          <w:spacing w:val="-3"/>
          <w:sz w:val="20"/>
        </w:rPr>
        <w:t> </w:t>
      </w:r>
      <w:r>
        <w:rPr>
          <w:sz w:val="20"/>
        </w:rPr>
        <w:t>summer</w:t>
      </w:r>
      <w:r>
        <w:rPr>
          <w:spacing w:val="-3"/>
          <w:sz w:val="20"/>
        </w:rPr>
        <w:t> </w:t>
      </w:r>
      <w:r>
        <w:rPr>
          <w:sz w:val="20"/>
        </w:rPr>
        <w:t>prior</w:t>
      </w:r>
      <w:r>
        <w:rPr>
          <w:spacing w:val="-3"/>
          <w:sz w:val="20"/>
        </w:rPr>
        <w:t> </w:t>
      </w:r>
      <w:r>
        <w:rPr>
          <w:sz w:val="20"/>
        </w:rPr>
        <w:t>to</w:t>
      </w:r>
      <w:r>
        <w:rPr>
          <w:spacing w:val="-4"/>
          <w:sz w:val="20"/>
        </w:rPr>
        <w:t> </w:t>
      </w:r>
      <w:r>
        <w:rPr>
          <w:sz w:val="20"/>
        </w:rPr>
        <w:t>entering the 5th (Architectural Professional, AP) year of their matriculation. These credits can be obtained in any manner that fulfills the requirements and work settings established by </w:t>
      </w:r>
      <w:r>
        <w:rPr>
          <w:spacing w:val="-2"/>
          <w:sz w:val="20"/>
        </w:rPr>
        <w:t>NCARB.</w:t>
      </w:r>
    </w:p>
    <w:p>
      <w:pPr>
        <w:pStyle w:val="ListParagraph"/>
        <w:numPr>
          <w:ilvl w:val="0"/>
          <w:numId w:val="11"/>
        </w:numPr>
        <w:tabs>
          <w:tab w:pos="1581" w:val="left" w:leader="none"/>
        </w:tabs>
        <w:spacing w:line="240" w:lineRule="auto" w:before="117" w:after="0"/>
        <w:ind w:left="1580" w:right="687" w:hanging="346"/>
        <w:jc w:val="left"/>
        <w:rPr>
          <w:sz w:val="20"/>
        </w:rPr>
      </w:pPr>
      <w:r>
        <w:rPr>
          <w:sz w:val="20"/>
        </w:rPr>
        <w:t>We</w:t>
      </w:r>
      <w:r>
        <w:rPr>
          <w:spacing w:val="-6"/>
          <w:sz w:val="20"/>
        </w:rPr>
        <w:t> </w:t>
      </w:r>
      <w:r>
        <w:rPr>
          <w:sz w:val="20"/>
        </w:rPr>
        <w:t>have</w:t>
      </w:r>
      <w:r>
        <w:rPr>
          <w:spacing w:val="-3"/>
          <w:sz w:val="20"/>
        </w:rPr>
        <w:t> </w:t>
      </w:r>
      <w:r>
        <w:rPr>
          <w:sz w:val="20"/>
        </w:rPr>
        <w:t>teamed</w:t>
      </w:r>
      <w:r>
        <w:rPr>
          <w:spacing w:val="-3"/>
          <w:sz w:val="20"/>
        </w:rPr>
        <w:t> </w:t>
      </w:r>
      <w:r>
        <w:rPr>
          <w:sz w:val="20"/>
        </w:rPr>
        <w:t>with</w:t>
      </w:r>
      <w:r>
        <w:rPr>
          <w:spacing w:val="-1"/>
          <w:sz w:val="20"/>
        </w:rPr>
        <w:t> </w:t>
      </w:r>
      <w:r>
        <w:rPr>
          <w:sz w:val="20"/>
        </w:rPr>
        <w:t>the</w:t>
      </w:r>
      <w:r>
        <w:rPr>
          <w:spacing w:val="-1"/>
          <w:sz w:val="20"/>
        </w:rPr>
        <w:t> </w:t>
      </w:r>
      <w:r>
        <w:rPr>
          <w:sz w:val="20"/>
        </w:rPr>
        <w:t>State</w:t>
      </w:r>
      <w:r>
        <w:rPr>
          <w:spacing w:val="-1"/>
          <w:sz w:val="20"/>
        </w:rPr>
        <w:t> </w:t>
      </w:r>
      <w:r>
        <w:rPr>
          <w:sz w:val="20"/>
        </w:rPr>
        <w:t>affiliate,</w:t>
      </w:r>
      <w:r>
        <w:rPr>
          <w:spacing w:val="-1"/>
          <w:sz w:val="20"/>
        </w:rPr>
        <w:t> </w:t>
      </w:r>
      <w:r>
        <w:rPr>
          <w:sz w:val="20"/>
        </w:rPr>
        <w:t>the</w:t>
      </w:r>
      <w:r>
        <w:rPr>
          <w:spacing w:val="-1"/>
          <w:sz w:val="20"/>
        </w:rPr>
        <w:t> </w:t>
      </w:r>
      <w:r>
        <w:rPr>
          <w:b/>
          <w:sz w:val="20"/>
        </w:rPr>
        <w:t>Virginia</w:t>
      </w:r>
      <w:r>
        <w:rPr>
          <w:b/>
          <w:spacing w:val="-1"/>
          <w:sz w:val="20"/>
        </w:rPr>
        <w:t> </w:t>
      </w:r>
      <w:r>
        <w:rPr>
          <w:b/>
          <w:sz w:val="20"/>
        </w:rPr>
        <w:t>Society</w:t>
      </w:r>
      <w:r>
        <w:rPr>
          <w:b/>
          <w:spacing w:val="-6"/>
          <w:sz w:val="20"/>
        </w:rPr>
        <w:t> </w:t>
      </w:r>
      <w:r>
        <w:rPr>
          <w:b/>
          <w:sz w:val="20"/>
        </w:rPr>
        <w:t>of</w:t>
      </w:r>
      <w:r>
        <w:rPr>
          <w:b/>
          <w:spacing w:val="-2"/>
          <w:sz w:val="20"/>
        </w:rPr>
        <w:t> </w:t>
      </w:r>
      <w:r>
        <w:rPr>
          <w:b/>
          <w:sz w:val="20"/>
        </w:rPr>
        <w:t>the American</w:t>
      </w:r>
      <w:r>
        <w:rPr>
          <w:b/>
          <w:spacing w:val="-2"/>
          <w:sz w:val="20"/>
        </w:rPr>
        <w:t> </w:t>
      </w:r>
      <w:r>
        <w:rPr>
          <w:b/>
          <w:sz w:val="20"/>
        </w:rPr>
        <w:t>Institute</w:t>
      </w:r>
      <w:r>
        <w:rPr>
          <w:b/>
          <w:spacing w:val="-3"/>
          <w:sz w:val="20"/>
        </w:rPr>
        <w:t> </w:t>
      </w:r>
      <w:r>
        <w:rPr>
          <w:b/>
          <w:sz w:val="20"/>
        </w:rPr>
        <w:t>of Architects </w:t>
      </w:r>
      <w:r>
        <w:rPr>
          <w:sz w:val="20"/>
        </w:rPr>
        <w:t>to ensure that our students attend the annual conference at no expense. This process</w:t>
      </w:r>
      <w:r>
        <w:rPr>
          <w:spacing w:val="-2"/>
          <w:sz w:val="20"/>
        </w:rPr>
        <w:t> </w:t>
      </w:r>
      <w:r>
        <w:rPr>
          <w:sz w:val="20"/>
        </w:rPr>
        <w:t>began</w:t>
      </w:r>
      <w:r>
        <w:rPr>
          <w:spacing w:val="-3"/>
          <w:sz w:val="20"/>
        </w:rPr>
        <w:t> </w:t>
      </w:r>
      <w:r>
        <w:rPr>
          <w:sz w:val="20"/>
        </w:rPr>
        <w:t>in</w:t>
      </w:r>
      <w:r>
        <w:rPr>
          <w:spacing w:val="-3"/>
          <w:sz w:val="20"/>
        </w:rPr>
        <w:t> </w:t>
      </w:r>
      <w:r>
        <w:rPr>
          <w:sz w:val="20"/>
        </w:rPr>
        <w:t>Fall,</w:t>
      </w:r>
      <w:r>
        <w:rPr>
          <w:spacing w:val="-1"/>
          <w:sz w:val="20"/>
        </w:rPr>
        <w:t> </w:t>
      </w:r>
      <w:r>
        <w:rPr>
          <w:sz w:val="20"/>
        </w:rPr>
        <w:t>2009,</w:t>
      </w:r>
      <w:r>
        <w:rPr>
          <w:spacing w:val="-1"/>
          <w:sz w:val="20"/>
        </w:rPr>
        <w:t> </w:t>
      </w:r>
      <w:r>
        <w:rPr>
          <w:sz w:val="20"/>
        </w:rPr>
        <w:t>when</w:t>
      </w:r>
      <w:r>
        <w:rPr>
          <w:spacing w:val="-3"/>
          <w:sz w:val="20"/>
        </w:rPr>
        <w:t> </w:t>
      </w:r>
      <w:r>
        <w:rPr>
          <w:sz w:val="20"/>
        </w:rPr>
        <w:t>the</w:t>
      </w:r>
      <w:r>
        <w:rPr>
          <w:spacing w:val="-3"/>
          <w:sz w:val="20"/>
        </w:rPr>
        <w:t> </w:t>
      </w:r>
      <w:r>
        <w:rPr>
          <w:sz w:val="20"/>
        </w:rPr>
        <w:t>students were</w:t>
      </w:r>
      <w:r>
        <w:rPr>
          <w:spacing w:val="-1"/>
          <w:sz w:val="20"/>
        </w:rPr>
        <w:t> </w:t>
      </w:r>
      <w:r>
        <w:rPr>
          <w:sz w:val="20"/>
        </w:rPr>
        <w:t>hosted</w:t>
      </w:r>
      <w:r>
        <w:rPr>
          <w:spacing w:val="-1"/>
          <w:sz w:val="20"/>
        </w:rPr>
        <w:t> </w:t>
      </w:r>
      <w:r>
        <w:rPr>
          <w:sz w:val="20"/>
        </w:rPr>
        <w:t>by</w:t>
      </w:r>
      <w:r>
        <w:rPr>
          <w:spacing w:val="-4"/>
          <w:sz w:val="20"/>
        </w:rPr>
        <w:t> </w:t>
      </w:r>
      <w:r>
        <w:rPr>
          <w:sz w:val="20"/>
        </w:rPr>
        <w:t>the</w:t>
      </w:r>
      <w:r>
        <w:rPr>
          <w:spacing w:val="-1"/>
          <w:sz w:val="20"/>
        </w:rPr>
        <w:t> </w:t>
      </w:r>
      <w:r>
        <w:rPr>
          <w:sz w:val="20"/>
        </w:rPr>
        <w:t>state</w:t>
      </w:r>
      <w:r>
        <w:rPr>
          <w:spacing w:val="-1"/>
          <w:sz w:val="20"/>
        </w:rPr>
        <w:t> </w:t>
      </w:r>
      <w:r>
        <w:rPr>
          <w:sz w:val="20"/>
        </w:rPr>
        <w:t>headquarters</w:t>
      </w:r>
      <w:r>
        <w:rPr>
          <w:spacing w:val="-2"/>
          <w:sz w:val="20"/>
        </w:rPr>
        <w:t> </w:t>
      </w:r>
      <w:r>
        <w:rPr>
          <w:sz w:val="20"/>
        </w:rPr>
        <w:t>and its CEO, John Brayer. A lunch was served to nearly 190 students, and presentations were made by state board members, followed by tours of the facility. In subsequent years, the program has</w:t>
      </w:r>
      <w:r>
        <w:rPr>
          <w:spacing w:val="-3"/>
          <w:sz w:val="20"/>
        </w:rPr>
        <w:t> </w:t>
      </w:r>
      <w:r>
        <w:rPr>
          <w:sz w:val="20"/>
        </w:rPr>
        <w:t>continued</w:t>
      </w:r>
      <w:r>
        <w:rPr>
          <w:spacing w:val="-2"/>
          <w:sz w:val="20"/>
        </w:rPr>
        <w:t> </w:t>
      </w:r>
      <w:r>
        <w:rPr>
          <w:sz w:val="20"/>
        </w:rPr>
        <w:t>to</w:t>
      </w:r>
      <w:r>
        <w:rPr>
          <w:spacing w:val="-2"/>
          <w:sz w:val="20"/>
        </w:rPr>
        <w:t> </w:t>
      </w:r>
      <w:r>
        <w:rPr>
          <w:sz w:val="20"/>
        </w:rPr>
        <w:t>mandate</w:t>
      </w:r>
      <w:r>
        <w:rPr>
          <w:spacing w:val="-4"/>
          <w:sz w:val="20"/>
        </w:rPr>
        <w:t> </w:t>
      </w:r>
      <w:r>
        <w:rPr>
          <w:sz w:val="20"/>
        </w:rPr>
        <w:t>student</w:t>
      </w:r>
      <w:r>
        <w:rPr>
          <w:spacing w:val="-4"/>
          <w:sz w:val="20"/>
        </w:rPr>
        <w:t> </w:t>
      </w:r>
      <w:r>
        <w:rPr>
          <w:sz w:val="20"/>
        </w:rPr>
        <w:t>participation</w:t>
      </w:r>
      <w:r>
        <w:rPr>
          <w:spacing w:val="-4"/>
          <w:sz w:val="20"/>
        </w:rPr>
        <w:t> </w:t>
      </w:r>
      <w:r>
        <w:rPr>
          <w:sz w:val="20"/>
        </w:rPr>
        <w:t>in</w:t>
      </w:r>
      <w:r>
        <w:rPr>
          <w:spacing w:val="-4"/>
          <w:sz w:val="20"/>
        </w:rPr>
        <w:t> </w:t>
      </w:r>
      <w:r>
        <w:rPr>
          <w:sz w:val="20"/>
        </w:rPr>
        <w:t>the</w:t>
      </w:r>
      <w:r>
        <w:rPr>
          <w:spacing w:val="-4"/>
          <w:sz w:val="20"/>
        </w:rPr>
        <w:t> </w:t>
      </w:r>
      <w:r>
        <w:rPr>
          <w:sz w:val="20"/>
        </w:rPr>
        <w:t>annual</w:t>
      </w:r>
      <w:r>
        <w:rPr>
          <w:spacing w:val="-3"/>
          <w:sz w:val="20"/>
        </w:rPr>
        <w:t> </w:t>
      </w:r>
      <w:r>
        <w:rPr>
          <w:sz w:val="20"/>
        </w:rPr>
        <w:t>event,</w:t>
      </w:r>
      <w:r>
        <w:rPr>
          <w:spacing w:val="-2"/>
          <w:sz w:val="20"/>
        </w:rPr>
        <w:t> </w:t>
      </w:r>
      <w:r>
        <w:rPr>
          <w:sz w:val="20"/>
        </w:rPr>
        <w:t>paid</w:t>
      </w:r>
      <w:r>
        <w:rPr>
          <w:spacing w:val="-4"/>
          <w:sz w:val="20"/>
        </w:rPr>
        <w:t> </w:t>
      </w:r>
      <w:r>
        <w:rPr>
          <w:sz w:val="20"/>
        </w:rPr>
        <w:t>for</w:t>
      </w:r>
      <w:r>
        <w:rPr>
          <w:spacing w:val="-1"/>
          <w:sz w:val="20"/>
        </w:rPr>
        <w:t> </w:t>
      </w:r>
      <w:r>
        <w:rPr>
          <w:sz w:val="20"/>
        </w:rPr>
        <w:t>by</w:t>
      </w:r>
      <w:r>
        <w:rPr>
          <w:spacing w:val="-7"/>
          <w:sz w:val="20"/>
        </w:rPr>
        <w:t> </w:t>
      </w:r>
      <w:r>
        <w:rPr>
          <w:sz w:val="20"/>
        </w:rPr>
        <w:t>the VSAIA.</w:t>
      </w:r>
      <w:r>
        <w:rPr>
          <w:spacing w:val="-1"/>
          <w:sz w:val="20"/>
        </w:rPr>
        <w:t> </w:t>
      </w:r>
      <w:r>
        <w:rPr>
          <w:sz w:val="20"/>
        </w:rPr>
        <w:t>Presentations are held at</w:t>
      </w:r>
      <w:r>
        <w:rPr>
          <w:spacing w:val="-1"/>
          <w:sz w:val="20"/>
        </w:rPr>
        <w:t> </w:t>
      </w:r>
      <w:r>
        <w:rPr>
          <w:sz w:val="20"/>
        </w:rPr>
        <w:t>the</w:t>
      </w:r>
      <w:r>
        <w:rPr>
          <w:spacing w:val="-1"/>
          <w:sz w:val="20"/>
        </w:rPr>
        <w:t> </w:t>
      </w:r>
      <w:r>
        <w:rPr>
          <w:sz w:val="20"/>
        </w:rPr>
        <w:t>convention</w:t>
      </w:r>
      <w:r>
        <w:rPr>
          <w:spacing w:val="-1"/>
          <w:sz w:val="20"/>
        </w:rPr>
        <w:t> </w:t>
      </w:r>
      <w:r>
        <w:rPr>
          <w:sz w:val="20"/>
        </w:rPr>
        <w:t>site</w:t>
      </w:r>
      <w:r>
        <w:rPr>
          <w:spacing w:val="-1"/>
          <w:sz w:val="20"/>
        </w:rPr>
        <w:t> </w:t>
      </w:r>
      <w:r>
        <w:rPr>
          <w:sz w:val="20"/>
        </w:rPr>
        <w:t>specifically</w:t>
      </w:r>
      <w:r>
        <w:rPr>
          <w:spacing w:val="-2"/>
          <w:sz w:val="20"/>
        </w:rPr>
        <w:t> </w:t>
      </w:r>
      <w:r>
        <w:rPr>
          <w:sz w:val="20"/>
        </w:rPr>
        <w:t>targeting</w:t>
      </w:r>
      <w:r>
        <w:rPr>
          <w:spacing w:val="-1"/>
          <w:sz w:val="20"/>
        </w:rPr>
        <w:t> </w:t>
      </w:r>
      <w:r>
        <w:rPr>
          <w:sz w:val="20"/>
        </w:rPr>
        <w:t>the</w:t>
      </w:r>
      <w:r>
        <w:rPr>
          <w:spacing w:val="-1"/>
          <w:sz w:val="20"/>
        </w:rPr>
        <w:t> </w:t>
      </w:r>
      <w:r>
        <w:rPr>
          <w:sz w:val="20"/>
        </w:rPr>
        <w:t>interests and needs of students, including:</w:t>
      </w:r>
    </w:p>
    <w:p>
      <w:pPr>
        <w:pStyle w:val="ListParagraph"/>
        <w:numPr>
          <w:ilvl w:val="1"/>
          <w:numId w:val="11"/>
        </w:numPr>
        <w:tabs>
          <w:tab w:pos="1940" w:val="left" w:leader="none"/>
        </w:tabs>
        <w:spacing w:line="240" w:lineRule="auto" w:before="4" w:after="0"/>
        <w:ind w:left="1939" w:right="0" w:hanging="360"/>
        <w:jc w:val="left"/>
        <w:rPr>
          <w:sz w:val="20"/>
        </w:rPr>
      </w:pPr>
      <w:r>
        <w:rPr>
          <w:sz w:val="20"/>
        </w:rPr>
        <w:t>Design</w:t>
      </w:r>
      <w:r>
        <w:rPr>
          <w:spacing w:val="-8"/>
          <w:sz w:val="20"/>
        </w:rPr>
        <w:t> </w:t>
      </w:r>
      <w:r>
        <w:rPr>
          <w:sz w:val="20"/>
        </w:rPr>
        <w:t>Competition</w:t>
      </w:r>
      <w:r>
        <w:rPr>
          <w:spacing w:val="-7"/>
          <w:sz w:val="20"/>
        </w:rPr>
        <w:t> </w:t>
      </w:r>
      <w:r>
        <w:rPr>
          <w:sz w:val="20"/>
        </w:rPr>
        <w:t>awards</w:t>
      </w:r>
      <w:r>
        <w:rPr>
          <w:spacing w:val="-6"/>
          <w:sz w:val="20"/>
        </w:rPr>
        <w:t> </w:t>
      </w:r>
      <w:r>
        <w:rPr>
          <w:sz w:val="20"/>
        </w:rPr>
        <w:t>for</w:t>
      </w:r>
      <w:r>
        <w:rPr>
          <w:spacing w:val="-9"/>
          <w:sz w:val="20"/>
        </w:rPr>
        <w:t> </w:t>
      </w:r>
      <w:r>
        <w:rPr>
          <w:sz w:val="20"/>
        </w:rPr>
        <w:t>Virginia</w:t>
      </w:r>
      <w:r>
        <w:rPr>
          <w:spacing w:val="-9"/>
          <w:sz w:val="20"/>
        </w:rPr>
        <w:t> </w:t>
      </w:r>
      <w:r>
        <w:rPr>
          <w:spacing w:val="-4"/>
          <w:sz w:val="20"/>
        </w:rPr>
        <w:t>Prize</w:t>
      </w:r>
    </w:p>
    <w:p>
      <w:pPr>
        <w:pStyle w:val="ListParagraph"/>
        <w:numPr>
          <w:ilvl w:val="1"/>
          <w:numId w:val="11"/>
        </w:numPr>
        <w:tabs>
          <w:tab w:pos="1940" w:val="left" w:leader="none"/>
        </w:tabs>
        <w:spacing w:line="240" w:lineRule="auto" w:before="0" w:after="0"/>
        <w:ind w:left="1939" w:right="0" w:hanging="360"/>
        <w:jc w:val="left"/>
        <w:rPr>
          <w:sz w:val="20"/>
        </w:rPr>
      </w:pPr>
      <w:r>
        <w:rPr>
          <w:sz w:val="20"/>
        </w:rPr>
        <w:t>Resume</w:t>
      </w:r>
      <w:r>
        <w:rPr>
          <w:spacing w:val="-8"/>
          <w:sz w:val="20"/>
        </w:rPr>
        <w:t> </w:t>
      </w:r>
      <w:r>
        <w:rPr>
          <w:sz w:val="20"/>
        </w:rPr>
        <w:t>and</w:t>
      </w:r>
      <w:r>
        <w:rPr>
          <w:spacing w:val="-8"/>
          <w:sz w:val="20"/>
        </w:rPr>
        <w:t> </w:t>
      </w:r>
      <w:r>
        <w:rPr>
          <w:sz w:val="20"/>
        </w:rPr>
        <w:t>Portfolio</w:t>
      </w:r>
      <w:r>
        <w:rPr>
          <w:spacing w:val="-7"/>
          <w:sz w:val="20"/>
        </w:rPr>
        <w:t> </w:t>
      </w:r>
      <w:r>
        <w:rPr>
          <w:spacing w:val="-2"/>
          <w:sz w:val="20"/>
        </w:rPr>
        <w:t>reviews</w:t>
      </w:r>
    </w:p>
    <w:p>
      <w:pPr>
        <w:pStyle w:val="ListParagraph"/>
        <w:numPr>
          <w:ilvl w:val="0"/>
          <w:numId w:val="11"/>
        </w:numPr>
        <w:tabs>
          <w:tab w:pos="1580" w:val="left" w:leader="none"/>
        </w:tabs>
        <w:spacing w:line="240" w:lineRule="auto" w:before="118" w:after="0"/>
        <w:ind w:left="1579" w:right="628" w:hanging="346"/>
        <w:jc w:val="left"/>
        <w:rPr>
          <w:sz w:val="20"/>
        </w:rPr>
      </w:pPr>
      <w:r>
        <w:rPr>
          <w:sz w:val="20"/>
        </w:rPr>
        <w:t>We</w:t>
      </w:r>
      <w:r>
        <w:rPr>
          <w:spacing w:val="-7"/>
          <w:sz w:val="20"/>
        </w:rPr>
        <w:t> </w:t>
      </w:r>
      <w:r>
        <w:rPr>
          <w:sz w:val="20"/>
        </w:rPr>
        <w:t>have</w:t>
      </w:r>
      <w:r>
        <w:rPr>
          <w:spacing w:val="-5"/>
          <w:sz w:val="20"/>
        </w:rPr>
        <w:t> </w:t>
      </w:r>
      <w:r>
        <w:rPr>
          <w:sz w:val="20"/>
        </w:rPr>
        <w:t>partnered</w:t>
      </w:r>
      <w:r>
        <w:rPr>
          <w:spacing w:val="-3"/>
          <w:sz w:val="20"/>
        </w:rPr>
        <w:t> </w:t>
      </w:r>
      <w:r>
        <w:rPr>
          <w:sz w:val="20"/>
        </w:rPr>
        <w:t>with</w:t>
      </w:r>
      <w:r>
        <w:rPr>
          <w:spacing w:val="-5"/>
          <w:sz w:val="20"/>
        </w:rPr>
        <w:t> </w:t>
      </w:r>
      <w:r>
        <w:rPr>
          <w:sz w:val="20"/>
        </w:rPr>
        <w:t>the</w:t>
      </w:r>
      <w:r>
        <w:rPr>
          <w:spacing w:val="-2"/>
          <w:sz w:val="20"/>
        </w:rPr>
        <w:t> </w:t>
      </w:r>
      <w:r>
        <w:rPr>
          <w:b/>
          <w:sz w:val="20"/>
        </w:rPr>
        <w:t>Hampton</w:t>
      </w:r>
      <w:r>
        <w:rPr>
          <w:b/>
          <w:spacing w:val="-4"/>
          <w:sz w:val="20"/>
        </w:rPr>
        <w:t> </w:t>
      </w:r>
      <w:r>
        <w:rPr>
          <w:b/>
          <w:sz w:val="20"/>
        </w:rPr>
        <w:t>Roads AIA</w:t>
      </w:r>
      <w:r>
        <w:rPr>
          <w:b/>
          <w:spacing w:val="-7"/>
          <w:sz w:val="20"/>
        </w:rPr>
        <w:t> </w:t>
      </w:r>
      <w:r>
        <w:rPr>
          <w:sz w:val="20"/>
        </w:rPr>
        <w:t>chapter</w:t>
      </w:r>
      <w:r>
        <w:rPr>
          <w:spacing w:val="-4"/>
          <w:sz w:val="20"/>
        </w:rPr>
        <w:t> </w:t>
      </w:r>
      <w:r>
        <w:rPr>
          <w:sz w:val="20"/>
        </w:rPr>
        <w:t>to</w:t>
      </w:r>
      <w:r>
        <w:rPr>
          <w:spacing w:val="-3"/>
          <w:sz w:val="20"/>
        </w:rPr>
        <w:t> </w:t>
      </w:r>
      <w:r>
        <w:rPr>
          <w:sz w:val="20"/>
        </w:rPr>
        <w:t>establish</w:t>
      </w:r>
      <w:r>
        <w:rPr>
          <w:spacing w:val="-3"/>
          <w:sz w:val="20"/>
        </w:rPr>
        <w:t> </w:t>
      </w:r>
      <w:r>
        <w:rPr>
          <w:sz w:val="20"/>
        </w:rPr>
        <w:t>a</w:t>
      </w:r>
      <w:r>
        <w:rPr>
          <w:spacing w:val="-5"/>
          <w:sz w:val="20"/>
        </w:rPr>
        <w:t> </w:t>
      </w:r>
      <w:r>
        <w:rPr>
          <w:sz w:val="20"/>
        </w:rPr>
        <w:t>mentoring</w:t>
      </w:r>
      <w:r>
        <w:rPr>
          <w:spacing w:val="-5"/>
          <w:sz w:val="20"/>
        </w:rPr>
        <w:t> </w:t>
      </w:r>
      <w:r>
        <w:rPr>
          <w:sz w:val="20"/>
        </w:rPr>
        <w:t>program that includes off-campus activities such as:</w:t>
      </w:r>
    </w:p>
    <w:p>
      <w:pPr>
        <w:pStyle w:val="ListParagraph"/>
        <w:numPr>
          <w:ilvl w:val="1"/>
          <w:numId w:val="11"/>
        </w:numPr>
        <w:tabs>
          <w:tab w:pos="1940" w:val="left" w:leader="none"/>
        </w:tabs>
        <w:spacing w:line="240" w:lineRule="auto" w:before="121" w:after="0"/>
        <w:ind w:left="1939" w:right="729" w:hanging="360"/>
        <w:jc w:val="left"/>
        <w:rPr>
          <w:sz w:val="20"/>
        </w:rPr>
      </w:pPr>
      <w:r>
        <w:rPr>
          <w:sz w:val="20"/>
        </w:rPr>
        <w:t>Mentoring Mayhem: The HR-AIA sponsors an event each Spring at a local firm that partners</w:t>
      </w:r>
      <w:r>
        <w:rPr>
          <w:spacing w:val="-4"/>
          <w:sz w:val="20"/>
        </w:rPr>
        <w:t> </w:t>
      </w:r>
      <w:r>
        <w:rPr>
          <w:sz w:val="20"/>
        </w:rPr>
        <w:t>students</w:t>
      </w:r>
      <w:r>
        <w:rPr>
          <w:spacing w:val="-1"/>
          <w:sz w:val="20"/>
        </w:rPr>
        <w:t> </w:t>
      </w:r>
      <w:r>
        <w:rPr>
          <w:sz w:val="20"/>
        </w:rPr>
        <w:t>with</w:t>
      </w:r>
      <w:r>
        <w:rPr>
          <w:spacing w:val="-5"/>
          <w:sz w:val="20"/>
        </w:rPr>
        <w:t> </w:t>
      </w:r>
      <w:r>
        <w:rPr>
          <w:sz w:val="20"/>
        </w:rPr>
        <w:t>mentors</w:t>
      </w:r>
      <w:r>
        <w:rPr>
          <w:spacing w:val="-4"/>
          <w:sz w:val="20"/>
        </w:rPr>
        <w:t> </w:t>
      </w:r>
      <w:r>
        <w:rPr>
          <w:sz w:val="20"/>
        </w:rPr>
        <w:t>to</w:t>
      </w:r>
      <w:r>
        <w:rPr>
          <w:spacing w:val="-5"/>
          <w:sz w:val="20"/>
        </w:rPr>
        <w:t> </w:t>
      </w:r>
      <w:r>
        <w:rPr>
          <w:sz w:val="20"/>
        </w:rPr>
        <w:t>review</w:t>
      </w:r>
      <w:r>
        <w:rPr>
          <w:spacing w:val="-5"/>
          <w:sz w:val="20"/>
        </w:rPr>
        <w:t> </w:t>
      </w:r>
      <w:r>
        <w:rPr>
          <w:sz w:val="20"/>
        </w:rPr>
        <w:t>portfolios,</w:t>
      </w:r>
      <w:r>
        <w:rPr>
          <w:spacing w:val="-3"/>
          <w:sz w:val="20"/>
        </w:rPr>
        <w:t> </w:t>
      </w:r>
      <w:r>
        <w:rPr>
          <w:sz w:val="20"/>
        </w:rPr>
        <w:t>discuss</w:t>
      </w:r>
      <w:r>
        <w:rPr>
          <w:spacing w:val="-4"/>
          <w:sz w:val="20"/>
        </w:rPr>
        <w:t> </w:t>
      </w:r>
      <w:r>
        <w:rPr>
          <w:sz w:val="20"/>
        </w:rPr>
        <w:t>professional</w:t>
      </w:r>
      <w:r>
        <w:rPr>
          <w:spacing w:val="-6"/>
          <w:sz w:val="20"/>
        </w:rPr>
        <w:t> </w:t>
      </w:r>
      <w:r>
        <w:rPr>
          <w:sz w:val="20"/>
        </w:rPr>
        <w:t>ambitions</w:t>
      </w:r>
      <w:r>
        <w:rPr>
          <w:spacing w:val="-4"/>
          <w:sz w:val="20"/>
        </w:rPr>
        <w:t> </w:t>
      </w:r>
      <w:r>
        <w:rPr>
          <w:sz w:val="20"/>
        </w:rPr>
        <w:t>and prepare students for engaging in the profession. This even, open to all Virginia institutions, is dominated by our students (proximity) and provides an abundance of benefit to them and the program.</w:t>
      </w:r>
    </w:p>
    <w:p>
      <w:pPr>
        <w:pStyle w:val="ListParagraph"/>
        <w:numPr>
          <w:ilvl w:val="1"/>
          <w:numId w:val="11"/>
        </w:numPr>
        <w:tabs>
          <w:tab w:pos="1940" w:val="left" w:leader="none"/>
        </w:tabs>
        <w:spacing w:line="240" w:lineRule="auto" w:before="120" w:after="0"/>
        <w:ind w:left="1939" w:right="609" w:hanging="360"/>
        <w:jc w:val="left"/>
        <w:rPr>
          <w:sz w:val="20"/>
        </w:rPr>
      </w:pPr>
      <w:r>
        <w:rPr>
          <w:sz w:val="20"/>
        </w:rPr>
        <w:t>Lecture</w:t>
      </w:r>
      <w:r>
        <w:rPr>
          <w:spacing w:val="-3"/>
          <w:sz w:val="20"/>
        </w:rPr>
        <w:t> </w:t>
      </w:r>
      <w:r>
        <w:rPr>
          <w:sz w:val="20"/>
        </w:rPr>
        <w:t>Series</w:t>
      </w:r>
      <w:r>
        <w:rPr>
          <w:spacing w:val="-4"/>
          <w:sz w:val="20"/>
        </w:rPr>
        <w:t> </w:t>
      </w:r>
      <w:r>
        <w:rPr>
          <w:sz w:val="20"/>
        </w:rPr>
        <w:t>Support:</w:t>
      </w:r>
      <w:r>
        <w:rPr>
          <w:spacing w:val="-5"/>
          <w:sz w:val="20"/>
        </w:rPr>
        <w:t> </w:t>
      </w:r>
      <w:r>
        <w:rPr>
          <w:sz w:val="20"/>
        </w:rPr>
        <w:t>Local</w:t>
      </w:r>
      <w:r>
        <w:rPr>
          <w:spacing w:val="-6"/>
          <w:sz w:val="20"/>
        </w:rPr>
        <w:t> </w:t>
      </w:r>
      <w:r>
        <w:rPr>
          <w:sz w:val="20"/>
        </w:rPr>
        <w:t>architects</w:t>
      </w:r>
      <w:r>
        <w:rPr>
          <w:spacing w:val="-4"/>
          <w:sz w:val="20"/>
        </w:rPr>
        <w:t> </w:t>
      </w:r>
      <w:r>
        <w:rPr>
          <w:sz w:val="20"/>
        </w:rPr>
        <w:t>are</w:t>
      </w:r>
      <w:r>
        <w:rPr>
          <w:spacing w:val="-5"/>
          <w:sz w:val="20"/>
        </w:rPr>
        <w:t> </w:t>
      </w:r>
      <w:r>
        <w:rPr>
          <w:sz w:val="20"/>
        </w:rPr>
        <w:t>often</w:t>
      </w:r>
      <w:r>
        <w:rPr>
          <w:spacing w:val="-3"/>
          <w:sz w:val="20"/>
        </w:rPr>
        <w:t> </w:t>
      </w:r>
      <w:r>
        <w:rPr>
          <w:sz w:val="20"/>
        </w:rPr>
        <w:t>providing</w:t>
      </w:r>
      <w:r>
        <w:rPr>
          <w:spacing w:val="-5"/>
          <w:sz w:val="20"/>
        </w:rPr>
        <w:t> </w:t>
      </w:r>
      <w:r>
        <w:rPr>
          <w:sz w:val="20"/>
        </w:rPr>
        <w:t>pro</w:t>
      </w:r>
      <w:r>
        <w:rPr>
          <w:spacing w:val="-3"/>
          <w:sz w:val="20"/>
        </w:rPr>
        <w:t> </w:t>
      </w:r>
      <w:r>
        <w:rPr>
          <w:sz w:val="20"/>
        </w:rPr>
        <w:t>bono</w:t>
      </w:r>
      <w:r>
        <w:rPr>
          <w:spacing w:val="-3"/>
          <w:sz w:val="20"/>
        </w:rPr>
        <w:t> </w:t>
      </w:r>
      <w:r>
        <w:rPr>
          <w:sz w:val="20"/>
        </w:rPr>
        <w:t>lectures</w:t>
      </w:r>
      <w:r>
        <w:rPr>
          <w:spacing w:val="-4"/>
          <w:sz w:val="20"/>
        </w:rPr>
        <w:t> </w:t>
      </w:r>
      <w:r>
        <w:rPr>
          <w:sz w:val="20"/>
        </w:rPr>
        <w:t>to</w:t>
      </w:r>
      <w:r>
        <w:rPr>
          <w:spacing w:val="-3"/>
          <w:sz w:val="20"/>
        </w:rPr>
        <w:t> </w:t>
      </w:r>
      <w:r>
        <w:rPr>
          <w:sz w:val="20"/>
        </w:rPr>
        <w:t>student on a variety of topics. One lecturer, Wesley Page, a principal with a local firm, lectures annually on presentation and drawing techniques in preparation for our involvement in the Virginia Prize.</w:t>
      </w:r>
    </w:p>
    <w:p>
      <w:pPr>
        <w:pStyle w:val="ListParagraph"/>
        <w:numPr>
          <w:ilvl w:val="1"/>
          <w:numId w:val="11"/>
        </w:numPr>
        <w:tabs>
          <w:tab w:pos="1939" w:val="left" w:leader="none"/>
          <w:tab w:pos="1940" w:val="left" w:leader="none"/>
        </w:tabs>
        <w:spacing w:line="240" w:lineRule="auto" w:before="122" w:after="0"/>
        <w:ind w:left="1939" w:right="778" w:hanging="360"/>
        <w:jc w:val="left"/>
        <w:rPr>
          <w:sz w:val="20"/>
        </w:rPr>
      </w:pPr>
      <w:r>
        <w:rPr>
          <w:sz w:val="20"/>
        </w:rPr>
        <w:t>Design</w:t>
      </w:r>
      <w:r>
        <w:rPr>
          <w:spacing w:val="-3"/>
          <w:sz w:val="20"/>
        </w:rPr>
        <w:t> </w:t>
      </w:r>
      <w:r>
        <w:rPr>
          <w:sz w:val="20"/>
        </w:rPr>
        <w:t>Studio</w:t>
      </w:r>
      <w:r>
        <w:rPr>
          <w:spacing w:val="-5"/>
          <w:sz w:val="20"/>
        </w:rPr>
        <w:t> </w:t>
      </w:r>
      <w:r>
        <w:rPr>
          <w:sz w:val="20"/>
        </w:rPr>
        <w:t>Crits:</w:t>
      </w:r>
      <w:r>
        <w:rPr>
          <w:spacing w:val="-5"/>
          <w:sz w:val="20"/>
        </w:rPr>
        <w:t> </w:t>
      </w:r>
      <w:r>
        <w:rPr>
          <w:sz w:val="20"/>
        </w:rPr>
        <w:t>Members</w:t>
      </w:r>
      <w:r>
        <w:rPr>
          <w:spacing w:val="-4"/>
          <w:sz w:val="20"/>
        </w:rPr>
        <w:t> </w:t>
      </w:r>
      <w:r>
        <w:rPr>
          <w:sz w:val="20"/>
        </w:rPr>
        <w:t>of</w:t>
      </w:r>
      <w:r>
        <w:rPr>
          <w:spacing w:val="-3"/>
          <w:sz w:val="20"/>
        </w:rPr>
        <w:t> </w:t>
      </w:r>
      <w:r>
        <w:rPr>
          <w:sz w:val="20"/>
        </w:rPr>
        <w:t>the</w:t>
      </w:r>
      <w:r>
        <w:rPr>
          <w:spacing w:val="-5"/>
          <w:sz w:val="20"/>
        </w:rPr>
        <w:t> </w:t>
      </w:r>
      <w:r>
        <w:rPr>
          <w:sz w:val="20"/>
        </w:rPr>
        <w:t>design</w:t>
      </w:r>
      <w:r>
        <w:rPr>
          <w:spacing w:val="-3"/>
          <w:sz w:val="20"/>
        </w:rPr>
        <w:t> </w:t>
      </w:r>
      <w:r>
        <w:rPr>
          <w:sz w:val="20"/>
        </w:rPr>
        <w:t>profession</w:t>
      </w:r>
      <w:r>
        <w:rPr>
          <w:spacing w:val="-5"/>
          <w:sz w:val="20"/>
        </w:rPr>
        <w:t> </w:t>
      </w:r>
      <w:r>
        <w:rPr>
          <w:sz w:val="20"/>
        </w:rPr>
        <w:t>from around</w:t>
      </w:r>
      <w:r>
        <w:rPr>
          <w:spacing w:val="-5"/>
          <w:sz w:val="20"/>
        </w:rPr>
        <w:t> </w:t>
      </w:r>
      <w:r>
        <w:rPr>
          <w:sz w:val="20"/>
        </w:rPr>
        <w:t>the</w:t>
      </w:r>
      <w:r>
        <w:rPr>
          <w:spacing w:val="-5"/>
          <w:sz w:val="20"/>
        </w:rPr>
        <w:t> </w:t>
      </w:r>
      <w:r>
        <w:rPr>
          <w:sz w:val="20"/>
        </w:rPr>
        <w:t>region</w:t>
      </w:r>
      <w:r>
        <w:rPr>
          <w:spacing w:val="-5"/>
          <w:sz w:val="20"/>
        </w:rPr>
        <w:t> </w:t>
      </w:r>
      <w:r>
        <w:rPr>
          <w:sz w:val="20"/>
        </w:rPr>
        <w:t>provide support to our design studios.</w:t>
      </w:r>
    </w:p>
    <w:p>
      <w:pPr>
        <w:pStyle w:val="ListParagraph"/>
        <w:numPr>
          <w:ilvl w:val="1"/>
          <w:numId w:val="11"/>
        </w:numPr>
        <w:tabs>
          <w:tab w:pos="1940" w:val="left" w:leader="none"/>
        </w:tabs>
        <w:spacing w:line="240" w:lineRule="auto" w:before="119" w:after="0"/>
        <w:ind w:left="1939" w:right="532" w:hanging="360"/>
        <w:jc w:val="left"/>
        <w:rPr>
          <w:sz w:val="20"/>
        </w:rPr>
      </w:pPr>
      <w:r>
        <w:rPr>
          <w:sz w:val="20"/>
        </w:rPr>
        <w:t>Prize</w:t>
      </w:r>
      <w:r>
        <w:rPr>
          <w:spacing w:val="-3"/>
          <w:sz w:val="20"/>
        </w:rPr>
        <w:t> </w:t>
      </w:r>
      <w:r>
        <w:rPr>
          <w:sz w:val="20"/>
        </w:rPr>
        <w:t>Awards:</w:t>
      </w:r>
      <w:r>
        <w:rPr>
          <w:spacing w:val="-5"/>
          <w:sz w:val="20"/>
        </w:rPr>
        <w:t> </w:t>
      </w:r>
      <w:r>
        <w:rPr>
          <w:sz w:val="20"/>
        </w:rPr>
        <w:t>Our</w:t>
      </w:r>
      <w:r>
        <w:rPr>
          <w:spacing w:val="-4"/>
          <w:sz w:val="20"/>
        </w:rPr>
        <w:t> </w:t>
      </w:r>
      <w:r>
        <w:rPr>
          <w:sz w:val="20"/>
        </w:rPr>
        <w:t>students</w:t>
      </w:r>
      <w:r>
        <w:rPr>
          <w:spacing w:val="-4"/>
          <w:sz w:val="20"/>
        </w:rPr>
        <w:t> </w:t>
      </w:r>
      <w:r>
        <w:rPr>
          <w:sz w:val="20"/>
        </w:rPr>
        <w:t>participate</w:t>
      </w:r>
      <w:r>
        <w:rPr>
          <w:spacing w:val="-5"/>
          <w:sz w:val="20"/>
        </w:rPr>
        <w:t> </w:t>
      </w:r>
      <w:r>
        <w:rPr>
          <w:sz w:val="20"/>
        </w:rPr>
        <w:t>in</w:t>
      </w:r>
      <w:r>
        <w:rPr>
          <w:spacing w:val="-5"/>
          <w:sz w:val="20"/>
        </w:rPr>
        <w:t> </w:t>
      </w:r>
      <w:r>
        <w:rPr>
          <w:sz w:val="20"/>
        </w:rPr>
        <w:t>the</w:t>
      </w:r>
      <w:r>
        <w:rPr>
          <w:spacing w:val="-5"/>
          <w:sz w:val="20"/>
        </w:rPr>
        <w:t> </w:t>
      </w:r>
      <w:r>
        <w:rPr>
          <w:sz w:val="20"/>
        </w:rPr>
        <w:t>annual</w:t>
      </w:r>
      <w:r>
        <w:rPr>
          <w:spacing w:val="-4"/>
          <w:sz w:val="20"/>
        </w:rPr>
        <w:t> </w:t>
      </w:r>
      <w:r>
        <w:rPr>
          <w:sz w:val="20"/>
        </w:rPr>
        <w:t>Virginia</w:t>
      </w:r>
      <w:r>
        <w:rPr>
          <w:spacing w:val="-3"/>
          <w:sz w:val="20"/>
        </w:rPr>
        <w:t> </w:t>
      </w:r>
      <w:r>
        <w:rPr>
          <w:sz w:val="20"/>
        </w:rPr>
        <w:t>Prize</w:t>
      </w:r>
      <w:r>
        <w:rPr>
          <w:spacing w:val="-5"/>
          <w:sz w:val="20"/>
        </w:rPr>
        <w:t> </w:t>
      </w:r>
      <w:r>
        <w:rPr>
          <w:sz w:val="20"/>
        </w:rPr>
        <w:t>competition</w:t>
      </w:r>
      <w:r>
        <w:rPr>
          <w:spacing w:val="-5"/>
          <w:sz w:val="20"/>
        </w:rPr>
        <w:t> </w:t>
      </w:r>
      <w:r>
        <w:rPr>
          <w:sz w:val="20"/>
        </w:rPr>
        <w:t>supported by the VSAIA. This competition, at the school level, is juried by the local design profession community, and the winners are awarded scholarships over and above the state awards.</w:t>
      </w:r>
    </w:p>
    <w:p>
      <w:pPr>
        <w:pStyle w:val="BodyText"/>
        <w:rPr>
          <w:sz w:val="21"/>
        </w:rPr>
      </w:pPr>
    </w:p>
    <w:p>
      <w:pPr>
        <w:pStyle w:val="BodyText"/>
        <w:ind w:left="1219" w:right="580"/>
      </w:pPr>
      <w:r>
        <w:rPr/>
        <w:t>Our students are also taught that their professional obligation is the protection of the public health,</w:t>
      </w:r>
      <w:r>
        <w:rPr>
          <w:spacing w:val="-4"/>
        </w:rPr>
        <w:t> </w:t>
      </w:r>
      <w:r>
        <w:rPr/>
        <w:t>safety</w:t>
      </w:r>
      <w:r>
        <w:rPr>
          <w:spacing w:val="-7"/>
        </w:rPr>
        <w:t> </w:t>
      </w:r>
      <w:r>
        <w:rPr/>
        <w:t>and</w:t>
      </w:r>
      <w:r>
        <w:rPr>
          <w:spacing w:val="-2"/>
        </w:rPr>
        <w:t> </w:t>
      </w:r>
      <w:r>
        <w:rPr/>
        <w:t>welfare.</w:t>
      </w:r>
      <w:r>
        <w:rPr>
          <w:spacing w:val="-1"/>
        </w:rPr>
        <w:t> </w:t>
      </w:r>
      <w:r>
        <w:rPr/>
        <w:t>They</w:t>
      </w:r>
      <w:r>
        <w:rPr>
          <w:spacing w:val="-7"/>
        </w:rPr>
        <w:t> </w:t>
      </w:r>
      <w:r>
        <w:rPr/>
        <w:t>are</w:t>
      </w:r>
      <w:r>
        <w:rPr>
          <w:spacing w:val="-2"/>
        </w:rPr>
        <w:t> </w:t>
      </w:r>
      <w:r>
        <w:rPr/>
        <w:t>versed</w:t>
      </w:r>
      <w:r>
        <w:rPr>
          <w:spacing w:val="-2"/>
        </w:rPr>
        <w:t> </w:t>
      </w:r>
      <w:r>
        <w:rPr/>
        <w:t>in</w:t>
      </w:r>
      <w:r>
        <w:rPr>
          <w:spacing w:val="-2"/>
        </w:rPr>
        <w:t> </w:t>
      </w:r>
      <w:r>
        <w:rPr/>
        <w:t>the</w:t>
      </w:r>
      <w:r>
        <w:rPr>
          <w:spacing w:val="-2"/>
        </w:rPr>
        <w:t> </w:t>
      </w:r>
      <w:r>
        <w:rPr/>
        <w:t>things</w:t>
      </w:r>
      <w:r>
        <w:rPr>
          <w:spacing w:val="-2"/>
        </w:rPr>
        <w:t> </w:t>
      </w:r>
      <w:r>
        <w:rPr/>
        <w:t>that</w:t>
      </w:r>
      <w:r>
        <w:rPr>
          <w:spacing w:val="-4"/>
        </w:rPr>
        <w:t> </w:t>
      </w:r>
      <w:r>
        <w:rPr/>
        <w:t>make</w:t>
      </w:r>
      <w:r>
        <w:rPr>
          <w:spacing w:val="-4"/>
        </w:rPr>
        <w:t> </w:t>
      </w:r>
      <w:r>
        <w:rPr/>
        <w:t>architecture</w:t>
      </w:r>
      <w:r>
        <w:rPr>
          <w:spacing w:val="-4"/>
        </w:rPr>
        <w:t> </w:t>
      </w:r>
      <w:r>
        <w:rPr/>
        <w:t>a</w:t>
      </w:r>
      <w:r>
        <w:rPr>
          <w:spacing w:val="-2"/>
        </w:rPr>
        <w:t> </w:t>
      </w:r>
      <w:r>
        <w:rPr/>
        <w:t>profession</w:t>
      </w:r>
      <w:r>
        <w:rPr>
          <w:spacing w:val="-4"/>
        </w:rPr>
        <w:t> </w:t>
      </w:r>
      <w:r>
        <w:rPr/>
        <w:t>and its broader responsibility to shape communities.</w:t>
      </w:r>
    </w:p>
    <w:p>
      <w:pPr>
        <w:spacing w:after="0"/>
        <w:sectPr>
          <w:pgSz w:w="12240" w:h="15840"/>
          <w:pgMar w:header="0" w:footer="974" w:top="1360" w:bottom="1160" w:left="940" w:right="960"/>
        </w:sectPr>
      </w:pPr>
    </w:p>
    <w:p>
      <w:pPr>
        <w:pStyle w:val="Heading5"/>
        <w:numPr>
          <w:ilvl w:val="3"/>
          <w:numId w:val="10"/>
        </w:numPr>
        <w:tabs>
          <w:tab w:pos="1581" w:val="left" w:leader="none"/>
        </w:tabs>
        <w:spacing w:line="240" w:lineRule="auto" w:before="74" w:after="0"/>
        <w:ind w:left="1580" w:right="0" w:hanging="1010"/>
        <w:jc w:val="left"/>
      </w:pPr>
      <w:bookmarkStart w:name="_TOC_250012" w:id="6"/>
      <w:r>
        <w:rPr/>
        <w:t>Architectural</w:t>
      </w:r>
      <w:r>
        <w:rPr>
          <w:spacing w:val="-7"/>
        </w:rPr>
        <w:t> </w:t>
      </w:r>
      <w:r>
        <w:rPr/>
        <w:t>Education</w:t>
      </w:r>
      <w:r>
        <w:rPr>
          <w:spacing w:val="-6"/>
        </w:rPr>
        <w:t> </w:t>
      </w:r>
      <w:r>
        <w:rPr/>
        <w:t>and</w:t>
      </w:r>
      <w:r>
        <w:rPr>
          <w:spacing w:val="-6"/>
        </w:rPr>
        <w:t> </w:t>
      </w:r>
      <w:r>
        <w:rPr/>
        <w:t>the</w:t>
      </w:r>
      <w:r>
        <w:rPr>
          <w:spacing w:val="-7"/>
        </w:rPr>
        <w:t> </w:t>
      </w:r>
      <w:bookmarkEnd w:id="6"/>
      <w:r>
        <w:rPr>
          <w:spacing w:val="-2"/>
        </w:rPr>
        <w:t>Profession</w:t>
      </w:r>
    </w:p>
    <w:p>
      <w:pPr>
        <w:spacing w:before="240"/>
        <w:ind w:left="499" w:right="524" w:firstLine="0"/>
        <w:jc w:val="left"/>
        <w:rPr>
          <w:i/>
          <w:sz w:val="20"/>
        </w:rPr>
      </w:pPr>
      <w:r>
        <w:rPr>
          <w:i/>
          <w:sz w:val="20"/>
        </w:rPr>
        <w:t>That</w:t>
      </w:r>
      <w:r>
        <w:rPr>
          <w:i/>
          <w:spacing w:val="-4"/>
          <w:sz w:val="20"/>
        </w:rPr>
        <w:t> </w:t>
      </w:r>
      <w:r>
        <w:rPr>
          <w:i/>
          <w:sz w:val="20"/>
        </w:rPr>
        <w:t>students</w:t>
      </w:r>
      <w:r>
        <w:rPr>
          <w:i/>
          <w:spacing w:val="-3"/>
          <w:sz w:val="20"/>
        </w:rPr>
        <w:t> </w:t>
      </w:r>
      <w:r>
        <w:rPr>
          <w:i/>
          <w:sz w:val="20"/>
        </w:rPr>
        <w:t>enrolled</w:t>
      </w:r>
      <w:r>
        <w:rPr>
          <w:i/>
          <w:spacing w:val="-4"/>
          <w:sz w:val="20"/>
        </w:rPr>
        <w:t> </w:t>
      </w:r>
      <w:r>
        <w:rPr>
          <w:i/>
          <w:sz w:val="20"/>
        </w:rPr>
        <w:t>in</w:t>
      </w:r>
      <w:r>
        <w:rPr>
          <w:i/>
          <w:spacing w:val="-4"/>
          <w:sz w:val="20"/>
        </w:rPr>
        <w:t> </w:t>
      </w:r>
      <w:r>
        <w:rPr>
          <w:i/>
          <w:sz w:val="20"/>
        </w:rPr>
        <w:t>the</w:t>
      </w:r>
      <w:r>
        <w:rPr>
          <w:i/>
          <w:spacing w:val="-4"/>
          <w:sz w:val="20"/>
        </w:rPr>
        <w:t> </w:t>
      </w:r>
      <w:r>
        <w:rPr>
          <w:i/>
          <w:sz w:val="20"/>
        </w:rPr>
        <w:t>accredited</w:t>
      </w:r>
      <w:r>
        <w:rPr>
          <w:i/>
          <w:spacing w:val="-2"/>
          <w:sz w:val="20"/>
        </w:rPr>
        <w:t> </w:t>
      </w:r>
      <w:r>
        <w:rPr>
          <w:i/>
          <w:sz w:val="20"/>
        </w:rPr>
        <w:t>degree</w:t>
      </w:r>
      <w:r>
        <w:rPr>
          <w:i/>
          <w:spacing w:val="-4"/>
          <w:sz w:val="20"/>
        </w:rPr>
        <w:t> </w:t>
      </w:r>
      <w:r>
        <w:rPr>
          <w:i/>
          <w:sz w:val="20"/>
        </w:rPr>
        <w:t>program</w:t>
      </w:r>
      <w:r>
        <w:rPr>
          <w:i/>
          <w:spacing w:val="-4"/>
          <w:sz w:val="20"/>
        </w:rPr>
        <w:t> </w:t>
      </w:r>
      <w:r>
        <w:rPr>
          <w:i/>
          <w:sz w:val="20"/>
        </w:rPr>
        <w:t>are</w:t>
      </w:r>
      <w:r>
        <w:rPr>
          <w:i/>
          <w:spacing w:val="-2"/>
          <w:sz w:val="20"/>
        </w:rPr>
        <w:t> </w:t>
      </w:r>
      <w:r>
        <w:rPr>
          <w:i/>
          <w:sz w:val="20"/>
        </w:rPr>
        <w:t>prepared:</w:t>
      </w:r>
      <w:r>
        <w:rPr>
          <w:i/>
          <w:spacing w:val="-4"/>
          <w:sz w:val="20"/>
        </w:rPr>
        <w:t> </w:t>
      </w:r>
      <w:r>
        <w:rPr>
          <w:i/>
          <w:sz w:val="20"/>
        </w:rPr>
        <w:t>to</w:t>
      </w:r>
      <w:r>
        <w:rPr>
          <w:i/>
          <w:spacing w:val="-4"/>
          <w:sz w:val="20"/>
        </w:rPr>
        <w:t> </w:t>
      </w:r>
      <w:r>
        <w:rPr>
          <w:i/>
          <w:sz w:val="20"/>
        </w:rPr>
        <w:t>practice</w:t>
      </w:r>
      <w:r>
        <w:rPr>
          <w:i/>
          <w:spacing w:val="-2"/>
          <w:sz w:val="20"/>
        </w:rPr>
        <w:t> </w:t>
      </w:r>
      <w:r>
        <w:rPr>
          <w:i/>
          <w:sz w:val="20"/>
        </w:rPr>
        <w:t>in</w:t>
      </w:r>
      <w:r>
        <w:rPr>
          <w:i/>
          <w:spacing w:val="-2"/>
          <w:sz w:val="20"/>
        </w:rPr>
        <w:t> </w:t>
      </w:r>
      <w:r>
        <w:rPr>
          <w:i/>
          <w:sz w:val="20"/>
        </w:rPr>
        <w:t>a</w:t>
      </w:r>
      <w:r>
        <w:rPr>
          <w:i/>
          <w:spacing w:val="-4"/>
          <w:sz w:val="20"/>
        </w:rPr>
        <w:t> </w:t>
      </w:r>
      <w:r>
        <w:rPr>
          <w:i/>
          <w:sz w:val="20"/>
        </w:rPr>
        <w:t>global</w:t>
      </w:r>
      <w:r>
        <w:rPr>
          <w:i/>
          <w:spacing w:val="-3"/>
          <w:sz w:val="20"/>
        </w:rPr>
        <w:t> </w:t>
      </w:r>
      <w:r>
        <w:rPr>
          <w:i/>
          <w:sz w:val="20"/>
        </w:rPr>
        <w:t>economy;</w:t>
      </w:r>
      <w:r>
        <w:rPr>
          <w:i/>
          <w:spacing w:val="-4"/>
          <w:sz w:val="20"/>
        </w:rPr>
        <w:t> </w:t>
      </w:r>
      <w:r>
        <w:rPr>
          <w:i/>
          <w:sz w:val="20"/>
        </w:rPr>
        <w:t>to recognize the positive impact of design on the environment; to understand the diverse and collaborative roles assumed by architects in practice; to understand the diverse and collaborative roles and responsibilities of related disciplines; to respect client expectations; to advocate for design-based solutions that respond to the multiple needs of a diversity of clients and diverse populations, as well as</w:t>
      </w:r>
      <w:r>
        <w:rPr>
          <w:i/>
          <w:sz w:val="20"/>
        </w:rPr>
        <w:t> the needs of communities; and to contribute to the growth and development of the profession.</w:t>
      </w:r>
    </w:p>
    <w:p>
      <w:pPr>
        <w:pStyle w:val="BodyText"/>
        <w:spacing w:before="1"/>
        <w:rPr>
          <w:i/>
          <w:sz w:val="21"/>
        </w:rPr>
      </w:pPr>
    </w:p>
    <w:p>
      <w:pPr>
        <w:pStyle w:val="BodyText"/>
        <w:ind w:left="1219" w:right="499"/>
      </w:pPr>
      <w:r>
        <w:rPr/>
        <w:t>One</w:t>
      </w:r>
      <w:r>
        <w:rPr>
          <w:spacing w:val="-4"/>
        </w:rPr>
        <w:t> </w:t>
      </w:r>
      <w:r>
        <w:rPr/>
        <w:t>of</w:t>
      </w:r>
      <w:r>
        <w:rPr>
          <w:spacing w:val="-2"/>
        </w:rPr>
        <w:t> </w:t>
      </w:r>
      <w:r>
        <w:rPr/>
        <w:t>our</w:t>
      </w:r>
      <w:r>
        <w:rPr>
          <w:spacing w:val="-3"/>
        </w:rPr>
        <w:t> </w:t>
      </w:r>
      <w:r>
        <w:rPr/>
        <w:t>missions</w:t>
      </w:r>
      <w:r>
        <w:rPr>
          <w:spacing w:val="-3"/>
        </w:rPr>
        <w:t> </w:t>
      </w:r>
      <w:r>
        <w:rPr/>
        <w:t>is</w:t>
      </w:r>
      <w:r>
        <w:rPr>
          <w:spacing w:val="-3"/>
        </w:rPr>
        <w:t> </w:t>
      </w:r>
      <w:r>
        <w:rPr/>
        <w:t>to</w:t>
      </w:r>
      <w:r>
        <w:rPr>
          <w:spacing w:val="-2"/>
        </w:rPr>
        <w:t> </w:t>
      </w:r>
      <w:r>
        <w:rPr/>
        <w:t>prepare</w:t>
      </w:r>
      <w:r>
        <w:rPr>
          <w:spacing w:val="-4"/>
        </w:rPr>
        <w:t> </w:t>
      </w:r>
      <w:r>
        <w:rPr/>
        <w:t>students</w:t>
      </w:r>
      <w:r>
        <w:rPr>
          <w:spacing w:val="-3"/>
        </w:rPr>
        <w:t> </w:t>
      </w:r>
      <w:r>
        <w:rPr/>
        <w:t>to</w:t>
      </w:r>
      <w:r>
        <w:rPr>
          <w:spacing w:val="-2"/>
        </w:rPr>
        <w:t> </w:t>
      </w:r>
      <w:r>
        <w:rPr/>
        <w:t>engage</w:t>
      </w:r>
      <w:r>
        <w:rPr>
          <w:spacing w:val="-2"/>
        </w:rPr>
        <w:t> </w:t>
      </w:r>
      <w:r>
        <w:rPr/>
        <w:t>in</w:t>
      </w:r>
      <w:r>
        <w:rPr>
          <w:spacing w:val="-4"/>
        </w:rPr>
        <w:t> </w:t>
      </w:r>
      <w:r>
        <w:rPr/>
        <w:t>community</w:t>
      </w:r>
      <w:r>
        <w:rPr>
          <w:spacing w:val="-7"/>
        </w:rPr>
        <w:t> </w:t>
      </w:r>
      <w:r>
        <w:rPr/>
        <w:t>based</w:t>
      </w:r>
      <w:r>
        <w:rPr>
          <w:spacing w:val="-4"/>
        </w:rPr>
        <w:t> </w:t>
      </w:r>
      <w:r>
        <w:rPr/>
        <w:t>design and</w:t>
      </w:r>
      <w:r>
        <w:rPr>
          <w:spacing w:val="-2"/>
        </w:rPr>
        <w:t> </w:t>
      </w:r>
      <w:r>
        <w:rPr/>
        <w:t>learn</w:t>
      </w:r>
      <w:r>
        <w:rPr>
          <w:spacing w:val="-4"/>
        </w:rPr>
        <w:t> </w:t>
      </w:r>
      <w:r>
        <w:rPr/>
        <w:t>how architecture can affect communities. There are multiple ways that our program is able to accomplish</w:t>
      </w:r>
      <w:r>
        <w:rPr>
          <w:spacing w:val="-4"/>
        </w:rPr>
        <w:t> </w:t>
      </w:r>
      <w:r>
        <w:rPr/>
        <w:t>this</w:t>
      </w:r>
      <w:r>
        <w:rPr>
          <w:spacing w:val="-3"/>
        </w:rPr>
        <w:t> </w:t>
      </w:r>
      <w:r>
        <w:rPr/>
        <w:t>task.</w:t>
      </w:r>
      <w:r>
        <w:rPr>
          <w:spacing w:val="-4"/>
        </w:rPr>
        <w:t> </w:t>
      </w:r>
      <w:r>
        <w:rPr/>
        <w:t>It</w:t>
      </w:r>
      <w:r>
        <w:rPr>
          <w:spacing w:val="-4"/>
        </w:rPr>
        <w:t> </w:t>
      </w:r>
      <w:r>
        <w:rPr/>
        <w:t>begins</w:t>
      </w:r>
      <w:r>
        <w:rPr>
          <w:spacing w:val="-3"/>
        </w:rPr>
        <w:t> </w:t>
      </w:r>
      <w:r>
        <w:rPr/>
        <w:t>with</w:t>
      </w:r>
      <w:r>
        <w:rPr>
          <w:spacing w:val="-2"/>
        </w:rPr>
        <w:t> </w:t>
      </w:r>
      <w:r>
        <w:rPr/>
        <w:t>collaboration</w:t>
      </w:r>
      <w:r>
        <w:rPr>
          <w:spacing w:val="-2"/>
        </w:rPr>
        <w:t> </w:t>
      </w:r>
      <w:r>
        <w:rPr/>
        <w:t>within</w:t>
      </w:r>
      <w:r>
        <w:rPr>
          <w:spacing w:val="-2"/>
        </w:rPr>
        <w:t> </w:t>
      </w:r>
      <w:r>
        <w:rPr/>
        <w:t>the</w:t>
      </w:r>
      <w:r>
        <w:rPr>
          <w:spacing w:val="-4"/>
        </w:rPr>
        <w:t> </w:t>
      </w:r>
      <w:r>
        <w:rPr/>
        <w:t>department.</w:t>
      </w:r>
      <w:r>
        <w:rPr>
          <w:spacing w:val="-4"/>
        </w:rPr>
        <w:t> </w:t>
      </w:r>
      <w:r>
        <w:rPr/>
        <w:t>Our</w:t>
      </w:r>
      <w:r>
        <w:rPr>
          <w:spacing w:val="-3"/>
        </w:rPr>
        <w:t> </w:t>
      </w:r>
      <w:r>
        <w:rPr/>
        <w:t>faculty</w:t>
      </w:r>
      <w:r>
        <w:rPr>
          <w:spacing w:val="-5"/>
        </w:rPr>
        <w:t> </w:t>
      </w:r>
      <w:r>
        <w:rPr/>
        <w:t>work in</w:t>
      </w:r>
      <w:r>
        <w:rPr>
          <w:spacing w:val="-4"/>
        </w:rPr>
        <w:t> </w:t>
      </w:r>
      <w:r>
        <w:rPr/>
        <w:t>open and obvious collaborative efforts to</w:t>
      </w:r>
    </w:p>
    <w:p>
      <w:pPr>
        <w:pStyle w:val="BodyText"/>
        <w:spacing w:before="10"/>
      </w:pPr>
    </w:p>
    <w:p>
      <w:pPr>
        <w:pStyle w:val="BodyText"/>
        <w:ind w:left="1219" w:right="546"/>
      </w:pPr>
      <w:r>
        <w:rPr/>
        <w:t>Our design</w:t>
      </w:r>
      <w:r>
        <w:rPr>
          <w:spacing w:val="-1"/>
        </w:rPr>
        <w:t> </w:t>
      </w:r>
      <w:r>
        <w:rPr/>
        <w:t>studios are orchestrated to provide</w:t>
      </w:r>
      <w:r>
        <w:rPr>
          <w:spacing w:val="-1"/>
        </w:rPr>
        <w:t> </w:t>
      </w:r>
      <w:r>
        <w:rPr/>
        <w:t>support</w:t>
      </w:r>
      <w:r>
        <w:rPr>
          <w:spacing w:val="-1"/>
        </w:rPr>
        <w:t> </w:t>
      </w:r>
      <w:r>
        <w:rPr/>
        <w:t>instruction</w:t>
      </w:r>
      <w:r>
        <w:rPr>
          <w:spacing w:val="-1"/>
        </w:rPr>
        <w:t> </w:t>
      </w:r>
      <w:r>
        <w:rPr/>
        <w:t>that</w:t>
      </w:r>
      <w:r>
        <w:rPr>
          <w:spacing w:val="-1"/>
        </w:rPr>
        <w:t> </w:t>
      </w:r>
      <w:r>
        <w:rPr/>
        <w:t>compliments the</w:t>
      </w:r>
      <w:r>
        <w:rPr>
          <w:spacing w:val="-1"/>
        </w:rPr>
        <w:t> </w:t>
      </w:r>
      <w:r>
        <w:rPr/>
        <w:t>outcome expectations of the studio. For example, in the first year, students are introduced to design thinking at the basic level. To support this instruction, they take the architectural history courses that allow them to see the evolution of design thinking throughout history. In the second year, they</w:t>
      </w:r>
      <w:r>
        <w:rPr>
          <w:spacing w:val="-7"/>
        </w:rPr>
        <w:t> </w:t>
      </w:r>
      <w:r>
        <w:rPr/>
        <w:t>are</w:t>
      </w:r>
      <w:r>
        <w:rPr>
          <w:spacing w:val="-2"/>
        </w:rPr>
        <w:t> </w:t>
      </w:r>
      <w:r>
        <w:rPr/>
        <w:t>introduced</w:t>
      </w:r>
      <w:r>
        <w:rPr>
          <w:spacing w:val="-2"/>
        </w:rPr>
        <w:t> </w:t>
      </w:r>
      <w:r>
        <w:rPr/>
        <w:t>to</w:t>
      </w:r>
      <w:r>
        <w:rPr>
          <w:spacing w:val="-2"/>
        </w:rPr>
        <w:t> </w:t>
      </w:r>
      <w:r>
        <w:rPr/>
        <w:t>digital</w:t>
      </w:r>
      <w:r>
        <w:rPr>
          <w:spacing w:val="-5"/>
        </w:rPr>
        <w:t> </w:t>
      </w:r>
      <w:r>
        <w:rPr/>
        <w:t>design</w:t>
      </w:r>
      <w:r>
        <w:rPr>
          <w:spacing w:val="-4"/>
        </w:rPr>
        <w:t> </w:t>
      </w:r>
      <w:r>
        <w:rPr/>
        <w:t>and</w:t>
      </w:r>
      <w:r>
        <w:rPr>
          <w:spacing w:val="-4"/>
        </w:rPr>
        <w:t> </w:t>
      </w:r>
      <w:r>
        <w:rPr/>
        <w:t>the</w:t>
      </w:r>
      <w:r>
        <w:rPr>
          <w:spacing w:val="-4"/>
        </w:rPr>
        <w:t> </w:t>
      </w:r>
      <w:r>
        <w:rPr/>
        <w:t>beginning</w:t>
      </w:r>
      <w:r>
        <w:rPr>
          <w:spacing w:val="-2"/>
        </w:rPr>
        <w:t> </w:t>
      </w:r>
      <w:r>
        <w:rPr/>
        <w:t>elements</w:t>
      </w:r>
      <w:r>
        <w:rPr>
          <w:spacing w:val="-3"/>
        </w:rPr>
        <w:t> </w:t>
      </w:r>
      <w:r>
        <w:rPr/>
        <w:t>of</w:t>
      </w:r>
      <w:r>
        <w:rPr>
          <w:spacing w:val="-2"/>
        </w:rPr>
        <w:t> </w:t>
      </w:r>
      <w:r>
        <w:rPr/>
        <w:t>building</w:t>
      </w:r>
      <w:r>
        <w:rPr>
          <w:spacing w:val="-2"/>
        </w:rPr>
        <w:t> </w:t>
      </w:r>
      <w:r>
        <w:rPr/>
        <w:t>design.</w:t>
      </w:r>
      <w:r>
        <w:rPr>
          <w:spacing w:val="-4"/>
        </w:rPr>
        <w:t> </w:t>
      </w:r>
      <w:r>
        <w:rPr/>
        <w:t>Their</w:t>
      </w:r>
      <w:r>
        <w:rPr>
          <w:spacing w:val="-3"/>
        </w:rPr>
        <w:t> </w:t>
      </w:r>
      <w:r>
        <w:rPr/>
        <w:t>support courses include architectural ecology to help them understand the basic elements of site design, building science, to help them understand the components and materials used in architecture, and architectural representation so that they understand the ways architectural thought is communicated graphically. In the fourth year, students are in their comprehensive design studio and courses in professional practice supplement the office atmosphere created in the studio and help advance the concept of professionalism and comprehensiveness in the design process.</w:t>
      </w:r>
    </w:p>
    <w:p>
      <w:pPr>
        <w:pStyle w:val="BodyText"/>
        <w:spacing w:before="10"/>
      </w:pPr>
    </w:p>
    <w:p>
      <w:pPr>
        <w:pStyle w:val="BodyText"/>
        <w:ind w:left="1219" w:right="506"/>
      </w:pPr>
      <w:r>
        <w:rPr/>
        <w:t>There are other requirements embedded in the outcome requirements of our curriculum that help enhance</w:t>
      </w:r>
      <w:r>
        <w:rPr>
          <w:spacing w:val="-5"/>
        </w:rPr>
        <w:t> </w:t>
      </w:r>
      <w:r>
        <w:rPr/>
        <w:t>student</w:t>
      </w:r>
      <w:r>
        <w:rPr>
          <w:spacing w:val="-3"/>
        </w:rPr>
        <w:t> </w:t>
      </w:r>
      <w:r>
        <w:rPr/>
        <w:t>understanding</w:t>
      </w:r>
      <w:r>
        <w:rPr>
          <w:spacing w:val="-5"/>
        </w:rPr>
        <w:t> </w:t>
      </w:r>
      <w:r>
        <w:rPr/>
        <w:t>of</w:t>
      </w:r>
      <w:r>
        <w:rPr>
          <w:spacing w:val="-3"/>
        </w:rPr>
        <w:t> </w:t>
      </w:r>
      <w:r>
        <w:rPr/>
        <w:t>the</w:t>
      </w:r>
      <w:r>
        <w:rPr>
          <w:spacing w:val="-5"/>
        </w:rPr>
        <w:t> </w:t>
      </w:r>
      <w:r>
        <w:rPr/>
        <w:t>collaborative</w:t>
      </w:r>
      <w:r>
        <w:rPr>
          <w:spacing w:val="-3"/>
        </w:rPr>
        <w:t> </w:t>
      </w:r>
      <w:r>
        <w:rPr/>
        <w:t>and</w:t>
      </w:r>
      <w:r>
        <w:rPr>
          <w:spacing w:val="-5"/>
        </w:rPr>
        <w:t> </w:t>
      </w:r>
      <w:r>
        <w:rPr/>
        <w:t>diverse</w:t>
      </w:r>
      <w:r>
        <w:rPr>
          <w:spacing w:val="-5"/>
        </w:rPr>
        <w:t> </w:t>
      </w:r>
      <w:r>
        <w:rPr/>
        <w:t>structure</w:t>
      </w:r>
      <w:r>
        <w:rPr>
          <w:spacing w:val="-5"/>
        </w:rPr>
        <w:t> </w:t>
      </w:r>
      <w:r>
        <w:rPr/>
        <w:t>of</w:t>
      </w:r>
      <w:r>
        <w:rPr>
          <w:spacing w:val="-3"/>
        </w:rPr>
        <w:t> </w:t>
      </w:r>
      <w:r>
        <w:rPr/>
        <w:t>our</w:t>
      </w:r>
      <w:r>
        <w:rPr>
          <w:spacing w:val="-4"/>
        </w:rPr>
        <w:t> </w:t>
      </w:r>
      <w:r>
        <w:rPr/>
        <w:t>profession.</w:t>
      </w:r>
      <w:r>
        <w:rPr>
          <w:spacing w:val="-5"/>
        </w:rPr>
        <w:t> </w:t>
      </w:r>
      <w:r>
        <w:rPr/>
        <w:t>In the third year studio, students are introduced to client based design. Studio projects include real- world design problems being undertaken by real clients. Those clients / developers / community leaders act as clients for our students and frequent the classes to provide information, critique</w:t>
      </w:r>
      <w:r>
        <w:rPr/>
        <w:t> and assessment for their work. These opportunities are made available because of the relationships that our faculty have with the development community</w:t>
      </w:r>
      <w:r>
        <w:rPr>
          <w:spacing w:val="-2"/>
        </w:rPr>
        <w:t> </w:t>
      </w:r>
      <w:r>
        <w:rPr/>
        <w:t>in the Hampton Roads’ area. Previous clients and projects have included the Retail Merchants Association in Norfolk, the Housing</w:t>
      </w:r>
      <w:r>
        <w:rPr>
          <w:spacing w:val="-1"/>
        </w:rPr>
        <w:t> </w:t>
      </w:r>
      <w:r>
        <w:rPr/>
        <w:t>Authorities</w:t>
      </w:r>
      <w:r>
        <w:rPr>
          <w:spacing w:val="-2"/>
        </w:rPr>
        <w:t> </w:t>
      </w:r>
      <w:r>
        <w:rPr/>
        <w:t>in</w:t>
      </w:r>
      <w:r>
        <w:rPr>
          <w:spacing w:val="-3"/>
        </w:rPr>
        <w:t> </w:t>
      </w:r>
      <w:r>
        <w:rPr/>
        <w:t>Norfolk,</w:t>
      </w:r>
      <w:r>
        <w:rPr>
          <w:spacing w:val="-3"/>
        </w:rPr>
        <w:t> </w:t>
      </w:r>
      <w:r>
        <w:rPr/>
        <w:t>Hampton</w:t>
      </w:r>
      <w:r>
        <w:rPr>
          <w:spacing w:val="-3"/>
        </w:rPr>
        <w:t> </w:t>
      </w:r>
      <w:r>
        <w:rPr/>
        <w:t>and</w:t>
      </w:r>
      <w:r>
        <w:rPr>
          <w:spacing w:val="-1"/>
        </w:rPr>
        <w:t> </w:t>
      </w:r>
      <w:r>
        <w:rPr/>
        <w:t>Newport</w:t>
      </w:r>
      <w:r>
        <w:rPr>
          <w:spacing w:val="-1"/>
        </w:rPr>
        <w:t> </w:t>
      </w:r>
      <w:r>
        <w:rPr/>
        <w:t>News,</w:t>
      </w:r>
      <w:r>
        <w:rPr>
          <w:spacing w:val="-3"/>
        </w:rPr>
        <w:t> </w:t>
      </w:r>
      <w:r>
        <w:rPr/>
        <w:t>historic</w:t>
      </w:r>
      <w:r>
        <w:rPr>
          <w:spacing w:val="-2"/>
        </w:rPr>
        <w:t> </w:t>
      </w:r>
      <w:r>
        <w:rPr/>
        <w:t>church</w:t>
      </w:r>
      <w:r>
        <w:rPr>
          <w:spacing w:val="-3"/>
        </w:rPr>
        <w:t> </w:t>
      </w:r>
      <w:r>
        <w:rPr/>
        <w:t>communities,</w:t>
      </w:r>
      <w:r>
        <w:rPr>
          <w:spacing w:val="-3"/>
        </w:rPr>
        <w:t> </w:t>
      </w:r>
      <w:r>
        <w:rPr/>
        <w:t>NASA, the Tucker family (descendants of one of the earliest free Africans in America).</w:t>
      </w:r>
    </w:p>
    <w:p>
      <w:pPr>
        <w:pStyle w:val="BodyText"/>
        <w:spacing w:before="1"/>
        <w:rPr>
          <w:sz w:val="21"/>
        </w:rPr>
      </w:pPr>
    </w:p>
    <w:p>
      <w:pPr>
        <w:pStyle w:val="BodyText"/>
        <w:ind w:left="1219" w:right="481"/>
      </w:pPr>
      <w:r>
        <w:rPr/>
        <w:t>Between the third and fourth year, students are able to see architecture from a global</w:t>
      </w:r>
      <w:r>
        <w:rPr>
          <w:spacing w:val="40"/>
        </w:rPr>
        <w:t> </w:t>
      </w:r>
      <w:r>
        <w:rPr/>
        <w:t>perspective.</w:t>
      </w:r>
      <w:r>
        <w:rPr>
          <w:spacing w:val="-4"/>
        </w:rPr>
        <w:t> </w:t>
      </w:r>
      <w:r>
        <w:rPr/>
        <w:t>Our</w:t>
      </w:r>
      <w:r>
        <w:rPr>
          <w:spacing w:val="-3"/>
        </w:rPr>
        <w:t> </w:t>
      </w:r>
      <w:r>
        <w:rPr/>
        <w:t>International</w:t>
      </w:r>
      <w:r>
        <w:rPr>
          <w:spacing w:val="-2"/>
        </w:rPr>
        <w:t> </w:t>
      </w:r>
      <w:r>
        <w:rPr/>
        <w:t>Urban</w:t>
      </w:r>
      <w:r>
        <w:rPr>
          <w:spacing w:val="-2"/>
        </w:rPr>
        <w:t> </w:t>
      </w:r>
      <w:r>
        <w:rPr/>
        <w:t>Design</w:t>
      </w:r>
      <w:r>
        <w:rPr>
          <w:spacing w:val="-2"/>
        </w:rPr>
        <w:t> </w:t>
      </w:r>
      <w:r>
        <w:rPr/>
        <w:t>Studio</w:t>
      </w:r>
      <w:r>
        <w:rPr>
          <w:spacing w:val="-2"/>
        </w:rPr>
        <w:t> </w:t>
      </w:r>
      <w:r>
        <w:rPr/>
        <w:t>requires</w:t>
      </w:r>
      <w:r>
        <w:rPr>
          <w:spacing w:val="-3"/>
        </w:rPr>
        <w:t> </w:t>
      </w:r>
      <w:r>
        <w:rPr/>
        <w:t>students</w:t>
      </w:r>
      <w:r>
        <w:rPr>
          <w:spacing w:val="-3"/>
        </w:rPr>
        <w:t> </w:t>
      </w:r>
      <w:r>
        <w:rPr/>
        <w:t>to</w:t>
      </w:r>
      <w:r>
        <w:rPr>
          <w:spacing w:val="-4"/>
        </w:rPr>
        <w:t> </w:t>
      </w:r>
      <w:r>
        <w:rPr/>
        <w:t>travel</w:t>
      </w:r>
      <w:r>
        <w:rPr>
          <w:spacing w:val="-5"/>
        </w:rPr>
        <w:t> </w:t>
      </w:r>
      <w:r>
        <w:rPr/>
        <w:t>for</w:t>
      </w:r>
      <w:r>
        <w:rPr>
          <w:spacing w:val="-3"/>
        </w:rPr>
        <w:t> </w:t>
      </w:r>
      <w:r>
        <w:rPr/>
        <w:t>2-4</w:t>
      </w:r>
      <w:r>
        <w:rPr>
          <w:spacing w:val="-2"/>
        </w:rPr>
        <w:t> </w:t>
      </w:r>
      <w:r>
        <w:rPr/>
        <w:t>weeks</w:t>
      </w:r>
      <w:r>
        <w:rPr>
          <w:spacing w:val="-3"/>
        </w:rPr>
        <w:t> </w:t>
      </w:r>
      <w:r>
        <w:rPr/>
        <w:t>to</w:t>
      </w:r>
      <w:r>
        <w:rPr>
          <w:spacing w:val="-4"/>
        </w:rPr>
        <w:t> </w:t>
      </w:r>
      <w:r>
        <w:rPr/>
        <w:t>an international destination to study the work and the urban issues of spaces in foreign lands. The trip was preceded by a preparation course in French language, history and culture and followed by an urban design studio to design a project based on their travel studies. This past summer, Associate Professor Mason Andrews led, with Adjunct Professor Ray Gindroz, a 3 week travel study program in France.</w:t>
      </w:r>
      <w:r>
        <w:rPr>
          <w:spacing w:val="40"/>
        </w:rPr>
        <w:t> </w:t>
      </w:r>
      <w:r>
        <w:rPr/>
        <w:t>Sixteen students studied architecture and urban design in Aix, Marseille, Nimes, Toulon and Paris before returning to design a city square in the City of Toulon. Other recent trips have also included Italy.</w:t>
      </w:r>
    </w:p>
    <w:p>
      <w:pPr>
        <w:pStyle w:val="BodyText"/>
        <w:spacing w:before="10"/>
      </w:pPr>
    </w:p>
    <w:p>
      <w:pPr>
        <w:pStyle w:val="BodyText"/>
        <w:ind w:left="1219" w:right="705"/>
      </w:pPr>
      <w:r>
        <w:rPr/>
        <w:t>In the fourth year studio, client based projects continue and with the requirements of the Comprehensive</w:t>
      </w:r>
      <w:r>
        <w:rPr>
          <w:spacing w:val="-5"/>
        </w:rPr>
        <w:t> </w:t>
      </w:r>
      <w:r>
        <w:rPr/>
        <w:t>Design</w:t>
      </w:r>
      <w:r>
        <w:rPr>
          <w:spacing w:val="-3"/>
        </w:rPr>
        <w:t> </w:t>
      </w:r>
      <w:r>
        <w:rPr/>
        <w:t>Studio,</w:t>
      </w:r>
      <w:r>
        <w:rPr>
          <w:spacing w:val="-3"/>
        </w:rPr>
        <w:t> </w:t>
      </w:r>
      <w:r>
        <w:rPr/>
        <w:t>students</w:t>
      </w:r>
      <w:r>
        <w:rPr>
          <w:spacing w:val="-4"/>
        </w:rPr>
        <w:t> </w:t>
      </w:r>
      <w:r>
        <w:rPr/>
        <w:t>also</w:t>
      </w:r>
      <w:r>
        <w:rPr>
          <w:spacing w:val="-5"/>
        </w:rPr>
        <w:t> </w:t>
      </w:r>
      <w:r>
        <w:rPr/>
        <w:t>learn</w:t>
      </w:r>
      <w:r>
        <w:rPr>
          <w:spacing w:val="-3"/>
        </w:rPr>
        <w:t> </w:t>
      </w:r>
      <w:r>
        <w:rPr/>
        <w:t>how</w:t>
      </w:r>
      <w:r>
        <w:rPr>
          <w:spacing w:val="-5"/>
        </w:rPr>
        <w:t> </w:t>
      </w:r>
      <w:r>
        <w:rPr/>
        <w:t>projects</w:t>
      </w:r>
      <w:r>
        <w:rPr>
          <w:spacing w:val="-4"/>
        </w:rPr>
        <w:t> </w:t>
      </w:r>
      <w:r>
        <w:rPr/>
        <w:t>require</w:t>
      </w:r>
      <w:r>
        <w:rPr>
          <w:spacing w:val="-5"/>
        </w:rPr>
        <w:t> </w:t>
      </w:r>
      <w:r>
        <w:rPr/>
        <w:t>the</w:t>
      </w:r>
      <w:r>
        <w:rPr>
          <w:spacing w:val="-5"/>
        </w:rPr>
        <w:t> </w:t>
      </w:r>
      <w:r>
        <w:rPr/>
        <w:t>assistance</w:t>
      </w:r>
      <w:r>
        <w:rPr>
          <w:spacing w:val="-5"/>
        </w:rPr>
        <w:t> </w:t>
      </w:r>
      <w:r>
        <w:rPr/>
        <w:t>and consultation of multiple disciplines. This is achieved through the following:</w:t>
      </w:r>
    </w:p>
    <w:p>
      <w:pPr>
        <w:pStyle w:val="BodyText"/>
        <w:spacing w:before="11"/>
      </w:pPr>
    </w:p>
    <w:p>
      <w:pPr>
        <w:pStyle w:val="ListParagraph"/>
        <w:numPr>
          <w:ilvl w:val="4"/>
          <w:numId w:val="10"/>
        </w:numPr>
        <w:tabs>
          <w:tab w:pos="1940" w:val="left" w:leader="none"/>
        </w:tabs>
        <w:spacing w:line="240" w:lineRule="auto" w:before="0" w:after="0"/>
        <w:ind w:left="1939" w:right="595" w:hanging="360"/>
        <w:jc w:val="left"/>
        <w:rPr>
          <w:sz w:val="20"/>
        </w:rPr>
      </w:pPr>
      <w:r>
        <w:rPr>
          <w:sz w:val="20"/>
        </w:rPr>
        <w:t>Client</w:t>
      </w:r>
      <w:r>
        <w:rPr>
          <w:spacing w:val="-5"/>
          <w:sz w:val="20"/>
        </w:rPr>
        <w:t> </w:t>
      </w:r>
      <w:r>
        <w:rPr>
          <w:sz w:val="20"/>
        </w:rPr>
        <w:t>relationships</w:t>
      </w:r>
      <w:r>
        <w:rPr>
          <w:spacing w:val="-1"/>
          <w:sz w:val="20"/>
        </w:rPr>
        <w:t> </w:t>
      </w:r>
      <w:r>
        <w:rPr>
          <w:sz w:val="20"/>
        </w:rPr>
        <w:t>Students</w:t>
      </w:r>
      <w:r>
        <w:rPr>
          <w:spacing w:val="-4"/>
          <w:sz w:val="20"/>
        </w:rPr>
        <w:t> </w:t>
      </w:r>
      <w:r>
        <w:rPr>
          <w:sz w:val="20"/>
        </w:rPr>
        <w:t>work</w:t>
      </w:r>
      <w:r>
        <w:rPr>
          <w:spacing w:val="-1"/>
          <w:sz w:val="20"/>
        </w:rPr>
        <w:t> </w:t>
      </w:r>
      <w:r>
        <w:rPr>
          <w:sz w:val="20"/>
        </w:rPr>
        <w:t>on</w:t>
      </w:r>
      <w:r>
        <w:rPr>
          <w:spacing w:val="-5"/>
          <w:sz w:val="20"/>
        </w:rPr>
        <w:t> </w:t>
      </w:r>
      <w:r>
        <w:rPr>
          <w:sz w:val="20"/>
        </w:rPr>
        <w:t>client</w:t>
      </w:r>
      <w:r>
        <w:rPr>
          <w:spacing w:val="-3"/>
          <w:sz w:val="20"/>
        </w:rPr>
        <w:t> </w:t>
      </w:r>
      <w:r>
        <w:rPr>
          <w:sz w:val="20"/>
        </w:rPr>
        <w:t>driven</w:t>
      </w:r>
      <w:r>
        <w:rPr>
          <w:spacing w:val="-3"/>
          <w:sz w:val="20"/>
        </w:rPr>
        <w:t> </w:t>
      </w:r>
      <w:r>
        <w:rPr>
          <w:sz w:val="20"/>
        </w:rPr>
        <w:t>projects</w:t>
      </w:r>
      <w:r>
        <w:rPr>
          <w:spacing w:val="-4"/>
          <w:sz w:val="20"/>
        </w:rPr>
        <w:t> </w:t>
      </w:r>
      <w:r>
        <w:rPr>
          <w:sz w:val="20"/>
        </w:rPr>
        <w:t>that</w:t>
      </w:r>
      <w:r>
        <w:rPr>
          <w:spacing w:val="-3"/>
          <w:sz w:val="20"/>
        </w:rPr>
        <w:t> </w:t>
      </w:r>
      <w:r>
        <w:rPr>
          <w:sz w:val="20"/>
        </w:rPr>
        <w:t>are</w:t>
      </w:r>
      <w:r>
        <w:rPr>
          <w:spacing w:val="-5"/>
          <w:sz w:val="20"/>
        </w:rPr>
        <w:t> </w:t>
      </w:r>
      <w:r>
        <w:rPr>
          <w:sz w:val="20"/>
        </w:rPr>
        <w:t>local</w:t>
      </w:r>
      <w:r>
        <w:rPr>
          <w:spacing w:val="-4"/>
          <w:sz w:val="20"/>
        </w:rPr>
        <w:t> </w:t>
      </w:r>
      <w:r>
        <w:rPr>
          <w:sz w:val="20"/>
        </w:rPr>
        <w:t>and</w:t>
      </w:r>
      <w:r>
        <w:rPr>
          <w:spacing w:val="-3"/>
          <w:sz w:val="20"/>
        </w:rPr>
        <w:t> </w:t>
      </w:r>
      <w:r>
        <w:rPr>
          <w:sz w:val="20"/>
        </w:rPr>
        <w:t>relevant.</w:t>
      </w:r>
      <w:r>
        <w:rPr>
          <w:spacing w:val="-5"/>
          <w:sz w:val="20"/>
        </w:rPr>
        <w:t> </w:t>
      </w:r>
      <w:r>
        <w:rPr>
          <w:sz w:val="20"/>
        </w:rPr>
        <w:t>In the past three years projects have included local schools with the assistance of local school administrators and facilities planners; master plans and building designs for the NASA Langley Research campus supported by their local engineering and planning</w:t>
      </w:r>
    </w:p>
    <w:p>
      <w:pPr>
        <w:spacing w:after="0" w:line="240" w:lineRule="auto"/>
        <w:jc w:val="left"/>
        <w:rPr>
          <w:sz w:val="20"/>
        </w:rPr>
        <w:sectPr>
          <w:pgSz w:w="12240" w:h="15840"/>
          <w:pgMar w:header="0" w:footer="974" w:top="1360" w:bottom="1160" w:left="940" w:right="960"/>
        </w:sectPr>
      </w:pPr>
    </w:p>
    <w:p>
      <w:pPr>
        <w:pStyle w:val="BodyText"/>
        <w:spacing w:before="77"/>
        <w:ind w:left="1940" w:right="705"/>
      </w:pPr>
      <w:r>
        <w:rPr/>
        <w:t>staffs;</w:t>
      </w:r>
      <w:r>
        <w:rPr>
          <w:spacing w:val="-5"/>
        </w:rPr>
        <w:t> </w:t>
      </w:r>
      <w:r>
        <w:rPr/>
        <w:t>academic</w:t>
      </w:r>
      <w:r>
        <w:rPr>
          <w:spacing w:val="-4"/>
        </w:rPr>
        <w:t> </w:t>
      </w:r>
      <w:r>
        <w:rPr/>
        <w:t>planning</w:t>
      </w:r>
      <w:r>
        <w:rPr>
          <w:spacing w:val="-3"/>
        </w:rPr>
        <w:t> </w:t>
      </w:r>
      <w:r>
        <w:rPr/>
        <w:t>and</w:t>
      </w:r>
      <w:r>
        <w:rPr>
          <w:spacing w:val="-5"/>
        </w:rPr>
        <w:t> </w:t>
      </w:r>
      <w:r>
        <w:rPr/>
        <w:t>buildings</w:t>
      </w:r>
      <w:r>
        <w:rPr>
          <w:spacing w:val="-4"/>
        </w:rPr>
        <w:t> </w:t>
      </w:r>
      <w:r>
        <w:rPr/>
        <w:t>for</w:t>
      </w:r>
      <w:r>
        <w:rPr>
          <w:spacing w:val="-4"/>
        </w:rPr>
        <w:t> </w:t>
      </w:r>
      <w:r>
        <w:rPr/>
        <w:t>the</w:t>
      </w:r>
      <w:r>
        <w:rPr>
          <w:spacing w:val="-5"/>
        </w:rPr>
        <w:t> </w:t>
      </w:r>
      <w:r>
        <w:rPr/>
        <w:t>Tidewater</w:t>
      </w:r>
      <w:r>
        <w:rPr>
          <w:spacing w:val="-4"/>
        </w:rPr>
        <w:t> </w:t>
      </w:r>
      <w:r>
        <w:rPr/>
        <w:t>Community</w:t>
      </w:r>
      <w:r>
        <w:rPr>
          <w:spacing w:val="-8"/>
        </w:rPr>
        <w:t> </w:t>
      </w:r>
      <w:r>
        <w:rPr/>
        <w:t>College</w:t>
      </w:r>
      <w:r>
        <w:rPr>
          <w:spacing w:val="-3"/>
        </w:rPr>
        <w:t> </w:t>
      </w:r>
      <w:r>
        <w:rPr/>
        <w:t>campus and Hampton University’s campus.</w:t>
      </w:r>
    </w:p>
    <w:p>
      <w:pPr>
        <w:pStyle w:val="BodyText"/>
        <w:spacing w:before="11"/>
      </w:pPr>
    </w:p>
    <w:p>
      <w:pPr>
        <w:pStyle w:val="ListParagraph"/>
        <w:numPr>
          <w:ilvl w:val="4"/>
          <w:numId w:val="10"/>
        </w:numPr>
        <w:tabs>
          <w:tab w:pos="1940" w:val="left" w:leader="none"/>
        </w:tabs>
        <w:spacing w:line="240" w:lineRule="auto" w:before="0" w:after="0"/>
        <w:ind w:left="1939" w:right="714" w:hanging="360"/>
        <w:jc w:val="left"/>
        <w:rPr>
          <w:sz w:val="20"/>
        </w:rPr>
      </w:pPr>
      <w:r>
        <w:rPr>
          <w:sz w:val="20"/>
        </w:rPr>
        <w:t>LEED</w:t>
      </w:r>
      <w:r>
        <w:rPr>
          <w:spacing w:val="-4"/>
          <w:sz w:val="20"/>
        </w:rPr>
        <w:t> </w:t>
      </w:r>
      <w:r>
        <w:rPr>
          <w:sz w:val="20"/>
        </w:rPr>
        <w:t>Design</w:t>
      </w:r>
      <w:r>
        <w:rPr>
          <w:spacing w:val="-2"/>
          <w:sz w:val="20"/>
        </w:rPr>
        <w:t> </w:t>
      </w:r>
      <w:r>
        <w:rPr>
          <w:sz w:val="20"/>
        </w:rPr>
        <w:t>Strategy</w:t>
      </w:r>
      <w:r>
        <w:rPr>
          <w:spacing w:val="-7"/>
          <w:sz w:val="20"/>
        </w:rPr>
        <w:t> </w:t>
      </w:r>
      <w:r>
        <w:rPr>
          <w:sz w:val="20"/>
        </w:rPr>
        <w:t>Requirements:</w:t>
      </w:r>
      <w:r>
        <w:rPr>
          <w:spacing w:val="-4"/>
          <w:sz w:val="20"/>
        </w:rPr>
        <w:t> </w:t>
      </w:r>
      <w:r>
        <w:rPr>
          <w:sz w:val="20"/>
        </w:rPr>
        <w:t>Students</w:t>
      </w:r>
      <w:r>
        <w:rPr>
          <w:spacing w:val="-3"/>
          <w:sz w:val="20"/>
        </w:rPr>
        <w:t> </w:t>
      </w:r>
      <w:r>
        <w:rPr>
          <w:sz w:val="20"/>
        </w:rPr>
        <w:t>are</w:t>
      </w:r>
      <w:r>
        <w:rPr>
          <w:spacing w:val="-4"/>
          <w:sz w:val="20"/>
        </w:rPr>
        <w:t> </w:t>
      </w:r>
      <w:r>
        <w:rPr>
          <w:sz w:val="20"/>
        </w:rPr>
        <w:t>required</w:t>
      </w:r>
      <w:r>
        <w:rPr>
          <w:spacing w:val="-4"/>
          <w:sz w:val="20"/>
        </w:rPr>
        <w:t> </w:t>
      </w:r>
      <w:r>
        <w:rPr>
          <w:sz w:val="20"/>
        </w:rPr>
        <w:t>to</w:t>
      </w:r>
      <w:r>
        <w:rPr>
          <w:spacing w:val="-2"/>
          <w:sz w:val="20"/>
        </w:rPr>
        <w:t> </w:t>
      </w:r>
      <w:r>
        <w:rPr>
          <w:sz w:val="20"/>
        </w:rPr>
        <w:t>develop</w:t>
      </w:r>
      <w:r>
        <w:rPr>
          <w:spacing w:val="-3"/>
          <w:sz w:val="20"/>
        </w:rPr>
        <w:t> </w:t>
      </w:r>
      <w:r>
        <w:rPr>
          <w:sz w:val="20"/>
        </w:rPr>
        <w:t>and</w:t>
      </w:r>
      <w:r>
        <w:rPr>
          <w:spacing w:val="-4"/>
          <w:sz w:val="20"/>
        </w:rPr>
        <w:t> </w:t>
      </w:r>
      <w:r>
        <w:rPr>
          <w:sz w:val="20"/>
        </w:rPr>
        <w:t>implement design strategies for achieving LEED certification for their building designs. These strategies introduce the complexities of sustainable design and alert students to the interdependence of multiple design disciplines in achieving high standards in LEED </w:t>
      </w:r>
      <w:r>
        <w:rPr>
          <w:spacing w:val="-2"/>
          <w:sz w:val="20"/>
        </w:rPr>
        <w:t>categories.</w:t>
      </w:r>
    </w:p>
    <w:p>
      <w:pPr>
        <w:pStyle w:val="BodyText"/>
        <w:spacing w:before="9"/>
      </w:pPr>
    </w:p>
    <w:p>
      <w:pPr>
        <w:pStyle w:val="ListParagraph"/>
        <w:numPr>
          <w:ilvl w:val="4"/>
          <w:numId w:val="10"/>
        </w:numPr>
        <w:tabs>
          <w:tab w:pos="1940" w:val="left" w:leader="none"/>
        </w:tabs>
        <w:spacing w:line="240" w:lineRule="auto" w:before="1" w:after="0"/>
        <w:ind w:left="1939" w:right="774" w:hanging="360"/>
        <w:jc w:val="left"/>
        <w:rPr>
          <w:sz w:val="20"/>
        </w:rPr>
      </w:pPr>
      <w:r>
        <w:rPr>
          <w:sz w:val="20"/>
        </w:rPr>
        <w:t>Engineering</w:t>
      </w:r>
      <w:r>
        <w:rPr>
          <w:spacing w:val="-5"/>
          <w:sz w:val="20"/>
        </w:rPr>
        <w:t> </w:t>
      </w:r>
      <w:r>
        <w:rPr>
          <w:sz w:val="20"/>
        </w:rPr>
        <w:t>Research</w:t>
      </w:r>
      <w:r>
        <w:rPr>
          <w:spacing w:val="-5"/>
          <w:sz w:val="20"/>
        </w:rPr>
        <w:t> </w:t>
      </w:r>
      <w:r>
        <w:rPr>
          <w:sz w:val="20"/>
        </w:rPr>
        <w:t>Studies:</w:t>
      </w:r>
      <w:r>
        <w:rPr>
          <w:spacing w:val="-5"/>
          <w:sz w:val="20"/>
        </w:rPr>
        <w:t> </w:t>
      </w:r>
      <w:r>
        <w:rPr>
          <w:sz w:val="20"/>
        </w:rPr>
        <w:t>Students</w:t>
      </w:r>
      <w:r>
        <w:rPr>
          <w:spacing w:val="-4"/>
          <w:sz w:val="20"/>
        </w:rPr>
        <w:t> </w:t>
      </w:r>
      <w:r>
        <w:rPr>
          <w:sz w:val="20"/>
        </w:rPr>
        <w:t>conduct</w:t>
      </w:r>
      <w:r>
        <w:rPr>
          <w:spacing w:val="-5"/>
          <w:sz w:val="20"/>
        </w:rPr>
        <w:t> </w:t>
      </w:r>
      <w:r>
        <w:rPr>
          <w:sz w:val="20"/>
        </w:rPr>
        <w:t>research</w:t>
      </w:r>
      <w:r>
        <w:rPr>
          <w:spacing w:val="-5"/>
          <w:sz w:val="20"/>
        </w:rPr>
        <w:t> </w:t>
      </w:r>
      <w:r>
        <w:rPr>
          <w:sz w:val="20"/>
        </w:rPr>
        <w:t>to</w:t>
      </w:r>
      <w:r>
        <w:rPr>
          <w:spacing w:val="-5"/>
          <w:sz w:val="20"/>
        </w:rPr>
        <w:t> </w:t>
      </w:r>
      <w:r>
        <w:rPr>
          <w:sz w:val="20"/>
        </w:rPr>
        <w:t>design</w:t>
      </w:r>
      <w:r>
        <w:rPr>
          <w:spacing w:val="-5"/>
          <w:sz w:val="20"/>
        </w:rPr>
        <w:t> </w:t>
      </w:r>
      <w:r>
        <w:rPr>
          <w:sz w:val="20"/>
        </w:rPr>
        <w:t>and</w:t>
      </w:r>
      <w:r>
        <w:rPr>
          <w:spacing w:val="-5"/>
          <w:sz w:val="20"/>
        </w:rPr>
        <w:t> </w:t>
      </w:r>
      <w:r>
        <w:rPr>
          <w:sz w:val="20"/>
        </w:rPr>
        <w:t>plan</w:t>
      </w:r>
      <w:r>
        <w:rPr>
          <w:spacing w:val="-3"/>
          <w:sz w:val="20"/>
        </w:rPr>
        <w:t> </w:t>
      </w:r>
      <w:r>
        <w:rPr>
          <w:sz w:val="20"/>
        </w:rPr>
        <w:t>building systems to support their building designs.</w:t>
      </w:r>
    </w:p>
    <w:p>
      <w:pPr>
        <w:pStyle w:val="BodyText"/>
        <w:spacing w:before="8"/>
      </w:pPr>
    </w:p>
    <w:p>
      <w:pPr>
        <w:pStyle w:val="ListParagraph"/>
        <w:numPr>
          <w:ilvl w:val="4"/>
          <w:numId w:val="10"/>
        </w:numPr>
        <w:tabs>
          <w:tab w:pos="1940" w:val="left" w:leader="none"/>
        </w:tabs>
        <w:spacing w:line="240" w:lineRule="auto" w:before="0" w:after="0"/>
        <w:ind w:left="1939" w:right="486" w:hanging="360"/>
        <w:jc w:val="left"/>
        <w:rPr>
          <w:sz w:val="20"/>
        </w:rPr>
      </w:pPr>
      <w:r>
        <w:rPr>
          <w:sz w:val="20"/>
        </w:rPr>
        <w:t>Mentoring Program: As a result of his national leadership roles in the National Organization of Minority Architects (NOMA), he has amassed relationships with a</w:t>
      </w:r>
      <w:r>
        <w:rPr>
          <w:spacing w:val="40"/>
          <w:sz w:val="20"/>
        </w:rPr>
        <w:t> </w:t>
      </w:r>
      <w:r>
        <w:rPr>
          <w:sz w:val="20"/>
        </w:rPr>
        <w:t>national network of architects. He uses that network to develop mentoring relationships for</w:t>
      </w:r>
      <w:r>
        <w:rPr>
          <w:spacing w:val="-3"/>
          <w:sz w:val="20"/>
        </w:rPr>
        <w:t> </w:t>
      </w:r>
      <w:r>
        <w:rPr>
          <w:sz w:val="20"/>
        </w:rPr>
        <w:t>students.</w:t>
      </w:r>
      <w:r>
        <w:rPr>
          <w:spacing w:val="-4"/>
          <w:sz w:val="20"/>
        </w:rPr>
        <w:t> </w:t>
      </w:r>
      <w:r>
        <w:rPr>
          <w:sz w:val="20"/>
        </w:rPr>
        <w:t>Students</w:t>
      </w:r>
      <w:r>
        <w:rPr>
          <w:spacing w:val="-3"/>
          <w:sz w:val="20"/>
        </w:rPr>
        <w:t> </w:t>
      </w:r>
      <w:r>
        <w:rPr>
          <w:sz w:val="20"/>
        </w:rPr>
        <w:t>are</w:t>
      </w:r>
      <w:r>
        <w:rPr>
          <w:spacing w:val="-2"/>
          <w:sz w:val="20"/>
        </w:rPr>
        <w:t> </w:t>
      </w:r>
      <w:r>
        <w:rPr>
          <w:sz w:val="20"/>
        </w:rPr>
        <w:t>linked</w:t>
      </w:r>
      <w:r>
        <w:rPr>
          <w:spacing w:val="-4"/>
          <w:sz w:val="20"/>
        </w:rPr>
        <w:t> </w:t>
      </w:r>
      <w:r>
        <w:rPr>
          <w:sz w:val="20"/>
        </w:rPr>
        <w:t>with</w:t>
      </w:r>
      <w:r>
        <w:rPr>
          <w:spacing w:val="-2"/>
          <w:sz w:val="20"/>
        </w:rPr>
        <w:t> </w:t>
      </w:r>
      <w:r>
        <w:rPr>
          <w:sz w:val="20"/>
        </w:rPr>
        <w:t>professional</w:t>
      </w:r>
      <w:r>
        <w:rPr>
          <w:spacing w:val="-5"/>
          <w:sz w:val="20"/>
        </w:rPr>
        <w:t> </w:t>
      </w:r>
      <w:r>
        <w:rPr>
          <w:sz w:val="20"/>
        </w:rPr>
        <w:t>mentors</w:t>
      </w:r>
      <w:r>
        <w:rPr>
          <w:spacing w:val="-3"/>
          <w:sz w:val="20"/>
        </w:rPr>
        <w:t> </w:t>
      </w:r>
      <w:r>
        <w:rPr>
          <w:sz w:val="20"/>
        </w:rPr>
        <w:t>in</w:t>
      </w:r>
      <w:r>
        <w:rPr>
          <w:spacing w:val="-4"/>
          <w:sz w:val="20"/>
        </w:rPr>
        <w:t> </w:t>
      </w:r>
      <w:r>
        <w:rPr>
          <w:sz w:val="20"/>
        </w:rPr>
        <w:t>the</w:t>
      </w:r>
      <w:r>
        <w:rPr>
          <w:spacing w:val="-4"/>
          <w:sz w:val="20"/>
        </w:rPr>
        <w:t> </w:t>
      </w:r>
      <w:r>
        <w:rPr>
          <w:sz w:val="20"/>
        </w:rPr>
        <w:t>areas where</w:t>
      </w:r>
      <w:r>
        <w:rPr>
          <w:spacing w:val="-4"/>
          <w:sz w:val="20"/>
        </w:rPr>
        <w:t> </w:t>
      </w:r>
      <w:r>
        <w:rPr>
          <w:sz w:val="20"/>
        </w:rPr>
        <w:t>they</w:t>
      </w:r>
      <w:r>
        <w:rPr>
          <w:spacing w:val="-5"/>
          <w:sz w:val="20"/>
        </w:rPr>
        <w:t> </w:t>
      </w:r>
      <w:r>
        <w:rPr>
          <w:sz w:val="20"/>
        </w:rPr>
        <w:t>live</w:t>
      </w:r>
      <w:r>
        <w:rPr>
          <w:spacing w:val="-4"/>
          <w:sz w:val="20"/>
        </w:rPr>
        <w:t> </w:t>
      </w:r>
      <w:r>
        <w:rPr>
          <w:sz w:val="20"/>
        </w:rPr>
        <w:t>or want to relocate, and are encouraged to seek guidance in maneuvering through the job market and to get presenting their portfolios to prospective employers.</w:t>
      </w:r>
    </w:p>
    <w:p>
      <w:pPr>
        <w:pStyle w:val="BodyText"/>
        <w:spacing w:before="10"/>
      </w:pPr>
    </w:p>
    <w:p>
      <w:pPr>
        <w:pStyle w:val="ListParagraph"/>
        <w:numPr>
          <w:ilvl w:val="4"/>
          <w:numId w:val="10"/>
        </w:numPr>
        <w:tabs>
          <w:tab w:pos="1940" w:val="left" w:leader="none"/>
        </w:tabs>
        <w:spacing w:line="240" w:lineRule="auto" w:before="1" w:after="0"/>
        <w:ind w:left="1939" w:right="0" w:hanging="361"/>
        <w:jc w:val="left"/>
        <w:rPr>
          <w:sz w:val="20"/>
        </w:rPr>
      </w:pPr>
      <w:r>
        <w:rPr>
          <w:sz w:val="20"/>
        </w:rPr>
        <w:t>Professional</w:t>
      </w:r>
      <w:r>
        <w:rPr>
          <w:spacing w:val="-10"/>
          <w:sz w:val="20"/>
        </w:rPr>
        <w:t> </w:t>
      </w:r>
      <w:r>
        <w:rPr>
          <w:sz w:val="20"/>
        </w:rPr>
        <w:t>Practice</w:t>
      </w:r>
      <w:r>
        <w:rPr>
          <w:spacing w:val="-6"/>
          <w:sz w:val="20"/>
        </w:rPr>
        <w:t> </w:t>
      </w:r>
      <w:r>
        <w:rPr>
          <w:sz w:val="20"/>
        </w:rPr>
        <w:t>Sequence:</w:t>
      </w:r>
      <w:r>
        <w:rPr>
          <w:spacing w:val="-7"/>
          <w:sz w:val="20"/>
        </w:rPr>
        <w:t> </w:t>
      </w:r>
      <w:r>
        <w:rPr>
          <w:sz w:val="20"/>
        </w:rPr>
        <w:t>Students</w:t>
      </w:r>
      <w:r>
        <w:rPr>
          <w:spacing w:val="-4"/>
          <w:sz w:val="20"/>
        </w:rPr>
        <w:t> </w:t>
      </w:r>
      <w:r>
        <w:rPr>
          <w:sz w:val="20"/>
        </w:rPr>
        <w:t>visit</w:t>
      </w:r>
      <w:r>
        <w:rPr>
          <w:spacing w:val="-9"/>
          <w:sz w:val="20"/>
        </w:rPr>
        <w:t> </w:t>
      </w:r>
      <w:r>
        <w:rPr>
          <w:sz w:val="20"/>
        </w:rPr>
        <w:t>and</w:t>
      </w:r>
      <w:r>
        <w:rPr>
          <w:spacing w:val="-6"/>
          <w:sz w:val="20"/>
        </w:rPr>
        <w:t> </w:t>
      </w:r>
      <w:r>
        <w:rPr>
          <w:sz w:val="20"/>
        </w:rPr>
        <w:t>interview</w:t>
      </w:r>
      <w:r>
        <w:rPr>
          <w:spacing w:val="-9"/>
          <w:sz w:val="20"/>
        </w:rPr>
        <w:t> </w:t>
      </w:r>
      <w:r>
        <w:rPr>
          <w:sz w:val="20"/>
        </w:rPr>
        <w:t>architects</w:t>
      </w:r>
      <w:r>
        <w:rPr>
          <w:spacing w:val="-8"/>
          <w:sz w:val="20"/>
        </w:rPr>
        <w:t> </w:t>
      </w:r>
      <w:r>
        <w:rPr>
          <w:sz w:val="20"/>
        </w:rPr>
        <w:t>in</w:t>
      </w:r>
      <w:r>
        <w:rPr>
          <w:spacing w:val="-8"/>
          <w:sz w:val="20"/>
        </w:rPr>
        <w:t> </w:t>
      </w:r>
      <w:r>
        <w:rPr>
          <w:sz w:val="20"/>
        </w:rPr>
        <w:t>local</w:t>
      </w:r>
      <w:r>
        <w:rPr>
          <w:spacing w:val="-9"/>
          <w:sz w:val="20"/>
        </w:rPr>
        <w:t> </w:t>
      </w:r>
      <w:r>
        <w:rPr>
          <w:spacing w:val="-2"/>
          <w:sz w:val="20"/>
        </w:rPr>
        <w:t>firms.</w:t>
      </w:r>
    </w:p>
    <w:p>
      <w:pPr>
        <w:pStyle w:val="BodyText"/>
        <w:spacing w:before="10"/>
      </w:pPr>
    </w:p>
    <w:p>
      <w:pPr>
        <w:pStyle w:val="ListParagraph"/>
        <w:numPr>
          <w:ilvl w:val="4"/>
          <w:numId w:val="10"/>
        </w:numPr>
        <w:tabs>
          <w:tab w:pos="1940" w:val="left" w:leader="none"/>
        </w:tabs>
        <w:spacing w:line="240" w:lineRule="auto" w:before="0" w:after="0"/>
        <w:ind w:left="1939" w:right="539" w:hanging="360"/>
        <w:jc w:val="left"/>
        <w:rPr>
          <w:sz w:val="20"/>
        </w:rPr>
      </w:pPr>
      <w:r>
        <w:rPr>
          <w:sz w:val="20"/>
        </w:rPr>
        <w:t>Study</w:t>
      </w:r>
      <w:r>
        <w:rPr>
          <w:spacing w:val="-5"/>
          <w:sz w:val="20"/>
        </w:rPr>
        <w:t> </w:t>
      </w:r>
      <w:r>
        <w:rPr>
          <w:sz w:val="20"/>
        </w:rPr>
        <w:t>Abroad:</w:t>
      </w:r>
      <w:r>
        <w:rPr>
          <w:spacing w:val="-2"/>
          <w:sz w:val="20"/>
        </w:rPr>
        <w:t> </w:t>
      </w:r>
      <w:r>
        <w:rPr>
          <w:sz w:val="20"/>
        </w:rPr>
        <w:t>A</w:t>
      </w:r>
      <w:r>
        <w:rPr>
          <w:spacing w:val="-5"/>
          <w:sz w:val="20"/>
        </w:rPr>
        <w:t> </w:t>
      </w:r>
      <w:r>
        <w:rPr>
          <w:sz w:val="20"/>
        </w:rPr>
        <w:t>key</w:t>
      </w:r>
      <w:r>
        <w:rPr>
          <w:spacing w:val="-7"/>
          <w:sz w:val="20"/>
        </w:rPr>
        <w:t> </w:t>
      </w:r>
      <w:r>
        <w:rPr>
          <w:sz w:val="20"/>
        </w:rPr>
        <w:t>component</w:t>
      </w:r>
      <w:r>
        <w:rPr>
          <w:spacing w:val="-4"/>
          <w:sz w:val="20"/>
        </w:rPr>
        <w:t> </w:t>
      </w:r>
      <w:r>
        <w:rPr>
          <w:sz w:val="20"/>
        </w:rPr>
        <w:t>of</w:t>
      </w:r>
      <w:r>
        <w:rPr>
          <w:spacing w:val="-2"/>
          <w:sz w:val="20"/>
        </w:rPr>
        <w:t> </w:t>
      </w:r>
      <w:r>
        <w:rPr>
          <w:sz w:val="20"/>
        </w:rPr>
        <w:t>our</w:t>
      </w:r>
      <w:r>
        <w:rPr>
          <w:spacing w:val="-3"/>
          <w:sz w:val="20"/>
        </w:rPr>
        <w:t> </w:t>
      </w:r>
      <w:r>
        <w:rPr>
          <w:sz w:val="20"/>
        </w:rPr>
        <w:t>program is</w:t>
      </w:r>
      <w:r>
        <w:rPr>
          <w:spacing w:val="-3"/>
          <w:sz w:val="20"/>
        </w:rPr>
        <w:t> </w:t>
      </w:r>
      <w:r>
        <w:rPr>
          <w:sz w:val="20"/>
        </w:rPr>
        <w:t>the</w:t>
      </w:r>
      <w:r>
        <w:rPr>
          <w:spacing w:val="-2"/>
          <w:sz w:val="20"/>
        </w:rPr>
        <w:t> </w:t>
      </w:r>
      <w:r>
        <w:rPr>
          <w:sz w:val="20"/>
        </w:rPr>
        <w:t>international</w:t>
      </w:r>
      <w:r>
        <w:rPr>
          <w:spacing w:val="-2"/>
          <w:sz w:val="20"/>
        </w:rPr>
        <w:t> </w:t>
      </w:r>
      <w:r>
        <w:rPr>
          <w:sz w:val="20"/>
        </w:rPr>
        <w:t>Study</w:t>
      </w:r>
      <w:r>
        <w:rPr>
          <w:spacing w:val="-5"/>
          <w:sz w:val="20"/>
        </w:rPr>
        <w:t> </w:t>
      </w:r>
      <w:r>
        <w:rPr>
          <w:sz w:val="20"/>
        </w:rPr>
        <w:t>Abroad</w:t>
      </w:r>
      <w:r>
        <w:rPr>
          <w:spacing w:val="-2"/>
          <w:sz w:val="20"/>
        </w:rPr>
        <w:t> </w:t>
      </w:r>
      <w:r>
        <w:rPr>
          <w:sz w:val="20"/>
        </w:rPr>
        <w:t>Studio. In</w:t>
      </w:r>
      <w:r>
        <w:rPr>
          <w:spacing w:val="-1"/>
          <w:sz w:val="20"/>
        </w:rPr>
        <w:t> </w:t>
      </w:r>
      <w:r>
        <w:rPr>
          <w:sz w:val="20"/>
        </w:rPr>
        <w:t>their travel</w:t>
      </w:r>
      <w:r>
        <w:rPr>
          <w:spacing w:val="-2"/>
          <w:sz w:val="20"/>
        </w:rPr>
        <w:t> </w:t>
      </w:r>
      <w:r>
        <w:rPr>
          <w:sz w:val="20"/>
        </w:rPr>
        <w:t>experience,</w:t>
      </w:r>
      <w:r>
        <w:rPr>
          <w:spacing w:val="-1"/>
          <w:sz w:val="20"/>
        </w:rPr>
        <w:t> </w:t>
      </w:r>
      <w:r>
        <w:rPr>
          <w:sz w:val="20"/>
        </w:rPr>
        <w:t>students meet</w:t>
      </w:r>
      <w:r>
        <w:rPr>
          <w:spacing w:val="-1"/>
          <w:sz w:val="20"/>
        </w:rPr>
        <w:t> </w:t>
      </w:r>
      <w:r>
        <w:rPr>
          <w:sz w:val="20"/>
        </w:rPr>
        <w:t>with professionals from other nations to discuss procedures, process and practices pertinent to the design of space and urban environments that affect other cultures.</w:t>
      </w:r>
    </w:p>
    <w:p>
      <w:pPr>
        <w:pStyle w:val="BodyText"/>
        <w:rPr>
          <w:sz w:val="21"/>
        </w:rPr>
      </w:pPr>
    </w:p>
    <w:p>
      <w:pPr>
        <w:pStyle w:val="ListParagraph"/>
        <w:numPr>
          <w:ilvl w:val="4"/>
          <w:numId w:val="10"/>
        </w:numPr>
        <w:tabs>
          <w:tab w:pos="1940" w:val="left" w:leader="none"/>
        </w:tabs>
        <w:spacing w:line="240" w:lineRule="auto" w:before="0" w:after="0"/>
        <w:ind w:left="1939" w:right="498" w:hanging="360"/>
        <w:jc w:val="left"/>
        <w:rPr>
          <w:sz w:val="20"/>
        </w:rPr>
      </w:pPr>
      <w:r>
        <w:rPr>
          <w:sz w:val="20"/>
        </w:rPr>
        <w:t>Lecture Series: We have been able to bring in architects of note to share their practice experiences with the students. Lecture have focused on quality work, but also expectations in the workplace. Lectures have included a range of design professionals, including</w:t>
      </w:r>
      <w:r>
        <w:rPr>
          <w:spacing w:val="-6"/>
          <w:sz w:val="20"/>
        </w:rPr>
        <w:t> </w:t>
      </w:r>
      <w:r>
        <w:rPr>
          <w:sz w:val="20"/>
        </w:rPr>
        <w:t>architects,</w:t>
      </w:r>
      <w:r>
        <w:rPr>
          <w:spacing w:val="-6"/>
          <w:sz w:val="20"/>
        </w:rPr>
        <w:t> </w:t>
      </w:r>
      <w:r>
        <w:rPr>
          <w:sz w:val="20"/>
        </w:rPr>
        <w:t>urban</w:t>
      </w:r>
      <w:r>
        <w:rPr>
          <w:spacing w:val="-4"/>
          <w:sz w:val="20"/>
        </w:rPr>
        <w:t> </w:t>
      </w:r>
      <w:r>
        <w:rPr>
          <w:sz w:val="20"/>
        </w:rPr>
        <w:t>designers,</w:t>
      </w:r>
      <w:r>
        <w:rPr>
          <w:spacing w:val="-6"/>
          <w:sz w:val="20"/>
        </w:rPr>
        <w:t> </w:t>
      </w:r>
      <w:r>
        <w:rPr>
          <w:sz w:val="20"/>
        </w:rPr>
        <w:t>planners,</w:t>
      </w:r>
      <w:r>
        <w:rPr>
          <w:spacing w:val="-6"/>
          <w:sz w:val="20"/>
        </w:rPr>
        <w:t> </w:t>
      </w:r>
      <w:r>
        <w:rPr>
          <w:sz w:val="20"/>
        </w:rPr>
        <w:t>interior</w:t>
      </w:r>
      <w:r>
        <w:rPr>
          <w:spacing w:val="-5"/>
          <w:sz w:val="20"/>
        </w:rPr>
        <w:t> </w:t>
      </w:r>
      <w:r>
        <w:rPr>
          <w:sz w:val="20"/>
        </w:rPr>
        <w:t>designers</w:t>
      </w:r>
      <w:r>
        <w:rPr>
          <w:spacing w:val="-5"/>
          <w:sz w:val="20"/>
        </w:rPr>
        <w:t> </w:t>
      </w:r>
      <w:r>
        <w:rPr>
          <w:sz w:val="20"/>
        </w:rPr>
        <w:t>and</w:t>
      </w:r>
      <w:r>
        <w:rPr>
          <w:spacing w:val="-4"/>
          <w:sz w:val="20"/>
        </w:rPr>
        <w:t> </w:t>
      </w:r>
      <w:r>
        <w:rPr>
          <w:sz w:val="20"/>
        </w:rPr>
        <w:t>other</w:t>
      </w:r>
      <w:r>
        <w:rPr>
          <w:spacing w:val="-5"/>
          <w:sz w:val="20"/>
        </w:rPr>
        <w:t> </w:t>
      </w:r>
      <w:r>
        <w:rPr>
          <w:sz w:val="20"/>
        </w:rPr>
        <w:t>professionals utilizing creative skills.</w:t>
      </w:r>
    </w:p>
    <w:p>
      <w:pPr>
        <w:pStyle w:val="BodyText"/>
        <w:spacing w:before="10"/>
      </w:pPr>
    </w:p>
    <w:p>
      <w:pPr>
        <w:pStyle w:val="ListParagraph"/>
        <w:numPr>
          <w:ilvl w:val="4"/>
          <w:numId w:val="10"/>
        </w:numPr>
        <w:tabs>
          <w:tab w:pos="1940" w:val="left" w:leader="none"/>
        </w:tabs>
        <w:spacing w:line="240" w:lineRule="auto" w:before="0" w:after="0"/>
        <w:ind w:left="1939" w:right="1176" w:hanging="360"/>
        <w:jc w:val="left"/>
        <w:rPr>
          <w:sz w:val="20"/>
        </w:rPr>
      </w:pPr>
      <w:r>
        <w:rPr>
          <w:sz w:val="20"/>
        </w:rPr>
        <w:t>We</w:t>
      </w:r>
      <w:r>
        <w:rPr>
          <w:spacing w:val="-7"/>
          <w:sz w:val="20"/>
        </w:rPr>
        <w:t> </w:t>
      </w:r>
      <w:r>
        <w:rPr>
          <w:sz w:val="20"/>
        </w:rPr>
        <w:t>have</w:t>
      </w:r>
      <w:r>
        <w:rPr>
          <w:spacing w:val="-4"/>
          <w:sz w:val="20"/>
        </w:rPr>
        <w:t> </w:t>
      </w:r>
      <w:r>
        <w:rPr>
          <w:sz w:val="20"/>
        </w:rPr>
        <w:t>partnered</w:t>
      </w:r>
      <w:r>
        <w:rPr>
          <w:spacing w:val="-2"/>
          <w:sz w:val="20"/>
        </w:rPr>
        <w:t> </w:t>
      </w:r>
      <w:r>
        <w:rPr>
          <w:sz w:val="20"/>
        </w:rPr>
        <w:t>with</w:t>
      </w:r>
      <w:r>
        <w:rPr>
          <w:spacing w:val="-4"/>
          <w:sz w:val="20"/>
        </w:rPr>
        <w:t> </w:t>
      </w:r>
      <w:r>
        <w:rPr>
          <w:sz w:val="20"/>
        </w:rPr>
        <w:t>the</w:t>
      </w:r>
      <w:r>
        <w:rPr>
          <w:spacing w:val="-2"/>
          <w:sz w:val="20"/>
        </w:rPr>
        <w:t> </w:t>
      </w:r>
      <w:r>
        <w:rPr>
          <w:sz w:val="20"/>
        </w:rPr>
        <w:t>Hampton</w:t>
      </w:r>
      <w:r>
        <w:rPr>
          <w:spacing w:val="-4"/>
          <w:sz w:val="20"/>
        </w:rPr>
        <w:t> </w:t>
      </w:r>
      <w:r>
        <w:rPr>
          <w:sz w:val="20"/>
        </w:rPr>
        <w:t>Roads</w:t>
      </w:r>
      <w:r>
        <w:rPr>
          <w:spacing w:val="-3"/>
          <w:sz w:val="20"/>
        </w:rPr>
        <w:t> </w:t>
      </w:r>
      <w:r>
        <w:rPr>
          <w:sz w:val="20"/>
        </w:rPr>
        <w:t>AIA</w:t>
      </w:r>
      <w:r>
        <w:rPr>
          <w:spacing w:val="-5"/>
          <w:sz w:val="20"/>
        </w:rPr>
        <w:t> </w:t>
      </w:r>
      <w:r>
        <w:rPr>
          <w:sz w:val="20"/>
        </w:rPr>
        <w:t>chapter</w:t>
      </w:r>
      <w:r>
        <w:rPr>
          <w:spacing w:val="-3"/>
          <w:sz w:val="20"/>
        </w:rPr>
        <w:t> </w:t>
      </w:r>
      <w:r>
        <w:rPr>
          <w:sz w:val="20"/>
        </w:rPr>
        <w:t>to</w:t>
      </w:r>
      <w:r>
        <w:rPr>
          <w:spacing w:val="-4"/>
          <w:sz w:val="20"/>
        </w:rPr>
        <w:t> </w:t>
      </w:r>
      <w:r>
        <w:rPr>
          <w:sz w:val="20"/>
        </w:rPr>
        <w:t>establish</w:t>
      </w:r>
      <w:r>
        <w:rPr>
          <w:spacing w:val="-4"/>
          <w:sz w:val="20"/>
        </w:rPr>
        <w:t> </w:t>
      </w:r>
      <w:r>
        <w:rPr>
          <w:sz w:val="20"/>
        </w:rPr>
        <w:t>a</w:t>
      </w:r>
      <w:r>
        <w:rPr>
          <w:spacing w:val="-4"/>
          <w:sz w:val="20"/>
        </w:rPr>
        <w:t> </w:t>
      </w:r>
      <w:r>
        <w:rPr>
          <w:sz w:val="20"/>
        </w:rPr>
        <w:t>mentoring program that includes off-campus activities such as:</w:t>
      </w:r>
    </w:p>
    <w:p>
      <w:pPr>
        <w:pStyle w:val="BodyText"/>
        <w:spacing w:before="8"/>
      </w:pPr>
    </w:p>
    <w:p>
      <w:pPr>
        <w:pStyle w:val="ListParagraph"/>
        <w:numPr>
          <w:ilvl w:val="5"/>
          <w:numId w:val="10"/>
        </w:numPr>
        <w:tabs>
          <w:tab w:pos="2300" w:val="left" w:leader="none"/>
        </w:tabs>
        <w:spacing w:line="240" w:lineRule="auto" w:before="1" w:after="0"/>
        <w:ind w:left="2299" w:right="691" w:hanging="360"/>
        <w:jc w:val="left"/>
        <w:rPr>
          <w:sz w:val="20"/>
        </w:rPr>
      </w:pPr>
      <w:r>
        <w:rPr>
          <w:sz w:val="20"/>
        </w:rPr>
        <w:t>Mentoring</w:t>
      </w:r>
      <w:r>
        <w:rPr>
          <w:spacing w:val="-4"/>
          <w:sz w:val="20"/>
        </w:rPr>
        <w:t> </w:t>
      </w:r>
      <w:r>
        <w:rPr>
          <w:sz w:val="20"/>
        </w:rPr>
        <w:t>Mayhem:</w:t>
      </w:r>
      <w:r>
        <w:rPr>
          <w:spacing w:val="-4"/>
          <w:sz w:val="20"/>
        </w:rPr>
        <w:t> </w:t>
      </w:r>
      <w:r>
        <w:rPr>
          <w:sz w:val="20"/>
        </w:rPr>
        <w:t>The</w:t>
      </w:r>
      <w:r>
        <w:rPr>
          <w:spacing w:val="-4"/>
          <w:sz w:val="20"/>
        </w:rPr>
        <w:t> </w:t>
      </w:r>
      <w:r>
        <w:rPr>
          <w:sz w:val="20"/>
        </w:rPr>
        <w:t>HR-AIA</w:t>
      </w:r>
      <w:r>
        <w:rPr>
          <w:spacing w:val="-5"/>
          <w:sz w:val="20"/>
        </w:rPr>
        <w:t> </w:t>
      </w:r>
      <w:r>
        <w:rPr>
          <w:sz w:val="20"/>
        </w:rPr>
        <w:t>sponsors</w:t>
      </w:r>
      <w:r>
        <w:rPr>
          <w:spacing w:val="-3"/>
          <w:sz w:val="20"/>
        </w:rPr>
        <w:t> </w:t>
      </w:r>
      <w:r>
        <w:rPr>
          <w:sz w:val="20"/>
        </w:rPr>
        <w:t>an</w:t>
      </w:r>
      <w:r>
        <w:rPr>
          <w:spacing w:val="-2"/>
          <w:sz w:val="20"/>
        </w:rPr>
        <w:t> </w:t>
      </w:r>
      <w:r>
        <w:rPr>
          <w:sz w:val="20"/>
        </w:rPr>
        <w:t>event</w:t>
      </w:r>
      <w:r>
        <w:rPr>
          <w:spacing w:val="-2"/>
          <w:sz w:val="20"/>
        </w:rPr>
        <w:t> </w:t>
      </w:r>
      <w:r>
        <w:rPr>
          <w:sz w:val="20"/>
        </w:rPr>
        <w:t>each</w:t>
      </w:r>
      <w:r>
        <w:rPr>
          <w:spacing w:val="-4"/>
          <w:sz w:val="20"/>
        </w:rPr>
        <w:t> </w:t>
      </w:r>
      <w:r>
        <w:rPr>
          <w:sz w:val="20"/>
        </w:rPr>
        <w:t>Spring</w:t>
      </w:r>
      <w:r>
        <w:rPr>
          <w:spacing w:val="-2"/>
          <w:sz w:val="20"/>
        </w:rPr>
        <w:t> </w:t>
      </w:r>
      <w:r>
        <w:rPr>
          <w:sz w:val="20"/>
        </w:rPr>
        <w:t>at</w:t>
      </w:r>
      <w:r>
        <w:rPr>
          <w:spacing w:val="-2"/>
          <w:sz w:val="20"/>
        </w:rPr>
        <w:t> </w:t>
      </w:r>
      <w:r>
        <w:rPr>
          <w:sz w:val="20"/>
        </w:rPr>
        <w:t>a</w:t>
      </w:r>
      <w:r>
        <w:rPr>
          <w:spacing w:val="-4"/>
          <w:sz w:val="20"/>
        </w:rPr>
        <w:t> </w:t>
      </w:r>
      <w:r>
        <w:rPr>
          <w:sz w:val="20"/>
        </w:rPr>
        <w:t>local</w:t>
      </w:r>
      <w:r>
        <w:rPr>
          <w:spacing w:val="-5"/>
          <w:sz w:val="20"/>
        </w:rPr>
        <w:t> </w:t>
      </w:r>
      <w:r>
        <w:rPr>
          <w:sz w:val="20"/>
        </w:rPr>
        <w:t>firm that partners students with mentors to review portfolios, discuss professional ambitions and prepare students</w:t>
      </w:r>
      <w:r>
        <w:rPr>
          <w:spacing w:val="-1"/>
          <w:sz w:val="20"/>
        </w:rPr>
        <w:t> </w:t>
      </w:r>
      <w:r>
        <w:rPr>
          <w:sz w:val="20"/>
        </w:rPr>
        <w:t>for</w:t>
      </w:r>
      <w:r>
        <w:rPr>
          <w:spacing w:val="-1"/>
          <w:sz w:val="20"/>
        </w:rPr>
        <w:t> </w:t>
      </w:r>
      <w:r>
        <w:rPr>
          <w:sz w:val="20"/>
        </w:rPr>
        <w:t>engaging</w:t>
      </w:r>
      <w:r>
        <w:rPr>
          <w:spacing w:val="-2"/>
          <w:sz w:val="20"/>
        </w:rPr>
        <w:t> </w:t>
      </w:r>
      <w:r>
        <w:rPr>
          <w:sz w:val="20"/>
        </w:rPr>
        <w:t>in</w:t>
      </w:r>
      <w:r>
        <w:rPr>
          <w:spacing w:val="-2"/>
          <w:sz w:val="20"/>
        </w:rPr>
        <w:t> </w:t>
      </w:r>
      <w:r>
        <w:rPr>
          <w:sz w:val="20"/>
        </w:rPr>
        <w:t>the</w:t>
      </w:r>
      <w:r>
        <w:rPr>
          <w:spacing w:val="-2"/>
          <w:sz w:val="20"/>
        </w:rPr>
        <w:t> </w:t>
      </w:r>
      <w:r>
        <w:rPr>
          <w:sz w:val="20"/>
        </w:rPr>
        <w:t>profession. This</w:t>
      </w:r>
      <w:r>
        <w:rPr>
          <w:spacing w:val="-1"/>
          <w:sz w:val="20"/>
        </w:rPr>
        <w:t> </w:t>
      </w:r>
      <w:r>
        <w:rPr>
          <w:sz w:val="20"/>
        </w:rPr>
        <w:t>even, open</w:t>
      </w:r>
      <w:r>
        <w:rPr>
          <w:spacing w:val="-2"/>
          <w:sz w:val="20"/>
        </w:rPr>
        <w:t> </w:t>
      </w:r>
      <w:r>
        <w:rPr>
          <w:sz w:val="20"/>
        </w:rPr>
        <w:t>to</w:t>
      </w:r>
      <w:r>
        <w:rPr>
          <w:spacing w:val="-2"/>
          <w:sz w:val="20"/>
        </w:rPr>
        <w:t> </w:t>
      </w:r>
      <w:r>
        <w:rPr>
          <w:sz w:val="20"/>
        </w:rPr>
        <w:t>all Virginia institutions,</w:t>
      </w:r>
      <w:r>
        <w:rPr>
          <w:spacing w:val="-3"/>
          <w:sz w:val="20"/>
        </w:rPr>
        <w:t> </w:t>
      </w:r>
      <w:r>
        <w:rPr>
          <w:sz w:val="20"/>
        </w:rPr>
        <w:t>is</w:t>
      </w:r>
      <w:r>
        <w:rPr>
          <w:spacing w:val="-4"/>
          <w:sz w:val="20"/>
        </w:rPr>
        <w:t> </w:t>
      </w:r>
      <w:r>
        <w:rPr>
          <w:sz w:val="20"/>
        </w:rPr>
        <w:t>dominated</w:t>
      </w:r>
      <w:r>
        <w:rPr>
          <w:spacing w:val="-5"/>
          <w:sz w:val="20"/>
        </w:rPr>
        <w:t> </w:t>
      </w:r>
      <w:r>
        <w:rPr>
          <w:sz w:val="20"/>
        </w:rPr>
        <w:t>by</w:t>
      </w:r>
      <w:r>
        <w:rPr>
          <w:spacing w:val="-6"/>
          <w:sz w:val="20"/>
        </w:rPr>
        <w:t> </w:t>
      </w:r>
      <w:r>
        <w:rPr>
          <w:sz w:val="20"/>
        </w:rPr>
        <w:t>our</w:t>
      </w:r>
      <w:r>
        <w:rPr>
          <w:spacing w:val="-4"/>
          <w:sz w:val="20"/>
        </w:rPr>
        <w:t> </w:t>
      </w:r>
      <w:r>
        <w:rPr>
          <w:sz w:val="20"/>
        </w:rPr>
        <w:t>students</w:t>
      </w:r>
      <w:r>
        <w:rPr>
          <w:spacing w:val="-4"/>
          <w:sz w:val="20"/>
        </w:rPr>
        <w:t> </w:t>
      </w:r>
      <w:r>
        <w:rPr>
          <w:sz w:val="20"/>
        </w:rPr>
        <w:t>(proximity)</w:t>
      </w:r>
      <w:r>
        <w:rPr>
          <w:spacing w:val="-4"/>
          <w:sz w:val="20"/>
        </w:rPr>
        <w:t> </w:t>
      </w:r>
      <w:r>
        <w:rPr>
          <w:sz w:val="20"/>
        </w:rPr>
        <w:t>and</w:t>
      </w:r>
      <w:r>
        <w:rPr>
          <w:spacing w:val="-5"/>
          <w:sz w:val="20"/>
        </w:rPr>
        <w:t> </w:t>
      </w:r>
      <w:r>
        <w:rPr>
          <w:sz w:val="20"/>
        </w:rPr>
        <w:t>provides</w:t>
      </w:r>
      <w:r>
        <w:rPr>
          <w:spacing w:val="-4"/>
          <w:sz w:val="20"/>
        </w:rPr>
        <w:t> </w:t>
      </w:r>
      <w:r>
        <w:rPr>
          <w:sz w:val="20"/>
        </w:rPr>
        <w:t>an</w:t>
      </w:r>
      <w:r>
        <w:rPr>
          <w:spacing w:val="-5"/>
          <w:sz w:val="20"/>
        </w:rPr>
        <w:t> </w:t>
      </w:r>
      <w:r>
        <w:rPr>
          <w:sz w:val="20"/>
        </w:rPr>
        <w:t>abundance</w:t>
      </w:r>
      <w:r>
        <w:rPr>
          <w:spacing w:val="-3"/>
          <w:sz w:val="20"/>
        </w:rPr>
        <w:t> </w:t>
      </w:r>
      <w:r>
        <w:rPr>
          <w:sz w:val="20"/>
        </w:rPr>
        <w:t>of benefit to them and the program.</w:t>
      </w:r>
    </w:p>
    <w:p>
      <w:pPr>
        <w:pStyle w:val="BodyText"/>
        <w:spacing w:before="9"/>
      </w:pPr>
    </w:p>
    <w:p>
      <w:pPr>
        <w:pStyle w:val="ListParagraph"/>
        <w:numPr>
          <w:ilvl w:val="5"/>
          <w:numId w:val="10"/>
        </w:numPr>
        <w:tabs>
          <w:tab w:pos="2300" w:val="left" w:leader="none"/>
        </w:tabs>
        <w:spacing w:line="240" w:lineRule="auto" w:before="1" w:after="0"/>
        <w:ind w:left="2299" w:right="480" w:hanging="360"/>
        <w:jc w:val="left"/>
        <w:rPr>
          <w:sz w:val="20"/>
        </w:rPr>
      </w:pPr>
      <w:r>
        <w:rPr>
          <w:sz w:val="20"/>
        </w:rPr>
        <w:t>Lecture Series Support: Local architects are often providing pro bono lectures to student</w:t>
      </w:r>
      <w:r>
        <w:rPr>
          <w:spacing w:val="-1"/>
          <w:sz w:val="20"/>
        </w:rPr>
        <w:t> </w:t>
      </w:r>
      <w:r>
        <w:rPr>
          <w:sz w:val="20"/>
        </w:rPr>
        <w:t>on</w:t>
      </w:r>
      <w:r>
        <w:rPr>
          <w:spacing w:val="-1"/>
          <w:sz w:val="20"/>
        </w:rPr>
        <w:t> </w:t>
      </w:r>
      <w:r>
        <w:rPr>
          <w:sz w:val="20"/>
        </w:rPr>
        <w:t>a</w:t>
      </w:r>
      <w:r>
        <w:rPr>
          <w:spacing w:val="-1"/>
          <w:sz w:val="20"/>
        </w:rPr>
        <w:t> </w:t>
      </w:r>
      <w:r>
        <w:rPr>
          <w:sz w:val="20"/>
        </w:rPr>
        <w:t>variety</w:t>
      </w:r>
      <w:r>
        <w:rPr>
          <w:spacing w:val="-4"/>
          <w:sz w:val="20"/>
        </w:rPr>
        <w:t> </w:t>
      </w:r>
      <w:r>
        <w:rPr>
          <w:sz w:val="20"/>
        </w:rPr>
        <w:t>of</w:t>
      </w:r>
      <w:r>
        <w:rPr>
          <w:spacing w:val="-1"/>
          <w:sz w:val="20"/>
        </w:rPr>
        <w:t> </w:t>
      </w:r>
      <w:r>
        <w:rPr>
          <w:sz w:val="20"/>
        </w:rPr>
        <w:t>topics.</w:t>
      </w:r>
      <w:r>
        <w:rPr>
          <w:spacing w:val="-3"/>
          <w:sz w:val="20"/>
        </w:rPr>
        <w:t> </w:t>
      </w:r>
      <w:r>
        <w:rPr>
          <w:sz w:val="20"/>
        </w:rPr>
        <w:t>One</w:t>
      </w:r>
      <w:r>
        <w:rPr>
          <w:spacing w:val="-3"/>
          <w:sz w:val="20"/>
        </w:rPr>
        <w:t> </w:t>
      </w:r>
      <w:r>
        <w:rPr>
          <w:sz w:val="20"/>
        </w:rPr>
        <w:t>lecturer,</w:t>
      </w:r>
      <w:r>
        <w:rPr>
          <w:spacing w:val="-5"/>
          <w:sz w:val="20"/>
        </w:rPr>
        <w:t> </w:t>
      </w:r>
      <w:r>
        <w:rPr>
          <w:sz w:val="20"/>
        </w:rPr>
        <w:t>Wesley</w:t>
      </w:r>
      <w:r>
        <w:rPr>
          <w:spacing w:val="-6"/>
          <w:sz w:val="20"/>
        </w:rPr>
        <w:t> </w:t>
      </w:r>
      <w:r>
        <w:rPr>
          <w:sz w:val="20"/>
        </w:rPr>
        <w:t>Page,</w:t>
      </w:r>
      <w:r>
        <w:rPr>
          <w:spacing w:val="-3"/>
          <w:sz w:val="20"/>
        </w:rPr>
        <w:t> </w:t>
      </w:r>
      <w:r>
        <w:rPr>
          <w:sz w:val="20"/>
        </w:rPr>
        <w:t>a</w:t>
      </w:r>
      <w:r>
        <w:rPr>
          <w:spacing w:val="-1"/>
          <w:sz w:val="20"/>
        </w:rPr>
        <w:t> </w:t>
      </w:r>
      <w:r>
        <w:rPr>
          <w:sz w:val="20"/>
        </w:rPr>
        <w:t>principal</w:t>
      </w:r>
      <w:r>
        <w:rPr>
          <w:spacing w:val="-2"/>
          <w:sz w:val="20"/>
        </w:rPr>
        <w:t> </w:t>
      </w:r>
      <w:r>
        <w:rPr>
          <w:sz w:val="20"/>
        </w:rPr>
        <w:t>with</w:t>
      </w:r>
      <w:r>
        <w:rPr>
          <w:spacing w:val="-1"/>
          <w:sz w:val="20"/>
        </w:rPr>
        <w:t> </w:t>
      </w:r>
      <w:r>
        <w:rPr>
          <w:sz w:val="20"/>
        </w:rPr>
        <w:t>a</w:t>
      </w:r>
      <w:r>
        <w:rPr>
          <w:spacing w:val="-3"/>
          <w:sz w:val="20"/>
        </w:rPr>
        <w:t> </w:t>
      </w:r>
      <w:r>
        <w:rPr>
          <w:sz w:val="20"/>
        </w:rPr>
        <w:t>local</w:t>
      </w:r>
      <w:r>
        <w:rPr>
          <w:spacing w:val="-4"/>
          <w:sz w:val="20"/>
        </w:rPr>
        <w:t> </w:t>
      </w:r>
      <w:r>
        <w:rPr>
          <w:sz w:val="20"/>
        </w:rPr>
        <w:t>firm, lectures annually on presentation and drawing techniques in preparation for our involvement in the Virginia Prize.</w:t>
      </w:r>
    </w:p>
    <w:p>
      <w:pPr>
        <w:pStyle w:val="BodyText"/>
        <w:rPr>
          <w:sz w:val="21"/>
        </w:rPr>
      </w:pPr>
    </w:p>
    <w:p>
      <w:pPr>
        <w:pStyle w:val="ListParagraph"/>
        <w:numPr>
          <w:ilvl w:val="5"/>
          <w:numId w:val="10"/>
        </w:numPr>
        <w:tabs>
          <w:tab w:pos="2299" w:val="left" w:leader="none"/>
          <w:tab w:pos="2300" w:val="left" w:leader="none"/>
        </w:tabs>
        <w:spacing w:line="240" w:lineRule="auto" w:before="0" w:after="0"/>
        <w:ind w:left="2299" w:right="1128" w:hanging="360"/>
        <w:jc w:val="left"/>
        <w:rPr>
          <w:sz w:val="20"/>
        </w:rPr>
      </w:pPr>
      <w:r>
        <w:rPr>
          <w:sz w:val="20"/>
        </w:rPr>
        <w:t>Design</w:t>
      </w:r>
      <w:r>
        <w:rPr>
          <w:spacing w:val="-3"/>
          <w:sz w:val="20"/>
        </w:rPr>
        <w:t> </w:t>
      </w:r>
      <w:r>
        <w:rPr>
          <w:sz w:val="20"/>
        </w:rPr>
        <w:t>Studio</w:t>
      </w:r>
      <w:r>
        <w:rPr>
          <w:spacing w:val="-5"/>
          <w:sz w:val="20"/>
        </w:rPr>
        <w:t> </w:t>
      </w:r>
      <w:r>
        <w:rPr>
          <w:sz w:val="20"/>
        </w:rPr>
        <w:t>Crits:</w:t>
      </w:r>
      <w:r>
        <w:rPr>
          <w:spacing w:val="-5"/>
          <w:sz w:val="20"/>
        </w:rPr>
        <w:t> </w:t>
      </w:r>
      <w:r>
        <w:rPr>
          <w:sz w:val="20"/>
        </w:rPr>
        <w:t>Members</w:t>
      </w:r>
      <w:r>
        <w:rPr>
          <w:spacing w:val="-4"/>
          <w:sz w:val="20"/>
        </w:rPr>
        <w:t> </w:t>
      </w:r>
      <w:r>
        <w:rPr>
          <w:sz w:val="20"/>
        </w:rPr>
        <w:t>of</w:t>
      </w:r>
      <w:r>
        <w:rPr>
          <w:spacing w:val="-3"/>
          <w:sz w:val="20"/>
        </w:rPr>
        <w:t> </w:t>
      </w:r>
      <w:r>
        <w:rPr>
          <w:sz w:val="20"/>
        </w:rPr>
        <w:t>the</w:t>
      </w:r>
      <w:r>
        <w:rPr>
          <w:spacing w:val="-5"/>
          <w:sz w:val="20"/>
        </w:rPr>
        <w:t> </w:t>
      </w:r>
      <w:r>
        <w:rPr>
          <w:sz w:val="20"/>
        </w:rPr>
        <w:t>design</w:t>
      </w:r>
      <w:r>
        <w:rPr>
          <w:spacing w:val="-3"/>
          <w:sz w:val="20"/>
        </w:rPr>
        <w:t> </w:t>
      </w:r>
      <w:r>
        <w:rPr>
          <w:sz w:val="20"/>
        </w:rPr>
        <w:t>profession</w:t>
      </w:r>
      <w:r>
        <w:rPr>
          <w:spacing w:val="-5"/>
          <w:sz w:val="20"/>
        </w:rPr>
        <w:t> </w:t>
      </w:r>
      <w:r>
        <w:rPr>
          <w:sz w:val="20"/>
        </w:rPr>
        <w:t>from</w:t>
      </w:r>
      <w:r>
        <w:rPr>
          <w:spacing w:val="-1"/>
          <w:sz w:val="20"/>
        </w:rPr>
        <w:t> </w:t>
      </w:r>
      <w:r>
        <w:rPr>
          <w:sz w:val="20"/>
        </w:rPr>
        <w:t>around</w:t>
      </w:r>
      <w:r>
        <w:rPr>
          <w:spacing w:val="-5"/>
          <w:sz w:val="20"/>
        </w:rPr>
        <w:t> </w:t>
      </w:r>
      <w:r>
        <w:rPr>
          <w:sz w:val="20"/>
        </w:rPr>
        <w:t>the</w:t>
      </w:r>
      <w:r>
        <w:rPr>
          <w:spacing w:val="-5"/>
          <w:sz w:val="20"/>
        </w:rPr>
        <w:t> </w:t>
      </w:r>
      <w:r>
        <w:rPr>
          <w:sz w:val="20"/>
        </w:rPr>
        <w:t>region provide support to our design studios.</w:t>
      </w:r>
    </w:p>
    <w:p>
      <w:pPr>
        <w:pStyle w:val="BodyText"/>
        <w:spacing w:before="8"/>
      </w:pPr>
    </w:p>
    <w:p>
      <w:pPr>
        <w:pStyle w:val="ListParagraph"/>
        <w:numPr>
          <w:ilvl w:val="5"/>
          <w:numId w:val="10"/>
        </w:numPr>
        <w:tabs>
          <w:tab w:pos="2300" w:val="left" w:leader="none"/>
        </w:tabs>
        <w:spacing w:line="240" w:lineRule="auto" w:before="0" w:after="0"/>
        <w:ind w:left="2299" w:right="757" w:hanging="360"/>
        <w:jc w:val="left"/>
        <w:rPr>
          <w:sz w:val="20"/>
        </w:rPr>
      </w:pPr>
      <w:r>
        <w:rPr>
          <w:sz w:val="20"/>
        </w:rPr>
        <w:t>Prize Awards: Our students participate in the annual Virginia Prize competition supported</w:t>
      </w:r>
      <w:r>
        <w:rPr>
          <w:spacing w:val="-3"/>
          <w:sz w:val="20"/>
        </w:rPr>
        <w:t> </w:t>
      </w:r>
      <w:r>
        <w:rPr>
          <w:sz w:val="20"/>
        </w:rPr>
        <w:t>by</w:t>
      </w:r>
      <w:r>
        <w:rPr>
          <w:spacing w:val="-6"/>
          <w:sz w:val="20"/>
        </w:rPr>
        <w:t> </w:t>
      </w:r>
      <w:r>
        <w:rPr>
          <w:sz w:val="20"/>
        </w:rPr>
        <w:t>the</w:t>
      </w:r>
      <w:r>
        <w:rPr>
          <w:spacing w:val="-2"/>
          <w:sz w:val="20"/>
        </w:rPr>
        <w:t> </w:t>
      </w:r>
      <w:r>
        <w:rPr>
          <w:sz w:val="20"/>
        </w:rPr>
        <w:t>VSAIA.</w:t>
      </w:r>
      <w:r>
        <w:rPr>
          <w:spacing w:val="-3"/>
          <w:sz w:val="20"/>
        </w:rPr>
        <w:t> </w:t>
      </w:r>
      <w:r>
        <w:rPr>
          <w:sz w:val="20"/>
        </w:rPr>
        <w:t>This</w:t>
      </w:r>
      <w:r>
        <w:rPr>
          <w:spacing w:val="-3"/>
          <w:sz w:val="20"/>
        </w:rPr>
        <w:t> </w:t>
      </w:r>
      <w:r>
        <w:rPr>
          <w:sz w:val="20"/>
        </w:rPr>
        <w:t>competition,</w:t>
      </w:r>
      <w:r>
        <w:rPr>
          <w:spacing w:val="-2"/>
          <w:sz w:val="20"/>
        </w:rPr>
        <w:t> </w:t>
      </w:r>
      <w:r>
        <w:rPr>
          <w:sz w:val="20"/>
        </w:rPr>
        <w:t>at</w:t>
      </w:r>
      <w:r>
        <w:rPr>
          <w:spacing w:val="-3"/>
          <w:sz w:val="20"/>
        </w:rPr>
        <w:t> </w:t>
      </w:r>
      <w:r>
        <w:rPr>
          <w:sz w:val="20"/>
        </w:rPr>
        <w:t>the</w:t>
      </w:r>
      <w:r>
        <w:rPr>
          <w:spacing w:val="-3"/>
          <w:sz w:val="20"/>
        </w:rPr>
        <w:t> </w:t>
      </w:r>
      <w:r>
        <w:rPr>
          <w:sz w:val="20"/>
        </w:rPr>
        <w:t>school</w:t>
      </w:r>
      <w:r>
        <w:rPr>
          <w:spacing w:val="-2"/>
          <w:sz w:val="20"/>
        </w:rPr>
        <w:t> </w:t>
      </w:r>
      <w:r>
        <w:rPr>
          <w:sz w:val="20"/>
        </w:rPr>
        <w:t>level,</w:t>
      </w:r>
      <w:r>
        <w:rPr>
          <w:spacing w:val="-3"/>
          <w:sz w:val="20"/>
        </w:rPr>
        <w:t> </w:t>
      </w:r>
      <w:r>
        <w:rPr>
          <w:sz w:val="20"/>
        </w:rPr>
        <w:t>is</w:t>
      </w:r>
      <w:r>
        <w:rPr>
          <w:spacing w:val="-3"/>
          <w:sz w:val="20"/>
        </w:rPr>
        <w:t> </w:t>
      </w:r>
      <w:r>
        <w:rPr>
          <w:sz w:val="20"/>
        </w:rPr>
        <w:t>juried</w:t>
      </w:r>
      <w:r>
        <w:rPr>
          <w:spacing w:val="-3"/>
          <w:sz w:val="20"/>
        </w:rPr>
        <w:t> </w:t>
      </w:r>
      <w:r>
        <w:rPr>
          <w:sz w:val="20"/>
        </w:rPr>
        <w:t>by</w:t>
      </w:r>
      <w:r>
        <w:rPr>
          <w:spacing w:val="-6"/>
          <w:sz w:val="20"/>
        </w:rPr>
        <w:t> </w:t>
      </w:r>
      <w:r>
        <w:rPr>
          <w:sz w:val="20"/>
        </w:rPr>
        <w:t>the</w:t>
      </w:r>
      <w:r>
        <w:rPr>
          <w:spacing w:val="-2"/>
          <w:sz w:val="20"/>
        </w:rPr>
        <w:t> </w:t>
      </w:r>
      <w:r>
        <w:rPr>
          <w:sz w:val="20"/>
        </w:rPr>
        <w:t>local design</w:t>
      </w:r>
      <w:r>
        <w:rPr>
          <w:spacing w:val="-5"/>
          <w:sz w:val="20"/>
        </w:rPr>
        <w:t> </w:t>
      </w:r>
      <w:r>
        <w:rPr>
          <w:sz w:val="20"/>
        </w:rPr>
        <w:t>profession</w:t>
      </w:r>
      <w:r>
        <w:rPr>
          <w:spacing w:val="-5"/>
          <w:sz w:val="20"/>
        </w:rPr>
        <w:t> </w:t>
      </w:r>
      <w:r>
        <w:rPr>
          <w:sz w:val="20"/>
        </w:rPr>
        <w:t>community,</w:t>
      </w:r>
      <w:r>
        <w:rPr>
          <w:spacing w:val="-5"/>
          <w:sz w:val="20"/>
        </w:rPr>
        <w:t> </w:t>
      </w:r>
      <w:r>
        <w:rPr>
          <w:sz w:val="20"/>
        </w:rPr>
        <w:t>and</w:t>
      </w:r>
      <w:r>
        <w:rPr>
          <w:spacing w:val="-5"/>
          <w:sz w:val="20"/>
        </w:rPr>
        <w:t> </w:t>
      </w:r>
      <w:r>
        <w:rPr>
          <w:sz w:val="20"/>
        </w:rPr>
        <w:t>the</w:t>
      </w:r>
      <w:r>
        <w:rPr>
          <w:spacing w:val="-3"/>
          <w:sz w:val="20"/>
        </w:rPr>
        <w:t> </w:t>
      </w:r>
      <w:r>
        <w:rPr>
          <w:sz w:val="20"/>
        </w:rPr>
        <w:t>winners</w:t>
      </w:r>
      <w:r>
        <w:rPr>
          <w:spacing w:val="-4"/>
          <w:sz w:val="20"/>
        </w:rPr>
        <w:t> </w:t>
      </w:r>
      <w:r>
        <w:rPr>
          <w:sz w:val="20"/>
        </w:rPr>
        <w:t>are</w:t>
      </w:r>
      <w:r>
        <w:rPr>
          <w:spacing w:val="-3"/>
          <w:sz w:val="20"/>
        </w:rPr>
        <w:t> </w:t>
      </w:r>
      <w:r>
        <w:rPr>
          <w:sz w:val="20"/>
        </w:rPr>
        <w:t>awarded</w:t>
      </w:r>
      <w:r>
        <w:rPr>
          <w:spacing w:val="-5"/>
          <w:sz w:val="20"/>
        </w:rPr>
        <w:t> </w:t>
      </w:r>
      <w:r>
        <w:rPr>
          <w:sz w:val="20"/>
        </w:rPr>
        <w:t>scholarships</w:t>
      </w:r>
      <w:r>
        <w:rPr>
          <w:spacing w:val="-1"/>
          <w:sz w:val="20"/>
        </w:rPr>
        <w:t> </w:t>
      </w:r>
      <w:r>
        <w:rPr>
          <w:sz w:val="20"/>
        </w:rPr>
        <w:t>over</w:t>
      </w:r>
      <w:r>
        <w:rPr>
          <w:spacing w:val="-4"/>
          <w:sz w:val="20"/>
        </w:rPr>
        <w:t> </w:t>
      </w:r>
      <w:r>
        <w:rPr>
          <w:sz w:val="20"/>
        </w:rPr>
        <w:t>and above the state awards.</w:t>
      </w:r>
    </w:p>
    <w:p>
      <w:pPr>
        <w:spacing w:after="0" w:line="240" w:lineRule="auto"/>
        <w:jc w:val="left"/>
        <w:rPr>
          <w:sz w:val="20"/>
        </w:rPr>
        <w:sectPr>
          <w:pgSz w:w="12240" w:h="15840"/>
          <w:pgMar w:header="0" w:footer="974" w:top="1360" w:bottom="1160" w:left="940" w:right="960"/>
        </w:sectPr>
      </w:pPr>
    </w:p>
    <w:p>
      <w:pPr>
        <w:pStyle w:val="ListParagraph"/>
        <w:numPr>
          <w:ilvl w:val="4"/>
          <w:numId w:val="10"/>
        </w:numPr>
        <w:tabs>
          <w:tab w:pos="1940" w:val="left" w:leader="none"/>
        </w:tabs>
        <w:spacing w:line="240" w:lineRule="auto" w:before="77" w:after="0"/>
        <w:ind w:left="1939" w:right="927" w:hanging="360"/>
        <w:jc w:val="left"/>
        <w:rPr>
          <w:sz w:val="20"/>
        </w:rPr>
      </w:pPr>
      <w:r>
        <w:rPr>
          <w:sz w:val="20"/>
        </w:rPr>
        <w:t>Community</w:t>
      </w:r>
      <w:r>
        <w:rPr>
          <w:spacing w:val="-7"/>
          <w:sz w:val="20"/>
        </w:rPr>
        <w:t> </w:t>
      </w:r>
      <w:r>
        <w:rPr>
          <w:sz w:val="20"/>
        </w:rPr>
        <w:t>Based</w:t>
      </w:r>
      <w:r>
        <w:rPr>
          <w:spacing w:val="-3"/>
          <w:sz w:val="20"/>
        </w:rPr>
        <w:t> </w:t>
      </w:r>
      <w:r>
        <w:rPr>
          <w:sz w:val="20"/>
        </w:rPr>
        <w:t>Projects:</w:t>
      </w:r>
      <w:r>
        <w:rPr>
          <w:spacing w:val="-4"/>
          <w:sz w:val="20"/>
        </w:rPr>
        <w:t> </w:t>
      </w:r>
      <w:r>
        <w:rPr>
          <w:sz w:val="20"/>
        </w:rPr>
        <w:t>Our</w:t>
      </w:r>
      <w:r>
        <w:rPr>
          <w:spacing w:val="-3"/>
          <w:sz w:val="20"/>
        </w:rPr>
        <w:t> </w:t>
      </w:r>
      <w:r>
        <w:rPr>
          <w:sz w:val="20"/>
        </w:rPr>
        <w:t>student</w:t>
      </w:r>
      <w:r>
        <w:rPr>
          <w:spacing w:val="-4"/>
          <w:sz w:val="20"/>
        </w:rPr>
        <w:t> </w:t>
      </w:r>
      <w:r>
        <w:rPr>
          <w:sz w:val="20"/>
        </w:rPr>
        <w:t>are</w:t>
      </w:r>
      <w:r>
        <w:rPr>
          <w:spacing w:val="-3"/>
          <w:sz w:val="20"/>
        </w:rPr>
        <w:t> </w:t>
      </w:r>
      <w:r>
        <w:rPr>
          <w:sz w:val="20"/>
        </w:rPr>
        <w:t>engaged</w:t>
      </w:r>
      <w:r>
        <w:rPr>
          <w:spacing w:val="-3"/>
          <w:sz w:val="20"/>
        </w:rPr>
        <w:t> </w:t>
      </w:r>
      <w:r>
        <w:rPr>
          <w:sz w:val="20"/>
        </w:rPr>
        <w:t>in</w:t>
      </w:r>
      <w:r>
        <w:rPr>
          <w:spacing w:val="-4"/>
          <w:sz w:val="20"/>
        </w:rPr>
        <w:t> </w:t>
      </w:r>
      <w:r>
        <w:rPr>
          <w:sz w:val="20"/>
        </w:rPr>
        <w:t>projects</w:t>
      </w:r>
      <w:r>
        <w:rPr>
          <w:spacing w:val="-3"/>
          <w:sz w:val="20"/>
        </w:rPr>
        <w:t> </w:t>
      </w:r>
      <w:r>
        <w:rPr>
          <w:sz w:val="20"/>
        </w:rPr>
        <w:t>that</w:t>
      </w:r>
      <w:r>
        <w:rPr>
          <w:spacing w:val="-3"/>
          <w:sz w:val="20"/>
        </w:rPr>
        <w:t> </w:t>
      </w:r>
      <w:r>
        <w:rPr>
          <w:sz w:val="20"/>
        </w:rPr>
        <w:t>are</w:t>
      </w:r>
      <w:r>
        <w:rPr>
          <w:spacing w:val="-4"/>
          <w:sz w:val="20"/>
        </w:rPr>
        <w:t> </w:t>
      </w:r>
      <w:r>
        <w:rPr>
          <w:sz w:val="20"/>
        </w:rPr>
        <w:t>community based with community clients.</w:t>
      </w:r>
    </w:p>
    <w:p>
      <w:pPr>
        <w:pStyle w:val="BodyText"/>
        <w:spacing w:before="11"/>
      </w:pPr>
    </w:p>
    <w:p>
      <w:pPr>
        <w:pStyle w:val="BodyText"/>
        <w:ind w:left="1220" w:right="499"/>
      </w:pPr>
      <w:r>
        <w:rPr/>
        <w:t>As indicated above, our students leave our program and work in</w:t>
      </w:r>
      <w:r>
        <w:rPr>
          <w:spacing w:val="-1"/>
        </w:rPr>
        <w:t> </w:t>
      </w:r>
      <w:r>
        <w:rPr/>
        <w:t>a variety</w:t>
      </w:r>
      <w:r>
        <w:rPr>
          <w:spacing w:val="-4"/>
        </w:rPr>
        <w:t> </w:t>
      </w:r>
      <w:r>
        <w:rPr/>
        <w:t>of capacities,</w:t>
      </w:r>
      <w:r>
        <w:rPr>
          <w:spacing w:val="-1"/>
        </w:rPr>
        <w:t> </w:t>
      </w:r>
      <w:r>
        <w:rPr/>
        <w:t>including private practice under the guidance of a registered architect in both large and small firms. They work in</w:t>
      </w:r>
      <w:r>
        <w:rPr>
          <w:spacing w:val="-4"/>
        </w:rPr>
        <w:t> </w:t>
      </w:r>
      <w:r>
        <w:rPr/>
        <w:t>the</w:t>
      </w:r>
      <w:r>
        <w:rPr>
          <w:spacing w:val="-4"/>
        </w:rPr>
        <w:t> </w:t>
      </w:r>
      <w:r>
        <w:rPr/>
        <w:t>public</w:t>
      </w:r>
      <w:r>
        <w:rPr>
          <w:spacing w:val="-3"/>
        </w:rPr>
        <w:t> </w:t>
      </w:r>
      <w:r>
        <w:rPr/>
        <w:t>sector</w:t>
      </w:r>
      <w:r>
        <w:rPr>
          <w:spacing w:val="-3"/>
        </w:rPr>
        <w:t> </w:t>
      </w:r>
      <w:r>
        <w:rPr/>
        <w:t>at</w:t>
      </w:r>
      <w:r>
        <w:rPr>
          <w:spacing w:val="-2"/>
        </w:rPr>
        <w:t> </w:t>
      </w:r>
      <w:r>
        <w:rPr/>
        <w:t>all</w:t>
      </w:r>
      <w:r>
        <w:rPr>
          <w:spacing w:val="-3"/>
        </w:rPr>
        <w:t> </w:t>
      </w:r>
      <w:r>
        <w:rPr/>
        <w:t>levels</w:t>
      </w:r>
      <w:r>
        <w:rPr>
          <w:spacing w:val="-3"/>
        </w:rPr>
        <w:t> </w:t>
      </w:r>
      <w:r>
        <w:rPr/>
        <w:t>of</w:t>
      </w:r>
      <w:r>
        <w:rPr>
          <w:spacing w:val="-2"/>
        </w:rPr>
        <w:t> </w:t>
      </w:r>
      <w:r>
        <w:rPr/>
        <w:t>government,</w:t>
      </w:r>
      <w:r>
        <w:rPr>
          <w:spacing w:val="-4"/>
        </w:rPr>
        <w:t> </w:t>
      </w:r>
      <w:r>
        <w:rPr/>
        <w:t>from</w:t>
      </w:r>
      <w:r>
        <w:rPr>
          <w:spacing w:val="-2"/>
        </w:rPr>
        <w:t> </w:t>
      </w:r>
      <w:r>
        <w:rPr/>
        <w:t>municipal</w:t>
      </w:r>
      <w:r>
        <w:rPr>
          <w:spacing w:val="-5"/>
        </w:rPr>
        <w:t> </w:t>
      </w:r>
      <w:r>
        <w:rPr/>
        <w:t>to</w:t>
      </w:r>
      <w:r>
        <w:rPr>
          <w:spacing w:val="-4"/>
        </w:rPr>
        <w:t> </w:t>
      </w:r>
      <w:r>
        <w:rPr/>
        <w:t>Federal</w:t>
      </w:r>
      <w:r>
        <w:rPr>
          <w:spacing w:val="-3"/>
        </w:rPr>
        <w:t> </w:t>
      </w:r>
      <w:r>
        <w:rPr/>
        <w:t>employment.</w:t>
      </w:r>
      <w:r>
        <w:rPr>
          <w:spacing w:val="-4"/>
        </w:rPr>
        <w:t> </w:t>
      </w:r>
      <w:r>
        <w:rPr/>
        <w:t>They work in every state and throughout the world.</w:t>
      </w:r>
    </w:p>
    <w:p>
      <w:pPr>
        <w:pStyle w:val="BodyText"/>
        <w:spacing w:before="9"/>
      </w:pPr>
    </w:p>
    <w:p>
      <w:pPr>
        <w:pStyle w:val="BodyText"/>
        <w:ind w:left="1220" w:right="509"/>
      </w:pPr>
      <w:r>
        <w:rPr/>
        <w:t>One of the challenges that our University presents to the HUDA program is the fact that supporting building design disciplines are not taught on the campus. We have an electrical engineering program in the Department of Engineering but their focus is not on building systems. They</w:t>
      </w:r>
      <w:r>
        <w:rPr>
          <w:spacing w:val="-7"/>
        </w:rPr>
        <w:t> </w:t>
      </w:r>
      <w:r>
        <w:rPr/>
        <w:t>provided</w:t>
      </w:r>
      <w:r>
        <w:rPr>
          <w:spacing w:val="-2"/>
        </w:rPr>
        <w:t> </w:t>
      </w:r>
      <w:r>
        <w:rPr/>
        <w:t>important</w:t>
      </w:r>
      <w:r>
        <w:rPr>
          <w:spacing w:val="-4"/>
        </w:rPr>
        <w:t> </w:t>
      </w:r>
      <w:r>
        <w:rPr/>
        <w:t>and</w:t>
      </w:r>
      <w:r>
        <w:rPr>
          <w:spacing w:val="-4"/>
        </w:rPr>
        <w:t> </w:t>
      </w:r>
      <w:r>
        <w:rPr/>
        <w:t>noteworthy</w:t>
      </w:r>
      <w:r>
        <w:rPr>
          <w:spacing w:val="-5"/>
        </w:rPr>
        <w:t> </w:t>
      </w:r>
      <w:r>
        <w:rPr/>
        <w:t>were</w:t>
      </w:r>
      <w:r>
        <w:rPr>
          <w:spacing w:val="-4"/>
        </w:rPr>
        <w:t> </w:t>
      </w:r>
      <w:r>
        <w:rPr/>
        <w:t>support</w:t>
      </w:r>
      <w:r>
        <w:rPr>
          <w:spacing w:val="-2"/>
        </w:rPr>
        <w:t> </w:t>
      </w:r>
      <w:r>
        <w:rPr/>
        <w:t>for</w:t>
      </w:r>
      <w:r>
        <w:rPr>
          <w:spacing w:val="-3"/>
        </w:rPr>
        <w:t> </w:t>
      </w:r>
      <w:r>
        <w:rPr/>
        <w:t>our</w:t>
      </w:r>
      <w:r>
        <w:rPr>
          <w:spacing w:val="-3"/>
        </w:rPr>
        <w:t> </w:t>
      </w:r>
      <w:r>
        <w:rPr/>
        <w:t>2013</w:t>
      </w:r>
      <w:r>
        <w:rPr>
          <w:spacing w:val="-2"/>
        </w:rPr>
        <w:t> </w:t>
      </w:r>
      <w:r>
        <w:rPr/>
        <w:t>entry</w:t>
      </w:r>
      <w:r>
        <w:rPr>
          <w:spacing w:val="-5"/>
        </w:rPr>
        <w:t> </w:t>
      </w:r>
      <w:r>
        <w:rPr/>
        <w:t>into</w:t>
      </w:r>
      <w:r>
        <w:rPr>
          <w:spacing w:val="-2"/>
        </w:rPr>
        <w:t> </w:t>
      </w:r>
      <w:r>
        <w:rPr/>
        <w:t>the Solar</w:t>
      </w:r>
      <w:r>
        <w:rPr>
          <w:spacing w:val="-3"/>
        </w:rPr>
        <w:t> </w:t>
      </w:r>
      <w:r>
        <w:rPr/>
        <w:t>Decathlon and were actively engaged In the design process, but the faculty in that component have</w:t>
      </w:r>
      <w:r>
        <w:rPr/>
        <w:t> research interest that are in the areas of Digital Systems, Communications, Control Systems, Energy Conversion, Microprocessors, Computer Architecture, Electromagnetic Waves and Computer Engineering Design.</w:t>
      </w:r>
    </w:p>
    <w:p>
      <w:pPr>
        <w:pStyle w:val="BodyText"/>
        <w:rPr>
          <w:sz w:val="21"/>
        </w:rPr>
      </w:pPr>
    </w:p>
    <w:p>
      <w:pPr>
        <w:pStyle w:val="BodyText"/>
        <w:ind w:left="1220" w:right="499"/>
      </w:pPr>
      <w:r>
        <w:rPr/>
        <w:t>One</w:t>
      </w:r>
      <w:r>
        <w:rPr>
          <w:spacing w:val="-4"/>
        </w:rPr>
        <w:t> </w:t>
      </w:r>
      <w:r>
        <w:rPr/>
        <w:t>of</w:t>
      </w:r>
      <w:r>
        <w:rPr>
          <w:spacing w:val="-2"/>
        </w:rPr>
        <w:t> </w:t>
      </w:r>
      <w:r>
        <w:rPr/>
        <w:t>the</w:t>
      </w:r>
      <w:r>
        <w:rPr>
          <w:spacing w:val="-2"/>
        </w:rPr>
        <w:t> </w:t>
      </w:r>
      <w:r>
        <w:rPr/>
        <w:t>opportunities</w:t>
      </w:r>
      <w:r>
        <w:rPr>
          <w:spacing w:val="-3"/>
        </w:rPr>
        <w:t> </w:t>
      </w:r>
      <w:r>
        <w:rPr/>
        <w:t>that</w:t>
      </w:r>
      <w:r>
        <w:rPr>
          <w:spacing w:val="-2"/>
        </w:rPr>
        <w:t> </w:t>
      </w:r>
      <w:r>
        <w:rPr/>
        <w:t>we</w:t>
      </w:r>
      <w:r>
        <w:rPr>
          <w:spacing w:val="-2"/>
        </w:rPr>
        <w:t> </w:t>
      </w:r>
      <w:r>
        <w:rPr/>
        <w:t>have</w:t>
      </w:r>
      <w:r>
        <w:rPr>
          <w:spacing w:val="-2"/>
        </w:rPr>
        <w:t> </w:t>
      </w:r>
      <w:r>
        <w:rPr/>
        <w:t>is</w:t>
      </w:r>
      <w:r>
        <w:rPr>
          <w:spacing w:val="-3"/>
        </w:rPr>
        <w:t> </w:t>
      </w:r>
      <w:r>
        <w:rPr/>
        <w:t>the</w:t>
      </w:r>
      <w:r>
        <w:rPr>
          <w:spacing w:val="-2"/>
        </w:rPr>
        <w:t> </w:t>
      </w:r>
      <w:r>
        <w:rPr/>
        <w:t>engineering</w:t>
      </w:r>
      <w:r>
        <w:rPr>
          <w:spacing w:val="-4"/>
        </w:rPr>
        <w:t> </w:t>
      </w:r>
      <w:r>
        <w:rPr/>
        <w:t>program at</w:t>
      </w:r>
      <w:r>
        <w:rPr>
          <w:spacing w:val="-4"/>
        </w:rPr>
        <w:t> </w:t>
      </w:r>
      <w:r>
        <w:rPr/>
        <w:t>Old</w:t>
      </w:r>
      <w:r>
        <w:rPr>
          <w:spacing w:val="-4"/>
        </w:rPr>
        <w:t> </w:t>
      </w:r>
      <w:r>
        <w:rPr/>
        <w:t>Dominion</w:t>
      </w:r>
      <w:r>
        <w:rPr>
          <w:spacing w:val="-4"/>
        </w:rPr>
        <w:t> </w:t>
      </w:r>
      <w:r>
        <w:rPr/>
        <w:t>University.</w:t>
      </w:r>
      <w:r>
        <w:rPr>
          <w:spacing w:val="-6"/>
        </w:rPr>
        <w:t> </w:t>
      </w:r>
      <w:r>
        <w:rPr/>
        <w:t>We have developed collaborations with their programs in civil and mechanical engineering. The collaborations began in earnest in 2010 in a joint submission to the US Department of Energy’s 2011 Solar Decathlon. This was followed by a similar successful submission to the 2013 Solar Decathlon, an effort that included the engineering programs from HU and ODU. Our students were able to work closely with the engineering students to develop a unique design concept for the community of impaired and challenged citizens seeking to live independently.</w:t>
      </w:r>
    </w:p>
    <w:p>
      <w:pPr>
        <w:pStyle w:val="BodyText"/>
        <w:spacing w:before="8"/>
      </w:pPr>
    </w:p>
    <w:p>
      <w:pPr>
        <w:pStyle w:val="BodyText"/>
        <w:spacing w:before="1"/>
        <w:ind w:left="1220" w:right="605"/>
        <w:jc w:val="both"/>
      </w:pPr>
      <w:r>
        <w:rPr/>
        <w:t>The</w:t>
      </w:r>
      <w:r>
        <w:rPr>
          <w:spacing w:val="-2"/>
        </w:rPr>
        <w:t> </w:t>
      </w:r>
      <w:r>
        <w:rPr/>
        <w:t>collaborative work effort</w:t>
      </w:r>
      <w:r>
        <w:rPr>
          <w:spacing w:val="-2"/>
        </w:rPr>
        <w:t> </w:t>
      </w:r>
      <w:r>
        <w:rPr/>
        <w:t>continues.</w:t>
      </w:r>
      <w:r>
        <w:rPr>
          <w:spacing w:val="-4"/>
        </w:rPr>
        <w:t> </w:t>
      </w:r>
      <w:r>
        <w:rPr/>
        <w:t>We</w:t>
      </w:r>
      <w:r>
        <w:rPr>
          <w:spacing w:val="-2"/>
        </w:rPr>
        <w:t> </w:t>
      </w:r>
      <w:r>
        <w:rPr/>
        <w:t>are</w:t>
      </w:r>
      <w:r>
        <w:rPr>
          <w:spacing w:val="-2"/>
        </w:rPr>
        <w:t> </w:t>
      </w:r>
      <w:r>
        <w:rPr/>
        <w:t>now</w:t>
      </w:r>
      <w:r>
        <w:rPr>
          <w:spacing w:val="-4"/>
        </w:rPr>
        <w:t> </w:t>
      </w:r>
      <w:r>
        <w:rPr/>
        <w:t>developing</w:t>
      </w:r>
      <w:r>
        <w:rPr>
          <w:spacing w:val="-2"/>
        </w:rPr>
        <w:t> </w:t>
      </w:r>
      <w:r>
        <w:rPr/>
        <w:t>courses</w:t>
      </w:r>
      <w:r>
        <w:rPr>
          <w:spacing w:val="-1"/>
        </w:rPr>
        <w:t> </w:t>
      </w:r>
      <w:r>
        <w:rPr/>
        <w:t>and</w:t>
      </w:r>
      <w:r>
        <w:rPr>
          <w:spacing w:val="-2"/>
        </w:rPr>
        <w:t> </w:t>
      </w:r>
      <w:r>
        <w:rPr/>
        <w:t>classes</w:t>
      </w:r>
      <w:r>
        <w:rPr>
          <w:spacing w:val="-1"/>
        </w:rPr>
        <w:t> </w:t>
      </w:r>
      <w:r>
        <w:rPr/>
        <w:t>that will</w:t>
      </w:r>
      <w:r>
        <w:rPr>
          <w:spacing w:val="-3"/>
        </w:rPr>
        <w:t> </w:t>
      </w:r>
      <w:r>
        <w:rPr/>
        <w:t>be open</w:t>
      </w:r>
      <w:r>
        <w:rPr>
          <w:spacing w:val="-3"/>
        </w:rPr>
        <w:t> </w:t>
      </w:r>
      <w:r>
        <w:rPr/>
        <w:t>to</w:t>
      </w:r>
      <w:r>
        <w:rPr>
          <w:spacing w:val="-5"/>
        </w:rPr>
        <w:t> </w:t>
      </w:r>
      <w:r>
        <w:rPr/>
        <w:t>students</w:t>
      </w:r>
      <w:r>
        <w:rPr>
          <w:spacing w:val="-3"/>
        </w:rPr>
        <w:t> </w:t>
      </w:r>
      <w:r>
        <w:rPr/>
        <w:t>in</w:t>
      </w:r>
      <w:r>
        <w:rPr>
          <w:spacing w:val="-3"/>
        </w:rPr>
        <w:t> </w:t>
      </w:r>
      <w:r>
        <w:rPr/>
        <w:t>engineering,</w:t>
      </w:r>
      <w:r>
        <w:rPr>
          <w:spacing w:val="-3"/>
        </w:rPr>
        <w:t> </w:t>
      </w:r>
      <w:r>
        <w:rPr/>
        <w:t>supported</w:t>
      </w:r>
      <w:r>
        <w:rPr>
          <w:spacing w:val="-3"/>
        </w:rPr>
        <w:t> </w:t>
      </w:r>
      <w:r>
        <w:rPr/>
        <w:t>by</w:t>
      </w:r>
      <w:r>
        <w:rPr>
          <w:spacing w:val="-7"/>
        </w:rPr>
        <w:t> </w:t>
      </w:r>
      <w:r>
        <w:rPr/>
        <w:t>Old</w:t>
      </w:r>
      <w:r>
        <w:rPr>
          <w:spacing w:val="-3"/>
        </w:rPr>
        <w:t> </w:t>
      </w:r>
      <w:r>
        <w:rPr/>
        <w:t>Dominion</w:t>
      </w:r>
      <w:r>
        <w:rPr>
          <w:spacing w:val="-5"/>
        </w:rPr>
        <w:t> </w:t>
      </w:r>
      <w:r>
        <w:rPr/>
        <w:t>University.</w:t>
      </w:r>
      <w:r>
        <w:rPr>
          <w:spacing w:val="-3"/>
        </w:rPr>
        <w:t> </w:t>
      </w:r>
      <w:r>
        <w:rPr/>
        <w:t>One</w:t>
      </w:r>
      <w:r>
        <w:rPr>
          <w:spacing w:val="-5"/>
        </w:rPr>
        <w:t> </w:t>
      </w:r>
      <w:r>
        <w:rPr/>
        <w:t>such</w:t>
      </w:r>
      <w:r>
        <w:rPr>
          <w:spacing w:val="-5"/>
        </w:rPr>
        <w:t> </w:t>
      </w:r>
      <w:r>
        <w:rPr/>
        <w:t>class</w:t>
      </w:r>
      <w:r>
        <w:rPr>
          <w:spacing w:val="-4"/>
        </w:rPr>
        <w:t> </w:t>
      </w:r>
      <w:r>
        <w:rPr/>
        <w:t>involves the study of sea level rise.</w:t>
      </w:r>
    </w:p>
    <w:p>
      <w:pPr>
        <w:pStyle w:val="BodyText"/>
        <w:spacing w:before="11"/>
      </w:pPr>
    </w:p>
    <w:p>
      <w:pPr>
        <w:pStyle w:val="BodyText"/>
        <w:ind w:left="1220"/>
        <w:jc w:val="both"/>
      </w:pPr>
      <w:r>
        <w:rPr/>
        <w:t>The</w:t>
      </w:r>
      <w:r>
        <w:rPr>
          <w:spacing w:val="-8"/>
        </w:rPr>
        <w:t> </w:t>
      </w:r>
      <w:r>
        <w:rPr/>
        <w:t>Hampton</w:t>
      </w:r>
      <w:r>
        <w:rPr>
          <w:spacing w:val="-7"/>
        </w:rPr>
        <w:t> </w:t>
      </w:r>
      <w:r>
        <w:rPr/>
        <w:t>Road</w:t>
      </w:r>
      <w:r>
        <w:rPr>
          <w:spacing w:val="-5"/>
        </w:rPr>
        <w:t> </w:t>
      </w:r>
      <w:r>
        <w:rPr/>
        <w:t>Chapter</w:t>
      </w:r>
      <w:r>
        <w:rPr>
          <w:spacing w:val="-6"/>
        </w:rPr>
        <w:t> </w:t>
      </w:r>
      <w:r>
        <w:rPr/>
        <w:t>of</w:t>
      </w:r>
      <w:r>
        <w:rPr>
          <w:spacing w:val="-5"/>
        </w:rPr>
        <w:t> </w:t>
      </w:r>
      <w:r>
        <w:rPr/>
        <w:t>the</w:t>
      </w:r>
      <w:r>
        <w:rPr>
          <w:spacing w:val="-7"/>
        </w:rPr>
        <w:t> </w:t>
      </w:r>
      <w:r>
        <w:rPr/>
        <w:t>American</w:t>
      </w:r>
      <w:r>
        <w:rPr>
          <w:spacing w:val="-7"/>
        </w:rPr>
        <w:t> </w:t>
      </w:r>
      <w:r>
        <w:rPr/>
        <w:t>Institute</w:t>
      </w:r>
      <w:r>
        <w:rPr>
          <w:spacing w:val="-7"/>
        </w:rPr>
        <w:t> </w:t>
      </w:r>
      <w:r>
        <w:rPr/>
        <w:t>of</w:t>
      </w:r>
      <w:r>
        <w:rPr>
          <w:spacing w:val="-5"/>
        </w:rPr>
        <w:t> </w:t>
      </w:r>
      <w:r>
        <w:rPr/>
        <w:t>Architects</w:t>
      </w:r>
      <w:r>
        <w:rPr>
          <w:spacing w:val="-7"/>
        </w:rPr>
        <w:t> </w:t>
      </w:r>
      <w:r>
        <w:rPr/>
        <w:t>(HRAIA)</w:t>
      </w:r>
      <w:r>
        <w:rPr>
          <w:spacing w:val="-6"/>
        </w:rPr>
        <w:t> </w:t>
      </w:r>
      <w:r>
        <w:rPr>
          <w:spacing w:val="-10"/>
        </w:rPr>
        <w:t>–</w:t>
      </w:r>
    </w:p>
    <w:p>
      <w:pPr>
        <w:pStyle w:val="BodyText"/>
        <w:spacing w:before="10"/>
      </w:pPr>
    </w:p>
    <w:p>
      <w:pPr>
        <w:pStyle w:val="ListParagraph"/>
        <w:numPr>
          <w:ilvl w:val="0"/>
          <w:numId w:val="12"/>
        </w:numPr>
        <w:tabs>
          <w:tab w:pos="1580" w:val="left" w:leader="none"/>
        </w:tabs>
        <w:spacing w:line="240" w:lineRule="auto" w:before="0" w:after="0"/>
        <w:ind w:left="1579" w:right="633" w:hanging="360"/>
        <w:jc w:val="left"/>
        <w:rPr>
          <w:sz w:val="20"/>
        </w:rPr>
      </w:pPr>
      <w:r>
        <w:rPr>
          <w:sz w:val="20"/>
        </w:rPr>
        <w:t>Mentoring Mayhem: An annual event sponsored by HRAIA that invites students and practitioners</w:t>
      </w:r>
      <w:r>
        <w:rPr>
          <w:spacing w:val="-4"/>
          <w:sz w:val="20"/>
        </w:rPr>
        <w:t> </w:t>
      </w:r>
      <w:r>
        <w:rPr>
          <w:sz w:val="20"/>
        </w:rPr>
        <w:t>to</w:t>
      </w:r>
      <w:r>
        <w:rPr>
          <w:spacing w:val="-5"/>
          <w:sz w:val="20"/>
        </w:rPr>
        <w:t> </w:t>
      </w:r>
      <w:r>
        <w:rPr>
          <w:sz w:val="20"/>
        </w:rPr>
        <w:t>mingle</w:t>
      </w:r>
      <w:r>
        <w:rPr>
          <w:spacing w:val="-3"/>
          <w:sz w:val="20"/>
        </w:rPr>
        <w:t> </w:t>
      </w:r>
      <w:r>
        <w:rPr>
          <w:sz w:val="20"/>
        </w:rPr>
        <w:t>and share</w:t>
      </w:r>
      <w:r>
        <w:rPr>
          <w:spacing w:val="-5"/>
          <w:sz w:val="20"/>
        </w:rPr>
        <w:t> </w:t>
      </w:r>
      <w:r>
        <w:rPr>
          <w:sz w:val="20"/>
        </w:rPr>
        <w:t>discussions</w:t>
      </w:r>
      <w:r>
        <w:rPr>
          <w:spacing w:val="-4"/>
          <w:sz w:val="20"/>
        </w:rPr>
        <w:t> </w:t>
      </w:r>
      <w:r>
        <w:rPr>
          <w:sz w:val="20"/>
        </w:rPr>
        <w:t>about</w:t>
      </w:r>
      <w:r>
        <w:rPr>
          <w:spacing w:val="-5"/>
          <w:sz w:val="20"/>
        </w:rPr>
        <w:t> </w:t>
      </w:r>
      <w:r>
        <w:rPr>
          <w:sz w:val="20"/>
        </w:rPr>
        <w:t>the</w:t>
      </w:r>
      <w:r>
        <w:rPr>
          <w:spacing w:val="-5"/>
          <w:sz w:val="20"/>
        </w:rPr>
        <w:t> </w:t>
      </w:r>
      <w:r>
        <w:rPr>
          <w:sz w:val="20"/>
        </w:rPr>
        <w:t>profession.</w:t>
      </w:r>
      <w:r>
        <w:rPr>
          <w:spacing w:val="-3"/>
          <w:sz w:val="20"/>
        </w:rPr>
        <w:t> </w:t>
      </w:r>
      <w:r>
        <w:rPr>
          <w:sz w:val="20"/>
        </w:rPr>
        <w:t>Students</w:t>
      </w:r>
      <w:r>
        <w:rPr>
          <w:spacing w:val="-4"/>
          <w:sz w:val="20"/>
        </w:rPr>
        <w:t> </w:t>
      </w:r>
      <w:r>
        <w:rPr>
          <w:sz w:val="20"/>
        </w:rPr>
        <w:t>are</w:t>
      </w:r>
      <w:r>
        <w:rPr>
          <w:spacing w:val="-3"/>
          <w:sz w:val="20"/>
        </w:rPr>
        <w:t> </w:t>
      </w:r>
      <w:r>
        <w:rPr>
          <w:sz w:val="20"/>
        </w:rPr>
        <w:t>paired</w:t>
      </w:r>
      <w:r>
        <w:rPr>
          <w:spacing w:val="-3"/>
          <w:sz w:val="20"/>
        </w:rPr>
        <w:t> </w:t>
      </w:r>
      <w:r>
        <w:rPr>
          <w:sz w:val="20"/>
        </w:rPr>
        <w:t>with professionals who help advise students about resumes, portfolios, and general information about entering and excelling in the profession.</w:t>
      </w:r>
    </w:p>
    <w:p>
      <w:pPr>
        <w:pStyle w:val="BodyText"/>
        <w:spacing w:before="10"/>
      </w:pPr>
    </w:p>
    <w:p>
      <w:pPr>
        <w:pStyle w:val="ListParagraph"/>
        <w:numPr>
          <w:ilvl w:val="0"/>
          <w:numId w:val="12"/>
        </w:numPr>
        <w:tabs>
          <w:tab w:pos="1580" w:val="left" w:leader="none"/>
        </w:tabs>
        <w:spacing w:line="240" w:lineRule="auto" w:before="0" w:after="0"/>
        <w:ind w:left="1579" w:right="909" w:hanging="360"/>
        <w:jc w:val="left"/>
        <w:rPr>
          <w:sz w:val="20"/>
        </w:rPr>
      </w:pPr>
      <w:r>
        <w:rPr>
          <w:sz w:val="20"/>
        </w:rPr>
        <w:t>Architecture</w:t>
      </w:r>
      <w:r>
        <w:rPr>
          <w:spacing w:val="-9"/>
          <w:sz w:val="20"/>
        </w:rPr>
        <w:t> </w:t>
      </w:r>
      <w:r>
        <w:rPr>
          <w:sz w:val="20"/>
        </w:rPr>
        <w:t>Week:</w:t>
      </w:r>
      <w:r>
        <w:rPr>
          <w:spacing w:val="-4"/>
          <w:sz w:val="20"/>
        </w:rPr>
        <w:t> </w:t>
      </w:r>
      <w:r>
        <w:rPr>
          <w:sz w:val="20"/>
        </w:rPr>
        <w:t>An</w:t>
      </w:r>
      <w:r>
        <w:rPr>
          <w:spacing w:val="-4"/>
          <w:sz w:val="20"/>
        </w:rPr>
        <w:t> </w:t>
      </w:r>
      <w:r>
        <w:rPr>
          <w:sz w:val="20"/>
        </w:rPr>
        <w:t>annual</w:t>
      </w:r>
      <w:r>
        <w:rPr>
          <w:spacing w:val="-3"/>
          <w:sz w:val="20"/>
        </w:rPr>
        <w:t> </w:t>
      </w:r>
      <w:r>
        <w:rPr>
          <w:sz w:val="20"/>
        </w:rPr>
        <w:t>event</w:t>
      </w:r>
      <w:r>
        <w:rPr>
          <w:spacing w:val="-2"/>
          <w:sz w:val="20"/>
        </w:rPr>
        <w:t> </w:t>
      </w:r>
      <w:r>
        <w:rPr>
          <w:sz w:val="20"/>
        </w:rPr>
        <w:t>where</w:t>
      </w:r>
      <w:r>
        <w:rPr>
          <w:spacing w:val="-2"/>
          <w:sz w:val="20"/>
        </w:rPr>
        <w:t> </w:t>
      </w:r>
      <w:r>
        <w:rPr>
          <w:sz w:val="20"/>
        </w:rPr>
        <w:t>lecturers</w:t>
      </w:r>
      <w:r>
        <w:rPr>
          <w:spacing w:val="-3"/>
          <w:sz w:val="20"/>
        </w:rPr>
        <w:t> </w:t>
      </w:r>
      <w:r>
        <w:rPr>
          <w:sz w:val="20"/>
        </w:rPr>
        <w:t>are</w:t>
      </w:r>
      <w:r>
        <w:rPr>
          <w:spacing w:val="-4"/>
          <w:sz w:val="20"/>
        </w:rPr>
        <w:t> </w:t>
      </w:r>
      <w:r>
        <w:rPr>
          <w:sz w:val="20"/>
        </w:rPr>
        <w:t>invited</w:t>
      </w:r>
      <w:r>
        <w:rPr>
          <w:spacing w:val="-4"/>
          <w:sz w:val="20"/>
        </w:rPr>
        <w:t> </w:t>
      </w:r>
      <w:r>
        <w:rPr>
          <w:sz w:val="20"/>
        </w:rPr>
        <w:t>to</w:t>
      </w:r>
      <w:r>
        <w:rPr>
          <w:spacing w:val="-4"/>
          <w:sz w:val="20"/>
        </w:rPr>
        <w:t> </w:t>
      </w:r>
      <w:r>
        <w:rPr>
          <w:sz w:val="20"/>
        </w:rPr>
        <w:t>present</w:t>
      </w:r>
      <w:r>
        <w:rPr>
          <w:spacing w:val="-4"/>
          <w:sz w:val="20"/>
        </w:rPr>
        <w:t> </w:t>
      </w:r>
      <w:r>
        <w:rPr>
          <w:sz w:val="20"/>
        </w:rPr>
        <w:t>their</w:t>
      </w:r>
      <w:r>
        <w:rPr>
          <w:spacing w:val="-1"/>
          <w:sz w:val="20"/>
        </w:rPr>
        <w:t> </w:t>
      </w:r>
      <w:r>
        <w:rPr>
          <w:sz w:val="20"/>
        </w:rPr>
        <w:t>work and tours are</w:t>
      </w:r>
      <w:r>
        <w:rPr>
          <w:spacing w:val="-1"/>
          <w:sz w:val="20"/>
        </w:rPr>
        <w:t> </w:t>
      </w:r>
      <w:r>
        <w:rPr>
          <w:sz w:val="20"/>
        </w:rPr>
        <w:t>conducted</w:t>
      </w:r>
      <w:r>
        <w:rPr>
          <w:spacing w:val="-1"/>
          <w:sz w:val="20"/>
        </w:rPr>
        <w:t> </w:t>
      </w:r>
      <w:r>
        <w:rPr>
          <w:sz w:val="20"/>
        </w:rPr>
        <w:t>at new</w:t>
      </w:r>
      <w:r>
        <w:rPr>
          <w:spacing w:val="-1"/>
          <w:sz w:val="20"/>
        </w:rPr>
        <w:t> </w:t>
      </w:r>
      <w:r>
        <w:rPr>
          <w:sz w:val="20"/>
        </w:rPr>
        <w:t>and exciting</w:t>
      </w:r>
      <w:r>
        <w:rPr>
          <w:spacing w:val="-1"/>
          <w:sz w:val="20"/>
        </w:rPr>
        <w:t> </w:t>
      </w:r>
      <w:r>
        <w:rPr>
          <w:sz w:val="20"/>
        </w:rPr>
        <w:t>spaces and places in</w:t>
      </w:r>
      <w:r>
        <w:rPr>
          <w:spacing w:val="-1"/>
          <w:sz w:val="20"/>
        </w:rPr>
        <w:t> </w:t>
      </w:r>
      <w:r>
        <w:rPr>
          <w:sz w:val="20"/>
        </w:rPr>
        <w:t>the</w:t>
      </w:r>
      <w:r>
        <w:rPr>
          <w:spacing w:val="-1"/>
          <w:sz w:val="20"/>
        </w:rPr>
        <w:t> </w:t>
      </w:r>
      <w:r>
        <w:rPr>
          <w:sz w:val="20"/>
        </w:rPr>
        <w:t>Hampton</w:t>
      </w:r>
      <w:r>
        <w:rPr>
          <w:spacing w:val="-1"/>
          <w:sz w:val="20"/>
        </w:rPr>
        <w:t> </w:t>
      </w:r>
      <w:r>
        <w:rPr>
          <w:sz w:val="20"/>
        </w:rPr>
        <w:t>Roads area.</w:t>
      </w:r>
    </w:p>
    <w:p>
      <w:pPr>
        <w:pStyle w:val="BodyText"/>
        <w:spacing w:before="8"/>
      </w:pPr>
    </w:p>
    <w:p>
      <w:pPr>
        <w:spacing w:before="0"/>
        <w:ind w:left="1219" w:right="0" w:firstLine="0"/>
        <w:jc w:val="both"/>
        <w:rPr>
          <w:b/>
          <w:sz w:val="20"/>
        </w:rPr>
      </w:pPr>
      <w:r>
        <w:rPr>
          <w:b/>
          <w:sz w:val="20"/>
        </w:rPr>
        <w:t>Virginia</w:t>
      </w:r>
      <w:r>
        <w:rPr>
          <w:b/>
          <w:spacing w:val="-6"/>
          <w:sz w:val="20"/>
        </w:rPr>
        <w:t> </w:t>
      </w:r>
      <w:r>
        <w:rPr>
          <w:b/>
          <w:sz w:val="20"/>
        </w:rPr>
        <w:t>Society</w:t>
      </w:r>
      <w:r>
        <w:rPr>
          <w:b/>
          <w:spacing w:val="-9"/>
          <w:sz w:val="20"/>
        </w:rPr>
        <w:t> </w:t>
      </w:r>
      <w:r>
        <w:rPr>
          <w:b/>
          <w:sz w:val="20"/>
        </w:rPr>
        <w:t>of</w:t>
      </w:r>
      <w:r>
        <w:rPr>
          <w:b/>
          <w:spacing w:val="-5"/>
          <w:sz w:val="20"/>
        </w:rPr>
        <w:t> </w:t>
      </w:r>
      <w:r>
        <w:rPr>
          <w:b/>
          <w:sz w:val="20"/>
        </w:rPr>
        <w:t>the</w:t>
      </w:r>
      <w:r>
        <w:rPr>
          <w:b/>
          <w:spacing w:val="-1"/>
          <w:sz w:val="20"/>
        </w:rPr>
        <w:t> </w:t>
      </w:r>
      <w:r>
        <w:rPr>
          <w:b/>
          <w:spacing w:val="-5"/>
          <w:sz w:val="20"/>
        </w:rPr>
        <w:t>AIA</w:t>
      </w:r>
    </w:p>
    <w:p>
      <w:pPr>
        <w:pStyle w:val="BodyText"/>
        <w:spacing w:before="10"/>
        <w:rPr>
          <w:b/>
        </w:rPr>
      </w:pPr>
    </w:p>
    <w:p>
      <w:pPr>
        <w:pStyle w:val="ListParagraph"/>
        <w:numPr>
          <w:ilvl w:val="0"/>
          <w:numId w:val="13"/>
        </w:numPr>
        <w:tabs>
          <w:tab w:pos="1580" w:val="left" w:leader="none"/>
        </w:tabs>
        <w:spacing w:line="240" w:lineRule="auto" w:before="1" w:after="0"/>
        <w:ind w:left="1579" w:right="568" w:hanging="361"/>
        <w:jc w:val="left"/>
        <w:rPr>
          <w:sz w:val="20"/>
        </w:rPr>
      </w:pPr>
      <w:r>
        <w:rPr>
          <w:sz w:val="20"/>
        </w:rPr>
        <w:t>Emerging Leaders in Architecture (ELA): Each year, one student from the 4</w:t>
      </w:r>
      <w:r>
        <w:rPr>
          <w:sz w:val="20"/>
          <w:vertAlign w:val="superscript"/>
        </w:rPr>
        <w:t>t</w:t>
      </w:r>
      <w:r>
        <w:rPr>
          <w:sz w:val="20"/>
          <w:vertAlign w:val="superscript"/>
        </w:rPr>
        <w:t>h</w:t>
      </w:r>
      <w:r>
        <w:rPr>
          <w:sz w:val="20"/>
          <w:vertAlign w:val="baseline"/>
        </w:rPr>
        <w:t> year class is selected</w:t>
      </w:r>
      <w:r>
        <w:rPr>
          <w:spacing w:val="-3"/>
          <w:sz w:val="20"/>
          <w:vertAlign w:val="baseline"/>
        </w:rPr>
        <w:t> </w:t>
      </w:r>
      <w:r>
        <w:rPr>
          <w:sz w:val="20"/>
          <w:vertAlign w:val="baseline"/>
        </w:rPr>
        <w:t>to</w:t>
      </w:r>
      <w:r>
        <w:rPr>
          <w:spacing w:val="-3"/>
          <w:sz w:val="20"/>
          <w:vertAlign w:val="baseline"/>
        </w:rPr>
        <w:t> </w:t>
      </w:r>
      <w:r>
        <w:rPr>
          <w:sz w:val="20"/>
          <w:vertAlign w:val="baseline"/>
        </w:rPr>
        <w:t>participate</w:t>
      </w:r>
      <w:r>
        <w:rPr>
          <w:spacing w:val="-5"/>
          <w:sz w:val="20"/>
          <w:vertAlign w:val="baseline"/>
        </w:rPr>
        <w:t> </w:t>
      </w:r>
      <w:r>
        <w:rPr>
          <w:sz w:val="20"/>
          <w:vertAlign w:val="baseline"/>
        </w:rPr>
        <w:t>in</w:t>
      </w:r>
      <w:r>
        <w:rPr>
          <w:spacing w:val="-5"/>
          <w:sz w:val="20"/>
          <w:vertAlign w:val="baseline"/>
        </w:rPr>
        <w:t> </w:t>
      </w:r>
      <w:r>
        <w:rPr>
          <w:sz w:val="20"/>
          <w:vertAlign w:val="baseline"/>
        </w:rPr>
        <w:t>the</w:t>
      </w:r>
      <w:r>
        <w:rPr>
          <w:spacing w:val="-5"/>
          <w:sz w:val="20"/>
          <w:vertAlign w:val="baseline"/>
        </w:rPr>
        <w:t> </w:t>
      </w:r>
      <w:r>
        <w:rPr>
          <w:sz w:val="20"/>
          <w:vertAlign w:val="baseline"/>
        </w:rPr>
        <w:t>VSAIA’s</w:t>
      </w:r>
      <w:r>
        <w:rPr>
          <w:spacing w:val="-4"/>
          <w:sz w:val="20"/>
          <w:vertAlign w:val="baseline"/>
        </w:rPr>
        <w:t> </w:t>
      </w:r>
      <w:r>
        <w:rPr>
          <w:sz w:val="20"/>
          <w:vertAlign w:val="baseline"/>
        </w:rPr>
        <w:t>leadership</w:t>
      </w:r>
      <w:r>
        <w:rPr>
          <w:spacing w:val="-5"/>
          <w:sz w:val="20"/>
          <w:vertAlign w:val="baseline"/>
        </w:rPr>
        <w:t> </w:t>
      </w:r>
      <w:r>
        <w:rPr>
          <w:sz w:val="20"/>
          <w:vertAlign w:val="baseline"/>
        </w:rPr>
        <w:t>enhancement</w:t>
      </w:r>
      <w:r>
        <w:rPr>
          <w:spacing w:val="-5"/>
          <w:sz w:val="20"/>
          <w:vertAlign w:val="baseline"/>
        </w:rPr>
        <w:t> </w:t>
      </w:r>
      <w:r>
        <w:rPr>
          <w:sz w:val="20"/>
          <w:vertAlign w:val="baseline"/>
        </w:rPr>
        <w:t>program,</w:t>
      </w:r>
      <w:r>
        <w:rPr>
          <w:spacing w:val="-5"/>
          <w:sz w:val="20"/>
          <w:vertAlign w:val="baseline"/>
        </w:rPr>
        <w:t> </w:t>
      </w:r>
      <w:r>
        <w:rPr>
          <w:sz w:val="20"/>
          <w:vertAlign w:val="baseline"/>
        </w:rPr>
        <w:t>ELA.</w:t>
      </w:r>
      <w:r>
        <w:rPr>
          <w:spacing w:val="-3"/>
          <w:sz w:val="20"/>
          <w:vertAlign w:val="baseline"/>
        </w:rPr>
        <w:t> </w:t>
      </w:r>
      <w:r>
        <w:rPr>
          <w:sz w:val="20"/>
          <w:vertAlign w:val="baseline"/>
        </w:rPr>
        <w:t>Students</w:t>
      </w:r>
      <w:r>
        <w:rPr>
          <w:spacing w:val="-1"/>
          <w:sz w:val="20"/>
          <w:vertAlign w:val="baseline"/>
        </w:rPr>
        <w:t> </w:t>
      </w:r>
      <w:r>
        <w:rPr>
          <w:sz w:val="20"/>
          <w:vertAlign w:val="baseline"/>
        </w:rPr>
        <w:t>work with</w:t>
      </w:r>
      <w:r>
        <w:rPr>
          <w:spacing w:val="-3"/>
          <w:sz w:val="20"/>
          <w:vertAlign w:val="baseline"/>
        </w:rPr>
        <w:t> </w:t>
      </w:r>
      <w:r>
        <w:rPr>
          <w:sz w:val="20"/>
          <w:vertAlign w:val="baseline"/>
        </w:rPr>
        <w:t>emerging</w:t>
      </w:r>
      <w:r>
        <w:rPr>
          <w:spacing w:val="-5"/>
          <w:sz w:val="20"/>
          <w:vertAlign w:val="baseline"/>
        </w:rPr>
        <w:t> </w:t>
      </w:r>
      <w:r>
        <w:rPr>
          <w:sz w:val="20"/>
          <w:vertAlign w:val="baseline"/>
        </w:rPr>
        <w:t>professionals</w:t>
      </w:r>
      <w:r>
        <w:rPr>
          <w:spacing w:val="-4"/>
          <w:sz w:val="20"/>
          <w:vertAlign w:val="baseline"/>
        </w:rPr>
        <w:t> </w:t>
      </w:r>
      <w:r>
        <w:rPr>
          <w:sz w:val="20"/>
          <w:vertAlign w:val="baseline"/>
        </w:rPr>
        <w:t>from around</w:t>
      </w:r>
      <w:r>
        <w:rPr>
          <w:spacing w:val="-5"/>
          <w:sz w:val="20"/>
          <w:vertAlign w:val="baseline"/>
        </w:rPr>
        <w:t> </w:t>
      </w:r>
      <w:r>
        <w:rPr>
          <w:sz w:val="20"/>
          <w:vertAlign w:val="baseline"/>
        </w:rPr>
        <w:t>the</w:t>
      </w:r>
      <w:r>
        <w:rPr>
          <w:spacing w:val="-5"/>
          <w:sz w:val="20"/>
          <w:vertAlign w:val="baseline"/>
        </w:rPr>
        <w:t> </w:t>
      </w:r>
      <w:r>
        <w:rPr>
          <w:sz w:val="20"/>
          <w:vertAlign w:val="baseline"/>
        </w:rPr>
        <w:t>state</w:t>
      </w:r>
      <w:r>
        <w:rPr>
          <w:spacing w:val="-3"/>
          <w:sz w:val="20"/>
          <w:vertAlign w:val="baseline"/>
        </w:rPr>
        <w:t> </w:t>
      </w:r>
      <w:r>
        <w:rPr>
          <w:sz w:val="20"/>
          <w:vertAlign w:val="baseline"/>
        </w:rPr>
        <w:t>on</w:t>
      </w:r>
      <w:r>
        <w:rPr>
          <w:spacing w:val="-3"/>
          <w:sz w:val="20"/>
          <w:vertAlign w:val="baseline"/>
        </w:rPr>
        <w:t> </w:t>
      </w:r>
      <w:r>
        <w:rPr>
          <w:sz w:val="20"/>
          <w:vertAlign w:val="baseline"/>
        </w:rPr>
        <w:t>projects</w:t>
      </w:r>
      <w:r>
        <w:rPr>
          <w:spacing w:val="-4"/>
          <w:sz w:val="20"/>
          <w:vertAlign w:val="baseline"/>
        </w:rPr>
        <w:t> </w:t>
      </w:r>
      <w:r>
        <w:rPr>
          <w:sz w:val="20"/>
          <w:vertAlign w:val="baseline"/>
        </w:rPr>
        <w:t>of</w:t>
      </w:r>
      <w:r>
        <w:rPr>
          <w:spacing w:val="-3"/>
          <w:sz w:val="20"/>
          <w:vertAlign w:val="baseline"/>
        </w:rPr>
        <w:t> </w:t>
      </w:r>
      <w:r>
        <w:rPr>
          <w:sz w:val="20"/>
          <w:vertAlign w:val="baseline"/>
        </w:rPr>
        <w:t>significance</w:t>
      </w:r>
      <w:r>
        <w:rPr>
          <w:spacing w:val="-5"/>
          <w:sz w:val="20"/>
          <w:vertAlign w:val="baseline"/>
        </w:rPr>
        <w:t> </w:t>
      </w:r>
      <w:r>
        <w:rPr>
          <w:sz w:val="20"/>
          <w:vertAlign w:val="baseline"/>
        </w:rPr>
        <w:t>to</w:t>
      </w:r>
      <w:r>
        <w:rPr>
          <w:spacing w:val="-5"/>
          <w:sz w:val="20"/>
          <w:vertAlign w:val="baseline"/>
        </w:rPr>
        <w:t> </w:t>
      </w:r>
      <w:r>
        <w:rPr>
          <w:sz w:val="20"/>
          <w:vertAlign w:val="baseline"/>
        </w:rPr>
        <w:t>communities in other areas.</w:t>
      </w:r>
    </w:p>
    <w:p>
      <w:pPr>
        <w:pStyle w:val="BodyText"/>
        <w:spacing w:before="10"/>
      </w:pPr>
    </w:p>
    <w:p>
      <w:pPr>
        <w:pStyle w:val="ListParagraph"/>
        <w:numPr>
          <w:ilvl w:val="0"/>
          <w:numId w:val="13"/>
        </w:numPr>
        <w:tabs>
          <w:tab w:pos="1580" w:val="left" w:leader="none"/>
        </w:tabs>
        <w:spacing w:line="240" w:lineRule="auto" w:before="0" w:after="0"/>
        <w:ind w:left="1579" w:right="645" w:hanging="360"/>
        <w:jc w:val="left"/>
        <w:rPr>
          <w:sz w:val="20"/>
        </w:rPr>
      </w:pPr>
      <w:r>
        <w:rPr>
          <w:sz w:val="20"/>
        </w:rPr>
        <w:t>Architecture</w:t>
      </w:r>
      <w:r>
        <w:rPr>
          <w:spacing w:val="-4"/>
          <w:sz w:val="20"/>
        </w:rPr>
        <w:t> </w:t>
      </w:r>
      <w:r>
        <w:rPr>
          <w:sz w:val="20"/>
        </w:rPr>
        <w:t>Exchange</w:t>
      </w:r>
      <w:r>
        <w:rPr>
          <w:spacing w:val="-2"/>
          <w:sz w:val="20"/>
        </w:rPr>
        <w:t> </w:t>
      </w:r>
      <w:r>
        <w:rPr>
          <w:sz w:val="20"/>
        </w:rPr>
        <w:t>–</w:t>
      </w:r>
      <w:r>
        <w:rPr>
          <w:spacing w:val="-2"/>
          <w:sz w:val="20"/>
        </w:rPr>
        <w:t> </w:t>
      </w:r>
      <w:r>
        <w:rPr>
          <w:sz w:val="20"/>
        </w:rPr>
        <w:t>East:</w:t>
      </w:r>
      <w:r>
        <w:rPr>
          <w:spacing w:val="-4"/>
          <w:sz w:val="20"/>
        </w:rPr>
        <w:t> </w:t>
      </w:r>
      <w:r>
        <w:rPr>
          <w:sz w:val="20"/>
        </w:rPr>
        <w:t>The</w:t>
      </w:r>
      <w:r>
        <w:rPr>
          <w:spacing w:val="-4"/>
          <w:sz w:val="20"/>
        </w:rPr>
        <w:t> </w:t>
      </w:r>
      <w:r>
        <w:rPr>
          <w:sz w:val="20"/>
        </w:rPr>
        <w:t>regional</w:t>
      </w:r>
      <w:r>
        <w:rPr>
          <w:spacing w:val="-5"/>
          <w:sz w:val="20"/>
        </w:rPr>
        <w:t> </w:t>
      </w:r>
      <w:r>
        <w:rPr>
          <w:sz w:val="20"/>
        </w:rPr>
        <w:t>convention</w:t>
      </w:r>
      <w:r>
        <w:rPr>
          <w:spacing w:val="-4"/>
          <w:sz w:val="20"/>
        </w:rPr>
        <w:t> </w:t>
      </w:r>
      <w:r>
        <w:rPr>
          <w:sz w:val="20"/>
        </w:rPr>
        <w:t>of</w:t>
      </w:r>
      <w:r>
        <w:rPr>
          <w:spacing w:val="-2"/>
          <w:sz w:val="20"/>
        </w:rPr>
        <w:t> </w:t>
      </w:r>
      <w:r>
        <w:rPr>
          <w:sz w:val="20"/>
        </w:rPr>
        <w:t>the</w:t>
      </w:r>
      <w:r>
        <w:rPr>
          <w:spacing w:val="-2"/>
          <w:sz w:val="20"/>
        </w:rPr>
        <w:t> </w:t>
      </w:r>
      <w:r>
        <w:rPr>
          <w:sz w:val="20"/>
        </w:rPr>
        <w:t>Virginia</w:t>
      </w:r>
      <w:r>
        <w:rPr>
          <w:spacing w:val="-2"/>
          <w:sz w:val="20"/>
        </w:rPr>
        <w:t> </w:t>
      </w:r>
      <w:r>
        <w:rPr>
          <w:sz w:val="20"/>
        </w:rPr>
        <w:t>Society</w:t>
      </w:r>
      <w:r>
        <w:rPr>
          <w:spacing w:val="-7"/>
          <w:sz w:val="20"/>
        </w:rPr>
        <w:t> </w:t>
      </w:r>
      <w:r>
        <w:rPr>
          <w:sz w:val="20"/>
        </w:rPr>
        <w:t>is</w:t>
      </w:r>
      <w:r>
        <w:rPr>
          <w:spacing w:val="-1"/>
          <w:sz w:val="20"/>
        </w:rPr>
        <w:t> </w:t>
      </w:r>
      <w:r>
        <w:rPr>
          <w:sz w:val="20"/>
        </w:rPr>
        <w:t>held</w:t>
      </w:r>
      <w:r>
        <w:rPr>
          <w:spacing w:val="-4"/>
          <w:sz w:val="20"/>
        </w:rPr>
        <w:t> </w:t>
      </w:r>
      <w:r>
        <w:rPr>
          <w:sz w:val="20"/>
        </w:rPr>
        <w:t>during the week preceding the second weekend of each November. On the Thursday of the Conference, student are invited from around the Commonwealth to participate at no cost. They are allowed to hold an exhibit on the floor of the convention to showcase their achievements to the architects of the state.</w:t>
      </w:r>
    </w:p>
    <w:p>
      <w:pPr>
        <w:pStyle w:val="BodyText"/>
        <w:spacing w:before="10"/>
      </w:pPr>
    </w:p>
    <w:p>
      <w:pPr>
        <w:pStyle w:val="ListParagraph"/>
        <w:numPr>
          <w:ilvl w:val="0"/>
          <w:numId w:val="13"/>
        </w:numPr>
        <w:tabs>
          <w:tab w:pos="1580" w:val="left" w:leader="none"/>
        </w:tabs>
        <w:spacing w:line="240" w:lineRule="auto" w:before="0" w:after="0"/>
        <w:ind w:left="1579" w:right="0" w:hanging="360"/>
        <w:jc w:val="left"/>
        <w:rPr>
          <w:b/>
          <w:sz w:val="20"/>
        </w:rPr>
      </w:pPr>
      <w:r>
        <w:rPr>
          <w:sz w:val="20"/>
        </w:rPr>
        <w:t>In</w:t>
      </w:r>
      <w:r>
        <w:rPr>
          <w:spacing w:val="-7"/>
          <w:sz w:val="20"/>
        </w:rPr>
        <w:t> </w:t>
      </w:r>
      <w:r>
        <w:rPr>
          <w:sz w:val="20"/>
        </w:rPr>
        <w:t>addition</w:t>
      </w:r>
      <w:r>
        <w:rPr>
          <w:spacing w:val="-6"/>
          <w:sz w:val="20"/>
        </w:rPr>
        <w:t> </w:t>
      </w:r>
      <w:r>
        <w:rPr>
          <w:sz w:val="20"/>
        </w:rPr>
        <w:t>to</w:t>
      </w:r>
      <w:r>
        <w:rPr>
          <w:spacing w:val="-4"/>
          <w:sz w:val="20"/>
        </w:rPr>
        <w:t> </w:t>
      </w:r>
      <w:r>
        <w:rPr>
          <w:sz w:val="20"/>
        </w:rPr>
        <w:t>this</w:t>
      </w:r>
      <w:r>
        <w:rPr>
          <w:spacing w:val="-5"/>
          <w:sz w:val="20"/>
        </w:rPr>
        <w:t> </w:t>
      </w:r>
      <w:r>
        <w:rPr>
          <w:sz w:val="20"/>
        </w:rPr>
        <w:t>support,</w:t>
      </w:r>
      <w:r>
        <w:rPr>
          <w:spacing w:val="-2"/>
          <w:sz w:val="20"/>
        </w:rPr>
        <w:t> </w:t>
      </w:r>
      <w:r>
        <w:rPr>
          <w:sz w:val="20"/>
        </w:rPr>
        <w:t>our</w:t>
      </w:r>
      <w:r>
        <w:rPr>
          <w:spacing w:val="-5"/>
          <w:sz w:val="20"/>
        </w:rPr>
        <w:t> </w:t>
      </w:r>
      <w:r>
        <w:rPr>
          <w:sz w:val="20"/>
        </w:rPr>
        <w:t>student</w:t>
      </w:r>
      <w:r>
        <w:rPr>
          <w:spacing w:val="-6"/>
          <w:sz w:val="20"/>
        </w:rPr>
        <w:t> </w:t>
      </w:r>
      <w:r>
        <w:rPr>
          <w:sz w:val="20"/>
        </w:rPr>
        <w:t>have</w:t>
      </w:r>
      <w:r>
        <w:rPr>
          <w:spacing w:val="-6"/>
          <w:sz w:val="20"/>
        </w:rPr>
        <w:t> </w:t>
      </w:r>
      <w:r>
        <w:rPr>
          <w:sz w:val="20"/>
        </w:rPr>
        <w:t>active</w:t>
      </w:r>
      <w:r>
        <w:rPr>
          <w:spacing w:val="-6"/>
          <w:sz w:val="20"/>
        </w:rPr>
        <w:t> </w:t>
      </w:r>
      <w:r>
        <w:rPr>
          <w:sz w:val="20"/>
        </w:rPr>
        <w:t>chapters</w:t>
      </w:r>
      <w:r>
        <w:rPr>
          <w:spacing w:val="-6"/>
          <w:sz w:val="20"/>
        </w:rPr>
        <w:t> </w:t>
      </w:r>
      <w:r>
        <w:rPr>
          <w:sz w:val="20"/>
        </w:rPr>
        <w:t>of</w:t>
      </w:r>
      <w:r>
        <w:rPr>
          <w:spacing w:val="-4"/>
          <w:sz w:val="20"/>
        </w:rPr>
        <w:t> </w:t>
      </w:r>
      <w:r>
        <w:rPr>
          <w:sz w:val="20"/>
        </w:rPr>
        <w:t>the</w:t>
      </w:r>
      <w:r>
        <w:rPr>
          <w:spacing w:val="-2"/>
          <w:sz w:val="20"/>
        </w:rPr>
        <w:t> AIAS/NOMAS.</w:t>
      </w:r>
    </w:p>
    <w:p>
      <w:pPr>
        <w:spacing w:after="0" w:line="240" w:lineRule="auto"/>
        <w:jc w:val="left"/>
        <w:rPr>
          <w:sz w:val="20"/>
        </w:rPr>
        <w:sectPr>
          <w:pgSz w:w="12240" w:h="15840"/>
          <w:pgMar w:header="0" w:footer="974" w:top="1360" w:bottom="1160" w:left="940" w:right="960"/>
        </w:sectPr>
      </w:pPr>
    </w:p>
    <w:p>
      <w:pPr>
        <w:pStyle w:val="Heading5"/>
        <w:numPr>
          <w:ilvl w:val="3"/>
          <w:numId w:val="10"/>
        </w:numPr>
        <w:tabs>
          <w:tab w:pos="1581" w:val="left" w:leader="none"/>
        </w:tabs>
        <w:spacing w:line="240" w:lineRule="auto" w:before="76" w:after="0"/>
        <w:ind w:left="1580" w:right="0" w:hanging="1010"/>
        <w:jc w:val="left"/>
      </w:pPr>
      <w:bookmarkStart w:name="_TOC_250011" w:id="7"/>
      <w:r>
        <w:rPr/>
        <w:t>Architectural</w:t>
      </w:r>
      <w:r>
        <w:rPr>
          <w:spacing w:val="-6"/>
        </w:rPr>
        <w:t> </w:t>
      </w:r>
      <w:r>
        <w:rPr/>
        <w:t>Education</w:t>
      </w:r>
      <w:r>
        <w:rPr>
          <w:spacing w:val="-6"/>
        </w:rPr>
        <w:t> </w:t>
      </w:r>
      <w:r>
        <w:rPr/>
        <w:t>and</w:t>
      </w:r>
      <w:r>
        <w:rPr>
          <w:spacing w:val="-6"/>
        </w:rPr>
        <w:t> </w:t>
      </w:r>
      <w:r>
        <w:rPr/>
        <w:t>the</w:t>
      </w:r>
      <w:r>
        <w:rPr>
          <w:spacing w:val="-8"/>
        </w:rPr>
        <w:t> </w:t>
      </w:r>
      <w:r>
        <w:rPr/>
        <w:t>Public</w:t>
      </w:r>
      <w:r>
        <w:rPr>
          <w:spacing w:val="-7"/>
        </w:rPr>
        <w:t> </w:t>
      </w:r>
      <w:bookmarkEnd w:id="7"/>
      <w:r>
        <w:rPr>
          <w:spacing w:val="-4"/>
        </w:rPr>
        <w:t>Good</w:t>
      </w:r>
    </w:p>
    <w:p>
      <w:pPr>
        <w:spacing w:before="238"/>
        <w:ind w:left="571" w:right="499" w:firstLine="0"/>
        <w:jc w:val="left"/>
        <w:rPr>
          <w:i/>
          <w:sz w:val="20"/>
        </w:rPr>
      </w:pPr>
      <w:r>
        <w:rPr>
          <w:i/>
          <w:sz w:val="20"/>
        </w:rPr>
        <w:t>That</w:t>
      </w:r>
      <w:r>
        <w:rPr>
          <w:i/>
          <w:spacing w:val="-4"/>
          <w:sz w:val="20"/>
        </w:rPr>
        <w:t> </w:t>
      </w:r>
      <w:r>
        <w:rPr>
          <w:i/>
          <w:sz w:val="20"/>
        </w:rPr>
        <w:t>students</w:t>
      </w:r>
      <w:r>
        <w:rPr>
          <w:i/>
          <w:spacing w:val="-3"/>
          <w:sz w:val="20"/>
        </w:rPr>
        <w:t> </w:t>
      </w:r>
      <w:r>
        <w:rPr>
          <w:i/>
          <w:sz w:val="20"/>
        </w:rPr>
        <w:t>enrolled</w:t>
      </w:r>
      <w:r>
        <w:rPr>
          <w:i/>
          <w:spacing w:val="-4"/>
          <w:sz w:val="20"/>
        </w:rPr>
        <w:t> </w:t>
      </w:r>
      <w:r>
        <w:rPr>
          <w:i/>
          <w:sz w:val="20"/>
        </w:rPr>
        <w:t>in</w:t>
      </w:r>
      <w:r>
        <w:rPr>
          <w:i/>
          <w:spacing w:val="-4"/>
          <w:sz w:val="20"/>
        </w:rPr>
        <w:t> </w:t>
      </w:r>
      <w:r>
        <w:rPr>
          <w:i/>
          <w:sz w:val="20"/>
        </w:rPr>
        <w:t>the</w:t>
      </w:r>
      <w:r>
        <w:rPr>
          <w:i/>
          <w:spacing w:val="-4"/>
          <w:sz w:val="20"/>
        </w:rPr>
        <w:t> </w:t>
      </w:r>
      <w:r>
        <w:rPr>
          <w:i/>
          <w:sz w:val="20"/>
        </w:rPr>
        <w:t>accredited</w:t>
      </w:r>
      <w:r>
        <w:rPr>
          <w:i/>
          <w:spacing w:val="-2"/>
          <w:sz w:val="20"/>
        </w:rPr>
        <w:t> </w:t>
      </w:r>
      <w:r>
        <w:rPr>
          <w:i/>
          <w:sz w:val="20"/>
        </w:rPr>
        <w:t>degree</w:t>
      </w:r>
      <w:r>
        <w:rPr>
          <w:i/>
          <w:spacing w:val="-4"/>
          <w:sz w:val="20"/>
        </w:rPr>
        <w:t> </w:t>
      </w:r>
      <w:r>
        <w:rPr>
          <w:i/>
          <w:sz w:val="20"/>
        </w:rPr>
        <w:t>program</w:t>
      </w:r>
      <w:r>
        <w:rPr>
          <w:i/>
          <w:spacing w:val="-4"/>
          <w:sz w:val="20"/>
        </w:rPr>
        <w:t> </w:t>
      </w:r>
      <w:r>
        <w:rPr>
          <w:i/>
          <w:sz w:val="20"/>
        </w:rPr>
        <w:t>are</w:t>
      </w:r>
      <w:r>
        <w:rPr>
          <w:i/>
          <w:spacing w:val="-2"/>
          <w:sz w:val="20"/>
        </w:rPr>
        <w:t> </w:t>
      </w:r>
      <w:r>
        <w:rPr>
          <w:i/>
          <w:sz w:val="20"/>
        </w:rPr>
        <w:t>prepared:</w:t>
      </w:r>
      <w:r>
        <w:rPr>
          <w:i/>
          <w:spacing w:val="-4"/>
          <w:sz w:val="20"/>
        </w:rPr>
        <w:t> </w:t>
      </w:r>
      <w:r>
        <w:rPr>
          <w:i/>
          <w:sz w:val="20"/>
        </w:rPr>
        <w:t>to</w:t>
      </w:r>
      <w:r>
        <w:rPr>
          <w:i/>
          <w:spacing w:val="-4"/>
          <w:sz w:val="20"/>
        </w:rPr>
        <w:t> </w:t>
      </w:r>
      <w:r>
        <w:rPr>
          <w:i/>
          <w:sz w:val="20"/>
        </w:rPr>
        <w:t>be</w:t>
      </w:r>
      <w:r>
        <w:rPr>
          <w:i/>
          <w:spacing w:val="-2"/>
          <w:sz w:val="20"/>
        </w:rPr>
        <w:t> </w:t>
      </w:r>
      <w:r>
        <w:rPr>
          <w:i/>
          <w:sz w:val="20"/>
        </w:rPr>
        <w:t>active,</w:t>
      </w:r>
      <w:r>
        <w:rPr>
          <w:i/>
          <w:spacing w:val="-4"/>
          <w:sz w:val="20"/>
        </w:rPr>
        <w:t> </w:t>
      </w:r>
      <w:r>
        <w:rPr>
          <w:i/>
          <w:sz w:val="20"/>
        </w:rPr>
        <w:t>engaged</w:t>
      </w:r>
      <w:r>
        <w:rPr>
          <w:i/>
          <w:spacing w:val="-4"/>
          <w:sz w:val="20"/>
        </w:rPr>
        <w:t> </w:t>
      </w:r>
      <w:r>
        <w:rPr>
          <w:i/>
          <w:sz w:val="20"/>
        </w:rPr>
        <w:t>citizens;</w:t>
      </w:r>
      <w:r>
        <w:rPr>
          <w:i/>
          <w:spacing w:val="-2"/>
          <w:sz w:val="20"/>
        </w:rPr>
        <w:t> </w:t>
      </w:r>
      <w:r>
        <w:rPr>
          <w:i/>
          <w:sz w:val="20"/>
        </w:rPr>
        <w:t>to be responsive to the needs of a changing world; to acquire the knowledge needed to address pressing environmental, social, and economic challenges through design, conservation and responsible professional practice; to understand the ethical implications of their decisions; to reconcile differences between the architect’s obligation to his/her client and the public; and to nurture a climate of civic engagement, including a commitment to professional and public service and leadership.</w:t>
      </w:r>
    </w:p>
    <w:p>
      <w:pPr>
        <w:pStyle w:val="BodyText"/>
        <w:spacing w:before="1"/>
        <w:rPr>
          <w:i/>
          <w:sz w:val="21"/>
        </w:rPr>
      </w:pPr>
    </w:p>
    <w:p>
      <w:pPr>
        <w:pStyle w:val="BodyText"/>
        <w:ind w:left="1219"/>
      </w:pPr>
      <w:r>
        <w:rPr/>
        <w:t>Our</w:t>
      </w:r>
      <w:r>
        <w:rPr>
          <w:spacing w:val="-3"/>
        </w:rPr>
        <w:t> </w:t>
      </w:r>
      <w:r>
        <w:rPr/>
        <w:t>students</w:t>
      </w:r>
      <w:r>
        <w:rPr>
          <w:spacing w:val="-1"/>
        </w:rPr>
        <w:t> </w:t>
      </w:r>
      <w:r>
        <w:rPr/>
        <w:t>and</w:t>
      </w:r>
      <w:r>
        <w:rPr>
          <w:spacing w:val="-4"/>
        </w:rPr>
        <w:t> </w:t>
      </w:r>
      <w:r>
        <w:rPr/>
        <w:t>faculty</w:t>
      </w:r>
      <w:r>
        <w:rPr>
          <w:spacing w:val="-5"/>
        </w:rPr>
        <w:t> </w:t>
      </w:r>
      <w:r>
        <w:rPr/>
        <w:t>have</w:t>
      </w:r>
      <w:r>
        <w:rPr>
          <w:spacing w:val="-2"/>
        </w:rPr>
        <w:t> </w:t>
      </w:r>
      <w:r>
        <w:rPr/>
        <w:t>embraced</w:t>
      </w:r>
      <w:r>
        <w:rPr>
          <w:spacing w:val="-3"/>
        </w:rPr>
        <w:t> </w:t>
      </w:r>
      <w:r>
        <w:rPr/>
        <w:t>their</w:t>
      </w:r>
      <w:r>
        <w:rPr>
          <w:spacing w:val="-1"/>
        </w:rPr>
        <w:t> </w:t>
      </w:r>
      <w:r>
        <w:rPr/>
        <w:t>professional</w:t>
      </w:r>
      <w:r>
        <w:rPr>
          <w:spacing w:val="-5"/>
        </w:rPr>
        <w:t> </w:t>
      </w:r>
      <w:r>
        <w:rPr/>
        <w:t>leadership</w:t>
      </w:r>
      <w:r>
        <w:rPr>
          <w:spacing w:val="-4"/>
        </w:rPr>
        <w:t> </w:t>
      </w:r>
      <w:r>
        <w:rPr/>
        <w:t>roles</w:t>
      </w:r>
      <w:r>
        <w:rPr>
          <w:spacing w:val="-3"/>
        </w:rPr>
        <w:t> </w:t>
      </w:r>
      <w:r>
        <w:rPr/>
        <w:t>to</w:t>
      </w:r>
      <w:r>
        <w:rPr>
          <w:spacing w:val="-4"/>
        </w:rPr>
        <w:t> </w:t>
      </w:r>
      <w:r>
        <w:rPr/>
        <w:t>make</w:t>
      </w:r>
      <w:r>
        <w:rPr>
          <w:spacing w:val="-4"/>
        </w:rPr>
        <w:t> </w:t>
      </w:r>
      <w:r>
        <w:rPr/>
        <w:t>a</w:t>
      </w:r>
      <w:r>
        <w:rPr>
          <w:spacing w:val="-4"/>
        </w:rPr>
        <w:t> </w:t>
      </w:r>
      <w:r>
        <w:rPr/>
        <w:t>significant contribution to the surrounding community. This is accomplished in several ways.</w:t>
      </w:r>
    </w:p>
    <w:p>
      <w:pPr>
        <w:pStyle w:val="BodyText"/>
        <w:rPr>
          <w:sz w:val="21"/>
        </w:rPr>
      </w:pPr>
    </w:p>
    <w:p>
      <w:pPr>
        <w:pStyle w:val="BodyText"/>
        <w:ind w:left="1219" w:right="705"/>
      </w:pPr>
      <w:r>
        <w:rPr/>
        <w:t>Students,</w:t>
      </w:r>
      <w:r>
        <w:rPr>
          <w:spacing w:val="-4"/>
        </w:rPr>
        <w:t> </w:t>
      </w:r>
      <w:r>
        <w:rPr/>
        <w:t>through</w:t>
      </w:r>
      <w:r>
        <w:rPr>
          <w:spacing w:val="-4"/>
        </w:rPr>
        <w:t> </w:t>
      </w:r>
      <w:r>
        <w:rPr/>
        <w:t>the</w:t>
      </w:r>
      <w:r>
        <w:rPr>
          <w:spacing w:val="-2"/>
        </w:rPr>
        <w:t> </w:t>
      </w:r>
      <w:r>
        <w:rPr/>
        <w:t>AIAS/NOMAS</w:t>
      </w:r>
      <w:r>
        <w:rPr>
          <w:spacing w:val="-5"/>
        </w:rPr>
        <w:t> </w:t>
      </w:r>
      <w:r>
        <w:rPr/>
        <w:t>chapter,</w:t>
      </w:r>
      <w:r>
        <w:rPr>
          <w:spacing w:val="-4"/>
        </w:rPr>
        <w:t> </w:t>
      </w:r>
      <w:r>
        <w:rPr/>
        <w:t>the</w:t>
      </w:r>
      <w:r>
        <w:rPr>
          <w:spacing w:val="-4"/>
        </w:rPr>
        <w:t> </w:t>
      </w:r>
      <w:r>
        <w:rPr/>
        <w:t>students</w:t>
      </w:r>
      <w:r>
        <w:rPr>
          <w:spacing w:val="-3"/>
        </w:rPr>
        <w:t> </w:t>
      </w:r>
      <w:r>
        <w:rPr/>
        <w:t>are</w:t>
      </w:r>
      <w:r>
        <w:rPr>
          <w:spacing w:val="-4"/>
        </w:rPr>
        <w:t> </w:t>
      </w:r>
      <w:r>
        <w:rPr/>
        <w:t>involved</w:t>
      </w:r>
      <w:r>
        <w:rPr>
          <w:spacing w:val="-4"/>
        </w:rPr>
        <w:t> </w:t>
      </w:r>
      <w:r>
        <w:rPr/>
        <w:t>in</w:t>
      </w:r>
      <w:r>
        <w:rPr>
          <w:spacing w:val="-4"/>
        </w:rPr>
        <w:t> </w:t>
      </w:r>
      <w:r>
        <w:rPr/>
        <w:t>multiple</w:t>
      </w:r>
      <w:r>
        <w:rPr>
          <w:spacing w:val="-2"/>
        </w:rPr>
        <w:t> </w:t>
      </w:r>
      <w:r>
        <w:rPr/>
        <w:t>socially relevant and civically impactful projects. For example, each year, they are involved in the Canstruction program sponsored by the Hampton Roads AIA.</w:t>
      </w:r>
    </w:p>
    <w:p>
      <w:pPr>
        <w:pStyle w:val="BodyText"/>
        <w:spacing w:before="9"/>
      </w:pPr>
    </w:p>
    <w:p>
      <w:pPr>
        <w:pStyle w:val="BodyText"/>
        <w:ind w:left="1219" w:right="486"/>
      </w:pPr>
      <w:r>
        <w:rPr/>
        <w:t>Within</w:t>
      </w:r>
      <w:r>
        <w:rPr>
          <w:spacing w:val="-4"/>
        </w:rPr>
        <w:t> </w:t>
      </w:r>
      <w:r>
        <w:rPr/>
        <w:t>the</w:t>
      </w:r>
      <w:r>
        <w:rPr>
          <w:spacing w:val="-4"/>
        </w:rPr>
        <w:t> </w:t>
      </w:r>
      <w:r>
        <w:rPr/>
        <w:t>curriculum,</w:t>
      </w:r>
      <w:r>
        <w:rPr>
          <w:spacing w:val="-4"/>
        </w:rPr>
        <w:t> </w:t>
      </w:r>
      <w:r>
        <w:rPr/>
        <w:t>students</w:t>
      </w:r>
      <w:r>
        <w:rPr>
          <w:spacing w:val="-3"/>
        </w:rPr>
        <w:t> </w:t>
      </w:r>
      <w:r>
        <w:rPr/>
        <w:t>are</w:t>
      </w:r>
      <w:r>
        <w:rPr>
          <w:spacing w:val="-2"/>
        </w:rPr>
        <w:t> </w:t>
      </w:r>
      <w:r>
        <w:rPr/>
        <w:t>involved</w:t>
      </w:r>
      <w:r>
        <w:rPr>
          <w:spacing w:val="-2"/>
        </w:rPr>
        <w:t> </w:t>
      </w:r>
      <w:r>
        <w:rPr/>
        <w:t>in</w:t>
      </w:r>
      <w:r>
        <w:rPr>
          <w:spacing w:val="-2"/>
        </w:rPr>
        <w:t> </w:t>
      </w:r>
      <w:r>
        <w:rPr/>
        <w:t>projects</w:t>
      </w:r>
      <w:r>
        <w:rPr>
          <w:spacing w:val="-3"/>
        </w:rPr>
        <w:t> </w:t>
      </w:r>
      <w:r>
        <w:rPr/>
        <w:t>that</w:t>
      </w:r>
      <w:r>
        <w:rPr>
          <w:spacing w:val="-4"/>
        </w:rPr>
        <w:t> </w:t>
      </w:r>
      <w:r>
        <w:rPr/>
        <w:t>have</w:t>
      </w:r>
      <w:r>
        <w:rPr>
          <w:spacing w:val="-4"/>
        </w:rPr>
        <w:t> </w:t>
      </w:r>
      <w:r>
        <w:rPr/>
        <w:t>community</w:t>
      </w:r>
      <w:r>
        <w:rPr>
          <w:spacing w:val="-7"/>
        </w:rPr>
        <w:t> </w:t>
      </w:r>
      <w:r>
        <w:rPr/>
        <w:t>impact.</w:t>
      </w:r>
      <w:r>
        <w:rPr>
          <w:spacing w:val="-4"/>
        </w:rPr>
        <w:t> </w:t>
      </w:r>
      <w:r>
        <w:rPr/>
        <w:t>Our</w:t>
      </w:r>
      <w:r>
        <w:rPr>
          <w:spacing w:val="-3"/>
        </w:rPr>
        <w:t> </w:t>
      </w:r>
      <w:r>
        <w:rPr/>
        <w:t>students have designed memorials to those affected by</w:t>
      </w:r>
      <w:r>
        <w:rPr>
          <w:spacing w:val="-1"/>
        </w:rPr>
        <w:t> </w:t>
      </w:r>
      <w:r>
        <w:rPr/>
        <w:t>desegregation in Virginia after the Commonwealth chose Massive Resistance rather than comply with obey court mandated integration of public schools. Their presentations in the public forum of the City of Norfolk were moving and </w:t>
      </w:r>
      <w:r>
        <w:rPr>
          <w:spacing w:val="-2"/>
        </w:rPr>
        <w:t>passionate.</w:t>
      </w:r>
    </w:p>
    <w:p>
      <w:pPr>
        <w:pStyle w:val="BodyText"/>
        <w:spacing w:before="9"/>
      </w:pPr>
    </w:p>
    <w:p>
      <w:pPr>
        <w:pStyle w:val="BodyText"/>
        <w:spacing w:before="1"/>
        <w:ind w:left="1219" w:right="499"/>
      </w:pPr>
      <w:r>
        <w:rPr/>
        <w:t>Our</w:t>
      </w:r>
      <w:r>
        <w:rPr>
          <w:spacing w:val="-3"/>
        </w:rPr>
        <w:t> </w:t>
      </w:r>
      <w:r>
        <w:rPr/>
        <w:t>students have</w:t>
      </w:r>
      <w:r>
        <w:rPr>
          <w:spacing w:val="-2"/>
        </w:rPr>
        <w:t> </w:t>
      </w:r>
      <w:r>
        <w:rPr/>
        <w:t>worked</w:t>
      </w:r>
      <w:r>
        <w:rPr>
          <w:spacing w:val="-4"/>
        </w:rPr>
        <w:t> </w:t>
      </w:r>
      <w:r>
        <w:rPr/>
        <w:t>with</w:t>
      </w:r>
      <w:r>
        <w:rPr>
          <w:spacing w:val="-2"/>
        </w:rPr>
        <w:t> </w:t>
      </w:r>
      <w:r>
        <w:rPr/>
        <w:t>City</w:t>
      </w:r>
      <w:r>
        <w:rPr>
          <w:spacing w:val="-5"/>
        </w:rPr>
        <w:t> </w:t>
      </w:r>
      <w:r>
        <w:rPr/>
        <w:t>leaders</w:t>
      </w:r>
      <w:r>
        <w:rPr>
          <w:spacing w:val="-3"/>
        </w:rPr>
        <w:t> </w:t>
      </w:r>
      <w:r>
        <w:rPr/>
        <w:t>in</w:t>
      </w:r>
      <w:r>
        <w:rPr>
          <w:spacing w:val="-2"/>
        </w:rPr>
        <w:t> </w:t>
      </w:r>
      <w:r>
        <w:rPr/>
        <w:t>Newport</w:t>
      </w:r>
      <w:r>
        <w:rPr>
          <w:spacing w:val="-4"/>
        </w:rPr>
        <w:t> </w:t>
      </w:r>
      <w:r>
        <w:rPr/>
        <w:t>News,</w:t>
      </w:r>
      <w:r>
        <w:rPr>
          <w:spacing w:val="-2"/>
        </w:rPr>
        <w:t> </w:t>
      </w:r>
      <w:r>
        <w:rPr/>
        <w:t>VA</w:t>
      </w:r>
      <w:r>
        <w:rPr>
          <w:spacing w:val="-5"/>
        </w:rPr>
        <w:t> </w:t>
      </w:r>
      <w:r>
        <w:rPr/>
        <w:t>to</w:t>
      </w:r>
      <w:r>
        <w:rPr>
          <w:spacing w:val="-4"/>
        </w:rPr>
        <w:t> </w:t>
      </w:r>
      <w:r>
        <w:rPr/>
        <w:t>develop</w:t>
      </w:r>
      <w:r>
        <w:rPr>
          <w:spacing w:val="-4"/>
        </w:rPr>
        <w:t> </w:t>
      </w:r>
      <w:r>
        <w:rPr/>
        <w:t>a</w:t>
      </w:r>
      <w:r>
        <w:rPr>
          <w:spacing w:val="-2"/>
        </w:rPr>
        <w:t> </w:t>
      </w:r>
      <w:r>
        <w:rPr/>
        <w:t>masterplan</w:t>
      </w:r>
      <w:r>
        <w:rPr>
          <w:spacing w:val="-4"/>
        </w:rPr>
        <w:t> </w:t>
      </w:r>
      <w:r>
        <w:rPr/>
        <w:t>for</w:t>
      </w:r>
      <w:r>
        <w:rPr>
          <w:spacing w:val="-3"/>
        </w:rPr>
        <w:t> </w:t>
      </w:r>
      <w:r>
        <w:rPr/>
        <w:t>the Jefferson Park community, an area occupied by residents who were first displaced after World War II so that the nation could mobilize for the war effort on areas that were previously their </w:t>
      </w:r>
      <w:r>
        <w:rPr>
          <w:spacing w:val="-2"/>
        </w:rPr>
        <w:t>homes.</w:t>
      </w:r>
    </w:p>
    <w:p>
      <w:pPr>
        <w:pStyle w:val="BodyText"/>
        <w:rPr>
          <w:sz w:val="21"/>
        </w:rPr>
      </w:pPr>
    </w:p>
    <w:p>
      <w:pPr>
        <w:pStyle w:val="BodyText"/>
        <w:ind w:left="1219" w:right="580"/>
      </w:pPr>
      <w:r>
        <w:rPr/>
        <w:t>Our students have worked with the Norfolk Redevelopment and Housing Authority to design a community</w:t>
      </w:r>
      <w:r>
        <w:rPr>
          <w:spacing w:val="-7"/>
        </w:rPr>
        <w:t> </w:t>
      </w:r>
      <w:r>
        <w:rPr/>
        <w:t>center</w:t>
      </w:r>
      <w:r>
        <w:rPr>
          <w:spacing w:val="-3"/>
        </w:rPr>
        <w:t> </w:t>
      </w:r>
      <w:r>
        <w:rPr/>
        <w:t>for</w:t>
      </w:r>
      <w:r>
        <w:rPr>
          <w:spacing w:val="-3"/>
        </w:rPr>
        <w:t> </w:t>
      </w:r>
      <w:r>
        <w:rPr/>
        <w:t>the</w:t>
      </w:r>
      <w:r>
        <w:rPr>
          <w:spacing w:val="-2"/>
        </w:rPr>
        <w:t> </w:t>
      </w:r>
      <w:r>
        <w:rPr/>
        <w:t>Park Place</w:t>
      </w:r>
      <w:r>
        <w:rPr>
          <w:spacing w:val="-4"/>
        </w:rPr>
        <w:t> </w:t>
      </w:r>
      <w:r>
        <w:rPr/>
        <w:t>community.</w:t>
      </w:r>
      <w:r>
        <w:rPr>
          <w:spacing w:val="-4"/>
        </w:rPr>
        <w:t> </w:t>
      </w:r>
      <w:r>
        <w:rPr/>
        <w:t>They</w:t>
      </w:r>
      <w:r>
        <w:rPr>
          <w:spacing w:val="-5"/>
        </w:rPr>
        <w:t> </w:t>
      </w:r>
      <w:r>
        <w:rPr/>
        <w:t>have</w:t>
      </w:r>
      <w:r>
        <w:rPr>
          <w:spacing w:val="-2"/>
        </w:rPr>
        <w:t> </w:t>
      </w:r>
      <w:r>
        <w:rPr/>
        <w:t>worked</w:t>
      </w:r>
      <w:r>
        <w:rPr>
          <w:spacing w:val="-4"/>
        </w:rPr>
        <w:t> </w:t>
      </w:r>
      <w:r>
        <w:rPr/>
        <w:t>with</w:t>
      </w:r>
      <w:r>
        <w:rPr>
          <w:spacing w:val="-4"/>
        </w:rPr>
        <w:t> </w:t>
      </w:r>
      <w:r>
        <w:rPr/>
        <w:t>the</w:t>
      </w:r>
      <w:r>
        <w:rPr>
          <w:spacing w:val="-2"/>
        </w:rPr>
        <w:t> </w:t>
      </w:r>
      <w:r>
        <w:rPr/>
        <w:t>engineers</w:t>
      </w:r>
      <w:r>
        <w:rPr>
          <w:spacing w:val="-3"/>
        </w:rPr>
        <w:t> </w:t>
      </w:r>
      <w:r>
        <w:rPr/>
        <w:t>of</w:t>
      </w:r>
      <w:r>
        <w:rPr>
          <w:spacing w:val="-2"/>
        </w:rPr>
        <w:t> </w:t>
      </w:r>
      <w:r>
        <w:rPr/>
        <w:t>NASA to develop a masterplan for the expansion of their campus and design a major research </w:t>
      </w:r>
      <w:r>
        <w:rPr>
          <w:spacing w:val="-2"/>
        </w:rPr>
        <w:t>laboratory.</w:t>
      </w:r>
    </w:p>
    <w:p>
      <w:pPr>
        <w:pStyle w:val="BodyText"/>
        <w:spacing w:before="9"/>
      </w:pPr>
    </w:p>
    <w:p>
      <w:pPr>
        <w:pStyle w:val="BodyText"/>
        <w:ind w:left="1219"/>
      </w:pPr>
      <w:r>
        <w:rPr/>
        <w:t>Students met</w:t>
      </w:r>
      <w:r>
        <w:rPr>
          <w:spacing w:val="-1"/>
        </w:rPr>
        <w:t> </w:t>
      </w:r>
      <w:r>
        <w:rPr/>
        <w:t>with,</w:t>
      </w:r>
      <w:r>
        <w:rPr>
          <w:spacing w:val="-1"/>
        </w:rPr>
        <w:t> </w:t>
      </w:r>
      <w:r>
        <w:rPr/>
        <w:t>and</w:t>
      </w:r>
      <w:r>
        <w:rPr>
          <w:spacing w:val="-1"/>
        </w:rPr>
        <w:t> </w:t>
      </w:r>
      <w:r>
        <w:rPr/>
        <w:t>had work reviewed</w:t>
      </w:r>
      <w:r>
        <w:rPr>
          <w:spacing w:val="-1"/>
        </w:rPr>
        <w:t> </w:t>
      </w:r>
      <w:r>
        <w:rPr/>
        <w:t>by</w:t>
      </w:r>
      <w:r>
        <w:rPr>
          <w:spacing w:val="-4"/>
        </w:rPr>
        <w:t> </w:t>
      </w:r>
      <w:r>
        <w:rPr/>
        <w:t>the</w:t>
      </w:r>
      <w:r>
        <w:rPr>
          <w:spacing w:val="-1"/>
        </w:rPr>
        <w:t> </w:t>
      </w:r>
      <w:r>
        <w:rPr/>
        <w:t>Director of the</w:t>
      </w:r>
      <w:r>
        <w:rPr>
          <w:spacing w:val="-1"/>
        </w:rPr>
        <w:t> </w:t>
      </w:r>
      <w:r>
        <w:rPr/>
        <w:t>Chrysler Museum of Art,</w:t>
      </w:r>
      <w:r>
        <w:rPr>
          <w:spacing w:val="-6"/>
        </w:rPr>
        <w:t> </w:t>
      </w:r>
      <w:r>
        <w:rPr/>
        <w:t>William Hennessey,</w:t>
      </w:r>
      <w:r>
        <w:rPr>
          <w:spacing w:val="-5"/>
        </w:rPr>
        <w:t> </w:t>
      </w:r>
      <w:r>
        <w:rPr/>
        <w:t>the</w:t>
      </w:r>
      <w:r>
        <w:rPr>
          <w:spacing w:val="-5"/>
        </w:rPr>
        <w:t> </w:t>
      </w:r>
      <w:r>
        <w:rPr/>
        <w:t>Director</w:t>
      </w:r>
      <w:r>
        <w:rPr>
          <w:spacing w:val="-4"/>
        </w:rPr>
        <w:t> </w:t>
      </w:r>
      <w:r>
        <w:rPr/>
        <w:t>of the</w:t>
      </w:r>
      <w:r>
        <w:rPr>
          <w:spacing w:val="-5"/>
        </w:rPr>
        <w:t> </w:t>
      </w:r>
      <w:r>
        <w:rPr/>
        <w:t>Chrysler’s</w:t>
      </w:r>
      <w:r>
        <w:rPr>
          <w:spacing w:val="-4"/>
        </w:rPr>
        <w:t> </w:t>
      </w:r>
      <w:r>
        <w:rPr/>
        <w:t>Glass</w:t>
      </w:r>
      <w:r>
        <w:rPr>
          <w:spacing w:val="-4"/>
        </w:rPr>
        <w:t> </w:t>
      </w:r>
      <w:r>
        <w:rPr/>
        <w:t>Studio,</w:t>
      </w:r>
      <w:r>
        <w:rPr>
          <w:spacing w:val="-5"/>
        </w:rPr>
        <w:t> </w:t>
      </w:r>
      <w:r>
        <w:rPr/>
        <w:t>Director</w:t>
      </w:r>
      <w:r>
        <w:rPr>
          <w:spacing w:val="-2"/>
        </w:rPr>
        <w:t> </w:t>
      </w:r>
      <w:r>
        <w:rPr/>
        <w:t>of</w:t>
      </w:r>
      <w:r>
        <w:rPr>
          <w:spacing w:val="-3"/>
        </w:rPr>
        <w:t> </w:t>
      </w:r>
      <w:r>
        <w:rPr/>
        <w:t>Retail</w:t>
      </w:r>
      <w:r>
        <w:rPr>
          <w:spacing w:val="-4"/>
        </w:rPr>
        <w:t> </w:t>
      </w:r>
      <w:r>
        <w:rPr/>
        <w:t>Alliance,</w:t>
      </w:r>
      <w:r>
        <w:rPr>
          <w:spacing w:val="-3"/>
        </w:rPr>
        <w:t> </w:t>
      </w:r>
      <w:r>
        <w:rPr/>
        <w:t>local</w:t>
      </w:r>
      <w:r>
        <w:rPr>
          <w:spacing w:val="-6"/>
        </w:rPr>
        <w:t> </w:t>
      </w:r>
      <w:r>
        <w:rPr/>
        <w:t>architects Robyn Thomas and Mel Price, and staff architects of the Norfolk Redevelopment and Housing Authority. They have worked with local communities with the Menchville House.</w:t>
      </w:r>
    </w:p>
    <w:p>
      <w:pPr>
        <w:pStyle w:val="BodyText"/>
        <w:spacing w:before="10"/>
      </w:pPr>
    </w:p>
    <w:p>
      <w:pPr>
        <w:pStyle w:val="BodyText"/>
        <w:ind w:left="1219" w:right="499"/>
      </w:pPr>
      <w:r>
        <w:rPr/>
        <w:t>Additionally,</w:t>
      </w:r>
      <w:r>
        <w:rPr>
          <w:spacing w:val="-3"/>
        </w:rPr>
        <w:t> </w:t>
      </w:r>
      <w:r>
        <w:rPr/>
        <w:t>there</w:t>
      </w:r>
      <w:r>
        <w:rPr>
          <w:spacing w:val="-3"/>
        </w:rPr>
        <w:t> </w:t>
      </w:r>
      <w:r>
        <w:rPr/>
        <w:t>are</w:t>
      </w:r>
      <w:r>
        <w:rPr>
          <w:spacing w:val="-4"/>
        </w:rPr>
        <w:t> </w:t>
      </w:r>
      <w:r>
        <w:rPr/>
        <w:t>several</w:t>
      </w:r>
      <w:r>
        <w:rPr>
          <w:spacing w:val="-5"/>
        </w:rPr>
        <w:t> </w:t>
      </w:r>
      <w:r>
        <w:rPr/>
        <w:t>noteworthy</w:t>
      </w:r>
      <w:r>
        <w:rPr>
          <w:spacing w:val="-5"/>
        </w:rPr>
        <w:t> </w:t>
      </w:r>
      <w:r>
        <w:rPr/>
        <w:t>activities</w:t>
      </w:r>
      <w:r>
        <w:rPr>
          <w:spacing w:val="-4"/>
        </w:rPr>
        <w:t> </w:t>
      </w:r>
      <w:r>
        <w:rPr/>
        <w:t>that</w:t>
      </w:r>
      <w:r>
        <w:rPr>
          <w:spacing w:val="-4"/>
        </w:rPr>
        <w:t> </w:t>
      </w:r>
      <w:r>
        <w:rPr/>
        <w:t>our</w:t>
      </w:r>
      <w:r>
        <w:rPr>
          <w:spacing w:val="-4"/>
        </w:rPr>
        <w:t> </w:t>
      </w:r>
      <w:r>
        <w:rPr/>
        <w:t>students</w:t>
      </w:r>
      <w:r>
        <w:rPr>
          <w:spacing w:val="-4"/>
        </w:rPr>
        <w:t> </w:t>
      </w:r>
      <w:r>
        <w:rPr/>
        <w:t>have</w:t>
      </w:r>
      <w:r>
        <w:rPr>
          <w:spacing w:val="-4"/>
        </w:rPr>
        <w:t> </w:t>
      </w:r>
      <w:r>
        <w:rPr/>
        <w:t>been</w:t>
      </w:r>
      <w:r>
        <w:rPr>
          <w:spacing w:val="-3"/>
        </w:rPr>
        <w:t> </w:t>
      </w:r>
      <w:r>
        <w:rPr/>
        <w:t>engaged</w:t>
      </w:r>
      <w:r>
        <w:rPr>
          <w:spacing w:val="-3"/>
        </w:rPr>
        <w:t> </w:t>
      </w:r>
      <w:r>
        <w:rPr/>
        <w:t>in</w:t>
      </w:r>
      <w:r>
        <w:rPr>
          <w:spacing w:val="-3"/>
        </w:rPr>
        <w:t> </w:t>
      </w:r>
      <w:r>
        <w:rPr/>
        <w:t>over the past six years to expand their awareness of global events affecting the profession and the social, economic and political realities of our time.</w:t>
      </w:r>
    </w:p>
    <w:p>
      <w:pPr>
        <w:pStyle w:val="ListParagraph"/>
        <w:numPr>
          <w:ilvl w:val="4"/>
          <w:numId w:val="10"/>
        </w:numPr>
        <w:tabs>
          <w:tab w:pos="1580" w:val="left" w:leader="none"/>
        </w:tabs>
        <w:spacing w:line="240" w:lineRule="auto" w:before="121" w:after="0"/>
        <w:ind w:left="1579" w:right="767" w:hanging="346"/>
        <w:jc w:val="left"/>
        <w:rPr>
          <w:sz w:val="20"/>
        </w:rPr>
      </w:pPr>
      <w:r>
        <w:rPr>
          <w:sz w:val="20"/>
        </w:rPr>
        <w:t>During the presidential election cycle in 2012, the chair held round-table discussions with students</w:t>
      </w:r>
      <w:r>
        <w:rPr>
          <w:spacing w:val="-1"/>
          <w:sz w:val="20"/>
        </w:rPr>
        <w:t> </w:t>
      </w:r>
      <w:r>
        <w:rPr>
          <w:sz w:val="20"/>
        </w:rPr>
        <w:t>and</w:t>
      </w:r>
      <w:r>
        <w:rPr>
          <w:spacing w:val="-5"/>
          <w:sz w:val="20"/>
        </w:rPr>
        <w:t> </w:t>
      </w:r>
      <w:r>
        <w:rPr>
          <w:sz w:val="20"/>
        </w:rPr>
        <w:t>faculty</w:t>
      </w:r>
      <w:r>
        <w:rPr>
          <w:spacing w:val="-6"/>
          <w:sz w:val="20"/>
        </w:rPr>
        <w:t> </w:t>
      </w:r>
      <w:r>
        <w:rPr>
          <w:sz w:val="20"/>
        </w:rPr>
        <w:t>during</w:t>
      </w:r>
      <w:r>
        <w:rPr>
          <w:spacing w:val="-3"/>
          <w:sz w:val="20"/>
        </w:rPr>
        <w:t> </w:t>
      </w:r>
      <w:r>
        <w:rPr>
          <w:sz w:val="20"/>
        </w:rPr>
        <w:t>the</w:t>
      </w:r>
      <w:r>
        <w:rPr>
          <w:spacing w:val="-5"/>
          <w:sz w:val="20"/>
        </w:rPr>
        <w:t> </w:t>
      </w:r>
      <w:r>
        <w:rPr>
          <w:sz w:val="20"/>
        </w:rPr>
        <w:t>presidential</w:t>
      </w:r>
      <w:r>
        <w:rPr>
          <w:spacing w:val="-4"/>
          <w:sz w:val="20"/>
        </w:rPr>
        <w:t> </w:t>
      </w:r>
      <w:r>
        <w:rPr>
          <w:sz w:val="20"/>
        </w:rPr>
        <w:t>debates.</w:t>
      </w:r>
      <w:r>
        <w:rPr>
          <w:spacing w:val="-3"/>
          <w:sz w:val="20"/>
        </w:rPr>
        <w:t> </w:t>
      </w:r>
      <w:r>
        <w:rPr>
          <w:sz w:val="20"/>
        </w:rPr>
        <w:t>After</w:t>
      </w:r>
      <w:r>
        <w:rPr>
          <w:spacing w:val="-4"/>
          <w:sz w:val="20"/>
        </w:rPr>
        <w:t> </w:t>
      </w:r>
      <w:r>
        <w:rPr>
          <w:sz w:val="20"/>
        </w:rPr>
        <w:t>the</w:t>
      </w:r>
      <w:r>
        <w:rPr>
          <w:spacing w:val="-3"/>
          <w:sz w:val="20"/>
        </w:rPr>
        <w:t> </w:t>
      </w:r>
      <w:r>
        <w:rPr>
          <w:sz w:val="20"/>
        </w:rPr>
        <w:t>debates,</w:t>
      </w:r>
      <w:r>
        <w:rPr>
          <w:spacing w:val="-5"/>
          <w:sz w:val="20"/>
        </w:rPr>
        <w:t> </w:t>
      </w:r>
      <w:r>
        <w:rPr>
          <w:sz w:val="20"/>
        </w:rPr>
        <w:t>candid</w:t>
      </w:r>
      <w:r>
        <w:rPr>
          <w:spacing w:val="-5"/>
          <w:sz w:val="20"/>
        </w:rPr>
        <w:t> </w:t>
      </w:r>
      <w:r>
        <w:rPr>
          <w:sz w:val="20"/>
        </w:rPr>
        <w:t>discussions were held regarding the messages presented by the candidates.</w:t>
      </w:r>
    </w:p>
    <w:p>
      <w:pPr>
        <w:pStyle w:val="ListParagraph"/>
        <w:numPr>
          <w:ilvl w:val="4"/>
          <w:numId w:val="10"/>
        </w:numPr>
        <w:tabs>
          <w:tab w:pos="1580" w:val="left" w:leader="none"/>
        </w:tabs>
        <w:spacing w:line="240" w:lineRule="auto" w:before="119" w:after="0"/>
        <w:ind w:left="1579" w:right="648" w:hanging="346"/>
        <w:jc w:val="left"/>
        <w:rPr>
          <w:sz w:val="20"/>
        </w:rPr>
      </w:pPr>
      <w:r>
        <w:rPr>
          <w:sz w:val="20"/>
        </w:rPr>
        <w:t>The</w:t>
      </w:r>
      <w:r>
        <w:rPr>
          <w:spacing w:val="-4"/>
          <w:sz w:val="20"/>
        </w:rPr>
        <w:t> </w:t>
      </w:r>
      <w:r>
        <w:rPr>
          <w:sz w:val="20"/>
        </w:rPr>
        <w:t>chair</w:t>
      </w:r>
      <w:r>
        <w:rPr>
          <w:spacing w:val="-3"/>
          <w:sz w:val="20"/>
        </w:rPr>
        <w:t> </w:t>
      </w:r>
      <w:r>
        <w:rPr>
          <w:sz w:val="20"/>
        </w:rPr>
        <w:t>holds</w:t>
      </w:r>
      <w:r>
        <w:rPr>
          <w:spacing w:val="-3"/>
          <w:sz w:val="20"/>
        </w:rPr>
        <w:t> </w:t>
      </w:r>
      <w:r>
        <w:rPr>
          <w:sz w:val="20"/>
        </w:rPr>
        <w:t>periodic</w:t>
      </w:r>
      <w:r>
        <w:rPr>
          <w:spacing w:val="-3"/>
          <w:sz w:val="20"/>
        </w:rPr>
        <w:t> </w:t>
      </w:r>
      <w:r>
        <w:rPr>
          <w:sz w:val="20"/>
        </w:rPr>
        <w:t>round</w:t>
      </w:r>
      <w:r>
        <w:rPr>
          <w:spacing w:val="-4"/>
          <w:sz w:val="20"/>
        </w:rPr>
        <w:t> </w:t>
      </w:r>
      <w:r>
        <w:rPr>
          <w:sz w:val="20"/>
        </w:rPr>
        <w:t>table</w:t>
      </w:r>
      <w:r>
        <w:rPr>
          <w:spacing w:val="-4"/>
          <w:sz w:val="20"/>
        </w:rPr>
        <w:t> </w:t>
      </w:r>
      <w:r>
        <w:rPr>
          <w:sz w:val="20"/>
        </w:rPr>
        <w:t>discussions with</w:t>
      </w:r>
      <w:r>
        <w:rPr>
          <w:spacing w:val="-2"/>
          <w:sz w:val="20"/>
        </w:rPr>
        <w:t> </w:t>
      </w:r>
      <w:r>
        <w:rPr>
          <w:sz w:val="20"/>
        </w:rPr>
        <w:t>students</w:t>
      </w:r>
      <w:r>
        <w:rPr>
          <w:spacing w:val="-3"/>
          <w:sz w:val="20"/>
        </w:rPr>
        <w:t> </w:t>
      </w:r>
      <w:r>
        <w:rPr>
          <w:sz w:val="20"/>
        </w:rPr>
        <w:t>to</w:t>
      </w:r>
      <w:r>
        <w:rPr>
          <w:spacing w:val="-4"/>
          <w:sz w:val="20"/>
        </w:rPr>
        <w:t> </w:t>
      </w:r>
      <w:r>
        <w:rPr>
          <w:sz w:val="20"/>
        </w:rPr>
        <w:t>discuss</w:t>
      </w:r>
      <w:r>
        <w:rPr>
          <w:spacing w:val="-3"/>
          <w:sz w:val="20"/>
        </w:rPr>
        <w:t> </w:t>
      </w:r>
      <w:r>
        <w:rPr>
          <w:sz w:val="20"/>
        </w:rPr>
        <w:t>topics</w:t>
      </w:r>
      <w:r>
        <w:rPr>
          <w:spacing w:val="-3"/>
          <w:sz w:val="20"/>
        </w:rPr>
        <w:t> </w:t>
      </w:r>
      <w:r>
        <w:rPr>
          <w:sz w:val="20"/>
        </w:rPr>
        <w:t>that</w:t>
      </w:r>
      <w:r>
        <w:rPr>
          <w:spacing w:val="-4"/>
          <w:sz w:val="20"/>
        </w:rPr>
        <w:t> </w:t>
      </w:r>
      <w:r>
        <w:rPr>
          <w:sz w:val="20"/>
        </w:rPr>
        <w:t>may</w:t>
      </w:r>
      <w:r>
        <w:rPr>
          <w:spacing w:val="-7"/>
          <w:sz w:val="20"/>
        </w:rPr>
        <w:t> </w:t>
      </w:r>
      <w:r>
        <w:rPr>
          <w:sz w:val="20"/>
        </w:rPr>
        <w:t>be completely unrelated to architecture, including love and marriage.</w:t>
      </w:r>
    </w:p>
    <w:p>
      <w:pPr>
        <w:pStyle w:val="BodyText"/>
        <w:spacing w:before="11"/>
      </w:pPr>
    </w:p>
    <w:p>
      <w:pPr>
        <w:pStyle w:val="BodyText"/>
        <w:ind w:left="1219" w:right="499"/>
      </w:pPr>
      <w:r>
        <w:rPr/>
        <w:t>We</w:t>
      </w:r>
      <w:r>
        <w:rPr>
          <w:spacing w:val="-7"/>
        </w:rPr>
        <w:t> </w:t>
      </w:r>
      <w:r>
        <w:rPr/>
        <w:t>receive</w:t>
      </w:r>
      <w:r>
        <w:rPr>
          <w:spacing w:val="-4"/>
        </w:rPr>
        <w:t> </w:t>
      </w:r>
      <w:r>
        <w:rPr/>
        <w:t>significant</w:t>
      </w:r>
      <w:r>
        <w:rPr>
          <w:spacing w:val="-4"/>
        </w:rPr>
        <w:t> </w:t>
      </w:r>
      <w:r>
        <w:rPr/>
        <w:t>support</w:t>
      </w:r>
      <w:r>
        <w:rPr>
          <w:spacing w:val="-4"/>
        </w:rPr>
        <w:t> </w:t>
      </w:r>
      <w:r>
        <w:rPr/>
        <w:t>from surrounding</w:t>
      </w:r>
      <w:r>
        <w:rPr>
          <w:spacing w:val="-3"/>
        </w:rPr>
        <w:t> </w:t>
      </w:r>
      <w:r>
        <w:rPr/>
        <w:t>community</w:t>
      </w:r>
      <w:r>
        <w:rPr>
          <w:spacing w:val="-5"/>
        </w:rPr>
        <w:t> </w:t>
      </w:r>
      <w:r>
        <w:rPr/>
        <w:t>of</w:t>
      </w:r>
      <w:r>
        <w:rPr>
          <w:spacing w:val="-3"/>
        </w:rPr>
        <w:t> </w:t>
      </w:r>
      <w:r>
        <w:rPr/>
        <w:t>architects</w:t>
      </w:r>
      <w:r>
        <w:rPr>
          <w:spacing w:val="-3"/>
        </w:rPr>
        <w:t> </w:t>
      </w:r>
      <w:r>
        <w:rPr/>
        <w:t>and</w:t>
      </w:r>
      <w:r>
        <w:rPr>
          <w:spacing w:val="-4"/>
        </w:rPr>
        <w:t> </w:t>
      </w:r>
      <w:r>
        <w:rPr/>
        <w:t>firms,</w:t>
      </w:r>
      <w:r>
        <w:rPr>
          <w:spacing w:val="-4"/>
        </w:rPr>
        <w:t> </w:t>
      </w:r>
      <w:r>
        <w:rPr/>
        <w:t>as</w:t>
      </w:r>
      <w:r>
        <w:rPr>
          <w:spacing w:val="-1"/>
        </w:rPr>
        <w:t> </w:t>
      </w:r>
      <w:r>
        <w:rPr/>
        <w:t>well</w:t>
      </w:r>
      <w:r>
        <w:rPr>
          <w:spacing w:val="-3"/>
        </w:rPr>
        <w:t> </w:t>
      </w:r>
      <w:r>
        <w:rPr/>
        <w:t>as</w:t>
      </w:r>
      <w:r>
        <w:rPr>
          <w:spacing w:val="-3"/>
        </w:rPr>
        <w:t> </w:t>
      </w:r>
      <w:r>
        <w:rPr/>
        <w:t>the professional organizations of our industry. Some examples of continuing, ongoing efforts that benefit our students include:.</w:t>
      </w:r>
    </w:p>
    <w:p>
      <w:pPr>
        <w:pStyle w:val="BodyText"/>
        <w:spacing w:before="7"/>
      </w:pPr>
    </w:p>
    <w:p>
      <w:pPr>
        <w:spacing w:line="242" w:lineRule="auto" w:before="0"/>
        <w:ind w:left="1219" w:right="499" w:firstLine="0"/>
        <w:jc w:val="left"/>
        <w:rPr>
          <w:sz w:val="20"/>
        </w:rPr>
      </w:pPr>
      <w:r>
        <w:rPr>
          <w:b/>
          <w:sz w:val="20"/>
        </w:rPr>
        <w:t>American Institute of Architect Students, the National Organization of Minority Architect Students</w:t>
      </w:r>
      <w:r>
        <w:rPr>
          <w:sz w:val="20"/>
        </w:rPr>
        <w:t>:</w:t>
      </w:r>
      <w:r>
        <w:rPr>
          <w:spacing w:val="-6"/>
          <w:sz w:val="20"/>
        </w:rPr>
        <w:t> </w:t>
      </w:r>
      <w:r>
        <w:rPr>
          <w:sz w:val="20"/>
        </w:rPr>
        <w:t>We</w:t>
      </w:r>
      <w:r>
        <w:rPr>
          <w:spacing w:val="-1"/>
          <w:sz w:val="20"/>
        </w:rPr>
        <w:t> </w:t>
      </w:r>
      <w:r>
        <w:rPr>
          <w:sz w:val="20"/>
        </w:rPr>
        <w:t>have</w:t>
      </w:r>
      <w:r>
        <w:rPr>
          <w:spacing w:val="-1"/>
          <w:sz w:val="20"/>
        </w:rPr>
        <w:t> </w:t>
      </w:r>
      <w:r>
        <w:rPr>
          <w:sz w:val="20"/>
        </w:rPr>
        <w:t>combined</w:t>
      </w:r>
      <w:r>
        <w:rPr>
          <w:spacing w:val="-1"/>
          <w:sz w:val="20"/>
        </w:rPr>
        <w:t> </w:t>
      </w:r>
      <w:r>
        <w:rPr>
          <w:sz w:val="20"/>
        </w:rPr>
        <w:t>the</w:t>
      </w:r>
      <w:r>
        <w:rPr>
          <w:spacing w:val="-1"/>
          <w:sz w:val="20"/>
        </w:rPr>
        <w:t> </w:t>
      </w:r>
      <w:r>
        <w:rPr>
          <w:sz w:val="20"/>
        </w:rPr>
        <w:t>memberships of these</w:t>
      </w:r>
      <w:r>
        <w:rPr>
          <w:spacing w:val="-1"/>
          <w:sz w:val="20"/>
        </w:rPr>
        <w:t> </w:t>
      </w:r>
      <w:r>
        <w:rPr>
          <w:sz w:val="20"/>
        </w:rPr>
        <w:t>two organizations into a</w:t>
      </w:r>
      <w:r>
        <w:rPr>
          <w:spacing w:val="-1"/>
          <w:sz w:val="20"/>
        </w:rPr>
        <w:t> </w:t>
      </w:r>
      <w:r>
        <w:rPr>
          <w:sz w:val="20"/>
        </w:rPr>
        <w:t>single entity</w:t>
      </w:r>
      <w:r>
        <w:rPr>
          <w:spacing w:val="-4"/>
          <w:sz w:val="20"/>
        </w:rPr>
        <w:t> </w:t>
      </w:r>
      <w:r>
        <w:rPr>
          <w:sz w:val="20"/>
        </w:rPr>
        <w:t>to provide the students with a forum to do community service work and learn professional responsibility.</w:t>
      </w:r>
      <w:r>
        <w:rPr>
          <w:spacing w:val="-4"/>
          <w:sz w:val="20"/>
        </w:rPr>
        <w:t> </w:t>
      </w:r>
      <w:r>
        <w:rPr>
          <w:sz w:val="20"/>
        </w:rPr>
        <w:t>They</w:t>
      </w:r>
      <w:r>
        <w:rPr>
          <w:spacing w:val="-7"/>
          <w:sz w:val="20"/>
        </w:rPr>
        <w:t> </w:t>
      </w:r>
      <w:r>
        <w:rPr>
          <w:sz w:val="20"/>
        </w:rPr>
        <w:t>strive</w:t>
      </w:r>
      <w:r>
        <w:rPr>
          <w:spacing w:val="-4"/>
          <w:sz w:val="20"/>
        </w:rPr>
        <w:t> </w:t>
      </w:r>
      <w:r>
        <w:rPr>
          <w:sz w:val="20"/>
        </w:rPr>
        <w:t>to</w:t>
      </w:r>
      <w:r>
        <w:rPr>
          <w:spacing w:val="-4"/>
          <w:sz w:val="20"/>
        </w:rPr>
        <w:t> </w:t>
      </w:r>
      <w:r>
        <w:rPr>
          <w:sz w:val="20"/>
        </w:rPr>
        <w:t>promote</w:t>
      </w:r>
      <w:r>
        <w:rPr>
          <w:spacing w:val="-4"/>
          <w:sz w:val="20"/>
        </w:rPr>
        <w:t> </w:t>
      </w:r>
      <w:r>
        <w:rPr>
          <w:sz w:val="20"/>
        </w:rPr>
        <w:t>excellence</w:t>
      </w:r>
      <w:r>
        <w:rPr>
          <w:spacing w:val="-3"/>
          <w:sz w:val="20"/>
        </w:rPr>
        <w:t> </w:t>
      </w:r>
      <w:r>
        <w:rPr>
          <w:sz w:val="20"/>
        </w:rPr>
        <w:t>in</w:t>
      </w:r>
      <w:r>
        <w:rPr>
          <w:spacing w:val="-3"/>
          <w:sz w:val="20"/>
        </w:rPr>
        <w:t> </w:t>
      </w:r>
      <w:r>
        <w:rPr>
          <w:sz w:val="20"/>
        </w:rPr>
        <w:t>architectural</w:t>
      </w:r>
      <w:r>
        <w:rPr>
          <w:spacing w:val="-3"/>
          <w:sz w:val="20"/>
        </w:rPr>
        <w:t> </w:t>
      </w:r>
      <w:r>
        <w:rPr>
          <w:sz w:val="20"/>
        </w:rPr>
        <w:t>education,</w:t>
      </w:r>
      <w:r>
        <w:rPr>
          <w:spacing w:val="-4"/>
          <w:sz w:val="20"/>
        </w:rPr>
        <w:t> </w:t>
      </w:r>
      <w:r>
        <w:rPr>
          <w:sz w:val="20"/>
        </w:rPr>
        <w:t>training,</w:t>
      </w:r>
      <w:r>
        <w:rPr>
          <w:spacing w:val="-4"/>
          <w:sz w:val="20"/>
        </w:rPr>
        <w:t> </w:t>
      </w:r>
      <w:r>
        <w:rPr>
          <w:sz w:val="20"/>
        </w:rPr>
        <w:t>and</w:t>
      </w:r>
      <w:r>
        <w:rPr>
          <w:spacing w:val="-4"/>
          <w:sz w:val="20"/>
        </w:rPr>
        <w:t> </w:t>
      </w:r>
      <w:r>
        <w:rPr>
          <w:sz w:val="20"/>
        </w:rPr>
        <w:t>practice.</w:t>
      </w:r>
    </w:p>
    <w:p>
      <w:pPr>
        <w:spacing w:after="0" w:line="242" w:lineRule="auto"/>
        <w:jc w:val="left"/>
        <w:rPr>
          <w:sz w:val="20"/>
        </w:rPr>
        <w:sectPr>
          <w:pgSz w:w="12240" w:h="15840"/>
          <w:pgMar w:header="0" w:footer="974" w:top="1360" w:bottom="1160" w:left="940" w:right="960"/>
        </w:sectPr>
      </w:pPr>
    </w:p>
    <w:p>
      <w:pPr>
        <w:pStyle w:val="BodyText"/>
        <w:spacing w:before="77"/>
        <w:ind w:left="1219" w:right="486"/>
      </w:pPr>
      <w:r>
        <w:rPr/>
        <w:t>While</w:t>
      </w:r>
      <w:r>
        <w:rPr>
          <w:spacing w:val="-5"/>
        </w:rPr>
        <w:t> </w:t>
      </w:r>
      <w:r>
        <w:rPr/>
        <w:t>fostering</w:t>
      </w:r>
      <w:r>
        <w:rPr>
          <w:spacing w:val="-5"/>
        </w:rPr>
        <w:t> </w:t>
      </w:r>
      <w:r>
        <w:rPr/>
        <w:t>an</w:t>
      </w:r>
      <w:r>
        <w:rPr>
          <w:spacing w:val="-3"/>
        </w:rPr>
        <w:t> </w:t>
      </w:r>
      <w:r>
        <w:rPr/>
        <w:t>appreciation</w:t>
      </w:r>
      <w:r>
        <w:rPr>
          <w:spacing w:val="-3"/>
        </w:rPr>
        <w:t> </w:t>
      </w:r>
      <w:r>
        <w:rPr/>
        <w:t>of</w:t>
      </w:r>
      <w:r>
        <w:rPr>
          <w:spacing w:val="-3"/>
        </w:rPr>
        <w:t> </w:t>
      </w:r>
      <w:r>
        <w:rPr/>
        <w:t>architecture,</w:t>
      </w:r>
      <w:r>
        <w:rPr>
          <w:spacing w:val="-5"/>
        </w:rPr>
        <w:t> </w:t>
      </w:r>
      <w:r>
        <w:rPr/>
        <w:t>related</w:t>
      </w:r>
      <w:r>
        <w:rPr>
          <w:spacing w:val="-3"/>
        </w:rPr>
        <w:t> </w:t>
      </w:r>
      <w:r>
        <w:rPr/>
        <w:t>disciplines,</w:t>
      </w:r>
      <w:r>
        <w:rPr>
          <w:spacing w:val="-5"/>
        </w:rPr>
        <w:t> </w:t>
      </w:r>
      <w:r>
        <w:rPr/>
        <w:t>and</w:t>
      </w:r>
      <w:r>
        <w:rPr>
          <w:spacing w:val="-5"/>
        </w:rPr>
        <w:t> </w:t>
      </w:r>
      <w:r>
        <w:rPr/>
        <w:t>enriching</w:t>
      </w:r>
      <w:r>
        <w:rPr>
          <w:spacing w:val="-5"/>
        </w:rPr>
        <w:t> </w:t>
      </w:r>
      <w:r>
        <w:rPr/>
        <w:t>communities</w:t>
      </w:r>
      <w:r>
        <w:rPr>
          <w:spacing w:val="-4"/>
        </w:rPr>
        <w:t> </w:t>
      </w:r>
      <w:r>
        <w:rPr/>
        <w:t>in</w:t>
      </w:r>
      <w:r>
        <w:rPr>
          <w:spacing w:val="-3"/>
        </w:rPr>
        <w:t> </w:t>
      </w:r>
      <w:r>
        <w:rPr/>
        <w:t>a spirit of collaboration. They achieve these goals is through </w:t>
      </w:r>
      <w:r>
        <w:rPr>
          <w:i/>
        </w:rPr>
        <w:t>Community Involvement </w:t>
      </w:r>
      <w:r>
        <w:rPr/>
        <w:t>and </w:t>
      </w:r>
      <w:r>
        <w:rPr>
          <w:i/>
        </w:rPr>
        <w:t>Departmental Activities</w:t>
      </w:r>
      <w:r>
        <w:rPr/>
        <w:t>, which are include some of the following::</w:t>
      </w:r>
    </w:p>
    <w:p>
      <w:pPr>
        <w:pStyle w:val="BodyText"/>
        <w:spacing w:before="9"/>
      </w:pPr>
    </w:p>
    <w:p>
      <w:pPr>
        <w:pStyle w:val="ListParagraph"/>
        <w:numPr>
          <w:ilvl w:val="0"/>
          <w:numId w:val="14"/>
        </w:numPr>
        <w:tabs>
          <w:tab w:pos="1666" w:val="left" w:leader="none"/>
          <w:tab w:pos="1667" w:val="left" w:leader="none"/>
        </w:tabs>
        <w:spacing w:line="240" w:lineRule="auto" w:before="0" w:after="0"/>
        <w:ind w:left="1666" w:right="0" w:hanging="447"/>
        <w:jc w:val="left"/>
        <w:rPr>
          <w:b/>
          <w:sz w:val="20"/>
        </w:rPr>
      </w:pPr>
      <w:r>
        <w:rPr>
          <w:b/>
          <w:sz w:val="20"/>
          <w:u w:val="thick"/>
        </w:rPr>
        <w:t>Community</w:t>
      </w:r>
      <w:r>
        <w:rPr>
          <w:b/>
          <w:spacing w:val="-13"/>
          <w:sz w:val="20"/>
          <w:u w:val="thick"/>
        </w:rPr>
        <w:t> </w:t>
      </w:r>
      <w:r>
        <w:rPr>
          <w:b/>
          <w:spacing w:val="-2"/>
          <w:sz w:val="20"/>
          <w:u w:val="thick"/>
        </w:rPr>
        <w:t>Involvement</w:t>
      </w:r>
    </w:p>
    <w:p>
      <w:pPr>
        <w:pStyle w:val="BodyText"/>
        <w:spacing w:before="4"/>
        <w:rPr>
          <w:b/>
          <w:sz w:val="12"/>
        </w:rPr>
      </w:pPr>
    </w:p>
    <w:p>
      <w:pPr>
        <w:pStyle w:val="ListParagraph"/>
        <w:numPr>
          <w:ilvl w:val="1"/>
          <w:numId w:val="14"/>
        </w:numPr>
        <w:tabs>
          <w:tab w:pos="2299" w:val="left" w:leader="none"/>
          <w:tab w:pos="2300" w:val="left" w:leader="none"/>
        </w:tabs>
        <w:spacing w:line="240" w:lineRule="auto" w:before="93" w:after="0"/>
        <w:ind w:left="2300" w:right="482" w:hanging="634"/>
        <w:jc w:val="left"/>
        <w:rPr>
          <w:sz w:val="20"/>
        </w:rPr>
      </w:pPr>
      <w:r>
        <w:rPr>
          <w:sz w:val="20"/>
          <w:u w:val="single"/>
        </w:rPr>
        <w:t>Architecture Barbie:</w:t>
      </w:r>
      <w:r>
        <w:rPr>
          <w:sz w:val="20"/>
        </w:rPr>
        <w:t> A mentoring workshop designed to introduce young girl’s to the field</w:t>
      </w:r>
      <w:r>
        <w:rPr>
          <w:spacing w:val="-4"/>
          <w:sz w:val="20"/>
        </w:rPr>
        <w:t> </w:t>
      </w:r>
      <w:r>
        <w:rPr>
          <w:sz w:val="20"/>
        </w:rPr>
        <w:t>of</w:t>
      </w:r>
      <w:r>
        <w:rPr>
          <w:spacing w:val="-2"/>
          <w:sz w:val="20"/>
        </w:rPr>
        <w:t> </w:t>
      </w:r>
      <w:r>
        <w:rPr>
          <w:sz w:val="20"/>
        </w:rPr>
        <w:t>architecture.</w:t>
      </w:r>
      <w:r>
        <w:rPr>
          <w:spacing w:val="-4"/>
          <w:sz w:val="20"/>
        </w:rPr>
        <w:t> </w:t>
      </w:r>
      <w:r>
        <w:rPr>
          <w:sz w:val="20"/>
        </w:rPr>
        <w:t>For</w:t>
      </w:r>
      <w:r>
        <w:rPr>
          <w:spacing w:val="-3"/>
          <w:sz w:val="20"/>
        </w:rPr>
        <w:t> </w:t>
      </w:r>
      <w:r>
        <w:rPr>
          <w:sz w:val="20"/>
        </w:rPr>
        <w:t>the</w:t>
      </w:r>
      <w:r>
        <w:rPr>
          <w:spacing w:val="-2"/>
          <w:sz w:val="20"/>
        </w:rPr>
        <w:t> </w:t>
      </w:r>
      <w:r>
        <w:rPr>
          <w:sz w:val="20"/>
        </w:rPr>
        <w:t>past</w:t>
      </w:r>
      <w:r>
        <w:rPr>
          <w:spacing w:val="-4"/>
          <w:sz w:val="20"/>
        </w:rPr>
        <w:t> </w:t>
      </w:r>
      <w:r>
        <w:rPr>
          <w:sz w:val="20"/>
        </w:rPr>
        <w:t>two</w:t>
      </w:r>
      <w:r>
        <w:rPr>
          <w:spacing w:val="-2"/>
          <w:sz w:val="20"/>
        </w:rPr>
        <w:t> </w:t>
      </w:r>
      <w:r>
        <w:rPr>
          <w:sz w:val="20"/>
        </w:rPr>
        <w:t>years,</w:t>
      </w:r>
      <w:r>
        <w:rPr>
          <w:spacing w:val="-4"/>
          <w:sz w:val="20"/>
        </w:rPr>
        <w:t> </w:t>
      </w:r>
      <w:r>
        <w:rPr>
          <w:sz w:val="20"/>
        </w:rPr>
        <w:t>the</w:t>
      </w:r>
      <w:r>
        <w:rPr>
          <w:spacing w:val="-4"/>
          <w:sz w:val="20"/>
        </w:rPr>
        <w:t> </w:t>
      </w:r>
      <w:r>
        <w:rPr>
          <w:sz w:val="20"/>
        </w:rPr>
        <w:t>student</w:t>
      </w:r>
      <w:r>
        <w:rPr>
          <w:spacing w:val="-2"/>
          <w:sz w:val="20"/>
        </w:rPr>
        <w:t> </w:t>
      </w:r>
      <w:r>
        <w:rPr>
          <w:sz w:val="20"/>
        </w:rPr>
        <w:t>chapter</w:t>
      </w:r>
      <w:r>
        <w:rPr>
          <w:spacing w:val="-2"/>
          <w:sz w:val="20"/>
        </w:rPr>
        <w:t> </w:t>
      </w:r>
      <w:r>
        <w:rPr>
          <w:sz w:val="20"/>
        </w:rPr>
        <w:t>has</w:t>
      </w:r>
      <w:r>
        <w:rPr>
          <w:spacing w:val="-3"/>
          <w:sz w:val="20"/>
        </w:rPr>
        <w:t> </w:t>
      </w:r>
      <w:r>
        <w:rPr>
          <w:sz w:val="20"/>
        </w:rPr>
        <w:t>also</w:t>
      </w:r>
      <w:r>
        <w:rPr>
          <w:spacing w:val="-4"/>
          <w:sz w:val="20"/>
        </w:rPr>
        <w:t> </w:t>
      </w:r>
      <w:r>
        <w:rPr>
          <w:sz w:val="20"/>
        </w:rPr>
        <w:t>sponsored</w:t>
      </w:r>
      <w:r>
        <w:rPr>
          <w:spacing w:val="-4"/>
          <w:sz w:val="20"/>
        </w:rPr>
        <w:t> </w:t>
      </w:r>
      <w:r>
        <w:rPr>
          <w:sz w:val="20"/>
        </w:rPr>
        <w:t>a program called </w:t>
      </w:r>
      <w:r>
        <w:rPr>
          <w:b/>
          <w:sz w:val="20"/>
        </w:rPr>
        <w:t>Architecture Barbie</w:t>
      </w:r>
      <w:r>
        <w:rPr>
          <w:sz w:val="20"/>
        </w:rPr>
        <w:t>. This program seeks to expose young girls,</w:t>
      </w:r>
      <w:r>
        <w:rPr>
          <w:spacing w:val="40"/>
          <w:sz w:val="20"/>
        </w:rPr>
        <w:t> </w:t>
      </w:r>
      <w:r>
        <w:rPr>
          <w:sz w:val="20"/>
        </w:rPr>
        <w:t>ages 4-12, to consider architecture as a career, and introduce them to the creative thinking process. Though intended for young girls, each year, young boys also have found the program intriguing and as a result, it has expanded to include them. This year, the Architecture Barbie program was awarded the prestigious</w:t>
      </w:r>
    </w:p>
    <w:p>
      <w:pPr>
        <w:pStyle w:val="ListParagraph"/>
        <w:numPr>
          <w:ilvl w:val="1"/>
          <w:numId w:val="14"/>
        </w:numPr>
        <w:tabs>
          <w:tab w:pos="2299" w:val="left" w:leader="none"/>
          <w:tab w:pos="2300" w:val="left" w:leader="none"/>
        </w:tabs>
        <w:spacing w:line="240" w:lineRule="auto" w:before="83" w:after="0"/>
        <w:ind w:left="2300" w:right="495" w:hanging="634"/>
        <w:jc w:val="left"/>
        <w:rPr>
          <w:sz w:val="20"/>
        </w:rPr>
      </w:pPr>
      <w:r>
        <w:rPr>
          <w:sz w:val="20"/>
          <w:u w:val="single"/>
        </w:rPr>
        <w:t>Young</w:t>
      </w:r>
      <w:r>
        <w:rPr>
          <w:spacing w:val="-4"/>
          <w:sz w:val="20"/>
          <w:u w:val="single"/>
        </w:rPr>
        <w:t> </w:t>
      </w:r>
      <w:r>
        <w:rPr>
          <w:sz w:val="20"/>
          <w:u w:val="single"/>
        </w:rPr>
        <w:t>Men</w:t>
      </w:r>
      <w:r>
        <w:rPr>
          <w:spacing w:val="-4"/>
          <w:sz w:val="20"/>
          <w:u w:val="single"/>
        </w:rPr>
        <w:t> </w:t>
      </w:r>
      <w:r>
        <w:rPr>
          <w:sz w:val="20"/>
          <w:u w:val="single"/>
        </w:rPr>
        <w:t>in</w:t>
      </w:r>
      <w:r>
        <w:rPr>
          <w:spacing w:val="-4"/>
          <w:sz w:val="20"/>
          <w:u w:val="single"/>
        </w:rPr>
        <w:t> </w:t>
      </w:r>
      <w:r>
        <w:rPr>
          <w:sz w:val="20"/>
          <w:u w:val="single"/>
        </w:rPr>
        <w:t>Architecture</w:t>
      </w:r>
      <w:r>
        <w:rPr>
          <w:sz w:val="20"/>
        </w:rPr>
        <w:t>:</w:t>
      </w:r>
      <w:r>
        <w:rPr>
          <w:spacing w:val="-4"/>
          <w:sz w:val="20"/>
        </w:rPr>
        <w:t> </w:t>
      </w:r>
      <w:r>
        <w:rPr>
          <w:sz w:val="20"/>
        </w:rPr>
        <w:t>A</w:t>
      </w:r>
      <w:r>
        <w:rPr>
          <w:spacing w:val="-7"/>
          <w:sz w:val="20"/>
        </w:rPr>
        <w:t> </w:t>
      </w:r>
      <w:r>
        <w:rPr>
          <w:sz w:val="20"/>
        </w:rPr>
        <w:t>mentoring</w:t>
      </w:r>
      <w:r>
        <w:rPr>
          <w:spacing w:val="-1"/>
          <w:sz w:val="20"/>
        </w:rPr>
        <w:t> </w:t>
      </w:r>
      <w:r>
        <w:rPr>
          <w:sz w:val="20"/>
        </w:rPr>
        <w:t>workshop</w:t>
      </w:r>
      <w:r>
        <w:rPr>
          <w:spacing w:val="-6"/>
          <w:sz w:val="20"/>
        </w:rPr>
        <w:t> </w:t>
      </w:r>
      <w:r>
        <w:rPr>
          <w:sz w:val="20"/>
        </w:rPr>
        <w:t>designed</w:t>
      </w:r>
      <w:r>
        <w:rPr>
          <w:spacing w:val="-6"/>
          <w:sz w:val="20"/>
        </w:rPr>
        <w:t> </w:t>
      </w:r>
      <w:r>
        <w:rPr>
          <w:sz w:val="20"/>
        </w:rPr>
        <w:t>to</w:t>
      </w:r>
      <w:r>
        <w:rPr>
          <w:spacing w:val="-6"/>
          <w:sz w:val="20"/>
        </w:rPr>
        <w:t> </w:t>
      </w:r>
      <w:r>
        <w:rPr>
          <w:sz w:val="20"/>
        </w:rPr>
        <w:t>introduce</w:t>
      </w:r>
      <w:r>
        <w:rPr>
          <w:spacing w:val="-4"/>
          <w:sz w:val="20"/>
        </w:rPr>
        <w:t> </w:t>
      </w:r>
      <w:r>
        <w:rPr>
          <w:sz w:val="20"/>
        </w:rPr>
        <w:t>young</w:t>
      </w:r>
      <w:r>
        <w:rPr>
          <w:spacing w:val="-6"/>
          <w:sz w:val="20"/>
        </w:rPr>
        <w:t> </w:t>
      </w:r>
      <w:r>
        <w:rPr>
          <w:sz w:val="20"/>
        </w:rPr>
        <w:t>boy’s to the field of architecture.</w:t>
      </w:r>
    </w:p>
    <w:p>
      <w:pPr>
        <w:pStyle w:val="ListParagraph"/>
        <w:numPr>
          <w:ilvl w:val="1"/>
          <w:numId w:val="14"/>
        </w:numPr>
        <w:tabs>
          <w:tab w:pos="2299" w:val="left" w:leader="none"/>
          <w:tab w:pos="2301" w:val="left" w:leader="none"/>
        </w:tabs>
        <w:spacing w:line="242" w:lineRule="auto" w:before="197" w:after="0"/>
        <w:ind w:left="2300" w:right="644" w:hanging="634"/>
        <w:jc w:val="left"/>
        <w:rPr>
          <w:sz w:val="20"/>
        </w:rPr>
      </w:pPr>
      <w:r>
        <w:rPr>
          <w:sz w:val="20"/>
          <w:u w:val="single"/>
        </w:rPr>
        <w:t>Adventures</w:t>
      </w:r>
      <w:r>
        <w:rPr>
          <w:spacing w:val="-4"/>
          <w:sz w:val="20"/>
          <w:u w:val="single"/>
        </w:rPr>
        <w:t> </w:t>
      </w:r>
      <w:r>
        <w:rPr>
          <w:sz w:val="20"/>
          <w:u w:val="single"/>
        </w:rPr>
        <w:t>in</w:t>
      </w:r>
      <w:r>
        <w:rPr>
          <w:spacing w:val="-5"/>
          <w:sz w:val="20"/>
          <w:u w:val="single"/>
        </w:rPr>
        <w:t> </w:t>
      </w:r>
      <w:r>
        <w:rPr>
          <w:sz w:val="20"/>
          <w:u w:val="single"/>
        </w:rPr>
        <w:t>Engineering:</w:t>
      </w:r>
      <w:r>
        <w:rPr>
          <w:spacing w:val="-2"/>
          <w:sz w:val="20"/>
        </w:rPr>
        <w:t> </w:t>
      </w:r>
      <w:r>
        <w:rPr>
          <w:sz w:val="20"/>
        </w:rPr>
        <w:t>A</w:t>
      </w:r>
      <w:r>
        <w:rPr>
          <w:spacing w:val="-6"/>
          <w:sz w:val="20"/>
        </w:rPr>
        <w:t> </w:t>
      </w:r>
      <w:r>
        <w:rPr>
          <w:sz w:val="20"/>
        </w:rPr>
        <w:t>mentoring workshop</w:t>
      </w:r>
      <w:r>
        <w:rPr>
          <w:spacing w:val="-5"/>
          <w:sz w:val="20"/>
        </w:rPr>
        <w:t> </w:t>
      </w:r>
      <w:r>
        <w:rPr>
          <w:sz w:val="20"/>
        </w:rPr>
        <w:t>designed</w:t>
      </w:r>
      <w:r>
        <w:rPr>
          <w:spacing w:val="-5"/>
          <w:sz w:val="20"/>
        </w:rPr>
        <w:t> </w:t>
      </w:r>
      <w:r>
        <w:rPr>
          <w:sz w:val="20"/>
        </w:rPr>
        <w:t>to</w:t>
      </w:r>
      <w:r>
        <w:rPr>
          <w:spacing w:val="-5"/>
          <w:sz w:val="20"/>
        </w:rPr>
        <w:t> </w:t>
      </w:r>
      <w:r>
        <w:rPr>
          <w:sz w:val="20"/>
        </w:rPr>
        <w:t>introduce</w:t>
      </w:r>
      <w:r>
        <w:rPr>
          <w:spacing w:val="-5"/>
          <w:sz w:val="20"/>
        </w:rPr>
        <w:t> </w:t>
      </w:r>
      <w:r>
        <w:rPr>
          <w:sz w:val="20"/>
        </w:rPr>
        <w:t>children</w:t>
      </w:r>
      <w:r>
        <w:rPr>
          <w:spacing w:val="-3"/>
          <w:sz w:val="20"/>
        </w:rPr>
        <w:t> </w:t>
      </w:r>
      <w:r>
        <w:rPr>
          <w:sz w:val="20"/>
        </w:rPr>
        <w:t>to the fields of science, technology, engineering, and mathematics.</w:t>
      </w:r>
    </w:p>
    <w:p>
      <w:pPr>
        <w:pStyle w:val="ListParagraph"/>
        <w:numPr>
          <w:ilvl w:val="1"/>
          <w:numId w:val="14"/>
        </w:numPr>
        <w:tabs>
          <w:tab w:pos="2299" w:val="left" w:leader="none"/>
          <w:tab w:pos="2300" w:val="left" w:leader="none"/>
        </w:tabs>
        <w:spacing w:line="242" w:lineRule="auto" w:before="196" w:after="0"/>
        <w:ind w:left="2300" w:right="701" w:hanging="634"/>
        <w:jc w:val="left"/>
        <w:rPr>
          <w:sz w:val="20"/>
        </w:rPr>
      </w:pPr>
      <w:r>
        <w:rPr>
          <w:sz w:val="20"/>
          <w:u w:val="single"/>
        </w:rPr>
        <w:t>Canstruction:</w:t>
      </w:r>
      <w:r>
        <w:rPr>
          <w:spacing w:val="-2"/>
          <w:sz w:val="20"/>
        </w:rPr>
        <w:t> </w:t>
      </w:r>
      <w:r>
        <w:rPr>
          <w:sz w:val="20"/>
        </w:rPr>
        <w:t>A</w:t>
      </w:r>
      <w:r>
        <w:rPr>
          <w:spacing w:val="-6"/>
          <w:sz w:val="20"/>
        </w:rPr>
        <w:t> </w:t>
      </w:r>
      <w:r>
        <w:rPr>
          <w:sz w:val="20"/>
        </w:rPr>
        <w:t>canned</w:t>
      </w:r>
      <w:r>
        <w:rPr>
          <w:spacing w:val="-5"/>
          <w:sz w:val="20"/>
        </w:rPr>
        <w:t> </w:t>
      </w:r>
      <w:r>
        <w:rPr>
          <w:sz w:val="20"/>
        </w:rPr>
        <w:t>food</w:t>
      </w:r>
      <w:r>
        <w:rPr>
          <w:spacing w:val="-5"/>
          <w:sz w:val="20"/>
        </w:rPr>
        <w:t> </w:t>
      </w:r>
      <w:r>
        <w:rPr>
          <w:sz w:val="20"/>
        </w:rPr>
        <w:t>drive</w:t>
      </w:r>
      <w:r>
        <w:rPr>
          <w:spacing w:val="-5"/>
          <w:sz w:val="20"/>
        </w:rPr>
        <w:t> </w:t>
      </w:r>
      <w:r>
        <w:rPr>
          <w:sz w:val="20"/>
        </w:rPr>
        <w:t>that</w:t>
      </w:r>
      <w:r>
        <w:rPr>
          <w:spacing w:val="-3"/>
          <w:sz w:val="20"/>
        </w:rPr>
        <w:t> </w:t>
      </w:r>
      <w:r>
        <w:rPr>
          <w:sz w:val="20"/>
        </w:rPr>
        <w:t>encourages</w:t>
      </w:r>
      <w:r>
        <w:rPr>
          <w:spacing w:val="-4"/>
          <w:sz w:val="20"/>
        </w:rPr>
        <w:t> </w:t>
      </w:r>
      <w:r>
        <w:rPr>
          <w:sz w:val="20"/>
        </w:rPr>
        <w:t>firms</w:t>
      </w:r>
      <w:r>
        <w:rPr>
          <w:spacing w:val="-4"/>
          <w:sz w:val="20"/>
        </w:rPr>
        <w:t> </w:t>
      </w:r>
      <w:r>
        <w:rPr>
          <w:sz w:val="20"/>
        </w:rPr>
        <w:t>and</w:t>
      </w:r>
      <w:r>
        <w:rPr>
          <w:spacing w:val="-5"/>
          <w:sz w:val="20"/>
        </w:rPr>
        <w:t> </w:t>
      </w:r>
      <w:r>
        <w:rPr>
          <w:sz w:val="20"/>
        </w:rPr>
        <w:t>student</w:t>
      </w:r>
      <w:r>
        <w:rPr>
          <w:spacing w:val="-5"/>
          <w:sz w:val="20"/>
        </w:rPr>
        <w:t> </w:t>
      </w:r>
      <w:r>
        <w:rPr>
          <w:sz w:val="20"/>
        </w:rPr>
        <w:t>organizations to design and construct sculptures for a competition.</w:t>
      </w:r>
    </w:p>
    <w:p>
      <w:pPr>
        <w:pStyle w:val="ListParagraph"/>
        <w:numPr>
          <w:ilvl w:val="1"/>
          <w:numId w:val="14"/>
        </w:numPr>
        <w:tabs>
          <w:tab w:pos="2299" w:val="left" w:leader="none"/>
          <w:tab w:pos="2300" w:val="left" w:leader="none"/>
        </w:tabs>
        <w:spacing w:line="242" w:lineRule="auto" w:before="195" w:after="0"/>
        <w:ind w:left="2300" w:right="647" w:hanging="634"/>
        <w:jc w:val="left"/>
        <w:rPr>
          <w:sz w:val="20"/>
        </w:rPr>
      </w:pPr>
      <w:r>
        <w:rPr>
          <w:sz w:val="20"/>
          <w:u w:val="single"/>
        </w:rPr>
        <w:t>Site</w:t>
      </w:r>
      <w:r>
        <w:rPr>
          <w:spacing w:val="-4"/>
          <w:sz w:val="20"/>
          <w:u w:val="single"/>
        </w:rPr>
        <w:t> </w:t>
      </w:r>
      <w:r>
        <w:rPr>
          <w:sz w:val="20"/>
          <w:u w:val="single"/>
        </w:rPr>
        <w:t>Visits:</w:t>
      </w:r>
      <w:r>
        <w:rPr>
          <w:spacing w:val="-2"/>
          <w:sz w:val="20"/>
        </w:rPr>
        <w:t> </w:t>
      </w:r>
      <w:r>
        <w:rPr>
          <w:sz w:val="20"/>
        </w:rPr>
        <w:t>Allow</w:t>
      </w:r>
      <w:r>
        <w:rPr>
          <w:spacing w:val="-6"/>
          <w:sz w:val="20"/>
        </w:rPr>
        <w:t> </w:t>
      </w:r>
      <w:r>
        <w:rPr>
          <w:sz w:val="20"/>
        </w:rPr>
        <w:t>students</w:t>
      </w:r>
      <w:r>
        <w:rPr>
          <w:spacing w:val="-4"/>
          <w:sz w:val="20"/>
        </w:rPr>
        <w:t> </w:t>
      </w:r>
      <w:r>
        <w:rPr>
          <w:sz w:val="20"/>
        </w:rPr>
        <w:t>to</w:t>
      </w:r>
      <w:r>
        <w:rPr>
          <w:spacing w:val="-4"/>
          <w:sz w:val="20"/>
        </w:rPr>
        <w:t> </w:t>
      </w:r>
      <w:r>
        <w:rPr>
          <w:sz w:val="20"/>
        </w:rPr>
        <w:t>visit</w:t>
      </w:r>
      <w:r>
        <w:rPr>
          <w:spacing w:val="-4"/>
          <w:sz w:val="20"/>
        </w:rPr>
        <w:t> </w:t>
      </w:r>
      <w:r>
        <w:rPr>
          <w:sz w:val="20"/>
        </w:rPr>
        <w:t>real</w:t>
      </w:r>
      <w:r>
        <w:rPr>
          <w:spacing w:val="-5"/>
          <w:sz w:val="20"/>
        </w:rPr>
        <w:t> </w:t>
      </w:r>
      <w:r>
        <w:rPr>
          <w:sz w:val="20"/>
        </w:rPr>
        <w:t>constructions</w:t>
      </w:r>
      <w:r>
        <w:rPr>
          <w:spacing w:val="-4"/>
          <w:sz w:val="20"/>
        </w:rPr>
        <w:t> </w:t>
      </w:r>
      <w:r>
        <w:rPr>
          <w:sz w:val="20"/>
        </w:rPr>
        <w:t>sites</w:t>
      </w:r>
      <w:r>
        <w:rPr>
          <w:spacing w:val="-4"/>
          <w:sz w:val="20"/>
        </w:rPr>
        <w:t> </w:t>
      </w:r>
      <w:r>
        <w:rPr>
          <w:sz w:val="20"/>
        </w:rPr>
        <w:t>for</w:t>
      </w:r>
      <w:r>
        <w:rPr>
          <w:spacing w:val="-4"/>
          <w:sz w:val="20"/>
        </w:rPr>
        <w:t> </w:t>
      </w:r>
      <w:r>
        <w:rPr>
          <w:sz w:val="20"/>
        </w:rPr>
        <w:t>learning</w:t>
      </w:r>
      <w:r>
        <w:rPr>
          <w:spacing w:val="-3"/>
          <w:sz w:val="20"/>
        </w:rPr>
        <w:t> </w:t>
      </w:r>
      <w:r>
        <w:rPr>
          <w:sz w:val="20"/>
        </w:rPr>
        <w:t>experiences</w:t>
      </w:r>
      <w:r>
        <w:rPr>
          <w:spacing w:val="-1"/>
          <w:sz w:val="20"/>
        </w:rPr>
        <w:t> </w:t>
      </w:r>
      <w:r>
        <w:rPr>
          <w:sz w:val="20"/>
        </w:rPr>
        <w:t>in the field.</w:t>
      </w:r>
    </w:p>
    <w:p>
      <w:pPr>
        <w:pStyle w:val="BodyText"/>
        <w:spacing w:before="2"/>
        <w:rPr>
          <w:sz w:val="17"/>
        </w:rPr>
      </w:pPr>
    </w:p>
    <w:p>
      <w:pPr>
        <w:pStyle w:val="ListParagraph"/>
        <w:numPr>
          <w:ilvl w:val="1"/>
          <w:numId w:val="14"/>
        </w:numPr>
        <w:tabs>
          <w:tab w:pos="2299" w:val="left" w:leader="none"/>
          <w:tab w:pos="2301" w:val="left" w:leader="none"/>
        </w:tabs>
        <w:spacing w:line="240" w:lineRule="auto" w:before="0" w:after="0"/>
        <w:ind w:left="2300" w:right="0" w:hanging="635"/>
        <w:jc w:val="left"/>
        <w:rPr>
          <w:sz w:val="20"/>
        </w:rPr>
      </w:pPr>
      <w:r>
        <w:rPr>
          <w:sz w:val="20"/>
          <w:u w:val="single"/>
        </w:rPr>
        <w:t>Adopt-a-Spot:</w:t>
      </w:r>
      <w:r>
        <w:rPr>
          <w:spacing w:val="-8"/>
          <w:sz w:val="20"/>
          <w:u w:val="single"/>
        </w:rPr>
        <w:t> </w:t>
      </w:r>
      <w:r>
        <w:rPr>
          <w:sz w:val="20"/>
        </w:rPr>
        <w:t>The</w:t>
      </w:r>
      <w:r>
        <w:rPr>
          <w:spacing w:val="-5"/>
          <w:sz w:val="20"/>
        </w:rPr>
        <w:t> </w:t>
      </w:r>
      <w:r>
        <w:rPr>
          <w:sz w:val="20"/>
        </w:rPr>
        <w:t>organization</w:t>
      </w:r>
      <w:r>
        <w:rPr>
          <w:spacing w:val="-7"/>
          <w:sz w:val="20"/>
        </w:rPr>
        <w:t> </w:t>
      </w:r>
      <w:r>
        <w:rPr>
          <w:sz w:val="20"/>
        </w:rPr>
        <w:t>adopts</w:t>
      </w:r>
      <w:r>
        <w:rPr>
          <w:spacing w:val="-4"/>
          <w:sz w:val="20"/>
        </w:rPr>
        <w:t> </w:t>
      </w:r>
      <w:r>
        <w:rPr>
          <w:sz w:val="20"/>
        </w:rPr>
        <w:t>a</w:t>
      </w:r>
      <w:r>
        <w:rPr>
          <w:spacing w:val="-7"/>
          <w:sz w:val="20"/>
        </w:rPr>
        <w:t> </w:t>
      </w:r>
      <w:r>
        <w:rPr>
          <w:sz w:val="20"/>
        </w:rPr>
        <w:t>street</w:t>
      </w:r>
      <w:r>
        <w:rPr>
          <w:spacing w:val="-6"/>
          <w:sz w:val="20"/>
        </w:rPr>
        <w:t> </w:t>
      </w:r>
      <w:r>
        <w:rPr>
          <w:sz w:val="20"/>
        </w:rPr>
        <w:t>or</w:t>
      </w:r>
      <w:r>
        <w:rPr>
          <w:spacing w:val="-6"/>
          <w:sz w:val="20"/>
        </w:rPr>
        <w:t> </w:t>
      </w:r>
      <w:r>
        <w:rPr>
          <w:sz w:val="20"/>
        </w:rPr>
        <w:t>area</w:t>
      </w:r>
      <w:r>
        <w:rPr>
          <w:spacing w:val="-7"/>
          <w:sz w:val="20"/>
        </w:rPr>
        <w:t> </w:t>
      </w:r>
      <w:r>
        <w:rPr>
          <w:sz w:val="20"/>
        </w:rPr>
        <w:t>to</w:t>
      </w:r>
      <w:r>
        <w:rPr>
          <w:spacing w:val="-8"/>
          <w:sz w:val="20"/>
        </w:rPr>
        <w:t> </w:t>
      </w:r>
      <w:r>
        <w:rPr>
          <w:sz w:val="20"/>
        </w:rPr>
        <w:t>maintain</w:t>
      </w:r>
      <w:r>
        <w:rPr>
          <w:spacing w:val="-5"/>
          <w:sz w:val="20"/>
        </w:rPr>
        <w:t> </w:t>
      </w:r>
      <w:r>
        <w:rPr>
          <w:sz w:val="20"/>
        </w:rPr>
        <w:t>its</w:t>
      </w:r>
      <w:r>
        <w:rPr>
          <w:spacing w:val="-6"/>
          <w:sz w:val="20"/>
        </w:rPr>
        <w:t> </w:t>
      </w:r>
      <w:r>
        <w:rPr>
          <w:spacing w:val="-2"/>
          <w:sz w:val="20"/>
        </w:rPr>
        <w:t>condition.</w:t>
      </w:r>
    </w:p>
    <w:p>
      <w:pPr>
        <w:pStyle w:val="BodyText"/>
        <w:spacing w:before="4"/>
        <w:rPr>
          <w:sz w:val="17"/>
        </w:rPr>
      </w:pPr>
    </w:p>
    <w:p>
      <w:pPr>
        <w:pStyle w:val="ListParagraph"/>
        <w:numPr>
          <w:ilvl w:val="1"/>
          <w:numId w:val="14"/>
        </w:numPr>
        <w:tabs>
          <w:tab w:pos="2299" w:val="left" w:leader="none"/>
          <w:tab w:pos="2300" w:val="left" w:leader="none"/>
        </w:tabs>
        <w:spacing w:line="240" w:lineRule="auto" w:before="1" w:after="0"/>
        <w:ind w:left="2299" w:right="0" w:hanging="634"/>
        <w:jc w:val="left"/>
        <w:rPr>
          <w:sz w:val="20"/>
        </w:rPr>
      </w:pPr>
      <w:r>
        <w:rPr>
          <w:sz w:val="20"/>
          <w:u w:val="single"/>
        </w:rPr>
        <w:t>Toys</w:t>
      </w:r>
      <w:r>
        <w:rPr>
          <w:spacing w:val="-6"/>
          <w:sz w:val="20"/>
          <w:u w:val="single"/>
        </w:rPr>
        <w:t> </w:t>
      </w:r>
      <w:r>
        <w:rPr>
          <w:sz w:val="20"/>
          <w:u w:val="single"/>
        </w:rPr>
        <w:t>and</w:t>
      </w:r>
      <w:r>
        <w:rPr>
          <w:spacing w:val="-6"/>
          <w:sz w:val="20"/>
          <w:u w:val="single"/>
        </w:rPr>
        <w:t> </w:t>
      </w:r>
      <w:r>
        <w:rPr>
          <w:sz w:val="20"/>
          <w:u w:val="single"/>
        </w:rPr>
        <w:t>Clothes</w:t>
      </w:r>
      <w:r>
        <w:rPr>
          <w:spacing w:val="-5"/>
          <w:sz w:val="20"/>
          <w:u w:val="single"/>
        </w:rPr>
        <w:t> </w:t>
      </w:r>
      <w:r>
        <w:rPr>
          <w:sz w:val="20"/>
          <w:u w:val="single"/>
        </w:rPr>
        <w:t>Drive:</w:t>
      </w:r>
      <w:r>
        <w:rPr>
          <w:spacing w:val="-4"/>
          <w:sz w:val="20"/>
        </w:rPr>
        <w:t> </w:t>
      </w:r>
      <w:r>
        <w:rPr>
          <w:sz w:val="20"/>
        </w:rPr>
        <w:t>Donating</w:t>
      </w:r>
      <w:r>
        <w:rPr>
          <w:spacing w:val="-6"/>
          <w:sz w:val="20"/>
        </w:rPr>
        <w:t> </w:t>
      </w:r>
      <w:r>
        <w:rPr>
          <w:sz w:val="20"/>
        </w:rPr>
        <w:t>toys</w:t>
      </w:r>
      <w:r>
        <w:rPr>
          <w:spacing w:val="-2"/>
          <w:sz w:val="20"/>
        </w:rPr>
        <w:t> </w:t>
      </w:r>
      <w:r>
        <w:rPr>
          <w:sz w:val="20"/>
        </w:rPr>
        <w:t>and</w:t>
      </w:r>
      <w:r>
        <w:rPr>
          <w:spacing w:val="-6"/>
          <w:sz w:val="20"/>
        </w:rPr>
        <w:t> </w:t>
      </w:r>
      <w:r>
        <w:rPr>
          <w:sz w:val="20"/>
        </w:rPr>
        <w:t>clothes</w:t>
      </w:r>
      <w:r>
        <w:rPr>
          <w:spacing w:val="-6"/>
          <w:sz w:val="20"/>
        </w:rPr>
        <w:t> </w:t>
      </w:r>
      <w:r>
        <w:rPr>
          <w:sz w:val="20"/>
        </w:rPr>
        <w:t>to</w:t>
      </w:r>
      <w:r>
        <w:rPr>
          <w:spacing w:val="-6"/>
          <w:sz w:val="20"/>
        </w:rPr>
        <w:t> </w:t>
      </w:r>
      <w:r>
        <w:rPr>
          <w:sz w:val="20"/>
        </w:rPr>
        <w:t>the</w:t>
      </w:r>
      <w:r>
        <w:rPr>
          <w:spacing w:val="-6"/>
          <w:sz w:val="20"/>
        </w:rPr>
        <w:t> </w:t>
      </w:r>
      <w:r>
        <w:rPr>
          <w:spacing w:val="-2"/>
          <w:sz w:val="20"/>
        </w:rPr>
        <w:t>underprivileged.</w:t>
      </w:r>
    </w:p>
    <w:p>
      <w:pPr>
        <w:pStyle w:val="BodyText"/>
        <w:spacing w:before="4"/>
        <w:rPr>
          <w:sz w:val="17"/>
        </w:rPr>
      </w:pPr>
    </w:p>
    <w:p>
      <w:pPr>
        <w:pStyle w:val="ListParagraph"/>
        <w:numPr>
          <w:ilvl w:val="1"/>
          <w:numId w:val="14"/>
        </w:numPr>
        <w:tabs>
          <w:tab w:pos="2299" w:val="left" w:leader="none"/>
          <w:tab w:pos="2300" w:val="left" w:leader="none"/>
        </w:tabs>
        <w:spacing w:line="240" w:lineRule="auto" w:before="0" w:after="0"/>
        <w:ind w:left="2299" w:right="0" w:hanging="634"/>
        <w:jc w:val="left"/>
        <w:rPr>
          <w:sz w:val="20"/>
        </w:rPr>
      </w:pPr>
      <w:r>
        <w:rPr>
          <w:sz w:val="20"/>
          <w:u w:val="single"/>
        </w:rPr>
        <w:t>Canned</w:t>
      </w:r>
      <w:r>
        <w:rPr>
          <w:spacing w:val="-6"/>
          <w:sz w:val="20"/>
          <w:u w:val="single"/>
        </w:rPr>
        <w:t> </w:t>
      </w:r>
      <w:r>
        <w:rPr>
          <w:sz w:val="20"/>
          <w:u w:val="single"/>
        </w:rPr>
        <w:t>Food</w:t>
      </w:r>
      <w:r>
        <w:rPr>
          <w:spacing w:val="-6"/>
          <w:sz w:val="20"/>
          <w:u w:val="single"/>
        </w:rPr>
        <w:t> </w:t>
      </w:r>
      <w:r>
        <w:rPr>
          <w:sz w:val="20"/>
          <w:u w:val="single"/>
        </w:rPr>
        <w:t>Drive:</w:t>
      </w:r>
      <w:r>
        <w:rPr>
          <w:spacing w:val="-5"/>
          <w:sz w:val="20"/>
        </w:rPr>
        <w:t> </w:t>
      </w:r>
      <w:r>
        <w:rPr>
          <w:sz w:val="20"/>
        </w:rPr>
        <w:t>Donating</w:t>
      </w:r>
      <w:r>
        <w:rPr>
          <w:spacing w:val="-5"/>
          <w:sz w:val="20"/>
        </w:rPr>
        <w:t> </w:t>
      </w:r>
      <w:r>
        <w:rPr>
          <w:sz w:val="20"/>
        </w:rPr>
        <w:t>canned</w:t>
      </w:r>
      <w:r>
        <w:rPr>
          <w:spacing w:val="-6"/>
          <w:sz w:val="20"/>
        </w:rPr>
        <w:t> </w:t>
      </w:r>
      <w:r>
        <w:rPr>
          <w:sz w:val="20"/>
        </w:rPr>
        <w:t>food</w:t>
      </w:r>
      <w:r>
        <w:rPr>
          <w:spacing w:val="-6"/>
          <w:sz w:val="20"/>
        </w:rPr>
        <w:t> </w:t>
      </w:r>
      <w:r>
        <w:rPr>
          <w:sz w:val="20"/>
        </w:rPr>
        <w:t>to</w:t>
      </w:r>
      <w:r>
        <w:rPr>
          <w:spacing w:val="-3"/>
          <w:sz w:val="20"/>
        </w:rPr>
        <w:t> </w:t>
      </w:r>
      <w:r>
        <w:rPr>
          <w:sz w:val="20"/>
        </w:rPr>
        <w:t>the</w:t>
      </w:r>
      <w:r>
        <w:rPr>
          <w:spacing w:val="-4"/>
          <w:sz w:val="20"/>
        </w:rPr>
        <w:t> </w:t>
      </w:r>
      <w:r>
        <w:rPr>
          <w:spacing w:val="-2"/>
          <w:sz w:val="20"/>
        </w:rPr>
        <w:t>underprivileged.</w:t>
      </w:r>
    </w:p>
    <w:p>
      <w:pPr>
        <w:pStyle w:val="BodyText"/>
        <w:spacing w:before="4"/>
        <w:rPr>
          <w:sz w:val="17"/>
        </w:rPr>
      </w:pPr>
    </w:p>
    <w:p>
      <w:pPr>
        <w:pStyle w:val="ListParagraph"/>
        <w:numPr>
          <w:ilvl w:val="1"/>
          <w:numId w:val="14"/>
        </w:numPr>
        <w:tabs>
          <w:tab w:pos="2299" w:val="left" w:leader="none"/>
          <w:tab w:pos="2301" w:val="left" w:leader="none"/>
        </w:tabs>
        <w:spacing w:line="240" w:lineRule="auto" w:before="0" w:after="0"/>
        <w:ind w:left="2300" w:right="1101" w:hanging="634"/>
        <w:jc w:val="left"/>
        <w:rPr>
          <w:sz w:val="20"/>
        </w:rPr>
      </w:pPr>
      <w:r>
        <w:rPr>
          <w:sz w:val="20"/>
          <w:u w:val="single"/>
        </w:rPr>
        <w:t>Nights</w:t>
      </w:r>
      <w:r>
        <w:rPr>
          <w:spacing w:val="-8"/>
          <w:sz w:val="20"/>
          <w:u w:val="single"/>
        </w:rPr>
        <w:t> </w:t>
      </w:r>
      <w:r>
        <w:rPr>
          <w:sz w:val="20"/>
          <w:u w:val="single"/>
        </w:rPr>
        <w:t>Welcome</w:t>
      </w:r>
      <w:r>
        <w:rPr>
          <w:spacing w:val="-5"/>
          <w:sz w:val="20"/>
          <w:u w:val="single"/>
        </w:rPr>
        <w:t> </w:t>
      </w:r>
      <w:r>
        <w:rPr>
          <w:sz w:val="20"/>
          <w:u w:val="single"/>
        </w:rPr>
        <w:t>(Housing and</w:t>
      </w:r>
      <w:r>
        <w:rPr>
          <w:spacing w:val="-5"/>
          <w:sz w:val="20"/>
          <w:u w:val="single"/>
        </w:rPr>
        <w:t> </w:t>
      </w:r>
      <w:r>
        <w:rPr>
          <w:sz w:val="20"/>
          <w:u w:val="single"/>
        </w:rPr>
        <w:t>Feeding</w:t>
      </w:r>
      <w:r>
        <w:rPr>
          <w:spacing w:val="-3"/>
          <w:sz w:val="20"/>
          <w:u w:val="single"/>
        </w:rPr>
        <w:t> </w:t>
      </w:r>
      <w:r>
        <w:rPr>
          <w:sz w:val="20"/>
          <w:u w:val="single"/>
        </w:rPr>
        <w:t>the</w:t>
      </w:r>
      <w:r>
        <w:rPr>
          <w:spacing w:val="-3"/>
          <w:sz w:val="20"/>
          <w:u w:val="single"/>
        </w:rPr>
        <w:t> </w:t>
      </w:r>
      <w:r>
        <w:rPr>
          <w:sz w:val="20"/>
          <w:u w:val="single"/>
        </w:rPr>
        <w:t>Homeless):</w:t>
      </w:r>
      <w:r>
        <w:rPr>
          <w:spacing w:val="-4"/>
          <w:sz w:val="20"/>
        </w:rPr>
        <w:t> </w:t>
      </w:r>
      <w:r>
        <w:rPr>
          <w:sz w:val="20"/>
        </w:rPr>
        <w:t>Assisting</w:t>
      </w:r>
      <w:r>
        <w:rPr>
          <w:spacing w:val="-5"/>
          <w:sz w:val="20"/>
        </w:rPr>
        <w:t> </w:t>
      </w:r>
      <w:r>
        <w:rPr>
          <w:sz w:val="20"/>
        </w:rPr>
        <w:t>the</w:t>
      </w:r>
      <w:r>
        <w:rPr>
          <w:spacing w:val="-5"/>
          <w:sz w:val="20"/>
        </w:rPr>
        <w:t> </w:t>
      </w:r>
      <w:r>
        <w:rPr>
          <w:sz w:val="20"/>
        </w:rPr>
        <w:t>church</w:t>
      </w:r>
      <w:r>
        <w:rPr>
          <w:spacing w:val="-3"/>
          <w:sz w:val="20"/>
        </w:rPr>
        <w:t> </w:t>
      </w:r>
      <w:r>
        <w:rPr>
          <w:sz w:val="20"/>
        </w:rPr>
        <w:t>in housing and feeding for the homeless.</w:t>
      </w:r>
    </w:p>
    <w:p>
      <w:pPr>
        <w:pStyle w:val="BodyText"/>
        <w:spacing w:before="4"/>
        <w:rPr>
          <w:sz w:val="17"/>
        </w:rPr>
      </w:pPr>
    </w:p>
    <w:p>
      <w:pPr>
        <w:pStyle w:val="ListParagraph"/>
        <w:numPr>
          <w:ilvl w:val="1"/>
          <w:numId w:val="14"/>
        </w:numPr>
        <w:tabs>
          <w:tab w:pos="2299" w:val="left" w:leader="none"/>
          <w:tab w:pos="2301" w:val="left" w:leader="none"/>
        </w:tabs>
        <w:spacing w:line="240" w:lineRule="auto" w:before="0" w:after="0"/>
        <w:ind w:left="2300" w:right="613" w:hanging="634"/>
        <w:jc w:val="left"/>
        <w:rPr>
          <w:sz w:val="20"/>
        </w:rPr>
      </w:pPr>
      <w:r>
        <w:rPr>
          <w:sz w:val="20"/>
          <w:u w:val="single"/>
        </w:rPr>
        <w:t>Volunteering</w:t>
      </w:r>
      <w:r>
        <w:rPr>
          <w:spacing w:val="-5"/>
          <w:sz w:val="20"/>
          <w:u w:val="single"/>
        </w:rPr>
        <w:t> </w:t>
      </w:r>
      <w:r>
        <w:rPr>
          <w:sz w:val="20"/>
          <w:u w:val="single"/>
        </w:rPr>
        <w:t>at</w:t>
      </w:r>
      <w:r>
        <w:rPr>
          <w:spacing w:val="-5"/>
          <w:sz w:val="20"/>
          <w:u w:val="single"/>
        </w:rPr>
        <w:t> </w:t>
      </w:r>
      <w:r>
        <w:rPr>
          <w:sz w:val="20"/>
          <w:u w:val="single"/>
        </w:rPr>
        <w:t>Local</w:t>
      </w:r>
      <w:r>
        <w:rPr>
          <w:spacing w:val="-4"/>
          <w:sz w:val="20"/>
          <w:u w:val="single"/>
        </w:rPr>
        <w:t> </w:t>
      </w:r>
      <w:r>
        <w:rPr>
          <w:sz w:val="20"/>
          <w:u w:val="single"/>
        </w:rPr>
        <w:t>Businesses:</w:t>
      </w:r>
      <w:r>
        <w:rPr>
          <w:spacing w:val="-4"/>
          <w:sz w:val="20"/>
        </w:rPr>
        <w:t> </w:t>
      </w:r>
      <w:r>
        <w:rPr>
          <w:sz w:val="20"/>
        </w:rPr>
        <w:t>Volunteer</w:t>
      </w:r>
      <w:r>
        <w:rPr>
          <w:spacing w:val="-2"/>
          <w:sz w:val="20"/>
        </w:rPr>
        <w:t> </w:t>
      </w:r>
      <w:r>
        <w:rPr>
          <w:sz w:val="20"/>
        </w:rPr>
        <w:t>work</w:t>
      </w:r>
      <w:r>
        <w:rPr>
          <w:spacing w:val="-1"/>
          <w:sz w:val="20"/>
        </w:rPr>
        <w:t> </w:t>
      </w:r>
      <w:r>
        <w:rPr>
          <w:sz w:val="20"/>
        </w:rPr>
        <w:t>at</w:t>
      </w:r>
      <w:r>
        <w:rPr>
          <w:spacing w:val="-5"/>
          <w:sz w:val="20"/>
        </w:rPr>
        <w:t> </w:t>
      </w:r>
      <w:r>
        <w:rPr>
          <w:sz w:val="20"/>
        </w:rPr>
        <w:t>nearby</w:t>
      </w:r>
      <w:r>
        <w:rPr>
          <w:spacing w:val="-6"/>
          <w:sz w:val="20"/>
        </w:rPr>
        <w:t> </w:t>
      </w:r>
      <w:r>
        <w:rPr>
          <w:sz w:val="20"/>
        </w:rPr>
        <w:t>businesses</w:t>
      </w:r>
      <w:r>
        <w:rPr>
          <w:spacing w:val="-4"/>
          <w:sz w:val="20"/>
        </w:rPr>
        <w:t> </w:t>
      </w:r>
      <w:r>
        <w:rPr>
          <w:sz w:val="20"/>
        </w:rPr>
        <w:t>such</w:t>
      </w:r>
      <w:r>
        <w:rPr>
          <w:spacing w:val="-5"/>
          <w:sz w:val="20"/>
        </w:rPr>
        <w:t> </w:t>
      </w:r>
      <w:r>
        <w:rPr>
          <w:sz w:val="20"/>
        </w:rPr>
        <w:t>as</w:t>
      </w:r>
      <w:r>
        <w:rPr>
          <w:spacing w:val="-4"/>
          <w:sz w:val="20"/>
        </w:rPr>
        <w:t> </w:t>
      </w:r>
      <w:r>
        <w:rPr>
          <w:sz w:val="20"/>
        </w:rPr>
        <w:t>the Air and Space Museum.</w:t>
      </w:r>
    </w:p>
    <w:p>
      <w:pPr>
        <w:pStyle w:val="BodyText"/>
        <w:spacing w:before="9"/>
      </w:pPr>
    </w:p>
    <w:p>
      <w:pPr>
        <w:pStyle w:val="ListParagraph"/>
        <w:numPr>
          <w:ilvl w:val="0"/>
          <w:numId w:val="14"/>
        </w:numPr>
        <w:tabs>
          <w:tab w:pos="1666" w:val="left" w:leader="none"/>
          <w:tab w:pos="1667" w:val="left" w:leader="none"/>
        </w:tabs>
        <w:spacing w:line="240" w:lineRule="auto" w:before="0" w:after="0"/>
        <w:ind w:left="1666" w:right="0" w:hanging="447"/>
        <w:jc w:val="left"/>
        <w:rPr>
          <w:b/>
          <w:sz w:val="20"/>
        </w:rPr>
      </w:pPr>
      <w:r>
        <w:rPr>
          <w:b/>
          <w:sz w:val="20"/>
          <w:u w:val="thick"/>
        </w:rPr>
        <w:t>Departmental</w:t>
      </w:r>
      <w:r>
        <w:rPr>
          <w:b/>
          <w:spacing w:val="-11"/>
          <w:sz w:val="20"/>
          <w:u w:val="thick"/>
        </w:rPr>
        <w:t> </w:t>
      </w:r>
      <w:r>
        <w:rPr>
          <w:b/>
          <w:spacing w:val="-2"/>
          <w:sz w:val="20"/>
          <w:u w:val="thick"/>
        </w:rPr>
        <w:t>Activities</w:t>
      </w:r>
    </w:p>
    <w:p>
      <w:pPr>
        <w:pStyle w:val="BodyText"/>
        <w:spacing w:before="5"/>
        <w:rPr>
          <w:b/>
          <w:sz w:val="12"/>
        </w:rPr>
      </w:pPr>
    </w:p>
    <w:p>
      <w:pPr>
        <w:pStyle w:val="ListParagraph"/>
        <w:numPr>
          <w:ilvl w:val="1"/>
          <w:numId w:val="14"/>
        </w:numPr>
        <w:tabs>
          <w:tab w:pos="2299" w:val="left" w:leader="none"/>
          <w:tab w:pos="2300" w:val="left" w:leader="none"/>
        </w:tabs>
        <w:spacing w:line="240" w:lineRule="auto" w:before="92" w:after="0"/>
        <w:ind w:left="2299" w:right="1170" w:hanging="634"/>
        <w:jc w:val="left"/>
        <w:rPr>
          <w:sz w:val="20"/>
        </w:rPr>
      </w:pPr>
      <w:r>
        <w:rPr>
          <w:sz w:val="20"/>
        </w:rPr>
        <w:t>Round</w:t>
      </w:r>
      <w:r>
        <w:rPr>
          <w:spacing w:val="-6"/>
          <w:sz w:val="20"/>
        </w:rPr>
        <w:t> </w:t>
      </w:r>
      <w:r>
        <w:rPr>
          <w:sz w:val="20"/>
        </w:rPr>
        <w:t>Table</w:t>
      </w:r>
      <w:r>
        <w:rPr>
          <w:spacing w:val="-4"/>
          <w:sz w:val="20"/>
        </w:rPr>
        <w:t> </w:t>
      </w:r>
      <w:r>
        <w:rPr>
          <w:sz w:val="20"/>
        </w:rPr>
        <w:t>Discussions:</w:t>
      </w:r>
      <w:r>
        <w:rPr>
          <w:spacing w:val="-4"/>
          <w:sz w:val="20"/>
        </w:rPr>
        <w:t> </w:t>
      </w:r>
      <w:r>
        <w:rPr>
          <w:sz w:val="20"/>
        </w:rPr>
        <w:t>Discussions</w:t>
      </w:r>
      <w:r>
        <w:rPr>
          <w:spacing w:val="-5"/>
          <w:sz w:val="20"/>
        </w:rPr>
        <w:t> </w:t>
      </w:r>
      <w:r>
        <w:rPr>
          <w:sz w:val="20"/>
        </w:rPr>
        <w:t>to</w:t>
      </w:r>
      <w:r>
        <w:rPr>
          <w:spacing w:val="-4"/>
          <w:sz w:val="20"/>
        </w:rPr>
        <w:t> </w:t>
      </w:r>
      <w:r>
        <w:rPr>
          <w:sz w:val="20"/>
        </w:rPr>
        <w:t>bring</w:t>
      </w:r>
      <w:r>
        <w:rPr>
          <w:spacing w:val="-6"/>
          <w:sz w:val="20"/>
        </w:rPr>
        <w:t> </w:t>
      </w:r>
      <w:r>
        <w:rPr>
          <w:sz w:val="20"/>
        </w:rPr>
        <w:t>awareness</w:t>
      </w:r>
      <w:r>
        <w:rPr>
          <w:spacing w:val="-5"/>
          <w:sz w:val="20"/>
        </w:rPr>
        <w:t> </w:t>
      </w:r>
      <w:r>
        <w:rPr>
          <w:sz w:val="20"/>
        </w:rPr>
        <w:t>to</w:t>
      </w:r>
      <w:r>
        <w:rPr>
          <w:spacing w:val="-6"/>
          <w:sz w:val="20"/>
        </w:rPr>
        <w:t> </w:t>
      </w:r>
      <w:r>
        <w:rPr>
          <w:sz w:val="20"/>
        </w:rPr>
        <w:t>peers</w:t>
      </w:r>
      <w:r>
        <w:rPr>
          <w:spacing w:val="-5"/>
          <w:sz w:val="20"/>
        </w:rPr>
        <w:t> </w:t>
      </w:r>
      <w:r>
        <w:rPr>
          <w:sz w:val="20"/>
        </w:rPr>
        <w:t>regarding architectural and social issues.</w:t>
      </w:r>
    </w:p>
    <w:p>
      <w:pPr>
        <w:pStyle w:val="ListParagraph"/>
        <w:numPr>
          <w:ilvl w:val="1"/>
          <w:numId w:val="14"/>
        </w:numPr>
        <w:tabs>
          <w:tab w:pos="2299" w:val="left" w:leader="none"/>
          <w:tab w:pos="2300" w:val="left" w:leader="none"/>
        </w:tabs>
        <w:spacing w:line="240" w:lineRule="auto" w:before="81" w:after="0"/>
        <w:ind w:left="2299" w:right="0" w:hanging="634"/>
        <w:jc w:val="left"/>
        <w:rPr>
          <w:sz w:val="20"/>
        </w:rPr>
      </w:pPr>
      <w:r>
        <w:rPr>
          <w:sz w:val="20"/>
        </w:rPr>
        <w:t>Portfolio</w:t>
      </w:r>
      <w:r>
        <w:rPr>
          <w:spacing w:val="-9"/>
          <w:sz w:val="20"/>
        </w:rPr>
        <w:t> </w:t>
      </w:r>
      <w:r>
        <w:rPr>
          <w:sz w:val="20"/>
        </w:rPr>
        <w:t>Review:</w:t>
      </w:r>
      <w:r>
        <w:rPr>
          <w:spacing w:val="-6"/>
          <w:sz w:val="20"/>
        </w:rPr>
        <w:t> </w:t>
      </w:r>
      <w:r>
        <w:rPr>
          <w:sz w:val="20"/>
        </w:rPr>
        <w:t>Impromptu</w:t>
      </w:r>
      <w:r>
        <w:rPr>
          <w:spacing w:val="-9"/>
          <w:sz w:val="20"/>
        </w:rPr>
        <w:t> </w:t>
      </w:r>
      <w:r>
        <w:rPr>
          <w:sz w:val="20"/>
        </w:rPr>
        <w:t>sessions</w:t>
      </w:r>
      <w:r>
        <w:rPr>
          <w:spacing w:val="-7"/>
          <w:sz w:val="20"/>
        </w:rPr>
        <w:t> </w:t>
      </w:r>
      <w:r>
        <w:rPr>
          <w:sz w:val="20"/>
        </w:rPr>
        <w:t>for</w:t>
      </w:r>
      <w:r>
        <w:rPr>
          <w:spacing w:val="-8"/>
          <w:sz w:val="20"/>
        </w:rPr>
        <w:t> </w:t>
      </w:r>
      <w:r>
        <w:rPr>
          <w:sz w:val="20"/>
        </w:rPr>
        <w:t>peers</w:t>
      </w:r>
      <w:r>
        <w:rPr>
          <w:spacing w:val="-7"/>
          <w:sz w:val="20"/>
        </w:rPr>
        <w:t> </w:t>
      </w:r>
      <w:r>
        <w:rPr>
          <w:sz w:val="20"/>
        </w:rPr>
        <w:t>to</w:t>
      </w:r>
      <w:r>
        <w:rPr>
          <w:spacing w:val="-7"/>
          <w:sz w:val="20"/>
        </w:rPr>
        <w:t> </w:t>
      </w:r>
      <w:r>
        <w:rPr>
          <w:sz w:val="20"/>
        </w:rPr>
        <w:t>critique</w:t>
      </w:r>
      <w:r>
        <w:rPr>
          <w:spacing w:val="-6"/>
          <w:sz w:val="20"/>
        </w:rPr>
        <w:t> </w:t>
      </w:r>
      <w:r>
        <w:rPr>
          <w:sz w:val="20"/>
        </w:rPr>
        <w:t>one</w:t>
      </w:r>
      <w:r>
        <w:rPr>
          <w:spacing w:val="-7"/>
          <w:sz w:val="20"/>
        </w:rPr>
        <w:t> </w:t>
      </w:r>
      <w:r>
        <w:rPr>
          <w:sz w:val="20"/>
        </w:rPr>
        <w:t>another’s</w:t>
      </w:r>
      <w:r>
        <w:rPr>
          <w:spacing w:val="-7"/>
          <w:sz w:val="20"/>
        </w:rPr>
        <w:t> </w:t>
      </w:r>
      <w:r>
        <w:rPr>
          <w:spacing w:val="-2"/>
          <w:sz w:val="20"/>
        </w:rPr>
        <w:t>portfolios</w:t>
      </w:r>
    </w:p>
    <w:p>
      <w:pPr>
        <w:pStyle w:val="ListParagraph"/>
        <w:numPr>
          <w:ilvl w:val="1"/>
          <w:numId w:val="14"/>
        </w:numPr>
        <w:tabs>
          <w:tab w:pos="2299" w:val="left" w:leader="none"/>
          <w:tab w:pos="2300" w:val="left" w:leader="none"/>
        </w:tabs>
        <w:spacing w:line="240" w:lineRule="auto" w:before="82" w:after="0"/>
        <w:ind w:left="2299" w:right="0" w:hanging="634"/>
        <w:jc w:val="left"/>
        <w:rPr>
          <w:sz w:val="20"/>
        </w:rPr>
      </w:pPr>
      <w:r>
        <w:rPr>
          <w:sz w:val="20"/>
        </w:rPr>
        <w:t>Membership</w:t>
      </w:r>
      <w:r>
        <w:rPr>
          <w:spacing w:val="-9"/>
          <w:sz w:val="20"/>
        </w:rPr>
        <w:t> </w:t>
      </w:r>
      <w:r>
        <w:rPr>
          <w:sz w:val="20"/>
        </w:rPr>
        <w:t>Soiree:</w:t>
      </w:r>
      <w:r>
        <w:rPr>
          <w:spacing w:val="-9"/>
          <w:sz w:val="20"/>
        </w:rPr>
        <w:t> </w:t>
      </w:r>
      <w:r>
        <w:rPr>
          <w:sz w:val="20"/>
        </w:rPr>
        <w:t>Recruitment</w:t>
      </w:r>
      <w:r>
        <w:rPr>
          <w:spacing w:val="-8"/>
          <w:sz w:val="20"/>
        </w:rPr>
        <w:t> </w:t>
      </w:r>
      <w:r>
        <w:rPr>
          <w:sz w:val="20"/>
        </w:rPr>
        <w:t>banquet</w:t>
      </w:r>
      <w:r>
        <w:rPr>
          <w:spacing w:val="-9"/>
          <w:sz w:val="20"/>
        </w:rPr>
        <w:t> </w:t>
      </w:r>
      <w:r>
        <w:rPr>
          <w:sz w:val="20"/>
        </w:rPr>
        <w:t>to</w:t>
      </w:r>
      <w:r>
        <w:rPr>
          <w:spacing w:val="-7"/>
          <w:sz w:val="20"/>
        </w:rPr>
        <w:t> </w:t>
      </w:r>
      <w:r>
        <w:rPr>
          <w:sz w:val="20"/>
        </w:rPr>
        <w:t>inform</w:t>
      </w:r>
      <w:r>
        <w:rPr>
          <w:spacing w:val="-4"/>
          <w:sz w:val="20"/>
        </w:rPr>
        <w:t> </w:t>
      </w:r>
      <w:r>
        <w:rPr>
          <w:sz w:val="20"/>
        </w:rPr>
        <w:t>students</w:t>
      </w:r>
      <w:r>
        <w:rPr>
          <w:spacing w:val="-8"/>
          <w:sz w:val="20"/>
        </w:rPr>
        <w:t> </w:t>
      </w:r>
      <w:r>
        <w:rPr>
          <w:sz w:val="20"/>
        </w:rPr>
        <w:t>about</w:t>
      </w:r>
      <w:r>
        <w:rPr>
          <w:spacing w:val="-9"/>
          <w:sz w:val="20"/>
        </w:rPr>
        <w:t> </w:t>
      </w:r>
      <w:r>
        <w:rPr>
          <w:spacing w:val="-2"/>
          <w:sz w:val="20"/>
        </w:rPr>
        <w:t>AIAS.</w:t>
      </w:r>
    </w:p>
    <w:p>
      <w:pPr>
        <w:pStyle w:val="ListParagraph"/>
        <w:numPr>
          <w:ilvl w:val="1"/>
          <w:numId w:val="14"/>
        </w:numPr>
        <w:tabs>
          <w:tab w:pos="2299" w:val="left" w:leader="none"/>
          <w:tab w:pos="2300" w:val="left" w:leader="none"/>
        </w:tabs>
        <w:spacing w:line="240" w:lineRule="auto" w:before="79" w:after="0"/>
        <w:ind w:left="2299" w:right="1513" w:hanging="634"/>
        <w:jc w:val="left"/>
        <w:rPr>
          <w:sz w:val="20"/>
        </w:rPr>
      </w:pPr>
      <w:r>
        <w:rPr>
          <w:sz w:val="20"/>
        </w:rPr>
        <w:t>Big</w:t>
      </w:r>
      <w:r>
        <w:rPr>
          <w:spacing w:val="-3"/>
          <w:sz w:val="20"/>
        </w:rPr>
        <w:t> </w:t>
      </w:r>
      <w:r>
        <w:rPr>
          <w:sz w:val="20"/>
        </w:rPr>
        <w:t>Brother,</w:t>
      </w:r>
      <w:r>
        <w:rPr>
          <w:spacing w:val="-3"/>
          <w:sz w:val="20"/>
        </w:rPr>
        <w:t> </w:t>
      </w:r>
      <w:r>
        <w:rPr>
          <w:sz w:val="20"/>
        </w:rPr>
        <w:t>Big</w:t>
      </w:r>
      <w:r>
        <w:rPr>
          <w:spacing w:val="-5"/>
          <w:sz w:val="20"/>
        </w:rPr>
        <w:t> </w:t>
      </w:r>
      <w:r>
        <w:rPr>
          <w:sz w:val="20"/>
        </w:rPr>
        <w:t>Sister</w:t>
      </w:r>
      <w:r>
        <w:rPr>
          <w:spacing w:val="-4"/>
          <w:sz w:val="20"/>
        </w:rPr>
        <w:t> </w:t>
      </w:r>
      <w:r>
        <w:rPr>
          <w:sz w:val="20"/>
        </w:rPr>
        <w:t>Matchup:</w:t>
      </w:r>
      <w:r>
        <w:rPr>
          <w:spacing w:val="-5"/>
          <w:sz w:val="20"/>
        </w:rPr>
        <w:t> </w:t>
      </w:r>
      <w:r>
        <w:rPr>
          <w:sz w:val="20"/>
        </w:rPr>
        <w:t>Matching</w:t>
      </w:r>
      <w:r>
        <w:rPr>
          <w:spacing w:val="-5"/>
          <w:sz w:val="20"/>
        </w:rPr>
        <w:t> </w:t>
      </w:r>
      <w:r>
        <w:rPr>
          <w:sz w:val="20"/>
        </w:rPr>
        <w:t>freshman</w:t>
      </w:r>
      <w:r>
        <w:rPr>
          <w:spacing w:val="-5"/>
          <w:sz w:val="20"/>
        </w:rPr>
        <w:t> </w:t>
      </w:r>
      <w:r>
        <w:rPr>
          <w:sz w:val="20"/>
        </w:rPr>
        <w:t>to</w:t>
      </w:r>
      <w:r>
        <w:rPr>
          <w:spacing w:val="-5"/>
          <w:sz w:val="20"/>
        </w:rPr>
        <w:t> </w:t>
      </w:r>
      <w:r>
        <w:rPr>
          <w:sz w:val="20"/>
        </w:rPr>
        <w:t>upperclassmen</w:t>
      </w:r>
      <w:r>
        <w:rPr>
          <w:spacing w:val="-5"/>
          <w:sz w:val="20"/>
        </w:rPr>
        <w:t> </w:t>
      </w:r>
      <w:r>
        <w:rPr>
          <w:sz w:val="20"/>
        </w:rPr>
        <w:t>for </w:t>
      </w:r>
      <w:r>
        <w:rPr>
          <w:spacing w:val="-2"/>
          <w:sz w:val="20"/>
        </w:rPr>
        <w:t>assistance.</w:t>
      </w:r>
    </w:p>
    <w:p>
      <w:pPr>
        <w:pStyle w:val="ListParagraph"/>
        <w:numPr>
          <w:ilvl w:val="1"/>
          <w:numId w:val="14"/>
        </w:numPr>
        <w:tabs>
          <w:tab w:pos="2299" w:val="left" w:leader="none"/>
          <w:tab w:pos="2300" w:val="left" w:leader="none"/>
        </w:tabs>
        <w:spacing w:line="240" w:lineRule="auto" w:before="80" w:after="0"/>
        <w:ind w:left="2299" w:right="0" w:hanging="634"/>
        <w:jc w:val="left"/>
        <w:rPr>
          <w:sz w:val="20"/>
        </w:rPr>
      </w:pPr>
      <w:r>
        <w:rPr>
          <w:sz w:val="20"/>
        </w:rPr>
        <w:t>Freshman</w:t>
      </w:r>
      <w:r>
        <w:rPr>
          <w:spacing w:val="-12"/>
          <w:sz w:val="20"/>
        </w:rPr>
        <w:t> </w:t>
      </w:r>
      <w:r>
        <w:rPr>
          <w:sz w:val="20"/>
        </w:rPr>
        <w:t>Week:</w:t>
      </w:r>
      <w:r>
        <w:rPr>
          <w:spacing w:val="-7"/>
          <w:sz w:val="20"/>
        </w:rPr>
        <w:t> </w:t>
      </w:r>
      <w:r>
        <w:rPr>
          <w:sz w:val="20"/>
        </w:rPr>
        <w:t>A</w:t>
      </w:r>
      <w:r>
        <w:rPr>
          <w:spacing w:val="-5"/>
          <w:sz w:val="20"/>
        </w:rPr>
        <w:t> </w:t>
      </w:r>
      <w:r>
        <w:rPr>
          <w:sz w:val="20"/>
        </w:rPr>
        <w:t>week</w:t>
      </w:r>
      <w:r>
        <w:rPr>
          <w:spacing w:val="-3"/>
          <w:sz w:val="20"/>
        </w:rPr>
        <w:t> </w:t>
      </w:r>
      <w:r>
        <w:rPr>
          <w:sz w:val="20"/>
        </w:rPr>
        <w:t>dedicated</w:t>
      </w:r>
      <w:r>
        <w:rPr>
          <w:spacing w:val="-7"/>
          <w:sz w:val="20"/>
        </w:rPr>
        <w:t> </w:t>
      </w:r>
      <w:r>
        <w:rPr>
          <w:sz w:val="20"/>
        </w:rPr>
        <w:t>to</w:t>
      </w:r>
      <w:r>
        <w:rPr>
          <w:spacing w:val="-7"/>
          <w:sz w:val="20"/>
        </w:rPr>
        <w:t> </w:t>
      </w:r>
      <w:r>
        <w:rPr>
          <w:sz w:val="20"/>
        </w:rPr>
        <w:t>the</w:t>
      </w:r>
      <w:r>
        <w:rPr>
          <w:spacing w:val="-7"/>
          <w:sz w:val="20"/>
        </w:rPr>
        <w:t> </w:t>
      </w:r>
      <w:r>
        <w:rPr>
          <w:sz w:val="20"/>
        </w:rPr>
        <w:t>incoming</w:t>
      </w:r>
      <w:r>
        <w:rPr>
          <w:spacing w:val="-7"/>
          <w:sz w:val="20"/>
        </w:rPr>
        <w:t> </w:t>
      </w:r>
      <w:r>
        <w:rPr>
          <w:sz w:val="20"/>
        </w:rPr>
        <w:t>architecture</w:t>
      </w:r>
      <w:r>
        <w:rPr>
          <w:spacing w:val="-7"/>
          <w:sz w:val="20"/>
        </w:rPr>
        <w:t> </w:t>
      </w:r>
      <w:r>
        <w:rPr>
          <w:spacing w:val="-2"/>
          <w:sz w:val="20"/>
        </w:rPr>
        <w:t>students.</w:t>
      </w:r>
    </w:p>
    <w:p>
      <w:pPr>
        <w:pStyle w:val="ListParagraph"/>
        <w:numPr>
          <w:ilvl w:val="1"/>
          <w:numId w:val="14"/>
        </w:numPr>
        <w:tabs>
          <w:tab w:pos="2299" w:val="left" w:leader="none"/>
          <w:tab w:pos="2300" w:val="left" w:leader="none"/>
        </w:tabs>
        <w:spacing w:line="240" w:lineRule="auto" w:before="80" w:after="0"/>
        <w:ind w:left="2299" w:right="0" w:hanging="635"/>
        <w:jc w:val="left"/>
        <w:rPr>
          <w:sz w:val="20"/>
        </w:rPr>
      </w:pPr>
      <w:r>
        <w:rPr>
          <w:sz w:val="20"/>
        </w:rPr>
        <w:t>Bowling</w:t>
      </w:r>
      <w:r>
        <w:rPr>
          <w:spacing w:val="-8"/>
          <w:sz w:val="20"/>
        </w:rPr>
        <w:t> </w:t>
      </w:r>
      <w:r>
        <w:rPr>
          <w:sz w:val="20"/>
        </w:rPr>
        <w:t>Night:</w:t>
      </w:r>
      <w:r>
        <w:rPr>
          <w:spacing w:val="-7"/>
          <w:sz w:val="20"/>
        </w:rPr>
        <w:t> </w:t>
      </w:r>
      <w:r>
        <w:rPr>
          <w:sz w:val="20"/>
        </w:rPr>
        <w:t>A</w:t>
      </w:r>
      <w:r>
        <w:rPr>
          <w:spacing w:val="-5"/>
          <w:sz w:val="20"/>
        </w:rPr>
        <w:t> </w:t>
      </w:r>
      <w:r>
        <w:rPr>
          <w:sz w:val="20"/>
        </w:rPr>
        <w:t>social</w:t>
      </w:r>
      <w:r>
        <w:rPr>
          <w:spacing w:val="-8"/>
          <w:sz w:val="20"/>
        </w:rPr>
        <w:t> </w:t>
      </w:r>
      <w:r>
        <w:rPr>
          <w:sz w:val="20"/>
        </w:rPr>
        <w:t>bonding</w:t>
      </w:r>
      <w:r>
        <w:rPr>
          <w:spacing w:val="-8"/>
          <w:sz w:val="20"/>
        </w:rPr>
        <w:t> </w:t>
      </w:r>
      <w:r>
        <w:rPr>
          <w:sz w:val="20"/>
        </w:rPr>
        <w:t>activity</w:t>
      </w:r>
      <w:r>
        <w:rPr>
          <w:spacing w:val="-9"/>
          <w:sz w:val="20"/>
        </w:rPr>
        <w:t> </w:t>
      </w:r>
      <w:r>
        <w:rPr>
          <w:sz w:val="20"/>
        </w:rPr>
        <w:t>for</w:t>
      </w:r>
      <w:r>
        <w:rPr>
          <w:spacing w:val="-7"/>
          <w:sz w:val="20"/>
        </w:rPr>
        <w:t> </w:t>
      </w:r>
      <w:r>
        <w:rPr>
          <w:sz w:val="20"/>
        </w:rPr>
        <w:t>architecture</w:t>
      </w:r>
      <w:r>
        <w:rPr>
          <w:spacing w:val="-5"/>
          <w:sz w:val="20"/>
        </w:rPr>
        <w:t> </w:t>
      </w:r>
      <w:r>
        <w:rPr>
          <w:sz w:val="20"/>
        </w:rPr>
        <w:t>students</w:t>
      </w:r>
      <w:r>
        <w:rPr>
          <w:spacing w:val="-6"/>
          <w:sz w:val="20"/>
        </w:rPr>
        <w:t> </w:t>
      </w:r>
      <w:r>
        <w:rPr>
          <w:sz w:val="20"/>
        </w:rPr>
        <w:t>involving</w:t>
      </w:r>
      <w:r>
        <w:rPr>
          <w:spacing w:val="-8"/>
          <w:sz w:val="20"/>
        </w:rPr>
        <w:t> </w:t>
      </w:r>
      <w:r>
        <w:rPr>
          <w:spacing w:val="-2"/>
          <w:sz w:val="20"/>
        </w:rPr>
        <w:t>bowling.</w:t>
      </w:r>
    </w:p>
    <w:p>
      <w:pPr>
        <w:pStyle w:val="ListParagraph"/>
        <w:numPr>
          <w:ilvl w:val="1"/>
          <w:numId w:val="14"/>
        </w:numPr>
        <w:tabs>
          <w:tab w:pos="2299" w:val="left" w:leader="none"/>
          <w:tab w:pos="2300" w:val="left" w:leader="none"/>
        </w:tabs>
        <w:spacing w:line="240" w:lineRule="auto" w:before="79" w:after="0"/>
        <w:ind w:left="2299" w:right="0" w:hanging="635"/>
        <w:jc w:val="left"/>
        <w:rPr>
          <w:sz w:val="20"/>
        </w:rPr>
      </w:pPr>
      <w:r>
        <w:rPr>
          <w:sz w:val="20"/>
        </w:rPr>
        <w:t>Movie</w:t>
      </w:r>
      <w:r>
        <w:rPr>
          <w:spacing w:val="-6"/>
          <w:sz w:val="20"/>
        </w:rPr>
        <w:t> </w:t>
      </w:r>
      <w:r>
        <w:rPr>
          <w:sz w:val="20"/>
        </w:rPr>
        <w:t>Night:</w:t>
      </w:r>
      <w:r>
        <w:rPr>
          <w:spacing w:val="-5"/>
          <w:sz w:val="20"/>
        </w:rPr>
        <w:t> </w:t>
      </w:r>
      <w:r>
        <w:rPr>
          <w:sz w:val="20"/>
        </w:rPr>
        <w:t>A</w:t>
      </w:r>
      <w:r>
        <w:rPr>
          <w:spacing w:val="-8"/>
          <w:sz w:val="20"/>
        </w:rPr>
        <w:t> </w:t>
      </w:r>
      <w:r>
        <w:rPr>
          <w:sz w:val="20"/>
        </w:rPr>
        <w:t>social</w:t>
      </w:r>
      <w:r>
        <w:rPr>
          <w:spacing w:val="-5"/>
          <w:sz w:val="20"/>
        </w:rPr>
        <w:t> </w:t>
      </w:r>
      <w:r>
        <w:rPr>
          <w:sz w:val="20"/>
        </w:rPr>
        <w:t>bonding</w:t>
      </w:r>
      <w:r>
        <w:rPr>
          <w:spacing w:val="-7"/>
          <w:sz w:val="20"/>
        </w:rPr>
        <w:t> </w:t>
      </w:r>
      <w:r>
        <w:rPr>
          <w:sz w:val="20"/>
        </w:rPr>
        <w:t>activity</w:t>
      </w:r>
      <w:r>
        <w:rPr>
          <w:spacing w:val="-10"/>
          <w:sz w:val="20"/>
        </w:rPr>
        <w:t> </w:t>
      </w:r>
      <w:r>
        <w:rPr>
          <w:sz w:val="20"/>
        </w:rPr>
        <w:t>for</w:t>
      </w:r>
      <w:r>
        <w:rPr>
          <w:spacing w:val="-6"/>
          <w:sz w:val="20"/>
        </w:rPr>
        <w:t> </w:t>
      </w:r>
      <w:r>
        <w:rPr>
          <w:sz w:val="20"/>
        </w:rPr>
        <w:t>architecture</w:t>
      </w:r>
      <w:r>
        <w:rPr>
          <w:spacing w:val="-7"/>
          <w:sz w:val="20"/>
        </w:rPr>
        <w:t> </w:t>
      </w:r>
      <w:r>
        <w:rPr>
          <w:sz w:val="20"/>
        </w:rPr>
        <w:t>students</w:t>
      </w:r>
      <w:r>
        <w:rPr>
          <w:spacing w:val="-6"/>
          <w:sz w:val="20"/>
        </w:rPr>
        <w:t> </w:t>
      </w:r>
      <w:r>
        <w:rPr>
          <w:sz w:val="20"/>
        </w:rPr>
        <w:t>involving</w:t>
      </w:r>
      <w:r>
        <w:rPr>
          <w:spacing w:val="-7"/>
          <w:sz w:val="20"/>
        </w:rPr>
        <w:t> </w:t>
      </w:r>
      <w:r>
        <w:rPr>
          <w:sz w:val="20"/>
        </w:rPr>
        <w:t>a</w:t>
      </w:r>
      <w:r>
        <w:rPr>
          <w:spacing w:val="-7"/>
          <w:sz w:val="20"/>
        </w:rPr>
        <w:t> </w:t>
      </w:r>
      <w:r>
        <w:rPr>
          <w:spacing w:val="-2"/>
          <w:sz w:val="20"/>
        </w:rPr>
        <w:t>movie.</w:t>
      </w:r>
    </w:p>
    <w:p>
      <w:pPr>
        <w:pStyle w:val="BodyText"/>
        <w:spacing w:before="8"/>
      </w:pPr>
    </w:p>
    <w:p>
      <w:pPr>
        <w:pStyle w:val="BodyText"/>
        <w:ind w:left="1219" w:right="499"/>
      </w:pPr>
      <w:r>
        <w:rPr/>
        <w:t>In Spring, 2012, Tuskegee Airmen Memorial at Fort Monroe – Wesley Henderson</w:t>
      </w:r>
      <w:r>
        <w:rPr>
          <w:spacing w:val="40"/>
        </w:rPr>
        <w:t> </w:t>
      </w:r>
      <w:r>
        <w:rPr/>
        <w:t>taught an elective course with 6 enrolled students, where the assignment was to design a memorial for the Tuskegee</w:t>
      </w:r>
      <w:r>
        <w:rPr>
          <w:spacing w:val="-4"/>
        </w:rPr>
        <w:t> </w:t>
      </w:r>
      <w:r>
        <w:rPr/>
        <w:t>Airmen</w:t>
      </w:r>
      <w:r>
        <w:rPr>
          <w:spacing w:val="-4"/>
        </w:rPr>
        <w:t> </w:t>
      </w:r>
      <w:r>
        <w:rPr/>
        <w:t>to</w:t>
      </w:r>
      <w:r>
        <w:rPr>
          <w:spacing w:val="-4"/>
        </w:rPr>
        <w:t> </w:t>
      </w:r>
      <w:r>
        <w:rPr/>
        <w:t>be</w:t>
      </w:r>
      <w:r>
        <w:rPr>
          <w:spacing w:val="-4"/>
        </w:rPr>
        <w:t> </w:t>
      </w:r>
      <w:r>
        <w:rPr/>
        <w:t>located</w:t>
      </w:r>
      <w:r>
        <w:rPr>
          <w:spacing w:val="-2"/>
        </w:rPr>
        <w:t> </w:t>
      </w:r>
      <w:r>
        <w:rPr/>
        <w:t>at</w:t>
      </w:r>
      <w:r>
        <w:rPr>
          <w:spacing w:val="-4"/>
        </w:rPr>
        <w:t> </w:t>
      </w:r>
      <w:r>
        <w:rPr/>
        <w:t>Fort</w:t>
      </w:r>
      <w:r>
        <w:rPr>
          <w:spacing w:val="-2"/>
        </w:rPr>
        <w:t> </w:t>
      </w:r>
      <w:r>
        <w:rPr/>
        <w:t>Monroe,</w:t>
      </w:r>
      <w:r>
        <w:rPr>
          <w:spacing w:val="-2"/>
        </w:rPr>
        <w:t> </w:t>
      </w:r>
      <w:r>
        <w:rPr/>
        <w:t>VA.</w:t>
      </w:r>
      <w:r>
        <w:rPr>
          <w:spacing w:val="-4"/>
        </w:rPr>
        <w:t> </w:t>
      </w:r>
      <w:r>
        <w:rPr/>
        <w:t>He worked</w:t>
      </w:r>
      <w:r>
        <w:rPr>
          <w:spacing w:val="-2"/>
        </w:rPr>
        <w:t> </w:t>
      </w:r>
      <w:r>
        <w:rPr/>
        <w:t>with</w:t>
      </w:r>
      <w:r>
        <w:rPr>
          <w:spacing w:val="-4"/>
        </w:rPr>
        <w:t> </w:t>
      </w:r>
      <w:r>
        <w:rPr/>
        <w:t>the</w:t>
      </w:r>
      <w:r>
        <w:rPr>
          <w:spacing w:val="-4"/>
        </w:rPr>
        <w:t> </w:t>
      </w:r>
      <w:r>
        <w:rPr/>
        <w:t>Tidewater</w:t>
      </w:r>
      <w:r>
        <w:rPr>
          <w:spacing w:val="-3"/>
        </w:rPr>
        <w:t> </w:t>
      </w:r>
      <w:r>
        <w:rPr/>
        <w:t>Chapter</w:t>
      </w:r>
      <w:r>
        <w:rPr>
          <w:spacing w:val="-3"/>
        </w:rPr>
        <w:t> </w:t>
      </w:r>
      <w:r>
        <w:rPr/>
        <w:t>of</w:t>
      </w:r>
      <w:r>
        <w:rPr>
          <w:spacing w:val="-2"/>
        </w:rPr>
        <w:t> </w:t>
      </w:r>
      <w:r>
        <w:rPr/>
        <w:t>the Tuskegee Airmen, Inc. organization. The Tuskegee Airmen, Inc. organization gave scholarships</w:t>
      </w:r>
    </w:p>
    <w:p>
      <w:pPr>
        <w:spacing w:after="0"/>
        <w:sectPr>
          <w:pgSz w:w="12240" w:h="15840"/>
          <w:pgMar w:header="0" w:footer="974" w:top="1360" w:bottom="1160" w:left="940" w:right="960"/>
        </w:sectPr>
      </w:pPr>
    </w:p>
    <w:p>
      <w:pPr>
        <w:pStyle w:val="BodyText"/>
        <w:spacing w:before="77"/>
        <w:ind w:left="1220"/>
      </w:pPr>
      <w:r>
        <w:rPr/>
        <w:t>to</w:t>
      </w:r>
      <w:r>
        <w:rPr>
          <w:spacing w:val="-4"/>
        </w:rPr>
        <w:t> </w:t>
      </w:r>
      <w:r>
        <w:rPr/>
        <w:t>the</w:t>
      </w:r>
      <w:r>
        <w:rPr>
          <w:spacing w:val="-4"/>
        </w:rPr>
        <w:t> </w:t>
      </w:r>
      <w:r>
        <w:rPr/>
        <w:t>top</w:t>
      </w:r>
      <w:r>
        <w:rPr>
          <w:spacing w:val="-4"/>
        </w:rPr>
        <w:t> </w:t>
      </w:r>
      <w:r>
        <w:rPr/>
        <w:t>3</w:t>
      </w:r>
      <w:r>
        <w:rPr>
          <w:spacing w:val="-4"/>
        </w:rPr>
        <w:t> </w:t>
      </w:r>
      <w:r>
        <w:rPr/>
        <w:t>students who</w:t>
      </w:r>
      <w:r>
        <w:rPr>
          <w:spacing w:val="-2"/>
        </w:rPr>
        <w:t> </w:t>
      </w:r>
      <w:r>
        <w:rPr/>
        <w:t>designed</w:t>
      </w:r>
      <w:r>
        <w:rPr>
          <w:spacing w:val="-4"/>
        </w:rPr>
        <w:t> </w:t>
      </w:r>
      <w:r>
        <w:rPr/>
        <w:t>a</w:t>
      </w:r>
      <w:r>
        <w:rPr>
          <w:spacing w:val="-2"/>
        </w:rPr>
        <w:t> </w:t>
      </w:r>
      <w:r>
        <w:rPr/>
        <w:t>Memorial</w:t>
      </w:r>
      <w:r>
        <w:rPr>
          <w:spacing w:val="-5"/>
        </w:rPr>
        <w:t> </w:t>
      </w:r>
      <w:r>
        <w:rPr/>
        <w:t>for</w:t>
      </w:r>
      <w:r>
        <w:rPr>
          <w:spacing w:val="-3"/>
        </w:rPr>
        <w:t> </w:t>
      </w:r>
      <w:r>
        <w:rPr/>
        <w:t>them at</w:t>
      </w:r>
      <w:r>
        <w:rPr>
          <w:spacing w:val="-4"/>
        </w:rPr>
        <w:t> </w:t>
      </w:r>
      <w:r>
        <w:rPr/>
        <w:t>Fort</w:t>
      </w:r>
      <w:r>
        <w:rPr>
          <w:spacing w:val="-4"/>
        </w:rPr>
        <w:t> </w:t>
      </w:r>
      <w:r>
        <w:rPr/>
        <w:t>Monroe.</w:t>
      </w:r>
      <w:r>
        <w:rPr>
          <w:spacing w:val="-2"/>
        </w:rPr>
        <w:t> </w:t>
      </w:r>
      <w:r>
        <w:rPr/>
        <w:t>They</w:t>
      </w:r>
      <w:r>
        <w:rPr>
          <w:spacing w:val="-7"/>
        </w:rPr>
        <w:t> </w:t>
      </w:r>
      <w:r>
        <w:rPr/>
        <w:t>awarded</w:t>
      </w:r>
      <w:r>
        <w:rPr>
          <w:spacing w:val="-2"/>
        </w:rPr>
        <w:t> </w:t>
      </w:r>
      <w:r>
        <w:rPr/>
        <w:t>$1000</w:t>
      </w:r>
      <w:r>
        <w:rPr>
          <w:spacing w:val="-2"/>
        </w:rPr>
        <w:t> </w:t>
      </w:r>
      <w:r>
        <w:rPr/>
        <w:t>n scholarship money to three students.</w:t>
      </w:r>
    </w:p>
    <w:p>
      <w:pPr>
        <w:pStyle w:val="BodyText"/>
        <w:spacing w:before="11"/>
      </w:pPr>
    </w:p>
    <w:p>
      <w:pPr>
        <w:pStyle w:val="BodyText"/>
        <w:ind w:left="1219" w:right="499"/>
      </w:pPr>
      <w:r>
        <w:rPr/>
        <w:t>In Spring, 2011, students and faculty participation in the University of Virginia Bay Game demonstration and</w:t>
      </w:r>
      <w:r>
        <w:rPr>
          <w:spacing w:val="-1"/>
        </w:rPr>
        <w:t> </w:t>
      </w:r>
      <w:r>
        <w:rPr/>
        <w:t>full</w:t>
      </w:r>
      <w:r>
        <w:rPr>
          <w:spacing w:val="-2"/>
        </w:rPr>
        <w:t> </w:t>
      </w:r>
      <w:r>
        <w:rPr/>
        <w:t>simulation on April</w:t>
      </w:r>
      <w:r>
        <w:rPr>
          <w:spacing w:val="-2"/>
        </w:rPr>
        <w:t> </w:t>
      </w:r>
      <w:r>
        <w:rPr/>
        <w:t>22nd</w:t>
      </w:r>
      <w:r>
        <w:rPr>
          <w:spacing w:val="-1"/>
        </w:rPr>
        <w:t> </w:t>
      </w:r>
      <w:r>
        <w:rPr/>
        <w:t>Earth</w:t>
      </w:r>
      <w:r>
        <w:rPr>
          <w:spacing w:val="-1"/>
        </w:rPr>
        <w:t> </w:t>
      </w:r>
      <w:r>
        <w:rPr/>
        <w:t>Day.</w:t>
      </w:r>
      <w:r>
        <w:rPr>
          <w:spacing w:val="-1"/>
        </w:rPr>
        <w:t> </w:t>
      </w:r>
      <w:r>
        <w:rPr/>
        <w:t>The</w:t>
      </w:r>
      <w:r>
        <w:rPr>
          <w:spacing w:val="-1"/>
        </w:rPr>
        <w:t> </w:t>
      </w:r>
      <w:r>
        <w:rPr/>
        <w:t>game</w:t>
      </w:r>
      <w:r>
        <w:rPr>
          <w:spacing w:val="-1"/>
        </w:rPr>
        <w:t> </w:t>
      </w:r>
      <w:r>
        <w:rPr/>
        <w:t>was played</w:t>
      </w:r>
      <w:r>
        <w:rPr>
          <w:spacing w:val="-1"/>
        </w:rPr>
        <w:t> </w:t>
      </w:r>
      <w:r>
        <w:rPr/>
        <w:t>by</w:t>
      </w:r>
      <w:r>
        <w:rPr>
          <w:spacing w:val="-2"/>
        </w:rPr>
        <w:t> </w:t>
      </w:r>
      <w:r>
        <w:rPr/>
        <w:t>eight</w:t>
      </w:r>
      <w:r>
        <w:rPr>
          <w:spacing w:val="-1"/>
        </w:rPr>
        <w:t> </w:t>
      </w:r>
      <w:r>
        <w:rPr/>
        <w:t>higher education institutions, each representing a watershed. We</w:t>
      </w:r>
      <w:r>
        <w:rPr>
          <w:spacing w:val="-1"/>
        </w:rPr>
        <w:t> </w:t>
      </w:r>
      <w:r>
        <w:rPr/>
        <w:t>played for the James River. The UVA Bay Game is a simulation where each player assumes a role and interfaces with the simulation engine through a laptop synchronously with the other players. All “watersheds” were connected via teleconferencing. Dr. Benjamin Cuker (HU Marine and Environmental Studies) collaborated with</w:t>
      </w:r>
      <w:r>
        <w:rPr>
          <w:spacing w:val="-2"/>
        </w:rPr>
        <w:t> </w:t>
      </w:r>
      <w:r>
        <w:rPr/>
        <w:t>us</w:t>
      </w:r>
      <w:r>
        <w:rPr>
          <w:spacing w:val="-3"/>
        </w:rPr>
        <w:t> </w:t>
      </w:r>
      <w:r>
        <w:rPr/>
        <w:t>by</w:t>
      </w:r>
      <w:r>
        <w:rPr>
          <w:spacing w:val="-6"/>
        </w:rPr>
        <w:t> </w:t>
      </w:r>
      <w:r>
        <w:rPr/>
        <w:t>playing</w:t>
      </w:r>
      <w:r>
        <w:rPr>
          <w:spacing w:val="-4"/>
        </w:rPr>
        <w:t> </w:t>
      </w:r>
      <w:r>
        <w:rPr/>
        <w:t>the</w:t>
      </w:r>
      <w:r>
        <w:rPr>
          <w:spacing w:val="-4"/>
        </w:rPr>
        <w:t> </w:t>
      </w:r>
      <w:r>
        <w:rPr/>
        <w:t>game</w:t>
      </w:r>
      <w:r>
        <w:rPr>
          <w:spacing w:val="-4"/>
        </w:rPr>
        <w:t> </w:t>
      </w:r>
      <w:r>
        <w:rPr/>
        <w:t>and</w:t>
      </w:r>
      <w:r>
        <w:rPr>
          <w:spacing w:val="-4"/>
        </w:rPr>
        <w:t> </w:t>
      </w:r>
      <w:r>
        <w:rPr/>
        <w:t>providing</w:t>
      </w:r>
      <w:r>
        <w:rPr>
          <w:spacing w:val="-4"/>
        </w:rPr>
        <w:t> </w:t>
      </w:r>
      <w:r>
        <w:rPr/>
        <w:t>guidance</w:t>
      </w:r>
      <w:r>
        <w:rPr>
          <w:spacing w:val="-2"/>
        </w:rPr>
        <w:t> </w:t>
      </w:r>
      <w:r>
        <w:rPr/>
        <w:t>on</w:t>
      </w:r>
      <w:r>
        <w:rPr>
          <w:spacing w:val="-4"/>
        </w:rPr>
        <w:t> </w:t>
      </w:r>
      <w:r>
        <w:rPr/>
        <w:t>the</w:t>
      </w:r>
      <w:r>
        <w:rPr>
          <w:spacing w:val="-2"/>
        </w:rPr>
        <w:t> </w:t>
      </w:r>
      <w:r>
        <w:rPr/>
        <w:t>players</w:t>
      </w:r>
      <w:r>
        <w:rPr>
          <w:spacing w:val="-3"/>
        </w:rPr>
        <w:t> </w:t>
      </w:r>
      <w:r>
        <w:rPr/>
        <w:t>moves.</w:t>
      </w:r>
      <w:r>
        <w:rPr>
          <w:spacing w:val="-2"/>
        </w:rPr>
        <w:t> </w:t>
      </w:r>
      <w:r>
        <w:rPr/>
        <w:t>Prof.</w:t>
      </w:r>
      <w:r>
        <w:rPr>
          <w:spacing w:val="-4"/>
        </w:rPr>
        <w:t> </w:t>
      </w:r>
      <w:r>
        <w:rPr/>
        <w:t>C.</w:t>
      </w:r>
      <w:r>
        <w:rPr>
          <w:spacing w:val="-4"/>
        </w:rPr>
        <w:t> </w:t>
      </w:r>
      <w:r>
        <w:rPr/>
        <w:t>Sánchez-del- Valle served as the liaison with the UVA organizing the game.</w:t>
      </w:r>
    </w:p>
    <w:p>
      <w:pPr>
        <w:pStyle w:val="BodyText"/>
        <w:spacing w:before="9"/>
      </w:pPr>
    </w:p>
    <w:p>
      <w:pPr>
        <w:pStyle w:val="BodyText"/>
        <w:ind w:left="1220" w:right="705" w:hanging="1"/>
      </w:pPr>
      <w:r>
        <w:rPr/>
        <w:t>Our</w:t>
      </w:r>
      <w:r>
        <w:rPr>
          <w:spacing w:val="-3"/>
        </w:rPr>
        <w:t> </w:t>
      </w:r>
      <w:r>
        <w:rPr/>
        <w:t>faculty</w:t>
      </w:r>
      <w:r>
        <w:rPr>
          <w:spacing w:val="-7"/>
        </w:rPr>
        <w:t> </w:t>
      </w:r>
      <w:r>
        <w:rPr/>
        <w:t>are</w:t>
      </w:r>
      <w:r>
        <w:rPr>
          <w:spacing w:val="-4"/>
        </w:rPr>
        <w:t> </w:t>
      </w:r>
      <w:r>
        <w:rPr/>
        <w:t>also</w:t>
      </w:r>
      <w:r>
        <w:rPr>
          <w:spacing w:val="-4"/>
        </w:rPr>
        <w:t> </w:t>
      </w:r>
      <w:r>
        <w:rPr/>
        <w:t>engaged</w:t>
      </w:r>
      <w:r>
        <w:rPr>
          <w:spacing w:val="-4"/>
        </w:rPr>
        <w:t> </w:t>
      </w:r>
      <w:r>
        <w:rPr/>
        <w:t>in</w:t>
      </w:r>
      <w:r>
        <w:rPr>
          <w:spacing w:val="-2"/>
        </w:rPr>
        <w:t> </w:t>
      </w:r>
      <w:r>
        <w:rPr/>
        <w:t>work in</w:t>
      </w:r>
      <w:r>
        <w:rPr>
          <w:spacing w:val="-4"/>
        </w:rPr>
        <w:t> </w:t>
      </w:r>
      <w:r>
        <w:rPr/>
        <w:t>the</w:t>
      </w:r>
      <w:r>
        <w:rPr>
          <w:spacing w:val="-4"/>
        </w:rPr>
        <w:t> </w:t>
      </w:r>
      <w:r>
        <w:rPr/>
        <w:t>community,</w:t>
      </w:r>
      <w:r>
        <w:rPr>
          <w:spacing w:val="-2"/>
        </w:rPr>
        <w:t> </w:t>
      </w:r>
      <w:r>
        <w:rPr/>
        <w:t>providing</w:t>
      </w:r>
      <w:r>
        <w:rPr>
          <w:spacing w:val="-4"/>
        </w:rPr>
        <w:t> </w:t>
      </w:r>
      <w:r>
        <w:rPr/>
        <w:t>role</w:t>
      </w:r>
      <w:r>
        <w:rPr>
          <w:spacing w:val="-4"/>
        </w:rPr>
        <w:t> </w:t>
      </w:r>
      <w:r>
        <w:rPr/>
        <w:t>models</w:t>
      </w:r>
      <w:r>
        <w:rPr>
          <w:spacing w:val="-3"/>
        </w:rPr>
        <w:t> </w:t>
      </w:r>
      <w:r>
        <w:rPr/>
        <w:t>for</w:t>
      </w:r>
      <w:r>
        <w:rPr>
          <w:spacing w:val="-1"/>
        </w:rPr>
        <w:t> </w:t>
      </w:r>
      <w:r>
        <w:rPr/>
        <w:t>our</w:t>
      </w:r>
      <w:r>
        <w:rPr>
          <w:spacing w:val="-3"/>
        </w:rPr>
        <w:t> </w:t>
      </w:r>
      <w:r>
        <w:rPr/>
        <w:t>students. Among their accomplishments are the following:</w:t>
      </w:r>
    </w:p>
    <w:p>
      <w:pPr>
        <w:pStyle w:val="BodyText"/>
        <w:spacing w:before="7"/>
        <w:rPr>
          <w:sz w:val="17"/>
        </w:rPr>
      </w:pPr>
    </w:p>
    <w:p>
      <w:pPr>
        <w:pStyle w:val="ListParagraph"/>
        <w:numPr>
          <w:ilvl w:val="0"/>
          <w:numId w:val="15"/>
        </w:numPr>
        <w:tabs>
          <w:tab w:pos="1580" w:val="left" w:leader="none"/>
        </w:tabs>
        <w:spacing w:line="240" w:lineRule="auto" w:before="0" w:after="0"/>
        <w:ind w:left="1579" w:right="660" w:hanging="360"/>
        <w:jc w:val="left"/>
        <w:rPr>
          <w:sz w:val="20"/>
        </w:rPr>
      </w:pPr>
      <w:r>
        <w:rPr>
          <w:sz w:val="20"/>
        </w:rPr>
        <w:t>Robert</w:t>
      </w:r>
      <w:r>
        <w:rPr>
          <w:spacing w:val="-2"/>
          <w:sz w:val="20"/>
        </w:rPr>
        <w:t> </w:t>
      </w:r>
      <w:r>
        <w:rPr>
          <w:sz w:val="20"/>
        </w:rPr>
        <w:t>Easter</w:t>
      </w:r>
      <w:r>
        <w:rPr>
          <w:spacing w:val="-2"/>
          <w:sz w:val="20"/>
        </w:rPr>
        <w:t> </w:t>
      </w:r>
      <w:r>
        <w:rPr>
          <w:sz w:val="20"/>
        </w:rPr>
        <w:t>has</w:t>
      </w:r>
      <w:r>
        <w:rPr>
          <w:spacing w:val="-3"/>
          <w:sz w:val="20"/>
        </w:rPr>
        <w:t> </w:t>
      </w:r>
      <w:r>
        <w:rPr>
          <w:sz w:val="20"/>
        </w:rPr>
        <w:t>served</w:t>
      </w:r>
      <w:r>
        <w:rPr>
          <w:spacing w:val="-4"/>
          <w:sz w:val="20"/>
        </w:rPr>
        <w:t> </w:t>
      </w:r>
      <w:r>
        <w:rPr>
          <w:sz w:val="20"/>
        </w:rPr>
        <w:t>on</w:t>
      </w:r>
      <w:r>
        <w:rPr>
          <w:spacing w:val="-4"/>
          <w:sz w:val="20"/>
        </w:rPr>
        <w:t> </w:t>
      </w:r>
      <w:r>
        <w:rPr>
          <w:sz w:val="20"/>
        </w:rPr>
        <w:t>the</w:t>
      </w:r>
      <w:r>
        <w:rPr>
          <w:spacing w:val="-2"/>
          <w:sz w:val="20"/>
        </w:rPr>
        <w:t> </w:t>
      </w:r>
      <w:r>
        <w:rPr>
          <w:sz w:val="20"/>
        </w:rPr>
        <w:t>Board</w:t>
      </w:r>
      <w:r>
        <w:rPr>
          <w:spacing w:val="-4"/>
          <w:sz w:val="20"/>
        </w:rPr>
        <w:t> </w:t>
      </w:r>
      <w:r>
        <w:rPr>
          <w:sz w:val="20"/>
        </w:rPr>
        <w:t>of</w:t>
      </w:r>
      <w:r>
        <w:rPr>
          <w:spacing w:val="-2"/>
          <w:sz w:val="20"/>
        </w:rPr>
        <w:t> </w:t>
      </w:r>
      <w:r>
        <w:rPr>
          <w:sz w:val="20"/>
        </w:rPr>
        <w:t>Code</w:t>
      </w:r>
      <w:r>
        <w:rPr>
          <w:spacing w:val="-2"/>
          <w:sz w:val="20"/>
        </w:rPr>
        <w:t> </w:t>
      </w:r>
      <w:r>
        <w:rPr>
          <w:sz w:val="20"/>
        </w:rPr>
        <w:t>Appeals</w:t>
      </w:r>
      <w:r>
        <w:rPr>
          <w:spacing w:val="-3"/>
          <w:sz w:val="20"/>
        </w:rPr>
        <w:t> </w:t>
      </w:r>
      <w:r>
        <w:rPr>
          <w:sz w:val="20"/>
        </w:rPr>
        <w:t>for</w:t>
      </w:r>
      <w:r>
        <w:rPr>
          <w:spacing w:val="-3"/>
          <w:sz w:val="20"/>
        </w:rPr>
        <w:t> </w:t>
      </w:r>
      <w:r>
        <w:rPr>
          <w:sz w:val="20"/>
        </w:rPr>
        <w:t>the</w:t>
      </w:r>
      <w:r>
        <w:rPr>
          <w:spacing w:val="-4"/>
          <w:sz w:val="20"/>
        </w:rPr>
        <w:t> </w:t>
      </w:r>
      <w:r>
        <w:rPr>
          <w:sz w:val="20"/>
        </w:rPr>
        <w:t>City</w:t>
      </w:r>
      <w:r>
        <w:rPr>
          <w:spacing w:val="-5"/>
          <w:sz w:val="20"/>
        </w:rPr>
        <w:t> </w:t>
      </w:r>
      <w:r>
        <w:rPr>
          <w:sz w:val="20"/>
        </w:rPr>
        <w:t>of</w:t>
      </w:r>
      <w:r>
        <w:rPr>
          <w:spacing w:val="-2"/>
          <w:sz w:val="20"/>
        </w:rPr>
        <w:t> </w:t>
      </w:r>
      <w:r>
        <w:rPr>
          <w:sz w:val="20"/>
        </w:rPr>
        <w:t>Richmond,</w:t>
      </w:r>
      <w:r>
        <w:rPr>
          <w:spacing w:val="-4"/>
          <w:sz w:val="20"/>
        </w:rPr>
        <w:t> </w:t>
      </w:r>
      <w:r>
        <w:rPr>
          <w:sz w:val="20"/>
        </w:rPr>
        <w:t>including many years as the chair.</w:t>
      </w:r>
    </w:p>
    <w:p>
      <w:pPr>
        <w:pStyle w:val="BodyText"/>
        <w:spacing w:before="4"/>
        <w:rPr>
          <w:sz w:val="17"/>
        </w:rPr>
      </w:pPr>
    </w:p>
    <w:p>
      <w:pPr>
        <w:pStyle w:val="ListParagraph"/>
        <w:numPr>
          <w:ilvl w:val="0"/>
          <w:numId w:val="15"/>
        </w:numPr>
        <w:tabs>
          <w:tab w:pos="1580" w:val="left" w:leader="none"/>
        </w:tabs>
        <w:spacing w:line="240" w:lineRule="auto" w:before="1" w:after="0"/>
        <w:ind w:left="1579" w:right="549" w:hanging="360"/>
        <w:jc w:val="left"/>
        <w:rPr>
          <w:sz w:val="20"/>
        </w:rPr>
      </w:pPr>
      <w:r>
        <w:rPr>
          <w:sz w:val="20"/>
        </w:rPr>
        <w:t>Dr.</w:t>
      </w:r>
      <w:r>
        <w:rPr>
          <w:spacing w:val="-5"/>
          <w:sz w:val="20"/>
        </w:rPr>
        <w:t> </w:t>
      </w:r>
      <w:r>
        <w:rPr>
          <w:sz w:val="20"/>
        </w:rPr>
        <w:t>Carmina</w:t>
      </w:r>
      <w:r>
        <w:rPr>
          <w:spacing w:val="40"/>
          <w:sz w:val="20"/>
        </w:rPr>
        <w:t> </w:t>
      </w:r>
      <w:r>
        <w:rPr>
          <w:sz w:val="20"/>
        </w:rPr>
        <w:t>Sánchez-del-Valle</w:t>
      </w:r>
      <w:r>
        <w:rPr>
          <w:spacing w:val="-3"/>
          <w:sz w:val="20"/>
        </w:rPr>
        <w:t> </w:t>
      </w:r>
      <w:r>
        <w:rPr>
          <w:sz w:val="20"/>
        </w:rPr>
        <w:t>–</w:t>
      </w:r>
      <w:r>
        <w:rPr>
          <w:spacing w:val="-3"/>
          <w:sz w:val="20"/>
        </w:rPr>
        <w:t> </w:t>
      </w:r>
      <w:r>
        <w:rPr>
          <w:sz w:val="20"/>
        </w:rPr>
        <w:t>Volunteer</w:t>
      </w:r>
      <w:r>
        <w:rPr>
          <w:spacing w:val="-4"/>
          <w:sz w:val="20"/>
        </w:rPr>
        <w:t> </w:t>
      </w:r>
      <w:r>
        <w:rPr>
          <w:sz w:val="20"/>
        </w:rPr>
        <w:t>Focus</w:t>
      </w:r>
      <w:r>
        <w:rPr>
          <w:spacing w:val="-4"/>
          <w:sz w:val="20"/>
        </w:rPr>
        <w:t> </w:t>
      </w:r>
      <w:r>
        <w:rPr>
          <w:sz w:val="20"/>
        </w:rPr>
        <w:t>Group:</w:t>
      </w:r>
      <w:r>
        <w:rPr>
          <w:spacing w:val="-3"/>
          <w:sz w:val="20"/>
        </w:rPr>
        <w:t> </w:t>
      </w:r>
      <w:r>
        <w:rPr>
          <w:sz w:val="20"/>
        </w:rPr>
        <w:t>Housing</w:t>
      </w:r>
      <w:r>
        <w:rPr>
          <w:spacing w:val="-3"/>
          <w:sz w:val="20"/>
        </w:rPr>
        <w:t> </w:t>
      </w:r>
      <w:r>
        <w:rPr>
          <w:sz w:val="20"/>
        </w:rPr>
        <w:t>and</w:t>
      </w:r>
      <w:r>
        <w:rPr>
          <w:spacing w:val="-2"/>
          <w:sz w:val="20"/>
        </w:rPr>
        <w:t> </w:t>
      </w:r>
      <w:r>
        <w:rPr>
          <w:sz w:val="20"/>
        </w:rPr>
        <w:t>Neighborhoods.</w:t>
      </w:r>
      <w:r>
        <w:rPr>
          <w:spacing w:val="-3"/>
          <w:sz w:val="20"/>
        </w:rPr>
        <w:t> </w:t>
      </w:r>
      <w:r>
        <w:rPr>
          <w:sz w:val="20"/>
        </w:rPr>
        <w:t>City of Hampton Community Plan Update. Spring 2011.</w:t>
      </w:r>
    </w:p>
    <w:p>
      <w:pPr>
        <w:pStyle w:val="BodyText"/>
        <w:spacing w:before="4"/>
        <w:rPr>
          <w:sz w:val="17"/>
        </w:rPr>
      </w:pPr>
    </w:p>
    <w:p>
      <w:pPr>
        <w:pStyle w:val="ListParagraph"/>
        <w:numPr>
          <w:ilvl w:val="0"/>
          <w:numId w:val="15"/>
        </w:numPr>
        <w:tabs>
          <w:tab w:pos="1580" w:val="left" w:leader="none"/>
        </w:tabs>
        <w:spacing w:line="240" w:lineRule="auto" w:before="0" w:after="0"/>
        <w:ind w:left="1578" w:right="918" w:hanging="360"/>
        <w:jc w:val="left"/>
        <w:rPr>
          <w:sz w:val="20"/>
        </w:rPr>
      </w:pPr>
      <w:r>
        <w:rPr>
          <w:sz w:val="20"/>
        </w:rPr>
        <w:t>Dr.</w:t>
      </w:r>
      <w:r>
        <w:rPr>
          <w:spacing w:val="-4"/>
          <w:sz w:val="20"/>
        </w:rPr>
        <w:t> </w:t>
      </w:r>
      <w:r>
        <w:rPr>
          <w:sz w:val="20"/>
        </w:rPr>
        <w:t>Carmina</w:t>
      </w:r>
      <w:r>
        <w:rPr>
          <w:spacing w:val="40"/>
          <w:sz w:val="20"/>
        </w:rPr>
        <w:t> </w:t>
      </w:r>
      <w:r>
        <w:rPr>
          <w:sz w:val="20"/>
        </w:rPr>
        <w:t>Sánchez-del-Valle</w:t>
      </w:r>
      <w:r>
        <w:rPr>
          <w:spacing w:val="-4"/>
          <w:sz w:val="20"/>
        </w:rPr>
        <w:t> </w:t>
      </w:r>
      <w:r>
        <w:rPr>
          <w:sz w:val="20"/>
        </w:rPr>
        <w:t>-</w:t>
      </w:r>
      <w:r>
        <w:rPr>
          <w:spacing w:val="40"/>
          <w:sz w:val="20"/>
        </w:rPr>
        <w:t> </w:t>
      </w:r>
      <w:r>
        <w:rPr>
          <w:sz w:val="20"/>
        </w:rPr>
        <w:t>Board</w:t>
      </w:r>
      <w:r>
        <w:rPr>
          <w:spacing w:val="-4"/>
          <w:sz w:val="20"/>
        </w:rPr>
        <w:t> </w:t>
      </w:r>
      <w:r>
        <w:rPr>
          <w:sz w:val="20"/>
        </w:rPr>
        <w:t>Member:</w:t>
      </w:r>
      <w:r>
        <w:rPr>
          <w:spacing w:val="-4"/>
          <w:sz w:val="20"/>
        </w:rPr>
        <w:t> </w:t>
      </w:r>
      <w:r>
        <w:rPr>
          <w:sz w:val="20"/>
        </w:rPr>
        <w:t>Hampton</w:t>
      </w:r>
      <w:r>
        <w:rPr>
          <w:spacing w:val="-4"/>
          <w:sz w:val="20"/>
        </w:rPr>
        <w:t> </w:t>
      </w:r>
      <w:r>
        <w:rPr>
          <w:sz w:val="20"/>
        </w:rPr>
        <w:t>Neighborhood</w:t>
      </w:r>
      <w:r>
        <w:rPr>
          <w:spacing w:val="-2"/>
          <w:sz w:val="20"/>
        </w:rPr>
        <w:t> </w:t>
      </w:r>
      <w:r>
        <w:rPr>
          <w:sz w:val="20"/>
        </w:rPr>
        <w:t>Development Partnership Inc.</w:t>
      </w:r>
      <w:r>
        <w:rPr>
          <w:spacing w:val="40"/>
          <w:sz w:val="20"/>
        </w:rPr>
        <w:t> </w:t>
      </w:r>
      <w:r>
        <w:rPr>
          <w:sz w:val="20"/>
        </w:rPr>
        <w:t>(HNDP)</w:t>
      </w:r>
      <w:r>
        <w:rPr>
          <w:spacing w:val="40"/>
          <w:sz w:val="20"/>
        </w:rPr>
        <w:t> </w:t>
      </w:r>
      <w:r>
        <w:rPr>
          <w:sz w:val="20"/>
        </w:rPr>
        <w:t>Non-profit . 2010-2011.</w:t>
      </w:r>
    </w:p>
    <w:p>
      <w:pPr>
        <w:pStyle w:val="BodyText"/>
        <w:spacing w:before="5"/>
        <w:rPr>
          <w:sz w:val="17"/>
        </w:rPr>
      </w:pPr>
    </w:p>
    <w:p>
      <w:pPr>
        <w:pStyle w:val="ListParagraph"/>
        <w:numPr>
          <w:ilvl w:val="0"/>
          <w:numId w:val="15"/>
        </w:numPr>
        <w:tabs>
          <w:tab w:pos="1579" w:val="left" w:leader="none"/>
        </w:tabs>
        <w:spacing w:line="240" w:lineRule="auto" w:before="0" w:after="0"/>
        <w:ind w:left="1578" w:right="0" w:hanging="361"/>
        <w:jc w:val="left"/>
        <w:rPr>
          <w:sz w:val="20"/>
        </w:rPr>
      </w:pPr>
      <w:r>
        <w:rPr>
          <w:sz w:val="20"/>
        </w:rPr>
        <w:t>Other</w:t>
      </w:r>
      <w:r>
        <w:rPr>
          <w:spacing w:val="-8"/>
          <w:sz w:val="20"/>
        </w:rPr>
        <w:t> </w:t>
      </w:r>
      <w:r>
        <w:rPr>
          <w:sz w:val="20"/>
        </w:rPr>
        <w:t>programs</w:t>
      </w:r>
      <w:r>
        <w:rPr>
          <w:spacing w:val="-8"/>
          <w:sz w:val="20"/>
        </w:rPr>
        <w:t> </w:t>
      </w:r>
      <w:r>
        <w:rPr>
          <w:sz w:val="20"/>
        </w:rPr>
        <w:t>and</w:t>
      </w:r>
      <w:r>
        <w:rPr>
          <w:spacing w:val="-8"/>
          <w:sz w:val="20"/>
        </w:rPr>
        <w:t> </w:t>
      </w:r>
      <w:r>
        <w:rPr>
          <w:sz w:val="20"/>
        </w:rPr>
        <w:t>projects</w:t>
      </w:r>
      <w:r>
        <w:rPr>
          <w:spacing w:val="-8"/>
          <w:sz w:val="20"/>
        </w:rPr>
        <w:t> </w:t>
      </w:r>
      <w:r>
        <w:rPr>
          <w:sz w:val="20"/>
        </w:rPr>
        <w:t>(mentioned</w:t>
      </w:r>
      <w:r>
        <w:rPr>
          <w:spacing w:val="-8"/>
          <w:sz w:val="20"/>
        </w:rPr>
        <w:t> </w:t>
      </w:r>
      <w:r>
        <w:rPr>
          <w:sz w:val="20"/>
        </w:rPr>
        <w:t>and</w:t>
      </w:r>
      <w:r>
        <w:rPr>
          <w:spacing w:val="-9"/>
          <w:sz w:val="20"/>
        </w:rPr>
        <w:t> </w:t>
      </w:r>
      <w:r>
        <w:rPr>
          <w:sz w:val="20"/>
        </w:rPr>
        <w:t>described</w:t>
      </w:r>
      <w:r>
        <w:rPr>
          <w:spacing w:val="-8"/>
          <w:sz w:val="20"/>
        </w:rPr>
        <w:t> </w:t>
      </w:r>
      <w:r>
        <w:rPr>
          <w:sz w:val="20"/>
        </w:rPr>
        <w:t>elsewhere)</w:t>
      </w:r>
      <w:r>
        <w:rPr>
          <w:spacing w:val="-6"/>
          <w:sz w:val="20"/>
        </w:rPr>
        <w:t> </w:t>
      </w:r>
      <w:r>
        <w:rPr>
          <w:spacing w:val="-2"/>
          <w:sz w:val="20"/>
        </w:rPr>
        <w:t>include:</w:t>
      </w:r>
    </w:p>
    <w:p>
      <w:pPr>
        <w:pStyle w:val="BodyText"/>
        <w:spacing w:before="4"/>
        <w:rPr>
          <w:sz w:val="17"/>
        </w:rPr>
      </w:pPr>
    </w:p>
    <w:p>
      <w:pPr>
        <w:pStyle w:val="ListParagraph"/>
        <w:numPr>
          <w:ilvl w:val="1"/>
          <w:numId w:val="15"/>
        </w:numPr>
        <w:tabs>
          <w:tab w:pos="2299" w:val="left" w:leader="none"/>
        </w:tabs>
        <w:spacing w:line="240" w:lineRule="auto" w:before="0" w:after="0"/>
        <w:ind w:left="2298" w:right="0" w:hanging="361"/>
        <w:jc w:val="left"/>
        <w:rPr>
          <w:sz w:val="20"/>
        </w:rPr>
      </w:pPr>
      <w:r>
        <w:rPr>
          <w:sz w:val="20"/>
        </w:rPr>
        <w:t>Tucker’s</w:t>
      </w:r>
      <w:r>
        <w:rPr>
          <w:spacing w:val="-8"/>
          <w:sz w:val="20"/>
        </w:rPr>
        <w:t> </w:t>
      </w:r>
      <w:r>
        <w:rPr>
          <w:spacing w:val="-2"/>
          <w:sz w:val="20"/>
        </w:rPr>
        <w:t>Landing</w:t>
      </w:r>
    </w:p>
    <w:p>
      <w:pPr>
        <w:pStyle w:val="BodyText"/>
        <w:spacing w:before="4"/>
        <w:rPr>
          <w:sz w:val="17"/>
        </w:rPr>
      </w:pPr>
    </w:p>
    <w:p>
      <w:pPr>
        <w:pStyle w:val="ListParagraph"/>
        <w:numPr>
          <w:ilvl w:val="1"/>
          <w:numId w:val="15"/>
        </w:numPr>
        <w:tabs>
          <w:tab w:pos="2299" w:val="left" w:leader="none"/>
        </w:tabs>
        <w:spacing w:line="240" w:lineRule="auto" w:before="0" w:after="0"/>
        <w:ind w:left="2298" w:right="0" w:hanging="361"/>
        <w:jc w:val="left"/>
        <w:rPr>
          <w:sz w:val="20"/>
        </w:rPr>
      </w:pPr>
      <w:r>
        <w:rPr>
          <w:sz w:val="20"/>
        </w:rPr>
        <w:t>Menchville</w:t>
      </w:r>
      <w:r>
        <w:rPr>
          <w:spacing w:val="-13"/>
          <w:sz w:val="20"/>
        </w:rPr>
        <w:t> </w:t>
      </w:r>
      <w:r>
        <w:rPr>
          <w:spacing w:val="-4"/>
          <w:sz w:val="20"/>
        </w:rPr>
        <w:t>House</w:t>
      </w:r>
    </w:p>
    <w:p>
      <w:pPr>
        <w:spacing w:after="0" w:line="240" w:lineRule="auto"/>
        <w:jc w:val="left"/>
        <w:rPr>
          <w:sz w:val="20"/>
        </w:rPr>
        <w:sectPr>
          <w:pgSz w:w="12240" w:h="15840"/>
          <w:pgMar w:header="0" w:footer="974" w:top="1360" w:bottom="1160" w:left="940" w:right="960"/>
        </w:sectPr>
      </w:pPr>
    </w:p>
    <w:p>
      <w:pPr>
        <w:pStyle w:val="Heading5"/>
        <w:numPr>
          <w:ilvl w:val="2"/>
          <w:numId w:val="10"/>
        </w:numPr>
        <w:tabs>
          <w:tab w:pos="1579" w:val="left" w:leader="none"/>
          <w:tab w:pos="1581" w:val="left" w:leader="none"/>
        </w:tabs>
        <w:spacing w:line="240" w:lineRule="auto" w:before="74" w:after="0"/>
        <w:ind w:left="1580" w:right="0" w:hanging="1010"/>
        <w:jc w:val="left"/>
      </w:pPr>
      <w:bookmarkStart w:name="_TOC_250010" w:id="8"/>
      <w:r>
        <w:rPr/>
        <w:t>Long</w:t>
      </w:r>
      <w:r>
        <w:rPr>
          <w:spacing w:val="-7"/>
        </w:rPr>
        <w:t> </w:t>
      </w:r>
      <w:r>
        <w:rPr/>
        <w:t>Range</w:t>
      </w:r>
      <w:r>
        <w:rPr>
          <w:spacing w:val="-5"/>
        </w:rPr>
        <w:t> </w:t>
      </w:r>
      <w:bookmarkEnd w:id="8"/>
      <w:r>
        <w:rPr>
          <w:spacing w:val="-2"/>
        </w:rPr>
        <w:t>Planning</w:t>
      </w:r>
    </w:p>
    <w:p>
      <w:pPr>
        <w:pStyle w:val="BodyText"/>
        <w:spacing w:before="243"/>
        <w:ind w:left="1220" w:right="580"/>
      </w:pPr>
      <w:r>
        <w:rPr/>
        <w:t>The Department’s Chair annually submits a five-year plan to the University Committee on Long Range Planning, which effectively embodies a departmental strategic plan.</w:t>
      </w:r>
      <w:r>
        <w:rPr>
          <w:spacing w:val="40"/>
        </w:rPr>
        <w:t> </w:t>
      </w:r>
      <w:r>
        <w:rPr/>
        <w:t>This report is submitted for review to the Dean of the School of Engineering and Technology to insure its viability within the School’s planning structure.</w:t>
      </w:r>
      <w:r>
        <w:rPr>
          <w:spacing w:val="40"/>
        </w:rPr>
        <w:t> </w:t>
      </w:r>
      <w:r>
        <w:rPr/>
        <w:t>By tracking this plan through its annual cycles, one can observe the progress of the department in relation to stated Departmental Objectives. Listed</w:t>
      </w:r>
      <w:r>
        <w:rPr>
          <w:spacing w:val="-2"/>
        </w:rPr>
        <w:t> </w:t>
      </w:r>
      <w:r>
        <w:rPr/>
        <w:t>below</w:t>
      </w:r>
      <w:r>
        <w:rPr>
          <w:spacing w:val="-4"/>
        </w:rPr>
        <w:t> </w:t>
      </w:r>
      <w:r>
        <w:rPr/>
        <w:t>are</w:t>
      </w:r>
      <w:r>
        <w:rPr>
          <w:spacing w:val="-4"/>
        </w:rPr>
        <w:t> </w:t>
      </w:r>
      <w:r>
        <w:rPr/>
        <w:t>the</w:t>
      </w:r>
      <w:r>
        <w:rPr>
          <w:spacing w:val="-4"/>
        </w:rPr>
        <w:t> </w:t>
      </w:r>
      <w:r>
        <w:rPr/>
        <w:t>Departmental</w:t>
      </w:r>
      <w:r>
        <w:rPr>
          <w:spacing w:val="-5"/>
        </w:rPr>
        <w:t> </w:t>
      </w:r>
      <w:r>
        <w:rPr/>
        <w:t>Objectives,</w:t>
      </w:r>
      <w:r>
        <w:rPr>
          <w:spacing w:val="-4"/>
        </w:rPr>
        <w:t> </w:t>
      </w:r>
      <w:r>
        <w:rPr/>
        <w:t>as</w:t>
      </w:r>
      <w:r>
        <w:rPr>
          <w:spacing w:val="-3"/>
        </w:rPr>
        <w:t> </w:t>
      </w:r>
      <w:r>
        <w:rPr/>
        <w:t>stated</w:t>
      </w:r>
      <w:r>
        <w:rPr>
          <w:spacing w:val="-4"/>
        </w:rPr>
        <w:t> </w:t>
      </w:r>
      <w:r>
        <w:rPr/>
        <w:t>in</w:t>
      </w:r>
      <w:r>
        <w:rPr>
          <w:spacing w:val="-2"/>
        </w:rPr>
        <w:t> </w:t>
      </w:r>
      <w:r>
        <w:rPr/>
        <w:t>the</w:t>
      </w:r>
      <w:r>
        <w:rPr>
          <w:spacing w:val="-2"/>
        </w:rPr>
        <w:t> </w:t>
      </w:r>
      <w:r>
        <w:rPr/>
        <w:t>2008</w:t>
      </w:r>
      <w:r>
        <w:rPr>
          <w:spacing w:val="-2"/>
        </w:rPr>
        <w:t> </w:t>
      </w:r>
      <w:r>
        <w:rPr/>
        <w:t>APR,</w:t>
      </w:r>
      <w:r>
        <w:rPr>
          <w:spacing w:val="-4"/>
        </w:rPr>
        <w:t> </w:t>
      </w:r>
      <w:r>
        <w:rPr/>
        <w:t>and</w:t>
      </w:r>
      <w:r>
        <w:rPr>
          <w:spacing w:val="-4"/>
        </w:rPr>
        <w:t> </w:t>
      </w:r>
      <w:r>
        <w:rPr/>
        <w:t>the</w:t>
      </w:r>
      <w:r>
        <w:rPr>
          <w:spacing w:val="-2"/>
        </w:rPr>
        <w:t> </w:t>
      </w:r>
      <w:r>
        <w:rPr/>
        <w:t>progress</w:t>
      </w:r>
      <w:r>
        <w:rPr>
          <w:spacing w:val="-3"/>
        </w:rPr>
        <w:t> </w:t>
      </w:r>
      <w:r>
        <w:rPr/>
        <w:t>that have been made on each objective.</w:t>
      </w:r>
    </w:p>
    <w:p>
      <w:pPr>
        <w:pStyle w:val="BodyText"/>
        <w:spacing w:before="10"/>
      </w:pPr>
    </w:p>
    <w:p>
      <w:pPr>
        <w:pStyle w:val="BodyText"/>
        <w:ind w:left="1219" w:right="499"/>
      </w:pPr>
      <w:r>
        <w:rPr/>
        <w:t>The program faculty and staff conduct weekly meeting to assess the academic program and address</w:t>
      </w:r>
      <w:r>
        <w:rPr>
          <w:spacing w:val="-2"/>
        </w:rPr>
        <w:t> </w:t>
      </w:r>
      <w:r>
        <w:rPr/>
        <w:t>other</w:t>
      </w:r>
      <w:r>
        <w:rPr>
          <w:spacing w:val="-2"/>
        </w:rPr>
        <w:t> </w:t>
      </w:r>
      <w:r>
        <w:rPr/>
        <w:t>concerns</w:t>
      </w:r>
      <w:r>
        <w:rPr>
          <w:spacing w:val="-2"/>
        </w:rPr>
        <w:t> </w:t>
      </w:r>
      <w:r>
        <w:rPr/>
        <w:t>pertinent</w:t>
      </w:r>
      <w:r>
        <w:rPr>
          <w:spacing w:val="-3"/>
        </w:rPr>
        <w:t> </w:t>
      </w:r>
      <w:r>
        <w:rPr/>
        <w:t>to</w:t>
      </w:r>
      <w:r>
        <w:rPr>
          <w:spacing w:val="-3"/>
        </w:rPr>
        <w:t> </w:t>
      </w:r>
      <w:r>
        <w:rPr/>
        <w:t>the</w:t>
      </w:r>
      <w:r>
        <w:rPr>
          <w:spacing w:val="-3"/>
        </w:rPr>
        <w:t> </w:t>
      </w:r>
      <w:r>
        <w:rPr/>
        <w:t>program and</w:t>
      </w:r>
      <w:r>
        <w:rPr>
          <w:spacing w:val="-1"/>
        </w:rPr>
        <w:t> </w:t>
      </w:r>
      <w:r>
        <w:rPr/>
        <w:t>well-being</w:t>
      </w:r>
      <w:r>
        <w:rPr>
          <w:spacing w:val="-1"/>
        </w:rPr>
        <w:t> </w:t>
      </w:r>
      <w:r>
        <w:rPr/>
        <w:t>of</w:t>
      </w:r>
      <w:r>
        <w:rPr>
          <w:spacing w:val="-1"/>
        </w:rPr>
        <w:t> </w:t>
      </w:r>
      <w:r>
        <w:rPr/>
        <w:t>the</w:t>
      </w:r>
      <w:r>
        <w:rPr>
          <w:spacing w:val="-3"/>
        </w:rPr>
        <w:t> </w:t>
      </w:r>
      <w:r>
        <w:rPr/>
        <w:t>students.</w:t>
      </w:r>
      <w:r>
        <w:rPr>
          <w:spacing w:val="-1"/>
        </w:rPr>
        <w:t> </w:t>
      </w:r>
      <w:r>
        <w:rPr/>
        <w:t>As</w:t>
      </w:r>
      <w:r>
        <w:rPr>
          <w:spacing w:val="-2"/>
        </w:rPr>
        <w:t> </w:t>
      </w:r>
      <w:r>
        <w:rPr/>
        <w:t>a</w:t>
      </w:r>
      <w:r>
        <w:rPr>
          <w:spacing w:val="-3"/>
        </w:rPr>
        <w:t> </w:t>
      </w:r>
      <w:r>
        <w:rPr/>
        <w:t>result</w:t>
      </w:r>
      <w:r>
        <w:rPr>
          <w:spacing w:val="-3"/>
        </w:rPr>
        <w:t> </w:t>
      </w:r>
      <w:r>
        <w:rPr/>
        <w:t>many changes</w:t>
      </w:r>
      <w:r>
        <w:rPr>
          <w:spacing w:val="-2"/>
        </w:rPr>
        <w:t> </w:t>
      </w:r>
      <w:r>
        <w:rPr/>
        <w:t>in</w:t>
      </w:r>
      <w:r>
        <w:rPr>
          <w:spacing w:val="-6"/>
        </w:rPr>
        <w:t> </w:t>
      </w:r>
      <w:r>
        <w:rPr/>
        <w:t>the</w:t>
      </w:r>
      <w:r>
        <w:rPr>
          <w:spacing w:val="-4"/>
        </w:rPr>
        <w:t> </w:t>
      </w:r>
      <w:r>
        <w:rPr/>
        <w:t>program’s</w:t>
      </w:r>
      <w:r>
        <w:rPr>
          <w:spacing w:val="-5"/>
        </w:rPr>
        <w:t> </w:t>
      </w:r>
      <w:r>
        <w:rPr/>
        <w:t>infrastructure,</w:t>
      </w:r>
      <w:r>
        <w:rPr>
          <w:spacing w:val="-6"/>
        </w:rPr>
        <w:t> </w:t>
      </w:r>
      <w:r>
        <w:rPr/>
        <w:t>academic</w:t>
      </w:r>
      <w:r>
        <w:rPr>
          <w:spacing w:val="-5"/>
        </w:rPr>
        <w:t> </w:t>
      </w:r>
      <w:r>
        <w:rPr/>
        <w:t>offerings</w:t>
      </w:r>
      <w:r>
        <w:rPr>
          <w:spacing w:val="-5"/>
        </w:rPr>
        <w:t> </w:t>
      </w:r>
      <w:r>
        <w:rPr/>
        <w:t>and</w:t>
      </w:r>
      <w:r>
        <w:rPr>
          <w:spacing w:val="-4"/>
        </w:rPr>
        <w:t> </w:t>
      </w:r>
      <w:r>
        <w:rPr/>
        <w:t>extra-curricular</w:t>
      </w:r>
      <w:r>
        <w:rPr>
          <w:spacing w:val="-3"/>
        </w:rPr>
        <w:t> </w:t>
      </w:r>
      <w:r>
        <w:rPr/>
        <w:t>programming</w:t>
      </w:r>
      <w:r>
        <w:rPr>
          <w:spacing w:val="-6"/>
        </w:rPr>
        <w:t> </w:t>
      </w:r>
      <w:r>
        <w:rPr/>
        <w:t>are reviewed, assessed, and, where necessary, modified.</w:t>
      </w:r>
    </w:p>
    <w:p>
      <w:pPr>
        <w:pStyle w:val="BodyText"/>
        <w:spacing w:before="4"/>
        <w:rPr>
          <w:sz w:val="17"/>
        </w:rPr>
      </w:pPr>
    </w:p>
    <w:p>
      <w:pPr>
        <w:spacing w:before="0"/>
        <w:ind w:left="499" w:right="0" w:firstLine="0"/>
        <w:jc w:val="left"/>
        <w:rPr>
          <w:b/>
          <w:sz w:val="20"/>
        </w:rPr>
      </w:pPr>
      <w:bookmarkStart w:name="Progress Relative to Strategic Plan" w:id="9"/>
      <w:bookmarkEnd w:id="9"/>
      <w:r>
        <w:rPr/>
      </w:r>
      <w:r>
        <w:rPr>
          <w:b/>
          <w:sz w:val="20"/>
        </w:rPr>
        <w:t>Progress</w:t>
      </w:r>
      <w:r>
        <w:rPr>
          <w:b/>
          <w:spacing w:val="-7"/>
          <w:sz w:val="20"/>
        </w:rPr>
        <w:t> </w:t>
      </w:r>
      <w:r>
        <w:rPr>
          <w:b/>
          <w:sz w:val="20"/>
        </w:rPr>
        <w:t>Relative</w:t>
      </w:r>
      <w:r>
        <w:rPr>
          <w:b/>
          <w:spacing w:val="-9"/>
          <w:sz w:val="20"/>
        </w:rPr>
        <w:t> </w:t>
      </w:r>
      <w:r>
        <w:rPr>
          <w:b/>
          <w:sz w:val="20"/>
        </w:rPr>
        <w:t>to</w:t>
      </w:r>
      <w:r>
        <w:rPr>
          <w:b/>
          <w:spacing w:val="-7"/>
          <w:sz w:val="20"/>
        </w:rPr>
        <w:t> </w:t>
      </w:r>
      <w:r>
        <w:rPr>
          <w:b/>
          <w:sz w:val="20"/>
        </w:rPr>
        <w:t>Strategic</w:t>
      </w:r>
      <w:r>
        <w:rPr>
          <w:b/>
          <w:spacing w:val="-7"/>
          <w:sz w:val="20"/>
        </w:rPr>
        <w:t> </w:t>
      </w:r>
      <w:r>
        <w:rPr>
          <w:b/>
          <w:spacing w:val="-4"/>
          <w:sz w:val="20"/>
        </w:rPr>
        <w:t>Plan</w:t>
      </w:r>
    </w:p>
    <w:p>
      <w:pPr>
        <w:pStyle w:val="BodyText"/>
        <w:spacing w:before="1"/>
        <w:rPr>
          <w:b/>
        </w:rPr>
      </w:pPr>
    </w:p>
    <w:p>
      <w:pPr>
        <w:pStyle w:val="BodyText"/>
        <w:ind w:left="1219"/>
      </w:pPr>
      <w:bookmarkStart w:name="Many of the items listed as Departmental" w:id="10"/>
      <w:bookmarkEnd w:id="10"/>
      <w:r>
        <w:rPr/>
      </w:r>
      <w:r>
        <w:rPr/>
        <w:t>Many</w:t>
      </w:r>
      <w:r>
        <w:rPr>
          <w:spacing w:val="-8"/>
        </w:rPr>
        <w:t> </w:t>
      </w:r>
      <w:r>
        <w:rPr/>
        <w:t>of</w:t>
      </w:r>
      <w:r>
        <w:rPr>
          <w:spacing w:val="-3"/>
        </w:rPr>
        <w:t> </w:t>
      </w:r>
      <w:r>
        <w:rPr/>
        <w:t>the</w:t>
      </w:r>
      <w:r>
        <w:rPr>
          <w:spacing w:val="-3"/>
        </w:rPr>
        <w:t> </w:t>
      </w:r>
      <w:r>
        <w:rPr/>
        <w:t>items</w:t>
      </w:r>
      <w:r>
        <w:rPr>
          <w:spacing w:val="-4"/>
        </w:rPr>
        <w:t> </w:t>
      </w:r>
      <w:r>
        <w:rPr/>
        <w:t>listed</w:t>
      </w:r>
      <w:r>
        <w:rPr>
          <w:spacing w:val="-5"/>
        </w:rPr>
        <w:t> </w:t>
      </w:r>
      <w:r>
        <w:rPr/>
        <w:t>as</w:t>
      </w:r>
      <w:r>
        <w:rPr>
          <w:spacing w:val="-1"/>
        </w:rPr>
        <w:t> </w:t>
      </w:r>
      <w:r>
        <w:rPr/>
        <w:t>Departmental</w:t>
      </w:r>
      <w:r>
        <w:rPr>
          <w:spacing w:val="-6"/>
        </w:rPr>
        <w:t> </w:t>
      </w:r>
      <w:r>
        <w:rPr/>
        <w:t>Objectives</w:t>
      </w:r>
      <w:r>
        <w:rPr>
          <w:spacing w:val="-4"/>
        </w:rPr>
        <w:t> </w:t>
      </w:r>
      <w:r>
        <w:rPr/>
        <w:t>in</w:t>
      </w:r>
      <w:r>
        <w:rPr>
          <w:spacing w:val="-3"/>
        </w:rPr>
        <w:t> </w:t>
      </w:r>
      <w:r>
        <w:rPr/>
        <w:t>the</w:t>
      </w:r>
      <w:r>
        <w:rPr>
          <w:spacing w:val="-3"/>
        </w:rPr>
        <w:t> </w:t>
      </w:r>
      <w:r>
        <w:rPr/>
        <w:t>Strategic</w:t>
      </w:r>
      <w:r>
        <w:rPr>
          <w:spacing w:val="-1"/>
        </w:rPr>
        <w:t> </w:t>
      </w:r>
      <w:r>
        <w:rPr/>
        <w:t>Plan</w:t>
      </w:r>
      <w:r>
        <w:rPr>
          <w:spacing w:val="-3"/>
        </w:rPr>
        <w:t> </w:t>
      </w:r>
      <w:r>
        <w:rPr/>
        <w:t>are</w:t>
      </w:r>
      <w:r>
        <w:rPr>
          <w:spacing w:val="-5"/>
        </w:rPr>
        <w:t> </w:t>
      </w:r>
      <w:r>
        <w:rPr/>
        <w:t>showing</w:t>
      </w:r>
      <w:r>
        <w:rPr>
          <w:spacing w:val="-3"/>
        </w:rPr>
        <w:t> </w:t>
      </w:r>
      <w:r>
        <w:rPr/>
        <w:t>excellent progress, others are primarily dependent upon securing funding, while some are subject to the vicissitudes of University planning.</w:t>
      </w:r>
    </w:p>
    <w:p>
      <w:pPr>
        <w:pStyle w:val="BodyText"/>
        <w:spacing w:before="2"/>
      </w:pPr>
    </w:p>
    <w:p>
      <w:pPr>
        <w:pStyle w:val="ListParagraph"/>
        <w:numPr>
          <w:ilvl w:val="0"/>
          <w:numId w:val="16"/>
        </w:numPr>
        <w:tabs>
          <w:tab w:pos="1724" w:val="left" w:leader="none"/>
        </w:tabs>
        <w:spacing w:line="240" w:lineRule="auto" w:before="0" w:after="0"/>
        <w:ind w:left="1723" w:right="590" w:hanging="360"/>
        <w:jc w:val="left"/>
        <w:rPr>
          <w:sz w:val="20"/>
        </w:rPr>
      </w:pPr>
      <w:bookmarkStart w:name="1. Freshman class of 60:  Since the intr" w:id="11"/>
      <w:bookmarkEnd w:id="11"/>
      <w:r>
        <w:rPr>
          <w:sz w:val="20"/>
        </w:rPr>
        <w:t>F</w:t>
      </w:r>
      <w:r>
        <w:rPr>
          <w:sz w:val="20"/>
        </w:rPr>
        <w:t>reshman class of 60:</w:t>
      </w:r>
      <w:r>
        <w:rPr>
          <w:spacing w:val="40"/>
          <w:sz w:val="20"/>
        </w:rPr>
        <w:t> </w:t>
      </w:r>
      <w:r>
        <w:rPr>
          <w:sz w:val="20"/>
        </w:rPr>
        <w:t>Since the introduction of the M. Arch., the numbers have grown. In the 2007 there were 60 freshmen, and in 2008 there are 63. However, in recent years, the numbers</w:t>
      </w:r>
      <w:r>
        <w:rPr>
          <w:spacing w:val="-3"/>
          <w:sz w:val="20"/>
        </w:rPr>
        <w:t> </w:t>
      </w:r>
      <w:r>
        <w:rPr>
          <w:sz w:val="20"/>
        </w:rPr>
        <w:t>have</w:t>
      </w:r>
      <w:r>
        <w:rPr>
          <w:spacing w:val="-2"/>
          <w:sz w:val="20"/>
        </w:rPr>
        <w:t> </w:t>
      </w:r>
      <w:r>
        <w:rPr>
          <w:sz w:val="20"/>
        </w:rPr>
        <w:t>been</w:t>
      </w:r>
      <w:r>
        <w:rPr>
          <w:spacing w:val="-3"/>
          <w:sz w:val="20"/>
        </w:rPr>
        <w:t> </w:t>
      </w:r>
      <w:r>
        <w:rPr>
          <w:sz w:val="20"/>
        </w:rPr>
        <w:t>poor.</w:t>
      </w:r>
      <w:r>
        <w:rPr>
          <w:spacing w:val="-2"/>
          <w:sz w:val="20"/>
        </w:rPr>
        <w:t> </w:t>
      </w:r>
      <w:r>
        <w:rPr>
          <w:sz w:val="20"/>
        </w:rPr>
        <w:t>The</w:t>
      </w:r>
      <w:r>
        <w:rPr>
          <w:spacing w:val="-3"/>
          <w:sz w:val="20"/>
        </w:rPr>
        <w:t> </w:t>
      </w:r>
      <w:r>
        <w:rPr>
          <w:sz w:val="20"/>
        </w:rPr>
        <w:t>2012</w:t>
      </w:r>
      <w:r>
        <w:rPr>
          <w:spacing w:val="-3"/>
          <w:sz w:val="20"/>
        </w:rPr>
        <w:t> </w:t>
      </w:r>
      <w:r>
        <w:rPr>
          <w:sz w:val="20"/>
        </w:rPr>
        <w:t>first</w:t>
      </w:r>
      <w:r>
        <w:rPr>
          <w:spacing w:val="-2"/>
          <w:sz w:val="20"/>
        </w:rPr>
        <w:t> </w:t>
      </w:r>
      <w:r>
        <w:rPr>
          <w:sz w:val="20"/>
        </w:rPr>
        <w:t>year</w:t>
      </w:r>
      <w:r>
        <w:rPr>
          <w:spacing w:val="-2"/>
          <w:sz w:val="20"/>
        </w:rPr>
        <w:t> </w:t>
      </w:r>
      <w:r>
        <w:rPr>
          <w:sz w:val="20"/>
        </w:rPr>
        <w:t>class</w:t>
      </w:r>
      <w:r>
        <w:rPr>
          <w:spacing w:val="-3"/>
          <w:sz w:val="20"/>
        </w:rPr>
        <w:t> </w:t>
      </w:r>
      <w:r>
        <w:rPr>
          <w:sz w:val="20"/>
        </w:rPr>
        <w:t>had</w:t>
      </w:r>
      <w:r>
        <w:rPr>
          <w:spacing w:val="-3"/>
          <w:sz w:val="20"/>
        </w:rPr>
        <w:t> </w:t>
      </w:r>
      <w:r>
        <w:rPr>
          <w:sz w:val="20"/>
        </w:rPr>
        <w:t>27</w:t>
      </w:r>
      <w:r>
        <w:rPr>
          <w:spacing w:val="-3"/>
          <w:sz w:val="20"/>
        </w:rPr>
        <w:t> </w:t>
      </w:r>
      <w:r>
        <w:rPr>
          <w:sz w:val="20"/>
        </w:rPr>
        <w:t>and</w:t>
      </w:r>
      <w:r>
        <w:rPr>
          <w:spacing w:val="-3"/>
          <w:sz w:val="20"/>
        </w:rPr>
        <w:t> </w:t>
      </w:r>
      <w:r>
        <w:rPr>
          <w:sz w:val="20"/>
        </w:rPr>
        <w:t>the</w:t>
      </w:r>
      <w:r>
        <w:rPr>
          <w:spacing w:val="-3"/>
          <w:sz w:val="20"/>
        </w:rPr>
        <w:t> </w:t>
      </w:r>
      <w:r>
        <w:rPr>
          <w:sz w:val="20"/>
        </w:rPr>
        <w:t>2013</w:t>
      </w:r>
      <w:r>
        <w:rPr>
          <w:spacing w:val="-4"/>
          <w:sz w:val="20"/>
        </w:rPr>
        <w:t> </w:t>
      </w:r>
      <w:r>
        <w:rPr>
          <w:sz w:val="20"/>
        </w:rPr>
        <w:t>class</w:t>
      </w:r>
      <w:r>
        <w:rPr>
          <w:spacing w:val="-3"/>
          <w:sz w:val="20"/>
        </w:rPr>
        <w:t> </w:t>
      </w:r>
      <w:r>
        <w:rPr>
          <w:sz w:val="20"/>
        </w:rPr>
        <w:t>had</w:t>
      </w:r>
      <w:r>
        <w:rPr>
          <w:spacing w:val="-3"/>
          <w:sz w:val="20"/>
        </w:rPr>
        <w:t> </w:t>
      </w:r>
      <w:r>
        <w:rPr>
          <w:sz w:val="20"/>
        </w:rPr>
        <w:t>35.</w:t>
      </w:r>
      <w:r>
        <w:rPr>
          <w:spacing w:val="-3"/>
          <w:sz w:val="20"/>
        </w:rPr>
        <w:t> </w:t>
      </w:r>
      <w:r>
        <w:rPr>
          <w:sz w:val="20"/>
        </w:rPr>
        <w:t>Our 2014 class has 23 incoming freshmen students.</w:t>
      </w:r>
    </w:p>
    <w:p>
      <w:pPr>
        <w:pStyle w:val="BodyText"/>
      </w:pPr>
    </w:p>
    <w:p>
      <w:pPr>
        <w:pStyle w:val="ListParagraph"/>
        <w:numPr>
          <w:ilvl w:val="0"/>
          <w:numId w:val="16"/>
        </w:numPr>
        <w:tabs>
          <w:tab w:pos="1724" w:val="left" w:leader="none"/>
        </w:tabs>
        <w:spacing w:line="240" w:lineRule="auto" w:before="0" w:after="0"/>
        <w:ind w:left="1723" w:right="568" w:hanging="360"/>
        <w:jc w:val="left"/>
        <w:rPr>
          <w:sz w:val="20"/>
        </w:rPr>
      </w:pPr>
      <w:bookmarkStart w:name="2. To increase number of majors to 160: " w:id="12"/>
      <w:bookmarkEnd w:id="12"/>
      <w:r>
        <w:rPr>
          <w:sz w:val="20"/>
        </w:rPr>
        <w:t>T</w:t>
      </w:r>
      <w:r>
        <w:rPr>
          <w:sz w:val="20"/>
        </w:rPr>
        <w:t>o increase number of majors to 160:</w:t>
      </w:r>
      <w:r>
        <w:rPr>
          <w:spacing w:val="40"/>
          <w:sz w:val="20"/>
        </w:rPr>
        <w:t> </w:t>
      </w:r>
      <w:r>
        <w:rPr>
          <w:sz w:val="20"/>
        </w:rPr>
        <w:t>Similar to goal 1, these numbers were improving until</w:t>
      </w:r>
      <w:r>
        <w:rPr>
          <w:spacing w:val="-5"/>
          <w:sz w:val="20"/>
        </w:rPr>
        <w:t> </w:t>
      </w:r>
      <w:r>
        <w:rPr>
          <w:sz w:val="20"/>
        </w:rPr>
        <w:t>the</w:t>
      </w:r>
      <w:r>
        <w:rPr>
          <w:spacing w:val="-4"/>
          <w:sz w:val="20"/>
        </w:rPr>
        <w:t> </w:t>
      </w:r>
      <w:r>
        <w:rPr>
          <w:sz w:val="20"/>
        </w:rPr>
        <w:t>recent</w:t>
      </w:r>
      <w:r>
        <w:rPr>
          <w:spacing w:val="-4"/>
          <w:sz w:val="20"/>
        </w:rPr>
        <w:t> </w:t>
      </w:r>
      <w:r>
        <w:rPr>
          <w:sz w:val="20"/>
        </w:rPr>
        <w:t>economic</w:t>
      </w:r>
      <w:r>
        <w:rPr>
          <w:spacing w:val="-3"/>
          <w:sz w:val="20"/>
        </w:rPr>
        <w:t> </w:t>
      </w:r>
      <w:r>
        <w:rPr>
          <w:sz w:val="20"/>
        </w:rPr>
        <w:t>woes.</w:t>
      </w:r>
      <w:r>
        <w:rPr>
          <w:spacing w:val="-4"/>
          <w:sz w:val="20"/>
        </w:rPr>
        <w:t> </w:t>
      </w:r>
      <w:r>
        <w:rPr>
          <w:sz w:val="20"/>
        </w:rPr>
        <w:t>The</w:t>
      </w:r>
      <w:r>
        <w:rPr>
          <w:spacing w:val="-4"/>
          <w:sz w:val="20"/>
        </w:rPr>
        <w:t> </w:t>
      </w:r>
      <w:r>
        <w:rPr>
          <w:sz w:val="20"/>
        </w:rPr>
        <w:t>numbers</w:t>
      </w:r>
      <w:r>
        <w:rPr>
          <w:spacing w:val="-1"/>
          <w:sz w:val="20"/>
        </w:rPr>
        <w:t> </w:t>
      </w:r>
      <w:r>
        <w:rPr>
          <w:sz w:val="20"/>
        </w:rPr>
        <w:t>were</w:t>
      </w:r>
      <w:r>
        <w:rPr>
          <w:spacing w:val="-2"/>
          <w:sz w:val="20"/>
        </w:rPr>
        <w:t> </w:t>
      </w:r>
      <w:r>
        <w:rPr>
          <w:sz w:val="20"/>
        </w:rPr>
        <w:t>growing,</w:t>
      </w:r>
      <w:r>
        <w:rPr>
          <w:spacing w:val="-4"/>
          <w:sz w:val="20"/>
        </w:rPr>
        <w:t> </w:t>
      </w:r>
      <w:r>
        <w:rPr>
          <w:sz w:val="20"/>
        </w:rPr>
        <w:t>but</w:t>
      </w:r>
      <w:r>
        <w:rPr>
          <w:spacing w:val="-4"/>
          <w:sz w:val="20"/>
        </w:rPr>
        <w:t> </w:t>
      </w:r>
      <w:r>
        <w:rPr>
          <w:sz w:val="20"/>
        </w:rPr>
        <w:t>in</w:t>
      </w:r>
      <w:r>
        <w:rPr>
          <w:spacing w:val="-4"/>
          <w:sz w:val="20"/>
        </w:rPr>
        <w:t> </w:t>
      </w:r>
      <w:r>
        <w:rPr>
          <w:sz w:val="20"/>
        </w:rPr>
        <w:t>the</w:t>
      </w:r>
      <w:r>
        <w:rPr>
          <w:spacing w:val="-4"/>
          <w:sz w:val="20"/>
        </w:rPr>
        <w:t> </w:t>
      </w:r>
      <w:r>
        <w:rPr>
          <w:sz w:val="20"/>
        </w:rPr>
        <w:t>past</w:t>
      </w:r>
      <w:r>
        <w:rPr>
          <w:spacing w:val="-2"/>
          <w:sz w:val="20"/>
        </w:rPr>
        <w:t> </w:t>
      </w:r>
      <w:r>
        <w:rPr>
          <w:sz w:val="20"/>
        </w:rPr>
        <w:t>two years</w:t>
      </w:r>
      <w:r>
        <w:rPr>
          <w:spacing w:val="-3"/>
          <w:sz w:val="20"/>
        </w:rPr>
        <w:t> </w:t>
      </w:r>
      <w:r>
        <w:rPr>
          <w:sz w:val="20"/>
        </w:rPr>
        <w:t>have hovered in the mid 140’s.</w:t>
      </w:r>
    </w:p>
    <w:p>
      <w:pPr>
        <w:pStyle w:val="BodyText"/>
        <w:spacing w:before="11"/>
        <w:rPr>
          <w:sz w:val="19"/>
        </w:rPr>
      </w:pPr>
    </w:p>
    <w:p>
      <w:pPr>
        <w:pStyle w:val="ListParagraph"/>
        <w:numPr>
          <w:ilvl w:val="0"/>
          <w:numId w:val="16"/>
        </w:numPr>
        <w:tabs>
          <w:tab w:pos="1724" w:val="left" w:leader="none"/>
        </w:tabs>
        <w:spacing w:line="240" w:lineRule="auto" w:before="0" w:after="0"/>
        <w:ind w:left="1723" w:right="590" w:hanging="360"/>
        <w:jc w:val="left"/>
        <w:rPr>
          <w:sz w:val="20"/>
        </w:rPr>
      </w:pPr>
      <w:bookmarkStart w:name="3. A stronger visiting lecture series:  " w:id="13"/>
      <w:bookmarkEnd w:id="13"/>
      <w:r>
        <w:rPr>
          <w:sz w:val="20"/>
        </w:rPr>
        <w:t>A</w:t>
      </w:r>
      <w:r>
        <w:rPr>
          <w:sz w:val="20"/>
        </w:rPr>
        <w:t> stronger visiting lecture series:</w:t>
      </w:r>
      <w:r>
        <w:rPr>
          <w:spacing w:val="40"/>
          <w:sz w:val="20"/>
        </w:rPr>
        <w:t> </w:t>
      </w:r>
      <w:r>
        <w:rPr>
          <w:sz w:val="20"/>
        </w:rPr>
        <w:t>In the past three years, the university has provided financial support for the Friday lecture series that has resulted in several prominent architects</w:t>
      </w:r>
      <w:r>
        <w:rPr>
          <w:spacing w:val="-3"/>
          <w:sz w:val="20"/>
        </w:rPr>
        <w:t> </w:t>
      </w:r>
      <w:r>
        <w:rPr>
          <w:sz w:val="20"/>
        </w:rPr>
        <w:t>being</w:t>
      </w:r>
      <w:r>
        <w:rPr>
          <w:spacing w:val="-4"/>
          <w:sz w:val="20"/>
        </w:rPr>
        <w:t> </w:t>
      </w:r>
      <w:r>
        <w:rPr>
          <w:sz w:val="20"/>
        </w:rPr>
        <w:t>available</w:t>
      </w:r>
      <w:r>
        <w:rPr>
          <w:spacing w:val="-4"/>
          <w:sz w:val="20"/>
        </w:rPr>
        <w:t> </w:t>
      </w:r>
      <w:r>
        <w:rPr>
          <w:sz w:val="20"/>
        </w:rPr>
        <w:t>to</w:t>
      </w:r>
      <w:r>
        <w:rPr>
          <w:spacing w:val="-4"/>
          <w:sz w:val="20"/>
        </w:rPr>
        <w:t> </w:t>
      </w:r>
      <w:r>
        <w:rPr>
          <w:sz w:val="20"/>
        </w:rPr>
        <w:t>our</w:t>
      </w:r>
      <w:r>
        <w:rPr>
          <w:spacing w:val="-3"/>
          <w:sz w:val="20"/>
        </w:rPr>
        <w:t> </w:t>
      </w:r>
      <w:r>
        <w:rPr>
          <w:sz w:val="20"/>
        </w:rPr>
        <w:t>students.</w:t>
      </w:r>
      <w:r>
        <w:rPr>
          <w:spacing w:val="-4"/>
          <w:sz w:val="20"/>
        </w:rPr>
        <w:t> </w:t>
      </w:r>
      <w:r>
        <w:rPr>
          <w:sz w:val="20"/>
        </w:rPr>
        <w:t>This</w:t>
      </w:r>
      <w:r>
        <w:rPr>
          <w:spacing w:val="-3"/>
          <w:sz w:val="20"/>
        </w:rPr>
        <w:t> </w:t>
      </w:r>
      <w:r>
        <w:rPr>
          <w:sz w:val="20"/>
        </w:rPr>
        <w:t>has</w:t>
      </w:r>
      <w:r>
        <w:rPr>
          <w:spacing w:val="-3"/>
          <w:sz w:val="20"/>
        </w:rPr>
        <w:t> </w:t>
      </w:r>
      <w:r>
        <w:rPr>
          <w:sz w:val="20"/>
        </w:rPr>
        <w:t>been</w:t>
      </w:r>
      <w:r>
        <w:rPr>
          <w:spacing w:val="-4"/>
          <w:sz w:val="20"/>
        </w:rPr>
        <w:t> </w:t>
      </w:r>
      <w:r>
        <w:rPr>
          <w:sz w:val="20"/>
        </w:rPr>
        <w:t>supplemented</w:t>
      </w:r>
      <w:r>
        <w:rPr>
          <w:spacing w:val="-2"/>
          <w:sz w:val="20"/>
        </w:rPr>
        <w:t> </w:t>
      </w:r>
      <w:r>
        <w:rPr>
          <w:sz w:val="20"/>
        </w:rPr>
        <w:t>by</w:t>
      </w:r>
      <w:r>
        <w:rPr>
          <w:spacing w:val="-7"/>
          <w:sz w:val="20"/>
        </w:rPr>
        <w:t> </w:t>
      </w:r>
      <w:r>
        <w:rPr>
          <w:sz w:val="20"/>
        </w:rPr>
        <w:t>a</w:t>
      </w:r>
      <w:r>
        <w:rPr>
          <w:spacing w:val="-2"/>
          <w:sz w:val="20"/>
        </w:rPr>
        <w:t> </w:t>
      </w:r>
      <w:r>
        <w:rPr>
          <w:sz w:val="20"/>
        </w:rPr>
        <w:t>willingness</w:t>
      </w:r>
      <w:r>
        <w:rPr>
          <w:spacing w:val="-3"/>
          <w:sz w:val="20"/>
        </w:rPr>
        <w:t> </w:t>
      </w:r>
      <w:r>
        <w:rPr>
          <w:sz w:val="20"/>
        </w:rPr>
        <w:t>by local and state architects sharing their work and thoughts with our students.</w:t>
      </w:r>
    </w:p>
    <w:p>
      <w:pPr>
        <w:pStyle w:val="BodyText"/>
      </w:pPr>
    </w:p>
    <w:p>
      <w:pPr>
        <w:pStyle w:val="ListParagraph"/>
        <w:numPr>
          <w:ilvl w:val="0"/>
          <w:numId w:val="16"/>
        </w:numPr>
        <w:tabs>
          <w:tab w:pos="1724" w:val="left" w:leader="none"/>
        </w:tabs>
        <w:spacing w:line="240" w:lineRule="auto" w:before="0" w:after="0"/>
        <w:ind w:left="1723" w:right="611" w:hanging="360"/>
        <w:jc w:val="left"/>
        <w:rPr>
          <w:sz w:val="20"/>
        </w:rPr>
      </w:pPr>
      <w:bookmarkStart w:name="4. Slide curator and African American Co" w:id="14"/>
      <w:bookmarkEnd w:id="14"/>
      <w:r>
        <w:rPr>
          <w:sz w:val="20"/>
        </w:rPr>
        <w:t>S</w:t>
      </w:r>
      <w:r>
        <w:rPr>
          <w:sz w:val="20"/>
        </w:rPr>
        <w:t>lide</w:t>
      </w:r>
      <w:r>
        <w:rPr>
          <w:spacing w:val="-4"/>
          <w:sz w:val="20"/>
        </w:rPr>
        <w:t> </w:t>
      </w:r>
      <w:r>
        <w:rPr>
          <w:sz w:val="20"/>
        </w:rPr>
        <w:t>curator</w:t>
      </w:r>
      <w:r>
        <w:rPr>
          <w:spacing w:val="-3"/>
          <w:sz w:val="20"/>
        </w:rPr>
        <w:t> </w:t>
      </w:r>
      <w:r>
        <w:rPr>
          <w:sz w:val="20"/>
        </w:rPr>
        <w:t>and</w:t>
      </w:r>
      <w:r>
        <w:rPr>
          <w:spacing w:val="-2"/>
          <w:sz w:val="20"/>
        </w:rPr>
        <w:t> </w:t>
      </w:r>
      <w:r>
        <w:rPr>
          <w:sz w:val="20"/>
        </w:rPr>
        <w:t>African</w:t>
      </w:r>
      <w:r>
        <w:rPr>
          <w:spacing w:val="-4"/>
          <w:sz w:val="20"/>
        </w:rPr>
        <w:t> </w:t>
      </w:r>
      <w:r>
        <w:rPr>
          <w:sz w:val="20"/>
        </w:rPr>
        <w:t>American</w:t>
      </w:r>
      <w:r>
        <w:rPr>
          <w:spacing w:val="-4"/>
          <w:sz w:val="20"/>
        </w:rPr>
        <w:t> </w:t>
      </w:r>
      <w:r>
        <w:rPr>
          <w:sz w:val="20"/>
        </w:rPr>
        <w:t>Collection:</w:t>
      </w:r>
      <w:r>
        <w:rPr>
          <w:spacing w:val="40"/>
          <w:sz w:val="20"/>
        </w:rPr>
        <w:t> </w:t>
      </w:r>
      <w:r>
        <w:rPr>
          <w:sz w:val="20"/>
        </w:rPr>
        <w:t>In</w:t>
      </w:r>
      <w:r>
        <w:rPr>
          <w:spacing w:val="-2"/>
          <w:sz w:val="20"/>
        </w:rPr>
        <w:t> </w:t>
      </w:r>
      <w:r>
        <w:rPr>
          <w:sz w:val="20"/>
        </w:rPr>
        <w:t>2008</w:t>
      </w:r>
      <w:r>
        <w:rPr>
          <w:spacing w:val="-4"/>
          <w:sz w:val="20"/>
        </w:rPr>
        <w:t> </w:t>
      </w:r>
      <w:r>
        <w:rPr>
          <w:sz w:val="20"/>
        </w:rPr>
        <w:t>the</w:t>
      </w:r>
      <w:r>
        <w:rPr>
          <w:spacing w:val="-2"/>
          <w:sz w:val="20"/>
        </w:rPr>
        <w:t> </w:t>
      </w:r>
      <w:r>
        <w:rPr>
          <w:sz w:val="20"/>
        </w:rPr>
        <w:t>University</w:t>
      </w:r>
      <w:r>
        <w:rPr>
          <w:spacing w:val="-5"/>
          <w:sz w:val="20"/>
        </w:rPr>
        <w:t> </w:t>
      </w:r>
      <w:r>
        <w:rPr>
          <w:sz w:val="20"/>
        </w:rPr>
        <w:t>acquired</w:t>
      </w:r>
      <w:r>
        <w:rPr>
          <w:spacing w:val="-2"/>
          <w:sz w:val="20"/>
        </w:rPr>
        <w:t> </w:t>
      </w:r>
      <w:r>
        <w:rPr>
          <w:sz w:val="20"/>
        </w:rPr>
        <w:t>ARTstor</w:t>
      </w:r>
      <w:r>
        <w:rPr>
          <w:spacing w:val="-3"/>
          <w:sz w:val="20"/>
        </w:rPr>
        <w:t> </w:t>
      </w:r>
      <w:r>
        <w:rPr>
          <w:sz w:val="20"/>
        </w:rPr>
        <w:t>as a digital image database. This lessens the need for a curator, and provides a vehicle for distribution of a potential African American Collection.</w:t>
      </w:r>
    </w:p>
    <w:p>
      <w:pPr>
        <w:pStyle w:val="BodyText"/>
        <w:spacing w:before="11"/>
        <w:rPr>
          <w:sz w:val="19"/>
        </w:rPr>
      </w:pPr>
    </w:p>
    <w:p>
      <w:pPr>
        <w:pStyle w:val="ListParagraph"/>
        <w:numPr>
          <w:ilvl w:val="0"/>
          <w:numId w:val="16"/>
        </w:numPr>
        <w:tabs>
          <w:tab w:pos="1724" w:val="left" w:leader="none"/>
        </w:tabs>
        <w:spacing w:line="240" w:lineRule="auto" w:before="0" w:after="0"/>
        <w:ind w:left="1723" w:right="525" w:hanging="360"/>
        <w:jc w:val="left"/>
        <w:rPr>
          <w:sz w:val="20"/>
        </w:rPr>
      </w:pPr>
      <w:bookmarkStart w:name="5. Funding for faculty development:  Fac" w:id="15"/>
      <w:bookmarkEnd w:id="15"/>
      <w:r>
        <w:rPr>
          <w:sz w:val="20"/>
        </w:rPr>
        <w:t>F</w:t>
      </w:r>
      <w:r>
        <w:rPr>
          <w:sz w:val="20"/>
        </w:rPr>
        <w:t>unding for faculty development:</w:t>
      </w:r>
      <w:r>
        <w:rPr>
          <w:spacing w:val="40"/>
          <w:sz w:val="20"/>
        </w:rPr>
        <w:t> </w:t>
      </w:r>
      <w:r>
        <w:rPr>
          <w:sz w:val="20"/>
        </w:rPr>
        <w:t>Faculty have been able to attend and present at several professional</w:t>
      </w:r>
      <w:r>
        <w:rPr>
          <w:spacing w:val="-3"/>
          <w:sz w:val="20"/>
        </w:rPr>
        <w:t> </w:t>
      </w:r>
      <w:r>
        <w:rPr>
          <w:sz w:val="20"/>
        </w:rPr>
        <w:t>development</w:t>
      </w:r>
      <w:r>
        <w:rPr>
          <w:spacing w:val="-4"/>
          <w:sz w:val="20"/>
        </w:rPr>
        <w:t> </w:t>
      </w:r>
      <w:r>
        <w:rPr>
          <w:sz w:val="20"/>
        </w:rPr>
        <w:t>opportunities</w:t>
      </w:r>
      <w:r>
        <w:rPr>
          <w:spacing w:val="-3"/>
          <w:sz w:val="20"/>
        </w:rPr>
        <w:t> </w:t>
      </w:r>
      <w:r>
        <w:rPr>
          <w:sz w:val="20"/>
        </w:rPr>
        <w:t>to</w:t>
      </w:r>
      <w:r>
        <w:rPr>
          <w:spacing w:val="-4"/>
          <w:sz w:val="20"/>
        </w:rPr>
        <w:t> </w:t>
      </w:r>
      <w:r>
        <w:rPr>
          <w:sz w:val="20"/>
        </w:rPr>
        <w:t>date,</w:t>
      </w:r>
      <w:r>
        <w:rPr>
          <w:spacing w:val="-2"/>
          <w:sz w:val="20"/>
        </w:rPr>
        <w:t> </w:t>
      </w:r>
      <w:r>
        <w:rPr>
          <w:sz w:val="20"/>
        </w:rPr>
        <w:t>but</w:t>
      </w:r>
      <w:r>
        <w:rPr>
          <w:spacing w:val="-2"/>
          <w:sz w:val="20"/>
        </w:rPr>
        <w:t> </w:t>
      </w:r>
      <w:r>
        <w:rPr>
          <w:sz w:val="20"/>
        </w:rPr>
        <w:t>often</w:t>
      </w:r>
      <w:r>
        <w:rPr>
          <w:spacing w:val="-2"/>
          <w:sz w:val="20"/>
        </w:rPr>
        <w:t> </w:t>
      </w:r>
      <w:r>
        <w:rPr>
          <w:sz w:val="20"/>
        </w:rPr>
        <w:t>with</w:t>
      </w:r>
      <w:r>
        <w:rPr>
          <w:spacing w:val="-2"/>
          <w:sz w:val="20"/>
        </w:rPr>
        <w:t> </w:t>
      </w:r>
      <w:r>
        <w:rPr>
          <w:sz w:val="20"/>
        </w:rPr>
        <w:t>a</w:t>
      </w:r>
      <w:r>
        <w:rPr>
          <w:spacing w:val="-4"/>
          <w:sz w:val="20"/>
        </w:rPr>
        <w:t> </w:t>
      </w:r>
      <w:r>
        <w:rPr>
          <w:sz w:val="20"/>
        </w:rPr>
        <w:t>creative</w:t>
      </w:r>
      <w:r>
        <w:rPr>
          <w:spacing w:val="-4"/>
          <w:sz w:val="20"/>
        </w:rPr>
        <w:t> </w:t>
      </w:r>
      <w:r>
        <w:rPr>
          <w:sz w:val="20"/>
        </w:rPr>
        <w:t>gathering</w:t>
      </w:r>
      <w:r>
        <w:rPr>
          <w:spacing w:val="-2"/>
          <w:sz w:val="20"/>
        </w:rPr>
        <w:t> </w:t>
      </w:r>
      <w:r>
        <w:rPr>
          <w:sz w:val="20"/>
        </w:rPr>
        <w:t>of</w:t>
      </w:r>
      <w:r>
        <w:rPr>
          <w:spacing w:val="-2"/>
          <w:sz w:val="20"/>
        </w:rPr>
        <w:t> </w:t>
      </w:r>
      <w:r>
        <w:rPr>
          <w:sz w:val="20"/>
        </w:rPr>
        <w:t>funds, including</w:t>
      </w:r>
      <w:r>
        <w:rPr>
          <w:spacing w:val="-4"/>
          <w:sz w:val="20"/>
        </w:rPr>
        <w:t> </w:t>
      </w:r>
      <w:r>
        <w:rPr>
          <w:sz w:val="20"/>
        </w:rPr>
        <w:t>their</w:t>
      </w:r>
      <w:r>
        <w:rPr>
          <w:spacing w:val="-1"/>
          <w:sz w:val="20"/>
        </w:rPr>
        <w:t> </w:t>
      </w:r>
      <w:r>
        <w:rPr>
          <w:sz w:val="20"/>
        </w:rPr>
        <w:t>own.</w:t>
      </w:r>
      <w:r>
        <w:rPr>
          <w:spacing w:val="-2"/>
          <w:sz w:val="20"/>
        </w:rPr>
        <w:t> </w:t>
      </w:r>
      <w:r>
        <w:rPr>
          <w:sz w:val="20"/>
        </w:rPr>
        <w:t>The</w:t>
      </w:r>
      <w:r>
        <w:rPr>
          <w:spacing w:val="-4"/>
          <w:sz w:val="20"/>
        </w:rPr>
        <w:t> </w:t>
      </w:r>
      <w:r>
        <w:rPr>
          <w:sz w:val="20"/>
        </w:rPr>
        <w:t>travel</w:t>
      </w:r>
      <w:r>
        <w:rPr>
          <w:spacing w:val="-5"/>
          <w:sz w:val="20"/>
        </w:rPr>
        <w:t> </w:t>
      </w:r>
      <w:r>
        <w:rPr>
          <w:sz w:val="20"/>
        </w:rPr>
        <w:t>budget</w:t>
      </w:r>
      <w:r>
        <w:rPr>
          <w:spacing w:val="-3"/>
          <w:sz w:val="20"/>
        </w:rPr>
        <w:t> </w:t>
      </w:r>
      <w:r>
        <w:rPr>
          <w:sz w:val="20"/>
        </w:rPr>
        <w:t>has been</w:t>
      </w:r>
      <w:r>
        <w:rPr>
          <w:spacing w:val="-4"/>
          <w:sz w:val="20"/>
        </w:rPr>
        <w:t> </w:t>
      </w:r>
      <w:r>
        <w:rPr>
          <w:sz w:val="20"/>
        </w:rPr>
        <w:t>frozen</w:t>
      </w:r>
      <w:r>
        <w:rPr>
          <w:spacing w:val="-2"/>
          <w:sz w:val="20"/>
        </w:rPr>
        <w:t> </w:t>
      </w:r>
      <w:r>
        <w:rPr>
          <w:sz w:val="20"/>
        </w:rPr>
        <w:t>at</w:t>
      </w:r>
      <w:r>
        <w:rPr>
          <w:spacing w:val="-4"/>
          <w:sz w:val="20"/>
        </w:rPr>
        <w:t> </w:t>
      </w:r>
      <w:r>
        <w:rPr>
          <w:sz w:val="20"/>
        </w:rPr>
        <w:t>the</w:t>
      </w:r>
      <w:r>
        <w:rPr>
          <w:spacing w:val="-4"/>
          <w:sz w:val="20"/>
        </w:rPr>
        <w:t> </w:t>
      </w:r>
      <w:r>
        <w:rPr>
          <w:sz w:val="20"/>
        </w:rPr>
        <w:t>university</w:t>
      </w:r>
      <w:r>
        <w:rPr>
          <w:spacing w:val="-7"/>
          <w:sz w:val="20"/>
        </w:rPr>
        <w:t> </w:t>
      </w:r>
      <w:r>
        <w:rPr>
          <w:sz w:val="20"/>
        </w:rPr>
        <w:t>since</w:t>
      </w:r>
      <w:r>
        <w:rPr>
          <w:spacing w:val="-4"/>
          <w:sz w:val="20"/>
        </w:rPr>
        <w:t> </w:t>
      </w:r>
      <w:r>
        <w:rPr>
          <w:sz w:val="20"/>
        </w:rPr>
        <w:t>the</w:t>
      </w:r>
      <w:r>
        <w:rPr>
          <w:spacing w:val="-4"/>
          <w:sz w:val="20"/>
        </w:rPr>
        <w:t> </w:t>
      </w:r>
      <w:r>
        <w:rPr>
          <w:sz w:val="20"/>
        </w:rPr>
        <w:t>recession. Travel must be approved by the Exceptions Committee, which places emphasis on travel related to recruitment.</w:t>
      </w:r>
    </w:p>
    <w:p>
      <w:pPr>
        <w:pStyle w:val="BodyText"/>
      </w:pPr>
    </w:p>
    <w:p>
      <w:pPr>
        <w:pStyle w:val="ListParagraph"/>
        <w:numPr>
          <w:ilvl w:val="0"/>
          <w:numId w:val="16"/>
        </w:numPr>
        <w:tabs>
          <w:tab w:pos="1724" w:val="left" w:leader="none"/>
        </w:tabs>
        <w:spacing w:line="240" w:lineRule="auto" w:before="1" w:after="0"/>
        <w:ind w:left="1722" w:right="587" w:hanging="360"/>
        <w:jc w:val="left"/>
        <w:rPr>
          <w:sz w:val="20"/>
        </w:rPr>
      </w:pPr>
      <w:bookmarkStart w:name="6. At least one funded grant per year:  " w:id="16"/>
      <w:bookmarkEnd w:id="16"/>
      <w:r>
        <w:rPr>
          <w:sz w:val="20"/>
        </w:rPr>
        <w:t>A</w:t>
      </w:r>
      <w:r>
        <w:rPr>
          <w:sz w:val="20"/>
        </w:rPr>
        <w:t>t</w:t>
      </w:r>
      <w:r>
        <w:rPr>
          <w:spacing w:val="-4"/>
          <w:sz w:val="20"/>
        </w:rPr>
        <w:t> </w:t>
      </w:r>
      <w:r>
        <w:rPr>
          <w:sz w:val="20"/>
        </w:rPr>
        <w:t>least</w:t>
      </w:r>
      <w:r>
        <w:rPr>
          <w:spacing w:val="-4"/>
          <w:sz w:val="20"/>
        </w:rPr>
        <w:t> </w:t>
      </w:r>
      <w:r>
        <w:rPr>
          <w:sz w:val="20"/>
        </w:rPr>
        <w:t>one</w:t>
      </w:r>
      <w:r>
        <w:rPr>
          <w:spacing w:val="-4"/>
          <w:sz w:val="20"/>
        </w:rPr>
        <w:t> </w:t>
      </w:r>
      <w:r>
        <w:rPr>
          <w:sz w:val="20"/>
        </w:rPr>
        <w:t>funded</w:t>
      </w:r>
      <w:r>
        <w:rPr>
          <w:spacing w:val="-2"/>
          <w:sz w:val="20"/>
        </w:rPr>
        <w:t> </w:t>
      </w:r>
      <w:r>
        <w:rPr>
          <w:sz w:val="20"/>
        </w:rPr>
        <w:t>grant</w:t>
      </w:r>
      <w:r>
        <w:rPr>
          <w:spacing w:val="-1"/>
          <w:sz w:val="20"/>
        </w:rPr>
        <w:t> </w:t>
      </w:r>
      <w:r>
        <w:rPr>
          <w:sz w:val="20"/>
        </w:rPr>
        <w:t>per</w:t>
      </w:r>
      <w:r>
        <w:rPr>
          <w:spacing w:val="-1"/>
          <w:sz w:val="20"/>
        </w:rPr>
        <w:t> </w:t>
      </w:r>
      <w:r>
        <w:rPr>
          <w:sz w:val="20"/>
        </w:rPr>
        <w:t>year:</w:t>
      </w:r>
      <w:r>
        <w:rPr>
          <w:spacing w:val="40"/>
          <w:sz w:val="20"/>
        </w:rPr>
        <w:t> </w:t>
      </w:r>
      <w:r>
        <w:rPr>
          <w:sz w:val="20"/>
        </w:rPr>
        <w:t>The</w:t>
      </w:r>
      <w:r>
        <w:rPr>
          <w:spacing w:val="-4"/>
          <w:sz w:val="20"/>
        </w:rPr>
        <w:t> </w:t>
      </w:r>
      <w:r>
        <w:rPr>
          <w:sz w:val="20"/>
        </w:rPr>
        <w:t>Department</w:t>
      </w:r>
      <w:r>
        <w:rPr>
          <w:spacing w:val="-4"/>
          <w:sz w:val="20"/>
        </w:rPr>
        <w:t> </w:t>
      </w:r>
      <w:r>
        <w:rPr>
          <w:sz w:val="20"/>
        </w:rPr>
        <w:t>received</w:t>
      </w:r>
      <w:r>
        <w:rPr>
          <w:spacing w:val="-2"/>
          <w:sz w:val="20"/>
        </w:rPr>
        <w:t> </w:t>
      </w:r>
      <w:r>
        <w:rPr>
          <w:sz w:val="20"/>
        </w:rPr>
        <w:t>two</w:t>
      </w:r>
      <w:r>
        <w:rPr>
          <w:spacing w:val="-4"/>
          <w:sz w:val="20"/>
        </w:rPr>
        <w:t> </w:t>
      </w:r>
      <w:r>
        <w:rPr>
          <w:sz w:val="20"/>
        </w:rPr>
        <w:t>separate,</w:t>
      </w:r>
      <w:r>
        <w:rPr>
          <w:spacing w:val="-3"/>
          <w:sz w:val="20"/>
        </w:rPr>
        <w:t> </w:t>
      </w:r>
      <w:r>
        <w:rPr>
          <w:sz w:val="20"/>
        </w:rPr>
        <w:t>Department</w:t>
      </w:r>
      <w:r>
        <w:rPr>
          <w:spacing w:val="-4"/>
          <w:sz w:val="20"/>
        </w:rPr>
        <w:t> </w:t>
      </w:r>
      <w:r>
        <w:rPr>
          <w:sz w:val="20"/>
        </w:rPr>
        <w:t>of Energy Solar Decathlon grants for academic years 2010-2011, and 2012-2013, each a collaboration with Old Dominion University. The Department collaborated with the City of Newport News on a HUD grant to revitalize a community in that City. The faculty has generated a number of proposals with various levels of success.</w:t>
      </w:r>
    </w:p>
    <w:p>
      <w:pPr>
        <w:pStyle w:val="BodyText"/>
      </w:pPr>
    </w:p>
    <w:p>
      <w:pPr>
        <w:pStyle w:val="ListParagraph"/>
        <w:numPr>
          <w:ilvl w:val="0"/>
          <w:numId w:val="16"/>
        </w:numPr>
        <w:tabs>
          <w:tab w:pos="1723" w:val="left" w:leader="none"/>
        </w:tabs>
        <w:spacing w:line="240" w:lineRule="auto" w:before="0" w:after="0"/>
        <w:ind w:left="1722" w:right="536" w:hanging="360"/>
        <w:jc w:val="left"/>
        <w:rPr>
          <w:sz w:val="20"/>
        </w:rPr>
      </w:pPr>
      <w:bookmarkStart w:name="7. Integrate computer technology:  A lap" w:id="17"/>
      <w:bookmarkEnd w:id="17"/>
      <w:r>
        <w:rPr>
          <w:sz w:val="20"/>
        </w:rPr>
        <w:t>I</w:t>
      </w:r>
      <w:r>
        <w:rPr>
          <w:sz w:val="20"/>
        </w:rPr>
        <w:t>ntegrate</w:t>
      </w:r>
      <w:r>
        <w:rPr>
          <w:spacing w:val="-5"/>
          <w:sz w:val="20"/>
        </w:rPr>
        <w:t> </w:t>
      </w:r>
      <w:r>
        <w:rPr>
          <w:sz w:val="20"/>
        </w:rPr>
        <w:t>computer</w:t>
      </w:r>
      <w:r>
        <w:rPr>
          <w:spacing w:val="-4"/>
          <w:sz w:val="20"/>
        </w:rPr>
        <w:t> </w:t>
      </w:r>
      <w:r>
        <w:rPr>
          <w:sz w:val="20"/>
        </w:rPr>
        <w:t>technology:</w:t>
      </w:r>
      <w:r>
        <w:rPr>
          <w:spacing w:val="40"/>
          <w:sz w:val="20"/>
        </w:rPr>
        <w:t> </w:t>
      </w:r>
      <w:r>
        <w:rPr>
          <w:sz w:val="20"/>
        </w:rPr>
        <w:t>A</w:t>
      </w:r>
      <w:r>
        <w:rPr>
          <w:spacing w:val="-3"/>
          <w:sz w:val="20"/>
        </w:rPr>
        <w:t> </w:t>
      </w:r>
      <w:r>
        <w:rPr>
          <w:sz w:val="20"/>
        </w:rPr>
        <w:t>laptop</w:t>
      </w:r>
      <w:r>
        <w:rPr>
          <w:spacing w:val="-5"/>
          <w:sz w:val="20"/>
        </w:rPr>
        <w:t> </w:t>
      </w:r>
      <w:r>
        <w:rPr>
          <w:sz w:val="20"/>
        </w:rPr>
        <w:t>is</w:t>
      </w:r>
      <w:r>
        <w:rPr>
          <w:spacing w:val="-4"/>
          <w:sz w:val="20"/>
        </w:rPr>
        <w:t> </w:t>
      </w:r>
      <w:r>
        <w:rPr>
          <w:sz w:val="20"/>
        </w:rPr>
        <w:t>required</w:t>
      </w:r>
      <w:r>
        <w:rPr>
          <w:spacing w:val="-5"/>
          <w:sz w:val="20"/>
        </w:rPr>
        <w:t> </w:t>
      </w:r>
      <w:r>
        <w:rPr>
          <w:sz w:val="20"/>
        </w:rPr>
        <w:t>of all</w:t>
      </w:r>
      <w:r>
        <w:rPr>
          <w:spacing w:val="-6"/>
          <w:sz w:val="20"/>
        </w:rPr>
        <w:t> </w:t>
      </w:r>
      <w:r>
        <w:rPr>
          <w:sz w:val="20"/>
        </w:rPr>
        <w:t>second year</w:t>
      </w:r>
      <w:r>
        <w:rPr>
          <w:spacing w:val="-4"/>
          <w:sz w:val="20"/>
        </w:rPr>
        <w:t> </w:t>
      </w:r>
      <w:r>
        <w:rPr>
          <w:sz w:val="20"/>
        </w:rPr>
        <w:t>students.</w:t>
      </w:r>
      <w:r>
        <w:rPr>
          <w:spacing w:val="-3"/>
          <w:sz w:val="20"/>
        </w:rPr>
        <w:t> </w:t>
      </w:r>
      <w:r>
        <w:rPr>
          <w:sz w:val="20"/>
        </w:rPr>
        <w:t>Across</w:t>
      </w:r>
      <w:r>
        <w:rPr>
          <w:spacing w:val="-4"/>
          <w:sz w:val="20"/>
        </w:rPr>
        <w:t> </w:t>
      </w:r>
      <w:r>
        <w:rPr>
          <w:sz w:val="20"/>
        </w:rPr>
        <w:t>the university, most of the +/-1300 entering freshmen come to campus with a computer. The Architecture</w:t>
      </w:r>
      <w:r>
        <w:rPr>
          <w:spacing w:val="-4"/>
          <w:sz w:val="20"/>
        </w:rPr>
        <w:t> </w:t>
      </w:r>
      <w:r>
        <w:rPr>
          <w:sz w:val="20"/>
        </w:rPr>
        <w:t>building,</w:t>
      </w:r>
      <w:r>
        <w:rPr>
          <w:spacing w:val="-2"/>
          <w:sz w:val="20"/>
        </w:rPr>
        <w:t> </w:t>
      </w:r>
      <w:r>
        <w:rPr>
          <w:sz w:val="20"/>
        </w:rPr>
        <w:t>Bemis</w:t>
      </w:r>
      <w:r>
        <w:rPr>
          <w:spacing w:val="-3"/>
          <w:sz w:val="20"/>
        </w:rPr>
        <w:t> </w:t>
      </w:r>
      <w:r>
        <w:rPr>
          <w:sz w:val="20"/>
        </w:rPr>
        <w:t>Hall,</w:t>
      </w:r>
      <w:r>
        <w:rPr>
          <w:spacing w:val="-4"/>
          <w:sz w:val="20"/>
        </w:rPr>
        <w:t> </w:t>
      </w:r>
      <w:r>
        <w:rPr>
          <w:sz w:val="20"/>
        </w:rPr>
        <w:t>is</w:t>
      </w:r>
      <w:r>
        <w:rPr>
          <w:spacing w:val="-3"/>
          <w:sz w:val="20"/>
        </w:rPr>
        <w:t> </w:t>
      </w:r>
      <w:r>
        <w:rPr>
          <w:sz w:val="20"/>
        </w:rPr>
        <w:t>a wireless</w:t>
      </w:r>
      <w:r>
        <w:rPr>
          <w:spacing w:val="-3"/>
          <w:sz w:val="20"/>
        </w:rPr>
        <w:t> </w:t>
      </w:r>
      <w:r>
        <w:rPr>
          <w:sz w:val="20"/>
        </w:rPr>
        <w:t>environment.</w:t>
      </w:r>
      <w:r>
        <w:rPr>
          <w:spacing w:val="-4"/>
          <w:sz w:val="20"/>
        </w:rPr>
        <w:t> </w:t>
      </w:r>
      <w:r>
        <w:rPr>
          <w:sz w:val="20"/>
        </w:rPr>
        <w:t>Design</w:t>
      </w:r>
      <w:r>
        <w:rPr>
          <w:spacing w:val="-4"/>
          <w:sz w:val="20"/>
        </w:rPr>
        <w:t> </w:t>
      </w:r>
      <w:r>
        <w:rPr>
          <w:sz w:val="20"/>
        </w:rPr>
        <w:t>studios</w:t>
      </w:r>
      <w:r>
        <w:rPr>
          <w:spacing w:val="-3"/>
          <w:sz w:val="20"/>
        </w:rPr>
        <w:t> </w:t>
      </w:r>
      <w:r>
        <w:rPr>
          <w:sz w:val="20"/>
        </w:rPr>
        <w:t>integrate</w:t>
      </w:r>
      <w:r>
        <w:rPr>
          <w:spacing w:val="-4"/>
          <w:sz w:val="20"/>
        </w:rPr>
        <w:t> </w:t>
      </w:r>
      <w:r>
        <w:rPr>
          <w:sz w:val="20"/>
        </w:rPr>
        <w:t>digital representation, as well as other professional courses.</w:t>
      </w:r>
    </w:p>
    <w:p>
      <w:pPr>
        <w:spacing w:after="0" w:line="240" w:lineRule="auto"/>
        <w:jc w:val="left"/>
        <w:rPr>
          <w:sz w:val="20"/>
        </w:rPr>
        <w:sectPr>
          <w:pgSz w:w="12240" w:h="15840"/>
          <w:pgMar w:header="0" w:footer="974" w:top="1360" w:bottom="1160" w:left="940" w:right="960"/>
        </w:sectPr>
      </w:pPr>
    </w:p>
    <w:p>
      <w:pPr>
        <w:pStyle w:val="ListParagraph"/>
        <w:numPr>
          <w:ilvl w:val="0"/>
          <w:numId w:val="16"/>
        </w:numPr>
        <w:tabs>
          <w:tab w:pos="1724" w:val="left" w:leader="none"/>
        </w:tabs>
        <w:spacing w:line="240" w:lineRule="auto" w:before="67" w:after="0"/>
        <w:ind w:left="1723" w:right="511" w:hanging="360"/>
        <w:jc w:val="left"/>
        <w:rPr>
          <w:sz w:val="20"/>
        </w:rPr>
      </w:pPr>
      <w:bookmarkStart w:name="8. Web, email, and long distance collabo" w:id="18"/>
      <w:bookmarkEnd w:id="18"/>
      <w:r>
        <w:rPr>
          <w:sz w:val="20"/>
        </w:rPr>
        <w:t>W</w:t>
      </w:r>
      <w:r>
        <w:rPr>
          <w:sz w:val="20"/>
        </w:rPr>
        <w:t>eb, email, and long distance collaboration:</w:t>
      </w:r>
      <w:r>
        <w:rPr>
          <w:spacing w:val="77"/>
          <w:sz w:val="20"/>
        </w:rPr>
        <w:t> </w:t>
      </w:r>
      <w:r>
        <w:rPr>
          <w:sz w:val="20"/>
        </w:rPr>
        <w:t>The University has mandated and most</w:t>
      </w:r>
      <w:r>
        <w:rPr>
          <w:sz w:val="20"/>
        </w:rPr>
        <w:t> faculty currently comply with the use of Blackboard for course content and communication, or</w:t>
      </w:r>
      <w:r>
        <w:rPr>
          <w:spacing w:val="-3"/>
          <w:sz w:val="20"/>
        </w:rPr>
        <w:t> </w:t>
      </w:r>
      <w:r>
        <w:rPr>
          <w:sz w:val="20"/>
        </w:rPr>
        <w:t>conduct</w:t>
      </w:r>
      <w:r>
        <w:rPr>
          <w:spacing w:val="-4"/>
          <w:sz w:val="20"/>
        </w:rPr>
        <w:t> </w:t>
      </w:r>
      <w:r>
        <w:rPr>
          <w:sz w:val="20"/>
        </w:rPr>
        <w:t>some</w:t>
      </w:r>
      <w:r>
        <w:rPr>
          <w:spacing w:val="-4"/>
          <w:sz w:val="20"/>
        </w:rPr>
        <w:t> </w:t>
      </w:r>
      <w:r>
        <w:rPr>
          <w:sz w:val="20"/>
        </w:rPr>
        <w:t>coursework through</w:t>
      </w:r>
      <w:r>
        <w:rPr>
          <w:spacing w:val="-2"/>
          <w:sz w:val="20"/>
        </w:rPr>
        <w:t> </w:t>
      </w:r>
      <w:r>
        <w:rPr>
          <w:sz w:val="20"/>
        </w:rPr>
        <w:t>a</w:t>
      </w:r>
      <w:r>
        <w:rPr>
          <w:spacing w:val="-2"/>
          <w:sz w:val="20"/>
        </w:rPr>
        <w:t> </w:t>
      </w:r>
      <w:r>
        <w:rPr>
          <w:sz w:val="20"/>
        </w:rPr>
        <w:t>variety</w:t>
      </w:r>
      <w:r>
        <w:rPr>
          <w:spacing w:val="-5"/>
          <w:sz w:val="20"/>
        </w:rPr>
        <w:t> </w:t>
      </w:r>
      <w:r>
        <w:rPr>
          <w:sz w:val="20"/>
        </w:rPr>
        <w:t>of</w:t>
      </w:r>
      <w:r>
        <w:rPr>
          <w:spacing w:val="-2"/>
          <w:sz w:val="20"/>
        </w:rPr>
        <w:t> </w:t>
      </w:r>
      <w:r>
        <w:rPr>
          <w:sz w:val="20"/>
        </w:rPr>
        <w:t>online</w:t>
      </w:r>
      <w:r>
        <w:rPr>
          <w:spacing w:val="-4"/>
          <w:sz w:val="20"/>
        </w:rPr>
        <w:t> </w:t>
      </w:r>
      <w:r>
        <w:rPr>
          <w:sz w:val="20"/>
        </w:rPr>
        <w:t>collaborative</w:t>
      </w:r>
      <w:r>
        <w:rPr>
          <w:spacing w:val="-2"/>
          <w:sz w:val="20"/>
        </w:rPr>
        <w:t> </w:t>
      </w:r>
      <w:r>
        <w:rPr>
          <w:sz w:val="20"/>
        </w:rPr>
        <w:t>environments.</w:t>
      </w:r>
      <w:r>
        <w:rPr>
          <w:spacing w:val="-9"/>
          <w:sz w:val="20"/>
        </w:rPr>
        <w:t> </w:t>
      </w:r>
      <w:r>
        <w:rPr>
          <w:sz w:val="20"/>
        </w:rPr>
        <w:t>We</w:t>
      </w:r>
      <w:r>
        <w:rPr>
          <w:spacing w:val="-4"/>
          <w:sz w:val="20"/>
        </w:rPr>
        <w:t> </w:t>
      </w:r>
      <w:r>
        <w:rPr>
          <w:sz w:val="20"/>
        </w:rPr>
        <w:t>are now integrated to the extent that we are able to require student participation through their University</w:t>
      </w:r>
      <w:r>
        <w:rPr>
          <w:spacing w:val="-6"/>
          <w:sz w:val="20"/>
        </w:rPr>
        <w:t> </w:t>
      </w:r>
      <w:r>
        <w:rPr>
          <w:sz w:val="20"/>
        </w:rPr>
        <w:t>email</w:t>
      </w:r>
      <w:r>
        <w:rPr>
          <w:spacing w:val="-2"/>
          <w:sz w:val="20"/>
        </w:rPr>
        <w:t> </w:t>
      </w:r>
      <w:r>
        <w:rPr>
          <w:sz w:val="20"/>
        </w:rPr>
        <w:t>accounts.</w:t>
      </w:r>
      <w:r>
        <w:rPr>
          <w:spacing w:val="-1"/>
          <w:sz w:val="20"/>
        </w:rPr>
        <w:t> </w:t>
      </w:r>
      <w:r>
        <w:rPr>
          <w:sz w:val="20"/>
        </w:rPr>
        <w:t>Some</w:t>
      </w:r>
      <w:r>
        <w:rPr>
          <w:spacing w:val="-3"/>
          <w:sz w:val="20"/>
        </w:rPr>
        <w:t> </w:t>
      </w:r>
      <w:r>
        <w:rPr>
          <w:sz w:val="20"/>
        </w:rPr>
        <w:t>faculty</w:t>
      </w:r>
      <w:r>
        <w:rPr>
          <w:spacing w:val="-6"/>
          <w:sz w:val="20"/>
        </w:rPr>
        <w:t> </w:t>
      </w:r>
      <w:r>
        <w:rPr>
          <w:sz w:val="20"/>
        </w:rPr>
        <w:t>and</w:t>
      </w:r>
      <w:r>
        <w:rPr>
          <w:spacing w:val="-3"/>
          <w:sz w:val="20"/>
        </w:rPr>
        <w:t> </w:t>
      </w:r>
      <w:r>
        <w:rPr>
          <w:sz w:val="20"/>
        </w:rPr>
        <w:t>students maintain</w:t>
      </w:r>
      <w:r>
        <w:rPr>
          <w:spacing w:val="-3"/>
          <w:sz w:val="20"/>
        </w:rPr>
        <w:t> </w:t>
      </w:r>
      <w:r>
        <w:rPr>
          <w:sz w:val="20"/>
        </w:rPr>
        <w:t>their</w:t>
      </w:r>
      <w:r>
        <w:rPr>
          <w:spacing w:val="-2"/>
          <w:sz w:val="20"/>
        </w:rPr>
        <w:t> </w:t>
      </w:r>
      <w:r>
        <w:rPr>
          <w:sz w:val="20"/>
        </w:rPr>
        <w:t>own</w:t>
      </w:r>
      <w:r>
        <w:rPr>
          <w:spacing w:val="-1"/>
          <w:sz w:val="20"/>
        </w:rPr>
        <w:t> </w:t>
      </w:r>
      <w:r>
        <w:rPr>
          <w:sz w:val="20"/>
        </w:rPr>
        <w:t>discussion</w:t>
      </w:r>
      <w:r>
        <w:rPr>
          <w:spacing w:val="-3"/>
          <w:sz w:val="20"/>
        </w:rPr>
        <w:t> </w:t>
      </w:r>
      <w:r>
        <w:rPr>
          <w:sz w:val="20"/>
        </w:rPr>
        <w:t>spaces </w:t>
      </w:r>
      <w:r>
        <w:rPr>
          <w:spacing w:val="-2"/>
          <w:sz w:val="20"/>
        </w:rPr>
        <w:t>(blogs).</w:t>
      </w:r>
    </w:p>
    <w:p>
      <w:pPr>
        <w:pStyle w:val="BodyText"/>
        <w:spacing w:before="1"/>
      </w:pPr>
    </w:p>
    <w:p>
      <w:pPr>
        <w:pStyle w:val="ListParagraph"/>
        <w:numPr>
          <w:ilvl w:val="0"/>
          <w:numId w:val="16"/>
        </w:numPr>
        <w:tabs>
          <w:tab w:pos="1724" w:val="left" w:leader="none"/>
        </w:tabs>
        <w:spacing w:line="240" w:lineRule="auto" w:before="0" w:after="0"/>
        <w:ind w:left="1723" w:right="527" w:hanging="360"/>
        <w:jc w:val="left"/>
        <w:rPr>
          <w:sz w:val="20"/>
        </w:rPr>
      </w:pPr>
      <w:bookmarkStart w:name="9. Community development organizations t" w:id="19"/>
      <w:bookmarkEnd w:id="19"/>
      <w:r>
        <w:rPr>
          <w:sz w:val="20"/>
        </w:rPr>
        <w:t>C</w:t>
      </w:r>
      <w:r>
        <w:rPr>
          <w:sz w:val="20"/>
        </w:rPr>
        <w:t>ommunity development organizations through the Urban Institute:</w:t>
      </w:r>
      <w:r>
        <w:rPr>
          <w:spacing w:val="40"/>
          <w:sz w:val="20"/>
        </w:rPr>
        <w:t> </w:t>
      </w:r>
      <w:r>
        <w:rPr>
          <w:sz w:val="20"/>
        </w:rPr>
        <w:t>The Third and Fourth year comprehensive design studio projects have been community-based for the last few years. This studio has included a significant urban component, and extends across two semesters.</w:t>
      </w:r>
      <w:r>
        <w:rPr>
          <w:spacing w:val="-4"/>
          <w:sz w:val="20"/>
        </w:rPr>
        <w:t> </w:t>
      </w:r>
      <w:r>
        <w:rPr>
          <w:sz w:val="20"/>
        </w:rPr>
        <w:t>These</w:t>
      </w:r>
      <w:r>
        <w:rPr>
          <w:spacing w:val="-4"/>
          <w:sz w:val="20"/>
        </w:rPr>
        <w:t> </w:t>
      </w:r>
      <w:r>
        <w:rPr>
          <w:sz w:val="20"/>
        </w:rPr>
        <w:t>projects</w:t>
      </w:r>
      <w:r>
        <w:rPr>
          <w:spacing w:val="-5"/>
          <w:sz w:val="20"/>
        </w:rPr>
        <w:t> </w:t>
      </w:r>
      <w:r>
        <w:rPr>
          <w:sz w:val="20"/>
        </w:rPr>
        <w:t>can</w:t>
      </w:r>
      <w:r>
        <w:rPr>
          <w:spacing w:val="-4"/>
          <w:sz w:val="20"/>
        </w:rPr>
        <w:t> </w:t>
      </w:r>
      <w:r>
        <w:rPr>
          <w:sz w:val="20"/>
        </w:rPr>
        <w:t>still</w:t>
      </w:r>
      <w:r>
        <w:rPr>
          <w:spacing w:val="-5"/>
          <w:sz w:val="20"/>
        </w:rPr>
        <w:t> </w:t>
      </w:r>
      <w:r>
        <w:rPr>
          <w:sz w:val="20"/>
        </w:rPr>
        <w:t>be</w:t>
      </w:r>
      <w:r>
        <w:rPr>
          <w:spacing w:val="-4"/>
          <w:sz w:val="20"/>
        </w:rPr>
        <w:t> </w:t>
      </w:r>
      <w:r>
        <w:rPr>
          <w:sz w:val="20"/>
        </w:rPr>
        <w:t>brought</w:t>
      </w:r>
      <w:r>
        <w:rPr>
          <w:spacing w:val="-4"/>
          <w:sz w:val="20"/>
        </w:rPr>
        <w:t> </w:t>
      </w:r>
      <w:r>
        <w:rPr>
          <w:sz w:val="20"/>
        </w:rPr>
        <w:t>under</w:t>
      </w:r>
      <w:r>
        <w:rPr>
          <w:spacing w:val="-3"/>
          <w:sz w:val="20"/>
        </w:rPr>
        <w:t> </w:t>
      </w:r>
      <w:r>
        <w:rPr>
          <w:sz w:val="20"/>
        </w:rPr>
        <w:t>the</w:t>
      </w:r>
      <w:r>
        <w:rPr>
          <w:spacing w:val="-4"/>
          <w:sz w:val="20"/>
        </w:rPr>
        <w:t> </w:t>
      </w:r>
      <w:r>
        <w:rPr>
          <w:sz w:val="20"/>
        </w:rPr>
        <w:t>umbrella</w:t>
      </w:r>
      <w:r>
        <w:rPr>
          <w:spacing w:val="-2"/>
          <w:sz w:val="20"/>
        </w:rPr>
        <w:t> </w:t>
      </w:r>
      <w:r>
        <w:rPr>
          <w:sz w:val="20"/>
        </w:rPr>
        <w:t>of</w:t>
      </w:r>
      <w:r>
        <w:rPr>
          <w:spacing w:val="-2"/>
          <w:sz w:val="20"/>
        </w:rPr>
        <w:t> </w:t>
      </w:r>
      <w:r>
        <w:rPr>
          <w:sz w:val="20"/>
        </w:rPr>
        <w:t>the</w:t>
      </w:r>
      <w:r>
        <w:rPr>
          <w:spacing w:val="-4"/>
          <w:sz w:val="20"/>
        </w:rPr>
        <w:t> </w:t>
      </w:r>
      <w:r>
        <w:rPr>
          <w:sz w:val="20"/>
        </w:rPr>
        <w:t>Urban</w:t>
      </w:r>
      <w:r>
        <w:rPr>
          <w:spacing w:val="-2"/>
          <w:sz w:val="20"/>
        </w:rPr>
        <w:t> </w:t>
      </w:r>
      <w:r>
        <w:rPr>
          <w:sz w:val="20"/>
        </w:rPr>
        <w:t>Institute</w:t>
      </w:r>
      <w:r>
        <w:rPr>
          <w:spacing w:val="-2"/>
          <w:sz w:val="20"/>
        </w:rPr>
        <w:t> </w:t>
      </w:r>
      <w:r>
        <w:rPr>
          <w:sz w:val="20"/>
        </w:rPr>
        <w:t>in</w:t>
      </w:r>
      <w:r>
        <w:rPr>
          <w:spacing w:val="-2"/>
          <w:sz w:val="20"/>
        </w:rPr>
        <w:t> </w:t>
      </w:r>
      <w:r>
        <w:rPr>
          <w:sz w:val="20"/>
        </w:rPr>
        <w:t>a more formalized manner.</w:t>
      </w:r>
    </w:p>
    <w:p>
      <w:pPr>
        <w:pStyle w:val="BodyText"/>
        <w:spacing w:before="1"/>
      </w:pPr>
    </w:p>
    <w:p>
      <w:pPr>
        <w:pStyle w:val="ListParagraph"/>
        <w:numPr>
          <w:ilvl w:val="0"/>
          <w:numId w:val="16"/>
        </w:numPr>
        <w:tabs>
          <w:tab w:pos="1724" w:val="left" w:leader="none"/>
        </w:tabs>
        <w:spacing w:line="240" w:lineRule="auto" w:before="0" w:after="0"/>
        <w:ind w:left="1723" w:right="485" w:hanging="361"/>
        <w:jc w:val="left"/>
        <w:rPr>
          <w:sz w:val="20"/>
        </w:rPr>
      </w:pPr>
      <w:bookmarkStart w:name="10.  Required internship/coop:  The depa" w:id="20"/>
      <w:bookmarkEnd w:id="20"/>
      <w:r>
        <w:rPr>
          <w:sz w:val="20"/>
        </w:rPr>
        <w:t>R</w:t>
      </w:r>
      <w:r>
        <w:rPr>
          <w:sz w:val="20"/>
        </w:rPr>
        <w:t>equired internship/coop:</w:t>
      </w:r>
      <w:r>
        <w:rPr>
          <w:spacing w:val="40"/>
          <w:sz w:val="20"/>
        </w:rPr>
        <w:t> </w:t>
      </w:r>
      <w:r>
        <w:rPr>
          <w:sz w:val="20"/>
        </w:rPr>
        <w:t>The department has implemented, with the 2012 curriculum revision,</w:t>
      </w:r>
      <w:r>
        <w:rPr>
          <w:spacing w:val="-2"/>
          <w:sz w:val="20"/>
        </w:rPr>
        <w:t> </w:t>
      </w:r>
      <w:r>
        <w:rPr>
          <w:sz w:val="20"/>
        </w:rPr>
        <w:t>the</w:t>
      </w:r>
      <w:r>
        <w:rPr>
          <w:spacing w:val="-4"/>
          <w:sz w:val="20"/>
        </w:rPr>
        <w:t> </w:t>
      </w:r>
      <w:r>
        <w:rPr>
          <w:sz w:val="20"/>
        </w:rPr>
        <w:t>required</w:t>
      </w:r>
      <w:r>
        <w:rPr>
          <w:spacing w:val="-3"/>
          <w:sz w:val="20"/>
        </w:rPr>
        <w:t> </w:t>
      </w:r>
      <w:r>
        <w:rPr>
          <w:sz w:val="20"/>
        </w:rPr>
        <w:t>internship</w:t>
      </w:r>
      <w:r>
        <w:rPr>
          <w:spacing w:val="-4"/>
          <w:sz w:val="20"/>
        </w:rPr>
        <w:t> </w:t>
      </w:r>
      <w:r>
        <w:rPr>
          <w:sz w:val="20"/>
        </w:rPr>
        <w:t>experience,</w:t>
      </w:r>
      <w:r>
        <w:rPr>
          <w:spacing w:val="-4"/>
          <w:sz w:val="20"/>
        </w:rPr>
        <w:t> </w:t>
      </w:r>
      <w:r>
        <w:rPr>
          <w:sz w:val="20"/>
        </w:rPr>
        <w:t>between</w:t>
      </w:r>
      <w:r>
        <w:rPr>
          <w:spacing w:val="-4"/>
          <w:sz w:val="20"/>
        </w:rPr>
        <w:t> </w:t>
      </w:r>
      <w:r>
        <w:rPr>
          <w:sz w:val="20"/>
        </w:rPr>
        <w:t>the</w:t>
      </w:r>
      <w:r>
        <w:rPr>
          <w:spacing w:val="-4"/>
          <w:sz w:val="20"/>
        </w:rPr>
        <w:t> </w:t>
      </w:r>
      <w:r>
        <w:rPr>
          <w:sz w:val="20"/>
        </w:rPr>
        <w:t>4</w:t>
      </w:r>
      <w:r>
        <w:rPr>
          <w:sz w:val="20"/>
          <w:vertAlign w:val="superscript"/>
        </w:rPr>
        <w:t>t</w:t>
      </w:r>
      <w:r>
        <w:rPr>
          <w:sz w:val="20"/>
          <w:vertAlign w:val="superscript"/>
        </w:rPr>
        <w:t>h</w:t>
      </w:r>
      <w:r>
        <w:rPr>
          <w:spacing w:val="-4"/>
          <w:sz w:val="20"/>
          <w:vertAlign w:val="baseline"/>
        </w:rPr>
        <w:t> </w:t>
      </w:r>
      <w:r>
        <w:rPr>
          <w:sz w:val="20"/>
          <w:vertAlign w:val="baseline"/>
        </w:rPr>
        <w:t>and</w:t>
      </w:r>
      <w:r>
        <w:rPr>
          <w:spacing w:val="-4"/>
          <w:sz w:val="20"/>
          <w:vertAlign w:val="baseline"/>
        </w:rPr>
        <w:t> </w:t>
      </w:r>
      <w:r>
        <w:rPr>
          <w:sz w:val="20"/>
          <w:vertAlign w:val="baseline"/>
        </w:rPr>
        <w:t>5</w:t>
      </w:r>
      <w:r>
        <w:rPr>
          <w:sz w:val="20"/>
          <w:vertAlign w:val="superscript"/>
        </w:rPr>
        <w:t>t</w:t>
      </w:r>
      <w:r>
        <w:rPr>
          <w:sz w:val="20"/>
          <w:vertAlign w:val="superscript"/>
        </w:rPr>
        <w:t>h</w:t>
      </w:r>
      <w:r>
        <w:rPr>
          <w:spacing w:val="-3"/>
          <w:sz w:val="20"/>
          <w:vertAlign w:val="baseline"/>
        </w:rPr>
        <w:t> </w:t>
      </w:r>
      <w:r>
        <w:rPr>
          <w:sz w:val="20"/>
          <w:vertAlign w:val="baseline"/>
        </w:rPr>
        <w:t>years.</w:t>
      </w:r>
      <w:r>
        <w:rPr>
          <w:spacing w:val="-4"/>
          <w:sz w:val="20"/>
          <w:vertAlign w:val="baseline"/>
        </w:rPr>
        <w:t> </w:t>
      </w:r>
      <w:r>
        <w:rPr>
          <w:sz w:val="20"/>
          <w:vertAlign w:val="baseline"/>
        </w:rPr>
        <w:t>Effective</w:t>
      </w:r>
      <w:r>
        <w:rPr>
          <w:spacing w:val="-3"/>
          <w:sz w:val="20"/>
          <w:vertAlign w:val="baseline"/>
        </w:rPr>
        <w:t> </w:t>
      </w:r>
      <w:r>
        <w:rPr>
          <w:sz w:val="20"/>
          <w:vertAlign w:val="baseline"/>
        </w:rPr>
        <w:t>with</w:t>
      </w:r>
      <w:r>
        <w:rPr>
          <w:spacing w:val="-3"/>
          <w:sz w:val="20"/>
          <w:vertAlign w:val="baseline"/>
        </w:rPr>
        <w:t> </w:t>
      </w:r>
      <w:r>
        <w:rPr>
          <w:sz w:val="20"/>
          <w:vertAlign w:val="baseline"/>
        </w:rPr>
        <w:t>the 2008-2009 academic year, 4</w:t>
      </w:r>
      <w:r>
        <w:rPr>
          <w:sz w:val="20"/>
          <w:vertAlign w:val="superscript"/>
        </w:rPr>
        <w:t>t</w:t>
      </w:r>
      <w:r>
        <w:rPr>
          <w:sz w:val="20"/>
          <w:vertAlign w:val="superscript"/>
        </w:rPr>
        <w:t>h</w:t>
      </w:r>
      <w:r>
        <w:rPr>
          <w:sz w:val="20"/>
          <w:vertAlign w:val="baseline"/>
        </w:rPr>
        <w:t> year studio students will be required to establish their IDP/NCARB file. This will change beginning in Fall, 2014 with the revisions to the IDP process and the collection of the professional fees from students.</w:t>
      </w:r>
    </w:p>
    <w:p>
      <w:pPr>
        <w:pStyle w:val="BodyText"/>
        <w:spacing w:before="11"/>
        <w:rPr>
          <w:sz w:val="19"/>
        </w:rPr>
      </w:pPr>
    </w:p>
    <w:p>
      <w:pPr>
        <w:pStyle w:val="ListParagraph"/>
        <w:numPr>
          <w:ilvl w:val="0"/>
          <w:numId w:val="16"/>
        </w:numPr>
        <w:tabs>
          <w:tab w:pos="1725" w:val="left" w:leader="none"/>
        </w:tabs>
        <w:spacing w:line="240" w:lineRule="auto" w:before="0" w:after="0"/>
        <w:ind w:left="1724" w:right="692" w:hanging="360"/>
        <w:jc w:val="left"/>
        <w:rPr>
          <w:sz w:val="20"/>
        </w:rPr>
      </w:pPr>
      <w:bookmarkStart w:name="11. Summer Studio:  During the previous " w:id="21"/>
      <w:bookmarkEnd w:id="21"/>
      <w:r>
        <w:rPr>
          <w:sz w:val="20"/>
        </w:rPr>
        <w:t>Su</w:t>
      </w:r>
      <w:r>
        <w:rPr>
          <w:sz w:val="20"/>
        </w:rPr>
        <w:t>mmer</w:t>
      </w:r>
      <w:r>
        <w:rPr>
          <w:spacing w:val="-4"/>
          <w:sz w:val="20"/>
        </w:rPr>
        <w:t> </w:t>
      </w:r>
      <w:r>
        <w:rPr>
          <w:sz w:val="20"/>
        </w:rPr>
        <w:t>Studio:</w:t>
      </w:r>
      <w:r>
        <w:rPr>
          <w:spacing w:val="40"/>
          <w:sz w:val="20"/>
        </w:rPr>
        <w:t> </w:t>
      </w:r>
      <w:r>
        <w:rPr>
          <w:sz w:val="20"/>
        </w:rPr>
        <w:t>During</w:t>
      </w:r>
      <w:r>
        <w:rPr>
          <w:spacing w:val="-3"/>
          <w:sz w:val="20"/>
        </w:rPr>
        <w:t> </w:t>
      </w:r>
      <w:r>
        <w:rPr>
          <w:sz w:val="20"/>
        </w:rPr>
        <w:t>the</w:t>
      </w:r>
      <w:r>
        <w:rPr>
          <w:spacing w:val="-5"/>
          <w:sz w:val="20"/>
        </w:rPr>
        <w:t> </w:t>
      </w:r>
      <w:r>
        <w:rPr>
          <w:sz w:val="20"/>
        </w:rPr>
        <w:t>previous</w:t>
      </w:r>
      <w:r>
        <w:rPr>
          <w:spacing w:val="-4"/>
          <w:sz w:val="20"/>
        </w:rPr>
        <w:t> </w:t>
      </w:r>
      <w:r>
        <w:rPr>
          <w:sz w:val="20"/>
        </w:rPr>
        <w:t>Team visit,</w:t>
      </w:r>
      <w:r>
        <w:rPr>
          <w:spacing w:val="-5"/>
          <w:sz w:val="20"/>
        </w:rPr>
        <w:t> </w:t>
      </w:r>
      <w:r>
        <w:rPr>
          <w:sz w:val="20"/>
        </w:rPr>
        <w:t>it was</w:t>
      </w:r>
      <w:r>
        <w:rPr>
          <w:spacing w:val="-4"/>
          <w:sz w:val="20"/>
        </w:rPr>
        <w:t> </w:t>
      </w:r>
      <w:r>
        <w:rPr>
          <w:sz w:val="20"/>
        </w:rPr>
        <w:t>noted</w:t>
      </w:r>
      <w:r>
        <w:rPr>
          <w:spacing w:val="-3"/>
          <w:sz w:val="20"/>
        </w:rPr>
        <w:t> </w:t>
      </w:r>
      <w:r>
        <w:rPr>
          <w:sz w:val="20"/>
        </w:rPr>
        <w:t>that,</w:t>
      </w:r>
      <w:r>
        <w:rPr>
          <w:spacing w:val="-5"/>
          <w:sz w:val="20"/>
        </w:rPr>
        <w:t> </w:t>
      </w:r>
      <w:r>
        <w:rPr>
          <w:sz w:val="20"/>
        </w:rPr>
        <w:t>because</w:t>
      </w:r>
      <w:r>
        <w:rPr>
          <w:spacing w:val="-5"/>
          <w:sz w:val="20"/>
        </w:rPr>
        <w:t> </w:t>
      </w:r>
      <w:r>
        <w:rPr>
          <w:sz w:val="20"/>
        </w:rPr>
        <w:t>courses</w:t>
      </w:r>
      <w:r>
        <w:rPr>
          <w:spacing w:val="-4"/>
          <w:sz w:val="20"/>
        </w:rPr>
        <w:t> </w:t>
      </w:r>
      <w:r>
        <w:rPr>
          <w:sz w:val="20"/>
        </w:rPr>
        <w:t>were only</w:t>
      </w:r>
      <w:r>
        <w:rPr>
          <w:spacing w:val="-1"/>
          <w:sz w:val="20"/>
        </w:rPr>
        <w:t> </w:t>
      </w:r>
      <w:r>
        <w:rPr>
          <w:sz w:val="20"/>
        </w:rPr>
        <w:t>offered during a single term each year, our students were set back a year each time they</w:t>
      </w:r>
      <w:r>
        <w:rPr>
          <w:spacing w:val="-4"/>
          <w:sz w:val="20"/>
        </w:rPr>
        <w:t> </w:t>
      </w:r>
      <w:r>
        <w:rPr>
          <w:sz w:val="20"/>
        </w:rPr>
        <w:t>were</w:t>
      </w:r>
      <w:r>
        <w:rPr>
          <w:spacing w:val="-1"/>
          <w:sz w:val="20"/>
        </w:rPr>
        <w:t> </w:t>
      </w:r>
      <w:r>
        <w:rPr>
          <w:sz w:val="20"/>
        </w:rPr>
        <w:t>unsuccessful</w:t>
      </w:r>
      <w:r>
        <w:rPr>
          <w:spacing w:val="-4"/>
          <w:sz w:val="20"/>
        </w:rPr>
        <w:t> </w:t>
      </w:r>
      <w:r>
        <w:rPr>
          <w:sz w:val="20"/>
        </w:rPr>
        <w:t>passing</w:t>
      </w:r>
      <w:r>
        <w:rPr>
          <w:spacing w:val="-3"/>
          <w:sz w:val="20"/>
        </w:rPr>
        <w:t> </w:t>
      </w:r>
      <w:r>
        <w:rPr>
          <w:sz w:val="20"/>
        </w:rPr>
        <w:t>a</w:t>
      </w:r>
      <w:r>
        <w:rPr>
          <w:spacing w:val="-3"/>
          <w:sz w:val="20"/>
        </w:rPr>
        <w:t> </w:t>
      </w:r>
      <w:r>
        <w:rPr>
          <w:sz w:val="20"/>
        </w:rPr>
        <w:t>course.</w:t>
      </w:r>
      <w:r>
        <w:rPr>
          <w:spacing w:val="-3"/>
          <w:sz w:val="20"/>
        </w:rPr>
        <w:t> </w:t>
      </w:r>
      <w:r>
        <w:rPr>
          <w:sz w:val="20"/>
        </w:rPr>
        <w:t>To</w:t>
      </w:r>
      <w:r>
        <w:rPr>
          <w:spacing w:val="-2"/>
          <w:sz w:val="20"/>
        </w:rPr>
        <w:t> </w:t>
      </w:r>
      <w:r>
        <w:rPr>
          <w:sz w:val="20"/>
        </w:rPr>
        <w:t>address this</w:t>
      </w:r>
      <w:r>
        <w:rPr>
          <w:spacing w:val="-2"/>
          <w:sz w:val="20"/>
        </w:rPr>
        <w:t> </w:t>
      </w:r>
      <w:r>
        <w:rPr>
          <w:sz w:val="20"/>
        </w:rPr>
        <w:t>concern, we</w:t>
      </w:r>
      <w:r>
        <w:rPr>
          <w:spacing w:val="-1"/>
          <w:sz w:val="20"/>
        </w:rPr>
        <w:t> </w:t>
      </w:r>
      <w:r>
        <w:rPr>
          <w:sz w:val="20"/>
        </w:rPr>
        <w:t>have</w:t>
      </w:r>
      <w:r>
        <w:rPr>
          <w:spacing w:val="-1"/>
          <w:sz w:val="20"/>
        </w:rPr>
        <w:t> </w:t>
      </w:r>
      <w:r>
        <w:rPr>
          <w:sz w:val="20"/>
        </w:rPr>
        <w:t>been</w:t>
      </w:r>
      <w:r>
        <w:rPr>
          <w:spacing w:val="-3"/>
          <w:sz w:val="20"/>
        </w:rPr>
        <w:t> </w:t>
      </w:r>
      <w:r>
        <w:rPr>
          <w:sz w:val="20"/>
        </w:rPr>
        <w:t>able</w:t>
      </w:r>
      <w:r>
        <w:rPr>
          <w:spacing w:val="-3"/>
          <w:sz w:val="20"/>
        </w:rPr>
        <w:t> </w:t>
      </w:r>
      <w:r>
        <w:rPr>
          <w:sz w:val="20"/>
        </w:rPr>
        <w:t>to initiate a summer session of studios that allow students to repeat courses, under the direction of Prof. Kloster, who is able to address specific student shortcomings and allow students to stay on target toward timely graduation. This process has also include other support courses, most notably the structure sequence.</w:t>
      </w:r>
    </w:p>
    <w:p>
      <w:pPr>
        <w:pStyle w:val="BodyText"/>
        <w:spacing w:before="11"/>
      </w:pPr>
    </w:p>
    <w:p>
      <w:pPr>
        <w:pStyle w:val="BodyText"/>
        <w:ind w:left="499"/>
      </w:pPr>
      <w:r>
        <w:rPr/>
        <w:t>Items</w:t>
      </w:r>
      <w:r>
        <w:rPr>
          <w:spacing w:val="-6"/>
        </w:rPr>
        <w:t> </w:t>
      </w:r>
      <w:r>
        <w:rPr/>
        <w:t>that</w:t>
      </w:r>
      <w:r>
        <w:rPr>
          <w:spacing w:val="-6"/>
        </w:rPr>
        <w:t> </w:t>
      </w:r>
      <w:r>
        <w:rPr/>
        <w:t>are</w:t>
      </w:r>
      <w:r>
        <w:rPr>
          <w:spacing w:val="-6"/>
        </w:rPr>
        <w:t> </w:t>
      </w:r>
      <w:r>
        <w:rPr/>
        <w:t>still</w:t>
      </w:r>
      <w:r>
        <w:rPr>
          <w:spacing w:val="-5"/>
        </w:rPr>
        <w:t> </w:t>
      </w:r>
      <w:r>
        <w:rPr/>
        <w:t>planned</w:t>
      </w:r>
      <w:r>
        <w:rPr>
          <w:spacing w:val="-7"/>
        </w:rPr>
        <w:t> </w:t>
      </w:r>
      <w:r>
        <w:rPr>
          <w:spacing w:val="-2"/>
        </w:rPr>
        <w:t>include:</w:t>
      </w:r>
    </w:p>
    <w:p>
      <w:pPr>
        <w:pStyle w:val="BodyText"/>
        <w:spacing w:before="3"/>
      </w:pPr>
    </w:p>
    <w:p>
      <w:pPr>
        <w:pStyle w:val="ListParagraph"/>
        <w:numPr>
          <w:ilvl w:val="0"/>
          <w:numId w:val="17"/>
        </w:numPr>
        <w:tabs>
          <w:tab w:pos="1796" w:val="left" w:leader="none"/>
        </w:tabs>
        <w:spacing w:line="240" w:lineRule="auto" w:before="0" w:after="0"/>
        <w:ind w:left="1795" w:right="487" w:hanging="360"/>
        <w:jc w:val="both"/>
        <w:rPr>
          <w:sz w:val="20"/>
        </w:rPr>
      </w:pPr>
      <w:r>
        <w:rPr>
          <w:sz w:val="20"/>
        </w:rPr>
        <w:t>Construction of a new building for the Department of Architecture. As discussed in Section 1.2.3, Physical Resources, the School of Engineering &amp; Technology</w:t>
      </w:r>
      <w:r>
        <w:rPr>
          <w:spacing w:val="-2"/>
          <w:sz w:val="20"/>
        </w:rPr>
        <w:t> </w:t>
      </w:r>
      <w:r>
        <w:rPr>
          <w:sz w:val="20"/>
        </w:rPr>
        <w:t>has adopted our plant to raise funds to replace the Architecture Building. There are no concrete plans in place, to date,</w:t>
      </w:r>
      <w:r>
        <w:rPr>
          <w:spacing w:val="-3"/>
          <w:sz w:val="20"/>
        </w:rPr>
        <w:t> </w:t>
      </w:r>
      <w:r>
        <w:rPr>
          <w:sz w:val="20"/>
        </w:rPr>
        <w:t>but</w:t>
      </w:r>
      <w:r>
        <w:rPr>
          <w:spacing w:val="-3"/>
          <w:sz w:val="20"/>
        </w:rPr>
        <w:t> </w:t>
      </w:r>
      <w:r>
        <w:rPr>
          <w:sz w:val="20"/>
        </w:rPr>
        <w:t>discussions</w:t>
      </w:r>
      <w:r>
        <w:rPr>
          <w:spacing w:val="-4"/>
          <w:sz w:val="20"/>
        </w:rPr>
        <w:t> </w:t>
      </w:r>
      <w:r>
        <w:rPr>
          <w:sz w:val="20"/>
        </w:rPr>
        <w:t>are</w:t>
      </w:r>
      <w:r>
        <w:rPr>
          <w:spacing w:val="-4"/>
          <w:sz w:val="20"/>
        </w:rPr>
        <w:t> </w:t>
      </w:r>
      <w:r>
        <w:rPr>
          <w:sz w:val="20"/>
        </w:rPr>
        <w:t>beginning</w:t>
      </w:r>
      <w:r>
        <w:rPr>
          <w:spacing w:val="-3"/>
          <w:sz w:val="20"/>
        </w:rPr>
        <w:t> </w:t>
      </w:r>
      <w:r>
        <w:rPr>
          <w:sz w:val="20"/>
        </w:rPr>
        <w:t>in</w:t>
      </w:r>
      <w:r>
        <w:rPr>
          <w:spacing w:val="-3"/>
          <w:sz w:val="20"/>
        </w:rPr>
        <w:t> </w:t>
      </w:r>
      <w:r>
        <w:rPr>
          <w:sz w:val="20"/>
        </w:rPr>
        <w:t>order</w:t>
      </w:r>
      <w:r>
        <w:rPr>
          <w:spacing w:val="-4"/>
          <w:sz w:val="20"/>
        </w:rPr>
        <w:t> </w:t>
      </w:r>
      <w:r>
        <w:rPr>
          <w:sz w:val="20"/>
        </w:rPr>
        <w:t>to</w:t>
      </w:r>
      <w:r>
        <w:rPr>
          <w:spacing w:val="-4"/>
          <w:sz w:val="20"/>
        </w:rPr>
        <w:t> </w:t>
      </w:r>
      <w:r>
        <w:rPr>
          <w:sz w:val="20"/>
        </w:rPr>
        <w:t>develop</w:t>
      </w:r>
      <w:r>
        <w:rPr>
          <w:spacing w:val="-4"/>
          <w:sz w:val="20"/>
        </w:rPr>
        <w:t> </w:t>
      </w:r>
      <w:r>
        <w:rPr>
          <w:sz w:val="20"/>
        </w:rPr>
        <w:t>a</w:t>
      </w:r>
      <w:r>
        <w:rPr>
          <w:spacing w:val="-4"/>
          <w:sz w:val="20"/>
        </w:rPr>
        <w:t> </w:t>
      </w:r>
      <w:r>
        <w:rPr>
          <w:sz w:val="20"/>
        </w:rPr>
        <w:t>timeline</w:t>
      </w:r>
      <w:r>
        <w:rPr>
          <w:spacing w:val="-3"/>
          <w:sz w:val="20"/>
        </w:rPr>
        <w:t> </w:t>
      </w:r>
      <w:r>
        <w:rPr>
          <w:sz w:val="20"/>
        </w:rPr>
        <w:t>and</w:t>
      </w:r>
      <w:r>
        <w:rPr>
          <w:spacing w:val="-3"/>
          <w:sz w:val="20"/>
        </w:rPr>
        <w:t> </w:t>
      </w:r>
      <w:r>
        <w:rPr>
          <w:sz w:val="20"/>
        </w:rPr>
        <w:t>fund</w:t>
      </w:r>
      <w:r>
        <w:rPr>
          <w:spacing w:val="-4"/>
          <w:sz w:val="20"/>
        </w:rPr>
        <w:t> </w:t>
      </w:r>
      <w:r>
        <w:rPr>
          <w:sz w:val="20"/>
        </w:rPr>
        <w:t>raising</w:t>
      </w:r>
      <w:r>
        <w:rPr>
          <w:spacing w:val="-4"/>
          <w:sz w:val="20"/>
        </w:rPr>
        <w:t> </w:t>
      </w:r>
      <w:r>
        <w:rPr>
          <w:sz w:val="20"/>
        </w:rPr>
        <w:t>strategy.</w:t>
      </w:r>
    </w:p>
    <w:p>
      <w:pPr>
        <w:pStyle w:val="BodyText"/>
        <w:spacing w:before="3"/>
        <w:rPr>
          <w:sz w:val="17"/>
        </w:rPr>
      </w:pPr>
    </w:p>
    <w:p>
      <w:pPr>
        <w:pStyle w:val="ListParagraph"/>
        <w:numPr>
          <w:ilvl w:val="0"/>
          <w:numId w:val="17"/>
        </w:numPr>
        <w:tabs>
          <w:tab w:pos="1796" w:val="left" w:leader="none"/>
        </w:tabs>
        <w:spacing w:line="240" w:lineRule="auto" w:before="0" w:after="0"/>
        <w:ind w:left="1795" w:right="489" w:hanging="361"/>
        <w:jc w:val="left"/>
        <w:rPr>
          <w:sz w:val="20"/>
        </w:rPr>
      </w:pPr>
      <w:r>
        <w:rPr>
          <w:sz w:val="20"/>
        </w:rPr>
        <w:t>Scholarships:</w:t>
      </w:r>
      <w:r>
        <w:rPr>
          <w:spacing w:val="-5"/>
          <w:sz w:val="20"/>
        </w:rPr>
        <w:t> </w:t>
      </w:r>
      <w:r>
        <w:rPr>
          <w:sz w:val="20"/>
        </w:rPr>
        <w:t>Our</w:t>
      </w:r>
      <w:r>
        <w:rPr>
          <w:spacing w:val="-4"/>
          <w:sz w:val="20"/>
        </w:rPr>
        <w:t> </w:t>
      </w:r>
      <w:r>
        <w:rPr>
          <w:sz w:val="20"/>
        </w:rPr>
        <w:t>5</w:t>
      </w:r>
      <w:r>
        <w:rPr>
          <w:sz w:val="20"/>
          <w:vertAlign w:val="superscript"/>
        </w:rPr>
        <w:t>t</w:t>
      </w:r>
      <w:r>
        <w:rPr>
          <w:sz w:val="20"/>
          <w:vertAlign w:val="superscript"/>
        </w:rPr>
        <w:t>h</w:t>
      </w:r>
      <w:r>
        <w:rPr>
          <w:spacing w:val="-3"/>
          <w:sz w:val="20"/>
          <w:vertAlign w:val="baseline"/>
        </w:rPr>
        <w:t> </w:t>
      </w:r>
      <w:r>
        <w:rPr>
          <w:sz w:val="20"/>
          <w:vertAlign w:val="baseline"/>
        </w:rPr>
        <w:t>year</w:t>
      </w:r>
      <w:r>
        <w:rPr>
          <w:spacing w:val="-4"/>
          <w:sz w:val="20"/>
          <w:vertAlign w:val="baseline"/>
        </w:rPr>
        <w:t> </w:t>
      </w:r>
      <w:r>
        <w:rPr>
          <w:sz w:val="20"/>
          <w:vertAlign w:val="baseline"/>
        </w:rPr>
        <w:t>students</w:t>
      </w:r>
      <w:r>
        <w:rPr>
          <w:spacing w:val="-1"/>
          <w:sz w:val="20"/>
          <w:vertAlign w:val="baseline"/>
        </w:rPr>
        <w:t> </w:t>
      </w:r>
      <w:r>
        <w:rPr>
          <w:sz w:val="20"/>
          <w:vertAlign w:val="baseline"/>
        </w:rPr>
        <w:t>are</w:t>
      </w:r>
      <w:r>
        <w:rPr>
          <w:spacing w:val="-5"/>
          <w:sz w:val="20"/>
          <w:vertAlign w:val="baseline"/>
        </w:rPr>
        <w:t> </w:t>
      </w:r>
      <w:r>
        <w:rPr>
          <w:sz w:val="20"/>
          <w:vertAlign w:val="baseline"/>
        </w:rPr>
        <w:t>considered</w:t>
      </w:r>
      <w:r>
        <w:rPr>
          <w:spacing w:val="-5"/>
          <w:sz w:val="20"/>
          <w:vertAlign w:val="baseline"/>
        </w:rPr>
        <w:t> </w:t>
      </w:r>
      <w:r>
        <w:rPr>
          <w:sz w:val="20"/>
          <w:vertAlign w:val="baseline"/>
        </w:rPr>
        <w:t>graduate</w:t>
      </w:r>
      <w:r>
        <w:rPr>
          <w:spacing w:val="-5"/>
          <w:sz w:val="20"/>
          <w:vertAlign w:val="baseline"/>
        </w:rPr>
        <w:t> </w:t>
      </w:r>
      <w:r>
        <w:rPr>
          <w:sz w:val="20"/>
          <w:vertAlign w:val="baseline"/>
        </w:rPr>
        <w:t>students</w:t>
      </w:r>
      <w:r>
        <w:rPr>
          <w:spacing w:val="-1"/>
          <w:sz w:val="20"/>
          <w:vertAlign w:val="baseline"/>
        </w:rPr>
        <w:t> </w:t>
      </w:r>
      <w:r>
        <w:rPr>
          <w:sz w:val="20"/>
          <w:vertAlign w:val="baseline"/>
        </w:rPr>
        <w:t>and,</w:t>
      </w:r>
      <w:r>
        <w:rPr>
          <w:spacing w:val="-3"/>
          <w:sz w:val="20"/>
          <w:vertAlign w:val="baseline"/>
        </w:rPr>
        <w:t> </w:t>
      </w:r>
      <w:r>
        <w:rPr>
          <w:sz w:val="20"/>
          <w:vertAlign w:val="baseline"/>
        </w:rPr>
        <w:t>as</w:t>
      </w:r>
      <w:r>
        <w:rPr>
          <w:spacing w:val="-4"/>
          <w:sz w:val="20"/>
          <w:vertAlign w:val="baseline"/>
        </w:rPr>
        <w:t> </w:t>
      </w:r>
      <w:r>
        <w:rPr>
          <w:sz w:val="20"/>
          <w:vertAlign w:val="baseline"/>
        </w:rPr>
        <w:t>a</w:t>
      </w:r>
      <w:r>
        <w:rPr>
          <w:spacing w:val="-5"/>
          <w:sz w:val="20"/>
          <w:vertAlign w:val="baseline"/>
        </w:rPr>
        <w:t> </w:t>
      </w:r>
      <w:r>
        <w:rPr>
          <w:sz w:val="20"/>
          <w:vertAlign w:val="baseline"/>
        </w:rPr>
        <w:t>result,</w:t>
      </w:r>
      <w:r>
        <w:rPr>
          <w:spacing w:val="-3"/>
          <w:sz w:val="20"/>
          <w:vertAlign w:val="baseline"/>
        </w:rPr>
        <w:t> </w:t>
      </w:r>
      <w:r>
        <w:rPr>
          <w:sz w:val="20"/>
          <w:vertAlign w:val="baseline"/>
        </w:rPr>
        <w:t>lose access to Federally available funding / support afforded undergraduate students (Pell Grants, Parent Plus Loans, etc.). Our goal is to increase the number of scholarships to cover</w:t>
      </w:r>
      <w:r>
        <w:rPr>
          <w:spacing w:val="-2"/>
          <w:sz w:val="20"/>
          <w:vertAlign w:val="baseline"/>
        </w:rPr>
        <w:t> </w:t>
      </w:r>
      <w:r>
        <w:rPr>
          <w:sz w:val="20"/>
          <w:vertAlign w:val="baseline"/>
        </w:rPr>
        <w:t>the</w:t>
      </w:r>
      <w:r>
        <w:rPr>
          <w:spacing w:val="-3"/>
          <w:sz w:val="20"/>
          <w:vertAlign w:val="baseline"/>
        </w:rPr>
        <w:t> </w:t>
      </w:r>
      <w:r>
        <w:rPr>
          <w:sz w:val="20"/>
          <w:vertAlign w:val="baseline"/>
        </w:rPr>
        <w:t>costs</w:t>
      </w:r>
      <w:r>
        <w:rPr>
          <w:spacing w:val="-2"/>
          <w:sz w:val="20"/>
          <w:vertAlign w:val="baseline"/>
        </w:rPr>
        <w:t> </w:t>
      </w:r>
      <w:r>
        <w:rPr>
          <w:sz w:val="20"/>
          <w:vertAlign w:val="baseline"/>
        </w:rPr>
        <w:t>of</w:t>
      </w:r>
      <w:r>
        <w:rPr>
          <w:spacing w:val="-1"/>
          <w:sz w:val="20"/>
          <w:vertAlign w:val="baseline"/>
        </w:rPr>
        <w:t> </w:t>
      </w:r>
      <w:r>
        <w:rPr>
          <w:sz w:val="20"/>
          <w:vertAlign w:val="baseline"/>
        </w:rPr>
        <w:t>tuition</w:t>
      </w:r>
      <w:r>
        <w:rPr>
          <w:spacing w:val="-3"/>
          <w:sz w:val="20"/>
          <w:vertAlign w:val="baseline"/>
        </w:rPr>
        <w:t> </w:t>
      </w:r>
      <w:r>
        <w:rPr>
          <w:sz w:val="20"/>
          <w:vertAlign w:val="baseline"/>
        </w:rPr>
        <w:t>for</w:t>
      </w:r>
      <w:r>
        <w:rPr>
          <w:spacing w:val="-2"/>
          <w:sz w:val="20"/>
          <w:vertAlign w:val="baseline"/>
        </w:rPr>
        <w:t> </w:t>
      </w:r>
      <w:r>
        <w:rPr>
          <w:sz w:val="20"/>
          <w:vertAlign w:val="baseline"/>
        </w:rPr>
        <w:t>the</w:t>
      </w:r>
      <w:r>
        <w:rPr>
          <w:spacing w:val="-1"/>
          <w:sz w:val="20"/>
          <w:vertAlign w:val="baseline"/>
        </w:rPr>
        <w:t> </w:t>
      </w:r>
      <w:r>
        <w:rPr>
          <w:sz w:val="20"/>
          <w:vertAlign w:val="baseline"/>
        </w:rPr>
        <w:t>5</w:t>
      </w:r>
      <w:r>
        <w:rPr>
          <w:sz w:val="20"/>
          <w:vertAlign w:val="superscript"/>
        </w:rPr>
        <w:t>t</w:t>
      </w:r>
      <w:r>
        <w:rPr>
          <w:sz w:val="20"/>
          <w:vertAlign w:val="superscript"/>
        </w:rPr>
        <w:t>h</w:t>
      </w:r>
      <w:r>
        <w:rPr>
          <w:spacing w:val="-1"/>
          <w:sz w:val="20"/>
          <w:vertAlign w:val="baseline"/>
        </w:rPr>
        <w:t> </w:t>
      </w:r>
      <w:r>
        <w:rPr>
          <w:sz w:val="20"/>
          <w:vertAlign w:val="baseline"/>
        </w:rPr>
        <w:t>year</w:t>
      </w:r>
      <w:r>
        <w:rPr>
          <w:spacing w:val="-2"/>
          <w:sz w:val="20"/>
          <w:vertAlign w:val="baseline"/>
        </w:rPr>
        <w:t> </w:t>
      </w:r>
      <w:r>
        <w:rPr>
          <w:sz w:val="20"/>
          <w:vertAlign w:val="baseline"/>
        </w:rPr>
        <w:t>students.</w:t>
      </w:r>
      <w:r>
        <w:rPr>
          <w:spacing w:val="-1"/>
          <w:sz w:val="20"/>
          <w:vertAlign w:val="baseline"/>
        </w:rPr>
        <w:t> </w:t>
      </w:r>
      <w:r>
        <w:rPr>
          <w:sz w:val="20"/>
          <w:vertAlign w:val="baseline"/>
        </w:rPr>
        <w:t>In</w:t>
      </w:r>
      <w:r>
        <w:rPr>
          <w:spacing w:val="-3"/>
          <w:sz w:val="20"/>
          <w:vertAlign w:val="baseline"/>
        </w:rPr>
        <w:t> </w:t>
      </w:r>
      <w:r>
        <w:rPr>
          <w:sz w:val="20"/>
          <w:vertAlign w:val="baseline"/>
        </w:rPr>
        <w:t>the</w:t>
      </w:r>
      <w:r>
        <w:rPr>
          <w:spacing w:val="-3"/>
          <w:sz w:val="20"/>
          <w:vertAlign w:val="baseline"/>
        </w:rPr>
        <w:t> </w:t>
      </w:r>
      <w:r>
        <w:rPr>
          <w:sz w:val="20"/>
          <w:vertAlign w:val="baseline"/>
        </w:rPr>
        <w:t>past</w:t>
      </w:r>
      <w:r>
        <w:rPr>
          <w:spacing w:val="-3"/>
          <w:sz w:val="20"/>
          <w:vertAlign w:val="baseline"/>
        </w:rPr>
        <w:t> </w:t>
      </w:r>
      <w:r>
        <w:rPr>
          <w:sz w:val="20"/>
          <w:vertAlign w:val="baseline"/>
        </w:rPr>
        <w:t>five years,</w:t>
      </w:r>
      <w:r>
        <w:rPr>
          <w:spacing w:val="-1"/>
          <w:sz w:val="20"/>
          <w:vertAlign w:val="baseline"/>
        </w:rPr>
        <w:t> </w:t>
      </w:r>
      <w:r>
        <w:rPr>
          <w:sz w:val="20"/>
          <w:vertAlign w:val="baseline"/>
        </w:rPr>
        <w:t>we</w:t>
      </w:r>
      <w:r>
        <w:rPr>
          <w:spacing w:val="-3"/>
          <w:sz w:val="20"/>
          <w:vertAlign w:val="baseline"/>
        </w:rPr>
        <w:t> </w:t>
      </w:r>
      <w:r>
        <w:rPr>
          <w:sz w:val="20"/>
          <w:vertAlign w:val="baseline"/>
        </w:rPr>
        <w:t>have</w:t>
      </w:r>
      <w:r>
        <w:rPr>
          <w:spacing w:val="-3"/>
          <w:sz w:val="20"/>
          <w:vertAlign w:val="baseline"/>
        </w:rPr>
        <w:t> </w:t>
      </w:r>
      <w:r>
        <w:rPr>
          <w:sz w:val="20"/>
          <w:vertAlign w:val="baseline"/>
        </w:rPr>
        <w:t>increased the number of those opportunities.</w:t>
      </w:r>
    </w:p>
    <w:p>
      <w:pPr>
        <w:pStyle w:val="BodyText"/>
        <w:spacing w:before="5"/>
        <w:rPr>
          <w:sz w:val="17"/>
        </w:rPr>
      </w:pPr>
    </w:p>
    <w:p>
      <w:pPr>
        <w:pStyle w:val="ListParagraph"/>
        <w:numPr>
          <w:ilvl w:val="0"/>
          <w:numId w:val="17"/>
        </w:numPr>
        <w:tabs>
          <w:tab w:pos="1796" w:val="left" w:leader="none"/>
        </w:tabs>
        <w:spacing w:line="242" w:lineRule="auto" w:before="0" w:after="0"/>
        <w:ind w:left="1795" w:right="597" w:hanging="360"/>
        <w:jc w:val="left"/>
        <w:rPr>
          <w:sz w:val="20"/>
        </w:rPr>
      </w:pPr>
      <w:r>
        <w:rPr>
          <w:sz w:val="20"/>
        </w:rPr>
        <w:t>Operational</w:t>
      </w:r>
      <w:r>
        <w:rPr>
          <w:spacing w:val="-5"/>
          <w:sz w:val="20"/>
        </w:rPr>
        <w:t> </w:t>
      </w:r>
      <w:r>
        <w:rPr>
          <w:sz w:val="20"/>
        </w:rPr>
        <w:t>Funding:</w:t>
      </w:r>
      <w:r>
        <w:rPr>
          <w:spacing w:val="-4"/>
          <w:sz w:val="20"/>
        </w:rPr>
        <w:t> </w:t>
      </w:r>
      <w:r>
        <w:rPr>
          <w:sz w:val="20"/>
        </w:rPr>
        <w:t>The</w:t>
      </w:r>
      <w:r>
        <w:rPr>
          <w:spacing w:val="-3"/>
          <w:sz w:val="20"/>
        </w:rPr>
        <w:t> </w:t>
      </w:r>
      <w:r>
        <w:rPr>
          <w:sz w:val="20"/>
        </w:rPr>
        <w:t>Schools</w:t>
      </w:r>
      <w:r>
        <w:rPr>
          <w:spacing w:val="-4"/>
          <w:sz w:val="20"/>
        </w:rPr>
        <w:t> </w:t>
      </w:r>
      <w:r>
        <w:rPr>
          <w:sz w:val="20"/>
        </w:rPr>
        <w:t>master</w:t>
      </w:r>
      <w:r>
        <w:rPr>
          <w:spacing w:val="-4"/>
          <w:sz w:val="20"/>
        </w:rPr>
        <w:t> </w:t>
      </w:r>
      <w:r>
        <w:rPr>
          <w:sz w:val="20"/>
        </w:rPr>
        <w:t>plan</w:t>
      </w:r>
      <w:r>
        <w:rPr>
          <w:spacing w:val="-3"/>
          <w:sz w:val="20"/>
        </w:rPr>
        <w:t> </w:t>
      </w:r>
      <w:r>
        <w:rPr>
          <w:sz w:val="20"/>
        </w:rPr>
        <w:t>also</w:t>
      </w:r>
      <w:r>
        <w:rPr>
          <w:spacing w:val="-4"/>
          <w:sz w:val="20"/>
        </w:rPr>
        <w:t> </w:t>
      </w:r>
      <w:r>
        <w:rPr>
          <w:sz w:val="20"/>
        </w:rPr>
        <w:t>calls</w:t>
      </w:r>
      <w:r>
        <w:rPr>
          <w:spacing w:val="-4"/>
          <w:sz w:val="20"/>
        </w:rPr>
        <w:t> </w:t>
      </w:r>
      <w:r>
        <w:rPr>
          <w:sz w:val="20"/>
        </w:rPr>
        <w:t>for</w:t>
      </w:r>
      <w:r>
        <w:rPr>
          <w:spacing w:val="-4"/>
          <w:sz w:val="20"/>
        </w:rPr>
        <w:t> </w:t>
      </w:r>
      <w:r>
        <w:rPr>
          <w:sz w:val="20"/>
        </w:rPr>
        <w:t>raising</w:t>
      </w:r>
      <w:r>
        <w:rPr>
          <w:spacing w:val="-4"/>
          <w:sz w:val="20"/>
        </w:rPr>
        <w:t> </w:t>
      </w:r>
      <w:r>
        <w:rPr>
          <w:sz w:val="20"/>
        </w:rPr>
        <w:t>sufficient</w:t>
      </w:r>
      <w:r>
        <w:rPr>
          <w:spacing w:val="-5"/>
          <w:sz w:val="20"/>
        </w:rPr>
        <w:t> </w:t>
      </w:r>
      <w:r>
        <w:rPr>
          <w:sz w:val="20"/>
        </w:rPr>
        <w:t>resources</w:t>
      </w:r>
      <w:r>
        <w:rPr>
          <w:spacing w:val="-4"/>
          <w:sz w:val="20"/>
        </w:rPr>
        <w:t> </w:t>
      </w:r>
      <w:r>
        <w:rPr>
          <w:sz w:val="20"/>
        </w:rPr>
        <w:t>to make the programs self-sufficient. This, too, is a new initiative and fund-raising strategies are now being prepared.</w:t>
      </w:r>
    </w:p>
    <w:p>
      <w:pPr>
        <w:spacing w:after="0" w:line="242" w:lineRule="auto"/>
        <w:jc w:val="left"/>
        <w:rPr>
          <w:sz w:val="20"/>
        </w:rPr>
        <w:sectPr>
          <w:pgSz w:w="12240" w:h="15840"/>
          <w:pgMar w:header="0" w:footer="974" w:top="1600" w:bottom="1160" w:left="940" w:right="960"/>
        </w:sectPr>
      </w:pPr>
    </w:p>
    <w:p>
      <w:pPr>
        <w:pStyle w:val="Heading5"/>
        <w:numPr>
          <w:ilvl w:val="2"/>
          <w:numId w:val="10"/>
        </w:numPr>
        <w:tabs>
          <w:tab w:pos="1581" w:val="left" w:leader="none"/>
        </w:tabs>
        <w:spacing w:line="240" w:lineRule="auto" w:before="74" w:after="0"/>
        <w:ind w:left="1580" w:right="0" w:hanging="865"/>
        <w:jc w:val="left"/>
      </w:pPr>
      <w:bookmarkStart w:name="_TOC_250009" w:id="22"/>
      <w:r>
        <w:rPr/>
        <w:t>Self</w:t>
      </w:r>
      <w:r>
        <w:rPr>
          <w:spacing w:val="-8"/>
        </w:rPr>
        <w:t> </w:t>
      </w:r>
      <w:r>
        <w:rPr/>
        <w:t>Assessment</w:t>
      </w:r>
      <w:r>
        <w:rPr>
          <w:spacing w:val="-8"/>
        </w:rPr>
        <w:t> </w:t>
      </w:r>
      <w:bookmarkEnd w:id="22"/>
      <w:r>
        <w:rPr>
          <w:spacing w:val="-2"/>
        </w:rPr>
        <w:t>Procedures</w:t>
      </w:r>
    </w:p>
    <w:p>
      <w:pPr>
        <w:pStyle w:val="BodyText"/>
        <w:spacing w:before="243"/>
        <w:ind w:left="1220" w:right="634"/>
      </w:pPr>
      <w:r>
        <w:rPr/>
        <w:t>As stated in the Department Mission Statement and Statement of Purpose, we are dedicated through</w:t>
      </w:r>
      <w:r>
        <w:rPr>
          <w:spacing w:val="-1"/>
        </w:rPr>
        <w:t> </w:t>
      </w:r>
      <w:r>
        <w:rPr/>
        <w:t>teaching,</w:t>
      </w:r>
      <w:r>
        <w:rPr>
          <w:spacing w:val="-1"/>
        </w:rPr>
        <w:t> </w:t>
      </w:r>
      <w:r>
        <w:rPr/>
        <w:t>research, and</w:t>
      </w:r>
      <w:r>
        <w:rPr>
          <w:spacing w:val="-1"/>
        </w:rPr>
        <w:t> </w:t>
      </w:r>
      <w:r>
        <w:rPr/>
        <w:t>service to</w:t>
      </w:r>
      <w:r>
        <w:rPr>
          <w:spacing w:val="-1"/>
        </w:rPr>
        <w:t> </w:t>
      </w:r>
      <w:r>
        <w:rPr/>
        <w:t>the development</w:t>
      </w:r>
      <w:r>
        <w:rPr>
          <w:spacing w:val="-1"/>
        </w:rPr>
        <w:t> </w:t>
      </w:r>
      <w:r>
        <w:rPr/>
        <w:t>of critical</w:t>
      </w:r>
      <w:r>
        <w:rPr>
          <w:spacing w:val="-2"/>
        </w:rPr>
        <w:t> </w:t>
      </w:r>
      <w:r>
        <w:rPr/>
        <w:t>inquiry,</w:t>
      </w:r>
      <w:r>
        <w:rPr>
          <w:spacing w:val="-1"/>
        </w:rPr>
        <w:t> </w:t>
      </w:r>
      <w:r>
        <w:rPr/>
        <w:t>the provision</w:t>
      </w:r>
      <w:r>
        <w:rPr>
          <w:spacing w:val="-1"/>
        </w:rPr>
        <w:t> </w:t>
      </w:r>
      <w:r>
        <w:rPr/>
        <w:t>of a professional and technical education, and to the education of future leaders in our goal of “promoting</w:t>
      </w:r>
      <w:r>
        <w:rPr>
          <w:spacing w:val="-4"/>
        </w:rPr>
        <w:t> </w:t>
      </w:r>
      <w:r>
        <w:rPr/>
        <w:t>a</w:t>
      </w:r>
      <w:r>
        <w:rPr>
          <w:spacing w:val="-4"/>
        </w:rPr>
        <w:t> </w:t>
      </w:r>
      <w:r>
        <w:rPr/>
        <w:t>global</w:t>
      </w:r>
      <w:r>
        <w:rPr>
          <w:spacing w:val="-3"/>
        </w:rPr>
        <w:t> </w:t>
      </w:r>
      <w:r>
        <w:rPr/>
        <w:t>environmental</w:t>
      </w:r>
      <w:r>
        <w:rPr>
          <w:spacing w:val="-5"/>
        </w:rPr>
        <w:t> </w:t>
      </w:r>
      <w:r>
        <w:rPr/>
        <w:t>sensitivity</w:t>
      </w:r>
      <w:r>
        <w:rPr>
          <w:spacing w:val="-6"/>
        </w:rPr>
        <w:t> </w:t>
      </w:r>
      <w:r>
        <w:rPr/>
        <w:t>and</w:t>
      </w:r>
      <w:r>
        <w:rPr>
          <w:spacing w:val="-4"/>
        </w:rPr>
        <w:t> </w:t>
      </w:r>
      <w:r>
        <w:rPr/>
        <w:t>to</w:t>
      </w:r>
      <w:r>
        <w:rPr>
          <w:spacing w:val="-2"/>
        </w:rPr>
        <w:t> </w:t>
      </w:r>
      <w:r>
        <w:rPr/>
        <w:t>developing</w:t>
      </w:r>
      <w:r>
        <w:rPr>
          <w:spacing w:val="-2"/>
        </w:rPr>
        <w:t> </w:t>
      </w:r>
      <w:r>
        <w:rPr/>
        <w:t>an</w:t>
      </w:r>
      <w:r>
        <w:rPr>
          <w:spacing w:val="-2"/>
        </w:rPr>
        <w:t> </w:t>
      </w:r>
      <w:r>
        <w:rPr/>
        <w:t>ability</w:t>
      </w:r>
      <w:r>
        <w:rPr>
          <w:spacing w:val="-6"/>
        </w:rPr>
        <w:t> </w:t>
      </w:r>
      <w:r>
        <w:rPr/>
        <w:t>and</w:t>
      </w:r>
      <w:r>
        <w:rPr>
          <w:spacing w:val="-4"/>
        </w:rPr>
        <w:t> </w:t>
      </w:r>
      <w:r>
        <w:rPr/>
        <w:t>desire</w:t>
      </w:r>
      <w:r>
        <w:rPr>
          <w:spacing w:val="-4"/>
        </w:rPr>
        <w:t> </w:t>
      </w:r>
      <w:r>
        <w:rPr/>
        <w:t>in</w:t>
      </w:r>
      <w:r>
        <w:rPr>
          <w:spacing w:val="-4"/>
        </w:rPr>
        <w:t> </w:t>
      </w:r>
      <w:r>
        <w:rPr/>
        <w:t>students to help bring about important social and environmental change, especially in transitional urban areas and communities of color.”</w:t>
      </w:r>
    </w:p>
    <w:p>
      <w:pPr>
        <w:pStyle w:val="BodyText"/>
        <w:spacing w:before="10"/>
      </w:pPr>
    </w:p>
    <w:p>
      <w:pPr>
        <w:pStyle w:val="BodyText"/>
        <w:ind w:left="1219" w:right="499"/>
      </w:pPr>
      <w:r>
        <w:rPr/>
        <w:t>In 2008, President</w:t>
      </w:r>
      <w:r>
        <w:rPr>
          <w:spacing w:val="-2"/>
        </w:rPr>
        <w:t> </w:t>
      </w:r>
      <w:r>
        <w:rPr/>
        <w:t>William R. Harvey</w:t>
      </w:r>
      <w:r>
        <w:rPr>
          <w:spacing w:val="-3"/>
        </w:rPr>
        <w:t> </w:t>
      </w:r>
      <w:r>
        <w:rPr/>
        <w:t>charged the Vice President for Administrative Services with developing a “Comprehensive Plan for the Implementation of a Sustainable Institutional Effectiveness System using an on-going program of assessment for all academic and non- academic areas.”</w:t>
      </w:r>
      <w:r>
        <w:rPr>
          <w:spacing w:val="80"/>
        </w:rPr>
        <w:t> </w:t>
      </w:r>
      <w:r>
        <w:rPr/>
        <w:t>It was noted that such a system must incorporate means for assessing continuous</w:t>
      </w:r>
      <w:r>
        <w:rPr>
          <w:spacing w:val="-2"/>
        </w:rPr>
        <w:t> </w:t>
      </w:r>
      <w:r>
        <w:rPr/>
        <w:t>improvements</w:t>
      </w:r>
      <w:r>
        <w:rPr>
          <w:spacing w:val="-4"/>
        </w:rPr>
        <w:t> </w:t>
      </w:r>
      <w:r>
        <w:rPr/>
        <w:t>within</w:t>
      </w:r>
      <w:r>
        <w:rPr>
          <w:spacing w:val="-3"/>
        </w:rPr>
        <w:t> </w:t>
      </w:r>
      <w:r>
        <w:rPr/>
        <w:t>and</w:t>
      </w:r>
      <w:r>
        <w:rPr>
          <w:spacing w:val="-3"/>
        </w:rPr>
        <w:t> </w:t>
      </w:r>
      <w:r>
        <w:rPr/>
        <w:t>across</w:t>
      </w:r>
      <w:r>
        <w:rPr>
          <w:spacing w:val="-4"/>
        </w:rPr>
        <w:t> </w:t>
      </w:r>
      <w:r>
        <w:rPr/>
        <w:t>all</w:t>
      </w:r>
      <w:r>
        <w:rPr>
          <w:spacing w:val="-4"/>
        </w:rPr>
        <w:t> </w:t>
      </w:r>
      <w:r>
        <w:rPr/>
        <w:t>areas</w:t>
      </w:r>
      <w:r>
        <w:rPr>
          <w:spacing w:val="-1"/>
        </w:rPr>
        <w:t> </w:t>
      </w:r>
      <w:r>
        <w:rPr/>
        <w:t>and</w:t>
      </w:r>
      <w:r>
        <w:rPr>
          <w:spacing w:val="-3"/>
        </w:rPr>
        <w:t> </w:t>
      </w:r>
      <w:r>
        <w:rPr/>
        <w:t>incorporate</w:t>
      </w:r>
      <w:r>
        <w:rPr>
          <w:spacing w:val="-5"/>
        </w:rPr>
        <w:t> </w:t>
      </w:r>
      <w:r>
        <w:rPr/>
        <w:t>the</w:t>
      </w:r>
      <w:r>
        <w:rPr>
          <w:spacing w:val="-5"/>
        </w:rPr>
        <w:t> </w:t>
      </w:r>
      <w:r>
        <w:rPr/>
        <w:t>University’s</w:t>
      </w:r>
      <w:r>
        <w:rPr>
          <w:spacing w:val="-4"/>
        </w:rPr>
        <w:t> </w:t>
      </w:r>
      <w:r>
        <w:rPr/>
        <w:t>current</w:t>
      </w:r>
      <w:r>
        <w:rPr>
          <w:spacing w:val="-5"/>
        </w:rPr>
        <w:t> </w:t>
      </w:r>
      <w:r>
        <w:rPr/>
        <w:t>and future Integrated Strategic Planning process.</w:t>
      </w:r>
    </w:p>
    <w:p>
      <w:pPr>
        <w:pStyle w:val="BodyText"/>
        <w:spacing w:before="10"/>
      </w:pPr>
    </w:p>
    <w:p>
      <w:pPr>
        <w:pStyle w:val="BodyText"/>
        <w:ind w:left="1219" w:right="499"/>
      </w:pPr>
      <w:r>
        <w:rPr/>
        <w:t>The Plan presented was designed to address these areas while presenting a detailed approach for</w:t>
      </w:r>
      <w:r>
        <w:rPr>
          <w:spacing w:val="-3"/>
        </w:rPr>
        <w:t> </w:t>
      </w:r>
      <w:r>
        <w:rPr/>
        <w:t>the</w:t>
      </w:r>
      <w:r>
        <w:rPr>
          <w:spacing w:val="-4"/>
        </w:rPr>
        <w:t> </w:t>
      </w:r>
      <w:r>
        <w:rPr/>
        <w:t>actual</w:t>
      </w:r>
      <w:r>
        <w:rPr>
          <w:spacing w:val="-5"/>
        </w:rPr>
        <w:t> </w:t>
      </w:r>
      <w:r>
        <w:rPr/>
        <w:t>implementation,</w:t>
      </w:r>
      <w:r>
        <w:rPr>
          <w:spacing w:val="-4"/>
        </w:rPr>
        <w:t> </w:t>
      </w:r>
      <w:r>
        <w:rPr/>
        <w:t>taking</w:t>
      </w:r>
      <w:r>
        <w:rPr>
          <w:spacing w:val="-4"/>
        </w:rPr>
        <w:t> </w:t>
      </w:r>
      <w:r>
        <w:rPr/>
        <w:t>into</w:t>
      </w:r>
      <w:r>
        <w:rPr>
          <w:spacing w:val="-4"/>
        </w:rPr>
        <w:t> </w:t>
      </w:r>
      <w:r>
        <w:rPr/>
        <w:t>consideration</w:t>
      </w:r>
      <w:r>
        <w:rPr>
          <w:spacing w:val="-4"/>
        </w:rPr>
        <w:t> </w:t>
      </w:r>
      <w:r>
        <w:rPr/>
        <w:t>all</w:t>
      </w:r>
      <w:r>
        <w:rPr>
          <w:spacing w:val="-5"/>
        </w:rPr>
        <w:t> </w:t>
      </w:r>
      <w:r>
        <w:rPr/>
        <w:t>deadlines</w:t>
      </w:r>
      <w:r>
        <w:rPr>
          <w:spacing w:val="-3"/>
        </w:rPr>
        <w:t> </w:t>
      </w:r>
      <w:r>
        <w:rPr/>
        <w:t>pertaining</w:t>
      </w:r>
      <w:r>
        <w:rPr>
          <w:spacing w:val="-4"/>
        </w:rPr>
        <w:t> </w:t>
      </w:r>
      <w:r>
        <w:rPr/>
        <w:t>to</w:t>
      </w:r>
      <w:r>
        <w:rPr>
          <w:spacing w:val="-2"/>
        </w:rPr>
        <w:t> </w:t>
      </w:r>
      <w:r>
        <w:rPr/>
        <w:t>institutional</w:t>
      </w:r>
      <w:r>
        <w:rPr>
          <w:spacing w:val="-2"/>
        </w:rPr>
        <w:t> </w:t>
      </w:r>
      <w:r>
        <w:rPr/>
        <w:t>and programmatic accrediting agency review cycles.</w:t>
      </w:r>
      <w:r>
        <w:rPr>
          <w:spacing w:val="40"/>
        </w:rPr>
        <w:t> </w:t>
      </w:r>
      <w:r>
        <w:rPr/>
        <w:t>Specific recommendations were:</w:t>
      </w:r>
    </w:p>
    <w:p>
      <w:pPr>
        <w:pStyle w:val="BodyText"/>
        <w:spacing w:before="9"/>
        <w:rPr>
          <w:sz w:val="25"/>
        </w:rPr>
      </w:pPr>
    </w:p>
    <w:p>
      <w:pPr>
        <w:pStyle w:val="ListParagraph"/>
        <w:numPr>
          <w:ilvl w:val="0"/>
          <w:numId w:val="18"/>
        </w:numPr>
        <w:tabs>
          <w:tab w:pos="1939" w:val="left" w:leader="none"/>
          <w:tab w:pos="1940" w:val="left" w:leader="none"/>
        </w:tabs>
        <w:spacing w:line="240" w:lineRule="auto" w:before="1" w:after="0"/>
        <w:ind w:left="1939" w:right="1128" w:hanging="721"/>
        <w:jc w:val="left"/>
        <w:rPr>
          <w:sz w:val="20"/>
        </w:rPr>
      </w:pPr>
      <w:r>
        <w:rPr>
          <w:sz w:val="20"/>
        </w:rPr>
        <w:t>That</w:t>
      </w:r>
      <w:r>
        <w:rPr>
          <w:spacing w:val="-5"/>
          <w:sz w:val="20"/>
        </w:rPr>
        <w:t> </w:t>
      </w:r>
      <w:r>
        <w:rPr>
          <w:sz w:val="20"/>
        </w:rPr>
        <w:t>the</w:t>
      </w:r>
      <w:r>
        <w:rPr>
          <w:spacing w:val="-5"/>
          <w:sz w:val="20"/>
        </w:rPr>
        <w:t> </w:t>
      </w:r>
      <w:r>
        <w:rPr>
          <w:sz w:val="20"/>
        </w:rPr>
        <w:t>planning</w:t>
      </w:r>
      <w:r>
        <w:rPr>
          <w:spacing w:val="-3"/>
          <w:sz w:val="20"/>
        </w:rPr>
        <w:t> </w:t>
      </w:r>
      <w:r>
        <w:rPr>
          <w:sz w:val="20"/>
        </w:rPr>
        <w:t>and</w:t>
      </w:r>
      <w:r>
        <w:rPr>
          <w:spacing w:val="-3"/>
          <w:sz w:val="20"/>
        </w:rPr>
        <w:t> </w:t>
      </w:r>
      <w:r>
        <w:rPr>
          <w:sz w:val="20"/>
        </w:rPr>
        <w:t>data</w:t>
      </w:r>
      <w:r>
        <w:rPr>
          <w:spacing w:val="-3"/>
          <w:sz w:val="20"/>
        </w:rPr>
        <w:t> </w:t>
      </w:r>
      <w:r>
        <w:rPr>
          <w:sz w:val="20"/>
        </w:rPr>
        <w:t>gathering</w:t>
      </w:r>
      <w:r>
        <w:rPr>
          <w:spacing w:val="-5"/>
          <w:sz w:val="20"/>
        </w:rPr>
        <w:t> </w:t>
      </w:r>
      <w:r>
        <w:rPr>
          <w:sz w:val="20"/>
        </w:rPr>
        <w:t>system be</w:t>
      </w:r>
      <w:r>
        <w:rPr>
          <w:spacing w:val="-5"/>
          <w:sz w:val="20"/>
        </w:rPr>
        <w:t> </w:t>
      </w:r>
      <w:r>
        <w:rPr>
          <w:sz w:val="20"/>
        </w:rPr>
        <w:t>maintained</w:t>
      </w:r>
      <w:r>
        <w:rPr>
          <w:spacing w:val="-3"/>
          <w:sz w:val="20"/>
        </w:rPr>
        <w:t> </w:t>
      </w:r>
      <w:r>
        <w:rPr>
          <w:sz w:val="20"/>
        </w:rPr>
        <w:t>with</w:t>
      </w:r>
      <w:r>
        <w:rPr>
          <w:spacing w:val="-3"/>
          <w:sz w:val="20"/>
        </w:rPr>
        <w:t> </w:t>
      </w:r>
      <w:r>
        <w:rPr>
          <w:sz w:val="20"/>
        </w:rPr>
        <w:t>the</w:t>
      </w:r>
      <w:r>
        <w:rPr>
          <w:spacing w:val="-3"/>
          <w:sz w:val="20"/>
        </w:rPr>
        <w:t> </w:t>
      </w:r>
      <w:r>
        <w:rPr>
          <w:sz w:val="20"/>
        </w:rPr>
        <w:t>addition</w:t>
      </w:r>
      <w:r>
        <w:rPr>
          <w:spacing w:val="-3"/>
          <w:sz w:val="20"/>
        </w:rPr>
        <w:t> </w:t>
      </w:r>
      <w:r>
        <w:rPr>
          <w:sz w:val="20"/>
        </w:rPr>
        <w:t>of</w:t>
      </w:r>
      <w:r>
        <w:rPr>
          <w:spacing w:val="-3"/>
          <w:sz w:val="20"/>
        </w:rPr>
        <w:t> </w:t>
      </w:r>
      <w:r>
        <w:rPr>
          <w:sz w:val="20"/>
        </w:rPr>
        <w:t>an assessment component and the elimination of hard copy submissions.</w:t>
      </w:r>
    </w:p>
    <w:p>
      <w:pPr>
        <w:pStyle w:val="ListParagraph"/>
        <w:numPr>
          <w:ilvl w:val="0"/>
          <w:numId w:val="18"/>
        </w:numPr>
        <w:tabs>
          <w:tab w:pos="1940" w:val="left" w:leader="none"/>
          <w:tab w:pos="1941" w:val="left" w:leader="none"/>
        </w:tabs>
        <w:spacing w:line="240" w:lineRule="auto" w:before="10" w:after="0"/>
        <w:ind w:left="1940" w:right="0" w:hanging="722"/>
        <w:jc w:val="left"/>
        <w:rPr>
          <w:sz w:val="20"/>
        </w:rPr>
      </w:pPr>
      <w:r>
        <w:rPr>
          <w:sz w:val="20"/>
        </w:rPr>
        <w:t>That</w:t>
      </w:r>
      <w:r>
        <w:rPr>
          <w:spacing w:val="-8"/>
          <w:sz w:val="20"/>
        </w:rPr>
        <w:t> </w:t>
      </w:r>
      <w:r>
        <w:rPr>
          <w:sz w:val="20"/>
        </w:rPr>
        <w:t>all</w:t>
      </w:r>
      <w:r>
        <w:rPr>
          <w:spacing w:val="-8"/>
          <w:sz w:val="20"/>
        </w:rPr>
        <w:t> </w:t>
      </w:r>
      <w:r>
        <w:rPr>
          <w:sz w:val="20"/>
        </w:rPr>
        <w:t>reporting</w:t>
      </w:r>
      <w:r>
        <w:rPr>
          <w:spacing w:val="-5"/>
          <w:sz w:val="20"/>
        </w:rPr>
        <w:t> </w:t>
      </w:r>
      <w:r>
        <w:rPr>
          <w:sz w:val="20"/>
        </w:rPr>
        <w:t>be</w:t>
      </w:r>
      <w:r>
        <w:rPr>
          <w:spacing w:val="-6"/>
          <w:sz w:val="20"/>
        </w:rPr>
        <w:t> </w:t>
      </w:r>
      <w:r>
        <w:rPr>
          <w:sz w:val="20"/>
        </w:rPr>
        <w:t>incorporated</w:t>
      </w:r>
      <w:r>
        <w:rPr>
          <w:spacing w:val="-5"/>
          <w:sz w:val="20"/>
        </w:rPr>
        <w:t> </w:t>
      </w:r>
      <w:r>
        <w:rPr>
          <w:sz w:val="20"/>
        </w:rPr>
        <w:t>into</w:t>
      </w:r>
      <w:r>
        <w:rPr>
          <w:spacing w:val="-8"/>
          <w:sz w:val="20"/>
        </w:rPr>
        <w:t> </w:t>
      </w:r>
      <w:r>
        <w:rPr>
          <w:sz w:val="20"/>
        </w:rPr>
        <w:t>an</w:t>
      </w:r>
      <w:r>
        <w:rPr>
          <w:spacing w:val="-7"/>
          <w:sz w:val="20"/>
        </w:rPr>
        <w:t> </w:t>
      </w:r>
      <w:r>
        <w:rPr>
          <w:sz w:val="20"/>
        </w:rPr>
        <w:t>automated</w:t>
      </w:r>
      <w:r>
        <w:rPr>
          <w:spacing w:val="-7"/>
          <w:sz w:val="20"/>
        </w:rPr>
        <w:t> </w:t>
      </w:r>
      <w:r>
        <w:rPr>
          <w:sz w:val="20"/>
        </w:rPr>
        <w:t>system</w:t>
      </w:r>
      <w:r>
        <w:rPr>
          <w:spacing w:val="-3"/>
          <w:sz w:val="20"/>
        </w:rPr>
        <w:t> </w:t>
      </w:r>
      <w:r>
        <w:rPr>
          <w:spacing w:val="-5"/>
          <w:sz w:val="20"/>
        </w:rPr>
        <w:t>for</w:t>
      </w:r>
    </w:p>
    <w:p>
      <w:pPr>
        <w:pStyle w:val="ListParagraph"/>
        <w:numPr>
          <w:ilvl w:val="1"/>
          <w:numId w:val="18"/>
        </w:numPr>
        <w:tabs>
          <w:tab w:pos="2479" w:val="left" w:leader="none"/>
          <w:tab w:pos="2480" w:val="left" w:leader="none"/>
        </w:tabs>
        <w:spacing w:line="239" w:lineRule="exact" w:before="1" w:after="0"/>
        <w:ind w:left="2479" w:right="0" w:hanging="540"/>
        <w:jc w:val="left"/>
        <w:rPr>
          <w:sz w:val="20"/>
        </w:rPr>
      </w:pPr>
      <w:r>
        <w:rPr>
          <w:sz w:val="20"/>
        </w:rPr>
        <w:t>Data</w:t>
      </w:r>
      <w:r>
        <w:rPr>
          <w:spacing w:val="-8"/>
          <w:sz w:val="20"/>
        </w:rPr>
        <w:t> </w:t>
      </w:r>
      <w:r>
        <w:rPr>
          <w:sz w:val="20"/>
        </w:rPr>
        <w:t>collection</w:t>
      </w:r>
      <w:r>
        <w:rPr>
          <w:spacing w:val="-7"/>
          <w:sz w:val="20"/>
        </w:rPr>
        <w:t> </w:t>
      </w:r>
      <w:r>
        <w:rPr>
          <w:sz w:val="20"/>
        </w:rPr>
        <w:t>from</w:t>
      </w:r>
      <w:r>
        <w:rPr>
          <w:spacing w:val="-3"/>
          <w:sz w:val="20"/>
        </w:rPr>
        <w:t> </w:t>
      </w:r>
      <w:r>
        <w:rPr>
          <w:sz w:val="20"/>
        </w:rPr>
        <w:t>all</w:t>
      </w:r>
      <w:r>
        <w:rPr>
          <w:spacing w:val="-6"/>
          <w:sz w:val="20"/>
        </w:rPr>
        <w:t> </w:t>
      </w:r>
      <w:r>
        <w:rPr>
          <w:sz w:val="20"/>
        </w:rPr>
        <w:t>academic</w:t>
      </w:r>
      <w:r>
        <w:rPr>
          <w:spacing w:val="-7"/>
          <w:sz w:val="20"/>
        </w:rPr>
        <w:t> </w:t>
      </w:r>
      <w:r>
        <w:rPr>
          <w:sz w:val="20"/>
        </w:rPr>
        <w:t>and</w:t>
      </w:r>
      <w:r>
        <w:rPr>
          <w:spacing w:val="-7"/>
          <w:sz w:val="20"/>
        </w:rPr>
        <w:t> </w:t>
      </w:r>
      <w:r>
        <w:rPr>
          <w:sz w:val="20"/>
        </w:rPr>
        <w:t>non-academic</w:t>
      </w:r>
      <w:r>
        <w:rPr>
          <w:spacing w:val="-7"/>
          <w:sz w:val="20"/>
        </w:rPr>
        <w:t> </w:t>
      </w:r>
      <w:r>
        <w:rPr>
          <w:spacing w:val="-2"/>
          <w:sz w:val="20"/>
        </w:rPr>
        <w:t>units,</w:t>
      </w:r>
    </w:p>
    <w:p>
      <w:pPr>
        <w:pStyle w:val="ListParagraph"/>
        <w:numPr>
          <w:ilvl w:val="1"/>
          <w:numId w:val="18"/>
        </w:numPr>
        <w:tabs>
          <w:tab w:pos="2479" w:val="left" w:leader="none"/>
          <w:tab w:pos="2480" w:val="left" w:leader="none"/>
        </w:tabs>
        <w:spacing w:line="223" w:lineRule="auto" w:before="3" w:after="0"/>
        <w:ind w:left="2479" w:right="2513" w:hanging="540"/>
        <w:jc w:val="left"/>
        <w:rPr>
          <w:sz w:val="20"/>
        </w:rPr>
      </w:pPr>
      <w:r>
        <w:rPr>
          <w:sz w:val="20"/>
        </w:rPr>
        <w:t>Assessment</w:t>
      </w:r>
      <w:r>
        <w:rPr>
          <w:spacing w:val="-7"/>
          <w:sz w:val="20"/>
        </w:rPr>
        <w:t> </w:t>
      </w:r>
      <w:r>
        <w:rPr>
          <w:sz w:val="20"/>
        </w:rPr>
        <w:t>of</w:t>
      </w:r>
      <w:r>
        <w:rPr>
          <w:spacing w:val="-5"/>
          <w:sz w:val="20"/>
        </w:rPr>
        <w:t> </w:t>
      </w:r>
      <w:r>
        <w:rPr>
          <w:sz w:val="20"/>
        </w:rPr>
        <w:t>outcomes/results</w:t>
      </w:r>
      <w:r>
        <w:rPr>
          <w:spacing w:val="-6"/>
          <w:sz w:val="20"/>
        </w:rPr>
        <w:t> </w:t>
      </w:r>
      <w:r>
        <w:rPr>
          <w:sz w:val="20"/>
        </w:rPr>
        <w:t>from</w:t>
      </w:r>
      <w:r>
        <w:rPr>
          <w:spacing w:val="-3"/>
          <w:sz w:val="20"/>
        </w:rPr>
        <w:t> </w:t>
      </w:r>
      <w:r>
        <w:rPr>
          <w:sz w:val="20"/>
        </w:rPr>
        <w:t>all</w:t>
      </w:r>
      <w:r>
        <w:rPr>
          <w:spacing w:val="-8"/>
          <w:sz w:val="20"/>
        </w:rPr>
        <w:t> </w:t>
      </w:r>
      <w:r>
        <w:rPr>
          <w:sz w:val="20"/>
        </w:rPr>
        <w:t>academic</w:t>
      </w:r>
      <w:r>
        <w:rPr>
          <w:spacing w:val="-6"/>
          <w:sz w:val="20"/>
        </w:rPr>
        <w:t> </w:t>
      </w:r>
      <w:r>
        <w:rPr>
          <w:sz w:val="20"/>
        </w:rPr>
        <w:t>and</w:t>
      </w:r>
      <w:r>
        <w:rPr>
          <w:spacing w:val="-7"/>
          <w:sz w:val="20"/>
        </w:rPr>
        <w:t> </w:t>
      </w:r>
      <w:r>
        <w:rPr>
          <w:sz w:val="20"/>
        </w:rPr>
        <w:t>non- academic units,</w:t>
      </w:r>
    </w:p>
    <w:p>
      <w:pPr>
        <w:pStyle w:val="ListParagraph"/>
        <w:numPr>
          <w:ilvl w:val="1"/>
          <w:numId w:val="18"/>
        </w:numPr>
        <w:tabs>
          <w:tab w:pos="2479" w:val="left" w:leader="none"/>
          <w:tab w:pos="2480" w:val="left" w:leader="none"/>
        </w:tabs>
        <w:spacing w:line="223" w:lineRule="auto" w:before="13" w:after="0"/>
        <w:ind w:left="2479" w:right="1699" w:hanging="540"/>
        <w:jc w:val="left"/>
        <w:rPr>
          <w:sz w:val="20"/>
        </w:rPr>
      </w:pPr>
      <w:r>
        <w:rPr>
          <w:sz w:val="20"/>
        </w:rPr>
        <w:t>Documenting</w:t>
      </w:r>
      <w:r>
        <w:rPr>
          <w:spacing w:val="-5"/>
          <w:sz w:val="20"/>
        </w:rPr>
        <w:t> </w:t>
      </w:r>
      <w:r>
        <w:rPr>
          <w:sz w:val="20"/>
        </w:rPr>
        <w:t>all</w:t>
      </w:r>
      <w:r>
        <w:rPr>
          <w:spacing w:val="-8"/>
          <w:sz w:val="20"/>
        </w:rPr>
        <w:t> </w:t>
      </w:r>
      <w:r>
        <w:rPr>
          <w:sz w:val="20"/>
        </w:rPr>
        <w:t>academic</w:t>
      </w:r>
      <w:r>
        <w:rPr>
          <w:spacing w:val="-6"/>
          <w:sz w:val="20"/>
        </w:rPr>
        <w:t> </w:t>
      </w:r>
      <w:r>
        <w:rPr>
          <w:sz w:val="20"/>
        </w:rPr>
        <w:t>unit</w:t>
      </w:r>
      <w:r>
        <w:rPr>
          <w:spacing w:val="-5"/>
          <w:sz w:val="20"/>
        </w:rPr>
        <w:t> </w:t>
      </w:r>
      <w:r>
        <w:rPr>
          <w:sz w:val="20"/>
        </w:rPr>
        <w:t>Intended</w:t>
      </w:r>
      <w:r>
        <w:rPr>
          <w:spacing w:val="-5"/>
          <w:sz w:val="20"/>
        </w:rPr>
        <w:t> </w:t>
      </w:r>
      <w:r>
        <w:rPr>
          <w:sz w:val="20"/>
        </w:rPr>
        <w:t>Student</w:t>
      </w:r>
      <w:r>
        <w:rPr>
          <w:spacing w:val="-5"/>
          <w:sz w:val="20"/>
        </w:rPr>
        <w:t> </w:t>
      </w:r>
      <w:r>
        <w:rPr>
          <w:sz w:val="20"/>
        </w:rPr>
        <w:t>Learning</w:t>
      </w:r>
      <w:r>
        <w:rPr>
          <w:spacing w:val="-7"/>
          <w:sz w:val="20"/>
        </w:rPr>
        <w:t> </w:t>
      </w:r>
      <w:r>
        <w:rPr>
          <w:sz w:val="20"/>
        </w:rPr>
        <w:t>Outcomes, </w:t>
      </w:r>
      <w:r>
        <w:rPr>
          <w:spacing w:val="-4"/>
          <w:sz w:val="20"/>
        </w:rPr>
        <w:t>and</w:t>
      </w:r>
    </w:p>
    <w:p>
      <w:pPr>
        <w:pStyle w:val="ListParagraph"/>
        <w:numPr>
          <w:ilvl w:val="1"/>
          <w:numId w:val="18"/>
        </w:numPr>
        <w:tabs>
          <w:tab w:pos="2479" w:val="left" w:leader="none"/>
          <w:tab w:pos="2480" w:val="left" w:leader="none"/>
        </w:tabs>
        <w:spacing w:line="223" w:lineRule="auto" w:before="16" w:after="0"/>
        <w:ind w:left="2479" w:right="2498" w:hanging="540"/>
        <w:jc w:val="left"/>
        <w:rPr>
          <w:sz w:val="20"/>
        </w:rPr>
      </w:pPr>
      <w:r>
        <w:rPr>
          <w:sz w:val="20"/>
        </w:rPr>
        <w:t>Documenting</w:t>
      </w:r>
      <w:r>
        <w:rPr>
          <w:spacing w:val="-6"/>
          <w:sz w:val="20"/>
        </w:rPr>
        <w:t> </w:t>
      </w:r>
      <w:r>
        <w:rPr>
          <w:sz w:val="20"/>
        </w:rPr>
        <w:t>quality</w:t>
      </w:r>
      <w:r>
        <w:rPr>
          <w:spacing w:val="-9"/>
          <w:sz w:val="20"/>
        </w:rPr>
        <w:t> </w:t>
      </w:r>
      <w:r>
        <w:rPr>
          <w:sz w:val="20"/>
        </w:rPr>
        <w:t>improvement</w:t>
      </w:r>
      <w:r>
        <w:rPr>
          <w:spacing w:val="-8"/>
          <w:sz w:val="20"/>
        </w:rPr>
        <w:t> </w:t>
      </w:r>
      <w:r>
        <w:rPr>
          <w:sz w:val="20"/>
        </w:rPr>
        <w:t>through</w:t>
      </w:r>
      <w:r>
        <w:rPr>
          <w:spacing w:val="-6"/>
          <w:sz w:val="20"/>
        </w:rPr>
        <w:t> </w:t>
      </w:r>
      <w:r>
        <w:rPr>
          <w:sz w:val="20"/>
        </w:rPr>
        <w:t>Key</w:t>
      </w:r>
      <w:r>
        <w:rPr>
          <w:spacing w:val="-9"/>
          <w:sz w:val="20"/>
        </w:rPr>
        <w:t> </w:t>
      </w:r>
      <w:r>
        <w:rPr>
          <w:sz w:val="20"/>
        </w:rPr>
        <w:t>Performance Indicators in support of university goals.</w:t>
      </w:r>
    </w:p>
    <w:p>
      <w:pPr>
        <w:pStyle w:val="ListParagraph"/>
        <w:numPr>
          <w:ilvl w:val="0"/>
          <w:numId w:val="18"/>
        </w:numPr>
        <w:tabs>
          <w:tab w:pos="1939" w:val="left" w:leader="none"/>
          <w:tab w:pos="1940" w:val="left" w:leader="none"/>
        </w:tabs>
        <w:spacing w:line="240" w:lineRule="auto" w:before="18" w:after="0"/>
        <w:ind w:left="1939" w:right="1156" w:hanging="721"/>
        <w:jc w:val="left"/>
        <w:rPr>
          <w:sz w:val="20"/>
        </w:rPr>
      </w:pPr>
      <w:r>
        <w:rPr>
          <w:sz w:val="20"/>
        </w:rPr>
        <w:t>It was also recommended that the University create or adopt the use of an Institutional</w:t>
      </w:r>
      <w:r>
        <w:rPr>
          <w:spacing w:val="-8"/>
          <w:sz w:val="20"/>
        </w:rPr>
        <w:t> </w:t>
      </w:r>
      <w:r>
        <w:rPr>
          <w:sz w:val="20"/>
        </w:rPr>
        <w:t>Effectiveness</w:t>
      </w:r>
      <w:r>
        <w:rPr>
          <w:spacing w:val="-6"/>
          <w:sz w:val="20"/>
        </w:rPr>
        <w:t> </w:t>
      </w:r>
      <w:r>
        <w:rPr>
          <w:sz w:val="20"/>
        </w:rPr>
        <w:t>and</w:t>
      </w:r>
      <w:r>
        <w:rPr>
          <w:spacing w:val="-7"/>
          <w:sz w:val="20"/>
        </w:rPr>
        <w:t> </w:t>
      </w:r>
      <w:r>
        <w:rPr>
          <w:sz w:val="20"/>
        </w:rPr>
        <w:t>Assessment</w:t>
      </w:r>
      <w:r>
        <w:rPr>
          <w:spacing w:val="-7"/>
          <w:sz w:val="20"/>
        </w:rPr>
        <w:t> </w:t>
      </w:r>
      <w:r>
        <w:rPr>
          <w:sz w:val="20"/>
        </w:rPr>
        <w:t>Principles,</w:t>
      </w:r>
      <w:r>
        <w:rPr>
          <w:spacing w:val="-7"/>
          <w:sz w:val="20"/>
        </w:rPr>
        <w:t> </w:t>
      </w:r>
      <w:r>
        <w:rPr>
          <w:sz w:val="20"/>
        </w:rPr>
        <w:t>Resources</w:t>
      </w:r>
      <w:r>
        <w:rPr>
          <w:spacing w:val="-6"/>
          <w:sz w:val="20"/>
        </w:rPr>
        <w:t> </w:t>
      </w:r>
      <w:r>
        <w:rPr>
          <w:sz w:val="20"/>
        </w:rPr>
        <w:t>and</w:t>
      </w:r>
      <w:r>
        <w:rPr>
          <w:spacing w:val="-7"/>
          <w:sz w:val="20"/>
        </w:rPr>
        <w:t> </w:t>
      </w:r>
      <w:r>
        <w:rPr>
          <w:sz w:val="20"/>
        </w:rPr>
        <w:t>Procedures </w:t>
      </w:r>
      <w:r>
        <w:rPr>
          <w:spacing w:val="-2"/>
          <w:sz w:val="20"/>
        </w:rPr>
        <w:t>Manual.</w:t>
      </w:r>
    </w:p>
    <w:p>
      <w:pPr>
        <w:pStyle w:val="BodyText"/>
        <w:spacing w:before="1"/>
        <w:rPr>
          <w:sz w:val="24"/>
        </w:rPr>
      </w:pPr>
    </w:p>
    <w:p>
      <w:pPr>
        <w:pStyle w:val="BodyText"/>
        <w:ind w:left="1219" w:right="705"/>
      </w:pPr>
      <w:r>
        <w:rPr/>
        <w:t>The University was already engaged in extensive annual program planning and outcomes reporting</w:t>
      </w:r>
      <w:r>
        <w:rPr>
          <w:spacing w:val="-4"/>
        </w:rPr>
        <w:t> </w:t>
      </w:r>
      <w:r>
        <w:rPr/>
        <w:t>activities</w:t>
      </w:r>
      <w:r>
        <w:rPr>
          <w:spacing w:val="-3"/>
        </w:rPr>
        <w:t> </w:t>
      </w:r>
      <w:r>
        <w:rPr/>
        <w:t>but</w:t>
      </w:r>
      <w:r>
        <w:rPr>
          <w:spacing w:val="-4"/>
        </w:rPr>
        <w:t> </w:t>
      </w:r>
      <w:r>
        <w:rPr/>
        <w:t>needed</w:t>
      </w:r>
      <w:r>
        <w:rPr>
          <w:spacing w:val="-4"/>
        </w:rPr>
        <w:t> </w:t>
      </w:r>
      <w:r>
        <w:rPr/>
        <w:t>a</w:t>
      </w:r>
      <w:r>
        <w:rPr>
          <w:spacing w:val="-2"/>
        </w:rPr>
        <w:t> </w:t>
      </w:r>
      <w:r>
        <w:rPr/>
        <w:t>way</w:t>
      </w:r>
      <w:r>
        <w:rPr>
          <w:spacing w:val="-7"/>
        </w:rPr>
        <w:t> </w:t>
      </w:r>
      <w:r>
        <w:rPr/>
        <w:t>to</w:t>
      </w:r>
      <w:r>
        <w:rPr>
          <w:spacing w:val="-2"/>
        </w:rPr>
        <w:t> </w:t>
      </w:r>
      <w:r>
        <w:rPr/>
        <w:t>assess</w:t>
      </w:r>
      <w:r>
        <w:rPr>
          <w:spacing w:val="-3"/>
        </w:rPr>
        <w:t> </w:t>
      </w:r>
      <w:r>
        <w:rPr/>
        <w:t>how</w:t>
      </w:r>
      <w:r>
        <w:rPr>
          <w:spacing w:val="-4"/>
        </w:rPr>
        <w:t> </w:t>
      </w:r>
      <w:r>
        <w:rPr/>
        <w:t>well</w:t>
      </w:r>
      <w:r>
        <w:rPr>
          <w:spacing w:val="-3"/>
        </w:rPr>
        <w:t> </w:t>
      </w:r>
      <w:r>
        <w:rPr/>
        <w:t>outcomes</w:t>
      </w:r>
      <w:r>
        <w:rPr>
          <w:spacing w:val="-3"/>
        </w:rPr>
        <w:t> </w:t>
      </w:r>
      <w:r>
        <w:rPr/>
        <w:t>were</w:t>
      </w:r>
      <w:r>
        <w:rPr>
          <w:spacing w:val="-2"/>
        </w:rPr>
        <w:t> </w:t>
      </w:r>
      <w:r>
        <w:rPr/>
        <w:t>being</w:t>
      </w:r>
      <w:r>
        <w:rPr>
          <w:spacing w:val="-2"/>
        </w:rPr>
        <w:t> </w:t>
      </w:r>
      <w:r>
        <w:rPr/>
        <w:t>achieved</w:t>
      </w:r>
      <w:r>
        <w:rPr>
          <w:spacing w:val="-2"/>
        </w:rPr>
        <w:t> </w:t>
      </w:r>
      <w:r>
        <w:rPr/>
        <w:t>and</w:t>
      </w:r>
      <w:r>
        <w:rPr>
          <w:spacing w:val="-2"/>
        </w:rPr>
        <w:t> </w:t>
      </w:r>
      <w:r>
        <w:rPr/>
        <w:t>to what extent plans were developed that would initiate continuous improvement throughout the </w:t>
      </w:r>
      <w:r>
        <w:rPr>
          <w:spacing w:val="-2"/>
        </w:rPr>
        <w:t>system</w:t>
      </w:r>
    </w:p>
    <w:p>
      <w:pPr>
        <w:pStyle w:val="BodyText"/>
        <w:rPr>
          <w:sz w:val="21"/>
        </w:rPr>
      </w:pPr>
    </w:p>
    <w:p>
      <w:pPr>
        <w:pStyle w:val="BodyText"/>
        <w:ind w:left="1219" w:right="705"/>
      </w:pPr>
      <w:r>
        <w:rPr/>
        <w:t>Institutionalizing the above recommendations meant implementing a data management and assessment</w:t>
      </w:r>
      <w:r>
        <w:rPr>
          <w:spacing w:val="-6"/>
        </w:rPr>
        <w:t> </w:t>
      </w:r>
      <w:r>
        <w:rPr/>
        <w:t>system</w:t>
      </w:r>
      <w:r>
        <w:rPr>
          <w:spacing w:val="-1"/>
        </w:rPr>
        <w:t> </w:t>
      </w:r>
      <w:r>
        <w:rPr/>
        <w:t>for</w:t>
      </w:r>
      <w:r>
        <w:rPr>
          <w:spacing w:val="-5"/>
        </w:rPr>
        <w:t> </w:t>
      </w:r>
      <w:r>
        <w:rPr/>
        <w:t>the</w:t>
      </w:r>
      <w:r>
        <w:rPr>
          <w:spacing w:val="-6"/>
        </w:rPr>
        <w:t> </w:t>
      </w:r>
      <w:r>
        <w:rPr/>
        <w:t>purpose</w:t>
      </w:r>
      <w:r>
        <w:rPr>
          <w:spacing w:val="-4"/>
        </w:rPr>
        <w:t> </w:t>
      </w:r>
      <w:r>
        <w:rPr/>
        <w:t>of</w:t>
      </w:r>
      <w:r>
        <w:rPr>
          <w:spacing w:val="-4"/>
        </w:rPr>
        <w:t> </w:t>
      </w:r>
      <w:r>
        <w:rPr/>
        <w:t>continuous</w:t>
      </w:r>
      <w:r>
        <w:rPr>
          <w:spacing w:val="-2"/>
        </w:rPr>
        <w:t> </w:t>
      </w:r>
      <w:r>
        <w:rPr/>
        <w:t>improvement,</w:t>
      </w:r>
      <w:r>
        <w:rPr>
          <w:spacing w:val="-6"/>
        </w:rPr>
        <w:t> </w:t>
      </w:r>
      <w:r>
        <w:rPr/>
        <w:t>thus</w:t>
      </w:r>
      <w:r>
        <w:rPr>
          <w:spacing w:val="-5"/>
        </w:rPr>
        <w:t> </w:t>
      </w:r>
      <w:r>
        <w:rPr/>
        <w:t>addressing</w:t>
      </w:r>
      <w:r>
        <w:rPr>
          <w:spacing w:val="-4"/>
        </w:rPr>
        <w:t> </w:t>
      </w:r>
      <w:r>
        <w:rPr/>
        <w:t>the</w:t>
      </w:r>
      <w:r>
        <w:rPr>
          <w:spacing w:val="-6"/>
        </w:rPr>
        <w:t> </w:t>
      </w:r>
      <w:r>
        <w:rPr/>
        <w:t>Southern Association for Colleges and Schools (SACS) Core Requirement 2.5 (and SACS Resource Manual for the Principles of Accreditation: Foundations for Quality Enhancement, SC 3.3.1.1 [Student Learning Outcomes] March 2012):</w:t>
      </w:r>
    </w:p>
    <w:p>
      <w:pPr>
        <w:pStyle w:val="BodyText"/>
        <w:spacing w:before="10"/>
      </w:pPr>
    </w:p>
    <w:p>
      <w:pPr>
        <w:pStyle w:val="BodyText"/>
        <w:ind w:left="1219"/>
      </w:pPr>
      <w:r>
        <w:rPr/>
        <w:t>“The</w:t>
      </w:r>
      <w:r>
        <w:rPr>
          <w:spacing w:val="-5"/>
        </w:rPr>
        <w:t> </w:t>
      </w:r>
      <w:r>
        <w:rPr/>
        <w:t>institution</w:t>
      </w:r>
      <w:r>
        <w:rPr>
          <w:spacing w:val="-5"/>
        </w:rPr>
        <w:t> </w:t>
      </w:r>
      <w:r>
        <w:rPr/>
        <w:t>engages</w:t>
      </w:r>
      <w:r>
        <w:rPr>
          <w:spacing w:val="-4"/>
        </w:rPr>
        <w:t> </w:t>
      </w:r>
      <w:r>
        <w:rPr/>
        <w:t>in</w:t>
      </w:r>
      <w:r>
        <w:rPr>
          <w:spacing w:val="-3"/>
        </w:rPr>
        <w:t> </w:t>
      </w:r>
      <w:r>
        <w:rPr/>
        <w:t>ongoing,</w:t>
      </w:r>
      <w:r>
        <w:rPr>
          <w:spacing w:val="-5"/>
        </w:rPr>
        <w:t> </w:t>
      </w:r>
      <w:r>
        <w:rPr/>
        <w:t>integrated,</w:t>
      </w:r>
      <w:r>
        <w:rPr>
          <w:spacing w:val="-5"/>
        </w:rPr>
        <w:t> </w:t>
      </w:r>
      <w:r>
        <w:rPr/>
        <w:t>and</w:t>
      </w:r>
      <w:r>
        <w:rPr>
          <w:spacing w:val="-3"/>
        </w:rPr>
        <w:t> </w:t>
      </w:r>
      <w:r>
        <w:rPr/>
        <w:t>institution-wide</w:t>
      </w:r>
      <w:r>
        <w:rPr>
          <w:spacing w:val="-3"/>
        </w:rPr>
        <w:t> </w:t>
      </w:r>
      <w:r>
        <w:rPr/>
        <w:t>research-based</w:t>
      </w:r>
      <w:r>
        <w:rPr>
          <w:spacing w:val="-5"/>
        </w:rPr>
        <w:t> </w:t>
      </w:r>
      <w:r>
        <w:rPr/>
        <w:t>planning</w:t>
      </w:r>
      <w:r>
        <w:rPr>
          <w:spacing w:val="-5"/>
        </w:rPr>
        <w:t> </w:t>
      </w:r>
      <w:r>
        <w:rPr/>
        <w:t>and evaluation processes that (1) incorporate a systematic review of institutional mission, goals, and outcomes; (2) result in continuing improvement in institutional quality; and (3) demonstrate the institution is effectively accomplishing its mission. (Institutional Effectiveness)</w:t>
      </w:r>
    </w:p>
    <w:p>
      <w:pPr>
        <w:pStyle w:val="BodyText"/>
        <w:spacing w:before="9"/>
      </w:pPr>
    </w:p>
    <w:p>
      <w:pPr>
        <w:pStyle w:val="BodyText"/>
        <w:spacing w:before="1"/>
        <w:ind w:left="1219" w:right="499"/>
      </w:pPr>
      <w:r>
        <w:rPr/>
        <w:t>Institutionalization of this system also meant that a sustainable process would be in place that allowed</w:t>
      </w:r>
      <w:r>
        <w:rPr>
          <w:spacing w:val="-5"/>
        </w:rPr>
        <w:t> </w:t>
      </w:r>
      <w:r>
        <w:rPr/>
        <w:t>for</w:t>
      </w:r>
      <w:r>
        <w:rPr>
          <w:spacing w:val="-4"/>
        </w:rPr>
        <w:t> </w:t>
      </w:r>
      <w:r>
        <w:rPr/>
        <w:t>the</w:t>
      </w:r>
      <w:r>
        <w:rPr>
          <w:spacing w:val="-5"/>
        </w:rPr>
        <w:t> </w:t>
      </w:r>
      <w:r>
        <w:rPr/>
        <w:t>most</w:t>
      </w:r>
      <w:r>
        <w:rPr>
          <w:spacing w:val="-5"/>
        </w:rPr>
        <w:t> </w:t>
      </w:r>
      <w:r>
        <w:rPr/>
        <w:t>extensive</w:t>
      </w:r>
      <w:r>
        <w:rPr>
          <w:spacing w:val="-5"/>
        </w:rPr>
        <w:t> </w:t>
      </w:r>
      <w:r>
        <w:rPr/>
        <w:t>unit,</w:t>
      </w:r>
      <w:r>
        <w:rPr>
          <w:spacing w:val="-3"/>
        </w:rPr>
        <w:t> </w:t>
      </w:r>
      <w:r>
        <w:rPr/>
        <w:t>programmatic,</w:t>
      </w:r>
      <w:r>
        <w:rPr>
          <w:spacing w:val="-5"/>
        </w:rPr>
        <w:t> </w:t>
      </w:r>
      <w:r>
        <w:rPr/>
        <w:t>AND</w:t>
      </w:r>
      <w:r>
        <w:rPr>
          <w:spacing w:val="-5"/>
        </w:rPr>
        <w:t> </w:t>
      </w:r>
      <w:r>
        <w:rPr/>
        <w:t>institution-wide</w:t>
      </w:r>
      <w:r>
        <w:rPr>
          <w:spacing w:val="-5"/>
        </w:rPr>
        <w:t> </w:t>
      </w:r>
      <w:r>
        <w:rPr/>
        <w:t>reporting</w:t>
      </w:r>
      <w:r>
        <w:rPr>
          <w:spacing w:val="-3"/>
        </w:rPr>
        <w:t> </w:t>
      </w:r>
      <w:r>
        <w:rPr/>
        <w:t>and</w:t>
      </w:r>
      <w:r>
        <w:rPr>
          <w:spacing w:val="-5"/>
        </w:rPr>
        <w:t> </w:t>
      </w:r>
      <w:r>
        <w:rPr/>
        <w:t>monitoring of Student Learning Outcomes and Key Performance Indicators.</w:t>
      </w:r>
    </w:p>
    <w:p>
      <w:pPr>
        <w:spacing w:after="0"/>
        <w:sectPr>
          <w:pgSz w:w="12240" w:h="15840"/>
          <w:pgMar w:header="0" w:footer="974" w:top="1360" w:bottom="1160" w:left="940" w:right="960"/>
        </w:sectPr>
      </w:pPr>
    </w:p>
    <w:p>
      <w:pPr>
        <w:pStyle w:val="BodyText"/>
        <w:spacing w:before="77"/>
        <w:ind w:left="1220" w:right="634"/>
      </w:pPr>
      <w:r>
        <w:rPr/>
        <w:t>In conjunction with the Office of the Provost, research was conducted by a campus-wide committee</w:t>
      </w:r>
      <w:r>
        <w:rPr>
          <w:spacing w:val="-5"/>
        </w:rPr>
        <w:t> </w:t>
      </w:r>
      <w:r>
        <w:rPr/>
        <w:t>on</w:t>
      </w:r>
      <w:r>
        <w:rPr>
          <w:spacing w:val="-5"/>
        </w:rPr>
        <w:t> </w:t>
      </w:r>
      <w:r>
        <w:rPr/>
        <w:t>several</w:t>
      </w:r>
      <w:r>
        <w:rPr>
          <w:spacing w:val="-4"/>
        </w:rPr>
        <w:t> </w:t>
      </w:r>
      <w:r>
        <w:rPr/>
        <w:t>data management</w:t>
      </w:r>
      <w:r>
        <w:rPr>
          <w:spacing w:val="-5"/>
        </w:rPr>
        <w:t> </w:t>
      </w:r>
      <w:r>
        <w:rPr/>
        <w:t>systems.</w:t>
      </w:r>
      <w:r>
        <w:rPr>
          <w:spacing w:val="-7"/>
        </w:rPr>
        <w:t> </w:t>
      </w:r>
      <w:r>
        <w:rPr/>
        <w:t>TracDat</w:t>
      </w:r>
      <w:r>
        <w:rPr>
          <w:spacing w:val="-3"/>
        </w:rPr>
        <w:t> </w:t>
      </w:r>
      <w:r>
        <w:rPr/>
        <w:t>was</w:t>
      </w:r>
      <w:r>
        <w:rPr>
          <w:spacing w:val="-4"/>
        </w:rPr>
        <w:t> </w:t>
      </w:r>
      <w:r>
        <w:rPr/>
        <w:t>selected</w:t>
      </w:r>
      <w:r>
        <w:rPr>
          <w:spacing w:val="-3"/>
        </w:rPr>
        <w:t> </w:t>
      </w:r>
      <w:r>
        <w:rPr/>
        <w:t>and</w:t>
      </w:r>
      <w:r>
        <w:rPr>
          <w:spacing w:val="-3"/>
        </w:rPr>
        <w:t> </w:t>
      </w:r>
      <w:r>
        <w:rPr/>
        <w:t>an</w:t>
      </w:r>
      <w:r>
        <w:rPr>
          <w:spacing w:val="-3"/>
        </w:rPr>
        <w:t> </w:t>
      </w:r>
      <w:r>
        <w:rPr/>
        <w:t>Implementation Team was established in 2008 to implement the charge from the President.</w:t>
      </w:r>
      <w:r>
        <w:rPr>
          <w:spacing w:val="40"/>
        </w:rPr>
        <w:t> </w:t>
      </w:r>
      <w:r>
        <w:rPr/>
        <w:t>This team met and continues to meet every Wednesday morning throughout the academic year, including summers.</w:t>
      </w:r>
      <w:r>
        <w:rPr>
          <w:spacing w:val="80"/>
        </w:rPr>
        <w:t> </w:t>
      </w:r>
      <w:r>
        <w:rPr/>
        <w:t>The Team has:</w:t>
      </w:r>
    </w:p>
    <w:p>
      <w:pPr>
        <w:pStyle w:val="BodyText"/>
        <w:spacing w:before="8"/>
        <w:rPr>
          <w:sz w:val="25"/>
        </w:rPr>
      </w:pPr>
    </w:p>
    <w:p>
      <w:pPr>
        <w:pStyle w:val="ListParagraph"/>
        <w:numPr>
          <w:ilvl w:val="0"/>
          <w:numId w:val="18"/>
        </w:numPr>
        <w:tabs>
          <w:tab w:pos="1940" w:val="left" w:leader="none"/>
          <w:tab w:pos="1941" w:val="left" w:leader="none"/>
        </w:tabs>
        <w:spacing w:line="240" w:lineRule="auto" w:before="0" w:after="0"/>
        <w:ind w:left="1939" w:right="1719" w:hanging="720"/>
        <w:jc w:val="left"/>
        <w:rPr>
          <w:sz w:val="20"/>
        </w:rPr>
      </w:pPr>
      <w:r>
        <w:rPr>
          <w:sz w:val="20"/>
        </w:rPr>
        <w:t>Conducted</w:t>
      </w:r>
      <w:r>
        <w:rPr>
          <w:spacing w:val="-5"/>
          <w:sz w:val="20"/>
        </w:rPr>
        <w:t> </w:t>
      </w:r>
      <w:r>
        <w:rPr>
          <w:sz w:val="20"/>
        </w:rPr>
        <w:t>training</w:t>
      </w:r>
      <w:r>
        <w:rPr>
          <w:spacing w:val="-5"/>
          <w:sz w:val="20"/>
        </w:rPr>
        <w:t> </w:t>
      </w:r>
      <w:r>
        <w:rPr>
          <w:sz w:val="20"/>
        </w:rPr>
        <w:t>sessions</w:t>
      </w:r>
      <w:r>
        <w:rPr>
          <w:spacing w:val="-4"/>
          <w:sz w:val="20"/>
        </w:rPr>
        <w:t> </w:t>
      </w:r>
      <w:r>
        <w:rPr>
          <w:sz w:val="20"/>
        </w:rPr>
        <w:t>for</w:t>
      </w:r>
      <w:r>
        <w:rPr>
          <w:spacing w:val="-6"/>
          <w:sz w:val="20"/>
        </w:rPr>
        <w:t> </w:t>
      </w:r>
      <w:r>
        <w:rPr>
          <w:sz w:val="20"/>
        </w:rPr>
        <w:t>faculty</w:t>
      </w:r>
      <w:r>
        <w:rPr>
          <w:spacing w:val="-5"/>
          <w:sz w:val="20"/>
        </w:rPr>
        <w:t> </w:t>
      </w:r>
      <w:r>
        <w:rPr>
          <w:sz w:val="20"/>
        </w:rPr>
        <w:t>–</w:t>
      </w:r>
      <w:r>
        <w:rPr>
          <w:spacing w:val="-5"/>
          <w:sz w:val="20"/>
        </w:rPr>
        <w:t> </w:t>
      </w:r>
      <w:r>
        <w:rPr>
          <w:sz w:val="20"/>
        </w:rPr>
        <w:t>on</w:t>
      </w:r>
      <w:r>
        <w:rPr>
          <w:spacing w:val="-3"/>
          <w:sz w:val="20"/>
        </w:rPr>
        <w:t> </w:t>
      </w:r>
      <w:r>
        <w:rPr>
          <w:sz w:val="20"/>
        </w:rPr>
        <w:t>TracDat</w:t>
      </w:r>
      <w:r>
        <w:rPr>
          <w:spacing w:val="-5"/>
          <w:sz w:val="20"/>
        </w:rPr>
        <w:t> </w:t>
      </w:r>
      <w:r>
        <w:rPr>
          <w:sz w:val="20"/>
        </w:rPr>
        <w:t>and</w:t>
      </w:r>
      <w:r>
        <w:rPr>
          <w:spacing w:val="-5"/>
          <w:sz w:val="20"/>
        </w:rPr>
        <w:t> </w:t>
      </w:r>
      <w:r>
        <w:rPr>
          <w:sz w:val="20"/>
        </w:rPr>
        <w:t>Intended</w:t>
      </w:r>
      <w:r>
        <w:rPr>
          <w:spacing w:val="-3"/>
          <w:sz w:val="20"/>
        </w:rPr>
        <w:t> </w:t>
      </w:r>
      <w:r>
        <w:rPr>
          <w:sz w:val="20"/>
        </w:rPr>
        <w:t>Student- Learner Outcomes</w:t>
      </w:r>
    </w:p>
    <w:p>
      <w:pPr>
        <w:pStyle w:val="ListParagraph"/>
        <w:numPr>
          <w:ilvl w:val="0"/>
          <w:numId w:val="18"/>
        </w:numPr>
        <w:tabs>
          <w:tab w:pos="1939" w:val="left" w:leader="none"/>
          <w:tab w:pos="1940" w:val="left" w:leader="none"/>
        </w:tabs>
        <w:spacing w:line="240" w:lineRule="auto" w:before="13" w:after="0"/>
        <w:ind w:left="1939" w:right="0" w:hanging="721"/>
        <w:jc w:val="left"/>
        <w:rPr>
          <w:sz w:val="20"/>
        </w:rPr>
      </w:pPr>
      <w:r>
        <w:rPr>
          <w:sz w:val="20"/>
        </w:rPr>
        <w:t>Created</w:t>
      </w:r>
      <w:r>
        <w:rPr>
          <w:spacing w:val="-5"/>
          <w:sz w:val="20"/>
        </w:rPr>
        <w:t> </w:t>
      </w:r>
      <w:r>
        <w:rPr>
          <w:sz w:val="20"/>
        </w:rPr>
        <w:t>and</w:t>
      </w:r>
      <w:r>
        <w:rPr>
          <w:spacing w:val="-7"/>
          <w:sz w:val="20"/>
        </w:rPr>
        <w:t> </w:t>
      </w:r>
      <w:r>
        <w:rPr>
          <w:sz w:val="20"/>
        </w:rPr>
        <w:t>published</w:t>
      </w:r>
      <w:r>
        <w:rPr>
          <w:spacing w:val="-6"/>
          <w:sz w:val="20"/>
        </w:rPr>
        <w:t> </w:t>
      </w:r>
      <w:r>
        <w:rPr>
          <w:sz w:val="20"/>
        </w:rPr>
        <w:t>Tutorials</w:t>
      </w:r>
      <w:r>
        <w:rPr>
          <w:spacing w:val="-6"/>
          <w:sz w:val="20"/>
        </w:rPr>
        <w:t> </w:t>
      </w:r>
      <w:r>
        <w:rPr>
          <w:sz w:val="20"/>
        </w:rPr>
        <w:t>for</w:t>
      </w:r>
      <w:r>
        <w:rPr>
          <w:spacing w:val="-6"/>
          <w:sz w:val="20"/>
        </w:rPr>
        <w:t> </w:t>
      </w:r>
      <w:r>
        <w:rPr>
          <w:sz w:val="20"/>
        </w:rPr>
        <w:t>data</w:t>
      </w:r>
      <w:r>
        <w:rPr>
          <w:spacing w:val="-6"/>
          <w:sz w:val="20"/>
        </w:rPr>
        <w:t> </w:t>
      </w:r>
      <w:r>
        <w:rPr>
          <w:sz w:val="20"/>
        </w:rPr>
        <w:t>entry</w:t>
      </w:r>
      <w:r>
        <w:rPr>
          <w:spacing w:val="-8"/>
          <w:sz w:val="20"/>
        </w:rPr>
        <w:t> </w:t>
      </w:r>
      <w:r>
        <w:rPr>
          <w:sz w:val="20"/>
        </w:rPr>
        <w:t>into</w:t>
      </w:r>
      <w:r>
        <w:rPr>
          <w:spacing w:val="-6"/>
          <w:sz w:val="20"/>
        </w:rPr>
        <w:t> </w:t>
      </w:r>
      <w:r>
        <w:rPr>
          <w:spacing w:val="-2"/>
          <w:sz w:val="20"/>
        </w:rPr>
        <w:t>TracDat</w:t>
      </w:r>
    </w:p>
    <w:p>
      <w:pPr>
        <w:pStyle w:val="ListParagraph"/>
        <w:numPr>
          <w:ilvl w:val="0"/>
          <w:numId w:val="18"/>
        </w:numPr>
        <w:tabs>
          <w:tab w:pos="1940" w:val="left" w:leader="none"/>
          <w:tab w:pos="1941" w:val="left" w:leader="none"/>
        </w:tabs>
        <w:spacing w:line="240" w:lineRule="auto" w:before="12" w:after="0"/>
        <w:ind w:left="1940" w:right="0" w:hanging="721"/>
        <w:jc w:val="left"/>
        <w:rPr>
          <w:sz w:val="20"/>
        </w:rPr>
      </w:pPr>
      <w:r>
        <w:rPr>
          <w:sz w:val="20"/>
        </w:rPr>
        <w:t>Published</w:t>
      </w:r>
      <w:r>
        <w:rPr>
          <w:spacing w:val="-6"/>
          <w:sz w:val="20"/>
        </w:rPr>
        <w:t> </w:t>
      </w:r>
      <w:r>
        <w:rPr>
          <w:sz w:val="20"/>
        </w:rPr>
        <w:t>a</w:t>
      </w:r>
      <w:r>
        <w:rPr>
          <w:spacing w:val="-6"/>
          <w:sz w:val="20"/>
        </w:rPr>
        <w:t> </w:t>
      </w:r>
      <w:r>
        <w:rPr>
          <w:sz w:val="20"/>
        </w:rPr>
        <w:t>case-study</w:t>
      </w:r>
      <w:r>
        <w:rPr>
          <w:spacing w:val="-10"/>
          <w:sz w:val="20"/>
        </w:rPr>
        <w:t> </w:t>
      </w:r>
      <w:r>
        <w:rPr>
          <w:sz w:val="20"/>
        </w:rPr>
        <w:t>on</w:t>
      </w:r>
      <w:r>
        <w:rPr>
          <w:spacing w:val="-5"/>
          <w:sz w:val="20"/>
        </w:rPr>
        <w:t> </w:t>
      </w:r>
      <w:r>
        <w:rPr>
          <w:sz w:val="20"/>
        </w:rPr>
        <w:t>the</w:t>
      </w:r>
      <w:r>
        <w:rPr>
          <w:spacing w:val="-7"/>
          <w:sz w:val="20"/>
        </w:rPr>
        <w:t> </w:t>
      </w:r>
      <w:r>
        <w:rPr>
          <w:sz w:val="20"/>
        </w:rPr>
        <w:t>Implementation</w:t>
      </w:r>
      <w:r>
        <w:rPr>
          <w:spacing w:val="-6"/>
          <w:sz w:val="20"/>
        </w:rPr>
        <w:t> </w:t>
      </w:r>
      <w:r>
        <w:rPr>
          <w:sz w:val="20"/>
        </w:rPr>
        <w:t>of</w:t>
      </w:r>
      <w:r>
        <w:rPr>
          <w:spacing w:val="-5"/>
          <w:sz w:val="20"/>
        </w:rPr>
        <w:t> </w:t>
      </w:r>
      <w:r>
        <w:rPr>
          <w:spacing w:val="-2"/>
          <w:sz w:val="20"/>
        </w:rPr>
        <w:t>TracDat</w:t>
      </w:r>
    </w:p>
    <w:p>
      <w:pPr>
        <w:pStyle w:val="ListParagraph"/>
        <w:numPr>
          <w:ilvl w:val="0"/>
          <w:numId w:val="18"/>
        </w:numPr>
        <w:tabs>
          <w:tab w:pos="1940" w:val="left" w:leader="none"/>
          <w:tab w:pos="1941" w:val="left" w:leader="none"/>
        </w:tabs>
        <w:spacing w:line="240" w:lineRule="auto" w:before="15" w:after="0"/>
        <w:ind w:left="1940" w:right="0" w:hanging="721"/>
        <w:jc w:val="left"/>
        <w:rPr>
          <w:sz w:val="20"/>
        </w:rPr>
      </w:pPr>
      <w:r>
        <w:rPr>
          <w:sz w:val="20"/>
        </w:rPr>
        <w:t>Established</w:t>
      </w:r>
      <w:r>
        <w:rPr>
          <w:spacing w:val="-10"/>
          <w:sz w:val="20"/>
        </w:rPr>
        <w:t> </w:t>
      </w:r>
      <w:r>
        <w:rPr>
          <w:sz w:val="20"/>
        </w:rPr>
        <w:t>and</w:t>
      </w:r>
      <w:r>
        <w:rPr>
          <w:spacing w:val="-9"/>
          <w:sz w:val="20"/>
        </w:rPr>
        <w:t> </w:t>
      </w:r>
      <w:r>
        <w:rPr>
          <w:sz w:val="20"/>
        </w:rPr>
        <w:t>trained</w:t>
      </w:r>
      <w:r>
        <w:rPr>
          <w:spacing w:val="-8"/>
          <w:sz w:val="20"/>
        </w:rPr>
        <w:t> </w:t>
      </w:r>
      <w:r>
        <w:rPr>
          <w:sz w:val="20"/>
        </w:rPr>
        <w:t>Assessment</w:t>
      </w:r>
      <w:r>
        <w:rPr>
          <w:spacing w:val="-9"/>
          <w:sz w:val="20"/>
        </w:rPr>
        <w:t> </w:t>
      </w:r>
      <w:r>
        <w:rPr>
          <w:sz w:val="20"/>
        </w:rPr>
        <w:t>Facilitators</w:t>
      </w:r>
      <w:r>
        <w:rPr>
          <w:spacing w:val="-9"/>
          <w:sz w:val="20"/>
        </w:rPr>
        <w:t> </w:t>
      </w:r>
      <w:r>
        <w:rPr>
          <w:sz w:val="20"/>
        </w:rPr>
        <w:t>throughout</w:t>
      </w:r>
      <w:r>
        <w:rPr>
          <w:spacing w:val="-9"/>
          <w:sz w:val="20"/>
        </w:rPr>
        <w:t> </w:t>
      </w:r>
      <w:r>
        <w:rPr>
          <w:sz w:val="20"/>
        </w:rPr>
        <w:t>all</w:t>
      </w:r>
      <w:r>
        <w:rPr>
          <w:spacing w:val="-8"/>
          <w:sz w:val="20"/>
        </w:rPr>
        <w:t> </w:t>
      </w:r>
      <w:r>
        <w:rPr>
          <w:sz w:val="20"/>
        </w:rPr>
        <w:t>academic</w:t>
      </w:r>
      <w:r>
        <w:rPr>
          <w:spacing w:val="-9"/>
          <w:sz w:val="20"/>
        </w:rPr>
        <w:t> </w:t>
      </w:r>
      <w:r>
        <w:rPr>
          <w:spacing w:val="-2"/>
          <w:sz w:val="20"/>
        </w:rPr>
        <w:t>units</w:t>
      </w:r>
    </w:p>
    <w:p>
      <w:pPr>
        <w:pStyle w:val="ListParagraph"/>
        <w:numPr>
          <w:ilvl w:val="0"/>
          <w:numId w:val="18"/>
        </w:numPr>
        <w:tabs>
          <w:tab w:pos="1940" w:val="left" w:leader="none"/>
          <w:tab w:pos="1941" w:val="left" w:leader="none"/>
        </w:tabs>
        <w:spacing w:line="240" w:lineRule="auto" w:before="12" w:after="0"/>
        <w:ind w:left="1940" w:right="1384" w:hanging="721"/>
        <w:jc w:val="left"/>
        <w:rPr>
          <w:sz w:val="20"/>
        </w:rPr>
      </w:pPr>
      <w:r>
        <w:rPr>
          <w:sz w:val="20"/>
        </w:rPr>
        <w:t>Established</w:t>
      </w:r>
      <w:r>
        <w:rPr>
          <w:spacing w:val="-5"/>
          <w:sz w:val="20"/>
        </w:rPr>
        <w:t> </w:t>
      </w:r>
      <w:r>
        <w:rPr>
          <w:sz w:val="20"/>
        </w:rPr>
        <w:t>and</w:t>
      </w:r>
      <w:r>
        <w:rPr>
          <w:spacing w:val="-5"/>
          <w:sz w:val="20"/>
        </w:rPr>
        <w:t> </w:t>
      </w:r>
      <w:r>
        <w:rPr>
          <w:sz w:val="20"/>
        </w:rPr>
        <w:t>trained</w:t>
      </w:r>
      <w:r>
        <w:rPr>
          <w:spacing w:val="-3"/>
          <w:sz w:val="20"/>
        </w:rPr>
        <w:t> </w:t>
      </w:r>
      <w:r>
        <w:rPr>
          <w:sz w:val="20"/>
        </w:rPr>
        <w:t>a</w:t>
      </w:r>
      <w:r>
        <w:rPr>
          <w:spacing w:val="-5"/>
          <w:sz w:val="20"/>
        </w:rPr>
        <w:t> </w:t>
      </w:r>
      <w:r>
        <w:rPr>
          <w:sz w:val="20"/>
        </w:rPr>
        <w:t>TracDat</w:t>
      </w:r>
      <w:r>
        <w:rPr>
          <w:spacing w:val="-5"/>
          <w:sz w:val="20"/>
        </w:rPr>
        <w:t> </w:t>
      </w:r>
      <w:r>
        <w:rPr>
          <w:sz w:val="20"/>
        </w:rPr>
        <w:t>Oversight</w:t>
      </w:r>
      <w:r>
        <w:rPr>
          <w:spacing w:val="-3"/>
          <w:sz w:val="20"/>
        </w:rPr>
        <w:t> </w:t>
      </w:r>
      <w:r>
        <w:rPr>
          <w:sz w:val="20"/>
        </w:rPr>
        <w:t>Committee</w:t>
      </w:r>
      <w:r>
        <w:rPr>
          <w:spacing w:val="-5"/>
          <w:sz w:val="20"/>
        </w:rPr>
        <w:t> </w:t>
      </w:r>
      <w:r>
        <w:rPr>
          <w:sz w:val="20"/>
        </w:rPr>
        <w:t>to</w:t>
      </w:r>
      <w:r>
        <w:rPr>
          <w:spacing w:val="-5"/>
          <w:sz w:val="20"/>
        </w:rPr>
        <w:t> </w:t>
      </w:r>
      <w:r>
        <w:rPr>
          <w:sz w:val="20"/>
        </w:rPr>
        <w:t>monitor</w:t>
      </w:r>
      <w:r>
        <w:rPr>
          <w:spacing w:val="-4"/>
          <w:sz w:val="20"/>
        </w:rPr>
        <w:t> </w:t>
      </w:r>
      <w:r>
        <w:rPr>
          <w:sz w:val="20"/>
        </w:rPr>
        <w:t>correct</w:t>
      </w:r>
      <w:r>
        <w:rPr>
          <w:spacing w:val="-5"/>
          <w:sz w:val="20"/>
        </w:rPr>
        <w:t> </w:t>
      </w:r>
      <w:r>
        <w:rPr>
          <w:sz w:val="20"/>
        </w:rPr>
        <w:t>data </w:t>
      </w:r>
      <w:r>
        <w:rPr>
          <w:spacing w:val="-2"/>
          <w:sz w:val="20"/>
        </w:rPr>
        <w:t>entry</w:t>
      </w:r>
    </w:p>
    <w:p>
      <w:pPr>
        <w:pStyle w:val="ListParagraph"/>
        <w:numPr>
          <w:ilvl w:val="0"/>
          <w:numId w:val="18"/>
        </w:numPr>
        <w:tabs>
          <w:tab w:pos="1940" w:val="left" w:leader="none"/>
          <w:tab w:pos="1941" w:val="left" w:leader="none"/>
        </w:tabs>
        <w:spacing w:line="240" w:lineRule="auto" w:before="16" w:after="0"/>
        <w:ind w:left="1940" w:right="0" w:hanging="721"/>
        <w:jc w:val="left"/>
        <w:rPr>
          <w:sz w:val="20"/>
        </w:rPr>
      </w:pPr>
      <w:r>
        <w:rPr>
          <w:sz w:val="20"/>
        </w:rPr>
        <w:t>Held</w:t>
      </w:r>
      <w:r>
        <w:rPr>
          <w:spacing w:val="-7"/>
          <w:sz w:val="20"/>
        </w:rPr>
        <w:t> </w:t>
      </w:r>
      <w:r>
        <w:rPr>
          <w:sz w:val="20"/>
        </w:rPr>
        <w:t>TracDat</w:t>
      </w:r>
      <w:r>
        <w:rPr>
          <w:spacing w:val="-7"/>
          <w:sz w:val="20"/>
        </w:rPr>
        <w:t> </w:t>
      </w:r>
      <w:r>
        <w:rPr>
          <w:sz w:val="20"/>
        </w:rPr>
        <w:t>workshops</w:t>
      </w:r>
      <w:r>
        <w:rPr>
          <w:spacing w:val="-7"/>
          <w:sz w:val="20"/>
        </w:rPr>
        <w:t> </w:t>
      </w:r>
      <w:r>
        <w:rPr>
          <w:sz w:val="20"/>
        </w:rPr>
        <w:t>during</w:t>
      </w:r>
      <w:r>
        <w:rPr>
          <w:spacing w:val="-8"/>
          <w:sz w:val="20"/>
        </w:rPr>
        <w:t> </w:t>
      </w:r>
      <w:r>
        <w:rPr>
          <w:sz w:val="20"/>
        </w:rPr>
        <w:t>faculty</w:t>
      </w:r>
      <w:r>
        <w:rPr>
          <w:spacing w:val="-9"/>
          <w:sz w:val="20"/>
        </w:rPr>
        <w:t> </w:t>
      </w:r>
      <w:r>
        <w:rPr>
          <w:spacing w:val="-2"/>
          <w:sz w:val="20"/>
        </w:rPr>
        <w:t>Institutes</w:t>
      </w:r>
    </w:p>
    <w:p>
      <w:pPr>
        <w:pStyle w:val="ListParagraph"/>
        <w:numPr>
          <w:ilvl w:val="0"/>
          <w:numId w:val="18"/>
        </w:numPr>
        <w:tabs>
          <w:tab w:pos="1940" w:val="left" w:leader="none"/>
          <w:tab w:pos="1941" w:val="left" w:leader="none"/>
        </w:tabs>
        <w:spacing w:line="240" w:lineRule="auto" w:before="12" w:after="0"/>
        <w:ind w:left="1940" w:right="1652" w:hanging="721"/>
        <w:jc w:val="left"/>
        <w:rPr>
          <w:sz w:val="20"/>
        </w:rPr>
      </w:pPr>
      <w:r>
        <w:rPr>
          <w:sz w:val="20"/>
        </w:rPr>
        <w:t>Appointed</w:t>
      </w:r>
      <w:r>
        <w:rPr>
          <w:spacing w:val="-5"/>
          <w:sz w:val="20"/>
        </w:rPr>
        <w:t> </w:t>
      </w:r>
      <w:r>
        <w:rPr>
          <w:sz w:val="20"/>
        </w:rPr>
        <w:t>school</w:t>
      </w:r>
      <w:r>
        <w:rPr>
          <w:spacing w:val="-5"/>
          <w:sz w:val="20"/>
        </w:rPr>
        <w:t> </w:t>
      </w:r>
      <w:r>
        <w:rPr>
          <w:sz w:val="20"/>
        </w:rPr>
        <w:t>representatives</w:t>
      </w:r>
      <w:r>
        <w:rPr>
          <w:spacing w:val="-5"/>
          <w:sz w:val="20"/>
        </w:rPr>
        <w:t> </w:t>
      </w:r>
      <w:r>
        <w:rPr>
          <w:sz w:val="20"/>
        </w:rPr>
        <w:t>to</w:t>
      </w:r>
      <w:r>
        <w:rPr>
          <w:spacing w:val="-5"/>
          <w:sz w:val="20"/>
        </w:rPr>
        <w:t> </w:t>
      </w:r>
      <w:r>
        <w:rPr>
          <w:sz w:val="20"/>
        </w:rPr>
        <w:t>attend</w:t>
      </w:r>
      <w:r>
        <w:rPr>
          <w:spacing w:val="-6"/>
          <w:sz w:val="20"/>
        </w:rPr>
        <w:t> </w:t>
      </w:r>
      <w:r>
        <w:rPr>
          <w:sz w:val="20"/>
        </w:rPr>
        <w:t>TracDat</w:t>
      </w:r>
      <w:r>
        <w:rPr>
          <w:spacing w:val="-6"/>
          <w:sz w:val="20"/>
        </w:rPr>
        <w:t> </w:t>
      </w:r>
      <w:r>
        <w:rPr>
          <w:sz w:val="20"/>
        </w:rPr>
        <w:t>Planning</w:t>
      </w:r>
      <w:r>
        <w:rPr>
          <w:spacing w:val="-6"/>
          <w:sz w:val="20"/>
        </w:rPr>
        <w:t> </w:t>
      </w:r>
      <w:r>
        <w:rPr>
          <w:sz w:val="20"/>
        </w:rPr>
        <w:t>meetings</w:t>
      </w:r>
      <w:r>
        <w:rPr>
          <w:spacing w:val="-5"/>
          <w:sz w:val="20"/>
        </w:rPr>
        <w:t> </w:t>
      </w:r>
      <w:r>
        <w:rPr>
          <w:sz w:val="20"/>
        </w:rPr>
        <w:t>once </w:t>
      </w:r>
      <w:r>
        <w:rPr>
          <w:spacing w:val="-2"/>
          <w:sz w:val="20"/>
        </w:rPr>
        <w:t>monthly.</w:t>
      </w:r>
    </w:p>
    <w:p>
      <w:pPr>
        <w:pStyle w:val="ListParagraph"/>
        <w:numPr>
          <w:ilvl w:val="0"/>
          <w:numId w:val="18"/>
        </w:numPr>
        <w:tabs>
          <w:tab w:pos="1940" w:val="left" w:leader="none"/>
          <w:tab w:pos="1941" w:val="left" w:leader="none"/>
        </w:tabs>
        <w:spacing w:line="240" w:lineRule="auto" w:before="13" w:after="0"/>
        <w:ind w:left="1940" w:right="1630" w:hanging="721"/>
        <w:jc w:val="left"/>
        <w:rPr>
          <w:sz w:val="20"/>
        </w:rPr>
      </w:pPr>
      <w:r>
        <w:rPr>
          <w:sz w:val="20"/>
        </w:rPr>
        <w:t>Coordinated the academic deans in the establishment of core standards for measuring Key Performance Indicators: 1) Increased Research, 2) Quality Teaching,</w:t>
      </w:r>
      <w:r>
        <w:rPr>
          <w:spacing w:val="-6"/>
          <w:sz w:val="20"/>
        </w:rPr>
        <w:t> </w:t>
      </w:r>
      <w:r>
        <w:rPr>
          <w:sz w:val="20"/>
        </w:rPr>
        <w:t>3)</w:t>
      </w:r>
      <w:r>
        <w:rPr>
          <w:spacing w:val="-3"/>
          <w:sz w:val="20"/>
        </w:rPr>
        <w:t> </w:t>
      </w:r>
      <w:r>
        <w:rPr>
          <w:sz w:val="20"/>
        </w:rPr>
        <w:t>Student</w:t>
      </w:r>
      <w:r>
        <w:rPr>
          <w:spacing w:val="-6"/>
          <w:sz w:val="20"/>
        </w:rPr>
        <w:t> </w:t>
      </w:r>
      <w:r>
        <w:rPr>
          <w:sz w:val="20"/>
        </w:rPr>
        <w:t>Recruitment,</w:t>
      </w:r>
      <w:r>
        <w:rPr>
          <w:spacing w:val="-6"/>
          <w:sz w:val="20"/>
        </w:rPr>
        <w:t> </w:t>
      </w:r>
      <w:r>
        <w:rPr>
          <w:sz w:val="20"/>
        </w:rPr>
        <w:t>4)</w:t>
      </w:r>
      <w:r>
        <w:rPr>
          <w:spacing w:val="-5"/>
          <w:sz w:val="20"/>
        </w:rPr>
        <w:t> </w:t>
      </w:r>
      <w:r>
        <w:rPr>
          <w:sz w:val="20"/>
        </w:rPr>
        <w:t>Increased</w:t>
      </w:r>
      <w:r>
        <w:rPr>
          <w:spacing w:val="-6"/>
          <w:sz w:val="20"/>
        </w:rPr>
        <w:t> </w:t>
      </w:r>
      <w:r>
        <w:rPr>
          <w:sz w:val="20"/>
        </w:rPr>
        <w:t>Fundraising,</w:t>
      </w:r>
      <w:r>
        <w:rPr>
          <w:spacing w:val="-6"/>
          <w:sz w:val="20"/>
        </w:rPr>
        <w:t> </w:t>
      </w:r>
      <w:r>
        <w:rPr>
          <w:sz w:val="20"/>
        </w:rPr>
        <w:t>and</w:t>
      </w:r>
      <w:r>
        <w:rPr>
          <w:spacing w:val="-4"/>
          <w:sz w:val="20"/>
        </w:rPr>
        <w:t> </w:t>
      </w:r>
      <w:r>
        <w:rPr>
          <w:sz w:val="20"/>
        </w:rPr>
        <w:t>5)</w:t>
      </w:r>
      <w:r>
        <w:rPr>
          <w:spacing w:val="-5"/>
          <w:sz w:val="20"/>
        </w:rPr>
        <w:t> </w:t>
      </w:r>
      <w:r>
        <w:rPr>
          <w:sz w:val="20"/>
        </w:rPr>
        <w:t>Service.</w:t>
      </w:r>
    </w:p>
    <w:p>
      <w:pPr>
        <w:pStyle w:val="BodyText"/>
        <w:spacing w:before="4"/>
        <w:rPr>
          <w:sz w:val="24"/>
        </w:rPr>
      </w:pPr>
    </w:p>
    <w:p>
      <w:pPr>
        <w:pStyle w:val="BodyText"/>
        <w:ind w:left="500"/>
      </w:pPr>
      <w:r>
        <w:rPr/>
        <w:t>Fall</w:t>
      </w:r>
      <w:r>
        <w:rPr>
          <w:spacing w:val="-6"/>
        </w:rPr>
        <w:t> </w:t>
      </w:r>
      <w:r>
        <w:rPr/>
        <w:t>2013</w:t>
      </w:r>
      <w:r>
        <w:rPr>
          <w:spacing w:val="-6"/>
        </w:rPr>
        <w:t> </w:t>
      </w:r>
      <w:r>
        <w:rPr>
          <w:spacing w:val="-2"/>
        </w:rPr>
        <w:t>Update</w:t>
      </w:r>
    </w:p>
    <w:p>
      <w:pPr>
        <w:pStyle w:val="BodyText"/>
        <w:spacing w:before="10"/>
      </w:pPr>
    </w:p>
    <w:p>
      <w:pPr>
        <w:pStyle w:val="BodyText"/>
        <w:ind w:left="1220"/>
      </w:pPr>
      <w:r>
        <w:rPr/>
        <w:t>To</w:t>
      </w:r>
      <w:r>
        <w:rPr>
          <w:spacing w:val="-5"/>
        </w:rPr>
        <w:t> </w:t>
      </w:r>
      <w:r>
        <w:rPr/>
        <w:t>date,</w:t>
      </w:r>
      <w:r>
        <w:rPr>
          <w:spacing w:val="-5"/>
        </w:rPr>
        <w:t> </w:t>
      </w:r>
      <w:r>
        <w:rPr/>
        <w:t>October</w:t>
      </w:r>
      <w:r>
        <w:rPr>
          <w:spacing w:val="-4"/>
        </w:rPr>
        <w:t> </w:t>
      </w:r>
      <w:r>
        <w:rPr/>
        <w:t>2013,</w:t>
      </w:r>
      <w:r>
        <w:rPr>
          <w:spacing w:val="-5"/>
        </w:rPr>
        <w:t> </w:t>
      </w:r>
      <w:r>
        <w:rPr/>
        <w:t>the</w:t>
      </w:r>
      <w:r>
        <w:rPr>
          <w:spacing w:val="-3"/>
        </w:rPr>
        <w:t> </w:t>
      </w:r>
      <w:r>
        <w:rPr/>
        <w:t>University’s</w:t>
      </w:r>
      <w:r>
        <w:rPr>
          <w:spacing w:val="-4"/>
        </w:rPr>
        <w:t> </w:t>
      </w:r>
      <w:r>
        <w:rPr/>
        <w:t>Data</w:t>
      </w:r>
      <w:r>
        <w:rPr>
          <w:spacing w:val="-3"/>
        </w:rPr>
        <w:t> </w:t>
      </w:r>
      <w:r>
        <w:rPr/>
        <w:t>Management</w:t>
      </w:r>
      <w:r>
        <w:rPr>
          <w:spacing w:val="-5"/>
        </w:rPr>
        <w:t> </w:t>
      </w:r>
      <w:r>
        <w:rPr/>
        <w:t>and</w:t>
      </w:r>
      <w:r>
        <w:rPr>
          <w:spacing w:val="-3"/>
        </w:rPr>
        <w:t> </w:t>
      </w:r>
      <w:r>
        <w:rPr/>
        <w:t>Assessment</w:t>
      </w:r>
      <w:r>
        <w:rPr>
          <w:spacing w:val="-5"/>
        </w:rPr>
        <w:t> </w:t>
      </w:r>
      <w:r>
        <w:rPr/>
        <w:t>System has</w:t>
      </w:r>
      <w:r>
        <w:rPr>
          <w:spacing w:val="-4"/>
        </w:rPr>
        <w:t> </w:t>
      </w:r>
      <w:r>
        <w:rPr/>
        <w:t>become </w:t>
      </w:r>
      <w:r>
        <w:rPr>
          <w:spacing w:val="-2"/>
        </w:rPr>
        <w:t>institutionalized.</w:t>
      </w:r>
    </w:p>
    <w:p>
      <w:pPr>
        <w:pStyle w:val="BodyText"/>
        <w:spacing w:before="9"/>
        <w:rPr>
          <w:sz w:val="25"/>
        </w:rPr>
      </w:pPr>
    </w:p>
    <w:p>
      <w:pPr>
        <w:pStyle w:val="ListParagraph"/>
        <w:numPr>
          <w:ilvl w:val="0"/>
          <w:numId w:val="18"/>
        </w:numPr>
        <w:tabs>
          <w:tab w:pos="1940" w:val="left" w:leader="none"/>
          <w:tab w:pos="1941" w:val="left" w:leader="none"/>
        </w:tabs>
        <w:spacing w:line="240" w:lineRule="auto" w:before="0" w:after="0"/>
        <w:ind w:left="1940" w:right="1708" w:hanging="721"/>
        <w:jc w:val="both"/>
        <w:rPr>
          <w:sz w:val="20"/>
        </w:rPr>
      </w:pPr>
      <w:r>
        <w:rPr>
          <w:sz w:val="20"/>
        </w:rPr>
        <w:t>All</w:t>
      </w:r>
      <w:r>
        <w:rPr>
          <w:spacing w:val="-1"/>
          <w:sz w:val="20"/>
        </w:rPr>
        <w:t> </w:t>
      </w:r>
      <w:r>
        <w:rPr>
          <w:sz w:val="20"/>
        </w:rPr>
        <w:t>Academic and Non-Academic Units are submitting updated data on Key Performance</w:t>
      </w:r>
      <w:r>
        <w:rPr>
          <w:spacing w:val="-6"/>
          <w:sz w:val="20"/>
        </w:rPr>
        <w:t> </w:t>
      </w:r>
      <w:r>
        <w:rPr>
          <w:sz w:val="20"/>
        </w:rPr>
        <w:t>Indicators</w:t>
      </w:r>
      <w:r>
        <w:rPr>
          <w:spacing w:val="-6"/>
          <w:sz w:val="20"/>
        </w:rPr>
        <w:t> </w:t>
      </w:r>
      <w:r>
        <w:rPr>
          <w:sz w:val="20"/>
        </w:rPr>
        <w:t>and</w:t>
      </w:r>
      <w:r>
        <w:rPr>
          <w:spacing w:val="-6"/>
          <w:sz w:val="20"/>
        </w:rPr>
        <w:t> </w:t>
      </w:r>
      <w:r>
        <w:rPr>
          <w:sz w:val="20"/>
        </w:rPr>
        <w:t>Intended</w:t>
      </w:r>
      <w:r>
        <w:rPr>
          <w:spacing w:val="-5"/>
          <w:sz w:val="20"/>
        </w:rPr>
        <w:t> </w:t>
      </w:r>
      <w:r>
        <w:rPr>
          <w:sz w:val="20"/>
        </w:rPr>
        <w:t>Student-Learning</w:t>
      </w:r>
      <w:r>
        <w:rPr>
          <w:spacing w:val="-6"/>
          <w:sz w:val="20"/>
        </w:rPr>
        <w:t> </w:t>
      </w:r>
      <w:r>
        <w:rPr>
          <w:sz w:val="20"/>
        </w:rPr>
        <w:t>Outcomes</w:t>
      </w:r>
      <w:r>
        <w:rPr>
          <w:spacing w:val="-6"/>
          <w:sz w:val="20"/>
        </w:rPr>
        <w:t> </w:t>
      </w:r>
      <w:r>
        <w:rPr>
          <w:sz w:val="20"/>
        </w:rPr>
        <w:t>every</w:t>
      </w:r>
      <w:r>
        <w:rPr>
          <w:spacing w:val="-9"/>
          <w:sz w:val="20"/>
        </w:rPr>
        <w:t> </w:t>
      </w:r>
      <w:r>
        <w:rPr>
          <w:sz w:val="20"/>
        </w:rPr>
        <w:t>six </w:t>
      </w:r>
      <w:r>
        <w:rPr>
          <w:spacing w:val="-2"/>
          <w:sz w:val="20"/>
        </w:rPr>
        <w:t>months</w:t>
      </w:r>
    </w:p>
    <w:p>
      <w:pPr>
        <w:pStyle w:val="ListParagraph"/>
        <w:numPr>
          <w:ilvl w:val="0"/>
          <w:numId w:val="18"/>
        </w:numPr>
        <w:tabs>
          <w:tab w:pos="1940" w:val="left" w:leader="none"/>
          <w:tab w:pos="1941" w:val="left" w:leader="none"/>
        </w:tabs>
        <w:spacing w:line="240" w:lineRule="auto" w:before="11" w:after="0"/>
        <w:ind w:left="1940" w:right="1230" w:hanging="721"/>
        <w:jc w:val="left"/>
        <w:rPr>
          <w:sz w:val="20"/>
        </w:rPr>
      </w:pPr>
      <w:r>
        <w:rPr>
          <w:sz w:val="20"/>
        </w:rPr>
        <w:t>The</w:t>
      </w:r>
      <w:r>
        <w:rPr>
          <w:spacing w:val="-5"/>
          <w:sz w:val="20"/>
        </w:rPr>
        <w:t> </w:t>
      </w:r>
      <w:r>
        <w:rPr>
          <w:sz w:val="20"/>
        </w:rPr>
        <w:t>system</w:t>
      </w:r>
      <w:r>
        <w:rPr>
          <w:spacing w:val="-1"/>
          <w:sz w:val="20"/>
        </w:rPr>
        <w:t> </w:t>
      </w:r>
      <w:r>
        <w:rPr>
          <w:sz w:val="20"/>
        </w:rPr>
        <w:t>is</w:t>
      </w:r>
      <w:r>
        <w:rPr>
          <w:spacing w:val="-4"/>
          <w:sz w:val="20"/>
        </w:rPr>
        <w:t> </w:t>
      </w:r>
      <w:r>
        <w:rPr>
          <w:sz w:val="20"/>
        </w:rPr>
        <w:t>designed</w:t>
      </w:r>
      <w:r>
        <w:rPr>
          <w:spacing w:val="-3"/>
          <w:sz w:val="20"/>
        </w:rPr>
        <w:t> </w:t>
      </w:r>
      <w:r>
        <w:rPr>
          <w:sz w:val="20"/>
        </w:rPr>
        <w:t>to</w:t>
      </w:r>
      <w:r>
        <w:rPr>
          <w:spacing w:val="-3"/>
          <w:sz w:val="20"/>
        </w:rPr>
        <w:t> </w:t>
      </w:r>
      <w:r>
        <w:rPr>
          <w:sz w:val="20"/>
        </w:rPr>
        <w:t>incorporate</w:t>
      </w:r>
      <w:r>
        <w:rPr>
          <w:spacing w:val="-3"/>
          <w:sz w:val="20"/>
        </w:rPr>
        <w:t> </w:t>
      </w:r>
      <w:r>
        <w:rPr>
          <w:sz w:val="20"/>
        </w:rPr>
        <w:t>and</w:t>
      </w:r>
      <w:r>
        <w:rPr>
          <w:spacing w:val="-5"/>
          <w:sz w:val="20"/>
        </w:rPr>
        <w:t> </w:t>
      </w:r>
      <w:r>
        <w:rPr>
          <w:sz w:val="20"/>
        </w:rPr>
        <w:t>report</w:t>
      </w:r>
      <w:r>
        <w:rPr>
          <w:spacing w:val="-5"/>
          <w:sz w:val="20"/>
        </w:rPr>
        <w:t> </w:t>
      </w:r>
      <w:r>
        <w:rPr>
          <w:sz w:val="20"/>
        </w:rPr>
        <w:t>annually</w:t>
      </w:r>
      <w:r>
        <w:rPr>
          <w:spacing w:val="-6"/>
          <w:sz w:val="20"/>
        </w:rPr>
        <w:t> </w:t>
      </w:r>
      <w:r>
        <w:rPr>
          <w:sz w:val="20"/>
        </w:rPr>
        <w:t>on</w:t>
      </w:r>
      <w:r>
        <w:rPr>
          <w:spacing w:val="-5"/>
          <w:sz w:val="20"/>
        </w:rPr>
        <w:t> </w:t>
      </w:r>
      <w:r>
        <w:rPr>
          <w:sz w:val="20"/>
        </w:rPr>
        <w:t>the</w:t>
      </w:r>
      <w:r>
        <w:rPr>
          <w:spacing w:val="-3"/>
          <w:sz w:val="20"/>
        </w:rPr>
        <w:t> </w:t>
      </w:r>
      <w:r>
        <w:rPr>
          <w:sz w:val="20"/>
        </w:rPr>
        <w:t>implementation of the University’s Strategic Plan</w:t>
      </w:r>
    </w:p>
    <w:p>
      <w:pPr>
        <w:pStyle w:val="ListParagraph"/>
        <w:numPr>
          <w:ilvl w:val="0"/>
          <w:numId w:val="18"/>
        </w:numPr>
        <w:tabs>
          <w:tab w:pos="1940" w:val="left" w:leader="none"/>
          <w:tab w:pos="1941" w:val="left" w:leader="none"/>
        </w:tabs>
        <w:spacing w:line="240" w:lineRule="auto" w:before="15" w:after="0"/>
        <w:ind w:left="1940" w:right="1751" w:hanging="721"/>
        <w:jc w:val="left"/>
        <w:rPr>
          <w:sz w:val="20"/>
        </w:rPr>
      </w:pPr>
      <w:r>
        <w:rPr>
          <w:sz w:val="20"/>
        </w:rPr>
        <w:t>Data</w:t>
      </w:r>
      <w:r>
        <w:rPr>
          <w:spacing w:val="-3"/>
          <w:sz w:val="20"/>
        </w:rPr>
        <w:t> </w:t>
      </w:r>
      <w:r>
        <w:rPr>
          <w:sz w:val="20"/>
        </w:rPr>
        <w:t>in</w:t>
      </w:r>
      <w:r>
        <w:rPr>
          <w:spacing w:val="-5"/>
          <w:sz w:val="20"/>
        </w:rPr>
        <w:t> </w:t>
      </w:r>
      <w:r>
        <w:rPr>
          <w:sz w:val="20"/>
        </w:rPr>
        <w:t>TracDat</w:t>
      </w:r>
      <w:r>
        <w:rPr>
          <w:spacing w:val="-5"/>
          <w:sz w:val="20"/>
        </w:rPr>
        <w:t> </w:t>
      </w:r>
      <w:r>
        <w:rPr>
          <w:sz w:val="20"/>
        </w:rPr>
        <w:t>is</w:t>
      </w:r>
      <w:r>
        <w:rPr>
          <w:spacing w:val="-4"/>
          <w:sz w:val="20"/>
        </w:rPr>
        <w:t> </w:t>
      </w:r>
      <w:r>
        <w:rPr>
          <w:sz w:val="20"/>
        </w:rPr>
        <w:t>set</w:t>
      </w:r>
      <w:r>
        <w:rPr>
          <w:spacing w:val="-3"/>
          <w:sz w:val="20"/>
        </w:rPr>
        <w:t> </w:t>
      </w:r>
      <w:r>
        <w:rPr>
          <w:sz w:val="20"/>
        </w:rPr>
        <w:t>up</w:t>
      </w:r>
      <w:r>
        <w:rPr>
          <w:spacing w:val="-3"/>
          <w:sz w:val="20"/>
        </w:rPr>
        <w:t> </w:t>
      </w:r>
      <w:r>
        <w:rPr>
          <w:sz w:val="20"/>
        </w:rPr>
        <w:t>beginning</w:t>
      </w:r>
      <w:r>
        <w:rPr>
          <w:spacing w:val="-3"/>
          <w:sz w:val="20"/>
        </w:rPr>
        <w:t> </w:t>
      </w:r>
      <w:r>
        <w:rPr>
          <w:sz w:val="20"/>
        </w:rPr>
        <w:t>with</w:t>
      </w:r>
      <w:r>
        <w:rPr>
          <w:spacing w:val="-3"/>
          <w:sz w:val="20"/>
        </w:rPr>
        <w:t> </w:t>
      </w:r>
      <w:r>
        <w:rPr>
          <w:sz w:val="20"/>
        </w:rPr>
        <w:t>the</w:t>
      </w:r>
      <w:r>
        <w:rPr>
          <w:spacing w:val="-3"/>
          <w:sz w:val="20"/>
        </w:rPr>
        <w:t> </w:t>
      </w:r>
      <w:r>
        <w:rPr>
          <w:sz w:val="20"/>
        </w:rPr>
        <w:t>University’s</w:t>
      </w:r>
      <w:r>
        <w:rPr>
          <w:spacing w:val="-4"/>
          <w:sz w:val="20"/>
        </w:rPr>
        <w:t> </w:t>
      </w:r>
      <w:r>
        <w:rPr>
          <w:sz w:val="20"/>
        </w:rPr>
        <w:t>Mission</w:t>
      </w:r>
      <w:r>
        <w:rPr>
          <w:spacing w:val="-3"/>
          <w:sz w:val="20"/>
        </w:rPr>
        <w:t> </w:t>
      </w:r>
      <w:r>
        <w:rPr>
          <w:sz w:val="20"/>
        </w:rPr>
        <w:t>Statement followed by</w:t>
      </w:r>
    </w:p>
    <w:p>
      <w:pPr>
        <w:pStyle w:val="ListParagraph"/>
        <w:numPr>
          <w:ilvl w:val="1"/>
          <w:numId w:val="18"/>
        </w:numPr>
        <w:tabs>
          <w:tab w:pos="2480" w:val="left" w:leader="none"/>
          <w:tab w:pos="2481" w:val="left" w:leader="none"/>
        </w:tabs>
        <w:spacing w:line="223" w:lineRule="auto" w:before="11" w:after="0"/>
        <w:ind w:left="2480" w:right="1880" w:hanging="540"/>
        <w:jc w:val="left"/>
        <w:rPr>
          <w:sz w:val="20"/>
        </w:rPr>
      </w:pPr>
      <w:r>
        <w:rPr>
          <w:sz w:val="20"/>
        </w:rPr>
        <w:t>Office</w:t>
      </w:r>
      <w:r>
        <w:rPr>
          <w:spacing w:val="-6"/>
          <w:sz w:val="20"/>
        </w:rPr>
        <w:t> </w:t>
      </w:r>
      <w:r>
        <w:rPr>
          <w:sz w:val="20"/>
        </w:rPr>
        <w:t>of</w:t>
      </w:r>
      <w:r>
        <w:rPr>
          <w:spacing w:val="-4"/>
          <w:sz w:val="20"/>
        </w:rPr>
        <w:t> </w:t>
      </w:r>
      <w:r>
        <w:rPr>
          <w:sz w:val="20"/>
        </w:rPr>
        <w:t>the</w:t>
      </w:r>
      <w:r>
        <w:rPr>
          <w:spacing w:val="-6"/>
          <w:sz w:val="20"/>
        </w:rPr>
        <w:t> </w:t>
      </w:r>
      <w:r>
        <w:rPr>
          <w:sz w:val="20"/>
        </w:rPr>
        <w:t>Provost</w:t>
      </w:r>
      <w:r>
        <w:rPr>
          <w:spacing w:val="-4"/>
          <w:sz w:val="20"/>
        </w:rPr>
        <w:t> </w:t>
      </w:r>
      <w:r>
        <w:rPr>
          <w:sz w:val="20"/>
        </w:rPr>
        <w:t>Mission</w:t>
      </w:r>
      <w:r>
        <w:rPr>
          <w:spacing w:val="-6"/>
          <w:sz w:val="20"/>
        </w:rPr>
        <w:t> </w:t>
      </w:r>
      <w:r>
        <w:rPr>
          <w:sz w:val="20"/>
        </w:rPr>
        <w:t>and</w:t>
      </w:r>
      <w:r>
        <w:rPr>
          <w:spacing w:val="-6"/>
          <w:sz w:val="20"/>
        </w:rPr>
        <w:t> </w:t>
      </w:r>
      <w:r>
        <w:rPr>
          <w:sz w:val="20"/>
        </w:rPr>
        <w:t>General</w:t>
      </w:r>
      <w:r>
        <w:rPr>
          <w:spacing w:val="-5"/>
          <w:sz w:val="20"/>
        </w:rPr>
        <w:t> </w:t>
      </w:r>
      <w:r>
        <w:rPr>
          <w:sz w:val="20"/>
        </w:rPr>
        <w:t>Education</w:t>
      </w:r>
      <w:r>
        <w:rPr>
          <w:spacing w:val="-4"/>
          <w:sz w:val="20"/>
        </w:rPr>
        <w:t> </w:t>
      </w:r>
      <w:r>
        <w:rPr>
          <w:sz w:val="20"/>
        </w:rPr>
        <w:t>objectives</w:t>
      </w:r>
      <w:r>
        <w:rPr>
          <w:spacing w:val="-5"/>
          <w:sz w:val="20"/>
        </w:rPr>
        <w:t> </w:t>
      </w:r>
      <w:r>
        <w:rPr>
          <w:sz w:val="20"/>
        </w:rPr>
        <w:t>and Intended Student Learning Outcomes</w:t>
      </w:r>
    </w:p>
    <w:p>
      <w:pPr>
        <w:pStyle w:val="ListParagraph"/>
        <w:numPr>
          <w:ilvl w:val="1"/>
          <w:numId w:val="18"/>
        </w:numPr>
        <w:tabs>
          <w:tab w:pos="2480" w:val="left" w:leader="none"/>
          <w:tab w:pos="2481" w:val="left" w:leader="none"/>
        </w:tabs>
        <w:spacing w:line="220" w:lineRule="auto" w:before="17" w:after="0"/>
        <w:ind w:left="2480" w:right="1865" w:hanging="540"/>
        <w:jc w:val="left"/>
        <w:rPr>
          <w:sz w:val="20"/>
        </w:rPr>
      </w:pPr>
      <w:r>
        <w:rPr>
          <w:sz w:val="20"/>
        </w:rPr>
        <w:t>Quality</w:t>
      </w:r>
      <w:r>
        <w:rPr>
          <w:spacing w:val="-8"/>
          <w:sz w:val="20"/>
        </w:rPr>
        <w:t> </w:t>
      </w:r>
      <w:r>
        <w:rPr>
          <w:sz w:val="20"/>
        </w:rPr>
        <w:t>Enhancement</w:t>
      </w:r>
      <w:r>
        <w:rPr>
          <w:spacing w:val="-7"/>
          <w:sz w:val="20"/>
        </w:rPr>
        <w:t> </w:t>
      </w:r>
      <w:r>
        <w:rPr>
          <w:sz w:val="20"/>
        </w:rPr>
        <w:t>Plan</w:t>
      </w:r>
      <w:r>
        <w:rPr>
          <w:spacing w:val="-4"/>
          <w:sz w:val="20"/>
        </w:rPr>
        <w:t> </w:t>
      </w:r>
      <w:r>
        <w:rPr>
          <w:sz w:val="20"/>
        </w:rPr>
        <w:t>–</w:t>
      </w:r>
      <w:r>
        <w:rPr>
          <w:spacing w:val="-7"/>
          <w:sz w:val="20"/>
        </w:rPr>
        <w:t> </w:t>
      </w:r>
      <w:r>
        <w:rPr>
          <w:sz w:val="20"/>
        </w:rPr>
        <w:t>Objectives,</w:t>
      </w:r>
      <w:r>
        <w:rPr>
          <w:spacing w:val="-7"/>
          <w:sz w:val="20"/>
        </w:rPr>
        <w:t> </w:t>
      </w:r>
      <w:r>
        <w:rPr>
          <w:sz w:val="20"/>
        </w:rPr>
        <w:t>Intended</w:t>
      </w:r>
      <w:r>
        <w:rPr>
          <w:spacing w:val="-5"/>
          <w:sz w:val="20"/>
        </w:rPr>
        <w:t> </w:t>
      </w:r>
      <w:r>
        <w:rPr>
          <w:sz w:val="20"/>
        </w:rPr>
        <w:t>Student</w:t>
      </w:r>
      <w:r>
        <w:rPr>
          <w:spacing w:val="-5"/>
          <w:sz w:val="20"/>
        </w:rPr>
        <w:t> </w:t>
      </w:r>
      <w:r>
        <w:rPr>
          <w:sz w:val="20"/>
        </w:rPr>
        <w:t>Learning Outcomes, Assessment Methodologies and Results/Outcomes</w:t>
      </w:r>
    </w:p>
    <w:p>
      <w:pPr>
        <w:pStyle w:val="ListParagraph"/>
        <w:numPr>
          <w:ilvl w:val="1"/>
          <w:numId w:val="18"/>
        </w:numPr>
        <w:tabs>
          <w:tab w:pos="2480" w:val="left" w:leader="none"/>
          <w:tab w:pos="2481" w:val="left" w:leader="none"/>
        </w:tabs>
        <w:spacing w:line="223" w:lineRule="auto" w:before="16" w:after="0"/>
        <w:ind w:left="2480" w:right="2489" w:hanging="540"/>
        <w:jc w:val="left"/>
        <w:rPr>
          <w:sz w:val="20"/>
        </w:rPr>
      </w:pPr>
      <w:r>
        <w:rPr>
          <w:sz w:val="20"/>
        </w:rPr>
        <w:t>School</w:t>
      </w:r>
      <w:r>
        <w:rPr>
          <w:spacing w:val="-7"/>
          <w:sz w:val="20"/>
        </w:rPr>
        <w:t> </w:t>
      </w:r>
      <w:r>
        <w:rPr>
          <w:sz w:val="20"/>
        </w:rPr>
        <w:t>/</w:t>
      </w:r>
      <w:r>
        <w:rPr>
          <w:spacing w:val="-6"/>
          <w:sz w:val="20"/>
        </w:rPr>
        <w:t> </w:t>
      </w:r>
      <w:r>
        <w:rPr>
          <w:sz w:val="20"/>
        </w:rPr>
        <w:t>Colleges</w:t>
      </w:r>
      <w:r>
        <w:rPr>
          <w:spacing w:val="-5"/>
          <w:sz w:val="20"/>
        </w:rPr>
        <w:t> </w:t>
      </w:r>
      <w:r>
        <w:rPr>
          <w:sz w:val="20"/>
        </w:rPr>
        <w:t>–</w:t>
      </w:r>
      <w:r>
        <w:rPr>
          <w:spacing w:val="-6"/>
          <w:sz w:val="20"/>
        </w:rPr>
        <w:t> </w:t>
      </w:r>
      <w:r>
        <w:rPr>
          <w:sz w:val="20"/>
        </w:rPr>
        <w:t>Overall</w:t>
      </w:r>
      <w:r>
        <w:rPr>
          <w:spacing w:val="-5"/>
          <w:sz w:val="20"/>
        </w:rPr>
        <w:t> </w:t>
      </w:r>
      <w:r>
        <w:rPr>
          <w:sz w:val="20"/>
        </w:rPr>
        <w:t>Objectives</w:t>
      </w:r>
      <w:r>
        <w:rPr>
          <w:spacing w:val="-5"/>
          <w:sz w:val="20"/>
        </w:rPr>
        <w:t> </w:t>
      </w:r>
      <w:r>
        <w:rPr>
          <w:sz w:val="20"/>
        </w:rPr>
        <w:t>and</w:t>
      </w:r>
      <w:r>
        <w:rPr>
          <w:spacing w:val="-4"/>
          <w:sz w:val="20"/>
        </w:rPr>
        <w:t> </w:t>
      </w:r>
      <w:r>
        <w:rPr>
          <w:sz w:val="20"/>
        </w:rPr>
        <w:t>Intended</w:t>
      </w:r>
      <w:r>
        <w:rPr>
          <w:spacing w:val="-4"/>
          <w:sz w:val="20"/>
        </w:rPr>
        <w:t> </w:t>
      </w:r>
      <w:r>
        <w:rPr>
          <w:sz w:val="20"/>
        </w:rPr>
        <w:t>Student Learning Outcomes</w:t>
      </w:r>
    </w:p>
    <w:p>
      <w:pPr>
        <w:pStyle w:val="ListParagraph"/>
        <w:numPr>
          <w:ilvl w:val="1"/>
          <w:numId w:val="18"/>
        </w:numPr>
        <w:tabs>
          <w:tab w:pos="2480" w:val="left" w:leader="none"/>
          <w:tab w:pos="2481" w:val="left" w:leader="none"/>
        </w:tabs>
        <w:spacing w:line="223" w:lineRule="auto" w:before="16" w:after="0"/>
        <w:ind w:left="2480" w:right="1810" w:hanging="540"/>
        <w:jc w:val="left"/>
        <w:rPr>
          <w:sz w:val="20"/>
        </w:rPr>
      </w:pPr>
      <w:r>
        <w:rPr>
          <w:sz w:val="20"/>
        </w:rPr>
        <w:t>Academic</w:t>
      </w:r>
      <w:r>
        <w:rPr>
          <w:spacing w:val="-6"/>
          <w:sz w:val="20"/>
        </w:rPr>
        <w:t> </w:t>
      </w:r>
      <w:r>
        <w:rPr>
          <w:sz w:val="20"/>
        </w:rPr>
        <w:t>Program</w:t>
      </w:r>
      <w:r>
        <w:rPr>
          <w:spacing w:val="-3"/>
          <w:sz w:val="20"/>
        </w:rPr>
        <w:t> </w:t>
      </w:r>
      <w:r>
        <w:rPr>
          <w:sz w:val="20"/>
        </w:rPr>
        <w:t>specific</w:t>
      </w:r>
      <w:r>
        <w:rPr>
          <w:spacing w:val="-6"/>
          <w:sz w:val="20"/>
        </w:rPr>
        <w:t> </w:t>
      </w:r>
      <w:r>
        <w:rPr>
          <w:sz w:val="20"/>
        </w:rPr>
        <w:t>–</w:t>
      </w:r>
      <w:r>
        <w:rPr>
          <w:spacing w:val="-7"/>
          <w:sz w:val="20"/>
        </w:rPr>
        <w:t> </w:t>
      </w:r>
      <w:r>
        <w:rPr>
          <w:sz w:val="20"/>
        </w:rPr>
        <w:t>Objectives,</w:t>
      </w:r>
      <w:r>
        <w:rPr>
          <w:spacing w:val="-7"/>
          <w:sz w:val="20"/>
        </w:rPr>
        <w:t> </w:t>
      </w:r>
      <w:r>
        <w:rPr>
          <w:sz w:val="20"/>
        </w:rPr>
        <w:t>Intended</w:t>
      </w:r>
      <w:r>
        <w:rPr>
          <w:spacing w:val="-6"/>
          <w:sz w:val="20"/>
        </w:rPr>
        <w:t> </w:t>
      </w:r>
      <w:r>
        <w:rPr>
          <w:sz w:val="20"/>
        </w:rPr>
        <w:t>Student</w:t>
      </w:r>
      <w:r>
        <w:rPr>
          <w:spacing w:val="-6"/>
          <w:sz w:val="20"/>
        </w:rPr>
        <w:t> </w:t>
      </w:r>
      <w:r>
        <w:rPr>
          <w:sz w:val="20"/>
        </w:rPr>
        <w:t>Learning Outcomes, Assessment Methodologies and Outcomes/Results.</w:t>
      </w:r>
    </w:p>
    <w:p>
      <w:pPr>
        <w:pStyle w:val="BodyText"/>
        <w:spacing w:before="3"/>
        <w:rPr>
          <w:sz w:val="24"/>
        </w:rPr>
      </w:pPr>
    </w:p>
    <w:p>
      <w:pPr>
        <w:spacing w:before="0"/>
        <w:ind w:left="500" w:right="0" w:firstLine="0"/>
        <w:jc w:val="left"/>
        <w:rPr>
          <w:b/>
          <w:sz w:val="20"/>
        </w:rPr>
      </w:pPr>
      <w:r>
        <w:rPr>
          <w:b/>
          <w:sz w:val="20"/>
        </w:rPr>
        <w:t>ADDITIONAL</w:t>
      </w:r>
      <w:r>
        <w:rPr>
          <w:b/>
          <w:spacing w:val="-14"/>
          <w:sz w:val="20"/>
        </w:rPr>
        <w:t> </w:t>
      </w:r>
      <w:r>
        <w:rPr>
          <w:b/>
          <w:sz w:val="20"/>
        </w:rPr>
        <w:t>DEPARTMENTAL</w:t>
      </w:r>
      <w:r>
        <w:rPr>
          <w:b/>
          <w:spacing w:val="-11"/>
          <w:sz w:val="20"/>
        </w:rPr>
        <w:t> </w:t>
      </w:r>
      <w:r>
        <w:rPr>
          <w:b/>
          <w:sz w:val="20"/>
        </w:rPr>
        <w:t>ASSESSMENT</w:t>
      </w:r>
      <w:r>
        <w:rPr>
          <w:b/>
          <w:spacing w:val="-12"/>
          <w:sz w:val="20"/>
        </w:rPr>
        <w:t> </w:t>
      </w:r>
      <w:r>
        <w:rPr>
          <w:b/>
          <w:spacing w:val="-2"/>
          <w:sz w:val="20"/>
        </w:rPr>
        <w:t>PROCEDURES</w:t>
      </w:r>
    </w:p>
    <w:p>
      <w:pPr>
        <w:pStyle w:val="BodyText"/>
        <w:spacing w:before="1"/>
        <w:rPr>
          <w:b/>
          <w:sz w:val="21"/>
        </w:rPr>
      </w:pPr>
    </w:p>
    <w:p>
      <w:pPr>
        <w:pStyle w:val="BodyText"/>
        <w:ind w:left="1220" w:right="499"/>
      </w:pPr>
      <w:r>
        <w:rPr/>
        <w:t>Self-assessment is an on-going process through the general faculty</w:t>
      </w:r>
      <w:r>
        <w:rPr>
          <w:spacing w:val="-2"/>
        </w:rPr>
        <w:t> </w:t>
      </w:r>
      <w:r>
        <w:rPr/>
        <w:t>meetings, annual reports to the</w:t>
      </w:r>
      <w:r>
        <w:rPr>
          <w:spacing w:val="-4"/>
        </w:rPr>
        <w:t> </w:t>
      </w:r>
      <w:r>
        <w:rPr/>
        <w:t>Dean</w:t>
      </w:r>
      <w:r>
        <w:rPr>
          <w:spacing w:val="-2"/>
        </w:rPr>
        <w:t> </w:t>
      </w:r>
      <w:r>
        <w:rPr/>
        <w:t>of</w:t>
      </w:r>
      <w:r>
        <w:rPr>
          <w:spacing w:val="-2"/>
        </w:rPr>
        <w:t> </w:t>
      </w:r>
      <w:r>
        <w:rPr/>
        <w:t>the</w:t>
      </w:r>
      <w:r>
        <w:rPr>
          <w:spacing w:val="-2"/>
        </w:rPr>
        <w:t> </w:t>
      </w:r>
      <w:r>
        <w:rPr/>
        <w:t>School,</w:t>
      </w:r>
      <w:r>
        <w:rPr>
          <w:spacing w:val="-4"/>
        </w:rPr>
        <w:t> </w:t>
      </w:r>
      <w:r>
        <w:rPr/>
        <w:t>student</w:t>
      </w:r>
      <w:r>
        <w:rPr>
          <w:spacing w:val="-2"/>
        </w:rPr>
        <w:t> </w:t>
      </w:r>
      <w:r>
        <w:rPr/>
        <w:t>evaluations</w:t>
      </w:r>
      <w:r>
        <w:rPr>
          <w:spacing w:val="-3"/>
        </w:rPr>
        <w:t> </w:t>
      </w:r>
      <w:r>
        <w:rPr/>
        <w:t>of</w:t>
      </w:r>
      <w:r>
        <w:rPr>
          <w:spacing w:val="-2"/>
        </w:rPr>
        <w:t> </w:t>
      </w:r>
      <w:r>
        <w:rPr/>
        <w:t>faculty</w:t>
      </w:r>
      <w:r>
        <w:rPr>
          <w:spacing w:val="-5"/>
        </w:rPr>
        <w:t> </w:t>
      </w:r>
      <w:r>
        <w:rPr/>
        <w:t>and</w:t>
      </w:r>
      <w:r>
        <w:rPr>
          <w:spacing w:val="-4"/>
        </w:rPr>
        <w:t> </w:t>
      </w:r>
      <w:r>
        <w:rPr/>
        <w:t>courses,</w:t>
      </w:r>
      <w:r>
        <w:rPr>
          <w:spacing w:val="-4"/>
        </w:rPr>
        <w:t> </w:t>
      </w:r>
      <w:r>
        <w:rPr/>
        <w:t>faculty</w:t>
      </w:r>
      <w:r>
        <w:rPr>
          <w:spacing w:val="-7"/>
        </w:rPr>
        <w:t> </w:t>
      </w:r>
      <w:r>
        <w:rPr/>
        <w:t>review,</w:t>
      </w:r>
      <w:r>
        <w:rPr>
          <w:spacing w:val="-4"/>
        </w:rPr>
        <w:t> </w:t>
      </w:r>
      <w:r>
        <w:rPr/>
        <w:t>the</w:t>
      </w:r>
      <w:r>
        <w:rPr>
          <w:spacing w:val="-2"/>
        </w:rPr>
        <w:t> </w:t>
      </w:r>
      <w:r>
        <w:rPr/>
        <w:t>University wide five year Program Review cycle, and the annual departmental five year plans for the Long Range Planning Committee.</w:t>
      </w:r>
    </w:p>
    <w:p>
      <w:pPr>
        <w:pStyle w:val="BodyText"/>
        <w:spacing w:before="10"/>
      </w:pPr>
    </w:p>
    <w:p>
      <w:pPr>
        <w:pStyle w:val="BodyText"/>
        <w:ind w:left="1220"/>
      </w:pPr>
      <w:r>
        <w:rPr/>
        <w:t>The program faculty</w:t>
      </w:r>
      <w:r>
        <w:rPr>
          <w:spacing w:val="-1"/>
        </w:rPr>
        <w:t> </w:t>
      </w:r>
      <w:r>
        <w:rPr/>
        <w:t>and staff conduct annual assessments to revisit our mission and discuss our program needs.</w:t>
      </w:r>
      <w:r>
        <w:rPr>
          <w:spacing w:val="-5"/>
        </w:rPr>
        <w:t> </w:t>
      </w:r>
      <w:r>
        <w:rPr/>
        <w:t>Since</w:t>
      </w:r>
      <w:r>
        <w:rPr>
          <w:spacing w:val="-3"/>
        </w:rPr>
        <w:t> </w:t>
      </w:r>
      <w:r>
        <w:rPr/>
        <w:t>the</w:t>
      </w:r>
      <w:r>
        <w:rPr>
          <w:spacing w:val="-3"/>
        </w:rPr>
        <w:t> </w:t>
      </w:r>
      <w:r>
        <w:rPr/>
        <w:t>2009</w:t>
      </w:r>
      <w:r>
        <w:rPr>
          <w:spacing w:val="-3"/>
        </w:rPr>
        <w:t> </w:t>
      </w:r>
      <w:r>
        <w:rPr/>
        <w:t>accreditation</w:t>
      </w:r>
      <w:r>
        <w:rPr>
          <w:spacing w:val="-3"/>
        </w:rPr>
        <w:t> </w:t>
      </w:r>
      <w:r>
        <w:rPr/>
        <w:t>visit,</w:t>
      </w:r>
      <w:r>
        <w:rPr>
          <w:spacing w:val="-5"/>
        </w:rPr>
        <w:t> </w:t>
      </w:r>
      <w:r>
        <w:rPr/>
        <w:t>this</w:t>
      </w:r>
      <w:r>
        <w:rPr>
          <w:spacing w:val="-4"/>
        </w:rPr>
        <w:t> </w:t>
      </w:r>
      <w:r>
        <w:rPr/>
        <w:t>has</w:t>
      </w:r>
      <w:r>
        <w:rPr>
          <w:spacing w:val="-4"/>
        </w:rPr>
        <w:t> </w:t>
      </w:r>
      <w:r>
        <w:rPr/>
        <w:t>resulted</w:t>
      </w:r>
      <w:r>
        <w:rPr>
          <w:spacing w:val="-5"/>
        </w:rPr>
        <w:t> </w:t>
      </w:r>
      <w:r>
        <w:rPr/>
        <w:t>two</w:t>
      </w:r>
      <w:r>
        <w:rPr>
          <w:spacing w:val="-5"/>
        </w:rPr>
        <w:t> </w:t>
      </w:r>
      <w:r>
        <w:rPr/>
        <w:t>significant</w:t>
      </w:r>
      <w:r>
        <w:rPr>
          <w:spacing w:val="-5"/>
        </w:rPr>
        <w:t> </w:t>
      </w:r>
      <w:r>
        <w:rPr/>
        <w:t>changes</w:t>
      </w:r>
      <w:r>
        <w:rPr>
          <w:spacing w:val="-4"/>
        </w:rPr>
        <w:t> </w:t>
      </w:r>
      <w:r>
        <w:rPr/>
        <w:t>to</w:t>
      </w:r>
      <w:r>
        <w:rPr>
          <w:spacing w:val="-3"/>
        </w:rPr>
        <w:t> </w:t>
      </w:r>
      <w:r>
        <w:rPr/>
        <w:t>our </w:t>
      </w:r>
      <w:r>
        <w:rPr>
          <w:spacing w:val="-2"/>
        </w:rPr>
        <w:t>curriculum</w:t>
      </w:r>
    </w:p>
    <w:p>
      <w:pPr>
        <w:pStyle w:val="BodyText"/>
        <w:spacing w:before="11"/>
      </w:pPr>
    </w:p>
    <w:p>
      <w:pPr>
        <w:pStyle w:val="BodyText"/>
        <w:ind w:left="1220"/>
      </w:pPr>
      <w:r>
        <w:rPr/>
        <w:t>All</w:t>
      </w:r>
      <w:r>
        <w:rPr>
          <w:spacing w:val="-5"/>
        </w:rPr>
        <w:t> </w:t>
      </w:r>
      <w:r>
        <w:rPr/>
        <w:t>matters</w:t>
      </w:r>
      <w:r>
        <w:rPr>
          <w:spacing w:val="-3"/>
        </w:rPr>
        <w:t> </w:t>
      </w:r>
      <w:r>
        <w:rPr/>
        <w:t>of</w:t>
      </w:r>
      <w:r>
        <w:rPr>
          <w:spacing w:val="-2"/>
        </w:rPr>
        <w:t> </w:t>
      </w:r>
      <w:r>
        <w:rPr/>
        <w:t>policy</w:t>
      </w:r>
      <w:r>
        <w:rPr>
          <w:spacing w:val="-5"/>
        </w:rPr>
        <w:t> </w:t>
      </w:r>
      <w:r>
        <w:rPr/>
        <w:t>within</w:t>
      </w:r>
      <w:r>
        <w:rPr>
          <w:spacing w:val="-4"/>
        </w:rPr>
        <w:t> </w:t>
      </w:r>
      <w:r>
        <w:rPr/>
        <w:t>the</w:t>
      </w:r>
      <w:r>
        <w:rPr>
          <w:spacing w:val="-4"/>
        </w:rPr>
        <w:t> </w:t>
      </w:r>
      <w:r>
        <w:rPr/>
        <w:t>Department</w:t>
      </w:r>
      <w:r>
        <w:rPr>
          <w:spacing w:val="-4"/>
        </w:rPr>
        <w:t> </w:t>
      </w:r>
      <w:r>
        <w:rPr/>
        <w:t>are</w:t>
      </w:r>
      <w:r>
        <w:rPr>
          <w:spacing w:val="-4"/>
        </w:rPr>
        <w:t> </w:t>
      </w:r>
      <w:r>
        <w:rPr/>
        <w:t>considered</w:t>
      </w:r>
      <w:r>
        <w:rPr>
          <w:spacing w:val="-4"/>
        </w:rPr>
        <w:t> </w:t>
      </w:r>
      <w:r>
        <w:rPr/>
        <w:t>at</w:t>
      </w:r>
      <w:r>
        <w:rPr>
          <w:spacing w:val="-4"/>
        </w:rPr>
        <w:t> </w:t>
      </w:r>
      <w:r>
        <w:rPr/>
        <w:t>Departmental</w:t>
      </w:r>
      <w:r>
        <w:rPr>
          <w:spacing w:val="-5"/>
        </w:rPr>
        <w:t> </w:t>
      </w:r>
      <w:r>
        <w:rPr/>
        <w:t>faculty</w:t>
      </w:r>
      <w:r>
        <w:rPr>
          <w:spacing w:val="-5"/>
        </w:rPr>
        <w:t> </w:t>
      </w:r>
      <w:r>
        <w:rPr/>
        <w:t>meetings,</w:t>
      </w:r>
      <w:r>
        <w:rPr>
          <w:spacing w:val="-4"/>
        </w:rPr>
        <w:t> </w:t>
      </w:r>
      <w:r>
        <w:rPr/>
        <w:t>held weekly.</w:t>
      </w:r>
      <w:r>
        <w:rPr>
          <w:spacing w:val="40"/>
        </w:rPr>
        <w:t> </w:t>
      </w:r>
      <w:r>
        <w:rPr/>
        <w:t>These meetings are open to students, with the President of the AIAS/NOMAS chapter</w:t>
      </w:r>
    </w:p>
    <w:p>
      <w:pPr>
        <w:spacing w:after="0"/>
        <w:sectPr>
          <w:pgSz w:w="12240" w:h="15840"/>
          <w:pgMar w:header="0" w:footer="974" w:top="1360" w:bottom="1160" w:left="940" w:right="960"/>
        </w:sectPr>
      </w:pPr>
    </w:p>
    <w:p>
      <w:pPr>
        <w:pStyle w:val="BodyText"/>
        <w:spacing w:before="77"/>
        <w:ind w:left="1220" w:right="499"/>
      </w:pPr>
      <w:r>
        <w:rPr/>
        <w:t>attending</w:t>
      </w:r>
      <w:r>
        <w:rPr>
          <w:spacing w:val="-4"/>
        </w:rPr>
        <w:t> </w:t>
      </w:r>
      <w:r>
        <w:rPr/>
        <w:t>as an</w:t>
      </w:r>
      <w:r>
        <w:rPr>
          <w:spacing w:val="-4"/>
        </w:rPr>
        <w:t> </w:t>
      </w:r>
      <w:r>
        <w:rPr/>
        <w:t>ongoing</w:t>
      </w:r>
      <w:r>
        <w:rPr>
          <w:spacing w:val="-4"/>
        </w:rPr>
        <w:t> </w:t>
      </w:r>
      <w:r>
        <w:rPr/>
        <w:t>student</w:t>
      </w:r>
      <w:r>
        <w:rPr>
          <w:spacing w:val="-4"/>
        </w:rPr>
        <w:t> </w:t>
      </w:r>
      <w:r>
        <w:rPr/>
        <w:t>representative.</w:t>
      </w:r>
      <w:r>
        <w:rPr>
          <w:spacing w:val="-4"/>
        </w:rPr>
        <w:t> </w:t>
      </w:r>
      <w:r>
        <w:rPr/>
        <w:t>Due</w:t>
      </w:r>
      <w:r>
        <w:rPr>
          <w:spacing w:val="-4"/>
        </w:rPr>
        <w:t> </w:t>
      </w:r>
      <w:r>
        <w:rPr/>
        <w:t>to</w:t>
      </w:r>
      <w:r>
        <w:rPr>
          <w:spacing w:val="-4"/>
        </w:rPr>
        <w:t> </w:t>
      </w:r>
      <w:r>
        <w:rPr/>
        <w:t>the</w:t>
      </w:r>
      <w:r>
        <w:rPr>
          <w:spacing w:val="-2"/>
        </w:rPr>
        <w:t> </w:t>
      </w:r>
      <w:r>
        <w:rPr/>
        <w:t>small</w:t>
      </w:r>
      <w:r>
        <w:rPr>
          <w:spacing w:val="-5"/>
        </w:rPr>
        <w:t> </w:t>
      </w:r>
      <w:r>
        <w:rPr/>
        <w:t>size</w:t>
      </w:r>
      <w:r>
        <w:rPr>
          <w:spacing w:val="-2"/>
        </w:rPr>
        <w:t> </w:t>
      </w:r>
      <w:r>
        <w:rPr/>
        <w:t>of</w:t>
      </w:r>
      <w:r>
        <w:rPr>
          <w:spacing w:val="-2"/>
        </w:rPr>
        <w:t> </w:t>
      </w:r>
      <w:r>
        <w:rPr/>
        <w:t>the</w:t>
      </w:r>
      <w:r>
        <w:rPr>
          <w:spacing w:val="-4"/>
        </w:rPr>
        <w:t> </w:t>
      </w:r>
      <w:r>
        <w:rPr/>
        <w:t>faculty,</w:t>
      </w:r>
      <w:r>
        <w:rPr>
          <w:spacing w:val="-2"/>
        </w:rPr>
        <w:t> </w:t>
      </w:r>
      <w:r>
        <w:rPr/>
        <w:t>issues</w:t>
      </w:r>
      <w:r>
        <w:rPr>
          <w:spacing w:val="-3"/>
        </w:rPr>
        <w:t> </w:t>
      </w:r>
      <w:r>
        <w:rPr/>
        <w:t>such as curriculum review are typically dealt with as a committee of the whole.</w:t>
      </w:r>
      <w:r>
        <w:rPr>
          <w:spacing w:val="40"/>
        </w:rPr>
        <w:t> </w:t>
      </w:r>
      <w:r>
        <w:rPr/>
        <w:t>The School of Engineering and Technology holds faculty meetings on a regularly (as needed).</w:t>
      </w:r>
      <w:r>
        <w:rPr>
          <w:spacing w:val="40"/>
        </w:rPr>
        <w:t> </w:t>
      </w:r>
      <w:r>
        <w:rPr/>
        <w:t>Department Chairs meet weekly with the Dean and Assistant Dean.</w:t>
      </w:r>
      <w:r>
        <w:rPr>
          <w:spacing w:val="40"/>
        </w:rPr>
        <w:t> </w:t>
      </w:r>
      <w:r>
        <w:rPr/>
        <w:t>There is no faculty senate, and the University faculty meets as a body once a month. The President of Hampton University chairs these meetings.</w:t>
      </w:r>
    </w:p>
    <w:p>
      <w:pPr>
        <w:pStyle w:val="BodyText"/>
        <w:spacing w:before="10"/>
      </w:pPr>
    </w:p>
    <w:p>
      <w:pPr>
        <w:pStyle w:val="BodyText"/>
        <w:ind w:left="1220" w:right="499"/>
      </w:pPr>
      <w:r>
        <w:rPr/>
        <w:t>Student</w:t>
      </w:r>
      <w:r>
        <w:rPr>
          <w:spacing w:val="-2"/>
        </w:rPr>
        <w:t> </w:t>
      </w:r>
      <w:r>
        <w:rPr/>
        <w:t>input</w:t>
      </w:r>
      <w:r>
        <w:rPr>
          <w:spacing w:val="-2"/>
        </w:rPr>
        <w:t> </w:t>
      </w:r>
      <w:r>
        <w:rPr/>
        <w:t>is</w:t>
      </w:r>
      <w:r>
        <w:rPr>
          <w:spacing w:val="-3"/>
        </w:rPr>
        <w:t> </w:t>
      </w:r>
      <w:r>
        <w:rPr/>
        <w:t>obtained</w:t>
      </w:r>
      <w:r>
        <w:rPr>
          <w:spacing w:val="-2"/>
        </w:rPr>
        <w:t> </w:t>
      </w:r>
      <w:r>
        <w:rPr/>
        <w:t>in</w:t>
      </w:r>
      <w:r>
        <w:rPr>
          <w:spacing w:val="-2"/>
        </w:rPr>
        <w:t> </w:t>
      </w:r>
      <w:r>
        <w:rPr/>
        <w:t>a</w:t>
      </w:r>
      <w:r>
        <w:rPr>
          <w:spacing w:val="-4"/>
        </w:rPr>
        <w:t> </w:t>
      </w:r>
      <w:r>
        <w:rPr/>
        <w:t>variety</w:t>
      </w:r>
      <w:r>
        <w:rPr>
          <w:spacing w:val="-5"/>
        </w:rPr>
        <w:t> </w:t>
      </w:r>
      <w:r>
        <w:rPr/>
        <w:t>of</w:t>
      </w:r>
      <w:r>
        <w:rPr>
          <w:spacing w:val="-2"/>
        </w:rPr>
        <w:t> </w:t>
      </w:r>
      <w:r>
        <w:rPr/>
        <w:t>official</w:t>
      </w:r>
      <w:r>
        <w:rPr>
          <w:spacing w:val="-5"/>
        </w:rPr>
        <w:t> </w:t>
      </w:r>
      <w:r>
        <w:rPr/>
        <w:t>and</w:t>
      </w:r>
      <w:r>
        <w:rPr>
          <w:spacing w:val="-2"/>
        </w:rPr>
        <w:t> </w:t>
      </w:r>
      <w:r>
        <w:rPr/>
        <w:t>unofficial</w:t>
      </w:r>
      <w:r>
        <w:rPr>
          <w:spacing w:val="-3"/>
        </w:rPr>
        <w:t> </w:t>
      </w:r>
      <w:r>
        <w:rPr/>
        <w:t>ways.</w:t>
      </w:r>
      <w:r>
        <w:rPr>
          <w:spacing w:val="-4"/>
        </w:rPr>
        <w:t> </w:t>
      </w:r>
      <w:r>
        <w:rPr/>
        <w:t>Officially,</w:t>
      </w:r>
      <w:r>
        <w:rPr>
          <w:spacing w:val="-4"/>
        </w:rPr>
        <w:t> </w:t>
      </w:r>
      <w:r>
        <w:rPr/>
        <w:t>students</w:t>
      </w:r>
      <w:r>
        <w:rPr>
          <w:spacing w:val="-3"/>
        </w:rPr>
        <w:t> </w:t>
      </w:r>
      <w:r>
        <w:rPr/>
        <w:t>are</w:t>
      </w:r>
      <w:r>
        <w:rPr>
          <w:spacing w:val="-4"/>
        </w:rPr>
        <w:t> </w:t>
      </w:r>
      <w:r>
        <w:rPr/>
        <w:t>able</w:t>
      </w:r>
      <w:r>
        <w:rPr>
          <w:spacing w:val="-2"/>
        </w:rPr>
        <w:t> </w:t>
      </w:r>
      <w:r>
        <w:rPr/>
        <w:t>to rate each course and faculty member through the university institute on-line student submitted course evaluations. Results of these evaluations are collected and reviewed by the institution’s senior</w:t>
      </w:r>
      <w:r>
        <w:rPr>
          <w:spacing w:val="-1"/>
        </w:rPr>
        <w:t> </w:t>
      </w:r>
      <w:r>
        <w:rPr/>
        <w:t>administration</w:t>
      </w:r>
      <w:r>
        <w:rPr>
          <w:spacing w:val="-2"/>
        </w:rPr>
        <w:t> </w:t>
      </w:r>
      <w:r>
        <w:rPr/>
        <w:t>and disseminated</w:t>
      </w:r>
      <w:r>
        <w:rPr>
          <w:spacing w:val="-2"/>
        </w:rPr>
        <w:t> </w:t>
      </w:r>
      <w:r>
        <w:rPr/>
        <w:t>to</w:t>
      </w:r>
      <w:r>
        <w:rPr>
          <w:spacing w:val="-2"/>
        </w:rPr>
        <w:t> </w:t>
      </w:r>
      <w:r>
        <w:rPr/>
        <w:t>the</w:t>
      </w:r>
      <w:r>
        <w:rPr>
          <w:spacing w:val="-2"/>
        </w:rPr>
        <w:t> </w:t>
      </w:r>
      <w:r>
        <w:rPr/>
        <w:t>academic</w:t>
      </w:r>
      <w:r>
        <w:rPr>
          <w:spacing w:val="-1"/>
        </w:rPr>
        <w:t> </w:t>
      </w:r>
      <w:r>
        <w:rPr/>
        <w:t>administrator</w:t>
      </w:r>
      <w:r>
        <w:rPr>
          <w:spacing w:val="-1"/>
        </w:rPr>
        <w:t> </w:t>
      </w:r>
      <w:r>
        <w:rPr/>
        <w:t>of each program to</w:t>
      </w:r>
      <w:r>
        <w:rPr>
          <w:spacing w:val="-2"/>
        </w:rPr>
        <w:t> </w:t>
      </w:r>
      <w:r>
        <w:rPr/>
        <w:t>review at the close of each academic year. The online process has proven less effective than the previously employed paper system, because students must voluntarily participate. Additionally, assessment of the program is obtained through interviews and surveys submitted by our graduating classes. Those surveys are collected and maintained by the Chair, and used as a basis for discussions about the program direction and value. In more unofficial ways, the Chair’s open door policy</w:t>
      </w:r>
      <w:r>
        <w:rPr>
          <w:spacing w:val="-3"/>
        </w:rPr>
        <w:t> </w:t>
      </w:r>
      <w:r>
        <w:rPr/>
        <w:t>results in frequent discussions with student leaders regarding their views about the</w:t>
      </w:r>
      <w:r>
        <w:rPr>
          <w:spacing w:val="-2"/>
        </w:rPr>
        <w:t> </w:t>
      </w:r>
      <w:r>
        <w:rPr/>
        <w:t>general</w:t>
      </w:r>
      <w:r>
        <w:rPr>
          <w:spacing w:val="-1"/>
        </w:rPr>
        <w:t> </w:t>
      </w:r>
      <w:r>
        <w:rPr/>
        <w:t>administration of the</w:t>
      </w:r>
      <w:r>
        <w:rPr>
          <w:spacing w:val="-2"/>
        </w:rPr>
        <w:t> </w:t>
      </w:r>
      <w:r>
        <w:rPr/>
        <w:t>program.</w:t>
      </w:r>
      <w:r>
        <w:rPr>
          <w:spacing w:val="-4"/>
        </w:rPr>
        <w:t> </w:t>
      </w:r>
      <w:r>
        <w:rPr/>
        <w:t>This,</w:t>
      </w:r>
      <w:r>
        <w:rPr>
          <w:spacing w:val="-2"/>
        </w:rPr>
        <w:t> </w:t>
      </w:r>
      <w:r>
        <w:rPr/>
        <w:t>too, has</w:t>
      </w:r>
      <w:r>
        <w:rPr>
          <w:spacing w:val="-1"/>
        </w:rPr>
        <w:t> </w:t>
      </w:r>
      <w:r>
        <w:rPr/>
        <w:t>been</w:t>
      </w:r>
      <w:r>
        <w:rPr>
          <w:spacing w:val="-2"/>
        </w:rPr>
        <w:t> </w:t>
      </w:r>
      <w:r>
        <w:rPr/>
        <w:t>the</w:t>
      </w:r>
      <w:r>
        <w:rPr>
          <w:spacing w:val="-2"/>
        </w:rPr>
        <w:t> </w:t>
      </w:r>
      <w:r>
        <w:rPr/>
        <w:t>catalyst</w:t>
      </w:r>
      <w:r>
        <w:rPr>
          <w:spacing w:val="-2"/>
        </w:rPr>
        <w:t> </w:t>
      </w:r>
      <w:r>
        <w:rPr/>
        <w:t>for</w:t>
      </w:r>
      <w:r>
        <w:rPr>
          <w:spacing w:val="-1"/>
        </w:rPr>
        <w:t> </w:t>
      </w:r>
      <w:r>
        <w:rPr/>
        <w:t>important</w:t>
      </w:r>
      <w:r>
        <w:rPr>
          <w:spacing w:val="-2"/>
        </w:rPr>
        <w:t> </w:t>
      </w:r>
      <w:r>
        <w:rPr/>
        <w:t>changes in the program to help improve student achievement.</w:t>
      </w:r>
    </w:p>
    <w:p>
      <w:pPr>
        <w:pStyle w:val="BodyText"/>
        <w:rPr>
          <w:sz w:val="21"/>
        </w:rPr>
      </w:pPr>
    </w:p>
    <w:p>
      <w:pPr>
        <w:pStyle w:val="BodyText"/>
        <w:ind w:left="1219" w:right="580"/>
      </w:pPr>
      <w:r>
        <w:rPr/>
        <w:t>In addition, the University</w:t>
      </w:r>
      <w:r>
        <w:rPr>
          <w:spacing w:val="-3"/>
        </w:rPr>
        <w:t> </w:t>
      </w:r>
      <w:r>
        <w:rPr/>
        <w:t>has implemented an annual reporting process to assess the strengths of</w:t>
      </w:r>
      <w:r>
        <w:rPr>
          <w:spacing w:val="-2"/>
        </w:rPr>
        <w:t> </w:t>
      </w:r>
      <w:r>
        <w:rPr/>
        <w:t>the</w:t>
      </w:r>
      <w:r>
        <w:rPr>
          <w:spacing w:val="-4"/>
        </w:rPr>
        <w:t> </w:t>
      </w:r>
      <w:r>
        <w:rPr/>
        <w:t>program.</w:t>
      </w:r>
      <w:r>
        <w:rPr>
          <w:spacing w:val="-6"/>
        </w:rPr>
        <w:t> </w:t>
      </w:r>
      <w:r>
        <w:rPr/>
        <w:t>The</w:t>
      </w:r>
      <w:r>
        <w:rPr>
          <w:spacing w:val="-4"/>
        </w:rPr>
        <w:t> </w:t>
      </w:r>
      <w:r>
        <w:rPr/>
        <w:t>system,</w:t>
      </w:r>
      <w:r>
        <w:rPr>
          <w:spacing w:val="-4"/>
        </w:rPr>
        <w:t> </w:t>
      </w:r>
      <w:r>
        <w:rPr/>
        <w:t>called</w:t>
      </w:r>
      <w:r>
        <w:rPr>
          <w:spacing w:val="-4"/>
        </w:rPr>
        <w:t> </w:t>
      </w:r>
      <w:r>
        <w:rPr/>
        <w:t>TRACDAT,</w:t>
      </w:r>
      <w:r>
        <w:rPr>
          <w:spacing w:val="-4"/>
        </w:rPr>
        <w:t> </w:t>
      </w:r>
      <w:r>
        <w:rPr/>
        <w:t>is</w:t>
      </w:r>
      <w:r>
        <w:rPr>
          <w:spacing w:val="-3"/>
        </w:rPr>
        <w:t> </w:t>
      </w:r>
      <w:r>
        <w:rPr/>
        <w:t>program-based,</w:t>
      </w:r>
      <w:r>
        <w:rPr>
          <w:spacing w:val="-4"/>
        </w:rPr>
        <w:t> </w:t>
      </w:r>
      <w:r>
        <w:rPr/>
        <w:t>and</w:t>
      </w:r>
      <w:r>
        <w:rPr>
          <w:spacing w:val="-4"/>
        </w:rPr>
        <w:t> </w:t>
      </w:r>
      <w:r>
        <w:rPr/>
        <w:t>requires</w:t>
      </w:r>
      <w:r>
        <w:rPr>
          <w:spacing w:val="-3"/>
        </w:rPr>
        <w:t> </w:t>
      </w:r>
      <w:r>
        <w:rPr/>
        <w:t>each</w:t>
      </w:r>
      <w:r>
        <w:rPr>
          <w:spacing w:val="-4"/>
        </w:rPr>
        <w:t> </w:t>
      </w:r>
      <w:r>
        <w:rPr/>
        <w:t>department to establish metrics for measuring student outcomes upon graduation. It requires each department to establish the metrics for measuring progress in multiple areas, including, enrollment</w:t>
      </w:r>
      <w:r>
        <w:rPr>
          <w:spacing w:val="-6"/>
        </w:rPr>
        <w:t> </w:t>
      </w:r>
      <w:r>
        <w:rPr/>
        <w:t>management</w:t>
      </w:r>
      <w:r>
        <w:rPr>
          <w:spacing w:val="-6"/>
        </w:rPr>
        <w:t> </w:t>
      </w:r>
      <w:r>
        <w:rPr/>
        <w:t>(recruitment,</w:t>
      </w:r>
      <w:r>
        <w:rPr>
          <w:spacing w:val="-6"/>
        </w:rPr>
        <w:t> </w:t>
      </w:r>
      <w:r>
        <w:rPr/>
        <w:t>retention</w:t>
      </w:r>
      <w:r>
        <w:rPr>
          <w:spacing w:val="-6"/>
        </w:rPr>
        <w:t> </w:t>
      </w:r>
      <w:r>
        <w:rPr/>
        <w:t>and</w:t>
      </w:r>
      <w:r>
        <w:rPr>
          <w:spacing w:val="-6"/>
        </w:rPr>
        <w:t> </w:t>
      </w:r>
      <w:r>
        <w:rPr/>
        <w:t>graduation),</w:t>
      </w:r>
      <w:r>
        <w:rPr>
          <w:spacing w:val="-6"/>
        </w:rPr>
        <w:t> </w:t>
      </w:r>
      <w:r>
        <w:rPr/>
        <w:t>fundraising</w:t>
      </w:r>
      <w:r>
        <w:rPr>
          <w:spacing w:val="-6"/>
        </w:rPr>
        <w:t> </w:t>
      </w:r>
      <w:r>
        <w:rPr/>
        <w:t>and</w:t>
      </w:r>
      <w:r>
        <w:rPr>
          <w:spacing w:val="-4"/>
        </w:rPr>
        <w:t> </w:t>
      </w:r>
      <w:r>
        <w:rPr/>
        <w:t>grantsmanship, and student performance.</w:t>
      </w:r>
    </w:p>
    <w:p>
      <w:pPr>
        <w:pStyle w:val="BodyText"/>
        <w:spacing w:before="10"/>
      </w:pPr>
    </w:p>
    <w:p>
      <w:pPr>
        <w:pStyle w:val="BodyText"/>
        <w:ind w:left="1219"/>
      </w:pPr>
      <w:bookmarkStart w:name="1. General Faculty Meetings - The Depart" w:id="23"/>
      <w:bookmarkEnd w:id="23"/>
      <w:r>
        <w:rPr/>
      </w:r>
      <w:r>
        <w:rPr/>
        <w:t>Other</w:t>
      </w:r>
      <w:r>
        <w:rPr>
          <w:spacing w:val="-8"/>
        </w:rPr>
        <w:t> </w:t>
      </w:r>
      <w:r>
        <w:rPr/>
        <w:t>measures</w:t>
      </w:r>
      <w:r>
        <w:rPr>
          <w:spacing w:val="-7"/>
        </w:rPr>
        <w:t> </w:t>
      </w:r>
      <w:r>
        <w:rPr/>
        <w:t>that</w:t>
      </w:r>
      <w:r>
        <w:rPr>
          <w:spacing w:val="-8"/>
        </w:rPr>
        <w:t> </w:t>
      </w:r>
      <w:r>
        <w:rPr/>
        <w:t>exist</w:t>
      </w:r>
      <w:r>
        <w:rPr>
          <w:spacing w:val="-8"/>
        </w:rPr>
        <w:t> </w:t>
      </w:r>
      <w:r>
        <w:rPr/>
        <w:t>to</w:t>
      </w:r>
      <w:r>
        <w:rPr>
          <w:spacing w:val="-8"/>
        </w:rPr>
        <w:t> </w:t>
      </w:r>
      <w:r>
        <w:rPr/>
        <w:t>facilitate</w:t>
      </w:r>
      <w:r>
        <w:rPr>
          <w:spacing w:val="-7"/>
        </w:rPr>
        <w:t> </w:t>
      </w:r>
      <w:r>
        <w:rPr/>
        <w:t>ongoing</w:t>
      </w:r>
      <w:r>
        <w:rPr>
          <w:spacing w:val="-8"/>
        </w:rPr>
        <w:t> </w:t>
      </w:r>
      <w:r>
        <w:rPr/>
        <w:t>self-evaluation</w:t>
      </w:r>
      <w:r>
        <w:rPr>
          <w:spacing w:val="-8"/>
        </w:rPr>
        <w:t> </w:t>
      </w:r>
      <w:r>
        <w:rPr>
          <w:spacing w:val="-2"/>
        </w:rPr>
        <w:t>include:</w:t>
      </w:r>
    </w:p>
    <w:p>
      <w:pPr>
        <w:pStyle w:val="ListParagraph"/>
        <w:numPr>
          <w:ilvl w:val="0"/>
          <w:numId w:val="19"/>
        </w:numPr>
        <w:tabs>
          <w:tab w:pos="1580" w:val="left" w:leader="none"/>
        </w:tabs>
        <w:spacing w:line="240" w:lineRule="auto" w:before="121" w:after="0"/>
        <w:ind w:left="1579" w:right="646" w:hanging="360"/>
        <w:jc w:val="left"/>
        <w:rPr>
          <w:sz w:val="20"/>
        </w:rPr>
      </w:pPr>
      <w:r>
        <w:rPr>
          <w:sz w:val="20"/>
        </w:rPr>
        <w:t>General Faculty Meetings - The Department faculty meets every week to discuss items of importance to the department, faculty</w:t>
      </w:r>
      <w:r>
        <w:rPr>
          <w:spacing w:val="-3"/>
          <w:sz w:val="20"/>
        </w:rPr>
        <w:t> </w:t>
      </w:r>
      <w:r>
        <w:rPr>
          <w:sz w:val="20"/>
        </w:rPr>
        <w:t>and students. The faculty operates as a committee of the</w:t>
      </w:r>
      <w:r>
        <w:rPr>
          <w:spacing w:val="-2"/>
          <w:sz w:val="20"/>
        </w:rPr>
        <w:t> </w:t>
      </w:r>
      <w:r>
        <w:rPr>
          <w:sz w:val="20"/>
        </w:rPr>
        <w:t>whole</w:t>
      </w:r>
      <w:r>
        <w:rPr>
          <w:spacing w:val="-4"/>
          <w:sz w:val="20"/>
        </w:rPr>
        <w:t> </w:t>
      </w:r>
      <w:r>
        <w:rPr>
          <w:sz w:val="20"/>
        </w:rPr>
        <w:t>to</w:t>
      </w:r>
      <w:r>
        <w:rPr>
          <w:spacing w:val="-2"/>
          <w:sz w:val="20"/>
        </w:rPr>
        <w:t> </w:t>
      </w:r>
      <w:r>
        <w:rPr>
          <w:sz w:val="20"/>
        </w:rPr>
        <w:t>vote</w:t>
      </w:r>
      <w:r>
        <w:rPr>
          <w:spacing w:val="-2"/>
          <w:sz w:val="20"/>
        </w:rPr>
        <w:t> </w:t>
      </w:r>
      <w:r>
        <w:rPr>
          <w:sz w:val="20"/>
        </w:rPr>
        <w:t>on</w:t>
      </w:r>
      <w:r>
        <w:rPr>
          <w:spacing w:val="-2"/>
          <w:sz w:val="20"/>
        </w:rPr>
        <w:t> </w:t>
      </w:r>
      <w:r>
        <w:rPr>
          <w:sz w:val="20"/>
        </w:rPr>
        <w:t>important</w:t>
      </w:r>
      <w:r>
        <w:rPr>
          <w:spacing w:val="-2"/>
          <w:sz w:val="20"/>
        </w:rPr>
        <w:t> </w:t>
      </w:r>
      <w:r>
        <w:rPr>
          <w:sz w:val="20"/>
        </w:rPr>
        <w:t>items</w:t>
      </w:r>
      <w:r>
        <w:rPr>
          <w:spacing w:val="-3"/>
          <w:sz w:val="20"/>
        </w:rPr>
        <w:t> </w:t>
      </w:r>
      <w:r>
        <w:rPr>
          <w:sz w:val="20"/>
        </w:rPr>
        <w:t>or</w:t>
      </w:r>
      <w:r>
        <w:rPr>
          <w:spacing w:val="-3"/>
          <w:sz w:val="20"/>
        </w:rPr>
        <w:t> </w:t>
      </w:r>
      <w:r>
        <w:rPr>
          <w:sz w:val="20"/>
        </w:rPr>
        <w:t>to</w:t>
      </w:r>
      <w:r>
        <w:rPr>
          <w:spacing w:val="-4"/>
          <w:sz w:val="20"/>
        </w:rPr>
        <w:t> </w:t>
      </w:r>
      <w:r>
        <w:rPr>
          <w:sz w:val="20"/>
        </w:rPr>
        <w:t>give</w:t>
      </w:r>
      <w:r>
        <w:rPr>
          <w:spacing w:val="-2"/>
          <w:sz w:val="20"/>
        </w:rPr>
        <w:t> </w:t>
      </w:r>
      <w:r>
        <w:rPr>
          <w:sz w:val="20"/>
        </w:rPr>
        <w:t>input</w:t>
      </w:r>
      <w:r>
        <w:rPr>
          <w:spacing w:val="-4"/>
          <w:sz w:val="20"/>
        </w:rPr>
        <w:t> </w:t>
      </w:r>
      <w:r>
        <w:rPr>
          <w:sz w:val="20"/>
        </w:rPr>
        <w:t>to</w:t>
      </w:r>
      <w:r>
        <w:rPr>
          <w:spacing w:val="-2"/>
          <w:sz w:val="20"/>
        </w:rPr>
        <w:t> </w:t>
      </w:r>
      <w:r>
        <w:rPr>
          <w:sz w:val="20"/>
        </w:rPr>
        <w:t>the</w:t>
      </w:r>
      <w:r>
        <w:rPr>
          <w:spacing w:val="-4"/>
          <w:sz w:val="20"/>
        </w:rPr>
        <w:t> </w:t>
      </w:r>
      <w:r>
        <w:rPr>
          <w:sz w:val="20"/>
        </w:rPr>
        <w:t>Chair.</w:t>
      </w:r>
      <w:r>
        <w:rPr>
          <w:spacing w:val="40"/>
          <w:sz w:val="20"/>
        </w:rPr>
        <w:t> </w:t>
      </w:r>
      <w:r>
        <w:rPr>
          <w:sz w:val="20"/>
        </w:rPr>
        <w:t>The</w:t>
      </w:r>
      <w:r>
        <w:rPr>
          <w:spacing w:val="-4"/>
          <w:sz w:val="20"/>
        </w:rPr>
        <w:t> </w:t>
      </w:r>
      <w:r>
        <w:rPr>
          <w:sz w:val="20"/>
        </w:rPr>
        <w:t>meetings</w:t>
      </w:r>
      <w:r>
        <w:rPr>
          <w:spacing w:val="-3"/>
          <w:sz w:val="20"/>
        </w:rPr>
        <w:t> </w:t>
      </w:r>
      <w:r>
        <w:rPr>
          <w:sz w:val="20"/>
        </w:rPr>
        <w:t>are</w:t>
      </w:r>
      <w:r>
        <w:rPr>
          <w:spacing w:val="-4"/>
          <w:sz w:val="20"/>
        </w:rPr>
        <w:t> </w:t>
      </w:r>
      <w:r>
        <w:rPr>
          <w:sz w:val="20"/>
        </w:rPr>
        <w:t>open</w:t>
      </w:r>
      <w:r>
        <w:rPr>
          <w:spacing w:val="-4"/>
          <w:sz w:val="20"/>
        </w:rPr>
        <w:t> </w:t>
      </w:r>
      <w:r>
        <w:rPr>
          <w:sz w:val="20"/>
        </w:rPr>
        <w:t>to students and officers or representatives from AIAS and NOMAS are specifically invited to attend and represent the student body.</w:t>
      </w:r>
    </w:p>
    <w:p>
      <w:pPr>
        <w:pStyle w:val="ListParagraph"/>
        <w:numPr>
          <w:ilvl w:val="0"/>
          <w:numId w:val="19"/>
        </w:numPr>
        <w:tabs>
          <w:tab w:pos="1580" w:val="left" w:leader="none"/>
        </w:tabs>
        <w:spacing w:line="240" w:lineRule="auto" w:before="120" w:after="0"/>
        <w:ind w:left="1579" w:right="902" w:hanging="360"/>
        <w:jc w:val="left"/>
        <w:rPr>
          <w:sz w:val="20"/>
        </w:rPr>
      </w:pPr>
      <w:bookmarkStart w:name="2. Dean and Chair - The Department’s fac" w:id="24"/>
      <w:bookmarkEnd w:id="24"/>
      <w:r>
        <w:rPr>
          <w:sz w:val="20"/>
        </w:rPr>
        <w:t>D</w:t>
      </w:r>
      <w:r>
        <w:rPr>
          <w:sz w:val="20"/>
        </w:rPr>
        <w:t>ean</w:t>
      </w:r>
      <w:r>
        <w:rPr>
          <w:spacing w:val="-2"/>
          <w:sz w:val="20"/>
        </w:rPr>
        <w:t> </w:t>
      </w:r>
      <w:r>
        <w:rPr>
          <w:sz w:val="20"/>
        </w:rPr>
        <w:t>and</w:t>
      </w:r>
      <w:r>
        <w:rPr>
          <w:spacing w:val="-2"/>
          <w:sz w:val="20"/>
        </w:rPr>
        <w:t> </w:t>
      </w:r>
      <w:r>
        <w:rPr>
          <w:sz w:val="20"/>
        </w:rPr>
        <w:t>Chair</w:t>
      </w:r>
      <w:r>
        <w:rPr>
          <w:spacing w:val="-3"/>
          <w:sz w:val="20"/>
        </w:rPr>
        <w:t> </w:t>
      </w:r>
      <w:r>
        <w:rPr>
          <w:sz w:val="20"/>
        </w:rPr>
        <w:t>-</w:t>
      </w:r>
      <w:r>
        <w:rPr>
          <w:spacing w:val="-3"/>
          <w:sz w:val="20"/>
        </w:rPr>
        <w:t> </w:t>
      </w:r>
      <w:r>
        <w:rPr>
          <w:sz w:val="20"/>
        </w:rPr>
        <w:t>The</w:t>
      </w:r>
      <w:r>
        <w:rPr>
          <w:spacing w:val="-4"/>
          <w:sz w:val="20"/>
        </w:rPr>
        <w:t> </w:t>
      </w:r>
      <w:r>
        <w:rPr>
          <w:sz w:val="20"/>
        </w:rPr>
        <w:t>Department’s</w:t>
      </w:r>
      <w:r>
        <w:rPr>
          <w:spacing w:val="-3"/>
          <w:sz w:val="20"/>
        </w:rPr>
        <w:t> </w:t>
      </w:r>
      <w:r>
        <w:rPr>
          <w:sz w:val="20"/>
        </w:rPr>
        <w:t>faculty</w:t>
      </w:r>
      <w:r>
        <w:rPr>
          <w:spacing w:val="-7"/>
          <w:sz w:val="20"/>
        </w:rPr>
        <w:t> </w:t>
      </w:r>
      <w:r>
        <w:rPr>
          <w:sz w:val="20"/>
        </w:rPr>
        <w:t>reviews</w:t>
      </w:r>
      <w:r>
        <w:rPr>
          <w:spacing w:val="-3"/>
          <w:sz w:val="20"/>
        </w:rPr>
        <w:t> </w:t>
      </w:r>
      <w:r>
        <w:rPr>
          <w:sz w:val="20"/>
        </w:rPr>
        <w:t>the</w:t>
      </w:r>
      <w:r>
        <w:rPr>
          <w:spacing w:val="-4"/>
          <w:sz w:val="20"/>
        </w:rPr>
        <w:t> </w:t>
      </w:r>
      <w:r>
        <w:rPr>
          <w:sz w:val="20"/>
        </w:rPr>
        <w:t>performance</w:t>
      </w:r>
      <w:r>
        <w:rPr>
          <w:spacing w:val="-4"/>
          <w:sz w:val="20"/>
        </w:rPr>
        <w:t> </w:t>
      </w:r>
      <w:r>
        <w:rPr>
          <w:sz w:val="20"/>
        </w:rPr>
        <w:t>of</w:t>
      </w:r>
      <w:r>
        <w:rPr>
          <w:spacing w:val="-2"/>
          <w:sz w:val="20"/>
        </w:rPr>
        <w:t> </w:t>
      </w:r>
      <w:r>
        <w:rPr>
          <w:sz w:val="20"/>
        </w:rPr>
        <w:t>the</w:t>
      </w:r>
      <w:r>
        <w:rPr>
          <w:spacing w:val="-4"/>
          <w:sz w:val="20"/>
        </w:rPr>
        <w:t> </w:t>
      </w:r>
      <w:r>
        <w:rPr>
          <w:sz w:val="20"/>
        </w:rPr>
        <w:t>Dean and</w:t>
      </w:r>
      <w:r>
        <w:rPr>
          <w:spacing w:val="-4"/>
          <w:sz w:val="20"/>
        </w:rPr>
        <w:t> </w:t>
      </w:r>
      <w:r>
        <w:rPr>
          <w:sz w:val="20"/>
        </w:rPr>
        <w:t>the Chair. The results are reviewed by the Provost and President of the University.</w:t>
      </w:r>
    </w:p>
    <w:p>
      <w:pPr>
        <w:pStyle w:val="ListParagraph"/>
        <w:numPr>
          <w:ilvl w:val="0"/>
          <w:numId w:val="19"/>
        </w:numPr>
        <w:tabs>
          <w:tab w:pos="1580" w:val="left" w:leader="none"/>
        </w:tabs>
        <w:spacing w:line="240" w:lineRule="auto" w:before="118" w:after="0"/>
        <w:ind w:left="1579" w:right="659" w:hanging="360"/>
        <w:jc w:val="left"/>
        <w:rPr>
          <w:sz w:val="20"/>
        </w:rPr>
      </w:pPr>
      <w:bookmarkStart w:name="3. Faculty Evaluations - The Chair revie" w:id="25"/>
      <w:bookmarkEnd w:id="25"/>
      <w:r>
        <w:rPr>
          <w:sz w:val="20"/>
        </w:rPr>
        <w:t>F</w:t>
      </w:r>
      <w:r>
        <w:rPr>
          <w:sz w:val="20"/>
        </w:rPr>
        <w:t>aculty</w:t>
      </w:r>
      <w:r>
        <w:rPr>
          <w:spacing w:val="-7"/>
          <w:sz w:val="20"/>
        </w:rPr>
        <w:t> </w:t>
      </w:r>
      <w:r>
        <w:rPr>
          <w:sz w:val="20"/>
        </w:rPr>
        <w:t>Evaluations</w:t>
      </w:r>
      <w:r>
        <w:rPr>
          <w:spacing w:val="-3"/>
          <w:sz w:val="20"/>
        </w:rPr>
        <w:t> </w:t>
      </w:r>
      <w:r>
        <w:rPr>
          <w:sz w:val="20"/>
        </w:rPr>
        <w:t>-</w:t>
      </w:r>
      <w:r>
        <w:rPr>
          <w:spacing w:val="-3"/>
          <w:sz w:val="20"/>
        </w:rPr>
        <w:t> </w:t>
      </w:r>
      <w:r>
        <w:rPr>
          <w:sz w:val="20"/>
        </w:rPr>
        <w:t>The</w:t>
      </w:r>
      <w:r>
        <w:rPr>
          <w:spacing w:val="-4"/>
          <w:sz w:val="20"/>
        </w:rPr>
        <w:t> </w:t>
      </w:r>
      <w:r>
        <w:rPr>
          <w:sz w:val="20"/>
        </w:rPr>
        <w:t>Chair</w:t>
      </w:r>
      <w:r>
        <w:rPr>
          <w:spacing w:val="-3"/>
          <w:sz w:val="20"/>
        </w:rPr>
        <w:t> </w:t>
      </w:r>
      <w:r>
        <w:rPr>
          <w:sz w:val="20"/>
        </w:rPr>
        <w:t>reviews</w:t>
      </w:r>
      <w:r>
        <w:rPr>
          <w:spacing w:val="-3"/>
          <w:sz w:val="20"/>
        </w:rPr>
        <w:t> </w:t>
      </w:r>
      <w:r>
        <w:rPr>
          <w:sz w:val="20"/>
        </w:rPr>
        <w:t>faculty</w:t>
      </w:r>
      <w:r>
        <w:rPr>
          <w:spacing w:val="-7"/>
          <w:sz w:val="20"/>
        </w:rPr>
        <w:t> </w:t>
      </w:r>
      <w:r>
        <w:rPr>
          <w:sz w:val="20"/>
        </w:rPr>
        <w:t>each</w:t>
      </w:r>
      <w:r>
        <w:rPr>
          <w:spacing w:val="-2"/>
          <w:sz w:val="20"/>
        </w:rPr>
        <w:t> </w:t>
      </w:r>
      <w:r>
        <w:rPr>
          <w:sz w:val="20"/>
        </w:rPr>
        <w:t>year</w:t>
      </w:r>
      <w:r>
        <w:rPr>
          <w:spacing w:val="-1"/>
          <w:sz w:val="20"/>
        </w:rPr>
        <w:t> </w:t>
      </w:r>
      <w:r>
        <w:rPr>
          <w:sz w:val="20"/>
        </w:rPr>
        <w:t>according</w:t>
      </w:r>
      <w:r>
        <w:rPr>
          <w:spacing w:val="-4"/>
          <w:sz w:val="20"/>
        </w:rPr>
        <w:t> </w:t>
      </w:r>
      <w:r>
        <w:rPr>
          <w:sz w:val="20"/>
        </w:rPr>
        <w:t>to</w:t>
      </w:r>
      <w:r>
        <w:rPr>
          <w:spacing w:val="-2"/>
          <w:sz w:val="20"/>
        </w:rPr>
        <w:t> </w:t>
      </w:r>
      <w:r>
        <w:rPr>
          <w:sz w:val="20"/>
        </w:rPr>
        <w:t>University</w:t>
      </w:r>
      <w:r>
        <w:rPr>
          <w:spacing w:val="-7"/>
          <w:sz w:val="20"/>
        </w:rPr>
        <w:t> </w:t>
      </w:r>
      <w:r>
        <w:rPr>
          <w:sz w:val="20"/>
        </w:rPr>
        <w:t>standards through visits to the classrooms/studios and through a formal yearly evaluation.</w:t>
      </w:r>
      <w:r>
        <w:rPr>
          <w:spacing w:val="40"/>
          <w:sz w:val="20"/>
        </w:rPr>
        <w:t> </w:t>
      </w:r>
      <w:r>
        <w:rPr>
          <w:sz w:val="20"/>
        </w:rPr>
        <w:t>These </w:t>
      </w:r>
      <w:bookmarkStart w:name="4. Student Evaluations of Faculty and Co" w:id="26"/>
      <w:bookmarkEnd w:id="26"/>
      <w:r>
        <w:rPr>
          <w:sz w:val="20"/>
        </w:rPr>
        <w:t>r</w:t>
      </w:r>
      <w:r>
        <w:rPr>
          <w:sz w:val="20"/>
        </w:rPr>
        <w:t>esults are shared with each faculty member.</w:t>
      </w:r>
    </w:p>
    <w:p>
      <w:pPr>
        <w:pStyle w:val="ListParagraph"/>
        <w:numPr>
          <w:ilvl w:val="0"/>
          <w:numId w:val="19"/>
        </w:numPr>
        <w:tabs>
          <w:tab w:pos="1580" w:val="left" w:leader="none"/>
        </w:tabs>
        <w:spacing w:line="240" w:lineRule="auto" w:before="122" w:after="0"/>
        <w:ind w:left="1579" w:right="502" w:hanging="360"/>
        <w:jc w:val="left"/>
        <w:rPr>
          <w:sz w:val="20"/>
        </w:rPr>
      </w:pPr>
      <w:r>
        <w:rPr>
          <w:sz w:val="20"/>
        </w:rPr>
        <w:t>Student Evaluations of Faculty</w:t>
      </w:r>
      <w:r>
        <w:rPr>
          <w:spacing w:val="-2"/>
          <w:sz w:val="20"/>
        </w:rPr>
        <w:t> </w:t>
      </w:r>
      <w:r>
        <w:rPr>
          <w:sz w:val="20"/>
        </w:rPr>
        <w:t>and Courses - Students evaluate each course and the course faculty.</w:t>
      </w:r>
      <w:r>
        <w:rPr>
          <w:spacing w:val="40"/>
          <w:sz w:val="20"/>
        </w:rPr>
        <w:t> </w:t>
      </w:r>
      <w:r>
        <w:rPr>
          <w:sz w:val="20"/>
        </w:rPr>
        <w:t>The evaluations are submitted to the Center for Teaching Excellence for collating. The results are returned to the Dean, the Chair and the faculty member for use in faculty development.</w:t>
      </w:r>
      <w:r>
        <w:rPr>
          <w:spacing w:val="40"/>
          <w:sz w:val="20"/>
        </w:rPr>
        <w:t> </w:t>
      </w:r>
      <w:r>
        <w:rPr>
          <w:sz w:val="20"/>
        </w:rPr>
        <w:t>The</w:t>
      </w:r>
      <w:r>
        <w:rPr>
          <w:spacing w:val="-4"/>
          <w:sz w:val="20"/>
        </w:rPr>
        <w:t> </w:t>
      </w:r>
      <w:r>
        <w:rPr>
          <w:sz w:val="20"/>
        </w:rPr>
        <w:t>results</w:t>
      </w:r>
      <w:r>
        <w:rPr>
          <w:spacing w:val="-1"/>
          <w:sz w:val="20"/>
        </w:rPr>
        <w:t> </w:t>
      </w:r>
      <w:r>
        <w:rPr>
          <w:sz w:val="20"/>
        </w:rPr>
        <w:t>are</w:t>
      </w:r>
      <w:r>
        <w:rPr>
          <w:spacing w:val="-4"/>
          <w:sz w:val="20"/>
        </w:rPr>
        <w:t> </w:t>
      </w:r>
      <w:r>
        <w:rPr>
          <w:sz w:val="20"/>
        </w:rPr>
        <w:t>also</w:t>
      </w:r>
      <w:r>
        <w:rPr>
          <w:spacing w:val="-2"/>
          <w:sz w:val="20"/>
        </w:rPr>
        <w:t> </w:t>
      </w:r>
      <w:r>
        <w:rPr>
          <w:sz w:val="20"/>
        </w:rPr>
        <w:t>required</w:t>
      </w:r>
      <w:r>
        <w:rPr>
          <w:spacing w:val="-2"/>
          <w:sz w:val="20"/>
        </w:rPr>
        <w:t> </w:t>
      </w:r>
      <w:r>
        <w:rPr>
          <w:sz w:val="20"/>
        </w:rPr>
        <w:t>as</w:t>
      </w:r>
      <w:r>
        <w:rPr>
          <w:spacing w:val="-3"/>
          <w:sz w:val="20"/>
        </w:rPr>
        <w:t> </w:t>
      </w:r>
      <w:r>
        <w:rPr>
          <w:sz w:val="20"/>
        </w:rPr>
        <w:t>a</w:t>
      </w:r>
      <w:r>
        <w:rPr>
          <w:spacing w:val="-2"/>
          <w:sz w:val="20"/>
        </w:rPr>
        <w:t> </w:t>
      </w:r>
      <w:r>
        <w:rPr>
          <w:sz w:val="20"/>
        </w:rPr>
        <w:t>part</w:t>
      </w:r>
      <w:r>
        <w:rPr>
          <w:spacing w:val="-2"/>
          <w:sz w:val="20"/>
        </w:rPr>
        <w:t> </w:t>
      </w:r>
      <w:r>
        <w:rPr>
          <w:sz w:val="20"/>
        </w:rPr>
        <w:t>of</w:t>
      </w:r>
      <w:r>
        <w:rPr>
          <w:spacing w:val="-2"/>
          <w:sz w:val="20"/>
        </w:rPr>
        <w:t> </w:t>
      </w:r>
      <w:r>
        <w:rPr>
          <w:sz w:val="20"/>
        </w:rPr>
        <w:t>the</w:t>
      </w:r>
      <w:r>
        <w:rPr>
          <w:spacing w:val="-4"/>
          <w:sz w:val="20"/>
        </w:rPr>
        <w:t> </w:t>
      </w:r>
      <w:r>
        <w:rPr>
          <w:sz w:val="20"/>
        </w:rPr>
        <w:t>Tenure</w:t>
      </w:r>
      <w:r>
        <w:rPr>
          <w:spacing w:val="-4"/>
          <w:sz w:val="20"/>
        </w:rPr>
        <w:t> </w:t>
      </w:r>
      <w:r>
        <w:rPr>
          <w:sz w:val="20"/>
        </w:rPr>
        <w:t>and</w:t>
      </w:r>
      <w:r>
        <w:rPr>
          <w:spacing w:val="-2"/>
          <w:sz w:val="20"/>
        </w:rPr>
        <w:t> </w:t>
      </w:r>
      <w:r>
        <w:rPr>
          <w:sz w:val="20"/>
        </w:rPr>
        <w:t>Promotion</w:t>
      </w:r>
      <w:r>
        <w:rPr>
          <w:spacing w:val="-4"/>
          <w:sz w:val="20"/>
        </w:rPr>
        <w:t> </w:t>
      </w:r>
      <w:r>
        <w:rPr>
          <w:sz w:val="20"/>
        </w:rPr>
        <w:t>evaluation </w:t>
      </w:r>
      <w:r>
        <w:rPr>
          <w:spacing w:val="-2"/>
          <w:sz w:val="20"/>
        </w:rPr>
        <w:t>procedure.</w:t>
      </w:r>
    </w:p>
    <w:p>
      <w:pPr>
        <w:pStyle w:val="ListParagraph"/>
        <w:numPr>
          <w:ilvl w:val="0"/>
          <w:numId w:val="19"/>
        </w:numPr>
        <w:tabs>
          <w:tab w:pos="1580" w:val="left" w:leader="none"/>
        </w:tabs>
        <w:spacing w:line="240" w:lineRule="auto" w:before="120" w:after="0"/>
        <w:ind w:left="1579" w:right="633" w:hanging="360"/>
        <w:jc w:val="left"/>
        <w:rPr>
          <w:sz w:val="20"/>
        </w:rPr>
      </w:pPr>
      <w:bookmarkStart w:name="5. School and University Review - Review" w:id="27"/>
      <w:bookmarkEnd w:id="27"/>
      <w:r>
        <w:rPr>
          <w:sz w:val="20"/>
        </w:rPr>
        <w:t>S</w:t>
      </w:r>
      <w:r>
        <w:rPr>
          <w:sz w:val="20"/>
        </w:rPr>
        <w:t>chool and University Review - Review of the Department has been through yearly report, the</w:t>
      </w:r>
      <w:r>
        <w:rPr>
          <w:spacing w:val="-2"/>
          <w:sz w:val="20"/>
        </w:rPr>
        <w:t> </w:t>
      </w:r>
      <w:r>
        <w:rPr>
          <w:sz w:val="20"/>
        </w:rPr>
        <w:t>Strategic Plan</w:t>
      </w:r>
      <w:r>
        <w:rPr>
          <w:spacing w:val="-4"/>
          <w:sz w:val="20"/>
        </w:rPr>
        <w:t> </w:t>
      </w:r>
      <w:r>
        <w:rPr>
          <w:sz w:val="20"/>
        </w:rPr>
        <w:t>and</w:t>
      </w:r>
      <w:r>
        <w:rPr>
          <w:spacing w:val="-4"/>
          <w:sz w:val="20"/>
        </w:rPr>
        <w:t> </w:t>
      </w:r>
      <w:r>
        <w:rPr>
          <w:sz w:val="20"/>
        </w:rPr>
        <w:t>the</w:t>
      </w:r>
      <w:r>
        <w:rPr>
          <w:spacing w:val="-2"/>
          <w:sz w:val="20"/>
        </w:rPr>
        <w:t> </w:t>
      </w:r>
      <w:r>
        <w:rPr>
          <w:sz w:val="20"/>
        </w:rPr>
        <w:t>Long</w:t>
      </w:r>
      <w:r>
        <w:rPr>
          <w:spacing w:val="-2"/>
          <w:sz w:val="20"/>
        </w:rPr>
        <w:t> </w:t>
      </w:r>
      <w:r>
        <w:rPr>
          <w:sz w:val="20"/>
        </w:rPr>
        <w:t>Range</w:t>
      </w:r>
      <w:r>
        <w:rPr>
          <w:spacing w:val="-2"/>
          <w:sz w:val="20"/>
        </w:rPr>
        <w:t> </w:t>
      </w:r>
      <w:r>
        <w:rPr>
          <w:sz w:val="20"/>
        </w:rPr>
        <w:t>Plan,</w:t>
      </w:r>
      <w:r>
        <w:rPr>
          <w:spacing w:val="-2"/>
          <w:sz w:val="20"/>
        </w:rPr>
        <w:t> </w:t>
      </w:r>
      <w:r>
        <w:rPr>
          <w:sz w:val="20"/>
        </w:rPr>
        <w:t>an</w:t>
      </w:r>
      <w:r>
        <w:rPr>
          <w:spacing w:val="-2"/>
          <w:sz w:val="20"/>
        </w:rPr>
        <w:t> </w:t>
      </w:r>
      <w:r>
        <w:rPr>
          <w:sz w:val="20"/>
        </w:rPr>
        <w:t>annual</w:t>
      </w:r>
      <w:r>
        <w:rPr>
          <w:spacing w:val="-5"/>
          <w:sz w:val="20"/>
        </w:rPr>
        <w:t> </w:t>
      </w:r>
      <w:r>
        <w:rPr>
          <w:sz w:val="20"/>
        </w:rPr>
        <w:t>five year</w:t>
      </w:r>
      <w:r>
        <w:rPr>
          <w:spacing w:val="-3"/>
          <w:sz w:val="20"/>
        </w:rPr>
        <w:t> </w:t>
      </w:r>
      <w:r>
        <w:rPr>
          <w:sz w:val="20"/>
        </w:rPr>
        <w:t>plan.</w:t>
      </w:r>
      <w:r>
        <w:rPr>
          <w:spacing w:val="40"/>
          <w:sz w:val="20"/>
        </w:rPr>
        <w:t> </w:t>
      </w:r>
      <w:r>
        <w:rPr>
          <w:sz w:val="20"/>
        </w:rPr>
        <w:t>The</w:t>
      </w:r>
      <w:r>
        <w:rPr>
          <w:spacing w:val="-4"/>
          <w:sz w:val="20"/>
        </w:rPr>
        <w:t> </w:t>
      </w:r>
      <w:r>
        <w:rPr>
          <w:sz w:val="20"/>
        </w:rPr>
        <w:t>University</w:t>
      </w:r>
      <w:r>
        <w:rPr>
          <w:spacing w:val="-5"/>
          <w:sz w:val="20"/>
        </w:rPr>
        <w:t> </w:t>
      </w:r>
      <w:r>
        <w:rPr>
          <w:sz w:val="20"/>
        </w:rPr>
        <w:t>has</w:t>
      </w:r>
      <w:r>
        <w:rPr>
          <w:spacing w:val="-3"/>
          <w:sz w:val="20"/>
        </w:rPr>
        <w:t> </w:t>
      </w:r>
      <w:r>
        <w:rPr>
          <w:sz w:val="20"/>
        </w:rPr>
        <w:t>a Program Review Committee, which reviews each program in the University on a five-year cycle.</w:t>
      </w:r>
      <w:r>
        <w:rPr>
          <w:spacing w:val="40"/>
          <w:sz w:val="20"/>
        </w:rPr>
        <w:t> </w:t>
      </w:r>
      <w:r>
        <w:rPr>
          <w:sz w:val="20"/>
        </w:rPr>
        <w:t>The Department of Architecture has a faculty member on this committee.</w:t>
      </w:r>
    </w:p>
    <w:p>
      <w:pPr>
        <w:pStyle w:val="ListParagraph"/>
        <w:numPr>
          <w:ilvl w:val="0"/>
          <w:numId w:val="19"/>
        </w:numPr>
        <w:tabs>
          <w:tab w:pos="1580" w:val="left" w:leader="none"/>
        </w:tabs>
        <w:spacing w:line="240" w:lineRule="auto" w:before="119" w:after="0"/>
        <w:ind w:left="1579" w:right="568" w:hanging="360"/>
        <w:jc w:val="left"/>
        <w:rPr>
          <w:sz w:val="20"/>
        </w:rPr>
      </w:pPr>
      <w:bookmarkStart w:name="6. Alumni Surveys - The Department’s for" w:id="28"/>
      <w:bookmarkEnd w:id="28"/>
      <w:r>
        <w:rPr>
          <w:sz w:val="20"/>
        </w:rPr>
        <w:t>A</w:t>
      </w:r>
      <w:r>
        <w:rPr>
          <w:sz w:val="20"/>
        </w:rPr>
        <w:t>lumni</w:t>
      </w:r>
      <w:r>
        <w:rPr>
          <w:spacing w:val="-5"/>
          <w:sz w:val="20"/>
        </w:rPr>
        <w:t> </w:t>
      </w:r>
      <w:r>
        <w:rPr>
          <w:sz w:val="20"/>
        </w:rPr>
        <w:t>Surveys</w:t>
      </w:r>
      <w:r>
        <w:rPr>
          <w:spacing w:val="-3"/>
          <w:sz w:val="20"/>
        </w:rPr>
        <w:t> </w:t>
      </w:r>
      <w:r>
        <w:rPr>
          <w:sz w:val="20"/>
        </w:rPr>
        <w:t>-</w:t>
      </w:r>
      <w:r>
        <w:rPr>
          <w:spacing w:val="-3"/>
          <w:sz w:val="20"/>
        </w:rPr>
        <w:t> </w:t>
      </w:r>
      <w:r>
        <w:rPr>
          <w:sz w:val="20"/>
        </w:rPr>
        <w:t>The</w:t>
      </w:r>
      <w:r>
        <w:rPr>
          <w:spacing w:val="-4"/>
          <w:sz w:val="20"/>
        </w:rPr>
        <w:t> </w:t>
      </w:r>
      <w:r>
        <w:rPr>
          <w:sz w:val="20"/>
        </w:rPr>
        <w:t>Department’s</w:t>
      </w:r>
      <w:r>
        <w:rPr>
          <w:spacing w:val="-3"/>
          <w:sz w:val="20"/>
        </w:rPr>
        <w:t> </w:t>
      </w:r>
      <w:r>
        <w:rPr>
          <w:sz w:val="20"/>
        </w:rPr>
        <w:t>former</w:t>
      </w:r>
      <w:r>
        <w:rPr>
          <w:spacing w:val="-3"/>
          <w:sz w:val="20"/>
        </w:rPr>
        <w:t> </w:t>
      </w:r>
      <w:r>
        <w:rPr>
          <w:sz w:val="20"/>
        </w:rPr>
        <w:t>Chair</w:t>
      </w:r>
      <w:r>
        <w:rPr>
          <w:spacing w:val="-3"/>
          <w:sz w:val="20"/>
        </w:rPr>
        <w:t> </w:t>
      </w:r>
      <w:r>
        <w:rPr>
          <w:sz w:val="20"/>
        </w:rPr>
        <w:t>met</w:t>
      </w:r>
      <w:r>
        <w:rPr>
          <w:spacing w:val="-4"/>
          <w:sz w:val="20"/>
        </w:rPr>
        <w:t> </w:t>
      </w:r>
      <w:r>
        <w:rPr>
          <w:sz w:val="20"/>
        </w:rPr>
        <w:t>individually</w:t>
      </w:r>
      <w:r>
        <w:rPr>
          <w:spacing w:val="-5"/>
          <w:sz w:val="20"/>
        </w:rPr>
        <w:t> </w:t>
      </w:r>
      <w:r>
        <w:rPr>
          <w:sz w:val="20"/>
        </w:rPr>
        <w:t>with</w:t>
      </w:r>
      <w:r>
        <w:rPr>
          <w:spacing w:val="-4"/>
          <w:sz w:val="20"/>
        </w:rPr>
        <w:t> </w:t>
      </w:r>
      <w:r>
        <w:rPr>
          <w:sz w:val="20"/>
        </w:rPr>
        <w:t>graduating</w:t>
      </w:r>
      <w:r>
        <w:rPr>
          <w:spacing w:val="-2"/>
          <w:sz w:val="20"/>
        </w:rPr>
        <w:t> </w:t>
      </w:r>
      <w:r>
        <w:rPr>
          <w:sz w:val="20"/>
        </w:rPr>
        <w:t>students</w:t>
      </w:r>
      <w:r>
        <w:rPr>
          <w:spacing w:val="-3"/>
          <w:sz w:val="20"/>
        </w:rPr>
        <w:t> </w:t>
      </w:r>
      <w:r>
        <w:rPr>
          <w:sz w:val="20"/>
        </w:rPr>
        <w:t>to review their thoughts on the Department and their education.</w:t>
      </w:r>
      <w:r>
        <w:rPr>
          <w:spacing w:val="40"/>
          <w:sz w:val="20"/>
        </w:rPr>
        <w:t> </w:t>
      </w:r>
      <w:r>
        <w:rPr>
          <w:sz w:val="20"/>
        </w:rPr>
        <w:t>The program is still small enough that the Chair found more value in this personal approach. There has been considerable ongoing contact with our graduates, as design reviewers, lecturers and adjuncts. There have been no formal Alumni surveys undertaken, although this matter is under consideration as the faculty evaluates the impact of the 5 + year M. Arch. degree.</w:t>
      </w:r>
    </w:p>
    <w:p>
      <w:pPr>
        <w:spacing w:after="0" w:line="240" w:lineRule="auto"/>
        <w:jc w:val="left"/>
        <w:rPr>
          <w:sz w:val="20"/>
        </w:rPr>
        <w:sectPr>
          <w:pgSz w:w="12240" w:h="15840"/>
          <w:pgMar w:header="0" w:footer="974" w:top="1360" w:bottom="1160" w:left="940" w:right="960"/>
        </w:sectPr>
      </w:pPr>
    </w:p>
    <w:p>
      <w:pPr>
        <w:pStyle w:val="BodyText"/>
        <w:spacing w:before="77"/>
        <w:ind w:left="1580" w:right="499"/>
      </w:pPr>
      <w:bookmarkStart w:name="In 2001 a group of alumni formed the Ham" w:id="29"/>
      <w:bookmarkEnd w:id="29"/>
      <w:r>
        <w:rPr/>
      </w:r>
      <w:r>
        <w:rPr/>
        <w:t>In 2001 a group of alumni formed the Hampton University Architectural Alumni Association, Inc.</w:t>
      </w:r>
      <w:r>
        <w:rPr>
          <w:spacing w:val="-4"/>
        </w:rPr>
        <w:t> </w:t>
      </w:r>
      <w:r>
        <w:rPr/>
        <w:t>This</w:t>
      </w:r>
      <w:r>
        <w:rPr>
          <w:spacing w:val="-3"/>
        </w:rPr>
        <w:t> </w:t>
      </w:r>
      <w:r>
        <w:rPr/>
        <w:t>is</w:t>
      </w:r>
      <w:r>
        <w:rPr>
          <w:spacing w:val="-3"/>
        </w:rPr>
        <w:t> </w:t>
      </w:r>
      <w:r>
        <w:rPr/>
        <w:t>the</w:t>
      </w:r>
      <w:r>
        <w:rPr>
          <w:spacing w:val="-2"/>
        </w:rPr>
        <w:t> </w:t>
      </w:r>
      <w:r>
        <w:rPr/>
        <w:t>third</w:t>
      </w:r>
      <w:r>
        <w:rPr>
          <w:spacing w:val="-4"/>
        </w:rPr>
        <w:t> </w:t>
      </w:r>
      <w:r>
        <w:rPr/>
        <w:t>professional</w:t>
      </w:r>
      <w:r>
        <w:rPr>
          <w:spacing w:val="-5"/>
        </w:rPr>
        <w:t> </w:t>
      </w:r>
      <w:r>
        <w:rPr/>
        <w:t>chapter</w:t>
      </w:r>
      <w:r>
        <w:rPr>
          <w:spacing w:val="-1"/>
        </w:rPr>
        <w:t> </w:t>
      </w:r>
      <w:r>
        <w:rPr/>
        <w:t>of</w:t>
      </w:r>
      <w:r>
        <w:rPr>
          <w:spacing w:val="-2"/>
        </w:rPr>
        <w:t> </w:t>
      </w:r>
      <w:r>
        <w:rPr/>
        <w:t>the</w:t>
      </w:r>
      <w:r>
        <w:rPr>
          <w:spacing w:val="-4"/>
        </w:rPr>
        <w:t> </w:t>
      </w:r>
      <w:r>
        <w:rPr/>
        <w:t>Hampton</w:t>
      </w:r>
      <w:r>
        <w:rPr>
          <w:spacing w:val="-4"/>
        </w:rPr>
        <w:t> </w:t>
      </w:r>
      <w:r>
        <w:rPr/>
        <w:t>University</w:t>
      </w:r>
      <w:r>
        <w:rPr>
          <w:spacing w:val="-7"/>
        </w:rPr>
        <w:t> </w:t>
      </w:r>
      <w:r>
        <w:rPr/>
        <w:t>Alumni</w:t>
      </w:r>
      <w:r>
        <w:rPr>
          <w:spacing w:val="-5"/>
        </w:rPr>
        <w:t> </w:t>
      </w:r>
      <w:r>
        <w:rPr/>
        <w:t>Association,</w:t>
      </w:r>
      <w:r>
        <w:rPr>
          <w:spacing w:val="-2"/>
        </w:rPr>
        <w:t> </w:t>
      </w:r>
      <w:r>
        <w:rPr/>
        <w:t>Inc., joining chapters for nursing, and for military professionals. For the past several years the HUAAA has held alumni meetings in Bemis Hall during Homecoming, where they have met with</w:t>
      </w:r>
      <w:r>
        <w:rPr>
          <w:spacing w:val="-1"/>
        </w:rPr>
        <w:t> </w:t>
      </w:r>
      <w:r>
        <w:rPr/>
        <w:t>students,</w:t>
      </w:r>
      <w:r>
        <w:rPr>
          <w:spacing w:val="-1"/>
        </w:rPr>
        <w:t> </w:t>
      </w:r>
      <w:r>
        <w:rPr/>
        <w:t>faculty,</w:t>
      </w:r>
      <w:r>
        <w:rPr>
          <w:spacing w:val="-1"/>
        </w:rPr>
        <w:t> </w:t>
      </w:r>
      <w:r>
        <w:rPr/>
        <w:t>and</w:t>
      </w:r>
      <w:r>
        <w:rPr>
          <w:spacing w:val="-1"/>
        </w:rPr>
        <w:t> </w:t>
      </w:r>
      <w:r>
        <w:rPr/>
        <w:t>the</w:t>
      </w:r>
      <w:r>
        <w:rPr>
          <w:spacing w:val="-1"/>
        </w:rPr>
        <w:t> </w:t>
      </w:r>
      <w:r>
        <w:rPr/>
        <w:t>Department</w:t>
      </w:r>
      <w:r>
        <w:rPr>
          <w:spacing w:val="-1"/>
        </w:rPr>
        <w:t> </w:t>
      </w:r>
      <w:r>
        <w:rPr/>
        <w:t>Chair.</w:t>
      </w:r>
      <w:r>
        <w:rPr>
          <w:spacing w:val="-1"/>
        </w:rPr>
        <w:t> </w:t>
      </w:r>
      <w:r>
        <w:rPr/>
        <w:t>These</w:t>
      </w:r>
      <w:r>
        <w:rPr>
          <w:spacing w:val="-1"/>
        </w:rPr>
        <w:t> </w:t>
      </w:r>
      <w:r>
        <w:rPr/>
        <w:t>meetings have</w:t>
      </w:r>
      <w:r>
        <w:rPr>
          <w:spacing w:val="-1"/>
        </w:rPr>
        <w:t> </w:t>
      </w:r>
      <w:r>
        <w:rPr/>
        <w:t>kept</w:t>
      </w:r>
      <w:r>
        <w:rPr>
          <w:spacing w:val="-1"/>
        </w:rPr>
        <w:t> </w:t>
      </w:r>
      <w:r>
        <w:rPr/>
        <w:t>alumni</w:t>
      </w:r>
      <w:r>
        <w:rPr>
          <w:spacing w:val="-2"/>
        </w:rPr>
        <w:t> </w:t>
      </w:r>
      <w:r>
        <w:rPr/>
        <w:t>updated on Department activities, and given them input. For the past three years young alumni have held an annual Professional Day in Bemis, where they have presented their firms, offered insight into the profession, and have conducted job interviews with students.</w:t>
      </w:r>
    </w:p>
    <w:p>
      <w:pPr>
        <w:pStyle w:val="ListParagraph"/>
        <w:numPr>
          <w:ilvl w:val="0"/>
          <w:numId w:val="19"/>
        </w:numPr>
        <w:tabs>
          <w:tab w:pos="1580" w:val="left" w:leader="none"/>
        </w:tabs>
        <w:spacing w:line="240" w:lineRule="auto" w:before="121" w:after="0"/>
        <w:ind w:left="1579" w:right="490" w:hanging="360"/>
        <w:jc w:val="left"/>
        <w:rPr>
          <w:sz w:val="20"/>
        </w:rPr>
      </w:pPr>
      <w:bookmarkStart w:name="7. Advisory Board – An advisory board in" w:id="30"/>
      <w:bookmarkEnd w:id="30"/>
      <w:r>
        <w:rPr>
          <w:sz w:val="20"/>
        </w:rPr>
        <w:t>A</w:t>
      </w:r>
      <w:r>
        <w:rPr>
          <w:sz w:val="20"/>
        </w:rPr>
        <w:t>dvisory</w:t>
      </w:r>
      <w:r>
        <w:rPr>
          <w:spacing w:val="-1"/>
          <w:sz w:val="20"/>
        </w:rPr>
        <w:t> </w:t>
      </w:r>
      <w:r>
        <w:rPr>
          <w:sz w:val="20"/>
        </w:rPr>
        <w:t>Board – An advisory</w:t>
      </w:r>
      <w:r>
        <w:rPr>
          <w:spacing w:val="-1"/>
          <w:sz w:val="20"/>
        </w:rPr>
        <w:t> </w:t>
      </w:r>
      <w:r>
        <w:rPr>
          <w:sz w:val="20"/>
        </w:rPr>
        <w:t>board initially was constituted in 1998 -1999. It meets annually and</w:t>
      </w:r>
      <w:r>
        <w:rPr>
          <w:spacing w:val="-2"/>
          <w:sz w:val="20"/>
        </w:rPr>
        <w:t> </w:t>
      </w:r>
      <w:r>
        <w:rPr>
          <w:sz w:val="20"/>
        </w:rPr>
        <w:t>participates</w:t>
      </w:r>
      <w:r>
        <w:rPr>
          <w:spacing w:val="-3"/>
          <w:sz w:val="20"/>
        </w:rPr>
        <w:t> </w:t>
      </w:r>
      <w:r>
        <w:rPr>
          <w:sz w:val="20"/>
        </w:rPr>
        <w:t>in</w:t>
      </w:r>
      <w:r>
        <w:rPr>
          <w:spacing w:val="-2"/>
          <w:sz w:val="20"/>
        </w:rPr>
        <w:t> </w:t>
      </w:r>
      <w:r>
        <w:rPr>
          <w:sz w:val="20"/>
        </w:rPr>
        <w:t>discussions</w:t>
      </w:r>
      <w:r>
        <w:rPr>
          <w:spacing w:val="-3"/>
          <w:sz w:val="20"/>
        </w:rPr>
        <w:t> </w:t>
      </w:r>
      <w:r>
        <w:rPr>
          <w:sz w:val="20"/>
        </w:rPr>
        <w:t>about</w:t>
      </w:r>
      <w:r>
        <w:rPr>
          <w:spacing w:val="-4"/>
          <w:sz w:val="20"/>
        </w:rPr>
        <w:t> </w:t>
      </w:r>
      <w:r>
        <w:rPr>
          <w:sz w:val="20"/>
        </w:rPr>
        <w:t>the</w:t>
      </w:r>
      <w:r>
        <w:rPr>
          <w:spacing w:val="-2"/>
          <w:sz w:val="20"/>
        </w:rPr>
        <w:t> </w:t>
      </w:r>
      <w:r>
        <w:rPr>
          <w:sz w:val="20"/>
        </w:rPr>
        <w:t>program,</w:t>
      </w:r>
      <w:r>
        <w:rPr>
          <w:spacing w:val="-4"/>
          <w:sz w:val="20"/>
        </w:rPr>
        <w:t> </w:t>
      </w:r>
      <w:r>
        <w:rPr>
          <w:sz w:val="20"/>
        </w:rPr>
        <w:t>its</w:t>
      </w:r>
      <w:r>
        <w:rPr>
          <w:spacing w:val="-3"/>
          <w:sz w:val="20"/>
        </w:rPr>
        <w:t> </w:t>
      </w:r>
      <w:r>
        <w:rPr>
          <w:sz w:val="20"/>
        </w:rPr>
        <w:t>needs and</w:t>
      </w:r>
      <w:r>
        <w:rPr>
          <w:spacing w:val="-2"/>
          <w:sz w:val="20"/>
        </w:rPr>
        <w:t> </w:t>
      </w:r>
      <w:r>
        <w:rPr>
          <w:sz w:val="20"/>
        </w:rPr>
        <w:t>its</w:t>
      </w:r>
      <w:r>
        <w:rPr>
          <w:spacing w:val="-3"/>
          <w:sz w:val="20"/>
        </w:rPr>
        <w:t> </w:t>
      </w:r>
      <w:r>
        <w:rPr>
          <w:sz w:val="20"/>
        </w:rPr>
        <w:t>has</w:t>
      </w:r>
      <w:r>
        <w:rPr>
          <w:spacing w:val="-3"/>
          <w:sz w:val="20"/>
        </w:rPr>
        <w:t> </w:t>
      </w:r>
      <w:r>
        <w:rPr>
          <w:sz w:val="20"/>
        </w:rPr>
        <w:t>not</w:t>
      </w:r>
      <w:r>
        <w:rPr>
          <w:spacing w:val="-4"/>
          <w:sz w:val="20"/>
        </w:rPr>
        <w:t> </w:t>
      </w:r>
      <w:r>
        <w:rPr>
          <w:sz w:val="20"/>
        </w:rPr>
        <w:t>met</w:t>
      </w:r>
      <w:r>
        <w:rPr>
          <w:spacing w:val="-2"/>
          <w:sz w:val="20"/>
        </w:rPr>
        <w:t> </w:t>
      </w:r>
      <w:r>
        <w:rPr>
          <w:sz w:val="20"/>
        </w:rPr>
        <w:t>as</w:t>
      </w:r>
      <w:r>
        <w:rPr>
          <w:spacing w:val="-3"/>
          <w:sz w:val="20"/>
        </w:rPr>
        <w:t> </w:t>
      </w:r>
      <w:r>
        <w:rPr>
          <w:sz w:val="20"/>
        </w:rPr>
        <w:t>a</w:t>
      </w:r>
      <w:r>
        <w:rPr>
          <w:spacing w:val="-4"/>
          <w:sz w:val="20"/>
        </w:rPr>
        <w:t> </w:t>
      </w:r>
      <w:r>
        <w:rPr>
          <w:sz w:val="20"/>
        </w:rPr>
        <w:t>group</w:t>
      </w:r>
      <w:r>
        <w:rPr>
          <w:spacing w:val="-4"/>
          <w:sz w:val="20"/>
        </w:rPr>
        <w:t> </w:t>
      </w:r>
      <w:r>
        <w:rPr>
          <w:sz w:val="20"/>
        </w:rPr>
        <w:t>in recent years, but members were consulted individually by the former Chair. The current members are:</w:t>
      </w:r>
    </w:p>
    <w:p>
      <w:pPr>
        <w:pStyle w:val="BodyText"/>
        <w:spacing w:line="350" w:lineRule="exact" w:before="27"/>
        <w:ind w:left="1939"/>
      </w:pPr>
      <w:bookmarkStart w:name="James Carr (HU alumnus, National Communi" w:id="31"/>
      <w:bookmarkEnd w:id="31"/>
      <w:r>
        <w:rPr/>
      </w:r>
      <w:bookmarkStart w:name="Shurmella Condell Aslan, LEED-AP, Assoc." w:id="32"/>
      <w:bookmarkEnd w:id="32"/>
      <w:r>
        <w:rPr/>
      </w:r>
      <w:r>
        <w:rPr/>
        <w:t>James</w:t>
      </w:r>
      <w:r>
        <w:rPr>
          <w:spacing w:val="-4"/>
        </w:rPr>
        <w:t> </w:t>
      </w:r>
      <w:r>
        <w:rPr/>
        <w:t>Carr</w:t>
      </w:r>
      <w:r>
        <w:rPr>
          <w:spacing w:val="-4"/>
        </w:rPr>
        <w:t> </w:t>
      </w:r>
      <w:r>
        <w:rPr/>
        <w:t>(HU</w:t>
      </w:r>
      <w:r>
        <w:rPr>
          <w:spacing w:val="-5"/>
        </w:rPr>
        <w:t> </w:t>
      </w:r>
      <w:r>
        <w:rPr/>
        <w:t>alumnus,</w:t>
      </w:r>
      <w:r>
        <w:rPr>
          <w:spacing w:val="-5"/>
        </w:rPr>
        <w:t> </w:t>
      </w:r>
      <w:r>
        <w:rPr/>
        <w:t>National</w:t>
      </w:r>
      <w:r>
        <w:rPr>
          <w:spacing w:val="-6"/>
        </w:rPr>
        <w:t> </w:t>
      </w:r>
      <w:r>
        <w:rPr/>
        <w:t>Community</w:t>
      </w:r>
      <w:r>
        <w:rPr>
          <w:spacing w:val="-6"/>
        </w:rPr>
        <w:t> </w:t>
      </w:r>
      <w:r>
        <w:rPr/>
        <w:t>Reinvestment</w:t>
      </w:r>
      <w:r>
        <w:rPr>
          <w:spacing w:val="-5"/>
        </w:rPr>
        <w:t> </w:t>
      </w:r>
      <w:r>
        <w:rPr/>
        <w:t>Coalition,</w:t>
      </w:r>
      <w:r>
        <w:rPr>
          <w:spacing w:val="-7"/>
        </w:rPr>
        <w:t> </w:t>
      </w:r>
      <w:r>
        <w:rPr/>
        <w:t>Washington</w:t>
      </w:r>
      <w:r>
        <w:rPr>
          <w:spacing w:val="-5"/>
        </w:rPr>
        <w:t> </w:t>
      </w:r>
      <w:r>
        <w:rPr/>
        <w:t>D.C. Shurmella Condell Aslan, LEED-AP, Assoc. AIA, program alum, employee of AE firm in</w:t>
      </w:r>
    </w:p>
    <w:p>
      <w:pPr>
        <w:pStyle w:val="BodyText"/>
        <w:spacing w:line="203" w:lineRule="exact"/>
        <w:ind w:left="2299"/>
      </w:pPr>
      <w:bookmarkStart w:name="Bill Brown, former student and Principal" w:id="33"/>
      <w:bookmarkEnd w:id="33"/>
      <w:r>
        <w:rPr/>
      </w:r>
      <w:r>
        <w:rPr/>
        <w:t>Richmond,</w:t>
      </w:r>
      <w:r>
        <w:rPr>
          <w:spacing w:val="-12"/>
        </w:rPr>
        <w:t> </w:t>
      </w:r>
      <w:r>
        <w:rPr>
          <w:spacing w:val="-5"/>
        </w:rPr>
        <w:t>VA</w:t>
      </w:r>
    </w:p>
    <w:p>
      <w:pPr>
        <w:pStyle w:val="BodyText"/>
        <w:spacing w:line="364" w:lineRule="auto" w:before="119"/>
        <w:ind w:left="1939" w:right="2123"/>
      </w:pPr>
      <w:r>
        <w:rPr/>
        <w:t>Bill</w:t>
      </w:r>
      <w:r>
        <w:rPr>
          <w:spacing w:val="-4"/>
        </w:rPr>
        <w:t> </w:t>
      </w:r>
      <w:r>
        <w:rPr/>
        <w:t>Brown,</w:t>
      </w:r>
      <w:r>
        <w:rPr>
          <w:spacing w:val="-5"/>
        </w:rPr>
        <w:t> </w:t>
      </w:r>
      <w:r>
        <w:rPr/>
        <w:t>former</w:t>
      </w:r>
      <w:r>
        <w:rPr>
          <w:spacing w:val="-6"/>
        </w:rPr>
        <w:t> </w:t>
      </w:r>
      <w:r>
        <w:rPr/>
        <w:t>student</w:t>
      </w:r>
      <w:r>
        <w:rPr>
          <w:spacing w:val="-3"/>
        </w:rPr>
        <w:t> </w:t>
      </w:r>
      <w:r>
        <w:rPr/>
        <w:t>and</w:t>
      </w:r>
      <w:r>
        <w:rPr>
          <w:spacing w:val="-2"/>
        </w:rPr>
        <w:t> </w:t>
      </w:r>
      <w:r>
        <w:rPr/>
        <w:t>Principal</w:t>
      </w:r>
      <w:r>
        <w:rPr>
          <w:spacing w:val="-6"/>
        </w:rPr>
        <w:t> </w:t>
      </w:r>
      <w:r>
        <w:rPr/>
        <w:t>of</w:t>
      </w:r>
      <w:r>
        <w:rPr>
          <w:spacing w:val="-3"/>
        </w:rPr>
        <w:t> </w:t>
      </w:r>
      <w:r>
        <w:rPr/>
        <w:t>AE</w:t>
      </w:r>
      <w:r>
        <w:rPr>
          <w:spacing w:val="-6"/>
        </w:rPr>
        <w:t> </w:t>
      </w:r>
      <w:r>
        <w:rPr/>
        <w:t>firm in</w:t>
      </w:r>
      <w:r>
        <w:rPr>
          <w:spacing w:val="-5"/>
        </w:rPr>
        <w:t> </w:t>
      </w:r>
      <w:r>
        <w:rPr/>
        <w:t>Washington,</w:t>
      </w:r>
      <w:r>
        <w:rPr>
          <w:spacing w:val="-3"/>
        </w:rPr>
        <w:t> </w:t>
      </w:r>
      <w:r>
        <w:rPr/>
        <w:t>DC </w:t>
      </w:r>
      <w:bookmarkStart w:name="James H. Carr, former graduate" w:id="34"/>
      <w:bookmarkEnd w:id="34"/>
      <w:r>
        <w:rPr>
          <w:w w:val="99"/>
        </w:rPr>
      </w:r>
      <w:bookmarkStart w:name="Philip Freelon, FAIA, former student, pr" w:id="35"/>
      <w:bookmarkEnd w:id="35"/>
      <w:r>
        <w:rPr/>
        <w:t>J</w:t>
      </w:r>
      <w:r>
        <w:rPr/>
        <w:t>ames H. Carr, former graduate</w:t>
      </w:r>
    </w:p>
    <w:p>
      <w:pPr>
        <w:pStyle w:val="BodyText"/>
        <w:spacing w:line="364" w:lineRule="auto" w:before="1"/>
        <w:ind w:left="1939" w:right="2123" w:hanging="1"/>
      </w:pPr>
      <w:r>
        <w:rPr/>
        <w:t>Philip</w:t>
      </w:r>
      <w:r>
        <w:rPr>
          <w:spacing w:val="-6"/>
        </w:rPr>
        <w:t> </w:t>
      </w:r>
      <w:r>
        <w:rPr/>
        <w:t>Freelon,</w:t>
      </w:r>
      <w:r>
        <w:rPr>
          <w:spacing w:val="-6"/>
        </w:rPr>
        <w:t> </w:t>
      </w:r>
      <w:r>
        <w:rPr/>
        <w:t>FAIA,</w:t>
      </w:r>
      <w:r>
        <w:rPr>
          <w:spacing w:val="-6"/>
        </w:rPr>
        <w:t> </w:t>
      </w:r>
      <w:r>
        <w:rPr/>
        <w:t>former</w:t>
      </w:r>
      <w:r>
        <w:rPr>
          <w:spacing w:val="-5"/>
        </w:rPr>
        <w:t> </w:t>
      </w:r>
      <w:r>
        <w:rPr/>
        <w:t>student,</w:t>
      </w:r>
      <w:r>
        <w:rPr>
          <w:spacing w:val="-4"/>
        </w:rPr>
        <w:t> </w:t>
      </w:r>
      <w:r>
        <w:rPr/>
        <w:t>principal</w:t>
      </w:r>
      <w:r>
        <w:rPr>
          <w:spacing w:val="-6"/>
        </w:rPr>
        <w:t> </w:t>
      </w:r>
      <w:r>
        <w:rPr/>
        <w:t>of</w:t>
      </w:r>
      <w:r>
        <w:rPr>
          <w:spacing w:val="-4"/>
        </w:rPr>
        <w:t> </w:t>
      </w:r>
      <w:r>
        <w:rPr/>
        <w:t>firm</w:t>
      </w:r>
      <w:r>
        <w:rPr>
          <w:spacing w:val="-1"/>
        </w:rPr>
        <w:t> </w:t>
      </w:r>
      <w:r>
        <w:rPr/>
        <w:t>in</w:t>
      </w:r>
      <w:r>
        <w:rPr>
          <w:spacing w:val="-6"/>
        </w:rPr>
        <w:t> </w:t>
      </w:r>
      <w:r>
        <w:rPr/>
        <w:t>Raleigh,</w:t>
      </w:r>
      <w:r>
        <w:rPr>
          <w:spacing w:val="-4"/>
        </w:rPr>
        <w:t> </w:t>
      </w:r>
      <w:r>
        <w:rPr/>
        <w:t>NC </w:t>
      </w:r>
      <w:bookmarkStart w:name="Ray Gindroz, FAIA, Adjunct professor," w:id="36"/>
      <w:bookmarkEnd w:id="36"/>
      <w:r>
        <w:rPr>
          <w:w w:val="99"/>
        </w:rPr>
      </w:r>
      <w:bookmarkStart w:name="Dale Jackson, AIA, former student, retir" w:id="37"/>
      <w:bookmarkEnd w:id="37"/>
      <w:r>
        <w:rPr/>
        <w:t>R</w:t>
      </w:r>
      <w:r>
        <w:rPr/>
        <w:t>ay Gindroz, FAIA, Adjunct professor,</w:t>
      </w:r>
    </w:p>
    <w:p>
      <w:pPr>
        <w:pStyle w:val="BodyText"/>
        <w:spacing w:line="364" w:lineRule="auto" w:before="2"/>
        <w:ind w:left="1939" w:right="2579"/>
      </w:pPr>
      <w:r>
        <w:rPr/>
        <w:t>Dale</w:t>
      </w:r>
      <w:r>
        <w:rPr>
          <w:spacing w:val="-4"/>
        </w:rPr>
        <w:t> </w:t>
      </w:r>
      <w:r>
        <w:rPr/>
        <w:t>Jackson,</w:t>
      </w:r>
      <w:r>
        <w:rPr>
          <w:spacing w:val="-6"/>
        </w:rPr>
        <w:t> </w:t>
      </w:r>
      <w:r>
        <w:rPr/>
        <w:t>AIA,</w:t>
      </w:r>
      <w:r>
        <w:rPr>
          <w:spacing w:val="-6"/>
        </w:rPr>
        <w:t> </w:t>
      </w:r>
      <w:r>
        <w:rPr/>
        <w:t>former</w:t>
      </w:r>
      <w:r>
        <w:rPr>
          <w:spacing w:val="-7"/>
        </w:rPr>
        <w:t> </w:t>
      </w:r>
      <w:r>
        <w:rPr/>
        <w:t>student,</w:t>
      </w:r>
      <w:r>
        <w:rPr>
          <w:spacing w:val="-6"/>
        </w:rPr>
        <w:t> </w:t>
      </w:r>
      <w:r>
        <w:rPr/>
        <w:t>retired</w:t>
      </w:r>
      <w:r>
        <w:rPr>
          <w:spacing w:val="-6"/>
        </w:rPr>
        <w:t> </w:t>
      </w:r>
      <w:r>
        <w:rPr/>
        <w:t>architect</w:t>
      </w:r>
      <w:r>
        <w:rPr>
          <w:spacing w:val="-4"/>
        </w:rPr>
        <w:t> </w:t>
      </w:r>
      <w:r>
        <w:rPr/>
        <w:t>with</w:t>
      </w:r>
      <w:r>
        <w:rPr>
          <w:spacing w:val="-6"/>
        </w:rPr>
        <w:t> </w:t>
      </w:r>
      <w:r>
        <w:rPr/>
        <w:t>ASACE </w:t>
      </w:r>
      <w:bookmarkStart w:name="Cheryl McAfee-Mitchell, FAIA, Principal " w:id="38"/>
      <w:bookmarkEnd w:id="38"/>
      <w:r>
        <w:rPr>
          <w:w w:val="99"/>
        </w:rPr>
      </w:r>
      <w:bookmarkStart w:name="Dana Nottingham, former student" w:id="39"/>
      <w:bookmarkEnd w:id="39"/>
      <w:r>
        <w:rPr/>
        <w:t>C</w:t>
      </w:r>
      <w:r>
        <w:rPr/>
        <w:t>heryl McAfee-Mitchell, FAIA, Principal of firm in Atlanta, GA Dana Nottingham, former student</w:t>
      </w:r>
    </w:p>
    <w:p>
      <w:pPr>
        <w:pStyle w:val="BodyText"/>
        <w:spacing w:line="364" w:lineRule="auto"/>
        <w:ind w:left="1939" w:right="2123" w:hanging="1"/>
      </w:pPr>
      <w:bookmarkStart w:name="Kathryn T. Prigmore, FAIA, leading assoc" w:id="40"/>
      <w:bookmarkEnd w:id="40"/>
      <w:r>
        <w:rPr/>
      </w:r>
      <w:bookmarkStart w:name="Steve Scott" w:id="41"/>
      <w:bookmarkEnd w:id="41"/>
      <w:r>
        <w:rPr/>
      </w:r>
      <w:r>
        <w:rPr/>
        <w:t>Kathryn</w:t>
      </w:r>
      <w:r>
        <w:rPr>
          <w:spacing w:val="-6"/>
        </w:rPr>
        <w:t> </w:t>
      </w:r>
      <w:r>
        <w:rPr/>
        <w:t>T.</w:t>
      </w:r>
      <w:r>
        <w:rPr>
          <w:spacing w:val="-6"/>
        </w:rPr>
        <w:t> </w:t>
      </w:r>
      <w:r>
        <w:rPr/>
        <w:t>Prigmore,</w:t>
      </w:r>
      <w:r>
        <w:rPr>
          <w:spacing w:val="-6"/>
        </w:rPr>
        <w:t> </w:t>
      </w:r>
      <w:r>
        <w:rPr/>
        <w:t>FAIA,</w:t>
      </w:r>
      <w:r>
        <w:rPr>
          <w:spacing w:val="-4"/>
        </w:rPr>
        <w:t> </w:t>
      </w:r>
      <w:r>
        <w:rPr/>
        <w:t>leading</w:t>
      </w:r>
      <w:r>
        <w:rPr>
          <w:spacing w:val="-6"/>
        </w:rPr>
        <w:t> </w:t>
      </w:r>
      <w:r>
        <w:rPr/>
        <w:t>associate</w:t>
      </w:r>
      <w:r>
        <w:rPr>
          <w:spacing w:val="-4"/>
        </w:rPr>
        <w:t> </w:t>
      </w:r>
      <w:r>
        <w:rPr/>
        <w:t>in</w:t>
      </w:r>
      <w:r>
        <w:rPr>
          <w:spacing w:val="-6"/>
        </w:rPr>
        <w:t> </w:t>
      </w:r>
      <w:r>
        <w:rPr/>
        <w:t>firm</w:t>
      </w:r>
      <w:r>
        <w:rPr>
          <w:spacing w:val="-1"/>
        </w:rPr>
        <w:t> </w:t>
      </w:r>
      <w:r>
        <w:rPr/>
        <w:t>in</w:t>
      </w:r>
      <w:r>
        <w:rPr>
          <w:spacing w:val="-6"/>
        </w:rPr>
        <w:t> </w:t>
      </w:r>
      <w:r>
        <w:rPr/>
        <w:t>Alexandria,</w:t>
      </w:r>
      <w:r>
        <w:rPr>
          <w:spacing w:val="-4"/>
        </w:rPr>
        <w:t> </w:t>
      </w:r>
      <w:r>
        <w:rPr/>
        <w:t>VA Steve Scott</w:t>
      </w:r>
    </w:p>
    <w:p>
      <w:pPr>
        <w:pStyle w:val="BodyText"/>
        <w:spacing w:line="364" w:lineRule="auto" w:before="2"/>
        <w:ind w:left="1939" w:right="5670"/>
      </w:pPr>
      <w:bookmarkStart w:name="Roberta Washington, FAIA" w:id="42"/>
      <w:bookmarkEnd w:id="42"/>
      <w:r>
        <w:rPr/>
      </w:r>
      <w:bookmarkStart w:name="Atim Annette Oton" w:id="43"/>
      <w:bookmarkEnd w:id="43"/>
      <w:r>
        <w:rPr/>
      </w:r>
      <w:r>
        <w:rPr/>
        <w:t>Roberta</w:t>
      </w:r>
      <w:r>
        <w:rPr>
          <w:spacing w:val="-14"/>
        </w:rPr>
        <w:t> </w:t>
      </w:r>
      <w:r>
        <w:rPr/>
        <w:t>Washington,</w:t>
      </w:r>
      <w:r>
        <w:rPr>
          <w:spacing w:val="-14"/>
        </w:rPr>
        <w:t> </w:t>
      </w:r>
      <w:r>
        <w:rPr/>
        <w:t>FAIA Atim Annette Oton</w:t>
      </w:r>
    </w:p>
    <w:p>
      <w:pPr>
        <w:pStyle w:val="ListParagraph"/>
        <w:numPr>
          <w:ilvl w:val="0"/>
          <w:numId w:val="19"/>
        </w:numPr>
        <w:tabs>
          <w:tab w:pos="1580" w:val="left" w:leader="none"/>
        </w:tabs>
        <w:spacing w:line="240" w:lineRule="auto" w:before="0" w:after="0"/>
        <w:ind w:left="1579" w:right="512" w:hanging="360"/>
        <w:jc w:val="left"/>
        <w:rPr>
          <w:sz w:val="20"/>
        </w:rPr>
      </w:pPr>
      <w:bookmarkStart w:name="8. Department Needs Assessment – In 2012" w:id="44"/>
      <w:bookmarkEnd w:id="44"/>
      <w:r>
        <w:rPr>
          <w:sz w:val="20"/>
        </w:rPr>
        <w:t>D</w:t>
      </w:r>
      <w:r>
        <w:rPr>
          <w:sz w:val="20"/>
        </w:rPr>
        <w:t>epartment</w:t>
      </w:r>
      <w:r>
        <w:rPr>
          <w:spacing w:val="-3"/>
          <w:sz w:val="20"/>
        </w:rPr>
        <w:t> </w:t>
      </w:r>
      <w:r>
        <w:rPr>
          <w:sz w:val="20"/>
        </w:rPr>
        <w:t>Needs</w:t>
      </w:r>
      <w:r>
        <w:rPr>
          <w:spacing w:val="-3"/>
          <w:sz w:val="20"/>
        </w:rPr>
        <w:t> </w:t>
      </w:r>
      <w:r>
        <w:rPr>
          <w:sz w:val="20"/>
        </w:rPr>
        <w:t>Assessment</w:t>
      </w:r>
      <w:r>
        <w:rPr>
          <w:spacing w:val="-3"/>
          <w:sz w:val="20"/>
        </w:rPr>
        <w:t> </w:t>
      </w:r>
      <w:r>
        <w:rPr>
          <w:sz w:val="20"/>
        </w:rPr>
        <w:t>–</w:t>
      </w:r>
      <w:r>
        <w:rPr>
          <w:spacing w:val="-3"/>
          <w:sz w:val="20"/>
        </w:rPr>
        <w:t> </w:t>
      </w:r>
      <w:r>
        <w:rPr>
          <w:sz w:val="20"/>
        </w:rPr>
        <w:t>In</w:t>
      </w:r>
      <w:r>
        <w:rPr>
          <w:spacing w:val="-4"/>
          <w:sz w:val="20"/>
        </w:rPr>
        <w:t> </w:t>
      </w:r>
      <w:r>
        <w:rPr>
          <w:sz w:val="20"/>
        </w:rPr>
        <w:t>2012,</w:t>
      </w:r>
      <w:r>
        <w:rPr>
          <w:spacing w:val="-3"/>
          <w:sz w:val="20"/>
        </w:rPr>
        <w:t> </w:t>
      </w:r>
      <w:r>
        <w:rPr>
          <w:sz w:val="20"/>
        </w:rPr>
        <w:t>the</w:t>
      </w:r>
      <w:r>
        <w:rPr>
          <w:spacing w:val="-4"/>
          <w:sz w:val="20"/>
        </w:rPr>
        <w:t> </w:t>
      </w:r>
      <w:r>
        <w:rPr>
          <w:sz w:val="20"/>
        </w:rPr>
        <w:t>Department</w:t>
      </w:r>
      <w:r>
        <w:rPr>
          <w:spacing w:val="-5"/>
          <w:sz w:val="20"/>
        </w:rPr>
        <w:t> </w:t>
      </w:r>
      <w:r>
        <w:rPr>
          <w:sz w:val="20"/>
        </w:rPr>
        <w:t>met</w:t>
      </w:r>
      <w:r>
        <w:rPr>
          <w:spacing w:val="-3"/>
          <w:sz w:val="20"/>
        </w:rPr>
        <w:t> </w:t>
      </w:r>
      <w:r>
        <w:rPr>
          <w:sz w:val="20"/>
        </w:rPr>
        <w:t>to</w:t>
      </w:r>
      <w:r>
        <w:rPr>
          <w:spacing w:val="-4"/>
          <w:sz w:val="20"/>
        </w:rPr>
        <w:t> </w:t>
      </w:r>
      <w:r>
        <w:rPr>
          <w:sz w:val="20"/>
        </w:rPr>
        <w:t>develop</w:t>
      </w:r>
      <w:r>
        <w:rPr>
          <w:spacing w:val="-2"/>
          <w:sz w:val="20"/>
        </w:rPr>
        <w:t> </w:t>
      </w:r>
      <w:r>
        <w:rPr>
          <w:sz w:val="20"/>
        </w:rPr>
        <w:t>a</w:t>
      </w:r>
      <w:r>
        <w:rPr>
          <w:spacing w:val="-3"/>
          <w:sz w:val="20"/>
        </w:rPr>
        <w:t> </w:t>
      </w:r>
      <w:r>
        <w:rPr>
          <w:sz w:val="20"/>
        </w:rPr>
        <w:t>list</w:t>
      </w:r>
      <w:r>
        <w:rPr>
          <w:spacing w:val="-4"/>
          <w:sz w:val="20"/>
        </w:rPr>
        <w:t> </w:t>
      </w:r>
      <w:r>
        <w:rPr>
          <w:sz w:val="20"/>
        </w:rPr>
        <w:t>of</w:t>
      </w:r>
      <w:r>
        <w:rPr>
          <w:spacing w:val="-2"/>
          <w:sz w:val="20"/>
        </w:rPr>
        <w:t> </w:t>
      </w:r>
      <w:r>
        <w:rPr>
          <w:sz w:val="20"/>
        </w:rPr>
        <w:t>needs</w:t>
      </w:r>
      <w:r>
        <w:rPr>
          <w:spacing w:val="-3"/>
          <w:sz w:val="20"/>
        </w:rPr>
        <w:t> </w:t>
      </w:r>
      <w:r>
        <w:rPr>
          <w:sz w:val="20"/>
        </w:rPr>
        <w:t>and to establish a list of priorities for improving the resources and facilities of the department. It is continually updated and monitored by faculty and staff during weekly meetings. The Chair presented</w:t>
      </w:r>
      <w:r>
        <w:rPr>
          <w:spacing w:val="-2"/>
          <w:sz w:val="20"/>
        </w:rPr>
        <w:t> </w:t>
      </w:r>
      <w:r>
        <w:rPr>
          <w:sz w:val="20"/>
        </w:rPr>
        <w:t>this</w:t>
      </w:r>
      <w:r>
        <w:rPr>
          <w:spacing w:val="-1"/>
          <w:sz w:val="20"/>
        </w:rPr>
        <w:t> </w:t>
      </w:r>
      <w:r>
        <w:rPr>
          <w:sz w:val="20"/>
        </w:rPr>
        <w:t>list</w:t>
      </w:r>
      <w:r>
        <w:rPr>
          <w:spacing w:val="-2"/>
          <w:sz w:val="20"/>
        </w:rPr>
        <w:t> </w:t>
      </w:r>
      <w:r>
        <w:rPr>
          <w:sz w:val="20"/>
        </w:rPr>
        <w:t>to</w:t>
      </w:r>
      <w:r>
        <w:rPr>
          <w:spacing w:val="-2"/>
          <w:sz w:val="20"/>
        </w:rPr>
        <w:t> </w:t>
      </w:r>
      <w:r>
        <w:rPr>
          <w:sz w:val="20"/>
        </w:rPr>
        <w:t>the Dean</w:t>
      </w:r>
      <w:r>
        <w:rPr>
          <w:spacing w:val="-2"/>
          <w:sz w:val="20"/>
        </w:rPr>
        <w:t> </w:t>
      </w:r>
      <w:r>
        <w:rPr>
          <w:sz w:val="20"/>
        </w:rPr>
        <w:t>and,</w:t>
      </w:r>
      <w:r>
        <w:rPr>
          <w:spacing w:val="-2"/>
          <w:sz w:val="20"/>
        </w:rPr>
        <w:t> </w:t>
      </w:r>
      <w:r>
        <w:rPr>
          <w:sz w:val="20"/>
        </w:rPr>
        <w:t>subsequently, to</w:t>
      </w:r>
      <w:r>
        <w:rPr>
          <w:spacing w:val="-2"/>
          <w:sz w:val="20"/>
        </w:rPr>
        <w:t> </w:t>
      </w:r>
      <w:r>
        <w:rPr>
          <w:sz w:val="20"/>
        </w:rPr>
        <w:t>the</w:t>
      </w:r>
      <w:r>
        <w:rPr>
          <w:spacing w:val="-2"/>
          <w:sz w:val="20"/>
        </w:rPr>
        <w:t> </w:t>
      </w:r>
      <w:r>
        <w:rPr>
          <w:sz w:val="20"/>
        </w:rPr>
        <w:t>University</w:t>
      </w:r>
      <w:r>
        <w:rPr>
          <w:spacing w:val="-5"/>
          <w:sz w:val="20"/>
        </w:rPr>
        <w:t> </w:t>
      </w:r>
      <w:r>
        <w:rPr>
          <w:sz w:val="20"/>
        </w:rPr>
        <w:t>senior</w:t>
      </w:r>
      <w:r>
        <w:rPr>
          <w:spacing w:val="-1"/>
          <w:sz w:val="20"/>
        </w:rPr>
        <w:t> </w:t>
      </w:r>
      <w:r>
        <w:rPr>
          <w:sz w:val="20"/>
        </w:rPr>
        <w:t>administration.</w:t>
      </w:r>
      <w:r>
        <w:rPr>
          <w:spacing w:val="-2"/>
          <w:sz w:val="20"/>
        </w:rPr>
        <w:t> </w:t>
      </w:r>
      <w:r>
        <w:rPr>
          <w:sz w:val="20"/>
        </w:rPr>
        <w:t>The issues on the list totaled approximately $190,000. The President has appropriated $110,000, using the University’s Title III funding.</w:t>
      </w:r>
    </w:p>
    <w:p>
      <w:pPr>
        <w:pStyle w:val="ListParagraph"/>
        <w:numPr>
          <w:ilvl w:val="0"/>
          <w:numId w:val="19"/>
        </w:numPr>
        <w:tabs>
          <w:tab w:pos="1580" w:val="left" w:leader="none"/>
        </w:tabs>
        <w:spacing w:line="240" w:lineRule="auto" w:before="119" w:after="0"/>
        <w:ind w:left="1579" w:right="502" w:hanging="360"/>
        <w:jc w:val="left"/>
        <w:rPr>
          <w:sz w:val="20"/>
        </w:rPr>
      </w:pPr>
      <w:bookmarkStart w:name="9. Student Course Evaluations: The Unive" w:id="45"/>
      <w:bookmarkEnd w:id="45"/>
      <w:r>
        <w:rPr>
          <w:sz w:val="20"/>
        </w:rPr>
        <w:t>S</w:t>
      </w:r>
      <w:r>
        <w:rPr>
          <w:sz w:val="20"/>
        </w:rPr>
        <w:t>tudent Course Evaluations: The University collects information from the student about course instruction. This information is collected on-line and the results are disseminated to</w:t>
      </w:r>
      <w:r>
        <w:rPr>
          <w:sz w:val="20"/>
        </w:rPr>
        <w:t> the</w:t>
      </w:r>
      <w:r>
        <w:rPr>
          <w:spacing w:val="-5"/>
          <w:sz w:val="20"/>
        </w:rPr>
        <w:t> </w:t>
      </w:r>
      <w:r>
        <w:rPr>
          <w:sz w:val="20"/>
        </w:rPr>
        <w:t>Chair</w:t>
      </w:r>
      <w:r>
        <w:rPr>
          <w:spacing w:val="-4"/>
          <w:sz w:val="20"/>
        </w:rPr>
        <w:t> </w:t>
      </w:r>
      <w:r>
        <w:rPr>
          <w:sz w:val="20"/>
        </w:rPr>
        <w:t>for</w:t>
      </w:r>
      <w:r>
        <w:rPr>
          <w:spacing w:val="-4"/>
          <w:sz w:val="20"/>
        </w:rPr>
        <w:t> </w:t>
      </w:r>
      <w:r>
        <w:rPr>
          <w:sz w:val="20"/>
        </w:rPr>
        <w:t>review.</w:t>
      </w:r>
      <w:r>
        <w:rPr>
          <w:spacing w:val="-5"/>
          <w:sz w:val="20"/>
        </w:rPr>
        <w:t> </w:t>
      </w:r>
      <w:r>
        <w:rPr>
          <w:sz w:val="20"/>
        </w:rPr>
        <w:t>Since</w:t>
      </w:r>
      <w:r>
        <w:rPr>
          <w:spacing w:val="-3"/>
          <w:sz w:val="20"/>
        </w:rPr>
        <w:t> </w:t>
      </w:r>
      <w:r>
        <w:rPr>
          <w:sz w:val="20"/>
        </w:rPr>
        <w:t>the</w:t>
      </w:r>
      <w:r>
        <w:rPr>
          <w:spacing w:val="-5"/>
          <w:sz w:val="20"/>
        </w:rPr>
        <w:t> </w:t>
      </w:r>
      <w:r>
        <w:rPr>
          <w:sz w:val="20"/>
        </w:rPr>
        <w:t>process</w:t>
      </w:r>
      <w:r>
        <w:rPr>
          <w:spacing w:val="-4"/>
          <w:sz w:val="20"/>
        </w:rPr>
        <w:t> </w:t>
      </w:r>
      <w:r>
        <w:rPr>
          <w:sz w:val="20"/>
        </w:rPr>
        <w:t>became</w:t>
      </w:r>
      <w:r>
        <w:rPr>
          <w:spacing w:val="-5"/>
          <w:sz w:val="20"/>
        </w:rPr>
        <w:t> </w:t>
      </w:r>
      <w:r>
        <w:rPr>
          <w:sz w:val="20"/>
        </w:rPr>
        <w:t>digitized,</w:t>
      </w:r>
      <w:r>
        <w:rPr>
          <w:spacing w:val="-5"/>
          <w:sz w:val="20"/>
        </w:rPr>
        <w:t> </w:t>
      </w:r>
      <w:r>
        <w:rPr>
          <w:sz w:val="20"/>
        </w:rPr>
        <w:t>student</w:t>
      </w:r>
      <w:r>
        <w:rPr>
          <w:spacing w:val="-3"/>
          <w:sz w:val="20"/>
        </w:rPr>
        <w:t> </w:t>
      </w:r>
      <w:r>
        <w:rPr>
          <w:sz w:val="20"/>
        </w:rPr>
        <w:t>participation</w:t>
      </w:r>
      <w:r>
        <w:rPr>
          <w:spacing w:val="-5"/>
          <w:sz w:val="20"/>
        </w:rPr>
        <w:t> </w:t>
      </w:r>
      <w:r>
        <w:rPr>
          <w:sz w:val="20"/>
        </w:rPr>
        <w:t>has</w:t>
      </w:r>
      <w:r>
        <w:rPr>
          <w:spacing w:val="-4"/>
          <w:sz w:val="20"/>
        </w:rPr>
        <w:t> </w:t>
      </w:r>
      <w:r>
        <w:rPr>
          <w:sz w:val="20"/>
        </w:rPr>
        <w:t>decreased significantly, and is usually limited to those who are extremely pleased and committed, and those who are extremely disheartened and upset. Information from the former can often be good propaganda, and the latter group is often hostile, but neither is always unbiased or </w:t>
      </w:r>
      <w:bookmarkStart w:name="10. Senior Surveys: The department devel" w:id="46"/>
      <w:bookmarkEnd w:id="46"/>
      <w:r>
        <w:rPr>
          <w:spacing w:val="-2"/>
          <w:sz w:val="20"/>
        </w:rPr>
        <w:t>he</w:t>
      </w:r>
      <w:r>
        <w:rPr>
          <w:spacing w:val="-2"/>
          <w:sz w:val="20"/>
        </w:rPr>
        <w:t>lpful.</w:t>
      </w:r>
    </w:p>
    <w:p>
      <w:pPr>
        <w:pStyle w:val="ListParagraph"/>
        <w:numPr>
          <w:ilvl w:val="0"/>
          <w:numId w:val="19"/>
        </w:numPr>
        <w:tabs>
          <w:tab w:pos="1580" w:val="left" w:leader="none"/>
        </w:tabs>
        <w:spacing w:line="240" w:lineRule="auto" w:before="121" w:after="0"/>
        <w:ind w:left="1579" w:right="779" w:hanging="361"/>
        <w:jc w:val="left"/>
        <w:rPr>
          <w:sz w:val="20"/>
        </w:rPr>
      </w:pPr>
      <w:r>
        <w:rPr>
          <w:sz w:val="20"/>
        </w:rPr>
        <w:t>Senior Surveys:</w:t>
      </w:r>
      <w:r>
        <w:rPr>
          <w:spacing w:val="-2"/>
          <w:sz w:val="20"/>
        </w:rPr>
        <w:t> </w:t>
      </w:r>
      <w:r>
        <w:rPr>
          <w:sz w:val="20"/>
        </w:rPr>
        <w:t>The department</w:t>
      </w:r>
      <w:r>
        <w:rPr>
          <w:spacing w:val="-2"/>
          <w:sz w:val="20"/>
        </w:rPr>
        <w:t> </w:t>
      </w:r>
      <w:r>
        <w:rPr>
          <w:sz w:val="20"/>
        </w:rPr>
        <w:t>developed</w:t>
      </w:r>
      <w:r>
        <w:rPr>
          <w:spacing w:val="-2"/>
          <w:sz w:val="20"/>
        </w:rPr>
        <w:t> </w:t>
      </w:r>
      <w:r>
        <w:rPr>
          <w:sz w:val="20"/>
        </w:rPr>
        <w:t>surveys that</w:t>
      </w:r>
      <w:r>
        <w:rPr>
          <w:spacing w:val="-2"/>
          <w:sz w:val="20"/>
        </w:rPr>
        <w:t> </w:t>
      </w:r>
      <w:r>
        <w:rPr>
          <w:sz w:val="20"/>
        </w:rPr>
        <w:t>are given to</w:t>
      </w:r>
      <w:r>
        <w:rPr>
          <w:spacing w:val="-2"/>
          <w:sz w:val="20"/>
        </w:rPr>
        <w:t> </w:t>
      </w:r>
      <w:r>
        <w:rPr>
          <w:sz w:val="20"/>
        </w:rPr>
        <w:t>fifth year</w:t>
      </w:r>
      <w:r>
        <w:rPr>
          <w:spacing w:val="-1"/>
          <w:sz w:val="20"/>
        </w:rPr>
        <w:t> </w:t>
      </w:r>
      <w:r>
        <w:rPr>
          <w:sz w:val="20"/>
        </w:rPr>
        <w:t>students in February.</w:t>
      </w:r>
      <w:r>
        <w:rPr>
          <w:spacing w:val="-2"/>
          <w:sz w:val="20"/>
        </w:rPr>
        <w:t> </w:t>
      </w:r>
      <w:r>
        <w:rPr>
          <w:sz w:val="20"/>
        </w:rPr>
        <w:t>They</w:t>
      </w:r>
      <w:r>
        <w:rPr>
          <w:spacing w:val="-5"/>
          <w:sz w:val="20"/>
        </w:rPr>
        <w:t> </w:t>
      </w:r>
      <w:r>
        <w:rPr>
          <w:sz w:val="20"/>
        </w:rPr>
        <w:t>are</w:t>
      </w:r>
      <w:r>
        <w:rPr>
          <w:spacing w:val="-4"/>
          <w:sz w:val="20"/>
        </w:rPr>
        <w:t> </w:t>
      </w:r>
      <w:r>
        <w:rPr>
          <w:sz w:val="20"/>
        </w:rPr>
        <w:t>collected</w:t>
      </w:r>
      <w:r>
        <w:rPr>
          <w:spacing w:val="-4"/>
          <w:sz w:val="20"/>
        </w:rPr>
        <w:t> </w:t>
      </w:r>
      <w:r>
        <w:rPr>
          <w:sz w:val="20"/>
        </w:rPr>
        <w:t>by</w:t>
      </w:r>
      <w:r>
        <w:rPr>
          <w:spacing w:val="-7"/>
          <w:sz w:val="20"/>
        </w:rPr>
        <w:t> </w:t>
      </w:r>
      <w:r>
        <w:rPr>
          <w:sz w:val="20"/>
        </w:rPr>
        <w:t>the</w:t>
      </w:r>
      <w:r>
        <w:rPr>
          <w:spacing w:val="-4"/>
          <w:sz w:val="20"/>
        </w:rPr>
        <w:t> </w:t>
      </w:r>
      <w:r>
        <w:rPr>
          <w:sz w:val="20"/>
        </w:rPr>
        <w:t>chair</w:t>
      </w:r>
      <w:r>
        <w:rPr>
          <w:spacing w:val="-3"/>
          <w:sz w:val="20"/>
        </w:rPr>
        <w:t> </w:t>
      </w:r>
      <w:r>
        <w:rPr>
          <w:sz w:val="20"/>
        </w:rPr>
        <w:t>(often</w:t>
      </w:r>
      <w:r>
        <w:rPr>
          <w:spacing w:val="-4"/>
          <w:sz w:val="20"/>
        </w:rPr>
        <w:t> </w:t>
      </w:r>
      <w:r>
        <w:rPr>
          <w:sz w:val="20"/>
        </w:rPr>
        <w:t>associated</w:t>
      </w:r>
      <w:r>
        <w:rPr>
          <w:spacing w:val="-2"/>
          <w:sz w:val="20"/>
        </w:rPr>
        <w:t> </w:t>
      </w:r>
      <w:r>
        <w:rPr>
          <w:sz w:val="20"/>
        </w:rPr>
        <w:t>with</w:t>
      </w:r>
      <w:r>
        <w:rPr>
          <w:spacing w:val="-4"/>
          <w:sz w:val="20"/>
        </w:rPr>
        <w:t> </w:t>
      </w:r>
      <w:r>
        <w:rPr>
          <w:sz w:val="20"/>
        </w:rPr>
        <w:t>a</w:t>
      </w:r>
      <w:r>
        <w:rPr>
          <w:spacing w:val="-2"/>
          <w:sz w:val="20"/>
        </w:rPr>
        <w:t> </w:t>
      </w:r>
      <w:r>
        <w:rPr>
          <w:sz w:val="20"/>
        </w:rPr>
        <w:t>bribe</w:t>
      </w:r>
      <w:r>
        <w:rPr>
          <w:spacing w:val="-4"/>
          <w:sz w:val="20"/>
        </w:rPr>
        <w:t> </w:t>
      </w:r>
      <w:r>
        <w:rPr>
          <w:sz w:val="20"/>
        </w:rPr>
        <w:t>for</w:t>
      </w:r>
      <w:r>
        <w:rPr>
          <w:spacing w:val="-3"/>
          <w:sz w:val="20"/>
        </w:rPr>
        <w:t> </w:t>
      </w:r>
      <w:r>
        <w:rPr>
          <w:sz w:val="20"/>
        </w:rPr>
        <w:t>free</w:t>
      </w:r>
      <w:r>
        <w:rPr>
          <w:spacing w:val="-4"/>
          <w:sz w:val="20"/>
        </w:rPr>
        <w:t> </w:t>
      </w:r>
      <w:r>
        <w:rPr>
          <w:sz w:val="20"/>
        </w:rPr>
        <w:t>graduation photographs) after graduation. Those surveys ask students for their opinions on multiple components of the program, including instruction, instructors, course relevance, extra- curricular value, etc.</w:t>
      </w:r>
    </w:p>
    <w:p>
      <w:pPr>
        <w:spacing w:after="0" w:line="240" w:lineRule="auto"/>
        <w:jc w:val="left"/>
        <w:rPr>
          <w:sz w:val="20"/>
        </w:rPr>
        <w:sectPr>
          <w:pgSz w:w="12240" w:h="15840"/>
          <w:pgMar w:header="0" w:footer="974" w:top="1360" w:bottom="1160" w:left="940" w:right="960"/>
        </w:sectPr>
      </w:pPr>
    </w:p>
    <w:p>
      <w:pPr>
        <w:pStyle w:val="ListParagraph"/>
        <w:numPr>
          <w:ilvl w:val="3"/>
          <w:numId w:val="20"/>
        </w:numPr>
        <w:tabs>
          <w:tab w:pos="2660" w:val="left" w:leader="none"/>
        </w:tabs>
        <w:spacing w:line="240" w:lineRule="auto" w:before="74" w:after="0"/>
        <w:ind w:left="2659" w:right="0" w:hanging="1080"/>
        <w:jc w:val="left"/>
        <w:rPr>
          <w:sz w:val="28"/>
        </w:rPr>
      </w:pPr>
      <w:r>
        <w:rPr>
          <w:sz w:val="28"/>
        </w:rPr>
        <w:t>Program</w:t>
      </w:r>
      <w:r>
        <w:rPr>
          <w:spacing w:val="-9"/>
          <w:sz w:val="28"/>
        </w:rPr>
        <w:t> </w:t>
      </w:r>
      <w:r>
        <w:rPr>
          <w:sz w:val="28"/>
        </w:rPr>
        <w:t>Strengths,</w:t>
      </w:r>
      <w:r>
        <w:rPr>
          <w:spacing w:val="-6"/>
          <w:sz w:val="28"/>
        </w:rPr>
        <w:t> </w:t>
      </w:r>
      <w:r>
        <w:rPr>
          <w:sz w:val="28"/>
        </w:rPr>
        <w:t>Challenges</w:t>
      </w:r>
      <w:r>
        <w:rPr>
          <w:spacing w:val="-6"/>
          <w:sz w:val="28"/>
        </w:rPr>
        <w:t> </w:t>
      </w:r>
      <w:r>
        <w:rPr>
          <w:sz w:val="28"/>
        </w:rPr>
        <w:t>and</w:t>
      </w:r>
      <w:r>
        <w:rPr>
          <w:spacing w:val="-7"/>
          <w:sz w:val="28"/>
        </w:rPr>
        <w:t> </w:t>
      </w:r>
      <w:r>
        <w:rPr>
          <w:spacing w:val="-2"/>
          <w:sz w:val="28"/>
        </w:rPr>
        <w:t>Opportunities:</w:t>
      </w:r>
    </w:p>
    <w:p>
      <w:pPr>
        <w:pStyle w:val="BodyText"/>
        <w:spacing w:before="243"/>
        <w:ind w:left="1723" w:right="580"/>
      </w:pPr>
      <w:bookmarkStart w:name="The strength of our program remains our " w:id="47"/>
      <w:bookmarkEnd w:id="47"/>
      <w:r>
        <w:rPr/>
      </w:r>
      <w:r>
        <w:rPr/>
        <w:t>The strength of our program remains our human capital: our students, faculty and staff. Although new, we believe that the curriculum is structurally sound, allowing faculty to investigate</w:t>
      </w:r>
      <w:r>
        <w:rPr>
          <w:spacing w:val="-4"/>
        </w:rPr>
        <w:t> </w:t>
      </w:r>
      <w:r>
        <w:rPr/>
        <w:t>content</w:t>
      </w:r>
      <w:r>
        <w:rPr>
          <w:spacing w:val="-4"/>
        </w:rPr>
        <w:t> </w:t>
      </w:r>
      <w:r>
        <w:rPr/>
        <w:t>without</w:t>
      </w:r>
      <w:r>
        <w:rPr>
          <w:spacing w:val="-4"/>
        </w:rPr>
        <w:t> </w:t>
      </w:r>
      <w:r>
        <w:rPr/>
        <w:t>fear</w:t>
      </w:r>
      <w:r>
        <w:rPr>
          <w:spacing w:val="-5"/>
        </w:rPr>
        <w:t> </w:t>
      </w:r>
      <w:r>
        <w:rPr/>
        <w:t>of</w:t>
      </w:r>
      <w:r>
        <w:rPr>
          <w:spacing w:val="-4"/>
        </w:rPr>
        <w:t> </w:t>
      </w:r>
      <w:r>
        <w:rPr/>
        <w:t>causing</w:t>
      </w:r>
      <w:r>
        <w:rPr>
          <w:spacing w:val="-6"/>
        </w:rPr>
        <w:t> </w:t>
      </w:r>
      <w:r>
        <w:rPr/>
        <w:t>serious</w:t>
      </w:r>
      <w:r>
        <w:rPr>
          <w:spacing w:val="-5"/>
        </w:rPr>
        <w:t> </w:t>
      </w:r>
      <w:r>
        <w:rPr/>
        <w:t>disruption.</w:t>
      </w:r>
      <w:r>
        <w:rPr>
          <w:spacing w:val="40"/>
        </w:rPr>
        <w:t> </w:t>
      </w:r>
      <w:r>
        <w:rPr/>
        <w:t>The</w:t>
      </w:r>
      <w:r>
        <w:rPr>
          <w:spacing w:val="-6"/>
        </w:rPr>
        <w:t> </w:t>
      </w:r>
      <w:r>
        <w:rPr/>
        <w:t>curriculum</w:t>
      </w:r>
      <w:r>
        <w:rPr>
          <w:spacing w:val="-1"/>
        </w:rPr>
        <w:t> </w:t>
      </w:r>
      <w:r>
        <w:rPr/>
        <w:t>was</w:t>
      </w:r>
      <w:r>
        <w:rPr>
          <w:spacing w:val="-2"/>
        </w:rPr>
        <w:t> </w:t>
      </w:r>
      <w:r>
        <w:rPr/>
        <w:t>created with a vision focused on the issues of critical inquiry, social/cultural investigation, and environmental urban issues.</w:t>
      </w:r>
      <w:r>
        <w:rPr>
          <w:spacing w:val="40"/>
        </w:rPr>
        <w:t> </w:t>
      </w:r>
      <w:r>
        <w:rPr/>
        <w:t>This vision has allowed us to integrate urban issues and issues of sustainability as they have emerged.</w:t>
      </w:r>
    </w:p>
    <w:p>
      <w:pPr>
        <w:pStyle w:val="BodyText"/>
        <w:spacing w:before="6"/>
        <w:rPr>
          <w:sz w:val="17"/>
        </w:rPr>
      </w:pPr>
    </w:p>
    <w:p>
      <w:pPr>
        <w:pStyle w:val="BodyText"/>
        <w:ind w:left="1723" w:right="620"/>
      </w:pPr>
      <w:bookmarkStart w:name="Our program has the advantage of buildin" w:id="48"/>
      <w:bookmarkEnd w:id="48"/>
      <w:r>
        <w:rPr/>
      </w:r>
      <w:r>
        <w:rPr/>
        <w:t>Our program has the advantage of building on this vision while also working from a strong professional/technical history.</w:t>
      </w:r>
      <w:r>
        <w:rPr>
          <w:spacing w:val="40"/>
        </w:rPr>
        <w:t> </w:t>
      </w:r>
      <w:r>
        <w:rPr/>
        <w:t>Faculty efforts in the areas of scholarship, research, and professional,</w:t>
      </w:r>
      <w:r>
        <w:rPr>
          <w:spacing w:val="-4"/>
        </w:rPr>
        <w:t> </w:t>
      </w:r>
      <w:r>
        <w:rPr/>
        <w:t>intellectual,</w:t>
      </w:r>
      <w:r>
        <w:rPr>
          <w:spacing w:val="-4"/>
        </w:rPr>
        <w:t> </w:t>
      </w:r>
      <w:r>
        <w:rPr/>
        <w:t>and</w:t>
      </w:r>
      <w:r>
        <w:rPr>
          <w:spacing w:val="-4"/>
        </w:rPr>
        <w:t> </w:t>
      </w:r>
      <w:r>
        <w:rPr/>
        <w:t>community</w:t>
      </w:r>
      <w:r>
        <w:rPr>
          <w:spacing w:val="-7"/>
        </w:rPr>
        <w:t> </w:t>
      </w:r>
      <w:r>
        <w:rPr/>
        <w:t>involvement</w:t>
      </w:r>
      <w:r>
        <w:rPr>
          <w:spacing w:val="-3"/>
        </w:rPr>
        <w:t> </w:t>
      </w:r>
      <w:r>
        <w:rPr/>
        <w:t>have</w:t>
      </w:r>
      <w:r>
        <w:rPr>
          <w:spacing w:val="-4"/>
        </w:rPr>
        <w:t> </w:t>
      </w:r>
      <w:r>
        <w:rPr/>
        <w:t>made</w:t>
      </w:r>
      <w:r>
        <w:rPr>
          <w:spacing w:val="-4"/>
        </w:rPr>
        <w:t> </w:t>
      </w:r>
      <w:r>
        <w:rPr/>
        <w:t>dramatic</w:t>
      </w:r>
      <w:r>
        <w:rPr>
          <w:spacing w:val="-4"/>
        </w:rPr>
        <w:t> </w:t>
      </w:r>
      <w:r>
        <w:rPr/>
        <w:t>strides.</w:t>
      </w:r>
      <w:r>
        <w:rPr>
          <w:spacing w:val="-4"/>
        </w:rPr>
        <w:t> </w:t>
      </w:r>
      <w:r>
        <w:rPr/>
        <w:t>Faculty members have presented at major conferences and published work in peer reviewed journals. They have authored or contributed to significant works of scholarship and done much to advance the discourse on professional issues ranging from international travel to African-American’s contributions to the design profession and the built-environment. They have</w:t>
      </w:r>
      <w:r>
        <w:rPr>
          <w:spacing w:val="-2"/>
        </w:rPr>
        <w:t> </w:t>
      </w:r>
      <w:r>
        <w:rPr/>
        <w:t>worked</w:t>
      </w:r>
      <w:r>
        <w:rPr>
          <w:spacing w:val="-4"/>
        </w:rPr>
        <w:t> </w:t>
      </w:r>
      <w:r>
        <w:rPr/>
        <w:t>on</w:t>
      </w:r>
      <w:r>
        <w:rPr>
          <w:spacing w:val="-2"/>
        </w:rPr>
        <w:t> </w:t>
      </w:r>
      <w:r>
        <w:rPr/>
        <w:t>critical</w:t>
      </w:r>
      <w:r>
        <w:rPr>
          <w:spacing w:val="-5"/>
        </w:rPr>
        <w:t> </w:t>
      </w:r>
      <w:r>
        <w:rPr/>
        <w:t>issues</w:t>
      </w:r>
      <w:r>
        <w:rPr>
          <w:spacing w:val="-3"/>
        </w:rPr>
        <w:t> </w:t>
      </w:r>
      <w:r>
        <w:rPr/>
        <w:t>of</w:t>
      </w:r>
      <w:r>
        <w:rPr>
          <w:spacing w:val="-2"/>
        </w:rPr>
        <w:t> </w:t>
      </w:r>
      <w:r>
        <w:rPr/>
        <w:t>sustainability,</w:t>
      </w:r>
      <w:r>
        <w:rPr>
          <w:spacing w:val="-4"/>
        </w:rPr>
        <w:t> </w:t>
      </w:r>
      <w:r>
        <w:rPr/>
        <w:t>climate</w:t>
      </w:r>
      <w:r>
        <w:rPr>
          <w:spacing w:val="-4"/>
        </w:rPr>
        <w:t> </w:t>
      </w:r>
      <w:r>
        <w:rPr/>
        <w:t>change</w:t>
      </w:r>
      <w:r>
        <w:rPr>
          <w:spacing w:val="-2"/>
        </w:rPr>
        <w:t> </w:t>
      </w:r>
      <w:r>
        <w:rPr/>
        <w:t>and</w:t>
      </w:r>
      <w:r>
        <w:rPr>
          <w:spacing w:val="-4"/>
        </w:rPr>
        <w:t> </w:t>
      </w:r>
      <w:r>
        <w:rPr/>
        <w:t>energy</w:t>
      </w:r>
      <w:r>
        <w:rPr>
          <w:spacing w:val="-7"/>
        </w:rPr>
        <w:t> </w:t>
      </w:r>
      <w:r>
        <w:rPr/>
        <w:t>consumption</w:t>
      </w:r>
      <w:r>
        <w:rPr>
          <w:spacing w:val="-4"/>
        </w:rPr>
        <w:t> </w:t>
      </w:r>
      <w:r>
        <w:rPr/>
        <w:t>in </w:t>
      </w:r>
      <w:r>
        <w:rPr>
          <w:spacing w:val="-2"/>
        </w:rPr>
        <w:t>buildings.</w:t>
      </w:r>
    </w:p>
    <w:p>
      <w:pPr>
        <w:pStyle w:val="BodyText"/>
        <w:spacing w:before="6"/>
        <w:rPr>
          <w:sz w:val="17"/>
        </w:rPr>
      </w:pPr>
    </w:p>
    <w:p>
      <w:pPr>
        <w:pStyle w:val="BodyText"/>
        <w:ind w:left="1723" w:right="499"/>
      </w:pPr>
      <w:bookmarkStart w:name="Likewise, our students are leaders in th" w:id="49"/>
      <w:bookmarkEnd w:id="49"/>
      <w:r>
        <w:rPr/>
      </w:r>
      <w:r>
        <w:rPr/>
        <w:t>Likewise, our students are leaders in the academic community. We have more Presidential Scholars per capita at the university</w:t>
      </w:r>
      <w:r>
        <w:rPr>
          <w:spacing w:val="-2"/>
        </w:rPr>
        <w:t> </w:t>
      </w:r>
      <w:r>
        <w:rPr/>
        <w:t>(those, who because of their academic acumen are on full scholarship). Our students have a passion for their work and their futures. They work hard and have fun doing it. They</w:t>
      </w:r>
      <w:r>
        <w:rPr>
          <w:spacing w:val="-6"/>
        </w:rPr>
        <w:t> </w:t>
      </w:r>
      <w:r>
        <w:rPr/>
        <w:t>make teaching a joy</w:t>
      </w:r>
      <w:r>
        <w:rPr>
          <w:spacing w:val="-3"/>
        </w:rPr>
        <w:t> </w:t>
      </w:r>
      <w:r>
        <w:rPr/>
        <w:t>for our professors. They</w:t>
      </w:r>
      <w:r>
        <w:rPr>
          <w:spacing w:val="-3"/>
        </w:rPr>
        <w:t> </w:t>
      </w:r>
      <w:r>
        <w:rPr/>
        <w:t>are engaged in a wide range of extra-curricular activities that enhance their learning. They are and have been, leaders in other campus activities, including drum majors in the marching band, lead vocalist</w:t>
      </w:r>
      <w:r>
        <w:rPr>
          <w:spacing w:val="-1"/>
        </w:rPr>
        <w:t> </w:t>
      </w:r>
      <w:r>
        <w:rPr/>
        <w:t>in</w:t>
      </w:r>
      <w:r>
        <w:rPr>
          <w:spacing w:val="-3"/>
        </w:rPr>
        <w:t> </w:t>
      </w:r>
      <w:r>
        <w:rPr/>
        <w:t>the</w:t>
      </w:r>
      <w:r>
        <w:rPr>
          <w:spacing w:val="-3"/>
        </w:rPr>
        <w:t> </w:t>
      </w:r>
      <w:r>
        <w:rPr/>
        <w:t>choir,</w:t>
      </w:r>
      <w:r>
        <w:rPr>
          <w:spacing w:val="-3"/>
        </w:rPr>
        <w:t> </w:t>
      </w:r>
      <w:r>
        <w:rPr/>
        <w:t>stellar</w:t>
      </w:r>
      <w:r>
        <w:rPr>
          <w:spacing w:val="-2"/>
        </w:rPr>
        <w:t> </w:t>
      </w:r>
      <w:r>
        <w:rPr/>
        <w:t>athletes</w:t>
      </w:r>
      <w:r>
        <w:rPr>
          <w:spacing w:val="-2"/>
        </w:rPr>
        <w:t> </w:t>
      </w:r>
      <w:r>
        <w:rPr/>
        <w:t>on</w:t>
      </w:r>
      <w:r>
        <w:rPr>
          <w:spacing w:val="-3"/>
        </w:rPr>
        <w:t> </w:t>
      </w:r>
      <w:r>
        <w:rPr/>
        <w:t>the</w:t>
      </w:r>
      <w:r>
        <w:rPr>
          <w:spacing w:val="-3"/>
        </w:rPr>
        <w:t> </w:t>
      </w:r>
      <w:r>
        <w:rPr/>
        <w:t>field</w:t>
      </w:r>
      <w:r>
        <w:rPr>
          <w:spacing w:val="-3"/>
        </w:rPr>
        <w:t> </w:t>
      </w:r>
      <w:r>
        <w:rPr/>
        <w:t>of</w:t>
      </w:r>
      <w:r>
        <w:rPr>
          <w:spacing w:val="-1"/>
        </w:rPr>
        <w:t> </w:t>
      </w:r>
      <w:r>
        <w:rPr/>
        <w:t>play</w:t>
      </w:r>
      <w:r>
        <w:rPr>
          <w:spacing w:val="-2"/>
        </w:rPr>
        <w:t> </w:t>
      </w:r>
      <w:r>
        <w:rPr/>
        <w:t>and</w:t>
      </w:r>
      <w:r>
        <w:rPr>
          <w:spacing w:val="-1"/>
        </w:rPr>
        <w:t> </w:t>
      </w:r>
      <w:r>
        <w:rPr/>
        <w:t>at</w:t>
      </w:r>
      <w:r>
        <w:rPr>
          <w:spacing w:val="-3"/>
        </w:rPr>
        <w:t> </w:t>
      </w:r>
      <w:r>
        <w:rPr/>
        <w:t>the</w:t>
      </w:r>
      <w:r>
        <w:rPr>
          <w:spacing w:val="-3"/>
        </w:rPr>
        <w:t> </w:t>
      </w:r>
      <w:r>
        <w:rPr/>
        <w:t>same</w:t>
      </w:r>
      <w:r>
        <w:rPr>
          <w:spacing w:val="-3"/>
        </w:rPr>
        <w:t> </w:t>
      </w:r>
      <w:r>
        <w:rPr/>
        <w:t>time,</w:t>
      </w:r>
      <w:r>
        <w:rPr>
          <w:spacing w:val="-3"/>
        </w:rPr>
        <w:t> </w:t>
      </w:r>
      <w:r>
        <w:rPr/>
        <w:t>scholars</w:t>
      </w:r>
      <w:r>
        <w:rPr>
          <w:spacing w:val="-2"/>
        </w:rPr>
        <w:t> </w:t>
      </w:r>
      <w:r>
        <w:rPr/>
        <w:t>in</w:t>
      </w:r>
      <w:r>
        <w:rPr>
          <w:spacing w:val="-3"/>
        </w:rPr>
        <w:t> </w:t>
      </w:r>
      <w:r>
        <w:rPr/>
        <w:t>the class. They are members of sororities and fraternities, they do work on campus and off to </w:t>
      </w:r>
      <w:bookmarkStart w:name="The program enjoys the support of the br" w:id="50"/>
      <w:bookmarkEnd w:id="50"/>
      <w:r>
        <w:rPr/>
        <w:t>r</w:t>
      </w:r>
      <w:r>
        <w:rPr/>
        <w:t>ecruit, motivate and mentor other students and potential students.</w:t>
      </w:r>
    </w:p>
    <w:p>
      <w:pPr>
        <w:pStyle w:val="BodyText"/>
        <w:spacing w:before="6"/>
        <w:rPr>
          <w:sz w:val="17"/>
        </w:rPr>
      </w:pPr>
    </w:p>
    <w:p>
      <w:pPr>
        <w:pStyle w:val="BodyText"/>
        <w:ind w:left="1723" w:right="705"/>
      </w:pPr>
      <w:r>
        <w:rPr/>
        <w:t>The</w:t>
      </w:r>
      <w:r>
        <w:rPr>
          <w:spacing w:val="-5"/>
        </w:rPr>
        <w:t> </w:t>
      </w:r>
      <w:r>
        <w:rPr/>
        <w:t>program enjoys</w:t>
      </w:r>
      <w:r>
        <w:rPr>
          <w:spacing w:val="-4"/>
        </w:rPr>
        <w:t> </w:t>
      </w:r>
      <w:r>
        <w:rPr/>
        <w:t>the</w:t>
      </w:r>
      <w:r>
        <w:rPr>
          <w:spacing w:val="-5"/>
        </w:rPr>
        <w:t> </w:t>
      </w:r>
      <w:r>
        <w:rPr/>
        <w:t>support</w:t>
      </w:r>
      <w:r>
        <w:rPr>
          <w:spacing w:val="-5"/>
        </w:rPr>
        <w:t> </w:t>
      </w:r>
      <w:r>
        <w:rPr/>
        <w:t>of</w:t>
      </w:r>
      <w:r>
        <w:rPr>
          <w:spacing w:val="-3"/>
        </w:rPr>
        <w:t> </w:t>
      </w:r>
      <w:r>
        <w:rPr/>
        <w:t>the</w:t>
      </w:r>
      <w:r>
        <w:rPr>
          <w:spacing w:val="-5"/>
        </w:rPr>
        <w:t> </w:t>
      </w:r>
      <w:r>
        <w:rPr/>
        <w:t>broader</w:t>
      </w:r>
      <w:r>
        <w:rPr>
          <w:spacing w:val="-2"/>
        </w:rPr>
        <w:t> </w:t>
      </w:r>
      <w:r>
        <w:rPr/>
        <w:t>design</w:t>
      </w:r>
      <w:r>
        <w:rPr>
          <w:spacing w:val="-3"/>
        </w:rPr>
        <w:t> </w:t>
      </w:r>
      <w:r>
        <w:rPr/>
        <w:t>community</w:t>
      </w:r>
      <w:r>
        <w:rPr>
          <w:spacing w:val="-6"/>
        </w:rPr>
        <w:t> </w:t>
      </w:r>
      <w:r>
        <w:rPr/>
        <w:t>in</w:t>
      </w:r>
      <w:r>
        <w:rPr>
          <w:spacing w:val="-5"/>
        </w:rPr>
        <w:t> </w:t>
      </w:r>
      <w:r>
        <w:rPr/>
        <w:t>the</w:t>
      </w:r>
      <w:r>
        <w:rPr>
          <w:spacing w:val="-5"/>
        </w:rPr>
        <w:t> </w:t>
      </w:r>
      <w:r>
        <w:rPr/>
        <w:t>Hampton</w:t>
      </w:r>
      <w:r>
        <w:rPr>
          <w:spacing w:val="-5"/>
        </w:rPr>
        <w:t> </w:t>
      </w:r>
      <w:r>
        <w:rPr/>
        <w:t>Roads area. Firms and individuals have contributed to the growth and development of the department and to expand its impact in the community. The Department is working on bringing</w:t>
      </w:r>
      <w:r>
        <w:rPr>
          <w:spacing w:val="-3"/>
        </w:rPr>
        <w:t> </w:t>
      </w:r>
      <w:r>
        <w:rPr/>
        <w:t>educators</w:t>
      </w:r>
      <w:r>
        <w:rPr>
          <w:spacing w:val="-2"/>
        </w:rPr>
        <w:t> </w:t>
      </w:r>
      <w:r>
        <w:rPr/>
        <w:t>and</w:t>
      </w:r>
      <w:r>
        <w:rPr>
          <w:spacing w:val="-3"/>
        </w:rPr>
        <w:t> </w:t>
      </w:r>
      <w:r>
        <w:rPr/>
        <w:t>practitioners</w:t>
      </w:r>
      <w:r>
        <w:rPr>
          <w:spacing w:val="-2"/>
        </w:rPr>
        <w:t> </w:t>
      </w:r>
      <w:r>
        <w:rPr/>
        <w:t>together</w:t>
      </w:r>
      <w:r>
        <w:rPr>
          <w:spacing w:val="-2"/>
        </w:rPr>
        <w:t> </w:t>
      </w:r>
      <w:r>
        <w:rPr/>
        <w:t>over</w:t>
      </w:r>
      <w:r>
        <w:rPr>
          <w:spacing w:val="-2"/>
        </w:rPr>
        <w:t> </w:t>
      </w:r>
      <w:r>
        <w:rPr/>
        <w:t>this issue,</w:t>
      </w:r>
      <w:r>
        <w:rPr>
          <w:spacing w:val="-3"/>
        </w:rPr>
        <w:t> </w:t>
      </w:r>
      <w:r>
        <w:rPr/>
        <w:t>and</w:t>
      </w:r>
      <w:r>
        <w:rPr>
          <w:spacing w:val="-3"/>
        </w:rPr>
        <w:t> </w:t>
      </w:r>
      <w:r>
        <w:rPr/>
        <w:t>strengthen</w:t>
      </w:r>
      <w:r>
        <w:rPr>
          <w:spacing w:val="-3"/>
        </w:rPr>
        <w:t> </w:t>
      </w:r>
      <w:r>
        <w:rPr/>
        <w:t>the</w:t>
      </w:r>
      <w:r>
        <w:rPr>
          <w:spacing w:val="-1"/>
        </w:rPr>
        <w:t> </w:t>
      </w:r>
      <w:r>
        <w:rPr/>
        <w:t>broader architectural community.</w:t>
      </w:r>
    </w:p>
    <w:p>
      <w:pPr>
        <w:spacing w:after="0"/>
        <w:sectPr>
          <w:pgSz w:w="12240" w:h="15840"/>
          <w:pgMar w:header="0" w:footer="974" w:top="1360" w:bottom="1160" w:left="940" w:right="960"/>
        </w:sectPr>
      </w:pPr>
    </w:p>
    <w:p>
      <w:pPr>
        <w:pStyle w:val="ListParagraph"/>
        <w:numPr>
          <w:ilvl w:val="3"/>
          <w:numId w:val="20"/>
        </w:numPr>
        <w:tabs>
          <w:tab w:pos="2300" w:val="left" w:leader="none"/>
        </w:tabs>
        <w:spacing w:line="240" w:lineRule="auto" w:before="75" w:after="0"/>
        <w:ind w:left="2227" w:right="509" w:hanging="648"/>
        <w:jc w:val="left"/>
        <w:rPr>
          <w:sz w:val="20"/>
        </w:rPr>
      </w:pPr>
      <w:r>
        <w:rPr>
          <w:b/>
          <w:sz w:val="20"/>
        </w:rPr>
        <w:t>Program Challenges</w:t>
      </w:r>
      <w:r>
        <w:rPr>
          <w:sz w:val="20"/>
        </w:rPr>
        <w:t>: We also have our challenges. Our enrollment is down, our fiscal resources are marginal, our building is in a state of disrepair and our faculty is stretched.</w:t>
      </w:r>
      <w:r>
        <w:rPr>
          <w:spacing w:val="-2"/>
          <w:sz w:val="20"/>
        </w:rPr>
        <w:t> </w:t>
      </w:r>
      <w:r>
        <w:rPr>
          <w:sz w:val="20"/>
        </w:rPr>
        <w:t>Some</w:t>
      </w:r>
      <w:r>
        <w:rPr>
          <w:spacing w:val="-5"/>
          <w:sz w:val="20"/>
        </w:rPr>
        <w:t> </w:t>
      </w:r>
      <w:r>
        <w:rPr>
          <w:sz w:val="20"/>
        </w:rPr>
        <w:t>of</w:t>
      </w:r>
      <w:r>
        <w:rPr>
          <w:spacing w:val="-3"/>
          <w:sz w:val="20"/>
        </w:rPr>
        <w:t> </w:t>
      </w:r>
      <w:r>
        <w:rPr>
          <w:sz w:val="20"/>
        </w:rPr>
        <w:t>these</w:t>
      </w:r>
      <w:r>
        <w:rPr>
          <w:spacing w:val="-5"/>
          <w:sz w:val="20"/>
        </w:rPr>
        <w:t> </w:t>
      </w:r>
      <w:r>
        <w:rPr>
          <w:sz w:val="20"/>
        </w:rPr>
        <w:t>challenges</w:t>
      </w:r>
      <w:r>
        <w:rPr>
          <w:spacing w:val="-4"/>
          <w:sz w:val="20"/>
        </w:rPr>
        <w:t> </w:t>
      </w:r>
      <w:r>
        <w:rPr>
          <w:sz w:val="20"/>
        </w:rPr>
        <w:t>that</w:t>
      </w:r>
      <w:r>
        <w:rPr>
          <w:spacing w:val="-2"/>
          <w:sz w:val="20"/>
        </w:rPr>
        <w:t> </w:t>
      </w:r>
      <w:r>
        <w:rPr>
          <w:sz w:val="20"/>
        </w:rPr>
        <w:t>were</w:t>
      </w:r>
      <w:r>
        <w:rPr>
          <w:spacing w:val="-5"/>
          <w:sz w:val="20"/>
        </w:rPr>
        <w:t> </w:t>
      </w:r>
      <w:r>
        <w:rPr>
          <w:sz w:val="20"/>
        </w:rPr>
        <w:t>identified</w:t>
      </w:r>
      <w:r>
        <w:rPr>
          <w:spacing w:val="-5"/>
          <w:sz w:val="20"/>
        </w:rPr>
        <w:t> </w:t>
      </w:r>
      <w:r>
        <w:rPr>
          <w:sz w:val="20"/>
        </w:rPr>
        <w:t>in</w:t>
      </w:r>
      <w:r>
        <w:rPr>
          <w:spacing w:val="-5"/>
          <w:sz w:val="20"/>
        </w:rPr>
        <w:t> </w:t>
      </w:r>
      <w:r>
        <w:rPr>
          <w:sz w:val="20"/>
        </w:rPr>
        <w:t>the</w:t>
      </w:r>
      <w:r>
        <w:rPr>
          <w:spacing w:val="-5"/>
          <w:sz w:val="20"/>
        </w:rPr>
        <w:t> </w:t>
      </w:r>
      <w:r>
        <w:rPr>
          <w:sz w:val="20"/>
        </w:rPr>
        <w:t>2008</w:t>
      </w:r>
      <w:r>
        <w:rPr>
          <w:spacing w:val="-3"/>
          <w:sz w:val="20"/>
        </w:rPr>
        <w:t> </w:t>
      </w:r>
      <w:r>
        <w:rPr>
          <w:sz w:val="20"/>
        </w:rPr>
        <w:t>APR</w:t>
      </w:r>
      <w:r>
        <w:rPr>
          <w:spacing w:val="-4"/>
          <w:sz w:val="20"/>
        </w:rPr>
        <w:t> </w:t>
      </w:r>
      <w:r>
        <w:rPr>
          <w:sz w:val="20"/>
        </w:rPr>
        <w:t>are</w:t>
      </w:r>
      <w:r>
        <w:rPr>
          <w:spacing w:val="-3"/>
          <w:sz w:val="20"/>
        </w:rPr>
        <w:t> </w:t>
      </w:r>
      <w:r>
        <w:rPr>
          <w:sz w:val="20"/>
        </w:rPr>
        <w:t>restated below. The </w:t>
      </w:r>
      <w:r>
        <w:rPr>
          <w:rFonts w:ascii="Arial-BoldItalicMT"/>
          <w:b/>
          <w:i/>
          <w:sz w:val="20"/>
          <w:u w:val="thick"/>
        </w:rPr>
        <w:t>bold faced</w:t>
      </w:r>
      <w:r>
        <w:rPr>
          <w:rFonts w:ascii="Arial-BoldItalicMT"/>
          <w:b/>
          <w:i/>
          <w:sz w:val="20"/>
        </w:rPr>
        <w:t> </w:t>
      </w:r>
      <w:r>
        <w:rPr>
          <w:sz w:val="20"/>
        </w:rPr>
        <w:t>text describes the updated conditions.</w:t>
      </w:r>
    </w:p>
    <w:p>
      <w:pPr>
        <w:pStyle w:val="BodyText"/>
        <w:spacing w:before="10"/>
        <w:rPr>
          <w:sz w:val="12"/>
        </w:rPr>
      </w:pPr>
    </w:p>
    <w:p>
      <w:pPr>
        <w:pStyle w:val="ListParagraph"/>
        <w:numPr>
          <w:ilvl w:val="4"/>
          <w:numId w:val="20"/>
        </w:numPr>
        <w:tabs>
          <w:tab w:pos="2731" w:val="left" w:leader="none"/>
          <w:tab w:pos="2733" w:val="left" w:leader="none"/>
        </w:tabs>
        <w:spacing w:line="240" w:lineRule="auto" w:before="93" w:after="0"/>
        <w:ind w:left="2732" w:right="504" w:hanging="793"/>
        <w:jc w:val="left"/>
        <w:rPr>
          <w:sz w:val="20"/>
        </w:rPr>
      </w:pPr>
      <w:r>
        <w:rPr>
          <w:sz w:val="20"/>
        </w:rPr>
        <w:t>Facilities: Recent growth of the student body has pushed an aging building to the very edge of capacity. The administration has been making some repairs, but</w:t>
      </w:r>
      <w:r>
        <w:rPr>
          <w:spacing w:val="-2"/>
          <w:sz w:val="20"/>
        </w:rPr>
        <w:t> </w:t>
      </w:r>
      <w:r>
        <w:rPr>
          <w:sz w:val="20"/>
        </w:rPr>
        <w:t>we</w:t>
      </w:r>
      <w:r>
        <w:rPr>
          <w:spacing w:val="-4"/>
          <w:sz w:val="20"/>
        </w:rPr>
        <w:t> </w:t>
      </w:r>
      <w:r>
        <w:rPr>
          <w:sz w:val="20"/>
        </w:rPr>
        <w:t>are</w:t>
      </w:r>
      <w:r>
        <w:rPr>
          <w:spacing w:val="-2"/>
          <w:sz w:val="20"/>
        </w:rPr>
        <w:t> </w:t>
      </w:r>
      <w:r>
        <w:rPr>
          <w:sz w:val="20"/>
        </w:rPr>
        <w:t>at</w:t>
      </w:r>
      <w:r>
        <w:rPr>
          <w:spacing w:val="-4"/>
          <w:sz w:val="20"/>
        </w:rPr>
        <w:t> </w:t>
      </w:r>
      <w:r>
        <w:rPr>
          <w:sz w:val="20"/>
        </w:rPr>
        <w:t>or</w:t>
      </w:r>
      <w:r>
        <w:rPr>
          <w:spacing w:val="-1"/>
          <w:sz w:val="20"/>
        </w:rPr>
        <w:t> </w:t>
      </w:r>
      <w:r>
        <w:rPr>
          <w:sz w:val="20"/>
        </w:rPr>
        <w:t>past</w:t>
      </w:r>
      <w:r>
        <w:rPr>
          <w:spacing w:val="-4"/>
          <w:sz w:val="20"/>
        </w:rPr>
        <w:t> </w:t>
      </w:r>
      <w:r>
        <w:rPr>
          <w:sz w:val="20"/>
        </w:rPr>
        <w:t>our</w:t>
      </w:r>
      <w:r>
        <w:rPr>
          <w:spacing w:val="-3"/>
          <w:sz w:val="20"/>
        </w:rPr>
        <w:t> </w:t>
      </w:r>
      <w:r>
        <w:rPr>
          <w:sz w:val="20"/>
        </w:rPr>
        <w:t>spatial</w:t>
      </w:r>
      <w:r>
        <w:rPr>
          <w:spacing w:val="-3"/>
          <w:sz w:val="20"/>
        </w:rPr>
        <w:t> </w:t>
      </w:r>
      <w:r>
        <w:rPr>
          <w:sz w:val="20"/>
        </w:rPr>
        <w:t>limits.</w:t>
      </w:r>
      <w:r>
        <w:rPr>
          <w:spacing w:val="-4"/>
          <w:sz w:val="20"/>
        </w:rPr>
        <w:t> </w:t>
      </w:r>
      <w:r>
        <w:rPr>
          <w:sz w:val="20"/>
        </w:rPr>
        <w:t>Studio</w:t>
      </w:r>
      <w:r>
        <w:rPr>
          <w:spacing w:val="-2"/>
          <w:sz w:val="20"/>
        </w:rPr>
        <w:t> </w:t>
      </w:r>
      <w:r>
        <w:rPr>
          <w:sz w:val="20"/>
        </w:rPr>
        <w:t>space</w:t>
      </w:r>
      <w:r>
        <w:rPr>
          <w:spacing w:val="-2"/>
          <w:sz w:val="20"/>
        </w:rPr>
        <w:t> </w:t>
      </w:r>
      <w:r>
        <w:rPr>
          <w:sz w:val="20"/>
        </w:rPr>
        <w:t>is</w:t>
      </w:r>
      <w:r>
        <w:rPr>
          <w:spacing w:val="-3"/>
          <w:sz w:val="20"/>
        </w:rPr>
        <w:t> </w:t>
      </w:r>
      <w:r>
        <w:rPr>
          <w:sz w:val="20"/>
        </w:rPr>
        <w:t>full,</w:t>
      </w:r>
      <w:r>
        <w:rPr>
          <w:spacing w:val="-4"/>
          <w:sz w:val="20"/>
        </w:rPr>
        <w:t> </w:t>
      </w:r>
      <w:r>
        <w:rPr>
          <w:sz w:val="20"/>
        </w:rPr>
        <w:t>and</w:t>
      </w:r>
      <w:r>
        <w:rPr>
          <w:spacing w:val="-4"/>
          <w:sz w:val="20"/>
        </w:rPr>
        <w:t> </w:t>
      </w:r>
      <w:r>
        <w:rPr>
          <w:sz w:val="20"/>
        </w:rPr>
        <w:t>faculty</w:t>
      </w:r>
      <w:r>
        <w:rPr>
          <w:spacing w:val="-6"/>
          <w:sz w:val="20"/>
        </w:rPr>
        <w:t> </w:t>
      </w:r>
      <w:r>
        <w:rPr>
          <w:sz w:val="20"/>
        </w:rPr>
        <w:t>are</w:t>
      </w:r>
      <w:r>
        <w:rPr>
          <w:spacing w:val="-4"/>
          <w:sz w:val="20"/>
        </w:rPr>
        <w:t> </w:t>
      </w:r>
      <w:r>
        <w:rPr>
          <w:sz w:val="20"/>
        </w:rPr>
        <w:t>two</w:t>
      </w:r>
      <w:r>
        <w:rPr>
          <w:spacing w:val="-2"/>
          <w:sz w:val="20"/>
        </w:rPr>
        <w:t> </w:t>
      </w:r>
      <w:r>
        <w:rPr>
          <w:sz w:val="20"/>
        </w:rPr>
        <w:t>to an office.</w:t>
      </w:r>
    </w:p>
    <w:p>
      <w:pPr>
        <w:pStyle w:val="BodyText"/>
        <w:spacing w:before="9"/>
      </w:pPr>
    </w:p>
    <w:p>
      <w:pPr>
        <w:spacing w:before="1"/>
        <w:ind w:left="2732" w:right="499" w:firstLine="0"/>
        <w:jc w:val="left"/>
        <w:rPr>
          <w:b/>
          <w:sz w:val="20"/>
        </w:rPr>
      </w:pPr>
      <w:r>
        <w:rPr>
          <w:b/>
          <w:sz w:val="20"/>
        </w:rPr>
        <w:t>Unfortunately,</w:t>
      </w:r>
      <w:r>
        <w:rPr>
          <w:b/>
          <w:spacing w:val="-6"/>
          <w:sz w:val="20"/>
        </w:rPr>
        <w:t> </w:t>
      </w:r>
      <w:r>
        <w:rPr>
          <w:b/>
          <w:sz w:val="20"/>
        </w:rPr>
        <w:t>our</w:t>
      </w:r>
      <w:r>
        <w:rPr>
          <w:b/>
          <w:spacing w:val="-4"/>
          <w:sz w:val="20"/>
        </w:rPr>
        <w:t> </w:t>
      </w:r>
      <w:r>
        <w:rPr>
          <w:b/>
          <w:sz w:val="20"/>
        </w:rPr>
        <w:t>space</w:t>
      </w:r>
      <w:r>
        <w:rPr>
          <w:b/>
          <w:spacing w:val="-4"/>
          <w:sz w:val="20"/>
        </w:rPr>
        <w:t> </w:t>
      </w:r>
      <w:r>
        <w:rPr>
          <w:b/>
          <w:sz w:val="20"/>
        </w:rPr>
        <w:t>limitations</w:t>
      </w:r>
      <w:r>
        <w:rPr>
          <w:b/>
          <w:spacing w:val="-6"/>
          <w:sz w:val="20"/>
        </w:rPr>
        <w:t> </w:t>
      </w:r>
      <w:r>
        <w:rPr>
          <w:b/>
          <w:sz w:val="20"/>
        </w:rPr>
        <w:t>have</w:t>
      </w:r>
      <w:r>
        <w:rPr>
          <w:b/>
          <w:spacing w:val="-6"/>
          <w:sz w:val="20"/>
        </w:rPr>
        <w:t> </w:t>
      </w:r>
      <w:r>
        <w:rPr>
          <w:b/>
          <w:sz w:val="20"/>
        </w:rPr>
        <w:t>been</w:t>
      </w:r>
      <w:r>
        <w:rPr>
          <w:b/>
          <w:spacing w:val="-5"/>
          <w:sz w:val="20"/>
        </w:rPr>
        <w:t> </w:t>
      </w:r>
      <w:r>
        <w:rPr>
          <w:b/>
          <w:sz w:val="20"/>
        </w:rPr>
        <w:t>addressed</w:t>
      </w:r>
      <w:r>
        <w:rPr>
          <w:b/>
          <w:spacing w:val="-5"/>
          <w:sz w:val="20"/>
        </w:rPr>
        <w:t> </w:t>
      </w:r>
      <w:r>
        <w:rPr>
          <w:b/>
          <w:sz w:val="20"/>
        </w:rPr>
        <w:t>by</w:t>
      </w:r>
      <w:r>
        <w:rPr>
          <w:b/>
          <w:spacing w:val="-6"/>
          <w:sz w:val="20"/>
        </w:rPr>
        <w:t> </w:t>
      </w:r>
      <w:r>
        <w:rPr>
          <w:b/>
          <w:sz w:val="20"/>
        </w:rPr>
        <w:t>reductions</w:t>
      </w:r>
      <w:r>
        <w:rPr>
          <w:b/>
          <w:spacing w:val="-4"/>
          <w:sz w:val="20"/>
        </w:rPr>
        <w:t> </w:t>
      </w:r>
      <w:r>
        <w:rPr>
          <w:b/>
          <w:sz w:val="20"/>
        </w:rPr>
        <w:t>in student enrollment. The enrollment levels in 2008-9 were the result of several conditions that no longer exist. Our program had a major influx of student from one of our sister programs while they were addressing accreditation issues. Those issues have been addressed and those students are no longer a part of the program. Other issues related to enrollment are discussed in Section 3, “Progress Since Last Visit”.</w:t>
      </w:r>
    </w:p>
    <w:p>
      <w:pPr>
        <w:pStyle w:val="BodyText"/>
        <w:spacing w:before="8"/>
        <w:rPr>
          <w:b/>
        </w:rPr>
      </w:pPr>
    </w:p>
    <w:p>
      <w:pPr>
        <w:spacing w:before="0"/>
        <w:ind w:left="2731" w:right="499" w:firstLine="0"/>
        <w:jc w:val="left"/>
        <w:rPr>
          <w:b/>
          <w:sz w:val="20"/>
        </w:rPr>
      </w:pPr>
      <w:r>
        <w:rPr>
          <w:b/>
          <w:sz w:val="20"/>
        </w:rPr>
        <w:t>However, our physical resources remain a concern. The Bemis Laboratories building is of 1930's vintage and difficult to modify to meet the current and growing demands of technology. The University has been responsive;</w:t>
      </w:r>
      <w:r>
        <w:rPr>
          <w:b/>
          <w:spacing w:val="-4"/>
          <w:sz w:val="20"/>
        </w:rPr>
        <w:t> </w:t>
      </w:r>
      <w:r>
        <w:rPr>
          <w:b/>
          <w:sz w:val="20"/>
        </w:rPr>
        <w:t>for</w:t>
      </w:r>
      <w:r>
        <w:rPr>
          <w:b/>
          <w:spacing w:val="-3"/>
          <w:sz w:val="20"/>
        </w:rPr>
        <w:t> </w:t>
      </w:r>
      <w:r>
        <w:rPr>
          <w:b/>
          <w:sz w:val="20"/>
        </w:rPr>
        <w:t>example</w:t>
      </w:r>
      <w:r>
        <w:rPr>
          <w:b/>
          <w:spacing w:val="-5"/>
          <w:sz w:val="20"/>
        </w:rPr>
        <w:t> </w:t>
      </w:r>
      <w:r>
        <w:rPr>
          <w:b/>
          <w:sz w:val="20"/>
        </w:rPr>
        <w:t>it</w:t>
      </w:r>
      <w:r>
        <w:rPr>
          <w:b/>
          <w:spacing w:val="-4"/>
          <w:sz w:val="20"/>
        </w:rPr>
        <w:t> </w:t>
      </w:r>
      <w:r>
        <w:rPr>
          <w:b/>
          <w:sz w:val="20"/>
        </w:rPr>
        <w:t>replaced</w:t>
      </w:r>
      <w:r>
        <w:rPr>
          <w:b/>
          <w:spacing w:val="-4"/>
          <w:sz w:val="20"/>
        </w:rPr>
        <w:t> </w:t>
      </w:r>
      <w:r>
        <w:rPr>
          <w:b/>
          <w:sz w:val="20"/>
        </w:rPr>
        <w:t>the</w:t>
      </w:r>
      <w:r>
        <w:rPr>
          <w:b/>
          <w:spacing w:val="-5"/>
          <w:sz w:val="20"/>
        </w:rPr>
        <w:t> </w:t>
      </w:r>
      <w:r>
        <w:rPr>
          <w:b/>
          <w:sz w:val="20"/>
        </w:rPr>
        <w:t>roof</w:t>
      </w:r>
      <w:r>
        <w:rPr>
          <w:b/>
          <w:spacing w:val="-2"/>
          <w:sz w:val="20"/>
        </w:rPr>
        <w:t> </w:t>
      </w:r>
      <w:r>
        <w:rPr>
          <w:b/>
          <w:sz w:val="20"/>
        </w:rPr>
        <w:t>and</w:t>
      </w:r>
      <w:r>
        <w:rPr>
          <w:b/>
          <w:spacing w:val="-4"/>
          <w:sz w:val="20"/>
        </w:rPr>
        <w:t> </w:t>
      </w:r>
      <w:r>
        <w:rPr>
          <w:b/>
          <w:sz w:val="20"/>
        </w:rPr>
        <w:t>made</w:t>
      </w:r>
      <w:r>
        <w:rPr>
          <w:b/>
          <w:spacing w:val="-5"/>
          <w:sz w:val="20"/>
        </w:rPr>
        <w:t> </w:t>
      </w:r>
      <w:r>
        <w:rPr>
          <w:b/>
          <w:sz w:val="20"/>
        </w:rPr>
        <w:t>other</w:t>
      </w:r>
      <w:r>
        <w:rPr>
          <w:b/>
          <w:spacing w:val="-6"/>
          <w:sz w:val="20"/>
        </w:rPr>
        <w:t> </w:t>
      </w:r>
      <w:r>
        <w:rPr>
          <w:b/>
          <w:sz w:val="20"/>
        </w:rPr>
        <w:t>major</w:t>
      </w:r>
      <w:r>
        <w:rPr>
          <w:b/>
          <w:spacing w:val="-3"/>
          <w:sz w:val="20"/>
        </w:rPr>
        <w:t> </w:t>
      </w:r>
      <w:r>
        <w:rPr>
          <w:b/>
          <w:sz w:val="20"/>
        </w:rPr>
        <w:t>repairs. is no space available in the Bemis building for the entire student body to gather (lectures, etc.), although space is available in other buildings.</w:t>
      </w:r>
    </w:p>
    <w:p>
      <w:pPr>
        <w:pStyle w:val="BodyText"/>
        <w:spacing w:before="1"/>
        <w:rPr>
          <w:b/>
          <w:sz w:val="21"/>
        </w:rPr>
      </w:pPr>
    </w:p>
    <w:p>
      <w:pPr>
        <w:pStyle w:val="ListParagraph"/>
        <w:numPr>
          <w:ilvl w:val="4"/>
          <w:numId w:val="20"/>
        </w:numPr>
        <w:tabs>
          <w:tab w:pos="2731" w:val="left" w:leader="none"/>
          <w:tab w:pos="2732" w:val="left" w:leader="none"/>
        </w:tabs>
        <w:spacing w:line="240" w:lineRule="auto" w:before="0" w:after="0"/>
        <w:ind w:left="2731" w:right="506" w:hanging="793"/>
        <w:jc w:val="left"/>
        <w:rPr>
          <w:sz w:val="20"/>
        </w:rPr>
      </w:pPr>
      <w:r>
        <w:rPr>
          <w:sz w:val="20"/>
        </w:rPr>
        <w:t>Human Resources: At our current program size, based on the SSHU(*) formula of</w:t>
      </w:r>
      <w:r>
        <w:rPr>
          <w:spacing w:val="-2"/>
          <w:sz w:val="20"/>
        </w:rPr>
        <w:t> </w:t>
      </w:r>
      <w:r>
        <w:rPr>
          <w:sz w:val="20"/>
        </w:rPr>
        <w:t>180</w:t>
      </w:r>
      <w:r>
        <w:rPr>
          <w:spacing w:val="-4"/>
          <w:sz w:val="20"/>
        </w:rPr>
        <w:t> </w:t>
      </w:r>
      <w:r>
        <w:rPr>
          <w:sz w:val="20"/>
        </w:rPr>
        <w:t>contact</w:t>
      </w:r>
      <w:r>
        <w:rPr>
          <w:spacing w:val="-4"/>
          <w:sz w:val="20"/>
        </w:rPr>
        <w:t> </w:t>
      </w:r>
      <w:r>
        <w:rPr>
          <w:sz w:val="20"/>
        </w:rPr>
        <w:t>hours</w:t>
      </w:r>
      <w:r>
        <w:rPr>
          <w:spacing w:val="-3"/>
          <w:sz w:val="20"/>
        </w:rPr>
        <w:t> </w:t>
      </w:r>
      <w:r>
        <w:rPr>
          <w:sz w:val="20"/>
        </w:rPr>
        <w:t>per</w:t>
      </w:r>
      <w:r>
        <w:rPr>
          <w:spacing w:val="-3"/>
          <w:sz w:val="20"/>
        </w:rPr>
        <w:t> </w:t>
      </w:r>
      <w:r>
        <w:rPr>
          <w:sz w:val="20"/>
        </w:rPr>
        <w:t>full</w:t>
      </w:r>
      <w:r>
        <w:rPr>
          <w:spacing w:val="-5"/>
          <w:sz w:val="20"/>
        </w:rPr>
        <w:t> </w:t>
      </w:r>
      <w:r>
        <w:rPr>
          <w:sz w:val="20"/>
        </w:rPr>
        <w:t>time</w:t>
      </w:r>
      <w:r>
        <w:rPr>
          <w:spacing w:val="-4"/>
          <w:sz w:val="20"/>
        </w:rPr>
        <w:t> </w:t>
      </w:r>
      <w:r>
        <w:rPr>
          <w:sz w:val="20"/>
        </w:rPr>
        <w:t>equivalent</w:t>
      </w:r>
      <w:r>
        <w:rPr>
          <w:spacing w:val="-4"/>
          <w:sz w:val="20"/>
        </w:rPr>
        <w:t> </w:t>
      </w:r>
      <w:r>
        <w:rPr>
          <w:sz w:val="20"/>
        </w:rPr>
        <w:t>FTE</w:t>
      </w:r>
      <w:r>
        <w:rPr>
          <w:spacing w:val="-5"/>
          <w:sz w:val="20"/>
        </w:rPr>
        <w:t> </w:t>
      </w:r>
      <w:r>
        <w:rPr>
          <w:sz w:val="20"/>
        </w:rPr>
        <w:t>faculty</w:t>
      </w:r>
      <w:r>
        <w:rPr>
          <w:spacing w:val="-5"/>
          <w:sz w:val="20"/>
        </w:rPr>
        <w:t> </w:t>
      </w:r>
      <w:r>
        <w:rPr>
          <w:sz w:val="20"/>
        </w:rPr>
        <w:t>position,</w:t>
      </w:r>
      <w:r>
        <w:rPr>
          <w:spacing w:val="-2"/>
          <w:sz w:val="20"/>
        </w:rPr>
        <w:t> </w:t>
      </w:r>
      <w:r>
        <w:rPr>
          <w:sz w:val="20"/>
        </w:rPr>
        <w:t>we</w:t>
      </w:r>
      <w:r>
        <w:rPr>
          <w:spacing w:val="-4"/>
          <w:sz w:val="20"/>
        </w:rPr>
        <w:t> </w:t>
      </w:r>
      <w:r>
        <w:rPr>
          <w:sz w:val="20"/>
        </w:rPr>
        <w:t>are</w:t>
      </w:r>
      <w:r>
        <w:rPr>
          <w:spacing w:val="-4"/>
          <w:sz w:val="20"/>
        </w:rPr>
        <w:t> </w:t>
      </w:r>
      <w:r>
        <w:rPr>
          <w:sz w:val="20"/>
        </w:rPr>
        <w:t>in</w:t>
      </w:r>
      <w:r>
        <w:rPr>
          <w:spacing w:val="-4"/>
          <w:sz w:val="20"/>
        </w:rPr>
        <w:t> </w:t>
      </w:r>
      <w:r>
        <w:rPr>
          <w:sz w:val="20"/>
        </w:rPr>
        <w:t>need of</w:t>
      </w:r>
      <w:r>
        <w:rPr>
          <w:spacing w:val="-1"/>
          <w:sz w:val="20"/>
        </w:rPr>
        <w:t> </w:t>
      </w:r>
      <w:r>
        <w:rPr>
          <w:sz w:val="20"/>
        </w:rPr>
        <w:t>four</w:t>
      </w:r>
      <w:r>
        <w:rPr>
          <w:spacing w:val="-2"/>
          <w:sz w:val="20"/>
        </w:rPr>
        <w:t> </w:t>
      </w:r>
      <w:r>
        <w:rPr>
          <w:sz w:val="20"/>
        </w:rPr>
        <w:t>additional</w:t>
      </w:r>
      <w:r>
        <w:rPr>
          <w:spacing w:val="-4"/>
          <w:sz w:val="20"/>
        </w:rPr>
        <w:t> </w:t>
      </w:r>
      <w:r>
        <w:rPr>
          <w:sz w:val="20"/>
        </w:rPr>
        <w:t>faculty</w:t>
      </w:r>
      <w:r>
        <w:rPr>
          <w:spacing w:val="-4"/>
          <w:sz w:val="20"/>
        </w:rPr>
        <w:t> </w:t>
      </w:r>
      <w:r>
        <w:rPr>
          <w:sz w:val="20"/>
        </w:rPr>
        <w:t>positions.</w:t>
      </w:r>
      <w:r>
        <w:rPr>
          <w:spacing w:val="-3"/>
          <w:sz w:val="20"/>
        </w:rPr>
        <w:t> </w:t>
      </w:r>
      <w:r>
        <w:rPr>
          <w:sz w:val="20"/>
        </w:rPr>
        <w:t>Studios</w:t>
      </w:r>
      <w:r>
        <w:rPr>
          <w:spacing w:val="-2"/>
          <w:sz w:val="20"/>
        </w:rPr>
        <w:t> </w:t>
      </w:r>
      <w:r>
        <w:rPr>
          <w:sz w:val="20"/>
        </w:rPr>
        <w:t>alone</w:t>
      </w:r>
      <w:r>
        <w:rPr>
          <w:spacing w:val="-3"/>
          <w:sz w:val="20"/>
        </w:rPr>
        <w:t> </w:t>
      </w:r>
      <w:r>
        <w:rPr>
          <w:sz w:val="20"/>
        </w:rPr>
        <w:t>require</w:t>
      </w:r>
      <w:r>
        <w:rPr>
          <w:spacing w:val="-3"/>
          <w:sz w:val="20"/>
        </w:rPr>
        <w:t> </w:t>
      </w:r>
      <w:r>
        <w:rPr>
          <w:sz w:val="20"/>
        </w:rPr>
        <w:t>ten</w:t>
      </w:r>
      <w:r>
        <w:rPr>
          <w:spacing w:val="-3"/>
          <w:sz w:val="20"/>
        </w:rPr>
        <w:t> </w:t>
      </w:r>
      <w:r>
        <w:rPr>
          <w:sz w:val="20"/>
        </w:rPr>
        <w:t>faculty,</w:t>
      </w:r>
      <w:r>
        <w:rPr>
          <w:spacing w:val="-1"/>
          <w:sz w:val="20"/>
        </w:rPr>
        <w:t> </w:t>
      </w:r>
      <w:r>
        <w:rPr>
          <w:sz w:val="20"/>
        </w:rPr>
        <w:t>and</w:t>
      </w:r>
      <w:r>
        <w:rPr>
          <w:spacing w:val="-1"/>
          <w:sz w:val="20"/>
        </w:rPr>
        <w:t> </w:t>
      </w:r>
      <w:r>
        <w:rPr>
          <w:sz w:val="20"/>
        </w:rPr>
        <w:t>there</w:t>
      </w:r>
      <w:r>
        <w:rPr>
          <w:spacing w:val="-3"/>
          <w:sz w:val="20"/>
        </w:rPr>
        <w:t> </w:t>
      </w:r>
      <w:r>
        <w:rPr>
          <w:sz w:val="20"/>
        </w:rPr>
        <w:t>is need in non-studio</w:t>
      </w:r>
      <w:r>
        <w:rPr>
          <w:spacing w:val="-2"/>
          <w:sz w:val="20"/>
        </w:rPr>
        <w:t> </w:t>
      </w:r>
      <w:r>
        <w:rPr>
          <w:sz w:val="20"/>
        </w:rPr>
        <w:t>courses.</w:t>
      </w:r>
      <w:r>
        <w:rPr>
          <w:spacing w:val="-2"/>
          <w:sz w:val="20"/>
        </w:rPr>
        <w:t> </w:t>
      </w:r>
      <w:r>
        <w:rPr>
          <w:sz w:val="20"/>
        </w:rPr>
        <w:t>This</w:t>
      </w:r>
      <w:r>
        <w:rPr>
          <w:spacing w:val="-1"/>
          <w:sz w:val="20"/>
        </w:rPr>
        <w:t> </w:t>
      </w:r>
      <w:r>
        <w:rPr>
          <w:sz w:val="20"/>
        </w:rPr>
        <w:t>need is</w:t>
      </w:r>
      <w:r>
        <w:rPr>
          <w:spacing w:val="-1"/>
          <w:sz w:val="20"/>
        </w:rPr>
        <w:t> </w:t>
      </w:r>
      <w:r>
        <w:rPr>
          <w:sz w:val="20"/>
        </w:rPr>
        <w:t>intensified with</w:t>
      </w:r>
      <w:r>
        <w:rPr>
          <w:spacing w:val="-2"/>
          <w:sz w:val="20"/>
        </w:rPr>
        <w:t> </w:t>
      </w:r>
      <w:r>
        <w:rPr>
          <w:sz w:val="20"/>
        </w:rPr>
        <w:t>the addition of required electives at the Graduate and Professional levels now that the M. Arch program is being implemented. Salary levels, and the cap on the number of tenure-track positions make it extremely difficult to attract and retain exceptional full-time as well as adjunct faculty.</w:t>
      </w:r>
    </w:p>
    <w:p>
      <w:pPr>
        <w:pStyle w:val="BodyText"/>
        <w:spacing w:before="9"/>
      </w:pPr>
    </w:p>
    <w:p>
      <w:pPr>
        <w:spacing w:before="1"/>
        <w:ind w:left="2731" w:right="546" w:firstLine="0"/>
        <w:jc w:val="left"/>
        <w:rPr>
          <w:b/>
          <w:sz w:val="20"/>
        </w:rPr>
      </w:pPr>
      <w:r>
        <w:rPr>
          <w:b/>
          <w:sz w:val="20"/>
        </w:rPr>
        <w:t>Some of our more pressing faculty loads were addressed through additional slots made available by the University when enrollment was very</w:t>
      </w:r>
      <w:r>
        <w:rPr>
          <w:b/>
          <w:spacing w:val="-5"/>
          <w:sz w:val="20"/>
        </w:rPr>
        <w:t> </w:t>
      </w:r>
      <w:r>
        <w:rPr>
          <w:b/>
          <w:sz w:val="20"/>
        </w:rPr>
        <w:t>high</w:t>
      </w:r>
      <w:r>
        <w:rPr>
          <w:b/>
          <w:spacing w:val="-4"/>
          <w:sz w:val="20"/>
        </w:rPr>
        <w:t> </w:t>
      </w:r>
      <w:r>
        <w:rPr>
          <w:b/>
          <w:sz w:val="20"/>
        </w:rPr>
        <w:t>(approximately</w:t>
      </w:r>
      <w:r>
        <w:rPr>
          <w:b/>
          <w:spacing w:val="-3"/>
          <w:sz w:val="20"/>
        </w:rPr>
        <w:t> </w:t>
      </w:r>
      <w:r>
        <w:rPr>
          <w:b/>
          <w:sz w:val="20"/>
        </w:rPr>
        <w:t>190).</w:t>
      </w:r>
      <w:r>
        <w:rPr>
          <w:b/>
          <w:spacing w:val="-5"/>
          <w:sz w:val="20"/>
        </w:rPr>
        <w:t> </w:t>
      </w:r>
      <w:r>
        <w:rPr>
          <w:b/>
          <w:sz w:val="20"/>
        </w:rPr>
        <w:t>From</w:t>
      </w:r>
      <w:r>
        <w:rPr>
          <w:b/>
          <w:spacing w:val="-2"/>
          <w:sz w:val="20"/>
        </w:rPr>
        <w:t> </w:t>
      </w:r>
      <w:r>
        <w:rPr>
          <w:b/>
          <w:sz w:val="20"/>
        </w:rPr>
        <w:t>2009</w:t>
      </w:r>
      <w:r>
        <w:rPr>
          <w:b/>
          <w:spacing w:val="-5"/>
          <w:sz w:val="20"/>
        </w:rPr>
        <w:t> </w:t>
      </w:r>
      <w:r>
        <w:rPr>
          <w:b/>
          <w:sz w:val="20"/>
        </w:rPr>
        <w:t>through</w:t>
      </w:r>
      <w:r>
        <w:rPr>
          <w:b/>
          <w:spacing w:val="-2"/>
          <w:sz w:val="20"/>
        </w:rPr>
        <w:t> </w:t>
      </w:r>
      <w:r>
        <w:rPr>
          <w:b/>
          <w:sz w:val="20"/>
        </w:rPr>
        <w:t>2014,</w:t>
      </w:r>
      <w:r>
        <w:rPr>
          <w:b/>
          <w:spacing w:val="-5"/>
          <w:sz w:val="20"/>
        </w:rPr>
        <w:t> </w:t>
      </w:r>
      <w:r>
        <w:rPr>
          <w:b/>
          <w:sz w:val="20"/>
        </w:rPr>
        <w:t>we</w:t>
      </w:r>
      <w:r>
        <w:rPr>
          <w:b/>
          <w:spacing w:val="-5"/>
          <w:sz w:val="20"/>
        </w:rPr>
        <w:t> </w:t>
      </w:r>
      <w:r>
        <w:rPr>
          <w:b/>
          <w:sz w:val="20"/>
        </w:rPr>
        <w:t>were</w:t>
      </w:r>
      <w:r>
        <w:rPr>
          <w:b/>
          <w:spacing w:val="-5"/>
          <w:sz w:val="20"/>
        </w:rPr>
        <w:t> </w:t>
      </w:r>
      <w:r>
        <w:rPr>
          <w:b/>
          <w:sz w:val="20"/>
        </w:rPr>
        <w:t>allocated 9 FTE’s. Additionally, the University has allowed us to retain the services of a part-time (officially adjunct) faculty member, Sherman Brown, who receives</w:t>
      </w:r>
      <w:r>
        <w:rPr>
          <w:b/>
          <w:spacing w:val="-3"/>
          <w:sz w:val="20"/>
        </w:rPr>
        <w:t> </w:t>
      </w:r>
      <w:r>
        <w:rPr>
          <w:b/>
          <w:sz w:val="20"/>
        </w:rPr>
        <w:t>compensation</w:t>
      </w:r>
      <w:r>
        <w:rPr>
          <w:b/>
          <w:spacing w:val="-2"/>
          <w:sz w:val="20"/>
        </w:rPr>
        <w:t> </w:t>
      </w:r>
      <w:r>
        <w:rPr>
          <w:b/>
          <w:sz w:val="20"/>
        </w:rPr>
        <w:t>from</w:t>
      </w:r>
      <w:r>
        <w:rPr>
          <w:b/>
          <w:spacing w:val="-2"/>
          <w:sz w:val="20"/>
        </w:rPr>
        <w:t> </w:t>
      </w:r>
      <w:r>
        <w:rPr>
          <w:b/>
          <w:sz w:val="20"/>
        </w:rPr>
        <w:t>the</w:t>
      </w:r>
      <w:r>
        <w:rPr>
          <w:b/>
          <w:spacing w:val="-3"/>
          <w:sz w:val="20"/>
        </w:rPr>
        <w:t> </w:t>
      </w:r>
      <w:r>
        <w:rPr>
          <w:b/>
          <w:sz w:val="20"/>
        </w:rPr>
        <w:t>University</w:t>
      </w:r>
      <w:r>
        <w:rPr>
          <w:b/>
          <w:spacing w:val="-3"/>
          <w:sz w:val="20"/>
        </w:rPr>
        <w:t> </w:t>
      </w:r>
      <w:r>
        <w:rPr>
          <w:b/>
          <w:sz w:val="20"/>
        </w:rPr>
        <w:t>above</w:t>
      </w:r>
      <w:r>
        <w:rPr>
          <w:b/>
          <w:spacing w:val="-3"/>
          <w:sz w:val="20"/>
        </w:rPr>
        <w:t> </w:t>
      </w:r>
      <w:r>
        <w:rPr>
          <w:b/>
          <w:sz w:val="20"/>
        </w:rPr>
        <w:t>the</w:t>
      </w:r>
      <w:r>
        <w:rPr>
          <w:b/>
          <w:spacing w:val="-3"/>
          <w:sz w:val="20"/>
        </w:rPr>
        <w:t> </w:t>
      </w:r>
      <w:r>
        <w:rPr>
          <w:b/>
          <w:sz w:val="20"/>
        </w:rPr>
        <w:t>standard rates</w:t>
      </w:r>
      <w:r>
        <w:rPr>
          <w:b/>
          <w:spacing w:val="-3"/>
          <w:sz w:val="20"/>
        </w:rPr>
        <w:t> </w:t>
      </w:r>
      <w:r>
        <w:rPr>
          <w:b/>
          <w:sz w:val="20"/>
        </w:rPr>
        <w:t>used in other programs. Mr. Brown is a graduate of the program with over 30 years practice experience.</w:t>
      </w:r>
    </w:p>
    <w:p>
      <w:pPr>
        <w:pStyle w:val="BodyText"/>
        <w:spacing w:before="11"/>
        <w:rPr>
          <w:b/>
        </w:rPr>
      </w:pPr>
    </w:p>
    <w:p>
      <w:pPr>
        <w:spacing w:before="0"/>
        <w:ind w:left="2731" w:right="499" w:firstLine="0"/>
        <w:jc w:val="left"/>
        <w:rPr>
          <w:b/>
          <w:sz w:val="20"/>
        </w:rPr>
      </w:pPr>
      <w:r>
        <w:rPr>
          <w:b/>
          <w:sz w:val="20"/>
        </w:rPr>
        <w:t>The university has also assisted in relaxing the SSHU requirement for those faculty</w:t>
      </w:r>
      <w:r>
        <w:rPr>
          <w:b/>
          <w:spacing w:val="-1"/>
          <w:sz w:val="20"/>
        </w:rPr>
        <w:t> </w:t>
      </w:r>
      <w:r>
        <w:rPr>
          <w:b/>
          <w:sz w:val="20"/>
        </w:rPr>
        <w:t>members teaching graduate courses (three of our current 7 faculty</w:t>
      </w:r>
      <w:r>
        <w:rPr>
          <w:b/>
          <w:spacing w:val="-9"/>
          <w:sz w:val="20"/>
        </w:rPr>
        <w:t> </w:t>
      </w:r>
      <w:r>
        <w:rPr>
          <w:b/>
          <w:sz w:val="20"/>
        </w:rPr>
        <w:t>members</w:t>
      </w:r>
      <w:r>
        <w:rPr>
          <w:b/>
          <w:spacing w:val="-4"/>
          <w:sz w:val="20"/>
        </w:rPr>
        <w:t> </w:t>
      </w:r>
      <w:r>
        <w:rPr>
          <w:b/>
          <w:sz w:val="20"/>
        </w:rPr>
        <w:t>teach</w:t>
      </w:r>
      <w:r>
        <w:rPr>
          <w:b/>
          <w:spacing w:val="-3"/>
          <w:sz w:val="20"/>
        </w:rPr>
        <w:t> </w:t>
      </w:r>
      <w:r>
        <w:rPr>
          <w:b/>
          <w:sz w:val="20"/>
        </w:rPr>
        <w:t>required</w:t>
      </w:r>
      <w:r>
        <w:rPr>
          <w:b/>
          <w:spacing w:val="-5"/>
          <w:sz w:val="20"/>
        </w:rPr>
        <w:t> </w:t>
      </w:r>
      <w:r>
        <w:rPr>
          <w:b/>
          <w:sz w:val="20"/>
        </w:rPr>
        <w:t>500</w:t>
      </w:r>
      <w:r>
        <w:rPr>
          <w:b/>
          <w:spacing w:val="-6"/>
          <w:sz w:val="20"/>
        </w:rPr>
        <w:t> </w:t>
      </w:r>
      <w:r>
        <w:rPr>
          <w:b/>
          <w:sz w:val="20"/>
        </w:rPr>
        <w:t>and</w:t>
      </w:r>
      <w:r>
        <w:rPr>
          <w:b/>
          <w:spacing w:val="-3"/>
          <w:sz w:val="20"/>
        </w:rPr>
        <w:t> </w:t>
      </w:r>
      <w:r>
        <w:rPr>
          <w:b/>
          <w:sz w:val="20"/>
        </w:rPr>
        <w:t>600</w:t>
      </w:r>
      <w:r>
        <w:rPr>
          <w:b/>
          <w:spacing w:val="-4"/>
          <w:sz w:val="20"/>
        </w:rPr>
        <w:t> </w:t>
      </w:r>
      <w:r>
        <w:rPr>
          <w:b/>
          <w:sz w:val="20"/>
        </w:rPr>
        <w:t>level</w:t>
      </w:r>
      <w:r>
        <w:rPr>
          <w:b/>
          <w:spacing w:val="-6"/>
          <w:sz w:val="20"/>
        </w:rPr>
        <w:t> </w:t>
      </w:r>
      <w:r>
        <w:rPr>
          <w:b/>
          <w:sz w:val="20"/>
        </w:rPr>
        <w:t>(graduate/professional) courses) and they are given additional release time commensurate with their course obligations.</w:t>
      </w:r>
    </w:p>
    <w:p>
      <w:pPr>
        <w:pStyle w:val="BodyText"/>
        <w:spacing w:before="10"/>
        <w:rPr>
          <w:b/>
        </w:rPr>
      </w:pPr>
    </w:p>
    <w:p>
      <w:pPr>
        <w:spacing w:before="0"/>
        <w:ind w:left="2731" w:right="532" w:firstLine="0"/>
        <w:jc w:val="left"/>
        <w:rPr>
          <w:b/>
          <w:sz w:val="20"/>
        </w:rPr>
      </w:pPr>
      <w:r>
        <w:rPr>
          <w:b/>
          <w:sz w:val="20"/>
        </w:rPr>
        <w:t>*NOTE:</w:t>
      </w:r>
      <w:r>
        <w:rPr>
          <w:b/>
          <w:spacing w:val="-4"/>
          <w:sz w:val="20"/>
        </w:rPr>
        <w:t> </w:t>
      </w:r>
      <w:r>
        <w:rPr>
          <w:b/>
          <w:sz w:val="20"/>
        </w:rPr>
        <w:t>SSHU’s</w:t>
      </w:r>
      <w:r>
        <w:rPr>
          <w:b/>
          <w:spacing w:val="-5"/>
          <w:sz w:val="20"/>
        </w:rPr>
        <w:t> </w:t>
      </w:r>
      <w:r>
        <w:rPr>
          <w:b/>
          <w:sz w:val="20"/>
        </w:rPr>
        <w:t>are</w:t>
      </w:r>
      <w:r>
        <w:rPr>
          <w:b/>
          <w:spacing w:val="-3"/>
          <w:sz w:val="20"/>
        </w:rPr>
        <w:t> </w:t>
      </w:r>
      <w:r>
        <w:rPr>
          <w:b/>
          <w:sz w:val="20"/>
        </w:rPr>
        <w:t>computed</w:t>
      </w:r>
      <w:r>
        <w:rPr>
          <w:b/>
          <w:spacing w:val="-4"/>
          <w:sz w:val="20"/>
        </w:rPr>
        <w:t> </w:t>
      </w:r>
      <w:r>
        <w:rPr>
          <w:b/>
          <w:sz w:val="20"/>
        </w:rPr>
        <w:t>by</w:t>
      </w:r>
      <w:r>
        <w:rPr>
          <w:b/>
          <w:spacing w:val="-5"/>
          <w:sz w:val="20"/>
        </w:rPr>
        <w:t> </w:t>
      </w:r>
      <w:r>
        <w:rPr>
          <w:b/>
          <w:sz w:val="20"/>
        </w:rPr>
        <w:t>multiplying</w:t>
      </w:r>
      <w:r>
        <w:rPr>
          <w:b/>
          <w:spacing w:val="-4"/>
          <w:sz w:val="20"/>
        </w:rPr>
        <w:t> </w:t>
      </w:r>
      <w:r>
        <w:rPr>
          <w:b/>
          <w:sz w:val="20"/>
        </w:rPr>
        <w:t>the</w:t>
      </w:r>
      <w:r>
        <w:rPr>
          <w:b/>
          <w:spacing w:val="-5"/>
          <w:sz w:val="20"/>
        </w:rPr>
        <w:t> </w:t>
      </w:r>
      <w:r>
        <w:rPr>
          <w:b/>
          <w:sz w:val="20"/>
        </w:rPr>
        <w:t>number</w:t>
      </w:r>
      <w:r>
        <w:rPr>
          <w:b/>
          <w:spacing w:val="-6"/>
          <w:sz w:val="20"/>
        </w:rPr>
        <w:t> </w:t>
      </w:r>
      <w:r>
        <w:rPr>
          <w:b/>
          <w:sz w:val="20"/>
        </w:rPr>
        <w:t>of</w:t>
      </w:r>
      <w:r>
        <w:rPr>
          <w:b/>
          <w:spacing w:val="-4"/>
          <w:sz w:val="20"/>
        </w:rPr>
        <w:t> </w:t>
      </w:r>
      <w:r>
        <w:rPr>
          <w:b/>
          <w:sz w:val="20"/>
        </w:rPr>
        <w:t>course</w:t>
      </w:r>
      <w:r>
        <w:rPr>
          <w:b/>
          <w:spacing w:val="-5"/>
          <w:sz w:val="20"/>
        </w:rPr>
        <w:t> </w:t>
      </w:r>
      <w:r>
        <w:rPr>
          <w:b/>
          <w:sz w:val="20"/>
        </w:rPr>
        <w:t>credits by the number of students in a class. This formula does not take into account the number of contact hours required by a class (studios, for example, meet 4 hours each day, three days a week, and have 6 credits, but demand the same amount of time that four three credit courses meeting in one hour each, for the same timeframe, but faculty ultimately receive only half the SSHU credit).</w:t>
      </w:r>
    </w:p>
    <w:p>
      <w:pPr>
        <w:spacing w:after="0"/>
        <w:jc w:val="left"/>
        <w:rPr>
          <w:sz w:val="20"/>
        </w:rPr>
        <w:sectPr>
          <w:pgSz w:w="12240" w:h="15840"/>
          <w:pgMar w:header="0" w:footer="974" w:top="1360" w:bottom="1160" w:left="940" w:right="960"/>
        </w:sectPr>
      </w:pPr>
    </w:p>
    <w:p>
      <w:pPr>
        <w:pStyle w:val="ListParagraph"/>
        <w:numPr>
          <w:ilvl w:val="4"/>
          <w:numId w:val="20"/>
        </w:numPr>
        <w:tabs>
          <w:tab w:pos="2731" w:val="left" w:leader="none"/>
          <w:tab w:pos="2733" w:val="left" w:leader="none"/>
        </w:tabs>
        <w:spacing w:line="240" w:lineRule="auto" w:before="77" w:after="0"/>
        <w:ind w:left="2732" w:right="751" w:hanging="793"/>
        <w:jc w:val="left"/>
        <w:rPr>
          <w:sz w:val="20"/>
        </w:rPr>
      </w:pPr>
      <w:r>
        <w:rPr>
          <w:sz w:val="20"/>
        </w:rPr>
        <w:t>Our students are hamstrung by the requirement to follow a specific set of courses</w:t>
      </w:r>
      <w:r>
        <w:rPr>
          <w:spacing w:val="-5"/>
          <w:sz w:val="20"/>
        </w:rPr>
        <w:t> </w:t>
      </w:r>
      <w:r>
        <w:rPr>
          <w:sz w:val="20"/>
        </w:rPr>
        <w:t>that,</w:t>
      </w:r>
      <w:r>
        <w:rPr>
          <w:spacing w:val="-4"/>
          <w:sz w:val="20"/>
        </w:rPr>
        <w:t> </w:t>
      </w:r>
      <w:r>
        <w:rPr>
          <w:sz w:val="20"/>
        </w:rPr>
        <w:t>because</w:t>
      </w:r>
      <w:r>
        <w:rPr>
          <w:spacing w:val="-4"/>
          <w:sz w:val="20"/>
        </w:rPr>
        <w:t> </w:t>
      </w:r>
      <w:r>
        <w:rPr>
          <w:sz w:val="20"/>
        </w:rPr>
        <w:t>of</w:t>
      </w:r>
      <w:r>
        <w:rPr>
          <w:spacing w:val="-4"/>
          <w:sz w:val="20"/>
        </w:rPr>
        <w:t> </w:t>
      </w:r>
      <w:r>
        <w:rPr>
          <w:sz w:val="20"/>
        </w:rPr>
        <w:t>the</w:t>
      </w:r>
      <w:r>
        <w:rPr>
          <w:spacing w:val="-6"/>
          <w:sz w:val="20"/>
        </w:rPr>
        <w:t> </w:t>
      </w:r>
      <w:r>
        <w:rPr>
          <w:sz w:val="20"/>
        </w:rPr>
        <w:t>space</w:t>
      </w:r>
      <w:r>
        <w:rPr>
          <w:spacing w:val="-6"/>
          <w:sz w:val="20"/>
        </w:rPr>
        <w:t> </w:t>
      </w:r>
      <w:r>
        <w:rPr>
          <w:sz w:val="20"/>
        </w:rPr>
        <w:t>and</w:t>
      </w:r>
      <w:r>
        <w:rPr>
          <w:spacing w:val="-4"/>
          <w:sz w:val="20"/>
        </w:rPr>
        <w:t> </w:t>
      </w:r>
      <w:r>
        <w:rPr>
          <w:sz w:val="20"/>
        </w:rPr>
        <w:t>human</w:t>
      </w:r>
      <w:r>
        <w:rPr>
          <w:spacing w:val="-6"/>
          <w:sz w:val="20"/>
        </w:rPr>
        <w:t> </w:t>
      </w:r>
      <w:r>
        <w:rPr>
          <w:sz w:val="20"/>
        </w:rPr>
        <w:t>resource</w:t>
      </w:r>
      <w:r>
        <w:rPr>
          <w:spacing w:val="-6"/>
          <w:sz w:val="20"/>
        </w:rPr>
        <w:t> </w:t>
      </w:r>
      <w:r>
        <w:rPr>
          <w:sz w:val="20"/>
        </w:rPr>
        <w:t>limitations</w:t>
      </w:r>
      <w:r>
        <w:rPr>
          <w:spacing w:val="-5"/>
          <w:sz w:val="20"/>
        </w:rPr>
        <w:t> </w:t>
      </w:r>
      <w:r>
        <w:rPr>
          <w:sz w:val="20"/>
        </w:rPr>
        <w:t>described above, are</w:t>
      </w:r>
      <w:r>
        <w:rPr>
          <w:spacing w:val="-1"/>
          <w:sz w:val="20"/>
        </w:rPr>
        <w:t> </w:t>
      </w:r>
      <w:r>
        <w:rPr>
          <w:sz w:val="20"/>
        </w:rPr>
        <w:t>not</w:t>
      </w:r>
      <w:r>
        <w:rPr>
          <w:spacing w:val="-1"/>
          <w:sz w:val="20"/>
        </w:rPr>
        <w:t> </w:t>
      </w:r>
      <w:r>
        <w:rPr>
          <w:sz w:val="20"/>
        </w:rPr>
        <w:t>offered with any</w:t>
      </w:r>
      <w:r>
        <w:rPr>
          <w:spacing w:val="-4"/>
          <w:sz w:val="20"/>
        </w:rPr>
        <w:t> </w:t>
      </w:r>
      <w:r>
        <w:rPr>
          <w:sz w:val="20"/>
        </w:rPr>
        <w:t>frequency.</w:t>
      </w:r>
      <w:r>
        <w:rPr>
          <w:spacing w:val="-1"/>
          <w:sz w:val="20"/>
        </w:rPr>
        <w:t> </w:t>
      </w:r>
      <w:r>
        <w:rPr>
          <w:sz w:val="20"/>
        </w:rPr>
        <w:t>Failure</w:t>
      </w:r>
      <w:r>
        <w:rPr>
          <w:spacing w:val="-1"/>
          <w:sz w:val="20"/>
        </w:rPr>
        <w:t> </w:t>
      </w:r>
      <w:r>
        <w:rPr>
          <w:sz w:val="20"/>
        </w:rPr>
        <w:t>in</w:t>
      </w:r>
      <w:r>
        <w:rPr>
          <w:spacing w:val="-1"/>
          <w:sz w:val="20"/>
        </w:rPr>
        <w:t> </w:t>
      </w:r>
      <w:r>
        <w:rPr>
          <w:sz w:val="20"/>
        </w:rPr>
        <w:t>one</w:t>
      </w:r>
      <w:r>
        <w:rPr>
          <w:spacing w:val="-1"/>
          <w:sz w:val="20"/>
        </w:rPr>
        <w:t> </w:t>
      </w:r>
      <w:r>
        <w:rPr>
          <w:sz w:val="20"/>
        </w:rPr>
        <w:t>class can</w:t>
      </w:r>
      <w:r>
        <w:rPr>
          <w:spacing w:val="-1"/>
          <w:sz w:val="20"/>
        </w:rPr>
        <w:t> </w:t>
      </w:r>
      <w:r>
        <w:rPr>
          <w:sz w:val="20"/>
        </w:rPr>
        <w:t>result in a student having to spend an extra year in pursuit of their degree.</w:t>
      </w:r>
    </w:p>
    <w:p>
      <w:pPr>
        <w:pStyle w:val="BodyText"/>
        <w:spacing w:before="7"/>
      </w:pPr>
    </w:p>
    <w:p>
      <w:pPr>
        <w:spacing w:before="0"/>
        <w:ind w:left="2732" w:right="705" w:firstLine="0"/>
        <w:jc w:val="left"/>
        <w:rPr>
          <w:b/>
          <w:sz w:val="20"/>
        </w:rPr>
      </w:pPr>
      <w:r>
        <w:rPr>
          <w:b/>
          <w:sz w:val="20"/>
        </w:rPr>
        <w:t>This</w:t>
      </w:r>
      <w:r>
        <w:rPr>
          <w:b/>
          <w:spacing w:val="-5"/>
          <w:sz w:val="20"/>
        </w:rPr>
        <w:t> </w:t>
      </w:r>
      <w:r>
        <w:rPr>
          <w:b/>
          <w:sz w:val="20"/>
        </w:rPr>
        <w:t>concern</w:t>
      </w:r>
      <w:r>
        <w:rPr>
          <w:b/>
          <w:spacing w:val="-4"/>
          <w:sz w:val="20"/>
        </w:rPr>
        <w:t> </w:t>
      </w:r>
      <w:r>
        <w:rPr>
          <w:b/>
          <w:sz w:val="20"/>
        </w:rPr>
        <w:t>has</w:t>
      </w:r>
      <w:r>
        <w:rPr>
          <w:b/>
          <w:spacing w:val="-3"/>
          <w:sz w:val="20"/>
        </w:rPr>
        <w:t> </w:t>
      </w:r>
      <w:r>
        <w:rPr>
          <w:b/>
          <w:sz w:val="20"/>
        </w:rPr>
        <w:t>been</w:t>
      </w:r>
      <w:r>
        <w:rPr>
          <w:b/>
          <w:spacing w:val="-2"/>
          <w:sz w:val="20"/>
        </w:rPr>
        <w:t> </w:t>
      </w:r>
      <w:r>
        <w:rPr>
          <w:b/>
          <w:sz w:val="20"/>
        </w:rPr>
        <w:t>reduced</w:t>
      </w:r>
      <w:r>
        <w:rPr>
          <w:b/>
          <w:spacing w:val="-4"/>
          <w:sz w:val="20"/>
        </w:rPr>
        <w:t> </w:t>
      </w:r>
      <w:r>
        <w:rPr>
          <w:b/>
          <w:sz w:val="20"/>
        </w:rPr>
        <w:t>significantly</w:t>
      </w:r>
      <w:r>
        <w:rPr>
          <w:b/>
          <w:spacing w:val="-8"/>
          <w:sz w:val="20"/>
        </w:rPr>
        <w:t> </w:t>
      </w:r>
      <w:r>
        <w:rPr>
          <w:b/>
          <w:sz w:val="20"/>
        </w:rPr>
        <w:t>through</w:t>
      </w:r>
      <w:r>
        <w:rPr>
          <w:b/>
          <w:spacing w:val="-4"/>
          <w:sz w:val="20"/>
        </w:rPr>
        <w:t> </w:t>
      </w:r>
      <w:r>
        <w:rPr>
          <w:b/>
          <w:sz w:val="20"/>
        </w:rPr>
        <w:t>our</w:t>
      </w:r>
      <w:r>
        <w:rPr>
          <w:b/>
          <w:spacing w:val="-6"/>
          <w:sz w:val="20"/>
        </w:rPr>
        <w:t> </w:t>
      </w:r>
      <w:r>
        <w:rPr>
          <w:b/>
          <w:sz w:val="20"/>
        </w:rPr>
        <w:t>use</w:t>
      </w:r>
      <w:r>
        <w:rPr>
          <w:b/>
          <w:spacing w:val="-5"/>
          <w:sz w:val="20"/>
        </w:rPr>
        <w:t> </w:t>
      </w:r>
      <w:r>
        <w:rPr>
          <w:b/>
          <w:sz w:val="20"/>
        </w:rPr>
        <w:t>of</w:t>
      </w:r>
      <w:r>
        <w:rPr>
          <w:b/>
          <w:spacing w:val="-4"/>
          <w:sz w:val="20"/>
        </w:rPr>
        <w:t> </w:t>
      </w:r>
      <w:r>
        <w:rPr>
          <w:b/>
          <w:sz w:val="20"/>
        </w:rPr>
        <w:t>summer school courses. The University allows the department to use summer courses to help students stay on target for a 5½-year tenure.</w:t>
      </w:r>
    </w:p>
    <w:p>
      <w:pPr>
        <w:pStyle w:val="BodyText"/>
        <w:spacing w:before="2"/>
        <w:rPr>
          <w:b/>
          <w:sz w:val="21"/>
        </w:rPr>
      </w:pPr>
    </w:p>
    <w:p>
      <w:pPr>
        <w:pStyle w:val="ListParagraph"/>
        <w:numPr>
          <w:ilvl w:val="4"/>
          <w:numId w:val="20"/>
        </w:numPr>
        <w:tabs>
          <w:tab w:pos="2731" w:val="left" w:leader="none"/>
          <w:tab w:pos="2732" w:val="left" w:leader="none"/>
        </w:tabs>
        <w:spacing w:line="240" w:lineRule="auto" w:before="0" w:after="0"/>
        <w:ind w:left="2731" w:right="482" w:hanging="793"/>
        <w:jc w:val="left"/>
        <w:rPr>
          <w:sz w:val="20"/>
        </w:rPr>
      </w:pPr>
      <w:r>
        <w:rPr>
          <w:sz w:val="20"/>
        </w:rPr>
        <w:t>Funding: Beyond the issues addressed in Facilities and Human Resources above,</w:t>
      </w:r>
      <w:r>
        <w:rPr>
          <w:spacing w:val="-2"/>
          <w:sz w:val="20"/>
        </w:rPr>
        <w:t> </w:t>
      </w:r>
      <w:r>
        <w:rPr>
          <w:sz w:val="20"/>
        </w:rPr>
        <w:t>funding</w:t>
      </w:r>
      <w:r>
        <w:rPr>
          <w:spacing w:val="-2"/>
          <w:sz w:val="20"/>
        </w:rPr>
        <w:t> </w:t>
      </w:r>
      <w:r>
        <w:rPr>
          <w:sz w:val="20"/>
        </w:rPr>
        <w:t>remains</w:t>
      </w:r>
      <w:r>
        <w:rPr>
          <w:spacing w:val="-1"/>
          <w:sz w:val="20"/>
        </w:rPr>
        <w:t> </w:t>
      </w:r>
      <w:r>
        <w:rPr>
          <w:sz w:val="20"/>
        </w:rPr>
        <w:t>the key</w:t>
      </w:r>
      <w:r>
        <w:rPr>
          <w:spacing w:val="-5"/>
          <w:sz w:val="20"/>
        </w:rPr>
        <w:t> </w:t>
      </w:r>
      <w:r>
        <w:rPr>
          <w:sz w:val="20"/>
        </w:rPr>
        <w:t>issue.</w:t>
      </w:r>
      <w:r>
        <w:rPr>
          <w:spacing w:val="-2"/>
          <w:sz w:val="20"/>
        </w:rPr>
        <w:t> </w:t>
      </w:r>
      <w:r>
        <w:rPr>
          <w:sz w:val="20"/>
        </w:rPr>
        <w:t>For</w:t>
      </w:r>
      <w:r>
        <w:rPr>
          <w:spacing w:val="-1"/>
          <w:sz w:val="20"/>
        </w:rPr>
        <w:t> </w:t>
      </w:r>
      <w:r>
        <w:rPr>
          <w:sz w:val="20"/>
        </w:rPr>
        <w:t>students and</w:t>
      </w:r>
      <w:r>
        <w:rPr>
          <w:spacing w:val="-2"/>
          <w:sz w:val="20"/>
        </w:rPr>
        <w:t> </w:t>
      </w:r>
      <w:r>
        <w:rPr>
          <w:sz w:val="20"/>
        </w:rPr>
        <w:t>faculty</w:t>
      </w:r>
      <w:r>
        <w:rPr>
          <w:spacing w:val="-3"/>
          <w:sz w:val="20"/>
        </w:rPr>
        <w:t> </w:t>
      </w:r>
      <w:r>
        <w:rPr>
          <w:sz w:val="20"/>
        </w:rPr>
        <w:t>to develop, there needs to be travel funds, as well as funding for visiting lectures. Professional memberships need to be covered, and there is a great need for more support services. Currently the Architecture Library operates Monday through Friday</w:t>
      </w:r>
      <w:r>
        <w:rPr>
          <w:spacing w:val="40"/>
          <w:sz w:val="20"/>
        </w:rPr>
        <w:t> </w:t>
      </w:r>
      <w:r>
        <w:rPr>
          <w:sz w:val="20"/>
        </w:rPr>
        <w:t>until 5 pm. The CAD Lab and Model Shop are supervised for only 16 hours per week.</w:t>
      </w:r>
      <w:r>
        <w:rPr>
          <w:spacing w:val="-4"/>
          <w:sz w:val="20"/>
        </w:rPr>
        <w:t> </w:t>
      </w:r>
      <w:r>
        <w:rPr>
          <w:sz w:val="20"/>
        </w:rPr>
        <w:t>There</w:t>
      </w:r>
      <w:r>
        <w:rPr>
          <w:spacing w:val="-4"/>
          <w:sz w:val="20"/>
        </w:rPr>
        <w:t> </w:t>
      </w:r>
      <w:r>
        <w:rPr>
          <w:sz w:val="20"/>
        </w:rPr>
        <w:t>is</w:t>
      </w:r>
      <w:r>
        <w:rPr>
          <w:spacing w:val="-3"/>
          <w:sz w:val="20"/>
        </w:rPr>
        <w:t> </w:t>
      </w:r>
      <w:r>
        <w:rPr>
          <w:sz w:val="20"/>
        </w:rPr>
        <w:t>also</w:t>
      </w:r>
      <w:r>
        <w:rPr>
          <w:spacing w:val="-4"/>
          <w:sz w:val="20"/>
        </w:rPr>
        <w:t> </w:t>
      </w:r>
      <w:r>
        <w:rPr>
          <w:sz w:val="20"/>
        </w:rPr>
        <w:t>no</w:t>
      </w:r>
      <w:r>
        <w:rPr>
          <w:spacing w:val="-4"/>
          <w:sz w:val="20"/>
        </w:rPr>
        <w:t> </w:t>
      </w:r>
      <w:r>
        <w:rPr>
          <w:sz w:val="20"/>
        </w:rPr>
        <w:t>fee</w:t>
      </w:r>
      <w:r>
        <w:rPr>
          <w:spacing w:val="-4"/>
          <w:sz w:val="20"/>
        </w:rPr>
        <w:t> </w:t>
      </w:r>
      <w:r>
        <w:rPr>
          <w:sz w:val="20"/>
        </w:rPr>
        <w:t>in</w:t>
      </w:r>
      <w:r>
        <w:rPr>
          <w:spacing w:val="-4"/>
          <w:sz w:val="20"/>
        </w:rPr>
        <w:t> </w:t>
      </w:r>
      <w:r>
        <w:rPr>
          <w:sz w:val="20"/>
        </w:rPr>
        <w:t>place</w:t>
      </w:r>
      <w:r>
        <w:rPr>
          <w:spacing w:val="-4"/>
          <w:sz w:val="20"/>
        </w:rPr>
        <w:t> </w:t>
      </w:r>
      <w:r>
        <w:rPr>
          <w:sz w:val="20"/>
        </w:rPr>
        <w:t>to</w:t>
      </w:r>
      <w:r>
        <w:rPr>
          <w:spacing w:val="-2"/>
          <w:sz w:val="20"/>
        </w:rPr>
        <w:t> </w:t>
      </w:r>
      <w:r>
        <w:rPr>
          <w:sz w:val="20"/>
        </w:rPr>
        <w:t>cover</w:t>
      </w:r>
      <w:r>
        <w:rPr>
          <w:spacing w:val="-3"/>
          <w:sz w:val="20"/>
        </w:rPr>
        <w:t> </w:t>
      </w:r>
      <w:r>
        <w:rPr>
          <w:sz w:val="20"/>
        </w:rPr>
        <w:t>the</w:t>
      </w:r>
      <w:r>
        <w:rPr>
          <w:spacing w:val="-2"/>
          <w:sz w:val="20"/>
        </w:rPr>
        <w:t> </w:t>
      </w:r>
      <w:r>
        <w:rPr>
          <w:sz w:val="20"/>
        </w:rPr>
        <w:t>requirements</w:t>
      </w:r>
      <w:r>
        <w:rPr>
          <w:spacing w:val="-5"/>
          <w:sz w:val="20"/>
        </w:rPr>
        <w:t> </w:t>
      </w:r>
      <w:r>
        <w:rPr>
          <w:sz w:val="20"/>
        </w:rPr>
        <w:t>for</w:t>
      </w:r>
      <w:r>
        <w:rPr>
          <w:spacing w:val="-3"/>
          <w:sz w:val="20"/>
        </w:rPr>
        <w:t> </w:t>
      </w:r>
      <w:r>
        <w:rPr>
          <w:sz w:val="20"/>
        </w:rPr>
        <w:t>the</w:t>
      </w:r>
      <w:r>
        <w:rPr>
          <w:spacing w:val="-4"/>
          <w:sz w:val="20"/>
        </w:rPr>
        <w:t> </w:t>
      </w:r>
      <w:r>
        <w:rPr>
          <w:sz w:val="20"/>
        </w:rPr>
        <w:t>Department to maintain and support digital operations and currency. The University, through support from the Dean and Provost, are committed to improving the resources for the Department, in concert with the Department’s increased effort to</w:t>
      </w:r>
      <w:r>
        <w:rPr>
          <w:spacing w:val="40"/>
          <w:sz w:val="20"/>
        </w:rPr>
        <w:t> </w:t>
      </w:r>
      <w:r>
        <w:rPr>
          <w:sz w:val="20"/>
        </w:rPr>
        <w:t>generate outside funding. However, this will take time to materialize and current needs are great.</w:t>
      </w:r>
    </w:p>
    <w:p>
      <w:pPr>
        <w:pStyle w:val="BodyText"/>
        <w:spacing w:before="9"/>
      </w:pPr>
    </w:p>
    <w:p>
      <w:pPr>
        <w:spacing w:before="0"/>
        <w:ind w:left="2731" w:right="499" w:firstLine="0"/>
        <w:jc w:val="left"/>
        <w:rPr>
          <w:b/>
          <w:sz w:val="20"/>
        </w:rPr>
      </w:pPr>
      <w:r>
        <w:rPr>
          <w:b/>
          <w:sz w:val="20"/>
        </w:rPr>
        <w:t>There</w:t>
      </w:r>
      <w:r>
        <w:rPr>
          <w:b/>
          <w:spacing w:val="-6"/>
          <w:sz w:val="20"/>
        </w:rPr>
        <w:t> </w:t>
      </w:r>
      <w:r>
        <w:rPr>
          <w:b/>
          <w:sz w:val="20"/>
        </w:rPr>
        <w:t>has</w:t>
      </w:r>
      <w:r>
        <w:rPr>
          <w:b/>
          <w:spacing w:val="-6"/>
          <w:sz w:val="20"/>
        </w:rPr>
        <w:t> </w:t>
      </w:r>
      <w:r>
        <w:rPr>
          <w:b/>
          <w:sz w:val="20"/>
        </w:rPr>
        <w:t>been</w:t>
      </w:r>
      <w:r>
        <w:rPr>
          <w:b/>
          <w:spacing w:val="-3"/>
          <w:sz w:val="20"/>
        </w:rPr>
        <w:t> </w:t>
      </w:r>
      <w:r>
        <w:rPr>
          <w:b/>
          <w:sz w:val="20"/>
        </w:rPr>
        <w:t>some</w:t>
      </w:r>
      <w:r>
        <w:rPr>
          <w:b/>
          <w:spacing w:val="-4"/>
          <w:sz w:val="20"/>
        </w:rPr>
        <w:t> </w:t>
      </w:r>
      <w:r>
        <w:rPr>
          <w:b/>
          <w:sz w:val="20"/>
        </w:rPr>
        <w:t>success.</w:t>
      </w:r>
      <w:r>
        <w:rPr>
          <w:b/>
          <w:spacing w:val="-6"/>
          <w:sz w:val="20"/>
        </w:rPr>
        <w:t> </w:t>
      </w:r>
      <w:r>
        <w:rPr>
          <w:b/>
          <w:sz w:val="20"/>
        </w:rPr>
        <w:t>Through</w:t>
      </w:r>
      <w:r>
        <w:rPr>
          <w:b/>
          <w:spacing w:val="-5"/>
          <w:sz w:val="20"/>
        </w:rPr>
        <w:t> </w:t>
      </w:r>
      <w:r>
        <w:rPr>
          <w:b/>
          <w:sz w:val="20"/>
        </w:rPr>
        <w:t>relationships</w:t>
      </w:r>
      <w:r>
        <w:rPr>
          <w:b/>
          <w:spacing w:val="-6"/>
          <w:sz w:val="20"/>
        </w:rPr>
        <w:t> </w:t>
      </w:r>
      <w:r>
        <w:rPr>
          <w:b/>
          <w:sz w:val="20"/>
        </w:rPr>
        <w:t>with</w:t>
      </w:r>
      <w:r>
        <w:rPr>
          <w:b/>
          <w:spacing w:val="-5"/>
          <w:sz w:val="20"/>
        </w:rPr>
        <w:t> </w:t>
      </w:r>
      <w:r>
        <w:rPr>
          <w:b/>
          <w:sz w:val="20"/>
        </w:rPr>
        <w:t>the</w:t>
      </w:r>
      <w:r>
        <w:rPr>
          <w:b/>
          <w:spacing w:val="-6"/>
          <w:sz w:val="20"/>
        </w:rPr>
        <w:t> </w:t>
      </w:r>
      <w:r>
        <w:rPr>
          <w:b/>
          <w:sz w:val="20"/>
        </w:rPr>
        <w:t>University’s main library, we have been able to secure needed manpower to keep the CAD Lab open and Library each weekday evening until 12:00 midnight.</w:t>
      </w:r>
    </w:p>
    <w:p>
      <w:pPr>
        <w:pStyle w:val="BodyText"/>
        <w:spacing w:before="9"/>
        <w:rPr>
          <w:b/>
        </w:rPr>
      </w:pPr>
    </w:p>
    <w:p>
      <w:pPr>
        <w:spacing w:before="0"/>
        <w:ind w:left="2731" w:right="488" w:firstLine="0"/>
        <w:jc w:val="left"/>
        <w:rPr>
          <w:b/>
          <w:sz w:val="20"/>
        </w:rPr>
      </w:pPr>
      <w:r>
        <w:rPr>
          <w:b/>
          <w:sz w:val="20"/>
        </w:rPr>
        <w:t>The HUDA has not been as successful raising external funds for program projects as we would like. The challenge was never more evident that in our efforts to participate in the 2012-2013 Solar Decathlon. Our students were highly motivated, and developed a design concept that was recognized by the DOE-SD leadership as strongly competitive. But we</w:t>
      </w:r>
      <w:r>
        <w:rPr>
          <w:b/>
          <w:spacing w:val="40"/>
          <w:sz w:val="20"/>
        </w:rPr>
        <w:t> </w:t>
      </w:r>
      <w:r>
        <w:rPr>
          <w:b/>
          <w:sz w:val="20"/>
        </w:rPr>
        <w:t>were not able to secure the needed funding to complete the structure and have it transported to California. The travel costs were unexpected. All previous Solar Decathlons were held in Washington, DC and at the time of proposal</w:t>
      </w:r>
      <w:r>
        <w:rPr>
          <w:b/>
          <w:spacing w:val="-4"/>
          <w:sz w:val="20"/>
        </w:rPr>
        <w:t> </w:t>
      </w:r>
      <w:r>
        <w:rPr>
          <w:b/>
          <w:sz w:val="20"/>
        </w:rPr>
        <w:t>submission,</w:t>
      </w:r>
      <w:r>
        <w:rPr>
          <w:b/>
          <w:spacing w:val="-5"/>
          <w:sz w:val="20"/>
        </w:rPr>
        <w:t> </w:t>
      </w:r>
      <w:r>
        <w:rPr>
          <w:b/>
          <w:sz w:val="20"/>
        </w:rPr>
        <w:t>that</w:t>
      </w:r>
      <w:r>
        <w:rPr>
          <w:b/>
          <w:spacing w:val="-4"/>
          <w:sz w:val="20"/>
        </w:rPr>
        <w:t> </w:t>
      </w:r>
      <w:r>
        <w:rPr>
          <w:b/>
          <w:sz w:val="20"/>
        </w:rPr>
        <w:t>was</w:t>
      </w:r>
      <w:r>
        <w:rPr>
          <w:b/>
          <w:spacing w:val="-4"/>
          <w:sz w:val="20"/>
        </w:rPr>
        <w:t> </w:t>
      </w:r>
      <w:r>
        <w:rPr>
          <w:b/>
          <w:sz w:val="20"/>
        </w:rPr>
        <w:t>our</w:t>
      </w:r>
      <w:r>
        <w:rPr>
          <w:b/>
          <w:spacing w:val="-5"/>
          <w:sz w:val="20"/>
        </w:rPr>
        <w:t> </w:t>
      </w:r>
      <w:r>
        <w:rPr>
          <w:b/>
          <w:sz w:val="20"/>
        </w:rPr>
        <w:t>expectation.</w:t>
      </w:r>
      <w:r>
        <w:rPr>
          <w:b/>
          <w:spacing w:val="-3"/>
          <w:sz w:val="20"/>
        </w:rPr>
        <w:t> </w:t>
      </w:r>
      <w:r>
        <w:rPr>
          <w:b/>
          <w:sz w:val="20"/>
        </w:rPr>
        <w:t>However,</w:t>
      </w:r>
      <w:r>
        <w:rPr>
          <w:b/>
          <w:spacing w:val="-6"/>
          <w:sz w:val="20"/>
        </w:rPr>
        <w:t> </w:t>
      </w:r>
      <w:r>
        <w:rPr>
          <w:b/>
          <w:sz w:val="20"/>
        </w:rPr>
        <w:t>we</w:t>
      </w:r>
      <w:r>
        <w:rPr>
          <w:b/>
          <w:spacing w:val="-4"/>
          <w:sz w:val="20"/>
        </w:rPr>
        <w:t> </w:t>
      </w:r>
      <w:r>
        <w:rPr>
          <w:b/>
          <w:sz w:val="20"/>
        </w:rPr>
        <w:t>also</w:t>
      </w:r>
      <w:r>
        <w:rPr>
          <w:b/>
          <w:spacing w:val="-4"/>
          <w:sz w:val="20"/>
        </w:rPr>
        <w:t> </w:t>
      </w:r>
      <w:r>
        <w:rPr>
          <w:b/>
          <w:sz w:val="20"/>
        </w:rPr>
        <w:t>were</w:t>
      </w:r>
      <w:r>
        <w:rPr>
          <w:b/>
          <w:spacing w:val="-4"/>
          <w:sz w:val="20"/>
        </w:rPr>
        <w:t> </w:t>
      </w:r>
      <w:r>
        <w:rPr>
          <w:b/>
          <w:sz w:val="20"/>
        </w:rPr>
        <w:t>not able to secure sufficient funding to construct the house. However, the department did set a precedent:</w:t>
      </w:r>
      <w:r>
        <w:rPr>
          <w:b/>
          <w:spacing w:val="40"/>
          <w:sz w:val="20"/>
        </w:rPr>
        <w:t> </w:t>
      </w:r>
      <w:r>
        <w:rPr>
          <w:b/>
          <w:sz w:val="20"/>
        </w:rPr>
        <w:t>our students and faculty and the School secured</w:t>
      </w:r>
      <w:r>
        <w:rPr>
          <w:b/>
          <w:spacing w:val="-4"/>
          <w:sz w:val="20"/>
        </w:rPr>
        <w:t> </w:t>
      </w:r>
      <w:r>
        <w:rPr>
          <w:b/>
          <w:sz w:val="20"/>
        </w:rPr>
        <w:t>significant</w:t>
      </w:r>
      <w:r>
        <w:rPr>
          <w:b/>
          <w:spacing w:val="-4"/>
          <w:sz w:val="20"/>
        </w:rPr>
        <w:t> </w:t>
      </w:r>
      <w:r>
        <w:rPr>
          <w:b/>
          <w:sz w:val="20"/>
        </w:rPr>
        <w:t>in-kind</w:t>
      </w:r>
      <w:r>
        <w:rPr>
          <w:b/>
          <w:spacing w:val="-4"/>
          <w:sz w:val="20"/>
        </w:rPr>
        <w:t> </w:t>
      </w:r>
      <w:r>
        <w:rPr>
          <w:b/>
          <w:sz w:val="20"/>
        </w:rPr>
        <w:t>contributions,</w:t>
      </w:r>
      <w:r>
        <w:rPr>
          <w:b/>
          <w:spacing w:val="-5"/>
          <w:sz w:val="20"/>
        </w:rPr>
        <w:t> </w:t>
      </w:r>
      <w:r>
        <w:rPr>
          <w:b/>
          <w:sz w:val="20"/>
        </w:rPr>
        <w:t>cash</w:t>
      </w:r>
      <w:r>
        <w:rPr>
          <w:b/>
          <w:spacing w:val="-4"/>
          <w:sz w:val="20"/>
        </w:rPr>
        <w:t> </w:t>
      </w:r>
      <w:r>
        <w:rPr>
          <w:b/>
          <w:sz w:val="20"/>
        </w:rPr>
        <w:t>and</w:t>
      </w:r>
      <w:r>
        <w:rPr>
          <w:b/>
          <w:spacing w:val="-2"/>
          <w:sz w:val="20"/>
        </w:rPr>
        <w:t> </w:t>
      </w:r>
      <w:r>
        <w:rPr>
          <w:b/>
          <w:sz w:val="20"/>
        </w:rPr>
        <w:t>equipment</w:t>
      </w:r>
      <w:r>
        <w:rPr>
          <w:b/>
          <w:spacing w:val="-4"/>
          <w:sz w:val="20"/>
        </w:rPr>
        <w:t> </w:t>
      </w:r>
      <w:r>
        <w:rPr>
          <w:b/>
          <w:sz w:val="20"/>
        </w:rPr>
        <w:t>in</w:t>
      </w:r>
      <w:r>
        <w:rPr>
          <w:b/>
          <w:spacing w:val="-4"/>
          <w:sz w:val="20"/>
        </w:rPr>
        <w:t> </w:t>
      </w:r>
      <w:r>
        <w:rPr>
          <w:b/>
          <w:sz w:val="20"/>
        </w:rPr>
        <w:t>excess</w:t>
      </w:r>
      <w:r>
        <w:rPr>
          <w:b/>
          <w:spacing w:val="-5"/>
          <w:sz w:val="20"/>
        </w:rPr>
        <w:t> </w:t>
      </w:r>
      <w:r>
        <w:rPr>
          <w:b/>
          <w:sz w:val="20"/>
        </w:rPr>
        <w:t>of</w:t>
      </w:r>
    </w:p>
    <w:p>
      <w:pPr>
        <w:spacing w:before="1"/>
        <w:ind w:left="2731" w:right="705" w:firstLine="0"/>
        <w:jc w:val="left"/>
        <w:rPr>
          <w:b/>
          <w:sz w:val="20"/>
        </w:rPr>
      </w:pPr>
      <w:r>
        <w:rPr>
          <w:b/>
          <w:sz w:val="20"/>
        </w:rPr>
        <w:t>$500,000</w:t>
      </w:r>
      <w:r>
        <w:rPr>
          <w:b/>
          <w:spacing w:val="-5"/>
          <w:sz w:val="20"/>
        </w:rPr>
        <w:t> </w:t>
      </w:r>
      <w:r>
        <w:rPr>
          <w:b/>
          <w:sz w:val="20"/>
        </w:rPr>
        <w:t>from</w:t>
      </w:r>
      <w:r>
        <w:rPr>
          <w:b/>
          <w:spacing w:val="-4"/>
          <w:sz w:val="20"/>
        </w:rPr>
        <w:t> </w:t>
      </w:r>
      <w:r>
        <w:rPr>
          <w:b/>
          <w:sz w:val="20"/>
        </w:rPr>
        <w:t>a</w:t>
      </w:r>
      <w:r>
        <w:rPr>
          <w:b/>
          <w:spacing w:val="-3"/>
          <w:sz w:val="20"/>
        </w:rPr>
        <w:t> </w:t>
      </w:r>
      <w:r>
        <w:rPr>
          <w:b/>
          <w:sz w:val="20"/>
        </w:rPr>
        <w:t>myriad</w:t>
      </w:r>
      <w:r>
        <w:rPr>
          <w:b/>
          <w:spacing w:val="-4"/>
          <w:sz w:val="20"/>
        </w:rPr>
        <w:t> </w:t>
      </w:r>
      <w:r>
        <w:rPr>
          <w:b/>
          <w:sz w:val="20"/>
        </w:rPr>
        <w:t>of</w:t>
      </w:r>
      <w:r>
        <w:rPr>
          <w:b/>
          <w:spacing w:val="-4"/>
          <w:sz w:val="20"/>
        </w:rPr>
        <w:t> </w:t>
      </w:r>
      <w:r>
        <w:rPr>
          <w:b/>
          <w:sz w:val="20"/>
        </w:rPr>
        <w:t>vendors</w:t>
      </w:r>
      <w:r>
        <w:rPr>
          <w:b/>
          <w:spacing w:val="-5"/>
          <w:sz w:val="20"/>
        </w:rPr>
        <w:t> </w:t>
      </w:r>
      <w:r>
        <w:rPr>
          <w:b/>
          <w:sz w:val="20"/>
        </w:rPr>
        <w:t>for</w:t>
      </w:r>
      <w:r>
        <w:rPr>
          <w:b/>
          <w:spacing w:val="-6"/>
          <w:sz w:val="20"/>
        </w:rPr>
        <w:t> </w:t>
      </w:r>
      <w:r>
        <w:rPr>
          <w:b/>
          <w:sz w:val="20"/>
        </w:rPr>
        <w:t>materials,</w:t>
      </w:r>
      <w:r>
        <w:rPr>
          <w:b/>
          <w:spacing w:val="-5"/>
          <w:sz w:val="20"/>
        </w:rPr>
        <w:t> </w:t>
      </w:r>
      <w:r>
        <w:rPr>
          <w:b/>
          <w:sz w:val="20"/>
        </w:rPr>
        <w:t>equipment,</w:t>
      </w:r>
      <w:r>
        <w:rPr>
          <w:b/>
          <w:spacing w:val="-5"/>
          <w:sz w:val="20"/>
        </w:rPr>
        <w:t> </w:t>
      </w:r>
      <w:r>
        <w:rPr>
          <w:b/>
          <w:sz w:val="20"/>
        </w:rPr>
        <w:t>tools</w:t>
      </w:r>
      <w:r>
        <w:rPr>
          <w:b/>
          <w:spacing w:val="-5"/>
          <w:sz w:val="20"/>
        </w:rPr>
        <w:t> </w:t>
      </w:r>
      <w:r>
        <w:rPr>
          <w:b/>
          <w:sz w:val="20"/>
        </w:rPr>
        <w:t>and other resources.</w:t>
      </w:r>
    </w:p>
    <w:p>
      <w:pPr>
        <w:pStyle w:val="BodyText"/>
        <w:spacing w:before="11"/>
        <w:rPr>
          <w:b/>
        </w:rPr>
      </w:pPr>
    </w:p>
    <w:p>
      <w:pPr>
        <w:spacing w:before="0"/>
        <w:ind w:left="2731" w:right="705" w:firstLine="0"/>
        <w:jc w:val="left"/>
        <w:rPr>
          <w:b/>
          <w:sz w:val="20"/>
        </w:rPr>
      </w:pPr>
      <w:r>
        <w:rPr>
          <w:b/>
          <w:sz w:val="20"/>
        </w:rPr>
        <w:t>The</w:t>
      </w:r>
      <w:r>
        <w:rPr>
          <w:b/>
          <w:spacing w:val="-5"/>
          <w:sz w:val="20"/>
        </w:rPr>
        <w:t> </w:t>
      </w:r>
      <w:r>
        <w:rPr>
          <w:b/>
          <w:sz w:val="20"/>
        </w:rPr>
        <w:t>Department</w:t>
      </w:r>
      <w:r>
        <w:rPr>
          <w:b/>
          <w:spacing w:val="-4"/>
          <w:sz w:val="20"/>
        </w:rPr>
        <w:t> </w:t>
      </w:r>
      <w:r>
        <w:rPr>
          <w:b/>
          <w:sz w:val="20"/>
        </w:rPr>
        <w:t>is</w:t>
      </w:r>
      <w:r>
        <w:rPr>
          <w:b/>
          <w:spacing w:val="-5"/>
          <w:sz w:val="20"/>
        </w:rPr>
        <w:t> </w:t>
      </w:r>
      <w:r>
        <w:rPr>
          <w:b/>
          <w:sz w:val="20"/>
        </w:rPr>
        <w:t>working</w:t>
      </w:r>
      <w:r>
        <w:rPr>
          <w:b/>
          <w:spacing w:val="-4"/>
          <w:sz w:val="20"/>
        </w:rPr>
        <w:t> </w:t>
      </w:r>
      <w:r>
        <w:rPr>
          <w:b/>
          <w:sz w:val="20"/>
        </w:rPr>
        <w:t>closely</w:t>
      </w:r>
      <w:r>
        <w:rPr>
          <w:b/>
          <w:spacing w:val="-5"/>
          <w:sz w:val="20"/>
        </w:rPr>
        <w:t> </w:t>
      </w:r>
      <w:r>
        <w:rPr>
          <w:b/>
          <w:sz w:val="20"/>
        </w:rPr>
        <w:t>with</w:t>
      </w:r>
      <w:r>
        <w:rPr>
          <w:b/>
          <w:spacing w:val="-4"/>
          <w:sz w:val="20"/>
        </w:rPr>
        <w:t> </w:t>
      </w:r>
      <w:r>
        <w:rPr>
          <w:b/>
          <w:sz w:val="20"/>
        </w:rPr>
        <w:t>the</w:t>
      </w:r>
      <w:r>
        <w:rPr>
          <w:b/>
          <w:spacing w:val="-5"/>
          <w:sz w:val="20"/>
        </w:rPr>
        <w:t> </w:t>
      </w:r>
      <w:r>
        <w:rPr>
          <w:b/>
          <w:sz w:val="20"/>
        </w:rPr>
        <w:t>Dean,</w:t>
      </w:r>
      <w:r>
        <w:rPr>
          <w:b/>
          <w:spacing w:val="-3"/>
          <w:sz w:val="20"/>
        </w:rPr>
        <w:t> </w:t>
      </w:r>
      <w:r>
        <w:rPr>
          <w:b/>
          <w:sz w:val="20"/>
        </w:rPr>
        <w:t>Assistant</w:t>
      </w:r>
      <w:r>
        <w:rPr>
          <w:b/>
          <w:spacing w:val="-4"/>
          <w:sz w:val="20"/>
        </w:rPr>
        <w:t> </w:t>
      </w:r>
      <w:r>
        <w:rPr>
          <w:b/>
          <w:sz w:val="20"/>
        </w:rPr>
        <w:t>Dean,</w:t>
      </w:r>
      <w:r>
        <w:rPr>
          <w:b/>
          <w:spacing w:val="-3"/>
          <w:sz w:val="20"/>
        </w:rPr>
        <w:t> </w:t>
      </w:r>
      <w:r>
        <w:rPr>
          <w:b/>
          <w:sz w:val="20"/>
        </w:rPr>
        <w:t>and Office of Development to on a strategy to improve fundraising for </w:t>
      </w:r>
      <w:r>
        <w:rPr>
          <w:b/>
          <w:spacing w:val="-2"/>
          <w:sz w:val="20"/>
        </w:rPr>
        <w:t>architecture.</w:t>
      </w:r>
    </w:p>
    <w:p>
      <w:pPr>
        <w:pStyle w:val="BodyText"/>
        <w:spacing w:before="11"/>
        <w:rPr>
          <w:b/>
        </w:rPr>
      </w:pPr>
    </w:p>
    <w:p>
      <w:pPr>
        <w:pStyle w:val="ListParagraph"/>
        <w:numPr>
          <w:ilvl w:val="4"/>
          <w:numId w:val="20"/>
        </w:numPr>
        <w:tabs>
          <w:tab w:pos="2731" w:val="left" w:leader="none"/>
          <w:tab w:pos="2732" w:val="left" w:leader="none"/>
        </w:tabs>
        <w:spacing w:line="240" w:lineRule="auto" w:before="0" w:after="0"/>
        <w:ind w:left="2731" w:right="483" w:hanging="793"/>
        <w:jc w:val="left"/>
        <w:rPr>
          <w:sz w:val="20"/>
        </w:rPr>
      </w:pPr>
      <w:r>
        <w:rPr>
          <w:sz w:val="20"/>
        </w:rPr>
        <w:t>Visibility: Previous NAAB reports have highlighted the difficulty in accessing information about the program because it operates as a Department, while the majority of accredited programs in the country operate as schools, or colleges. Our department’s name does not appear in the name of the School, and it is difficult for some prospective students to find the program on the University’s website. The Architecture website needs to be upgraded, both for content and format. It follows the University’s basic template, which is not the most appropriate</w:t>
      </w:r>
      <w:r>
        <w:rPr>
          <w:spacing w:val="-4"/>
          <w:sz w:val="20"/>
        </w:rPr>
        <w:t> </w:t>
      </w:r>
      <w:r>
        <w:rPr>
          <w:sz w:val="20"/>
        </w:rPr>
        <w:t>for</w:t>
      </w:r>
      <w:r>
        <w:rPr>
          <w:spacing w:val="-3"/>
          <w:sz w:val="20"/>
        </w:rPr>
        <w:t> </w:t>
      </w:r>
      <w:r>
        <w:rPr>
          <w:sz w:val="20"/>
        </w:rPr>
        <w:t>a</w:t>
      </w:r>
      <w:r>
        <w:rPr>
          <w:spacing w:val="-4"/>
          <w:sz w:val="20"/>
        </w:rPr>
        <w:t> </w:t>
      </w:r>
      <w:r>
        <w:rPr>
          <w:sz w:val="20"/>
        </w:rPr>
        <w:t>design</w:t>
      </w:r>
      <w:r>
        <w:rPr>
          <w:spacing w:val="-2"/>
          <w:sz w:val="20"/>
        </w:rPr>
        <w:t> </w:t>
      </w:r>
      <w:r>
        <w:rPr>
          <w:sz w:val="20"/>
        </w:rPr>
        <w:t>program.</w:t>
      </w:r>
      <w:r>
        <w:rPr>
          <w:spacing w:val="-4"/>
          <w:sz w:val="20"/>
        </w:rPr>
        <w:t> </w:t>
      </w:r>
      <w:r>
        <w:rPr>
          <w:sz w:val="20"/>
        </w:rPr>
        <w:t>Efforts</w:t>
      </w:r>
      <w:r>
        <w:rPr>
          <w:spacing w:val="-3"/>
          <w:sz w:val="20"/>
        </w:rPr>
        <w:t> </w:t>
      </w:r>
      <w:r>
        <w:rPr>
          <w:sz w:val="20"/>
        </w:rPr>
        <w:t>are</w:t>
      </w:r>
      <w:r>
        <w:rPr>
          <w:spacing w:val="-4"/>
          <w:sz w:val="20"/>
        </w:rPr>
        <w:t> </w:t>
      </w:r>
      <w:r>
        <w:rPr>
          <w:sz w:val="20"/>
        </w:rPr>
        <w:t>underway</w:t>
      </w:r>
      <w:r>
        <w:rPr>
          <w:spacing w:val="-5"/>
          <w:sz w:val="20"/>
        </w:rPr>
        <w:t> </w:t>
      </w:r>
      <w:r>
        <w:rPr>
          <w:sz w:val="20"/>
        </w:rPr>
        <w:t>to</w:t>
      </w:r>
      <w:r>
        <w:rPr>
          <w:spacing w:val="-4"/>
          <w:sz w:val="20"/>
        </w:rPr>
        <w:t> </w:t>
      </w:r>
      <w:r>
        <w:rPr>
          <w:sz w:val="20"/>
        </w:rPr>
        <w:t>modify</w:t>
      </w:r>
      <w:r>
        <w:rPr>
          <w:spacing w:val="-7"/>
          <w:sz w:val="20"/>
        </w:rPr>
        <w:t> </w:t>
      </w:r>
      <w:r>
        <w:rPr>
          <w:sz w:val="20"/>
        </w:rPr>
        <w:t>the</w:t>
      </w:r>
      <w:r>
        <w:rPr>
          <w:spacing w:val="-2"/>
          <w:sz w:val="20"/>
        </w:rPr>
        <w:t> </w:t>
      </w:r>
      <w:r>
        <w:rPr>
          <w:sz w:val="20"/>
        </w:rPr>
        <w:t>website,</w:t>
      </w:r>
      <w:r>
        <w:rPr>
          <w:spacing w:val="-4"/>
          <w:sz w:val="20"/>
        </w:rPr>
        <w:t> </w:t>
      </w:r>
      <w:r>
        <w:rPr>
          <w:sz w:val="20"/>
        </w:rPr>
        <w:t>as will be discussed elsewhere in the report.</w:t>
      </w:r>
    </w:p>
    <w:p>
      <w:pPr>
        <w:spacing w:after="0" w:line="240" w:lineRule="auto"/>
        <w:jc w:val="left"/>
        <w:rPr>
          <w:sz w:val="20"/>
        </w:rPr>
        <w:sectPr>
          <w:pgSz w:w="12240" w:h="15840"/>
          <w:pgMar w:header="0" w:footer="974" w:top="1360" w:bottom="1160" w:left="940" w:right="960"/>
        </w:sectPr>
      </w:pPr>
    </w:p>
    <w:p>
      <w:pPr>
        <w:spacing w:before="75"/>
        <w:ind w:left="2731" w:right="499" w:firstLine="0"/>
        <w:jc w:val="left"/>
        <w:rPr>
          <w:b/>
          <w:sz w:val="20"/>
        </w:rPr>
      </w:pPr>
      <w:r>
        <w:rPr>
          <w:b/>
          <w:sz w:val="20"/>
        </w:rPr>
        <w:t>We have been able to upgrade our website and make critical changes to the</w:t>
      </w:r>
      <w:r>
        <w:rPr>
          <w:b/>
          <w:spacing w:val="-6"/>
          <w:sz w:val="20"/>
        </w:rPr>
        <w:t> </w:t>
      </w:r>
      <w:r>
        <w:rPr>
          <w:b/>
          <w:sz w:val="20"/>
        </w:rPr>
        <w:t>webpages.</w:t>
      </w:r>
      <w:r>
        <w:rPr>
          <w:b/>
          <w:spacing w:val="-1"/>
          <w:sz w:val="20"/>
        </w:rPr>
        <w:t> </w:t>
      </w:r>
      <w:r>
        <w:rPr>
          <w:b/>
          <w:sz w:val="20"/>
        </w:rPr>
        <w:t>Access</w:t>
      </w:r>
      <w:r>
        <w:rPr>
          <w:b/>
          <w:spacing w:val="-4"/>
          <w:sz w:val="20"/>
        </w:rPr>
        <w:t> </w:t>
      </w:r>
      <w:r>
        <w:rPr>
          <w:b/>
          <w:sz w:val="20"/>
        </w:rPr>
        <w:t>to</w:t>
      </w:r>
      <w:r>
        <w:rPr>
          <w:b/>
          <w:spacing w:val="-5"/>
          <w:sz w:val="20"/>
        </w:rPr>
        <w:t> </w:t>
      </w:r>
      <w:r>
        <w:rPr>
          <w:b/>
          <w:sz w:val="20"/>
        </w:rPr>
        <w:t>the</w:t>
      </w:r>
      <w:r>
        <w:rPr>
          <w:b/>
          <w:spacing w:val="-6"/>
          <w:sz w:val="20"/>
        </w:rPr>
        <w:t> </w:t>
      </w:r>
      <w:r>
        <w:rPr>
          <w:b/>
          <w:sz w:val="20"/>
        </w:rPr>
        <w:t>department’s</w:t>
      </w:r>
      <w:r>
        <w:rPr>
          <w:b/>
          <w:spacing w:val="-4"/>
          <w:sz w:val="20"/>
        </w:rPr>
        <w:t> </w:t>
      </w:r>
      <w:r>
        <w:rPr>
          <w:b/>
          <w:sz w:val="20"/>
        </w:rPr>
        <w:t>website</w:t>
      </w:r>
      <w:r>
        <w:rPr>
          <w:b/>
          <w:spacing w:val="-6"/>
          <w:sz w:val="20"/>
        </w:rPr>
        <w:t> </w:t>
      </w:r>
      <w:r>
        <w:rPr>
          <w:b/>
          <w:sz w:val="20"/>
        </w:rPr>
        <w:t>has</w:t>
      </w:r>
      <w:r>
        <w:rPr>
          <w:b/>
          <w:spacing w:val="-6"/>
          <w:sz w:val="20"/>
        </w:rPr>
        <w:t> </w:t>
      </w:r>
      <w:r>
        <w:rPr>
          <w:b/>
          <w:sz w:val="20"/>
        </w:rPr>
        <w:t>been</w:t>
      </w:r>
      <w:r>
        <w:rPr>
          <w:b/>
          <w:spacing w:val="-3"/>
          <w:sz w:val="20"/>
        </w:rPr>
        <w:t> </w:t>
      </w:r>
      <w:r>
        <w:rPr>
          <w:b/>
          <w:sz w:val="20"/>
        </w:rPr>
        <w:t>a</w:t>
      </w:r>
      <w:r>
        <w:rPr>
          <w:b/>
          <w:spacing w:val="-6"/>
          <w:sz w:val="20"/>
        </w:rPr>
        <w:t> </w:t>
      </w:r>
      <w:r>
        <w:rPr>
          <w:b/>
          <w:sz w:val="20"/>
        </w:rPr>
        <w:t>challenge, but the department is working with the School Dean to address this.</w:t>
      </w:r>
    </w:p>
    <w:p>
      <w:pPr>
        <w:pStyle w:val="BodyText"/>
        <w:spacing w:before="8"/>
        <w:rPr>
          <w:b/>
        </w:rPr>
      </w:pPr>
    </w:p>
    <w:p>
      <w:pPr>
        <w:pStyle w:val="ListParagraph"/>
        <w:numPr>
          <w:ilvl w:val="4"/>
          <w:numId w:val="20"/>
        </w:numPr>
        <w:tabs>
          <w:tab w:pos="2731" w:val="left" w:leader="none"/>
          <w:tab w:pos="2733" w:val="left" w:leader="none"/>
        </w:tabs>
        <w:spacing w:line="240" w:lineRule="auto" w:before="0" w:after="0"/>
        <w:ind w:left="2731" w:right="530" w:hanging="793"/>
        <w:jc w:val="left"/>
        <w:rPr>
          <w:sz w:val="20"/>
        </w:rPr>
      </w:pPr>
      <w:r>
        <w:rPr>
          <w:b/>
          <w:sz w:val="20"/>
        </w:rPr>
        <w:t>New challenge 1</w:t>
      </w:r>
      <w:r>
        <w:rPr>
          <w:sz w:val="20"/>
        </w:rPr>
        <w:t>: As is evident in the table in section 1.2.6, page 1-61, enrollment management is a significant challenge.</w:t>
      </w:r>
      <w:r>
        <w:rPr>
          <w:spacing w:val="40"/>
          <w:sz w:val="20"/>
        </w:rPr>
        <w:t> </w:t>
      </w:r>
      <w:r>
        <w:rPr>
          <w:sz w:val="20"/>
        </w:rPr>
        <w:t>Enrollment has dropped dramatically over the past four years. While this is part of a national trend affecting many</w:t>
      </w:r>
      <w:r>
        <w:rPr>
          <w:spacing w:val="-3"/>
          <w:sz w:val="20"/>
        </w:rPr>
        <w:t> </w:t>
      </w:r>
      <w:r>
        <w:rPr>
          <w:sz w:val="20"/>
        </w:rPr>
        <w:t>programs, it threatens the health of the program. Many students in the area opt for community college to begin their architectural studies and enter</w:t>
      </w:r>
      <w:r>
        <w:rPr>
          <w:spacing w:val="-4"/>
          <w:sz w:val="20"/>
        </w:rPr>
        <w:t> </w:t>
      </w:r>
      <w:r>
        <w:rPr>
          <w:sz w:val="20"/>
        </w:rPr>
        <w:t>our</w:t>
      </w:r>
      <w:r>
        <w:rPr>
          <w:spacing w:val="-4"/>
          <w:sz w:val="20"/>
        </w:rPr>
        <w:t> </w:t>
      </w:r>
      <w:r>
        <w:rPr>
          <w:sz w:val="20"/>
        </w:rPr>
        <w:t>program after</w:t>
      </w:r>
      <w:r>
        <w:rPr>
          <w:spacing w:val="-4"/>
          <w:sz w:val="20"/>
        </w:rPr>
        <w:t> </w:t>
      </w:r>
      <w:r>
        <w:rPr>
          <w:sz w:val="20"/>
        </w:rPr>
        <w:t>completing</w:t>
      </w:r>
      <w:r>
        <w:rPr>
          <w:spacing w:val="-5"/>
          <w:sz w:val="20"/>
        </w:rPr>
        <w:t> </w:t>
      </w:r>
      <w:r>
        <w:rPr>
          <w:sz w:val="20"/>
        </w:rPr>
        <w:t>some</w:t>
      </w:r>
      <w:r>
        <w:rPr>
          <w:spacing w:val="-5"/>
          <w:sz w:val="20"/>
        </w:rPr>
        <w:t> </w:t>
      </w:r>
      <w:r>
        <w:rPr>
          <w:sz w:val="20"/>
        </w:rPr>
        <w:t>of</w:t>
      </w:r>
      <w:r>
        <w:rPr>
          <w:spacing w:val="-3"/>
          <w:sz w:val="20"/>
        </w:rPr>
        <w:t> </w:t>
      </w:r>
      <w:r>
        <w:rPr>
          <w:sz w:val="20"/>
        </w:rPr>
        <w:t>their</w:t>
      </w:r>
      <w:r>
        <w:rPr>
          <w:spacing w:val="-4"/>
          <w:sz w:val="20"/>
        </w:rPr>
        <w:t> </w:t>
      </w:r>
      <w:r>
        <w:rPr>
          <w:sz w:val="20"/>
        </w:rPr>
        <w:t>courses.</w:t>
      </w:r>
      <w:r>
        <w:rPr>
          <w:spacing w:val="-5"/>
          <w:sz w:val="20"/>
        </w:rPr>
        <w:t> </w:t>
      </w:r>
      <w:r>
        <w:rPr>
          <w:sz w:val="20"/>
        </w:rPr>
        <w:t>Others</w:t>
      </w:r>
      <w:r>
        <w:rPr>
          <w:spacing w:val="-4"/>
          <w:sz w:val="20"/>
        </w:rPr>
        <w:t> </w:t>
      </w:r>
      <w:r>
        <w:rPr>
          <w:sz w:val="20"/>
        </w:rPr>
        <w:t>are</w:t>
      </w:r>
      <w:r>
        <w:rPr>
          <w:spacing w:val="-5"/>
          <w:sz w:val="20"/>
        </w:rPr>
        <w:t> </w:t>
      </w:r>
      <w:r>
        <w:rPr>
          <w:sz w:val="20"/>
        </w:rPr>
        <w:t>finding</w:t>
      </w:r>
      <w:r>
        <w:rPr>
          <w:spacing w:val="-3"/>
          <w:sz w:val="20"/>
        </w:rPr>
        <w:t> </w:t>
      </w:r>
      <w:r>
        <w:rPr>
          <w:sz w:val="20"/>
        </w:rPr>
        <w:t>the growing cost of higher education unaffordable. We must address this issue.</w:t>
      </w:r>
    </w:p>
    <w:p>
      <w:pPr>
        <w:spacing w:after="0" w:line="240" w:lineRule="auto"/>
        <w:jc w:val="left"/>
        <w:rPr>
          <w:sz w:val="20"/>
        </w:rPr>
        <w:sectPr>
          <w:pgSz w:w="12240" w:h="15840"/>
          <w:pgMar w:header="0" w:footer="974" w:top="1360" w:bottom="1160" w:left="940" w:right="960"/>
        </w:sectPr>
      </w:pPr>
    </w:p>
    <w:p>
      <w:pPr>
        <w:pStyle w:val="ListParagraph"/>
        <w:numPr>
          <w:ilvl w:val="3"/>
          <w:numId w:val="20"/>
        </w:numPr>
        <w:tabs>
          <w:tab w:pos="2300" w:val="left" w:leader="none"/>
        </w:tabs>
        <w:spacing w:line="240" w:lineRule="auto" w:before="75" w:after="0"/>
        <w:ind w:left="2227" w:right="530" w:hanging="648"/>
        <w:jc w:val="left"/>
        <w:rPr>
          <w:sz w:val="20"/>
        </w:rPr>
      </w:pPr>
      <w:r>
        <w:rPr>
          <w:b/>
          <w:sz w:val="20"/>
        </w:rPr>
        <w:t>Program Opportunities</w:t>
      </w:r>
      <w:r>
        <w:rPr>
          <w:sz w:val="20"/>
        </w:rPr>
        <w:t>: But with the strengths and challenges, we also have the opportunity to be a truly great program.</w:t>
      </w:r>
      <w:r>
        <w:rPr>
          <w:spacing w:val="40"/>
          <w:sz w:val="20"/>
        </w:rPr>
        <w:t> </w:t>
      </w:r>
      <w:r>
        <w:rPr>
          <w:sz w:val="20"/>
        </w:rPr>
        <w:t>We have the perfect blend of seasoned faculty and new young teaching minds who invigorate the classroom. We live in an area that will be challenged in the coming years by the effects of climate change and sea level rise. With our colleagues in the Marine and Environmental Science Department, we can develop new ways to look at communities on the water’s edge. We</w:t>
      </w:r>
      <w:r>
        <w:rPr>
          <w:spacing w:val="-6"/>
          <w:sz w:val="20"/>
        </w:rPr>
        <w:t> </w:t>
      </w:r>
      <w:r>
        <w:rPr>
          <w:sz w:val="20"/>
        </w:rPr>
        <w:t>remain</w:t>
      </w:r>
      <w:r>
        <w:rPr>
          <w:spacing w:val="-3"/>
          <w:sz w:val="20"/>
        </w:rPr>
        <w:t> </w:t>
      </w:r>
      <w:r>
        <w:rPr>
          <w:sz w:val="20"/>
        </w:rPr>
        <w:t>strong</w:t>
      </w:r>
      <w:r>
        <w:rPr>
          <w:spacing w:val="-3"/>
          <w:sz w:val="20"/>
        </w:rPr>
        <w:t> </w:t>
      </w:r>
      <w:r>
        <w:rPr>
          <w:sz w:val="20"/>
        </w:rPr>
        <w:t>and</w:t>
      </w:r>
      <w:r>
        <w:rPr>
          <w:spacing w:val="-3"/>
          <w:sz w:val="20"/>
        </w:rPr>
        <w:t> </w:t>
      </w:r>
      <w:r>
        <w:rPr>
          <w:sz w:val="20"/>
        </w:rPr>
        <w:t>committed</w:t>
      </w:r>
      <w:r>
        <w:rPr>
          <w:spacing w:val="-3"/>
          <w:sz w:val="20"/>
        </w:rPr>
        <w:t> </w:t>
      </w:r>
      <w:r>
        <w:rPr>
          <w:sz w:val="20"/>
        </w:rPr>
        <w:t>to</w:t>
      </w:r>
      <w:r>
        <w:rPr>
          <w:spacing w:val="-3"/>
          <w:sz w:val="20"/>
        </w:rPr>
        <w:t> </w:t>
      </w:r>
      <w:r>
        <w:rPr>
          <w:sz w:val="20"/>
        </w:rPr>
        <w:t>our</w:t>
      </w:r>
      <w:r>
        <w:rPr>
          <w:spacing w:val="-2"/>
          <w:sz w:val="20"/>
        </w:rPr>
        <w:t> </w:t>
      </w:r>
      <w:r>
        <w:rPr>
          <w:sz w:val="20"/>
        </w:rPr>
        <w:t>mission.</w:t>
      </w:r>
      <w:r>
        <w:rPr>
          <w:spacing w:val="-5"/>
          <w:sz w:val="20"/>
        </w:rPr>
        <w:t> </w:t>
      </w:r>
      <w:r>
        <w:rPr>
          <w:sz w:val="20"/>
        </w:rPr>
        <w:t>We</w:t>
      </w:r>
      <w:r>
        <w:rPr>
          <w:spacing w:val="-3"/>
          <w:sz w:val="20"/>
        </w:rPr>
        <w:t> </w:t>
      </w:r>
      <w:r>
        <w:rPr>
          <w:sz w:val="20"/>
        </w:rPr>
        <w:t>have</w:t>
      </w:r>
      <w:r>
        <w:rPr>
          <w:spacing w:val="-1"/>
          <w:sz w:val="20"/>
        </w:rPr>
        <w:t> </w:t>
      </w:r>
      <w:r>
        <w:rPr>
          <w:sz w:val="20"/>
        </w:rPr>
        <w:t>been</w:t>
      </w:r>
      <w:r>
        <w:rPr>
          <w:spacing w:val="-3"/>
          <w:sz w:val="20"/>
        </w:rPr>
        <w:t> </w:t>
      </w:r>
      <w:r>
        <w:rPr>
          <w:sz w:val="20"/>
        </w:rPr>
        <w:t>able</w:t>
      </w:r>
      <w:r>
        <w:rPr>
          <w:spacing w:val="-3"/>
          <w:sz w:val="20"/>
        </w:rPr>
        <w:t> </w:t>
      </w:r>
      <w:r>
        <w:rPr>
          <w:sz w:val="20"/>
        </w:rPr>
        <w:t>to a</w:t>
      </w:r>
      <w:r>
        <w:rPr>
          <w:spacing w:val="-3"/>
          <w:sz w:val="20"/>
        </w:rPr>
        <w:t> </w:t>
      </w:r>
      <w:r>
        <w:rPr>
          <w:sz w:val="20"/>
        </w:rPr>
        <w:t>tremendous work with the limitations we face, and know that the future is bright.</w:t>
      </w:r>
    </w:p>
    <w:p>
      <w:pPr>
        <w:pStyle w:val="BodyText"/>
        <w:spacing w:before="2"/>
        <w:rPr>
          <w:sz w:val="21"/>
        </w:rPr>
      </w:pPr>
    </w:p>
    <w:p>
      <w:pPr>
        <w:pStyle w:val="BodyText"/>
        <w:ind w:left="2227" w:right="705"/>
      </w:pPr>
      <w:r>
        <w:rPr/>
        <w:t>We have established relationships with regional professional organizations that reinforce</w:t>
      </w:r>
      <w:r>
        <w:rPr>
          <w:spacing w:val="-6"/>
        </w:rPr>
        <w:t> </w:t>
      </w:r>
      <w:r>
        <w:rPr/>
        <w:t>our</w:t>
      </w:r>
      <w:r>
        <w:rPr>
          <w:spacing w:val="-4"/>
        </w:rPr>
        <w:t> </w:t>
      </w:r>
      <w:r>
        <w:rPr/>
        <w:t>capacity</w:t>
      </w:r>
      <w:r>
        <w:rPr>
          <w:spacing w:val="-7"/>
        </w:rPr>
        <w:t> </w:t>
      </w:r>
      <w:r>
        <w:rPr/>
        <w:t>and</w:t>
      </w:r>
      <w:r>
        <w:rPr>
          <w:spacing w:val="-4"/>
        </w:rPr>
        <w:t> </w:t>
      </w:r>
      <w:r>
        <w:rPr/>
        <w:t>allow</w:t>
      </w:r>
      <w:r>
        <w:rPr>
          <w:spacing w:val="-7"/>
        </w:rPr>
        <w:t> </w:t>
      </w:r>
      <w:r>
        <w:rPr/>
        <w:t>us</w:t>
      </w:r>
      <w:r>
        <w:rPr>
          <w:spacing w:val="-4"/>
        </w:rPr>
        <w:t> </w:t>
      </w:r>
      <w:r>
        <w:rPr/>
        <w:t>to</w:t>
      </w:r>
      <w:r>
        <w:rPr>
          <w:spacing w:val="-5"/>
        </w:rPr>
        <w:t> </w:t>
      </w:r>
      <w:r>
        <w:rPr/>
        <w:t>have</w:t>
      </w:r>
      <w:r>
        <w:rPr>
          <w:spacing w:val="-5"/>
        </w:rPr>
        <w:t> </w:t>
      </w:r>
      <w:r>
        <w:rPr/>
        <w:t>a</w:t>
      </w:r>
      <w:r>
        <w:rPr>
          <w:spacing w:val="-5"/>
        </w:rPr>
        <w:t> </w:t>
      </w:r>
      <w:r>
        <w:rPr/>
        <w:t>continuum in</w:t>
      </w:r>
      <w:r>
        <w:rPr>
          <w:spacing w:val="-5"/>
        </w:rPr>
        <w:t> </w:t>
      </w:r>
      <w:r>
        <w:rPr/>
        <w:t>project</w:t>
      </w:r>
      <w:r>
        <w:rPr>
          <w:spacing w:val="-5"/>
        </w:rPr>
        <w:t> </w:t>
      </w:r>
      <w:r>
        <w:rPr>
          <w:spacing w:val="-2"/>
        </w:rPr>
        <w:t>opportunities.</w:t>
      </w:r>
    </w:p>
    <w:p>
      <w:pPr>
        <w:pStyle w:val="BodyText"/>
        <w:spacing w:before="8"/>
      </w:pPr>
    </w:p>
    <w:p>
      <w:pPr>
        <w:pStyle w:val="BodyText"/>
        <w:ind w:left="2227" w:right="705"/>
      </w:pPr>
      <w:r>
        <w:rPr/>
        <w:t>We</w:t>
      </w:r>
      <w:r>
        <w:rPr>
          <w:spacing w:val="-7"/>
        </w:rPr>
        <w:t> </w:t>
      </w:r>
      <w:r>
        <w:rPr/>
        <w:t>have</w:t>
      </w:r>
      <w:r>
        <w:rPr>
          <w:spacing w:val="-4"/>
        </w:rPr>
        <w:t> </w:t>
      </w:r>
      <w:r>
        <w:rPr/>
        <w:t>strengths via</w:t>
      </w:r>
      <w:r>
        <w:rPr>
          <w:spacing w:val="-4"/>
        </w:rPr>
        <w:t> </w:t>
      </w:r>
      <w:r>
        <w:rPr/>
        <w:t>expanded</w:t>
      </w:r>
      <w:r>
        <w:rPr>
          <w:spacing w:val="-4"/>
        </w:rPr>
        <w:t> </w:t>
      </w:r>
      <w:r>
        <w:rPr/>
        <w:t>design</w:t>
      </w:r>
      <w:r>
        <w:rPr>
          <w:spacing w:val="-2"/>
        </w:rPr>
        <w:t> </w:t>
      </w:r>
      <w:r>
        <w:rPr/>
        <w:t>service</w:t>
      </w:r>
      <w:r>
        <w:rPr>
          <w:spacing w:val="-4"/>
        </w:rPr>
        <w:t> </w:t>
      </w:r>
      <w:r>
        <w:rPr/>
        <w:t>and</w:t>
      </w:r>
      <w:r>
        <w:rPr>
          <w:spacing w:val="-4"/>
        </w:rPr>
        <w:t> </w:t>
      </w:r>
      <w:r>
        <w:rPr/>
        <w:t>research</w:t>
      </w:r>
      <w:r>
        <w:rPr>
          <w:spacing w:val="-4"/>
        </w:rPr>
        <w:t> </w:t>
      </w:r>
      <w:r>
        <w:rPr/>
        <w:t>interest</w:t>
      </w:r>
      <w:r>
        <w:rPr>
          <w:spacing w:val="-4"/>
        </w:rPr>
        <w:t> </w:t>
      </w:r>
      <w:r>
        <w:rPr/>
        <w:t>that</w:t>
      </w:r>
      <w:r>
        <w:rPr>
          <w:spacing w:val="-2"/>
        </w:rPr>
        <w:t> </w:t>
      </w:r>
      <w:r>
        <w:rPr/>
        <w:t>offer opportunities for future growth of the program.</w:t>
      </w:r>
    </w:p>
    <w:p>
      <w:pPr>
        <w:pStyle w:val="BodyText"/>
        <w:spacing w:before="11"/>
      </w:pPr>
    </w:p>
    <w:p>
      <w:pPr>
        <w:pStyle w:val="BodyText"/>
        <w:ind w:left="2227" w:right="705"/>
      </w:pPr>
      <w:r>
        <w:rPr/>
        <w:t>With</w:t>
      </w:r>
      <w:r>
        <w:rPr>
          <w:spacing w:val="-3"/>
        </w:rPr>
        <w:t> </w:t>
      </w:r>
      <w:r>
        <w:rPr/>
        <w:t>the</w:t>
      </w:r>
      <w:r>
        <w:rPr>
          <w:spacing w:val="-3"/>
        </w:rPr>
        <w:t> </w:t>
      </w:r>
      <w:r>
        <w:rPr/>
        <w:t>Title</w:t>
      </w:r>
      <w:r>
        <w:rPr>
          <w:spacing w:val="-1"/>
        </w:rPr>
        <w:t> </w:t>
      </w:r>
      <w:r>
        <w:rPr/>
        <w:t>III</w:t>
      </w:r>
      <w:r>
        <w:rPr>
          <w:spacing w:val="-3"/>
        </w:rPr>
        <w:t> </w:t>
      </w:r>
      <w:r>
        <w:rPr/>
        <w:t>funding</w:t>
      </w:r>
      <w:r>
        <w:rPr>
          <w:spacing w:val="-1"/>
        </w:rPr>
        <w:t> </w:t>
      </w:r>
      <w:r>
        <w:rPr/>
        <w:t>support,</w:t>
      </w:r>
      <w:r>
        <w:rPr>
          <w:spacing w:val="-1"/>
        </w:rPr>
        <w:t> </w:t>
      </w:r>
      <w:r>
        <w:rPr/>
        <w:t>we</w:t>
      </w:r>
      <w:r>
        <w:rPr>
          <w:spacing w:val="-3"/>
        </w:rPr>
        <w:t> </w:t>
      </w:r>
      <w:r>
        <w:rPr/>
        <w:t>also</w:t>
      </w:r>
      <w:r>
        <w:rPr>
          <w:spacing w:val="-3"/>
        </w:rPr>
        <w:t> </w:t>
      </w:r>
      <w:r>
        <w:rPr/>
        <w:t>have</w:t>
      </w:r>
      <w:r>
        <w:rPr>
          <w:spacing w:val="-3"/>
        </w:rPr>
        <w:t> </w:t>
      </w:r>
      <w:r>
        <w:rPr/>
        <w:t>an</w:t>
      </w:r>
      <w:r>
        <w:rPr>
          <w:spacing w:val="-3"/>
        </w:rPr>
        <w:t> </w:t>
      </w:r>
      <w:r>
        <w:rPr/>
        <w:t>opportunity</w:t>
      </w:r>
      <w:r>
        <w:rPr>
          <w:spacing w:val="-4"/>
        </w:rPr>
        <w:t> </w:t>
      </w:r>
      <w:r>
        <w:rPr/>
        <w:t>to</w:t>
      </w:r>
      <w:r>
        <w:rPr>
          <w:spacing w:val="-3"/>
        </w:rPr>
        <w:t> </w:t>
      </w:r>
      <w:r>
        <w:rPr/>
        <w:t>competitively</w:t>
      </w:r>
      <w:r>
        <w:rPr>
          <w:spacing w:val="-6"/>
        </w:rPr>
        <w:t> </w:t>
      </w:r>
      <w:r>
        <w:rPr/>
        <w:t>outfit the program’s infrastructure for the foreseeable future.</w:t>
      </w:r>
    </w:p>
    <w:p>
      <w:pPr>
        <w:spacing w:after="0"/>
        <w:sectPr>
          <w:pgSz w:w="12240" w:h="15840"/>
          <w:pgMar w:header="0" w:footer="974" w:top="1360" w:bottom="1160" w:left="940" w:right="960"/>
        </w:sectPr>
      </w:pPr>
    </w:p>
    <w:p>
      <w:pPr>
        <w:pStyle w:val="Heading5"/>
        <w:numPr>
          <w:ilvl w:val="1"/>
          <w:numId w:val="21"/>
        </w:numPr>
        <w:tabs>
          <w:tab w:pos="1579" w:val="left" w:leader="none"/>
          <w:tab w:pos="1580" w:val="left" w:leader="none"/>
        </w:tabs>
        <w:spacing w:line="240" w:lineRule="auto" w:before="74" w:after="0"/>
        <w:ind w:left="1579" w:right="0" w:hanging="720"/>
        <w:jc w:val="left"/>
      </w:pPr>
      <w:bookmarkStart w:name="_TOC_250008" w:id="51"/>
      <w:bookmarkEnd w:id="51"/>
      <w:r>
        <w:rPr>
          <w:spacing w:val="-2"/>
        </w:rPr>
        <w:t>Resources</w:t>
      </w:r>
    </w:p>
    <w:p>
      <w:pPr>
        <w:pStyle w:val="ListParagraph"/>
        <w:numPr>
          <w:ilvl w:val="2"/>
          <w:numId w:val="22"/>
        </w:numPr>
        <w:tabs>
          <w:tab w:pos="1940" w:val="left" w:leader="none"/>
          <w:tab w:pos="1941" w:val="left" w:leader="none"/>
        </w:tabs>
        <w:spacing w:line="240" w:lineRule="auto" w:before="243" w:after="0"/>
        <w:ind w:left="1940" w:right="0" w:hanging="721"/>
        <w:jc w:val="left"/>
        <w:rPr>
          <w:sz w:val="20"/>
        </w:rPr>
      </w:pPr>
      <w:r>
        <w:rPr>
          <w:sz w:val="20"/>
        </w:rPr>
        <w:t>Human</w:t>
      </w:r>
      <w:r>
        <w:rPr>
          <w:spacing w:val="-8"/>
          <w:sz w:val="20"/>
        </w:rPr>
        <w:t> </w:t>
      </w:r>
      <w:r>
        <w:rPr>
          <w:sz w:val="20"/>
        </w:rPr>
        <w:t>Resources</w:t>
      </w:r>
      <w:r>
        <w:rPr>
          <w:spacing w:val="-6"/>
          <w:sz w:val="20"/>
        </w:rPr>
        <w:t> </w:t>
      </w:r>
      <w:r>
        <w:rPr>
          <w:sz w:val="20"/>
        </w:rPr>
        <w:t>and</w:t>
      </w:r>
      <w:r>
        <w:rPr>
          <w:spacing w:val="-6"/>
          <w:sz w:val="20"/>
        </w:rPr>
        <w:t> </w:t>
      </w:r>
      <w:r>
        <w:rPr>
          <w:sz w:val="20"/>
        </w:rPr>
        <w:t>Human</w:t>
      </w:r>
      <w:r>
        <w:rPr>
          <w:spacing w:val="-7"/>
          <w:sz w:val="20"/>
        </w:rPr>
        <w:t> </w:t>
      </w:r>
      <w:r>
        <w:rPr>
          <w:sz w:val="20"/>
        </w:rPr>
        <w:t>Resource</w:t>
      </w:r>
      <w:r>
        <w:rPr>
          <w:spacing w:val="-8"/>
          <w:sz w:val="20"/>
        </w:rPr>
        <w:t> </w:t>
      </w:r>
      <w:r>
        <w:rPr>
          <w:spacing w:val="-2"/>
          <w:sz w:val="20"/>
        </w:rPr>
        <w:t>Development:</w:t>
      </w:r>
    </w:p>
    <w:p>
      <w:pPr>
        <w:pStyle w:val="BodyText"/>
        <w:spacing w:before="10"/>
      </w:pPr>
    </w:p>
    <w:p>
      <w:pPr>
        <w:pStyle w:val="ListParagraph"/>
        <w:numPr>
          <w:ilvl w:val="3"/>
          <w:numId w:val="22"/>
        </w:numPr>
        <w:tabs>
          <w:tab w:pos="2299" w:val="left" w:leader="none"/>
          <w:tab w:pos="2300" w:val="left" w:leader="none"/>
        </w:tabs>
        <w:spacing w:line="240" w:lineRule="auto" w:before="0" w:after="0"/>
        <w:ind w:left="2299" w:right="0" w:hanging="1080"/>
        <w:jc w:val="left"/>
        <w:rPr>
          <w:sz w:val="20"/>
        </w:rPr>
      </w:pPr>
      <w:r>
        <w:rPr>
          <w:spacing w:val="-2"/>
          <w:sz w:val="20"/>
        </w:rPr>
        <w:t>Faculty</w:t>
      </w:r>
    </w:p>
    <w:p>
      <w:pPr>
        <w:pStyle w:val="BodyText"/>
        <w:spacing w:before="10"/>
      </w:pPr>
    </w:p>
    <w:p>
      <w:pPr>
        <w:pStyle w:val="BodyText"/>
        <w:ind w:left="1723" w:right="705"/>
      </w:pPr>
      <w:r>
        <w:rPr/>
        <w:t>The</w:t>
      </w:r>
      <w:r>
        <w:rPr>
          <w:spacing w:val="-4"/>
        </w:rPr>
        <w:t> </w:t>
      </w:r>
      <w:r>
        <w:rPr/>
        <w:t>University</w:t>
      </w:r>
      <w:r>
        <w:rPr>
          <w:spacing w:val="-7"/>
        </w:rPr>
        <w:t> </w:t>
      </w:r>
      <w:r>
        <w:rPr/>
        <w:t>employs</w:t>
      </w:r>
      <w:r>
        <w:rPr>
          <w:spacing w:val="-1"/>
        </w:rPr>
        <w:t> </w:t>
      </w:r>
      <w:r>
        <w:rPr/>
        <w:t>approximately</w:t>
      </w:r>
      <w:r>
        <w:rPr>
          <w:spacing w:val="-5"/>
        </w:rPr>
        <w:t> </w:t>
      </w:r>
      <w:r>
        <w:rPr/>
        <w:t>1,200</w:t>
      </w:r>
      <w:r>
        <w:rPr>
          <w:spacing w:val="-4"/>
        </w:rPr>
        <w:t> </w:t>
      </w:r>
      <w:r>
        <w:rPr/>
        <w:t>full-time</w:t>
      </w:r>
      <w:r>
        <w:rPr>
          <w:spacing w:val="-4"/>
        </w:rPr>
        <w:t> </w:t>
      </w:r>
      <w:r>
        <w:rPr/>
        <w:t>persons</w:t>
      </w:r>
      <w:r>
        <w:rPr>
          <w:spacing w:val="-3"/>
        </w:rPr>
        <w:t> </w:t>
      </w:r>
      <w:r>
        <w:rPr/>
        <w:t>including</w:t>
      </w:r>
      <w:r>
        <w:rPr>
          <w:spacing w:val="-4"/>
        </w:rPr>
        <w:t> </w:t>
      </w:r>
      <w:r>
        <w:rPr/>
        <w:t>faculty,</w:t>
      </w:r>
      <w:r>
        <w:rPr>
          <w:spacing w:val="-4"/>
        </w:rPr>
        <w:t> </w:t>
      </w:r>
      <w:r>
        <w:rPr/>
        <w:t>staff</w:t>
      </w:r>
      <w:r>
        <w:rPr>
          <w:spacing w:val="-2"/>
        </w:rPr>
        <w:t> </w:t>
      </w:r>
      <w:r>
        <w:rPr/>
        <w:t>and administrative personnel.</w:t>
      </w:r>
      <w:r>
        <w:rPr>
          <w:spacing w:val="40"/>
        </w:rPr>
        <w:t> </w:t>
      </w:r>
      <w:r>
        <w:rPr/>
        <w:t>None of these employees is represented by any collective bargaining organization.</w:t>
      </w:r>
      <w:r>
        <w:rPr>
          <w:spacing w:val="40"/>
        </w:rPr>
        <w:t> </w:t>
      </w:r>
      <w:r>
        <w:rPr/>
        <w:t>The University</w:t>
      </w:r>
      <w:r>
        <w:rPr>
          <w:spacing w:val="-2"/>
        </w:rPr>
        <w:t> </w:t>
      </w:r>
      <w:r>
        <w:rPr/>
        <w:t>employs approximately 400 faculty</w:t>
      </w:r>
      <w:r>
        <w:rPr>
          <w:spacing w:val="-1"/>
        </w:rPr>
        <w:t> </w:t>
      </w:r>
      <w:r>
        <w:rPr/>
        <w:t>members of whom nearly</w:t>
      </w:r>
      <w:r>
        <w:rPr>
          <w:spacing w:val="-4"/>
        </w:rPr>
        <w:t> </w:t>
      </w:r>
      <w:r>
        <w:rPr/>
        <w:t>30% are</w:t>
      </w:r>
      <w:r>
        <w:rPr>
          <w:spacing w:val="-3"/>
        </w:rPr>
        <w:t> </w:t>
      </w:r>
      <w:r>
        <w:rPr/>
        <w:t>tenured.</w:t>
      </w:r>
      <w:r>
        <w:rPr>
          <w:spacing w:val="40"/>
        </w:rPr>
        <w:t> </w:t>
      </w:r>
      <w:r>
        <w:rPr/>
        <w:t>Approximately</w:t>
      </w:r>
      <w:r>
        <w:rPr>
          <w:spacing w:val="-4"/>
        </w:rPr>
        <w:t> </w:t>
      </w:r>
      <w:r>
        <w:rPr/>
        <w:t>78% of</w:t>
      </w:r>
      <w:r>
        <w:rPr>
          <w:spacing w:val="-1"/>
        </w:rPr>
        <w:t> </w:t>
      </w:r>
      <w:r>
        <w:rPr/>
        <w:t>the</w:t>
      </w:r>
      <w:r>
        <w:rPr>
          <w:spacing w:val="-3"/>
        </w:rPr>
        <w:t> </w:t>
      </w:r>
      <w:r>
        <w:rPr/>
        <w:t>full-time</w:t>
      </w:r>
      <w:r>
        <w:rPr>
          <w:spacing w:val="-3"/>
        </w:rPr>
        <w:t> </w:t>
      </w:r>
      <w:r>
        <w:rPr/>
        <w:t>faculty</w:t>
      </w:r>
      <w:r>
        <w:rPr>
          <w:spacing w:val="-6"/>
        </w:rPr>
        <w:t> </w:t>
      </w:r>
      <w:r>
        <w:rPr/>
        <w:t>holds</w:t>
      </w:r>
      <w:r>
        <w:rPr>
          <w:spacing w:val="-2"/>
        </w:rPr>
        <w:t> </w:t>
      </w:r>
      <w:r>
        <w:rPr/>
        <w:t>terminal degrees</w:t>
      </w:r>
      <w:r>
        <w:rPr>
          <w:spacing w:val="-4"/>
        </w:rPr>
        <w:t> </w:t>
      </w:r>
      <w:r>
        <w:rPr/>
        <w:t>in</w:t>
      </w:r>
      <w:r>
        <w:rPr>
          <w:spacing w:val="-5"/>
        </w:rPr>
        <w:t> </w:t>
      </w:r>
      <w:r>
        <w:rPr/>
        <w:t>their</w:t>
      </w:r>
      <w:r>
        <w:rPr>
          <w:spacing w:val="-4"/>
        </w:rPr>
        <w:t> </w:t>
      </w:r>
      <w:r>
        <w:rPr/>
        <w:t>respective areas</w:t>
      </w:r>
      <w:r>
        <w:rPr>
          <w:spacing w:val="-4"/>
        </w:rPr>
        <w:t> </w:t>
      </w:r>
      <w:r>
        <w:rPr/>
        <w:t>of</w:t>
      </w:r>
      <w:r>
        <w:rPr>
          <w:spacing w:val="-3"/>
        </w:rPr>
        <w:t> </w:t>
      </w:r>
      <w:r>
        <w:rPr/>
        <w:t>specialty.</w:t>
      </w:r>
      <w:r>
        <w:rPr>
          <w:spacing w:val="40"/>
        </w:rPr>
        <w:t> </w:t>
      </w:r>
      <w:r>
        <w:rPr/>
        <w:t>The</w:t>
      </w:r>
      <w:r>
        <w:rPr>
          <w:spacing w:val="-5"/>
        </w:rPr>
        <w:t> </w:t>
      </w:r>
      <w:r>
        <w:rPr/>
        <w:t>undergraduate</w:t>
      </w:r>
      <w:r>
        <w:rPr>
          <w:spacing w:val="-3"/>
        </w:rPr>
        <w:t> </w:t>
      </w:r>
      <w:r>
        <w:rPr/>
        <w:t>student/faculty</w:t>
      </w:r>
      <w:r>
        <w:rPr>
          <w:spacing w:val="-6"/>
        </w:rPr>
        <w:t> </w:t>
      </w:r>
      <w:r>
        <w:rPr/>
        <w:t>ratio</w:t>
      </w:r>
      <w:r>
        <w:rPr>
          <w:spacing w:val="-3"/>
        </w:rPr>
        <w:t> </w:t>
      </w:r>
      <w:r>
        <w:rPr/>
        <w:t>is approximately 16 to 1.</w:t>
      </w:r>
    </w:p>
    <w:p>
      <w:pPr>
        <w:pStyle w:val="BodyText"/>
        <w:spacing w:before="10"/>
      </w:pPr>
    </w:p>
    <w:p>
      <w:pPr>
        <w:pStyle w:val="BodyText"/>
        <w:spacing w:before="1"/>
        <w:ind w:left="1723" w:right="580"/>
      </w:pPr>
      <w:r>
        <w:rPr/>
        <w:t>Our cadre of faculty within the Department of Architecture consist of a unique blend of architecture academicians / scholars and seasoned practitioners. Included in our full-time faculty of seven, we have two with academic doctoral degrees and one alum of the program. Under the leadership of the Chair, Robert Easter, a 32 year veteran practitioner and</w:t>
      </w:r>
      <w:r>
        <w:rPr>
          <w:spacing w:val="-3"/>
        </w:rPr>
        <w:t> </w:t>
      </w:r>
      <w:r>
        <w:rPr/>
        <w:t>graduate</w:t>
      </w:r>
      <w:r>
        <w:rPr>
          <w:spacing w:val="-3"/>
        </w:rPr>
        <w:t> </w:t>
      </w:r>
      <w:r>
        <w:rPr/>
        <w:t>of</w:t>
      </w:r>
      <w:r>
        <w:rPr>
          <w:spacing w:val="-3"/>
        </w:rPr>
        <w:t> </w:t>
      </w:r>
      <w:r>
        <w:rPr/>
        <w:t>the</w:t>
      </w:r>
      <w:r>
        <w:rPr>
          <w:spacing w:val="-5"/>
        </w:rPr>
        <w:t> </w:t>
      </w:r>
      <w:r>
        <w:rPr/>
        <w:t>HUDA,</w:t>
      </w:r>
      <w:r>
        <w:rPr>
          <w:spacing w:val="-3"/>
        </w:rPr>
        <w:t> </w:t>
      </w:r>
      <w:r>
        <w:rPr/>
        <w:t>the</w:t>
      </w:r>
      <w:r>
        <w:rPr>
          <w:spacing w:val="-5"/>
        </w:rPr>
        <w:t> </w:t>
      </w:r>
      <w:r>
        <w:rPr/>
        <w:t>current</w:t>
      </w:r>
      <w:r>
        <w:rPr>
          <w:spacing w:val="-5"/>
        </w:rPr>
        <w:t> </w:t>
      </w:r>
      <w:r>
        <w:rPr/>
        <w:t>faculty</w:t>
      </w:r>
      <w:r>
        <w:rPr>
          <w:spacing w:val="-8"/>
        </w:rPr>
        <w:t> </w:t>
      </w:r>
      <w:r>
        <w:rPr/>
        <w:t>boasts</w:t>
      </w:r>
      <w:r>
        <w:rPr>
          <w:spacing w:val="-4"/>
        </w:rPr>
        <w:t> </w:t>
      </w:r>
      <w:r>
        <w:rPr/>
        <w:t>seven</w:t>
      </w:r>
      <w:r>
        <w:rPr>
          <w:spacing w:val="-5"/>
        </w:rPr>
        <w:t> </w:t>
      </w:r>
      <w:r>
        <w:rPr/>
        <w:t>licensed</w:t>
      </w:r>
      <w:r>
        <w:rPr>
          <w:spacing w:val="-5"/>
        </w:rPr>
        <w:t> </w:t>
      </w:r>
      <w:r>
        <w:rPr/>
        <w:t>design</w:t>
      </w:r>
      <w:r>
        <w:rPr>
          <w:spacing w:val="-3"/>
        </w:rPr>
        <w:t> </w:t>
      </w:r>
      <w:r>
        <w:rPr/>
        <w:t>professionals, with a blend of strong academic and rigorous professional experiences. We attempt to assign two faculty to each studio, with that blend in mind. Support courses are assigned based on the interest of the faculty and the needs of the students.</w:t>
      </w:r>
    </w:p>
    <w:p>
      <w:pPr>
        <w:pStyle w:val="BodyText"/>
        <w:spacing w:before="8"/>
      </w:pPr>
    </w:p>
    <w:p>
      <w:pPr>
        <w:pStyle w:val="BodyText"/>
        <w:spacing w:before="1"/>
        <w:ind w:left="1723" w:right="499"/>
      </w:pPr>
      <w:r>
        <w:rPr/>
        <w:t>We</w:t>
      </w:r>
      <w:r>
        <w:rPr>
          <w:spacing w:val="-7"/>
        </w:rPr>
        <w:t> </w:t>
      </w:r>
      <w:r>
        <w:rPr/>
        <w:t>have</w:t>
      </w:r>
      <w:r>
        <w:rPr>
          <w:spacing w:val="-4"/>
        </w:rPr>
        <w:t> </w:t>
      </w:r>
      <w:r>
        <w:rPr/>
        <w:t>a</w:t>
      </w:r>
      <w:r>
        <w:rPr>
          <w:spacing w:val="-2"/>
        </w:rPr>
        <w:t> </w:t>
      </w:r>
      <w:r>
        <w:rPr/>
        <w:t>strong</w:t>
      </w:r>
      <w:r>
        <w:rPr>
          <w:spacing w:val="-2"/>
        </w:rPr>
        <w:t> </w:t>
      </w:r>
      <w:r>
        <w:rPr/>
        <w:t>blend</w:t>
      </w:r>
      <w:r>
        <w:rPr>
          <w:spacing w:val="-2"/>
        </w:rPr>
        <w:t> </w:t>
      </w:r>
      <w:r>
        <w:rPr/>
        <w:t>of</w:t>
      </w:r>
      <w:r>
        <w:rPr>
          <w:spacing w:val="-2"/>
        </w:rPr>
        <w:t> </w:t>
      </w:r>
      <w:r>
        <w:rPr/>
        <w:t>academicians</w:t>
      </w:r>
      <w:r>
        <w:rPr>
          <w:spacing w:val="-3"/>
        </w:rPr>
        <w:t> </w:t>
      </w:r>
      <w:r>
        <w:rPr/>
        <w:t>and</w:t>
      </w:r>
      <w:r>
        <w:rPr>
          <w:spacing w:val="-4"/>
        </w:rPr>
        <w:t> </w:t>
      </w:r>
      <w:r>
        <w:rPr/>
        <w:t>practitioners.</w:t>
      </w:r>
      <w:r>
        <w:rPr>
          <w:spacing w:val="-4"/>
        </w:rPr>
        <w:t> </w:t>
      </w:r>
      <w:r>
        <w:rPr/>
        <w:t>Drs.</w:t>
      </w:r>
      <w:r>
        <w:rPr>
          <w:spacing w:val="-4"/>
        </w:rPr>
        <w:t> </w:t>
      </w:r>
      <w:r>
        <w:rPr/>
        <w:t>Sanchez</w:t>
      </w:r>
      <w:r>
        <w:rPr>
          <w:spacing w:val="-5"/>
        </w:rPr>
        <w:t> </w:t>
      </w:r>
      <w:r>
        <w:rPr/>
        <w:t>and</w:t>
      </w:r>
      <w:r>
        <w:rPr>
          <w:spacing w:val="-4"/>
        </w:rPr>
        <w:t> </w:t>
      </w:r>
      <w:r>
        <w:rPr/>
        <w:t>Henderson, along with Prof. Kloster each have over 25 years teaching experience (all three are also registered architects) and are highly regarded in the architecture academic community.</w:t>
      </w:r>
    </w:p>
    <w:p>
      <w:pPr>
        <w:pStyle w:val="BodyText"/>
        <w:spacing w:before="1"/>
        <w:ind w:left="1723" w:right="613"/>
      </w:pPr>
      <w:r>
        <w:rPr/>
        <w:t>Professors</w:t>
      </w:r>
      <w:r>
        <w:rPr>
          <w:spacing w:val="-4"/>
        </w:rPr>
        <w:t> </w:t>
      </w:r>
      <w:r>
        <w:rPr/>
        <w:t>Andrews,</w:t>
      </w:r>
      <w:r>
        <w:rPr>
          <w:spacing w:val="-3"/>
        </w:rPr>
        <w:t> </w:t>
      </w:r>
      <w:r>
        <w:rPr/>
        <w:t>Easter,</w:t>
      </w:r>
      <w:r>
        <w:rPr>
          <w:spacing w:val="-5"/>
        </w:rPr>
        <w:t> </w:t>
      </w:r>
      <w:r>
        <w:rPr/>
        <w:t>Peronnet</w:t>
      </w:r>
      <w:r>
        <w:rPr>
          <w:spacing w:val="-3"/>
        </w:rPr>
        <w:t> </w:t>
      </w:r>
      <w:r>
        <w:rPr/>
        <w:t>and</w:t>
      </w:r>
      <w:r>
        <w:rPr>
          <w:spacing w:val="-5"/>
        </w:rPr>
        <w:t> </w:t>
      </w:r>
      <w:r>
        <w:rPr/>
        <w:t>D.</w:t>
      </w:r>
      <w:r>
        <w:rPr>
          <w:spacing w:val="-5"/>
        </w:rPr>
        <w:t> </w:t>
      </w:r>
      <w:r>
        <w:rPr/>
        <w:t>Henderson</w:t>
      </w:r>
      <w:r>
        <w:rPr>
          <w:spacing w:val="-5"/>
        </w:rPr>
        <w:t> </w:t>
      </w:r>
      <w:r>
        <w:rPr/>
        <w:t>are</w:t>
      </w:r>
      <w:r>
        <w:rPr>
          <w:spacing w:val="-3"/>
        </w:rPr>
        <w:t> </w:t>
      </w:r>
      <w:r>
        <w:rPr/>
        <w:t>all</w:t>
      </w:r>
      <w:r>
        <w:rPr>
          <w:spacing w:val="-6"/>
        </w:rPr>
        <w:t> </w:t>
      </w:r>
      <w:r>
        <w:rPr/>
        <w:t>seasoned,</w:t>
      </w:r>
      <w:r>
        <w:rPr>
          <w:spacing w:val="-5"/>
        </w:rPr>
        <w:t> </w:t>
      </w:r>
      <w:r>
        <w:rPr/>
        <w:t>veteran practitioners with teaching experience. Their resumes are included in Section 4.</w:t>
      </w:r>
    </w:p>
    <w:p>
      <w:pPr>
        <w:pStyle w:val="BodyText"/>
        <w:spacing w:before="8"/>
      </w:pPr>
    </w:p>
    <w:p>
      <w:pPr>
        <w:pStyle w:val="BodyText"/>
        <w:spacing w:before="1"/>
        <w:ind w:left="1723" w:right="499"/>
      </w:pPr>
      <w:r>
        <w:rPr/>
        <w:t>In Spring, 2009, Mason Andrews joined our faculty, having practiced in a prestigious boutique</w:t>
      </w:r>
      <w:r>
        <w:rPr>
          <w:spacing w:val="-4"/>
        </w:rPr>
        <w:t> </w:t>
      </w:r>
      <w:r>
        <w:rPr/>
        <w:t>interior</w:t>
      </w:r>
      <w:r>
        <w:rPr>
          <w:spacing w:val="-4"/>
        </w:rPr>
        <w:t> </w:t>
      </w:r>
      <w:r>
        <w:rPr/>
        <w:t>architecture</w:t>
      </w:r>
      <w:r>
        <w:rPr>
          <w:spacing w:val="-4"/>
        </w:rPr>
        <w:t> </w:t>
      </w:r>
      <w:r>
        <w:rPr/>
        <w:t>firm in</w:t>
      </w:r>
      <w:r>
        <w:rPr>
          <w:spacing w:val="-4"/>
        </w:rPr>
        <w:t> </w:t>
      </w:r>
      <w:r>
        <w:rPr/>
        <w:t>New</w:t>
      </w:r>
      <w:r>
        <w:rPr>
          <w:spacing w:val="-4"/>
        </w:rPr>
        <w:t> </w:t>
      </w:r>
      <w:r>
        <w:rPr/>
        <w:t>York</w:t>
      </w:r>
      <w:r>
        <w:rPr>
          <w:spacing w:val="-1"/>
        </w:rPr>
        <w:t> </w:t>
      </w:r>
      <w:r>
        <w:rPr/>
        <w:t>before</w:t>
      </w:r>
      <w:r>
        <w:rPr>
          <w:spacing w:val="-4"/>
        </w:rPr>
        <w:t> </w:t>
      </w:r>
      <w:r>
        <w:rPr/>
        <w:t>returning</w:t>
      </w:r>
      <w:r>
        <w:rPr>
          <w:spacing w:val="-4"/>
        </w:rPr>
        <w:t> </w:t>
      </w:r>
      <w:r>
        <w:rPr/>
        <w:t>to</w:t>
      </w:r>
      <w:r>
        <w:rPr>
          <w:spacing w:val="-4"/>
        </w:rPr>
        <w:t> </w:t>
      </w:r>
      <w:r>
        <w:rPr/>
        <w:t>the</w:t>
      </w:r>
      <w:r>
        <w:rPr>
          <w:spacing w:val="-4"/>
        </w:rPr>
        <w:t> </w:t>
      </w:r>
      <w:r>
        <w:rPr/>
        <w:t>Hampton</w:t>
      </w:r>
      <w:r>
        <w:rPr>
          <w:spacing w:val="-4"/>
        </w:rPr>
        <w:t> </w:t>
      </w:r>
      <w:r>
        <w:rPr/>
        <w:t>Roads</w:t>
      </w:r>
      <w:r>
        <w:rPr>
          <w:spacing w:val="-4"/>
        </w:rPr>
        <w:t> </w:t>
      </w:r>
      <w:r>
        <w:rPr/>
        <w:t>area to practice. She brought strong credentials in scholarship as an author and community activist. She also brought significant relationships, introducing, along with Dr. Chance, our program to</w:t>
      </w:r>
      <w:r>
        <w:rPr>
          <w:spacing w:val="-2"/>
        </w:rPr>
        <w:t> </w:t>
      </w:r>
      <w:r>
        <w:rPr/>
        <w:t>Ray</w:t>
      </w:r>
      <w:r>
        <w:rPr>
          <w:spacing w:val="-5"/>
        </w:rPr>
        <w:t> </w:t>
      </w:r>
      <w:r>
        <w:rPr/>
        <w:t>Gindroz.</w:t>
      </w:r>
      <w:r>
        <w:rPr>
          <w:spacing w:val="-1"/>
        </w:rPr>
        <w:t> </w:t>
      </w:r>
      <w:r>
        <w:rPr/>
        <w:t>Her</w:t>
      </w:r>
      <w:r>
        <w:rPr>
          <w:spacing w:val="-2"/>
        </w:rPr>
        <w:t> </w:t>
      </w:r>
      <w:r>
        <w:rPr/>
        <w:t>career</w:t>
      </w:r>
      <w:r>
        <w:rPr>
          <w:spacing w:val="-2"/>
        </w:rPr>
        <w:t> </w:t>
      </w:r>
      <w:r>
        <w:rPr/>
        <w:t>includes</w:t>
      </w:r>
      <w:r>
        <w:rPr>
          <w:spacing w:val="-2"/>
        </w:rPr>
        <w:t> </w:t>
      </w:r>
      <w:r>
        <w:rPr/>
        <w:t>leadership</w:t>
      </w:r>
      <w:r>
        <w:rPr>
          <w:spacing w:val="-2"/>
        </w:rPr>
        <w:t> </w:t>
      </w:r>
      <w:r>
        <w:rPr/>
        <w:t>on</w:t>
      </w:r>
      <w:r>
        <w:rPr>
          <w:spacing w:val="-3"/>
        </w:rPr>
        <w:t> </w:t>
      </w:r>
      <w:r>
        <w:rPr/>
        <w:t>a</w:t>
      </w:r>
      <w:r>
        <w:rPr>
          <w:spacing w:val="-1"/>
        </w:rPr>
        <w:t> </w:t>
      </w:r>
      <w:r>
        <w:rPr/>
        <w:t>variety</w:t>
      </w:r>
      <w:r>
        <w:rPr>
          <w:spacing w:val="-5"/>
        </w:rPr>
        <w:t> </w:t>
      </w:r>
      <w:r>
        <w:rPr/>
        <w:t>of</w:t>
      </w:r>
      <w:r>
        <w:rPr>
          <w:spacing w:val="-1"/>
        </w:rPr>
        <w:t> </w:t>
      </w:r>
      <w:r>
        <w:rPr/>
        <w:t>boards</w:t>
      </w:r>
      <w:r>
        <w:rPr>
          <w:spacing w:val="-2"/>
        </w:rPr>
        <w:t> </w:t>
      </w:r>
      <w:r>
        <w:rPr/>
        <w:t>and</w:t>
      </w:r>
      <w:r>
        <w:rPr>
          <w:spacing w:val="-2"/>
        </w:rPr>
        <w:t> </w:t>
      </w:r>
      <w:r>
        <w:rPr/>
        <w:t>service to the community.</w:t>
      </w:r>
    </w:p>
    <w:p>
      <w:pPr>
        <w:pStyle w:val="BodyText"/>
        <w:spacing w:before="10"/>
      </w:pPr>
    </w:p>
    <w:p>
      <w:pPr>
        <w:pStyle w:val="BodyText"/>
        <w:ind w:left="1723" w:right="705"/>
      </w:pPr>
      <w:r>
        <w:rPr/>
        <w:t>In Fall, 2010, we added Wesley Henderson and Marci Turner to our staff to replace departing</w:t>
      </w:r>
      <w:r>
        <w:rPr>
          <w:spacing w:val="-4"/>
        </w:rPr>
        <w:t> </w:t>
      </w:r>
      <w:r>
        <w:rPr/>
        <w:t>faculty</w:t>
      </w:r>
      <w:r>
        <w:rPr>
          <w:spacing w:val="-6"/>
        </w:rPr>
        <w:t> </w:t>
      </w:r>
      <w:r>
        <w:rPr/>
        <w:t>members</w:t>
      </w:r>
      <w:r>
        <w:rPr>
          <w:spacing w:val="-5"/>
        </w:rPr>
        <w:t> </w:t>
      </w:r>
      <w:r>
        <w:rPr/>
        <w:t>(one</w:t>
      </w:r>
      <w:r>
        <w:rPr>
          <w:spacing w:val="-4"/>
        </w:rPr>
        <w:t> </w:t>
      </w:r>
      <w:r>
        <w:rPr/>
        <w:t>relocated</w:t>
      </w:r>
      <w:r>
        <w:rPr>
          <w:spacing w:val="-4"/>
        </w:rPr>
        <w:t> </w:t>
      </w:r>
      <w:r>
        <w:rPr/>
        <w:t>to</w:t>
      </w:r>
      <w:r>
        <w:rPr>
          <w:spacing w:val="-2"/>
        </w:rPr>
        <w:t> </w:t>
      </w:r>
      <w:r>
        <w:rPr/>
        <w:t>accompany</w:t>
      </w:r>
      <w:r>
        <w:rPr>
          <w:spacing w:val="-5"/>
        </w:rPr>
        <w:t> </w:t>
      </w:r>
      <w:r>
        <w:rPr/>
        <w:t>a</w:t>
      </w:r>
      <w:r>
        <w:rPr>
          <w:spacing w:val="-4"/>
        </w:rPr>
        <w:t> </w:t>
      </w:r>
      <w:r>
        <w:rPr/>
        <w:t>military</w:t>
      </w:r>
      <w:r>
        <w:rPr>
          <w:spacing w:val="-6"/>
        </w:rPr>
        <w:t> </w:t>
      </w:r>
      <w:r>
        <w:rPr/>
        <w:t>spouse</w:t>
      </w:r>
      <w:r>
        <w:rPr>
          <w:spacing w:val="-2"/>
        </w:rPr>
        <w:t> </w:t>
      </w:r>
      <w:r>
        <w:rPr/>
        <w:t>and</w:t>
      </w:r>
      <w:r>
        <w:rPr>
          <w:spacing w:val="-4"/>
        </w:rPr>
        <w:t> </w:t>
      </w:r>
      <w:r>
        <w:rPr/>
        <w:t>the</w:t>
      </w:r>
      <w:r>
        <w:rPr>
          <w:spacing w:val="-4"/>
        </w:rPr>
        <w:t> </w:t>
      </w:r>
      <w:r>
        <w:rPr/>
        <w:t>other was</w:t>
      </w:r>
      <w:r>
        <w:rPr>
          <w:spacing w:val="-3"/>
        </w:rPr>
        <w:t> </w:t>
      </w:r>
      <w:r>
        <w:rPr/>
        <w:t>a</w:t>
      </w:r>
      <w:r>
        <w:rPr>
          <w:spacing w:val="-4"/>
        </w:rPr>
        <w:t> </w:t>
      </w:r>
      <w:r>
        <w:rPr/>
        <w:t>part</w:t>
      </w:r>
      <w:r>
        <w:rPr>
          <w:spacing w:val="-4"/>
        </w:rPr>
        <w:t> </w:t>
      </w:r>
      <w:r>
        <w:rPr/>
        <w:t>time</w:t>
      </w:r>
      <w:r>
        <w:rPr>
          <w:spacing w:val="-4"/>
        </w:rPr>
        <w:t> </w:t>
      </w:r>
      <w:r>
        <w:rPr/>
        <w:t>faculty</w:t>
      </w:r>
      <w:r>
        <w:rPr>
          <w:spacing w:val="-7"/>
        </w:rPr>
        <w:t> </w:t>
      </w:r>
      <w:r>
        <w:rPr/>
        <w:t>member</w:t>
      </w:r>
      <w:r>
        <w:rPr>
          <w:spacing w:val="-3"/>
        </w:rPr>
        <w:t> </w:t>
      </w:r>
      <w:r>
        <w:rPr/>
        <w:t>who</w:t>
      </w:r>
      <w:r>
        <w:rPr>
          <w:spacing w:val="-4"/>
        </w:rPr>
        <w:t> </w:t>
      </w:r>
      <w:r>
        <w:rPr/>
        <w:t>rejoined</w:t>
      </w:r>
      <w:r>
        <w:rPr>
          <w:spacing w:val="-4"/>
        </w:rPr>
        <w:t> </w:t>
      </w:r>
      <w:r>
        <w:rPr/>
        <w:t>private</w:t>
      </w:r>
      <w:r>
        <w:rPr>
          <w:spacing w:val="-2"/>
        </w:rPr>
        <w:t> </w:t>
      </w:r>
      <w:r>
        <w:rPr/>
        <w:t>practice).</w:t>
      </w:r>
      <w:r>
        <w:rPr>
          <w:spacing w:val="-4"/>
        </w:rPr>
        <w:t> </w:t>
      </w:r>
      <w:r>
        <w:rPr/>
        <w:t>Dr.</w:t>
      </w:r>
      <w:r>
        <w:rPr>
          <w:spacing w:val="-4"/>
        </w:rPr>
        <w:t> </w:t>
      </w:r>
      <w:r>
        <w:rPr/>
        <w:t>Henderson</w:t>
      </w:r>
      <w:r>
        <w:rPr>
          <w:spacing w:val="-4"/>
        </w:rPr>
        <w:t> </w:t>
      </w:r>
      <w:r>
        <w:rPr/>
        <w:t>is a</w:t>
      </w:r>
      <w:r>
        <w:rPr>
          <w:spacing w:val="-4"/>
        </w:rPr>
        <w:t> </w:t>
      </w:r>
      <w:r>
        <w:rPr/>
        <w:t>noted architectural historian who has authored many articles and books on African American architects.</w:t>
      </w:r>
      <w:r>
        <w:rPr>
          <w:spacing w:val="-4"/>
        </w:rPr>
        <w:t> </w:t>
      </w:r>
      <w:r>
        <w:rPr/>
        <w:t>Ms.</w:t>
      </w:r>
      <w:r>
        <w:rPr>
          <w:spacing w:val="-4"/>
        </w:rPr>
        <w:t> </w:t>
      </w:r>
      <w:r>
        <w:rPr/>
        <w:t>Turner</w:t>
      </w:r>
      <w:r>
        <w:rPr>
          <w:spacing w:val="-4"/>
        </w:rPr>
        <w:t> </w:t>
      </w:r>
      <w:r>
        <w:rPr/>
        <w:t>is</w:t>
      </w:r>
      <w:r>
        <w:rPr>
          <w:spacing w:val="-1"/>
        </w:rPr>
        <w:t> </w:t>
      </w:r>
      <w:r>
        <w:rPr/>
        <w:t>a</w:t>
      </w:r>
      <w:r>
        <w:rPr>
          <w:spacing w:val="-3"/>
        </w:rPr>
        <w:t> </w:t>
      </w:r>
      <w:r>
        <w:rPr/>
        <w:t>graduate</w:t>
      </w:r>
      <w:r>
        <w:rPr>
          <w:spacing w:val="-3"/>
        </w:rPr>
        <w:t> </w:t>
      </w:r>
      <w:r>
        <w:rPr/>
        <w:t>of</w:t>
      </w:r>
      <w:r>
        <w:rPr>
          <w:spacing w:val="-3"/>
        </w:rPr>
        <w:t> </w:t>
      </w:r>
      <w:r>
        <w:rPr/>
        <w:t>our</w:t>
      </w:r>
      <w:r>
        <w:rPr>
          <w:spacing w:val="-4"/>
        </w:rPr>
        <w:t> </w:t>
      </w:r>
      <w:r>
        <w:rPr/>
        <w:t>program who</w:t>
      </w:r>
      <w:r>
        <w:rPr>
          <w:spacing w:val="-4"/>
        </w:rPr>
        <w:t> </w:t>
      </w:r>
      <w:r>
        <w:rPr/>
        <w:t>has</w:t>
      </w:r>
      <w:r>
        <w:rPr>
          <w:spacing w:val="-4"/>
        </w:rPr>
        <w:t> </w:t>
      </w:r>
      <w:r>
        <w:rPr/>
        <w:t>developed</w:t>
      </w:r>
      <w:r>
        <w:rPr>
          <w:spacing w:val="-3"/>
        </w:rPr>
        <w:t> </w:t>
      </w:r>
      <w:r>
        <w:rPr/>
        <w:t>a</w:t>
      </w:r>
      <w:r>
        <w:rPr>
          <w:spacing w:val="-4"/>
        </w:rPr>
        <w:t> </w:t>
      </w:r>
      <w:r>
        <w:rPr/>
        <w:t>rich</w:t>
      </w:r>
      <w:r>
        <w:rPr>
          <w:spacing w:val="-4"/>
        </w:rPr>
        <w:t> </w:t>
      </w:r>
      <w:r>
        <w:rPr/>
        <w:t>resume</w:t>
      </w:r>
      <w:r>
        <w:rPr>
          <w:spacing w:val="-4"/>
        </w:rPr>
        <w:t> </w:t>
      </w:r>
      <w:r>
        <w:rPr/>
        <w:t>of work and has significant experience introducing digital media to small firms in the area.</w:t>
      </w:r>
    </w:p>
    <w:p>
      <w:pPr>
        <w:pStyle w:val="BodyText"/>
        <w:spacing w:before="10"/>
      </w:pPr>
    </w:p>
    <w:p>
      <w:pPr>
        <w:pStyle w:val="BodyText"/>
        <w:ind w:left="1723" w:right="580"/>
      </w:pPr>
      <w:r>
        <w:rPr/>
        <w:t>When</w:t>
      </w:r>
      <w:r>
        <w:rPr>
          <w:spacing w:val="-4"/>
        </w:rPr>
        <w:t> </w:t>
      </w:r>
      <w:r>
        <w:rPr/>
        <w:t>we</w:t>
      </w:r>
      <w:r>
        <w:rPr>
          <w:spacing w:val="-2"/>
        </w:rPr>
        <w:t> </w:t>
      </w:r>
      <w:r>
        <w:rPr/>
        <w:t>lost</w:t>
      </w:r>
      <w:r>
        <w:rPr>
          <w:spacing w:val="-2"/>
        </w:rPr>
        <w:t> </w:t>
      </w:r>
      <w:r>
        <w:rPr/>
        <w:t>Daisy</w:t>
      </w:r>
      <w:r>
        <w:rPr>
          <w:spacing w:val="-10"/>
        </w:rPr>
        <w:t> </w:t>
      </w:r>
      <w:r>
        <w:rPr/>
        <w:t>Williams,</w:t>
      </w:r>
      <w:r>
        <w:rPr>
          <w:spacing w:val="-4"/>
        </w:rPr>
        <w:t> </w:t>
      </w:r>
      <w:r>
        <w:rPr/>
        <w:t>a</w:t>
      </w:r>
      <w:r>
        <w:rPr>
          <w:spacing w:val="-2"/>
        </w:rPr>
        <w:t> </w:t>
      </w:r>
      <w:r>
        <w:rPr/>
        <w:t>young,</w:t>
      </w:r>
      <w:r>
        <w:rPr>
          <w:spacing w:val="-4"/>
        </w:rPr>
        <w:t> </w:t>
      </w:r>
      <w:r>
        <w:rPr/>
        <w:t>inspiring</w:t>
      </w:r>
      <w:r>
        <w:rPr>
          <w:spacing w:val="-2"/>
        </w:rPr>
        <w:t> </w:t>
      </w:r>
      <w:r>
        <w:rPr/>
        <w:t>and</w:t>
      </w:r>
      <w:r>
        <w:rPr>
          <w:spacing w:val="-2"/>
        </w:rPr>
        <w:t> </w:t>
      </w:r>
      <w:r>
        <w:rPr/>
        <w:t>extremely</w:t>
      </w:r>
      <w:r>
        <w:rPr>
          <w:spacing w:val="-7"/>
        </w:rPr>
        <w:t> </w:t>
      </w:r>
      <w:r>
        <w:rPr/>
        <w:t>talented</w:t>
      </w:r>
      <w:r>
        <w:rPr>
          <w:spacing w:val="-4"/>
        </w:rPr>
        <w:t> </w:t>
      </w:r>
      <w:r>
        <w:rPr/>
        <w:t>professor</w:t>
      </w:r>
      <w:r>
        <w:rPr>
          <w:spacing w:val="-3"/>
        </w:rPr>
        <w:t> </w:t>
      </w:r>
      <w:r>
        <w:rPr/>
        <w:t>who</w:t>
      </w:r>
      <w:r>
        <w:rPr>
          <w:spacing w:val="-4"/>
        </w:rPr>
        <w:t> </w:t>
      </w:r>
      <w:r>
        <w:rPr/>
        <w:t>had been with the program for five</w:t>
      </w:r>
      <w:r>
        <w:rPr>
          <w:spacing w:val="40"/>
        </w:rPr>
        <w:t> </w:t>
      </w:r>
      <w:r>
        <w:rPr/>
        <w:t>years, to a larger program (the University of Oregon), and Professor Chance took a sabbatical to continue her research, we also added Runo Okiomah</w:t>
      </w:r>
      <w:r>
        <w:rPr>
          <w:spacing w:val="-1"/>
        </w:rPr>
        <w:t> </w:t>
      </w:r>
      <w:r>
        <w:rPr/>
        <w:t>in</w:t>
      </w:r>
      <w:r>
        <w:rPr>
          <w:spacing w:val="-1"/>
        </w:rPr>
        <w:t> </w:t>
      </w:r>
      <w:r>
        <w:rPr/>
        <w:t>2012-13</w:t>
      </w:r>
      <w:r>
        <w:rPr>
          <w:spacing w:val="-1"/>
        </w:rPr>
        <w:t> </w:t>
      </w:r>
      <w:r>
        <w:rPr/>
        <w:t>to our staff for one year.</w:t>
      </w:r>
      <w:r>
        <w:rPr>
          <w:spacing w:val="-1"/>
        </w:rPr>
        <w:t> </w:t>
      </w:r>
      <w:r>
        <w:rPr/>
        <w:t>Prof.</w:t>
      </w:r>
      <w:r>
        <w:rPr>
          <w:spacing w:val="-1"/>
        </w:rPr>
        <w:t> </w:t>
      </w:r>
      <w:r>
        <w:rPr/>
        <w:t>Okiomah</w:t>
      </w:r>
      <w:r>
        <w:rPr>
          <w:spacing w:val="-1"/>
        </w:rPr>
        <w:t> </w:t>
      </w:r>
      <w:r>
        <w:rPr/>
        <w:t>was a</w:t>
      </w:r>
      <w:r>
        <w:rPr>
          <w:spacing w:val="-1"/>
        </w:rPr>
        <w:t> </w:t>
      </w:r>
      <w:r>
        <w:rPr/>
        <w:t>recent graduate</w:t>
      </w:r>
      <w:r>
        <w:rPr>
          <w:spacing w:val="-1"/>
        </w:rPr>
        <w:t> </w:t>
      </w:r>
      <w:r>
        <w:rPr/>
        <w:t>of MIT with practice experience and a lot of energy.</w:t>
      </w:r>
    </w:p>
    <w:p>
      <w:pPr>
        <w:pStyle w:val="BodyText"/>
        <w:spacing w:before="1"/>
        <w:rPr>
          <w:sz w:val="21"/>
        </w:rPr>
      </w:pPr>
    </w:p>
    <w:p>
      <w:pPr>
        <w:pStyle w:val="BodyText"/>
        <w:ind w:left="1723" w:right="499"/>
      </w:pPr>
      <w:r>
        <w:rPr/>
        <w:t>In 2008-9, we had the additional resources of a local structural engineer who taught the structures courses. When his work responsibilities required him to discontinue that commitment, one of our graduates, Sherman Brown (Class of 1974) agreed to become a fixed adjunct with a focus on the structures curriculum. Another veteran practitioner, Prof. Brown</w:t>
      </w:r>
      <w:r>
        <w:rPr>
          <w:spacing w:val="-2"/>
        </w:rPr>
        <w:t> </w:t>
      </w:r>
      <w:r>
        <w:rPr/>
        <w:t>has</w:t>
      </w:r>
      <w:r>
        <w:rPr>
          <w:spacing w:val="-3"/>
        </w:rPr>
        <w:t> </w:t>
      </w:r>
      <w:r>
        <w:rPr/>
        <w:t>over</w:t>
      </w:r>
      <w:r>
        <w:rPr>
          <w:spacing w:val="-3"/>
        </w:rPr>
        <w:t> </w:t>
      </w:r>
      <w:r>
        <w:rPr/>
        <w:t>thirty</w:t>
      </w:r>
      <w:r>
        <w:rPr>
          <w:spacing w:val="-3"/>
        </w:rPr>
        <w:t> </w:t>
      </w:r>
      <w:r>
        <w:rPr/>
        <w:t>years practice</w:t>
      </w:r>
      <w:r>
        <w:rPr>
          <w:spacing w:val="-4"/>
        </w:rPr>
        <w:t> </w:t>
      </w:r>
      <w:r>
        <w:rPr/>
        <w:t>experience,</w:t>
      </w:r>
      <w:r>
        <w:rPr>
          <w:spacing w:val="-4"/>
        </w:rPr>
        <w:t> </w:t>
      </w:r>
      <w:r>
        <w:rPr/>
        <w:t>most</w:t>
      </w:r>
      <w:r>
        <w:rPr>
          <w:spacing w:val="-4"/>
        </w:rPr>
        <w:t> </w:t>
      </w:r>
      <w:r>
        <w:rPr/>
        <w:t>of</w:t>
      </w:r>
      <w:r>
        <w:rPr>
          <w:spacing w:val="-2"/>
        </w:rPr>
        <w:t> </w:t>
      </w:r>
      <w:r>
        <w:rPr/>
        <w:t>it</w:t>
      </w:r>
      <w:r>
        <w:rPr>
          <w:spacing w:val="-4"/>
        </w:rPr>
        <w:t> </w:t>
      </w:r>
      <w:r>
        <w:rPr/>
        <w:t>in</w:t>
      </w:r>
      <w:r>
        <w:rPr>
          <w:spacing w:val="-2"/>
        </w:rPr>
        <w:t> </w:t>
      </w:r>
      <w:r>
        <w:rPr/>
        <w:t>large</w:t>
      </w:r>
      <w:r>
        <w:rPr>
          <w:spacing w:val="-4"/>
        </w:rPr>
        <w:t> </w:t>
      </w:r>
      <w:r>
        <w:rPr/>
        <w:t>architectural</w:t>
      </w:r>
      <w:r>
        <w:rPr>
          <w:spacing w:val="-5"/>
        </w:rPr>
        <w:t> </w:t>
      </w:r>
      <w:r>
        <w:rPr/>
        <w:t>firms.</w:t>
      </w:r>
      <w:r>
        <w:rPr>
          <w:spacing w:val="-4"/>
        </w:rPr>
        <w:t> </w:t>
      </w:r>
      <w:r>
        <w:rPr/>
        <w:t>Since starting,</w:t>
      </w:r>
      <w:r>
        <w:rPr>
          <w:spacing w:val="-5"/>
        </w:rPr>
        <w:t> </w:t>
      </w:r>
      <w:r>
        <w:rPr/>
        <w:t>however,</w:t>
      </w:r>
      <w:r>
        <w:rPr>
          <w:spacing w:val="-7"/>
        </w:rPr>
        <w:t> </w:t>
      </w:r>
      <w:r>
        <w:rPr/>
        <w:t>he</w:t>
      </w:r>
      <w:r>
        <w:rPr>
          <w:spacing w:val="-7"/>
        </w:rPr>
        <w:t> </w:t>
      </w:r>
      <w:r>
        <w:rPr/>
        <w:t>has</w:t>
      </w:r>
      <w:r>
        <w:rPr>
          <w:spacing w:val="-3"/>
        </w:rPr>
        <w:t> </w:t>
      </w:r>
      <w:r>
        <w:rPr/>
        <w:t>become</w:t>
      </w:r>
      <w:r>
        <w:rPr>
          <w:spacing w:val="-7"/>
        </w:rPr>
        <w:t> </w:t>
      </w:r>
      <w:r>
        <w:rPr/>
        <w:t>a</w:t>
      </w:r>
      <w:r>
        <w:rPr>
          <w:spacing w:val="-6"/>
        </w:rPr>
        <w:t> </w:t>
      </w:r>
      <w:r>
        <w:rPr/>
        <w:t>part-time</w:t>
      </w:r>
      <w:r>
        <w:rPr>
          <w:spacing w:val="-7"/>
        </w:rPr>
        <w:t> </w:t>
      </w:r>
      <w:r>
        <w:rPr/>
        <w:t>faculty</w:t>
      </w:r>
      <w:r>
        <w:rPr>
          <w:spacing w:val="-9"/>
        </w:rPr>
        <w:t> </w:t>
      </w:r>
      <w:r>
        <w:rPr/>
        <w:t>asset,</w:t>
      </w:r>
      <w:r>
        <w:rPr>
          <w:spacing w:val="-7"/>
        </w:rPr>
        <w:t> </w:t>
      </w:r>
      <w:r>
        <w:rPr/>
        <w:t>teaching</w:t>
      </w:r>
      <w:r>
        <w:rPr>
          <w:spacing w:val="-5"/>
        </w:rPr>
        <w:t> </w:t>
      </w:r>
      <w:r>
        <w:rPr/>
        <w:t>the</w:t>
      </w:r>
      <w:r>
        <w:rPr>
          <w:spacing w:val="-7"/>
        </w:rPr>
        <w:t> </w:t>
      </w:r>
      <w:r>
        <w:rPr/>
        <w:t>structures</w:t>
      </w:r>
      <w:r>
        <w:rPr>
          <w:spacing w:val="-6"/>
        </w:rPr>
        <w:t> </w:t>
      </w:r>
      <w:r>
        <w:rPr>
          <w:spacing w:val="-2"/>
        </w:rPr>
        <w:t>courses</w:t>
      </w:r>
    </w:p>
    <w:p>
      <w:pPr>
        <w:spacing w:after="0"/>
        <w:sectPr>
          <w:pgSz w:w="12240" w:h="15840"/>
          <w:pgMar w:header="0" w:footer="974" w:top="1360" w:bottom="1160" w:left="940" w:right="960"/>
        </w:sectPr>
      </w:pPr>
    </w:p>
    <w:p>
      <w:pPr>
        <w:pStyle w:val="BodyText"/>
        <w:spacing w:before="77"/>
        <w:ind w:left="1723" w:right="705"/>
      </w:pPr>
      <w:r>
        <w:rPr/>
        <w:t>and</w:t>
      </w:r>
      <w:r>
        <w:rPr>
          <w:spacing w:val="-2"/>
        </w:rPr>
        <w:t> </w:t>
      </w:r>
      <w:r>
        <w:rPr/>
        <w:t>also</w:t>
      </w:r>
      <w:r>
        <w:rPr>
          <w:spacing w:val="-4"/>
        </w:rPr>
        <w:t> </w:t>
      </w:r>
      <w:r>
        <w:rPr/>
        <w:t>the</w:t>
      </w:r>
      <w:r>
        <w:rPr>
          <w:spacing w:val="-4"/>
        </w:rPr>
        <w:t> </w:t>
      </w:r>
      <w:r>
        <w:rPr/>
        <w:t>first,</w:t>
      </w:r>
      <w:r>
        <w:rPr>
          <w:spacing w:val="-4"/>
        </w:rPr>
        <w:t> </w:t>
      </w:r>
      <w:r>
        <w:rPr/>
        <w:t>second</w:t>
      </w:r>
      <w:r>
        <w:rPr>
          <w:spacing w:val="-4"/>
        </w:rPr>
        <w:t> </w:t>
      </w:r>
      <w:r>
        <w:rPr/>
        <w:t>and</w:t>
      </w:r>
      <w:r>
        <w:rPr>
          <w:spacing w:val="-4"/>
        </w:rPr>
        <w:t> </w:t>
      </w:r>
      <w:r>
        <w:rPr/>
        <w:t>fourth year</w:t>
      </w:r>
      <w:r>
        <w:rPr>
          <w:spacing w:val="-1"/>
        </w:rPr>
        <w:t> </w:t>
      </w:r>
      <w:r>
        <w:rPr/>
        <w:t>design</w:t>
      </w:r>
      <w:r>
        <w:rPr>
          <w:spacing w:val="-4"/>
        </w:rPr>
        <w:t> </w:t>
      </w:r>
      <w:r>
        <w:rPr/>
        <w:t>studio.</w:t>
      </w:r>
      <w:r>
        <w:rPr>
          <w:spacing w:val="40"/>
        </w:rPr>
        <w:t> </w:t>
      </w:r>
      <w:r>
        <w:rPr/>
        <w:t>His</w:t>
      </w:r>
      <w:r>
        <w:rPr>
          <w:spacing w:val="-3"/>
        </w:rPr>
        <w:t> </w:t>
      </w:r>
      <w:r>
        <w:rPr/>
        <w:t>contribution</w:t>
      </w:r>
      <w:r>
        <w:rPr>
          <w:spacing w:val="-2"/>
        </w:rPr>
        <w:t> </w:t>
      </w:r>
      <w:r>
        <w:rPr/>
        <w:t>to</w:t>
      </w:r>
      <w:r>
        <w:rPr>
          <w:spacing w:val="-4"/>
        </w:rPr>
        <w:t> </w:t>
      </w:r>
      <w:r>
        <w:rPr/>
        <w:t>the</w:t>
      </w:r>
      <w:r>
        <w:rPr>
          <w:spacing w:val="-4"/>
        </w:rPr>
        <w:t> </w:t>
      </w:r>
      <w:r>
        <w:rPr/>
        <w:t>program and the students has been priceless.</w:t>
      </w:r>
    </w:p>
    <w:p>
      <w:pPr>
        <w:pStyle w:val="BodyText"/>
        <w:spacing w:before="11"/>
      </w:pPr>
    </w:p>
    <w:p>
      <w:pPr>
        <w:pStyle w:val="BodyText"/>
        <w:ind w:left="1723" w:right="490"/>
      </w:pPr>
      <w:r>
        <w:rPr/>
        <w:t>At</w:t>
      </w:r>
      <w:r>
        <w:rPr>
          <w:spacing w:val="-3"/>
        </w:rPr>
        <w:t> </w:t>
      </w:r>
      <w:r>
        <w:rPr/>
        <w:t>the</w:t>
      </w:r>
      <w:r>
        <w:rPr>
          <w:spacing w:val="-3"/>
        </w:rPr>
        <w:t> </w:t>
      </w:r>
      <w:r>
        <w:rPr/>
        <w:t>close</w:t>
      </w:r>
      <w:r>
        <w:rPr>
          <w:spacing w:val="-1"/>
        </w:rPr>
        <w:t> </w:t>
      </w:r>
      <w:r>
        <w:rPr/>
        <w:t>of</w:t>
      </w:r>
      <w:r>
        <w:rPr>
          <w:spacing w:val="-1"/>
        </w:rPr>
        <w:t> </w:t>
      </w:r>
      <w:r>
        <w:rPr/>
        <w:t>the</w:t>
      </w:r>
      <w:r>
        <w:rPr>
          <w:spacing w:val="-1"/>
        </w:rPr>
        <w:t> </w:t>
      </w:r>
      <w:r>
        <w:rPr/>
        <w:t>2011-2012</w:t>
      </w:r>
      <w:r>
        <w:rPr>
          <w:spacing w:val="-3"/>
        </w:rPr>
        <w:t> </w:t>
      </w:r>
      <w:r>
        <w:rPr/>
        <w:t>academic year, Prof.</w:t>
      </w:r>
      <w:r>
        <w:rPr>
          <w:spacing w:val="-3"/>
        </w:rPr>
        <w:t> </w:t>
      </w:r>
      <w:r>
        <w:rPr/>
        <w:t>Marci</w:t>
      </w:r>
      <w:r>
        <w:rPr>
          <w:spacing w:val="-4"/>
        </w:rPr>
        <w:t> </w:t>
      </w:r>
      <w:r>
        <w:rPr/>
        <w:t>Turner</w:t>
      </w:r>
      <w:r>
        <w:rPr>
          <w:spacing w:val="-2"/>
        </w:rPr>
        <w:t> </w:t>
      </w:r>
      <w:r>
        <w:rPr/>
        <w:t>took a</w:t>
      </w:r>
      <w:r>
        <w:rPr>
          <w:spacing w:val="-1"/>
        </w:rPr>
        <w:t> </w:t>
      </w:r>
      <w:r>
        <w:rPr/>
        <w:t>year off</w:t>
      </w:r>
      <w:r>
        <w:rPr>
          <w:spacing w:val="-1"/>
        </w:rPr>
        <w:t> </w:t>
      </w:r>
      <w:r>
        <w:rPr/>
        <w:t>to</w:t>
      </w:r>
      <w:r>
        <w:rPr>
          <w:spacing w:val="-6"/>
        </w:rPr>
        <w:t> </w:t>
      </w:r>
      <w:r>
        <w:rPr/>
        <w:t>complete her IDP requirements while working in a local office. During the following academic year (2013-2014),</w:t>
      </w:r>
      <w:r>
        <w:rPr>
          <w:spacing w:val="-5"/>
        </w:rPr>
        <w:t> </w:t>
      </w:r>
      <w:r>
        <w:rPr/>
        <w:t>she</w:t>
      </w:r>
      <w:r>
        <w:rPr>
          <w:spacing w:val="-5"/>
        </w:rPr>
        <w:t> </w:t>
      </w:r>
      <w:r>
        <w:rPr/>
        <w:t>continued</w:t>
      </w:r>
      <w:r>
        <w:rPr>
          <w:spacing w:val="-3"/>
        </w:rPr>
        <w:t> </w:t>
      </w:r>
      <w:r>
        <w:rPr/>
        <w:t>teaching</w:t>
      </w:r>
      <w:r>
        <w:rPr>
          <w:spacing w:val="-3"/>
        </w:rPr>
        <w:t> </w:t>
      </w:r>
      <w:r>
        <w:rPr/>
        <w:t>the</w:t>
      </w:r>
      <w:r>
        <w:rPr>
          <w:spacing w:val="-5"/>
        </w:rPr>
        <w:t> </w:t>
      </w:r>
      <w:r>
        <w:rPr/>
        <w:t>representation</w:t>
      </w:r>
      <w:r>
        <w:rPr>
          <w:spacing w:val="-5"/>
        </w:rPr>
        <w:t> </w:t>
      </w:r>
      <w:r>
        <w:rPr/>
        <w:t>sequence</w:t>
      </w:r>
      <w:r>
        <w:rPr>
          <w:spacing w:val="-5"/>
        </w:rPr>
        <w:t> </w:t>
      </w:r>
      <w:r>
        <w:rPr/>
        <w:t>of</w:t>
      </w:r>
      <w:r>
        <w:rPr>
          <w:spacing w:val="-3"/>
        </w:rPr>
        <w:t> </w:t>
      </w:r>
      <w:r>
        <w:rPr/>
        <w:t>courses</w:t>
      </w:r>
      <w:r>
        <w:rPr>
          <w:spacing w:val="-4"/>
        </w:rPr>
        <w:t> </w:t>
      </w:r>
      <w:r>
        <w:rPr/>
        <w:t>as</w:t>
      </w:r>
      <w:r>
        <w:rPr>
          <w:spacing w:val="-2"/>
        </w:rPr>
        <w:t> </w:t>
      </w:r>
      <w:r>
        <w:rPr/>
        <w:t>an</w:t>
      </w:r>
      <w:r>
        <w:rPr>
          <w:spacing w:val="-5"/>
        </w:rPr>
        <w:t> </w:t>
      </w:r>
      <w:r>
        <w:rPr/>
        <w:t>adjunct. Her slot was replaced by Darryl Henderson, another veteran practitioner; a registered architect with a resume replete with design accomplishment and a teaching history in</w:t>
      </w:r>
      <w:r>
        <w:rPr/>
        <w:t> interior architecture.</w:t>
      </w:r>
    </w:p>
    <w:p>
      <w:pPr>
        <w:pStyle w:val="BodyText"/>
        <w:spacing w:before="10"/>
      </w:pPr>
    </w:p>
    <w:p>
      <w:pPr>
        <w:pStyle w:val="BodyText"/>
        <w:ind w:left="1723" w:right="499"/>
      </w:pPr>
      <w:r>
        <w:rPr/>
        <w:t>2012, Ray Gindroz was named research adjunct to the department, allowing him to write proposals</w:t>
      </w:r>
      <w:r>
        <w:rPr>
          <w:spacing w:val="-3"/>
        </w:rPr>
        <w:t> </w:t>
      </w:r>
      <w:r>
        <w:rPr/>
        <w:t>in</w:t>
      </w:r>
      <w:r>
        <w:rPr>
          <w:spacing w:val="-2"/>
        </w:rPr>
        <w:t> </w:t>
      </w:r>
      <w:r>
        <w:rPr/>
        <w:t>the</w:t>
      </w:r>
      <w:r>
        <w:rPr>
          <w:spacing w:val="-2"/>
        </w:rPr>
        <w:t> </w:t>
      </w:r>
      <w:r>
        <w:rPr/>
        <w:t>name</w:t>
      </w:r>
      <w:r>
        <w:rPr>
          <w:spacing w:val="-4"/>
        </w:rPr>
        <w:t> </w:t>
      </w:r>
      <w:r>
        <w:rPr/>
        <w:t>of</w:t>
      </w:r>
      <w:r>
        <w:rPr>
          <w:spacing w:val="-2"/>
        </w:rPr>
        <w:t> </w:t>
      </w:r>
      <w:r>
        <w:rPr/>
        <w:t>the</w:t>
      </w:r>
      <w:r>
        <w:rPr>
          <w:spacing w:val="-4"/>
        </w:rPr>
        <w:t> </w:t>
      </w:r>
      <w:r>
        <w:rPr/>
        <w:t>University</w:t>
      </w:r>
      <w:r>
        <w:rPr>
          <w:spacing w:val="-5"/>
        </w:rPr>
        <w:t> </w:t>
      </w:r>
      <w:r>
        <w:rPr/>
        <w:t>to</w:t>
      </w:r>
      <w:r>
        <w:rPr>
          <w:spacing w:val="-4"/>
        </w:rPr>
        <w:t> </w:t>
      </w:r>
      <w:r>
        <w:rPr/>
        <w:t>secure</w:t>
      </w:r>
      <w:r>
        <w:rPr>
          <w:spacing w:val="-4"/>
        </w:rPr>
        <w:t> </w:t>
      </w:r>
      <w:r>
        <w:rPr/>
        <w:t>funding</w:t>
      </w:r>
      <w:r>
        <w:rPr>
          <w:spacing w:val="-4"/>
        </w:rPr>
        <w:t> </w:t>
      </w:r>
      <w:r>
        <w:rPr/>
        <w:t>for</w:t>
      </w:r>
      <w:r>
        <w:rPr>
          <w:spacing w:val="-3"/>
        </w:rPr>
        <w:t> </w:t>
      </w:r>
      <w:r>
        <w:rPr/>
        <w:t>the</w:t>
      </w:r>
      <w:r>
        <w:rPr>
          <w:spacing w:val="-4"/>
        </w:rPr>
        <w:t> </w:t>
      </w:r>
      <w:r>
        <w:rPr/>
        <w:t>International</w:t>
      </w:r>
      <w:r>
        <w:rPr>
          <w:spacing w:val="-5"/>
        </w:rPr>
        <w:t> </w:t>
      </w:r>
      <w:r>
        <w:rPr/>
        <w:t>Travel</w:t>
      </w:r>
      <w:r>
        <w:rPr>
          <w:spacing w:val="-5"/>
        </w:rPr>
        <w:t> </w:t>
      </w:r>
      <w:r>
        <w:rPr/>
        <w:t>Studio course. In Fall, 2013, Mr. Gindroz began teaching the 3</w:t>
      </w:r>
      <w:r>
        <w:rPr>
          <w:vertAlign w:val="superscript"/>
        </w:rPr>
        <w:t>rd</w:t>
      </w:r>
      <w:r>
        <w:rPr>
          <w:vertAlign w:val="baseline"/>
        </w:rPr>
        <w:t> year studio, as an adjunct, assisting Mason Andrews. He also is an adjunct in the travel studio and has served in that capacity for 6 years.</w:t>
      </w:r>
    </w:p>
    <w:p>
      <w:pPr>
        <w:pStyle w:val="BodyText"/>
        <w:spacing w:before="9"/>
      </w:pPr>
    </w:p>
    <w:p>
      <w:pPr>
        <w:pStyle w:val="BodyText"/>
        <w:spacing w:before="1"/>
        <w:ind w:left="1723" w:right="705"/>
      </w:pPr>
      <w:r>
        <w:rPr/>
        <w:t>All faculty members, when first appointed to their position at Hampton University, go through an initial two-day orientation program.</w:t>
      </w:r>
      <w:r>
        <w:rPr>
          <w:spacing w:val="40"/>
        </w:rPr>
        <w:t> </w:t>
      </w:r>
      <w:r>
        <w:rPr/>
        <w:t>The University’s orientation program continues throughout the year with monthly required seminars for new faculty members, offered through the Center for Teaching Effectiveness.</w:t>
      </w:r>
      <w:r>
        <w:rPr>
          <w:spacing w:val="40"/>
        </w:rPr>
        <w:t> </w:t>
      </w:r>
      <w:r>
        <w:rPr/>
        <w:t>This program introduces them to University policies, and acquaints them with the Faculty Handbook which outlines the policies</w:t>
      </w:r>
      <w:r>
        <w:rPr>
          <w:spacing w:val="-3"/>
        </w:rPr>
        <w:t> </w:t>
      </w:r>
      <w:r>
        <w:rPr/>
        <w:t>regarding</w:t>
      </w:r>
      <w:r>
        <w:rPr>
          <w:spacing w:val="-2"/>
        </w:rPr>
        <w:t> </w:t>
      </w:r>
      <w:r>
        <w:rPr/>
        <w:t>employment</w:t>
      </w:r>
      <w:r>
        <w:rPr>
          <w:spacing w:val="-4"/>
        </w:rPr>
        <w:t> </w:t>
      </w:r>
      <w:r>
        <w:rPr/>
        <w:t>at</w:t>
      </w:r>
      <w:r>
        <w:rPr>
          <w:spacing w:val="-4"/>
        </w:rPr>
        <w:t> </w:t>
      </w:r>
      <w:r>
        <w:rPr/>
        <w:t>the</w:t>
      </w:r>
      <w:r>
        <w:rPr>
          <w:spacing w:val="-4"/>
        </w:rPr>
        <w:t> </w:t>
      </w:r>
      <w:r>
        <w:rPr/>
        <w:t>University.</w:t>
      </w:r>
      <w:r>
        <w:rPr>
          <w:spacing w:val="40"/>
        </w:rPr>
        <w:t> </w:t>
      </w:r>
      <w:r>
        <w:rPr/>
        <w:t>Each</w:t>
      </w:r>
      <w:r>
        <w:rPr>
          <w:spacing w:val="-2"/>
        </w:rPr>
        <w:t> </w:t>
      </w:r>
      <w:r>
        <w:rPr/>
        <w:t>new</w:t>
      </w:r>
      <w:r>
        <w:rPr>
          <w:spacing w:val="-6"/>
        </w:rPr>
        <w:t> </w:t>
      </w:r>
      <w:r>
        <w:rPr/>
        <w:t>faculty</w:t>
      </w:r>
      <w:r>
        <w:rPr>
          <w:spacing w:val="-7"/>
        </w:rPr>
        <w:t> </w:t>
      </w:r>
      <w:r>
        <w:rPr/>
        <w:t>member</w:t>
      </w:r>
      <w:r>
        <w:rPr>
          <w:spacing w:val="-3"/>
        </w:rPr>
        <w:t> </w:t>
      </w:r>
      <w:r>
        <w:rPr/>
        <w:t>is</w:t>
      </w:r>
      <w:r>
        <w:rPr>
          <w:spacing w:val="-3"/>
        </w:rPr>
        <w:t> </w:t>
      </w:r>
      <w:r>
        <w:rPr/>
        <w:t>assigned</w:t>
      </w:r>
      <w:r>
        <w:rPr>
          <w:spacing w:val="-2"/>
        </w:rPr>
        <w:t> </w:t>
      </w:r>
      <w:r>
        <w:rPr/>
        <w:t>a mentor to assist in becoming oriented to the university culture.</w:t>
      </w:r>
    </w:p>
    <w:p>
      <w:pPr>
        <w:pStyle w:val="BodyText"/>
        <w:spacing w:before="10"/>
      </w:pPr>
    </w:p>
    <w:p>
      <w:pPr>
        <w:pStyle w:val="BodyText"/>
        <w:spacing w:before="1"/>
        <w:ind w:left="499"/>
      </w:pPr>
      <w:r>
        <w:rPr/>
        <w:t>Current</w:t>
      </w:r>
      <w:r>
        <w:rPr>
          <w:spacing w:val="-11"/>
        </w:rPr>
        <w:t> </w:t>
      </w:r>
      <w:r>
        <w:rPr>
          <w:spacing w:val="-2"/>
        </w:rPr>
        <w:t>Faculty</w:t>
      </w:r>
    </w:p>
    <w:p>
      <w:pPr>
        <w:pStyle w:val="BodyText"/>
        <w:spacing w:before="7"/>
      </w:pPr>
    </w:p>
    <w:p>
      <w:pPr>
        <w:pStyle w:val="BodyText"/>
        <w:spacing w:before="1"/>
        <w:ind w:left="1722" w:right="580"/>
      </w:pPr>
      <w:r>
        <w:rPr/>
        <w:t>The Architecture Program currently has seven full-time faculty slots, with three members currently holding tenure. The Chair is allocated 25% release time, yielding 6.75 full-time positions</w:t>
      </w:r>
      <w:r>
        <w:rPr>
          <w:spacing w:val="-3"/>
        </w:rPr>
        <w:t> </w:t>
      </w:r>
      <w:r>
        <w:rPr/>
        <w:t>dedicated</w:t>
      </w:r>
      <w:r>
        <w:rPr>
          <w:spacing w:val="-4"/>
        </w:rPr>
        <w:t> </w:t>
      </w:r>
      <w:r>
        <w:rPr/>
        <w:t>to</w:t>
      </w:r>
      <w:r>
        <w:rPr>
          <w:spacing w:val="-4"/>
        </w:rPr>
        <w:t> </w:t>
      </w:r>
      <w:r>
        <w:rPr/>
        <w:t>teaching.</w:t>
      </w:r>
      <w:r>
        <w:rPr>
          <w:spacing w:val="-4"/>
        </w:rPr>
        <w:t> </w:t>
      </w:r>
      <w:r>
        <w:rPr/>
        <w:t>Additionally,</w:t>
      </w:r>
      <w:r>
        <w:rPr>
          <w:spacing w:val="-2"/>
        </w:rPr>
        <w:t> </w:t>
      </w:r>
      <w:r>
        <w:rPr/>
        <w:t>there</w:t>
      </w:r>
      <w:r>
        <w:rPr>
          <w:spacing w:val="-2"/>
        </w:rPr>
        <w:t> </w:t>
      </w:r>
      <w:r>
        <w:rPr/>
        <w:t>are</w:t>
      </w:r>
      <w:r>
        <w:rPr>
          <w:spacing w:val="-2"/>
        </w:rPr>
        <w:t> </w:t>
      </w:r>
      <w:r>
        <w:rPr/>
        <w:t>3-4</w:t>
      </w:r>
      <w:r>
        <w:rPr>
          <w:spacing w:val="-4"/>
        </w:rPr>
        <w:t> </w:t>
      </w:r>
      <w:r>
        <w:rPr/>
        <w:t>part-time,</w:t>
      </w:r>
      <w:r>
        <w:rPr>
          <w:spacing w:val="-4"/>
        </w:rPr>
        <w:t> </w:t>
      </w:r>
      <w:r>
        <w:rPr/>
        <w:t>or</w:t>
      </w:r>
      <w:r>
        <w:rPr>
          <w:spacing w:val="-3"/>
        </w:rPr>
        <w:t> </w:t>
      </w:r>
      <w:r>
        <w:rPr/>
        <w:t>adjunct</w:t>
      </w:r>
      <w:r>
        <w:rPr>
          <w:spacing w:val="-4"/>
        </w:rPr>
        <w:t> </w:t>
      </w:r>
      <w:r>
        <w:rPr/>
        <w:t>professors at the rank of Assistant or Associate Professor, who have taught over the last two years</w:t>
      </w:r>
    </w:p>
    <w:p>
      <w:pPr>
        <w:pStyle w:val="BodyText"/>
        <w:rPr>
          <w:sz w:val="21"/>
        </w:rPr>
      </w:pPr>
    </w:p>
    <w:p>
      <w:pPr>
        <w:pStyle w:val="BodyText"/>
        <w:ind w:left="1722" w:right="499"/>
      </w:pPr>
      <w:r>
        <w:rPr/>
        <w:t>There are currently no tenure-track appointments in the Department (Easter was granted tenure</w:t>
      </w:r>
      <w:r>
        <w:rPr>
          <w:spacing w:val="-2"/>
        </w:rPr>
        <w:t> </w:t>
      </w:r>
      <w:r>
        <w:rPr/>
        <w:t>at</w:t>
      </w:r>
      <w:r>
        <w:rPr>
          <w:spacing w:val="-4"/>
        </w:rPr>
        <w:t> </w:t>
      </w:r>
      <w:r>
        <w:rPr/>
        <w:t>the</w:t>
      </w:r>
      <w:r>
        <w:rPr>
          <w:spacing w:val="-4"/>
        </w:rPr>
        <w:t> </w:t>
      </w:r>
      <w:r>
        <w:rPr/>
        <w:t>end</w:t>
      </w:r>
      <w:r>
        <w:rPr>
          <w:spacing w:val="-2"/>
        </w:rPr>
        <w:t> </w:t>
      </w:r>
      <w:r>
        <w:rPr/>
        <w:t>of</w:t>
      </w:r>
      <w:r>
        <w:rPr>
          <w:spacing w:val="-2"/>
        </w:rPr>
        <w:t> </w:t>
      </w:r>
      <w:r>
        <w:rPr/>
        <w:t>the</w:t>
      </w:r>
      <w:r>
        <w:rPr>
          <w:spacing w:val="-4"/>
        </w:rPr>
        <w:t> </w:t>
      </w:r>
      <w:r>
        <w:rPr/>
        <w:t>2014</w:t>
      </w:r>
      <w:r>
        <w:rPr>
          <w:spacing w:val="-4"/>
        </w:rPr>
        <w:t> </w:t>
      </w:r>
      <w:r>
        <w:rPr/>
        <w:t>academic year,</w:t>
      </w:r>
      <w:r>
        <w:rPr>
          <w:spacing w:val="-4"/>
        </w:rPr>
        <w:t> </w:t>
      </w:r>
      <w:r>
        <w:rPr/>
        <w:t>but</w:t>
      </w:r>
      <w:r>
        <w:rPr>
          <w:spacing w:val="-4"/>
        </w:rPr>
        <w:t> </w:t>
      </w:r>
      <w:r>
        <w:rPr/>
        <w:t>one</w:t>
      </w:r>
      <w:r>
        <w:rPr>
          <w:spacing w:val="-2"/>
        </w:rPr>
        <w:t> </w:t>
      </w:r>
      <w:r>
        <w:rPr/>
        <w:t>of</w:t>
      </w:r>
      <w:r>
        <w:rPr>
          <w:spacing w:val="-2"/>
        </w:rPr>
        <w:t> </w:t>
      </w:r>
      <w:r>
        <w:rPr/>
        <w:t>our</w:t>
      </w:r>
      <w:r>
        <w:rPr>
          <w:spacing w:val="-3"/>
        </w:rPr>
        <w:t> </w:t>
      </w:r>
      <w:r>
        <w:rPr/>
        <w:t>other</w:t>
      </w:r>
      <w:r>
        <w:rPr>
          <w:spacing w:val="-1"/>
        </w:rPr>
        <w:t> </w:t>
      </w:r>
      <w:r>
        <w:rPr/>
        <w:t>tenured</w:t>
      </w:r>
      <w:r>
        <w:rPr>
          <w:spacing w:val="-4"/>
        </w:rPr>
        <w:t> </w:t>
      </w:r>
      <w:r>
        <w:rPr/>
        <w:t>faculty</w:t>
      </w:r>
      <w:r>
        <w:rPr>
          <w:spacing w:val="-5"/>
        </w:rPr>
        <w:t> </w:t>
      </w:r>
      <w:r>
        <w:rPr/>
        <w:t>members, Dr. Chance left the university in summer 2014). There has been discussion with the administration to offer a tenure track position to one or two of our four current faculty members that hold Temporary Annual appointments.</w:t>
      </w:r>
    </w:p>
    <w:p>
      <w:pPr>
        <w:pStyle w:val="BodyText"/>
        <w:spacing w:before="10"/>
      </w:pPr>
    </w:p>
    <w:p>
      <w:pPr>
        <w:pStyle w:val="BodyText"/>
        <w:ind w:left="1722"/>
      </w:pPr>
      <w:r>
        <w:rPr/>
        <w:t>The</w:t>
      </w:r>
      <w:r>
        <w:rPr>
          <w:spacing w:val="-5"/>
        </w:rPr>
        <w:t> </w:t>
      </w:r>
      <w:r>
        <w:rPr/>
        <w:t>Department</w:t>
      </w:r>
      <w:r>
        <w:rPr>
          <w:spacing w:val="-5"/>
        </w:rPr>
        <w:t> </w:t>
      </w:r>
      <w:r>
        <w:rPr/>
        <w:t>also</w:t>
      </w:r>
      <w:r>
        <w:rPr>
          <w:spacing w:val="-3"/>
        </w:rPr>
        <w:t> </w:t>
      </w:r>
      <w:r>
        <w:rPr/>
        <w:t>enjoys</w:t>
      </w:r>
      <w:r>
        <w:rPr>
          <w:spacing w:val="-4"/>
        </w:rPr>
        <w:t> </w:t>
      </w:r>
      <w:r>
        <w:rPr/>
        <w:t>active</w:t>
      </w:r>
      <w:r>
        <w:rPr>
          <w:spacing w:val="-5"/>
        </w:rPr>
        <w:t> </w:t>
      </w:r>
      <w:r>
        <w:rPr/>
        <w:t>participation</w:t>
      </w:r>
      <w:r>
        <w:rPr>
          <w:spacing w:val="-3"/>
        </w:rPr>
        <w:t> </w:t>
      </w:r>
      <w:r>
        <w:rPr/>
        <w:t>of</w:t>
      </w:r>
      <w:r>
        <w:rPr>
          <w:spacing w:val="-3"/>
        </w:rPr>
        <w:t> </w:t>
      </w:r>
      <w:r>
        <w:rPr/>
        <w:t>local</w:t>
      </w:r>
      <w:r>
        <w:rPr>
          <w:spacing w:val="-6"/>
        </w:rPr>
        <w:t> </w:t>
      </w:r>
      <w:r>
        <w:rPr/>
        <w:t>professionals</w:t>
      </w:r>
      <w:r>
        <w:rPr>
          <w:spacing w:val="-1"/>
        </w:rPr>
        <w:t> </w:t>
      </w:r>
      <w:r>
        <w:rPr/>
        <w:t>who</w:t>
      </w:r>
      <w:r>
        <w:rPr>
          <w:spacing w:val="-5"/>
        </w:rPr>
        <w:t> </w:t>
      </w:r>
      <w:r>
        <w:rPr/>
        <w:t>serve</w:t>
      </w:r>
      <w:r>
        <w:rPr>
          <w:spacing w:val="-3"/>
        </w:rPr>
        <w:t> </w:t>
      </w:r>
      <w:r>
        <w:rPr/>
        <w:t>as</w:t>
      </w:r>
      <w:r>
        <w:rPr>
          <w:spacing w:val="-4"/>
        </w:rPr>
        <w:t> </w:t>
      </w:r>
      <w:r>
        <w:rPr/>
        <w:t>adjunct faculty, guest reviewers, and speakers.</w:t>
      </w:r>
    </w:p>
    <w:p>
      <w:pPr>
        <w:pStyle w:val="BodyText"/>
        <w:spacing w:before="8"/>
      </w:pPr>
    </w:p>
    <w:p>
      <w:pPr>
        <w:pStyle w:val="BodyText"/>
        <w:ind w:left="1722" w:right="499"/>
      </w:pPr>
      <w:r>
        <w:rPr/>
        <w:t>The curriculum of the Department places the design studio as the locale for knowledge integration, beginning in the fall semester of the Freshman Year. The lower level studios (first and second year) are assigned 5 credit hours, while the upper level (3</w:t>
      </w:r>
      <w:r>
        <w:rPr>
          <w:vertAlign w:val="superscript"/>
        </w:rPr>
        <w:t>rd</w:t>
      </w:r>
      <w:r>
        <w:rPr>
          <w:vertAlign w:val="baseline"/>
        </w:rPr>
        <w:t> through 5</w:t>
      </w:r>
      <w:r>
        <w:rPr>
          <w:vertAlign w:val="superscript"/>
        </w:rPr>
        <w:t>th</w:t>
      </w:r>
      <w:r>
        <w:rPr>
          <w:vertAlign w:val="baseline"/>
        </w:rPr>
        <w:t> year) have 6 credit hours. The curriculum is designed so that courses taken in proper sequence support the students’ work in studio.</w:t>
      </w:r>
      <w:r>
        <w:rPr>
          <w:spacing w:val="40"/>
          <w:vertAlign w:val="baseline"/>
        </w:rPr>
        <w:t> </w:t>
      </w:r>
      <w:r>
        <w:rPr>
          <w:vertAlign w:val="baseline"/>
        </w:rPr>
        <w:t>All</w:t>
      </w:r>
      <w:r>
        <w:rPr>
          <w:spacing w:val="-1"/>
          <w:vertAlign w:val="baseline"/>
        </w:rPr>
        <w:t> </w:t>
      </w:r>
      <w:r>
        <w:rPr>
          <w:vertAlign w:val="baseline"/>
        </w:rPr>
        <w:t>studios meet on Monday,</w:t>
      </w:r>
      <w:r>
        <w:rPr>
          <w:spacing w:val="-2"/>
          <w:vertAlign w:val="baseline"/>
        </w:rPr>
        <w:t> </w:t>
      </w:r>
      <w:r>
        <w:rPr>
          <w:vertAlign w:val="baseline"/>
        </w:rPr>
        <w:t>Wednesday, and</w:t>
      </w:r>
      <w:r>
        <w:rPr>
          <w:spacing w:val="-2"/>
          <w:vertAlign w:val="baseline"/>
        </w:rPr>
        <w:t> </w:t>
      </w:r>
      <w:r>
        <w:rPr>
          <w:vertAlign w:val="baseline"/>
        </w:rPr>
        <w:t>Friday, which allows</w:t>
      </w:r>
      <w:r>
        <w:rPr>
          <w:spacing w:val="-1"/>
          <w:vertAlign w:val="baseline"/>
        </w:rPr>
        <w:t> </w:t>
      </w:r>
      <w:r>
        <w:rPr>
          <w:vertAlign w:val="baseline"/>
        </w:rPr>
        <w:t>one</w:t>
      </w:r>
      <w:r>
        <w:rPr>
          <w:spacing w:val="-2"/>
          <w:vertAlign w:val="baseline"/>
        </w:rPr>
        <w:t> </w:t>
      </w:r>
      <w:r>
        <w:rPr>
          <w:vertAlign w:val="baseline"/>
        </w:rPr>
        <w:t>day</w:t>
      </w:r>
      <w:r>
        <w:rPr>
          <w:spacing w:val="-3"/>
          <w:vertAlign w:val="baseline"/>
        </w:rPr>
        <w:t> </w:t>
      </w:r>
      <w:r>
        <w:rPr>
          <w:vertAlign w:val="baseline"/>
        </w:rPr>
        <w:t>between sessions</w:t>
      </w:r>
      <w:r>
        <w:rPr>
          <w:spacing w:val="-1"/>
          <w:vertAlign w:val="baseline"/>
        </w:rPr>
        <w:t> </w:t>
      </w:r>
      <w:r>
        <w:rPr>
          <w:vertAlign w:val="baseline"/>
        </w:rPr>
        <w:t>to work on</w:t>
      </w:r>
      <w:r>
        <w:rPr>
          <w:spacing w:val="-2"/>
          <w:vertAlign w:val="baseline"/>
        </w:rPr>
        <w:t> </w:t>
      </w:r>
      <w:r>
        <w:rPr>
          <w:vertAlign w:val="baseline"/>
        </w:rPr>
        <w:t>assignments.</w:t>
      </w:r>
      <w:r>
        <w:rPr>
          <w:spacing w:val="40"/>
          <w:vertAlign w:val="baseline"/>
        </w:rPr>
        <w:t> </w:t>
      </w:r>
      <w:r>
        <w:rPr>
          <w:vertAlign w:val="baseline"/>
        </w:rPr>
        <w:t>Upper</w:t>
      </w:r>
      <w:r>
        <w:rPr>
          <w:spacing w:val="-1"/>
          <w:vertAlign w:val="baseline"/>
        </w:rPr>
        <w:t> </w:t>
      </w:r>
      <w:r>
        <w:rPr>
          <w:vertAlign w:val="baseline"/>
        </w:rPr>
        <w:t>level studios meet in the afternoon from 1:00 pm – 5:00 pm for a total of 12 contact hours per week.</w:t>
      </w:r>
      <w:r>
        <w:rPr>
          <w:spacing w:val="40"/>
          <w:vertAlign w:val="baseline"/>
        </w:rPr>
        <w:t> </w:t>
      </w:r>
      <w:r>
        <w:rPr>
          <w:vertAlign w:val="baseline"/>
        </w:rPr>
        <w:t>First</w:t>
      </w:r>
      <w:r>
        <w:rPr>
          <w:spacing w:val="-4"/>
          <w:vertAlign w:val="baseline"/>
        </w:rPr>
        <w:t> </w:t>
      </w:r>
      <w:r>
        <w:rPr>
          <w:vertAlign w:val="baseline"/>
        </w:rPr>
        <w:t>and</w:t>
      </w:r>
      <w:r>
        <w:rPr>
          <w:spacing w:val="-2"/>
          <w:vertAlign w:val="baseline"/>
        </w:rPr>
        <w:t> </w:t>
      </w:r>
      <w:r>
        <w:rPr>
          <w:vertAlign w:val="baseline"/>
        </w:rPr>
        <w:t>Second</w:t>
      </w:r>
      <w:r>
        <w:rPr>
          <w:spacing w:val="-2"/>
          <w:vertAlign w:val="baseline"/>
        </w:rPr>
        <w:t> </w:t>
      </w:r>
      <w:r>
        <w:rPr>
          <w:vertAlign w:val="baseline"/>
        </w:rPr>
        <w:t>Year</w:t>
      </w:r>
      <w:r>
        <w:rPr>
          <w:spacing w:val="-3"/>
          <w:vertAlign w:val="baseline"/>
        </w:rPr>
        <w:t> </w:t>
      </w:r>
      <w:r>
        <w:rPr>
          <w:vertAlign w:val="baseline"/>
        </w:rPr>
        <w:t>meet</w:t>
      </w:r>
      <w:r>
        <w:rPr>
          <w:spacing w:val="-4"/>
          <w:vertAlign w:val="baseline"/>
        </w:rPr>
        <w:t> </w:t>
      </w:r>
      <w:r>
        <w:rPr>
          <w:vertAlign w:val="baseline"/>
        </w:rPr>
        <w:t>in</w:t>
      </w:r>
      <w:r>
        <w:rPr>
          <w:spacing w:val="-4"/>
          <w:vertAlign w:val="baseline"/>
        </w:rPr>
        <w:t> </w:t>
      </w:r>
      <w:r>
        <w:rPr>
          <w:vertAlign w:val="baseline"/>
        </w:rPr>
        <w:t>the</w:t>
      </w:r>
      <w:r>
        <w:rPr>
          <w:spacing w:val="-4"/>
          <w:vertAlign w:val="baseline"/>
        </w:rPr>
        <w:t> </w:t>
      </w:r>
      <w:r>
        <w:rPr>
          <w:vertAlign w:val="baseline"/>
        </w:rPr>
        <w:t>mornings,</w:t>
      </w:r>
      <w:r>
        <w:rPr>
          <w:spacing w:val="-4"/>
          <w:vertAlign w:val="baseline"/>
        </w:rPr>
        <w:t> </w:t>
      </w:r>
      <w:r>
        <w:rPr>
          <w:vertAlign w:val="baseline"/>
        </w:rPr>
        <w:t>from 9:00</w:t>
      </w:r>
      <w:r>
        <w:rPr>
          <w:spacing w:val="-4"/>
          <w:vertAlign w:val="baseline"/>
        </w:rPr>
        <w:t> </w:t>
      </w:r>
      <w:r>
        <w:rPr>
          <w:vertAlign w:val="baseline"/>
        </w:rPr>
        <w:t>am -</w:t>
      </w:r>
      <w:r>
        <w:rPr>
          <w:spacing w:val="-1"/>
          <w:vertAlign w:val="baseline"/>
        </w:rPr>
        <w:t> </w:t>
      </w:r>
      <w:r>
        <w:rPr>
          <w:vertAlign w:val="baseline"/>
        </w:rPr>
        <w:t>12:15</w:t>
      </w:r>
      <w:r>
        <w:rPr>
          <w:spacing w:val="-4"/>
          <w:vertAlign w:val="baseline"/>
        </w:rPr>
        <w:t> </w:t>
      </w:r>
      <w:r>
        <w:rPr>
          <w:vertAlign w:val="baseline"/>
        </w:rPr>
        <w:t>pm for</w:t>
      </w:r>
      <w:r>
        <w:rPr>
          <w:spacing w:val="-3"/>
          <w:vertAlign w:val="baseline"/>
        </w:rPr>
        <w:t> </w:t>
      </w:r>
      <w:r>
        <w:rPr>
          <w:vertAlign w:val="baseline"/>
        </w:rPr>
        <w:t>a</w:t>
      </w:r>
      <w:r>
        <w:rPr>
          <w:spacing w:val="-6"/>
          <w:vertAlign w:val="baseline"/>
        </w:rPr>
        <w:t> </w:t>
      </w:r>
      <w:r>
        <w:rPr>
          <w:vertAlign w:val="baseline"/>
        </w:rPr>
        <w:t>total</w:t>
      </w:r>
      <w:r>
        <w:rPr>
          <w:spacing w:val="-5"/>
          <w:vertAlign w:val="baseline"/>
        </w:rPr>
        <w:t> </w:t>
      </w:r>
      <w:r>
        <w:rPr>
          <w:vertAlign w:val="baseline"/>
        </w:rPr>
        <w:t>of 9:75 contact hours per week.</w:t>
      </w:r>
    </w:p>
    <w:p>
      <w:pPr>
        <w:pStyle w:val="BodyText"/>
        <w:rPr>
          <w:sz w:val="21"/>
        </w:rPr>
      </w:pPr>
    </w:p>
    <w:p>
      <w:pPr>
        <w:pStyle w:val="BodyText"/>
        <w:ind w:left="1723" w:right="499"/>
      </w:pPr>
      <w:r>
        <w:rPr/>
        <w:t>All full-time faculty members teach at least one design studio, including the Department Chair. The University uses a formula known as SSHU to determine teaching loads for faculty. The SSHU is determined by multiplying course credits by the number of students enrolled. The requirement for Architecture faculty is 180 SSHU per Semester, which is a difficult</w:t>
      </w:r>
      <w:r>
        <w:rPr>
          <w:spacing w:val="-3"/>
        </w:rPr>
        <w:t> </w:t>
      </w:r>
      <w:r>
        <w:rPr/>
        <w:t>rubric</w:t>
      </w:r>
      <w:r>
        <w:rPr>
          <w:spacing w:val="-2"/>
        </w:rPr>
        <w:t> </w:t>
      </w:r>
      <w:r>
        <w:rPr/>
        <w:t>to</w:t>
      </w:r>
      <w:r>
        <w:rPr>
          <w:spacing w:val="-3"/>
        </w:rPr>
        <w:t> </w:t>
      </w:r>
      <w:r>
        <w:rPr/>
        <w:t>maintain</w:t>
      </w:r>
      <w:r>
        <w:rPr>
          <w:spacing w:val="-3"/>
        </w:rPr>
        <w:t> </w:t>
      </w:r>
      <w:r>
        <w:rPr/>
        <w:t>given</w:t>
      </w:r>
      <w:r>
        <w:rPr>
          <w:spacing w:val="-1"/>
        </w:rPr>
        <w:t> </w:t>
      </w:r>
      <w:r>
        <w:rPr/>
        <w:t>that</w:t>
      </w:r>
      <w:r>
        <w:rPr>
          <w:spacing w:val="-3"/>
        </w:rPr>
        <w:t> </w:t>
      </w:r>
      <w:r>
        <w:rPr/>
        <w:t>studio</w:t>
      </w:r>
      <w:r>
        <w:rPr>
          <w:spacing w:val="-3"/>
        </w:rPr>
        <w:t> </w:t>
      </w:r>
      <w:r>
        <w:rPr/>
        <w:t>courses</w:t>
      </w:r>
      <w:r>
        <w:rPr>
          <w:spacing w:val="-2"/>
        </w:rPr>
        <w:t> </w:t>
      </w:r>
      <w:r>
        <w:rPr/>
        <w:t>assigned</w:t>
      </w:r>
      <w:r>
        <w:rPr>
          <w:spacing w:val="-3"/>
        </w:rPr>
        <w:t> </w:t>
      </w:r>
      <w:r>
        <w:rPr/>
        <w:t>5</w:t>
      </w:r>
      <w:r>
        <w:rPr>
          <w:spacing w:val="-1"/>
        </w:rPr>
        <w:t> </w:t>
      </w:r>
      <w:r>
        <w:rPr/>
        <w:t>or</w:t>
      </w:r>
      <w:r>
        <w:rPr>
          <w:spacing w:val="-2"/>
        </w:rPr>
        <w:t> </w:t>
      </w:r>
      <w:r>
        <w:rPr/>
        <w:t>6</w:t>
      </w:r>
      <w:r>
        <w:rPr>
          <w:spacing w:val="-3"/>
        </w:rPr>
        <w:t> </w:t>
      </w:r>
      <w:r>
        <w:rPr/>
        <w:t>credits,</w:t>
      </w:r>
      <w:r>
        <w:rPr>
          <w:spacing w:val="-3"/>
        </w:rPr>
        <w:t> </w:t>
      </w:r>
      <w:r>
        <w:rPr/>
        <w:t>meet</w:t>
      </w:r>
      <w:r>
        <w:rPr>
          <w:spacing w:val="-3"/>
        </w:rPr>
        <w:t> </w:t>
      </w:r>
      <w:r>
        <w:rPr/>
        <w:t>for</w:t>
      </w:r>
      <w:r>
        <w:rPr>
          <w:spacing w:val="-2"/>
        </w:rPr>
        <w:t> </w:t>
      </w:r>
      <w:r>
        <w:rPr/>
        <w:t>9</w:t>
      </w:r>
      <w:r>
        <w:rPr>
          <w:spacing w:val="-3"/>
        </w:rPr>
        <w:t> </w:t>
      </w:r>
      <w:r>
        <w:rPr/>
        <w:t>and</w:t>
      </w:r>
    </w:p>
    <w:p>
      <w:pPr>
        <w:spacing w:after="0"/>
        <w:sectPr>
          <w:pgSz w:w="12240" w:h="15840"/>
          <w:pgMar w:header="0" w:footer="974" w:top="1360" w:bottom="1160" w:left="940" w:right="960"/>
        </w:sectPr>
      </w:pPr>
    </w:p>
    <w:p>
      <w:pPr>
        <w:pStyle w:val="BodyText"/>
        <w:spacing w:before="77"/>
        <w:ind w:left="1724" w:right="499"/>
      </w:pPr>
      <w:r>
        <w:rPr/>
        <w:t>12</w:t>
      </w:r>
      <w:r>
        <w:rPr>
          <w:spacing w:val="-4"/>
        </w:rPr>
        <w:t> </w:t>
      </w:r>
      <w:r>
        <w:rPr/>
        <w:t>hours</w:t>
      </w:r>
      <w:r>
        <w:rPr>
          <w:spacing w:val="-3"/>
        </w:rPr>
        <w:t> </w:t>
      </w:r>
      <w:r>
        <w:rPr/>
        <w:t>per</w:t>
      </w:r>
      <w:r>
        <w:rPr>
          <w:spacing w:val="-1"/>
        </w:rPr>
        <w:t> </w:t>
      </w:r>
      <w:r>
        <w:rPr/>
        <w:t>week,</w:t>
      </w:r>
      <w:r>
        <w:rPr>
          <w:spacing w:val="-4"/>
        </w:rPr>
        <w:t> </w:t>
      </w:r>
      <w:r>
        <w:rPr/>
        <w:t>respectively.</w:t>
      </w:r>
      <w:r>
        <w:rPr>
          <w:spacing w:val="-4"/>
        </w:rPr>
        <w:t> </w:t>
      </w:r>
      <w:r>
        <w:rPr/>
        <w:t>Thus</w:t>
      </w:r>
      <w:r>
        <w:rPr>
          <w:spacing w:val="-3"/>
        </w:rPr>
        <w:t> </w:t>
      </w:r>
      <w:r>
        <w:rPr/>
        <w:t>there</w:t>
      </w:r>
      <w:r>
        <w:rPr>
          <w:spacing w:val="-2"/>
        </w:rPr>
        <w:t> </w:t>
      </w:r>
      <w:r>
        <w:rPr/>
        <w:t>is</w:t>
      </w:r>
      <w:r>
        <w:rPr>
          <w:spacing w:val="-3"/>
        </w:rPr>
        <w:t> </w:t>
      </w:r>
      <w:r>
        <w:rPr/>
        <w:t>some</w:t>
      </w:r>
      <w:r>
        <w:rPr>
          <w:spacing w:val="-4"/>
        </w:rPr>
        <w:t> </w:t>
      </w:r>
      <w:r>
        <w:rPr/>
        <w:t>variation</w:t>
      </w:r>
      <w:r>
        <w:rPr>
          <w:spacing w:val="-2"/>
        </w:rPr>
        <w:t> </w:t>
      </w:r>
      <w:r>
        <w:rPr/>
        <w:t>in</w:t>
      </w:r>
      <w:r>
        <w:rPr>
          <w:spacing w:val="-2"/>
        </w:rPr>
        <w:t> </w:t>
      </w:r>
      <w:r>
        <w:rPr/>
        <w:t>course</w:t>
      </w:r>
      <w:r>
        <w:rPr>
          <w:spacing w:val="-4"/>
        </w:rPr>
        <w:t> </w:t>
      </w:r>
      <w:r>
        <w:rPr/>
        <w:t>load</w:t>
      </w:r>
      <w:r>
        <w:rPr>
          <w:spacing w:val="-2"/>
        </w:rPr>
        <w:t> </w:t>
      </w:r>
      <w:r>
        <w:rPr/>
        <w:t>by</w:t>
      </w:r>
      <w:r>
        <w:rPr>
          <w:spacing w:val="-7"/>
        </w:rPr>
        <w:t> </w:t>
      </w:r>
      <w:r>
        <w:rPr/>
        <w:t>faculty.</w:t>
      </w:r>
      <w:r>
        <w:rPr>
          <w:spacing w:val="-2"/>
        </w:rPr>
        <w:t> </w:t>
      </w:r>
      <w:r>
        <w:rPr/>
        <w:t>The typical load for full-time faculty each semester includes:</w:t>
      </w:r>
    </w:p>
    <w:p>
      <w:pPr>
        <w:pStyle w:val="BodyText"/>
        <w:spacing w:before="11"/>
      </w:pPr>
    </w:p>
    <w:p>
      <w:pPr>
        <w:pStyle w:val="BodyText"/>
        <w:ind w:left="2660"/>
      </w:pPr>
      <w:r>
        <w:rPr/>
        <w:t>Five</w:t>
      </w:r>
      <w:r>
        <w:rPr>
          <w:spacing w:val="-5"/>
        </w:rPr>
        <w:t> </w:t>
      </w:r>
      <w:r>
        <w:rPr/>
        <w:t>to</w:t>
      </w:r>
      <w:r>
        <w:rPr>
          <w:spacing w:val="-6"/>
        </w:rPr>
        <w:t> </w:t>
      </w:r>
      <w:r>
        <w:rPr/>
        <w:t>six</w:t>
      </w:r>
      <w:r>
        <w:rPr>
          <w:spacing w:val="-5"/>
        </w:rPr>
        <w:t> </w:t>
      </w:r>
      <w:r>
        <w:rPr/>
        <w:t>credit</w:t>
      </w:r>
      <w:r>
        <w:rPr>
          <w:spacing w:val="-4"/>
        </w:rPr>
        <w:t> </w:t>
      </w:r>
      <w:r>
        <w:rPr/>
        <w:t>hours</w:t>
      </w:r>
      <w:r>
        <w:rPr>
          <w:spacing w:val="-6"/>
        </w:rPr>
        <w:t> </w:t>
      </w:r>
      <w:r>
        <w:rPr/>
        <w:t>of</w:t>
      </w:r>
      <w:r>
        <w:rPr>
          <w:spacing w:val="-4"/>
        </w:rPr>
        <w:t> </w:t>
      </w:r>
      <w:r>
        <w:rPr/>
        <w:t>Design</w:t>
      </w:r>
      <w:r>
        <w:rPr>
          <w:spacing w:val="-4"/>
        </w:rPr>
        <w:t> </w:t>
      </w:r>
      <w:r>
        <w:rPr>
          <w:spacing w:val="-2"/>
        </w:rPr>
        <w:t>Studio</w:t>
      </w:r>
    </w:p>
    <w:p>
      <w:pPr>
        <w:pStyle w:val="BodyText"/>
        <w:spacing w:before="8"/>
      </w:pPr>
    </w:p>
    <w:p>
      <w:pPr>
        <w:pStyle w:val="BodyText"/>
        <w:ind w:left="2660"/>
      </w:pPr>
      <w:r>
        <w:rPr/>
        <w:t>Three</w:t>
      </w:r>
      <w:r>
        <w:rPr>
          <w:spacing w:val="-6"/>
        </w:rPr>
        <w:t> </w:t>
      </w:r>
      <w:r>
        <w:rPr/>
        <w:t>credit</w:t>
      </w:r>
      <w:r>
        <w:rPr>
          <w:spacing w:val="-6"/>
        </w:rPr>
        <w:t> </w:t>
      </w:r>
      <w:r>
        <w:rPr/>
        <w:t>hours</w:t>
      </w:r>
      <w:r>
        <w:rPr>
          <w:spacing w:val="-5"/>
        </w:rPr>
        <w:t> </w:t>
      </w:r>
      <w:r>
        <w:rPr/>
        <w:t>of</w:t>
      </w:r>
      <w:r>
        <w:rPr>
          <w:spacing w:val="-4"/>
        </w:rPr>
        <w:t> </w:t>
      </w:r>
      <w:r>
        <w:rPr/>
        <w:t>Lecture,</w:t>
      </w:r>
      <w:r>
        <w:rPr>
          <w:spacing w:val="-11"/>
        </w:rPr>
        <w:t> </w:t>
      </w:r>
      <w:r>
        <w:rPr/>
        <w:t>Workshop,</w:t>
      </w:r>
      <w:r>
        <w:rPr>
          <w:spacing w:val="-6"/>
        </w:rPr>
        <w:t> </w:t>
      </w:r>
      <w:r>
        <w:rPr/>
        <w:t>or</w:t>
      </w:r>
      <w:r>
        <w:rPr>
          <w:spacing w:val="-5"/>
        </w:rPr>
        <w:t> </w:t>
      </w:r>
      <w:r>
        <w:rPr>
          <w:spacing w:val="-2"/>
        </w:rPr>
        <w:t>Seminar</w:t>
      </w:r>
    </w:p>
    <w:p>
      <w:pPr>
        <w:pStyle w:val="BodyText"/>
        <w:spacing w:before="10"/>
      </w:pPr>
    </w:p>
    <w:p>
      <w:pPr>
        <w:pStyle w:val="BodyText"/>
        <w:ind w:left="2660" w:right="705"/>
      </w:pPr>
      <w:r>
        <w:rPr/>
        <w:t>Advising 20 students on their matriculation progress through the program. Faculty</w:t>
      </w:r>
      <w:r>
        <w:rPr>
          <w:spacing w:val="-3"/>
        </w:rPr>
        <w:t> </w:t>
      </w:r>
      <w:r>
        <w:rPr/>
        <w:t>members are assigned students as they</w:t>
      </w:r>
      <w:r>
        <w:rPr>
          <w:spacing w:val="-1"/>
        </w:rPr>
        <w:t> </w:t>
      </w:r>
      <w:r>
        <w:rPr/>
        <w:t>arrive in the program, and will maintain</w:t>
      </w:r>
      <w:r>
        <w:rPr>
          <w:spacing w:val="-5"/>
        </w:rPr>
        <w:t> </w:t>
      </w:r>
      <w:r>
        <w:rPr/>
        <w:t>that</w:t>
      </w:r>
      <w:r>
        <w:rPr>
          <w:spacing w:val="-3"/>
        </w:rPr>
        <w:t> </w:t>
      </w:r>
      <w:r>
        <w:rPr/>
        <w:t>assignment</w:t>
      </w:r>
      <w:r>
        <w:rPr>
          <w:spacing w:val="-5"/>
        </w:rPr>
        <w:t> </w:t>
      </w:r>
      <w:r>
        <w:rPr/>
        <w:t>through</w:t>
      </w:r>
      <w:r>
        <w:rPr>
          <w:spacing w:val="-5"/>
        </w:rPr>
        <w:t> </w:t>
      </w:r>
      <w:r>
        <w:rPr/>
        <w:t>the</w:t>
      </w:r>
      <w:r>
        <w:rPr>
          <w:spacing w:val="-5"/>
        </w:rPr>
        <w:t> </w:t>
      </w:r>
      <w:r>
        <w:rPr/>
        <w:t>students</w:t>
      </w:r>
      <w:r>
        <w:rPr>
          <w:spacing w:val="-4"/>
        </w:rPr>
        <w:t> </w:t>
      </w:r>
      <w:r>
        <w:rPr/>
        <w:t>entire</w:t>
      </w:r>
      <w:r>
        <w:rPr>
          <w:spacing w:val="-5"/>
        </w:rPr>
        <w:t> </w:t>
      </w:r>
      <w:r>
        <w:rPr/>
        <w:t>tenure</w:t>
      </w:r>
      <w:r>
        <w:rPr>
          <w:spacing w:val="-5"/>
        </w:rPr>
        <w:t> </w:t>
      </w:r>
      <w:r>
        <w:rPr/>
        <w:t>in</w:t>
      </w:r>
      <w:r>
        <w:rPr>
          <w:spacing w:val="-5"/>
        </w:rPr>
        <w:t> </w:t>
      </w:r>
      <w:r>
        <w:rPr/>
        <w:t>the</w:t>
      </w:r>
      <w:r>
        <w:rPr>
          <w:spacing w:val="-5"/>
        </w:rPr>
        <w:t> </w:t>
      </w:r>
      <w:r>
        <w:rPr/>
        <w:t>Department.</w:t>
      </w:r>
    </w:p>
    <w:p>
      <w:pPr>
        <w:pStyle w:val="BodyText"/>
        <w:rPr>
          <w:sz w:val="21"/>
        </w:rPr>
      </w:pPr>
    </w:p>
    <w:p>
      <w:pPr>
        <w:pStyle w:val="BodyText"/>
        <w:ind w:left="2660"/>
      </w:pPr>
      <w:r>
        <w:rPr/>
        <w:t>Advising</w:t>
      </w:r>
      <w:r>
        <w:rPr>
          <w:spacing w:val="-8"/>
        </w:rPr>
        <w:t> </w:t>
      </w:r>
      <w:r>
        <w:rPr/>
        <w:t>four</w:t>
      </w:r>
      <w:r>
        <w:rPr>
          <w:spacing w:val="-6"/>
        </w:rPr>
        <w:t> </w:t>
      </w:r>
      <w:r>
        <w:rPr/>
        <w:t>to</w:t>
      </w:r>
      <w:r>
        <w:rPr>
          <w:spacing w:val="-5"/>
        </w:rPr>
        <w:t> </w:t>
      </w:r>
      <w:r>
        <w:rPr/>
        <w:t>five</w:t>
      </w:r>
      <w:r>
        <w:rPr>
          <w:spacing w:val="-6"/>
        </w:rPr>
        <w:t> </w:t>
      </w:r>
      <w:r>
        <w:rPr/>
        <w:t>5th</w:t>
      </w:r>
      <w:r>
        <w:rPr>
          <w:spacing w:val="-3"/>
        </w:rPr>
        <w:t> </w:t>
      </w:r>
      <w:r>
        <w:rPr/>
        <w:t>year</w:t>
      </w:r>
      <w:r>
        <w:rPr>
          <w:spacing w:val="-7"/>
        </w:rPr>
        <w:t> </w:t>
      </w:r>
      <w:r>
        <w:rPr/>
        <w:t>Thesis</w:t>
      </w:r>
      <w:r>
        <w:rPr>
          <w:spacing w:val="-6"/>
        </w:rPr>
        <w:t> </w:t>
      </w:r>
      <w:r>
        <w:rPr/>
        <w:t>Students</w:t>
      </w:r>
      <w:r>
        <w:rPr>
          <w:spacing w:val="-6"/>
        </w:rPr>
        <w:t> </w:t>
      </w:r>
      <w:r>
        <w:rPr/>
        <w:t>during</w:t>
      </w:r>
      <w:r>
        <w:rPr>
          <w:spacing w:val="-8"/>
        </w:rPr>
        <w:t> </w:t>
      </w:r>
      <w:r>
        <w:rPr/>
        <w:t>spring</w:t>
      </w:r>
      <w:r>
        <w:rPr>
          <w:spacing w:val="-7"/>
        </w:rPr>
        <w:t> </w:t>
      </w:r>
      <w:r>
        <w:rPr>
          <w:spacing w:val="-2"/>
        </w:rPr>
        <w:t>semester</w:t>
      </w:r>
    </w:p>
    <w:p>
      <w:pPr>
        <w:pStyle w:val="BodyText"/>
        <w:spacing w:before="10"/>
      </w:pPr>
    </w:p>
    <w:p>
      <w:pPr>
        <w:pStyle w:val="BodyText"/>
        <w:ind w:left="1723" w:right="529"/>
      </w:pPr>
      <w:r>
        <w:rPr/>
        <w:t>In addition to teaching and advising responsibilities, faculty members also take on a wide variety</w:t>
      </w:r>
      <w:r>
        <w:rPr>
          <w:spacing w:val="-6"/>
        </w:rPr>
        <w:t> </w:t>
      </w:r>
      <w:r>
        <w:rPr/>
        <w:t>of</w:t>
      </w:r>
      <w:r>
        <w:rPr>
          <w:spacing w:val="-3"/>
        </w:rPr>
        <w:t> </w:t>
      </w:r>
      <w:r>
        <w:rPr/>
        <w:t>Department,</w:t>
      </w:r>
      <w:r>
        <w:rPr>
          <w:spacing w:val="-5"/>
        </w:rPr>
        <w:t> </w:t>
      </w:r>
      <w:r>
        <w:rPr/>
        <w:t>School,</w:t>
      </w:r>
      <w:r>
        <w:rPr>
          <w:spacing w:val="-3"/>
        </w:rPr>
        <w:t> </w:t>
      </w:r>
      <w:r>
        <w:rPr/>
        <w:t>and</w:t>
      </w:r>
      <w:r>
        <w:rPr>
          <w:spacing w:val="-5"/>
        </w:rPr>
        <w:t> </w:t>
      </w:r>
      <w:r>
        <w:rPr/>
        <w:t>University</w:t>
      </w:r>
      <w:r>
        <w:rPr>
          <w:spacing w:val="-8"/>
        </w:rPr>
        <w:t> </w:t>
      </w:r>
      <w:r>
        <w:rPr/>
        <w:t>committee</w:t>
      </w:r>
      <w:r>
        <w:rPr>
          <w:spacing w:val="-5"/>
        </w:rPr>
        <w:t> </w:t>
      </w:r>
      <w:r>
        <w:rPr/>
        <w:t>and</w:t>
      </w:r>
      <w:r>
        <w:rPr>
          <w:spacing w:val="-5"/>
        </w:rPr>
        <w:t> </w:t>
      </w:r>
      <w:r>
        <w:rPr/>
        <w:t>administrative</w:t>
      </w:r>
      <w:r>
        <w:rPr>
          <w:spacing w:val="-5"/>
        </w:rPr>
        <w:t> </w:t>
      </w:r>
      <w:r>
        <w:rPr/>
        <w:t>responsibilities. We</w:t>
      </w:r>
      <w:r>
        <w:rPr>
          <w:spacing w:val="-3"/>
        </w:rPr>
        <w:t> </w:t>
      </w:r>
      <w:r>
        <w:rPr/>
        <w:t>are able to gage the effectiveness of instruction by</w:t>
      </w:r>
      <w:r>
        <w:rPr>
          <w:spacing w:val="-1"/>
        </w:rPr>
        <w:t> </w:t>
      </w:r>
      <w:r>
        <w:rPr/>
        <w:t>the receipt of student evaluations at the end of each course offering. These are collected on-line by the university and the</w:t>
      </w:r>
      <w:r>
        <w:rPr/>
        <w:t> results are disseminated to the Chair. The chair is a frequent guest in classes to observe instructional methods and student responsiveness. The Chair also serves on a variety of administrative committees.</w:t>
      </w:r>
    </w:p>
    <w:p>
      <w:pPr>
        <w:pStyle w:val="BodyText"/>
        <w:spacing w:before="9"/>
      </w:pPr>
    </w:p>
    <w:p>
      <w:pPr>
        <w:pStyle w:val="BodyText"/>
        <w:ind w:left="1219"/>
      </w:pPr>
      <w:r>
        <w:rPr/>
        <w:t>Faculty</w:t>
      </w:r>
      <w:r>
        <w:rPr>
          <w:spacing w:val="-10"/>
        </w:rPr>
        <w:t> </w:t>
      </w:r>
      <w:r>
        <w:rPr/>
        <w:t>Members</w:t>
      </w:r>
      <w:r>
        <w:rPr>
          <w:spacing w:val="-7"/>
        </w:rPr>
        <w:t> </w:t>
      </w:r>
      <w:r>
        <w:rPr/>
        <w:t>(For</w:t>
      </w:r>
      <w:r>
        <w:rPr>
          <w:spacing w:val="-6"/>
        </w:rPr>
        <w:t> </w:t>
      </w:r>
      <w:r>
        <w:rPr/>
        <w:t>academic</w:t>
      </w:r>
      <w:r>
        <w:rPr>
          <w:spacing w:val="-4"/>
        </w:rPr>
        <w:t> </w:t>
      </w:r>
      <w:r>
        <w:rPr/>
        <w:t>years</w:t>
      </w:r>
      <w:r>
        <w:rPr>
          <w:spacing w:val="-6"/>
        </w:rPr>
        <w:t> </w:t>
      </w:r>
      <w:r>
        <w:rPr/>
        <w:t>2012</w:t>
      </w:r>
      <w:r>
        <w:rPr>
          <w:spacing w:val="-5"/>
        </w:rPr>
        <w:t> </w:t>
      </w:r>
      <w:r>
        <w:rPr/>
        <w:t>to</w:t>
      </w:r>
      <w:r>
        <w:rPr>
          <w:spacing w:val="-6"/>
        </w:rPr>
        <w:t> </w:t>
      </w:r>
      <w:r>
        <w:rPr>
          <w:spacing w:val="-2"/>
        </w:rPr>
        <w:t>2014):</w:t>
      </w:r>
    </w:p>
    <w:p>
      <w:pPr>
        <w:pStyle w:val="BodyText"/>
        <w:tabs>
          <w:tab w:pos="3739" w:val="left" w:leader="none"/>
        </w:tabs>
        <w:spacing w:line="470" w:lineRule="atLeast"/>
        <w:ind w:left="1723" w:right="2589"/>
      </w:pPr>
      <w:r>
        <w:rPr>
          <w:spacing w:val="-2"/>
        </w:rPr>
        <w:t>Full-Professors:</w:t>
      </w:r>
      <w:r>
        <w:rPr/>
        <w:tab/>
        <w:t>Dr.</w:t>
      </w:r>
      <w:r>
        <w:rPr>
          <w:spacing w:val="-11"/>
        </w:rPr>
        <w:t> </w:t>
      </w:r>
      <w:r>
        <w:rPr/>
        <w:t>Carmina</w:t>
      </w:r>
      <w:r>
        <w:rPr>
          <w:spacing w:val="-11"/>
        </w:rPr>
        <w:t> </w:t>
      </w:r>
      <w:r>
        <w:rPr/>
        <w:t>Sanchez-del-Valle,</w:t>
      </w:r>
      <w:r>
        <w:rPr>
          <w:spacing w:val="-11"/>
        </w:rPr>
        <w:t> </w:t>
      </w:r>
      <w:r>
        <w:rPr/>
        <w:t>RA</w:t>
      </w:r>
      <w:r>
        <w:rPr>
          <w:spacing w:val="-11"/>
        </w:rPr>
        <w:t> </w:t>
      </w:r>
      <w:r>
        <w:rPr/>
        <w:t>(tenured) Associate Professors:</w:t>
      </w:r>
      <w:r>
        <w:rPr>
          <w:spacing w:val="40"/>
        </w:rPr>
        <w:t> </w:t>
      </w:r>
      <w:r>
        <w:rPr/>
        <w:t>Mason Andrews, AIA</w:t>
      </w:r>
    </w:p>
    <w:p>
      <w:pPr>
        <w:pStyle w:val="BodyText"/>
        <w:spacing w:before="1"/>
        <w:ind w:left="4099" w:right="3607"/>
      </w:pPr>
      <w:r>
        <w:rPr/>
        <w:t>Robert</w:t>
      </w:r>
      <w:r>
        <w:rPr>
          <w:spacing w:val="-13"/>
        </w:rPr>
        <w:t> </w:t>
      </w:r>
      <w:r>
        <w:rPr/>
        <w:t>Easter,</w:t>
      </w:r>
      <w:r>
        <w:rPr>
          <w:spacing w:val="-13"/>
        </w:rPr>
        <w:t> </w:t>
      </w:r>
      <w:r>
        <w:rPr/>
        <w:t>AIA</w:t>
      </w:r>
      <w:r>
        <w:rPr>
          <w:spacing w:val="-14"/>
        </w:rPr>
        <w:t> </w:t>
      </w:r>
      <w:r>
        <w:rPr/>
        <w:t>(tenured) Dr. Wesley Henderson, AIA</w:t>
      </w:r>
    </w:p>
    <w:p>
      <w:pPr>
        <w:pStyle w:val="BodyText"/>
        <w:spacing w:before="1"/>
        <w:ind w:left="4099"/>
      </w:pPr>
      <w:r>
        <w:rPr/>
        <w:t>Shannon</w:t>
      </w:r>
      <w:r>
        <w:rPr>
          <w:spacing w:val="-7"/>
        </w:rPr>
        <w:t> </w:t>
      </w:r>
      <w:r>
        <w:rPr/>
        <w:t>Chance,</w:t>
      </w:r>
      <w:r>
        <w:rPr>
          <w:spacing w:val="-5"/>
        </w:rPr>
        <w:t> </w:t>
      </w:r>
      <w:r>
        <w:rPr/>
        <w:t>AIA</w:t>
      </w:r>
      <w:r>
        <w:rPr>
          <w:spacing w:val="-8"/>
        </w:rPr>
        <w:t> </w:t>
      </w:r>
      <w:r>
        <w:rPr>
          <w:spacing w:val="-2"/>
        </w:rPr>
        <w:t>(tenured)*</w:t>
      </w:r>
    </w:p>
    <w:p>
      <w:pPr>
        <w:pStyle w:val="BodyText"/>
        <w:spacing w:before="8"/>
      </w:pPr>
    </w:p>
    <w:p>
      <w:pPr>
        <w:pStyle w:val="BodyText"/>
        <w:ind w:left="1723"/>
      </w:pPr>
      <w:r>
        <w:rPr/>
        <w:t>Assistant</w:t>
      </w:r>
      <w:r>
        <w:rPr>
          <w:spacing w:val="-6"/>
        </w:rPr>
        <w:t> </w:t>
      </w:r>
      <w:r>
        <w:rPr/>
        <w:t>Professors:</w:t>
      </w:r>
      <w:r>
        <w:rPr>
          <w:spacing w:val="64"/>
        </w:rPr>
        <w:t> </w:t>
      </w:r>
      <w:r>
        <w:rPr/>
        <w:t>Darryl</w:t>
      </w:r>
      <w:r>
        <w:rPr>
          <w:spacing w:val="-7"/>
        </w:rPr>
        <w:t> </w:t>
      </w:r>
      <w:r>
        <w:rPr/>
        <w:t>Henderson,</w:t>
      </w:r>
      <w:r>
        <w:rPr>
          <w:spacing w:val="-5"/>
        </w:rPr>
        <w:t> </w:t>
      </w:r>
      <w:r>
        <w:rPr/>
        <w:t>AIA</w:t>
      </w:r>
      <w:r>
        <w:rPr>
          <w:spacing w:val="-9"/>
        </w:rPr>
        <w:t> </w:t>
      </w:r>
      <w:r>
        <w:rPr>
          <w:spacing w:val="-5"/>
        </w:rPr>
        <w:t>**</w:t>
      </w:r>
    </w:p>
    <w:p>
      <w:pPr>
        <w:pStyle w:val="BodyText"/>
        <w:ind w:left="4099" w:right="3961"/>
      </w:pPr>
      <w:r>
        <w:rPr/>
        <w:t>Ron</w:t>
      </w:r>
      <w:r>
        <w:rPr>
          <w:spacing w:val="-14"/>
        </w:rPr>
        <w:t> </w:t>
      </w:r>
      <w:r>
        <w:rPr/>
        <w:t>Kloster,</w:t>
      </w:r>
      <w:r>
        <w:rPr>
          <w:spacing w:val="-14"/>
        </w:rPr>
        <w:t> </w:t>
      </w:r>
      <w:r>
        <w:rPr/>
        <w:t>RA</w:t>
      </w:r>
      <w:r>
        <w:rPr>
          <w:spacing w:val="-13"/>
        </w:rPr>
        <w:t> </w:t>
      </w:r>
      <w:r>
        <w:rPr/>
        <w:t>(tenured) David Peronnet, RA</w:t>
      </w:r>
      <w:r>
        <w:rPr>
          <w:spacing w:val="40"/>
        </w:rPr>
        <w:t> </w:t>
      </w:r>
      <w:r>
        <w:rPr/>
        <w:t>Marci Turner** Ogheneruno Okiomah*</w:t>
      </w:r>
    </w:p>
    <w:p>
      <w:pPr>
        <w:pStyle w:val="BodyText"/>
        <w:tabs>
          <w:tab w:pos="3739" w:val="left" w:leader="none"/>
        </w:tabs>
        <w:spacing w:line="470" w:lineRule="exact" w:before="51"/>
        <w:ind w:left="1723" w:right="4677"/>
      </w:pPr>
      <w:r>
        <w:rPr/>
        <w:t>Library Faculty:</w:t>
        <w:tab/>
        <w:t>Norma Sellman Emeritus</w:t>
      </w:r>
      <w:r>
        <w:rPr>
          <w:spacing w:val="-6"/>
        </w:rPr>
        <w:t> </w:t>
      </w:r>
      <w:r>
        <w:rPr/>
        <w:t>Professors:</w:t>
      </w:r>
      <w:r>
        <w:rPr>
          <w:spacing w:val="80"/>
        </w:rPr>
        <w:t> </w:t>
      </w:r>
      <w:r>
        <w:rPr/>
        <w:t>John</w:t>
      </w:r>
      <w:r>
        <w:rPr>
          <w:spacing w:val="-6"/>
        </w:rPr>
        <w:t> </w:t>
      </w:r>
      <w:r>
        <w:rPr/>
        <w:t>Spencer,</w:t>
      </w:r>
      <w:r>
        <w:rPr>
          <w:spacing w:val="-6"/>
        </w:rPr>
        <w:t> </w:t>
      </w:r>
      <w:r>
        <w:rPr/>
        <w:t>FAIA</w:t>
      </w:r>
      <w:r>
        <w:rPr>
          <w:spacing w:val="-6"/>
        </w:rPr>
        <w:t> </w:t>
      </w:r>
      <w:r>
        <w:rPr/>
        <w:t>*</w:t>
      </w:r>
    </w:p>
    <w:p>
      <w:pPr>
        <w:pStyle w:val="BodyText"/>
        <w:spacing w:line="179" w:lineRule="exact"/>
        <w:ind w:left="4099"/>
      </w:pPr>
      <w:r>
        <w:rPr/>
        <w:t>Solil</w:t>
      </w:r>
      <w:r>
        <w:rPr>
          <w:spacing w:val="-7"/>
        </w:rPr>
        <w:t> </w:t>
      </w:r>
      <w:r>
        <w:rPr/>
        <w:t>Banerjee,</w:t>
      </w:r>
      <w:r>
        <w:rPr>
          <w:spacing w:val="-7"/>
        </w:rPr>
        <w:t> </w:t>
      </w:r>
      <w:r>
        <w:rPr/>
        <w:t>RA</w:t>
      </w:r>
      <w:r>
        <w:rPr>
          <w:spacing w:val="-6"/>
        </w:rPr>
        <w:t> </w:t>
      </w:r>
      <w:r>
        <w:rPr>
          <w:spacing w:val="-10"/>
        </w:rPr>
        <w:t>*</w:t>
      </w:r>
    </w:p>
    <w:p>
      <w:pPr>
        <w:pStyle w:val="BodyText"/>
        <w:spacing w:before="11"/>
      </w:pPr>
    </w:p>
    <w:p>
      <w:pPr>
        <w:pStyle w:val="BodyText"/>
        <w:tabs>
          <w:tab w:pos="3740" w:val="left" w:leader="none"/>
        </w:tabs>
        <w:ind w:left="1724"/>
      </w:pPr>
      <w:r>
        <w:rPr/>
        <w:t>Adjunct</w:t>
      </w:r>
      <w:r>
        <w:rPr>
          <w:spacing w:val="-10"/>
        </w:rPr>
        <w:t> </w:t>
      </w:r>
      <w:r>
        <w:rPr>
          <w:spacing w:val="-2"/>
        </w:rPr>
        <w:t>Faculty:</w:t>
      </w:r>
      <w:r>
        <w:rPr/>
        <w:tab/>
        <w:t>Sherman</w:t>
      </w:r>
      <w:r>
        <w:rPr>
          <w:spacing w:val="-10"/>
        </w:rPr>
        <w:t> </w:t>
      </w:r>
      <w:r>
        <w:rPr>
          <w:spacing w:val="-4"/>
        </w:rPr>
        <w:t>Brown</w:t>
      </w:r>
    </w:p>
    <w:p>
      <w:pPr>
        <w:pStyle w:val="BodyText"/>
        <w:ind w:left="4100"/>
      </w:pPr>
      <w:r>
        <w:rPr/>
        <w:t>Ray</w:t>
      </w:r>
      <w:r>
        <w:rPr>
          <w:spacing w:val="-9"/>
        </w:rPr>
        <w:t> </w:t>
      </w:r>
      <w:r>
        <w:rPr/>
        <w:t>Gindroz,</w:t>
      </w:r>
      <w:r>
        <w:rPr>
          <w:spacing w:val="-4"/>
        </w:rPr>
        <w:t> </w:t>
      </w:r>
      <w:r>
        <w:rPr>
          <w:spacing w:val="-5"/>
        </w:rPr>
        <w:t>AIA</w:t>
      </w:r>
    </w:p>
    <w:p>
      <w:pPr>
        <w:pStyle w:val="BodyText"/>
        <w:spacing w:before="10"/>
      </w:pPr>
    </w:p>
    <w:p>
      <w:pPr>
        <w:pStyle w:val="BodyText"/>
        <w:spacing w:before="1"/>
        <w:ind w:left="2443"/>
      </w:pPr>
      <w:r>
        <w:rPr/>
        <w:t>*</w:t>
      </w:r>
      <w:r>
        <w:rPr>
          <w:spacing w:val="70"/>
        </w:rPr>
        <w:t> </w:t>
      </w:r>
      <w:r>
        <w:rPr/>
        <w:t>Denotes</w:t>
      </w:r>
      <w:r>
        <w:rPr>
          <w:spacing w:val="-3"/>
        </w:rPr>
        <w:t> </w:t>
      </w:r>
      <w:r>
        <w:rPr/>
        <w:t>faculty</w:t>
      </w:r>
      <w:r>
        <w:rPr>
          <w:spacing w:val="-6"/>
        </w:rPr>
        <w:t> </w:t>
      </w:r>
      <w:r>
        <w:rPr/>
        <w:t>not</w:t>
      </w:r>
      <w:r>
        <w:rPr>
          <w:spacing w:val="-4"/>
        </w:rPr>
        <w:t> </w:t>
      </w:r>
      <w:r>
        <w:rPr/>
        <w:t>currently</w:t>
      </w:r>
      <w:r>
        <w:rPr>
          <w:spacing w:val="-6"/>
        </w:rPr>
        <w:t> </w:t>
      </w:r>
      <w:r>
        <w:rPr/>
        <w:t>with</w:t>
      </w:r>
      <w:r>
        <w:rPr>
          <w:spacing w:val="-4"/>
        </w:rPr>
        <w:t> </w:t>
      </w:r>
      <w:r>
        <w:rPr/>
        <w:t>or</w:t>
      </w:r>
      <w:r>
        <w:rPr>
          <w:spacing w:val="-4"/>
        </w:rPr>
        <w:t> </w:t>
      </w:r>
      <w:r>
        <w:rPr/>
        <w:t>available</w:t>
      </w:r>
      <w:r>
        <w:rPr>
          <w:spacing w:val="-4"/>
        </w:rPr>
        <w:t> </w:t>
      </w:r>
      <w:r>
        <w:rPr/>
        <w:t>to</w:t>
      </w:r>
      <w:r>
        <w:rPr>
          <w:spacing w:val="-5"/>
        </w:rPr>
        <w:t> </w:t>
      </w:r>
      <w:r>
        <w:rPr/>
        <w:t>the</w:t>
      </w:r>
      <w:r>
        <w:rPr>
          <w:spacing w:val="-4"/>
        </w:rPr>
        <w:t> </w:t>
      </w:r>
      <w:r>
        <w:rPr>
          <w:spacing w:val="-2"/>
        </w:rPr>
        <w:t>program</w:t>
      </w:r>
    </w:p>
    <w:p>
      <w:pPr>
        <w:pStyle w:val="BodyText"/>
        <w:spacing w:before="7"/>
      </w:pPr>
    </w:p>
    <w:p>
      <w:pPr>
        <w:pStyle w:val="BodyText"/>
        <w:spacing w:before="1"/>
        <w:ind w:left="2333"/>
      </w:pPr>
      <w:r>
        <w:rPr/>
        <w:t>**</w:t>
      </w:r>
      <w:r>
        <w:rPr>
          <w:spacing w:val="75"/>
          <w:w w:val="150"/>
        </w:rPr>
        <w:t> </w:t>
      </w:r>
      <w:r>
        <w:rPr/>
        <w:t>Denotes</w:t>
      </w:r>
      <w:r>
        <w:rPr>
          <w:spacing w:val="-4"/>
        </w:rPr>
        <w:t> </w:t>
      </w:r>
      <w:r>
        <w:rPr/>
        <w:t>faculty</w:t>
      </w:r>
      <w:r>
        <w:rPr>
          <w:spacing w:val="-6"/>
        </w:rPr>
        <w:t> </w:t>
      </w:r>
      <w:r>
        <w:rPr/>
        <w:t>who</w:t>
      </w:r>
      <w:r>
        <w:rPr>
          <w:spacing w:val="-2"/>
        </w:rPr>
        <w:t> </w:t>
      </w:r>
      <w:r>
        <w:rPr/>
        <w:t>have</w:t>
      </w:r>
      <w:r>
        <w:rPr>
          <w:spacing w:val="-5"/>
        </w:rPr>
        <w:t> </w:t>
      </w:r>
      <w:r>
        <w:rPr/>
        <w:t>served</w:t>
      </w:r>
      <w:r>
        <w:rPr>
          <w:spacing w:val="-3"/>
        </w:rPr>
        <w:t> </w:t>
      </w:r>
      <w:r>
        <w:rPr/>
        <w:t>both</w:t>
      </w:r>
      <w:r>
        <w:rPr>
          <w:spacing w:val="-4"/>
        </w:rPr>
        <w:t> </w:t>
      </w:r>
      <w:r>
        <w:rPr/>
        <w:t>full</w:t>
      </w:r>
      <w:r>
        <w:rPr>
          <w:spacing w:val="-6"/>
        </w:rPr>
        <w:t> </w:t>
      </w:r>
      <w:r>
        <w:rPr/>
        <w:t>time</w:t>
      </w:r>
      <w:r>
        <w:rPr>
          <w:spacing w:val="-4"/>
        </w:rPr>
        <w:t> </w:t>
      </w:r>
      <w:r>
        <w:rPr/>
        <w:t>and</w:t>
      </w:r>
      <w:r>
        <w:rPr>
          <w:spacing w:val="-3"/>
        </w:rPr>
        <w:t> </w:t>
      </w:r>
      <w:r>
        <w:rPr/>
        <w:t>as</w:t>
      </w:r>
      <w:r>
        <w:rPr>
          <w:spacing w:val="-1"/>
        </w:rPr>
        <w:t> </w:t>
      </w:r>
      <w:r>
        <w:rPr>
          <w:spacing w:val="-2"/>
        </w:rPr>
        <w:t>adjuncts</w:t>
      </w:r>
    </w:p>
    <w:p>
      <w:pPr>
        <w:pStyle w:val="BodyText"/>
        <w:spacing w:before="10"/>
      </w:pPr>
    </w:p>
    <w:p>
      <w:pPr>
        <w:pStyle w:val="BodyText"/>
        <w:ind w:left="1723" w:right="705"/>
      </w:pPr>
      <w:r>
        <w:rPr/>
        <w:t>Currently all seven of the full-time faculty are registered architects, as are the Emeritus Professors.</w:t>
      </w:r>
      <w:r>
        <w:rPr>
          <w:spacing w:val="-4"/>
        </w:rPr>
        <w:t> </w:t>
      </w:r>
      <w:r>
        <w:rPr/>
        <w:t>All</w:t>
      </w:r>
      <w:r>
        <w:rPr>
          <w:spacing w:val="-2"/>
        </w:rPr>
        <w:t> </w:t>
      </w:r>
      <w:r>
        <w:rPr/>
        <w:t>Adjunct</w:t>
      </w:r>
      <w:r>
        <w:rPr>
          <w:spacing w:val="-4"/>
        </w:rPr>
        <w:t> </w:t>
      </w:r>
      <w:r>
        <w:rPr/>
        <w:t>Faculty</w:t>
      </w:r>
      <w:r>
        <w:rPr>
          <w:spacing w:val="-7"/>
        </w:rPr>
        <w:t> </w:t>
      </w:r>
      <w:r>
        <w:rPr/>
        <w:t>members</w:t>
      </w:r>
      <w:r>
        <w:rPr>
          <w:spacing w:val="-3"/>
        </w:rPr>
        <w:t> </w:t>
      </w:r>
      <w:r>
        <w:rPr/>
        <w:t>are</w:t>
      </w:r>
      <w:r>
        <w:rPr>
          <w:spacing w:val="-4"/>
        </w:rPr>
        <w:t> </w:t>
      </w:r>
      <w:r>
        <w:rPr/>
        <w:t>practicing</w:t>
      </w:r>
      <w:r>
        <w:rPr>
          <w:spacing w:val="-4"/>
        </w:rPr>
        <w:t> </w:t>
      </w:r>
      <w:r>
        <w:rPr/>
        <w:t>in</w:t>
      </w:r>
      <w:r>
        <w:rPr>
          <w:spacing w:val="-2"/>
        </w:rPr>
        <w:t> </w:t>
      </w:r>
      <w:r>
        <w:rPr/>
        <w:t>the</w:t>
      </w:r>
      <w:r>
        <w:rPr>
          <w:spacing w:val="-2"/>
        </w:rPr>
        <w:t> </w:t>
      </w:r>
      <w:r>
        <w:rPr/>
        <w:t>Hampton</w:t>
      </w:r>
      <w:r>
        <w:rPr>
          <w:spacing w:val="-4"/>
        </w:rPr>
        <w:t> </w:t>
      </w:r>
      <w:r>
        <w:rPr/>
        <w:t>Roads</w:t>
      </w:r>
      <w:r>
        <w:rPr>
          <w:spacing w:val="-3"/>
        </w:rPr>
        <w:t> </w:t>
      </w:r>
      <w:r>
        <w:rPr/>
        <w:t>area</w:t>
      </w:r>
      <w:r>
        <w:rPr>
          <w:spacing w:val="-4"/>
        </w:rPr>
        <w:t> </w:t>
      </w:r>
      <w:r>
        <w:rPr/>
        <w:t>in</w:t>
      </w:r>
      <w:r>
        <w:rPr>
          <w:spacing w:val="-4"/>
        </w:rPr>
        <w:t> </w:t>
      </w:r>
      <w:r>
        <w:rPr/>
        <w:t>the fields of architecture, urban design, landscape architecture, or engineering.</w:t>
      </w:r>
    </w:p>
    <w:p>
      <w:pPr>
        <w:pStyle w:val="BodyText"/>
        <w:rPr>
          <w:sz w:val="21"/>
        </w:rPr>
      </w:pPr>
    </w:p>
    <w:p>
      <w:pPr>
        <w:pStyle w:val="BodyText"/>
        <w:ind w:left="1723"/>
      </w:pPr>
      <w:r>
        <w:rPr/>
        <w:t>The faculty represents the Program’s greatest continuing asset. They are committed to establishing</w:t>
      </w:r>
      <w:r>
        <w:rPr>
          <w:spacing w:val="-5"/>
        </w:rPr>
        <w:t> </w:t>
      </w:r>
      <w:r>
        <w:rPr/>
        <w:t>the</w:t>
      </w:r>
      <w:r>
        <w:rPr>
          <w:spacing w:val="-5"/>
        </w:rPr>
        <w:t> </w:t>
      </w:r>
      <w:r>
        <w:rPr/>
        <w:t>Department</w:t>
      </w:r>
      <w:r>
        <w:rPr>
          <w:spacing w:val="-5"/>
        </w:rPr>
        <w:t> </w:t>
      </w:r>
      <w:r>
        <w:rPr/>
        <w:t>of</w:t>
      </w:r>
      <w:r>
        <w:rPr>
          <w:spacing w:val="-3"/>
        </w:rPr>
        <w:t> </w:t>
      </w:r>
      <w:r>
        <w:rPr/>
        <w:t>Architecture</w:t>
      </w:r>
      <w:r>
        <w:rPr>
          <w:spacing w:val="-5"/>
        </w:rPr>
        <w:t> </w:t>
      </w:r>
      <w:r>
        <w:rPr/>
        <w:t>as</w:t>
      </w:r>
      <w:r>
        <w:rPr>
          <w:spacing w:val="-4"/>
        </w:rPr>
        <w:t> </w:t>
      </w:r>
      <w:r>
        <w:rPr/>
        <w:t>a</w:t>
      </w:r>
      <w:r>
        <w:rPr>
          <w:spacing w:val="-5"/>
        </w:rPr>
        <w:t> </w:t>
      </w:r>
      <w:r>
        <w:rPr/>
        <w:t>meaningful</w:t>
      </w:r>
      <w:r>
        <w:rPr>
          <w:spacing w:val="-4"/>
        </w:rPr>
        <w:t> </w:t>
      </w:r>
      <w:r>
        <w:rPr/>
        <w:t>voice</w:t>
      </w:r>
      <w:r>
        <w:rPr>
          <w:spacing w:val="-3"/>
        </w:rPr>
        <w:t> </w:t>
      </w:r>
      <w:r>
        <w:rPr/>
        <w:t>in</w:t>
      </w:r>
      <w:r>
        <w:rPr>
          <w:spacing w:val="-3"/>
        </w:rPr>
        <w:t> </w:t>
      </w:r>
      <w:r>
        <w:rPr/>
        <w:t>the</w:t>
      </w:r>
      <w:r>
        <w:rPr>
          <w:spacing w:val="-3"/>
        </w:rPr>
        <w:t> </w:t>
      </w:r>
      <w:r>
        <w:rPr/>
        <w:t>critical</w:t>
      </w:r>
      <w:r>
        <w:rPr>
          <w:spacing w:val="-6"/>
        </w:rPr>
        <w:t> </w:t>
      </w:r>
      <w:r>
        <w:rPr/>
        <w:t>decisions</w:t>
      </w:r>
    </w:p>
    <w:p>
      <w:pPr>
        <w:spacing w:after="0"/>
        <w:sectPr>
          <w:pgSz w:w="12240" w:h="15840"/>
          <w:pgMar w:header="0" w:footer="974" w:top="1360" w:bottom="1160" w:left="940" w:right="960"/>
        </w:sectPr>
      </w:pPr>
    </w:p>
    <w:p>
      <w:pPr>
        <w:pStyle w:val="BodyText"/>
        <w:spacing w:before="77"/>
        <w:ind w:left="1723"/>
      </w:pPr>
      <w:r>
        <w:rPr/>
        <w:t>facing</w:t>
      </w:r>
      <w:r>
        <w:rPr>
          <w:spacing w:val="-4"/>
        </w:rPr>
        <w:t> </w:t>
      </w:r>
      <w:r>
        <w:rPr/>
        <w:t>the</w:t>
      </w:r>
      <w:r>
        <w:rPr>
          <w:spacing w:val="-3"/>
        </w:rPr>
        <w:t> </w:t>
      </w:r>
      <w:r>
        <w:rPr/>
        <w:t>professions</w:t>
      </w:r>
      <w:r>
        <w:rPr>
          <w:spacing w:val="-4"/>
        </w:rPr>
        <w:t> </w:t>
      </w:r>
      <w:r>
        <w:rPr/>
        <w:t>of</w:t>
      </w:r>
      <w:r>
        <w:rPr>
          <w:spacing w:val="-3"/>
        </w:rPr>
        <w:t> </w:t>
      </w:r>
      <w:r>
        <w:rPr/>
        <w:t>Architecture</w:t>
      </w:r>
      <w:r>
        <w:rPr>
          <w:spacing w:val="-3"/>
        </w:rPr>
        <w:t> </w:t>
      </w:r>
      <w:r>
        <w:rPr/>
        <w:t>and</w:t>
      </w:r>
      <w:r>
        <w:rPr>
          <w:spacing w:val="-4"/>
        </w:rPr>
        <w:t> </w:t>
      </w:r>
      <w:r>
        <w:rPr/>
        <w:t>Architectural</w:t>
      </w:r>
      <w:r>
        <w:rPr>
          <w:spacing w:val="-4"/>
        </w:rPr>
        <w:t> </w:t>
      </w:r>
      <w:r>
        <w:rPr/>
        <w:t>Education,</w:t>
      </w:r>
      <w:r>
        <w:rPr>
          <w:spacing w:val="-4"/>
        </w:rPr>
        <w:t> </w:t>
      </w:r>
      <w:r>
        <w:rPr/>
        <w:t>and</w:t>
      </w:r>
      <w:r>
        <w:rPr>
          <w:spacing w:val="-4"/>
        </w:rPr>
        <w:t> </w:t>
      </w:r>
      <w:r>
        <w:rPr/>
        <w:t>to</w:t>
      </w:r>
      <w:r>
        <w:rPr>
          <w:spacing w:val="-4"/>
        </w:rPr>
        <w:t> </w:t>
      </w:r>
      <w:r>
        <w:rPr/>
        <w:t>the</w:t>
      </w:r>
      <w:r>
        <w:rPr>
          <w:spacing w:val="-4"/>
        </w:rPr>
        <w:t> </w:t>
      </w:r>
      <w:r>
        <w:rPr/>
        <w:t>education</w:t>
      </w:r>
      <w:r>
        <w:rPr>
          <w:spacing w:val="-4"/>
        </w:rPr>
        <w:t> </w:t>
      </w:r>
      <w:r>
        <w:rPr/>
        <w:t>of students that will enable them to assume positions of leadership in those professions.</w:t>
      </w:r>
    </w:p>
    <w:p>
      <w:pPr>
        <w:pStyle w:val="BodyText"/>
        <w:spacing w:before="11"/>
      </w:pPr>
    </w:p>
    <w:p>
      <w:pPr>
        <w:pStyle w:val="BodyText"/>
        <w:ind w:left="499"/>
      </w:pPr>
      <w:r>
        <w:rPr>
          <w:w w:val="95"/>
        </w:rPr>
        <w:t>Faculty-Student</w:t>
      </w:r>
      <w:r>
        <w:rPr>
          <w:spacing w:val="53"/>
        </w:rPr>
        <w:t> </w:t>
      </w:r>
      <w:r>
        <w:rPr>
          <w:spacing w:val="-2"/>
          <w:w w:val="95"/>
        </w:rPr>
        <w:t>Ratios</w:t>
      </w:r>
    </w:p>
    <w:p>
      <w:pPr>
        <w:pStyle w:val="BodyText"/>
        <w:spacing w:before="8"/>
      </w:pPr>
    </w:p>
    <w:p>
      <w:pPr>
        <w:pStyle w:val="BodyText"/>
        <w:ind w:left="1723" w:right="499"/>
      </w:pPr>
      <w:r>
        <w:rPr/>
        <w:t>Faculty-student</w:t>
      </w:r>
      <w:r>
        <w:rPr>
          <w:spacing w:val="-5"/>
        </w:rPr>
        <w:t> </w:t>
      </w:r>
      <w:r>
        <w:rPr/>
        <w:t>teacher</w:t>
      </w:r>
      <w:r>
        <w:rPr>
          <w:spacing w:val="-4"/>
        </w:rPr>
        <w:t> </w:t>
      </w:r>
      <w:r>
        <w:rPr/>
        <w:t>ratios</w:t>
      </w:r>
      <w:r>
        <w:rPr>
          <w:spacing w:val="-4"/>
        </w:rPr>
        <w:t> </w:t>
      </w:r>
      <w:r>
        <w:rPr/>
        <w:t>for</w:t>
      </w:r>
      <w:r>
        <w:rPr>
          <w:spacing w:val="-4"/>
        </w:rPr>
        <w:t> </w:t>
      </w:r>
      <w:r>
        <w:rPr/>
        <w:t>studios</w:t>
      </w:r>
      <w:r>
        <w:rPr>
          <w:spacing w:val="-4"/>
        </w:rPr>
        <w:t> </w:t>
      </w:r>
      <w:r>
        <w:rPr/>
        <w:t>for</w:t>
      </w:r>
      <w:r>
        <w:rPr>
          <w:spacing w:val="-4"/>
        </w:rPr>
        <w:t> </w:t>
      </w:r>
      <w:r>
        <w:rPr/>
        <w:t>all</w:t>
      </w:r>
      <w:r>
        <w:rPr>
          <w:spacing w:val="-6"/>
        </w:rPr>
        <w:t> </w:t>
      </w:r>
      <w:r>
        <w:rPr/>
        <w:t>design</w:t>
      </w:r>
      <w:r>
        <w:rPr>
          <w:spacing w:val="-3"/>
        </w:rPr>
        <w:t> </w:t>
      </w:r>
      <w:r>
        <w:rPr/>
        <w:t>levels</w:t>
      </w:r>
      <w:r>
        <w:rPr>
          <w:spacing w:val="-4"/>
        </w:rPr>
        <w:t> </w:t>
      </w:r>
      <w:r>
        <w:rPr/>
        <w:t>fluctuates</w:t>
      </w:r>
      <w:r>
        <w:rPr>
          <w:spacing w:val="-4"/>
        </w:rPr>
        <w:t> </w:t>
      </w:r>
      <w:r>
        <w:rPr/>
        <w:t>depending</w:t>
      </w:r>
      <w:r>
        <w:rPr>
          <w:spacing w:val="-3"/>
        </w:rPr>
        <w:t> </w:t>
      </w:r>
      <w:r>
        <w:rPr/>
        <w:t>on</w:t>
      </w:r>
      <w:r>
        <w:rPr>
          <w:spacing w:val="-5"/>
        </w:rPr>
        <w:t> </w:t>
      </w:r>
      <w:r>
        <w:rPr/>
        <w:t>class size. Our goal is to assign two full-time professors to each studio. With seven or eight full- time faculty, this is not always feasible or practical. We have an outstanding continuing adjunct relationship with Mr. Sherman Brown, who has been available for the past four years, and is willing to teach studio, as well as the structures sequence. This results, however, in one of our remaining faculty members often teaching two studios as well as support courses. This is exacerbated by enrollment uncertainty.</w:t>
      </w:r>
    </w:p>
    <w:p>
      <w:pPr>
        <w:pStyle w:val="BodyText"/>
        <w:spacing w:before="10"/>
      </w:pPr>
    </w:p>
    <w:p>
      <w:pPr>
        <w:pStyle w:val="BodyText"/>
        <w:spacing w:before="1"/>
        <w:ind w:left="1723" w:right="499"/>
      </w:pPr>
      <w:r>
        <w:rPr/>
        <w:t>As a small program, studio teaching needs are relatively constant, although the number of students per studio varies. First year studio has ranged between 30-40 students over the last</w:t>
      </w:r>
      <w:r>
        <w:rPr>
          <w:spacing w:val="-3"/>
        </w:rPr>
        <w:t> </w:t>
      </w:r>
      <w:r>
        <w:rPr/>
        <w:t>several</w:t>
      </w:r>
      <w:r>
        <w:rPr>
          <w:spacing w:val="-2"/>
        </w:rPr>
        <w:t> </w:t>
      </w:r>
      <w:r>
        <w:rPr/>
        <w:t>years.</w:t>
      </w:r>
      <w:r>
        <w:rPr>
          <w:spacing w:val="-8"/>
        </w:rPr>
        <w:t> </w:t>
      </w:r>
      <w:r>
        <w:rPr/>
        <w:t>With</w:t>
      </w:r>
      <w:r>
        <w:rPr>
          <w:spacing w:val="-3"/>
        </w:rPr>
        <w:t> </w:t>
      </w:r>
      <w:r>
        <w:rPr/>
        <w:t>two</w:t>
      </w:r>
      <w:r>
        <w:rPr>
          <w:spacing w:val="-2"/>
        </w:rPr>
        <w:t> </w:t>
      </w:r>
      <w:r>
        <w:rPr/>
        <w:t>faculty,</w:t>
      </w:r>
      <w:r>
        <w:rPr>
          <w:spacing w:val="-3"/>
        </w:rPr>
        <w:t> </w:t>
      </w:r>
      <w:r>
        <w:rPr/>
        <w:t>the</w:t>
      </w:r>
      <w:r>
        <w:rPr>
          <w:spacing w:val="-3"/>
        </w:rPr>
        <w:t> </w:t>
      </w:r>
      <w:r>
        <w:rPr/>
        <w:t>ratio</w:t>
      </w:r>
      <w:r>
        <w:rPr>
          <w:spacing w:val="-2"/>
        </w:rPr>
        <w:t> </w:t>
      </w:r>
      <w:r>
        <w:rPr/>
        <w:t>is</w:t>
      </w:r>
      <w:r>
        <w:rPr>
          <w:spacing w:val="-2"/>
        </w:rPr>
        <w:t> </w:t>
      </w:r>
      <w:r>
        <w:rPr/>
        <w:t>between</w:t>
      </w:r>
      <w:r>
        <w:rPr>
          <w:spacing w:val="-3"/>
        </w:rPr>
        <w:t> </w:t>
      </w:r>
      <w:r>
        <w:rPr/>
        <w:t>15</w:t>
      </w:r>
      <w:r>
        <w:rPr>
          <w:spacing w:val="-2"/>
        </w:rPr>
        <w:t> </w:t>
      </w:r>
      <w:r>
        <w:rPr/>
        <w:t>and</w:t>
      </w:r>
      <w:r>
        <w:rPr>
          <w:spacing w:val="-2"/>
        </w:rPr>
        <w:t> </w:t>
      </w:r>
      <w:r>
        <w:rPr/>
        <w:t>20:1.</w:t>
      </w:r>
      <w:r>
        <w:rPr>
          <w:spacing w:val="-2"/>
        </w:rPr>
        <w:t> </w:t>
      </w:r>
      <w:r>
        <w:rPr/>
        <w:t>All</w:t>
      </w:r>
      <w:r>
        <w:rPr>
          <w:spacing w:val="-4"/>
        </w:rPr>
        <w:t> </w:t>
      </w:r>
      <w:r>
        <w:rPr/>
        <w:t>other</w:t>
      </w:r>
      <w:r>
        <w:rPr>
          <w:spacing w:val="-2"/>
        </w:rPr>
        <w:t> </w:t>
      </w:r>
      <w:r>
        <w:rPr/>
        <w:t>studios</w:t>
      </w:r>
      <w:r>
        <w:rPr>
          <w:spacing w:val="-3"/>
        </w:rPr>
        <w:t> </w:t>
      </w:r>
      <w:r>
        <w:rPr/>
        <w:t>have student loads between 24 and 32 students typically with two faculty members. Thus, the typical faculty-student ratio for 2nd to 5th year is approximately 15:1. We have observed similar</w:t>
      </w:r>
      <w:r>
        <w:rPr>
          <w:spacing w:val="-3"/>
        </w:rPr>
        <w:t> </w:t>
      </w:r>
      <w:r>
        <w:rPr/>
        <w:t>numbers</w:t>
      </w:r>
      <w:r>
        <w:rPr>
          <w:spacing w:val="-5"/>
        </w:rPr>
        <w:t> </w:t>
      </w:r>
      <w:r>
        <w:rPr/>
        <w:t>from other</w:t>
      </w:r>
      <w:r>
        <w:rPr>
          <w:spacing w:val="-3"/>
        </w:rPr>
        <w:t> </w:t>
      </w:r>
      <w:r>
        <w:rPr/>
        <w:t>institutions,</w:t>
      </w:r>
      <w:r>
        <w:rPr>
          <w:spacing w:val="-4"/>
        </w:rPr>
        <w:t> </w:t>
      </w:r>
      <w:r>
        <w:rPr/>
        <w:t>ranging</w:t>
      </w:r>
      <w:r>
        <w:rPr>
          <w:spacing w:val="-4"/>
        </w:rPr>
        <w:t> </w:t>
      </w:r>
      <w:r>
        <w:rPr/>
        <w:t>from 9:1</w:t>
      </w:r>
      <w:r>
        <w:rPr>
          <w:spacing w:val="-4"/>
        </w:rPr>
        <w:t> </w:t>
      </w:r>
      <w:r>
        <w:rPr/>
        <w:t>to</w:t>
      </w:r>
      <w:r>
        <w:rPr>
          <w:spacing w:val="-2"/>
        </w:rPr>
        <w:t> </w:t>
      </w:r>
      <w:r>
        <w:rPr/>
        <w:t>well</w:t>
      </w:r>
      <w:r>
        <w:rPr>
          <w:spacing w:val="-5"/>
        </w:rPr>
        <w:t> </w:t>
      </w:r>
      <w:r>
        <w:rPr/>
        <w:t>over</w:t>
      </w:r>
      <w:r>
        <w:rPr>
          <w:spacing w:val="-1"/>
        </w:rPr>
        <w:t> </w:t>
      </w:r>
      <w:r>
        <w:rPr/>
        <w:t>21:1</w:t>
      </w:r>
      <w:r>
        <w:rPr>
          <w:spacing w:val="-2"/>
        </w:rPr>
        <w:t> </w:t>
      </w:r>
      <w:r>
        <w:rPr/>
        <w:t>(the</w:t>
      </w:r>
      <w:r>
        <w:rPr>
          <w:spacing w:val="-2"/>
        </w:rPr>
        <w:t> </w:t>
      </w:r>
      <w:r>
        <w:rPr/>
        <w:t>numbers</w:t>
      </w:r>
      <w:r>
        <w:rPr>
          <w:spacing w:val="-3"/>
        </w:rPr>
        <w:t> </w:t>
      </w:r>
      <w:r>
        <w:rPr/>
        <w:t>are not, in all instances, involving the studio only). The overall student/faculty ratio for full-time faculty in 2013-2014 was 15.75:1 (a total of 126 undergraduate plus graduate/professional students and 8 faculty), or 16.3:1 if the calculation is made with 7.75 faculty FTEs.</w:t>
      </w:r>
    </w:p>
    <w:p>
      <w:pPr>
        <w:pStyle w:val="BodyText"/>
        <w:rPr>
          <w:sz w:val="21"/>
        </w:rPr>
      </w:pPr>
    </w:p>
    <w:p>
      <w:pPr>
        <w:pStyle w:val="BodyText"/>
        <w:ind w:left="499"/>
      </w:pPr>
      <w:r>
        <w:rPr>
          <w:spacing w:val="-2"/>
        </w:rPr>
        <w:t>Administration</w:t>
      </w:r>
    </w:p>
    <w:p>
      <w:pPr>
        <w:pStyle w:val="BodyText"/>
        <w:spacing w:before="10"/>
      </w:pPr>
    </w:p>
    <w:p>
      <w:pPr>
        <w:pStyle w:val="BodyText"/>
        <w:ind w:left="1723" w:right="705"/>
      </w:pPr>
      <w:r>
        <w:rPr/>
        <w:t>For</w:t>
      </w:r>
      <w:r>
        <w:rPr>
          <w:spacing w:val="-4"/>
        </w:rPr>
        <w:t> </w:t>
      </w:r>
      <w:r>
        <w:rPr/>
        <w:t>each</w:t>
      </w:r>
      <w:r>
        <w:rPr>
          <w:spacing w:val="-5"/>
        </w:rPr>
        <w:t> </w:t>
      </w:r>
      <w:r>
        <w:rPr/>
        <w:t>administrative</w:t>
      </w:r>
      <w:r>
        <w:rPr>
          <w:spacing w:val="-3"/>
        </w:rPr>
        <w:t> </w:t>
      </w:r>
      <w:r>
        <w:rPr/>
        <w:t>position,</w:t>
      </w:r>
      <w:r>
        <w:rPr>
          <w:spacing w:val="-5"/>
        </w:rPr>
        <w:t> </w:t>
      </w:r>
      <w:r>
        <w:rPr/>
        <w:t>a</w:t>
      </w:r>
      <w:r>
        <w:rPr>
          <w:spacing w:val="-3"/>
        </w:rPr>
        <w:t> </w:t>
      </w:r>
      <w:r>
        <w:rPr/>
        <w:t>description</w:t>
      </w:r>
      <w:r>
        <w:rPr>
          <w:spacing w:val="-3"/>
        </w:rPr>
        <w:t> </w:t>
      </w:r>
      <w:r>
        <w:rPr/>
        <w:t>of</w:t>
      </w:r>
      <w:r>
        <w:rPr>
          <w:spacing w:val="-3"/>
        </w:rPr>
        <w:t> </w:t>
      </w:r>
      <w:r>
        <w:rPr/>
        <w:t>the</w:t>
      </w:r>
      <w:r>
        <w:rPr>
          <w:spacing w:val="-3"/>
        </w:rPr>
        <w:t> </w:t>
      </w:r>
      <w:r>
        <w:rPr/>
        <w:t>distribution</w:t>
      </w:r>
      <w:r>
        <w:rPr>
          <w:spacing w:val="-5"/>
        </w:rPr>
        <w:t> </w:t>
      </w:r>
      <w:r>
        <w:rPr/>
        <w:t>of</w:t>
      </w:r>
      <w:r>
        <w:rPr>
          <w:spacing w:val="-3"/>
        </w:rPr>
        <w:t> </w:t>
      </w:r>
      <w:r>
        <w:rPr/>
        <w:t>effort</w:t>
      </w:r>
      <w:r>
        <w:rPr>
          <w:spacing w:val="-5"/>
        </w:rPr>
        <w:t> </w:t>
      </w:r>
      <w:r>
        <w:rPr/>
        <w:t>between administrative and other responsibilities</w:t>
      </w:r>
    </w:p>
    <w:p>
      <w:pPr>
        <w:pStyle w:val="BodyText"/>
        <w:spacing w:before="9"/>
      </w:pPr>
    </w:p>
    <w:p>
      <w:pPr>
        <w:pStyle w:val="BodyText"/>
        <w:ind w:left="1723" w:right="523"/>
      </w:pPr>
      <w:r>
        <w:rPr/>
        <w:t>The Department of Architecture is situated in the School of Engineering and Technology, one of six Schools in the Undergraduate College at Hampton University. The Chair of Architecture reports to the Dean of the School, and through him to the Provost, who is the Chief</w:t>
      </w:r>
      <w:r>
        <w:rPr>
          <w:spacing w:val="-3"/>
        </w:rPr>
        <w:t> </w:t>
      </w:r>
      <w:r>
        <w:rPr/>
        <w:t>Academic</w:t>
      </w:r>
      <w:r>
        <w:rPr>
          <w:spacing w:val="-4"/>
        </w:rPr>
        <w:t> </w:t>
      </w:r>
      <w:r>
        <w:rPr/>
        <w:t>Officer</w:t>
      </w:r>
      <w:r>
        <w:rPr>
          <w:spacing w:val="-4"/>
        </w:rPr>
        <w:t> </w:t>
      </w:r>
      <w:r>
        <w:rPr/>
        <w:t>for</w:t>
      </w:r>
      <w:r>
        <w:rPr>
          <w:spacing w:val="-4"/>
        </w:rPr>
        <w:t> </w:t>
      </w:r>
      <w:r>
        <w:rPr/>
        <w:t>the</w:t>
      </w:r>
      <w:r>
        <w:rPr>
          <w:spacing w:val="-5"/>
        </w:rPr>
        <w:t> </w:t>
      </w:r>
      <w:r>
        <w:rPr/>
        <w:t>University.</w:t>
      </w:r>
      <w:r>
        <w:rPr>
          <w:spacing w:val="40"/>
        </w:rPr>
        <w:t> </w:t>
      </w:r>
      <w:r>
        <w:rPr/>
        <w:t>Architecture</w:t>
      </w:r>
      <w:r>
        <w:rPr>
          <w:spacing w:val="-3"/>
        </w:rPr>
        <w:t> </w:t>
      </w:r>
      <w:r>
        <w:rPr/>
        <w:t>is</w:t>
      </w:r>
      <w:r>
        <w:rPr>
          <w:spacing w:val="-4"/>
        </w:rPr>
        <w:t> </w:t>
      </w:r>
      <w:r>
        <w:rPr/>
        <w:t>the</w:t>
      </w:r>
      <w:r>
        <w:rPr>
          <w:spacing w:val="-3"/>
        </w:rPr>
        <w:t> </w:t>
      </w:r>
      <w:r>
        <w:rPr/>
        <w:t>largest</w:t>
      </w:r>
      <w:r>
        <w:rPr>
          <w:spacing w:val="-5"/>
        </w:rPr>
        <w:t> </w:t>
      </w:r>
      <w:r>
        <w:rPr/>
        <w:t>Program in</w:t>
      </w:r>
      <w:r>
        <w:rPr>
          <w:spacing w:val="-5"/>
        </w:rPr>
        <w:t> </w:t>
      </w:r>
      <w:r>
        <w:rPr/>
        <w:t>the</w:t>
      </w:r>
      <w:r>
        <w:rPr>
          <w:spacing w:val="-5"/>
        </w:rPr>
        <w:t> </w:t>
      </w:r>
      <w:r>
        <w:rPr/>
        <w:t>School, both in student body and faculty, and enjoys a very beneficial relationship with the Dean,</w:t>
      </w:r>
      <w:r>
        <w:rPr>
          <w:spacing w:val="40"/>
        </w:rPr>
        <w:t> </w:t>
      </w:r>
      <w:r>
        <w:rPr/>
        <w:t>Dr. Eric Sheppard. Dr. Sheppard is sensitive to the needs of the Program, and is understanding of some of the unique ways in which Architectural Education takes place.</w:t>
      </w:r>
    </w:p>
    <w:p>
      <w:pPr>
        <w:pStyle w:val="BodyText"/>
        <w:spacing w:before="1"/>
        <w:ind w:left="1723" w:right="613"/>
      </w:pPr>
      <w:r>
        <w:rPr/>
        <w:t>Nonetheless,</w:t>
      </w:r>
      <w:r>
        <w:rPr>
          <w:spacing w:val="-4"/>
        </w:rPr>
        <w:t> </w:t>
      </w:r>
      <w:r>
        <w:rPr/>
        <w:t>there</w:t>
      </w:r>
      <w:r>
        <w:rPr>
          <w:spacing w:val="-4"/>
        </w:rPr>
        <w:t> </w:t>
      </w:r>
      <w:r>
        <w:rPr/>
        <w:t>is</w:t>
      </w:r>
      <w:r>
        <w:rPr>
          <w:spacing w:val="-3"/>
        </w:rPr>
        <w:t> </w:t>
      </w:r>
      <w:r>
        <w:rPr/>
        <w:t>some</w:t>
      </w:r>
      <w:r>
        <w:rPr>
          <w:spacing w:val="-4"/>
        </w:rPr>
        <w:t> </w:t>
      </w:r>
      <w:r>
        <w:rPr/>
        <w:t>concern</w:t>
      </w:r>
      <w:r>
        <w:rPr>
          <w:spacing w:val="-4"/>
        </w:rPr>
        <w:t> </w:t>
      </w:r>
      <w:r>
        <w:rPr/>
        <w:t>over</w:t>
      </w:r>
      <w:r>
        <w:rPr>
          <w:spacing w:val="-3"/>
        </w:rPr>
        <w:t> </w:t>
      </w:r>
      <w:r>
        <w:rPr/>
        <w:t>the</w:t>
      </w:r>
      <w:r>
        <w:rPr>
          <w:spacing w:val="-4"/>
        </w:rPr>
        <w:t> </w:t>
      </w:r>
      <w:r>
        <w:rPr/>
        <w:t>relative</w:t>
      </w:r>
      <w:r>
        <w:rPr>
          <w:spacing w:val="-4"/>
        </w:rPr>
        <w:t> </w:t>
      </w:r>
      <w:r>
        <w:rPr/>
        <w:t>degree</w:t>
      </w:r>
      <w:r>
        <w:rPr>
          <w:spacing w:val="-2"/>
        </w:rPr>
        <w:t> </w:t>
      </w:r>
      <w:r>
        <w:rPr/>
        <w:t>of</w:t>
      </w:r>
      <w:r>
        <w:rPr>
          <w:spacing w:val="-2"/>
        </w:rPr>
        <w:t> </w:t>
      </w:r>
      <w:r>
        <w:rPr/>
        <w:t>autonomy</w:t>
      </w:r>
      <w:r>
        <w:rPr>
          <w:spacing w:val="-10"/>
        </w:rPr>
        <w:t> </w:t>
      </w:r>
      <w:r>
        <w:rPr/>
        <w:t>granted</w:t>
      </w:r>
      <w:r>
        <w:rPr>
          <w:spacing w:val="-2"/>
        </w:rPr>
        <w:t> </w:t>
      </w:r>
      <w:r>
        <w:rPr/>
        <w:t>the Department Chair of a Professional Program.</w:t>
      </w:r>
    </w:p>
    <w:p>
      <w:pPr>
        <w:pStyle w:val="BodyText"/>
        <w:spacing w:before="11"/>
      </w:pPr>
    </w:p>
    <w:p>
      <w:pPr>
        <w:pStyle w:val="BodyText"/>
        <w:ind w:left="1723" w:right="518"/>
      </w:pPr>
      <w:r>
        <w:rPr/>
        <w:t>Under University policy, the Chair serves on a nine-month contract, and receives 25% release</w:t>
      </w:r>
      <w:r>
        <w:rPr>
          <w:spacing w:val="-2"/>
        </w:rPr>
        <w:t> </w:t>
      </w:r>
      <w:r>
        <w:rPr/>
        <w:t>time</w:t>
      </w:r>
      <w:r>
        <w:rPr>
          <w:spacing w:val="-4"/>
        </w:rPr>
        <w:t> </w:t>
      </w:r>
      <w:r>
        <w:rPr/>
        <w:t>for</w:t>
      </w:r>
      <w:r>
        <w:rPr>
          <w:spacing w:val="-3"/>
        </w:rPr>
        <w:t> </w:t>
      </w:r>
      <w:r>
        <w:rPr/>
        <w:t>administrative</w:t>
      </w:r>
      <w:r>
        <w:rPr>
          <w:spacing w:val="-4"/>
        </w:rPr>
        <w:t> </w:t>
      </w:r>
      <w:r>
        <w:rPr/>
        <w:t>duties.</w:t>
      </w:r>
      <w:r>
        <w:rPr>
          <w:spacing w:val="-2"/>
        </w:rPr>
        <w:t> </w:t>
      </w:r>
      <w:r>
        <w:rPr/>
        <w:t>As</w:t>
      </w:r>
      <w:r>
        <w:rPr>
          <w:spacing w:val="-3"/>
        </w:rPr>
        <w:t> </w:t>
      </w:r>
      <w:r>
        <w:rPr/>
        <w:t>a</w:t>
      </w:r>
      <w:r>
        <w:rPr>
          <w:spacing w:val="-4"/>
        </w:rPr>
        <w:t> </w:t>
      </w:r>
      <w:r>
        <w:rPr/>
        <w:t>result,</w:t>
      </w:r>
      <w:r>
        <w:rPr>
          <w:spacing w:val="-2"/>
        </w:rPr>
        <w:t> </w:t>
      </w:r>
      <w:r>
        <w:rPr/>
        <w:t>in</w:t>
      </w:r>
      <w:r>
        <w:rPr>
          <w:spacing w:val="-4"/>
        </w:rPr>
        <w:t> </w:t>
      </w:r>
      <w:r>
        <w:rPr/>
        <w:t>most</w:t>
      </w:r>
      <w:r>
        <w:rPr>
          <w:spacing w:val="-2"/>
        </w:rPr>
        <w:t> </w:t>
      </w:r>
      <w:r>
        <w:rPr/>
        <w:t>years</w:t>
      </w:r>
      <w:r>
        <w:rPr>
          <w:spacing w:val="-3"/>
        </w:rPr>
        <w:t> </w:t>
      </w:r>
      <w:r>
        <w:rPr/>
        <w:t>he</w:t>
      </w:r>
      <w:r>
        <w:rPr>
          <w:spacing w:val="-4"/>
        </w:rPr>
        <w:t> </w:t>
      </w:r>
      <w:r>
        <w:rPr/>
        <w:t>teaches a</w:t>
      </w:r>
      <w:r>
        <w:rPr>
          <w:spacing w:val="-4"/>
        </w:rPr>
        <w:t> </w:t>
      </w:r>
      <w:r>
        <w:rPr/>
        <w:t>design</w:t>
      </w:r>
      <w:r>
        <w:rPr>
          <w:spacing w:val="-4"/>
        </w:rPr>
        <w:t> </w:t>
      </w:r>
      <w:r>
        <w:rPr/>
        <w:t>studio, as well as support courses, and advises thesis students. In addition to administering the Department, supervising faculty and staff, serving on University and School Administrative Committees; and, fundraising the Chair has ultimate responsibility for academic and advisement matters in the Department.</w:t>
      </w:r>
      <w:r>
        <w:rPr>
          <w:spacing w:val="40"/>
        </w:rPr>
        <w:t> </w:t>
      </w:r>
      <w:r>
        <w:rPr/>
        <w:t>The Program has a history of strong faculty</w:t>
      </w:r>
      <w:r>
        <w:rPr>
          <w:spacing w:val="40"/>
        </w:rPr>
        <w:t> </w:t>
      </w:r>
      <w:r>
        <w:rPr/>
        <w:t>support, but with the ultimate responsibility for resolution resting with the Chair.</w:t>
      </w:r>
    </w:p>
    <w:p>
      <w:pPr>
        <w:spacing w:after="0"/>
        <w:sectPr>
          <w:pgSz w:w="12240" w:h="15840"/>
          <w:pgMar w:header="0" w:footer="974" w:top="1360" w:bottom="1160" w:left="940" w:right="960"/>
        </w:sectPr>
      </w:pPr>
    </w:p>
    <w:p>
      <w:pPr>
        <w:pStyle w:val="BodyText"/>
        <w:spacing w:before="77"/>
        <w:ind w:left="500"/>
      </w:pPr>
      <w:r>
        <w:rPr/>
        <w:t>Teaching</w:t>
      </w:r>
      <w:r>
        <w:rPr>
          <w:spacing w:val="-10"/>
        </w:rPr>
        <w:t> </w:t>
      </w:r>
      <w:r>
        <w:rPr>
          <w:spacing w:val="-2"/>
        </w:rPr>
        <w:t>Assignments</w:t>
      </w:r>
    </w:p>
    <w:p>
      <w:pPr>
        <w:pStyle w:val="BodyText"/>
        <w:spacing w:before="8"/>
      </w:pPr>
    </w:p>
    <w:p>
      <w:pPr>
        <w:spacing w:before="0"/>
        <w:ind w:left="1724" w:right="0" w:firstLine="0"/>
        <w:jc w:val="left"/>
        <w:rPr>
          <w:b/>
          <w:sz w:val="20"/>
        </w:rPr>
      </w:pPr>
      <w:r>
        <w:rPr>
          <w:b/>
          <w:sz w:val="20"/>
        </w:rPr>
        <w:t>Fall</w:t>
      </w:r>
      <w:r>
        <w:rPr>
          <w:b/>
          <w:spacing w:val="-8"/>
          <w:sz w:val="20"/>
        </w:rPr>
        <w:t> </w:t>
      </w:r>
      <w:r>
        <w:rPr>
          <w:b/>
          <w:sz w:val="20"/>
        </w:rPr>
        <w:t>2012</w:t>
      </w:r>
      <w:r>
        <w:rPr>
          <w:b/>
          <w:spacing w:val="-7"/>
          <w:sz w:val="20"/>
        </w:rPr>
        <w:t> </w:t>
      </w:r>
      <w:r>
        <w:rPr>
          <w:b/>
          <w:sz w:val="20"/>
        </w:rPr>
        <w:t>Teaching</w:t>
      </w:r>
      <w:r>
        <w:rPr>
          <w:b/>
          <w:spacing w:val="-2"/>
          <w:sz w:val="20"/>
        </w:rPr>
        <w:t> Assignments</w:t>
      </w:r>
    </w:p>
    <w:p>
      <w:pPr>
        <w:pStyle w:val="BodyText"/>
        <w:spacing w:before="4"/>
        <w:rPr>
          <w:b/>
          <w:sz w:val="21"/>
        </w:rPr>
      </w:pPr>
    </w:p>
    <w:tbl>
      <w:tblPr>
        <w:tblW w:w="0" w:type="auto"/>
        <w:jc w:val="left"/>
        <w:tblInd w:w="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53"/>
        <w:gridCol w:w="411"/>
        <w:gridCol w:w="411"/>
        <w:gridCol w:w="411"/>
        <w:gridCol w:w="409"/>
        <w:gridCol w:w="409"/>
        <w:gridCol w:w="411"/>
        <w:gridCol w:w="409"/>
        <w:gridCol w:w="411"/>
        <w:gridCol w:w="409"/>
        <w:gridCol w:w="409"/>
        <w:gridCol w:w="411"/>
        <w:gridCol w:w="409"/>
        <w:gridCol w:w="411"/>
      </w:tblGrid>
      <w:tr>
        <w:trPr>
          <w:trHeight w:val="1348" w:hRule="atLeast"/>
        </w:trPr>
        <w:tc>
          <w:tcPr>
            <w:tcW w:w="3353" w:type="dxa"/>
          </w:tcPr>
          <w:p>
            <w:pPr>
              <w:pStyle w:val="TableParagraph"/>
              <w:rPr>
                <w:rFonts w:ascii="Times New Roman"/>
                <w:sz w:val="18"/>
              </w:rPr>
            </w:pPr>
          </w:p>
        </w:tc>
        <w:tc>
          <w:tcPr>
            <w:tcW w:w="411" w:type="dxa"/>
            <w:textDirection w:val="btLr"/>
          </w:tcPr>
          <w:p>
            <w:pPr>
              <w:pStyle w:val="TableParagraph"/>
              <w:spacing w:before="102"/>
              <w:ind w:left="112"/>
              <w:rPr>
                <w:sz w:val="18"/>
              </w:rPr>
            </w:pPr>
            <w:r>
              <w:rPr>
                <w:sz w:val="18"/>
              </w:rPr>
              <w:t>ARC</w:t>
            </w:r>
            <w:r>
              <w:rPr>
                <w:spacing w:val="-5"/>
                <w:sz w:val="18"/>
              </w:rPr>
              <w:t> 101</w:t>
            </w:r>
          </w:p>
        </w:tc>
        <w:tc>
          <w:tcPr>
            <w:tcW w:w="411" w:type="dxa"/>
            <w:textDirection w:val="btLr"/>
          </w:tcPr>
          <w:p>
            <w:pPr>
              <w:pStyle w:val="TableParagraph"/>
              <w:spacing w:before="99"/>
              <w:ind w:left="112"/>
              <w:rPr>
                <w:sz w:val="18"/>
              </w:rPr>
            </w:pPr>
            <w:r>
              <w:rPr>
                <w:sz w:val="18"/>
              </w:rPr>
              <w:t>ARC</w:t>
            </w:r>
            <w:r>
              <w:rPr>
                <w:spacing w:val="-5"/>
                <w:sz w:val="18"/>
              </w:rPr>
              <w:t> 200</w:t>
            </w:r>
          </w:p>
        </w:tc>
        <w:tc>
          <w:tcPr>
            <w:tcW w:w="411" w:type="dxa"/>
            <w:textDirection w:val="btLr"/>
          </w:tcPr>
          <w:p>
            <w:pPr>
              <w:pStyle w:val="TableParagraph"/>
              <w:spacing w:before="98"/>
              <w:ind w:left="112"/>
              <w:rPr>
                <w:sz w:val="18"/>
              </w:rPr>
            </w:pPr>
            <w:r>
              <w:rPr>
                <w:sz w:val="18"/>
              </w:rPr>
              <w:t>ARC</w:t>
            </w:r>
            <w:r>
              <w:rPr>
                <w:spacing w:val="-5"/>
                <w:sz w:val="18"/>
              </w:rPr>
              <w:t> 201</w:t>
            </w:r>
          </w:p>
        </w:tc>
        <w:tc>
          <w:tcPr>
            <w:tcW w:w="409" w:type="dxa"/>
            <w:textDirection w:val="btLr"/>
          </w:tcPr>
          <w:p>
            <w:pPr>
              <w:pStyle w:val="TableParagraph"/>
              <w:spacing w:before="95"/>
              <w:ind w:left="112"/>
              <w:rPr>
                <w:sz w:val="18"/>
              </w:rPr>
            </w:pPr>
            <w:r>
              <w:rPr>
                <w:sz w:val="18"/>
              </w:rPr>
              <w:t>ARC</w:t>
            </w:r>
            <w:r>
              <w:rPr>
                <w:spacing w:val="-5"/>
                <w:sz w:val="18"/>
              </w:rPr>
              <w:t> 203</w:t>
            </w:r>
          </w:p>
        </w:tc>
        <w:tc>
          <w:tcPr>
            <w:tcW w:w="409" w:type="dxa"/>
            <w:textDirection w:val="btLr"/>
          </w:tcPr>
          <w:p>
            <w:pPr>
              <w:pStyle w:val="TableParagraph"/>
              <w:spacing w:before="97"/>
              <w:ind w:left="113"/>
              <w:rPr>
                <w:sz w:val="18"/>
              </w:rPr>
            </w:pPr>
            <w:r>
              <w:rPr>
                <w:sz w:val="18"/>
              </w:rPr>
              <w:t>ARC</w:t>
            </w:r>
            <w:r>
              <w:rPr>
                <w:spacing w:val="-5"/>
                <w:sz w:val="18"/>
              </w:rPr>
              <w:t> 208</w:t>
            </w:r>
          </w:p>
        </w:tc>
        <w:tc>
          <w:tcPr>
            <w:tcW w:w="411" w:type="dxa"/>
            <w:textDirection w:val="btLr"/>
          </w:tcPr>
          <w:p>
            <w:pPr>
              <w:pStyle w:val="TableParagraph"/>
              <w:spacing w:before="96"/>
              <w:ind w:left="113"/>
              <w:rPr>
                <w:sz w:val="18"/>
              </w:rPr>
            </w:pPr>
            <w:r>
              <w:rPr>
                <w:sz w:val="18"/>
              </w:rPr>
              <w:t>ARC</w:t>
            </w:r>
            <w:r>
              <w:rPr>
                <w:spacing w:val="-5"/>
                <w:sz w:val="18"/>
              </w:rPr>
              <w:t> 303</w:t>
            </w:r>
          </w:p>
        </w:tc>
        <w:tc>
          <w:tcPr>
            <w:tcW w:w="409" w:type="dxa"/>
            <w:textDirection w:val="btLr"/>
          </w:tcPr>
          <w:p>
            <w:pPr>
              <w:pStyle w:val="TableParagraph"/>
              <w:spacing w:before="95"/>
              <w:ind w:left="113"/>
              <w:rPr>
                <w:sz w:val="18"/>
              </w:rPr>
            </w:pPr>
            <w:r>
              <w:rPr>
                <w:sz w:val="18"/>
              </w:rPr>
              <w:t>ARC</w:t>
            </w:r>
            <w:r>
              <w:rPr>
                <w:spacing w:val="-5"/>
                <w:sz w:val="18"/>
              </w:rPr>
              <w:t> 309</w:t>
            </w:r>
          </w:p>
        </w:tc>
        <w:tc>
          <w:tcPr>
            <w:tcW w:w="411" w:type="dxa"/>
            <w:textDirection w:val="btLr"/>
          </w:tcPr>
          <w:p>
            <w:pPr>
              <w:pStyle w:val="TableParagraph"/>
              <w:spacing w:before="94"/>
              <w:ind w:left="113"/>
              <w:rPr>
                <w:sz w:val="18"/>
              </w:rPr>
            </w:pPr>
            <w:r>
              <w:rPr>
                <w:sz w:val="18"/>
              </w:rPr>
              <w:t>ARC</w:t>
            </w:r>
            <w:r>
              <w:rPr>
                <w:spacing w:val="-5"/>
                <w:sz w:val="18"/>
              </w:rPr>
              <w:t> 314</w:t>
            </w:r>
          </w:p>
        </w:tc>
        <w:tc>
          <w:tcPr>
            <w:tcW w:w="409" w:type="dxa"/>
            <w:textDirection w:val="btLr"/>
          </w:tcPr>
          <w:p>
            <w:pPr>
              <w:pStyle w:val="TableParagraph"/>
              <w:spacing w:before="94"/>
              <w:ind w:left="113"/>
              <w:rPr>
                <w:sz w:val="18"/>
              </w:rPr>
            </w:pPr>
            <w:r>
              <w:rPr>
                <w:sz w:val="18"/>
              </w:rPr>
              <w:t>ARC</w:t>
            </w:r>
            <w:r>
              <w:rPr>
                <w:spacing w:val="-5"/>
                <w:sz w:val="18"/>
              </w:rPr>
              <w:t> 405</w:t>
            </w:r>
          </w:p>
        </w:tc>
        <w:tc>
          <w:tcPr>
            <w:tcW w:w="409" w:type="dxa"/>
            <w:textDirection w:val="btLr"/>
          </w:tcPr>
          <w:p>
            <w:pPr>
              <w:pStyle w:val="TableParagraph"/>
              <w:spacing w:before="93"/>
              <w:ind w:left="114"/>
              <w:rPr>
                <w:sz w:val="18"/>
              </w:rPr>
            </w:pPr>
            <w:r>
              <w:rPr>
                <w:sz w:val="18"/>
              </w:rPr>
              <w:t>ARC</w:t>
            </w:r>
            <w:r>
              <w:rPr>
                <w:spacing w:val="-5"/>
                <w:sz w:val="18"/>
              </w:rPr>
              <w:t> 414</w:t>
            </w:r>
          </w:p>
        </w:tc>
        <w:tc>
          <w:tcPr>
            <w:tcW w:w="411" w:type="dxa"/>
            <w:textDirection w:val="btLr"/>
          </w:tcPr>
          <w:p>
            <w:pPr>
              <w:pStyle w:val="TableParagraph"/>
              <w:spacing w:before="92"/>
              <w:ind w:left="114"/>
              <w:rPr>
                <w:sz w:val="18"/>
              </w:rPr>
            </w:pPr>
            <w:r>
              <w:rPr>
                <w:sz w:val="18"/>
              </w:rPr>
              <w:t>ARC</w:t>
            </w:r>
            <w:r>
              <w:rPr>
                <w:spacing w:val="-5"/>
                <w:sz w:val="18"/>
              </w:rPr>
              <w:t> 417</w:t>
            </w:r>
          </w:p>
        </w:tc>
        <w:tc>
          <w:tcPr>
            <w:tcW w:w="409" w:type="dxa"/>
            <w:textDirection w:val="btLr"/>
          </w:tcPr>
          <w:p>
            <w:pPr>
              <w:pStyle w:val="TableParagraph"/>
              <w:spacing w:before="91"/>
              <w:ind w:left="114"/>
              <w:rPr>
                <w:sz w:val="18"/>
              </w:rPr>
            </w:pPr>
            <w:r>
              <w:rPr>
                <w:sz w:val="18"/>
              </w:rPr>
              <w:t>ARC</w:t>
            </w:r>
            <w:r>
              <w:rPr>
                <w:spacing w:val="-5"/>
                <w:sz w:val="18"/>
              </w:rPr>
              <w:t> 601</w:t>
            </w:r>
          </w:p>
        </w:tc>
        <w:tc>
          <w:tcPr>
            <w:tcW w:w="411" w:type="dxa"/>
            <w:textDirection w:val="btLr"/>
          </w:tcPr>
          <w:p>
            <w:pPr>
              <w:pStyle w:val="TableParagraph"/>
              <w:spacing w:before="90"/>
              <w:ind w:left="114"/>
              <w:rPr>
                <w:sz w:val="18"/>
              </w:rPr>
            </w:pPr>
            <w:r>
              <w:rPr>
                <w:sz w:val="18"/>
              </w:rPr>
              <w:t>ARC</w:t>
            </w:r>
            <w:r>
              <w:rPr>
                <w:spacing w:val="-5"/>
                <w:sz w:val="18"/>
              </w:rPr>
              <w:t> 618</w:t>
            </w:r>
          </w:p>
        </w:tc>
      </w:tr>
      <w:tr>
        <w:trPr>
          <w:trHeight w:val="230" w:hRule="atLeast"/>
        </w:trPr>
        <w:tc>
          <w:tcPr>
            <w:tcW w:w="8684" w:type="dxa"/>
            <w:gridSpan w:val="14"/>
          </w:tcPr>
          <w:p>
            <w:pPr>
              <w:pStyle w:val="TableParagraph"/>
              <w:spacing w:line="210" w:lineRule="exact"/>
              <w:ind w:left="43"/>
              <w:rPr>
                <w:sz w:val="20"/>
              </w:rPr>
            </w:pPr>
            <w:r>
              <w:rPr>
                <w:sz w:val="20"/>
              </w:rPr>
              <w:t>Full</w:t>
            </w:r>
            <w:r>
              <w:rPr>
                <w:spacing w:val="-5"/>
                <w:sz w:val="20"/>
              </w:rPr>
              <w:t> </w:t>
            </w:r>
            <w:r>
              <w:rPr>
                <w:sz w:val="20"/>
              </w:rPr>
              <w:t>Time</w:t>
            </w:r>
            <w:r>
              <w:rPr>
                <w:spacing w:val="-4"/>
                <w:sz w:val="20"/>
              </w:rPr>
              <w:t> </w:t>
            </w:r>
            <w:r>
              <w:rPr>
                <w:spacing w:val="-2"/>
                <w:sz w:val="20"/>
              </w:rPr>
              <w:t>Faculty</w:t>
            </w:r>
          </w:p>
        </w:tc>
      </w:tr>
      <w:tr>
        <w:trPr>
          <w:trHeight w:val="230" w:hRule="atLeast"/>
        </w:trPr>
        <w:tc>
          <w:tcPr>
            <w:tcW w:w="3353" w:type="dxa"/>
          </w:tcPr>
          <w:p>
            <w:pPr>
              <w:pStyle w:val="TableParagraph"/>
              <w:spacing w:line="210" w:lineRule="exact"/>
              <w:ind w:left="331"/>
              <w:rPr>
                <w:sz w:val="20"/>
              </w:rPr>
            </w:pPr>
            <w:r>
              <w:rPr>
                <w:spacing w:val="-2"/>
                <w:sz w:val="20"/>
              </w:rPr>
              <w:t>Andrews</w:t>
            </w:r>
          </w:p>
        </w:tc>
        <w:tc>
          <w:tcPr>
            <w:tcW w:w="411" w:type="dxa"/>
          </w:tcPr>
          <w:p>
            <w:pPr>
              <w:pStyle w:val="TableParagraph"/>
              <w:rPr>
                <w:rFonts w:ascii="Times New Roman"/>
                <w:sz w:val="16"/>
              </w:rPr>
            </w:pPr>
          </w:p>
        </w:tc>
        <w:tc>
          <w:tcPr>
            <w:tcW w:w="411"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spacing w:line="210" w:lineRule="exact"/>
              <w:ind w:left="40"/>
              <w:jc w:val="center"/>
              <w:rPr>
                <w:sz w:val="20"/>
              </w:rPr>
            </w:pPr>
            <w:r>
              <w:rPr>
                <w:w w:val="99"/>
                <w:sz w:val="20"/>
              </w:rPr>
              <w:t>X</w:t>
            </w:r>
          </w:p>
        </w:tc>
        <w:tc>
          <w:tcPr>
            <w:tcW w:w="409"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r>
      <w:tr>
        <w:trPr>
          <w:trHeight w:val="229" w:hRule="atLeast"/>
        </w:trPr>
        <w:tc>
          <w:tcPr>
            <w:tcW w:w="3353" w:type="dxa"/>
          </w:tcPr>
          <w:p>
            <w:pPr>
              <w:pStyle w:val="TableParagraph"/>
              <w:spacing w:line="210" w:lineRule="exact"/>
              <w:ind w:left="331"/>
              <w:rPr>
                <w:sz w:val="20"/>
              </w:rPr>
            </w:pPr>
            <w:r>
              <w:rPr>
                <w:spacing w:val="-2"/>
                <w:sz w:val="20"/>
              </w:rPr>
              <w:t>Easter</w:t>
            </w:r>
          </w:p>
        </w:tc>
        <w:tc>
          <w:tcPr>
            <w:tcW w:w="411" w:type="dxa"/>
          </w:tcPr>
          <w:p>
            <w:pPr>
              <w:pStyle w:val="TableParagraph"/>
              <w:rPr>
                <w:rFonts w:ascii="Times New Roman"/>
                <w:sz w:val="16"/>
              </w:rPr>
            </w:pPr>
          </w:p>
        </w:tc>
        <w:tc>
          <w:tcPr>
            <w:tcW w:w="411"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spacing w:line="210" w:lineRule="exact"/>
              <w:ind w:right="114"/>
              <w:jc w:val="right"/>
              <w:rPr>
                <w:sz w:val="20"/>
              </w:rPr>
            </w:pPr>
            <w:r>
              <w:rPr>
                <w:w w:val="99"/>
                <w:sz w:val="20"/>
              </w:rPr>
              <w:t>X</w:t>
            </w:r>
          </w:p>
        </w:tc>
        <w:tc>
          <w:tcPr>
            <w:tcW w:w="409" w:type="dxa"/>
          </w:tcPr>
          <w:p>
            <w:pPr>
              <w:pStyle w:val="TableParagraph"/>
              <w:rPr>
                <w:rFonts w:ascii="Times New Roman"/>
                <w:sz w:val="16"/>
              </w:rPr>
            </w:pPr>
          </w:p>
        </w:tc>
        <w:tc>
          <w:tcPr>
            <w:tcW w:w="411" w:type="dxa"/>
          </w:tcPr>
          <w:p>
            <w:pPr>
              <w:pStyle w:val="TableParagraph"/>
              <w:spacing w:line="210" w:lineRule="exact"/>
              <w:ind w:left="150"/>
              <w:rPr>
                <w:sz w:val="20"/>
              </w:rPr>
            </w:pPr>
            <w:r>
              <w:rPr>
                <w:w w:val="99"/>
                <w:sz w:val="20"/>
              </w:rPr>
              <w:t>X</w:t>
            </w:r>
          </w:p>
        </w:tc>
        <w:tc>
          <w:tcPr>
            <w:tcW w:w="409" w:type="dxa"/>
          </w:tcPr>
          <w:p>
            <w:pPr>
              <w:pStyle w:val="TableParagraph"/>
              <w:rPr>
                <w:rFonts w:ascii="Times New Roman"/>
                <w:sz w:val="16"/>
              </w:rPr>
            </w:pPr>
          </w:p>
        </w:tc>
        <w:tc>
          <w:tcPr>
            <w:tcW w:w="411" w:type="dxa"/>
          </w:tcPr>
          <w:p>
            <w:pPr>
              <w:pStyle w:val="TableParagraph"/>
              <w:rPr>
                <w:rFonts w:ascii="Times New Roman"/>
                <w:sz w:val="16"/>
              </w:rPr>
            </w:pPr>
          </w:p>
        </w:tc>
      </w:tr>
      <w:tr>
        <w:trPr>
          <w:trHeight w:val="230" w:hRule="atLeast"/>
        </w:trPr>
        <w:tc>
          <w:tcPr>
            <w:tcW w:w="3353" w:type="dxa"/>
          </w:tcPr>
          <w:p>
            <w:pPr>
              <w:pStyle w:val="TableParagraph"/>
              <w:spacing w:line="210" w:lineRule="exact"/>
              <w:ind w:left="331"/>
              <w:rPr>
                <w:sz w:val="20"/>
              </w:rPr>
            </w:pPr>
            <w:r>
              <w:rPr>
                <w:spacing w:val="-2"/>
                <w:sz w:val="20"/>
              </w:rPr>
              <w:t>Henderson,</w:t>
            </w:r>
            <w:r>
              <w:rPr>
                <w:spacing w:val="4"/>
                <w:sz w:val="20"/>
              </w:rPr>
              <w:t> </w:t>
            </w:r>
            <w:r>
              <w:rPr>
                <w:spacing w:val="-10"/>
                <w:sz w:val="20"/>
              </w:rPr>
              <w:t>W</w:t>
            </w:r>
          </w:p>
        </w:tc>
        <w:tc>
          <w:tcPr>
            <w:tcW w:w="411" w:type="dxa"/>
          </w:tcPr>
          <w:p>
            <w:pPr>
              <w:pStyle w:val="TableParagraph"/>
              <w:rPr>
                <w:rFonts w:ascii="Times New Roman"/>
                <w:sz w:val="16"/>
              </w:rPr>
            </w:pPr>
          </w:p>
        </w:tc>
        <w:tc>
          <w:tcPr>
            <w:tcW w:w="411"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09" w:type="dxa"/>
          </w:tcPr>
          <w:p>
            <w:pPr>
              <w:pStyle w:val="TableParagraph"/>
              <w:spacing w:line="210" w:lineRule="exact"/>
              <w:ind w:left="155"/>
              <w:rPr>
                <w:sz w:val="20"/>
              </w:rPr>
            </w:pPr>
            <w:r>
              <w:rPr>
                <w:w w:val="99"/>
                <w:sz w:val="20"/>
              </w:rPr>
              <w:t>X</w:t>
            </w: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spacing w:line="210" w:lineRule="exact"/>
              <w:ind w:left="32"/>
              <w:jc w:val="center"/>
              <w:rPr>
                <w:sz w:val="20"/>
              </w:rPr>
            </w:pPr>
            <w:r>
              <w:rPr>
                <w:w w:val="99"/>
                <w:sz w:val="20"/>
              </w:rPr>
              <w:t>X</w:t>
            </w:r>
          </w:p>
        </w:tc>
        <w:tc>
          <w:tcPr>
            <w:tcW w:w="411" w:type="dxa"/>
          </w:tcPr>
          <w:p>
            <w:pPr>
              <w:pStyle w:val="TableParagraph"/>
              <w:rPr>
                <w:rFonts w:ascii="Times New Roman"/>
                <w:sz w:val="16"/>
              </w:rPr>
            </w:pPr>
          </w:p>
        </w:tc>
      </w:tr>
      <w:tr>
        <w:trPr>
          <w:trHeight w:val="230" w:hRule="atLeast"/>
        </w:trPr>
        <w:tc>
          <w:tcPr>
            <w:tcW w:w="3353" w:type="dxa"/>
          </w:tcPr>
          <w:p>
            <w:pPr>
              <w:pStyle w:val="TableParagraph"/>
              <w:spacing w:line="210" w:lineRule="exact"/>
              <w:ind w:left="331"/>
              <w:rPr>
                <w:sz w:val="20"/>
              </w:rPr>
            </w:pPr>
            <w:r>
              <w:rPr>
                <w:spacing w:val="-2"/>
                <w:sz w:val="20"/>
              </w:rPr>
              <w:t>Kloster</w:t>
            </w:r>
          </w:p>
        </w:tc>
        <w:tc>
          <w:tcPr>
            <w:tcW w:w="411" w:type="dxa"/>
          </w:tcPr>
          <w:p>
            <w:pPr>
              <w:pStyle w:val="TableParagraph"/>
              <w:spacing w:line="210" w:lineRule="exact"/>
              <w:ind w:right="108"/>
              <w:jc w:val="right"/>
              <w:rPr>
                <w:sz w:val="20"/>
              </w:rPr>
            </w:pPr>
            <w:r>
              <w:rPr>
                <w:w w:val="99"/>
                <w:sz w:val="20"/>
              </w:rPr>
              <w:t>X</w:t>
            </w:r>
          </w:p>
        </w:tc>
        <w:tc>
          <w:tcPr>
            <w:tcW w:w="411"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spacing w:line="210" w:lineRule="exact"/>
              <w:ind w:left="152"/>
              <w:rPr>
                <w:sz w:val="20"/>
              </w:rPr>
            </w:pPr>
            <w:r>
              <w:rPr>
                <w:w w:val="99"/>
                <w:sz w:val="20"/>
              </w:rPr>
              <w:t>X</w:t>
            </w:r>
          </w:p>
        </w:tc>
        <w:tc>
          <w:tcPr>
            <w:tcW w:w="409"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r>
      <w:tr>
        <w:trPr>
          <w:trHeight w:val="229" w:hRule="atLeast"/>
        </w:trPr>
        <w:tc>
          <w:tcPr>
            <w:tcW w:w="3353" w:type="dxa"/>
          </w:tcPr>
          <w:p>
            <w:pPr>
              <w:pStyle w:val="TableParagraph"/>
              <w:spacing w:line="210" w:lineRule="exact"/>
              <w:ind w:left="331"/>
              <w:rPr>
                <w:sz w:val="20"/>
              </w:rPr>
            </w:pPr>
            <w:r>
              <w:rPr>
                <w:spacing w:val="-2"/>
                <w:sz w:val="20"/>
              </w:rPr>
              <w:t>Okiomah</w:t>
            </w:r>
          </w:p>
        </w:tc>
        <w:tc>
          <w:tcPr>
            <w:tcW w:w="411" w:type="dxa"/>
          </w:tcPr>
          <w:p>
            <w:pPr>
              <w:pStyle w:val="TableParagraph"/>
              <w:rPr>
                <w:rFonts w:ascii="Times New Roman"/>
                <w:sz w:val="16"/>
              </w:rPr>
            </w:pPr>
          </w:p>
        </w:tc>
        <w:tc>
          <w:tcPr>
            <w:tcW w:w="411" w:type="dxa"/>
          </w:tcPr>
          <w:p>
            <w:pPr>
              <w:pStyle w:val="TableParagraph"/>
              <w:spacing w:line="210" w:lineRule="exact"/>
              <w:ind w:left="157"/>
              <w:rPr>
                <w:sz w:val="20"/>
              </w:rPr>
            </w:pPr>
            <w:r>
              <w:rPr>
                <w:w w:val="99"/>
                <w:sz w:val="20"/>
              </w:rPr>
              <w:t>X</w:t>
            </w:r>
          </w:p>
        </w:tc>
        <w:tc>
          <w:tcPr>
            <w:tcW w:w="411" w:type="dxa"/>
          </w:tcPr>
          <w:p>
            <w:pPr>
              <w:pStyle w:val="TableParagraph"/>
              <w:spacing w:line="210" w:lineRule="exact"/>
              <w:ind w:left="45"/>
              <w:jc w:val="center"/>
              <w:rPr>
                <w:sz w:val="20"/>
              </w:rPr>
            </w:pPr>
            <w:r>
              <w:rPr>
                <w:w w:val="99"/>
                <w:sz w:val="20"/>
              </w:rPr>
              <w:t>X</w:t>
            </w:r>
          </w:p>
        </w:tc>
        <w:tc>
          <w:tcPr>
            <w:tcW w:w="409"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r>
      <w:tr>
        <w:trPr>
          <w:trHeight w:val="230" w:hRule="atLeast"/>
        </w:trPr>
        <w:tc>
          <w:tcPr>
            <w:tcW w:w="3353" w:type="dxa"/>
          </w:tcPr>
          <w:p>
            <w:pPr>
              <w:pStyle w:val="TableParagraph"/>
              <w:spacing w:line="210" w:lineRule="exact"/>
              <w:ind w:left="331"/>
              <w:rPr>
                <w:sz w:val="20"/>
              </w:rPr>
            </w:pPr>
            <w:r>
              <w:rPr>
                <w:spacing w:val="-2"/>
                <w:sz w:val="20"/>
              </w:rPr>
              <w:t>Peronnet*</w:t>
            </w:r>
          </w:p>
        </w:tc>
        <w:tc>
          <w:tcPr>
            <w:tcW w:w="411" w:type="dxa"/>
          </w:tcPr>
          <w:p>
            <w:pPr>
              <w:pStyle w:val="TableParagraph"/>
              <w:rPr>
                <w:rFonts w:ascii="Times New Roman"/>
                <w:sz w:val="16"/>
              </w:rPr>
            </w:pPr>
          </w:p>
        </w:tc>
        <w:tc>
          <w:tcPr>
            <w:tcW w:w="411"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spacing w:line="210" w:lineRule="exact"/>
              <w:ind w:right="114"/>
              <w:jc w:val="right"/>
              <w:rPr>
                <w:sz w:val="20"/>
              </w:rPr>
            </w:pPr>
            <w:r>
              <w:rPr>
                <w:w w:val="99"/>
                <w:sz w:val="20"/>
              </w:rPr>
              <w:t>X</w:t>
            </w:r>
          </w:p>
        </w:tc>
        <w:tc>
          <w:tcPr>
            <w:tcW w:w="409"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r>
      <w:tr>
        <w:trPr>
          <w:trHeight w:val="229" w:hRule="atLeast"/>
        </w:trPr>
        <w:tc>
          <w:tcPr>
            <w:tcW w:w="3353" w:type="dxa"/>
          </w:tcPr>
          <w:p>
            <w:pPr>
              <w:pStyle w:val="TableParagraph"/>
              <w:spacing w:line="210" w:lineRule="exact"/>
              <w:ind w:left="331"/>
              <w:rPr>
                <w:sz w:val="20"/>
              </w:rPr>
            </w:pPr>
            <w:r>
              <w:rPr>
                <w:spacing w:val="-2"/>
                <w:sz w:val="20"/>
              </w:rPr>
              <w:t>Sanchez</w:t>
            </w:r>
          </w:p>
        </w:tc>
        <w:tc>
          <w:tcPr>
            <w:tcW w:w="411" w:type="dxa"/>
          </w:tcPr>
          <w:p>
            <w:pPr>
              <w:pStyle w:val="TableParagraph"/>
              <w:rPr>
                <w:rFonts w:ascii="Times New Roman"/>
                <w:sz w:val="16"/>
              </w:rPr>
            </w:pPr>
          </w:p>
        </w:tc>
        <w:tc>
          <w:tcPr>
            <w:tcW w:w="411"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spacing w:line="210" w:lineRule="exact"/>
              <w:ind w:left="32"/>
              <w:jc w:val="center"/>
              <w:rPr>
                <w:sz w:val="20"/>
              </w:rPr>
            </w:pPr>
            <w:r>
              <w:rPr>
                <w:w w:val="99"/>
                <w:sz w:val="20"/>
              </w:rPr>
              <w:t>X</w:t>
            </w:r>
          </w:p>
        </w:tc>
        <w:tc>
          <w:tcPr>
            <w:tcW w:w="411" w:type="dxa"/>
          </w:tcPr>
          <w:p>
            <w:pPr>
              <w:pStyle w:val="TableParagraph"/>
              <w:spacing w:line="210" w:lineRule="exact"/>
              <w:ind w:left="148"/>
              <w:rPr>
                <w:sz w:val="20"/>
              </w:rPr>
            </w:pPr>
            <w:r>
              <w:rPr>
                <w:w w:val="99"/>
                <w:sz w:val="20"/>
              </w:rPr>
              <w:t>X</w:t>
            </w:r>
          </w:p>
        </w:tc>
      </w:tr>
      <w:tr>
        <w:trPr>
          <w:trHeight w:val="229" w:hRule="atLeast"/>
        </w:trPr>
        <w:tc>
          <w:tcPr>
            <w:tcW w:w="3353" w:type="dxa"/>
          </w:tcPr>
          <w:p>
            <w:pPr>
              <w:pStyle w:val="TableParagraph"/>
              <w:spacing w:line="210" w:lineRule="exact"/>
              <w:ind w:left="331"/>
              <w:rPr>
                <w:sz w:val="20"/>
              </w:rPr>
            </w:pPr>
            <w:r>
              <w:rPr>
                <w:spacing w:val="-2"/>
                <w:sz w:val="20"/>
              </w:rPr>
              <w:t>Turner</w:t>
            </w:r>
          </w:p>
        </w:tc>
        <w:tc>
          <w:tcPr>
            <w:tcW w:w="411" w:type="dxa"/>
          </w:tcPr>
          <w:p>
            <w:pPr>
              <w:pStyle w:val="TableParagraph"/>
              <w:rPr>
                <w:rFonts w:ascii="Times New Roman"/>
                <w:sz w:val="16"/>
              </w:rPr>
            </w:pPr>
          </w:p>
        </w:tc>
        <w:tc>
          <w:tcPr>
            <w:tcW w:w="411" w:type="dxa"/>
          </w:tcPr>
          <w:p>
            <w:pPr>
              <w:pStyle w:val="TableParagraph"/>
              <w:rPr>
                <w:rFonts w:ascii="Times New Roman"/>
                <w:sz w:val="16"/>
              </w:rPr>
            </w:pPr>
          </w:p>
        </w:tc>
        <w:tc>
          <w:tcPr>
            <w:tcW w:w="411" w:type="dxa"/>
          </w:tcPr>
          <w:p>
            <w:pPr>
              <w:pStyle w:val="TableParagraph"/>
              <w:spacing w:line="210" w:lineRule="exact"/>
              <w:ind w:left="45"/>
              <w:jc w:val="center"/>
              <w:rPr>
                <w:sz w:val="20"/>
              </w:rPr>
            </w:pPr>
            <w:r>
              <w:rPr>
                <w:w w:val="99"/>
                <w:sz w:val="20"/>
              </w:rPr>
              <w:t>X</w:t>
            </w:r>
          </w:p>
        </w:tc>
        <w:tc>
          <w:tcPr>
            <w:tcW w:w="409" w:type="dxa"/>
          </w:tcPr>
          <w:p>
            <w:pPr>
              <w:pStyle w:val="TableParagraph"/>
              <w:spacing w:line="210" w:lineRule="exact"/>
              <w:ind w:left="153"/>
              <w:rPr>
                <w:sz w:val="20"/>
              </w:rPr>
            </w:pPr>
            <w:r>
              <w:rPr>
                <w:w w:val="99"/>
                <w:sz w:val="20"/>
              </w:rPr>
              <w:t>X</w:t>
            </w:r>
          </w:p>
        </w:tc>
        <w:tc>
          <w:tcPr>
            <w:tcW w:w="409"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r>
      <w:tr>
        <w:trPr>
          <w:trHeight w:val="230" w:hRule="atLeast"/>
        </w:trPr>
        <w:tc>
          <w:tcPr>
            <w:tcW w:w="8684" w:type="dxa"/>
            <w:gridSpan w:val="14"/>
          </w:tcPr>
          <w:p>
            <w:pPr>
              <w:pStyle w:val="TableParagraph"/>
              <w:spacing w:line="210" w:lineRule="exact"/>
              <w:ind w:left="43"/>
              <w:rPr>
                <w:sz w:val="20"/>
              </w:rPr>
            </w:pPr>
            <w:r>
              <w:rPr>
                <w:sz w:val="20"/>
              </w:rPr>
              <w:t>Part</w:t>
            </w:r>
            <w:r>
              <w:rPr>
                <w:spacing w:val="-4"/>
                <w:sz w:val="20"/>
              </w:rPr>
              <w:t> </w:t>
            </w:r>
            <w:r>
              <w:rPr>
                <w:sz w:val="20"/>
              </w:rPr>
              <w:t>Time</w:t>
            </w:r>
            <w:r>
              <w:rPr>
                <w:spacing w:val="-4"/>
                <w:sz w:val="20"/>
              </w:rPr>
              <w:t> </w:t>
            </w:r>
            <w:r>
              <w:rPr>
                <w:spacing w:val="-2"/>
                <w:sz w:val="20"/>
              </w:rPr>
              <w:t>Faculty</w:t>
            </w:r>
          </w:p>
        </w:tc>
      </w:tr>
      <w:tr>
        <w:trPr>
          <w:trHeight w:val="230" w:hRule="atLeast"/>
        </w:trPr>
        <w:tc>
          <w:tcPr>
            <w:tcW w:w="3353" w:type="dxa"/>
          </w:tcPr>
          <w:p>
            <w:pPr>
              <w:pStyle w:val="TableParagraph"/>
              <w:spacing w:line="210" w:lineRule="exact"/>
              <w:ind w:left="331"/>
              <w:rPr>
                <w:sz w:val="20"/>
              </w:rPr>
            </w:pPr>
            <w:r>
              <w:rPr>
                <w:spacing w:val="-2"/>
                <w:sz w:val="20"/>
              </w:rPr>
              <w:t>Brown</w:t>
            </w:r>
          </w:p>
        </w:tc>
        <w:tc>
          <w:tcPr>
            <w:tcW w:w="411" w:type="dxa"/>
          </w:tcPr>
          <w:p>
            <w:pPr>
              <w:pStyle w:val="TableParagraph"/>
              <w:spacing w:line="210" w:lineRule="exact"/>
              <w:ind w:right="108"/>
              <w:jc w:val="right"/>
              <w:rPr>
                <w:sz w:val="20"/>
              </w:rPr>
            </w:pPr>
            <w:r>
              <w:rPr>
                <w:w w:val="99"/>
                <w:sz w:val="20"/>
              </w:rPr>
              <w:t>X</w:t>
            </w:r>
          </w:p>
        </w:tc>
        <w:tc>
          <w:tcPr>
            <w:tcW w:w="411"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spacing w:line="210" w:lineRule="exact"/>
              <w:ind w:left="153"/>
              <w:rPr>
                <w:sz w:val="20"/>
              </w:rPr>
            </w:pPr>
            <w:r>
              <w:rPr>
                <w:w w:val="99"/>
                <w:sz w:val="20"/>
              </w:rPr>
              <w:t>X</w:t>
            </w: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09" w:type="dxa"/>
          </w:tcPr>
          <w:p>
            <w:pPr>
              <w:pStyle w:val="TableParagraph"/>
              <w:spacing w:line="210" w:lineRule="exact"/>
              <w:ind w:left="151"/>
              <w:rPr>
                <w:sz w:val="20"/>
              </w:rPr>
            </w:pPr>
            <w:r>
              <w:rPr>
                <w:w w:val="99"/>
                <w:sz w:val="20"/>
              </w:rPr>
              <w:t>X</w:t>
            </w: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r>
      <w:tr>
        <w:trPr>
          <w:trHeight w:val="229" w:hRule="atLeast"/>
        </w:trPr>
        <w:tc>
          <w:tcPr>
            <w:tcW w:w="3353" w:type="dxa"/>
          </w:tcPr>
          <w:p>
            <w:pPr>
              <w:pStyle w:val="TableParagraph"/>
              <w:spacing w:line="210" w:lineRule="exact"/>
              <w:ind w:left="331"/>
              <w:rPr>
                <w:sz w:val="20"/>
              </w:rPr>
            </w:pPr>
            <w:r>
              <w:rPr>
                <w:spacing w:val="-2"/>
                <w:sz w:val="20"/>
              </w:rPr>
              <w:t>Gindroz</w:t>
            </w:r>
          </w:p>
        </w:tc>
        <w:tc>
          <w:tcPr>
            <w:tcW w:w="411" w:type="dxa"/>
          </w:tcPr>
          <w:p>
            <w:pPr>
              <w:pStyle w:val="TableParagraph"/>
              <w:rPr>
                <w:rFonts w:ascii="Times New Roman"/>
                <w:sz w:val="16"/>
              </w:rPr>
            </w:pPr>
          </w:p>
        </w:tc>
        <w:tc>
          <w:tcPr>
            <w:tcW w:w="411"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spacing w:line="210" w:lineRule="exact"/>
              <w:ind w:left="40"/>
              <w:jc w:val="center"/>
              <w:rPr>
                <w:sz w:val="20"/>
              </w:rPr>
            </w:pPr>
            <w:r>
              <w:rPr>
                <w:w w:val="99"/>
                <w:sz w:val="20"/>
              </w:rPr>
              <w:t>X</w:t>
            </w:r>
          </w:p>
        </w:tc>
        <w:tc>
          <w:tcPr>
            <w:tcW w:w="409"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r>
      <w:tr>
        <w:trPr>
          <w:trHeight w:val="230" w:hRule="atLeast"/>
        </w:trPr>
        <w:tc>
          <w:tcPr>
            <w:tcW w:w="3353" w:type="dxa"/>
          </w:tcPr>
          <w:p>
            <w:pPr>
              <w:pStyle w:val="TableParagraph"/>
              <w:spacing w:line="210" w:lineRule="exact"/>
              <w:ind w:left="331"/>
              <w:rPr>
                <w:sz w:val="20"/>
              </w:rPr>
            </w:pPr>
            <w:r>
              <w:rPr>
                <w:spacing w:val="-2"/>
                <w:sz w:val="20"/>
              </w:rPr>
              <w:t>Battaglia</w:t>
            </w:r>
          </w:p>
        </w:tc>
        <w:tc>
          <w:tcPr>
            <w:tcW w:w="411" w:type="dxa"/>
          </w:tcPr>
          <w:p>
            <w:pPr>
              <w:pStyle w:val="TableParagraph"/>
              <w:rPr>
                <w:rFonts w:ascii="Times New Roman"/>
                <w:sz w:val="16"/>
              </w:rPr>
            </w:pPr>
          </w:p>
        </w:tc>
        <w:tc>
          <w:tcPr>
            <w:tcW w:w="411"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spacing w:line="210" w:lineRule="exact"/>
              <w:ind w:right="114"/>
              <w:jc w:val="right"/>
              <w:rPr>
                <w:sz w:val="20"/>
              </w:rPr>
            </w:pPr>
            <w:r>
              <w:rPr>
                <w:w w:val="99"/>
                <w:sz w:val="20"/>
              </w:rPr>
              <w:t>X</w:t>
            </w:r>
          </w:p>
        </w:tc>
        <w:tc>
          <w:tcPr>
            <w:tcW w:w="409"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r>
    </w:tbl>
    <w:p>
      <w:pPr>
        <w:pStyle w:val="BodyText"/>
        <w:rPr>
          <w:b/>
          <w:sz w:val="22"/>
        </w:rPr>
      </w:pPr>
    </w:p>
    <w:p>
      <w:pPr>
        <w:pStyle w:val="BodyText"/>
        <w:spacing w:before="7"/>
        <w:rPr>
          <w:b/>
          <w:sz w:val="18"/>
        </w:rPr>
      </w:pPr>
    </w:p>
    <w:p>
      <w:pPr>
        <w:pStyle w:val="ListParagraph"/>
        <w:numPr>
          <w:ilvl w:val="0"/>
          <w:numId w:val="23"/>
        </w:numPr>
        <w:tabs>
          <w:tab w:pos="632" w:val="left" w:leader="none"/>
        </w:tabs>
        <w:spacing w:line="278" w:lineRule="auto" w:before="0" w:after="0"/>
        <w:ind w:left="500" w:right="582" w:firstLine="0"/>
        <w:jc w:val="left"/>
        <w:rPr>
          <w:sz w:val="20"/>
        </w:rPr>
      </w:pPr>
      <w:r>
        <w:rPr>
          <w:sz w:val="20"/>
        </w:rPr>
        <w:t>Professor</w:t>
      </w:r>
      <w:r>
        <w:rPr>
          <w:spacing w:val="-3"/>
          <w:sz w:val="20"/>
        </w:rPr>
        <w:t> </w:t>
      </w:r>
      <w:r>
        <w:rPr>
          <w:sz w:val="20"/>
        </w:rPr>
        <w:t>Peronnet</w:t>
      </w:r>
      <w:r>
        <w:rPr>
          <w:spacing w:val="-4"/>
          <w:sz w:val="20"/>
        </w:rPr>
        <w:t> </w:t>
      </w:r>
      <w:r>
        <w:rPr>
          <w:sz w:val="20"/>
        </w:rPr>
        <w:t>taught</w:t>
      </w:r>
      <w:r>
        <w:rPr>
          <w:spacing w:val="-4"/>
          <w:sz w:val="20"/>
        </w:rPr>
        <w:t> </w:t>
      </w:r>
      <w:r>
        <w:rPr>
          <w:sz w:val="20"/>
        </w:rPr>
        <w:t>a</w:t>
      </w:r>
      <w:r>
        <w:rPr>
          <w:spacing w:val="-4"/>
          <w:sz w:val="20"/>
        </w:rPr>
        <w:t> </w:t>
      </w:r>
      <w:r>
        <w:rPr>
          <w:sz w:val="20"/>
        </w:rPr>
        <w:t>parallel</w:t>
      </w:r>
      <w:r>
        <w:rPr>
          <w:spacing w:val="-5"/>
          <w:sz w:val="20"/>
        </w:rPr>
        <w:t> </w:t>
      </w:r>
      <w:r>
        <w:rPr>
          <w:sz w:val="20"/>
        </w:rPr>
        <w:t>track of</w:t>
      </w:r>
      <w:r>
        <w:rPr>
          <w:spacing w:val="-2"/>
          <w:sz w:val="20"/>
        </w:rPr>
        <w:t> </w:t>
      </w:r>
      <w:r>
        <w:rPr>
          <w:sz w:val="20"/>
        </w:rPr>
        <w:t>ARC</w:t>
      </w:r>
      <w:r>
        <w:rPr>
          <w:spacing w:val="-4"/>
          <w:sz w:val="20"/>
        </w:rPr>
        <w:t> </w:t>
      </w:r>
      <w:r>
        <w:rPr>
          <w:sz w:val="20"/>
        </w:rPr>
        <w:t>405</w:t>
      </w:r>
      <w:r>
        <w:rPr>
          <w:spacing w:val="-4"/>
          <w:sz w:val="20"/>
        </w:rPr>
        <w:t> </w:t>
      </w:r>
      <w:r>
        <w:rPr>
          <w:sz w:val="20"/>
        </w:rPr>
        <w:t>for</w:t>
      </w:r>
      <w:r>
        <w:rPr>
          <w:spacing w:val="-3"/>
          <w:sz w:val="20"/>
        </w:rPr>
        <w:t> </w:t>
      </w:r>
      <w:r>
        <w:rPr>
          <w:sz w:val="20"/>
        </w:rPr>
        <w:t>the</w:t>
      </w:r>
      <w:r>
        <w:rPr>
          <w:spacing w:val="-4"/>
          <w:sz w:val="20"/>
        </w:rPr>
        <w:t> </w:t>
      </w:r>
      <w:r>
        <w:rPr>
          <w:sz w:val="20"/>
        </w:rPr>
        <w:t>students</w:t>
      </w:r>
      <w:r>
        <w:rPr>
          <w:spacing w:val="-3"/>
          <w:sz w:val="20"/>
        </w:rPr>
        <w:t> </w:t>
      </w:r>
      <w:r>
        <w:rPr>
          <w:sz w:val="20"/>
        </w:rPr>
        <w:t>selected</w:t>
      </w:r>
      <w:r>
        <w:rPr>
          <w:spacing w:val="-2"/>
          <w:sz w:val="20"/>
        </w:rPr>
        <w:t> </w:t>
      </w:r>
      <w:r>
        <w:rPr>
          <w:sz w:val="20"/>
        </w:rPr>
        <w:t>to</w:t>
      </w:r>
      <w:r>
        <w:rPr>
          <w:spacing w:val="-4"/>
          <w:sz w:val="20"/>
        </w:rPr>
        <w:t> </w:t>
      </w:r>
      <w:r>
        <w:rPr>
          <w:sz w:val="20"/>
        </w:rPr>
        <w:t>compete</w:t>
      </w:r>
      <w:r>
        <w:rPr>
          <w:spacing w:val="-4"/>
          <w:sz w:val="20"/>
        </w:rPr>
        <w:t> </w:t>
      </w:r>
      <w:r>
        <w:rPr>
          <w:sz w:val="20"/>
        </w:rPr>
        <w:t>in</w:t>
      </w:r>
      <w:r>
        <w:rPr>
          <w:spacing w:val="-2"/>
          <w:sz w:val="20"/>
        </w:rPr>
        <w:t> </w:t>
      </w:r>
      <w:r>
        <w:rPr>
          <w:sz w:val="20"/>
        </w:rPr>
        <w:t>the</w:t>
      </w:r>
      <w:r>
        <w:rPr>
          <w:spacing w:val="-2"/>
          <w:sz w:val="20"/>
        </w:rPr>
        <w:t> </w:t>
      </w:r>
      <w:r>
        <w:rPr>
          <w:sz w:val="20"/>
        </w:rPr>
        <w:t>Solar </w:t>
      </w:r>
      <w:r>
        <w:rPr>
          <w:spacing w:val="-2"/>
          <w:sz w:val="20"/>
        </w:rPr>
        <w:t>Decathlon.</w:t>
      </w:r>
    </w:p>
    <w:p>
      <w:pPr>
        <w:pStyle w:val="BodyText"/>
        <w:spacing w:before="2"/>
      </w:pPr>
    </w:p>
    <w:p>
      <w:pPr>
        <w:spacing w:before="0"/>
        <w:ind w:left="1723" w:right="0" w:firstLine="0"/>
        <w:jc w:val="left"/>
        <w:rPr>
          <w:b/>
          <w:sz w:val="20"/>
        </w:rPr>
      </w:pPr>
      <w:r>
        <w:rPr>
          <w:b/>
          <w:sz w:val="20"/>
        </w:rPr>
        <w:t>Spring</w:t>
      </w:r>
      <w:r>
        <w:rPr>
          <w:b/>
          <w:spacing w:val="-8"/>
          <w:sz w:val="20"/>
        </w:rPr>
        <w:t> </w:t>
      </w:r>
      <w:r>
        <w:rPr>
          <w:b/>
          <w:sz w:val="20"/>
        </w:rPr>
        <w:t>2013</w:t>
      </w:r>
      <w:r>
        <w:rPr>
          <w:b/>
          <w:spacing w:val="-7"/>
          <w:sz w:val="20"/>
        </w:rPr>
        <w:t> </w:t>
      </w:r>
      <w:r>
        <w:rPr>
          <w:b/>
          <w:sz w:val="20"/>
        </w:rPr>
        <w:t>Teaching</w:t>
      </w:r>
      <w:r>
        <w:rPr>
          <w:b/>
          <w:spacing w:val="-3"/>
          <w:sz w:val="20"/>
        </w:rPr>
        <w:t> </w:t>
      </w:r>
      <w:r>
        <w:rPr>
          <w:b/>
          <w:spacing w:val="-2"/>
          <w:sz w:val="20"/>
        </w:rPr>
        <w:t>Assignments</w:t>
      </w:r>
    </w:p>
    <w:p>
      <w:pPr>
        <w:pStyle w:val="BodyText"/>
        <w:spacing w:before="5"/>
        <w:rPr>
          <w:b/>
          <w:sz w:val="21"/>
        </w:rPr>
      </w:pPr>
    </w:p>
    <w:tbl>
      <w:tblPr>
        <w:tblW w:w="0" w:type="auto"/>
        <w:jc w:val="left"/>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89"/>
        <w:gridCol w:w="415"/>
        <w:gridCol w:w="413"/>
        <w:gridCol w:w="415"/>
        <w:gridCol w:w="413"/>
        <w:gridCol w:w="415"/>
        <w:gridCol w:w="413"/>
        <w:gridCol w:w="413"/>
        <w:gridCol w:w="413"/>
        <w:gridCol w:w="413"/>
        <w:gridCol w:w="413"/>
        <w:gridCol w:w="413"/>
        <w:gridCol w:w="413"/>
        <w:gridCol w:w="413"/>
        <w:gridCol w:w="413"/>
      </w:tblGrid>
      <w:tr>
        <w:trPr>
          <w:trHeight w:val="1348" w:hRule="atLeast"/>
        </w:trPr>
        <w:tc>
          <w:tcPr>
            <w:tcW w:w="3389" w:type="dxa"/>
          </w:tcPr>
          <w:p>
            <w:pPr>
              <w:pStyle w:val="TableParagraph"/>
              <w:rPr>
                <w:rFonts w:ascii="Times New Roman"/>
                <w:sz w:val="18"/>
              </w:rPr>
            </w:pPr>
          </w:p>
        </w:tc>
        <w:tc>
          <w:tcPr>
            <w:tcW w:w="415" w:type="dxa"/>
            <w:textDirection w:val="btLr"/>
          </w:tcPr>
          <w:p>
            <w:pPr>
              <w:pStyle w:val="TableParagraph"/>
              <w:spacing w:before="102"/>
              <w:ind w:left="112"/>
              <w:rPr>
                <w:sz w:val="18"/>
              </w:rPr>
            </w:pPr>
            <w:r>
              <w:rPr>
                <w:sz w:val="18"/>
              </w:rPr>
              <w:t>ARC</w:t>
            </w:r>
            <w:r>
              <w:rPr>
                <w:spacing w:val="-5"/>
                <w:sz w:val="18"/>
              </w:rPr>
              <w:t> 102</w:t>
            </w:r>
          </w:p>
        </w:tc>
        <w:tc>
          <w:tcPr>
            <w:tcW w:w="413" w:type="dxa"/>
            <w:textDirection w:val="btLr"/>
          </w:tcPr>
          <w:p>
            <w:pPr>
              <w:pStyle w:val="TableParagraph"/>
              <w:spacing w:before="102"/>
              <w:ind w:left="112"/>
              <w:rPr>
                <w:sz w:val="18"/>
              </w:rPr>
            </w:pPr>
            <w:r>
              <w:rPr>
                <w:sz w:val="18"/>
              </w:rPr>
              <w:t>ARC</w:t>
            </w:r>
            <w:r>
              <w:rPr>
                <w:spacing w:val="-5"/>
                <w:sz w:val="18"/>
              </w:rPr>
              <w:t> 202</w:t>
            </w:r>
          </w:p>
        </w:tc>
        <w:tc>
          <w:tcPr>
            <w:tcW w:w="415" w:type="dxa"/>
            <w:textDirection w:val="btLr"/>
          </w:tcPr>
          <w:p>
            <w:pPr>
              <w:pStyle w:val="TableParagraph"/>
              <w:spacing w:before="102"/>
              <w:ind w:left="112"/>
              <w:rPr>
                <w:sz w:val="18"/>
              </w:rPr>
            </w:pPr>
            <w:r>
              <w:rPr>
                <w:sz w:val="18"/>
              </w:rPr>
              <w:t>ARC</w:t>
            </w:r>
            <w:r>
              <w:rPr>
                <w:spacing w:val="-5"/>
                <w:sz w:val="18"/>
              </w:rPr>
              <w:t> 204</w:t>
            </w:r>
          </w:p>
        </w:tc>
        <w:tc>
          <w:tcPr>
            <w:tcW w:w="413" w:type="dxa"/>
            <w:textDirection w:val="btLr"/>
          </w:tcPr>
          <w:p>
            <w:pPr>
              <w:pStyle w:val="TableParagraph"/>
              <w:spacing w:before="102"/>
              <w:ind w:left="112"/>
              <w:rPr>
                <w:sz w:val="18"/>
              </w:rPr>
            </w:pPr>
            <w:r>
              <w:rPr>
                <w:sz w:val="18"/>
              </w:rPr>
              <w:t>ARC</w:t>
            </w:r>
            <w:r>
              <w:rPr>
                <w:spacing w:val="-5"/>
                <w:sz w:val="18"/>
              </w:rPr>
              <w:t> 207</w:t>
            </w:r>
          </w:p>
        </w:tc>
        <w:tc>
          <w:tcPr>
            <w:tcW w:w="415" w:type="dxa"/>
            <w:textDirection w:val="btLr"/>
          </w:tcPr>
          <w:p>
            <w:pPr>
              <w:pStyle w:val="TableParagraph"/>
              <w:spacing w:before="102"/>
              <w:ind w:left="113"/>
              <w:rPr>
                <w:sz w:val="18"/>
              </w:rPr>
            </w:pPr>
            <w:r>
              <w:rPr>
                <w:sz w:val="18"/>
              </w:rPr>
              <w:t>ARC</w:t>
            </w:r>
            <w:r>
              <w:rPr>
                <w:spacing w:val="-5"/>
                <w:sz w:val="18"/>
              </w:rPr>
              <w:t> 315</w:t>
            </w:r>
          </w:p>
        </w:tc>
        <w:tc>
          <w:tcPr>
            <w:tcW w:w="413" w:type="dxa"/>
            <w:textDirection w:val="btLr"/>
          </w:tcPr>
          <w:p>
            <w:pPr>
              <w:pStyle w:val="TableParagraph"/>
              <w:spacing w:before="99"/>
              <w:ind w:left="113"/>
              <w:rPr>
                <w:sz w:val="18"/>
              </w:rPr>
            </w:pPr>
            <w:r>
              <w:rPr>
                <w:sz w:val="18"/>
              </w:rPr>
              <w:t>ARC</w:t>
            </w:r>
            <w:r>
              <w:rPr>
                <w:spacing w:val="-5"/>
                <w:sz w:val="18"/>
              </w:rPr>
              <w:t> 304</w:t>
            </w:r>
          </w:p>
        </w:tc>
        <w:tc>
          <w:tcPr>
            <w:tcW w:w="413" w:type="dxa"/>
            <w:textDirection w:val="btLr"/>
          </w:tcPr>
          <w:p>
            <w:pPr>
              <w:pStyle w:val="TableParagraph"/>
              <w:spacing w:before="99"/>
              <w:ind w:left="113"/>
              <w:rPr>
                <w:sz w:val="18"/>
              </w:rPr>
            </w:pPr>
            <w:r>
              <w:rPr>
                <w:sz w:val="18"/>
              </w:rPr>
              <w:t>ARC</w:t>
            </w:r>
            <w:r>
              <w:rPr>
                <w:spacing w:val="-5"/>
                <w:sz w:val="18"/>
              </w:rPr>
              <w:t> 309</w:t>
            </w:r>
          </w:p>
        </w:tc>
        <w:tc>
          <w:tcPr>
            <w:tcW w:w="413" w:type="dxa"/>
            <w:textDirection w:val="btLr"/>
          </w:tcPr>
          <w:p>
            <w:pPr>
              <w:pStyle w:val="TableParagraph"/>
              <w:spacing w:before="99"/>
              <w:ind w:left="113"/>
              <w:rPr>
                <w:sz w:val="18"/>
              </w:rPr>
            </w:pPr>
            <w:r>
              <w:rPr>
                <w:sz w:val="18"/>
              </w:rPr>
              <w:t>ARC</w:t>
            </w:r>
            <w:r>
              <w:rPr>
                <w:spacing w:val="-5"/>
                <w:sz w:val="18"/>
              </w:rPr>
              <w:t> 310</w:t>
            </w:r>
          </w:p>
        </w:tc>
        <w:tc>
          <w:tcPr>
            <w:tcW w:w="413" w:type="dxa"/>
            <w:textDirection w:val="btLr"/>
          </w:tcPr>
          <w:p>
            <w:pPr>
              <w:pStyle w:val="TableParagraph"/>
              <w:spacing w:before="101"/>
              <w:ind w:left="113"/>
              <w:rPr>
                <w:sz w:val="18"/>
              </w:rPr>
            </w:pPr>
            <w:r>
              <w:rPr>
                <w:sz w:val="18"/>
              </w:rPr>
              <w:t>ARC</w:t>
            </w:r>
            <w:r>
              <w:rPr>
                <w:spacing w:val="-5"/>
                <w:sz w:val="18"/>
              </w:rPr>
              <w:t> 317</w:t>
            </w:r>
          </w:p>
        </w:tc>
        <w:tc>
          <w:tcPr>
            <w:tcW w:w="413" w:type="dxa"/>
            <w:textDirection w:val="btLr"/>
          </w:tcPr>
          <w:p>
            <w:pPr>
              <w:pStyle w:val="TableParagraph"/>
              <w:spacing w:before="101"/>
              <w:ind w:left="113"/>
              <w:rPr>
                <w:sz w:val="18"/>
              </w:rPr>
            </w:pPr>
            <w:r>
              <w:rPr>
                <w:sz w:val="18"/>
              </w:rPr>
              <w:t>ARC</w:t>
            </w:r>
            <w:r>
              <w:rPr>
                <w:spacing w:val="-5"/>
                <w:sz w:val="18"/>
              </w:rPr>
              <w:t> 406</w:t>
            </w:r>
          </w:p>
        </w:tc>
        <w:tc>
          <w:tcPr>
            <w:tcW w:w="413" w:type="dxa"/>
            <w:textDirection w:val="btLr"/>
          </w:tcPr>
          <w:p>
            <w:pPr>
              <w:pStyle w:val="TableParagraph"/>
              <w:spacing w:before="101"/>
              <w:ind w:left="114"/>
              <w:rPr>
                <w:sz w:val="18"/>
              </w:rPr>
            </w:pPr>
            <w:r>
              <w:rPr>
                <w:sz w:val="18"/>
              </w:rPr>
              <w:t>ARC</w:t>
            </w:r>
            <w:r>
              <w:rPr>
                <w:spacing w:val="-5"/>
                <w:sz w:val="18"/>
              </w:rPr>
              <w:t> 411</w:t>
            </w:r>
          </w:p>
        </w:tc>
        <w:tc>
          <w:tcPr>
            <w:tcW w:w="413" w:type="dxa"/>
            <w:textDirection w:val="btLr"/>
          </w:tcPr>
          <w:p>
            <w:pPr>
              <w:pStyle w:val="TableParagraph"/>
              <w:spacing w:before="100"/>
              <w:ind w:left="114"/>
              <w:rPr>
                <w:sz w:val="18"/>
              </w:rPr>
            </w:pPr>
            <w:r>
              <w:rPr>
                <w:sz w:val="18"/>
              </w:rPr>
              <w:t>ARC</w:t>
            </w:r>
            <w:r>
              <w:rPr>
                <w:spacing w:val="-5"/>
                <w:sz w:val="18"/>
              </w:rPr>
              <w:t> 518</w:t>
            </w:r>
          </w:p>
        </w:tc>
        <w:tc>
          <w:tcPr>
            <w:tcW w:w="413" w:type="dxa"/>
            <w:textDirection w:val="btLr"/>
          </w:tcPr>
          <w:p>
            <w:pPr>
              <w:pStyle w:val="TableParagraph"/>
              <w:spacing w:before="100"/>
              <w:ind w:left="114"/>
              <w:rPr>
                <w:sz w:val="18"/>
              </w:rPr>
            </w:pPr>
            <w:r>
              <w:rPr>
                <w:sz w:val="18"/>
              </w:rPr>
              <w:t>ARC</w:t>
            </w:r>
            <w:r>
              <w:rPr>
                <w:spacing w:val="-5"/>
                <w:sz w:val="18"/>
              </w:rPr>
              <w:t> 602</w:t>
            </w:r>
          </w:p>
        </w:tc>
        <w:tc>
          <w:tcPr>
            <w:tcW w:w="413" w:type="dxa"/>
            <w:textDirection w:val="btLr"/>
          </w:tcPr>
          <w:p>
            <w:pPr>
              <w:pStyle w:val="TableParagraph"/>
              <w:spacing w:before="100"/>
              <w:ind w:left="114"/>
              <w:rPr>
                <w:sz w:val="18"/>
              </w:rPr>
            </w:pPr>
            <w:r>
              <w:rPr>
                <w:sz w:val="18"/>
              </w:rPr>
              <w:t>ARC</w:t>
            </w:r>
            <w:r>
              <w:rPr>
                <w:spacing w:val="-5"/>
                <w:sz w:val="18"/>
              </w:rPr>
              <w:t> 617</w:t>
            </w:r>
          </w:p>
        </w:tc>
      </w:tr>
      <w:tr>
        <w:trPr>
          <w:trHeight w:val="230" w:hRule="atLeast"/>
        </w:trPr>
        <w:tc>
          <w:tcPr>
            <w:tcW w:w="9177" w:type="dxa"/>
            <w:gridSpan w:val="15"/>
          </w:tcPr>
          <w:p>
            <w:pPr>
              <w:pStyle w:val="TableParagraph"/>
              <w:spacing w:line="210" w:lineRule="exact"/>
              <w:ind w:left="43"/>
              <w:rPr>
                <w:sz w:val="20"/>
              </w:rPr>
            </w:pPr>
            <w:r>
              <w:rPr>
                <w:sz w:val="20"/>
              </w:rPr>
              <w:t>Full</w:t>
            </w:r>
            <w:r>
              <w:rPr>
                <w:spacing w:val="-5"/>
                <w:sz w:val="20"/>
              </w:rPr>
              <w:t> </w:t>
            </w:r>
            <w:r>
              <w:rPr>
                <w:sz w:val="20"/>
              </w:rPr>
              <w:t>Time</w:t>
            </w:r>
            <w:r>
              <w:rPr>
                <w:spacing w:val="-4"/>
                <w:sz w:val="20"/>
              </w:rPr>
              <w:t> </w:t>
            </w:r>
            <w:r>
              <w:rPr>
                <w:spacing w:val="-2"/>
                <w:sz w:val="20"/>
              </w:rPr>
              <w:t>Faculty</w:t>
            </w:r>
          </w:p>
        </w:tc>
      </w:tr>
      <w:tr>
        <w:trPr>
          <w:trHeight w:val="230" w:hRule="atLeast"/>
        </w:trPr>
        <w:tc>
          <w:tcPr>
            <w:tcW w:w="3389" w:type="dxa"/>
          </w:tcPr>
          <w:p>
            <w:pPr>
              <w:pStyle w:val="TableParagraph"/>
              <w:spacing w:line="210" w:lineRule="exact"/>
              <w:ind w:left="331"/>
              <w:rPr>
                <w:sz w:val="20"/>
              </w:rPr>
            </w:pPr>
            <w:r>
              <w:rPr>
                <w:spacing w:val="-2"/>
                <w:sz w:val="20"/>
              </w:rPr>
              <w:t>Andrews</w:t>
            </w:r>
          </w:p>
        </w:tc>
        <w:tc>
          <w:tcPr>
            <w:tcW w:w="415" w:type="dxa"/>
          </w:tcPr>
          <w:p>
            <w:pPr>
              <w:pStyle w:val="TableParagraph"/>
              <w:rPr>
                <w:rFonts w:ascii="Times New Roman"/>
                <w:sz w:val="16"/>
              </w:rPr>
            </w:pPr>
          </w:p>
        </w:tc>
        <w:tc>
          <w:tcPr>
            <w:tcW w:w="413" w:type="dxa"/>
          </w:tcPr>
          <w:p>
            <w:pPr>
              <w:pStyle w:val="TableParagraph"/>
              <w:rPr>
                <w:rFonts w:ascii="Times New Roman"/>
                <w:sz w:val="16"/>
              </w:rPr>
            </w:pPr>
          </w:p>
        </w:tc>
        <w:tc>
          <w:tcPr>
            <w:tcW w:w="415" w:type="dxa"/>
          </w:tcPr>
          <w:p>
            <w:pPr>
              <w:pStyle w:val="TableParagraph"/>
              <w:rPr>
                <w:rFonts w:ascii="Times New Roman"/>
                <w:sz w:val="16"/>
              </w:rPr>
            </w:pPr>
          </w:p>
        </w:tc>
        <w:tc>
          <w:tcPr>
            <w:tcW w:w="413" w:type="dxa"/>
          </w:tcPr>
          <w:p>
            <w:pPr>
              <w:pStyle w:val="TableParagraph"/>
              <w:rPr>
                <w:rFonts w:ascii="Times New Roman"/>
                <w:sz w:val="16"/>
              </w:rPr>
            </w:pPr>
          </w:p>
        </w:tc>
        <w:tc>
          <w:tcPr>
            <w:tcW w:w="415" w:type="dxa"/>
          </w:tcPr>
          <w:p>
            <w:pPr>
              <w:pStyle w:val="TableParagraph"/>
              <w:rPr>
                <w:rFonts w:ascii="Times New Roman"/>
                <w:sz w:val="16"/>
              </w:rPr>
            </w:pPr>
          </w:p>
        </w:tc>
        <w:tc>
          <w:tcPr>
            <w:tcW w:w="413" w:type="dxa"/>
          </w:tcPr>
          <w:p>
            <w:pPr>
              <w:pStyle w:val="TableParagraph"/>
              <w:spacing w:line="210" w:lineRule="exact"/>
              <w:ind w:left="158"/>
              <w:rPr>
                <w:sz w:val="20"/>
              </w:rPr>
            </w:pPr>
            <w:r>
              <w:rPr>
                <w:w w:val="99"/>
                <w:sz w:val="20"/>
              </w:rPr>
              <w:t>X</w:t>
            </w: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spacing w:line="210" w:lineRule="exact"/>
              <w:ind w:left="160"/>
              <w:rPr>
                <w:sz w:val="20"/>
              </w:rPr>
            </w:pPr>
            <w:r>
              <w:rPr>
                <w:w w:val="99"/>
                <w:sz w:val="20"/>
              </w:rPr>
              <w:t>X</w:t>
            </w: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r>
      <w:tr>
        <w:trPr>
          <w:trHeight w:val="229" w:hRule="atLeast"/>
        </w:trPr>
        <w:tc>
          <w:tcPr>
            <w:tcW w:w="3389" w:type="dxa"/>
          </w:tcPr>
          <w:p>
            <w:pPr>
              <w:pStyle w:val="TableParagraph"/>
              <w:spacing w:line="210" w:lineRule="exact"/>
              <w:ind w:left="331"/>
              <w:rPr>
                <w:sz w:val="20"/>
              </w:rPr>
            </w:pPr>
            <w:r>
              <w:rPr>
                <w:spacing w:val="-2"/>
                <w:sz w:val="20"/>
              </w:rPr>
              <w:t>Easter</w:t>
            </w:r>
          </w:p>
        </w:tc>
        <w:tc>
          <w:tcPr>
            <w:tcW w:w="415" w:type="dxa"/>
          </w:tcPr>
          <w:p>
            <w:pPr>
              <w:pStyle w:val="TableParagraph"/>
              <w:rPr>
                <w:rFonts w:ascii="Times New Roman"/>
                <w:sz w:val="16"/>
              </w:rPr>
            </w:pPr>
          </w:p>
        </w:tc>
        <w:tc>
          <w:tcPr>
            <w:tcW w:w="413" w:type="dxa"/>
          </w:tcPr>
          <w:p>
            <w:pPr>
              <w:pStyle w:val="TableParagraph"/>
              <w:rPr>
                <w:rFonts w:ascii="Times New Roman"/>
                <w:sz w:val="16"/>
              </w:rPr>
            </w:pPr>
          </w:p>
        </w:tc>
        <w:tc>
          <w:tcPr>
            <w:tcW w:w="415" w:type="dxa"/>
          </w:tcPr>
          <w:p>
            <w:pPr>
              <w:pStyle w:val="TableParagraph"/>
              <w:rPr>
                <w:rFonts w:ascii="Times New Roman"/>
                <w:sz w:val="16"/>
              </w:rPr>
            </w:pPr>
          </w:p>
        </w:tc>
        <w:tc>
          <w:tcPr>
            <w:tcW w:w="413" w:type="dxa"/>
          </w:tcPr>
          <w:p>
            <w:pPr>
              <w:pStyle w:val="TableParagraph"/>
              <w:rPr>
                <w:rFonts w:ascii="Times New Roman"/>
                <w:sz w:val="16"/>
              </w:rPr>
            </w:pPr>
          </w:p>
        </w:tc>
        <w:tc>
          <w:tcPr>
            <w:tcW w:w="415"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spacing w:line="210" w:lineRule="exact"/>
              <w:ind w:right="108"/>
              <w:jc w:val="right"/>
              <w:rPr>
                <w:sz w:val="20"/>
              </w:rPr>
            </w:pPr>
            <w:r>
              <w:rPr>
                <w:w w:val="99"/>
                <w:sz w:val="20"/>
              </w:rPr>
              <w:t>X</w:t>
            </w:r>
          </w:p>
        </w:tc>
        <w:tc>
          <w:tcPr>
            <w:tcW w:w="413" w:type="dxa"/>
          </w:tcPr>
          <w:p>
            <w:pPr>
              <w:pStyle w:val="TableParagraph"/>
              <w:rPr>
                <w:rFonts w:ascii="Times New Roman"/>
                <w:sz w:val="16"/>
              </w:rPr>
            </w:pPr>
          </w:p>
        </w:tc>
        <w:tc>
          <w:tcPr>
            <w:tcW w:w="413" w:type="dxa"/>
          </w:tcPr>
          <w:p>
            <w:pPr>
              <w:pStyle w:val="TableParagraph"/>
              <w:spacing w:line="210" w:lineRule="exact"/>
              <w:ind w:left="159"/>
              <w:rPr>
                <w:sz w:val="20"/>
              </w:rPr>
            </w:pPr>
            <w:r>
              <w:rPr>
                <w:w w:val="99"/>
                <w:sz w:val="20"/>
              </w:rPr>
              <w:t>X</w:t>
            </w:r>
          </w:p>
        </w:tc>
        <w:tc>
          <w:tcPr>
            <w:tcW w:w="413" w:type="dxa"/>
          </w:tcPr>
          <w:p>
            <w:pPr>
              <w:pStyle w:val="TableParagraph"/>
              <w:rPr>
                <w:rFonts w:ascii="Times New Roman"/>
                <w:sz w:val="16"/>
              </w:rPr>
            </w:pPr>
          </w:p>
        </w:tc>
        <w:tc>
          <w:tcPr>
            <w:tcW w:w="413" w:type="dxa"/>
          </w:tcPr>
          <w:p>
            <w:pPr>
              <w:pStyle w:val="TableParagraph"/>
              <w:rPr>
                <w:rFonts w:ascii="Times New Roman"/>
                <w:sz w:val="16"/>
              </w:rPr>
            </w:pPr>
          </w:p>
        </w:tc>
      </w:tr>
      <w:tr>
        <w:trPr>
          <w:trHeight w:val="230" w:hRule="atLeast"/>
        </w:trPr>
        <w:tc>
          <w:tcPr>
            <w:tcW w:w="3389" w:type="dxa"/>
          </w:tcPr>
          <w:p>
            <w:pPr>
              <w:pStyle w:val="TableParagraph"/>
              <w:spacing w:line="210" w:lineRule="exact"/>
              <w:ind w:left="331"/>
              <w:rPr>
                <w:sz w:val="20"/>
              </w:rPr>
            </w:pPr>
            <w:r>
              <w:rPr>
                <w:spacing w:val="-2"/>
                <w:sz w:val="20"/>
              </w:rPr>
              <w:t>Henderson,</w:t>
            </w:r>
            <w:r>
              <w:rPr>
                <w:spacing w:val="4"/>
                <w:sz w:val="20"/>
              </w:rPr>
              <w:t> </w:t>
            </w:r>
            <w:r>
              <w:rPr>
                <w:spacing w:val="-10"/>
                <w:sz w:val="20"/>
              </w:rPr>
              <w:t>W</w:t>
            </w:r>
          </w:p>
        </w:tc>
        <w:tc>
          <w:tcPr>
            <w:tcW w:w="415" w:type="dxa"/>
          </w:tcPr>
          <w:p>
            <w:pPr>
              <w:pStyle w:val="TableParagraph"/>
              <w:rPr>
                <w:rFonts w:ascii="Times New Roman"/>
                <w:sz w:val="16"/>
              </w:rPr>
            </w:pPr>
          </w:p>
        </w:tc>
        <w:tc>
          <w:tcPr>
            <w:tcW w:w="413" w:type="dxa"/>
          </w:tcPr>
          <w:p>
            <w:pPr>
              <w:pStyle w:val="TableParagraph"/>
              <w:rPr>
                <w:rFonts w:ascii="Times New Roman"/>
                <w:sz w:val="16"/>
              </w:rPr>
            </w:pPr>
          </w:p>
        </w:tc>
        <w:tc>
          <w:tcPr>
            <w:tcW w:w="415" w:type="dxa"/>
          </w:tcPr>
          <w:p>
            <w:pPr>
              <w:pStyle w:val="TableParagraph"/>
              <w:rPr>
                <w:rFonts w:ascii="Times New Roman"/>
                <w:sz w:val="16"/>
              </w:rPr>
            </w:pPr>
          </w:p>
        </w:tc>
        <w:tc>
          <w:tcPr>
            <w:tcW w:w="413" w:type="dxa"/>
          </w:tcPr>
          <w:p>
            <w:pPr>
              <w:pStyle w:val="TableParagraph"/>
              <w:spacing w:line="210" w:lineRule="exact"/>
              <w:ind w:left="160"/>
              <w:rPr>
                <w:sz w:val="20"/>
              </w:rPr>
            </w:pPr>
            <w:r>
              <w:rPr>
                <w:w w:val="99"/>
                <w:sz w:val="20"/>
              </w:rPr>
              <w:t>X</w:t>
            </w:r>
          </w:p>
        </w:tc>
        <w:tc>
          <w:tcPr>
            <w:tcW w:w="415"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spacing w:line="210" w:lineRule="exact"/>
              <w:ind w:left="48"/>
              <w:jc w:val="center"/>
              <w:rPr>
                <w:sz w:val="20"/>
              </w:rPr>
            </w:pPr>
            <w:r>
              <w:rPr>
                <w:w w:val="99"/>
                <w:sz w:val="20"/>
              </w:rPr>
              <w:t>X</w:t>
            </w:r>
          </w:p>
        </w:tc>
        <w:tc>
          <w:tcPr>
            <w:tcW w:w="413" w:type="dxa"/>
          </w:tcPr>
          <w:p>
            <w:pPr>
              <w:pStyle w:val="TableParagraph"/>
              <w:rPr>
                <w:rFonts w:ascii="Times New Roman"/>
                <w:sz w:val="16"/>
              </w:rPr>
            </w:pPr>
          </w:p>
        </w:tc>
      </w:tr>
      <w:tr>
        <w:trPr>
          <w:trHeight w:val="230" w:hRule="atLeast"/>
        </w:trPr>
        <w:tc>
          <w:tcPr>
            <w:tcW w:w="3389" w:type="dxa"/>
          </w:tcPr>
          <w:p>
            <w:pPr>
              <w:pStyle w:val="TableParagraph"/>
              <w:spacing w:line="210" w:lineRule="exact"/>
              <w:ind w:left="331"/>
              <w:rPr>
                <w:sz w:val="20"/>
              </w:rPr>
            </w:pPr>
            <w:r>
              <w:rPr>
                <w:spacing w:val="-2"/>
                <w:sz w:val="20"/>
              </w:rPr>
              <w:t>Kloster</w:t>
            </w:r>
          </w:p>
        </w:tc>
        <w:tc>
          <w:tcPr>
            <w:tcW w:w="415" w:type="dxa"/>
          </w:tcPr>
          <w:p>
            <w:pPr>
              <w:pStyle w:val="TableParagraph"/>
              <w:spacing w:line="210" w:lineRule="exact"/>
              <w:ind w:left="48"/>
              <w:jc w:val="center"/>
              <w:rPr>
                <w:sz w:val="20"/>
              </w:rPr>
            </w:pPr>
            <w:r>
              <w:rPr>
                <w:w w:val="99"/>
                <w:sz w:val="20"/>
              </w:rPr>
              <w:t>X</w:t>
            </w:r>
          </w:p>
        </w:tc>
        <w:tc>
          <w:tcPr>
            <w:tcW w:w="413" w:type="dxa"/>
          </w:tcPr>
          <w:p>
            <w:pPr>
              <w:pStyle w:val="TableParagraph"/>
              <w:rPr>
                <w:rFonts w:ascii="Times New Roman"/>
                <w:sz w:val="16"/>
              </w:rPr>
            </w:pPr>
          </w:p>
        </w:tc>
        <w:tc>
          <w:tcPr>
            <w:tcW w:w="415" w:type="dxa"/>
          </w:tcPr>
          <w:p>
            <w:pPr>
              <w:pStyle w:val="TableParagraph"/>
              <w:rPr>
                <w:rFonts w:ascii="Times New Roman"/>
                <w:sz w:val="16"/>
              </w:rPr>
            </w:pPr>
          </w:p>
        </w:tc>
        <w:tc>
          <w:tcPr>
            <w:tcW w:w="413" w:type="dxa"/>
          </w:tcPr>
          <w:p>
            <w:pPr>
              <w:pStyle w:val="TableParagraph"/>
              <w:rPr>
                <w:rFonts w:ascii="Times New Roman"/>
                <w:sz w:val="16"/>
              </w:rPr>
            </w:pPr>
          </w:p>
        </w:tc>
        <w:tc>
          <w:tcPr>
            <w:tcW w:w="415"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r>
      <w:tr>
        <w:trPr>
          <w:trHeight w:val="229" w:hRule="atLeast"/>
        </w:trPr>
        <w:tc>
          <w:tcPr>
            <w:tcW w:w="3389" w:type="dxa"/>
          </w:tcPr>
          <w:p>
            <w:pPr>
              <w:pStyle w:val="TableParagraph"/>
              <w:spacing w:line="210" w:lineRule="exact"/>
              <w:ind w:left="331"/>
              <w:rPr>
                <w:sz w:val="20"/>
              </w:rPr>
            </w:pPr>
            <w:r>
              <w:rPr>
                <w:spacing w:val="-2"/>
                <w:sz w:val="20"/>
              </w:rPr>
              <w:t>Okiomah</w:t>
            </w:r>
          </w:p>
        </w:tc>
        <w:tc>
          <w:tcPr>
            <w:tcW w:w="415" w:type="dxa"/>
          </w:tcPr>
          <w:p>
            <w:pPr>
              <w:pStyle w:val="TableParagraph"/>
              <w:rPr>
                <w:rFonts w:ascii="Times New Roman"/>
                <w:sz w:val="16"/>
              </w:rPr>
            </w:pPr>
          </w:p>
        </w:tc>
        <w:tc>
          <w:tcPr>
            <w:tcW w:w="413" w:type="dxa"/>
          </w:tcPr>
          <w:p>
            <w:pPr>
              <w:pStyle w:val="TableParagraph"/>
              <w:spacing w:line="210" w:lineRule="exact"/>
              <w:ind w:left="51"/>
              <w:jc w:val="center"/>
              <w:rPr>
                <w:sz w:val="20"/>
              </w:rPr>
            </w:pPr>
            <w:r>
              <w:rPr>
                <w:w w:val="99"/>
                <w:sz w:val="20"/>
              </w:rPr>
              <w:t>X</w:t>
            </w:r>
          </w:p>
        </w:tc>
        <w:tc>
          <w:tcPr>
            <w:tcW w:w="415" w:type="dxa"/>
          </w:tcPr>
          <w:p>
            <w:pPr>
              <w:pStyle w:val="TableParagraph"/>
              <w:rPr>
                <w:rFonts w:ascii="Times New Roman"/>
                <w:sz w:val="16"/>
              </w:rPr>
            </w:pPr>
          </w:p>
        </w:tc>
        <w:tc>
          <w:tcPr>
            <w:tcW w:w="413" w:type="dxa"/>
          </w:tcPr>
          <w:p>
            <w:pPr>
              <w:pStyle w:val="TableParagraph"/>
              <w:rPr>
                <w:rFonts w:ascii="Times New Roman"/>
                <w:sz w:val="16"/>
              </w:rPr>
            </w:pPr>
          </w:p>
        </w:tc>
        <w:tc>
          <w:tcPr>
            <w:tcW w:w="415"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spacing w:line="210" w:lineRule="exact"/>
              <w:ind w:left="159"/>
              <w:rPr>
                <w:sz w:val="20"/>
              </w:rPr>
            </w:pPr>
            <w:r>
              <w:rPr>
                <w:w w:val="99"/>
                <w:sz w:val="20"/>
              </w:rPr>
              <w:t>X</w:t>
            </w: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r>
      <w:tr>
        <w:trPr>
          <w:trHeight w:val="230" w:hRule="atLeast"/>
        </w:trPr>
        <w:tc>
          <w:tcPr>
            <w:tcW w:w="3389" w:type="dxa"/>
          </w:tcPr>
          <w:p>
            <w:pPr>
              <w:pStyle w:val="TableParagraph"/>
              <w:spacing w:line="210" w:lineRule="exact"/>
              <w:ind w:left="331"/>
              <w:rPr>
                <w:sz w:val="20"/>
              </w:rPr>
            </w:pPr>
            <w:r>
              <w:rPr>
                <w:spacing w:val="-2"/>
                <w:sz w:val="20"/>
              </w:rPr>
              <w:t>Peronnet*</w:t>
            </w:r>
          </w:p>
        </w:tc>
        <w:tc>
          <w:tcPr>
            <w:tcW w:w="415" w:type="dxa"/>
          </w:tcPr>
          <w:p>
            <w:pPr>
              <w:pStyle w:val="TableParagraph"/>
              <w:rPr>
                <w:rFonts w:ascii="Times New Roman"/>
                <w:sz w:val="16"/>
              </w:rPr>
            </w:pPr>
          </w:p>
        </w:tc>
        <w:tc>
          <w:tcPr>
            <w:tcW w:w="413" w:type="dxa"/>
          </w:tcPr>
          <w:p>
            <w:pPr>
              <w:pStyle w:val="TableParagraph"/>
              <w:rPr>
                <w:rFonts w:ascii="Times New Roman"/>
                <w:sz w:val="16"/>
              </w:rPr>
            </w:pPr>
          </w:p>
        </w:tc>
        <w:tc>
          <w:tcPr>
            <w:tcW w:w="415" w:type="dxa"/>
          </w:tcPr>
          <w:p>
            <w:pPr>
              <w:pStyle w:val="TableParagraph"/>
              <w:rPr>
                <w:rFonts w:ascii="Times New Roman"/>
                <w:sz w:val="16"/>
              </w:rPr>
            </w:pPr>
          </w:p>
        </w:tc>
        <w:tc>
          <w:tcPr>
            <w:tcW w:w="413" w:type="dxa"/>
          </w:tcPr>
          <w:p>
            <w:pPr>
              <w:pStyle w:val="TableParagraph"/>
              <w:rPr>
                <w:rFonts w:ascii="Times New Roman"/>
                <w:sz w:val="16"/>
              </w:rPr>
            </w:pPr>
          </w:p>
        </w:tc>
        <w:tc>
          <w:tcPr>
            <w:tcW w:w="415" w:type="dxa"/>
          </w:tcPr>
          <w:p>
            <w:pPr>
              <w:pStyle w:val="TableParagraph"/>
              <w:spacing w:line="210" w:lineRule="exact"/>
              <w:ind w:left="160"/>
              <w:rPr>
                <w:sz w:val="20"/>
              </w:rPr>
            </w:pPr>
            <w:r>
              <w:rPr>
                <w:w w:val="99"/>
                <w:sz w:val="20"/>
              </w:rPr>
              <w:t>X</w:t>
            </w: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spacing w:line="210" w:lineRule="exact"/>
              <w:ind w:right="108"/>
              <w:jc w:val="right"/>
              <w:rPr>
                <w:sz w:val="20"/>
              </w:rPr>
            </w:pPr>
            <w:r>
              <w:rPr>
                <w:w w:val="99"/>
                <w:sz w:val="20"/>
              </w:rPr>
              <w:t>X</w:t>
            </w: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r>
      <w:tr>
        <w:trPr>
          <w:trHeight w:val="230" w:hRule="atLeast"/>
        </w:trPr>
        <w:tc>
          <w:tcPr>
            <w:tcW w:w="3389" w:type="dxa"/>
          </w:tcPr>
          <w:p>
            <w:pPr>
              <w:pStyle w:val="TableParagraph"/>
              <w:spacing w:line="210" w:lineRule="exact"/>
              <w:ind w:left="331"/>
              <w:rPr>
                <w:sz w:val="20"/>
              </w:rPr>
            </w:pPr>
            <w:r>
              <w:rPr>
                <w:spacing w:val="-2"/>
                <w:sz w:val="20"/>
              </w:rPr>
              <w:t>Sanchez</w:t>
            </w:r>
          </w:p>
        </w:tc>
        <w:tc>
          <w:tcPr>
            <w:tcW w:w="415" w:type="dxa"/>
          </w:tcPr>
          <w:p>
            <w:pPr>
              <w:pStyle w:val="TableParagraph"/>
              <w:rPr>
                <w:rFonts w:ascii="Times New Roman"/>
                <w:sz w:val="16"/>
              </w:rPr>
            </w:pPr>
          </w:p>
        </w:tc>
        <w:tc>
          <w:tcPr>
            <w:tcW w:w="413" w:type="dxa"/>
          </w:tcPr>
          <w:p>
            <w:pPr>
              <w:pStyle w:val="TableParagraph"/>
              <w:rPr>
                <w:rFonts w:ascii="Times New Roman"/>
                <w:sz w:val="16"/>
              </w:rPr>
            </w:pPr>
          </w:p>
        </w:tc>
        <w:tc>
          <w:tcPr>
            <w:tcW w:w="415" w:type="dxa"/>
          </w:tcPr>
          <w:p>
            <w:pPr>
              <w:pStyle w:val="TableParagraph"/>
              <w:rPr>
                <w:rFonts w:ascii="Times New Roman"/>
                <w:sz w:val="16"/>
              </w:rPr>
            </w:pPr>
          </w:p>
        </w:tc>
        <w:tc>
          <w:tcPr>
            <w:tcW w:w="413" w:type="dxa"/>
          </w:tcPr>
          <w:p>
            <w:pPr>
              <w:pStyle w:val="TableParagraph"/>
              <w:rPr>
                <w:rFonts w:ascii="Times New Roman"/>
                <w:sz w:val="16"/>
              </w:rPr>
            </w:pPr>
          </w:p>
        </w:tc>
        <w:tc>
          <w:tcPr>
            <w:tcW w:w="415"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spacing w:line="210" w:lineRule="exact"/>
              <w:ind w:left="48"/>
              <w:jc w:val="center"/>
              <w:rPr>
                <w:sz w:val="20"/>
              </w:rPr>
            </w:pPr>
            <w:r>
              <w:rPr>
                <w:w w:val="99"/>
                <w:sz w:val="20"/>
              </w:rPr>
              <w:t>X</w:t>
            </w:r>
          </w:p>
        </w:tc>
        <w:tc>
          <w:tcPr>
            <w:tcW w:w="413" w:type="dxa"/>
          </w:tcPr>
          <w:p>
            <w:pPr>
              <w:pStyle w:val="TableParagraph"/>
              <w:spacing w:line="210" w:lineRule="exact"/>
              <w:ind w:left="159"/>
              <w:rPr>
                <w:sz w:val="20"/>
              </w:rPr>
            </w:pPr>
            <w:r>
              <w:rPr>
                <w:w w:val="99"/>
                <w:sz w:val="20"/>
              </w:rPr>
              <w:t>X</w:t>
            </w:r>
          </w:p>
        </w:tc>
      </w:tr>
      <w:tr>
        <w:trPr>
          <w:trHeight w:val="229" w:hRule="atLeast"/>
        </w:trPr>
        <w:tc>
          <w:tcPr>
            <w:tcW w:w="3389" w:type="dxa"/>
          </w:tcPr>
          <w:p>
            <w:pPr>
              <w:pStyle w:val="TableParagraph"/>
              <w:spacing w:line="210" w:lineRule="exact"/>
              <w:ind w:left="331"/>
              <w:rPr>
                <w:sz w:val="20"/>
              </w:rPr>
            </w:pPr>
            <w:r>
              <w:rPr>
                <w:spacing w:val="-2"/>
                <w:sz w:val="20"/>
              </w:rPr>
              <w:t>Turner</w:t>
            </w:r>
          </w:p>
        </w:tc>
        <w:tc>
          <w:tcPr>
            <w:tcW w:w="415" w:type="dxa"/>
          </w:tcPr>
          <w:p>
            <w:pPr>
              <w:pStyle w:val="TableParagraph"/>
              <w:rPr>
                <w:rFonts w:ascii="Times New Roman"/>
                <w:sz w:val="16"/>
              </w:rPr>
            </w:pPr>
          </w:p>
        </w:tc>
        <w:tc>
          <w:tcPr>
            <w:tcW w:w="413" w:type="dxa"/>
          </w:tcPr>
          <w:p>
            <w:pPr>
              <w:pStyle w:val="TableParagraph"/>
              <w:spacing w:line="210" w:lineRule="exact"/>
              <w:ind w:left="51"/>
              <w:jc w:val="center"/>
              <w:rPr>
                <w:sz w:val="20"/>
              </w:rPr>
            </w:pPr>
            <w:r>
              <w:rPr>
                <w:w w:val="99"/>
                <w:sz w:val="20"/>
              </w:rPr>
              <w:t>X</w:t>
            </w:r>
          </w:p>
        </w:tc>
        <w:tc>
          <w:tcPr>
            <w:tcW w:w="415" w:type="dxa"/>
          </w:tcPr>
          <w:p>
            <w:pPr>
              <w:pStyle w:val="TableParagraph"/>
              <w:spacing w:line="210" w:lineRule="exact"/>
              <w:ind w:left="160"/>
              <w:rPr>
                <w:sz w:val="20"/>
              </w:rPr>
            </w:pPr>
            <w:r>
              <w:rPr>
                <w:w w:val="99"/>
                <w:sz w:val="20"/>
              </w:rPr>
              <w:t>X</w:t>
            </w:r>
          </w:p>
        </w:tc>
        <w:tc>
          <w:tcPr>
            <w:tcW w:w="413" w:type="dxa"/>
          </w:tcPr>
          <w:p>
            <w:pPr>
              <w:pStyle w:val="TableParagraph"/>
              <w:rPr>
                <w:rFonts w:ascii="Times New Roman"/>
                <w:sz w:val="16"/>
              </w:rPr>
            </w:pPr>
          </w:p>
        </w:tc>
        <w:tc>
          <w:tcPr>
            <w:tcW w:w="415"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r>
      <w:tr>
        <w:trPr>
          <w:trHeight w:val="230" w:hRule="atLeast"/>
        </w:trPr>
        <w:tc>
          <w:tcPr>
            <w:tcW w:w="9177" w:type="dxa"/>
            <w:gridSpan w:val="15"/>
          </w:tcPr>
          <w:p>
            <w:pPr>
              <w:pStyle w:val="TableParagraph"/>
              <w:spacing w:line="210" w:lineRule="exact"/>
              <w:ind w:left="43"/>
              <w:rPr>
                <w:sz w:val="20"/>
              </w:rPr>
            </w:pPr>
            <w:r>
              <w:rPr>
                <w:sz w:val="20"/>
              </w:rPr>
              <w:t>Part</w:t>
            </w:r>
            <w:r>
              <w:rPr>
                <w:spacing w:val="-4"/>
                <w:sz w:val="20"/>
              </w:rPr>
              <w:t> </w:t>
            </w:r>
            <w:r>
              <w:rPr>
                <w:sz w:val="20"/>
              </w:rPr>
              <w:t>Time</w:t>
            </w:r>
            <w:r>
              <w:rPr>
                <w:spacing w:val="-4"/>
                <w:sz w:val="20"/>
              </w:rPr>
              <w:t> </w:t>
            </w:r>
            <w:r>
              <w:rPr>
                <w:spacing w:val="-2"/>
                <w:sz w:val="20"/>
              </w:rPr>
              <w:t>Faculty</w:t>
            </w:r>
          </w:p>
        </w:tc>
      </w:tr>
      <w:tr>
        <w:trPr>
          <w:trHeight w:val="230" w:hRule="atLeast"/>
        </w:trPr>
        <w:tc>
          <w:tcPr>
            <w:tcW w:w="3389" w:type="dxa"/>
          </w:tcPr>
          <w:p>
            <w:pPr>
              <w:pStyle w:val="TableParagraph"/>
              <w:spacing w:line="210" w:lineRule="exact"/>
              <w:ind w:left="331"/>
              <w:rPr>
                <w:sz w:val="20"/>
              </w:rPr>
            </w:pPr>
            <w:r>
              <w:rPr>
                <w:spacing w:val="-2"/>
                <w:sz w:val="20"/>
              </w:rPr>
              <w:t>Brown</w:t>
            </w:r>
          </w:p>
        </w:tc>
        <w:tc>
          <w:tcPr>
            <w:tcW w:w="415" w:type="dxa"/>
          </w:tcPr>
          <w:p>
            <w:pPr>
              <w:pStyle w:val="TableParagraph"/>
              <w:spacing w:line="210" w:lineRule="exact"/>
              <w:ind w:left="48"/>
              <w:jc w:val="center"/>
              <w:rPr>
                <w:sz w:val="20"/>
              </w:rPr>
            </w:pPr>
            <w:r>
              <w:rPr>
                <w:w w:val="99"/>
                <w:sz w:val="20"/>
              </w:rPr>
              <w:t>X</w:t>
            </w:r>
          </w:p>
        </w:tc>
        <w:tc>
          <w:tcPr>
            <w:tcW w:w="413" w:type="dxa"/>
          </w:tcPr>
          <w:p>
            <w:pPr>
              <w:pStyle w:val="TableParagraph"/>
              <w:rPr>
                <w:rFonts w:ascii="Times New Roman"/>
                <w:sz w:val="16"/>
              </w:rPr>
            </w:pPr>
          </w:p>
        </w:tc>
        <w:tc>
          <w:tcPr>
            <w:tcW w:w="415" w:type="dxa"/>
          </w:tcPr>
          <w:p>
            <w:pPr>
              <w:pStyle w:val="TableParagraph"/>
              <w:rPr>
                <w:rFonts w:ascii="Times New Roman"/>
                <w:sz w:val="16"/>
              </w:rPr>
            </w:pPr>
          </w:p>
        </w:tc>
        <w:tc>
          <w:tcPr>
            <w:tcW w:w="413" w:type="dxa"/>
          </w:tcPr>
          <w:p>
            <w:pPr>
              <w:pStyle w:val="TableParagraph"/>
              <w:rPr>
                <w:rFonts w:ascii="Times New Roman"/>
                <w:sz w:val="16"/>
              </w:rPr>
            </w:pPr>
          </w:p>
        </w:tc>
        <w:tc>
          <w:tcPr>
            <w:tcW w:w="415"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spacing w:line="210" w:lineRule="exact"/>
              <w:ind w:left="158"/>
              <w:rPr>
                <w:sz w:val="20"/>
              </w:rPr>
            </w:pPr>
            <w:r>
              <w:rPr>
                <w:w w:val="99"/>
                <w:sz w:val="20"/>
              </w:rPr>
              <w:t>X</w:t>
            </w:r>
          </w:p>
        </w:tc>
        <w:tc>
          <w:tcPr>
            <w:tcW w:w="413" w:type="dxa"/>
          </w:tcPr>
          <w:p>
            <w:pPr>
              <w:pStyle w:val="TableParagraph"/>
              <w:spacing w:line="210" w:lineRule="exact"/>
              <w:ind w:left="160"/>
              <w:rPr>
                <w:sz w:val="20"/>
              </w:rPr>
            </w:pPr>
            <w:r>
              <w:rPr>
                <w:w w:val="99"/>
                <w:sz w:val="20"/>
              </w:rPr>
              <w:t>X</w:t>
            </w: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r>
      <w:tr>
        <w:trPr>
          <w:trHeight w:val="229" w:hRule="atLeast"/>
        </w:trPr>
        <w:tc>
          <w:tcPr>
            <w:tcW w:w="3389" w:type="dxa"/>
          </w:tcPr>
          <w:p>
            <w:pPr>
              <w:pStyle w:val="TableParagraph"/>
              <w:spacing w:line="210" w:lineRule="exact"/>
              <w:ind w:left="331"/>
              <w:rPr>
                <w:sz w:val="20"/>
              </w:rPr>
            </w:pPr>
            <w:r>
              <w:rPr>
                <w:spacing w:val="-2"/>
                <w:sz w:val="20"/>
              </w:rPr>
              <w:t>Battaglia</w:t>
            </w:r>
          </w:p>
        </w:tc>
        <w:tc>
          <w:tcPr>
            <w:tcW w:w="415" w:type="dxa"/>
          </w:tcPr>
          <w:p>
            <w:pPr>
              <w:pStyle w:val="TableParagraph"/>
              <w:rPr>
                <w:rFonts w:ascii="Times New Roman"/>
                <w:sz w:val="16"/>
              </w:rPr>
            </w:pPr>
          </w:p>
        </w:tc>
        <w:tc>
          <w:tcPr>
            <w:tcW w:w="413" w:type="dxa"/>
          </w:tcPr>
          <w:p>
            <w:pPr>
              <w:pStyle w:val="TableParagraph"/>
              <w:rPr>
                <w:rFonts w:ascii="Times New Roman"/>
                <w:sz w:val="16"/>
              </w:rPr>
            </w:pPr>
          </w:p>
        </w:tc>
        <w:tc>
          <w:tcPr>
            <w:tcW w:w="415" w:type="dxa"/>
          </w:tcPr>
          <w:p>
            <w:pPr>
              <w:pStyle w:val="TableParagraph"/>
              <w:rPr>
                <w:rFonts w:ascii="Times New Roman"/>
                <w:sz w:val="16"/>
              </w:rPr>
            </w:pPr>
          </w:p>
        </w:tc>
        <w:tc>
          <w:tcPr>
            <w:tcW w:w="413" w:type="dxa"/>
          </w:tcPr>
          <w:p>
            <w:pPr>
              <w:pStyle w:val="TableParagraph"/>
              <w:rPr>
                <w:rFonts w:ascii="Times New Roman"/>
                <w:sz w:val="16"/>
              </w:rPr>
            </w:pPr>
          </w:p>
        </w:tc>
        <w:tc>
          <w:tcPr>
            <w:tcW w:w="415"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spacing w:line="210" w:lineRule="exact"/>
              <w:ind w:right="108"/>
              <w:jc w:val="right"/>
              <w:rPr>
                <w:sz w:val="20"/>
              </w:rPr>
            </w:pPr>
            <w:r>
              <w:rPr>
                <w:w w:val="99"/>
                <w:sz w:val="20"/>
              </w:rPr>
              <w:t>X</w:t>
            </w: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r>
      <w:tr>
        <w:trPr>
          <w:trHeight w:val="230" w:hRule="atLeast"/>
        </w:trPr>
        <w:tc>
          <w:tcPr>
            <w:tcW w:w="3389" w:type="dxa"/>
          </w:tcPr>
          <w:p>
            <w:pPr>
              <w:pStyle w:val="TableParagraph"/>
              <w:rPr>
                <w:rFonts w:ascii="Times New Roman"/>
                <w:sz w:val="16"/>
              </w:rPr>
            </w:pPr>
          </w:p>
        </w:tc>
        <w:tc>
          <w:tcPr>
            <w:tcW w:w="415" w:type="dxa"/>
          </w:tcPr>
          <w:p>
            <w:pPr>
              <w:pStyle w:val="TableParagraph"/>
              <w:rPr>
                <w:rFonts w:ascii="Times New Roman"/>
                <w:sz w:val="16"/>
              </w:rPr>
            </w:pPr>
          </w:p>
        </w:tc>
        <w:tc>
          <w:tcPr>
            <w:tcW w:w="413" w:type="dxa"/>
          </w:tcPr>
          <w:p>
            <w:pPr>
              <w:pStyle w:val="TableParagraph"/>
              <w:rPr>
                <w:rFonts w:ascii="Times New Roman"/>
                <w:sz w:val="16"/>
              </w:rPr>
            </w:pPr>
          </w:p>
        </w:tc>
        <w:tc>
          <w:tcPr>
            <w:tcW w:w="415" w:type="dxa"/>
          </w:tcPr>
          <w:p>
            <w:pPr>
              <w:pStyle w:val="TableParagraph"/>
              <w:rPr>
                <w:rFonts w:ascii="Times New Roman"/>
                <w:sz w:val="16"/>
              </w:rPr>
            </w:pPr>
          </w:p>
        </w:tc>
        <w:tc>
          <w:tcPr>
            <w:tcW w:w="413" w:type="dxa"/>
          </w:tcPr>
          <w:p>
            <w:pPr>
              <w:pStyle w:val="TableParagraph"/>
              <w:rPr>
                <w:rFonts w:ascii="Times New Roman"/>
                <w:sz w:val="16"/>
              </w:rPr>
            </w:pPr>
          </w:p>
        </w:tc>
        <w:tc>
          <w:tcPr>
            <w:tcW w:w="415"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r>
    </w:tbl>
    <w:p>
      <w:pPr>
        <w:pStyle w:val="BodyText"/>
        <w:spacing w:before="2"/>
        <w:rPr>
          <w:b/>
          <w:sz w:val="21"/>
        </w:rPr>
      </w:pPr>
    </w:p>
    <w:p>
      <w:pPr>
        <w:pStyle w:val="ListParagraph"/>
        <w:numPr>
          <w:ilvl w:val="0"/>
          <w:numId w:val="23"/>
        </w:numPr>
        <w:tabs>
          <w:tab w:pos="632" w:val="left" w:leader="none"/>
        </w:tabs>
        <w:spacing w:line="276" w:lineRule="auto" w:before="0" w:after="0"/>
        <w:ind w:left="500" w:right="581" w:firstLine="0"/>
        <w:jc w:val="left"/>
        <w:rPr>
          <w:sz w:val="20"/>
        </w:rPr>
      </w:pPr>
      <w:r>
        <w:rPr>
          <w:sz w:val="20"/>
        </w:rPr>
        <w:t>Professor</w:t>
      </w:r>
      <w:r>
        <w:rPr>
          <w:spacing w:val="-3"/>
          <w:sz w:val="20"/>
        </w:rPr>
        <w:t> </w:t>
      </w:r>
      <w:r>
        <w:rPr>
          <w:sz w:val="20"/>
        </w:rPr>
        <w:t>Peronnet</w:t>
      </w:r>
      <w:r>
        <w:rPr>
          <w:spacing w:val="-4"/>
          <w:sz w:val="20"/>
        </w:rPr>
        <w:t> </w:t>
      </w:r>
      <w:r>
        <w:rPr>
          <w:sz w:val="20"/>
        </w:rPr>
        <w:t>taught</w:t>
      </w:r>
      <w:r>
        <w:rPr>
          <w:spacing w:val="-4"/>
          <w:sz w:val="20"/>
        </w:rPr>
        <w:t> </w:t>
      </w:r>
      <w:r>
        <w:rPr>
          <w:sz w:val="20"/>
        </w:rPr>
        <w:t>a</w:t>
      </w:r>
      <w:r>
        <w:rPr>
          <w:spacing w:val="-4"/>
          <w:sz w:val="20"/>
        </w:rPr>
        <w:t> </w:t>
      </w:r>
      <w:r>
        <w:rPr>
          <w:sz w:val="20"/>
        </w:rPr>
        <w:t>parallel</w:t>
      </w:r>
      <w:r>
        <w:rPr>
          <w:spacing w:val="-5"/>
          <w:sz w:val="20"/>
        </w:rPr>
        <w:t> </w:t>
      </w:r>
      <w:r>
        <w:rPr>
          <w:sz w:val="20"/>
        </w:rPr>
        <w:t>track of</w:t>
      </w:r>
      <w:r>
        <w:rPr>
          <w:spacing w:val="-2"/>
          <w:sz w:val="20"/>
        </w:rPr>
        <w:t> </w:t>
      </w:r>
      <w:r>
        <w:rPr>
          <w:sz w:val="20"/>
        </w:rPr>
        <w:t>ARC</w:t>
      </w:r>
      <w:r>
        <w:rPr>
          <w:spacing w:val="-4"/>
          <w:sz w:val="20"/>
        </w:rPr>
        <w:t> </w:t>
      </w:r>
      <w:r>
        <w:rPr>
          <w:sz w:val="20"/>
        </w:rPr>
        <w:t>406</w:t>
      </w:r>
      <w:r>
        <w:rPr>
          <w:spacing w:val="-3"/>
          <w:sz w:val="20"/>
        </w:rPr>
        <w:t> </w:t>
      </w:r>
      <w:r>
        <w:rPr>
          <w:sz w:val="20"/>
        </w:rPr>
        <w:t>for</w:t>
      </w:r>
      <w:r>
        <w:rPr>
          <w:spacing w:val="-3"/>
          <w:sz w:val="20"/>
        </w:rPr>
        <w:t> </w:t>
      </w:r>
      <w:r>
        <w:rPr>
          <w:sz w:val="20"/>
        </w:rPr>
        <w:t>the</w:t>
      </w:r>
      <w:r>
        <w:rPr>
          <w:spacing w:val="-4"/>
          <w:sz w:val="20"/>
        </w:rPr>
        <w:t> </w:t>
      </w:r>
      <w:r>
        <w:rPr>
          <w:sz w:val="20"/>
        </w:rPr>
        <w:t>students</w:t>
      </w:r>
      <w:r>
        <w:rPr>
          <w:spacing w:val="-3"/>
          <w:sz w:val="20"/>
        </w:rPr>
        <w:t> </w:t>
      </w:r>
      <w:r>
        <w:rPr>
          <w:sz w:val="20"/>
        </w:rPr>
        <w:t>selected</w:t>
      </w:r>
      <w:r>
        <w:rPr>
          <w:spacing w:val="-2"/>
          <w:sz w:val="20"/>
        </w:rPr>
        <w:t> </w:t>
      </w:r>
      <w:r>
        <w:rPr>
          <w:sz w:val="20"/>
        </w:rPr>
        <w:t>to</w:t>
      </w:r>
      <w:r>
        <w:rPr>
          <w:spacing w:val="-4"/>
          <w:sz w:val="20"/>
        </w:rPr>
        <w:t> </w:t>
      </w:r>
      <w:r>
        <w:rPr>
          <w:sz w:val="20"/>
        </w:rPr>
        <w:t>compete</w:t>
      </w:r>
      <w:r>
        <w:rPr>
          <w:spacing w:val="-4"/>
          <w:sz w:val="20"/>
        </w:rPr>
        <w:t> </w:t>
      </w:r>
      <w:r>
        <w:rPr>
          <w:sz w:val="20"/>
        </w:rPr>
        <w:t>in</w:t>
      </w:r>
      <w:r>
        <w:rPr>
          <w:spacing w:val="-2"/>
          <w:sz w:val="20"/>
        </w:rPr>
        <w:t> </w:t>
      </w:r>
      <w:r>
        <w:rPr>
          <w:sz w:val="20"/>
        </w:rPr>
        <w:t>the</w:t>
      </w:r>
      <w:r>
        <w:rPr>
          <w:spacing w:val="-2"/>
          <w:sz w:val="20"/>
        </w:rPr>
        <w:t> </w:t>
      </w:r>
      <w:r>
        <w:rPr>
          <w:sz w:val="20"/>
        </w:rPr>
        <w:t>Solar </w:t>
      </w:r>
      <w:r>
        <w:rPr>
          <w:spacing w:val="-2"/>
          <w:sz w:val="20"/>
        </w:rPr>
        <w:t>Decathlon/</w:t>
      </w:r>
    </w:p>
    <w:p>
      <w:pPr>
        <w:spacing w:after="0" w:line="276" w:lineRule="auto"/>
        <w:jc w:val="left"/>
        <w:rPr>
          <w:sz w:val="20"/>
        </w:rPr>
        <w:sectPr>
          <w:pgSz w:w="12240" w:h="15840"/>
          <w:pgMar w:header="0" w:footer="974" w:top="1360" w:bottom="1160" w:left="940" w:right="960"/>
        </w:sectPr>
      </w:pPr>
    </w:p>
    <w:p>
      <w:pPr>
        <w:pStyle w:val="BodyText"/>
        <w:spacing w:before="10"/>
        <w:rPr>
          <w:sz w:val="10"/>
        </w:rPr>
      </w:pPr>
    </w:p>
    <w:tbl>
      <w:tblPr>
        <w:tblW w:w="0" w:type="auto"/>
        <w:jc w:val="left"/>
        <w:tblInd w:w="2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46"/>
        <w:gridCol w:w="404"/>
        <w:gridCol w:w="404"/>
        <w:gridCol w:w="404"/>
        <w:gridCol w:w="404"/>
        <w:gridCol w:w="404"/>
        <w:gridCol w:w="404"/>
      </w:tblGrid>
      <w:tr>
        <w:trPr>
          <w:trHeight w:val="1348" w:hRule="atLeast"/>
        </w:trPr>
        <w:tc>
          <w:tcPr>
            <w:tcW w:w="2146" w:type="dxa"/>
          </w:tcPr>
          <w:p>
            <w:pPr>
              <w:pStyle w:val="TableParagraph"/>
              <w:rPr>
                <w:rFonts w:ascii="Times New Roman"/>
                <w:sz w:val="18"/>
              </w:rPr>
            </w:pPr>
          </w:p>
        </w:tc>
        <w:tc>
          <w:tcPr>
            <w:tcW w:w="404" w:type="dxa"/>
            <w:textDirection w:val="btLr"/>
          </w:tcPr>
          <w:p>
            <w:pPr>
              <w:pStyle w:val="TableParagraph"/>
              <w:spacing w:before="97"/>
              <w:ind w:left="112"/>
              <w:rPr>
                <w:sz w:val="18"/>
              </w:rPr>
            </w:pPr>
            <w:r>
              <w:rPr>
                <w:sz w:val="18"/>
              </w:rPr>
              <w:t>ARC</w:t>
            </w:r>
            <w:r>
              <w:rPr>
                <w:spacing w:val="-5"/>
                <w:sz w:val="18"/>
              </w:rPr>
              <w:t> 202</w:t>
            </w:r>
          </w:p>
        </w:tc>
        <w:tc>
          <w:tcPr>
            <w:tcW w:w="404" w:type="dxa"/>
            <w:textDirection w:val="btLr"/>
          </w:tcPr>
          <w:p>
            <w:pPr>
              <w:pStyle w:val="TableParagraph"/>
              <w:spacing w:before="96"/>
              <w:ind w:left="112"/>
              <w:rPr>
                <w:sz w:val="18"/>
              </w:rPr>
            </w:pPr>
            <w:r>
              <w:rPr>
                <w:sz w:val="18"/>
              </w:rPr>
              <w:t>ARC</w:t>
            </w:r>
            <w:r>
              <w:rPr>
                <w:spacing w:val="-4"/>
                <w:sz w:val="18"/>
              </w:rPr>
              <w:t> </w:t>
            </w:r>
            <w:r>
              <w:rPr>
                <w:sz w:val="18"/>
              </w:rPr>
              <w:t>305</w:t>
            </w:r>
            <w:r>
              <w:rPr>
                <w:spacing w:val="-3"/>
                <w:sz w:val="18"/>
              </w:rPr>
              <w:t> </w:t>
            </w:r>
            <w:r>
              <w:rPr>
                <w:spacing w:val="-5"/>
                <w:sz w:val="18"/>
              </w:rPr>
              <w:t>306</w:t>
            </w:r>
          </w:p>
        </w:tc>
        <w:tc>
          <w:tcPr>
            <w:tcW w:w="404" w:type="dxa"/>
            <w:textDirection w:val="btLr"/>
          </w:tcPr>
          <w:p>
            <w:pPr>
              <w:pStyle w:val="TableParagraph"/>
              <w:spacing w:before="95"/>
              <w:ind w:left="112"/>
              <w:rPr>
                <w:sz w:val="18"/>
              </w:rPr>
            </w:pPr>
            <w:r>
              <w:rPr>
                <w:sz w:val="18"/>
              </w:rPr>
              <w:t>ARC</w:t>
            </w:r>
            <w:r>
              <w:rPr>
                <w:spacing w:val="-5"/>
                <w:sz w:val="18"/>
              </w:rPr>
              <w:t> 309</w:t>
            </w:r>
          </w:p>
        </w:tc>
        <w:tc>
          <w:tcPr>
            <w:tcW w:w="404" w:type="dxa"/>
            <w:textDirection w:val="btLr"/>
          </w:tcPr>
          <w:p>
            <w:pPr>
              <w:pStyle w:val="TableParagraph"/>
              <w:spacing w:before="39"/>
              <w:ind w:left="112"/>
              <w:rPr>
                <w:sz w:val="18"/>
              </w:rPr>
            </w:pPr>
            <w:r>
              <w:rPr>
                <w:sz w:val="18"/>
              </w:rPr>
              <w:t>ARC</w:t>
            </w:r>
            <w:r>
              <w:rPr>
                <w:spacing w:val="-5"/>
                <w:sz w:val="18"/>
              </w:rPr>
              <w:t> 310</w:t>
            </w:r>
          </w:p>
        </w:tc>
        <w:tc>
          <w:tcPr>
            <w:tcW w:w="404" w:type="dxa"/>
            <w:textDirection w:val="btLr"/>
          </w:tcPr>
          <w:p>
            <w:pPr>
              <w:pStyle w:val="TableParagraph"/>
              <w:spacing w:before="93"/>
              <w:ind w:left="112"/>
              <w:rPr>
                <w:sz w:val="18"/>
              </w:rPr>
            </w:pPr>
            <w:r>
              <w:rPr>
                <w:sz w:val="18"/>
              </w:rPr>
              <w:t>ARC</w:t>
            </w:r>
            <w:r>
              <w:rPr>
                <w:spacing w:val="-5"/>
                <w:sz w:val="18"/>
              </w:rPr>
              <w:t> 414</w:t>
            </w:r>
          </w:p>
        </w:tc>
        <w:tc>
          <w:tcPr>
            <w:tcW w:w="404" w:type="dxa"/>
            <w:textDirection w:val="btLr"/>
          </w:tcPr>
          <w:p>
            <w:pPr>
              <w:pStyle w:val="TableParagraph"/>
              <w:spacing w:before="93"/>
              <w:ind w:left="112"/>
              <w:rPr>
                <w:sz w:val="18"/>
              </w:rPr>
            </w:pPr>
            <w:r>
              <w:rPr>
                <w:sz w:val="18"/>
              </w:rPr>
              <w:t>ARC</w:t>
            </w:r>
            <w:r>
              <w:rPr>
                <w:spacing w:val="-5"/>
                <w:sz w:val="18"/>
              </w:rPr>
              <w:t> 406</w:t>
            </w:r>
          </w:p>
        </w:tc>
      </w:tr>
      <w:tr>
        <w:trPr>
          <w:trHeight w:val="230" w:hRule="atLeast"/>
        </w:trPr>
        <w:tc>
          <w:tcPr>
            <w:tcW w:w="2146" w:type="dxa"/>
          </w:tcPr>
          <w:p>
            <w:pPr>
              <w:pStyle w:val="TableParagraph"/>
              <w:spacing w:line="210" w:lineRule="exact"/>
              <w:ind w:left="331"/>
              <w:rPr>
                <w:sz w:val="20"/>
              </w:rPr>
            </w:pPr>
            <w:r>
              <w:rPr>
                <w:spacing w:val="-2"/>
                <w:sz w:val="20"/>
              </w:rPr>
              <w:t>Andrews</w:t>
            </w:r>
          </w:p>
        </w:tc>
        <w:tc>
          <w:tcPr>
            <w:tcW w:w="404" w:type="dxa"/>
          </w:tcPr>
          <w:p>
            <w:pPr>
              <w:pStyle w:val="TableParagraph"/>
              <w:rPr>
                <w:rFonts w:ascii="Times New Roman"/>
                <w:sz w:val="16"/>
              </w:rPr>
            </w:pPr>
          </w:p>
        </w:tc>
        <w:tc>
          <w:tcPr>
            <w:tcW w:w="404" w:type="dxa"/>
          </w:tcPr>
          <w:p>
            <w:pPr>
              <w:pStyle w:val="TableParagraph"/>
              <w:spacing w:line="210" w:lineRule="exact"/>
              <w:ind w:left="48"/>
              <w:jc w:val="center"/>
              <w:rPr>
                <w:sz w:val="20"/>
              </w:rPr>
            </w:pPr>
            <w:r>
              <w:rPr>
                <w:w w:val="99"/>
                <w:sz w:val="20"/>
              </w:rPr>
              <w:t>X</w:t>
            </w:r>
          </w:p>
        </w:tc>
        <w:tc>
          <w:tcPr>
            <w:tcW w:w="404" w:type="dxa"/>
          </w:tcPr>
          <w:p>
            <w:pPr>
              <w:pStyle w:val="TableParagraph"/>
              <w:rPr>
                <w:rFonts w:ascii="Times New Roman"/>
                <w:sz w:val="16"/>
              </w:rPr>
            </w:pPr>
          </w:p>
        </w:tc>
        <w:tc>
          <w:tcPr>
            <w:tcW w:w="404" w:type="dxa"/>
          </w:tcPr>
          <w:p>
            <w:pPr>
              <w:pStyle w:val="TableParagraph"/>
              <w:rPr>
                <w:rFonts w:ascii="Times New Roman"/>
                <w:sz w:val="16"/>
              </w:rPr>
            </w:pPr>
          </w:p>
        </w:tc>
        <w:tc>
          <w:tcPr>
            <w:tcW w:w="404" w:type="dxa"/>
          </w:tcPr>
          <w:p>
            <w:pPr>
              <w:pStyle w:val="TableParagraph"/>
              <w:rPr>
                <w:rFonts w:ascii="Times New Roman"/>
                <w:sz w:val="16"/>
              </w:rPr>
            </w:pPr>
          </w:p>
        </w:tc>
        <w:tc>
          <w:tcPr>
            <w:tcW w:w="404" w:type="dxa"/>
          </w:tcPr>
          <w:p>
            <w:pPr>
              <w:pStyle w:val="TableParagraph"/>
              <w:rPr>
                <w:rFonts w:ascii="Times New Roman"/>
                <w:sz w:val="16"/>
              </w:rPr>
            </w:pPr>
          </w:p>
        </w:tc>
      </w:tr>
      <w:tr>
        <w:trPr>
          <w:trHeight w:val="230" w:hRule="atLeast"/>
        </w:trPr>
        <w:tc>
          <w:tcPr>
            <w:tcW w:w="2146" w:type="dxa"/>
          </w:tcPr>
          <w:p>
            <w:pPr>
              <w:pStyle w:val="TableParagraph"/>
              <w:spacing w:line="210" w:lineRule="exact"/>
              <w:ind w:left="331"/>
              <w:rPr>
                <w:sz w:val="20"/>
              </w:rPr>
            </w:pPr>
            <w:r>
              <w:rPr>
                <w:spacing w:val="-2"/>
                <w:sz w:val="20"/>
              </w:rPr>
              <w:t>Kloster</w:t>
            </w:r>
          </w:p>
        </w:tc>
        <w:tc>
          <w:tcPr>
            <w:tcW w:w="404" w:type="dxa"/>
          </w:tcPr>
          <w:p>
            <w:pPr>
              <w:pStyle w:val="TableParagraph"/>
              <w:spacing w:line="210" w:lineRule="exact"/>
              <w:ind w:left="155"/>
              <w:rPr>
                <w:sz w:val="20"/>
              </w:rPr>
            </w:pPr>
            <w:r>
              <w:rPr>
                <w:w w:val="99"/>
                <w:sz w:val="20"/>
              </w:rPr>
              <w:t>X</w:t>
            </w:r>
          </w:p>
        </w:tc>
        <w:tc>
          <w:tcPr>
            <w:tcW w:w="404" w:type="dxa"/>
          </w:tcPr>
          <w:p>
            <w:pPr>
              <w:pStyle w:val="TableParagraph"/>
              <w:rPr>
                <w:rFonts w:ascii="Times New Roman"/>
                <w:sz w:val="16"/>
              </w:rPr>
            </w:pPr>
          </w:p>
        </w:tc>
        <w:tc>
          <w:tcPr>
            <w:tcW w:w="404" w:type="dxa"/>
          </w:tcPr>
          <w:p>
            <w:pPr>
              <w:pStyle w:val="TableParagraph"/>
              <w:rPr>
                <w:rFonts w:ascii="Times New Roman"/>
                <w:sz w:val="16"/>
              </w:rPr>
            </w:pPr>
          </w:p>
        </w:tc>
        <w:tc>
          <w:tcPr>
            <w:tcW w:w="404" w:type="dxa"/>
          </w:tcPr>
          <w:p>
            <w:pPr>
              <w:pStyle w:val="TableParagraph"/>
              <w:rPr>
                <w:rFonts w:ascii="Times New Roman"/>
                <w:sz w:val="16"/>
              </w:rPr>
            </w:pPr>
          </w:p>
        </w:tc>
        <w:tc>
          <w:tcPr>
            <w:tcW w:w="404" w:type="dxa"/>
          </w:tcPr>
          <w:p>
            <w:pPr>
              <w:pStyle w:val="TableParagraph"/>
              <w:rPr>
                <w:rFonts w:ascii="Times New Roman"/>
                <w:sz w:val="16"/>
              </w:rPr>
            </w:pPr>
          </w:p>
        </w:tc>
        <w:tc>
          <w:tcPr>
            <w:tcW w:w="404" w:type="dxa"/>
          </w:tcPr>
          <w:p>
            <w:pPr>
              <w:pStyle w:val="TableParagraph"/>
              <w:spacing w:line="210" w:lineRule="exact"/>
              <w:ind w:left="151"/>
              <w:rPr>
                <w:sz w:val="20"/>
              </w:rPr>
            </w:pPr>
            <w:r>
              <w:rPr>
                <w:w w:val="99"/>
                <w:sz w:val="20"/>
              </w:rPr>
              <w:t>X</w:t>
            </w:r>
          </w:p>
        </w:tc>
      </w:tr>
      <w:tr>
        <w:trPr>
          <w:trHeight w:val="229" w:hRule="atLeast"/>
        </w:trPr>
        <w:tc>
          <w:tcPr>
            <w:tcW w:w="2146" w:type="dxa"/>
          </w:tcPr>
          <w:p>
            <w:pPr>
              <w:pStyle w:val="TableParagraph"/>
              <w:spacing w:line="210" w:lineRule="exact"/>
              <w:ind w:left="331"/>
              <w:rPr>
                <w:sz w:val="20"/>
              </w:rPr>
            </w:pPr>
            <w:r>
              <w:rPr>
                <w:spacing w:val="-2"/>
                <w:sz w:val="20"/>
              </w:rPr>
              <w:t>Peronnet</w:t>
            </w:r>
          </w:p>
        </w:tc>
        <w:tc>
          <w:tcPr>
            <w:tcW w:w="404" w:type="dxa"/>
          </w:tcPr>
          <w:p>
            <w:pPr>
              <w:pStyle w:val="TableParagraph"/>
              <w:rPr>
                <w:rFonts w:ascii="Times New Roman"/>
                <w:sz w:val="16"/>
              </w:rPr>
            </w:pPr>
          </w:p>
        </w:tc>
        <w:tc>
          <w:tcPr>
            <w:tcW w:w="404" w:type="dxa"/>
          </w:tcPr>
          <w:p>
            <w:pPr>
              <w:pStyle w:val="TableParagraph"/>
              <w:rPr>
                <w:rFonts w:ascii="Times New Roman"/>
                <w:sz w:val="16"/>
              </w:rPr>
            </w:pPr>
          </w:p>
        </w:tc>
        <w:tc>
          <w:tcPr>
            <w:tcW w:w="404" w:type="dxa"/>
          </w:tcPr>
          <w:p>
            <w:pPr>
              <w:pStyle w:val="TableParagraph"/>
              <w:rPr>
                <w:rFonts w:ascii="Times New Roman"/>
                <w:sz w:val="16"/>
              </w:rPr>
            </w:pPr>
          </w:p>
        </w:tc>
        <w:tc>
          <w:tcPr>
            <w:tcW w:w="404" w:type="dxa"/>
          </w:tcPr>
          <w:p>
            <w:pPr>
              <w:pStyle w:val="TableParagraph"/>
              <w:rPr>
                <w:rFonts w:ascii="Times New Roman"/>
                <w:sz w:val="16"/>
              </w:rPr>
            </w:pPr>
          </w:p>
        </w:tc>
        <w:tc>
          <w:tcPr>
            <w:tcW w:w="404" w:type="dxa"/>
          </w:tcPr>
          <w:p>
            <w:pPr>
              <w:pStyle w:val="TableParagraph"/>
              <w:spacing w:line="210" w:lineRule="exact"/>
              <w:ind w:left="152"/>
              <w:rPr>
                <w:sz w:val="20"/>
              </w:rPr>
            </w:pPr>
            <w:r>
              <w:rPr>
                <w:w w:val="99"/>
                <w:sz w:val="20"/>
              </w:rPr>
              <w:t>X</w:t>
            </w:r>
          </w:p>
        </w:tc>
        <w:tc>
          <w:tcPr>
            <w:tcW w:w="404" w:type="dxa"/>
          </w:tcPr>
          <w:p>
            <w:pPr>
              <w:pStyle w:val="TableParagraph"/>
              <w:rPr>
                <w:rFonts w:ascii="Times New Roman"/>
                <w:sz w:val="16"/>
              </w:rPr>
            </w:pPr>
          </w:p>
        </w:tc>
      </w:tr>
      <w:tr>
        <w:trPr>
          <w:trHeight w:val="230" w:hRule="atLeast"/>
        </w:trPr>
        <w:tc>
          <w:tcPr>
            <w:tcW w:w="2146" w:type="dxa"/>
          </w:tcPr>
          <w:p>
            <w:pPr>
              <w:pStyle w:val="TableParagraph"/>
              <w:spacing w:line="210" w:lineRule="exact"/>
              <w:ind w:left="331"/>
              <w:rPr>
                <w:sz w:val="20"/>
              </w:rPr>
            </w:pPr>
            <w:r>
              <w:rPr>
                <w:spacing w:val="-2"/>
                <w:sz w:val="20"/>
              </w:rPr>
              <w:t>Okiomah</w:t>
            </w:r>
          </w:p>
        </w:tc>
        <w:tc>
          <w:tcPr>
            <w:tcW w:w="404" w:type="dxa"/>
          </w:tcPr>
          <w:p>
            <w:pPr>
              <w:pStyle w:val="TableParagraph"/>
              <w:rPr>
                <w:rFonts w:ascii="Times New Roman"/>
                <w:sz w:val="16"/>
              </w:rPr>
            </w:pPr>
          </w:p>
        </w:tc>
        <w:tc>
          <w:tcPr>
            <w:tcW w:w="404" w:type="dxa"/>
          </w:tcPr>
          <w:p>
            <w:pPr>
              <w:pStyle w:val="TableParagraph"/>
              <w:spacing w:line="210" w:lineRule="exact"/>
              <w:ind w:left="48"/>
              <w:jc w:val="center"/>
              <w:rPr>
                <w:sz w:val="20"/>
              </w:rPr>
            </w:pPr>
            <w:r>
              <w:rPr>
                <w:w w:val="99"/>
                <w:sz w:val="20"/>
              </w:rPr>
              <w:t>X</w:t>
            </w:r>
          </w:p>
        </w:tc>
        <w:tc>
          <w:tcPr>
            <w:tcW w:w="404" w:type="dxa"/>
          </w:tcPr>
          <w:p>
            <w:pPr>
              <w:pStyle w:val="TableParagraph"/>
              <w:rPr>
                <w:rFonts w:ascii="Times New Roman"/>
                <w:sz w:val="16"/>
              </w:rPr>
            </w:pPr>
          </w:p>
        </w:tc>
        <w:tc>
          <w:tcPr>
            <w:tcW w:w="404" w:type="dxa"/>
          </w:tcPr>
          <w:p>
            <w:pPr>
              <w:pStyle w:val="TableParagraph"/>
              <w:rPr>
                <w:rFonts w:ascii="Times New Roman"/>
                <w:sz w:val="16"/>
              </w:rPr>
            </w:pPr>
          </w:p>
        </w:tc>
        <w:tc>
          <w:tcPr>
            <w:tcW w:w="404" w:type="dxa"/>
          </w:tcPr>
          <w:p>
            <w:pPr>
              <w:pStyle w:val="TableParagraph"/>
              <w:rPr>
                <w:rFonts w:ascii="Times New Roman"/>
                <w:sz w:val="16"/>
              </w:rPr>
            </w:pPr>
          </w:p>
        </w:tc>
        <w:tc>
          <w:tcPr>
            <w:tcW w:w="404" w:type="dxa"/>
          </w:tcPr>
          <w:p>
            <w:pPr>
              <w:pStyle w:val="TableParagraph"/>
              <w:rPr>
                <w:rFonts w:ascii="Times New Roman"/>
                <w:sz w:val="16"/>
              </w:rPr>
            </w:pPr>
          </w:p>
        </w:tc>
      </w:tr>
      <w:tr>
        <w:trPr>
          <w:trHeight w:val="230" w:hRule="atLeast"/>
        </w:trPr>
        <w:tc>
          <w:tcPr>
            <w:tcW w:w="2146" w:type="dxa"/>
          </w:tcPr>
          <w:p>
            <w:pPr>
              <w:pStyle w:val="TableParagraph"/>
              <w:spacing w:line="210" w:lineRule="exact"/>
              <w:ind w:left="331"/>
              <w:rPr>
                <w:sz w:val="20"/>
              </w:rPr>
            </w:pPr>
            <w:r>
              <w:rPr>
                <w:spacing w:val="-2"/>
                <w:sz w:val="20"/>
              </w:rPr>
              <w:t>Brown</w:t>
            </w:r>
          </w:p>
        </w:tc>
        <w:tc>
          <w:tcPr>
            <w:tcW w:w="404" w:type="dxa"/>
          </w:tcPr>
          <w:p>
            <w:pPr>
              <w:pStyle w:val="TableParagraph"/>
              <w:rPr>
                <w:rFonts w:ascii="Times New Roman"/>
                <w:sz w:val="16"/>
              </w:rPr>
            </w:pPr>
          </w:p>
        </w:tc>
        <w:tc>
          <w:tcPr>
            <w:tcW w:w="404" w:type="dxa"/>
          </w:tcPr>
          <w:p>
            <w:pPr>
              <w:pStyle w:val="TableParagraph"/>
              <w:rPr>
                <w:rFonts w:ascii="Times New Roman"/>
                <w:sz w:val="16"/>
              </w:rPr>
            </w:pPr>
          </w:p>
        </w:tc>
        <w:tc>
          <w:tcPr>
            <w:tcW w:w="404" w:type="dxa"/>
          </w:tcPr>
          <w:p>
            <w:pPr>
              <w:pStyle w:val="TableParagraph"/>
              <w:spacing w:line="210" w:lineRule="exact"/>
              <w:ind w:left="153"/>
              <w:rPr>
                <w:sz w:val="20"/>
              </w:rPr>
            </w:pPr>
            <w:r>
              <w:rPr>
                <w:w w:val="99"/>
                <w:sz w:val="20"/>
              </w:rPr>
              <w:t>X</w:t>
            </w:r>
          </w:p>
        </w:tc>
        <w:tc>
          <w:tcPr>
            <w:tcW w:w="404" w:type="dxa"/>
          </w:tcPr>
          <w:p>
            <w:pPr>
              <w:pStyle w:val="TableParagraph"/>
              <w:spacing w:line="210" w:lineRule="exact"/>
              <w:ind w:left="153"/>
              <w:rPr>
                <w:sz w:val="20"/>
              </w:rPr>
            </w:pPr>
            <w:r>
              <w:rPr>
                <w:w w:val="99"/>
                <w:sz w:val="20"/>
              </w:rPr>
              <w:t>X</w:t>
            </w:r>
          </w:p>
        </w:tc>
        <w:tc>
          <w:tcPr>
            <w:tcW w:w="404" w:type="dxa"/>
          </w:tcPr>
          <w:p>
            <w:pPr>
              <w:pStyle w:val="TableParagraph"/>
              <w:rPr>
                <w:rFonts w:ascii="Times New Roman"/>
                <w:sz w:val="16"/>
              </w:rPr>
            </w:pPr>
          </w:p>
        </w:tc>
        <w:tc>
          <w:tcPr>
            <w:tcW w:w="404" w:type="dxa"/>
          </w:tcPr>
          <w:p>
            <w:pPr>
              <w:pStyle w:val="TableParagraph"/>
              <w:rPr>
                <w:rFonts w:ascii="Times New Roman"/>
                <w:sz w:val="16"/>
              </w:rPr>
            </w:pPr>
          </w:p>
        </w:tc>
      </w:tr>
      <w:tr>
        <w:trPr>
          <w:trHeight w:val="229" w:hRule="atLeast"/>
        </w:trPr>
        <w:tc>
          <w:tcPr>
            <w:tcW w:w="2146" w:type="dxa"/>
          </w:tcPr>
          <w:p>
            <w:pPr>
              <w:pStyle w:val="TableParagraph"/>
              <w:spacing w:line="210" w:lineRule="exact"/>
              <w:ind w:left="331"/>
              <w:rPr>
                <w:sz w:val="20"/>
              </w:rPr>
            </w:pPr>
            <w:r>
              <w:rPr>
                <w:spacing w:val="-2"/>
                <w:sz w:val="20"/>
              </w:rPr>
              <w:t>Gindroz</w:t>
            </w:r>
          </w:p>
        </w:tc>
        <w:tc>
          <w:tcPr>
            <w:tcW w:w="404" w:type="dxa"/>
          </w:tcPr>
          <w:p>
            <w:pPr>
              <w:pStyle w:val="TableParagraph"/>
              <w:rPr>
                <w:rFonts w:ascii="Times New Roman"/>
                <w:sz w:val="16"/>
              </w:rPr>
            </w:pPr>
          </w:p>
        </w:tc>
        <w:tc>
          <w:tcPr>
            <w:tcW w:w="404" w:type="dxa"/>
          </w:tcPr>
          <w:p>
            <w:pPr>
              <w:pStyle w:val="TableParagraph"/>
              <w:spacing w:line="210" w:lineRule="exact"/>
              <w:ind w:left="48"/>
              <w:jc w:val="center"/>
              <w:rPr>
                <w:sz w:val="20"/>
              </w:rPr>
            </w:pPr>
            <w:r>
              <w:rPr>
                <w:w w:val="99"/>
                <w:sz w:val="20"/>
              </w:rPr>
              <w:t>X</w:t>
            </w:r>
          </w:p>
        </w:tc>
        <w:tc>
          <w:tcPr>
            <w:tcW w:w="404" w:type="dxa"/>
          </w:tcPr>
          <w:p>
            <w:pPr>
              <w:pStyle w:val="TableParagraph"/>
              <w:rPr>
                <w:rFonts w:ascii="Times New Roman"/>
                <w:sz w:val="16"/>
              </w:rPr>
            </w:pPr>
          </w:p>
        </w:tc>
        <w:tc>
          <w:tcPr>
            <w:tcW w:w="404" w:type="dxa"/>
          </w:tcPr>
          <w:p>
            <w:pPr>
              <w:pStyle w:val="TableParagraph"/>
              <w:rPr>
                <w:rFonts w:ascii="Times New Roman"/>
                <w:sz w:val="16"/>
              </w:rPr>
            </w:pPr>
          </w:p>
        </w:tc>
        <w:tc>
          <w:tcPr>
            <w:tcW w:w="404" w:type="dxa"/>
          </w:tcPr>
          <w:p>
            <w:pPr>
              <w:pStyle w:val="TableParagraph"/>
              <w:rPr>
                <w:rFonts w:ascii="Times New Roman"/>
                <w:sz w:val="16"/>
              </w:rPr>
            </w:pPr>
          </w:p>
        </w:tc>
        <w:tc>
          <w:tcPr>
            <w:tcW w:w="404" w:type="dxa"/>
          </w:tcPr>
          <w:p>
            <w:pPr>
              <w:pStyle w:val="TableParagraph"/>
              <w:rPr>
                <w:rFonts w:ascii="Times New Roman"/>
                <w:sz w:val="16"/>
              </w:rPr>
            </w:pPr>
          </w:p>
        </w:tc>
      </w:tr>
    </w:tbl>
    <w:p>
      <w:pPr>
        <w:pStyle w:val="BodyText"/>
        <w:spacing w:before="4"/>
        <w:rPr>
          <w:sz w:val="23"/>
        </w:rPr>
      </w:pPr>
    </w:p>
    <w:p>
      <w:pPr>
        <w:pStyle w:val="BodyText"/>
        <w:spacing w:before="93"/>
        <w:ind w:left="500"/>
      </w:pPr>
      <w:r>
        <w:rPr/>
        <w:t>*NOTE:</w:t>
      </w:r>
      <w:r>
        <w:rPr>
          <w:spacing w:val="-5"/>
        </w:rPr>
        <w:t> </w:t>
      </w:r>
      <w:r>
        <w:rPr/>
        <w:t>All</w:t>
      </w:r>
      <w:r>
        <w:rPr>
          <w:spacing w:val="-6"/>
        </w:rPr>
        <w:t> </w:t>
      </w:r>
      <w:r>
        <w:rPr/>
        <w:t>summer</w:t>
      </w:r>
      <w:r>
        <w:rPr>
          <w:spacing w:val="-6"/>
        </w:rPr>
        <w:t> </w:t>
      </w:r>
      <w:r>
        <w:rPr/>
        <w:t>faculty</w:t>
      </w:r>
      <w:r>
        <w:rPr>
          <w:spacing w:val="-6"/>
        </w:rPr>
        <w:t> </w:t>
      </w:r>
      <w:r>
        <w:rPr/>
        <w:t>are</w:t>
      </w:r>
      <w:r>
        <w:rPr>
          <w:spacing w:val="-5"/>
        </w:rPr>
        <w:t> </w:t>
      </w:r>
      <w:r>
        <w:rPr/>
        <w:t>on</w:t>
      </w:r>
      <w:r>
        <w:rPr>
          <w:spacing w:val="-5"/>
        </w:rPr>
        <w:t> </w:t>
      </w:r>
      <w:r>
        <w:rPr/>
        <w:t>separate</w:t>
      </w:r>
      <w:r>
        <w:rPr>
          <w:spacing w:val="-5"/>
        </w:rPr>
        <w:t> </w:t>
      </w:r>
      <w:r>
        <w:rPr>
          <w:spacing w:val="-2"/>
        </w:rPr>
        <w:t>contracts.</w:t>
      </w:r>
    </w:p>
    <w:p>
      <w:pPr>
        <w:pStyle w:val="BodyText"/>
      </w:pPr>
    </w:p>
    <w:p>
      <w:pPr>
        <w:spacing w:before="1"/>
        <w:ind w:left="1779" w:right="0" w:firstLine="0"/>
        <w:jc w:val="left"/>
        <w:rPr>
          <w:b/>
          <w:sz w:val="20"/>
        </w:rPr>
      </w:pPr>
      <w:r>
        <w:rPr>
          <w:b/>
          <w:sz w:val="20"/>
        </w:rPr>
        <w:t>Fall</w:t>
      </w:r>
      <w:r>
        <w:rPr>
          <w:b/>
          <w:spacing w:val="-8"/>
          <w:sz w:val="20"/>
        </w:rPr>
        <w:t> </w:t>
      </w:r>
      <w:r>
        <w:rPr>
          <w:b/>
          <w:sz w:val="20"/>
        </w:rPr>
        <w:t>2013</w:t>
      </w:r>
      <w:r>
        <w:rPr>
          <w:b/>
          <w:spacing w:val="-7"/>
          <w:sz w:val="20"/>
        </w:rPr>
        <w:t> </w:t>
      </w:r>
      <w:r>
        <w:rPr>
          <w:b/>
          <w:sz w:val="20"/>
        </w:rPr>
        <w:t>Teaching</w:t>
      </w:r>
      <w:r>
        <w:rPr>
          <w:b/>
          <w:spacing w:val="-2"/>
          <w:sz w:val="20"/>
        </w:rPr>
        <w:t> Assignments</w:t>
      </w:r>
    </w:p>
    <w:p>
      <w:pPr>
        <w:pStyle w:val="BodyText"/>
        <w:spacing w:before="10"/>
        <w:rPr>
          <w:b/>
          <w:sz w:val="10"/>
        </w:rPr>
      </w:pPr>
    </w:p>
    <w:tbl>
      <w:tblPr>
        <w:tblW w:w="0" w:type="auto"/>
        <w:jc w:val="left"/>
        <w:tblInd w:w="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75"/>
        <w:gridCol w:w="422"/>
        <w:gridCol w:w="422"/>
        <w:gridCol w:w="424"/>
        <w:gridCol w:w="422"/>
        <w:gridCol w:w="422"/>
        <w:gridCol w:w="422"/>
        <w:gridCol w:w="424"/>
        <w:gridCol w:w="422"/>
        <w:gridCol w:w="422"/>
        <w:gridCol w:w="422"/>
        <w:gridCol w:w="424"/>
        <w:gridCol w:w="422"/>
        <w:gridCol w:w="422"/>
      </w:tblGrid>
      <w:tr>
        <w:trPr>
          <w:trHeight w:val="1348" w:hRule="atLeast"/>
        </w:trPr>
        <w:tc>
          <w:tcPr>
            <w:tcW w:w="3175" w:type="dxa"/>
          </w:tcPr>
          <w:p>
            <w:pPr>
              <w:pStyle w:val="TableParagraph"/>
              <w:rPr>
                <w:rFonts w:ascii="Times New Roman"/>
                <w:sz w:val="18"/>
              </w:rPr>
            </w:pPr>
          </w:p>
        </w:tc>
        <w:tc>
          <w:tcPr>
            <w:tcW w:w="422" w:type="dxa"/>
            <w:textDirection w:val="btLr"/>
          </w:tcPr>
          <w:p>
            <w:pPr>
              <w:pStyle w:val="TableParagraph"/>
              <w:spacing w:before="98"/>
              <w:ind w:left="112"/>
              <w:rPr>
                <w:sz w:val="20"/>
              </w:rPr>
            </w:pPr>
            <w:r>
              <w:rPr>
                <w:sz w:val="20"/>
              </w:rPr>
              <w:t>ARC</w:t>
            </w:r>
            <w:r>
              <w:rPr>
                <w:spacing w:val="-7"/>
                <w:sz w:val="20"/>
              </w:rPr>
              <w:t> </w:t>
            </w:r>
            <w:r>
              <w:rPr>
                <w:spacing w:val="-5"/>
                <w:sz w:val="20"/>
              </w:rPr>
              <w:t>101</w:t>
            </w:r>
          </w:p>
        </w:tc>
        <w:tc>
          <w:tcPr>
            <w:tcW w:w="422" w:type="dxa"/>
            <w:textDirection w:val="btLr"/>
          </w:tcPr>
          <w:p>
            <w:pPr>
              <w:pStyle w:val="TableParagraph"/>
              <w:spacing w:before="98"/>
              <w:ind w:left="112"/>
              <w:rPr>
                <w:sz w:val="20"/>
              </w:rPr>
            </w:pPr>
            <w:r>
              <w:rPr>
                <w:sz w:val="20"/>
              </w:rPr>
              <w:t>ARC</w:t>
            </w:r>
            <w:r>
              <w:rPr>
                <w:spacing w:val="-7"/>
                <w:sz w:val="20"/>
              </w:rPr>
              <w:t> </w:t>
            </w:r>
            <w:r>
              <w:rPr>
                <w:spacing w:val="-5"/>
                <w:sz w:val="20"/>
              </w:rPr>
              <w:t>200</w:t>
            </w:r>
          </w:p>
        </w:tc>
        <w:tc>
          <w:tcPr>
            <w:tcW w:w="424" w:type="dxa"/>
            <w:textDirection w:val="btLr"/>
          </w:tcPr>
          <w:p>
            <w:pPr>
              <w:pStyle w:val="TableParagraph"/>
              <w:spacing w:before="98"/>
              <w:ind w:left="112"/>
              <w:rPr>
                <w:sz w:val="20"/>
              </w:rPr>
            </w:pPr>
            <w:r>
              <w:rPr>
                <w:sz w:val="20"/>
              </w:rPr>
              <w:t>ARC</w:t>
            </w:r>
            <w:r>
              <w:rPr>
                <w:spacing w:val="-7"/>
                <w:sz w:val="20"/>
              </w:rPr>
              <w:t> </w:t>
            </w:r>
            <w:r>
              <w:rPr>
                <w:spacing w:val="-5"/>
                <w:sz w:val="20"/>
              </w:rPr>
              <w:t>201</w:t>
            </w:r>
          </w:p>
        </w:tc>
        <w:tc>
          <w:tcPr>
            <w:tcW w:w="422" w:type="dxa"/>
            <w:textDirection w:val="btLr"/>
          </w:tcPr>
          <w:p>
            <w:pPr>
              <w:pStyle w:val="TableParagraph"/>
              <w:spacing w:before="99"/>
              <w:ind w:left="112"/>
              <w:rPr>
                <w:sz w:val="20"/>
              </w:rPr>
            </w:pPr>
            <w:r>
              <w:rPr>
                <w:sz w:val="20"/>
              </w:rPr>
              <w:t>ARC</w:t>
            </w:r>
            <w:r>
              <w:rPr>
                <w:spacing w:val="-7"/>
                <w:sz w:val="20"/>
              </w:rPr>
              <w:t> </w:t>
            </w:r>
            <w:r>
              <w:rPr>
                <w:spacing w:val="-5"/>
                <w:sz w:val="20"/>
              </w:rPr>
              <w:t>203</w:t>
            </w:r>
          </w:p>
        </w:tc>
        <w:tc>
          <w:tcPr>
            <w:tcW w:w="422" w:type="dxa"/>
            <w:textDirection w:val="btLr"/>
          </w:tcPr>
          <w:p>
            <w:pPr>
              <w:pStyle w:val="TableParagraph"/>
              <w:spacing w:before="100"/>
              <w:ind w:left="112"/>
              <w:rPr>
                <w:sz w:val="20"/>
              </w:rPr>
            </w:pPr>
            <w:r>
              <w:rPr>
                <w:sz w:val="20"/>
              </w:rPr>
              <w:t>ARC</w:t>
            </w:r>
            <w:r>
              <w:rPr>
                <w:spacing w:val="-7"/>
                <w:sz w:val="20"/>
              </w:rPr>
              <w:t> </w:t>
            </w:r>
            <w:r>
              <w:rPr>
                <w:spacing w:val="-5"/>
                <w:sz w:val="20"/>
              </w:rPr>
              <w:t>208</w:t>
            </w:r>
          </w:p>
        </w:tc>
        <w:tc>
          <w:tcPr>
            <w:tcW w:w="422" w:type="dxa"/>
            <w:textDirection w:val="btLr"/>
          </w:tcPr>
          <w:p>
            <w:pPr>
              <w:pStyle w:val="TableParagraph"/>
              <w:spacing w:before="100"/>
              <w:ind w:left="112"/>
              <w:rPr>
                <w:sz w:val="20"/>
              </w:rPr>
            </w:pPr>
            <w:r>
              <w:rPr>
                <w:sz w:val="20"/>
              </w:rPr>
              <w:t>ARC</w:t>
            </w:r>
            <w:r>
              <w:rPr>
                <w:spacing w:val="-7"/>
                <w:sz w:val="20"/>
              </w:rPr>
              <w:t> </w:t>
            </w:r>
            <w:r>
              <w:rPr>
                <w:spacing w:val="-5"/>
                <w:sz w:val="20"/>
              </w:rPr>
              <w:t>303</w:t>
            </w:r>
          </w:p>
        </w:tc>
        <w:tc>
          <w:tcPr>
            <w:tcW w:w="424" w:type="dxa"/>
            <w:textDirection w:val="btLr"/>
          </w:tcPr>
          <w:p>
            <w:pPr>
              <w:pStyle w:val="TableParagraph"/>
              <w:spacing w:before="100"/>
              <w:ind w:left="112"/>
              <w:rPr>
                <w:sz w:val="20"/>
              </w:rPr>
            </w:pPr>
            <w:r>
              <w:rPr>
                <w:sz w:val="20"/>
              </w:rPr>
              <w:t>ARC</w:t>
            </w:r>
            <w:r>
              <w:rPr>
                <w:spacing w:val="-7"/>
                <w:sz w:val="20"/>
              </w:rPr>
              <w:t> </w:t>
            </w:r>
            <w:r>
              <w:rPr>
                <w:spacing w:val="-5"/>
                <w:sz w:val="20"/>
              </w:rPr>
              <w:t>309</w:t>
            </w:r>
          </w:p>
        </w:tc>
        <w:tc>
          <w:tcPr>
            <w:tcW w:w="422" w:type="dxa"/>
            <w:textDirection w:val="btLr"/>
          </w:tcPr>
          <w:p>
            <w:pPr>
              <w:pStyle w:val="TableParagraph"/>
              <w:spacing w:before="101"/>
              <w:ind w:left="112"/>
              <w:rPr>
                <w:sz w:val="20"/>
              </w:rPr>
            </w:pPr>
            <w:r>
              <w:rPr>
                <w:sz w:val="20"/>
              </w:rPr>
              <w:t>ARC</w:t>
            </w:r>
            <w:r>
              <w:rPr>
                <w:spacing w:val="-7"/>
                <w:sz w:val="20"/>
              </w:rPr>
              <w:t> </w:t>
            </w:r>
            <w:r>
              <w:rPr>
                <w:spacing w:val="-5"/>
                <w:sz w:val="20"/>
              </w:rPr>
              <w:t>314</w:t>
            </w:r>
          </w:p>
        </w:tc>
        <w:tc>
          <w:tcPr>
            <w:tcW w:w="422" w:type="dxa"/>
            <w:textDirection w:val="btLr"/>
          </w:tcPr>
          <w:p>
            <w:pPr>
              <w:pStyle w:val="TableParagraph"/>
              <w:spacing w:before="101"/>
              <w:ind w:left="112"/>
              <w:rPr>
                <w:sz w:val="20"/>
              </w:rPr>
            </w:pPr>
            <w:r>
              <w:rPr>
                <w:sz w:val="20"/>
              </w:rPr>
              <w:t>ARC</w:t>
            </w:r>
            <w:r>
              <w:rPr>
                <w:spacing w:val="-7"/>
                <w:sz w:val="20"/>
              </w:rPr>
              <w:t> </w:t>
            </w:r>
            <w:r>
              <w:rPr>
                <w:spacing w:val="-5"/>
                <w:sz w:val="20"/>
              </w:rPr>
              <w:t>405</w:t>
            </w:r>
          </w:p>
        </w:tc>
        <w:tc>
          <w:tcPr>
            <w:tcW w:w="422" w:type="dxa"/>
            <w:textDirection w:val="btLr"/>
          </w:tcPr>
          <w:p>
            <w:pPr>
              <w:pStyle w:val="TableParagraph"/>
              <w:spacing w:before="102"/>
              <w:ind w:left="112"/>
              <w:rPr>
                <w:sz w:val="20"/>
              </w:rPr>
            </w:pPr>
            <w:r>
              <w:rPr>
                <w:sz w:val="20"/>
              </w:rPr>
              <w:t>ARC</w:t>
            </w:r>
            <w:r>
              <w:rPr>
                <w:spacing w:val="-7"/>
                <w:sz w:val="20"/>
              </w:rPr>
              <w:t> </w:t>
            </w:r>
            <w:r>
              <w:rPr>
                <w:spacing w:val="-5"/>
                <w:sz w:val="20"/>
              </w:rPr>
              <w:t>414</w:t>
            </w:r>
          </w:p>
        </w:tc>
        <w:tc>
          <w:tcPr>
            <w:tcW w:w="424" w:type="dxa"/>
            <w:textDirection w:val="btLr"/>
          </w:tcPr>
          <w:p>
            <w:pPr>
              <w:pStyle w:val="TableParagraph"/>
              <w:spacing w:before="102"/>
              <w:ind w:left="112"/>
              <w:rPr>
                <w:sz w:val="20"/>
              </w:rPr>
            </w:pPr>
            <w:r>
              <w:rPr>
                <w:sz w:val="20"/>
              </w:rPr>
              <w:t>ARC</w:t>
            </w:r>
            <w:r>
              <w:rPr>
                <w:spacing w:val="-7"/>
                <w:sz w:val="20"/>
              </w:rPr>
              <w:t> </w:t>
            </w:r>
            <w:r>
              <w:rPr>
                <w:spacing w:val="-5"/>
                <w:sz w:val="20"/>
              </w:rPr>
              <w:t>517</w:t>
            </w:r>
          </w:p>
        </w:tc>
        <w:tc>
          <w:tcPr>
            <w:tcW w:w="422" w:type="dxa"/>
            <w:textDirection w:val="btLr"/>
          </w:tcPr>
          <w:p>
            <w:pPr>
              <w:pStyle w:val="TableParagraph"/>
              <w:spacing w:before="103"/>
              <w:ind w:left="112"/>
              <w:rPr>
                <w:sz w:val="20"/>
              </w:rPr>
            </w:pPr>
            <w:r>
              <w:rPr>
                <w:sz w:val="20"/>
              </w:rPr>
              <w:t>ARC</w:t>
            </w:r>
            <w:r>
              <w:rPr>
                <w:spacing w:val="-7"/>
                <w:sz w:val="20"/>
              </w:rPr>
              <w:t> </w:t>
            </w:r>
            <w:r>
              <w:rPr>
                <w:spacing w:val="-5"/>
                <w:sz w:val="20"/>
              </w:rPr>
              <w:t>601</w:t>
            </w:r>
          </w:p>
        </w:tc>
        <w:tc>
          <w:tcPr>
            <w:tcW w:w="422" w:type="dxa"/>
            <w:textDirection w:val="btLr"/>
          </w:tcPr>
          <w:p>
            <w:pPr>
              <w:pStyle w:val="TableParagraph"/>
              <w:spacing w:before="103"/>
              <w:ind w:left="112"/>
              <w:rPr>
                <w:sz w:val="20"/>
              </w:rPr>
            </w:pPr>
            <w:r>
              <w:rPr>
                <w:sz w:val="20"/>
              </w:rPr>
              <w:t>ARC</w:t>
            </w:r>
            <w:r>
              <w:rPr>
                <w:spacing w:val="-7"/>
                <w:sz w:val="20"/>
              </w:rPr>
              <w:t> </w:t>
            </w:r>
            <w:r>
              <w:rPr>
                <w:spacing w:val="-5"/>
                <w:sz w:val="20"/>
              </w:rPr>
              <w:t>618</w:t>
            </w:r>
          </w:p>
        </w:tc>
      </w:tr>
      <w:tr>
        <w:trPr>
          <w:trHeight w:val="230" w:hRule="atLeast"/>
        </w:trPr>
        <w:tc>
          <w:tcPr>
            <w:tcW w:w="8667" w:type="dxa"/>
            <w:gridSpan w:val="14"/>
          </w:tcPr>
          <w:p>
            <w:pPr>
              <w:pStyle w:val="TableParagraph"/>
              <w:spacing w:line="210" w:lineRule="exact"/>
              <w:ind w:left="43"/>
              <w:rPr>
                <w:sz w:val="20"/>
              </w:rPr>
            </w:pPr>
            <w:r>
              <w:rPr>
                <w:sz w:val="20"/>
              </w:rPr>
              <w:t>Full</w:t>
            </w:r>
            <w:r>
              <w:rPr>
                <w:spacing w:val="-5"/>
                <w:sz w:val="20"/>
              </w:rPr>
              <w:t> </w:t>
            </w:r>
            <w:r>
              <w:rPr>
                <w:sz w:val="20"/>
              </w:rPr>
              <w:t>Time</w:t>
            </w:r>
            <w:r>
              <w:rPr>
                <w:spacing w:val="-4"/>
                <w:sz w:val="20"/>
              </w:rPr>
              <w:t> </w:t>
            </w:r>
            <w:r>
              <w:rPr>
                <w:spacing w:val="-2"/>
                <w:sz w:val="20"/>
              </w:rPr>
              <w:t>Faculty</w:t>
            </w:r>
          </w:p>
        </w:tc>
      </w:tr>
      <w:tr>
        <w:trPr>
          <w:trHeight w:val="229" w:hRule="atLeast"/>
        </w:trPr>
        <w:tc>
          <w:tcPr>
            <w:tcW w:w="3175" w:type="dxa"/>
          </w:tcPr>
          <w:p>
            <w:pPr>
              <w:pStyle w:val="TableParagraph"/>
              <w:spacing w:line="210" w:lineRule="exact"/>
              <w:ind w:left="331"/>
              <w:rPr>
                <w:sz w:val="20"/>
              </w:rPr>
            </w:pPr>
            <w:r>
              <w:rPr>
                <w:spacing w:val="-2"/>
                <w:sz w:val="20"/>
              </w:rPr>
              <w:t>Andrews</w:t>
            </w:r>
          </w:p>
        </w:tc>
        <w:tc>
          <w:tcPr>
            <w:tcW w:w="422" w:type="dxa"/>
          </w:tcPr>
          <w:p>
            <w:pPr>
              <w:pStyle w:val="TableParagraph"/>
              <w:rPr>
                <w:rFonts w:ascii="Times New Roman"/>
                <w:sz w:val="16"/>
              </w:rPr>
            </w:pPr>
          </w:p>
        </w:tc>
        <w:tc>
          <w:tcPr>
            <w:tcW w:w="422" w:type="dxa"/>
          </w:tcPr>
          <w:p>
            <w:pPr>
              <w:pStyle w:val="TableParagraph"/>
              <w:rPr>
                <w:rFonts w:ascii="Times New Roman"/>
                <w:sz w:val="16"/>
              </w:rPr>
            </w:pPr>
          </w:p>
        </w:tc>
        <w:tc>
          <w:tcPr>
            <w:tcW w:w="424" w:type="dxa"/>
          </w:tcPr>
          <w:p>
            <w:pPr>
              <w:pStyle w:val="TableParagraph"/>
              <w:rPr>
                <w:rFonts w:ascii="Times New Roman"/>
                <w:sz w:val="16"/>
              </w:rPr>
            </w:pPr>
          </w:p>
        </w:tc>
        <w:tc>
          <w:tcPr>
            <w:tcW w:w="422" w:type="dxa"/>
          </w:tcPr>
          <w:p>
            <w:pPr>
              <w:pStyle w:val="TableParagraph"/>
              <w:rPr>
                <w:rFonts w:ascii="Times New Roman"/>
                <w:sz w:val="16"/>
              </w:rPr>
            </w:pPr>
          </w:p>
        </w:tc>
        <w:tc>
          <w:tcPr>
            <w:tcW w:w="422" w:type="dxa"/>
          </w:tcPr>
          <w:p>
            <w:pPr>
              <w:pStyle w:val="TableParagraph"/>
              <w:rPr>
                <w:rFonts w:ascii="Times New Roman"/>
                <w:sz w:val="16"/>
              </w:rPr>
            </w:pPr>
          </w:p>
        </w:tc>
        <w:tc>
          <w:tcPr>
            <w:tcW w:w="422" w:type="dxa"/>
          </w:tcPr>
          <w:p>
            <w:pPr>
              <w:pStyle w:val="TableParagraph"/>
              <w:spacing w:line="210" w:lineRule="exact"/>
              <w:ind w:left="56"/>
              <w:jc w:val="center"/>
              <w:rPr>
                <w:sz w:val="20"/>
              </w:rPr>
            </w:pPr>
            <w:r>
              <w:rPr>
                <w:w w:val="99"/>
                <w:sz w:val="20"/>
              </w:rPr>
              <w:t>X</w:t>
            </w:r>
          </w:p>
        </w:tc>
        <w:tc>
          <w:tcPr>
            <w:tcW w:w="424" w:type="dxa"/>
          </w:tcPr>
          <w:p>
            <w:pPr>
              <w:pStyle w:val="TableParagraph"/>
              <w:rPr>
                <w:rFonts w:ascii="Times New Roman"/>
                <w:sz w:val="16"/>
              </w:rPr>
            </w:pPr>
          </w:p>
        </w:tc>
        <w:tc>
          <w:tcPr>
            <w:tcW w:w="422" w:type="dxa"/>
          </w:tcPr>
          <w:p>
            <w:pPr>
              <w:pStyle w:val="TableParagraph"/>
              <w:rPr>
                <w:rFonts w:ascii="Times New Roman"/>
                <w:sz w:val="16"/>
              </w:rPr>
            </w:pPr>
          </w:p>
        </w:tc>
        <w:tc>
          <w:tcPr>
            <w:tcW w:w="422" w:type="dxa"/>
          </w:tcPr>
          <w:p>
            <w:pPr>
              <w:pStyle w:val="TableParagraph"/>
              <w:rPr>
                <w:rFonts w:ascii="Times New Roman"/>
                <w:sz w:val="16"/>
              </w:rPr>
            </w:pPr>
          </w:p>
        </w:tc>
        <w:tc>
          <w:tcPr>
            <w:tcW w:w="422" w:type="dxa"/>
          </w:tcPr>
          <w:p>
            <w:pPr>
              <w:pStyle w:val="TableParagraph"/>
              <w:rPr>
                <w:rFonts w:ascii="Times New Roman"/>
                <w:sz w:val="16"/>
              </w:rPr>
            </w:pPr>
          </w:p>
        </w:tc>
        <w:tc>
          <w:tcPr>
            <w:tcW w:w="424" w:type="dxa"/>
          </w:tcPr>
          <w:p>
            <w:pPr>
              <w:pStyle w:val="TableParagraph"/>
              <w:rPr>
                <w:rFonts w:ascii="Times New Roman"/>
                <w:sz w:val="16"/>
              </w:rPr>
            </w:pPr>
          </w:p>
        </w:tc>
        <w:tc>
          <w:tcPr>
            <w:tcW w:w="422" w:type="dxa"/>
          </w:tcPr>
          <w:p>
            <w:pPr>
              <w:pStyle w:val="TableParagraph"/>
              <w:rPr>
                <w:rFonts w:ascii="Times New Roman"/>
                <w:sz w:val="16"/>
              </w:rPr>
            </w:pPr>
          </w:p>
        </w:tc>
        <w:tc>
          <w:tcPr>
            <w:tcW w:w="422" w:type="dxa"/>
          </w:tcPr>
          <w:p>
            <w:pPr>
              <w:pStyle w:val="TableParagraph"/>
              <w:rPr>
                <w:rFonts w:ascii="Times New Roman"/>
                <w:sz w:val="16"/>
              </w:rPr>
            </w:pPr>
          </w:p>
        </w:tc>
      </w:tr>
      <w:tr>
        <w:trPr>
          <w:trHeight w:val="230" w:hRule="atLeast"/>
        </w:trPr>
        <w:tc>
          <w:tcPr>
            <w:tcW w:w="3175" w:type="dxa"/>
          </w:tcPr>
          <w:p>
            <w:pPr>
              <w:pStyle w:val="TableParagraph"/>
              <w:spacing w:line="210" w:lineRule="exact"/>
              <w:ind w:left="331"/>
              <w:rPr>
                <w:sz w:val="20"/>
              </w:rPr>
            </w:pPr>
            <w:r>
              <w:rPr>
                <w:spacing w:val="-2"/>
                <w:sz w:val="20"/>
              </w:rPr>
              <w:t>Chance</w:t>
            </w:r>
          </w:p>
        </w:tc>
        <w:tc>
          <w:tcPr>
            <w:tcW w:w="422" w:type="dxa"/>
          </w:tcPr>
          <w:p>
            <w:pPr>
              <w:pStyle w:val="TableParagraph"/>
              <w:rPr>
                <w:rFonts w:ascii="Times New Roman"/>
                <w:sz w:val="16"/>
              </w:rPr>
            </w:pPr>
          </w:p>
        </w:tc>
        <w:tc>
          <w:tcPr>
            <w:tcW w:w="422" w:type="dxa"/>
          </w:tcPr>
          <w:p>
            <w:pPr>
              <w:pStyle w:val="TableParagraph"/>
              <w:spacing w:line="210" w:lineRule="exact"/>
              <w:ind w:left="166"/>
              <w:rPr>
                <w:sz w:val="20"/>
              </w:rPr>
            </w:pPr>
            <w:r>
              <w:rPr>
                <w:w w:val="99"/>
                <w:sz w:val="20"/>
              </w:rPr>
              <w:t>X</w:t>
            </w:r>
          </w:p>
        </w:tc>
        <w:tc>
          <w:tcPr>
            <w:tcW w:w="424" w:type="dxa"/>
          </w:tcPr>
          <w:p>
            <w:pPr>
              <w:pStyle w:val="TableParagraph"/>
              <w:spacing w:line="210" w:lineRule="exact"/>
              <w:ind w:left="51"/>
              <w:jc w:val="center"/>
              <w:rPr>
                <w:sz w:val="20"/>
              </w:rPr>
            </w:pPr>
            <w:r>
              <w:rPr>
                <w:w w:val="99"/>
                <w:sz w:val="20"/>
              </w:rPr>
              <w:t>X</w:t>
            </w:r>
          </w:p>
        </w:tc>
        <w:tc>
          <w:tcPr>
            <w:tcW w:w="422" w:type="dxa"/>
          </w:tcPr>
          <w:p>
            <w:pPr>
              <w:pStyle w:val="TableParagraph"/>
              <w:rPr>
                <w:rFonts w:ascii="Times New Roman"/>
                <w:sz w:val="16"/>
              </w:rPr>
            </w:pPr>
          </w:p>
        </w:tc>
        <w:tc>
          <w:tcPr>
            <w:tcW w:w="422" w:type="dxa"/>
          </w:tcPr>
          <w:p>
            <w:pPr>
              <w:pStyle w:val="TableParagraph"/>
              <w:rPr>
                <w:rFonts w:ascii="Times New Roman"/>
                <w:sz w:val="16"/>
              </w:rPr>
            </w:pPr>
          </w:p>
        </w:tc>
        <w:tc>
          <w:tcPr>
            <w:tcW w:w="422" w:type="dxa"/>
          </w:tcPr>
          <w:p>
            <w:pPr>
              <w:pStyle w:val="TableParagraph"/>
              <w:rPr>
                <w:rFonts w:ascii="Times New Roman"/>
                <w:sz w:val="16"/>
              </w:rPr>
            </w:pPr>
          </w:p>
        </w:tc>
        <w:tc>
          <w:tcPr>
            <w:tcW w:w="424" w:type="dxa"/>
          </w:tcPr>
          <w:p>
            <w:pPr>
              <w:pStyle w:val="TableParagraph"/>
              <w:rPr>
                <w:rFonts w:ascii="Times New Roman"/>
                <w:sz w:val="16"/>
              </w:rPr>
            </w:pPr>
          </w:p>
        </w:tc>
        <w:tc>
          <w:tcPr>
            <w:tcW w:w="422" w:type="dxa"/>
          </w:tcPr>
          <w:p>
            <w:pPr>
              <w:pStyle w:val="TableParagraph"/>
              <w:rPr>
                <w:rFonts w:ascii="Times New Roman"/>
                <w:sz w:val="16"/>
              </w:rPr>
            </w:pPr>
          </w:p>
        </w:tc>
        <w:tc>
          <w:tcPr>
            <w:tcW w:w="422" w:type="dxa"/>
          </w:tcPr>
          <w:p>
            <w:pPr>
              <w:pStyle w:val="TableParagraph"/>
              <w:rPr>
                <w:rFonts w:ascii="Times New Roman"/>
                <w:sz w:val="16"/>
              </w:rPr>
            </w:pPr>
          </w:p>
        </w:tc>
        <w:tc>
          <w:tcPr>
            <w:tcW w:w="422" w:type="dxa"/>
          </w:tcPr>
          <w:p>
            <w:pPr>
              <w:pStyle w:val="TableParagraph"/>
              <w:rPr>
                <w:rFonts w:ascii="Times New Roman"/>
                <w:sz w:val="16"/>
              </w:rPr>
            </w:pPr>
          </w:p>
        </w:tc>
        <w:tc>
          <w:tcPr>
            <w:tcW w:w="424" w:type="dxa"/>
          </w:tcPr>
          <w:p>
            <w:pPr>
              <w:pStyle w:val="TableParagraph"/>
              <w:rPr>
                <w:rFonts w:ascii="Times New Roman"/>
                <w:sz w:val="16"/>
              </w:rPr>
            </w:pPr>
          </w:p>
        </w:tc>
        <w:tc>
          <w:tcPr>
            <w:tcW w:w="422" w:type="dxa"/>
          </w:tcPr>
          <w:p>
            <w:pPr>
              <w:pStyle w:val="TableParagraph"/>
              <w:rPr>
                <w:rFonts w:ascii="Times New Roman"/>
                <w:sz w:val="16"/>
              </w:rPr>
            </w:pPr>
          </w:p>
        </w:tc>
        <w:tc>
          <w:tcPr>
            <w:tcW w:w="422" w:type="dxa"/>
          </w:tcPr>
          <w:p>
            <w:pPr>
              <w:pStyle w:val="TableParagraph"/>
              <w:rPr>
                <w:rFonts w:ascii="Times New Roman"/>
                <w:sz w:val="16"/>
              </w:rPr>
            </w:pPr>
          </w:p>
        </w:tc>
      </w:tr>
      <w:tr>
        <w:trPr>
          <w:trHeight w:val="230" w:hRule="atLeast"/>
        </w:trPr>
        <w:tc>
          <w:tcPr>
            <w:tcW w:w="3175" w:type="dxa"/>
          </w:tcPr>
          <w:p>
            <w:pPr>
              <w:pStyle w:val="TableParagraph"/>
              <w:spacing w:line="210" w:lineRule="exact"/>
              <w:ind w:left="331"/>
              <w:rPr>
                <w:sz w:val="20"/>
              </w:rPr>
            </w:pPr>
            <w:r>
              <w:rPr>
                <w:spacing w:val="-2"/>
                <w:sz w:val="20"/>
              </w:rPr>
              <w:t>Easter</w:t>
            </w:r>
          </w:p>
        </w:tc>
        <w:tc>
          <w:tcPr>
            <w:tcW w:w="422" w:type="dxa"/>
          </w:tcPr>
          <w:p>
            <w:pPr>
              <w:pStyle w:val="TableParagraph"/>
              <w:rPr>
                <w:rFonts w:ascii="Times New Roman"/>
                <w:sz w:val="16"/>
              </w:rPr>
            </w:pPr>
          </w:p>
        </w:tc>
        <w:tc>
          <w:tcPr>
            <w:tcW w:w="422" w:type="dxa"/>
          </w:tcPr>
          <w:p>
            <w:pPr>
              <w:pStyle w:val="TableParagraph"/>
              <w:rPr>
                <w:rFonts w:ascii="Times New Roman"/>
                <w:sz w:val="16"/>
              </w:rPr>
            </w:pPr>
          </w:p>
        </w:tc>
        <w:tc>
          <w:tcPr>
            <w:tcW w:w="424" w:type="dxa"/>
          </w:tcPr>
          <w:p>
            <w:pPr>
              <w:pStyle w:val="TableParagraph"/>
              <w:rPr>
                <w:rFonts w:ascii="Times New Roman"/>
                <w:sz w:val="16"/>
              </w:rPr>
            </w:pPr>
          </w:p>
        </w:tc>
        <w:tc>
          <w:tcPr>
            <w:tcW w:w="422" w:type="dxa"/>
          </w:tcPr>
          <w:p>
            <w:pPr>
              <w:pStyle w:val="TableParagraph"/>
              <w:rPr>
                <w:rFonts w:ascii="Times New Roman"/>
                <w:sz w:val="16"/>
              </w:rPr>
            </w:pPr>
          </w:p>
        </w:tc>
        <w:tc>
          <w:tcPr>
            <w:tcW w:w="422" w:type="dxa"/>
          </w:tcPr>
          <w:p>
            <w:pPr>
              <w:pStyle w:val="TableParagraph"/>
              <w:rPr>
                <w:rFonts w:ascii="Times New Roman"/>
                <w:sz w:val="16"/>
              </w:rPr>
            </w:pPr>
          </w:p>
        </w:tc>
        <w:tc>
          <w:tcPr>
            <w:tcW w:w="422" w:type="dxa"/>
          </w:tcPr>
          <w:p>
            <w:pPr>
              <w:pStyle w:val="TableParagraph"/>
              <w:rPr>
                <w:rFonts w:ascii="Times New Roman"/>
                <w:sz w:val="16"/>
              </w:rPr>
            </w:pPr>
          </w:p>
        </w:tc>
        <w:tc>
          <w:tcPr>
            <w:tcW w:w="424" w:type="dxa"/>
          </w:tcPr>
          <w:p>
            <w:pPr>
              <w:pStyle w:val="TableParagraph"/>
              <w:rPr>
                <w:rFonts w:ascii="Times New Roman"/>
                <w:sz w:val="16"/>
              </w:rPr>
            </w:pPr>
          </w:p>
        </w:tc>
        <w:tc>
          <w:tcPr>
            <w:tcW w:w="422" w:type="dxa"/>
          </w:tcPr>
          <w:p>
            <w:pPr>
              <w:pStyle w:val="TableParagraph"/>
              <w:rPr>
                <w:rFonts w:ascii="Times New Roman"/>
                <w:sz w:val="16"/>
              </w:rPr>
            </w:pPr>
          </w:p>
        </w:tc>
        <w:tc>
          <w:tcPr>
            <w:tcW w:w="422" w:type="dxa"/>
          </w:tcPr>
          <w:p>
            <w:pPr>
              <w:pStyle w:val="TableParagraph"/>
              <w:spacing w:line="210" w:lineRule="exact"/>
              <w:ind w:left="60"/>
              <w:jc w:val="center"/>
              <w:rPr>
                <w:sz w:val="20"/>
              </w:rPr>
            </w:pPr>
            <w:r>
              <w:rPr>
                <w:w w:val="99"/>
                <w:sz w:val="20"/>
              </w:rPr>
              <w:t>X</w:t>
            </w:r>
          </w:p>
        </w:tc>
        <w:tc>
          <w:tcPr>
            <w:tcW w:w="422" w:type="dxa"/>
          </w:tcPr>
          <w:p>
            <w:pPr>
              <w:pStyle w:val="TableParagraph"/>
              <w:rPr>
                <w:rFonts w:ascii="Times New Roman"/>
                <w:sz w:val="16"/>
              </w:rPr>
            </w:pPr>
          </w:p>
        </w:tc>
        <w:tc>
          <w:tcPr>
            <w:tcW w:w="424" w:type="dxa"/>
          </w:tcPr>
          <w:p>
            <w:pPr>
              <w:pStyle w:val="TableParagraph"/>
              <w:spacing w:line="210" w:lineRule="exact"/>
              <w:ind w:left="170"/>
              <w:rPr>
                <w:sz w:val="20"/>
              </w:rPr>
            </w:pPr>
            <w:r>
              <w:rPr>
                <w:w w:val="99"/>
                <w:sz w:val="20"/>
              </w:rPr>
              <w:t>X</w:t>
            </w:r>
          </w:p>
        </w:tc>
        <w:tc>
          <w:tcPr>
            <w:tcW w:w="422" w:type="dxa"/>
          </w:tcPr>
          <w:p>
            <w:pPr>
              <w:pStyle w:val="TableParagraph"/>
              <w:rPr>
                <w:rFonts w:ascii="Times New Roman"/>
                <w:sz w:val="16"/>
              </w:rPr>
            </w:pPr>
          </w:p>
        </w:tc>
        <w:tc>
          <w:tcPr>
            <w:tcW w:w="422" w:type="dxa"/>
          </w:tcPr>
          <w:p>
            <w:pPr>
              <w:pStyle w:val="TableParagraph"/>
              <w:rPr>
                <w:rFonts w:ascii="Times New Roman"/>
                <w:sz w:val="16"/>
              </w:rPr>
            </w:pPr>
          </w:p>
        </w:tc>
      </w:tr>
      <w:tr>
        <w:trPr>
          <w:trHeight w:val="229" w:hRule="atLeast"/>
        </w:trPr>
        <w:tc>
          <w:tcPr>
            <w:tcW w:w="3175" w:type="dxa"/>
          </w:tcPr>
          <w:p>
            <w:pPr>
              <w:pStyle w:val="TableParagraph"/>
              <w:spacing w:line="210" w:lineRule="exact"/>
              <w:ind w:left="331"/>
              <w:rPr>
                <w:sz w:val="20"/>
              </w:rPr>
            </w:pPr>
            <w:r>
              <w:rPr>
                <w:sz w:val="20"/>
              </w:rPr>
              <w:t>Henderson,</w:t>
            </w:r>
            <w:r>
              <w:rPr>
                <w:spacing w:val="-14"/>
                <w:sz w:val="20"/>
              </w:rPr>
              <w:t> </w:t>
            </w:r>
            <w:r>
              <w:rPr>
                <w:spacing w:val="-10"/>
                <w:sz w:val="20"/>
              </w:rPr>
              <w:t>D</w:t>
            </w:r>
          </w:p>
        </w:tc>
        <w:tc>
          <w:tcPr>
            <w:tcW w:w="422" w:type="dxa"/>
          </w:tcPr>
          <w:p>
            <w:pPr>
              <w:pStyle w:val="TableParagraph"/>
              <w:rPr>
                <w:rFonts w:ascii="Times New Roman"/>
                <w:sz w:val="16"/>
              </w:rPr>
            </w:pPr>
          </w:p>
        </w:tc>
        <w:tc>
          <w:tcPr>
            <w:tcW w:w="422" w:type="dxa"/>
          </w:tcPr>
          <w:p>
            <w:pPr>
              <w:pStyle w:val="TableParagraph"/>
              <w:rPr>
                <w:rFonts w:ascii="Times New Roman"/>
                <w:sz w:val="16"/>
              </w:rPr>
            </w:pPr>
          </w:p>
        </w:tc>
        <w:tc>
          <w:tcPr>
            <w:tcW w:w="424" w:type="dxa"/>
          </w:tcPr>
          <w:p>
            <w:pPr>
              <w:pStyle w:val="TableParagraph"/>
              <w:spacing w:line="210" w:lineRule="exact"/>
              <w:ind w:left="51"/>
              <w:jc w:val="center"/>
              <w:rPr>
                <w:sz w:val="20"/>
              </w:rPr>
            </w:pPr>
            <w:r>
              <w:rPr>
                <w:w w:val="99"/>
                <w:sz w:val="20"/>
              </w:rPr>
              <w:t>X</w:t>
            </w:r>
          </w:p>
        </w:tc>
        <w:tc>
          <w:tcPr>
            <w:tcW w:w="422" w:type="dxa"/>
          </w:tcPr>
          <w:p>
            <w:pPr>
              <w:pStyle w:val="TableParagraph"/>
              <w:rPr>
                <w:rFonts w:ascii="Times New Roman"/>
                <w:sz w:val="16"/>
              </w:rPr>
            </w:pPr>
          </w:p>
        </w:tc>
        <w:tc>
          <w:tcPr>
            <w:tcW w:w="422" w:type="dxa"/>
          </w:tcPr>
          <w:p>
            <w:pPr>
              <w:pStyle w:val="TableParagraph"/>
              <w:rPr>
                <w:rFonts w:ascii="Times New Roman"/>
                <w:sz w:val="16"/>
              </w:rPr>
            </w:pPr>
          </w:p>
        </w:tc>
        <w:tc>
          <w:tcPr>
            <w:tcW w:w="422" w:type="dxa"/>
          </w:tcPr>
          <w:p>
            <w:pPr>
              <w:pStyle w:val="TableParagraph"/>
              <w:rPr>
                <w:rFonts w:ascii="Times New Roman"/>
                <w:sz w:val="16"/>
              </w:rPr>
            </w:pPr>
          </w:p>
        </w:tc>
        <w:tc>
          <w:tcPr>
            <w:tcW w:w="424" w:type="dxa"/>
          </w:tcPr>
          <w:p>
            <w:pPr>
              <w:pStyle w:val="TableParagraph"/>
              <w:rPr>
                <w:rFonts w:ascii="Times New Roman"/>
                <w:sz w:val="16"/>
              </w:rPr>
            </w:pPr>
          </w:p>
        </w:tc>
        <w:tc>
          <w:tcPr>
            <w:tcW w:w="422" w:type="dxa"/>
          </w:tcPr>
          <w:p>
            <w:pPr>
              <w:pStyle w:val="TableParagraph"/>
              <w:rPr>
                <w:rFonts w:ascii="Times New Roman"/>
                <w:sz w:val="16"/>
              </w:rPr>
            </w:pPr>
          </w:p>
        </w:tc>
        <w:tc>
          <w:tcPr>
            <w:tcW w:w="422" w:type="dxa"/>
          </w:tcPr>
          <w:p>
            <w:pPr>
              <w:pStyle w:val="TableParagraph"/>
              <w:spacing w:line="210" w:lineRule="exact"/>
              <w:ind w:left="60"/>
              <w:jc w:val="center"/>
              <w:rPr>
                <w:sz w:val="20"/>
              </w:rPr>
            </w:pPr>
            <w:r>
              <w:rPr>
                <w:w w:val="99"/>
                <w:sz w:val="20"/>
              </w:rPr>
              <w:t>X</w:t>
            </w:r>
          </w:p>
        </w:tc>
        <w:tc>
          <w:tcPr>
            <w:tcW w:w="422" w:type="dxa"/>
          </w:tcPr>
          <w:p>
            <w:pPr>
              <w:pStyle w:val="TableParagraph"/>
              <w:rPr>
                <w:rFonts w:ascii="Times New Roman"/>
                <w:sz w:val="16"/>
              </w:rPr>
            </w:pPr>
          </w:p>
        </w:tc>
        <w:tc>
          <w:tcPr>
            <w:tcW w:w="424" w:type="dxa"/>
          </w:tcPr>
          <w:p>
            <w:pPr>
              <w:pStyle w:val="TableParagraph"/>
              <w:rPr>
                <w:rFonts w:ascii="Times New Roman"/>
                <w:sz w:val="16"/>
              </w:rPr>
            </w:pPr>
          </w:p>
        </w:tc>
        <w:tc>
          <w:tcPr>
            <w:tcW w:w="422" w:type="dxa"/>
          </w:tcPr>
          <w:p>
            <w:pPr>
              <w:pStyle w:val="TableParagraph"/>
              <w:rPr>
                <w:rFonts w:ascii="Times New Roman"/>
                <w:sz w:val="16"/>
              </w:rPr>
            </w:pPr>
          </w:p>
        </w:tc>
        <w:tc>
          <w:tcPr>
            <w:tcW w:w="422" w:type="dxa"/>
          </w:tcPr>
          <w:p>
            <w:pPr>
              <w:pStyle w:val="TableParagraph"/>
              <w:rPr>
                <w:rFonts w:ascii="Times New Roman"/>
                <w:sz w:val="16"/>
              </w:rPr>
            </w:pPr>
          </w:p>
        </w:tc>
      </w:tr>
      <w:tr>
        <w:trPr>
          <w:trHeight w:val="230" w:hRule="atLeast"/>
        </w:trPr>
        <w:tc>
          <w:tcPr>
            <w:tcW w:w="3175" w:type="dxa"/>
          </w:tcPr>
          <w:p>
            <w:pPr>
              <w:pStyle w:val="TableParagraph"/>
              <w:spacing w:line="210" w:lineRule="exact"/>
              <w:ind w:left="331"/>
              <w:rPr>
                <w:sz w:val="20"/>
              </w:rPr>
            </w:pPr>
            <w:r>
              <w:rPr>
                <w:spacing w:val="-2"/>
                <w:sz w:val="20"/>
              </w:rPr>
              <w:t>Henderson,</w:t>
            </w:r>
            <w:r>
              <w:rPr>
                <w:spacing w:val="4"/>
                <w:sz w:val="20"/>
              </w:rPr>
              <w:t> </w:t>
            </w:r>
            <w:r>
              <w:rPr>
                <w:spacing w:val="-10"/>
                <w:sz w:val="20"/>
              </w:rPr>
              <w:t>W</w:t>
            </w:r>
          </w:p>
        </w:tc>
        <w:tc>
          <w:tcPr>
            <w:tcW w:w="422" w:type="dxa"/>
          </w:tcPr>
          <w:p>
            <w:pPr>
              <w:pStyle w:val="TableParagraph"/>
              <w:rPr>
                <w:rFonts w:ascii="Times New Roman"/>
                <w:sz w:val="16"/>
              </w:rPr>
            </w:pPr>
          </w:p>
        </w:tc>
        <w:tc>
          <w:tcPr>
            <w:tcW w:w="422" w:type="dxa"/>
          </w:tcPr>
          <w:p>
            <w:pPr>
              <w:pStyle w:val="TableParagraph"/>
              <w:rPr>
                <w:rFonts w:ascii="Times New Roman"/>
                <w:sz w:val="16"/>
              </w:rPr>
            </w:pPr>
          </w:p>
        </w:tc>
        <w:tc>
          <w:tcPr>
            <w:tcW w:w="424" w:type="dxa"/>
          </w:tcPr>
          <w:p>
            <w:pPr>
              <w:pStyle w:val="TableParagraph"/>
              <w:rPr>
                <w:rFonts w:ascii="Times New Roman"/>
                <w:sz w:val="16"/>
              </w:rPr>
            </w:pPr>
          </w:p>
        </w:tc>
        <w:tc>
          <w:tcPr>
            <w:tcW w:w="422" w:type="dxa"/>
          </w:tcPr>
          <w:p>
            <w:pPr>
              <w:pStyle w:val="TableParagraph"/>
              <w:rPr>
                <w:rFonts w:ascii="Times New Roman"/>
                <w:sz w:val="16"/>
              </w:rPr>
            </w:pPr>
          </w:p>
        </w:tc>
        <w:tc>
          <w:tcPr>
            <w:tcW w:w="422" w:type="dxa"/>
          </w:tcPr>
          <w:p>
            <w:pPr>
              <w:pStyle w:val="TableParagraph"/>
              <w:spacing w:line="210" w:lineRule="exact"/>
              <w:ind w:left="167"/>
              <w:rPr>
                <w:sz w:val="20"/>
              </w:rPr>
            </w:pPr>
            <w:r>
              <w:rPr>
                <w:w w:val="99"/>
                <w:sz w:val="20"/>
              </w:rPr>
              <w:t>X</w:t>
            </w:r>
          </w:p>
        </w:tc>
        <w:tc>
          <w:tcPr>
            <w:tcW w:w="422" w:type="dxa"/>
          </w:tcPr>
          <w:p>
            <w:pPr>
              <w:pStyle w:val="TableParagraph"/>
              <w:rPr>
                <w:rFonts w:ascii="Times New Roman"/>
                <w:sz w:val="16"/>
              </w:rPr>
            </w:pPr>
          </w:p>
        </w:tc>
        <w:tc>
          <w:tcPr>
            <w:tcW w:w="424" w:type="dxa"/>
          </w:tcPr>
          <w:p>
            <w:pPr>
              <w:pStyle w:val="TableParagraph"/>
              <w:rPr>
                <w:rFonts w:ascii="Times New Roman"/>
                <w:sz w:val="16"/>
              </w:rPr>
            </w:pPr>
          </w:p>
        </w:tc>
        <w:tc>
          <w:tcPr>
            <w:tcW w:w="422" w:type="dxa"/>
          </w:tcPr>
          <w:p>
            <w:pPr>
              <w:pStyle w:val="TableParagraph"/>
              <w:rPr>
                <w:rFonts w:ascii="Times New Roman"/>
                <w:sz w:val="16"/>
              </w:rPr>
            </w:pPr>
          </w:p>
        </w:tc>
        <w:tc>
          <w:tcPr>
            <w:tcW w:w="422" w:type="dxa"/>
          </w:tcPr>
          <w:p>
            <w:pPr>
              <w:pStyle w:val="TableParagraph"/>
              <w:rPr>
                <w:rFonts w:ascii="Times New Roman"/>
                <w:sz w:val="16"/>
              </w:rPr>
            </w:pPr>
          </w:p>
        </w:tc>
        <w:tc>
          <w:tcPr>
            <w:tcW w:w="422" w:type="dxa"/>
          </w:tcPr>
          <w:p>
            <w:pPr>
              <w:pStyle w:val="TableParagraph"/>
              <w:rPr>
                <w:rFonts w:ascii="Times New Roman"/>
                <w:sz w:val="16"/>
              </w:rPr>
            </w:pPr>
          </w:p>
        </w:tc>
        <w:tc>
          <w:tcPr>
            <w:tcW w:w="424" w:type="dxa"/>
          </w:tcPr>
          <w:p>
            <w:pPr>
              <w:pStyle w:val="TableParagraph"/>
              <w:rPr>
                <w:rFonts w:ascii="Times New Roman"/>
                <w:sz w:val="16"/>
              </w:rPr>
            </w:pPr>
          </w:p>
        </w:tc>
        <w:tc>
          <w:tcPr>
            <w:tcW w:w="422" w:type="dxa"/>
          </w:tcPr>
          <w:p>
            <w:pPr>
              <w:pStyle w:val="TableParagraph"/>
              <w:spacing w:line="210" w:lineRule="exact"/>
              <w:ind w:right="108"/>
              <w:jc w:val="right"/>
              <w:rPr>
                <w:sz w:val="20"/>
              </w:rPr>
            </w:pPr>
            <w:r>
              <w:rPr>
                <w:w w:val="99"/>
                <w:sz w:val="20"/>
              </w:rPr>
              <w:t>X</w:t>
            </w:r>
          </w:p>
        </w:tc>
        <w:tc>
          <w:tcPr>
            <w:tcW w:w="422" w:type="dxa"/>
          </w:tcPr>
          <w:p>
            <w:pPr>
              <w:pStyle w:val="TableParagraph"/>
              <w:rPr>
                <w:rFonts w:ascii="Times New Roman"/>
                <w:sz w:val="16"/>
              </w:rPr>
            </w:pPr>
          </w:p>
        </w:tc>
      </w:tr>
      <w:tr>
        <w:trPr>
          <w:trHeight w:val="230" w:hRule="atLeast"/>
        </w:trPr>
        <w:tc>
          <w:tcPr>
            <w:tcW w:w="3175" w:type="dxa"/>
          </w:tcPr>
          <w:p>
            <w:pPr>
              <w:pStyle w:val="TableParagraph"/>
              <w:spacing w:line="210" w:lineRule="exact"/>
              <w:ind w:left="331"/>
              <w:rPr>
                <w:sz w:val="20"/>
              </w:rPr>
            </w:pPr>
            <w:r>
              <w:rPr>
                <w:spacing w:val="-2"/>
                <w:sz w:val="20"/>
              </w:rPr>
              <w:t>Kloster</w:t>
            </w:r>
          </w:p>
        </w:tc>
        <w:tc>
          <w:tcPr>
            <w:tcW w:w="422" w:type="dxa"/>
          </w:tcPr>
          <w:p>
            <w:pPr>
              <w:pStyle w:val="TableParagraph"/>
              <w:spacing w:line="210" w:lineRule="exact"/>
              <w:ind w:right="111"/>
              <w:jc w:val="right"/>
              <w:rPr>
                <w:sz w:val="20"/>
              </w:rPr>
            </w:pPr>
            <w:r>
              <w:rPr>
                <w:w w:val="99"/>
                <w:sz w:val="20"/>
              </w:rPr>
              <w:t>X</w:t>
            </w:r>
          </w:p>
        </w:tc>
        <w:tc>
          <w:tcPr>
            <w:tcW w:w="422" w:type="dxa"/>
          </w:tcPr>
          <w:p>
            <w:pPr>
              <w:pStyle w:val="TableParagraph"/>
              <w:rPr>
                <w:rFonts w:ascii="Times New Roman"/>
                <w:sz w:val="16"/>
              </w:rPr>
            </w:pPr>
          </w:p>
        </w:tc>
        <w:tc>
          <w:tcPr>
            <w:tcW w:w="424" w:type="dxa"/>
          </w:tcPr>
          <w:p>
            <w:pPr>
              <w:pStyle w:val="TableParagraph"/>
              <w:rPr>
                <w:rFonts w:ascii="Times New Roman"/>
                <w:sz w:val="16"/>
              </w:rPr>
            </w:pPr>
          </w:p>
        </w:tc>
        <w:tc>
          <w:tcPr>
            <w:tcW w:w="422" w:type="dxa"/>
          </w:tcPr>
          <w:p>
            <w:pPr>
              <w:pStyle w:val="TableParagraph"/>
              <w:rPr>
                <w:rFonts w:ascii="Times New Roman"/>
                <w:sz w:val="16"/>
              </w:rPr>
            </w:pPr>
          </w:p>
        </w:tc>
        <w:tc>
          <w:tcPr>
            <w:tcW w:w="422" w:type="dxa"/>
          </w:tcPr>
          <w:p>
            <w:pPr>
              <w:pStyle w:val="TableParagraph"/>
              <w:rPr>
                <w:rFonts w:ascii="Times New Roman"/>
                <w:sz w:val="16"/>
              </w:rPr>
            </w:pPr>
          </w:p>
        </w:tc>
        <w:tc>
          <w:tcPr>
            <w:tcW w:w="422" w:type="dxa"/>
          </w:tcPr>
          <w:p>
            <w:pPr>
              <w:pStyle w:val="TableParagraph"/>
              <w:rPr>
                <w:rFonts w:ascii="Times New Roman"/>
                <w:sz w:val="16"/>
              </w:rPr>
            </w:pPr>
          </w:p>
        </w:tc>
        <w:tc>
          <w:tcPr>
            <w:tcW w:w="424" w:type="dxa"/>
          </w:tcPr>
          <w:p>
            <w:pPr>
              <w:pStyle w:val="TableParagraph"/>
              <w:rPr>
                <w:rFonts w:ascii="Times New Roman"/>
                <w:sz w:val="16"/>
              </w:rPr>
            </w:pPr>
          </w:p>
        </w:tc>
        <w:tc>
          <w:tcPr>
            <w:tcW w:w="422" w:type="dxa"/>
          </w:tcPr>
          <w:p>
            <w:pPr>
              <w:pStyle w:val="TableParagraph"/>
              <w:spacing w:line="210" w:lineRule="exact"/>
              <w:ind w:left="166"/>
              <w:rPr>
                <w:sz w:val="20"/>
              </w:rPr>
            </w:pPr>
            <w:r>
              <w:rPr>
                <w:w w:val="99"/>
                <w:sz w:val="20"/>
              </w:rPr>
              <w:t>X</w:t>
            </w:r>
          </w:p>
        </w:tc>
        <w:tc>
          <w:tcPr>
            <w:tcW w:w="422" w:type="dxa"/>
          </w:tcPr>
          <w:p>
            <w:pPr>
              <w:pStyle w:val="TableParagraph"/>
              <w:rPr>
                <w:rFonts w:ascii="Times New Roman"/>
                <w:sz w:val="16"/>
              </w:rPr>
            </w:pPr>
          </w:p>
        </w:tc>
        <w:tc>
          <w:tcPr>
            <w:tcW w:w="422" w:type="dxa"/>
          </w:tcPr>
          <w:p>
            <w:pPr>
              <w:pStyle w:val="TableParagraph"/>
              <w:rPr>
                <w:rFonts w:ascii="Times New Roman"/>
                <w:sz w:val="16"/>
              </w:rPr>
            </w:pPr>
          </w:p>
        </w:tc>
        <w:tc>
          <w:tcPr>
            <w:tcW w:w="424" w:type="dxa"/>
          </w:tcPr>
          <w:p>
            <w:pPr>
              <w:pStyle w:val="TableParagraph"/>
              <w:rPr>
                <w:rFonts w:ascii="Times New Roman"/>
                <w:sz w:val="16"/>
              </w:rPr>
            </w:pPr>
          </w:p>
        </w:tc>
        <w:tc>
          <w:tcPr>
            <w:tcW w:w="422" w:type="dxa"/>
          </w:tcPr>
          <w:p>
            <w:pPr>
              <w:pStyle w:val="TableParagraph"/>
              <w:rPr>
                <w:rFonts w:ascii="Times New Roman"/>
                <w:sz w:val="16"/>
              </w:rPr>
            </w:pPr>
          </w:p>
        </w:tc>
        <w:tc>
          <w:tcPr>
            <w:tcW w:w="422" w:type="dxa"/>
          </w:tcPr>
          <w:p>
            <w:pPr>
              <w:pStyle w:val="TableParagraph"/>
              <w:rPr>
                <w:rFonts w:ascii="Times New Roman"/>
                <w:sz w:val="16"/>
              </w:rPr>
            </w:pPr>
          </w:p>
        </w:tc>
      </w:tr>
      <w:tr>
        <w:trPr>
          <w:trHeight w:val="229" w:hRule="atLeast"/>
        </w:trPr>
        <w:tc>
          <w:tcPr>
            <w:tcW w:w="3175" w:type="dxa"/>
          </w:tcPr>
          <w:p>
            <w:pPr>
              <w:pStyle w:val="TableParagraph"/>
              <w:spacing w:line="210" w:lineRule="exact"/>
              <w:ind w:left="331"/>
              <w:rPr>
                <w:sz w:val="20"/>
              </w:rPr>
            </w:pPr>
            <w:r>
              <w:rPr>
                <w:spacing w:val="-2"/>
                <w:sz w:val="20"/>
              </w:rPr>
              <w:t>Peronnet</w:t>
            </w:r>
          </w:p>
        </w:tc>
        <w:tc>
          <w:tcPr>
            <w:tcW w:w="422" w:type="dxa"/>
          </w:tcPr>
          <w:p>
            <w:pPr>
              <w:pStyle w:val="TableParagraph"/>
              <w:rPr>
                <w:rFonts w:ascii="Times New Roman"/>
                <w:sz w:val="16"/>
              </w:rPr>
            </w:pPr>
          </w:p>
        </w:tc>
        <w:tc>
          <w:tcPr>
            <w:tcW w:w="422" w:type="dxa"/>
          </w:tcPr>
          <w:p>
            <w:pPr>
              <w:pStyle w:val="TableParagraph"/>
              <w:rPr>
                <w:rFonts w:ascii="Times New Roman"/>
                <w:sz w:val="16"/>
              </w:rPr>
            </w:pPr>
          </w:p>
        </w:tc>
        <w:tc>
          <w:tcPr>
            <w:tcW w:w="424" w:type="dxa"/>
          </w:tcPr>
          <w:p>
            <w:pPr>
              <w:pStyle w:val="TableParagraph"/>
              <w:rPr>
                <w:rFonts w:ascii="Times New Roman"/>
                <w:sz w:val="16"/>
              </w:rPr>
            </w:pPr>
          </w:p>
        </w:tc>
        <w:tc>
          <w:tcPr>
            <w:tcW w:w="422" w:type="dxa"/>
          </w:tcPr>
          <w:p>
            <w:pPr>
              <w:pStyle w:val="TableParagraph"/>
              <w:rPr>
                <w:rFonts w:ascii="Times New Roman"/>
                <w:sz w:val="16"/>
              </w:rPr>
            </w:pPr>
          </w:p>
        </w:tc>
        <w:tc>
          <w:tcPr>
            <w:tcW w:w="422" w:type="dxa"/>
          </w:tcPr>
          <w:p>
            <w:pPr>
              <w:pStyle w:val="TableParagraph"/>
              <w:rPr>
                <w:rFonts w:ascii="Times New Roman"/>
                <w:sz w:val="16"/>
              </w:rPr>
            </w:pPr>
          </w:p>
        </w:tc>
        <w:tc>
          <w:tcPr>
            <w:tcW w:w="422" w:type="dxa"/>
          </w:tcPr>
          <w:p>
            <w:pPr>
              <w:pStyle w:val="TableParagraph"/>
              <w:rPr>
                <w:rFonts w:ascii="Times New Roman"/>
                <w:sz w:val="16"/>
              </w:rPr>
            </w:pPr>
          </w:p>
        </w:tc>
        <w:tc>
          <w:tcPr>
            <w:tcW w:w="424" w:type="dxa"/>
          </w:tcPr>
          <w:p>
            <w:pPr>
              <w:pStyle w:val="TableParagraph"/>
              <w:rPr>
                <w:rFonts w:ascii="Times New Roman"/>
                <w:sz w:val="16"/>
              </w:rPr>
            </w:pPr>
          </w:p>
        </w:tc>
        <w:tc>
          <w:tcPr>
            <w:tcW w:w="422" w:type="dxa"/>
          </w:tcPr>
          <w:p>
            <w:pPr>
              <w:pStyle w:val="TableParagraph"/>
              <w:rPr>
                <w:rFonts w:ascii="Times New Roman"/>
                <w:sz w:val="16"/>
              </w:rPr>
            </w:pPr>
          </w:p>
        </w:tc>
        <w:tc>
          <w:tcPr>
            <w:tcW w:w="422" w:type="dxa"/>
          </w:tcPr>
          <w:p>
            <w:pPr>
              <w:pStyle w:val="TableParagraph"/>
              <w:rPr>
                <w:rFonts w:ascii="Times New Roman"/>
                <w:sz w:val="16"/>
              </w:rPr>
            </w:pPr>
          </w:p>
        </w:tc>
        <w:tc>
          <w:tcPr>
            <w:tcW w:w="422" w:type="dxa"/>
          </w:tcPr>
          <w:p>
            <w:pPr>
              <w:pStyle w:val="TableParagraph"/>
              <w:rPr>
                <w:rFonts w:ascii="Times New Roman"/>
                <w:sz w:val="16"/>
              </w:rPr>
            </w:pPr>
          </w:p>
        </w:tc>
        <w:tc>
          <w:tcPr>
            <w:tcW w:w="424" w:type="dxa"/>
          </w:tcPr>
          <w:p>
            <w:pPr>
              <w:pStyle w:val="TableParagraph"/>
              <w:rPr>
                <w:rFonts w:ascii="Times New Roman"/>
                <w:sz w:val="16"/>
              </w:rPr>
            </w:pPr>
          </w:p>
        </w:tc>
        <w:tc>
          <w:tcPr>
            <w:tcW w:w="422" w:type="dxa"/>
          </w:tcPr>
          <w:p>
            <w:pPr>
              <w:pStyle w:val="TableParagraph"/>
              <w:spacing w:line="210" w:lineRule="exact"/>
              <w:ind w:right="108"/>
              <w:jc w:val="right"/>
              <w:rPr>
                <w:sz w:val="20"/>
              </w:rPr>
            </w:pPr>
            <w:r>
              <w:rPr>
                <w:w w:val="99"/>
                <w:sz w:val="20"/>
              </w:rPr>
              <w:t>X</w:t>
            </w:r>
          </w:p>
        </w:tc>
        <w:tc>
          <w:tcPr>
            <w:tcW w:w="422" w:type="dxa"/>
          </w:tcPr>
          <w:p>
            <w:pPr>
              <w:pStyle w:val="TableParagraph"/>
              <w:rPr>
                <w:rFonts w:ascii="Times New Roman"/>
                <w:sz w:val="16"/>
              </w:rPr>
            </w:pPr>
          </w:p>
        </w:tc>
      </w:tr>
      <w:tr>
        <w:trPr>
          <w:trHeight w:val="230" w:hRule="atLeast"/>
        </w:trPr>
        <w:tc>
          <w:tcPr>
            <w:tcW w:w="3175" w:type="dxa"/>
          </w:tcPr>
          <w:p>
            <w:pPr>
              <w:pStyle w:val="TableParagraph"/>
              <w:spacing w:line="210" w:lineRule="exact"/>
              <w:ind w:left="331"/>
              <w:rPr>
                <w:sz w:val="20"/>
              </w:rPr>
            </w:pPr>
            <w:r>
              <w:rPr>
                <w:spacing w:val="-2"/>
                <w:sz w:val="20"/>
              </w:rPr>
              <w:t>Sanchez</w:t>
            </w:r>
          </w:p>
        </w:tc>
        <w:tc>
          <w:tcPr>
            <w:tcW w:w="422" w:type="dxa"/>
          </w:tcPr>
          <w:p>
            <w:pPr>
              <w:pStyle w:val="TableParagraph"/>
              <w:rPr>
                <w:rFonts w:ascii="Times New Roman"/>
                <w:sz w:val="16"/>
              </w:rPr>
            </w:pPr>
          </w:p>
        </w:tc>
        <w:tc>
          <w:tcPr>
            <w:tcW w:w="422" w:type="dxa"/>
          </w:tcPr>
          <w:p>
            <w:pPr>
              <w:pStyle w:val="TableParagraph"/>
              <w:rPr>
                <w:rFonts w:ascii="Times New Roman"/>
                <w:sz w:val="16"/>
              </w:rPr>
            </w:pPr>
          </w:p>
        </w:tc>
        <w:tc>
          <w:tcPr>
            <w:tcW w:w="424" w:type="dxa"/>
          </w:tcPr>
          <w:p>
            <w:pPr>
              <w:pStyle w:val="TableParagraph"/>
              <w:rPr>
                <w:rFonts w:ascii="Times New Roman"/>
                <w:sz w:val="16"/>
              </w:rPr>
            </w:pPr>
          </w:p>
        </w:tc>
        <w:tc>
          <w:tcPr>
            <w:tcW w:w="422" w:type="dxa"/>
          </w:tcPr>
          <w:p>
            <w:pPr>
              <w:pStyle w:val="TableParagraph"/>
              <w:rPr>
                <w:rFonts w:ascii="Times New Roman"/>
                <w:sz w:val="16"/>
              </w:rPr>
            </w:pPr>
          </w:p>
        </w:tc>
        <w:tc>
          <w:tcPr>
            <w:tcW w:w="422" w:type="dxa"/>
          </w:tcPr>
          <w:p>
            <w:pPr>
              <w:pStyle w:val="TableParagraph"/>
              <w:rPr>
                <w:rFonts w:ascii="Times New Roman"/>
                <w:sz w:val="16"/>
              </w:rPr>
            </w:pPr>
          </w:p>
        </w:tc>
        <w:tc>
          <w:tcPr>
            <w:tcW w:w="422" w:type="dxa"/>
          </w:tcPr>
          <w:p>
            <w:pPr>
              <w:pStyle w:val="TableParagraph"/>
              <w:rPr>
                <w:rFonts w:ascii="Times New Roman"/>
                <w:sz w:val="16"/>
              </w:rPr>
            </w:pPr>
          </w:p>
        </w:tc>
        <w:tc>
          <w:tcPr>
            <w:tcW w:w="424" w:type="dxa"/>
          </w:tcPr>
          <w:p>
            <w:pPr>
              <w:pStyle w:val="TableParagraph"/>
              <w:rPr>
                <w:rFonts w:ascii="Times New Roman"/>
                <w:sz w:val="16"/>
              </w:rPr>
            </w:pPr>
          </w:p>
        </w:tc>
        <w:tc>
          <w:tcPr>
            <w:tcW w:w="422" w:type="dxa"/>
          </w:tcPr>
          <w:p>
            <w:pPr>
              <w:pStyle w:val="TableParagraph"/>
              <w:rPr>
                <w:rFonts w:ascii="Times New Roman"/>
                <w:sz w:val="16"/>
              </w:rPr>
            </w:pPr>
          </w:p>
        </w:tc>
        <w:tc>
          <w:tcPr>
            <w:tcW w:w="422" w:type="dxa"/>
          </w:tcPr>
          <w:p>
            <w:pPr>
              <w:pStyle w:val="TableParagraph"/>
              <w:rPr>
                <w:rFonts w:ascii="Times New Roman"/>
                <w:sz w:val="16"/>
              </w:rPr>
            </w:pPr>
          </w:p>
        </w:tc>
        <w:tc>
          <w:tcPr>
            <w:tcW w:w="422" w:type="dxa"/>
          </w:tcPr>
          <w:p>
            <w:pPr>
              <w:pStyle w:val="TableParagraph"/>
              <w:rPr>
                <w:rFonts w:ascii="Times New Roman"/>
                <w:sz w:val="16"/>
              </w:rPr>
            </w:pPr>
          </w:p>
        </w:tc>
        <w:tc>
          <w:tcPr>
            <w:tcW w:w="424" w:type="dxa"/>
          </w:tcPr>
          <w:p>
            <w:pPr>
              <w:pStyle w:val="TableParagraph"/>
              <w:rPr>
                <w:rFonts w:ascii="Times New Roman"/>
                <w:sz w:val="16"/>
              </w:rPr>
            </w:pPr>
          </w:p>
        </w:tc>
        <w:tc>
          <w:tcPr>
            <w:tcW w:w="422" w:type="dxa"/>
          </w:tcPr>
          <w:p>
            <w:pPr>
              <w:pStyle w:val="TableParagraph"/>
              <w:spacing w:line="210" w:lineRule="exact"/>
              <w:ind w:right="108"/>
              <w:jc w:val="right"/>
              <w:rPr>
                <w:sz w:val="20"/>
              </w:rPr>
            </w:pPr>
            <w:r>
              <w:rPr>
                <w:w w:val="99"/>
                <w:sz w:val="20"/>
              </w:rPr>
              <w:t>X</w:t>
            </w:r>
          </w:p>
        </w:tc>
        <w:tc>
          <w:tcPr>
            <w:tcW w:w="422" w:type="dxa"/>
          </w:tcPr>
          <w:p>
            <w:pPr>
              <w:pStyle w:val="TableParagraph"/>
              <w:spacing w:line="210" w:lineRule="exact"/>
              <w:ind w:left="171"/>
              <w:rPr>
                <w:sz w:val="20"/>
              </w:rPr>
            </w:pPr>
            <w:r>
              <w:rPr>
                <w:w w:val="99"/>
                <w:sz w:val="20"/>
              </w:rPr>
              <w:t>X</w:t>
            </w:r>
          </w:p>
        </w:tc>
      </w:tr>
      <w:tr>
        <w:trPr>
          <w:trHeight w:val="230" w:hRule="atLeast"/>
        </w:trPr>
        <w:tc>
          <w:tcPr>
            <w:tcW w:w="8667" w:type="dxa"/>
            <w:gridSpan w:val="14"/>
          </w:tcPr>
          <w:p>
            <w:pPr>
              <w:pStyle w:val="TableParagraph"/>
              <w:spacing w:line="210" w:lineRule="exact"/>
              <w:ind w:left="43"/>
              <w:rPr>
                <w:sz w:val="20"/>
              </w:rPr>
            </w:pPr>
            <w:r>
              <w:rPr>
                <w:sz w:val="20"/>
              </w:rPr>
              <w:t>Part</w:t>
            </w:r>
            <w:r>
              <w:rPr>
                <w:spacing w:val="-4"/>
                <w:sz w:val="20"/>
              </w:rPr>
              <w:t> </w:t>
            </w:r>
            <w:r>
              <w:rPr>
                <w:sz w:val="20"/>
              </w:rPr>
              <w:t>Time</w:t>
            </w:r>
            <w:r>
              <w:rPr>
                <w:spacing w:val="-4"/>
                <w:sz w:val="20"/>
              </w:rPr>
              <w:t> </w:t>
            </w:r>
            <w:r>
              <w:rPr>
                <w:spacing w:val="-2"/>
                <w:sz w:val="20"/>
              </w:rPr>
              <w:t>Faculty</w:t>
            </w:r>
          </w:p>
        </w:tc>
      </w:tr>
      <w:tr>
        <w:trPr>
          <w:trHeight w:val="229" w:hRule="atLeast"/>
        </w:trPr>
        <w:tc>
          <w:tcPr>
            <w:tcW w:w="3175" w:type="dxa"/>
          </w:tcPr>
          <w:p>
            <w:pPr>
              <w:pStyle w:val="TableParagraph"/>
              <w:spacing w:line="210" w:lineRule="exact"/>
              <w:ind w:left="331"/>
              <w:rPr>
                <w:sz w:val="20"/>
              </w:rPr>
            </w:pPr>
            <w:r>
              <w:rPr>
                <w:spacing w:val="-2"/>
                <w:sz w:val="20"/>
              </w:rPr>
              <w:t>Brown</w:t>
            </w:r>
          </w:p>
        </w:tc>
        <w:tc>
          <w:tcPr>
            <w:tcW w:w="422" w:type="dxa"/>
          </w:tcPr>
          <w:p>
            <w:pPr>
              <w:pStyle w:val="TableParagraph"/>
              <w:spacing w:line="210" w:lineRule="exact"/>
              <w:ind w:right="111"/>
              <w:jc w:val="right"/>
              <w:rPr>
                <w:sz w:val="20"/>
              </w:rPr>
            </w:pPr>
            <w:r>
              <w:rPr>
                <w:w w:val="99"/>
                <w:sz w:val="20"/>
              </w:rPr>
              <w:t>X</w:t>
            </w:r>
          </w:p>
        </w:tc>
        <w:tc>
          <w:tcPr>
            <w:tcW w:w="422" w:type="dxa"/>
          </w:tcPr>
          <w:p>
            <w:pPr>
              <w:pStyle w:val="TableParagraph"/>
              <w:rPr>
                <w:rFonts w:ascii="Times New Roman"/>
                <w:sz w:val="16"/>
              </w:rPr>
            </w:pPr>
          </w:p>
        </w:tc>
        <w:tc>
          <w:tcPr>
            <w:tcW w:w="424" w:type="dxa"/>
          </w:tcPr>
          <w:p>
            <w:pPr>
              <w:pStyle w:val="TableParagraph"/>
              <w:rPr>
                <w:rFonts w:ascii="Times New Roman"/>
                <w:sz w:val="16"/>
              </w:rPr>
            </w:pPr>
          </w:p>
        </w:tc>
        <w:tc>
          <w:tcPr>
            <w:tcW w:w="422" w:type="dxa"/>
          </w:tcPr>
          <w:p>
            <w:pPr>
              <w:pStyle w:val="TableParagraph"/>
              <w:rPr>
                <w:rFonts w:ascii="Times New Roman"/>
                <w:sz w:val="16"/>
              </w:rPr>
            </w:pPr>
          </w:p>
        </w:tc>
        <w:tc>
          <w:tcPr>
            <w:tcW w:w="422" w:type="dxa"/>
          </w:tcPr>
          <w:p>
            <w:pPr>
              <w:pStyle w:val="TableParagraph"/>
              <w:rPr>
                <w:rFonts w:ascii="Times New Roman"/>
                <w:sz w:val="16"/>
              </w:rPr>
            </w:pPr>
          </w:p>
        </w:tc>
        <w:tc>
          <w:tcPr>
            <w:tcW w:w="422" w:type="dxa"/>
          </w:tcPr>
          <w:p>
            <w:pPr>
              <w:pStyle w:val="TableParagraph"/>
              <w:rPr>
                <w:rFonts w:ascii="Times New Roman"/>
                <w:sz w:val="16"/>
              </w:rPr>
            </w:pPr>
          </w:p>
        </w:tc>
        <w:tc>
          <w:tcPr>
            <w:tcW w:w="424" w:type="dxa"/>
          </w:tcPr>
          <w:p>
            <w:pPr>
              <w:pStyle w:val="TableParagraph"/>
              <w:spacing w:line="210" w:lineRule="exact"/>
              <w:ind w:left="168"/>
              <w:rPr>
                <w:sz w:val="20"/>
              </w:rPr>
            </w:pPr>
            <w:r>
              <w:rPr>
                <w:w w:val="99"/>
                <w:sz w:val="20"/>
              </w:rPr>
              <w:t>X</w:t>
            </w:r>
          </w:p>
        </w:tc>
        <w:tc>
          <w:tcPr>
            <w:tcW w:w="422" w:type="dxa"/>
          </w:tcPr>
          <w:p>
            <w:pPr>
              <w:pStyle w:val="TableParagraph"/>
              <w:rPr>
                <w:rFonts w:ascii="Times New Roman"/>
                <w:sz w:val="16"/>
              </w:rPr>
            </w:pPr>
          </w:p>
        </w:tc>
        <w:tc>
          <w:tcPr>
            <w:tcW w:w="422" w:type="dxa"/>
          </w:tcPr>
          <w:p>
            <w:pPr>
              <w:pStyle w:val="TableParagraph"/>
              <w:rPr>
                <w:rFonts w:ascii="Times New Roman"/>
                <w:sz w:val="16"/>
              </w:rPr>
            </w:pPr>
          </w:p>
        </w:tc>
        <w:tc>
          <w:tcPr>
            <w:tcW w:w="422" w:type="dxa"/>
          </w:tcPr>
          <w:p>
            <w:pPr>
              <w:pStyle w:val="TableParagraph"/>
              <w:spacing w:line="210" w:lineRule="exact"/>
              <w:ind w:left="169"/>
              <w:rPr>
                <w:sz w:val="20"/>
              </w:rPr>
            </w:pPr>
            <w:r>
              <w:rPr>
                <w:w w:val="99"/>
                <w:sz w:val="20"/>
              </w:rPr>
              <w:t>X</w:t>
            </w:r>
          </w:p>
        </w:tc>
        <w:tc>
          <w:tcPr>
            <w:tcW w:w="424" w:type="dxa"/>
          </w:tcPr>
          <w:p>
            <w:pPr>
              <w:pStyle w:val="TableParagraph"/>
              <w:rPr>
                <w:rFonts w:ascii="Times New Roman"/>
                <w:sz w:val="16"/>
              </w:rPr>
            </w:pPr>
          </w:p>
        </w:tc>
        <w:tc>
          <w:tcPr>
            <w:tcW w:w="422" w:type="dxa"/>
          </w:tcPr>
          <w:p>
            <w:pPr>
              <w:pStyle w:val="TableParagraph"/>
              <w:rPr>
                <w:rFonts w:ascii="Times New Roman"/>
                <w:sz w:val="16"/>
              </w:rPr>
            </w:pPr>
          </w:p>
        </w:tc>
        <w:tc>
          <w:tcPr>
            <w:tcW w:w="422" w:type="dxa"/>
          </w:tcPr>
          <w:p>
            <w:pPr>
              <w:pStyle w:val="TableParagraph"/>
              <w:rPr>
                <w:rFonts w:ascii="Times New Roman"/>
                <w:sz w:val="16"/>
              </w:rPr>
            </w:pPr>
          </w:p>
        </w:tc>
      </w:tr>
      <w:tr>
        <w:trPr>
          <w:trHeight w:val="230" w:hRule="atLeast"/>
        </w:trPr>
        <w:tc>
          <w:tcPr>
            <w:tcW w:w="3175" w:type="dxa"/>
          </w:tcPr>
          <w:p>
            <w:pPr>
              <w:pStyle w:val="TableParagraph"/>
              <w:spacing w:line="210" w:lineRule="exact"/>
              <w:ind w:left="331"/>
              <w:rPr>
                <w:sz w:val="20"/>
              </w:rPr>
            </w:pPr>
            <w:r>
              <w:rPr>
                <w:spacing w:val="-2"/>
                <w:sz w:val="20"/>
              </w:rPr>
              <w:t>Gindroz</w:t>
            </w:r>
          </w:p>
        </w:tc>
        <w:tc>
          <w:tcPr>
            <w:tcW w:w="422" w:type="dxa"/>
          </w:tcPr>
          <w:p>
            <w:pPr>
              <w:pStyle w:val="TableParagraph"/>
              <w:rPr>
                <w:rFonts w:ascii="Times New Roman"/>
                <w:sz w:val="16"/>
              </w:rPr>
            </w:pPr>
          </w:p>
        </w:tc>
        <w:tc>
          <w:tcPr>
            <w:tcW w:w="422" w:type="dxa"/>
          </w:tcPr>
          <w:p>
            <w:pPr>
              <w:pStyle w:val="TableParagraph"/>
              <w:rPr>
                <w:rFonts w:ascii="Times New Roman"/>
                <w:sz w:val="16"/>
              </w:rPr>
            </w:pPr>
          </w:p>
        </w:tc>
        <w:tc>
          <w:tcPr>
            <w:tcW w:w="424" w:type="dxa"/>
          </w:tcPr>
          <w:p>
            <w:pPr>
              <w:pStyle w:val="TableParagraph"/>
              <w:rPr>
                <w:rFonts w:ascii="Times New Roman"/>
                <w:sz w:val="16"/>
              </w:rPr>
            </w:pPr>
          </w:p>
        </w:tc>
        <w:tc>
          <w:tcPr>
            <w:tcW w:w="422" w:type="dxa"/>
          </w:tcPr>
          <w:p>
            <w:pPr>
              <w:pStyle w:val="TableParagraph"/>
              <w:rPr>
                <w:rFonts w:ascii="Times New Roman"/>
                <w:sz w:val="16"/>
              </w:rPr>
            </w:pPr>
          </w:p>
        </w:tc>
        <w:tc>
          <w:tcPr>
            <w:tcW w:w="422" w:type="dxa"/>
          </w:tcPr>
          <w:p>
            <w:pPr>
              <w:pStyle w:val="TableParagraph"/>
              <w:rPr>
                <w:rFonts w:ascii="Times New Roman"/>
                <w:sz w:val="16"/>
              </w:rPr>
            </w:pPr>
          </w:p>
        </w:tc>
        <w:tc>
          <w:tcPr>
            <w:tcW w:w="422" w:type="dxa"/>
          </w:tcPr>
          <w:p>
            <w:pPr>
              <w:pStyle w:val="TableParagraph"/>
              <w:spacing w:line="210" w:lineRule="exact"/>
              <w:ind w:left="56"/>
              <w:jc w:val="center"/>
              <w:rPr>
                <w:sz w:val="20"/>
              </w:rPr>
            </w:pPr>
            <w:r>
              <w:rPr>
                <w:w w:val="99"/>
                <w:sz w:val="20"/>
              </w:rPr>
              <w:t>X</w:t>
            </w:r>
          </w:p>
        </w:tc>
        <w:tc>
          <w:tcPr>
            <w:tcW w:w="424" w:type="dxa"/>
          </w:tcPr>
          <w:p>
            <w:pPr>
              <w:pStyle w:val="TableParagraph"/>
              <w:rPr>
                <w:rFonts w:ascii="Times New Roman"/>
                <w:sz w:val="16"/>
              </w:rPr>
            </w:pPr>
          </w:p>
        </w:tc>
        <w:tc>
          <w:tcPr>
            <w:tcW w:w="422" w:type="dxa"/>
          </w:tcPr>
          <w:p>
            <w:pPr>
              <w:pStyle w:val="TableParagraph"/>
              <w:rPr>
                <w:rFonts w:ascii="Times New Roman"/>
                <w:sz w:val="16"/>
              </w:rPr>
            </w:pPr>
          </w:p>
        </w:tc>
        <w:tc>
          <w:tcPr>
            <w:tcW w:w="422" w:type="dxa"/>
          </w:tcPr>
          <w:p>
            <w:pPr>
              <w:pStyle w:val="TableParagraph"/>
              <w:rPr>
                <w:rFonts w:ascii="Times New Roman"/>
                <w:sz w:val="16"/>
              </w:rPr>
            </w:pPr>
          </w:p>
        </w:tc>
        <w:tc>
          <w:tcPr>
            <w:tcW w:w="422" w:type="dxa"/>
          </w:tcPr>
          <w:p>
            <w:pPr>
              <w:pStyle w:val="TableParagraph"/>
              <w:rPr>
                <w:rFonts w:ascii="Times New Roman"/>
                <w:sz w:val="16"/>
              </w:rPr>
            </w:pPr>
          </w:p>
        </w:tc>
        <w:tc>
          <w:tcPr>
            <w:tcW w:w="424" w:type="dxa"/>
          </w:tcPr>
          <w:p>
            <w:pPr>
              <w:pStyle w:val="TableParagraph"/>
              <w:rPr>
                <w:rFonts w:ascii="Times New Roman"/>
                <w:sz w:val="16"/>
              </w:rPr>
            </w:pPr>
          </w:p>
        </w:tc>
        <w:tc>
          <w:tcPr>
            <w:tcW w:w="422" w:type="dxa"/>
          </w:tcPr>
          <w:p>
            <w:pPr>
              <w:pStyle w:val="TableParagraph"/>
              <w:rPr>
                <w:rFonts w:ascii="Times New Roman"/>
                <w:sz w:val="16"/>
              </w:rPr>
            </w:pPr>
          </w:p>
        </w:tc>
        <w:tc>
          <w:tcPr>
            <w:tcW w:w="422" w:type="dxa"/>
          </w:tcPr>
          <w:p>
            <w:pPr>
              <w:pStyle w:val="TableParagraph"/>
              <w:rPr>
                <w:rFonts w:ascii="Times New Roman"/>
                <w:sz w:val="16"/>
              </w:rPr>
            </w:pPr>
          </w:p>
        </w:tc>
      </w:tr>
      <w:tr>
        <w:trPr>
          <w:trHeight w:val="230" w:hRule="atLeast"/>
        </w:trPr>
        <w:tc>
          <w:tcPr>
            <w:tcW w:w="3175" w:type="dxa"/>
          </w:tcPr>
          <w:p>
            <w:pPr>
              <w:pStyle w:val="TableParagraph"/>
              <w:spacing w:line="210" w:lineRule="exact"/>
              <w:ind w:left="331"/>
              <w:rPr>
                <w:sz w:val="20"/>
              </w:rPr>
            </w:pPr>
            <w:r>
              <w:rPr>
                <w:spacing w:val="-2"/>
                <w:sz w:val="20"/>
              </w:rPr>
              <w:t>Turner</w:t>
            </w:r>
          </w:p>
        </w:tc>
        <w:tc>
          <w:tcPr>
            <w:tcW w:w="422" w:type="dxa"/>
          </w:tcPr>
          <w:p>
            <w:pPr>
              <w:pStyle w:val="TableParagraph"/>
              <w:rPr>
                <w:rFonts w:ascii="Times New Roman"/>
                <w:sz w:val="16"/>
              </w:rPr>
            </w:pPr>
          </w:p>
        </w:tc>
        <w:tc>
          <w:tcPr>
            <w:tcW w:w="422" w:type="dxa"/>
          </w:tcPr>
          <w:p>
            <w:pPr>
              <w:pStyle w:val="TableParagraph"/>
              <w:rPr>
                <w:rFonts w:ascii="Times New Roman"/>
                <w:sz w:val="16"/>
              </w:rPr>
            </w:pPr>
          </w:p>
        </w:tc>
        <w:tc>
          <w:tcPr>
            <w:tcW w:w="424" w:type="dxa"/>
          </w:tcPr>
          <w:p>
            <w:pPr>
              <w:pStyle w:val="TableParagraph"/>
              <w:rPr>
                <w:rFonts w:ascii="Times New Roman"/>
                <w:sz w:val="16"/>
              </w:rPr>
            </w:pPr>
          </w:p>
        </w:tc>
        <w:tc>
          <w:tcPr>
            <w:tcW w:w="422" w:type="dxa"/>
          </w:tcPr>
          <w:p>
            <w:pPr>
              <w:pStyle w:val="TableParagraph"/>
              <w:spacing w:line="210" w:lineRule="exact"/>
              <w:ind w:left="167"/>
              <w:rPr>
                <w:sz w:val="20"/>
              </w:rPr>
            </w:pPr>
            <w:r>
              <w:rPr>
                <w:w w:val="99"/>
                <w:sz w:val="20"/>
              </w:rPr>
              <w:t>X</w:t>
            </w:r>
          </w:p>
        </w:tc>
        <w:tc>
          <w:tcPr>
            <w:tcW w:w="422" w:type="dxa"/>
          </w:tcPr>
          <w:p>
            <w:pPr>
              <w:pStyle w:val="TableParagraph"/>
              <w:rPr>
                <w:rFonts w:ascii="Times New Roman"/>
                <w:sz w:val="16"/>
              </w:rPr>
            </w:pPr>
          </w:p>
        </w:tc>
        <w:tc>
          <w:tcPr>
            <w:tcW w:w="422" w:type="dxa"/>
          </w:tcPr>
          <w:p>
            <w:pPr>
              <w:pStyle w:val="TableParagraph"/>
              <w:rPr>
                <w:rFonts w:ascii="Times New Roman"/>
                <w:sz w:val="16"/>
              </w:rPr>
            </w:pPr>
          </w:p>
        </w:tc>
        <w:tc>
          <w:tcPr>
            <w:tcW w:w="424" w:type="dxa"/>
          </w:tcPr>
          <w:p>
            <w:pPr>
              <w:pStyle w:val="TableParagraph"/>
              <w:rPr>
                <w:rFonts w:ascii="Times New Roman"/>
                <w:sz w:val="16"/>
              </w:rPr>
            </w:pPr>
          </w:p>
        </w:tc>
        <w:tc>
          <w:tcPr>
            <w:tcW w:w="422" w:type="dxa"/>
          </w:tcPr>
          <w:p>
            <w:pPr>
              <w:pStyle w:val="TableParagraph"/>
              <w:rPr>
                <w:rFonts w:ascii="Times New Roman"/>
                <w:sz w:val="16"/>
              </w:rPr>
            </w:pPr>
          </w:p>
        </w:tc>
        <w:tc>
          <w:tcPr>
            <w:tcW w:w="422" w:type="dxa"/>
          </w:tcPr>
          <w:p>
            <w:pPr>
              <w:pStyle w:val="TableParagraph"/>
              <w:spacing w:line="210" w:lineRule="exact"/>
              <w:ind w:left="60"/>
              <w:jc w:val="center"/>
              <w:rPr>
                <w:sz w:val="20"/>
              </w:rPr>
            </w:pPr>
            <w:r>
              <w:rPr>
                <w:w w:val="99"/>
                <w:sz w:val="20"/>
              </w:rPr>
              <w:t>X</w:t>
            </w:r>
          </w:p>
        </w:tc>
        <w:tc>
          <w:tcPr>
            <w:tcW w:w="422" w:type="dxa"/>
          </w:tcPr>
          <w:p>
            <w:pPr>
              <w:pStyle w:val="TableParagraph"/>
              <w:rPr>
                <w:rFonts w:ascii="Times New Roman"/>
                <w:sz w:val="16"/>
              </w:rPr>
            </w:pPr>
          </w:p>
        </w:tc>
        <w:tc>
          <w:tcPr>
            <w:tcW w:w="424" w:type="dxa"/>
          </w:tcPr>
          <w:p>
            <w:pPr>
              <w:pStyle w:val="TableParagraph"/>
              <w:rPr>
                <w:rFonts w:ascii="Times New Roman"/>
                <w:sz w:val="16"/>
              </w:rPr>
            </w:pPr>
          </w:p>
        </w:tc>
        <w:tc>
          <w:tcPr>
            <w:tcW w:w="422" w:type="dxa"/>
          </w:tcPr>
          <w:p>
            <w:pPr>
              <w:pStyle w:val="TableParagraph"/>
              <w:rPr>
                <w:rFonts w:ascii="Times New Roman"/>
                <w:sz w:val="16"/>
              </w:rPr>
            </w:pPr>
          </w:p>
        </w:tc>
        <w:tc>
          <w:tcPr>
            <w:tcW w:w="422" w:type="dxa"/>
          </w:tcPr>
          <w:p>
            <w:pPr>
              <w:pStyle w:val="TableParagraph"/>
              <w:rPr>
                <w:rFonts w:ascii="Times New Roman"/>
                <w:sz w:val="16"/>
              </w:rPr>
            </w:pPr>
          </w:p>
        </w:tc>
      </w:tr>
    </w:tbl>
    <w:p>
      <w:pPr>
        <w:pStyle w:val="BodyText"/>
        <w:spacing w:before="7"/>
        <w:rPr>
          <w:b/>
          <w:sz w:val="31"/>
        </w:rPr>
      </w:pPr>
    </w:p>
    <w:p>
      <w:pPr>
        <w:pStyle w:val="ListParagraph"/>
        <w:numPr>
          <w:ilvl w:val="0"/>
          <w:numId w:val="23"/>
        </w:numPr>
        <w:tabs>
          <w:tab w:pos="632" w:val="left" w:leader="none"/>
        </w:tabs>
        <w:spacing w:line="276" w:lineRule="auto" w:before="0" w:after="0"/>
        <w:ind w:left="500" w:right="582" w:firstLine="0"/>
        <w:jc w:val="left"/>
        <w:rPr>
          <w:sz w:val="20"/>
        </w:rPr>
      </w:pPr>
      <w:r>
        <w:rPr>
          <w:sz w:val="20"/>
        </w:rPr>
        <w:t>Professor</w:t>
      </w:r>
      <w:r>
        <w:rPr>
          <w:spacing w:val="-3"/>
          <w:sz w:val="20"/>
        </w:rPr>
        <w:t> </w:t>
      </w:r>
      <w:r>
        <w:rPr>
          <w:sz w:val="20"/>
        </w:rPr>
        <w:t>Peronnet</w:t>
      </w:r>
      <w:r>
        <w:rPr>
          <w:spacing w:val="-4"/>
          <w:sz w:val="20"/>
        </w:rPr>
        <w:t> </w:t>
      </w:r>
      <w:r>
        <w:rPr>
          <w:sz w:val="20"/>
        </w:rPr>
        <w:t>taught</w:t>
      </w:r>
      <w:r>
        <w:rPr>
          <w:spacing w:val="-4"/>
          <w:sz w:val="20"/>
        </w:rPr>
        <w:t> </w:t>
      </w:r>
      <w:r>
        <w:rPr>
          <w:sz w:val="20"/>
        </w:rPr>
        <w:t>a</w:t>
      </w:r>
      <w:r>
        <w:rPr>
          <w:spacing w:val="-4"/>
          <w:sz w:val="20"/>
        </w:rPr>
        <w:t> </w:t>
      </w:r>
      <w:r>
        <w:rPr>
          <w:sz w:val="20"/>
        </w:rPr>
        <w:t>parallel</w:t>
      </w:r>
      <w:r>
        <w:rPr>
          <w:spacing w:val="-5"/>
          <w:sz w:val="20"/>
        </w:rPr>
        <w:t> </w:t>
      </w:r>
      <w:r>
        <w:rPr>
          <w:sz w:val="20"/>
        </w:rPr>
        <w:t>track of</w:t>
      </w:r>
      <w:r>
        <w:rPr>
          <w:spacing w:val="-2"/>
          <w:sz w:val="20"/>
        </w:rPr>
        <w:t> </w:t>
      </w:r>
      <w:r>
        <w:rPr>
          <w:sz w:val="20"/>
        </w:rPr>
        <w:t>ARC</w:t>
      </w:r>
      <w:r>
        <w:rPr>
          <w:spacing w:val="-4"/>
          <w:sz w:val="20"/>
        </w:rPr>
        <w:t> </w:t>
      </w:r>
      <w:r>
        <w:rPr>
          <w:sz w:val="20"/>
        </w:rPr>
        <w:t>601</w:t>
      </w:r>
      <w:r>
        <w:rPr>
          <w:spacing w:val="-4"/>
          <w:sz w:val="20"/>
        </w:rPr>
        <w:t> </w:t>
      </w:r>
      <w:r>
        <w:rPr>
          <w:sz w:val="20"/>
        </w:rPr>
        <w:t>for</w:t>
      </w:r>
      <w:r>
        <w:rPr>
          <w:spacing w:val="-3"/>
          <w:sz w:val="20"/>
        </w:rPr>
        <w:t> </w:t>
      </w:r>
      <w:r>
        <w:rPr>
          <w:sz w:val="20"/>
        </w:rPr>
        <w:t>the</w:t>
      </w:r>
      <w:r>
        <w:rPr>
          <w:spacing w:val="-4"/>
          <w:sz w:val="20"/>
        </w:rPr>
        <w:t> </w:t>
      </w:r>
      <w:r>
        <w:rPr>
          <w:sz w:val="20"/>
        </w:rPr>
        <w:t>students</w:t>
      </w:r>
      <w:r>
        <w:rPr>
          <w:spacing w:val="-3"/>
          <w:sz w:val="20"/>
        </w:rPr>
        <w:t> </w:t>
      </w:r>
      <w:r>
        <w:rPr>
          <w:sz w:val="20"/>
        </w:rPr>
        <w:t>selected</w:t>
      </w:r>
      <w:r>
        <w:rPr>
          <w:spacing w:val="-2"/>
          <w:sz w:val="20"/>
        </w:rPr>
        <w:t> </w:t>
      </w:r>
      <w:r>
        <w:rPr>
          <w:sz w:val="20"/>
        </w:rPr>
        <w:t>to</w:t>
      </w:r>
      <w:r>
        <w:rPr>
          <w:spacing w:val="-4"/>
          <w:sz w:val="20"/>
        </w:rPr>
        <w:t> </w:t>
      </w:r>
      <w:r>
        <w:rPr>
          <w:sz w:val="20"/>
        </w:rPr>
        <w:t>compete</w:t>
      </w:r>
      <w:r>
        <w:rPr>
          <w:spacing w:val="-4"/>
          <w:sz w:val="20"/>
        </w:rPr>
        <w:t> </w:t>
      </w:r>
      <w:r>
        <w:rPr>
          <w:sz w:val="20"/>
        </w:rPr>
        <w:t>in</w:t>
      </w:r>
      <w:r>
        <w:rPr>
          <w:spacing w:val="-2"/>
          <w:sz w:val="20"/>
        </w:rPr>
        <w:t> </w:t>
      </w:r>
      <w:r>
        <w:rPr>
          <w:sz w:val="20"/>
        </w:rPr>
        <w:t>the</w:t>
      </w:r>
      <w:r>
        <w:rPr>
          <w:spacing w:val="-2"/>
          <w:sz w:val="20"/>
        </w:rPr>
        <w:t> </w:t>
      </w:r>
      <w:r>
        <w:rPr>
          <w:sz w:val="20"/>
        </w:rPr>
        <w:t>Solar </w:t>
      </w:r>
      <w:r>
        <w:rPr>
          <w:spacing w:val="-2"/>
          <w:sz w:val="20"/>
        </w:rPr>
        <w:t>Decathlon.</w:t>
      </w:r>
    </w:p>
    <w:p>
      <w:pPr>
        <w:spacing w:after="0" w:line="276" w:lineRule="auto"/>
        <w:jc w:val="left"/>
        <w:rPr>
          <w:sz w:val="20"/>
        </w:rPr>
        <w:sectPr>
          <w:headerReference w:type="default" r:id="rId10"/>
          <w:footerReference w:type="default" r:id="rId11"/>
          <w:pgSz w:w="12240" w:h="15840"/>
          <w:pgMar w:header="1442" w:footer="974" w:top="1660" w:bottom="1160" w:left="940" w:right="960"/>
        </w:sectPr>
      </w:pPr>
    </w:p>
    <w:p>
      <w:pPr>
        <w:pStyle w:val="BodyText"/>
        <w:spacing w:before="10"/>
        <w:rPr>
          <w:sz w:val="10"/>
        </w:rPr>
      </w:pPr>
    </w:p>
    <w:tbl>
      <w:tblPr>
        <w:tblW w:w="0" w:type="auto"/>
        <w:jc w:val="left"/>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89"/>
        <w:gridCol w:w="415"/>
        <w:gridCol w:w="413"/>
        <w:gridCol w:w="415"/>
        <w:gridCol w:w="413"/>
        <w:gridCol w:w="415"/>
        <w:gridCol w:w="413"/>
        <w:gridCol w:w="413"/>
        <w:gridCol w:w="413"/>
        <w:gridCol w:w="413"/>
        <w:gridCol w:w="413"/>
        <w:gridCol w:w="413"/>
        <w:gridCol w:w="413"/>
        <w:gridCol w:w="413"/>
        <w:gridCol w:w="413"/>
      </w:tblGrid>
      <w:tr>
        <w:trPr>
          <w:trHeight w:val="1348" w:hRule="atLeast"/>
        </w:trPr>
        <w:tc>
          <w:tcPr>
            <w:tcW w:w="3389" w:type="dxa"/>
          </w:tcPr>
          <w:p>
            <w:pPr>
              <w:pStyle w:val="TableParagraph"/>
              <w:rPr>
                <w:rFonts w:ascii="Times New Roman"/>
                <w:sz w:val="18"/>
              </w:rPr>
            </w:pPr>
          </w:p>
        </w:tc>
        <w:tc>
          <w:tcPr>
            <w:tcW w:w="415" w:type="dxa"/>
            <w:textDirection w:val="btLr"/>
          </w:tcPr>
          <w:p>
            <w:pPr>
              <w:pStyle w:val="TableParagraph"/>
              <w:spacing w:before="102"/>
              <w:ind w:left="112"/>
              <w:rPr>
                <w:sz w:val="18"/>
              </w:rPr>
            </w:pPr>
            <w:r>
              <w:rPr>
                <w:sz w:val="18"/>
              </w:rPr>
              <w:t>ARC</w:t>
            </w:r>
            <w:r>
              <w:rPr>
                <w:spacing w:val="-5"/>
                <w:sz w:val="18"/>
              </w:rPr>
              <w:t> 102</w:t>
            </w:r>
          </w:p>
        </w:tc>
        <w:tc>
          <w:tcPr>
            <w:tcW w:w="413" w:type="dxa"/>
            <w:textDirection w:val="btLr"/>
          </w:tcPr>
          <w:p>
            <w:pPr>
              <w:pStyle w:val="TableParagraph"/>
              <w:spacing w:before="102"/>
              <w:ind w:left="112"/>
              <w:rPr>
                <w:sz w:val="18"/>
              </w:rPr>
            </w:pPr>
            <w:r>
              <w:rPr>
                <w:sz w:val="18"/>
              </w:rPr>
              <w:t>ARC</w:t>
            </w:r>
            <w:r>
              <w:rPr>
                <w:spacing w:val="-5"/>
                <w:sz w:val="18"/>
              </w:rPr>
              <w:t> 202</w:t>
            </w:r>
          </w:p>
        </w:tc>
        <w:tc>
          <w:tcPr>
            <w:tcW w:w="415" w:type="dxa"/>
            <w:textDirection w:val="btLr"/>
          </w:tcPr>
          <w:p>
            <w:pPr>
              <w:pStyle w:val="TableParagraph"/>
              <w:spacing w:before="102"/>
              <w:ind w:left="112"/>
              <w:rPr>
                <w:sz w:val="18"/>
              </w:rPr>
            </w:pPr>
            <w:r>
              <w:rPr>
                <w:sz w:val="18"/>
              </w:rPr>
              <w:t>ARC</w:t>
            </w:r>
            <w:r>
              <w:rPr>
                <w:spacing w:val="-5"/>
                <w:sz w:val="18"/>
              </w:rPr>
              <w:t> 204</w:t>
            </w:r>
          </w:p>
        </w:tc>
        <w:tc>
          <w:tcPr>
            <w:tcW w:w="413" w:type="dxa"/>
            <w:textDirection w:val="btLr"/>
          </w:tcPr>
          <w:p>
            <w:pPr>
              <w:pStyle w:val="TableParagraph"/>
              <w:spacing w:before="102"/>
              <w:ind w:left="112"/>
              <w:rPr>
                <w:sz w:val="18"/>
              </w:rPr>
            </w:pPr>
            <w:r>
              <w:rPr>
                <w:sz w:val="18"/>
              </w:rPr>
              <w:t>ARC</w:t>
            </w:r>
            <w:r>
              <w:rPr>
                <w:spacing w:val="-5"/>
                <w:sz w:val="18"/>
              </w:rPr>
              <w:t> 207</w:t>
            </w:r>
          </w:p>
        </w:tc>
        <w:tc>
          <w:tcPr>
            <w:tcW w:w="415" w:type="dxa"/>
            <w:textDirection w:val="btLr"/>
          </w:tcPr>
          <w:p>
            <w:pPr>
              <w:pStyle w:val="TableParagraph"/>
              <w:spacing w:before="102"/>
              <w:ind w:left="113"/>
              <w:rPr>
                <w:sz w:val="18"/>
              </w:rPr>
            </w:pPr>
            <w:r>
              <w:rPr>
                <w:sz w:val="18"/>
              </w:rPr>
              <w:t>ARC</w:t>
            </w:r>
            <w:r>
              <w:rPr>
                <w:spacing w:val="-5"/>
                <w:sz w:val="18"/>
              </w:rPr>
              <w:t> 315</w:t>
            </w:r>
          </w:p>
        </w:tc>
        <w:tc>
          <w:tcPr>
            <w:tcW w:w="413" w:type="dxa"/>
            <w:textDirection w:val="btLr"/>
          </w:tcPr>
          <w:p>
            <w:pPr>
              <w:pStyle w:val="TableParagraph"/>
              <w:spacing w:before="99"/>
              <w:ind w:left="113"/>
              <w:rPr>
                <w:sz w:val="18"/>
              </w:rPr>
            </w:pPr>
            <w:r>
              <w:rPr>
                <w:sz w:val="18"/>
              </w:rPr>
              <w:t>ARC</w:t>
            </w:r>
            <w:r>
              <w:rPr>
                <w:spacing w:val="-5"/>
                <w:sz w:val="18"/>
              </w:rPr>
              <w:t> 304</w:t>
            </w:r>
          </w:p>
        </w:tc>
        <w:tc>
          <w:tcPr>
            <w:tcW w:w="413" w:type="dxa"/>
            <w:textDirection w:val="btLr"/>
          </w:tcPr>
          <w:p>
            <w:pPr>
              <w:pStyle w:val="TableParagraph"/>
              <w:spacing w:before="99"/>
              <w:ind w:left="113"/>
              <w:rPr>
                <w:sz w:val="18"/>
              </w:rPr>
            </w:pPr>
            <w:r>
              <w:rPr>
                <w:sz w:val="18"/>
              </w:rPr>
              <w:t>ARC</w:t>
            </w:r>
            <w:r>
              <w:rPr>
                <w:spacing w:val="-5"/>
                <w:sz w:val="18"/>
              </w:rPr>
              <w:t> 309</w:t>
            </w:r>
          </w:p>
        </w:tc>
        <w:tc>
          <w:tcPr>
            <w:tcW w:w="413" w:type="dxa"/>
            <w:textDirection w:val="btLr"/>
          </w:tcPr>
          <w:p>
            <w:pPr>
              <w:pStyle w:val="TableParagraph"/>
              <w:spacing w:before="99"/>
              <w:ind w:left="113"/>
              <w:rPr>
                <w:sz w:val="18"/>
              </w:rPr>
            </w:pPr>
            <w:r>
              <w:rPr>
                <w:sz w:val="18"/>
              </w:rPr>
              <w:t>ARC</w:t>
            </w:r>
            <w:r>
              <w:rPr>
                <w:spacing w:val="-5"/>
                <w:sz w:val="18"/>
              </w:rPr>
              <w:t> 310</w:t>
            </w:r>
          </w:p>
        </w:tc>
        <w:tc>
          <w:tcPr>
            <w:tcW w:w="413" w:type="dxa"/>
            <w:textDirection w:val="btLr"/>
          </w:tcPr>
          <w:p>
            <w:pPr>
              <w:pStyle w:val="TableParagraph"/>
              <w:spacing w:before="101"/>
              <w:ind w:left="113"/>
              <w:rPr>
                <w:sz w:val="18"/>
              </w:rPr>
            </w:pPr>
            <w:r>
              <w:rPr>
                <w:sz w:val="18"/>
              </w:rPr>
              <w:t>ARC</w:t>
            </w:r>
            <w:r>
              <w:rPr>
                <w:spacing w:val="-5"/>
                <w:sz w:val="18"/>
              </w:rPr>
              <w:t> 317</w:t>
            </w:r>
          </w:p>
        </w:tc>
        <w:tc>
          <w:tcPr>
            <w:tcW w:w="413" w:type="dxa"/>
            <w:textDirection w:val="btLr"/>
          </w:tcPr>
          <w:p>
            <w:pPr>
              <w:pStyle w:val="TableParagraph"/>
              <w:spacing w:before="101"/>
              <w:ind w:left="113"/>
              <w:rPr>
                <w:sz w:val="18"/>
              </w:rPr>
            </w:pPr>
            <w:r>
              <w:rPr>
                <w:sz w:val="18"/>
              </w:rPr>
              <w:t>ARC</w:t>
            </w:r>
            <w:r>
              <w:rPr>
                <w:spacing w:val="-5"/>
                <w:sz w:val="18"/>
              </w:rPr>
              <w:t> 406</w:t>
            </w:r>
          </w:p>
        </w:tc>
        <w:tc>
          <w:tcPr>
            <w:tcW w:w="413" w:type="dxa"/>
            <w:textDirection w:val="btLr"/>
          </w:tcPr>
          <w:p>
            <w:pPr>
              <w:pStyle w:val="TableParagraph"/>
              <w:spacing w:before="101"/>
              <w:ind w:left="114"/>
              <w:rPr>
                <w:sz w:val="18"/>
              </w:rPr>
            </w:pPr>
            <w:r>
              <w:rPr>
                <w:sz w:val="18"/>
              </w:rPr>
              <w:t>ARC</w:t>
            </w:r>
            <w:r>
              <w:rPr>
                <w:spacing w:val="-5"/>
                <w:sz w:val="18"/>
              </w:rPr>
              <w:t> 411</w:t>
            </w:r>
          </w:p>
        </w:tc>
        <w:tc>
          <w:tcPr>
            <w:tcW w:w="413" w:type="dxa"/>
            <w:textDirection w:val="btLr"/>
          </w:tcPr>
          <w:p>
            <w:pPr>
              <w:pStyle w:val="TableParagraph"/>
              <w:spacing w:before="100"/>
              <w:ind w:left="114"/>
              <w:rPr>
                <w:sz w:val="18"/>
              </w:rPr>
            </w:pPr>
            <w:r>
              <w:rPr>
                <w:sz w:val="18"/>
              </w:rPr>
              <w:t>ARC</w:t>
            </w:r>
            <w:r>
              <w:rPr>
                <w:spacing w:val="-5"/>
                <w:sz w:val="18"/>
              </w:rPr>
              <w:t> 518</w:t>
            </w:r>
          </w:p>
        </w:tc>
        <w:tc>
          <w:tcPr>
            <w:tcW w:w="413" w:type="dxa"/>
            <w:textDirection w:val="btLr"/>
          </w:tcPr>
          <w:p>
            <w:pPr>
              <w:pStyle w:val="TableParagraph"/>
              <w:spacing w:before="100"/>
              <w:ind w:left="114"/>
              <w:rPr>
                <w:sz w:val="18"/>
              </w:rPr>
            </w:pPr>
            <w:r>
              <w:rPr>
                <w:sz w:val="18"/>
              </w:rPr>
              <w:t>ARC</w:t>
            </w:r>
            <w:r>
              <w:rPr>
                <w:spacing w:val="-5"/>
                <w:sz w:val="18"/>
              </w:rPr>
              <w:t> 602</w:t>
            </w:r>
          </w:p>
        </w:tc>
        <w:tc>
          <w:tcPr>
            <w:tcW w:w="413" w:type="dxa"/>
            <w:textDirection w:val="btLr"/>
          </w:tcPr>
          <w:p>
            <w:pPr>
              <w:pStyle w:val="TableParagraph"/>
              <w:spacing w:before="100"/>
              <w:ind w:left="114"/>
              <w:rPr>
                <w:sz w:val="18"/>
              </w:rPr>
            </w:pPr>
            <w:r>
              <w:rPr>
                <w:sz w:val="18"/>
              </w:rPr>
              <w:t>ARC</w:t>
            </w:r>
            <w:r>
              <w:rPr>
                <w:spacing w:val="-5"/>
                <w:sz w:val="18"/>
              </w:rPr>
              <w:t> 617</w:t>
            </w:r>
          </w:p>
        </w:tc>
      </w:tr>
      <w:tr>
        <w:trPr>
          <w:trHeight w:val="230" w:hRule="atLeast"/>
        </w:trPr>
        <w:tc>
          <w:tcPr>
            <w:tcW w:w="9177" w:type="dxa"/>
            <w:gridSpan w:val="15"/>
          </w:tcPr>
          <w:p>
            <w:pPr>
              <w:pStyle w:val="TableParagraph"/>
              <w:spacing w:line="210" w:lineRule="exact"/>
              <w:ind w:left="43"/>
              <w:rPr>
                <w:sz w:val="20"/>
              </w:rPr>
            </w:pPr>
            <w:r>
              <w:rPr>
                <w:sz w:val="20"/>
              </w:rPr>
              <w:t>Full</w:t>
            </w:r>
            <w:r>
              <w:rPr>
                <w:spacing w:val="-5"/>
                <w:sz w:val="20"/>
              </w:rPr>
              <w:t> </w:t>
            </w:r>
            <w:r>
              <w:rPr>
                <w:sz w:val="20"/>
              </w:rPr>
              <w:t>Time</w:t>
            </w:r>
            <w:r>
              <w:rPr>
                <w:spacing w:val="-4"/>
                <w:sz w:val="20"/>
              </w:rPr>
              <w:t> </w:t>
            </w:r>
            <w:r>
              <w:rPr>
                <w:spacing w:val="-2"/>
                <w:sz w:val="20"/>
              </w:rPr>
              <w:t>Faculty</w:t>
            </w:r>
          </w:p>
        </w:tc>
      </w:tr>
      <w:tr>
        <w:trPr>
          <w:trHeight w:val="230" w:hRule="atLeast"/>
        </w:trPr>
        <w:tc>
          <w:tcPr>
            <w:tcW w:w="3389" w:type="dxa"/>
          </w:tcPr>
          <w:p>
            <w:pPr>
              <w:pStyle w:val="TableParagraph"/>
              <w:spacing w:line="210" w:lineRule="exact"/>
              <w:ind w:left="331"/>
              <w:rPr>
                <w:sz w:val="20"/>
              </w:rPr>
            </w:pPr>
            <w:r>
              <w:rPr>
                <w:spacing w:val="-2"/>
                <w:sz w:val="20"/>
              </w:rPr>
              <w:t>Andrews</w:t>
            </w:r>
          </w:p>
        </w:tc>
        <w:tc>
          <w:tcPr>
            <w:tcW w:w="415" w:type="dxa"/>
          </w:tcPr>
          <w:p>
            <w:pPr>
              <w:pStyle w:val="TableParagraph"/>
              <w:rPr>
                <w:rFonts w:ascii="Times New Roman"/>
                <w:sz w:val="16"/>
              </w:rPr>
            </w:pPr>
          </w:p>
        </w:tc>
        <w:tc>
          <w:tcPr>
            <w:tcW w:w="413" w:type="dxa"/>
          </w:tcPr>
          <w:p>
            <w:pPr>
              <w:pStyle w:val="TableParagraph"/>
              <w:rPr>
                <w:rFonts w:ascii="Times New Roman"/>
                <w:sz w:val="16"/>
              </w:rPr>
            </w:pPr>
          </w:p>
        </w:tc>
        <w:tc>
          <w:tcPr>
            <w:tcW w:w="415" w:type="dxa"/>
          </w:tcPr>
          <w:p>
            <w:pPr>
              <w:pStyle w:val="TableParagraph"/>
              <w:rPr>
                <w:rFonts w:ascii="Times New Roman"/>
                <w:sz w:val="16"/>
              </w:rPr>
            </w:pPr>
          </w:p>
        </w:tc>
        <w:tc>
          <w:tcPr>
            <w:tcW w:w="413" w:type="dxa"/>
          </w:tcPr>
          <w:p>
            <w:pPr>
              <w:pStyle w:val="TableParagraph"/>
              <w:rPr>
                <w:rFonts w:ascii="Times New Roman"/>
                <w:sz w:val="16"/>
              </w:rPr>
            </w:pPr>
          </w:p>
        </w:tc>
        <w:tc>
          <w:tcPr>
            <w:tcW w:w="415" w:type="dxa"/>
          </w:tcPr>
          <w:p>
            <w:pPr>
              <w:pStyle w:val="TableParagraph"/>
              <w:rPr>
                <w:rFonts w:ascii="Times New Roman"/>
                <w:sz w:val="16"/>
              </w:rPr>
            </w:pPr>
          </w:p>
        </w:tc>
        <w:tc>
          <w:tcPr>
            <w:tcW w:w="413" w:type="dxa"/>
          </w:tcPr>
          <w:p>
            <w:pPr>
              <w:pStyle w:val="TableParagraph"/>
              <w:spacing w:line="210" w:lineRule="exact"/>
              <w:ind w:left="46"/>
              <w:jc w:val="center"/>
              <w:rPr>
                <w:sz w:val="20"/>
              </w:rPr>
            </w:pPr>
            <w:r>
              <w:rPr>
                <w:w w:val="99"/>
                <w:sz w:val="20"/>
              </w:rPr>
              <w:t>X</w:t>
            </w: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spacing w:line="210" w:lineRule="exact"/>
              <w:ind w:right="108"/>
              <w:jc w:val="right"/>
              <w:rPr>
                <w:sz w:val="20"/>
              </w:rPr>
            </w:pPr>
            <w:r>
              <w:rPr>
                <w:w w:val="99"/>
                <w:sz w:val="20"/>
              </w:rPr>
              <w:t>X</w:t>
            </w: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r>
      <w:tr>
        <w:trPr>
          <w:trHeight w:val="229" w:hRule="atLeast"/>
        </w:trPr>
        <w:tc>
          <w:tcPr>
            <w:tcW w:w="3389" w:type="dxa"/>
          </w:tcPr>
          <w:p>
            <w:pPr>
              <w:pStyle w:val="TableParagraph"/>
              <w:spacing w:line="210" w:lineRule="exact"/>
              <w:ind w:left="331"/>
              <w:rPr>
                <w:sz w:val="20"/>
              </w:rPr>
            </w:pPr>
            <w:r>
              <w:rPr>
                <w:spacing w:val="-2"/>
                <w:sz w:val="20"/>
              </w:rPr>
              <w:t>Chance</w:t>
            </w:r>
          </w:p>
        </w:tc>
        <w:tc>
          <w:tcPr>
            <w:tcW w:w="415" w:type="dxa"/>
          </w:tcPr>
          <w:p>
            <w:pPr>
              <w:pStyle w:val="TableParagraph"/>
              <w:rPr>
                <w:rFonts w:ascii="Times New Roman"/>
                <w:sz w:val="16"/>
              </w:rPr>
            </w:pPr>
          </w:p>
        </w:tc>
        <w:tc>
          <w:tcPr>
            <w:tcW w:w="413" w:type="dxa"/>
          </w:tcPr>
          <w:p>
            <w:pPr>
              <w:pStyle w:val="TableParagraph"/>
              <w:spacing w:line="210" w:lineRule="exact"/>
              <w:ind w:left="51"/>
              <w:jc w:val="center"/>
              <w:rPr>
                <w:sz w:val="20"/>
              </w:rPr>
            </w:pPr>
            <w:r>
              <w:rPr>
                <w:w w:val="99"/>
                <w:sz w:val="20"/>
              </w:rPr>
              <w:t>X</w:t>
            </w:r>
          </w:p>
        </w:tc>
        <w:tc>
          <w:tcPr>
            <w:tcW w:w="415" w:type="dxa"/>
          </w:tcPr>
          <w:p>
            <w:pPr>
              <w:pStyle w:val="TableParagraph"/>
              <w:rPr>
                <w:rFonts w:ascii="Times New Roman"/>
                <w:sz w:val="16"/>
              </w:rPr>
            </w:pPr>
          </w:p>
        </w:tc>
        <w:tc>
          <w:tcPr>
            <w:tcW w:w="413" w:type="dxa"/>
          </w:tcPr>
          <w:p>
            <w:pPr>
              <w:pStyle w:val="TableParagraph"/>
              <w:rPr>
                <w:rFonts w:ascii="Times New Roman"/>
                <w:sz w:val="16"/>
              </w:rPr>
            </w:pPr>
          </w:p>
        </w:tc>
        <w:tc>
          <w:tcPr>
            <w:tcW w:w="415"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spacing w:line="210" w:lineRule="exact"/>
              <w:ind w:left="160"/>
              <w:rPr>
                <w:sz w:val="20"/>
              </w:rPr>
            </w:pPr>
            <w:r>
              <w:rPr>
                <w:w w:val="99"/>
                <w:sz w:val="20"/>
              </w:rPr>
              <w:t>X</w:t>
            </w: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r>
      <w:tr>
        <w:trPr>
          <w:trHeight w:val="230" w:hRule="atLeast"/>
        </w:trPr>
        <w:tc>
          <w:tcPr>
            <w:tcW w:w="3389" w:type="dxa"/>
          </w:tcPr>
          <w:p>
            <w:pPr>
              <w:pStyle w:val="TableParagraph"/>
              <w:spacing w:line="210" w:lineRule="exact"/>
              <w:ind w:left="331"/>
              <w:rPr>
                <w:sz w:val="20"/>
              </w:rPr>
            </w:pPr>
            <w:r>
              <w:rPr>
                <w:spacing w:val="-2"/>
                <w:sz w:val="20"/>
              </w:rPr>
              <w:t>Easter</w:t>
            </w:r>
          </w:p>
        </w:tc>
        <w:tc>
          <w:tcPr>
            <w:tcW w:w="415" w:type="dxa"/>
          </w:tcPr>
          <w:p>
            <w:pPr>
              <w:pStyle w:val="TableParagraph"/>
              <w:rPr>
                <w:rFonts w:ascii="Times New Roman"/>
                <w:sz w:val="16"/>
              </w:rPr>
            </w:pPr>
          </w:p>
        </w:tc>
        <w:tc>
          <w:tcPr>
            <w:tcW w:w="413" w:type="dxa"/>
          </w:tcPr>
          <w:p>
            <w:pPr>
              <w:pStyle w:val="TableParagraph"/>
              <w:rPr>
                <w:rFonts w:ascii="Times New Roman"/>
                <w:sz w:val="16"/>
              </w:rPr>
            </w:pPr>
          </w:p>
        </w:tc>
        <w:tc>
          <w:tcPr>
            <w:tcW w:w="415" w:type="dxa"/>
          </w:tcPr>
          <w:p>
            <w:pPr>
              <w:pStyle w:val="TableParagraph"/>
              <w:rPr>
                <w:rFonts w:ascii="Times New Roman"/>
                <w:sz w:val="16"/>
              </w:rPr>
            </w:pPr>
          </w:p>
        </w:tc>
        <w:tc>
          <w:tcPr>
            <w:tcW w:w="413" w:type="dxa"/>
          </w:tcPr>
          <w:p>
            <w:pPr>
              <w:pStyle w:val="TableParagraph"/>
              <w:rPr>
                <w:rFonts w:ascii="Times New Roman"/>
                <w:sz w:val="16"/>
              </w:rPr>
            </w:pPr>
          </w:p>
        </w:tc>
        <w:tc>
          <w:tcPr>
            <w:tcW w:w="415"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spacing w:line="210" w:lineRule="exact"/>
              <w:ind w:right="108"/>
              <w:jc w:val="right"/>
              <w:rPr>
                <w:sz w:val="20"/>
              </w:rPr>
            </w:pPr>
            <w:r>
              <w:rPr>
                <w:w w:val="99"/>
                <w:sz w:val="20"/>
              </w:rPr>
              <w:t>X</w:t>
            </w:r>
          </w:p>
        </w:tc>
        <w:tc>
          <w:tcPr>
            <w:tcW w:w="413" w:type="dxa"/>
          </w:tcPr>
          <w:p>
            <w:pPr>
              <w:pStyle w:val="TableParagraph"/>
              <w:rPr>
                <w:rFonts w:ascii="Times New Roman"/>
                <w:sz w:val="16"/>
              </w:rPr>
            </w:pPr>
          </w:p>
        </w:tc>
        <w:tc>
          <w:tcPr>
            <w:tcW w:w="413" w:type="dxa"/>
          </w:tcPr>
          <w:p>
            <w:pPr>
              <w:pStyle w:val="TableParagraph"/>
              <w:spacing w:line="210" w:lineRule="exact"/>
              <w:ind w:left="159"/>
              <w:rPr>
                <w:sz w:val="20"/>
              </w:rPr>
            </w:pPr>
            <w:r>
              <w:rPr>
                <w:w w:val="99"/>
                <w:sz w:val="20"/>
              </w:rPr>
              <w:t>X</w:t>
            </w:r>
          </w:p>
        </w:tc>
        <w:tc>
          <w:tcPr>
            <w:tcW w:w="413" w:type="dxa"/>
          </w:tcPr>
          <w:p>
            <w:pPr>
              <w:pStyle w:val="TableParagraph"/>
              <w:rPr>
                <w:rFonts w:ascii="Times New Roman"/>
                <w:sz w:val="16"/>
              </w:rPr>
            </w:pPr>
          </w:p>
        </w:tc>
        <w:tc>
          <w:tcPr>
            <w:tcW w:w="413" w:type="dxa"/>
          </w:tcPr>
          <w:p>
            <w:pPr>
              <w:pStyle w:val="TableParagraph"/>
              <w:rPr>
                <w:rFonts w:ascii="Times New Roman"/>
                <w:sz w:val="16"/>
              </w:rPr>
            </w:pPr>
          </w:p>
        </w:tc>
      </w:tr>
      <w:tr>
        <w:trPr>
          <w:trHeight w:val="230" w:hRule="atLeast"/>
        </w:trPr>
        <w:tc>
          <w:tcPr>
            <w:tcW w:w="3389" w:type="dxa"/>
          </w:tcPr>
          <w:p>
            <w:pPr>
              <w:pStyle w:val="TableParagraph"/>
              <w:spacing w:line="210" w:lineRule="exact"/>
              <w:ind w:left="331"/>
              <w:rPr>
                <w:sz w:val="20"/>
              </w:rPr>
            </w:pPr>
            <w:r>
              <w:rPr>
                <w:sz w:val="20"/>
              </w:rPr>
              <w:t>Henderson,</w:t>
            </w:r>
            <w:r>
              <w:rPr>
                <w:spacing w:val="-14"/>
                <w:sz w:val="20"/>
              </w:rPr>
              <w:t> </w:t>
            </w:r>
            <w:r>
              <w:rPr>
                <w:spacing w:val="-10"/>
                <w:sz w:val="20"/>
              </w:rPr>
              <w:t>D</w:t>
            </w:r>
          </w:p>
        </w:tc>
        <w:tc>
          <w:tcPr>
            <w:tcW w:w="415" w:type="dxa"/>
          </w:tcPr>
          <w:p>
            <w:pPr>
              <w:pStyle w:val="TableParagraph"/>
              <w:rPr>
                <w:rFonts w:ascii="Times New Roman"/>
                <w:sz w:val="16"/>
              </w:rPr>
            </w:pPr>
          </w:p>
        </w:tc>
        <w:tc>
          <w:tcPr>
            <w:tcW w:w="413" w:type="dxa"/>
          </w:tcPr>
          <w:p>
            <w:pPr>
              <w:pStyle w:val="TableParagraph"/>
              <w:spacing w:line="210" w:lineRule="exact"/>
              <w:ind w:left="51"/>
              <w:jc w:val="center"/>
              <w:rPr>
                <w:sz w:val="20"/>
              </w:rPr>
            </w:pPr>
            <w:r>
              <w:rPr>
                <w:w w:val="99"/>
                <w:sz w:val="20"/>
              </w:rPr>
              <w:t>X</w:t>
            </w:r>
          </w:p>
        </w:tc>
        <w:tc>
          <w:tcPr>
            <w:tcW w:w="415" w:type="dxa"/>
          </w:tcPr>
          <w:p>
            <w:pPr>
              <w:pStyle w:val="TableParagraph"/>
              <w:rPr>
                <w:rFonts w:ascii="Times New Roman"/>
                <w:sz w:val="16"/>
              </w:rPr>
            </w:pPr>
          </w:p>
        </w:tc>
        <w:tc>
          <w:tcPr>
            <w:tcW w:w="413" w:type="dxa"/>
          </w:tcPr>
          <w:p>
            <w:pPr>
              <w:pStyle w:val="TableParagraph"/>
              <w:rPr>
                <w:rFonts w:ascii="Times New Roman"/>
                <w:sz w:val="16"/>
              </w:rPr>
            </w:pPr>
          </w:p>
        </w:tc>
        <w:tc>
          <w:tcPr>
            <w:tcW w:w="415" w:type="dxa"/>
          </w:tcPr>
          <w:p>
            <w:pPr>
              <w:pStyle w:val="TableParagraph"/>
              <w:spacing w:line="210" w:lineRule="exact"/>
              <w:ind w:left="160"/>
              <w:rPr>
                <w:sz w:val="20"/>
              </w:rPr>
            </w:pPr>
            <w:r>
              <w:rPr>
                <w:w w:val="99"/>
                <w:sz w:val="20"/>
              </w:rPr>
              <w:t>X</w:t>
            </w: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spacing w:line="210" w:lineRule="exact"/>
              <w:ind w:right="108"/>
              <w:jc w:val="right"/>
              <w:rPr>
                <w:sz w:val="20"/>
              </w:rPr>
            </w:pPr>
            <w:r>
              <w:rPr>
                <w:w w:val="99"/>
                <w:sz w:val="20"/>
              </w:rPr>
              <w:t>X</w:t>
            </w: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r>
      <w:tr>
        <w:trPr>
          <w:trHeight w:val="229" w:hRule="atLeast"/>
        </w:trPr>
        <w:tc>
          <w:tcPr>
            <w:tcW w:w="3389" w:type="dxa"/>
          </w:tcPr>
          <w:p>
            <w:pPr>
              <w:pStyle w:val="TableParagraph"/>
              <w:spacing w:line="210" w:lineRule="exact"/>
              <w:ind w:left="331"/>
              <w:rPr>
                <w:sz w:val="20"/>
              </w:rPr>
            </w:pPr>
            <w:r>
              <w:rPr>
                <w:spacing w:val="-2"/>
                <w:sz w:val="20"/>
              </w:rPr>
              <w:t>Henderson,</w:t>
            </w:r>
            <w:r>
              <w:rPr>
                <w:spacing w:val="4"/>
                <w:sz w:val="20"/>
              </w:rPr>
              <w:t> </w:t>
            </w:r>
            <w:r>
              <w:rPr>
                <w:spacing w:val="-10"/>
                <w:sz w:val="20"/>
              </w:rPr>
              <w:t>W</w:t>
            </w:r>
          </w:p>
        </w:tc>
        <w:tc>
          <w:tcPr>
            <w:tcW w:w="415" w:type="dxa"/>
          </w:tcPr>
          <w:p>
            <w:pPr>
              <w:pStyle w:val="TableParagraph"/>
              <w:rPr>
                <w:rFonts w:ascii="Times New Roman"/>
                <w:sz w:val="16"/>
              </w:rPr>
            </w:pPr>
          </w:p>
        </w:tc>
        <w:tc>
          <w:tcPr>
            <w:tcW w:w="413" w:type="dxa"/>
          </w:tcPr>
          <w:p>
            <w:pPr>
              <w:pStyle w:val="TableParagraph"/>
              <w:rPr>
                <w:rFonts w:ascii="Times New Roman"/>
                <w:sz w:val="16"/>
              </w:rPr>
            </w:pPr>
          </w:p>
        </w:tc>
        <w:tc>
          <w:tcPr>
            <w:tcW w:w="415" w:type="dxa"/>
          </w:tcPr>
          <w:p>
            <w:pPr>
              <w:pStyle w:val="TableParagraph"/>
              <w:rPr>
                <w:rFonts w:ascii="Times New Roman"/>
                <w:sz w:val="16"/>
              </w:rPr>
            </w:pPr>
          </w:p>
        </w:tc>
        <w:tc>
          <w:tcPr>
            <w:tcW w:w="413" w:type="dxa"/>
          </w:tcPr>
          <w:p>
            <w:pPr>
              <w:pStyle w:val="TableParagraph"/>
              <w:spacing w:line="210" w:lineRule="exact"/>
              <w:ind w:left="160"/>
              <w:rPr>
                <w:sz w:val="20"/>
              </w:rPr>
            </w:pPr>
            <w:r>
              <w:rPr>
                <w:w w:val="99"/>
                <w:sz w:val="20"/>
              </w:rPr>
              <w:t>X</w:t>
            </w:r>
          </w:p>
        </w:tc>
        <w:tc>
          <w:tcPr>
            <w:tcW w:w="415"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spacing w:line="210" w:lineRule="exact"/>
              <w:ind w:left="48"/>
              <w:jc w:val="center"/>
              <w:rPr>
                <w:sz w:val="20"/>
              </w:rPr>
            </w:pPr>
            <w:r>
              <w:rPr>
                <w:w w:val="99"/>
                <w:sz w:val="20"/>
              </w:rPr>
              <w:t>X</w:t>
            </w:r>
          </w:p>
        </w:tc>
        <w:tc>
          <w:tcPr>
            <w:tcW w:w="413" w:type="dxa"/>
          </w:tcPr>
          <w:p>
            <w:pPr>
              <w:pStyle w:val="TableParagraph"/>
              <w:rPr>
                <w:rFonts w:ascii="Times New Roman"/>
                <w:sz w:val="16"/>
              </w:rPr>
            </w:pPr>
          </w:p>
        </w:tc>
      </w:tr>
      <w:tr>
        <w:trPr>
          <w:trHeight w:val="230" w:hRule="atLeast"/>
        </w:trPr>
        <w:tc>
          <w:tcPr>
            <w:tcW w:w="3389" w:type="dxa"/>
          </w:tcPr>
          <w:p>
            <w:pPr>
              <w:pStyle w:val="TableParagraph"/>
              <w:spacing w:line="210" w:lineRule="exact"/>
              <w:ind w:left="331"/>
              <w:rPr>
                <w:sz w:val="20"/>
              </w:rPr>
            </w:pPr>
            <w:r>
              <w:rPr>
                <w:spacing w:val="-2"/>
                <w:sz w:val="20"/>
              </w:rPr>
              <w:t>Kloster</w:t>
            </w:r>
          </w:p>
        </w:tc>
        <w:tc>
          <w:tcPr>
            <w:tcW w:w="415" w:type="dxa"/>
          </w:tcPr>
          <w:p>
            <w:pPr>
              <w:pStyle w:val="TableParagraph"/>
              <w:spacing w:line="210" w:lineRule="exact"/>
              <w:ind w:left="48"/>
              <w:jc w:val="center"/>
              <w:rPr>
                <w:sz w:val="20"/>
              </w:rPr>
            </w:pPr>
            <w:r>
              <w:rPr>
                <w:w w:val="99"/>
                <w:sz w:val="20"/>
              </w:rPr>
              <w:t>X</w:t>
            </w:r>
          </w:p>
        </w:tc>
        <w:tc>
          <w:tcPr>
            <w:tcW w:w="413" w:type="dxa"/>
          </w:tcPr>
          <w:p>
            <w:pPr>
              <w:pStyle w:val="TableParagraph"/>
              <w:rPr>
                <w:rFonts w:ascii="Times New Roman"/>
                <w:sz w:val="16"/>
              </w:rPr>
            </w:pPr>
          </w:p>
        </w:tc>
        <w:tc>
          <w:tcPr>
            <w:tcW w:w="415" w:type="dxa"/>
          </w:tcPr>
          <w:p>
            <w:pPr>
              <w:pStyle w:val="TableParagraph"/>
              <w:rPr>
                <w:rFonts w:ascii="Times New Roman"/>
                <w:sz w:val="16"/>
              </w:rPr>
            </w:pPr>
          </w:p>
        </w:tc>
        <w:tc>
          <w:tcPr>
            <w:tcW w:w="413" w:type="dxa"/>
          </w:tcPr>
          <w:p>
            <w:pPr>
              <w:pStyle w:val="TableParagraph"/>
              <w:rPr>
                <w:rFonts w:ascii="Times New Roman"/>
                <w:sz w:val="16"/>
              </w:rPr>
            </w:pPr>
          </w:p>
        </w:tc>
        <w:tc>
          <w:tcPr>
            <w:tcW w:w="415"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r>
      <w:tr>
        <w:trPr>
          <w:trHeight w:val="230" w:hRule="atLeast"/>
        </w:trPr>
        <w:tc>
          <w:tcPr>
            <w:tcW w:w="3389" w:type="dxa"/>
          </w:tcPr>
          <w:p>
            <w:pPr>
              <w:pStyle w:val="TableParagraph"/>
              <w:spacing w:line="210" w:lineRule="exact"/>
              <w:ind w:left="331"/>
              <w:rPr>
                <w:sz w:val="20"/>
              </w:rPr>
            </w:pPr>
            <w:r>
              <w:rPr>
                <w:spacing w:val="-2"/>
                <w:sz w:val="20"/>
              </w:rPr>
              <w:t>Peronnet</w:t>
            </w:r>
          </w:p>
        </w:tc>
        <w:tc>
          <w:tcPr>
            <w:tcW w:w="415" w:type="dxa"/>
          </w:tcPr>
          <w:p>
            <w:pPr>
              <w:pStyle w:val="TableParagraph"/>
              <w:rPr>
                <w:rFonts w:ascii="Times New Roman"/>
                <w:sz w:val="16"/>
              </w:rPr>
            </w:pPr>
          </w:p>
        </w:tc>
        <w:tc>
          <w:tcPr>
            <w:tcW w:w="413" w:type="dxa"/>
          </w:tcPr>
          <w:p>
            <w:pPr>
              <w:pStyle w:val="TableParagraph"/>
              <w:rPr>
                <w:rFonts w:ascii="Times New Roman"/>
                <w:sz w:val="16"/>
              </w:rPr>
            </w:pPr>
          </w:p>
        </w:tc>
        <w:tc>
          <w:tcPr>
            <w:tcW w:w="415" w:type="dxa"/>
          </w:tcPr>
          <w:p>
            <w:pPr>
              <w:pStyle w:val="TableParagraph"/>
              <w:rPr>
                <w:rFonts w:ascii="Times New Roman"/>
                <w:sz w:val="16"/>
              </w:rPr>
            </w:pPr>
          </w:p>
        </w:tc>
        <w:tc>
          <w:tcPr>
            <w:tcW w:w="413" w:type="dxa"/>
          </w:tcPr>
          <w:p>
            <w:pPr>
              <w:pStyle w:val="TableParagraph"/>
              <w:rPr>
                <w:rFonts w:ascii="Times New Roman"/>
                <w:sz w:val="16"/>
              </w:rPr>
            </w:pPr>
          </w:p>
        </w:tc>
        <w:tc>
          <w:tcPr>
            <w:tcW w:w="415"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r>
      <w:tr>
        <w:trPr>
          <w:trHeight w:val="229" w:hRule="atLeast"/>
        </w:trPr>
        <w:tc>
          <w:tcPr>
            <w:tcW w:w="3389" w:type="dxa"/>
          </w:tcPr>
          <w:p>
            <w:pPr>
              <w:pStyle w:val="TableParagraph"/>
              <w:spacing w:line="210" w:lineRule="exact"/>
              <w:ind w:left="331"/>
              <w:rPr>
                <w:sz w:val="20"/>
              </w:rPr>
            </w:pPr>
            <w:r>
              <w:rPr>
                <w:spacing w:val="-2"/>
                <w:sz w:val="20"/>
              </w:rPr>
              <w:t>Sanchez</w:t>
            </w:r>
          </w:p>
        </w:tc>
        <w:tc>
          <w:tcPr>
            <w:tcW w:w="415" w:type="dxa"/>
          </w:tcPr>
          <w:p>
            <w:pPr>
              <w:pStyle w:val="TableParagraph"/>
              <w:rPr>
                <w:rFonts w:ascii="Times New Roman"/>
                <w:sz w:val="16"/>
              </w:rPr>
            </w:pPr>
          </w:p>
        </w:tc>
        <w:tc>
          <w:tcPr>
            <w:tcW w:w="413" w:type="dxa"/>
          </w:tcPr>
          <w:p>
            <w:pPr>
              <w:pStyle w:val="TableParagraph"/>
              <w:rPr>
                <w:rFonts w:ascii="Times New Roman"/>
                <w:sz w:val="16"/>
              </w:rPr>
            </w:pPr>
          </w:p>
        </w:tc>
        <w:tc>
          <w:tcPr>
            <w:tcW w:w="415" w:type="dxa"/>
          </w:tcPr>
          <w:p>
            <w:pPr>
              <w:pStyle w:val="TableParagraph"/>
              <w:rPr>
                <w:rFonts w:ascii="Times New Roman"/>
                <w:sz w:val="16"/>
              </w:rPr>
            </w:pPr>
          </w:p>
        </w:tc>
        <w:tc>
          <w:tcPr>
            <w:tcW w:w="413" w:type="dxa"/>
          </w:tcPr>
          <w:p>
            <w:pPr>
              <w:pStyle w:val="TableParagraph"/>
              <w:rPr>
                <w:rFonts w:ascii="Times New Roman"/>
                <w:sz w:val="16"/>
              </w:rPr>
            </w:pPr>
          </w:p>
        </w:tc>
        <w:tc>
          <w:tcPr>
            <w:tcW w:w="415"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spacing w:line="210" w:lineRule="exact"/>
              <w:ind w:left="48"/>
              <w:jc w:val="center"/>
              <w:rPr>
                <w:sz w:val="20"/>
              </w:rPr>
            </w:pPr>
            <w:r>
              <w:rPr>
                <w:w w:val="99"/>
                <w:sz w:val="20"/>
              </w:rPr>
              <w:t>X</w:t>
            </w:r>
          </w:p>
        </w:tc>
        <w:tc>
          <w:tcPr>
            <w:tcW w:w="413" w:type="dxa"/>
          </w:tcPr>
          <w:p>
            <w:pPr>
              <w:pStyle w:val="TableParagraph"/>
              <w:spacing w:line="210" w:lineRule="exact"/>
              <w:ind w:left="159"/>
              <w:rPr>
                <w:sz w:val="20"/>
              </w:rPr>
            </w:pPr>
            <w:r>
              <w:rPr>
                <w:w w:val="99"/>
                <w:sz w:val="20"/>
              </w:rPr>
              <w:t>X</w:t>
            </w:r>
          </w:p>
        </w:tc>
      </w:tr>
      <w:tr>
        <w:trPr>
          <w:trHeight w:val="230" w:hRule="atLeast"/>
        </w:trPr>
        <w:tc>
          <w:tcPr>
            <w:tcW w:w="9177" w:type="dxa"/>
            <w:gridSpan w:val="15"/>
          </w:tcPr>
          <w:p>
            <w:pPr>
              <w:pStyle w:val="TableParagraph"/>
              <w:spacing w:line="210" w:lineRule="exact"/>
              <w:ind w:left="43"/>
              <w:rPr>
                <w:sz w:val="20"/>
              </w:rPr>
            </w:pPr>
            <w:r>
              <w:rPr>
                <w:sz w:val="20"/>
              </w:rPr>
              <w:t>Part</w:t>
            </w:r>
            <w:r>
              <w:rPr>
                <w:spacing w:val="-4"/>
                <w:sz w:val="20"/>
              </w:rPr>
              <w:t> </w:t>
            </w:r>
            <w:r>
              <w:rPr>
                <w:sz w:val="20"/>
              </w:rPr>
              <w:t>Time</w:t>
            </w:r>
            <w:r>
              <w:rPr>
                <w:spacing w:val="-4"/>
                <w:sz w:val="20"/>
              </w:rPr>
              <w:t> </w:t>
            </w:r>
            <w:r>
              <w:rPr>
                <w:spacing w:val="-2"/>
                <w:sz w:val="20"/>
              </w:rPr>
              <w:t>Faculty</w:t>
            </w:r>
          </w:p>
        </w:tc>
      </w:tr>
      <w:tr>
        <w:trPr>
          <w:trHeight w:val="230" w:hRule="atLeast"/>
        </w:trPr>
        <w:tc>
          <w:tcPr>
            <w:tcW w:w="3389" w:type="dxa"/>
          </w:tcPr>
          <w:p>
            <w:pPr>
              <w:pStyle w:val="TableParagraph"/>
              <w:spacing w:line="210" w:lineRule="exact"/>
              <w:ind w:left="331"/>
              <w:rPr>
                <w:sz w:val="20"/>
              </w:rPr>
            </w:pPr>
            <w:r>
              <w:rPr>
                <w:spacing w:val="-2"/>
                <w:sz w:val="20"/>
              </w:rPr>
              <w:t>Brown</w:t>
            </w:r>
          </w:p>
        </w:tc>
        <w:tc>
          <w:tcPr>
            <w:tcW w:w="415" w:type="dxa"/>
          </w:tcPr>
          <w:p>
            <w:pPr>
              <w:pStyle w:val="TableParagraph"/>
              <w:spacing w:line="210" w:lineRule="exact"/>
              <w:ind w:left="48"/>
              <w:jc w:val="center"/>
              <w:rPr>
                <w:sz w:val="20"/>
              </w:rPr>
            </w:pPr>
            <w:r>
              <w:rPr>
                <w:w w:val="99"/>
                <w:sz w:val="20"/>
              </w:rPr>
              <w:t>X</w:t>
            </w:r>
          </w:p>
        </w:tc>
        <w:tc>
          <w:tcPr>
            <w:tcW w:w="413" w:type="dxa"/>
          </w:tcPr>
          <w:p>
            <w:pPr>
              <w:pStyle w:val="TableParagraph"/>
              <w:rPr>
                <w:rFonts w:ascii="Times New Roman"/>
                <w:sz w:val="16"/>
              </w:rPr>
            </w:pPr>
          </w:p>
        </w:tc>
        <w:tc>
          <w:tcPr>
            <w:tcW w:w="415" w:type="dxa"/>
          </w:tcPr>
          <w:p>
            <w:pPr>
              <w:pStyle w:val="TableParagraph"/>
              <w:rPr>
                <w:rFonts w:ascii="Times New Roman"/>
                <w:sz w:val="16"/>
              </w:rPr>
            </w:pPr>
          </w:p>
        </w:tc>
        <w:tc>
          <w:tcPr>
            <w:tcW w:w="413" w:type="dxa"/>
          </w:tcPr>
          <w:p>
            <w:pPr>
              <w:pStyle w:val="TableParagraph"/>
              <w:rPr>
                <w:rFonts w:ascii="Times New Roman"/>
                <w:sz w:val="16"/>
              </w:rPr>
            </w:pPr>
          </w:p>
        </w:tc>
        <w:tc>
          <w:tcPr>
            <w:tcW w:w="415"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spacing w:line="210" w:lineRule="exact"/>
              <w:ind w:left="158"/>
              <w:rPr>
                <w:sz w:val="20"/>
              </w:rPr>
            </w:pPr>
            <w:r>
              <w:rPr>
                <w:w w:val="99"/>
                <w:sz w:val="20"/>
              </w:rPr>
              <w:t>X</w:t>
            </w:r>
          </w:p>
        </w:tc>
        <w:tc>
          <w:tcPr>
            <w:tcW w:w="413" w:type="dxa"/>
          </w:tcPr>
          <w:p>
            <w:pPr>
              <w:pStyle w:val="TableParagraph"/>
              <w:spacing w:line="210" w:lineRule="exact"/>
              <w:ind w:left="160"/>
              <w:rPr>
                <w:sz w:val="20"/>
              </w:rPr>
            </w:pPr>
            <w:r>
              <w:rPr>
                <w:w w:val="99"/>
                <w:sz w:val="20"/>
              </w:rPr>
              <w:t>X</w:t>
            </w: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r>
      <w:tr>
        <w:trPr>
          <w:trHeight w:val="229" w:hRule="atLeast"/>
        </w:trPr>
        <w:tc>
          <w:tcPr>
            <w:tcW w:w="3389" w:type="dxa"/>
          </w:tcPr>
          <w:p>
            <w:pPr>
              <w:pStyle w:val="TableParagraph"/>
              <w:spacing w:line="210" w:lineRule="exact"/>
              <w:ind w:left="331"/>
              <w:rPr>
                <w:sz w:val="20"/>
              </w:rPr>
            </w:pPr>
            <w:r>
              <w:rPr>
                <w:spacing w:val="-2"/>
                <w:sz w:val="20"/>
              </w:rPr>
              <w:t>Gindroz</w:t>
            </w:r>
          </w:p>
        </w:tc>
        <w:tc>
          <w:tcPr>
            <w:tcW w:w="415" w:type="dxa"/>
          </w:tcPr>
          <w:p>
            <w:pPr>
              <w:pStyle w:val="TableParagraph"/>
              <w:rPr>
                <w:rFonts w:ascii="Times New Roman"/>
                <w:sz w:val="16"/>
              </w:rPr>
            </w:pPr>
          </w:p>
        </w:tc>
        <w:tc>
          <w:tcPr>
            <w:tcW w:w="413" w:type="dxa"/>
          </w:tcPr>
          <w:p>
            <w:pPr>
              <w:pStyle w:val="TableParagraph"/>
              <w:rPr>
                <w:rFonts w:ascii="Times New Roman"/>
                <w:sz w:val="16"/>
              </w:rPr>
            </w:pPr>
          </w:p>
        </w:tc>
        <w:tc>
          <w:tcPr>
            <w:tcW w:w="415" w:type="dxa"/>
          </w:tcPr>
          <w:p>
            <w:pPr>
              <w:pStyle w:val="TableParagraph"/>
              <w:rPr>
                <w:rFonts w:ascii="Times New Roman"/>
                <w:sz w:val="16"/>
              </w:rPr>
            </w:pPr>
          </w:p>
        </w:tc>
        <w:tc>
          <w:tcPr>
            <w:tcW w:w="413" w:type="dxa"/>
          </w:tcPr>
          <w:p>
            <w:pPr>
              <w:pStyle w:val="TableParagraph"/>
              <w:rPr>
                <w:rFonts w:ascii="Times New Roman"/>
                <w:sz w:val="16"/>
              </w:rPr>
            </w:pPr>
          </w:p>
        </w:tc>
        <w:tc>
          <w:tcPr>
            <w:tcW w:w="415" w:type="dxa"/>
          </w:tcPr>
          <w:p>
            <w:pPr>
              <w:pStyle w:val="TableParagraph"/>
              <w:rPr>
                <w:rFonts w:ascii="Times New Roman"/>
                <w:sz w:val="16"/>
              </w:rPr>
            </w:pPr>
          </w:p>
        </w:tc>
        <w:tc>
          <w:tcPr>
            <w:tcW w:w="413" w:type="dxa"/>
          </w:tcPr>
          <w:p>
            <w:pPr>
              <w:pStyle w:val="TableParagraph"/>
              <w:spacing w:line="210" w:lineRule="exact"/>
              <w:ind w:left="46"/>
              <w:jc w:val="center"/>
              <w:rPr>
                <w:sz w:val="20"/>
              </w:rPr>
            </w:pPr>
            <w:r>
              <w:rPr>
                <w:w w:val="99"/>
                <w:sz w:val="20"/>
              </w:rPr>
              <w:t>X</w:t>
            </w: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spacing w:line="210" w:lineRule="exact"/>
              <w:ind w:right="108"/>
              <w:jc w:val="right"/>
              <w:rPr>
                <w:sz w:val="20"/>
              </w:rPr>
            </w:pPr>
            <w:r>
              <w:rPr>
                <w:w w:val="99"/>
                <w:sz w:val="20"/>
              </w:rPr>
              <w:t>X</w:t>
            </w: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r>
      <w:tr>
        <w:trPr>
          <w:trHeight w:val="230" w:hRule="atLeast"/>
        </w:trPr>
        <w:tc>
          <w:tcPr>
            <w:tcW w:w="3389" w:type="dxa"/>
          </w:tcPr>
          <w:p>
            <w:pPr>
              <w:pStyle w:val="TableParagraph"/>
              <w:spacing w:line="210" w:lineRule="exact"/>
              <w:ind w:left="331"/>
              <w:rPr>
                <w:sz w:val="20"/>
              </w:rPr>
            </w:pPr>
            <w:r>
              <w:rPr>
                <w:spacing w:val="-2"/>
                <w:sz w:val="20"/>
              </w:rPr>
              <w:t>Turner</w:t>
            </w:r>
          </w:p>
        </w:tc>
        <w:tc>
          <w:tcPr>
            <w:tcW w:w="415" w:type="dxa"/>
          </w:tcPr>
          <w:p>
            <w:pPr>
              <w:pStyle w:val="TableParagraph"/>
              <w:rPr>
                <w:rFonts w:ascii="Times New Roman"/>
                <w:sz w:val="16"/>
              </w:rPr>
            </w:pPr>
          </w:p>
        </w:tc>
        <w:tc>
          <w:tcPr>
            <w:tcW w:w="413" w:type="dxa"/>
          </w:tcPr>
          <w:p>
            <w:pPr>
              <w:pStyle w:val="TableParagraph"/>
              <w:rPr>
                <w:rFonts w:ascii="Times New Roman"/>
                <w:sz w:val="16"/>
              </w:rPr>
            </w:pPr>
          </w:p>
        </w:tc>
        <w:tc>
          <w:tcPr>
            <w:tcW w:w="415" w:type="dxa"/>
          </w:tcPr>
          <w:p>
            <w:pPr>
              <w:pStyle w:val="TableParagraph"/>
              <w:spacing w:line="210" w:lineRule="exact"/>
              <w:ind w:left="160"/>
              <w:rPr>
                <w:sz w:val="20"/>
              </w:rPr>
            </w:pPr>
            <w:r>
              <w:rPr>
                <w:w w:val="99"/>
                <w:sz w:val="20"/>
              </w:rPr>
              <w:t>X</w:t>
            </w:r>
          </w:p>
        </w:tc>
        <w:tc>
          <w:tcPr>
            <w:tcW w:w="413" w:type="dxa"/>
          </w:tcPr>
          <w:p>
            <w:pPr>
              <w:pStyle w:val="TableParagraph"/>
              <w:rPr>
                <w:rFonts w:ascii="Times New Roman"/>
                <w:sz w:val="16"/>
              </w:rPr>
            </w:pPr>
          </w:p>
        </w:tc>
        <w:tc>
          <w:tcPr>
            <w:tcW w:w="415"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c>
          <w:tcPr>
            <w:tcW w:w="413" w:type="dxa"/>
          </w:tcPr>
          <w:p>
            <w:pPr>
              <w:pStyle w:val="TableParagraph"/>
              <w:rPr>
                <w:rFonts w:ascii="Times New Roman"/>
                <w:sz w:val="16"/>
              </w:rPr>
            </w:pPr>
          </w:p>
        </w:tc>
      </w:tr>
    </w:tbl>
    <w:p>
      <w:pPr>
        <w:pStyle w:val="BodyText"/>
        <w:spacing w:before="6"/>
        <w:rPr>
          <w:sz w:val="23"/>
        </w:rPr>
      </w:pPr>
    </w:p>
    <w:p>
      <w:pPr>
        <w:pStyle w:val="ListParagraph"/>
        <w:numPr>
          <w:ilvl w:val="0"/>
          <w:numId w:val="23"/>
        </w:numPr>
        <w:tabs>
          <w:tab w:pos="632" w:val="left" w:leader="none"/>
        </w:tabs>
        <w:spacing w:line="276" w:lineRule="auto" w:before="93" w:after="0"/>
        <w:ind w:left="500" w:right="657" w:firstLine="0"/>
        <w:jc w:val="left"/>
        <w:rPr>
          <w:sz w:val="20"/>
        </w:rPr>
      </w:pPr>
      <w:r>
        <w:rPr>
          <w:sz w:val="20"/>
        </w:rPr>
        <w:t>Professor</w:t>
      </w:r>
      <w:r>
        <w:rPr>
          <w:spacing w:val="-3"/>
          <w:sz w:val="20"/>
        </w:rPr>
        <w:t> </w:t>
      </w:r>
      <w:r>
        <w:rPr>
          <w:sz w:val="20"/>
        </w:rPr>
        <w:t>Peronnet</w:t>
      </w:r>
      <w:r>
        <w:rPr>
          <w:spacing w:val="-4"/>
          <w:sz w:val="20"/>
        </w:rPr>
        <w:t> </w:t>
      </w:r>
      <w:r>
        <w:rPr>
          <w:sz w:val="20"/>
        </w:rPr>
        <w:t>taught</w:t>
      </w:r>
      <w:r>
        <w:rPr>
          <w:spacing w:val="-4"/>
          <w:sz w:val="20"/>
        </w:rPr>
        <w:t> </w:t>
      </w:r>
      <w:r>
        <w:rPr>
          <w:sz w:val="20"/>
        </w:rPr>
        <w:t>a</w:t>
      </w:r>
      <w:r>
        <w:rPr>
          <w:spacing w:val="-4"/>
          <w:sz w:val="20"/>
        </w:rPr>
        <w:t> </w:t>
      </w:r>
      <w:r>
        <w:rPr>
          <w:sz w:val="20"/>
        </w:rPr>
        <w:t>parallel</w:t>
      </w:r>
      <w:r>
        <w:rPr>
          <w:spacing w:val="-5"/>
          <w:sz w:val="20"/>
        </w:rPr>
        <w:t> </w:t>
      </w:r>
      <w:r>
        <w:rPr>
          <w:sz w:val="20"/>
        </w:rPr>
        <w:t>track of</w:t>
      </w:r>
      <w:r>
        <w:rPr>
          <w:spacing w:val="-2"/>
          <w:sz w:val="20"/>
        </w:rPr>
        <w:t> </w:t>
      </w:r>
      <w:r>
        <w:rPr>
          <w:sz w:val="20"/>
        </w:rPr>
        <w:t>ARC</w:t>
      </w:r>
      <w:r>
        <w:rPr>
          <w:spacing w:val="-4"/>
          <w:sz w:val="20"/>
        </w:rPr>
        <w:t> </w:t>
      </w:r>
      <w:r>
        <w:rPr>
          <w:sz w:val="20"/>
        </w:rPr>
        <w:t>601</w:t>
      </w:r>
      <w:r>
        <w:rPr>
          <w:spacing w:val="-4"/>
          <w:sz w:val="20"/>
        </w:rPr>
        <w:t> </w:t>
      </w:r>
      <w:r>
        <w:rPr>
          <w:sz w:val="20"/>
        </w:rPr>
        <w:t>and</w:t>
      </w:r>
      <w:r>
        <w:rPr>
          <w:spacing w:val="-4"/>
          <w:sz w:val="20"/>
        </w:rPr>
        <w:t> </w:t>
      </w:r>
      <w:r>
        <w:rPr>
          <w:sz w:val="20"/>
        </w:rPr>
        <w:t>602</w:t>
      </w:r>
      <w:r>
        <w:rPr>
          <w:spacing w:val="-4"/>
          <w:sz w:val="20"/>
        </w:rPr>
        <w:t> </w:t>
      </w:r>
      <w:r>
        <w:rPr>
          <w:sz w:val="20"/>
        </w:rPr>
        <w:t>for</w:t>
      </w:r>
      <w:r>
        <w:rPr>
          <w:spacing w:val="-3"/>
          <w:sz w:val="20"/>
        </w:rPr>
        <w:t> </w:t>
      </w:r>
      <w:r>
        <w:rPr>
          <w:sz w:val="20"/>
        </w:rPr>
        <w:t>the</w:t>
      </w:r>
      <w:r>
        <w:rPr>
          <w:spacing w:val="-4"/>
          <w:sz w:val="20"/>
        </w:rPr>
        <w:t> </w:t>
      </w:r>
      <w:r>
        <w:rPr>
          <w:sz w:val="20"/>
        </w:rPr>
        <w:t>students selected</w:t>
      </w:r>
      <w:r>
        <w:rPr>
          <w:spacing w:val="-2"/>
          <w:sz w:val="20"/>
        </w:rPr>
        <w:t> </w:t>
      </w:r>
      <w:r>
        <w:rPr>
          <w:sz w:val="20"/>
        </w:rPr>
        <w:t>to</w:t>
      </w:r>
      <w:r>
        <w:rPr>
          <w:spacing w:val="-4"/>
          <w:sz w:val="20"/>
        </w:rPr>
        <w:t> </w:t>
      </w:r>
      <w:r>
        <w:rPr>
          <w:sz w:val="20"/>
        </w:rPr>
        <w:t>compete</w:t>
      </w:r>
      <w:r>
        <w:rPr>
          <w:spacing w:val="-2"/>
          <w:sz w:val="20"/>
        </w:rPr>
        <w:t> </w:t>
      </w:r>
      <w:r>
        <w:rPr>
          <w:sz w:val="20"/>
        </w:rPr>
        <w:t>in the Solar Decathlon.</w:t>
      </w:r>
    </w:p>
    <w:p>
      <w:pPr>
        <w:pStyle w:val="BodyText"/>
        <w:spacing w:before="6"/>
      </w:pPr>
    </w:p>
    <w:p>
      <w:pPr>
        <w:spacing w:before="0"/>
        <w:ind w:left="0" w:right="4991" w:firstLine="0"/>
        <w:jc w:val="right"/>
        <w:rPr>
          <w:b/>
          <w:sz w:val="20"/>
        </w:rPr>
      </w:pPr>
      <w:r>
        <w:rPr>
          <w:b/>
          <w:sz w:val="20"/>
        </w:rPr>
        <w:t>Summer</w:t>
      </w:r>
      <w:r>
        <w:rPr>
          <w:b/>
          <w:spacing w:val="-7"/>
          <w:sz w:val="20"/>
        </w:rPr>
        <w:t> </w:t>
      </w:r>
      <w:r>
        <w:rPr>
          <w:b/>
          <w:sz w:val="20"/>
        </w:rPr>
        <w:t>2014</w:t>
      </w:r>
      <w:r>
        <w:rPr>
          <w:b/>
          <w:spacing w:val="-9"/>
          <w:sz w:val="20"/>
        </w:rPr>
        <w:t> </w:t>
      </w:r>
      <w:r>
        <w:rPr>
          <w:b/>
          <w:sz w:val="20"/>
        </w:rPr>
        <w:t>Teaching</w:t>
      </w:r>
      <w:r>
        <w:rPr>
          <w:b/>
          <w:spacing w:val="-4"/>
          <w:sz w:val="20"/>
        </w:rPr>
        <w:t> </w:t>
      </w:r>
      <w:r>
        <w:rPr>
          <w:b/>
          <w:spacing w:val="-2"/>
          <w:sz w:val="20"/>
        </w:rPr>
        <w:t>Assignments*</w:t>
      </w:r>
    </w:p>
    <w:p>
      <w:pPr>
        <w:pStyle w:val="BodyText"/>
        <w:spacing w:before="2"/>
        <w:rPr>
          <w:b/>
          <w:sz w:val="21"/>
        </w:rPr>
      </w:pPr>
    </w:p>
    <w:tbl>
      <w:tblPr>
        <w:tblW w:w="0" w:type="auto"/>
        <w:jc w:val="left"/>
        <w:tblInd w:w="2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48"/>
        <w:gridCol w:w="401"/>
        <w:gridCol w:w="406"/>
        <w:gridCol w:w="404"/>
        <w:gridCol w:w="404"/>
        <w:gridCol w:w="406"/>
        <w:gridCol w:w="404"/>
      </w:tblGrid>
      <w:tr>
        <w:trPr>
          <w:trHeight w:val="1350" w:hRule="atLeast"/>
        </w:trPr>
        <w:tc>
          <w:tcPr>
            <w:tcW w:w="2148" w:type="dxa"/>
          </w:tcPr>
          <w:p>
            <w:pPr>
              <w:pStyle w:val="TableParagraph"/>
              <w:rPr>
                <w:rFonts w:ascii="Times New Roman"/>
                <w:sz w:val="18"/>
              </w:rPr>
            </w:pPr>
          </w:p>
        </w:tc>
        <w:tc>
          <w:tcPr>
            <w:tcW w:w="401" w:type="dxa"/>
            <w:textDirection w:val="btLr"/>
          </w:tcPr>
          <w:p>
            <w:pPr>
              <w:pStyle w:val="TableParagraph"/>
              <w:spacing w:before="155"/>
              <w:ind w:left="112"/>
              <w:rPr>
                <w:sz w:val="18"/>
              </w:rPr>
            </w:pPr>
            <w:r>
              <w:rPr>
                <w:sz w:val="18"/>
              </w:rPr>
              <w:t>ARC</w:t>
            </w:r>
            <w:r>
              <w:rPr>
                <w:spacing w:val="-5"/>
                <w:sz w:val="18"/>
              </w:rPr>
              <w:t> 204</w:t>
            </w:r>
          </w:p>
        </w:tc>
        <w:tc>
          <w:tcPr>
            <w:tcW w:w="406" w:type="dxa"/>
            <w:textDirection w:val="btLr"/>
          </w:tcPr>
          <w:p>
            <w:pPr>
              <w:pStyle w:val="TableParagraph"/>
              <w:spacing w:before="157"/>
              <w:ind w:left="112"/>
              <w:rPr>
                <w:sz w:val="18"/>
              </w:rPr>
            </w:pPr>
            <w:r>
              <w:rPr>
                <w:sz w:val="18"/>
              </w:rPr>
              <w:t>ARC</w:t>
            </w:r>
            <w:r>
              <w:rPr>
                <w:spacing w:val="-4"/>
                <w:sz w:val="18"/>
              </w:rPr>
              <w:t> </w:t>
            </w:r>
            <w:r>
              <w:rPr>
                <w:sz w:val="18"/>
              </w:rPr>
              <w:t>303</w:t>
            </w:r>
            <w:r>
              <w:rPr>
                <w:spacing w:val="-3"/>
                <w:sz w:val="18"/>
              </w:rPr>
              <w:t> </w:t>
            </w:r>
            <w:r>
              <w:rPr>
                <w:spacing w:val="-5"/>
                <w:sz w:val="18"/>
              </w:rPr>
              <w:t>304</w:t>
            </w:r>
          </w:p>
        </w:tc>
        <w:tc>
          <w:tcPr>
            <w:tcW w:w="404" w:type="dxa"/>
            <w:textDirection w:val="btLr"/>
          </w:tcPr>
          <w:p>
            <w:pPr>
              <w:pStyle w:val="TableParagraph"/>
              <w:spacing w:before="156"/>
              <w:ind w:left="112"/>
              <w:rPr>
                <w:sz w:val="18"/>
              </w:rPr>
            </w:pPr>
            <w:r>
              <w:rPr>
                <w:sz w:val="18"/>
              </w:rPr>
              <w:t>ARC</w:t>
            </w:r>
            <w:r>
              <w:rPr>
                <w:spacing w:val="-4"/>
                <w:sz w:val="18"/>
              </w:rPr>
              <w:t> </w:t>
            </w:r>
            <w:r>
              <w:rPr>
                <w:sz w:val="18"/>
              </w:rPr>
              <w:t>305</w:t>
            </w:r>
            <w:r>
              <w:rPr>
                <w:spacing w:val="-3"/>
                <w:sz w:val="18"/>
              </w:rPr>
              <w:t> </w:t>
            </w:r>
            <w:r>
              <w:rPr>
                <w:spacing w:val="-5"/>
                <w:sz w:val="18"/>
              </w:rPr>
              <w:t>306</w:t>
            </w:r>
          </w:p>
        </w:tc>
        <w:tc>
          <w:tcPr>
            <w:tcW w:w="404" w:type="dxa"/>
            <w:textDirection w:val="btLr"/>
          </w:tcPr>
          <w:p>
            <w:pPr>
              <w:pStyle w:val="TableParagraph"/>
              <w:spacing w:before="156"/>
              <w:ind w:left="112"/>
              <w:rPr>
                <w:sz w:val="18"/>
              </w:rPr>
            </w:pPr>
            <w:r>
              <w:rPr>
                <w:sz w:val="18"/>
              </w:rPr>
              <w:t>ARC</w:t>
            </w:r>
            <w:r>
              <w:rPr>
                <w:spacing w:val="-5"/>
                <w:sz w:val="18"/>
              </w:rPr>
              <w:t> 310</w:t>
            </w:r>
          </w:p>
        </w:tc>
        <w:tc>
          <w:tcPr>
            <w:tcW w:w="406" w:type="dxa"/>
            <w:textDirection w:val="btLr"/>
          </w:tcPr>
          <w:p>
            <w:pPr>
              <w:pStyle w:val="TableParagraph"/>
              <w:spacing w:before="155"/>
              <w:ind w:left="112"/>
              <w:rPr>
                <w:sz w:val="18"/>
              </w:rPr>
            </w:pPr>
            <w:r>
              <w:rPr>
                <w:sz w:val="18"/>
              </w:rPr>
              <w:t>ARC</w:t>
            </w:r>
            <w:r>
              <w:rPr>
                <w:spacing w:val="-5"/>
                <w:sz w:val="18"/>
              </w:rPr>
              <w:t> 315</w:t>
            </w:r>
          </w:p>
        </w:tc>
        <w:tc>
          <w:tcPr>
            <w:tcW w:w="404" w:type="dxa"/>
            <w:textDirection w:val="btLr"/>
          </w:tcPr>
          <w:p>
            <w:pPr>
              <w:pStyle w:val="TableParagraph"/>
              <w:spacing w:before="152"/>
              <w:ind w:left="112"/>
              <w:rPr>
                <w:sz w:val="18"/>
              </w:rPr>
            </w:pPr>
            <w:r>
              <w:rPr>
                <w:sz w:val="18"/>
              </w:rPr>
              <w:t>ARC</w:t>
            </w:r>
            <w:r>
              <w:rPr>
                <w:spacing w:val="-5"/>
                <w:sz w:val="18"/>
              </w:rPr>
              <w:t> 406</w:t>
            </w:r>
          </w:p>
        </w:tc>
      </w:tr>
      <w:tr>
        <w:trPr>
          <w:trHeight w:val="229" w:hRule="atLeast"/>
        </w:trPr>
        <w:tc>
          <w:tcPr>
            <w:tcW w:w="2148" w:type="dxa"/>
          </w:tcPr>
          <w:p>
            <w:pPr>
              <w:pStyle w:val="TableParagraph"/>
              <w:spacing w:line="210" w:lineRule="exact"/>
              <w:ind w:left="331"/>
              <w:rPr>
                <w:sz w:val="20"/>
              </w:rPr>
            </w:pPr>
            <w:r>
              <w:rPr>
                <w:spacing w:val="-2"/>
                <w:sz w:val="20"/>
              </w:rPr>
              <w:t>Andrews</w:t>
            </w:r>
          </w:p>
        </w:tc>
        <w:tc>
          <w:tcPr>
            <w:tcW w:w="401" w:type="dxa"/>
          </w:tcPr>
          <w:p>
            <w:pPr>
              <w:pStyle w:val="TableParagraph"/>
              <w:rPr>
                <w:rFonts w:ascii="Times New Roman"/>
                <w:sz w:val="16"/>
              </w:rPr>
            </w:pPr>
          </w:p>
        </w:tc>
        <w:tc>
          <w:tcPr>
            <w:tcW w:w="406" w:type="dxa"/>
          </w:tcPr>
          <w:p>
            <w:pPr>
              <w:pStyle w:val="TableParagraph"/>
              <w:rPr>
                <w:rFonts w:ascii="Times New Roman"/>
                <w:sz w:val="16"/>
              </w:rPr>
            </w:pPr>
          </w:p>
        </w:tc>
        <w:tc>
          <w:tcPr>
            <w:tcW w:w="404" w:type="dxa"/>
          </w:tcPr>
          <w:p>
            <w:pPr>
              <w:pStyle w:val="TableParagraph"/>
              <w:spacing w:line="210" w:lineRule="exact"/>
              <w:ind w:left="49"/>
              <w:jc w:val="center"/>
              <w:rPr>
                <w:sz w:val="20"/>
              </w:rPr>
            </w:pPr>
            <w:r>
              <w:rPr>
                <w:w w:val="99"/>
                <w:sz w:val="20"/>
              </w:rPr>
              <w:t>X</w:t>
            </w:r>
          </w:p>
        </w:tc>
        <w:tc>
          <w:tcPr>
            <w:tcW w:w="404" w:type="dxa"/>
          </w:tcPr>
          <w:p>
            <w:pPr>
              <w:pStyle w:val="TableParagraph"/>
              <w:rPr>
                <w:rFonts w:ascii="Times New Roman"/>
                <w:sz w:val="16"/>
              </w:rPr>
            </w:pPr>
          </w:p>
        </w:tc>
        <w:tc>
          <w:tcPr>
            <w:tcW w:w="406" w:type="dxa"/>
          </w:tcPr>
          <w:p>
            <w:pPr>
              <w:pStyle w:val="TableParagraph"/>
              <w:rPr>
                <w:rFonts w:ascii="Times New Roman"/>
                <w:sz w:val="16"/>
              </w:rPr>
            </w:pPr>
          </w:p>
        </w:tc>
        <w:tc>
          <w:tcPr>
            <w:tcW w:w="404" w:type="dxa"/>
          </w:tcPr>
          <w:p>
            <w:pPr>
              <w:pStyle w:val="TableParagraph"/>
              <w:rPr>
                <w:rFonts w:ascii="Times New Roman"/>
                <w:sz w:val="16"/>
              </w:rPr>
            </w:pPr>
          </w:p>
        </w:tc>
      </w:tr>
      <w:tr>
        <w:trPr>
          <w:trHeight w:val="230" w:hRule="atLeast"/>
        </w:trPr>
        <w:tc>
          <w:tcPr>
            <w:tcW w:w="2148" w:type="dxa"/>
          </w:tcPr>
          <w:p>
            <w:pPr>
              <w:pStyle w:val="TableParagraph"/>
              <w:spacing w:line="210" w:lineRule="exact"/>
              <w:ind w:left="331"/>
              <w:rPr>
                <w:sz w:val="20"/>
              </w:rPr>
            </w:pPr>
            <w:r>
              <w:rPr>
                <w:spacing w:val="-2"/>
                <w:sz w:val="20"/>
              </w:rPr>
              <w:t>Easter</w:t>
            </w:r>
          </w:p>
        </w:tc>
        <w:tc>
          <w:tcPr>
            <w:tcW w:w="401" w:type="dxa"/>
          </w:tcPr>
          <w:p>
            <w:pPr>
              <w:pStyle w:val="TableParagraph"/>
              <w:rPr>
                <w:rFonts w:ascii="Times New Roman"/>
                <w:sz w:val="16"/>
              </w:rPr>
            </w:pPr>
          </w:p>
        </w:tc>
        <w:tc>
          <w:tcPr>
            <w:tcW w:w="406" w:type="dxa"/>
          </w:tcPr>
          <w:p>
            <w:pPr>
              <w:pStyle w:val="TableParagraph"/>
              <w:rPr>
                <w:rFonts w:ascii="Times New Roman"/>
                <w:sz w:val="16"/>
              </w:rPr>
            </w:pPr>
          </w:p>
        </w:tc>
        <w:tc>
          <w:tcPr>
            <w:tcW w:w="404" w:type="dxa"/>
          </w:tcPr>
          <w:p>
            <w:pPr>
              <w:pStyle w:val="TableParagraph"/>
              <w:spacing w:line="210" w:lineRule="exact"/>
              <w:ind w:left="49"/>
              <w:jc w:val="center"/>
              <w:rPr>
                <w:sz w:val="20"/>
              </w:rPr>
            </w:pPr>
            <w:r>
              <w:rPr>
                <w:w w:val="99"/>
                <w:sz w:val="20"/>
              </w:rPr>
              <w:t>X</w:t>
            </w:r>
          </w:p>
        </w:tc>
        <w:tc>
          <w:tcPr>
            <w:tcW w:w="404" w:type="dxa"/>
          </w:tcPr>
          <w:p>
            <w:pPr>
              <w:pStyle w:val="TableParagraph"/>
              <w:rPr>
                <w:rFonts w:ascii="Times New Roman"/>
                <w:sz w:val="16"/>
              </w:rPr>
            </w:pPr>
          </w:p>
        </w:tc>
        <w:tc>
          <w:tcPr>
            <w:tcW w:w="406" w:type="dxa"/>
          </w:tcPr>
          <w:p>
            <w:pPr>
              <w:pStyle w:val="TableParagraph"/>
              <w:rPr>
                <w:rFonts w:ascii="Times New Roman"/>
                <w:sz w:val="16"/>
              </w:rPr>
            </w:pPr>
          </w:p>
        </w:tc>
        <w:tc>
          <w:tcPr>
            <w:tcW w:w="404" w:type="dxa"/>
          </w:tcPr>
          <w:p>
            <w:pPr>
              <w:pStyle w:val="TableParagraph"/>
              <w:spacing w:line="210" w:lineRule="exact"/>
              <w:ind w:right="105"/>
              <w:jc w:val="right"/>
              <w:rPr>
                <w:sz w:val="20"/>
              </w:rPr>
            </w:pPr>
            <w:r>
              <w:rPr>
                <w:w w:val="99"/>
                <w:sz w:val="20"/>
              </w:rPr>
              <w:t>X</w:t>
            </w:r>
          </w:p>
        </w:tc>
      </w:tr>
      <w:tr>
        <w:trPr>
          <w:trHeight w:val="230" w:hRule="atLeast"/>
        </w:trPr>
        <w:tc>
          <w:tcPr>
            <w:tcW w:w="2148" w:type="dxa"/>
          </w:tcPr>
          <w:p>
            <w:pPr>
              <w:pStyle w:val="TableParagraph"/>
              <w:spacing w:line="210" w:lineRule="exact"/>
              <w:ind w:left="331"/>
              <w:rPr>
                <w:sz w:val="20"/>
              </w:rPr>
            </w:pPr>
            <w:r>
              <w:rPr>
                <w:sz w:val="20"/>
              </w:rPr>
              <w:t>Henderson,</w:t>
            </w:r>
            <w:r>
              <w:rPr>
                <w:spacing w:val="-14"/>
                <w:sz w:val="20"/>
              </w:rPr>
              <w:t> </w:t>
            </w:r>
            <w:r>
              <w:rPr>
                <w:spacing w:val="-10"/>
                <w:sz w:val="20"/>
              </w:rPr>
              <w:t>D</w:t>
            </w:r>
          </w:p>
        </w:tc>
        <w:tc>
          <w:tcPr>
            <w:tcW w:w="401" w:type="dxa"/>
          </w:tcPr>
          <w:p>
            <w:pPr>
              <w:pStyle w:val="TableParagraph"/>
              <w:rPr>
                <w:rFonts w:ascii="Times New Roman"/>
                <w:sz w:val="16"/>
              </w:rPr>
            </w:pPr>
          </w:p>
        </w:tc>
        <w:tc>
          <w:tcPr>
            <w:tcW w:w="406" w:type="dxa"/>
          </w:tcPr>
          <w:p>
            <w:pPr>
              <w:pStyle w:val="TableParagraph"/>
              <w:rPr>
                <w:rFonts w:ascii="Times New Roman"/>
                <w:sz w:val="16"/>
              </w:rPr>
            </w:pPr>
          </w:p>
        </w:tc>
        <w:tc>
          <w:tcPr>
            <w:tcW w:w="404" w:type="dxa"/>
          </w:tcPr>
          <w:p>
            <w:pPr>
              <w:pStyle w:val="TableParagraph"/>
              <w:rPr>
                <w:rFonts w:ascii="Times New Roman"/>
                <w:sz w:val="16"/>
              </w:rPr>
            </w:pPr>
          </w:p>
        </w:tc>
        <w:tc>
          <w:tcPr>
            <w:tcW w:w="404" w:type="dxa"/>
          </w:tcPr>
          <w:p>
            <w:pPr>
              <w:pStyle w:val="TableParagraph"/>
              <w:rPr>
                <w:rFonts w:ascii="Times New Roman"/>
                <w:sz w:val="16"/>
              </w:rPr>
            </w:pPr>
          </w:p>
        </w:tc>
        <w:tc>
          <w:tcPr>
            <w:tcW w:w="406" w:type="dxa"/>
          </w:tcPr>
          <w:p>
            <w:pPr>
              <w:pStyle w:val="TableParagraph"/>
              <w:rPr>
                <w:rFonts w:ascii="Times New Roman"/>
                <w:sz w:val="16"/>
              </w:rPr>
            </w:pPr>
          </w:p>
        </w:tc>
        <w:tc>
          <w:tcPr>
            <w:tcW w:w="404" w:type="dxa"/>
          </w:tcPr>
          <w:p>
            <w:pPr>
              <w:pStyle w:val="TableParagraph"/>
              <w:spacing w:line="210" w:lineRule="exact"/>
              <w:ind w:right="105"/>
              <w:jc w:val="right"/>
              <w:rPr>
                <w:sz w:val="20"/>
              </w:rPr>
            </w:pPr>
            <w:r>
              <w:rPr>
                <w:w w:val="99"/>
                <w:sz w:val="20"/>
              </w:rPr>
              <w:t>X</w:t>
            </w:r>
          </w:p>
        </w:tc>
      </w:tr>
      <w:tr>
        <w:trPr>
          <w:trHeight w:val="229" w:hRule="atLeast"/>
        </w:trPr>
        <w:tc>
          <w:tcPr>
            <w:tcW w:w="2148" w:type="dxa"/>
          </w:tcPr>
          <w:p>
            <w:pPr>
              <w:pStyle w:val="TableParagraph"/>
              <w:spacing w:line="210" w:lineRule="exact"/>
              <w:ind w:left="331"/>
              <w:rPr>
                <w:sz w:val="20"/>
              </w:rPr>
            </w:pPr>
            <w:r>
              <w:rPr>
                <w:spacing w:val="-2"/>
                <w:sz w:val="20"/>
              </w:rPr>
              <w:t>Kloster</w:t>
            </w:r>
          </w:p>
        </w:tc>
        <w:tc>
          <w:tcPr>
            <w:tcW w:w="401" w:type="dxa"/>
          </w:tcPr>
          <w:p>
            <w:pPr>
              <w:pStyle w:val="TableParagraph"/>
              <w:spacing w:line="210" w:lineRule="exact"/>
              <w:ind w:left="48"/>
              <w:jc w:val="center"/>
              <w:rPr>
                <w:sz w:val="20"/>
              </w:rPr>
            </w:pPr>
            <w:r>
              <w:rPr>
                <w:w w:val="99"/>
                <w:sz w:val="20"/>
              </w:rPr>
              <w:t>X</w:t>
            </w:r>
          </w:p>
        </w:tc>
        <w:tc>
          <w:tcPr>
            <w:tcW w:w="406" w:type="dxa"/>
          </w:tcPr>
          <w:p>
            <w:pPr>
              <w:pStyle w:val="TableParagraph"/>
              <w:spacing w:line="210" w:lineRule="exact"/>
              <w:ind w:left="155"/>
              <w:rPr>
                <w:sz w:val="20"/>
              </w:rPr>
            </w:pPr>
            <w:r>
              <w:rPr>
                <w:w w:val="99"/>
                <w:sz w:val="20"/>
              </w:rPr>
              <w:t>X</w:t>
            </w:r>
          </w:p>
        </w:tc>
        <w:tc>
          <w:tcPr>
            <w:tcW w:w="404" w:type="dxa"/>
          </w:tcPr>
          <w:p>
            <w:pPr>
              <w:pStyle w:val="TableParagraph"/>
              <w:rPr>
                <w:rFonts w:ascii="Times New Roman"/>
                <w:sz w:val="16"/>
              </w:rPr>
            </w:pPr>
          </w:p>
        </w:tc>
        <w:tc>
          <w:tcPr>
            <w:tcW w:w="404" w:type="dxa"/>
          </w:tcPr>
          <w:p>
            <w:pPr>
              <w:pStyle w:val="TableParagraph"/>
              <w:rPr>
                <w:rFonts w:ascii="Times New Roman"/>
                <w:sz w:val="16"/>
              </w:rPr>
            </w:pPr>
          </w:p>
        </w:tc>
        <w:tc>
          <w:tcPr>
            <w:tcW w:w="406" w:type="dxa"/>
          </w:tcPr>
          <w:p>
            <w:pPr>
              <w:pStyle w:val="TableParagraph"/>
              <w:rPr>
                <w:rFonts w:ascii="Times New Roman"/>
                <w:sz w:val="16"/>
              </w:rPr>
            </w:pPr>
          </w:p>
        </w:tc>
        <w:tc>
          <w:tcPr>
            <w:tcW w:w="404" w:type="dxa"/>
          </w:tcPr>
          <w:p>
            <w:pPr>
              <w:pStyle w:val="TableParagraph"/>
              <w:spacing w:line="210" w:lineRule="exact"/>
              <w:ind w:right="105"/>
              <w:jc w:val="right"/>
              <w:rPr>
                <w:sz w:val="20"/>
              </w:rPr>
            </w:pPr>
            <w:r>
              <w:rPr>
                <w:w w:val="99"/>
                <w:sz w:val="20"/>
              </w:rPr>
              <w:t>X</w:t>
            </w:r>
          </w:p>
        </w:tc>
      </w:tr>
      <w:tr>
        <w:trPr>
          <w:trHeight w:val="230" w:hRule="atLeast"/>
        </w:trPr>
        <w:tc>
          <w:tcPr>
            <w:tcW w:w="2148" w:type="dxa"/>
          </w:tcPr>
          <w:p>
            <w:pPr>
              <w:pStyle w:val="TableParagraph"/>
              <w:spacing w:line="210" w:lineRule="exact"/>
              <w:ind w:left="331"/>
              <w:rPr>
                <w:sz w:val="20"/>
              </w:rPr>
            </w:pPr>
            <w:r>
              <w:rPr>
                <w:spacing w:val="-2"/>
                <w:sz w:val="20"/>
              </w:rPr>
              <w:t>Brown</w:t>
            </w:r>
          </w:p>
        </w:tc>
        <w:tc>
          <w:tcPr>
            <w:tcW w:w="401" w:type="dxa"/>
          </w:tcPr>
          <w:p>
            <w:pPr>
              <w:pStyle w:val="TableParagraph"/>
              <w:rPr>
                <w:rFonts w:ascii="Times New Roman"/>
                <w:sz w:val="16"/>
              </w:rPr>
            </w:pPr>
          </w:p>
        </w:tc>
        <w:tc>
          <w:tcPr>
            <w:tcW w:w="406" w:type="dxa"/>
          </w:tcPr>
          <w:p>
            <w:pPr>
              <w:pStyle w:val="TableParagraph"/>
              <w:rPr>
                <w:rFonts w:ascii="Times New Roman"/>
                <w:sz w:val="16"/>
              </w:rPr>
            </w:pPr>
          </w:p>
        </w:tc>
        <w:tc>
          <w:tcPr>
            <w:tcW w:w="404" w:type="dxa"/>
          </w:tcPr>
          <w:p>
            <w:pPr>
              <w:pStyle w:val="TableParagraph"/>
              <w:rPr>
                <w:rFonts w:ascii="Times New Roman"/>
                <w:sz w:val="16"/>
              </w:rPr>
            </w:pPr>
          </w:p>
        </w:tc>
        <w:tc>
          <w:tcPr>
            <w:tcW w:w="404" w:type="dxa"/>
          </w:tcPr>
          <w:p>
            <w:pPr>
              <w:pStyle w:val="TableParagraph"/>
              <w:spacing w:line="210" w:lineRule="exact"/>
              <w:ind w:left="154"/>
              <w:rPr>
                <w:sz w:val="20"/>
              </w:rPr>
            </w:pPr>
            <w:r>
              <w:rPr>
                <w:w w:val="99"/>
                <w:sz w:val="20"/>
              </w:rPr>
              <w:t>X</w:t>
            </w:r>
          </w:p>
        </w:tc>
        <w:tc>
          <w:tcPr>
            <w:tcW w:w="406" w:type="dxa"/>
          </w:tcPr>
          <w:p>
            <w:pPr>
              <w:pStyle w:val="TableParagraph"/>
              <w:spacing w:line="210" w:lineRule="exact"/>
              <w:ind w:left="153"/>
              <w:rPr>
                <w:sz w:val="20"/>
              </w:rPr>
            </w:pPr>
            <w:r>
              <w:rPr>
                <w:w w:val="99"/>
                <w:sz w:val="20"/>
              </w:rPr>
              <w:t>X</w:t>
            </w:r>
          </w:p>
        </w:tc>
        <w:tc>
          <w:tcPr>
            <w:tcW w:w="404" w:type="dxa"/>
          </w:tcPr>
          <w:p>
            <w:pPr>
              <w:pStyle w:val="TableParagraph"/>
              <w:rPr>
                <w:rFonts w:ascii="Times New Roman"/>
                <w:sz w:val="16"/>
              </w:rPr>
            </w:pPr>
          </w:p>
        </w:tc>
      </w:tr>
      <w:tr>
        <w:trPr>
          <w:trHeight w:val="230" w:hRule="atLeast"/>
        </w:trPr>
        <w:tc>
          <w:tcPr>
            <w:tcW w:w="2148" w:type="dxa"/>
          </w:tcPr>
          <w:p>
            <w:pPr>
              <w:pStyle w:val="TableParagraph"/>
              <w:spacing w:line="210" w:lineRule="exact"/>
              <w:ind w:left="331"/>
              <w:rPr>
                <w:sz w:val="20"/>
              </w:rPr>
            </w:pPr>
            <w:r>
              <w:rPr>
                <w:spacing w:val="-2"/>
                <w:sz w:val="20"/>
              </w:rPr>
              <w:t>Gindroz</w:t>
            </w:r>
          </w:p>
        </w:tc>
        <w:tc>
          <w:tcPr>
            <w:tcW w:w="401" w:type="dxa"/>
          </w:tcPr>
          <w:p>
            <w:pPr>
              <w:pStyle w:val="TableParagraph"/>
              <w:rPr>
                <w:rFonts w:ascii="Times New Roman"/>
                <w:sz w:val="16"/>
              </w:rPr>
            </w:pPr>
          </w:p>
        </w:tc>
        <w:tc>
          <w:tcPr>
            <w:tcW w:w="406" w:type="dxa"/>
          </w:tcPr>
          <w:p>
            <w:pPr>
              <w:pStyle w:val="TableParagraph"/>
              <w:rPr>
                <w:rFonts w:ascii="Times New Roman"/>
                <w:sz w:val="16"/>
              </w:rPr>
            </w:pPr>
          </w:p>
        </w:tc>
        <w:tc>
          <w:tcPr>
            <w:tcW w:w="404" w:type="dxa"/>
          </w:tcPr>
          <w:p>
            <w:pPr>
              <w:pStyle w:val="TableParagraph"/>
              <w:spacing w:line="210" w:lineRule="exact"/>
              <w:ind w:left="49"/>
              <w:jc w:val="center"/>
              <w:rPr>
                <w:sz w:val="20"/>
              </w:rPr>
            </w:pPr>
            <w:r>
              <w:rPr>
                <w:w w:val="99"/>
                <w:sz w:val="20"/>
              </w:rPr>
              <w:t>X</w:t>
            </w:r>
          </w:p>
        </w:tc>
        <w:tc>
          <w:tcPr>
            <w:tcW w:w="404" w:type="dxa"/>
          </w:tcPr>
          <w:p>
            <w:pPr>
              <w:pStyle w:val="TableParagraph"/>
              <w:rPr>
                <w:rFonts w:ascii="Times New Roman"/>
                <w:sz w:val="16"/>
              </w:rPr>
            </w:pPr>
          </w:p>
        </w:tc>
        <w:tc>
          <w:tcPr>
            <w:tcW w:w="406" w:type="dxa"/>
          </w:tcPr>
          <w:p>
            <w:pPr>
              <w:pStyle w:val="TableParagraph"/>
              <w:rPr>
                <w:rFonts w:ascii="Times New Roman"/>
                <w:sz w:val="16"/>
              </w:rPr>
            </w:pPr>
          </w:p>
        </w:tc>
        <w:tc>
          <w:tcPr>
            <w:tcW w:w="404" w:type="dxa"/>
          </w:tcPr>
          <w:p>
            <w:pPr>
              <w:pStyle w:val="TableParagraph"/>
              <w:rPr>
                <w:rFonts w:ascii="Times New Roman"/>
                <w:sz w:val="16"/>
              </w:rPr>
            </w:pPr>
          </w:p>
        </w:tc>
      </w:tr>
      <w:tr>
        <w:trPr>
          <w:trHeight w:val="229" w:hRule="atLeast"/>
        </w:trPr>
        <w:tc>
          <w:tcPr>
            <w:tcW w:w="2148" w:type="dxa"/>
          </w:tcPr>
          <w:p>
            <w:pPr>
              <w:pStyle w:val="TableParagraph"/>
              <w:spacing w:line="210" w:lineRule="exact"/>
              <w:ind w:left="331"/>
              <w:rPr>
                <w:sz w:val="20"/>
              </w:rPr>
            </w:pPr>
            <w:r>
              <w:rPr>
                <w:spacing w:val="-2"/>
                <w:sz w:val="20"/>
              </w:rPr>
              <w:t>Turner</w:t>
            </w:r>
          </w:p>
        </w:tc>
        <w:tc>
          <w:tcPr>
            <w:tcW w:w="401" w:type="dxa"/>
          </w:tcPr>
          <w:p>
            <w:pPr>
              <w:pStyle w:val="TableParagraph"/>
              <w:spacing w:line="210" w:lineRule="exact"/>
              <w:ind w:left="48"/>
              <w:jc w:val="center"/>
              <w:rPr>
                <w:sz w:val="20"/>
              </w:rPr>
            </w:pPr>
            <w:r>
              <w:rPr>
                <w:w w:val="99"/>
                <w:sz w:val="20"/>
              </w:rPr>
              <w:t>X</w:t>
            </w:r>
          </w:p>
        </w:tc>
        <w:tc>
          <w:tcPr>
            <w:tcW w:w="406" w:type="dxa"/>
          </w:tcPr>
          <w:p>
            <w:pPr>
              <w:pStyle w:val="TableParagraph"/>
              <w:rPr>
                <w:rFonts w:ascii="Times New Roman"/>
                <w:sz w:val="16"/>
              </w:rPr>
            </w:pPr>
          </w:p>
        </w:tc>
        <w:tc>
          <w:tcPr>
            <w:tcW w:w="404" w:type="dxa"/>
          </w:tcPr>
          <w:p>
            <w:pPr>
              <w:pStyle w:val="TableParagraph"/>
              <w:rPr>
                <w:rFonts w:ascii="Times New Roman"/>
                <w:sz w:val="16"/>
              </w:rPr>
            </w:pPr>
          </w:p>
        </w:tc>
        <w:tc>
          <w:tcPr>
            <w:tcW w:w="404" w:type="dxa"/>
          </w:tcPr>
          <w:p>
            <w:pPr>
              <w:pStyle w:val="TableParagraph"/>
              <w:rPr>
                <w:rFonts w:ascii="Times New Roman"/>
                <w:sz w:val="16"/>
              </w:rPr>
            </w:pPr>
          </w:p>
        </w:tc>
        <w:tc>
          <w:tcPr>
            <w:tcW w:w="406" w:type="dxa"/>
          </w:tcPr>
          <w:p>
            <w:pPr>
              <w:pStyle w:val="TableParagraph"/>
              <w:rPr>
                <w:rFonts w:ascii="Times New Roman"/>
                <w:sz w:val="16"/>
              </w:rPr>
            </w:pPr>
          </w:p>
        </w:tc>
        <w:tc>
          <w:tcPr>
            <w:tcW w:w="404" w:type="dxa"/>
          </w:tcPr>
          <w:p>
            <w:pPr>
              <w:pStyle w:val="TableParagraph"/>
              <w:rPr>
                <w:rFonts w:ascii="Times New Roman"/>
                <w:sz w:val="16"/>
              </w:rPr>
            </w:pPr>
          </w:p>
        </w:tc>
      </w:tr>
    </w:tbl>
    <w:p>
      <w:pPr>
        <w:pStyle w:val="BodyText"/>
        <w:spacing w:before="6"/>
        <w:rPr>
          <w:b/>
          <w:sz w:val="31"/>
        </w:rPr>
      </w:pPr>
    </w:p>
    <w:p>
      <w:pPr>
        <w:pStyle w:val="BodyText"/>
        <w:ind w:right="5082"/>
        <w:jc w:val="right"/>
      </w:pPr>
      <w:r>
        <w:rPr/>
        <w:t>*NOTE:</w:t>
      </w:r>
      <w:r>
        <w:rPr>
          <w:spacing w:val="-5"/>
        </w:rPr>
        <w:t> </w:t>
      </w:r>
      <w:r>
        <w:rPr/>
        <w:t>All</w:t>
      </w:r>
      <w:r>
        <w:rPr>
          <w:spacing w:val="-6"/>
        </w:rPr>
        <w:t> </w:t>
      </w:r>
      <w:r>
        <w:rPr/>
        <w:t>summer</w:t>
      </w:r>
      <w:r>
        <w:rPr>
          <w:spacing w:val="-6"/>
        </w:rPr>
        <w:t> </w:t>
      </w:r>
      <w:r>
        <w:rPr/>
        <w:t>faculty</w:t>
      </w:r>
      <w:r>
        <w:rPr>
          <w:spacing w:val="-6"/>
        </w:rPr>
        <w:t> </w:t>
      </w:r>
      <w:r>
        <w:rPr/>
        <w:t>are</w:t>
      </w:r>
      <w:r>
        <w:rPr>
          <w:spacing w:val="-5"/>
        </w:rPr>
        <w:t> </w:t>
      </w:r>
      <w:r>
        <w:rPr/>
        <w:t>on</w:t>
      </w:r>
      <w:r>
        <w:rPr>
          <w:spacing w:val="-5"/>
        </w:rPr>
        <w:t> </w:t>
      </w:r>
      <w:r>
        <w:rPr/>
        <w:t>separate</w:t>
      </w:r>
      <w:r>
        <w:rPr>
          <w:spacing w:val="-5"/>
        </w:rPr>
        <w:t> </w:t>
      </w:r>
      <w:r>
        <w:rPr>
          <w:spacing w:val="-2"/>
        </w:rPr>
        <w:t>contracts.</w:t>
      </w:r>
    </w:p>
    <w:p>
      <w:pPr>
        <w:spacing w:after="0"/>
        <w:jc w:val="right"/>
        <w:sectPr>
          <w:headerReference w:type="default" r:id="rId12"/>
          <w:footerReference w:type="default" r:id="rId13"/>
          <w:pgSz w:w="12240" w:h="15840"/>
          <w:pgMar w:header="1442" w:footer="974" w:top="1660" w:bottom="1160" w:left="940" w:right="960"/>
        </w:sectPr>
      </w:pPr>
    </w:p>
    <w:p>
      <w:pPr>
        <w:pStyle w:val="BodyText"/>
        <w:spacing w:before="4"/>
        <w:rPr>
          <w:sz w:val="21"/>
        </w:rPr>
      </w:pPr>
    </w:p>
    <w:tbl>
      <w:tblPr>
        <w:tblW w:w="0" w:type="auto"/>
        <w:jc w:val="left"/>
        <w:tblInd w:w="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53"/>
        <w:gridCol w:w="411"/>
        <w:gridCol w:w="411"/>
        <w:gridCol w:w="411"/>
        <w:gridCol w:w="409"/>
        <w:gridCol w:w="409"/>
        <w:gridCol w:w="411"/>
        <w:gridCol w:w="409"/>
        <w:gridCol w:w="411"/>
        <w:gridCol w:w="409"/>
        <w:gridCol w:w="409"/>
        <w:gridCol w:w="411"/>
        <w:gridCol w:w="409"/>
        <w:gridCol w:w="411"/>
      </w:tblGrid>
      <w:tr>
        <w:trPr>
          <w:trHeight w:val="1348" w:hRule="atLeast"/>
        </w:trPr>
        <w:tc>
          <w:tcPr>
            <w:tcW w:w="3353" w:type="dxa"/>
          </w:tcPr>
          <w:p>
            <w:pPr>
              <w:pStyle w:val="TableParagraph"/>
              <w:rPr>
                <w:rFonts w:ascii="Times New Roman"/>
                <w:sz w:val="18"/>
              </w:rPr>
            </w:pPr>
          </w:p>
        </w:tc>
        <w:tc>
          <w:tcPr>
            <w:tcW w:w="411" w:type="dxa"/>
            <w:textDirection w:val="btLr"/>
          </w:tcPr>
          <w:p>
            <w:pPr>
              <w:pStyle w:val="TableParagraph"/>
              <w:spacing w:before="102"/>
              <w:ind w:left="112"/>
              <w:rPr>
                <w:sz w:val="18"/>
              </w:rPr>
            </w:pPr>
            <w:r>
              <w:rPr>
                <w:sz w:val="18"/>
              </w:rPr>
              <w:t>ARC</w:t>
            </w:r>
            <w:r>
              <w:rPr>
                <w:spacing w:val="-5"/>
                <w:sz w:val="18"/>
              </w:rPr>
              <w:t> 101</w:t>
            </w:r>
          </w:p>
        </w:tc>
        <w:tc>
          <w:tcPr>
            <w:tcW w:w="411" w:type="dxa"/>
            <w:textDirection w:val="btLr"/>
          </w:tcPr>
          <w:p>
            <w:pPr>
              <w:pStyle w:val="TableParagraph"/>
              <w:spacing w:before="99"/>
              <w:ind w:left="112"/>
              <w:rPr>
                <w:sz w:val="18"/>
              </w:rPr>
            </w:pPr>
            <w:r>
              <w:rPr>
                <w:sz w:val="18"/>
              </w:rPr>
              <w:t>ARC</w:t>
            </w:r>
            <w:r>
              <w:rPr>
                <w:spacing w:val="-5"/>
                <w:sz w:val="18"/>
              </w:rPr>
              <w:t> 200</w:t>
            </w:r>
          </w:p>
        </w:tc>
        <w:tc>
          <w:tcPr>
            <w:tcW w:w="411" w:type="dxa"/>
            <w:textDirection w:val="btLr"/>
          </w:tcPr>
          <w:p>
            <w:pPr>
              <w:pStyle w:val="TableParagraph"/>
              <w:spacing w:before="98"/>
              <w:ind w:left="112"/>
              <w:rPr>
                <w:sz w:val="18"/>
              </w:rPr>
            </w:pPr>
            <w:r>
              <w:rPr>
                <w:sz w:val="18"/>
              </w:rPr>
              <w:t>ARC</w:t>
            </w:r>
            <w:r>
              <w:rPr>
                <w:spacing w:val="-5"/>
                <w:sz w:val="18"/>
              </w:rPr>
              <w:t> 201</w:t>
            </w:r>
          </w:p>
        </w:tc>
        <w:tc>
          <w:tcPr>
            <w:tcW w:w="409" w:type="dxa"/>
            <w:textDirection w:val="btLr"/>
          </w:tcPr>
          <w:p>
            <w:pPr>
              <w:pStyle w:val="TableParagraph"/>
              <w:spacing w:before="95"/>
              <w:ind w:left="112"/>
              <w:rPr>
                <w:sz w:val="18"/>
              </w:rPr>
            </w:pPr>
            <w:r>
              <w:rPr>
                <w:sz w:val="18"/>
              </w:rPr>
              <w:t>ARC</w:t>
            </w:r>
            <w:r>
              <w:rPr>
                <w:spacing w:val="-5"/>
                <w:sz w:val="18"/>
              </w:rPr>
              <w:t> 203</w:t>
            </w:r>
          </w:p>
        </w:tc>
        <w:tc>
          <w:tcPr>
            <w:tcW w:w="409" w:type="dxa"/>
            <w:textDirection w:val="btLr"/>
          </w:tcPr>
          <w:p>
            <w:pPr>
              <w:pStyle w:val="TableParagraph"/>
              <w:spacing w:before="97"/>
              <w:ind w:left="113"/>
              <w:rPr>
                <w:sz w:val="18"/>
              </w:rPr>
            </w:pPr>
            <w:r>
              <w:rPr>
                <w:sz w:val="18"/>
              </w:rPr>
              <w:t>ARC</w:t>
            </w:r>
            <w:r>
              <w:rPr>
                <w:spacing w:val="-5"/>
                <w:sz w:val="18"/>
              </w:rPr>
              <w:t> 208</w:t>
            </w:r>
          </w:p>
        </w:tc>
        <w:tc>
          <w:tcPr>
            <w:tcW w:w="411" w:type="dxa"/>
            <w:textDirection w:val="btLr"/>
          </w:tcPr>
          <w:p>
            <w:pPr>
              <w:pStyle w:val="TableParagraph"/>
              <w:spacing w:before="96"/>
              <w:ind w:left="113"/>
              <w:rPr>
                <w:sz w:val="18"/>
              </w:rPr>
            </w:pPr>
            <w:r>
              <w:rPr>
                <w:sz w:val="18"/>
              </w:rPr>
              <w:t>ARC</w:t>
            </w:r>
            <w:r>
              <w:rPr>
                <w:spacing w:val="-5"/>
                <w:sz w:val="18"/>
              </w:rPr>
              <w:t> 303</w:t>
            </w:r>
          </w:p>
        </w:tc>
        <w:tc>
          <w:tcPr>
            <w:tcW w:w="409" w:type="dxa"/>
            <w:textDirection w:val="btLr"/>
          </w:tcPr>
          <w:p>
            <w:pPr>
              <w:pStyle w:val="TableParagraph"/>
              <w:spacing w:before="95"/>
              <w:ind w:left="113"/>
              <w:rPr>
                <w:sz w:val="18"/>
              </w:rPr>
            </w:pPr>
            <w:r>
              <w:rPr>
                <w:sz w:val="18"/>
              </w:rPr>
              <w:t>ARC</w:t>
            </w:r>
            <w:r>
              <w:rPr>
                <w:spacing w:val="-5"/>
                <w:sz w:val="18"/>
              </w:rPr>
              <w:t> 309</w:t>
            </w:r>
          </w:p>
        </w:tc>
        <w:tc>
          <w:tcPr>
            <w:tcW w:w="411" w:type="dxa"/>
            <w:textDirection w:val="btLr"/>
          </w:tcPr>
          <w:p>
            <w:pPr>
              <w:pStyle w:val="TableParagraph"/>
              <w:spacing w:before="94"/>
              <w:ind w:left="113"/>
              <w:rPr>
                <w:sz w:val="18"/>
              </w:rPr>
            </w:pPr>
            <w:r>
              <w:rPr>
                <w:sz w:val="18"/>
              </w:rPr>
              <w:t>ARC</w:t>
            </w:r>
            <w:r>
              <w:rPr>
                <w:spacing w:val="-5"/>
                <w:sz w:val="18"/>
              </w:rPr>
              <w:t> 314</w:t>
            </w:r>
          </w:p>
        </w:tc>
        <w:tc>
          <w:tcPr>
            <w:tcW w:w="409" w:type="dxa"/>
            <w:textDirection w:val="btLr"/>
          </w:tcPr>
          <w:p>
            <w:pPr>
              <w:pStyle w:val="TableParagraph"/>
              <w:spacing w:before="94"/>
              <w:ind w:left="113"/>
              <w:rPr>
                <w:sz w:val="18"/>
              </w:rPr>
            </w:pPr>
            <w:r>
              <w:rPr>
                <w:sz w:val="18"/>
              </w:rPr>
              <w:t>ARC</w:t>
            </w:r>
            <w:r>
              <w:rPr>
                <w:spacing w:val="-5"/>
                <w:sz w:val="18"/>
              </w:rPr>
              <w:t> 405</w:t>
            </w:r>
          </w:p>
        </w:tc>
        <w:tc>
          <w:tcPr>
            <w:tcW w:w="409" w:type="dxa"/>
            <w:textDirection w:val="btLr"/>
          </w:tcPr>
          <w:p>
            <w:pPr>
              <w:pStyle w:val="TableParagraph"/>
              <w:spacing w:before="93"/>
              <w:ind w:left="114"/>
              <w:rPr>
                <w:sz w:val="18"/>
              </w:rPr>
            </w:pPr>
            <w:r>
              <w:rPr>
                <w:sz w:val="18"/>
              </w:rPr>
              <w:t>ARC</w:t>
            </w:r>
            <w:r>
              <w:rPr>
                <w:spacing w:val="-5"/>
                <w:sz w:val="18"/>
              </w:rPr>
              <w:t> 414</w:t>
            </w:r>
          </w:p>
        </w:tc>
        <w:tc>
          <w:tcPr>
            <w:tcW w:w="411" w:type="dxa"/>
            <w:textDirection w:val="btLr"/>
          </w:tcPr>
          <w:p>
            <w:pPr>
              <w:pStyle w:val="TableParagraph"/>
              <w:spacing w:before="92"/>
              <w:ind w:left="114"/>
              <w:rPr>
                <w:sz w:val="18"/>
              </w:rPr>
            </w:pPr>
            <w:r>
              <w:rPr>
                <w:sz w:val="18"/>
              </w:rPr>
              <w:t>ARC</w:t>
            </w:r>
            <w:r>
              <w:rPr>
                <w:spacing w:val="-5"/>
                <w:sz w:val="18"/>
              </w:rPr>
              <w:t> 517</w:t>
            </w:r>
          </w:p>
        </w:tc>
        <w:tc>
          <w:tcPr>
            <w:tcW w:w="409" w:type="dxa"/>
            <w:textDirection w:val="btLr"/>
          </w:tcPr>
          <w:p>
            <w:pPr>
              <w:pStyle w:val="TableParagraph"/>
              <w:spacing w:before="91"/>
              <w:ind w:left="114"/>
              <w:rPr>
                <w:sz w:val="18"/>
              </w:rPr>
            </w:pPr>
            <w:r>
              <w:rPr>
                <w:sz w:val="18"/>
              </w:rPr>
              <w:t>ARC</w:t>
            </w:r>
            <w:r>
              <w:rPr>
                <w:spacing w:val="-5"/>
                <w:sz w:val="18"/>
              </w:rPr>
              <w:t> 601</w:t>
            </w:r>
          </w:p>
        </w:tc>
        <w:tc>
          <w:tcPr>
            <w:tcW w:w="411" w:type="dxa"/>
            <w:textDirection w:val="btLr"/>
          </w:tcPr>
          <w:p>
            <w:pPr>
              <w:pStyle w:val="TableParagraph"/>
              <w:spacing w:before="90"/>
              <w:ind w:left="114"/>
              <w:rPr>
                <w:sz w:val="18"/>
              </w:rPr>
            </w:pPr>
            <w:r>
              <w:rPr>
                <w:sz w:val="18"/>
              </w:rPr>
              <w:t>ARC</w:t>
            </w:r>
            <w:r>
              <w:rPr>
                <w:spacing w:val="-5"/>
                <w:sz w:val="18"/>
              </w:rPr>
              <w:t> 618</w:t>
            </w:r>
          </w:p>
        </w:tc>
      </w:tr>
      <w:tr>
        <w:trPr>
          <w:trHeight w:val="229" w:hRule="atLeast"/>
        </w:trPr>
        <w:tc>
          <w:tcPr>
            <w:tcW w:w="8684" w:type="dxa"/>
            <w:gridSpan w:val="14"/>
          </w:tcPr>
          <w:p>
            <w:pPr>
              <w:pStyle w:val="TableParagraph"/>
              <w:spacing w:line="210" w:lineRule="exact"/>
              <w:ind w:left="43"/>
              <w:rPr>
                <w:sz w:val="20"/>
              </w:rPr>
            </w:pPr>
            <w:r>
              <w:rPr>
                <w:sz w:val="20"/>
              </w:rPr>
              <w:t>Full</w:t>
            </w:r>
            <w:r>
              <w:rPr>
                <w:spacing w:val="-5"/>
                <w:sz w:val="20"/>
              </w:rPr>
              <w:t> </w:t>
            </w:r>
            <w:r>
              <w:rPr>
                <w:sz w:val="20"/>
              </w:rPr>
              <w:t>Time</w:t>
            </w:r>
            <w:r>
              <w:rPr>
                <w:spacing w:val="-4"/>
                <w:sz w:val="20"/>
              </w:rPr>
              <w:t> </w:t>
            </w:r>
            <w:r>
              <w:rPr>
                <w:spacing w:val="-2"/>
                <w:sz w:val="20"/>
              </w:rPr>
              <w:t>Faculty</w:t>
            </w:r>
          </w:p>
        </w:tc>
      </w:tr>
      <w:tr>
        <w:trPr>
          <w:trHeight w:val="230" w:hRule="atLeast"/>
        </w:trPr>
        <w:tc>
          <w:tcPr>
            <w:tcW w:w="3353" w:type="dxa"/>
          </w:tcPr>
          <w:p>
            <w:pPr>
              <w:pStyle w:val="TableParagraph"/>
              <w:spacing w:line="210" w:lineRule="exact"/>
              <w:ind w:left="331"/>
              <w:rPr>
                <w:sz w:val="20"/>
              </w:rPr>
            </w:pPr>
            <w:r>
              <w:rPr>
                <w:spacing w:val="-2"/>
                <w:sz w:val="20"/>
              </w:rPr>
              <w:t>Andrews</w:t>
            </w:r>
          </w:p>
        </w:tc>
        <w:tc>
          <w:tcPr>
            <w:tcW w:w="411" w:type="dxa"/>
          </w:tcPr>
          <w:p>
            <w:pPr>
              <w:pStyle w:val="TableParagraph"/>
              <w:rPr>
                <w:rFonts w:ascii="Times New Roman"/>
                <w:sz w:val="16"/>
              </w:rPr>
            </w:pPr>
          </w:p>
        </w:tc>
        <w:tc>
          <w:tcPr>
            <w:tcW w:w="411"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spacing w:line="210" w:lineRule="exact"/>
              <w:ind w:left="40"/>
              <w:jc w:val="center"/>
              <w:rPr>
                <w:sz w:val="20"/>
              </w:rPr>
            </w:pPr>
            <w:r>
              <w:rPr>
                <w:w w:val="99"/>
                <w:sz w:val="20"/>
              </w:rPr>
              <w:t>X</w:t>
            </w:r>
          </w:p>
        </w:tc>
        <w:tc>
          <w:tcPr>
            <w:tcW w:w="409"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r>
      <w:tr>
        <w:trPr>
          <w:trHeight w:val="230" w:hRule="atLeast"/>
        </w:trPr>
        <w:tc>
          <w:tcPr>
            <w:tcW w:w="3353" w:type="dxa"/>
          </w:tcPr>
          <w:p>
            <w:pPr>
              <w:pStyle w:val="TableParagraph"/>
              <w:spacing w:line="210" w:lineRule="exact"/>
              <w:ind w:left="331"/>
              <w:rPr>
                <w:sz w:val="20"/>
              </w:rPr>
            </w:pPr>
            <w:r>
              <w:rPr>
                <w:spacing w:val="-2"/>
                <w:sz w:val="20"/>
              </w:rPr>
              <w:t>Easter</w:t>
            </w:r>
          </w:p>
        </w:tc>
        <w:tc>
          <w:tcPr>
            <w:tcW w:w="411" w:type="dxa"/>
          </w:tcPr>
          <w:p>
            <w:pPr>
              <w:pStyle w:val="TableParagraph"/>
              <w:rPr>
                <w:rFonts w:ascii="Times New Roman"/>
                <w:sz w:val="16"/>
              </w:rPr>
            </w:pPr>
          </w:p>
        </w:tc>
        <w:tc>
          <w:tcPr>
            <w:tcW w:w="411"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spacing w:line="210" w:lineRule="exact"/>
              <w:ind w:left="149"/>
              <w:rPr>
                <w:sz w:val="20"/>
              </w:rPr>
            </w:pPr>
            <w:r>
              <w:rPr>
                <w:w w:val="99"/>
                <w:sz w:val="20"/>
              </w:rPr>
              <w:t>X</w:t>
            </w:r>
          </w:p>
        </w:tc>
        <w:tc>
          <w:tcPr>
            <w:tcW w:w="409" w:type="dxa"/>
          </w:tcPr>
          <w:p>
            <w:pPr>
              <w:pStyle w:val="TableParagraph"/>
              <w:rPr>
                <w:rFonts w:ascii="Times New Roman"/>
                <w:sz w:val="16"/>
              </w:rPr>
            </w:pPr>
          </w:p>
        </w:tc>
        <w:tc>
          <w:tcPr>
            <w:tcW w:w="411" w:type="dxa"/>
          </w:tcPr>
          <w:p>
            <w:pPr>
              <w:pStyle w:val="TableParagraph"/>
              <w:spacing w:line="210" w:lineRule="exact"/>
              <w:ind w:left="150"/>
              <w:rPr>
                <w:sz w:val="20"/>
              </w:rPr>
            </w:pPr>
            <w:r>
              <w:rPr>
                <w:w w:val="99"/>
                <w:sz w:val="20"/>
              </w:rPr>
              <w:t>X</w:t>
            </w:r>
          </w:p>
        </w:tc>
        <w:tc>
          <w:tcPr>
            <w:tcW w:w="409" w:type="dxa"/>
          </w:tcPr>
          <w:p>
            <w:pPr>
              <w:pStyle w:val="TableParagraph"/>
              <w:rPr>
                <w:rFonts w:ascii="Times New Roman"/>
                <w:sz w:val="16"/>
              </w:rPr>
            </w:pPr>
          </w:p>
        </w:tc>
        <w:tc>
          <w:tcPr>
            <w:tcW w:w="411" w:type="dxa"/>
          </w:tcPr>
          <w:p>
            <w:pPr>
              <w:pStyle w:val="TableParagraph"/>
              <w:rPr>
                <w:rFonts w:ascii="Times New Roman"/>
                <w:sz w:val="16"/>
              </w:rPr>
            </w:pPr>
          </w:p>
        </w:tc>
      </w:tr>
      <w:tr>
        <w:trPr>
          <w:trHeight w:val="229" w:hRule="atLeast"/>
        </w:trPr>
        <w:tc>
          <w:tcPr>
            <w:tcW w:w="3353" w:type="dxa"/>
          </w:tcPr>
          <w:p>
            <w:pPr>
              <w:pStyle w:val="TableParagraph"/>
              <w:spacing w:line="210" w:lineRule="exact"/>
              <w:ind w:left="331"/>
              <w:rPr>
                <w:sz w:val="20"/>
              </w:rPr>
            </w:pPr>
            <w:r>
              <w:rPr>
                <w:sz w:val="20"/>
              </w:rPr>
              <w:t>Henderson,</w:t>
            </w:r>
            <w:r>
              <w:rPr>
                <w:spacing w:val="-14"/>
                <w:sz w:val="20"/>
              </w:rPr>
              <w:t> </w:t>
            </w:r>
            <w:r>
              <w:rPr>
                <w:spacing w:val="-10"/>
                <w:sz w:val="20"/>
              </w:rPr>
              <w:t>D</w:t>
            </w:r>
          </w:p>
        </w:tc>
        <w:tc>
          <w:tcPr>
            <w:tcW w:w="411" w:type="dxa"/>
          </w:tcPr>
          <w:p>
            <w:pPr>
              <w:pStyle w:val="TableParagraph"/>
              <w:rPr>
                <w:rFonts w:ascii="Times New Roman"/>
                <w:sz w:val="16"/>
              </w:rPr>
            </w:pPr>
          </w:p>
        </w:tc>
        <w:tc>
          <w:tcPr>
            <w:tcW w:w="411" w:type="dxa"/>
          </w:tcPr>
          <w:p>
            <w:pPr>
              <w:pStyle w:val="TableParagraph"/>
              <w:spacing w:line="210" w:lineRule="exact"/>
              <w:ind w:left="157"/>
              <w:rPr>
                <w:sz w:val="20"/>
              </w:rPr>
            </w:pPr>
            <w:r>
              <w:rPr>
                <w:w w:val="99"/>
                <w:sz w:val="20"/>
              </w:rPr>
              <w:t>X</w:t>
            </w:r>
          </w:p>
        </w:tc>
        <w:tc>
          <w:tcPr>
            <w:tcW w:w="411" w:type="dxa"/>
          </w:tcPr>
          <w:p>
            <w:pPr>
              <w:pStyle w:val="TableParagraph"/>
              <w:spacing w:line="210" w:lineRule="exact"/>
              <w:ind w:left="156"/>
              <w:rPr>
                <w:sz w:val="20"/>
              </w:rPr>
            </w:pPr>
            <w:r>
              <w:rPr>
                <w:w w:val="99"/>
                <w:sz w:val="20"/>
              </w:rPr>
              <w:t>X</w:t>
            </w:r>
          </w:p>
        </w:tc>
        <w:tc>
          <w:tcPr>
            <w:tcW w:w="409"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r>
      <w:tr>
        <w:trPr>
          <w:trHeight w:val="230" w:hRule="atLeast"/>
        </w:trPr>
        <w:tc>
          <w:tcPr>
            <w:tcW w:w="3353" w:type="dxa"/>
          </w:tcPr>
          <w:p>
            <w:pPr>
              <w:pStyle w:val="TableParagraph"/>
              <w:spacing w:line="210" w:lineRule="exact"/>
              <w:ind w:left="331"/>
              <w:rPr>
                <w:sz w:val="20"/>
              </w:rPr>
            </w:pPr>
            <w:r>
              <w:rPr>
                <w:spacing w:val="-2"/>
                <w:sz w:val="20"/>
              </w:rPr>
              <w:t>Henderson,</w:t>
            </w:r>
            <w:r>
              <w:rPr>
                <w:spacing w:val="4"/>
                <w:sz w:val="20"/>
              </w:rPr>
              <w:t> </w:t>
            </w:r>
            <w:r>
              <w:rPr>
                <w:spacing w:val="-10"/>
                <w:sz w:val="20"/>
              </w:rPr>
              <w:t>W</w:t>
            </w:r>
          </w:p>
        </w:tc>
        <w:tc>
          <w:tcPr>
            <w:tcW w:w="411" w:type="dxa"/>
          </w:tcPr>
          <w:p>
            <w:pPr>
              <w:pStyle w:val="TableParagraph"/>
              <w:rPr>
                <w:rFonts w:ascii="Times New Roman"/>
                <w:sz w:val="16"/>
              </w:rPr>
            </w:pPr>
          </w:p>
        </w:tc>
        <w:tc>
          <w:tcPr>
            <w:tcW w:w="411"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09" w:type="dxa"/>
          </w:tcPr>
          <w:p>
            <w:pPr>
              <w:pStyle w:val="TableParagraph"/>
              <w:spacing w:line="210" w:lineRule="exact"/>
              <w:ind w:left="155"/>
              <w:rPr>
                <w:sz w:val="20"/>
              </w:rPr>
            </w:pPr>
            <w:r>
              <w:rPr>
                <w:w w:val="99"/>
                <w:sz w:val="20"/>
              </w:rPr>
              <w:t>X</w:t>
            </w: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spacing w:line="210" w:lineRule="exact"/>
              <w:ind w:left="32"/>
              <w:jc w:val="center"/>
              <w:rPr>
                <w:sz w:val="20"/>
              </w:rPr>
            </w:pPr>
            <w:r>
              <w:rPr>
                <w:w w:val="99"/>
                <w:sz w:val="20"/>
              </w:rPr>
              <w:t>X</w:t>
            </w:r>
          </w:p>
        </w:tc>
        <w:tc>
          <w:tcPr>
            <w:tcW w:w="411" w:type="dxa"/>
          </w:tcPr>
          <w:p>
            <w:pPr>
              <w:pStyle w:val="TableParagraph"/>
              <w:rPr>
                <w:rFonts w:ascii="Times New Roman"/>
                <w:sz w:val="16"/>
              </w:rPr>
            </w:pPr>
          </w:p>
        </w:tc>
      </w:tr>
      <w:tr>
        <w:trPr>
          <w:trHeight w:val="230" w:hRule="atLeast"/>
        </w:trPr>
        <w:tc>
          <w:tcPr>
            <w:tcW w:w="3353" w:type="dxa"/>
          </w:tcPr>
          <w:p>
            <w:pPr>
              <w:pStyle w:val="TableParagraph"/>
              <w:spacing w:line="210" w:lineRule="exact"/>
              <w:ind w:left="331"/>
              <w:rPr>
                <w:sz w:val="20"/>
              </w:rPr>
            </w:pPr>
            <w:r>
              <w:rPr>
                <w:spacing w:val="-2"/>
                <w:sz w:val="20"/>
              </w:rPr>
              <w:t>Kloster</w:t>
            </w:r>
          </w:p>
        </w:tc>
        <w:tc>
          <w:tcPr>
            <w:tcW w:w="411" w:type="dxa"/>
          </w:tcPr>
          <w:p>
            <w:pPr>
              <w:pStyle w:val="TableParagraph"/>
              <w:spacing w:line="210" w:lineRule="exact"/>
              <w:ind w:right="108"/>
              <w:jc w:val="right"/>
              <w:rPr>
                <w:sz w:val="20"/>
              </w:rPr>
            </w:pPr>
            <w:r>
              <w:rPr>
                <w:w w:val="99"/>
                <w:sz w:val="20"/>
              </w:rPr>
              <w:t>X</w:t>
            </w:r>
          </w:p>
        </w:tc>
        <w:tc>
          <w:tcPr>
            <w:tcW w:w="411"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r>
      <w:tr>
        <w:trPr>
          <w:trHeight w:val="229" w:hRule="atLeast"/>
        </w:trPr>
        <w:tc>
          <w:tcPr>
            <w:tcW w:w="3353" w:type="dxa"/>
          </w:tcPr>
          <w:p>
            <w:pPr>
              <w:pStyle w:val="TableParagraph"/>
              <w:spacing w:line="210" w:lineRule="exact"/>
              <w:ind w:left="331"/>
              <w:rPr>
                <w:sz w:val="20"/>
              </w:rPr>
            </w:pPr>
            <w:r>
              <w:rPr>
                <w:spacing w:val="-2"/>
                <w:sz w:val="20"/>
              </w:rPr>
              <w:t>Peronnet</w:t>
            </w:r>
          </w:p>
        </w:tc>
        <w:tc>
          <w:tcPr>
            <w:tcW w:w="411" w:type="dxa"/>
          </w:tcPr>
          <w:p>
            <w:pPr>
              <w:pStyle w:val="TableParagraph"/>
              <w:rPr>
                <w:rFonts w:ascii="Times New Roman"/>
                <w:sz w:val="16"/>
              </w:rPr>
            </w:pPr>
          </w:p>
        </w:tc>
        <w:tc>
          <w:tcPr>
            <w:tcW w:w="411"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spacing w:line="210" w:lineRule="exact"/>
              <w:ind w:left="152"/>
              <w:rPr>
                <w:sz w:val="20"/>
              </w:rPr>
            </w:pPr>
            <w:r>
              <w:rPr>
                <w:w w:val="99"/>
                <w:sz w:val="20"/>
              </w:rPr>
              <w:t>X</w:t>
            </w:r>
          </w:p>
        </w:tc>
        <w:tc>
          <w:tcPr>
            <w:tcW w:w="409"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r>
      <w:tr>
        <w:trPr>
          <w:trHeight w:val="230" w:hRule="atLeast"/>
        </w:trPr>
        <w:tc>
          <w:tcPr>
            <w:tcW w:w="3353" w:type="dxa"/>
          </w:tcPr>
          <w:p>
            <w:pPr>
              <w:pStyle w:val="TableParagraph"/>
              <w:spacing w:line="210" w:lineRule="exact"/>
              <w:ind w:left="331"/>
              <w:rPr>
                <w:sz w:val="20"/>
              </w:rPr>
            </w:pPr>
            <w:r>
              <w:rPr>
                <w:spacing w:val="-2"/>
                <w:sz w:val="20"/>
              </w:rPr>
              <w:t>Sanchez</w:t>
            </w:r>
          </w:p>
        </w:tc>
        <w:tc>
          <w:tcPr>
            <w:tcW w:w="411" w:type="dxa"/>
          </w:tcPr>
          <w:p>
            <w:pPr>
              <w:pStyle w:val="TableParagraph"/>
              <w:rPr>
                <w:rFonts w:ascii="Times New Roman"/>
                <w:sz w:val="16"/>
              </w:rPr>
            </w:pPr>
          </w:p>
        </w:tc>
        <w:tc>
          <w:tcPr>
            <w:tcW w:w="411"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spacing w:line="210" w:lineRule="exact"/>
              <w:ind w:left="32"/>
              <w:jc w:val="center"/>
              <w:rPr>
                <w:sz w:val="20"/>
              </w:rPr>
            </w:pPr>
            <w:r>
              <w:rPr>
                <w:w w:val="99"/>
                <w:sz w:val="20"/>
              </w:rPr>
              <w:t>X</w:t>
            </w:r>
          </w:p>
        </w:tc>
        <w:tc>
          <w:tcPr>
            <w:tcW w:w="411" w:type="dxa"/>
          </w:tcPr>
          <w:p>
            <w:pPr>
              <w:pStyle w:val="TableParagraph"/>
              <w:spacing w:line="210" w:lineRule="exact"/>
              <w:ind w:left="148"/>
              <w:rPr>
                <w:sz w:val="20"/>
              </w:rPr>
            </w:pPr>
            <w:r>
              <w:rPr>
                <w:w w:val="99"/>
                <w:sz w:val="20"/>
              </w:rPr>
              <w:t>X</w:t>
            </w:r>
          </w:p>
        </w:tc>
      </w:tr>
      <w:tr>
        <w:trPr>
          <w:trHeight w:val="230" w:hRule="atLeast"/>
        </w:trPr>
        <w:tc>
          <w:tcPr>
            <w:tcW w:w="8684" w:type="dxa"/>
            <w:gridSpan w:val="14"/>
          </w:tcPr>
          <w:p>
            <w:pPr>
              <w:pStyle w:val="TableParagraph"/>
              <w:spacing w:line="210" w:lineRule="exact"/>
              <w:ind w:left="43"/>
              <w:rPr>
                <w:sz w:val="20"/>
              </w:rPr>
            </w:pPr>
            <w:r>
              <w:rPr>
                <w:sz w:val="20"/>
              </w:rPr>
              <w:t>Part</w:t>
            </w:r>
            <w:r>
              <w:rPr>
                <w:spacing w:val="-4"/>
                <w:sz w:val="20"/>
              </w:rPr>
              <w:t> </w:t>
            </w:r>
            <w:r>
              <w:rPr>
                <w:sz w:val="20"/>
              </w:rPr>
              <w:t>Time</w:t>
            </w:r>
            <w:r>
              <w:rPr>
                <w:spacing w:val="-4"/>
                <w:sz w:val="20"/>
              </w:rPr>
              <w:t> </w:t>
            </w:r>
            <w:r>
              <w:rPr>
                <w:spacing w:val="-2"/>
                <w:sz w:val="20"/>
              </w:rPr>
              <w:t>Faculty</w:t>
            </w:r>
          </w:p>
        </w:tc>
      </w:tr>
      <w:tr>
        <w:trPr>
          <w:trHeight w:val="229" w:hRule="atLeast"/>
        </w:trPr>
        <w:tc>
          <w:tcPr>
            <w:tcW w:w="3353" w:type="dxa"/>
          </w:tcPr>
          <w:p>
            <w:pPr>
              <w:pStyle w:val="TableParagraph"/>
              <w:spacing w:line="210" w:lineRule="exact"/>
              <w:ind w:left="331"/>
              <w:rPr>
                <w:sz w:val="20"/>
              </w:rPr>
            </w:pPr>
            <w:r>
              <w:rPr>
                <w:spacing w:val="-2"/>
                <w:sz w:val="20"/>
              </w:rPr>
              <w:t>Brown</w:t>
            </w:r>
          </w:p>
        </w:tc>
        <w:tc>
          <w:tcPr>
            <w:tcW w:w="411" w:type="dxa"/>
          </w:tcPr>
          <w:p>
            <w:pPr>
              <w:pStyle w:val="TableParagraph"/>
              <w:spacing w:line="210" w:lineRule="exact"/>
              <w:ind w:right="108"/>
              <w:jc w:val="right"/>
              <w:rPr>
                <w:sz w:val="20"/>
              </w:rPr>
            </w:pPr>
            <w:r>
              <w:rPr>
                <w:w w:val="99"/>
                <w:sz w:val="20"/>
              </w:rPr>
              <w:t>X</w:t>
            </w:r>
          </w:p>
        </w:tc>
        <w:tc>
          <w:tcPr>
            <w:tcW w:w="411"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spacing w:line="210" w:lineRule="exact"/>
              <w:ind w:left="153"/>
              <w:rPr>
                <w:sz w:val="20"/>
              </w:rPr>
            </w:pPr>
            <w:r>
              <w:rPr>
                <w:w w:val="99"/>
                <w:sz w:val="20"/>
              </w:rPr>
              <w:t>X</w:t>
            </w: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09" w:type="dxa"/>
          </w:tcPr>
          <w:p>
            <w:pPr>
              <w:pStyle w:val="TableParagraph"/>
              <w:spacing w:line="210" w:lineRule="exact"/>
              <w:ind w:left="151"/>
              <w:rPr>
                <w:sz w:val="20"/>
              </w:rPr>
            </w:pPr>
            <w:r>
              <w:rPr>
                <w:w w:val="99"/>
                <w:sz w:val="20"/>
              </w:rPr>
              <w:t>X</w:t>
            </w: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r>
      <w:tr>
        <w:trPr>
          <w:trHeight w:val="230" w:hRule="atLeast"/>
        </w:trPr>
        <w:tc>
          <w:tcPr>
            <w:tcW w:w="3353" w:type="dxa"/>
          </w:tcPr>
          <w:p>
            <w:pPr>
              <w:pStyle w:val="TableParagraph"/>
              <w:spacing w:line="210" w:lineRule="exact"/>
              <w:ind w:left="331"/>
              <w:rPr>
                <w:sz w:val="20"/>
              </w:rPr>
            </w:pPr>
            <w:r>
              <w:rPr>
                <w:spacing w:val="-2"/>
                <w:sz w:val="20"/>
              </w:rPr>
              <w:t>Gindroz</w:t>
            </w:r>
          </w:p>
        </w:tc>
        <w:tc>
          <w:tcPr>
            <w:tcW w:w="411" w:type="dxa"/>
          </w:tcPr>
          <w:p>
            <w:pPr>
              <w:pStyle w:val="TableParagraph"/>
              <w:rPr>
                <w:rFonts w:ascii="Times New Roman"/>
                <w:sz w:val="16"/>
              </w:rPr>
            </w:pPr>
          </w:p>
        </w:tc>
        <w:tc>
          <w:tcPr>
            <w:tcW w:w="411"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spacing w:line="210" w:lineRule="exact"/>
              <w:ind w:left="40"/>
              <w:jc w:val="center"/>
              <w:rPr>
                <w:sz w:val="20"/>
              </w:rPr>
            </w:pPr>
            <w:r>
              <w:rPr>
                <w:w w:val="99"/>
                <w:sz w:val="20"/>
              </w:rPr>
              <w:t>X</w:t>
            </w:r>
          </w:p>
        </w:tc>
        <w:tc>
          <w:tcPr>
            <w:tcW w:w="409"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r>
      <w:tr>
        <w:trPr>
          <w:trHeight w:val="230" w:hRule="atLeast"/>
        </w:trPr>
        <w:tc>
          <w:tcPr>
            <w:tcW w:w="3353" w:type="dxa"/>
          </w:tcPr>
          <w:p>
            <w:pPr>
              <w:pStyle w:val="TableParagraph"/>
              <w:spacing w:line="210" w:lineRule="exact"/>
              <w:ind w:left="331"/>
              <w:rPr>
                <w:sz w:val="20"/>
              </w:rPr>
            </w:pPr>
            <w:r>
              <w:rPr>
                <w:spacing w:val="-2"/>
                <w:sz w:val="20"/>
              </w:rPr>
              <w:t>Turner</w:t>
            </w:r>
          </w:p>
        </w:tc>
        <w:tc>
          <w:tcPr>
            <w:tcW w:w="411" w:type="dxa"/>
          </w:tcPr>
          <w:p>
            <w:pPr>
              <w:pStyle w:val="TableParagraph"/>
              <w:rPr>
                <w:rFonts w:ascii="Times New Roman"/>
                <w:sz w:val="16"/>
              </w:rPr>
            </w:pPr>
          </w:p>
        </w:tc>
        <w:tc>
          <w:tcPr>
            <w:tcW w:w="411"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spacing w:line="210" w:lineRule="exact"/>
              <w:ind w:left="153"/>
              <w:rPr>
                <w:sz w:val="20"/>
              </w:rPr>
            </w:pPr>
            <w:r>
              <w:rPr>
                <w:w w:val="99"/>
                <w:sz w:val="20"/>
              </w:rPr>
              <w:t>X</w:t>
            </w:r>
          </w:p>
        </w:tc>
        <w:tc>
          <w:tcPr>
            <w:tcW w:w="409"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c>
          <w:tcPr>
            <w:tcW w:w="409" w:type="dxa"/>
          </w:tcPr>
          <w:p>
            <w:pPr>
              <w:pStyle w:val="TableParagraph"/>
              <w:rPr>
                <w:rFonts w:ascii="Times New Roman"/>
                <w:sz w:val="16"/>
              </w:rPr>
            </w:pPr>
          </w:p>
        </w:tc>
        <w:tc>
          <w:tcPr>
            <w:tcW w:w="411" w:type="dxa"/>
          </w:tcPr>
          <w:p>
            <w:pPr>
              <w:pStyle w:val="TableParagraph"/>
              <w:rPr>
                <w:rFonts w:ascii="Times New Roman"/>
                <w:sz w:val="16"/>
              </w:rPr>
            </w:pPr>
          </w:p>
        </w:tc>
      </w:tr>
    </w:tbl>
    <w:p>
      <w:pPr>
        <w:pStyle w:val="BodyText"/>
      </w:pPr>
    </w:p>
    <w:p>
      <w:pPr>
        <w:spacing w:after="0"/>
        <w:sectPr>
          <w:headerReference w:type="default" r:id="rId14"/>
          <w:footerReference w:type="default" r:id="rId15"/>
          <w:pgSz w:w="12240" w:h="15840"/>
          <w:pgMar w:header="1442" w:footer="974" w:top="1660" w:bottom="1160" w:left="940" w:right="960"/>
        </w:sectPr>
      </w:pPr>
    </w:p>
    <w:p>
      <w:pPr>
        <w:pStyle w:val="BodyText"/>
        <w:spacing w:before="6"/>
      </w:pPr>
    </w:p>
    <w:p>
      <w:pPr>
        <w:spacing w:before="1"/>
        <w:ind w:left="500" w:right="0" w:firstLine="0"/>
        <w:jc w:val="left"/>
        <w:rPr>
          <w:b/>
          <w:sz w:val="20"/>
        </w:rPr>
      </w:pPr>
      <w:r>
        <w:rPr>
          <w:b/>
          <w:spacing w:val="-2"/>
          <w:sz w:val="20"/>
        </w:rPr>
        <w:t>Staff</w:t>
      </w:r>
    </w:p>
    <w:p>
      <w:pPr>
        <w:spacing w:line="240" w:lineRule="auto" w:before="0"/>
        <w:rPr>
          <w:b/>
          <w:sz w:val="22"/>
        </w:rPr>
      </w:pPr>
      <w:r>
        <w:rPr/>
        <w:br w:type="column"/>
      </w:r>
      <w:r>
        <w:rPr>
          <w:b/>
          <w:sz w:val="22"/>
        </w:rPr>
      </w:r>
    </w:p>
    <w:p>
      <w:pPr>
        <w:pStyle w:val="BodyText"/>
        <w:spacing w:before="11"/>
        <w:rPr>
          <w:b/>
          <w:sz w:val="31"/>
        </w:rPr>
      </w:pPr>
    </w:p>
    <w:p>
      <w:pPr>
        <w:pStyle w:val="BodyText"/>
        <w:ind w:left="501" w:right="509"/>
      </w:pPr>
      <w:r>
        <w:rPr/>
        <w:t>In</w:t>
      </w:r>
      <w:r>
        <w:rPr>
          <w:spacing w:val="-3"/>
        </w:rPr>
        <w:t> </w:t>
      </w:r>
      <w:r>
        <w:rPr/>
        <w:t>addition</w:t>
      </w:r>
      <w:r>
        <w:rPr>
          <w:spacing w:val="-4"/>
        </w:rPr>
        <w:t> </w:t>
      </w:r>
      <w:r>
        <w:rPr/>
        <w:t>to</w:t>
      </w:r>
      <w:r>
        <w:rPr>
          <w:spacing w:val="-2"/>
        </w:rPr>
        <w:t> </w:t>
      </w:r>
      <w:r>
        <w:rPr/>
        <w:t>our</w:t>
      </w:r>
      <w:r>
        <w:rPr>
          <w:spacing w:val="-3"/>
        </w:rPr>
        <w:t> </w:t>
      </w:r>
      <w:r>
        <w:rPr/>
        <w:t>faculty,</w:t>
      </w:r>
      <w:r>
        <w:rPr>
          <w:spacing w:val="-3"/>
        </w:rPr>
        <w:t> </w:t>
      </w:r>
      <w:r>
        <w:rPr/>
        <w:t>the</w:t>
      </w:r>
      <w:r>
        <w:rPr>
          <w:spacing w:val="-4"/>
        </w:rPr>
        <w:t> </w:t>
      </w:r>
      <w:r>
        <w:rPr/>
        <w:t>department</w:t>
      </w:r>
      <w:r>
        <w:rPr>
          <w:spacing w:val="-3"/>
        </w:rPr>
        <w:t> </w:t>
      </w:r>
      <w:r>
        <w:rPr/>
        <w:t>has</w:t>
      </w:r>
      <w:r>
        <w:rPr>
          <w:spacing w:val="-3"/>
        </w:rPr>
        <w:t> </w:t>
      </w:r>
      <w:r>
        <w:rPr/>
        <w:t>four</w:t>
      </w:r>
      <w:r>
        <w:rPr>
          <w:spacing w:val="-3"/>
        </w:rPr>
        <w:t> </w:t>
      </w:r>
      <w:r>
        <w:rPr/>
        <w:t>full</w:t>
      </w:r>
      <w:r>
        <w:rPr>
          <w:spacing w:val="-2"/>
        </w:rPr>
        <w:t> </w:t>
      </w:r>
      <w:r>
        <w:rPr/>
        <w:t>and</w:t>
      </w:r>
      <w:r>
        <w:rPr>
          <w:spacing w:val="-3"/>
        </w:rPr>
        <w:t> </w:t>
      </w:r>
      <w:r>
        <w:rPr/>
        <w:t>or</w:t>
      </w:r>
      <w:r>
        <w:rPr>
          <w:spacing w:val="-3"/>
        </w:rPr>
        <w:t> </w:t>
      </w:r>
      <w:r>
        <w:rPr/>
        <w:t>part-time</w:t>
      </w:r>
      <w:r>
        <w:rPr>
          <w:spacing w:val="-3"/>
        </w:rPr>
        <w:t> </w:t>
      </w:r>
      <w:r>
        <w:rPr/>
        <w:t>staff</w:t>
      </w:r>
      <w:r>
        <w:rPr>
          <w:spacing w:val="-2"/>
        </w:rPr>
        <w:t> </w:t>
      </w:r>
      <w:r>
        <w:rPr/>
        <w:t>positions.</w:t>
      </w:r>
      <w:r>
        <w:rPr>
          <w:spacing w:val="-3"/>
        </w:rPr>
        <w:t> </w:t>
      </w:r>
      <w:r>
        <w:rPr/>
        <w:t>For each staff position, a description of the distribution of effort between administration and other responsibilities is described.</w:t>
      </w:r>
    </w:p>
    <w:p>
      <w:pPr>
        <w:pStyle w:val="BodyText"/>
        <w:spacing w:before="9"/>
      </w:pPr>
    </w:p>
    <w:p>
      <w:pPr>
        <w:pStyle w:val="BodyText"/>
        <w:ind w:left="500" w:right="456"/>
      </w:pPr>
      <w:r>
        <w:rPr/>
        <w:t>The Department has been served by a full time “Department Secretary” (who acts as administrative assistant to the Chairperson), and one full time “Administrative Secretary”, who was secretary to the faculty and manager of student records within the Department; along with a graduate assistant (a fifth year architecture student). The Main University Library</w:t>
      </w:r>
      <w:r>
        <w:rPr>
          <w:spacing w:val="-7"/>
        </w:rPr>
        <w:t> </w:t>
      </w:r>
      <w:r>
        <w:rPr/>
        <w:t>also</w:t>
      </w:r>
      <w:r>
        <w:rPr>
          <w:spacing w:val="-4"/>
        </w:rPr>
        <w:t> </w:t>
      </w:r>
      <w:r>
        <w:rPr/>
        <w:t>provides</w:t>
      </w:r>
      <w:r>
        <w:rPr>
          <w:spacing w:val="-3"/>
        </w:rPr>
        <w:t> </w:t>
      </w:r>
      <w:r>
        <w:rPr/>
        <w:t>a</w:t>
      </w:r>
      <w:r>
        <w:rPr>
          <w:spacing w:val="-2"/>
        </w:rPr>
        <w:t> </w:t>
      </w:r>
      <w:r>
        <w:rPr/>
        <w:t>graduate</w:t>
      </w:r>
      <w:r>
        <w:rPr>
          <w:spacing w:val="-4"/>
        </w:rPr>
        <w:t> </w:t>
      </w:r>
      <w:r>
        <w:rPr/>
        <w:t>assistant</w:t>
      </w:r>
      <w:r>
        <w:rPr>
          <w:spacing w:val="-4"/>
        </w:rPr>
        <w:t> </w:t>
      </w:r>
      <w:r>
        <w:rPr/>
        <w:t>to</w:t>
      </w:r>
      <w:r>
        <w:rPr>
          <w:spacing w:val="-2"/>
        </w:rPr>
        <w:t> </w:t>
      </w:r>
      <w:r>
        <w:rPr/>
        <w:t>work in</w:t>
      </w:r>
      <w:r>
        <w:rPr>
          <w:spacing w:val="-4"/>
        </w:rPr>
        <w:t> </w:t>
      </w:r>
      <w:r>
        <w:rPr/>
        <w:t>the</w:t>
      </w:r>
      <w:r>
        <w:rPr>
          <w:spacing w:val="-4"/>
        </w:rPr>
        <w:t> </w:t>
      </w:r>
      <w:r>
        <w:rPr/>
        <w:t>evenings</w:t>
      </w:r>
      <w:r>
        <w:rPr>
          <w:spacing w:val="-3"/>
        </w:rPr>
        <w:t> </w:t>
      </w:r>
      <w:r>
        <w:rPr/>
        <w:t>to</w:t>
      </w:r>
      <w:r>
        <w:rPr>
          <w:spacing w:val="-4"/>
        </w:rPr>
        <w:t> </w:t>
      </w:r>
      <w:r>
        <w:rPr/>
        <w:t>manage</w:t>
      </w:r>
      <w:r>
        <w:rPr>
          <w:spacing w:val="-2"/>
        </w:rPr>
        <w:t> </w:t>
      </w:r>
      <w:r>
        <w:rPr/>
        <w:t>the</w:t>
      </w:r>
      <w:r>
        <w:rPr>
          <w:spacing w:val="-2"/>
        </w:rPr>
        <w:t> </w:t>
      </w:r>
      <w:r>
        <w:rPr/>
        <w:t>library</w:t>
      </w:r>
      <w:r>
        <w:rPr>
          <w:spacing w:val="-5"/>
        </w:rPr>
        <w:t> </w:t>
      </w:r>
      <w:r>
        <w:rPr/>
        <w:t>and the CAD Lab. In September, 2014, our administrative Secretary accepted a new position within the University and the position will not be immediately replaced. The Department Secretary is the office manager and the supervisor to the Department student graduate assistant, as well as the person who keeps the Department’s records.</w:t>
      </w:r>
      <w:r>
        <w:rPr>
          <w:spacing w:val="40"/>
        </w:rPr>
        <w:t> </w:t>
      </w:r>
      <w:r>
        <w:rPr/>
        <w:t>The Departmental Secretary</w:t>
      </w:r>
      <w:r>
        <w:rPr>
          <w:spacing w:val="-2"/>
        </w:rPr>
        <w:t> </w:t>
      </w:r>
      <w:r>
        <w:rPr/>
        <w:t>will</w:t>
      </w:r>
      <w:r>
        <w:rPr>
          <w:spacing w:val="-2"/>
        </w:rPr>
        <w:t> </w:t>
      </w:r>
      <w:r>
        <w:rPr/>
        <w:t>also</w:t>
      </w:r>
      <w:r>
        <w:rPr>
          <w:spacing w:val="-1"/>
        </w:rPr>
        <w:t> </w:t>
      </w:r>
      <w:r>
        <w:rPr/>
        <w:t>perform the</w:t>
      </w:r>
      <w:r>
        <w:rPr>
          <w:spacing w:val="-1"/>
        </w:rPr>
        <w:t> </w:t>
      </w:r>
      <w:r>
        <w:rPr/>
        <w:t>duties of the Administrative</w:t>
      </w:r>
      <w:r>
        <w:rPr>
          <w:spacing w:val="-1"/>
        </w:rPr>
        <w:t> </w:t>
      </w:r>
      <w:r>
        <w:rPr/>
        <w:t>Secretary, which is to</w:t>
      </w:r>
      <w:r>
        <w:rPr>
          <w:spacing w:val="-1"/>
        </w:rPr>
        <w:t> </w:t>
      </w:r>
      <w:r>
        <w:rPr/>
        <w:t>keep</w:t>
      </w:r>
      <w:r>
        <w:rPr>
          <w:spacing w:val="-1"/>
        </w:rPr>
        <w:t> </w:t>
      </w:r>
      <w:r>
        <w:rPr/>
        <w:t>track of student records and the departmental budget.</w:t>
      </w:r>
    </w:p>
    <w:p>
      <w:pPr>
        <w:pStyle w:val="BodyText"/>
        <w:spacing w:before="10"/>
      </w:pPr>
    </w:p>
    <w:p>
      <w:pPr>
        <w:pStyle w:val="BodyText"/>
        <w:spacing w:before="1"/>
        <w:ind w:left="500" w:right="509"/>
      </w:pPr>
      <w:r>
        <w:rPr/>
        <w:t>The</w:t>
      </w:r>
      <w:r>
        <w:rPr>
          <w:spacing w:val="-4"/>
        </w:rPr>
        <w:t> </w:t>
      </w:r>
      <w:r>
        <w:rPr/>
        <w:t>Department</w:t>
      </w:r>
      <w:r>
        <w:rPr>
          <w:spacing w:val="-4"/>
        </w:rPr>
        <w:t> </w:t>
      </w:r>
      <w:r>
        <w:rPr/>
        <w:t>is</w:t>
      </w:r>
      <w:r>
        <w:rPr>
          <w:spacing w:val="-3"/>
        </w:rPr>
        <w:t> </w:t>
      </w:r>
      <w:r>
        <w:rPr/>
        <w:t>served</w:t>
      </w:r>
      <w:r>
        <w:rPr>
          <w:spacing w:val="-2"/>
        </w:rPr>
        <w:t> </w:t>
      </w:r>
      <w:r>
        <w:rPr/>
        <w:t>by</w:t>
      </w:r>
      <w:r>
        <w:rPr>
          <w:spacing w:val="-5"/>
        </w:rPr>
        <w:t> </w:t>
      </w:r>
      <w:r>
        <w:rPr/>
        <w:t>a</w:t>
      </w:r>
      <w:r>
        <w:rPr>
          <w:spacing w:val="-4"/>
        </w:rPr>
        <w:t> </w:t>
      </w:r>
      <w:r>
        <w:rPr/>
        <w:t>part-time</w:t>
      </w:r>
      <w:r>
        <w:rPr>
          <w:spacing w:val="-4"/>
        </w:rPr>
        <w:t> </w:t>
      </w:r>
      <w:r>
        <w:rPr/>
        <w:t>“CAD</w:t>
      </w:r>
      <w:r>
        <w:rPr>
          <w:spacing w:val="-4"/>
        </w:rPr>
        <w:t> </w:t>
      </w:r>
      <w:r>
        <w:rPr/>
        <w:t>Lab</w:t>
      </w:r>
      <w:r>
        <w:rPr>
          <w:spacing w:val="-4"/>
        </w:rPr>
        <w:t> </w:t>
      </w:r>
      <w:r>
        <w:rPr/>
        <w:t>Director”</w:t>
      </w:r>
      <w:r>
        <w:rPr>
          <w:spacing w:val="-3"/>
        </w:rPr>
        <w:t> </w:t>
      </w:r>
      <w:r>
        <w:rPr/>
        <w:t>and</w:t>
      </w:r>
      <w:r>
        <w:rPr>
          <w:spacing w:val="-4"/>
        </w:rPr>
        <w:t> </w:t>
      </w:r>
      <w:r>
        <w:rPr/>
        <w:t>a</w:t>
      </w:r>
      <w:r>
        <w:rPr>
          <w:spacing w:val="-2"/>
        </w:rPr>
        <w:t> </w:t>
      </w:r>
      <w:r>
        <w:rPr/>
        <w:t>part-time</w:t>
      </w:r>
      <w:r>
        <w:rPr>
          <w:spacing w:val="-4"/>
        </w:rPr>
        <w:t> </w:t>
      </w:r>
      <w:r>
        <w:rPr/>
        <w:t>“Model</w:t>
      </w:r>
      <w:r>
        <w:rPr>
          <w:spacing w:val="-2"/>
        </w:rPr>
        <w:t> </w:t>
      </w:r>
      <w:r>
        <w:rPr/>
        <w:t>Shop Director.” Staff members are from 2012 through 2014 are:</w:t>
      </w:r>
    </w:p>
    <w:p>
      <w:pPr>
        <w:pStyle w:val="BodyText"/>
        <w:spacing w:before="10"/>
      </w:pPr>
    </w:p>
    <w:p>
      <w:pPr>
        <w:pStyle w:val="BodyText"/>
        <w:tabs>
          <w:tab w:pos="4315" w:val="left" w:leader="none"/>
        </w:tabs>
        <w:ind w:left="500"/>
      </w:pPr>
      <w:r>
        <w:rPr/>
        <w:t>Department</w:t>
      </w:r>
      <w:r>
        <w:rPr>
          <w:spacing w:val="-14"/>
        </w:rPr>
        <w:t> </w:t>
      </w:r>
      <w:r>
        <w:rPr>
          <w:spacing w:val="-2"/>
        </w:rPr>
        <w:t>Secretary</w:t>
      </w:r>
      <w:r>
        <w:rPr/>
        <w:tab/>
        <w:t>Deborah</w:t>
      </w:r>
      <w:r>
        <w:rPr>
          <w:spacing w:val="-10"/>
        </w:rPr>
        <w:t> </w:t>
      </w:r>
      <w:r>
        <w:rPr>
          <w:spacing w:val="-2"/>
        </w:rPr>
        <w:t>Bowers</w:t>
      </w:r>
    </w:p>
    <w:p>
      <w:pPr>
        <w:pStyle w:val="BodyText"/>
        <w:spacing w:before="11"/>
      </w:pPr>
    </w:p>
    <w:p>
      <w:pPr>
        <w:pStyle w:val="BodyText"/>
        <w:tabs>
          <w:tab w:pos="4315" w:val="left" w:leader="none"/>
        </w:tabs>
        <w:ind w:left="500"/>
      </w:pPr>
      <w:r>
        <w:rPr>
          <w:spacing w:val="-2"/>
        </w:rPr>
        <w:t>Administrative</w:t>
      </w:r>
      <w:r>
        <w:rPr>
          <w:spacing w:val="10"/>
        </w:rPr>
        <w:t> </w:t>
      </w:r>
      <w:r>
        <w:rPr>
          <w:spacing w:val="-2"/>
        </w:rPr>
        <w:t>Secretary</w:t>
      </w:r>
      <w:r>
        <w:rPr/>
        <w:tab/>
        <w:t>Karen</w:t>
      </w:r>
      <w:r>
        <w:rPr>
          <w:spacing w:val="-8"/>
        </w:rPr>
        <w:t> </w:t>
      </w:r>
      <w:r>
        <w:rPr>
          <w:spacing w:val="-2"/>
        </w:rPr>
        <w:t>Pooler*</w:t>
      </w:r>
    </w:p>
    <w:p>
      <w:pPr>
        <w:pStyle w:val="BodyText"/>
        <w:spacing w:before="10"/>
      </w:pPr>
    </w:p>
    <w:p>
      <w:pPr>
        <w:pStyle w:val="BodyText"/>
        <w:tabs>
          <w:tab w:pos="4315" w:val="left" w:leader="none"/>
        </w:tabs>
        <w:ind w:left="500"/>
      </w:pPr>
      <w:r>
        <w:rPr/>
        <w:t>CAD</w:t>
      </w:r>
      <w:r>
        <w:rPr>
          <w:spacing w:val="-5"/>
        </w:rPr>
        <w:t> </w:t>
      </w:r>
      <w:r>
        <w:rPr/>
        <w:t>Lab</w:t>
      </w:r>
      <w:r>
        <w:rPr>
          <w:spacing w:val="-3"/>
        </w:rPr>
        <w:t> </w:t>
      </w:r>
      <w:r>
        <w:rPr>
          <w:spacing w:val="-2"/>
        </w:rPr>
        <w:t>Director</w:t>
      </w:r>
      <w:r>
        <w:rPr/>
        <w:tab/>
        <w:t>Charles</w:t>
      </w:r>
      <w:r>
        <w:rPr>
          <w:spacing w:val="-7"/>
        </w:rPr>
        <w:t> </w:t>
      </w:r>
      <w:r>
        <w:rPr/>
        <w:t>Cherry</w:t>
      </w:r>
      <w:r>
        <w:rPr>
          <w:spacing w:val="29"/>
        </w:rPr>
        <w:t> </w:t>
      </w:r>
      <w:r>
        <w:rPr/>
        <w:t>B.S.</w:t>
      </w:r>
      <w:r>
        <w:rPr>
          <w:spacing w:val="-6"/>
        </w:rPr>
        <w:t> </w:t>
      </w:r>
      <w:r>
        <w:rPr/>
        <w:t>(Norfolk</w:t>
      </w:r>
      <w:r>
        <w:rPr>
          <w:spacing w:val="-3"/>
        </w:rPr>
        <w:t> </w:t>
      </w:r>
      <w:r>
        <w:rPr>
          <w:spacing w:val="-2"/>
        </w:rPr>
        <w:t>State)</w:t>
      </w:r>
    </w:p>
    <w:p>
      <w:pPr>
        <w:pStyle w:val="BodyText"/>
        <w:spacing w:before="10"/>
      </w:pPr>
    </w:p>
    <w:p>
      <w:pPr>
        <w:pStyle w:val="BodyText"/>
        <w:tabs>
          <w:tab w:pos="4315" w:val="left" w:leader="none"/>
        </w:tabs>
        <w:ind w:left="4316" w:right="1001" w:hanging="3817"/>
      </w:pPr>
      <w:r>
        <w:rPr/>
        <w:t>Model Shop Director</w:t>
        <w:tab/>
        <w:t>James</w:t>
      </w:r>
      <w:r>
        <w:rPr>
          <w:spacing w:val="-9"/>
        </w:rPr>
        <w:t> </w:t>
      </w:r>
      <w:r>
        <w:rPr/>
        <w:t>Grant</w:t>
      </w:r>
      <w:r>
        <w:rPr>
          <w:spacing w:val="-9"/>
        </w:rPr>
        <w:t> </w:t>
      </w:r>
      <w:r>
        <w:rPr/>
        <w:t>*</w:t>
      </w:r>
      <w:r>
        <w:rPr>
          <w:spacing w:val="-10"/>
        </w:rPr>
        <w:t> </w:t>
      </w:r>
      <w:r>
        <w:rPr/>
        <w:t>(deceased,</w:t>
      </w:r>
      <w:r>
        <w:rPr>
          <w:spacing w:val="-7"/>
        </w:rPr>
        <w:t> </w:t>
      </w:r>
      <w:r>
        <w:rPr/>
        <w:t>February,</w:t>
      </w:r>
      <w:r>
        <w:rPr>
          <w:spacing w:val="-8"/>
        </w:rPr>
        <w:t> </w:t>
      </w:r>
      <w:r>
        <w:rPr/>
        <w:t>2013) Robert Johnson</w:t>
      </w:r>
    </w:p>
    <w:p>
      <w:pPr>
        <w:pStyle w:val="BodyText"/>
        <w:spacing w:before="9"/>
      </w:pPr>
    </w:p>
    <w:p>
      <w:pPr>
        <w:pStyle w:val="BodyText"/>
        <w:ind w:left="1219"/>
      </w:pPr>
      <w:r>
        <w:rPr/>
        <w:t>*</w:t>
      </w:r>
      <w:r>
        <w:rPr>
          <w:spacing w:val="71"/>
        </w:rPr>
        <w:t> </w:t>
      </w:r>
      <w:r>
        <w:rPr/>
        <w:t>Denotes</w:t>
      </w:r>
      <w:r>
        <w:rPr>
          <w:spacing w:val="-4"/>
        </w:rPr>
        <w:t> </w:t>
      </w:r>
      <w:r>
        <w:rPr/>
        <w:t>staff</w:t>
      </w:r>
      <w:r>
        <w:rPr>
          <w:spacing w:val="-5"/>
        </w:rPr>
        <w:t> </w:t>
      </w:r>
      <w:r>
        <w:rPr/>
        <w:t>member</w:t>
      </w:r>
      <w:r>
        <w:rPr>
          <w:spacing w:val="-4"/>
        </w:rPr>
        <w:t> </w:t>
      </w:r>
      <w:r>
        <w:rPr/>
        <w:t>not</w:t>
      </w:r>
      <w:r>
        <w:rPr>
          <w:spacing w:val="-6"/>
        </w:rPr>
        <w:t> </w:t>
      </w:r>
      <w:r>
        <w:rPr/>
        <w:t>currently</w:t>
      </w:r>
      <w:r>
        <w:rPr>
          <w:spacing w:val="-6"/>
        </w:rPr>
        <w:t> </w:t>
      </w:r>
      <w:r>
        <w:rPr/>
        <w:t>with</w:t>
      </w:r>
      <w:r>
        <w:rPr>
          <w:spacing w:val="-5"/>
        </w:rPr>
        <w:t> </w:t>
      </w:r>
      <w:r>
        <w:rPr/>
        <w:t>or</w:t>
      </w:r>
      <w:r>
        <w:rPr>
          <w:spacing w:val="-3"/>
        </w:rPr>
        <w:t> </w:t>
      </w:r>
      <w:r>
        <w:rPr/>
        <w:t>available</w:t>
      </w:r>
      <w:r>
        <w:rPr>
          <w:spacing w:val="-3"/>
        </w:rPr>
        <w:t> </w:t>
      </w:r>
      <w:r>
        <w:rPr/>
        <w:t>to</w:t>
      </w:r>
      <w:r>
        <w:rPr>
          <w:spacing w:val="-6"/>
        </w:rPr>
        <w:t> </w:t>
      </w:r>
      <w:r>
        <w:rPr/>
        <w:t>the</w:t>
      </w:r>
      <w:r>
        <w:rPr>
          <w:spacing w:val="-3"/>
        </w:rPr>
        <w:t> </w:t>
      </w:r>
      <w:r>
        <w:rPr>
          <w:spacing w:val="-2"/>
        </w:rPr>
        <w:t>program</w:t>
      </w:r>
    </w:p>
    <w:p>
      <w:pPr>
        <w:spacing w:after="0"/>
        <w:sectPr>
          <w:type w:val="continuous"/>
          <w:pgSz w:w="12240" w:h="15840"/>
          <w:pgMar w:header="1442" w:footer="974" w:top="1360" w:bottom="280" w:left="940" w:right="960"/>
          <w:cols w:num="2" w:equalWidth="0">
            <w:col w:w="984" w:space="238"/>
            <w:col w:w="9118"/>
          </w:cols>
        </w:sectPr>
      </w:pPr>
    </w:p>
    <w:p>
      <w:pPr>
        <w:spacing w:before="75"/>
        <w:ind w:left="500" w:right="0" w:firstLine="0"/>
        <w:jc w:val="left"/>
        <w:rPr>
          <w:b/>
          <w:sz w:val="20"/>
        </w:rPr>
      </w:pPr>
      <w:r>
        <w:rPr>
          <w:b/>
          <w:sz w:val="20"/>
        </w:rPr>
        <w:t>Human</w:t>
      </w:r>
      <w:r>
        <w:rPr>
          <w:b/>
          <w:spacing w:val="-9"/>
          <w:sz w:val="20"/>
        </w:rPr>
        <w:t> </w:t>
      </w:r>
      <w:r>
        <w:rPr>
          <w:b/>
          <w:sz w:val="20"/>
        </w:rPr>
        <w:t>Resource</w:t>
      </w:r>
      <w:r>
        <w:rPr>
          <w:b/>
          <w:spacing w:val="-8"/>
          <w:sz w:val="20"/>
        </w:rPr>
        <w:t> </w:t>
      </w:r>
      <w:r>
        <w:rPr>
          <w:b/>
          <w:spacing w:val="-2"/>
          <w:sz w:val="20"/>
        </w:rPr>
        <w:t>Policies</w:t>
      </w:r>
    </w:p>
    <w:p>
      <w:pPr>
        <w:pStyle w:val="BodyText"/>
        <w:spacing w:before="10"/>
        <w:rPr>
          <w:b/>
        </w:rPr>
      </w:pPr>
    </w:p>
    <w:p>
      <w:pPr>
        <w:spacing w:before="0"/>
        <w:ind w:left="1219" w:right="580" w:firstLine="0"/>
        <w:jc w:val="left"/>
        <w:rPr>
          <w:b/>
          <w:sz w:val="20"/>
        </w:rPr>
      </w:pPr>
      <w:r>
        <w:rPr>
          <w:b/>
          <w:sz w:val="20"/>
        </w:rPr>
        <w:t>The</w:t>
      </w:r>
      <w:r>
        <w:rPr>
          <w:b/>
          <w:spacing w:val="-4"/>
          <w:sz w:val="20"/>
        </w:rPr>
        <w:t> </w:t>
      </w:r>
      <w:r>
        <w:rPr>
          <w:b/>
          <w:sz w:val="20"/>
        </w:rPr>
        <w:t>following</w:t>
      </w:r>
      <w:r>
        <w:rPr>
          <w:b/>
          <w:spacing w:val="-3"/>
          <w:sz w:val="20"/>
        </w:rPr>
        <w:t> </w:t>
      </w:r>
      <w:r>
        <w:rPr>
          <w:b/>
          <w:sz w:val="20"/>
        </w:rPr>
        <w:t>information</w:t>
      </w:r>
      <w:r>
        <w:rPr>
          <w:b/>
          <w:spacing w:val="-6"/>
          <w:sz w:val="20"/>
        </w:rPr>
        <w:t> </w:t>
      </w:r>
      <w:r>
        <w:rPr>
          <w:b/>
          <w:sz w:val="20"/>
        </w:rPr>
        <w:t>is</w:t>
      </w:r>
      <w:r>
        <w:rPr>
          <w:b/>
          <w:spacing w:val="-4"/>
          <w:sz w:val="20"/>
        </w:rPr>
        <w:t> </w:t>
      </w:r>
      <w:r>
        <w:rPr>
          <w:b/>
          <w:sz w:val="20"/>
        </w:rPr>
        <w:t>extracted</w:t>
      </w:r>
      <w:r>
        <w:rPr>
          <w:b/>
          <w:spacing w:val="-1"/>
          <w:sz w:val="20"/>
        </w:rPr>
        <w:t> </w:t>
      </w:r>
      <w:r>
        <w:rPr>
          <w:b/>
          <w:sz w:val="20"/>
        </w:rPr>
        <w:t>from</w:t>
      </w:r>
      <w:r>
        <w:rPr>
          <w:b/>
          <w:spacing w:val="-3"/>
          <w:sz w:val="20"/>
        </w:rPr>
        <w:t> </w:t>
      </w:r>
      <w:r>
        <w:rPr>
          <w:b/>
          <w:sz w:val="20"/>
        </w:rPr>
        <w:t>the</w:t>
      </w:r>
      <w:r>
        <w:rPr>
          <w:b/>
          <w:spacing w:val="-4"/>
          <w:sz w:val="20"/>
        </w:rPr>
        <w:t> </w:t>
      </w:r>
      <w:r>
        <w:rPr>
          <w:b/>
          <w:sz w:val="20"/>
        </w:rPr>
        <w:t>current</w:t>
      </w:r>
      <w:r>
        <w:rPr>
          <w:b/>
          <w:spacing w:val="-3"/>
          <w:sz w:val="20"/>
        </w:rPr>
        <w:t> </w:t>
      </w:r>
      <w:r>
        <w:rPr>
          <w:b/>
          <w:sz w:val="20"/>
        </w:rPr>
        <w:t>faculty</w:t>
      </w:r>
      <w:r>
        <w:rPr>
          <w:b/>
          <w:spacing w:val="-7"/>
          <w:sz w:val="20"/>
        </w:rPr>
        <w:t> </w:t>
      </w:r>
      <w:r>
        <w:rPr>
          <w:b/>
          <w:sz w:val="20"/>
        </w:rPr>
        <w:t>handbook</w:t>
      </w:r>
      <w:r>
        <w:rPr>
          <w:b/>
          <w:spacing w:val="-4"/>
          <w:sz w:val="20"/>
        </w:rPr>
        <w:t> </w:t>
      </w:r>
      <w:r>
        <w:rPr>
          <w:b/>
          <w:sz w:val="20"/>
        </w:rPr>
        <w:t>and</w:t>
      </w:r>
      <w:r>
        <w:rPr>
          <w:b/>
          <w:spacing w:val="-3"/>
          <w:sz w:val="20"/>
        </w:rPr>
        <w:t> </w:t>
      </w:r>
      <w:r>
        <w:rPr>
          <w:b/>
          <w:sz w:val="20"/>
        </w:rPr>
        <w:t>is</w:t>
      </w:r>
      <w:r>
        <w:rPr>
          <w:b/>
          <w:spacing w:val="-4"/>
          <w:sz w:val="20"/>
        </w:rPr>
        <w:t> </w:t>
      </w:r>
      <w:r>
        <w:rPr>
          <w:b/>
          <w:sz w:val="20"/>
        </w:rPr>
        <w:t>available to all faculty members upon joining the university.</w:t>
      </w:r>
    </w:p>
    <w:p>
      <w:pPr>
        <w:pStyle w:val="BodyText"/>
        <w:spacing w:before="8"/>
        <w:rPr>
          <w:b/>
        </w:rPr>
      </w:pPr>
    </w:p>
    <w:p>
      <w:pPr>
        <w:spacing w:before="0"/>
        <w:ind w:left="499" w:right="0" w:firstLine="0"/>
        <w:jc w:val="left"/>
        <w:rPr>
          <w:b/>
          <w:sz w:val="20"/>
        </w:rPr>
      </w:pPr>
      <w:r>
        <w:rPr>
          <w:b/>
          <w:sz w:val="20"/>
        </w:rPr>
        <w:t>EQUAL</w:t>
      </w:r>
      <w:r>
        <w:rPr>
          <w:b/>
          <w:spacing w:val="-8"/>
          <w:sz w:val="20"/>
        </w:rPr>
        <w:t> </w:t>
      </w:r>
      <w:r>
        <w:rPr>
          <w:b/>
          <w:sz w:val="20"/>
        </w:rPr>
        <w:t>OPPORTUNITY</w:t>
      </w:r>
      <w:r>
        <w:rPr>
          <w:b/>
          <w:spacing w:val="-7"/>
          <w:sz w:val="20"/>
        </w:rPr>
        <w:t> </w:t>
      </w:r>
      <w:r>
        <w:rPr>
          <w:b/>
          <w:spacing w:val="-2"/>
          <w:sz w:val="20"/>
        </w:rPr>
        <w:t>EMPLOYER</w:t>
      </w:r>
    </w:p>
    <w:p>
      <w:pPr>
        <w:pStyle w:val="BodyText"/>
        <w:spacing w:before="1"/>
        <w:rPr>
          <w:b/>
          <w:sz w:val="21"/>
        </w:rPr>
      </w:pPr>
    </w:p>
    <w:p>
      <w:pPr>
        <w:pStyle w:val="BodyText"/>
        <w:spacing w:before="1"/>
        <w:ind w:left="1723" w:right="518"/>
      </w:pPr>
      <w:r>
        <w:rPr/>
        <w:t>The University is committed to being an equal opportunity employer.</w:t>
      </w:r>
      <w:r>
        <w:rPr>
          <w:spacing w:val="64"/>
        </w:rPr>
        <w:t> </w:t>
      </w:r>
      <w:r>
        <w:rPr/>
        <w:t>The University is also a government contractor and, in accord with the dictates of Executive Order 11246, has adopted a policy of affirmative action in employment with respect to all the University employees.</w:t>
      </w:r>
      <w:r>
        <w:rPr>
          <w:spacing w:val="40"/>
        </w:rPr>
        <w:t> </w:t>
      </w:r>
      <w:r>
        <w:rPr/>
        <w:t>The</w:t>
      </w:r>
      <w:r>
        <w:rPr>
          <w:spacing w:val="-4"/>
        </w:rPr>
        <w:t> </w:t>
      </w:r>
      <w:r>
        <w:rPr/>
        <w:t>University</w:t>
      </w:r>
      <w:r>
        <w:rPr>
          <w:spacing w:val="-5"/>
        </w:rPr>
        <w:t> </w:t>
      </w:r>
      <w:r>
        <w:rPr/>
        <w:t>is</w:t>
      </w:r>
      <w:r>
        <w:rPr>
          <w:spacing w:val="-3"/>
        </w:rPr>
        <w:t> </w:t>
      </w:r>
      <w:r>
        <w:rPr/>
        <w:t>an</w:t>
      </w:r>
      <w:r>
        <w:rPr>
          <w:spacing w:val="-2"/>
        </w:rPr>
        <w:t> </w:t>
      </w:r>
      <w:r>
        <w:rPr/>
        <w:t>Affirmative</w:t>
      </w:r>
      <w:r>
        <w:rPr>
          <w:spacing w:val="-2"/>
        </w:rPr>
        <w:t> </w:t>
      </w:r>
      <w:r>
        <w:rPr/>
        <w:t>Action</w:t>
      </w:r>
      <w:r>
        <w:rPr>
          <w:spacing w:val="-4"/>
        </w:rPr>
        <w:t> </w:t>
      </w:r>
      <w:r>
        <w:rPr/>
        <w:t>Employer.</w:t>
      </w:r>
      <w:r>
        <w:rPr>
          <w:spacing w:val="40"/>
        </w:rPr>
        <w:t> </w:t>
      </w:r>
      <w:r>
        <w:rPr/>
        <w:t>Moreover,</w:t>
      </w:r>
      <w:r>
        <w:rPr>
          <w:spacing w:val="-4"/>
        </w:rPr>
        <w:t> </w:t>
      </w:r>
      <w:r>
        <w:rPr/>
        <w:t>as</w:t>
      </w:r>
      <w:r>
        <w:rPr>
          <w:spacing w:val="-1"/>
        </w:rPr>
        <w:t> </w:t>
      </w:r>
      <w:r>
        <w:rPr/>
        <w:t>required</w:t>
      </w:r>
      <w:r>
        <w:rPr>
          <w:spacing w:val="-4"/>
        </w:rPr>
        <w:t> </w:t>
      </w:r>
      <w:r>
        <w:rPr/>
        <w:t>by</w:t>
      </w:r>
      <w:r>
        <w:rPr>
          <w:spacing w:val="-7"/>
        </w:rPr>
        <w:t> </w:t>
      </w:r>
      <w:r>
        <w:rPr/>
        <w:t>the provisions of Executive Order 11246, the Vietnam Era Veterans Readjustment Assistance Act of 1974, as amended, and Section 503 of the Rehabilitation Act of 1973, as amended, the University is further committed to an Affirmative Action program and will pursue a goal</w:t>
      </w:r>
      <w:r>
        <w:rPr>
          <w:spacing w:val="40"/>
        </w:rPr>
        <w:t> </w:t>
      </w:r>
      <w:r>
        <w:rPr/>
        <w:t>of recruiting and employing protected classes of individuals in accord with that program.</w:t>
      </w:r>
    </w:p>
    <w:p>
      <w:pPr>
        <w:pStyle w:val="BodyText"/>
        <w:spacing w:before="1"/>
        <w:ind w:left="1723" w:right="705"/>
      </w:pPr>
      <w:r>
        <w:rPr/>
        <w:t>Pursuant</w:t>
      </w:r>
      <w:r>
        <w:rPr>
          <w:spacing w:val="-5"/>
        </w:rPr>
        <w:t> </w:t>
      </w:r>
      <w:r>
        <w:rPr/>
        <w:t>to</w:t>
      </w:r>
      <w:r>
        <w:rPr>
          <w:spacing w:val="-3"/>
        </w:rPr>
        <w:t> </w:t>
      </w:r>
      <w:r>
        <w:rPr/>
        <w:t>this</w:t>
      </w:r>
      <w:r>
        <w:rPr>
          <w:spacing w:val="-1"/>
        </w:rPr>
        <w:t> </w:t>
      </w:r>
      <w:r>
        <w:rPr/>
        <w:t>Affirmative</w:t>
      </w:r>
      <w:r>
        <w:rPr>
          <w:spacing w:val="-3"/>
        </w:rPr>
        <w:t> </w:t>
      </w:r>
      <w:r>
        <w:rPr/>
        <w:t>Action</w:t>
      </w:r>
      <w:r>
        <w:rPr>
          <w:spacing w:val="-5"/>
        </w:rPr>
        <w:t> </w:t>
      </w:r>
      <w:r>
        <w:rPr/>
        <w:t>Program,</w:t>
      </w:r>
      <w:r>
        <w:rPr>
          <w:spacing w:val="-5"/>
        </w:rPr>
        <w:t> </w:t>
      </w:r>
      <w:r>
        <w:rPr/>
        <w:t>Director</w:t>
      </w:r>
      <w:r>
        <w:rPr>
          <w:spacing w:val="-4"/>
        </w:rPr>
        <w:t> </w:t>
      </w:r>
      <w:r>
        <w:rPr/>
        <w:t>of</w:t>
      </w:r>
      <w:r>
        <w:rPr>
          <w:spacing w:val="-3"/>
        </w:rPr>
        <w:t> </w:t>
      </w:r>
      <w:r>
        <w:rPr/>
        <w:t>Human</w:t>
      </w:r>
      <w:r>
        <w:rPr>
          <w:spacing w:val="-5"/>
        </w:rPr>
        <w:t> </w:t>
      </w:r>
      <w:r>
        <w:rPr/>
        <w:t>Resources</w:t>
      </w:r>
      <w:r>
        <w:rPr>
          <w:spacing w:val="-4"/>
        </w:rPr>
        <w:t> </w:t>
      </w:r>
      <w:r>
        <w:rPr/>
        <w:t>is</w:t>
      </w:r>
      <w:r>
        <w:rPr>
          <w:spacing w:val="-4"/>
        </w:rPr>
        <w:t> </w:t>
      </w:r>
      <w:r>
        <w:rPr/>
        <w:t>the</w:t>
      </w:r>
      <w:r>
        <w:rPr>
          <w:spacing w:val="-5"/>
        </w:rPr>
        <w:t> </w:t>
      </w:r>
      <w:r>
        <w:rPr/>
        <w:t>Equal Employment Opportunity Officer (“EEO Officer”) for the University, Armstrong-Slater, Building 100, Hampton, Virginia 23668.</w:t>
      </w:r>
      <w:r>
        <w:rPr>
          <w:spacing w:val="40"/>
        </w:rPr>
        <w:t> </w:t>
      </w:r>
      <w:r>
        <w:rPr/>
        <w:t>Phone (757) 727-5250.</w:t>
      </w:r>
    </w:p>
    <w:p>
      <w:pPr>
        <w:pStyle w:val="BodyText"/>
        <w:spacing w:before="9"/>
      </w:pPr>
    </w:p>
    <w:p>
      <w:pPr>
        <w:pStyle w:val="BodyText"/>
        <w:ind w:left="1723" w:right="492"/>
      </w:pPr>
      <w:r>
        <w:rPr/>
        <w:t>The</w:t>
      </w:r>
      <w:r>
        <w:rPr>
          <w:spacing w:val="-4"/>
        </w:rPr>
        <w:t> </w:t>
      </w:r>
      <w:r>
        <w:rPr/>
        <w:t>University</w:t>
      </w:r>
      <w:r>
        <w:rPr>
          <w:spacing w:val="-7"/>
        </w:rPr>
        <w:t> </w:t>
      </w:r>
      <w:r>
        <w:rPr/>
        <w:t>does</w:t>
      </w:r>
      <w:r>
        <w:rPr>
          <w:spacing w:val="-3"/>
        </w:rPr>
        <w:t> </w:t>
      </w:r>
      <w:r>
        <w:rPr/>
        <w:t>not</w:t>
      </w:r>
      <w:r>
        <w:rPr>
          <w:spacing w:val="-2"/>
        </w:rPr>
        <w:t> </w:t>
      </w:r>
      <w:r>
        <w:rPr/>
        <w:t>discriminate</w:t>
      </w:r>
      <w:r>
        <w:rPr>
          <w:spacing w:val="-2"/>
        </w:rPr>
        <w:t> </w:t>
      </w:r>
      <w:r>
        <w:rPr/>
        <w:t>against</w:t>
      </w:r>
      <w:r>
        <w:rPr>
          <w:spacing w:val="-2"/>
        </w:rPr>
        <w:t> </w:t>
      </w:r>
      <w:r>
        <w:rPr/>
        <w:t>individuals</w:t>
      </w:r>
      <w:r>
        <w:rPr>
          <w:spacing w:val="-3"/>
        </w:rPr>
        <w:t> </w:t>
      </w:r>
      <w:r>
        <w:rPr/>
        <w:t>in</w:t>
      </w:r>
      <w:r>
        <w:rPr>
          <w:spacing w:val="-4"/>
        </w:rPr>
        <w:t> </w:t>
      </w:r>
      <w:r>
        <w:rPr/>
        <w:t>employment</w:t>
      </w:r>
      <w:r>
        <w:rPr>
          <w:spacing w:val="-4"/>
        </w:rPr>
        <w:t> </w:t>
      </w:r>
      <w:r>
        <w:rPr/>
        <w:t>on</w:t>
      </w:r>
      <w:r>
        <w:rPr>
          <w:spacing w:val="-4"/>
        </w:rPr>
        <w:t> </w:t>
      </w:r>
      <w:r>
        <w:rPr/>
        <w:t>the</w:t>
      </w:r>
      <w:r>
        <w:rPr>
          <w:spacing w:val="-4"/>
        </w:rPr>
        <w:t> </w:t>
      </w:r>
      <w:r>
        <w:rPr/>
        <w:t>basis</w:t>
      </w:r>
      <w:r>
        <w:rPr>
          <w:spacing w:val="-3"/>
        </w:rPr>
        <w:t> </w:t>
      </w:r>
      <w:r>
        <w:rPr/>
        <w:t>of</w:t>
      </w:r>
      <w:r>
        <w:rPr>
          <w:spacing w:val="-2"/>
        </w:rPr>
        <w:t> </w:t>
      </w:r>
      <w:r>
        <w:rPr/>
        <w:t>race, sex, pregnancy, religion, color, national origin, age, disability, genetic information, status as a disabled or special disabled veteran, veteran of the Vietnam Era, Armed Forces Service Medal veteran, newly</w:t>
      </w:r>
      <w:r>
        <w:rPr>
          <w:spacing w:val="-2"/>
        </w:rPr>
        <w:t> </w:t>
      </w:r>
      <w:r>
        <w:rPr/>
        <w:t>or recently</w:t>
      </w:r>
      <w:r>
        <w:rPr>
          <w:spacing w:val="-4"/>
        </w:rPr>
        <w:t> </w:t>
      </w:r>
      <w:r>
        <w:rPr/>
        <w:t>separated</w:t>
      </w:r>
      <w:r>
        <w:rPr>
          <w:spacing w:val="-1"/>
        </w:rPr>
        <w:t> </w:t>
      </w:r>
      <w:r>
        <w:rPr/>
        <w:t>veteran</w:t>
      </w:r>
      <w:r>
        <w:rPr>
          <w:spacing w:val="-1"/>
        </w:rPr>
        <w:t> </w:t>
      </w:r>
      <w:r>
        <w:rPr/>
        <w:t>or other protected veteran, or protected activity, nor does it tolerate any form of harassment in the workplace against individuals on the basis of their race, sex, pregnancy, religion, color national</w:t>
      </w:r>
      <w:r>
        <w:rPr>
          <w:spacing w:val="-1"/>
        </w:rPr>
        <w:t> </w:t>
      </w:r>
      <w:r>
        <w:rPr/>
        <w:t>origin, age, disability, genetic information, status as a disabled or special disabled veteran, veteran or other protected veteran, or protected activity.</w:t>
      </w:r>
      <w:r>
        <w:rPr>
          <w:spacing w:val="40"/>
        </w:rPr>
        <w:t> </w:t>
      </w:r>
      <w:r>
        <w:rPr/>
        <w:t>Protected activities include, for example, making a complaint of discrimination or harassment.</w:t>
      </w:r>
      <w:r>
        <w:rPr>
          <w:spacing w:val="40"/>
        </w:rPr>
        <w:t> </w:t>
      </w:r>
      <w:r>
        <w:rPr/>
        <w:t>This prohibition of discrimination and harassment applies to all terms and conditions of employment from the hiring stage through the cessation of </w:t>
      </w:r>
      <w:r>
        <w:rPr>
          <w:spacing w:val="-2"/>
        </w:rPr>
        <w:t>employment.</w:t>
      </w:r>
    </w:p>
    <w:p>
      <w:pPr>
        <w:pStyle w:val="BodyText"/>
        <w:spacing w:before="10"/>
      </w:pPr>
    </w:p>
    <w:p>
      <w:pPr>
        <w:pStyle w:val="BodyText"/>
        <w:spacing w:before="1"/>
        <w:ind w:left="1723" w:right="705"/>
      </w:pPr>
      <w:r>
        <w:rPr/>
        <w:t>The</w:t>
      </w:r>
      <w:r>
        <w:rPr>
          <w:spacing w:val="-4"/>
        </w:rPr>
        <w:t> </w:t>
      </w:r>
      <w:r>
        <w:rPr/>
        <w:t>University</w:t>
      </w:r>
      <w:r>
        <w:rPr>
          <w:spacing w:val="-7"/>
        </w:rPr>
        <w:t> </w:t>
      </w:r>
      <w:r>
        <w:rPr/>
        <w:t>requires</w:t>
      </w:r>
      <w:r>
        <w:rPr>
          <w:spacing w:val="-3"/>
        </w:rPr>
        <w:t> </w:t>
      </w:r>
      <w:r>
        <w:rPr/>
        <w:t>all of</w:t>
      </w:r>
      <w:r>
        <w:rPr>
          <w:spacing w:val="-2"/>
        </w:rPr>
        <w:t> </w:t>
      </w:r>
      <w:r>
        <w:rPr/>
        <w:t>its</w:t>
      </w:r>
      <w:r>
        <w:rPr>
          <w:spacing w:val="-3"/>
        </w:rPr>
        <w:t> </w:t>
      </w:r>
      <w:r>
        <w:rPr/>
        <w:t>employees</w:t>
      </w:r>
      <w:r>
        <w:rPr>
          <w:spacing w:val="-3"/>
        </w:rPr>
        <w:t> </w:t>
      </w:r>
      <w:r>
        <w:rPr/>
        <w:t>as</w:t>
      </w:r>
      <w:r>
        <w:rPr>
          <w:spacing w:val="-3"/>
        </w:rPr>
        <w:t> </w:t>
      </w:r>
      <w:r>
        <w:rPr/>
        <w:t>a</w:t>
      </w:r>
      <w:r>
        <w:rPr>
          <w:spacing w:val="-4"/>
        </w:rPr>
        <w:t> </w:t>
      </w:r>
      <w:r>
        <w:rPr/>
        <w:t>condition</w:t>
      </w:r>
      <w:r>
        <w:rPr>
          <w:spacing w:val="-2"/>
        </w:rPr>
        <w:t> </w:t>
      </w:r>
      <w:r>
        <w:rPr/>
        <w:t>of</w:t>
      </w:r>
      <w:r>
        <w:rPr>
          <w:spacing w:val="-2"/>
        </w:rPr>
        <w:t> </w:t>
      </w:r>
      <w:r>
        <w:rPr/>
        <w:t>employment</w:t>
      </w:r>
      <w:r>
        <w:rPr>
          <w:spacing w:val="-4"/>
        </w:rPr>
        <w:t> </w:t>
      </w:r>
      <w:r>
        <w:rPr/>
        <w:t>to</w:t>
      </w:r>
      <w:r>
        <w:rPr>
          <w:spacing w:val="-4"/>
        </w:rPr>
        <w:t> </w:t>
      </w:r>
      <w:r>
        <w:rPr/>
        <w:t>act</w:t>
      </w:r>
      <w:r>
        <w:rPr>
          <w:spacing w:val="-2"/>
        </w:rPr>
        <w:t> </w:t>
      </w:r>
      <w:r>
        <w:rPr/>
        <w:t>in</w:t>
      </w:r>
      <w:r>
        <w:rPr>
          <w:spacing w:val="-2"/>
        </w:rPr>
        <w:t> </w:t>
      </w:r>
      <w:r>
        <w:rPr/>
        <w:t>accord with this policy of non-discrimination, non-harassment and equal opportunity for all individuals regardless of their race, sex, pregnancy, religion, color, national origin, age, disability,</w:t>
      </w:r>
      <w:r>
        <w:rPr>
          <w:spacing w:val="-5"/>
        </w:rPr>
        <w:t> </w:t>
      </w:r>
      <w:r>
        <w:rPr/>
        <w:t>genetic</w:t>
      </w:r>
      <w:r>
        <w:rPr>
          <w:spacing w:val="-4"/>
        </w:rPr>
        <w:t> </w:t>
      </w:r>
      <w:r>
        <w:rPr/>
        <w:t>information,</w:t>
      </w:r>
      <w:r>
        <w:rPr>
          <w:spacing w:val="-5"/>
        </w:rPr>
        <w:t> </w:t>
      </w:r>
      <w:r>
        <w:rPr/>
        <w:t>status</w:t>
      </w:r>
      <w:r>
        <w:rPr>
          <w:spacing w:val="-4"/>
        </w:rPr>
        <w:t> </w:t>
      </w:r>
      <w:r>
        <w:rPr/>
        <w:t>as</w:t>
      </w:r>
      <w:r>
        <w:rPr>
          <w:spacing w:val="-4"/>
        </w:rPr>
        <w:t> </w:t>
      </w:r>
      <w:r>
        <w:rPr/>
        <w:t>a</w:t>
      </w:r>
      <w:r>
        <w:rPr>
          <w:spacing w:val="-3"/>
        </w:rPr>
        <w:t> </w:t>
      </w:r>
      <w:r>
        <w:rPr/>
        <w:t>disabled</w:t>
      </w:r>
      <w:r>
        <w:rPr>
          <w:spacing w:val="-5"/>
        </w:rPr>
        <w:t> </w:t>
      </w:r>
      <w:r>
        <w:rPr/>
        <w:t>or</w:t>
      </w:r>
      <w:r>
        <w:rPr>
          <w:spacing w:val="-2"/>
        </w:rPr>
        <w:t> </w:t>
      </w:r>
      <w:r>
        <w:rPr/>
        <w:t>special</w:t>
      </w:r>
      <w:r>
        <w:rPr>
          <w:spacing w:val="-4"/>
        </w:rPr>
        <w:t> </w:t>
      </w:r>
      <w:r>
        <w:rPr/>
        <w:t>disabled</w:t>
      </w:r>
      <w:r>
        <w:rPr>
          <w:spacing w:val="-3"/>
        </w:rPr>
        <w:t> </w:t>
      </w:r>
      <w:r>
        <w:rPr/>
        <w:t>veteran,</w:t>
      </w:r>
      <w:r>
        <w:rPr>
          <w:spacing w:val="-3"/>
        </w:rPr>
        <w:t> </w:t>
      </w:r>
      <w:r>
        <w:rPr/>
        <w:t>veteran</w:t>
      </w:r>
      <w:r>
        <w:rPr>
          <w:spacing w:val="-3"/>
        </w:rPr>
        <w:t> </w:t>
      </w:r>
      <w:r>
        <w:rPr/>
        <w:t>of the Vietnam Era, Armed Forces Service Medal veteran, newly or recently separated veteran, or other protected veteran, or protected activity.</w:t>
      </w:r>
    </w:p>
    <w:p>
      <w:pPr>
        <w:pStyle w:val="BodyText"/>
        <w:spacing w:before="10"/>
      </w:pPr>
    </w:p>
    <w:p>
      <w:pPr>
        <w:pStyle w:val="BodyText"/>
        <w:ind w:left="1723" w:right="499"/>
      </w:pPr>
      <w:r>
        <w:rPr/>
        <w:t>The EEO Officer is responsible for the overall application of the equal employment opportunity/affirmative action policy and administration of the affirmative action plan.</w:t>
      </w:r>
      <w:r>
        <w:rPr>
          <w:spacing w:val="40"/>
        </w:rPr>
        <w:t> </w:t>
      </w:r>
      <w:r>
        <w:rPr/>
        <w:t>In addition, each supervisor/Department Head is designated the responsibility of the application of this policy within their department.</w:t>
      </w:r>
      <w:r>
        <w:rPr>
          <w:spacing w:val="40"/>
        </w:rPr>
        <w:t> </w:t>
      </w:r>
      <w:r>
        <w:rPr/>
        <w:t>This includes initiating or supporting programs</w:t>
      </w:r>
      <w:r>
        <w:rPr>
          <w:spacing w:val="-5"/>
        </w:rPr>
        <w:t> </w:t>
      </w:r>
      <w:r>
        <w:rPr/>
        <w:t>and</w:t>
      </w:r>
      <w:r>
        <w:rPr>
          <w:spacing w:val="-6"/>
        </w:rPr>
        <w:t> </w:t>
      </w:r>
      <w:r>
        <w:rPr/>
        <w:t>practices</w:t>
      </w:r>
      <w:r>
        <w:rPr>
          <w:spacing w:val="-5"/>
        </w:rPr>
        <w:t> </w:t>
      </w:r>
      <w:r>
        <w:rPr/>
        <w:t>designed</w:t>
      </w:r>
      <w:r>
        <w:rPr>
          <w:spacing w:val="-6"/>
        </w:rPr>
        <w:t> </w:t>
      </w:r>
      <w:r>
        <w:rPr/>
        <w:t>to</w:t>
      </w:r>
      <w:r>
        <w:rPr>
          <w:spacing w:val="-4"/>
        </w:rPr>
        <w:t> </w:t>
      </w:r>
      <w:r>
        <w:rPr/>
        <w:t>develop</w:t>
      </w:r>
      <w:r>
        <w:rPr>
          <w:spacing w:val="-4"/>
        </w:rPr>
        <w:t> </w:t>
      </w:r>
      <w:r>
        <w:rPr/>
        <w:t>understanding,</w:t>
      </w:r>
      <w:r>
        <w:rPr>
          <w:spacing w:val="-4"/>
        </w:rPr>
        <w:t> </w:t>
      </w:r>
      <w:r>
        <w:rPr/>
        <w:t>acceptance,</w:t>
      </w:r>
      <w:r>
        <w:rPr>
          <w:spacing w:val="-6"/>
        </w:rPr>
        <w:t> </w:t>
      </w:r>
      <w:r>
        <w:rPr/>
        <w:t>commitment,</w:t>
      </w:r>
      <w:r>
        <w:rPr>
          <w:spacing w:val="-6"/>
        </w:rPr>
        <w:t> </w:t>
      </w:r>
      <w:r>
        <w:rPr/>
        <w:t>and compliance by each supervisor and all employees in the department.</w:t>
      </w:r>
    </w:p>
    <w:p>
      <w:pPr>
        <w:pStyle w:val="BodyText"/>
        <w:spacing w:before="10"/>
      </w:pPr>
    </w:p>
    <w:p>
      <w:pPr>
        <w:pStyle w:val="BodyText"/>
        <w:ind w:left="1723" w:right="580"/>
      </w:pPr>
      <w:r>
        <w:rPr/>
        <w:t>For further information on non-discrimination and Hampton University’s grievance procedure filing a complaint of discrimination, see Section 2.3.</w:t>
      </w:r>
      <w:r>
        <w:rPr>
          <w:spacing w:val="40"/>
        </w:rPr>
        <w:t> </w:t>
      </w:r>
      <w:r>
        <w:rPr/>
        <w:t>Employees may be confident</w:t>
      </w:r>
      <w:r>
        <w:rPr>
          <w:spacing w:val="-3"/>
        </w:rPr>
        <w:t> </w:t>
      </w:r>
      <w:r>
        <w:rPr/>
        <w:t>that</w:t>
      </w:r>
      <w:r>
        <w:rPr>
          <w:spacing w:val="-3"/>
        </w:rPr>
        <w:t> </w:t>
      </w:r>
      <w:r>
        <w:rPr/>
        <w:t>the</w:t>
      </w:r>
      <w:r>
        <w:rPr>
          <w:spacing w:val="-3"/>
        </w:rPr>
        <w:t> </w:t>
      </w:r>
      <w:r>
        <w:rPr/>
        <w:t>University</w:t>
      </w:r>
      <w:r>
        <w:rPr>
          <w:spacing w:val="-5"/>
        </w:rPr>
        <w:t> </w:t>
      </w:r>
      <w:r>
        <w:rPr/>
        <w:t>will</w:t>
      </w:r>
      <w:r>
        <w:rPr>
          <w:spacing w:val="-5"/>
        </w:rPr>
        <w:t> </w:t>
      </w:r>
      <w:r>
        <w:rPr/>
        <w:t>not</w:t>
      </w:r>
      <w:r>
        <w:rPr>
          <w:spacing w:val="-4"/>
        </w:rPr>
        <w:t> </w:t>
      </w:r>
      <w:r>
        <w:rPr/>
        <w:t>tolerate</w:t>
      </w:r>
      <w:r>
        <w:rPr>
          <w:spacing w:val="-5"/>
        </w:rPr>
        <w:t> </w:t>
      </w:r>
      <w:r>
        <w:rPr/>
        <w:t>any</w:t>
      </w:r>
      <w:r>
        <w:rPr>
          <w:spacing w:val="-7"/>
        </w:rPr>
        <w:t> </w:t>
      </w:r>
      <w:r>
        <w:rPr/>
        <w:t>form</w:t>
      </w:r>
      <w:r>
        <w:rPr>
          <w:spacing w:val="-3"/>
        </w:rPr>
        <w:t> </w:t>
      </w:r>
      <w:r>
        <w:rPr/>
        <w:t>of</w:t>
      </w:r>
      <w:r>
        <w:rPr>
          <w:spacing w:val="-3"/>
        </w:rPr>
        <w:t> </w:t>
      </w:r>
      <w:r>
        <w:rPr/>
        <w:t>retaliation</w:t>
      </w:r>
      <w:r>
        <w:rPr>
          <w:spacing w:val="-3"/>
        </w:rPr>
        <w:t> </w:t>
      </w:r>
      <w:r>
        <w:rPr/>
        <w:t>against</w:t>
      </w:r>
      <w:r>
        <w:rPr>
          <w:spacing w:val="-4"/>
        </w:rPr>
        <w:t> </w:t>
      </w:r>
      <w:r>
        <w:rPr/>
        <w:t>employees</w:t>
      </w:r>
      <w:r>
        <w:rPr>
          <w:spacing w:val="-1"/>
        </w:rPr>
        <w:t> </w:t>
      </w:r>
      <w:r>
        <w:rPr/>
        <w:t>who, in good faith, make a complaint of discrimination, assist in making such a complaint or cooperate in an investigation of such complaint.</w:t>
      </w:r>
    </w:p>
    <w:p>
      <w:pPr>
        <w:pStyle w:val="BodyText"/>
        <w:spacing w:before="8"/>
      </w:pPr>
    </w:p>
    <w:p>
      <w:pPr>
        <w:spacing w:before="0"/>
        <w:ind w:left="499" w:right="0" w:firstLine="0"/>
        <w:jc w:val="left"/>
        <w:rPr>
          <w:b/>
          <w:sz w:val="20"/>
        </w:rPr>
      </w:pPr>
      <w:r>
        <w:rPr>
          <w:b/>
          <w:sz w:val="20"/>
        </w:rPr>
        <w:t>AFFIRMATIVE</w:t>
      </w:r>
      <w:r>
        <w:rPr>
          <w:b/>
          <w:spacing w:val="-12"/>
          <w:sz w:val="20"/>
        </w:rPr>
        <w:t> </w:t>
      </w:r>
      <w:r>
        <w:rPr>
          <w:b/>
          <w:spacing w:val="-2"/>
          <w:sz w:val="20"/>
        </w:rPr>
        <w:t>ACTION</w:t>
      </w:r>
    </w:p>
    <w:p>
      <w:pPr>
        <w:pStyle w:val="BodyText"/>
        <w:spacing w:before="1"/>
        <w:rPr>
          <w:b/>
          <w:sz w:val="21"/>
        </w:rPr>
      </w:pPr>
    </w:p>
    <w:p>
      <w:pPr>
        <w:pStyle w:val="BodyText"/>
        <w:ind w:left="1724" w:right="705"/>
      </w:pPr>
      <w:r>
        <w:rPr/>
        <w:t>The University also, in accord with Executive Order 11246, has an Affirmative Action Program.</w:t>
      </w:r>
      <w:r>
        <w:rPr>
          <w:spacing w:val="40"/>
        </w:rPr>
        <w:t> </w:t>
      </w:r>
      <w:r>
        <w:rPr/>
        <w:t>It</w:t>
      </w:r>
      <w:r>
        <w:rPr>
          <w:spacing w:val="-4"/>
        </w:rPr>
        <w:t> </w:t>
      </w:r>
      <w:r>
        <w:rPr/>
        <w:t>is</w:t>
      </w:r>
      <w:r>
        <w:rPr>
          <w:spacing w:val="-3"/>
        </w:rPr>
        <w:t> </w:t>
      </w:r>
      <w:r>
        <w:rPr/>
        <w:t>the</w:t>
      </w:r>
      <w:r>
        <w:rPr>
          <w:spacing w:val="-4"/>
        </w:rPr>
        <w:t> </w:t>
      </w:r>
      <w:r>
        <w:rPr/>
        <w:t>policy</w:t>
      </w:r>
      <w:r>
        <w:rPr>
          <w:spacing w:val="-6"/>
        </w:rPr>
        <w:t> </w:t>
      </w:r>
      <w:r>
        <w:rPr/>
        <w:t>of the</w:t>
      </w:r>
      <w:r>
        <w:rPr>
          <w:spacing w:val="-4"/>
        </w:rPr>
        <w:t> </w:t>
      </w:r>
      <w:r>
        <w:rPr/>
        <w:t>University</w:t>
      </w:r>
      <w:r>
        <w:rPr>
          <w:spacing w:val="-6"/>
        </w:rPr>
        <w:t> </w:t>
      </w:r>
      <w:r>
        <w:rPr/>
        <w:t>to</w:t>
      </w:r>
      <w:r>
        <w:rPr>
          <w:spacing w:val="-2"/>
        </w:rPr>
        <w:t> </w:t>
      </w:r>
      <w:r>
        <w:rPr/>
        <w:t>select</w:t>
      </w:r>
      <w:r>
        <w:rPr>
          <w:spacing w:val="-4"/>
        </w:rPr>
        <w:t> </w:t>
      </w:r>
      <w:r>
        <w:rPr/>
        <w:t>new</w:t>
      </w:r>
      <w:r>
        <w:rPr>
          <w:spacing w:val="-4"/>
        </w:rPr>
        <w:t> </w:t>
      </w:r>
      <w:r>
        <w:rPr/>
        <w:t>employees</w:t>
      </w:r>
      <w:r>
        <w:rPr>
          <w:spacing w:val="-3"/>
        </w:rPr>
        <w:t> </w:t>
      </w:r>
      <w:r>
        <w:rPr/>
        <w:t>on</w:t>
      </w:r>
      <w:r>
        <w:rPr>
          <w:spacing w:val="-4"/>
        </w:rPr>
        <w:t> </w:t>
      </w:r>
      <w:r>
        <w:rPr/>
        <w:t>the</w:t>
      </w:r>
      <w:r>
        <w:rPr>
          <w:spacing w:val="-2"/>
        </w:rPr>
        <w:t> </w:t>
      </w:r>
      <w:r>
        <w:rPr/>
        <w:t>basis</w:t>
      </w:r>
      <w:r>
        <w:rPr>
          <w:spacing w:val="-3"/>
        </w:rPr>
        <w:t> </w:t>
      </w:r>
      <w:r>
        <w:rPr/>
        <w:t>of their</w:t>
      </w:r>
    </w:p>
    <w:p>
      <w:pPr>
        <w:spacing w:after="0"/>
        <w:sectPr>
          <w:headerReference w:type="default" r:id="rId16"/>
          <w:footerReference w:type="default" r:id="rId17"/>
          <w:pgSz w:w="12240" w:h="15840"/>
          <w:pgMar w:header="0" w:footer="974" w:top="1360" w:bottom="1160" w:left="940" w:right="960"/>
        </w:sectPr>
      </w:pPr>
    </w:p>
    <w:p>
      <w:pPr>
        <w:pStyle w:val="BodyText"/>
        <w:spacing w:before="77"/>
        <w:ind w:left="1723" w:right="499"/>
      </w:pPr>
      <w:r>
        <w:rPr/>
        <w:t>qualifications</w:t>
      </w:r>
      <w:r>
        <w:rPr>
          <w:spacing w:val="-3"/>
        </w:rPr>
        <w:t> </w:t>
      </w:r>
      <w:r>
        <w:rPr/>
        <w:t>to</w:t>
      </w:r>
      <w:r>
        <w:rPr>
          <w:spacing w:val="-2"/>
        </w:rPr>
        <w:t> </w:t>
      </w:r>
      <w:r>
        <w:rPr/>
        <w:t>perform and</w:t>
      </w:r>
      <w:r>
        <w:rPr>
          <w:spacing w:val="-4"/>
        </w:rPr>
        <w:t> </w:t>
      </w:r>
      <w:r>
        <w:rPr/>
        <w:t>every</w:t>
      </w:r>
      <w:r>
        <w:rPr>
          <w:spacing w:val="-5"/>
        </w:rPr>
        <w:t> </w:t>
      </w:r>
      <w:r>
        <w:rPr/>
        <w:t>effort</w:t>
      </w:r>
      <w:r>
        <w:rPr>
          <w:spacing w:val="-4"/>
        </w:rPr>
        <w:t> </w:t>
      </w:r>
      <w:r>
        <w:rPr/>
        <w:t>will</w:t>
      </w:r>
      <w:r>
        <w:rPr>
          <w:spacing w:val="-3"/>
        </w:rPr>
        <w:t> </w:t>
      </w:r>
      <w:r>
        <w:rPr/>
        <w:t>be</w:t>
      </w:r>
      <w:r>
        <w:rPr>
          <w:spacing w:val="-4"/>
        </w:rPr>
        <w:t> </w:t>
      </w:r>
      <w:r>
        <w:rPr/>
        <w:t>made</w:t>
      </w:r>
      <w:r>
        <w:rPr>
          <w:spacing w:val="-4"/>
        </w:rPr>
        <w:t> </w:t>
      </w:r>
      <w:r>
        <w:rPr/>
        <w:t>to</w:t>
      </w:r>
      <w:r>
        <w:rPr>
          <w:spacing w:val="-4"/>
        </w:rPr>
        <w:t> </w:t>
      </w:r>
      <w:r>
        <w:rPr/>
        <w:t>determine</w:t>
      </w:r>
      <w:r>
        <w:rPr>
          <w:spacing w:val="-4"/>
        </w:rPr>
        <w:t> </w:t>
      </w:r>
      <w:r>
        <w:rPr/>
        <w:t>the</w:t>
      </w:r>
      <w:r>
        <w:rPr>
          <w:spacing w:val="-4"/>
        </w:rPr>
        <w:t> </w:t>
      </w:r>
      <w:r>
        <w:rPr/>
        <w:t>type</w:t>
      </w:r>
      <w:r>
        <w:rPr>
          <w:spacing w:val="-4"/>
        </w:rPr>
        <w:t> </w:t>
      </w:r>
      <w:r>
        <w:rPr/>
        <w:t>of employment for which applicants may best be suited.</w:t>
      </w:r>
    </w:p>
    <w:p>
      <w:pPr>
        <w:pStyle w:val="BodyText"/>
        <w:spacing w:before="11"/>
      </w:pPr>
    </w:p>
    <w:p>
      <w:pPr>
        <w:pStyle w:val="BodyText"/>
        <w:ind w:left="1723" w:right="499"/>
      </w:pPr>
      <w:r>
        <w:rPr/>
        <w:t>The University will not recruit, hire, train and promote persons in all job titles, and require that all</w:t>
      </w:r>
      <w:r>
        <w:rPr>
          <w:spacing w:val="-1"/>
        </w:rPr>
        <w:t> </w:t>
      </w:r>
      <w:r>
        <w:rPr/>
        <w:t>other personnel</w:t>
      </w:r>
      <w:r>
        <w:rPr>
          <w:spacing w:val="-1"/>
        </w:rPr>
        <w:t> </w:t>
      </w:r>
      <w:r>
        <w:rPr/>
        <w:t>actions are administered without regard to an individual’s race, sex, pregnancy, religion, color, national origin, age, disability, status as a disabled or special disabled veteran, Vietnam Era veteran, Armed Forces Service Medal veteran, newly or recently separated veteran or other protected veteran; and require that all employment decisions are based only on valid job requirements.</w:t>
      </w:r>
      <w:r>
        <w:rPr>
          <w:spacing w:val="40"/>
        </w:rPr>
        <w:t> </w:t>
      </w:r>
      <w:r>
        <w:rPr/>
        <w:t>Further, the University will require that employees</w:t>
      </w:r>
      <w:r>
        <w:rPr>
          <w:spacing w:val="-2"/>
        </w:rPr>
        <w:t> </w:t>
      </w:r>
      <w:r>
        <w:rPr/>
        <w:t>and</w:t>
      </w:r>
      <w:r>
        <w:rPr>
          <w:spacing w:val="-4"/>
        </w:rPr>
        <w:t> </w:t>
      </w:r>
      <w:r>
        <w:rPr/>
        <w:t>applicants</w:t>
      </w:r>
      <w:r>
        <w:rPr>
          <w:spacing w:val="-2"/>
        </w:rPr>
        <w:t> </w:t>
      </w:r>
      <w:r>
        <w:rPr/>
        <w:t>not</w:t>
      </w:r>
      <w:r>
        <w:rPr>
          <w:spacing w:val="-5"/>
        </w:rPr>
        <w:t> </w:t>
      </w:r>
      <w:r>
        <w:rPr/>
        <w:t>be</w:t>
      </w:r>
      <w:r>
        <w:rPr>
          <w:spacing w:val="-5"/>
        </w:rPr>
        <w:t> </w:t>
      </w:r>
      <w:r>
        <w:rPr/>
        <w:t>subjected</w:t>
      </w:r>
      <w:r>
        <w:rPr>
          <w:spacing w:val="-5"/>
        </w:rPr>
        <w:t> </w:t>
      </w:r>
      <w:r>
        <w:rPr/>
        <w:t>to</w:t>
      </w:r>
      <w:r>
        <w:rPr>
          <w:spacing w:val="-4"/>
        </w:rPr>
        <w:t> </w:t>
      </w:r>
      <w:r>
        <w:rPr/>
        <w:t>harassment,</w:t>
      </w:r>
      <w:r>
        <w:rPr>
          <w:spacing w:val="-5"/>
        </w:rPr>
        <w:t> </w:t>
      </w:r>
      <w:r>
        <w:rPr/>
        <w:t>intimidation,</w:t>
      </w:r>
      <w:r>
        <w:rPr>
          <w:spacing w:val="-4"/>
        </w:rPr>
        <w:t> </w:t>
      </w:r>
      <w:r>
        <w:rPr/>
        <w:t>threats,</w:t>
      </w:r>
      <w:r>
        <w:rPr>
          <w:spacing w:val="-4"/>
        </w:rPr>
        <w:t> </w:t>
      </w:r>
      <w:r>
        <w:rPr/>
        <w:t>coercion</w:t>
      </w:r>
      <w:r>
        <w:rPr>
          <w:spacing w:val="-4"/>
        </w:rPr>
        <w:t> </w:t>
      </w:r>
      <w:r>
        <w:rPr/>
        <w:t>or discrimination because they have engaged in or may engage in any of the following </w:t>
      </w:r>
      <w:r>
        <w:rPr>
          <w:spacing w:val="-2"/>
        </w:rPr>
        <w:t>activities:</w:t>
      </w:r>
    </w:p>
    <w:p>
      <w:pPr>
        <w:pStyle w:val="BodyText"/>
        <w:spacing w:before="9"/>
      </w:pPr>
    </w:p>
    <w:p>
      <w:pPr>
        <w:pStyle w:val="BodyText"/>
        <w:ind w:left="1219"/>
      </w:pPr>
      <w:r>
        <w:rPr/>
        <w:t>Filing</w:t>
      </w:r>
      <w:r>
        <w:rPr>
          <w:spacing w:val="-5"/>
        </w:rPr>
        <w:t> </w:t>
      </w:r>
      <w:r>
        <w:rPr/>
        <w:t>a</w:t>
      </w:r>
      <w:r>
        <w:rPr>
          <w:spacing w:val="-5"/>
        </w:rPr>
        <w:t> </w:t>
      </w:r>
      <w:r>
        <w:rPr>
          <w:spacing w:val="-2"/>
        </w:rPr>
        <w:t>complaint:</w:t>
      </w:r>
    </w:p>
    <w:p>
      <w:pPr>
        <w:pStyle w:val="BodyText"/>
        <w:spacing w:before="10"/>
      </w:pPr>
    </w:p>
    <w:p>
      <w:pPr>
        <w:pStyle w:val="BodyText"/>
        <w:spacing w:before="1"/>
        <w:ind w:left="1723" w:right="580"/>
      </w:pPr>
      <w:r>
        <w:rPr/>
        <w:t>Assisting or participating in an investigation, compliance evaluation, hearing, or any other activity</w:t>
      </w:r>
      <w:r>
        <w:rPr>
          <w:spacing w:val="-1"/>
        </w:rPr>
        <w:t> </w:t>
      </w:r>
      <w:r>
        <w:rPr/>
        <w:t>related to the administration of the affirmative action provisions of the Vietnam Era Veterans’ Readjustment Assistance Act of 1974, as amended (VEVRAA), Section 503 of the Rehabilitation Act of 1973, as amended, Executive Order 11246, Title VII of the Civil Rights</w:t>
      </w:r>
      <w:r>
        <w:rPr>
          <w:spacing w:val="-3"/>
        </w:rPr>
        <w:t> </w:t>
      </w:r>
      <w:r>
        <w:rPr/>
        <w:t>Act</w:t>
      </w:r>
      <w:r>
        <w:rPr>
          <w:spacing w:val="-4"/>
        </w:rPr>
        <w:t> </w:t>
      </w:r>
      <w:r>
        <w:rPr/>
        <w:t>of</w:t>
      </w:r>
      <w:r>
        <w:rPr>
          <w:spacing w:val="-2"/>
        </w:rPr>
        <w:t> </w:t>
      </w:r>
      <w:r>
        <w:rPr/>
        <w:t>1964,</w:t>
      </w:r>
      <w:r>
        <w:rPr>
          <w:spacing w:val="-2"/>
        </w:rPr>
        <w:t> </w:t>
      </w:r>
      <w:r>
        <w:rPr/>
        <w:t>as</w:t>
      </w:r>
      <w:r>
        <w:rPr>
          <w:spacing w:val="-3"/>
        </w:rPr>
        <w:t> </w:t>
      </w:r>
      <w:r>
        <w:rPr/>
        <w:t>amended</w:t>
      </w:r>
      <w:r>
        <w:rPr>
          <w:spacing w:val="-2"/>
        </w:rPr>
        <w:t> </w:t>
      </w:r>
      <w:r>
        <w:rPr/>
        <w:t>by</w:t>
      </w:r>
      <w:r>
        <w:rPr>
          <w:spacing w:val="-6"/>
        </w:rPr>
        <w:t> </w:t>
      </w:r>
      <w:r>
        <w:rPr/>
        <w:t>the</w:t>
      </w:r>
      <w:r>
        <w:rPr>
          <w:spacing w:val="-4"/>
        </w:rPr>
        <w:t> </w:t>
      </w:r>
      <w:r>
        <w:rPr/>
        <w:t>Civil</w:t>
      </w:r>
      <w:r>
        <w:rPr>
          <w:spacing w:val="-5"/>
        </w:rPr>
        <w:t> </w:t>
      </w:r>
      <w:r>
        <w:rPr/>
        <w:t>Rights</w:t>
      </w:r>
      <w:r>
        <w:rPr>
          <w:spacing w:val="-3"/>
        </w:rPr>
        <w:t> </w:t>
      </w:r>
      <w:r>
        <w:rPr/>
        <w:t>Act</w:t>
      </w:r>
      <w:r>
        <w:rPr>
          <w:spacing w:val="-2"/>
        </w:rPr>
        <w:t> </w:t>
      </w:r>
      <w:r>
        <w:rPr/>
        <w:t>of</w:t>
      </w:r>
      <w:r>
        <w:rPr>
          <w:spacing w:val="-2"/>
        </w:rPr>
        <w:t> </w:t>
      </w:r>
      <w:r>
        <w:rPr/>
        <w:t>1991,</w:t>
      </w:r>
      <w:r>
        <w:rPr>
          <w:spacing w:val="-2"/>
        </w:rPr>
        <w:t> </w:t>
      </w:r>
      <w:r>
        <w:rPr/>
        <w:t>or</w:t>
      </w:r>
      <w:r>
        <w:rPr>
          <w:spacing w:val="-3"/>
        </w:rPr>
        <w:t> </w:t>
      </w:r>
      <w:r>
        <w:rPr/>
        <w:t>any</w:t>
      </w:r>
      <w:r>
        <w:rPr>
          <w:spacing w:val="-5"/>
        </w:rPr>
        <w:t> </w:t>
      </w:r>
      <w:r>
        <w:rPr/>
        <w:t>other</w:t>
      </w:r>
      <w:r>
        <w:rPr>
          <w:spacing w:val="-3"/>
        </w:rPr>
        <w:t> </w:t>
      </w:r>
      <w:r>
        <w:rPr/>
        <w:t>federal,</w:t>
      </w:r>
      <w:r>
        <w:rPr>
          <w:spacing w:val="-4"/>
        </w:rPr>
        <w:t> </w:t>
      </w:r>
      <w:r>
        <w:rPr/>
        <w:t>state, or local law requiring equal opportunity for the above noted protected classes, including specifically, the disabled, disabled or special disabled veterans, veterans of the Vietnam Era, Armed Forces Service Medal veteran, newly or recently separated veterans or other protected veterans;</w:t>
      </w:r>
    </w:p>
    <w:p>
      <w:pPr>
        <w:pStyle w:val="BodyText"/>
        <w:spacing w:before="9"/>
      </w:pPr>
    </w:p>
    <w:p>
      <w:pPr>
        <w:pStyle w:val="BodyText"/>
        <w:ind w:left="1723" w:right="499"/>
      </w:pPr>
      <w:r>
        <w:rPr/>
        <w:t>Opposing any act or practice made unlawful by Section 503 of the Rehabilitation Act of 1973, as amended, Executive Order 11246, Title VII of the Civil Rights Act of 1964, as amended</w:t>
      </w:r>
      <w:r>
        <w:rPr>
          <w:spacing w:val="-4"/>
        </w:rPr>
        <w:t> </w:t>
      </w:r>
      <w:r>
        <w:rPr/>
        <w:t>by</w:t>
      </w:r>
      <w:r>
        <w:rPr>
          <w:spacing w:val="-7"/>
        </w:rPr>
        <w:t> </w:t>
      </w:r>
      <w:r>
        <w:rPr/>
        <w:t>the</w:t>
      </w:r>
      <w:r>
        <w:rPr>
          <w:spacing w:val="-4"/>
        </w:rPr>
        <w:t> </w:t>
      </w:r>
      <w:r>
        <w:rPr/>
        <w:t>Civil</w:t>
      </w:r>
      <w:r>
        <w:rPr>
          <w:spacing w:val="-2"/>
        </w:rPr>
        <w:t> </w:t>
      </w:r>
      <w:r>
        <w:rPr/>
        <w:t>Rights</w:t>
      </w:r>
      <w:r>
        <w:rPr>
          <w:spacing w:val="-3"/>
        </w:rPr>
        <w:t> </w:t>
      </w:r>
      <w:r>
        <w:rPr/>
        <w:t>Act</w:t>
      </w:r>
      <w:r>
        <w:rPr>
          <w:spacing w:val="-4"/>
        </w:rPr>
        <w:t> </w:t>
      </w:r>
      <w:r>
        <w:rPr/>
        <w:t>of</w:t>
      </w:r>
      <w:r>
        <w:rPr>
          <w:spacing w:val="-2"/>
        </w:rPr>
        <w:t> </w:t>
      </w:r>
      <w:r>
        <w:rPr/>
        <w:t>1991,</w:t>
      </w:r>
      <w:r>
        <w:rPr>
          <w:spacing w:val="-4"/>
        </w:rPr>
        <w:t> </w:t>
      </w:r>
      <w:r>
        <w:rPr/>
        <w:t>VEVRAA,</w:t>
      </w:r>
      <w:r>
        <w:rPr>
          <w:spacing w:val="-2"/>
        </w:rPr>
        <w:t> </w:t>
      </w:r>
      <w:r>
        <w:rPr/>
        <w:t>or</w:t>
      </w:r>
      <w:r>
        <w:rPr>
          <w:spacing w:val="-3"/>
        </w:rPr>
        <w:t> </w:t>
      </w:r>
      <w:r>
        <w:rPr/>
        <w:t>their</w:t>
      </w:r>
      <w:r>
        <w:rPr>
          <w:spacing w:val="-1"/>
        </w:rPr>
        <w:t> </w:t>
      </w:r>
      <w:r>
        <w:rPr/>
        <w:t>implementing</w:t>
      </w:r>
      <w:r>
        <w:rPr>
          <w:spacing w:val="-4"/>
        </w:rPr>
        <w:t> </w:t>
      </w:r>
      <w:r>
        <w:rPr/>
        <w:t>regulations</w:t>
      </w:r>
      <w:r>
        <w:rPr>
          <w:spacing w:val="-3"/>
        </w:rPr>
        <w:t> </w:t>
      </w:r>
      <w:r>
        <w:rPr/>
        <w:t>in</w:t>
      </w:r>
      <w:r>
        <w:rPr>
          <w:spacing w:val="-2"/>
        </w:rPr>
        <w:t> </w:t>
      </w:r>
      <w:r>
        <w:rPr/>
        <w:t>this part, or any other federal, state or local law requiring equal opportunity for disabled or special disabled veterans, veterans of the Vietnam Era, Armed Forces Service Medal veteran, newly or recently separated veterans or other protected veterans; or</w:t>
      </w:r>
    </w:p>
    <w:p>
      <w:pPr>
        <w:pStyle w:val="BodyText"/>
        <w:spacing w:before="10"/>
      </w:pPr>
    </w:p>
    <w:p>
      <w:pPr>
        <w:pStyle w:val="BodyText"/>
        <w:spacing w:before="1"/>
        <w:ind w:left="1723" w:right="499"/>
      </w:pPr>
      <w:r>
        <w:rPr/>
        <w:t>Exercising any other right protected by Section 503 of the Rehabilitation Act of 1973, as amended,</w:t>
      </w:r>
      <w:r>
        <w:rPr>
          <w:spacing w:val="-4"/>
        </w:rPr>
        <w:t> </w:t>
      </w:r>
      <w:r>
        <w:rPr/>
        <w:t>Executive</w:t>
      </w:r>
      <w:r>
        <w:rPr>
          <w:spacing w:val="-4"/>
        </w:rPr>
        <w:t> </w:t>
      </w:r>
      <w:r>
        <w:rPr/>
        <w:t>Order</w:t>
      </w:r>
      <w:r>
        <w:rPr>
          <w:spacing w:val="-3"/>
        </w:rPr>
        <w:t> </w:t>
      </w:r>
      <w:r>
        <w:rPr/>
        <w:t>11246,</w:t>
      </w:r>
      <w:r>
        <w:rPr>
          <w:spacing w:val="-4"/>
        </w:rPr>
        <w:t> </w:t>
      </w:r>
      <w:r>
        <w:rPr/>
        <w:t>Title</w:t>
      </w:r>
      <w:r>
        <w:rPr>
          <w:spacing w:val="-2"/>
        </w:rPr>
        <w:t> </w:t>
      </w:r>
      <w:r>
        <w:rPr/>
        <w:t>VII</w:t>
      </w:r>
      <w:r>
        <w:rPr>
          <w:spacing w:val="-4"/>
        </w:rPr>
        <w:t> </w:t>
      </w:r>
      <w:r>
        <w:rPr/>
        <w:t>of</w:t>
      </w:r>
      <w:r>
        <w:rPr>
          <w:spacing w:val="-2"/>
        </w:rPr>
        <w:t> </w:t>
      </w:r>
      <w:r>
        <w:rPr/>
        <w:t>the</w:t>
      </w:r>
      <w:r>
        <w:rPr>
          <w:spacing w:val="-2"/>
        </w:rPr>
        <w:t> </w:t>
      </w:r>
      <w:r>
        <w:rPr/>
        <w:t>Civil</w:t>
      </w:r>
      <w:r>
        <w:rPr>
          <w:spacing w:val="-3"/>
        </w:rPr>
        <w:t> </w:t>
      </w:r>
      <w:r>
        <w:rPr/>
        <w:t>Rights</w:t>
      </w:r>
      <w:r>
        <w:rPr>
          <w:spacing w:val="-3"/>
        </w:rPr>
        <w:t> </w:t>
      </w:r>
      <w:r>
        <w:rPr/>
        <w:t>Act</w:t>
      </w:r>
      <w:r>
        <w:rPr>
          <w:spacing w:val="-4"/>
        </w:rPr>
        <w:t> </w:t>
      </w:r>
      <w:r>
        <w:rPr/>
        <w:t>of</w:t>
      </w:r>
      <w:r>
        <w:rPr>
          <w:spacing w:val="-2"/>
        </w:rPr>
        <w:t> </w:t>
      </w:r>
      <w:r>
        <w:rPr/>
        <w:t>1964,</w:t>
      </w:r>
      <w:r>
        <w:rPr>
          <w:spacing w:val="-2"/>
        </w:rPr>
        <w:t> </w:t>
      </w:r>
      <w:r>
        <w:rPr/>
        <w:t>as</w:t>
      </w:r>
      <w:r>
        <w:rPr>
          <w:spacing w:val="-3"/>
        </w:rPr>
        <w:t> </w:t>
      </w:r>
      <w:r>
        <w:rPr/>
        <w:t>amended</w:t>
      </w:r>
      <w:r>
        <w:rPr>
          <w:spacing w:val="-2"/>
        </w:rPr>
        <w:t> </w:t>
      </w:r>
      <w:r>
        <w:rPr/>
        <w:t>by the Civil Rights Act of 1991, VEVRAA, or their implementing regulations in this part.</w:t>
      </w:r>
    </w:p>
    <w:p>
      <w:pPr>
        <w:pStyle w:val="BodyText"/>
        <w:spacing w:before="11"/>
      </w:pPr>
    </w:p>
    <w:p>
      <w:pPr>
        <w:pStyle w:val="BodyText"/>
        <w:ind w:left="1723"/>
      </w:pPr>
      <w:r>
        <w:rPr/>
        <w:t>The</w:t>
      </w:r>
      <w:r>
        <w:rPr>
          <w:spacing w:val="-5"/>
        </w:rPr>
        <w:t> </w:t>
      </w:r>
      <w:r>
        <w:rPr/>
        <w:t>University’s</w:t>
      </w:r>
      <w:r>
        <w:rPr>
          <w:spacing w:val="-4"/>
        </w:rPr>
        <w:t> </w:t>
      </w:r>
      <w:r>
        <w:rPr/>
        <w:t>affirmative</w:t>
      </w:r>
      <w:r>
        <w:rPr>
          <w:spacing w:val="-3"/>
        </w:rPr>
        <w:t> </w:t>
      </w:r>
      <w:r>
        <w:rPr/>
        <w:t>action</w:t>
      </w:r>
      <w:r>
        <w:rPr>
          <w:spacing w:val="-3"/>
        </w:rPr>
        <w:t> </w:t>
      </w:r>
      <w:r>
        <w:rPr/>
        <w:t>plans</w:t>
      </w:r>
      <w:r>
        <w:rPr>
          <w:spacing w:val="-4"/>
        </w:rPr>
        <w:t> </w:t>
      </w:r>
      <w:r>
        <w:rPr/>
        <w:t>or</w:t>
      </w:r>
      <w:r>
        <w:rPr>
          <w:spacing w:val="-4"/>
        </w:rPr>
        <w:t> </w:t>
      </w:r>
      <w:r>
        <w:rPr/>
        <w:t>relevant</w:t>
      </w:r>
      <w:r>
        <w:rPr>
          <w:spacing w:val="-5"/>
        </w:rPr>
        <w:t> </w:t>
      </w:r>
      <w:r>
        <w:rPr/>
        <w:t>portions</w:t>
      </w:r>
      <w:r>
        <w:rPr>
          <w:spacing w:val="-2"/>
        </w:rPr>
        <w:t> </w:t>
      </w:r>
      <w:r>
        <w:rPr/>
        <w:t>of</w:t>
      </w:r>
      <w:r>
        <w:rPr>
          <w:spacing w:val="-3"/>
        </w:rPr>
        <w:t> </w:t>
      </w:r>
      <w:r>
        <w:rPr/>
        <w:t>them</w:t>
      </w:r>
      <w:r>
        <w:rPr>
          <w:spacing w:val="-1"/>
        </w:rPr>
        <w:t> </w:t>
      </w:r>
      <w:r>
        <w:rPr/>
        <w:t>are</w:t>
      </w:r>
      <w:r>
        <w:rPr>
          <w:spacing w:val="-5"/>
        </w:rPr>
        <w:t> </w:t>
      </w:r>
      <w:r>
        <w:rPr/>
        <w:t>available</w:t>
      </w:r>
      <w:r>
        <w:rPr>
          <w:spacing w:val="-5"/>
        </w:rPr>
        <w:t> </w:t>
      </w:r>
      <w:r>
        <w:rPr/>
        <w:t>for</w:t>
      </w:r>
      <w:r>
        <w:rPr>
          <w:spacing w:val="-2"/>
        </w:rPr>
        <w:t> </w:t>
      </w:r>
      <w:r>
        <w:rPr/>
        <w:t>your inspection in the Office of Human Resources upon request.</w:t>
      </w:r>
    </w:p>
    <w:p>
      <w:pPr>
        <w:pStyle w:val="BodyText"/>
        <w:spacing w:before="11"/>
        <w:rPr>
          <w:sz w:val="30"/>
        </w:rPr>
      </w:pPr>
    </w:p>
    <w:p>
      <w:pPr>
        <w:spacing w:before="0"/>
        <w:ind w:left="499" w:right="0" w:firstLine="0"/>
        <w:jc w:val="left"/>
        <w:rPr>
          <w:b/>
          <w:sz w:val="20"/>
        </w:rPr>
      </w:pPr>
      <w:r>
        <w:rPr>
          <w:b/>
          <w:sz w:val="20"/>
        </w:rPr>
        <w:t>CRITERIA</w:t>
      </w:r>
      <w:r>
        <w:rPr>
          <w:b/>
          <w:spacing w:val="-12"/>
          <w:sz w:val="20"/>
        </w:rPr>
        <w:t> </w:t>
      </w:r>
      <w:r>
        <w:rPr>
          <w:b/>
          <w:sz w:val="20"/>
        </w:rPr>
        <w:t>FOR</w:t>
      </w:r>
      <w:r>
        <w:rPr>
          <w:b/>
          <w:spacing w:val="-3"/>
          <w:sz w:val="20"/>
        </w:rPr>
        <w:t> </w:t>
      </w:r>
      <w:r>
        <w:rPr>
          <w:b/>
          <w:sz w:val="20"/>
        </w:rPr>
        <w:t>APPOINTMENT,</w:t>
      </w:r>
      <w:r>
        <w:rPr>
          <w:b/>
          <w:spacing w:val="-8"/>
          <w:sz w:val="20"/>
        </w:rPr>
        <w:t> </w:t>
      </w:r>
      <w:r>
        <w:rPr>
          <w:b/>
          <w:sz w:val="20"/>
        </w:rPr>
        <w:t>PROMOTION</w:t>
      </w:r>
      <w:r>
        <w:rPr>
          <w:b/>
          <w:spacing w:val="-7"/>
          <w:sz w:val="20"/>
        </w:rPr>
        <w:t> </w:t>
      </w:r>
      <w:r>
        <w:rPr>
          <w:b/>
          <w:sz w:val="20"/>
        </w:rPr>
        <w:t>&amp;</w:t>
      </w:r>
      <w:r>
        <w:rPr>
          <w:b/>
          <w:spacing w:val="-8"/>
          <w:sz w:val="20"/>
        </w:rPr>
        <w:t> </w:t>
      </w:r>
      <w:r>
        <w:rPr>
          <w:b/>
          <w:spacing w:val="-2"/>
          <w:sz w:val="20"/>
        </w:rPr>
        <w:t>TENURE</w:t>
      </w:r>
    </w:p>
    <w:p>
      <w:pPr>
        <w:pStyle w:val="BodyText"/>
        <w:spacing w:before="1"/>
        <w:rPr>
          <w:b/>
          <w:sz w:val="21"/>
        </w:rPr>
      </w:pPr>
    </w:p>
    <w:p>
      <w:pPr>
        <w:pStyle w:val="BodyText"/>
        <w:ind w:left="1723" w:right="499"/>
      </w:pPr>
      <w:r>
        <w:rPr/>
        <w:t>Faculty Appointments: Faculty searches are initiated at the departmental level by a committee of faculty and students.</w:t>
      </w:r>
      <w:r>
        <w:rPr>
          <w:spacing w:val="40"/>
        </w:rPr>
        <w:t> </w:t>
      </w:r>
      <w:r>
        <w:rPr/>
        <w:t>Appointment recommendations are initiated at the departmental level and submitted to the Dean of Engineering and Technology</w:t>
      </w:r>
      <w:r>
        <w:rPr>
          <w:spacing w:val="-1"/>
        </w:rPr>
        <w:t> </w:t>
      </w:r>
      <w:r>
        <w:rPr/>
        <w:t>and Provost for approval. Criteria for appointments at the various academic levels are listed in the Faculty</w:t>
      </w:r>
      <w:r>
        <w:rPr>
          <w:spacing w:val="-6"/>
        </w:rPr>
        <w:t> </w:t>
      </w:r>
      <w:r>
        <w:rPr/>
        <w:t>Handbook,</w:t>
      </w:r>
      <w:r>
        <w:rPr>
          <w:spacing w:val="-3"/>
        </w:rPr>
        <w:t> </w:t>
      </w:r>
      <w:r>
        <w:rPr/>
        <w:t>and</w:t>
      </w:r>
      <w:r>
        <w:rPr>
          <w:spacing w:val="-1"/>
        </w:rPr>
        <w:t> </w:t>
      </w:r>
      <w:r>
        <w:rPr/>
        <w:t>are</w:t>
      </w:r>
      <w:r>
        <w:rPr>
          <w:spacing w:val="-1"/>
        </w:rPr>
        <w:t> </w:t>
      </w:r>
      <w:r>
        <w:rPr/>
        <w:t>included</w:t>
      </w:r>
      <w:r>
        <w:rPr>
          <w:spacing w:val="-3"/>
        </w:rPr>
        <w:t> </w:t>
      </w:r>
      <w:r>
        <w:rPr/>
        <w:t>in</w:t>
      </w:r>
      <w:r>
        <w:rPr>
          <w:spacing w:val="-3"/>
        </w:rPr>
        <w:t> </w:t>
      </w:r>
      <w:r>
        <w:rPr/>
        <w:t>the</w:t>
      </w:r>
      <w:r>
        <w:rPr>
          <w:spacing w:val="-3"/>
        </w:rPr>
        <w:t> </w:t>
      </w:r>
      <w:r>
        <w:rPr/>
        <w:t>appendix of</w:t>
      </w:r>
      <w:r>
        <w:rPr>
          <w:spacing w:val="-1"/>
        </w:rPr>
        <w:t> </w:t>
      </w:r>
      <w:r>
        <w:rPr/>
        <w:t>the</w:t>
      </w:r>
      <w:r>
        <w:rPr>
          <w:spacing w:val="-1"/>
        </w:rPr>
        <w:t> </w:t>
      </w:r>
      <w:r>
        <w:rPr/>
        <w:t>APR.</w:t>
      </w:r>
      <w:r>
        <w:rPr>
          <w:spacing w:val="40"/>
        </w:rPr>
        <w:t> </w:t>
      </w:r>
      <w:r>
        <w:rPr/>
        <w:t>(A</w:t>
      </w:r>
      <w:r>
        <w:rPr>
          <w:spacing w:val="-4"/>
        </w:rPr>
        <w:t> </w:t>
      </w:r>
      <w:r>
        <w:rPr/>
        <w:t>full</w:t>
      </w:r>
      <w:r>
        <w:rPr>
          <w:spacing w:val="-4"/>
        </w:rPr>
        <w:t> </w:t>
      </w:r>
      <w:r>
        <w:rPr/>
        <w:t>copy</w:t>
      </w:r>
      <w:r>
        <w:rPr>
          <w:spacing w:val="-4"/>
        </w:rPr>
        <w:t> </w:t>
      </w:r>
      <w:r>
        <w:rPr/>
        <w:t>of</w:t>
      </w:r>
      <w:r>
        <w:rPr>
          <w:spacing w:val="-1"/>
        </w:rPr>
        <w:t> </w:t>
      </w:r>
      <w:r>
        <w:rPr/>
        <w:t>the</w:t>
      </w:r>
      <w:r>
        <w:rPr>
          <w:spacing w:val="-3"/>
        </w:rPr>
        <w:t> </w:t>
      </w:r>
      <w:r>
        <w:rPr/>
        <w:t>Faculty Handbook will be available for review in the Team Room).</w:t>
      </w:r>
    </w:p>
    <w:p>
      <w:pPr>
        <w:pStyle w:val="BodyText"/>
        <w:spacing w:before="11"/>
      </w:pPr>
    </w:p>
    <w:p>
      <w:pPr>
        <w:pStyle w:val="BodyText"/>
        <w:ind w:left="1723" w:right="499"/>
      </w:pPr>
      <w:r>
        <w:rPr/>
        <w:t>Promotion and Tenure: Faculty appointed to tenure-track positions are typically given six years</w:t>
      </w:r>
      <w:r>
        <w:rPr>
          <w:spacing w:val="-2"/>
        </w:rPr>
        <w:t> </w:t>
      </w:r>
      <w:r>
        <w:rPr/>
        <w:t>to</w:t>
      </w:r>
      <w:r>
        <w:rPr>
          <w:spacing w:val="-2"/>
        </w:rPr>
        <w:t> </w:t>
      </w:r>
      <w:r>
        <w:rPr/>
        <w:t>apply</w:t>
      </w:r>
      <w:r>
        <w:rPr>
          <w:spacing w:val="-6"/>
        </w:rPr>
        <w:t> </w:t>
      </w:r>
      <w:r>
        <w:rPr/>
        <w:t>for</w:t>
      </w:r>
      <w:r>
        <w:rPr>
          <w:spacing w:val="-2"/>
        </w:rPr>
        <w:t> </w:t>
      </w:r>
      <w:r>
        <w:rPr/>
        <w:t>tenure.</w:t>
      </w:r>
      <w:r>
        <w:rPr>
          <w:spacing w:val="40"/>
        </w:rPr>
        <w:t> </w:t>
      </w:r>
      <w:r>
        <w:rPr/>
        <w:t>In</w:t>
      </w:r>
      <w:r>
        <w:rPr>
          <w:spacing w:val="-3"/>
        </w:rPr>
        <w:t> </w:t>
      </w:r>
      <w:r>
        <w:rPr/>
        <w:t>addition</w:t>
      </w:r>
      <w:r>
        <w:rPr>
          <w:spacing w:val="-2"/>
        </w:rPr>
        <w:t> </w:t>
      </w:r>
      <w:r>
        <w:rPr/>
        <w:t>to</w:t>
      </w:r>
      <w:r>
        <w:rPr>
          <w:spacing w:val="-2"/>
        </w:rPr>
        <w:t> </w:t>
      </w:r>
      <w:r>
        <w:rPr/>
        <w:t>annual</w:t>
      </w:r>
      <w:r>
        <w:rPr>
          <w:spacing w:val="-4"/>
        </w:rPr>
        <w:t> </w:t>
      </w:r>
      <w:r>
        <w:rPr/>
        <w:t>evaluation</w:t>
      </w:r>
      <w:r>
        <w:rPr>
          <w:spacing w:val="-2"/>
        </w:rPr>
        <w:t> </w:t>
      </w:r>
      <w:r>
        <w:rPr/>
        <w:t>by</w:t>
      </w:r>
      <w:r>
        <w:rPr>
          <w:spacing w:val="-4"/>
        </w:rPr>
        <w:t> </w:t>
      </w:r>
      <w:r>
        <w:rPr/>
        <w:t>the</w:t>
      </w:r>
      <w:r>
        <w:rPr>
          <w:spacing w:val="-2"/>
        </w:rPr>
        <w:t> </w:t>
      </w:r>
      <w:r>
        <w:rPr/>
        <w:t>Chair,</w:t>
      </w:r>
      <w:r>
        <w:rPr>
          <w:spacing w:val="-3"/>
        </w:rPr>
        <w:t> </w:t>
      </w:r>
      <w:r>
        <w:rPr/>
        <w:t>all</w:t>
      </w:r>
      <w:r>
        <w:rPr>
          <w:spacing w:val="-2"/>
        </w:rPr>
        <w:t> </w:t>
      </w:r>
      <w:r>
        <w:rPr/>
        <w:t>faculty</w:t>
      </w:r>
      <w:r>
        <w:rPr>
          <w:spacing w:val="-2"/>
        </w:rPr>
        <w:t> </w:t>
      </w:r>
      <w:r>
        <w:rPr/>
        <w:t>members receive</w:t>
      </w:r>
      <w:r>
        <w:rPr>
          <w:spacing w:val="-2"/>
        </w:rPr>
        <w:t> </w:t>
      </w:r>
      <w:r>
        <w:rPr/>
        <w:t>a</w:t>
      </w:r>
      <w:r>
        <w:rPr>
          <w:spacing w:val="-2"/>
        </w:rPr>
        <w:t> </w:t>
      </w:r>
      <w:r>
        <w:rPr/>
        <w:t>Tenure and</w:t>
      </w:r>
      <w:r>
        <w:rPr>
          <w:spacing w:val="-2"/>
        </w:rPr>
        <w:t> </w:t>
      </w:r>
      <w:r>
        <w:rPr/>
        <w:t>Promotion</w:t>
      </w:r>
      <w:r>
        <w:rPr>
          <w:spacing w:val="-2"/>
        </w:rPr>
        <w:t> </w:t>
      </w:r>
      <w:r>
        <w:rPr/>
        <w:t>Progress</w:t>
      </w:r>
      <w:r>
        <w:rPr>
          <w:spacing w:val="-1"/>
        </w:rPr>
        <w:t> </w:t>
      </w:r>
      <w:r>
        <w:rPr/>
        <w:t>Review</w:t>
      </w:r>
      <w:r>
        <w:rPr>
          <w:spacing w:val="-4"/>
        </w:rPr>
        <w:t> </w:t>
      </w:r>
      <w:r>
        <w:rPr/>
        <w:t>by</w:t>
      </w:r>
      <w:r>
        <w:rPr>
          <w:spacing w:val="-5"/>
        </w:rPr>
        <w:t> </w:t>
      </w:r>
      <w:r>
        <w:rPr/>
        <w:t>the</w:t>
      </w:r>
      <w:r>
        <w:rPr>
          <w:spacing w:val="-2"/>
        </w:rPr>
        <w:t> </w:t>
      </w:r>
      <w:r>
        <w:rPr/>
        <w:t>Chair after</w:t>
      </w:r>
      <w:r>
        <w:rPr>
          <w:spacing w:val="-1"/>
        </w:rPr>
        <w:t> </w:t>
      </w:r>
      <w:r>
        <w:rPr/>
        <w:t>three years.</w:t>
      </w:r>
      <w:r>
        <w:rPr>
          <w:spacing w:val="-2"/>
        </w:rPr>
        <w:t> </w:t>
      </w:r>
      <w:r>
        <w:rPr/>
        <w:t>In</w:t>
      </w:r>
      <w:r>
        <w:rPr>
          <w:spacing w:val="-2"/>
        </w:rPr>
        <w:t> </w:t>
      </w:r>
      <w:r>
        <w:rPr/>
        <w:t>fact,</w:t>
      </w:r>
      <w:r>
        <w:rPr>
          <w:spacing w:val="-2"/>
        </w:rPr>
        <w:t> </w:t>
      </w:r>
      <w:r>
        <w:rPr/>
        <w:t>all faculty regardless of the type of appointment go through this process. At the time of application for tenure and/or promotion, the candidate prepares a dossier for review.</w:t>
      </w:r>
      <w:r>
        <w:rPr>
          <w:spacing w:val="40"/>
        </w:rPr>
        <w:t> </w:t>
      </w:r>
      <w:r>
        <w:rPr/>
        <w:t>The dossier is reviewed first by the Chair, whose recommendations regarding Promotion and Tenure is sent from the Department to the Dean of the School.</w:t>
      </w:r>
      <w:r>
        <w:rPr>
          <w:spacing w:val="40"/>
        </w:rPr>
        <w:t> </w:t>
      </w:r>
      <w:r>
        <w:rPr/>
        <w:t>The dossiers are reviewed</w:t>
      </w:r>
    </w:p>
    <w:p>
      <w:pPr>
        <w:spacing w:after="0"/>
        <w:sectPr>
          <w:headerReference w:type="default" r:id="rId18"/>
          <w:footerReference w:type="default" r:id="rId19"/>
          <w:pgSz w:w="12240" w:h="15840"/>
          <w:pgMar w:header="0" w:footer="974" w:top="1360" w:bottom="1160" w:left="940" w:right="960"/>
        </w:sectPr>
      </w:pPr>
    </w:p>
    <w:p>
      <w:pPr>
        <w:pStyle w:val="BodyText"/>
        <w:spacing w:before="77"/>
        <w:ind w:left="1723" w:right="580"/>
      </w:pPr>
      <w:r>
        <w:rPr/>
        <w:t>by a faculty committee in the School of Engineering and Technology.</w:t>
      </w:r>
      <w:r>
        <w:rPr>
          <w:spacing w:val="40"/>
        </w:rPr>
        <w:t> </w:t>
      </w:r>
      <w:r>
        <w:rPr/>
        <w:t>The recommendations</w:t>
      </w:r>
      <w:r>
        <w:rPr>
          <w:spacing w:val="-3"/>
        </w:rPr>
        <w:t> </w:t>
      </w:r>
      <w:r>
        <w:rPr/>
        <w:t>of</w:t>
      </w:r>
      <w:r>
        <w:rPr>
          <w:spacing w:val="-2"/>
        </w:rPr>
        <w:t> </w:t>
      </w:r>
      <w:r>
        <w:rPr/>
        <w:t>this</w:t>
      </w:r>
      <w:r>
        <w:rPr>
          <w:spacing w:val="-3"/>
        </w:rPr>
        <w:t> </w:t>
      </w:r>
      <w:r>
        <w:rPr/>
        <w:t>committee</w:t>
      </w:r>
      <w:r>
        <w:rPr>
          <w:spacing w:val="-4"/>
        </w:rPr>
        <w:t> </w:t>
      </w:r>
      <w:r>
        <w:rPr/>
        <w:t>are</w:t>
      </w:r>
      <w:r>
        <w:rPr>
          <w:spacing w:val="-4"/>
        </w:rPr>
        <w:t> </w:t>
      </w:r>
      <w:r>
        <w:rPr/>
        <w:t>advisory</w:t>
      </w:r>
      <w:r>
        <w:rPr>
          <w:spacing w:val="-5"/>
        </w:rPr>
        <w:t> </w:t>
      </w:r>
      <w:r>
        <w:rPr/>
        <w:t>in</w:t>
      </w:r>
      <w:r>
        <w:rPr>
          <w:spacing w:val="-2"/>
        </w:rPr>
        <w:t> </w:t>
      </w:r>
      <w:r>
        <w:rPr/>
        <w:t>nature</w:t>
      </w:r>
      <w:r>
        <w:rPr>
          <w:spacing w:val="-4"/>
        </w:rPr>
        <w:t> </w:t>
      </w:r>
      <w:r>
        <w:rPr/>
        <w:t>and</w:t>
      </w:r>
      <w:r>
        <w:rPr>
          <w:spacing w:val="-4"/>
        </w:rPr>
        <w:t> </w:t>
      </w:r>
      <w:r>
        <w:rPr/>
        <w:t>are</w:t>
      </w:r>
      <w:r>
        <w:rPr>
          <w:spacing w:val="-2"/>
        </w:rPr>
        <w:t> </w:t>
      </w:r>
      <w:r>
        <w:rPr/>
        <w:t>given</w:t>
      </w:r>
      <w:r>
        <w:rPr>
          <w:spacing w:val="-4"/>
        </w:rPr>
        <w:t> </w:t>
      </w:r>
      <w:r>
        <w:rPr/>
        <w:t>to</w:t>
      </w:r>
      <w:r>
        <w:rPr>
          <w:spacing w:val="-2"/>
        </w:rPr>
        <w:t> </w:t>
      </w:r>
      <w:r>
        <w:rPr/>
        <w:t>the</w:t>
      </w:r>
      <w:r>
        <w:rPr>
          <w:spacing w:val="-2"/>
        </w:rPr>
        <w:t> </w:t>
      </w:r>
      <w:r>
        <w:rPr/>
        <w:t>Dean.</w:t>
      </w:r>
      <w:r>
        <w:rPr>
          <w:spacing w:val="40"/>
        </w:rPr>
        <w:t> </w:t>
      </w:r>
      <w:r>
        <w:rPr/>
        <w:t>The dossier,</w:t>
      </w:r>
      <w:r>
        <w:rPr>
          <w:spacing w:val="-2"/>
        </w:rPr>
        <w:t> </w:t>
      </w:r>
      <w:r>
        <w:rPr/>
        <w:t>with</w:t>
      </w:r>
      <w:r>
        <w:rPr>
          <w:spacing w:val="-4"/>
        </w:rPr>
        <w:t> </w:t>
      </w:r>
      <w:r>
        <w:rPr/>
        <w:t>the</w:t>
      </w:r>
      <w:r>
        <w:rPr>
          <w:spacing w:val="-4"/>
        </w:rPr>
        <w:t> </w:t>
      </w:r>
      <w:r>
        <w:rPr/>
        <w:t>recommendations</w:t>
      </w:r>
      <w:r>
        <w:rPr>
          <w:spacing w:val="-3"/>
        </w:rPr>
        <w:t> </w:t>
      </w:r>
      <w:r>
        <w:rPr/>
        <w:t>of</w:t>
      </w:r>
      <w:r>
        <w:rPr>
          <w:spacing w:val="-2"/>
        </w:rPr>
        <w:t> </w:t>
      </w:r>
      <w:r>
        <w:rPr/>
        <w:t>both</w:t>
      </w:r>
      <w:r>
        <w:rPr>
          <w:spacing w:val="-4"/>
        </w:rPr>
        <w:t> </w:t>
      </w:r>
      <w:r>
        <w:rPr/>
        <w:t>the</w:t>
      </w:r>
      <w:r>
        <w:rPr>
          <w:spacing w:val="-4"/>
        </w:rPr>
        <w:t> </w:t>
      </w:r>
      <w:r>
        <w:rPr/>
        <w:t>Chair</w:t>
      </w:r>
      <w:r>
        <w:rPr>
          <w:spacing w:val="-1"/>
        </w:rPr>
        <w:t> </w:t>
      </w:r>
      <w:r>
        <w:rPr/>
        <w:t>and</w:t>
      </w:r>
      <w:r>
        <w:rPr>
          <w:spacing w:val="-4"/>
        </w:rPr>
        <w:t> </w:t>
      </w:r>
      <w:r>
        <w:rPr/>
        <w:t>the</w:t>
      </w:r>
      <w:r>
        <w:rPr>
          <w:spacing w:val="-4"/>
        </w:rPr>
        <w:t> </w:t>
      </w:r>
      <w:r>
        <w:rPr/>
        <w:t>Dean</w:t>
      </w:r>
      <w:r>
        <w:rPr>
          <w:spacing w:val="-2"/>
        </w:rPr>
        <w:t> </w:t>
      </w:r>
      <w:r>
        <w:rPr/>
        <w:t>is</w:t>
      </w:r>
      <w:r>
        <w:rPr>
          <w:spacing w:val="-3"/>
        </w:rPr>
        <w:t> </w:t>
      </w:r>
      <w:r>
        <w:rPr/>
        <w:t>then</w:t>
      </w:r>
      <w:r>
        <w:rPr>
          <w:spacing w:val="-4"/>
        </w:rPr>
        <w:t> </w:t>
      </w:r>
      <w:r>
        <w:rPr/>
        <w:t>submitted</w:t>
      </w:r>
      <w:r>
        <w:rPr>
          <w:spacing w:val="-4"/>
        </w:rPr>
        <w:t> </w:t>
      </w:r>
      <w:r>
        <w:rPr/>
        <w:t>to</w:t>
      </w:r>
      <w:r>
        <w:rPr>
          <w:spacing w:val="-2"/>
        </w:rPr>
        <w:t> </w:t>
      </w:r>
      <w:r>
        <w:rPr/>
        <w:t>the Provost for review and submittal to the Committee on Academic Personnel.</w:t>
      </w:r>
    </w:p>
    <w:p>
      <w:pPr>
        <w:pStyle w:val="BodyText"/>
        <w:ind w:left="1723" w:right="705"/>
      </w:pPr>
      <w:r>
        <w:rPr/>
        <w:t>Recommendations</w:t>
      </w:r>
      <w:r>
        <w:rPr>
          <w:spacing w:val="-4"/>
        </w:rPr>
        <w:t> </w:t>
      </w:r>
      <w:r>
        <w:rPr/>
        <w:t>of</w:t>
      </w:r>
      <w:r>
        <w:rPr>
          <w:spacing w:val="-3"/>
        </w:rPr>
        <w:t> </w:t>
      </w:r>
      <w:r>
        <w:rPr/>
        <w:t>the</w:t>
      </w:r>
      <w:r>
        <w:rPr>
          <w:spacing w:val="-5"/>
        </w:rPr>
        <w:t> </w:t>
      </w:r>
      <w:r>
        <w:rPr/>
        <w:t>Committee</w:t>
      </w:r>
      <w:r>
        <w:rPr>
          <w:spacing w:val="-5"/>
        </w:rPr>
        <w:t> </w:t>
      </w:r>
      <w:r>
        <w:rPr/>
        <w:t>on</w:t>
      </w:r>
      <w:r>
        <w:rPr>
          <w:spacing w:val="-5"/>
        </w:rPr>
        <w:t> </w:t>
      </w:r>
      <w:r>
        <w:rPr/>
        <w:t>Academic</w:t>
      </w:r>
      <w:r>
        <w:rPr>
          <w:spacing w:val="-4"/>
        </w:rPr>
        <w:t> </w:t>
      </w:r>
      <w:r>
        <w:rPr/>
        <w:t>Personnel</w:t>
      </w:r>
      <w:r>
        <w:rPr>
          <w:spacing w:val="-6"/>
        </w:rPr>
        <w:t> </w:t>
      </w:r>
      <w:r>
        <w:rPr/>
        <w:t>are</w:t>
      </w:r>
      <w:r>
        <w:rPr>
          <w:spacing w:val="-3"/>
        </w:rPr>
        <w:t> </w:t>
      </w:r>
      <w:r>
        <w:rPr/>
        <w:t>given</w:t>
      </w:r>
      <w:r>
        <w:rPr>
          <w:spacing w:val="-5"/>
        </w:rPr>
        <w:t> </w:t>
      </w:r>
      <w:r>
        <w:rPr/>
        <w:t>to</w:t>
      </w:r>
      <w:r>
        <w:rPr>
          <w:spacing w:val="-3"/>
        </w:rPr>
        <w:t> </w:t>
      </w:r>
      <w:r>
        <w:rPr/>
        <w:t>the</w:t>
      </w:r>
      <w:r>
        <w:rPr>
          <w:spacing w:val="-3"/>
        </w:rPr>
        <w:t> </w:t>
      </w:r>
      <w:r>
        <w:rPr/>
        <w:t>Provost</w:t>
      </w:r>
      <w:r>
        <w:rPr>
          <w:spacing w:val="-5"/>
        </w:rPr>
        <w:t> </w:t>
      </w:r>
      <w:r>
        <w:rPr/>
        <w:t>for review and presentation to the Board of Trustees at their April meeting.</w:t>
      </w:r>
      <w:r>
        <w:rPr>
          <w:spacing w:val="40"/>
        </w:rPr>
        <w:t> </w:t>
      </w:r>
      <w:r>
        <w:rPr/>
        <w:t>These recommendations receive final action by the Board of Trustees at this time.</w:t>
      </w:r>
    </w:p>
    <w:p>
      <w:pPr>
        <w:spacing w:after="0"/>
        <w:sectPr>
          <w:headerReference w:type="default" r:id="rId20"/>
          <w:footerReference w:type="default" r:id="rId21"/>
          <w:pgSz w:w="12240" w:h="15840"/>
          <w:pgMar w:header="0" w:footer="974" w:top="1360" w:bottom="1160" w:left="940" w:right="960"/>
        </w:sectPr>
      </w:pPr>
    </w:p>
    <w:p>
      <w:pPr>
        <w:pStyle w:val="Heading5"/>
        <w:tabs>
          <w:tab w:pos="2299" w:val="left" w:leader="none"/>
        </w:tabs>
        <w:ind w:left="1220" w:firstLine="0"/>
      </w:pPr>
      <w:r>
        <w:rPr>
          <w:spacing w:val="-2"/>
        </w:rPr>
        <w:t>1.2.1.2</w:t>
      </w:r>
      <w:r>
        <w:rPr/>
        <w:tab/>
      </w:r>
      <w:r>
        <w:rPr>
          <w:spacing w:val="-2"/>
        </w:rPr>
        <w:t>Students</w:t>
      </w:r>
    </w:p>
    <w:p>
      <w:pPr>
        <w:pStyle w:val="BodyText"/>
        <w:spacing w:before="243"/>
        <w:ind w:left="1723" w:right="499"/>
      </w:pPr>
      <w:r>
        <w:rPr/>
        <w:t>The</w:t>
      </w:r>
      <w:r>
        <w:rPr>
          <w:spacing w:val="-1"/>
        </w:rPr>
        <w:t> </w:t>
      </w:r>
      <w:r>
        <w:rPr/>
        <w:t>Architecture student</w:t>
      </w:r>
      <w:r>
        <w:rPr>
          <w:spacing w:val="-1"/>
        </w:rPr>
        <w:t> </w:t>
      </w:r>
      <w:r>
        <w:rPr/>
        <w:t>body</w:t>
      </w:r>
      <w:r>
        <w:rPr>
          <w:spacing w:val="-4"/>
        </w:rPr>
        <w:t> </w:t>
      </w:r>
      <w:r>
        <w:rPr/>
        <w:t>comes</w:t>
      </w:r>
      <w:r>
        <w:rPr>
          <w:spacing w:val="-2"/>
        </w:rPr>
        <w:t> </w:t>
      </w:r>
      <w:r>
        <w:rPr/>
        <w:t>from a</w:t>
      </w:r>
      <w:r>
        <w:rPr>
          <w:spacing w:val="-1"/>
        </w:rPr>
        <w:t> </w:t>
      </w:r>
      <w:r>
        <w:rPr/>
        <w:t>wide variety</w:t>
      </w:r>
      <w:r>
        <w:rPr>
          <w:spacing w:val="-2"/>
        </w:rPr>
        <w:t> </w:t>
      </w:r>
      <w:r>
        <w:rPr/>
        <w:t>of backgrounds.</w:t>
      </w:r>
      <w:r>
        <w:rPr>
          <w:spacing w:val="-1"/>
        </w:rPr>
        <w:t> </w:t>
      </w:r>
      <w:r>
        <w:rPr/>
        <w:t>All</w:t>
      </w:r>
      <w:r>
        <w:rPr>
          <w:spacing w:val="-2"/>
        </w:rPr>
        <w:t> </w:t>
      </w:r>
      <w:r>
        <w:rPr/>
        <w:t>regions of the United States are represented, with the strongest numbers from the Mid-Atlantic and the local</w:t>
      </w:r>
      <w:r>
        <w:rPr>
          <w:spacing w:val="-1"/>
        </w:rPr>
        <w:t> </w:t>
      </w:r>
      <w:r>
        <w:rPr/>
        <w:t>Hampton</w:t>
      </w:r>
      <w:r>
        <w:rPr>
          <w:spacing w:val="-2"/>
        </w:rPr>
        <w:t> </w:t>
      </w:r>
      <w:r>
        <w:rPr/>
        <w:t>Roads</w:t>
      </w:r>
      <w:r>
        <w:rPr>
          <w:spacing w:val="-1"/>
        </w:rPr>
        <w:t> </w:t>
      </w:r>
      <w:r>
        <w:rPr/>
        <w:t>areas.</w:t>
      </w:r>
      <w:r>
        <w:rPr>
          <w:spacing w:val="-7"/>
        </w:rPr>
        <w:t> </w:t>
      </w:r>
      <w:r>
        <w:rPr/>
        <w:t>We</w:t>
      </w:r>
      <w:r>
        <w:rPr>
          <w:spacing w:val="-2"/>
        </w:rPr>
        <w:t> </w:t>
      </w:r>
      <w:r>
        <w:rPr/>
        <w:t>typically</w:t>
      </w:r>
      <w:r>
        <w:rPr>
          <w:spacing w:val="-5"/>
        </w:rPr>
        <w:t> </w:t>
      </w:r>
      <w:r>
        <w:rPr/>
        <w:t>have students</w:t>
      </w:r>
      <w:r>
        <w:rPr>
          <w:spacing w:val="-1"/>
        </w:rPr>
        <w:t> </w:t>
      </w:r>
      <w:r>
        <w:rPr/>
        <w:t>from the</w:t>
      </w:r>
      <w:r>
        <w:rPr>
          <w:spacing w:val="-2"/>
        </w:rPr>
        <w:t> </w:t>
      </w:r>
      <w:r>
        <w:rPr/>
        <w:t>Caribbean Islands,</w:t>
      </w:r>
      <w:r>
        <w:rPr>
          <w:spacing w:val="-2"/>
        </w:rPr>
        <w:t> </w:t>
      </w:r>
      <w:r>
        <w:rPr/>
        <w:t>Africa, and Europe. The Architecture student body is generally the most diverse in the undergraduate</w:t>
      </w:r>
      <w:r>
        <w:rPr>
          <w:spacing w:val="-5"/>
        </w:rPr>
        <w:t> </w:t>
      </w:r>
      <w:r>
        <w:rPr/>
        <w:t>college</w:t>
      </w:r>
      <w:r>
        <w:rPr>
          <w:spacing w:val="-3"/>
        </w:rPr>
        <w:t> </w:t>
      </w:r>
      <w:r>
        <w:rPr/>
        <w:t>at</w:t>
      </w:r>
      <w:r>
        <w:rPr>
          <w:spacing w:val="-5"/>
        </w:rPr>
        <w:t> </w:t>
      </w:r>
      <w:r>
        <w:rPr/>
        <w:t>Hampton</w:t>
      </w:r>
      <w:r>
        <w:rPr>
          <w:spacing w:val="-5"/>
        </w:rPr>
        <w:t> </w:t>
      </w:r>
      <w:r>
        <w:rPr/>
        <w:t>University.</w:t>
      </w:r>
      <w:r>
        <w:rPr>
          <w:spacing w:val="-3"/>
        </w:rPr>
        <w:t> </w:t>
      </w:r>
      <w:r>
        <w:rPr/>
        <w:t>As</w:t>
      </w:r>
      <w:r>
        <w:rPr>
          <w:spacing w:val="-4"/>
        </w:rPr>
        <w:t> </w:t>
      </w:r>
      <w:r>
        <w:rPr/>
        <w:t>the</w:t>
      </w:r>
      <w:r>
        <w:rPr>
          <w:spacing w:val="-5"/>
        </w:rPr>
        <w:t> </w:t>
      </w:r>
      <w:r>
        <w:rPr/>
        <w:t>only</w:t>
      </w:r>
      <w:r>
        <w:rPr>
          <w:spacing w:val="-8"/>
        </w:rPr>
        <w:t> </w:t>
      </w:r>
      <w:r>
        <w:rPr/>
        <w:t>Professional</w:t>
      </w:r>
      <w:r>
        <w:rPr>
          <w:spacing w:val="-4"/>
        </w:rPr>
        <w:t> </w:t>
      </w:r>
      <w:r>
        <w:rPr/>
        <w:t>Architecture</w:t>
      </w:r>
      <w:r>
        <w:rPr>
          <w:spacing w:val="-5"/>
        </w:rPr>
        <w:t> </w:t>
      </w:r>
      <w:r>
        <w:rPr/>
        <w:t>Degree in</w:t>
      </w:r>
      <w:r>
        <w:rPr>
          <w:spacing w:val="-3"/>
        </w:rPr>
        <w:t> </w:t>
      </w:r>
      <w:r>
        <w:rPr/>
        <w:t>Hampton</w:t>
      </w:r>
      <w:r>
        <w:rPr>
          <w:spacing w:val="-3"/>
        </w:rPr>
        <w:t> </w:t>
      </w:r>
      <w:r>
        <w:rPr/>
        <w:t>Roads,</w:t>
      </w:r>
      <w:r>
        <w:rPr>
          <w:spacing w:val="-3"/>
        </w:rPr>
        <w:t> </w:t>
      </w:r>
      <w:r>
        <w:rPr/>
        <w:t>the</w:t>
      </w:r>
      <w:r>
        <w:rPr>
          <w:spacing w:val="-1"/>
        </w:rPr>
        <w:t> </w:t>
      </w:r>
      <w:r>
        <w:rPr/>
        <w:t>undergraduate</w:t>
      </w:r>
      <w:r>
        <w:rPr>
          <w:spacing w:val="-3"/>
        </w:rPr>
        <w:t> </w:t>
      </w:r>
      <w:r>
        <w:rPr/>
        <w:t>student</w:t>
      </w:r>
      <w:r>
        <w:rPr>
          <w:spacing w:val="-3"/>
        </w:rPr>
        <w:t> </w:t>
      </w:r>
      <w:r>
        <w:rPr/>
        <w:t>body</w:t>
      </w:r>
      <w:r>
        <w:rPr>
          <w:spacing w:val="-6"/>
        </w:rPr>
        <w:t> </w:t>
      </w:r>
      <w:r>
        <w:rPr/>
        <w:t>at</w:t>
      </w:r>
      <w:r>
        <w:rPr>
          <w:spacing w:val="-1"/>
        </w:rPr>
        <w:t> </w:t>
      </w:r>
      <w:r>
        <w:rPr/>
        <w:t>Hampton</w:t>
      </w:r>
      <w:r>
        <w:rPr>
          <w:spacing w:val="-3"/>
        </w:rPr>
        <w:t> </w:t>
      </w:r>
      <w:r>
        <w:rPr/>
        <w:t>University</w:t>
      </w:r>
      <w:r>
        <w:rPr>
          <w:spacing w:val="-4"/>
        </w:rPr>
        <w:t> </w:t>
      </w:r>
      <w:r>
        <w:rPr/>
        <w:t>is</w:t>
      </w:r>
      <w:r>
        <w:rPr>
          <w:spacing w:val="-2"/>
        </w:rPr>
        <w:t> </w:t>
      </w:r>
      <w:r>
        <w:rPr/>
        <w:t>normally</w:t>
      </w:r>
      <w:r>
        <w:rPr>
          <w:spacing w:val="-6"/>
        </w:rPr>
        <w:t> </w:t>
      </w:r>
      <w:r>
        <w:rPr/>
        <w:t>85% African American.</w:t>
      </w:r>
    </w:p>
    <w:p>
      <w:pPr>
        <w:pStyle w:val="BodyText"/>
        <w:spacing w:before="10"/>
      </w:pPr>
    </w:p>
    <w:p>
      <w:pPr>
        <w:pStyle w:val="BodyText"/>
        <w:ind w:left="1723" w:right="580"/>
      </w:pPr>
      <w:r>
        <w:rPr/>
        <w:t>Students</w:t>
      </w:r>
      <w:r>
        <w:rPr>
          <w:spacing w:val="-3"/>
        </w:rPr>
        <w:t> </w:t>
      </w:r>
      <w:r>
        <w:rPr/>
        <w:t>typically</w:t>
      </w:r>
      <w:r>
        <w:rPr>
          <w:spacing w:val="-7"/>
        </w:rPr>
        <w:t> </w:t>
      </w:r>
      <w:r>
        <w:rPr/>
        <w:t>enter</w:t>
      </w:r>
      <w:r>
        <w:rPr>
          <w:spacing w:val="-3"/>
        </w:rPr>
        <w:t> </w:t>
      </w:r>
      <w:r>
        <w:rPr/>
        <w:t>the</w:t>
      </w:r>
      <w:r>
        <w:rPr>
          <w:spacing w:val="-2"/>
        </w:rPr>
        <w:t> </w:t>
      </w:r>
      <w:r>
        <w:rPr/>
        <w:t>architecture</w:t>
      </w:r>
      <w:r>
        <w:rPr>
          <w:spacing w:val="-4"/>
        </w:rPr>
        <w:t> </w:t>
      </w:r>
      <w:r>
        <w:rPr/>
        <w:t>program</w:t>
      </w:r>
      <w:r>
        <w:rPr>
          <w:spacing w:val="-2"/>
        </w:rPr>
        <w:t> </w:t>
      </w:r>
      <w:r>
        <w:rPr/>
        <w:t>from</w:t>
      </w:r>
      <w:r>
        <w:rPr>
          <w:spacing w:val="-2"/>
        </w:rPr>
        <w:t> </w:t>
      </w:r>
      <w:r>
        <w:rPr/>
        <w:t>one</w:t>
      </w:r>
      <w:r>
        <w:rPr>
          <w:spacing w:val="-2"/>
        </w:rPr>
        <w:t> </w:t>
      </w:r>
      <w:r>
        <w:rPr/>
        <w:t>of</w:t>
      </w:r>
      <w:r>
        <w:rPr>
          <w:spacing w:val="-2"/>
        </w:rPr>
        <w:t> </w:t>
      </w:r>
      <w:r>
        <w:rPr/>
        <w:t>three</w:t>
      </w:r>
      <w:r>
        <w:rPr>
          <w:spacing w:val="-4"/>
        </w:rPr>
        <w:t> </w:t>
      </w:r>
      <w:r>
        <w:rPr/>
        <w:t>scenarios.</w:t>
      </w:r>
      <w:r>
        <w:rPr>
          <w:spacing w:val="-2"/>
        </w:rPr>
        <w:t> </w:t>
      </w:r>
      <w:r>
        <w:rPr/>
        <w:t>The</w:t>
      </w:r>
      <w:r>
        <w:rPr>
          <w:spacing w:val="-2"/>
        </w:rPr>
        <w:t> </w:t>
      </w:r>
      <w:r>
        <w:rPr/>
        <w:t>majority of the students enter the architecture program directly</w:t>
      </w:r>
      <w:r>
        <w:rPr>
          <w:spacing w:val="-1"/>
        </w:rPr>
        <w:t> </w:t>
      </w:r>
      <w:r>
        <w:rPr/>
        <w:t>from high school. A smaller number transfers in from the local Community Colleges, usually after receiving an Associates Degree in Architectural Technology, or from other professional degree programs. We</w:t>
      </w:r>
      <w:r>
        <w:rPr>
          <w:spacing w:val="-1"/>
        </w:rPr>
        <w:t> </w:t>
      </w:r>
      <w:r>
        <w:rPr/>
        <w:t>also have a number of students who are pursuing a second or third degree. Many of these students have received four-year non-professional architecture degrees, an unrelated Bachelor’s Degree, or have retired from the military and are seeking a second career.</w:t>
      </w:r>
    </w:p>
    <w:p>
      <w:pPr>
        <w:pStyle w:val="BodyText"/>
        <w:rPr>
          <w:sz w:val="21"/>
        </w:rPr>
      </w:pPr>
    </w:p>
    <w:p>
      <w:pPr>
        <w:pStyle w:val="BodyText"/>
        <w:ind w:left="1723" w:right="499"/>
      </w:pPr>
      <w:r>
        <w:rPr/>
        <w:t>The number of students entering the freshmen class in recent years has range from 20-64. While the Department is engaged in recruiting activities, and communicates whenever possible with prospective students, the University Admissions Office screens, accepts, and admits students to the Architecture Program. In a typical year, the Admissions Office receives approximately 150 applications declaring Architecture as the major.</w:t>
      </w:r>
      <w:r>
        <w:rPr>
          <w:spacing w:val="40"/>
        </w:rPr>
        <w:t> </w:t>
      </w:r>
      <w:r>
        <w:rPr/>
        <w:t>Of these, 80- 100 are accepted for admittance, with 45-60 making up the entering class in a given year. There</w:t>
      </w:r>
      <w:r>
        <w:rPr>
          <w:spacing w:val="-4"/>
        </w:rPr>
        <w:t> </w:t>
      </w:r>
      <w:r>
        <w:rPr/>
        <w:t>is</w:t>
      </w:r>
      <w:r>
        <w:rPr>
          <w:spacing w:val="-3"/>
        </w:rPr>
        <w:t> </w:t>
      </w:r>
      <w:r>
        <w:rPr/>
        <w:t>no</w:t>
      </w:r>
      <w:r>
        <w:rPr>
          <w:spacing w:val="-4"/>
        </w:rPr>
        <w:t> </w:t>
      </w:r>
      <w:r>
        <w:rPr/>
        <w:t>portfolio</w:t>
      </w:r>
      <w:r>
        <w:rPr>
          <w:spacing w:val="-4"/>
        </w:rPr>
        <w:t> </w:t>
      </w:r>
      <w:r>
        <w:rPr/>
        <w:t>review</w:t>
      </w:r>
      <w:r>
        <w:rPr>
          <w:spacing w:val="-1"/>
        </w:rPr>
        <w:t> </w:t>
      </w:r>
      <w:r>
        <w:rPr/>
        <w:t>or</w:t>
      </w:r>
      <w:r>
        <w:rPr>
          <w:spacing w:val="-3"/>
        </w:rPr>
        <w:t> </w:t>
      </w:r>
      <w:r>
        <w:rPr/>
        <w:t>other</w:t>
      </w:r>
      <w:r>
        <w:rPr>
          <w:spacing w:val="-3"/>
        </w:rPr>
        <w:t> </w:t>
      </w:r>
      <w:r>
        <w:rPr/>
        <w:t>screening</w:t>
      </w:r>
      <w:r>
        <w:rPr>
          <w:spacing w:val="-4"/>
        </w:rPr>
        <w:t> </w:t>
      </w:r>
      <w:r>
        <w:rPr/>
        <w:t>of</w:t>
      </w:r>
      <w:r>
        <w:rPr>
          <w:spacing w:val="-2"/>
        </w:rPr>
        <w:t> </w:t>
      </w:r>
      <w:r>
        <w:rPr/>
        <w:t>applicants</w:t>
      </w:r>
      <w:r>
        <w:rPr>
          <w:spacing w:val="-3"/>
        </w:rPr>
        <w:t> </w:t>
      </w:r>
      <w:r>
        <w:rPr/>
        <w:t>by</w:t>
      </w:r>
      <w:r>
        <w:rPr>
          <w:spacing w:val="-5"/>
        </w:rPr>
        <w:t> </w:t>
      </w:r>
      <w:r>
        <w:rPr/>
        <w:t>the</w:t>
      </w:r>
      <w:r>
        <w:rPr>
          <w:spacing w:val="-2"/>
        </w:rPr>
        <w:t> </w:t>
      </w:r>
      <w:r>
        <w:rPr/>
        <w:t>Department</w:t>
      </w:r>
      <w:r>
        <w:rPr>
          <w:spacing w:val="-4"/>
        </w:rPr>
        <w:t> </w:t>
      </w:r>
      <w:r>
        <w:rPr/>
        <w:t>although</w:t>
      </w:r>
      <w:r>
        <w:rPr>
          <w:spacing w:val="-2"/>
        </w:rPr>
        <w:t> </w:t>
      </w:r>
      <w:r>
        <w:rPr/>
        <w:t>we reserve the right to do so as stated in the University Catalog. The minimum SAT score is 960, with a minimum in Math of 480. The male/female ratio is approximately 55:45.</w:t>
      </w:r>
    </w:p>
    <w:p>
      <w:pPr>
        <w:pStyle w:val="BodyText"/>
        <w:spacing w:before="9"/>
      </w:pPr>
    </w:p>
    <w:p>
      <w:pPr>
        <w:pStyle w:val="BodyText"/>
        <w:ind w:left="1723" w:right="499"/>
      </w:pPr>
      <w:r>
        <w:rPr/>
        <w:t>Over the past three years, the department has averaged 54 freshmen and 33 sophomores, yielding a retention rate of 61%. Attrition results from a combination of grades, student choice, and withdrawal from (or non-return to) the University. Architecture is one of the few programs at Hampton University that requires intensive involvement from students during their freshman year, which distinguishes it for its academic rigor. With no pre-screening of students, many freshmen use the first year to try architecture. We have averaged 28 graduates</w:t>
      </w:r>
      <w:r>
        <w:rPr>
          <w:spacing w:val="-3"/>
        </w:rPr>
        <w:t> </w:t>
      </w:r>
      <w:r>
        <w:rPr/>
        <w:t>per</w:t>
      </w:r>
      <w:r>
        <w:rPr>
          <w:spacing w:val="-2"/>
        </w:rPr>
        <w:t> </w:t>
      </w:r>
      <w:r>
        <w:rPr/>
        <w:t>year</w:t>
      </w:r>
      <w:r>
        <w:rPr>
          <w:spacing w:val="-3"/>
        </w:rPr>
        <w:t> </w:t>
      </w:r>
      <w:r>
        <w:rPr/>
        <w:t>since</w:t>
      </w:r>
      <w:r>
        <w:rPr>
          <w:spacing w:val="-2"/>
        </w:rPr>
        <w:t> </w:t>
      </w:r>
      <w:r>
        <w:rPr/>
        <w:t>2009,</w:t>
      </w:r>
      <w:r>
        <w:rPr>
          <w:spacing w:val="-2"/>
        </w:rPr>
        <w:t> </w:t>
      </w:r>
      <w:r>
        <w:rPr/>
        <w:t>but</w:t>
      </w:r>
      <w:r>
        <w:rPr>
          <w:spacing w:val="-2"/>
        </w:rPr>
        <w:t> </w:t>
      </w:r>
      <w:r>
        <w:rPr/>
        <w:t>that</w:t>
      </w:r>
      <w:r>
        <w:rPr>
          <w:spacing w:val="-2"/>
        </w:rPr>
        <w:t> </w:t>
      </w:r>
      <w:r>
        <w:rPr/>
        <w:t>success</w:t>
      </w:r>
      <w:r>
        <w:rPr>
          <w:spacing w:val="-3"/>
        </w:rPr>
        <w:t> </w:t>
      </w:r>
      <w:r>
        <w:rPr/>
        <w:t>is</w:t>
      </w:r>
      <w:r>
        <w:rPr>
          <w:spacing w:val="-3"/>
        </w:rPr>
        <w:t> </w:t>
      </w:r>
      <w:r>
        <w:rPr/>
        <w:t>in</w:t>
      </w:r>
      <w:r>
        <w:rPr>
          <w:spacing w:val="-4"/>
        </w:rPr>
        <w:t> </w:t>
      </w:r>
      <w:r>
        <w:rPr/>
        <w:t>jeopardy.</w:t>
      </w:r>
      <w:r>
        <w:rPr>
          <w:spacing w:val="-4"/>
        </w:rPr>
        <w:t> </w:t>
      </w:r>
      <w:r>
        <w:rPr/>
        <w:t>This</w:t>
      </w:r>
      <w:r>
        <w:rPr>
          <w:spacing w:val="-3"/>
        </w:rPr>
        <w:t> </w:t>
      </w:r>
      <w:r>
        <w:rPr/>
        <w:t>past</w:t>
      </w:r>
      <w:r>
        <w:rPr>
          <w:spacing w:val="-2"/>
        </w:rPr>
        <w:t> </w:t>
      </w:r>
      <w:r>
        <w:rPr/>
        <w:t>year,</w:t>
      </w:r>
      <w:r>
        <w:rPr>
          <w:spacing w:val="-2"/>
        </w:rPr>
        <w:t> </w:t>
      </w:r>
      <w:r>
        <w:rPr/>
        <w:t>127</w:t>
      </w:r>
      <w:r>
        <w:rPr>
          <w:spacing w:val="-4"/>
        </w:rPr>
        <w:t> </w:t>
      </w:r>
      <w:r>
        <w:rPr/>
        <w:t>students accepted to the university declared architecture as a major. However, only 19 of those students enrolled.</w:t>
      </w:r>
    </w:p>
    <w:p>
      <w:pPr>
        <w:pStyle w:val="BodyText"/>
        <w:spacing w:before="1"/>
        <w:rPr>
          <w:sz w:val="21"/>
        </w:rPr>
      </w:pPr>
    </w:p>
    <w:p>
      <w:pPr>
        <w:pStyle w:val="BodyText"/>
        <w:ind w:left="499"/>
      </w:pPr>
      <w:r>
        <w:rPr>
          <w:spacing w:val="-2"/>
        </w:rPr>
        <w:t>Admissions</w:t>
      </w:r>
    </w:p>
    <w:p>
      <w:pPr>
        <w:pStyle w:val="BodyText"/>
        <w:spacing w:before="8"/>
      </w:pPr>
    </w:p>
    <w:p>
      <w:pPr>
        <w:pStyle w:val="BodyText"/>
        <w:ind w:left="1723" w:right="499"/>
      </w:pPr>
      <w:r>
        <w:rPr/>
        <w:t>The Department of Architecture adheres to the entry requirements established by the University Office of Admission. However, the department restricts enrollment to students meeting the following criteria: l) SAT score of 960 or above, and 2) a minimum Math SAT score</w:t>
      </w:r>
      <w:r>
        <w:rPr>
          <w:spacing w:val="-1"/>
        </w:rPr>
        <w:t> </w:t>
      </w:r>
      <w:r>
        <w:rPr/>
        <w:t>of 480. Applicants not</w:t>
      </w:r>
      <w:r>
        <w:rPr>
          <w:spacing w:val="-1"/>
        </w:rPr>
        <w:t> </w:t>
      </w:r>
      <w:r>
        <w:rPr/>
        <w:t>meeting</w:t>
      </w:r>
      <w:r>
        <w:rPr>
          <w:spacing w:val="-1"/>
        </w:rPr>
        <w:t> </w:t>
      </w:r>
      <w:r>
        <w:rPr/>
        <w:t>the</w:t>
      </w:r>
      <w:r>
        <w:rPr>
          <w:spacing w:val="-1"/>
        </w:rPr>
        <w:t> </w:t>
      </w:r>
      <w:r>
        <w:rPr/>
        <w:t>above</w:t>
      </w:r>
      <w:r>
        <w:rPr>
          <w:spacing w:val="-1"/>
        </w:rPr>
        <w:t> </w:t>
      </w:r>
      <w:r>
        <w:rPr/>
        <w:t>requirements will</w:t>
      </w:r>
      <w:r>
        <w:rPr>
          <w:spacing w:val="-2"/>
        </w:rPr>
        <w:t> </w:t>
      </w:r>
      <w:r>
        <w:rPr/>
        <w:t>be</w:t>
      </w:r>
      <w:r>
        <w:rPr>
          <w:spacing w:val="-1"/>
        </w:rPr>
        <w:t> </w:t>
      </w:r>
      <w:r>
        <w:rPr/>
        <w:t>refused</w:t>
      </w:r>
      <w:r>
        <w:rPr>
          <w:spacing w:val="-1"/>
        </w:rPr>
        <w:t> </w:t>
      </w:r>
      <w:r>
        <w:rPr/>
        <w:t>admission,</w:t>
      </w:r>
      <w:r>
        <w:rPr>
          <w:spacing w:val="-1"/>
        </w:rPr>
        <w:t> </w:t>
      </w:r>
      <w:r>
        <w:rPr/>
        <w:t>but may be referred by the Admissions Office to the department for review. Transfer students seeking</w:t>
      </w:r>
      <w:r>
        <w:rPr>
          <w:spacing w:val="-4"/>
        </w:rPr>
        <w:t> </w:t>
      </w:r>
      <w:r>
        <w:rPr/>
        <w:t>advanced</w:t>
      </w:r>
      <w:r>
        <w:rPr>
          <w:spacing w:val="-4"/>
        </w:rPr>
        <w:t> </w:t>
      </w:r>
      <w:r>
        <w:rPr/>
        <w:t>placement</w:t>
      </w:r>
      <w:r>
        <w:rPr>
          <w:spacing w:val="-4"/>
        </w:rPr>
        <w:t> </w:t>
      </w:r>
      <w:r>
        <w:rPr/>
        <w:t>in</w:t>
      </w:r>
      <w:r>
        <w:rPr>
          <w:spacing w:val="-4"/>
        </w:rPr>
        <w:t> </w:t>
      </w:r>
      <w:r>
        <w:rPr/>
        <w:t>the</w:t>
      </w:r>
      <w:r>
        <w:rPr>
          <w:spacing w:val="-4"/>
        </w:rPr>
        <w:t> </w:t>
      </w:r>
      <w:r>
        <w:rPr/>
        <w:t>design</w:t>
      </w:r>
      <w:r>
        <w:rPr>
          <w:spacing w:val="-4"/>
        </w:rPr>
        <w:t> </w:t>
      </w:r>
      <w:r>
        <w:rPr/>
        <w:t>studio</w:t>
      </w:r>
      <w:r>
        <w:rPr>
          <w:spacing w:val="-4"/>
        </w:rPr>
        <w:t> </w:t>
      </w:r>
      <w:r>
        <w:rPr/>
        <w:t>must</w:t>
      </w:r>
      <w:r>
        <w:rPr>
          <w:spacing w:val="-4"/>
        </w:rPr>
        <w:t> </w:t>
      </w:r>
      <w:r>
        <w:rPr/>
        <w:t>submit</w:t>
      </w:r>
      <w:r>
        <w:rPr>
          <w:spacing w:val="-4"/>
        </w:rPr>
        <w:t> </w:t>
      </w:r>
      <w:r>
        <w:rPr/>
        <w:t>a</w:t>
      </w:r>
      <w:r>
        <w:rPr>
          <w:spacing w:val="-4"/>
        </w:rPr>
        <w:t> </w:t>
      </w:r>
      <w:r>
        <w:rPr/>
        <w:t>portfolio</w:t>
      </w:r>
      <w:r>
        <w:rPr>
          <w:spacing w:val="-4"/>
        </w:rPr>
        <w:t> </w:t>
      </w:r>
      <w:r>
        <w:rPr/>
        <w:t>of work completed at the previous college or university for review. No transfer credit will be given for the fifth- year design studios. Freshman students will be given a mathematics placement test.</w:t>
      </w:r>
    </w:p>
    <w:p>
      <w:pPr>
        <w:pStyle w:val="BodyText"/>
        <w:spacing w:before="1"/>
        <w:ind w:left="1723" w:right="504"/>
      </w:pPr>
      <w:r>
        <w:rPr/>
        <w:t>Students who do not qualify</w:t>
      </w:r>
      <w:r>
        <w:rPr>
          <w:spacing w:val="-3"/>
        </w:rPr>
        <w:t> </w:t>
      </w:r>
      <w:r>
        <w:rPr/>
        <w:t>for Mathematics 117 will be placed in a lower level preparatory course. The first year of the five and one-half-year program is considered the foundation/pre-architecture year. Enrollment in the foundation program is open to any student admitted to the University. Progression to the second year requires review and acceptance of a portfolio of the student’s Pre-architecture work by the faculty. Because much</w:t>
      </w:r>
      <w:r>
        <w:rPr>
          <w:spacing w:val="-5"/>
        </w:rPr>
        <w:t> </w:t>
      </w:r>
      <w:r>
        <w:rPr/>
        <w:t>of</w:t>
      </w:r>
      <w:r>
        <w:rPr>
          <w:spacing w:val="-3"/>
        </w:rPr>
        <w:t> </w:t>
      </w:r>
      <w:r>
        <w:rPr/>
        <w:t>the</w:t>
      </w:r>
      <w:r>
        <w:rPr>
          <w:spacing w:val="-5"/>
        </w:rPr>
        <w:t> </w:t>
      </w:r>
      <w:r>
        <w:rPr/>
        <w:t>architecture</w:t>
      </w:r>
      <w:r>
        <w:rPr>
          <w:spacing w:val="-5"/>
        </w:rPr>
        <w:t> </w:t>
      </w:r>
      <w:r>
        <w:rPr/>
        <w:t>curriculum is</w:t>
      </w:r>
      <w:r>
        <w:rPr>
          <w:spacing w:val="-4"/>
        </w:rPr>
        <w:t> </w:t>
      </w:r>
      <w:r>
        <w:rPr/>
        <w:t>sequentially</w:t>
      </w:r>
      <w:r>
        <w:rPr>
          <w:spacing w:val="-8"/>
        </w:rPr>
        <w:t> </w:t>
      </w:r>
      <w:r>
        <w:rPr/>
        <w:t>structured,</w:t>
      </w:r>
      <w:r>
        <w:rPr>
          <w:spacing w:val="-5"/>
        </w:rPr>
        <w:t> </w:t>
      </w:r>
      <w:r>
        <w:rPr/>
        <w:t>prerequisites</w:t>
      </w:r>
      <w:r>
        <w:rPr>
          <w:spacing w:val="-4"/>
        </w:rPr>
        <w:t> </w:t>
      </w:r>
      <w:r>
        <w:rPr/>
        <w:t>must</w:t>
      </w:r>
      <w:r>
        <w:rPr>
          <w:spacing w:val="-5"/>
        </w:rPr>
        <w:t> </w:t>
      </w:r>
      <w:r>
        <w:rPr/>
        <w:t>have</w:t>
      </w:r>
      <w:r>
        <w:rPr>
          <w:spacing w:val="-5"/>
        </w:rPr>
        <w:t> </w:t>
      </w:r>
      <w:r>
        <w:rPr/>
        <w:t>been completed with acceptable grades before advancing to the next level of courses.</w:t>
      </w:r>
    </w:p>
    <w:p>
      <w:pPr>
        <w:spacing w:after="0"/>
        <w:sectPr>
          <w:headerReference w:type="default" r:id="rId22"/>
          <w:footerReference w:type="default" r:id="rId23"/>
          <w:pgSz w:w="12240" w:h="15840"/>
          <w:pgMar w:header="0" w:footer="974" w:top="1360" w:bottom="1160" w:left="940" w:right="960"/>
        </w:sectPr>
      </w:pPr>
    </w:p>
    <w:p>
      <w:pPr>
        <w:pStyle w:val="BodyText"/>
        <w:spacing w:before="77"/>
        <w:ind w:left="1723" w:right="499"/>
      </w:pPr>
      <w:r>
        <w:rPr/>
        <w:t>The</w:t>
      </w:r>
      <w:r>
        <w:rPr>
          <w:spacing w:val="-3"/>
        </w:rPr>
        <w:t> </w:t>
      </w:r>
      <w:r>
        <w:rPr/>
        <w:t>University</w:t>
      </w:r>
      <w:r>
        <w:rPr>
          <w:spacing w:val="-6"/>
        </w:rPr>
        <w:t> </w:t>
      </w:r>
      <w:r>
        <w:rPr/>
        <w:t>Admissions</w:t>
      </w:r>
      <w:r>
        <w:rPr>
          <w:spacing w:val="-2"/>
        </w:rPr>
        <w:t> </w:t>
      </w:r>
      <w:r>
        <w:rPr/>
        <w:t>Office</w:t>
      </w:r>
      <w:r>
        <w:rPr>
          <w:spacing w:val="-6"/>
        </w:rPr>
        <w:t> </w:t>
      </w:r>
      <w:r>
        <w:rPr/>
        <w:t>may</w:t>
      </w:r>
      <w:r>
        <w:rPr>
          <w:spacing w:val="-9"/>
        </w:rPr>
        <w:t> </w:t>
      </w:r>
      <w:r>
        <w:rPr/>
        <w:t>refer</w:t>
      </w:r>
      <w:r>
        <w:rPr>
          <w:spacing w:val="-2"/>
        </w:rPr>
        <w:t> </w:t>
      </w:r>
      <w:r>
        <w:rPr/>
        <w:t>applicants</w:t>
      </w:r>
      <w:r>
        <w:rPr>
          <w:spacing w:val="-2"/>
        </w:rPr>
        <w:t> </w:t>
      </w:r>
      <w:r>
        <w:rPr/>
        <w:t>not</w:t>
      </w:r>
      <w:r>
        <w:rPr>
          <w:spacing w:val="-3"/>
        </w:rPr>
        <w:t> </w:t>
      </w:r>
      <w:r>
        <w:rPr/>
        <w:t>meeting</w:t>
      </w:r>
      <w:r>
        <w:rPr>
          <w:spacing w:val="-1"/>
        </w:rPr>
        <w:t> </w:t>
      </w:r>
      <w:r>
        <w:rPr/>
        <w:t>the</w:t>
      </w:r>
      <w:r>
        <w:rPr>
          <w:spacing w:val="-3"/>
        </w:rPr>
        <w:t> </w:t>
      </w:r>
      <w:r>
        <w:rPr/>
        <w:t>above</w:t>
      </w:r>
      <w:r>
        <w:rPr>
          <w:spacing w:val="-3"/>
        </w:rPr>
        <w:t> </w:t>
      </w:r>
      <w:r>
        <w:rPr/>
        <w:t>requirements to the Department of Architecture for review.</w:t>
      </w:r>
    </w:p>
    <w:p>
      <w:pPr>
        <w:pStyle w:val="BodyText"/>
        <w:spacing w:before="11"/>
      </w:pPr>
    </w:p>
    <w:p>
      <w:pPr>
        <w:pStyle w:val="BodyText"/>
        <w:ind w:left="1723" w:right="499"/>
      </w:pPr>
      <w:r>
        <w:rPr/>
        <w:t>The first year of the 5 1/2 year Master of Architecture program is the foundation/pre- professional year. Enrollment in the first year is open to any student admitted to Hampton University.</w:t>
      </w:r>
      <w:r>
        <w:rPr>
          <w:spacing w:val="-3"/>
        </w:rPr>
        <w:t> </w:t>
      </w:r>
      <w:r>
        <w:rPr/>
        <w:t>Because</w:t>
      </w:r>
      <w:r>
        <w:rPr>
          <w:spacing w:val="-3"/>
        </w:rPr>
        <w:t> </w:t>
      </w:r>
      <w:r>
        <w:rPr/>
        <w:t>much</w:t>
      </w:r>
      <w:r>
        <w:rPr>
          <w:spacing w:val="-5"/>
        </w:rPr>
        <w:t> </w:t>
      </w:r>
      <w:r>
        <w:rPr/>
        <w:t>of</w:t>
      </w:r>
      <w:r>
        <w:rPr>
          <w:spacing w:val="-3"/>
        </w:rPr>
        <w:t> </w:t>
      </w:r>
      <w:r>
        <w:rPr/>
        <w:t>the</w:t>
      </w:r>
      <w:r>
        <w:rPr>
          <w:spacing w:val="-5"/>
        </w:rPr>
        <w:t> </w:t>
      </w:r>
      <w:r>
        <w:rPr/>
        <w:t>Architecture</w:t>
      </w:r>
      <w:r>
        <w:rPr>
          <w:spacing w:val="-5"/>
        </w:rPr>
        <w:t> </w:t>
      </w:r>
      <w:r>
        <w:rPr/>
        <w:t>curriculum</w:t>
      </w:r>
      <w:r>
        <w:rPr>
          <w:spacing w:val="-1"/>
        </w:rPr>
        <w:t> </w:t>
      </w:r>
      <w:r>
        <w:rPr/>
        <w:t>is</w:t>
      </w:r>
      <w:r>
        <w:rPr>
          <w:spacing w:val="-4"/>
        </w:rPr>
        <w:t> </w:t>
      </w:r>
      <w:r>
        <w:rPr/>
        <w:t>sequentially</w:t>
      </w:r>
      <w:r>
        <w:rPr>
          <w:spacing w:val="-8"/>
        </w:rPr>
        <w:t> </w:t>
      </w:r>
      <w:r>
        <w:rPr/>
        <w:t>structured,</w:t>
      </w:r>
      <w:r>
        <w:rPr>
          <w:spacing w:val="-5"/>
        </w:rPr>
        <w:t> </w:t>
      </w:r>
      <w:r>
        <w:rPr/>
        <w:t>students are screened at the end of the first year, and each subsequent year, to assure the prerequisites have been completed with satisfactory grades before advancing to the next level. A portfolio review of the first year studio work is required for admission into the 2nd year studio. All undergraduate prerequisites must be completed prior to admission to the graduate level in the last semester of the program.</w:t>
      </w:r>
    </w:p>
    <w:p>
      <w:pPr>
        <w:pStyle w:val="BodyText"/>
        <w:spacing w:before="9"/>
      </w:pPr>
    </w:p>
    <w:p>
      <w:pPr>
        <w:pStyle w:val="BodyText"/>
        <w:ind w:left="1723" w:right="499"/>
      </w:pPr>
      <w:r>
        <w:rPr/>
        <w:t>Transfer</w:t>
      </w:r>
      <w:r>
        <w:rPr>
          <w:spacing w:val="-4"/>
        </w:rPr>
        <w:t> </w:t>
      </w:r>
      <w:r>
        <w:rPr/>
        <w:t>students</w:t>
      </w:r>
      <w:r>
        <w:rPr>
          <w:spacing w:val="-4"/>
        </w:rPr>
        <w:t> </w:t>
      </w:r>
      <w:r>
        <w:rPr/>
        <w:t>seeking</w:t>
      </w:r>
      <w:r>
        <w:rPr>
          <w:spacing w:val="-3"/>
        </w:rPr>
        <w:t> </w:t>
      </w:r>
      <w:r>
        <w:rPr/>
        <w:t>advanced</w:t>
      </w:r>
      <w:r>
        <w:rPr>
          <w:spacing w:val="-3"/>
        </w:rPr>
        <w:t> </w:t>
      </w:r>
      <w:r>
        <w:rPr/>
        <w:t>placement</w:t>
      </w:r>
      <w:r>
        <w:rPr>
          <w:spacing w:val="-5"/>
        </w:rPr>
        <w:t> </w:t>
      </w:r>
      <w:r>
        <w:rPr/>
        <w:t>in</w:t>
      </w:r>
      <w:r>
        <w:rPr>
          <w:spacing w:val="-5"/>
        </w:rPr>
        <w:t> </w:t>
      </w:r>
      <w:r>
        <w:rPr/>
        <w:t>the</w:t>
      </w:r>
      <w:r>
        <w:rPr>
          <w:spacing w:val="-3"/>
        </w:rPr>
        <w:t> </w:t>
      </w:r>
      <w:r>
        <w:rPr/>
        <w:t>Master</w:t>
      </w:r>
      <w:r>
        <w:rPr>
          <w:spacing w:val="-4"/>
        </w:rPr>
        <w:t> </w:t>
      </w:r>
      <w:r>
        <w:rPr/>
        <w:t>of</w:t>
      </w:r>
      <w:r>
        <w:rPr>
          <w:spacing w:val="-3"/>
        </w:rPr>
        <w:t> </w:t>
      </w:r>
      <w:r>
        <w:rPr/>
        <w:t>Architecture</w:t>
      </w:r>
      <w:r>
        <w:rPr>
          <w:spacing w:val="-3"/>
        </w:rPr>
        <w:t> </w:t>
      </w:r>
      <w:r>
        <w:rPr/>
        <w:t>Program</w:t>
      </w:r>
      <w:r>
        <w:rPr>
          <w:spacing w:val="-3"/>
        </w:rPr>
        <w:t> </w:t>
      </w:r>
      <w:r>
        <w:rPr/>
        <w:t>must submit a portfolio of work completed at the previous college or university for review. No transfer credit will be given for the 5th year Design Research Thesis studio sequence.</w:t>
      </w:r>
    </w:p>
    <w:p>
      <w:pPr>
        <w:pStyle w:val="BodyText"/>
        <w:spacing w:before="11"/>
      </w:pPr>
    </w:p>
    <w:p>
      <w:pPr>
        <w:pStyle w:val="BodyText"/>
        <w:ind w:left="1723" w:right="705"/>
      </w:pPr>
      <w:r>
        <w:rPr/>
        <w:t>Our</w:t>
      </w:r>
      <w:r>
        <w:rPr>
          <w:spacing w:val="-3"/>
        </w:rPr>
        <w:t> </w:t>
      </w:r>
      <w:r>
        <w:rPr/>
        <w:t>student</w:t>
      </w:r>
      <w:r>
        <w:rPr>
          <w:spacing w:val="-2"/>
        </w:rPr>
        <w:t> </w:t>
      </w:r>
      <w:r>
        <w:rPr/>
        <w:t>body</w:t>
      </w:r>
      <w:r>
        <w:rPr>
          <w:spacing w:val="-5"/>
        </w:rPr>
        <w:t> </w:t>
      </w:r>
      <w:r>
        <w:rPr/>
        <w:t>is</w:t>
      </w:r>
      <w:r>
        <w:rPr>
          <w:spacing w:val="-3"/>
        </w:rPr>
        <w:t> </w:t>
      </w:r>
      <w:r>
        <w:rPr/>
        <w:t>diverse.</w:t>
      </w:r>
      <w:r>
        <w:rPr>
          <w:spacing w:val="-4"/>
        </w:rPr>
        <w:t> </w:t>
      </w:r>
      <w:r>
        <w:rPr/>
        <w:t>Students</w:t>
      </w:r>
      <w:r>
        <w:rPr>
          <w:spacing w:val="-3"/>
        </w:rPr>
        <w:t> </w:t>
      </w:r>
      <w:r>
        <w:rPr/>
        <w:t>come</w:t>
      </w:r>
      <w:r>
        <w:rPr>
          <w:spacing w:val="-4"/>
        </w:rPr>
        <w:t> </w:t>
      </w:r>
      <w:r>
        <w:rPr/>
        <w:t>to</w:t>
      </w:r>
      <w:r>
        <w:rPr>
          <w:spacing w:val="-4"/>
        </w:rPr>
        <w:t> </w:t>
      </w:r>
      <w:r>
        <w:rPr/>
        <w:t>our</w:t>
      </w:r>
      <w:r>
        <w:rPr>
          <w:spacing w:val="-3"/>
        </w:rPr>
        <w:t> </w:t>
      </w:r>
      <w:r>
        <w:rPr/>
        <w:t>program</w:t>
      </w:r>
      <w:r>
        <w:rPr>
          <w:spacing w:val="-2"/>
        </w:rPr>
        <w:t> </w:t>
      </w:r>
      <w:r>
        <w:rPr/>
        <w:t>from all</w:t>
      </w:r>
      <w:r>
        <w:rPr>
          <w:spacing w:val="-5"/>
        </w:rPr>
        <w:t> </w:t>
      </w:r>
      <w:r>
        <w:rPr/>
        <w:t>fifty</w:t>
      </w:r>
      <w:r>
        <w:rPr>
          <w:spacing w:val="-9"/>
        </w:rPr>
        <w:t> </w:t>
      </w:r>
      <w:r>
        <w:rPr/>
        <w:t>states,</w:t>
      </w:r>
      <w:r>
        <w:rPr>
          <w:spacing w:val="-4"/>
        </w:rPr>
        <w:t> </w:t>
      </w:r>
      <w:r>
        <w:rPr/>
        <w:t>the Caribbean, Africa, and other countries.</w:t>
      </w:r>
    </w:p>
    <w:p>
      <w:pPr>
        <w:pStyle w:val="BodyText"/>
        <w:spacing w:before="8"/>
      </w:pPr>
    </w:p>
    <w:p>
      <w:pPr>
        <w:pStyle w:val="BodyText"/>
        <w:spacing w:before="1"/>
        <w:ind w:left="1723" w:right="580"/>
      </w:pPr>
      <w:r>
        <w:rPr/>
        <w:t>Qualification of students:</w:t>
      </w:r>
      <w:r>
        <w:rPr>
          <w:spacing w:val="80"/>
        </w:rPr>
        <w:t> </w:t>
      </w:r>
      <w:r>
        <w:rPr/>
        <w:t>Students must have completed at least four units of English, three units of college-preparatory mathematics, two units of foreign language, two units of social science, and two units in the natural sciences. The University recommended that students</w:t>
      </w:r>
      <w:r>
        <w:rPr>
          <w:spacing w:val="-4"/>
        </w:rPr>
        <w:t> </w:t>
      </w:r>
      <w:r>
        <w:rPr/>
        <w:t>should</w:t>
      </w:r>
      <w:r>
        <w:rPr>
          <w:spacing w:val="-5"/>
        </w:rPr>
        <w:t> </w:t>
      </w:r>
      <w:r>
        <w:rPr/>
        <w:t>have</w:t>
      </w:r>
      <w:r>
        <w:rPr>
          <w:spacing w:val="-5"/>
        </w:rPr>
        <w:t> </w:t>
      </w:r>
      <w:r>
        <w:rPr/>
        <w:t>taken</w:t>
      </w:r>
      <w:r>
        <w:rPr>
          <w:spacing w:val="-3"/>
        </w:rPr>
        <w:t> </w:t>
      </w:r>
      <w:r>
        <w:rPr/>
        <w:t>the</w:t>
      </w:r>
      <w:r>
        <w:rPr>
          <w:spacing w:val="-5"/>
        </w:rPr>
        <w:t> </w:t>
      </w:r>
      <w:r>
        <w:rPr/>
        <w:t>most</w:t>
      </w:r>
      <w:r>
        <w:rPr>
          <w:spacing w:val="-5"/>
        </w:rPr>
        <w:t> </w:t>
      </w:r>
      <w:r>
        <w:rPr/>
        <w:t>rigorous</w:t>
      </w:r>
      <w:r>
        <w:rPr>
          <w:spacing w:val="-2"/>
        </w:rPr>
        <w:t> </w:t>
      </w:r>
      <w:r>
        <w:rPr/>
        <w:t>academic</w:t>
      </w:r>
      <w:r>
        <w:rPr>
          <w:spacing w:val="-4"/>
        </w:rPr>
        <w:t> </w:t>
      </w:r>
      <w:r>
        <w:rPr/>
        <w:t>program</w:t>
      </w:r>
      <w:r>
        <w:rPr>
          <w:spacing w:val="-1"/>
        </w:rPr>
        <w:t> </w:t>
      </w:r>
      <w:r>
        <w:rPr/>
        <w:t>available</w:t>
      </w:r>
      <w:r>
        <w:rPr>
          <w:spacing w:val="-3"/>
        </w:rPr>
        <w:t> </w:t>
      </w:r>
      <w:r>
        <w:rPr/>
        <w:t>in</w:t>
      </w:r>
      <w:r>
        <w:rPr>
          <w:spacing w:val="-3"/>
        </w:rPr>
        <w:t> </w:t>
      </w:r>
      <w:r>
        <w:rPr/>
        <w:t>their</w:t>
      </w:r>
      <w:r>
        <w:rPr>
          <w:spacing w:val="-2"/>
        </w:rPr>
        <w:t> </w:t>
      </w:r>
      <w:r>
        <w:rPr/>
        <w:t>schools, including at least five academic courses each year and AP, IB, and honors courses whenever possible.</w:t>
      </w:r>
    </w:p>
    <w:p>
      <w:pPr>
        <w:pStyle w:val="BodyText"/>
        <w:spacing w:before="10"/>
      </w:pPr>
    </w:p>
    <w:p>
      <w:pPr>
        <w:pStyle w:val="BodyText"/>
        <w:ind w:left="499"/>
      </w:pPr>
      <w:r>
        <w:rPr/>
        <w:t>Student</w:t>
      </w:r>
      <w:r>
        <w:rPr>
          <w:spacing w:val="-9"/>
        </w:rPr>
        <w:t> </w:t>
      </w:r>
      <w:r>
        <w:rPr>
          <w:spacing w:val="-2"/>
        </w:rPr>
        <w:t>Support</w:t>
      </w:r>
    </w:p>
    <w:p>
      <w:pPr>
        <w:pStyle w:val="BodyText"/>
        <w:spacing w:before="10"/>
      </w:pPr>
    </w:p>
    <w:p>
      <w:pPr>
        <w:pStyle w:val="BodyText"/>
        <w:ind w:left="1723"/>
      </w:pPr>
      <w:r>
        <w:rPr/>
        <w:t>Student</w:t>
      </w:r>
      <w:r>
        <w:rPr>
          <w:spacing w:val="-7"/>
        </w:rPr>
        <w:t> </w:t>
      </w:r>
      <w:r>
        <w:rPr/>
        <w:t>support</w:t>
      </w:r>
      <w:r>
        <w:rPr>
          <w:spacing w:val="-6"/>
        </w:rPr>
        <w:t> </w:t>
      </w:r>
      <w:r>
        <w:rPr/>
        <w:t>is</w:t>
      </w:r>
      <w:r>
        <w:rPr>
          <w:spacing w:val="-6"/>
        </w:rPr>
        <w:t> </w:t>
      </w:r>
      <w:r>
        <w:rPr/>
        <w:t>structured</w:t>
      </w:r>
      <w:r>
        <w:rPr>
          <w:spacing w:val="-6"/>
        </w:rPr>
        <w:t> </w:t>
      </w:r>
      <w:r>
        <w:rPr/>
        <w:t>in</w:t>
      </w:r>
      <w:r>
        <w:rPr>
          <w:spacing w:val="-5"/>
        </w:rPr>
        <w:t> </w:t>
      </w:r>
      <w:r>
        <w:rPr/>
        <w:t>the</w:t>
      </w:r>
      <w:r>
        <w:rPr>
          <w:spacing w:val="-5"/>
        </w:rPr>
        <w:t> </w:t>
      </w:r>
      <w:r>
        <w:rPr/>
        <w:t>fabric</w:t>
      </w:r>
      <w:r>
        <w:rPr>
          <w:spacing w:val="-5"/>
        </w:rPr>
        <w:t> </w:t>
      </w:r>
      <w:r>
        <w:rPr/>
        <w:t>of</w:t>
      </w:r>
      <w:r>
        <w:rPr>
          <w:spacing w:val="-5"/>
        </w:rPr>
        <w:t> </w:t>
      </w:r>
      <w:r>
        <w:rPr/>
        <w:t>our</w:t>
      </w:r>
      <w:r>
        <w:rPr>
          <w:spacing w:val="-5"/>
        </w:rPr>
        <w:t> </w:t>
      </w:r>
      <w:r>
        <w:rPr/>
        <w:t>university</w:t>
      </w:r>
      <w:r>
        <w:rPr>
          <w:spacing w:val="-7"/>
        </w:rPr>
        <w:t> </w:t>
      </w:r>
      <w:r>
        <w:rPr/>
        <w:t>and</w:t>
      </w:r>
      <w:r>
        <w:rPr>
          <w:spacing w:val="-5"/>
        </w:rPr>
        <w:t> </w:t>
      </w:r>
      <w:r>
        <w:rPr/>
        <w:t>within</w:t>
      </w:r>
      <w:r>
        <w:rPr>
          <w:spacing w:val="-4"/>
        </w:rPr>
        <w:t> </w:t>
      </w:r>
      <w:r>
        <w:rPr/>
        <w:t>our</w:t>
      </w:r>
      <w:r>
        <w:rPr>
          <w:spacing w:val="-4"/>
        </w:rPr>
        <w:t> </w:t>
      </w:r>
      <w:r>
        <w:rPr>
          <w:spacing w:val="-2"/>
        </w:rPr>
        <w:t>program.</w:t>
      </w:r>
    </w:p>
    <w:p>
      <w:pPr>
        <w:pStyle w:val="BodyText"/>
        <w:spacing w:before="11"/>
      </w:pPr>
    </w:p>
    <w:p>
      <w:pPr>
        <w:pStyle w:val="BodyText"/>
        <w:ind w:left="859"/>
      </w:pPr>
      <w:r>
        <w:rPr/>
        <w:t>Support</w:t>
      </w:r>
      <w:r>
        <w:rPr>
          <w:spacing w:val="-6"/>
        </w:rPr>
        <w:t> </w:t>
      </w:r>
      <w:r>
        <w:rPr/>
        <w:t>within</w:t>
      </w:r>
      <w:r>
        <w:rPr>
          <w:spacing w:val="-7"/>
        </w:rPr>
        <w:t> </w:t>
      </w:r>
      <w:r>
        <w:rPr/>
        <w:t>the</w:t>
      </w:r>
      <w:r>
        <w:rPr>
          <w:spacing w:val="-7"/>
        </w:rPr>
        <w:t> </w:t>
      </w:r>
      <w:r>
        <w:rPr/>
        <w:t>Department</w:t>
      </w:r>
      <w:r>
        <w:rPr>
          <w:spacing w:val="-7"/>
        </w:rPr>
        <w:t> </w:t>
      </w:r>
      <w:r>
        <w:rPr/>
        <w:t>of</w:t>
      </w:r>
      <w:r>
        <w:rPr>
          <w:spacing w:val="-6"/>
        </w:rPr>
        <w:t> </w:t>
      </w:r>
      <w:r>
        <w:rPr>
          <w:spacing w:val="-2"/>
        </w:rPr>
        <w:t>Architecture</w:t>
      </w:r>
    </w:p>
    <w:p>
      <w:pPr>
        <w:pStyle w:val="BodyText"/>
        <w:spacing w:before="10"/>
      </w:pPr>
    </w:p>
    <w:p>
      <w:pPr>
        <w:pStyle w:val="BodyText"/>
        <w:ind w:left="1723" w:right="705"/>
      </w:pPr>
      <w:r>
        <w:rPr/>
        <w:t>Within the department, students are assigned a faculty advisor who will work with that student for the duration of their matriculation when they arrive. The role of the faculty advisor is to assist the student in the selection of courses, to counsel students who are performing poorly and to mentor students. Students also have access to the chair for guidance</w:t>
      </w:r>
      <w:r>
        <w:rPr>
          <w:spacing w:val="-2"/>
        </w:rPr>
        <w:t> </w:t>
      </w:r>
      <w:r>
        <w:rPr/>
        <w:t>and</w:t>
      </w:r>
      <w:r>
        <w:rPr>
          <w:spacing w:val="-2"/>
        </w:rPr>
        <w:t> </w:t>
      </w:r>
      <w:r>
        <w:rPr/>
        <w:t>counsel.</w:t>
      </w:r>
      <w:r>
        <w:rPr>
          <w:spacing w:val="-4"/>
        </w:rPr>
        <w:t> </w:t>
      </w:r>
      <w:r>
        <w:rPr/>
        <w:t>His office</w:t>
      </w:r>
      <w:r>
        <w:rPr>
          <w:spacing w:val="-4"/>
        </w:rPr>
        <w:t> </w:t>
      </w:r>
      <w:r>
        <w:rPr/>
        <w:t>hours</w:t>
      </w:r>
      <w:r>
        <w:rPr>
          <w:spacing w:val="-3"/>
        </w:rPr>
        <w:t> </w:t>
      </w:r>
      <w:r>
        <w:rPr/>
        <w:t>are</w:t>
      </w:r>
      <w:r>
        <w:rPr>
          <w:spacing w:val="-4"/>
        </w:rPr>
        <w:t> </w:t>
      </w:r>
      <w:r>
        <w:rPr/>
        <w:t>open,</w:t>
      </w:r>
      <w:r>
        <w:rPr>
          <w:spacing w:val="-2"/>
        </w:rPr>
        <w:t> </w:t>
      </w:r>
      <w:r>
        <w:rPr/>
        <w:t>and</w:t>
      </w:r>
      <w:r>
        <w:rPr>
          <w:spacing w:val="-2"/>
        </w:rPr>
        <w:t> </w:t>
      </w:r>
      <w:r>
        <w:rPr/>
        <w:t>he</w:t>
      </w:r>
      <w:r>
        <w:rPr>
          <w:spacing w:val="-4"/>
        </w:rPr>
        <w:t> </w:t>
      </w:r>
      <w:r>
        <w:rPr/>
        <w:t>is</w:t>
      </w:r>
      <w:r>
        <w:rPr>
          <w:spacing w:val="-3"/>
        </w:rPr>
        <w:t> </w:t>
      </w:r>
      <w:r>
        <w:rPr/>
        <w:t>frequently</w:t>
      </w:r>
      <w:r>
        <w:rPr>
          <w:spacing w:val="-5"/>
        </w:rPr>
        <w:t> </w:t>
      </w:r>
      <w:r>
        <w:rPr/>
        <w:t>in</w:t>
      </w:r>
      <w:r>
        <w:rPr>
          <w:spacing w:val="-2"/>
        </w:rPr>
        <w:t> </w:t>
      </w:r>
      <w:r>
        <w:rPr/>
        <w:t>the</w:t>
      </w:r>
      <w:r>
        <w:rPr>
          <w:spacing w:val="-2"/>
        </w:rPr>
        <w:t> </w:t>
      </w:r>
      <w:r>
        <w:rPr/>
        <w:t>office</w:t>
      </w:r>
      <w:r>
        <w:rPr>
          <w:spacing w:val="-4"/>
        </w:rPr>
        <w:t> </w:t>
      </w:r>
      <w:r>
        <w:rPr/>
        <w:t>during the evenings.</w:t>
      </w:r>
    </w:p>
    <w:p>
      <w:pPr>
        <w:pStyle w:val="BodyText"/>
        <w:spacing w:before="10"/>
      </w:pPr>
    </w:p>
    <w:p>
      <w:pPr>
        <w:pStyle w:val="BodyText"/>
        <w:ind w:left="1723" w:right="705"/>
      </w:pPr>
      <w:r>
        <w:rPr/>
        <w:t>First</w:t>
      </w:r>
      <w:r>
        <w:rPr>
          <w:spacing w:val="-2"/>
        </w:rPr>
        <w:t> </w:t>
      </w:r>
      <w:r>
        <w:rPr/>
        <w:t>year</w:t>
      </w:r>
      <w:r>
        <w:rPr>
          <w:spacing w:val="-3"/>
        </w:rPr>
        <w:t> </w:t>
      </w:r>
      <w:r>
        <w:rPr/>
        <w:t>students</w:t>
      </w:r>
      <w:r>
        <w:rPr>
          <w:spacing w:val="-3"/>
        </w:rPr>
        <w:t> </w:t>
      </w:r>
      <w:r>
        <w:rPr/>
        <w:t>are</w:t>
      </w:r>
      <w:r>
        <w:rPr>
          <w:spacing w:val="-2"/>
        </w:rPr>
        <w:t> </w:t>
      </w:r>
      <w:r>
        <w:rPr/>
        <w:t>advised</w:t>
      </w:r>
      <w:r>
        <w:rPr>
          <w:spacing w:val="-4"/>
        </w:rPr>
        <w:t> </w:t>
      </w:r>
      <w:r>
        <w:rPr/>
        <w:t>by</w:t>
      </w:r>
      <w:r>
        <w:rPr>
          <w:spacing w:val="-7"/>
        </w:rPr>
        <w:t> </w:t>
      </w:r>
      <w:r>
        <w:rPr/>
        <w:t>the</w:t>
      </w:r>
      <w:r>
        <w:rPr>
          <w:spacing w:val="-4"/>
        </w:rPr>
        <w:t> </w:t>
      </w:r>
      <w:r>
        <w:rPr/>
        <w:t>full-time</w:t>
      </w:r>
      <w:r>
        <w:rPr>
          <w:spacing w:val="-4"/>
        </w:rPr>
        <w:t> </w:t>
      </w:r>
      <w:r>
        <w:rPr/>
        <w:t>faculty</w:t>
      </w:r>
      <w:r>
        <w:rPr>
          <w:spacing w:val="-5"/>
        </w:rPr>
        <w:t> </w:t>
      </w:r>
      <w:r>
        <w:rPr/>
        <w:t>assigned</w:t>
      </w:r>
      <w:r>
        <w:rPr>
          <w:spacing w:val="-4"/>
        </w:rPr>
        <w:t> </w:t>
      </w:r>
      <w:r>
        <w:rPr/>
        <w:t>to</w:t>
      </w:r>
      <w:r>
        <w:rPr>
          <w:spacing w:val="-4"/>
        </w:rPr>
        <w:t> </w:t>
      </w:r>
      <w:r>
        <w:rPr/>
        <w:t>First</w:t>
      </w:r>
      <w:r>
        <w:rPr>
          <w:spacing w:val="-2"/>
        </w:rPr>
        <w:t> </w:t>
      </w:r>
      <w:r>
        <w:rPr/>
        <w:t>Year</w:t>
      </w:r>
      <w:r>
        <w:rPr>
          <w:spacing w:val="-3"/>
        </w:rPr>
        <w:t> </w:t>
      </w:r>
      <w:r>
        <w:rPr/>
        <w:t>Design Studios, as well as by the staff in Freshman Studies.</w:t>
      </w:r>
    </w:p>
    <w:p>
      <w:pPr>
        <w:pStyle w:val="BodyText"/>
        <w:spacing w:before="9"/>
      </w:pPr>
    </w:p>
    <w:p>
      <w:pPr>
        <w:pStyle w:val="BodyText"/>
        <w:ind w:left="1723" w:right="499"/>
      </w:pPr>
      <w:r>
        <w:rPr/>
        <w:t>Career</w:t>
      </w:r>
      <w:r>
        <w:rPr>
          <w:spacing w:val="-3"/>
        </w:rPr>
        <w:t> </w:t>
      </w:r>
      <w:r>
        <w:rPr/>
        <w:t>Guidance</w:t>
      </w:r>
      <w:r>
        <w:rPr>
          <w:spacing w:val="-4"/>
        </w:rPr>
        <w:t> </w:t>
      </w:r>
      <w:r>
        <w:rPr/>
        <w:t>begins</w:t>
      </w:r>
      <w:r>
        <w:rPr>
          <w:spacing w:val="-3"/>
        </w:rPr>
        <w:t> </w:t>
      </w:r>
      <w:r>
        <w:rPr/>
        <w:t>in the</w:t>
      </w:r>
      <w:r>
        <w:rPr>
          <w:spacing w:val="-4"/>
        </w:rPr>
        <w:t> </w:t>
      </w:r>
      <w:r>
        <w:rPr/>
        <w:t>Department</w:t>
      </w:r>
      <w:r>
        <w:rPr>
          <w:spacing w:val="-4"/>
        </w:rPr>
        <w:t> </w:t>
      </w:r>
      <w:r>
        <w:rPr/>
        <w:t>of</w:t>
      </w:r>
      <w:r>
        <w:rPr>
          <w:spacing w:val="-2"/>
        </w:rPr>
        <w:t> </w:t>
      </w:r>
      <w:r>
        <w:rPr/>
        <w:t>Architecture</w:t>
      </w:r>
      <w:r>
        <w:rPr>
          <w:spacing w:val="-4"/>
        </w:rPr>
        <w:t> </w:t>
      </w:r>
      <w:r>
        <w:rPr/>
        <w:t>at</w:t>
      </w:r>
      <w:r>
        <w:rPr>
          <w:spacing w:val="-4"/>
        </w:rPr>
        <w:t> </w:t>
      </w:r>
      <w:r>
        <w:rPr/>
        <w:t>the</w:t>
      </w:r>
      <w:r>
        <w:rPr>
          <w:spacing w:val="-4"/>
        </w:rPr>
        <w:t> </w:t>
      </w:r>
      <w:r>
        <w:rPr/>
        <w:t>freshman</w:t>
      </w:r>
      <w:r>
        <w:rPr>
          <w:spacing w:val="-2"/>
        </w:rPr>
        <w:t> </w:t>
      </w:r>
      <w:r>
        <w:rPr/>
        <w:t>year</w:t>
      </w:r>
      <w:r>
        <w:rPr>
          <w:spacing w:val="-1"/>
        </w:rPr>
        <w:t> </w:t>
      </w:r>
      <w:r>
        <w:rPr/>
        <w:t>level</w:t>
      </w:r>
      <w:r>
        <w:rPr>
          <w:spacing w:val="-5"/>
        </w:rPr>
        <w:t> </w:t>
      </w:r>
      <w:r>
        <w:rPr/>
        <w:t>and</w:t>
      </w:r>
      <w:r>
        <w:rPr>
          <w:spacing w:val="-4"/>
        </w:rPr>
        <w:t> </w:t>
      </w:r>
      <w:r>
        <w:rPr/>
        <w:t>is supported by the faculty in their courses and through personal contact. The Professional Day event helps students refine their resume and design portfolios.</w:t>
      </w:r>
    </w:p>
    <w:p>
      <w:pPr>
        <w:pStyle w:val="BodyText"/>
        <w:rPr>
          <w:sz w:val="21"/>
        </w:rPr>
      </w:pPr>
    </w:p>
    <w:p>
      <w:pPr>
        <w:pStyle w:val="BodyText"/>
        <w:ind w:left="1723" w:right="499"/>
      </w:pPr>
      <w:r>
        <w:rPr/>
        <w:t>Evaluation of Progress – Each year-level advisor reviews the students’ progress at that level.</w:t>
      </w:r>
      <w:r>
        <w:rPr>
          <w:spacing w:val="40"/>
        </w:rPr>
        <w:t> </w:t>
      </w:r>
      <w:r>
        <w:rPr/>
        <w:t>Grades are evaluated and the progress discussed with the student. The Chair also reviews mid-semester and end of semester grades and discusses progress, course prerequisites, etc. with the student and the advisor as necessary.</w:t>
      </w:r>
      <w:r>
        <w:rPr>
          <w:spacing w:val="40"/>
        </w:rPr>
        <w:t> </w:t>
      </w:r>
      <w:r>
        <w:rPr/>
        <w:t>Depending on their classification</w:t>
      </w:r>
      <w:r>
        <w:rPr>
          <w:spacing w:val="-2"/>
        </w:rPr>
        <w:t> </w:t>
      </w:r>
      <w:r>
        <w:rPr/>
        <w:t>(freshman,</w:t>
      </w:r>
      <w:r>
        <w:rPr>
          <w:spacing w:val="-4"/>
        </w:rPr>
        <w:t> </w:t>
      </w:r>
      <w:r>
        <w:rPr/>
        <w:t>junior,</w:t>
      </w:r>
      <w:r>
        <w:rPr>
          <w:spacing w:val="-2"/>
        </w:rPr>
        <w:t> </w:t>
      </w:r>
      <w:r>
        <w:rPr/>
        <w:t>etc)</w:t>
      </w:r>
      <w:r>
        <w:rPr>
          <w:spacing w:val="-3"/>
        </w:rPr>
        <w:t> </w:t>
      </w:r>
      <w:r>
        <w:rPr/>
        <w:t>if</w:t>
      </w:r>
      <w:r>
        <w:rPr>
          <w:spacing w:val="-2"/>
        </w:rPr>
        <w:t> </w:t>
      </w:r>
      <w:r>
        <w:rPr/>
        <w:t>a</w:t>
      </w:r>
      <w:r>
        <w:rPr>
          <w:spacing w:val="-4"/>
        </w:rPr>
        <w:t> </w:t>
      </w:r>
      <w:r>
        <w:rPr/>
        <w:t>student’s</w:t>
      </w:r>
      <w:r>
        <w:rPr>
          <w:spacing w:val="-3"/>
        </w:rPr>
        <w:t> </w:t>
      </w:r>
      <w:r>
        <w:rPr/>
        <w:t>GPA</w:t>
      </w:r>
      <w:r>
        <w:rPr>
          <w:spacing w:val="-2"/>
        </w:rPr>
        <w:t> </w:t>
      </w:r>
      <w:r>
        <w:rPr/>
        <w:t>falls</w:t>
      </w:r>
      <w:r>
        <w:rPr>
          <w:spacing w:val="-3"/>
        </w:rPr>
        <w:t> </w:t>
      </w:r>
      <w:r>
        <w:rPr/>
        <w:t>below</w:t>
      </w:r>
      <w:r>
        <w:rPr>
          <w:spacing w:val="-4"/>
        </w:rPr>
        <w:t> </w:t>
      </w:r>
      <w:r>
        <w:rPr/>
        <w:t>2.0</w:t>
      </w:r>
      <w:r>
        <w:rPr>
          <w:spacing w:val="-2"/>
        </w:rPr>
        <w:t> </w:t>
      </w:r>
      <w:r>
        <w:rPr/>
        <w:t>he/she</w:t>
      </w:r>
      <w:r>
        <w:rPr>
          <w:spacing w:val="-4"/>
        </w:rPr>
        <w:t> </w:t>
      </w:r>
      <w:r>
        <w:rPr/>
        <w:t>is</w:t>
      </w:r>
      <w:r>
        <w:rPr>
          <w:spacing w:val="-3"/>
        </w:rPr>
        <w:t> </w:t>
      </w:r>
      <w:r>
        <w:rPr/>
        <w:t>sent</w:t>
      </w:r>
      <w:r>
        <w:rPr>
          <w:spacing w:val="-4"/>
        </w:rPr>
        <w:t> </w:t>
      </w:r>
      <w:r>
        <w:rPr/>
        <w:t>a</w:t>
      </w:r>
      <w:r>
        <w:rPr>
          <w:spacing w:val="-2"/>
        </w:rPr>
        <w:t> </w:t>
      </w:r>
      <w:r>
        <w:rPr/>
        <w:t>letter by the Provost.</w:t>
      </w:r>
      <w:r>
        <w:rPr>
          <w:spacing w:val="40"/>
        </w:rPr>
        <w:t> </w:t>
      </w:r>
      <w:r>
        <w:rPr/>
        <w:t>The student may be given a warning, be placed on probation or given a notice of suspension.</w:t>
      </w:r>
    </w:p>
    <w:p>
      <w:pPr>
        <w:spacing w:after="0"/>
        <w:sectPr>
          <w:headerReference w:type="default" r:id="rId24"/>
          <w:footerReference w:type="default" r:id="rId25"/>
          <w:pgSz w:w="12240" w:h="15840"/>
          <w:pgMar w:header="0" w:footer="974" w:top="1360" w:bottom="1160" w:left="940" w:right="960"/>
        </w:sectPr>
      </w:pPr>
    </w:p>
    <w:p>
      <w:pPr>
        <w:pStyle w:val="BodyText"/>
        <w:spacing w:before="77"/>
        <w:ind w:left="1723" w:right="580"/>
      </w:pPr>
      <w:r>
        <w:rPr/>
        <w:t>Internship Placement – Internship possibilities in the past were usually limited to the summer months, and this is still the best option for many students. The new M. Arch. curriculum requires internship experience, scheduled between the 4th and 5th years. This requirement</w:t>
      </w:r>
      <w:r>
        <w:rPr>
          <w:spacing w:val="-3"/>
        </w:rPr>
        <w:t> </w:t>
      </w:r>
      <w:r>
        <w:rPr/>
        <w:t>does</w:t>
      </w:r>
      <w:r>
        <w:rPr>
          <w:spacing w:val="-2"/>
        </w:rPr>
        <w:t> </w:t>
      </w:r>
      <w:r>
        <w:rPr/>
        <w:t>not</w:t>
      </w:r>
      <w:r>
        <w:rPr>
          <w:spacing w:val="-3"/>
        </w:rPr>
        <w:t> </w:t>
      </w:r>
      <w:r>
        <w:rPr/>
        <w:t>have course</w:t>
      </w:r>
      <w:r>
        <w:rPr>
          <w:spacing w:val="-3"/>
        </w:rPr>
        <w:t> </w:t>
      </w:r>
      <w:r>
        <w:rPr/>
        <w:t>credits</w:t>
      </w:r>
      <w:r>
        <w:rPr>
          <w:spacing w:val="-2"/>
        </w:rPr>
        <w:t> </w:t>
      </w:r>
      <w:r>
        <w:rPr/>
        <w:t>attached.</w:t>
      </w:r>
      <w:r>
        <w:rPr>
          <w:spacing w:val="-3"/>
        </w:rPr>
        <w:t> </w:t>
      </w:r>
      <w:r>
        <w:rPr/>
        <w:t>Due</w:t>
      </w:r>
      <w:r>
        <w:rPr>
          <w:spacing w:val="-3"/>
        </w:rPr>
        <w:t> </w:t>
      </w:r>
      <w:r>
        <w:rPr/>
        <w:t>to</w:t>
      </w:r>
      <w:r>
        <w:rPr>
          <w:spacing w:val="-3"/>
        </w:rPr>
        <w:t> </w:t>
      </w:r>
      <w:r>
        <w:rPr/>
        <w:t>staffing</w:t>
      </w:r>
      <w:r>
        <w:rPr>
          <w:spacing w:val="-1"/>
        </w:rPr>
        <w:t> </w:t>
      </w:r>
      <w:r>
        <w:rPr/>
        <w:t>issues</w:t>
      </w:r>
      <w:r>
        <w:rPr>
          <w:spacing w:val="-2"/>
        </w:rPr>
        <w:t> </w:t>
      </w:r>
      <w:r>
        <w:rPr/>
        <w:t>this</w:t>
      </w:r>
      <w:r>
        <w:rPr>
          <w:spacing w:val="-2"/>
        </w:rPr>
        <w:t> </w:t>
      </w:r>
      <w:r>
        <w:rPr/>
        <w:t>requirement is</w:t>
      </w:r>
      <w:r>
        <w:rPr>
          <w:spacing w:val="-1"/>
        </w:rPr>
        <w:t> </w:t>
      </w:r>
      <w:r>
        <w:rPr/>
        <w:t>yet</w:t>
      </w:r>
      <w:r>
        <w:rPr>
          <w:spacing w:val="-4"/>
        </w:rPr>
        <w:t> </w:t>
      </w:r>
      <w:r>
        <w:rPr/>
        <w:t>to</w:t>
      </w:r>
      <w:r>
        <w:rPr>
          <w:spacing w:val="-3"/>
        </w:rPr>
        <w:t> </w:t>
      </w:r>
      <w:r>
        <w:rPr/>
        <w:t>be</w:t>
      </w:r>
      <w:r>
        <w:rPr>
          <w:spacing w:val="-4"/>
        </w:rPr>
        <w:t> </w:t>
      </w:r>
      <w:r>
        <w:rPr/>
        <w:t>fully</w:t>
      </w:r>
      <w:r>
        <w:rPr>
          <w:spacing w:val="-5"/>
        </w:rPr>
        <w:t> </w:t>
      </w:r>
      <w:r>
        <w:rPr/>
        <w:t>implemented.</w:t>
      </w:r>
      <w:r>
        <w:rPr>
          <w:spacing w:val="-3"/>
        </w:rPr>
        <w:t> </w:t>
      </w:r>
      <w:r>
        <w:rPr/>
        <w:t>Beginning</w:t>
      </w:r>
      <w:r>
        <w:rPr>
          <w:spacing w:val="-3"/>
        </w:rPr>
        <w:t> </w:t>
      </w:r>
      <w:r>
        <w:rPr/>
        <w:t>with</w:t>
      </w:r>
      <w:r>
        <w:rPr>
          <w:spacing w:val="-3"/>
        </w:rPr>
        <w:t> </w:t>
      </w:r>
      <w:r>
        <w:rPr/>
        <w:t>the</w:t>
      </w:r>
      <w:r>
        <w:rPr>
          <w:spacing w:val="-3"/>
        </w:rPr>
        <w:t> </w:t>
      </w:r>
      <w:r>
        <w:rPr/>
        <w:t>2008-09</w:t>
      </w:r>
      <w:r>
        <w:rPr>
          <w:spacing w:val="-4"/>
        </w:rPr>
        <w:t> </w:t>
      </w:r>
      <w:r>
        <w:rPr/>
        <w:t>academic</w:t>
      </w:r>
      <w:r>
        <w:rPr>
          <w:spacing w:val="-1"/>
        </w:rPr>
        <w:t> </w:t>
      </w:r>
      <w:r>
        <w:rPr/>
        <w:t>year,</w:t>
      </w:r>
      <w:r>
        <w:rPr>
          <w:spacing w:val="-3"/>
        </w:rPr>
        <w:t> </w:t>
      </w:r>
      <w:r>
        <w:rPr/>
        <w:t>a</w:t>
      </w:r>
      <w:r>
        <w:rPr>
          <w:spacing w:val="-4"/>
        </w:rPr>
        <w:t> </w:t>
      </w:r>
      <w:r>
        <w:rPr/>
        <w:t>requirement</w:t>
      </w:r>
      <w:r>
        <w:rPr>
          <w:spacing w:val="-4"/>
        </w:rPr>
        <w:t> </w:t>
      </w:r>
      <w:r>
        <w:rPr/>
        <w:t>of 4th year studio will be to establish a NCARB/IDP file. This requirement is modified to address</w:t>
      </w:r>
      <w:r>
        <w:rPr>
          <w:spacing w:val="-1"/>
        </w:rPr>
        <w:t> </w:t>
      </w:r>
      <w:r>
        <w:rPr/>
        <w:t>changes</w:t>
      </w:r>
      <w:r>
        <w:rPr>
          <w:spacing w:val="-1"/>
        </w:rPr>
        <w:t> </w:t>
      </w:r>
      <w:r>
        <w:rPr/>
        <w:t>to the IDP</w:t>
      </w:r>
      <w:r>
        <w:rPr>
          <w:spacing w:val="-3"/>
        </w:rPr>
        <w:t> </w:t>
      </w:r>
      <w:r>
        <w:rPr/>
        <w:t>standards</w:t>
      </w:r>
      <w:r>
        <w:rPr>
          <w:spacing w:val="-1"/>
        </w:rPr>
        <w:t> </w:t>
      </w:r>
      <w:r>
        <w:rPr/>
        <w:t>of NCARB. Recent</w:t>
      </w:r>
      <w:r>
        <w:rPr>
          <w:spacing w:val="-2"/>
        </w:rPr>
        <w:t> </w:t>
      </w:r>
      <w:r>
        <w:rPr/>
        <w:t>modifications will</w:t>
      </w:r>
      <w:r>
        <w:rPr>
          <w:spacing w:val="-3"/>
        </w:rPr>
        <w:t> </w:t>
      </w:r>
      <w:r>
        <w:rPr/>
        <w:t>allow</w:t>
      </w:r>
      <w:r>
        <w:rPr>
          <w:spacing w:val="-2"/>
        </w:rPr>
        <w:t> </w:t>
      </w:r>
      <w:r>
        <w:rPr/>
        <w:t>students to open files upon entrance to the university. The student fee will be used to insure that students take advantage of this opportunity.</w:t>
      </w:r>
    </w:p>
    <w:p>
      <w:pPr>
        <w:pStyle w:val="BodyText"/>
        <w:spacing w:before="9"/>
      </w:pPr>
    </w:p>
    <w:p>
      <w:pPr>
        <w:pStyle w:val="BodyText"/>
        <w:ind w:left="1723" w:right="557"/>
        <w:jc w:val="both"/>
      </w:pPr>
      <w:r>
        <w:rPr/>
        <w:t>Career</w:t>
      </w:r>
      <w:r>
        <w:rPr>
          <w:spacing w:val="-3"/>
        </w:rPr>
        <w:t> </w:t>
      </w:r>
      <w:r>
        <w:rPr/>
        <w:t>Placement</w:t>
      </w:r>
      <w:r>
        <w:rPr>
          <w:spacing w:val="-4"/>
        </w:rPr>
        <w:t> </w:t>
      </w:r>
      <w:r>
        <w:rPr/>
        <w:t>--</w:t>
      </w:r>
      <w:r>
        <w:rPr>
          <w:spacing w:val="-2"/>
        </w:rPr>
        <w:t> </w:t>
      </w:r>
      <w:r>
        <w:rPr/>
        <w:t>Students</w:t>
      </w:r>
      <w:r>
        <w:rPr>
          <w:spacing w:val="-3"/>
        </w:rPr>
        <w:t> </w:t>
      </w:r>
      <w:r>
        <w:rPr/>
        <w:t>typically</w:t>
      </w:r>
      <w:r>
        <w:rPr>
          <w:spacing w:val="-7"/>
        </w:rPr>
        <w:t> </w:t>
      </w:r>
      <w:r>
        <w:rPr/>
        <w:t>seek positions at</w:t>
      </w:r>
      <w:r>
        <w:rPr>
          <w:spacing w:val="-4"/>
        </w:rPr>
        <w:t> </w:t>
      </w:r>
      <w:r>
        <w:rPr/>
        <w:t>graduation</w:t>
      </w:r>
      <w:r>
        <w:rPr>
          <w:spacing w:val="-4"/>
        </w:rPr>
        <w:t> </w:t>
      </w:r>
      <w:r>
        <w:rPr/>
        <w:t>on</w:t>
      </w:r>
      <w:r>
        <w:rPr>
          <w:spacing w:val="-2"/>
        </w:rPr>
        <w:t> </w:t>
      </w:r>
      <w:r>
        <w:rPr/>
        <w:t>their</w:t>
      </w:r>
      <w:r>
        <w:rPr>
          <w:spacing w:val="-3"/>
        </w:rPr>
        <w:t> </w:t>
      </w:r>
      <w:r>
        <w:rPr/>
        <w:t>own.</w:t>
      </w:r>
      <w:r>
        <w:rPr>
          <w:spacing w:val="40"/>
        </w:rPr>
        <w:t> </w:t>
      </w:r>
      <w:r>
        <w:rPr/>
        <w:t>They</w:t>
      </w:r>
      <w:r>
        <w:rPr>
          <w:spacing w:val="-7"/>
        </w:rPr>
        <w:t> </w:t>
      </w:r>
      <w:r>
        <w:rPr/>
        <w:t>are supported</w:t>
      </w:r>
      <w:r>
        <w:rPr>
          <w:spacing w:val="-2"/>
        </w:rPr>
        <w:t> </w:t>
      </w:r>
      <w:r>
        <w:rPr/>
        <w:t>by</w:t>
      </w:r>
      <w:r>
        <w:rPr>
          <w:spacing w:val="-5"/>
        </w:rPr>
        <w:t> </w:t>
      </w:r>
      <w:r>
        <w:rPr/>
        <w:t>the</w:t>
      </w:r>
      <w:r>
        <w:rPr>
          <w:spacing w:val="-2"/>
        </w:rPr>
        <w:t> </w:t>
      </w:r>
      <w:r>
        <w:rPr/>
        <w:t>Department</w:t>
      </w:r>
      <w:r>
        <w:rPr>
          <w:spacing w:val="-2"/>
        </w:rPr>
        <w:t> </w:t>
      </w:r>
      <w:r>
        <w:rPr/>
        <w:t>office,</w:t>
      </w:r>
      <w:r>
        <w:rPr>
          <w:spacing w:val="-2"/>
        </w:rPr>
        <w:t> </w:t>
      </w:r>
      <w:r>
        <w:rPr/>
        <w:t>the</w:t>
      </w:r>
      <w:r>
        <w:rPr>
          <w:spacing w:val="-2"/>
        </w:rPr>
        <w:t> </w:t>
      </w:r>
      <w:r>
        <w:rPr/>
        <w:t>faculty, and the</w:t>
      </w:r>
      <w:r>
        <w:rPr>
          <w:spacing w:val="-2"/>
        </w:rPr>
        <w:t> </w:t>
      </w:r>
      <w:r>
        <w:rPr/>
        <w:t>campus</w:t>
      </w:r>
      <w:r>
        <w:rPr>
          <w:spacing w:val="-1"/>
        </w:rPr>
        <w:t> </w:t>
      </w:r>
      <w:r>
        <w:rPr/>
        <w:t>Office</w:t>
      </w:r>
      <w:r>
        <w:rPr>
          <w:spacing w:val="-2"/>
        </w:rPr>
        <w:t> </w:t>
      </w:r>
      <w:r>
        <w:rPr/>
        <w:t>of Career</w:t>
      </w:r>
      <w:r>
        <w:rPr>
          <w:spacing w:val="-1"/>
        </w:rPr>
        <w:t> </w:t>
      </w:r>
      <w:r>
        <w:rPr/>
        <w:t>Planning. The Department is working with the Office of Career Planning, and their new</w:t>
      </w:r>
      <w:r>
        <w:rPr>
          <w:spacing w:val="-2"/>
        </w:rPr>
        <w:t> </w:t>
      </w:r>
      <w:r>
        <w:rPr/>
        <w:t>computerized database,</w:t>
      </w:r>
      <w:r>
        <w:rPr>
          <w:spacing w:val="-4"/>
        </w:rPr>
        <w:t> </w:t>
      </w:r>
      <w:r>
        <w:rPr/>
        <w:t>to</w:t>
      </w:r>
      <w:r>
        <w:rPr>
          <w:spacing w:val="-4"/>
        </w:rPr>
        <w:t> </w:t>
      </w:r>
      <w:r>
        <w:rPr/>
        <w:t>have</w:t>
      </w:r>
      <w:r>
        <w:rPr>
          <w:spacing w:val="-4"/>
        </w:rPr>
        <w:t> </w:t>
      </w:r>
      <w:r>
        <w:rPr/>
        <w:t>them assume</w:t>
      </w:r>
      <w:r>
        <w:rPr>
          <w:spacing w:val="-6"/>
        </w:rPr>
        <w:t> </w:t>
      </w:r>
      <w:r>
        <w:rPr/>
        <w:t>more</w:t>
      </w:r>
      <w:r>
        <w:rPr>
          <w:spacing w:val="-4"/>
        </w:rPr>
        <w:t> </w:t>
      </w:r>
      <w:r>
        <w:rPr/>
        <w:t>of</w:t>
      </w:r>
      <w:r>
        <w:rPr>
          <w:spacing w:val="-2"/>
        </w:rPr>
        <w:t> </w:t>
      </w:r>
      <w:r>
        <w:rPr/>
        <w:t>these</w:t>
      </w:r>
      <w:r>
        <w:rPr>
          <w:spacing w:val="-4"/>
        </w:rPr>
        <w:t> </w:t>
      </w:r>
      <w:r>
        <w:rPr/>
        <w:t>duties.</w:t>
      </w:r>
      <w:r>
        <w:rPr>
          <w:spacing w:val="-2"/>
        </w:rPr>
        <w:t> </w:t>
      </w:r>
      <w:r>
        <w:rPr/>
        <w:t>The</w:t>
      </w:r>
      <w:r>
        <w:rPr>
          <w:spacing w:val="-4"/>
        </w:rPr>
        <w:t> </w:t>
      </w:r>
      <w:r>
        <w:rPr/>
        <w:t>Professional</w:t>
      </w:r>
      <w:r>
        <w:rPr>
          <w:spacing w:val="-4"/>
        </w:rPr>
        <w:t> </w:t>
      </w:r>
      <w:r>
        <w:rPr/>
        <w:t>Day</w:t>
      </w:r>
      <w:r>
        <w:rPr>
          <w:spacing w:val="-6"/>
        </w:rPr>
        <w:t> </w:t>
      </w:r>
      <w:r>
        <w:rPr/>
        <w:t>event,</w:t>
      </w:r>
      <w:r>
        <w:rPr>
          <w:spacing w:val="-4"/>
        </w:rPr>
        <w:t> </w:t>
      </w:r>
      <w:r>
        <w:rPr/>
        <w:t>and</w:t>
      </w:r>
      <w:r>
        <w:rPr>
          <w:spacing w:val="-4"/>
        </w:rPr>
        <w:t> </w:t>
      </w:r>
      <w:r>
        <w:rPr/>
        <w:t>the guest lecturers offer a direct connection into internship.</w:t>
      </w:r>
    </w:p>
    <w:p>
      <w:pPr>
        <w:pStyle w:val="BodyText"/>
        <w:spacing w:before="1"/>
        <w:rPr>
          <w:sz w:val="21"/>
        </w:rPr>
      </w:pPr>
    </w:p>
    <w:p>
      <w:pPr>
        <w:pStyle w:val="BodyText"/>
        <w:ind w:left="1723" w:right="532"/>
      </w:pPr>
      <w:r>
        <w:rPr/>
        <w:t>Graduate Placement –With the beginning of the 5-1/2 Master of Architecture first professional degree program, there has been some confusion among students as to the need for further graduate study. Through active discussions between faculty and the fifth year students, they are beginning to understand the nature of the first professional degree, and interest in post-graduate study is again increasing. Members of the first graduating class receiving Master degrees included some students pursuing additional graduate studies. The Department circulates information received from programs in the U.S. and abroad among fourth and fifth year students. It encourages presentations by faculty promoting graduate programs in architecture and related areas. Participation in the University of Virginia Open House allows our students to be interviewed for possible admission</w:t>
      </w:r>
      <w:r>
        <w:rPr>
          <w:spacing w:val="-4"/>
        </w:rPr>
        <w:t> </w:t>
      </w:r>
      <w:r>
        <w:rPr/>
        <w:t>to</w:t>
      </w:r>
      <w:r>
        <w:rPr>
          <w:spacing w:val="-4"/>
        </w:rPr>
        <w:t> </w:t>
      </w:r>
      <w:r>
        <w:rPr/>
        <w:t>their</w:t>
      </w:r>
      <w:r>
        <w:rPr>
          <w:spacing w:val="-2"/>
        </w:rPr>
        <w:t> </w:t>
      </w:r>
      <w:r>
        <w:rPr/>
        <w:t>graduate</w:t>
      </w:r>
      <w:r>
        <w:rPr>
          <w:spacing w:val="-2"/>
        </w:rPr>
        <w:t> </w:t>
      </w:r>
      <w:r>
        <w:rPr/>
        <w:t>programs.</w:t>
      </w:r>
      <w:r>
        <w:rPr>
          <w:spacing w:val="-4"/>
        </w:rPr>
        <w:t> </w:t>
      </w:r>
      <w:r>
        <w:rPr/>
        <w:t>Recent</w:t>
      </w:r>
      <w:r>
        <w:rPr>
          <w:spacing w:val="-4"/>
        </w:rPr>
        <w:t> </w:t>
      </w:r>
      <w:r>
        <w:rPr/>
        <w:t>Department</w:t>
      </w:r>
      <w:r>
        <w:rPr>
          <w:spacing w:val="-4"/>
        </w:rPr>
        <w:t> </w:t>
      </w:r>
      <w:r>
        <w:rPr/>
        <w:t>alumni</w:t>
      </w:r>
      <w:r>
        <w:rPr>
          <w:spacing w:val="-5"/>
        </w:rPr>
        <w:t> </w:t>
      </w:r>
      <w:r>
        <w:rPr/>
        <w:t>are</w:t>
      </w:r>
      <w:r>
        <w:rPr>
          <w:spacing w:val="-4"/>
        </w:rPr>
        <w:t> </w:t>
      </w:r>
      <w:r>
        <w:rPr/>
        <w:t>currently</w:t>
      </w:r>
      <w:r>
        <w:rPr>
          <w:spacing w:val="-5"/>
        </w:rPr>
        <w:t> </w:t>
      </w:r>
      <w:r>
        <w:rPr/>
        <w:t>attending</w:t>
      </w:r>
      <w:r>
        <w:rPr>
          <w:spacing w:val="-4"/>
        </w:rPr>
        <w:t> </w:t>
      </w:r>
      <w:r>
        <w:rPr/>
        <w:t>or recently</w:t>
      </w:r>
      <w:r>
        <w:rPr>
          <w:spacing w:val="-6"/>
        </w:rPr>
        <w:t> </w:t>
      </w:r>
      <w:r>
        <w:rPr/>
        <w:t>graduated</w:t>
      </w:r>
      <w:r>
        <w:rPr>
          <w:spacing w:val="-3"/>
        </w:rPr>
        <w:t> </w:t>
      </w:r>
      <w:r>
        <w:rPr/>
        <w:t>from Columbia,</w:t>
      </w:r>
      <w:r>
        <w:rPr>
          <w:spacing w:val="-3"/>
        </w:rPr>
        <w:t> </w:t>
      </w:r>
      <w:r>
        <w:rPr/>
        <w:t>Harvard,</w:t>
      </w:r>
      <w:r>
        <w:rPr>
          <w:spacing w:val="-1"/>
        </w:rPr>
        <w:t> </w:t>
      </w:r>
      <w:r>
        <w:rPr/>
        <w:t>Notre</w:t>
      </w:r>
      <w:r>
        <w:rPr>
          <w:spacing w:val="-1"/>
        </w:rPr>
        <w:t> </w:t>
      </w:r>
      <w:r>
        <w:rPr/>
        <w:t>Dame,</w:t>
      </w:r>
      <w:r>
        <w:rPr>
          <w:spacing w:val="-3"/>
        </w:rPr>
        <w:t> </w:t>
      </w:r>
      <w:r>
        <w:rPr/>
        <w:t>the</w:t>
      </w:r>
      <w:r>
        <w:rPr>
          <w:spacing w:val="-3"/>
        </w:rPr>
        <w:t> </w:t>
      </w:r>
      <w:r>
        <w:rPr/>
        <w:t>University</w:t>
      </w:r>
      <w:r>
        <w:rPr>
          <w:spacing w:val="-6"/>
        </w:rPr>
        <w:t> </w:t>
      </w:r>
      <w:r>
        <w:rPr/>
        <w:t>of</w:t>
      </w:r>
      <w:r>
        <w:rPr>
          <w:spacing w:val="-1"/>
        </w:rPr>
        <w:t> </w:t>
      </w:r>
      <w:r>
        <w:rPr/>
        <w:t>Virginia,</w:t>
      </w:r>
      <w:r>
        <w:rPr>
          <w:spacing w:val="-3"/>
        </w:rPr>
        <w:t> </w:t>
      </w:r>
      <w:r>
        <w:rPr/>
        <w:t>and</w:t>
      </w:r>
      <w:r>
        <w:rPr>
          <w:spacing w:val="-3"/>
        </w:rPr>
        <w:t> </w:t>
      </w:r>
      <w:r>
        <w:rPr/>
        <w:t>the University of Texas: Austin among others.</w:t>
      </w:r>
    </w:p>
    <w:p>
      <w:pPr>
        <w:pStyle w:val="BodyText"/>
        <w:spacing w:before="7"/>
      </w:pPr>
    </w:p>
    <w:p>
      <w:pPr>
        <w:spacing w:before="0"/>
        <w:ind w:left="1219" w:right="0" w:firstLine="0"/>
        <w:jc w:val="left"/>
        <w:rPr>
          <w:b/>
          <w:sz w:val="20"/>
        </w:rPr>
      </w:pPr>
      <w:r>
        <w:rPr>
          <w:b/>
          <w:sz w:val="20"/>
        </w:rPr>
        <w:t>University</w:t>
      </w:r>
      <w:r>
        <w:rPr>
          <w:b/>
          <w:spacing w:val="-12"/>
          <w:sz w:val="20"/>
        </w:rPr>
        <w:t> </w:t>
      </w:r>
      <w:r>
        <w:rPr>
          <w:b/>
          <w:sz w:val="20"/>
        </w:rPr>
        <w:t>Level</w:t>
      </w:r>
      <w:r>
        <w:rPr>
          <w:b/>
          <w:spacing w:val="-6"/>
          <w:sz w:val="20"/>
        </w:rPr>
        <w:t> </w:t>
      </w:r>
      <w:r>
        <w:rPr>
          <w:b/>
          <w:spacing w:val="-2"/>
          <w:sz w:val="20"/>
        </w:rPr>
        <w:t>Support</w:t>
      </w:r>
    </w:p>
    <w:p>
      <w:pPr>
        <w:pStyle w:val="BodyText"/>
        <w:spacing w:before="1"/>
        <w:rPr>
          <w:b/>
          <w:sz w:val="21"/>
        </w:rPr>
      </w:pPr>
    </w:p>
    <w:p>
      <w:pPr>
        <w:pStyle w:val="BodyText"/>
        <w:ind w:left="1723" w:right="845"/>
        <w:jc w:val="both"/>
      </w:pPr>
      <w:r>
        <w:rPr/>
        <w:t>The</w:t>
      </w:r>
      <w:r>
        <w:rPr>
          <w:spacing w:val="-4"/>
        </w:rPr>
        <w:t> </w:t>
      </w:r>
      <w:r>
        <w:rPr/>
        <w:t>university’s</w:t>
      </w:r>
      <w:r>
        <w:rPr>
          <w:spacing w:val="-4"/>
        </w:rPr>
        <w:t> </w:t>
      </w:r>
      <w:r>
        <w:rPr/>
        <w:t>support</w:t>
      </w:r>
      <w:r>
        <w:rPr>
          <w:spacing w:val="-4"/>
        </w:rPr>
        <w:t> </w:t>
      </w:r>
      <w:r>
        <w:rPr/>
        <w:t>structure</w:t>
      </w:r>
      <w:r>
        <w:rPr>
          <w:spacing w:val="-4"/>
        </w:rPr>
        <w:t> </w:t>
      </w:r>
      <w:r>
        <w:rPr/>
        <w:t>begins</w:t>
      </w:r>
      <w:r>
        <w:rPr>
          <w:spacing w:val="-1"/>
        </w:rPr>
        <w:t> </w:t>
      </w:r>
      <w:r>
        <w:rPr/>
        <w:t>with</w:t>
      </w:r>
      <w:r>
        <w:rPr>
          <w:spacing w:val="-4"/>
        </w:rPr>
        <w:t> </w:t>
      </w:r>
      <w:r>
        <w:rPr/>
        <w:t>the</w:t>
      </w:r>
      <w:r>
        <w:rPr>
          <w:spacing w:val="-4"/>
        </w:rPr>
        <w:t> </w:t>
      </w:r>
      <w:r>
        <w:rPr/>
        <w:t>Vice</w:t>
      </w:r>
      <w:r>
        <w:rPr>
          <w:spacing w:val="-3"/>
        </w:rPr>
        <w:t> </w:t>
      </w:r>
      <w:r>
        <w:rPr/>
        <w:t>President</w:t>
      </w:r>
      <w:r>
        <w:rPr>
          <w:spacing w:val="-4"/>
        </w:rPr>
        <w:t> </w:t>
      </w:r>
      <w:r>
        <w:rPr/>
        <w:t>for</w:t>
      </w:r>
      <w:r>
        <w:rPr>
          <w:spacing w:val="-4"/>
        </w:rPr>
        <w:t> </w:t>
      </w:r>
      <w:r>
        <w:rPr/>
        <w:t>Student</w:t>
      </w:r>
      <w:r>
        <w:rPr>
          <w:spacing w:val="-3"/>
        </w:rPr>
        <w:t> </w:t>
      </w:r>
      <w:r>
        <w:rPr/>
        <w:t>Affairs.</w:t>
      </w:r>
      <w:r>
        <w:rPr>
          <w:spacing w:val="-4"/>
        </w:rPr>
        <w:t> </w:t>
      </w:r>
      <w:r>
        <w:rPr/>
        <w:t>Her office</w:t>
      </w:r>
      <w:r>
        <w:rPr>
          <w:spacing w:val="-4"/>
        </w:rPr>
        <w:t> </w:t>
      </w:r>
      <w:r>
        <w:rPr/>
        <w:t>includes</w:t>
      </w:r>
      <w:r>
        <w:rPr>
          <w:spacing w:val="-3"/>
        </w:rPr>
        <w:t> </w:t>
      </w:r>
      <w:r>
        <w:rPr/>
        <w:t>the</w:t>
      </w:r>
      <w:r>
        <w:rPr>
          <w:spacing w:val="-4"/>
        </w:rPr>
        <w:t> </w:t>
      </w:r>
      <w:r>
        <w:rPr/>
        <w:t>Dean</w:t>
      </w:r>
      <w:r>
        <w:rPr>
          <w:spacing w:val="-4"/>
        </w:rPr>
        <w:t> </w:t>
      </w:r>
      <w:r>
        <w:rPr/>
        <w:t>of</w:t>
      </w:r>
      <w:r>
        <w:rPr>
          <w:spacing w:val="-2"/>
        </w:rPr>
        <w:t> </w:t>
      </w:r>
      <w:r>
        <w:rPr/>
        <w:t>Men</w:t>
      </w:r>
      <w:r>
        <w:rPr>
          <w:spacing w:val="-2"/>
        </w:rPr>
        <w:t> </w:t>
      </w:r>
      <w:r>
        <w:rPr/>
        <w:t>and</w:t>
      </w:r>
      <w:r>
        <w:rPr>
          <w:spacing w:val="-2"/>
        </w:rPr>
        <w:t> </w:t>
      </w:r>
      <w:r>
        <w:rPr/>
        <w:t>the</w:t>
      </w:r>
      <w:r>
        <w:rPr>
          <w:spacing w:val="-2"/>
        </w:rPr>
        <w:t> </w:t>
      </w:r>
      <w:r>
        <w:rPr/>
        <w:t>Dean</w:t>
      </w:r>
      <w:r>
        <w:rPr>
          <w:spacing w:val="-4"/>
        </w:rPr>
        <w:t> </w:t>
      </w:r>
      <w:r>
        <w:rPr/>
        <w:t>of</w:t>
      </w:r>
      <w:r>
        <w:rPr>
          <w:spacing w:val="-6"/>
        </w:rPr>
        <w:t> </w:t>
      </w:r>
      <w:r>
        <w:rPr/>
        <w:t>Women.</w:t>
      </w:r>
      <w:r>
        <w:rPr>
          <w:spacing w:val="-4"/>
        </w:rPr>
        <w:t> </w:t>
      </w:r>
      <w:r>
        <w:rPr/>
        <w:t>They</w:t>
      </w:r>
      <w:r>
        <w:rPr>
          <w:spacing w:val="-5"/>
        </w:rPr>
        <w:t> </w:t>
      </w:r>
      <w:r>
        <w:rPr/>
        <w:t>administer</w:t>
      </w:r>
      <w:r>
        <w:rPr>
          <w:spacing w:val="-3"/>
        </w:rPr>
        <w:t> </w:t>
      </w:r>
      <w:r>
        <w:rPr/>
        <w:t>assistance</w:t>
      </w:r>
      <w:r>
        <w:rPr>
          <w:spacing w:val="-4"/>
        </w:rPr>
        <w:t> </w:t>
      </w:r>
      <w:r>
        <w:rPr/>
        <w:t>in housing, counseling and conduct. They are also responsible for disciplinary actions.</w:t>
      </w:r>
    </w:p>
    <w:p>
      <w:pPr>
        <w:pStyle w:val="BodyText"/>
        <w:spacing w:before="9"/>
      </w:pPr>
    </w:p>
    <w:p>
      <w:pPr>
        <w:pStyle w:val="BodyText"/>
        <w:ind w:left="1723" w:right="705"/>
      </w:pPr>
      <w:r>
        <w:rPr>
          <w:b/>
        </w:rPr>
        <w:t>The Freshman Studies Department </w:t>
      </w:r>
      <w:r>
        <w:rPr/>
        <w:t>is dedicated to providing a comprehensive core of academic support services that will influence academic achievement and retention. The department is committed to providing meaningful, coherent and fulfilling experiences to increase the retention rate of its students by facilitating activities such as, New Student Orientation Week, the University 101 program, academic advisement, academic counseling,</w:t>
      </w:r>
      <w:r>
        <w:rPr>
          <w:spacing w:val="-4"/>
        </w:rPr>
        <w:t> </w:t>
      </w:r>
      <w:r>
        <w:rPr/>
        <w:t>the</w:t>
      </w:r>
      <w:r>
        <w:rPr>
          <w:spacing w:val="-4"/>
        </w:rPr>
        <w:t> </w:t>
      </w:r>
      <w:r>
        <w:rPr/>
        <w:t>Spring</w:t>
      </w:r>
      <w:r>
        <w:rPr>
          <w:spacing w:val="-4"/>
        </w:rPr>
        <w:t> </w:t>
      </w:r>
      <w:r>
        <w:rPr/>
        <w:t>semester</w:t>
      </w:r>
      <w:r>
        <w:rPr>
          <w:spacing w:val="-4"/>
        </w:rPr>
        <w:t> </w:t>
      </w:r>
      <w:r>
        <w:rPr/>
        <w:t>seminar</w:t>
      </w:r>
      <w:r>
        <w:rPr>
          <w:spacing w:val="-4"/>
        </w:rPr>
        <w:t> </w:t>
      </w:r>
      <w:r>
        <w:rPr/>
        <w:t>series</w:t>
      </w:r>
      <w:r>
        <w:rPr>
          <w:spacing w:val="-4"/>
        </w:rPr>
        <w:t> </w:t>
      </w:r>
      <w:r>
        <w:rPr/>
        <w:t>and</w:t>
      </w:r>
      <w:r>
        <w:rPr>
          <w:spacing w:val="-4"/>
        </w:rPr>
        <w:t> </w:t>
      </w:r>
      <w:r>
        <w:rPr/>
        <w:t>many</w:t>
      </w:r>
      <w:r>
        <w:rPr>
          <w:spacing w:val="-5"/>
        </w:rPr>
        <w:t> </w:t>
      </w:r>
      <w:r>
        <w:rPr/>
        <w:t>other</w:t>
      </w:r>
      <w:r>
        <w:rPr>
          <w:spacing w:val="-4"/>
        </w:rPr>
        <w:t> </w:t>
      </w:r>
      <w:r>
        <w:rPr/>
        <w:t>activities.</w:t>
      </w:r>
      <w:r>
        <w:rPr>
          <w:spacing w:val="-4"/>
        </w:rPr>
        <w:t> </w:t>
      </w:r>
      <w:r>
        <w:rPr/>
        <w:t>In</w:t>
      </w:r>
      <w:r>
        <w:rPr>
          <w:spacing w:val="-3"/>
        </w:rPr>
        <w:t> </w:t>
      </w:r>
      <w:r>
        <w:rPr/>
        <w:t>achieving</w:t>
      </w:r>
      <w:r>
        <w:rPr>
          <w:spacing w:val="-3"/>
        </w:rPr>
        <w:t> </w:t>
      </w:r>
      <w:r>
        <w:rPr/>
        <w:t>its mission and adhering to the University’s mission, the Freshman Studies offers programs and opportunities for academic, social and personal growth.</w:t>
      </w:r>
    </w:p>
    <w:p>
      <w:pPr>
        <w:pStyle w:val="BodyText"/>
        <w:rPr>
          <w:sz w:val="21"/>
        </w:rPr>
      </w:pPr>
    </w:p>
    <w:p>
      <w:pPr>
        <w:pStyle w:val="BodyText"/>
        <w:ind w:left="1723" w:right="499"/>
      </w:pPr>
      <w:r>
        <w:rPr/>
        <w:t>Entering freshmen and transfer students are required to participate in an intensive orientation program one week before the beginning of classes. The primary goal of the orientation program is to assist new students in the transition from high school or from another institution of higher learning to Hampton University. Through a program of structured</w:t>
      </w:r>
      <w:r>
        <w:rPr>
          <w:spacing w:val="-4"/>
        </w:rPr>
        <w:t> </w:t>
      </w:r>
      <w:r>
        <w:rPr/>
        <w:t>activities,</w:t>
      </w:r>
      <w:r>
        <w:rPr>
          <w:spacing w:val="-4"/>
        </w:rPr>
        <w:t> </w:t>
      </w:r>
      <w:r>
        <w:rPr/>
        <w:t>students</w:t>
      </w:r>
      <w:r>
        <w:rPr>
          <w:spacing w:val="-3"/>
        </w:rPr>
        <w:t> </w:t>
      </w:r>
      <w:r>
        <w:rPr/>
        <w:t>learn</w:t>
      </w:r>
      <w:r>
        <w:rPr>
          <w:spacing w:val="-2"/>
        </w:rPr>
        <w:t> </w:t>
      </w:r>
      <w:r>
        <w:rPr/>
        <w:t>about</w:t>
      </w:r>
      <w:r>
        <w:rPr>
          <w:spacing w:val="-4"/>
        </w:rPr>
        <w:t> </w:t>
      </w:r>
      <w:r>
        <w:rPr/>
        <w:t>the</w:t>
      </w:r>
      <w:r>
        <w:rPr>
          <w:spacing w:val="-4"/>
        </w:rPr>
        <w:t> </w:t>
      </w:r>
      <w:r>
        <w:rPr/>
        <w:t>University</w:t>
      </w:r>
      <w:r>
        <w:rPr>
          <w:spacing w:val="-5"/>
        </w:rPr>
        <w:t> </w:t>
      </w:r>
      <w:r>
        <w:rPr/>
        <w:t>and</w:t>
      </w:r>
      <w:r>
        <w:rPr>
          <w:spacing w:val="-4"/>
        </w:rPr>
        <w:t> </w:t>
      </w:r>
      <w:r>
        <w:rPr/>
        <w:t>the</w:t>
      </w:r>
      <w:r>
        <w:rPr>
          <w:spacing w:val="-4"/>
        </w:rPr>
        <w:t> </w:t>
      </w:r>
      <w:r>
        <w:rPr/>
        <w:t>University</w:t>
      </w:r>
      <w:r>
        <w:rPr>
          <w:spacing w:val="-7"/>
        </w:rPr>
        <w:t> </w:t>
      </w:r>
      <w:r>
        <w:rPr/>
        <w:t>becomes</w:t>
      </w:r>
      <w:r>
        <w:rPr>
          <w:spacing w:val="-3"/>
        </w:rPr>
        <w:t> </w:t>
      </w:r>
      <w:r>
        <w:rPr/>
        <w:t>more aware</w:t>
      </w:r>
      <w:r>
        <w:rPr>
          <w:spacing w:val="-2"/>
        </w:rPr>
        <w:t> </w:t>
      </w:r>
      <w:r>
        <w:rPr/>
        <w:t>of and</w:t>
      </w:r>
      <w:r>
        <w:rPr>
          <w:spacing w:val="-2"/>
        </w:rPr>
        <w:t> </w:t>
      </w:r>
      <w:r>
        <w:rPr/>
        <w:t>responsive</w:t>
      </w:r>
      <w:r>
        <w:rPr>
          <w:spacing w:val="-2"/>
        </w:rPr>
        <w:t> </w:t>
      </w:r>
      <w:r>
        <w:rPr/>
        <w:t>to the needs</w:t>
      </w:r>
      <w:r>
        <w:rPr>
          <w:spacing w:val="-1"/>
        </w:rPr>
        <w:t> </w:t>
      </w:r>
      <w:r>
        <w:rPr/>
        <w:t>of its</w:t>
      </w:r>
      <w:r>
        <w:rPr>
          <w:spacing w:val="-1"/>
        </w:rPr>
        <w:t> </w:t>
      </w:r>
      <w:r>
        <w:rPr/>
        <w:t>new</w:t>
      </w:r>
      <w:r>
        <w:rPr>
          <w:spacing w:val="-2"/>
        </w:rPr>
        <w:t> </w:t>
      </w:r>
      <w:r>
        <w:rPr/>
        <w:t>students.</w:t>
      </w:r>
      <w:r>
        <w:rPr>
          <w:spacing w:val="-2"/>
        </w:rPr>
        <w:t> </w:t>
      </w:r>
      <w:r>
        <w:rPr/>
        <w:t>There</w:t>
      </w:r>
      <w:r>
        <w:rPr>
          <w:spacing w:val="-2"/>
        </w:rPr>
        <w:t> </w:t>
      </w:r>
      <w:r>
        <w:rPr/>
        <w:t>is</w:t>
      </w:r>
      <w:r>
        <w:rPr>
          <w:spacing w:val="-1"/>
        </w:rPr>
        <w:t> </w:t>
      </w:r>
      <w:r>
        <w:rPr/>
        <w:t>a deliberate accent</w:t>
      </w:r>
      <w:r>
        <w:rPr>
          <w:spacing w:val="-2"/>
        </w:rPr>
        <w:t> </w:t>
      </w:r>
      <w:r>
        <w:rPr/>
        <w:t>on Hampton's values and traditions so that all new students will embrace Hampton's rich heritage and perpetuate its legacy.</w:t>
      </w:r>
    </w:p>
    <w:p>
      <w:pPr>
        <w:pStyle w:val="BodyText"/>
        <w:spacing w:before="9"/>
      </w:pPr>
    </w:p>
    <w:p>
      <w:pPr>
        <w:pStyle w:val="BodyText"/>
        <w:spacing w:line="242" w:lineRule="auto"/>
        <w:ind w:left="1723" w:right="705"/>
      </w:pPr>
      <w:r>
        <w:rPr>
          <w:b/>
        </w:rPr>
        <w:t>Student Counseling Center: </w:t>
      </w:r>
      <w:r>
        <w:rPr/>
        <w:t>This office provides individual counseling to currently enrolled</w:t>
      </w:r>
      <w:r>
        <w:rPr>
          <w:spacing w:val="-5"/>
        </w:rPr>
        <w:t> </w:t>
      </w:r>
      <w:r>
        <w:rPr/>
        <w:t>Hampton</w:t>
      </w:r>
      <w:r>
        <w:rPr>
          <w:spacing w:val="-5"/>
        </w:rPr>
        <w:t> </w:t>
      </w:r>
      <w:r>
        <w:rPr/>
        <w:t>University</w:t>
      </w:r>
      <w:r>
        <w:rPr>
          <w:spacing w:val="-6"/>
        </w:rPr>
        <w:t> </w:t>
      </w:r>
      <w:r>
        <w:rPr/>
        <w:t>Students.</w:t>
      </w:r>
      <w:r>
        <w:rPr>
          <w:spacing w:val="-5"/>
        </w:rPr>
        <w:t> </w:t>
      </w:r>
      <w:r>
        <w:rPr/>
        <w:t>The</w:t>
      </w:r>
      <w:r>
        <w:rPr>
          <w:spacing w:val="-5"/>
        </w:rPr>
        <w:t> </w:t>
      </w:r>
      <w:r>
        <w:rPr/>
        <w:t>usual</w:t>
      </w:r>
      <w:r>
        <w:rPr>
          <w:spacing w:val="-6"/>
        </w:rPr>
        <w:t> </w:t>
      </w:r>
      <w:r>
        <w:rPr/>
        <w:t>topics</w:t>
      </w:r>
      <w:r>
        <w:rPr>
          <w:spacing w:val="-4"/>
        </w:rPr>
        <w:t> </w:t>
      </w:r>
      <w:r>
        <w:rPr/>
        <w:t>of</w:t>
      </w:r>
      <w:r>
        <w:rPr>
          <w:spacing w:val="-3"/>
        </w:rPr>
        <w:t> </w:t>
      </w:r>
      <w:r>
        <w:rPr/>
        <w:t>concern</w:t>
      </w:r>
      <w:r>
        <w:rPr>
          <w:spacing w:val="-5"/>
        </w:rPr>
        <w:t> </w:t>
      </w:r>
      <w:r>
        <w:rPr/>
        <w:t>include</w:t>
      </w:r>
      <w:r>
        <w:rPr>
          <w:spacing w:val="-5"/>
        </w:rPr>
        <w:t> </w:t>
      </w:r>
      <w:r>
        <w:rPr/>
        <w:t>managing</w:t>
      </w:r>
    </w:p>
    <w:p>
      <w:pPr>
        <w:spacing w:after="0" w:line="242" w:lineRule="auto"/>
        <w:sectPr>
          <w:headerReference w:type="default" r:id="rId26"/>
          <w:footerReference w:type="default" r:id="rId27"/>
          <w:pgSz w:w="12240" w:h="15840"/>
          <w:pgMar w:header="0" w:footer="974" w:top="1360" w:bottom="1160" w:left="940" w:right="960"/>
        </w:sectPr>
      </w:pPr>
    </w:p>
    <w:p>
      <w:pPr>
        <w:pStyle w:val="BodyText"/>
        <w:spacing w:before="77"/>
        <w:ind w:left="1723" w:right="546"/>
      </w:pPr>
      <w:r>
        <w:rPr/>
        <w:t>normal developmental crises connected to adjusting to university life; stress and anger; anxiety; depression; and relationship conflicts with family, peers, partners, and faculty. It also offers friends, roommates and couples counseling. There are four psycho-educational group opportunities as well: stress management, readiness for change, alcohol and drug education, and anger management. Referrals to clinicians and area hospitals are provided as</w:t>
      </w:r>
      <w:r>
        <w:rPr>
          <w:spacing w:val="-3"/>
        </w:rPr>
        <w:t> </w:t>
      </w:r>
      <w:r>
        <w:rPr/>
        <w:t>needed.</w:t>
      </w:r>
      <w:r>
        <w:rPr>
          <w:spacing w:val="-2"/>
        </w:rPr>
        <w:t> </w:t>
      </w:r>
      <w:r>
        <w:rPr/>
        <w:t>They</w:t>
      </w:r>
      <w:r>
        <w:rPr>
          <w:spacing w:val="-7"/>
        </w:rPr>
        <w:t> </w:t>
      </w:r>
      <w:r>
        <w:rPr/>
        <w:t>also</w:t>
      </w:r>
      <w:r>
        <w:rPr>
          <w:spacing w:val="-4"/>
        </w:rPr>
        <w:t> </w:t>
      </w:r>
      <w:r>
        <w:rPr/>
        <w:t>receive</w:t>
      </w:r>
      <w:r>
        <w:rPr>
          <w:spacing w:val="-4"/>
        </w:rPr>
        <w:t> </w:t>
      </w:r>
      <w:r>
        <w:rPr/>
        <w:t>referrals</w:t>
      </w:r>
      <w:r>
        <w:rPr>
          <w:spacing w:val="-3"/>
        </w:rPr>
        <w:t> </w:t>
      </w:r>
      <w:r>
        <w:rPr/>
        <w:t>from</w:t>
      </w:r>
      <w:r>
        <w:rPr>
          <w:spacing w:val="-2"/>
        </w:rPr>
        <w:t> </w:t>
      </w:r>
      <w:r>
        <w:rPr/>
        <w:t>friends,</w:t>
      </w:r>
      <w:r>
        <w:rPr>
          <w:spacing w:val="-4"/>
        </w:rPr>
        <w:t> </w:t>
      </w:r>
      <w:r>
        <w:rPr/>
        <w:t>faculty,</w:t>
      </w:r>
      <w:r>
        <w:rPr>
          <w:spacing w:val="-2"/>
        </w:rPr>
        <w:t> </w:t>
      </w:r>
      <w:r>
        <w:rPr/>
        <w:t>staff</w:t>
      </w:r>
      <w:r>
        <w:rPr>
          <w:spacing w:val="-2"/>
        </w:rPr>
        <w:t> </w:t>
      </w:r>
      <w:r>
        <w:rPr/>
        <w:t>and</w:t>
      </w:r>
      <w:r>
        <w:rPr>
          <w:spacing w:val="-4"/>
        </w:rPr>
        <w:t> </w:t>
      </w:r>
      <w:r>
        <w:rPr/>
        <w:t>parents.</w:t>
      </w:r>
      <w:r>
        <w:rPr>
          <w:spacing w:val="-4"/>
        </w:rPr>
        <w:t> </w:t>
      </w:r>
      <w:r>
        <w:rPr/>
        <w:t>In</w:t>
      </w:r>
      <w:r>
        <w:rPr>
          <w:spacing w:val="-2"/>
        </w:rPr>
        <w:t> </w:t>
      </w:r>
      <w:r>
        <w:rPr/>
        <w:t>addition</w:t>
      </w:r>
      <w:r>
        <w:rPr>
          <w:spacing w:val="-4"/>
        </w:rPr>
        <w:t> </w:t>
      </w:r>
      <w:r>
        <w:rPr/>
        <w:t>to providing counseling, the staff reaches out to the campus through residence hall chats, classroom presentations</w:t>
      </w:r>
      <w:r>
        <w:rPr>
          <w:spacing w:val="-2"/>
        </w:rPr>
        <w:t> </w:t>
      </w:r>
      <w:r>
        <w:rPr/>
        <w:t>and</w:t>
      </w:r>
      <w:r>
        <w:rPr>
          <w:spacing w:val="-3"/>
        </w:rPr>
        <w:t> </w:t>
      </w:r>
      <w:r>
        <w:rPr/>
        <w:t>campus-wide</w:t>
      </w:r>
      <w:r>
        <w:rPr>
          <w:spacing w:val="-1"/>
        </w:rPr>
        <w:t> </w:t>
      </w:r>
      <w:r>
        <w:rPr/>
        <w:t>education,</w:t>
      </w:r>
      <w:r>
        <w:rPr>
          <w:spacing w:val="-1"/>
        </w:rPr>
        <w:t> </w:t>
      </w:r>
      <w:r>
        <w:rPr/>
        <w:t>prevention</w:t>
      </w:r>
      <w:r>
        <w:rPr>
          <w:spacing w:val="-1"/>
        </w:rPr>
        <w:t> </w:t>
      </w:r>
      <w:r>
        <w:rPr/>
        <w:t>and</w:t>
      </w:r>
      <w:r>
        <w:rPr>
          <w:spacing w:val="-1"/>
        </w:rPr>
        <w:t> </w:t>
      </w:r>
      <w:r>
        <w:rPr/>
        <w:t>social</w:t>
      </w:r>
      <w:r>
        <w:rPr>
          <w:spacing w:val="-4"/>
        </w:rPr>
        <w:t> </w:t>
      </w:r>
      <w:r>
        <w:rPr/>
        <w:t>events.</w:t>
      </w:r>
      <w:r>
        <w:rPr>
          <w:spacing w:val="-3"/>
        </w:rPr>
        <w:t> </w:t>
      </w:r>
      <w:r>
        <w:rPr/>
        <w:t>These services are provided at no expense to the students.</w:t>
      </w:r>
    </w:p>
    <w:p>
      <w:pPr>
        <w:pStyle w:val="BodyText"/>
        <w:spacing w:before="7"/>
      </w:pPr>
    </w:p>
    <w:p>
      <w:pPr>
        <w:pStyle w:val="BodyText"/>
        <w:ind w:left="1723" w:right="587"/>
      </w:pPr>
      <w:r>
        <w:rPr>
          <w:b/>
        </w:rPr>
        <w:t>Career Counseling and Planning Center: </w:t>
      </w:r>
      <w:r>
        <w:rPr/>
        <w:t>This office provides on-going services during the entire period of a student's involvement with the University. The Center also offers up- to-date</w:t>
      </w:r>
      <w:r>
        <w:rPr>
          <w:spacing w:val="-3"/>
        </w:rPr>
        <w:t> </w:t>
      </w:r>
      <w:r>
        <w:rPr/>
        <w:t>career</w:t>
      </w:r>
      <w:r>
        <w:rPr>
          <w:spacing w:val="-4"/>
        </w:rPr>
        <w:t> </w:t>
      </w:r>
      <w:r>
        <w:rPr/>
        <w:t>planning</w:t>
      </w:r>
      <w:r>
        <w:rPr>
          <w:spacing w:val="-3"/>
        </w:rPr>
        <w:t> </w:t>
      </w:r>
      <w:r>
        <w:rPr/>
        <w:t>information,</w:t>
      </w:r>
      <w:r>
        <w:rPr>
          <w:spacing w:val="-3"/>
        </w:rPr>
        <w:t> </w:t>
      </w:r>
      <w:r>
        <w:rPr/>
        <w:t>assistance</w:t>
      </w:r>
      <w:r>
        <w:rPr>
          <w:spacing w:val="-3"/>
        </w:rPr>
        <w:t> </w:t>
      </w:r>
      <w:r>
        <w:rPr/>
        <w:t>with</w:t>
      </w:r>
      <w:r>
        <w:rPr>
          <w:spacing w:val="-4"/>
        </w:rPr>
        <w:t> </w:t>
      </w:r>
      <w:r>
        <w:rPr/>
        <w:t>selection</w:t>
      </w:r>
      <w:r>
        <w:rPr>
          <w:spacing w:val="-3"/>
        </w:rPr>
        <w:t> </w:t>
      </w:r>
      <w:r>
        <w:rPr/>
        <w:t>of</w:t>
      </w:r>
      <w:r>
        <w:rPr>
          <w:spacing w:val="-3"/>
        </w:rPr>
        <w:t> </w:t>
      </w:r>
      <w:r>
        <w:rPr/>
        <w:t>a</w:t>
      </w:r>
      <w:r>
        <w:rPr>
          <w:spacing w:val="-4"/>
        </w:rPr>
        <w:t> </w:t>
      </w:r>
      <w:r>
        <w:rPr/>
        <w:t>major</w:t>
      </w:r>
      <w:r>
        <w:rPr>
          <w:spacing w:val="-5"/>
        </w:rPr>
        <w:t> </w:t>
      </w:r>
      <w:r>
        <w:rPr/>
        <w:t>field</w:t>
      </w:r>
      <w:r>
        <w:rPr>
          <w:spacing w:val="-3"/>
        </w:rPr>
        <w:t> </w:t>
      </w:r>
      <w:r>
        <w:rPr/>
        <w:t>of</w:t>
      </w:r>
      <w:r>
        <w:rPr>
          <w:spacing w:val="-3"/>
        </w:rPr>
        <w:t> </w:t>
      </w:r>
      <w:r>
        <w:rPr/>
        <w:t>study,</w:t>
      </w:r>
      <w:r>
        <w:rPr>
          <w:spacing w:val="-4"/>
        </w:rPr>
        <w:t> </w:t>
      </w:r>
      <w:r>
        <w:rPr/>
        <w:t>self- assessment and evaluation, individual appointments for career counseling, information sessions from corporate representatives, internships and cooperative education opportunities, job listings, on-line recruiting, mentorship opportunities, and workshops on resume writing, interviewing, job search, dining and dressing for success. The Career Counseling and Planning Center sponsors two career fairs, one graduate school day and endeavors to ensure that students' career aspirations are in sync with the jobs available to them upon graduation. All Center services and programs are also extended to alumni.</w:t>
      </w:r>
    </w:p>
    <w:p>
      <w:pPr>
        <w:pStyle w:val="BodyText"/>
        <w:spacing w:before="1"/>
        <w:rPr>
          <w:sz w:val="21"/>
        </w:rPr>
      </w:pPr>
    </w:p>
    <w:p>
      <w:pPr>
        <w:pStyle w:val="BodyText"/>
        <w:ind w:left="1723" w:right="499"/>
      </w:pPr>
      <w:r>
        <w:rPr>
          <w:b/>
        </w:rPr>
        <w:t>Hampton</w:t>
      </w:r>
      <w:r>
        <w:rPr>
          <w:b/>
          <w:spacing w:val="-2"/>
        </w:rPr>
        <w:t> </w:t>
      </w:r>
      <w:r>
        <w:rPr>
          <w:b/>
        </w:rPr>
        <w:t>University</w:t>
      </w:r>
      <w:r>
        <w:rPr>
          <w:b/>
          <w:spacing w:val="-1"/>
        </w:rPr>
        <w:t> </w:t>
      </w:r>
      <w:r>
        <w:rPr>
          <w:b/>
        </w:rPr>
        <w:t>Assessment</w:t>
      </w:r>
      <w:r>
        <w:rPr>
          <w:b/>
          <w:spacing w:val="-2"/>
        </w:rPr>
        <w:t> </w:t>
      </w:r>
      <w:r>
        <w:rPr>
          <w:b/>
        </w:rPr>
        <w:t>Center:</w:t>
      </w:r>
      <w:r>
        <w:rPr>
          <w:b/>
          <w:spacing w:val="-2"/>
        </w:rPr>
        <w:t> </w:t>
      </w:r>
      <w:r>
        <w:rPr/>
        <w:t>This</w:t>
      </w:r>
      <w:r>
        <w:rPr>
          <w:spacing w:val="-2"/>
        </w:rPr>
        <w:t> </w:t>
      </w:r>
      <w:r>
        <w:rPr/>
        <w:t>office</w:t>
      </w:r>
      <w:r>
        <w:rPr>
          <w:spacing w:val="-3"/>
        </w:rPr>
        <w:t> </w:t>
      </w:r>
      <w:r>
        <w:rPr/>
        <w:t>was</w:t>
      </w:r>
      <w:r>
        <w:rPr>
          <w:spacing w:val="-2"/>
        </w:rPr>
        <w:t> </w:t>
      </w:r>
      <w:r>
        <w:rPr/>
        <w:t>established</w:t>
      </w:r>
      <w:r>
        <w:rPr>
          <w:spacing w:val="-1"/>
        </w:rPr>
        <w:t> </w:t>
      </w:r>
      <w:r>
        <w:rPr/>
        <w:t>in</w:t>
      </w:r>
      <w:r>
        <w:rPr>
          <w:spacing w:val="-1"/>
        </w:rPr>
        <w:t> </w:t>
      </w:r>
      <w:r>
        <w:rPr/>
        <w:t>2010</w:t>
      </w:r>
      <w:r>
        <w:rPr>
          <w:spacing w:val="-3"/>
        </w:rPr>
        <w:t> </w:t>
      </w:r>
      <w:r>
        <w:rPr/>
        <w:t>to</w:t>
      </w:r>
      <w:r>
        <w:rPr>
          <w:spacing w:val="-1"/>
        </w:rPr>
        <w:t> </w:t>
      </w:r>
      <w:r>
        <w:rPr/>
        <w:t>support students</w:t>
      </w:r>
      <w:r>
        <w:rPr>
          <w:spacing w:val="-2"/>
        </w:rPr>
        <w:t> </w:t>
      </w:r>
      <w:r>
        <w:rPr/>
        <w:t>while</w:t>
      </w:r>
      <w:r>
        <w:rPr>
          <w:spacing w:val="-6"/>
        </w:rPr>
        <w:t> </w:t>
      </w:r>
      <w:r>
        <w:rPr/>
        <w:t>matriculating</w:t>
      </w:r>
      <w:r>
        <w:rPr>
          <w:spacing w:val="-6"/>
        </w:rPr>
        <w:t> </w:t>
      </w:r>
      <w:r>
        <w:rPr/>
        <w:t>at</w:t>
      </w:r>
      <w:r>
        <w:rPr>
          <w:spacing w:val="-6"/>
        </w:rPr>
        <w:t> </w:t>
      </w:r>
      <w:r>
        <w:rPr/>
        <w:t>Hampton</w:t>
      </w:r>
      <w:r>
        <w:rPr>
          <w:spacing w:val="-6"/>
        </w:rPr>
        <w:t> </w:t>
      </w:r>
      <w:r>
        <w:rPr/>
        <w:t>University.</w:t>
      </w:r>
      <w:r>
        <w:rPr>
          <w:spacing w:val="-4"/>
        </w:rPr>
        <w:t> </w:t>
      </w:r>
      <w:r>
        <w:rPr/>
        <w:t>Our</w:t>
      </w:r>
      <w:r>
        <w:rPr>
          <w:spacing w:val="-5"/>
        </w:rPr>
        <w:t> </w:t>
      </w:r>
      <w:r>
        <w:rPr/>
        <w:t>team</w:t>
      </w:r>
      <w:r>
        <w:rPr>
          <w:spacing w:val="-1"/>
        </w:rPr>
        <w:t> </w:t>
      </w:r>
      <w:r>
        <w:rPr/>
        <w:t>focuses</w:t>
      </w:r>
      <w:r>
        <w:rPr>
          <w:spacing w:val="-5"/>
        </w:rPr>
        <w:t> </w:t>
      </w:r>
      <w:r>
        <w:rPr/>
        <w:t>on</w:t>
      </w:r>
      <w:r>
        <w:rPr>
          <w:spacing w:val="-6"/>
        </w:rPr>
        <w:t> </w:t>
      </w:r>
      <w:r>
        <w:rPr/>
        <w:t>customer</w:t>
      </w:r>
      <w:r>
        <w:rPr>
          <w:spacing w:val="-5"/>
        </w:rPr>
        <w:t> </w:t>
      </w:r>
      <w:r>
        <w:rPr/>
        <w:t>service and providing for students a constructive environment to assist them in achieving the lifestyle of their dreams. The Assessment Center provides tools to</w:t>
      </w:r>
    </w:p>
    <w:p>
      <w:pPr>
        <w:pStyle w:val="BodyText"/>
        <w:spacing w:before="8"/>
        <w:rPr>
          <w:sz w:val="25"/>
        </w:rPr>
      </w:pPr>
    </w:p>
    <w:p>
      <w:pPr>
        <w:pStyle w:val="ListParagraph"/>
        <w:numPr>
          <w:ilvl w:val="0"/>
          <w:numId w:val="24"/>
        </w:numPr>
        <w:tabs>
          <w:tab w:pos="2083" w:val="left" w:leader="none"/>
          <w:tab w:pos="2084" w:val="left" w:leader="none"/>
        </w:tabs>
        <w:spacing w:line="240" w:lineRule="auto" w:before="0" w:after="0"/>
        <w:ind w:left="2083" w:right="0" w:hanging="361"/>
        <w:jc w:val="left"/>
        <w:rPr>
          <w:sz w:val="20"/>
        </w:rPr>
      </w:pPr>
      <w:r>
        <w:rPr>
          <w:sz w:val="20"/>
        </w:rPr>
        <w:t>Empower</w:t>
      </w:r>
      <w:r>
        <w:rPr>
          <w:spacing w:val="-7"/>
          <w:sz w:val="20"/>
        </w:rPr>
        <w:t> </w:t>
      </w:r>
      <w:r>
        <w:rPr>
          <w:sz w:val="20"/>
        </w:rPr>
        <w:t>students</w:t>
      </w:r>
      <w:r>
        <w:rPr>
          <w:spacing w:val="-6"/>
          <w:sz w:val="20"/>
        </w:rPr>
        <w:t> </w:t>
      </w:r>
      <w:r>
        <w:rPr>
          <w:sz w:val="20"/>
        </w:rPr>
        <w:t>to</w:t>
      </w:r>
      <w:r>
        <w:rPr>
          <w:spacing w:val="-8"/>
          <w:sz w:val="20"/>
        </w:rPr>
        <w:t> </w:t>
      </w:r>
      <w:r>
        <w:rPr>
          <w:sz w:val="20"/>
        </w:rPr>
        <w:t>accept</w:t>
      </w:r>
      <w:r>
        <w:rPr>
          <w:spacing w:val="-7"/>
          <w:sz w:val="20"/>
        </w:rPr>
        <w:t> </w:t>
      </w:r>
      <w:r>
        <w:rPr>
          <w:sz w:val="20"/>
        </w:rPr>
        <w:t>responsibility</w:t>
      </w:r>
      <w:r>
        <w:rPr>
          <w:spacing w:val="-10"/>
          <w:sz w:val="20"/>
        </w:rPr>
        <w:t> </w:t>
      </w:r>
      <w:r>
        <w:rPr>
          <w:sz w:val="20"/>
        </w:rPr>
        <w:t>for</w:t>
      </w:r>
      <w:r>
        <w:rPr>
          <w:spacing w:val="-6"/>
          <w:sz w:val="20"/>
        </w:rPr>
        <w:t> </w:t>
      </w:r>
      <w:r>
        <w:rPr>
          <w:sz w:val="20"/>
        </w:rPr>
        <w:t>their</w:t>
      </w:r>
      <w:r>
        <w:rPr>
          <w:spacing w:val="-5"/>
          <w:sz w:val="20"/>
        </w:rPr>
        <w:t> </w:t>
      </w:r>
      <w:r>
        <w:rPr>
          <w:spacing w:val="-2"/>
          <w:sz w:val="20"/>
        </w:rPr>
        <w:t>education;</w:t>
      </w:r>
    </w:p>
    <w:p>
      <w:pPr>
        <w:pStyle w:val="ListParagraph"/>
        <w:numPr>
          <w:ilvl w:val="0"/>
          <w:numId w:val="24"/>
        </w:numPr>
        <w:tabs>
          <w:tab w:pos="2083" w:val="left" w:leader="none"/>
          <w:tab w:pos="2084" w:val="left" w:leader="none"/>
        </w:tabs>
        <w:spacing w:line="240" w:lineRule="auto" w:before="13" w:after="0"/>
        <w:ind w:left="2083" w:right="0" w:hanging="361"/>
        <w:jc w:val="left"/>
        <w:rPr>
          <w:sz w:val="20"/>
        </w:rPr>
      </w:pPr>
      <w:r>
        <w:rPr>
          <w:sz w:val="20"/>
        </w:rPr>
        <w:t>Enhance</w:t>
      </w:r>
      <w:r>
        <w:rPr>
          <w:spacing w:val="-9"/>
          <w:sz w:val="20"/>
        </w:rPr>
        <w:t> </w:t>
      </w:r>
      <w:r>
        <w:rPr>
          <w:sz w:val="20"/>
        </w:rPr>
        <w:t>academic</w:t>
      </w:r>
      <w:r>
        <w:rPr>
          <w:spacing w:val="-9"/>
          <w:sz w:val="20"/>
        </w:rPr>
        <w:t> </w:t>
      </w:r>
      <w:r>
        <w:rPr>
          <w:spacing w:val="-2"/>
          <w:sz w:val="20"/>
        </w:rPr>
        <w:t>performance;</w:t>
      </w:r>
    </w:p>
    <w:p>
      <w:pPr>
        <w:pStyle w:val="ListParagraph"/>
        <w:numPr>
          <w:ilvl w:val="0"/>
          <w:numId w:val="24"/>
        </w:numPr>
        <w:tabs>
          <w:tab w:pos="2083" w:val="left" w:leader="none"/>
          <w:tab w:pos="2084" w:val="left" w:leader="none"/>
        </w:tabs>
        <w:spacing w:line="240" w:lineRule="auto" w:before="14" w:after="0"/>
        <w:ind w:left="2083" w:right="0" w:hanging="361"/>
        <w:jc w:val="left"/>
        <w:rPr>
          <w:sz w:val="20"/>
        </w:rPr>
      </w:pPr>
      <w:r>
        <w:rPr>
          <w:sz w:val="20"/>
        </w:rPr>
        <w:t>Remove</w:t>
      </w:r>
      <w:r>
        <w:rPr>
          <w:spacing w:val="-7"/>
          <w:sz w:val="20"/>
        </w:rPr>
        <w:t> </w:t>
      </w:r>
      <w:r>
        <w:rPr>
          <w:sz w:val="20"/>
        </w:rPr>
        <w:t>barriers</w:t>
      </w:r>
      <w:r>
        <w:rPr>
          <w:spacing w:val="-6"/>
          <w:sz w:val="20"/>
        </w:rPr>
        <w:t> </w:t>
      </w:r>
      <w:r>
        <w:rPr>
          <w:sz w:val="20"/>
        </w:rPr>
        <w:t>to</w:t>
      </w:r>
      <w:r>
        <w:rPr>
          <w:spacing w:val="-6"/>
          <w:sz w:val="20"/>
        </w:rPr>
        <w:t> </w:t>
      </w:r>
      <w:r>
        <w:rPr>
          <w:sz w:val="20"/>
        </w:rPr>
        <w:t>academic</w:t>
      </w:r>
      <w:r>
        <w:rPr>
          <w:spacing w:val="-6"/>
          <w:sz w:val="20"/>
        </w:rPr>
        <w:t> </w:t>
      </w:r>
      <w:r>
        <w:rPr>
          <w:spacing w:val="-2"/>
          <w:sz w:val="20"/>
        </w:rPr>
        <w:t>persistence;</w:t>
      </w:r>
    </w:p>
    <w:p>
      <w:pPr>
        <w:pStyle w:val="ListParagraph"/>
        <w:numPr>
          <w:ilvl w:val="0"/>
          <w:numId w:val="24"/>
        </w:numPr>
        <w:tabs>
          <w:tab w:pos="2083" w:val="left" w:leader="none"/>
          <w:tab w:pos="2084" w:val="left" w:leader="none"/>
        </w:tabs>
        <w:spacing w:line="240" w:lineRule="auto" w:before="13" w:after="0"/>
        <w:ind w:left="2083" w:right="0" w:hanging="361"/>
        <w:jc w:val="left"/>
        <w:rPr>
          <w:sz w:val="20"/>
        </w:rPr>
      </w:pPr>
      <w:r>
        <w:rPr>
          <w:sz w:val="20"/>
        </w:rPr>
        <w:t>Access</w:t>
      </w:r>
      <w:r>
        <w:rPr>
          <w:spacing w:val="-7"/>
          <w:sz w:val="20"/>
        </w:rPr>
        <w:t> </w:t>
      </w:r>
      <w:r>
        <w:rPr>
          <w:sz w:val="20"/>
        </w:rPr>
        <w:t>resources</w:t>
      </w:r>
      <w:r>
        <w:rPr>
          <w:spacing w:val="-7"/>
          <w:sz w:val="20"/>
        </w:rPr>
        <w:t> </w:t>
      </w:r>
      <w:r>
        <w:rPr>
          <w:sz w:val="20"/>
        </w:rPr>
        <w:t>provided</w:t>
      </w:r>
      <w:r>
        <w:rPr>
          <w:spacing w:val="-6"/>
          <w:sz w:val="20"/>
        </w:rPr>
        <w:t> </w:t>
      </w:r>
      <w:r>
        <w:rPr>
          <w:sz w:val="20"/>
        </w:rPr>
        <w:t>by</w:t>
      </w:r>
      <w:r>
        <w:rPr>
          <w:spacing w:val="-11"/>
          <w:sz w:val="20"/>
        </w:rPr>
        <w:t> </w:t>
      </w:r>
      <w:r>
        <w:rPr>
          <w:sz w:val="20"/>
        </w:rPr>
        <w:t>the</w:t>
      </w:r>
      <w:r>
        <w:rPr>
          <w:spacing w:val="-6"/>
          <w:sz w:val="20"/>
        </w:rPr>
        <w:t> </w:t>
      </w:r>
      <w:r>
        <w:rPr>
          <w:sz w:val="20"/>
        </w:rPr>
        <w:t>University,</w:t>
      </w:r>
      <w:r>
        <w:rPr>
          <w:spacing w:val="-6"/>
          <w:sz w:val="20"/>
        </w:rPr>
        <w:t> </w:t>
      </w:r>
      <w:r>
        <w:rPr>
          <w:spacing w:val="-4"/>
          <w:sz w:val="20"/>
        </w:rPr>
        <w:t>and;</w:t>
      </w:r>
    </w:p>
    <w:p>
      <w:pPr>
        <w:pStyle w:val="ListParagraph"/>
        <w:numPr>
          <w:ilvl w:val="0"/>
          <w:numId w:val="24"/>
        </w:numPr>
        <w:tabs>
          <w:tab w:pos="2083" w:val="left" w:leader="none"/>
          <w:tab w:pos="2084" w:val="left" w:leader="none"/>
        </w:tabs>
        <w:spacing w:line="240" w:lineRule="auto" w:before="12" w:after="0"/>
        <w:ind w:left="2083" w:right="0" w:hanging="361"/>
        <w:jc w:val="left"/>
        <w:rPr>
          <w:sz w:val="20"/>
        </w:rPr>
      </w:pPr>
      <w:r>
        <w:rPr>
          <w:sz w:val="20"/>
        </w:rPr>
        <w:t>Foster</w:t>
      </w:r>
      <w:r>
        <w:rPr>
          <w:spacing w:val="-8"/>
          <w:sz w:val="20"/>
        </w:rPr>
        <w:t> </w:t>
      </w:r>
      <w:r>
        <w:rPr>
          <w:sz w:val="20"/>
        </w:rPr>
        <w:t>continuous</w:t>
      </w:r>
      <w:r>
        <w:rPr>
          <w:spacing w:val="-8"/>
          <w:sz w:val="20"/>
        </w:rPr>
        <w:t> </w:t>
      </w:r>
      <w:r>
        <w:rPr>
          <w:sz w:val="20"/>
        </w:rPr>
        <w:t>improvement</w:t>
      </w:r>
      <w:r>
        <w:rPr>
          <w:spacing w:val="-9"/>
          <w:sz w:val="20"/>
        </w:rPr>
        <w:t> </w:t>
      </w:r>
      <w:r>
        <w:rPr>
          <w:sz w:val="20"/>
        </w:rPr>
        <w:t>within</w:t>
      </w:r>
      <w:r>
        <w:rPr>
          <w:spacing w:val="-9"/>
          <w:sz w:val="20"/>
        </w:rPr>
        <w:t> </w:t>
      </w:r>
      <w:r>
        <w:rPr>
          <w:sz w:val="20"/>
        </w:rPr>
        <w:t>the</w:t>
      </w:r>
      <w:r>
        <w:rPr>
          <w:spacing w:val="-8"/>
          <w:sz w:val="20"/>
        </w:rPr>
        <w:t> </w:t>
      </w:r>
      <w:r>
        <w:rPr>
          <w:spacing w:val="-2"/>
          <w:sz w:val="20"/>
        </w:rPr>
        <w:t>University.</w:t>
      </w:r>
    </w:p>
    <w:p>
      <w:pPr>
        <w:pStyle w:val="BodyText"/>
        <w:spacing w:before="5"/>
        <w:rPr>
          <w:sz w:val="24"/>
        </w:rPr>
      </w:pPr>
    </w:p>
    <w:p>
      <w:pPr>
        <w:pStyle w:val="BodyText"/>
        <w:spacing w:before="1"/>
        <w:ind w:left="1723" w:right="499"/>
      </w:pPr>
      <w:r>
        <w:rPr/>
        <w:t>Academic support is provided through tutorial services, study skills development, and research strategies. The Student Empowerment Series provides guidance to students throughout</w:t>
      </w:r>
      <w:r>
        <w:rPr>
          <w:spacing w:val="-5"/>
        </w:rPr>
        <w:t> </w:t>
      </w:r>
      <w:r>
        <w:rPr/>
        <w:t>their</w:t>
      </w:r>
      <w:r>
        <w:rPr>
          <w:spacing w:val="-4"/>
        </w:rPr>
        <w:t> </w:t>
      </w:r>
      <w:r>
        <w:rPr/>
        <w:t>educational</w:t>
      </w:r>
      <w:r>
        <w:rPr>
          <w:spacing w:val="-6"/>
        </w:rPr>
        <w:t> </w:t>
      </w:r>
      <w:r>
        <w:rPr/>
        <w:t>experience</w:t>
      </w:r>
      <w:r>
        <w:rPr>
          <w:spacing w:val="-3"/>
        </w:rPr>
        <w:t> </w:t>
      </w:r>
      <w:r>
        <w:rPr/>
        <w:t>and</w:t>
      </w:r>
      <w:r>
        <w:rPr>
          <w:spacing w:val="-5"/>
        </w:rPr>
        <w:t> </w:t>
      </w:r>
      <w:r>
        <w:rPr/>
        <w:t>helps</w:t>
      </w:r>
      <w:r>
        <w:rPr>
          <w:spacing w:val="-4"/>
        </w:rPr>
        <w:t> </w:t>
      </w:r>
      <w:r>
        <w:rPr/>
        <w:t>them to</w:t>
      </w:r>
      <w:r>
        <w:rPr>
          <w:spacing w:val="-5"/>
        </w:rPr>
        <w:t> </w:t>
      </w:r>
      <w:r>
        <w:rPr/>
        <w:t>establish</w:t>
      </w:r>
      <w:r>
        <w:rPr>
          <w:spacing w:val="-3"/>
        </w:rPr>
        <w:t> </w:t>
      </w:r>
      <w:r>
        <w:rPr/>
        <w:t>a</w:t>
      </w:r>
      <w:r>
        <w:rPr>
          <w:spacing w:val="-5"/>
        </w:rPr>
        <w:t> </w:t>
      </w:r>
      <w:r>
        <w:rPr/>
        <w:t>foundation</w:t>
      </w:r>
      <w:r>
        <w:rPr>
          <w:spacing w:val="-3"/>
        </w:rPr>
        <w:t> </w:t>
      </w:r>
      <w:r>
        <w:rPr/>
        <w:t>to</w:t>
      </w:r>
      <w:r>
        <w:rPr>
          <w:spacing w:val="-5"/>
        </w:rPr>
        <w:t> </w:t>
      </w:r>
      <w:r>
        <w:rPr/>
        <w:t>realize future goals.</w:t>
      </w:r>
    </w:p>
    <w:p>
      <w:pPr>
        <w:pStyle w:val="BodyText"/>
        <w:spacing w:before="6"/>
      </w:pPr>
    </w:p>
    <w:p>
      <w:pPr>
        <w:spacing w:before="1"/>
        <w:ind w:left="499" w:right="0" w:firstLine="0"/>
        <w:jc w:val="left"/>
        <w:rPr>
          <w:b/>
          <w:sz w:val="20"/>
        </w:rPr>
      </w:pPr>
      <w:r>
        <w:rPr>
          <w:b/>
          <w:sz w:val="20"/>
        </w:rPr>
        <w:t>Student</w:t>
      </w:r>
      <w:r>
        <w:rPr>
          <w:b/>
          <w:spacing w:val="-11"/>
          <w:sz w:val="20"/>
        </w:rPr>
        <w:t> </w:t>
      </w:r>
      <w:r>
        <w:rPr>
          <w:b/>
          <w:sz w:val="20"/>
        </w:rPr>
        <w:t>Off-campus</w:t>
      </w:r>
      <w:r>
        <w:rPr>
          <w:b/>
          <w:spacing w:val="-11"/>
          <w:sz w:val="20"/>
        </w:rPr>
        <w:t> </w:t>
      </w:r>
      <w:r>
        <w:rPr>
          <w:b/>
          <w:spacing w:val="-2"/>
          <w:sz w:val="20"/>
        </w:rPr>
        <w:t>Opportunities</w:t>
      </w:r>
    </w:p>
    <w:p>
      <w:pPr>
        <w:pStyle w:val="BodyText"/>
        <w:spacing w:before="1"/>
        <w:rPr>
          <w:b/>
          <w:sz w:val="21"/>
        </w:rPr>
      </w:pPr>
    </w:p>
    <w:p>
      <w:pPr>
        <w:pStyle w:val="BodyText"/>
        <w:ind w:left="1723" w:right="705"/>
      </w:pPr>
      <w:r>
        <w:rPr/>
        <w:t>There</w:t>
      </w:r>
      <w:r>
        <w:rPr>
          <w:spacing w:val="-4"/>
        </w:rPr>
        <w:t> </w:t>
      </w:r>
      <w:r>
        <w:rPr/>
        <w:t>are</w:t>
      </w:r>
      <w:r>
        <w:rPr>
          <w:spacing w:val="-4"/>
        </w:rPr>
        <w:t> </w:t>
      </w:r>
      <w:r>
        <w:rPr/>
        <w:t>several</w:t>
      </w:r>
      <w:r>
        <w:rPr>
          <w:spacing w:val="-2"/>
        </w:rPr>
        <w:t> </w:t>
      </w:r>
      <w:r>
        <w:rPr/>
        <w:t>opportunities</w:t>
      </w:r>
      <w:r>
        <w:rPr>
          <w:spacing w:val="-3"/>
        </w:rPr>
        <w:t> </w:t>
      </w:r>
      <w:r>
        <w:rPr/>
        <w:t>that</w:t>
      </w:r>
      <w:r>
        <w:rPr>
          <w:spacing w:val="-2"/>
        </w:rPr>
        <w:t> </w:t>
      </w:r>
      <w:r>
        <w:rPr/>
        <w:t>are</w:t>
      </w:r>
      <w:r>
        <w:rPr>
          <w:spacing w:val="-4"/>
        </w:rPr>
        <w:t> </w:t>
      </w:r>
      <w:r>
        <w:rPr/>
        <w:t>afforded</w:t>
      </w:r>
      <w:r>
        <w:rPr>
          <w:spacing w:val="-4"/>
        </w:rPr>
        <w:t> </w:t>
      </w:r>
      <w:r>
        <w:rPr/>
        <w:t>to</w:t>
      </w:r>
      <w:r>
        <w:rPr>
          <w:spacing w:val="-3"/>
        </w:rPr>
        <w:t> </w:t>
      </w:r>
      <w:r>
        <w:rPr/>
        <w:t>our students</w:t>
      </w:r>
      <w:r>
        <w:rPr>
          <w:spacing w:val="-3"/>
        </w:rPr>
        <w:t> </w:t>
      </w:r>
      <w:r>
        <w:rPr/>
        <w:t>to</w:t>
      </w:r>
      <w:r>
        <w:rPr>
          <w:spacing w:val="-4"/>
        </w:rPr>
        <w:t> </w:t>
      </w:r>
      <w:r>
        <w:rPr/>
        <w:t>gain</w:t>
      </w:r>
      <w:r>
        <w:rPr>
          <w:spacing w:val="-4"/>
        </w:rPr>
        <w:t> </w:t>
      </w:r>
      <w:r>
        <w:rPr/>
        <w:t>exposure</w:t>
      </w:r>
      <w:r>
        <w:rPr>
          <w:spacing w:val="-2"/>
        </w:rPr>
        <w:t> </w:t>
      </w:r>
      <w:r>
        <w:rPr/>
        <w:t>to</w:t>
      </w:r>
      <w:r>
        <w:rPr>
          <w:spacing w:val="-4"/>
        </w:rPr>
        <w:t> </w:t>
      </w:r>
      <w:r>
        <w:rPr/>
        <w:t>off- campus opportunities, some are optional while others are required.</w:t>
      </w:r>
    </w:p>
    <w:p>
      <w:pPr>
        <w:pStyle w:val="BodyText"/>
        <w:spacing w:before="8"/>
      </w:pPr>
    </w:p>
    <w:p>
      <w:pPr>
        <w:pStyle w:val="BodyText"/>
        <w:ind w:left="2659" w:right="499" w:hanging="720"/>
      </w:pPr>
      <w:r>
        <w:rPr/>
        <w:t>Arch-Exchange East: The annual convention of the Virginia Society of the American Institute of Architects is held during the first full week of November. In 2009, the Chair, Robert Easter, was the university</w:t>
      </w:r>
      <w:r>
        <w:rPr>
          <w:spacing w:val="-1"/>
        </w:rPr>
        <w:t> </w:t>
      </w:r>
      <w:r>
        <w:rPr/>
        <w:t>board representative to the board, The Society invited all university students (from the 4 accredited programs in the Commonwealth) to attend the Thursday session at no cost. The HUDA faculty agreed to make this trip a requirement and the Department faculty collectively secured</w:t>
      </w:r>
      <w:r>
        <w:rPr>
          <w:spacing w:val="-5"/>
        </w:rPr>
        <w:t> </w:t>
      </w:r>
      <w:r>
        <w:rPr/>
        <w:t>resources</w:t>
      </w:r>
      <w:r>
        <w:rPr>
          <w:spacing w:val="-4"/>
        </w:rPr>
        <w:t> </w:t>
      </w:r>
      <w:r>
        <w:rPr/>
        <w:t>to</w:t>
      </w:r>
      <w:r>
        <w:rPr>
          <w:spacing w:val="-3"/>
        </w:rPr>
        <w:t> </w:t>
      </w:r>
      <w:r>
        <w:rPr/>
        <w:t>provide</w:t>
      </w:r>
      <w:r>
        <w:rPr>
          <w:spacing w:val="-5"/>
        </w:rPr>
        <w:t> </w:t>
      </w:r>
      <w:r>
        <w:rPr/>
        <w:t>transportation</w:t>
      </w:r>
      <w:r>
        <w:rPr>
          <w:spacing w:val="-3"/>
        </w:rPr>
        <w:t> </w:t>
      </w:r>
      <w:r>
        <w:rPr/>
        <w:t>to</w:t>
      </w:r>
      <w:r>
        <w:rPr>
          <w:spacing w:val="-5"/>
        </w:rPr>
        <w:t> </w:t>
      </w:r>
      <w:r>
        <w:rPr/>
        <w:t>the</w:t>
      </w:r>
      <w:r>
        <w:rPr>
          <w:spacing w:val="-3"/>
        </w:rPr>
        <w:t> </w:t>
      </w:r>
      <w:r>
        <w:rPr/>
        <w:t>event</w:t>
      </w:r>
      <w:r>
        <w:rPr>
          <w:spacing w:val="-5"/>
        </w:rPr>
        <w:t> </w:t>
      </w:r>
      <w:r>
        <w:rPr/>
        <w:t>in</w:t>
      </w:r>
      <w:r>
        <w:rPr>
          <w:spacing w:val="-5"/>
        </w:rPr>
        <w:t> </w:t>
      </w:r>
      <w:r>
        <w:rPr/>
        <w:t>Richmond,</w:t>
      </w:r>
      <w:r>
        <w:rPr>
          <w:spacing w:val="-3"/>
        </w:rPr>
        <w:t> </w:t>
      </w:r>
      <w:r>
        <w:rPr/>
        <w:t>VA.</w:t>
      </w:r>
      <w:r>
        <w:rPr>
          <w:spacing w:val="-5"/>
        </w:rPr>
        <w:t> </w:t>
      </w:r>
      <w:r>
        <w:rPr/>
        <w:t>Each subsequent year, this event has been a requirement for all students.</w:t>
      </w:r>
    </w:p>
    <w:p>
      <w:pPr>
        <w:pStyle w:val="BodyText"/>
        <w:rPr>
          <w:sz w:val="21"/>
        </w:rPr>
      </w:pPr>
    </w:p>
    <w:p>
      <w:pPr>
        <w:pStyle w:val="BodyText"/>
        <w:ind w:left="2659" w:right="499" w:hanging="721"/>
      </w:pPr>
      <w:r>
        <w:rPr/>
        <w:t>HBCU Architectural Student Forum: This annual event is sponsored by one of the accredited architecture programs in the US and include seminars and presentations</w:t>
      </w:r>
      <w:r>
        <w:rPr>
          <w:spacing w:val="-4"/>
        </w:rPr>
        <w:t> </w:t>
      </w:r>
      <w:r>
        <w:rPr/>
        <w:t>by</w:t>
      </w:r>
      <w:r>
        <w:rPr>
          <w:spacing w:val="-8"/>
        </w:rPr>
        <w:t> </w:t>
      </w:r>
      <w:r>
        <w:rPr/>
        <w:t>students,</w:t>
      </w:r>
      <w:r>
        <w:rPr>
          <w:spacing w:val="-5"/>
        </w:rPr>
        <w:t> </w:t>
      </w:r>
      <w:r>
        <w:rPr/>
        <w:t>for</w:t>
      </w:r>
      <w:r>
        <w:rPr>
          <w:spacing w:val="-4"/>
        </w:rPr>
        <w:t> </w:t>
      </w:r>
      <w:r>
        <w:rPr/>
        <w:t>students.</w:t>
      </w:r>
      <w:r>
        <w:rPr>
          <w:spacing w:val="-5"/>
        </w:rPr>
        <w:t> </w:t>
      </w:r>
      <w:r>
        <w:rPr/>
        <w:t>Each</w:t>
      </w:r>
      <w:r>
        <w:rPr>
          <w:spacing w:val="-5"/>
        </w:rPr>
        <w:t> </w:t>
      </w:r>
      <w:r>
        <w:rPr/>
        <w:t>school</w:t>
      </w:r>
      <w:r>
        <w:rPr>
          <w:spacing w:val="-4"/>
        </w:rPr>
        <w:t> </w:t>
      </w:r>
      <w:r>
        <w:rPr/>
        <w:t>will</w:t>
      </w:r>
      <w:r>
        <w:rPr>
          <w:spacing w:val="-6"/>
        </w:rPr>
        <w:t> </w:t>
      </w:r>
      <w:r>
        <w:rPr/>
        <w:t>structure</w:t>
      </w:r>
      <w:r>
        <w:rPr>
          <w:spacing w:val="-3"/>
        </w:rPr>
        <w:t> </w:t>
      </w:r>
      <w:r>
        <w:rPr/>
        <w:t>the</w:t>
      </w:r>
      <w:r>
        <w:rPr>
          <w:spacing w:val="-3"/>
        </w:rPr>
        <w:t> </w:t>
      </w:r>
      <w:r>
        <w:rPr/>
        <w:t>programs</w:t>
      </w:r>
    </w:p>
    <w:p>
      <w:pPr>
        <w:spacing w:after="0"/>
        <w:sectPr>
          <w:headerReference w:type="default" r:id="rId28"/>
          <w:footerReference w:type="default" r:id="rId29"/>
          <w:pgSz w:w="12240" w:h="15840"/>
          <w:pgMar w:header="0" w:footer="974" w:top="1360" w:bottom="1160" w:left="940" w:right="960"/>
        </w:sectPr>
      </w:pPr>
    </w:p>
    <w:p>
      <w:pPr>
        <w:pStyle w:val="BodyText"/>
        <w:spacing w:before="77"/>
        <w:ind w:left="2660" w:right="705"/>
      </w:pPr>
      <w:r>
        <w:rPr/>
        <w:t>and</w:t>
      </w:r>
      <w:r>
        <w:rPr>
          <w:spacing w:val="-3"/>
        </w:rPr>
        <w:t> </w:t>
      </w:r>
      <w:r>
        <w:rPr/>
        <w:t>activities</w:t>
      </w:r>
      <w:r>
        <w:rPr>
          <w:spacing w:val="-1"/>
        </w:rPr>
        <w:t> </w:t>
      </w:r>
      <w:r>
        <w:rPr/>
        <w:t>with</w:t>
      </w:r>
      <w:r>
        <w:rPr>
          <w:spacing w:val="-3"/>
        </w:rPr>
        <w:t> </w:t>
      </w:r>
      <w:r>
        <w:rPr/>
        <w:t>differences,</w:t>
      </w:r>
      <w:r>
        <w:rPr>
          <w:spacing w:val="-5"/>
        </w:rPr>
        <w:t> </w:t>
      </w:r>
      <w:r>
        <w:rPr/>
        <w:t>based</w:t>
      </w:r>
      <w:r>
        <w:rPr>
          <w:spacing w:val="-3"/>
        </w:rPr>
        <w:t> </w:t>
      </w:r>
      <w:r>
        <w:rPr/>
        <w:t>on</w:t>
      </w:r>
      <w:r>
        <w:rPr>
          <w:spacing w:val="-3"/>
        </w:rPr>
        <w:t> </w:t>
      </w:r>
      <w:r>
        <w:rPr/>
        <w:t>the</w:t>
      </w:r>
      <w:r>
        <w:rPr>
          <w:spacing w:val="-3"/>
        </w:rPr>
        <w:t> </w:t>
      </w:r>
      <w:r>
        <w:rPr/>
        <w:t>interests</w:t>
      </w:r>
      <w:r>
        <w:rPr>
          <w:spacing w:val="-1"/>
        </w:rPr>
        <w:t> </w:t>
      </w:r>
      <w:r>
        <w:rPr/>
        <w:t>of</w:t>
      </w:r>
      <w:r>
        <w:rPr>
          <w:spacing w:val="-3"/>
        </w:rPr>
        <w:t> </w:t>
      </w:r>
      <w:r>
        <w:rPr/>
        <w:t>the</w:t>
      </w:r>
      <w:r>
        <w:rPr>
          <w:spacing w:val="-5"/>
        </w:rPr>
        <w:t> </w:t>
      </w:r>
      <w:r>
        <w:rPr/>
        <w:t>university</w:t>
      </w:r>
      <w:r>
        <w:rPr>
          <w:spacing w:val="-8"/>
        </w:rPr>
        <w:t> </w:t>
      </w:r>
      <w:r>
        <w:rPr/>
        <w:t>and</w:t>
      </w:r>
      <w:r>
        <w:rPr>
          <w:spacing w:val="-3"/>
        </w:rPr>
        <w:t> </w:t>
      </w:r>
      <w:r>
        <w:rPr/>
        <w:t>its </w:t>
      </w:r>
      <w:r>
        <w:rPr>
          <w:spacing w:val="-2"/>
        </w:rPr>
        <w:t>students.</w:t>
      </w:r>
    </w:p>
    <w:p>
      <w:pPr>
        <w:pStyle w:val="BodyText"/>
        <w:spacing w:before="11"/>
      </w:pPr>
    </w:p>
    <w:p>
      <w:pPr>
        <w:pStyle w:val="BodyText"/>
        <w:ind w:left="2660" w:right="499" w:hanging="721"/>
      </w:pPr>
      <w:r>
        <w:rPr/>
        <w:t>NOMA</w:t>
      </w:r>
      <w:r>
        <w:rPr>
          <w:spacing w:val="-3"/>
        </w:rPr>
        <w:t> </w:t>
      </w:r>
      <w:r>
        <w:rPr/>
        <w:t>Annual</w:t>
      </w:r>
      <w:r>
        <w:rPr>
          <w:spacing w:val="-6"/>
        </w:rPr>
        <w:t> </w:t>
      </w:r>
      <w:r>
        <w:rPr/>
        <w:t>Conference:</w:t>
      </w:r>
      <w:r>
        <w:rPr>
          <w:spacing w:val="-2"/>
        </w:rPr>
        <w:t> </w:t>
      </w:r>
      <w:r>
        <w:rPr/>
        <w:t>In</w:t>
      </w:r>
      <w:r>
        <w:rPr>
          <w:spacing w:val="-5"/>
        </w:rPr>
        <w:t> </w:t>
      </w:r>
      <w:r>
        <w:rPr/>
        <w:t>2009,</w:t>
      </w:r>
      <w:r>
        <w:rPr>
          <w:spacing w:val="-3"/>
        </w:rPr>
        <w:t> </w:t>
      </w:r>
      <w:r>
        <w:rPr/>
        <w:t>Chair</w:t>
      </w:r>
      <w:r>
        <w:rPr>
          <w:spacing w:val="-4"/>
        </w:rPr>
        <w:t> </w:t>
      </w:r>
      <w:r>
        <w:rPr/>
        <w:t>Easter</w:t>
      </w:r>
      <w:r>
        <w:rPr>
          <w:spacing w:val="-4"/>
        </w:rPr>
        <w:t> </w:t>
      </w:r>
      <w:r>
        <w:rPr/>
        <w:t>took</w:t>
      </w:r>
      <w:r>
        <w:rPr>
          <w:spacing w:val="-1"/>
        </w:rPr>
        <w:t> </w:t>
      </w:r>
      <w:r>
        <w:rPr/>
        <w:t>two</w:t>
      </w:r>
      <w:r>
        <w:rPr>
          <w:spacing w:val="-5"/>
        </w:rPr>
        <w:t> </w:t>
      </w:r>
      <w:r>
        <w:rPr/>
        <w:t>student</w:t>
      </w:r>
      <w:r>
        <w:rPr>
          <w:spacing w:val="-3"/>
        </w:rPr>
        <w:t> </w:t>
      </w:r>
      <w:r>
        <w:rPr/>
        <w:t>leaders</w:t>
      </w:r>
      <w:r>
        <w:rPr>
          <w:spacing w:val="-4"/>
        </w:rPr>
        <w:t> </w:t>
      </w:r>
      <w:r>
        <w:rPr/>
        <w:t>to</w:t>
      </w:r>
      <w:r>
        <w:rPr>
          <w:spacing w:val="-3"/>
        </w:rPr>
        <w:t> </w:t>
      </w:r>
      <w:r>
        <w:rPr/>
        <w:t>the NOMA Conference in Boston, MA. Those students made a presentation to the student body and an immediate interest in NOMA was born.</w:t>
      </w:r>
    </w:p>
    <w:p>
      <w:pPr>
        <w:pStyle w:val="BodyText"/>
        <w:spacing w:before="9"/>
      </w:pPr>
    </w:p>
    <w:p>
      <w:pPr>
        <w:pStyle w:val="BodyText"/>
        <w:ind w:left="2660" w:right="705" w:hanging="721"/>
      </w:pPr>
      <w:r>
        <w:rPr/>
        <w:t>AIA</w:t>
      </w:r>
      <w:r>
        <w:rPr>
          <w:spacing w:val="-3"/>
        </w:rPr>
        <w:t> </w:t>
      </w:r>
      <w:r>
        <w:rPr/>
        <w:t>Convention:</w:t>
      </w:r>
      <w:r>
        <w:rPr>
          <w:spacing w:val="-2"/>
        </w:rPr>
        <w:t> </w:t>
      </w:r>
      <w:r>
        <w:rPr/>
        <w:t>Students</w:t>
      </w:r>
      <w:r>
        <w:rPr>
          <w:spacing w:val="-1"/>
        </w:rPr>
        <w:t> </w:t>
      </w:r>
      <w:r>
        <w:rPr/>
        <w:t>are</w:t>
      </w:r>
      <w:r>
        <w:rPr>
          <w:spacing w:val="-5"/>
        </w:rPr>
        <w:t> </w:t>
      </w:r>
      <w:r>
        <w:rPr/>
        <w:t>encouraged,</w:t>
      </w:r>
      <w:r>
        <w:rPr>
          <w:spacing w:val="-5"/>
        </w:rPr>
        <w:t> </w:t>
      </w:r>
      <w:r>
        <w:rPr/>
        <w:t>but</w:t>
      </w:r>
      <w:r>
        <w:rPr>
          <w:spacing w:val="-5"/>
        </w:rPr>
        <w:t> </w:t>
      </w:r>
      <w:r>
        <w:rPr/>
        <w:t>not</w:t>
      </w:r>
      <w:r>
        <w:rPr>
          <w:spacing w:val="-3"/>
        </w:rPr>
        <w:t> </w:t>
      </w:r>
      <w:r>
        <w:rPr/>
        <w:t>paid,</w:t>
      </w:r>
      <w:r>
        <w:rPr>
          <w:spacing w:val="-5"/>
        </w:rPr>
        <w:t> </w:t>
      </w:r>
      <w:r>
        <w:rPr/>
        <w:t>to</w:t>
      </w:r>
      <w:r>
        <w:rPr>
          <w:spacing w:val="-3"/>
        </w:rPr>
        <w:t> </w:t>
      </w:r>
      <w:r>
        <w:rPr/>
        <w:t>attend</w:t>
      </w:r>
      <w:r>
        <w:rPr>
          <w:spacing w:val="-5"/>
        </w:rPr>
        <w:t> </w:t>
      </w:r>
      <w:r>
        <w:rPr/>
        <w:t>the</w:t>
      </w:r>
      <w:r>
        <w:rPr>
          <w:spacing w:val="-5"/>
        </w:rPr>
        <w:t> </w:t>
      </w:r>
      <w:r>
        <w:rPr/>
        <w:t>National Convention of the AIA.</w:t>
      </w:r>
    </w:p>
    <w:p>
      <w:pPr>
        <w:pStyle w:val="BodyText"/>
        <w:spacing w:before="10"/>
      </w:pPr>
    </w:p>
    <w:p>
      <w:pPr>
        <w:pStyle w:val="BodyText"/>
        <w:spacing w:before="1"/>
        <w:ind w:left="2660" w:right="705" w:hanging="721"/>
      </w:pPr>
      <w:r>
        <w:rPr/>
        <w:t>Hard</w:t>
      </w:r>
      <w:r>
        <w:rPr>
          <w:spacing w:val="-4"/>
        </w:rPr>
        <w:t> </w:t>
      </w:r>
      <w:r>
        <w:rPr/>
        <w:t>Hat</w:t>
      </w:r>
      <w:r>
        <w:rPr>
          <w:spacing w:val="-2"/>
        </w:rPr>
        <w:t> </w:t>
      </w:r>
      <w:r>
        <w:rPr/>
        <w:t>Tours:</w:t>
      </w:r>
      <w:r>
        <w:rPr>
          <w:spacing w:val="-4"/>
        </w:rPr>
        <w:t> </w:t>
      </w:r>
      <w:r>
        <w:rPr/>
        <w:t>Local</w:t>
      </w:r>
      <w:r>
        <w:rPr>
          <w:spacing w:val="-3"/>
        </w:rPr>
        <w:t> </w:t>
      </w:r>
      <w:r>
        <w:rPr/>
        <w:t>architects,</w:t>
      </w:r>
      <w:r>
        <w:rPr>
          <w:spacing w:val="-4"/>
        </w:rPr>
        <w:t> </w:t>
      </w:r>
      <w:r>
        <w:rPr/>
        <w:t>coordinated</w:t>
      </w:r>
      <w:r>
        <w:rPr>
          <w:spacing w:val="-4"/>
        </w:rPr>
        <w:t> </w:t>
      </w:r>
      <w:r>
        <w:rPr/>
        <w:t>through</w:t>
      </w:r>
      <w:r>
        <w:rPr>
          <w:spacing w:val="-4"/>
        </w:rPr>
        <w:t> </w:t>
      </w:r>
      <w:r>
        <w:rPr/>
        <w:t>faculty</w:t>
      </w:r>
      <w:r>
        <w:rPr>
          <w:spacing w:val="-7"/>
        </w:rPr>
        <w:t> </w:t>
      </w:r>
      <w:r>
        <w:rPr/>
        <w:t>contacts</w:t>
      </w:r>
      <w:r>
        <w:rPr>
          <w:spacing w:val="-3"/>
        </w:rPr>
        <w:t> </w:t>
      </w:r>
      <w:r>
        <w:rPr/>
        <w:t>or</w:t>
      </w:r>
      <w:r>
        <w:rPr>
          <w:spacing w:val="-3"/>
        </w:rPr>
        <w:t> </w:t>
      </w:r>
      <w:r>
        <w:rPr/>
        <w:t>the</w:t>
      </w:r>
      <w:r>
        <w:rPr>
          <w:spacing w:val="-2"/>
        </w:rPr>
        <w:t> </w:t>
      </w:r>
      <w:r>
        <w:rPr/>
        <w:t>HR-AIA provide opportunities for students to tour construction sites and observe the ongoing construction activities.</w:t>
      </w:r>
    </w:p>
    <w:p>
      <w:pPr>
        <w:pStyle w:val="BodyText"/>
        <w:spacing w:before="8"/>
      </w:pPr>
    </w:p>
    <w:p>
      <w:pPr>
        <w:pStyle w:val="BodyText"/>
        <w:ind w:left="2660" w:right="705" w:hanging="720"/>
      </w:pPr>
      <w:r>
        <w:rPr/>
        <w:t>Travel Abroad Studio: One of the hallmarks of our program is the requirement for students</w:t>
      </w:r>
      <w:r>
        <w:rPr>
          <w:spacing w:val="-4"/>
        </w:rPr>
        <w:t> </w:t>
      </w:r>
      <w:r>
        <w:rPr/>
        <w:t>to</w:t>
      </w:r>
      <w:r>
        <w:rPr>
          <w:spacing w:val="-5"/>
        </w:rPr>
        <w:t> </w:t>
      </w:r>
      <w:r>
        <w:rPr/>
        <w:t>travel</w:t>
      </w:r>
      <w:r>
        <w:rPr>
          <w:spacing w:val="-6"/>
        </w:rPr>
        <w:t> </w:t>
      </w:r>
      <w:r>
        <w:rPr/>
        <w:t>abroad</w:t>
      </w:r>
      <w:r>
        <w:rPr>
          <w:spacing w:val="-3"/>
        </w:rPr>
        <w:t> </w:t>
      </w:r>
      <w:r>
        <w:rPr/>
        <w:t>during</w:t>
      </w:r>
      <w:r>
        <w:rPr>
          <w:spacing w:val="-3"/>
        </w:rPr>
        <w:t> </w:t>
      </w:r>
      <w:r>
        <w:rPr/>
        <w:t>the</w:t>
      </w:r>
      <w:r>
        <w:rPr>
          <w:spacing w:val="-5"/>
        </w:rPr>
        <w:t> </w:t>
      </w:r>
      <w:r>
        <w:rPr/>
        <w:t>summer</w:t>
      </w:r>
      <w:r>
        <w:rPr>
          <w:spacing w:val="-4"/>
        </w:rPr>
        <w:t> </w:t>
      </w:r>
      <w:r>
        <w:rPr/>
        <w:t>session</w:t>
      </w:r>
      <w:r>
        <w:rPr>
          <w:spacing w:val="-5"/>
        </w:rPr>
        <w:t> </w:t>
      </w:r>
      <w:r>
        <w:rPr/>
        <w:t>between</w:t>
      </w:r>
      <w:r>
        <w:rPr>
          <w:spacing w:val="-5"/>
        </w:rPr>
        <w:t> </w:t>
      </w:r>
      <w:r>
        <w:rPr/>
        <w:t>the</w:t>
      </w:r>
      <w:r>
        <w:rPr>
          <w:spacing w:val="-5"/>
        </w:rPr>
        <w:t> </w:t>
      </w:r>
      <w:r>
        <w:rPr/>
        <w:t>third</w:t>
      </w:r>
      <w:r>
        <w:rPr>
          <w:spacing w:val="-3"/>
        </w:rPr>
        <w:t> </w:t>
      </w:r>
      <w:r>
        <w:rPr/>
        <w:t>and fourth year of study.</w:t>
      </w:r>
    </w:p>
    <w:p>
      <w:pPr>
        <w:pStyle w:val="BodyText"/>
        <w:spacing w:before="9"/>
      </w:pPr>
    </w:p>
    <w:p>
      <w:pPr>
        <w:spacing w:before="0"/>
        <w:ind w:left="500" w:right="0" w:firstLine="0"/>
        <w:jc w:val="left"/>
        <w:rPr>
          <w:b/>
          <w:sz w:val="20"/>
        </w:rPr>
      </w:pPr>
      <w:r>
        <w:rPr>
          <w:b/>
          <w:sz w:val="20"/>
        </w:rPr>
        <w:t>Student</w:t>
      </w:r>
      <w:r>
        <w:rPr>
          <w:b/>
          <w:spacing w:val="-11"/>
          <w:sz w:val="20"/>
        </w:rPr>
        <w:t> </w:t>
      </w:r>
      <w:r>
        <w:rPr>
          <w:b/>
          <w:sz w:val="20"/>
        </w:rPr>
        <w:t>Professional</w:t>
      </w:r>
      <w:r>
        <w:rPr>
          <w:b/>
          <w:spacing w:val="-11"/>
          <w:sz w:val="20"/>
        </w:rPr>
        <w:t> </w:t>
      </w:r>
      <w:r>
        <w:rPr>
          <w:b/>
          <w:sz w:val="20"/>
        </w:rPr>
        <w:t>and</w:t>
      </w:r>
      <w:r>
        <w:rPr>
          <w:b/>
          <w:spacing w:val="-6"/>
          <w:sz w:val="20"/>
        </w:rPr>
        <w:t> </w:t>
      </w:r>
      <w:r>
        <w:rPr>
          <w:b/>
          <w:sz w:val="20"/>
        </w:rPr>
        <w:t>Academic</w:t>
      </w:r>
      <w:r>
        <w:rPr>
          <w:b/>
          <w:spacing w:val="-11"/>
          <w:sz w:val="20"/>
        </w:rPr>
        <w:t> </w:t>
      </w:r>
      <w:r>
        <w:rPr>
          <w:b/>
          <w:sz w:val="20"/>
        </w:rPr>
        <w:t>Organization</w:t>
      </w:r>
      <w:r>
        <w:rPr>
          <w:b/>
          <w:spacing w:val="-8"/>
          <w:sz w:val="20"/>
        </w:rPr>
        <w:t> </w:t>
      </w:r>
      <w:r>
        <w:rPr>
          <w:b/>
          <w:spacing w:val="-2"/>
          <w:sz w:val="20"/>
        </w:rPr>
        <w:t>Opportunities</w:t>
      </w:r>
    </w:p>
    <w:p>
      <w:pPr>
        <w:pStyle w:val="BodyText"/>
        <w:spacing w:before="1"/>
        <w:rPr>
          <w:b/>
          <w:sz w:val="21"/>
        </w:rPr>
      </w:pPr>
    </w:p>
    <w:p>
      <w:pPr>
        <w:pStyle w:val="BodyText"/>
        <w:spacing w:before="1"/>
        <w:ind w:left="1723" w:right="705"/>
      </w:pPr>
      <w:r>
        <w:rPr/>
        <w:t>There</w:t>
      </w:r>
      <w:r>
        <w:rPr>
          <w:spacing w:val="-5"/>
        </w:rPr>
        <w:t> </w:t>
      </w:r>
      <w:r>
        <w:rPr/>
        <w:t>are</w:t>
      </w:r>
      <w:r>
        <w:rPr>
          <w:spacing w:val="-5"/>
        </w:rPr>
        <w:t> </w:t>
      </w:r>
      <w:r>
        <w:rPr/>
        <w:t>multiple</w:t>
      </w:r>
      <w:r>
        <w:rPr>
          <w:spacing w:val="-6"/>
        </w:rPr>
        <w:t> </w:t>
      </w:r>
      <w:r>
        <w:rPr/>
        <w:t>organizations</w:t>
      </w:r>
      <w:r>
        <w:rPr>
          <w:spacing w:val="-5"/>
        </w:rPr>
        <w:t> </w:t>
      </w:r>
      <w:r>
        <w:rPr/>
        <w:t>(para-professional)</w:t>
      </w:r>
      <w:r>
        <w:rPr>
          <w:spacing w:val="-5"/>
        </w:rPr>
        <w:t> </w:t>
      </w:r>
      <w:r>
        <w:rPr/>
        <w:t>that</w:t>
      </w:r>
      <w:r>
        <w:rPr>
          <w:spacing w:val="-5"/>
        </w:rPr>
        <w:t> </w:t>
      </w:r>
      <w:r>
        <w:rPr/>
        <w:t>provide</w:t>
      </w:r>
      <w:r>
        <w:rPr>
          <w:spacing w:val="-5"/>
        </w:rPr>
        <w:t> </w:t>
      </w:r>
      <w:r>
        <w:rPr/>
        <w:t>opportunities</w:t>
      </w:r>
      <w:r>
        <w:rPr>
          <w:spacing w:val="-5"/>
        </w:rPr>
        <w:t> </w:t>
      </w:r>
      <w:r>
        <w:rPr/>
        <w:t>for</w:t>
      </w:r>
      <w:r>
        <w:rPr>
          <w:spacing w:val="-5"/>
        </w:rPr>
        <w:t> </w:t>
      </w:r>
      <w:r>
        <w:rPr/>
        <w:t>the students to interact socially and conduct business.</w:t>
      </w:r>
    </w:p>
    <w:p>
      <w:pPr>
        <w:pStyle w:val="BodyText"/>
        <w:spacing w:before="8"/>
      </w:pPr>
    </w:p>
    <w:p>
      <w:pPr>
        <w:pStyle w:val="BodyText"/>
        <w:ind w:left="2659" w:right="499" w:hanging="720"/>
      </w:pPr>
      <w:r>
        <w:rPr/>
        <w:t>American Institute of Architect Students / National Organization of Minority Architect Students (AIAS/NOMAS): Our students are very active in the promotion of architecture and the department through their involvement in the AIAS/NOMAS. AIAS has representation at each studio level and has a seat at the faculty meetings to help present and address student concerns to the faculty and play a role in the governance of those issues. They plan full calendar of events for the academic year. Annual activities include Halloween Haunted House, a Homecoming</w:t>
      </w:r>
      <w:r>
        <w:rPr>
          <w:spacing w:val="-5"/>
        </w:rPr>
        <w:t> </w:t>
      </w:r>
      <w:r>
        <w:rPr/>
        <w:t>Float,</w:t>
      </w:r>
      <w:r>
        <w:rPr>
          <w:spacing w:val="-5"/>
        </w:rPr>
        <w:t> </w:t>
      </w:r>
      <w:r>
        <w:rPr/>
        <w:t>Mr.</w:t>
      </w:r>
      <w:r>
        <w:rPr>
          <w:spacing w:val="-3"/>
        </w:rPr>
        <w:t> </w:t>
      </w:r>
      <w:r>
        <w:rPr/>
        <w:t>&amp;</w:t>
      </w:r>
      <w:r>
        <w:rPr>
          <w:spacing w:val="-3"/>
        </w:rPr>
        <w:t> </w:t>
      </w:r>
      <w:r>
        <w:rPr/>
        <w:t>Ms.</w:t>
      </w:r>
      <w:r>
        <w:rPr>
          <w:spacing w:val="-5"/>
        </w:rPr>
        <w:t> </w:t>
      </w:r>
      <w:r>
        <w:rPr/>
        <w:t>Architecture,</w:t>
      </w:r>
      <w:r>
        <w:rPr>
          <w:spacing w:val="-3"/>
        </w:rPr>
        <w:t> </w:t>
      </w:r>
      <w:r>
        <w:rPr/>
        <w:t>a</w:t>
      </w:r>
      <w:r>
        <w:rPr>
          <w:spacing w:val="-5"/>
        </w:rPr>
        <w:t> </w:t>
      </w:r>
      <w:r>
        <w:rPr/>
        <w:t>Valentine’s</w:t>
      </w:r>
      <w:r>
        <w:rPr>
          <w:spacing w:val="-4"/>
        </w:rPr>
        <w:t> </w:t>
      </w:r>
      <w:r>
        <w:rPr/>
        <w:t>Day</w:t>
      </w:r>
      <w:r>
        <w:rPr>
          <w:spacing w:val="-5"/>
        </w:rPr>
        <w:t> </w:t>
      </w:r>
      <w:r>
        <w:rPr/>
        <w:t>Party</w:t>
      </w:r>
      <w:r>
        <w:rPr>
          <w:spacing w:val="-7"/>
        </w:rPr>
        <w:t> </w:t>
      </w:r>
      <w:r>
        <w:rPr/>
        <w:t>and</w:t>
      </w:r>
      <w:r>
        <w:rPr>
          <w:spacing w:val="-3"/>
        </w:rPr>
        <w:t> </w:t>
      </w:r>
      <w:r>
        <w:rPr/>
        <w:t>Architect </w:t>
      </w:r>
      <w:r>
        <w:rPr>
          <w:spacing w:val="-2"/>
        </w:rPr>
        <w:t>Barbie.</w:t>
      </w:r>
    </w:p>
    <w:p>
      <w:pPr>
        <w:pStyle w:val="BodyText"/>
        <w:rPr>
          <w:sz w:val="21"/>
        </w:rPr>
      </w:pPr>
    </w:p>
    <w:p>
      <w:pPr>
        <w:pStyle w:val="BodyText"/>
        <w:spacing w:before="1"/>
        <w:ind w:left="2659" w:right="705"/>
      </w:pPr>
      <w:r>
        <w:rPr/>
        <w:t>This year</w:t>
      </w:r>
      <w:r>
        <w:rPr>
          <w:spacing w:val="-3"/>
        </w:rPr>
        <w:t> </w:t>
      </w:r>
      <w:r>
        <w:rPr/>
        <w:t>the</w:t>
      </w:r>
      <w:r>
        <w:rPr>
          <w:spacing w:val="-4"/>
        </w:rPr>
        <w:t> </w:t>
      </w:r>
      <w:r>
        <w:rPr/>
        <w:t>student</w:t>
      </w:r>
      <w:r>
        <w:rPr>
          <w:spacing w:val="-2"/>
        </w:rPr>
        <w:t> </w:t>
      </w:r>
      <w:r>
        <w:rPr/>
        <w:t>efforts</w:t>
      </w:r>
      <w:r>
        <w:rPr>
          <w:spacing w:val="-3"/>
        </w:rPr>
        <w:t> </w:t>
      </w:r>
      <w:r>
        <w:rPr/>
        <w:t>in</w:t>
      </w:r>
      <w:r>
        <w:rPr>
          <w:spacing w:val="-4"/>
        </w:rPr>
        <w:t> </w:t>
      </w:r>
      <w:r>
        <w:rPr/>
        <w:t>the</w:t>
      </w:r>
      <w:r>
        <w:rPr>
          <w:spacing w:val="-4"/>
        </w:rPr>
        <w:t> </w:t>
      </w:r>
      <w:r>
        <w:rPr/>
        <w:t>Architecture</w:t>
      </w:r>
      <w:r>
        <w:rPr>
          <w:spacing w:val="-4"/>
        </w:rPr>
        <w:t> </w:t>
      </w:r>
      <w:r>
        <w:rPr/>
        <w:t>Barbie</w:t>
      </w:r>
      <w:r>
        <w:rPr>
          <w:spacing w:val="-2"/>
        </w:rPr>
        <w:t> </w:t>
      </w:r>
      <w:r>
        <w:rPr/>
        <w:t>event</w:t>
      </w:r>
      <w:r>
        <w:rPr>
          <w:spacing w:val="-2"/>
        </w:rPr>
        <w:t> </w:t>
      </w:r>
      <w:r>
        <w:rPr/>
        <w:t>was</w:t>
      </w:r>
      <w:r>
        <w:rPr>
          <w:spacing w:val="-3"/>
        </w:rPr>
        <w:t> </w:t>
      </w:r>
      <w:r>
        <w:rPr/>
        <w:t>cited</w:t>
      </w:r>
      <w:r>
        <w:rPr>
          <w:spacing w:val="-4"/>
        </w:rPr>
        <w:t> </w:t>
      </w:r>
      <w:r>
        <w:rPr/>
        <w:t>by</w:t>
      </w:r>
      <w:r>
        <w:rPr>
          <w:spacing w:val="-7"/>
        </w:rPr>
        <w:t> </w:t>
      </w:r>
      <w:r>
        <w:rPr/>
        <w:t>the National AIAS as winner of the 2014 Community Service Award. Dr. W. Henderson serves as faculty advisor to this organization.</w:t>
      </w:r>
    </w:p>
    <w:p>
      <w:pPr>
        <w:pStyle w:val="BodyText"/>
        <w:spacing w:before="8"/>
      </w:pPr>
    </w:p>
    <w:p>
      <w:pPr>
        <w:pStyle w:val="BodyText"/>
        <w:ind w:left="2659" w:right="552" w:hanging="720"/>
      </w:pPr>
      <w:r>
        <w:rPr/>
        <w:t>Tau</w:t>
      </w:r>
      <w:r>
        <w:rPr>
          <w:spacing w:val="-4"/>
        </w:rPr>
        <w:t> </w:t>
      </w:r>
      <w:r>
        <w:rPr/>
        <w:t>Sigma</w:t>
      </w:r>
      <w:r>
        <w:rPr>
          <w:spacing w:val="-4"/>
        </w:rPr>
        <w:t> </w:t>
      </w:r>
      <w:r>
        <w:rPr/>
        <w:t>Delta</w:t>
      </w:r>
      <w:r>
        <w:rPr>
          <w:spacing w:val="-4"/>
        </w:rPr>
        <w:t> </w:t>
      </w:r>
      <w:r>
        <w:rPr/>
        <w:t>National</w:t>
      </w:r>
      <w:r>
        <w:rPr>
          <w:spacing w:val="-3"/>
        </w:rPr>
        <w:t> </w:t>
      </w:r>
      <w:r>
        <w:rPr/>
        <w:t>Honor</w:t>
      </w:r>
      <w:r>
        <w:rPr>
          <w:spacing w:val="-1"/>
        </w:rPr>
        <w:t> </w:t>
      </w:r>
      <w:r>
        <w:rPr/>
        <w:t>Society</w:t>
      </w:r>
      <w:r>
        <w:rPr>
          <w:spacing w:val="-7"/>
        </w:rPr>
        <w:t> </w:t>
      </w:r>
      <w:r>
        <w:rPr/>
        <w:t>(TSD):</w:t>
      </w:r>
      <w:r>
        <w:rPr>
          <w:spacing w:val="-4"/>
        </w:rPr>
        <w:t> </w:t>
      </w:r>
      <w:r>
        <w:rPr/>
        <w:t>Tau</w:t>
      </w:r>
      <w:r>
        <w:rPr>
          <w:spacing w:val="-2"/>
        </w:rPr>
        <w:t> </w:t>
      </w:r>
      <w:r>
        <w:rPr/>
        <w:t>Sigma</w:t>
      </w:r>
      <w:r>
        <w:rPr>
          <w:spacing w:val="-4"/>
        </w:rPr>
        <w:t> </w:t>
      </w:r>
      <w:r>
        <w:rPr/>
        <w:t>Delta</w:t>
      </w:r>
      <w:r>
        <w:rPr>
          <w:spacing w:val="-2"/>
        </w:rPr>
        <w:t> </w:t>
      </w:r>
      <w:r>
        <w:rPr/>
        <w:t>was</w:t>
      </w:r>
      <w:r>
        <w:rPr>
          <w:spacing w:val="-3"/>
        </w:rPr>
        <w:t> </w:t>
      </w:r>
      <w:r>
        <w:rPr/>
        <w:t>organized</w:t>
      </w:r>
      <w:r>
        <w:rPr>
          <w:spacing w:val="-2"/>
        </w:rPr>
        <w:t> </w:t>
      </w:r>
      <w:r>
        <w:rPr/>
        <w:t>in</w:t>
      </w:r>
      <w:r>
        <w:rPr>
          <w:spacing w:val="-2"/>
        </w:rPr>
        <w:t> </w:t>
      </w:r>
      <w:r>
        <w:rPr/>
        <w:t>1913 at the University of Michigan at the suggestion and guidance of the faculty in Architecture and Landscape Design who selected the first group of senior honor students to be the founding members. After three years of trial, the system of elections was extended to other universities. With gradual growth, it became necessary for the best interests of the schools at which chapters became located, to extend elections to honor students who were majoring in a degree in departments allied with Architecture and Landscape Architecture.</w:t>
      </w:r>
    </w:p>
    <w:p>
      <w:pPr>
        <w:pStyle w:val="BodyText"/>
        <w:rPr>
          <w:sz w:val="21"/>
        </w:rPr>
      </w:pPr>
    </w:p>
    <w:p>
      <w:pPr>
        <w:pStyle w:val="BodyText"/>
        <w:ind w:left="2659" w:right="546"/>
      </w:pPr>
      <w:r>
        <w:rPr/>
        <w:t>At</w:t>
      </w:r>
      <w:r>
        <w:rPr>
          <w:spacing w:val="-5"/>
        </w:rPr>
        <w:t> </w:t>
      </w:r>
      <w:r>
        <w:rPr/>
        <w:t>Hampton,</w:t>
      </w:r>
      <w:r>
        <w:rPr>
          <w:spacing w:val="-2"/>
        </w:rPr>
        <w:t> </w:t>
      </w:r>
      <w:r>
        <w:rPr/>
        <w:t>the</w:t>
      </w:r>
      <w:r>
        <w:rPr>
          <w:spacing w:val="-3"/>
        </w:rPr>
        <w:t> </w:t>
      </w:r>
      <w:r>
        <w:rPr/>
        <w:t>Iota</w:t>
      </w:r>
      <w:r>
        <w:rPr>
          <w:spacing w:val="-3"/>
        </w:rPr>
        <w:t> </w:t>
      </w:r>
      <w:r>
        <w:rPr/>
        <w:t>Alpha</w:t>
      </w:r>
      <w:r>
        <w:rPr>
          <w:spacing w:val="-3"/>
        </w:rPr>
        <w:t> </w:t>
      </w:r>
      <w:r>
        <w:rPr/>
        <w:t>chapter</w:t>
      </w:r>
      <w:r>
        <w:rPr>
          <w:spacing w:val="-2"/>
        </w:rPr>
        <w:t> </w:t>
      </w:r>
      <w:r>
        <w:rPr/>
        <w:t>of</w:t>
      </w:r>
      <w:r>
        <w:rPr>
          <w:spacing w:val="-2"/>
        </w:rPr>
        <w:t> </w:t>
      </w:r>
      <w:r>
        <w:rPr/>
        <w:t>this</w:t>
      </w:r>
      <w:r>
        <w:rPr>
          <w:spacing w:val="-4"/>
        </w:rPr>
        <w:t> </w:t>
      </w:r>
      <w:r>
        <w:rPr/>
        <w:t>organization</w:t>
      </w:r>
      <w:r>
        <w:rPr>
          <w:spacing w:val="-5"/>
        </w:rPr>
        <w:t> </w:t>
      </w:r>
      <w:r>
        <w:rPr/>
        <w:t>is</w:t>
      </w:r>
      <w:r>
        <w:rPr>
          <w:spacing w:val="-4"/>
        </w:rPr>
        <w:t> </w:t>
      </w:r>
      <w:r>
        <w:rPr/>
        <w:t>open</w:t>
      </w:r>
      <w:r>
        <w:rPr>
          <w:spacing w:val="-3"/>
        </w:rPr>
        <w:t> </w:t>
      </w:r>
      <w:r>
        <w:rPr/>
        <w:t>to</w:t>
      </w:r>
      <w:r>
        <w:rPr>
          <w:spacing w:val="-5"/>
        </w:rPr>
        <w:t> </w:t>
      </w:r>
      <w:r>
        <w:rPr/>
        <w:t>high</w:t>
      </w:r>
      <w:r>
        <w:rPr>
          <w:spacing w:val="-5"/>
        </w:rPr>
        <w:t> </w:t>
      </w:r>
      <w:r>
        <w:rPr/>
        <w:t>achieving and engaged students within the department of architecture. Under the leadership of Prof. Peronnet, a Hampton Chapter was begun in 2006. They collaborate with AIAS/NOMAS to plan and present activities on campus. This organization is also a key planner of the department’s annual awards program. They select and present the Gold and Silver medal winners to top graduating students and faculty members. They have also been involved in mentoring and tutoring activities. This past year, they inaugurated a knowledge based student competition called “Archi-Challenge”, presenting a series of challenges to the</w:t>
      </w:r>
    </w:p>
    <w:p>
      <w:pPr>
        <w:spacing w:after="0"/>
        <w:sectPr>
          <w:headerReference w:type="default" r:id="rId30"/>
          <w:footerReference w:type="default" r:id="rId31"/>
          <w:pgSz w:w="12240" w:h="15840"/>
          <w:pgMar w:header="0" w:footer="974" w:top="1360" w:bottom="1160" w:left="940" w:right="960"/>
        </w:sectPr>
      </w:pPr>
    </w:p>
    <w:p>
      <w:pPr>
        <w:pStyle w:val="BodyText"/>
        <w:spacing w:before="77"/>
        <w:ind w:left="2660"/>
      </w:pPr>
      <w:r>
        <w:rPr/>
        <w:t>students</w:t>
      </w:r>
      <w:r>
        <w:rPr>
          <w:spacing w:val="-2"/>
        </w:rPr>
        <w:t> </w:t>
      </w:r>
      <w:r>
        <w:rPr/>
        <w:t>and</w:t>
      </w:r>
      <w:r>
        <w:rPr>
          <w:spacing w:val="-6"/>
        </w:rPr>
        <w:t> </w:t>
      </w:r>
      <w:r>
        <w:rPr/>
        <w:t>faculty</w:t>
      </w:r>
      <w:r>
        <w:rPr>
          <w:spacing w:val="-6"/>
        </w:rPr>
        <w:t> </w:t>
      </w:r>
      <w:r>
        <w:rPr/>
        <w:t>during</w:t>
      </w:r>
      <w:r>
        <w:rPr>
          <w:spacing w:val="-4"/>
        </w:rPr>
        <w:t> </w:t>
      </w:r>
      <w:r>
        <w:rPr/>
        <w:t>full</w:t>
      </w:r>
      <w:r>
        <w:rPr>
          <w:spacing w:val="-6"/>
        </w:rPr>
        <w:t> </w:t>
      </w:r>
      <w:r>
        <w:rPr/>
        <w:t>department</w:t>
      </w:r>
      <w:r>
        <w:rPr>
          <w:spacing w:val="-6"/>
        </w:rPr>
        <w:t> </w:t>
      </w:r>
      <w:r>
        <w:rPr/>
        <w:t>assemblies.</w:t>
      </w:r>
      <w:r>
        <w:rPr>
          <w:spacing w:val="-6"/>
        </w:rPr>
        <w:t> </w:t>
      </w:r>
      <w:r>
        <w:rPr/>
        <w:t>Prof.</w:t>
      </w:r>
      <w:r>
        <w:rPr>
          <w:spacing w:val="-6"/>
        </w:rPr>
        <w:t> </w:t>
      </w:r>
      <w:r>
        <w:rPr/>
        <w:t>Peronnet</w:t>
      </w:r>
      <w:r>
        <w:rPr>
          <w:spacing w:val="-6"/>
        </w:rPr>
        <w:t> </w:t>
      </w:r>
      <w:r>
        <w:rPr/>
        <w:t>serves</w:t>
      </w:r>
      <w:r>
        <w:rPr>
          <w:spacing w:val="-2"/>
        </w:rPr>
        <w:t> </w:t>
      </w:r>
      <w:r>
        <w:rPr/>
        <w:t>as advisor to this organization.</w:t>
      </w:r>
    </w:p>
    <w:p>
      <w:pPr>
        <w:pStyle w:val="BodyText"/>
        <w:spacing w:before="11"/>
      </w:pPr>
    </w:p>
    <w:p>
      <w:pPr>
        <w:pStyle w:val="BodyText"/>
        <w:ind w:left="2659" w:right="499" w:hanging="720"/>
      </w:pPr>
      <w:r>
        <w:rPr/>
        <w:t>American Society of Military Engineers (ASME): This organization provides scholarships and outreach to students who have military career aspirations. Many of our students have ROTC scholarships and others are involved with the ROTC as a career</w:t>
      </w:r>
      <w:r>
        <w:rPr>
          <w:spacing w:val="-4"/>
        </w:rPr>
        <w:t> </w:t>
      </w:r>
      <w:r>
        <w:rPr/>
        <w:t>option.</w:t>
      </w:r>
      <w:r>
        <w:rPr>
          <w:spacing w:val="-5"/>
        </w:rPr>
        <w:t> </w:t>
      </w:r>
      <w:r>
        <w:rPr/>
        <w:t>ASME</w:t>
      </w:r>
      <w:r>
        <w:rPr>
          <w:spacing w:val="-6"/>
        </w:rPr>
        <w:t> </w:t>
      </w:r>
      <w:r>
        <w:rPr/>
        <w:t>embraces</w:t>
      </w:r>
      <w:r>
        <w:rPr>
          <w:spacing w:val="-4"/>
        </w:rPr>
        <w:t> </w:t>
      </w:r>
      <w:r>
        <w:rPr/>
        <w:t>architecture</w:t>
      </w:r>
      <w:r>
        <w:rPr>
          <w:spacing w:val="-5"/>
        </w:rPr>
        <w:t> </w:t>
      </w:r>
      <w:r>
        <w:rPr/>
        <w:t>students</w:t>
      </w:r>
      <w:r>
        <w:rPr>
          <w:spacing w:val="-4"/>
        </w:rPr>
        <w:t> </w:t>
      </w:r>
      <w:r>
        <w:rPr/>
        <w:t>in</w:t>
      </w:r>
      <w:r>
        <w:rPr>
          <w:spacing w:val="-5"/>
        </w:rPr>
        <w:t> </w:t>
      </w:r>
      <w:r>
        <w:rPr/>
        <w:t>a</w:t>
      </w:r>
      <w:r>
        <w:rPr>
          <w:spacing w:val="-5"/>
        </w:rPr>
        <w:t> </w:t>
      </w:r>
      <w:r>
        <w:rPr/>
        <w:t>collaboration</w:t>
      </w:r>
      <w:r>
        <w:rPr>
          <w:spacing w:val="-3"/>
        </w:rPr>
        <w:t> </w:t>
      </w:r>
      <w:r>
        <w:rPr/>
        <w:t>with</w:t>
      </w:r>
      <w:r>
        <w:rPr>
          <w:spacing w:val="-5"/>
        </w:rPr>
        <w:t> </w:t>
      </w:r>
      <w:r>
        <w:rPr/>
        <w:t>other engineering students.</w:t>
      </w:r>
    </w:p>
    <w:p>
      <w:pPr>
        <w:pStyle w:val="BodyText"/>
        <w:spacing w:before="9"/>
      </w:pPr>
    </w:p>
    <w:p>
      <w:pPr>
        <w:pStyle w:val="BodyText"/>
        <w:spacing w:before="1"/>
        <w:ind w:left="499"/>
      </w:pPr>
      <w:r>
        <w:rPr/>
        <w:t>Student</w:t>
      </w:r>
      <w:r>
        <w:rPr>
          <w:spacing w:val="-9"/>
        </w:rPr>
        <w:t> </w:t>
      </w:r>
      <w:r>
        <w:rPr/>
        <w:t>Research</w:t>
      </w:r>
      <w:r>
        <w:rPr>
          <w:spacing w:val="-11"/>
        </w:rPr>
        <w:t> </w:t>
      </w:r>
      <w:r>
        <w:rPr>
          <w:spacing w:val="-2"/>
        </w:rPr>
        <w:t>Opportunities</w:t>
      </w:r>
    </w:p>
    <w:p>
      <w:pPr>
        <w:pStyle w:val="BodyText"/>
        <w:spacing w:before="10"/>
      </w:pPr>
    </w:p>
    <w:p>
      <w:pPr>
        <w:pStyle w:val="BodyText"/>
        <w:ind w:left="1723" w:right="580"/>
      </w:pPr>
      <w:r>
        <w:rPr/>
        <w:t>There are multiple opportunities for students to be engaged in research. As a Masters degree</w:t>
      </w:r>
      <w:r>
        <w:rPr>
          <w:spacing w:val="-4"/>
        </w:rPr>
        <w:t> </w:t>
      </w:r>
      <w:r>
        <w:rPr/>
        <w:t>program,</w:t>
      </w:r>
      <w:r>
        <w:rPr>
          <w:spacing w:val="-4"/>
        </w:rPr>
        <w:t> </w:t>
      </w:r>
      <w:r>
        <w:rPr/>
        <w:t>the</w:t>
      </w:r>
      <w:r>
        <w:rPr>
          <w:spacing w:val="-4"/>
        </w:rPr>
        <w:t> </w:t>
      </w:r>
      <w:r>
        <w:rPr/>
        <w:t>most</w:t>
      </w:r>
      <w:r>
        <w:rPr>
          <w:spacing w:val="-6"/>
        </w:rPr>
        <w:t> </w:t>
      </w:r>
      <w:r>
        <w:rPr/>
        <w:t>obvious</w:t>
      </w:r>
      <w:r>
        <w:rPr>
          <w:spacing w:val="-3"/>
        </w:rPr>
        <w:t> </w:t>
      </w:r>
      <w:r>
        <w:rPr/>
        <w:t>opportunity</w:t>
      </w:r>
      <w:r>
        <w:rPr>
          <w:spacing w:val="-7"/>
        </w:rPr>
        <w:t> </w:t>
      </w:r>
      <w:r>
        <w:rPr/>
        <w:t>is in</w:t>
      </w:r>
      <w:r>
        <w:rPr>
          <w:spacing w:val="-4"/>
        </w:rPr>
        <w:t> </w:t>
      </w:r>
      <w:r>
        <w:rPr/>
        <w:t>the</w:t>
      </w:r>
      <w:r>
        <w:rPr>
          <w:spacing w:val="-4"/>
        </w:rPr>
        <w:t> </w:t>
      </w:r>
      <w:r>
        <w:rPr/>
        <w:t>culminating</w:t>
      </w:r>
      <w:r>
        <w:rPr>
          <w:spacing w:val="-4"/>
        </w:rPr>
        <w:t> </w:t>
      </w:r>
      <w:r>
        <w:rPr/>
        <w:t>thesis work done</w:t>
      </w:r>
      <w:r>
        <w:rPr>
          <w:spacing w:val="-2"/>
        </w:rPr>
        <w:t> </w:t>
      </w:r>
      <w:r>
        <w:rPr/>
        <w:t>in</w:t>
      </w:r>
      <w:r>
        <w:rPr>
          <w:spacing w:val="-4"/>
        </w:rPr>
        <w:t> </w:t>
      </w:r>
      <w:r>
        <w:rPr/>
        <w:t>the fifth year. However, there are other opportunities where research, including design research, is introduced.</w:t>
      </w:r>
    </w:p>
    <w:p>
      <w:pPr>
        <w:pStyle w:val="BodyText"/>
        <w:spacing w:before="9"/>
      </w:pPr>
    </w:p>
    <w:p>
      <w:pPr>
        <w:pStyle w:val="BodyText"/>
        <w:ind w:left="1932" w:right="499" w:hanging="1"/>
      </w:pPr>
      <w:r>
        <w:rPr/>
        <w:t>Fourth year</w:t>
      </w:r>
      <w:r>
        <w:rPr>
          <w:spacing w:val="-3"/>
        </w:rPr>
        <w:t> </w:t>
      </w:r>
      <w:r>
        <w:rPr/>
        <w:t>Design</w:t>
      </w:r>
      <w:r>
        <w:rPr>
          <w:spacing w:val="-4"/>
        </w:rPr>
        <w:t> </w:t>
      </w:r>
      <w:r>
        <w:rPr/>
        <w:t>Studio:</w:t>
      </w:r>
      <w:r>
        <w:rPr>
          <w:spacing w:val="-2"/>
        </w:rPr>
        <w:t> </w:t>
      </w:r>
      <w:r>
        <w:rPr/>
        <w:t>As</w:t>
      </w:r>
      <w:r>
        <w:rPr>
          <w:spacing w:val="-3"/>
        </w:rPr>
        <w:t> </w:t>
      </w:r>
      <w:r>
        <w:rPr/>
        <w:t>part</w:t>
      </w:r>
      <w:r>
        <w:rPr>
          <w:spacing w:val="-2"/>
        </w:rPr>
        <w:t> </w:t>
      </w:r>
      <w:r>
        <w:rPr/>
        <w:t>of</w:t>
      </w:r>
      <w:r>
        <w:rPr>
          <w:spacing w:val="-2"/>
        </w:rPr>
        <w:t> </w:t>
      </w:r>
      <w:r>
        <w:rPr/>
        <w:t>the</w:t>
      </w:r>
      <w:r>
        <w:rPr>
          <w:spacing w:val="-4"/>
        </w:rPr>
        <w:t> </w:t>
      </w:r>
      <w:r>
        <w:rPr/>
        <w:t>4</w:t>
      </w:r>
      <w:r>
        <w:rPr>
          <w:vertAlign w:val="superscript"/>
        </w:rPr>
        <w:t>th</w:t>
      </w:r>
      <w:r>
        <w:rPr>
          <w:spacing w:val="-2"/>
          <w:vertAlign w:val="baseline"/>
        </w:rPr>
        <w:t> </w:t>
      </w:r>
      <w:r>
        <w:rPr>
          <w:vertAlign w:val="baseline"/>
        </w:rPr>
        <w:t>year</w:t>
      </w:r>
      <w:r>
        <w:rPr>
          <w:spacing w:val="-3"/>
          <w:vertAlign w:val="baseline"/>
        </w:rPr>
        <w:t> </w:t>
      </w:r>
      <w:r>
        <w:rPr>
          <w:vertAlign w:val="baseline"/>
        </w:rPr>
        <w:t>design</w:t>
      </w:r>
      <w:r>
        <w:rPr>
          <w:spacing w:val="-4"/>
          <w:vertAlign w:val="baseline"/>
        </w:rPr>
        <w:t> </w:t>
      </w:r>
      <w:r>
        <w:rPr>
          <w:vertAlign w:val="baseline"/>
        </w:rPr>
        <w:t>studio,</w:t>
      </w:r>
      <w:r>
        <w:rPr>
          <w:spacing w:val="-4"/>
          <w:vertAlign w:val="baseline"/>
        </w:rPr>
        <w:t> </w:t>
      </w:r>
      <w:r>
        <w:rPr>
          <w:vertAlign w:val="baseline"/>
        </w:rPr>
        <w:t>students</w:t>
      </w:r>
      <w:r>
        <w:rPr>
          <w:spacing w:val="-3"/>
          <w:vertAlign w:val="baseline"/>
        </w:rPr>
        <w:t> </w:t>
      </w:r>
      <w:r>
        <w:rPr>
          <w:vertAlign w:val="baseline"/>
        </w:rPr>
        <w:t>are</w:t>
      </w:r>
      <w:r>
        <w:rPr>
          <w:spacing w:val="-4"/>
          <w:vertAlign w:val="baseline"/>
        </w:rPr>
        <w:t> </w:t>
      </w:r>
      <w:r>
        <w:rPr>
          <w:vertAlign w:val="baseline"/>
        </w:rPr>
        <w:t>required</w:t>
      </w:r>
      <w:r>
        <w:rPr>
          <w:spacing w:val="-4"/>
          <w:vertAlign w:val="baseline"/>
        </w:rPr>
        <w:t> </w:t>
      </w:r>
      <w:r>
        <w:rPr>
          <w:vertAlign w:val="baseline"/>
        </w:rPr>
        <w:t>to do project related research in the areas of building code research, program research, systems research, and LEED strategy research.</w:t>
      </w:r>
    </w:p>
    <w:p>
      <w:pPr>
        <w:pStyle w:val="BodyText"/>
        <w:spacing w:before="9"/>
      </w:pPr>
    </w:p>
    <w:p>
      <w:pPr>
        <w:pStyle w:val="BodyText"/>
        <w:ind w:left="1940" w:right="705"/>
      </w:pPr>
      <w:r>
        <w:rPr/>
        <w:t>Fifth Year Design Research Thesis: The Design Research Thesis sequence includes three</w:t>
      </w:r>
      <w:r>
        <w:rPr>
          <w:spacing w:val="-5"/>
        </w:rPr>
        <w:t> </w:t>
      </w:r>
      <w:r>
        <w:rPr/>
        <w:t>courses:</w:t>
      </w:r>
      <w:r>
        <w:rPr>
          <w:spacing w:val="-3"/>
        </w:rPr>
        <w:t> </w:t>
      </w:r>
      <w:r>
        <w:rPr/>
        <w:t>ARC</w:t>
      </w:r>
      <w:r>
        <w:rPr>
          <w:spacing w:val="-2"/>
        </w:rPr>
        <w:t> </w:t>
      </w:r>
      <w:r>
        <w:rPr/>
        <w:t>601/602</w:t>
      </w:r>
      <w:r>
        <w:rPr>
          <w:spacing w:val="-5"/>
        </w:rPr>
        <w:t> </w:t>
      </w:r>
      <w:r>
        <w:rPr/>
        <w:t>Thesis</w:t>
      </w:r>
      <w:r>
        <w:rPr>
          <w:spacing w:val="-4"/>
        </w:rPr>
        <w:t> </w:t>
      </w:r>
      <w:r>
        <w:rPr/>
        <w:t>Studio</w:t>
      </w:r>
      <w:r>
        <w:rPr>
          <w:spacing w:val="-3"/>
        </w:rPr>
        <w:t> </w:t>
      </w:r>
      <w:r>
        <w:rPr/>
        <w:t>I/II,</w:t>
      </w:r>
      <w:r>
        <w:rPr>
          <w:spacing w:val="-3"/>
        </w:rPr>
        <w:t> </w:t>
      </w:r>
      <w:r>
        <w:rPr/>
        <w:t>and</w:t>
      </w:r>
      <w:r>
        <w:rPr>
          <w:spacing w:val="-5"/>
        </w:rPr>
        <w:t> </w:t>
      </w:r>
      <w:r>
        <w:rPr/>
        <w:t>ARC</w:t>
      </w:r>
      <w:r>
        <w:rPr>
          <w:spacing w:val="-5"/>
        </w:rPr>
        <w:t> </w:t>
      </w:r>
      <w:r>
        <w:rPr/>
        <w:t>617</w:t>
      </w:r>
      <w:r>
        <w:rPr>
          <w:spacing w:val="-3"/>
        </w:rPr>
        <w:t> </w:t>
      </w:r>
      <w:r>
        <w:rPr/>
        <w:t>Readings</w:t>
      </w:r>
      <w:r>
        <w:rPr>
          <w:spacing w:val="-4"/>
        </w:rPr>
        <w:t> </w:t>
      </w:r>
      <w:r>
        <w:rPr/>
        <w:t>in</w:t>
      </w:r>
      <w:r>
        <w:rPr>
          <w:spacing w:val="-5"/>
        </w:rPr>
        <w:t> </w:t>
      </w:r>
      <w:r>
        <w:rPr/>
        <w:t>Architectural Theory. These courses must be taken in the Department of Architecture at Hampton University. No transfer credits will be considered.</w:t>
      </w:r>
    </w:p>
    <w:p>
      <w:pPr>
        <w:pStyle w:val="BodyText"/>
        <w:rPr>
          <w:sz w:val="21"/>
        </w:rPr>
      </w:pPr>
    </w:p>
    <w:p>
      <w:pPr>
        <w:pStyle w:val="BodyText"/>
        <w:ind w:left="1932" w:right="506"/>
      </w:pPr>
      <w:r>
        <w:rPr/>
        <w:t>In the 2nd semester of the Thesis Studio, students will select a thesis advisor in consultation with the studio instructor. The studio instructor(s) and the student's thesis advisor will provide guidance through the completion of the thesis. The studio</w:t>
      </w:r>
      <w:r>
        <w:rPr>
          <w:spacing w:val="40"/>
        </w:rPr>
        <w:t> </w:t>
      </w:r>
      <w:r>
        <w:rPr/>
        <w:t>instructor(s)</w:t>
      </w:r>
      <w:r>
        <w:rPr>
          <w:spacing w:val="-4"/>
        </w:rPr>
        <w:t> </w:t>
      </w:r>
      <w:r>
        <w:rPr/>
        <w:t>in</w:t>
      </w:r>
      <w:r>
        <w:rPr>
          <w:spacing w:val="-5"/>
        </w:rPr>
        <w:t> </w:t>
      </w:r>
      <w:r>
        <w:rPr/>
        <w:t>consultation</w:t>
      </w:r>
      <w:r>
        <w:rPr>
          <w:spacing w:val="-3"/>
        </w:rPr>
        <w:t> </w:t>
      </w:r>
      <w:r>
        <w:rPr/>
        <w:t>with</w:t>
      </w:r>
      <w:r>
        <w:rPr>
          <w:spacing w:val="-3"/>
        </w:rPr>
        <w:t> </w:t>
      </w:r>
      <w:r>
        <w:rPr/>
        <w:t>the</w:t>
      </w:r>
      <w:r>
        <w:rPr>
          <w:spacing w:val="-3"/>
        </w:rPr>
        <w:t> </w:t>
      </w:r>
      <w:r>
        <w:rPr/>
        <w:t>thesis</w:t>
      </w:r>
      <w:r>
        <w:rPr>
          <w:spacing w:val="-1"/>
        </w:rPr>
        <w:t> </w:t>
      </w:r>
      <w:r>
        <w:rPr/>
        <w:t>advisor</w:t>
      </w:r>
      <w:r>
        <w:rPr>
          <w:spacing w:val="-2"/>
        </w:rPr>
        <w:t> </w:t>
      </w:r>
      <w:r>
        <w:rPr/>
        <w:t>will</w:t>
      </w:r>
      <w:r>
        <w:rPr>
          <w:spacing w:val="-4"/>
        </w:rPr>
        <w:t> </w:t>
      </w:r>
      <w:r>
        <w:rPr/>
        <w:t>decide</w:t>
      </w:r>
      <w:r>
        <w:rPr>
          <w:spacing w:val="-5"/>
        </w:rPr>
        <w:t> </w:t>
      </w:r>
      <w:r>
        <w:rPr/>
        <w:t>if</w:t>
      </w:r>
      <w:r>
        <w:rPr>
          <w:spacing w:val="-3"/>
        </w:rPr>
        <w:t> </w:t>
      </w:r>
      <w:r>
        <w:rPr/>
        <w:t>the work</w:t>
      </w:r>
      <w:r>
        <w:rPr>
          <w:spacing w:val="-1"/>
        </w:rPr>
        <w:t> </w:t>
      </w:r>
      <w:r>
        <w:rPr/>
        <w:t>is</w:t>
      </w:r>
      <w:r>
        <w:rPr>
          <w:spacing w:val="-4"/>
        </w:rPr>
        <w:t> </w:t>
      </w:r>
      <w:r>
        <w:rPr/>
        <w:t>satisfactory</w:t>
      </w:r>
      <w:r>
        <w:rPr>
          <w:spacing w:val="-8"/>
        </w:rPr>
        <w:t> </w:t>
      </w:r>
      <w:r>
        <w:rPr/>
        <w:t>for passing. The thesis studio(s) instructor, based on the criteria established in the course syllabus, will determine the final letter grade.</w:t>
      </w:r>
    </w:p>
    <w:p>
      <w:pPr>
        <w:pStyle w:val="BodyText"/>
        <w:spacing w:before="11"/>
      </w:pPr>
    </w:p>
    <w:p>
      <w:pPr>
        <w:pStyle w:val="BodyText"/>
        <w:ind w:left="1932" w:right="499"/>
      </w:pPr>
      <w:r>
        <w:rPr/>
        <w:t>The</w:t>
      </w:r>
      <w:r>
        <w:rPr>
          <w:spacing w:val="-4"/>
        </w:rPr>
        <w:t> </w:t>
      </w:r>
      <w:r>
        <w:rPr/>
        <w:t>Department's</w:t>
      </w:r>
      <w:r>
        <w:rPr>
          <w:spacing w:val="-3"/>
        </w:rPr>
        <w:t> </w:t>
      </w:r>
      <w:r>
        <w:rPr/>
        <w:t>entire</w:t>
      </w:r>
      <w:r>
        <w:rPr>
          <w:spacing w:val="-2"/>
        </w:rPr>
        <w:t> </w:t>
      </w:r>
      <w:r>
        <w:rPr/>
        <w:t>faculty</w:t>
      </w:r>
      <w:r>
        <w:rPr>
          <w:spacing w:val="-5"/>
        </w:rPr>
        <w:t> </w:t>
      </w:r>
      <w:r>
        <w:rPr/>
        <w:t>will</w:t>
      </w:r>
      <w:r>
        <w:rPr>
          <w:spacing w:val="-5"/>
        </w:rPr>
        <w:t> </w:t>
      </w:r>
      <w:r>
        <w:rPr/>
        <w:t>review</w:t>
      </w:r>
      <w:r>
        <w:rPr>
          <w:spacing w:val="-4"/>
        </w:rPr>
        <w:t> </w:t>
      </w:r>
      <w:r>
        <w:rPr/>
        <w:t>all</w:t>
      </w:r>
      <w:r>
        <w:rPr>
          <w:spacing w:val="-5"/>
        </w:rPr>
        <w:t> </w:t>
      </w:r>
      <w:r>
        <w:rPr/>
        <w:t>thesis work at</w:t>
      </w:r>
      <w:r>
        <w:rPr>
          <w:spacing w:val="-6"/>
        </w:rPr>
        <w:t> </w:t>
      </w:r>
      <w:r>
        <w:rPr/>
        <w:t>midterms,</w:t>
      </w:r>
      <w:r>
        <w:rPr>
          <w:spacing w:val="-4"/>
        </w:rPr>
        <w:t> </w:t>
      </w:r>
      <w:r>
        <w:rPr/>
        <w:t>and</w:t>
      </w:r>
      <w:r>
        <w:rPr>
          <w:spacing w:val="-4"/>
        </w:rPr>
        <w:t> </w:t>
      </w:r>
      <w:r>
        <w:rPr/>
        <w:t>at</w:t>
      </w:r>
      <w:r>
        <w:rPr>
          <w:spacing w:val="-2"/>
        </w:rPr>
        <w:t> </w:t>
      </w:r>
      <w:r>
        <w:rPr/>
        <w:t>the</w:t>
      </w:r>
      <w:r>
        <w:rPr>
          <w:spacing w:val="-2"/>
        </w:rPr>
        <w:t> </w:t>
      </w:r>
      <w:r>
        <w:rPr/>
        <w:t>end</w:t>
      </w:r>
      <w:r>
        <w:rPr>
          <w:spacing w:val="-2"/>
        </w:rPr>
        <w:t> </w:t>
      </w:r>
      <w:r>
        <w:rPr/>
        <w:t>of the</w:t>
      </w:r>
      <w:r>
        <w:rPr>
          <w:spacing w:val="-3"/>
        </w:rPr>
        <w:t> </w:t>
      </w:r>
      <w:r>
        <w:rPr/>
        <w:t>Thesis</w:t>
      </w:r>
      <w:r>
        <w:rPr>
          <w:spacing w:val="-2"/>
        </w:rPr>
        <w:t> </w:t>
      </w:r>
      <w:r>
        <w:rPr/>
        <w:t>Studio's</w:t>
      </w:r>
      <w:r>
        <w:rPr>
          <w:spacing w:val="-2"/>
        </w:rPr>
        <w:t> </w:t>
      </w:r>
      <w:r>
        <w:rPr/>
        <w:t>Fall</w:t>
      </w:r>
      <w:r>
        <w:rPr>
          <w:spacing w:val="-4"/>
        </w:rPr>
        <w:t> </w:t>
      </w:r>
      <w:r>
        <w:rPr/>
        <w:t>and</w:t>
      </w:r>
      <w:r>
        <w:rPr>
          <w:spacing w:val="-1"/>
        </w:rPr>
        <w:t> </w:t>
      </w:r>
      <w:r>
        <w:rPr/>
        <w:t>Spring</w:t>
      </w:r>
      <w:r>
        <w:rPr>
          <w:spacing w:val="-3"/>
        </w:rPr>
        <w:t> </w:t>
      </w:r>
      <w:r>
        <w:rPr/>
        <w:t>semesters.</w:t>
      </w:r>
      <w:r>
        <w:rPr>
          <w:spacing w:val="-3"/>
        </w:rPr>
        <w:t> </w:t>
      </w:r>
      <w:r>
        <w:rPr/>
        <w:t>After</w:t>
      </w:r>
      <w:r>
        <w:rPr>
          <w:spacing w:val="-2"/>
        </w:rPr>
        <w:t> </w:t>
      </w:r>
      <w:r>
        <w:rPr/>
        <w:t>the</w:t>
      </w:r>
      <w:r>
        <w:rPr>
          <w:spacing w:val="-3"/>
        </w:rPr>
        <w:t> </w:t>
      </w:r>
      <w:r>
        <w:rPr/>
        <w:t>final</w:t>
      </w:r>
      <w:r>
        <w:rPr>
          <w:spacing w:val="-2"/>
        </w:rPr>
        <w:t> </w:t>
      </w:r>
      <w:r>
        <w:rPr/>
        <w:t>thesis</w:t>
      </w:r>
      <w:r>
        <w:rPr>
          <w:spacing w:val="-2"/>
        </w:rPr>
        <w:t> </w:t>
      </w:r>
      <w:r>
        <w:rPr/>
        <w:t>review</w:t>
      </w:r>
      <w:r>
        <w:rPr>
          <w:spacing w:val="-3"/>
        </w:rPr>
        <w:t> </w:t>
      </w:r>
      <w:r>
        <w:rPr/>
        <w:t>in</w:t>
      </w:r>
      <w:r>
        <w:rPr>
          <w:spacing w:val="-1"/>
        </w:rPr>
        <w:t> </w:t>
      </w:r>
      <w:r>
        <w:rPr/>
        <w:t>the</w:t>
      </w:r>
      <w:r>
        <w:rPr>
          <w:spacing w:val="-1"/>
        </w:rPr>
        <w:t> </w:t>
      </w:r>
      <w:r>
        <w:rPr/>
        <w:t>Spring semester, the faculty will meet to select the work most deserving to receive the "Best Thesis" award.</w:t>
      </w:r>
    </w:p>
    <w:p>
      <w:pPr>
        <w:pStyle w:val="BodyText"/>
        <w:spacing w:before="9"/>
      </w:pPr>
    </w:p>
    <w:p>
      <w:pPr>
        <w:pStyle w:val="BodyText"/>
        <w:ind w:left="500"/>
      </w:pPr>
      <w:r>
        <w:rPr/>
        <w:t>Support</w:t>
      </w:r>
      <w:r>
        <w:rPr>
          <w:spacing w:val="-7"/>
        </w:rPr>
        <w:t> </w:t>
      </w:r>
      <w:r>
        <w:rPr/>
        <w:t>to</w:t>
      </w:r>
      <w:r>
        <w:rPr>
          <w:spacing w:val="-6"/>
        </w:rPr>
        <w:t> </w:t>
      </w:r>
      <w:r>
        <w:rPr/>
        <w:t>attend</w:t>
      </w:r>
      <w:r>
        <w:rPr>
          <w:spacing w:val="-5"/>
        </w:rPr>
        <w:t> </w:t>
      </w:r>
      <w:r>
        <w:rPr>
          <w:spacing w:val="-2"/>
        </w:rPr>
        <w:t>meetings</w:t>
      </w:r>
    </w:p>
    <w:p>
      <w:pPr>
        <w:pStyle w:val="BodyText"/>
        <w:spacing w:line="470" w:lineRule="atLeast" w:before="1"/>
        <w:ind w:left="1939" w:right="705" w:hanging="216"/>
      </w:pPr>
      <w:r>
        <w:rPr/>
        <w:t>There</w:t>
      </w:r>
      <w:r>
        <w:rPr>
          <w:spacing w:val="-4"/>
        </w:rPr>
        <w:t> </w:t>
      </w:r>
      <w:r>
        <w:rPr/>
        <w:t>are</w:t>
      </w:r>
      <w:r>
        <w:rPr>
          <w:spacing w:val="-4"/>
        </w:rPr>
        <w:t> </w:t>
      </w:r>
      <w:r>
        <w:rPr/>
        <w:t>multiple</w:t>
      </w:r>
      <w:r>
        <w:rPr>
          <w:spacing w:val="-4"/>
        </w:rPr>
        <w:t> </w:t>
      </w:r>
      <w:r>
        <w:rPr/>
        <w:t>conferences</w:t>
      </w:r>
      <w:r>
        <w:rPr>
          <w:spacing w:val="-3"/>
        </w:rPr>
        <w:t> </w:t>
      </w:r>
      <w:r>
        <w:rPr/>
        <w:t>that</w:t>
      </w:r>
      <w:r>
        <w:rPr>
          <w:spacing w:val="-4"/>
        </w:rPr>
        <w:t> </w:t>
      </w:r>
      <w:r>
        <w:rPr/>
        <w:t>are</w:t>
      </w:r>
      <w:r>
        <w:rPr>
          <w:spacing w:val="-2"/>
        </w:rPr>
        <w:t> </w:t>
      </w:r>
      <w:r>
        <w:rPr/>
        <w:t>supported</w:t>
      </w:r>
      <w:r>
        <w:rPr>
          <w:spacing w:val="-4"/>
        </w:rPr>
        <w:t> </w:t>
      </w:r>
      <w:r>
        <w:rPr/>
        <w:t>financially</w:t>
      </w:r>
      <w:r>
        <w:rPr>
          <w:spacing w:val="-7"/>
        </w:rPr>
        <w:t> </w:t>
      </w:r>
      <w:r>
        <w:rPr/>
        <w:t>for</w:t>
      </w:r>
      <w:r>
        <w:rPr>
          <w:spacing w:val="-3"/>
        </w:rPr>
        <w:t> </w:t>
      </w:r>
      <w:r>
        <w:rPr/>
        <w:t>students.</w:t>
      </w:r>
      <w:r>
        <w:rPr>
          <w:spacing w:val="-4"/>
        </w:rPr>
        <w:t> </w:t>
      </w:r>
      <w:r>
        <w:rPr/>
        <w:t>They</w:t>
      </w:r>
      <w:r>
        <w:rPr>
          <w:spacing w:val="-7"/>
        </w:rPr>
        <w:t> </w:t>
      </w:r>
      <w:r>
        <w:rPr/>
        <w:t>include: VSAIA Architecture Exchange East: The entire student body is required to attend the</w:t>
      </w:r>
    </w:p>
    <w:p>
      <w:pPr>
        <w:pStyle w:val="BodyText"/>
        <w:ind w:left="2659" w:right="705"/>
      </w:pPr>
      <w:r>
        <w:rPr/>
        <w:t>Architecture</w:t>
      </w:r>
      <w:r>
        <w:rPr>
          <w:spacing w:val="-6"/>
        </w:rPr>
        <w:t> </w:t>
      </w:r>
      <w:r>
        <w:rPr/>
        <w:t>Exchange</w:t>
      </w:r>
      <w:r>
        <w:rPr>
          <w:spacing w:val="-4"/>
        </w:rPr>
        <w:t> </w:t>
      </w:r>
      <w:r>
        <w:rPr/>
        <w:t>East</w:t>
      </w:r>
      <w:r>
        <w:rPr>
          <w:spacing w:val="-6"/>
        </w:rPr>
        <w:t> </w:t>
      </w:r>
      <w:r>
        <w:rPr/>
        <w:t>conference</w:t>
      </w:r>
      <w:r>
        <w:rPr>
          <w:spacing w:val="-6"/>
        </w:rPr>
        <w:t> </w:t>
      </w:r>
      <w:r>
        <w:rPr/>
        <w:t>of</w:t>
      </w:r>
      <w:r>
        <w:rPr>
          <w:spacing w:val="-4"/>
        </w:rPr>
        <w:t> </w:t>
      </w:r>
      <w:r>
        <w:rPr/>
        <w:t>the</w:t>
      </w:r>
      <w:r>
        <w:rPr>
          <w:spacing w:val="-4"/>
        </w:rPr>
        <w:t> </w:t>
      </w:r>
      <w:r>
        <w:rPr/>
        <w:t>Virginia</w:t>
      </w:r>
      <w:r>
        <w:rPr>
          <w:spacing w:val="-1"/>
        </w:rPr>
        <w:t> </w:t>
      </w:r>
      <w:r>
        <w:rPr/>
        <w:t>Society</w:t>
      </w:r>
      <w:r>
        <w:rPr>
          <w:spacing w:val="-7"/>
        </w:rPr>
        <w:t> </w:t>
      </w:r>
      <w:r>
        <w:rPr/>
        <w:t>of</w:t>
      </w:r>
      <w:r>
        <w:rPr>
          <w:spacing w:val="-4"/>
        </w:rPr>
        <w:t> </w:t>
      </w:r>
      <w:r>
        <w:rPr/>
        <w:t>the</w:t>
      </w:r>
      <w:r>
        <w:rPr>
          <w:spacing w:val="-4"/>
        </w:rPr>
        <w:t> </w:t>
      </w:r>
      <w:r>
        <w:rPr/>
        <w:t>American Institute of Architects each November.</w:t>
      </w:r>
    </w:p>
    <w:p>
      <w:pPr>
        <w:pStyle w:val="BodyText"/>
        <w:spacing w:before="9"/>
      </w:pPr>
    </w:p>
    <w:p>
      <w:pPr>
        <w:pStyle w:val="BodyText"/>
        <w:ind w:left="2659" w:right="705" w:hanging="720"/>
      </w:pPr>
      <w:r>
        <w:rPr/>
        <w:t>NOMA Annual Conference: In 2010, students raised money, with a grant from YBF website,</w:t>
      </w:r>
      <w:r>
        <w:rPr>
          <w:spacing w:val="-5"/>
        </w:rPr>
        <w:t> </w:t>
      </w:r>
      <w:r>
        <w:rPr/>
        <w:t>to</w:t>
      </w:r>
      <w:r>
        <w:rPr>
          <w:spacing w:val="-3"/>
        </w:rPr>
        <w:t> </w:t>
      </w:r>
      <w:r>
        <w:rPr/>
        <w:t>attend</w:t>
      </w:r>
      <w:r>
        <w:rPr>
          <w:spacing w:val="-3"/>
        </w:rPr>
        <w:t> </w:t>
      </w:r>
      <w:r>
        <w:rPr/>
        <w:t>the</w:t>
      </w:r>
      <w:r>
        <w:rPr>
          <w:spacing w:val="-5"/>
        </w:rPr>
        <w:t> </w:t>
      </w:r>
      <w:r>
        <w:rPr/>
        <w:t>conference</w:t>
      </w:r>
      <w:r>
        <w:rPr>
          <w:spacing w:val="-5"/>
        </w:rPr>
        <w:t> </w:t>
      </w:r>
      <w:r>
        <w:rPr/>
        <w:t>in</w:t>
      </w:r>
      <w:r>
        <w:rPr>
          <w:spacing w:val="-3"/>
        </w:rPr>
        <w:t> </w:t>
      </w:r>
      <w:r>
        <w:rPr/>
        <w:t>Atlanta.</w:t>
      </w:r>
      <w:r>
        <w:rPr>
          <w:spacing w:val="-5"/>
        </w:rPr>
        <w:t> </w:t>
      </w:r>
      <w:r>
        <w:rPr/>
        <w:t>The</w:t>
      </w:r>
      <w:r>
        <w:rPr>
          <w:spacing w:val="-3"/>
        </w:rPr>
        <w:t> </w:t>
      </w:r>
      <w:r>
        <w:rPr/>
        <w:t>department,</w:t>
      </w:r>
      <w:r>
        <w:rPr>
          <w:spacing w:val="-5"/>
        </w:rPr>
        <w:t> </w:t>
      </w:r>
      <w:r>
        <w:rPr/>
        <w:t>primarily</w:t>
      </w:r>
      <w:r>
        <w:rPr>
          <w:spacing w:val="-8"/>
        </w:rPr>
        <w:t> </w:t>
      </w:r>
      <w:r>
        <w:rPr/>
        <w:t>through grants from faculty and funding from the Dean of the School of Engineering &amp; Technology, has been able to send students to each conference since then.</w:t>
      </w:r>
    </w:p>
    <w:p>
      <w:pPr>
        <w:pStyle w:val="BodyText"/>
        <w:spacing w:before="9"/>
      </w:pPr>
    </w:p>
    <w:p>
      <w:pPr>
        <w:pStyle w:val="BodyText"/>
        <w:ind w:left="2659" w:right="499" w:hanging="721"/>
      </w:pPr>
      <w:r>
        <w:rPr/>
        <w:t>HBCU</w:t>
      </w:r>
      <w:r>
        <w:rPr>
          <w:spacing w:val="-2"/>
        </w:rPr>
        <w:t> </w:t>
      </w:r>
      <w:r>
        <w:rPr/>
        <w:t>Architecture</w:t>
      </w:r>
      <w:r>
        <w:rPr>
          <w:spacing w:val="-3"/>
        </w:rPr>
        <w:t> </w:t>
      </w:r>
      <w:r>
        <w:rPr/>
        <w:t>Student</w:t>
      </w:r>
      <w:r>
        <w:rPr>
          <w:spacing w:val="-3"/>
        </w:rPr>
        <w:t> </w:t>
      </w:r>
      <w:r>
        <w:rPr/>
        <w:t>Conference:</w:t>
      </w:r>
      <w:r>
        <w:rPr>
          <w:spacing w:val="-4"/>
        </w:rPr>
        <w:t> </w:t>
      </w:r>
      <w:r>
        <w:rPr/>
        <w:t>This</w:t>
      </w:r>
      <w:r>
        <w:rPr>
          <w:spacing w:val="-4"/>
        </w:rPr>
        <w:t> </w:t>
      </w:r>
      <w:r>
        <w:rPr/>
        <w:t>event</w:t>
      </w:r>
      <w:r>
        <w:rPr>
          <w:spacing w:val="-5"/>
        </w:rPr>
        <w:t> </w:t>
      </w:r>
      <w:r>
        <w:rPr/>
        <w:t>has</w:t>
      </w:r>
      <w:r>
        <w:rPr>
          <w:spacing w:val="-4"/>
        </w:rPr>
        <w:t> </w:t>
      </w:r>
      <w:r>
        <w:rPr/>
        <w:t>been</w:t>
      </w:r>
      <w:r>
        <w:rPr>
          <w:spacing w:val="-5"/>
        </w:rPr>
        <w:t> </w:t>
      </w:r>
      <w:r>
        <w:rPr/>
        <w:t>sponsored</w:t>
      </w:r>
      <w:r>
        <w:rPr>
          <w:spacing w:val="-5"/>
        </w:rPr>
        <w:t> </w:t>
      </w:r>
      <w:r>
        <w:rPr/>
        <w:t>by</w:t>
      </w:r>
      <w:r>
        <w:rPr>
          <w:spacing w:val="-8"/>
        </w:rPr>
        <w:t> </w:t>
      </w:r>
      <w:r>
        <w:rPr/>
        <w:t>our</w:t>
      </w:r>
      <w:r>
        <w:rPr>
          <w:spacing w:val="-4"/>
        </w:rPr>
        <w:t> </w:t>
      </w:r>
      <w:r>
        <w:rPr/>
        <w:t>program and student costs are kept minimal through the planning of each institution hosting the annual meetings.</w:t>
      </w:r>
    </w:p>
    <w:p>
      <w:pPr>
        <w:spacing w:after="0"/>
        <w:sectPr>
          <w:headerReference w:type="default" r:id="rId32"/>
          <w:footerReference w:type="default" r:id="rId33"/>
          <w:pgSz w:w="12240" w:h="15840"/>
          <w:pgMar w:header="0" w:footer="974" w:top="1360" w:bottom="1160" w:left="940" w:right="960"/>
        </w:sectPr>
      </w:pPr>
    </w:p>
    <w:p>
      <w:pPr>
        <w:pStyle w:val="BodyText"/>
        <w:spacing w:before="77"/>
        <w:ind w:left="2659" w:right="504" w:hanging="720"/>
      </w:pPr>
      <w:r>
        <w:rPr/>
        <w:t>Institute for Classical Architecture and Art (ICAA): Two students have received funding each</w:t>
      </w:r>
      <w:r>
        <w:rPr>
          <w:spacing w:val="-3"/>
        </w:rPr>
        <w:t> </w:t>
      </w:r>
      <w:r>
        <w:rPr/>
        <w:t>of</w:t>
      </w:r>
      <w:r>
        <w:rPr>
          <w:spacing w:val="-1"/>
        </w:rPr>
        <w:t> </w:t>
      </w:r>
      <w:r>
        <w:rPr/>
        <w:t>the</w:t>
      </w:r>
      <w:r>
        <w:rPr>
          <w:spacing w:val="-1"/>
        </w:rPr>
        <w:t> </w:t>
      </w:r>
      <w:r>
        <w:rPr/>
        <w:t>past</w:t>
      </w:r>
      <w:r>
        <w:rPr>
          <w:spacing w:val="-3"/>
        </w:rPr>
        <w:t> </w:t>
      </w:r>
      <w:r>
        <w:rPr/>
        <w:t>three years</w:t>
      </w:r>
      <w:r>
        <w:rPr>
          <w:spacing w:val="-2"/>
        </w:rPr>
        <w:t> </w:t>
      </w:r>
      <w:r>
        <w:rPr/>
        <w:t>to</w:t>
      </w:r>
      <w:r>
        <w:rPr>
          <w:spacing w:val="-3"/>
        </w:rPr>
        <w:t> </w:t>
      </w:r>
      <w:r>
        <w:rPr/>
        <w:t>attend</w:t>
      </w:r>
      <w:r>
        <w:rPr>
          <w:spacing w:val="-3"/>
        </w:rPr>
        <w:t> </w:t>
      </w:r>
      <w:r>
        <w:rPr/>
        <w:t>the</w:t>
      </w:r>
      <w:r>
        <w:rPr>
          <w:spacing w:val="-6"/>
        </w:rPr>
        <w:t> </w:t>
      </w:r>
      <w:r>
        <w:rPr/>
        <w:t>Winterim of</w:t>
      </w:r>
      <w:r>
        <w:rPr>
          <w:spacing w:val="-1"/>
        </w:rPr>
        <w:t> </w:t>
      </w:r>
      <w:r>
        <w:rPr/>
        <w:t>the</w:t>
      </w:r>
      <w:r>
        <w:rPr>
          <w:spacing w:val="-3"/>
        </w:rPr>
        <w:t> </w:t>
      </w:r>
      <w:r>
        <w:rPr/>
        <w:t>ICAA.</w:t>
      </w:r>
      <w:r>
        <w:rPr>
          <w:spacing w:val="-3"/>
        </w:rPr>
        <w:t> </w:t>
      </w:r>
      <w:r>
        <w:rPr/>
        <w:t>Funding</w:t>
      </w:r>
      <w:r>
        <w:rPr>
          <w:spacing w:val="-1"/>
        </w:rPr>
        <w:t> </w:t>
      </w:r>
      <w:r>
        <w:rPr/>
        <w:t>is</w:t>
      </w:r>
      <w:r>
        <w:rPr>
          <w:spacing w:val="-2"/>
        </w:rPr>
        <w:t> </w:t>
      </w:r>
      <w:r>
        <w:rPr/>
        <w:t>made available from the Gindroz Foundation, which contributes $3,000 to cover the cost of ICAA tuition, housing and transportation. The student(s) selected to participate</w:t>
      </w:r>
      <w:r>
        <w:rPr>
          <w:spacing w:val="-4"/>
        </w:rPr>
        <w:t> </w:t>
      </w:r>
      <w:r>
        <w:rPr/>
        <w:t>in</w:t>
      </w:r>
      <w:r>
        <w:rPr>
          <w:spacing w:val="-4"/>
        </w:rPr>
        <w:t> </w:t>
      </w:r>
      <w:r>
        <w:rPr/>
        <w:t>this</w:t>
      </w:r>
      <w:r>
        <w:rPr>
          <w:spacing w:val="-3"/>
        </w:rPr>
        <w:t> </w:t>
      </w:r>
      <w:r>
        <w:rPr/>
        <w:t>program are</w:t>
      </w:r>
      <w:r>
        <w:rPr>
          <w:spacing w:val="-4"/>
        </w:rPr>
        <w:t> </w:t>
      </w:r>
      <w:r>
        <w:rPr/>
        <w:t>required</w:t>
      </w:r>
      <w:r>
        <w:rPr>
          <w:spacing w:val="-2"/>
        </w:rPr>
        <w:t> </w:t>
      </w:r>
      <w:r>
        <w:rPr/>
        <w:t>to</w:t>
      </w:r>
      <w:r>
        <w:rPr>
          <w:spacing w:val="-2"/>
        </w:rPr>
        <w:t> </w:t>
      </w:r>
      <w:r>
        <w:rPr/>
        <w:t>assist</w:t>
      </w:r>
      <w:r>
        <w:rPr>
          <w:spacing w:val="-4"/>
        </w:rPr>
        <w:t> </w:t>
      </w:r>
      <w:r>
        <w:rPr/>
        <w:t>in</w:t>
      </w:r>
      <w:r>
        <w:rPr>
          <w:spacing w:val="-2"/>
        </w:rPr>
        <w:t> </w:t>
      </w:r>
      <w:r>
        <w:rPr/>
        <w:t>a</w:t>
      </w:r>
      <w:r>
        <w:rPr>
          <w:spacing w:val="-4"/>
        </w:rPr>
        <w:t> </w:t>
      </w:r>
      <w:r>
        <w:rPr/>
        <w:t>drawing</w:t>
      </w:r>
      <w:r>
        <w:rPr>
          <w:spacing w:val="-4"/>
        </w:rPr>
        <w:t> </w:t>
      </w:r>
      <w:r>
        <w:rPr/>
        <w:t>class</w:t>
      </w:r>
      <w:r>
        <w:rPr>
          <w:spacing w:val="-3"/>
        </w:rPr>
        <w:t> </w:t>
      </w:r>
      <w:r>
        <w:rPr/>
        <w:t>that</w:t>
      </w:r>
      <w:r>
        <w:rPr>
          <w:spacing w:val="-4"/>
        </w:rPr>
        <w:t> </w:t>
      </w:r>
      <w:r>
        <w:rPr/>
        <w:t>is</w:t>
      </w:r>
      <w:r>
        <w:rPr>
          <w:spacing w:val="-1"/>
        </w:rPr>
        <w:t> </w:t>
      </w:r>
      <w:r>
        <w:rPr/>
        <w:t>open</w:t>
      </w:r>
      <w:r>
        <w:rPr>
          <w:spacing w:val="-4"/>
        </w:rPr>
        <w:t> </w:t>
      </w:r>
      <w:r>
        <w:rPr/>
        <w:t>to the student body as an elective. Students are afforded an opportunity t spend a week of study during a ten day, intensive course in New York. Session topics include presentations and analysis of the elements of classical architecture, drawing skills and the study of proportioning systems.</w:t>
      </w:r>
    </w:p>
    <w:p>
      <w:pPr>
        <w:pStyle w:val="BodyText"/>
        <w:spacing w:before="9"/>
      </w:pPr>
    </w:p>
    <w:p>
      <w:pPr>
        <w:pStyle w:val="BodyText"/>
        <w:ind w:left="2659" w:right="580" w:hanging="720"/>
      </w:pPr>
      <w:r>
        <w:rPr/>
        <w:t>Emerging</w:t>
      </w:r>
      <w:r>
        <w:rPr>
          <w:spacing w:val="-5"/>
        </w:rPr>
        <w:t> </w:t>
      </w:r>
      <w:r>
        <w:rPr/>
        <w:t>Leaders</w:t>
      </w:r>
      <w:r>
        <w:rPr>
          <w:spacing w:val="-4"/>
        </w:rPr>
        <w:t> </w:t>
      </w:r>
      <w:r>
        <w:rPr/>
        <w:t>in</w:t>
      </w:r>
      <w:r>
        <w:rPr>
          <w:spacing w:val="-3"/>
        </w:rPr>
        <w:t> </w:t>
      </w:r>
      <w:r>
        <w:rPr/>
        <w:t>Architecture</w:t>
      </w:r>
      <w:r>
        <w:rPr>
          <w:spacing w:val="-5"/>
        </w:rPr>
        <w:t> </w:t>
      </w:r>
      <w:r>
        <w:rPr/>
        <w:t>(ELA):</w:t>
      </w:r>
      <w:r>
        <w:rPr>
          <w:spacing w:val="-5"/>
        </w:rPr>
        <w:t> </w:t>
      </w:r>
      <w:r>
        <w:rPr/>
        <w:t>The</w:t>
      </w:r>
      <w:r>
        <w:rPr>
          <w:spacing w:val="-5"/>
        </w:rPr>
        <w:t> </w:t>
      </w:r>
      <w:r>
        <w:rPr/>
        <w:t>student</w:t>
      </w:r>
      <w:r>
        <w:rPr>
          <w:spacing w:val="-5"/>
        </w:rPr>
        <w:t> </w:t>
      </w:r>
      <w:r>
        <w:rPr/>
        <w:t>selected</w:t>
      </w:r>
      <w:r>
        <w:rPr>
          <w:spacing w:val="-5"/>
        </w:rPr>
        <w:t> </w:t>
      </w:r>
      <w:r>
        <w:rPr/>
        <w:t>to</w:t>
      </w:r>
      <w:r>
        <w:rPr>
          <w:spacing w:val="-3"/>
        </w:rPr>
        <w:t> </w:t>
      </w:r>
      <w:r>
        <w:rPr/>
        <w:t>represent</w:t>
      </w:r>
      <w:r>
        <w:rPr>
          <w:spacing w:val="-5"/>
        </w:rPr>
        <w:t> </w:t>
      </w:r>
      <w:r>
        <w:rPr/>
        <w:t>the</w:t>
      </w:r>
      <w:r>
        <w:rPr>
          <w:spacing w:val="-5"/>
        </w:rPr>
        <w:t> </w:t>
      </w:r>
      <w:r>
        <w:rPr/>
        <w:t>program is required to travel across the state. The program pays for the entry fees and provides assistance</w:t>
      </w:r>
      <w:r>
        <w:rPr>
          <w:spacing w:val="-2"/>
        </w:rPr>
        <w:t> </w:t>
      </w:r>
      <w:r>
        <w:rPr/>
        <w:t>for</w:t>
      </w:r>
      <w:r>
        <w:rPr>
          <w:spacing w:val="-1"/>
        </w:rPr>
        <w:t> </w:t>
      </w:r>
      <w:r>
        <w:rPr/>
        <w:t>program expenses.</w:t>
      </w:r>
      <w:r>
        <w:rPr>
          <w:spacing w:val="-2"/>
        </w:rPr>
        <w:t> </w:t>
      </w:r>
      <w:r>
        <w:rPr/>
        <w:t>The</w:t>
      </w:r>
      <w:r>
        <w:rPr>
          <w:spacing w:val="-2"/>
        </w:rPr>
        <w:t> </w:t>
      </w:r>
      <w:r>
        <w:rPr/>
        <w:t>funding</w:t>
      </w:r>
      <w:r>
        <w:rPr>
          <w:spacing w:val="-2"/>
        </w:rPr>
        <w:t> </w:t>
      </w:r>
      <w:r>
        <w:rPr/>
        <w:t>for</w:t>
      </w:r>
      <w:r>
        <w:rPr>
          <w:spacing w:val="-1"/>
        </w:rPr>
        <w:t> </w:t>
      </w:r>
      <w:r>
        <w:rPr/>
        <w:t>this</w:t>
      </w:r>
      <w:r>
        <w:rPr>
          <w:spacing w:val="-1"/>
        </w:rPr>
        <w:t> </w:t>
      </w:r>
      <w:r>
        <w:rPr/>
        <w:t>activity</w:t>
      </w:r>
      <w:r>
        <w:rPr>
          <w:spacing w:val="-3"/>
        </w:rPr>
        <w:t> </w:t>
      </w:r>
      <w:r>
        <w:rPr/>
        <w:t>is</w:t>
      </w:r>
      <w:r>
        <w:rPr>
          <w:spacing w:val="-1"/>
        </w:rPr>
        <w:t> </w:t>
      </w:r>
      <w:r>
        <w:rPr/>
        <w:t>made available from donations from our alum and our faculty.</w:t>
      </w:r>
    </w:p>
    <w:p>
      <w:pPr>
        <w:pStyle w:val="BodyText"/>
        <w:spacing w:before="1"/>
        <w:rPr>
          <w:sz w:val="21"/>
        </w:rPr>
      </w:pPr>
    </w:p>
    <w:p>
      <w:pPr>
        <w:pStyle w:val="BodyText"/>
        <w:ind w:left="2659" w:right="705" w:hanging="720"/>
      </w:pPr>
      <w:r>
        <w:rPr/>
        <w:t>Seaside,</w:t>
      </w:r>
      <w:r>
        <w:rPr>
          <w:spacing w:val="-5"/>
        </w:rPr>
        <w:t> </w:t>
      </w:r>
      <w:r>
        <w:rPr/>
        <w:t>Florida:</w:t>
      </w:r>
      <w:r>
        <w:rPr>
          <w:spacing w:val="-3"/>
        </w:rPr>
        <w:t> </w:t>
      </w:r>
      <w:r>
        <w:rPr/>
        <w:t>Sixteen</w:t>
      </w:r>
      <w:r>
        <w:rPr>
          <w:spacing w:val="-5"/>
        </w:rPr>
        <w:t> </w:t>
      </w:r>
      <w:r>
        <w:rPr/>
        <w:t>students</w:t>
      </w:r>
      <w:r>
        <w:rPr>
          <w:spacing w:val="-2"/>
        </w:rPr>
        <w:t> </w:t>
      </w:r>
      <w:r>
        <w:rPr/>
        <w:t>were</w:t>
      </w:r>
      <w:r>
        <w:rPr>
          <w:spacing w:val="-3"/>
        </w:rPr>
        <w:t> </w:t>
      </w:r>
      <w:r>
        <w:rPr/>
        <w:t>able</w:t>
      </w:r>
      <w:r>
        <w:rPr>
          <w:spacing w:val="-5"/>
        </w:rPr>
        <w:t> </w:t>
      </w:r>
      <w:r>
        <w:rPr/>
        <w:t>to</w:t>
      </w:r>
      <w:r>
        <w:rPr>
          <w:spacing w:val="-3"/>
        </w:rPr>
        <w:t> </w:t>
      </w:r>
      <w:r>
        <w:rPr/>
        <w:t>attend</w:t>
      </w:r>
      <w:r>
        <w:rPr>
          <w:spacing w:val="-3"/>
        </w:rPr>
        <w:t> </w:t>
      </w:r>
      <w:r>
        <w:rPr/>
        <w:t>this</w:t>
      </w:r>
      <w:r>
        <w:rPr>
          <w:spacing w:val="-4"/>
        </w:rPr>
        <w:t> </w:t>
      </w:r>
      <w:r>
        <w:rPr/>
        <w:t>program</w:t>
      </w:r>
      <w:r>
        <w:rPr>
          <w:spacing w:val="-1"/>
        </w:rPr>
        <w:t> </w:t>
      </w:r>
      <w:r>
        <w:rPr/>
        <w:t>with</w:t>
      </w:r>
      <w:r>
        <w:rPr>
          <w:spacing w:val="-5"/>
        </w:rPr>
        <w:t> </w:t>
      </w:r>
      <w:r>
        <w:rPr/>
        <w:t>much</w:t>
      </w:r>
      <w:r>
        <w:rPr>
          <w:spacing w:val="-5"/>
        </w:rPr>
        <w:t> </w:t>
      </w:r>
      <w:r>
        <w:rPr/>
        <w:t>of</w:t>
      </w:r>
      <w:r>
        <w:rPr>
          <w:spacing w:val="-3"/>
        </w:rPr>
        <w:t> </w:t>
      </w:r>
      <w:r>
        <w:rPr/>
        <w:t>their travel and living expenses paid for by the sponsors, the developer of the </w:t>
      </w:r>
      <w:r>
        <w:rPr>
          <w:spacing w:val="-2"/>
        </w:rPr>
        <w:t>Newtown.</w:t>
      </w:r>
    </w:p>
    <w:p>
      <w:pPr>
        <w:spacing w:after="0"/>
        <w:sectPr>
          <w:headerReference w:type="default" r:id="rId34"/>
          <w:footerReference w:type="default" r:id="rId35"/>
          <w:pgSz w:w="12240" w:h="15840"/>
          <w:pgMar w:header="0" w:footer="974" w:top="1360" w:bottom="1160" w:left="940" w:right="960"/>
        </w:sectPr>
      </w:pPr>
    </w:p>
    <w:p>
      <w:pPr>
        <w:spacing w:line="491" w:lineRule="auto" w:before="75"/>
        <w:ind w:left="1219" w:right="6409" w:hanging="720"/>
        <w:jc w:val="left"/>
        <w:rPr>
          <w:b/>
          <w:sz w:val="20"/>
        </w:rPr>
      </w:pPr>
      <w:r>
        <w:rPr>
          <w:b/>
          <w:sz w:val="20"/>
        </w:rPr>
        <w:t>Human</w:t>
      </w:r>
      <w:r>
        <w:rPr>
          <w:b/>
          <w:spacing w:val="-14"/>
          <w:sz w:val="20"/>
        </w:rPr>
        <w:t> </w:t>
      </w:r>
      <w:r>
        <w:rPr>
          <w:b/>
          <w:sz w:val="20"/>
        </w:rPr>
        <w:t>Resource</w:t>
      </w:r>
      <w:r>
        <w:rPr>
          <w:b/>
          <w:spacing w:val="-14"/>
          <w:sz w:val="20"/>
        </w:rPr>
        <w:t> </w:t>
      </w:r>
      <w:r>
        <w:rPr>
          <w:b/>
          <w:sz w:val="20"/>
        </w:rPr>
        <w:t>Development </w:t>
      </w:r>
      <w:r>
        <w:rPr>
          <w:b/>
          <w:spacing w:val="-2"/>
          <w:sz w:val="20"/>
        </w:rPr>
        <w:t>Students</w:t>
      </w:r>
    </w:p>
    <w:p>
      <w:pPr>
        <w:pStyle w:val="BodyText"/>
        <w:ind w:left="1723" w:right="580"/>
      </w:pPr>
      <w:r>
        <w:rPr/>
        <w:t>As entering freshmen, students have the almost unique experience at Hampton of immersion into both the University and to their major field of study.</w:t>
      </w:r>
      <w:r>
        <w:rPr>
          <w:spacing w:val="40"/>
        </w:rPr>
        <w:t> </w:t>
      </w:r>
      <w:r>
        <w:rPr/>
        <w:t>Studio work begins in the first semester, and students become fully participating, if often reluctant, members of the Department.</w:t>
      </w:r>
      <w:r>
        <w:rPr>
          <w:spacing w:val="40"/>
        </w:rPr>
        <w:t> </w:t>
      </w:r>
      <w:r>
        <w:rPr/>
        <w:t>The Department sponsors a joint student chapter of AIAS/NOMAS (National</w:t>
      </w:r>
      <w:r>
        <w:rPr>
          <w:spacing w:val="-6"/>
        </w:rPr>
        <w:t> </w:t>
      </w:r>
      <w:r>
        <w:rPr/>
        <w:t>Organization</w:t>
      </w:r>
      <w:r>
        <w:rPr>
          <w:spacing w:val="-3"/>
        </w:rPr>
        <w:t> </w:t>
      </w:r>
      <w:r>
        <w:rPr/>
        <w:t>of</w:t>
      </w:r>
      <w:r>
        <w:rPr>
          <w:spacing w:val="-3"/>
        </w:rPr>
        <w:t> </w:t>
      </w:r>
      <w:r>
        <w:rPr/>
        <w:t>Minority</w:t>
      </w:r>
      <w:r>
        <w:rPr>
          <w:spacing w:val="-6"/>
        </w:rPr>
        <w:t> </w:t>
      </w:r>
      <w:r>
        <w:rPr/>
        <w:t>Architecture</w:t>
      </w:r>
      <w:r>
        <w:rPr>
          <w:spacing w:val="-3"/>
        </w:rPr>
        <w:t> </w:t>
      </w:r>
      <w:r>
        <w:rPr/>
        <w:t>Students).</w:t>
      </w:r>
      <w:r>
        <w:rPr>
          <w:spacing w:val="-5"/>
        </w:rPr>
        <w:t> </w:t>
      </w:r>
      <w:r>
        <w:rPr/>
        <w:t>Due</w:t>
      </w:r>
      <w:r>
        <w:rPr>
          <w:spacing w:val="-5"/>
        </w:rPr>
        <w:t> </w:t>
      </w:r>
      <w:r>
        <w:rPr/>
        <w:t>to</w:t>
      </w:r>
      <w:r>
        <w:rPr>
          <w:spacing w:val="-3"/>
        </w:rPr>
        <w:t> </w:t>
      </w:r>
      <w:r>
        <w:rPr/>
        <w:t>our</w:t>
      </w:r>
      <w:r>
        <w:rPr>
          <w:spacing w:val="-2"/>
        </w:rPr>
        <w:t> </w:t>
      </w:r>
      <w:r>
        <w:rPr/>
        <w:t>location</w:t>
      </w:r>
      <w:r>
        <w:rPr>
          <w:spacing w:val="-3"/>
        </w:rPr>
        <w:t> </w:t>
      </w:r>
      <w:r>
        <w:rPr/>
        <w:t>in</w:t>
      </w:r>
      <w:r>
        <w:rPr>
          <w:spacing w:val="-3"/>
        </w:rPr>
        <w:t> </w:t>
      </w:r>
      <w:r>
        <w:rPr/>
        <w:t>the</w:t>
      </w:r>
      <w:r>
        <w:rPr>
          <w:spacing w:val="-5"/>
        </w:rPr>
        <w:t> </w:t>
      </w:r>
      <w:r>
        <w:rPr/>
        <w:t>School of Engineering and</w:t>
      </w:r>
      <w:r>
        <w:rPr>
          <w:spacing w:val="-2"/>
        </w:rPr>
        <w:t> </w:t>
      </w:r>
      <w:r>
        <w:rPr/>
        <w:t>Technology, Architecture</w:t>
      </w:r>
      <w:r>
        <w:rPr>
          <w:spacing w:val="-2"/>
        </w:rPr>
        <w:t> </w:t>
      </w:r>
      <w:r>
        <w:rPr/>
        <w:t>students also</w:t>
      </w:r>
      <w:r>
        <w:rPr>
          <w:spacing w:val="-2"/>
        </w:rPr>
        <w:t> </w:t>
      </w:r>
      <w:r>
        <w:rPr/>
        <w:t>have</w:t>
      </w:r>
      <w:r>
        <w:rPr>
          <w:spacing w:val="-2"/>
        </w:rPr>
        <w:t> </w:t>
      </w:r>
      <w:r>
        <w:rPr/>
        <w:t>the</w:t>
      </w:r>
      <w:r>
        <w:rPr>
          <w:spacing w:val="-2"/>
        </w:rPr>
        <w:t> </w:t>
      </w:r>
      <w:r>
        <w:rPr/>
        <w:t>opportunity</w:t>
      </w:r>
      <w:r>
        <w:rPr>
          <w:spacing w:val="-3"/>
        </w:rPr>
        <w:t> </w:t>
      </w:r>
      <w:r>
        <w:rPr/>
        <w:t>to</w:t>
      </w:r>
      <w:r>
        <w:rPr>
          <w:spacing w:val="-2"/>
        </w:rPr>
        <w:t> </w:t>
      </w:r>
      <w:r>
        <w:rPr/>
        <w:t>join the student chapter of NSBE (National Society of Black Engineers).</w:t>
      </w:r>
    </w:p>
    <w:p>
      <w:pPr>
        <w:pStyle w:val="BodyText"/>
        <w:spacing w:before="8"/>
      </w:pPr>
    </w:p>
    <w:p>
      <w:pPr>
        <w:pStyle w:val="BodyText"/>
        <w:ind w:left="1723" w:right="499"/>
      </w:pPr>
      <w:r>
        <w:rPr/>
        <w:t>Students are included on all department committees, both standing and special, and are welcome at all faculty meetings.</w:t>
      </w:r>
      <w:r>
        <w:rPr>
          <w:spacing w:val="40"/>
        </w:rPr>
        <w:t> </w:t>
      </w:r>
      <w:r>
        <w:rPr/>
        <w:t>Student chapter officers are specifically invited to all meetings.</w:t>
      </w:r>
      <w:r>
        <w:rPr>
          <w:spacing w:val="40"/>
        </w:rPr>
        <w:t> </w:t>
      </w:r>
      <w:r>
        <w:rPr/>
        <w:t>Typically,</w:t>
      </w:r>
      <w:r>
        <w:rPr>
          <w:spacing w:val="-4"/>
        </w:rPr>
        <w:t> </w:t>
      </w:r>
      <w:r>
        <w:rPr/>
        <w:t>students</w:t>
      </w:r>
      <w:r>
        <w:rPr>
          <w:spacing w:val="-3"/>
        </w:rPr>
        <w:t> </w:t>
      </w:r>
      <w:r>
        <w:rPr/>
        <w:t>are</w:t>
      </w:r>
      <w:r>
        <w:rPr>
          <w:spacing w:val="-4"/>
        </w:rPr>
        <w:t> </w:t>
      </w:r>
      <w:r>
        <w:rPr/>
        <w:t>excluded</w:t>
      </w:r>
      <w:r>
        <w:rPr>
          <w:spacing w:val="-4"/>
        </w:rPr>
        <w:t> </w:t>
      </w:r>
      <w:r>
        <w:rPr/>
        <w:t>only</w:t>
      </w:r>
      <w:r>
        <w:rPr>
          <w:spacing w:val="-5"/>
        </w:rPr>
        <w:t> </w:t>
      </w:r>
      <w:r>
        <w:rPr/>
        <w:t>when</w:t>
      </w:r>
      <w:r>
        <w:rPr>
          <w:spacing w:val="-2"/>
        </w:rPr>
        <w:t> </w:t>
      </w:r>
      <w:r>
        <w:rPr/>
        <w:t>the</w:t>
      </w:r>
      <w:r>
        <w:rPr>
          <w:spacing w:val="-4"/>
        </w:rPr>
        <w:t> </w:t>
      </w:r>
      <w:r>
        <w:rPr/>
        <w:t>faculty</w:t>
      </w:r>
      <w:r>
        <w:rPr>
          <w:spacing w:val="-5"/>
        </w:rPr>
        <w:t> </w:t>
      </w:r>
      <w:r>
        <w:rPr/>
        <w:t>needs</w:t>
      </w:r>
      <w:r>
        <w:rPr>
          <w:spacing w:val="-3"/>
        </w:rPr>
        <w:t> </w:t>
      </w:r>
      <w:r>
        <w:rPr/>
        <w:t>to</w:t>
      </w:r>
      <w:r>
        <w:rPr>
          <w:spacing w:val="-4"/>
        </w:rPr>
        <w:t> </w:t>
      </w:r>
      <w:r>
        <w:rPr/>
        <w:t>address</w:t>
      </w:r>
      <w:r>
        <w:rPr>
          <w:spacing w:val="-3"/>
        </w:rPr>
        <w:t> </w:t>
      </w:r>
      <w:r>
        <w:rPr/>
        <w:t>issues pertaining to an individual student, or for matters of scholarship awards.</w:t>
      </w:r>
    </w:p>
    <w:p>
      <w:pPr>
        <w:pStyle w:val="BodyText"/>
        <w:rPr>
          <w:sz w:val="21"/>
        </w:rPr>
      </w:pPr>
    </w:p>
    <w:p>
      <w:pPr>
        <w:pStyle w:val="BodyText"/>
        <w:ind w:left="1723" w:right="499"/>
      </w:pPr>
      <w:r>
        <w:rPr/>
        <w:t>The student organization also participates in campus activities, and has won the award for best homecoming.</w:t>
      </w:r>
      <w:r>
        <w:rPr>
          <w:spacing w:val="40"/>
        </w:rPr>
        <w:t> </w:t>
      </w:r>
      <w:r>
        <w:rPr/>
        <w:t>Students are involved in activities with the YAF (Young Architects Forum) of the AIA, and participate in Hard Hat Meetings and ArchiTalks.</w:t>
      </w:r>
      <w:r>
        <w:rPr>
          <w:spacing w:val="40"/>
        </w:rPr>
        <w:t> </w:t>
      </w:r>
      <w:r>
        <w:rPr/>
        <w:t>Students in the Materials and Methods class have taken part in CANstruction for several years, and have won an award for structural ingenuity. This event is sponsored nationally by the Society of Design Administrators (SODA), and raises food for local food banks. For the past six years CANstruction</w:t>
      </w:r>
      <w:r>
        <w:rPr>
          <w:spacing w:val="-2"/>
        </w:rPr>
        <w:t> </w:t>
      </w:r>
      <w:r>
        <w:rPr/>
        <w:t>was</w:t>
      </w:r>
      <w:r>
        <w:rPr>
          <w:spacing w:val="-3"/>
        </w:rPr>
        <w:t> </w:t>
      </w:r>
      <w:r>
        <w:rPr/>
        <w:t>coordinated</w:t>
      </w:r>
      <w:r>
        <w:rPr>
          <w:spacing w:val="-4"/>
        </w:rPr>
        <w:t> </w:t>
      </w:r>
      <w:r>
        <w:rPr/>
        <w:t>jointly</w:t>
      </w:r>
      <w:r>
        <w:rPr>
          <w:spacing w:val="-4"/>
        </w:rPr>
        <w:t> </w:t>
      </w:r>
      <w:r>
        <w:rPr/>
        <w:t>by</w:t>
      </w:r>
      <w:r>
        <w:rPr>
          <w:spacing w:val="-5"/>
        </w:rPr>
        <w:t> </w:t>
      </w:r>
      <w:r>
        <w:rPr/>
        <w:t>the</w:t>
      </w:r>
      <w:r>
        <w:rPr>
          <w:spacing w:val="-2"/>
        </w:rPr>
        <w:t> </w:t>
      </w:r>
      <w:r>
        <w:rPr/>
        <w:t>AIAS/NOMAS</w:t>
      </w:r>
      <w:r>
        <w:rPr>
          <w:spacing w:val="-5"/>
        </w:rPr>
        <w:t> </w:t>
      </w:r>
      <w:r>
        <w:rPr/>
        <w:t>and</w:t>
      </w:r>
      <w:r>
        <w:rPr>
          <w:spacing w:val="-4"/>
        </w:rPr>
        <w:t> </w:t>
      </w:r>
      <w:r>
        <w:rPr/>
        <w:t>Tau</w:t>
      </w:r>
      <w:r>
        <w:rPr>
          <w:spacing w:val="-4"/>
        </w:rPr>
        <w:t> </w:t>
      </w:r>
      <w:r>
        <w:rPr/>
        <w:t>Sigma</w:t>
      </w:r>
      <w:r>
        <w:rPr>
          <w:spacing w:val="-4"/>
        </w:rPr>
        <w:t> </w:t>
      </w:r>
      <w:r>
        <w:rPr/>
        <w:t>Delta.</w:t>
      </w:r>
      <w:r>
        <w:rPr>
          <w:spacing w:val="-2"/>
        </w:rPr>
        <w:t> </w:t>
      </w:r>
      <w:r>
        <w:rPr/>
        <w:t>There</w:t>
      </w:r>
      <w:r>
        <w:rPr>
          <w:spacing w:val="-4"/>
        </w:rPr>
        <w:t> </w:t>
      </w:r>
      <w:r>
        <w:rPr/>
        <w:t>is</w:t>
      </w:r>
      <w:r>
        <w:rPr>
          <w:spacing w:val="-3"/>
        </w:rPr>
        <w:t> </w:t>
      </w:r>
      <w:r>
        <w:rPr/>
        <w:t>a free student day at Architecture Exchange East, the state conference held by the Virginia Society AIA every year.</w:t>
      </w:r>
    </w:p>
    <w:p>
      <w:pPr>
        <w:pStyle w:val="BodyText"/>
        <w:spacing w:before="10"/>
      </w:pPr>
    </w:p>
    <w:p>
      <w:pPr>
        <w:pStyle w:val="BodyText"/>
        <w:ind w:left="1723" w:right="499"/>
      </w:pPr>
      <w:r>
        <w:rPr/>
        <w:t>Students have attended the Hampton Roads USGBC events, National Park Service Preservation Workshop at Fort Monroe, visited the Solar Decathlon exhibitions in Washington</w:t>
      </w:r>
      <w:r>
        <w:rPr>
          <w:spacing w:val="-4"/>
        </w:rPr>
        <w:t> </w:t>
      </w:r>
      <w:r>
        <w:rPr/>
        <w:t>DC</w:t>
      </w:r>
      <w:r>
        <w:rPr>
          <w:spacing w:val="-4"/>
        </w:rPr>
        <w:t> </w:t>
      </w:r>
      <w:r>
        <w:rPr/>
        <w:t>and</w:t>
      </w:r>
      <w:r>
        <w:rPr>
          <w:spacing w:val="-4"/>
        </w:rPr>
        <w:t> </w:t>
      </w:r>
      <w:r>
        <w:rPr/>
        <w:t>the</w:t>
      </w:r>
      <w:r>
        <w:rPr>
          <w:spacing w:val="-2"/>
        </w:rPr>
        <w:t> </w:t>
      </w:r>
      <w:r>
        <w:rPr/>
        <w:t>Eco-Mod</w:t>
      </w:r>
      <w:r>
        <w:rPr>
          <w:spacing w:val="-2"/>
        </w:rPr>
        <w:t> </w:t>
      </w:r>
      <w:r>
        <w:rPr/>
        <w:t>houses by</w:t>
      </w:r>
      <w:r>
        <w:rPr>
          <w:spacing w:val="-5"/>
        </w:rPr>
        <w:t> </w:t>
      </w:r>
      <w:r>
        <w:rPr/>
        <w:t>University</w:t>
      </w:r>
      <w:r>
        <w:rPr>
          <w:spacing w:val="-5"/>
        </w:rPr>
        <w:t> </w:t>
      </w:r>
      <w:r>
        <w:rPr/>
        <w:t>of</w:t>
      </w:r>
      <w:r>
        <w:rPr>
          <w:spacing w:val="-2"/>
        </w:rPr>
        <w:t> </w:t>
      </w:r>
      <w:r>
        <w:rPr/>
        <w:t>Virginia</w:t>
      </w:r>
      <w:r>
        <w:rPr>
          <w:spacing w:val="-2"/>
        </w:rPr>
        <w:t> </w:t>
      </w:r>
      <w:r>
        <w:rPr/>
        <w:t>faculty</w:t>
      </w:r>
      <w:r>
        <w:rPr>
          <w:spacing w:val="-5"/>
        </w:rPr>
        <w:t> </w:t>
      </w:r>
      <w:r>
        <w:rPr/>
        <w:t>and</w:t>
      </w:r>
      <w:r>
        <w:rPr>
          <w:spacing w:val="-4"/>
        </w:rPr>
        <w:t> </w:t>
      </w:r>
      <w:r>
        <w:rPr/>
        <w:t>students,</w:t>
      </w:r>
      <w:r>
        <w:rPr>
          <w:spacing w:val="-4"/>
        </w:rPr>
        <w:t> </w:t>
      </w:r>
      <w:r>
        <w:rPr/>
        <w:t>the Virginia Society of the AIA special seminars, and the University</w:t>
      </w:r>
      <w:r>
        <w:rPr>
          <w:spacing w:val="-2"/>
        </w:rPr>
        <w:t> </w:t>
      </w:r>
      <w:r>
        <w:rPr/>
        <w:t>of Virginia Open House for graduate studies.</w:t>
      </w:r>
    </w:p>
    <w:p>
      <w:pPr>
        <w:pStyle w:val="BodyText"/>
        <w:spacing w:before="7"/>
      </w:pPr>
    </w:p>
    <w:p>
      <w:pPr>
        <w:spacing w:before="1"/>
        <w:ind w:left="1219" w:right="0" w:firstLine="0"/>
        <w:jc w:val="left"/>
        <w:rPr>
          <w:b/>
          <w:sz w:val="20"/>
        </w:rPr>
      </w:pPr>
      <w:r>
        <w:rPr>
          <w:b/>
          <w:spacing w:val="-2"/>
          <w:sz w:val="20"/>
        </w:rPr>
        <w:t>Travel</w:t>
      </w:r>
    </w:p>
    <w:p>
      <w:pPr>
        <w:pStyle w:val="BodyText"/>
        <w:spacing w:before="1"/>
        <w:rPr>
          <w:b/>
          <w:sz w:val="21"/>
        </w:rPr>
      </w:pPr>
    </w:p>
    <w:p>
      <w:pPr>
        <w:pStyle w:val="BodyText"/>
        <w:ind w:left="1723" w:right="499"/>
      </w:pPr>
      <w:r>
        <w:rPr/>
        <w:t>The</w:t>
      </w:r>
      <w:r>
        <w:rPr>
          <w:spacing w:val="-3"/>
        </w:rPr>
        <w:t> </w:t>
      </w:r>
      <w:r>
        <w:rPr/>
        <w:t>M.</w:t>
      </w:r>
      <w:r>
        <w:rPr>
          <w:spacing w:val="-3"/>
        </w:rPr>
        <w:t> </w:t>
      </w:r>
      <w:r>
        <w:rPr/>
        <w:t>Arch.</w:t>
      </w:r>
      <w:r>
        <w:rPr>
          <w:spacing w:val="-3"/>
        </w:rPr>
        <w:t> </w:t>
      </w:r>
      <w:r>
        <w:rPr/>
        <w:t>Curriculum requires</w:t>
      </w:r>
      <w:r>
        <w:rPr>
          <w:spacing w:val="-2"/>
        </w:rPr>
        <w:t> </w:t>
      </w:r>
      <w:r>
        <w:rPr/>
        <w:t>a</w:t>
      </w:r>
      <w:r>
        <w:rPr>
          <w:spacing w:val="-1"/>
        </w:rPr>
        <w:t> </w:t>
      </w:r>
      <w:r>
        <w:rPr/>
        <w:t>summer</w:t>
      </w:r>
      <w:r>
        <w:rPr>
          <w:spacing w:val="-4"/>
        </w:rPr>
        <w:t> </w:t>
      </w:r>
      <w:r>
        <w:rPr/>
        <w:t>studio</w:t>
      </w:r>
      <w:r>
        <w:rPr>
          <w:spacing w:val="-1"/>
        </w:rPr>
        <w:t> </w:t>
      </w:r>
      <w:r>
        <w:rPr/>
        <w:t>abroad</w:t>
      </w:r>
      <w:r>
        <w:rPr>
          <w:spacing w:val="-1"/>
        </w:rPr>
        <w:t> </w:t>
      </w:r>
      <w:r>
        <w:rPr/>
        <w:t>occurring</w:t>
      </w:r>
      <w:r>
        <w:rPr>
          <w:spacing w:val="-3"/>
        </w:rPr>
        <w:t> </w:t>
      </w:r>
      <w:r>
        <w:rPr/>
        <w:t>between</w:t>
      </w:r>
      <w:r>
        <w:rPr>
          <w:spacing w:val="-1"/>
        </w:rPr>
        <w:t> </w:t>
      </w:r>
      <w:r>
        <w:rPr/>
        <w:t>the</w:t>
      </w:r>
      <w:r>
        <w:rPr>
          <w:spacing w:val="-1"/>
        </w:rPr>
        <w:t> </w:t>
      </w:r>
      <w:r>
        <w:rPr/>
        <w:t>third</w:t>
      </w:r>
      <w:r>
        <w:rPr>
          <w:spacing w:val="-1"/>
        </w:rPr>
        <w:t> </w:t>
      </w:r>
      <w:r>
        <w:rPr/>
        <w:t>and fourth</w:t>
      </w:r>
      <w:r>
        <w:rPr>
          <w:spacing w:val="-3"/>
        </w:rPr>
        <w:t> </w:t>
      </w:r>
      <w:r>
        <w:rPr/>
        <w:t>year</w:t>
      </w:r>
      <w:r>
        <w:rPr>
          <w:spacing w:val="-3"/>
        </w:rPr>
        <w:t> </w:t>
      </w:r>
      <w:r>
        <w:rPr/>
        <w:t>studios.</w:t>
      </w:r>
      <w:r>
        <w:rPr>
          <w:spacing w:val="-4"/>
        </w:rPr>
        <w:t> </w:t>
      </w:r>
      <w:r>
        <w:rPr/>
        <w:t>Recently</w:t>
      </w:r>
      <w:r>
        <w:rPr>
          <w:spacing w:val="-7"/>
        </w:rPr>
        <w:t> </w:t>
      </w:r>
      <w:r>
        <w:rPr/>
        <w:t>studios</w:t>
      </w:r>
      <w:r>
        <w:rPr>
          <w:spacing w:val="-3"/>
        </w:rPr>
        <w:t> </w:t>
      </w:r>
      <w:r>
        <w:rPr/>
        <w:t>have</w:t>
      </w:r>
      <w:r>
        <w:rPr>
          <w:spacing w:val="-4"/>
        </w:rPr>
        <w:t> </w:t>
      </w:r>
      <w:r>
        <w:rPr/>
        <w:t>traveled</w:t>
      </w:r>
      <w:r>
        <w:rPr>
          <w:spacing w:val="-3"/>
        </w:rPr>
        <w:t> </w:t>
      </w:r>
      <w:r>
        <w:rPr/>
        <w:t>to</w:t>
      </w:r>
      <w:r>
        <w:rPr>
          <w:spacing w:val="-3"/>
        </w:rPr>
        <w:t> </w:t>
      </w:r>
      <w:r>
        <w:rPr/>
        <w:t>Brazil,</w:t>
      </w:r>
      <w:r>
        <w:rPr>
          <w:spacing w:val="-4"/>
        </w:rPr>
        <w:t> </w:t>
      </w:r>
      <w:r>
        <w:rPr/>
        <w:t>Italy,</w:t>
      </w:r>
      <w:r>
        <w:rPr>
          <w:spacing w:val="-4"/>
        </w:rPr>
        <w:t> </w:t>
      </w:r>
      <w:r>
        <w:rPr/>
        <w:t>Panama,</w:t>
      </w:r>
      <w:r>
        <w:rPr>
          <w:spacing w:val="-4"/>
        </w:rPr>
        <w:t> </w:t>
      </w:r>
      <w:r>
        <w:rPr/>
        <w:t>Peru,</w:t>
      </w:r>
      <w:r>
        <w:rPr>
          <w:spacing w:val="-3"/>
        </w:rPr>
        <w:t> </w:t>
      </w:r>
      <w:r>
        <w:rPr/>
        <w:t>Ecuador, Tunisia, and Tanzania. Contributions from Ray and Marilyn Gindroz assisted with the Pienza/Parma/Rome studio and the more recent Toulon, France studios.</w:t>
      </w:r>
    </w:p>
    <w:p>
      <w:pPr>
        <w:pStyle w:val="BodyText"/>
        <w:spacing w:before="9"/>
      </w:pPr>
    </w:p>
    <w:p>
      <w:pPr>
        <w:pStyle w:val="BodyText"/>
        <w:ind w:left="1723" w:right="499"/>
      </w:pPr>
      <w:r>
        <w:rPr/>
        <w:t>Additionally, during Spring Break, Professors teach travel electives, taking a group of students from 2nd year to 5th year to a variety of locations. In 2014, Professors Andrews and Gindroz initiated a Spring Break trip to Seaside in Florida. Professor Andrews was assisted</w:t>
      </w:r>
      <w:r>
        <w:rPr>
          <w:spacing w:val="-3"/>
        </w:rPr>
        <w:t> </w:t>
      </w:r>
      <w:r>
        <w:rPr/>
        <w:t>by</w:t>
      </w:r>
      <w:r>
        <w:rPr>
          <w:spacing w:val="-4"/>
        </w:rPr>
        <w:t> </w:t>
      </w:r>
      <w:r>
        <w:rPr/>
        <w:t>Prof.</w:t>
      </w:r>
      <w:r>
        <w:rPr>
          <w:spacing w:val="-3"/>
        </w:rPr>
        <w:t> </w:t>
      </w:r>
      <w:r>
        <w:rPr/>
        <w:t>Kloster</w:t>
      </w:r>
      <w:r>
        <w:rPr>
          <w:spacing w:val="-2"/>
        </w:rPr>
        <w:t> </w:t>
      </w:r>
      <w:r>
        <w:rPr/>
        <w:t>during</w:t>
      </w:r>
      <w:r>
        <w:rPr>
          <w:spacing w:val="-3"/>
        </w:rPr>
        <w:t> </w:t>
      </w:r>
      <w:r>
        <w:rPr/>
        <w:t>this</w:t>
      </w:r>
      <w:r>
        <w:rPr>
          <w:spacing w:val="-2"/>
        </w:rPr>
        <w:t> </w:t>
      </w:r>
      <w:r>
        <w:rPr/>
        <w:t>trip.</w:t>
      </w:r>
      <w:r>
        <w:rPr>
          <w:spacing w:val="-3"/>
        </w:rPr>
        <w:t> </w:t>
      </w:r>
      <w:r>
        <w:rPr/>
        <w:t>Field</w:t>
      </w:r>
      <w:r>
        <w:rPr>
          <w:spacing w:val="-3"/>
        </w:rPr>
        <w:t> </w:t>
      </w:r>
      <w:r>
        <w:rPr/>
        <w:t>trips</w:t>
      </w:r>
      <w:r>
        <w:rPr>
          <w:spacing w:val="-2"/>
        </w:rPr>
        <w:t> </w:t>
      </w:r>
      <w:r>
        <w:rPr/>
        <w:t>to</w:t>
      </w:r>
      <w:r>
        <w:rPr>
          <w:spacing w:val="-1"/>
        </w:rPr>
        <w:t> </w:t>
      </w:r>
      <w:r>
        <w:rPr/>
        <w:t>many</w:t>
      </w:r>
      <w:r>
        <w:rPr>
          <w:spacing w:val="-9"/>
        </w:rPr>
        <w:t> </w:t>
      </w:r>
      <w:r>
        <w:rPr/>
        <w:t>other</w:t>
      </w:r>
      <w:r>
        <w:rPr>
          <w:spacing w:val="-2"/>
        </w:rPr>
        <w:t> </w:t>
      </w:r>
      <w:r>
        <w:rPr/>
        <w:t>cities</w:t>
      </w:r>
      <w:r>
        <w:rPr>
          <w:spacing w:val="-2"/>
        </w:rPr>
        <w:t> </w:t>
      </w:r>
      <w:r>
        <w:rPr/>
        <w:t>and/or</w:t>
      </w:r>
      <w:r>
        <w:rPr>
          <w:spacing w:val="-2"/>
        </w:rPr>
        <w:t> </w:t>
      </w:r>
      <w:r>
        <w:rPr/>
        <w:t>attractions</w:t>
      </w:r>
      <w:r>
        <w:rPr>
          <w:spacing w:val="-2"/>
        </w:rPr>
        <w:t> </w:t>
      </w:r>
      <w:r>
        <w:rPr/>
        <w:t>in the U.S. are scheduled by individual faculty members, as well as the architecture student </w:t>
      </w:r>
      <w:r>
        <w:rPr>
          <w:spacing w:val="-2"/>
        </w:rPr>
        <w:t>groups.</w:t>
      </w:r>
    </w:p>
    <w:p>
      <w:pPr>
        <w:pStyle w:val="BodyText"/>
        <w:spacing w:before="8"/>
      </w:pPr>
    </w:p>
    <w:p>
      <w:pPr>
        <w:spacing w:before="0"/>
        <w:ind w:left="1219" w:right="0" w:firstLine="0"/>
        <w:jc w:val="left"/>
        <w:rPr>
          <w:b/>
          <w:sz w:val="20"/>
        </w:rPr>
      </w:pPr>
      <w:r>
        <w:rPr>
          <w:b/>
          <w:spacing w:val="-2"/>
          <w:sz w:val="20"/>
        </w:rPr>
        <w:t>Faculty</w:t>
      </w:r>
    </w:p>
    <w:p>
      <w:pPr>
        <w:pStyle w:val="BodyText"/>
        <w:spacing w:before="1"/>
        <w:rPr>
          <w:b/>
          <w:sz w:val="21"/>
        </w:rPr>
      </w:pPr>
    </w:p>
    <w:p>
      <w:pPr>
        <w:pStyle w:val="BodyText"/>
        <w:ind w:left="1723" w:right="580"/>
      </w:pPr>
      <w:r>
        <w:rPr/>
        <w:t>Faculty</w:t>
      </w:r>
      <w:r>
        <w:rPr>
          <w:spacing w:val="-8"/>
        </w:rPr>
        <w:t> </w:t>
      </w:r>
      <w:r>
        <w:rPr/>
        <w:t>members</w:t>
      </w:r>
      <w:r>
        <w:rPr>
          <w:spacing w:val="-4"/>
        </w:rPr>
        <w:t> </w:t>
      </w:r>
      <w:r>
        <w:rPr/>
        <w:t>are</w:t>
      </w:r>
      <w:r>
        <w:rPr>
          <w:spacing w:val="-5"/>
        </w:rPr>
        <w:t> </w:t>
      </w:r>
      <w:r>
        <w:rPr/>
        <w:t>encouraged</w:t>
      </w:r>
      <w:r>
        <w:rPr>
          <w:spacing w:val="-5"/>
        </w:rPr>
        <w:t> </w:t>
      </w:r>
      <w:r>
        <w:rPr/>
        <w:t>to</w:t>
      </w:r>
      <w:r>
        <w:rPr>
          <w:spacing w:val="-3"/>
        </w:rPr>
        <w:t> </w:t>
      </w:r>
      <w:r>
        <w:rPr/>
        <w:t>participate</w:t>
      </w:r>
      <w:r>
        <w:rPr>
          <w:spacing w:val="-5"/>
        </w:rPr>
        <w:t> </w:t>
      </w:r>
      <w:r>
        <w:rPr/>
        <w:t>in</w:t>
      </w:r>
      <w:r>
        <w:rPr>
          <w:spacing w:val="-5"/>
        </w:rPr>
        <w:t> </w:t>
      </w:r>
      <w:r>
        <w:rPr/>
        <w:t>professional</w:t>
      </w:r>
      <w:r>
        <w:rPr>
          <w:spacing w:val="-6"/>
        </w:rPr>
        <w:t> </w:t>
      </w:r>
      <w:r>
        <w:rPr/>
        <w:t>development</w:t>
      </w:r>
      <w:r>
        <w:rPr>
          <w:spacing w:val="-5"/>
        </w:rPr>
        <w:t> </w:t>
      </w:r>
      <w:r>
        <w:rPr/>
        <w:t>opportunities and are financially supported as far as the budget will allow.</w:t>
      </w:r>
      <w:r>
        <w:rPr>
          <w:spacing w:val="40"/>
        </w:rPr>
        <w:t> </w:t>
      </w:r>
      <w:r>
        <w:rPr/>
        <w:t>Faculty members have attended the ACSA</w:t>
      </w:r>
      <w:r>
        <w:rPr>
          <w:spacing w:val="-1"/>
        </w:rPr>
        <w:t> </w:t>
      </w:r>
      <w:r>
        <w:rPr/>
        <w:t>Construction Materials and Technology</w:t>
      </w:r>
      <w:r>
        <w:rPr>
          <w:spacing w:val="-1"/>
        </w:rPr>
        <w:t> </w:t>
      </w:r>
      <w:r>
        <w:rPr/>
        <w:t>Institute, presented papers at various ACSA Regional and National Conferences, the Conference on Teaching the Beginning Design Student, the International Conference on Making Cities Livable, State and National AIA Conventions, NOMA National Conference, and the ACSA International</w:t>
      </w:r>
    </w:p>
    <w:p>
      <w:pPr>
        <w:spacing w:after="0"/>
        <w:sectPr>
          <w:headerReference w:type="default" r:id="rId36"/>
          <w:footerReference w:type="default" r:id="rId37"/>
          <w:pgSz w:w="12240" w:h="15840"/>
          <w:pgMar w:header="0" w:footer="974" w:top="1360" w:bottom="1160" w:left="940" w:right="960"/>
        </w:sectPr>
      </w:pPr>
    </w:p>
    <w:p>
      <w:pPr>
        <w:pStyle w:val="BodyText"/>
        <w:spacing w:before="77"/>
        <w:ind w:left="1723" w:right="499"/>
      </w:pPr>
      <w:r>
        <w:rPr/>
        <w:t>Meeting. They have moderated sessions at conferences including the ACSA Annual Meeting, and have refereed papers for various conferences, including the Society of Architectural</w:t>
      </w:r>
      <w:r>
        <w:rPr>
          <w:spacing w:val="-1"/>
        </w:rPr>
        <w:t> </w:t>
      </w:r>
      <w:r>
        <w:rPr/>
        <w:t>Historians,</w:t>
      </w:r>
      <w:r>
        <w:rPr>
          <w:spacing w:val="-2"/>
        </w:rPr>
        <w:t> </w:t>
      </w:r>
      <w:r>
        <w:rPr/>
        <w:t>and</w:t>
      </w:r>
      <w:r>
        <w:rPr>
          <w:spacing w:val="-2"/>
        </w:rPr>
        <w:t> </w:t>
      </w:r>
      <w:r>
        <w:rPr/>
        <w:t>have</w:t>
      </w:r>
      <w:r>
        <w:rPr>
          <w:spacing w:val="-2"/>
        </w:rPr>
        <w:t> </w:t>
      </w:r>
      <w:r>
        <w:rPr/>
        <w:t>juried national</w:t>
      </w:r>
      <w:r>
        <w:rPr>
          <w:spacing w:val="-1"/>
        </w:rPr>
        <w:t> </w:t>
      </w:r>
      <w:r>
        <w:rPr/>
        <w:t>design</w:t>
      </w:r>
      <w:r>
        <w:rPr>
          <w:spacing w:val="-2"/>
        </w:rPr>
        <w:t> </w:t>
      </w:r>
      <w:r>
        <w:rPr/>
        <w:t>competitions.</w:t>
      </w:r>
      <w:r>
        <w:rPr>
          <w:spacing w:val="-2"/>
        </w:rPr>
        <w:t> </w:t>
      </w:r>
      <w:r>
        <w:rPr/>
        <w:t>Faculty</w:t>
      </w:r>
      <w:r>
        <w:rPr>
          <w:spacing w:val="-3"/>
        </w:rPr>
        <w:t> </w:t>
      </w:r>
      <w:r>
        <w:rPr/>
        <w:t>have</w:t>
      </w:r>
      <w:r>
        <w:rPr>
          <w:spacing w:val="-2"/>
        </w:rPr>
        <w:t> </w:t>
      </w:r>
      <w:r>
        <w:rPr/>
        <w:t>served as</w:t>
      </w:r>
      <w:r>
        <w:rPr>
          <w:spacing w:val="-4"/>
        </w:rPr>
        <w:t> </w:t>
      </w:r>
      <w:r>
        <w:rPr/>
        <w:t>officers</w:t>
      </w:r>
      <w:r>
        <w:rPr>
          <w:spacing w:val="-4"/>
        </w:rPr>
        <w:t> </w:t>
      </w:r>
      <w:r>
        <w:rPr/>
        <w:t>or</w:t>
      </w:r>
      <w:r>
        <w:rPr>
          <w:spacing w:val="-4"/>
        </w:rPr>
        <w:t> </w:t>
      </w:r>
      <w:r>
        <w:rPr/>
        <w:t>directors</w:t>
      </w:r>
      <w:r>
        <w:rPr>
          <w:spacing w:val="-4"/>
        </w:rPr>
        <w:t> </w:t>
      </w:r>
      <w:r>
        <w:rPr/>
        <w:t>in</w:t>
      </w:r>
      <w:r>
        <w:rPr>
          <w:spacing w:val="-5"/>
        </w:rPr>
        <w:t> </w:t>
      </w:r>
      <w:r>
        <w:rPr/>
        <w:t>organizations</w:t>
      </w:r>
      <w:r>
        <w:rPr>
          <w:spacing w:val="-4"/>
        </w:rPr>
        <w:t> </w:t>
      </w:r>
      <w:r>
        <w:rPr/>
        <w:t>including</w:t>
      </w:r>
      <w:r>
        <w:rPr>
          <w:spacing w:val="-5"/>
        </w:rPr>
        <w:t> </w:t>
      </w:r>
      <w:r>
        <w:rPr/>
        <w:t>the</w:t>
      </w:r>
      <w:r>
        <w:rPr>
          <w:spacing w:val="-5"/>
        </w:rPr>
        <w:t> </w:t>
      </w:r>
      <w:r>
        <w:rPr/>
        <w:t>ACSA,</w:t>
      </w:r>
      <w:r>
        <w:rPr>
          <w:spacing w:val="-5"/>
        </w:rPr>
        <w:t> </w:t>
      </w:r>
      <w:r>
        <w:rPr/>
        <w:t>ACADIA,</w:t>
      </w:r>
      <w:r>
        <w:rPr>
          <w:spacing w:val="-3"/>
        </w:rPr>
        <w:t> </w:t>
      </w:r>
      <w:r>
        <w:rPr/>
        <w:t>AIA</w:t>
      </w:r>
      <w:r>
        <w:rPr>
          <w:spacing w:val="-6"/>
        </w:rPr>
        <w:t> </w:t>
      </w:r>
      <w:r>
        <w:rPr/>
        <w:t>Hampton</w:t>
      </w:r>
      <w:r>
        <w:rPr>
          <w:spacing w:val="-5"/>
        </w:rPr>
        <w:t> </w:t>
      </w:r>
      <w:r>
        <w:rPr/>
        <w:t>Roads, and the USGBC.</w:t>
      </w:r>
      <w:r>
        <w:rPr>
          <w:spacing w:val="40"/>
        </w:rPr>
        <w:t> </w:t>
      </w:r>
      <w:r>
        <w:rPr/>
        <w:t>Sabbaticals and professional leave of absence are available to facilitate research and scholarship.</w:t>
      </w:r>
      <w:r>
        <w:rPr>
          <w:spacing w:val="40"/>
        </w:rPr>
        <w:t> </w:t>
      </w:r>
      <w:r>
        <w:rPr/>
        <w:t>Departmental travel funds may</w:t>
      </w:r>
      <w:r>
        <w:rPr>
          <w:spacing w:val="-3"/>
        </w:rPr>
        <w:t> </w:t>
      </w:r>
      <w:r>
        <w:rPr/>
        <w:t>be applied for (with a priority on recruitment and fundraising travel), and some assistance is available through the Office of the Dean. On other occasions, faculty provide their own funding.</w:t>
      </w:r>
    </w:p>
    <w:p>
      <w:pPr>
        <w:pStyle w:val="BodyText"/>
        <w:spacing w:before="9"/>
      </w:pPr>
    </w:p>
    <w:p>
      <w:pPr>
        <w:spacing w:before="0"/>
        <w:ind w:left="1220" w:right="0" w:firstLine="0"/>
        <w:jc w:val="left"/>
        <w:rPr>
          <w:b/>
          <w:sz w:val="20"/>
        </w:rPr>
      </w:pPr>
      <w:r>
        <w:rPr>
          <w:b/>
          <w:sz w:val="20"/>
        </w:rPr>
        <w:t>Lecturers</w:t>
      </w:r>
      <w:r>
        <w:rPr>
          <w:b/>
          <w:spacing w:val="-10"/>
          <w:sz w:val="20"/>
        </w:rPr>
        <w:t> </w:t>
      </w:r>
      <w:r>
        <w:rPr>
          <w:b/>
          <w:sz w:val="20"/>
        </w:rPr>
        <w:t>and</w:t>
      </w:r>
      <w:r>
        <w:rPr>
          <w:b/>
          <w:spacing w:val="-8"/>
          <w:sz w:val="20"/>
        </w:rPr>
        <w:t> </w:t>
      </w:r>
      <w:r>
        <w:rPr>
          <w:b/>
          <w:spacing w:val="-2"/>
          <w:sz w:val="20"/>
        </w:rPr>
        <w:t>Critics</w:t>
      </w:r>
    </w:p>
    <w:p>
      <w:pPr>
        <w:pStyle w:val="BodyText"/>
        <w:spacing w:before="10"/>
        <w:rPr>
          <w:b/>
        </w:rPr>
      </w:pPr>
    </w:p>
    <w:p>
      <w:pPr>
        <w:pStyle w:val="BodyText"/>
        <w:ind w:left="1724" w:right="524"/>
      </w:pPr>
      <w:r>
        <w:rPr/>
        <w:t>The Chair and faculty have been able to regularly schedule lectures which have been of benefit to student and faculty alike. The Department also has a good working relationship with</w:t>
      </w:r>
      <w:r>
        <w:rPr>
          <w:spacing w:val="-3"/>
        </w:rPr>
        <w:t> </w:t>
      </w:r>
      <w:r>
        <w:rPr/>
        <w:t>the</w:t>
      </w:r>
      <w:r>
        <w:rPr>
          <w:spacing w:val="-3"/>
        </w:rPr>
        <w:t> </w:t>
      </w:r>
      <w:r>
        <w:rPr/>
        <w:t>Virginia</w:t>
      </w:r>
      <w:r>
        <w:rPr>
          <w:spacing w:val="-3"/>
        </w:rPr>
        <w:t> </w:t>
      </w:r>
      <w:r>
        <w:rPr/>
        <w:t>Society</w:t>
      </w:r>
      <w:r>
        <w:rPr>
          <w:spacing w:val="-8"/>
        </w:rPr>
        <w:t> </w:t>
      </w:r>
      <w:r>
        <w:rPr/>
        <w:t>of the</w:t>
      </w:r>
      <w:r>
        <w:rPr>
          <w:spacing w:val="-3"/>
        </w:rPr>
        <w:t> </w:t>
      </w:r>
      <w:r>
        <w:rPr/>
        <w:t>American</w:t>
      </w:r>
      <w:r>
        <w:rPr>
          <w:spacing w:val="-5"/>
        </w:rPr>
        <w:t> </w:t>
      </w:r>
      <w:r>
        <w:rPr/>
        <w:t>Institute</w:t>
      </w:r>
      <w:r>
        <w:rPr>
          <w:spacing w:val="-3"/>
        </w:rPr>
        <w:t> </w:t>
      </w:r>
      <w:r>
        <w:rPr/>
        <w:t>of</w:t>
      </w:r>
      <w:r>
        <w:rPr>
          <w:spacing w:val="-3"/>
        </w:rPr>
        <w:t> </w:t>
      </w:r>
      <w:r>
        <w:rPr/>
        <w:t>Architects</w:t>
      </w:r>
      <w:r>
        <w:rPr>
          <w:spacing w:val="-4"/>
        </w:rPr>
        <w:t> </w:t>
      </w:r>
      <w:r>
        <w:rPr/>
        <w:t>and</w:t>
      </w:r>
      <w:r>
        <w:rPr>
          <w:spacing w:val="-5"/>
        </w:rPr>
        <w:t> </w:t>
      </w:r>
      <w:r>
        <w:rPr/>
        <w:t>AIA-Hampton</w:t>
      </w:r>
      <w:r>
        <w:rPr>
          <w:spacing w:val="-5"/>
        </w:rPr>
        <w:t> </w:t>
      </w:r>
      <w:r>
        <w:rPr/>
        <w:t>Roads,</w:t>
      </w:r>
      <w:r>
        <w:rPr>
          <w:spacing w:val="-3"/>
        </w:rPr>
        <w:t> </w:t>
      </w:r>
      <w:r>
        <w:rPr/>
        <w:t>as well as the Schools of Architecture at the University of Virginia and Virginia Polytechnic Institute and State University (VPI&amp;SU). They have worked diligently to make lectures and programs available to Hampton University students. For the last few years the Department has focused on a weekly event on Friday afternoons at the beginning of studio. Due to budget constraints, these events have primarily featured local speakers, including architects, historians, community activists, and representative of local municipalities. We have also featured architecture faculty from architecture programs in our region. Faculty and students have also presented during these sessions. A list of recent lecturers is included on pages 1-18 through 1-19.</w:t>
      </w:r>
    </w:p>
    <w:p>
      <w:pPr>
        <w:pStyle w:val="BodyText"/>
        <w:spacing w:before="9"/>
      </w:pPr>
    </w:p>
    <w:p>
      <w:pPr>
        <w:spacing w:before="0"/>
        <w:ind w:left="1220" w:right="0" w:firstLine="0"/>
        <w:jc w:val="left"/>
        <w:rPr>
          <w:b/>
          <w:sz w:val="20"/>
        </w:rPr>
      </w:pPr>
      <w:r>
        <w:rPr>
          <w:b/>
          <w:spacing w:val="-2"/>
          <w:sz w:val="20"/>
        </w:rPr>
        <w:t>Exhibits</w:t>
      </w:r>
    </w:p>
    <w:p>
      <w:pPr>
        <w:pStyle w:val="BodyText"/>
        <w:spacing w:before="1"/>
        <w:rPr>
          <w:b/>
          <w:sz w:val="21"/>
        </w:rPr>
      </w:pPr>
    </w:p>
    <w:p>
      <w:pPr>
        <w:pStyle w:val="BodyText"/>
        <w:ind w:left="1724" w:right="499"/>
      </w:pPr>
      <w:r>
        <w:rPr/>
        <w:t>The</w:t>
      </w:r>
      <w:r>
        <w:rPr>
          <w:spacing w:val="-3"/>
        </w:rPr>
        <w:t> </w:t>
      </w:r>
      <w:r>
        <w:rPr/>
        <w:t>small</w:t>
      </w:r>
      <w:r>
        <w:rPr>
          <w:spacing w:val="-4"/>
        </w:rPr>
        <w:t> </w:t>
      </w:r>
      <w:r>
        <w:rPr/>
        <w:t>budget</w:t>
      </w:r>
      <w:r>
        <w:rPr>
          <w:spacing w:val="-1"/>
        </w:rPr>
        <w:t> </w:t>
      </w:r>
      <w:r>
        <w:rPr/>
        <w:t>and</w:t>
      </w:r>
      <w:r>
        <w:rPr>
          <w:spacing w:val="-1"/>
        </w:rPr>
        <w:t> </w:t>
      </w:r>
      <w:r>
        <w:rPr/>
        <w:t>lack</w:t>
      </w:r>
      <w:r>
        <w:rPr>
          <w:spacing w:val="-2"/>
        </w:rPr>
        <w:t> </w:t>
      </w:r>
      <w:r>
        <w:rPr/>
        <w:t>of</w:t>
      </w:r>
      <w:r>
        <w:rPr>
          <w:spacing w:val="-1"/>
        </w:rPr>
        <w:t> </w:t>
      </w:r>
      <w:r>
        <w:rPr/>
        <w:t>a</w:t>
      </w:r>
      <w:r>
        <w:rPr>
          <w:spacing w:val="-3"/>
        </w:rPr>
        <w:t> </w:t>
      </w:r>
      <w:r>
        <w:rPr/>
        <w:t>secure</w:t>
      </w:r>
      <w:r>
        <w:rPr>
          <w:spacing w:val="-3"/>
        </w:rPr>
        <w:t> </w:t>
      </w:r>
      <w:r>
        <w:rPr/>
        <w:t>gallery</w:t>
      </w:r>
      <w:r>
        <w:rPr>
          <w:spacing w:val="-6"/>
        </w:rPr>
        <w:t> </w:t>
      </w:r>
      <w:r>
        <w:rPr/>
        <w:t>space</w:t>
      </w:r>
      <w:r>
        <w:rPr>
          <w:spacing w:val="-1"/>
        </w:rPr>
        <w:t> </w:t>
      </w:r>
      <w:r>
        <w:rPr/>
        <w:t>will</w:t>
      </w:r>
      <w:r>
        <w:rPr>
          <w:spacing w:val="-4"/>
        </w:rPr>
        <w:t> </w:t>
      </w:r>
      <w:r>
        <w:rPr/>
        <w:t>not</w:t>
      </w:r>
      <w:r>
        <w:rPr>
          <w:spacing w:val="-3"/>
        </w:rPr>
        <w:t> </w:t>
      </w:r>
      <w:r>
        <w:rPr/>
        <w:t>support</w:t>
      </w:r>
      <w:r>
        <w:rPr>
          <w:spacing w:val="-3"/>
        </w:rPr>
        <w:t> </w:t>
      </w:r>
      <w:r>
        <w:rPr/>
        <w:t>major</w:t>
      </w:r>
      <w:r>
        <w:rPr>
          <w:spacing w:val="-2"/>
        </w:rPr>
        <w:t> </w:t>
      </w:r>
      <w:r>
        <w:rPr/>
        <w:t>exhibits</w:t>
      </w:r>
      <w:r>
        <w:rPr>
          <w:spacing w:val="-2"/>
        </w:rPr>
        <w:t> </w:t>
      </w:r>
      <w:r>
        <w:rPr/>
        <w:t>in</w:t>
      </w:r>
      <w:r>
        <w:rPr>
          <w:spacing w:val="-3"/>
        </w:rPr>
        <w:t> </w:t>
      </w:r>
      <w:r>
        <w:rPr/>
        <w:t>Bemis Hall. The department participates in the annual VSAIA Prize Student Competition, and the department displays the work of the 32 finalists each year. The work of all participant winners is circulated between the universities.</w:t>
      </w:r>
    </w:p>
    <w:p>
      <w:pPr>
        <w:pStyle w:val="BodyText"/>
        <w:spacing w:before="9"/>
      </w:pPr>
    </w:p>
    <w:p>
      <w:pPr>
        <w:pStyle w:val="BodyText"/>
        <w:spacing w:before="1"/>
        <w:ind w:left="1724"/>
      </w:pPr>
      <w:r>
        <w:rPr/>
        <w:t>The</w:t>
      </w:r>
      <w:r>
        <w:rPr>
          <w:spacing w:val="-4"/>
        </w:rPr>
        <w:t> </w:t>
      </w:r>
      <w:r>
        <w:rPr/>
        <w:t>University</w:t>
      </w:r>
      <w:r>
        <w:rPr>
          <w:spacing w:val="-7"/>
        </w:rPr>
        <w:t> </w:t>
      </w:r>
      <w:r>
        <w:rPr/>
        <w:t>Museum regularly</w:t>
      </w:r>
      <w:r>
        <w:rPr>
          <w:spacing w:val="-7"/>
        </w:rPr>
        <w:t> </w:t>
      </w:r>
      <w:r>
        <w:rPr/>
        <w:t>schedules</w:t>
      </w:r>
      <w:r>
        <w:rPr>
          <w:spacing w:val="-3"/>
        </w:rPr>
        <w:t> </w:t>
      </w:r>
      <w:r>
        <w:rPr/>
        <w:t>major</w:t>
      </w:r>
      <w:r>
        <w:rPr>
          <w:spacing w:val="-3"/>
        </w:rPr>
        <w:t> </w:t>
      </w:r>
      <w:r>
        <w:rPr/>
        <w:t>exhibits</w:t>
      </w:r>
      <w:r>
        <w:rPr>
          <w:spacing w:val="-3"/>
        </w:rPr>
        <w:t> </w:t>
      </w:r>
      <w:r>
        <w:rPr/>
        <w:t>and</w:t>
      </w:r>
      <w:r>
        <w:rPr>
          <w:spacing w:val="-4"/>
        </w:rPr>
        <w:t> </w:t>
      </w:r>
      <w:r>
        <w:rPr/>
        <w:t>the</w:t>
      </w:r>
      <w:r>
        <w:rPr>
          <w:spacing w:val="-4"/>
        </w:rPr>
        <w:t> </w:t>
      </w:r>
      <w:r>
        <w:rPr/>
        <w:t>students are</w:t>
      </w:r>
      <w:r>
        <w:rPr>
          <w:spacing w:val="-4"/>
        </w:rPr>
        <w:t> </w:t>
      </w:r>
      <w:r>
        <w:rPr/>
        <w:t>not</w:t>
      </w:r>
      <w:r>
        <w:rPr>
          <w:spacing w:val="-4"/>
        </w:rPr>
        <w:t> </w:t>
      </w:r>
      <w:r>
        <w:rPr/>
        <w:t>only encouraged to attend, but often are given assignments to view and report.</w:t>
      </w:r>
    </w:p>
    <w:p>
      <w:pPr>
        <w:pStyle w:val="BodyText"/>
        <w:spacing w:before="10"/>
      </w:pPr>
    </w:p>
    <w:p>
      <w:pPr>
        <w:pStyle w:val="BodyText"/>
        <w:ind w:left="1724" w:right="499"/>
      </w:pPr>
      <w:r>
        <w:rPr/>
        <w:t>Student Evaluations – Evaluations of courses and teaching take place at the end of each semester.</w:t>
      </w:r>
      <w:r>
        <w:rPr>
          <w:spacing w:val="-5"/>
        </w:rPr>
        <w:t> </w:t>
      </w:r>
      <w:r>
        <w:rPr/>
        <w:t>These</w:t>
      </w:r>
      <w:r>
        <w:rPr>
          <w:spacing w:val="-5"/>
        </w:rPr>
        <w:t> </w:t>
      </w:r>
      <w:r>
        <w:rPr/>
        <w:t>are</w:t>
      </w:r>
      <w:r>
        <w:rPr>
          <w:spacing w:val="-5"/>
        </w:rPr>
        <w:t> </w:t>
      </w:r>
      <w:r>
        <w:rPr/>
        <w:t>gathered</w:t>
      </w:r>
      <w:r>
        <w:rPr>
          <w:spacing w:val="-5"/>
        </w:rPr>
        <w:t> </w:t>
      </w:r>
      <w:r>
        <w:rPr/>
        <w:t>on</w:t>
      </w:r>
      <w:r>
        <w:rPr>
          <w:spacing w:val="-5"/>
        </w:rPr>
        <w:t> </w:t>
      </w:r>
      <w:r>
        <w:rPr/>
        <w:t>computerized</w:t>
      </w:r>
      <w:r>
        <w:rPr>
          <w:spacing w:val="-5"/>
        </w:rPr>
        <w:t> </w:t>
      </w:r>
      <w:r>
        <w:rPr/>
        <w:t>forms,</w:t>
      </w:r>
      <w:r>
        <w:rPr>
          <w:spacing w:val="-6"/>
        </w:rPr>
        <w:t> </w:t>
      </w:r>
      <w:r>
        <w:rPr/>
        <w:t>with</w:t>
      </w:r>
      <w:r>
        <w:rPr>
          <w:spacing w:val="-3"/>
        </w:rPr>
        <w:t> </w:t>
      </w:r>
      <w:r>
        <w:rPr/>
        <w:t>room for</w:t>
      </w:r>
      <w:r>
        <w:rPr>
          <w:spacing w:val="-4"/>
        </w:rPr>
        <w:t> </w:t>
      </w:r>
      <w:r>
        <w:rPr/>
        <w:t>individual</w:t>
      </w:r>
      <w:r>
        <w:rPr>
          <w:spacing w:val="-4"/>
        </w:rPr>
        <w:t> </w:t>
      </w:r>
      <w:r>
        <w:rPr/>
        <w:t>comments. The</w:t>
      </w:r>
      <w:r>
        <w:rPr>
          <w:spacing w:val="-2"/>
        </w:rPr>
        <w:t> </w:t>
      </w:r>
      <w:r>
        <w:rPr/>
        <w:t>University’s</w:t>
      </w:r>
      <w:r>
        <w:rPr>
          <w:spacing w:val="-1"/>
        </w:rPr>
        <w:t> </w:t>
      </w:r>
      <w:r>
        <w:rPr/>
        <w:t>Center</w:t>
      </w:r>
      <w:r>
        <w:rPr>
          <w:spacing w:val="-1"/>
        </w:rPr>
        <w:t> </w:t>
      </w:r>
      <w:r>
        <w:rPr/>
        <w:t>for Teaching Excellence provides</w:t>
      </w:r>
      <w:r>
        <w:rPr>
          <w:spacing w:val="-1"/>
        </w:rPr>
        <w:t> </w:t>
      </w:r>
      <w:r>
        <w:rPr/>
        <w:t>summary</w:t>
      </w:r>
      <w:r>
        <w:rPr>
          <w:spacing w:val="-8"/>
        </w:rPr>
        <w:t> </w:t>
      </w:r>
      <w:r>
        <w:rPr/>
        <w:t>statistical</w:t>
      </w:r>
      <w:r>
        <w:rPr>
          <w:spacing w:val="-3"/>
        </w:rPr>
        <w:t> </w:t>
      </w:r>
      <w:r>
        <w:rPr/>
        <w:t>feedback to the faculty, and the Department staff provides typed copies of the individual comments to each faculty member, Chair and Dean.</w:t>
      </w:r>
      <w:r>
        <w:rPr>
          <w:spacing w:val="40"/>
        </w:rPr>
        <w:t> </w:t>
      </w:r>
      <w:r>
        <w:rPr/>
        <w:t>Copies of evaluation forms are included in the </w:t>
      </w:r>
      <w:r>
        <w:rPr>
          <w:spacing w:val="-2"/>
        </w:rPr>
        <w:t>appendix.</w:t>
      </w:r>
    </w:p>
    <w:p>
      <w:pPr>
        <w:pStyle w:val="BodyText"/>
        <w:spacing w:before="11"/>
      </w:pPr>
    </w:p>
    <w:p>
      <w:pPr>
        <w:pStyle w:val="BodyText"/>
        <w:ind w:left="1724" w:right="499"/>
      </w:pPr>
      <w:r>
        <w:rPr/>
        <w:t>Sabbatical</w:t>
      </w:r>
      <w:r>
        <w:rPr>
          <w:spacing w:val="-4"/>
        </w:rPr>
        <w:t> </w:t>
      </w:r>
      <w:r>
        <w:rPr/>
        <w:t>Leaves</w:t>
      </w:r>
      <w:r>
        <w:rPr>
          <w:spacing w:val="-1"/>
        </w:rPr>
        <w:t> </w:t>
      </w:r>
      <w:r>
        <w:rPr/>
        <w:t>–</w:t>
      </w:r>
      <w:r>
        <w:rPr>
          <w:spacing w:val="-5"/>
        </w:rPr>
        <w:t> </w:t>
      </w:r>
      <w:r>
        <w:rPr/>
        <w:t>Faculty</w:t>
      </w:r>
      <w:r>
        <w:rPr>
          <w:spacing w:val="-8"/>
        </w:rPr>
        <w:t> </w:t>
      </w:r>
      <w:r>
        <w:rPr/>
        <w:t>members</w:t>
      </w:r>
      <w:r>
        <w:rPr>
          <w:spacing w:val="-4"/>
        </w:rPr>
        <w:t> </w:t>
      </w:r>
      <w:r>
        <w:rPr/>
        <w:t>are</w:t>
      </w:r>
      <w:r>
        <w:rPr>
          <w:spacing w:val="-5"/>
        </w:rPr>
        <w:t> </w:t>
      </w:r>
      <w:r>
        <w:rPr/>
        <w:t>eligible</w:t>
      </w:r>
      <w:r>
        <w:rPr>
          <w:spacing w:val="-3"/>
        </w:rPr>
        <w:t> </w:t>
      </w:r>
      <w:r>
        <w:rPr/>
        <w:t>for</w:t>
      </w:r>
      <w:r>
        <w:rPr>
          <w:spacing w:val="-4"/>
        </w:rPr>
        <w:t> </w:t>
      </w:r>
      <w:r>
        <w:rPr/>
        <w:t>sabbatical</w:t>
      </w:r>
      <w:r>
        <w:rPr>
          <w:spacing w:val="-4"/>
        </w:rPr>
        <w:t> </w:t>
      </w:r>
      <w:r>
        <w:rPr/>
        <w:t>leave</w:t>
      </w:r>
      <w:r>
        <w:rPr>
          <w:spacing w:val="-5"/>
        </w:rPr>
        <w:t> </w:t>
      </w:r>
      <w:r>
        <w:rPr/>
        <w:t>after</w:t>
      </w:r>
      <w:r>
        <w:rPr>
          <w:spacing w:val="-4"/>
        </w:rPr>
        <w:t> </w:t>
      </w:r>
      <w:r>
        <w:rPr/>
        <w:t>six</w:t>
      </w:r>
      <w:r>
        <w:rPr>
          <w:spacing w:val="-4"/>
        </w:rPr>
        <w:t> </w:t>
      </w:r>
      <w:r>
        <w:rPr/>
        <w:t>consecutive years of teaching and research for periods of one semester at full pay or one year at half pay.</w:t>
      </w:r>
      <w:r>
        <w:rPr>
          <w:spacing w:val="40"/>
        </w:rPr>
        <w:t> </w:t>
      </w:r>
      <w:r>
        <w:rPr/>
        <w:t>Leave without pay can be granted for professional development, funded research or </w:t>
      </w:r>
      <w:r>
        <w:rPr>
          <w:spacing w:val="-2"/>
        </w:rPr>
        <w:t>scholarship.</w:t>
      </w:r>
    </w:p>
    <w:p>
      <w:pPr>
        <w:pStyle w:val="BodyText"/>
        <w:spacing w:before="9"/>
      </w:pPr>
    </w:p>
    <w:p>
      <w:pPr>
        <w:pStyle w:val="BodyText"/>
        <w:ind w:left="1723" w:right="580"/>
      </w:pPr>
      <w:r>
        <w:rPr/>
        <w:t>Alumni</w:t>
      </w:r>
      <w:r>
        <w:rPr>
          <w:spacing w:val="-5"/>
        </w:rPr>
        <w:t> </w:t>
      </w:r>
      <w:r>
        <w:rPr/>
        <w:t>Review</w:t>
      </w:r>
      <w:r>
        <w:rPr>
          <w:spacing w:val="-4"/>
        </w:rPr>
        <w:t> </w:t>
      </w:r>
      <w:r>
        <w:rPr/>
        <w:t>–</w:t>
      </w:r>
      <w:r>
        <w:rPr>
          <w:spacing w:val="-4"/>
        </w:rPr>
        <w:t> </w:t>
      </w:r>
      <w:r>
        <w:rPr/>
        <w:t>The</w:t>
      </w:r>
      <w:r>
        <w:rPr>
          <w:spacing w:val="-4"/>
        </w:rPr>
        <w:t> </w:t>
      </w:r>
      <w:r>
        <w:rPr/>
        <w:t>chair</w:t>
      </w:r>
      <w:r>
        <w:rPr>
          <w:spacing w:val="-1"/>
        </w:rPr>
        <w:t> </w:t>
      </w:r>
      <w:r>
        <w:rPr/>
        <w:t>conducts</w:t>
      </w:r>
      <w:r>
        <w:rPr>
          <w:spacing w:val="-3"/>
        </w:rPr>
        <w:t> </w:t>
      </w:r>
      <w:r>
        <w:rPr/>
        <w:t>an</w:t>
      </w:r>
      <w:r>
        <w:rPr>
          <w:spacing w:val="-2"/>
        </w:rPr>
        <w:t> </w:t>
      </w:r>
      <w:r>
        <w:rPr/>
        <w:t>“exit”</w:t>
      </w:r>
      <w:r>
        <w:rPr>
          <w:spacing w:val="-2"/>
        </w:rPr>
        <w:t> </w:t>
      </w:r>
      <w:r>
        <w:rPr/>
        <w:t>interview</w:t>
      </w:r>
      <w:r>
        <w:rPr>
          <w:spacing w:val="-4"/>
        </w:rPr>
        <w:t> </w:t>
      </w:r>
      <w:r>
        <w:rPr/>
        <w:t>and</w:t>
      </w:r>
      <w:r>
        <w:rPr>
          <w:spacing w:val="-4"/>
        </w:rPr>
        <w:t> </w:t>
      </w:r>
      <w:r>
        <w:rPr/>
        <w:t>survey</w:t>
      </w:r>
      <w:r>
        <w:rPr>
          <w:spacing w:val="-7"/>
        </w:rPr>
        <w:t> </w:t>
      </w:r>
      <w:r>
        <w:rPr/>
        <w:t>of</w:t>
      </w:r>
      <w:r>
        <w:rPr>
          <w:spacing w:val="-2"/>
        </w:rPr>
        <w:t> </w:t>
      </w:r>
      <w:r>
        <w:rPr/>
        <w:t>graduating</w:t>
      </w:r>
      <w:r>
        <w:rPr>
          <w:spacing w:val="-4"/>
        </w:rPr>
        <w:t> </w:t>
      </w:r>
      <w:r>
        <w:rPr/>
        <w:t>students, but no formal process of surveying program alumni is currently in place.</w:t>
      </w:r>
      <w:r>
        <w:rPr>
          <w:spacing w:val="40"/>
        </w:rPr>
        <w:t> </w:t>
      </w:r>
      <w:r>
        <w:rPr/>
        <w:t>The desire is to get an in-depth view from people who, through their work, have demonstrated an investment in the program.</w:t>
      </w:r>
    </w:p>
    <w:p>
      <w:pPr>
        <w:pStyle w:val="BodyText"/>
        <w:spacing w:before="10"/>
      </w:pPr>
    </w:p>
    <w:p>
      <w:pPr>
        <w:spacing w:before="0"/>
        <w:ind w:left="1219" w:right="0" w:firstLine="0"/>
        <w:jc w:val="left"/>
        <w:rPr>
          <w:b/>
          <w:sz w:val="20"/>
        </w:rPr>
      </w:pPr>
      <w:r>
        <w:rPr>
          <w:b/>
          <w:sz w:val="20"/>
        </w:rPr>
        <w:t>Research</w:t>
      </w:r>
      <w:r>
        <w:rPr>
          <w:b/>
          <w:spacing w:val="45"/>
          <w:sz w:val="20"/>
        </w:rPr>
        <w:t> </w:t>
      </w:r>
      <w:r>
        <w:rPr>
          <w:b/>
          <w:sz w:val="20"/>
        </w:rPr>
        <w:t>and</w:t>
      </w:r>
      <w:r>
        <w:rPr>
          <w:b/>
          <w:spacing w:val="-5"/>
          <w:sz w:val="20"/>
        </w:rPr>
        <w:t> </w:t>
      </w:r>
      <w:r>
        <w:rPr>
          <w:b/>
          <w:spacing w:val="-2"/>
          <w:sz w:val="20"/>
        </w:rPr>
        <w:t>Scholarship</w:t>
      </w:r>
    </w:p>
    <w:p>
      <w:pPr>
        <w:spacing w:after="0"/>
        <w:jc w:val="left"/>
        <w:rPr>
          <w:sz w:val="20"/>
        </w:rPr>
        <w:sectPr>
          <w:headerReference w:type="default" r:id="rId38"/>
          <w:footerReference w:type="default" r:id="rId39"/>
          <w:pgSz w:w="12240" w:h="15840"/>
          <w:pgMar w:header="0" w:footer="974" w:top="1360" w:bottom="1160" w:left="940" w:right="960"/>
        </w:sectPr>
      </w:pPr>
    </w:p>
    <w:p>
      <w:pPr>
        <w:pStyle w:val="BodyText"/>
        <w:spacing w:before="77"/>
        <w:ind w:left="1723" w:right="705"/>
      </w:pPr>
      <w:r>
        <w:rPr/>
        <w:t>Since the last visit, the faculty has been active in the delivery of conference papers, scholarly</w:t>
      </w:r>
      <w:r>
        <w:rPr>
          <w:spacing w:val="-7"/>
        </w:rPr>
        <w:t> </w:t>
      </w:r>
      <w:r>
        <w:rPr/>
        <w:t>publications,</w:t>
      </w:r>
      <w:r>
        <w:rPr>
          <w:spacing w:val="-3"/>
        </w:rPr>
        <w:t> </w:t>
      </w:r>
      <w:r>
        <w:rPr/>
        <w:t>design,</w:t>
      </w:r>
      <w:r>
        <w:rPr>
          <w:spacing w:val="-4"/>
        </w:rPr>
        <w:t> </w:t>
      </w:r>
      <w:r>
        <w:rPr/>
        <w:t>research,</w:t>
      </w:r>
      <w:r>
        <w:rPr>
          <w:spacing w:val="-3"/>
        </w:rPr>
        <w:t> </w:t>
      </w:r>
      <w:r>
        <w:rPr/>
        <w:t>grants,</w:t>
      </w:r>
      <w:r>
        <w:rPr>
          <w:spacing w:val="-4"/>
        </w:rPr>
        <w:t> </w:t>
      </w:r>
      <w:r>
        <w:rPr/>
        <w:t>and</w:t>
      </w:r>
      <w:r>
        <w:rPr>
          <w:spacing w:val="-4"/>
        </w:rPr>
        <w:t> </w:t>
      </w:r>
      <w:r>
        <w:rPr/>
        <w:t>public</w:t>
      </w:r>
      <w:r>
        <w:rPr>
          <w:spacing w:val="-3"/>
        </w:rPr>
        <w:t> </w:t>
      </w:r>
      <w:r>
        <w:rPr/>
        <w:t>speaking.</w:t>
      </w:r>
      <w:r>
        <w:rPr>
          <w:spacing w:val="40"/>
        </w:rPr>
        <w:t> </w:t>
      </w:r>
      <w:r>
        <w:rPr/>
        <w:t>A</w:t>
      </w:r>
      <w:r>
        <w:rPr>
          <w:spacing w:val="-3"/>
        </w:rPr>
        <w:t> </w:t>
      </w:r>
      <w:r>
        <w:rPr/>
        <w:t>list</w:t>
      </w:r>
      <w:r>
        <w:rPr>
          <w:spacing w:val="-3"/>
        </w:rPr>
        <w:t> </w:t>
      </w:r>
      <w:r>
        <w:rPr/>
        <w:t>of</w:t>
      </w:r>
      <w:r>
        <w:rPr>
          <w:spacing w:val="-3"/>
        </w:rPr>
        <w:t> </w:t>
      </w:r>
      <w:r>
        <w:rPr/>
        <w:t>scholarly work is provided in section 1.1.3.1, on pages 1-21 through 1-24.</w:t>
      </w:r>
    </w:p>
    <w:p>
      <w:pPr>
        <w:pStyle w:val="BodyText"/>
        <w:spacing w:before="9"/>
      </w:pPr>
    </w:p>
    <w:p>
      <w:pPr>
        <w:pStyle w:val="BodyText"/>
        <w:ind w:left="1723" w:right="580"/>
      </w:pPr>
      <w:r>
        <w:rPr/>
        <w:t>Book</w:t>
      </w:r>
      <w:r>
        <w:rPr>
          <w:spacing w:val="-1"/>
        </w:rPr>
        <w:t> </w:t>
      </w:r>
      <w:r>
        <w:rPr/>
        <w:t>chapters</w:t>
      </w:r>
      <w:r>
        <w:rPr>
          <w:spacing w:val="-4"/>
        </w:rPr>
        <w:t> </w:t>
      </w:r>
      <w:r>
        <w:rPr/>
        <w:t>by</w:t>
      </w:r>
      <w:r>
        <w:rPr>
          <w:spacing w:val="-8"/>
        </w:rPr>
        <w:t> </w:t>
      </w:r>
      <w:r>
        <w:rPr/>
        <w:t>Chance, Loomis</w:t>
      </w:r>
      <w:r>
        <w:rPr>
          <w:spacing w:val="-4"/>
        </w:rPr>
        <w:t> </w:t>
      </w:r>
      <w:r>
        <w:rPr/>
        <w:t>and</w:t>
      </w:r>
      <w:r>
        <w:rPr>
          <w:spacing w:val="-3"/>
        </w:rPr>
        <w:t> </w:t>
      </w:r>
      <w:r>
        <w:rPr/>
        <w:t>Sanchez-del-Valle</w:t>
      </w:r>
      <w:r>
        <w:rPr>
          <w:spacing w:val="-5"/>
        </w:rPr>
        <w:t> </w:t>
      </w:r>
      <w:r>
        <w:rPr/>
        <w:t>have</w:t>
      </w:r>
      <w:r>
        <w:rPr>
          <w:spacing w:val="-5"/>
        </w:rPr>
        <w:t> </w:t>
      </w:r>
      <w:r>
        <w:rPr/>
        <w:t>been</w:t>
      </w:r>
      <w:r>
        <w:rPr>
          <w:spacing w:val="-3"/>
        </w:rPr>
        <w:t> </w:t>
      </w:r>
      <w:r>
        <w:rPr/>
        <w:t>published.</w:t>
      </w:r>
      <w:r>
        <w:rPr>
          <w:spacing w:val="-3"/>
        </w:rPr>
        <w:t> </w:t>
      </w:r>
      <w:r>
        <w:rPr/>
        <w:t>A</w:t>
      </w:r>
      <w:r>
        <w:rPr>
          <w:spacing w:val="-6"/>
        </w:rPr>
        <w:t> </w:t>
      </w:r>
      <w:r>
        <w:rPr/>
        <w:t>number of peer-reviewed essays by faculty members have been published.</w:t>
      </w:r>
    </w:p>
    <w:p>
      <w:pPr>
        <w:pStyle w:val="BodyText"/>
        <w:spacing w:before="8"/>
      </w:pPr>
    </w:p>
    <w:p>
      <w:pPr>
        <w:spacing w:before="0"/>
        <w:ind w:left="1219" w:right="0" w:firstLine="0"/>
        <w:jc w:val="left"/>
        <w:rPr>
          <w:b/>
          <w:sz w:val="20"/>
        </w:rPr>
      </w:pPr>
      <w:r>
        <w:rPr>
          <w:b/>
          <w:spacing w:val="-2"/>
          <w:sz w:val="20"/>
        </w:rPr>
        <w:t>Professional</w:t>
      </w:r>
      <w:r>
        <w:rPr>
          <w:b/>
          <w:spacing w:val="7"/>
          <w:sz w:val="20"/>
        </w:rPr>
        <w:t> </w:t>
      </w:r>
      <w:r>
        <w:rPr>
          <w:b/>
          <w:spacing w:val="-2"/>
          <w:sz w:val="20"/>
        </w:rPr>
        <w:t>Currency</w:t>
      </w:r>
    </w:p>
    <w:p>
      <w:pPr>
        <w:pStyle w:val="BodyText"/>
        <w:spacing w:before="1"/>
        <w:rPr>
          <w:b/>
          <w:sz w:val="21"/>
        </w:rPr>
      </w:pPr>
    </w:p>
    <w:p>
      <w:pPr>
        <w:pStyle w:val="BodyText"/>
        <w:spacing w:before="1"/>
        <w:ind w:left="1723" w:right="493"/>
      </w:pPr>
      <w:r>
        <w:rPr/>
        <w:t>All seven of the full time faculty are registered architects. Three of these remain involved in active</w:t>
      </w:r>
      <w:r>
        <w:rPr>
          <w:spacing w:val="-4"/>
        </w:rPr>
        <w:t> </w:t>
      </w:r>
      <w:r>
        <w:rPr/>
        <w:t>practices.</w:t>
      </w:r>
      <w:r>
        <w:rPr>
          <w:spacing w:val="-4"/>
        </w:rPr>
        <w:t> </w:t>
      </w:r>
      <w:r>
        <w:rPr/>
        <w:t>All</w:t>
      </w:r>
      <w:r>
        <w:rPr>
          <w:spacing w:val="-3"/>
        </w:rPr>
        <w:t> </w:t>
      </w:r>
      <w:r>
        <w:rPr/>
        <w:t>licensed</w:t>
      </w:r>
      <w:r>
        <w:rPr>
          <w:spacing w:val="-4"/>
        </w:rPr>
        <w:t> </w:t>
      </w:r>
      <w:r>
        <w:rPr/>
        <w:t>faculty</w:t>
      </w:r>
      <w:r>
        <w:rPr>
          <w:spacing w:val="-7"/>
        </w:rPr>
        <w:t> </w:t>
      </w:r>
      <w:r>
        <w:rPr/>
        <w:t>members</w:t>
      </w:r>
      <w:r>
        <w:rPr>
          <w:spacing w:val="-5"/>
        </w:rPr>
        <w:t> </w:t>
      </w:r>
      <w:r>
        <w:rPr/>
        <w:t>must</w:t>
      </w:r>
      <w:r>
        <w:rPr>
          <w:spacing w:val="-4"/>
        </w:rPr>
        <w:t> </w:t>
      </w:r>
      <w:r>
        <w:rPr/>
        <w:t>accumulate</w:t>
      </w:r>
      <w:r>
        <w:rPr>
          <w:spacing w:val="-4"/>
        </w:rPr>
        <w:t> </w:t>
      </w:r>
      <w:r>
        <w:rPr/>
        <w:t>continuing</w:t>
      </w:r>
      <w:r>
        <w:rPr>
          <w:spacing w:val="-3"/>
        </w:rPr>
        <w:t> </w:t>
      </w:r>
      <w:r>
        <w:rPr/>
        <w:t>education</w:t>
      </w:r>
      <w:r>
        <w:rPr>
          <w:spacing w:val="-4"/>
        </w:rPr>
        <w:t> </w:t>
      </w:r>
      <w:r>
        <w:rPr/>
        <w:t>credits to maintain their registration. Through conferences and workshops, involvement in professional organizations, teaching, research, and contact with colleagues, the faculty</w:t>
      </w:r>
      <w:r>
        <w:rPr>
          <w:spacing w:val="40"/>
        </w:rPr>
        <w:t> </w:t>
      </w:r>
      <w:r>
        <w:rPr/>
        <w:t>does an</w:t>
      </w:r>
      <w:r>
        <w:rPr>
          <w:spacing w:val="-1"/>
        </w:rPr>
        <w:t> </w:t>
      </w:r>
      <w:r>
        <w:rPr/>
        <w:t>excellent</w:t>
      </w:r>
      <w:r>
        <w:rPr>
          <w:spacing w:val="-1"/>
        </w:rPr>
        <w:t> </w:t>
      </w:r>
      <w:r>
        <w:rPr/>
        <w:t>job of</w:t>
      </w:r>
      <w:r>
        <w:rPr>
          <w:spacing w:val="-1"/>
        </w:rPr>
        <w:t> </w:t>
      </w:r>
      <w:r>
        <w:rPr/>
        <w:t>maintaining abreast</w:t>
      </w:r>
      <w:r>
        <w:rPr>
          <w:spacing w:val="-1"/>
        </w:rPr>
        <w:t> </w:t>
      </w:r>
      <w:r>
        <w:rPr/>
        <w:t>of issues facing the professions of architecture and education.</w:t>
      </w:r>
      <w:r>
        <w:rPr>
          <w:spacing w:val="40"/>
        </w:rPr>
        <w:t> </w:t>
      </w:r>
      <w:r>
        <w:rPr/>
        <w:t>Knowledge is maintained in part by</w:t>
      </w:r>
      <w:r>
        <w:rPr>
          <w:spacing w:val="-2"/>
        </w:rPr>
        <w:t> </w:t>
      </w:r>
      <w:r>
        <w:rPr/>
        <w:t>teaching with practicing adjunct faculty, and serving as consultants during the summer break. Several faculty maintain a limited involvement in projects in the Hampton Roads area.</w:t>
      </w:r>
    </w:p>
    <w:p>
      <w:pPr>
        <w:pStyle w:val="BodyText"/>
        <w:spacing w:before="11"/>
      </w:pPr>
    </w:p>
    <w:p>
      <w:pPr>
        <w:pStyle w:val="BodyText"/>
        <w:spacing w:line="487" w:lineRule="auto"/>
        <w:ind w:left="1939" w:right="705" w:hanging="216"/>
      </w:pPr>
      <w:r>
        <w:rPr/>
        <w:t>Faculty</w:t>
      </w:r>
      <w:r>
        <w:rPr>
          <w:spacing w:val="-8"/>
        </w:rPr>
        <w:t> </w:t>
      </w:r>
      <w:r>
        <w:rPr/>
        <w:t>members</w:t>
      </w:r>
      <w:r>
        <w:rPr>
          <w:spacing w:val="-4"/>
        </w:rPr>
        <w:t> </w:t>
      </w:r>
      <w:r>
        <w:rPr/>
        <w:t>also</w:t>
      </w:r>
      <w:r>
        <w:rPr>
          <w:spacing w:val="-5"/>
        </w:rPr>
        <w:t> </w:t>
      </w:r>
      <w:r>
        <w:rPr/>
        <w:t>attend</w:t>
      </w:r>
      <w:r>
        <w:rPr>
          <w:spacing w:val="-5"/>
        </w:rPr>
        <w:t> </w:t>
      </w:r>
      <w:r>
        <w:rPr/>
        <w:t>a</w:t>
      </w:r>
      <w:r>
        <w:rPr>
          <w:spacing w:val="-3"/>
        </w:rPr>
        <w:t> </w:t>
      </w:r>
      <w:r>
        <w:rPr/>
        <w:t>number</w:t>
      </w:r>
      <w:r>
        <w:rPr>
          <w:spacing w:val="-4"/>
        </w:rPr>
        <w:t> </w:t>
      </w:r>
      <w:r>
        <w:rPr/>
        <w:t>of</w:t>
      </w:r>
      <w:r>
        <w:rPr>
          <w:spacing w:val="-3"/>
        </w:rPr>
        <w:t> </w:t>
      </w:r>
      <w:r>
        <w:rPr/>
        <w:t>conferences.</w:t>
      </w:r>
      <w:r>
        <w:rPr>
          <w:spacing w:val="-5"/>
        </w:rPr>
        <w:t> </w:t>
      </w:r>
      <w:r>
        <w:rPr/>
        <w:t>Recent</w:t>
      </w:r>
      <w:r>
        <w:rPr>
          <w:spacing w:val="-5"/>
        </w:rPr>
        <w:t> </w:t>
      </w:r>
      <w:r>
        <w:rPr/>
        <w:t>Conferences</w:t>
      </w:r>
      <w:r>
        <w:rPr>
          <w:spacing w:val="-4"/>
        </w:rPr>
        <w:t> </w:t>
      </w:r>
      <w:r>
        <w:rPr/>
        <w:t>include: National Organization of Minority Architects Annual Conference</w:t>
      </w:r>
    </w:p>
    <w:p>
      <w:pPr>
        <w:pStyle w:val="BodyText"/>
        <w:spacing w:before="4"/>
        <w:ind w:left="1939"/>
      </w:pPr>
      <w:r>
        <w:rPr/>
        <w:t>American</w:t>
      </w:r>
      <w:r>
        <w:rPr>
          <w:spacing w:val="-10"/>
        </w:rPr>
        <w:t> </w:t>
      </w:r>
      <w:r>
        <w:rPr/>
        <w:t>Institute</w:t>
      </w:r>
      <w:r>
        <w:rPr>
          <w:spacing w:val="-7"/>
        </w:rPr>
        <w:t> </w:t>
      </w:r>
      <w:r>
        <w:rPr/>
        <w:t>of</w:t>
      </w:r>
      <w:r>
        <w:rPr>
          <w:spacing w:val="-7"/>
        </w:rPr>
        <w:t> </w:t>
      </w:r>
      <w:r>
        <w:rPr/>
        <w:t>Architects</w:t>
      </w:r>
      <w:r>
        <w:rPr>
          <w:spacing w:val="-8"/>
        </w:rPr>
        <w:t> </w:t>
      </w:r>
      <w:r>
        <w:rPr/>
        <w:t>Annual</w:t>
      </w:r>
      <w:r>
        <w:rPr>
          <w:spacing w:val="-9"/>
        </w:rPr>
        <w:t> </w:t>
      </w:r>
      <w:r>
        <w:rPr>
          <w:spacing w:val="-2"/>
        </w:rPr>
        <w:t>Convention</w:t>
      </w:r>
    </w:p>
    <w:p>
      <w:pPr>
        <w:pStyle w:val="BodyText"/>
        <w:spacing w:before="11"/>
      </w:pPr>
    </w:p>
    <w:p>
      <w:pPr>
        <w:pStyle w:val="BodyText"/>
        <w:spacing w:line="491" w:lineRule="auto"/>
        <w:ind w:left="1939" w:right="2123" w:hanging="1"/>
      </w:pPr>
      <w:r>
        <w:rPr/>
        <w:t>Virginia</w:t>
      </w:r>
      <w:r>
        <w:rPr>
          <w:spacing w:val="-4"/>
        </w:rPr>
        <w:t> </w:t>
      </w:r>
      <w:r>
        <w:rPr/>
        <w:t>Society</w:t>
      </w:r>
      <w:r>
        <w:rPr>
          <w:spacing w:val="-7"/>
        </w:rPr>
        <w:t> </w:t>
      </w:r>
      <w:r>
        <w:rPr/>
        <w:t>of</w:t>
      </w:r>
      <w:r>
        <w:rPr>
          <w:spacing w:val="-4"/>
        </w:rPr>
        <w:t> </w:t>
      </w:r>
      <w:r>
        <w:rPr/>
        <w:t>Architect’s</w:t>
      </w:r>
      <w:r>
        <w:rPr>
          <w:spacing w:val="-5"/>
        </w:rPr>
        <w:t> </w:t>
      </w:r>
      <w:r>
        <w:rPr/>
        <w:t>Annual</w:t>
      </w:r>
      <w:r>
        <w:rPr>
          <w:spacing w:val="-7"/>
        </w:rPr>
        <w:t> </w:t>
      </w:r>
      <w:r>
        <w:rPr/>
        <w:t>Conference</w:t>
      </w:r>
      <w:r>
        <w:rPr>
          <w:spacing w:val="-4"/>
        </w:rPr>
        <w:t> </w:t>
      </w:r>
      <w:r>
        <w:rPr/>
        <w:t>in</w:t>
      </w:r>
      <w:r>
        <w:rPr>
          <w:spacing w:val="-6"/>
        </w:rPr>
        <w:t> </w:t>
      </w:r>
      <w:r>
        <w:rPr/>
        <w:t>Richmond,</w:t>
      </w:r>
      <w:r>
        <w:rPr>
          <w:spacing w:val="-6"/>
        </w:rPr>
        <w:t> </w:t>
      </w:r>
      <w:r>
        <w:rPr/>
        <w:t>VA Associate Collegiate Schools of Architecture Meetings including Administrator’s Conference</w:t>
      </w:r>
    </w:p>
    <w:p>
      <w:pPr>
        <w:pStyle w:val="BodyText"/>
        <w:spacing w:line="227" w:lineRule="exact"/>
        <w:ind w:left="1939"/>
      </w:pPr>
      <w:r>
        <w:rPr/>
        <w:t>American</w:t>
      </w:r>
      <w:r>
        <w:rPr>
          <w:spacing w:val="-11"/>
        </w:rPr>
        <w:t> </w:t>
      </w:r>
      <w:r>
        <w:rPr/>
        <w:t>Institute</w:t>
      </w:r>
      <w:r>
        <w:rPr>
          <w:spacing w:val="-8"/>
        </w:rPr>
        <w:t> </w:t>
      </w:r>
      <w:r>
        <w:rPr/>
        <w:t>of</w:t>
      </w:r>
      <w:r>
        <w:rPr>
          <w:spacing w:val="-8"/>
        </w:rPr>
        <w:t> </w:t>
      </w:r>
      <w:r>
        <w:rPr/>
        <w:t>Architectural</w:t>
      </w:r>
      <w:r>
        <w:rPr>
          <w:spacing w:val="-10"/>
        </w:rPr>
        <w:t> </w:t>
      </w:r>
      <w:r>
        <w:rPr>
          <w:spacing w:val="-2"/>
        </w:rPr>
        <w:t>Students</w:t>
      </w:r>
    </w:p>
    <w:p>
      <w:pPr>
        <w:spacing w:after="0" w:line="227" w:lineRule="exact"/>
        <w:sectPr>
          <w:headerReference w:type="default" r:id="rId40"/>
          <w:footerReference w:type="default" r:id="rId41"/>
          <w:pgSz w:w="12240" w:h="15840"/>
          <w:pgMar w:header="0" w:footer="974" w:top="1360" w:bottom="1160" w:left="940" w:right="960"/>
        </w:sectPr>
      </w:pPr>
    </w:p>
    <w:p>
      <w:pPr>
        <w:pStyle w:val="Heading5"/>
        <w:numPr>
          <w:ilvl w:val="2"/>
          <w:numId w:val="25"/>
        </w:numPr>
        <w:tabs>
          <w:tab w:pos="1219" w:val="left" w:leader="none"/>
          <w:tab w:pos="1221" w:val="left" w:leader="none"/>
        </w:tabs>
        <w:spacing w:line="240" w:lineRule="auto" w:before="74" w:after="0"/>
        <w:ind w:left="1220" w:right="0" w:hanging="887"/>
        <w:jc w:val="left"/>
      </w:pPr>
      <w:bookmarkStart w:name="_TOC_250007" w:id="52"/>
      <w:r>
        <w:rPr/>
        <w:t>Administrative</w:t>
      </w:r>
      <w:r>
        <w:rPr>
          <w:spacing w:val="-7"/>
        </w:rPr>
        <w:t> </w:t>
      </w:r>
      <w:r>
        <w:rPr/>
        <w:t>Structure</w:t>
      </w:r>
      <w:r>
        <w:rPr>
          <w:spacing w:val="-6"/>
        </w:rPr>
        <w:t> </w:t>
      </w:r>
      <w:r>
        <w:rPr/>
        <w:t>and</w:t>
      </w:r>
      <w:r>
        <w:rPr>
          <w:spacing w:val="-7"/>
        </w:rPr>
        <w:t> </w:t>
      </w:r>
      <w:bookmarkEnd w:id="52"/>
      <w:r>
        <w:rPr>
          <w:spacing w:val="-2"/>
        </w:rPr>
        <w:t>Governance</w:t>
      </w:r>
    </w:p>
    <w:p>
      <w:pPr>
        <w:pStyle w:val="BodyText"/>
        <w:spacing w:before="243"/>
        <w:ind w:left="1723" w:right="499"/>
      </w:pPr>
      <w:r>
        <w:rPr/>
        <w:t>Hampton</w:t>
      </w:r>
      <w:r>
        <w:rPr>
          <w:spacing w:val="-5"/>
        </w:rPr>
        <w:t> </w:t>
      </w:r>
      <w:r>
        <w:rPr/>
        <w:t>University</w:t>
      </w:r>
      <w:r>
        <w:rPr>
          <w:spacing w:val="-5"/>
        </w:rPr>
        <w:t> </w:t>
      </w:r>
      <w:r>
        <w:rPr/>
        <w:t>is</w:t>
      </w:r>
      <w:r>
        <w:rPr>
          <w:spacing w:val="-4"/>
        </w:rPr>
        <w:t> </w:t>
      </w:r>
      <w:r>
        <w:rPr/>
        <w:t>accredited</w:t>
      </w:r>
      <w:r>
        <w:rPr>
          <w:spacing w:val="-3"/>
        </w:rPr>
        <w:t> </w:t>
      </w:r>
      <w:r>
        <w:rPr/>
        <w:t>by</w:t>
      </w:r>
      <w:r>
        <w:rPr>
          <w:spacing w:val="-5"/>
        </w:rPr>
        <w:t> </w:t>
      </w:r>
      <w:r>
        <w:rPr/>
        <w:t>the</w:t>
      </w:r>
      <w:r>
        <w:rPr>
          <w:spacing w:val="-3"/>
        </w:rPr>
        <w:t> </w:t>
      </w:r>
      <w:r>
        <w:rPr/>
        <w:t>Southern</w:t>
      </w:r>
      <w:r>
        <w:rPr>
          <w:spacing w:val="-5"/>
        </w:rPr>
        <w:t> </w:t>
      </w:r>
      <w:r>
        <w:rPr/>
        <w:t>Association</w:t>
      </w:r>
      <w:r>
        <w:rPr>
          <w:spacing w:val="-3"/>
        </w:rPr>
        <w:t> </w:t>
      </w:r>
      <w:r>
        <w:rPr/>
        <w:t>of</w:t>
      </w:r>
      <w:r>
        <w:rPr>
          <w:spacing w:val="-3"/>
        </w:rPr>
        <w:t> </w:t>
      </w:r>
      <w:r>
        <w:rPr/>
        <w:t>Colleges</w:t>
      </w:r>
      <w:r>
        <w:rPr>
          <w:spacing w:val="-4"/>
        </w:rPr>
        <w:t> </w:t>
      </w:r>
      <w:r>
        <w:rPr/>
        <w:t>and</w:t>
      </w:r>
      <w:r>
        <w:rPr>
          <w:spacing w:val="-5"/>
        </w:rPr>
        <w:t> </w:t>
      </w:r>
      <w:r>
        <w:rPr/>
        <w:t>Schools</w:t>
      </w:r>
      <w:r>
        <w:rPr>
          <w:spacing w:val="-4"/>
        </w:rPr>
        <w:t> </w:t>
      </w:r>
      <w:r>
        <w:rPr/>
        <w:t>and the Department of Education of the Commonwealth of Virginia.</w:t>
      </w:r>
      <w:r>
        <w:rPr>
          <w:spacing w:val="40"/>
        </w:rPr>
        <w:t> </w:t>
      </w:r>
      <w:r>
        <w:rPr/>
        <w:t>The University holds membership in the Council of Graduate Schools, the Council of Independent Colleges in Virginia and the American Council of Education.</w:t>
      </w:r>
    </w:p>
    <w:p>
      <w:pPr>
        <w:pStyle w:val="BodyText"/>
        <w:spacing w:before="9"/>
      </w:pPr>
    </w:p>
    <w:p>
      <w:pPr>
        <w:pStyle w:val="BodyText"/>
        <w:ind w:left="1724" w:right="499"/>
      </w:pPr>
      <w:r>
        <w:rPr/>
        <w:t>The Department of Architecture is located in the School of Engineering and Technology, which</w:t>
      </w:r>
      <w:r>
        <w:rPr>
          <w:spacing w:val="-3"/>
        </w:rPr>
        <w:t> </w:t>
      </w:r>
      <w:r>
        <w:rPr/>
        <w:t>is</w:t>
      </w:r>
      <w:r>
        <w:rPr>
          <w:spacing w:val="-4"/>
        </w:rPr>
        <w:t> </w:t>
      </w:r>
      <w:r>
        <w:rPr/>
        <w:t>part</w:t>
      </w:r>
      <w:r>
        <w:rPr>
          <w:spacing w:val="-3"/>
        </w:rPr>
        <w:t> </w:t>
      </w:r>
      <w:r>
        <w:rPr/>
        <w:t>of</w:t>
      </w:r>
      <w:r>
        <w:rPr>
          <w:spacing w:val="-3"/>
        </w:rPr>
        <w:t> </w:t>
      </w:r>
      <w:r>
        <w:rPr/>
        <w:t>the</w:t>
      </w:r>
      <w:r>
        <w:rPr>
          <w:spacing w:val="-5"/>
        </w:rPr>
        <w:t> </w:t>
      </w:r>
      <w:r>
        <w:rPr/>
        <w:t>Undergraduate</w:t>
      </w:r>
      <w:r>
        <w:rPr>
          <w:spacing w:val="-5"/>
        </w:rPr>
        <w:t> </w:t>
      </w:r>
      <w:r>
        <w:rPr/>
        <w:t>College</w:t>
      </w:r>
      <w:r>
        <w:rPr>
          <w:spacing w:val="-5"/>
        </w:rPr>
        <w:t> </w:t>
      </w:r>
      <w:r>
        <w:rPr/>
        <w:t>(Hampton</w:t>
      </w:r>
      <w:r>
        <w:rPr>
          <w:spacing w:val="-5"/>
        </w:rPr>
        <w:t> </w:t>
      </w:r>
      <w:r>
        <w:rPr/>
        <w:t>Institute).</w:t>
      </w:r>
      <w:r>
        <w:rPr>
          <w:spacing w:val="40"/>
        </w:rPr>
        <w:t> </w:t>
      </w:r>
      <w:r>
        <w:rPr/>
        <w:t>Other</w:t>
      </w:r>
      <w:r>
        <w:rPr>
          <w:spacing w:val="-4"/>
        </w:rPr>
        <w:t> </w:t>
      </w:r>
      <w:r>
        <w:rPr/>
        <w:t>degree</w:t>
      </w:r>
      <w:r>
        <w:rPr>
          <w:spacing w:val="-3"/>
        </w:rPr>
        <w:t> </w:t>
      </w:r>
      <w:r>
        <w:rPr/>
        <w:t>departments in this school are:</w:t>
      </w:r>
    </w:p>
    <w:p>
      <w:pPr>
        <w:pStyle w:val="BodyText"/>
        <w:rPr>
          <w:sz w:val="21"/>
        </w:rPr>
      </w:pPr>
    </w:p>
    <w:p>
      <w:pPr>
        <w:pStyle w:val="BodyText"/>
        <w:ind w:left="1939" w:right="3886"/>
      </w:pPr>
      <w:r>
        <w:rPr/>
        <w:t>Department of Aviation (five (5) majors) Department</w:t>
      </w:r>
      <w:r>
        <w:rPr>
          <w:spacing w:val="-9"/>
        </w:rPr>
        <w:t> </w:t>
      </w:r>
      <w:r>
        <w:rPr/>
        <w:t>of</w:t>
      </w:r>
      <w:r>
        <w:rPr>
          <w:spacing w:val="-7"/>
        </w:rPr>
        <w:t> </w:t>
      </w:r>
      <w:r>
        <w:rPr/>
        <w:t>Engineering</w:t>
      </w:r>
      <w:r>
        <w:rPr>
          <w:spacing w:val="-7"/>
        </w:rPr>
        <w:t> </w:t>
      </w:r>
      <w:r>
        <w:rPr/>
        <w:t>(two</w:t>
      </w:r>
      <w:r>
        <w:rPr>
          <w:spacing w:val="-7"/>
        </w:rPr>
        <w:t> </w:t>
      </w:r>
      <w:r>
        <w:rPr/>
        <w:t>(2)</w:t>
      </w:r>
      <w:r>
        <w:rPr>
          <w:spacing w:val="-8"/>
        </w:rPr>
        <w:t> </w:t>
      </w:r>
      <w:r>
        <w:rPr/>
        <w:t>majors</w:t>
      </w:r>
    </w:p>
    <w:p>
      <w:pPr>
        <w:pStyle w:val="BodyText"/>
        <w:spacing w:before="10"/>
      </w:pPr>
    </w:p>
    <w:p>
      <w:pPr>
        <w:pStyle w:val="BodyText"/>
        <w:spacing w:before="1"/>
        <w:ind w:left="1723" w:right="499"/>
      </w:pPr>
      <w:r>
        <w:rPr/>
        <w:t>The chief administrator of the school is the Dean, Dr. Eric Sheppard. The position of Assistant</w:t>
      </w:r>
      <w:r>
        <w:rPr>
          <w:spacing w:val="-3"/>
        </w:rPr>
        <w:t> </w:t>
      </w:r>
      <w:r>
        <w:rPr/>
        <w:t>Dean</w:t>
      </w:r>
      <w:r>
        <w:rPr>
          <w:spacing w:val="-3"/>
        </w:rPr>
        <w:t> </w:t>
      </w:r>
      <w:r>
        <w:rPr/>
        <w:t>is</w:t>
      </w:r>
      <w:r>
        <w:rPr>
          <w:spacing w:val="-2"/>
        </w:rPr>
        <w:t> </w:t>
      </w:r>
      <w:r>
        <w:rPr/>
        <w:t>held</w:t>
      </w:r>
      <w:r>
        <w:rPr>
          <w:spacing w:val="-3"/>
        </w:rPr>
        <w:t> </w:t>
      </w:r>
      <w:r>
        <w:rPr/>
        <w:t>by</w:t>
      </w:r>
      <w:r>
        <w:rPr>
          <w:spacing w:val="-6"/>
        </w:rPr>
        <w:t> </w:t>
      </w:r>
      <w:r>
        <w:rPr/>
        <w:t>Dr.</w:t>
      </w:r>
      <w:r>
        <w:rPr>
          <w:spacing w:val="-3"/>
        </w:rPr>
        <w:t> </w:t>
      </w:r>
      <w:r>
        <w:rPr/>
        <w:t>Raymond</w:t>
      </w:r>
      <w:r>
        <w:rPr>
          <w:spacing w:val="-3"/>
        </w:rPr>
        <w:t> </w:t>
      </w:r>
      <w:r>
        <w:rPr/>
        <w:t>Samuel.</w:t>
      </w:r>
      <w:r>
        <w:rPr>
          <w:spacing w:val="-3"/>
        </w:rPr>
        <w:t> </w:t>
      </w:r>
      <w:r>
        <w:rPr/>
        <w:t>The</w:t>
      </w:r>
      <w:r>
        <w:rPr>
          <w:spacing w:val="-3"/>
        </w:rPr>
        <w:t> </w:t>
      </w:r>
      <w:r>
        <w:rPr/>
        <w:t>Architecture</w:t>
      </w:r>
      <w:r>
        <w:rPr>
          <w:spacing w:val="-1"/>
        </w:rPr>
        <w:t> </w:t>
      </w:r>
      <w:r>
        <w:rPr/>
        <w:t>Program is</w:t>
      </w:r>
      <w:r>
        <w:rPr>
          <w:spacing w:val="-2"/>
        </w:rPr>
        <w:t> </w:t>
      </w:r>
      <w:r>
        <w:rPr/>
        <w:t>headed</w:t>
      </w:r>
      <w:r>
        <w:rPr>
          <w:spacing w:val="-1"/>
        </w:rPr>
        <w:t> </w:t>
      </w:r>
      <w:r>
        <w:rPr/>
        <w:t>by</w:t>
      </w:r>
      <w:r>
        <w:rPr>
          <w:spacing w:val="-4"/>
        </w:rPr>
        <w:t> </w:t>
      </w:r>
      <w:r>
        <w:rPr/>
        <w:t>a Chair,</w:t>
      </w:r>
      <w:r>
        <w:rPr>
          <w:spacing w:val="-2"/>
        </w:rPr>
        <w:t> </w:t>
      </w:r>
      <w:r>
        <w:rPr/>
        <w:t>Mr.</w:t>
      </w:r>
      <w:r>
        <w:rPr>
          <w:spacing w:val="-4"/>
        </w:rPr>
        <w:t> </w:t>
      </w:r>
      <w:r>
        <w:rPr/>
        <w:t>Robert</w:t>
      </w:r>
      <w:r>
        <w:rPr>
          <w:spacing w:val="-2"/>
        </w:rPr>
        <w:t> </w:t>
      </w:r>
      <w:r>
        <w:rPr/>
        <w:t>L.</w:t>
      </w:r>
      <w:r>
        <w:rPr>
          <w:spacing w:val="-4"/>
        </w:rPr>
        <w:t> </w:t>
      </w:r>
      <w:r>
        <w:rPr/>
        <w:t>Easter,</w:t>
      </w:r>
      <w:r>
        <w:rPr>
          <w:spacing w:val="-2"/>
        </w:rPr>
        <w:t> </w:t>
      </w:r>
      <w:r>
        <w:rPr/>
        <w:t>NOMA,</w:t>
      </w:r>
      <w:r>
        <w:rPr>
          <w:spacing w:val="-2"/>
        </w:rPr>
        <w:t> </w:t>
      </w:r>
      <w:r>
        <w:rPr/>
        <w:t>AIA.</w:t>
      </w:r>
      <w:r>
        <w:rPr>
          <w:spacing w:val="-4"/>
        </w:rPr>
        <w:t> </w:t>
      </w:r>
      <w:r>
        <w:rPr/>
        <w:t>There</w:t>
      </w:r>
      <w:r>
        <w:rPr>
          <w:spacing w:val="-4"/>
        </w:rPr>
        <w:t> </w:t>
      </w:r>
      <w:r>
        <w:rPr/>
        <w:t>is a</w:t>
      </w:r>
      <w:r>
        <w:rPr>
          <w:spacing w:val="-2"/>
        </w:rPr>
        <w:t> </w:t>
      </w:r>
      <w:r>
        <w:rPr/>
        <w:t>weekly</w:t>
      </w:r>
      <w:r>
        <w:rPr>
          <w:spacing w:val="-10"/>
        </w:rPr>
        <w:t> </w:t>
      </w:r>
      <w:r>
        <w:rPr/>
        <w:t>meeting</w:t>
      </w:r>
      <w:r>
        <w:rPr>
          <w:spacing w:val="-4"/>
        </w:rPr>
        <w:t> </w:t>
      </w:r>
      <w:r>
        <w:rPr/>
        <w:t>of</w:t>
      </w:r>
      <w:r>
        <w:rPr>
          <w:spacing w:val="-2"/>
        </w:rPr>
        <w:t> </w:t>
      </w:r>
      <w:r>
        <w:rPr/>
        <w:t>the</w:t>
      </w:r>
      <w:r>
        <w:rPr>
          <w:spacing w:val="-4"/>
        </w:rPr>
        <w:t> </w:t>
      </w:r>
      <w:r>
        <w:rPr/>
        <w:t>Dean,</w:t>
      </w:r>
      <w:r>
        <w:rPr>
          <w:spacing w:val="-2"/>
        </w:rPr>
        <w:t> </w:t>
      </w:r>
      <w:r>
        <w:rPr/>
        <w:t>Assistant Dean and Program Chairs to discuss and resolve relevant and ongoing issue.</w:t>
      </w:r>
    </w:p>
    <w:p>
      <w:pPr>
        <w:pStyle w:val="BodyText"/>
        <w:spacing w:before="7"/>
      </w:pPr>
    </w:p>
    <w:p>
      <w:pPr>
        <w:spacing w:before="0"/>
        <w:ind w:left="1220" w:right="0" w:firstLine="0"/>
        <w:jc w:val="left"/>
        <w:rPr>
          <w:b/>
          <w:sz w:val="20"/>
        </w:rPr>
      </w:pPr>
      <w:r>
        <w:rPr>
          <w:b/>
          <w:sz w:val="20"/>
        </w:rPr>
        <w:t>Administration</w:t>
      </w:r>
      <w:r>
        <w:rPr>
          <w:b/>
          <w:spacing w:val="-10"/>
          <w:sz w:val="20"/>
        </w:rPr>
        <w:t> </w:t>
      </w:r>
      <w:r>
        <w:rPr>
          <w:b/>
          <w:sz w:val="20"/>
        </w:rPr>
        <w:t>–</w:t>
      </w:r>
      <w:r>
        <w:rPr>
          <w:b/>
          <w:spacing w:val="-12"/>
          <w:sz w:val="20"/>
        </w:rPr>
        <w:t> </w:t>
      </w:r>
      <w:r>
        <w:rPr>
          <w:b/>
          <w:sz w:val="20"/>
        </w:rPr>
        <w:t>Organization</w:t>
      </w:r>
      <w:r>
        <w:rPr>
          <w:b/>
          <w:spacing w:val="-11"/>
          <w:sz w:val="20"/>
        </w:rPr>
        <w:t> </w:t>
      </w:r>
      <w:r>
        <w:rPr>
          <w:b/>
          <w:sz w:val="20"/>
        </w:rPr>
        <w:t>and</w:t>
      </w:r>
      <w:r>
        <w:rPr>
          <w:b/>
          <w:spacing w:val="-10"/>
          <w:sz w:val="20"/>
        </w:rPr>
        <w:t> </w:t>
      </w:r>
      <w:r>
        <w:rPr>
          <w:b/>
          <w:sz w:val="20"/>
        </w:rPr>
        <w:t>Decision-Making</w:t>
      </w:r>
      <w:r>
        <w:rPr>
          <w:b/>
          <w:spacing w:val="-11"/>
          <w:sz w:val="20"/>
        </w:rPr>
        <w:t> </w:t>
      </w:r>
      <w:r>
        <w:rPr>
          <w:b/>
          <w:spacing w:val="-2"/>
          <w:sz w:val="20"/>
        </w:rPr>
        <w:t>Processes</w:t>
      </w:r>
    </w:p>
    <w:p>
      <w:pPr>
        <w:pStyle w:val="BodyText"/>
        <w:spacing w:before="1"/>
        <w:rPr>
          <w:b/>
          <w:sz w:val="21"/>
        </w:rPr>
      </w:pPr>
    </w:p>
    <w:p>
      <w:pPr>
        <w:pStyle w:val="BodyText"/>
        <w:ind w:left="1723" w:right="705"/>
      </w:pPr>
      <w:r>
        <w:rPr/>
        <w:t>Hampton University, as a private, non-sectarian University, is governed by a Board of Trustees.</w:t>
      </w:r>
      <w:r>
        <w:rPr>
          <w:spacing w:val="40"/>
        </w:rPr>
        <w:t> </w:t>
      </w:r>
      <w:r>
        <w:rPr/>
        <w:t>The President, as Chief Executive Officer, is responsible to the Board; the Provost</w:t>
      </w:r>
      <w:r>
        <w:rPr>
          <w:spacing w:val="-4"/>
        </w:rPr>
        <w:t> </w:t>
      </w:r>
      <w:r>
        <w:rPr/>
        <w:t>is</w:t>
      </w:r>
      <w:r>
        <w:rPr>
          <w:spacing w:val="-3"/>
        </w:rPr>
        <w:t> </w:t>
      </w:r>
      <w:r>
        <w:rPr/>
        <w:t>responsible</w:t>
      </w:r>
      <w:r>
        <w:rPr>
          <w:spacing w:val="-2"/>
        </w:rPr>
        <w:t> </w:t>
      </w:r>
      <w:r>
        <w:rPr/>
        <w:t>to</w:t>
      </w:r>
      <w:r>
        <w:rPr>
          <w:spacing w:val="-4"/>
        </w:rPr>
        <w:t> </w:t>
      </w:r>
      <w:r>
        <w:rPr/>
        <w:t>the</w:t>
      </w:r>
      <w:r>
        <w:rPr>
          <w:spacing w:val="-4"/>
        </w:rPr>
        <w:t> </w:t>
      </w:r>
      <w:r>
        <w:rPr/>
        <w:t>President</w:t>
      </w:r>
      <w:r>
        <w:rPr>
          <w:spacing w:val="-4"/>
        </w:rPr>
        <w:t> </w:t>
      </w:r>
      <w:r>
        <w:rPr/>
        <w:t>for</w:t>
      </w:r>
      <w:r>
        <w:rPr>
          <w:spacing w:val="-3"/>
        </w:rPr>
        <w:t> </w:t>
      </w:r>
      <w:r>
        <w:rPr/>
        <w:t>all</w:t>
      </w:r>
      <w:r>
        <w:rPr>
          <w:spacing w:val="-5"/>
        </w:rPr>
        <w:t> </w:t>
      </w:r>
      <w:r>
        <w:rPr/>
        <w:t>matters</w:t>
      </w:r>
      <w:r>
        <w:rPr>
          <w:spacing w:val="-3"/>
        </w:rPr>
        <w:t> </w:t>
      </w:r>
      <w:r>
        <w:rPr/>
        <w:t>pertaining</w:t>
      </w:r>
      <w:r>
        <w:rPr>
          <w:spacing w:val="-4"/>
        </w:rPr>
        <w:t> </w:t>
      </w:r>
      <w:r>
        <w:rPr/>
        <w:t>to</w:t>
      </w:r>
      <w:r>
        <w:rPr>
          <w:spacing w:val="-2"/>
        </w:rPr>
        <w:t> </w:t>
      </w:r>
      <w:r>
        <w:rPr/>
        <w:t>academic</w:t>
      </w:r>
      <w:r>
        <w:rPr>
          <w:spacing w:val="-3"/>
        </w:rPr>
        <w:t> </w:t>
      </w:r>
      <w:r>
        <w:rPr/>
        <w:t>programs. The Deans of the Schools report to the Provost.</w:t>
      </w:r>
    </w:p>
    <w:p>
      <w:pPr>
        <w:pStyle w:val="BodyText"/>
        <w:spacing w:before="9"/>
      </w:pPr>
    </w:p>
    <w:p>
      <w:pPr>
        <w:pStyle w:val="BodyText"/>
        <w:ind w:left="1723" w:right="580"/>
      </w:pPr>
      <w:r>
        <w:rPr/>
        <w:t>The chief administrator within the Department of Architecture is the Chairperson, Robert. Easter,</w:t>
      </w:r>
      <w:r>
        <w:rPr>
          <w:spacing w:val="-1"/>
        </w:rPr>
        <w:t> </w:t>
      </w:r>
      <w:r>
        <w:rPr/>
        <w:t>who</w:t>
      </w:r>
      <w:r>
        <w:rPr>
          <w:spacing w:val="-3"/>
        </w:rPr>
        <w:t> </w:t>
      </w:r>
      <w:r>
        <w:rPr/>
        <w:t>reports</w:t>
      </w:r>
      <w:r>
        <w:rPr>
          <w:spacing w:val="-2"/>
        </w:rPr>
        <w:t> </w:t>
      </w:r>
      <w:r>
        <w:rPr/>
        <w:t>to</w:t>
      </w:r>
      <w:r>
        <w:rPr>
          <w:spacing w:val="-1"/>
        </w:rPr>
        <w:t> </w:t>
      </w:r>
      <w:r>
        <w:rPr/>
        <w:t>the</w:t>
      </w:r>
      <w:r>
        <w:rPr>
          <w:spacing w:val="-1"/>
        </w:rPr>
        <w:t> </w:t>
      </w:r>
      <w:r>
        <w:rPr/>
        <w:t>Dean</w:t>
      </w:r>
      <w:r>
        <w:rPr>
          <w:spacing w:val="-1"/>
        </w:rPr>
        <w:t> </w:t>
      </w:r>
      <w:r>
        <w:rPr/>
        <w:t>of</w:t>
      </w:r>
      <w:r>
        <w:rPr>
          <w:spacing w:val="-1"/>
        </w:rPr>
        <w:t> </w:t>
      </w:r>
      <w:r>
        <w:rPr/>
        <w:t>the</w:t>
      </w:r>
      <w:r>
        <w:rPr>
          <w:spacing w:val="-1"/>
        </w:rPr>
        <w:t> </w:t>
      </w:r>
      <w:r>
        <w:rPr/>
        <w:t>School</w:t>
      </w:r>
      <w:r>
        <w:rPr>
          <w:spacing w:val="-4"/>
        </w:rPr>
        <w:t> </w:t>
      </w:r>
      <w:r>
        <w:rPr/>
        <w:t>of</w:t>
      </w:r>
      <w:r>
        <w:rPr>
          <w:spacing w:val="-1"/>
        </w:rPr>
        <w:t> </w:t>
      </w:r>
      <w:r>
        <w:rPr/>
        <w:t>Engineering</w:t>
      </w:r>
      <w:r>
        <w:rPr>
          <w:spacing w:val="-1"/>
        </w:rPr>
        <w:t> </w:t>
      </w:r>
      <w:r>
        <w:rPr/>
        <w:t>and</w:t>
      </w:r>
      <w:r>
        <w:rPr>
          <w:spacing w:val="-3"/>
        </w:rPr>
        <w:t> </w:t>
      </w:r>
      <w:r>
        <w:rPr/>
        <w:t>Technology.</w:t>
      </w:r>
      <w:r>
        <w:rPr>
          <w:spacing w:val="40"/>
        </w:rPr>
        <w:t> </w:t>
      </w:r>
      <w:r>
        <w:rPr/>
        <w:t>Mr.</w:t>
      </w:r>
      <w:r>
        <w:rPr>
          <w:spacing w:val="-3"/>
        </w:rPr>
        <w:t> </w:t>
      </w:r>
      <w:r>
        <w:rPr/>
        <w:t>Easter has headed the program for six years, is a Hampton University Architecture program alumnus, a former member of its Advisory Board, and served as Observer in the 2002 NAAB visit. The Chair directs the total educational and administrative program of the Department, including curriculum, fund raising, evaluations, recommendations for appointments, promotions and dismissals, budget/resource management and identifying/assigning/writing</w:t>
      </w:r>
      <w:r>
        <w:rPr>
          <w:spacing w:val="-3"/>
        </w:rPr>
        <w:t> </w:t>
      </w:r>
      <w:r>
        <w:rPr/>
        <w:t>grants</w:t>
      </w:r>
      <w:r>
        <w:rPr>
          <w:spacing w:val="-4"/>
        </w:rPr>
        <w:t> </w:t>
      </w:r>
      <w:r>
        <w:rPr/>
        <w:t>and</w:t>
      </w:r>
      <w:r>
        <w:rPr>
          <w:spacing w:val="-4"/>
        </w:rPr>
        <w:t> </w:t>
      </w:r>
      <w:r>
        <w:rPr/>
        <w:t>proposals.</w:t>
      </w:r>
      <w:r>
        <w:rPr>
          <w:spacing w:val="40"/>
        </w:rPr>
        <w:t> </w:t>
      </w:r>
      <w:r>
        <w:rPr/>
        <w:t>The</w:t>
      </w:r>
      <w:r>
        <w:rPr>
          <w:spacing w:val="-3"/>
        </w:rPr>
        <w:t> </w:t>
      </w:r>
      <w:r>
        <w:rPr/>
        <w:t>Chair</w:t>
      </w:r>
      <w:r>
        <w:rPr>
          <w:spacing w:val="-4"/>
        </w:rPr>
        <w:t> </w:t>
      </w:r>
      <w:r>
        <w:rPr/>
        <w:t>also</w:t>
      </w:r>
      <w:r>
        <w:rPr>
          <w:spacing w:val="-3"/>
        </w:rPr>
        <w:t> </w:t>
      </w:r>
      <w:r>
        <w:rPr/>
        <w:t>has</w:t>
      </w:r>
      <w:r>
        <w:rPr>
          <w:spacing w:val="-4"/>
        </w:rPr>
        <w:t> </w:t>
      </w:r>
      <w:r>
        <w:rPr/>
        <w:t>direct</w:t>
      </w:r>
      <w:r>
        <w:rPr>
          <w:spacing w:val="-4"/>
        </w:rPr>
        <w:t> </w:t>
      </w:r>
      <w:r>
        <w:rPr/>
        <w:t>access</w:t>
      </w:r>
      <w:r>
        <w:rPr>
          <w:spacing w:val="-4"/>
        </w:rPr>
        <w:t> </w:t>
      </w:r>
      <w:r>
        <w:rPr/>
        <w:t>to</w:t>
      </w:r>
      <w:r>
        <w:rPr>
          <w:spacing w:val="-4"/>
        </w:rPr>
        <w:t> </w:t>
      </w:r>
      <w:r>
        <w:rPr/>
        <w:t>the Provost’s office and is able to communicate departmental concerns up the chain-of- command expeditiously. The Department has received significant support from senior </w:t>
      </w:r>
      <w:r>
        <w:rPr>
          <w:spacing w:val="-2"/>
        </w:rPr>
        <w:t>administration.</w:t>
      </w:r>
    </w:p>
    <w:p>
      <w:pPr>
        <w:pStyle w:val="BodyText"/>
        <w:spacing w:before="11"/>
      </w:pPr>
    </w:p>
    <w:p>
      <w:pPr>
        <w:pStyle w:val="BodyText"/>
        <w:ind w:left="1723" w:right="580"/>
      </w:pPr>
      <w:r>
        <w:rPr/>
        <w:t>As a professional program, Architecture is located in the School of Engineering and Technology.</w:t>
      </w:r>
      <w:r>
        <w:rPr>
          <w:spacing w:val="40"/>
        </w:rPr>
        <w:t> </w:t>
      </w:r>
      <w:r>
        <w:rPr/>
        <w:t>The Chair reports to the Dean, who reports to the upper levels of the University administration.</w:t>
      </w:r>
      <w:r>
        <w:rPr>
          <w:spacing w:val="40"/>
        </w:rPr>
        <w:t> </w:t>
      </w:r>
      <w:r>
        <w:rPr/>
        <w:t>The other professional disciplines on campus include Nursing and Pharmacy.</w:t>
      </w:r>
      <w:r>
        <w:rPr>
          <w:spacing w:val="40"/>
        </w:rPr>
        <w:t> </w:t>
      </w:r>
      <w:r>
        <w:rPr/>
        <w:t>Nursing and Pharmacy each have recognition and status as separate schools,</w:t>
      </w:r>
      <w:r>
        <w:rPr>
          <w:spacing w:val="-4"/>
        </w:rPr>
        <w:t> </w:t>
      </w:r>
      <w:r>
        <w:rPr/>
        <w:t>administered</w:t>
      </w:r>
      <w:r>
        <w:rPr>
          <w:spacing w:val="-2"/>
        </w:rPr>
        <w:t> </w:t>
      </w:r>
      <w:r>
        <w:rPr/>
        <w:t>by</w:t>
      </w:r>
      <w:r>
        <w:rPr>
          <w:spacing w:val="-7"/>
        </w:rPr>
        <w:t> </w:t>
      </w:r>
      <w:r>
        <w:rPr/>
        <w:t>the</w:t>
      </w:r>
      <w:r>
        <w:rPr>
          <w:spacing w:val="-4"/>
        </w:rPr>
        <w:t> </w:t>
      </w:r>
      <w:r>
        <w:rPr/>
        <w:t>Dean</w:t>
      </w:r>
      <w:r>
        <w:rPr>
          <w:spacing w:val="-4"/>
        </w:rPr>
        <w:t> </w:t>
      </w:r>
      <w:r>
        <w:rPr/>
        <w:t>of</w:t>
      </w:r>
      <w:r>
        <w:rPr>
          <w:spacing w:val="-2"/>
        </w:rPr>
        <w:t> </w:t>
      </w:r>
      <w:r>
        <w:rPr/>
        <w:t>the</w:t>
      </w:r>
      <w:r>
        <w:rPr>
          <w:spacing w:val="-2"/>
        </w:rPr>
        <w:t> </w:t>
      </w:r>
      <w:r>
        <w:rPr/>
        <w:t>School</w:t>
      </w:r>
      <w:r>
        <w:rPr>
          <w:spacing w:val="-3"/>
        </w:rPr>
        <w:t> </w:t>
      </w:r>
      <w:r>
        <w:rPr/>
        <w:t>of</w:t>
      </w:r>
      <w:r>
        <w:rPr>
          <w:spacing w:val="-2"/>
        </w:rPr>
        <w:t> </w:t>
      </w:r>
      <w:r>
        <w:rPr/>
        <w:t>Nursing</w:t>
      </w:r>
      <w:r>
        <w:rPr>
          <w:spacing w:val="-4"/>
        </w:rPr>
        <w:t> </w:t>
      </w:r>
      <w:r>
        <w:rPr/>
        <w:t>and</w:t>
      </w:r>
      <w:r>
        <w:rPr>
          <w:spacing w:val="-4"/>
        </w:rPr>
        <w:t> </w:t>
      </w:r>
      <w:r>
        <w:rPr/>
        <w:t>the</w:t>
      </w:r>
      <w:r>
        <w:rPr>
          <w:spacing w:val="-4"/>
        </w:rPr>
        <w:t> </w:t>
      </w:r>
      <w:r>
        <w:rPr/>
        <w:t>Dean</w:t>
      </w:r>
      <w:r>
        <w:rPr>
          <w:spacing w:val="-2"/>
        </w:rPr>
        <w:t> </w:t>
      </w:r>
      <w:r>
        <w:rPr/>
        <w:t>of</w:t>
      </w:r>
      <w:r>
        <w:rPr>
          <w:spacing w:val="-2"/>
        </w:rPr>
        <w:t> </w:t>
      </w:r>
      <w:r>
        <w:rPr/>
        <w:t>the</w:t>
      </w:r>
      <w:r>
        <w:rPr>
          <w:spacing w:val="-2"/>
        </w:rPr>
        <w:t> </w:t>
      </w:r>
      <w:r>
        <w:rPr/>
        <w:t>School</w:t>
      </w:r>
      <w:r>
        <w:rPr>
          <w:spacing w:val="-3"/>
        </w:rPr>
        <w:t> </w:t>
      </w:r>
      <w:r>
        <w:rPr/>
        <w:t>of </w:t>
      </w:r>
      <w:r>
        <w:rPr>
          <w:spacing w:val="-2"/>
        </w:rPr>
        <w:t>Pharmacy.</w:t>
      </w:r>
    </w:p>
    <w:p>
      <w:pPr>
        <w:pStyle w:val="BodyText"/>
        <w:spacing w:before="10"/>
      </w:pPr>
    </w:p>
    <w:p>
      <w:pPr>
        <w:pStyle w:val="BodyText"/>
        <w:ind w:left="1723" w:right="515"/>
      </w:pPr>
      <w:r>
        <w:rPr/>
        <w:t>While the final decisions on administrative matters rest with the Department Chairperson, it has long been the Department’s accepted practice that faculty members provide input and/or</w:t>
      </w:r>
      <w:r>
        <w:rPr>
          <w:spacing w:val="-1"/>
        </w:rPr>
        <w:t> </w:t>
      </w:r>
      <w:r>
        <w:rPr/>
        <w:t>advice in every</w:t>
      </w:r>
      <w:r>
        <w:rPr>
          <w:spacing w:val="-5"/>
        </w:rPr>
        <w:t> </w:t>
      </w:r>
      <w:r>
        <w:rPr/>
        <w:t>capacity.</w:t>
      </w:r>
      <w:r>
        <w:rPr>
          <w:spacing w:val="40"/>
        </w:rPr>
        <w:t> </w:t>
      </w:r>
      <w:r>
        <w:rPr/>
        <w:t>This</w:t>
      </w:r>
      <w:r>
        <w:rPr>
          <w:spacing w:val="-1"/>
        </w:rPr>
        <w:t> </w:t>
      </w:r>
      <w:r>
        <w:rPr/>
        <w:t>advisory</w:t>
      </w:r>
      <w:r>
        <w:rPr>
          <w:spacing w:val="-5"/>
        </w:rPr>
        <w:t> </w:t>
      </w:r>
      <w:r>
        <w:rPr/>
        <w:t>function is</w:t>
      </w:r>
      <w:r>
        <w:rPr>
          <w:spacing w:val="-1"/>
        </w:rPr>
        <w:t> </w:t>
      </w:r>
      <w:r>
        <w:rPr/>
        <w:t>normally</w:t>
      </w:r>
      <w:r>
        <w:rPr>
          <w:spacing w:val="-2"/>
        </w:rPr>
        <w:t> </w:t>
      </w:r>
      <w:r>
        <w:rPr/>
        <w:t>accomplished during</w:t>
      </w:r>
      <w:r>
        <w:rPr>
          <w:spacing w:val="-2"/>
        </w:rPr>
        <w:t> </w:t>
      </w:r>
      <w:r>
        <w:rPr/>
        <w:t>the weekly faculty / staff meetings.</w:t>
      </w:r>
      <w:r>
        <w:rPr>
          <w:spacing w:val="40"/>
        </w:rPr>
        <w:t> </w:t>
      </w:r>
      <w:r>
        <w:rPr/>
        <w:t>These meetings are also attended by the department’s student leaders.</w:t>
      </w:r>
      <w:r>
        <w:rPr>
          <w:spacing w:val="40"/>
        </w:rPr>
        <w:t> </w:t>
      </w:r>
      <w:r>
        <w:rPr/>
        <w:t>Ongoing issues regarding student needs, classroom and equipment status,</w:t>
      </w:r>
      <w:r>
        <w:rPr>
          <w:spacing w:val="-5"/>
        </w:rPr>
        <w:t> </w:t>
      </w:r>
      <w:r>
        <w:rPr/>
        <w:t>academic</w:t>
      </w:r>
      <w:r>
        <w:rPr>
          <w:spacing w:val="-4"/>
        </w:rPr>
        <w:t> </w:t>
      </w:r>
      <w:r>
        <w:rPr/>
        <w:t>schedules</w:t>
      </w:r>
      <w:r>
        <w:rPr>
          <w:spacing w:val="-4"/>
        </w:rPr>
        <w:t> </w:t>
      </w:r>
      <w:r>
        <w:rPr/>
        <w:t>(including</w:t>
      </w:r>
      <w:r>
        <w:rPr>
          <w:spacing w:val="-5"/>
        </w:rPr>
        <w:t> </w:t>
      </w:r>
      <w:r>
        <w:rPr/>
        <w:t>student</w:t>
      </w:r>
      <w:r>
        <w:rPr>
          <w:spacing w:val="-3"/>
        </w:rPr>
        <w:t> </w:t>
      </w:r>
      <w:r>
        <w:rPr/>
        <w:t>design</w:t>
      </w:r>
      <w:r>
        <w:rPr>
          <w:spacing w:val="-3"/>
        </w:rPr>
        <w:t> </w:t>
      </w:r>
      <w:r>
        <w:rPr/>
        <w:t>crits),</w:t>
      </w:r>
      <w:r>
        <w:rPr>
          <w:spacing w:val="-5"/>
        </w:rPr>
        <w:t> </w:t>
      </w:r>
      <w:r>
        <w:rPr/>
        <w:t>faculty</w:t>
      </w:r>
      <w:r>
        <w:rPr>
          <w:spacing w:val="-8"/>
        </w:rPr>
        <w:t> </w:t>
      </w:r>
      <w:r>
        <w:rPr/>
        <w:t>needs,</w:t>
      </w:r>
      <w:r>
        <w:rPr>
          <w:spacing w:val="-3"/>
        </w:rPr>
        <w:t> </w:t>
      </w:r>
      <w:r>
        <w:rPr/>
        <w:t>budget</w:t>
      </w:r>
      <w:r>
        <w:rPr>
          <w:spacing w:val="-3"/>
        </w:rPr>
        <w:t> </w:t>
      </w:r>
      <w:r>
        <w:rPr/>
        <w:t>requests, grant and proposal status are routinely discussed.</w:t>
      </w:r>
    </w:p>
    <w:p>
      <w:pPr>
        <w:pStyle w:val="BodyText"/>
        <w:rPr>
          <w:sz w:val="21"/>
        </w:rPr>
      </w:pPr>
    </w:p>
    <w:p>
      <w:pPr>
        <w:pStyle w:val="BodyText"/>
        <w:ind w:left="1723" w:right="499"/>
      </w:pPr>
      <w:r>
        <w:rPr/>
        <w:t>In</w:t>
      </w:r>
      <w:r>
        <w:rPr>
          <w:spacing w:val="-4"/>
        </w:rPr>
        <w:t> </w:t>
      </w:r>
      <w:r>
        <w:rPr/>
        <w:t>2010,</w:t>
      </w:r>
      <w:r>
        <w:rPr>
          <w:spacing w:val="-2"/>
        </w:rPr>
        <w:t> </w:t>
      </w:r>
      <w:r>
        <w:rPr/>
        <w:t>the</w:t>
      </w:r>
      <w:r>
        <w:rPr>
          <w:spacing w:val="-4"/>
        </w:rPr>
        <w:t> </w:t>
      </w:r>
      <w:r>
        <w:rPr/>
        <w:t>chair</w:t>
      </w:r>
      <w:r>
        <w:rPr>
          <w:spacing w:val="-1"/>
        </w:rPr>
        <w:t> </w:t>
      </w:r>
      <w:r>
        <w:rPr/>
        <w:t>established</w:t>
      </w:r>
      <w:r>
        <w:rPr>
          <w:spacing w:val="-4"/>
        </w:rPr>
        <w:t> </w:t>
      </w:r>
      <w:r>
        <w:rPr/>
        <w:t>a</w:t>
      </w:r>
      <w:r>
        <w:rPr>
          <w:spacing w:val="-4"/>
        </w:rPr>
        <w:t> </w:t>
      </w:r>
      <w:r>
        <w:rPr/>
        <w:t>formal</w:t>
      </w:r>
      <w:r>
        <w:rPr>
          <w:spacing w:val="-5"/>
        </w:rPr>
        <w:t> </w:t>
      </w:r>
      <w:r>
        <w:rPr/>
        <w:t>advisory</w:t>
      </w:r>
      <w:r>
        <w:rPr>
          <w:spacing w:val="-7"/>
        </w:rPr>
        <w:t> </w:t>
      </w:r>
      <w:r>
        <w:rPr/>
        <w:t>committee</w:t>
      </w:r>
      <w:r>
        <w:rPr>
          <w:spacing w:val="-4"/>
        </w:rPr>
        <w:t> </w:t>
      </w:r>
      <w:r>
        <w:rPr/>
        <w:t>composed</w:t>
      </w:r>
      <w:r>
        <w:rPr>
          <w:spacing w:val="-4"/>
        </w:rPr>
        <w:t> </w:t>
      </w:r>
      <w:r>
        <w:rPr/>
        <w:t>of</w:t>
      </w:r>
      <w:r>
        <w:rPr>
          <w:spacing w:val="-2"/>
        </w:rPr>
        <w:t> </w:t>
      </w:r>
      <w:r>
        <w:rPr/>
        <w:t>the</w:t>
      </w:r>
      <w:r>
        <w:rPr>
          <w:spacing w:val="-2"/>
        </w:rPr>
        <w:t> </w:t>
      </w:r>
      <w:r>
        <w:rPr/>
        <w:t>three tenured faculty members (Chance, Kloster and Sanchez. That committee meets on occasion to</w:t>
      </w:r>
    </w:p>
    <w:p>
      <w:pPr>
        <w:spacing w:after="0"/>
        <w:sectPr>
          <w:headerReference w:type="default" r:id="rId42"/>
          <w:footerReference w:type="default" r:id="rId43"/>
          <w:pgSz w:w="12240" w:h="15840"/>
          <w:pgMar w:header="0" w:footer="974" w:top="1360" w:bottom="1160" w:left="940" w:right="960"/>
        </w:sectPr>
      </w:pPr>
    </w:p>
    <w:p>
      <w:pPr>
        <w:pStyle w:val="BodyText"/>
        <w:spacing w:before="77"/>
        <w:ind w:left="1723" w:right="705"/>
      </w:pPr>
      <w:r>
        <w:rPr/>
        <w:t>review</w:t>
      </w:r>
      <w:r>
        <w:rPr>
          <w:spacing w:val="-6"/>
        </w:rPr>
        <w:t> </w:t>
      </w:r>
      <w:r>
        <w:rPr/>
        <w:t>critical</w:t>
      </w:r>
      <w:r>
        <w:rPr>
          <w:spacing w:val="-3"/>
        </w:rPr>
        <w:t> </w:t>
      </w:r>
      <w:r>
        <w:rPr/>
        <w:t>issues</w:t>
      </w:r>
      <w:r>
        <w:rPr>
          <w:spacing w:val="-3"/>
        </w:rPr>
        <w:t> </w:t>
      </w:r>
      <w:r>
        <w:rPr/>
        <w:t>in</w:t>
      </w:r>
      <w:r>
        <w:rPr>
          <w:spacing w:val="-4"/>
        </w:rPr>
        <w:t> </w:t>
      </w:r>
      <w:r>
        <w:rPr/>
        <w:t>the</w:t>
      </w:r>
      <w:r>
        <w:rPr>
          <w:spacing w:val="-2"/>
        </w:rPr>
        <w:t> </w:t>
      </w:r>
      <w:r>
        <w:rPr/>
        <w:t>department,</w:t>
      </w:r>
      <w:r>
        <w:rPr>
          <w:spacing w:val="-4"/>
        </w:rPr>
        <w:t> </w:t>
      </w:r>
      <w:r>
        <w:rPr/>
        <w:t>most</w:t>
      </w:r>
      <w:r>
        <w:rPr>
          <w:spacing w:val="-4"/>
        </w:rPr>
        <w:t> </w:t>
      </w:r>
      <w:r>
        <w:rPr/>
        <w:t>specifically</w:t>
      </w:r>
      <w:r>
        <w:rPr>
          <w:spacing w:val="-7"/>
        </w:rPr>
        <w:t> </w:t>
      </w:r>
      <w:r>
        <w:rPr/>
        <w:t>the</w:t>
      </w:r>
      <w:r>
        <w:rPr>
          <w:spacing w:val="-4"/>
        </w:rPr>
        <w:t> </w:t>
      </w:r>
      <w:r>
        <w:rPr/>
        <w:t>curriculum.</w:t>
      </w:r>
      <w:r>
        <w:rPr>
          <w:spacing w:val="-4"/>
        </w:rPr>
        <w:t> </w:t>
      </w:r>
      <w:r>
        <w:rPr/>
        <w:t>The</w:t>
      </w:r>
      <w:r>
        <w:rPr>
          <w:spacing w:val="-4"/>
        </w:rPr>
        <w:t> </w:t>
      </w:r>
      <w:r>
        <w:rPr/>
        <w:t>committee was responsible for developing a documentation of course outcomes required for each professional course offered within the department, aligning those outcomes with the Student Performance Criteria established by NAAB, as well as being geared toward insuring that our program met our intended mission.</w:t>
      </w:r>
    </w:p>
    <w:p>
      <w:pPr>
        <w:pStyle w:val="BodyText"/>
        <w:spacing w:before="10"/>
      </w:pPr>
    </w:p>
    <w:p>
      <w:pPr>
        <w:pStyle w:val="BodyText"/>
        <w:ind w:left="1723" w:right="499"/>
      </w:pPr>
      <w:r>
        <w:rPr/>
        <w:t>Formally organized committees have been further established from among the faculty members and students to advise the Department Chair as needed. For most matters, the faculty</w:t>
      </w:r>
      <w:r>
        <w:rPr>
          <w:spacing w:val="-3"/>
        </w:rPr>
        <w:t> </w:t>
      </w:r>
      <w:r>
        <w:rPr/>
        <w:t>act as a committee of the whole. Operational</w:t>
      </w:r>
      <w:r>
        <w:rPr>
          <w:spacing w:val="-1"/>
        </w:rPr>
        <w:t> </w:t>
      </w:r>
      <w:r>
        <w:rPr/>
        <w:t>input is further solicited from students within</w:t>
      </w:r>
      <w:r>
        <w:rPr>
          <w:spacing w:val="-6"/>
        </w:rPr>
        <w:t> </w:t>
      </w:r>
      <w:r>
        <w:rPr/>
        <w:t>the</w:t>
      </w:r>
      <w:r>
        <w:rPr>
          <w:spacing w:val="-4"/>
        </w:rPr>
        <w:t> </w:t>
      </w:r>
      <w:r>
        <w:rPr/>
        <w:t>architecture</w:t>
      </w:r>
      <w:r>
        <w:rPr>
          <w:spacing w:val="-6"/>
        </w:rPr>
        <w:t> </w:t>
      </w:r>
      <w:r>
        <w:rPr/>
        <w:t>program</w:t>
      </w:r>
      <w:r>
        <w:rPr>
          <w:spacing w:val="-1"/>
        </w:rPr>
        <w:t> </w:t>
      </w:r>
      <w:r>
        <w:rPr/>
        <w:t>under</w:t>
      </w:r>
      <w:r>
        <w:rPr>
          <w:spacing w:val="-5"/>
        </w:rPr>
        <w:t> </w:t>
      </w:r>
      <w:r>
        <w:rPr/>
        <w:t>the</w:t>
      </w:r>
      <w:r>
        <w:rPr>
          <w:spacing w:val="-6"/>
        </w:rPr>
        <w:t> </w:t>
      </w:r>
      <w:r>
        <w:rPr/>
        <w:t>organizational</w:t>
      </w:r>
      <w:r>
        <w:rPr>
          <w:spacing w:val="-6"/>
        </w:rPr>
        <w:t> </w:t>
      </w:r>
      <w:r>
        <w:rPr/>
        <w:t>framework</w:t>
      </w:r>
      <w:r>
        <w:rPr>
          <w:spacing w:val="-2"/>
        </w:rPr>
        <w:t> </w:t>
      </w:r>
      <w:r>
        <w:rPr/>
        <w:t>of</w:t>
      </w:r>
      <w:r>
        <w:rPr>
          <w:spacing w:val="-4"/>
        </w:rPr>
        <w:t> </w:t>
      </w:r>
      <w:r>
        <w:rPr/>
        <w:t>the</w:t>
      </w:r>
      <w:r>
        <w:rPr>
          <w:spacing w:val="-6"/>
        </w:rPr>
        <w:t> </w:t>
      </w:r>
      <w:r>
        <w:rPr/>
        <w:t>student</w:t>
      </w:r>
      <w:r>
        <w:rPr>
          <w:spacing w:val="-4"/>
        </w:rPr>
        <w:t> </w:t>
      </w:r>
      <w:r>
        <w:rPr/>
        <w:t>chapters of the American Institute of Architecture Students (AIAS) and the National Organization of Minority Architects-Students (NOMAS).</w:t>
      </w:r>
      <w:r>
        <w:rPr>
          <w:spacing w:val="40"/>
        </w:rPr>
        <w:t> </w:t>
      </w:r>
      <w:r>
        <w:rPr/>
        <w:t>Both organizations are represented by a single, elected group of student officers.</w:t>
      </w:r>
      <w:r>
        <w:rPr>
          <w:spacing w:val="40"/>
        </w:rPr>
        <w:t> </w:t>
      </w:r>
      <w:r>
        <w:rPr/>
        <w:t>Student participation in departmental business is also made possible by maintaining open attendance policy at meetings of both standing committees, as well as the general faculty.</w:t>
      </w:r>
    </w:p>
    <w:p>
      <w:pPr>
        <w:pStyle w:val="BodyText"/>
        <w:rPr>
          <w:sz w:val="21"/>
        </w:rPr>
      </w:pPr>
    </w:p>
    <w:p>
      <w:pPr>
        <w:pStyle w:val="BodyText"/>
        <w:ind w:left="1723" w:right="499"/>
      </w:pPr>
      <w:r>
        <w:rPr/>
        <w:t>Promotion and tenure actions of the Department are governed by University policies and procedures.</w:t>
      </w:r>
      <w:r>
        <w:rPr>
          <w:spacing w:val="40"/>
        </w:rPr>
        <w:t> </w:t>
      </w:r>
      <w:r>
        <w:rPr/>
        <w:t>Faculty salary increases are dictated by the University based on recommendations from the Department Chair and the Dean, with the provision for merit increases</w:t>
      </w:r>
      <w:r>
        <w:rPr>
          <w:spacing w:val="-4"/>
        </w:rPr>
        <w:t> </w:t>
      </w:r>
      <w:r>
        <w:rPr/>
        <w:t>only</w:t>
      </w:r>
      <w:r>
        <w:rPr>
          <w:spacing w:val="-7"/>
        </w:rPr>
        <w:t> </w:t>
      </w:r>
      <w:r>
        <w:rPr/>
        <w:t>in</w:t>
      </w:r>
      <w:r>
        <w:rPr>
          <w:spacing w:val="-4"/>
        </w:rPr>
        <w:t> </w:t>
      </w:r>
      <w:r>
        <w:rPr/>
        <w:t>those</w:t>
      </w:r>
      <w:r>
        <w:rPr>
          <w:spacing w:val="-4"/>
        </w:rPr>
        <w:t> </w:t>
      </w:r>
      <w:r>
        <w:rPr/>
        <w:t>cases</w:t>
      </w:r>
      <w:r>
        <w:rPr>
          <w:spacing w:val="-4"/>
        </w:rPr>
        <w:t> </w:t>
      </w:r>
      <w:r>
        <w:rPr/>
        <w:t>where</w:t>
      </w:r>
      <w:r>
        <w:rPr>
          <w:spacing w:val="-3"/>
        </w:rPr>
        <w:t> </w:t>
      </w:r>
      <w:r>
        <w:rPr/>
        <w:t>extraordinary</w:t>
      </w:r>
      <w:r>
        <w:rPr>
          <w:spacing w:val="-7"/>
        </w:rPr>
        <w:t> </w:t>
      </w:r>
      <w:r>
        <w:rPr/>
        <w:t>achievements</w:t>
      </w:r>
      <w:r>
        <w:rPr>
          <w:spacing w:val="-4"/>
        </w:rPr>
        <w:t> </w:t>
      </w:r>
      <w:r>
        <w:rPr/>
        <w:t>have</w:t>
      </w:r>
      <w:r>
        <w:rPr>
          <w:spacing w:val="-4"/>
        </w:rPr>
        <w:t> </w:t>
      </w:r>
      <w:r>
        <w:rPr/>
        <w:t>been</w:t>
      </w:r>
      <w:r>
        <w:rPr>
          <w:spacing w:val="-3"/>
        </w:rPr>
        <w:t> </w:t>
      </w:r>
      <w:r>
        <w:rPr/>
        <w:t>documented.</w:t>
      </w:r>
    </w:p>
    <w:p>
      <w:pPr>
        <w:pStyle w:val="BodyText"/>
        <w:spacing w:before="10"/>
      </w:pPr>
    </w:p>
    <w:p>
      <w:pPr>
        <w:pStyle w:val="BodyText"/>
        <w:ind w:left="1723" w:right="499"/>
      </w:pPr>
      <w:r>
        <w:rPr/>
        <w:t>The</w:t>
      </w:r>
      <w:r>
        <w:rPr>
          <w:spacing w:val="-4"/>
        </w:rPr>
        <w:t> </w:t>
      </w:r>
      <w:r>
        <w:rPr/>
        <w:t>Department’s</w:t>
      </w:r>
      <w:r>
        <w:rPr>
          <w:spacing w:val="-3"/>
        </w:rPr>
        <w:t> </w:t>
      </w:r>
      <w:r>
        <w:rPr/>
        <w:t>budget</w:t>
      </w:r>
      <w:r>
        <w:rPr>
          <w:spacing w:val="-2"/>
        </w:rPr>
        <w:t> </w:t>
      </w:r>
      <w:r>
        <w:rPr/>
        <w:t>proposal</w:t>
      </w:r>
      <w:r>
        <w:rPr>
          <w:spacing w:val="-3"/>
        </w:rPr>
        <w:t> </w:t>
      </w:r>
      <w:r>
        <w:rPr/>
        <w:t>is</w:t>
      </w:r>
      <w:r>
        <w:rPr>
          <w:spacing w:val="-3"/>
        </w:rPr>
        <w:t> </w:t>
      </w:r>
      <w:r>
        <w:rPr/>
        <w:t>developed</w:t>
      </w:r>
      <w:r>
        <w:rPr>
          <w:spacing w:val="-2"/>
        </w:rPr>
        <w:t> </w:t>
      </w:r>
      <w:r>
        <w:rPr/>
        <w:t>by</w:t>
      </w:r>
      <w:r>
        <w:rPr>
          <w:spacing w:val="-7"/>
        </w:rPr>
        <w:t> </w:t>
      </w:r>
      <w:r>
        <w:rPr/>
        <w:t>the</w:t>
      </w:r>
      <w:r>
        <w:rPr>
          <w:spacing w:val="-2"/>
        </w:rPr>
        <w:t> </w:t>
      </w:r>
      <w:r>
        <w:rPr/>
        <w:t>Chairperson in</w:t>
      </w:r>
      <w:r>
        <w:rPr>
          <w:spacing w:val="-4"/>
        </w:rPr>
        <w:t> </w:t>
      </w:r>
      <w:r>
        <w:rPr/>
        <w:t>the</w:t>
      </w:r>
      <w:r>
        <w:rPr>
          <w:spacing w:val="-4"/>
        </w:rPr>
        <w:t> </w:t>
      </w:r>
      <w:r>
        <w:rPr/>
        <w:t>fall</w:t>
      </w:r>
      <w:r>
        <w:rPr>
          <w:spacing w:val="-5"/>
        </w:rPr>
        <w:t> </w:t>
      </w:r>
      <w:r>
        <w:rPr/>
        <w:t>of</w:t>
      </w:r>
      <w:r>
        <w:rPr>
          <w:spacing w:val="-2"/>
        </w:rPr>
        <w:t> </w:t>
      </w:r>
      <w:r>
        <w:rPr/>
        <w:t>each</w:t>
      </w:r>
      <w:r>
        <w:rPr>
          <w:spacing w:val="-2"/>
        </w:rPr>
        <w:t> </w:t>
      </w:r>
      <w:r>
        <w:rPr/>
        <w:t>year for the following academic year, for submittal to the Dean of the School.</w:t>
      </w:r>
      <w:r>
        <w:rPr>
          <w:spacing w:val="40"/>
        </w:rPr>
        <w:t> </w:t>
      </w:r>
      <w:r>
        <w:rPr/>
        <w:t>The budget is discussed</w:t>
      </w:r>
      <w:r>
        <w:rPr>
          <w:spacing w:val="-4"/>
        </w:rPr>
        <w:t> </w:t>
      </w:r>
      <w:r>
        <w:rPr/>
        <w:t>between</w:t>
      </w:r>
      <w:r>
        <w:rPr>
          <w:spacing w:val="-4"/>
        </w:rPr>
        <w:t> </w:t>
      </w:r>
      <w:r>
        <w:rPr/>
        <w:t>the</w:t>
      </w:r>
      <w:r>
        <w:rPr>
          <w:spacing w:val="-4"/>
        </w:rPr>
        <w:t> </w:t>
      </w:r>
      <w:r>
        <w:rPr/>
        <w:t>Dean</w:t>
      </w:r>
      <w:r>
        <w:rPr>
          <w:spacing w:val="-4"/>
        </w:rPr>
        <w:t> </w:t>
      </w:r>
      <w:r>
        <w:rPr/>
        <w:t>and</w:t>
      </w:r>
      <w:r>
        <w:rPr>
          <w:spacing w:val="-4"/>
        </w:rPr>
        <w:t> </w:t>
      </w:r>
      <w:r>
        <w:rPr/>
        <w:t>the</w:t>
      </w:r>
      <w:r>
        <w:rPr>
          <w:spacing w:val="-4"/>
        </w:rPr>
        <w:t> </w:t>
      </w:r>
      <w:r>
        <w:rPr/>
        <w:t>Chairperson</w:t>
      </w:r>
      <w:r>
        <w:rPr>
          <w:spacing w:val="-2"/>
        </w:rPr>
        <w:t> </w:t>
      </w:r>
      <w:r>
        <w:rPr/>
        <w:t>and</w:t>
      </w:r>
      <w:r>
        <w:rPr>
          <w:spacing w:val="-4"/>
        </w:rPr>
        <w:t> </w:t>
      </w:r>
      <w:r>
        <w:rPr/>
        <w:t>then</w:t>
      </w:r>
      <w:r>
        <w:rPr>
          <w:spacing w:val="-4"/>
        </w:rPr>
        <w:t> </w:t>
      </w:r>
      <w:r>
        <w:rPr/>
        <w:t>submitted</w:t>
      </w:r>
      <w:r>
        <w:rPr>
          <w:spacing w:val="-2"/>
        </w:rPr>
        <w:t> </w:t>
      </w:r>
      <w:r>
        <w:rPr/>
        <w:t>as</w:t>
      </w:r>
      <w:r>
        <w:rPr>
          <w:spacing w:val="-3"/>
        </w:rPr>
        <w:t> </w:t>
      </w:r>
      <w:r>
        <w:rPr/>
        <w:t>a</w:t>
      </w:r>
      <w:r>
        <w:rPr>
          <w:spacing w:val="-4"/>
        </w:rPr>
        <w:t> </w:t>
      </w:r>
      <w:r>
        <w:rPr/>
        <w:t>part</w:t>
      </w:r>
      <w:r>
        <w:rPr>
          <w:spacing w:val="-2"/>
        </w:rPr>
        <w:t> </w:t>
      </w:r>
      <w:r>
        <w:rPr/>
        <w:t>of</w:t>
      </w:r>
      <w:r>
        <w:rPr>
          <w:spacing w:val="-2"/>
        </w:rPr>
        <w:t> </w:t>
      </w:r>
      <w:r>
        <w:rPr/>
        <w:t>the</w:t>
      </w:r>
      <w:r>
        <w:rPr>
          <w:spacing w:val="-4"/>
        </w:rPr>
        <w:t> </w:t>
      </w:r>
      <w:r>
        <w:rPr/>
        <w:t>total School budget to the Vice President for Business Affairs and Treasurer.</w:t>
      </w:r>
    </w:p>
    <w:p>
      <w:pPr>
        <w:spacing w:after="0"/>
        <w:sectPr>
          <w:headerReference w:type="default" r:id="rId44"/>
          <w:footerReference w:type="default" r:id="rId45"/>
          <w:pgSz w:w="12240" w:h="15840"/>
          <w:pgMar w:header="0" w:footer="974" w:top="1360" w:bottom="1160" w:left="940" w:right="960"/>
        </w:sectPr>
      </w:pPr>
    </w:p>
    <w:p>
      <w:pPr>
        <w:pStyle w:val="Heading5"/>
        <w:numPr>
          <w:ilvl w:val="2"/>
          <w:numId w:val="25"/>
        </w:numPr>
        <w:tabs>
          <w:tab w:pos="1219" w:val="left" w:leader="none"/>
          <w:tab w:pos="1221" w:val="left" w:leader="none"/>
        </w:tabs>
        <w:spacing w:line="240" w:lineRule="auto" w:before="74" w:after="0"/>
        <w:ind w:left="1220" w:right="0" w:hanging="887"/>
        <w:jc w:val="left"/>
      </w:pPr>
      <w:bookmarkStart w:name="_TOC_250006" w:id="53"/>
      <w:r>
        <w:rPr/>
        <w:t>Physical</w:t>
      </w:r>
      <w:r>
        <w:rPr>
          <w:spacing w:val="-6"/>
        </w:rPr>
        <w:t> </w:t>
      </w:r>
      <w:bookmarkEnd w:id="53"/>
      <w:r>
        <w:rPr>
          <w:spacing w:val="-2"/>
        </w:rPr>
        <w:t>Resources:</w:t>
      </w:r>
    </w:p>
    <w:p>
      <w:pPr>
        <w:spacing w:before="240"/>
        <w:ind w:left="500" w:right="0" w:firstLine="0"/>
        <w:jc w:val="left"/>
        <w:rPr>
          <w:b/>
          <w:sz w:val="20"/>
        </w:rPr>
      </w:pPr>
      <w:r>
        <w:rPr>
          <w:b/>
          <w:sz w:val="20"/>
        </w:rPr>
        <w:t>General</w:t>
      </w:r>
      <w:r>
        <w:rPr>
          <w:b/>
          <w:spacing w:val="-8"/>
          <w:sz w:val="20"/>
        </w:rPr>
        <w:t> </w:t>
      </w:r>
      <w:r>
        <w:rPr>
          <w:b/>
          <w:sz w:val="20"/>
        </w:rPr>
        <w:t>Description</w:t>
      </w:r>
      <w:r>
        <w:rPr>
          <w:b/>
          <w:spacing w:val="-9"/>
          <w:sz w:val="20"/>
        </w:rPr>
        <w:t> </w:t>
      </w:r>
      <w:r>
        <w:rPr>
          <w:b/>
          <w:sz w:val="20"/>
        </w:rPr>
        <w:t>of</w:t>
      </w:r>
      <w:r>
        <w:rPr>
          <w:b/>
          <w:spacing w:val="-9"/>
          <w:sz w:val="20"/>
        </w:rPr>
        <w:t> </w:t>
      </w:r>
      <w:r>
        <w:rPr>
          <w:b/>
          <w:spacing w:val="-2"/>
          <w:sz w:val="20"/>
        </w:rPr>
        <w:t>Facilities</w:t>
      </w:r>
    </w:p>
    <w:p>
      <w:pPr>
        <w:pStyle w:val="BodyText"/>
        <w:spacing w:before="1"/>
        <w:rPr>
          <w:b/>
          <w:sz w:val="21"/>
        </w:rPr>
      </w:pPr>
    </w:p>
    <w:p>
      <w:pPr>
        <w:pStyle w:val="BodyText"/>
        <w:ind w:left="1723" w:right="580"/>
      </w:pPr>
      <w:r>
        <w:rPr/>
        <w:t>The physical</w:t>
      </w:r>
      <w:r>
        <w:rPr>
          <w:spacing w:val="-1"/>
        </w:rPr>
        <w:t> </w:t>
      </w:r>
      <w:r>
        <w:rPr/>
        <w:t>facilities for all departmental</w:t>
      </w:r>
      <w:r>
        <w:rPr>
          <w:spacing w:val="-1"/>
        </w:rPr>
        <w:t> </w:t>
      </w:r>
      <w:r>
        <w:rPr/>
        <w:t>instructional functions are housed in Bemis Hall, a three-story Industrial Arts structure constructed in the 1930s.</w:t>
      </w:r>
      <w:r>
        <w:rPr>
          <w:spacing w:val="40"/>
        </w:rPr>
        <w:t> </w:t>
      </w:r>
      <w:r>
        <w:rPr/>
        <w:t>Except for one portion of the ground floor, which houses the Ceramics Studio of the Department of Fine and Performing</w:t>
      </w:r>
      <w:r>
        <w:rPr>
          <w:spacing w:val="-5"/>
        </w:rPr>
        <w:t> </w:t>
      </w:r>
      <w:r>
        <w:rPr/>
        <w:t>Arts,</w:t>
      </w:r>
      <w:r>
        <w:rPr>
          <w:spacing w:val="-2"/>
        </w:rPr>
        <w:t> </w:t>
      </w:r>
      <w:r>
        <w:rPr/>
        <w:t>Bemis</w:t>
      </w:r>
      <w:r>
        <w:rPr>
          <w:spacing w:val="-4"/>
        </w:rPr>
        <w:t> </w:t>
      </w:r>
      <w:r>
        <w:rPr/>
        <w:t>is</w:t>
      </w:r>
      <w:r>
        <w:rPr>
          <w:spacing w:val="-4"/>
        </w:rPr>
        <w:t> </w:t>
      </w:r>
      <w:r>
        <w:rPr/>
        <w:t>the</w:t>
      </w:r>
      <w:r>
        <w:rPr>
          <w:spacing w:val="-5"/>
        </w:rPr>
        <w:t> </w:t>
      </w:r>
      <w:r>
        <w:rPr/>
        <w:t>home</w:t>
      </w:r>
      <w:r>
        <w:rPr>
          <w:spacing w:val="-5"/>
        </w:rPr>
        <w:t> </w:t>
      </w:r>
      <w:r>
        <w:rPr/>
        <w:t>for</w:t>
      </w:r>
      <w:r>
        <w:rPr>
          <w:spacing w:val="-4"/>
        </w:rPr>
        <w:t> </w:t>
      </w:r>
      <w:r>
        <w:rPr/>
        <w:t>the</w:t>
      </w:r>
      <w:r>
        <w:rPr>
          <w:spacing w:val="-5"/>
        </w:rPr>
        <w:t> </w:t>
      </w:r>
      <w:r>
        <w:rPr/>
        <w:t>Architecture</w:t>
      </w:r>
      <w:r>
        <w:rPr>
          <w:spacing w:val="-5"/>
        </w:rPr>
        <w:t> </w:t>
      </w:r>
      <w:r>
        <w:rPr/>
        <w:t>Program.</w:t>
      </w:r>
      <w:r>
        <w:rPr>
          <w:spacing w:val="-6"/>
        </w:rPr>
        <w:t> </w:t>
      </w:r>
      <w:r>
        <w:rPr/>
        <w:t>Two</w:t>
      </w:r>
      <w:r>
        <w:rPr>
          <w:spacing w:val="-5"/>
        </w:rPr>
        <w:t> </w:t>
      </w:r>
      <w:r>
        <w:rPr/>
        <w:t>supportive</w:t>
      </w:r>
      <w:r>
        <w:rPr>
          <w:spacing w:val="-3"/>
        </w:rPr>
        <w:t> </w:t>
      </w:r>
      <w:r>
        <w:rPr/>
        <w:t>functions are housed elsewhere: the Model Shop is in the Armstrong-Slater Building, adjacent to Bemis; and, the Department has access to the Computer Labs in the Olin Engineering Building.</w:t>
      </w:r>
      <w:r>
        <w:rPr>
          <w:spacing w:val="40"/>
        </w:rPr>
        <w:t> </w:t>
      </w:r>
      <w:r>
        <w:rPr/>
        <w:t>These facilities provide a total of over 24,000 square feet of space.</w:t>
      </w:r>
    </w:p>
    <w:p>
      <w:pPr>
        <w:pStyle w:val="BodyText"/>
        <w:rPr>
          <w:sz w:val="21"/>
        </w:rPr>
      </w:pPr>
    </w:p>
    <w:p>
      <w:pPr>
        <w:pStyle w:val="BodyText"/>
        <w:ind w:left="1723" w:right="643"/>
        <w:jc w:val="both"/>
      </w:pPr>
      <w:r>
        <w:rPr/>
        <w:t>Bemis</w:t>
      </w:r>
      <w:r>
        <w:rPr>
          <w:spacing w:val="-4"/>
        </w:rPr>
        <w:t> </w:t>
      </w:r>
      <w:r>
        <w:rPr/>
        <w:t>Laboratories</w:t>
      </w:r>
      <w:r>
        <w:rPr>
          <w:spacing w:val="-1"/>
        </w:rPr>
        <w:t> </w:t>
      </w:r>
      <w:r>
        <w:rPr/>
        <w:t>is</w:t>
      </w:r>
      <w:r>
        <w:rPr>
          <w:spacing w:val="-4"/>
        </w:rPr>
        <w:t> </w:t>
      </w:r>
      <w:r>
        <w:rPr/>
        <w:t>organized</w:t>
      </w:r>
      <w:r>
        <w:rPr>
          <w:spacing w:val="-3"/>
        </w:rPr>
        <w:t> </w:t>
      </w:r>
      <w:r>
        <w:rPr/>
        <w:t>around</w:t>
      </w:r>
      <w:r>
        <w:rPr>
          <w:spacing w:val="-5"/>
        </w:rPr>
        <w:t> </w:t>
      </w:r>
      <w:r>
        <w:rPr/>
        <w:t>a</w:t>
      </w:r>
      <w:r>
        <w:rPr>
          <w:spacing w:val="-3"/>
        </w:rPr>
        <w:t> </w:t>
      </w:r>
      <w:r>
        <w:rPr/>
        <w:t>three-story</w:t>
      </w:r>
      <w:r>
        <w:rPr>
          <w:spacing w:val="-6"/>
        </w:rPr>
        <w:t> </w:t>
      </w:r>
      <w:r>
        <w:rPr/>
        <w:t>central</w:t>
      </w:r>
      <w:r>
        <w:rPr>
          <w:spacing w:val="-6"/>
        </w:rPr>
        <w:t> </w:t>
      </w:r>
      <w:r>
        <w:rPr/>
        <w:t>space,</w:t>
      </w:r>
      <w:r>
        <w:rPr>
          <w:spacing w:val="-5"/>
        </w:rPr>
        <w:t> </w:t>
      </w:r>
      <w:r>
        <w:rPr/>
        <w:t>containing</w:t>
      </w:r>
      <w:r>
        <w:rPr>
          <w:spacing w:val="-5"/>
        </w:rPr>
        <w:t> </w:t>
      </w:r>
      <w:r>
        <w:rPr/>
        <w:t>a first</w:t>
      </w:r>
      <w:r>
        <w:rPr>
          <w:spacing w:val="-5"/>
        </w:rPr>
        <w:t> </w:t>
      </w:r>
      <w:r>
        <w:rPr/>
        <w:t>floor gallery,</w:t>
      </w:r>
      <w:r>
        <w:rPr>
          <w:spacing w:val="-3"/>
        </w:rPr>
        <w:t> </w:t>
      </w:r>
      <w:r>
        <w:rPr/>
        <w:t>and</w:t>
      </w:r>
      <w:r>
        <w:rPr>
          <w:spacing w:val="-3"/>
        </w:rPr>
        <w:t> </w:t>
      </w:r>
      <w:r>
        <w:rPr/>
        <w:t>a</w:t>
      </w:r>
      <w:r>
        <w:rPr>
          <w:spacing w:val="-2"/>
        </w:rPr>
        <w:t> </w:t>
      </w:r>
      <w:r>
        <w:rPr/>
        <w:t>two-story</w:t>
      </w:r>
      <w:r>
        <w:rPr>
          <w:spacing w:val="-6"/>
        </w:rPr>
        <w:t> </w:t>
      </w:r>
      <w:r>
        <w:rPr/>
        <w:t>atrium space</w:t>
      </w:r>
      <w:r>
        <w:rPr>
          <w:spacing w:val="-3"/>
        </w:rPr>
        <w:t> </w:t>
      </w:r>
      <w:r>
        <w:rPr/>
        <w:t>on</w:t>
      </w:r>
      <w:r>
        <w:rPr>
          <w:spacing w:val="-3"/>
        </w:rPr>
        <w:t> </w:t>
      </w:r>
      <w:r>
        <w:rPr/>
        <w:t>the</w:t>
      </w:r>
      <w:r>
        <w:rPr>
          <w:spacing w:val="-3"/>
        </w:rPr>
        <w:t> </w:t>
      </w:r>
      <w:r>
        <w:rPr/>
        <w:t>second</w:t>
      </w:r>
      <w:r>
        <w:rPr>
          <w:spacing w:val="-2"/>
        </w:rPr>
        <w:t> </w:t>
      </w:r>
      <w:r>
        <w:rPr/>
        <w:t>and</w:t>
      </w:r>
      <w:r>
        <w:rPr>
          <w:spacing w:val="-3"/>
        </w:rPr>
        <w:t> </w:t>
      </w:r>
      <w:r>
        <w:rPr/>
        <w:t>third</w:t>
      </w:r>
      <w:r>
        <w:rPr>
          <w:spacing w:val="-3"/>
        </w:rPr>
        <w:t> </w:t>
      </w:r>
      <w:r>
        <w:rPr/>
        <w:t>floors.</w:t>
      </w:r>
      <w:r>
        <w:rPr>
          <w:spacing w:val="-3"/>
        </w:rPr>
        <w:t> </w:t>
      </w:r>
      <w:r>
        <w:rPr/>
        <w:t>These</w:t>
      </w:r>
      <w:r>
        <w:rPr>
          <w:spacing w:val="-3"/>
        </w:rPr>
        <w:t> </w:t>
      </w:r>
      <w:r>
        <w:rPr/>
        <w:t>central</w:t>
      </w:r>
      <w:r>
        <w:rPr>
          <w:spacing w:val="-4"/>
        </w:rPr>
        <w:t> </w:t>
      </w:r>
      <w:r>
        <w:rPr/>
        <w:t>spaces are used as gallery, review space, and as space for receptions and informal gatherings.</w:t>
      </w:r>
    </w:p>
    <w:p>
      <w:pPr>
        <w:pStyle w:val="BodyText"/>
        <w:spacing w:before="9"/>
      </w:pPr>
    </w:p>
    <w:p>
      <w:pPr>
        <w:pStyle w:val="BodyText"/>
        <w:ind w:left="1723" w:right="499"/>
      </w:pPr>
      <w:r>
        <w:rPr/>
        <w:t>Bemis was remodeled in the early 1990s, to provide air conditioning, as well as a second exit</w:t>
      </w:r>
      <w:r>
        <w:rPr>
          <w:spacing w:val="-4"/>
        </w:rPr>
        <w:t> </w:t>
      </w:r>
      <w:r>
        <w:rPr/>
        <w:t>stair</w:t>
      </w:r>
      <w:r>
        <w:rPr>
          <w:spacing w:val="-3"/>
        </w:rPr>
        <w:t> </w:t>
      </w:r>
      <w:r>
        <w:rPr/>
        <w:t>and</w:t>
      </w:r>
      <w:r>
        <w:rPr>
          <w:spacing w:val="-2"/>
        </w:rPr>
        <w:t> </w:t>
      </w:r>
      <w:r>
        <w:rPr/>
        <w:t>an</w:t>
      </w:r>
      <w:r>
        <w:rPr>
          <w:spacing w:val="-2"/>
        </w:rPr>
        <w:t> </w:t>
      </w:r>
      <w:r>
        <w:rPr/>
        <w:t>elevator</w:t>
      </w:r>
      <w:r>
        <w:rPr>
          <w:spacing w:val="-3"/>
        </w:rPr>
        <w:t> </w:t>
      </w:r>
      <w:r>
        <w:rPr/>
        <w:t>for</w:t>
      </w:r>
      <w:r>
        <w:rPr>
          <w:spacing w:val="-3"/>
        </w:rPr>
        <w:t> </w:t>
      </w:r>
      <w:r>
        <w:rPr/>
        <w:t>improved</w:t>
      </w:r>
      <w:r>
        <w:rPr>
          <w:spacing w:val="-4"/>
        </w:rPr>
        <w:t> </w:t>
      </w:r>
      <w:r>
        <w:rPr/>
        <w:t>accessibility.</w:t>
      </w:r>
      <w:r>
        <w:rPr>
          <w:spacing w:val="-2"/>
        </w:rPr>
        <w:t> </w:t>
      </w:r>
      <w:r>
        <w:rPr/>
        <w:t>The</w:t>
      </w:r>
      <w:r>
        <w:rPr>
          <w:spacing w:val="-4"/>
        </w:rPr>
        <w:t> </w:t>
      </w:r>
      <w:r>
        <w:rPr/>
        <w:t>former</w:t>
      </w:r>
      <w:r>
        <w:rPr>
          <w:spacing w:val="-5"/>
        </w:rPr>
        <w:t> </w:t>
      </w:r>
      <w:r>
        <w:rPr/>
        <w:t>model</w:t>
      </w:r>
      <w:r>
        <w:rPr>
          <w:spacing w:val="-5"/>
        </w:rPr>
        <w:t> </w:t>
      </w:r>
      <w:r>
        <w:rPr/>
        <w:t>shop</w:t>
      </w:r>
      <w:r>
        <w:rPr>
          <w:spacing w:val="-2"/>
        </w:rPr>
        <w:t> </w:t>
      </w:r>
      <w:r>
        <w:rPr/>
        <w:t>was</w:t>
      </w:r>
      <w:r>
        <w:rPr>
          <w:spacing w:val="-3"/>
        </w:rPr>
        <w:t> </w:t>
      </w:r>
      <w:r>
        <w:rPr/>
        <w:t>remodeled in 1994 to become the current computer lab, and in 1999 the University wired Bemis to provide internet access and other digital capabilities. The University wireless system operates across the campus.</w:t>
      </w:r>
    </w:p>
    <w:p>
      <w:pPr>
        <w:pStyle w:val="BodyText"/>
        <w:spacing w:before="9"/>
      </w:pPr>
    </w:p>
    <w:p>
      <w:pPr>
        <w:pStyle w:val="BodyText"/>
        <w:spacing w:before="1"/>
        <w:ind w:left="1723" w:right="705"/>
      </w:pPr>
      <w:r>
        <w:rPr/>
        <w:t>The</w:t>
      </w:r>
      <w:r>
        <w:rPr>
          <w:spacing w:val="-4"/>
        </w:rPr>
        <w:t> </w:t>
      </w:r>
      <w:r>
        <w:rPr/>
        <w:t>student</w:t>
      </w:r>
      <w:r>
        <w:rPr>
          <w:spacing w:val="-2"/>
        </w:rPr>
        <w:t> </w:t>
      </w:r>
      <w:r>
        <w:rPr/>
        <w:t>body</w:t>
      </w:r>
      <w:r>
        <w:rPr>
          <w:spacing w:val="-5"/>
        </w:rPr>
        <w:t> </w:t>
      </w:r>
      <w:r>
        <w:rPr/>
        <w:t>in</w:t>
      </w:r>
      <w:r>
        <w:rPr>
          <w:spacing w:val="-4"/>
        </w:rPr>
        <w:t> </w:t>
      </w:r>
      <w:r>
        <w:rPr/>
        <w:t>the</w:t>
      </w:r>
      <w:r>
        <w:rPr>
          <w:spacing w:val="-4"/>
        </w:rPr>
        <w:t> </w:t>
      </w:r>
      <w:r>
        <w:rPr/>
        <w:t>Department</w:t>
      </w:r>
      <w:r>
        <w:rPr>
          <w:spacing w:val="-4"/>
        </w:rPr>
        <w:t> </w:t>
      </w:r>
      <w:r>
        <w:rPr/>
        <w:t>of</w:t>
      </w:r>
      <w:r>
        <w:rPr>
          <w:spacing w:val="-2"/>
        </w:rPr>
        <w:t> </w:t>
      </w:r>
      <w:r>
        <w:rPr/>
        <w:t>Architecture</w:t>
      </w:r>
      <w:r>
        <w:rPr>
          <w:spacing w:val="-2"/>
        </w:rPr>
        <w:t> </w:t>
      </w:r>
      <w:r>
        <w:rPr/>
        <w:t>has</w:t>
      </w:r>
      <w:r>
        <w:rPr>
          <w:spacing w:val="-3"/>
        </w:rPr>
        <w:t> </w:t>
      </w:r>
      <w:r>
        <w:rPr/>
        <w:t>decreased</w:t>
      </w:r>
      <w:r>
        <w:rPr>
          <w:spacing w:val="-2"/>
        </w:rPr>
        <w:t> </w:t>
      </w:r>
      <w:r>
        <w:rPr/>
        <w:t>in</w:t>
      </w:r>
      <w:r>
        <w:rPr>
          <w:spacing w:val="-4"/>
        </w:rPr>
        <w:t> </w:t>
      </w:r>
      <w:r>
        <w:rPr/>
        <w:t>size</w:t>
      </w:r>
      <w:r>
        <w:rPr>
          <w:spacing w:val="-2"/>
        </w:rPr>
        <w:t> </w:t>
      </w:r>
      <w:r>
        <w:rPr/>
        <w:t>since</w:t>
      </w:r>
      <w:r>
        <w:rPr>
          <w:spacing w:val="-4"/>
        </w:rPr>
        <w:t> </w:t>
      </w:r>
      <w:r>
        <w:rPr/>
        <w:t>the</w:t>
      </w:r>
      <w:r>
        <w:rPr>
          <w:spacing w:val="-4"/>
        </w:rPr>
        <w:t> </w:t>
      </w:r>
      <w:r>
        <w:rPr/>
        <w:t>last visit, which relieved the stress on space requirements.</w:t>
      </w:r>
    </w:p>
    <w:p>
      <w:pPr>
        <w:pStyle w:val="BodyText"/>
        <w:spacing w:before="10"/>
      </w:pPr>
    </w:p>
    <w:p>
      <w:pPr>
        <w:pStyle w:val="BodyText"/>
        <w:spacing w:before="1"/>
        <w:ind w:left="1723" w:right="499"/>
      </w:pPr>
      <w:r>
        <w:rPr/>
        <w:t>In</w:t>
      </w:r>
      <w:r>
        <w:rPr>
          <w:spacing w:val="-4"/>
        </w:rPr>
        <w:t> </w:t>
      </w:r>
      <w:r>
        <w:rPr/>
        <w:t>2011,</w:t>
      </w:r>
      <w:r>
        <w:rPr>
          <w:spacing w:val="-2"/>
        </w:rPr>
        <w:t> </w:t>
      </w:r>
      <w:r>
        <w:rPr/>
        <w:t>the</w:t>
      </w:r>
      <w:r>
        <w:rPr>
          <w:spacing w:val="-2"/>
        </w:rPr>
        <w:t> </w:t>
      </w:r>
      <w:r>
        <w:rPr/>
        <w:t>air</w:t>
      </w:r>
      <w:r>
        <w:rPr>
          <w:spacing w:val="-3"/>
        </w:rPr>
        <w:t> </w:t>
      </w:r>
      <w:r>
        <w:rPr/>
        <w:t>conditioning</w:t>
      </w:r>
      <w:r>
        <w:rPr>
          <w:spacing w:val="-4"/>
        </w:rPr>
        <w:t> </w:t>
      </w:r>
      <w:r>
        <w:rPr/>
        <w:t>system was</w:t>
      </w:r>
      <w:r>
        <w:rPr>
          <w:spacing w:val="-3"/>
        </w:rPr>
        <w:t> </w:t>
      </w:r>
      <w:r>
        <w:rPr/>
        <w:t>upgraded</w:t>
      </w:r>
      <w:r>
        <w:rPr>
          <w:spacing w:val="-2"/>
        </w:rPr>
        <w:t> </w:t>
      </w:r>
      <w:r>
        <w:rPr/>
        <w:t>and</w:t>
      </w:r>
      <w:r>
        <w:rPr>
          <w:spacing w:val="-4"/>
        </w:rPr>
        <w:t> </w:t>
      </w:r>
      <w:r>
        <w:rPr/>
        <w:t>in</w:t>
      </w:r>
      <w:r>
        <w:rPr>
          <w:spacing w:val="-2"/>
        </w:rPr>
        <w:t> </w:t>
      </w:r>
      <w:r>
        <w:rPr/>
        <w:t>2012,</w:t>
      </w:r>
      <w:r>
        <w:rPr>
          <w:spacing w:val="-4"/>
        </w:rPr>
        <w:t> </w:t>
      </w:r>
      <w:r>
        <w:rPr/>
        <w:t>the</w:t>
      </w:r>
      <w:r>
        <w:rPr>
          <w:spacing w:val="-4"/>
        </w:rPr>
        <w:t> </w:t>
      </w:r>
      <w:r>
        <w:rPr/>
        <w:t>roof</w:t>
      </w:r>
      <w:r>
        <w:rPr>
          <w:spacing w:val="-2"/>
        </w:rPr>
        <w:t> </w:t>
      </w:r>
      <w:r>
        <w:rPr/>
        <w:t>was</w:t>
      </w:r>
      <w:r>
        <w:rPr>
          <w:spacing w:val="-3"/>
        </w:rPr>
        <w:t> </w:t>
      </w:r>
      <w:r>
        <w:rPr/>
        <w:t>replaced.</w:t>
      </w:r>
      <w:r>
        <w:rPr>
          <w:spacing w:val="-4"/>
        </w:rPr>
        <w:t> </w:t>
      </w:r>
      <w:r>
        <w:rPr/>
        <w:t>The Department continues to work with the Dean and the University Buildings and Grounds leadership and staff to monitor and respond to issues as they arise.</w:t>
      </w:r>
    </w:p>
    <w:p>
      <w:pPr>
        <w:pStyle w:val="BodyText"/>
        <w:spacing w:before="6"/>
      </w:pPr>
    </w:p>
    <w:p>
      <w:pPr>
        <w:spacing w:before="0"/>
        <w:ind w:left="499" w:right="0" w:firstLine="0"/>
        <w:jc w:val="left"/>
        <w:rPr>
          <w:b/>
          <w:sz w:val="20"/>
        </w:rPr>
      </w:pPr>
      <w:r>
        <w:rPr>
          <w:b/>
          <w:sz w:val="20"/>
        </w:rPr>
        <w:t>Dedicated</w:t>
      </w:r>
      <w:r>
        <w:rPr>
          <w:b/>
          <w:spacing w:val="-13"/>
          <w:sz w:val="20"/>
        </w:rPr>
        <w:t> </w:t>
      </w:r>
      <w:r>
        <w:rPr>
          <w:b/>
          <w:spacing w:val="-2"/>
          <w:sz w:val="20"/>
        </w:rPr>
        <w:t>Spaces</w:t>
      </w:r>
    </w:p>
    <w:p>
      <w:pPr>
        <w:pStyle w:val="BodyText"/>
        <w:spacing w:before="8"/>
        <w:rPr>
          <w:b/>
          <w:sz w:val="22"/>
        </w:rPr>
      </w:pPr>
    </w:p>
    <w:p>
      <w:pPr>
        <w:pStyle w:val="BodyText"/>
        <w:ind w:left="860"/>
      </w:pPr>
      <w:bookmarkStart w:name="Faculty and Administrative:" w:id="54"/>
      <w:bookmarkEnd w:id="54"/>
      <w:r>
        <w:rPr/>
      </w:r>
      <w:r>
        <w:rPr/>
        <w:t>Faculty</w:t>
      </w:r>
      <w:r>
        <w:rPr>
          <w:spacing w:val="-8"/>
        </w:rPr>
        <w:t> </w:t>
      </w:r>
      <w:r>
        <w:rPr/>
        <w:t>and</w:t>
      </w:r>
      <w:r>
        <w:rPr>
          <w:spacing w:val="-3"/>
        </w:rPr>
        <w:t> </w:t>
      </w:r>
      <w:r>
        <w:rPr>
          <w:spacing w:val="-2"/>
        </w:rPr>
        <w:t>Administrative:</w:t>
      </w:r>
    </w:p>
    <w:p>
      <w:pPr>
        <w:pStyle w:val="BodyText"/>
        <w:tabs>
          <w:tab w:pos="6979" w:val="left" w:leader="none"/>
        </w:tabs>
        <w:spacing w:before="121"/>
        <w:ind w:left="1219"/>
      </w:pPr>
      <w:bookmarkStart w:name="Administration 780 sq. ft." w:id="55"/>
      <w:bookmarkEnd w:id="55"/>
      <w:r>
        <w:rPr/>
      </w:r>
      <w:r>
        <w:rPr>
          <w:spacing w:val="-2"/>
        </w:rPr>
        <w:t>Administration</w:t>
      </w:r>
      <w:r>
        <w:rPr/>
        <w:tab/>
        <w:t>780</w:t>
      </w:r>
      <w:r>
        <w:rPr>
          <w:spacing w:val="-7"/>
        </w:rPr>
        <w:t> </w:t>
      </w:r>
      <w:r>
        <w:rPr/>
        <w:t>sq.</w:t>
      </w:r>
      <w:r>
        <w:rPr>
          <w:spacing w:val="-3"/>
        </w:rPr>
        <w:t> </w:t>
      </w:r>
      <w:r>
        <w:rPr>
          <w:spacing w:val="-5"/>
        </w:rPr>
        <w:t>ft.</w:t>
      </w:r>
    </w:p>
    <w:p>
      <w:pPr>
        <w:pStyle w:val="BodyText"/>
        <w:spacing w:before="118"/>
        <w:ind w:left="1939"/>
      </w:pPr>
      <w:r>
        <w:rPr/>
        <w:t>Office</w:t>
      </w:r>
      <w:r>
        <w:rPr>
          <w:spacing w:val="-8"/>
        </w:rPr>
        <w:t> </w:t>
      </w:r>
      <w:r>
        <w:rPr/>
        <w:t>space</w:t>
      </w:r>
      <w:r>
        <w:rPr>
          <w:spacing w:val="-7"/>
        </w:rPr>
        <w:t> </w:t>
      </w:r>
      <w:r>
        <w:rPr/>
        <w:t>for</w:t>
      </w:r>
      <w:r>
        <w:rPr>
          <w:spacing w:val="-6"/>
        </w:rPr>
        <w:t> </w:t>
      </w:r>
      <w:r>
        <w:rPr/>
        <w:t>the</w:t>
      </w:r>
      <w:r>
        <w:rPr>
          <w:spacing w:val="-8"/>
        </w:rPr>
        <w:t> </w:t>
      </w:r>
      <w:r>
        <w:rPr/>
        <w:t>Department</w:t>
      </w:r>
      <w:r>
        <w:rPr>
          <w:spacing w:val="-7"/>
        </w:rPr>
        <w:t> </w:t>
      </w:r>
      <w:r>
        <w:rPr/>
        <w:t>Chairperson,</w:t>
      </w:r>
      <w:r>
        <w:rPr>
          <w:spacing w:val="-7"/>
        </w:rPr>
        <w:t> </w:t>
      </w:r>
      <w:r>
        <w:rPr/>
        <w:t>two</w:t>
      </w:r>
      <w:r>
        <w:rPr>
          <w:spacing w:val="-6"/>
        </w:rPr>
        <w:t> </w:t>
      </w:r>
      <w:r>
        <w:rPr/>
        <w:t>secretaries</w:t>
      </w:r>
      <w:r>
        <w:rPr>
          <w:spacing w:val="-3"/>
        </w:rPr>
        <w:t> </w:t>
      </w:r>
      <w:r>
        <w:rPr/>
        <w:t>and</w:t>
      </w:r>
      <w:r>
        <w:rPr>
          <w:spacing w:val="-6"/>
        </w:rPr>
        <w:t> </w:t>
      </w:r>
      <w:r>
        <w:rPr/>
        <w:t>a</w:t>
      </w:r>
      <w:r>
        <w:rPr>
          <w:spacing w:val="-7"/>
        </w:rPr>
        <w:t> </w:t>
      </w:r>
      <w:r>
        <w:rPr/>
        <w:t>student</w:t>
      </w:r>
      <w:r>
        <w:rPr>
          <w:spacing w:val="-3"/>
        </w:rPr>
        <w:t> </w:t>
      </w:r>
      <w:r>
        <w:rPr>
          <w:spacing w:val="-2"/>
        </w:rPr>
        <w:t>worker.</w:t>
      </w:r>
    </w:p>
    <w:p>
      <w:pPr>
        <w:pStyle w:val="BodyText"/>
        <w:tabs>
          <w:tab w:pos="6979" w:val="left" w:leader="none"/>
        </w:tabs>
        <w:spacing w:before="120"/>
        <w:ind w:left="1219"/>
      </w:pPr>
      <w:bookmarkStart w:name="Conference/Seminar Room 370 sq. ft." w:id="56"/>
      <w:bookmarkEnd w:id="56"/>
      <w:r>
        <w:rPr/>
      </w:r>
      <w:r>
        <w:rPr>
          <w:w w:val="95"/>
        </w:rPr>
        <w:t>Conference/Seminar</w:t>
      </w:r>
      <w:r>
        <w:rPr>
          <w:spacing w:val="70"/>
        </w:rPr>
        <w:t> </w:t>
      </w:r>
      <w:r>
        <w:rPr>
          <w:spacing w:val="-4"/>
        </w:rPr>
        <w:t>Room</w:t>
      </w:r>
      <w:r>
        <w:rPr/>
        <w:tab/>
        <w:t>370</w:t>
      </w:r>
      <w:r>
        <w:rPr>
          <w:spacing w:val="-7"/>
        </w:rPr>
        <w:t> </w:t>
      </w:r>
      <w:r>
        <w:rPr/>
        <w:t>sq.</w:t>
      </w:r>
      <w:r>
        <w:rPr>
          <w:spacing w:val="-3"/>
        </w:rPr>
        <w:t> </w:t>
      </w:r>
      <w:r>
        <w:rPr>
          <w:spacing w:val="-5"/>
        </w:rPr>
        <w:t>ft.</w:t>
      </w:r>
    </w:p>
    <w:p>
      <w:pPr>
        <w:pStyle w:val="BodyText"/>
        <w:tabs>
          <w:tab w:pos="6980" w:val="left" w:leader="none"/>
        </w:tabs>
        <w:spacing w:before="121"/>
        <w:ind w:left="1220"/>
      </w:pPr>
      <w:r>
        <w:rPr/>
        <w:t>Faculty</w:t>
      </w:r>
      <w:r>
        <w:rPr>
          <w:spacing w:val="-10"/>
        </w:rPr>
        <w:t> </w:t>
      </w:r>
      <w:r>
        <w:rPr>
          <w:spacing w:val="-2"/>
        </w:rPr>
        <w:t>Offices</w:t>
      </w:r>
      <w:r>
        <w:rPr/>
        <w:tab/>
        <w:t>1160</w:t>
      </w:r>
      <w:r>
        <w:rPr>
          <w:spacing w:val="-5"/>
        </w:rPr>
        <w:t> </w:t>
      </w:r>
      <w:r>
        <w:rPr/>
        <w:t>sq.</w:t>
      </w:r>
      <w:r>
        <w:rPr>
          <w:spacing w:val="-6"/>
        </w:rPr>
        <w:t> </w:t>
      </w:r>
      <w:r>
        <w:rPr>
          <w:spacing w:val="-5"/>
        </w:rPr>
        <w:t>ft.</w:t>
      </w:r>
    </w:p>
    <w:p>
      <w:pPr>
        <w:pStyle w:val="BodyText"/>
        <w:spacing w:before="120"/>
        <w:ind w:left="1940"/>
      </w:pPr>
      <w:r>
        <w:rPr/>
        <w:t>Four</w:t>
      </w:r>
      <w:r>
        <w:rPr>
          <w:spacing w:val="-6"/>
        </w:rPr>
        <w:t> </w:t>
      </w:r>
      <w:r>
        <w:rPr/>
        <w:t>faculty</w:t>
      </w:r>
      <w:r>
        <w:rPr>
          <w:spacing w:val="-7"/>
        </w:rPr>
        <w:t> </w:t>
      </w:r>
      <w:r>
        <w:rPr/>
        <w:t>offices</w:t>
      </w:r>
      <w:r>
        <w:rPr>
          <w:spacing w:val="-5"/>
        </w:rPr>
        <w:t> </w:t>
      </w:r>
      <w:r>
        <w:rPr/>
        <w:t>to</w:t>
      </w:r>
      <w:r>
        <w:rPr>
          <w:spacing w:val="-6"/>
        </w:rPr>
        <w:t> </w:t>
      </w:r>
      <w:r>
        <w:rPr/>
        <w:t>serve</w:t>
      </w:r>
      <w:r>
        <w:rPr>
          <w:spacing w:val="-5"/>
        </w:rPr>
        <w:t> </w:t>
      </w:r>
      <w:r>
        <w:rPr/>
        <w:t>two</w:t>
      </w:r>
      <w:r>
        <w:rPr>
          <w:spacing w:val="-6"/>
        </w:rPr>
        <w:t> </w:t>
      </w:r>
      <w:r>
        <w:rPr/>
        <w:t>persons</w:t>
      </w:r>
      <w:r>
        <w:rPr>
          <w:spacing w:val="-5"/>
        </w:rPr>
        <w:t> </w:t>
      </w:r>
      <w:r>
        <w:rPr>
          <w:spacing w:val="-4"/>
        </w:rPr>
        <w:t>each.</w:t>
      </w:r>
    </w:p>
    <w:p>
      <w:pPr>
        <w:pStyle w:val="BodyText"/>
        <w:spacing w:before="121"/>
        <w:ind w:left="860"/>
      </w:pPr>
      <w:bookmarkStart w:name="Instructional:" w:id="57"/>
      <w:bookmarkEnd w:id="57"/>
      <w:r>
        <w:rPr/>
      </w:r>
      <w:r>
        <w:rPr>
          <w:spacing w:val="-2"/>
        </w:rPr>
        <w:t>Instructional:</w:t>
      </w:r>
    </w:p>
    <w:p>
      <w:pPr>
        <w:pStyle w:val="BodyText"/>
        <w:tabs>
          <w:tab w:pos="6979" w:val="left" w:leader="none"/>
        </w:tabs>
        <w:spacing w:before="120"/>
        <w:ind w:left="1219"/>
      </w:pPr>
      <w:r>
        <w:rPr>
          <w:spacing w:val="-2"/>
        </w:rPr>
        <w:t>Classrooms</w:t>
      </w:r>
      <w:r>
        <w:rPr/>
        <w:tab/>
        <w:t>370</w:t>
      </w:r>
      <w:r>
        <w:rPr>
          <w:spacing w:val="-7"/>
        </w:rPr>
        <w:t> </w:t>
      </w:r>
      <w:r>
        <w:rPr/>
        <w:t>sq.</w:t>
      </w:r>
      <w:r>
        <w:rPr>
          <w:spacing w:val="-3"/>
        </w:rPr>
        <w:t> </w:t>
      </w:r>
      <w:r>
        <w:rPr>
          <w:spacing w:val="-5"/>
        </w:rPr>
        <w:t>ft.</w:t>
      </w:r>
    </w:p>
    <w:p>
      <w:pPr>
        <w:pStyle w:val="BodyText"/>
        <w:spacing w:before="118"/>
        <w:ind w:left="1939"/>
      </w:pPr>
      <w:r>
        <w:rPr/>
        <w:t>Two</w:t>
      </w:r>
      <w:r>
        <w:rPr>
          <w:spacing w:val="-4"/>
        </w:rPr>
        <w:t> </w:t>
      </w:r>
      <w:r>
        <w:rPr/>
        <w:t>classrooms</w:t>
      </w:r>
      <w:r>
        <w:rPr>
          <w:spacing w:val="-3"/>
        </w:rPr>
        <w:t> </w:t>
      </w:r>
      <w:r>
        <w:rPr/>
        <w:t>–</w:t>
      </w:r>
      <w:r>
        <w:rPr>
          <w:spacing w:val="-4"/>
        </w:rPr>
        <w:t> </w:t>
      </w:r>
      <w:r>
        <w:rPr/>
        <w:t>one</w:t>
      </w:r>
      <w:r>
        <w:rPr>
          <w:spacing w:val="-4"/>
        </w:rPr>
        <w:t> </w:t>
      </w:r>
      <w:r>
        <w:rPr/>
        <w:t>each</w:t>
      </w:r>
      <w:r>
        <w:rPr>
          <w:spacing w:val="-4"/>
        </w:rPr>
        <w:t> </w:t>
      </w:r>
      <w:r>
        <w:rPr/>
        <w:t>on</w:t>
      </w:r>
      <w:r>
        <w:rPr>
          <w:spacing w:val="-2"/>
        </w:rPr>
        <w:t> </w:t>
      </w:r>
      <w:r>
        <w:rPr/>
        <w:t>the</w:t>
      </w:r>
      <w:r>
        <w:rPr>
          <w:spacing w:val="-4"/>
        </w:rPr>
        <w:t> </w:t>
      </w:r>
      <w:r>
        <w:rPr/>
        <w:t>first</w:t>
      </w:r>
      <w:r>
        <w:rPr>
          <w:spacing w:val="-4"/>
        </w:rPr>
        <w:t> </w:t>
      </w:r>
      <w:r>
        <w:rPr/>
        <w:t>and</w:t>
      </w:r>
      <w:r>
        <w:rPr>
          <w:spacing w:val="-4"/>
        </w:rPr>
        <w:t> </w:t>
      </w:r>
      <w:r>
        <w:rPr/>
        <w:t>second</w:t>
      </w:r>
      <w:r>
        <w:rPr>
          <w:spacing w:val="-4"/>
        </w:rPr>
        <w:t> </w:t>
      </w:r>
      <w:r>
        <w:rPr/>
        <w:t>floor</w:t>
      </w:r>
      <w:r>
        <w:rPr>
          <w:spacing w:val="-3"/>
        </w:rPr>
        <w:t> </w:t>
      </w:r>
      <w:r>
        <w:rPr/>
        <w:t>room,</w:t>
      </w:r>
      <w:r>
        <w:rPr>
          <w:spacing w:val="-4"/>
        </w:rPr>
        <w:t> </w:t>
      </w:r>
      <w:r>
        <w:rPr/>
        <w:t>both</w:t>
      </w:r>
      <w:r>
        <w:rPr>
          <w:spacing w:val="-4"/>
        </w:rPr>
        <w:t> </w:t>
      </w:r>
      <w:r>
        <w:rPr/>
        <w:t>of which</w:t>
      </w:r>
      <w:r>
        <w:rPr>
          <w:spacing w:val="-2"/>
        </w:rPr>
        <w:t> </w:t>
      </w:r>
      <w:r>
        <w:rPr/>
        <w:t>will</w:t>
      </w:r>
      <w:r>
        <w:rPr>
          <w:spacing w:val="-3"/>
        </w:rPr>
        <w:t> </w:t>
      </w:r>
      <w:r>
        <w:rPr/>
        <w:t>seat approximately 25 persons.</w:t>
      </w:r>
    </w:p>
    <w:p>
      <w:pPr>
        <w:pStyle w:val="BodyText"/>
        <w:tabs>
          <w:tab w:pos="6979" w:val="left" w:leader="none"/>
        </w:tabs>
        <w:spacing w:before="121"/>
        <w:ind w:left="1219"/>
      </w:pPr>
      <w:r>
        <w:rPr>
          <w:spacing w:val="-2"/>
        </w:rPr>
        <w:t>Studios</w:t>
      </w:r>
      <w:r>
        <w:rPr/>
        <w:tab/>
        <w:t>7000</w:t>
      </w:r>
      <w:r>
        <w:rPr>
          <w:spacing w:val="-5"/>
        </w:rPr>
        <w:t> </w:t>
      </w:r>
      <w:r>
        <w:rPr/>
        <w:t>sq.</w:t>
      </w:r>
      <w:r>
        <w:rPr>
          <w:spacing w:val="-6"/>
        </w:rPr>
        <w:t> </w:t>
      </w:r>
      <w:r>
        <w:rPr>
          <w:spacing w:val="-5"/>
        </w:rPr>
        <w:t>ft.</w:t>
      </w:r>
    </w:p>
    <w:p>
      <w:pPr>
        <w:pStyle w:val="BodyText"/>
        <w:spacing w:before="120"/>
        <w:ind w:left="1939"/>
      </w:pPr>
      <w:r>
        <w:rPr/>
        <w:t>Six</w:t>
      </w:r>
      <w:r>
        <w:rPr>
          <w:spacing w:val="-6"/>
        </w:rPr>
        <w:t> </w:t>
      </w:r>
      <w:r>
        <w:rPr/>
        <w:t>studio</w:t>
      </w:r>
      <w:r>
        <w:rPr>
          <w:spacing w:val="-6"/>
        </w:rPr>
        <w:t> </w:t>
      </w:r>
      <w:r>
        <w:rPr/>
        <w:t>spaces</w:t>
      </w:r>
      <w:r>
        <w:rPr>
          <w:spacing w:val="-5"/>
        </w:rPr>
        <w:t> </w:t>
      </w:r>
      <w:r>
        <w:rPr/>
        <w:t>serve</w:t>
      </w:r>
      <w:r>
        <w:rPr>
          <w:spacing w:val="-5"/>
        </w:rPr>
        <w:t> </w:t>
      </w:r>
      <w:r>
        <w:rPr/>
        <w:t>the</w:t>
      </w:r>
      <w:r>
        <w:rPr>
          <w:spacing w:val="-4"/>
        </w:rPr>
        <w:t> </w:t>
      </w:r>
      <w:r>
        <w:rPr/>
        <w:t>five</w:t>
      </w:r>
      <w:r>
        <w:rPr>
          <w:spacing w:val="-6"/>
        </w:rPr>
        <w:t> </w:t>
      </w:r>
      <w:r>
        <w:rPr/>
        <w:t>design</w:t>
      </w:r>
      <w:r>
        <w:rPr>
          <w:spacing w:val="-7"/>
        </w:rPr>
        <w:t> </w:t>
      </w:r>
      <w:r>
        <w:rPr>
          <w:spacing w:val="-2"/>
        </w:rPr>
        <w:t>studios.</w:t>
      </w:r>
    </w:p>
    <w:p>
      <w:pPr>
        <w:pStyle w:val="BodyText"/>
        <w:tabs>
          <w:tab w:pos="6979" w:val="left" w:leader="none"/>
        </w:tabs>
        <w:spacing w:before="121"/>
        <w:ind w:left="1219"/>
      </w:pPr>
      <w:bookmarkStart w:name="Auditorium 1270 sq. ft." w:id="58"/>
      <w:bookmarkEnd w:id="58"/>
      <w:r>
        <w:rPr/>
      </w:r>
      <w:r>
        <w:rPr>
          <w:spacing w:val="-2"/>
        </w:rPr>
        <w:t>Auditorium</w:t>
      </w:r>
      <w:r>
        <w:rPr/>
        <w:tab/>
        <w:t>1270</w:t>
      </w:r>
      <w:r>
        <w:rPr>
          <w:spacing w:val="-5"/>
        </w:rPr>
        <w:t> </w:t>
      </w:r>
      <w:r>
        <w:rPr/>
        <w:t>sq.</w:t>
      </w:r>
      <w:r>
        <w:rPr>
          <w:spacing w:val="-6"/>
        </w:rPr>
        <w:t> </w:t>
      </w:r>
      <w:r>
        <w:rPr>
          <w:spacing w:val="-5"/>
        </w:rPr>
        <w:t>ft.</w:t>
      </w:r>
    </w:p>
    <w:p>
      <w:pPr>
        <w:pStyle w:val="BodyText"/>
        <w:spacing w:before="120"/>
        <w:ind w:left="1939" w:right="705"/>
      </w:pPr>
      <w:r>
        <w:rPr/>
        <w:t>A</w:t>
      </w:r>
      <w:r>
        <w:rPr>
          <w:spacing w:val="-6"/>
        </w:rPr>
        <w:t> </w:t>
      </w:r>
      <w:r>
        <w:rPr/>
        <w:t>maximum seating</w:t>
      </w:r>
      <w:r>
        <w:rPr>
          <w:spacing w:val="-5"/>
        </w:rPr>
        <w:t> </w:t>
      </w:r>
      <w:r>
        <w:rPr/>
        <w:t>of</w:t>
      </w:r>
      <w:r>
        <w:rPr>
          <w:spacing w:val="-3"/>
        </w:rPr>
        <w:t> </w:t>
      </w:r>
      <w:r>
        <w:rPr/>
        <w:t>sixty-five</w:t>
      </w:r>
      <w:r>
        <w:rPr>
          <w:spacing w:val="-5"/>
        </w:rPr>
        <w:t> </w:t>
      </w:r>
      <w:r>
        <w:rPr/>
        <w:t>persons.</w:t>
      </w:r>
      <w:r>
        <w:rPr>
          <w:spacing w:val="-5"/>
        </w:rPr>
        <w:t> </w:t>
      </w:r>
      <w:r>
        <w:rPr/>
        <w:t>The</w:t>
      </w:r>
      <w:r>
        <w:rPr>
          <w:spacing w:val="-3"/>
        </w:rPr>
        <w:t> </w:t>
      </w:r>
      <w:r>
        <w:rPr/>
        <w:t>auditorium is</w:t>
      </w:r>
      <w:r>
        <w:rPr>
          <w:spacing w:val="-4"/>
        </w:rPr>
        <w:t> </w:t>
      </w:r>
      <w:r>
        <w:rPr/>
        <w:t>utilized</w:t>
      </w:r>
      <w:r>
        <w:rPr>
          <w:spacing w:val="-5"/>
        </w:rPr>
        <w:t> </w:t>
      </w:r>
      <w:r>
        <w:rPr/>
        <w:t>for</w:t>
      </w:r>
      <w:r>
        <w:rPr>
          <w:spacing w:val="-4"/>
        </w:rPr>
        <w:t> </w:t>
      </w:r>
      <w:r>
        <w:rPr/>
        <w:t>large</w:t>
      </w:r>
      <w:r>
        <w:rPr>
          <w:spacing w:val="-3"/>
        </w:rPr>
        <w:t> </w:t>
      </w:r>
      <w:r>
        <w:rPr/>
        <w:t>lectures, juries and special events, and serves as a classroom.</w:t>
      </w:r>
    </w:p>
    <w:p>
      <w:pPr>
        <w:pStyle w:val="BodyText"/>
        <w:spacing w:before="119"/>
        <w:ind w:left="859"/>
      </w:pPr>
      <w:bookmarkStart w:name="Support:" w:id="59"/>
      <w:bookmarkEnd w:id="59"/>
      <w:r>
        <w:rPr/>
      </w:r>
      <w:r>
        <w:rPr>
          <w:spacing w:val="-2"/>
        </w:rPr>
        <w:t>Support:</w:t>
      </w:r>
    </w:p>
    <w:p>
      <w:pPr>
        <w:pStyle w:val="BodyText"/>
        <w:tabs>
          <w:tab w:pos="6978" w:val="left" w:leader="none"/>
        </w:tabs>
        <w:spacing w:before="120"/>
        <w:ind w:left="1219"/>
      </w:pPr>
      <w:r>
        <w:rPr/>
        <w:t>Model</w:t>
      </w:r>
      <w:r>
        <w:rPr>
          <w:spacing w:val="-7"/>
        </w:rPr>
        <w:t> </w:t>
      </w:r>
      <w:r>
        <w:rPr>
          <w:spacing w:val="-4"/>
        </w:rPr>
        <w:t>Shop</w:t>
      </w:r>
      <w:r>
        <w:rPr/>
        <w:tab/>
        <w:t>1500</w:t>
      </w:r>
      <w:r>
        <w:rPr>
          <w:spacing w:val="-5"/>
        </w:rPr>
        <w:t> </w:t>
      </w:r>
      <w:r>
        <w:rPr/>
        <w:t>sq.</w:t>
      </w:r>
      <w:r>
        <w:rPr>
          <w:spacing w:val="-6"/>
        </w:rPr>
        <w:t> </w:t>
      </w:r>
      <w:r>
        <w:rPr>
          <w:spacing w:val="-5"/>
        </w:rPr>
        <w:t>ft.</w:t>
      </w:r>
    </w:p>
    <w:p>
      <w:pPr>
        <w:spacing w:after="0"/>
        <w:sectPr>
          <w:headerReference w:type="default" r:id="rId46"/>
          <w:footerReference w:type="default" r:id="rId47"/>
          <w:pgSz w:w="12240" w:h="15840"/>
          <w:pgMar w:header="0" w:footer="974" w:top="1360" w:bottom="1160" w:left="940" w:right="960"/>
        </w:sectPr>
      </w:pPr>
    </w:p>
    <w:p>
      <w:pPr>
        <w:pStyle w:val="BodyText"/>
        <w:spacing w:before="77"/>
        <w:ind w:left="1939" w:right="499"/>
      </w:pPr>
      <w:r>
        <w:rPr/>
        <w:t>Located in the Armstrong-Slater Building, the primary objective of the model shop is to provide support to students constructing models for three-dimensional study of their building</w:t>
      </w:r>
      <w:r>
        <w:rPr>
          <w:spacing w:val="-3"/>
        </w:rPr>
        <w:t> </w:t>
      </w:r>
      <w:r>
        <w:rPr/>
        <w:t>projects.</w:t>
      </w:r>
      <w:r>
        <w:rPr>
          <w:spacing w:val="-5"/>
        </w:rPr>
        <w:t> </w:t>
      </w:r>
      <w:r>
        <w:rPr/>
        <w:t>Another</w:t>
      </w:r>
      <w:r>
        <w:rPr>
          <w:spacing w:val="-4"/>
        </w:rPr>
        <w:t> </w:t>
      </w:r>
      <w:r>
        <w:rPr/>
        <w:t>function</w:t>
      </w:r>
      <w:r>
        <w:rPr>
          <w:spacing w:val="-5"/>
        </w:rPr>
        <w:t> </w:t>
      </w:r>
      <w:r>
        <w:rPr/>
        <w:t>is</w:t>
      </w:r>
      <w:r>
        <w:rPr>
          <w:spacing w:val="-4"/>
        </w:rPr>
        <w:t> </w:t>
      </w:r>
      <w:r>
        <w:rPr/>
        <w:t>the</w:t>
      </w:r>
      <w:r>
        <w:rPr>
          <w:spacing w:val="-5"/>
        </w:rPr>
        <w:t> </w:t>
      </w:r>
      <w:r>
        <w:rPr/>
        <w:t>maintenance,</w:t>
      </w:r>
      <w:r>
        <w:rPr>
          <w:spacing w:val="-3"/>
        </w:rPr>
        <w:t> </w:t>
      </w:r>
      <w:r>
        <w:rPr/>
        <w:t>repair</w:t>
      </w:r>
      <w:r>
        <w:rPr>
          <w:spacing w:val="-2"/>
        </w:rPr>
        <w:t> </w:t>
      </w:r>
      <w:r>
        <w:rPr/>
        <w:t>and</w:t>
      </w:r>
      <w:r>
        <w:rPr>
          <w:spacing w:val="-3"/>
        </w:rPr>
        <w:t> </w:t>
      </w:r>
      <w:r>
        <w:rPr/>
        <w:t>upkeep</w:t>
      </w:r>
      <w:r>
        <w:rPr>
          <w:spacing w:val="-3"/>
        </w:rPr>
        <w:t> </w:t>
      </w:r>
      <w:r>
        <w:rPr/>
        <w:t>of</w:t>
      </w:r>
      <w:r>
        <w:rPr>
          <w:spacing w:val="-3"/>
        </w:rPr>
        <w:t> </w:t>
      </w:r>
      <w:r>
        <w:rPr/>
        <w:t>equipment</w:t>
      </w:r>
      <w:r>
        <w:rPr>
          <w:spacing w:val="-5"/>
        </w:rPr>
        <w:t> </w:t>
      </w:r>
      <w:r>
        <w:rPr/>
        <w:t>in the Department. Mr. Robert Johnson, Model Shop director, conducts classes to help students learn how to use the equipment safely and creatively.</w:t>
      </w:r>
    </w:p>
    <w:p>
      <w:pPr>
        <w:pStyle w:val="BodyText"/>
        <w:tabs>
          <w:tab w:pos="6979" w:val="left" w:leader="none"/>
        </w:tabs>
        <w:spacing w:before="120"/>
        <w:ind w:left="1219"/>
      </w:pPr>
      <w:r>
        <w:rPr/>
        <w:t>Laser</w:t>
      </w:r>
      <w:r>
        <w:rPr>
          <w:spacing w:val="-7"/>
        </w:rPr>
        <w:t> </w:t>
      </w:r>
      <w:r>
        <w:rPr/>
        <w:t>Cutter</w:t>
      </w:r>
      <w:r>
        <w:rPr>
          <w:spacing w:val="-7"/>
        </w:rPr>
        <w:t> </w:t>
      </w:r>
      <w:r>
        <w:rPr>
          <w:spacing w:val="-4"/>
        </w:rPr>
        <w:t>Room</w:t>
      </w:r>
      <w:r>
        <w:rPr/>
        <w:tab/>
        <w:t>60</w:t>
      </w:r>
      <w:r>
        <w:rPr>
          <w:spacing w:val="-4"/>
        </w:rPr>
        <w:t> </w:t>
      </w:r>
      <w:r>
        <w:rPr/>
        <w:t>sq.</w:t>
      </w:r>
      <w:r>
        <w:rPr>
          <w:spacing w:val="-4"/>
        </w:rPr>
        <w:t> </w:t>
      </w:r>
      <w:r>
        <w:rPr>
          <w:spacing w:val="-5"/>
        </w:rPr>
        <w:t>ft.</w:t>
      </w:r>
    </w:p>
    <w:p>
      <w:pPr>
        <w:pStyle w:val="BodyText"/>
        <w:spacing w:before="120"/>
        <w:ind w:left="1939"/>
      </w:pPr>
      <w:r>
        <w:rPr/>
        <w:t>Located</w:t>
      </w:r>
      <w:r>
        <w:rPr>
          <w:spacing w:val="-7"/>
        </w:rPr>
        <w:t> </w:t>
      </w:r>
      <w:r>
        <w:rPr/>
        <w:t>on</w:t>
      </w:r>
      <w:r>
        <w:rPr>
          <w:spacing w:val="-4"/>
        </w:rPr>
        <w:t> </w:t>
      </w:r>
      <w:r>
        <w:rPr/>
        <w:t>the</w:t>
      </w:r>
      <w:r>
        <w:rPr>
          <w:spacing w:val="-5"/>
        </w:rPr>
        <w:t> </w:t>
      </w:r>
      <w:r>
        <w:rPr/>
        <w:t>second</w:t>
      </w:r>
      <w:r>
        <w:rPr>
          <w:spacing w:val="-6"/>
        </w:rPr>
        <w:t> </w:t>
      </w:r>
      <w:r>
        <w:rPr/>
        <w:t>floor</w:t>
      </w:r>
      <w:r>
        <w:rPr>
          <w:spacing w:val="-5"/>
        </w:rPr>
        <w:t> </w:t>
      </w:r>
      <w:r>
        <w:rPr/>
        <w:t>of</w:t>
      </w:r>
      <w:r>
        <w:rPr>
          <w:spacing w:val="-4"/>
        </w:rPr>
        <w:t> </w:t>
      </w:r>
      <w:r>
        <w:rPr/>
        <w:t>Bemis</w:t>
      </w:r>
      <w:r>
        <w:rPr>
          <w:spacing w:val="-6"/>
        </w:rPr>
        <w:t> </w:t>
      </w:r>
      <w:r>
        <w:rPr/>
        <w:t>Laboratory,</w:t>
      </w:r>
      <w:r>
        <w:rPr>
          <w:spacing w:val="-6"/>
        </w:rPr>
        <w:t> </w:t>
      </w:r>
      <w:r>
        <w:rPr/>
        <w:t>this</w:t>
      </w:r>
      <w:r>
        <w:rPr>
          <w:spacing w:val="-3"/>
        </w:rPr>
        <w:t> </w:t>
      </w:r>
      <w:r>
        <w:rPr/>
        <w:t>space</w:t>
      </w:r>
      <w:r>
        <w:rPr>
          <w:spacing w:val="-6"/>
        </w:rPr>
        <w:t> </w:t>
      </w:r>
      <w:r>
        <w:rPr/>
        <w:t>houses</w:t>
      </w:r>
      <w:r>
        <w:rPr>
          <w:spacing w:val="-5"/>
        </w:rPr>
        <w:t> </w:t>
      </w:r>
      <w:r>
        <w:rPr/>
        <w:t>a</w:t>
      </w:r>
      <w:r>
        <w:rPr>
          <w:spacing w:val="-6"/>
        </w:rPr>
        <w:t> </w:t>
      </w:r>
      <w:r>
        <w:rPr/>
        <w:t>laser</w:t>
      </w:r>
      <w:r>
        <w:rPr>
          <w:spacing w:val="-6"/>
        </w:rPr>
        <w:t> </w:t>
      </w:r>
      <w:r>
        <w:rPr>
          <w:spacing w:val="-2"/>
        </w:rPr>
        <w:t>cutter.</w:t>
      </w:r>
    </w:p>
    <w:p>
      <w:pPr>
        <w:pStyle w:val="BodyText"/>
        <w:tabs>
          <w:tab w:pos="6979" w:val="left" w:leader="none"/>
        </w:tabs>
        <w:spacing w:before="121"/>
        <w:ind w:left="1219"/>
      </w:pPr>
      <w:r>
        <w:rPr/>
        <w:t>Student</w:t>
      </w:r>
      <w:r>
        <w:rPr>
          <w:spacing w:val="-8"/>
        </w:rPr>
        <w:t> </w:t>
      </w:r>
      <w:r>
        <w:rPr/>
        <w:t>Project</w:t>
      </w:r>
      <w:r>
        <w:rPr>
          <w:spacing w:val="-8"/>
        </w:rPr>
        <w:t> </w:t>
      </w:r>
      <w:r>
        <w:rPr/>
        <w:t>Archive</w:t>
      </w:r>
      <w:r>
        <w:rPr>
          <w:spacing w:val="-7"/>
        </w:rPr>
        <w:t> </w:t>
      </w:r>
      <w:r>
        <w:rPr>
          <w:spacing w:val="-2"/>
        </w:rPr>
        <w:t>Storage</w:t>
      </w:r>
      <w:r>
        <w:rPr/>
        <w:tab/>
        <w:t>325</w:t>
      </w:r>
      <w:r>
        <w:rPr>
          <w:spacing w:val="-7"/>
        </w:rPr>
        <w:t> </w:t>
      </w:r>
      <w:r>
        <w:rPr/>
        <w:t>sq.</w:t>
      </w:r>
      <w:r>
        <w:rPr>
          <w:spacing w:val="-3"/>
        </w:rPr>
        <w:t> </w:t>
      </w:r>
      <w:r>
        <w:rPr>
          <w:spacing w:val="-5"/>
        </w:rPr>
        <w:t>ft.</w:t>
      </w:r>
    </w:p>
    <w:p>
      <w:pPr>
        <w:pStyle w:val="BodyText"/>
        <w:spacing w:before="120"/>
        <w:ind w:left="1939"/>
      </w:pPr>
      <w:r>
        <w:rPr/>
        <w:t>This</w:t>
      </w:r>
      <w:r>
        <w:rPr>
          <w:spacing w:val="-6"/>
        </w:rPr>
        <w:t> </w:t>
      </w:r>
      <w:r>
        <w:rPr/>
        <w:t>space</w:t>
      </w:r>
      <w:r>
        <w:rPr>
          <w:spacing w:val="-6"/>
        </w:rPr>
        <w:t> </w:t>
      </w:r>
      <w:r>
        <w:rPr/>
        <w:t>is</w:t>
      </w:r>
      <w:r>
        <w:rPr>
          <w:spacing w:val="-6"/>
        </w:rPr>
        <w:t> </w:t>
      </w:r>
      <w:r>
        <w:rPr/>
        <w:t>located</w:t>
      </w:r>
      <w:r>
        <w:rPr>
          <w:spacing w:val="-4"/>
        </w:rPr>
        <w:t> </w:t>
      </w:r>
      <w:r>
        <w:rPr/>
        <w:t>in</w:t>
      </w:r>
      <w:r>
        <w:rPr>
          <w:spacing w:val="-4"/>
        </w:rPr>
        <w:t> </w:t>
      </w:r>
      <w:r>
        <w:rPr/>
        <w:t>a</w:t>
      </w:r>
      <w:r>
        <w:rPr>
          <w:spacing w:val="-5"/>
        </w:rPr>
        <w:t> </w:t>
      </w:r>
      <w:r>
        <w:rPr/>
        <w:t>mezzanine</w:t>
      </w:r>
      <w:r>
        <w:rPr>
          <w:spacing w:val="-4"/>
        </w:rPr>
        <w:t> </w:t>
      </w:r>
      <w:r>
        <w:rPr/>
        <w:t>between</w:t>
      </w:r>
      <w:r>
        <w:rPr>
          <w:spacing w:val="-5"/>
        </w:rPr>
        <w:t> </w:t>
      </w:r>
      <w:r>
        <w:rPr/>
        <w:t>the</w:t>
      </w:r>
      <w:r>
        <w:rPr>
          <w:spacing w:val="-6"/>
        </w:rPr>
        <w:t> </w:t>
      </w:r>
      <w:r>
        <w:rPr/>
        <w:t>first</w:t>
      </w:r>
      <w:r>
        <w:rPr>
          <w:spacing w:val="-6"/>
        </w:rPr>
        <w:t> </w:t>
      </w:r>
      <w:r>
        <w:rPr/>
        <w:t>and</w:t>
      </w:r>
      <w:r>
        <w:rPr>
          <w:spacing w:val="-5"/>
        </w:rPr>
        <w:t> </w:t>
      </w:r>
      <w:r>
        <w:rPr/>
        <w:t>second</w:t>
      </w:r>
      <w:r>
        <w:rPr>
          <w:spacing w:val="-6"/>
        </w:rPr>
        <w:t> </w:t>
      </w:r>
      <w:r>
        <w:rPr>
          <w:spacing w:val="-2"/>
        </w:rPr>
        <w:t>floor.</w:t>
      </w:r>
    </w:p>
    <w:p>
      <w:pPr>
        <w:pStyle w:val="BodyText"/>
        <w:tabs>
          <w:tab w:pos="6979" w:val="left" w:leader="none"/>
        </w:tabs>
        <w:spacing w:before="118"/>
        <w:ind w:left="1219"/>
      </w:pPr>
      <w:r>
        <w:rPr/>
        <w:t>Photo</w:t>
      </w:r>
      <w:r>
        <w:rPr>
          <w:spacing w:val="-8"/>
        </w:rPr>
        <w:t> </w:t>
      </w:r>
      <w:r>
        <w:rPr>
          <w:spacing w:val="-5"/>
        </w:rPr>
        <w:t>Lab</w:t>
      </w:r>
      <w:r>
        <w:rPr/>
        <w:tab/>
        <w:t>100</w:t>
      </w:r>
      <w:r>
        <w:rPr>
          <w:spacing w:val="-7"/>
        </w:rPr>
        <w:t> </w:t>
      </w:r>
      <w:r>
        <w:rPr/>
        <w:t>sq.</w:t>
      </w:r>
      <w:r>
        <w:rPr>
          <w:spacing w:val="-3"/>
        </w:rPr>
        <w:t> </w:t>
      </w:r>
      <w:r>
        <w:rPr>
          <w:spacing w:val="-5"/>
        </w:rPr>
        <w:t>ft.</w:t>
      </w:r>
    </w:p>
    <w:p>
      <w:pPr>
        <w:pStyle w:val="BodyText"/>
        <w:spacing w:before="121"/>
        <w:ind w:left="1939" w:right="499"/>
      </w:pPr>
      <w:r>
        <w:rPr/>
        <w:t>This</w:t>
      </w:r>
      <w:r>
        <w:rPr>
          <w:spacing w:val="-3"/>
        </w:rPr>
        <w:t> </w:t>
      </w:r>
      <w:r>
        <w:rPr/>
        <w:t>space</w:t>
      </w:r>
      <w:r>
        <w:rPr>
          <w:spacing w:val="-4"/>
        </w:rPr>
        <w:t> </w:t>
      </w:r>
      <w:r>
        <w:rPr/>
        <w:t>is</w:t>
      </w:r>
      <w:r>
        <w:rPr>
          <w:spacing w:val="-3"/>
        </w:rPr>
        <w:t> </w:t>
      </w:r>
      <w:r>
        <w:rPr/>
        <w:t>used</w:t>
      </w:r>
      <w:r>
        <w:rPr>
          <w:spacing w:val="-4"/>
        </w:rPr>
        <w:t> </w:t>
      </w:r>
      <w:r>
        <w:rPr/>
        <w:t>for</w:t>
      </w:r>
      <w:r>
        <w:rPr>
          <w:spacing w:val="-3"/>
        </w:rPr>
        <w:t> </w:t>
      </w:r>
      <w:r>
        <w:rPr/>
        <w:t>photographing</w:t>
      </w:r>
      <w:r>
        <w:rPr>
          <w:spacing w:val="-4"/>
        </w:rPr>
        <w:t> </w:t>
      </w:r>
      <w:r>
        <w:rPr/>
        <w:t>projects.</w:t>
      </w:r>
      <w:r>
        <w:rPr>
          <w:spacing w:val="-2"/>
        </w:rPr>
        <w:t> </w:t>
      </w:r>
      <w:r>
        <w:rPr/>
        <w:t>Students</w:t>
      </w:r>
      <w:r>
        <w:rPr>
          <w:spacing w:val="-3"/>
        </w:rPr>
        <w:t> </w:t>
      </w:r>
      <w:r>
        <w:rPr/>
        <w:t>have</w:t>
      </w:r>
      <w:r>
        <w:rPr>
          <w:spacing w:val="-4"/>
        </w:rPr>
        <w:t> </w:t>
      </w:r>
      <w:r>
        <w:rPr/>
        <w:t>access</w:t>
      </w:r>
      <w:r>
        <w:rPr>
          <w:spacing w:val="-3"/>
        </w:rPr>
        <w:t> </w:t>
      </w:r>
      <w:r>
        <w:rPr/>
        <w:t>to</w:t>
      </w:r>
      <w:r>
        <w:rPr>
          <w:spacing w:val="-4"/>
        </w:rPr>
        <w:t> </w:t>
      </w:r>
      <w:r>
        <w:rPr/>
        <w:t>the</w:t>
      </w:r>
      <w:r>
        <w:rPr>
          <w:spacing w:val="-4"/>
        </w:rPr>
        <w:t> </w:t>
      </w:r>
      <w:r>
        <w:rPr/>
        <w:t>photo lab</w:t>
      </w:r>
      <w:r>
        <w:rPr>
          <w:spacing w:val="-4"/>
        </w:rPr>
        <w:t> </w:t>
      </w:r>
      <w:r>
        <w:rPr/>
        <w:t>for the Department of Fine and Performing Arts, located in Armstrong-Slater.</w:t>
      </w:r>
    </w:p>
    <w:p>
      <w:pPr>
        <w:pStyle w:val="BodyText"/>
        <w:spacing w:before="120"/>
        <w:ind w:left="1219"/>
      </w:pPr>
      <w:r>
        <w:rPr/>
        <w:t>Materials</w:t>
      </w:r>
      <w:r>
        <w:rPr>
          <w:spacing w:val="-12"/>
        </w:rPr>
        <w:t> </w:t>
      </w:r>
      <w:r>
        <w:rPr>
          <w:spacing w:val="-5"/>
        </w:rPr>
        <w:t>Lab</w:t>
      </w:r>
    </w:p>
    <w:p>
      <w:pPr>
        <w:pStyle w:val="BodyText"/>
        <w:spacing w:before="121"/>
        <w:ind w:left="1939"/>
      </w:pPr>
      <w:r>
        <w:rPr/>
        <w:t>Students</w:t>
      </w:r>
      <w:r>
        <w:rPr>
          <w:spacing w:val="-2"/>
        </w:rPr>
        <w:t> </w:t>
      </w:r>
      <w:r>
        <w:rPr/>
        <w:t>have</w:t>
      </w:r>
      <w:r>
        <w:rPr>
          <w:spacing w:val="-4"/>
        </w:rPr>
        <w:t> </w:t>
      </w:r>
      <w:r>
        <w:rPr/>
        <w:t>access</w:t>
      </w:r>
      <w:r>
        <w:rPr>
          <w:spacing w:val="-3"/>
        </w:rPr>
        <w:t> </w:t>
      </w:r>
      <w:r>
        <w:rPr/>
        <w:t>to</w:t>
      </w:r>
      <w:r>
        <w:rPr>
          <w:spacing w:val="-4"/>
        </w:rPr>
        <w:t> </w:t>
      </w:r>
      <w:r>
        <w:rPr/>
        <w:t>material</w:t>
      </w:r>
      <w:r>
        <w:rPr>
          <w:spacing w:val="-5"/>
        </w:rPr>
        <w:t> </w:t>
      </w:r>
      <w:r>
        <w:rPr/>
        <w:t>testing</w:t>
      </w:r>
      <w:r>
        <w:rPr>
          <w:spacing w:val="-4"/>
        </w:rPr>
        <w:t> </w:t>
      </w:r>
      <w:r>
        <w:rPr/>
        <w:t>resources</w:t>
      </w:r>
      <w:r>
        <w:rPr>
          <w:spacing w:val="-3"/>
        </w:rPr>
        <w:t> </w:t>
      </w:r>
      <w:r>
        <w:rPr/>
        <w:t>and</w:t>
      </w:r>
      <w:r>
        <w:rPr>
          <w:spacing w:val="-4"/>
        </w:rPr>
        <w:t> </w:t>
      </w:r>
      <w:r>
        <w:rPr/>
        <w:t>3D</w:t>
      </w:r>
      <w:r>
        <w:rPr>
          <w:spacing w:val="-1"/>
        </w:rPr>
        <w:t> </w:t>
      </w:r>
      <w:r>
        <w:rPr/>
        <w:t>printer</w:t>
      </w:r>
      <w:r>
        <w:rPr>
          <w:spacing w:val="-3"/>
        </w:rPr>
        <w:t> </w:t>
      </w:r>
      <w:r>
        <w:rPr/>
        <w:t>in</w:t>
      </w:r>
      <w:r>
        <w:rPr>
          <w:spacing w:val="-2"/>
        </w:rPr>
        <w:t> </w:t>
      </w:r>
      <w:r>
        <w:rPr/>
        <w:t>the</w:t>
      </w:r>
      <w:r>
        <w:rPr>
          <w:spacing w:val="-2"/>
        </w:rPr>
        <w:t> </w:t>
      </w:r>
      <w:r>
        <w:rPr/>
        <w:t>Virtual</w:t>
      </w:r>
      <w:r>
        <w:rPr>
          <w:spacing w:val="-2"/>
        </w:rPr>
        <w:t> </w:t>
      </w:r>
      <w:r>
        <w:rPr/>
        <w:t>Parts Engineering Research Center, located in the Olin Engineering Building.</w:t>
      </w:r>
    </w:p>
    <w:p>
      <w:pPr>
        <w:pStyle w:val="BodyText"/>
        <w:spacing w:before="118"/>
        <w:ind w:left="1219"/>
      </w:pPr>
      <w:r>
        <w:rPr/>
        <w:t>Digital</w:t>
      </w:r>
      <w:r>
        <w:rPr>
          <w:spacing w:val="-9"/>
        </w:rPr>
        <w:t> </w:t>
      </w:r>
      <w:r>
        <w:rPr>
          <w:spacing w:val="-2"/>
        </w:rPr>
        <w:t>Resources</w:t>
      </w:r>
    </w:p>
    <w:p>
      <w:pPr>
        <w:pStyle w:val="BodyText"/>
        <w:spacing w:before="121"/>
        <w:ind w:left="1939" w:right="705"/>
      </w:pPr>
      <w:r>
        <w:rPr/>
        <w:t>At Bemis Hall faculty and students have access to a collection of laptops, digital projectors,</w:t>
      </w:r>
      <w:r>
        <w:rPr>
          <w:spacing w:val="-5"/>
        </w:rPr>
        <w:t> </w:t>
      </w:r>
      <w:r>
        <w:rPr/>
        <w:t>cameras</w:t>
      </w:r>
      <w:r>
        <w:rPr>
          <w:spacing w:val="-4"/>
        </w:rPr>
        <w:t> </w:t>
      </w:r>
      <w:r>
        <w:rPr/>
        <w:t>(still</w:t>
      </w:r>
      <w:r>
        <w:rPr>
          <w:spacing w:val="-6"/>
        </w:rPr>
        <w:t> </w:t>
      </w:r>
      <w:r>
        <w:rPr/>
        <w:t>frame</w:t>
      </w:r>
      <w:r>
        <w:rPr>
          <w:spacing w:val="-5"/>
        </w:rPr>
        <w:t> </w:t>
      </w:r>
      <w:r>
        <w:rPr/>
        <w:t>and</w:t>
      </w:r>
      <w:r>
        <w:rPr>
          <w:spacing w:val="-5"/>
        </w:rPr>
        <w:t> </w:t>
      </w:r>
      <w:r>
        <w:rPr/>
        <w:t>video)</w:t>
      </w:r>
      <w:r>
        <w:rPr>
          <w:spacing w:val="-4"/>
        </w:rPr>
        <w:t> </w:t>
      </w:r>
      <w:r>
        <w:rPr/>
        <w:t>for</w:t>
      </w:r>
      <w:r>
        <w:rPr>
          <w:spacing w:val="-4"/>
        </w:rPr>
        <w:t> </w:t>
      </w:r>
      <w:r>
        <w:rPr/>
        <w:t>instructional</w:t>
      </w:r>
      <w:r>
        <w:rPr>
          <w:spacing w:val="-4"/>
        </w:rPr>
        <w:t> </w:t>
      </w:r>
      <w:r>
        <w:rPr/>
        <w:t>purposes</w:t>
      </w:r>
      <w:r>
        <w:rPr>
          <w:spacing w:val="-4"/>
        </w:rPr>
        <w:t> </w:t>
      </w:r>
      <w:r>
        <w:rPr/>
        <w:t>(class</w:t>
      </w:r>
      <w:r>
        <w:rPr>
          <w:spacing w:val="-4"/>
        </w:rPr>
        <w:t> </w:t>
      </w:r>
      <w:r>
        <w:rPr/>
        <w:t>lectures, presentations and project development).</w:t>
      </w:r>
    </w:p>
    <w:p>
      <w:pPr>
        <w:pStyle w:val="BodyText"/>
        <w:tabs>
          <w:tab w:pos="6979" w:val="left" w:leader="none"/>
        </w:tabs>
        <w:spacing w:before="121"/>
        <w:ind w:left="1219"/>
      </w:pPr>
      <w:r>
        <w:rPr/>
        <w:t>Faculty</w:t>
      </w:r>
      <w:r>
        <w:rPr>
          <w:spacing w:val="-12"/>
        </w:rPr>
        <w:t> </w:t>
      </w:r>
      <w:r>
        <w:rPr/>
        <w:t>Computer</w:t>
      </w:r>
      <w:r>
        <w:rPr>
          <w:spacing w:val="-8"/>
        </w:rPr>
        <w:t> </w:t>
      </w:r>
      <w:r>
        <w:rPr>
          <w:spacing w:val="-5"/>
        </w:rPr>
        <w:t>Lab</w:t>
      </w:r>
      <w:r>
        <w:rPr/>
        <w:tab/>
        <w:t>325</w:t>
      </w:r>
      <w:r>
        <w:rPr>
          <w:spacing w:val="-7"/>
        </w:rPr>
        <w:t> </w:t>
      </w:r>
      <w:r>
        <w:rPr/>
        <w:t>sq.</w:t>
      </w:r>
      <w:r>
        <w:rPr>
          <w:spacing w:val="-3"/>
        </w:rPr>
        <w:t> </w:t>
      </w:r>
      <w:r>
        <w:rPr>
          <w:spacing w:val="-5"/>
        </w:rPr>
        <w:t>ft.</w:t>
      </w:r>
    </w:p>
    <w:p>
      <w:pPr>
        <w:pStyle w:val="BodyText"/>
        <w:spacing w:before="121"/>
        <w:ind w:left="1939" w:right="499"/>
      </w:pPr>
      <w:r>
        <w:rPr/>
        <w:t>One</w:t>
      </w:r>
      <w:r>
        <w:rPr>
          <w:spacing w:val="-9"/>
        </w:rPr>
        <w:t> </w:t>
      </w:r>
      <w:r>
        <w:rPr/>
        <w:t>Windows</w:t>
      </w:r>
      <w:r>
        <w:rPr>
          <w:spacing w:val="-3"/>
        </w:rPr>
        <w:t> </w:t>
      </w:r>
      <w:r>
        <w:rPr/>
        <w:t>XP</w:t>
      </w:r>
      <w:r>
        <w:rPr>
          <w:spacing w:val="-5"/>
        </w:rPr>
        <w:t> </w:t>
      </w:r>
      <w:r>
        <w:rPr/>
        <w:t>station</w:t>
      </w:r>
      <w:r>
        <w:rPr>
          <w:spacing w:val="-4"/>
        </w:rPr>
        <w:t> </w:t>
      </w:r>
      <w:r>
        <w:rPr/>
        <w:t>and</w:t>
      </w:r>
      <w:r>
        <w:rPr>
          <w:spacing w:val="-4"/>
        </w:rPr>
        <w:t> </w:t>
      </w:r>
      <w:r>
        <w:rPr/>
        <w:t>laser</w:t>
      </w:r>
      <w:r>
        <w:rPr>
          <w:spacing w:val="-3"/>
        </w:rPr>
        <w:t> </w:t>
      </w:r>
      <w:r>
        <w:rPr/>
        <w:t>printer</w:t>
      </w:r>
      <w:r>
        <w:rPr>
          <w:spacing w:val="-3"/>
        </w:rPr>
        <w:t> </w:t>
      </w:r>
      <w:r>
        <w:rPr/>
        <w:t>(Color).</w:t>
      </w:r>
      <w:r>
        <w:rPr>
          <w:spacing w:val="-4"/>
        </w:rPr>
        <w:t> </w:t>
      </w:r>
      <w:r>
        <w:rPr/>
        <w:t>Number</w:t>
      </w:r>
      <w:r>
        <w:rPr>
          <w:spacing w:val="-3"/>
        </w:rPr>
        <w:t> </w:t>
      </w:r>
      <w:r>
        <w:rPr/>
        <w:t>of</w:t>
      </w:r>
      <w:r>
        <w:rPr>
          <w:spacing w:val="-4"/>
        </w:rPr>
        <w:t> </w:t>
      </w:r>
      <w:r>
        <w:rPr/>
        <w:t>stations varies</w:t>
      </w:r>
      <w:r>
        <w:rPr>
          <w:spacing w:val="-3"/>
        </w:rPr>
        <w:t> </w:t>
      </w:r>
      <w:r>
        <w:rPr/>
        <w:t>depending on need. (Note: faculty have desktop units in their offices.)</w:t>
      </w:r>
    </w:p>
    <w:p>
      <w:pPr>
        <w:pStyle w:val="BodyText"/>
        <w:tabs>
          <w:tab w:pos="6979" w:val="left" w:leader="none"/>
        </w:tabs>
        <w:spacing w:before="118"/>
        <w:ind w:left="1219"/>
      </w:pPr>
      <w:r>
        <w:rPr/>
        <w:t>Bemis</w:t>
      </w:r>
      <w:r>
        <w:rPr>
          <w:spacing w:val="-6"/>
        </w:rPr>
        <w:t> </w:t>
      </w:r>
      <w:r>
        <w:rPr/>
        <w:t>CAD</w:t>
      </w:r>
      <w:r>
        <w:rPr>
          <w:spacing w:val="-6"/>
        </w:rPr>
        <w:t> </w:t>
      </w:r>
      <w:r>
        <w:rPr>
          <w:spacing w:val="-5"/>
        </w:rPr>
        <w:t>Lab</w:t>
      </w:r>
      <w:r>
        <w:rPr/>
        <w:tab/>
        <w:t>500</w:t>
      </w:r>
      <w:r>
        <w:rPr>
          <w:spacing w:val="-7"/>
        </w:rPr>
        <w:t> </w:t>
      </w:r>
      <w:r>
        <w:rPr/>
        <w:t>sq.</w:t>
      </w:r>
      <w:r>
        <w:rPr>
          <w:spacing w:val="-3"/>
        </w:rPr>
        <w:t> </w:t>
      </w:r>
      <w:r>
        <w:rPr>
          <w:spacing w:val="-5"/>
        </w:rPr>
        <w:t>ft.</w:t>
      </w:r>
    </w:p>
    <w:p>
      <w:pPr>
        <w:pStyle w:val="BodyText"/>
        <w:spacing w:before="121"/>
        <w:ind w:left="1939" w:right="580"/>
      </w:pPr>
      <w:r>
        <w:rPr/>
        <w:t>The CAD lab is housed in renovated space in the Moses Library.</w:t>
      </w:r>
      <w:r>
        <w:rPr>
          <w:spacing w:val="40"/>
        </w:rPr>
        <w:t> </w:t>
      </w:r>
      <w:r>
        <w:rPr/>
        <w:t>It provides support to all courses requiring a computing component.</w:t>
      </w:r>
      <w:r>
        <w:rPr>
          <w:spacing w:val="40"/>
        </w:rPr>
        <w:t> </w:t>
      </w:r>
      <w:r>
        <w:rPr/>
        <w:t>Occasionally it is utilized to conduct workshops on specific software or hardware.</w:t>
      </w:r>
      <w:r>
        <w:rPr>
          <w:spacing w:val="40"/>
        </w:rPr>
        <w:t> </w:t>
      </w:r>
      <w:r>
        <w:rPr/>
        <w:t>It is open five days per week during business</w:t>
      </w:r>
      <w:r>
        <w:rPr>
          <w:spacing w:val="-2"/>
        </w:rPr>
        <w:t> </w:t>
      </w:r>
      <w:r>
        <w:rPr/>
        <w:t>hours.</w:t>
      </w:r>
      <w:r>
        <w:rPr>
          <w:spacing w:val="-5"/>
        </w:rPr>
        <w:t> </w:t>
      </w:r>
      <w:r>
        <w:rPr/>
        <w:t>When</w:t>
      </w:r>
      <w:r>
        <w:rPr>
          <w:spacing w:val="-3"/>
        </w:rPr>
        <w:t> </w:t>
      </w:r>
      <w:r>
        <w:rPr/>
        <w:t>student</w:t>
      </w:r>
      <w:r>
        <w:rPr>
          <w:spacing w:val="-3"/>
        </w:rPr>
        <w:t> </w:t>
      </w:r>
      <w:r>
        <w:rPr/>
        <w:t>assistants</w:t>
      </w:r>
      <w:r>
        <w:rPr>
          <w:spacing w:val="-2"/>
        </w:rPr>
        <w:t> </w:t>
      </w:r>
      <w:r>
        <w:rPr/>
        <w:t>can</w:t>
      </w:r>
      <w:r>
        <w:rPr>
          <w:spacing w:val="-1"/>
        </w:rPr>
        <w:t> </w:t>
      </w:r>
      <w:r>
        <w:rPr/>
        <w:t>be</w:t>
      </w:r>
      <w:r>
        <w:rPr>
          <w:spacing w:val="-3"/>
        </w:rPr>
        <w:t> </w:t>
      </w:r>
      <w:r>
        <w:rPr/>
        <w:t>hired,</w:t>
      </w:r>
      <w:r>
        <w:rPr>
          <w:spacing w:val="-1"/>
        </w:rPr>
        <w:t> </w:t>
      </w:r>
      <w:r>
        <w:rPr/>
        <w:t>they</w:t>
      </w:r>
      <w:r>
        <w:rPr>
          <w:spacing w:val="-6"/>
        </w:rPr>
        <w:t> </w:t>
      </w:r>
      <w:r>
        <w:rPr/>
        <w:t>allow</w:t>
      </w:r>
      <w:r>
        <w:rPr>
          <w:spacing w:val="-5"/>
        </w:rPr>
        <w:t> </w:t>
      </w:r>
      <w:r>
        <w:rPr/>
        <w:t>the</w:t>
      </w:r>
      <w:r>
        <w:rPr>
          <w:spacing w:val="-3"/>
        </w:rPr>
        <w:t> </w:t>
      </w:r>
      <w:r>
        <w:rPr/>
        <w:t>Lab</w:t>
      </w:r>
      <w:r>
        <w:rPr>
          <w:spacing w:val="-3"/>
        </w:rPr>
        <w:t> </w:t>
      </w:r>
      <w:r>
        <w:rPr/>
        <w:t>to</w:t>
      </w:r>
      <w:r>
        <w:rPr>
          <w:spacing w:val="-3"/>
        </w:rPr>
        <w:t> </w:t>
      </w:r>
      <w:r>
        <w:rPr/>
        <w:t>be</w:t>
      </w:r>
      <w:r>
        <w:rPr>
          <w:spacing w:val="-1"/>
        </w:rPr>
        <w:t> </w:t>
      </w:r>
      <w:r>
        <w:rPr/>
        <w:t>open</w:t>
      </w:r>
      <w:r>
        <w:rPr>
          <w:spacing w:val="-3"/>
        </w:rPr>
        <w:t> </w:t>
      </w:r>
      <w:r>
        <w:rPr/>
        <w:t>for extended hours.</w:t>
      </w:r>
      <w:r>
        <w:rPr>
          <w:spacing w:val="40"/>
        </w:rPr>
        <w:t> </w:t>
      </w:r>
      <w:r>
        <w:rPr/>
        <w:t>The Director of the Lab, Mr. Charles Cherry, administers the operation of the resources.</w:t>
      </w:r>
      <w:r>
        <w:rPr>
          <w:spacing w:val="40"/>
        </w:rPr>
        <w:t> </w:t>
      </w:r>
      <w:r>
        <w:rPr/>
        <w:t>Students are required to enter second year studio with their personal laptop.</w:t>
      </w:r>
      <w:r>
        <w:rPr>
          <w:spacing w:val="40"/>
        </w:rPr>
        <w:t> </w:t>
      </w:r>
      <w:r>
        <w:rPr/>
        <w:t>The Director of the CAD Lab provides support to these students, helping them install required software and ensuring connectivity to peripherals.</w:t>
      </w:r>
      <w:r>
        <w:rPr>
          <w:spacing w:val="40"/>
        </w:rPr>
        <w:t> </w:t>
      </w:r>
      <w:r>
        <w:rPr/>
        <w:t>The resources in the Lab have been specified to augment the students’ laptop capabilities.</w:t>
      </w:r>
      <w:r>
        <w:rPr>
          <w:spacing w:val="40"/>
        </w:rPr>
        <w:t> </w:t>
      </w:r>
      <w:r>
        <w:rPr/>
        <w:t>Emphasis has been placed on acquiring input and output devices such as scanners, digital</w:t>
      </w:r>
      <w:r>
        <w:rPr>
          <w:spacing w:val="-1"/>
        </w:rPr>
        <w:t> </w:t>
      </w:r>
      <w:r>
        <w:rPr/>
        <w:t>cameras, a digital projector, printers, printers, and plotters.</w:t>
      </w:r>
    </w:p>
    <w:p>
      <w:pPr>
        <w:pStyle w:val="BodyText"/>
        <w:spacing w:before="120"/>
        <w:ind w:left="1939"/>
      </w:pPr>
      <w:r>
        <w:rPr/>
        <w:t>The</w:t>
      </w:r>
      <w:r>
        <w:rPr>
          <w:spacing w:val="-6"/>
        </w:rPr>
        <w:t> </w:t>
      </w:r>
      <w:r>
        <w:rPr/>
        <w:t>CAD</w:t>
      </w:r>
      <w:r>
        <w:rPr>
          <w:spacing w:val="-6"/>
        </w:rPr>
        <w:t> </w:t>
      </w:r>
      <w:r>
        <w:rPr/>
        <w:t>Lab</w:t>
      </w:r>
      <w:r>
        <w:rPr>
          <w:spacing w:val="-5"/>
        </w:rPr>
        <w:t> </w:t>
      </w:r>
      <w:r>
        <w:rPr/>
        <w:t>has</w:t>
      </w:r>
      <w:r>
        <w:rPr>
          <w:spacing w:val="-5"/>
        </w:rPr>
        <w:t> </w:t>
      </w:r>
      <w:r>
        <w:rPr/>
        <w:t>the</w:t>
      </w:r>
      <w:r>
        <w:rPr>
          <w:spacing w:val="-4"/>
        </w:rPr>
        <w:t> </w:t>
      </w:r>
      <w:r>
        <w:rPr/>
        <w:t>following</w:t>
      </w:r>
      <w:r>
        <w:rPr>
          <w:spacing w:val="-3"/>
        </w:rPr>
        <w:t> </w:t>
      </w:r>
      <w:r>
        <w:rPr>
          <w:spacing w:val="-2"/>
        </w:rPr>
        <w:t>equipment:</w:t>
      </w:r>
    </w:p>
    <w:p>
      <w:pPr>
        <w:pStyle w:val="BodyText"/>
      </w:pPr>
    </w:p>
    <w:p>
      <w:pPr>
        <w:pStyle w:val="BodyText"/>
        <w:spacing w:before="5" w:after="1"/>
        <w:rPr>
          <w:sz w:val="11"/>
        </w:rPr>
      </w:pPr>
    </w:p>
    <w:tbl>
      <w:tblPr>
        <w:tblW w:w="0" w:type="auto"/>
        <w:jc w:val="left"/>
        <w:tblInd w:w="1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1850"/>
        <w:gridCol w:w="4000"/>
        <w:gridCol w:w="628"/>
        <w:gridCol w:w="1890"/>
      </w:tblGrid>
      <w:tr>
        <w:trPr>
          <w:trHeight w:val="329" w:hRule="atLeast"/>
        </w:trPr>
        <w:tc>
          <w:tcPr>
            <w:tcW w:w="571" w:type="dxa"/>
            <w:tcBorders>
              <w:bottom w:val="thinThickMediumGap" w:sz="6" w:space="0" w:color="000000"/>
            </w:tcBorders>
          </w:tcPr>
          <w:p>
            <w:pPr>
              <w:pStyle w:val="TableParagraph"/>
              <w:spacing w:line="176" w:lineRule="exact" w:before="134"/>
              <w:ind w:left="94" w:right="85"/>
              <w:jc w:val="center"/>
              <w:rPr>
                <w:b/>
                <w:sz w:val="20"/>
              </w:rPr>
            </w:pPr>
            <w:r>
              <w:rPr>
                <w:b/>
                <w:spacing w:val="-5"/>
                <w:sz w:val="20"/>
              </w:rPr>
              <w:t>NO.</w:t>
            </w:r>
          </w:p>
        </w:tc>
        <w:tc>
          <w:tcPr>
            <w:tcW w:w="1850" w:type="dxa"/>
            <w:tcBorders>
              <w:bottom w:val="thinThickMediumGap" w:sz="6" w:space="0" w:color="000000"/>
            </w:tcBorders>
          </w:tcPr>
          <w:p>
            <w:pPr>
              <w:pStyle w:val="TableParagraph"/>
              <w:spacing w:line="176" w:lineRule="exact" w:before="134"/>
              <w:ind w:left="278"/>
              <w:rPr>
                <w:b/>
                <w:sz w:val="20"/>
              </w:rPr>
            </w:pPr>
            <w:r>
              <w:rPr>
                <w:b/>
                <w:sz w:val="20"/>
              </w:rPr>
              <w:t>ITEM</w:t>
            </w:r>
            <w:r>
              <w:rPr>
                <w:b/>
                <w:spacing w:val="-3"/>
                <w:sz w:val="20"/>
              </w:rPr>
              <w:t> </w:t>
            </w:r>
            <w:r>
              <w:rPr>
                <w:b/>
                <w:spacing w:val="-2"/>
                <w:sz w:val="20"/>
              </w:rPr>
              <w:t>DESCR.</w:t>
            </w:r>
          </w:p>
        </w:tc>
        <w:tc>
          <w:tcPr>
            <w:tcW w:w="4000" w:type="dxa"/>
            <w:tcBorders>
              <w:bottom w:val="nil"/>
            </w:tcBorders>
          </w:tcPr>
          <w:p>
            <w:pPr>
              <w:pStyle w:val="TableParagraph"/>
              <w:spacing w:line="176" w:lineRule="exact" w:before="134"/>
              <w:ind w:left="1623" w:right="1613"/>
              <w:jc w:val="center"/>
              <w:rPr>
                <w:b/>
                <w:sz w:val="20"/>
              </w:rPr>
            </w:pPr>
            <w:r>
              <w:rPr>
                <w:b/>
                <w:spacing w:val="-2"/>
                <w:sz w:val="20"/>
              </w:rPr>
              <w:t>MODEL</w:t>
            </w:r>
          </w:p>
        </w:tc>
        <w:tc>
          <w:tcPr>
            <w:tcW w:w="628" w:type="dxa"/>
            <w:tcBorders>
              <w:bottom w:val="thinThickMediumGap" w:sz="6" w:space="0" w:color="000000"/>
            </w:tcBorders>
          </w:tcPr>
          <w:p>
            <w:pPr>
              <w:pStyle w:val="TableParagraph"/>
              <w:spacing w:line="176" w:lineRule="exact" w:before="134"/>
              <w:ind w:left="96" w:right="85"/>
              <w:jc w:val="center"/>
              <w:rPr>
                <w:b/>
                <w:sz w:val="20"/>
              </w:rPr>
            </w:pPr>
            <w:r>
              <w:rPr>
                <w:b/>
                <w:spacing w:val="-5"/>
                <w:sz w:val="20"/>
              </w:rPr>
              <w:t>QTY</w:t>
            </w:r>
          </w:p>
        </w:tc>
        <w:tc>
          <w:tcPr>
            <w:tcW w:w="1890" w:type="dxa"/>
            <w:tcBorders>
              <w:bottom w:val="thinThickMediumGap" w:sz="6" w:space="0" w:color="000000"/>
            </w:tcBorders>
          </w:tcPr>
          <w:p>
            <w:pPr>
              <w:pStyle w:val="TableParagraph"/>
              <w:spacing w:line="176" w:lineRule="exact" w:before="134"/>
              <w:ind w:left="441"/>
              <w:rPr>
                <w:b/>
                <w:sz w:val="20"/>
              </w:rPr>
            </w:pPr>
            <w:r>
              <w:rPr>
                <w:b/>
                <w:spacing w:val="-2"/>
                <w:sz w:val="20"/>
              </w:rPr>
              <w:t>REMARKS</w:t>
            </w:r>
          </w:p>
        </w:tc>
      </w:tr>
      <w:tr>
        <w:trPr>
          <w:trHeight w:val="289" w:hRule="atLeast"/>
        </w:trPr>
        <w:tc>
          <w:tcPr>
            <w:tcW w:w="571" w:type="dxa"/>
            <w:tcBorders>
              <w:top w:val="thickThinMediumGap" w:sz="6" w:space="0" w:color="000000"/>
            </w:tcBorders>
          </w:tcPr>
          <w:p>
            <w:pPr>
              <w:pStyle w:val="TableParagraph"/>
              <w:spacing w:line="213" w:lineRule="exact" w:before="56"/>
              <w:ind w:left="10"/>
              <w:jc w:val="center"/>
              <w:rPr>
                <w:sz w:val="20"/>
              </w:rPr>
            </w:pPr>
            <w:r>
              <w:rPr>
                <w:w w:val="99"/>
                <w:sz w:val="20"/>
              </w:rPr>
              <w:t>1</w:t>
            </w:r>
          </w:p>
        </w:tc>
        <w:tc>
          <w:tcPr>
            <w:tcW w:w="1850" w:type="dxa"/>
            <w:tcBorders>
              <w:top w:val="thickThinMediumGap" w:sz="6" w:space="0" w:color="000000"/>
            </w:tcBorders>
          </w:tcPr>
          <w:p>
            <w:pPr>
              <w:pStyle w:val="TableParagraph"/>
              <w:spacing w:line="213" w:lineRule="exact" w:before="56"/>
              <w:ind w:left="107"/>
              <w:rPr>
                <w:sz w:val="20"/>
              </w:rPr>
            </w:pPr>
            <w:r>
              <w:rPr>
                <w:spacing w:val="-2"/>
                <w:sz w:val="20"/>
              </w:rPr>
              <w:t>COMPUTER</w:t>
            </w:r>
          </w:p>
        </w:tc>
        <w:tc>
          <w:tcPr>
            <w:tcW w:w="4000" w:type="dxa"/>
            <w:tcBorders>
              <w:top w:val="nil"/>
            </w:tcBorders>
          </w:tcPr>
          <w:p>
            <w:pPr>
              <w:pStyle w:val="TableParagraph"/>
              <w:spacing w:line="213" w:lineRule="exact" w:before="56"/>
              <w:ind w:left="108"/>
              <w:rPr>
                <w:sz w:val="20"/>
              </w:rPr>
            </w:pPr>
            <w:r>
              <w:rPr>
                <w:sz w:val="20"/>
              </w:rPr>
              <w:t>DELL</w:t>
            </w:r>
            <w:r>
              <w:rPr>
                <w:spacing w:val="-7"/>
                <w:sz w:val="20"/>
              </w:rPr>
              <w:t> </w:t>
            </w:r>
            <w:r>
              <w:rPr>
                <w:sz w:val="20"/>
              </w:rPr>
              <w:t>OPTIPLEX</w:t>
            </w:r>
            <w:r>
              <w:rPr>
                <w:spacing w:val="-6"/>
                <w:sz w:val="20"/>
              </w:rPr>
              <w:t> </w:t>
            </w:r>
            <w:r>
              <w:rPr>
                <w:spacing w:val="-5"/>
                <w:sz w:val="20"/>
              </w:rPr>
              <w:t>990</w:t>
            </w:r>
          </w:p>
        </w:tc>
        <w:tc>
          <w:tcPr>
            <w:tcW w:w="628" w:type="dxa"/>
            <w:tcBorders>
              <w:top w:val="thickThinMediumGap" w:sz="6" w:space="0" w:color="000000"/>
            </w:tcBorders>
          </w:tcPr>
          <w:p>
            <w:pPr>
              <w:pStyle w:val="TableParagraph"/>
              <w:spacing w:line="213" w:lineRule="exact" w:before="56"/>
              <w:ind w:left="13"/>
              <w:jc w:val="center"/>
              <w:rPr>
                <w:sz w:val="20"/>
              </w:rPr>
            </w:pPr>
            <w:r>
              <w:rPr>
                <w:w w:val="99"/>
                <w:sz w:val="20"/>
              </w:rPr>
              <w:t>5</w:t>
            </w:r>
          </w:p>
        </w:tc>
        <w:tc>
          <w:tcPr>
            <w:tcW w:w="1890" w:type="dxa"/>
            <w:tcBorders>
              <w:top w:val="thickThinMediumGap" w:sz="6" w:space="0" w:color="000000"/>
            </w:tcBorders>
          </w:tcPr>
          <w:p>
            <w:pPr>
              <w:pStyle w:val="TableParagraph"/>
              <w:spacing w:line="213" w:lineRule="exact" w:before="56"/>
              <w:ind w:left="165"/>
              <w:rPr>
                <w:sz w:val="20"/>
              </w:rPr>
            </w:pPr>
            <w:r>
              <w:rPr>
                <w:sz w:val="20"/>
              </w:rPr>
              <w:t>w/</w:t>
            </w:r>
            <w:r>
              <w:rPr>
                <w:spacing w:val="-6"/>
                <w:sz w:val="20"/>
              </w:rPr>
              <w:t> </w:t>
            </w:r>
            <w:r>
              <w:rPr>
                <w:spacing w:val="-2"/>
                <w:sz w:val="20"/>
              </w:rPr>
              <w:t>software</w:t>
            </w:r>
          </w:p>
        </w:tc>
      </w:tr>
      <w:tr>
        <w:trPr>
          <w:trHeight w:val="299" w:hRule="atLeast"/>
        </w:trPr>
        <w:tc>
          <w:tcPr>
            <w:tcW w:w="571" w:type="dxa"/>
          </w:tcPr>
          <w:p>
            <w:pPr>
              <w:pStyle w:val="TableParagraph"/>
              <w:rPr>
                <w:rFonts w:ascii="Times New Roman"/>
                <w:sz w:val="18"/>
              </w:rPr>
            </w:pPr>
          </w:p>
        </w:tc>
        <w:tc>
          <w:tcPr>
            <w:tcW w:w="1850" w:type="dxa"/>
          </w:tcPr>
          <w:p>
            <w:pPr>
              <w:pStyle w:val="TableParagraph"/>
              <w:rPr>
                <w:rFonts w:ascii="Times New Roman"/>
                <w:sz w:val="18"/>
              </w:rPr>
            </w:pPr>
          </w:p>
        </w:tc>
        <w:tc>
          <w:tcPr>
            <w:tcW w:w="4000" w:type="dxa"/>
          </w:tcPr>
          <w:p>
            <w:pPr>
              <w:pStyle w:val="TableParagraph"/>
              <w:spacing w:line="213" w:lineRule="exact" w:before="66"/>
              <w:ind w:left="108"/>
              <w:rPr>
                <w:sz w:val="20"/>
              </w:rPr>
            </w:pPr>
            <w:r>
              <w:rPr>
                <w:sz w:val="20"/>
              </w:rPr>
              <w:t>HP</w:t>
            </w:r>
            <w:r>
              <w:rPr>
                <w:spacing w:val="-6"/>
                <w:sz w:val="20"/>
              </w:rPr>
              <w:t> </w:t>
            </w:r>
            <w:r>
              <w:rPr>
                <w:sz w:val="20"/>
              </w:rPr>
              <w:t>COMPAQ</w:t>
            </w:r>
            <w:r>
              <w:rPr>
                <w:spacing w:val="-4"/>
                <w:sz w:val="20"/>
              </w:rPr>
              <w:t> </w:t>
            </w:r>
            <w:r>
              <w:rPr>
                <w:sz w:val="20"/>
              </w:rPr>
              <w:t>dc7800</w:t>
            </w:r>
            <w:r>
              <w:rPr>
                <w:spacing w:val="-4"/>
                <w:sz w:val="20"/>
              </w:rPr>
              <w:t> </w:t>
            </w:r>
            <w:r>
              <w:rPr>
                <w:sz w:val="20"/>
              </w:rPr>
              <w:t>CMT</w:t>
            </w:r>
            <w:r>
              <w:rPr>
                <w:spacing w:val="-2"/>
                <w:sz w:val="20"/>
              </w:rPr>
              <w:t> </w:t>
            </w:r>
            <w:r>
              <w:rPr>
                <w:sz w:val="20"/>
              </w:rPr>
              <w:t>2</w:t>
            </w:r>
            <w:r>
              <w:rPr>
                <w:spacing w:val="-4"/>
                <w:sz w:val="20"/>
              </w:rPr>
              <w:t> </w:t>
            </w:r>
            <w:r>
              <w:rPr>
                <w:sz w:val="20"/>
              </w:rPr>
              <w:t>Duo</w:t>
            </w:r>
            <w:r>
              <w:rPr>
                <w:spacing w:val="-5"/>
                <w:sz w:val="20"/>
              </w:rPr>
              <w:t> </w:t>
            </w:r>
            <w:r>
              <w:rPr>
                <w:spacing w:val="-4"/>
                <w:sz w:val="20"/>
              </w:rPr>
              <w:t>E6550</w:t>
            </w:r>
          </w:p>
        </w:tc>
        <w:tc>
          <w:tcPr>
            <w:tcW w:w="628" w:type="dxa"/>
          </w:tcPr>
          <w:p>
            <w:pPr>
              <w:pStyle w:val="TableParagraph"/>
              <w:spacing w:line="213" w:lineRule="exact" w:before="66"/>
              <w:ind w:left="13"/>
              <w:jc w:val="center"/>
              <w:rPr>
                <w:sz w:val="20"/>
              </w:rPr>
            </w:pPr>
            <w:r>
              <w:rPr>
                <w:w w:val="99"/>
                <w:sz w:val="20"/>
              </w:rPr>
              <w:t>4</w:t>
            </w:r>
          </w:p>
        </w:tc>
        <w:tc>
          <w:tcPr>
            <w:tcW w:w="1890" w:type="dxa"/>
          </w:tcPr>
          <w:p>
            <w:pPr>
              <w:pStyle w:val="TableParagraph"/>
              <w:rPr>
                <w:rFonts w:ascii="Times New Roman"/>
                <w:sz w:val="18"/>
              </w:rPr>
            </w:pPr>
          </w:p>
        </w:tc>
      </w:tr>
      <w:tr>
        <w:trPr>
          <w:trHeight w:val="299" w:hRule="atLeast"/>
        </w:trPr>
        <w:tc>
          <w:tcPr>
            <w:tcW w:w="571" w:type="dxa"/>
          </w:tcPr>
          <w:p>
            <w:pPr>
              <w:pStyle w:val="TableParagraph"/>
              <w:spacing w:line="213" w:lineRule="exact" w:before="66"/>
              <w:ind w:left="10"/>
              <w:jc w:val="center"/>
              <w:rPr>
                <w:sz w:val="20"/>
              </w:rPr>
            </w:pPr>
            <w:r>
              <w:rPr>
                <w:w w:val="99"/>
                <w:sz w:val="20"/>
              </w:rPr>
              <w:t>2</w:t>
            </w:r>
          </w:p>
        </w:tc>
        <w:tc>
          <w:tcPr>
            <w:tcW w:w="1850" w:type="dxa"/>
          </w:tcPr>
          <w:p>
            <w:pPr>
              <w:pStyle w:val="TableParagraph"/>
              <w:spacing w:line="213" w:lineRule="exact" w:before="66"/>
              <w:ind w:left="107"/>
              <w:rPr>
                <w:sz w:val="20"/>
              </w:rPr>
            </w:pPr>
            <w:r>
              <w:rPr>
                <w:spacing w:val="-2"/>
                <w:sz w:val="20"/>
              </w:rPr>
              <w:t>PRINTER</w:t>
            </w:r>
          </w:p>
        </w:tc>
        <w:tc>
          <w:tcPr>
            <w:tcW w:w="4000" w:type="dxa"/>
          </w:tcPr>
          <w:p>
            <w:pPr>
              <w:pStyle w:val="TableParagraph"/>
              <w:spacing w:line="213" w:lineRule="exact" w:before="66"/>
              <w:ind w:left="108"/>
              <w:rPr>
                <w:sz w:val="20"/>
              </w:rPr>
            </w:pPr>
            <w:r>
              <w:rPr>
                <w:w w:val="95"/>
                <w:sz w:val="20"/>
              </w:rPr>
              <w:t>BROTHER</w:t>
            </w:r>
            <w:r>
              <w:rPr>
                <w:spacing w:val="52"/>
                <w:sz w:val="20"/>
              </w:rPr>
              <w:t> </w:t>
            </w:r>
            <w:r>
              <w:rPr>
                <w:w w:val="95"/>
                <w:sz w:val="20"/>
              </w:rPr>
              <w:t>HL-</w:t>
            </w:r>
            <w:r>
              <w:rPr>
                <w:spacing w:val="-2"/>
                <w:w w:val="95"/>
                <w:sz w:val="20"/>
              </w:rPr>
              <w:t>4570CDW</w:t>
            </w:r>
          </w:p>
        </w:tc>
        <w:tc>
          <w:tcPr>
            <w:tcW w:w="628" w:type="dxa"/>
          </w:tcPr>
          <w:p>
            <w:pPr>
              <w:pStyle w:val="TableParagraph"/>
              <w:spacing w:line="213" w:lineRule="exact" w:before="66"/>
              <w:ind w:left="13"/>
              <w:jc w:val="center"/>
              <w:rPr>
                <w:sz w:val="20"/>
              </w:rPr>
            </w:pPr>
            <w:r>
              <w:rPr>
                <w:w w:val="99"/>
                <w:sz w:val="20"/>
              </w:rPr>
              <w:t>1</w:t>
            </w:r>
          </w:p>
        </w:tc>
        <w:tc>
          <w:tcPr>
            <w:tcW w:w="1890" w:type="dxa"/>
          </w:tcPr>
          <w:p>
            <w:pPr>
              <w:pStyle w:val="TableParagraph"/>
              <w:rPr>
                <w:rFonts w:ascii="Times New Roman"/>
                <w:sz w:val="18"/>
              </w:rPr>
            </w:pPr>
          </w:p>
        </w:tc>
      </w:tr>
      <w:tr>
        <w:trPr>
          <w:trHeight w:val="299" w:hRule="atLeast"/>
        </w:trPr>
        <w:tc>
          <w:tcPr>
            <w:tcW w:w="571" w:type="dxa"/>
          </w:tcPr>
          <w:p>
            <w:pPr>
              <w:pStyle w:val="TableParagraph"/>
              <w:rPr>
                <w:rFonts w:ascii="Times New Roman"/>
                <w:sz w:val="18"/>
              </w:rPr>
            </w:pPr>
          </w:p>
        </w:tc>
        <w:tc>
          <w:tcPr>
            <w:tcW w:w="1850" w:type="dxa"/>
          </w:tcPr>
          <w:p>
            <w:pPr>
              <w:pStyle w:val="TableParagraph"/>
              <w:rPr>
                <w:rFonts w:ascii="Times New Roman"/>
                <w:sz w:val="18"/>
              </w:rPr>
            </w:pPr>
          </w:p>
        </w:tc>
        <w:tc>
          <w:tcPr>
            <w:tcW w:w="4000" w:type="dxa"/>
          </w:tcPr>
          <w:p>
            <w:pPr>
              <w:pStyle w:val="TableParagraph"/>
              <w:spacing w:line="213" w:lineRule="exact" w:before="66"/>
              <w:ind w:left="108"/>
              <w:rPr>
                <w:sz w:val="20"/>
              </w:rPr>
            </w:pPr>
            <w:r>
              <w:rPr>
                <w:sz w:val="20"/>
              </w:rPr>
              <w:t>HP</w:t>
            </w:r>
            <w:r>
              <w:rPr>
                <w:spacing w:val="-6"/>
                <w:sz w:val="20"/>
              </w:rPr>
              <w:t> </w:t>
            </w:r>
            <w:r>
              <w:rPr>
                <w:sz w:val="20"/>
              </w:rPr>
              <w:t>LASER</w:t>
            </w:r>
            <w:r>
              <w:rPr>
                <w:spacing w:val="-4"/>
                <w:sz w:val="20"/>
              </w:rPr>
              <w:t> </w:t>
            </w:r>
            <w:r>
              <w:rPr>
                <w:sz w:val="20"/>
              </w:rPr>
              <w:t>JET</w:t>
            </w:r>
            <w:r>
              <w:rPr>
                <w:spacing w:val="-1"/>
                <w:sz w:val="20"/>
              </w:rPr>
              <w:t> </w:t>
            </w:r>
            <w:r>
              <w:rPr>
                <w:spacing w:val="-4"/>
                <w:sz w:val="20"/>
              </w:rPr>
              <w:t>1018</w:t>
            </w:r>
          </w:p>
        </w:tc>
        <w:tc>
          <w:tcPr>
            <w:tcW w:w="628" w:type="dxa"/>
          </w:tcPr>
          <w:p>
            <w:pPr>
              <w:pStyle w:val="TableParagraph"/>
              <w:spacing w:line="213" w:lineRule="exact" w:before="66"/>
              <w:ind w:left="13"/>
              <w:jc w:val="center"/>
              <w:rPr>
                <w:sz w:val="20"/>
              </w:rPr>
            </w:pPr>
            <w:r>
              <w:rPr>
                <w:w w:val="99"/>
                <w:sz w:val="20"/>
              </w:rPr>
              <w:t>1</w:t>
            </w:r>
          </w:p>
        </w:tc>
        <w:tc>
          <w:tcPr>
            <w:tcW w:w="1890" w:type="dxa"/>
          </w:tcPr>
          <w:p>
            <w:pPr>
              <w:pStyle w:val="TableParagraph"/>
              <w:rPr>
                <w:rFonts w:ascii="Times New Roman"/>
                <w:sz w:val="18"/>
              </w:rPr>
            </w:pPr>
          </w:p>
        </w:tc>
      </w:tr>
      <w:tr>
        <w:trPr>
          <w:trHeight w:val="299" w:hRule="atLeast"/>
        </w:trPr>
        <w:tc>
          <w:tcPr>
            <w:tcW w:w="571" w:type="dxa"/>
          </w:tcPr>
          <w:p>
            <w:pPr>
              <w:pStyle w:val="TableParagraph"/>
              <w:rPr>
                <w:rFonts w:ascii="Times New Roman"/>
                <w:sz w:val="18"/>
              </w:rPr>
            </w:pPr>
          </w:p>
        </w:tc>
        <w:tc>
          <w:tcPr>
            <w:tcW w:w="1850" w:type="dxa"/>
          </w:tcPr>
          <w:p>
            <w:pPr>
              <w:pStyle w:val="TableParagraph"/>
              <w:rPr>
                <w:rFonts w:ascii="Times New Roman"/>
                <w:sz w:val="18"/>
              </w:rPr>
            </w:pPr>
          </w:p>
        </w:tc>
        <w:tc>
          <w:tcPr>
            <w:tcW w:w="4000" w:type="dxa"/>
          </w:tcPr>
          <w:p>
            <w:pPr>
              <w:pStyle w:val="TableParagraph"/>
              <w:spacing w:line="213" w:lineRule="exact" w:before="66"/>
              <w:ind w:left="108"/>
              <w:rPr>
                <w:sz w:val="20"/>
              </w:rPr>
            </w:pPr>
            <w:r>
              <w:rPr>
                <w:sz w:val="20"/>
              </w:rPr>
              <w:t>LEXMARK</w:t>
            </w:r>
            <w:r>
              <w:rPr>
                <w:spacing w:val="-12"/>
                <w:sz w:val="20"/>
              </w:rPr>
              <w:t> </w:t>
            </w:r>
            <w:r>
              <w:rPr>
                <w:spacing w:val="-2"/>
                <w:sz w:val="20"/>
              </w:rPr>
              <w:t>X4650</w:t>
            </w:r>
          </w:p>
        </w:tc>
        <w:tc>
          <w:tcPr>
            <w:tcW w:w="628" w:type="dxa"/>
          </w:tcPr>
          <w:p>
            <w:pPr>
              <w:pStyle w:val="TableParagraph"/>
              <w:spacing w:line="213" w:lineRule="exact" w:before="66"/>
              <w:ind w:left="13"/>
              <w:jc w:val="center"/>
              <w:rPr>
                <w:sz w:val="20"/>
              </w:rPr>
            </w:pPr>
            <w:r>
              <w:rPr>
                <w:w w:val="99"/>
                <w:sz w:val="20"/>
              </w:rPr>
              <w:t>1</w:t>
            </w:r>
          </w:p>
        </w:tc>
        <w:tc>
          <w:tcPr>
            <w:tcW w:w="1890" w:type="dxa"/>
          </w:tcPr>
          <w:p>
            <w:pPr>
              <w:pStyle w:val="TableParagraph"/>
              <w:rPr>
                <w:rFonts w:ascii="Times New Roman"/>
                <w:sz w:val="18"/>
              </w:rPr>
            </w:pPr>
          </w:p>
        </w:tc>
      </w:tr>
      <w:tr>
        <w:trPr>
          <w:trHeight w:val="299" w:hRule="atLeast"/>
        </w:trPr>
        <w:tc>
          <w:tcPr>
            <w:tcW w:w="571" w:type="dxa"/>
          </w:tcPr>
          <w:p>
            <w:pPr>
              <w:pStyle w:val="TableParagraph"/>
              <w:spacing w:line="211" w:lineRule="exact" w:before="69"/>
              <w:ind w:left="10"/>
              <w:jc w:val="center"/>
              <w:rPr>
                <w:sz w:val="20"/>
              </w:rPr>
            </w:pPr>
            <w:r>
              <w:rPr>
                <w:w w:val="99"/>
                <w:sz w:val="20"/>
              </w:rPr>
              <w:t>3</w:t>
            </w:r>
          </w:p>
        </w:tc>
        <w:tc>
          <w:tcPr>
            <w:tcW w:w="1850" w:type="dxa"/>
          </w:tcPr>
          <w:p>
            <w:pPr>
              <w:pStyle w:val="TableParagraph"/>
              <w:spacing w:line="211" w:lineRule="exact" w:before="69"/>
              <w:ind w:left="107"/>
              <w:rPr>
                <w:sz w:val="20"/>
              </w:rPr>
            </w:pPr>
            <w:r>
              <w:rPr>
                <w:spacing w:val="-2"/>
                <w:sz w:val="20"/>
              </w:rPr>
              <w:t>SCANNER</w:t>
            </w:r>
          </w:p>
        </w:tc>
        <w:tc>
          <w:tcPr>
            <w:tcW w:w="4000" w:type="dxa"/>
          </w:tcPr>
          <w:p>
            <w:pPr>
              <w:pStyle w:val="TableParagraph"/>
              <w:spacing w:line="211" w:lineRule="exact" w:before="69"/>
              <w:ind w:left="108"/>
              <w:rPr>
                <w:sz w:val="20"/>
              </w:rPr>
            </w:pPr>
            <w:r>
              <w:rPr>
                <w:sz w:val="20"/>
              </w:rPr>
              <w:t>CONTEX</w:t>
            </w:r>
            <w:r>
              <w:rPr>
                <w:spacing w:val="-5"/>
                <w:sz w:val="20"/>
              </w:rPr>
              <w:t> </w:t>
            </w:r>
            <w:r>
              <w:rPr>
                <w:spacing w:val="-2"/>
                <w:sz w:val="20"/>
              </w:rPr>
              <w:t>HD3630</w:t>
            </w:r>
          </w:p>
        </w:tc>
        <w:tc>
          <w:tcPr>
            <w:tcW w:w="628" w:type="dxa"/>
          </w:tcPr>
          <w:p>
            <w:pPr>
              <w:pStyle w:val="TableParagraph"/>
              <w:spacing w:line="211" w:lineRule="exact" w:before="69"/>
              <w:ind w:left="13"/>
              <w:jc w:val="center"/>
              <w:rPr>
                <w:sz w:val="20"/>
              </w:rPr>
            </w:pPr>
            <w:r>
              <w:rPr>
                <w:w w:val="99"/>
                <w:sz w:val="20"/>
              </w:rPr>
              <w:t>1</w:t>
            </w:r>
          </w:p>
        </w:tc>
        <w:tc>
          <w:tcPr>
            <w:tcW w:w="1890" w:type="dxa"/>
          </w:tcPr>
          <w:p>
            <w:pPr>
              <w:pStyle w:val="TableParagraph"/>
              <w:rPr>
                <w:rFonts w:ascii="Times New Roman"/>
                <w:sz w:val="18"/>
              </w:rPr>
            </w:pPr>
          </w:p>
        </w:tc>
      </w:tr>
      <w:tr>
        <w:trPr>
          <w:trHeight w:val="301" w:hRule="atLeast"/>
        </w:trPr>
        <w:tc>
          <w:tcPr>
            <w:tcW w:w="571" w:type="dxa"/>
          </w:tcPr>
          <w:p>
            <w:pPr>
              <w:pStyle w:val="TableParagraph"/>
              <w:rPr>
                <w:rFonts w:ascii="Times New Roman"/>
                <w:sz w:val="18"/>
              </w:rPr>
            </w:pPr>
          </w:p>
        </w:tc>
        <w:tc>
          <w:tcPr>
            <w:tcW w:w="1850" w:type="dxa"/>
          </w:tcPr>
          <w:p>
            <w:pPr>
              <w:pStyle w:val="TableParagraph"/>
              <w:rPr>
                <w:rFonts w:ascii="Times New Roman"/>
                <w:sz w:val="18"/>
              </w:rPr>
            </w:pPr>
          </w:p>
        </w:tc>
        <w:tc>
          <w:tcPr>
            <w:tcW w:w="4000" w:type="dxa"/>
          </w:tcPr>
          <w:p>
            <w:pPr>
              <w:pStyle w:val="TableParagraph"/>
              <w:spacing w:line="213" w:lineRule="exact" w:before="69"/>
              <w:ind w:left="108"/>
              <w:rPr>
                <w:sz w:val="20"/>
              </w:rPr>
            </w:pPr>
            <w:r>
              <w:rPr>
                <w:sz w:val="20"/>
              </w:rPr>
              <w:t>EPSON</w:t>
            </w:r>
            <w:r>
              <w:rPr>
                <w:spacing w:val="-11"/>
                <w:sz w:val="20"/>
              </w:rPr>
              <w:t> </w:t>
            </w:r>
            <w:r>
              <w:rPr>
                <w:sz w:val="20"/>
              </w:rPr>
              <w:t>EXPRESSION</w:t>
            </w:r>
            <w:r>
              <w:rPr>
                <w:spacing w:val="-10"/>
                <w:sz w:val="20"/>
              </w:rPr>
              <w:t> </w:t>
            </w:r>
            <w:r>
              <w:rPr>
                <w:spacing w:val="-2"/>
                <w:sz w:val="20"/>
              </w:rPr>
              <w:t>10000XL</w:t>
            </w:r>
          </w:p>
        </w:tc>
        <w:tc>
          <w:tcPr>
            <w:tcW w:w="628" w:type="dxa"/>
          </w:tcPr>
          <w:p>
            <w:pPr>
              <w:pStyle w:val="TableParagraph"/>
              <w:spacing w:line="213" w:lineRule="exact" w:before="69"/>
              <w:ind w:left="13"/>
              <w:jc w:val="center"/>
              <w:rPr>
                <w:sz w:val="20"/>
              </w:rPr>
            </w:pPr>
            <w:r>
              <w:rPr>
                <w:w w:val="99"/>
                <w:sz w:val="20"/>
              </w:rPr>
              <w:t>1</w:t>
            </w:r>
          </w:p>
        </w:tc>
        <w:tc>
          <w:tcPr>
            <w:tcW w:w="1890" w:type="dxa"/>
          </w:tcPr>
          <w:p>
            <w:pPr>
              <w:pStyle w:val="TableParagraph"/>
              <w:rPr>
                <w:rFonts w:ascii="Times New Roman"/>
                <w:sz w:val="18"/>
              </w:rPr>
            </w:pPr>
          </w:p>
        </w:tc>
      </w:tr>
    </w:tbl>
    <w:p>
      <w:pPr>
        <w:spacing w:after="0"/>
        <w:rPr>
          <w:rFonts w:ascii="Times New Roman"/>
          <w:sz w:val="18"/>
        </w:rPr>
        <w:sectPr>
          <w:headerReference w:type="default" r:id="rId48"/>
          <w:footerReference w:type="default" r:id="rId49"/>
          <w:pgSz w:w="12240" w:h="15840"/>
          <w:pgMar w:header="0" w:footer="974" w:top="1360" w:bottom="1160" w:left="940" w:right="960"/>
        </w:sectPr>
      </w:pPr>
    </w:p>
    <w:tbl>
      <w:tblPr>
        <w:tblW w:w="0" w:type="auto"/>
        <w:jc w:val="left"/>
        <w:tblInd w:w="1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1850"/>
        <w:gridCol w:w="4000"/>
        <w:gridCol w:w="628"/>
        <w:gridCol w:w="1890"/>
      </w:tblGrid>
      <w:tr>
        <w:trPr>
          <w:trHeight w:val="299" w:hRule="atLeast"/>
        </w:trPr>
        <w:tc>
          <w:tcPr>
            <w:tcW w:w="571" w:type="dxa"/>
            <w:tcBorders>
              <w:top w:val="nil"/>
            </w:tcBorders>
          </w:tcPr>
          <w:p>
            <w:pPr>
              <w:pStyle w:val="TableParagraph"/>
              <w:rPr>
                <w:rFonts w:ascii="Times New Roman"/>
                <w:sz w:val="18"/>
              </w:rPr>
            </w:pPr>
          </w:p>
        </w:tc>
        <w:tc>
          <w:tcPr>
            <w:tcW w:w="1850" w:type="dxa"/>
            <w:tcBorders>
              <w:top w:val="nil"/>
            </w:tcBorders>
          </w:tcPr>
          <w:p>
            <w:pPr>
              <w:pStyle w:val="TableParagraph"/>
              <w:rPr>
                <w:rFonts w:ascii="Times New Roman"/>
                <w:sz w:val="18"/>
              </w:rPr>
            </w:pPr>
          </w:p>
        </w:tc>
        <w:tc>
          <w:tcPr>
            <w:tcW w:w="4000" w:type="dxa"/>
            <w:tcBorders>
              <w:top w:val="nil"/>
            </w:tcBorders>
          </w:tcPr>
          <w:p>
            <w:pPr>
              <w:pStyle w:val="TableParagraph"/>
              <w:spacing w:line="213" w:lineRule="exact" w:before="67"/>
              <w:ind w:left="108"/>
              <w:rPr>
                <w:sz w:val="20"/>
              </w:rPr>
            </w:pPr>
            <w:r>
              <w:rPr>
                <w:sz w:val="20"/>
              </w:rPr>
              <w:t>EPSON</w:t>
            </w:r>
            <w:r>
              <w:rPr>
                <w:spacing w:val="-7"/>
                <w:sz w:val="20"/>
              </w:rPr>
              <w:t> </w:t>
            </w:r>
            <w:r>
              <w:rPr>
                <w:sz w:val="20"/>
              </w:rPr>
              <w:t>PERFECTION</w:t>
            </w:r>
            <w:r>
              <w:rPr>
                <w:spacing w:val="-9"/>
                <w:sz w:val="20"/>
              </w:rPr>
              <w:t> </w:t>
            </w:r>
            <w:r>
              <w:rPr>
                <w:spacing w:val="-5"/>
                <w:sz w:val="20"/>
              </w:rPr>
              <w:t>V37</w:t>
            </w:r>
          </w:p>
        </w:tc>
        <w:tc>
          <w:tcPr>
            <w:tcW w:w="628" w:type="dxa"/>
            <w:tcBorders>
              <w:top w:val="nil"/>
            </w:tcBorders>
          </w:tcPr>
          <w:p>
            <w:pPr>
              <w:pStyle w:val="TableParagraph"/>
              <w:spacing w:line="213" w:lineRule="exact" w:before="67"/>
              <w:ind w:right="244"/>
              <w:jc w:val="right"/>
              <w:rPr>
                <w:sz w:val="20"/>
              </w:rPr>
            </w:pPr>
            <w:r>
              <w:rPr>
                <w:w w:val="99"/>
                <w:sz w:val="20"/>
              </w:rPr>
              <w:t>1</w:t>
            </w:r>
          </w:p>
        </w:tc>
        <w:tc>
          <w:tcPr>
            <w:tcW w:w="1890" w:type="dxa"/>
            <w:tcBorders>
              <w:top w:val="nil"/>
            </w:tcBorders>
          </w:tcPr>
          <w:p>
            <w:pPr>
              <w:pStyle w:val="TableParagraph"/>
              <w:rPr>
                <w:rFonts w:ascii="Times New Roman"/>
                <w:sz w:val="18"/>
              </w:rPr>
            </w:pPr>
          </w:p>
        </w:tc>
      </w:tr>
      <w:tr>
        <w:trPr>
          <w:trHeight w:val="299" w:hRule="atLeast"/>
        </w:trPr>
        <w:tc>
          <w:tcPr>
            <w:tcW w:w="571" w:type="dxa"/>
          </w:tcPr>
          <w:p>
            <w:pPr>
              <w:pStyle w:val="TableParagraph"/>
              <w:rPr>
                <w:rFonts w:ascii="Times New Roman"/>
                <w:sz w:val="18"/>
              </w:rPr>
            </w:pPr>
          </w:p>
        </w:tc>
        <w:tc>
          <w:tcPr>
            <w:tcW w:w="1850" w:type="dxa"/>
          </w:tcPr>
          <w:p>
            <w:pPr>
              <w:pStyle w:val="TableParagraph"/>
              <w:rPr>
                <w:rFonts w:ascii="Times New Roman"/>
                <w:sz w:val="18"/>
              </w:rPr>
            </w:pPr>
          </w:p>
        </w:tc>
        <w:tc>
          <w:tcPr>
            <w:tcW w:w="4000" w:type="dxa"/>
          </w:tcPr>
          <w:p>
            <w:pPr>
              <w:pStyle w:val="TableParagraph"/>
              <w:spacing w:line="213" w:lineRule="exact" w:before="66"/>
              <w:ind w:left="108"/>
              <w:rPr>
                <w:sz w:val="20"/>
              </w:rPr>
            </w:pPr>
            <w:r>
              <w:rPr>
                <w:sz w:val="20"/>
              </w:rPr>
              <w:t>HP</w:t>
            </w:r>
            <w:r>
              <w:rPr>
                <w:spacing w:val="-4"/>
                <w:sz w:val="20"/>
              </w:rPr>
              <w:t> </w:t>
            </w:r>
            <w:r>
              <w:rPr>
                <w:sz w:val="20"/>
              </w:rPr>
              <w:t>SCAN</w:t>
            </w:r>
            <w:r>
              <w:rPr>
                <w:spacing w:val="-3"/>
                <w:sz w:val="20"/>
              </w:rPr>
              <w:t> </w:t>
            </w:r>
            <w:r>
              <w:rPr>
                <w:sz w:val="20"/>
              </w:rPr>
              <w:t>JET</w:t>
            </w:r>
            <w:r>
              <w:rPr>
                <w:spacing w:val="-2"/>
                <w:sz w:val="20"/>
              </w:rPr>
              <w:t> </w:t>
            </w:r>
            <w:r>
              <w:rPr>
                <w:spacing w:val="-4"/>
                <w:sz w:val="20"/>
              </w:rPr>
              <w:t>G4010</w:t>
            </w:r>
          </w:p>
        </w:tc>
        <w:tc>
          <w:tcPr>
            <w:tcW w:w="628" w:type="dxa"/>
          </w:tcPr>
          <w:p>
            <w:pPr>
              <w:pStyle w:val="TableParagraph"/>
              <w:spacing w:line="213" w:lineRule="exact" w:before="66"/>
              <w:ind w:right="244"/>
              <w:jc w:val="right"/>
              <w:rPr>
                <w:sz w:val="20"/>
              </w:rPr>
            </w:pPr>
            <w:r>
              <w:rPr>
                <w:w w:val="99"/>
                <w:sz w:val="20"/>
              </w:rPr>
              <w:t>1</w:t>
            </w:r>
          </w:p>
        </w:tc>
        <w:tc>
          <w:tcPr>
            <w:tcW w:w="1890" w:type="dxa"/>
          </w:tcPr>
          <w:p>
            <w:pPr>
              <w:pStyle w:val="TableParagraph"/>
              <w:rPr>
                <w:rFonts w:ascii="Times New Roman"/>
                <w:sz w:val="18"/>
              </w:rPr>
            </w:pPr>
          </w:p>
        </w:tc>
      </w:tr>
      <w:tr>
        <w:trPr>
          <w:trHeight w:val="299" w:hRule="atLeast"/>
        </w:trPr>
        <w:tc>
          <w:tcPr>
            <w:tcW w:w="571" w:type="dxa"/>
          </w:tcPr>
          <w:p>
            <w:pPr>
              <w:pStyle w:val="TableParagraph"/>
              <w:spacing w:line="211" w:lineRule="exact" w:before="69"/>
              <w:ind w:left="10"/>
              <w:jc w:val="center"/>
              <w:rPr>
                <w:sz w:val="20"/>
              </w:rPr>
            </w:pPr>
            <w:r>
              <w:rPr>
                <w:w w:val="99"/>
                <w:sz w:val="20"/>
              </w:rPr>
              <w:t>4</w:t>
            </w:r>
          </w:p>
        </w:tc>
        <w:tc>
          <w:tcPr>
            <w:tcW w:w="1850" w:type="dxa"/>
          </w:tcPr>
          <w:p>
            <w:pPr>
              <w:pStyle w:val="TableParagraph"/>
              <w:spacing w:line="211" w:lineRule="exact" w:before="69"/>
              <w:ind w:left="107"/>
              <w:rPr>
                <w:sz w:val="20"/>
              </w:rPr>
            </w:pPr>
            <w:r>
              <w:rPr>
                <w:spacing w:val="-2"/>
                <w:sz w:val="20"/>
              </w:rPr>
              <w:t>PLOTTERS</w:t>
            </w:r>
          </w:p>
        </w:tc>
        <w:tc>
          <w:tcPr>
            <w:tcW w:w="4000" w:type="dxa"/>
          </w:tcPr>
          <w:p>
            <w:pPr>
              <w:pStyle w:val="TableParagraph"/>
              <w:spacing w:line="211" w:lineRule="exact" w:before="69"/>
              <w:ind w:left="108"/>
              <w:rPr>
                <w:sz w:val="20"/>
              </w:rPr>
            </w:pPr>
            <w:r>
              <w:rPr>
                <w:sz w:val="20"/>
              </w:rPr>
              <w:t>HP</w:t>
            </w:r>
            <w:r>
              <w:rPr>
                <w:spacing w:val="-10"/>
                <w:sz w:val="20"/>
              </w:rPr>
              <w:t> </w:t>
            </w:r>
            <w:r>
              <w:rPr>
                <w:sz w:val="20"/>
              </w:rPr>
              <w:t>DESIGNJET</w:t>
            </w:r>
            <w:r>
              <w:rPr>
                <w:spacing w:val="-4"/>
                <w:sz w:val="20"/>
              </w:rPr>
              <w:t> T7100</w:t>
            </w:r>
          </w:p>
        </w:tc>
        <w:tc>
          <w:tcPr>
            <w:tcW w:w="628" w:type="dxa"/>
          </w:tcPr>
          <w:p>
            <w:pPr>
              <w:pStyle w:val="TableParagraph"/>
              <w:spacing w:line="211" w:lineRule="exact" w:before="69"/>
              <w:ind w:right="244"/>
              <w:jc w:val="right"/>
              <w:rPr>
                <w:sz w:val="20"/>
              </w:rPr>
            </w:pPr>
            <w:r>
              <w:rPr>
                <w:w w:val="99"/>
                <w:sz w:val="20"/>
              </w:rPr>
              <w:t>1</w:t>
            </w:r>
          </w:p>
        </w:tc>
        <w:tc>
          <w:tcPr>
            <w:tcW w:w="1890" w:type="dxa"/>
          </w:tcPr>
          <w:p>
            <w:pPr>
              <w:pStyle w:val="TableParagraph"/>
              <w:rPr>
                <w:rFonts w:ascii="Times New Roman"/>
                <w:sz w:val="18"/>
              </w:rPr>
            </w:pPr>
          </w:p>
        </w:tc>
      </w:tr>
      <w:tr>
        <w:trPr>
          <w:trHeight w:val="301" w:hRule="atLeast"/>
        </w:trPr>
        <w:tc>
          <w:tcPr>
            <w:tcW w:w="571" w:type="dxa"/>
          </w:tcPr>
          <w:p>
            <w:pPr>
              <w:pStyle w:val="TableParagraph"/>
              <w:rPr>
                <w:rFonts w:ascii="Times New Roman"/>
                <w:sz w:val="18"/>
              </w:rPr>
            </w:pPr>
          </w:p>
        </w:tc>
        <w:tc>
          <w:tcPr>
            <w:tcW w:w="1850" w:type="dxa"/>
          </w:tcPr>
          <w:p>
            <w:pPr>
              <w:pStyle w:val="TableParagraph"/>
              <w:rPr>
                <w:rFonts w:ascii="Times New Roman"/>
                <w:sz w:val="18"/>
              </w:rPr>
            </w:pPr>
          </w:p>
        </w:tc>
        <w:tc>
          <w:tcPr>
            <w:tcW w:w="4000" w:type="dxa"/>
          </w:tcPr>
          <w:p>
            <w:pPr>
              <w:pStyle w:val="TableParagraph"/>
              <w:spacing w:line="213" w:lineRule="exact" w:before="69"/>
              <w:ind w:left="108"/>
              <w:rPr>
                <w:sz w:val="20"/>
              </w:rPr>
            </w:pPr>
            <w:r>
              <w:rPr>
                <w:sz w:val="20"/>
              </w:rPr>
              <w:t>HP</w:t>
            </w:r>
            <w:r>
              <w:rPr>
                <w:spacing w:val="-8"/>
                <w:sz w:val="20"/>
              </w:rPr>
              <w:t> </w:t>
            </w:r>
            <w:r>
              <w:rPr>
                <w:sz w:val="20"/>
              </w:rPr>
              <w:t>DESIGNJET</w:t>
            </w:r>
            <w:r>
              <w:rPr>
                <w:spacing w:val="-3"/>
                <w:sz w:val="20"/>
              </w:rPr>
              <w:t> </w:t>
            </w:r>
            <w:r>
              <w:rPr>
                <w:sz w:val="20"/>
              </w:rPr>
              <w:t>T2300</w:t>
            </w:r>
            <w:r>
              <w:rPr>
                <w:spacing w:val="-6"/>
                <w:sz w:val="20"/>
              </w:rPr>
              <w:t> </w:t>
            </w:r>
            <w:r>
              <w:rPr>
                <w:sz w:val="20"/>
              </w:rPr>
              <w:t>ps</w:t>
            </w:r>
            <w:r>
              <w:rPr>
                <w:spacing w:val="-5"/>
                <w:sz w:val="20"/>
              </w:rPr>
              <w:t> </w:t>
            </w:r>
            <w:r>
              <w:rPr>
                <w:spacing w:val="-4"/>
                <w:sz w:val="20"/>
              </w:rPr>
              <w:t>Emfp</w:t>
            </w:r>
          </w:p>
        </w:tc>
        <w:tc>
          <w:tcPr>
            <w:tcW w:w="628" w:type="dxa"/>
          </w:tcPr>
          <w:p>
            <w:pPr>
              <w:pStyle w:val="TableParagraph"/>
              <w:spacing w:line="213" w:lineRule="exact" w:before="69"/>
              <w:ind w:right="244"/>
              <w:jc w:val="right"/>
              <w:rPr>
                <w:sz w:val="20"/>
              </w:rPr>
            </w:pPr>
            <w:r>
              <w:rPr>
                <w:w w:val="99"/>
                <w:sz w:val="20"/>
              </w:rPr>
              <w:t>1</w:t>
            </w:r>
          </w:p>
        </w:tc>
        <w:tc>
          <w:tcPr>
            <w:tcW w:w="1890" w:type="dxa"/>
          </w:tcPr>
          <w:p>
            <w:pPr>
              <w:pStyle w:val="TableParagraph"/>
              <w:rPr>
                <w:rFonts w:ascii="Times New Roman"/>
                <w:sz w:val="18"/>
              </w:rPr>
            </w:pPr>
          </w:p>
        </w:tc>
      </w:tr>
      <w:tr>
        <w:trPr>
          <w:trHeight w:val="299" w:hRule="atLeast"/>
        </w:trPr>
        <w:tc>
          <w:tcPr>
            <w:tcW w:w="571" w:type="dxa"/>
          </w:tcPr>
          <w:p>
            <w:pPr>
              <w:pStyle w:val="TableParagraph"/>
              <w:rPr>
                <w:rFonts w:ascii="Times New Roman"/>
                <w:sz w:val="18"/>
              </w:rPr>
            </w:pPr>
          </w:p>
        </w:tc>
        <w:tc>
          <w:tcPr>
            <w:tcW w:w="1850" w:type="dxa"/>
          </w:tcPr>
          <w:p>
            <w:pPr>
              <w:pStyle w:val="TableParagraph"/>
              <w:rPr>
                <w:rFonts w:ascii="Times New Roman"/>
                <w:sz w:val="18"/>
              </w:rPr>
            </w:pPr>
          </w:p>
        </w:tc>
        <w:tc>
          <w:tcPr>
            <w:tcW w:w="4000" w:type="dxa"/>
          </w:tcPr>
          <w:p>
            <w:pPr>
              <w:pStyle w:val="TableParagraph"/>
              <w:spacing w:line="213" w:lineRule="exact" w:before="66"/>
              <w:ind w:left="108"/>
              <w:rPr>
                <w:sz w:val="20"/>
              </w:rPr>
            </w:pPr>
            <w:r>
              <w:rPr>
                <w:sz w:val="20"/>
              </w:rPr>
              <w:t>HP</w:t>
            </w:r>
            <w:r>
              <w:rPr>
                <w:spacing w:val="-8"/>
                <w:sz w:val="20"/>
              </w:rPr>
              <w:t> </w:t>
            </w:r>
            <w:r>
              <w:rPr>
                <w:sz w:val="20"/>
              </w:rPr>
              <w:t>DESIGNJET</w:t>
            </w:r>
            <w:r>
              <w:rPr>
                <w:spacing w:val="-3"/>
                <w:sz w:val="20"/>
              </w:rPr>
              <w:t> </w:t>
            </w:r>
            <w:r>
              <w:rPr>
                <w:sz w:val="20"/>
              </w:rPr>
              <w:t>T1300</w:t>
            </w:r>
            <w:r>
              <w:rPr>
                <w:spacing w:val="-6"/>
                <w:sz w:val="20"/>
              </w:rPr>
              <w:t> </w:t>
            </w:r>
            <w:r>
              <w:rPr>
                <w:sz w:val="20"/>
              </w:rPr>
              <w:t>ps</w:t>
            </w:r>
            <w:r>
              <w:rPr>
                <w:spacing w:val="-5"/>
                <w:sz w:val="20"/>
              </w:rPr>
              <w:t> </w:t>
            </w:r>
            <w:r>
              <w:rPr>
                <w:spacing w:val="-2"/>
                <w:sz w:val="20"/>
              </w:rPr>
              <w:t>Eprinter</w:t>
            </w:r>
          </w:p>
        </w:tc>
        <w:tc>
          <w:tcPr>
            <w:tcW w:w="628" w:type="dxa"/>
          </w:tcPr>
          <w:p>
            <w:pPr>
              <w:pStyle w:val="TableParagraph"/>
              <w:spacing w:line="213" w:lineRule="exact" w:before="66"/>
              <w:ind w:right="244"/>
              <w:jc w:val="right"/>
              <w:rPr>
                <w:sz w:val="20"/>
              </w:rPr>
            </w:pPr>
            <w:r>
              <w:rPr>
                <w:w w:val="99"/>
                <w:sz w:val="20"/>
              </w:rPr>
              <w:t>1</w:t>
            </w:r>
          </w:p>
        </w:tc>
        <w:tc>
          <w:tcPr>
            <w:tcW w:w="1890" w:type="dxa"/>
          </w:tcPr>
          <w:p>
            <w:pPr>
              <w:pStyle w:val="TableParagraph"/>
              <w:rPr>
                <w:rFonts w:ascii="Times New Roman"/>
                <w:sz w:val="18"/>
              </w:rPr>
            </w:pPr>
          </w:p>
        </w:tc>
      </w:tr>
      <w:tr>
        <w:trPr>
          <w:trHeight w:val="299" w:hRule="atLeast"/>
        </w:trPr>
        <w:tc>
          <w:tcPr>
            <w:tcW w:w="571" w:type="dxa"/>
          </w:tcPr>
          <w:p>
            <w:pPr>
              <w:pStyle w:val="TableParagraph"/>
              <w:rPr>
                <w:rFonts w:ascii="Times New Roman"/>
                <w:sz w:val="18"/>
              </w:rPr>
            </w:pPr>
          </w:p>
        </w:tc>
        <w:tc>
          <w:tcPr>
            <w:tcW w:w="1850" w:type="dxa"/>
          </w:tcPr>
          <w:p>
            <w:pPr>
              <w:pStyle w:val="TableParagraph"/>
              <w:rPr>
                <w:rFonts w:ascii="Times New Roman"/>
                <w:sz w:val="18"/>
              </w:rPr>
            </w:pPr>
          </w:p>
        </w:tc>
        <w:tc>
          <w:tcPr>
            <w:tcW w:w="4000" w:type="dxa"/>
          </w:tcPr>
          <w:p>
            <w:pPr>
              <w:pStyle w:val="TableParagraph"/>
              <w:spacing w:line="213" w:lineRule="exact" w:before="66"/>
              <w:ind w:left="108"/>
              <w:rPr>
                <w:sz w:val="20"/>
              </w:rPr>
            </w:pPr>
            <w:r>
              <w:rPr>
                <w:sz w:val="20"/>
              </w:rPr>
              <w:t>HP</w:t>
            </w:r>
            <w:r>
              <w:rPr>
                <w:spacing w:val="-10"/>
                <w:sz w:val="20"/>
              </w:rPr>
              <w:t> </w:t>
            </w:r>
            <w:r>
              <w:rPr>
                <w:sz w:val="20"/>
              </w:rPr>
              <w:t>DESIGNJET</w:t>
            </w:r>
            <w:r>
              <w:rPr>
                <w:spacing w:val="-4"/>
                <w:sz w:val="20"/>
              </w:rPr>
              <w:t> </w:t>
            </w:r>
            <w:r>
              <w:rPr>
                <w:spacing w:val="-2"/>
                <w:sz w:val="20"/>
              </w:rPr>
              <w:t>T100ps</w:t>
            </w:r>
          </w:p>
        </w:tc>
        <w:tc>
          <w:tcPr>
            <w:tcW w:w="628" w:type="dxa"/>
          </w:tcPr>
          <w:p>
            <w:pPr>
              <w:pStyle w:val="TableParagraph"/>
              <w:spacing w:line="213" w:lineRule="exact" w:before="66"/>
              <w:ind w:right="244"/>
              <w:jc w:val="right"/>
              <w:rPr>
                <w:sz w:val="20"/>
              </w:rPr>
            </w:pPr>
            <w:r>
              <w:rPr>
                <w:w w:val="99"/>
                <w:sz w:val="20"/>
              </w:rPr>
              <w:t>1</w:t>
            </w:r>
          </w:p>
        </w:tc>
        <w:tc>
          <w:tcPr>
            <w:tcW w:w="1890" w:type="dxa"/>
          </w:tcPr>
          <w:p>
            <w:pPr>
              <w:pStyle w:val="TableParagraph"/>
              <w:rPr>
                <w:rFonts w:ascii="Times New Roman"/>
                <w:sz w:val="18"/>
              </w:rPr>
            </w:pPr>
          </w:p>
        </w:tc>
      </w:tr>
      <w:tr>
        <w:trPr>
          <w:trHeight w:val="299" w:hRule="atLeast"/>
        </w:trPr>
        <w:tc>
          <w:tcPr>
            <w:tcW w:w="571" w:type="dxa"/>
          </w:tcPr>
          <w:p>
            <w:pPr>
              <w:pStyle w:val="TableParagraph"/>
              <w:rPr>
                <w:rFonts w:ascii="Times New Roman"/>
                <w:sz w:val="18"/>
              </w:rPr>
            </w:pPr>
          </w:p>
        </w:tc>
        <w:tc>
          <w:tcPr>
            <w:tcW w:w="1850" w:type="dxa"/>
          </w:tcPr>
          <w:p>
            <w:pPr>
              <w:pStyle w:val="TableParagraph"/>
              <w:rPr>
                <w:rFonts w:ascii="Times New Roman"/>
                <w:sz w:val="18"/>
              </w:rPr>
            </w:pPr>
          </w:p>
        </w:tc>
        <w:tc>
          <w:tcPr>
            <w:tcW w:w="4000" w:type="dxa"/>
          </w:tcPr>
          <w:p>
            <w:pPr>
              <w:pStyle w:val="TableParagraph"/>
              <w:spacing w:line="213" w:lineRule="exact" w:before="66"/>
              <w:ind w:left="108"/>
              <w:rPr>
                <w:sz w:val="20"/>
              </w:rPr>
            </w:pPr>
            <w:r>
              <w:rPr>
                <w:sz w:val="20"/>
              </w:rPr>
              <w:t>HP</w:t>
            </w:r>
            <w:r>
              <w:rPr>
                <w:spacing w:val="-10"/>
                <w:sz w:val="20"/>
              </w:rPr>
              <w:t> </w:t>
            </w:r>
            <w:r>
              <w:rPr>
                <w:sz w:val="20"/>
              </w:rPr>
              <w:t>DESIGNJET</w:t>
            </w:r>
            <w:r>
              <w:rPr>
                <w:spacing w:val="-4"/>
                <w:sz w:val="20"/>
              </w:rPr>
              <w:t> T120</w:t>
            </w:r>
          </w:p>
        </w:tc>
        <w:tc>
          <w:tcPr>
            <w:tcW w:w="628" w:type="dxa"/>
          </w:tcPr>
          <w:p>
            <w:pPr>
              <w:pStyle w:val="TableParagraph"/>
              <w:spacing w:line="213" w:lineRule="exact" w:before="66"/>
              <w:ind w:right="244"/>
              <w:jc w:val="right"/>
              <w:rPr>
                <w:sz w:val="20"/>
              </w:rPr>
            </w:pPr>
            <w:r>
              <w:rPr>
                <w:w w:val="99"/>
                <w:sz w:val="20"/>
              </w:rPr>
              <w:t>2</w:t>
            </w:r>
          </w:p>
        </w:tc>
        <w:tc>
          <w:tcPr>
            <w:tcW w:w="1890" w:type="dxa"/>
          </w:tcPr>
          <w:p>
            <w:pPr>
              <w:pStyle w:val="TableParagraph"/>
              <w:rPr>
                <w:rFonts w:ascii="Times New Roman"/>
                <w:sz w:val="18"/>
              </w:rPr>
            </w:pPr>
          </w:p>
        </w:tc>
      </w:tr>
      <w:tr>
        <w:trPr>
          <w:trHeight w:val="299" w:hRule="atLeast"/>
        </w:trPr>
        <w:tc>
          <w:tcPr>
            <w:tcW w:w="571" w:type="dxa"/>
          </w:tcPr>
          <w:p>
            <w:pPr>
              <w:pStyle w:val="TableParagraph"/>
              <w:rPr>
                <w:rFonts w:ascii="Times New Roman"/>
                <w:sz w:val="18"/>
              </w:rPr>
            </w:pPr>
          </w:p>
        </w:tc>
        <w:tc>
          <w:tcPr>
            <w:tcW w:w="1850" w:type="dxa"/>
          </w:tcPr>
          <w:p>
            <w:pPr>
              <w:pStyle w:val="TableParagraph"/>
              <w:rPr>
                <w:rFonts w:ascii="Times New Roman"/>
                <w:sz w:val="18"/>
              </w:rPr>
            </w:pPr>
          </w:p>
        </w:tc>
        <w:tc>
          <w:tcPr>
            <w:tcW w:w="4000" w:type="dxa"/>
          </w:tcPr>
          <w:p>
            <w:pPr>
              <w:pStyle w:val="TableParagraph"/>
              <w:spacing w:line="213" w:lineRule="exact" w:before="66"/>
              <w:ind w:left="108"/>
              <w:rPr>
                <w:sz w:val="20"/>
              </w:rPr>
            </w:pPr>
            <w:r>
              <w:rPr>
                <w:sz w:val="20"/>
              </w:rPr>
              <w:t>HP</w:t>
            </w:r>
            <w:r>
              <w:rPr>
                <w:spacing w:val="-10"/>
                <w:sz w:val="20"/>
              </w:rPr>
              <w:t> </w:t>
            </w:r>
            <w:r>
              <w:rPr>
                <w:sz w:val="20"/>
              </w:rPr>
              <w:t>DESIGNJET</w:t>
            </w:r>
            <w:r>
              <w:rPr>
                <w:spacing w:val="-4"/>
                <w:sz w:val="20"/>
              </w:rPr>
              <w:t> 500ps</w:t>
            </w:r>
          </w:p>
        </w:tc>
        <w:tc>
          <w:tcPr>
            <w:tcW w:w="628" w:type="dxa"/>
          </w:tcPr>
          <w:p>
            <w:pPr>
              <w:pStyle w:val="TableParagraph"/>
              <w:spacing w:line="213" w:lineRule="exact" w:before="66"/>
              <w:ind w:right="244"/>
              <w:jc w:val="right"/>
              <w:rPr>
                <w:sz w:val="20"/>
              </w:rPr>
            </w:pPr>
            <w:r>
              <w:rPr>
                <w:w w:val="99"/>
                <w:sz w:val="20"/>
              </w:rPr>
              <w:t>1</w:t>
            </w:r>
          </w:p>
        </w:tc>
        <w:tc>
          <w:tcPr>
            <w:tcW w:w="1890" w:type="dxa"/>
          </w:tcPr>
          <w:p>
            <w:pPr>
              <w:pStyle w:val="TableParagraph"/>
              <w:rPr>
                <w:rFonts w:ascii="Times New Roman"/>
                <w:sz w:val="18"/>
              </w:rPr>
            </w:pPr>
          </w:p>
        </w:tc>
      </w:tr>
      <w:tr>
        <w:trPr>
          <w:trHeight w:val="299" w:hRule="atLeast"/>
        </w:trPr>
        <w:tc>
          <w:tcPr>
            <w:tcW w:w="571" w:type="dxa"/>
          </w:tcPr>
          <w:p>
            <w:pPr>
              <w:pStyle w:val="TableParagraph"/>
              <w:rPr>
                <w:rFonts w:ascii="Times New Roman"/>
                <w:sz w:val="18"/>
              </w:rPr>
            </w:pPr>
          </w:p>
        </w:tc>
        <w:tc>
          <w:tcPr>
            <w:tcW w:w="1850" w:type="dxa"/>
          </w:tcPr>
          <w:p>
            <w:pPr>
              <w:pStyle w:val="TableParagraph"/>
              <w:rPr>
                <w:rFonts w:ascii="Times New Roman"/>
                <w:sz w:val="18"/>
              </w:rPr>
            </w:pPr>
          </w:p>
        </w:tc>
        <w:tc>
          <w:tcPr>
            <w:tcW w:w="4000" w:type="dxa"/>
          </w:tcPr>
          <w:p>
            <w:pPr>
              <w:pStyle w:val="TableParagraph"/>
              <w:spacing w:line="211" w:lineRule="exact" w:before="69"/>
              <w:ind w:left="108"/>
              <w:rPr>
                <w:sz w:val="20"/>
              </w:rPr>
            </w:pPr>
            <w:r>
              <w:rPr>
                <w:sz w:val="20"/>
              </w:rPr>
              <w:t>HP</w:t>
            </w:r>
            <w:r>
              <w:rPr>
                <w:spacing w:val="-10"/>
                <w:sz w:val="20"/>
              </w:rPr>
              <w:t> </w:t>
            </w:r>
            <w:r>
              <w:rPr>
                <w:sz w:val="20"/>
              </w:rPr>
              <w:t>DESIGNJET</w:t>
            </w:r>
            <w:r>
              <w:rPr>
                <w:spacing w:val="-4"/>
                <w:sz w:val="20"/>
              </w:rPr>
              <w:t> </w:t>
            </w:r>
            <w:r>
              <w:rPr>
                <w:spacing w:val="-2"/>
                <w:sz w:val="20"/>
              </w:rPr>
              <w:t>1050C</w:t>
            </w:r>
          </w:p>
        </w:tc>
        <w:tc>
          <w:tcPr>
            <w:tcW w:w="628" w:type="dxa"/>
          </w:tcPr>
          <w:p>
            <w:pPr>
              <w:pStyle w:val="TableParagraph"/>
              <w:spacing w:line="211" w:lineRule="exact" w:before="69"/>
              <w:ind w:right="244"/>
              <w:jc w:val="right"/>
              <w:rPr>
                <w:sz w:val="20"/>
              </w:rPr>
            </w:pPr>
            <w:r>
              <w:rPr>
                <w:w w:val="99"/>
                <w:sz w:val="20"/>
              </w:rPr>
              <w:t>1</w:t>
            </w:r>
          </w:p>
        </w:tc>
        <w:tc>
          <w:tcPr>
            <w:tcW w:w="1890" w:type="dxa"/>
          </w:tcPr>
          <w:p>
            <w:pPr>
              <w:pStyle w:val="TableParagraph"/>
              <w:rPr>
                <w:rFonts w:ascii="Times New Roman"/>
                <w:sz w:val="18"/>
              </w:rPr>
            </w:pPr>
          </w:p>
        </w:tc>
      </w:tr>
      <w:tr>
        <w:trPr>
          <w:trHeight w:val="301" w:hRule="atLeast"/>
        </w:trPr>
        <w:tc>
          <w:tcPr>
            <w:tcW w:w="571" w:type="dxa"/>
          </w:tcPr>
          <w:p>
            <w:pPr>
              <w:pStyle w:val="TableParagraph"/>
              <w:spacing w:line="213" w:lineRule="exact" w:before="69"/>
              <w:ind w:left="10"/>
              <w:jc w:val="center"/>
              <w:rPr>
                <w:sz w:val="20"/>
              </w:rPr>
            </w:pPr>
            <w:r>
              <w:rPr>
                <w:w w:val="99"/>
                <w:sz w:val="20"/>
              </w:rPr>
              <w:t>6</w:t>
            </w:r>
          </w:p>
        </w:tc>
        <w:tc>
          <w:tcPr>
            <w:tcW w:w="1850" w:type="dxa"/>
          </w:tcPr>
          <w:p>
            <w:pPr>
              <w:pStyle w:val="TableParagraph"/>
              <w:spacing w:line="213" w:lineRule="exact" w:before="69"/>
              <w:ind w:left="107"/>
              <w:rPr>
                <w:sz w:val="20"/>
              </w:rPr>
            </w:pPr>
            <w:r>
              <w:rPr>
                <w:sz w:val="20"/>
              </w:rPr>
              <w:t>LASER</w:t>
            </w:r>
            <w:r>
              <w:rPr>
                <w:spacing w:val="-7"/>
                <w:sz w:val="20"/>
              </w:rPr>
              <w:t> </w:t>
            </w:r>
            <w:r>
              <w:rPr>
                <w:spacing w:val="-2"/>
                <w:sz w:val="20"/>
              </w:rPr>
              <w:t>CUTTER</w:t>
            </w:r>
          </w:p>
        </w:tc>
        <w:tc>
          <w:tcPr>
            <w:tcW w:w="4000" w:type="dxa"/>
          </w:tcPr>
          <w:p>
            <w:pPr>
              <w:pStyle w:val="TableParagraph"/>
              <w:spacing w:line="213" w:lineRule="exact" w:before="69"/>
              <w:ind w:left="108"/>
              <w:rPr>
                <w:sz w:val="20"/>
              </w:rPr>
            </w:pPr>
            <w:r>
              <w:rPr>
                <w:sz w:val="20"/>
              </w:rPr>
              <w:t>UNIVERSAL</w:t>
            </w:r>
            <w:r>
              <w:rPr>
                <w:spacing w:val="-8"/>
                <w:sz w:val="20"/>
              </w:rPr>
              <w:t> </w:t>
            </w:r>
            <w:r>
              <w:rPr>
                <w:sz w:val="20"/>
              </w:rPr>
              <w:t>LASER</w:t>
            </w:r>
            <w:r>
              <w:rPr>
                <w:spacing w:val="-7"/>
                <w:sz w:val="20"/>
              </w:rPr>
              <w:t> </w:t>
            </w:r>
            <w:r>
              <w:rPr>
                <w:sz w:val="20"/>
              </w:rPr>
              <w:t>SYSTEM</w:t>
            </w:r>
            <w:r>
              <w:rPr>
                <w:spacing w:val="-8"/>
                <w:sz w:val="20"/>
              </w:rPr>
              <w:t> </w:t>
            </w:r>
            <w:r>
              <w:rPr>
                <w:spacing w:val="-4"/>
                <w:sz w:val="20"/>
              </w:rPr>
              <w:t>V460</w:t>
            </w:r>
          </w:p>
        </w:tc>
        <w:tc>
          <w:tcPr>
            <w:tcW w:w="628" w:type="dxa"/>
          </w:tcPr>
          <w:p>
            <w:pPr>
              <w:pStyle w:val="TableParagraph"/>
              <w:spacing w:line="213" w:lineRule="exact" w:before="69"/>
              <w:ind w:right="244"/>
              <w:jc w:val="right"/>
              <w:rPr>
                <w:sz w:val="20"/>
              </w:rPr>
            </w:pPr>
            <w:r>
              <w:rPr>
                <w:w w:val="99"/>
                <w:sz w:val="20"/>
              </w:rPr>
              <w:t>1</w:t>
            </w:r>
          </w:p>
        </w:tc>
        <w:tc>
          <w:tcPr>
            <w:tcW w:w="1890" w:type="dxa"/>
          </w:tcPr>
          <w:p>
            <w:pPr>
              <w:pStyle w:val="TableParagraph"/>
              <w:rPr>
                <w:rFonts w:ascii="Times New Roman"/>
                <w:sz w:val="18"/>
              </w:rPr>
            </w:pPr>
          </w:p>
        </w:tc>
      </w:tr>
    </w:tbl>
    <w:p>
      <w:pPr>
        <w:pStyle w:val="BodyText"/>
        <w:spacing w:before="10"/>
        <w:rPr>
          <w:sz w:val="14"/>
        </w:rPr>
      </w:pPr>
    </w:p>
    <w:p>
      <w:pPr>
        <w:pStyle w:val="BodyText"/>
        <w:spacing w:before="93"/>
        <w:ind w:left="1940"/>
      </w:pPr>
      <w:r>
        <w:rPr/>
        <w:t>Additionally,</w:t>
      </w:r>
      <w:r>
        <w:rPr>
          <w:spacing w:val="-11"/>
        </w:rPr>
        <w:t> </w:t>
      </w:r>
      <w:r>
        <w:rPr/>
        <w:t>there</w:t>
      </w:r>
      <w:r>
        <w:rPr>
          <w:spacing w:val="-10"/>
        </w:rPr>
        <w:t> </w:t>
      </w:r>
      <w:r>
        <w:rPr>
          <w:spacing w:val="-5"/>
        </w:rPr>
        <w:t>is:</w:t>
      </w:r>
    </w:p>
    <w:p>
      <w:pPr>
        <w:pStyle w:val="BodyText"/>
        <w:spacing w:before="7"/>
      </w:pPr>
    </w:p>
    <w:p>
      <w:pPr>
        <w:pStyle w:val="BodyText"/>
        <w:spacing w:before="1"/>
        <w:ind w:left="2299"/>
      </w:pPr>
      <w:r>
        <w:rPr/>
        <w:t>24</w:t>
      </w:r>
      <w:r>
        <w:rPr>
          <w:spacing w:val="-7"/>
        </w:rPr>
        <w:t> </w:t>
      </w:r>
      <w:r>
        <w:rPr/>
        <w:t>Ethernet</w:t>
      </w:r>
      <w:r>
        <w:rPr>
          <w:spacing w:val="-6"/>
        </w:rPr>
        <w:t> </w:t>
      </w:r>
      <w:r>
        <w:rPr/>
        <w:t>ports</w:t>
      </w:r>
      <w:r>
        <w:rPr>
          <w:spacing w:val="-6"/>
        </w:rPr>
        <w:t> </w:t>
      </w:r>
      <w:r>
        <w:rPr/>
        <w:t>and</w:t>
      </w:r>
      <w:r>
        <w:rPr>
          <w:spacing w:val="-5"/>
        </w:rPr>
        <w:t> </w:t>
      </w:r>
      <w:r>
        <w:rPr/>
        <w:t>wireless</w:t>
      </w:r>
      <w:r>
        <w:rPr>
          <w:spacing w:val="-5"/>
        </w:rPr>
        <w:t> </w:t>
      </w:r>
      <w:r>
        <w:rPr>
          <w:spacing w:val="-2"/>
        </w:rPr>
        <w:t>connectivity</w:t>
      </w:r>
    </w:p>
    <w:p>
      <w:pPr>
        <w:pStyle w:val="BodyText"/>
        <w:spacing w:before="10"/>
      </w:pPr>
    </w:p>
    <w:p>
      <w:pPr>
        <w:pStyle w:val="BodyText"/>
        <w:ind w:left="2299"/>
      </w:pPr>
      <w:r>
        <w:rPr/>
        <w:t>25</w:t>
      </w:r>
      <w:r>
        <w:rPr>
          <w:spacing w:val="-7"/>
        </w:rPr>
        <w:t> </w:t>
      </w:r>
      <w:r>
        <w:rPr/>
        <w:t>AutoCAD</w:t>
      </w:r>
      <w:r>
        <w:rPr>
          <w:spacing w:val="-5"/>
        </w:rPr>
        <w:t> </w:t>
      </w:r>
      <w:r>
        <w:rPr/>
        <w:t>and</w:t>
      </w:r>
      <w:r>
        <w:rPr>
          <w:spacing w:val="-5"/>
        </w:rPr>
        <w:t> </w:t>
      </w:r>
      <w:r>
        <w:rPr/>
        <w:t>Revit</w:t>
      </w:r>
      <w:r>
        <w:rPr>
          <w:spacing w:val="-5"/>
        </w:rPr>
        <w:t> </w:t>
      </w:r>
      <w:r>
        <w:rPr>
          <w:spacing w:val="-2"/>
        </w:rPr>
        <w:t>Licenses.</w:t>
      </w:r>
    </w:p>
    <w:p>
      <w:pPr>
        <w:pStyle w:val="BodyText"/>
        <w:spacing w:before="120"/>
        <w:ind w:left="2299" w:right="499"/>
      </w:pPr>
      <w:r>
        <w:rPr/>
        <w:t>Additional software available in the Bemis CAD Lab:</w:t>
      </w:r>
      <w:r>
        <w:rPr>
          <w:spacing w:val="40"/>
        </w:rPr>
        <w:t> </w:t>
      </w:r>
      <w:r>
        <w:rPr/>
        <w:t>MS Office, Form Z, Google SketchUp</w:t>
      </w:r>
      <w:r>
        <w:rPr>
          <w:spacing w:val="-6"/>
        </w:rPr>
        <w:t> </w:t>
      </w:r>
      <w:r>
        <w:rPr/>
        <w:t>Pro,</w:t>
      </w:r>
      <w:r>
        <w:rPr>
          <w:spacing w:val="-4"/>
        </w:rPr>
        <w:t> </w:t>
      </w:r>
      <w:r>
        <w:rPr/>
        <w:t>and</w:t>
      </w:r>
      <w:r>
        <w:rPr>
          <w:spacing w:val="-6"/>
        </w:rPr>
        <w:t> </w:t>
      </w:r>
      <w:r>
        <w:rPr/>
        <w:t>Adobe</w:t>
      </w:r>
      <w:r>
        <w:rPr>
          <w:spacing w:val="-4"/>
        </w:rPr>
        <w:t> </w:t>
      </w:r>
      <w:r>
        <w:rPr/>
        <w:t>Creative</w:t>
      </w:r>
      <w:r>
        <w:rPr>
          <w:spacing w:val="-4"/>
        </w:rPr>
        <w:t> </w:t>
      </w:r>
      <w:r>
        <w:rPr/>
        <w:t>Suite</w:t>
      </w:r>
      <w:r>
        <w:rPr>
          <w:spacing w:val="-4"/>
        </w:rPr>
        <w:t> </w:t>
      </w:r>
      <w:r>
        <w:rPr/>
        <w:t>(PhotoShop,</w:t>
      </w:r>
      <w:r>
        <w:rPr>
          <w:spacing w:val="-4"/>
        </w:rPr>
        <w:t> </w:t>
      </w:r>
      <w:r>
        <w:rPr/>
        <w:t>In-design,</w:t>
      </w:r>
      <w:r>
        <w:rPr>
          <w:spacing w:val="-6"/>
        </w:rPr>
        <w:t> </w:t>
      </w:r>
      <w:r>
        <w:rPr/>
        <w:t>Illustrator,</w:t>
      </w:r>
      <w:r>
        <w:rPr>
          <w:spacing w:val="-4"/>
        </w:rPr>
        <w:t> </w:t>
      </w:r>
      <w:r>
        <w:rPr/>
        <w:t>Acrobat).</w:t>
      </w:r>
    </w:p>
    <w:p>
      <w:pPr>
        <w:pStyle w:val="BodyText"/>
        <w:spacing w:before="121"/>
        <w:ind w:left="2299" w:right="499"/>
      </w:pPr>
      <w:r>
        <w:rPr/>
        <w:t>Students have access to personal licenses at no cost to the following software: Graphisoft</w:t>
      </w:r>
      <w:r>
        <w:rPr>
          <w:spacing w:val="-5"/>
        </w:rPr>
        <w:t> </w:t>
      </w:r>
      <w:r>
        <w:rPr/>
        <w:t>ArchiCAD</w:t>
      </w:r>
      <w:r>
        <w:rPr>
          <w:spacing w:val="-2"/>
        </w:rPr>
        <w:t> </w:t>
      </w:r>
      <w:r>
        <w:rPr/>
        <w:t>12,</w:t>
      </w:r>
      <w:r>
        <w:rPr>
          <w:spacing w:val="-3"/>
        </w:rPr>
        <w:t> </w:t>
      </w:r>
      <w:r>
        <w:rPr/>
        <w:t>Google</w:t>
      </w:r>
      <w:r>
        <w:rPr>
          <w:spacing w:val="-3"/>
        </w:rPr>
        <w:t> </w:t>
      </w:r>
      <w:r>
        <w:rPr/>
        <w:t>SketchUp</w:t>
      </w:r>
      <w:r>
        <w:rPr>
          <w:spacing w:val="-5"/>
        </w:rPr>
        <w:t> </w:t>
      </w:r>
      <w:r>
        <w:rPr/>
        <w:t>Pro,</w:t>
      </w:r>
      <w:r>
        <w:rPr>
          <w:spacing w:val="-3"/>
        </w:rPr>
        <w:t> </w:t>
      </w:r>
      <w:r>
        <w:rPr/>
        <w:t>and</w:t>
      </w:r>
      <w:r>
        <w:rPr>
          <w:spacing w:val="-5"/>
        </w:rPr>
        <w:t> </w:t>
      </w:r>
      <w:r>
        <w:rPr/>
        <w:t>AutoCAD</w:t>
      </w:r>
      <w:r>
        <w:rPr>
          <w:spacing w:val="-5"/>
        </w:rPr>
        <w:t> </w:t>
      </w:r>
      <w:r>
        <w:rPr/>
        <w:t>and</w:t>
      </w:r>
      <w:r>
        <w:rPr>
          <w:spacing w:val="-5"/>
        </w:rPr>
        <w:t> </w:t>
      </w:r>
      <w:r>
        <w:rPr/>
        <w:t>Revit.</w:t>
      </w:r>
      <w:r>
        <w:rPr>
          <w:spacing w:val="-5"/>
        </w:rPr>
        <w:t> </w:t>
      </w:r>
      <w:r>
        <w:rPr/>
        <w:t>These</w:t>
      </w:r>
      <w:r>
        <w:rPr>
          <w:spacing w:val="-3"/>
        </w:rPr>
        <w:t> </w:t>
      </w:r>
      <w:r>
        <w:rPr/>
        <w:t>last two require registration in the Autodesk Student Community program.</w:t>
      </w:r>
    </w:p>
    <w:p>
      <w:pPr>
        <w:pStyle w:val="BodyText"/>
        <w:spacing w:before="119"/>
        <w:ind w:left="1219"/>
      </w:pPr>
      <w:r>
        <w:rPr/>
        <w:t>Lockheed</w:t>
      </w:r>
      <w:r>
        <w:rPr>
          <w:spacing w:val="-11"/>
        </w:rPr>
        <w:t> </w:t>
      </w:r>
      <w:r>
        <w:rPr/>
        <w:t>Martin</w:t>
      </w:r>
      <w:r>
        <w:rPr>
          <w:spacing w:val="-8"/>
        </w:rPr>
        <w:t> </w:t>
      </w:r>
      <w:r>
        <w:rPr/>
        <w:t>Modeling</w:t>
      </w:r>
      <w:r>
        <w:rPr>
          <w:spacing w:val="-6"/>
        </w:rPr>
        <w:t> </w:t>
      </w:r>
      <w:r>
        <w:rPr/>
        <w:t>and</w:t>
      </w:r>
      <w:r>
        <w:rPr>
          <w:spacing w:val="-8"/>
        </w:rPr>
        <w:t> </w:t>
      </w:r>
      <w:r>
        <w:rPr/>
        <w:t>Simulation</w:t>
      </w:r>
      <w:r>
        <w:rPr>
          <w:spacing w:val="-9"/>
        </w:rPr>
        <w:t> </w:t>
      </w:r>
      <w:r>
        <w:rPr>
          <w:spacing w:val="-2"/>
        </w:rPr>
        <w:t>Laboratory</w:t>
      </w:r>
    </w:p>
    <w:p>
      <w:pPr>
        <w:pStyle w:val="BodyText"/>
        <w:spacing w:before="121"/>
        <w:ind w:left="1939" w:right="499"/>
      </w:pPr>
      <w:r>
        <w:rPr/>
        <w:t>Located</w:t>
      </w:r>
      <w:r>
        <w:rPr>
          <w:spacing w:val="-4"/>
        </w:rPr>
        <w:t> </w:t>
      </w:r>
      <w:r>
        <w:rPr/>
        <w:t>on</w:t>
      </w:r>
      <w:r>
        <w:rPr>
          <w:spacing w:val="-2"/>
        </w:rPr>
        <w:t> </w:t>
      </w:r>
      <w:r>
        <w:rPr/>
        <w:t>the</w:t>
      </w:r>
      <w:r>
        <w:rPr>
          <w:spacing w:val="-2"/>
        </w:rPr>
        <w:t> </w:t>
      </w:r>
      <w:r>
        <w:rPr/>
        <w:t>fifth</w:t>
      </w:r>
      <w:r>
        <w:rPr>
          <w:spacing w:val="-4"/>
        </w:rPr>
        <w:t> </w:t>
      </w:r>
      <w:r>
        <w:rPr/>
        <w:t>floor</w:t>
      </w:r>
      <w:r>
        <w:rPr>
          <w:spacing w:val="-3"/>
        </w:rPr>
        <w:t> </w:t>
      </w:r>
      <w:r>
        <w:rPr/>
        <w:t>of</w:t>
      </w:r>
      <w:r>
        <w:rPr>
          <w:spacing w:val="-2"/>
        </w:rPr>
        <w:t> </w:t>
      </w:r>
      <w:r>
        <w:rPr/>
        <w:t>the</w:t>
      </w:r>
      <w:r>
        <w:rPr>
          <w:spacing w:val="-4"/>
        </w:rPr>
        <w:t> </w:t>
      </w:r>
      <w:r>
        <w:rPr/>
        <w:t>Olin</w:t>
      </w:r>
      <w:r>
        <w:rPr>
          <w:spacing w:val="-1"/>
        </w:rPr>
        <w:t> </w:t>
      </w:r>
      <w:r>
        <w:rPr/>
        <w:t>Engineering</w:t>
      </w:r>
      <w:r>
        <w:rPr>
          <w:spacing w:val="-2"/>
        </w:rPr>
        <w:t> </w:t>
      </w:r>
      <w:r>
        <w:rPr/>
        <w:t>Building,</w:t>
      </w:r>
      <w:r>
        <w:rPr>
          <w:spacing w:val="-4"/>
        </w:rPr>
        <w:t> </w:t>
      </w:r>
      <w:r>
        <w:rPr/>
        <w:t>this</w:t>
      </w:r>
      <w:r>
        <w:rPr>
          <w:spacing w:val="-3"/>
        </w:rPr>
        <w:t> </w:t>
      </w:r>
      <w:r>
        <w:rPr/>
        <w:t>facility</w:t>
      </w:r>
      <w:r>
        <w:rPr>
          <w:spacing w:val="-6"/>
        </w:rPr>
        <w:t> </w:t>
      </w:r>
      <w:r>
        <w:rPr/>
        <w:t>serves as</w:t>
      </w:r>
      <w:r>
        <w:rPr>
          <w:spacing w:val="-3"/>
        </w:rPr>
        <w:t> </w:t>
      </w:r>
      <w:r>
        <w:rPr/>
        <w:t>teaching lab</w:t>
      </w:r>
      <w:r>
        <w:rPr>
          <w:spacing w:val="-7"/>
        </w:rPr>
        <w:t> </w:t>
      </w:r>
      <w:r>
        <w:rPr/>
        <w:t>for</w:t>
      </w:r>
      <w:r>
        <w:rPr>
          <w:spacing w:val="-5"/>
        </w:rPr>
        <w:t> </w:t>
      </w:r>
      <w:r>
        <w:rPr/>
        <w:t>engineering</w:t>
      </w:r>
      <w:r>
        <w:rPr>
          <w:spacing w:val="-4"/>
        </w:rPr>
        <w:t> </w:t>
      </w:r>
      <w:r>
        <w:rPr/>
        <w:t>and</w:t>
      </w:r>
      <w:r>
        <w:rPr>
          <w:spacing w:val="-7"/>
        </w:rPr>
        <w:t> </w:t>
      </w:r>
      <w:r>
        <w:rPr/>
        <w:t>architecture</w:t>
      </w:r>
      <w:r>
        <w:rPr>
          <w:spacing w:val="-6"/>
        </w:rPr>
        <w:t> </w:t>
      </w:r>
      <w:r>
        <w:rPr/>
        <w:t>classes.</w:t>
      </w:r>
      <w:r>
        <w:rPr>
          <w:spacing w:val="44"/>
        </w:rPr>
        <w:t> </w:t>
      </w:r>
      <w:r>
        <w:rPr/>
        <w:t>The</w:t>
      </w:r>
      <w:r>
        <w:rPr>
          <w:spacing w:val="-6"/>
        </w:rPr>
        <w:t> </w:t>
      </w:r>
      <w:r>
        <w:rPr/>
        <w:t>Olin</w:t>
      </w:r>
      <w:r>
        <w:rPr>
          <w:spacing w:val="-5"/>
        </w:rPr>
        <w:t> </w:t>
      </w:r>
      <w:r>
        <w:rPr/>
        <w:t>Lab</w:t>
      </w:r>
      <w:r>
        <w:rPr>
          <w:spacing w:val="-4"/>
        </w:rPr>
        <w:t> </w:t>
      </w:r>
      <w:r>
        <w:rPr/>
        <w:t>has</w:t>
      </w:r>
      <w:r>
        <w:rPr>
          <w:spacing w:val="-5"/>
        </w:rPr>
        <w:t> </w:t>
      </w:r>
      <w:r>
        <w:rPr/>
        <w:t>the</w:t>
      </w:r>
      <w:r>
        <w:rPr>
          <w:spacing w:val="-7"/>
        </w:rPr>
        <w:t> </w:t>
      </w:r>
      <w:r>
        <w:rPr/>
        <w:t>following</w:t>
      </w:r>
      <w:r>
        <w:rPr>
          <w:spacing w:val="-4"/>
        </w:rPr>
        <w:t> </w:t>
      </w:r>
      <w:r>
        <w:rPr>
          <w:spacing w:val="-2"/>
        </w:rPr>
        <w:t>equipment:</w:t>
      </w:r>
    </w:p>
    <w:p>
      <w:pPr>
        <w:pStyle w:val="BodyText"/>
        <w:spacing w:before="121"/>
        <w:ind w:left="1939"/>
      </w:pPr>
      <w:r>
        <w:rPr/>
        <w:t>25</w:t>
      </w:r>
      <w:r>
        <w:rPr>
          <w:spacing w:val="-11"/>
        </w:rPr>
        <w:t> </w:t>
      </w:r>
      <w:r>
        <w:rPr/>
        <w:t>Windows</w:t>
      </w:r>
      <w:r>
        <w:rPr>
          <w:spacing w:val="-5"/>
        </w:rPr>
        <w:t> </w:t>
      </w:r>
      <w:r>
        <w:rPr/>
        <w:t>workstations</w:t>
      </w:r>
      <w:r>
        <w:rPr>
          <w:spacing w:val="-7"/>
        </w:rPr>
        <w:t> </w:t>
      </w:r>
      <w:r>
        <w:rPr/>
        <w:t>with</w:t>
      </w:r>
      <w:r>
        <w:rPr>
          <w:spacing w:val="-6"/>
        </w:rPr>
        <w:t> </w:t>
      </w:r>
      <w:r>
        <w:rPr/>
        <w:t>MS</w:t>
      </w:r>
      <w:r>
        <w:rPr>
          <w:spacing w:val="-6"/>
        </w:rPr>
        <w:t> </w:t>
      </w:r>
      <w:r>
        <w:rPr/>
        <w:t>Office,</w:t>
      </w:r>
      <w:r>
        <w:rPr>
          <w:spacing w:val="-9"/>
        </w:rPr>
        <w:t> </w:t>
      </w:r>
      <w:r>
        <w:rPr/>
        <w:t>AutoCAD,</w:t>
      </w:r>
      <w:r>
        <w:rPr>
          <w:spacing w:val="-6"/>
        </w:rPr>
        <w:t> </w:t>
      </w:r>
      <w:r>
        <w:rPr>
          <w:spacing w:val="-2"/>
        </w:rPr>
        <w:t>Revit.</w:t>
      </w:r>
    </w:p>
    <w:p>
      <w:pPr>
        <w:pStyle w:val="BodyText"/>
        <w:tabs>
          <w:tab w:pos="6979" w:val="left" w:leader="none"/>
        </w:tabs>
        <w:spacing w:before="120"/>
        <w:ind w:left="1219"/>
      </w:pPr>
      <w:r>
        <w:rPr>
          <w:spacing w:val="-2"/>
        </w:rPr>
        <w:t>Library</w:t>
      </w:r>
      <w:r>
        <w:rPr/>
        <w:tab/>
        <w:t>1,200</w:t>
      </w:r>
      <w:r>
        <w:rPr>
          <w:spacing w:val="-6"/>
        </w:rPr>
        <w:t> </w:t>
      </w:r>
      <w:r>
        <w:rPr/>
        <w:t>sq.</w:t>
      </w:r>
      <w:r>
        <w:rPr>
          <w:spacing w:val="-5"/>
        </w:rPr>
        <w:t> ft.</w:t>
      </w:r>
    </w:p>
    <w:p>
      <w:pPr>
        <w:pStyle w:val="BodyText"/>
        <w:spacing w:before="8"/>
      </w:pPr>
    </w:p>
    <w:p>
      <w:pPr>
        <w:pStyle w:val="BodyText"/>
        <w:ind w:left="1723" w:right="705"/>
      </w:pPr>
      <w:r>
        <w:rPr/>
        <w:t>Within</w:t>
      </w:r>
      <w:r>
        <w:rPr>
          <w:spacing w:val="-4"/>
        </w:rPr>
        <w:t> </w:t>
      </w:r>
      <w:r>
        <w:rPr/>
        <w:t>the</w:t>
      </w:r>
      <w:r>
        <w:rPr>
          <w:spacing w:val="-4"/>
        </w:rPr>
        <w:t> </w:t>
      </w:r>
      <w:r>
        <w:rPr/>
        <w:t>department</w:t>
      </w:r>
      <w:r>
        <w:rPr>
          <w:spacing w:val="-4"/>
        </w:rPr>
        <w:t> </w:t>
      </w:r>
      <w:r>
        <w:rPr/>
        <w:t>building</w:t>
      </w:r>
      <w:r>
        <w:rPr>
          <w:spacing w:val="-2"/>
        </w:rPr>
        <w:t> </w:t>
      </w:r>
      <w:r>
        <w:rPr/>
        <w:t>is</w:t>
      </w:r>
      <w:r>
        <w:rPr>
          <w:spacing w:val="-3"/>
        </w:rPr>
        <w:t> </w:t>
      </w:r>
      <w:r>
        <w:rPr/>
        <w:t>the</w:t>
      </w:r>
      <w:r>
        <w:rPr>
          <w:spacing w:val="-9"/>
        </w:rPr>
        <w:t> </w:t>
      </w:r>
      <w:r>
        <w:rPr/>
        <w:t>William Moses</w:t>
      </w:r>
      <w:r>
        <w:rPr>
          <w:spacing w:val="-3"/>
        </w:rPr>
        <w:t> </w:t>
      </w:r>
      <w:r>
        <w:rPr/>
        <w:t>Library.</w:t>
      </w:r>
      <w:r>
        <w:rPr>
          <w:spacing w:val="-4"/>
        </w:rPr>
        <w:t> </w:t>
      </w:r>
      <w:r>
        <w:rPr/>
        <w:t>This</w:t>
      </w:r>
      <w:r>
        <w:rPr>
          <w:spacing w:val="-3"/>
        </w:rPr>
        <w:t> </w:t>
      </w:r>
      <w:r>
        <w:rPr/>
        <w:t>space</w:t>
      </w:r>
      <w:r>
        <w:rPr>
          <w:spacing w:val="-2"/>
        </w:rPr>
        <w:t> </w:t>
      </w:r>
      <w:r>
        <w:rPr/>
        <w:t>is</w:t>
      </w:r>
      <w:r>
        <w:rPr>
          <w:spacing w:val="-3"/>
        </w:rPr>
        <w:t> </w:t>
      </w:r>
      <w:r>
        <w:rPr/>
        <w:t>described</w:t>
      </w:r>
      <w:r>
        <w:rPr>
          <w:spacing w:val="-4"/>
        </w:rPr>
        <w:t> </w:t>
      </w:r>
      <w:r>
        <w:rPr/>
        <w:t>in greater detail in section 1.2.5, Information Resources.</w:t>
      </w:r>
    </w:p>
    <w:p>
      <w:pPr>
        <w:pStyle w:val="BodyText"/>
        <w:spacing w:before="11"/>
      </w:pPr>
    </w:p>
    <w:p>
      <w:pPr>
        <w:pStyle w:val="BodyText"/>
        <w:ind w:left="499"/>
      </w:pPr>
      <w:r>
        <w:rPr/>
        <w:t>Proposed</w:t>
      </w:r>
      <w:r>
        <w:rPr>
          <w:spacing w:val="-8"/>
        </w:rPr>
        <w:t> </w:t>
      </w:r>
      <w:r>
        <w:rPr/>
        <w:t>or</w:t>
      </w:r>
      <w:r>
        <w:rPr>
          <w:spacing w:val="-5"/>
        </w:rPr>
        <w:t> </w:t>
      </w:r>
      <w:r>
        <w:rPr/>
        <w:t>on-going</w:t>
      </w:r>
      <w:r>
        <w:rPr>
          <w:spacing w:val="-8"/>
        </w:rPr>
        <w:t> </w:t>
      </w:r>
      <w:r>
        <w:rPr>
          <w:spacing w:val="-2"/>
        </w:rPr>
        <w:t>Construction</w:t>
      </w:r>
    </w:p>
    <w:p>
      <w:pPr>
        <w:pStyle w:val="BodyText"/>
        <w:spacing w:before="10"/>
      </w:pPr>
    </w:p>
    <w:p>
      <w:pPr>
        <w:pStyle w:val="BodyText"/>
        <w:ind w:left="1723" w:right="580"/>
      </w:pPr>
      <w:r>
        <w:rPr/>
        <w:t>The School of Engineering recently proposed the construction of a new Architecture Building in its strategic fundraising plan, and measures are now being undertaken to assemble</w:t>
      </w:r>
      <w:r>
        <w:rPr>
          <w:spacing w:val="-4"/>
        </w:rPr>
        <w:t> </w:t>
      </w:r>
      <w:r>
        <w:rPr/>
        <w:t>a</w:t>
      </w:r>
      <w:r>
        <w:rPr>
          <w:spacing w:val="-4"/>
        </w:rPr>
        <w:t> </w:t>
      </w:r>
      <w:r>
        <w:rPr/>
        <w:t>task</w:t>
      </w:r>
      <w:r>
        <w:rPr>
          <w:spacing w:val="-3"/>
        </w:rPr>
        <w:t> </w:t>
      </w:r>
      <w:r>
        <w:rPr/>
        <w:t>force</w:t>
      </w:r>
      <w:r>
        <w:rPr>
          <w:spacing w:val="-4"/>
        </w:rPr>
        <w:t> </w:t>
      </w:r>
      <w:r>
        <w:rPr/>
        <w:t>to</w:t>
      </w:r>
      <w:r>
        <w:rPr>
          <w:spacing w:val="-4"/>
        </w:rPr>
        <w:t> </w:t>
      </w:r>
      <w:r>
        <w:rPr/>
        <w:t>begin</w:t>
      </w:r>
      <w:r>
        <w:rPr>
          <w:spacing w:val="-2"/>
        </w:rPr>
        <w:t> </w:t>
      </w:r>
      <w:r>
        <w:rPr/>
        <w:t>planning</w:t>
      </w:r>
      <w:r>
        <w:rPr>
          <w:spacing w:val="-2"/>
        </w:rPr>
        <w:t> </w:t>
      </w:r>
      <w:r>
        <w:rPr/>
        <w:t>and</w:t>
      </w:r>
      <w:r>
        <w:rPr>
          <w:spacing w:val="-4"/>
        </w:rPr>
        <w:t> </w:t>
      </w:r>
      <w:r>
        <w:rPr/>
        <w:t>fundraising</w:t>
      </w:r>
      <w:r>
        <w:rPr>
          <w:spacing w:val="-4"/>
        </w:rPr>
        <w:t> </w:t>
      </w:r>
      <w:r>
        <w:rPr/>
        <w:t>in</w:t>
      </w:r>
      <w:r>
        <w:rPr>
          <w:spacing w:val="-2"/>
        </w:rPr>
        <w:t> </w:t>
      </w:r>
      <w:r>
        <w:rPr/>
        <w:t>earnest.</w:t>
      </w:r>
      <w:r>
        <w:rPr>
          <w:spacing w:val="-4"/>
        </w:rPr>
        <w:t> </w:t>
      </w:r>
      <w:r>
        <w:rPr/>
        <w:t>There</w:t>
      </w:r>
      <w:r>
        <w:rPr>
          <w:spacing w:val="-4"/>
        </w:rPr>
        <w:t> </w:t>
      </w:r>
      <w:r>
        <w:rPr/>
        <w:t>are</w:t>
      </w:r>
      <w:r>
        <w:rPr>
          <w:spacing w:val="-4"/>
        </w:rPr>
        <w:t> </w:t>
      </w:r>
      <w:r>
        <w:rPr/>
        <w:t>currently</w:t>
      </w:r>
      <w:r>
        <w:rPr>
          <w:spacing w:val="-5"/>
        </w:rPr>
        <w:t> </w:t>
      </w:r>
      <w:r>
        <w:rPr/>
        <w:t>no proposals for additional construction to the existing Bemis Laboratories building.</w:t>
      </w:r>
    </w:p>
    <w:p>
      <w:pPr>
        <w:pStyle w:val="BodyText"/>
        <w:spacing w:before="9"/>
      </w:pPr>
    </w:p>
    <w:p>
      <w:pPr>
        <w:pStyle w:val="BodyText"/>
        <w:spacing w:before="1"/>
        <w:ind w:left="1723" w:right="511"/>
      </w:pPr>
      <w:r>
        <w:rPr/>
        <w:t>The building was remodeled in the early 1990s to include new heating and air conditioning systems,</w:t>
      </w:r>
      <w:r>
        <w:rPr>
          <w:spacing w:val="-3"/>
        </w:rPr>
        <w:t> </w:t>
      </w:r>
      <w:r>
        <w:rPr/>
        <w:t>an</w:t>
      </w:r>
      <w:r>
        <w:rPr>
          <w:spacing w:val="-3"/>
        </w:rPr>
        <w:t> </w:t>
      </w:r>
      <w:r>
        <w:rPr/>
        <w:t>elevator,</w:t>
      </w:r>
      <w:r>
        <w:rPr>
          <w:spacing w:val="-3"/>
        </w:rPr>
        <w:t> </w:t>
      </w:r>
      <w:r>
        <w:rPr/>
        <w:t>an</w:t>
      </w:r>
      <w:r>
        <w:rPr>
          <w:spacing w:val="-1"/>
        </w:rPr>
        <w:t> </w:t>
      </w:r>
      <w:r>
        <w:rPr/>
        <w:t>additional</w:t>
      </w:r>
      <w:r>
        <w:rPr>
          <w:spacing w:val="-2"/>
        </w:rPr>
        <w:t> </w:t>
      </w:r>
      <w:r>
        <w:rPr/>
        <w:t>exit</w:t>
      </w:r>
      <w:r>
        <w:rPr>
          <w:spacing w:val="-3"/>
        </w:rPr>
        <w:t> </w:t>
      </w:r>
      <w:r>
        <w:rPr/>
        <w:t>stair,</w:t>
      </w:r>
      <w:r>
        <w:rPr>
          <w:spacing w:val="-3"/>
        </w:rPr>
        <w:t> </w:t>
      </w:r>
      <w:r>
        <w:rPr/>
        <w:t>and</w:t>
      </w:r>
      <w:r>
        <w:rPr>
          <w:spacing w:val="-3"/>
        </w:rPr>
        <w:t> </w:t>
      </w:r>
      <w:r>
        <w:rPr/>
        <w:t>some</w:t>
      </w:r>
      <w:r>
        <w:rPr>
          <w:spacing w:val="-3"/>
        </w:rPr>
        <w:t> </w:t>
      </w:r>
      <w:r>
        <w:rPr/>
        <w:t>remodeling/rearrangement</w:t>
      </w:r>
      <w:r>
        <w:rPr>
          <w:spacing w:val="-3"/>
        </w:rPr>
        <w:t> </w:t>
      </w:r>
      <w:r>
        <w:rPr/>
        <w:t>of</w:t>
      </w:r>
      <w:r>
        <w:rPr>
          <w:spacing w:val="-1"/>
        </w:rPr>
        <w:t> </w:t>
      </w:r>
      <w:r>
        <w:rPr/>
        <w:t>studio space</w:t>
      </w:r>
      <w:r>
        <w:rPr>
          <w:spacing w:val="-3"/>
        </w:rPr>
        <w:t> </w:t>
      </w:r>
      <w:r>
        <w:rPr/>
        <w:t>and</w:t>
      </w:r>
      <w:r>
        <w:rPr>
          <w:spacing w:val="-3"/>
        </w:rPr>
        <w:t> </w:t>
      </w:r>
      <w:r>
        <w:rPr/>
        <w:t>the</w:t>
      </w:r>
      <w:r>
        <w:rPr>
          <w:spacing w:val="-3"/>
        </w:rPr>
        <w:t> </w:t>
      </w:r>
      <w:r>
        <w:rPr/>
        <w:t>library.</w:t>
      </w:r>
      <w:r>
        <w:rPr>
          <w:spacing w:val="-3"/>
        </w:rPr>
        <w:t> </w:t>
      </w:r>
      <w:r>
        <w:rPr/>
        <w:t>In</w:t>
      </w:r>
      <w:r>
        <w:rPr>
          <w:spacing w:val="-1"/>
        </w:rPr>
        <w:t> </w:t>
      </w:r>
      <w:r>
        <w:rPr/>
        <w:t>1993</w:t>
      </w:r>
      <w:r>
        <w:rPr>
          <w:spacing w:val="-3"/>
        </w:rPr>
        <w:t> </w:t>
      </w:r>
      <w:r>
        <w:rPr/>
        <w:t>the</w:t>
      </w:r>
      <w:r>
        <w:rPr>
          <w:spacing w:val="-3"/>
        </w:rPr>
        <w:t> </w:t>
      </w:r>
      <w:r>
        <w:rPr/>
        <w:t>old</w:t>
      </w:r>
      <w:r>
        <w:rPr>
          <w:spacing w:val="-3"/>
        </w:rPr>
        <w:t> </w:t>
      </w:r>
      <w:r>
        <w:rPr/>
        <w:t>model</w:t>
      </w:r>
      <w:r>
        <w:rPr>
          <w:spacing w:val="-4"/>
        </w:rPr>
        <w:t> </w:t>
      </w:r>
      <w:r>
        <w:rPr/>
        <w:t>shop</w:t>
      </w:r>
      <w:r>
        <w:rPr>
          <w:spacing w:val="-1"/>
        </w:rPr>
        <w:t> </w:t>
      </w:r>
      <w:r>
        <w:rPr/>
        <w:t>was converted</w:t>
      </w:r>
      <w:r>
        <w:rPr>
          <w:spacing w:val="-3"/>
        </w:rPr>
        <w:t> </w:t>
      </w:r>
      <w:r>
        <w:rPr/>
        <w:t>to</w:t>
      </w:r>
      <w:r>
        <w:rPr>
          <w:spacing w:val="-3"/>
        </w:rPr>
        <w:t> </w:t>
      </w:r>
      <w:r>
        <w:rPr/>
        <w:t>a</w:t>
      </w:r>
      <w:r>
        <w:rPr>
          <w:spacing w:val="-3"/>
        </w:rPr>
        <w:t> </w:t>
      </w:r>
      <w:r>
        <w:rPr/>
        <w:t>computer</w:t>
      </w:r>
      <w:r>
        <w:rPr>
          <w:spacing w:val="-2"/>
        </w:rPr>
        <w:t> </w:t>
      </w:r>
      <w:r>
        <w:rPr/>
        <w:t>lab,</w:t>
      </w:r>
      <w:r>
        <w:rPr>
          <w:spacing w:val="-3"/>
        </w:rPr>
        <w:t> </w:t>
      </w:r>
      <w:r>
        <w:rPr/>
        <w:t>and</w:t>
      </w:r>
      <w:r>
        <w:rPr>
          <w:spacing w:val="-3"/>
        </w:rPr>
        <w:t> </w:t>
      </w:r>
      <w:r>
        <w:rPr/>
        <w:t>the shop moved to the adjacent Armstrong/Slater Building.</w:t>
      </w:r>
      <w:r>
        <w:rPr>
          <w:spacing w:val="40"/>
        </w:rPr>
        <w:t> </w:t>
      </w:r>
      <w:r>
        <w:rPr/>
        <w:t>The current wood shop has seen equipment and tool upgrades which were donated as a result of our participation in the Solar Decathlon.</w:t>
      </w:r>
    </w:p>
    <w:p>
      <w:pPr>
        <w:pStyle w:val="BodyText"/>
        <w:spacing w:before="8"/>
      </w:pPr>
    </w:p>
    <w:p>
      <w:pPr>
        <w:spacing w:before="0"/>
        <w:ind w:left="499" w:right="0" w:firstLine="0"/>
        <w:jc w:val="left"/>
        <w:rPr>
          <w:b/>
          <w:sz w:val="20"/>
        </w:rPr>
      </w:pPr>
      <w:r>
        <w:rPr>
          <w:b/>
          <w:spacing w:val="-2"/>
          <w:sz w:val="20"/>
        </w:rPr>
        <w:t>Significant</w:t>
      </w:r>
      <w:r>
        <w:rPr>
          <w:b/>
          <w:spacing w:val="5"/>
          <w:sz w:val="20"/>
        </w:rPr>
        <w:t> </w:t>
      </w:r>
      <w:r>
        <w:rPr>
          <w:b/>
          <w:spacing w:val="-2"/>
          <w:sz w:val="20"/>
        </w:rPr>
        <w:t>Issues</w:t>
      </w:r>
    </w:p>
    <w:p>
      <w:pPr>
        <w:pStyle w:val="BodyText"/>
        <w:spacing w:before="1"/>
        <w:rPr>
          <w:b/>
          <w:sz w:val="21"/>
        </w:rPr>
      </w:pPr>
    </w:p>
    <w:p>
      <w:pPr>
        <w:pStyle w:val="BodyText"/>
        <w:ind w:left="1723"/>
      </w:pPr>
      <w:r>
        <w:rPr/>
        <w:t>The</w:t>
      </w:r>
      <w:r>
        <w:rPr>
          <w:spacing w:val="-4"/>
        </w:rPr>
        <w:t> </w:t>
      </w:r>
      <w:r>
        <w:rPr/>
        <w:t>Bemis</w:t>
      </w:r>
      <w:r>
        <w:rPr>
          <w:spacing w:val="-3"/>
        </w:rPr>
        <w:t> </w:t>
      </w:r>
      <w:r>
        <w:rPr/>
        <w:t>Laboratory</w:t>
      </w:r>
      <w:r>
        <w:rPr>
          <w:spacing w:val="-7"/>
        </w:rPr>
        <w:t> </w:t>
      </w:r>
      <w:r>
        <w:rPr/>
        <w:t>building</w:t>
      </w:r>
      <w:r>
        <w:rPr>
          <w:spacing w:val="-2"/>
        </w:rPr>
        <w:t> </w:t>
      </w:r>
      <w:r>
        <w:rPr/>
        <w:t>that</w:t>
      </w:r>
      <w:r>
        <w:rPr>
          <w:spacing w:val="-2"/>
        </w:rPr>
        <w:t> </w:t>
      </w:r>
      <w:r>
        <w:rPr/>
        <w:t>houses</w:t>
      </w:r>
      <w:r>
        <w:rPr>
          <w:spacing w:val="-3"/>
        </w:rPr>
        <w:t> </w:t>
      </w:r>
      <w:r>
        <w:rPr/>
        <w:t>Architecture</w:t>
      </w:r>
      <w:r>
        <w:rPr>
          <w:spacing w:val="-2"/>
        </w:rPr>
        <w:t> </w:t>
      </w:r>
      <w:r>
        <w:rPr/>
        <w:t>was</w:t>
      </w:r>
      <w:r>
        <w:rPr>
          <w:spacing w:val="-3"/>
        </w:rPr>
        <w:t> </w:t>
      </w:r>
      <w:r>
        <w:rPr/>
        <w:t>built</w:t>
      </w:r>
      <w:r>
        <w:rPr>
          <w:spacing w:val="-4"/>
        </w:rPr>
        <w:t> </w:t>
      </w:r>
      <w:r>
        <w:rPr/>
        <w:t>in</w:t>
      </w:r>
      <w:r>
        <w:rPr>
          <w:spacing w:val="-4"/>
        </w:rPr>
        <w:t> </w:t>
      </w:r>
      <w:r>
        <w:rPr/>
        <w:t>the</w:t>
      </w:r>
      <w:r>
        <w:rPr>
          <w:spacing w:val="-4"/>
        </w:rPr>
        <w:t> </w:t>
      </w:r>
      <w:r>
        <w:rPr/>
        <w:t>1930’s</w:t>
      </w:r>
      <w:r>
        <w:rPr>
          <w:spacing w:val="-3"/>
        </w:rPr>
        <w:t> </w:t>
      </w:r>
      <w:r>
        <w:rPr/>
        <w:t>and</w:t>
      </w:r>
      <w:r>
        <w:rPr>
          <w:spacing w:val="-4"/>
        </w:rPr>
        <w:t> </w:t>
      </w:r>
      <w:r>
        <w:rPr/>
        <w:t>requires regular monitoring and repair.</w:t>
      </w:r>
      <w:r>
        <w:rPr>
          <w:spacing w:val="40"/>
        </w:rPr>
        <w:t> </w:t>
      </w:r>
      <w:r>
        <w:rPr/>
        <w:t>The University has addressed past chronic roof leaks with a</w:t>
      </w:r>
    </w:p>
    <w:p>
      <w:pPr>
        <w:spacing w:after="0"/>
        <w:sectPr>
          <w:headerReference w:type="default" r:id="rId50"/>
          <w:footerReference w:type="default" r:id="rId51"/>
          <w:pgSz w:w="12240" w:h="15840"/>
          <w:pgMar w:header="0" w:footer="974" w:top="1420" w:bottom="1160" w:left="940" w:right="960"/>
        </w:sectPr>
      </w:pPr>
    </w:p>
    <w:p>
      <w:pPr>
        <w:pStyle w:val="BodyText"/>
        <w:spacing w:before="77"/>
        <w:ind w:left="1723" w:right="705"/>
      </w:pPr>
      <w:r>
        <w:rPr/>
        <w:t>complete</w:t>
      </w:r>
      <w:r>
        <w:rPr>
          <w:spacing w:val="-4"/>
        </w:rPr>
        <w:t> </w:t>
      </w:r>
      <w:r>
        <w:rPr/>
        <w:t>replacement</w:t>
      </w:r>
      <w:r>
        <w:rPr>
          <w:spacing w:val="-4"/>
        </w:rPr>
        <w:t> </w:t>
      </w:r>
      <w:r>
        <w:rPr/>
        <w:t>of</w:t>
      </w:r>
      <w:r>
        <w:rPr>
          <w:spacing w:val="-2"/>
        </w:rPr>
        <w:t> </w:t>
      </w:r>
      <w:r>
        <w:rPr/>
        <w:t>the</w:t>
      </w:r>
      <w:r>
        <w:rPr>
          <w:spacing w:val="-4"/>
        </w:rPr>
        <w:t> </w:t>
      </w:r>
      <w:r>
        <w:rPr/>
        <w:t>roof</w:t>
      </w:r>
      <w:r>
        <w:rPr>
          <w:spacing w:val="-2"/>
        </w:rPr>
        <w:t> </w:t>
      </w:r>
      <w:r>
        <w:rPr/>
        <w:t>in</w:t>
      </w:r>
      <w:r>
        <w:rPr>
          <w:spacing w:val="-4"/>
        </w:rPr>
        <w:t> </w:t>
      </w:r>
      <w:r>
        <w:rPr/>
        <w:t>the</w:t>
      </w:r>
      <w:r>
        <w:rPr>
          <w:spacing w:val="-4"/>
        </w:rPr>
        <w:t> </w:t>
      </w:r>
      <w:r>
        <w:rPr/>
        <w:t>summer</w:t>
      </w:r>
      <w:r>
        <w:rPr>
          <w:spacing w:val="-3"/>
        </w:rPr>
        <w:t> </w:t>
      </w:r>
      <w:r>
        <w:rPr/>
        <w:t>of</w:t>
      </w:r>
      <w:r>
        <w:rPr>
          <w:spacing w:val="-2"/>
        </w:rPr>
        <w:t> </w:t>
      </w:r>
      <w:r>
        <w:rPr/>
        <w:t>2012,</w:t>
      </w:r>
      <w:r>
        <w:rPr>
          <w:spacing w:val="-4"/>
        </w:rPr>
        <w:t> </w:t>
      </w:r>
      <w:r>
        <w:rPr/>
        <w:t>and</w:t>
      </w:r>
      <w:r>
        <w:rPr>
          <w:spacing w:val="-4"/>
        </w:rPr>
        <w:t> </w:t>
      </w:r>
      <w:r>
        <w:rPr/>
        <w:t>continues</w:t>
      </w:r>
      <w:r>
        <w:rPr>
          <w:spacing w:val="-1"/>
        </w:rPr>
        <w:t> </w:t>
      </w:r>
      <w:r>
        <w:rPr/>
        <w:t>to</w:t>
      </w:r>
      <w:r>
        <w:rPr>
          <w:spacing w:val="-2"/>
        </w:rPr>
        <w:t> </w:t>
      </w:r>
      <w:r>
        <w:rPr/>
        <w:t>be</w:t>
      </w:r>
      <w:r>
        <w:rPr>
          <w:spacing w:val="-4"/>
        </w:rPr>
        <w:t> </w:t>
      </w:r>
      <w:r>
        <w:rPr/>
        <w:t>responsive about addressing infrastructure issues.</w:t>
      </w:r>
    </w:p>
    <w:p>
      <w:pPr>
        <w:pStyle w:val="BodyText"/>
        <w:spacing w:before="11"/>
      </w:pPr>
    </w:p>
    <w:p>
      <w:pPr>
        <w:pStyle w:val="BodyText"/>
        <w:ind w:left="1723" w:right="705"/>
      </w:pPr>
      <w:r>
        <w:rPr/>
        <w:t>There are only three (non-studio) classrooms in the Bemis building, and the larger classroom</w:t>
      </w:r>
      <w:r>
        <w:rPr>
          <w:spacing w:val="-1"/>
        </w:rPr>
        <w:t> </w:t>
      </w:r>
      <w:r>
        <w:rPr/>
        <w:t>doubles</w:t>
      </w:r>
      <w:r>
        <w:rPr>
          <w:spacing w:val="-5"/>
        </w:rPr>
        <w:t> </w:t>
      </w:r>
      <w:r>
        <w:rPr/>
        <w:t>as</w:t>
      </w:r>
      <w:r>
        <w:rPr>
          <w:spacing w:val="-2"/>
        </w:rPr>
        <w:t> </w:t>
      </w:r>
      <w:r>
        <w:rPr/>
        <w:t>an</w:t>
      </w:r>
      <w:r>
        <w:rPr>
          <w:spacing w:val="-6"/>
        </w:rPr>
        <w:t> </w:t>
      </w:r>
      <w:r>
        <w:rPr/>
        <w:t>auditorium.</w:t>
      </w:r>
      <w:r>
        <w:rPr>
          <w:spacing w:val="-6"/>
        </w:rPr>
        <w:t> </w:t>
      </w:r>
      <w:r>
        <w:rPr/>
        <w:t>However,</w:t>
      </w:r>
      <w:r>
        <w:rPr>
          <w:spacing w:val="-6"/>
        </w:rPr>
        <w:t> </w:t>
      </w:r>
      <w:r>
        <w:rPr/>
        <w:t>the</w:t>
      </w:r>
      <w:r>
        <w:rPr>
          <w:spacing w:val="-6"/>
        </w:rPr>
        <w:t> </w:t>
      </w:r>
      <w:r>
        <w:rPr/>
        <w:t>Department</w:t>
      </w:r>
      <w:r>
        <w:rPr>
          <w:spacing w:val="-6"/>
        </w:rPr>
        <w:t> </w:t>
      </w:r>
      <w:r>
        <w:rPr/>
        <w:t>has</w:t>
      </w:r>
      <w:r>
        <w:rPr>
          <w:spacing w:val="-5"/>
        </w:rPr>
        <w:t> </w:t>
      </w:r>
      <w:r>
        <w:rPr/>
        <w:t>identified</w:t>
      </w:r>
      <w:r>
        <w:rPr>
          <w:spacing w:val="-3"/>
        </w:rPr>
        <w:t> </w:t>
      </w:r>
      <w:r>
        <w:rPr/>
        <w:t>adequate resources available elsewhere on campus. For example, the Department has utilized classrooms in the Olin Engineering Building, and held lectures and assemblies in the auditorium of Phenix Hall and in the Dett Auditorium in Armstrong Hall.</w:t>
      </w:r>
    </w:p>
    <w:p>
      <w:pPr>
        <w:pStyle w:val="BodyText"/>
        <w:spacing w:before="9"/>
      </w:pPr>
    </w:p>
    <w:p>
      <w:pPr>
        <w:pStyle w:val="BodyText"/>
        <w:spacing w:before="1"/>
        <w:ind w:left="1723" w:right="705" w:hanging="1"/>
      </w:pPr>
      <w:r>
        <w:rPr/>
        <w:t>The</w:t>
      </w:r>
      <w:r>
        <w:rPr>
          <w:spacing w:val="-4"/>
        </w:rPr>
        <w:t> </w:t>
      </w:r>
      <w:r>
        <w:rPr/>
        <w:t>Department</w:t>
      </w:r>
      <w:r>
        <w:rPr>
          <w:spacing w:val="-4"/>
        </w:rPr>
        <w:t> </w:t>
      </w:r>
      <w:r>
        <w:rPr/>
        <w:t>is working</w:t>
      </w:r>
      <w:r>
        <w:rPr>
          <w:spacing w:val="-2"/>
        </w:rPr>
        <w:t> </w:t>
      </w:r>
      <w:r>
        <w:rPr/>
        <w:t>on</w:t>
      </w:r>
      <w:r>
        <w:rPr>
          <w:spacing w:val="-4"/>
        </w:rPr>
        <w:t> </w:t>
      </w:r>
      <w:r>
        <w:rPr/>
        <w:t>a</w:t>
      </w:r>
      <w:r>
        <w:rPr>
          <w:spacing w:val="-2"/>
        </w:rPr>
        <w:t> </w:t>
      </w:r>
      <w:r>
        <w:rPr/>
        <w:t>plan</w:t>
      </w:r>
      <w:r>
        <w:rPr>
          <w:spacing w:val="-4"/>
        </w:rPr>
        <w:t> </w:t>
      </w:r>
      <w:r>
        <w:rPr/>
        <w:t>to</w:t>
      </w:r>
      <w:r>
        <w:rPr>
          <w:spacing w:val="-4"/>
        </w:rPr>
        <w:t> </w:t>
      </w:r>
      <w:r>
        <w:rPr/>
        <w:t>consolidate</w:t>
      </w:r>
      <w:r>
        <w:rPr>
          <w:spacing w:val="-1"/>
        </w:rPr>
        <w:t> </w:t>
      </w:r>
      <w:r>
        <w:rPr/>
        <w:t>the</w:t>
      </w:r>
      <w:r>
        <w:rPr>
          <w:spacing w:val="-2"/>
        </w:rPr>
        <w:t> </w:t>
      </w:r>
      <w:r>
        <w:rPr/>
        <w:t>existing</w:t>
      </w:r>
      <w:r>
        <w:rPr>
          <w:spacing w:val="-4"/>
        </w:rPr>
        <w:t> </w:t>
      </w:r>
      <w:r>
        <w:rPr/>
        <w:t>model</w:t>
      </w:r>
      <w:r>
        <w:rPr>
          <w:spacing w:val="-5"/>
        </w:rPr>
        <w:t> </w:t>
      </w:r>
      <w:r>
        <w:rPr/>
        <w:t>shop</w:t>
      </w:r>
      <w:r>
        <w:rPr>
          <w:spacing w:val="-4"/>
        </w:rPr>
        <w:t> </w:t>
      </w:r>
      <w:r>
        <w:rPr/>
        <w:t>and</w:t>
      </w:r>
      <w:r>
        <w:rPr>
          <w:spacing w:val="-2"/>
        </w:rPr>
        <w:t> </w:t>
      </w:r>
      <w:r>
        <w:rPr/>
        <w:t>laser cutter space to expand the quality and manner of modeling and fabrication.</w:t>
      </w:r>
    </w:p>
    <w:p>
      <w:pPr>
        <w:pStyle w:val="BodyText"/>
        <w:spacing w:before="8"/>
      </w:pPr>
    </w:p>
    <w:p>
      <w:pPr>
        <w:pStyle w:val="BodyText"/>
        <w:ind w:left="1723" w:right="705"/>
      </w:pPr>
      <w:r>
        <w:rPr/>
        <w:t>The</w:t>
      </w:r>
      <w:r>
        <w:rPr>
          <w:spacing w:val="-4"/>
        </w:rPr>
        <w:t> </w:t>
      </w:r>
      <w:r>
        <w:rPr/>
        <w:t>next</w:t>
      </w:r>
      <w:r>
        <w:rPr>
          <w:spacing w:val="-4"/>
        </w:rPr>
        <w:t> </w:t>
      </w:r>
      <w:r>
        <w:rPr/>
        <w:t>three</w:t>
      </w:r>
      <w:r>
        <w:rPr>
          <w:spacing w:val="-2"/>
        </w:rPr>
        <w:t> </w:t>
      </w:r>
      <w:r>
        <w:rPr/>
        <w:t>pages</w:t>
      </w:r>
      <w:r>
        <w:rPr>
          <w:spacing w:val="-3"/>
        </w:rPr>
        <w:t> </w:t>
      </w:r>
      <w:r>
        <w:rPr/>
        <w:t>depict</w:t>
      </w:r>
      <w:r>
        <w:rPr>
          <w:spacing w:val="-4"/>
        </w:rPr>
        <w:t> </w:t>
      </w:r>
      <w:r>
        <w:rPr/>
        <w:t>the</w:t>
      </w:r>
      <w:r>
        <w:rPr>
          <w:spacing w:val="-4"/>
        </w:rPr>
        <w:t> </w:t>
      </w:r>
      <w:r>
        <w:rPr/>
        <w:t>floor</w:t>
      </w:r>
      <w:r>
        <w:rPr>
          <w:spacing w:val="-3"/>
        </w:rPr>
        <w:t> </w:t>
      </w:r>
      <w:r>
        <w:rPr/>
        <w:t>plans</w:t>
      </w:r>
      <w:r>
        <w:rPr>
          <w:spacing w:val="-3"/>
        </w:rPr>
        <w:t> </w:t>
      </w:r>
      <w:r>
        <w:rPr/>
        <w:t>of</w:t>
      </w:r>
      <w:r>
        <w:rPr>
          <w:spacing w:val="-2"/>
        </w:rPr>
        <w:t> </w:t>
      </w:r>
      <w:r>
        <w:rPr/>
        <w:t>Bemis</w:t>
      </w:r>
      <w:r>
        <w:rPr>
          <w:spacing w:val="-3"/>
        </w:rPr>
        <w:t> </w:t>
      </w:r>
      <w:r>
        <w:rPr/>
        <w:t>Laboratory.</w:t>
      </w:r>
      <w:r>
        <w:rPr>
          <w:spacing w:val="-4"/>
        </w:rPr>
        <w:t> </w:t>
      </w:r>
      <w:r>
        <w:rPr/>
        <w:t>The</w:t>
      </w:r>
      <w:r>
        <w:rPr>
          <w:spacing w:val="-4"/>
        </w:rPr>
        <w:t> </w:t>
      </w:r>
      <w:r>
        <w:rPr/>
        <w:t>drawings</w:t>
      </w:r>
      <w:r>
        <w:rPr>
          <w:spacing w:val="-3"/>
        </w:rPr>
        <w:t> </w:t>
      </w:r>
      <w:r>
        <w:rPr/>
        <w:t>are</w:t>
      </w:r>
      <w:r>
        <w:rPr>
          <w:spacing w:val="-4"/>
        </w:rPr>
        <w:t> </w:t>
      </w:r>
      <w:r>
        <w:rPr/>
        <w:t>not</w:t>
      </w:r>
      <w:r>
        <w:rPr>
          <w:spacing w:val="-2"/>
        </w:rPr>
        <w:t> </w:t>
      </w:r>
      <w:r>
        <w:rPr/>
        <w:t>to </w:t>
      </w:r>
      <w:r>
        <w:rPr>
          <w:spacing w:val="-2"/>
        </w:rPr>
        <w:t>scale.</w:t>
      </w:r>
    </w:p>
    <w:p>
      <w:pPr>
        <w:spacing w:after="0"/>
        <w:sectPr>
          <w:headerReference w:type="default" r:id="rId52"/>
          <w:footerReference w:type="default" r:id="rId53"/>
          <w:pgSz w:w="12240" w:h="15840"/>
          <w:pgMar w:header="0" w:footer="974" w:top="1360" w:bottom="1160" w:left="940" w:right="960"/>
        </w:sectPr>
      </w:pPr>
    </w:p>
    <w:p>
      <w:pPr>
        <w:spacing w:before="45"/>
        <w:ind w:left="8992" w:right="0" w:firstLine="0"/>
        <w:jc w:val="left"/>
        <w:rPr>
          <w:sz w:val="22"/>
        </w:rPr>
      </w:pPr>
      <w:r>
        <w:rPr/>
        <w:pict>
          <v:group style="position:absolute;margin-left:112.061378pt;margin-top:8.545495pt;width:602.050pt;height:459.8pt;mso-position-horizontal-relative:page;mso-position-vertical-relative:paragraph;z-index:-27046912" id="docshapegroup76" coordorigin="2241,171" coordsize="12041,9196">
            <v:shape style="position:absolute;left:2241;top:411;width:12041;height:8956" type="#_x0000_t75" id="docshape77" stroked="false">
              <v:imagedata r:id="rId56" o:title=""/>
            </v:shape>
            <v:line style="position:absolute" from="8805,181" to="7841,759" stroked="true" strokeweight="1pt" strokecolor="#000000">
              <v:stroke dashstyle="solid"/>
            </v:line>
            <v:shape style="position:absolute;left:7755;top:697;width:134;height:114" id="docshape78" coordorigin="7755,698" coordsize="134,114" path="m7827,698l7755,811,7889,801,7827,698xe" filled="true" fillcolor="#000000" stroked="false">
              <v:path arrowok="t"/>
              <v:fill type="solid"/>
            </v:shape>
            <v:line style="position:absolute" from="8805,181" to="9036,719" stroked="true" strokeweight="1.0pt" strokecolor="#000000">
              <v:stroke dashstyle="solid"/>
            </v:line>
            <v:shape style="position:absolute;left:8972;top:676;width:111;height:134" id="docshape79" coordorigin="8973,677" coordsize="111,134" path="m9083,677l8973,724,9075,811,9083,677xe" filled="true" fillcolor="#000000" stroked="false">
              <v:path arrowok="t"/>
              <v:fill type="solid"/>
            </v:shape>
            <v:line style="position:absolute" from="8805,180" to="9240,180" stroked="true" strokeweight=".75pt" strokecolor="#000000">
              <v:stroke dashstyle="solid"/>
            </v:line>
            <w10:wrap type="none"/>
          </v:group>
        </w:pict>
      </w:r>
      <w:r>
        <w:rPr>
          <w:w w:val="90"/>
          <w:sz w:val="22"/>
        </w:rPr>
        <w:t>Mezzanine</w:t>
      </w:r>
      <w:r>
        <w:rPr>
          <w:spacing w:val="-5"/>
          <w:w w:val="90"/>
          <w:sz w:val="22"/>
        </w:rPr>
        <w:t> </w:t>
      </w:r>
      <w:r>
        <w:rPr>
          <w:spacing w:val="-2"/>
          <w:sz w:val="22"/>
        </w:rPr>
        <w:t>level</w:t>
      </w:r>
    </w:p>
    <w:p>
      <w:pPr>
        <w:pStyle w:val="BodyText"/>
      </w:pPr>
    </w:p>
    <w:p>
      <w:pPr>
        <w:pStyle w:val="BodyText"/>
      </w:pPr>
    </w:p>
    <w:p>
      <w:pPr>
        <w:pStyle w:val="BodyText"/>
        <w:rPr>
          <w:sz w:val="13"/>
        </w:rPr>
      </w:pPr>
      <w:r>
        <w:rPr/>
        <w:pict>
          <v:shape style="position:absolute;margin-left:426.75pt;margin-top:8.681027pt;width:42pt;height:21pt;mso-position-horizontal-relative:page;mso-position-vertical-relative:paragraph;z-index:-15728128;mso-wrap-distance-left:0;mso-wrap-distance-right:0" type="#_x0000_t202" id="docshape80" filled="true" fillcolor="#ffffff" stroked="false">
            <v:textbox inset="0,0,0,0">
              <w:txbxContent>
                <w:p>
                  <w:pPr>
                    <w:spacing w:before="71"/>
                    <w:ind w:left="167" w:right="0" w:firstLine="0"/>
                    <w:jc w:val="left"/>
                    <w:rPr>
                      <w:color w:val="000000"/>
                      <w:sz w:val="22"/>
                    </w:rPr>
                  </w:pPr>
                  <w:r>
                    <w:rPr>
                      <w:color w:val="000000"/>
                      <w:spacing w:val="-2"/>
                      <w:sz w:val="22"/>
                    </w:rPr>
                    <w:t>office</w:t>
                  </w:r>
                </w:p>
              </w:txbxContent>
            </v:textbox>
            <v:fill type="solid"/>
            <w10:wrap type="topAndBottom"/>
          </v:shape>
        </w:pict>
      </w: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10"/>
        </w:rPr>
      </w:pPr>
      <w:r>
        <w:rPr/>
        <w:pict>
          <v:shape style="position:absolute;margin-left:142.5pt;margin-top:7.505859pt;width:46.5pt;height:48pt;mso-position-horizontal-relative:page;mso-position-vertical-relative:paragraph;z-index:-15727616;mso-wrap-distance-left:0;mso-wrap-distance-right:0" type="#_x0000_t202" id="docshape81" filled="true" fillcolor="#ffffff" stroked="false">
            <v:textbox inset="0,0,0,0">
              <w:txbxContent>
                <w:p>
                  <w:pPr>
                    <w:spacing w:line="278" w:lineRule="auto" w:before="71"/>
                    <w:ind w:left="186" w:right="177" w:hanging="3"/>
                    <w:jc w:val="left"/>
                    <w:rPr>
                      <w:rFonts w:ascii="Arial Rounded MT Bold"/>
                      <w:color w:val="000000"/>
                      <w:sz w:val="22"/>
                    </w:rPr>
                  </w:pPr>
                  <w:r>
                    <w:rPr>
                      <w:rFonts w:ascii="Arial Rounded MT Bold"/>
                      <w:color w:val="000000"/>
                      <w:spacing w:val="-2"/>
                      <w:sz w:val="22"/>
                    </w:rPr>
                    <w:t>class </w:t>
                  </w:r>
                  <w:r>
                    <w:rPr>
                      <w:rFonts w:ascii="Arial Rounded MT Bold"/>
                      <w:color w:val="000000"/>
                      <w:spacing w:val="-4"/>
                      <w:sz w:val="22"/>
                    </w:rPr>
                    <w:t>room</w:t>
                  </w:r>
                </w:p>
              </w:txbxContent>
            </v:textbox>
            <v:fill type="solid"/>
            <w10:wrap type="topAndBottom"/>
          </v:shape>
        </w:pict>
      </w:r>
    </w:p>
    <w:p>
      <w:pPr>
        <w:spacing w:after="0"/>
        <w:rPr>
          <w:sz w:val="10"/>
        </w:rPr>
        <w:sectPr>
          <w:headerReference w:type="default" r:id="rId54"/>
          <w:footerReference w:type="default" r:id="rId55"/>
          <w:pgSz w:w="15840" w:h="12240" w:orient="landscape"/>
          <w:pgMar w:header="0" w:footer="0" w:top="1260" w:bottom="280" w:left="300" w:right="9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4"/>
        </w:rPr>
      </w:pPr>
    </w:p>
    <w:p>
      <w:pPr>
        <w:pStyle w:val="Heading3"/>
        <w:spacing w:before="99"/>
        <w:ind w:left="3172" w:right="0"/>
        <w:jc w:val="left"/>
        <w:rPr>
          <w:rFonts w:ascii="Arial Rounded MT Bold"/>
        </w:rPr>
      </w:pPr>
      <w:r>
        <w:rPr/>
        <w:pict>
          <v:group style="position:absolute;margin-left:88.747375pt;margin-top:-248.381454pt;width:622.8pt;height:454.2pt;mso-position-horizontal-relative:page;mso-position-vertical-relative:paragraph;z-index:-27046400" id="docshapegroup82" coordorigin="1775,-4968" coordsize="12456,9084">
            <v:shape style="position:absolute;left:1774;top:-4968;width:12456;height:9084" type="#_x0000_t75" id="docshape83" stroked="false">
              <v:imagedata r:id="rId59" o:title=""/>
            </v:shape>
            <v:rect style="position:absolute;left:6135;top:-1743;width:375;height:915" id="docshape84" filled="true" fillcolor="#ffffff" stroked="false">
              <v:fill type="solid"/>
            </v:rect>
            <v:line style="position:absolute" from="5475,283" to="6177,-1009" stroked="true" strokeweight="1pt" strokecolor="#000000">
              <v:stroke dashstyle="solid"/>
            </v:line>
            <v:shape style="position:absolute;left:6114;top:-1098;width:111;height:135" id="docshape85" coordorigin="6115,-1097" coordsize="111,135" path="m6225,-1097l6115,-1020,6220,-963,6225,-1097xe" filled="true" fillcolor="#000000" stroked="false">
              <v:path arrowok="t"/>
              <v:fill type="solid"/>
            </v:shape>
            <v:line style="position:absolute" from="5475,282" to="4920,282" stroked="true" strokeweight=".75pt" strokecolor="#000000">
              <v:stroke dashstyle="solid"/>
            </v:line>
            <w10:wrap type="none"/>
          </v:group>
        </w:pict>
      </w:r>
      <w:r>
        <w:rPr>
          <w:rFonts w:ascii="Arial Rounded MT Bold"/>
        </w:rPr>
        <w:t>cadd</w:t>
      </w:r>
      <w:r>
        <w:rPr>
          <w:rFonts w:ascii="Arial Rounded MT Bold"/>
          <w:spacing w:val="-10"/>
        </w:rPr>
        <w:t> </w:t>
      </w:r>
      <w:r>
        <w:rPr>
          <w:rFonts w:ascii="Arial Rounded MT Bold"/>
          <w:spacing w:val="-5"/>
        </w:rPr>
        <w:t>lab</w:t>
      </w:r>
    </w:p>
    <w:p>
      <w:pPr>
        <w:spacing w:after="0"/>
        <w:jc w:val="left"/>
        <w:rPr>
          <w:rFonts w:ascii="Arial Rounded MT Bold"/>
        </w:rPr>
        <w:sectPr>
          <w:headerReference w:type="default" r:id="rId57"/>
          <w:footerReference w:type="default" r:id="rId58"/>
          <w:pgSz w:w="15840" w:h="12240" w:orient="landscape"/>
          <w:pgMar w:header="0" w:footer="0" w:top="1380" w:bottom="280" w:left="300" w:right="980"/>
        </w:sectPr>
      </w:pPr>
    </w:p>
    <w:p>
      <w:pPr>
        <w:pStyle w:val="BodyText"/>
        <w:ind w:left="919"/>
        <w:rPr>
          <w:rFonts w:ascii="Arial Rounded MT Bold"/>
        </w:rPr>
      </w:pPr>
      <w:r>
        <w:rPr/>
        <w:pict>
          <v:rect style="position:absolute;margin-left:20.16pt;margin-top:553.320007pt;width:751.68pt;height:.72pt;mso-position-horizontal-relative:page;mso-position-vertical-relative:page;z-index:15731200" id="docshape86" filled="true" fillcolor="#000000" stroked="false">
            <v:fill type="solid"/>
            <w10:wrap type="none"/>
          </v:rect>
        </w:pict>
      </w:r>
      <w:r>
        <w:rPr>
          <w:rFonts w:ascii="Arial Rounded MT Bold"/>
        </w:rPr>
        <w:drawing>
          <wp:inline distT="0" distB="0" distL="0" distR="0">
            <wp:extent cx="8164193" cy="5955792"/>
            <wp:effectExtent l="0" t="0" r="0" b="0"/>
            <wp:docPr id="3" name="image4.jpeg"/>
            <wp:cNvGraphicFramePr>
              <a:graphicFrameLocks noChangeAspect="1"/>
            </wp:cNvGraphicFramePr>
            <a:graphic>
              <a:graphicData uri="http://schemas.openxmlformats.org/drawingml/2006/picture">
                <pic:pic>
                  <pic:nvPicPr>
                    <pic:cNvPr id="4" name="image4.jpeg"/>
                    <pic:cNvPicPr/>
                  </pic:nvPicPr>
                  <pic:blipFill>
                    <a:blip r:embed="rId62" cstate="print"/>
                    <a:stretch>
                      <a:fillRect/>
                    </a:stretch>
                  </pic:blipFill>
                  <pic:spPr>
                    <a:xfrm>
                      <a:off x="0" y="0"/>
                      <a:ext cx="8164193" cy="5955792"/>
                    </a:xfrm>
                    <a:prstGeom prst="rect">
                      <a:avLst/>
                    </a:prstGeom>
                  </pic:spPr>
                </pic:pic>
              </a:graphicData>
            </a:graphic>
          </wp:inline>
        </w:drawing>
      </w:r>
      <w:r>
        <w:rPr>
          <w:rFonts w:ascii="Arial Rounded MT Bold"/>
        </w:rPr>
      </w:r>
    </w:p>
    <w:p>
      <w:pPr>
        <w:pStyle w:val="BodyText"/>
        <w:spacing w:before="10"/>
        <w:rPr>
          <w:rFonts w:ascii="Arial Rounded MT Bold"/>
          <w:sz w:val="23"/>
        </w:rPr>
      </w:pPr>
    </w:p>
    <w:p>
      <w:pPr>
        <w:spacing w:before="66"/>
        <w:ind w:left="132"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tabs>
          <w:tab w:pos="13636" w:val="left" w:leader="none"/>
        </w:tabs>
        <w:spacing w:before="11"/>
        <w:ind w:left="131"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r>
        <w:rPr>
          <w:sz w:val="18"/>
        </w:rPr>
        <w:tab/>
      </w:r>
      <w:r>
        <w:rPr>
          <w:w w:val="90"/>
          <w:sz w:val="18"/>
        </w:rPr>
        <w:t>page</w:t>
      </w:r>
      <w:r>
        <w:rPr>
          <w:spacing w:val="-8"/>
          <w:w w:val="90"/>
          <w:sz w:val="18"/>
        </w:rPr>
        <w:t> </w:t>
      </w:r>
      <w:r>
        <w:rPr>
          <w:w w:val="90"/>
          <w:sz w:val="18"/>
        </w:rPr>
        <w:t>1</w:t>
      </w:r>
      <w:r>
        <w:rPr>
          <w:spacing w:val="-7"/>
          <w:w w:val="90"/>
          <w:sz w:val="18"/>
        </w:rPr>
        <w:t> </w:t>
      </w:r>
      <w:r>
        <w:rPr>
          <w:w w:val="90"/>
          <w:sz w:val="18"/>
        </w:rPr>
        <w:t>-</w:t>
      </w:r>
      <w:r>
        <w:rPr>
          <w:spacing w:val="-7"/>
          <w:w w:val="90"/>
          <w:sz w:val="18"/>
        </w:rPr>
        <w:t> </w:t>
      </w:r>
      <w:r>
        <w:rPr>
          <w:spacing w:val="-5"/>
          <w:w w:val="90"/>
          <w:sz w:val="18"/>
        </w:rPr>
        <w:t>75</w:t>
      </w:r>
    </w:p>
    <w:p>
      <w:pPr>
        <w:spacing w:after="0"/>
        <w:jc w:val="left"/>
        <w:rPr>
          <w:sz w:val="18"/>
        </w:rPr>
        <w:sectPr>
          <w:headerReference w:type="default" r:id="rId60"/>
          <w:footerReference w:type="default" r:id="rId61"/>
          <w:pgSz w:w="15840" w:h="12240" w:orient="landscape"/>
          <w:pgMar w:header="0" w:footer="0" w:top="1360" w:bottom="280" w:left="300" w:right="980"/>
        </w:sectPr>
      </w:pPr>
    </w:p>
    <w:p>
      <w:pPr>
        <w:pStyle w:val="Heading5"/>
        <w:numPr>
          <w:ilvl w:val="2"/>
          <w:numId w:val="25"/>
        </w:numPr>
        <w:tabs>
          <w:tab w:pos="999" w:val="left" w:leader="none"/>
          <w:tab w:pos="1001" w:val="left" w:leader="none"/>
        </w:tabs>
        <w:spacing w:line="240" w:lineRule="auto" w:before="75" w:after="0"/>
        <w:ind w:left="1000" w:right="0" w:hanging="887"/>
        <w:jc w:val="left"/>
      </w:pPr>
      <w:bookmarkStart w:name="_TOC_250005" w:id="60"/>
      <w:r>
        <w:rPr/>
        <w:t>Financial</w:t>
      </w:r>
      <w:r>
        <w:rPr>
          <w:spacing w:val="-7"/>
        </w:rPr>
        <w:t> </w:t>
      </w:r>
      <w:bookmarkEnd w:id="60"/>
      <w:r>
        <w:rPr>
          <w:spacing w:val="-2"/>
        </w:rPr>
        <w:t>Resources</w:t>
      </w:r>
    </w:p>
    <w:p>
      <w:pPr>
        <w:spacing w:before="240"/>
        <w:ind w:left="280" w:right="0" w:firstLine="0"/>
        <w:jc w:val="left"/>
        <w:rPr>
          <w:b/>
          <w:sz w:val="20"/>
        </w:rPr>
      </w:pPr>
      <w:r>
        <w:rPr>
          <w:b/>
          <w:spacing w:val="-2"/>
          <w:sz w:val="20"/>
        </w:rPr>
        <w:t>Budget</w:t>
      </w:r>
    </w:p>
    <w:p>
      <w:pPr>
        <w:pStyle w:val="BodyText"/>
        <w:spacing w:before="1"/>
        <w:rPr>
          <w:b/>
          <w:sz w:val="21"/>
        </w:rPr>
      </w:pPr>
    </w:p>
    <w:p>
      <w:pPr>
        <w:pStyle w:val="BodyText"/>
        <w:ind w:left="1504" w:right="1211"/>
      </w:pPr>
      <w:r>
        <w:rPr/>
        <w:t>The</w:t>
      </w:r>
      <w:r>
        <w:rPr>
          <w:spacing w:val="-4"/>
        </w:rPr>
        <w:t> </w:t>
      </w:r>
      <w:r>
        <w:rPr/>
        <w:t>Department</w:t>
      </w:r>
      <w:r>
        <w:rPr>
          <w:spacing w:val="-4"/>
        </w:rPr>
        <w:t> </w:t>
      </w:r>
      <w:r>
        <w:rPr/>
        <w:t>budget</w:t>
      </w:r>
      <w:r>
        <w:rPr>
          <w:spacing w:val="-2"/>
        </w:rPr>
        <w:t> </w:t>
      </w:r>
      <w:r>
        <w:rPr/>
        <w:t>proposal</w:t>
      </w:r>
      <w:r>
        <w:rPr>
          <w:spacing w:val="-5"/>
        </w:rPr>
        <w:t> </w:t>
      </w:r>
      <w:r>
        <w:rPr/>
        <w:t>is</w:t>
      </w:r>
      <w:r>
        <w:rPr>
          <w:spacing w:val="-3"/>
        </w:rPr>
        <w:t> </w:t>
      </w:r>
      <w:r>
        <w:rPr/>
        <w:t>prepared</w:t>
      </w:r>
      <w:r>
        <w:rPr>
          <w:spacing w:val="-4"/>
        </w:rPr>
        <w:t> </w:t>
      </w:r>
      <w:r>
        <w:rPr/>
        <w:t>in</w:t>
      </w:r>
      <w:r>
        <w:rPr>
          <w:spacing w:val="-4"/>
        </w:rPr>
        <w:t> </w:t>
      </w:r>
      <w:r>
        <w:rPr/>
        <w:t>the</w:t>
      </w:r>
      <w:r>
        <w:rPr>
          <w:spacing w:val="-4"/>
        </w:rPr>
        <w:t> </w:t>
      </w:r>
      <w:r>
        <w:rPr/>
        <w:t>fall</w:t>
      </w:r>
      <w:r>
        <w:rPr>
          <w:spacing w:val="-3"/>
        </w:rPr>
        <w:t> </w:t>
      </w:r>
      <w:r>
        <w:rPr/>
        <w:t>of</w:t>
      </w:r>
      <w:r>
        <w:rPr>
          <w:spacing w:val="-2"/>
        </w:rPr>
        <w:t> </w:t>
      </w:r>
      <w:r>
        <w:rPr/>
        <w:t>each</w:t>
      </w:r>
      <w:r>
        <w:rPr>
          <w:spacing w:val="-2"/>
        </w:rPr>
        <w:t> </w:t>
      </w:r>
      <w:r>
        <w:rPr/>
        <w:t>year</w:t>
      </w:r>
      <w:r>
        <w:rPr>
          <w:spacing w:val="-3"/>
        </w:rPr>
        <w:t> </w:t>
      </w:r>
      <w:r>
        <w:rPr/>
        <w:t>for</w:t>
      </w:r>
      <w:r>
        <w:rPr>
          <w:spacing w:val="-3"/>
        </w:rPr>
        <w:t> </w:t>
      </w:r>
      <w:r>
        <w:rPr/>
        <w:t>the</w:t>
      </w:r>
      <w:r>
        <w:rPr>
          <w:spacing w:val="-2"/>
        </w:rPr>
        <w:t> </w:t>
      </w:r>
      <w:r>
        <w:rPr/>
        <w:t>next</w:t>
      </w:r>
      <w:r>
        <w:rPr>
          <w:spacing w:val="-2"/>
        </w:rPr>
        <w:t> </w:t>
      </w:r>
      <w:r>
        <w:rPr/>
        <w:t>academic year.</w:t>
      </w:r>
      <w:r>
        <w:rPr>
          <w:spacing w:val="40"/>
        </w:rPr>
        <w:t> </w:t>
      </w:r>
      <w:r>
        <w:rPr/>
        <w:t>In recent years annual budgets have experienced minimal increases if any, and funding from the University can be best described as lean but adequate for bottom line </w:t>
      </w:r>
      <w:r>
        <w:rPr>
          <w:spacing w:val="-2"/>
        </w:rPr>
        <w:t>operations.</w:t>
      </w:r>
    </w:p>
    <w:p>
      <w:pPr>
        <w:pStyle w:val="BodyText"/>
        <w:spacing w:before="9"/>
      </w:pPr>
    </w:p>
    <w:p>
      <w:pPr>
        <w:pStyle w:val="BodyText"/>
        <w:spacing w:before="1"/>
        <w:ind w:left="1504" w:right="1332"/>
        <w:jc w:val="both"/>
      </w:pPr>
      <w:r>
        <w:rPr/>
        <w:t>An</w:t>
      </w:r>
      <w:r>
        <w:rPr>
          <w:spacing w:val="-1"/>
        </w:rPr>
        <w:t> </w:t>
      </w:r>
      <w:r>
        <w:rPr/>
        <w:t>analysis of the</w:t>
      </w:r>
      <w:r>
        <w:rPr>
          <w:spacing w:val="-1"/>
        </w:rPr>
        <w:t> </w:t>
      </w:r>
      <w:r>
        <w:rPr/>
        <w:t>enrollment</w:t>
      </w:r>
      <w:r>
        <w:rPr>
          <w:spacing w:val="-1"/>
        </w:rPr>
        <w:t> </w:t>
      </w:r>
      <w:r>
        <w:rPr/>
        <w:t>and</w:t>
      </w:r>
      <w:r>
        <w:rPr>
          <w:spacing w:val="-1"/>
        </w:rPr>
        <w:t> </w:t>
      </w:r>
      <w:r>
        <w:rPr/>
        <w:t>budget</w:t>
      </w:r>
      <w:r>
        <w:rPr>
          <w:spacing w:val="-1"/>
        </w:rPr>
        <w:t> </w:t>
      </w:r>
      <w:r>
        <w:rPr/>
        <w:t>is found</w:t>
      </w:r>
      <w:r>
        <w:rPr>
          <w:spacing w:val="-1"/>
        </w:rPr>
        <w:t> </w:t>
      </w:r>
      <w:r>
        <w:rPr/>
        <w:t>in</w:t>
      </w:r>
      <w:r>
        <w:rPr>
          <w:spacing w:val="-1"/>
        </w:rPr>
        <w:t> </w:t>
      </w:r>
      <w:r>
        <w:rPr/>
        <w:t>the</w:t>
      </w:r>
      <w:r>
        <w:rPr>
          <w:spacing w:val="-1"/>
        </w:rPr>
        <w:t> </w:t>
      </w:r>
      <w:r>
        <w:rPr/>
        <w:t>following</w:t>
      </w:r>
      <w:r>
        <w:rPr>
          <w:spacing w:val="-1"/>
        </w:rPr>
        <w:t> </w:t>
      </w:r>
      <w:r>
        <w:rPr/>
        <w:t>table.</w:t>
      </w:r>
      <w:r>
        <w:rPr>
          <w:spacing w:val="-1"/>
        </w:rPr>
        <w:t> </w:t>
      </w:r>
      <w:r>
        <w:rPr/>
        <w:t>It</w:t>
      </w:r>
      <w:r>
        <w:rPr>
          <w:spacing w:val="-1"/>
        </w:rPr>
        <w:t> </w:t>
      </w:r>
      <w:r>
        <w:rPr/>
        <w:t>reflects the</w:t>
      </w:r>
      <w:r>
        <w:rPr>
          <w:spacing w:val="-1"/>
        </w:rPr>
        <w:t> </w:t>
      </w:r>
      <w:r>
        <w:rPr/>
        <w:t>fact that our enrollment is cyclical, but that our budget has increased in the last two academic years.</w:t>
      </w:r>
      <w:r>
        <w:rPr>
          <w:spacing w:val="-3"/>
        </w:rPr>
        <w:t> </w:t>
      </w:r>
      <w:r>
        <w:rPr/>
        <w:t>A</w:t>
      </w:r>
      <w:r>
        <w:rPr>
          <w:spacing w:val="-6"/>
        </w:rPr>
        <w:t> </w:t>
      </w:r>
      <w:r>
        <w:rPr/>
        <w:t>comparative</w:t>
      </w:r>
      <w:r>
        <w:rPr>
          <w:spacing w:val="-5"/>
        </w:rPr>
        <w:t> </w:t>
      </w:r>
      <w:r>
        <w:rPr/>
        <w:t>analysis</w:t>
      </w:r>
      <w:r>
        <w:rPr>
          <w:spacing w:val="-4"/>
        </w:rPr>
        <w:t> </w:t>
      </w:r>
      <w:r>
        <w:rPr/>
        <w:t>of</w:t>
      </w:r>
      <w:r>
        <w:rPr>
          <w:spacing w:val="-3"/>
        </w:rPr>
        <w:t> </w:t>
      </w:r>
      <w:r>
        <w:rPr/>
        <w:t>the</w:t>
      </w:r>
      <w:r>
        <w:rPr>
          <w:spacing w:val="-5"/>
        </w:rPr>
        <w:t> </w:t>
      </w:r>
      <w:r>
        <w:rPr/>
        <w:t>Architecture</w:t>
      </w:r>
      <w:r>
        <w:rPr>
          <w:spacing w:val="-2"/>
        </w:rPr>
        <w:t> </w:t>
      </w:r>
      <w:r>
        <w:rPr/>
        <w:t>Department</w:t>
      </w:r>
      <w:r>
        <w:rPr>
          <w:spacing w:val="-5"/>
        </w:rPr>
        <w:t> </w:t>
      </w:r>
      <w:r>
        <w:rPr/>
        <w:t>(M.Arch.)</w:t>
      </w:r>
      <w:r>
        <w:rPr>
          <w:spacing w:val="-4"/>
        </w:rPr>
        <w:t> </w:t>
      </w:r>
      <w:r>
        <w:rPr/>
        <w:t>and</w:t>
      </w:r>
      <w:r>
        <w:rPr>
          <w:spacing w:val="-3"/>
        </w:rPr>
        <w:t> </w:t>
      </w:r>
      <w:r>
        <w:rPr/>
        <w:t>the School</w:t>
      </w:r>
      <w:r>
        <w:rPr>
          <w:spacing w:val="-6"/>
        </w:rPr>
        <w:t> </w:t>
      </w:r>
      <w:r>
        <w:rPr/>
        <w:t>of Pharmacy (Pharm. D.) and School of Nursing is found on page 1-80..</w:t>
      </w:r>
    </w:p>
    <w:p>
      <w:pPr>
        <w:pStyle w:val="BodyText"/>
        <w:spacing w:before="2"/>
      </w:pPr>
    </w:p>
    <w:tbl>
      <w:tblPr>
        <w:tblW w:w="0" w:type="auto"/>
        <w:jc w:val="left"/>
        <w:tblInd w:w="1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52"/>
        <w:gridCol w:w="1171"/>
        <w:gridCol w:w="1709"/>
        <w:gridCol w:w="1563"/>
        <w:gridCol w:w="1460"/>
        <w:gridCol w:w="1330"/>
      </w:tblGrid>
      <w:tr>
        <w:trPr>
          <w:trHeight w:val="671" w:hRule="atLeast"/>
        </w:trPr>
        <w:tc>
          <w:tcPr>
            <w:tcW w:w="1452" w:type="dxa"/>
            <w:vMerge w:val="restart"/>
          </w:tcPr>
          <w:p>
            <w:pPr>
              <w:pStyle w:val="TableParagraph"/>
              <w:rPr>
                <w:sz w:val="22"/>
              </w:rPr>
            </w:pPr>
          </w:p>
          <w:p>
            <w:pPr>
              <w:pStyle w:val="TableParagraph"/>
              <w:rPr>
                <w:sz w:val="22"/>
              </w:rPr>
            </w:pPr>
          </w:p>
          <w:p>
            <w:pPr>
              <w:pStyle w:val="TableParagraph"/>
              <w:spacing w:before="177"/>
              <w:ind w:left="47"/>
              <w:rPr>
                <w:sz w:val="20"/>
              </w:rPr>
            </w:pPr>
            <w:r>
              <w:rPr>
                <w:sz w:val="20"/>
              </w:rPr>
              <w:t>Academic</w:t>
            </w:r>
            <w:r>
              <w:rPr>
                <w:spacing w:val="-7"/>
                <w:sz w:val="20"/>
              </w:rPr>
              <w:t> </w:t>
            </w:r>
            <w:r>
              <w:rPr>
                <w:spacing w:val="-4"/>
                <w:sz w:val="20"/>
              </w:rPr>
              <w:t>Year</w:t>
            </w:r>
          </w:p>
        </w:tc>
        <w:tc>
          <w:tcPr>
            <w:tcW w:w="1171" w:type="dxa"/>
            <w:vMerge w:val="restart"/>
          </w:tcPr>
          <w:p>
            <w:pPr>
              <w:pStyle w:val="TableParagraph"/>
              <w:rPr>
                <w:sz w:val="22"/>
              </w:rPr>
            </w:pPr>
          </w:p>
          <w:p>
            <w:pPr>
              <w:pStyle w:val="TableParagraph"/>
              <w:spacing w:line="260" w:lineRule="atLeast" w:before="136"/>
              <w:ind w:left="107" w:firstLine="134"/>
              <w:rPr>
                <w:sz w:val="20"/>
              </w:rPr>
            </w:pPr>
            <w:r>
              <w:rPr>
                <w:spacing w:val="-2"/>
                <w:sz w:val="20"/>
              </w:rPr>
              <w:t>Student Enrollment</w:t>
            </w:r>
          </w:p>
        </w:tc>
        <w:tc>
          <w:tcPr>
            <w:tcW w:w="3272" w:type="dxa"/>
            <w:gridSpan w:val="2"/>
          </w:tcPr>
          <w:p>
            <w:pPr>
              <w:pStyle w:val="TableParagraph"/>
              <w:rPr>
                <w:sz w:val="22"/>
              </w:rPr>
            </w:pPr>
          </w:p>
          <w:p>
            <w:pPr>
              <w:pStyle w:val="TableParagraph"/>
              <w:spacing w:before="154"/>
              <w:ind w:left="511"/>
              <w:rPr>
                <w:sz w:val="20"/>
              </w:rPr>
            </w:pPr>
            <w:r>
              <w:rPr>
                <w:sz w:val="20"/>
              </w:rPr>
              <w:t>Annual</w:t>
            </w:r>
            <w:r>
              <w:rPr>
                <w:spacing w:val="-9"/>
                <w:sz w:val="20"/>
              </w:rPr>
              <w:t> </w:t>
            </w:r>
            <w:r>
              <w:rPr>
                <w:sz w:val="20"/>
              </w:rPr>
              <w:t>Operating</w:t>
            </w:r>
            <w:r>
              <w:rPr>
                <w:spacing w:val="-9"/>
                <w:sz w:val="20"/>
              </w:rPr>
              <w:t> </w:t>
            </w:r>
            <w:r>
              <w:rPr>
                <w:spacing w:val="-2"/>
                <w:sz w:val="20"/>
              </w:rPr>
              <w:t>Budget</w:t>
            </w:r>
          </w:p>
        </w:tc>
        <w:tc>
          <w:tcPr>
            <w:tcW w:w="2790" w:type="dxa"/>
            <w:gridSpan w:val="2"/>
          </w:tcPr>
          <w:p>
            <w:pPr>
              <w:pStyle w:val="TableParagraph"/>
              <w:spacing w:line="260" w:lineRule="atLeast" w:before="113"/>
              <w:ind w:left="210" w:firstLine="189"/>
              <w:rPr>
                <w:sz w:val="20"/>
              </w:rPr>
            </w:pPr>
            <w:r>
              <w:rPr>
                <w:sz w:val="20"/>
              </w:rPr>
              <w:t>Total Budget (includes Salaries</w:t>
            </w:r>
            <w:r>
              <w:rPr>
                <w:spacing w:val="-13"/>
                <w:sz w:val="20"/>
              </w:rPr>
              <w:t> </w:t>
            </w:r>
            <w:r>
              <w:rPr>
                <w:sz w:val="20"/>
              </w:rPr>
              <w:t>and</w:t>
            </w:r>
            <w:r>
              <w:rPr>
                <w:spacing w:val="-13"/>
                <w:sz w:val="20"/>
              </w:rPr>
              <w:t> </w:t>
            </w:r>
            <w:r>
              <w:rPr>
                <w:sz w:val="20"/>
              </w:rPr>
              <w:t>Arch.</w:t>
            </w:r>
            <w:r>
              <w:rPr>
                <w:spacing w:val="-14"/>
                <w:sz w:val="20"/>
              </w:rPr>
              <w:t> </w:t>
            </w:r>
            <w:r>
              <w:rPr>
                <w:sz w:val="20"/>
              </w:rPr>
              <w:t>Library)</w:t>
            </w:r>
          </w:p>
        </w:tc>
      </w:tr>
      <w:tr>
        <w:trPr>
          <w:trHeight w:val="266" w:hRule="atLeast"/>
        </w:trPr>
        <w:tc>
          <w:tcPr>
            <w:tcW w:w="1452" w:type="dxa"/>
            <w:vMerge/>
            <w:tcBorders>
              <w:top w:val="nil"/>
            </w:tcBorders>
          </w:tcPr>
          <w:p>
            <w:pPr>
              <w:rPr>
                <w:sz w:val="2"/>
                <w:szCs w:val="2"/>
              </w:rPr>
            </w:pPr>
          </w:p>
        </w:tc>
        <w:tc>
          <w:tcPr>
            <w:tcW w:w="1171" w:type="dxa"/>
            <w:vMerge/>
            <w:tcBorders>
              <w:top w:val="nil"/>
            </w:tcBorders>
          </w:tcPr>
          <w:p>
            <w:pPr>
              <w:rPr>
                <w:sz w:val="2"/>
                <w:szCs w:val="2"/>
              </w:rPr>
            </w:pPr>
          </w:p>
        </w:tc>
        <w:tc>
          <w:tcPr>
            <w:tcW w:w="1709" w:type="dxa"/>
          </w:tcPr>
          <w:p>
            <w:pPr>
              <w:pStyle w:val="TableParagraph"/>
              <w:spacing w:before="2"/>
              <w:ind w:left="273" w:right="262"/>
              <w:jc w:val="center"/>
              <w:rPr>
                <w:sz w:val="20"/>
              </w:rPr>
            </w:pPr>
            <w:r>
              <w:rPr>
                <w:spacing w:val="-2"/>
                <w:sz w:val="20"/>
              </w:rPr>
              <w:t>Amount</w:t>
            </w:r>
          </w:p>
        </w:tc>
        <w:tc>
          <w:tcPr>
            <w:tcW w:w="1563" w:type="dxa"/>
          </w:tcPr>
          <w:p>
            <w:pPr>
              <w:pStyle w:val="TableParagraph"/>
              <w:spacing w:before="2"/>
              <w:ind w:left="251"/>
              <w:rPr>
                <w:sz w:val="20"/>
              </w:rPr>
            </w:pPr>
            <w:r>
              <w:rPr>
                <w:sz w:val="20"/>
              </w:rPr>
              <w:t>Per</w:t>
            </w:r>
            <w:r>
              <w:rPr>
                <w:spacing w:val="-6"/>
                <w:sz w:val="20"/>
              </w:rPr>
              <w:t> </w:t>
            </w:r>
            <w:r>
              <w:rPr>
                <w:spacing w:val="-2"/>
                <w:sz w:val="20"/>
              </w:rPr>
              <w:t>Student</w:t>
            </w:r>
          </w:p>
        </w:tc>
        <w:tc>
          <w:tcPr>
            <w:tcW w:w="1460" w:type="dxa"/>
          </w:tcPr>
          <w:p>
            <w:pPr>
              <w:pStyle w:val="TableParagraph"/>
              <w:spacing w:before="2"/>
              <w:ind w:left="383"/>
              <w:rPr>
                <w:sz w:val="20"/>
              </w:rPr>
            </w:pPr>
            <w:r>
              <w:rPr>
                <w:spacing w:val="-2"/>
                <w:sz w:val="20"/>
              </w:rPr>
              <w:t>Amount</w:t>
            </w:r>
          </w:p>
        </w:tc>
        <w:tc>
          <w:tcPr>
            <w:tcW w:w="1330" w:type="dxa"/>
          </w:tcPr>
          <w:p>
            <w:pPr>
              <w:pStyle w:val="TableParagraph"/>
              <w:spacing w:before="2"/>
              <w:ind w:left="135"/>
              <w:rPr>
                <w:sz w:val="20"/>
              </w:rPr>
            </w:pPr>
            <w:r>
              <w:rPr>
                <w:sz w:val="20"/>
              </w:rPr>
              <w:t>Per</w:t>
            </w:r>
            <w:r>
              <w:rPr>
                <w:spacing w:val="-6"/>
                <w:sz w:val="20"/>
              </w:rPr>
              <w:t> </w:t>
            </w:r>
            <w:r>
              <w:rPr>
                <w:spacing w:val="-2"/>
                <w:sz w:val="20"/>
              </w:rPr>
              <w:t>Student</w:t>
            </w:r>
          </w:p>
        </w:tc>
      </w:tr>
      <w:tr>
        <w:trPr>
          <w:trHeight w:val="302" w:hRule="atLeast"/>
        </w:trPr>
        <w:tc>
          <w:tcPr>
            <w:tcW w:w="1452" w:type="dxa"/>
          </w:tcPr>
          <w:p>
            <w:pPr>
              <w:pStyle w:val="TableParagraph"/>
              <w:spacing w:before="21"/>
              <w:ind w:left="247" w:right="240"/>
              <w:jc w:val="center"/>
              <w:rPr>
                <w:sz w:val="20"/>
              </w:rPr>
            </w:pPr>
            <w:r>
              <w:rPr>
                <w:w w:val="95"/>
                <w:sz w:val="20"/>
              </w:rPr>
              <w:t>2008-</w:t>
            </w:r>
            <w:r>
              <w:rPr>
                <w:spacing w:val="-4"/>
                <w:sz w:val="20"/>
              </w:rPr>
              <w:t>2009</w:t>
            </w:r>
          </w:p>
        </w:tc>
        <w:tc>
          <w:tcPr>
            <w:tcW w:w="1171" w:type="dxa"/>
          </w:tcPr>
          <w:p>
            <w:pPr>
              <w:pStyle w:val="TableParagraph"/>
              <w:spacing w:before="21"/>
              <w:ind w:left="403" w:right="399"/>
              <w:jc w:val="center"/>
              <w:rPr>
                <w:sz w:val="20"/>
              </w:rPr>
            </w:pPr>
            <w:r>
              <w:rPr>
                <w:spacing w:val="-5"/>
                <w:sz w:val="20"/>
              </w:rPr>
              <w:t>173</w:t>
            </w:r>
          </w:p>
        </w:tc>
        <w:tc>
          <w:tcPr>
            <w:tcW w:w="1709" w:type="dxa"/>
          </w:tcPr>
          <w:p>
            <w:pPr>
              <w:pStyle w:val="TableParagraph"/>
              <w:spacing w:before="21"/>
              <w:ind w:left="273" w:right="405"/>
              <w:jc w:val="center"/>
              <w:rPr>
                <w:sz w:val="20"/>
              </w:rPr>
            </w:pPr>
            <w:r>
              <w:rPr>
                <w:spacing w:val="-2"/>
                <w:sz w:val="20"/>
              </w:rPr>
              <w:t>$32,772.00</w:t>
            </w:r>
          </w:p>
        </w:tc>
        <w:tc>
          <w:tcPr>
            <w:tcW w:w="1563" w:type="dxa"/>
          </w:tcPr>
          <w:p>
            <w:pPr>
              <w:pStyle w:val="TableParagraph"/>
              <w:spacing w:before="21"/>
              <w:ind w:left="347"/>
              <w:rPr>
                <w:sz w:val="20"/>
              </w:rPr>
            </w:pPr>
            <w:r>
              <w:rPr>
                <w:spacing w:val="-2"/>
                <w:sz w:val="20"/>
              </w:rPr>
              <w:t>$189.43</w:t>
            </w:r>
          </w:p>
        </w:tc>
        <w:tc>
          <w:tcPr>
            <w:tcW w:w="1460" w:type="dxa"/>
          </w:tcPr>
          <w:p>
            <w:pPr>
              <w:pStyle w:val="TableParagraph"/>
              <w:spacing w:before="21"/>
              <w:ind w:left="100"/>
              <w:rPr>
                <w:sz w:val="20"/>
              </w:rPr>
            </w:pPr>
            <w:r>
              <w:rPr>
                <w:spacing w:val="-2"/>
                <w:sz w:val="20"/>
              </w:rPr>
              <w:t>$787,017.00</w:t>
            </w:r>
          </w:p>
        </w:tc>
        <w:tc>
          <w:tcPr>
            <w:tcW w:w="1330" w:type="dxa"/>
          </w:tcPr>
          <w:p>
            <w:pPr>
              <w:pStyle w:val="TableParagraph"/>
              <w:spacing w:before="21"/>
              <w:ind w:left="144"/>
              <w:rPr>
                <w:sz w:val="20"/>
              </w:rPr>
            </w:pPr>
            <w:r>
              <w:rPr>
                <w:spacing w:val="-2"/>
                <w:sz w:val="20"/>
              </w:rPr>
              <w:t>$4,549.23</w:t>
            </w:r>
          </w:p>
        </w:tc>
      </w:tr>
      <w:tr>
        <w:trPr>
          <w:trHeight w:val="301" w:hRule="atLeast"/>
        </w:trPr>
        <w:tc>
          <w:tcPr>
            <w:tcW w:w="1452" w:type="dxa"/>
          </w:tcPr>
          <w:p>
            <w:pPr>
              <w:pStyle w:val="TableParagraph"/>
              <w:spacing w:before="21"/>
              <w:ind w:left="247" w:right="240"/>
              <w:jc w:val="center"/>
              <w:rPr>
                <w:sz w:val="20"/>
              </w:rPr>
            </w:pPr>
            <w:r>
              <w:rPr>
                <w:w w:val="95"/>
                <w:sz w:val="20"/>
              </w:rPr>
              <w:t>2009-</w:t>
            </w:r>
            <w:r>
              <w:rPr>
                <w:spacing w:val="-4"/>
                <w:sz w:val="20"/>
              </w:rPr>
              <w:t>2010</w:t>
            </w:r>
          </w:p>
        </w:tc>
        <w:tc>
          <w:tcPr>
            <w:tcW w:w="1171" w:type="dxa"/>
          </w:tcPr>
          <w:p>
            <w:pPr>
              <w:pStyle w:val="TableParagraph"/>
              <w:spacing w:before="21"/>
              <w:ind w:left="403" w:right="399"/>
              <w:jc w:val="center"/>
              <w:rPr>
                <w:sz w:val="20"/>
              </w:rPr>
            </w:pPr>
            <w:r>
              <w:rPr>
                <w:spacing w:val="-5"/>
                <w:sz w:val="20"/>
              </w:rPr>
              <w:t>187</w:t>
            </w:r>
          </w:p>
        </w:tc>
        <w:tc>
          <w:tcPr>
            <w:tcW w:w="1709" w:type="dxa"/>
          </w:tcPr>
          <w:p>
            <w:pPr>
              <w:pStyle w:val="TableParagraph"/>
              <w:spacing w:before="21"/>
              <w:ind w:left="273" w:right="405"/>
              <w:jc w:val="center"/>
              <w:rPr>
                <w:sz w:val="20"/>
              </w:rPr>
            </w:pPr>
            <w:r>
              <w:rPr>
                <w:spacing w:val="-2"/>
                <w:sz w:val="20"/>
              </w:rPr>
              <w:t>$28,015.00</w:t>
            </w:r>
          </w:p>
        </w:tc>
        <w:tc>
          <w:tcPr>
            <w:tcW w:w="1563" w:type="dxa"/>
          </w:tcPr>
          <w:p>
            <w:pPr>
              <w:pStyle w:val="TableParagraph"/>
              <w:spacing w:before="21"/>
              <w:ind w:left="347"/>
              <w:rPr>
                <w:sz w:val="20"/>
              </w:rPr>
            </w:pPr>
            <w:r>
              <w:rPr>
                <w:spacing w:val="-2"/>
                <w:sz w:val="20"/>
              </w:rPr>
              <w:t>$149.81</w:t>
            </w:r>
          </w:p>
        </w:tc>
        <w:tc>
          <w:tcPr>
            <w:tcW w:w="1460" w:type="dxa"/>
          </w:tcPr>
          <w:p>
            <w:pPr>
              <w:pStyle w:val="TableParagraph"/>
              <w:spacing w:before="21"/>
              <w:ind w:left="100"/>
              <w:rPr>
                <w:sz w:val="20"/>
              </w:rPr>
            </w:pPr>
            <w:r>
              <w:rPr>
                <w:spacing w:val="-2"/>
                <w:sz w:val="20"/>
              </w:rPr>
              <w:t>$800,360.00</w:t>
            </w:r>
          </w:p>
        </w:tc>
        <w:tc>
          <w:tcPr>
            <w:tcW w:w="1330" w:type="dxa"/>
          </w:tcPr>
          <w:p>
            <w:pPr>
              <w:pStyle w:val="TableParagraph"/>
              <w:spacing w:before="21"/>
              <w:ind w:left="144"/>
              <w:rPr>
                <w:sz w:val="20"/>
              </w:rPr>
            </w:pPr>
            <w:r>
              <w:rPr>
                <w:spacing w:val="-2"/>
                <w:sz w:val="20"/>
              </w:rPr>
              <w:t>$4,280.00</w:t>
            </w:r>
          </w:p>
        </w:tc>
      </w:tr>
      <w:tr>
        <w:trPr>
          <w:trHeight w:val="302" w:hRule="atLeast"/>
        </w:trPr>
        <w:tc>
          <w:tcPr>
            <w:tcW w:w="1452" w:type="dxa"/>
          </w:tcPr>
          <w:p>
            <w:pPr>
              <w:pStyle w:val="TableParagraph"/>
              <w:spacing w:before="21"/>
              <w:ind w:left="247" w:right="240"/>
              <w:jc w:val="center"/>
              <w:rPr>
                <w:sz w:val="20"/>
              </w:rPr>
            </w:pPr>
            <w:r>
              <w:rPr>
                <w:w w:val="95"/>
                <w:sz w:val="20"/>
              </w:rPr>
              <w:t>2010-</w:t>
            </w:r>
            <w:r>
              <w:rPr>
                <w:spacing w:val="-4"/>
                <w:sz w:val="20"/>
              </w:rPr>
              <w:t>2011</w:t>
            </w:r>
          </w:p>
        </w:tc>
        <w:tc>
          <w:tcPr>
            <w:tcW w:w="1171" w:type="dxa"/>
          </w:tcPr>
          <w:p>
            <w:pPr>
              <w:pStyle w:val="TableParagraph"/>
              <w:spacing w:before="21"/>
              <w:ind w:left="403" w:right="399"/>
              <w:jc w:val="center"/>
              <w:rPr>
                <w:sz w:val="20"/>
              </w:rPr>
            </w:pPr>
            <w:r>
              <w:rPr>
                <w:spacing w:val="-5"/>
                <w:sz w:val="20"/>
              </w:rPr>
              <w:t>182</w:t>
            </w:r>
          </w:p>
        </w:tc>
        <w:tc>
          <w:tcPr>
            <w:tcW w:w="1709" w:type="dxa"/>
          </w:tcPr>
          <w:p>
            <w:pPr>
              <w:pStyle w:val="TableParagraph"/>
              <w:spacing w:before="21"/>
              <w:ind w:left="273" w:right="405"/>
              <w:jc w:val="center"/>
              <w:rPr>
                <w:sz w:val="20"/>
              </w:rPr>
            </w:pPr>
            <w:r>
              <w:rPr>
                <w:spacing w:val="-2"/>
                <w:sz w:val="20"/>
              </w:rPr>
              <w:t>$28,015.00</w:t>
            </w:r>
          </w:p>
        </w:tc>
        <w:tc>
          <w:tcPr>
            <w:tcW w:w="1563" w:type="dxa"/>
          </w:tcPr>
          <w:p>
            <w:pPr>
              <w:pStyle w:val="TableParagraph"/>
              <w:spacing w:before="21"/>
              <w:ind w:left="347"/>
              <w:rPr>
                <w:sz w:val="20"/>
              </w:rPr>
            </w:pPr>
            <w:r>
              <w:rPr>
                <w:spacing w:val="-2"/>
                <w:sz w:val="20"/>
              </w:rPr>
              <w:t>$153.93</w:t>
            </w:r>
          </w:p>
        </w:tc>
        <w:tc>
          <w:tcPr>
            <w:tcW w:w="1460" w:type="dxa"/>
          </w:tcPr>
          <w:p>
            <w:pPr>
              <w:pStyle w:val="TableParagraph"/>
              <w:spacing w:before="21"/>
              <w:ind w:left="100"/>
              <w:rPr>
                <w:sz w:val="20"/>
              </w:rPr>
            </w:pPr>
            <w:r>
              <w:rPr>
                <w:spacing w:val="-2"/>
                <w:sz w:val="20"/>
              </w:rPr>
              <w:t>$814,378.00</w:t>
            </w:r>
          </w:p>
        </w:tc>
        <w:tc>
          <w:tcPr>
            <w:tcW w:w="1330" w:type="dxa"/>
          </w:tcPr>
          <w:p>
            <w:pPr>
              <w:pStyle w:val="TableParagraph"/>
              <w:spacing w:before="21"/>
              <w:ind w:left="144"/>
              <w:rPr>
                <w:sz w:val="20"/>
              </w:rPr>
            </w:pPr>
            <w:r>
              <w:rPr>
                <w:spacing w:val="-2"/>
                <w:sz w:val="20"/>
              </w:rPr>
              <w:t>$4,474.60</w:t>
            </w:r>
          </w:p>
        </w:tc>
      </w:tr>
      <w:tr>
        <w:trPr>
          <w:trHeight w:val="301" w:hRule="atLeast"/>
        </w:trPr>
        <w:tc>
          <w:tcPr>
            <w:tcW w:w="1452" w:type="dxa"/>
          </w:tcPr>
          <w:p>
            <w:pPr>
              <w:pStyle w:val="TableParagraph"/>
              <w:spacing w:before="21"/>
              <w:ind w:left="247" w:right="240"/>
              <w:jc w:val="center"/>
              <w:rPr>
                <w:sz w:val="20"/>
              </w:rPr>
            </w:pPr>
            <w:r>
              <w:rPr>
                <w:w w:val="95"/>
                <w:sz w:val="20"/>
              </w:rPr>
              <w:t>2011-</w:t>
            </w:r>
            <w:r>
              <w:rPr>
                <w:spacing w:val="-4"/>
                <w:sz w:val="20"/>
              </w:rPr>
              <w:t>2012</w:t>
            </w:r>
          </w:p>
        </w:tc>
        <w:tc>
          <w:tcPr>
            <w:tcW w:w="1171" w:type="dxa"/>
          </w:tcPr>
          <w:p>
            <w:pPr>
              <w:pStyle w:val="TableParagraph"/>
              <w:spacing w:before="21"/>
              <w:ind w:left="403" w:right="399"/>
              <w:jc w:val="center"/>
              <w:rPr>
                <w:sz w:val="20"/>
              </w:rPr>
            </w:pPr>
            <w:r>
              <w:rPr>
                <w:spacing w:val="-5"/>
                <w:sz w:val="20"/>
              </w:rPr>
              <w:t>159</w:t>
            </w:r>
          </w:p>
        </w:tc>
        <w:tc>
          <w:tcPr>
            <w:tcW w:w="1709" w:type="dxa"/>
          </w:tcPr>
          <w:p>
            <w:pPr>
              <w:pStyle w:val="TableParagraph"/>
              <w:spacing w:before="21"/>
              <w:ind w:left="273" w:right="405"/>
              <w:jc w:val="center"/>
              <w:rPr>
                <w:sz w:val="20"/>
              </w:rPr>
            </w:pPr>
            <w:r>
              <w:rPr>
                <w:spacing w:val="-2"/>
                <w:sz w:val="20"/>
              </w:rPr>
              <w:t>$28,015.00</w:t>
            </w:r>
          </w:p>
        </w:tc>
        <w:tc>
          <w:tcPr>
            <w:tcW w:w="1563" w:type="dxa"/>
          </w:tcPr>
          <w:p>
            <w:pPr>
              <w:pStyle w:val="TableParagraph"/>
              <w:spacing w:before="21"/>
              <w:ind w:left="347"/>
              <w:rPr>
                <w:sz w:val="20"/>
              </w:rPr>
            </w:pPr>
            <w:r>
              <w:rPr>
                <w:spacing w:val="-2"/>
                <w:sz w:val="20"/>
              </w:rPr>
              <w:t>$176.19</w:t>
            </w:r>
          </w:p>
        </w:tc>
        <w:tc>
          <w:tcPr>
            <w:tcW w:w="1460" w:type="dxa"/>
          </w:tcPr>
          <w:p>
            <w:pPr>
              <w:pStyle w:val="TableParagraph"/>
              <w:spacing w:before="21"/>
              <w:ind w:left="100"/>
              <w:rPr>
                <w:sz w:val="20"/>
              </w:rPr>
            </w:pPr>
            <w:r>
              <w:rPr>
                <w:spacing w:val="-2"/>
                <w:sz w:val="20"/>
              </w:rPr>
              <w:t>$822,000.00</w:t>
            </w:r>
          </w:p>
        </w:tc>
        <w:tc>
          <w:tcPr>
            <w:tcW w:w="1330" w:type="dxa"/>
          </w:tcPr>
          <w:p>
            <w:pPr>
              <w:pStyle w:val="TableParagraph"/>
              <w:spacing w:before="21"/>
              <w:ind w:left="144"/>
              <w:rPr>
                <w:sz w:val="20"/>
              </w:rPr>
            </w:pPr>
            <w:r>
              <w:rPr>
                <w:spacing w:val="-2"/>
                <w:sz w:val="20"/>
              </w:rPr>
              <w:t>$5,169.81</w:t>
            </w:r>
          </w:p>
        </w:tc>
      </w:tr>
      <w:tr>
        <w:trPr>
          <w:trHeight w:val="301" w:hRule="atLeast"/>
        </w:trPr>
        <w:tc>
          <w:tcPr>
            <w:tcW w:w="1452" w:type="dxa"/>
          </w:tcPr>
          <w:p>
            <w:pPr>
              <w:pStyle w:val="TableParagraph"/>
              <w:spacing w:before="21"/>
              <w:ind w:left="247" w:right="240"/>
              <w:jc w:val="center"/>
              <w:rPr>
                <w:sz w:val="20"/>
              </w:rPr>
            </w:pPr>
            <w:r>
              <w:rPr>
                <w:w w:val="95"/>
                <w:sz w:val="20"/>
              </w:rPr>
              <w:t>2012-</w:t>
            </w:r>
            <w:r>
              <w:rPr>
                <w:spacing w:val="-4"/>
                <w:sz w:val="20"/>
              </w:rPr>
              <w:t>2013</w:t>
            </w:r>
          </w:p>
        </w:tc>
        <w:tc>
          <w:tcPr>
            <w:tcW w:w="1171" w:type="dxa"/>
          </w:tcPr>
          <w:p>
            <w:pPr>
              <w:pStyle w:val="TableParagraph"/>
              <w:spacing w:before="21"/>
              <w:ind w:left="403" w:right="399"/>
              <w:jc w:val="center"/>
              <w:rPr>
                <w:sz w:val="20"/>
              </w:rPr>
            </w:pPr>
            <w:r>
              <w:rPr>
                <w:spacing w:val="-5"/>
                <w:sz w:val="20"/>
              </w:rPr>
              <w:t>142</w:t>
            </w:r>
          </w:p>
        </w:tc>
        <w:tc>
          <w:tcPr>
            <w:tcW w:w="1709" w:type="dxa"/>
          </w:tcPr>
          <w:p>
            <w:pPr>
              <w:pStyle w:val="TableParagraph"/>
              <w:spacing w:before="21"/>
              <w:ind w:left="273" w:right="405"/>
              <w:jc w:val="center"/>
              <w:rPr>
                <w:sz w:val="20"/>
              </w:rPr>
            </w:pPr>
            <w:r>
              <w:rPr>
                <w:spacing w:val="-2"/>
                <w:sz w:val="20"/>
              </w:rPr>
              <w:t>$28,765.00</w:t>
            </w:r>
          </w:p>
        </w:tc>
        <w:tc>
          <w:tcPr>
            <w:tcW w:w="1563" w:type="dxa"/>
          </w:tcPr>
          <w:p>
            <w:pPr>
              <w:pStyle w:val="TableParagraph"/>
              <w:spacing w:before="21"/>
              <w:ind w:left="347"/>
              <w:rPr>
                <w:sz w:val="20"/>
              </w:rPr>
            </w:pPr>
            <w:r>
              <w:rPr>
                <w:spacing w:val="-2"/>
                <w:sz w:val="20"/>
              </w:rPr>
              <w:t>$202.57</w:t>
            </w:r>
          </w:p>
        </w:tc>
        <w:tc>
          <w:tcPr>
            <w:tcW w:w="1460" w:type="dxa"/>
          </w:tcPr>
          <w:p>
            <w:pPr>
              <w:pStyle w:val="TableParagraph"/>
              <w:spacing w:before="21"/>
              <w:ind w:left="100"/>
              <w:rPr>
                <w:sz w:val="20"/>
              </w:rPr>
            </w:pPr>
            <w:r>
              <w:rPr>
                <w:spacing w:val="-2"/>
                <w:sz w:val="20"/>
              </w:rPr>
              <w:t>$696,140.00</w:t>
            </w:r>
          </w:p>
        </w:tc>
        <w:tc>
          <w:tcPr>
            <w:tcW w:w="1330" w:type="dxa"/>
          </w:tcPr>
          <w:p>
            <w:pPr>
              <w:pStyle w:val="TableParagraph"/>
              <w:spacing w:before="21"/>
              <w:ind w:left="144"/>
              <w:rPr>
                <w:sz w:val="20"/>
              </w:rPr>
            </w:pPr>
            <w:r>
              <w:rPr>
                <w:spacing w:val="-2"/>
                <w:sz w:val="20"/>
              </w:rPr>
              <w:t>$4,902.39</w:t>
            </w:r>
          </w:p>
        </w:tc>
      </w:tr>
      <w:tr>
        <w:trPr>
          <w:trHeight w:val="304" w:hRule="atLeast"/>
        </w:trPr>
        <w:tc>
          <w:tcPr>
            <w:tcW w:w="1452" w:type="dxa"/>
          </w:tcPr>
          <w:p>
            <w:pPr>
              <w:pStyle w:val="TableParagraph"/>
              <w:spacing w:before="21"/>
              <w:ind w:left="247" w:right="240"/>
              <w:jc w:val="center"/>
              <w:rPr>
                <w:sz w:val="20"/>
              </w:rPr>
            </w:pPr>
            <w:r>
              <w:rPr>
                <w:w w:val="95"/>
                <w:sz w:val="20"/>
              </w:rPr>
              <w:t>2013-</w:t>
            </w:r>
            <w:r>
              <w:rPr>
                <w:spacing w:val="-4"/>
                <w:sz w:val="20"/>
              </w:rPr>
              <w:t>2014</w:t>
            </w:r>
          </w:p>
        </w:tc>
        <w:tc>
          <w:tcPr>
            <w:tcW w:w="1171" w:type="dxa"/>
          </w:tcPr>
          <w:p>
            <w:pPr>
              <w:pStyle w:val="TableParagraph"/>
              <w:spacing w:before="21"/>
              <w:ind w:left="403" w:right="399"/>
              <w:jc w:val="center"/>
              <w:rPr>
                <w:sz w:val="20"/>
              </w:rPr>
            </w:pPr>
            <w:r>
              <w:rPr>
                <w:spacing w:val="-5"/>
                <w:sz w:val="20"/>
              </w:rPr>
              <w:t>143</w:t>
            </w:r>
          </w:p>
        </w:tc>
        <w:tc>
          <w:tcPr>
            <w:tcW w:w="1709" w:type="dxa"/>
          </w:tcPr>
          <w:p>
            <w:pPr>
              <w:pStyle w:val="TableParagraph"/>
              <w:spacing w:before="21"/>
              <w:ind w:left="273" w:right="405"/>
              <w:jc w:val="center"/>
              <w:rPr>
                <w:sz w:val="20"/>
              </w:rPr>
            </w:pPr>
            <w:r>
              <w:rPr>
                <w:spacing w:val="-2"/>
                <w:sz w:val="20"/>
              </w:rPr>
              <w:t>$30,087.00</w:t>
            </w:r>
          </w:p>
        </w:tc>
        <w:tc>
          <w:tcPr>
            <w:tcW w:w="1563" w:type="dxa"/>
          </w:tcPr>
          <w:p>
            <w:pPr>
              <w:pStyle w:val="TableParagraph"/>
              <w:spacing w:before="21"/>
              <w:ind w:left="347"/>
              <w:rPr>
                <w:sz w:val="20"/>
              </w:rPr>
            </w:pPr>
            <w:r>
              <w:rPr>
                <w:spacing w:val="-2"/>
                <w:sz w:val="20"/>
              </w:rPr>
              <w:t>$210.40</w:t>
            </w:r>
          </w:p>
        </w:tc>
        <w:tc>
          <w:tcPr>
            <w:tcW w:w="1460" w:type="dxa"/>
          </w:tcPr>
          <w:p>
            <w:pPr>
              <w:pStyle w:val="TableParagraph"/>
              <w:spacing w:before="21"/>
              <w:ind w:left="100"/>
              <w:rPr>
                <w:sz w:val="20"/>
              </w:rPr>
            </w:pPr>
            <w:r>
              <w:rPr>
                <w:spacing w:val="-2"/>
                <w:sz w:val="20"/>
              </w:rPr>
              <w:t>$717,483.00</w:t>
            </w:r>
          </w:p>
        </w:tc>
        <w:tc>
          <w:tcPr>
            <w:tcW w:w="1330" w:type="dxa"/>
          </w:tcPr>
          <w:p>
            <w:pPr>
              <w:pStyle w:val="TableParagraph"/>
              <w:spacing w:before="21"/>
              <w:ind w:left="144"/>
              <w:rPr>
                <w:sz w:val="20"/>
              </w:rPr>
            </w:pPr>
            <w:r>
              <w:rPr>
                <w:spacing w:val="-2"/>
                <w:sz w:val="20"/>
              </w:rPr>
              <w:t>$5,017.36</w:t>
            </w:r>
          </w:p>
        </w:tc>
      </w:tr>
    </w:tbl>
    <w:p>
      <w:pPr>
        <w:pStyle w:val="BodyText"/>
        <w:spacing w:before="10"/>
      </w:pPr>
    </w:p>
    <w:p>
      <w:pPr>
        <w:pStyle w:val="BodyText"/>
        <w:spacing w:before="1"/>
        <w:ind w:left="1503" w:right="1211"/>
      </w:pPr>
      <w:r>
        <w:rPr/>
        <w:t>This</w:t>
      </w:r>
      <w:r>
        <w:rPr>
          <w:spacing w:val="-3"/>
        </w:rPr>
        <w:t> </w:t>
      </w:r>
      <w:r>
        <w:rPr/>
        <w:t>compares</w:t>
      </w:r>
      <w:r>
        <w:rPr>
          <w:spacing w:val="-3"/>
        </w:rPr>
        <w:t> </w:t>
      </w:r>
      <w:r>
        <w:rPr/>
        <w:t>with</w:t>
      </w:r>
      <w:r>
        <w:rPr>
          <w:spacing w:val="-4"/>
        </w:rPr>
        <w:t> </w:t>
      </w:r>
      <w:r>
        <w:rPr/>
        <w:t>the</w:t>
      </w:r>
      <w:r>
        <w:rPr>
          <w:spacing w:val="-4"/>
        </w:rPr>
        <w:t> </w:t>
      </w:r>
      <w:r>
        <w:rPr/>
        <w:t>funding</w:t>
      </w:r>
      <w:r>
        <w:rPr>
          <w:spacing w:val="-4"/>
        </w:rPr>
        <w:t> </w:t>
      </w:r>
      <w:r>
        <w:rPr/>
        <w:t>received</w:t>
      </w:r>
      <w:r>
        <w:rPr>
          <w:spacing w:val="-4"/>
        </w:rPr>
        <w:t> </w:t>
      </w:r>
      <w:r>
        <w:rPr/>
        <w:t>from the</w:t>
      </w:r>
      <w:r>
        <w:rPr>
          <w:spacing w:val="-4"/>
        </w:rPr>
        <w:t> </w:t>
      </w:r>
      <w:r>
        <w:rPr/>
        <w:t>School</w:t>
      </w:r>
      <w:r>
        <w:rPr>
          <w:spacing w:val="-3"/>
        </w:rPr>
        <w:t> </w:t>
      </w:r>
      <w:r>
        <w:rPr/>
        <w:t>of</w:t>
      </w:r>
      <w:r>
        <w:rPr>
          <w:spacing w:val="-2"/>
        </w:rPr>
        <w:t> </w:t>
      </w:r>
      <w:r>
        <w:rPr/>
        <w:t>Pharmacy,</w:t>
      </w:r>
      <w:r>
        <w:rPr>
          <w:spacing w:val="-2"/>
        </w:rPr>
        <w:t> </w:t>
      </w:r>
      <w:r>
        <w:rPr/>
        <w:t>which</w:t>
      </w:r>
      <w:r>
        <w:rPr>
          <w:spacing w:val="-4"/>
        </w:rPr>
        <w:t> </w:t>
      </w:r>
      <w:r>
        <w:rPr/>
        <w:t>also</w:t>
      </w:r>
      <w:r>
        <w:rPr>
          <w:spacing w:val="-4"/>
        </w:rPr>
        <w:t> </w:t>
      </w:r>
      <w:r>
        <w:rPr/>
        <w:t>offers</w:t>
      </w:r>
      <w:r>
        <w:rPr>
          <w:spacing w:val="-3"/>
        </w:rPr>
        <w:t> </w:t>
      </w:r>
      <w:r>
        <w:rPr/>
        <w:t>a masters degree. Their funding history over the same period is described later in this </w:t>
      </w:r>
      <w:r>
        <w:rPr>
          <w:spacing w:val="-2"/>
        </w:rPr>
        <w:t>section.</w:t>
      </w:r>
    </w:p>
    <w:p>
      <w:pPr>
        <w:pStyle w:val="BodyText"/>
        <w:spacing w:before="8"/>
      </w:pPr>
    </w:p>
    <w:p>
      <w:pPr>
        <w:pStyle w:val="BodyText"/>
        <w:ind w:left="1503" w:right="1151"/>
      </w:pPr>
      <w:r>
        <w:rPr/>
        <w:t>The University stresses self-sufficiency and asks departments to find creative funding sources to meet a variety of needs.</w:t>
      </w:r>
      <w:r>
        <w:rPr>
          <w:spacing w:val="40"/>
        </w:rPr>
        <w:t> </w:t>
      </w:r>
      <w:r>
        <w:rPr/>
        <w:t>The School of Engineering &amp; Technology has been extremely</w:t>
      </w:r>
      <w:r>
        <w:rPr>
          <w:spacing w:val="-10"/>
        </w:rPr>
        <w:t> </w:t>
      </w:r>
      <w:r>
        <w:rPr/>
        <w:t>supportive</w:t>
      </w:r>
      <w:r>
        <w:rPr>
          <w:spacing w:val="-2"/>
        </w:rPr>
        <w:t> </w:t>
      </w:r>
      <w:r>
        <w:rPr/>
        <w:t>in</w:t>
      </w:r>
      <w:r>
        <w:rPr>
          <w:spacing w:val="-4"/>
        </w:rPr>
        <w:t> </w:t>
      </w:r>
      <w:r>
        <w:rPr/>
        <w:t>finding</w:t>
      </w:r>
      <w:r>
        <w:rPr>
          <w:spacing w:val="-2"/>
        </w:rPr>
        <w:t> </w:t>
      </w:r>
      <w:r>
        <w:rPr/>
        <w:t>additional,</w:t>
      </w:r>
      <w:r>
        <w:rPr>
          <w:spacing w:val="-2"/>
        </w:rPr>
        <w:t> </w:t>
      </w:r>
      <w:r>
        <w:rPr/>
        <w:t>non-budgeted</w:t>
      </w:r>
      <w:r>
        <w:rPr>
          <w:spacing w:val="-4"/>
        </w:rPr>
        <w:t> </w:t>
      </w:r>
      <w:r>
        <w:rPr/>
        <w:t>income</w:t>
      </w:r>
      <w:r>
        <w:rPr>
          <w:spacing w:val="-4"/>
        </w:rPr>
        <w:t> </w:t>
      </w:r>
      <w:r>
        <w:rPr/>
        <w:t>sources</w:t>
      </w:r>
      <w:r>
        <w:rPr>
          <w:spacing w:val="-3"/>
        </w:rPr>
        <w:t> </w:t>
      </w:r>
      <w:r>
        <w:rPr/>
        <w:t>to</w:t>
      </w:r>
      <w:r>
        <w:rPr>
          <w:spacing w:val="-4"/>
        </w:rPr>
        <w:t> </w:t>
      </w:r>
      <w:r>
        <w:rPr/>
        <w:t>fund</w:t>
      </w:r>
      <w:r>
        <w:rPr>
          <w:spacing w:val="-4"/>
        </w:rPr>
        <w:t> </w:t>
      </w:r>
      <w:r>
        <w:rPr/>
        <w:t>faculty</w:t>
      </w:r>
      <w:r>
        <w:rPr>
          <w:spacing w:val="-7"/>
        </w:rPr>
        <w:t> </w:t>
      </w:r>
      <w:r>
        <w:rPr/>
        <w:t>and student travel and meet other requests that are made to the Dean.</w:t>
      </w:r>
      <w:r>
        <w:rPr>
          <w:spacing w:val="40"/>
        </w:rPr>
        <w:t> </w:t>
      </w:r>
      <w:r>
        <w:rPr/>
        <w:t>In 2001 the University received a significant endowed bequest from a friend of the Department, Sol Cohen, with the understanding that income</w:t>
      </w:r>
      <w:r>
        <w:rPr>
          <w:spacing w:val="-1"/>
        </w:rPr>
        <w:t> </w:t>
      </w:r>
      <w:r>
        <w:rPr/>
        <w:t>from the bequest go to the Department of Architecture. This is the first such bequest the University has received.</w:t>
      </w:r>
    </w:p>
    <w:p>
      <w:pPr>
        <w:pStyle w:val="BodyText"/>
        <w:rPr>
          <w:sz w:val="21"/>
        </w:rPr>
      </w:pPr>
    </w:p>
    <w:p>
      <w:pPr>
        <w:pStyle w:val="BodyText"/>
        <w:ind w:left="1503" w:right="1151"/>
      </w:pPr>
      <w:r>
        <w:rPr/>
        <w:t>In the last three years the Department has received increased benefit from grant funding. We are also seeking outside funding for visiting lecturers and travel/faculty development. We</w:t>
      </w:r>
      <w:r>
        <w:rPr>
          <w:spacing w:val="-7"/>
        </w:rPr>
        <w:t> </w:t>
      </w:r>
      <w:r>
        <w:rPr/>
        <w:t>have</w:t>
      </w:r>
      <w:r>
        <w:rPr>
          <w:spacing w:val="-4"/>
        </w:rPr>
        <w:t> </w:t>
      </w:r>
      <w:r>
        <w:rPr/>
        <w:t>successfully</w:t>
      </w:r>
      <w:r>
        <w:rPr>
          <w:spacing w:val="-5"/>
        </w:rPr>
        <w:t> </w:t>
      </w:r>
      <w:r>
        <w:rPr/>
        <w:t>applied</w:t>
      </w:r>
      <w:r>
        <w:rPr>
          <w:spacing w:val="-4"/>
        </w:rPr>
        <w:t> </w:t>
      </w:r>
      <w:r>
        <w:rPr/>
        <w:t>for</w:t>
      </w:r>
      <w:r>
        <w:rPr>
          <w:spacing w:val="-3"/>
        </w:rPr>
        <w:t> </w:t>
      </w:r>
      <w:r>
        <w:rPr/>
        <w:t>funding</w:t>
      </w:r>
      <w:r>
        <w:rPr>
          <w:spacing w:val="-4"/>
        </w:rPr>
        <w:t> </w:t>
      </w:r>
      <w:r>
        <w:rPr/>
        <w:t>for</w:t>
      </w:r>
      <w:r>
        <w:rPr>
          <w:spacing w:val="-3"/>
        </w:rPr>
        <w:t> </w:t>
      </w:r>
      <w:r>
        <w:rPr/>
        <w:t>our</w:t>
      </w:r>
      <w:r>
        <w:rPr>
          <w:spacing w:val="-3"/>
        </w:rPr>
        <w:t> </w:t>
      </w:r>
      <w:r>
        <w:rPr/>
        <w:t>study-abroad</w:t>
      </w:r>
      <w:r>
        <w:rPr>
          <w:spacing w:val="-2"/>
        </w:rPr>
        <w:t> </w:t>
      </w:r>
      <w:r>
        <w:rPr/>
        <w:t>portion</w:t>
      </w:r>
      <w:r>
        <w:rPr>
          <w:spacing w:val="-2"/>
        </w:rPr>
        <w:t> </w:t>
      </w:r>
      <w:r>
        <w:rPr/>
        <w:t>of</w:t>
      </w:r>
      <w:r>
        <w:rPr>
          <w:spacing w:val="-2"/>
        </w:rPr>
        <w:t> </w:t>
      </w:r>
      <w:r>
        <w:rPr/>
        <w:t>the</w:t>
      </w:r>
      <w:r>
        <w:rPr>
          <w:spacing w:val="-4"/>
        </w:rPr>
        <w:t> </w:t>
      </w:r>
      <w:r>
        <w:rPr/>
        <w:t>Urban</w:t>
      </w:r>
      <w:r>
        <w:rPr>
          <w:spacing w:val="-4"/>
        </w:rPr>
        <w:t> </w:t>
      </w:r>
      <w:r>
        <w:rPr/>
        <w:t>Institute and we are continuing to apply for foundation grants to support other student activities.</w:t>
      </w:r>
    </w:p>
    <w:p>
      <w:pPr>
        <w:pStyle w:val="BodyText"/>
        <w:ind w:left="1503" w:right="1211"/>
      </w:pPr>
      <w:r>
        <w:rPr/>
        <w:t>Local</w:t>
      </w:r>
      <w:r>
        <w:rPr>
          <w:spacing w:val="-3"/>
        </w:rPr>
        <w:t> </w:t>
      </w:r>
      <w:r>
        <w:rPr/>
        <w:t>and</w:t>
      </w:r>
      <w:r>
        <w:rPr>
          <w:spacing w:val="-2"/>
        </w:rPr>
        <w:t> </w:t>
      </w:r>
      <w:r>
        <w:rPr/>
        <w:t>state</w:t>
      </w:r>
      <w:r>
        <w:rPr>
          <w:spacing w:val="-2"/>
        </w:rPr>
        <w:t> </w:t>
      </w:r>
      <w:r>
        <w:rPr/>
        <w:t>A/E</w:t>
      </w:r>
      <w:r>
        <w:rPr>
          <w:spacing w:val="-5"/>
        </w:rPr>
        <w:t> </w:t>
      </w:r>
      <w:r>
        <w:rPr/>
        <w:t>firms</w:t>
      </w:r>
      <w:r>
        <w:rPr>
          <w:spacing w:val="-3"/>
        </w:rPr>
        <w:t> </w:t>
      </w:r>
      <w:r>
        <w:rPr/>
        <w:t>have</w:t>
      </w:r>
      <w:r>
        <w:rPr>
          <w:spacing w:val="-2"/>
        </w:rPr>
        <w:t> </w:t>
      </w:r>
      <w:r>
        <w:rPr/>
        <w:t>offered</w:t>
      </w:r>
      <w:r>
        <w:rPr>
          <w:spacing w:val="-4"/>
        </w:rPr>
        <w:t> </w:t>
      </w:r>
      <w:r>
        <w:rPr/>
        <w:t>financial</w:t>
      </w:r>
      <w:r>
        <w:rPr>
          <w:spacing w:val="-5"/>
        </w:rPr>
        <w:t> </w:t>
      </w:r>
      <w:r>
        <w:rPr/>
        <w:t>support</w:t>
      </w:r>
      <w:r>
        <w:rPr>
          <w:spacing w:val="-4"/>
        </w:rPr>
        <w:t> </w:t>
      </w:r>
      <w:r>
        <w:rPr/>
        <w:t>as</w:t>
      </w:r>
      <w:r>
        <w:rPr>
          <w:spacing w:val="-3"/>
        </w:rPr>
        <w:t> </w:t>
      </w:r>
      <w:r>
        <w:rPr/>
        <w:t>have</w:t>
      </w:r>
      <w:r>
        <w:rPr>
          <w:spacing w:val="-4"/>
        </w:rPr>
        <w:t> </w:t>
      </w:r>
      <w:r>
        <w:rPr/>
        <w:t>organizations</w:t>
      </w:r>
      <w:r>
        <w:rPr>
          <w:spacing w:val="-3"/>
        </w:rPr>
        <w:t> </w:t>
      </w:r>
      <w:r>
        <w:rPr/>
        <w:t>that</w:t>
      </w:r>
      <w:r>
        <w:rPr>
          <w:spacing w:val="-4"/>
        </w:rPr>
        <w:t> </w:t>
      </w:r>
      <w:r>
        <w:rPr/>
        <w:t>employ our graduates. Care has been taken to assure that these funds, while directed to funded activities, will achieve maximum impact on the entire program.</w:t>
      </w:r>
    </w:p>
    <w:p>
      <w:pPr>
        <w:pStyle w:val="BodyText"/>
        <w:spacing w:before="11"/>
      </w:pPr>
    </w:p>
    <w:p>
      <w:pPr>
        <w:pStyle w:val="BodyText"/>
        <w:ind w:left="1504" w:right="1171"/>
      </w:pPr>
      <w:r>
        <w:rPr/>
        <w:t>There has been grant funding support available from the University and from the School of Engineering and Technology and the University Special Budget to support speakers and other Department activities.</w:t>
      </w:r>
      <w:r>
        <w:rPr>
          <w:spacing w:val="40"/>
        </w:rPr>
        <w:t> </w:t>
      </w:r>
      <w:r>
        <w:rPr/>
        <w:t>Title III funding for library acquisitions, specialized equipment such as computers and studio furniture has been approved by</w:t>
      </w:r>
      <w:r>
        <w:rPr>
          <w:spacing w:val="-2"/>
        </w:rPr>
        <w:t> </w:t>
      </w:r>
      <w:r>
        <w:rPr/>
        <w:t>the University</w:t>
      </w:r>
      <w:r>
        <w:rPr>
          <w:spacing w:val="-2"/>
        </w:rPr>
        <w:t> </w:t>
      </w:r>
      <w:r>
        <w:rPr/>
        <w:t>administration for</w:t>
      </w:r>
      <w:r>
        <w:rPr>
          <w:spacing w:val="-2"/>
        </w:rPr>
        <w:t> </w:t>
      </w:r>
      <w:r>
        <w:rPr/>
        <w:t>use</w:t>
      </w:r>
      <w:r>
        <w:rPr>
          <w:spacing w:val="-3"/>
        </w:rPr>
        <w:t> </w:t>
      </w:r>
      <w:r>
        <w:rPr/>
        <w:t>by</w:t>
      </w:r>
      <w:r>
        <w:rPr>
          <w:spacing w:val="-6"/>
        </w:rPr>
        <w:t> </w:t>
      </w:r>
      <w:r>
        <w:rPr/>
        <w:t>the</w:t>
      </w:r>
      <w:r>
        <w:rPr>
          <w:spacing w:val="-3"/>
        </w:rPr>
        <w:t> </w:t>
      </w:r>
      <w:r>
        <w:rPr/>
        <w:t>Department.</w:t>
      </w:r>
      <w:r>
        <w:rPr>
          <w:spacing w:val="40"/>
        </w:rPr>
        <w:t> </w:t>
      </w:r>
      <w:r>
        <w:rPr/>
        <w:t>Our</w:t>
      </w:r>
      <w:r>
        <w:rPr>
          <w:spacing w:val="-2"/>
        </w:rPr>
        <w:t> </w:t>
      </w:r>
      <w:r>
        <w:rPr/>
        <w:t>goal</w:t>
      </w:r>
      <w:r>
        <w:rPr>
          <w:spacing w:val="-4"/>
        </w:rPr>
        <w:t> </w:t>
      </w:r>
      <w:r>
        <w:rPr/>
        <w:t>is</w:t>
      </w:r>
      <w:r>
        <w:rPr>
          <w:spacing w:val="-2"/>
        </w:rPr>
        <w:t> </w:t>
      </w:r>
      <w:r>
        <w:rPr/>
        <w:t>to</w:t>
      </w:r>
      <w:r>
        <w:rPr>
          <w:spacing w:val="-3"/>
        </w:rPr>
        <w:t> </w:t>
      </w:r>
      <w:r>
        <w:rPr/>
        <w:t>have</w:t>
      </w:r>
      <w:r>
        <w:rPr>
          <w:spacing w:val="-3"/>
        </w:rPr>
        <w:t> </w:t>
      </w:r>
      <w:r>
        <w:rPr/>
        <w:t>the</w:t>
      </w:r>
      <w:r>
        <w:rPr>
          <w:spacing w:val="-3"/>
        </w:rPr>
        <w:t> </w:t>
      </w:r>
      <w:r>
        <w:rPr/>
        <w:t>University</w:t>
      </w:r>
      <w:r>
        <w:rPr>
          <w:spacing w:val="-6"/>
        </w:rPr>
        <w:t> </w:t>
      </w:r>
      <w:r>
        <w:rPr/>
        <w:t>sponsor</w:t>
      </w:r>
      <w:r>
        <w:rPr>
          <w:spacing w:val="-2"/>
        </w:rPr>
        <w:t> </w:t>
      </w:r>
      <w:r>
        <w:rPr/>
        <w:t>each</w:t>
      </w:r>
      <w:r>
        <w:rPr>
          <w:spacing w:val="-3"/>
        </w:rPr>
        <w:t> </w:t>
      </w:r>
      <w:r>
        <w:rPr/>
        <w:t>faculty</w:t>
      </w:r>
      <w:r>
        <w:rPr>
          <w:spacing w:val="-6"/>
        </w:rPr>
        <w:t> </w:t>
      </w:r>
      <w:r>
        <w:rPr/>
        <w:t>member for at least one travel opportunity this year (and in future years) to present papers,</w:t>
      </w:r>
      <w:r>
        <w:rPr>
          <w:spacing w:val="40"/>
        </w:rPr>
        <w:t> </w:t>
      </w:r>
      <w:r>
        <w:rPr/>
        <w:t>moderate sessions, serve as an officer, or otherwise be involved in conference activities.</w:t>
      </w:r>
    </w:p>
    <w:p>
      <w:pPr>
        <w:pStyle w:val="BodyText"/>
        <w:spacing w:line="229" w:lineRule="exact"/>
        <w:ind w:left="1504"/>
      </w:pPr>
      <w:r>
        <w:rPr/>
        <w:t>Our</w:t>
      </w:r>
      <w:r>
        <w:rPr>
          <w:spacing w:val="-7"/>
        </w:rPr>
        <w:t> </w:t>
      </w:r>
      <w:r>
        <w:rPr/>
        <w:t>budget</w:t>
      </w:r>
      <w:r>
        <w:rPr>
          <w:spacing w:val="-7"/>
        </w:rPr>
        <w:t> </w:t>
      </w:r>
      <w:r>
        <w:rPr/>
        <w:t>request</w:t>
      </w:r>
      <w:r>
        <w:rPr>
          <w:spacing w:val="-5"/>
        </w:rPr>
        <w:t> </w:t>
      </w:r>
      <w:r>
        <w:rPr/>
        <w:t>also</w:t>
      </w:r>
      <w:r>
        <w:rPr>
          <w:spacing w:val="-6"/>
        </w:rPr>
        <w:t> </w:t>
      </w:r>
      <w:r>
        <w:rPr/>
        <w:t>includes</w:t>
      </w:r>
      <w:r>
        <w:rPr>
          <w:spacing w:val="-6"/>
        </w:rPr>
        <w:t> </w:t>
      </w:r>
      <w:r>
        <w:rPr/>
        <w:t>assisting</w:t>
      </w:r>
      <w:r>
        <w:rPr>
          <w:spacing w:val="-7"/>
        </w:rPr>
        <w:t> </w:t>
      </w:r>
      <w:r>
        <w:rPr/>
        <w:t>faculty</w:t>
      </w:r>
      <w:r>
        <w:rPr>
          <w:spacing w:val="-8"/>
        </w:rPr>
        <w:t> </w:t>
      </w:r>
      <w:r>
        <w:rPr/>
        <w:t>in</w:t>
      </w:r>
      <w:r>
        <w:rPr>
          <w:spacing w:val="-5"/>
        </w:rPr>
        <w:t> </w:t>
      </w:r>
      <w:r>
        <w:rPr/>
        <w:t>paying</w:t>
      </w:r>
      <w:r>
        <w:rPr>
          <w:spacing w:val="-7"/>
        </w:rPr>
        <w:t> </w:t>
      </w:r>
      <w:r>
        <w:rPr/>
        <w:t>for</w:t>
      </w:r>
      <w:r>
        <w:rPr>
          <w:spacing w:val="-7"/>
        </w:rPr>
        <w:t> </w:t>
      </w:r>
      <w:r>
        <w:rPr/>
        <w:t>professional</w:t>
      </w:r>
      <w:r>
        <w:rPr>
          <w:spacing w:val="-8"/>
        </w:rPr>
        <w:t> </w:t>
      </w:r>
      <w:r>
        <w:rPr>
          <w:spacing w:val="-2"/>
        </w:rPr>
        <w:t>memberships</w:t>
      </w:r>
    </w:p>
    <w:p>
      <w:pPr>
        <w:spacing w:after="0" w:line="229" w:lineRule="exact"/>
        <w:sectPr>
          <w:headerReference w:type="default" r:id="rId63"/>
          <w:footerReference w:type="default" r:id="rId64"/>
          <w:pgSz w:w="12240" w:h="15840"/>
          <w:pgMar w:header="0" w:footer="974" w:top="1400" w:bottom="1160" w:left="1160" w:right="320"/>
          <w:pgNumType w:start="76"/>
        </w:sectPr>
      </w:pPr>
    </w:p>
    <w:p>
      <w:pPr>
        <w:pStyle w:val="BodyText"/>
        <w:spacing w:before="77"/>
        <w:ind w:left="1503" w:right="1130"/>
      </w:pPr>
      <w:r>
        <w:rPr/>
        <w:t>in</w:t>
      </w:r>
      <w:r>
        <w:rPr>
          <w:spacing w:val="-2"/>
        </w:rPr>
        <w:t> </w:t>
      </w:r>
      <w:r>
        <w:rPr/>
        <w:t>AIA,</w:t>
      </w:r>
      <w:r>
        <w:rPr>
          <w:spacing w:val="-4"/>
        </w:rPr>
        <w:t> </w:t>
      </w:r>
      <w:r>
        <w:rPr/>
        <w:t>NOMA</w:t>
      </w:r>
      <w:r>
        <w:rPr>
          <w:spacing w:val="-5"/>
        </w:rPr>
        <w:t> </w:t>
      </w:r>
      <w:r>
        <w:rPr/>
        <w:t>and</w:t>
      </w:r>
      <w:r>
        <w:rPr>
          <w:spacing w:val="-4"/>
        </w:rPr>
        <w:t> </w:t>
      </w:r>
      <w:r>
        <w:rPr/>
        <w:t>other</w:t>
      </w:r>
      <w:r>
        <w:rPr>
          <w:spacing w:val="-3"/>
        </w:rPr>
        <w:t> </w:t>
      </w:r>
      <w:r>
        <w:rPr/>
        <w:t>relevant</w:t>
      </w:r>
      <w:r>
        <w:rPr>
          <w:spacing w:val="-4"/>
        </w:rPr>
        <w:t> </w:t>
      </w:r>
      <w:r>
        <w:rPr/>
        <w:t>professional</w:t>
      </w:r>
      <w:r>
        <w:rPr>
          <w:spacing w:val="-3"/>
        </w:rPr>
        <w:t> </w:t>
      </w:r>
      <w:r>
        <w:rPr/>
        <w:t>organizations.</w:t>
      </w:r>
      <w:r>
        <w:rPr>
          <w:spacing w:val="40"/>
        </w:rPr>
        <w:t> </w:t>
      </w:r>
      <w:r>
        <w:rPr/>
        <w:t>The</w:t>
      </w:r>
      <w:r>
        <w:rPr>
          <w:spacing w:val="-4"/>
        </w:rPr>
        <w:t> </w:t>
      </w:r>
      <w:r>
        <w:rPr/>
        <w:t>typical</w:t>
      </w:r>
      <w:r>
        <w:rPr>
          <w:spacing w:val="-3"/>
        </w:rPr>
        <w:t> </w:t>
      </w:r>
      <w:r>
        <w:rPr/>
        <w:t>funding</w:t>
      </w:r>
      <w:r>
        <w:rPr>
          <w:spacing w:val="-2"/>
        </w:rPr>
        <w:t> </w:t>
      </w:r>
      <w:r>
        <w:rPr/>
        <w:t>on</w:t>
      </w:r>
      <w:r>
        <w:rPr>
          <w:spacing w:val="-4"/>
        </w:rPr>
        <w:t> </w:t>
      </w:r>
      <w:r>
        <w:rPr/>
        <w:t>a</w:t>
      </w:r>
      <w:r>
        <w:rPr>
          <w:spacing w:val="-4"/>
        </w:rPr>
        <w:t> </w:t>
      </w:r>
      <w:r>
        <w:rPr/>
        <w:t>case- by-case basis has been augmented by the Office of the Dean and from the Office of the </w:t>
      </w:r>
      <w:r>
        <w:rPr>
          <w:spacing w:val="-2"/>
        </w:rPr>
        <w:t>Provost.</w:t>
      </w:r>
    </w:p>
    <w:p>
      <w:pPr>
        <w:pStyle w:val="BodyText"/>
        <w:spacing w:before="9"/>
      </w:pPr>
    </w:p>
    <w:p>
      <w:pPr>
        <w:pStyle w:val="BodyText"/>
        <w:ind w:left="1503" w:right="1211"/>
      </w:pPr>
      <w:r>
        <w:rPr/>
        <w:t>In</w:t>
      </w:r>
      <w:r>
        <w:rPr>
          <w:spacing w:val="-5"/>
        </w:rPr>
        <w:t> </w:t>
      </w:r>
      <w:r>
        <w:rPr/>
        <w:t>indirect</w:t>
      </w:r>
      <w:r>
        <w:rPr>
          <w:spacing w:val="-5"/>
        </w:rPr>
        <w:t> </w:t>
      </w:r>
      <w:r>
        <w:rPr/>
        <w:t>funding,</w:t>
      </w:r>
      <w:r>
        <w:rPr>
          <w:spacing w:val="-5"/>
        </w:rPr>
        <w:t> </w:t>
      </w:r>
      <w:r>
        <w:rPr/>
        <w:t>recent</w:t>
      </w:r>
      <w:r>
        <w:rPr>
          <w:spacing w:val="-5"/>
        </w:rPr>
        <w:t> </w:t>
      </w:r>
      <w:r>
        <w:rPr/>
        <w:t>campus</w:t>
      </w:r>
      <w:r>
        <w:rPr>
          <w:spacing w:val="-4"/>
        </w:rPr>
        <w:t> </w:t>
      </w:r>
      <w:r>
        <w:rPr/>
        <w:t>advances</w:t>
      </w:r>
      <w:r>
        <w:rPr>
          <w:spacing w:val="-1"/>
        </w:rPr>
        <w:t> </w:t>
      </w:r>
      <w:r>
        <w:rPr/>
        <w:t>in</w:t>
      </w:r>
      <w:r>
        <w:rPr>
          <w:spacing w:val="-3"/>
        </w:rPr>
        <w:t> </w:t>
      </w:r>
      <w:r>
        <w:rPr/>
        <w:t>digital</w:t>
      </w:r>
      <w:r>
        <w:rPr>
          <w:spacing w:val="-6"/>
        </w:rPr>
        <w:t> </w:t>
      </w:r>
      <w:r>
        <w:rPr/>
        <w:t>technology</w:t>
      </w:r>
      <w:r>
        <w:rPr>
          <w:spacing w:val="-7"/>
        </w:rPr>
        <w:t> </w:t>
      </w:r>
      <w:r>
        <w:rPr/>
        <w:t>has</w:t>
      </w:r>
      <w:r>
        <w:rPr>
          <w:spacing w:val="-4"/>
        </w:rPr>
        <w:t> </w:t>
      </w:r>
      <w:r>
        <w:rPr/>
        <w:t>been</w:t>
      </w:r>
      <w:r>
        <w:rPr>
          <w:spacing w:val="-3"/>
        </w:rPr>
        <w:t> </w:t>
      </w:r>
      <w:r>
        <w:rPr/>
        <w:t>of</w:t>
      </w:r>
      <w:r>
        <w:rPr>
          <w:spacing w:val="-3"/>
        </w:rPr>
        <w:t> </w:t>
      </w:r>
      <w:r>
        <w:rPr/>
        <w:t>considerable benefit to faculty, students, and staff. Online availability of records and class information has freed both faculty and students, while online registration and grading has unburdened staff, particularly at historically chaotic times in the calendar.</w:t>
      </w:r>
    </w:p>
    <w:p>
      <w:pPr>
        <w:pStyle w:val="BodyText"/>
        <w:rPr>
          <w:sz w:val="21"/>
        </w:rPr>
      </w:pPr>
    </w:p>
    <w:p>
      <w:pPr>
        <w:pStyle w:val="BodyText"/>
        <w:ind w:left="1503" w:right="1151"/>
      </w:pPr>
      <w:r>
        <w:rPr/>
        <w:t>In</w:t>
      </w:r>
      <w:r>
        <w:rPr>
          <w:spacing w:val="-4"/>
        </w:rPr>
        <w:t> </w:t>
      </w:r>
      <w:r>
        <w:rPr/>
        <w:t>2010,</w:t>
      </w:r>
      <w:r>
        <w:rPr>
          <w:spacing w:val="-2"/>
        </w:rPr>
        <w:t> </w:t>
      </w:r>
      <w:r>
        <w:rPr/>
        <w:t>the</w:t>
      </w:r>
      <w:r>
        <w:rPr>
          <w:spacing w:val="-2"/>
        </w:rPr>
        <w:t> </w:t>
      </w:r>
      <w:r>
        <w:rPr/>
        <w:t>department</w:t>
      </w:r>
      <w:r>
        <w:rPr>
          <w:spacing w:val="-3"/>
        </w:rPr>
        <w:t> </w:t>
      </w:r>
      <w:r>
        <w:rPr/>
        <w:t>requested</w:t>
      </w:r>
      <w:r>
        <w:rPr>
          <w:spacing w:val="-4"/>
        </w:rPr>
        <w:t> </w:t>
      </w:r>
      <w:r>
        <w:rPr/>
        <w:t>that</w:t>
      </w:r>
      <w:r>
        <w:rPr>
          <w:spacing w:val="-4"/>
        </w:rPr>
        <w:t> </w:t>
      </w:r>
      <w:r>
        <w:rPr/>
        <w:t>the</w:t>
      </w:r>
      <w:r>
        <w:rPr>
          <w:spacing w:val="-4"/>
        </w:rPr>
        <w:t> </w:t>
      </w:r>
      <w:r>
        <w:rPr/>
        <w:t>university</w:t>
      </w:r>
      <w:r>
        <w:rPr>
          <w:spacing w:val="-5"/>
        </w:rPr>
        <w:t> </w:t>
      </w:r>
      <w:r>
        <w:rPr/>
        <w:t>assess</w:t>
      </w:r>
      <w:r>
        <w:rPr>
          <w:spacing w:val="-3"/>
        </w:rPr>
        <w:t> </w:t>
      </w:r>
      <w:r>
        <w:rPr/>
        <w:t>a</w:t>
      </w:r>
      <w:r>
        <w:rPr>
          <w:spacing w:val="-4"/>
        </w:rPr>
        <w:t> </w:t>
      </w:r>
      <w:r>
        <w:rPr/>
        <w:t>professional</w:t>
      </w:r>
      <w:r>
        <w:rPr>
          <w:spacing w:val="-3"/>
        </w:rPr>
        <w:t> </w:t>
      </w:r>
      <w:r>
        <w:rPr/>
        <w:t>fee</w:t>
      </w:r>
      <w:r>
        <w:rPr>
          <w:spacing w:val="-4"/>
        </w:rPr>
        <w:t> </w:t>
      </w:r>
      <w:r>
        <w:rPr/>
        <w:t>to</w:t>
      </w:r>
      <w:r>
        <w:rPr>
          <w:spacing w:val="-4"/>
        </w:rPr>
        <w:t> </w:t>
      </w:r>
      <w:r>
        <w:rPr/>
        <w:t>students, in the amount of $400 per semester ($800 per academic year), to supplement costs for student requirements. Specific funding needs included, resources to allocate $2,500 for each third year student to pay for their travel study program, $300 to pay for incoming freshmen tool kits (many students arriving on campus do not obtain the needed materials until</w:t>
      </w:r>
      <w:r>
        <w:rPr>
          <w:spacing w:val="-2"/>
        </w:rPr>
        <w:t> </w:t>
      </w:r>
      <w:r>
        <w:rPr/>
        <w:t>late</w:t>
      </w:r>
      <w:r>
        <w:rPr>
          <w:spacing w:val="-1"/>
        </w:rPr>
        <w:t> </w:t>
      </w:r>
      <w:r>
        <w:rPr/>
        <w:t>in</w:t>
      </w:r>
      <w:r>
        <w:rPr>
          <w:spacing w:val="-1"/>
        </w:rPr>
        <w:t> </w:t>
      </w:r>
      <w:r>
        <w:rPr/>
        <w:t>the</w:t>
      </w:r>
      <w:r>
        <w:rPr>
          <w:spacing w:val="-1"/>
        </w:rPr>
        <w:t> </w:t>
      </w:r>
      <w:r>
        <w:rPr/>
        <w:t>semester,</w:t>
      </w:r>
      <w:r>
        <w:rPr>
          <w:spacing w:val="-3"/>
        </w:rPr>
        <w:t> </w:t>
      </w:r>
      <w:r>
        <w:rPr/>
        <w:t>hampering</w:t>
      </w:r>
      <w:r>
        <w:rPr>
          <w:spacing w:val="-3"/>
        </w:rPr>
        <w:t> </w:t>
      </w:r>
      <w:r>
        <w:rPr/>
        <w:t>their</w:t>
      </w:r>
      <w:r>
        <w:rPr>
          <w:spacing w:val="-2"/>
        </w:rPr>
        <w:t> </w:t>
      </w:r>
      <w:r>
        <w:rPr/>
        <w:t>progress),</w:t>
      </w:r>
      <w:r>
        <w:rPr>
          <w:spacing w:val="-3"/>
        </w:rPr>
        <w:t> </w:t>
      </w:r>
      <w:r>
        <w:rPr/>
        <w:t>NCARB</w:t>
      </w:r>
      <w:r>
        <w:rPr>
          <w:spacing w:val="-4"/>
        </w:rPr>
        <w:t> </w:t>
      </w:r>
      <w:r>
        <w:rPr/>
        <w:t>fees</w:t>
      </w:r>
      <w:r>
        <w:rPr>
          <w:spacing w:val="-2"/>
        </w:rPr>
        <w:t> </w:t>
      </w:r>
      <w:r>
        <w:rPr/>
        <w:t>for</w:t>
      </w:r>
      <w:r>
        <w:rPr>
          <w:spacing w:val="-2"/>
        </w:rPr>
        <w:t> </w:t>
      </w:r>
      <w:r>
        <w:rPr/>
        <w:t>4</w:t>
      </w:r>
      <w:r>
        <w:rPr>
          <w:vertAlign w:val="superscript"/>
        </w:rPr>
        <w:t>th</w:t>
      </w:r>
      <w:r>
        <w:rPr>
          <w:spacing w:val="-1"/>
          <w:vertAlign w:val="baseline"/>
        </w:rPr>
        <w:t> </w:t>
      </w:r>
      <w:r>
        <w:rPr>
          <w:vertAlign w:val="baseline"/>
        </w:rPr>
        <w:t>year</w:t>
      </w:r>
      <w:r>
        <w:rPr>
          <w:spacing w:val="-2"/>
          <w:vertAlign w:val="baseline"/>
        </w:rPr>
        <w:t> </w:t>
      </w:r>
      <w:r>
        <w:rPr>
          <w:vertAlign w:val="baseline"/>
        </w:rPr>
        <w:t>students,</w:t>
      </w:r>
      <w:r>
        <w:rPr>
          <w:spacing w:val="-3"/>
          <w:vertAlign w:val="baseline"/>
        </w:rPr>
        <w:t> </w:t>
      </w:r>
      <w:r>
        <w:rPr>
          <w:vertAlign w:val="baseline"/>
        </w:rPr>
        <w:t>and plotting costs. In Summer, 2014, the administration and the University Board of Trustees approved the fee assessment.</w:t>
      </w:r>
    </w:p>
    <w:p>
      <w:pPr>
        <w:pStyle w:val="BodyText"/>
        <w:spacing w:before="8"/>
      </w:pPr>
    </w:p>
    <w:p>
      <w:pPr>
        <w:pStyle w:val="BodyText"/>
        <w:spacing w:before="1"/>
        <w:ind w:left="1504" w:right="1211"/>
      </w:pPr>
      <w:r>
        <w:rPr/>
        <w:t>Department travel funds may be applied for with recruitment and fundraising travel as the priorities.</w:t>
      </w:r>
      <w:r>
        <w:rPr>
          <w:spacing w:val="40"/>
        </w:rPr>
        <w:t> </w:t>
      </w:r>
      <w:r>
        <w:rPr/>
        <w:t>We have been able to travel to some program required functions, such as the ASCA</w:t>
      </w:r>
      <w:r>
        <w:rPr>
          <w:spacing w:val="-3"/>
        </w:rPr>
        <w:t> </w:t>
      </w:r>
      <w:r>
        <w:rPr/>
        <w:t>Administrator’s</w:t>
      </w:r>
      <w:r>
        <w:rPr>
          <w:spacing w:val="-4"/>
        </w:rPr>
        <w:t> </w:t>
      </w:r>
      <w:r>
        <w:rPr/>
        <w:t>Conference</w:t>
      </w:r>
      <w:r>
        <w:rPr>
          <w:spacing w:val="-5"/>
        </w:rPr>
        <w:t> </w:t>
      </w:r>
      <w:r>
        <w:rPr/>
        <w:t>and</w:t>
      </w:r>
      <w:r>
        <w:rPr>
          <w:spacing w:val="-3"/>
        </w:rPr>
        <w:t> </w:t>
      </w:r>
      <w:r>
        <w:rPr/>
        <w:t>other</w:t>
      </w:r>
      <w:r>
        <w:rPr>
          <w:spacing w:val="-4"/>
        </w:rPr>
        <w:t> </w:t>
      </w:r>
      <w:r>
        <w:rPr/>
        <w:t>travel</w:t>
      </w:r>
      <w:r>
        <w:rPr>
          <w:spacing w:val="-6"/>
        </w:rPr>
        <w:t> </w:t>
      </w:r>
      <w:r>
        <w:rPr/>
        <w:t>related</w:t>
      </w:r>
      <w:r>
        <w:rPr>
          <w:spacing w:val="-5"/>
        </w:rPr>
        <w:t> </w:t>
      </w:r>
      <w:r>
        <w:rPr/>
        <w:t>to</w:t>
      </w:r>
      <w:r>
        <w:rPr>
          <w:spacing w:val="-5"/>
        </w:rPr>
        <w:t> </w:t>
      </w:r>
      <w:r>
        <w:rPr/>
        <w:t>recruitment.</w:t>
      </w:r>
      <w:r>
        <w:rPr>
          <w:spacing w:val="-5"/>
        </w:rPr>
        <w:t> </w:t>
      </w:r>
      <w:r>
        <w:rPr/>
        <w:t>Faculty</w:t>
      </w:r>
      <w:r>
        <w:rPr>
          <w:spacing w:val="-4"/>
        </w:rPr>
        <w:t> </w:t>
      </w:r>
      <w:r>
        <w:rPr/>
        <w:t>use</w:t>
      </w:r>
      <w:r>
        <w:rPr>
          <w:spacing w:val="-5"/>
        </w:rPr>
        <w:t> </w:t>
      </w:r>
      <w:r>
        <w:rPr/>
        <w:t>their own resources for most professional travel. We are required, and have successfully secured funding for some travel and equipment purchases.</w:t>
      </w:r>
    </w:p>
    <w:p>
      <w:pPr>
        <w:pStyle w:val="BodyText"/>
        <w:spacing w:before="9"/>
        <w:rPr>
          <w:sz w:val="12"/>
        </w:rPr>
      </w:pPr>
    </w:p>
    <w:p>
      <w:pPr>
        <w:spacing w:before="93"/>
        <w:ind w:left="280" w:right="0" w:firstLine="0"/>
        <w:jc w:val="left"/>
        <w:rPr>
          <w:b/>
          <w:sz w:val="20"/>
        </w:rPr>
      </w:pPr>
      <w:r>
        <w:rPr>
          <w:b/>
          <w:spacing w:val="-2"/>
          <w:sz w:val="20"/>
        </w:rPr>
        <w:t>Endowment</w:t>
      </w:r>
    </w:p>
    <w:p>
      <w:pPr>
        <w:pStyle w:val="BodyText"/>
        <w:spacing w:before="9"/>
        <w:rPr>
          <w:b/>
          <w:sz w:val="12"/>
        </w:rPr>
      </w:pPr>
    </w:p>
    <w:p>
      <w:pPr>
        <w:pStyle w:val="BodyText"/>
        <w:spacing w:before="93"/>
        <w:ind w:left="1504" w:right="1211"/>
      </w:pPr>
      <w:r>
        <w:rPr/>
        <w:t>It is University policy that all endowment contributions are designated to the University General</w:t>
      </w:r>
      <w:r>
        <w:rPr>
          <w:spacing w:val="-3"/>
        </w:rPr>
        <w:t> </w:t>
      </w:r>
      <w:r>
        <w:rPr/>
        <w:t>Endowment.</w:t>
      </w:r>
      <w:r>
        <w:rPr>
          <w:spacing w:val="40"/>
        </w:rPr>
        <w:t> </w:t>
      </w:r>
      <w:r>
        <w:rPr/>
        <w:t>The</w:t>
      </w:r>
      <w:r>
        <w:rPr>
          <w:spacing w:val="-4"/>
        </w:rPr>
        <w:t> </w:t>
      </w:r>
      <w:r>
        <w:rPr/>
        <w:t>following</w:t>
      </w:r>
      <w:r>
        <w:rPr>
          <w:spacing w:val="-2"/>
        </w:rPr>
        <w:t> </w:t>
      </w:r>
      <w:r>
        <w:rPr/>
        <w:t>is</w:t>
      </w:r>
      <w:r>
        <w:rPr>
          <w:spacing w:val="-3"/>
        </w:rPr>
        <w:t> </w:t>
      </w:r>
      <w:r>
        <w:rPr/>
        <w:t>a</w:t>
      </w:r>
      <w:r>
        <w:rPr>
          <w:spacing w:val="-2"/>
        </w:rPr>
        <w:t> </w:t>
      </w:r>
      <w:r>
        <w:rPr/>
        <w:t>list</w:t>
      </w:r>
      <w:r>
        <w:rPr>
          <w:spacing w:val="-4"/>
        </w:rPr>
        <w:t> </w:t>
      </w:r>
      <w:r>
        <w:rPr/>
        <w:t>of</w:t>
      </w:r>
      <w:r>
        <w:rPr>
          <w:spacing w:val="-2"/>
        </w:rPr>
        <w:t> </w:t>
      </w:r>
      <w:r>
        <w:rPr/>
        <w:t>funded</w:t>
      </w:r>
      <w:r>
        <w:rPr>
          <w:spacing w:val="-4"/>
        </w:rPr>
        <w:t> </w:t>
      </w:r>
      <w:r>
        <w:rPr/>
        <w:t>awards</w:t>
      </w:r>
      <w:r>
        <w:rPr>
          <w:spacing w:val="-3"/>
        </w:rPr>
        <w:t> </w:t>
      </w:r>
      <w:r>
        <w:rPr/>
        <w:t>that</w:t>
      </w:r>
      <w:r>
        <w:rPr>
          <w:spacing w:val="-2"/>
        </w:rPr>
        <w:t> </w:t>
      </w:r>
      <w:r>
        <w:rPr/>
        <w:t>are</w:t>
      </w:r>
      <w:r>
        <w:rPr>
          <w:spacing w:val="-2"/>
        </w:rPr>
        <w:t> </w:t>
      </w:r>
      <w:r>
        <w:rPr/>
        <w:t>designed</w:t>
      </w:r>
      <w:r>
        <w:rPr>
          <w:spacing w:val="-4"/>
        </w:rPr>
        <w:t> </w:t>
      </w:r>
      <w:r>
        <w:rPr/>
        <w:t>to</w:t>
      </w:r>
      <w:r>
        <w:rPr>
          <w:spacing w:val="-1"/>
        </w:rPr>
        <w:t> </w:t>
      </w:r>
      <w:r>
        <w:rPr/>
        <w:t>benefit students in the program:</w:t>
      </w:r>
    </w:p>
    <w:p>
      <w:pPr>
        <w:pStyle w:val="BodyText"/>
        <w:rPr>
          <w:sz w:val="21"/>
        </w:rPr>
      </w:pPr>
    </w:p>
    <w:p>
      <w:pPr>
        <w:pStyle w:val="BodyText"/>
        <w:ind w:left="1504" w:right="1151"/>
      </w:pPr>
      <w:r>
        <w:rPr/>
        <w:t>The</w:t>
      </w:r>
      <w:r>
        <w:rPr>
          <w:spacing w:val="-4"/>
        </w:rPr>
        <w:t> </w:t>
      </w:r>
      <w:r>
        <w:rPr/>
        <w:t>Bonnie</w:t>
      </w:r>
      <w:r>
        <w:rPr>
          <w:spacing w:val="-2"/>
        </w:rPr>
        <w:t> </w:t>
      </w:r>
      <w:r>
        <w:rPr/>
        <w:t>and</w:t>
      </w:r>
      <w:r>
        <w:rPr>
          <w:spacing w:val="-2"/>
        </w:rPr>
        <w:t> </w:t>
      </w:r>
      <w:r>
        <w:rPr/>
        <w:t>Anthony</w:t>
      </w:r>
      <w:r>
        <w:rPr>
          <w:spacing w:val="-7"/>
        </w:rPr>
        <w:t> </w:t>
      </w:r>
      <w:r>
        <w:rPr/>
        <w:t>Johns</w:t>
      </w:r>
      <w:r>
        <w:rPr>
          <w:spacing w:val="-3"/>
        </w:rPr>
        <w:t> </w:t>
      </w:r>
      <w:r>
        <w:rPr/>
        <w:t>Award:</w:t>
      </w:r>
      <w:r>
        <w:rPr>
          <w:spacing w:val="-2"/>
        </w:rPr>
        <w:t> </w:t>
      </w:r>
      <w:r>
        <w:rPr/>
        <w:t>an</w:t>
      </w:r>
      <w:r>
        <w:rPr>
          <w:spacing w:val="-2"/>
        </w:rPr>
        <w:t> </w:t>
      </w:r>
      <w:r>
        <w:rPr/>
        <w:t>endowed</w:t>
      </w:r>
      <w:r>
        <w:rPr>
          <w:spacing w:val="-4"/>
        </w:rPr>
        <w:t> </w:t>
      </w:r>
      <w:r>
        <w:rPr/>
        <w:t>award</w:t>
      </w:r>
      <w:r>
        <w:rPr>
          <w:spacing w:val="-4"/>
        </w:rPr>
        <w:t> </w:t>
      </w:r>
      <w:r>
        <w:rPr/>
        <w:t>given</w:t>
      </w:r>
      <w:r>
        <w:rPr>
          <w:spacing w:val="-2"/>
        </w:rPr>
        <w:t> </w:t>
      </w:r>
      <w:r>
        <w:rPr/>
        <w:t>annually</w:t>
      </w:r>
      <w:r>
        <w:rPr>
          <w:spacing w:val="-7"/>
        </w:rPr>
        <w:t> </w:t>
      </w:r>
      <w:r>
        <w:rPr/>
        <w:t>to</w:t>
      </w:r>
      <w:r>
        <w:rPr>
          <w:spacing w:val="-2"/>
        </w:rPr>
        <w:t> </w:t>
      </w:r>
      <w:r>
        <w:rPr/>
        <w:t>the</w:t>
      </w:r>
      <w:r>
        <w:rPr>
          <w:spacing w:val="-4"/>
        </w:rPr>
        <w:t> </w:t>
      </w:r>
      <w:r>
        <w:rPr/>
        <w:t>rising</w:t>
      </w:r>
      <w:r>
        <w:rPr>
          <w:spacing w:val="-2"/>
        </w:rPr>
        <w:t> </w:t>
      </w:r>
      <w:r>
        <w:rPr/>
        <w:t>fifth- year student possessing the highest GPA from studio courses.</w:t>
      </w:r>
    </w:p>
    <w:p>
      <w:pPr>
        <w:pStyle w:val="BodyText"/>
        <w:spacing w:before="8"/>
      </w:pPr>
    </w:p>
    <w:p>
      <w:pPr>
        <w:pStyle w:val="BodyText"/>
        <w:ind w:left="1504" w:right="1211"/>
      </w:pPr>
      <w:r>
        <w:rPr/>
        <w:t>The</w:t>
      </w:r>
      <w:r>
        <w:rPr>
          <w:spacing w:val="-3"/>
        </w:rPr>
        <w:t> </w:t>
      </w:r>
      <w:r>
        <w:rPr/>
        <w:t>Keith</w:t>
      </w:r>
      <w:r>
        <w:rPr>
          <w:spacing w:val="-3"/>
        </w:rPr>
        <w:t> </w:t>
      </w:r>
      <w:r>
        <w:rPr/>
        <w:t>Thomas</w:t>
      </w:r>
      <w:r>
        <w:rPr>
          <w:spacing w:val="-2"/>
        </w:rPr>
        <w:t> </w:t>
      </w:r>
      <w:r>
        <w:rPr/>
        <w:t>Memorial</w:t>
      </w:r>
      <w:r>
        <w:rPr>
          <w:spacing w:val="-2"/>
        </w:rPr>
        <w:t> </w:t>
      </w:r>
      <w:r>
        <w:rPr/>
        <w:t>Award</w:t>
      </w:r>
      <w:r>
        <w:rPr>
          <w:spacing w:val="-3"/>
        </w:rPr>
        <w:t> </w:t>
      </w:r>
      <w:r>
        <w:rPr/>
        <w:t>for</w:t>
      </w:r>
      <w:r>
        <w:rPr>
          <w:spacing w:val="-2"/>
        </w:rPr>
        <w:t> </w:t>
      </w:r>
      <w:r>
        <w:rPr/>
        <w:t>Best</w:t>
      </w:r>
      <w:r>
        <w:rPr>
          <w:spacing w:val="-3"/>
        </w:rPr>
        <w:t> </w:t>
      </w:r>
      <w:r>
        <w:rPr/>
        <w:t>Thesis:</w:t>
      </w:r>
      <w:r>
        <w:rPr>
          <w:spacing w:val="40"/>
        </w:rPr>
        <w:t> </w:t>
      </w:r>
      <w:r>
        <w:rPr/>
        <w:t>endowed</w:t>
      </w:r>
      <w:r>
        <w:rPr>
          <w:spacing w:val="-3"/>
        </w:rPr>
        <w:t> </w:t>
      </w:r>
      <w:r>
        <w:rPr/>
        <w:t>by</w:t>
      </w:r>
      <w:r>
        <w:rPr>
          <w:spacing w:val="-6"/>
        </w:rPr>
        <w:t> </w:t>
      </w:r>
      <w:r>
        <w:rPr/>
        <w:t>the</w:t>
      </w:r>
      <w:r>
        <w:rPr>
          <w:spacing w:val="-3"/>
        </w:rPr>
        <w:t> </w:t>
      </w:r>
      <w:r>
        <w:rPr/>
        <w:t>family</w:t>
      </w:r>
      <w:r>
        <w:rPr>
          <w:spacing w:val="-6"/>
        </w:rPr>
        <w:t> </w:t>
      </w:r>
      <w:r>
        <w:rPr/>
        <w:t>of</w:t>
      </w:r>
      <w:r>
        <w:rPr>
          <w:spacing w:val="-1"/>
        </w:rPr>
        <w:t> </w:t>
      </w:r>
      <w:r>
        <w:rPr/>
        <w:t>an alumnus who lost his life in a traffic accident a few years after his graduation.</w:t>
      </w:r>
      <w:r>
        <w:rPr>
          <w:spacing w:val="40"/>
        </w:rPr>
        <w:t> </w:t>
      </w:r>
      <w:r>
        <w:rPr/>
        <w:t>Awarded annually to the student with the best thesis project, as voted by the faculty.</w:t>
      </w:r>
    </w:p>
    <w:p>
      <w:pPr>
        <w:pStyle w:val="BodyText"/>
        <w:rPr>
          <w:sz w:val="21"/>
        </w:rPr>
      </w:pPr>
    </w:p>
    <w:p>
      <w:pPr>
        <w:pStyle w:val="BodyText"/>
        <w:ind w:left="1504" w:right="1211"/>
      </w:pPr>
      <w:r>
        <w:rPr/>
        <w:t>The Joseph W. Robinson Sr. Endowed Scholarship: initiated by the family of an alumnus who was a prominent architect and a member of the class of 1949. Established 2007. Mr. Robinson</w:t>
      </w:r>
      <w:r>
        <w:rPr>
          <w:spacing w:val="-2"/>
        </w:rPr>
        <w:t> </w:t>
      </w:r>
      <w:r>
        <w:rPr/>
        <w:t>passed</w:t>
      </w:r>
      <w:r>
        <w:rPr>
          <w:spacing w:val="-4"/>
        </w:rPr>
        <w:t> </w:t>
      </w:r>
      <w:r>
        <w:rPr/>
        <w:t>this</w:t>
      </w:r>
      <w:r>
        <w:rPr>
          <w:spacing w:val="-3"/>
        </w:rPr>
        <w:t> </w:t>
      </w:r>
      <w:r>
        <w:rPr/>
        <w:t>month</w:t>
      </w:r>
      <w:r>
        <w:rPr>
          <w:spacing w:val="-4"/>
        </w:rPr>
        <w:t> </w:t>
      </w:r>
      <w:r>
        <w:rPr/>
        <w:t>and</w:t>
      </w:r>
      <w:r>
        <w:rPr>
          <w:spacing w:val="-4"/>
        </w:rPr>
        <w:t> </w:t>
      </w:r>
      <w:r>
        <w:rPr/>
        <w:t>his</w:t>
      </w:r>
      <w:r>
        <w:rPr>
          <w:spacing w:val="-3"/>
        </w:rPr>
        <w:t> </w:t>
      </w:r>
      <w:r>
        <w:rPr/>
        <w:t>family</w:t>
      </w:r>
      <w:r>
        <w:rPr>
          <w:spacing w:val="-7"/>
        </w:rPr>
        <w:t> </w:t>
      </w:r>
      <w:r>
        <w:rPr/>
        <w:t>requested</w:t>
      </w:r>
      <w:r>
        <w:rPr>
          <w:spacing w:val="-4"/>
        </w:rPr>
        <w:t> </w:t>
      </w:r>
      <w:r>
        <w:rPr/>
        <w:t>that</w:t>
      </w:r>
      <w:r>
        <w:rPr>
          <w:spacing w:val="-4"/>
        </w:rPr>
        <w:t> </w:t>
      </w:r>
      <w:r>
        <w:rPr/>
        <w:t>donations</w:t>
      </w:r>
      <w:r>
        <w:rPr>
          <w:spacing w:val="-3"/>
        </w:rPr>
        <w:t> </w:t>
      </w:r>
      <w:r>
        <w:rPr/>
        <w:t>to</w:t>
      </w:r>
      <w:r>
        <w:rPr>
          <w:spacing w:val="-4"/>
        </w:rPr>
        <w:t> </w:t>
      </w:r>
      <w:r>
        <w:rPr/>
        <w:t>this</w:t>
      </w:r>
      <w:r>
        <w:rPr>
          <w:spacing w:val="-3"/>
        </w:rPr>
        <w:t> </w:t>
      </w:r>
      <w:r>
        <w:rPr/>
        <w:t>scholarship</w:t>
      </w:r>
      <w:r>
        <w:rPr>
          <w:spacing w:val="-4"/>
        </w:rPr>
        <w:t> </w:t>
      </w:r>
      <w:r>
        <w:rPr/>
        <w:t>be made in his honor. Not yet available.</w:t>
      </w:r>
    </w:p>
    <w:p>
      <w:pPr>
        <w:pStyle w:val="BodyText"/>
        <w:spacing w:before="9"/>
      </w:pPr>
    </w:p>
    <w:p>
      <w:pPr>
        <w:pStyle w:val="BodyText"/>
        <w:ind w:left="1504" w:right="1211"/>
      </w:pPr>
      <w:r>
        <w:rPr/>
        <w:t>John H. Spencer Endowed Scholarship: Endowed by contributions from alumni, faculty, students and friends. Established 2006, it provides annual scholarships to students who have reached the second year, have a GPA of 3.0 or higher, and have financial need. Students</w:t>
      </w:r>
      <w:r>
        <w:rPr>
          <w:spacing w:val="-3"/>
        </w:rPr>
        <w:t> </w:t>
      </w:r>
      <w:r>
        <w:rPr/>
        <w:t>apply</w:t>
      </w:r>
      <w:r>
        <w:rPr>
          <w:spacing w:val="-5"/>
        </w:rPr>
        <w:t> </w:t>
      </w:r>
      <w:r>
        <w:rPr/>
        <w:t>to</w:t>
      </w:r>
      <w:r>
        <w:rPr>
          <w:spacing w:val="-4"/>
        </w:rPr>
        <w:t> </w:t>
      </w:r>
      <w:r>
        <w:rPr/>
        <w:t>the</w:t>
      </w:r>
      <w:r>
        <w:rPr>
          <w:spacing w:val="-2"/>
        </w:rPr>
        <w:t> </w:t>
      </w:r>
      <w:r>
        <w:rPr/>
        <w:t>university</w:t>
      </w:r>
      <w:r>
        <w:rPr>
          <w:spacing w:val="-6"/>
        </w:rPr>
        <w:t> </w:t>
      </w:r>
      <w:r>
        <w:rPr/>
        <w:t>and</w:t>
      </w:r>
      <w:r>
        <w:rPr>
          <w:spacing w:val="-4"/>
        </w:rPr>
        <w:t> </w:t>
      </w:r>
      <w:r>
        <w:rPr/>
        <w:t>the</w:t>
      </w:r>
      <w:r>
        <w:rPr>
          <w:spacing w:val="-4"/>
        </w:rPr>
        <w:t> </w:t>
      </w:r>
      <w:r>
        <w:rPr/>
        <w:t>selection</w:t>
      </w:r>
      <w:r>
        <w:rPr>
          <w:spacing w:val="-2"/>
        </w:rPr>
        <w:t> </w:t>
      </w:r>
      <w:r>
        <w:rPr/>
        <w:t>is</w:t>
      </w:r>
      <w:r>
        <w:rPr>
          <w:spacing w:val="-3"/>
        </w:rPr>
        <w:t> </w:t>
      </w:r>
      <w:r>
        <w:rPr/>
        <w:t>made</w:t>
      </w:r>
      <w:r>
        <w:rPr>
          <w:spacing w:val="-2"/>
        </w:rPr>
        <w:t> </w:t>
      </w:r>
      <w:r>
        <w:rPr/>
        <w:t>by</w:t>
      </w:r>
      <w:r>
        <w:rPr>
          <w:spacing w:val="-5"/>
        </w:rPr>
        <w:t> </w:t>
      </w:r>
      <w:r>
        <w:rPr/>
        <w:t>the</w:t>
      </w:r>
      <w:r>
        <w:rPr>
          <w:spacing w:val="-4"/>
        </w:rPr>
        <w:t> </w:t>
      </w:r>
      <w:r>
        <w:rPr/>
        <w:t>faculty.</w:t>
      </w:r>
      <w:r>
        <w:rPr>
          <w:spacing w:val="-2"/>
        </w:rPr>
        <w:t> </w:t>
      </w:r>
      <w:r>
        <w:rPr/>
        <w:t>The</w:t>
      </w:r>
      <w:r>
        <w:rPr>
          <w:spacing w:val="-4"/>
        </w:rPr>
        <w:t> </w:t>
      </w:r>
      <w:r>
        <w:rPr/>
        <w:t>first</w:t>
      </w:r>
      <w:r>
        <w:rPr>
          <w:spacing w:val="-2"/>
        </w:rPr>
        <w:t> </w:t>
      </w:r>
      <w:r>
        <w:rPr/>
        <w:t>year</w:t>
      </w:r>
      <w:r>
        <w:rPr>
          <w:spacing w:val="-3"/>
        </w:rPr>
        <w:t> </w:t>
      </w:r>
      <w:r>
        <w:rPr/>
        <w:t>that funds were available was AY2012/13.</w:t>
      </w:r>
    </w:p>
    <w:p>
      <w:pPr>
        <w:pStyle w:val="BodyText"/>
        <w:spacing w:before="10"/>
      </w:pPr>
    </w:p>
    <w:p>
      <w:pPr>
        <w:pStyle w:val="BodyText"/>
        <w:ind w:left="1504" w:right="1151"/>
      </w:pPr>
      <w:r>
        <w:rPr/>
        <w:t>Sol Cohen Student Travel Scholarship: Endowed by a significant contribution from a local architect,</w:t>
      </w:r>
      <w:r>
        <w:rPr>
          <w:spacing w:val="-4"/>
        </w:rPr>
        <w:t> </w:t>
      </w:r>
      <w:r>
        <w:rPr/>
        <w:t>this</w:t>
      </w:r>
      <w:r>
        <w:rPr>
          <w:spacing w:val="-3"/>
        </w:rPr>
        <w:t> </w:t>
      </w:r>
      <w:r>
        <w:rPr/>
        <w:t>fund,</w:t>
      </w:r>
      <w:r>
        <w:rPr>
          <w:spacing w:val="-2"/>
        </w:rPr>
        <w:t> </w:t>
      </w:r>
      <w:r>
        <w:rPr/>
        <w:t>established</w:t>
      </w:r>
      <w:r>
        <w:rPr>
          <w:spacing w:val="-2"/>
        </w:rPr>
        <w:t> </w:t>
      </w:r>
      <w:r>
        <w:rPr/>
        <w:t>in</w:t>
      </w:r>
      <w:r>
        <w:rPr>
          <w:spacing w:val="-2"/>
        </w:rPr>
        <w:t> </w:t>
      </w:r>
      <w:r>
        <w:rPr/>
        <w:t>2005,</w:t>
      </w:r>
      <w:r>
        <w:rPr>
          <w:spacing w:val="-4"/>
        </w:rPr>
        <w:t> </w:t>
      </w:r>
      <w:r>
        <w:rPr/>
        <w:t>is used</w:t>
      </w:r>
      <w:r>
        <w:rPr>
          <w:spacing w:val="-4"/>
        </w:rPr>
        <w:t> </w:t>
      </w:r>
      <w:r>
        <w:rPr/>
        <w:t>annually</w:t>
      </w:r>
      <w:r>
        <w:rPr>
          <w:spacing w:val="-7"/>
        </w:rPr>
        <w:t> </w:t>
      </w:r>
      <w:r>
        <w:rPr/>
        <w:t>to</w:t>
      </w:r>
      <w:r>
        <w:rPr>
          <w:spacing w:val="-4"/>
        </w:rPr>
        <w:t> </w:t>
      </w:r>
      <w:r>
        <w:rPr/>
        <w:t>support</w:t>
      </w:r>
      <w:r>
        <w:rPr>
          <w:spacing w:val="-4"/>
        </w:rPr>
        <w:t> </w:t>
      </w:r>
      <w:r>
        <w:rPr/>
        <w:t>and</w:t>
      </w:r>
      <w:r>
        <w:rPr>
          <w:spacing w:val="-2"/>
        </w:rPr>
        <w:t> </w:t>
      </w:r>
      <w:r>
        <w:rPr/>
        <w:t>underwrite</w:t>
      </w:r>
      <w:r>
        <w:rPr>
          <w:spacing w:val="-4"/>
        </w:rPr>
        <w:t> </w:t>
      </w:r>
      <w:r>
        <w:rPr/>
        <w:t>the</w:t>
      </w:r>
      <w:r>
        <w:rPr>
          <w:spacing w:val="-2"/>
        </w:rPr>
        <w:t> </w:t>
      </w:r>
      <w:r>
        <w:rPr/>
        <w:t>cost of student participation in the International Urban Design Travel Program.</w:t>
      </w:r>
    </w:p>
    <w:p>
      <w:pPr>
        <w:spacing w:after="0"/>
        <w:sectPr>
          <w:headerReference w:type="default" r:id="rId65"/>
          <w:footerReference w:type="default" r:id="rId66"/>
          <w:pgSz w:w="12240" w:h="15840"/>
          <w:pgMar w:header="0" w:footer="974" w:top="1360" w:bottom="1160" w:left="1160" w:right="320"/>
        </w:sectPr>
      </w:pPr>
    </w:p>
    <w:p>
      <w:pPr>
        <w:spacing w:before="75"/>
        <w:ind w:left="280" w:right="0" w:firstLine="0"/>
        <w:jc w:val="left"/>
        <w:rPr>
          <w:b/>
          <w:sz w:val="20"/>
        </w:rPr>
      </w:pPr>
      <w:r>
        <w:rPr>
          <w:b/>
          <w:spacing w:val="-2"/>
          <w:sz w:val="20"/>
        </w:rPr>
        <w:t>Scholarships</w:t>
      </w:r>
    </w:p>
    <w:p>
      <w:pPr>
        <w:pStyle w:val="BodyText"/>
        <w:spacing w:before="1"/>
        <w:rPr>
          <w:b/>
          <w:sz w:val="21"/>
        </w:rPr>
      </w:pPr>
    </w:p>
    <w:p>
      <w:pPr>
        <w:pStyle w:val="BodyText"/>
        <w:ind w:left="1503" w:right="1151"/>
      </w:pPr>
      <w:r>
        <w:rPr/>
        <w:t>There</w:t>
      </w:r>
      <w:r>
        <w:rPr>
          <w:spacing w:val="-4"/>
        </w:rPr>
        <w:t> </w:t>
      </w:r>
      <w:r>
        <w:rPr/>
        <w:t>are</w:t>
      </w:r>
      <w:r>
        <w:rPr>
          <w:spacing w:val="-4"/>
        </w:rPr>
        <w:t> </w:t>
      </w:r>
      <w:r>
        <w:rPr/>
        <w:t>no</w:t>
      </w:r>
      <w:r>
        <w:rPr>
          <w:spacing w:val="-4"/>
        </w:rPr>
        <w:t> </w:t>
      </w:r>
      <w:r>
        <w:rPr/>
        <w:t>scholarships</w:t>
      </w:r>
      <w:r>
        <w:rPr>
          <w:spacing w:val="-1"/>
        </w:rPr>
        <w:t> </w:t>
      </w:r>
      <w:r>
        <w:rPr/>
        <w:t>specific</w:t>
      </w:r>
      <w:r>
        <w:rPr>
          <w:spacing w:val="-3"/>
        </w:rPr>
        <w:t> </w:t>
      </w:r>
      <w:r>
        <w:rPr/>
        <w:t>to</w:t>
      </w:r>
      <w:r>
        <w:rPr>
          <w:spacing w:val="-4"/>
        </w:rPr>
        <w:t> </w:t>
      </w:r>
      <w:r>
        <w:rPr/>
        <w:t>the</w:t>
      </w:r>
      <w:r>
        <w:rPr>
          <w:spacing w:val="-4"/>
        </w:rPr>
        <w:t> </w:t>
      </w:r>
      <w:r>
        <w:rPr/>
        <w:t>Department</w:t>
      </w:r>
      <w:r>
        <w:rPr>
          <w:spacing w:val="-4"/>
        </w:rPr>
        <w:t> </w:t>
      </w:r>
      <w:r>
        <w:rPr/>
        <w:t>of</w:t>
      </w:r>
      <w:r>
        <w:rPr>
          <w:spacing w:val="-3"/>
        </w:rPr>
        <w:t> </w:t>
      </w:r>
      <w:r>
        <w:rPr/>
        <w:t>Architecture</w:t>
      </w:r>
      <w:r>
        <w:rPr>
          <w:spacing w:val="-4"/>
        </w:rPr>
        <w:t> </w:t>
      </w:r>
      <w:r>
        <w:rPr/>
        <w:t>for</w:t>
      </w:r>
      <w:r>
        <w:rPr>
          <w:spacing w:val="-3"/>
        </w:rPr>
        <w:t> </w:t>
      </w:r>
      <w:r>
        <w:rPr/>
        <w:t>overall</w:t>
      </w:r>
      <w:r>
        <w:rPr>
          <w:spacing w:val="-4"/>
        </w:rPr>
        <w:t> </w:t>
      </w:r>
      <w:r>
        <w:rPr/>
        <w:t>financial</w:t>
      </w:r>
      <w:r>
        <w:rPr>
          <w:spacing w:val="-3"/>
        </w:rPr>
        <w:t> </w:t>
      </w:r>
      <w:r>
        <w:rPr/>
        <w:t>aid purposes.</w:t>
      </w:r>
      <w:r>
        <w:rPr>
          <w:spacing w:val="40"/>
        </w:rPr>
        <w:t> </w:t>
      </w:r>
      <w:r>
        <w:rPr/>
        <w:t>There are awards for upper level students based on academic and/or design performance within the Department.</w:t>
      </w:r>
      <w:r>
        <w:rPr>
          <w:spacing w:val="40"/>
        </w:rPr>
        <w:t> </w:t>
      </w:r>
      <w:r>
        <w:rPr/>
        <w:t>These are:</w:t>
      </w:r>
    </w:p>
    <w:p>
      <w:pPr>
        <w:pStyle w:val="BodyText"/>
        <w:spacing w:before="8"/>
        <w:rPr>
          <w:sz w:val="19"/>
        </w:rPr>
      </w:pPr>
    </w:p>
    <w:p>
      <w:pPr>
        <w:spacing w:before="0"/>
        <w:ind w:left="279" w:right="0" w:firstLine="0"/>
        <w:jc w:val="left"/>
        <w:rPr>
          <w:b/>
          <w:sz w:val="20"/>
        </w:rPr>
      </w:pPr>
      <w:r>
        <w:rPr>
          <w:b/>
          <w:sz w:val="20"/>
        </w:rPr>
        <w:t>CURRENT</w:t>
      </w:r>
      <w:r>
        <w:rPr>
          <w:b/>
          <w:spacing w:val="-10"/>
          <w:sz w:val="20"/>
        </w:rPr>
        <w:t> </w:t>
      </w:r>
      <w:r>
        <w:rPr>
          <w:b/>
          <w:sz w:val="20"/>
        </w:rPr>
        <w:t>SCHOLARSHIPS</w:t>
      </w:r>
      <w:r>
        <w:rPr>
          <w:b/>
          <w:spacing w:val="-7"/>
          <w:sz w:val="20"/>
        </w:rPr>
        <w:t> </w:t>
      </w:r>
      <w:r>
        <w:rPr>
          <w:b/>
          <w:sz w:val="20"/>
        </w:rPr>
        <w:t>AND</w:t>
      </w:r>
      <w:r>
        <w:rPr>
          <w:b/>
          <w:spacing w:val="-6"/>
          <w:sz w:val="20"/>
        </w:rPr>
        <w:t> </w:t>
      </w:r>
      <w:r>
        <w:rPr>
          <w:b/>
          <w:spacing w:val="-2"/>
          <w:sz w:val="20"/>
        </w:rPr>
        <w:t>AWARDS</w:t>
      </w:r>
    </w:p>
    <w:p>
      <w:pPr>
        <w:pStyle w:val="BodyText"/>
        <w:spacing w:before="7"/>
        <w:rPr>
          <w:b/>
          <w:sz w:val="17"/>
        </w:rPr>
      </w:pPr>
    </w:p>
    <w:p>
      <w:pPr>
        <w:spacing w:before="0"/>
        <w:ind w:left="2079" w:right="0" w:firstLine="0"/>
        <w:jc w:val="left"/>
        <w:rPr>
          <w:b/>
          <w:sz w:val="20"/>
        </w:rPr>
      </w:pPr>
      <w:r>
        <w:rPr>
          <w:b/>
          <w:sz w:val="20"/>
        </w:rPr>
        <w:t>Anthony</w:t>
      </w:r>
      <w:r>
        <w:rPr>
          <w:b/>
          <w:spacing w:val="-11"/>
          <w:sz w:val="20"/>
        </w:rPr>
        <w:t> </w:t>
      </w:r>
      <w:r>
        <w:rPr>
          <w:b/>
          <w:sz w:val="20"/>
        </w:rPr>
        <w:t>and</w:t>
      </w:r>
      <w:r>
        <w:rPr>
          <w:b/>
          <w:spacing w:val="-4"/>
          <w:sz w:val="20"/>
        </w:rPr>
        <w:t> </w:t>
      </w:r>
      <w:r>
        <w:rPr>
          <w:b/>
          <w:sz w:val="20"/>
        </w:rPr>
        <w:t>Bonnie</w:t>
      </w:r>
      <w:r>
        <w:rPr>
          <w:b/>
          <w:spacing w:val="-8"/>
          <w:sz w:val="20"/>
        </w:rPr>
        <w:t> </w:t>
      </w:r>
      <w:r>
        <w:rPr>
          <w:b/>
          <w:spacing w:val="-2"/>
          <w:sz w:val="20"/>
        </w:rPr>
        <w:t>Johns</w:t>
      </w:r>
    </w:p>
    <w:p>
      <w:pPr>
        <w:pStyle w:val="BodyText"/>
        <w:spacing w:before="1"/>
        <w:ind w:left="2079"/>
      </w:pPr>
      <w:r>
        <w:rPr/>
        <w:t>Endowed,</w:t>
      </w:r>
      <w:r>
        <w:rPr>
          <w:spacing w:val="-9"/>
        </w:rPr>
        <w:t> </w:t>
      </w:r>
      <w:r>
        <w:rPr/>
        <w:t>amount</w:t>
      </w:r>
      <w:r>
        <w:rPr>
          <w:spacing w:val="-4"/>
        </w:rPr>
        <w:t> </w:t>
      </w:r>
      <w:r>
        <w:rPr/>
        <w:t>varies.</w:t>
      </w:r>
      <w:r>
        <w:rPr>
          <w:spacing w:val="-5"/>
        </w:rPr>
        <w:t> </w:t>
      </w:r>
      <w:r>
        <w:rPr/>
        <w:t>Rising</w:t>
      </w:r>
      <w:r>
        <w:rPr>
          <w:spacing w:val="-6"/>
        </w:rPr>
        <w:t> </w:t>
      </w:r>
      <w:r>
        <w:rPr/>
        <w:t>5</w:t>
      </w:r>
      <w:r>
        <w:rPr>
          <w:vertAlign w:val="superscript"/>
        </w:rPr>
        <w:t>th</w:t>
      </w:r>
      <w:r>
        <w:rPr>
          <w:spacing w:val="-6"/>
          <w:vertAlign w:val="baseline"/>
        </w:rPr>
        <w:t> </w:t>
      </w:r>
      <w:r>
        <w:rPr>
          <w:vertAlign w:val="baseline"/>
        </w:rPr>
        <w:t>Year</w:t>
      </w:r>
      <w:r>
        <w:rPr>
          <w:spacing w:val="-5"/>
          <w:vertAlign w:val="baseline"/>
        </w:rPr>
        <w:t> </w:t>
      </w:r>
      <w:r>
        <w:rPr>
          <w:vertAlign w:val="baseline"/>
        </w:rPr>
        <w:t>Student</w:t>
      </w:r>
      <w:r>
        <w:rPr>
          <w:spacing w:val="-5"/>
          <w:vertAlign w:val="baseline"/>
        </w:rPr>
        <w:t> </w:t>
      </w:r>
      <w:r>
        <w:rPr>
          <w:vertAlign w:val="baseline"/>
        </w:rPr>
        <w:t>with</w:t>
      </w:r>
      <w:r>
        <w:rPr>
          <w:spacing w:val="-6"/>
          <w:vertAlign w:val="baseline"/>
        </w:rPr>
        <w:t> </w:t>
      </w:r>
      <w:r>
        <w:rPr>
          <w:vertAlign w:val="baseline"/>
        </w:rPr>
        <w:t>best</w:t>
      </w:r>
      <w:r>
        <w:rPr>
          <w:spacing w:val="-6"/>
          <w:vertAlign w:val="baseline"/>
        </w:rPr>
        <w:t> </w:t>
      </w:r>
      <w:r>
        <w:rPr>
          <w:vertAlign w:val="baseline"/>
        </w:rPr>
        <w:t>studio</w:t>
      </w:r>
      <w:r>
        <w:rPr>
          <w:spacing w:val="-6"/>
          <w:vertAlign w:val="baseline"/>
        </w:rPr>
        <w:t> </w:t>
      </w:r>
      <w:r>
        <w:rPr>
          <w:spacing w:val="-4"/>
          <w:vertAlign w:val="baseline"/>
        </w:rPr>
        <w:t>GPA.</w:t>
      </w:r>
    </w:p>
    <w:p>
      <w:pPr>
        <w:spacing w:before="199"/>
        <w:ind w:left="2080" w:right="0" w:firstLine="0"/>
        <w:jc w:val="left"/>
        <w:rPr>
          <w:b/>
          <w:sz w:val="20"/>
        </w:rPr>
      </w:pPr>
      <w:r>
        <w:rPr>
          <w:b/>
          <w:sz w:val="20"/>
        </w:rPr>
        <w:t>Keith</w:t>
      </w:r>
      <w:r>
        <w:rPr>
          <w:b/>
          <w:spacing w:val="-7"/>
          <w:sz w:val="20"/>
        </w:rPr>
        <w:t> </w:t>
      </w:r>
      <w:r>
        <w:rPr>
          <w:b/>
          <w:spacing w:val="-2"/>
          <w:sz w:val="20"/>
        </w:rPr>
        <w:t>Thomas</w:t>
      </w:r>
    </w:p>
    <w:p>
      <w:pPr>
        <w:pStyle w:val="BodyText"/>
        <w:ind w:left="2080"/>
      </w:pPr>
      <w:r>
        <w:rPr/>
        <w:t>Endowed,</w:t>
      </w:r>
      <w:r>
        <w:rPr>
          <w:spacing w:val="-8"/>
        </w:rPr>
        <w:t> </w:t>
      </w:r>
      <w:r>
        <w:rPr/>
        <w:t>amount</w:t>
      </w:r>
      <w:r>
        <w:rPr>
          <w:spacing w:val="-6"/>
        </w:rPr>
        <w:t> </w:t>
      </w:r>
      <w:r>
        <w:rPr/>
        <w:t>varies.</w:t>
      </w:r>
      <w:r>
        <w:rPr>
          <w:spacing w:val="-5"/>
        </w:rPr>
        <w:t> </w:t>
      </w:r>
      <w:r>
        <w:rPr/>
        <w:t>Given</w:t>
      </w:r>
      <w:r>
        <w:rPr>
          <w:spacing w:val="-8"/>
        </w:rPr>
        <w:t> </w:t>
      </w:r>
      <w:r>
        <w:rPr/>
        <w:t>to</w:t>
      </w:r>
      <w:r>
        <w:rPr>
          <w:spacing w:val="-5"/>
        </w:rPr>
        <w:t> </w:t>
      </w:r>
      <w:r>
        <w:rPr/>
        <w:t>Best</w:t>
      </w:r>
      <w:r>
        <w:rPr>
          <w:spacing w:val="-8"/>
        </w:rPr>
        <w:t> </w:t>
      </w:r>
      <w:r>
        <w:rPr/>
        <w:t>Thesis</w:t>
      </w:r>
      <w:r>
        <w:rPr>
          <w:spacing w:val="-4"/>
        </w:rPr>
        <w:t> </w:t>
      </w:r>
      <w:r>
        <w:rPr>
          <w:spacing w:val="-2"/>
        </w:rPr>
        <w:t>Project.</w:t>
      </w:r>
    </w:p>
    <w:p>
      <w:pPr>
        <w:pStyle w:val="BodyText"/>
        <w:spacing w:before="4"/>
        <w:rPr>
          <w:sz w:val="17"/>
        </w:rPr>
      </w:pPr>
    </w:p>
    <w:p>
      <w:pPr>
        <w:spacing w:before="1"/>
        <w:ind w:left="2080" w:right="0" w:firstLine="0"/>
        <w:jc w:val="left"/>
        <w:rPr>
          <w:b/>
          <w:sz w:val="20"/>
        </w:rPr>
      </w:pPr>
      <w:r>
        <w:rPr>
          <w:b/>
          <w:sz w:val="20"/>
        </w:rPr>
        <w:t>Alpha</w:t>
      </w:r>
      <w:r>
        <w:rPr>
          <w:b/>
          <w:spacing w:val="-6"/>
          <w:sz w:val="20"/>
        </w:rPr>
        <w:t> </w:t>
      </w:r>
      <w:r>
        <w:rPr>
          <w:b/>
          <w:sz w:val="20"/>
        </w:rPr>
        <w:t>Rho</w:t>
      </w:r>
      <w:r>
        <w:rPr>
          <w:b/>
          <w:spacing w:val="-5"/>
          <w:sz w:val="20"/>
        </w:rPr>
        <w:t> Chi</w:t>
      </w:r>
    </w:p>
    <w:p>
      <w:pPr>
        <w:pStyle w:val="BodyText"/>
        <w:ind w:left="2080"/>
      </w:pPr>
      <w:r>
        <w:rPr/>
        <w:t>Medal.</w:t>
      </w:r>
      <w:r>
        <w:rPr>
          <w:spacing w:val="-8"/>
        </w:rPr>
        <w:t> </w:t>
      </w:r>
      <w:r>
        <w:rPr/>
        <w:t>To</w:t>
      </w:r>
      <w:r>
        <w:rPr>
          <w:spacing w:val="-7"/>
        </w:rPr>
        <w:t> </w:t>
      </w:r>
      <w:r>
        <w:rPr/>
        <w:t>graduating</w:t>
      </w:r>
      <w:r>
        <w:rPr>
          <w:spacing w:val="-8"/>
        </w:rPr>
        <w:t> </w:t>
      </w:r>
      <w:r>
        <w:rPr/>
        <w:t>student</w:t>
      </w:r>
      <w:r>
        <w:rPr>
          <w:spacing w:val="-7"/>
        </w:rPr>
        <w:t> </w:t>
      </w:r>
      <w:r>
        <w:rPr/>
        <w:t>for</w:t>
      </w:r>
      <w:r>
        <w:rPr>
          <w:spacing w:val="-7"/>
        </w:rPr>
        <w:t> </w:t>
      </w:r>
      <w:r>
        <w:rPr/>
        <w:t>leadership,</w:t>
      </w:r>
      <w:r>
        <w:rPr>
          <w:spacing w:val="-7"/>
        </w:rPr>
        <w:t> </w:t>
      </w:r>
      <w:r>
        <w:rPr/>
        <w:t>service,</w:t>
      </w:r>
      <w:r>
        <w:rPr>
          <w:spacing w:val="-6"/>
        </w:rPr>
        <w:t> </w:t>
      </w:r>
      <w:r>
        <w:rPr/>
        <w:t>and</w:t>
      </w:r>
      <w:r>
        <w:rPr>
          <w:spacing w:val="-8"/>
        </w:rPr>
        <w:t> </w:t>
      </w:r>
      <w:r>
        <w:rPr/>
        <w:t>professional</w:t>
      </w:r>
      <w:r>
        <w:rPr>
          <w:spacing w:val="-8"/>
        </w:rPr>
        <w:t> </w:t>
      </w:r>
      <w:r>
        <w:rPr>
          <w:spacing w:val="-2"/>
        </w:rPr>
        <w:t>merit.</w:t>
      </w:r>
    </w:p>
    <w:p>
      <w:pPr>
        <w:pStyle w:val="BodyText"/>
        <w:spacing w:before="4"/>
        <w:rPr>
          <w:sz w:val="17"/>
        </w:rPr>
      </w:pPr>
    </w:p>
    <w:p>
      <w:pPr>
        <w:spacing w:before="0"/>
        <w:ind w:left="2080" w:right="0" w:firstLine="0"/>
        <w:jc w:val="left"/>
        <w:rPr>
          <w:b/>
          <w:sz w:val="20"/>
        </w:rPr>
      </w:pPr>
      <w:r>
        <w:rPr>
          <w:b/>
          <w:sz w:val="20"/>
        </w:rPr>
        <w:t>Henry</w:t>
      </w:r>
      <w:r>
        <w:rPr>
          <w:b/>
          <w:spacing w:val="-6"/>
          <w:sz w:val="20"/>
        </w:rPr>
        <w:t> </w:t>
      </w:r>
      <w:r>
        <w:rPr>
          <w:b/>
          <w:sz w:val="20"/>
        </w:rPr>
        <w:t>Adams</w:t>
      </w:r>
      <w:r>
        <w:rPr>
          <w:b/>
          <w:spacing w:val="-8"/>
          <w:sz w:val="20"/>
        </w:rPr>
        <w:t> </w:t>
      </w:r>
      <w:r>
        <w:rPr>
          <w:b/>
          <w:sz w:val="20"/>
        </w:rPr>
        <w:t>Medal,</w:t>
      </w:r>
      <w:r>
        <w:rPr>
          <w:b/>
          <w:spacing w:val="-3"/>
          <w:sz w:val="20"/>
        </w:rPr>
        <w:t> </w:t>
      </w:r>
      <w:r>
        <w:rPr>
          <w:b/>
          <w:spacing w:val="-5"/>
          <w:sz w:val="20"/>
        </w:rPr>
        <w:t>AIA</w:t>
      </w:r>
    </w:p>
    <w:p>
      <w:pPr>
        <w:pStyle w:val="BodyText"/>
        <w:spacing w:before="1"/>
        <w:ind w:left="2080"/>
      </w:pPr>
      <w:r>
        <w:rPr/>
        <w:t>Medal,</w:t>
      </w:r>
      <w:r>
        <w:rPr>
          <w:spacing w:val="-8"/>
        </w:rPr>
        <w:t> </w:t>
      </w:r>
      <w:r>
        <w:rPr/>
        <w:t>graduating</w:t>
      </w:r>
      <w:r>
        <w:rPr>
          <w:spacing w:val="-9"/>
        </w:rPr>
        <w:t> </w:t>
      </w:r>
      <w:r>
        <w:rPr/>
        <w:t>student</w:t>
      </w:r>
      <w:r>
        <w:rPr>
          <w:spacing w:val="-7"/>
        </w:rPr>
        <w:t> </w:t>
      </w:r>
      <w:r>
        <w:rPr/>
        <w:t>with</w:t>
      </w:r>
      <w:r>
        <w:rPr>
          <w:spacing w:val="-7"/>
        </w:rPr>
        <w:t> </w:t>
      </w:r>
      <w:r>
        <w:rPr/>
        <w:t>highest</w:t>
      </w:r>
      <w:r>
        <w:rPr>
          <w:spacing w:val="-10"/>
        </w:rPr>
        <w:t> </w:t>
      </w:r>
      <w:r>
        <w:rPr>
          <w:spacing w:val="-4"/>
        </w:rPr>
        <w:t>GPA.</w:t>
      </w:r>
    </w:p>
    <w:p>
      <w:pPr>
        <w:pStyle w:val="BodyText"/>
        <w:spacing w:before="4"/>
        <w:rPr>
          <w:sz w:val="17"/>
        </w:rPr>
      </w:pPr>
    </w:p>
    <w:p>
      <w:pPr>
        <w:spacing w:before="0"/>
        <w:ind w:left="2080" w:right="0" w:firstLine="0"/>
        <w:jc w:val="left"/>
        <w:rPr>
          <w:b/>
          <w:sz w:val="20"/>
        </w:rPr>
      </w:pPr>
      <w:r>
        <w:rPr>
          <w:b/>
          <w:sz w:val="20"/>
        </w:rPr>
        <w:t>Henry</w:t>
      </w:r>
      <w:r>
        <w:rPr>
          <w:b/>
          <w:spacing w:val="-9"/>
          <w:sz w:val="20"/>
        </w:rPr>
        <w:t> </w:t>
      </w:r>
      <w:r>
        <w:rPr>
          <w:b/>
          <w:sz w:val="20"/>
        </w:rPr>
        <w:t>Adams</w:t>
      </w:r>
      <w:r>
        <w:rPr>
          <w:b/>
          <w:spacing w:val="-9"/>
          <w:sz w:val="20"/>
        </w:rPr>
        <w:t> </w:t>
      </w:r>
      <w:r>
        <w:rPr>
          <w:b/>
          <w:sz w:val="20"/>
        </w:rPr>
        <w:t>Certificate,</w:t>
      </w:r>
      <w:r>
        <w:rPr>
          <w:b/>
          <w:spacing w:val="-9"/>
          <w:sz w:val="20"/>
        </w:rPr>
        <w:t> </w:t>
      </w:r>
      <w:r>
        <w:rPr>
          <w:b/>
          <w:spacing w:val="-5"/>
          <w:sz w:val="20"/>
        </w:rPr>
        <w:t>AIA</w:t>
      </w:r>
    </w:p>
    <w:p>
      <w:pPr>
        <w:pStyle w:val="BodyText"/>
        <w:ind w:left="2080"/>
      </w:pPr>
      <w:r>
        <w:rPr/>
        <w:t>Certificate,</w:t>
      </w:r>
      <w:r>
        <w:rPr>
          <w:spacing w:val="-7"/>
        </w:rPr>
        <w:t> </w:t>
      </w:r>
      <w:r>
        <w:rPr/>
        <w:t>graduating</w:t>
      </w:r>
      <w:r>
        <w:rPr>
          <w:spacing w:val="-10"/>
        </w:rPr>
        <w:t> </w:t>
      </w:r>
      <w:r>
        <w:rPr/>
        <w:t>student</w:t>
      </w:r>
      <w:r>
        <w:rPr>
          <w:spacing w:val="-8"/>
        </w:rPr>
        <w:t> </w:t>
      </w:r>
      <w:r>
        <w:rPr/>
        <w:t>with</w:t>
      </w:r>
      <w:r>
        <w:rPr>
          <w:spacing w:val="-9"/>
        </w:rPr>
        <w:t> </w:t>
      </w:r>
      <w:r>
        <w:rPr/>
        <w:t>second</w:t>
      </w:r>
      <w:r>
        <w:rPr>
          <w:spacing w:val="-8"/>
        </w:rPr>
        <w:t> </w:t>
      </w:r>
      <w:r>
        <w:rPr/>
        <w:t>highest</w:t>
      </w:r>
      <w:r>
        <w:rPr>
          <w:spacing w:val="-10"/>
        </w:rPr>
        <w:t> </w:t>
      </w:r>
      <w:r>
        <w:rPr>
          <w:spacing w:val="-4"/>
        </w:rPr>
        <w:t>GPA.</w:t>
      </w:r>
    </w:p>
    <w:p>
      <w:pPr>
        <w:pStyle w:val="BodyText"/>
        <w:spacing w:before="4"/>
        <w:rPr>
          <w:sz w:val="17"/>
        </w:rPr>
      </w:pPr>
    </w:p>
    <w:p>
      <w:pPr>
        <w:spacing w:before="1"/>
        <w:ind w:left="2080" w:right="0" w:firstLine="0"/>
        <w:jc w:val="both"/>
        <w:rPr>
          <w:b/>
          <w:sz w:val="20"/>
        </w:rPr>
      </w:pPr>
      <w:r>
        <w:rPr>
          <w:b/>
          <w:sz w:val="20"/>
        </w:rPr>
        <w:t>David</w:t>
      </w:r>
      <w:r>
        <w:rPr>
          <w:b/>
          <w:spacing w:val="-10"/>
          <w:sz w:val="20"/>
        </w:rPr>
        <w:t> </w:t>
      </w:r>
      <w:r>
        <w:rPr>
          <w:b/>
          <w:sz w:val="20"/>
        </w:rPr>
        <w:t>T.</w:t>
      </w:r>
      <w:r>
        <w:rPr>
          <w:b/>
          <w:spacing w:val="-9"/>
          <w:sz w:val="20"/>
        </w:rPr>
        <w:t> </w:t>
      </w:r>
      <w:r>
        <w:rPr>
          <w:b/>
          <w:sz w:val="20"/>
        </w:rPr>
        <w:t>Fitz-Gibbon</w:t>
      </w:r>
      <w:r>
        <w:rPr>
          <w:b/>
          <w:spacing w:val="-10"/>
          <w:sz w:val="20"/>
        </w:rPr>
        <w:t> </w:t>
      </w:r>
      <w:r>
        <w:rPr>
          <w:b/>
          <w:sz w:val="20"/>
        </w:rPr>
        <w:t>Scholarship,</w:t>
      </w:r>
      <w:r>
        <w:rPr>
          <w:b/>
          <w:spacing w:val="-8"/>
          <w:sz w:val="20"/>
        </w:rPr>
        <w:t> </w:t>
      </w:r>
      <w:r>
        <w:rPr>
          <w:b/>
          <w:spacing w:val="-4"/>
          <w:sz w:val="20"/>
        </w:rPr>
        <w:t>VSAIA</w:t>
      </w:r>
    </w:p>
    <w:p>
      <w:pPr>
        <w:pStyle w:val="BodyText"/>
        <w:ind w:left="2080" w:right="1176"/>
        <w:jc w:val="both"/>
      </w:pPr>
      <w:r>
        <w:rPr/>
        <w:t>Two</w:t>
      </w:r>
      <w:r>
        <w:rPr>
          <w:spacing w:val="-2"/>
        </w:rPr>
        <w:t> </w:t>
      </w:r>
      <w:r>
        <w:rPr/>
        <w:t>$2,500 awards,</w:t>
      </w:r>
      <w:r>
        <w:rPr>
          <w:spacing w:val="-2"/>
        </w:rPr>
        <w:t> </w:t>
      </w:r>
      <w:r>
        <w:rPr/>
        <w:t>each to</w:t>
      </w:r>
      <w:r>
        <w:rPr>
          <w:spacing w:val="-2"/>
        </w:rPr>
        <w:t> </w:t>
      </w:r>
      <w:r>
        <w:rPr/>
        <w:t>a</w:t>
      </w:r>
      <w:r>
        <w:rPr>
          <w:spacing w:val="-2"/>
        </w:rPr>
        <w:t> </w:t>
      </w:r>
      <w:r>
        <w:rPr/>
        <w:t>third or</w:t>
      </w:r>
      <w:r>
        <w:rPr>
          <w:spacing w:val="-1"/>
        </w:rPr>
        <w:t> </w:t>
      </w:r>
      <w:r>
        <w:rPr/>
        <w:t>fourth year</w:t>
      </w:r>
      <w:r>
        <w:rPr>
          <w:spacing w:val="-1"/>
        </w:rPr>
        <w:t> </w:t>
      </w:r>
      <w:r>
        <w:rPr/>
        <w:t>student</w:t>
      </w:r>
      <w:r>
        <w:rPr>
          <w:spacing w:val="-2"/>
        </w:rPr>
        <w:t> </w:t>
      </w:r>
      <w:r>
        <w:rPr/>
        <w:t>for</w:t>
      </w:r>
      <w:r>
        <w:rPr>
          <w:spacing w:val="-1"/>
        </w:rPr>
        <w:t> </w:t>
      </w:r>
      <w:r>
        <w:rPr/>
        <w:t>foreign travel. Selected by</w:t>
      </w:r>
      <w:r>
        <w:rPr>
          <w:spacing w:val="-7"/>
        </w:rPr>
        <w:t> </w:t>
      </w:r>
      <w:r>
        <w:rPr/>
        <w:t>faculty.</w:t>
      </w:r>
      <w:r>
        <w:rPr>
          <w:spacing w:val="-4"/>
        </w:rPr>
        <w:t> </w:t>
      </w:r>
      <w:r>
        <w:rPr/>
        <w:t>These</w:t>
      </w:r>
      <w:r>
        <w:rPr>
          <w:spacing w:val="-4"/>
        </w:rPr>
        <w:t> </w:t>
      </w:r>
      <w:r>
        <w:rPr/>
        <w:t>scholarships will</w:t>
      </w:r>
      <w:r>
        <w:rPr>
          <w:spacing w:val="-3"/>
        </w:rPr>
        <w:t> </w:t>
      </w:r>
      <w:r>
        <w:rPr/>
        <w:t>be</w:t>
      </w:r>
      <w:r>
        <w:rPr>
          <w:spacing w:val="-4"/>
        </w:rPr>
        <w:t> </w:t>
      </w:r>
      <w:r>
        <w:rPr/>
        <w:t>redirected</w:t>
      </w:r>
      <w:r>
        <w:rPr>
          <w:spacing w:val="-4"/>
        </w:rPr>
        <w:t> </w:t>
      </w:r>
      <w:r>
        <w:rPr/>
        <w:t>to</w:t>
      </w:r>
      <w:r>
        <w:rPr>
          <w:spacing w:val="-4"/>
        </w:rPr>
        <w:t> </w:t>
      </w:r>
      <w:r>
        <w:rPr/>
        <w:t>5</w:t>
      </w:r>
      <w:r>
        <w:rPr>
          <w:vertAlign w:val="superscript"/>
        </w:rPr>
        <w:t>th</w:t>
      </w:r>
      <w:r>
        <w:rPr>
          <w:spacing w:val="-2"/>
          <w:vertAlign w:val="baseline"/>
        </w:rPr>
        <w:t> </w:t>
      </w:r>
      <w:r>
        <w:rPr>
          <w:vertAlign w:val="baseline"/>
        </w:rPr>
        <w:t>year</w:t>
      </w:r>
      <w:r>
        <w:rPr>
          <w:spacing w:val="-3"/>
          <w:vertAlign w:val="baseline"/>
        </w:rPr>
        <w:t> </w:t>
      </w:r>
      <w:r>
        <w:rPr>
          <w:vertAlign w:val="baseline"/>
        </w:rPr>
        <w:t>students</w:t>
      </w:r>
      <w:r>
        <w:rPr>
          <w:spacing w:val="-3"/>
          <w:vertAlign w:val="baseline"/>
        </w:rPr>
        <w:t> </w:t>
      </w:r>
      <w:r>
        <w:rPr>
          <w:vertAlign w:val="baseline"/>
        </w:rPr>
        <w:t>during</w:t>
      </w:r>
      <w:r>
        <w:rPr>
          <w:spacing w:val="-4"/>
          <w:vertAlign w:val="baseline"/>
        </w:rPr>
        <w:t> </w:t>
      </w:r>
      <w:r>
        <w:rPr>
          <w:vertAlign w:val="baseline"/>
        </w:rPr>
        <w:t>the</w:t>
      </w:r>
      <w:r>
        <w:rPr>
          <w:spacing w:val="-2"/>
          <w:vertAlign w:val="baseline"/>
        </w:rPr>
        <w:t> </w:t>
      </w:r>
      <w:r>
        <w:rPr>
          <w:vertAlign w:val="baseline"/>
        </w:rPr>
        <w:t>2014- 2015 academic year.</w:t>
      </w:r>
    </w:p>
    <w:p>
      <w:pPr>
        <w:pStyle w:val="BodyText"/>
        <w:spacing w:before="4"/>
        <w:rPr>
          <w:sz w:val="17"/>
        </w:rPr>
      </w:pPr>
    </w:p>
    <w:p>
      <w:pPr>
        <w:spacing w:before="1"/>
        <w:ind w:left="2080" w:right="0" w:firstLine="0"/>
        <w:jc w:val="left"/>
        <w:rPr>
          <w:b/>
          <w:sz w:val="20"/>
        </w:rPr>
      </w:pPr>
      <w:r>
        <w:rPr>
          <w:b/>
          <w:sz w:val="20"/>
        </w:rPr>
        <w:t>John</w:t>
      </w:r>
      <w:r>
        <w:rPr>
          <w:b/>
          <w:spacing w:val="-6"/>
          <w:sz w:val="20"/>
        </w:rPr>
        <w:t> </w:t>
      </w:r>
      <w:r>
        <w:rPr>
          <w:b/>
          <w:sz w:val="20"/>
        </w:rPr>
        <w:t>H.</w:t>
      </w:r>
      <w:r>
        <w:rPr>
          <w:b/>
          <w:spacing w:val="-6"/>
          <w:sz w:val="20"/>
        </w:rPr>
        <w:t> </w:t>
      </w:r>
      <w:r>
        <w:rPr>
          <w:b/>
          <w:sz w:val="20"/>
        </w:rPr>
        <w:t>Spencer</w:t>
      </w:r>
      <w:r>
        <w:rPr>
          <w:b/>
          <w:spacing w:val="-8"/>
          <w:sz w:val="20"/>
        </w:rPr>
        <w:t> </w:t>
      </w:r>
      <w:r>
        <w:rPr>
          <w:b/>
          <w:sz w:val="20"/>
        </w:rPr>
        <w:t>Endowed</w:t>
      </w:r>
      <w:r>
        <w:rPr>
          <w:b/>
          <w:spacing w:val="-5"/>
          <w:sz w:val="20"/>
        </w:rPr>
        <w:t> </w:t>
      </w:r>
      <w:r>
        <w:rPr>
          <w:b/>
          <w:spacing w:val="-2"/>
          <w:sz w:val="20"/>
        </w:rPr>
        <w:t>Scholarship:</w:t>
      </w:r>
    </w:p>
    <w:p>
      <w:pPr>
        <w:pStyle w:val="BodyText"/>
        <w:ind w:left="2080" w:right="1195" w:hanging="1"/>
      </w:pPr>
      <w:r>
        <w:rPr/>
        <w:t>Endowed,</w:t>
      </w:r>
      <w:r>
        <w:rPr>
          <w:spacing w:val="-5"/>
        </w:rPr>
        <w:t> </w:t>
      </w:r>
      <w:r>
        <w:rPr/>
        <w:t>amount</w:t>
      </w:r>
      <w:r>
        <w:rPr>
          <w:spacing w:val="-3"/>
        </w:rPr>
        <w:t> </w:t>
      </w:r>
      <w:r>
        <w:rPr/>
        <w:t>varies,</w:t>
      </w:r>
      <w:r>
        <w:rPr>
          <w:spacing w:val="-5"/>
        </w:rPr>
        <w:t> </w:t>
      </w:r>
      <w:r>
        <w:rPr/>
        <w:t>by</w:t>
      </w:r>
      <w:r>
        <w:rPr>
          <w:spacing w:val="-8"/>
        </w:rPr>
        <w:t> </w:t>
      </w:r>
      <w:r>
        <w:rPr/>
        <w:t>contributions</w:t>
      </w:r>
      <w:r>
        <w:rPr>
          <w:spacing w:val="-4"/>
        </w:rPr>
        <w:t> </w:t>
      </w:r>
      <w:r>
        <w:rPr/>
        <w:t>from alumni,</w:t>
      </w:r>
      <w:r>
        <w:rPr>
          <w:spacing w:val="-5"/>
        </w:rPr>
        <w:t> </w:t>
      </w:r>
      <w:r>
        <w:rPr/>
        <w:t>faculty,</w:t>
      </w:r>
      <w:r>
        <w:rPr>
          <w:spacing w:val="-5"/>
        </w:rPr>
        <w:t> </w:t>
      </w:r>
      <w:r>
        <w:rPr/>
        <w:t>students</w:t>
      </w:r>
      <w:r>
        <w:rPr>
          <w:spacing w:val="-4"/>
        </w:rPr>
        <w:t> </w:t>
      </w:r>
      <w:r>
        <w:rPr/>
        <w:t>and</w:t>
      </w:r>
      <w:r>
        <w:rPr>
          <w:spacing w:val="-5"/>
        </w:rPr>
        <w:t> </w:t>
      </w:r>
      <w:r>
        <w:rPr/>
        <w:t>friends. Established</w:t>
      </w:r>
      <w:r>
        <w:rPr>
          <w:spacing w:val="-2"/>
        </w:rPr>
        <w:t> </w:t>
      </w:r>
      <w:r>
        <w:rPr/>
        <w:t>2006,</w:t>
      </w:r>
      <w:r>
        <w:rPr>
          <w:spacing w:val="-2"/>
        </w:rPr>
        <w:t> </w:t>
      </w:r>
      <w:r>
        <w:rPr/>
        <w:t>it provides</w:t>
      </w:r>
      <w:r>
        <w:rPr>
          <w:spacing w:val="-1"/>
        </w:rPr>
        <w:t> </w:t>
      </w:r>
      <w:r>
        <w:rPr/>
        <w:t>annual</w:t>
      </w:r>
      <w:r>
        <w:rPr>
          <w:spacing w:val="-1"/>
        </w:rPr>
        <w:t> </w:t>
      </w:r>
      <w:r>
        <w:rPr/>
        <w:t>scholarships</w:t>
      </w:r>
      <w:r>
        <w:rPr>
          <w:spacing w:val="-1"/>
        </w:rPr>
        <w:t> </w:t>
      </w:r>
      <w:r>
        <w:rPr/>
        <w:t>to students who have</w:t>
      </w:r>
      <w:r>
        <w:rPr>
          <w:spacing w:val="-2"/>
        </w:rPr>
        <w:t> </w:t>
      </w:r>
      <w:r>
        <w:rPr/>
        <w:t>reached the second year, have a GPA of 3.0 or higher, and have financial need. Students apply to the university and the selection is made by the faculty. The first year that funds were available was AY2012/13.</w:t>
      </w:r>
    </w:p>
    <w:p>
      <w:pPr>
        <w:pStyle w:val="BodyText"/>
        <w:spacing w:before="4"/>
        <w:rPr>
          <w:sz w:val="17"/>
        </w:rPr>
      </w:pPr>
    </w:p>
    <w:p>
      <w:pPr>
        <w:spacing w:before="0"/>
        <w:ind w:left="2080" w:right="0" w:firstLine="0"/>
        <w:jc w:val="left"/>
        <w:rPr>
          <w:b/>
          <w:sz w:val="20"/>
        </w:rPr>
      </w:pPr>
      <w:r>
        <w:rPr>
          <w:b/>
          <w:sz w:val="20"/>
        </w:rPr>
        <w:t>Virginia</w:t>
      </w:r>
      <w:r>
        <w:rPr>
          <w:b/>
          <w:spacing w:val="-10"/>
          <w:sz w:val="20"/>
        </w:rPr>
        <w:t> </w:t>
      </w:r>
      <w:r>
        <w:rPr>
          <w:b/>
          <w:sz w:val="20"/>
        </w:rPr>
        <w:t>Foundation</w:t>
      </w:r>
      <w:r>
        <w:rPr>
          <w:b/>
          <w:spacing w:val="-8"/>
          <w:sz w:val="20"/>
        </w:rPr>
        <w:t> </w:t>
      </w:r>
      <w:r>
        <w:rPr>
          <w:b/>
          <w:sz w:val="20"/>
        </w:rPr>
        <w:t>for</w:t>
      </w:r>
      <w:r>
        <w:rPr>
          <w:b/>
          <w:spacing w:val="-5"/>
          <w:sz w:val="20"/>
        </w:rPr>
        <w:t> </w:t>
      </w:r>
      <w:r>
        <w:rPr>
          <w:b/>
          <w:spacing w:val="-2"/>
          <w:sz w:val="20"/>
        </w:rPr>
        <w:t>Architecture</w:t>
      </w:r>
    </w:p>
    <w:p>
      <w:pPr>
        <w:pStyle w:val="BodyText"/>
        <w:ind w:left="2080" w:right="1211"/>
      </w:pPr>
      <w:r>
        <w:rPr/>
        <w:t>This non-profit affiliate arm of the American Institute of Architects provides two scholarships</w:t>
      </w:r>
      <w:r>
        <w:rPr>
          <w:spacing w:val="-4"/>
        </w:rPr>
        <w:t> </w:t>
      </w:r>
      <w:r>
        <w:rPr/>
        <w:t>to</w:t>
      </w:r>
      <w:r>
        <w:rPr>
          <w:spacing w:val="-5"/>
        </w:rPr>
        <w:t> </w:t>
      </w:r>
      <w:r>
        <w:rPr/>
        <w:t>our</w:t>
      </w:r>
      <w:r>
        <w:rPr>
          <w:spacing w:val="-4"/>
        </w:rPr>
        <w:t> </w:t>
      </w:r>
      <w:r>
        <w:rPr/>
        <w:t>program.</w:t>
      </w:r>
      <w:r>
        <w:rPr>
          <w:spacing w:val="-5"/>
        </w:rPr>
        <w:t> </w:t>
      </w:r>
      <w:r>
        <w:rPr/>
        <w:t>Amounts</w:t>
      </w:r>
      <w:r>
        <w:rPr>
          <w:spacing w:val="-4"/>
        </w:rPr>
        <w:t> </w:t>
      </w:r>
      <w:r>
        <w:rPr/>
        <w:t>have</w:t>
      </w:r>
      <w:r>
        <w:rPr>
          <w:spacing w:val="-3"/>
        </w:rPr>
        <w:t> </w:t>
      </w:r>
      <w:r>
        <w:rPr/>
        <w:t>ranged</w:t>
      </w:r>
      <w:r>
        <w:rPr>
          <w:spacing w:val="-5"/>
        </w:rPr>
        <w:t> </w:t>
      </w:r>
      <w:r>
        <w:rPr/>
        <w:t>from $1,000</w:t>
      </w:r>
      <w:r>
        <w:rPr>
          <w:spacing w:val="-5"/>
        </w:rPr>
        <w:t> </w:t>
      </w:r>
      <w:r>
        <w:rPr/>
        <w:t>to</w:t>
      </w:r>
      <w:r>
        <w:rPr>
          <w:spacing w:val="-3"/>
        </w:rPr>
        <w:t> </w:t>
      </w:r>
      <w:r>
        <w:rPr/>
        <w:t>$2,500</w:t>
      </w:r>
      <w:r>
        <w:rPr>
          <w:spacing w:val="-5"/>
        </w:rPr>
        <w:t> </w:t>
      </w:r>
      <w:r>
        <w:rPr/>
        <w:t>each.</w:t>
      </w:r>
    </w:p>
    <w:p>
      <w:pPr>
        <w:pStyle w:val="BodyText"/>
        <w:spacing w:before="1"/>
        <w:ind w:left="2079" w:right="1211"/>
      </w:pPr>
      <w:r>
        <w:rPr/>
        <w:t>.Until</w:t>
      </w:r>
      <w:r>
        <w:rPr>
          <w:spacing w:val="-5"/>
        </w:rPr>
        <w:t> </w:t>
      </w:r>
      <w:r>
        <w:rPr/>
        <w:t>the</w:t>
      </w:r>
      <w:r>
        <w:rPr>
          <w:spacing w:val="-4"/>
        </w:rPr>
        <w:t> </w:t>
      </w:r>
      <w:r>
        <w:rPr/>
        <w:t>2014-15</w:t>
      </w:r>
      <w:r>
        <w:rPr>
          <w:spacing w:val="-4"/>
        </w:rPr>
        <w:t> </w:t>
      </w:r>
      <w:r>
        <w:rPr/>
        <w:t>academic</w:t>
      </w:r>
      <w:r>
        <w:rPr>
          <w:spacing w:val="-1"/>
        </w:rPr>
        <w:t> </w:t>
      </w:r>
      <w:r>
        <w:rPr/>
        <w:t>year,</w:t>
      </w:r>
      <w:r>
        <w:rPr>
          <w:spacing w:val="-4"/>
        </w:rPr>
        <w:t> </w:t>
      </w:r>
      <w:r>
        <w:rPr/>
        <w:t>those</w:t>
      </w:r>
      <w:r>
        <w:rPr>
          <w:spacing w:val="-4"/>
        </w:rPr>
        <w:t> </w:t>
      </w:r>
      <w:r>
        <w:rPr/>
        <w:t>scholarships</w:t>
      </w:r>
      <w:r>
        <w:rPr>
          <w:spacing w:val="-1"/>
        </w:rPr>
        <w:t> </w:t>
      </w:r>
      <w:r>
        <w:rPr/>
        <w:t>were</w:t>
      </w:r>
      <w:r>
        <w:rPr>
          <w:spacing w:val="-4"/>
        </w:rPr>
        <w:t> </w:t>
      </w:r>
      <w:r>
        <w:rPr/>
        <w:t>used</w:t>
      </w:r>
      <w:r>
        <w:rPr>
          <w:spacing w:val="-4"/>
        </w:rPr>
        <w:t> </w:t>
      </w:r>
      <w:r>
        <w:rPr/>
        <w:t>to</w:t>
      </w:r>
      <w:r>
        <w:rPr>
          <w:spacing w:val="-2"/>
        </w:rPr>
        <w:t> </w:t>
      </w:r>
      <w:r>
        <w:rPr/>
        <w:t>assist</w:t>
      </w:r>
      <w:r>
        <w:rPr>
          <w:spacing w:val="-4"/>
        </w:rPr>
        <w:t> </w:t>
      </w:r>
      <w:r>
        <w:rPr/>
        <w:t>gifted</w:t>
      </w:r>
      <w:r>
        <w:rPr>
          <w:spacing w:val="-2"/>
        </w:rPr>
        <w:t> </w:t>
      </w:r>
      <w:r>
        <w:rPr/>
        <w:t>3</w:t>
      </w:r>
      <w:r>
        <w:rPr>
          <w:vertAlign w:val="superscript"/>
        </w:rPr>
        <w:t>rd</w:t>
      </w:r>
      <w:r>
        <w:rPr>
          <w:vertAlign w:val="baseline"/>
        </w:rPr>
        <w:t> year students with financial need in support of their travel studio expenses. In September, 2014, the faculty agreed to provide this resource to gifted 5</w:t>
      </w:r>
      <w:r>
        <w:rPr>
          <w:vertAlign w:val="superscript"/>
        </w:rPr>
        <w:t>th</w:t>
      </w:r>
      <w:r>
        <w:rPr>
          <w:vertAlign w:val="baseline"/>
        </w:rPr>
        <w:t> year students with financial need.</w:t>
      </w:r>
    </w:p>
    <w:p>
      <w:pPr>
        <w:pStyle w:val="BodyText"/>
        <w:spacing w:before="2"/>
        <w:rPr>
          <w:sz w:val="17"/>
        </w:rPr>
      </w:pPr>
    </w:p>
    <w:p>
      <w:pPr>
        <w:spacing w:before="1"/>
        <w:ind w:left="2079" w:right="0" w:firstLine="0"/>
        <w:jc w:val="left"/>
        <w:rPr>
          <w:b/>
          <w:sz w:val="20"/>
        </w:rPr>
      </w:pPr>
      <w:r>
        <w:rPr>
          <w:b/>
          <w:sz w:val="20"/>
        </w:rPr>
        <w:t>Graduate</w:t>
      </w:r>
      <w:r>
        <w:rPr>
          <w:b/>
          <w:spacing w:val="-8"/>
          <w:sz w:val="20"/>
        </w:rPr>
        <w:t> </w:t>
      </w:r>
      <w:r>
        <w:rPr>
          <w:b/>
          <w:spacing w:val="-2"/>
          <w:sz w:val="20"/>
        </w:rPr>
        <w:t>Assistantships</w:t>
      </w:r>
    </w:p>
    <w:p>
      <w:pPr>
        <w:pStyle w:val="BodyText"/>
        <w:ind w:left="2079" w:right="1151" w:hanging="1"/>
      </w:pPr>
      <w:r>
        <w:rPr/>
        <w:t>The university provides financial assistance to one 5</w:t>
      </w:r>
      <w:r>
        <w:rPr>
          <w:vertAlign w:val="superscript"/>
        </w:rPr>
        <w:t>th</w:t>
      </w:r>
      <w:r>
        <w:rPr>
          <w:vertAlign w:val="baseline"/>
        </w:rPr>
        <w:t> year student, selected by the faculty. The financial value of this support is approximately $3,000, and requires the student</w:t>
      </w:r>
      <w:r>
        <w:rPr>
          <w:spacing w:val="-2"/>
          <w:vertAlign w:val="baseline"/>
        </w:rPr>
        <w:t> </w:t>
      </w:r>
      <w:r>
        <w:rPr>
          <w:vertAlign w:val="baseline"/>
        </w:rPr>
        <w:t>to</w:t>
      </w:r>
      <w:r>
        <w:rPr>
          <w:spacing w:val="-2"/>
          <w:vertAlign w:val="baseline"/>
        </w:rPr>
        <w:t> </w:t>
      </w:r>
      <w:r>
        <w:rPr>
          <w:vertAlign w:val="baseline"/>
        </w:rPr>
        <w:t>work in</w:t>
      </w:r>
      <w:r>
        <w:rPr>
          <w:spacing w:val="-4"/>
          <w:vertAlign w:val="baseline"/>
        </w:rPr>
        <w:t> </w:t>
      </w:r>
      <w:r>
        <w:rPr>
          <w:vertAlign w:val="baseline"/>
        </w:rPr>
        <w:t>the</w:t>
      </w:r>
      <w:r>
        <w:rPr>
          <w:spacing w:val="-2"/>
          <w:vertAlign w:val="baseline"/>
        </w:rPr>
        <w:t> </w:t>
      </w:r>
      <w:r>
        <w:rPr>
          <w:vertAlign w:val="baseline"/>
        </w:rPr>
        <w:t>department</w:t>
      </w:r>
      <w:r>
        <w:rPr>
          <w:spacing w:val="-4"/>
          <w:vertAlign w:val="baseline"/>
        </w:rPr>
        <w:t> </w:t>
      </w:r>
      <w:r>
        <w:rPr>
          <w:vertAlign w:val="baseline"/>
        </w:rPr>
        <w:t>at</w:t>
      </w:r>
      <w:r>
        <w:rPr>
          <w:spacing w:val="-4"/>
          <w:vertAlign w:val="baseline"/>
        </w:rPr>
        <w:t> </w:t>
      </w:r>
      <w:r>
        <w:rPr>
          <w:vertAlign w:val="baseline"/>
        </w:rPr>
        <w:t>the</w:t>
      </w:r>
      <w:r>
        <w:rPr>
          <w:spacing w:val="-4"/>
          <w:vertAlign w:val="baseline"/>
        </w:rPr>
        <w:t> </w:t>
      </w:r>
      <w:r>
        <w:rPr>
          <w:vertAlign w:val="baseline"/>
        </w:rPr>
        <w:t>discretion</w:t>
      </w:r>
      <w:r>
        <w:rPr>
          <w:spacing w:val="-4"/>
          <w:vertAlign w:val="baseline"/>
        </w:rPr>
        <w:t> </w:t>
      </w:r>
      <w:r>
        <w:rPr>
          <w:vertAlign w:val="baseline"/>
        </w:rPr>
        <w:t>of</w:t>
      </w:r>
      <w:r>
        <w:rPr>
          <w:spacing w:val="-2"/>
          <w:vertAlign w:val="baseline"/>
        </w:rPr>
        <w:t> </w:t>
      </w:r>
      <w:r>
        <w:rPr>
          <w:vertAlign w:val="baseline"/>
        </w:rPr>
        <w:t>the</w:t>
      </w:r>
      <w:r>
        <w:rPr>
          <w:spacing w:val="-4"/>
          <w:vertAlign w:val="baseline"/>
        </w:rPr>
        <w:t> </w:t>
      </w:r>
      <w:r>
        <w:rPr>
          <w:vertAlign w:val="baseline"/>
        </w:rPr>
        <w:t>Chair</w:t>
      </w:r>
      <w:r>
        <w:rPr>
          <w:spacing w:val="-3"/>
          <w:vertAlign w:val="baseline"/>
        </w:rPr>
        <w:t> </w:t>
      </w:r>
      <w:r>
        <w:rPr>
          <w:vertAlign w:val="baseline"/>
        </w:rPr>
        <w:t>for</w:t>
      </w:r>
      <w:r>
        <w:rPr>
          <w:spacing w:val="-3"/>
          <w:vertAlign w:val="baseline"/>
        </w:rPr>
        <w:t> </w:t>
      </w:r>
      <w:r>
        <w:rPr>
          <w:vertAlign w:val="baseline"/>
        </w:rPr>
        <w:t>up</w:t>
      </w:r>
      <w:r>
        <w:rPr>
          <w:spacing w:val="-2"/>
          <w:vertAlign w:val="baseline"/>
        </w:rPr>
        <w:t> </w:t>
      </w:r>
      <w:r>
        <w:rPr>
          <w:vertAlign w:val="baseline"/>
        </w:rPr>
        <w:t>to</w:t>
      </w:r>
      <w:r>
        <w:rPr>
          <w:spacing w:val="-4"/>
          <w:vertAlign w:val="baseline"/>
        </w:rPr>
        <w:t> </w:t>
      </w:r>
      <w:r>
        <w:rPr>
          <w:vertAlign w:val="baseline"/>
        </w:rPr>
        <w:t>20</w:t>
      </w:r>
      <w:r>
        <w:rPr>
          <w:spacing w:val="-4"/>
          <w:vertAlign w:val="baseline"/>
        </w:rPr>
        <w:t> </w:t>
      </w:r>
      <w:r>
        <w:rPr>
          <w:vertAlign w:val="baseline"/>
        </w:rPr>
        <w:t>hours per </w:t>
      </w:r>
      <w:r>
        <w:rPr>
          <w:spacing w:val="-2"/>
          <w:vertAlign w:val="baseline"/>
        </w:rPr>
        <w:t>week.</w:t>
      </w:r>
    </w:p>
    <w:p>
      <w:pPr>
        <w:pStyle w:val="BodyText"/>
        <w:spacing w:before="3"/>
        <w:rPr>
          <w:sz w:val="17"/>
        </w:rPr>
      </w:pPr>
    </w:p>
    <w:p>
      <w:pPr>
        <w:spacing w:before="0"/>
        <w:ind w:left="2079" w:right="0" w:firstLine="0"/>
        <w:jc w:val="left"/>
        <w:rPr>
          <w:b/>
          <w:sz w:val="20"/>
        </w:rPr>
      </w:pPr>
      <w:r>
        <w:rPr>
          <w:b/>
          <w:sz w:val="20"/>
        </w:rPr>
        <w:t>Gindroz</w:t>
      </w:r>
      <w:r>
        <w:rPr>
          <w:b/>
          <w:spacing w:val="-10"/>
          <w:sz w:val="20"/>
        </w:rPr>
        <w:t> </w:t>
      </w:r>
      <w:r>
        <w:rPr>
          <w:b/>
          <w:sz w:val="20"/>
        </w:rPr>
        <w:t>Foundation</w:t>
      </w:r>
      <w:r>
        <w:rPr>
          <w:b/>
          <w:spacing w:val="-9"/>
          <w:sz w:val="20"/>
        </w:rPr>
        <w:t> </w:t>
      </w:r>
      <w:r>
        <w:rPr>
          <w:b/>
          <w:sz w:val="20"/>
        </w:rPr>
        <w:t>Scholarship</w:t>
      </w:r>
      <w:r>
        <w:rPr>
          <w:b/>
          <w:spacing w:val="-9"/>
          <w:sz w:val="20"/>
        </w:rPr>
        <w:t> </w:t>
      </w:r>
      <w:r>
        <w:rPr>
          <w:b/>
          <w:sz w:val="20"/>
        </w:rPr>
        <w:t>for</w:t>
      </w:r>
      <w:r>
        <w:rPr>
          <w:b/>
          <w:spacing w:val="-10"/>
          <w:sz w:val="20"/>
        </w:rPr>
        <w:t> </w:t>
      </w:r>
      <w:r>
        <w:rPr>
          <w:b/>
          <w:sz w:val="20"/>
        </w:rPr>
        <w:t>ICAA</w:t>
      </w:r>
      <w:r>
        <w:rPr>
          <w:b/>
          <w:spacing w:val="-12"/>
          <w:sz w:val="20"/>
        </w:rPr>
        <w:t> </w:t>
      </w:r>
      <w:r>
        <w:rPr>
          <w:b/>
          <w:spacing w:val="-2"/>
          <w:sz w:val="20"/>
        </w:rPr>
        <w:t>Winterim</w:t>
      </w:r>
    </w:p>
    <w:p>
      <w:pPr>
        <w:pStyle w:val="BodyText"/>
        <w:spacing w:before="3"/>
        <w:ind w:left="2079" w:right="1130"/>
      </w:pPr>
      <w:r>
        <w:rPr/>
        <w:t>A</w:t>
      </w:r>
      <w:r>
        <w:rPr>
          <w:spacing w:val="-5"/>
        </w:rPr>
        <w:t> </w:t>
      </w:r>
      <w:r>
        <w:rPr/>
        <w:t>$3,000</w:t>
      </w:r>
      <w:r>
        <w:rPr>
          <w:spacing w:val="-4"/>
        </w:rPr>
        <w:t> </w:t>
      </w:r>
      <w:r>
        <w:rPr/>
        <w:t>cash</w:t>
      </w:r>
      <w:r>
        <w:rPr>
          <w:spacing w:val="-4"/>
        </w:rPr>
        <w:t> </w:t>
      </w:r>
      <w:r>
        <w:rPr/>
        <w:t>award</w:t>
      </w:r>
      <w:r>
        <w:rPr>
          <w:spacing w:val="-4"/>
        </w:rPr>
        <w:t> </w:t>
      </w:r>
      <w:r>
        <w:rPr/>
        <w:t>to</w:t>
      </w:r>
      <w:r>
        <w:rPr>
          <w:spacing w:val="-4"/>
        </w:rPr>
        <w:t> </w:t>
      </w:r>
      <w:r>
        <w:rPr/>
        <w:t>student(s)</w:t>
      </w:r>
      <w:r>
        <w:rPr>
          <w:spacing w:val="-3"/>
        </w:rPr>
        <w:t> </w:t>
      </w:r>
      <w:r>
        <w:rPr/>
        <w:t>to</w:t>
      </w:r>
      <w:r>
        <w:rPr>
          <w:spacing w:val="-2"/>
        </w:rPr>
        <w:t> </w:t>
      </w:r>
      <w:r>
        <w:rPr/>
        <w:t>participate</w:t>
      </w:r>
      <w:r>
        <w:rPr>
          <w:spacing w:val="-4"/>
        </w:rPr>
        <w:t> </w:t>
      </w:r>
      <w:r>
        <w:rPr/>
        <w:t>in</w:t>
      </w:r>
      <w:r>
        <w:rPr>
          <w:spacing w:val="-4"/>
        </w:rPr>
        <w:t> </w:t>
      </w:r>
      <w:r>
        <w:rPr/>
        <w:t>the</w:t>
      </w:r>
      <w:r>
        <w:rPr>
          <w:spacing w:val="-2"/>
        </w:rPr>
        <w:t> </w:t>
      </w:r>
      <w:r>
        <w:rPr/>
        <w:t>Winterim Institute</w:t>
      </w:r>
      <w:r>
        <w:rPr>
          <w:spacing w:val="-4"/>
        </w:rPr>
        <w:t> </w:t>
      </w:r>
      <w:r>
        <w:rPr/>
        <w:t>for</w:t>
      </w:r>
      <w:r>
        <w:rPr>
          <w:spacing w:val="-3"/>
        </w:rPr>
        <w:t> </w:t>
      </w:r>
      <w:r>
        <w:rPr/>
        <w:t>Classical Architecture and Art each January. Selections are made from fourth year students who submit sketchbooks and a plan for sharing the learning experience with the student body.</w:t>
      </w:r>
    </w:p>
    <w:p>
      <w:pPr>
        <w:pStyle w:val="BodyText"/>
        <w:spacing w:before="3"/>
        <w:rPr>
          <w:sz w:val="17"/>
        </w:rPr>
      </w:pPr>
    </w:p>
    <w:p>
      <w:pPr>
        <w:spacing w:before="0"/>
        <w:ind w:left="2079" w:right="0" w:firstLine="0"/>
        <w:jc w:val="both"/>
        <w:rPr>
          <w:b/>
          <w:sz w:val="20"/>
        </w:rPr>
      </w:pPr>
      <w:r>
        <w:rPr>
          <w:b/>
          <w:sz w:val="20"/>
        </w:rPr>
        <w:t>Virginia</w:t>
      </w:r>
      <w:r>
        <w:rPr>
          <w:b/>
          <w:spacing w:val="-10"/>
          <w:sz w:val="20"/>
        </w:rPr>
        <w:t> </w:t>
      </w:r>
      <w:r>
        <w:rPr>
          <w:b/>
          <w:sz w:val="20"/>
        </w:rPr>
        <w:t>Education</w:t>
      </w:r>
      <w:r>
        <w:rPr>
          <w:b/>
          <w:spacing w:val="-9"/>
          <w:sz w:val="20"/>
        </w:rPr>
        <w:t> </w:t>
      </w:r>
      <w:r>
        <w:rPr>
          <w:b/>
          <w:sz w:val="20"/>
        </w:rPr>
        <w:t>Facility</w:t>
      </w:r>
      <w:r>
        <w:rPr>
          <w:b/>
          <w:spacing w:val="-9"/>
          <w:sz w:val="20"/>
        </w:rPr>
        <w:t> </w:t>
      </w:r>
      <w:r>
        <w:rPr>
          <w:b/>
          <w:spacing w:val="-2"/>
          <w:sz w:val="20"/>
        </w:rPr>
        <w:t>Planners</w:t>
      </w:r>
    </w:p>
    <w:p>
      <w:pPr>
        <w:pStyle w:val="BodyText"/>
        <w:spacing w:before="1"/>
        <w:ind w:left="2079"/>
        <w:jc w:val="both"/>
      </w:pPr>
      <w:r>
        <w:rPr/>
        <w:t>Annual</w:t>
      </w:r>
      <w:r>
        <w:rPr>
          <w:spacing w:val="-8"/>
        </w:rPr>
        <w:t> </w:t>
      </w:r>
      <w:r>
        <w:rPr/>
        <w:t>Design</w:t>
      </w:r>
      <w:r>
        <w:rPr>
          <w:spacing w:val="-6"/>
        </w:rPr>
        <w:t> </w:t>
      </w:r>
      <w:r>
        <w:rPr/>
        <w:t>Competition</w:t>
      </w:r>
      <w:r>
        <w:rPr>
          <w:spacing w:val="-5"/>
        </w:rPr>
        <w:t> </w:t>
      </w:r>
      <w:r>
        <w:rPr/>
        <w:t>awards</w:t>
      </w:r>
      <w:r>
        <w:rPr>
          <w:spacing w:val="-6"/>
        </w:rPr>
        <w:t> </w:t>
      </w:r>
      <w:r>
        <w:rPr/>
        <w:t>$1,000</w:t>
      </w:r>
      <w:r>
        <w:rPr>
          <w:spacing w:val="-5"/>
        </w:rPr>
        <w:t> </w:t>
      </w:r>
      <w:r>
        <w:rPr/>
        <w:t>in</w:t>
      </w:r>
      <w:r>
        <w:rPr>
          <w:spacing w:val="-6"/>
        </w:rPr>
        <w:t> </w:t>
      </w:r>
      <w:r>
        <w:rPr/>
        <w:t>prizes</w:t>
      </w:r>
      <w:r>
        <w:rPr>
          <w:spacing w:val="-6"/>
        </w:rPr>
        <w:t> </w:t>
      </w:r>
      <w:r>
        <w:rPr/>
        <w:t>to</w:t>
      </w:r>
      <w:r>
        <w:rPr>
          <w:spacing w:val="-5"/>
        </w:rPr>
        <w:t> </w:t>
      </w:r>
      <w:r>
        <w:rPr/>
        <w:t>4</w:t>
      </w:r>
      <w:r>
        <w:rPr>
          <w:vertAlign w:val="superscript"/>
        </w:rPr>
        <w:t>th</w:t>
      </w:r>
      <w:r>
        <w:rPr>
          <w:spacing w:val="-6"/>
          <w:vertAlign w:val="baseline"/>
        </w:rPr>
        <w:t> </w:t>
      </w:r>
      <w:r>
        <w:rPr>
          <w:vertAlign w:val="baseline"/>
        </w:rPr>
        <w:t>year</w:t>
      </w:r>
      <w:r>
        <w:rPr>
          <w:spacing w:val="-6"/>
          <w:vertAlign w:val="baseline"/>
        </w:rPr>
        <w:t> </w:t>
      </w:r>
      <w:r>
        <w:rPr>
          <w:spacing w:val="-2"/>
          <w:vertAlign w:val="baseline"/>
        </w:rPr>
        <w:t>students.</w:t>
      </w:r>
    </w:p>
    <w:p>
      <w:pPr>
        <w:spacing w:after="0"/>
        <w:jc w:val="both"/>
        <w:sectPr>
          <w:headerReference w:type="default" r:id="rId67"/>
          <w:footerReference w:type="default" r:id="rId68"/>
          <w:pgSz w:w="12240" w:h="15840"/>
          <w:pgMar w:header="0" w:footer="974" w:top="1360" w:bottom="1160" w:left="1160" w:right="320"/>
        </w:sectPr>
      </w:pPr>
    </w:p>
    <w:p>
      <w:pPr>
        <w:spacing w:before="75"/>
        <w:ind w:left="280" w:right="0" w:firstLine="0"/>
        <w:jc w:val="left"/>
        <w:rPr>
          <w:b/>
          <w:sz w:val="20"/>
        </w:rPr>
      </w:pPr>
      <w:r>
        <w:rPr>
          <w:b/>
          <w:spacing w:val="-2"/>
          <w:sz w:val="20"/>
        </w:rPr>
        <w:t>Development</w:t>
      </w:r>
    </w:p>
    <w:p>
      <w:pPr>
        <w:pStyle w:val="BodyText"/>
        <w:spacing w:before="1"/>
        <w:rPr>
          <w:b/>
          <w:sz w:val="21"/>
        </w:rPr>
      </w:pPr>
    </w:p>
    <w:p>
      <w:pPr>
        <w:pStyle w:val="BodyText"/>
        <w:ind w:left="1503" w:right="1395"/>
        <w:jc w:val="both"/>
      </w:pPr>
      <w:r>
        <w:rPr/>
        <w:t>The</w:t>
      </w:r>
      <w:r>
        <w:rPr>
          <w:spacing w:val="-5"/>
        </w:rPr>
        <w:t> </w:t>
      </w:r>
      <w:r>
        <w:rPr/>
        <w:t>University</w:t>
      </w:r>
      <w:r>
        <w:rPr>
          <w:spacing w:val="-7"/>
        </w:rPr>
        <w:t> </w:t>
      </w:r>
      <w:r>
        <w:rPr/>
        <w:t>assigned</w:t>
      </w:r>
      <w:r>
        <w:rPr>
          <w:spacing w:val="-3"/>
        </w:rPr>
        <w:t> </w:t>
      </w:r>
      <w:r>
        <w:rPr/>
        <w:t>a</w:t>
      </w:r>
      <w:r>
        <w:rPr>
          <w:spacing w:val="-3"/>
        </w:rPr>
        <w:t> </w:t>
      </w:r>
      <w:r>
        <w:rPr/>
        <w:t>development</w:t>
      </w:r>
      <w:r>
        <w:rPr>
          <w:spacing w:val="-5"/>
        </w:rPr>
        <w:t> </w:t>
      </w:r>
      <w:r>
        <w:rPr/>
        <w:t>officer</w:t>
      </w:r>
      <w:r>
        <w:rPr>
          <w:spacing w:val="-4"/>
        </w:rPr>
        <w:t> </w:t>
      </w:r>
      <w:r>
        <w:rPr/>
        <w:t>from the</w:t>
      </w:r>
      <w:r>
        <w:rPr>
          <w:spacing w:val="-5"/>
        </w:rPr>
        <w:t> </w:t>
      </w:r>
      <w:r>
        <w:rPr/>
        <w:t>University</w:t>
      </w:r>
      <w:r>
        <w:rPr>
          <w:spacing w:val="-6"/>
        </w:rPr>
        <w:t> </w:t>
      </w:r>
      <w:r>
        <w:rPr/>
        <w:t>Development</w:t>
      </w:r>
      <w:r>
        <w:rPr>
          <w:spacing w:val="-3"/>
        </w:rPr>
        <w:t> </w:t>
      </w:r>
      <w:r>
        <w:rPr/>
        <w:t>Office</w:t>
      </w:r>
      <w:r>
        <w:rPr>
          <w:spacing w:val="-5"/>
        </w:rPr>
        <w:t> </w:t>
      </w:r>
      <w:r>
        <w:rPr/>
        <w:t>to work with the School</w:t>
      </w:r>
      <w:r>
        <w:rPr>
          <w:spacing w:val="-1"/>
        </w:rPr>
        <w:t> </w:t>
      </w:r>
      <w:r>
        <w:rPr/>
        <w:t>of Engineering</w:t>
      </w:r>
      <w:r>
        <w:rPr>
          <w:spacing w:val="-2"/>
        </w:rPr>
        <w:t> </w:t>
      </w:r>
      <w:r>
        <w:rPr/>
        <w:t>and</w:t>
      </w:r>
      <w:r>
        <w:rPr>
          <w:spacing w:val="-2"/>
        </w:rPr>
        <w:t> </w:t>
      </w:r>
      <w:r>
        <w:rPr/>
        <w:t>Technology</w:t>
      </w:r>
      <w:r>
        <w:rPr>
          <w:spacing w:val="-5"/>
        </w:rPr>
        <w:t> </w:t>
      </w:r>
      <w:r>
        <w:rPr/>
        <w:t>(Mr.</w:t>
      </w:r>
      <w:r>
        <w:rPr>
          <w:spacing w:val="-2"/>
        </w:rPr>
        <w:t> </w:t>
      </w:r>
      <w:r>
        <w:rPr/>
        <w:t>Arthur</w:t>
      </w:r>
      <w:r>
        <w:rPr>
          <w:spacing w:val="-1"/>
        </w:rPr>
        <w:t> </w:t>
      </w:r>
      <w:r>
        <w:rPr/>
        <w:t>Affleck)</w:t>
      </w:r>
      <w:r>
        <w:rPr>
          <w:spacing w:val="-1"/>
        </w:rPr>
        <w:t> </w:t>
      </w:r>
      <w:r>
        <w:rPr/>
        <w:t>who meets with the chair periodically to discuss grant writing and to identify fund raising opportunities.</w:t>
      </w:r>
    </w:p>
    <w:p>
      <w:pPr>
        <w:pStyle w:val="BodyText"/>
        <w:ind w:left="1503" w:right="1395"/>
        <w:jc w:val="both"/>
      </w:pPr>
      <w:r>
        <w:rPr/>
        <w:t>Primary</w:t>
      </w:r>
      <w:r>
        <w:rPr>
          <w:spacing w:val="-8"/>
        </w:rPr>
        <w:t> </w:t>
      </w:r>
      <w:r>
        <w:rPr/>
        <w:t>development</w:t>
      </w:r>
      <w:r>
        <w:rPr>
          <w:spacing w:val="-5"/>
        </w:rPr>
        <w:t> </w:t>
      </w:r>
      <w:r>
        <w:rPr/>
        <w:t>responsibilities</w:t>
      </w:r>
      <w:r>
        <w:rPr>
          <w:spacing w:val="-1"/>
        </w:rPr>
        <w:t> </w:t>
      </w:r>
      <w:r>
        <w:rPr/>
        <w:t>are</w:t>
      </w:r>
      <w:r>
        <w:rPr>
          <w:spacing w:val="-5"/>
        </w:rPr>
        <w:t> </w:t>
      </w:r>
      <w:r>
        <w:rPr/>
        <w:t>performed</w:t>
      </w:r>
      <w:r>
        <w:rPr>
          <w:spacing w:val="-5"/>
        </w:rPr>
        <w:t> </w:t>
      </w:r>
      <w:r>
        <w:rPr/>
        <w:t>by</w:t>
      </w:r>
      <w:r>
        <w:rPr>
          <w:spacing w:val="-6"/>
        </w:rPr>
        <w:t> </w:t>
      </w:r>
      <w:r>
        <w:rPr/>
        <w:t>the</w:t>
      </w:r>
      <w:r>
        <w:rPr>
          <w:spacing w:val="-3"/>
        </w:rPr>
        <w:t> </w:t>
      </w:r>
      <w:r>
        <w:rPr/>
        <w:t>School</w:t>
      </w:r>
      <w:r>
        <w:rPr>
          <w:spacing w:val="-6"/>
        </w:rPr>
        <w:t> </w:t>
      </w:r>
      <w:r>
        <w:rPr/>
        <w:t>Dean</w:t>
      </w:r>
      <w:r>
        <w:rPr>
          <w:spacing w:val="-3"/>
        </w:rPr>
        <w:t> </w:t>
      </w:r>
      <w:r>
        <w:rPr/>
        <w:t>and</w:t>
      </w:r>
      <w:r>
        <w:rPr>
          <w:spacing w:val="-3"/>
        </w:rPr>
        <w:t> </w:t>
      </w:r>
      <w:r>
        <w:rPr/>
        <w:t>Department </w:t>
      </w:r>
      <w:r>
        <w:rPr>
          <w:spacing w:val="-2"/>
        </w:rPr>
        <w:t>Chair.</w:t>
      </w:r>
    </w:p>
    <w:p>
      <w:pPr>
        <w:pStyle w:val="BodyText"/>
        <w:spacing w:before="7"/>
      </w:pPr>
    </w:p>
    <w:p>
      <w:pPr>
        <w:spacing w:before="0"/>
        <w:ind w:left="279" w:right="0" w:firstLine="0"/>
        <w:jc w:val="left"/>
        <w:rPr>
          <w:b/>
          <w:sz w:val="20"/>
        </w:rPr>
      </w:pPr>
      <w:r>
        <w:rPr>
          <w:b/>
          <w:spacing w:val="-2"/>
          <w:sz w:val="20"/>
        </w:rPr>
        <w:t>Recruiting</w:t>
      </w:r>
    </w:p>
    <w:p>
      <w:pPr>
        <w:pStyle w:val="BodyText"/>
        <w:spacing w:before="1"/>
        <w:rPr>
          <w:b/>
          <w:sz w:val="21"/>
        </w:rPr>
      </w:pPr>
    </w:p>
    <w:p>
      <w:pPr>
        <w:pStyle w:val="BodyText"/>
        <w:spacing w:before="1"/>
        <w:ind w:left="1503" w:right="1211"/>
      </w:pPr>
      <w:r>
        <w:rPr/>
        <w:t>Recruitment of students was recognized as a responsibility and priority of both the Department</w:t>
      </w:r>
      <w:r>
        <w:rPr>
          <w:spacing w:val="-5"/>
        </w:rPr>
        <w:t> </w:t>
      </w:r>
      <w:r>
        <w:rPr/>
        <w:t>of</w:t>
      </w:r>
      <w:r>
        <w:rPr>
          <w:spacing w:val="-3"/>
        </w:rPr>
        <w:t> </w:t>
      </w:r>
      <w:r>
        <w:rPr/>
        <w:t>Architecture</w:t>
      </w:r>
      <w:r>
        <w:rPr>
          <w:spacing w:val="-3"/>
        </w:rPr>
        <w:t> </w:t>
      </w:r>
      <w:r>
        <w:rPr/>
        <w:t>and</w:t>
      </w:r>
      <w:r>
        <w:rPr>
          <w:spacing w:val="-5"/>
        </w:rPr>
        <w:t> </w:t>
      </w:r>
      <w:r>
        <w:rPr/>
        <w:t>the</w:t>
      </w:r>
      <w:r>
        <w:rPr>
          <w:spacing w:val="-3"/>
        </w:rPr>
        <w:t> </w:t>
      </w:r>
      <w:r>
        <w:rPr/>
        <w:t>School</w:t>
      </w:r>
      <w:r>
        <w:rPr>
          <w:spacing w:val="-4"/>
        </w:rPr>
        <w:t> </w:t>
      </w:r>
      <w:r>
        <w:rPr/>
        <w:t>of</w:t>
      </w:r>
      <w:r>
        <w:rPr>
          <w:spacing w:val="-3"/>
        </w:rPr>
        <w:t> </w:t>
      </w:r>
      <w:r>
        <w:rPr/>
        <w:t>Engineering</w:t>
      </w:r>
      <w:r>
        <w:rPr>
          <w:spacing w:val="-3"/>
        </w:rPr>
        <w:t> </w:t>
      </w:r>
      <w:r>
        <w:rPr/>
        <w:t>and</w:t>
      </w:r>
      <w:r>
        <w:rPr>
          <w:spacing w:val="-3"/>
        </w:rPr>
        <w:t> </w:t>
      </w:r>
      <w:r>
        <w:rPr/>
        <w:t>Technology,</w:t>
      </w:r>
      <w:r>
        <w:rPr>
          <w:spacing w:val="-3"/>
        </w:rPr>
        <w:t> </w:t>
      </w:r>
      <w:r>
        <w:rPr/>
        <w:t>and</w:t>
      </w:r>
      <w:r>
        <w:rPr>
          <w:spacing w:val="-5"/>
        </w:rPr>
        <w:t> </w:t>
      </w:r>
      <w:r>
        <w:rPr/>
        <w:t>the</w:t>
      </w:r>
      <w:r>
        <w:rPr>
          <w:spacing w:val="-5"/>
        </w:rPr>
        <w:t> </w:t>
      </w:r>
      <w:r>
        <w:rPr/>
        <w:t>School has funded recruiting efforts.</w:t>
      </w:r>
      <w:r>
        <w:rPr>
          <w:spacing w:val="40"/>
        </w:rPr>
        <w:t> </w:t>
      </w:r>
      <w:r>
        <w:rPr/>
        <w:t>Architecture faculty</w:t>
      </w:r>
      <w:r>
        <w:rPr>
          <w:spacing w:val="-2"/>
        </w:rPr>
        <w:t> </w:t>
      </w:r>
      <w:r>
        <w:rPr/>
        <w:t>regularly</w:t>
      </w:r>
      <w:r>
        <w:rPr>
          <w:spacing w:val="-2"/>
        </w:rPr>
        <w:t> </w:t>
      </w:r>
      <w:r>
        <w:rPr/>
        <w:t>attend recruiting fairs locally. In the academic years beginning 2008 through 2010, the student population exceeded our building capacity. However, with the impact of the nation’s economy, and national media suggestions that architecture was a poor vocational option, our enrollment dipped significantly and recruitment efforts have been accelerated.</w:t>
      </w:r>
    </w:p>
    <w:p>
      <w:pPr>
        <w:pStyle w:val="BodyText"/>
        <w:spacing w:before="10"/>
      </w:pPr>
    </w:p>
    <w:p>
      <w:pPr>
        <w:pStyle w:val="BodyText"/>
        <w:ind w:left="1503" w:right="1211"/>
      </w:pPr>
      <w:r>
        <w:rPr/>
        <w:t>We recruit heavily in the local school system and are constantly contacted via email by prospective students interested in our program.</w:t>
      </w:r>
      <w:r>
        <w:rPr>
          <w:spacing w:val="40"/>
        </w:rPr>
        <w:t> </w:t>
      </w:r>
      <w:r>
        <w:rPr/>
        <w:t>We invite parents and students to participate</w:t>
      </w:r>
      <w:r>
        <w:rPr>
          <w:spacing w:val="-4"/>
        </w:rPr>
        <w:t> </w:t>
      </w:r>
      <w:r>
        <w:rPr/>
        <w:t>in</w:t>
      </w:r>
      <w:r>
        <w:rPr>
          <w:spacing w:val="-4"/>
        </w:rPr>
        <w:t> </w:t>
      </w:r>
      <w:r>
        <w:rPr/>
        <w:t>our</w:t>
      </w:r>
      <w:r>
        <w:rPr>
          <w:spacing w:val="-3"/>
        </w:rPr>
        <w:t> </w:t>
      </w:r>
      <w:r>
        <w:rPr/>
        <w:t>High</w:t>
      </w:r>
      <w:r>
        <w:rPr>
          <w:spacing w:val="-4"/>
        </w:rPr>
        <w:t> </w:t>
      </w:r>
      <w:r>
        <w:rPr/>
        <w:t>School</w:t>
      </w:r>
      <w:r>
        <w:rPr>
          <w:spacing w:val="-3"/>
        </w:rPr>
        <w:t> </w:t>
      </w:r>
      <w:r>
        <w:rPr/>
        <w:t>day,</w:t>
      </w:r>
      <w:r>
        <w:rPr>
          <w:spacing w:val="-4"/>
        </w:rPr>
        <w:t> </w:t>
      </w:r>
      <w:r>
        <w:rPr/>
        <w:t>and</w:t>
      </w:r>
      <w:r>
        <w:rPr>
          <w:spacing w:val="-2"/>
        </w:rPr>
        <w:t> </w:t>
      </w:r>
      <w:r>
        <w:rPr/>
        <w:t>other</w:t>
      </w:r>
      <w:r>
        <w:rPr>
          <w:spacing w:val="-1"/>
        </w:rPr>
        <w:t> </w:t>
      </w:r>
      <w:r>
        <w:rPr/>
        <w:t>events</w:t>
      </w:r>
      <w:r>
        <w:rPr>
          <w:spacing w:val="-3"/>
        </w:rPr>
        <w:t> </w:t>
      </w:r>
      <w:r>
        <w:rPr/>
        <w:t>held</w:t>
      </w:r>
      <w:r>
        <w:rPr>
          <w:spacing w:val="-2"/>
        </w:rPr>
        <w:t> </w:t>
      </w:r>
      <w:r>
        <w:rPr/>
        <w:t>by</w:t>
      </w:r>
      <w:r>
        <w:rPr>
          <w:spacing w:val="-5"/>
        </w:rPr>
        <w:t> </w:t>
      </w:r>
      <w:r>
        <w:rPr/>
        <w:t>the</w:t>
      </w:r>
      <w:r>
        <w:rPr>
          <w:spacing w:val="-2"/>
        </w:rPr>
        <w:t> </w:t>
      </w:r>
      <w:r>
        <w:rPr/>
        <w:t>University</w:t>
      </w:r>
      <w:r>
        <w:rPr>
          <w:spacing w:val="-5"/>
        </w:rPr>
        <w:t> </w:t>
      </w:r>
      <w:r>
        <w:rPr/>
        <w:t>to</w:t>
      </w:r>
      <w:r>
        <w:rPr>
          <w:spacing w:val="-2"/>
        </w:rPr>
        <w:t> </w:t>
      </w:r>
      <w:r>
        <w:rPr/>
        <w:t>promote</w:t>
      </w:r>
      <w:r>
        <w:rPr>
          <w:spacing w:val="-4"/>
        </w:rPr>
        <w:t> </w:t>
      </w:r>
      <w:r>
        <w:rPr/>
        <w:t>the programs</w:t>
      </w:r>
      <w:r>
        <w:rPr>
          <w:spacing w:val="-1"/>
        </w:rPr>
        <w:t> </w:t>
      </w:r>
      <w:r>
        <w:rPr/>
        <w:t>of the</w:t>
      </w:r>
      <w:r>
        <w:rPr>
          <w:spacing w:val="-2"/>
        </w:rPr>
        <w:t> </w:t>
      </w:r>
      <w:r>
        <w:rPr/>
        <w:t>institution. Our</w:t>
      </w:r>
      <w:r>
        <w:rPr>
          <w:spacing w:val="-1"/>
        </w:rPr>
        <w:t> </w:t>
      </w:r>
      <w:r>
        <w:rPr/>
        <w:t>students are</w:t>
      </w:r>
      <w:r>
        <w:rPr>
          <w:spacing w:val="-2"/>
        </w:rPr>
        <w:t> </w:t>
      </w:r>
      <w:r>
        <w:rPr/>
        <w:t>from across</w:t>
      </w:r>
      <w:r>
        <w:rPr>
          <w:spacing w:val="-1"/>
        </w:rPr>
        <w:t> </w:t>
      </w:r>
      <w:r>
        <w:rPr/>
        <w:t>the</w:t>
      </w:r>
      <w:r>
        <w:rPr>
          <w:spacing w:val="-2"/>
        </w:rPr>
        <w:t> </w:t>
      </w:r>
      <w:r>
        <w:rPr/>
        <w:t>country</w:t>
      </w:r>
      <w:r>
        <w:rPr>
          <w:spacing w:val="-5"/>
        </w:rPr>
        <w:t> </w:t>
      </w:r>
      <w:r>
        <w:rPr/>
        <w:t>and</w:t>
      </w:r>
      <w:r>
        <w:rPr>
          <w:spacing w:val="-2"/>
        </w:rPr>
        <w:t> </w:t>
      </w:r>
      <w:r>
        <w:rPr/>
        <w:t>the</w:t>
      </w:r>
      <w:r>
        <w:rPr>
          <w:spacing w:val="-2"/>
        </w:rPr>
        <w:t> </w:t>
      </w:r>
      <w:r>
        <w:rPr/>
        <w:t>Department generally has more students than workstations.</w:t>
      </w:r>
      <w:r>
        <w:rPr>
          <w:spacing w:val="40"/>
        </w:rPr>
        <w:t> </w:t>
      </w:r>
      <w:r>
        <w:rPr/>
        <w:t>Our recruitment efforts are primarily designed to attract strong students, rather than to increase enrollment.</w:t>
      </w:r>
    </w:p>
    <w:p>
      <w:pPr>
        <w:pStyle w:val="BodyText"/>
        <w:spacing w:before="11"/>
      </w:pPr>
    </w:p>
    <w:p>
      <w:pPr>
        <w:pStyle w:val="BodyText"/>
        <w:ind w:left="1503" w:right="1211"/>
      </w:pPr>
      <w:r>
        <w:rPr/>
        <w:t>We have engaged in two articulation agreements with community colleges, the first with Tidewater Community College and the second with Delaware Technical and Community College.</w:t>
      </w:r>
      <w:r>
        <w:rPr>
          <w:spacing w:val="-5"/>
        </w:rPr>
        <w:t> </w:t>
      </w:r>
      <w:r>
        <w:rPr/>
        <w:t>We</w:t>
      </w:r>
      <w:r>
        <w:rPr>
          <w:spacing w:val="-3"/>
        </w:rPr>
        <w:t> </w:t>
      </w:r>
      <w:r>
        <w:rPr/>
        <w:t>visit</w:t>
      </w:r>
      <w:r>
        <w:rPr>
          <w:spacing w:val="-3"/>
        </w:rPr>
        <w:t> </w:t>
      </w:r>
      <w:r>
        <w:rPr/>
        <w:t>high</w:t>
      </w:r>
      <w:r>
        <w:rPr>
          <w:spacing w:val="-3"/>
        </w:rPr>
        <w:t> </w:t>
      </w:r>
      <w:r>
        <w:rPr/>
        <w:t>school</w:t>
      </w:r>
      <w:r>
        <w:rPr>
          <w:spacing w:val="-4"/>
        </w:rPr>
        <w:t> </w:t>
      </w:r>
      <w:r>
        <w:rPr/>
        <w:t>and</w:t>
      </w:r>
      <w:r>
        <w:rPr>
          <w:spacing w:val="-3"/>
        </w:rPr>
        <w:t> </w:t>
      </w:r>
      <w:r>
        <w:rPr/>
        <w:t>community</w:t>
      </w:r>
      <w:r>
        <w:rPr>
          <w:spacing w:val="-6"/>
        </w:rPr>
        <w:t> </w:t>
      </w:r>
      <w:r>
        <w:rPr/>
        <w:t>college</w:t>
      </w:r>
      <w:r>
        <w:rPr>
          <w:spacing w:val="-1"/>
        </w:rPr>
        <w:t> </w:t>
      </w:r>
      <w:r>
        <w:rPr/>
        <w:t>programs</w:t>
      </w:r>
      <w:r>
        <w:rPr>
          <w:spacing w:val="-2"/>
        </w:rPr>
        <w:t> </w:t>
      </w:r>
      <w:r>
        <w:rPr/>
        <w:t>around</w:t>
      </w:r>
      <w:r>
        <w:rPr>
          <w:spacing w:val="-3"/>
        </w:rPr>
        <w:t> </w:t>
      </w:r>
      <w:r>
        <w:rPr/>
        <w:t>the</w:t>
      </w:r>
      <w:r>
        <w:rPr>
          <w:spacing w:val="-3"/>
        </w:rPr>
        <w:t> </w:t>
      </w:r>
      <w:r>
        <w:rPr/>
        <w:t>country</w:t>
      </w:r>
      <w:r>
        <w:rPr>
          <w:spacing w:val="-4"/>
        </w:rPr>
        <w:t> </w:t>
      </w:r>
      <w:r>
        <w:rPr/>
        <w:t>to</w:t>
      </w:r>
      <w:r>
        <w:rPr>
          <w:spacing w:val="-3"/>
        </w:rPr>
        <w:t> </w:t>
      </w:r>
      <w:r>
        <w:rPr/>
        <w:t>make students, parents and school administrators aware of our program offerings.</w:t>
      </w:r>
    </w:p>
    <w:p>
      <w:pPr>
        <w:pStyle w:val="BodyText"/>
        <w:spacing w:before="9"/>
      </w:pPr>
    </w:p>
    <w:p>
      <w:pPr>
        <w:pStyle w:val="BodyText"/>
        <w:ind w:left="1503" w:right="1211"/>
      </w:pPr>
      <w:r>
        <w:rPr/>
        <w:t>We</w:t>
      </w:r>
      <w:r>
        <w:rPr>
          <w:spacing w:val="-7"/>
        </w:rPr>
        <w:t> </w:t>
      </w:r>
      <w:r>
        <w:rPr/>
        <w:t>have</w:t>
      </w:r>
      <w:r>
        <w:rPr>
          <w:spacing w:val="-4"/>
        </w:rPr>
        <w:t> </w:t>
      </w:r>
      <w:r>
        <w:rPr/>
        <w:t>convened</w:t>
      </w:r>
      <w:r>
        <w:rPr>
          <w:spacing w:val="-2"/>
        </w:rPr>
        <w:t> </w:t>
      </w:r>
      <w:r>
        <w:rPr/>
        <w:t>a</w:t>
      </w:r>
      <w:r>
        <w:rPr>
          <w:spacing w:val="-4"/>
        </w:rPr>
        <w:t> </w:t>
      </w:r>
      <w:r>
        <w:rPr/>
        <w:t>committee</w:t>
      </w:r>
      <w:r>
        <w:rPr>
          <w:spacing w:val="-4"/>
        </w:rPr>
        <w:t> </w:t>
      </w:r>
      <w:r>
        <w:rPr/>
        <w:t>of</w:t>
      </w:r>
      <w:r>
        <w:rPr>
          <w:spacing w:val="-2"/>
        </w:rPr>
        <w:t> </w:t>
      </w:r>
      <w:r>
        <w:rPr/>
        <w:t>faculty,</w:t>
      </w:r>
      <w:r>
        <w:rPr>
          <w:spacing w:val="-4"/>
        </w:rPr>
        <w:t> </w:t>
      </w:r>
      <w:r>
        <w:rPr/>
        <w:t>chaired</w:t>
      </w:r>
      <w:r>
        <w:rPr>
          <w:spacing w:val="-2"/>
        </w:rPr>
        <w:t> </w:t>
      </w:r>
      <w:r>
        <w:rPr/>
        <w:t>by</w:t>
      </w:r>
      <w:r>
        <w:rPr>
          <w:spacing w:val="-5"/>
        </w:rPr>
        <w:t> </w:t>
      </w:r>
      <w:r>
        <w:rPr/>
        <w:t>Prof.</w:t>
      </w:r>
      <w:r>
        <w:rPr>
          <w:spacing w:val="-4"/>
        </w:rPr>
        <w:t> </w:t>
      </w:r>
      <w:r>
        <w:rPr/>
        <w:t>Kloster,</w:t>
      </w:r>
      <w:r>
        <w:rPr>
          <w:spacing w:val="-4"/>
        </w:rPr>
        <w:t> </w:t>
      </w:r>
      <w:r>
        <w:rPr/>
        <w:t>to</w:t>
      </w:r>
      <w:r>
        <w:rPr>
          <w:spacing w:val="-2"/>
        </w:rPr>
        <w:t> </w:t>
      </w:r>
      <w:r>
        <w:rPr/>
        <w:t>develop</w:t>
      </w:r>
      <w:r>
        <w:rPr>
          <w:spacing w:val="-4"/>
        </w:rPr>
        <w:t> </w:t>
      </w:r>
      <w:r>
        <w:rPr/>
        <w:t>a</w:t>
      </w:r>
      <w:r>
        <w:rPr>
          <w:spacing w:val="-2"/>
        </w:rPr>
        <w:t> </w:t>
      </w:r>
      <w:r>
        <w:rPr/>
        <w:t>detailed plan for increasing our recruitment efforts.</w:t>
      </w:r>
    </w:p>
    <w:p>
      <w:pPr>
        <w:pStyle w:val="BodyText"/>
        <w:spacing w:before="6"/>
      </w:pPr>
    </w:p>
    <w:p>
      <w:pPr>
        <w:spacing w:before="0"/>
        <w:ind w:left="279" w:right="0" w:firstLine="0"/>
        <w:jc w:val="left"/>
        <w:rPr>
          <w:b/>
          <w:sz w:val="20"/>
        </w:rPr>
      </w:pPr>
      <w:r>
        <w:rPr>
          <w:b/>
          <w:sz w:val="20"/>
        </w:rPr>
        <w:t>Comparative</w:t>
      </w:r>
      <w:r>
        <w:rPr>
          <w:b/>
          <w:spacing w:val="-9"/>
          <w:sz w:val="20"/>
        </w:rPr>
        <w:t> </w:t>
      </w:r>
      <w:r>
        <w:rPr>
          <w:b/>
          <w:sz w:val="20"/>
        </w:rPr>
        <w:t>Data</w:t>
      </w:r>
      <w:r>
        <w:rPr>
          <w:b/>
          <w:spacing w:val="-9"/>
          <w:sz w:val="20"/>
        </w:rPr>
        <w:t> </w:t>
      </w:r>
      <w:r>
        <w:rPr>
          <w:b/>
          <w:sz w:val="20"/>
        </w:rPr>
        <w:t>on</w:t>
      </w:r>
      <w:r>
        <w:rPr>
          <w:b/>
          <w:spacing w:val="-8"/>
          <w:sz w:val="20"/>
        </w:rPr>
        <w:t> </w:t>
      </w:r>
      <w:r>
        <w:rPr>
          <w:b/>
          <w:sz w:val="20"/>
        </w:rPr>
        <w:t>Expenditures</w:t>
      </w:r>
      <w:r>
        <w:rPr>
          <w:b/>
          <w:spacing w:val="-9"/>
          <w:sz w:val="20"/>
        </w:rPr>
        <w:t> </w:t>
      </w:r>
      <w:r>
        <w:rPr>
          <w:b/>
          <w:sz w:val="20"/>
        </w:rPr>
        <w:t>for</w:t>
      </w:r>
      <w:r>
        <w:rPr>
          <w:b/>
          <w:spacing w:val="-7"/>
          <w:sz w:val="20"/>
        </w:rPr>
        <w:t> </w:t>
      </w:r>
      <w:r>
        <w:rPr>
          <w:b/>
          <w:sz w:val="20"/>
        </w:rPr>
        <w:t>Professional</w:t>
      </w:r>
      <w:r>
        <w:rPr>
          <w:b/>
          <w:spacing w:val="-9"/>
          <w:sz w:val="20"/>
        </w:rPr>
        <w:t> </w:t>
      </w:r>
      <w:r>
        <w:rPr>
          <w:b/>
          <w:spacing w:val="-2"/>
          <w:sz w:val="20"/>
        </w:rPr>
        <w:t>Programs</w:t>
      </w:r>
    </w:p>
    <w:p>
      <w:pPr>
        <w:pStyle w:val="BodyText"/>
        <w:spacing w:before="11"/>
        <w:rPr>
          <w:b/>
        </w:rPr>
      </w:pPr>
    </w:p>
    <w:p>
      <w:pPr>
        <w:pStyle w:val="BodyText"/>
        <w:ind w:left="1503" w:right="1142"/>
      </w:pPr>
      <w:r>
        <w:rPr>
          <w:b/>
        </w:rPr>
        <w:t>As a private institution of higher education, cost information is held within each school</w:t>
      </w:r>
      <w:r>
        <w:rPr>
          <w:b/>
          <w:spacing w:val="-4"/>
        </w:rPr>
        <w:t> </w:t>
      </w:r>
      <w:r>
        <w:rPr>
          <w:b/>
        </w:rPr>
        <w:t>and</w:t>
      </w:r>
      <w:r>
        <w:rPr>
          <w:b/>
          <w:spacing w:val="-3"/>
        </w:rPr>
        <w:t> </w:t>
      </w:r>
      <w:r>
        <w:rPr/>
        <w:t>department,</w:t>
      </w:r>
      <w:r>
        <w:rPr>
          <w:spacing w:val="-4"/>
        </w:rPr>
        <w:t> </w:t>
      </w:r>
      <w:r>
        <w:rPr/>
        <w:t>and</w:t>
      </w:r>
      <w:r>
        <w:rPr>
          <w:spacing w:val="-4"/>
        </w:rPr>
        <w:t> </w:t>
      </w:r>
      <w:r>
        <w:rPr/>
        <w:t>comparisons</w:t>
      </w:r>
      <w:r>
        <w:rPr>
          <w:spacing w:val="-3"/>
        </w:rPr>
        <w:t> </w:t>
      </w:r>
      <w:r>
        <w:rPr/>
        <w:t>are</w:t>
      </w:r>
      <w:r>
        <w:rPr>
          <w:spacing w:val="-4"/>
        </w:rPr>
        <w:t> </w:t>
      </w:r>
      <w:r>
        <w:rPr/>
        <w:t>not</w:t>
      </w:r>
      <w:r>
        <w:rPr>
          <w:spacing w:val="-4"/>
        </w:rPr>
        <w:t> </w:t>
      </w:r>
      <w:r>
        <w:rPr/>
        <w:t>easily</w:t>
      </w:r>
      <w:r>
        <w:rPr>
          <w:spacing w:val="-5"/>
        </w:rPr>
        <w:t> </w:t>
      </w:r>
      <w:r>
        <w:rPr/>
        <w:t>generated.</w:t>
      </w:r>
      <w:r>
        <w:rPr>
          <w:spacing w:val="40"/>
        </w:rPr>
        <w:t> </w:t>
      </w:r>
      <w:r>
        <w:rPr/>
        <w:t>Professional</w:t>
      </w:r>
      <w:r>
        <w:rPr>
          <w:spacing w:val="-5"/>
        </w:rPr>
        <w:t> </w:t>
      </w:r>
      <w:r>
        <w:rPr/>
        <w:t>programs within the University include the Department of Nursing, the School of Pharmacy, and the Physical Therapy Program. In the School of Engineering and Technology, the Department</w:t>
      </w:r>
      <w:r>
        <w:rPr/>
        <w:t> of Electrical Engineering has an adjusted 2002-2003 operating budget of $14,375, with a student population of less than 100, and a faculty of four.</w:t>
      </w:r>
    </w:p>
    <w:p>
      <w:pPr>
        <w:pStyle w:val="BodyText"/>
        <w:spacing w:before="3"/>
        <w:rPr>
          <w:sz w:val="21"/>
        </w:rPr>
      </w:pPr>
    </w:p>
    <w:tbl>
      <w:tblPr>
        <w:tblW w:w="0" w:type="auto"/>
        <w:jc w:val="left"/>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16"/>
        <w:gridCol w:w="1123"/>
        <w:gridCol w:w="1524"/>
        <w:gridCol w:w="1188"/>
        <w:gridCol w:w="1207"/>
        <w:gridCol w:w="1565"/>
        <w:gridCol w:w="1351"/>
      </w:tblGrid>
      <w:tr>
        <w:trPr>
          <w:trHeight w:val="493" w:hRule="atLeast"/>
        </w:trPr>
        <w:tc>
          <w:tcPr>
            <w:tcW w:w="1416" w:type="dxa"/>
            <w:vMerge w:val="restart"/>
          </w:tcPr>
          <w:p>
            <w:pPr>
              <w:pStyle w:val="TableParagraph"/>
              <w:rPr>
                <w:sz w:val="22"/>
              </w:rPr>
            </w:pPr>
          </w:p>
          <w:p>
            <w:pPr>
              <w:pStyle w:val="TableParagraph"/>
              <w:spacing w:before="132"/>
              <w:ind w:left="28"/>
              <w:rPr>
                <w:sz w:val="20"/>
              </w:rPr>
            </w:pPr>
            <w:r>
              <w:rPr>
                <w:sz w:val="20"/>
              </w:rPr>
              <w:t>Academic</w:t>
            </w:r>
            <w:r>
              <w:rPr>
                <w:spacing w:val="-7"/>
                <w:sz w:val="20"/>
              </w:rPr>
              <w:t> </w:t>
            </w:r>
            <w:r>
              <w:rPr>
                <w:spacing w:val="-4"/>
                <w:sz w:val="20"/>
              </w:rPr>
              <w:t>Year</w:t>
            </w:r>
          </w:p>
        </w:tc>
        <w:tc>
          <w:tcPr>
            <w:tcW w:w="3835" w:type="dxa"/>
            <w:gridSpan w:val="3"/>
          </w:tcPr>
          <w:p>
            <w:pPr>
              <w:pStyle w:val="TableParagraph"/>
              <w:spacing w:line="228" w:lineRule="exact" w:before="17"/>
              <w:ind w:left="794" w:right="400" w:firstLine="228"/>
              <w:rPr>
                <w:sz w:val="20"/>
              </w:rPr>
            </w:pPr>
            <w:r>
              <w:rPr>
                <w:sz w:val="20"/>
              </w:rPr>
              <w:t>School of Pharmacy Annual</w:t>
            </w:r>
            <w:r>
              <w:rPr>
                <w:spacing w:val="-14"/>
                <w:sz w:val="20"/>
              </w:rPr>
              <w:t> </w:t>
            </w:r>
            <w:r>
              <w:rPr>
                <w:sz w:val="20"/>
              </w:rPr>
              <w:t>Operating</w:t>
            </w:r>
            <w:r>
              <w:rPr>
                <w:spacing w:val="-14"/>
                <w:sz w:val="20"/>
              </w:rPr>
              <w:t> </w:t>
            </w:r>
            <w:r>
              <w:rPr>
                <w:sz w:val="20"/>
              </w:rPr>
              <w:t>Budget</w:t>
            </w:r>
          </w:p>
        </w:tc>
        <w:tc>
          <w:tcPr>
            <w:tcW w:w="4123" w:type="dxa"/>
            <w:gridSpan w:val="3"/>
          </w:tcPr>
          <w:p>
            <w:pPr>
              <w:pStyle w:val="TableParagraph"/>
              <w:spacing w:line="228" w:lineRule="exact" w:before="17"/>
              <w:ind w:left="926" w:right="554" w:firstLine="230"/>
              <w:rPr>
                <w:sz w:val="20"/>
              </w:rPr>
            </w:pPr>
            <w:r>
              <w:rPr>
                <w:sz w:val="20"/>
              </w:rPr>
              <w:t>School of Pharmacy Annual</w:t>
            </w:r>
            <w:r>
              <w:rPr>
                <w:spacing w:val="-14"/>
                <w:sz w:val="20"/>
              </w:rPr>
              <w:t> </w:t>
            </w:r>
            <w:r>
              <w:rPr>
                <w:sz w:val="20"/>
              </w:rPr>
              <w:t>Operating</w:t>
            </w:r>
            <w:r>
              <w:rPr>
                <w:spacing w:val="-14"/>
                <w:sz w:val="20"/>
              </w:rPr>
              <w:t> </w:t>
            </w:r>
            <w:r>
              <w:rPr>
                <w:sz w:val="20"/>
              </w:rPr>
              <w:t>Budget</w:t>
            </w:r>
          </w:p>
        </w:tc>
      </w:tr>
      <w:tr>
        <w:trPr>
          <w:trHeight w:val="474" w:hRule="atLeast"/>
        </w:trPr>
        <w:tc>
          <w:tcPr>
            <w:tcW w:w="1416" w:type="dxa"/>
            <w:vMerge/>
            <w:tcBorders>
              <w:top w:val="nil"/>
            </w:tcBorders>
          </w:tcPr>
          <w:p>
            <w:pPr>
              <w:rPr>
                <w:sz w:val="2"/>
                <w:szCs w:val="2"/>
              </w:rPr>
            </w:pPr>
          </w:p>
        </w:tc>
        <w:tc>
          <w:tcPr>
            <w:tcW w:w="1123" w:type="dxa"/>
          </w:tcPr>
          <w:p>
            <w:pPr>
              <w:pStyle w:val="TableParagraph"/>
              <w:spacing w:line="228" w:lineRule="exact"/>
              <w:ind w:left="81" w:firstLine="134"/>
              <w:rPr>
                <w:sz w:val="20"/>
              </w:rPr>
            </w:pPr>
            <w:r>
              <w:rPr>
                <w:spacing w:val="-2"/>
                <w:sz w:val="20"/>
              </w:rPr>
              <w:t>Student Enrollment</w:t>
            </w:r>
          </w:p>
        </w:tc>
        <w:tc>
          <w:tcPr>
            <w:tcW w:w="1524" w:type="dxa"/>
          </w:tcPr>
          <w:p>
            <w:pPr>
              <w:pStyle w:val="TableParagraph"/>
              <w:spacing w:before="126"/>
              <w:ind w:left="112" w:right="97"/>
              <w:jc w:val="center"/>
              <w:rPr>
                <w:sz w:val="20"/>
              </w:rPr>
            </w:pPr>
            <w:r>
              <w:rPr>
                <w:sz w:val="20"/>
              </w:rPr>
              <w:t>Amount</w:t>
            </w:r>
            <w:r>
              <w:rPr>
                <w:spacing w:val="-8"/>
                <w:sz w:val="20"/>
              </w:rPr>
              <w:t> </w:t>
            </w:r>
            <w:r>
              <w:rPr>
                <w:spacing w:val="-5"/>
                <w:sz w:val="20"/>
              </w:rPr>
              <w:t>($)</w:t>
            </w:r>
          </w:p>
        </w:tc>
        <w:tc>
          <w:tcPr>
            <w:tcW w:w="1188" w:type="dxa"/>
          </w:tcPr>
          <w:p>
            <w:pPr>
              <w:pStyle w:val="TableParagraph"/>
              <w:spacing w:line="228" w:lineRule="exact"/>
              <w:ind w:left="472" w:right="39" w:hanging="406"/>
              <w:rPr>
                <w:sz w:val="20"/>
              </w:rPr>
            </w:pPr>
            <w:r>
              <w:rPr>
                <w:sz w:val="20"/>
              </w:rPr>
              <w:t>Per</w:t>
            </w:r>
            <w:r>
              <w:rPr>
                <w:spacing w:val="-14"/>
                <w:sz w:val="20"/>
              </w:rPr>
              <w:t> </w:t>
            </w:r>
            <w:r>
              <w:rPr>
                <w:sz w:val="20"/>
              </w:rPr>
              <w:t>Student </w:t>
            </w:r>
            <w:r>
              <w:rPr>
                <w:spacing w:val="-4"/>
                <w:sz w:val="20"/>
              </w:rPr>
              <w:t>($)</w:t>
            </w:r>
          </w:p>
        </w:tc>
        <w:tc>
          <w:tcPr>
            <w:tcW w:w="1207" w:type="dxa"/>
          </w:tcPr>
          <w:p>
            <w:pPr>
              <w:pStyle w:val="TableParagraph"/>
              <w:spacing w:line="228" w:lineRule="exact"/>
              <w:ind w:left="115" w:firstLine="134"/>
              <w:rPr>
                <w:sz w:val="20"/>
              </w:rPr>
            </w:pPr>
            <w:r>
              <w:rPr>
                <w:spacing w:val="-2"/>
                <w:sz w:val="20"/>
              </w:rPr>
              <w:t>Student Enrollment</w:t>
            </w:r>
          </w:p>
        </w:tc>
        <w:tc>
          <w:tcPr>
            <w:tcW w:w="1565" w:type="dxa"/>
          </w:tcPr>
          <w:p>
            <w:pPr>
              <w:pStyle w:val="TableParagraph"/>
              <w:spacing w:before="126"/>
              <w:ind w:left="133" w:right="115"/>
              <w:jc w:val="center"/>
              <w:rPr>
                <w:sz w:val="20"/>
              </w:rPr>
            </w:pPr>
            <w:r>
              <w:rPr>
                <w:sz w:val="20"/>
              </w:rPr>
              <w:t>Amount</w:t>
            </w:r>
            <w:r>
              <w:rPr>
                <w:spacing w:val="-8"/>
                <w:sz w:val="20"/>
              </w:rPr>
              <w:t> </w:t>
            </w:r>
            <w:r>
              <w:rPr>
                <w:spacing w:val="-5"/>
                <w:sz w:val="20"/>
              </w:rPr>
              <w:t>($)</w:t>
            </w:r>
          </w:p>
        </w:tc>
        <w:tc>
          <w:tcPr>
            <w:tcW w:w="1351" w:type="dxa"/>
          </w:tcPr>
          <w:p>
            <w:pPr>
              <w:pStyle w:val="TableParagraph"/>
              <w:spacing w:line="228" w:lineRule="exact"/>
              <w:ind w:left="554" w:right="120" w:hanging="406"/>
              <w:rPr>
                <w:sz w:val="20"/>
              </w:rPr>
            </w:pPr>
            <w:r>
              <w:rPr>
                <w:sz w:val="20"/>
              </w:rPr>
              <w:t>Per</w:t>
            </w:r>
            <w:r>
              <w:rPr>
                <w:spacing w:val="-14"/>
                <w:sz w:val="20"/>
              </w:rPr>
              <w:t> </w:t>
            </w:r>
            <w:r>
              <w:rPr>
                <w:sz w:val="20"/>
              </w:rPr>
              <w:t>Student </w:t>
            </w:r>
            <w:r>
              <w:rPr>
                <w:spacing w:val="-4"/>
                <w:sz w:val="20"/>
              </w:rPr>
              <w:t>($)</w:t>
            </w:r>
          </w:p>
        </w:tc>
      </w:tr>
      <w:tr>
        <w:trPr>
          <w:trHeight w:val="289" w:hRule="atLeast"/>
        </w:trPr>
        <w:tc>
          <w:tcPr>
            <w:tcW w:w="1416" w:type="dxa"/>
          </w:tcPr>
          <w:p>
            <w:pPr>
              <w:pStyle w:val="TableParagraph"/>
              <w:spacing w:before="11"/>
              <w:ind w:left="227" w:right="213"/>
              <w:jc w:val="center"/>
              <w:rPr>
                <w:sz w:val="20"/>
              </w:rPr>
            </w:pPr>
            <w:r>
              <w:rPr>
                <w:w w:val="95"/>
                <w:sz w:val="20"/>
              </w:rPr>
              <w:t>2008-</w:t>
            </w:r>
            <w:r>
              <w:rPr>
                <w:spacing w:val="-4"/>
                <w:sz w:val="20"/>
              </w:rPr>
              <w:t>2009</w:t>
            </w:r>
          </w:p>
        </w:tc>
        <w:tc>
          <w:tcPr>
            <w:tcW w:w="1123" w:type="dxa"/>
          </w:tcPr>
          <w:p>
            <w:pPr>
              <w:pStyle w:val="TableParagraph"/>
              <w:spacing w:before="11"/>
              <w:ind w:left="379" w:right="365"/>
              <w:jc w:val="center"/>
              <w:rPr>
                <w:sz w:val="20"/>
              </w:rPr>
            </w:pPr>
            <w:r>
              <w:rPr>
                <w:spacing w:val="-5"/>
                <w:sz w:val="20"/>
              </w:rPr>
              <w:t>403</w:t>
            </w:r>
          </w:p>
        </w:tc>
        <w:tc>
          <w:tcPr>
            <w:tcW w:w="1524" w:type="dxa"/>
          </w:tcPr>
          <w:p>
            <w:pPr>
              <w:pStyle w:val="TableParagraph"/>
              <w:spacing w:before="11"/>
              <w:ind w:left="113" w:right="97"/>
              <w:jc w:val="center"/>
              <w:rPr>
                <w:sz w:val="20"/>
              </w:rPr>
            </w:pPr>
            <w:r>
              <w:rPr>
                <w:spacing w:val="-2"/>
                <w:sz w:val="20"/>
              </w:rPr>
              <w:t>$1,658,446.00</w:t>
            </w:r>
          </w:p>
        </w:tc>
        <w:tc>
          <w:tcPr>
            <w:tcW w:w="1188" w:type="dxa"/>
          </w:tcPr>
          <w:p>
            <w:pPr>
              <w:pStyle w:val="TableParagraph"/>
              <w:spacing w:before="11"/>
              <w:ind w:left="136" w:right="119"/>
              <w:jc w:val="center"/>
              <w:rPr>
                <w:sz w:val="20"/>
              </w:rPr>
            </w:pPr>
            <w:r>
              <w:rPr>
                <w:spacing w:val="-2"/>
                <w:sz w:val="20"/>
              </w:rPr>
              <w:t>$4,115.25</w:t>
            </w:r>
          </w:p>
        </w:tc>
        <w:tc>
          <w:tcPr>
            <w:tcW w:w="1207" w:type="dxa"/>
          </w:tcPr>
          <w:p>
            <w:pPr>
              <w:pStyle w:val="TableParagraph"/>
              <w:spacing w:before="11"/>
              <w:ind w:left="424"/>
              <w:rPr>
                <w:sz w:val="20"/>
              </w:rPr>
            </w:pPr>
            <w:r>
              <w:rPr>
                <w:spacing w:val="-5"/>
                <w:sz w:val="20"/>
              </w:rPr>
              <w:t>403</w:t>
            </w:r>
          </w:p>
        </w:tc>
        <w:tc>
          <w:tcPr>
            <w:tcW w:w="1565" w:type="dxa"/>
          </w:tcPr>
          <w:p>
            <w:pPr>
              <w:pStyle w:val="TableParagraph"/>
              <w:spacing w:before="11"/>
              <w:ind w:left="133" w:right="119"/>
              <w:jc w:val="center"/>
              <w:rPr>
                <w:sz w:val="20"/>
              </w:rPr>
            </w:pPr>
            <w:r>
              <w:rPr>
                <w:spacing w:val="-2"/>
                <w:sz w:val="20"/>
              </w:rPr>
              <w:t>$2,858,446.00</w:t>
            </w:r>
          </w:p>
        </w:tc>
        <w:tc>
          <w:tcPr>
            <w:tcW w:w="1351" w:type="dxa"/>
          </w:tcPr>
          <w:p>
            <w:pPr>
              <w:pStyle w:val="TableParagraph"/>
              <w:spacing w:before="11"/>
              <w:ind w:right="210"/>
              <w:jc w:val="right"/>
              <w:rPr>
                <w:sz w:val="20"/>
              </w:rPr>
            </w:pPr>
            <w:r>
              <w:rPr>
                <w:spacing w:val="-2"/>
                <w:sz w:val="20"/>
              </w:rPr>
              <w:t>$7,092.92</w:t>
            </w:r>
          </w:p>
        </w:tc>
      </w:tr>
      <w:tr>
        <w:trPr>
          <w:trHeight w:val="287" w:hRule="atLeast"/>
        </w:trPr>
        <w:tc>
          <w:tcPr>
            <w:tcW w:w="1416" w:type="dxa"/>
          </w:tcPr>
          <w:p>
            <w:pPr>
              <w:pStyle w:val="TableParagraph"/>
              <w:spacing w:before="11"/>
              <w:ind w:left="227" w:right="213"/>
              <w:jc w:val="center"/>
              <w:rPr>
                <w:sz w:val="20"/>
              </w:rPr>
            </w:pPr>
            <w:r>
              <w:rPr>
                <w:w w:val="95"/>
                <w:sz w:val="20"/>
              </w:rPr>
              <w:t>2009-</w:t>
            </w:r>
            <w:r>
              <w:rPr>
                <w:spacing w:val="-4"/>
                <w:sz w:val="20"/>
              </w:rPr>
              <w:t>2010</w:t>
            </w:r>
          </w:p>
        </w:tc>
        <w:tc>
          <w:tcPr>
            <w:tcW w:w="1123" w:type="dxa"/>
          </w:tcPr>
          <w:p>
            <w:pPr>
              <w:pStyle w:val="TableParagraph"/>
              <w:spacing w:before="11"/>
              <w:ind w:left="379" w:right="365"/>
              <w:jc w:val="center"/>
              <w:rPr>
                <w:sz w:val="20"/>
              </w:rPr>
            </w:pPr>
            <w:r>
              <w:rPr>
                <w:spacing w:val="-5"/>
                <w:sz w:val="20"/>
              </w:rPr>
              <w:t>361</w:t>
            </w:r>
          </w:p>
        </w:tc>
        <w:tc>
          <w:tcPr>
            <w:tcW w:w="1524" w:type="dxa"/>
          </w:tcPr>
          <w:p>
            <w:pPr>
              <w:pStyle w:val="TableParagraph"/>
              <w:spacing w:before="11"/>
              <w:ind w:left="113" w:right="97"/>
              <w:jc w:val="center"/>
              <w:rPr>
                <w:sz w:val="20"/>
              </w:rPr>
            </w:pPr>
            <w:r>
              <w:rPr>
                <w:spacing w:val="-2"/>
                <w:sz w:val="20"/>
              </w:rPr>
              <w:t>$1,763,188.00</w:t>
            </w:r>
          </w:p>
        </w:tc>
        <w:tc>
          <w:tcPr>
            <w:tcW w:w="1188" w:type="dxa"/>
          </w:tcPr>
          <w:p>
            <w:pPr>
              <w:pStyle w:val="TableParagraph"/>
              <w:spacing w:before="11"/>
              <w:ind w:left="136" w:right="119"/>
              <w:jc w:val="center"/>
              <w:rPr>
                <w:sz w:val="20"/>
              </w:rPr>
            </w:pPr>
            <w:r>
              <w:rPr>
                <w:spacing w:val="-2"/>
                <w:sz w:val="20"/>
              </w:rPr>
              <w:t>$4,884.18</w:t>
            </w:r>
          </w:p>
        </w:tc>
        <w:tc>
          <w:tcPr>
            <w:tcW w:w="1207" w:type="dxa"/>
          </w:tcPr>
          <w:p>
            <w:pPr>
              <w:pStyle w:val="TableParagraph"/>
              <w:spacing w:before="11"/>
              <w:ind w:left="424"/>
              <w:rPr>
                <w:sz w:val="20"/>
              </w:rPr>
            </w:pPr>
            <w:r>
              <w:rPr>
                <w:spacing w:val="-5"/>
                <w:sz w:val="20"/>
              </w:rPr>
              <w:t>440</w:t>
            </w:r>
          </w:p>
        </w:tc>
        <w:tc>
          <w:tcPr>
            <w:tcW w:w="1565" w:type="dxa"/>
          </w:tcPr>
          <w:p>
            <w:pPr>
              <w:pStyle w:val="TableParagraph"/>
              <w:spacing w:before="11"/>
              <w:ind w:left="133" w:right="119"/>
              <w:jc w:val="center"/>
              <w:rPr>
                <w:sz w:val="20"/>
              </w:rPr>
            </w:pPr>
            <w:r>
              <w:rPr>
                <w:spacing w:val="-2"/>
                <w:sz w:val="20"/>
              </w:rPr>
              <w:t>$2,873,196.00</w:t>
            </w:r>
          </w:p>
        </w:tc>
        <w:tc>
          <w:tcPr>
            <w:tcW w:w="1351" w:type="dxa"/>
          </w:tcPr>
          <w:p>
            <w:pPr>
              <w:pStyle w:val="TableParagraph"/>
              <w:spacing w:before="11"/>
              <w:ind w:right="210"/>
              <w:jc w:val="right"/>
              <w:rPr>
                <w:sz w:val="20"/>
              </w:rPr>
            </w:pPr>
            <w:r>
              <w:rPr>
                <w:spacing w:val="-2"/>
                <w:sz w:val="20"/>
              </w:rPr>
              <w:t>$6,529.99</w:t>
            </w:r>
          </w:p>
        </w:tc>
      </w:tr>
      <w:tr>
        <w:trPr>
          <w:trHeight w:val="287" w:hRule="atLeast"/>
        </w:trPr>
        <w:tc>
          <w:tcPr>
            <w:tcW w:w="1416" w:type="dxa"/>
          </w:tcPr>
          <w:p>
            <w:pPr>
              <w:pStyle w:val="TableParagraph"/>
              <w:spacing w:before="11"/>
              <w:ind w:left="227" w:right="213"/>
              <w:jc w:val="center"/>
              <w:rPr>
                <w:sz w:val="20"/>
              </w:rPr>
            </w:pPr>
            <w:r>
              <w:rPr>
                <w:w w:val="95"/>
                <w:sz w:val="20"/>
              </w:rPr>
              <w:t>2010-</w:t>
            </w:r>
            <w:r>
              <w:rPr>
                <w:spacing w:val="-4"/>
                <w:sz w:val="20"/>
              </w:rPr>
              <w:t>2011</w:t>
            </w:r>
          </w:p>
        </w:tc>
        <w:tc>
          <w:tcPr>
            <w:tcW w:w="1123" w:type="dxa"/>
          </w:tcPr>
          <w:p>
            <w:pPr>
              <w:pStyle w:val="TableParagraph"/>
              <w:spacing w:before="11"/>
              <w:ind w:left="379" w:right="365"/>
              <w:jc w:val="center"/>
              <w:rPr>
                <w:sz w:val="20"/>
              </w:rPr>
            </w:pPr>
            <w:r>
              <w:rPr>
                <w:spacing w:val="-5"/>
                <w:sz w:val="20"/>
              </w:rPr>
              <w:t>371</w:t>
            </w:r>
          </w:p>
        </w:tc>
        <w:tc>
          <w:tcPr>
            <w:tcW w:w="1524" w:type="dxa"/>
          </w:tcPr>
          <w:p>
            <w:pPr>
              <w:pStyle w:val="TableParagraph"/>
              <w:spacing w:before="11"/>
              <w:ind w:left="113" w:right="97"/>
              <w:jc w:val="center"/>
              <w:rPr>
                <w:sz w:val="20"/>
              </w:rPr>
            </w:pPr>
            <w:r>
              <w:rPr>
                <w:spacing w:val="-2"/>
                <w:sz w:val="20"/>
              </w:rPr>
              <w:t>$1,793,137.00</w:t>
            </w:r>
          </w:p>
        </w:tc>
        <w:tc>
          <w:tcPr>
            <w:tcW w:w="1188" w:type="dxa"/>
          </w:tcPr>
          <w:p>
            <w:pPr>
              <w:pStyle w:val="TableParagraph"/>
              <w:spacing w:before="11"/>
              <w:ind w:left="136" w:right="119"/>
              <w:jc w:val="center"/>
              <w:rPr>
                <w:sz w:val="20"/>
              </w:rPr>
            </w:pPr>
            <w:r>
              <w:rPr>
                <w:spacing w:val="-2"/>
                <w:sz w:val="20"/>
              </w:rPr>
              <w:t>$4,833.25</w:t>
            </w:r>
          </w:p>
        </w:tc>
        <w:tc>
          <w:tcPr>
            <w:tcW w:w="1207" w:type="dxa"/>
          </w:tcPr>
          <w:p>
            <w:pPr>
              <w:pStyle w:val="TableParagraph"/>
              <w:spacing w:before="11"/>
              <w:ind w:left="424"/>
              <w:rPr>
                <w:sz w:val="20"/>
              </w:rPr>
            </w:pPr>
            <w:r>
              <w:rPr>
                <w:spacing w:val="-5"/>
                <w:sz w:val="20"/>
              </w:rPr>
              <w:t>470</w:t>
            </w:r>
          </w:p>
        </w:tc>
        <w:tc>
          <w:tcPr>
            <w:tcW w:w="1565" w:type="dxa"/>
          </w:tcPr>
          <w:p>
            <w:pPr>
              <w:pStyle w:val="TableParagraph"/>
              <w:spacing w:before="11"/>
              <w:ind w:left="133" w:right="119"/>
              <w:jc w:val="center"/>
              <w:rPr>
                <w:sz w:val="20"/>
              </w:rPr>
            </w:pPr>
            <w:r>
              <w:rPr>
                <w:spacing w:val="-2"/>
                <w:sz w:val="20"/>
              </w:rPr>
              <w:t>$3,033,689.00</w:t>
            </w:r>
          </w:p>
        </w:tc>
        <w:tc>
          <w:tcPr>
            <w:tcW w:w="1351" w:type="dxa"/>
          </w:tcPr>
          <w:p>
            <w:pPr>
              <w:pStyle w:val="TableParagraph"/>
              <w:spacing w:before="11"/>
              <w:ind w:right="210"/>
              <w:jc w:val="right"/>
              <w:rPr>
                <w:sz w:val="20"/>
              </w:rPr>
            </w:pPr>
            <w:r>
              <w:rPr>
                <w:spacing w:val="-2"/>
                <w:sz w:val="20"/>
              </w:rPr>
              <w:t>$6,454.66</w:t>
            </w:r>
          </w:p>
        </w:tc>
      </w:tr>
      <w:tr>
        <w:trPr>
          <w:trHeight w:val="289" w:hRule="atLeast"/>
        </w:trPr>
        <w:tc>
          <w:tcPr>
            <w:tcW w:w="1416" w:type="dxa"/>
          </w:tcPr>
          <w:p>
            <w:pPr>
              <w:pStyle w:val="TableParagraph"/>
              <w:spacing w:before="11"/>
              <w:ind w:left="227" w:right="213"/>
              <w:jc w:val="center"/>
              <w:rPr>
                <w:sz w:val="20"/>
              </w:rPr>
            </w:pPr>
            <w:r>
              <w:rPr>
                <w:w w:val="95"/>
                <w:sz w:val="20"/>
              </w:rPr>
              <w:t>2011-</w:t>
            </w:r>
            <w:r>
              <w:rPr>
                <w:spacing w:val="-4"/>
                <w:sz w:val="20"/>
              </w:rPr>
              <w:t>2012</w:t>
            </w:r>
          </w:p>
        </w:tc>
        <w:tc>
          <w:tcPr>
            <w:tcW w:w="1123" w:type="dxa"/>
          </w:tcPr>
          <w:p>
            <w:pPr>
              <w:pStyle w:val="TableParagraph"/>
              <w:spacing w:before="11"/>
              <w:ind w:left="379" w:right="365"/>
              <w:jc w:val="center"/>
              <w:rPr>
                <w:sz w:val="20"/>
              </w:rPr>
            </w:pPr>
            <w:r>
              <w:rPr>
                <w:spacing w:val="-5"/>
                <w:sz w:val="20"/>
              </w:rPr>
              <w:t>396</w:t>
            </w:r>
          </w:p>
        </w:tc>
        <w:tc>
          <w:tcPr>
            <w:tcW w:w="1524" w:type="dxa"/>
          </w:tcPr>
          <w:p>
            <w:pPr>
              <w:pStyle w:val="TableParagraph"/>
              <w:spacing w:before="11"/>
              <w:ind w:left="113" w:right="97"/>
              <w:jc w:val="center"/>
              <w:rPr>
                <w:sz w:val="20"/>
              </w:rPr>
            </w:pPr>
            <w:r>
              <w:rPr>
                <w:spacing w:val="-2"/>
                <w:sz w:val="20"/>
              </w:rPr>
              <w:t>$1,799,984.00</w:t>
            </w:r>
          </w:p>
        </w:tc>
        <w:tc>
          <w:tcPr>
            <w:tcW w:w="1188" w:type="dxa"/>
          </w:tcPr>
          <w:p>
            <w:pPr>
              <w:pStyle w:val="TableParagraph"/>
              <w:spacing w:before="11"/>
              <w:ind w:left="136" w:right="119"/>
              <w:jc w:val="center"/>
              <w:rPr>
                <w:sz w:val="20"/>
              </w:rPr>
            </w:pPr>
            <w:r>
              <w:rPr>
                <w:spacing w:val="-2"/>
                <w:sz w:val="20"/>
              </w:rPr>
              <w:t>$4,545.41</w:t>
            </w:r>
          </w:p>
        </w:tc>
        <w:tc>
          <w:tcPr>
            <w:tcW w:w="1207" w:type="dxa"/>
          </w:tcPr>
          <w:p>
            <w:pPr>
              <w:pStyle w:val="TableParagraph"/>
              <w:spacing w:before="11"/>
              <w:ind w:left="424"/>
              <w:rPr>
                <w:sz w:val="20"/>
              </w:rPr>
            </w:pPr>
            <w:r>
              <w:rPr>
                <w:spacing w:val="-5"/>
                <w:sz w:val="20"/>
              </w:rPr>
              <w:t>461</w:t>
            </w:r>
          </w:p>
        </w:tc>
        <w:tc>
          <w:tcPr>
            <w:tcW w:w="1565" w:type="dxa"/>
          </w:tcPr>
          <w:p>
            <w:pPr>
              <w:pStyle w:val="TableParagraph"/>
              <w:spacing w:before="11"/>
              <w:ind w:left="133" w:right="119"/>
              <w:jc w:val="center"/>
              <w:rPr>
                <w:sz w:val="20"/>
              </w:rPr>
            </w:pPr>
            <w:r>
              <w:rPr>
                <w:spacing w:val="-2"/>
                <w:sz w:val="20"/>
              </w:rPr>
              <w:t>$3,189,112.00</w:t>
            </w:r>
          </w:p>
        </w:tc>
        <w:tc>
          <w:tcPr>
            <w:tcW w:w="1351" w:type="dxa"/>
          </w:tcPr>
          <w:p>
            <w:pPr>
              <w:pStyle w:val="TableParagraph"/>
              <w:spacing w:before="11"/>
              <w:ind w:right="210"/>
              <w:jc w:val="right"/>
              <w:rPr>
                <w:sz w:val="20"/>
              </w:rPr>
            </w:pPr>
            <w:r>
              <w:rPr>
                <w:spacing w:val="-2"/>
                <w:sz w:val="20"/>
              </w:rPr>
              <w:t>$6,917.81</w:t>
            </w:r>
          </w:p>
        </w:tc>
      </w:tr>
      <w:tr>
        <w:trPr>
          <w:trHeight w:val="287" w:hRule="atLeast"/>
        </w:trPr>
        <w:tc>
          <w:tcPr>
            <w:tcW w:w="1416" w:type="dxa"/>
          </w:tcPr>
          <w:p>
            <w:pPr>
              <w:pStyle w:val="TableParagraph"/>
              <w:spacing w:before="11"/>
              <w:ind w:left="227" w:right="213"/>
              <w:jc w:val="center"/>
              <w:rPr>
                <w:sz w:val="20"/>
              </w:rPr>
            </w:pPr>
            <w:r>
              <w:rPr>
                <w:w w:val="95"/>
                <w:sz w:val="20"/>
              </w:rPr>
              <w:t>2012-</w:t>
            </w:r>
            <w:r>
              <w:rPr>
                <w:spacing w:val="-4"/>
                <w:sz w:val="20"/>
              </w:rPr>
              <w:t>2013</w:t>
            </w:r>
          </w:p>
        </w:tc>
        <w:tc>
          <w:tcPr>
            <w:tcW w:w="1123" w:type="dxa"/>
          </w:tcPr>
          <w:p>
            <w:pPr>
              <w:pStyle w:val="TableParagraph"/>
              <w:spacing w:before="11"/>
              <w:ind w:left="379" w:right="365"/>
              <w:jc w:val="center"/>
              <w:rPr>
                <w:sz w:val="20"/>
              </w:rPr>
            </w:pPr>
            <w:r>
              <w:rPr>
                <w:spacing w:val="-5"/>
                <w:sz w:val="20"/>
              </w:rPr>
              <w:t>395</w:t>
            </w:r>
          </w:p>
        </w:tc>
        <w:tc>
          <w:tcPr>
            <w:tcW w:w="1524" w:type="dxa"/>
          </w:tcPr>
          <w:p>
            <w:pPr>
              <w:pStyle w:val="TableParagraph"/>
              <w:spacing w:before="11"/>
              <w:ind w:left="113" w:right="97"/>
              <w:jc w:val="center"/>
              <w:rPr>
                <w:sz w:val="20"/>
              </w:rPr>
            </w:pPr>
            <w:r>
              <w:rPr>
                <w:spacing w:val="-2"/>
                <w:sz w:val="20"/>
              </w:rPr>
              <w:t>$2,690,156.00</w:t>
            </w:r>
          </w:p>
        </w:tc>
        <w:tc>
          <w:tcPr>
            <w:tcW w:w="1188" w:type="dxa"/>
          </w:tcPr>
          <w:p>
            <w:pPr>
              <w:pStyle w:val="TableParagraph"/>
              <w:spacing w:before="11"/>
              <w:ind w:left="136" w:right="119"/>
              <w:jc w:val="center"/>
              <w:rPr>
                <w:sz w:val="20"/>
              </w:rPr>
            </w:pPr>
            <w:r>
              <w:rPr>
                <w:spacing w:val="-2"/>
                <w:sz w:val="20"/>
              </w:rPr>
              <w:t>$6,810.52</w:t>
            </w:r>
          </w:p>
        </w:tc>
        <w:tc>
          <w:tcPr>
            <w:tcW w:w="1207" w:type="dxa"/>
          </w:tcPr>
          <w:p>
            <w:pPr>
              <w:pStyle w:val="TableParagraph"/>
              <w:spacing w:before="11"/>
              <w:ind w:left="424"/>
              <w:rPr>
                <w:sz w:val="20"/>
              </w:rPr>
            </w:pPr>
            <w:r>
              <w:rPr>
                <w:spacing w:val="-5"/>
                <w:sz w:val="20"/>
              </w:rPr>
              <w:t>301</w:t>
            </w:r>
          </w:p>
        </w:tc>
        <w:tc>
          <w:tcPr>
            <w:tcW w:w="1565" w:type="dxa"/>
          </w:tcPr>
          <w:p>
            <w:pPr>
              <w:pStyle w:val="TableParagraph"/>
              <w:spacing w:before="11"/>
              <w:ind w:left="133" w:right="119"/>
              <w:jc w:val="center"/>
              <w:rPr>
                <w:sz w:val="20"/>
              </w:rPr>
            </w:pPr>
            <w:r>
              <w:rPr>
                <w:spacing w:val="-2"/>
                <w:sz w:val="20"/>
              </w:rPr>
              <w:t>$3,817,022.00</w:t>
            </w:r>
          </w:p>
        </w:tc>
        <w:tc>
          <w:tcPr>
            <w:tcW w:w="1351" w:type="dxa"/>
          </w:tcPr>
          <w:p>
            <w:pPr>
              <w:pStyle w:val="TableParagraph"/>
              <w:spacing w:before="11"/>
              <w:ind w:right="155"/>
              <w:jc w:val="right"/>
              <w:rPr>
                <w:sz w:val="20"/>
              </w:rPr>
            </w:pPr>
            <w:r>
              <w:rPr>
                <w:spacing w:val="-2"/>
                <w:sz w:val="20"/>
              </w:rPr>
              <w:t>$12,681.14</w:t>
            </w:r>
          </w:p>
        </w:tc>
      </w:tr>
      <w:tr>
        <w:trPr>
          <w:trHeight w:val="303" w:hRule="atLeast"/>
        </w:trPr>
        <w:tc>
          <w:tcPr>
            <w:tcW w:w="1416" w:type="dxa"/>
          </w:tcPr>
          <w:p>
            <w:pPr>
              <w:pStyle w:val="TableParagraph"/>
              <w:spacing w:before="25"/>
              <w:ind w:left="227" w:right="213"/>
              <w:jc w:val="center"/>
              <w:rPr>
                <w:sz w:val="20"/>
              </w:rPr>
            </w:pPr>
            <w:r>
              <w:rPr>
                <w:w w:val="95"/>
                <w:sz w:val="20"/>
              </w:rPr>
              <w:t>2013-</w:t>
            </w:r>
            <w:r>
              <w:rPr>
                <w:spacing w:val="-4"/>
                <w:sz w:val="20"/>
              </w:rPr>
              <w:t>2014</w:t>
            </w:r>
          </w:p>
        </w:tc>
        <w:tc>
          <w:tcPr>
            <w:tcW w:w="1123" w:type="dxa"/>
          </w:tcPr>
          <w:p>
            <w:pPr>
              <w:pStyle w:val="TableParagraph"/>
              <w:spacing w:before="25"/>
              <w:ind w:left="379" w:right="365"/>
              <w:jc w:val="center"/>
              <w:rPr>
                <w:sz w:val="20"/>
              </w:rPr>
            </w:pPr>
            <w:r>
              <w:rPr>
                <w:spacing w:val="-5"/>
                <w:sz w:val="20"/>
              </w:rPr>
              <w:t>392</w:t>
            </w:r>
          </w:p>
        </w:tc>
        <w:tc>
          <w:tcPr>
            <w:tcW w:w="1524" w:type="dxa"/>
          </w:tcPr>
          <w:p>
            <w:pPr>
              <w:pStyle w:val="TableParagraph"/>
              <w:spacing w:before="25"/>
              <w:ind w:left="113" w:right="97"/>
              <w:jc w:val="center"/>
              <w:rPr>
                <w:sz w:val="20"/>
              </w:rPr>
            </w:pPr>
            <w:r>
              <w:rPr>
                <w:spacing w:val="-2"/>
                <w:sz w:val="20"/>
              </w:rPr>
              <w:t>$2,773,513.00</w:t>
            </w:r>
          </w:p>
        </w:tc>
        <w:tc>
          <w:tcPr>
            <w:tcW w:w="1188" w:type="dxa"/>
          </w:tcPr>
          <w:p>
            <w:pPr>
              <w:pStyle w:val="TableParagraph"/>
              <w:spacing w:before="25"/>
              <w:ind w:left="136" w:right="119"/>
              <w:jc w:val="center"/>
              <w:rPr>
                <w:sz w:val="20"/>
              </w:rPr>
            </w:pPr>
            <w:r>
              <w:rPr>
                <w:spacing w:val="-2"/>
                <w:sz w:val="20"/>
              </w:rPr>
              <w:t>$7,075.29</w:t>
            </w:r>
          </w:p>
        </w:tc>
        <w:tc>
          <w:tcPr>
            <w:tcW w:w="1207" w:type="dxa"/>
          </w:tcPr>
          <w:p>
            <w:pPr>
              <w:pStyle w:val="TableParagraph"/>
              <w:spacing w:before="25"/>
              <w:ind w:left="424"/>
              <w:rPr>
                <w:sz w:val="20"/>
              </w:rPr>
            </w:pPr>
            <w:r>
              <w:rPr>
                <w:spacing w:val="-5"/>
                <w:sz w:val="20"/>
              </w:rPr>
              <w:t>241</w:t>
            </w:r>
          </w:p>
        </w:tc>
        <w:tc>
          <w:tcPr>
            <w:tcW w:w="1565" w:type="dxa"/>
          </w:tcPr>
          <w:p>
            <w:pPr>
              <w:pStyle w:val="TableParagraph"/>
              <w:spacing w:before="25"/>
              <w:ind w:left="133" w:right="119"/>
              <w:jc w:val="center"/>
              <w:rPr>
                <w:sz w:val="20"/>
              </w:rPr>
            </w:pPr>
            <w:r>
              <w:rPr>
                <w:spacing w:val="-2"/>
                <w:sz w:val="20"/>
              </w:rPr>
              <w:t>$4,290,410.00</w:t>
            </w:r>
          </w:p>
        </w:tc>
        <w:tc>
          <w:tcPr>
            <w:tcW w:w="1351" w:type="dxa"/>
          </w:tcPr>
          <w:p>
            <w:pPr>
              <w:pStyle w:val="TableParagraph"/>
              <w:spacing w:before="25"/>
              <w:ind w:right="155"/>
              <w:jc w:val="right"/>
              <w:rPr>
                <w:sz w:val="20"/>
              </w:rPr>
            </w:pPr>
            <w:r>
              <w:rPr>
                <w:spacing w:val="-2"/>
                <w:sz w:val="20"/>
              </w:rPr>
              <w:t>$17,802.53</w:t>
            </w:r>
          </w:p>
        </w:tc>
      </w:tr>
    </w:tbl>
    <w:p>
      <w:pPr>
        <w:spacing w:after="0"/>
        <w:jc w:val="right"/>
        <w:rPr>
          <w:sz w:val="20"/>
        </w:rPr>
        <w:sectPr>
          <w:headerReference w:type="default" r:id="rId69"/>
          <w:footerReference w:type="default" r:id="rId70"/>
          <w:pgSz w:w="12240" w:h="15840"/>
          <w:pgMar w:header="0" w:footer="974" w:top="1360" w:bottom="1160" w:left="1160" w:right="320"/>
        </w:sectPr>
      </w:pPr>
    </w:p>
    <w:p>
      <w:pPr>
        <w:pStyle w:val="BodyText"/>
        <w:tabs>
          <w:tab w:pos="1576" w:val="left" w:leader="none"/>
        </w:tabs>
        <w:spacing w:before="77"/>
        <w:ind w:left="1576" w:right="1311" w:hanging="361"/>
      </w:pPr>
      <w:r>
        <w:rPr>
          <w:spacing w:val="-10"/>
        </w:rPr>
        <w:t>*</w:t>
      </w:r>
      <w:r>
        <w:rPr/>
        <w:tab/>
        <w:t>Increase</w:t>
      </w:r>
      <w:r>
        <w:rPr>
          <w:spacing w:val="-4"/>
        </w:rPr>
        <w:t> </w:t>
      </w:r>
      <w:r>
        <w:rPr/>
        <w:t>due</w:t>
      </w:r>
      <w:r>
        <w:rPr>
          <w:spacing w:val="-4"/>
        </w:rPr>
        <w:t> </w:t>
      </w:r>
      <w:r>
        <w:rPr/>
        <w:t>to</w:t>
      </w:r>
      <w:r>
        <w:rPr>
          <w:spacing w:val="-4"/>
        </w:rPr>
        <w:t> </w:t>
      </w:r>
      <w:r>
        <w:rPr/>
        <w:t>renovation</w:t>
      </w:r>
      <w:r>
        <w:rPr>
          <w:spacing w:val="-2"/>
        </w:rPr>
        <w:t> </w:t>
      </w:r>
      <w:r>
        <w:rPr/>
        <w:t>of</w:t>
      </w:r>
      <w:r>
        <w:rPr>
          <w:spacing w:val="-2"/>
        </w:rPr>
        <w:t> </w:t>
      </w:r>
      <w:r>
        <w:rPr/>
        <w:t>the</w:t>
      </w:r>
      <w:r>
        <w:rPr>
          <w:spacing w:val="-4"/>
        </w:rPr>
        <w:t> </w:t>
      </w:r>
      <w:r>
        <w:rPr/>
        <w:t>Hampton</w:t>
      </w:r>
      <w:r>
        <w:rPr>
          <w:spacing w:val="-4"/>
        </w:rPr>
        <w:t> </w:t>
      </w:r>
      <w:r>
        <w:rPr/>
        <w:t>Harbors</w:t>
      </w:r>
      <w:r>
        <w:rPr>
          <w:spacing w:val="-3"/>
        </w:rPr>
        <w:t> </w:t>
      </w:r>
      <w:r>
        <w:rPr/>
        <w:t>space</w:t>
      </w:r>
      <w:r>
        <w:rPr>
          <w:spacing w:val="-4"/>
        </w:rPr>
        <w:t> </w:t>
      </w:r>
      <w:r>
        <w:rPr/>
        <w:t>to</w:t>
      </w:r>
      <w:r>
        <w:rPr>
          <w:spacing w:val="-2"/>
        </w:rPr>
        <w:t> </w:t>
      </w:r>
      <w:r>
        <w:rPr/>
        <w:t>provide</w:t>
      </w:r>
      <w:r>
        <w:rPr>
          <w:spacing w:val="-4"/>
        </w:rPr>
        <w:t> </w:t>
      </w:r>
      <w:r>
        <w:rPr/>
        <w:t>additional</w:t>
      </w:r>
      <w:r>
        <w:rPr>
          <w:spacing w:val="-3"/>
        </w:rPr>
        <w:t> </w:t>
      </w:r>
      <w:r>
        <w:rPr/>
        <w:t>space</w:t>
      </w:r>
      <w:r>
        <w:rPr>
          <w:spacing w:val="-4"/>
        </w:rPr>
        <w:t> </w:t>
      </w:r>
      <w:r>
        <w:rPr/>
        <w:t>for the School.</w:t>
      </w:r>
    </w:p>
    <w:p>
      <w:pPr>
        <w:pStyle w:val="BodyText"/>
        <w:tabs>
          <w:tab w:pos="1576" w:val="left" w:leader="none"/>
        </w:tabs>
        <w:spacing w:before="121"/>
        <w:ind w:left="1216"/>
      </w:pPr>
      <w:r>
        <w:rPr>
          <w:spacing w:val="-5"/>
        </w:rPr>
        <w:t>**</w:t>
      </w:r>
      <w:r>
        <w:rPr/>
        <w:tab/>
        <w:t>Includes</w:t>
      </w:r>
      <w:r>
        <w:rPr>
          <w:spacing w:val="-7"/>
        </w:rPr>
        <w:t> </w:t>
      </w:r>
      <w:r>
        <w:rPr/>
        <w:t>funds</w:t>
      </w:r>
      <w:r>
        <w:rPr>
          <w:spacing w:val="-7"/>
        </w:rPr>
        <w:t> </w:t>
      </w:r>
      <w:r>
        <w:rPr/>
        <w:t>from</w:t>
      </w:r>
      <w:r>
        <w:rPr>
          <w:spacing w:val="-6"/>
        </w:rPr>
        <w:t> </w:t>
      </w:r>
      <w:r>
        <w:rPr/>
        <w:t>Title</w:t>
      </w:r>
      <w:r>
        <w:rPr>
          <w:spacing w:val="-7"/>
        </w:rPr>
        <w:t> </w:t>
      </w:r>
      <w:r>
        <w:rPr/>
        <w:t>III</w:t>
      </w:r>
      <w:r>
        <w:rPr>
          <w:spacing w:val="-6"/>
        </w:rPr>
        <w:t> </w:t>
      </w:r>
      <w:r>
        <w:rPr/>
        <w:t>for</w:t>
      </w:r>
      <w:r>
        <w:rPr>
          <w:spacing w:val="-7"/>
        </w:rPr>
        <w:t> </w:t>
      </w:r>
      <w:r>
        <w:rPr/>
        <w:t>Health</w:t>
      </w:r>
      <w:r>
        <w:rPr>
          <w:spacing w:val="-6"/>
        </w:rPr>
        <w:t> </w:t>
      </w:r>
      <w:r>
        <w:rPr/>
        <w:t>Profession</w:t>
      </w:r>
      <w:r>
        <w:rPr>
          <w:spacing w:val="-6"/>
        </w:rPr>
        <w:t> </w:t>
      </w:r>
      <w:r>
        <w:rPr>
          <w:spacing w:val="-2"/>
        </w:rPr>
        <w:t>Schools.</w:t>
      </w:r>
    </w:p>
    <w:p>
      <w:pPr>
        <w:pStyle w:val="BodyText"/>
        <w:spacing w:before="5"/>
      </w:pPr>
    </w:p>
    <w:p>
      <w:pPr>
        <w:spacing w:before="0"/>
        <w:ind w:left="280" w:right="0" w:firstLine="0"/>
        <w:jc w:val="left"/>
        <w:rPr>
          <w:b/>
          <w:sz w:val="20"/>
        </w:rPr>
      </w:pPr>
      <w:r>
        <w:rPr>
          <w:b/>
          <w:sz w:val="20"/>
        </w:rPr>
        <w:t>Grants</w:t>
      </w:r>
      <w:r>
        <w:rPr>
          <w:b/>
          <w:spacing w:val="-9"/>
          <w:sz w:val="20"/>
        </w:rPr>
        <w:t> </w:t>
      </w:r>
      <w:r>
        <w:rPr>
          <w:b/>
          <w:sz w:val="20"/>
        </w:rPr>
        <w:t>and</w:t>
      </w:r>
      <w:r>
        <w:rPr>
          <w:b/>
          <w:spacing w:val="-6"/>
          <w:sz w:val="20"/>
        </w:rPr>
        <w:t> </w:t>
      </w:r>
      <w:r>
        <w:rPr>
          <w:b/>
          <w:spacing w:val="-2"/>
          <w:sz w:val="20"/>
        </w:rPr>
        <w:t>Gifts</w:t>
      </w:r>
    </w:p>
    <w:p>
      <w:pPr>
        <w:pStyle w:val="BodyText"/>
        <w:spacing w:before="1"/>
        <w:rPr>
          <w:b/>
          <w:sz w:val="21"/>
        </w:rPr>
      </w:pPr>
    </w:p>
    <w:p>
      <w:pPr>
        <w:pStyle w:val="BodyText"/>
        <w:spacing w:before="1"/>
        <w:ind w:left="1000"/>
      </w:pPr>
      <w:r>
        <w:rPr/>
        <w:t>During</w:t>
      </w:r>
      <w:r>
        <w:rPr>
          <w:spacing w:val="-6"/>
        </w:rPr>
        <w:t> </w:t>
      </w:r>
      <w:r>
        <w:rPr/>
        <w:t>the</w:t>
      </w:r>
      <w:r>
        <w:rPr>
          <w:spacing w:val="-6"/>
        </w:rPr>
        <w:t> </w:t>
      </w:r>
      <w:r>
        <w:rPr/>
        <w:t>past</w:t>
      </w:r>
      <w:r>
        <w:rPr>
          <w:spacing w:val="-4"/>
        </w:rPr>
        <w:t> </w:t>
      </w:r>
      <w:r>
        <w:rPr/>
        <w:t>6</w:t>
      </w:r>
      <w:r>
        <w:rPr>
          <w:spacing w:val="-2"/>
        </w:rPr>
        <w:t> </w:t>
      </w:r>
      <w:r>
        <w:rPr/>
        <w:t>years,</w:t>
      </w:r>
      <w:r>
        <w:rPr>
          <w:spacing w:val="-4"/>
        </w:rPr>
        <w:t> </w:t>
      </w:r>
      <w:r>
        <w:rPr/>
        <w:t>we</w:t>
      </w:r>
      <w:r>
        <w:rPr>
          <w:spacing w:val="-4"/>
        </w:rPr>
        <w:t> </w:t>
      </w:r>
      <w:r>
        <w:rPr/>
        <w:t>have</w:t>
      </w:r>
      <w:r>
        <w:rPr>
          <w:spacing w:val="-6"/>
        </w:rPr>
        <w:t> </w:t>
      </w:r>
      <w:r>
        <w:rPr/>
        <w:t>received</w:t>
      </w:r>
      <w:r>
        <w:rPr>
          <w:spacing w:val="-6"/>
        </w:rPr>
        <w:t> </w:t>
      </w:r>
      <w:r>
        <w:rPr/>
        <w:t>the</w:t>
      </w:r>
      <w:r>
        <w:rPr>
          <w:spacing w:val="-6"/>
        </w:rPr>
        <w:t> </w:t>
      </w:r>
      <w:r>
        <w:rPr/>
        <w:t>following</w:t>
      </w:r>
      <w:r>
        <w:rPr>
          <w:spacing w:val="-6"/>
        </w:rPr>
        <w:t> </w:t>
      </w:r>
      <w:r>
        <w:rPr>
          <w:spacing w:val="-2"/>
        </w:rPr>
        <w:t>grants:</w:t>
      </w:r>
    </w:p>
    <w:p>
      <w:pPr>
        <w:pStyle w:val="BodyText"/>
        <w:spacing w:before="1"/>
        <w:rPr>
          <w:sz w:val="21"/>
        </w:rPr>
      </w:pPr>
    </w:p>
    <w:p>
      <w:pPr>
        <w:pStyle w:val="BodyText"/>
        <w:spacing w:line="276" w:lineRule="auto"/>
        <w:ind w:left="2080" w:right="1211" w:hanging="360"/>
      </w:pPr>
      <w:r>
        <w:rPr/>
        <w:t>2009</w:t>
      </w:r>
      <w:r>
        <w:rPr>
          <w:spacing w:val="-2"/>
        </w:rPr>
        <w:t> </w:t>
      </w:r>
      <w:r>
        <w:rPr/>
        <w:t>–</w:t>
      </w:r>
      <w:r>
        <w:rPr>
          <w:spacing w:val="-4"/>
        </w:rPr>
        <w:t> </w:t>
      </w:r>
      <w:r>
        <w:rPr/>
        <w:t>Grant</w:t>
      </w:r>
      <w:r>
        <w:rPr>
          <w:spacing w:val="-2"/>
        </w:rPr>
        <w:t> </w:t>
      </w:r>
      <w:r>
        <w:rPr/>
        <w:t>Recipient</w:t>
      </w:r>
      <w:r>
        <w:rPr>
          <w:spacing w:val="-4"/>
        </w:rPr>
        <w:t> </w:t>
      </w:r>
      <w:r>
        <w:rPr/>
        <w:t>for</w:t>
      </w:r>
      <w:r>
        <w:rPr>
          <w:spacing w:val="-2"/>
        </w:rPr>
        <w:t> </w:t>
      </w:r>
      <w:r>
        <w:rPr/>
        <w:t>testing</w:t>
      </w:r>
      <w:r>
        <w:rPr>
          <w:spacing w:val="-4"/>
        </w:rPr>
        <w:t> </w:t>
      </w:r>
      <w:r>
        <w:rPr/>
        <w:t>software</w:t>
      </w:r>
      <w:r>
        <w:rPr>
          <w:spacing w:val="-4"/>
        </w:rPr>
        <w:t> </w:t>
      </w:r>
      <w:r>
        <w:rPr/>
        <w:t>developed for</w:t>
      </w:r>
      <w:r>
        <w:rPr>
          <w:spacing w:val="-3"/>
        </w:rPr>
        <w:t> </w:t>
      </w:r>
      <w:r>
        <w:rPr/>
        <w:t>VA</w:t>
      </w:r>
      <w:r>
        <w:rPr>
          <w:spacing w:val="-5"/>
        </w:rPr>
        <w:t> </w:t>
      </w:r>
      <w:r>
        <w:rPr/>
        <w:t>Tech</w:t>
      </w:r>
      <w:r>
        <w:rPr>
          <w:spacing w:val="-3"/>
        </w:rPr>
        <w:t> </w:t>
      </w:r>
      <w:r>
        <w:rPr/>
        <w:t>for</w:t>
      </w:r>
      <w:r>
        <w:rPr>
          <w:spacing w:val="-3"/>
        </w:rPr>
        <w:t> </w:t>
      </w:r>
      <w:r>
        <w:rPr/>
        <w:t>testing</w:t>
      </w:r>
      <w:r>
        <w:rPr>
          <w:spacing w:val="-4"/>
        </w:rPr>
        <w:t> </w:t>
      </w:r>
      <w:r>
        <w:rPr/>
        <w:t>structural design solutions in an architectural design class - $8,000.00</w:t>
      </w:r>
    </w:p>
    <w:p>
      <w:pPr>
        <w:pStyle w:val="BodyText"/>
        <w:spacing w:before="5"/>
        <w:rPr>
          <w:sz w:val="17"/>
        </w:rPr>
      </w:pPr>
    </w:p>
    <w:p>
      <w:pPr>
        <w:pStyle w:val="BodyText"/>
        <w:spacing w:line="276" w:lineRule="auto"/>
        <w:ind w:left="2079" w:right="1151" w:hanging="360"/>
      </w:pPr>
      <w:r>
        <w:rPr/>
        <w:t>2009-2011 – received an $80,000 grant from the National Aeronautics and Space Administration</w:t>
      </w:r>
      <w:r>
        <w:rPr>
          <w:spacing w:val="-5"/>
        </w:rPr>
        <w:t> </w:t>
      </w:r>
      <w:r>
        <w:rPr/>
        <w:t>(NASA</w:t>
      </w:r>
      <w:r>
        <w:rPr>
          <w:spacing w:val="-6"/>
        </w:rPr>
        <w:t> </w:t>
      </w:r>
      <w:r>
        <w:rPr/>
        <w:t>Grant</w:t>
      </w:r>
      <w:r>
        <w:rPr>
          <w:spacing w:val="-5"/>
        </w:rPr>
        <w:t> </w:t>
      </w:r>
      <w:r>
        <w:rPr/>
        <w:t>Number</w:t>
      </w:r>
      <w:r>
        <w:rPr>
          <w:spacing w:val="-4"/>
        </w:rPr>
        <w:t> </w:t>
      </w:r>
      <w:r>
        <w:rPr/>
        <w:t>557585-217585-3160-4218)</w:t>
      </w:r>
      <w:r>
        <w:rPr>
          <w:spacing w:val="-4"/>
        </w:rPr>
        <w:t> </w:t>
      </w:r>
      <w:r>
        <w:rPr/>
        <w:t>to</w:t>
      </w:r>
      <w:r>
        <w:rPr>
          <w:spacing w:val="-5"/>
        </w:rPr>
        <w:t> </w:t>
      </w:r>
      <w:r>
        <w:rPr/>
        <w:t>provide</w:t>
      </w:r>
      <w:r>
        <w:rPr>
          <w:spacing w:val="-3"/>
        </w:rPr>
        <w:t> </w:t>
      </w:r>
      <w:r>
        <w:rPr/>
        <w:t>a</w:t>
      </w:r>
      <w:r>
        <w:rPr>
          <w:spacing w:val="-3"/>
        </w:rPr>
        <w:t> </w:t>
      </w:r>
      <w:r>
        <w:rPr/>
        <w:t>work</w:t>
      </w:r>
      <w:r>
        <w:rPr>
          <w:spacing w:val="-2"/>
        </w:rPr>
        <w:t> </w:t>
      </w:r>
      <w:r>
        <w:rPr/>
        <w:t>/ study scholarship for one student (Roberta DePasqualle, to study while doing research on climate change.</w:t>
      </w:r>
    </w:p>
    <w:p>
      <w:pPr>
        <w:pStyle w:val="BodyText"/>
        <w:spacing w:before="4"/>
        <w:rPr>
          <w:sz w:val="17"/>
        </w:rPr>
      </w:pPr>
    </w:p>
    <w:p>
      <w:pPr>
        <w:pStyle w:val="BodyText"/>
        <w:spacing w:line="276" w:lineRule="auto"/>
        <w:ind w:left="2079" w:right="1130" w:hanging="360"/>
      </w:pPr>
      <w:r>
        <w:rPr/>
        <w:t>2010</w:t>
      </w:r>
      <w:r>
        <w:rPr>
          <w:spacing w:val="-2"/>
        </w:rPr>
        <w:t> </w:t>
      </w:r>
      <w:r>
        <w:rPr/>
        <w:t>–</w:t>
      </w:r>
      <w:r>
        <w:rPr>
          <w:spacing w:val="-4"/>
        </w:rPr>
        <w:t> </w:t>
      </w:r>
      <w:r>
        <w:rPr/>
        <w:t>City</w:t>
      </w:r>
      <w:r>
        <w:rPr>
          <w:spacing w:val="-7"/>
        </w:rPr>
        <w:t> </w:t>
      </w:r>
      <w:r>
        <w:rPr/>
        <w:t>of</w:t>
      </w:r>
      <w:r>
        <w:rPr>
          <w:spacing w:val="-2"/>
        </w:rPr>
        <w:t> </w:t>
      </w:r>
      <w:r>
        <w:rPr/>
        <w:t>Newport</w:t>
      </w:r>
      <w:r>
        <w:rPr>
          <w:spacing w:val="-4"/>
        </w:rPr>
        <w:t> </w:t>
      </w:r>
      <w:r>
        <w:rPr/>
        <w:t>News</w:t>
      </w:r>
      <w:r>
        <w:rPr>
          <w:spacing w:val="-3"/>
        </w:rPr>
        <w:t> </w:t>
      </w:r>
      <w:r>
        <w:rPr/>
        <w:t>-</w:t>
      </w:r>
      <w:r>
        <w:rPr>
          <w:spacing w:val="-3"/>
        </w:rPr>
        <w:t> </w:t>
      </w:r>
      <w:r>
        <w:rPr/>
        <w:t>$40,300.00</w:t>
      </w:r>
      <w:r>
        <w:rPr>
          <w:spacing w:val="-4"/>
        </w:rPr>
        <w:t> </w:t>
      </w:r>
      <w:r>
        <w:rPr/>
        <w:t>to</w:t>
      </w:r>
      <w:r>
        <w:rPr>
          <w:spacing w:val="-4"/>
        </w:rPr>
        <w:t> </w:t>
      </w:r>
      <w:r>
        <w:rPr/>
        <w:t>develop</w:t>
      </w:r>
      <w:r>
        <w:rPr>
          <w:spacing w:val="-2"/>
        </w:rPr>
        <w:t> </w:t>
      </w:r>
      <w:r>
        <w:rPr/>
        <w:t>an</w:t>
      </w:r>
      <w:r>
        <w:rPr>
          <w:spacing w:val="-4"/>
        </w:rPr>
        <w:t> </w:t>
      </w:r>
      <w:r>
        <w:rPr/>
        <w:t>urban</w:t>
      </w:r>
      <w:r>
        <w:rPr>
          <w:spacing w:val="-2"/>
        </w:rPr>
        <w:t> </w:t>
      </w:r>
      <w:r>
        <w:rPr/>
        <w:t>design</w:t>
      </w:r>
      <w:r>
        <w:rPr>
          <w:spacing w:val="-4"/>
        </w:rPr>
        <w:t> </w:t>
      </w:r>
      <w:r>
        <w:rPr/>
        <w:t>masterplan</w:t>
      </w:r>
      <w:r>
        <w:rPr>
          <w:spacing w:val="-4"/>
        </w:rPr>
        <w:t> </w:t>
      </w:r>
      <w:r>
        <w:rPr/>
        <w:t>for</w:t>
      </w:r>
      <w:r>
        <w:rPr>
          <w:spacing w:val="-3"/>
        </w:rPr>
        <w:t> </w:t>
      </w:r>
      <w:r>
        <w:rPr/>
        <w:t>the Jefferson</w:t>
      </w:r>
      <w:r>
        <w:rPr>
          <w:spacing w:val="-6"/>
        </w:rPr>
        <w:t> </w:t>
      </w:r>
      <w:r>
        <w:rPr/>
        <w:t>Park</w:t>
      </w:r>
      <w:r>
        <w:rPr>
          <w:spacing w:val="-2"/>
        </w:rPr>
        <w:t> </w:t>
      </w:r>
      <w:r>
        <w:rPr/>
        <w:t>community</w:t>
      </w:r>
      <w:r>
        <w:rPr>
          <w:spacing w:val="-9"/>
        </w:rPr>
        <w:t> </w:t>
      </w:r>
      <w:r>
        <w:rPr/>
        <w:t>in</w:t>
      </w:r>
      <w:r>
        <w:rPr>
          <w:spacing w:val="-6"/>
        </w:rPr>
        <w:t> </w:t>
      </w:r>
      <w:r>
        <w:rPr/>
        <w:t>Newport</w:t>
      </w:r>
      <w:r>
        <w:rPr>
          <w:spacing w:val="-6"/>
        </w:rPr>
        <w:t> </w:t>
      </w:r>
      <w:r>
        <w:rPr/>
        <w:t>News,</w:t>
      </w:r>
      <w:r>
        <w:rPr>
          <w:spacing w:val="-5"/>
        </w:rPr>
        <w:t> </w:t>
      </w:r>
      <w:r>
        <w:rPr/>
        <w:t>VA</w:t>
      </w:r>
      <w:r>
        <w:rPr>
          <w:spacing w:val="-7"/>
        </w:rPr>
        <w:t> </w:t>
      </w:r>
      <w:r>
        <w:rPr/>
        <w:t>as</w:t>
      </w:r>
      <w:r>
        <w:rPr>
          <w:spacing w:val="-2"/>
        </w:rPr>
        <w:t> </w:t>
      </w:r>
      <w:r>
        <w:rPr/>
        <w:t>part</w:t>
      </w:r>
      <w:r>
        <w:rPr>
          <w:spacing w:val="-6"/>
        </w:rPr>
        <w:t> </w:t>
      </w:r>
      <w:r>
        <w:rPr/>
        <w:t>of</w:t>
      </w:r>
      <w:r>
        <w:rPr>
          <w:spacing w:val="-4"/>
        </w:rPr>
        <w:t> </w:t>
      </w:r>
      <w:r>
        <w:rPr/>
        <w:t>a</w:t>
      </w:r>
      <w:r>
        <w:rPr>
          <w:spacing w:val="-6"/>
        </w:rPr>
        <w:t> </w:t>
      </w:r>
      <w:r>
        <w:rPr/>
        <w:t>HUD</w:t>
      </w:r>
      <w:r>
        <w:rPr>
          <w:spacing w:val="-6"/>
        </w:rPr>
        <w:t> </w:t>
      </w:r>
      <w:r>
        <w:rPr/>
        <w:t>revitalization</w:t>
      </w:r>
      <w:r>
        <w:rPr>
          <w:spacing w:val="-4"/>
        </w:rPr>
        <w:t> </w:t>
      </w:r>
      <w:r>
        <w:rPr>
          <w:spacing w:val="-2"/>
        </w:rPr>
        <w:t>grant.</w:t>
      </w:r>
    </w:p>
    <w:p>
      <w:pPr>
        <w:pStyle w:val="BodyText"/>
        <w:spacing w:before="9"/>
      </w:pPr>
    </w:p>
    <w:p>
      <w:pPr>
        <w:pStyle w:val="BodyText"/>
        <w:spacing w:line="276" w:lineRule="auto"/>
        <w:ind w:left="2079" w:right="1151" w:hanging="360"/>
      </w:pPr>
      <w:r>
        <w:rPr/>
        <w:t>2010-11 – US Department of Energy Solar Decathlon - $50,000.00 (receiving 50% of grant</w:t>
      </w:r>
      <w:r>
        <w:rPr>
          <w:spacing w:val="-5"/>
        </w:rPr>
        <w:t> </w:t>
      </w:r>
      <w:r>
        <w:rPr/>
        <w:t>funding</w:t>
      </w:r>
      <w:r>
        <w:rPr>
          <w:spacing w:val="-5"/>
        </w:rPr>
        <w:t> </w:t>
      </w:r>
      <w:r>
        <w:rPr/>
        <w:t>from prime,</w:t>
      </w:r>
      <w:r>
        <w:rPr>
          <w:spacing w:val="-5"/>
        </w:rPr>
        <w:t> </w:t>
      </w:r>
      <w:r>
        <w:rPr/>
        <w:t>Old</w:t>
      </w:r>
      <w:r>
        <w:rPr>
          <w:spacing w:val="-5"/>
        </w:rPr>
        <w:t> </w:t>
      </w:r>
      <w:r>
        <w:rPr/>
        <w:t>Dominion</w:t>
      </w:r>
      <w:r>
        <w:rPr>
          <w:spacing w:val="-5"/>
        </w:rPr>
        <w:t> </w:t>
      </w:r>
      <w:r>
        <w:rPr/>
        <w:t>University</w:t>
      </w:r>
      <w:r>
        <w:rPr>
          <w:spacing w:val="-5"/>
        </w:rPr>
        <w:t> </w:t>
      </w:r>
      <w:r>
        <w:rPr/>
        <w:t>under</w:t>
      </w:r>
      <w:r>
        <w:rPr>
          <w:spacing w:val="-4"/>
        </w:rPr>
        <w:t> </w:t>
      </w:r>
      <w:r>
        <w:rPr/>
        <w:t>the</w:t>
      </w:r>
      <w:r>
        <w:rPr>
          <w:spacing w:val="-3"/>
        </w:rPr>
        <w:t> </w:t>
      </w:r>
      <w:r>
        <w:rPr/>
        <w:t>name,</w:t>
      </w:r>
      <w:r>
        <w:rPr>
          <w:spacing w:val="-5"/>
        </w:rPr>
        <w:t> </w:t>
      </w:r>
      <w:r>
        <w:rPr/>
        <w:t>“Team</w:t>
      </w:r>
      <w:r>
        <w:rPr>
          <w:spacing w:val="-3"/>
        </w:rPr>
        <w:t> </w:t>
      </w:r>
      <w:r>
        <w:rPr/>
        <w:t>Tidewater </w:t>
      </w:r>
      <w:r>
        <w:rPr>
          <w:spacing w:val="-2"/>
        </w:rPr>
        <w:t>Virginia.”</w:t>
      </w:r>
    </w:p>
    <w:p>
      <w:pPr>
        <w:pStyle w:val="BodyText"/>
        <w:spacing w:before="4"/>
        <w:rPr>
          <w:sz w:val="17"/>
        </w:rPr>
      </w:pPr>
    </w:p>
    <w:p>
      <w:pPr>
        <w:pStyle w:val="BodyText"/>
        <w:spacing w:line="276" w:lineRule="auto"/>
        <w:ind w:left="2079" w:right="1211" w:hanging="360"/>
      </w:pPr>
      <w:r>
        <w:rPr/>
        <w:t>2011</w:t>
      </w:r>
      <w:r>
        <w:rPr>
          <w:spacing w:val="-3"/>
        </w:rPr>
        <w:t> </w:t>
      </w:r>
      <w:r>
        <w:rPr/>
        <w:t>-</w:t>
      </w:r>
      <w:r>
        <w:rPr>
          <w:spacing w:val="-4"/>
        </w:rPr>
        <w:t> </w:t>
      </w:r>
      <w:r>
        <w:rPr/>
        <w:t>Brown</w:t>
      </w:r>
      <w:r>
        <w:rPr>
          <w:spacing w:val="-5"/>
        </w:rPr>
        <w:t> </w:t>
      </w:r>
      <w:r>
        <w:rPr/>
        <w:t>Family:</w:t>
      </w:r>
      <w:r>
        <w:rPr>
          <w:spacing w:val="-3"/>
        </w:rPr>
        <w:t> </w:t>
      </w:r>
      <w:r>
        <w:rPr/>
        <w:t>Alum</w:t>
      </w:r>
      <w:r>
        <w:rPr>
          <w:spacing w:val="-3"/>
        </w:rPr>
        <w:t> </w:t>
      </w:r>
      <w:r>
        <w:rPr/>
        <w:t>and</w:t>
      </w:r>
      <w:r>
        <w:rPr>
          <w:spacing w:val="-3"/>
        </w:rPr>
        <w:t> </w:t>
      </w:r>
      <w:r>
        <w:rPr/>
        <w:t>Architect,</w:t>
      </w:r>
      <w:r>
        <w:rPr>
          <w:spacing w:val="-5"/>
        </w:rPr>
        <w:t> </w:t>
      </w:r>
      <w:r>
        <w:rPr/>
        <w:t>Bill</w:t>
      </w:r>
      <w:r>
        <w:rPr>
          <w:spacing w:val="-4"/>
        </w:rPr>
        <w:t> </w:t>
      </w:r>
      <w:r>
        <w:rPr/>
        <w:t>Brown</w:t>
      </w:r>
      <w:r>
        <w:rPr>
          <w:spacing w:val="-3"/>
        </w:rPr>
        <w:t> </w:t>
      </w:r>
      <w:r>
        <w:rPr/>
        <w:t>and</w:t>
      </w:r>
      <w:r>
        <w:rPr>
          <w:spacing w:val="-5"/>
        </w:rPr>
        <w:t> </w:t>
      </w:r>
      <w:r>
        <w:rPr/>
        <w:t>his</w:t>
      </w:r>
      <w:r>
        <w:rPr>
          <w:spacing w:val="-1"/>
        </w:rPr>
        <w:t> </w:t>
      </w:r>
      <w:r>
        <w:rPr/>
        <w:t>wife,</w:t>
      </w:r>
      <w:r>
        <w:rPr>
          <w:spacing w:val="-5"/>
        </w:rPr>
        <w:t> </w:t>
      </w:r>
      <w:r>
        <w:rPr/>
        <w:t>contributed</w:t>
      </w:r>
      <w:r>
        <w:rPr>
          <w:spacing w:val="-3"/>
        </w:rPr>
        <w:t> </w:t>
      </w:r>
      <w:r>
        <w:rPr/>
        <w:t>$50,000</w:t>
      </w:r>
      <w:r>
        <w:rPr>
          <w:spacing w:val="-3"/>
        </w:rPr>
        <w:t> </w:t>
      </w:r>
      <w:r>
        <w:rPr/>
        <w:t>to the school of Engineering, $10,000 of which was dedicated to the HUDA and an additional $10,000 that was made available to the program at the discretion of the Dean for use in the 2013 Solar Decathlon.</w:t>
      </w:r>
    </w:p>
    <w:p>
      <w:pPr>
        <w:pStyle w:val="BodyText"/>
        <w:spacing w:before="4"/>
        <w:rPr>
          <w:sz w:val="17"/>
        </w:rPr>
      </w:pPr>
    </w:p>
    <w:p>
      <w:pPr>
        <w:pStyle w:val="BodyText"/>
        <w:spacing w:line="276" w:lineRule="auto"/>
        <w:ind w:left="2079" w:right="1134" w:hanging="360"/>
      </w:pPr>
      <w:r>
        <w:rPr/>
        <w:t>2012-13 – Department of Energy Solar Decathlon - $100,000.00 (prime with Old Dominion</w:t>
      </w:r>
      <w:r>
        <w:rPr>
          <w:spacing w:val="-5"/>
        </w:rPr>
        <w:t> </w:t>
      </w:r>
      <w:r>
        <w:rPr/>
        <w:t>University</w:t>
      </w:r>
      <w:r>
        <w:rPr>
          <w:spacing w:val="-6"/>
        </w:rPr>
        <w:t> </w:t>
      </w:r>
      <w:r>
        <w:rPr/>
        <w:t>providing</w:t>
      </w:r>
      <w:r>
        <w:rPr>
          <w:spacing w:val="-5"/>
        </w:rPr>
        <w:t> </w:t>
      </w:r>
      <w:r>
        <w:rPr/>
        <w:t>support</w:t>
      </w:r>
      <w:r>
        <w:rPr>
          <w:spacing w:val="-5"/>
        </w:rPr>
        <w:t> </w:t>
      </w:r>
      <w:r>
        <w:rPr/>
        <w:t>at</w:t>
      </w:r>
      <w:r>
        <w:rPr>
          <w:spacing w:val="-3"/>
        </w:rPr>
        <w:t> </w:t>
      </w:r>
      <w:r>
        <w:rPr/>
        <w:t>50%</w:t>
      </w:r>
      <w:r>
        <w:rPr>
          <w:spacing w:val="-2"/>
        </w:rPr>
        <w:t> </w:t>
      </w:r>
      <w:r>
        <w:rPr/>
        <w:t>of</w:t>
      </w:r>
      <w:r>
        <w:rPr>
          <w:spacing w:val="-3"/>
        </w:rPr>
        <w:t> </w:t>
      </w:r>
      <w:r>
        <w:rPr/>
        <w:t>funding.</w:t>
      </w:r>
      <w:r>
        <w:rPr>
          <w:spacing w:val="-5"/>
        </w:rPr>
        <w:t> </w:t>
      </w:r>
      <w:r>
        <w:rPr/>
        <w:t>The</w:t>
      </w:r>
      <w:r>
        <w:rPr>
          <w:spacing w:val="-5"/>
        </w:rPr>
        <w:t> </w:t>
      </w:r>
      <w:r>
        <w:rPr/>
        <w:t>Team</w:t>
      </w:r>
      <w:r>
        <w:rPr>
          <w:spacing w:val="-1"/>
        </w:rPr>
        <w:t> </w:t>
      </w:r>
      <w:r>
        <w:rPr/>
        <w:t>raised</w:t>
      </w:r>
      <w:r>
        <w:rPr>
          <w:spacing w:val="-5"/>
        </w:rPr>
        <w:t> </w:t>
      </w:r>
      <w:r>
        <w:rPr/>
        <w:t>significant contributions</w:t>
      </w:r>
      <w:r>
        <w:rPr>
          <w:spacing w:val="-7"/>
        </w:rPr>
        <w:t> </w:t>
      </w:r>
      <w:r>
        <w:rPr/>
        <w:t>and</w:t>
      </w:r>
      <w:r>
        <w:rPr>
          <w:spacing w:val="-8"/>
        </w:rPr>
        <w:t> </w:t>
      </w:r>
      <w:r>
        <w:rPr/>
        <w:t>gifts</w:t>
      </w:r>
      <w:r>
        <w:rPr>
          <w:spacing w:val="-7"/>
        </w:rPr>
        <w:t> </w:t>
      </w:r>
      <w:r>
        <w:rPr/>
        <w:t>in</w:t>
      </w:r>
      <w:r>
        <w:rPr>
          <w:spacing w:val="-8"/>
        </w:rPr>
        <w:t> </w:t>
      </w:r>
      <w:r>
        <w:rPr/>
        <w:t>kind</w:t>
      </w:r>
      <w:r>
        <w:rPr>
          <w:spacing w:val="-8"/>
        </w:rPr>
        <w:t> </w:t>
      </w:r>
      <w:r>
        <w:rPr/>
        <w:t>to</w:t>
      </w:r>
      <w:r>
        <w:rPr>
          <w:spacing w:val="-6"/>
        </w:rPr>
        <w:t> </w:t>
      </w:r>
      <w:r>
        <w:rPr/>
        <w:t>secure</w:t>
      </w:r>
      <w:r>
        <w:rPr>
          <w:spacing w:val="-7"/>
        </w:rPr>
        <w:t> </w:t>
      </w:r>
      <w:r>
        <w:rPr/>
        <w:t>construction</w:t>
      </w:r>
      <w:r>
        <w:rPr>
          <w:spacing w:val="-6"/>
        </w:rPr>
        <w:t> </w:t>
      </w:r>
      <w:r>
        <w:rPr/>
        <w:t>materials</w:t>
      </w:r>
      <w:r>
        <w:rPr>
          <w:spacing w:val="-7"/>
        </w:rPr>
        <w:t> </w:t>
      </w:r>
      <w:r>
        <w:rPr/>
        <w:t>and</w:t>
      </w:r>
      <w:r>
        <w:rPr>
          <w:spacing w:val="-8"/>
        </w:rPr>
        <w:t> </w:t>
      </w:r>
      <w:r>
        <w:rPr/>
        <w:t>services</w:t>
      </w:r>
      <w:r>
        <w:rPr>
          <w:spacing w:val="-4"/>
        </w:rPr>
        <w:t> </w:t>
      </w:r>
      <w:r>
        <w:rPr>
          <w:spacing w:val="-2"/>
        </w:rPr>
        <w:t>including:</w:t>
      </w:r>
    </w:p>
    <w:p>
      <w:pPr>
        <w:pStyle w:val="BodyText"/>
        <w:spacing w:before="5"/>
        <w:rPr>
          <w:sz w:val="17"/>
        </w:rPr>
      </w:pPr>
    </w:p>
    <w:p>
      <w:pPr>
        <w:pStyle w:val="ListParagraph"/>
        <w:numPr>
          <w:ilvl w:val="0"/>
          <w:numId w:val="26"/>
        </w:numPr>
        <w:tabs>
          <w:tab w:pos="2440" w:val="left" w:leader="none"/>
        </w:tabs>
        <w:spacing w:line="240" w:lineRule="auto" w:before="0" w:after="0"/>
        <w:ind w:left="2439" w:right="0" w:hanging="361"/>
        <w:jc w:val="left"/>
        <w:rPr>
          <w:sz w:val="20"/>
        </w:rPr>
      </w:pPr>
      <w:r>
        <w:rPr>
          <w:sz w:val="20"/>
        </w:rPr>
        <w:t>$30,000</w:t>
      </w:r>
      <w:r>
        <w:rPr>
          <w:spacing w:val="-6"/>
          <w:sz w:val="20"/>
        </w:rPr>
        <w:t> </w:t>
      </w:r>
      <w:r>
        <w:rPr>
          <w:sz w:val="20"/>
        </w:rPr>
        <w:t>in</w:t>
      </w:r>
      <w:r>
        <w:rPr>
          <w:spacing w:val="-6"/>
          <w:sz w:val="20"/>
        </w:rPr>
        <w:t> </w:t>
      </w:r>
      <w:r>
        <w:rPr>
          <w:sz w:val="20"/>
        </w:rPr>
        <w:t>design</w:t>
      </w:r>
      <w:r>
        <w:rPr>
          <w:spacing w:val="-8"/>
          <w:sz w:val="20"/>
        </w:rPr>
        <w:t> </w:t>
      </w:r>
      <w:r>
        <w:rPr>
          <w:sz w:val="20"/>
        </w:rPr>
        <w:t>services</w:t>
      </w:r>
      <w:r>
        <w:rPr>
          <w:spacing w:val="-4"/>
          <w:sz w:val="20"/>
        </w:rPr>
        <w:t> </w:t>
      </w:r>
      <w:r>
        <w:rPr>
          <w:sz w:val="20"/>
        </w:rPr>
        <w:t>from</w:t>
      </w:r>
      <w:r>
        <w:rPr>
          <w:spacing w:val="-3"/>
          <w:sz w:val="20"/>
        </w:rPr>
        <w:t> </w:t>
      </w:r>
      <w:r>
        <w:rPr>
          <w:sz w:val="20"/>
        </w:rPr>
        <w:t>Clark</w:t>
      </w:r>
      <w:r>
        <w:rPr>
          <w:spacing w:val="-5"/>
          <w:sz w:val="20"/>
        </w:rPr>
        <w:t> </w:t>
      </w:r>
      <w:r>
        <w:rPr>
          <w:sz w:val="20"/>
        </w:rPr>
        <w:t>Nexen</w:t>
      </w:r>
      <w:r>
        <w:rPr>
          <w:spacing w:val="-7"/>
          <w:sz w:val="20"/>
        </w:rPr>
        <w:t> </w:t>
      </w:r>
      <w:r>
        <w:rPr>
          <w:sz w:val="20"/>
        </w:rPr>
        <w:t>Architecture</w:t>
      </w:r>
      <w:r>
        <w:rPr>
          <w:spacing w:val="-8"/>
          <w:sz w:val="20"/>
        </w:rPr>
        <w:t> </w:t>
      </w:r>
      <w:r>
        <w:rPr>
          <w:sz w:val="20"/>
        </w:rPr>
        <w:t>firm</w:t>
      </w:r>
      <w:r>
        <w:rPr>
          <w:spacing w:val="-3"/>
          <w:sz w:val="20"/>
        </w:rPr>
        <w:t> </w:t>
      </w:r>
      <w:r>
        <w:rPr>
          <w:sz w:val="20"/>
        </w:rPr>
        <w:t>in</w:t>
      </w:r>
      <w:r>
        <w:rPr>
          <w:spacing w:val="-8"/>
          <w:sz w:val="20"/>
        </w:rPr>
        <w:t> </w:t>
      </w:r>
      <w:r>
        <w:rPr>
          <w:sz w:val="20"/>
        </w:rPr>
        <w:t>Norfolk,</w:t>
      </w:r>
      <w:r>
        <w:rPr>
          <w:spacing w:val="-7"/>
          <w:sz w:val="20"/>
        </w:rPr>
        <w:t> </w:t>
      </w:r>
      <w:r>
        <w:rPr>
          <w:spacing w:val="-5"/>
          <w:sz w:val="20"/>
        </w:rPr>
        <w:t>VA.</w:t>
      </w:r>
    </w:p>
    <w:p>
      <w:pPr>
        <w:pStyle w:val="ListParagraph"/>
        <w:numPr>
          <w:ilvl w:val="0"/>
          <w:numId w:val="26"/>
        </w:numPr>
        <w:tabs>
          <w:tab w:pos="2440" w:val="left" w:leader="none"/>
        </w:tabs>
        <w:spacing w:line="240" w:lineRule="auto" w:before="36" w:after="0"/>
        <w:ind w:left="2439" w:right="0" w:hanging="361"/>
        <w:jc w:val="left"/>
        <w:rPr>
          <w:sz w:val="20"/>
        </w:rPr>
      </w:pPr>
      <w:r>
        <w:rPr>
          <w:sz w:val="20"/>
        </w:rPr>
        <w:t>$40,000</w:t>
      </w:r>
      <w:r>
        <w:rPr>
          <w:spacing w:val="-8"/>
          <w:sz w:val="20"/>
        </w:rPr>
        <w:t> </w:t>
      </w:r>
      <w:r>
        <w:rPr>
          <w:sz w:val="20"/>
        </w:rPr>
        <w:t>in</w:t>
      </w:r>
      <w:r>
        <w:rPr>
          <w:spacing w:val="-7"/>
          <w:sz w:val="20"/>
        </w:rPr>
        <w:t> </w:t>
      </w:r>
      <w:r>
        <w:rPr>
          <w:sz w:val="20"/>
        </w:rPr>
        <w:t>instructional</w:t>
      </w:r>
      <w:r>
        <w:rPr>
          <w:spacing w:val="-10"/>
          <w:sz w:val="20"/>
        </w:rPr>
        <w:t> </w:t>
      </w:r>
      <w:r>
        <w:rPr>
          <w:sz w:val="20"/>
        </w:rPr>
        <w:t>services</w:t>
      </w:r>
      <w:r>
        <w:rPr>
          <w:spacing w:val="-8"/>
          <w:sz w:val="20"/>
        </w:rPr>
        <w:t> </w:t>
      </w:r>
      <w:r>
        <w:rPr>
          <w:sz w:val="20"/>
        </w:rPr>
        <w:t>from</w:t>
      </w:r>
      <w:r>
        <w:rPr>
          <w:spacing w:val="-4"/>
          <w:sz w:val="20"/>
        </w:rPr>
        <w:t> </w:t>
      </w:r>
      <w:r>
        <w:rPr>
          <w:sz w:val="20"/>
        </w:rPr>
        <w:t>C-</w:t>
      </w:r>
      <w:r>
        <w:rPr>
          <w:spacing w:val="-5"/>
          <w:sz w:val="20"/>
        </w:rPr>
        <w:t>N.</w:t>
      </w:r>
    </w:p>
    <w:p>
      <w:pPr>
        <w:pStyle w:val="ListParagraph"/>
        <w:numPr>
          <w:ilvl w:val="0"/>
          <w:numId w:val="26"/>
        </w:numPr>
        <w:tabs>
          <w:tab w:pos="2438" w:val="left" w:leader="none"/>
          <w:tab w:pos="2440" w:val="left" w:leader="none"/>
        </w:tabs>
        <w:spacing w:line="240" w:lineRule="auto" w:before="34" w:after="0"/>
        <w:ind w:left="2439" w:right="0" w:hanging="361"/>
        <w:jc w:val="left"/>
        <w:rPr>
          <w:sz w:val="20"/>
        </w:rPr>
      </w:pPr>
      <w:r>
        <w:rPr>
          <w:sz w:val="20"/>
        </w:rPr>
        <w:t>$60,000</w:t>
      </w:r>
      <w:r>
        <w:rPr>
          <w:spacing w:val="-6"/>
          <w:sz w:val="20"/>
        </w:rPr>
        <w:t> </w:t>
      </w:r>
      <w:r>
        <w:rPr>
          <w:sz w:val="20"/>
        </w:rPr>
        <w:t>in</w:t>
      </w:r>
      <w:r>
        <w:rPr>
          <w:spacing w:val="-8"/>
          <w:sz w:val="20"/>
        </w:rPr>
        <w:t> </w:t>
      </w:r>
      <w:r>
        <w:rPr>
          <w:sz w:val="20"/>
        </w:rPr>
        <w:t>solar</w:t>
      </w:r>
      <w:r>
        <w:rPr>
          <w:spacing w:val="-5"/>
          <w:sz w:val="20"/>
        </w:rPr>
        <w:t> </w:t>
      </w:r>
      <w:r>
        <w:rPr>
          <w:sz w:val="20"/>
        </w:rPr>
        <w:t>panels</w:t>
      </w:r>
      <w:r>
        <w:rPr>
          <w:spacing w:val="-7"/>
          <w:sz w:val="20"/>
        </w:rPr>
        <w:t> </w:t>
      </w:r>
      <w:r>
        <w:rPr>
          <w:spacing w:val="-4"/>
          <w:sz w:val="20"/>
        </w:rPr>
        <w:t>from</w:t>
      </w:r>
    </w:p>
    <w:p>
      <w:pPr>
        <w:pStyle w:val="ListParagraph"/>
        <w:numPr>
          <w:ilvl w:val="0"/>
          <w:numId w:val="26"/>
        </w:numPr>
        <w:tabs>
          <w:tab w:pos="2440" w:val="left" w:leader="none"/>
        </w:tabs>
        <w:spacing w:line="240" w:lineRule="auto" w:before="34" w:after="0"/>
        <w:ind w:left="2439" w:right="0" w:hanging="361"/>
        <w:jc w:val="left"/>
        <w:rPr>
          <w:sz w:val="20"/>
        </w:rPr>
      </w:pPr>
      <w:r>
        <w:rPr>
          <w:sz w:val="20"/>
        </w:rPr>
        <w:t>$</w:t>
      </w:r>
      <w:r>
        <w:rPr>
          <w:spacing w:val="-5"/>
          <w:sz w:val="20"/>
        </w:rPr>
        <w:t> </w:t>
      </w:r>
      <w:r>
        <w:rPr>
          <w:sz w:val="20"/>
        </w:rPr>
        <w:t>in</w:t>
      </w:r>
      <w:r>
        <w:rPr>
          <w:spacing w:val="-3"/>
          <w:sz w:val="20"/>
        </w:rPr>
        <w:t> </w:t>
      </w:r>
      <w:r>
        <w:rPr>
          <w:sz w:val="20"/>
        </w:rPr>
        <w:t>tools</w:t>
      </w:r>
      <w:r>
        <w:rPr>
          <w:spacing w:val="-3"/>
          <w:sz w:val="20"/>
        </w:rPr>
        <w:t> </w:t>
      </w:r>
      <w:r>
        <w:rPr>
          <w:spacing w:val="-4"/>
          <w:sz w:val="20"/>
        </w:rPr>
        <w:t>from</w:t>
      </w:r>
    </w:p>
    <w:p>
      <w:pPr>
        <w:pStyle w:val="BodyText"/>
        <w:spacing w:before="5"/>
      </w:pPr>
    </w:p>
    <w:p>
      <w:pPr>
        <w:pStyle w:val="BodyText"/>
        <w:spacing w:line="276" w:lineRule="auto" w:before="1"/>
        <w:ind w:left="2079" w:right="1211" w:hanging="360"/>
      </w:pPr>
      <w:r>
        <w:rPr/>
        <w:t>Portsmouth Health Clinic - $5,000 to provide planning, programming and design consultation</w:t>
      </w:r>
      <w:r>
        <w:rPr>
          <w:spacing w:val="-5"/>
        </w:rPr>
        <w:t> </w:t>
      </w:r>
      <w:r>
        <w:rPr/>
        <w:t>support.</w:t>
      </w:r>
      <w:r>
        <w:rPr>
          <w:spacing w:val="-3"/>
        </w:rPr>
        <w:t> </w:t>
      </w:r>
      <w:r>
        <w:rPr/>
        <w:t>A</w:t>
      </w:r>
      <w:r>
        <w:rPr>
          <w:spacing w:val="-6"/>
        </w:rPr>
        <w:t> </w:t>
      </w:r>
      <w:r>
        <w:rPr/>
        <w:t>follow</w:t>
      </w:r>
      <w:r>
        <w:rPr>
          <w:spacing w:val="-6"/>
        </w:rPr>
        <w:t> </w:t>
      </w:r>
      <w:r>
        <w:rPr/>
        <w:t>up</w:t>
      </w:r>
      <w:r>
        <w:rPr>
          <w:spacing w:val="-3"/>
        </w:rPr>
        <w:t> </w:t>
      </w:r>
      <w:r>
        <w:rPr/>
        <w:t>grant was</w:t>
      </w:r>
      <w:r>
        <w:rPr>
          <w:spacing w:val="-4"/>
        </w:rPr>
        <w:t> </w:t>
      </w:r>
      <w:r>
        <w:rPr/>
        <w:t>received</w:t>
      </w:r>
      <w:r>
        <w:rPr>
          <w:spacing w:val="-5"/>
        </w:rPr>
        <w:t> </w:t>
      </w:r>
      <w:r>
        <w:rPr/>
        <w:t>to</w:t>
      </w:r>
      <w:r>
        <w:rPr>
          <w:spacing w:val="-5"/>
        </w:rPr>
        <w:t> </w:t>
      </w:r>
      <w:r>
        <w:rPr/>
        <w:t>provide</w:t>
      </w:r>
      <w:r>
        <w:rPr>
          <w:spacing w:val="-5"/>
        </w:rPr>
        <w:t> </w:t>
      </w:r>
      <w:r>
        <w:rPr/>
        <w:t>similar</w:t>
      </w:r>
      <w:r>
        <w:rPr>
          <w:spacing w:val="-4"/>
        </w:rPr>
        <w:t> </w:t>
      </w:r>
      <w:r>
        <w:rPr/>
        <w:t>services</w:t>
      </w:r>
      <w:r>
        <w:rPr>
          <w:spacing w:val="-4"/>
        </w:rPr>
        <w:t> </w:t>
      </w:r>
      <w:r>
        <w:rPr/>
        <w:t>at their Norfolk facility.</w:t>
      </w:r>
    </w:p>
    <w:p>
      <w:pPr>
        <w:pStyle w:val="BodyText"/>
        <w:spacing w:line="276" w:lineRule="auto" w:before="197"/>
        <w:ind w:left="2078" w:right="1211" w:hanging="360"/>
      </w:pPr>
      <w:r>
        <w:rPr/>
        <w:t>2012 – Hewlette-Packard (HP) Digital Reproduction Study Grant: The department received</w:t>
      </w:r>
      <w:r>
        <w:rPr>
          <w:spacing w:val="-4"/>
        </w:rPr>
        <w:t> </w:t>
      </w:r>
      <w:r>
        <w:rPr/>
        <w:t>five</w:t>
      </w:r>
      <w:r>
        <w:rPr>
          <w:spacing w:val="-2"/>
        </w:rPr>
        <w:t> </w:t>
      </w:r>
      <w:r>
        <w:rPr/>
        <w:t>large</w:t>
      </w:r>
      <w:r>
        <w:rPr>
          <w:spacing w:val="-4"/>
        </w:rPr>
        <w:t> </w:t>
      </w:r>
      <w:r>
        <w:rPr/>
        <w:t>format</w:t>
      </w:r>
      <w:r>
        <w:rPr>
          <w:spacing w:val="-4"/>
        </w:rPr>
        <w:t> </w:t>
      </w:r>
      <w:r>
        <w:rPr/>
        <w:t>ink plotters</w:t>
      </w:r>
      <w:r>
        <w:rPr>
          <w:spacing w:val="-3"/>
        </w:rPr>
        <w:t> </w:t>
      </w:r>
      <w:r>
        <w:rPr/>
        <w:t>from HP</w:t>
      </w:r>
      <w:r>
        <w:rPr>
          <w:spacing w:val="-5"/>
        </w:rPr>
        <w:t> </w:t>
      </w:r>
      <w:r>
        <w:rPr/>
        <w:t>to</w:t>
      </w:r>
      <w:r>
        <w:rPr>
          <w:spacing w:val="-4"/>
        </w:rPr>
        <w:t> </w:t>
      </w:r>
      <w:r>
        <w:rPr/>
        <w:t>conduct</w:t>
      </w:r>
      <w:r>
        <w:rPr>
          <w:spacing w:val="-4"/>
        </w:rPr>
        <w:t> </w:t>
      </w:r>
      <w:r>
        <w:rPr/>
        <w:t>a</w:t>
      </w:r>
      <w:r>
        <w:rPr>
          <w:spacing w:val="-4"/>
        </w:rPr>
        <w:t> </w:t>
      </w:r>
      <w:r>
        <w:rPr/>
        <w:t>study</w:t>
      </w:r>
      <w:r>
        <w:rPr>
          <w:spacing w:val="-5"/>
        </w:rPr>
        <w:t> </w:t>
      </w:r>
      <w:r>
        <w:rPr/>
        <w:t>on</w:t>
      </w:r>
      <w:r>
        <w:rPr>
          <w:spacing w:val="-4"/>
        </w:rPr>
        <w:t> </w:t>
      </w:r>
      <w:r>
        <w:rPr/>
        <w:t>the</w:t>
      </w:r>
      <w:r>
        <w:rPr>
          <w:spacing w:val="-2"/>
        </w:rPr>
        <w:t> </w:t>
      </w:r>
      <w:r>
        <w:rPr/>
        <w:t>E-Sharing print process and how it would impact student utilization.</w:t>
      </w:r>
    </w:p>
    <w:p>
      <w:pPr>
        <w:pStyle w:val="BodyText"/>
        <w:spacing w:before="5"/>
        <w:rPr>
          <w:sz w:val="17"/>
        </w:rPr>
      </w:pPr>
    </w:p>
    <w:p>
      <w:pPr>
        <w:pStyle w:val="BodyText"/>
        <w:spacing w:line="276" w:lineRule="auto"/>
        <w:ind w:left="2078" w:right="1195" w:hanging="360"/>
      </w:pPr>
      <w:r>
        <w:rPr/>
        <w:t>2012</w:t>
      </w:r>
      <w:r>
        <w:rPr>
          <w:spacing w:val="-3"/>
        </w:rPr>
        <w:t> </w:t>
      </w:r>
      <w:r>
        <w:rPr/>
        <w:t>–</w:t>
      </w:r>
      <w:r>
        <w:rPr>
          <w:spacing w:val="-5"/>
        </w:rPr>
        <w:t> </w:t>
      </w:r>
      <w:r>
        <w:rPr/>
        <w:t>Fulbright</w:t>
      </w:r>
      <w:r>
        <w:rPr>
          <w:spacing w:val="-3"/>
        </w:rPr>
        <w:t> </w:t>
      </w:r>
      <w:r>
        <w:rPr/>
        <w:t>Scholarship:</w:t>
      </w:r>
      <w:r>
        <w:rPr>
          <w:spacing w:val="-5"/>
        </w:rPr>
        <w:t> </w:t>
      </w:r>
      <w:r>
        <w:rPr/>
        <w:t>Professor</w:t>
      </w:r>
      <w:r>
        <w:rPr>
          <w:spacing w:val="-4"/>
        </w:rPr>
        <w:t> </w:t>
      </w:r>
      <w:r>
        <w:rPr/>
        <w:t>Shannon</w:t>
      </w:r>
      <w:r>
        <w:rPr>
          <w:spacing w:val="-5"/>
        </w:rPr>
        <w:t> </w:t>
      </w:r>
      <w:r>
        <w:rPr/>
        <w:t>Chance</w:t>
      </w:r>
      <w:r>
        <w:rPr>
          <w:spacing w:val="-5"/>
        </w:rPr>
        <w:t> </w:t>
      </w:r>
      <w:r>
        <w:rPr/>
        <w:t>successfully</w:t>
      </w:r>
      <w:r>
        <w:rPr>
          <w:spacing w:val="-8"/>
        </w:rPr>
        <w:t> </w:t>
      </w:r>
      <w:r>
        <w:rPr/>
        <w:t>submitted</w:t>
      </w:r>
      <w:r>
        <w:rPr>
          <w:spacing w:val="-3"/>
        </w:rPr>
        <w:t> </w:t>
      </w:r>
      <w:r>
        <w:rPr/>
        <w:t>a</w:t>
      </w:r>
      <w:r>
        <w:rPr>
          <w:spacing w:val="-5"/>
        </w:rPr>
        <w:t> </w:t>
      </w:r>
      <w:r>
        <w:rPr/>
        <w:t>grant proposal and was awarded a Fulbright Scholarship to continue her research in Dublin. Ireland. She was assigned to work at the Dublin Institute of Technology to conduct quantitative research on teaching pedagogies using collaborative teaching models with Dr. Brian Bowe. The University approved her request for one year’s sabbatical to complete her research.</w:t>
      </w:r>
    </w:p>
    <w:p>
      <w:pPr>
        <w:spacing w:after="0" w:line="276" w:lineRule="auto"/>
        <w:sectPr>
          <w:headerReference w:type="default" r:id="rId71"/>
          <w:footerReference w:type="default" r:id="rId72"/>
          <w:pgSz w:w="12240" w:h="15840"/>
          <w:pgMar w:header="0" w:footer="974" w:top="1360" w:bottom="1160" w:left="1160" w:right="320"/>
        </w:sectPr>
      </w:pPr>
    </w:p>
    <w:p>
      <w:pPr>
        <w:pStyle w:val="BodyText"/>
        <w:spacing w:line="276" w:lineRule="auto" w:before="79"/>
        <w:ind w:left="2080" w:right="1211" w:hanging="361"/>
      </w:pPr>
      <w:r>
        <w:rPr/>
        <w:t>2013 – The Hampton Roads Chapter of the Tuskegee Airmen awarded $1000 in scholarships</w:t>
      </w:r>
      <w:r>
        <w:rPr>
          <w:spacing w:val="-4"/>
        </w:rPr>
        <w:t> </w:t>
      </w:r>
      <w:r>
        <w:rPr/>
        <w:t>to</w:t>
      </w:r>
      <w:r>
        <w:rPr>
          <w:spacing w:val="-5"/>
        </w:rPr>
        <w:t> </w:t>
      </w:r>
      <w:r>
        <w:rPr/>
        <w:t>three</w:t>
      </w:r>
      <w:r>
        <w:rPr>
          <w:spacing w:val="-5"/>
        </w:rPr>
        <w:t> </w:t>
      </w:r>
      <w:r>
        <w:rPr/>
        <w:t>students</w:t>
      </w:r>
      <w:r>
        <w:rPr>
          <w:spacing w:val="-1"/>
        </w:rPr>
        <w:t> </w:t>
      </w:r>
      <w:r>
        <w:rPr/>
        <w:t>who</w:t>
      </w:r>
      <w:r>
        <w:rPr>
          <w:spacing w:val="-3"/>
        </w:rPr>
        <w:t> </w:t>
      </w:r>
      <w:r>
        <w:rPr/>
        <w:t>participated</w:t>
      </w:r>
      <w:r>
        <w:rPr>
          <w:spacing w:val="-3"/>
        </w:rPr>
        <w:t> </w:t>
      </w:r>
      <w:r>
        <w:rPr/>
        <w:t>in</w:t>
      </w:r>
      <w:r>
        <w:rPr>
          <w:spacing w:val="-3"/>
        </w:rPr>
        <w:t> </w:t>
      </w:r>
      <w:r>
        <w:rPr/>
        <w:t>a</w:t>
      </w:r>
      <w:r>
        <w:rPr>
          <w:spacing w:val="-5"/>
        </w:rPr>
        <w:t> </w:t>
      </w:r>
      <w:r>
        <w:rPr/>
        <w:t>design</w:t>
      </w:r>
      <w:r>
        <w:rPr>
          <w:spacing w:val="-5"/>
        </w:rPr>
        <w:t> </w:t>
      </w:r>
      <w:r>
        <w:rPr/>
        <w:t>competition</w:t>
      </w:r>
      <w:r>
        <w:rPr>
          <w:spacing w:val="-3"/>
        </w:rPr>
        <w:t> </w:t>
      </w:r>
      <w:r>
        <w:rPr/>
        <w:t>guided</w:t>
      </w:r>
      <w:r>
        <w:rPr>
          <w:spacing w:val="-5"/>
        </w:rPr>
        <w:t> </w:t>
      </w:r>
      <w:r>
        <w:rPr/>
        <w:t>by Prof. Wesley Henderson.</w:t>
      </w:r>
    </w:p>
    <w:p>
      <w:pPr>
        <w:pStyle w:val="BodyText"/>
        <w:spacing w:before="9"/>
      </w:pPr>
    </w:p>
    <w:p>
      <w:pPr>
        <w:pStyle w:val="BodyText"/>
        <w:ind w:left="1000"/>
      </w:pPr>
      <w:r>
        <w:rPr/>
        <w:t>We</w:t>
      </w:r>
      <w:r>
        <w:rPr>
          <w:spacing w:val="-9"/>
        </w:rPr>
        <w:t> </w:t>
      </w:r>
      <w:r>
        <w:rPr/>
        <w:t>applied</w:t>
      </w:r>
      <w:r>
        <w:rPr>
          <w:spacing w:val="-6"/>
        </w:rPr>
        <w:t> </w:t>
      </w:r>
      <w:r>
        <w:rPr/>
        <w:t>for</w:t>
      </w:r>
      <w:r>
        <w:rPr>
          <w:spacing w:val="-5"/>
        </w:rPr>
        <w:t> </w:t>
      </w:r>
      <w:r>
        <w:rPr/>
        <w:t>the</w:t>
      </w:r>
      <w:r>
        <w:rPr>
          <w:spacing w:val="-4"/>
        </w:rPr>
        <w:t> </w:t>
      </w:r>
      <w:r>
        <w:rPr/>
        <w:t>following</w:t>
      </w:r>
      <w:r>
        <w:rPr>
          <w:spacing w:val="-6"/>
        </w:rPr>
        <w:t> </w:t>
      </w:r>
      <w:r>
        <w:rPr/>
        <w:t>grants</w:t>
      </w:r>
      <w:r>
        <w:rPr>
          <w:spacing w:val="-3"/>
        </w:rPr>
        <w:t> </w:t>
      </w:r>
      <w:r>
        <w:rPr/>
        <w:t>but</w:t>
      </w:r>
      <w:r>
        <w:rPr>
          <w:spacing w:val="-4"/>
        </w:rPr>
        <w:t> </w:t>
      </w:r>
      <w:r>
        <w:rPr/>
        <w:t>did</w:t>
      </w:r>
      <w:r>
        <w:rPr>
          <w:spacing w:val="-6"/>
        </w:rPr>
        <w:t> </w:t>
      </w:r>
      <w:r>
        <w:rPr/>
        <w:t>not</w:t>
      </w:r>
      <w:r>
        <w:rPr>
          <w:spacing w:val="-6"/>
        </w:rPr>
        <w:t> </w:t>
      </w:r>
      <w:r>
        <w:rPr/>
        <w:t>receive</w:t>
      </w:r>
      <w:r>
        <w:rPr>
          <w:spacing w:val="-4"/>
        </w:rPr>
        <w:t> </w:t>
      </w:r>
      <w:r>
        <w:rPr>
          <w:spacing w:val="-2"/>
        </w:rPr>
        <w:t>funding:</w:t>
      </w:r>
    </w:p>
    <w:p>
      <w:pPr>
        <w:pStyle w:val="BodyText"/>
        <w:spacing w:before="10"/>
      </w:pPr>
    </w:p>
    <w:p>
      <w:pPr>
        <w:pStyle w:val="BodyText"/>
        <w:ind w:left="1720"/>
      </w:pPr>
      <w:r>
        <w:rPr/>
        <w:t>US</w:t>
      </w:r>
      <w:r>
        <w:rPr>
          <w:spacing w:val="-8"/>
        </w:rPr>
        <w:t> </w:t>
      </w:r>
      <w:r>
        <w:rPr/>
        <w:t>Department</w:t>
      </w:r>
      <w:r>
        <w:rPr>
          <w:spacing w:val="-6"/>
        </w:rPr>
        <w:t> </w:t>
      </w:r>
      <w:r>
        <w:rPr/>
        <w:t>of</w:t>
      </w:r>
      <w:r>
        <w:rPr>
          <w:spacing w:val="-5"/>
        </w:rPr>
        <w:t> </w:t>
      </w:r>
      <w:r>
        <w:rPr/>
        <w:t>Housing</w:t>
      </w:r>
      <w:r>
        <w:rPr>
          <w:spacing w:val="-4"/>
        </w:rPr>
        <w:t> </w:t>
      </w:r>
      <w:r>
        <w:rPr/>
        <w:t>&amp;</w:t>
      </w:r>
      <w:r>
        <w:rPr>
          <w:spacing w:val="-8"/>
        </w:rPr>
        <w:t> </w:t>
      </w:r>
      <w:r>
        <w:rPr/>
        <w:t>Urban</w:t>
      </w:r>
      <w:r>
        <w:rPr>
          <w:spacing w:val="-6"/>
        </w:rPr>
        <w:t> </w:t>
      </w:r>
      <w:r>
        <w:rPr/>
        <w:t>Development</w:t>
      </w:r>
      <w:r>
        <w:rPr>
          <w:spacing w:val="-6"/>
        </w:rPr>
        <w:t> </w:t>
      </w:r>
      <w:r>
        <w:rPr/>
        <w:t>HBCU</w:t>
      </w:r>
      <w:r>
        <w:rPr>
          <w:spacing w:val="-7"/>
        </w:rPr>
        <w:t> </w:t>
      </w:r>
      <w:r>
        <w:rPr/>
        <w:t>Grant</w:t>
      </w:r>
      <w:r>
        <w:rPr>
          <w:spacing w:val="-6"/>
        </w:rPr>
        <w:t> </w:t>
      </w:r>
      <w:r>
        <w:rPr>
          <w:spacing w:val="-10"/>
        </w:rPr>
        <w:t>-</w:t>
      </w:r>
    </w:p>
    <w:p>
      <w:pPr>
        <w:pStyle w:val="BodyText"/>
        <w:spacing w:before="5"/>
      </w:pPr>
    </w:p>
    <w:p>
      <w:pPr>
        <w:pStyle w:val="BodyText"/>
        <w:spacing w:line="276" w:lineRule="auto" w:before="1"/>
        <w:ind w:left="2080" w:right="1211" w:hanging="360"/>
      </w:pPr>
      <w:r>
        <w:rPr/>
        <w:t>HU</w:t>
      </w:r>
      <w:r>
        <w:rPr>
          <w:spacing w:val="-5"/>
        </w:rPr>
        <w:t> </w:t>
      </w:r>
      <w:r>
        <w:rPr/>
        <w:t>Faculty</w:t>
      </w:r>
      <w:r>
        <w:rPr>
          <w:spacing w:val="-7"/>
        </w:rPr>
        <w:t> </w:t>
      </w:r>
      <w:r>
        <w:rPr/>
        <w:t>Research</w:t>
      </w:r>
      <w:r>
        <w:rPr>
          <w:spacing w:val="-5"/>
        </w:rPr>
        <w:t> </w:t>
      </w:r>
      <w:r>
        <w:rPr/>
        <w:t>Grants,</w:t>
      </w:r>
      <w:r>
        <w:rPr>
          <w:spacing w:val="-5"/>
        </w:rPr>
        <w:t> </w:t>
      </w:r>
      <w:r>
        <w:rPr/>
        <w:t>additional</w:t>
      </w:r>
      <w:r>
        <w:rPr>
          <w:spacing w:val="-5"/>
        </w:rPr>
        <w:t> </w:t>
      </w:r>
      <w:r>
        <w:rPr/>
        <w:t>HUD-HBCU</w:t>
      </w:r>
      <w:r>
        <w:rPr>
          <w:spacing w:val="-2"/>
        </w:rPr>
        <w:t> </w:t>
      </w:r>
      <w:r>
        <w:rPr/>
        <w:t>Grant,</w:t>
      </w:r>
      <w:r>
        <w:rPr>
          <w:spacing w:val="-5"/>
        </w:rPr>
        <w:t> </w:t>
      </w:r>
      <w:r>
        <w:rPr/>
        <w:t>additional</w:t>
      </w:r>
      <w:r>
        <w:rPr>
          <w:spacing w:val="-5"/>
        </w:rPr>
        <w:t> </w:t>
      </w:r>
      <w:r>
        <w:rPr/>
        <w:t>ROTCH</w:t>
      </w:r>
      <w:r>
        <w:rPr>
          <w:spacing w:val="-5"/>
        </w:rPr>
        <w:t> </w:t>
      </w:r>
      <w:r>
        <w:rPr/>
        <w:t>Grants, additional Graham Foundation Grants, National Park Service Preservation Technology and Training Grants, and EPA.</w:t>
      </w:r>
    </w:p>
    <w:p>
      <w:pPr>
        <w:spacing w:after="0" w:line="276" w:lineRule="auto"/>
        <w:sectPr>
          <w:headerReference w:type="default" r:id="rId73"/>
          <w:footerReference w:type="default" r:id="rId74"/>
          <w:pgSz w:w="12240" w:h="15840"/>
          <w:pgMar w:header="0" w:footer="974" w:top="1360" w:bottom="1160" w:left="1160" w:right="320"/>
        </w:sectPr>
      </w:pPr>
    </w:p>
    <w:p>
      <w:pPr>
        <w:pStyle w:val="Heading5"/>
        <w:numPr>
          <w:ilvl w:val="2"/>
          <w:numId w:val="25"/>
        </w:numPr>
        <w:tabs>
          <w:tab w:pos="999" w:val="left" w:leader="none"/>
          <w:tab w:pos="1001" w:val="left" w:leader="none"/>
        </w:tabs>
        <w:spacing w:line="240" w:lineRule="auto" w:before="74" w:after="0"/>
        <w:ind w:left="1000" w:right="0" w:hanging="887"/>
        <w:jc w:val="left"/>
      </w:pPr>
      <w:bookmarkStart w:name="_TOC_250004" w:id="61"/>
      <w:r>
        <w:rPr/>
        <w:t>Information</w:t>
      </w:r>
      <w:r>
        <w:rPr>
          <w:spacing w:val="-8"/>
        </w:rPr>
        <w:t> </w:t>
      </w:r>
      <w:bookmarkEnd w:id="61"/>
      <w:r>
        <w:rPr>
          <w:spacing w:val="-2"/>
        </w:rPr>
        <w:t>Resources</w:t>
      </w:r>
    </w:p>
    <w:p>
      <w:pPr>
        <w:pStyle w:val="BodyText"/>
        <w:spacing w:before="243"/>
        <w:ind w:left="1503" w:right="1142"/>
      </w:pPr>
      <w:r>
        <w:rPr/>
        <w:t>Library Resources: Hampton University’s libraries include the William R. and Norma B. Harvey Library (main) and satellite libraries in the School of Nursing, the Department of Architecture, the Department of Music, and the College of Virginia Beach.</w:t>
      </w:r>
      <w:r>
        <w:rPr>
          <w:spacing w:val="40"/>
        </w:rPr>
        <w:t> </w:t>
      </w:r>
      <w:r>
        <w:rPr>
          <w:b/>
        </w:rPr>
        <w:t>The William Moses Architecture Library</w:t>
      </w:r>
      <w:r>
        <w:rPr/>
        <w:t>, together with the </w:t>
      </w:r>
      <w:r>
        <w:rPr>
          <w:b/>
        </w:rPr>
        <w:t>William R. and Norma B. Harvey Library</w:t>
      </w:r>
      <w:r>
        <w:rPr/>
        <w:t>, provides access to a diverse collection of instructional and research materials on architecture and related topics.</w:t>
      </w:r>
      <w:r>
        <w:rPr>
          <w:spacing w:val="78"/>
        </w:rPr>
        <w:t> </w:t>
      </w:r>
      <w:r>
        <w:rPr>
          <w:b/>
        </w:rPr>
        <w:t>Harvey Library </w:t>
      </w:r>
      <w:r>
        <w:rPr/>
        <w:t>is Hampton University’s main library</w:t>
      </w:r>
      <w:r>
        <w:rPr/>
        <w:t> facility, with collections in all subject fields that have been developed systematically since the nineteenth century.</w:t>
      </w:r>
      <w:r>
        <w:rPr>
          <w:spacing w:val="40"/>
        </w:rPr>
        <w:t> </w:t>
      </w:r>
      <w:r>
        <w:rPr/>
        <w:t>The </w:t>
      </w:r>
      <w:r>
        <w:rPr>
          <w:b/>
        </w:rPr>
        <w:t>William R. Moses Architecture Library </w:t>
      </w:r>
      <w:r>
        <w:rPr/>
        <w:t>is a resource center whose</w:t>
      </w:r>
      <w:r>
        <w:rPr>
          <w:spacing w:val="-4"/>
        </w:rPr>
        <w:t> </w:t>
      </w:r>
      <w:r>
        <w:rPr/>
        <w:t>primary</w:t>
      </w:r>
      <w:r>
        <w:rPr>
          <w:spacing w:val="-10"/>
        </w:rPr>
        <w:t> </w:t>
      </w:r>
      <w:r>
        <w:rPr/>
        <w:t>objective</w:t>
      </w:r>
      <w:r>
        <w:rPr>
          <w:spacing w:val="-2"/>
        </w:rPr>
        <w:t> </w:t>
      </w:r>
      <w:r>
        <w:rPr/>
        <w:t>is</w:t>
      </w:r>
      <w:r>
        <w:rPr>
          <w:spacing w:val="-3"/>
        </w:rPr>
        <w:t> </w:t>
      </w:r>
      <w:r>
        <w:rPr/>
        <w:t>to</w:t>
      </w:r>
      <w:r>
        <w:rPr>
          <w:spacing w:val="-4"/>
        </w:rPr>
        <w:t> </w:t>
      </w:r>
      <w:r>
        <w:rPr/>
        <w:t>implement,</w:t>
      </w:r>
      <w:r>
        <w:rPr>
          <w:spacing w:val="-4"/>
        </w:rPr>
        <w:t> </w:t>
      </w:r>
      <w:r>
        <w:rPr/>
        <w:t>enrich</w:t>
      </w:r>
      <w:r>
        <w:rPr>
          <w:spacing w:val="-2"/>
        </w:rPr>
        <w:t> </w:t>
      </w:r>
      <w:r>
        <w:rPr/>
        <w:t>and</w:t>
      </w:r>
      <w:r>
        <w:rPr>
          <w:spacing w:val="-4"/>
        </w:rPr>
        <w:t> </w:t>
      </w:r>
      <w:r>
        <w:rPr/>
        <w:t>complement</w:t>
      </w:r>
      <w:r>
        <w:rPr>
          <w:spacing w:val="-4"/>
        </w:rPr>
        <w:t> </w:t>
      </w:r>
      <w:r>
        <w:rPr/>
        <w:t>the</w:t>
      </w:r>
      <w:r>
        <w:rPr>
          <w:spacing w:val="-2"/>
        </w:rPr>
        <w:t> </w:t>
      </w:r>
      <w:r>
        <w:rPr/>
        <w:t>holdings</w:t>
      </w:r>
      <w:r>
        <w:rPr>
          <w:spacing w:val="-3"/>
        </w:rPr>
        <w:t> </w:t>
      </w:r>
      <w:r>
        <w:rPr/>
        <w:t>of the</w:t>
      </w:r>
      <w:r>
        <w:rPr>
          <w:spacing w:val="-4"/>
        </w:rPr>
        <w:t> </w:t>
      </w:r>
      <w:r>
        <w:rPr/>
        <w:t>Harvey Library in ways intimately related to the architecture curriculum.</w:t>
      </w:r>
      <w:r>
        <w:rPr>
          <w:spacing w:val="40"/>
        </w:rPr>
        <w:t> </w:t>
      </w:r>
      <w:r>
        <w:rPr/>
        <w:t>Together, both facilities provide a well-balanced collection of appropriate and meaningful materials selected in compliance with commonly accepted selection principles, as well as instructional and other services.</w:t>
      </w:r>
      <w:r>
        <w:rPr>
          <w:spacing w:val="40"/>
        </w:rPr>
        <w:t> </w:t>
      </w:r>
      <w:r>
        <w:rPr/>
        <w:t>The resources of each library play a positive and active role in supporting the academic program, satisfying the interests of the students and faculty, and meeting the intellectual, educational and technical needs associated with teaching and learning.</w:t>
      </w:r>
    </w:p>
    <w:p>
      <w:pPr>
        <w:pStyle w:val="BodyText"/>
        <w:rPr>
          <w:sz w:val="21"/>
        </w:rPr>
      </w:pPr>
    </w:p>
    <w:p>
      <w:pPr>
        <w:pStyle w:val="BodyText"/>
        <w:spacing w:before="1"/>
        <w:ind w:left="1503" w:right="1211"/>
      </w:pPr>
      <w:r>
        <w:rPr/>
        <w:t>The Architecture Library is located in Bemis Hall and therefore immediately accessible to architecture students</w:t>
      </w:r>
      <w:r>
        <w:rPr>
          <w:spacing w:val="-1"/>
        </w:rPr>
        <w:t> </w:t>
      </w:r>
      <w:r>
        <w:rPr/>
        <w:t>and</w:t>
      </w:r>
      <w:r>
        <w:rPr>
          <w:spacing w:val="-2"/>
        </w:rPr>
        <w:t> </w:t>
      </w:r>
      <w:r>
        <w:rPr/>
        <w:t>faculty</w:t>
      </w:r>
      <w:r>
        <w:rPr>
          <w:spacing w:val="-3"/>
        </w:rPr>
        <w:t> </w:t>
      </w:r>
      <w:r>
        <w:rPr/>
        <w:t>while</w:t>
      </w:r>
      <w:r>
        <w:rPr>
          <w:spacing w:val="-2"/>
        </w:rPr>
        <w:t> </w:t>
      </w:r>
      <w:r>
        <w:rPr/>
        <w:t>also</w:t>
      </w:r>
      <w:r>
        <w:rPr>
          <w:spacing w:val="-2"/>
        </w:rPr>
        <w:t> </w:t>
      </w:r>
      <w:r>
        <w:rPr/>
        <w:t>serving</w:t>
      </w:r>
      <w:r>
        <w:rPr>
          <w:spacing w:val="-2"/>
        </w:rPr>
        <w:t> </w:t>
      </w:r>
      <w:r>
        <w:rPr/>
        <w:t>the</w:t>
      </w:r>
      <w:r>
        <w:rPr>
          <w:spacing w:val="-2"/>
        </w:rPr>
        <w:t> </w:t>
      </w:r>
      <w:r>
        <w:rPr/>
        <w:t>balance of the</w:t>
      </w:r>
      <w:r>
        <w:rPr>
          <w:spacing w:val="-2"/>
        </w:rPr>
        <w:t> </w:t>
      </w:r>
      <w:r>
        <w:rPr/>
        <w:t>campus</w:t>
      </w:r>
      <w:r>
        <w:rPr>
          <w:spacing w:val="-1"/>
        </w:rPr>
        <w:t> </w:t>
      </w:r>
      <w:r>
        <w:rPr/>
        <w:t>community. The Architecture Library has been a focus of further development since the last accreditation visit.</w:t>
      </w:r>
      <w:r>
        <w:rPr>
          <w:spacing w:val="40"/>
        </w:rPr>
        <w:t> </w:t>
      </w:r>
      <w:r>
        <w:rPr/>
        <w:t>Security has been improved and renovation of the physical space conducted since the 2002-2003 school year.</w:t>
      </w:r>
      <w:r>
        <w:rPr>
          <w:spacing w:val="40"/>
        </w:rPr>
        <w:t> </w:t>
      </w:r>
      <w:r>
        <w:rPr/>
        <w:t>The Architecture Library has assumed full responsibility for meeting the information needs of the Department of Architecture, but is fully complemented by an exceptional collection at the Main Library.</w:t>
      </w:r>
      <w:r>
        <w:rPr>
          <w:spacing w:val="40"/>
        </w:rPr>
        <w:t> </w:t>
      </w:r>
      <w:r>
        <w:rPr/>
        <w:t>That collection continues to grow and a coordinated effort is underway to insure that there is no unnecessary</w:t>
      </w:r>
      <w:r>
        <w:rPr>
          <w:spacing w:val="-7"/>
        </w:rPr>
        <w:t> </w:t>
      </w:r>
      <w:r>
        <w:rPr/>
        <w:t>duplication</w:t>
      </w:r>
      <w:r>
        <w:rPr>
          <w:spacing w:val="-2"/>
        </w:rPr>
        <w:t> </w:t>
      </w:r>
      <w:r>
        <w:rPr/>
        <w:t>of</w:t>
      </w:r>
      <w:r>
        <w:rPr>
          <w:spacing w:val="-2"/>
        </w:rPr>
        <w:t> </w:t>
      </w:r>
      <w:r>
        <w:rPr/>
        <w:t>materials.</w:t>
      </w:r>
      <w:r>
        <w:rPr>
          <w:spacing w:val="-4"/>
        </w:rPr>
        <w:t> </w:t>
      </w:r>
      <w:r>
        <w:rPr/>
        <w:t>A</w:t>
      </w:r>
      <w:r>
        <w:rPr>
          <w:spacing w:val="-5"/>
        </w:rPr>
        <w:t> </w:t>
      </w:r>
      <w:r>
        <w:rPr/>
        <w:t>selection</w:t>
      </w:r>
      <w:r>
        <w:rPr>
          <w:spacing w:val="-2"/>
        </w:rPr>
        <w:t> </w:t>
      </w:r>
      <w:r>
        <w:rPr/>
        <w:t>of</w:t>
      </w:r>
      <w:r>
        <w:rPr>
          <w:spacing w:val="-4"/>
        </w:rPr>
        <w:t> </w:t>
      </w:r>
      <w:r>
        <w:rPr/>
        <w:t>materials</w:t>
      </w:r>
      <w:r>
        <w:rPr>
          <w:spacing w:val="-3"/>
        </w:rPr>
        <w:t> </w:t>
      </w:r>
      <w:r>
        <w:rPr/>
        <w:t>not</w:t>
      </w:r>
      <w:r>
        <w:rPr>
          <w:spacing w:val="-4"/>
        </w:rPr>
        <w:t> </w:t>
      </w:r>
      <w:r>
        <w:rPr/>
        <w:t>duplicated</w:t>
      </w:r>
      <w:r>
        <w:rPr>
          <w:spacing w:val="-4"/>
        </w:rPr>
        <w:t> </w:t>
      </w:r>
      <w:r>
        <w:rPr/>
        <w:t>in</w:t>
      </w:r>
      <w:r>
        <w:rPr>
          <w:spacing w:val="-4"/>
        </w:rPr>
        <w:t> </w:t>
      </w:r>
      <w:r>
        <w:rPr/>
        <w:t>Harvey</w:t>
      </w:r>
      <w:r>
        <w:rPr>
          <w:spacing w:val="-5"/>
        </w:rPr>
        <w:t> </w:t>
      </w:r>
      <w:r>
        <w:rPr/>
        <w:t>was shifted from the Moses Architecture Library to the reserve shelves of the Harvey Library.</w:t>
      </w:r>
    </w:p>
    <w:p>
      <w:pPr>
        <w:pStyle w:val="BodyText"/>
        <w:spacing w:before="9"/>
      </w:pPr>
    </w:p>
    <w:p>
      <w:pPr>
        <w:pStyle w:val="BodyText"/>
        <w:spacing w:before="1"/>
        <w:ind w:left="1503" w:right="1151"/>
      </w:pPr>
      <w:r>
        <w:rPr/>
        <w:t>A</w:t>
      </w:r>
      <w:r>
        <w:rPr>
          <w:spacing w:val="-3"/>
        </w:rPr>
        <w:t> </w:t>
      </w:r>
      <w:r>
        <w:rPr/>
        <w:t>higher</w:t>
      </w:r>
      <w:r>
        <w:rPr>
          <w:spacing w:val="-1"/>
        </w:rPr>
        <w:t> </w:t>
      </w:r>
      <w:r>
        <w:rPr/>
        <w:t>degree of collaboration</w:t>
      </w:r>
      <w:r>
        <w:rPr>
          <w:spacing w:val="-2"/>
        </w:rPr>
        <w:t> </w:t>
      </w:r>
      <w:r>
        <w:rPr/>
        <w:t>has</w:t>
      </w:r>
      <w:r>
        <w:rPr>
          <w:spacing w:val="-1"/>
        </w:rPr>
        <w:t> </w:t>
      </w:r>
      <w:r>
        <w:rPr/>
        <w:t>resulted</w:t>
      </w:r>
      <w:r>
        <w:rPr>
          <w:spacing w:val="-2"/>
        </w:rPr>
        <w:t> </w:t>
      </w:r>
      <w:r>
        <w:rPr/>
        <w:t>between the Architecture</w:t>
      </w:r>
      <w:r>
        <w:rPr>
          <w:spacing w:val="-2"/>
        </w:rPr>
        <w:t> </w:t>
      </w:r>
      <w:r>
        <w:rPr/>
        <w:t>Department</w:t>
      </w:r>
      <w:r>
        <w:rPr>
          <w:spacing w:val="-2"/>
        </w:rPr>
        <w:t> </w:t>
      </w:r>
      <w:r>
        <w:rPr/>
        <w:t>and the Harvey Library.</w:t>
      </w:r>
      <w:r>
        <w:rPr>
          <w:spacing w:val="40"/>
        </w:rPr>
        <w:t> </w:t>
      </w:r>
      <w:r>
        <w:rPr/>
        <w:t>The Harvey Library works with the Department on acquisition strategies, and has made Architecture a priority in its acquisitions, valued at an estimated $12-15,000 per</w:t>
      </w:r>
      <w:r>
        <w:rPr>
          <w:spacing w:val="-2"/>
        </w:rPr>
        <w:t> </w:t>
      </w:r>
      <w:r>
        <w:rPr/>
        <w:t>year.</w:t>
      </w:r>
      <w:r>
        <w:rPr>
          <w:spacing w:val="-3"/>
        </w:rPr>
        <w:t> </w:t>
      </w:r>
      <w:r>
        <w:rPr/>
        <w:t>Substantially</w:t>
      </w:r>
      <w:r>
        <w:rPr>
          <w:spacing w:val="-7"/>
        </w:rPr>
        <w:t> </w:t>
      </w:r>
      <w:r>
        <w:rPr/>
        <w:t>increased</w:t>
      </w:r>
      <w:r>
        <w:rPr>
          <w:spacing w:val="-3"/>
        </w:rPr>
        <w:t> </w:t>
      </w:r>
      <w:r>
        <w:rPr/>
        <w:t>holdings</w:t>
      </w:r>
      <w:r>
        <w:rPr>
          <w:spacing w:val="-4"/>
        </w:rPr>
        <w:t> </w:t>
      </w:r>
      <w:r>
        <w:rPr/>
        <w:t>of</w:t>
      </w:r>
      <w:r>
        <w:rPr>
          <w:spacing w:val="-3"/>
        </w:rPr>
        <w:t> </w:t>
      </w:r>
      <w:r>
        <w:rPr/>
        <w:t>architecture</w:t>
      </w:r>
      <w:r>
        <w:rPr>
          <w:spacing w:val="-5"/>
        </w:rPr>
        <w:t> </w:t>
      </w:r>
      <w:r>
        <w:rPr/>
        <w:t>titles</w:t>
      </w:r>
      <w:r>
        <w:rPr>
          <w:spacing w:val="-1"/>
        </w:rPr>
        <w:t> </w:t>
      </w:r>
      <w:r>
        <w:rPr/>
        <w:t>in</w:t>
      </w:r>
      <w:r>
        <w:rPr>
          <w:spacing w:val="-5"/>
        </w:rPr>
        <w:t> </w:t>
      </w:r>
      <w:r>
        <w:rPr/>
        <w:t>Harvey</w:t>
      </w:r>
      <w:r>
        <w:rPr>
          <w:spacing w:val="-6"/>
        </w:rPr>
        <w:t> </w:t>
      </w:r>
      <w:r>
        <w:rPr/>
        <w:t>Library</w:t>
      </w:r>
      <w:r>
        <w:rPr>
          <w:spacing w:val="-6"/>
        </w:rPr>
        <w:t> </w:t>
      </w:r>
      <w:r>
        <w:rPr/>
        <w:t>has</w:t>
      </w:r>
      <w:r>
        <w:rPr>
          <w:spacing w:val="-4"/>
        </w:rPr>
        <w:t> </w:t>
      </w:r>
      <w:r>
        <w:rPr/>
        <w:t>been</w:t>
      </w:r>
      <w:r>
        <w:rPr>
          <w:spacing w:val="-5"/>
        </w:rPr>
        <w:t> </w:t>
      </w:r>
      <w:r>
        <w:rPr/>
        <w:t>a boon to architecture students, who consequently have increased access to architectural publications in the evenings and on weekends when the Architecture Library is closed.</w:t>
      </w:r>
    </w:p>
    <w:p>
      <w:pPr>
        <w:pStyle w:val="BodyText"/>
        <w:ind w:left="1503" w:right="1211"/>
      </w:pPr>
      <w:r>
        <w:rPr/>
        <w:t>Additionally,</w:t>
      </w:r>
      <w:r>
        <w:rPr>
          <w:spacing w:val="-3"/>
        </w:rPr>
        <w:t> </w:t>
      </w:r>
      <w:r>
        <w:rPr/>
        <w:t>the</w:t>
      </w:r>
      <w:r>
        <w:rPr>
          <w:spacing w:val="-3"/>
        </w:rPr>
        <w:t> </w:t>
      </w:r>
      <w:r>
        <w:rPr/>
        <w:t>administration</w:t>
      </w:r>
      <w:r>
        <w:rPr>
          <w:spacing w:val="-5"/>
        </w:rPr>
        <w:t> </w:t>
      </w:r>
      <w:r>
        <w:rPr/>
        <w:t>made</w:t>
      </w:r>
      <w:r>
        <w:rPr>
          <w:spacing w:val="-5"/>
        </w:rPr>
        <w:t> </w:t>
      </w:r>
      <w:r>
        <w:rPr/>
        <w:t>a</w:t>
      </w:r>
      <w:r>
        <w:rPr>
          <w:spacing w:val="-3"/>
        </w:rPr>
        <w:t> </w:t>
      </w:r>
      <w:r>
        <w:rPr/>
        <w:t>one-time</w:t>
      </w:r>
      <w:r>
        <w:rPr>
          <w:spacing w:val="-5"/>
        </w:rPr>
        <w:t> </w:t>
      </w:r>
      <w:r>
        <w:rPr/>
        <w:t>allocation</w:t>
      </w:r>
      <w:r>
        <w:rPr>
          <w:spacing w:val="-3"/>
        </w:rPr>
        <w:t> </w:t>
      </w:r>
      <w:r>
        <w:rPr/>
        <w:t>to</w:t>
      </w:r>
      <w:r>
        <w:rPr>
          <w:spacing w:val="-5"/>
        </w:rPr>
        <w:t> </w:t>
      </w:r>
      <w:r>
        <w:rPr/>
        <w:t>the</w:t>
      </w:r>
      <w:r>
        <w:rPr>
          <w:spacing w:val="-5"/>
        </w:rPr>
        <w:t> </w:t>
      </w:r>
      <w:r>
        <w:rPr/>
        <w:t>Department</w:t>
      </w:r>
      <w:r>
        <w:rPr>
          <w:spacing w:val="-5"/>
        </w:rPr>
        <w:t> </w:t>
      </w:r>
      <w:r>
        <w:rPr/>
        <w:t>of</w:t>
      </w:r>
      <w:r>
        <w:rPr>
          <w:spacing w:val="-3"/>
        </w:rPr>
        <w:t> </w:t>
      </w:r>
      <w:r>
        <w:rPr/>
        <w:t>$50,000</w:t>
      </w:r>
      <w:r>
        <w:rPr>
          <w:spacing w:val="-3"/>
        </w:rPr>
        <w:t> </w:t>
      </w:r>
      <w:r>
        <w:rPr/>
        <w:t>in Title III funding for the addition of Architecture titles/volumes in 2002-2003. The Harvey Library subscribes to ARTstor, an image database, to which all faculty and students on campus have access. This addition to the online database collection has been much anticipated by the Department.</w:t>
      </w:r>
    </w:p>
    <w:p>
      <w:pPr>
        <w:pStyle w:val="BodyText"/>
        <w:spacing w:before="10"/>
      </w:pPr>
    </w:p>
    <w:p>
      <w:pPr>
        <w:pStyle w:val="BodyText"/>
        <w:ind w:left="1503" w:right="1211"/>
      </w:pPr>
      <w:r>
        <w:rPr/>
        <w:t>The Architecture Library functions as a satellite of the William R. and Norma B. Harvey Library System.</w:t>
      </w:r>
      <w:r>
        <w:rPr>
          <w:spacing w:val="80"/>
        </w:rPr>
        <w:t> </w:t>
      </w:r>
      <w:r>
        <w:rPr/>
        <w:t>With newly implemented arrangements for centralized cataloging in Harvey, the Architecture Library is more integrally tied to the central system than before. The</w:t>
      </w:r>
      <w:r>
        <w:rPr>
          <w:spacing w:val="-5"/>
        </w:rPr>
        <w:t> </w:t>
      </w:r>
      <w:r>
        <w:rPr/>
        <w:t>Architecture</w:t>
      </w:r>
      <w:r>
        <w:rPr>
          <w:spacing w:val="-3"/>
        </w:rPr>
        <w:t> </w:t>
      </w:r>
      <w:r>
        <w:rPr/>
        <w:t>librarian</w:t>
      </w:r>
      <w:r>
        <w:rPr>
          <w:spacing w:val="-3"/>
        </w:rPr>
        <w:t> </w:t>
      </w:r>
      <w:r>
        <w:rPr/>
        <w:t>is</w:t>
      </w:r>
      <w:r>
        <w:rPr>
          <w:spacing w:val="-4"/>
        </w:rPr>
        <w:t> </w:t>
      </w:r>
      <w:r>
        <w:rPr/>
        <w:t>now</w:t>
      </w:r>
      <w:r>
        <w:rPr>
          <w:spacing w:val="-5"/>
        </w:rPr>
        <w:t> </w:t>
      </w:r>
      <w:r>
        <w:rPr/>
        <w:t>under</w:t>
      </w:r>
      <w:r>
        <w:rPr>
          <w:spacing w:val="-4"/>
        </w:rPr>
        <w:t> </w:t>
      </w:r>
      <w:r>
        <w:rPr/>
        <w:t>the</w:t>
      </w:r>
      <w:r>
        <w:rPr>
          <w:spacing w:val="-3"/>
        </w:rPr>
        <w:t> </w:t>
      </w:r>
      <w:r>
        <w:rPr/>
        <w:t>joint</w:t>
      </w:r>
      <w:r>
        <w:rPr>
          <w:spacing w:val="-3"/>
        </w:rPr>
        <w:t> </w:t>
      </w:r>
      <w:r>
        <w:rPr/>
        <w:t>oversight</w:t>
      </w:r>
      <w:r>
        <w:rPr>
          <w:spacing w:val="-5"/>
        </w:rPr>
        <w:t> </w:t>
      </w:r>
      <w:r>
        <w:rPr/>
        <w:t>of</w:t>
      </w:r>
      <w:r>
        <w:rPr>
          <w:spacing w:val="-3"/>
        </w:rPr>
        <w:t> </w:t>
      </w:r>
      <w:r>
        <w:rPr/>
        <w:t>the</w:t>
      </w:r>
      <w:r>
        <w:rPr>
          <w:spacing w:val="-3"/>
        </w:rPr>
        <w:t> </w:t>
      </w:r>
      <w:r>
        <w:rPr/>
        <w:t>Department</w:t>
      </w:r>
      <w:r>
        <w:rPr>
          <w:spacing w:val="-5"/>
        </w:rPr>
        <w:t> </w:t>
      </w:r>
      <w:r>
        <w:rPr/>
        <w:t>Chair</w:t>
      </w:r>
      <w:r>
        <w:rPr>
          <w:spacing w:val="-2"/>
        </w:rPr>
        <w:t> </w:t>
      </w:r>
      <w:r>
        <w:rPr/>
        <w:t>and</w:t>
      </w:r>
      <w:r>
        <w:rPr>
          <w:spacing w:val="-5"/>
        </w:rPr>
        <w:t> </w:t>
      </w:r>
      <w:r>
        <w:rPr/>
        <w:t>the University Librarian.</w:t>
      </w:r>
      <w:r>
        <w:rPr>
          <w:spacing w:val="40"/>
        </w:rPr>
        <w:t> </w:t>
      </w:r>
      <w:r>
        <w:rPr/>
        <w:t>The facility has been recently renovated and offers a pleasant and comfortable</w:t>
      </w:r>
      <w:r>
        <w:rPr>
          <w:spacing w:val="-1"/>
        </w:rPr>
        <w:t> </w:t>
      </w:r>
      <w:r>
        <w:rPr/>
        <w:t>space</w:t>
      </w:r>
      <w:r>
        <w:rPr>
          <w:spacing w:val="-1"/>
        </w:rPr>
        <w:t> </w:t>
      </w:r>
      <w:r>
        <w:rPr/>
        <w:t>for students to do</w:t>
      </w:r>
      <w:r>
        <w:rPr>
          <w:spacing w:val="-1"/>
        </w:rPr>
        <w:t> </w:t>
      </w:r>
      <w:r>
        <w:rPr/>
        <w:t>research</w:t>
      </w:r>
      <w:r>
        <w:rPr>
          <w:spacing w:val="-1"/>
        </w:rPr>
        <w:t> </w:t>
      </w:r>
      <w:r>
        <w:rPr/>
        <w:t>and</w:t>
      </w:r>
      <w:r>
        <w:rPr>
          <w:spacing w:val="-1"/>
        </w:rPr>
        <w:t> </w:t>
      </w:r>
      <w:r>
        <w:rPr/>
        <w:t>study.</w:t>
      </w:r>
      <w:r>
        <w:rPr>
          <w:spacing w:val="-3"/>
        </w:rPr>
        <w:t> </w:t>
      </w:r>
      <w:r>
        <w:rPr/>
        <w:t>We</w:t>
      </w:r>
      <w:r>
        <w:rPr>
          <w:spacing w:val="-1"/>
        </w:rPr>
        <w:t> </w:t>
      </w:r>
      <w:r>
        <w:rPr/>
        <w:t>received a donation of used furniture from the City Library to assist in this process.</w:t>
      </w:r>
    </w:p>
    <w:p>
      <w:pPr>
        <w:pStyle w:val="BodyText"/>
        <w:spacing w:before="11"/>
      </w:pPr>
    </w:p>
    <w:p>
      <w:pPr>
        <w:pStyle w:val="BodyText"/>
        <w:ind w:left="1503" w:right="1211"/>
      </w:pPr>
      <w:r>
        <w:rPr/>
        <w:t>Faculty</w:t>
      </w:r>
      <w:r>
        <w:rPr>
          <w:spacing w:val="-6"/>
        </w:rPr>
        <w:t> </w:t>
      </w:r>
      <w:r>
        <w:rPr/>
        <w:t>are</w:t>
      </w:r>
      <w:r>
        <w:rPr>
          <w:spacing w:val="-3"/>
        </w:rPr>
        <w:t> </w:t>
      </w:r>
      <w:r>
        <w:rPr/>
        <w:t>required</w:t>
      </w:r>
      <w:r>
        <w:rPr>
          <w:spacing w:val="-3"/>
        </w:rPr>
        <w:t> </w:t>
      </w:r>
      <w:r>
        <w:rPr/>
        <w:t>to</w:t>
      </w:r>
      <w:r>
        <w:rPr>
          <w:spacing w:val="-3"/>
        </w:rPr>
        <w:t> </w:t>
      </w:r>
      <w:r>
        <w:rPr/>
        <w:t>take</w:t>
      </w:r>
      <w:r>
        <w:rPr>
          <w:spacing w:val="-3"/>
        </w:rPr>
        <w:t> </w:t>
      </w:r>
      <w:r>
        <w:rPr/>
        <w:t>studio</w:t>
      </w:r>
      <w:r>
        <w:rPr>
          <w:spacing w:val="-3"/>
        </w:rPr>
        <w:t> </w:t>
      </w:r>
      <w:r>
        <w:rPr/>
        <w:t>students</w:t>
      </w:r>
      <w:r>
        <w:rPr>
          <w:spacing w:val="-2"/>
        </w:rPr>
        <w:t> </w:t>
      </w:r>
      <w:r>
        <w:rPr/>
        <w:t>on</w:t>
      </w:r>
      <w:r>
        <w:rPr>
          <w:spacing w:val="-3"/>
        </w:rPr>
        <w:t> </w:t>
      </w:r>
      <w:r>
        <w:rPr/>
        <w:t>a</w:t>
      </w:r>
      <w:r>
        <w:rPr>
          <w:spacing w:val="-3"/>
        </w:rPr>
        <w:t> </w:t>
      </w:r>
      <w:r>
        <w:rPr/>
        <w:t>tour</w:t>
      </w:r>
      <w:r>
        <w:rPr>
          <w:spacing w:val="-2"/>
        </w:rPr>
        <w:t> </w:t>
      </w:r>
      <w:r>
        <w:rPr/>
        <w:t>of</w:t>
      </w:r>
      <w:r>
        <w:rPr>
          <w:spacing w:val="-1"/>
        </w:rPr>
        <w:t> </w:t>
      </w:r>
      <w:r>
        <w:rPr/>
        <w:t>all</w:t>
      </w:r>
      <w:r>
        <w:rPr>
          <w:spacing w:val="-4"/>
        </w:rPr>
        <w:t> </w:t>
      </w:r>
      <w:r>
        <w:rPr/>
        <w:t>library</w:t>
      </w:r>
      <w:r>
        <w:rPr>
          <w:spacing w:val="-6"/>
        </w:rPr>
        <w:t> </w:t>
      </w:r>
      <w:r>
        <w:rPr/>
        <w:t>facilities.</w:t>
      </w:r>
      <w:r>
        <w:rPr>
          <w:spacing w:val="-3"/>
        </w:rPr>
        <w:t> </w:t>
      </w:r>
      <w:r>
        <w:rPr/>
        <w:t>The</w:t>
      </w:r>
      <w:r>
        <w:rPr>
          <w:spacing w:val="-3"/>
        </w:rPr>
        <w:t> </w:t>
      </w:r>
      <w:r>
        <w:rPr/>
        <w:t>library</w:t>
      </w:r>
      <w:r>
        <w:rPr>
          <w:spacing w:val="-6"/>
        </w:rPr>
        <w:t> </w:t>
      </w:r>
      <w:r>
        <w:rPr/>
        <w:t>staff assist in conducting the tours and assist students to learn how to navigate the resources that are available to them.</w:t>
      </w:r>
    </w:p>
    <w:p>
      <w:pPr>
        <w:spacing w:after="0"/>
        <w:sectPr>
          <w:headerReference w:type="default" r:id="rId75"/>
          <w:footerReference w:type="default" r:id="rId76"/>
          <w:pgSz w:w="12240" w:h="15840"/>
          <w:pgMar w:header="0" w:footer="974" w:top="1360" w:bottom="1160" w:left="1160" w:right="320"/>
        </w:sectPr>
      </w:pPr>
    </w:p>
    <w:p>
      <w:pPr>
        <w:spacing w:before="75"/>
        <w:ind w:left="280" w:right="0" w:firstLine="0"/>
        <w:jc w:val="left"/>
        <w:rPr>
          <w:b/>
          <w:sz w:val="20"/>
        </w:rPr>
      </w:pPr>
      <w:r>
        <w:rPr>
          <w:b/>
          <w:sz w:val="20"/>
        </w:rPr>
        <w:t>Context</w:t>
      </w:r>
      <w:r>
        <w:rPr>
          <w:b/>
          <w:spacing w:val="-11"/>
          <w:sz w:val="20"/>
        </w:rPr>
        <w:t> </w:t>
      </w:r>
      <w:r>
        <w:rPr>
          <w:b/>
          <w:sz w:val="20"/>
        </w:rPr>
        <w:t>and</w:t>
      </w:r>
      <w:r>
        <w:rPr>
          <w:b/>
          <w:spacing w:val="-10"/>
          <w:sz w:val="20"/>
        </w:rPr>
        <w:t> </w:t>
      </w:r>
      <w:r>
        <w:rPr>
          <w:b/>
          <w:sz w:val="20"/>
        </w:rPr>
        <w:t>Institutional</w:t>
      </w:r>
      <w:r>
        <w:rPr>
          <w:b/>
          <w:spacing w:val="-9"/>
          <w:sz w:val="20"/>
        </w:rPr>
        <w:t> </w:t>
      </w:r>
      <w:r>
        <w:rPr>
          <w:b/>
          <w:spacing w:val="-2"/>
          <w:sz w:val="20"/>
        </w:rPr>
        <w:t>Relationships</w:t>
      </w:r>
    </w:p>
    <w:p>
      <w:pPr>
        <w:pStyle w:val="BodyText"/>
        <w:spacing w:before="1"/>
        <w:rPr>
          <w:b/>
          <w:sz w:val="21"/>
        </w:rPr>
      </w:pPr>
    </w:p>
    <w:p>
      <w:pPr>
        <w:pStyle w:val="ListParagraph"/>
        <w:numPr>
          <w:ilvl w:val="0"/>
          <w:numId w:val="27"/>
        </w:numPr>
        <w:tabs>
          <w:tab w:pos="1864" w:val="left" w:leader="none"/>
        </w:tabs>
        <w:spacing w:line="240" w:lineRule="auto" w:before="0" w:after="0"/>
        <w:ind w:left="1863" w:right="1169" w:hanging="360"/>
        <w:jc w:val="left"/>
        <w:rPr>
          <w:sz w:val="20"/>
        </w:rPr>
      </w:pPr>
      <w:r>
        <w:rPr>
          <w:sz w:val="20"/>
        </w:rPr>
        <w:t>The resource collection fully supports the instructional program of the Department of Architecture by</w:t>
      </w:r>
      <w:r>
        <w:rPr>
          <w:spacing w:val="-3"/>
          <w:sz w:val="20"/>
        </w:rPr>
        <w:t> </w:t>
      </w:r>
      <w:r>
        <w:rPr>
          <w:sz w:val="20"/>
        </w:rPr>
        <w:t>providing resources and services in the</w:t>
      </w:r>
      <w:r>
        <w:rPr>
          <w:spacing w:val="-3"/>
          <w:sz w:val="20"/>
        </w:rPr>
        <w:t> </w:t>
      </w:r>
      <w:r>
        <w:rPr>
          <w:sz w:val="20"/>
        </w:rPr>
        <w:t>William R and Norma B</w:t>
      </w:r>
      <w:r>
        <w:rPr>
          <w:spacing w:val="-1"/>
          <w:sz w:val="20"/>
        </w:rPr>
        <w:t> </w:t>
      </w:r>
      <w:r>
        <w:rPr>
          <w:sz w:val="20"/>
        </w:rPr>
        <w:t>Harvey Library, the main campus library.</w:t>
      </w:r>
      <w:r>
        <w:rPr>
          <w:spacing w:val="40"/>
          <w:sz w:val="20"/>
        </w:rPr>
        <w:t> </w:t>
      </w:r>
      <w:r>
        <w:rPr>
          <w:sz w:val="20"/>
        </w:rPr>
        <w:t>The instructional program is further served by the architecture branch library, the</w:t>
      </w:r>
      <w:r>
        <w:rPr>
          <w:spacing w:val="-3"/>
          <w:sz w:val="20"/>
        </w:rPr>
        <w:t> </w:t>
      </w:r>
      <w:r>
        <w:rPr>
          <w:sz w:val="20"/>
        </w:rPr>
        <w:t>William H. Moses Architecture Library, located in Bemis Hall (the Architectural Department’s building).</w:t>
      </w:r>
      <w:r>
        <w:rPr>
          <w:spacing w:val="40"/>
          <w:sz w:val="20"/>
        </w:rPr>
        <w:t> </w:t>
      </w:r>
      <w:r>
        <w:rPr>
          <w:sz w:val="20"/>
        </w:rPr>
        <w:t>There is a strong working relationship between the two libraries and both facilities serve the needs of faculty and students well.</w:t>
      </w:r>
      <w:r>
        <w:rPr>
          <w:spacing w:val="40"/>
          <w:sz w:val="20"/>
        </w:rPr>
        <w:t> </w:t>
      </w:r>
      <w:r>
        <w:rPr>
          <w:sz w:val="20"/>
        </w:rPr>
        <w:t>The</w:t>
      </w:r>
      <w:r>
        <w:rPr>
          <w:spacing w:val="-3"/>
          <w:sz w:val="20"/>
        </w:rPr>
        <w:t> </w:t>
      </w:r>
      <w:r>
        <w:rPr>
          <w:sz w:val="20"/>
        </w:rPr>
        <w:t>Harvey</w:t>
      </w:r>
      <w:r>
        <w:rPr>
          <w:spacing w:val="-6"/>
          <w:sz w:val="20"/>
        </w:rPr>
        <w:t> </w:t>
      </w:r>
      <w:r>
        <w:rPr>
          <w:sz w:val="20"/>
        </w:rPr>
        <w:t>Library</w:t>
      </w:r>
      <w:r>
        <w:rPr>
          <w:spacing w:val="-6"/>
          <w:sz w:val="20"/>
        </w:rPr>
        <w:t> </w:t>
      </w:r>
      <w:r>
        <w:rPr>
          <w:sz w:val="20"/>
        </w:rPr>
        <w:t>is located</w:t>
      </w:r>
      <w:r>
        <w:rPr>
          <w:spacing w:val="-1"/>
          <w:sz w:val="20"/>
        </w:rPr>
        <w:t> </w:t>
      </w:r>
      <w:r>
        <w:rPr>
          <w:sz w:val="20"/>
        </w:rPr>
        <w:t>in</w:t>
      </w:r>
      <w:r>
        <w:rPr>
          <w:spacing w:val="-3"/>
          <w:sz w:val="20"/>
        </w:rPr>
        <w:t> </w:t>
      </w:r>
      <w:r>
        <w:rPr>
          <w:sz w:val="20"/>
        </w:rPr>
        <w:t>the</w:t>
      </w:r>
      <w:r>
        <w:rPr>
          <w:spacing w:val="-3"/>
          <w:sz w:val="20"/>
        </w:rPr>
        <w:t> </w:t>
      </w:r>
      <w:r>
        <w:rPr>
          <w:sz w:val="20"/>
        </w:rPr>
        <w:t>main</w:t>
      </w:r>
      <w:r>
        <w:rPr>
          <w:spacing w:val="-3"/>
          <w:sz w:val="20"/>
        </w:rPr>
        <w:t> </w:t>
      </w:r>
      <w:r>
        <w:rPr>
          <w:sz w:val="20"/>
        </w:rPr>
        <w:t>academic</w:t>
      </w:r>
      <w:r>
        <w:rPr>
          <w:spacing w:val="-2"/>
          <w:sz w:val="20"/>
        </w:rPr>
        <w:t> </w:t>
      </w:r>
      <w:r>
        <w:rPr>
          <w:sz w:val="20"/>
        </w:rPr>
        <w:t>area</w:t>
      </w:r>
      <w:r>
        <w:rPr>
          <w:spacing w:val="-3"/>
          <w:sz w:val="20"/>
        </w:rPr>
        <w:t> </w:t>
      </w:r>
      <w:r>
        <w:rPr>
          <w:sz w:val="20"/>
        </w:rPr>
        <w:t>of</w:t>
      </w:r>
      <w:r>
        <w:rPr>
          <w:spacing w:val="-1"/>
          <w:sz w:val="20"/>
        </w:rPr>
        <w:t> </w:t>
      </w:r>
      <w:r>
        <w:rPr>
          <w:sz w:val="20"/>
        </w:rPr>
        <w:t>the</w:t>
      </w:r>
      <w:r>
        <w:rPr>
          <w:spacing w:val="-3"/>
          <w:sz w:val="20"/>
        </w:rPr>
        <w:t> </w:t>
      </w:r>
      <w:r>
        <w:rPr>
          <w:sz w:val="20"/>
        </w:rPr>
        <w:t>university</w:t>
      </w:r>
      <w:r>
        <w:rPr>
          <w:spacing w:val="-6"/>
          <w:sz w:val="20"/>
        </w:rPr>
        <w:t> </w:t>
      </w:r>
      <w:r>
        <w:rPr>
          <w:sz w:val="20"/>
        </w:rPr>
        <w:t>campus and is within easy walking distance of Bemis Hall.</w:t>
      </w:r>
    </w:p>
    <w:p>
      <w:pPr>
        <w:pStyle w:val="BodyText"/>
        <w:spacing w:before="9"/>
      </w:pPr>
    </w:p>
    <w:p>
      <w:pPr>
        <w:pStyle w:val="ListParagraph"/>
        <w:numPr>
          <w:ilvl w:val="0"/>
          <w:numId w:val="27"/>
        </w:numPr>
        <w:tabs>
          <w:tab w:pos="1864" w:val="left" w:leader="none"/>
        </w:tabs>
        <w:spacing w:line="240" w:lineRule="auto" w:before="0" w:after="0"/>
        <w:ind w:left="1863" w:right="1252" w:hanging="360"/>
        <w:jc w:val="left"/>
        <w:rPr>
          <w:sz w:val="20"/>
        </w:rPr>
      </w:pPr>
      <w:r>
        <w:rPr>
          <w:sz w:val="20"/>
        </w:rPr>
        <w:t>No peer comparisons of the collections supporting Architecture programs at other institutions have been done by the Harvey Library professional staff.</w:t>
      </w:r>
      <w:r>
        <w:rPr>
          <w:spacing w:val="40"/>
          <w:sz w:val="20"/>
        </w:rPr>
        <w:t> </w:t>
      </w:r>
      <w:r>
        <w:rPr>
          <w:sz w:val="20"/>
        </w:rPr>
        <w:t>Comparisons of the</w:t>
      </w:r>
      <w:r>
        <w:rPr>
          <w:spacing w:val="-5"/>
          <w:sz w:val="20"/>
        </w:rPr>
        <w:t> </w:t>
      </w:r>
      <w:r>
        <w:rPr>
          <w:sz w:val="20"/>
        </w:rPr>
        <w:t>periodical</w:t>
      </w:r>
      <w:r>
        <w:rPr>
          <w:spacing w:val="-6"/>
          <w:sz w:val="20"/>
        </w:rPr>
        <w:t> </w:t>
      </w:r>
      <w:r>
        <w:rPr>
          <w:sz w:val="20"/>
        </w:rPr>
        <w:t>subscriptions</w:t>
      </w:r>
      <w:r>
        <w:rPr>
          <w:spacing w:val="-4"/>
          <w:sz w:val="20"/>
        </w:rPr>
        <w:t> </w:t>
      </w:r>
      <w:r>
        <w:rPr>
          <w:sz w:val="20"/>
        </w:rPr>
        <w:t>recommended</w:t>
      </w:r>
      <w:r>
        <w:rPr>
          <w:spacing w:val="-5"/>
          <w:sz w:val="20"/>
        </w:rPr>
        <w:t> </w:t>
      </w:r>
      <w:r>
        <w:rPr>
          <w:sz w:val="20"/>
        </w:rPr>
        <w:t>have</w:t>
      </w:r>
      <w:r>
        <w:rPr>
          <w:spacing w:val="-5"/>
          <w:sz w:val="20"/>
        </w:rPr>
        <w:t> </w:t>
      </w:r>
      <w:r>
        <w:rPr>
          <w:sz w:val="20"/>
        </w:rPr>
        <w:t>been</w:t>
      </w:r>
      <w:r>
        <w:rPr>
          <w:spacing w:val="-3"/>
          <w:sz w:val="20"/>
        </w:rPr>
        <w:t> </w:t>
      </w:r>
      <w:r>
        <w:rPr>
          <w:sz w:val="20"/>
        </w:rPr>
        <w:t>completed</w:t>
      </w:r>
      <w:r>
        <w:rPr>
          <w:spacing w:val="-5"/>
          <w:sz w:val="20"/>
        </w:rPr>
        <w:t> </w:t>
      </w:r>
      <w:r>
        <w:rPr>
          <w:sz w:val="20"/>
        </w:rPr>
        <w:t>and</w:t>
      </w:r>
      <w:r>
        <w:rPr>
          <w:spacing w:val="-5"/>
          <w:sz w:val="20"/>
        </w:rPr>
        <w:t> </w:t>
      </w:r>
      <w:r>
        <w:rPr>
          <w:sz w:val="20"/>
        </w:rPr>
        <w:t>have</w:t>
      </w:r>
      <w:r>
        <w:rPr>
          <w:spacing w:val="-5"/>
          <w:sz w:val="20"/>
        </w:rPr>
        <w:t> </w:t>
      </w:r>
      <w:r>
        <w:rPr>
          <w:sz w:val="20"/>
        </w:rPr>
        <w:t>been</w:t>
      </w:r>
      <w:r>
        <w:rPr>
          <w:spacing w:val="-5"/>
          <w:sz w:val="20"/>
        </w:rPr>
        <w:t> </w:t>
      </w:r>
      <w:r>
        <w:rPr>
          <w:sz w:val="20"/>
        </w:rPr>
        <w:t>found to include over 90% of the recommended titles, in either print or electronic formats.</w:t>
      </w:r>
    </w:p>
    <w:p>
      <w:pPr>
        <w:pStyle w:val="BodyText"/>
        <w:rPr>
          <w:sz w:val="21"/>
        </w:rPr>
      </w:pPr>
    </w:p>
    <w:p>
      <w:pPr>
        <w:pStyle w:val="ListParagraph"/>
        <w:numPr>
          <w:ilvl w:val="0"/>
          <w:numId w:val="27"/>
        </w:numPr>
        <w:tabs>
          <w:tab w:pos="1864" w:val="left" w:leader="none"/>
        </w:tabs>
        <w:spacing w:line="240" w:lineRule="auto" w:before="0" w:after="0"/>
        <w:ind w:left="1863" w:right="1127" w:hanging="360"/>
        <w:jc w:val="left"/>
        <w:rPr>
          <w:sz w:val="20"/>
        </w:rPr>
      </w:pPr>
      <w:r>
        <w:rPr>
          <w:sz w:val="20"/>
        </w:rPr>
        <w:t>Annually,</w:t>
      </w:r>
      <w:r>
        <w:rPr>
          <w:spacing w:val="-4"/>
          <w:sz w:val="20"/>
        </w:rPr>
        <w:t> </w:t>
      </w:r>
      <w:r>
        <w:rPr>
          <w:sz w:val="20"/>
        </w:rPr>
        <w:t>the</w:t>
      </w:r>
      <w:r>
        <w:rPr>
          <w:spacing w:val="-4"/>
          <w:sz w:val="20"/>
        </w:rPr>
        <w:t> </w:t>
      </w:r>
      <w:r>
        <w:rPr>
          <w:sz w:val="20"/>
        </w:rPr>
        <w:t>Harvey</w:t>
      </w:r>
      <w:r>
        <w:rPr>
          <w:spacing w:val="-7"/>
          <w:sz w:val="20"/>
        </w:rPr>
        <w:t> </w:t>
      </w:r>
      <w:r>
        <w:rPr>
          <w:sz w:val="20"/>
        </w:rPr>
        <w:t>Library</w:t>
      </w:r>
      <w:r>
        <w:rPr>
          <w:spacing w:val="-5"/>
          <w:sz w:val="20"/>
        </w:rPr>
        <w:t> </w:t>
      </w:r>
      <w:r>
        <w:rPr>
          <w:sz w:val="20"/>
        </w:rPr>
        <w:t>has</w:t>
      </w:r>
      <w:r>
        <w:rPr>
          <w:spacing w:val="-3"/>
          <w:sz w:val="20"/>
        </w:rPr>
        <w:t> </w:t>
      </w:r>
      <w:r>
        <w:rPr>
          <w:sz w:val="20"/>
        </w:rPr>
        <w:t>provided</w:t>
      </w:r>
      <w:r>
        <w:rPr>
          <w:spacing w:val="-2"/>
          <w:sz w:val="20"/>
        </w:rPr>
        <w:t> </w:t>
      </w:r>
      <w:r>
        <w:rPr>
          <w:sz w:val="20"/>
        </w:rPr>
        <w:t>at</w:t>
      </w:r>
      <w:r>
        <w:rPr>
          <w:spacing w:val="-4"/>
          <w:sz w:val="20"/>
        </w:rPr>
        <w:t> </w:t>
      </w:r>
      <w:r>
        <w:rPr>
          <w:sz w:val="20"/>
        </w:rPr>
        <w:t>least</w:t>
      </w:r>
      <w:r>
        <w:rPr>
          <w:spacing w:val="-4"/>
          <w:sz w:val="20"/>
        </w:rPr>
        <w:t> </w:t>
      </w:r>
      <w:r>
        <w:rPr>
          <w:sz w:val="20"/>
        </w:rPr>
        <w:t>one</w:t>
      </w:r>
      <w:r>
        <w:rPr>
          <w:spacing w:val="-2"/>
          <w:sz w:val="20"/>
        </w:rPr>
        <w:t> </w:t>
      </w:r>
      <w:r>
        <w:rPr>
          <w:sz w:val="20"/>
        </w:rPr>
        <w:t>graduate</w:t>
      </w:r>
      <w:r>
        <w:rPr>
          <w:spacing w:val="-2"/>
          <w:sz w:val="20"/>
        </w:rPr>
        <w:t> </w:t>
      </w:r>
      <w:r>
        <w:rPr>
          <w:sz w:val="20"/>
        </w:rPr>
        <w:t>assistant</w:t>
      </w:r>
      <w:r>
        <w:rPr>
          <w:spacing w:val="-4"/>
          <w:sz w:val="20"/>
        </w:rPr>
        <w:t> </w:t>
      </w:r>
      <w:r>
        <w:rPr>
          <w:sz w:val="20"/>
        </w:rPr>
        <w:t>to</w:t>
      </w:r>
      <w:r>
        <w:rPr>
          <w:spacing w:val="-4"/>
          <w:sz w:val="20"/>
        </w:rPr>
        <w:t> </w:t>
      </w:r>
      <w:r>
        <w:rPr>
          <w:sz w:val="20"/>
        </w:rPr>
        <w:t>support</w:t>
      </w:r>
      <w:r>
        <w:rPr>
          <w:spacing w:val="-4"/>
          <w:sz w:val="20"/>
        </w:rPr>
        <w:t> </w:t>
      </w:r>
      <w:r>
        <w:rPr>
          <w:sz w:val="20"/>
        </w:rPr>
        <w:t>the Moses Library. That person has monitored the library and allowed the hours of</w:t>
      </w:r>
      <w:r>
        <w:rPr>
          <w:sz w:val="20"/>
        </w:rPr>
        <w:t> operation to extend to midnight, on weekdays. The person also provides assistance to the CADD Lab manager so that the operation of that facility has extended to midnight and, occasionally, on weekends.</w:t>
      </w:r>
    </w:p>
    <w:p>
      <w:pPr>
        <w:pStyle w:val="BodyText"/>
        <w:spacing w:before="10"/>
      </w:pPr>
    </w:p>
    <w:p>
      <w:pPr>
        <w:pStyle w:val="ListParagraph"/>
        <w:numPr>
          <w:ilvl w:val="0"/>
          <w:numId w:val="27"/>
        </w:numPr>
        <w:tabs>
          <w:tab w:pos="1864" w:val="left" w:leader="none"/>
        </w:tabs>
        <w:spacing w:line="240" w:lineRule="auto" w:before="0" w:after="0"/>
        <w:ind w:left="1863" w:right="1225" w:hanging="360"/>
        <w:jc w:val="left"/>
        <w:rPr>
          <w:sz w:val="20"/>
        </w:rPr>
      </w:pPr>
      <w:r>
        <w:rPr>
          <w:sz w:val="20"/>
        </w:rPr>
        <w:t>Overall</w:t>
      </w:r>
      <w:r>
        <w:rPr>
          <w:spacing w:val="-4"/>
          <w:sz w:val="20"/>
        </w:rPr>
        <w:t> </w:t>
      </w:r>
      <w:r>
        <w:rPr>
          <w:sz w:val="20"/>
        </w:rPr>
        <w:t>(Harvey</w:t>
      </w:r>
      <w:r>
        <w:rPr>
          <w:spacing w:val="-6"/>
          <w:sz w:val="20"/>
        </w:rPr>
        <w:t> </w:t>
      </w:r>
      <w:r>
        <w:rPr>
          <w:sz w:val="20"/>
        </w:rPr>
        <w:t>Library</w:t>
      </w:r>
      <w:r>
        <w:rPr>
          <w:spacing w:val="-6"/>
          <w:sz w:val="20"/>
        </w:rPr>
        <w:t> </w:t>
      </w:r>
      <w:r>
        <w:rPr>
          <w:sz w:val="20"/>
        </w:rPr>
        <w:t>and</w:t>
      </w:r>
      <w:r>
        <w:rPr>
          <w:spacing w:val="-2"/>
          <w:sz w:val="20"/>
        </w:rPr>
        <w:t> </w:t>
      </w:r>
      <w:r>
        <w:rPr>
          <w:sz w:val="20"/>
        </w:rPr>
        <w:t>Architecture</w:t>
      </w:r>
      <w:r>
        <w:rPr>
          <w:spacing w:val="-4"/>
          <w:sz w:val="20"/>
        </w:rPr>
        <w:t> </w:t>
      </w:r>
      <w:r>
        <w:rPr>
          <w:sz w:val="20"/>
        </w:rPr>
        <w:t>Library),</w:t>
      </w:r>
      <w:r>
        <w:rPr>
          <w:spacing w:val="-4"/>
          <w:sz w:val="20"/>
        </w:rPr>
        <w:t> </w:t>
      </w:r>
      <w:r>
        <w:rPr>
          <w:sz w:val="20"/>
        </w:rPr>
        <w:t>the</w:t>
      </w:r>
      <w:r>
        <w:rPr>
          <w:spacing w:val="-4"/>
          <w:sz w:val="20"/>
        </w:rPr>
        <w:t> </w:t>
      </w:r>
      <w:r>
        <w:rPr>
          <w:sz w:val="20"/>
        </w:rPr>
        <w:t>library</w:t>
      </w:r>
      <w:r>
        <w:rPr>
          <w:spacing w:val="-6"/>
          <w:sz w:val="20"/>
        </w:rPr>
        <w:t> </w:t>
      </w:r>
      <w:r>
        <w:rPr>
          <w:sz w:val="20"/>
        </w:rPr>
        <w:t>collection</w:t>
      </w:r>
      <w:r>
        <w:rPr>
          <w:spacing w:val="-2"/>
          <w:sz w:val="20"/>
        </w:rPr>
        <w:t> </w:t>
      </w:r>
      <w:r>
        <w:rPr>
          <w:sz w:val="20"/>
        </w:rPr>
        <w:t>is</w:t>
      </w:r>
      <w:r>
        <w:rPr>
          <w:spacing w:val="-3"/>
          <w:sz w:val="20"/>
        </w:rPr>
        <w:t> </w:t>
      </w:r>
      <w:r>
        <w:rPr>
          <w:sz w:val="20"/>
        </w:rPr>
        <w:t>appropriate</w:t>
      </w:r>
      <w:r>
        <w:rPr>
          <w:spacing w:val="-4"/>
          <w:sz w:val="20"/>
        </w:rPr>
        <w:t> </w:t>
      </w:r>
      <w:r>
        <w:rPr>
          <w:sz w:val="20"/>
        </w:rPr>
        <w:t>to academic support of the architecture curriculum meeting NAAB criteria as specified in the Conditions for Accreditation. Current collection development goals include increased acquisition of audio-visual media, CDs, and literature covering non-Western societies and communities of color. Environmental design and urban architecture are other</w:t>
      </w:r>
      <w:r>
        <w:rPr>
          <w:spacing w:val="-4"/>
          <w:sz w:val="20"/>
        </w:rPr>
        <w:t> </w:t>
      </w:r>
      <w:r>
        <w:rPr>
          <w:sz w:val="20"/>
        </w:rPr>
        <w:t>collection</w:t>
      </w:r>
      <w:r>
        <w:rPr>
          <w:spacing w:val="-5"/>
          <w:sz w:val="20"/>
        </w:rPr>
        <w:t> </w:t>
      </w:r>
      <w:r>
        <w:rPr>
          <w:sz w:val="20"/>
        </w:rPr>
        <w:t>-</w:t>
      </w:r>
      <w:r>
        <w:rPr>
          <w:spacing w:val="-4"/>
          <w:sz w:val="20"/>
        </w:rPr>
        <w:t> </w:t>
      </w:r>
      <w:r>
        <w:rPr>
          <w:sz w:val="20"/>
        </w:rPr>
        <w:t>development</w:t>
      </w:r>
      <w:r>
        <w:rPr>
          <w:spacing w:val="-5"/>
          <w:sz w:val="20"/>
        </w:rPr>
        <w:t> </w:t>
      </w:r>
      <w:r>
        <w:rPr>
          <w:sz w:val="20"/>
        </w:rPr>
        <w:t>focus</w:t>
      </w:r>
      <w:r>
        <w:rPr>
          <w:spacing w:val="-4"/>
          <w:sz w:val="20"/>
        </w:rPr>
        <w:t> </w:t>
      </w:r>
      <w:r>
        <w:rPr>
          <w:sz w:val="20"/>
        </w:rPr>
        <w:t>areas,</w:t>
      </w:r>
      <w:r>
        <w:rPr>
          <w:spacing w:val="-3"/>
          <w:sz w:val="20"/>
        </w:rPr>
        <w:t> </w:t>
      </w:r>
      <w:r>
        <w:rPr>
          <w:sz w:val="20"/>
        </w:rPr>
        <w:t>in</w:t>
      </w:r>
      <w:r>
        <w:rPr>
          <w:spacing w:val="-3"/>
          <w:sz w:val="20"/>
        </w:rPr>
        <w:t> </w:t>
      </w:r>
      <w:r>
        <w:rPr>
          <w:sz w:val="20"/>
        </w:rPr>
        <w:t>alignment</w:t>
      </w:r>
      <w:r>
        <w:rPr>
          <w:spacing w:val="-3"/>
          <w:sz w:val="20"/>
        </w:rPr>
        <w:t> </w:t>
      </w:r>
      <w:r>
        <w:rPr>
          <w:sz w:val="20"/>
        </w:rPr>
        <w:t>with</w:t>
      </w:r>
      <w:r>
        <w:rPr>
          <w:spacing w:val="-5"/>
          <w:sz w:val="20"/>
        </w:rPr>
        <w:t> </w:t>
      </w:r>
      <w:r>
        <w:rPr>
          <w:sz w:val="20"/>
        </w:rPr>
        <w:t>the</w:t>
      </w:r>
      <w:r>
        <w:rPr>
          <w:spacing w:val="-5"/>
          <w:sz w:val="20"/>
        </w:rPr>
        <w:t> </w:t>
      </w:r>
      <w:r>
        <w:rPr>
          <w:sz w:val="20"/>
        </w:rPr>
        <w:t>Department’s</w:t>
      </w:r>
      <w:r>
        <w:rPr>
          <w:spacing w:val="-4"/>
          <w:sz w:val="20"/>
        </w:rPr>
        <w:t> </w:t>
      </w:r>
      <w:r>
        <w:rPr>
          <w:sz w:val="20"/>
        </w:rPr>
        <w:t>mission and degree program emphases.</w:t>
      </w:r>
    </w:p>
    <w:p>
      <w:pPr>
        <w:pStyle w:val="BodyText"/>
        <w:spacing w:before="11"/>
      </w:pPr>
    </w:p>
    <w:p>
      <w:pPr>
        <w:pStyle w:val="BodyText"/>
        <w:ind w:left="279"/>
      </w:pPr>
      <w:r>
        <w:rPr/>
        <w:t>William</w:t>
      </w:r>
      <w:r>
        <w:rPr>
          <w:spacing w:val="-10"/>
        </w:rPr>
        <w:t> </w:t>
      </w:r>
      <w:r>
        <w:rPr/>
        <w:t>Moses</w:t>
      </w:r>
      <w:r>
        <w:rPr>
          <w:spacing w:val="-11"/>
        </w:rPr>
        <w:t> </w:t>
      </w:r>
      <w:r>
        <w:rPr/>
        <w:t>Architecture</w:t>
      </w:r>
      <w:r>
        <w:rPr>
          <w:spacing w:val="-9"/>
        </w:rPr>
        <w:t> </w:t>
      </w:r>
      <w:r>
        <w:rPr>
          <w:spacing w:val="-2"/>
        </w:rPr>
        <w:t>Library</w:t>
      </w:r>
    </w:p>
    <w:p>
      <w:pPr>
        <w:pStyle w:val="BodyText"/>
        <w:spacing w:before="8"/>
      </w:pPr>
    </w:p>
    <w:p>
      <w:pPr>
        <w:pStyle w:val="BodyText"/>
        <w:ind w:left="1503" w:right="1211"/>
      </w:pPr>
      <w:r>
        <w:rPr/>
        <w:t>The architecture library holds a concise and focused collection maintained to support the architecture curriculum.</w:t>
      </w:r>
      <w:r>
        <w:rPr>
          <w:spacing w:val="40"/>
        </w:rPr>
        <w:t> </w:t>
      </w:r>
      <w:r>
        <w:rPr/>
        <w:t>Within these guidelines print, audiovisual and digital items are collected.</w:t>
      </w:r>
      <w:r>
        <w:rPr>
          <w:spacing w:val="40"/>
        </w:rPr>
        <w:t> </w:t>
      </w:r>
      <w:r>
        <w:rPr/>
        <w:t>All</w:t>
      </w:r>
      <w:r>
        <w:rPr>
          <w:spacing w:val="-3"/>
        </w:rPr>
        <w:t> </w:t>
      </w:r>
      <w:r>
        <w:rPr/>
        <w:t>aspects</w:t>
      </w:r>
      <w:r>
        <w:rPr>
          <w:spacing w:val="-3"/>
        </w:rPr>
        <w:t> </w:t>
      </w:r>
      <w:r>
        <w:rPr/>
        <w:t>of</w:t>
      </w:r>
      <w:r>
        <w:rPr>
          <w:spacing w:val="-2"/>
        </w:rPr>
        <w:t> </w:t>
      </w:r>
      <w:r>
        <w:rPr/>
        <w:t>Architecture</w:t>
      </w:r>
      <w:r>
        <w:rPr>
          <w:spacing w:val="-2"/>
        </w:rPr>
        <w:t> </w:t>
      </w:r>
      <w:r>
        <w:rPr/>
        <w:t>are</w:t>
      </w:r>
      <w:r>
        <w:rPr>
          <w:spacing w:val="-4"/>
        </w:rPr>
        <w:t> </w:t>
      </w:r>
      <w:r>
        <w:rPr/>
        <w:t>represented</w:t>
      </w:r>
      <w:r>
        <w:rPr>
          <w:spacing w:val="-2"/>
        </w:rPr>
        <w:t> </w:t>
      </w:r>
      <w:r>
        <w:rPr/>
        <w:t>in</w:t>
      </w:r>
      <w:r>
        <w:rPr>
          <w:spacing w:val="-4"/>
        </w:rPr>
        <w:t> </w:t>
      </w:r>
      <w:r>
        <w:rPr/>
        <w:t>the</w:t>
      </w:r>
      <w:r>
        <w:rPr>
          <w:spacing w:val="-2"/>
        </w:rPr>
        <w:t> </w:t>
      </w:r>
      <w:r>
        <w:rPr/>
        <w:t>variety</w:t>
      </w:r>
      <w:r>
        <w:rPr>
          <w:spacing w:val="-7"/>
        </w:rPr>
        <w:t> </w:t>
      </w:r>
      <w:r>
        <w:rPr/>
        <w:t>of</w:t>
      </w:r>
      <w:r>
        <w:rPr>
          <w:spacing w:val="-2"/>
        </w:rPr>
        <w:t> </w:t>
      </w:r>
      <w:r>
        <w:rPr/>
        <w:t>formats.</w:t>
      </w:r>
      <w:r>
        <w:rPr>
          <w:spacing w:val="-4"/>
        </w:rPr>
        <w:t> </w:t>
      </w:r>
      <w:r>
        <w:rPr/>
        <w:t>Information resources in Urban Design and Planning, Building Science and Construction Technology, Landscape Architecture, Preservation and Fine Arts are available across all formats.</w:t>
      </w:r>
    </w:p>
    <w:p>
      <w:pPr>
        <w:pStyle w:val="BodyText"/>
        <w:spacing w:before="1"/>
        <w:rPr>
          <w:sz w:val="21"/>
        </w:rPr>
      </w:pPr>
    </w:p>
    <w:p>
      <w:pPr>
        <w:pStyle w:val="BodyText"/>
        <w:ind w:left="1503" w:right="1211"/>
      </w:pPr>
      <w:r>
        <w:rPr/>
        <w:t>The collection is periodically reviewed and recommendations for acquisition of resources are made by</w:t>
      </w:r>
      <w:r>
        <w:rPr>
          <w:spacing w:val="-1"/>
        </w:rPr>
        <w:t> </w:t>
      </w:r>
      <w:r>
        <w:rPr/>
        <w:t>the department chair and faculty.</w:t>
      </w:r>
      <w:r>
        <w:rPr>
          <w:spacing w:val="40"/>
        </w:rPr>
        <w:t> </w:t>
      </w:r>
      <w:r>
        <w:rPr/>
        <w:t>Ongoing in house assessment insures that the</w:t>
      </w:r>
      <w:r>
        <w:rPr>
          <w:spacing w:val="-4"/>
        </w:rPr>
        <w:t> </w:t>
      </w:r>
      <w:r>
        <w:rPr/>
        <w:t>collection</w:t>
      </w:r>
      <w:r>
        <w:rPr>
          <w:spacing w:val="-2"/>
        </w:rPr>
        <w:t> </w:t>
      </w:r>
      <w:r>
        <w:rPr/>
        <w:t>is</w:t>
      </w:r>
      <w:r>
        <w:rPr>
          <w:spacing w:val="-3"/>
        </w:rPr>
        <w:t> </w:t>
      </w:r>
      <w:r>
        <w:rPr/>
        <w:t>updated</w:t>
      </w:r>
      <w:r>
        <w:rPr>
          <w:spacing w:val="-2"/>
        </w:rPr>
        <w:t> </w:t>
      </w:r>
      <w:r>
        <w:rPr/>
        <w:t>in</w:t>
      </w:r>
      <w:r>
        <w:rPr>
          <w:spacing w:val="-2"/>
        </w:rPr>
        <w:t> </w:t>
      </w:r>
      <w:r>
        <w:rPr/>
        <w:t>a</w:t>
      </w:r>
      <w:r>
        <w:rPr>
          <w:spacing w:val="-4"/>
        </w:rPr>
        <w:t> </w:t>
      </w:r>
      <w:r>
        <w:rPr/>
        <w:t>timely</w:t>
      </w:r>
      <w:r>
        <w:rPr>
          <w:spacing w:val="-7"/>
        </w:rPr>
        <w:t> </w:t>
      </w:r>
      <w:r>
        <w:rPr/>
        <w:t>manner</w:t>
      </w:r>
      <w:r>
        <w:rPr>
          <w:spacing w:val="-3"/>
        </w:rPr>
        <w:t> </w:t>
      </w:r>
      <w:r>
        <w:rPr/>
        <w:t>and</w:t>
      </w:r>
      <w:r>
        <w:rPr>
          <w:spacing w:val="-4"/>
        </w:rPr>
        <w:t> </w:t>
      </w:r>
      <w:r>
        <w:rPr/>
        <w:t>that</w:t>
      </w:r>
      <w:r>
        <w:rPr>
          <w:spacing w:val="-4"/>
        </w:rPr>
        <w:t> </w:t>
      </w:r>
      <w:r>
        <w:rPr/>
        <w:t>currency</w:t>
      </w:r>
      <w:r>
        <w:rPr>
          <w:spacing w:val="-5"/>
        </w:rPr>
        <w:t> </w:t>
      </w:r>
      <w:r>
        <w:rPr/>
        <w:t>is</w:t>
      </w:r>
      <w:r>
        <w:rPr>
          <w:spacing w:val="-3"/>
        </w:rPr>
        <w:t> </w:t>
      </w:r>
      <w:r>
        <w:rPr/>
        <w:t>maintained.</w:t>
      </w:r>
      <w:r>
        <w:rPr>
          <w:spacing w:val="40"/>
        </w:rPr>
        <w:t> </w:t>
      </w:r>
      <w:r>
        <w:rPr/>
        <w:t>Acquisition</w:t>
      </w:r>
      <w:r>
        <w:rPr>
          <w:spacing w:val="-2"/>
        </w:rPr>
        <w:t> </w:t>
      </w:r>
      <w:r>
        <w:rPr/>
        <w:t>of digital items requires special attention and usually involves administrative oversight by the Library Director.</w:t>
      </w:r>
    </w:p>
    <w:p>
      <w:pPr>
        <w:pStyle w:val="BodyText"/>
        <w:spacing w:before="9"/>
      </w:pPr>
    </w:p>
    <w:p>
      <w:pPr>
        <w:pStyle w:val="BodyText"/>
        <w:spacing w:before="1"/>
        <w:ind w:left="1503" w:right="1211"/>
      </w:pPr>
      <w:r>
        <w:rPr/>
        <w:t>The</w:t>
      </w:r>
      <w:r>
        <w:rPr>
          <w:spacing w:val="-3"/>
        </w:rPr>
        <w:t> </w:t>
      </w:r>
      <w:r>
        <w:rPr/>
        <w:t>Architecture</w:t>
      </w:r>
      <w:r>
        <w:rPr>
          <w:spacing w:val="-1"/>
        </w:rPr>
        <w:t> </w:t>
      </w:r>
      <w:r>
        <w:rPr/>
        <w:t>Department</w:t>
      </w:r>
      <w:r>
        <w:rPr>
          <w:spacing w:val="-3"/>
        </w:rPr>
        <w:t> </w:t>
      </w:r>
      <w:r>
        <w:rPr/>
        <w:t>maintains</w:t>
      </w:r>
      <w:r>
        <w:rPr>
          <w:spacing w:val="-2"/>
        </w:rPr>
        <w:t> </w:t>
      </w:r>
      <w:r>
        <w:rPr/>
        <w:t>a</w:t>
      </w:r>
      <w:r>
        <w:rPr>
          <w:spacing w:val="-3"/>
        </w:rPr>
        <w:t> </w:t>
      </w:r>
      <w:r>
        <w:rPr/>
        <w:t>Library</w:t>
      </w:r>
      <w:r>
        <w:rPr>
          <w:spacing w:val="-6"/>
        </w:rPr>
        <w:t> </w:t>
      </w:r>
      <w:r>
        <w:rPr/>
        <w:t>Committee</w:t>
      </w:r>
      <w:r>
        <w:rPr>
          <w:spacing w:val="-3"/>
        </w:rPr>
        <w:t> </w:t>
      </w:r>
      <w:r>
        <w:rPr/>
        <w:t>consisting</w:t>
      </w:r>
      <w:r>
        <w:rPr>
          <w:spacing w:val="-3"/>
        </w:rPr>
        <w:t> </w:t>
      </w:r>
      <w:r>
        <w:rPr/>
        <w:t>of</w:t>
      </w:r>
      <w:r>
        <w:rPr>
          <w:spacing w:val="-1"/>
        </w:rPr>
        <w:t> </w:t>
      </w:r>
      <w:r>
        <w:rPr/>
        <w:t>the</w:t>
      </w:r>
      <w:r>
        <w:rPr>
          <w:spacing w:val="-1"/>
        </w:rPr>
        <w:t> </w:t>
      </w:r>
      <w:r>
        <w:rPr/>
        <w:t>librarian</w:t>
      </w:r>
      <w:r>
        <w:rPr>
          <w:spacing w:val="-1"/>
        </w:rPr>
        <w:t> </w:t>
      </w:r>
      <w:r>
        <w:rPr/>
        <w:t>and two faculty members on a rotating basis.</w:t>
      </w:r>
      <w:r>
        <w:rPr>
          <w:spacing w:val="40"/>
        </w:rPr>
        <w:t> </w:t>
      </w:r>
      <w:r>
        <w:rPr/>
        <w:t>The Architecture librarian serves as a liaison to the Harvey Library in facilitating a joint Collection Development plan.</w:t>
      </w:r>
      <w:r>
        <w:rPr>
          <w:spacing w:val="40"/>
        </w:rPr>
        <w:t> </w:t>
      </w:r>
      <w:r>
        <w:rPr/>
        <w:t>This is an ongoing procedure</w:t>
      </w:r>
      <w:r>
        <w:rPr>
          <w:spacing w:val="-3"/>
        </w:rPr>
        <w:t> </w:t>
      </w:r>
      <w:r>
        <w:rPr/>
        <w:t>designed</w:t>
      </w:r>
      <w:r>
        <w:rPr>
          <w:spacing w:val="-5"/>
        </w:rPr>
        <w:t> </w:t>
      </w:r>
      <w:r>
        <w:rPr/>
        <w:t>to</w:t>
      </w:r>
      <w:r>
        <w:rPr>
          <w:spacing w:val="-3"/>
        </w:rPr>
        <w:t> </w:t>
      </w:r>
      <w:r>
        <w:rPr/>
        <w:t>avoid</w:t>
      </w:r>
      <w:r>
        <w:rPr>
          <w:spacing w:val="-5"/>
        </w:rPr>
        <w:t> </w:t>
      </w:r>
      <w:r>
        <w:rPr/>
        <w:t>unwanted</w:t>
      </w:r>
      <w:r>
        <w:rPr>
          <w:spacing w:val="-5"/>
        </w:rPr>
        <w:t> </w:t>
      </w:r>
      <w:r>
        <w:rPr/>
        <w:t>duplication</w:t>
      </w:r>
      <w:r>
        <w:rPr>
          <w:spacing w:val="-5"/>
        </w:rPr>
        <w:t> </w:t>
      </w:r>
      <w:r>
        <w:rPr/>
        <w:t>of</w:t>
      </w:r>
      <w:r>
        <w:rPr>
          <w:spacing w:val="-3"/>
        </w:rPr>
        <w:t> </w:t>
      </w:r>
      <w:r>
        <w:rPr/>
        <w:t>library</w:t>
      </w:r>
      <w:r>
        <w:rPr>
          <w:spacing w:val="-8"/>
        </w:rPr>
        <w:t> </w:t>
      </w:r>
      <w:r>
        <w:rPr/>
        <w:t>material,</w:t>
      </w:r>
      <w:r>
        <w:rPr>
          <w:spacing w:val="-5"/>
        </w:rPr>
        <w:t> </w:t>
      </w:r>
      <w:r>
        <w:rPr/>
        <w:t>promote</w:t>
      </w:r>
      <w:r>
        <w:rPr>
          <w:spacing w:val="-5"/>
        </w:rPr>
        <w:t> </w:t>
      </w:r>
      <w:r>
        <w:rPr/>
        <w:t>efficient</w:t>
      </w:r>
      <w:r>
        <w:rPr>
          <w:spacing w:val="-3"/>
        </w:rPr>
        <w:t> </w:t>
      </w:r>
      <w:r>
        <w:rPr/>
        <w:t>use of resources and maximize accessibility of Architecture information resources at both </w:t>
      </w:r>
      <w:r>
        <w:rPr>
          <w:spacing w:val="-2"/>
        </w:rPr>
        <w:t>libraries.</w:t>
      </w:r>
    </w:p>
    <w:p>
      <w:pPr>
        <w:pStyle w:val="BodyText"/>
        <w:spacing w:before="10"/>
      </w:pPr>
    </w:p>
    <w:p>
      <w:pPr>
        <w:pStyle w:val="BodyText"/>
        <w:ind w:left="1503" w:right="1211"/>
      </w:pPr>
      <w:r>
        <w:rPr/>
        <w:t>All materials in the Architecture Library collection are cataloged according to current professional</w:t>
      </w:r>
      <w:r>
        <w:rPr>
          <w:spacing w:val="-3"/>
        </w:rPr>
        <w:t> </w:t>
      </w:r>
      <w:r>
        <w:rPr/>
        <w:t>standards.</w:t>
      </w:r>
      <w:r>
        <w:rPr>
          <w:spacing w:val="-4"/>
        </w:rPr>
        <w:t> </w:t>
      </w:r>
      <w:r>
        <w:rPr/>
        <w:t>Cataloging</w:t>
      </w:r>
      <w:r>
        <w:rPr>
          <w:spacing w:val="-4"/>
        </w:rPr>
        <w:t> </w:t>
      </w:r>
      <w:r>
        <w:rPr/>
        <w:t>is handled</w:t>
      </w:r>
      <w:r>
        <w:rPr>
          <w:spacing w:val="-4"/>
        </w:rPr>
        <w:t> </w:t>
      </w:r>
      <w:r>
        <w:rPr/>
        <w:t>by</w:t>
      </w:r>
      <w:r>
        <w:rPr>
          <w:spacing w:val="-7"/>
        </w:rPr>
        <w:t> </w:t>
      </w:r>
      <w:r>
        <w:rPr/>
        <w:t>the</w:t>
      </w:r>
      <w:r>
        <w:rPr>
          <w:spacing w:val="-4"/>
        </w:rPr>
        <w:t> </w:t>
      </w:r>
      <w:r>
        <w:rPr/>
        <w:t>Harvey</w:t>
      </w:r>
      <w:r>
        <w:rPr>
          <w:spacing w:val="-7"/>
        </w:rPr>
        <w:t> </w:t>
      </w:r>
      <w:r>
        <w:rPr/>
        <w:t>Library</w:t>
      </w:r>
      <w:r>
        <w:rPr>
          <w:spacing w:val="-7"/>
        </w:rPr>
        <w:t> </w:t>
      </w:r>
      <w:r>
        <w:rPr/>
        <w:t>staff.</w:t>
      </w:r>
      <w:r>
        <w:rPr>
          <w:spacing w:val="40"/>
        </w:rPr>
        <w:t> </w:t>
      </w:r>
      <w:r>
        <w:rPr/>
        <w:t>Architecture items are fully integrated into the Hampton University online catalog and the OCLC WorldCat international electronic database of college and university online catalogs.</w:t>
      </w:r>
    </w:p>
    <w:p>
      <w:pPr>
        <w:spacing w:after="0"/>
        <w:sectPr>
          <w:headerReference w:type="default" r:id="rId77"/>
          <w:footerReference w:type="default" r:id="rId78"/>
          <w:pgSz w:w="12240" w:h="15840"/>
          <w:pgMar w:header="0" w:footer="974" w:top="1360" w:bottom="1160" w:left="1160" w:right="320"/>
        </w:sectPr>
      </w:pPr>
    </w:p>
    <w:p>
      <w:pPr>
        <w:pStyle w:val="BodyText"/>
        <w:spacing w:before="77"/>
        <w:ind w:left="1503" w:right="1151"/>
      </w:pPr>
      <w:r>
        <w:rPr/>
        <w:t>The</w:t>
      </w:r>
      <w:r>
        <w:rPr>
          <w:spacing w:val="-1"/>
        </w:rPr>
        <w:t> </w:t>
      </w:r>
      <w:r>
        <w:rPr/>
        <w:t>implementation</w:t>
      </w:r>
      <w:r>
        <w:rPr>
          <w:spacing w:val="-1"/>
        </w:rPr>
        <w:t> </w:t>
      </w:r>
      <w:r>
        <w:rPr/>
        <w:t>of the ArtStor image</w:t>
      </w:r>
      <w:r>
        <w:rPr>
          <w:spacing w:val="-1"/>
        </w:rPr>
        <w:t> </w:t>
      </w:r>
      <w:r>
        <w:rPr/>
        <w:t>database</w:t>
      </w:r>
      <w:r>
        <w:rPr>
          <w:spacing w:val="-1"/>
        </w:rPr>
        <w:t> </w:t>
      </w:r>
      <w:r>
        <w:rPr/>
        <w:t>has</w:t>
      </w:r>
      <w:r>
        <w:rPr>
          <w:spacing w:val="-2"/>
        </w:rPr>
        <w:t> </w:t>
      </w:r>
      <w:r>
        <w:rPr/>
        <w:t>made</w:t>
      </w:r>
      <w:r>
        <w:rPr>
          <w:spacing w:val="-1"/>
        </w:rPr>
        <w:t> </w:t>
      </w:r>
      <w:r>
        <w:rPr/>
        <w:t>it impractical</w:t>
      </w:r>
      <w:r>
        <w:rPr>
          <w:spacing w:val="-2"/>
        </w:rPr>
        <w:t> </w:t>
      </w:r>
      <w:r>
        <w:rPr/>
        <w:t>to</w:t>
      </w:r>
      <w:r>
        <w:rPr>
          <w:spacing w:val="-1"/>
        </w:rPr>
        <w:t> </w:t>
      </w:r>
      <w:r>
        <w:rPr/>
        <w:t>move</w:t>
      </w:r>
      <w:r>
        <w:rPr>
          <w:spacing w:val="-1"/>
        </w:rPr>
        <w:t> </w:t>
      </w:r>
      <w:r>
        <w:rPr/>
        <w:t>forward with the plan to collect and organize slides (35 mm) so that project has been discontinued. The continuing development of the DVD collection will insure that sufficient audio visual resources are included in the library</w:t>
      </w:r>
      <w:r>
        <w:rPr>
          <w:spacing w:val="-3"/>
        </w:rPr>
        <w:t> </w:t>
      </w:r>
      <w:r>
        <w:rPr/>
        <w:t>collection.</w:t>
      </w:r>
      <w:r>
        <w:rPr>
          <w:spacing w:val="40"/>
        </w:rPr>
        <w:t> </w:t>
      </w:r>
      <w:r>
        <w:rPr/>
        <w:t>The integration of the computer lab into the library operation has also facilitated increased access to graphic material in digital format. Access</w:t>
      </w:r>
      <w:r>
        <w:rPr>
          <w:spacing w:val="-4"/>
        </w:rPr>
        <w:t> </w:t>
      </w:r>
      <w:r>
        <w:rPr/>
        <w:t>to</w:t>
      </w:r>
      <w:r>
        <w:rPr>
          <w:spacing w:val="-5"/>
        </w:rPr>
        <w:t> </w:t>
      </w:r>
      <w:r>
        <w:rPr/>
        <w:t>several</w:t>
      </w:r>
      <w:r>
        <w:rPr>
          <w:spacing w:val="-4"/>
        </w:rPr>
        <w:t> </w:t>
      </w:r>
      <w:r>
        <w:rPr/>
        <w:t>licensed</w:t>
      </w:r>
      <w:r>
        <w:rPr>
          <w:spacing w:val="-3"/>
        </w:rPr>
        <w:t> </w:t>
      </w:r>
      <w:r>
        <w:rPr/>
        <w:t>and</w:t>
      </w:r>
      <w:r>
        <w:rPr>
          <w:spacing w:val="-3"/>
        </w:rPr>
        <w:t> </w:t>
      </w:r>
      <w:r>
        <w:rPr/>
        <w:t>open</w:t>
      </w:r>
      <w:r>
        <w:rPr>
          <w:spacing w:val="-5"/>
        </w:rPr>
        <w:t> </w:t>
      </w:r>
      <w:r>
        <w:rPr/>
        <w:t>access</w:t>
      </w:r>
      <w:r>
        <w:rPr>
          <w:spacing w:val="-4"/>
        </w:rPr>
        <w:t> </w:t>
      </w:r>
      <w:r>
        <w:rPr/>
        <w:t>presentation</w:t>
      </w:r>
      <w:r>
        <w:rPr>
          <w:spacing w:val="-5"/>
        </w:rPr>
        <w:t> </w:t>
      </w:r>
      <w:r>
        <w:rPr/>
        <w:t>software</w:t>
      </w:r>
      <w:r>
        <w:rPr>
          <w:spacing w:val="-5"/>
        </w:rPr>
        <w:t> </w:t>
      </w:r>
      <w:r>
        <w:rPr/>
        <w:t>products</w:t>
      </w:r>
      <w:r>
        <w:rPr>
          <w:spacing w:val="-4"/>
        </w:rPr>
        <w:t> </w:t>
      </w:r>
      <w:r>
        <w:rPr/>
        <w:t>have proven</w:t>
      </w:r>
      <w:r>
        <w:rPr>
          <w:spacing w:val="-5"/>
        </w:rPr>
        <w:t> </w:t>
      </w:r>
      <w:r>
        <w:rPr/>
        <w:t>to be a more than adequate replacement for slides.</w:t>
      </w:r>
    </w:p>
    <w:p>
      <w:pPr>
        <w:pStyle w:val="BodyText"/>
        <w:spacing w:before="11"/>
      </w:pPr>
    </w:p>
    <w:p>
      <w:pPr>
        <w:pStyle w:val="BodyText"/>
        <w:ind w:left="1503" w:right="1211"/>
      </w:pPr>
      <w:r>
        <w:rPr/>
        <w:t>Online access to serial publications through the Ebsco Host, E-Journal Finder and J-Stor databases</w:t>
      </w:r>
      <w:r>
        <w:rPr>
          <w:spacing w:val="-4"/>
        </w:rPr>
        <w:t> </w:t>
      </w:r>
      <w:r>
        <w:rPr/>
        <w:t>has</w:t>
      </w:r>
      <w:r>
        <w:rPr>
          <w:spacing w:val="-1"/>
        </w:rPr>
        <w:t> </w:t>
      </w:r>
      <w:r>
        <w:rPr/>
        <w:t>enhanced</w:t>
      </w:r>
      <w:r>
        <w:rPr>
          <w:spacing w:val="-3"/>
        </w:rPr>
        <w:t> </w:t>
      </w:r>
      <w:r>
        <w:rPr/>
        <w:t>the</w:t>
      </w:r>
      <w:r>
        <w:rPr>
          <w:spacing w:val="-5"/>
        </w:rPr>
        <w:t> </w:t>
      </w:r>
      <w:r>
        <w:rPr/>
        <w:t>Architecture</w:t>
      </w:r>
      <w:r>
        <w:rPr>
          <w:spacing w:val="-5"/>
        </w:rPr>
        <w:t> </w:t>
      </w:r>
      <w:r>
        <w:rPr/>
        <w:t>journal</w:t>
      </w:r>
      <w:r>
        <w:rPr>
          <w:spacing w:val="-6"/>
        </w:rPr>
        <w:t> </w:t>
      </w:r>
      <w:r>
        <w:rPr/>
        <w:t>collection.</w:t>
      </w:r>
      <w:r>
        <w:rPr>
          <w:spacing w:val="40"/>
        </w:rPr>
        <w:t> </w:t>
      </w:r>
      <w:r>
        <w:rPr/>
        <w:t>Print</w:t>
      </w:r>
      <w:r>
        <w:rPr>
          <w:spacing w:val="-5"/>
        </w:rPr>
        <w:t> </w:t>
      </w:r>
      <w:r>
        <w:rPr/>
        <w:t>journals</w:t>
      </w:r>
      <w:r>
        <w:rPr>
          <w:spacing w:val="-1"/>
        </w:rPr>
        <w:t> </w:t>
      </w:r>
      <w:r>
        <w:rPr/>
        <w:t>will</w:t>
      </w:r>
      <w:r>
        <w:rPr>
          <w:spacing w:val="-6"/>
        </w:rPr>
        <w:t> </w:t>
      </w:r>
      <w:r>
        <w:rPr/>
        <w:t>continue</w:t>
      </w:r>
      <w:r>
        <w:rPr>
          <w:spacing w:val="-3"/>
        </w:rPr>
        <w:t> </w:t>
      </w:r>
      <w:r>
        <w:rPr/>
        <w:t>to be available in addition to titles in digital format so that the collection will maintain an international scope in coverage. Titles available online include:</w:t>
      </w:r>
    </w:p>
    <w:p>
      <w:pPr>
        <w:pStyle w:val="BodyText"/>
        <w:spacing w:before="9"/>
      </w:pPr>
    </w:p>
    <w:p>
      <w:pPr>
        <w:pStyle w:val="BodyText"/>
        <w:ind w:left="1864"/>
      </w:pPr>
      <w:r>
        <w:rPr/>
        <w:t>Architectural</w:t>
      </w:r>
      <w:r>
        <w:rPr>
          <w:spacing w:val="-11"/>
        </w:rPr>
        <w:t> </w:t>
      </w:r>
      <w:r>
        <w:rPr/>
        <w:t>Design</w:t>
      </w:r>
      <w:r>
        <w:rPr>
          <w:spacing w:val="-12"/>
        </w:rPr>
        <w:t> </w:t>
      </w:r>
      <w:r>
        <w:rPr>
          <w:spacing w:val="-4"/>
        </w:rPr>
        <w:t>(AD)</w:t>
      </w:r>
    </w:p>
    <w:p>
      <w:pPr>
        <w:pStyle w:val="BodyText"/>
        <w:spacing w:before="1"/>
        <w:ind w:left="1864" w:right="4312"/>
      </w:pPr>
      <w:r>
        <w:rPr/>
        <w:t>Architectural</w:t>
      </w:r>
      <w:r>
        <w:rPr>
          <w:spacing w:val="-14"/>
        </w:rPr>
        <w:t> </w:t>
      </w:r>
      <w:r>
        <w:rPr/>
        <w:t>Research</w:t>
      </w:r>
      <w:r>
        <w:rPr>
          <w:spacing w:val="-14"/>
        </w:rPr>
        <w:t> </w:t>
      </w:r>
      <w:r>
        <w:rPr/>
        <w:t>Quarterly</w:t>
      </w:r>
      <w:r>
        <w:rPr>
          <w:spacing w:val="-14"/>
        </w:rPr>
        <w:t> </w:t>
      </w:r>
      <w:r>
        <w:rPr/>
        <w:t>(ARQ) Environment &amp; Planning</w:t>
      </w:r>
    </w:p>
    <w:p>
      <w:pPr>
        <w:pStyle w:val="BodyText"/>
        <w:spacing w:before="1"/>
        <w:ind w:left="1864" w:right="3512"/>
      </w:pPr>
      <w:r>
        <w:rPr/>
        <w:t>Journal</w:t>
      </w:r>
      <w:r>
        <w:rPr>
          <w:spacing w:val="-6"/>
        </w:rPr>
        <w:t> </w:t>
      </w:r>
      <w:r>
        <w:rPr/>
        <w:t>of</w:t>
      </w:r>
      <w:r>
        <w:rPr>
          <w:spacing w:val="-5"/>
        </w:rPr>
        <w:t> </w:t>
      </w:r>
      <w:r>
        <w:rPr/>
        <w:t>the</w:t>
      </w:r>
      <w:r>
        <w:rPr>
          <w:spacing w:val="-5"/>
        </w:rPr>
        <w:t> </w:t>
      </w:r>
      <w:r>
        <w:rPr/>
        <w:t>Society</w:t>
      </w:r>
      <w:r>
        <w:rPr>
          <w:spacing w:val="-8"/>
        </w:rPr>
        <w:t> </w:t>
      </w:r>
      <w:r>
        <w:rPr/>
        <w:t>of</w:t>
      </w:r>
      <w:r>
        <w:rPr>
          <w:spacing w:val="-5"/>
        </w:rPr>
        <w:t> </w:t>
      </w:r>
      <w:r>
        <w:rPr/>
        <w:t>Architectural</w:t>
      </w:r>
      <w:r>
        <w:rPr>
          <w:spacing w:val="-8"/>
        </w:rPr>
        <w:t> </w:t>
      </w:r>
      <w:r>
        <w:rPr/>
        <w:t>Historians</w:t>
      </w:r>
      <w:r>
        <w:rPr>
          <w:spacing w:val="-6"/>
        </w:rPr>
        <w:t> </w:t>
      </w:r>
      <w:r>
        <w:rPr/>
        <w:t>(JSAH) Open House International Places</w:t>
      </w:r>
    </w:p>
    <w:p>
      <w:pPr>
        <w:pStyle w:val="BodyText"/>
        <w:spacing w:before="8"/>
      </w:pPr>
    </w:p>
    <w:p>
      <w:pPr>
        <w:pStyle w:val="BodyText"/>
        <w:ind w:left="1503" w:right="1211"/>
      </w:pPr>
      <w:r>
        <w:rPr/>
        <w:t>All</w:t>
      </w:r>
      <w:r>
        <w:rPr>
          <w:spacing w:val="-5"/>
        </w:rPr>
        <w:t> </w:t>
      </w:r>
      <w:r>
        <w:rPr/>
        <w:t>other</w:t>
      </w:r>
      <w:r>
        <w:rPr>
          <w:spacing w:val="-3"/>
        </w:rPr>
        <w:t> </w:t>
      </w:r>
      <w:r>
        <w:rPr/>
        <w:t>titles will</w:t>
      </w:r>
      <w:r>
        <w:rPr>
          <w:spacing w:val="-5"/>
        </w:rPr>
        <w:t> </w:t>
      </w:r>
      <w:r>
        <w:rPr/>
        <w:t>continue to</w:t>
      </w:r>
      <w:r>
        <w:rPr>
          <w:spacing w:val="-4"/>
        </w:rPr>
        <w:t> </w:t>
      </w:r>
      <w:r>
        <w:rPr/>
        <w:t>be</w:t>
      </w:r>
      <w:r>
        <w:rPr>
          <w:spacing w:val="-2"/>
        </w:rPr>
        <w:t> </w:t>
      </w:r>
      <w:r>
        <w:rPr/>
        <w:t>received</w:t>
      </w:r>
      <w:r>
        <w:rPr>
          <w:spacing w:val="-4"/>
        </w:rPr>
        <w:t> </w:t>
      </w:r>
      <w:r>
        <w:rPr/>
        <w:t>in</w:t>
      </w:r>
      <w:r>
        <w:rPr>
          <w:spacing w:val="-4"/>
        </w:rPr>
        <w:t> </w:t>
      </w:r>
      <w:r>
        <w:rPr/>
        <w:t>print</w:t>
      </w:r>
      <w:r>
        <w:rPr>
          <w:spacing w:val="-4"/>
        </w:rPr>
        <w:t> </w:t>
      </w:r>
      <w:r>
        <w:rPr/>
        <w:t>and/or</w:t>
      </w:r>
      <w:r>
        <w:rPr>
          <w:spacing w:val="-3"/>
        </w:rPr>
        <w:t> </w:t>
      </w:r>
      <w:r>
        <w:rPr/>
        <w:t>print+online</w:t>
      </w:r>
      <w:r>
        <w:rPr>
          <w:spacing w:val="-2"/>
        </w:rPr>
        <w:t> </w:t>
      </w:r>
      <w:r>
        <w:rPr/>
        <w:t>format(s).</w:t>
      </w:r>
      <w:r>
        <w:rPr>
          <w:spacing w:val="-5"/>
        </w:rPr>
        <w:t> </w:t>
      </w:r>
      <w:r>
        <w:rPr/>
        <w:t>The</w:t>
      </w:r>
      <w:r>
        <w:rPr>
          <w:spacing w:val="-4"/>
        </w:rPr>
        <w:t> </w:t>
      </w:r>
      <w:r>
        <w:rPr/>
        <w:t>online titles are available through E-Journal Finder on HU website. (full text, PDF)</w:t>
      </w:r>
    </w:p>
    <w:p>
      <w:pPr>
        <w:pStyle w:val="BodyText"/>
      </w:pPr>
    </w:p>
    <w:p>
      <w:pPr>
        <w:pStyle w:val="BodyText"/>
        <w:spacing w:before="2"/>
        <w:rPr>
          <w:sz w:val="21"/>
        </w:rPr>
      </w:pPr>
    </w:p>
    <w:tbl>
      <w:tblPr>
        <w:tblW w:w="0" w:type="auto"/>
        <w:jc w:val="left"/>
        <w:tblInd w:w="2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51"/>
        <w:gridCol w:w="1440"/>
      </w:tblGrid>
      <w:tr>
        <w:trPr>
          <w:trHeight w:val="537" w:hRule="atLeast"/>
        </w:trPr>
        <w:tc>
          <w:tcPr>
            <w:tcW w:w="5791" w:type="dxa"/>
            <w:gridSpan w:val="2"/>
          </w:tcPr>
          <w:p>
            <w:pPr>
              <w:pStyle w:val="TableParagraph"/>
              <w:ind w:left="1606" w:right="1600"/>
              <w:jc w:val="center"/>
              <w:rPr>
                <w:b/>
                <w:sz w:val="22"/>
              </w:rPr>
            </w:pPr>
            <w:r>
              <w:rPr>
                <w:b/>
                <w:w w:val="80"/>
                <w:sz w:val="22"/>
              </w:rPr>
              <w:t>MOSES</w:t>
            </w:r>
            <w:r>
              <w:rPr>
                <w:b/>
                <w:spacing w:val="5"/>
                <w:sz w:val="22"/>
              </w:rPr>
              <w:t> </w:t>
            </w:r>
            <w:r>
              <w:rPr>
                <w:b/>
                <w:spacing w:val="-2"/>
                <w:w w:val="90"/>
                <w:sz w:val="22"/>
              </w:rPr>
              <w:t>LIBRARY</w:t>
            </w:r>
          </w:p>
          <w:p>
            <w:pPr>
              <w:pStyle w:val="TableParagraph"/>
              <w:spacing w:line="249" w:lineRule="exact" w:before="15"/>
              <w:ind w:left="1606" w:right="1602"/>
              <w:jc w:val="center"/>
              <w:rPr>
                <w:b/>
                <w:sz w:val="22"/>
              </w:rPr>
            </w:pPr>
            <w:r>
              <w:rPr>
                <w:b/>
                <w:w w:val="80"/>
                <w:sz w:val="22"/>
              </w:rPr>
              <w:t>RELEVANT</w:t>
            </w:r>
            <w:r>
              <w:rPr>
                <w:b/>
                <w:spacing w:val="2"/>
                <w:sz w:val="22"/>
              </w:rPr>
              <w:t> </w:t>
            </w:r>
            <w:r>
              <w:rPr>
                <w:b/>
                <w:w w:val="80"/>
                <w:sz w:val="22"/>
              </w:rPr>
              <w:t>HOLDINGS</w:t>
            </w:r>
            <w:r>
              <w:rPr>
                <w:b/>
                <w:spacing w:val="-4"/>
                <w:sz w:val="22"/>
              </w:rPr>
              <w:t> </w:t>
            </w:r>
            <w:r>
              <w:rPr>
                <w:b/>
                <w:w w:val="80"/>
                <w:sz w:val="22"/>
              </w:rPr>
              <w:t>–</w:t>
            </w:r>
            <w:r>
              <w:rPr>
                <w:b/>
                <w:sz w:val="22"/>
              </w:rPr>
              <w:t> </w:t>
            </w:r>
            <w:r>
              <w:rPr>
                <w:b/>
                <w:spacing w:val="-4"/>
                <w:w w:val="80"/>
                <w:sz w:val="22"/>
              </w:rPr>
              <w:t>2014</w:t>
            </w:r>
          </w:p>
        </w:tc>
      </w:tr>
      <w:tr>
        <w:trPr>
          <w:trHeight w:val="268" w:hRule="atLeast"/>
        </w:trPr>
        <w:tc>
          <w:tcPr>
            <w:tcW w:w="4351" w:type="dxa"/>
          </w:tcPr>
          <w:p>
            <w:pPr>
              <w:pStyle w:val="TableParagraph"/>
              <w:spacing w:line="248" w:lineRule="exact"/>
              <w:ind w:left="105"/>
              <w:rPr>
                <w:sz w:val="22"/>
              </w:rPr>
            </w:pPr>
            <w:r>
              <w:rPr>
                <w:w w:val="90"/>
                <w:sz w:val="22"/>
              </w:rPr>
              <w:t>Monographs</w:t>
            </w:r>
            <w:r>
              <w:rPr>
                <w:spacing w:val="18"/>
                <w:sz w:val="22"/>
              </w:rPr>
              <w:t> </w:t>
            </w:r>
            <w:r>
              <w:rPr>
                <w:spacing w:val="-2"/>
                <w:sz w:val="22"/>
              </w:rPr>
              <w:t>(paper)</w:t>
            </w:r>
          </w:p>
        </w:tc>
        <w:tc>
          <w:tcPr>
            <w:tcW w:w="1440" w:type="dxa"/>
          </w:tcPr>
          <w:p>
            <w:pPr>
              <w:pStyle w:val="TableParagraph"/>
              <w:spacing w:line="248" w:lineRule="exact"/>
              <w:ind w:right="93"/>
              <w:jc w:val="right"/>
              <w:rPr>
                <w:sz w:val="22"/>
              </w:rPr>
            </w:pPr>
            <w:r>
              <w:rPr>
                <w:spacing w:val="-2"/>
                <w:sz w:val="22"/>
              </w:rPr>
              <w:t>5,111</w:t>
            </w:r>
          </w:p>
        </w:tc>
      </w:tr>
      <w:tr>
        <w:trPr>
          <w:trHeight w:val="268" w:hRule="atLeast"/>
        </w:trPr>
        <w:tc>
          <w:tcPr>
            <w:tcW w:w="4351" w:type="dxa"/>
          </w:tcPr>
          <w:p>
            <w:pPr>
              <w:pStyle w:val="TableParagraph"/>
              <w:spacing w:line="248" w:lineRule="exact"/>
              <w:ind w:left="105"/>
              <w:rPr>
                <w:sz w:val="22"/>
              </w:rPr>
            </w:pPr>
            <w:r>
              <w:rPr>
                <w:w w:val="90"/>
                <w:sz w:val="22"/>
              </w:rPr>
              <w:t>Periodical</w:t>
            </w:r>
            <w:r>
              <w:rPr>
                <w:spacing w:val="-5"/>
                <w:w w:val="90"/>
                <w:sz w:val="22"/>
              </w:rPr>
              <w:t> </w:t>
            </w:r>
            <w:r>
              <w:rPr>
                <w:w w:val="90"/>
                <w:sz w:val="22"/>
              </w:rPr>
              <w:t>Subscriptions</w:t>
            </w:r>
            <w:r>
              <w:rPr>
                <w:spacing w:val="-5"/>
                <w:w w:val="90"/>
                <w:sz w:val="22"/>
              </w:rPr>
              <w:t> </w:t>
            </w:r>
            <w:r>
              <w:rPr>
                <w:spacing w:val="-2"/>
                <w:w w:val="90"/>
                <w:sz w:val="22"/>
              </w:rPr>
              <w:t>(paper)</w:t>
            </w:r>
          </w:p>
        </w:tc>
        <w:tc>
          <w:tcPr>
            <w:tcW w:w="1440" w:type="dxa"/>
          </w:tcPr>
          <w:p>
            <w:pPr>
              <w:pStyle w:val="TableParagraph"/>
              <w:spacing w:line="248" w:lineRule="exact"/>
              <w:ind w:right="93"/>
              <w:jc w:val="right"/>
              <w:rPr>
                <w:sz w:val="22"/>
              </w:rPr>
            </w:pPr>
            <w:r>
              <w:rPr>
                <w:spacing w:val="-5"/>
                <w:sz w:val="22"/>
              </w:rPr>
              <w:t>34</w:t>
            </w:r>
          </w:p>
        </w:tc>
      </w:tr>
    </w:tbl>
    <w:p>
      <w:pPr>
        <w:pStyle w:val="BodyText"/>
        <w:spacing w:before="7"/>
        <w:rPr>
          <w:sz w:val="12"/>
        </w:rPr>
      </w:pPr>
    </w:p>
    <w:p>
      <w:pPr>
        <w:pStyle w:val="BodyText"/>
        <w:spacing w:before="93"/>
        <w:ind w:left="1503"/>
      </w:pPr>
      <w:r>
        <w:rPr>
          <w:spacing w:val="-2"/>
        </w:rPr>
        <w:t>Services</w:t>
      </w:r>
    </w:p>
    <w:p>
      <w:pPr>
        <w:pStyle w:val="BodyText"/>
        <w:spacing w:before="10"/>
      </w:pPr>
    </w:p>
    <w:p>
      <w:pPr>
        <w:pStyle w:val="BodyText"/>
        <w:ind w:left="1503" w:right="1211"/>
      </w:pPr>
      <w:r>
        <w:rPr/>
        <w:t>The</w:t>
      </w:r>
      <w:r>
        <w:rPr>
          <w:spacing w:val="-4"/>
        </w:rPr>
        <w:t> </w:t>
      </w:r>
      <w:r>
        <w:rPr/>
        <w:t>Architecture</w:t>
      </w:r>
      <w:r>
        <w:rPr>
          <w:spacing w:val="-2"/>
        </w:rPr>
        <w:t> </w:t>
      </w:r>
      <w:r>
        <w:rPr/>
        <w:t>Library</w:t>
      </w:r>
      <w:r>
        <w:rPr>
          <w:spacing w:val="-5"/>
        </w:rPr>
        <w:t> </w:t>
      </w:r>
      <w:r>
        <w:rPr/>
        <w:t>is staffed</w:t>
      </w:r>
      <w:r>
        <w:rPr>
          <w:spacing w:val="-4"/>
        </w:rPr>
        <w:t> </w:t>
      </w:r>
      <w:r>
        <w:rPr/>
        <w:t>by</w:t>
      </w:r>
      <w:r>
        <w:rPr>
          <w:spacing w:val="-5"/>
        </w:rPr>
        <w:t> </w:t>
      </w:r>
      <w:r>
        <w:rPr/>
        <w:t>one</w:t>
      </w:r>
      <w:r>
        <w:rPr>
          <w:spacing w:val="-4"/>
        </w:rPr>
        <w:t> </w:t>
      </w:r>
      <w:r>
        <w:rPr/>
        <w:t>professional</w:t>
      </w:r>
      <w:r>
        <w:rPr>
          <w:spacing w:val="-3"/>
        </w:rPr>
        <w:t> </w:t>
      </w:r>
      <w:r>
        <w:rPr/>
        <w:t>librarian who</w:t>
      </w:r>
      <w:r>
        <w:rPr>
          <w:spacing w:val="-2"/>
        </w:rPr>
        <w:t> </w:t>
      </w:r>
      <w:r>
        <w:rPr/>
        <w:t>is</w:t>
      </w:r>
      <w:r>
        <w:rPr>
          <w:spacing w:val="-3"/>
        </w:rPr>
        <w:t> </w:t>
      </w:r>
      <w:r>
        <w:rPr/>
        <w:t>on</w:t>
      </w:r>
      <w:r>
        <w:rPr>
          <w:spacing w:val="-4"/>
        </w:rPr>
        <w:t> </w:t>
      </w:r>
      <w:r>
        <w:rPr/>
        <w:t>duty</w:t>
      </w:r>
      <w:r>
        <w:rPr>
          <w:spacing w:val="-5"/>
        </w:rPr>
        <w:t> </w:t>
      </w:r>
      <w:r>
        <w:rPr/>
        <w:t>during</w:t>
      </w:r>
      <w:r>
        <w:rPr>
          <w:spacing w:val="-4"/>
        </w:rPr>
        <w:t> </w:t>
      </w:r>
      <w:r>
        <w:rPr/>
        <w:t>all hours of library operation.</w:t>
      </w:r>
      <w:r>
        <w:rPr>
          <w:spacing w:val="40"/>
        </w:rPr>
        <w:t> </w:t>
      </w:r>
      <w:r>
        <w:rPr/>
        <w:t>The architecture librarian holds a Master’s in Art(Museum Studies) as well as a Master’s in Library Science degree.</w:t>
      </w:r>
    </w:p>
    <w:p>
      <w:pPr>
        <w:pStyle w:val="BodyText"/>
        <w:spacing w:before="9"/>
      </w:pPr>
    </w:p>
    <w:p>
      <w:pPr>
        <w:pStyle w:val="BodyText"/>
        <w:ind w:left="1503" w:right="1151"/>
      </w:pPr>
      <w:r>
        <w:rPr/>
        <w:t>The</w:t>
      </w:r>
      <w:r>
        <w:rPr>
          <w:spacing w:val="-4"/>
        </w:rPr>
        <w:t> </w:t>
      </w:r>
      <w:r>
        <w:rPr/>
        <w:t>Architecture</w:t>
      </w:r>
      <w:r>
        <w:rPr>
          <w:spacing w:val="-2"/>
        </w:rPr>
        <w:t> </w:t>
      </w:r>
      <w:r>
        <w:rPr/>
        <w:t>Library</w:t>
      </w:r>
      <w:r>
        <w:rPr>
          <w:spacing w:val="-5"/>
        </w:rPr>
        <w:t> </w:t>
      </w:r>
      <w:r>
        <w:rPr/>
        <w:t>offers</w:t>
      </w:r>
      <w:r>
        <w:rPr>
          <w:spacing w:val="-3"/>
        </w:rPr>
        <w:t> </w:t>
      </w:r>
      <w:r>
        <w:rPr/>
        <w:t>services</w:t>
      </w:r>
      <w:r>
        <w:rPr>
          <w:spacing w:val="-3"/>
        </w:rPr>
        <w:t> </w:t>
      </w:r>
      <w:r>
        <w:rPr/>
        <w:t>in</w:t>
      </w:r>
      <w:r>
        <w:rPr>
          <w:spacing w:val="-4"/>
        </w:rPr>
        <w:t> </w:t>
      </w:r>
      <w:r>
        <w:rPr/>
        <w:t>addition</w:t>
      </w:r>
      <w:r>
        <w:rPr>
          <w:spacing w:val="-4"/>
        </w:rPr>
        <w:t> </w:t>
      </w:r>
      <w:r>
        <w:rPr/>
        <w:t>to</w:t>
      </w:r>
      <w:r>
        <w:rPr>
          <w:spacing w:val="-2"/>
        </w:rPr>
        <w:t> </w:t>
      </w:r>
      <w:r>
        <w:rPr/>
        <w:t>access</w:t>
      </w:r>
      <w:r>
        <w:rPr>
          <w:spacing w:val="-3"/>
        </w:rPr>
        <w:t> </w:t>
      </w:r>
      <w:r>
        <w:rPr/>
        <w:t>to</w:t>
      </w:r>
      <w:r>
        <w:rPr>
          <w:spacing w:val="-4"/>
        </w:rPr>
        <w:t> </w:t>
      </w:r>
      <w:r>
        <w:rPr/>
        <w:t>print,</w:t>
      </w:r>
      <w:r>
        <w:rPr>
          <w:spacing w:val="-2"/>
        </w:rPr>
        <w:t> </w:t>
      </w:r>
      <w:r>
        <w:rPr/>
        <w:t>audiovisual</w:t>
      </w:r>
      <w:r>
        <w:rPr>
          <w:spacing w:val="-3"/>
        </w:rPr>
        <w:t> </w:t>
      </w:r>
      <w:r>
        <w:rPr/>
        <w:t>and</w:t>
      </w:r>
      <w:r>
        <w:rPr>
          <w:spacing w:val="-2"/>
        </w:rPr>
        <w:t> </w:t>
      </w:r>
      <w:r>
        <w:rPr/>
        <w:t>digital and electronic resources.</w:t>
      </w:r>
      <w:r>
        <w:rPr>
          <w:spacing w:val="40"/>
        </w:rPr>
        <w:t> </w:t>
      </w:r>
      <w:r>
        <w:rPr/>
        <w:t>Reference and Reserve services are available to students and faculty.</w:t>
      </w:r>
      <w:r>
        <w:rPr>
          <w:spacing w:val="40"/>
        </w:rPr>
        <w:t> </w:t>
      </w:r>
      <w:r>
        <w:rPr/>
        <w:t>Library instruction is provided when requested by Department faculty.</w:t>
      </w:r>
      <w:r>
        <w:rPr>
          <w:spacing w:val="40"/>
        </w:rPr>
        <w:t> </w:t>
      </w:r>
      <w:r>
        <w:rPr/>
        <w:t>The Harvey Library administers the LibGuide research module for all programs on campus.</w:t>
      </w:r>
      <w:r>
        <w:rPr>
          <w:spacing w:val="40"/>
        </w:rPr>
        <w:t> </w:t>
      </w:r>
      <w:r>
        <w:rPr/>
        <w:t>This is an online service accessible campus wide.</w:t>
      </w:r>
    </w:p>
    <w:p>
      <w:pPr>
        <w:pStyle w:val="BodyText"/>
        <w:spacing w:before="10"/>
      </w:pPr>
    </w:p>
    <w:p>
      <w:pPr>
        <w:pStyle w:val="BodyText"/>
        <w:ind w:left="1503" w:right="1230"/>
        <w:jc w:val="both"/>
      </w:pPr>
      <w:r>
        <w:rPr/>
        <w:t>Traditional</w:t>
      </w:r>
      <w:r>
        <w:rPr>
          <w:spacing w:val="-5"/>
        </w:rPr>
        <w:t> </w:t>
      </w:r>
      <w:r>
        <w:rPr/>
        <w:t>library</w:t>
      </w:r>
      <w:r>
        <w:rPr>
          <w:spacing w:val="-8"/>
        </w:rPr>
        <w:t> </w:t>
      </w:r>
      <w:r>
        <w:rPr/>
        <w:t>services,</w:t>
      </w:r>
      <w:r>
        <w:rPr>
          <w:spacing w:val="-4"/>
        </w:rPr>
        <w:t> </w:t>
      </w:r>
      <w:r>
        <w:rPr/>
        <w:t>photocopying,</w:t>
      </w:r>
      <w:r>
        <w:rPr>
          <w:spacing w:val="-5"/>
        </w:rPr>
        <w:t> </w:t>
      </w:r>
      <w:r>
        <w:rPr/>
        <w:t>desktop</w:t>
      </w:r>
      <w:r>
        <w:rPr>
          <w:spacing w:val="-5"/>
        </w:rPr>
        <w:t> </w:t>
      </w:r>
      <w:r>
        <w:rPr/>
        <w:t>computer</w:t>
      </w:r>
      <w:r>
        <w:rPr>
          <w:spacing w:val="-3"/>
        </w:rPr>
        <w:t> </w:t>
      </w:r>
      <w:r>
        <w:rPr/>
        <w:t>workstations</w:t>
      </w:r>
      <w:r>
        <w:rPr>
          <w:spacing w:val="-5"/>
        </w:rPr>
        <w:t> </w:t>
      </w:r>
      <w:r>
        <w:rPr/>
        <w:t>and</w:t>
      </w:r>
      <w:r>
        <w:rPr>
          <w:spacing w:val="-4"/>
        </w:rPr>
        <w:t> </w:t>
      </w:r>
      <w:r>
        <w:rPr/>
        <w:t>a</w:t>
      </w:r>
      <w:r>
        <w:rPr>
          <w:spacing w:val="-5"/>
        </w:rPr>
        <w:t> </w:t>
      </w:r>
      <w:r>
        <w:rPr/>
        <w:t>networked printer</w:t>
      </w:r>
      <w:r>
        <w:rPr>
          <w:spacing w:val="-1"/>
        </w:rPr>
        <w:t> </w:t>
      </w:r>
      <w:r>
        <w:rPr/>
        <w:t>are</w:t>
      </w:r>
      <w:r>
        <w:rPr>
          <w:spacing w:val="-3"/>
        </w:rPr>
        <w:t> </w:t>
      </w:r>
      <w:r>
        <w:rPr/>
        <w:t>available</w:t>
      </w:r>
      <w:r>
        <w:rPr>
          <w:spacing w:val="-3"/>
        </w:rPr>
        <w:t> </w:t>
      </w:r>
      <w:r>
        <w:rPr/>
        <w:t>for</w:t>
      </w:r>
      <w:r>
        <w:rPr>
          <w:spacing w:val="-2"/>
        </w:rPr>
        <w:t> </w:t>
      </w:r>
      <w:r>
        <w:rPr/>
        <w:t>student</w:t>
      </w:r>
      <w:r>
        <w:rPr>
          <w:spacing w:val="-1"/>
        </w:rPr>
        <w:t> </w:t>
      </w:r>
      <w:r>
        <w:rPr/>
        <w:t>use.</w:t>
      </w:r>
      <w:r>
        <w:rPr>
          <w:spacing w:val="40"/>
        </w:rPr>
        <w:t> </w:t>
      </w:r>
      <w:r>
        <w:rPr/>
        <w:t>DVD</w:t>
      </w:r>
      <w:r>
        <w:rPr>
          <w:spacing w:val="-1"/>
        </w:rPr>
        <w:t> </w:t>
      </w:r>
      <w:r>
        <w:rPr/>
        <w:t>and</w:t>
      </w:r>
      <w:r>
        <w:rPr>
          <w:spacing w:val="-1"/>
        </w:rPr>
        <w:t> </w:t>
      </w:r>
      <w:r>
        <w:rPr/>
        <w:t>VHS</w:t>
      </w:r>
      <w:r>
        <w:rPr>
          <w:spacing w:val="-4"/>
        </w:rPr>
        <w:t> </w:t>
      </w:r>
      <w:r>
        <w:rPr/>
        <w:t>players</w:t>
      </w:r>
      <w:r>
        <w:rPr>
          <w:spacing w:val="-2"/>
        </w:rPr>
        <w:t> </w:t>
      </w:r>
      <w:r>
        <w:rPr/>
        <w:t>are</w:t>
      </w:r>
      <w:r>
        <w:rPr>
          <w:spacing w:val="-1"/>
        </w:rPr>
        <w:t> </w:t>
      </w:r>
      <w:r>
        <w:rPr/>
        <w:t>provided</w:t>
      </w:r>
      <w:r>
        <w:rPr>
          <w:spacing w:val="-3"/>
        </w:rPr>
        <w:t> </w:t>
      </w:r>
      <w:r>
        <w:rPr/>
        <w:t>for</w:t>
      </w:r>
      <w:r>
        <w:rPr>
          <w:spacing w:val="-2"/>
        </w:rPr>
        <w:t> </w:t>
      </w:r>
      <w:r>
        <w:rPr/>
        <w:t>individual</w:t>
      </w:r>
      <w:r>
        <w:rPr>
          <w:spacing w:val="-2"/>
        </w:rPr>
        <w:t> </w:t>
      </w:r>
      <w:r>
        <w:rPr/>
        <w:t>and group use.</w:t>
      </w:r>
      <w:r>
        <w:rPr>
          <w:spacing w:val="40"/>
        </w:rPr>
        <w:t> </w:t>
      </w:r>
      <w:r>
        <w:rPr/>
        <w:t>The computer lab plotters and scanners are available for student project work.</w:t>
      </w:r>
    </w:p>
    <w:p>
      <w:pPr>
        <w:pStyle w:val="BodyText"/>
        <w:spacing w:before="11"/>
      </w:pPr>
    </w:p>
    <w:p>
      <w:pPr>
        <w:pStyle w:val="BodyText"/>
        <w:ind w:left="1503" w:right="1211"/>
      </w:pPr>
      <w:r>
        <w:rPr/>
        <w:t>The library is open Monday through Friday from 8:00 AM to 5:00 PM.</w:t>
      </w:r>
      <w:r>
        <w:rPr>
          <w:spacing w:val="40"/>
        </w:rPr>
        <w:t> </w:t>
      </w:r>
      <w:r>
        <w:rPr/>
        <w:t>Additional hours of operation till 12:00 Midnight have been made possible through the assignment of a graduate</w:t>
      </w:r>
      <w:r>
        <w:rPr>
          <w:spacing w:val="-2"/>
        </w:rPr>
        <w:t> </w:t>
      </w:r>
      <w:r>
        <w:rPr/>
        <w:t>assistant</w:t>
      </w:r>
      <w:r>
        <w:rPr>
          <w:spacing w:val="-4"/>
        </w:rPr>
        <w:t> </w:t>
      </w:r>
      <w:r>
        <w:rPr/>
        <w:t>student</w:t>
      </w:r>
      <w:r>
        <w:rPr>
          <w:spacing w:val="-2"/>
        </w:rPr>
        <w:t> </w:t>
      </w:r>
      <w:r>
        <w:rPr/>
        <w:t>for</w:t>
      </w:r>
      <w:r>
        <w:rPr>
          <w:spacing w:val="-3"/>
        </w:rPr>
        <w:t> </w:t>
      </w:r>
      <w:r>
        <w:rPr/>
        <w:t>the</w:t>
      </w:r>
      <w:r>
        <w:rPr>
          <w:spacing w:val="-4"/>
        </w:rPr>
        <w:t> </w:t>
      </w:r>
      <w:r>
        <w:rPr/>
        <w:t>Fall</w:t>
      </w:r>
      <w:r>
        <w:rPr>
          <w:spacing w:val="-5"/>
        </w:rPr>
        <w:t> </w:t>
      </w:r>
      <w:r>
        <w:rPr/>
        <w:t>and</w:t>
      </w:r>
      <w:r>
        <w:rPr>
          <w:spacing w:val="-2"/>
        </w:rPr>
        <w:t> </w:t>
      </w:r>
      <w:r>
        <w:rPr/>
        <w:t>Spring</w:t>
      </w:r>
      <w:r>
        <w:rPr>
          <w:spacing w:val="-4"/>
        </w:rPr>
        <w:t> </w:t>
      </w:r>
      <w:r>
        <w:rPr/>
        <w:t>semesters</w:t>
      </w:r>
      <w:r>
        <w:rPr>
          <w:spacing w:val="-3"/>
        </w:rPr>
        <w:t> </w:t>
      </w:r>
      <w:r>
        <w:rPr/>
        <w:t>from the</w:t>
      </w:r>
      <w:r>
        <w:rPr>
          <w:spacing w:val="-4"/>
        </w:rPr>
        <w:t> </w:t>
      </w:r>
      <w:r>
        <w:rPr/>
        <w:t>Harvey</w:t>
      </w:r>
      <w:r>
        <w:rPr>
          <w:spacing w:val="-7"/>
        </w:rPr>
        <w:t> </w:t>
      </w:r>
      <w:r>
        <w:rPr/>
        <w:t>Library.</w:t>
      </w:r>
      <w:r>
        <w:rPr>
          <w:spacing w:val="40"/>
        </w:rPr>
        <w:t> </w:t>
      </w:r>
      <w:r>
        <w:rPr/>
        <w:t>The Harvey Library is also open 80 hours a week, providing evening and weekend service to </w:t>
      </w:r>
      <w:r>
        <w:rPr>
          <w:spacing w:val="-2"/>
        </w:rPr>
        <w:t>students.</w:t>
      </w:r>
    </w:p>
    <w:p>
      <w:pPr>
        <w:pStyle w:val="BodyText"/>
        <w:spacing w:before="10"/>
      </w:pPr>
    </w:p>
    <w:p>
      <w:pPr>
        <w:pStyle w:val="BodyText"/>
        <w:ind w:left="1503" w:right="1130"/>
      </w:pPr>
      <w:r>
        <w:rPr/>
        <w:t>Through interlibrary loan and consortia agreements architecture material is available to a wide academic and professional community.</w:t>
      </w:r>
      <w:r>
        <w:rPr>
          <w:spacing w:val="40"/>
        </w:rPr>
        <w:t> </w:t>
      </w:r>
      <w:r>
        <w:rPr/>
        <w:t>These arrangements administered by the Harvey</w:t>
      </w:r>
      <w:r>
        <w:rPr>
          <w:spacing w:val="-7"/>
        </w:rPr>
        <w:t> </w:t>
      </w:r>
      <w:r>
        <w:rPr/>
        <w:t>Library</w:t>
      </w:r>
      <w:r>
        <w:rPr>
          <w:spacing w:val="-7"/>
        </w:rPr>
        <w:t> </w:t>
      </w:r>
      <w:r>
        <w:rPr/>
        <w:t>allow</w:t>
      </w:r>
      <w:r>
        <w:rPr>
          <w:spacing w:val="-4"/>
        </w:rPr>
        <w:t> </w:t>
      </w:r>
      <w:r>
        <w:rPr/>
        <w:t>Architecture</w:t>
      </w:r>
      <w:r>
        <w:rPr>
          <w:spacing w:val="-4"/>
        </w:rPr>
        <w:t> </w:t>
      </w:r>
      <w:r>
        <w:rPr/>
        <w:t>students</w:t>
      </w:r>
      <w:r>
        <w:rPr>
          <w:spacing w:val="-3"/>
        </w:rPr>
        <w:t> </w:t>
      </w:r>
      <w:r>
        <w:rPr/>
        <w:t>to</w:t>
      </w:r>
      <w:r>
        <w:rPr>
          <w:spacing w:val="-1"/>
        </w:rPr>
        <w:t> </w:t>
      </w:r>
      <w:r>
        <w:rPr/>
        <w:t>participate</w:t>
      </w:r>
      <w:r>
        <w:rPr>
          <w:spacing w:val="-4"/>
        </w:rPr>
        <w:t> </w:t>
      </w:r>
      <w:r>
        <w:rPr/>
        <w:t>in</w:t>
      </w:r>
      <w:r>
        <w:rPr>
          <w:spacing w:val="-4"/>
        </w:rPr>
        <w:t> </w:t>
      </w:r>
      <w:r>
        <w:rPr/>
        <w:t>resource</w:t>
      </w:r>
      <w:r>
        <w:rPr>
          <w:spacing w:val="-4"/>
        </w:rPr>
        <w:t> </w:t>
      </w:r>
      <w:r>
        <w:rPr/>
        <w:t>sharing with</w:t>
      </w:r>
      <w:r>
        <w:rPr>
          <w:spacing w:val="-2"/>
        </w:rPr>
        <w:t> </w:t>
      </w:r>
      <w:r>
        <w:rPr/>
        <w:t>many</w:t>
      </w:r>
      <w:r>
        <w:rPr>
          <w:spacing w:val="-9"/>
        </w:rPr>
        <w:t> </w:t>
      </w:r>
      <w:r>
        <w:rPr/>
        <w:t>local and regional academic institutions.</w:t>
      </w:r>
    </w:p>
    <w:p>
      <w:pPr>
        <w:spacing w:after="0"/>
        <w:sectPr>
          <w:headerReference w:type="default" r:id="rId79"/>
          <w:footerReference w:type="default" r:id="rId80"/>
          <w:pgSz w:w="12240" w:h="15840"/>
          <w:pgMar w:header="0" w:footer="974" w:top="1360" w:bottom="1160" w:left="1160" w:right="320"/>
        </w:sectPr>
      </w:pPr>
    </w:p>
    <w:p>
      <w:pPr>
        <w:pStyle w:val="BodyText"/>
        <w:spacing w:before="77"/>
        <w:ind w:left="1503"/>
      </w:pPr>
      <w:r>
        <w:rPr>
          <w:spacing w:val="-2"/>
        </w:rPr>
        <w:t>Facilities</w:t>
      </w:r>
    </w:p>
    <w:p>
      <w:pPr>
        <w:pStyle w:val="BodyText"/>
        <w:spacing w:before="10"/>
      </w:pPr>
    </w:p>
    <w:p>
      <w:pPr>
        <w:pStyle w:val="BodyText"/>
        <w:ind w:left="1503" w:right="1151"/>
      </w:pPr>
      <w:r>
        <w:rPr/>
        <w:t>The Architecture Library is centrally located on the second floor of the three story Architecture</w:t>
      </w:r>
      <w:r>
        <w:rPr>
          <w:spacing w:val="-4"/>
        </w:rPr>
        <w:t> </w:t>
      </w:r>
      <w:r>
        <w:rPr/>
        <w:t>Department</w:t>
      </w:r>
      <w:r>
        <w:rPr>
          <w:spacing w:val="-4"/>
        </w:rPr>
        <w:t> </w:t>
      </w:r>
      <w:r>
        <w:rPr/>
        <w:t>building.</w:t>
      </w:r>
      <w:r>
        <w:rPr>
          <w:spacing w:val="40"/>
        </w:rPr>
        <w:t> </w:t>
      </w:r>
      <w:r>
        <w:rPr/>
        <w:t>The</w:t>
      </w:r>
      <w:r>
        <w:rPr>
          <w:spacing w:val="-4"/>
        </w:rPr>
        <w:t> </w:t>
      </w:r>
      <w:r>
        <w:rPr/>
        <w:t>librarian’s</w:t>
      </w:r>
      <w:r>
        <w:rPr>
          <w:spacing w:val="-3"/>
        </w:rPr>
        <w:t> </w:t>
      </w:r>
      <w:r>
        <w:rPr/>
        <w:t>office</w:t>
      </w:r>
      <w:r>
        <w:rPr>
          <w:spacing w:val="-4"/>
        </w:rPr>
        <w:t> </w:t>
      </w:r>
      <w:r>
        <w:rPr/>
        <w:t>and</w:t>
      </w:r>
      <w:r>
        <w:rPr>
          <w:spacing w:val="-2"/>
        </w:rPr>
        <w:t> </w:t>
      </w:r>
      <w:r>
        <w:rPr/>
        <w:t>the</w:t>
      </w:r>
      <w:r>
        <w:rPr>
          <w:spacing w:val="-4"/>
        </w:rPr>
        <w:t> </w:t>
      </w:r>
      <w:r>
        <w:rPr/>
        <w:t>computer</w:t>
      </w:r>
      <w:r>
        <w:rPr>
          <w:spacing w:val="-3"/>
        </w:rPr>
        <w:t> </w:t>
      </w:r>
      <w:r>
        <w:rPr/>
        <w:t>lab</w:t>
      </w:r>
      <w:r>
        <w:rPr>
          <w:spacing w:val="-2"/>
        </w:rPr>
        <w:t> </w:t>
      </w:r>
      <w:r>
        <w:rPr/>
        <w:t>are</w:t>
      </w:r>
      <w:r>
        <w:rPr>
          <w:spacing w:val="-4"/>
        </w:rPr>
        <w:t> </w:t>
      </w:r>
      <w:r>
        <w:rPr/>
        <w:t>located</w:t>
      </w:r>
      <w:r>
        <w:rPr>
          <w:spacing w:val="-2"/>
        </w:rPr>
        <w:t> </w:t>
      </w:r>
      <w:r>
        <w:rPr/>
        <w:t>in separate</w:t>
      </w:r>
      <w:r>
        <w:rPr>
          <w:spacing w:val="-1"/>
        </w:rPr>
        <w:t> </w:t>
      </w:r>
      <w:r>
        <w:rPr/>
        <w:t>rooms inside</w:t>
      </w:r>
      <w:r>
        <w:rPr>
          <w:spacing w:val="-1"/>
        </w:rPr>
        <w:t> </w:t>
      </w:r>
      <w:r>
        <w:rPr/>
        <w:t>the larger room.</w:t>
      </w:r>
      <w:r>
        <w:rPr>
          <w:spacing w:val="40"/>
        </w:rPr>
        <w:t> </w:t>
      </w:r>
      <w:r>
        <w:rPr/>
        <w:t>The</w:t>
      </w:r>
      <w:r>
        <w:rPr>
          <w:spacing w:val="-1"/>
        </w:rPr>
        <w:t> </w:t>
      </w:r>
      <w:r>
        <w:rPr/>
        <w:t>entire area</w:t>
      </w:r>
      <w:r>
        <w:rPr>
          <w:spacing w:val="-1"/>
        </w:rPr>
        <w:t> </w:t>
      </w:r>
      <w:r>
        <w:rPr/>
        <w:t>is accessible,</w:t>
      </w:r>
      <w:r>
        <w:rPr>
          <w:spacing w:val="-1"/>
        </w:rPr>
        <w:t> </w:t>
      </w:r>
      <w:r>
        <w:rPr/>
        <w:t>comfortable</w:t>
      </w:r>
      <w:r>
        <w:rPr>
          <w:spacing w:val="-1"/>
        </w:rPr>
        <w:t> </w:t>
      </w:r>
      <w:r>
        <w:rPr/>
        <w:t>and</w:t>
      </w:r>
      <w:r>
        <w:rPr>
          <w:spacing w:val="-1"/>
        </w:rPr>
        <w:t> </w:t>
      </w:r>
      <w:r>
        <w:rPr/>
        <w:t>has excellent lighting.</w:t>
      </w:r>
    </w:p>
    <w:p>
      <w:pPr>
        <w:pStyle w:val="BodyText"/>
        <w:spacing w:before="10"/>
      </w:pPr>
    </w:p>
    <w:p>
      <w:pPr>
        <w:pStyle w:val="BodyText"/>
        <w:ind w:left="1503"/>
      </w:pPr>
      <w:r>
        <w:rPr>
          <w:spacing w:val="-2"/>
        </w:rPr>
        <w:t>Finances</w:t>
      </w:r>
    </w:p>
    <w:p>
      <w:pPr>
        <w:pStyle w:val="BodyText"/>
        <w:spacing w:before="10"/>
      </w:pPr>
    </w:p>
    <w:p>
      <w:pPr>
        <w:pStyle w:val="BodyText"/>
        <w:ind w:left="1503" w:right="1211"/>
      </w:pPr>
      <w:r>
        <w:rPr/>
        <w:t>Funding</w:t>
      </w:r>
      <w:r>
        <w:rPr>
          <w:spacing w:val="-5"/>
        </w:rPr>
        <w:t> </w:t>
      </w:r>
      <w:r>
        <w:rPr/>
        <w:t>for</w:t>
      </w:r>
      <w:r>
        <w:rPr>
          <w:spacing w:val="-4"/>
        </w:rPr>
        <w:t> </w:t>
      </w:r>
      <w:r>
        <w:rPr/>
        <w:t>the</w:t>
      </w:r>
      <w:r>
        <w:rPr>
          <w:spacing w:val="-5"/>
        </w:rPr>
        <w:t> </w:t>
      </w:r>
      <w:r>
        <w:rPr/>
        <w:t>Architecture</w:t>
      </w:r>
      <w:r>
        <w:rPr>
          <w:spacing w:val="-5"/>
        </w:rPr>
        <w:t> </w:t>
      </w:r>
      <w:r>
        <w:rPr/>
        <w:t>Library</w:t>
      </w:r>
      <w:r>
        <w:rPr>
          <w:spacing w:val="-6"/>
        </w:rPr>
        <w:t> </w:t>
      </w:r>
      <w:r>
        <w:rPr/>
        <w:t>is</w:t>
      </w:r>
      <w:r>
        <w:rPr>
          <w:spacing w:val="-4"/>
        </w:rPr>
        <w:t> </w:t>
      </w:r>
      <w:r>
        <w:rPr/>
        <w:t>provided</w:t>
      </w:r>
      <w:r>
        <w:rPr>
          <w:spacing w:val="-3"/>
        </w:rPr>
        <w:t> </w:t>
      </w:r>
      <w:r>
        <w:rPr/>
        <w:t>through</w:t>
      </w:r>
      <w:r>
        <w:rPr>
          <w:spacing w:val="-5"/>
        </w:rPr>
        <w:t> </w:t>
      </w:r>
      <w:r>
        <w:rPr/>
        <w:t>an</w:t>
      </w:r>
      <w:r>
        <w:rPr>
          <w:spacing w:val="-3"/>
        </w:rPr>
        <w:t> </w:t>
      </w:r>
      <w:r>
        <w:rPr/>
        <w:t>operating</w:t>
      </w:r>
      <w:r>
        <w:rPr>
          <w:spacing w:val="-5"/>
        </w:rPr>
        <w:t> </w:t>
      </w:r>
      <w:r>
        <w:rPr/>
        <w:t>budget</w:t>
      </w:r>
      <w:r>
        <w:rPr>
          <w:spacing w:val="-5"/>
        </w:rPr>
        <w:t> </w:t>
      </w:r>
      <w:r>
        <w:rPr/>
        <w:t>administered by the University.</w:t>
      </w:r>
      <w:r>
        <w:rPr>
          <w:spacing w:val="40"/>
        </w:rPr>
        <w:t> </w:t>
      </w:r>
      <w:r>
        <w:rPr/>
        <w:t>The Harvey Library funds the acquisition and maintenance of the periodical collections, print and online.</w:t>
      </w:r>
      <w:r>
        <w:rPr>
          <w:spacing w:val="40"/>
        </w:rPr>
        <w:t> </w:t>
      </w:r>
      <w:r>
        <w:rPr/>
        <w:t>All other library items are purchased through the operating budget administered by</w:t>
      </w:r>
      <w:r>
        <w:rPr>
          <w:spacing w:val="-2"/>
        </w:rPr>
        <w:t> </w:t>
      </w:r>
      <w:r>
        <w:rPr/>
        <w:t>the Department Chair with approval by</w:t>
      </w:r>
      <w:r>
        <w:rPr>
          <w:spacing w:val="-2"/>
        </w:rPr>
        <w:t> </w:t>
      </w:r>
      <w:r>
        <w:rPr/>
        <w:t>the Dean of the School</w:t>
      </w:r>
      <w:r>
        <w:rPr>
          <w:spacing w:val="-3"/>
        </w:rPr>
        <w:t> </w:t>
      </w:r>
      <w:r>
        <w:rPr/>
        <w:t>of Engineering and Technology.</w:t>
      </w:r>
      <w:r>
        <w:rPr>
          <w:spacing w:val="40"/>
        </w:rPr>
        <w:t> </w:t>
      </w:r>
      <w:r>
        <w:rPr/>
        <w:t>All</w:t>
      </w:r>
      <w:r>
        <w:rPr>
          <w:spacing w:val="-3"/>
        </w:rPr>
        <w:t> </w:t>
      </w:r>
      <w:r>
        <w:rPr/>
        <w:t>purchasing</w:t>
      </w:r>
      <w:r>
        <w:rPr>
          <w:spacing w:val="-2"/>
        </w:rPr>
        <w:t> </w:t>
      </w:r>
      <w:r>
        <w:rPr/>
        <w:t>decisions</w:t>
      </w:r>
      <w:r>
        <w:rPr>
          <w:spacing w:val="-1"/>
        </w:rPr>
        <w:t> </w:t>
      </w:r>
      <w:r>
        <w:rPr/>
        <w:t>must</w:t>
      </w:r>
      <w:r>
        <w:rPr>
          <w:spacing w:val="-2"/>
        </w:rPr>
        <w:t> </w:t>
      </w:r>
      <w:r>
        <w:rPr/>
        <w:t>be</w:t>
      </w:r>
      <w:r>
        <w:rPr>
          <w:spacing w:val="-2"/>
        </w:rPr>
        <w:t> </w:t>
      </w:r>
      <w:r>
        <w:rPr/>
        <w:t>finalized</w:t>
      </w:r>
      <w:r>
        <w:rPr>
          <w:spacing w:val="-2"/>
        </w:rPr>
        <w:t> </w:t>
      </w:r>
      <w:r>
        <w:rPr/>
        <w:t>by</w:t>
      </w:r>
      <w:r>
        <w:rPr>
          <w:spacing w:val="-5"/>
        </w:rPr>
        <w:t> </w:t>
      </w:r>
      <w:r>
        <w:rPr/>
        <w:t>the University Provost.</w:t>
      </w:r>
    </w:p>
    <w:p>
      <w:pPr>
        <w:pStyle w:val="BodyText"/>
        <w:spacing w:before="10"/>
      </w:pPr>
    </w:p>
    <w:p>
      <w:pPr>
        <w:pStyle w:val="BodyText"/>
        <w:ind w:left="1503" w:right="1211"/>
      </w:pPr>
      <w:r>
        <w:rPr/>
        <w:t>The budget process is a collaborative function carried out by the Department Chairperson with</w:t>
      </w:r>
      <w:r>
        <w:rPr>
          <w:spacing w:val="-2"/>
        </w:rPr>
        <w:t> </w:t>
      </w:r>
      <w:r>
        <w:rPr/>
        <w:t>input</w:t>
      </w:r>
      <w:r>
        <w:rPr>
          <w:spacing w:val="-4"/>
        </w:rPr>
        <w:t> </w:t>
      </w:r>
      <w:r>
        <w:rPr/>
        <w:t>from the</w:t>
      </w:r>
      <w:r>
        <w:rPr>
          <w:spacing w:val="-4"/>
        </w:rPr>
        <w:t> </w:t>
      </w:r>
      <w:r>
        <w:rPr/>
        <w:t>Architecture</w:t>
      </w:r>
      <w:r>
        <w:rPr>
          <w:spacing w:val="-4"/>
        </w:rPr>
        <w:t> </w:t>
      </w:r>
      <w:r>
        <w:rPr/>
        <w:t>librarian</w:t>
      </w:r>
      <w:r>
        <w:rPr>
          <w:spacing w:val="-2"/>
        </w:rPr>
        <w:t> </w:t>
      </w:r>
      <w:r>
        <w:rPr/>
        <w:t>and</w:t>
      </w:r>
      <w:r>
        <w:rPr>
          <w:spacing w:val="-2"/>
        </w:rPr>
        <w:t> </w:t>
      </w:r>
      <w:r>
        <w:rPr/>
        <w:t>instructing</w:t>
      </w:r>
      <w:r>
        <w:rPr>
          <w:spacing w:val="-4"/>
        </w:rPr>
        <w:t> </w:t>
      </w:r>
      <w:r>
        <w:rPr/>
        <w:t>faculty.</w:t>
      </w:r>
      <w:r>
        <w:rPr>
          <w:spacing w:val="40"/>
        </w:rPr>
        <w:t> </w:t>
      </w:r>
      <w:r>
        <w:rPr/>
        <w:t>The</w:t>
      </w:r>
      <w:r>
        <w:rPr>
          <w:spacing w:val="-4"/>
        </w:rPr>
        <w:t> </w:t>
      </w:r>
      <w:r>
        <w:rPr/>
        <w:t>Harvey</w:t>
      </w:r>
      <w:r>
        <w:rPr>
          <w:spacing w:val="-7"/>
        </w:rPr>
        <w:t> </w:t>
      </w:r>
      <w:r>
        <w:rPr/>
        <w:t>Library</w:t>
      </w:r>
      <w:r>
        <w:rPr>
          <w:spacing w:val="-7"/>
        </w:rPr>
        <w:t> </w:t>
      </w:r>
      <w:r>
        <w:rPr/>
        <w:t>budget includes expenses for periodical subscriptions for the Architecture Library, Architecture monographs for the Harvey Library and cataloging and physical processing of all items regardless of location.</w:t>
      </w:r>
    </w:p>
    <w:p>
      <w:pPr>
        <w:pStyle w:val="BodyText"/>
        <w:spacing w:before="10"/>
      </w:pPr>
    </w:p>
    <w:p>
      <w:pPr>
        <w:pStyle w:val="BodyText"/>
        <w:ind w:left="1503" w:right="1325"/>
        <w:jc w:val="both"/>
      </w:pPr>
      <w:r>
        <w:rPr/>
        <w:t>Additional</w:t>
      </w:r>
      <w:r>
        <w:rPr>
          <w:spacing w:val="-5"/>
        </w:rPr>
        <w:t> </w:t>
      </w:r>
      <w:r>
        <w:rPr/>
        <w:t>resources</w:t>
      </w:r>
      <w:r>
        <w:rPr>
          <w:spacing w:val="-3"/>
        </w:rPr>
        <w:t> </w:t>
      </w:r>
      <w:r>
        <w:rPr/>
        <w:t>are</w:t>
      </w:r>
      <w:r>
        <w:rPr>
          <w:spacing w:val="-4"/>
        </w:rPr>
        <w:t> </w:t>
      </w:r>
      <w:r>
        <w:rPr/>
        <w:t>acquired</w:t>
      </w:r>
      <w:r>
        <w:rPr>
          <w:spacing w:val="-4"/>
        </w:rPr>
        <w:t> </w:t>
      </w:r>
      <w:r>
        <w:rPr/>
        <w:t>through</w:t>
      </w:r>
      <w:r>
        <w:rPr>
          <w:spacing w:val="-2"/>
        </w:rPr>
        <w:t> </w:t>
      </w:r>
      <w:r>
        <w:rPr/>
        <w:t>grants</w:t>
      </w:r>
      <w:r>
        <w:rPr>
          <w:spacing w:val="-3"/>
        </w:rPr>
        <w:t> </w:t>
      </w:r>
      <w:r>
        <w:rPr/>
        <w:t>to</w:t>
      </w:r>
      <w:r>
        <w:rPr>
          <w:spacing w:val="-4"/>
        </w:rPr>
        <w:t> </w:t>
      </w:r>
      <w:r>
        <w:rPr/>
        <w:t>the</w:t>
      </w:r>
      <w:r>
        <w:rPr>
          <w:spacing w:val="-4"/>
        </w:rPr>
        <w:t> </w:t>
      </w:r>
      <w:r>
        <w:rPr/>
        <w:t>University,</w:t>
      </w:r>
      <w:r>
        <w:rPr>
          <w:spacing w:val="-2"/>
        </w:rPr>
        <w:t> </w:t>
      </w:r>
      <w:r>
        <w:rPr/>
        <w:t>School</w:t>
      </w:r>
      <w:r>
        <w:rPr>
          <w:spacing w:val="-3"/>
        </w:rPr>
        <w:t> </w:t>
      </w:r>
      <w:r>
        <w:rPr/>
        <w:t>or</w:t>
      </w:r>
      <w:r>
        <w:rPr>
          <w:spacing w:val="-3"/>
        </w:rPr>
        <w:t> </w:t>
      </w:r>
      <w:r>
        <w:rPr/>
        <w:t>Department. The</w:t>
      </w:r>
      <w:r>
        <w:rPr>
          <w:spacing w:val="-3"/>
        </w:rPr>
        <w:t> </w:t>
      </w:r>
      <w:r>
        <w:rPr/>
        <w:t>Harvey</w:t>
      </w:r>
      <w:r>
        <w:rPr>
          <w:spacing w:val="-6"/>
        </w:rPr>
        <w:t> </w:t>
      </w:r>
      <w:r>
        <w:rPr/>
        <w:t>Library</w:t>
      </w:r>
      <w:r>
        <w:rPr>
          <w:spacing w:val="-6"/>
        </w:rPr>
        <w:t> </w:t>
      </w:r>
      <w:r>
        <w:rPr/>
        <w:t>faculty</w:t>
      </w:r>
      <w:r>
        <w:rPr>
          <w:spacing w:val="-4"/>
        </w:rPr>
        <w:t> </w:t>
      </w:r>
      <w:r>
        <w:rPr/>
        <w:t>are</w:t>
      </w:r>
      <w:r>
        <w:rPr>
          <w:spacing w:val="-3"/>
        </w:rPr>
        <w:t> </w:t>
      </w:r>
      <w:r>
        <w:rPr/>
        <w:t>always available</w:t>
      </w:r>
      <w:r>
        <w:rPr>
          <w:spacing w:val="-1"/>
        </w:rPr>
        <w:t> </w:t>
      </w:r>
      <w:r>
        <w:rPr/>
        <w:t>for</w:t>
      </w:r>
      <w:r>
        <w:rPr>
          <w:spacing w:val="-2"/>
        </w:rPr>
        <w:t> </w:t>
      </w:r>
      <w:r>
        <w:rPr/>
        <w:t>collaboration</w:t>
      </w:r>
      <w:r>
        <w:rPr>
          <w:spacing w:val="-3"/>
        </w:rPr>
        <w:t> </w:t>
      </w:r>
      <w:r>
        <w:rPr/>
        <w:t>on</w:t>
      </w:r>
      <w:r>
        <w:rPr>
          <w:spacing w:val="-1"/>
        </w:rPr>
        <w:t> </w:t>
      </w:r>
      <w:r>
        <w:rPr/>
        <w:t>any</w:t>
      </w:r>
      <w:r>
        <w:rPr>
          <w:spacing w:val="-6"/>
        </w:rPr>
        <w:t> </w:t>
      </w:r>
      <w:r>
        <w:rPr/>
        <w:t>grant</w:t>
      </w:r>
      <w:r>
        <w:rPr>
          <w:spacing w:val="-1"/>
        </w:rPr>
        <w:t> </w:t>
      </w:r>
      <w:r>
        <w:rPr/>
        <w:t>awards</w:t>
      </w:r>
      <w:r>
        <w:rPr>
          <w:spacing w:val="-2"/>
        </w:rPr>
        <w:t> </w:t>
      </w:r>
      <w:r>
        <w:rPr/>
        <w:t>that could include the Architecture Library.</w:t>
      </w:r>
    </w:p>
    <w:p>
      <w:pPr>
        <w:pStyle w:val="BodyText"/>
        <w:rPr>
          <w:sz w:val="21"/>
        </w:rPr>
      </w:pPr>
    </w:p>
    <w:p>
      <w:pPr>
        <w:pStyle w:val="BodyText"/>
        <w:ind w:left="1503"/>
        <w:jc w:val="both"/>
      </w:pPr>
      <w:r>
        <w:rPr/>
        <w:t>The</w:t>
      </w:r>
      <w:r>
        <w:rPr>
          <w:spacing w:val="-6"/>
        </w:rPr>
        <w:t> </w:t>
      </w:r>
      <w:r>
        <w:rPr/>
        <w:t>library</w:t>
      </w:r>
      <w:r>
        <w:rPr>
          <w:spacing w:val="-8"/>
        </w:rPr>
        <w:t> </w:t>
      </w:r>
      <w:r>
        <w:rPr/>
        <w:t>budget,</w:t>
      </w:r>
      <w:r>
        <w:rPr>
          <w:spacing w:val="-5"/>
        </w:rPr>
        <w:t> </w:t>
      </w:r>
      <w:r>
        <w:rPr/>
        <w:t>for</w:t>
      </w:r>
      <w:r>
        <w:rPr>
          <w:spacing w:val="-5"/>
        </w:rPr>
        <w:t> </w:t>
      </w:r>
      <w:r>
        <w:rPr/>
        <w:t>the</w:t>
      </w:r>
      <w:r>
        <w:rPr>
          <w:spacing w:val="-3"/>
        </w:rPr>
        <w:t> </w:t>
      </w:r>
      <w:r>
        <w:rPr/>
        <w:t>past</w:t>
      </w:r>
      <w:r>
        <w:rPr>
          <w:spacing w:val="-6"/>
        </w:rPr>
        <w:t> </w:t>
      </w:r>
      <w:r>
        <w:rPr/>
        <w:t>six</w:t>
      </w:r>
      <w:r>
        <w:rPr>
          <w:spacing w:val="-1"/>
        </w:rPr>
        <w:t> </w:t>
      </w:r>
      <w:r>
        <w:rPr/>
        <w:t>years,</w:t>
      </w:r>
      <w:r>
        <w:rPr>
          <w:spacing w:val="-6"/>
        </w:rPr>
        <w:t> </w:t>
      </w:r>
      <w:r>
        <w:rPr/>
        <w:t>has</w:t>
      </w:r>
      <w:r>
        <w:rPr>
          <w:spacing w:val="-2"/>
        </w:rPr>
        <w:t> </w:t>
      </w:r>
      <w:r>
        <w:rPr/>
        <w:t>been</w:t>
      </w:r>
      <w:r>
        <w:rPr>
          <w:spacing w:val="-5"/>
        </w:rPr>
        <w:t> </w:t>
      </w:r>
      <w:r>
        <w:rPr/>
        <w:t>as</w:t>
      </w:r>
      <w:r>
        <w:rPr>
          <w:spacing w:val="-2"/>
        </w:rPr>
        <w:t> follows:</w:t>
      </w:r>
    </w:p>
    <w:p>
      <w:pPr>
        <w:pStyle w:val="BodyText"/>
        <w:spacing w:before="10" w:after="1"/>
      </w:pPr>
    </w:p>
    <w:tbl>
      <w:tblPr>
        <w:tblW w:w="0" w:type="auto"/>
        <w:jc w:val="left"/>
        <w:tblInd w:w="2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49"/>
        <w:gridCol w:w="3871"/>
      </w:tblGrid>
      <w:tr>
        <w:trPr>
          <w:trHeight w:val="268" w:hRule="atLeast"/>
        </w:trPr>
        <w:tc>
          <w:tcPr>
            <w:tcW w:w="6120" w:type="dxa"/>
            <w:gridSpan w:val="2"/>
          </w:tcPr>
          <w:p>
            <w:pPr>
              <w:pStyle w:val="TableParagraph"/>
              <w:spacing w:line="248" w:lineRule="exact"/>
              <w:ind w:left="1329"/>
              <w:rPr>
                <w:b/>
                <w:sz w:val="22"/>
              </w:rPr>
            </w:pPr>
            <w:r>
              <w:rPr>
                <w:b/>
                <w:w w:val="80"/>
                <w:sz w:val="22"/>
              </w:rPr>
              <w:t>MOSES</w:t>
            </w:r>
            <w:r>
              <w:rPr>
                <w:b/>
                <w:spacing w:val="8"/>
                <w:sz w:val="22"/>
              </w:rPr>
              <w:t> </w:t>
            </w:r>
            <w:r>
              <w:rPr>
                <w:b/>
                <w:w w:val="80"/>
                <w:sz w:val="22"/>
              </w:rPr>
              <w:t>LIBRARY</w:t>
            </w:r>
            <w:r>
              <w:rPr>
                <w:b/>
                <w:spacing w:val="7"/>
                <w:sz w:val="22"/>
              </w:rPr>
              <w:t> </w:t>
            </w:r>
            <w:r>
              <w:rPr>
                <w:b/>
                <w:w w:val="80"/>
                <w:sz w:val="22"/>
              </w:rPr>
              <w:t>BUDGET</w:t>
            </w:r>
            <w:r>
              <w:rPr>
                <w:b/>
                <w:spacing w:val="12"/>
                <w:sz w:val="22"/>
              </w:rPr>
              <w:t> </w:t>
            </w:r>
            <w:r>
              <w:rPr>
                <w:b/>
                <w:w w:val="80"/>
                <w:sz w:val="22"/>
              </w:rPr>
              <w:t>–</w:t>
            </w:r>
            <w:r>
              <w:rPr>
                <w:b/>
                <w:spacing w:val="7"/>
                <w:sz w:val="22"/>
              </w:rPr>
              <w:t> </w:t>
            </w:r>
            <w:r>
              <w:rPr>
                <w:b/>
                <w:w w:val="80"/>
                <w:sz w:val="22"/>
              </w:rPr>
              <w:t>2009-</w:t>
            </w:r>
            <w:r>
              <w:rPr>
                <w:b/>
                <w:spacing w:val="-4"/>
                <w:w w:val="80"/>
                <w:sz w:val="22"/>
              </w:rPr>
              <w:t>2014</w:t>
            </w:r>
          </w:p>
        </w:tc>
      </w:tr>
      <w:tr>
        <w:trPr>
          <w:trHeight w:val="268" w:hRule="atLeast"/>
        </w:trPr>
        <w:tc>
          <w:tcPr>
            <w:tcW w:w="2249" w:type="dxa"/>
          </w:tcPr>
          <w:p>
            <w:pPr>
              <w:pStyle w:val="TableParagraph"/>
              <w:spacing w:line="246" w:lineRule="exact" w:before="2"/>
              <w:ind w:left="105"/>
              <w:rPr>
                <w:sz w:val="22"/>
              </w:rPr>
            </w:pPr>
            <w:r>
              <w:rPr>
                <w:w w:val="90"/>
                <w:sz w:val="22"/>
              </w:rPr>
              <w:t>2008-</w:t>
            </w:r>
            <w:r>
              <w:rPr>
                <w:spacing w:val="-4"/>
                <w:w w:val="95"/>
                <w:sz w:val="22"/>
              </w:rPr>
              <w:t>2009</w:t>
            </w:r>
          </w:p>
        </w:tc>
        <w:tc>
          <w:tcPr>
            <w:tcW w:w="3871" w:type="dxa"/>
          </w:tcPr>
          <w:p>
            <w:pPr>
              <w:pStyle w:val="TableParagraph"/>
              <w:spacing w:line="246" w:lineRule="exact" w:before="2"/>
              <w:ind w:right="95"/>
              <w:jc w:val="right"/>
              <w:rPr>
                <w:sz w:val="22"/>
              </w:rPr>
            </w:pPr>
            <w:r>
              <w:rPr>
                <w:spacing w:val="-2"/>
                <w:sz w:val="22"/>
              </w:rPr>
              <w:t>$13,775.00</w:t>
            </w:r>
          </w:p>
        </w:tc>
      </w:tr>
      <w:tr>
        <w:trPr>
          <w:trHeight w:val="270" w:hRule="atLeast"/>
        </w:trPr>
        <w:tc>
          <w:tcPr>
            <w:tcW w:w="2249" w:type="dxa"/>
          </w:tcPr>
          <w:p>
            <w:pPr>
              <w:pStyle w:val="TableParagraph"/>
              <w:spacing w:line="249" w:lineRule="exact" w:before="2"/>
              <w:ind w:left="105"/>
              <w:rPr>
                <w:sz w:val="22"/>
              </w:rPr>
            </w:pPr>
            <w:r>
              <w:rPr>
                <w:w w:val="90"/>
                <w:sz w:val="22"/>
              </w:rPr>
              <w:t>2009-</w:t>
            </w:r>
            <w:r>
              <w:rPr>
                <w:spacing w:val="-4"/>
                <w:w w:val="95"/>
                <w:sz w:val="22"/>
              </w:rPr>
              <w:t>2010</w:t>
            </w:r>
          </w:p>
        </w:tc>
        <w:tc>
          <w:tcPr>
            <w:tcW w:w="3871" w:type="dxa"/>
          </w:tcPr>
          <w:p>
            <w:pPr>
              <w:pStyle w:val="TableParagraph"/>
              <w:spacing w:line="249" w:lineRule="exact" w:before="2"/>
              <w:ind w:right="95"/>
              <w:jc w:val="right"/>
              <w:rPr>
                <w:sz w:val="22"/>
              </w:rPr>
            </w:pPr>
            <w:r>
              <w:rPr>
                <w:spacing w:val="-2"/>
                <w:sz w:val="22"/>
              </w:rPr>
              <w:t>$13,975.00</w:t>
            </w:r>
          </w:p>
        </w:tc>
      </w:tr>
      <w:tr>
        <w:trPr>
          <w:trHeight w:val="268" w:hRule="atLeast"/>
        </w:trPr>
        <w:tc>
          <w:tcPr>
            <w:tcW w:w="2249" w:type="dxa"/>
          </w:tcPr>
          <w:p>
            <w:pPr>
              <w:pStyle w:val="TableParagraph"/>
              <w:spacing w:line="248" w:lineRule="exact"/>
              <w:ind w:left="105"/>
              <w:rPr>
                <w:sz w:val="22"/>
              </w:rPr>
            </w:pPr>
            <w:r>
              <w:rPr>
                <w:w w:val="90"/>
                <w:sz w:val="22"/>
              </w:rPr>
              <w:t>2010-</w:t>
            </w:r>
            <w:r>
              <w:rPr>
                <w:spacing w:val="-4"/>
                <w:w w:val="95"/>
                <w:sz w:val="22"/>
              </w:rPr>
              <w:t>2011</w:t>
            </w:r>
          </w:p>
        </w:tc>
        <w:tc>
          <w:tcPr>
            <w:tcW w:w="3871" w:type="dxa"/>
          </w:tcPr>
          <w:p>
            <w:pPr>
              <w:pStyle w:val="TableParagraph"/>
              <w:spacing w:line="248" w:lineRule="exact"/>
              <w:ind w:right="95"/>
              <w:jc w:val="right"/>
              <w:rPr>
                <w:sz w:val="22"/>
              </w:rPr>
            </w:pPr>
            <w:r>
              <w:rPr>
                <w:spacing w:val="-2"/>
                <w:sz w:val="22"/>
              </w:rPr>
              <w:t>$13,975.00</w:t>
            </w:r>
          </w:p>
        </w:tc>
      </w:tr>
      <w:tr>
        <w:trPr>
          <w:trHeight w:val="268" w:hRule="atLeast"/>
        </w:trPr>
        <w:tc>
          <w:tcPr>
            <w:tcW w:w="2249" w:type="dxa"/>
          </w:tcPr>
          <w:p>
            <w:pPr>
              <w:pStyle w:val="TableParagraph"/>
              <w:spacing w:line="248" w:lineRule="exact"/>
              <w:ind w:left="105"/>
              <w:rPr>
                <w:sz w:val="22"/>
              </w:rPr>
            </w:pPr>
            <w:r>
              <w:rPr>
                <w:w w:val="90"/>
                <w:sz w:val="22"/>
              </w:rPr>
              <w:t>2011-</w:t>
            </w:r>
            <w:r>
              <w:rPr>
                <w:spacing w:val="-4"/>
                <w:w w:val="95"/>
                <w:sz w:val="22"/>
              </w:rPr>
              <w:t>2012</w:t>
            </w:r>
          </w:p>
        </w:tc>
        <w:tc>
          <w:tcPr>
            <w:tcW w:w="3871" w:type="dxa"/>
          </w:tcPr>
          <w:p>
            <w:pPr>
              <w:pStyle w:val="TableParagraph"/>
              <w:spacing w:line="248" w:lineRule="exact"/>
              <w:ind w:right="95"/>
              <w:jc w:val="right"/>
              <w:rPr>
                <w:sz w:val="22"/>
              </w:rPr>
            </w:pPr>
            <w:r>
              <w:rPr>
                <w:spacing w:val="-2"/>
                <w:sz w:val="22"/>
              </w:rPr>
              <w:t>$13,975.00</w:t>
            </w:r>
          </w:p>
        </w:tc>
      </w:tr>
      <w:tr>
        <w:trPr>
          <w:trHeight w:val="268" w:hRule="atLeast"/>
        </w:trPr>
        <w:tc>
          <w:tcPr>
            <w:tcW w:w="2249" w:type="dxa"/>
          </w:tcPr>
          <w:p>
            <w:pPr>
              <w:pStyle w:val="TableParagraph"/>
              <w:spacing w:line="248" w:lineRule="exact"/>
              <w:ind w:left="105"/>
              <w:rPr>
                <w:sz w:val="22"/>
              </w:rPr>
            </w:pPr>
            <w:r>
              <w:rPr>
                <w:w w:val="90"/>
                <w:sz w:val="22"/>
              </w:rPr>
              <w:t>2012-</w:t>
            </w:r>
            <w:r>
              <w:rPr>
                <w:spacing w:val="-4"/>
                <w:w w:val="95"/>
                <w:sz w:val="22"/>
              </w:rPr>
              <w:t>2013</w:t>
            </w:r>
          </w:p>
        </w:tc>
        <w:tc>
          <w:tcPr>
            <w:tcW w:w="3871" w:type="dxa"/>
          </w:tcPr>
          <w:p>
            <w:pPr>
              <w:pStyle w:val="TableParagraph"/>
              <w:spacing w:line="248" w:lineRule="exact"/>
              <w:ind w:right="95"/>
              <w:jc w:val="right"/>
              <w:rPr>
                <w:sz w:val="22"/>
              </w:rPr>
            </w:pPr>
            <w:r>
              <w:rPr>
                <w:spacing w:val="-2"/>
                <w:sz w:val="22"/>
              </w:rPr>
              <w:t>$13,975.00</w:t>
            </w:r>
          </w:p>
        </w:tc>
      </w:tr>
      <w:tr>
        <w:trPr>
          <w:trHeight w:val="268" w:hRule="atLeast"/>
        </w:trPr>
        <w:tc>
          <w:tcPr>
            <w:tcW w:w="2249" w:type="dxa"/>
          </w:tcPr>
          <w:p>
            <w:pPr>
              <w:pStyle w:val="TableParagraph"/>
              <w:spacing w:line="248" w:lineRule="exact"/>
              <w:ind w:left="105"/>
              <w:rPr>
                <w:sz w:val="22"/>
              </w:rPr>
            </w:pPr>
            <w:r>
              <w:rPr>
                <w:w w:val="90"/>
                <w:sz w:val="22"/>
              </w:rPr>
              <w:t>2013-</w:t>
            </w:r>
            <w:r>
              <w:rPr>
                <w:spacing w:val="-4"/>
                <w:w w:val="95"/>
                <w:sz w:val="22"/>
              </w:rPr>
              <w:t>2014</w:t>
            </w:r>
          </w:p>
        </w:tc>
        <w:tc>
          <w:tcPr>
            <w:tcW w:w="3871" w:type="dxa"/>
          </w:tcPr>
          <w:p>
            <w:pPr>
              <w:pStyle w:val="TableParagraph"/>
              <w:spacing w:line="248" w:lineRule="exact"/>
              <w:ind w:right="95"/>
              <w:jc w:val="right"/>
              <w:rPr>
                <w:sz w:val="22"/>
              </w:rPr>
            </w:pPr>
            <w:r>
              <w:rPr>
                <w:spacing w:val="-2"/>
                <w:sz w:val="22"/>
              </w:rPr>
              <w:t>$14,000.00</w:t>
            </w:r>
          </w:p>
        </w:tc>
      </w:tr>
      <w:tr>
        <w:trPr>
          <w:trHeight w:val="268" w:hRule="atLeast"/>
        </w:trPr>
        <w:tc>
          <w:tcPr>
            <w:tcW w:w="2249" w:type="dxa"/>
          </w:tcPr>
          <w:p>
            <w:pPr>
              <w:pStyle w:val="TableParagraph"/>
              <w:spacing w:line="248" w:lineRule="exact"/>
              <w:ind w:left="105"/>
              <w:rPr>
                <w:sz w:val="22"/>
              </w:rPr>
            </w:pPr>
            <w:r>
              <w:rPr>
                <w:w w:val="90"/>
                <w:sz w:val="22"/>
              </w:rPr>
              <w:t>2014-</w:t>
            </w:r>
            <w:r>
              <w:rPr>
                <w:spacing w:val="-4"/>
                <w:w w:val="95"/>
                <w:sz w:val="22"/>
              </w:rPr>
              <w:t>2025</w:t>
            </w:r>
          </w:p>
        </w:tc>
        <w:tc>
          <w:tcPr>
            <w:tcW w:w="3871" w:type="dxa"/>
          </w:tcPr>
          <w:p>
            <w:pPr>
              <w:pStyle w:val="TableParagraph"/>
              <w:spacing w:line="248" w:lineRule="exact"/>
              <w:ind w:right="97"/>
              <w:jc w:val="right"/>
              <w:rPr>
                <w:sz w:val="22"/>
              </w:rPr>
            </w:pPr>
            <w:r>
              <w:rPr>
                <w:spacing w:val="-2"/>
                <w:sz w:val="22"/>
              </w:rPr>
              <w:t>$14,000.00</w:t>
            </w:r>
          </w:p>
        </w:tc>
      </w:tr>
    </w:tbl>
    <w:p>
      <w:pPr>
        <w:pStyle w:val="BodyText"/>
        <w:spacing w:before="10"/>
      </w:pPr>
    </w:p>
    <w:p>
      <w:pPr>
        <w:pStyle w:val="BodyText"/>
        <w:ind w:left="280"/>
      </w:pPr>
      <w:r>
        <w:rPr/>
        <w:t>The</w:t>
      </w:r>
      <w:r>
        <w:rPr>
          <w:spacing w:val="-10"/>
        </w:rPr>
        <w:t> </w:t>
      </w:r>
      <w:r>
        <w:rPr/>
        <w:t>University’s</w:t>
      </w:r>
      <w:r>
        <w:rPr>
          <w:spacing w:val="-7"/>
        </w:rPr>
        <w:t> </w:t>
      </w:r>
      <w:r>
        <w:rPr/>
        <w:t>Main</w:t>
      </w:r>
      <w:r>
        <w:rPr>
          <w:spacing w:val="-7"/>
        </w:rPr>
        <w:t> </w:t>
      </w:r>
      <w:r>
        <w:rPr>
          <w:spacing w:val="-2"/>
        </w:rPr>
        <w:t>Library</w:t>
      </w:r>
    </w:p>
    <w:p>
      <w:pPr>
        <w:pStyle w:val="BodyText"/>
        <w:spacing w:before="10"/>
      </w:pPr>
    </w:p>
    <w:p>
      <w:pPr>
        <w:pStyle w:val="BodyText"/>
        <w:ind w:left="1504" w:right="1211"/>
      </w:pPr>
      <w:r>
        <w:rPr/>
        <w:t>The</w:t>
      </w:r>
      <w:r>
        <w:rPr>
          <w:spacing w:val="-4"/>
        </w:rPr>
        <w:t> </w:t>
      </w:r>
      <w:r>
        <w:rPr/>
        <w:t>William R. &amp; Norma B. Harvey</w:t>
      </w:r>
      <w:r>
        <w:rPr>
          <w:spacing w:val="-2"/>
        </w:rPr>
        <w:t> </w:t>
      </w:r>
      <w:r>
        <w:rPr/>
        <w:t>Library, also serves the Department of Architecture at Hampton</w:t>
      </w:r>
      <w:r>
        <w:rPr>
          <w:spacing w:val="-4"/>
        </w:rPr>
        <w:t> </w:t>
      </w:r>
      <w:r>
        <w:rPr/>
        <w:t>University.</w:t>
      </w:r>
      <w:r>
        <w:rPr>
          <w:spacing w:val="-4"/>
        </w:rPr>
        <w:t> </w:t>
      </w:r>
      <w:r>
        <w:rPr/>
        <w:t>The</w:t>
      </w:r>
      <w:r>
        <w:rPr>
          <w:spacing w:val="-2"/>
        </w:rPr>
        <w:t> </w:t>
      </w:r>
      <w:r>
        <w:rPr/>
        <w:t>library</w:t>
      </w:r>
      <w:r>
        <w:rPr>
          <w:spacing w:val="-7"/>
        </w:rPr>
        <w:t> </w:t>
      </w:r>
      <w:r>
        <w:rPr/>
        <w:t>encourages</w:t>
      </w:r>
      <w:r>
        <w:rPr>
          <w:spacing w:val="-3"/>
        </w:rPr>
        <w:t> </w:t>
      </w:r>
      <w:r>
        <w:rPr/>
        <w:t>and</w:t>
      </w:r>
      <w:r>
        <w:rPr>
          <w:spacing w:val="-4"/>
        </w:rPr>
        <w:t> </w:t>
      </w:r>
      <w:r>
        <w:rPr/>
        <w:t>utilizes</w:t>
      </w:r>
      <w:r>
        <w:rPr>
          <w:spacing w:val="-3"/>
        </w:rPr>
        <w:t> </w:t>
      </w:r>
      <w:r>
        <w:rPr/>
        <w:t>input</w:t>
      </w:r>
      <w:r>
        <w:rPr>
          <w:spacing w:val="-4"/>
        </w:rPr>
        <w:t> </w:t>
      </w:r>
      <w:r>
        <w:rPr/>
        <w:t>from</w:t>
      </w:r>
      <w:r>
        <w:rPr>
          <w:spacing w:val="-2"/>
        </w:rPr>
        <w:t> </w:t>
      </w:r>
      <w:r>
        <w:rPr/>
        <w:t>faculty</w:t>
      </w:r>
      <w:r>
        <w:rPr>
          <w:spacing w:val="-7"/>
        </w:rPr>
        <w:t> </w:t>
      </w:r>
      <w:r>
        <w:rPr/>
        <w:t>and</w:t>
      </w:r>
      <w:r>
        <w:rPr>
          <w:spacing w:val="-4"/>
        </w:rPr>
        <w:t> </w:t>
      </w:r>
      <w:r>
        <w:rPr/>
        <w:t>students</w:t>
      </w:r>
      <w:r>
        <w:rPr>
          <w:spacing w:val="-3"/>
        </w:rPr>
        <w:t> </w:t>
      </w:r>
      <w:r>
        <w:rPr/>
        <w:t>in planning its services and activities.</w:t>
      </w:r>
    </w:p>
    <w:p>
      <w:pPr>
        <w:pStyle w:val="BodyText"/>
        <w:spacing w:before="9"/>
      </w:pPr>
    </w:p>
    <w:p>
      <w:pPr>
        <w:pStyle w:val="BodyText"/>
        <w:ind w:left="1503" w:right="1211"/>
      </w:pPr>
      <w:r>
        <w:rPr/>
        <w:t>The Library Director, Ms. Tina D. Rollins, serves on a standing university committee the “Advisory Committee on Libraries and Informational Services”.</w:t>
      </w:r>
      <w:r>
        <w:rPr>
          <w:spacing w:val="40"/>
        </w:rPr>
        <w:t> </w:t>
      </w:r>
      <w:r>
        <w:rPr/>
        <w:t>Faculty members are appointed</w:t>
      </w:r>
      <w:r>
        <w:rPr>
          <w:spacing w:val="-2"/>
        </w:rPr>
        <w:t> </w:t>
      </w:r>
      <w:r>
        <w:rPr/>
        <w:t>by</w:t>
      </w:r>
      <w:r>
        <w:rPr>
          <w:spacing w:val="-5"/>
        </w:rPr>
        <w:t> </w:t>
      </w:r>
      <w:r>
        <w:rPr/>
        <w:t>the</w:t>
      </w:r>
      <w:r>
        <w:rPr>
          <w:spacing w:val="-2"/>
        </w:rPr>
        <w:t> </w:t>
      </w:r>
      <w:r>
        <w:rPr/>
        <w:t>Provost</w:t>
      </w:r>
      <w:r>
        <w:rPr>
          <w:spacing w:val="-4"/>
        </w:rPr>
        <w:t> </w:t>
      </w:r>
      <w:r>
        <w:rPr/>
        <w:t>and</w:t>
      </w:r>
      <w:r>
        <w:rPr>
          <w:spacing w:val="-4"/>
        </w:rPr>
        <w:t> </w:t>
      </w:r>
      <w:r>
        <w:rPr/>
        <w:t>School</w:t>
      </w:r>
      <w:r>
        <w:rPr>
          <w:spacing w:val="-5"/>
        </w:rPr>
        <w:t> </w:t>
      </w:r>
      <w:r>
        <w:rPr/>
        <w:t>Deans,</w:t>
      </w:r>
      <w:r>
        <w:rPr>
          <w:spacing w:val="-2"/>
        </w:rPr>
        <w:t> </w:t>
      </w:r>
      <w:r>
        <w:rPr/>
        <w:t>who</w:t>
      </w:r>
      <w:r>
        <w:rPr>
          <w:spacing w:val="-2"/>
        </w:rPr>
        <w:t> </w:t>
      </w:r>
      <w:r>
        <w:rPr/>
        <w:t>work with</w:t>
      </w:r>
      <w:r>
        <w:rPr>
          <w:spacing w:val="-4"/>
        </w:rPr>
        <w:t> </w:t>
      </w:r>
      <w:r>
        <w:rPr/>
        <w:t>the</w:t>
      </w:r>
      <w:r>
        <w:rPr>
          <w:spacing w:val="-4"/>
        </w:rPr>
        <w:t> </w:t>
      </w:r>
      <w:r>
        <w:rPr/>
        <w:t>Interim Library</w:t>
      </w:r>
      <w:r>
        <w:rPr>
          <w:spacing w:val="-7"/>
        </w:rPr>
        <w:t> </w:t>
      </w:r>
      <w:r>
        <w:rPr/>
        <w:t>Director,</w:t>
      </w:r>
      <w:r>
        <w:rPr>
          <w:spacing w:val="-4"/>
        </w:rPr>
        <w:t> </w:t>
      </w:r>
      <w:r>
        <w:rPr/>
        <w:t>to shape policies and review major actions of the library.</w:t>
      </w:r>
      <w:r>
        <w:rPr>
          <w:spacing w:val="40"/>
        </w:rPr>
        <w:t> </w:t>
      </w:r>
      <w:r>
        <w:rPr/>
        <w:t>The committee also advises the Interim Library Director on questions relating to campus-wide library services and collections.</w:t>
      </w:r>
      <w:r>
        <w:rPr>
          <w:spacing w:val="40"/>
        </w:rPr>
        <w:t> </w:t>
      </w:r>
      <w:r>
        <w:rPr/>
        <w:t>The Interim Library Director reports to the university’s Provost.</w:t>
      </w:r>
    </w:p>
    <w:p>
      <w:pPr>
        <w:pStyle w:val="BodyText"/>
        <w:spacing w:before="11"/>
      </w:pPr>
    </w:p>
    <w:p>
      <w:pPr>
        <w:pStyle w:val="BodyText"/>
        <w:ind w:left="1503" w:right="1130"/>
      </w:pPr>
      <w:r>
        <w:rPr/>
        <w:t>The</w:t>
      </w:r>
      <w:r>
        <w:rPr>
          <w:spacing w:val="-3"/>
        </w:rPr>
        <w:t> </w:t>
      </w:r>
      <w:r>
        <w:rPr/>
        <w:t>ultimate</w:t>
      </w:r>
      <w:r>
        <w:rPr>
          <w:spacing w:val="-3"/>
        </w:rPr>
        <w:t> </w:t>
      </w:r>
      <w:r>
        <w:rPr/>
        <w:t>responsibility</w:t>
      </w:r>
      <w:r>
        <w:rPr>
          <w:spacing w:val="-6"/>
        </w:rPr>
        <w:t> </w:t>
      </w:r>
      <w:r>
        <w:rPr/>
        <w:t>for</w:t>
      </w:r>
      <w:r>
        <w:rPr>
          <w:spacing w:val="-2"/>
        </w:rPr>
        <w:t> </w:t>
      </w:r>
      <w:r>
        <w:rPr/>
        <w:t>the</w:t>
      </w:r>
      <w:r>
        <w:rPr>
          <w:spacing w:val="-3"/>
        </w:rPr>
        <w:t> </w:t>
      </w:r>
      <w:r>
        <w:rPr/>
        <w:t>coordination</w:t>
      </w:r>
      <w:r>
        <w:rPr>
          <w:spacing w:val="-1"/>
        </w:rPr>
        <w:t> </w:t>
      </w:r>
      <w:r>
        <w:rPr/>
        <w:t>of</w:t>
      </w:r>
      <w:r>
        <w:rPr>
          <w:spacing w:val="-1"/>
        </w:rPr>
        <w:t> </w:t>
      </w:r>
      <w:r>
        <w:rPr/>
        <w:t>services</w:t>
      </w:r>
      <w:r>
        <w:rPr>
          <w:spacing w:val="-2"/>
        </w:rPr>
        <w:t> </w:t>
      </w:r>
      <w:r>
        <w:rPr/>
        <w:t>offered</w:t>
      </w:r>
      <w:r>
        <w:rPr>
          <w:spacing w:val="-3"/>
        </w:rPr>
        <w:t> </w:t>
      </w:r>
      <w:r>
        <w:rPr/>
        <w:t>by</w:t>
      </w:r>
      <w:r>
        <w:rPr>
          <w:spacing w:val="-6"/>
        </w:rPr>
        <w:t> </w:t>
      </w:r>
      <w:r>
        <w:rPr/>
        <w:t>the</w:t>
      </w:r>
      <w:r>
        <w:rPr>
          <w:spacing w:val="-1"/>
        </w:rPr>
        <w:t> </w:t>
      </w:r>
      <w:r>
        <w:rPr/>
        <w:t>Harvey</w:t>
      </w:r>
      <w:r>
        <w:rPr>
          <w:spacing w:val="-6"/>
        </w:rPr>
        <w:t> </w:t>
      </w:r>
      <w:r>
        <w:rPr/>
        <w:t>Library</w:t>
      </w:r>
      <w:r>
        <w:rPr>
          <w:spacing w:val="-4"/>
        </w:rPr>
        <w:t> </w:t>
      </w:r>
      <w:r>
        <w:rPr/>
        <w:t>and the satellite libraries lies with the Provost. In practice success results from good working relations</w:t>
      </w:r>
      <w:r>
        <w:rPr>
          <w:spacing w:val="-1"/>
        </w:rPr>
        <w:t> </w:t>
      </w:r>
      <w:r>
        <w:rPr/>
        <w:t>between</w:t>
      </w:r>
      <w:r>
        <w:rPr>
          <w:spacing w:val="-3"/>
        </w:rPr>
        <w:t> </w:t>
      </w:r>
      <w:r>
        <w:rPr/>
        <w:t>all</w:t>
      </w:r>
      <w:r>
        <w:rPr>
          <w:spacing w:val="-5"/>
        </w:rPr>
        <w:t> </w:t>
      </w:r>
      <w:r>
        <w:rPr/>
        <w:t>departments</w:t>
      </w:r>
      <w:r>
        <w:rPr>
          <w:spacing w:val="-4"/>
        </w:rPr>
        <w:t> </w:t>
      </w:r>
      <w:r>
        <w:rPr/>
        <w:t>involved.</w:t>
      </w:r>
      <w:r>
        <w:rPr>
          <w:spacing w:val="40"/>
        </w:rPr>
        <w:t> </w:t>
      </w:r>
      <w:r>
        <w:rPr/>
        <w:t>Each</w:t>
      </w:r>
      <w:r>
        <w:rPr>
          <w:spacing w:val="-3"/>
        </w:rPr>
        <w:t> </w:t>
      </w:r>
      <w:r>
        <w:rPr/>
        <w:t>librarian</w:t>
      </w:r>
      <w:r>
        <w:rPr>
          <w:spacing w:val="-3"/>
        </w:rPr>
        <w:t> </w:t>
      </w:r>
      <w:r>
        <w:rPr/>
        <w:t>in</w:t>
      </w:r>
      <w:r>
        <w:rPr>
          <w:spacing w:val="-5"/>
        </w:rPr>
        <w:t> </w:t>
      </w:r>
      <w:r>
        <w:rPr/>
        <w:t>the</w:t>
      </w:r>
      <w:r>
        <w:rPr>
          <w:spacing w:val="-5"/>
        </w:rPr>
        <w:t> </w:t>
      </w:r>
      <w:r>
        <w:rPr/>
        <w:t>Harvey</w:t>
      </w:r>
      <w:r>
        <w:rPr>
          <w:spacing w:val="-5"/>
        </w:rPr>
        <w:t> </w:t>
      </w:r>
      <w:r>
        <w:rPr/>
        <w:t>Library</w:t>
      </w:r>
      <w:r>
        <w:rPr>
          <w:spacing w:val="-5"/>
        </w:rPr>
        <w:t> </w:t>
      </w:r>
      <w:r>
        <w:rPr/>
        <w:t>is</w:t>
      </w:r>
      <w:r>
        <w:rPr>
          <w:spacing w:val="-4"/>
        </w:rPr>
        <w:t> </w:t>
      </w:r>
      <w:r>
        <w:rPr/>
        <w:t>assigned to serve as liaison to one or more academic departments.</w:t>
      </w:r>
      <w:r>
        <w:rPr>
          <w:spacing w:val="40"/>
        </w:rPr>
        <w:t> </w:t>
      </w:r>
      <w:r>
        <w:rPr/>
        <w:t>The liaisons are primarily</w:t>
      </w:r>
    </w:p>
    <w:p>
      <w:pPr>
        <w:spacing w:after="0"/>
        <w:sectPr>
          <w:headerReference w:type="default" r:id="rId81"/>
          <w:footerReference w:type="default" r:id="rId82"/>
          <w:pgSz w:w="12240" w:h="15840"/>
          <w:pgMar w:header="0" w:footer="974" w:top="1360" w:bottom="1160" w:left="1160" w:right="320"/>
        </w:sectPr>
      </w:pPr>
    </w:p>
    <w:p>
      <w:pPr>
        <w:pStyle w:val="BodyText"/>
        <w:spacing w:before="77"/>
        <w:ind w:left="1503" w:right="1151"/>
      </w:pPr>
      <w:r>
        <w:rPr/>
        <w:t>responsible</w:t>
      </w:r>
      <w:r>
        <w:rPr>
          <w:spacing w:val="-5"/>
        </w:rPr>
        <w:t> </w:t>
      </w:r>
      <w:r>
        <w:rPr/>
        <w:t>for</w:t>
      </w:r>
      <w:r>
        <w:rPr>
          <w:spacing w:val="-4"/>
        </w:rPr>
        <w:t> </w:t>
      </w:r>
      <w:r>
        <w:rPr/>
        <w:t>assuring</w:t>
      </w:r>
      <w:r>
        <w:rPr>
          <w:spacing w:val="-5"/>
        </w:rPr>
        <w:t> </w:t>
      </w:r>
      <w:r>
        <w:rPr/>
        <w:t>that</w:t>
      </w:r>
      <w:r>
        <w:rPr>
          <w:spacing w:val="-5"/>
        </w:rPr>
        <w:t> </w:t>
      </w:r>
      <w:r>
        <w:rPr/>
        <w:t>the</w:t>
      </w:r>
      <w:r>
        <w:rPr>
          <w:spacing w:val="-5"/>
        </w:rPr>
        <w:t> </w:t>
      </w:r>
      <w:r>
        <w:rPr/>
        <w:t>library’s</w:t>
      </w:r>
      <w:r>
        <w:rPr>
          <w:spacing w:val="-4"/>
        </w:rPr>
        <w:t> </w:t>
      </w:r>
      <w:r>
        <w:rPr/>
        <w:t>collections</w:t>
      </w:r>
      <w:r>
        <w:rPr>
          <w:spacing w:val="-1"/>
        </w:rPr>
        <w:t> </w:t>
      </w:r>
      <w:r>
        <w:rPr/>
        <w:t>and</w:t>
      </w:r>
      <w:r>
        <w:rPr>
          <w:spacing w:val="-5"/>
        </w:rPr>
        <w:t> </w:t>
      </w:r>
      <w:r>
        <w:rPr/>
        <w:t>services</w:t>
      </w:r>
      <w:r>
        <w:rPr>
          <w:spacing w:val="-4"/>
        </w:rPr>
        <w:t> </w:t>
      </w:r>
      <w:r>
        <w:rPr/>
        <w:t>evolve</w:t>
      </w:r>
      <w:r>
        <w:rPr>
          <w:spacing w:val="-5"/>
        </w:rPr>
        <w:t> </w:t>
      </w:r>
      <w:r>
        <w:rPr/>
        <w:t>in</w:t>
      </w:r>
      <w:r>
        <w:rPr>
          <w:spacing w:val="-5"/>
        </w:rPr>
        <w:t> </w:t>
      </w:r>
      <w:r>
        <w:rPr/>
        <w:t>accordance</w:t>
      </w:r>
      <w:r>
        <w:rPr>
          <w:spacing w:val="-3"/>
        </w:rPr>
        <w:t> </w:t>
      </w:r>
      <w:r>
        <w:rPr/>
        <w:t>with departmental priorities, but also are charged with assuring the vitality</w:t>
      </w:r>
      <w:r>
        <w:rPr>
          <w:spacing w:val="-2"/>
        </w:rPr>
        <w:t> </w:t>
      </w:r>
      <w:r>
        <w:rPr/>
        <w:t>of the library program in library</w:t>
      </w:r>
      <w:r>
        <w:rPr>
          <w:spacing w:val="-3"/>
        </w:rPr>
        <w:t> </w:t>
      </w:r>
      <w:r>
        <w:rPr/>
        <w:t>instruction.</w:t>
      </w:r>
      <w:r>
        <w:rPr>
          <w:spacing w:val="40"/>
        </w:rPr>
        <w:t> </w:t>
      </w:r>
      <w:r>
        <w:rPr/>
        <w:t>The liaison librarian</w:t>
      </w:r>
      <w:r>
        <w:rPr>
          <w:spacing w:val="-2"/>
        </w:rPr>
        <w:t> </w:t>
      </w:r>
      <w:r>
        <w:rPr/>
        <w:t>meets</w:t>
      </w:r>
      <w:r>
        <w:rPr>
          <w:spacing w:val="-1"/>
        </w:rPr>
        <w:t> </w:t>
      </w:r>
      <w:r>
        <w:rPr/>
        <w:t>and</w:t>
      </w:r>
      <w:r>
        <w:rPr>
          <w:spacing w:val="-2"/>
        </w:rPr>
        <w:t> </w:t>
      </w:r>
      <w:r>
        <w:rPr/>
        <w:t>confers</w:t>
      </w:r>
      <w:r>
        <w:rPr>
          <w:spacing w:val="-1"/>
        </w:rPr>
        <w:t> </w:t>
      </w:r>
      <w:r>
        <w:rPr/>
        <w:t>regularly</w:t>
      </w:r>
      <w:r>
        <w:rPr>
          <w:spacing w:val="-3"/>
        </w:rPr>
        <w:t> </w:t>
      </w:r>
      <w:r>
        <w:rPr/>
        <w:t>with</w:t>
      </w:r>
      <w:r>
        <w:rPr>
          <w:spacing w:val="-2"/>
        </w:rPr>
        <w:t> </w:t>
      </w:r>
      <w:r>
        <w:rPr/>
        <w:t>the</w:t>
      </w:r>
      <w:r>
        <w:rPr>
          <w:spacing w:val="-2"/>
        </w:rPr>
        <w:t> </w:t>
      </w:r>
      <w:r>
        <w:rPr/>
        <w:t>faculty</w:t>
      </w:r>
      <w:r>
        <w:rPr>
          <w:spacing w:val="-5"/>
        </w:rPr>
        <w:t> </w:t>
      </w:r>
      <w:r>
        <w:rPr/>
        <w:t>of the </w:t>
      </w:r>
      <w:r>
        <w:rPr>
          <w:spacing w:val="-2"/>
        </w:rPr>
        <w:t>Department.</w:t>
      </w:r>
    </w:p>
    <w:p>
      <w:pPr>
        <w:pStyle w:val="BodyText"/>
        <w:spacing w:before="9"/>
      </w:pPr>
    </w:p>
    <w:p>
      <w:pPr>
        <w:pStyle w:val="BodyText"/>
        <w:ind w:left="1503" w:right="1151"/>
      </w:pPr>
      <w:r>
        <w:rPr/>
        <w:t>The Harvey Library maintains regular contact with representatives of the Hampton University</w:t>
      </w:r>
      <w:r>
        <w:rPr>
          <w:spacing w:val="-6"/>
        </w:rPr>
        <w:t> </w:t>
      </w:r>
      <w:r>
        <w:rPr/>
        <w:t>Student</w:t>
      </w:r>
      <w:r>
        <w:rPr>
          <w:spacing w:val="-5"/>
        </w:rPr>
        <w:t> </w:t>
      </w:r>
      <w:r>
        <w:rPr/>
        <w:t>Government</w:t>
      </w:r>
      <w:r>
        <w:rPr>
          <w:spacing w:val="-5"/>
        </w:rPr>
        <w:t> </w:t>
      </w:r>
      <w:r>
        <w:rPr/>
        <w:t>Association,</w:t>
      </w:r>
      <w:r>
        <w:rPr>
          <w:spacing w:val="-5"/>
        </w:rPr>
        <w:t> </w:t>
      </w:r>
      <w:r>
        <w:rPr/>
        <w:t>receiving</w:t>
      </w:r>
      <w:r>
        <w:rPr>
          <w:spacing w:val="-3"/>
        </w:rPr>
        <w:t> </w:t>
      </w:r>
      <w:r>
        <w:rPr/>
        <w:t>and</w:t>
      </w:r>
      <w:r>
        <w:rPr>
          <w:spacing w:val="-3"/>
        </w:rPr>
        <w:t> </w:t>
      </w:r>
      <w:r>
        <w:rPr/>
        <w:t>acting</w:t>
      </w:r>
      <w:r>
        <w:rPr>
          <w:spacing w:val="-5"/>
        </w:rPr>
        <w:t> </w:t>
      </w:r>
      <w:r>
        <w:rPr/>
        <w:t>on</w:t>
      </w:r>
      <w:r>
        <w:rPr>
          <w:spacing w:val="-5"/>
        </w:rPr>
        <w:t> </w:t>
      </w:r>
      <w:r>
        <w:rPr/>
        <w:t>its</w:t>
      </w:r>
      <w:r>
        <w:rPr>
          <w:spacing w:val="-1"/>
        </w:rPr>
        <w:t> </w:t>
      </w:r>
      <w:r>
        <w:rPr/>
        <w:t>advice</w:t>
      </w:r>
      <w:r>
        <w:rPr>
          <w:spacing w:val="-3"/>
        </w:rPr>
        <w:t> </w:t>
      </w:r>
      <w:r>
        <w:rPr/>
        <w:t>on</w:t>
      </w:r>
      <w:r>
        <w:rPr>
          <w:spacing w:val="-3"/>
        </w:rPr>
        <w:t> </w:t>
      </w:r>
      <w:r>
        <w:rPr/>
        <w:t>collection building and the organization of services.</w:t>
      </w:r>
      <w:r>
        <w:rPr>
          <w:spacing w:val="40"/>
        </w:rPr>
        <w:t> </w:t>
      </w:r>
      <w:r>
        <w:rPr/>
        <w:t>Additionally it welcomes, and regularly receives, written and emailed feedback from users. This feedback is always taken into account in developing library collections.</w:t>
      </w:r>
    </w:p>
    <w:p>
      <w:pPr>
        <w:pStyle w:val="BodyText"/>
        <w:spacing w:before="10"/>
      </w:pPr>
    </w:p>
    <w:p>
      <w:pPr>
        <w:pStyle w:val="BodyText"/>
        <w:ind w:left="1503"/>
      </w:pPr>
      <w:r>
        <w:rPr>
          <w:spacing w:val="-2"/>
        </w:rPr>
        <w:t>Collections</w:t>
      </w:r>
    </w:p>
    <w:p>
      <w:pPr>
        <w:pStyle w:val="BodyText"/>
        <w:spacing w:before="10"/>
      </w:pPr>
    </w:p>
    <w:p>
      <w:pPr>
        <w:pStyle w:val="BodyText"/>
        <w:tabs>
          <w:tab w:pos="6738" w:val="left" w:leader="none"/>
        </w:tabs>
        <w:spacing w:before="1"/>
        <w:ind w:left="1503" w:right="1163"/>
      </w:pPr>
      <w:r>
        <w:rPr/>
        <w:t>The Harvey Library, which is a selective Federal Depository Library, collects books, periodicals, and government documents on all</w:t>
      </w:r>
      <w:r>
        <w:rPr>
          <w:spacing w:val="-1"/>
        </w:rPr>
        <w:t> </w:t>
      </w:r>
      <w:r>
        <w:rPr/>
        <w:t>aspects of Architecture.</w:t>
      </w:r>
      <w:r>
        <w:rPr>
          <w:spacing w:val="40"/>
        </w:rPr>
        <w:t> </w:t>
      </w:r>
      <w:r>
        <w:rPr/>
        <w:t>It collects materials in</w:t>
      </w:r>
      <w:r>
        <w:rPr>
          <w:spacing w:val="-1"/>
        </w:rPr>
        <w:t> </w:t>
      </w:r>
      <w:r>
        <w:rPr/>
        <w:t>print, electronic,</w:t>
      </w:r>
      <w:r>
        <w:rPr>
          <w:spacing w:val="-1"/>
        </w:rPr>
        <w:t> </w:t>
      </w:r>
      <w:r>
        <w:rPr/>
        <w:t>microform and</w:t>
      </w:r>
      <w:r>
        <w:rPr>
          <w:spacing w:val="-1"/>
        </w:rPr>
        <w:t> </w:t>
      </w:r>
      <w:r>
        <w:rPr/>
        <w:t>audiovisual</w:t>
      </w:r>
      <w:r>
        <w:rPr>
          <w:spacing w:val="-2"/>
        </w:rPr>
        <w:t> </w:t>
      </w:r>
      <w:r>
        <w:rPr/>
        <w:t>formats.</w:t>
      </w:r>
      <w:r>
        <w:rPr>
          <w:spacing w:val="40"/>
        </w:rPr>
        <w:t> </w:t>
      </w:r>
      <w:r>
        <w:rPr/>
        <w:t>Its current</w:t>
      </w:r>
      <w:r>
        <w:rPr>
          <w:spacing w:val="-1"/>
        </w:rPr>
        <w:t> </w:t>
      </w:r>
      <w:r>
        <w:rPr/>
        <w:t>holdings are in excess of 400,000 volumes.</w:t>
      </w:r>
      <w:r>
        <w:rPr>
          <w:spacing w:val="40"/>
        </w:rPr>
        <w:t> </w:t>
      </w:r>
      <w:r>
        <w:rPr/>
        <w:t>The library has established an approval plan with Coutts Information Services to acquire current monographic works as they are published.</w:t>
      </w:r>
      <w:r>
        <w:rPr>
          <w:spacing w:val="40"/>
        </w:rPr>
        <w:t> </w:t>
      </w:r>
      <w:r>
        <w:rPr/>
        <w:t>It purchases periodical subscriptions through a subscriptions agent, Ebsco Inc.</w:t>
      </w:r>
      <w:r>
        <w:rPr>
          <w:spacing w:val="40"/>
        </w:rPr>
        <w:t> </w:t>
      </w:r>
      <w:r>
        <w:rPr/>
        <w:t>Additionally, the library and</w:t>
      </w:r>
      <w:r>
        <w:rPr>
          <w:spacing w:val="-2"/>
        </w:rPr>
        <w:t> </w:t>
      </w:r>
      <w:r>
        <w:rPr/>
        <w:t>more</w:t>
      </w:r>
      <w:r>
        <w:rPr>
          <w:spacing w:val="-2"/>
        </w:rPr>
        <w:t> </w:t>
      </w:r>
      <w:r>
        <w:rPr/>
        <w:t>especially, the George</w:t>
      </w:r>
      <w:r>
        <w:rPr>
          <w:spacing w:val="-2"/>
        </w:rPr>
        <w:t> </w:t>
      </w:r>
      <w:r>
        <w:rPr/>
        <w:t>Foster</w:t>
      </w:r>
      <w:r>
        <w:rPr>
          <w:spacing w:val="-1"/>
        </w:rPr>
        <w:t> </w:t>
      </w:r>
      <w:r>
        <w:rPr/>
        <w:t>Peabody</w:t>
      </w:r>
      <w:r>
        <w:rPr>
          <w:spacing w:val="-5"/>
        </w:rPr>
        <w:t> </w:t>
      </w:r>
      <w:r>
        <w:rPr/>
        <w:t>Collection,</w:t>
      </w:r>
      <w:r>
        <w:rPr>
          <w:spacing w:val="-2"/>
        </w:rPr>
        <w:t> </w:t>
      </w:r>
      <w:r>
        <w:rPr/>
        <w:t>collects</w:t>
      </w:r>
      <w:r>
        <w:rPr>
          <w:spacing w:val="-1"/>
        </w:rPr>
        <w:t> </w:t>
      </w:r>
      <w:r>
        <w:rPr/>
        <w:t>and</w:t>
      </w:r>
      <w:r>
        <w:rPr>
          <w:spacing w:val="-2"/>
        </w:rPr>
        <w:t> </w:t>
      </w:r>
      <w:r>
        <w:rPr/>
        <w:t>preserves</w:t>
      </w:r>
      <w:r>
        <w:rPr>
          <w:spacing w:val="-1"/>
        </w:rPr>
        <w:t> </w:t>
      </w:r>
      <w:r>
        <w:rPr/>
        <w:t>African American materials.</w:t>
      </w:r>
      <w:r>
        <w:rPr>
          <w:spacing w:val="40"/>
        </w:rPr>
        <w:t> </w:t>
      </w:r>
      <w:r>
        <w:rPr/>
        <w:t>The Peabody Collection, a noted research and rare books collection supporting the serious study of African-American history.</w:t>
        <w:tab/>
        <w:t>Finally, the Harvey Library selects and manages access to a wide array of electronic resources, including over 120 databases,</w:t>
      </w:r>
      <w:r>
        <w:rPr>
          <w:spacing w:val="-5"/>
        </w:rPr>
        <w:t> </w:t>
      </w:r>
      <w:r>
        <w:rPr/>
        <w:t>as</w:t>
      </w:r>
      <w:r>
        <w:rPr>
          <w:spacing w:val="-1"/>
        </w:rPr>
        <w:t> </w:t>
      </w:r>
      <w:r>
        <w:rPr/>
        <w:t>well</w:t>
      </w:r>
      <w:r>
        <w:rPr>
          <w:spacing w:val="-5"/>
        </w:rPr>
        <w:t> </w:t>
      </w:r>
      <w:r>
        <w:rPr/>
        <w:t>as</w:t>
      </w:r>
      <w:r>
        <w:rPr>
          <w:spacing w:val="-4"/>
        </w:rPr>
        <w:t> </w:t>
      </w:r>
      <w:r>
        <w:rPr/>
        <w:t>electronic</w:t>
      </w:r>
      <w:r>
        <w:rPr>
          <w:spacing w:val="-4"/>
        </w:rPr>
        <w:t> </w:t>
      </w:r>
      <w:r>
        <w:rPr/>
        <w:t>journals,</w:t>
      </w:r>
      <w:r>
        <w:rPr>
          <w:spacing w:val="-5"/>
        </w:rPr>
        <w:t> </w:t>
      </w:r>
      <w:r>
        <w:rPr/>
        <w:t>and</w:t>
      </w:r>
      <w:r>
        <w:rPr>
          <w:spacing w:val="-3"/>
        </w:rPr>
        <w:t> </w:t>
      </w:r>
      <w:r>
        <w:rPr/>
        <w:t>electronic</w:t>
      </w:r>
      <w:r>
        <w:rPr>
          <w:spacing w:val="-4"/>
        </w:rPr>
        <w:t> </w:t>
      </w:r>
      <w:r>
        <w:rPr/>
        <w:t>books.</w:t>
      </w:r>
      <w:r>
        <w:rPr>
          <w:spacing w:val="40"/>
        </w:rPr>
        <w:t> </w:t>
      </w:r>
      <w:r>
        <w:rPr/>
        <w:t>These</w:t>
      </w:r>
      <w:r>
        <w:rPr>
          <w:spacing w:val="-5"/>
        </w:rPr>
        <w:t> </w:t>
      </w:r>
      <w:r>
        <w:rPr/>
        <w:t>electronic</w:t>
      </w:r>
      <w:r>
        <w:rPr>
          <w:spacing w:val="-4"/>
        </w:rPr>
        <w:t> </w:t>
      </w:r>
      <w:r>
        <w:rPr/>
        <w:t>resources greatly</w:t>
      </w:r>
      <w:r>
        <w:rPr>
          <w:spacing w:val="-4"/>
        </w:rPr>
        <w:t> </w:t>
      </w:r>
      <w:r>
        <w:rPr/>
        <w:t>expand</w:t>
      </w:r>
      <w:r>
        <w:rPr>
          <w:spacing w:val="-3"/>
        </w:rPr>
        <w:t> </w:t>
      </w:r>
      <w:r>
        <w:rPr/>
        <w:t>and</w:t>
      </w:r>
      <w:r>
        <w:rPr>
          <w:spacing w:val="-3"/>
        </w:rPr>
        <w:t> </w:t>
      </w:r>
      <w:r>
        <w:rPr/>
        <w:t>diversify</w:t>
      </w:r>
      <w:r>
        <w:rPr>
          <w:spacing w:val="-4"/>
        </w:rPr>
        <w:t> </w:t>
      </w:r>
      <w:r>
        <w:rPr/>
        <w:t>the</w:t>
      </w:r>
      <w:r>
        <w:rPr>
          <w:spacing w:val="-3"/>
        </w:rPr>
        <w:t> </w:t>
      </w:r>
      <w:r>
        <w:rPr/>
        <w:t>library’s</w:t>
      </w:r>
      <w:r>
        <w:rPr>
          <w:spacing w:val="-2"/>
        </w:rPr>
        <w:t> </w:t>
      </w:r>
      <w:r>
        <w:rPr/>
        <w:t>offerings</w:t>
      </w:r>
      <w:r>
        <w:rPr>
          <w:spacing w:val="-2"/>
        </w:rPr>
        <w:t> </w:t>
      </w:r>
      <w:r>
        <w:rPr/>
        <w:t>to</w:t>
      </w:r>
      <w:r>
        <w:rPr>
          <w:spacing w:val="-1"/>
        </w:rPr>
        <w:t> </w:t>
      </w:r>
      <w:r>
        <w:rPr/>
        <w:t>the</w:t>
      </w:r>
      <w:r>
        <w:rPr>
          <w:spacing w:val="-3"/>
        </w:rPr>
        <w:t> </w:t>
      </w:r>
      <w:r>
        <w:rPr/>
        <w:t>campus’s</w:t>
      </w:r>
      <w:r>
        <w:rPr>
          <w:spacing w:val="-2"/>
        </w:rPr>
        <w:t> </w:t>
      </w:r>
      <w:r>
        <w:rPr/>
        <w:t>constituency.</w:t>
      </w:r>
      <w:r>
        <w:rPr>
          <w:spacing w:val="-3"/>
        </w:rPr>
        <w:t> </w:t>
      </w:r>
      <w:r>
        <w:rPr/>
        <w:t>Databases of</w:t>
      </w:r>
      <w:r>
        <w:rPr>
          <w:spacing w:val="-3"/>
        </w:rPr>
        <w:t> </w:t>
      </w:r>
      <w:r>
        <w:rPr/>
        <w:t>particular</w:t>
      </w:r>
      <w:r>
        <w:rPr>
          <w:spacing w:val="-4"/>
        </w:rPr>
        <w:t> </w:t>
      </w:r>
      <w:r>
        <w:rPr/>
        <w:t>interest</w:t>
      </w:r>
      <w:r>
        <w:rPr>
          <w:spacing w:val="-5"/>
        </w:rPr>
        <w:t> </w:t>
      </w:r>
      <w:r>
        <w:rPr/>
        <w:t>to</w:t>
      </w:r>
      <w:r>
        <w:rPr>
          <w:spacing w:val="-5"/>
        </w:rPr>
        <w:t> </w:t>
      </w:r>
      <w:r>
        <w:rPr/>
        <w:t>the</w:t>
      </w:r>
      <w:r>
        <w:rPr>
          <w:spacing w:val="-3"/>
        </w:rPr>
        <w:t> </w:t>
      </w:r>
      <w:r>
        <w:rPr/>
        <w:t>Department</w:t>
      </w:r>
      <w:r>
        <w:rPr>
          <w:spacing w:val="-5"/>
        </w:rPr>
        <w:t> </w:t>
      </w:r>
      <w:r>
        <w:rPr/>
        <w:t>of</w:t>
      </w:r>
      <w:r>
        <w:rPr>
          <w:spacing w:val="-3"/>
        </w:rPr>
        <w:t> </w:t>
      </w:r>
      <w:r>
        <w:rPr/>
        <w:t>Architecture</w:t>
      </w:r>
      <w:r>
        <w:rPr>
          <w:spacing w:val="-3"/>
        </w:rPr>
        <w:t> </w:t>
      </w:r>
      <w:r>
        <w:rPr/>
        <w:t>include:</w:t>
      </w:r>
      <w:r>
        <w:rPr>
          <w:spacing w:val="-3"/>
        </w:rPr>
        <w:t> </w:t>
      </w:r>
      <w:r>
        <w:rPr/>
        <w:t>Academic</w:t>
      </w:r>
      <w:r>
        <w:rPr>
          <w:spacing w:val="-4"/>
        </w:rPr>
        <w:t> </w:t>
      </w:r>
      <w:r>
        <w:rPr/>
        <w:t>Search</w:t>
      </w:r>
      <w:r>
        <w:rPr>
          <w:spacing w:val="-3"/>
        </w:rPr>
        <w:t> </w:t>
      </w:r>
      <w:r>
        <w:rPr/>
        <w:t>Complete, ARTSTOR, Avery Index to Architectural Periodicals, Humanities International Complete, INSPEC, JSTOR, Omnifile Full Text Mega, Oxford Art Online, RIBA, Science Direct and </w:t>
      </w:r>
      <w:r>
        <w:rPr>
          <w:spacing w:val="-2"/>
        </w:rPr>
        <w:t>SCOPUS.</w:t>
      </w:r>
    </w:p>
    <w:p>
      <w:pPr>
        <w:pStyle w:val="BodyText"/>
        <w:spacing w:before="10"/>
      </w:pPr>
    </w:p>
    <w:p>
      <w:pPr>
        <w:pStyle w:val="BodyText"/>
        <w:ind w:left="1504" w:right="1211"/>
      </w:pPr>
      <w:r>
        <w:rPr/>
        <w:t>A</w:t>
      </w:r>
      <w:r>
        <w:rPr>
          <w:spacing w:val="-2"/>
        </w:rPr>
        <w:t> </w:t>
      </w:r>
      <w:r>
        <w:rPr/>
        <w:t>written</w:t>
      </w:r>
      <w:r>
        <w:rPr>
          <w:spacing w:val="-4"/>
        </w:rPr>
        <w:t> </w:t>
      </w:r>
      <w:r>
        <w:rPr/>
        <w:t>collection</w:t>
      </w:r>
      <w:r>
        <w:rPr>
          <w:spacing w:val="-4"/>
        </w:rPr>
        <w:t> </w:t>
      </w:r>
      <w:r>
        <w:rPr/>
        <w:t>development</w:t>
      </w:r>
      <w:r>
        <w:rPr>
          <w:spacing w:val="-4"/>
        </w:rPr>
        <w:t> </w:t>
      </w:r>
      <w:r>
        <w:rPr/>
        <w:t>policy</w:t>
      </w:r>
      <w:r>
        <w:rPr>
          <w:spacing w:val="-7"/>
        </w:rPr>
        <w:t> </w:t>
      </w:r>
      <w:r>
        <w:rPr/>
        <w:t>guides</w:t>
      </w:r>
      <w:r>
        <w:rPr>
          <w:spacing w:val="-3"/>
        </w:rPr>
        <w:t> </w:t>
      </w:r>
      <w:r>
        <w:rPr/>
        <w:t>decision-making</w:t>
      </w:r>
      <w:r>
        <w:rPr>
          <w:spacing w:val="-4"/>
        </w:rPr>
        <w:t> </w:t>
      </w:r>
      <w:r>
        <w:rPr/>
        <w:t>in</w:t>
      </w:r>
      <w:r>
        <w:rPr>
          <w:spacing w:val="-2"/>
        </w:rPr>
        <w:t> </w:t>
      </w:r>
      <w:r>
        <w:rPr/>
        <w:t>the</w:t>
      </w:r>
      <w:r>
        <w:rPr>
          <w:spacing w:val="-2"/>
        </w:rPr>
        <w:t> </w:t>
      </w:r>
      <w:r>
        <w:rPr/>
        <w:t>selection</w:t>
      </w:r>
      <w:r>
        <w:rPr>
          <w:spacing w:val="-4"/>
        </w:rPr>
        <w:t> </w:t>
      </w:r>
      <w:r>
        <w:rPr/>
        <w:t>of</w:t>
      </w:r>
      <w:r>
        <w:rPr>
          <w:spacing w:val="-2"/>
        </w:rPr>
        <w:t> </w:t>
      </w:r>
      <w:r>
        <w:rPr/>
        <w:t>items</w:t>
      </w:r>
      <w:r>
        <w:rPr>
          <w:spacing w:val="-5"/>
        </w:rPr>
        <w:t> </w:t>
      </w:r>
      <w:r>
        <w:rPr/>
        <w:t>for the Harvey Library as well as in weeding.</w:t>
      </w:r>
      <w:r>
        <w:rPr>
          <w:spacing w:val="40"/>
        </w:rPr>
        <w:t> </w:t>
      </w:r>
      <w:r>
        <w:rPr/>
        <w:t>The aim in developing those parts of the collection that specifically support the study of architecture to maintain a diverse yet balanced collection. Through the library liaison program and faculty representation on standing university advisory committees communicative science faculty assists in making and otherwise guiding selections for the library collections.</w:t>
      </w:r>
    </w:p>
    <w:p>
      <w:pPr>
        <w:pStyle w:val="BodyText"/>
        <w:spacing w:before="10"/>
      </w:pPr>
    </w:p>
    <w:p>
      <w:pPr>
        <w:pStyle w:val="BodyText"/>
        <w:spacing w:before="1"/>
        <w:ind w:left="1504" w:right="1211"/>
      </w:pPr>
      <w:r>
        <w:rPr/>
        <w:t>The</w:t>
      </w:r>
      <w:r>
        <w:rPr>
          <w:spacing w:val="-4"/>
        </w:rPr>
        <w:t> </w:t>
      </w:r>
      <w:r>
        <w:rPr/>
        <w:t>following</w:t>
      </w:r>
      <w:r>
        <w:rPr>
          <w:spacing w:val="-4"/>
        </w:rPr>
        <w:t> </w:t>
      </w:r>
      <w:r>
        <w:rPr/>
        <w:t>table</w:t>
      </w:r>
      <w:r>
        <w:rPr>
          <w:spacing w:val="-4"/>
        </w:rPr>
        <w:t> </w:t>
      </w:r>
      <w:r>
        <w:rPr/>
        <w:t>details</w:t>
      </w:r>
      <w:r>
        <w:rPr>
          <w:spacing w:val="-3"/>
        </w:rPr>
        <w:t> </w:t>
      </w:r>
      <w:r>
        <w:rPr/>
        <w:t>the</w:t>
      </w:r>
      <w:r>
        <w:rPr>
          <w:spacing w:val="-4"/>
        </w:rPr>
        <w:t> </w:t>
      </w:r>
      <w:r>
        <w:rPr/>
        <w:t>Harvey</w:t>
      </w:r>
      <w:r>
        <w:rPr>
          <w:spacing w:val="-7"/>
        </w:rPr>
        <w:t> </w:t>
      </w:r>
      <w:r>
        <w:rPr/>
        <w:t>Library’s</w:t>
      </w:r>
      <w:r>
        <w:rPr>
          <w:spacing w:val="-3"/>
        </w:rPr>
        <w:t> </w:t>
      </w:r>
      <w:r>
        <w:rPr/>
        <w:t>holdings</w:t>
      </w:r>
      <w:r>
        <w:rPr>
          <w:spacing w:val="-3"/>
        </w:rPr>
        <w:t> </w:t>
      </w:r>
      <w:r>
        <w:rPr/>
        <w:t>and</w:t>
      </w:r>
      <w:r>
        <w:rPr>
          <w:spacing w:val="-4"/>
        </w:rPr>
        <w:t> </w:t>
      </w:r>
      <w:r>
        <w:rPr/>
        <w:t>subscriptions</w:t>
      </w:r>
      <w:r>
        <w:rPr>
          <w:spacing w:val="-3"/>
        </w:rPr>
        <w:t> </w:t>
      </w:r>
      <w:r>
        <w:rPr/>
        <w:t>directly</w:t>
      </w:r>
      <w:r>
        <w:rPr>
          <w:spacing w:val="-5"/>
        </w:rPr>
        <w:t> </w:t>
      </w:r>
      <w:r>
        <w:rPr/>
        <w:t>relevant to the study of Architecture.</w:t>
      </w:r>
    </w:p>
    <w:p>
      <w:pPr>
        <w:pStyle w:val="BodyText"/>
        <w:rPr>
          <w:sz w:val="21"/>
        </w:rPr>
      </w:pPr>
    </w:p>
    <w:tbl>
      <w:tblPr>
        <w:tblW w:w="0" w:type="auto"/>
        <w:jc w:val="left"/>
        <w:tblInd w:w="2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51"/>
        <w:gridCol w:w="1440"/>
      </w:tblGrid>
      <w:tr>
        <w:trPr>
          <w:trHeight w:val="537" w:hRule="atLeast"/>
        </w:trPr>
        <w:tc>
          <w:tcPr>
            <w:tcW w:w="5791" w:type="dxa"/>
            <w:gridSpan w:val="2"/>
          </w:tcPr>
          <w:p>
            <w:pPr>
              <w:pStyle w:val="TableParagraph"/>
              <w:ind w:left="1606" w:right="1602"/>
              <w:jc w:val="center"/>
              <w:rPr>
                <w:b/>
                <w:sz w:val="22"/>
              </w:rPr>
            </w:pPr>
            <w:r>
              <w:rPr>
                <w:b/>
                <w:w w:val="80"/>
                <w:sz w:val="22"/>
              </w:rPr>
              <w:t>HARVEY</w:t>
            </w:r>
            <w:r>
              <w:rPr>
                <w:b/>
                <w:spacing w:val="-3"/>
                <w:sz w:val="22"/>
              </w:rPr>
              <w:t> </w:t>
            </w:r>
            <w:r>
              <w:rPr>
                <w:b/>
                <w:spacing w:val="-2"/>
                <w:w w:val="90"/>
                <w:sz w:val="22"/>
              </w:rPr>
              <w:t>LIBRARY</w:t>
            </w:r>
          </w:p>
          <w:p>
            <w:pPr>
              <w:pStyle w:val="TableParagraph"/>
              <w:spacing w:line="249" w:lineRule="exact" w:before="15"/>
              <w:ind w:left="1604" w:right="1602"/>
              <w:jc w:val="center"/>
              <w:rPr>
                <w:b/>
                <w:sz w:val="22"/>
              </w:rPr>
            </w:pPr>
            <w:r>
              <w:rPr>
                <w:b/>
                <w:w w:val="85"/>
                <w:sz w:val="22"/>
              </w:rPr>
              <w:t>Relevant</w:t>
            </w:r>
            <w:r>
              <w:rPr>
                <w:b/>
                <w:spacing w:val="-8"/>
                <w:sz w:val="22"/>
              </w:rPr>
              <w:t> </w:t>
            </w:r>
            <w:r>
              <w:rPr>
                <w:b/>
                <w:w w:val="85"/>
                <w:sz w:val="22"/>
              </w:rPr>
              <w:t>Holdings</w:t>
            </w:r>
            <w:r>
              <w:rPr>
                <w:b/>
                <w:spacing w:val="-8"/>
                <w:sz w:val="22"/>
              </w:rPr>
              <w:t> </w:t>
            </w:r>
            <w:r>
              <w:rPr>
                <w:b/>
                <w:w w:val="85"/>
                <w:sz w:val="22"/>
              </w:rPr>
              <w:t>–</w:t>
            </w:r>
            <w:r>
              <w:rPr>
                <w:b/>
                <w:spacing w:val="-1"/>
                <w:w w:val="85"/>
                <w:sz w:val="22"/>
              </w:rPr>
              <w:t> </w:t>
            </w:r>
            <w:r>
              <w:rPr>
                <w:b/>
                <w:spacing w:val="-4"/>
                <w:w w:val="85"/>
                <w:sz w:val="22"/>
              </w:rPr>
              <w:t>2014</w:t>
            </w:r>
          </w:p>
        </w:tc>
      </w:tr>
      <w:tr>
        <w:trPr>
          <w:trHeight w:val="268" w:hRule="atLeast"/>
        </w:trPr>
        <w:tc>
          <w:tcPr>
            <w:tcW w:w="4351" w:type="dxa"/>
          </w:tcPr>
          <w:p>
            <w:pPr>
              <w:pStyle w:val="TableParagraph"/>
              <w:spacing w:line="248" w:lineRule="exact"/>
              <w:ind w:left="105"/>
              <w:rPr>
                <w:sz w:val="22"/>
              </w:rPr>
            </w:pPr>
            <w:r>
              <w:rPr>
                <w:w w:val="90"/>
                <w:sz w:val="22"/>
              </w:rPr>
              <w:t>Monographs</w:t>
            </w:r>
            <w:r>
              <w:rPr>
                <w:spacing w:val="18"/>
                <w:sz w:val="22"/>
              </w:rPr>
              <w:t> </w:t>
            </w:r>
            <w:r>
              <w:rPr>
                <w:spacing w:val="-2"/>
                <w:sz w:val="22"/>
              </w:rPr>
              <w:t>(paper)</w:t>
            </w:r>
          </w:p>
        </w:tc>
        <w:tc>
          <w:tcPr>
            <w:tcW w:w="1440" w:type="dxa"/>
          </w:tcPr>
          <w:p>
            <w:pPr>
              <w:pStyle w:val="TableParagraph"/>
              <w:spacing w:line="248" w:lineRule="exact"/>
              <w:ind w:right="93"/>
              <w:jc w:val="right"/>
              <w:rPr>
                <w:sz w:val="22"/>
              </w:rPr>
            </w:pPr>
            <w:r>
              <w:rPr>
                <w:spacing w:val="-4"/>
                <w:sz w:val="22"/>
              </w:rPr>
              <w:t>3752</w:t>
            </w:r>
          </w:p>
        </w:tc>
      </w:tr>
      <w:tr>
        <w:trPr>
          <w:trHeight w:val="268" w:hRule="atLeast"/>
        </w:trPr>
        <w:tc>
          <w:tcPr>
            <w:tcW w:w="4351" w:type="dxa"/>
          </w:tcPr>
          <w:p>
            <w:pPr>
              <w:pStyle w:val="TableParagraph"/>
              <w:spacing w:line="248" w:lineRule="exact"/>
              <w:ind w:left="105"/>
              <w:rPr>
                <w:sz w:val="22"/>
              </w:rPr>
            </w:pPr>
            <w:r>
              <w:rPr>
                <w:w w:val="90"/>
                <w:sz w:val="22"/>
              </w:rPr>
              <w:t>Monographs</w:t>
            </w:r>
            <w:r>
              <w:rPr>
                <w:spacing w:val="18"/>
                <w:sz w:val="22"/>
              </w:rPr>
              <w:t> </w:t>
            </w:r>
            <w:r>
              <w:rPr>
                <w:spacing w:val="-2"/>
                <w:sz w:val="22"/>
              </w:rPr>
              <w:t>(electronic)</w:t>
            </w:r>
          </w:p>
        </w:tc>
        <w:tc>
          <w:tcPr>
            <w:tcW w:w="1440" w:type="dxa"/>
          </w:tcPr>
          <w:p>
            <w:pPr>
              <w:pStyle w:val="TableParagraph"/>
              <w:spacing w:line="248" w:lineRule="exact"/>
              <w:ind w:right="94"/>
              <w:jc w:val="right"/>
              <w:rPr>
                <w:sz w:val="22"/>
              </w:rPr>
            </w:pPr>
            <w:r>
              <w:rPr>
                <w:spacing w:val="-5"/>
                <w:sz w:val="22"/>
              </w:rPr>
              <w:t>454</w:t>
            </w:r>
          </w:p>
        </w:tc>
      </w:tr>
      <w:tr>
        <w:trPr>
          <w:trHeight w:val="268" w:hRule="atLeast"/>
        </w:trPr>
        <w:tc>
          <w:tcPr>
            <w:tcW w:w="4351" w:type="dxa"/>
          </w:tcPr>
          <w:p>
            <w:pPr>
              <w:pStyle w:val="TableParagraph"/>
              <w:spacing w:line="248" w:lineRule="exact"/>
              <w:ind w:left="105"/>
              <w:rPr>
                <w:sz w:val="22"/>
              </w:rPr>
            </w:pPr>
            <w:r>
              <w:rPr>
                <w:w w:val="90"/>
                <w:sz w:val="22"/>
              </w:rPr>
              <w:t>Periodical</w:t>
            </w:r>
            <w:r>
              <w:rPr>
                <w:spacing w:val="-5"/>
                <w:w w:val="90"/>
                <w:sz w:val="22"/>
              </w:rPr>
              <w:t> </w:t>
            </w:r>
            <w:r>
              <w:rPr>
                <w:w w:val="90"/>
                <w:sz w:val="22"/>
              </w:rPr>
              <w:t>Subscriptions</w:t>
            </w:r>
            <w:r>
              <w:rPr>
                <w:spacing w:val="-5"/>
                <w:w w:val="90"/>
                <w:sz w:val="22"/>
              </w:rPr>
              <w:t> </w:t>
            </w:r>
            <w:r>
              <w:rPr>
                <w:spacing w:val="-2"/>
                <w:w w:val="90"/>
                <w:sz w:val="22"/>
              </w:rPr>
              <w:t>(paper)</w:t>
            </w:r>
          </w:p>
        </w:tc>
        <w:tc>
          <w:tcPr>
            <w:tcW w:w="1440" w:type="dxa"/>
          </w:tcPr>
          <w:p>
            <w:pPr>
              <w:pStyle w:val="TableParagraph"/>
              <w:spacing w:line="248" w:lineRule="exact"/>
              <w:ind w:right="95"/>
              <w:jc w:val="right"/>
              <w:rPr>
                <w:sz w:val="22"/>
              </w:rPr>
            </w:pPr>
            <w:r>
              <w:rPr>
                <w:spacing w:val="-5"/>
                <w:sz w:val="22"/>
              </w:rPr>
              <w:t>54</w:t>
            </w:r>
          </w:p>
        </w:tc>
      </w:tr>
      <w:tr>
        <w:trPr>
          <w:trHeight w:val="268" w:hRule="atLeast"/>
        </w:trPr>
        <w:tc>
          <w:tcPr>
            <w:tcW w:w="4351" w:type="dxa"/>
          </w:tcPr>
          <w:p>
            <w:pPr>
              <w:pStyle w:val="TableParagraph"/>
              <w:spacing w:line="248" w:lineRule="exact"/>
              <w:ind w:left="105"/>
              <w:rPr>
                <w:sz w:val="22"/>
              </w:rPr>
            </w:pPr>
            <w:r>
              <w:rPr>
                <w:w w:val="90"/>
                <w:sz w:val="22"/>
              </w:rPr>
              <w:t>Government</w:t>
            </w:r>
            <w:r>
              <w:rPr>
                <w:spacing w:val="20"/>
                <w:sz w:val="22"/>
              </w:rPr>
              <w:t> </w:t>
            </w:r>
            <w:r>
              <w:rPr>
                <w:spacing w:val="-2"/>
                <w:sz w:val="22"/>
              </w:rPr>
              <w:t>Documents</w:t>
            </w:r>
          </w:p>
        </w:tc>
        <w:tc>
          <w:tcPr>
            <w:tcW w:w="1440" w:type="dxa"/>
          </w:tcPr>
          <w:p>
            <w:pPr>
              <w:pStyle w:val="TableParagraph"/>
              <w:spacing w:line="248" w:lineRule="exact"/>
              <w:ind w:right="94"/>
              <w:jc w:val="right"/>
              <w:rPr>
                <w:sz w:val="22"/>
              </w:rPr>
            </w:pPr>
            <w:r>
              <w:rPr>
                <w:spacing w:val="-5"/>
                <w:sz w:val="22"/>
              </w:rPr>
              <w:t>189</w:t>
            </w:r>
          </w:p>
        </w:tc>
      </w:tr>
      <w:tr>
        <w:trPr>
          <w:trHeight w:val="333" w:hRule="atLeast"/>
        </w:trPr>
        <w:tc>
          <w:tcPr>
            <w:tcW w:w="4351" w:type="dxa"/>
          </w:tcPr>
          <w:p>
            <w:pPr>
              <w:pStyle w:val="TableParagraph"/>
              <w:ind w:left="105"/>
              <w:rPr>
                <w:sz w:val="22"/>
              </w:rPr>
            </w:pPr>
            <w:r>
              <w:rPr>
                <w:spacing w:val="-2"/>
                <w:sz w:val="22"/>
              </w:rPr>
              <w:t>Databases</w:t>
            </w:r>
          </w:p>
        </w:tc>
        <w:tc>
          <w:tcPr>
            <w:tcW w:w="1440" w:type="dxa"/>
          </w:tcPr>
          <w:p>
            <w:pPr>
              <w:pStyle w:val="TableParagraph"/>
              <w:ind w:right="93"/>
              <w:jc w:val="right"/>
              <w:rPr>
                <w:sz w:val="22"/>
              </w:rPr>
            </w:pPr>
            <w:r>
              <w:rPr>
                <w:spacing w:val="-5"/>
                <w:sz w:val="22"/>
              </w:rPr>
              <w:t>11</w:t>
            </w:r>
          </w:p>
        </w:tc>
      </w:tr>
    </w:tbl>
    <w:p>
      <w:pPr>
        <w:pStyle w:val="BodyText"/>
        <w:spacing w:before="8"/>
      </w:pPr>
    </w:p>
    <w:p>
      <w:pPr>
        <w:pStyle w:val="BodyText"/>
        <w:spacing w:before="1"/>
        <w:ind w:left="1503" w:right="1151"/>
      </w:pPr>
      <w:r>
        <w:rPr/>
        <w:t>A collection care unit was established to provide policy and procedure for the care and handling</w:t>
      </w:r>
      <w:r>
        <w:rPr>
          <w:spacing w:val="-3"/>
        </w:rPr>
        <w:t> </w:t>
      </w:r>
      <w:r>
        <w:rPr/>
        <w:t>of</w:t>
      </w:r>
      <w:r>
        <w:rPr>
          <w:spacing w:val="-3"/>
        </w:rPr>
        <w:t> </w:t>
      </w:r>
      <w:r>
        <w:rPr/>
        <w:t>print</w:t>
      </w:r>
      <w:r>
        <w:rPr>
          <w:spacing w:val="-3"/>
        </w:rPr>
        <w:t> </w:t>
      </w:r>
      <w:r>
        <w:rPr/>
        <w:t>and</w:t>
      </w:r>
      <w:r>
        <w:rPr>
          <w:spacing w:val="-4"/>
        </w:rPr>
        <w:t> </w:t>
      </w:r>
      <w:r>
        <w:rPr/>
        <w:t>media</w:t>
      </w:r>
      <w:r>
        <w:rPr>
          <w:spacing w:val="-3"/>
        </w:rPr>
        <w:t> </w:t>
      </w:r>
      <w:r>
        <w:rPr/>
        <w:t>materials.</w:t>
      </w:r>
      <w:r>
        <w:rPr>
          <w:spacing w:val="40"/>
        </w:rPr>
        <w:t> </w:t>
      </w:r>
      <w:r>
        <w:rPr/>
        <w:t>The</w:t>
      </w:r>
      <w:r>
        <w:rPr>
          <w:spacing w:val="-4"/>
        </w:rPr>
        <w:t> </w:t>
      </w:r>
      <w:r>
        <w:rPr/>
        <w:t>efforts</w:t>
      </w:r>
      <w:r>
        <w:rPr>
          <w:spacing w:val="-3"/>
        </w:rPr>
        <w:t> </w:t>
      </w:r>
      <w:r>
        <w:rPr/>
        <w:t>of</w:t>
      </w:r>
      <w:r>
        <w:rPr>
          <w:spacing w:val="-3"/>
        </w:rPr>
        <w:t> </w:t>
      </w:r>
      <w:r>
        <w:rPr/>
        <w:t>the</w:t>
      </w:r>
      <w:r>
        <w:rPr>
          <w:spacing w:val="-4"/>
        </w:rPr>
        <w:t> </w:t>
      </w:r>
      <w:r>
        <w:rPr/>
        <w:t>unit</w:t>
      </w:r>
      <w:r>
        <w:rPr>
          <w:spacing w:val="-4"/>
        </w:rPr>
        <w:t> </w:t>
      </w:r>
      <w:r>
        <w:rPr/>
        <w:t>and</w:t>
      </w:r>
      <w:r>
        <w:rPr>
          <w:spacing w:val="-4"/>
        </w:rPr>
        <w:t> </w:t>
      </w:r>
      <w:r>
        <w:rPr/>
        <w:t>the</w:t>
      </w:r>
      <w:r>
        <w:rPr>
          <w:spacing w:val="-3"/>
        </w:rPr>
        <w:t> </w:t>
      </w:r>
      <w:r>
        <w:rPr/>
        <w:t>Preservation</w:t>
      </w:r>
      <w:r>
        <w:rPr>
          <w:spacing w:val="-3"/>
        </w:rPr>
        <w:t> </w:t>
      </w:r>
      <w:r>
        <w:rPr/>
        <w:t>Manager are extended to all university library collections as well.</w:t>
      </w:r>
    </w:p>
    <w:p>
      <w:pPr>
        <w:spacing w:after="0"/>
        <w:sectPr>
          <w:headerReference w:type="default" r:id="rId83"/>
          <w:footerReference w:type="default" r:id="rId84"/>
          <w:pgSz w:w="12240" w:h="15840"/>
          <w:pgMar w:header="0" w:footer="974" w:top="1360" w:bottom="1160" w:left="1160" w:right="320"/>
        </w:sectPr>
      </w:pPr>
    </w:p>
    <w:p>
      <w:pPr>
        <w:pStyle w:val="BodyText"/>
        <w:spacing w:before="77"/>
        <w:ind w:left="1503" w:right="1211"/>
      </w:pPr>
      <w:r>
        <w:rPr/>
        <w:t>The materials held in Harvey Library have been catalogued to current professional standards.</w:t>
      </w:r>
      <w:r>
        <w:rPr>
          <w:spacing w:val="40"/>
        </w:rPr>
        <w:t> </w:t>
      </w:r>
      <w:r>
        <w:rPr/>
        <w:t>An</w:t>
      </w:r>
      <w:r>
        <w:rPr>
          <w:spacing w:val="-3"/>
        </w:rPr>
        <w:t> </w:t>
      </w:r>
      <w:r>
        <w:rPr/>
        <w:t>online</w:t>
      </w:r>
      <w:r>
        <w:rPr>
          <w:spacing w:val="-5"/>
        </w:rPr>
        <w:t> </w:t>
      </w:r>
      <w:r>
        <w:rPr/>
        <w:t>catalog</w:t>
      </w:r>
      <w:r>
        <w:rPr>
          <w:spacing w:val="-5"/>
        </w:rPr>
        <w:t> </w:t>
      </w:r>
      <w:r>
        <w:rPr/>
        <w:t>using</w:t>
      </w:r>
      <w:r>
        <w:rPr>
          <w:spacing w:val="-3"/>
        </w:rPr>
        <w:t> </w:t>
      </w:r>
      <w:r>
        <w:rPr/>
        <w:t>SIRSI</w:t>
      </w:r>
      <w:r>
        <w:rPr>
          <w:spacing w:val="-5"/>
        </w:rPr>
        <w:t> </w:t>
      </w:r>
      <w:r>
        <w:rPr/>
        <w:t>software</w:t>
      </w:r>
      <w:r>
        <w:rPr>
          <w:spacing w:val="-3"/>
        </w:rPr>
        <w:t> </w:t>
      </w:r>
      <w:r>
        <w:rPr/>
        <w:t>provides</w:t>
      </w:r>
      <w:r>
        <w:rPr>
          <w:spacing w:val="-1"/>
        </w:rPr>
        <w:t> </w:t>
      </w:r>
      <w:r>
        <w:rPr/>
        <w:t>intellectual</w:t>
      </w:r>
      <w:r>
        <w:rPr>
          <w:spacing w:val="-6"/>
        </w:rPr>
        <w:t> </w:t>
      </w:r>
      <w:r>
        <w:rPr/>
        <w:t>access</w:t>
      </w:r>
      <w:r>
        <w:rPr>
          <w:spacing w:val="-4"/>
        </w:rPr>
        <w:t> </w:t>
      </w:r>
      <w:r>
        <w:rPr/>
        <w:t>to</w:t>
      </w:r>
      <w:r>
        <w:rPr>
          <w:spacing w:val="-5"/>
        </w:rPr>
        <w:t> </w:t>
      </w:r>
      <w:r>
        <w:rPr/>
        <w:t>the material.</w:t>
      </w:r>
      <w:r>
        <w:rPr>
          <w:spacing w:val="40"/>
        </w:rPr>
        <w:t> </w:t>
      </w:r>
      <w:r>
        <w:rPr/>
        <w:t>Records are also found in the OCLC WorldCat database.</w:t>
      </w:r>
    </w:p>
    <w:p>
      <w:pPr>
        <w:pStyle w:val="BodyText"/>
        <w:spacing w:before="9"/>
      </w:pPr>
    </w:p>
    <w:p>
      <w:pPr>
        <w:pStyle w:val="BodyText"/>
        <w:ind w:left="1503" w:right="1151"/>
      </w:pPr>
      <w:r>
        <w:rPr/>
        <w:t>Interlibrary</w:t>
      </w:r>
      <w:r>
        <w:rPr>
          <w:spacing w:val="-7"/>
        </w:rPr>
        <w:t> </w:t>
      </w:r>
      <w:r>
        <w:rPr/>
        <w:t>loan</w:t>
      </w:r>
      <w:r>
        <w:rPr>
          <w:spacing w:val="-3"/>
        </w:rPr>
        <w:t> </w:t>
      </w:r>
      <w:r>
        <w:rPr/>
        <w:t>and</w:t>
      </w:r>
      <w:r>
        <w:rPr>
          <w:spacing w:val="-5"/>
        </w:rPr>
        <w:t> </w:t>
      </w:r>
      <w:r>
        <w:rPr/>
        <w:t>formal</w:t>
      </w:r>
      <w:r>
        <w:rPr>
          <w:spacing w:val="-6"/>
        </w:rPr>
        <w:t> </w:t>
      </w:r>
      <w:r>
        <w:rPr/>
        <w:t>consortia</w:t>
      </w:r>
      <w:r>
        <w:rPr>
          <w:spacing w:val="-3"/>
        </w:rPr>
        <w:t> </w:t>
      </w:r>
      <w:r>
        <w:rPr/>
        <w:t>arrangements</w:t>
      </w:r>
      <w:r>
        <w:rPr>
          <w:spacing w:val="-4"/>
        </w:rPr>
        <w:t> </w:t>
      </w:r>
      <w:r>
        <w:rPr/>
        <w:t>with</w:t>
      </w:r>
      <w:r>
        <w:rPr>
          <w:spacing w:val="-5"/>
        </w:rPr>
        <w:t> </w:t>
      </w:r>
      <w:r>
        <w:rPr/>
        <w:t>area</w:t>
      </w:r>
      <w:r>
        <w:rPr>
          <w:spacing w:val="-3"/>
        </w:rPr>
        <w:t> </w:t>
      </w:r>
      <w:r>
        <w:rPr/>
        <w:t>libraries</w:t>
      </w:r>
      <w:r>
        <w:rPr>
          <w:spacing w:val="-4"/>
        </w:rPr>
        <w:t> </w:t>
      </w:r>
      <w:r>
        <w:rPr/>
        <w:t>considerably</w:t>
      </w:r>
      <w:r>
        <w:rPr>
          <w:spacing w:val="-6"/>
        </w:rPr>
        <w:t> </w:t>
      </w:r>
      <w:r>
        <w:rPr/>
        <w:t>enlarge the array of library resources available to the Hampton University community.</w:t>
      </w:r>
      <w:r>
        <w:rPr>
          <w:spacing w:val="40"/>
        </w:rPr>
        <w:t> </w:t>
      </w:r>
      <w:r>
        <w:rPr/>
        <w:t>Hampton University’s participation in the Virginia Tidewater Consortium for Higher Education (VTC) provides the university faculty and students with reciprocal borrowing privileges at 16 area academic libraries.</w:t>
      </w:r>
      <w:r>
        <w:rPr>
          <w:spacing w:val="40"/>
        </w:rPr>
        <w:t> </w:t>
      </w:r>
      <w:r>
        <w:rPr/>
        <w:t>This membership includes those of Christopher Newport University, Thomas Nelson Community College, the College of William &amp; Mary; Old Dominion University; Norfolk State University; Regent University: Virginia Wesleyan College; and others.</w:t>
      </w:r>
      <w:r>
        <w:rPr>
          <w:spacing w:val="80"/>
        </w:rPr>
        <w:t> </w:t>
      </w:r>
      <w:r>
        <w:rPr/>
        <w:t>Additionally, the Hampton Public Library has two facilities near the campus and provides an additional range of resources to affiliates of the university as members of the broader local community.</w:t>
      </w:r>
    </w:p>
    <w:p>
      <w:pPr>
        <w:pStyle w:val="BodyText"/>
        <w:spacing w:before="1"/>
        <w:rPr>
          <w:sz w:val="21"/>
        </w:rPr>
      </w:pPr>
    </w:p>
    <w:p>
      <w:pPr>
        <w:pStyle w:val="BodyText"/>
        <w:ind w:left="1503" w:right="1240"/>
      </w:pPr>
      <w:r>
        <w:rPr/>
        <w:t>Library</w:t>
      </w:r>
      <w:r>
        <w:rPr>
          <w:spacing w:val="-7"/>
        </w:rPr>
        <w:t> </w:t>
      </w:r>
      <w:r>
        <w:rPr/>
        <w:t>has</w:t>
      </w:r>
      <w:r>
        <w:rPr>
          <w:spacing w:val="-3"/>
        </w:rPr>
        <w:t> </w:t>
      </w:r>
      <w:r>
        <w:rPr/>
        <w:t>a</w:t>
      </w:r>
      <w:r>
        <w:rPr>
          <w:spacing w:val="-4"/>
        </w:rPr>
        <w:t> </w:t>
      </w:r>
      <w:r>
        <w:rPr/>
        <w:t>staff</w:t>
      </w:r>
      <w:r>
        <w:rPr>
          <w:spacing w:val="-3"/>
        </w:rPr>
        <w:t> </w:t>
      </w:r>
      <w:r>
        <w:rPr/>
        <w:t>of</w:t>
      </w:r>
      <w:r>
        <w:rPr>
          <w:spacing w:val="-3"/>
        </w:rPr>
        <w:t> </w:t>
      </w:r>
      <w:r>
        <w:rPr/>
        <w:t>twelve</w:t>
      </w:r>
      <w:r>
        <w:rPr>
          <w:spacing w:val="-3"/>
        </w:rPr>
        <w:t> </w:t>
      </w:r>
      <w:r>
        <w:rPr/>
        <w:t>professional</w:t>
      </w:r>
      <w:r>
        <w:rPr>
          <w:spacing w:val="-5"/>
        </w:rPr>
        <w:t> </w:t>
      </w:r>
      <w:r>
        <w:rPr/>
        <w:t>librarians</w:t>
      </w:r>
      <w:r>
        <w:rPr>
          <w:spacing w:val="-3"/>
        </w:rPr>
        <w:t> </w:t>
      </w:r>
      <w:r>
        <w:rPr/>
        <w:t>(11 full-time,</w:t>
      </w:r>
      <w:r>
        <w:rPr>
          <w:spacing w:val="-4"/>
        </w:rPr>
        <w:t> </w:t>
      </w:r>
      <w:r>
        <w:rPr/>
        <w:t>1part-time)</w:t>
      </w:r>
      <w:r>
        <w:rPr>
          <w:spacing w:val="-3"/>
        </w:rPr>
        <w:t> </w:t>
      </w:r>
      <w:r>
        <w:rPr/>
        <w:t>and</w:t>
      </w:r>
      <w:r>
        <w:rPr>
          <w:spacing w:val="-4"/>
        </w:rPr>
        <w:t> </w:t>
      </w:r>
      <w:r>
        <w:rPr/>
        <w:t>twenty-two full-time support staff.</w:t>
      </w:r>
      <w:r>
        <w:rPr>
          <w:spacing w:val="40"/>
        </w:rPr>
        <w:t> </w:t>
      </w:r>
      <w:r>
        <w:rPr/>
        <w:t>The Harvey Library also employs a workforce of work-study and graduate-student assistants.</w:t>
      </w:r>
      <w:r>
        <w:rPr>
          <w:spacing w:val="40"/>
        </w:rPr>
        <w:t> </w:t>
      </w:r>
      <w:r>
        <w:rPr/>
        <w:t>Professional librarians are on duty most hours the library is open, including night and weekends.</w:t>
      </w:r>
      <w:r>
        <w:rPr>
          <w:spacing w:val="40"/>
        </w:rPr>
        <w:t> </w:t>
      </w:r>
      <w:r>
        <w:rPr/>
        <w:t>Several librarians hold subject masters or doctoral degrees in addition to their professional credentials in library science</w:t>
      </w:r>
    </w:p>
    <w:p>
      <w:pPr>
        <w:pStyle w:val="BodyText"/>
        <w:spacing w:before="10"/>
      </w:pPr>
    </w:p>
    <w:p>
      <w:pPr>
        <w:pStyle w:val="BodyText"/>
        <w:ind w:left="1503"/>
      </w:pPr>
      <w:r>
        <w:rPr>
          <w:spacing w:val="-2"/>
        </w:rPr>
        <w:t>Services</w:t>
      </w:r>
    </w:p>
    <w:p>
      <w:pPr>
        <w:pStyle w:val="BodyText"/>
        <w:spacing w:before="10"/>
      </w:pPr>
    </w:p>
    <w:p>
      <w:pPr>
        <w:pStyle w:val="BodyText"/>
        <w:ind w:left="1503" w:right="1211"/>
      </w:pPr>
      <w:r>
        <w:rPr/>
        <w:t>In</w:t>
      </w:r>
      <w:r>
        <w:rPr>
          <w:spacing w:val="-4"/>
        </w:rPr>
        <w:t> </w:t>
      </w:r>
      <w:r>
        <w:rPr/>
        <w:t>addition</w:t>
      </w:r>
      <w:r>
        <w:rPr>
          <w:spacing w:val="-4"/>
        </w:rPr>
        <w:t> </w:t>
      </w:r>
      <w:r>
        <w:rPr/>
        <w:t>to</w:t>
      </w:r>
      <w:r>
        <w:rPr>
          <w:spacing w:val="-2"/>
        </w:rPr>
        <w:t> </w:t>
      </w:r>
      <w:r>
        <w:rPr/>
        <w:t>its</w:t>
      </w:r>
      <w:r>
        <w:rPr>
          <w:spacing w:val="-3"/>
        </w:rPr>
        <w:t> </w:t>
      </w:r>
      <w:r>
        <w:rPr/>
        <w:t>printed</w:t>
      </w:r>
      <w:r>
        <w:rPr>
          <w:spacing w:val="-4"/>
        </w:rPr>
        <w:t> </w:t>
      </w:r>
      <w:r>
        <w:rPr/>
        <w:t>and</w:t>
      </w:r>
      <w:r>
        <w:rPr>
          <w:spacing w:val="-4"/>
        </w:rPr>
        <w:t> </w:t>
      </w:r>
      <w:r>
        <w:rPr/>
        <w:t>electronic</w:t>
      </w:r>
      <w:r>
        <w:rPr>
          <w:spacing w:val="-3"/>
        </w:rPr>
        <w:t> </w:t>
      </w:r>
      <w:r>
        <w:rPr/>
        <w:t>resources,</w:t>
      </w:r>
      <w:r>
        <w:rPr>
          <w:spacing w:val="-4"/>
        </w:rPr>
        <w:t> </w:t>
      </w:r>
      <w:r>
        <w:rPr/>
        <w:t>the Harvey</w:t>
      </w:r>
      <w:r>
        <w:rPr>
          <w:spacing w:val="-7"/>
        </w:rPr>
        <w:t> </w:t>
      </w:r>
      <w:r>
        <w:rPr/>
        <w:t>Library</w:t>
      </w:r>
      <w:r>
        <w:rPr>
          <w:spacing w:val="-7"/>
        </w:rPr>
        <w:t> </w:t>
      </w:r>
      <w:r>
        <w:rPr/>
        <w:t>provides a</w:t>
      </w:r>
      <w:r>
        <w:rPr>
          <w:spacing w:val="-4"/>
        </w:rPr>
        <w:t> </w:t>
      </w:r>
      <w:r>
        <w:rPr/>
        <w:t>variety</w:t>
      </w:r>
      <w:r>
        <w:rPr>
          <w:spacing w:val="-7"/>
        </w:rPr>
        <w:t> </w:t>
      </w:r>
      <w:r>
        <w:rPr/>
        <w:t>of services to assist the University’s faculty and students in meeting their teaching and learning, and research objectives.</w:t>
      </w:r>
    </w:p>
    <w:p>
      <w:pPr>
        <w:pStyle w:val="BodyText"/>
        <w:spacing w:before="9"/>
      </w:pPr>
    </w:p>
    <w:p>
      <w:pPr>
        <w:pStyle w:val="BodyText"/>
        <w:ind w:left="1503" w:right="1211"/>
      </w:pPr>
      <w:r>
        <w:rPr/>
        <w:t>In order to assure that library users find and effectively utilize the resources most appropriate to their needs, the library’s Reference Department provides one-on-one consultations</w:t>
      </w:r>
      <w:r>
        <w:rPr>
          <w:spacing w:val="-4"/>
        </w:rPr>
        <w:t> </w:t>
      </w:r>
      <w:r>
        <w:rPr/>
        <w:t>in</w:t>
      </w:r>
      <w:r>
        <w:rPr>
          <w:spacing w:val="-3"/>
        </w:rPr>
        <w:t> </w:t>
      </w:r>
      <w:r>
        <w:rPr/>
        <w:t>addition</w:t>
      </w:r>
      <w:r>
        <w:rPr>
          <w:spacing w:val="-5"/>
        </w:rPr>
        <w:t> </w:t>
      </w:r>
      <w:r>
        <w:rPr/>
        <w:t>to</w:t>
      </w:r>
      <w:r>
        <w:rPr>
          <w:spacing w:val="-3"/>
        </w:rPr>
        <w:t> </w:t>
      </w:r>
      <w:r>
        <w:rPr/>
        <w:t>traditional</w:t>
      </w:r>
      <w:r>
        <w:rPr>
          <w:spacing w:val="-4"/>
        </w:rPr>
        <w:t> </w:t>
      </w:r>
      <w:r>
        <w:rPr/>
        <w:t>desk-based</w:t>
      </w:r>
      <w:r>
        <w:rPr>
          <w:spacing w:val="-5"/>
        </w:rPr>
        <w:t> </w:t>
      </w:r>
      <w:r>
        <w:rPr/>
        <w:t>services.</w:t>
      </w:r>
      <w:r>
        <w:rPr>
          <w:spacing w:val="40"/>
        </w:rPr>
        <w:t> </w:t>
      </w:r>
      <w:r>
        <w:rPr/>
        <w:t>Personalized</w:t>
      </w:r>
      <w:r>
        <w:rPr>
          <w:spacing w:val="-5"/>
        </w:rPr>
        <w:t> </w:t>
      </w:r>
      <w:r>
        <w:rPr/>
        <w:t>service</w:t>
      </w:r>
      <w:r>
        <w:rPr>
          <w:spacing w:val="-3"/>
        </w:rPr>
        <w:t> </w:t>
      </w:r>
      <w:r>
        <w:rPr/>
        <w:t>is</w:t>
      </w:r>
      <w:r>
        <w:rPr>
          <w:spacing w:val="-4"/>
        </w:rPr>
        <w:t> </w:t>
      </w:r>
      <w:r>
        <w:rPr/>
        <w:t>also offered via telephone, email, or Internet chat.</w:t>
      </w:r>
    </w:p>
    <w:p>
      <w:pPr>
        <w:pStyle w:val="BodyText"/>
        <w:spacing w:before="9"/>
      </w:pPr>
    </w:p>
    <w:p>
      <w:pPr>
        <w:pStyle w:val="BodyText"/>
        <w:ind w:left="1503" w:right="1144"/>
      </w:pPr>
      <w:r>
        <w:rPr/>
        <w:t>On behalf of its patrons, the Harvey Library borrows materials from other institutions</w:t>
      </w:r>
      <w:r>
        <w:rPr>
          <w:spacing w:val="40"/>
        </w:rPr>
        <w:t> </w:t>
      </w:r>
      <w:r>
        <w:rPr/>
        <w:t>through</w:t>
      </w:r>
      <w:r>
        <w:rPr>
          <w:spacing w:val="-3"/>
        </w:rPr>
        <w:t> </w:t>
      </w:r>
      <w:r>
        <w:rPr/>
        <w:t>interlibrary</w:t>
      </w:r>
      <w:r>
        <w:rPr>
          <w:spacing w:val="-4"/>
        </w:rPr>
        <w:t> </w:t>
      </w:r>
      <w:r>
        <w:rPr/>
        <w:t>loan</w:t>
      </w:r>
      <w:r>
        <w:rPr>
          <w:spacing w:val="-3"/>
        </w:rPr>
        <w:t> </w:t>
      </w:r>
      <w:r>
        <w:rPr/>
        <w:t>on a</w:t>
      </w:r>
      <w:r>
        <w:rPr>
          <w:spacing w:val="-3"/>
        </w:rPr>
        <w:t> </w:t>
      </w:r>
      <w:r>
        <w:rPr/>
        <w:t>cost-recovery</w:t>
      </w:r>
      <w:r>
        <w:rPr>
          <w:spacing w:val="-6"/>
        </w:rPr>
        <w:t> </w:t>
      </w:r>
      <w:r>
        <w:rPr/>
        <w:t>basis.</w:t>
      </w:r>
      <w:r>
        <w:rPr>
          <w:spacing w:val="40"/>
        </w:rPr>
        <w:t> </w:t>
      </w:r>
      <w:r>
        <w:rPr/>
        <w:t>Interface</w:t>
      </w:r>
      <w:r>
        <w:rPr>
          <w:spacing w:val="-3"/>
        </w:rPr>
        <w:t> </w:t>
      </w:r>
      <w:r>
        <w:rPr/>
        <w:t>with</w:t>
      </w:r>
      <w:r>
        <w:rPr>
          <w:spacing w:val="-3"/>
        </w:rPr>
        <w:t> </w:t>
      </w:r>
      <w:r>
        <w:rPr/>
        <w:t>the</w:t>
      </w:r>
      <w:r>
        <w:rPr>
          <w:spacing w:val="-3"/>
        </w:rPr>
        <w:t> </w:t>
      </w:r>
      <w:r>
        <w:rPr/>
        <w:t>interlibrary</w:t>
      </w:r>
      <w:r>
        <w:rPr>
          <w:spacing w:val="-6"/>
        </w:rPr>
        <w:t> </w:t>
      </w:r>
      <w:r>
        <w:rPr/>
        <w:t>loan</w:t>
      </w:r>
      <w:r>
        <w:rPr>
          <w:spacing w:val="-3"/>
        </w:rPr>
        <w:t> </w:t>
      </w:r>
      <w:r>
        <w:rPr/>
        <w:t>service is facilitated by an automated system known as ILLIAD.</w:t>
      </w:r>
      <w:r>
        <w:rPr>
          <w:spacing w:val="72"/>
        </w:rPr>
        <w:t> </w:t>
      </w:r>
      <w:r>
        <w:rPr/>
        <w:t>The library repays the generosity</w:t>
      </w:r>
      <w:r>
        <w:rPr>
          <w:spacing w:val="40"/>
        </w:rPr>
        <w:t> </w:t>
      </w:r>
      <w:r>
        <w:rPr/>
        <w:t>of its interlibrary loan partners by regularly lending Harvey Library materials as requested.</w:t>
      </w:r>
    </w:p>
    <w:p>
      <w:pPr>
        <w:pStyle w:val="BodyText"/>
        <w:spacing w:before="1"/>
        <w:rPr>
          <w:sz w:val="21"/>
        </w:rPr>
      </w:pPr>
    </w:p>
    <w:p>
      <w:pPr>
        <w:pStyle w:val="BodyText"/>
        <w:ind w:left="1503" w:right="1151"/>
      </w:pPr>
      <w:r>
        <w:rPr/>
        <w:t>The Harvey Library’s special services to faculty include course reserves organized by the Circulation Department and library instruction services offered by librarians assigned to its reference</w:t>
      </w:r>
      <w:r>
        <w:rPr>
          <w:spacing w:val="-4"/>
        </w:rPr>
        <w:t> </w:t>
      </w:r>
      <w:r>
        <w:rPr/>
        <w:t>and</w:t>
      </w:r>
      <w:r>
        <w:rPr>
          <w:spacing w:val="-2"/>
        </w:rPr>
        <w:t> </w:t>
      </w:r>
      <w:r>
        <w:rPr/>
        <w:t>other</w:t>
      </w:r>
      <w:r>
        <w:rPr>
          <w:spacing w:val="-3"/>
        </w:rPr>
        <w:t> </w:t>
      </w:r>
      <w:r>
        <w:rPr/>
        <w:t>departments.</w:t>
      </w:r>
      <w:r>
        <w:rPr>
          <w:spacing w:val="40"/>
        </w:rPr>
        <w:t> </w:t>
      </w:r>
      <w:r>
        <w:rPr/>
        <w:t>Library</w:t>
      </w:r>
      <w:r>
        <w:rPr>
          <w:spacing w:val="-5"/>
        </w:rPr>
        <w:t> </w:t>
      </w:r>
      <w:r>
        <w:rPr/>
        <w:t>instruction</w:t>
      </w:r>
      <w:r>
        <w:rPr>
          <w:spacing w:val="-2"/>
        </w:rPr>
        <w:t> </w:t>
      </w:r>
      <w:r>
        <w:rPr/>
        <w:t>in</w:t>
      </w:r>
      <w:r>
        <w:rPr>
          <w:spacing w:val="-4"/>
        </w:rPr>
        <w:t> </w:t>
      </w:r>
      <w:r>
        <w:rPr/>
        <w:t>the</w:t>
      </w:r>
      <w:r>
        <w:rPr>
          <w:spacing w:val="-2"/>
        </w:rPr>
        <w:t> </w:t>
      </w:r>
      <w:r>
        <w:rPr/>
        <w:t>Harvey</w:t>
      </w:r>
      <w:r>
        <w:rPr>
          <w:spacing w:val="-5"/>
        </w:rPr>
        <w:t> </w:t>
      </w:r>
      <w:r>
        <w:rPr/>
        <w:t>Library</w:t>
      </w:r>
      <w:r>
        <w:rPr>
          <w:spacing w:val="-5"/>
        </w:rPr>
        <w:t> </w:t>
      </w:r>
      <w:r>
        <w:rPr/>
        <w:t>aims</w:t>
      </w:r>
      <w:r>
        <w:rPr>
          <w:spacing w:val="-3"/>
        </w:rPr>
        <w:t> </w:t>
      </w:r>
      <w:r>
        <w:rPr/>
        <w:t>to</w:t>
      </w:r>
      <w:r>
        <w:rPr>
          <w:spacing w:val="-4"/>
        </w:rPr>
        <w:t> </w:t>
      </w:r>
      <w:r>
        <w:rPr/>
        <w:t>inculcate information literacy by planned and coordinated instruction in classes taken at all instructional levels through which students pass as they work toward their degrees.</w:t>
      </w:r>
    </w:p>
    <w:p>
      <w:pPr>
        <w:pStyle w:val="BodyText"/>
        <w:spacing w:before="10"/>
      </w:pPr>
    </w:p>
    <w:p>
      <w:pPr>
        <w:pStyle w:val="BodyText"/>
        <w:ind w:left="1503" w:right="1211"/>
      </w:pPr>
      <w:r>
        <w:rPr/>
        <w:t>The</w:t>
      </w:r>
      <w:r>
        <w:rPr>
          <w:spacing w:val="-7"/>
        </w:rPr>
        <w:t> </w:t>
      </w:r>
      <w:r>
        <w:rPr/>
        <w:t>Harvey</w:t>
      </w:r>
      <w:r>
        <w:rPr>
          <w:spacing w:val="-9"/>
        </w:rPr>
        <w:t> </w:t>
      </w:r>
      <w:r>
        <w:rPr/>
        <w:t>Library</w:t>
      </w:r>
      <w:r>
        <w:rPr>
          <w:spacing w:val="-7"/>
        </w:rPr>
        <w:t> </w:t>
      </w:r>
      <w:r>
        <w:rPr/>
        <w:t>website</w:t>
      </w:r>
      <w:r>
        <w:rPr>
          <w:spacing w:val="-5"/>
        </w:rPr>
        <w:t> </w:t>
      </w:r>
      <w:hyperlink r:id="rId87">
        <w:r>
          <w:rPr/>
          <w:t>www.hamptonu.edu/universityservices/library</w:t>
        </w:r>
      </w:hyperlink>
      <w:r>
        <w:rPr>
          <w:spacing w:val="-8"/>
        </w:rPr>
        <w:t> </w:t>
      </w:r>
      <w:r>
        <w:rPr/>
        <w:t>provides</w:t>
      </w:r>
      <w:r>
        <w:rPr>
          <w:spacing w:val="-3"/>
        </w:rPr>
        <w:t> </w:t>
      </w:r>
      <w:r>
        <w:rPr/>
        <w:t>remote access</w:t>
      </w:r>
      <w:r>
        <w:rPr>
          <w:spacing w:val="-4"/>
        </w:rPr>
        <w:t> </w:t>
      </w:r>
      <w:r>
        <w:rPr/>
        <w:t>to</w:t>
      </w:r>
      <w:r>
        <w:rPr>
          <w:spacing w:val="-5"/>
        </w:rPr>
        <w:t> </w:t>
      </w:r>
      <w:r>
        <w:rPr/>
        <w:t>virtual</w:t>
      </w:r>
      <w:r>
        <w:rPr>
          <w:spacing w:val="-4"/>
        </w:rPr>
        <w:t> </w:t>
      </w:r>
      <w:r>
        <w:rPr/>
        <w:t>collections</w:t>
      </w:r>
      <w:r>
        <w:rPr>
          <w:spacing w:val="-1"/>
        </w:rPr>
        <w:t> </w:t>
      </w:r>
      <w:r>
        <w:rPr/>
        <w:t>and</w:t>
      </w:r>
      <w:r>
        <w:rPr>
          <w:spacing w:val="-5"/>
        </w:rPr>
        <w:t> </w:t>
      </w:r>
      <w:r>
        <w:rPr/>
        <w:t>services.</w:t>
      </w:r>
      <w:r>
        <w:rPr>
          <w:spacing w:val="-3"/>
        </w:rPr>
        <w:t> </w:t>
      </w:r>
      <w:r>
        <w:rPr/>
        <w:t>Additional</w:t>
      </w:r>
      <w:r>
        <w:rPr>
          <w:spacing w:val="-4"/>
        </w:rPr>
        <w:t> </w:t>
      </w:r>
      <w:r>
        <w:rPr/>
        <w:t>services</w:t>
      </w:r>
      <w:r>
        <w:rPr>
          <w:spacing w:val="-4"/>
        </w:rPr>
        <w:t> </w:t>
      </w:r>
      <w:r>
        <w:rPr/>
        <w:t>of</w:t>
      </w:r>
      <w:r>
        <w:rPr>
          <w:spacing w:val="-3"/>
        </w:rPr>
        <w:t> </w:t>
      </w:r>
      <w:r>
        <w:rPr/>
        <w:t>the</w:t>
      </w:r>
      <w:r>
        <w:rPr>
          <w:spacing w:val="-1"/>
        </w:rPr>
        <w:t> </w:t>
      </w:r>
      <w:r>
        <w:rPr/>
        <w:t>Harvey</w:t>
      </w:r>
      <w:r>
        <w:rPr>
          <w:spacing w:val="-6"/>
        </w:rPr>
        <w:t> </w:t>
      </w:r>
      <w:r>
        <w:rPr/>
        <w:t>Library</w:t>
      </w:r>
      <w:r>
        <w:rPr>
          <w:spacing w:val="-6"/>
        </w:rPr>
        <w:t> </w:t>
      </w:r>
      <w:r>
        <w:rPr/>
        <w:t>include access to photocopiers, networked printers, scanners, VCR’s, DVD players, and typewriters.</w:t>
      </w:r>
      <w:r>
        <w:rPr>
          <w:spacing w:val="40"/>
        </w:rPr>
        <w:t> </w:t>
      </w:r>
      <w:r>
        <w:rPr/>
        <w:t>Library staff is available to provide assistance in using all such services and equipment.</w:t>
      </w:r>
      <w:r>
        <w:rPr>
          <w:spacing w:val="-2"/>
        </w:rPr>
        <w:t> </w:t>
      </w:r>
      <w:r>
        <w:rPr/>
        <w:t>A particularly</w:t>
      </w:r>
      <w:r>
        <w:rPr>
          <w:spacing w:val="-3"/>
        </w:rPr>
        <w:t> </w:t>
      </w:r>
      <w:r>
        <w:rPr/>
        <w:t>appreciated</w:t>
      </w:r>
      <w:r>
        <w:rPr>
          <w:spacing w:val="-2"/>
        </w:rPr>
        <w:t> </w:t>
      </w:r>
      <w:r>
        <w:rPr/>
        <w:t>service of the</w:t>
      </w:r>
      <w:r>
        <w:rPr>
          <w:spacing w:val="-2"/>
        </w:rPr>
        <w:t> </w:t>
      </w:r>
      <w:r>
        <w:rPr/>
        <w:t>Harvey</w:t>
      </w:r>
      <w:r>
        <w:rPr>
          <w:spacing w:val="-5"/>
        </w:rPr>
        <w:t> </w:t>
      </w:r>
      <w:r>
        <w:rPr/>
        <w:t>Library</w:t>
      </w:r>
      <w:r>
        <w:rPr>
          <w:spacing w:val="-5"/>
        </w:rPr>
        <w:t> </w:t>
      </w:r>
      <w:r>
        <w:rPr/>
        <w:t>is</w:t>
      </w:r>
      <w:r>
        <w:rPr>
          <w:spacing w:val="-1"/>
        </w:rPr>
        <w:t> </w:t>
      </w:r>
      <w:r>
        <w:rPr/>
        <w:t>the provision</w:t>
      </w:r>
      <w:r>
        <w:rPr>
          <w:spacing w:val="-2"/>
        </w:rPr>
        <w:t> </w:t>
      </w:r>
      <w:r>
        <w:rPr/>
        <w:t>of 24/7 access to library resources via the Internet</w:t>
      </w:r>
    </w:p>
    <w:p>
      <w:pPr>
        <w:pStyle w:val="BodyText"/>
        <w:spacing w:before="10"/>
      </w:pPr>
    </w:p>
    <w:p>
      <w:pPr>
        <w:pStyle w:val="BodyText"/>
        <w:ind w:left="1503" w:right="1151"/>
      </w:pPr>
      <w:r>
        <w:rPr/>
        <w:t>The Harvey Library building is open 99 hours per week; during Fall and Spring semesters; Monday</w:t>
      </w:r>
      <w:r>
        <w:rPr>
          <w:spacing w:val="-6"/>
        </w:rPr>
        <w:t> </w:t>
      </w:r>
      <w:r>
        <w:rPr/>
        <w:t>through</w:t>
      </w:r>
      <w:r>
        <w:rPr>
          <w:spacing w:val="-5"/>
        </w:rPr>
        <w:t> </w:t>
      </w:r>
      <w:r>
        <w:rPr/>
        <w:t>Thursday,</w:t>
      </w:r>
      <w:r>
        <w:rPr>
          <w:spacing w:val="-3"/>
        </w:rPr>
        <w:t> </w:t>
      </w:r>
      <w:r>
        <w:rPr/>
        <w:t>8:00</w:t>
      </w:r>
      <w:r>
        <w:rPr>
          <w:spacing w:val="-3"/>
        </w:rPr>
        <w:t> </w:t>
      </w:r>
      <w:r>
        <w:rPr/>
        <w:t>AM</w:t>
      </w:r>
      <w:r>
        <w:rPr>
          <w:spacing w:val="-3"/>
        </w:rPr>
        <w:t> </w:t>
      </w:r>
      <w:r>
        <w:rPr/>
        <w:t>to</w:t>
      </w:r>
      <w:r>
        <w:rPr>
          <w:spacing w:val="-3"/>
        </w:rPr>
        <w:t> </w:t>
      </w:r>
      <w:r>
        <w:rPr/>
        <w:t>2:00AM;</w:t>
      </w:r>
      <w:r>
        <w:rPr>
          <w:spacing w:val="-5"/>
        </w:rPr>
        <w:t> </w:t>
      </w:r>
      <w:r>
        <w:rPr/>
        <w:t>Friday,</w:t>
      </w:r>
      <w:r>
        <w:rPr>
          <w:spacing w:val="-3"/>
        </w:rPr>
        <w:t> </w:t>
      </w:r>
      <w:r>
        <w:rPr/>
        <w:t>8:00</w:t>
      </w:r>
      <w:r>
        <w:rPr>
          <w:spacing w:val="-3"/>
        </w:rPr>
        <w:t> </w:t>
      </w:r>
      <w:r>
        <w:rPr/>
        <w:t>AM</w:t>
      </w:r>
      <w:r>
        <w:rPr>
          <w:spacing w:val="-5"/>
        </w:rPr>
        <w:t> </w:t>
      </w:r>
      <w:r>
        <w:rPr/>
        <w:t>to</w:t>
      </w:r>
      <w:r>
        <w:rPr>
          <w:spacing w:val="-3"/>
        </w:rPr>
        <w:t> </w:t>
      </w:r>
      <w:r>
        <w:rPr/>
        <w:t>5:00</w:t>
      </w:r>
      <w:r>
        <w:rPr>
          <w:spacing w:val="-5"/>
        </w:rPr>
        <w:t> </w:t>
      </w:r>
      <w:r>
        <w:rPr/>
        <w:t>PM;</w:t>
      </w:r>
      <w:r>
        <w:rPr>
          <w:spacing w:val="-3"/>
        </w:rPr>
        <w:t> </w:t>
      </w:r>
      <w:r>
        <w:rPr/>
        <w:t>Saturday,</w:t>
      </w:r>
      <w:r>
        <w:rPr>
          <w:spacing w:val="-3"/>
        </w:rPr>
        <w:t> </w:t>
      </w:r>
      <w:r>
        <w:rPr/>
        <w:t>9:00 AM to 5:00 PM; and Sunday 2:00 PM to 2:00AM.</w:t>
      </w:r>
      <w:r>
        <w:rPr>
          <w:spacing w:val="80"/>
          <w:w w:val="150"/>
        </w:rPr>
        <w:t> </w:t>
      </w:r>
      <w:r>
        <w:rPr/>
        <w:t>Hours are slightly reduced during summer session.</w:t>
      </w:r>
    </w:p>
    <w:p>
      <w:pPr>
        <w:spacing w:after="0"/>
        <w:sectPr>
          <w:headerReference w:type="default" r:id="rId85"/>
          <w:footerReference w:type="default" r:id="rId86"/>
          <w:pgSz w:w="12240" w:h="15840"/>
          <w:pgMar w:header="0" w:footer="974" w:top="1360" w:bottom="1160" w:left="1160" w:right="320"/>
        </w:sectPr>
      </w:pPr>
    </w:p>
    <w:p>
      <w:pPr>
        <w:pStyle w:val="BodyText"/>
        <w:spacing w:before="77"/>
        <w:ind w:left="1503"/>
      </w:pPr>
      <w:r>
        <w:rPr>
          <w:spacing w:val="-2"/>
        </w:rPr>
        <w:t>Facilities</w:t>
      </w:r>
    </w:p>
    <w:p>
      <w:pPr>
        <w:pStyle w:val="BodyText"/>
        <w:spacing w:before="10"/>
      </w:pPr>
    </w:p>
    <w:p>
      <w:pPr>
        <w:pStyle w:val="BodyText"/>
        <w:ind w:left="1504" w:right="1141" w:hanging="1"/>
      </w:pPr>
      <w:r>
        <w:rPr/>
        <w:t>The Harvey Library occupies a 125,000 square-foot, five-story building opened in 1992. With abundant seating at tables and carrels, fifteen private study rooms, ten small group study rooms, and eighteen faculty study rooms, the Harvey Library offers more than adequate seating and study space to its users.</w:t>
      </w:r>
      <w:r>
        <w:rPr>
          <w:spacing w:val="40"/>
        </w:rPr>
        <w:t> </w:t>
      </w:r>
      <w:r>
        <w:rPr/>
        <w:t>The facilities provide well for private study, collaborative study, and organized instruction.</w:t>
      </w:r>
      <w:r>
        <w:rPr>
          <w:spacing w:val="40"/>
        </w:rPr>
        <w:t> </w:t>
      </w:r>
      <w:r>
        <w:rPr/>
        <w:t>The library building is safe, well lit, and comfortable.</w:t>
      </w:r>
      <w:r>
        <w:rPr>
          <w:spacing w:val="40"/>
        </w:rPr>
        <w:t> </w:t>
      </w:r>
      <w:r>
        <w:rPr/>
        <w:t>It</w:t>
      </w:r>
      <w:r>
        <w:rPr>
          <w:spacing w:val="-2"/>
        </w:rPr>
        <w:t> </w:t>
      </w:r>
      <w:r>
        <w:rPr/>
        <w:t>was</w:t>
      </w:r>
      <w:r>
        <w:rPr>
          <w:spacing w:val="-3"/>
        </w:rPr>
        <w:t> </w:t>
      </w:r>
      <w:r>
        <w:rPr/>
        <w:t>designed</w:t>
      </w:r>
      <w:r>
        <w:rPr>
          <w:spacing w:val="-4"/>
        </w:rPr>
        <w:t> </w:t>
      </w:r>
      <w:r>
        <w:rPr/>
        <w:t>to</w:t>
      </w:r>
      <w:r>
        <w:rPr>
          <w:spacing w:val="-2"/>
        </w:rPr>
        <w:t> </w:t>
      </w:r>
      <w:r>
        <w:rPr/>
        <w:t>hold</w:t>
      </w:r>
      <w:r>
        <w:rPr>
          <w:spacing w:val="-2"/>
        </w:rPr>
        <w:t> </w:t>
      </w:r>
      <w:r>
        <w:rPr/>
        <w:t>a</w:t>
      </w:r>
      <w:r>
        <w:rPr>
          <w:spacing w:val="-4"/>
        </w:rPr>
        <w:t> </w:t>
      </w:r>
      <w:r>
        <w:rPr/>
        <w:t>capacity</w:t>
      </w:r>
      <w:r>
        <w:rPr>
          <w:spacing w:val="-5"/>
        </w:rPr>
        <w:t> </w:t>
      </w:r>
      <w:r>
        <w:rPr/>
        <w:t>of</w:t>
      </w:r>
      <w:r>
        <w:rPr>
          <w:spacing w:val="-2"/>
        </w:rPr>
        <w:t> </w:t>
      </w:r>
      <w:r>
        <w:rPr/>
        <w:t>600,000</w:t>
      </w:r>
      <w:r>
        <w:rPr>
          <w:spacing w:val="-2"/>
        </w:rPr>
        <w:t> </w:t>
      </w:r>
      <w:r>
        <w:rPr/>
        <w:t>volumes</w:t>
      </w:r>
      <w:r>
        <w:rPr>
          <w:spacing w:val="-3"/>
        </w:rPr>
        <w:t> </w:t>
      </w:r>
      <w:r>
        <w:rPr/>
        <w:t>without</w:t>
      </w:r>
      <w:r>
        <w:rPr>
          <w:spacing w:val="-4"/>
        </w:rPr>
        <w:t> </w:t>
      </w:r>
      <w:r>
        <w:rPr/>
        <w:t>encroaching</w:t>
      </w:r>
      <w:r>
        <w:rPr>
          <w:spacing w:val="-4"/>
        </w:rPr>
        <w:t> </w:t>
      </w:r>
      <w:r>
        <w:rPr/>
        <w:t>on the spaces set aside for study and offices.</w:t>
      </w:r>
    </w:p>
    <w:p>
      <w:pPr>
        <w:pStyle w:val="BodyText"/>
        <w:spacing w:before="11"/>
      </w:pPr>
    </w:p>
    <w:p>
      <w:pPr>
        <w:pStyle w:val="BodyText"/>
        <w:ind w:left="1504" w:right="1211"/>
      </w:pPr>
      <w:r>
        <w:rPr/>
        <w:t>The Harvey</w:t>
      </w:r>
      <w:r>
        <w:rPr>
          <w:spacing w:val="-2"/>
        </w:rPr>
        <w:t> </w:t>
      </w:r>
      <w:r>
        <w:rPr/>
        <w:t>Library</w:t>
      </w:r>
      <w:r>
        <w:rPr>
          <w:spacing w:val="-2"/>
        </w:rPr>
        <w:t> </w:t>
      </w:r>
      <w:r>
        <w:rPr/>
        <w:t>currently occupies the building’s first four floors.</w:t>
      </w:r>
      <w:r>
        <w:rPr>
          <w:spacing w:val="40"/>
        </w:rPr>
        <w:t> </w:t>
      </w:r>
      <w:r>
        <w:rPr/>
        <w:t>The fifth</w:t>
      </w:r>
      <w:r>
        <w:rPr>
          <w:spacing w:val="-2"/>
        </w:rPr>
        <w:t> </w:t>
      </w:r>
      <w:r>
        <w:rPr/>
        <w:t>floor houses the Center for Information Technology which includes:</w:t>
      </w:r>
      <w:r>
        <w:rPr>
          <w:spacing w:val="40"/>
        </w:rPr>
        <w:t> </w:t>
      </w:r>
      <w:r>
        <w:rPr/>
        <w:t>an Academic Technology Mall consisting of computer laboratories for faculty and students; the university’s media center; the</w:t>
      </w:r>
      <w:r>
        <w:rPr>
          <w:spacing w:val="-5"/>
        </w:rPr>
        <w:t> </w:t>
      </w:r>
      <w:r>
        <w:rPr/>
        <w:t>foreign</w:t>
      </w:r>
      <w:r>
        <w:rPr>
          <w:spacing w:val="-5"/>
        </w:rPr>
        <w:t> </w:t>
      </w:r>
      <w:r>
        <w:rPr/>
        <w:t>language</w:t>
      </w:r>
      <w:r>
        <w:rPr>
          <w:spacing w:val="-5"/>
        </w:rPr>
        <w:t> </w:t>
      </w:r>
      <w:r>
        <w:rPr/>
        <w:t>department’s</w:t>
      </w:r>
      <w:r>
        <w:rPr>
          <w:spacing w:val="-4"/>
        </w:rPr>
        <w:t> </w:t>
      </w:r>
      <w:r>
        <w:rPr/>
        <w:t>language</w:t>
      </w:r>
      <w:r>
        <w:rPr>
          <w:spacing w:val="-5"/>
        </w:rPr>
        <w:t> </w:t>
      </w:r>
      <w:r>
        <w:rPr/>
        <w:t>laboratory;</w:t>
      </w:r>
      <w:r>
        <w:rPr>
          <w:spacing w:val="-5"/>
        </w:rPr>
        <w:t> </w:t>
      </w:r>
      <w:r>
        <w:rPr/>
        <w:t>electronic</w:t>
      </w:r>
      <w:r>
        <w:rPr>
          <w:spacing w:val="-4"/>
        </w:rPr>
        <w:t> </w:t>
      </w:r>
      <w:r>
        <w:rPr/>
        <w:t>classrooms;</w:t>
      </w:r>
      <w:r>
        <w:rPr>
          <w:spacing w:val="-5"/>
        </w:rPr>
        <w:t> </w:t>
      </w:r>
      <w:r>
        <w:rPr/>
        <w:t>a</w:t>
      </w:r>
      <w:r>
        <w:rPr>
          <w:spacing w:val="-5"/>
        </w:rPr>
        <w:t> </w:t>
      </w:r>
      <w:r>
        <w:rPr/>
        <w:t>television studio and related offices.</w:t>
      </w:r>
    </w:p>
    <w:p>
      <w:pPr>
        <w:pStyle w:val="BodyText"/>
        <w:spacing w:before="10"/>
      </w:pPr>
    </w:p>
    <w:p>
      <w:pPr>
        <w:pStyle w:val="BodyText"/>
        <w:ind w:left="1504" w:right="1151"/>
      </w:pPr>
      <w:r>
        <w:rPr/>
        <w:t>The third and fourth floors of the Harvey Library house the library’s circulating collection of books.</w:t>
      </w:r>
      <w:r>
        <w:rPr>
          <w:spacing w:val="40"/>
        </w:rPr>
        <w:t> </w:t>
      </w:r>
      <w:r>
        <w:rPr/>
        <w:t>The third floor also houses the library’s Technical Services Departments and the Peabody</w:t>
      </w:r>
      <w:r>
        <w:rPr>
          <w:spacing w:val="-1"/>
        </w:rPr>
        <w:t> </w:t>
      </w:r>
      <w:r>
        <w:rPr/>
        <w:t>Special Collection.</w:t>
      </w:r>
      <w:r>
        <w:rPr>
          <w:spacing w:val="40"/>
        </w:rPr>
        <w:t> </w:t>
      </w:r>
      <w:r>
        <w:rPr/>
        <w:t>The second floor, devoted to the periodical</w:t>
      </w:r>
      <w:r>
        <w:rPr>
          <w:spacing w:val="-1"/>
        </w:rPr>
        <w:t> </w:t>
      </w:r>
      <w:r>
        <w:rPr/>
        <w:t>collection, houses approximately 50,000 bound volumes, the library’s collection of print indexes, a large microform collection and the Audio-Visual collection.</w:t>
      </w:r>
      <w:r>
        <w:rPr>
          <w:spacing w:val="40"/>
        </w:rPr>
        <w:t> </w:t>
      </w:r>
      <w:r>
        <w:rPr/>
        <w:t>The first floor houses the reference collection, and the Federal Documents depository (serving the Third Congressional District of the Commonwealth of Virginia).</w:t>
      </w:r>
      <w:r>
        <w:rPr>
          <w:spacing w:val="40"/>
        </w:rPr>
        <w:t> </w:t>
      </w:r>
      <w:r>
        <w:rPr/>
        <w:t>Also located on the first floor are the reference and circulation desks, the interlibrary loan office, an electronic classroom and two other rooms available for meetings or instructional sessions, a 24-hour study area, and administrative offices.</w:t>
      </w:r>
      <w:r>
        <w:rPr>
          <w:spacing w:val="40"/>
        </w:rPr>
        <w:t> </w:t>
      </w:r>
      <w:r>
        <w:rPr/>
        <w:t>The electronic classroom, used primarily for information literacy and library instruction,</w:t>
      </w:r>
      <w:r>
        <w:rPr>
          <w:spacing w:val="-4"/>
        </w:rPr>
        <w:t> </w:t>
      </w:r>
      <w:r>
        <w:rPr/>
        <w:t>has</w:t>
      </w:r>
      <w:r>
        <w:rPr>
          <w:spacing w:val="-3"/>
        </w:rPr>
        <w:t> </w:t>
      </w:r>
      <w:r>
        <w:rPr/>
        <w:t>digital</w:t>
      </w:r>
      <w:r>
        <w:rPr>
          <w:spacing w:val="-3"/>
        </w:rPr>
        <w:t> </w:t>
      </w:r>
      <w:r>
        <w:rPr/>
        <w:t>projection</w:t>
      </w:r>
      <w:r>
        <w:rPr>
          <w:spacing w:val="-4"/>
        </w:rPr>
        <w:t> </w:t>
      </w:r>
      <w:r>
        <w:rPr/>
        <w:t>facilities</w:t>
      </w:r>
      <w:r>
        <w:rPr>
          <w:spacing w:val="-3"/>
        </w:rPr>
        <w:t> </w:t>
      </w:r>
      <w:r>
        <w:rPr/>
        <w:t>and</w:t>
      </w:r>
      <w:r>
        <w:rPr>
          <w:spacing w:val="-4"/>
        </w:rPr>
        <w:t> </w:t>
      </w:r>
      <w:r>
        <w:rPr/>
        <w:t>thirty</w:t>
      </w:r>
      <w:r>
        <w:rPr>
          <w:spacing w:val="-6"/>
        </w:rPr>
        <w:t> </w:t>
      </w:r>
      <w:r>
        <w:rPr/>
        <w:t>networked</w:t>
      </w:r>
      <w:r>
        <w:rPr>
          <w:spacing w:val="-4"/>
        </w:rPr>
        <w:t> </w:t>
      </w:r>
      <w:r>
        <w:rPr/>
        <w:t>laptop</w:t>
      </w:r>
      <w:r>
        <w:rPr>
          <w:spacing w:val="-4"/>
        </w:rPr>
        <w:t> </w:t>
      </w:r>
      <w:r>
        <w:rPr/>
        <w:t>computers.</w:t>
      </w:r>
      <w:r>
        <w:rPr>
          <w:spacing w:val="40"/>
        </w:rPr>
        <w:t> </w:t>
      </w:r>
      <w:r>
        <w:rPr/>
        <w:t>The</w:t>
      </w:r>
      <w:r>
        <w:rPr>
          <w:spacing w:val="-4"/>
        </w:rPr>
        <w:t> </w:t>
      </w:r>
      <w:r>
        <w:rPr/>
        <w:t>other two meeting and conference rooms have network and digital projection facilities.</w:t>
      </w:r>
    </w:p>
    <w:p>
      <w:pPr>
        <w:pStyle w:val="BodyText"/>
        <w:spacing w:before="11"/>
      </w:pPr>
    </w:p>
    <w:p>
      <w:pPr>
        <w:pStyle w:val="BodyText"/>
        <w:ind w:left="1504" w:right="1211"/>
      </w:pPr>
      <w:r>
        <w:rPr/>
        <w:t>In addition to the computer facilities used by library staff there are forty-five networked desktop</w:t>
      </w:r>
      <w:r>
        <w:rPr>
          <w:spacing w:val="-4"/>
        </w:rPr>
        <w:t> </w:t>
      </w:r>
      <w:r>
        <w:rPr/>
        <w:t>computers</w:t>
      </w:r>
      <w:r>
        <w:rPr>
          <w:spacing w:val="-3"/>
        </w:rPr>
        <w:t> </w:t>
      </w:r>
      <w:r>
        <w:rPr/>
        <w:t>for</w:t>
      </w:r>
      <w:r>
        <w:rPr>
          <w:spacing w:val="-3"/>
        </w:rPr>
        <w:t> </w:t>
      </w:r>
      <w:r>
        <w:rPr/>
        <w:t>patron</w:t>
      </w:r>
      <w:r>
        <w:rPr>
          <w:spacing w:val="-4"/>
        </w:rPr>
        <w:t> </w:t>
      </w:r>
      <w:r>
        <w:rPr/>
        <w:t>use.</w:t>
      </w:r>
      <w:r>
        <w:rPr>
          <w:spacing w:val="40"/>
        </w:rPr>
        <w:t> </w:t>
      </w:r>
      <w:r>
        <w:rPr/>
        <w:t>Most</w:t>
      </w:r>
      <w:r>
        <w:rPr>
          <w:spacing w:val="-2"/>
        </w:rPr>
        <w:t> </w:t>
      </w:r>
      <w:r>
        <w:rPr/>
        <w:t>of</w:t>
      </w:r>
      <w:r>
        <w:rPr>
          <w:spacing w:val="-2"/>
        </w:rPr>
        <w:t> </w:t>
      </w:r>
      <w:r>
        <w:rPr/>
        <w:t>these</w:t>
      </w:r>
      <w:r>
        <w:rPr>
          <w:spacing w:val="-4"/>
        </w:rPr>
        <w:t> </w:t>
      </w:r>
      <w:r>
        <w:rPr/>
        <w:t>computers</w:t>
      </w:r>
      <w:r>
        <w:rPr>
          <w:spacing w:val="-3"/>
        </w:rPr>
        <w:t> </w:t>
      </w:r>
      <w:r>
        <w:rPr/>
        <w:t>are</w:t>
      </w:r>
      <w:r>
        <w:rPr>
          <w:spacing w:val="-4"/>
        </w:rPr>
        <w:t> </w:t>
      </w:r>
      <w:r>
        <w:rPr/>
        <w:t>clustered</w:t>
      </w:r>
      <w:r>
        <w:rPr>
          <w:spacing w:val="-4"/>
        </w:rPr>
        <w:t> </w:t>
      </w:r>
      <w:r>
        <w:rPr/>
        <w:t>in</w:t>
      </w:r>
      <w:r>
        <w:rPr>
          <w:spacing w:val="-4"/>
        </w:rPr>
        <w:t> </w:t>
      </w:r>
      <w:r>
        <w:rPr/>
        <w:t>three</w:t>
      </w:r>
      <w:r>
        <w:rPr>
          <w:spacing w:val="-4"/>
        </w:rPr>
        <w:t> </w:t>
      </w:r>
      <w:r>
        <w:rPr/>
        <w:t>groups on the first and second floors.</w:t>
      </w:r>
      <w:r>
        <w:rPr>
          <w:spacing w:val="40"/>
        </w:rPr>
        <w:t> </w:t>
      </w:r>
      <w:r>
        <w:rPr/>
        <w:t>All of these computers are connected to networked laser printers whose output is governed by a debit-card print-management system.</w:t>
      </w:r>
      <w:r>
        <w:rPr>
          <w:spacing w:val="40"/>
        </w:rPr>
        <w:t> </w:t>
      </w:r>
      <w:r>
        <w:rPr/>
        <w:t>Many are equipped with sound cards to permit access to audio files.</w:t>
      </w:r>
      <w:r>
        <w:rPr>
          <w:spacing w:val="40"/>
        </w:rPr>
        <w:t> </w:t>
      </w:r>
      <w:r>
        <w:rPr/>
        <w:t>Network connections are provided</w:t>
      </w:r>
      <w:r>
        <w:rPr>
          <w:spacing w:val="-2"/>
        </w:rPr>
        <w:t> </w:t>
      </w:r>
      <w:r>
        <w:rPr/>
        <w:t>throughout the library, including</w:t>
      </w:r>
      <w:r>
        <w:rPr>
          <w:spacing w:val="-2"/>
        </w:rPr>
        <w:t> </w:t>
      </w:r>
      <w:r>
        <w:rPr/>
        <w:t>the 24-hour</w:t>
      </w:r>
      <w:r>
        <w:rPr>
          <w:spacing w:val="-1"/>
        </w:rPr>
        <w:t> </w:t>
      </w:r>
      <w:r>
        <w:rPr/>
        <w:t>study</w:t>
      </w:r>
      <w:r>
        <w:rPr>
          <w:spacing w:val="-5"/>
        </w:rPr>
        <w:t> </w:t>
      </w:r>
      <w:r>
        <w:rPr/>
        <w:t>room,</w:t>
      </w:r>
      <w:r>
        <w:rPr>
          <w:spacing w:val="-2"/>
        </w:rPr>
        <w:t> </w:t>
      </w:r>
      <w:r>
        <w:rPr/>
        <w:t>for</w:t>
      </w:r>
      <w:r>
        <w:rPr>
          <w:spacing w:val="-1"/>
        </w:rPr>
        <w:t> </w:t>
      </w:r>
      <w:r>
        <w:rPr/>
        <w:t>patrons who wish</w:t>
      </w:r>
      <w:r>
        <w:rPr>
          <w:spacing w:val="-2"/>
        </w:rPr>
        <w:t> </w:t>
      </w:r>
      <w:r>
        <w:rPr/>
        <w:t>to connect their own computers.</w:t>
      </w:r>
    </w:p>
    <w:p>
      <w:pPr>
        <w:pStyle w:val="BodyText"/>
        <w:spacing w:before="8"/>
      </w:pPr>
    </w:p>
    <w:p>
      <w:pPr>
        <w:pStyle w:val="BodyText"/>
        <w:spacing w:before="1"/>
        <w:ind w:left="1504" w:right="1151"/>
      </w:pPr>
      <w:r>
        <w:rPr/>
        <w:t>Beyond computers and network connections, the Harvey Library provides scanners, typewriters,</w:t>
      </w:r>
      <w:r>
        <w:rPr>
          <w:spacing w:val="-3"/>
        </w:rPr>
        <w:t> </w:t>
      </w:r>
      <w:r>
        <w:rPr/>
        <w:t>photocopiers</w:t>
      </w:r>
      <w:r>
        <w:rPr>
          <w:spacing w:val="-4"/>
        </w:rPr>
        <w:t> </w:t>
      </w:r>
      <w:r>
        <w:rPr/>
        <w:t>and</w:t>
      </w:r>
      <w:r>
        <w:rPr>
          <w:spacing w:val="-5"/>
        </w:rPr>
        <w:t> </w:t>
      </w:r>
      <w:r>
        <w:rPr/>
        <w:t>digital</w:t>
      </w:r>
      <w:r>
        <w:rPr>
          <w:spacing w:val="-6"/>
        </w:rPr>
        <w:t> </w:t>
      </w:r>
      <w:r>
        <w:rPr/>
        <w:t>microform</w:t>
      </w:r>
      <w:r>
        <w:rPr>
          <w:spacing w:val="-3"/>
        </w:rPr>
        <w:t> </w:t>
      </w:r>
      <w:r>
        <w:rPr/>
        <w:t>reader-printers</w:t>
      </w:r>
      <w:r>
        <w:rPr>
          <w:spacing w:val="-4"/>
        </w:rPr>
        <w:t> </w:t>
      </w:r>
      <w:r>
        <w:rPr/>
        <w:t>for</w:t>
      </w:r>
      <w:r>
        <w:rPr>
          <w:spacing w:val="-4"/>
        </w:rPr>
        <w:t> </w:t>
      </w:r>
      <w:r>
        <w:rPr/>
        <w:t>use</w:t>
      </w:r>
      <w:r>
        <w:rPr>
          <w:spacing w:val="-5"/>
        </w:rPr>
        <w:t> </w:t>
      </w:r>
      <w:r>
        <w:rPr/>
        <w:t>and</w:t>
      </w:r>
      <w:r>
        <w:rPr>
          <w:spacing w:val="-5"/>
        </w:rPr>
        <w:t> </w:t>
      </w:r>
      <w:r>
        <w:rPr/>
        <w:t>circulates</w:t>
      </w:r>
      <w:r>
        <w:rPr>
          <w:spacing w:val="-4"/>
        </w:rPr>
        <w:t> </w:t>
      </w:r>
      <w:r>
        <w:rPr/>
        <w:t>laptop </w:t>
      </w:r>
      <w:r>
        <w:rPr>
          <w:spacing w:val="-2"/>
        </w:rPr>
        <w:t>computers.</w:t>
      </w:r>
    </w:p>
    <w:p>
      <w:pPr>
        <w:pStyle w:val="BodyText"/>
        <w:spacing w:before="11"/>
      </w:pPr>
    </w:p>
    <w:p>
      <w:pPr>
        <w:pStyle w:val="BodyText"/>
        <w:ind w:left="1504"/>
      </w:pPr>
      <w:r>
        <w:rPr>
          <w:spacing w:val="-2"/>
        </w:rPr>
        <w:t>Finance</w:t>
      </w:r>
    </w:p>
    <w:p>
      <w:pPr>
        <w:pStyle w:val="BodyText"/>
        <w:spacing w:before="10"/>
      </w:pPr>
    </w:p>
    <w:p>
      <w:pPr>
        <w:pStyle w:val="BodyText"/>
        <w:ind w:left="1504" w:right="1211"/>
      </w:pPr>
      <w:r>
        <w:rPr/>
        <w:t>Annually the university appropriates funds for acquisitions of the Harvey Library.</w:t>
      </w:r>
      <w:r>
        <w:rPr>
          <w:spacing w:val="40"/>
        </w:rPr>
        <w:t> </w:t>
      </w:r>
      <w:r>
        <w:rPr/>
        <w:t>The Interim Library Director is responsible for the allocation of these funds on the basis of recommendations developed by the Assistant Director for Collection Development.</w:t>
      </w:r>
      <w:r>
        <w:rPr>
          <w:spacing w:val="40"/>
        </w:rPr>
        <w:t> </w:t>
      </w:r>
      <w:r>
        <w:rPr/>
        <w:t>Each year the library</w:t>
      </w:r>
      <w:r>
        <w:rPr>
          <w:spacing w:val="-1"/>
        </w:rPr>
        <w:t> </w:t>
      </w:r>
      <w:r>
        <w:rPr/>
        <w:t>allocates its acquisition funds in such a way</w:t>
      </w:r>
      <w:r>
        <w:rPr>
          <w:spacing w:val="-1"/>
        </w:rPr>
        <w:t> </w:t>
      </w:r>
      <w:r>
        <w:rPr/>
        <w:t>as to assure the development of a well-rounded collection providing at least an adequate array of print, electronic, and audiovisual</w:t>
      </w:r>
      <w:r>
        <w:rPr>
          <w:spacing w:val="-4"/>
        </w:rPr>
        <w:t> </w:t>
      </w:r>
      <w:r>
        <w:rPr/>
        <w:t>resources</w:t>
      </w:r>
      <w:r>
        <w:rPr>
          <w:spacing w:val="-2"/>
        </w:rPr>
        <w:t> </w:t>
      </w:r>
      <w:r>
        <w:rPr/>
        <w:t>to</w:t>
      </w:r>
      <w:r>
        <w:rPr>
          <w:spacing w:val="-3"/>
        </w:rPr>
        <w:t> </w:t>
      </w:r>
      <w:r>
        <w:rPr/>
        <w:t>the</w:t>
      </w:r>
      <w:r>
        <w:rPr>
          <w:spacing w:val="-3"/>
        </w:rPr>
        <w:t> </w:t>
      </w:r>
      <w:r>
        <w:rPr/>
        <w:t>faculty</w:t>
      </w:r>
      <w:r>
        <w:rPr>
          <w:spacing w:val="-4"/>
        </w:rPr>
        <w:t> </w:t>
      </w:r>
      <w:r>
        <w:rPr/>
        <w:t>and</w:t>
      </w:r>
      <w:r>
        <w:rPr>
          <w:spacing w:val="-3"/>
        </w:rPr>
        <w:t> </w:t>
      </w:r>
      <w:r>
        <w:rPr/>
        <w:t>students</w:t>
      </w:r>
      <w:r>
        <w:rPr>
          <w:spacing w:val="-2"/>
        </w:rPr>
        <w:t> </w:t>
      </w:r>
      <w:r>
        <w:rPr/>
        <w:t>of</w:t>
      </w:r>
      <w:r>
        <w:rPr>
          <w:spacing w:val="-1"/>
        </w:rPr>
        <w:t> </w:t>
      </w:r>
      <w:r>
        <w:rPr/>
        <w:t>each</w:t>
      </w:r>
      <w:r>
        <w:rPr>
          <w:spacing w:val="-3"/>
        </w:rPr>
        <w:t> </w:t>
      </w:r>
      <w:r>
        <w:rPr/>
        <w:t>department</w:t>
      </w:r>
      <w:r>
        <w:rPr>
          <w:spacing w:val="-3"/>
        </w:rPr>
        <w:t> </w:t>
      </w:r>
      <w:r>
        <w:rPr/>
        <w:t>of</w:t>
      </w:r>
      <w:r>
        <w:rPr>
          <w:spacing w:val="-1"/>
        </w:rPr>
        <w:t> </w:t>
      </w:r>
      <w:r>
        <w:rPr/>
        <w:t>the</w:t>
      </w:r>
      <w:r>
        <w:rPr>
          <w:spacing w:val="-3"/>
        </w:rPr>
        <w:t> </w:t>
      </w:r>
      <w:r>
        <w:rPr/>
        <w:t>university.</w:t>
      </w:r>
      <w:r>
        <w:rPr>
          <w:spacing w:val="40"/>
        </w:rPr>
        <w:t> </w:t>
      </w:r>
      <w:r>
        <w:rPr/>
        <w:t>An annual appropriation of funds to purchase monographic works is developed.</w:t>
      </w:r>
      <w:r>
        <w:rPr>
          <w:spacing w:val="40"/>
        </w:rPr>
        <w:t> </w:t>
      </w:r>
      <w:r>
        <w:rPr/>
        <w:t>A formula based</w:t>
      </w:r>
      <w:r>
        <w:rPr>
          <w:spacing w:val="-2"/>
        </w:rPr>
        <w:t> </w:t>
      </w:r>
      <w:r>
        <w:rPr/>
        <w:t>on</w:t>
      </w:r>
      <w:r>
        <w:rPr>
          <w:spacing w:val="-4"/>
        </w:rPr>
        <w:t> </w:t>
      </w:r>
      <w:r>
        <w:rPr/>
        <w:t>enrollments</w:t>
      </w:r>
      <w:r>
        <w:rPr>
          <w:spacing w:val="-3"/>
        </w:rPr>
        <w:t> </w:t>
      </w:r>
      <w:r>
        <w:rPr/>
        <w:t>in</w:t>
      </w:r>
      <w:r>
        <w:rPr>
          <w:spacing w:val="-4"/>
        </w:rPr>
        <w:t> </w:t>
      </w:r>
      <w:r>
        <w:rPr/>
        <w:t>the</w:t>
      </w:r>
      <w:r>
        <w:rPr>
          <w:spacing w:val="-4"/>
        </w:rPr>
        <w:t> </w:t>
      </w:r>
      <w:r>
        <w:rPr/>
        <w:t>various</w:t>
      </w:r>
      <w:r>
        <w:rPr>
          <w:spacing w:val="-3"/>
        </w:rPr>
        <w:t> </w:t>
      </w:r>
      <w:r>
        <w:rPr/>
        <w:t>majors</w:t>
      </w:r>
      <w:r>
        <w:rPr>
          <w:spacing w:val="-3"/>
        </w:rPr>
        <w:t> </w:t>
      </w:r>
      <w:r>
        <w:rPr/>
        <w:t>is</w:t>
      </w:r>
      <w:r>
        <w:rPr>
          <w:spacing w:val="-3"/>
        </w:rPr>
        <w:t> </w:t>
      </w:r>
      <w:r>
        <w:rPr/>
        <w:t>used</w:t>
      </w:r>
      <w:r>
        <w:rPr>
          <w:spacing w:val="-4"/>
        </w:rPr>
        <w:t> </w:t>
      </w:r>
      <w:r>
        <w:rPr/>
        <w:t>as</w:t>
      </w:r>
      <w:r>
        <w:rPr>
          <w:spacing w:val="-1"/>
        </w:rPr>
        <w:t> </w:t>
      </w:r>
      <w:r>
        <w:rPr/>
        <w:t>the</w:t>
      </w:r>
      <w:r>
        <w:rPr>
          <w:spacing w:val="-2"/>
        </w:rPr>
        <w:t> </w:t>
      </w:r>
      <w:r>
        <w:rPr/>
        <w:t>basis</w:t>
      </w:r>
      <w:r>
        <w:rPr>
          <w:spacing w:val="-3"/>
        </w:rPr>
        <w:t> </w:t>
      </w:r>
      <w:r>
        <w:rPr/>
        <w:t>of</w:t>
      </w:r>
      <w:r>
        <w:rPr>
          <w:spacing w:val="-2"/>
        </w:rPr>
        <w:t> </w:t>
      </w:r>
      <w:r>
        <w:rPr/>
        <w:t>each</w:t>
      </w:r>
      <w:r>
        <w:rPr>
          <w:spacing w:val="-1"/>
        </w:rPr>
        <w:t> </w:t>
      </w:r>
      <w:r>
        <w:rPr/>
        <w:t>year’s</w:t>
      </w:r>
      <w:r>
        <w:rPr>
          <w:spacing w:val="-3"/>
        </w:rPr>
        <w:t> </w:t>
      </w:r>
      <w:r>
        <w:rPr/>
        <w:t>allocations. Separate allocations are made for books, periodical and other serial subscriptions, audio- visual media, electronic databases, and preservation.</w:t>
      </w:r>
    </w:p>
    <w:p>
      <w:pPr>
        <w:spacing w:after="0"/>
        <w:sectPr>
          <w:headerReference w:type="default" r:id="rId88"/>
          <w:footerReference w:type="default" r:id="rId89"/>
          <w:pgSz w:w="12240" w:h="15840"/>
          <w:pgMar w:header="0" w:footer="974" w:top="1360" w:bottom="1160" w:left="1160" w:right="320"/>
        </w:sectPr>
      </w:pPr>
    </w:p>
    <w:p>
      <w:pPr>
        <w:pStyle w:val="Heading5"/>
        <w:numPr>
          <w:ilvl w:val="1"/>
          <w:numId w:val="28"/>
        </w:numPr>
        <w:tabs>
          <w:tab w:pos="1405" w:val="left" w:leader="none"/>
          <w:tab w:pos="1406" w:val="left" w:leader="none"/>
        </w:tabs>
        <w:spacing w:line="240" w:lineRule="auto" w:before="74" w:after="0"/>
        <w:ind w:left="1405" w:right="0" w:hanging="886"/>
        <w:jc w:val="left"/>
      </w:pPr>
      <w:bookmarkStart w:name="_TOC_250003" w:id="62"/>
      <w:r>
        <w:rPr/>
        <w:t>Institutional</w:t>
      </w:r>
      <w:r>
        <w:rPr>
          <w:spacing w:val="-8"/>
        </w:rPr>
        <w:t> </w:t>
      </w:r>
      <w:bookmarkEnd w:id="62"/>
      <w:r>
        <w:rPr>
          <w:spacing w:val="-2"/>
        </w:rPr>
        <w:t>Characteristics</w:t>
      </w:r>
    </w:p>
    <w:p>
      <w:pPr>
        <w:pStyle w:val="ListParagraph"/>
        <w:numPr>
          <w:ilvl w:val="2"/>
          <w:numId w:val="28"/>
        </w:numPr>
        <w:tabs>
          <w:tab w:pos="1645" w:val="left" w:leader="none"/>
          <w:tab w:pos="1646" w:val="left" w:leader="none"/>
        </w:tabs>
        <w:spacing w:line="240" w:lineRule="auto" w:before="243" w:after="0"/>
        <w:ind w:left="1645" w:right="0" w:hanging="886"/>
        <w:jc w:val="left"/>
        <w:rPr>
          <w:sz w:val="20"/>
        </w:rPr>
      </w:pPr>
      <w:r>
        <w:rPr>
          <w:sz w:val="20"/>
        </w:rPr>
        <w:t>Statistical</w:t>
      </w:r>
      <w:r>
        <w:rPr>
          <w:spacing w:val="-13"/>
          <w:sz w:val="20"/>
        </w:rPr>
        <w:t> </w:t>
      </w:r>
      <w:r>
        <w:rPr>
          <w:spacing w:val="-2"/>
          <w:sz w:val="20"/>
        </w:rPr>
        <w:t>Reports</w:t>
      </w:r>
    </w:p>
    <w:p>
      <w:pPr>
        <w:pStyle w:val="BodyText"/>
        <w:spacing w:before="10"/>
      </w:pPr>
    </w:p>
    <w:p>
      <w:pPr>
        <w:pStyle w:val="ListParagraph"/>
        <w:numPr>
          <w:ilvl w:val="3"/>
          <w:numId w:val="28"/>
        </w:numPr>
        <w:tabs>
          <w:tab w:pos="2079" w:val="left" w:leader="none"/>
          <w:tab w:pos="2080" w:val="left" w:leader="none"/>
        </w:tabs>
        <w:spacing w:line="240" w:lineRule="auto" w:before="0" w:after="0"/>
        <w:ind w:left="2079" w:right="0" w:hanging="1080"/>
        <w:jc w:val="left"/>
        <w:rPr>
          <w:sz w:val="20"/>
        </w:rPr>
      </w:pPr>
      <w:r>
        <w:rPr>
          <w:sz w:val="20"/>
        </w:rPr>
        <w:t>Program</w:t>
      </w:r>
      <w:r>
        <w:rPr>
          <w:spacing w:val="-8"/>
          <w:sz w:val="20"/>
        </w:rPr>
        <w:t> </w:t>
      </w:r>
      <w:r>
        <w:rPr>
          <w:sz w:val="20"/>
        </w:rPr>
        <w:t>Student</w:t>
      </w:r>
      <w:r>
        <w:rPr>
          <w:spacing w:val="-11"/>
          <w:sz w:val="20"/>
        </w:rPr>
        <w:t> </w:t>
      </w:r>
      <w:r>
        <w:rPr>
          <w:spacing w:val="-2"/>
          <w:sz w:val="20"/>
        </w:rPr>
        <w:t>Characteristics</w:t>
      </w:r>
    </w:p>
    <w:p>
      <w:pPr>
        <w:pStyle w:val="BodyText"/>
        <w:spacing w:before="4"/>
        <w:rPr>
          <w:sz w:val="21"/>
        </w:rPr>
      </w:pPr>
    </w:p>
    <w:p>
      <w:pPr>
        <w:spacing w:before="0"/>
        <w:ind w:left="280" w:right="0" w:firstLine="0"/>
        <w:jc w:val="left"/>
        <w:rPr>
          <w:b/>
          <w:sz w:val="22"/>
        </w:rPr>
      </w:pPr>
      <w:r>
        <w:rPr>
          <w:b/>
          <w:w w:val="85"/>
          <w:sz w:val="22"/>
        </w:rPr>
        <w:t>Demographics</w:t>
      </w:r>
      <w:r>
        <w:rPr>
          <w:b/>
          <w:spacing w:val="-4"/>
          <w:sz w:val="22"/>
        </w:rPr>
        <w:t> </w:t>
      </w:r>
      <w:r>
        <w:rPr>
          <w:b/>
          <w:w w:val="85"/>
          <w:sz w:val="22"/>
        </w:rPr>
        <w:t>–</w:t>
      </w:r>
      <w:r>
        <w:rPr>
          <w:b/>
          <w:spacing w:val="-2"/>
          <w:sz w:val="22"/>
        </w:rPr>
        <w:t> </w:t>
      </w:r>
      <w:r>
        <w:rPr>
          <w:b/>
          <w:w w:val="85"/>
          <w:sz w:val="22"/>
        </w:rPr>
        <w:t>University</w:t>
      </w:r>
      <w:r>
        <w:rPr>
          <w:b/>
          <w:spacing w:val="-4"/>
          <w:sz w:val="22"/>
        </w:rPr>
        <w:t> </w:t>
      </w:r>
      <w:r>
        <w:rPr>
          <w:b/>
          <w:w w:val="85"/>
          <w:sz w:val="22"/>
        </w:rPr>
        <w:t>Student</w:t>
      </w:r>
      <w:r>
        <w:rPr>
          <w:b/>
          <w:spacing w:val="-1"/>
          <w:sz w:val="22"/>
        </w:rPr>
        <w:t> </w:t>
      </w:r>
      <w:r>
        <w:rPr>
          <w:b/>
          <w:spacing w:val="-2"/>
          <w:w w:val="85"/>
          <w:sz w:val="22"/>
        </w:rPr>
        <w:t>Characteristics</w:t>
      </w:r>
    </w:p>
    <w:p>
      <w:pPr>
        <w:pStyle w:val="BodyText"/>
        <w:spacing w:before="2"/>
        <w:rPr>
          <w:b/>
          <w:sz w:val="21"/>
        </w:rPr>
      </w:pPr>
    </w:p>
    <w:tbl>
      <w:tblPr>
        <w:tblW w:w="0" w:type="auto"/>
        <w:jc w:val="left"/>
        <w:tblInd w:w="276" w:type="dxa"/>
        <w:tblBorders>
          <w:top w:val="single" w:sz="4" w:space="0" w:color="A7A8A7"/>
          <w:left w:val="single" w:sz="4" w:space="0" w:color="A7A8A7"/>
          <w:bottom w:val="single" w:sz="4" w:space="0" w:color="A7A8A7"/>
          <w:right w:val="single" w:sz="4" w:space="0" w:color="A7A8A7"/>
          <w:insideH w:val="single" w:sz="4" w:space="0" w:color="A7A8A7"/>
          <w:insideV w:val="single" w:sz="4" w:space="0" w:color="A7A8A7"/>
        </w:tblBorders>
        <w:tblLayout w:type="fixed"/>
        <w:tblCellMar>
          <w:top w:w="0" w:type="dxa"/>
          <w:left w:w="0" w:type="dxa"/>
          <w:bottom w:w="0" w:type="dxa"/>
          <w:right w:w="0" w:type="dxa"/>
        </w:tblCellMar>
        <w:tblLook w:val="01E0"/>
      </w:tblPr>
      <w:tblGrid>
        <w:gridCol w:w="1130"/>
        <w:gridCol w:w="1080"/>
        <w:gridCol w:w="636"/>
        <w:gridCol w:w="598"/>
        <w:gridCol w:w="639"/>
        <w:gridCol w:w="596"/>
        <w:gridCol w:w="426"/>
        <w:gridCol w:w="829"/>
        <w:gridCol w:w="803"/>
        <w:gridCol w:w="865"/>
        <w:gridCol w:w="423"/>
        <w:gridCol w:w="831"/>
        <w:gridCol w:w="533"/>
        <w:gridCol w:w="756"/>
      </w:tblGrid>
      <w:tr>
        <w:trPr>
          <w:trHeight w:val="743" w:hRule="atLeast"/>
        </w:trPr>
        <w:tc>
          <w:tcPr>
            <w:tcW w:w="1130" w:type="dxa"/>
            <w:tcBorders>
              <w:top w:val="nil"/>
              <w:left w:val="nil"/>
              <w:right w:val="single" w:sz="8" w:space="0" w:color="FFFFFF"/>
            </w:tcBorders>
            <w:shd w:val="clear" w:color="auto" w:fill="000000"/>
          </w:tcPr>
          <w:p>
            <w:pPr>
              <w:pStyle w:val="TableParagraph"/>
              <w:spacing w:before="10"/>
              <w:rPr>
                <w:b/>
                <w:sz w:val="20"/>
              </w:rPr>
            </w:pPr>
          </w:p>
          <w:p>
            <w:pPr>
              <w:pStyle w:val="TableParagraph"/>
              <w:spacing w:line="230" w:lineRule="atLeast"/>
              <w:ind w:left="369" w:hanging="231"/>
              <w:rPr>
                <w:b/>
                <w:sz w:val="18"/>
              </w:rPr>
            </w:pPr>
            <w:r>
              <w:rPr>
                <w:b/>
                <w:color w:val="FFFFFF"/>
                <w:spacing w:val="-2"/>
                <w:sz w:val="18"/>
              </w:rPr>
              <w:t>Academic </w:t>
            </w:r>
            <w:r>
              <w:rPr>
                <w:b/>
                <w:color w:val="FFFFFF"/>
                <w:spacing w:val="-4"/>
                <w:sz w:val="18"/>
              </w:rPr>
              <w:t>Year</w:t>
            </w:r>
          </w:p>
        </w:tc>
        <w:tc>
          <w:tcPr>
            <w:tcW w:w="1080" w:type="dxa"/>
            <w:tcBorders>
              <w:top w:val="nil"/>
              <w:left w:val="single" w:sz="8" w:space="0" w:color="FFFFFF"/>
              <w:right w:val="single" w:sz="8" w:space="0" w:color="FFFFFF"/>
            </w:tcBorders>
            <w:shd w:val="clear" w:color="auto" w:fill="000000"/>
          </w:tcPr>
          <w:p>
            <w:pPr>
              <w:pStyle w:val="TableParagraph"/>
              <w:spacing w:before="23"/>
              <w:ind w:left="213" w:firstLine="60"/>
              <w:rPr>
                <w:b/>
                <w:sz w:val="18"/>
              </w:rPr>
            </w:pPr>
            <w:r>
              <w:rPr>
                <w:b/>
                <w:color w:val="FFFFFF"/>
                <w:spacing w:val="-2"/>
                <w:sz w:val="18"/>
              </w:rPr>
              <w:t>Grand</w:t>
            </w:r>
          </w:p>
          <w:p>
            <w:pPr>
              <w:pStyle w:val="TableParagraph"/>
              <w:spacing w:line="230" w:lineRule="atLeast" w:before="10"/>
              <w:ind w:left="153" w:firstLine="60"/>
              <w:rPr>
                <w:b/>
                <w:sz w:val="18"/>
              </w:rPr>
            </w:pPr>
            <w:r>
              <w:rPr>
                <w:b/>
                <w:color w:val="FFFFFF"/>
                <w:sz w:val="18"/>
              </w:rPr>
              <w:t>Total of </w:t>
            </w:r>
            <w:r>
              <w:rPr>
                <w:b/>
                <w:color w:val="FFFFFF"/>
                <w:spacing w:val="-2"/>
                <w:sz w:val="18"/>
              </w:rPr>
              <w:t>Students</w:t>
            </w:r>
          </w:p>
        </w:tc>
        <w:tc>
          <w:tcPr>
            <w:tcW w:w="1234" w:type="dxa"/>
            <w:gridSpan w:val="2"/>
            <w:tcBorders>
              <w:top w:val="nil"/>
              <w:left w:val="single" w:sz="8" w:space="0" w:color="FFFFFF"/>
              <w:right w:val="single" w:sz="8" w:space="0" w:color="FFFFFF"/>
            </w:tcBorders>
            <w:shd w:val="clear" w:color="auto" w:fill="000000"/>
          </w:tcPr>
          <w:p>
            <w:pPr>
              <w:pStyle w:val="TableParagraph"/>
              <w:rPr>
                <w:b/>
                <w:sz w:val="20"/>
              </w:rPr>
            </w:pPr>
          </w:p>
          <w:p>
            <w:pPr>
              <w:pStyle w:val="TableParagraph"/>
              <w:spacing w:before="6"/>
              <w:rPr>
                <w:b/>
                <w:sz w:val="23"/>
              </w:rPr>
            </w:pPr>
          </w:p>
          <w:p>
            <w:pPr>
              <w:pStyle w:val="TableParagraph"/>
              <w:ind w:left="415"/>
              <w:rPr>
                <w:b/>
                <w:sz w:val="18"/>
              </w:rPr>
            </w:pPr>
            <w:r>
              <w:rPr>
                <w:b/>
                <w:color w:val="FFFFFF"/>
                <w:spacing w:val="-4"/>
                <w:sz w:val="18"/>
              </w:rPr>
              <w:t>Male</w:t>
            </w:r>
          </w:p>
        </w:tc>
        <w:tc>
          <w:tcPr>
            <w:tcW w:w="1235" w:type="dxa"/>
            <w:gridSpan w:val="2"/>
            <w:tcBorders>
              <w:top w:val="nil"/>
              <w:left w:val="single" w:sz="8" w:space="0" w:color="FFFFFF"/>
              <w:right w:val="nil"/>
            </w:tcBorders>
            <w:shd w:val="clear" w:color="auto" w:fill="000000"/>
          </w:tcPr>
          <w:p>
            <w:pPr>
              <w:pStyle w:val="TableParagraph"/>
              <w:rPr>
                <w:b/>
                <w:sz w:val="20"/>
              </w:rPr>
            </w:pPr>
          </w:p>
          <w:p>
            <w:pPr>
              <w:pStyle w:val="TableParagraph"/>
              <w:spacing w:before="6"/>
              <w:rPr>
                <w:b/>
                <w:sz w:val="23"/>
              </w:rPr>
            </w:pPr>
          </w:p>
          <w:p>
            <w:pPr>
              <w:pStyle w:val="TableParagraph"/>
              <w:ind w:left="306"/>
              <w:rPr>
                <w:b/>
                <w:sz w:val="18"/>
              </w:rPr>
            </w:pPr>
            <w:r>
              <w:rPr>
                <w:b/>
                <w:color w:val="FFFFFF"/>
                <w:spacing w:val="-2"/>
                <w:sz w:val="18"/>
              </w:rPr>
              <w:t>Female</w:t>
            </w:r>
          </w:p>
        </w:tc>
        <w:tc>
          <w:tcPr>
            <w:tcW w:w="1255" w:type="dxa"/>
            <w:gridSpan w:val="2"/>
            <w:tcBorders>
              <w:top w:val="nil"/>
              <w:left w:val="nil"/>
              <w:right w:val="single" w:sz="8" w:space="0" w:color="FFFFFF"/>
            </w:tcBorders>
            <w:shd w:val="clear" w:color="auto" w:fill="000000"/>
          </w:tcPr>
          <w:p>
            <w:pPr>
              <w:pStyle w:val="TableParagraph"/>
              <w:spacing w:before="23"/>
              <w:ind w:left="331" w:hanging="68"/>
              <w:rPr>
                <w:b/>
                <w:sz w:val="18"/>
              </w:rPr>
            </w:pPr>
            <w:r>
              <w:rPr>
                <w:b/>
                <w:color w:val="FFFFFF"/>
                <w:sz w:val="18"/>
              </w:rPr>
              <w:t>Asian</w:t>
            </w:r>
            <w:r>
              <w:rPr>
                <w:b/>
                <w:color w:val="FFFFFF"/>
                <w:spacing w:val="-5"/>
                <w:sz w:val="18"/>
              </w:rPr>
              <w:t> or</w:t>
            </w:r>
          </w:p>
          <w:p>
            <w:pPr>
              <w:pStyle w:val="TableParagraph"/>
              <w:spacing w:line="230" w:lineRule="atLeast" w:before="10"/>
              <w:ind w:left="278" w:firstLine="52"/>
              <w:rPr>
                <w:b/>
                <w:sz w:val="18"/>
              </w:rPr>
            </w:pPr>
            <w:r>
              <w:rPr>
                <w:b/>
                <w:color w:val="FFFFFF"/>
                <w:spacing w:val="-2"/>
                <w:sz w:val="18"/>
              </w:rPr>
              <w:t>Pacific Islander</w:t>
            </w:r>
          </w:p>
        </w:tc>
        <w:tc>
          <w:tcPr>
            <w:tcW w:w="1668" w:type="dxa"/>
            <w:gridSpan w:val="2"/>
            <w:tcBorders>
              <w:top w:val="nil"/>
              <w:left w:val="single" w:sz="8" w:space="0" w:color="FFFFFF"/>
              <w:right w:val="single" w:sz="8" w:space="0" w:color="FFFFFF"/>
            </w:tcBorders>
            <w:shd w:val="clear" w:color="auto" w:fill="000000"/>
          </w:tcPr>
          <w:p>
            <w:pPr>
              <w:pStyle w:val="TableParagraph"/>
              <w:rPr>
                <w:b/>
                <w:sz w:val="20"/>
              </w:rPr>
            </w:pPr>
          </w:p>
          <w:p>
            <w:pPr>
              <w:pStyle w:val="TableParagraph"/>
              <w:spacing w:before="6"/>
              <w:rPr>
                <w:b/>
                <w:sz w:val="23"/>
              </w:rPr>
            </w:pPr>
          </w:p>
          <w:p>
            <w:pPr>
              <w:pStyle w:val="TableParagraph"/>
              <w:ind w:left="572" w:right="565"/>
              <w:jc w:val="center"/>
              <w:rPr>
                <w:b/>
                <w:sz w:val="18"/>
              </w:rPr>
            </w:pPr>
            <w:r>
              <w:rPr>
                <w:b/>
                <w:color w:val="FFFFFF"/>
                <w:spacing w:val="-2"/>
                <w:sz w:val="18"/>
              </w:rPr>
              <w:t>Black</w:t>
            </w:r>
          </w:p>
        </w:tc>
        <w:tc>
          <w:tcPr>
            <w:tcW w:w="1254" w:type="dxa"/>
            <w:gridSpan w:val="2"/>
            <w:tcBorders>
              <w:top w:val="nil"/>
              <w:left w:val="single" w:sz="8" w:space="0" w:color="FFFFFF"/>
              <w:right w:val="single" w:sz="8" w:space="0" w:color="FFFFFF"/>
            </w:tcBorders>
            <w:shd w:val="clear" w:color="auto" w:fill="000000"/>
          </w:tcPr>
          <w:p>
            <w:pPr>
              <w:pStyle w:val="TableParagraph"/>
              <w:rPr>
                <w:b/>
                <w:sz w:val="20"/>
              </w:rPr>
            </w:pPr>
          </w:p>
          <w:p>
            <w:pPr>
              <w:pStyle w:val="TableParagraph"/>
              <w:spacing w:before="6"/>
              <w:rPr>
                <w:b/>
                <w:sz w:val="23"/>
              </w:rPr>
            </w:pPr>
          </w:p>
          <w:p>
            <w:pPr>
              <w:pStyle w:val="TableParagraph"/>
              <w:ind w:left="243"/>
              <w:rPr>
                <w:b/>
                <w:sz w:val="18"/>
              </w:rPr>
            </w:pPr>
            <w:r>
              <w:rPr>
                <w:b/>
                <w:color w:val="FFFFFF"/>
                <w:spacing w:val="-2"/>
                <w:sz w:val="18"/>
              </w:rPr>
              <w:t>Hispanic</w:t>
            </w:r>
          </w:p>
        </w:tc>
        <w:tc>
          <w:tcPr>
            <w:tcW w:w="1289" w:type="dxa"/>
            <w:gridSpan w:val="2"/>
            <w:tcBorders>
              <w:top w:val="nil"/>
              <w:left w:val="single" w:sz="8" w:space="0" w:color="FFFFFF"/>
              <w:right w:val="nil"/>
            </w:tcBorders>
            <w:shd w:val="clear" w:color="auto" w:fill="000000"/>
          </w:tcPr>
          <w:p>
            <w:pPr>
              <w:pStyle w:val="TableParagraph"/>
              <w:rPr>
                <w:b/>
                <w:sz w:val="20"/>
              </w:rPr>
            </w:pPr>
          </w:p>
          <w:p>
            <w:pPr>
              <w:pStyle w:val="TableParagraph"/>
              <w:spacing w:before="6"/>
              <w:rPr>
                <w:b/>
                <w:sz w:val="23"/>
              </w:rPr>
            </w:pPr>
          </w:p>
          <w:p>
            <w:pPr>
              <w:pStyle w:val="TableParagraph"/>
              <w:ind w:left="390"/>
              <w:rPr>
                <w:b/>
                <w:sz w:val="18"/>
              </w:rPr>
            </w:pPr>
            <w:r>
              <w:rPr>
                <w:b/>
                <w:color w:val="FFFFFF"/>
                <w:spacing w:val="-2"/>
                <w:sz w:val="18"/>
              </w:rPr>
              <w:t>White</w:t>
            </w:r>
          </w:p>
        </w:tc>
      </w:tr>
      <w:tr>
        <w:trPr>
          <w:trHeight w:val="244" w:hRule="atLeast"/>
        </w:trPr>
        <w:tc>
          <w:tcPr>
            <w:tcW w:w="1130" w:type="dxa"/>
            <w:tcBorders>
              <w:left w:val="single" w:sz="8" w:space="0" w:color="000000"/>
              <w:right w:val="single" w:sz="8" w:space="0" w:color="000000"/>
            </w:tcBorders>
          </w:tcPr>
          <w:p>
            <w:pPr>
              <w:pStyle w:val="TableParagraph"/>
              <w:spacing w:before="1"/>
              <w:ind w:left="107"/>
              <w:rPr>
                <w:b/>
                <w:sz w:val="18"/>
              </w:rPr>
            </w:pPr>
            <w:r>
              <w:rPr>
                <w:b/>
                <w:w w:val="95"/>
                <w:sz w:val="18"/>
              </w:rPr>
              <w:t>2013-</w:t>
            </w:r>
            <w:r>
              <w:rPr>
                <w:b/>
                <w:spacing w:val="-5"/>
                <w:w w:val="95"/>
                <w:sz w:val="18"/>
              </w:rPr>
              <w:t>14</w:t>
            </w:r>
          </w:p>
        </w:tc>
        <w:tc>
          <w:tcPr>
            <w:tcW w:w="1080" w:type="dxa"/>
            <w:tcBorders>
              <w:left w:val="single" w:sz="8" w:space="0" w:color="000000"/>
              <w:right w:val="single" w:sz="8" w:space="0" w:color="000000"/>
            </w:tcBorders>
          </w:tcPr>
          <w:p>
            <w:pPr>
              <w:pStyle w:val="TableParagraph"/>
              <w:spacing w:before="6"/>
              <w:ind w:left="327" w:right="307"/>
              <w:jc w:val="center"/>
              <w:rPr>
                <w:sz w:val="18"/>
              </w:rPr>
            </w:pPr>
            <w:r>
              <w:rPr>
                <w:spacing w:val="-4"/>
                <w:sz w:val="18"/>
              </w:rPr>
              <w:t>4622</w:t>
            </w:r>
          </w:p>
        </w:tc>
        <w:tc>
          <w:tcPr>
            <w:tcW w:w="636" w:type="dxa"/>
            <w:tcBorders>
              <w:left w:val="single" w:sz="8" w:space="0" w:color="000000"/>
            </w:tcBorders>
          </w:tcPr>
          <w:p>
            <w:pPr>
              <w:pStyle w:val="TableParagraph"/>
              <w:spacing w:before="6"/>
              <w:ind w:right="93"/>
              <w:jc w:val="right"/>
              <w:rPr>
                <w:sz w:val="18"/>
              </w:rPr>
            </w:pPr>
            <w:r>
              <w:rPr>
                <w:spacing w:val="-4"/>
                <w:sz w:val="18"/>
              </w:rPr>
              <w:t>1618</w:t>
            </w:r>
          </w:p>
        </w:tc>
        <w:tc>
          <w:tcPr>
            <w:tcW w:w="598" w:type="dxa"/>
            <w:tcBorders>
              <w:right w:val="single" w:sz="8" w:space="0" w:color="000000"/>
            </w:tcBorders>
          </w:tcPr>
          <w:p>
            <w:pPr>
              <w:pStyle w:val="TableParagraph"/>
              <w:spacing w:before="6"/>
              <w:ind w:left="108" w:right="89"/>
              <w:jc w:val="center"/>
              <w:rPr>
                <w:sz w:val="18"/>
              </w:rPr>
            </w:pPr>
            <w:r>
              <w:rPr>
                <w:spacing w:val="-5"/>
                <w:sz w:val="18"/>
              </w:rPr>
              <w:t>35%</w:t>
            </w:r>
          </w:p>
        </w:tc>
        <w:tc>
          <w:tcPr>
            <w:tcW w:w="639" w:type="dxa"/>
            <w:tcBorders>
              <w:left w:val="single" w:sz="8" w:space="0" w:color="000000"/>
            </w:tcBorders>
          </w:tcPr>
          <w:p>
            <w:pPr>
              <w:pStyle w:val="TableParagraph"/>
              <w:spacing w:before="6"/>
              <w:ind w:left="117"/>
              <w:rPr>
                <w:sz w:val="18"/>
              </w:rPr>
            </w:pPr>
            <w:r>
              <w:rPr>
                <w:spacing w:val="-4"/>
                <w:sz w:val="18"/>
              </w:rPr>
              <w:t>3004</w:t>
            </w:r>
          </w:p>
        </w:tc>
        <w:tc>
          <w:tcPr>
            <w:tcW w:w="596" w:type="dxa"/>
            <w:tcBorders>
              <w:right w:val="single" w:sz="8" w:space="0" w:color="000000"/>
            </w:tcBorders>
          </w:tcPr>
          <w:p>
            <w:pPr>
              <w:pStyle w:val="TableParagraph"/>
              <w:spacing w:before="6"/>
              <w:ind w:left="107" w:right="88"/>
              <w:jc w:val="center"/>
              <w:rPr>
                <w:sz w:val="18"/>
              </w:rPr>
            </w:pPr>
            <w:r>
              <w:rPr>
                <w:spacing w:val="-5"/>
                <w:sz w:val="18"/>
              </w:rPr>
              <w:t>65%</w:t>
            </w:r>
          </w:p>
        </w:tc>
        <w:tc>
          <w:tcPr>
            <w:tcW w:w="426" w:type="dxa"/>
            <w:tcBorders>
              <w:left w:val="single" w:sz="8" w:space="0" w:color="000000"/>
              <w:bottom w:val="single" w:sz="4" w:space="0" w:color="C0C0C0"/>
            </w:tcBorders>
          </w:tcPr>
          <w:p>
            <w:pPr>
              <w:pStyle w:val="TableParagraph"/>
              <w:spacing w:before="6"/>
              <w:ind w:left="98" w:right="81"/>
              <w:jc w:val="center"/>
              <w:rPr>
                <w:sz w:val="18"/>
              </w:rPr>
            </w:pPr>
            <w:r>
              <w:rPr>
                <w:spacing w:val="-5"/>
                <w:sz w:val="18"/>
              </w:rPr>
              <w:t>80</w:t>
            </w:r>
          </w:p>
        </w:tc>
        <w:tc>
          <w:tcPr>
            <w:tcW w:w="829" w:type="dxa"/>
            <w:tcBorders>
              <w:right w:val="single" w:sz="8" w:space="0" w:color="000000"/>
            </w:tcBorders>
          </w:tcPr>
          <w:p>
            <w:pPr>
              <w:pStyle w:val="TableParagraph"/>
              <w:spacing w:before="6"/>
              <w:ind w:left="149" w:right="134"/>
              <w:jc w:val="center"/>
              <w:rPr>
                <w:sz w:val="18"/>
              </w:rPr>
            </w:pPr>
            <w:r>
              <w:rPr>
                <w:spacing w:val="-4"/>
                <w:sz w:val="18"/>
              </w:rPr>
              <w:t>1.73%</w:t>
            </w:r>
          </w:p>
        </w:tc>
        <w:tc>
          <w:tcPr>
            <w:tcW w:w="803" w:type="dxa"/>
            <w:tcBorders>
              <w:left w:val="single" w:sz="8" w:space="0" w:color="000000"/>
            </w:tcBorders>
          </w:tcPr>
          <w:p>
            <w:pPr>
              <w:pStyle w:val="TableParagraph"/>
              <w:spacing w:before="6"/>
              <w:ind w:left="109" w:right="100"/>
              <w:jc w:val="center"/>
              <w:rPr>
                <w:sz w:val="18"/>
              </w:rPr>
            </w:pPr>
            <w:r>
              <w:rPr>
                <w:spacing w:val="-2"/>
                <w:sz w:val="18"/>
              </w:rPr>
              <w:t>4149.2</w:t>
            </w:r>
          </w:p>
        </w:tc>
        <w:tc>
          <w:tcPr>
            <w:tcW w:w="865" w:type="dxa"/>
            <w:tcBorders>
              <w:right w:val="single" w:sz="8" w:space="0" w:color="000000"/>
            </w:tcBorders>
          </w:tcPr>
          <w:p>
            <w:pPr>
              <w:pStyle w:val="TableParagraph"/>
              <w:spacing w:before="6"/>
              <w:ind w:left="110" w:right="101"/>
              <w:jc w:val="center"/>
              <w:rPr>
                <w:sz w:val="18"/>
              </w:rPr>
            </w:pPr>
            <w:r>
              <w:rPr>
                <w:spacing w:val="-2"/>
                <w:sz w:val="18"/>
              </w:rPr>
              <w:t>89.77%</w:t>
            </w:r>
          </w:p>
        </w:tc>
        <w:tc>
          <w:tcPr>
            <w:tcW w:w="423" w:type="dxa"/>
            <w:tcBorders>
              <w:left w:val="single" w:sz="8" w:space="0" w:color="000000"/>
            </w:tcBorders>
          </w:tcPr>
          <w:p>
            <w:pPr>
              <w:pStyle w:val="TableParagraph"/>
              <w:spacing w:before="6"/>
              <w:ind w:left="94" w:right="83"/>
              <w:jc w:val="center"/>
              <w:rPr>
                <w:sz w:val="18"/>
              </w:rPr>
            </w:pPr>
            <w:r>
              <w:rPr>
                <w:spacing w:val="-5"/>
                <w:sz w:val="18"/>
              </w:rPr>
              <w:t>58</w:t>
            </w:r>
          </w:p>
        </w:tc>
        <w:tc>
          <w:tcPr>
            <w:tcW w:w="831" w:type="dxa"/>
            <w:tcBorders>
              <w:right w:val="single" w:sz="8" w:space="0" w:color="000000"/>
            </w:tcBorders>
          </w:tcPr>
          <w:p>
            <w:pPr>
              <w:pStyle w:val="TableParagraph"/>
              <w:spacing w:before="6"/>
              <w:ind w:left="145" w:right="140"/>
              <w:jc w:val="center"/>
              <w:rPr>
                <w:sz w:val="18"/>
              </w:rPr>
            </w:pPr>
            <w:r>
              <w:rPr>
                <w:spacing w:val="-4"/>
                <w:sz w:val="18"/>
              </w:rPr>
              <w:t>1.25%</w:t>
            </w:r>
          </w:p>
        </w:tc>
        <w:tc>
          <w:tcPr>
            <w:tcW w:w="533" w:type="dxa"/>
            <w:tcBorders>
              <w:left w:val="single" w:sz="8" w:space="0" w:color="000000"/>
            </w:tcBorders>
          </w:tcPr>
          <w:p>
            <w:pPr>
              <w:pStyle w:val="TableParagraph"/>
              <w:spacing w:before="6"/>
              <w:jc w:val="center"/>
              <w:rPr>
                <w:sz w:val="18"/>
              </w:rPr>
            </w:pPr>
            <w:r>
              <w:rPr>
                <w:w w:val="99"/>
                <w:sz w:val="18"/>
              </w:rPr>
              <w:t>8</w:t>
            </w:r>
          </w:p>
        </w:tc>
        <w:tc>
          <w:tcPr>
            <w:tcW w:w="756" w:type="dxa"/>
            <w:tcBorders>
              <w:right w:val="single" w:sz="8" w:space="0" w:color="000000"/>
            </w:tcBorders>
          </w:tcPr>
          <w:p>
            <w:pPr>
              <w:pStyle w:val="TableParagraph"/>
              <w:spacing w:before="6"/>
              <w:ind w:left="105" w:right="104"/>
              <w:jc w:val="center"/>
              <w:rPr>
                <w:sz w:val="18"/>
              </w:rPr>
            </w:pPr>
            <w:r>
              <w:rPr>
                <w:spacing w:val="-4"/>
                <w:sz w:val="18"/>
              </w:rPr>
              <w:t>7.07%</w:t>
            </w:r>
          </w:p>
        </w:tc>
      </w:tr>
      <w:tr>
        <w:trPr>
          <w:trHeight w:val="244" w:hRule="atLeast"/>
        </w:trPr>
        <w:tc>
          <w:tcPr>
            <w:tcW w:w="1130" w:type="dxa"/>
            <w:tcBorders>
              <w:left w:val="single" w:sz="8" w:space="0" w:color="000000"/>
              <w:right w:val="single" w:sz="8" w:space="0" w:color="000000"/>
            </w:tcBorders>
          </w:tcPr>
          <w:p>
            <w:pPr>
              <w:pStyle w:val="TableParagraph"/>
              <w:spacing w:line="206" w:lineRule="exact"/>
              <w:ind w:left="107"/>
              <w:rPr>
                <w:b/>
                <w:sz w:val="18"/>
              </w:rPr>
            </w:pPr>
            <w:r>
              <w:rPr>
                <w:b/>
                <w:w w:val="95"/>
                <w:sz w:val="18"/>
              </w:rPr>
              <w:t>2012-</w:t>
            </w:r>
            <w:r>
              <w:rPr>
                <w:b/>
                <w:spacing w:val="-5"/>
                <w:w w:val="95"/>
                <w:sz w:val="18"/>
              </w:rPr>
              <w:t>13</w:t>
            </w:r>
          </w:p>
        </w:tc>
        <w:tc>
          <w:tcPr>
            <w:tcW w:w="1080" w:type="dxa"/>
            <w:tcBorders>
              <w:left w:val="single" w:sz="8" w:space="0" w:color="000000"/>
              <w:right w:val="single" w:sz="8" w:space="0" w:color="000000"/>
            </w:tcBorders>
          </w:tcPr>
          <w:p>
            <w:pPr>
              <w:pStyle w:val="TableParagraph"/>
              <w:spacing w:before="3"/>
              <w:ind w:left="327" w:right="307"/>
              <w:jc w:val="center"/>
              <w:rPr>
                <w:sz w:val="18"/>
              </w:rPr>
            </w:pPr>
            <w:r>
              <w:rPr>
                <w:spacing w:val="-4"/>
                <w:sz w:val="18"/>
              </w:rPr>
              <w:t>4754</w:t>
            </w:r>
          </w:p>
        </w:tc>
        <w:tc>
          <w:tcPr>
            <w:tcW w:w="636" w:type="dxa"/>
            <w:tcBorders>
              <w:left w:val="single" w:sz="8" w:space="0" w:color="000000"/>
            </w:tcBorders>
          </w:tcPr>
          <w:p>
            <w:pPr>
              <w:pStyle w:val="TableParagraph"/>
              <w:spacing w:before="3"/>
              <w:ind w:right="93"/>
              <w:jc w:val="right"/>
              <w:rPr>
                <w:sz w:val="18"/>
              </w:rPr>
            </w:pPr>
            <w:r>
              <w:rPr>
                <w:spacing w:val="-4"/>
                <w:sz w:val="18"/>
              </w:rPr>
              <w:t>1711</w:t>
            </w:r>
          </w:p>
        </w:tc>
        <w:tc>
          <w:tcPr>
            <w:tcW w:w="598" w:type="dxa"/>
            <w:tcBorders>
              <w:right w:val="single" w:sz="8" w:space="0" w:color="000000"/>
            </w:tcBorders>
          </w:tcPr>
          <w:p>
            <w:pPr>
              <w:pStyle w:val="TableParagraph"/>
              <w:spacing w:before="3"/>
              <w:ind w:left="108" w:right="89"/>
              <w:jc w:val="center"/>
              <w:rPr>
                <w:sz w:val="18"/>
              </w:rPr>
            </w:pPr>
            <w:r>
              <w:rPr>
                <w:spacing w:val="-5"/>
                <w:sz w:val="18"/>
              </w:rPr>
              <w:t>36%</w:t>
            </w:r>
          </w:p>
        </w:tc>
        <w:tc>
          <w:tcPr>
            <w:tcW w:w="639" w:type="dxa"/>
            <w:tcBorders>
              <w:left w:val="single" w:sz="8" w:space="0" w:color="000000"/>
            </w:tcBorders>
          </w:tcPr>
          <w:p>
            <w:pPr>
              <w:pStyle w:val="TableParagraph"/>
              <w:spacing w:before="3"/>
              <w:ind w:left="117"/>
              <w:rPr>
                <w:sz w:val="18"/>
              </w:rPr>
            </w:pPr>
            <w:r>
              <w:rPr>
                <w:spacing w:val="-4"/>
                <w:sz w:val="18"/>
              </w:rPr>
              <w:t>3043</w:t>
            </w:r>
          </w:p>
        </w:tc>
        <w:tc>
          <w:tcPr>
            <w:tcW w:w="596" w:type="dxa"/>
            <w:tcBorders>
              <w:right w:val="single" w:sz="8" w:space="0" w:color="000000"/>
            </w:tcBorders>
          </w:tcPr>
          <w:p>
            <w:pPr>
              <w:pStyle w:val="TableParagraph"/>
              <w:spacing w:before="3"/>
              <w:ind w:left="107" w:right="88"/>
              <w:jc w:val="center"/>
              <w:rPr>
                <w:sz w:val="18"/>
              </w:rPr>
            </w:pPr>
            <w:r>
              <w:rPr>
                <w:spacing w:val="-5"/>
                <w:sz w:val="18"/>
              </w:rPr>
              <w:t>64%</w:t>
            </w:r>
          </w:p>
        </w:tc>
        <w:tc>
          <w:tcPr>
            <w:tcW w:w="426" w:type="dxa"/>
            <w:tcBorders>
              <w:top w:val="single" w:sz="4" w:space="0" w:color="C0C0C0"/>
              <w:left w:val="single" w:sz="8" w:space="0" w:color="000000"/>
              <w:bottom w:val="single" w:sz="4" w:space="0" w:color="C0C0C0"/>
            </w:tcBorders>
          </w:tcPr>
          <w:p>
            <w:pPr>
              <w:pStyle w:val="TableParagraph"/>
              <w:spacing w:before="3"/>
              <w:ind w:left="98" w:right="81"/>
              <w:jc w:val="center"/>
              <w:rPr>
                <w:sz w:val="18"/>
              </w:rPr>
            </w:pPr>
            <w:r>
              <w:rPr>
                <w:spacing w:val="-5"/>
                <w:sz w:val="18"/>
              </w:rPr>
              <w:t>16</w:t>
            </w:r>
          </w:p>
        </w:tc>
        <w:tc>
          <w:tcPr>
            <w:tcW w:w="829" w:type="dxa"/>
            <w:tcBorders>
              <w:right w:val="single" w:sz="8" w:space="0" w:color="000000"/>
            </w:tcBorders>
          </w:tcPr>
          <w:p>
            <w:pPr>
              <w:pStyle w:val="TableParagraph"/>
              <w:spacing w:before="3"/>
              <w:ind w:left="149" w:right="134"/>
              <w:jc w:val="center"/>
              <w:rPr>
                <w:sz w:val="18"/>
              </w:rPr>
            </w:pPr>
            <w:r>
              <w:rPr>
                <w:spacing w:val="-4"/>
                <w:sz w:val="18"/>
              </w:rPr>
              <w:t>0.34%</w:t>
            </w:r>
          </w:p>
        </w:tc>
        <w:tc>
          <w:tcPr>
            <w:tcW w:w="803" w:type="dxa"/>
            <w:tcBorders>
              <w:left w:val="single" w:sz="8" w:space="0" w:color="000000"/>
            </w:tcBorders>
          </w:tcPr>
          <w:p>
            <w:pPr>
              <w:pStyle w:val="TableParagraph"/>
              <w:spacing w:before="3"/>
              <w:ind w:left="109" w:right="99"/>
              <w:jc w:val="center"/>
              <w:rPr>
                <w:sz w:val="18"/>
              </w:rPr>
            </w:pPr>
            <w:r>
              <w:rPr>
                <w:spacing w:val="-4"/>
                <w:sz w:val="18"/>
              </w:rPr>
              <w:t>4253</w:t>
            </w:r>
          </w:p>
        </w:tc>
        <w:tc>
          <w:tcPr>
            <w:tcW w:w="865" w:type="dxa"/>
            <w:tcBorders>
              <w:right w:val="single" w:sz="8" w:space="0" w:color="000000"/>
            </w:tcBorders>
          </w:tcPr>
          <w:p>
            <w:pPr>
              <w:pStyle w:val="TableParagraph"/>
              <w:spacing w:before="3"/>
              <w:ind w:left="110" w:right="101"/>
              <w:jc w:val="center"/>
              <w:rPr>
                <w:sz w:val="18"/>
              </w:rPr>
            </w:pPr>
            <w:r>
              <w:rPr>
                <w:spacing w:val="-2"/>
                <w:sz w:val="18"/>
              </w:rPr>
              <w:t>89.46%</w:t>
            </w:r>
          </w:p>
        </w:tc>
        <w:tc>
          <w:tcPr>
            <w:tcW w:w="423" w:type="dxa"/>
            <w:tcBorders>
              <w:left w:val="single" w:sz="8" w:space="0" w:color="000000"/>
            </w:tcBorders>
          </w:tcPr>
          <w:p>
            <w:pPr>
              <w:pStyle w:val="TableParagraph"/>
              <w:spacing w:before="3"/>
              <w:ind w:left="94" w:right="83"/>
              <w:jc w:val="center"/>
              <w:rPr>
                <w:sz w:val="18"/>
              </w:rPr>
            </w:pPr>
            <w:r>
              <w:rPr>
                <w:spacing w:val="-5"/>
                <w:sz w:val="18"/>
              </w:rPr>
              <w:t>46</w:t>
            </w:r>
          </w:p>
        </w:tc>
        <w:tc>
          <w:tcPr>
            <w:tcW w:w="831" w:type="dxa"/>
            <w:tcBorders>
              <w:right w:val="single" w:sz="8" w:space="0" w:color="000000"/>
            </w:tcBorders>
          </w:tcPr>
          <w:p>
            <w:pPr>
              <w:pStyle w:val="TableParagraph"/>
              <w:spacing w:before="3"/>
              <w:ind w:left="145" w:right="140"/>
              <w:jc w:val="center"/>
              <w:rPr>
                <w:sz w:val="18"/>
              </w:rPr>
            </w:pPr>
            <w:r>
              <w:rPr>
                <w:spacing w:val="-4"/>
                <w:sz w:val="18"/>
              </w:rPr>
              <w:t>0.97%</w:t>
            </w:r>
          </w:p>
        </w:tc>
        <w:tc>
          <w:tcPr>
            <w:tcW w:w="533" w:type="dxa"/>
            <w:tcBorders>
              <w:left w:val="single" w:sz="8" w:space="0" w:color="000000"/>
            </w:tcBorders>
          </w:tcPr>
          <w:p>
            <w:pPr>
              <w:pStyle w:val="TableParagraph"/>
              <w:spacing w:before="3"/>
              <w:ind w:left="98" w:right="94"/>
              <w:jc w:val="center"/>
              <w:rPr>
                <w:sz w:val="18"/>
              </w:rPr>
            </w:pPr>
            <w:r>
              <w:rPr>
                <w:spacing w:val="-5"/>
                <w:sz w:val="18"/>
              </w:rPr>
              <w:t>12</w:t>
            </w:r>
          </w:p>
        </w:tc>
        <w:tc>
          <w:tcPr>
            <w:tcW w:w="756" w:type="dxa"/>
            <w:tcBorders>
              <w:right w:val="single" w:sz="8" w:space="0" w:color="000000"/>
            </w:tcBorders>
          </w:tcPr>
          <w:p>
            <w:pPr>
              <w:pStyle w:val="TableParagraph"/>
              <w:spacing w:before="3"/>
              <w:ind w:left="105" w:right="104"/>
              <w:jc w:val="center"/>
              <w:rPr>
                <w:sz w:val="18"/>
              </w:rPr>
            </w:pPr>
            <w:r>
              <w:rPr>
                <w:spacing w:val="-4"/>
                <w:sz w:val="18"/>
              </w:rPr>
              <w:t>7.45%</w:t>
            </w:r>
          </w:p>
        </w:tc>
      </w:tr>
      <w:tr>
        <w:trPr>
          <w:trHeight w:val="242" w:hRule="atLeast"/>
        </w:trPr>
        <w:tc>
          <w:tcPr>
            <w:tcW w:w="1130" w:type="dxa"/>
            <w:tcBorders>
              <w:left w:val="single" w:sz="8" w:space="0" w:color="000000"/>
              <w:right w:val="single" w:sz="8" w:space="0" w:color="000000"/>
            </w:tcBorders>
          </w:tcPr>
          <w:p>
            <w:pPr>
              <w:pStyle w:val="TableParagraph"/>
              <w:spacing w:line="206" w:lineRule="exact"/>
              <w:ind w:left="107"/>
              <w:rPr>
                <w:b/>
                <w:sz w:val="18"/>
              </w:rPr>
            </w:pPr>
            <w:r>
              <w:rPr>
                <w:b/>
                <w:w w:val="95"/>
                <w:sz w:val="18"/>
              </w:rPr>
              <w:t>2011-</w:t>
            </w:r>
            <w:r>
              <w:rPr>
                <w:b/>
                <w:spacing w:val="-5"/>
                <w:w w:val="95"/>
                <w:sz w:val="18"/>
              </w:rPr>
              <w:t>12</w:t>
            </w:r>
          </w:p>
        </w:tc>
        <w:tc>
          <w:tcPr>
            <w:tcW w:w="1080" w:type="dxa"/>
            <w:tcBorders>
              <w:left w:val="single" w:sz="8" w:space="0" w:color="000000"/>
              <w:right w:val="single" w:sz="8" w:space="0" w:color="000000"/>
            </w:tcBorders>
          </w:tcPr>
          <w:p>
            <w:pPr>
              <w:pStyle w:val="TableParagraph"/>
              <w:spacing w:before="3"/>
              <w:ind w:left="327" w:right="307"/>
              <w:jc w:val="center"/>
              <w:rPr>
                <w:sz w:val="18"/>
              </w:rPr>
            </w:pPr>
            <w:r>
              <w:rPr>
                <w:spacing w:val="-4"/>
                <w:sz w:val="18"/>
              </w:rPr>
              <w:t>5221</w:t>
            </w:r>
          </w:p>
        </w:tc>
        <w:tc>
          <w:tcPr>
            <w:tcW w:w="636" w:type="dxa"/>
            <w:tcBorders>
              <w:left w:val="single" w:sz="8" w:space="0" w:color="000000"/>
            </w:tcBorders>
          </w:tcPr>
          <w:p>
            <w:pPr>
              <w:pStyle w:val="TableParagraph"/>
              <w:spacing w:before="3"/>
              <w:ind w:right="93"/>
              <w:jc w:val="right"/>
              <w:rPr>
                <w:sz w:val="18"/>
              </w:rPr>
            </w:pPr>
            <w:r>
              <w:rPr>
                <w:spacing w:val="-4"/>
                <w:sz w:val="18"/>
              </w:rPr>
              <w:t>1827</w:t>
            </w:r>
          </w:p>
        </w:tc>
        <w:tc>
          <w:tcPr>
            <w:tcW w:w="598" w:type="dxa"/>
            <w:tcBorders>
              <w:right w:val="single" w:sz="8" w:space="0" w:color="000000"/>
            </w:tcBorders>
          </w:tcPr>
          <w:p>
            <w:pPr>
              <w:pStyle w:val="TableParagraph"/>
              <w:spacing w:before="3"/>
              <w:ind w:left="108" w:right="89"/>
              <w:jc w:val="center"/>
              <w:rPr>
                <w:sz w:val="18"/>
              </w:rPr>
            </w:pPr>
            <w:r>
              <w:rPr>
                <w:spacing w:val="-5"/>
                <w:sz w:val="18"/>
              </w:rPr>
              <w:t>35%</w:t>
            </w:r>
          </w:p>
        </w:tc>
        <w:tc>
          <w:tcPr>
            <w:tcW w:w="639" w:type="dxa"/>
            <w:tcBorders>
              <w:left w:val="single" w:sz="8" w:space="0" w:color="000000"/>
            </w:tcBorders>
          </w:tcPr>
          <w:p>
            <w:pPr>
              <w:pStyle w:val="TableParagraph"/>
              <w:spacing w:before="3"/>
              <w:ind w:left="117"/>
              <w:rPr>
                <w:sz w:val="18"/>
              </w:rPr>
            </w:pPr>
            <w:r>
              <w:rPr>
                <w:spacing w:val="-4"/>
                <w:sz w:val="18"/>
              </w:rPr>
              <w:t>3394</w:t>
            </w:r>
          </w:p>
        </w:tc>
        <w:tc>
          <w:tcPr>
            <w:tcW w:w="596" w:type="dxa"/>
            <w:tcBorders>
              <w:right w:val="single" w:sz="8" w:space="0" w:color="000000"/>
            </w:tcBorders>
          </w:tcPr>
          <w:p>
            <w:pPr>
              <w:pStyle w:val="TableParagraph"/>
              <w:spacing w:before="3"/>
              <w:ind w:left="107" w:right="88"/>
              <w:jc w:val="center"/>
              <w:rPr>
                <w:sz w:val="18"/>
              </w:rPr>
            </w:pPr>
            <w:r>
              <w:rPr>
                <w:spacing w:val="-5"/>
                <w:sz w:val="18"/>
              </w:rPr>
              <w:t>65%</w:t>
            </w:r>
          </w:p>
        </w:tc>
        <w:tc>
          <w:tcPr>
            <w:tcW w:w="426" w:type="dxa"/>
            <w:tcBorders>
              <w:top w:val="single" w:sz="4" w:space="0" w:color="C0C0C0"/>
              <w:left w:val="single" w:sz="8" w:space="0" w:color="000000"/>
              <w:bottom w:val="single" w:sz="4" w:space="0" w:color="C0C0C0"/>
            </w:tcBorders>
          </w:tcPr>
          <w:p>
            <w:pPr>
              <w:pStyle w:val="TableParagraph"/>
              <w:spacing w:before="3"/>
              <w:ind w:left="98" w:right="81"/>
              <w:jc w:val="center"/>
              <w:rPr>
                <w:sz w:val="18"/>
              </w:rPr>
            </w:pPr>
            <w:r>
              <w:rPr>
                <w:spacing w:val="-5"/>
                <w:sz w:val="18"/>
              </w:rPr>
              <w:t>20</w:t>
            </w:r>
          </w:p>
        </w:tc>
        <w:tc>
          <w:tcPr>
            <w:tcW w:w="829" w:type="dxa"/>
            <w:tcBorders>
              <w:right w:val="single" w:sz="8" w:space="0" w:color="000000"/>
            </w:tcBorders>
          </w:tcPr>
          <w:p>
            <w:pPr>
              <w:pStyle w:val="TableParagraph"/>
              <w:spacing w:before="3"/>
              <w:ind w:left="149" w:right="134"/>
              <w:jc w:val="center"/>
              <w:rPr>
                <w:sz w:val="18"/>
              </w:rPr>
            </w:pPr>
            <w:r>
              <w:rPr>
                <w:spacing w:val="-4"/>
                <w:sz w:val="18"/>
              </w:rPr>
              <w:t>0.38%</w:t>
            </w:r>
          </w:p>
        </w:tc>
        <w:tc>
          <w:tcPr>
            <w:tcW w:w="803" w:type="dxa"/>
            <w:tcBorders>
              <w:left w:val="single" w:sz="8" w:space="0" w:color="000000"/>
            </w:tcBorders>
          </w:tcPr>
          <w:p>
            <w:pPr>
              <w:pStyle w:val="TableParagraph"/>
              <w:spacing w:before="3"/>
              <w:ind w:left="109" w:right="99"/>
              <w:jc w:val="center"/>
              <w:rPr>
                <w:sz w:val="18"/>
              </w:rPr>
            </w:pPr>
            <w:r>
              <w:rPr>
                <w:spacing w:val="-4"/>
                <w:sz w:val="18"/>
              </w:rPr>
              <w:t>4633</w:t>
            </w:r>
          </w:p>
        </w:tc>
        <w:tc>
          <w:tcPr>
            <w:tcW w:w="865" w:type="dxa"/>
            <w:tcBorders>
              <w:right w:val="single" w:sz="8" w:space="0" w:color="000000"/>
            </w:tcBorders>
          </w:tcPr>
          <w:p>
            <w:pPr>
              <w:pStyle w:val="TableParagraph"/>
              <w:spacing w:before="3"/>
              <w:ind w:left="110" w:right="101"/>
              <w:jc w:val="center"/>
              <w:rPr>
                <w:sz w:val="18"/>
              </w:rPr>
            </w:pPr>
            <w:r>
              <w:rPr>
                <w:spacing w:val="-2"/>
                <w:sz w:val="18"/>
              </w:rPr>
              <w:t>88.74%</w:t>
            </w:r>
          </w:p>
        </w:tc>
        <w:tc>
          <w:tcPr>
            <w:tcW w:w="423" w:type="dxa"/>
            <w:tcBorders>
              <w:left w:val="single" w:sz="8" w:space="0" w:color="000000"/>
            </w:tcBorders>
          </w:tcPr>
          <w:p>
            <w:pPr>
              <w:pStyle w:val="TableParagraph"/>
              <w:spacing w:before="3"/>
              <w:ind w:left="94" w:right="83"/>
              <w:jc w:val="center"/>
              <w:rPr>
                <w:sz w:val="18"/>
              </w:rPr>
            </w:pPr>
            <w:r>
              <w:rPr>
                <w:spacing w:val="-5"/>
                <w:sz w:val="18"/>
              </w:rPr>
              <w:t>63</w:t>
            </w:r>
          </w:p>
        </w:tc>
        <w:tc>
          <w:tcPr>
            <w:tcW w:w="831" w:type="dxa"/>
            <w:tcBorders>
              <w:right w:val="single" w:sz="8" w:space="0" w:color="000000"/>
            </w:tcBorders>
          </w:tcPr>
          <w:p>
            <w:pPr>
              <w:pStyle w:val="TableParagraph"/>
              <w:spacing w:before="3"/>
              <w:ind w:left="145" w:right="140"/>
              <w:jc w:val="center"/>
              <w:rPr>
                <w:sz w:val="18"/>
              </w:rPr>
            </w:pPr>
            <w:r>
              <w:rPr>
                <w:spacing w:val="-4"/>
                <w:sz w:val="18"/>
              </w:rPr>
              <w:t>1.21%</w:t>
            </w:r>
          </w:p>
        </w:tc>
        <w:tc>
          <w:tcPr>
            <w:tcW w:w="533" w:type="dxa"/>
            <w:tcBorders>
              <w:left w:val="single" w:sz="8" w:space="0" w:color="000000"/>
            </w:tcBorders>
          </w:tcPr>
          <w:p>
            <w:pPr>
              <w:pStyle w:val="TableParagraph"/>
              <w:spacing w:before="3"/>
              <w:ind w:left="98" w:right="94"/>
              <w:jc w:val="center"/>
              <w:rPr>
                <w:sz w:val="18"/>
              </w:rPr>
            </w:pPr>
            <w:r>
              <w:rPr>
                <w:spacing w:val="-5"/>
                <w:sz w:val="18"/>
              </w:rPr>
              <w:t>14</w:t>
            </w:r>
          </w:p>
        </w:tc>
        <w:tc>
          <w:tcPr>
            <w:tcW w:w="756" w:type="dxa"/>
            <w:tcBorders>
              <w:right w:val="single" w:sz="8" w:space="0" w:color="000000"/>
            </w:tcBorders>
          </w:tcPr>
          <w:p>
            <w:pPr>
              <w:pStyle w:val="TableParagraph"/>
              <w:spacing w:before="3"/>
              <w:ind w:left="105" w:right="104"/>
              <w:jc w:val="center"/>
              <w:rPr>
                <w:sz w:val="18"/>
              </w:rPr>
            </w:pPr>
            <w:r>
              <w:rPr>
                <w:spacing w:val="-4"/>
                <w:sz w:val="18"/>
              </w:rPr>
              <w:t>7.62%</w:t>
            </w:r>
          </w:p>
        </w:tc>
      </w:tr>
      <w:tr>
        <w:trPr>
          <w:trHeight w:val="244" w:hRule="atLeast"/>
        </w:trPr>
        <w:tc>
          <w:tcPr>
            <w:tcW w:w="1130" w:type="dxa"/>
            <w:tcBorders>
              <w:left w:val="single" w:sz="8" w:space="0" w:color="000000"/>
              <w:right w:val="single" w:sz="8" w:space="0" w:color="000000"/>
            </w:tcBorders>
          </w:tcPr>
          <w:p>
            <w:pPr>
              <w:pStyle w:val="TableParagraph"/>
              <w:spacing w:before="1"/>
              <w:ind w:left="107"/>
              <w:rPr>
                <w:b/>
                <w:sz w:val="18"/>
              </w:rPr>
            </w:pPr>
            <w:r>
              <w:rPr>
                <w:b/>
                <w:w w:val="95"/>
                <w:sz w:val="18"/>
              </w:rPr>
              <w:t>2010-</w:t>
            </w:r>
            <w:r>
              <w:rPr>
                <w:b/>
                <w:spacing w:val="-5"/>
                <w:w w:val="95"/>
                <w:sz w:val="18"/>
              </w:rPr>
              <w:t>11</w:t>
            </w:r>
          </w:p>
        </w:tc>
        <w:tc>
          <w:tcPr>
            <w:tcW w:w="1080" w:type="dxa"/>
            <w:tcBorders>
              <w:left w:val="single" w:sz="8" w:space="0" w:color="000000"/>
              <w:right w:val="single" w:sz="8" w:space="0" w:color="000000"/>
            </w:tcBorders>
          </w:tcPr>
          <w:p>
            <w:pPr>
              <w:pStyle w:val="TableParagraph"/>
              <w:spacing w:before="6"/>
              <w:ind w:left="327" w:right="307"/>
              <w:jc w:val="center"/>
              <w:rPr>
                <w:sz w:val="18"/>
              </w:rPr>
            </w:pPr>
            <w:r>
              <w:rPr>
                <w:spacing w:val="-4"/>
                <w:sz w:val="18"/>
              </w:rPr>
              <w:t>5253</w:t>
            </w:r>
          </w:p>
        </w:tc>
        <w:tc>
          <w:tcPr>
            <w:tcW w:w="636" w:type="dxa"/>
            <w:tcBorders>
              <w:left w:val="single" w:sz="8" w:space="0" w:color="000000"/>
            </w:tcBorders>
          </w:tcPr>
          <w:p>
            <w:pPr>
              <w:pStyle w:val="TableParagraph"/>
              <w:spacing w:before="6"/>
              <w:ind w:right="93"/>
              <w:jc w:val="right"/>
              <w:rPr>
                <w:sz w:val="18"/>
              </w:rPr>
            </w:pPr>
            <w:r>
              <w:rPr>
                <w:spacing w:val="-4"/>
                <w:sz w:val="18"/>
              </w:rPr>
              <w:t>1944</w:t>
            </w:r>
          </w:p>
        </w:tc>
        <w:tc>
          <w:tcPr>
            <w:tcW w:w="598" w:type="dxa"/>
            <w:tcBorders>
              <w:right w:val="single" w:sz="8" w:space="0" w:color="000000"/>
            </w:tcBorders>
          </w:tcPr>
          <w:p>
            <w:pPr>
              <w:pStyle w:val="TableParagraph"/>
              <w:spacing w:before="6"/>
              <w:ind w:left="108" w:right="89"/>
              <w:jc w:val="center"/>
              <w:rPr>
                <w:sz w:val="18"/>
              </w:rPr>
            </w:pPr>
            <w:r>
              <w:rPr>
                <w:spacing w:val="-5"/>
                <w:sz w:val="18"/>
              </w:rPr>
              <w:t>37%</w:t>
            </w:r>
          </w:p>
        </w:tc>
        <w:tc>
          <w:tcPr>
            <w:tcW w:w="639" w:type="dxa"/>
            <w:tcBorders>
              <w:left w:val="single" w:sz="8" w:space="0" w:color="000000"/>
            </w:tcBorders>
          </w:tcPr>
          <w:p>
            <w:pPr>
              <w:pStyle w:val="TableParagraph"/>
              <w:spacing w:before="6"/>
              <w:ind w:left="117"/>
              <w:rPr>
                <w:sz w:val="18"/>
              </w:rPr>
            </w:pPr>
            <w:r>
              <w:rPr>
                <w:spacing w:val="-4"/>
                <w:sz w:val="18"/>
              </w:rPr>
              <w:t>3309</w:t>
            </w:r>
          </w:p>
        </w:tc>
        <w:tc>
          <w:tcPr>
            <w:tcW w:w="596" w:type="dxa"/>
            <w:tcBorders>
              <w:right w:val="single" w:sz="8" w:space="0" w:color="000000"/>
            </w:tcBorders>
          </w:tcPr>
          <w:p>
            <w:pPr>
              <w:pStyle w:val="TableParagraph"/>
              <w:spacing w:before="6"/>
              <w:ind w:left="107" w:right="88"/>
              <w:jc w:val="center"/>
              <w:rPr>
                <w:sz w:val="18"/>
              </w:rPr>
            </w:pPr>
            <w:r>
              <w:rPr>
                <w:spacing w:val="-5"/>
                <w:sz w:val="18"/>
              </w:rPr>
              <w:t>63%</w:t>
            </w:r>
          </w:p>
        </w:tc>
        <w:tc>
          <w:tcPr>
            <w:tcW w:w="426" w:type="dxa"/>
            <w:tcBorders>
              <w:top w:val="single" w:sz="4" w:space="0" w:color="C0C0C0"/>
              <w:left w:val="single" w:sz="8" w:space="0" w:color="000000"/>
              <w:bottom w:val="single" w:sz="4" w:space="0" w:color="C0C0C0"/>
            </w:tcBorders>
          </w:tcPr>
          <w:p>
            <w:pPr>
              <w:pStyle w:val="TableParagraph"/>
              <w:spacing w:before="6"/>
              <w:ind w:left="98" w:right="81"/>
              <w:jc w:val="center"/>
              <w:rPr>
                <w:sz w:val="18"/>
              </w:rPr>
            </w:pPr>
            <w:r>
              <w:rPr>
                <w:spacing w:val="-5"/>
                <w:sz w:val="18"/>
              </w:rPr>
              <w:t>24</w:t>
            </w:r>
          </w:p>
        </w:tc>
        <w:tc>
          <w:tcPr>
            <w:tcW w:w="829" w:type="dxa"/>
            <w:tcBorders>
              <w:right w:val="single" w:sz="8" w:space="0" w:color="000000"/>
            </w:tcBorders>
          </w:tcPr>
          <w:p>
            <w:pPr>
              <w:pStyle w:val="TableParagraph"/>
              <w:spacing w:before="6"/>
              <w:ind w:left="149" w:right="134"/>
              <w:jc w:val="center"/>
              <w:rPr>
                <w:sz w:val="18"/>
              </w:rPr>
            </w:pPr>
            <w:r>
              <w:rPr>
                <w:spacing w:val="-4"/>
                <w:sz w:val="18"/>
              </w:rPr>
              <w:t>0.46%</w:t>
            </w:r>
          </w:p>
        </w:tc>
        <w:tc>
          <w:tcPr>
            <w:tcW w:w="803" w:type="dxa"/>
            <w:tcBorders>
              <w:left w:val="single" w:sz="8" w:space="0" w:color="000000"/>
            </w:tcBorders>
          </w:tcPr>
          <w:p>
            <w:pPr>
              <w:pStyle w:val="TableParagraph"/>
              <w:spacing w:before="6"/>
              <w:ind w:left="109" w:right="99"/>
              <w:jc w:val="center"/>
              <w:rPr>
                <w:sz w:val="18"/>
              </w:rPr>
            </w:pPr>
            <w:r>
              <w:rPr>
                <w:spacing w:val="-4"/>
                <w:sz w:val="18"/>
              </w:rPr>
              <w:t>4698</w:t>
            </w:r>
          </w:p>
        </w:tc>
        <w:tc>
          <w:tcPr>
            <w:tcW w:w="865" w:type="dxa"/>
            <w:tcBorders>
              <w:right w:val="single" w:sz="8" w:space="0" w:color="000000"/>
            </w:tcBorders>
          </w:tcPr>
          <w:p>
            <w:pPr>
              <w:pStyle w:val="TableParagraph"/>
              <w:spacing w:before="6"/>
              <w:ind w:left="110" w:right="101"/>
              <w:jc w:val="center"/>
              <w:rPr>
                <w:sz w:val="18"/>
              </w:rPr>
            </w:pPr>
            <w:r>
              <w:rPr>
                <w:spacing w:val="-2"/>
                <w:sz w:val="18"/>
              </w:rPr>
              <w:t>89.44%</w:t>
            </w:r>
          </w:p>
        </w:tc>
        <w:tc>
          <w:tcPr>
            <w:tcW w:w="423" w:type="dxa"/>
            <w:tcBorders>
              <w:left w:val="single" w:sz="8" w:space="0" w:color="000000"/>
            </w:tcBorders>
          </w:tcPr>
          <w:p>
            <w:pPr>
              <w:pStyle w:val="TableParagraph"/>
              <w:spacing w:before="6"/>
              <w:ind w:left="94" w:right="83"/>
              <w:jc w:val="center"/>
              <w:rPr>
                <w:sz w:val="18"/>
              </w:rPr>
            </w:pPr>
            <w:r>
              <w:rPr>
                <w:spacing w:val="-5"/>
                <w:sz w:val="18"/>
              </w:rPr>
              <w:t>71</w:t>
            </w:r>
          </w:p>
        </w:tc>
        <w:tc>
          <w:tcPr>
            <w:tcW w:w="831" w:type="dxa"/>
            <w:tcBorders>
              <w:right w:val="single" w:sz="8" w:space="0" w:color="000000"/>
            </w:tcBorders>
          </w:tcPr>
          <w:p>
            <w:pPr>
              <w:pStyle w:val="TableParagraph"/>
              <w:spacing w:before="6"/>
              <w:ind w:left="145" w:right="140"/>
              <w:jc w:val="center"/>
              <w:rPr>
                <w:sz w:val="18"/>
              </w:rPr>
            </w:pPr>
            <w:r>
              <w:rPr>
                <w:spacing w:val="-4"/>
                <w:sz w:val="18"/>
              </w:rPr>
              <w:t>1.35%</w:t>
            </w:r>
          </w:p>
        </w:tc>
        <w:tc>
          <w:tcPr>
            <w:tcW w:w="533" w:type="dxa"/>
            <w:tcBorders>
              <w:left w:val="single" w:sz="8" w:space="0" w:color="000000"/>
            </w:tcBorders>
          </w:tcPr>
          <w:p>
            <w:pPr>
              <w:pStyle w:val="TableParagraph"/>
              <w:spacing w:before="6"/>
              <w:ind w:left="98" w:right="94"/>
              <w:jc w:val="center"/>
              <w:rPr>
                <w:sz w:val="18"/>
              </w:rPr>
            </w:pPr>
            <w:r>
              <w:rPr>
                <w:spacing w:val="-5"/>
                <w:sz w:val="18"/>
              </w:rPr>
              <w:t>21</w:t>
            </w:r>
          </w:p>
        </w:tc>
        <w:tc>
          <w:tcPr>
            <w:tcW w:w="756" w:type="dxa"/>
            <w:tcBorders>
              <w:right w:val="single" w:sz="8" w:space="0" w:color="000000"/>
            </w:tcBorders>
          </w:tcPr>
          <w:p>
            <w:pPr>
              <w:pStyle w:val="TableParagraph"/>
              <w:spacing w:before="6"/>
              <w:ind w:left="105" w:right="104"/>
              <w:jc w:val="center"/>
              <w:rPr>
                <w:sz w:val="18"/>
              </w:rPr>
            </w:pPr>
            <w:r>
              <w:rPr>
                <w:spacing w:val="-4"/>
                <w:sz w:val="18"/>
              </w:rPr>
              <w:t>7.21%</w:t>
            </w:r>
          </w:p>
        </w:tc>
      </w:tr>
      <w:tr>
        <w:trPr>
          <w:trHeight w:val="258" w:hRule="atLeast"/>
        </w:trPr>
        <w:tc>
          <w:tcPr>
            <w:tcW w:w="1130" w:type="dxa"/>
            <w:tcBorders>
              <w:left w:val="single" w:sz="8" w:space="0" w:color="000000"/>
              <w:bottom w:val="single" w:sz="8" w:space="0" w:color="000000"/>
              <w:right w:val="single" w:sz="8" w:space="0" w:color="000000"/>
            </w:tcBorders>
          </w:tcPr>
          <w:p>
            <w:pPr>
              <w:pStyle w:val="TableParagraph"/>
              <w:spacing w:before="15"/>
              <w:ind w:left="107"/>
              <w:rPr>
                <w:b/>
                <w:sz w:val="18"/>
              </w:rPr>
            </w:pPr>
            <w:r>
              <w:rPr>
                <w:b/>
                <w:w w:val="95"/>
                <w:sz w:val="18"/>
              </w:rPr>
              <w:t>2009-</w:t>
            </w:r>
            <w:r>
              <w:rPr>
                <w:b/>
                <w:spacing w:val="-5"/>
                <w:w w:val="95"/>
                <w:sz w:val="18"/>
              </w:rPr>
              <w:t>10</w:t>
            </w:r>
          </w:p>
        </w:tc>
        <w:tc>
          <w:tcPr>
            <w:tcW w:w="1080" w:type="dxa"/>
            <w:tcBorders>
              <w:left w:val="single" w:sz="8" w:space="0" w:color="000000"/>
              <w:bottom w:val="single" w:sz="8" w:space="0" w:color="000000"/>
              <w:right w:val="single" w:sz="8" w:space="0" w:color="000000"/>
            </w:tcBorders>
          </w:tcPr>
          <w:p>
            <w:pPr>
              <w:pStyle w:val="TableParagraph"/>
              <w:spacing w:before="20"/>
              <w:ind w:left="327" w:right="307"/>
              <w:jc w:val="center"/>
              <w:rPr>
                <w:sz w:val="18"/>
              </w:rPr>
            </w:pPr>
            <w:r>
              <w:rPr>
                <w:spacing w:val="-4"/>
                <w:sz w:val="18"/>
              </w:rPr>
              <w:t>5402</w:t>
            </w:r>
          </w:p>
        </w:tc>
        <w:tc>
          <w:tcPr>
            <w:tcW w:w="636" w:type="dxa"/>
            <w:tcBorders>
              <w:left w:val="single" w:sz="8" w:space="0" w:color="000000"/>
              <w:bottom w:val="single" w:sz="8" w:space="0" w:color="000000"/>
            </w:tcBorders>
          </w:tcPr>
          <w:p>
            <w:pPr>
              <w:pStyle w:val="TableParagraph"/>
              <w:spacing w:before="20"/>
              <w:ind w:right="93"/>
              <w:jc w:val="right"/>
              <w:rPr>
                <w:sz w:val="18"/>
              </w:rPr>
            </w:pPr>
            <w:r>
              <w:rPr>
                <w:spacing w:val="-4"/>
                <w:sz w:val="18"/>
              </w:rPr>
              <w:t>1999</w:t>
            </w:r>
          </w:p>
        </w:tc>
        <w:tc>
          <w:tcPr>
            <w:tcW w:w="598" w:type="dxa"/>
            <w:tcBorders>
              <w:bottom w:val="single" w:sz="8" w:space="0" w:color="000000"/>
              <w:right w:val="single" w:sz="8" w:space="0" w:color="000000"/>
            </w:tcBorders>
          </w:tcPr>
          <w:p>
            <w:pPr>
              <w:pStyle w:val="TableParagraph"/>
              <w:spacing w:before="20"/>
              <w:ind w:left="108" w:right="89"/>
              <w:jc w:val="center"/>
              <w:rPr>
                <w:sz w:val="18"/>
              </w:rPr>
            </w:pPr>
            <w:r>
              <w:rPr>
                <w:spacing w:val="-5"/>
                <w:sz w:val="18"/>
              </w:rPr>
              <w:t>37%</w:t>
            </w:r>
          </w:p>
        </w:tc>
        <w:tc>
          <w:tcPr>
            <w:tcW w:w="639" w:type="dxa"/>
            <w:tcBorders>
              <w:left w:val="single" w:sz="8" w:space="0" w:color="000000"/>
              <w:bottom w:val="single" w:sz="8" w:space="0" w:color="000000"/>
            </w:tcBorders>
          </w:tcPr>
          <w:p>
            <w:pPr>
              <w:pStyle w:val="TableParagraph"/>
              <w:spacing w:before="20"/>
              <w:ind w:left="117"/>
              <w:rPr>
                <w:sz w:val="18"/>
              </w:rPr>
            </w:pPr>
            <w:r>
              <w:rPr>
                <w:spacing w:val="-4"/>
                <w:sz w:val="18"/>
              </w:rPr>
              <w:t>3403</w:t>
            </w:r>
          </w:p>
        </w:tc>
        <w:tc>
          <w:tcPr>
            <w:tcW w:w="596" w:type="dxa"/>
            <w:tcBorders>
              <w:bottom w:val="single" w:sz="8" w:space="0" w:color="000000"/>
              <w:right w:val="single" w:sz="8" w:space="0" w:color="000000"/>
            </w:tcBorders>
          </w:tcPr>
          <w:p>
            <w:pPr>
              <w:pStyle w:val="TableParagraph"/>
              <w:spacing w:before="20"/>
              <w:ind w:left="107" w:right="88"/>
              <w:jc w:val="center"/>
              <w:rPr>
                <w:sz w:val="18"/>
              </w:rPr>
            </w:pPr>
            <w:r>
              <w:rPr>
                <w:spacing w:val="-5"/>
                <w:sz w:val="18"/>
              </w:rPr>
              <w:t>63%</w:t>
            </w:r>
          </w:p>
        </w:tc>
        <w:tc>
          <w:tcPr>
            <w:tcW w:w="426" w:type="dxa"/>
            <w:tcBorders>
              <w:top w:val="single" w:sz="4" w:space="0" w:color="C0C0C0"/>
              <w:left w:val="single" w:sz="8" w:space="0" w:color="000000"/>
              <w:bottom w:val="single" w:sz="8" w:space="0" w:color="000000"/>
            </w:tcBorders>
          </w:tcPr>
          <w:p>
            <w:pPr>
              <w:pStyle w:val="TableParagraph"/>
              <w:spacing w:before="20"/>
              <w:ind w:left="98" w:right="81"/>
              <w:jc w:val="center"/>
              <w:rPr>
                <w:sz w:val="18"/>
              </w:rPr>
            </w:pPr>
            <w:r>
              <w:rPr>
                <w:spacing w:val="-5"/>
                <w:sz w:val="18"/>
              </w:rPr>
              <w:t>20</w:t>
            </w:r>
          </w:p>
        </w:tc>
        <w:tc>
          <w:tcPr>
            <w:tcW w:w="829" w:type="dxa"/>
            <w:tcBorders>
              <w:bottom w:val="single" w:sz="8" w:space="0" w:color="000000"/>
              <w:right w:val="single" w:sz="8" w:space="0" w:color="000000"/>
            </w:tcBorders>
          </w:tcPr>
          <w:p>
            <w:pPr>
              <w:pStyle w:val="TableParagraph"/>
              <w:spacing w:before="20"/>
              <w:ind w:left="149" w:right="134"/>
              <w:jc w:val="center"/>
              <w:rPr>
                <w:sz w:val="18"/>
              </w:rPr>
            </w:pPr>
            <w:r>
              <w:rPr>
                <w:spacing w:val="-4"/>
                <w:sz w:val="18"/>
              </w:rPr>
              <w:t>0.37%</w:t>
            </w:r>
          </w:p>
        </w:tc>
        <w:tc>
          <w:tcPr>
            <w:tcW w:w="803" w:type="dxa"/>
            <w:tcBorders>
              <w:left w:val="single" w:sz="8" w:space="0" w:color="000000"/>
              <w:bottom w:val="single" w:sz="8" w:space="0" w:color="000000"/>
            </w:tcBorders>
          </w:tcPr>
          <w:p>
            <w:pPr>
              <w:pStyle w:val="TableParagraph"/>
              <w:spacing w:before="20"/>
              <w:ind w:left="109" w:right="99"/>
              <w:jc w:val="center"/>
              <w:rPr>
                <w:sz w:val="18"/>
              </w:rPr>
            </w:pPr>
            <w:r>
              <w:rPr>
                <w:spacing w:val="-4"/>
                <w:sz w:val="18"/>
              </w:rPr>
              <w:t>4932</w:t>
            </w:r>
          </w:p>
        </w:tc>
        <w:tc>
          <w:tcPr>
            <w:tcW w:w="865" w:type="dxa"/>
            <w:tcBorders>
              <w:bottom w:val="single" w:sz="8" w:space="0" w:color="000000"/>
              <w:right w:val="single" w:sz="8" w:space="0" w:color="000000"/>
            </w:tcBorders>
          </w:tcPr>
          <w:p>
            <w:pPr>
              <w:pStyle w:val="TableParagraph"/>
              <w:spacing w:before="20"/>
              <w:ind w:left="110" w:right="101"/>
              <w:jc w:val="center"/>
              <w:rPr>
                <w:sz w:val="18"/>
              </w:rPr>
            </w:pPr>
            <w:r>
              <w:rPr>
                <w:spacing w:val="-2"/>
                <w:sz w:val="18"/>
              </w:rPr>
              <w:t>91.30%</w:t>
            </w:r>
          </w:p>
        </w:tc>
        <w:tc>
          <w:tcPr>
            <w:tcW w:w="423" w:type="dxa"/>
            <w:tcBorders>
              <w:left w:val="single" w:sz="8" w:space="0" w:color="000000"/>
              <w:bottom w:val="single" w:sz="8" w:space="0" w:color="000000"/>
            </w:tcBorders>
          </w:tcPr>
          <w:p>
            <w:pPr>
              <w:pStyle w:val="TableParagraph"/>
              <w:spacing w:before="20"/>
              <w:ind w:left="94" w:right="83"/>
              <w:jc w:val="center"/>
              <w:rPr>
                <w:sz w:val="18"/>
              </w:rPr>
            </w:pPr>
            <w:r>
              <w:rPr>
                <w:spacing w:val="-5"/>
                <w:sz w:val="18"/>
              </w:rPr>
              <w:t>62</w:t>
            </w:r>
          </w:p>
        </w:tc>
        <w:tc>
          <w:tcPr>
            <w:tcW w:w="831" w:type="dxa"/>
            <w:tcBorders>
              <w:bottom w:val="single" w:sz="8" w:space="0" w:color="000000"/>
              <w:right w:val="single" w:sz="8" w:space="0" w:color="000000"/>
            </w:tcBorders>
          </w:tcPr>
          <w:p>
            <w:pPr>
              <w:pStyle w:val="TableParagraph"/>
              <w:spacing w:before="20"/>
              <w:ind w:left="145" w:right="140"/>
              <w:jc w:val="center"/>
              <w:rPr>
                <w:sz w:val="18"/>
              </w:rPr>
            </w:pPr>
            <w:r>
              <w:rPr>
                <w:spacing w:val="-4"/>
                <w:sz w:val="18"/>
              </w:rPr>
              <w:t>1.15%</w:t>
            </w:r>
          </w:p>
        </w:tc>
        <w:tc>
          <w:tcPr>
            <w:tcW w:w="533" w:type="dxa"/>
            <w:tcBorders>
              <w:left w:val="single" w:sz="8" w:space="0" w:color="000000"/>
              <w:bottom w:val="single" w:sz="8" w:space="0" w:color="000000"/>
            </w:tcBorders>
          </w:tcPr>
          <w:p>
            <w:pPr>
              <w:pStyle w:val="TableParagraph"/>
              <w:spacing w:before="20"/>
              <w:ind w:left="98" w:right="94"/>
              <w:jc w:val="center"/>
              <w:rPr>
                <w:sz w:val="18"/>
              </w:rPr>
            </w:pPr>
            <w:r>
              <w:rPr>
                <w:spacing w:val="-5"/>
                <w:sz w:val="18"/>
              </w:rPr>
              <w:t>318</w:t>
            </w:r>
          </w:p>
        </w:tc>
        <w:tc>
          <w:tcPr>
            <w:tcW w:w="756" w:type="dxa"/>
            <w:tcBorders>
              <w:bottom w:val="single" w:sz="8" w:space="0" w:color="000000"/>
              <w:right w:val="single" w:sz="8" w:space="0" w:color="000000"/>
            </w:tcBorders>
          </w:tcPr>
          <w:p>
            <w:pPr>
              <w:pStyle w:val="TableParagraph"/>
              <w:spacing w:before="20"/>
              <w:ind w:left="105" w:right="104"/>
              <w:jc w:val="center"/>
              <w:rPr>
                <w:sz w:val="18"/>
              </w:rPr>
            </w:pPr>
            <w:r>
              <w:rPr>
                <w:spacing w:val="-4"/>
                <w:sz w:val="18"/>
              </w:rPr>
              <w:t>5.89%</w:t>
            </w:r>
          </w:p>
        </w:tc>
      </w:tr>
    </w:tbl>
    <w:p>
      <w:pPr>
        <w:pStyle w:val="BodyText"/>
        <w:rPr>
          <w:b/>
          <w:sz w:val="22"/>
        </w:rPr>
      </w:pPr>
    </w:p>
    <w:p>
      <w:pPr>
        <w:pStyle w:val="BodyText"/>
        <w:spacing w:before="4"/>
        <w:rPr>
          <w:b/>
          <w:sz w:val="21"/>
        </w:rPr>
      </w:pPr>
    </w:p>
    <w:p>
      <w:pPr>
        <w:spacing w:before="0"/>
        <w:ind w:left="280" w:right="0" w:firstLine="0"/>
        <w:jc w:val="left"/>
        <w:rPr>
          <w:b/>
          <w:sz w:val="22"/>
        </w:rPr>
      </w:pPr>
      <w:r>
        <w:rPr>
          <w:b/>
          <w:sz w:val="22"/>
        </w:rPr>
        <w:t>Program</w:t>
      </w:r>
      <w:r>
        <w:rPr>
          <w:b/>
          <w:spacing w:val="-6"/>
          <w:sz w:val="22"/>
        </w:rPr>
        <w:t> </w:t>
      </w:r>
      <w:r>
        <w:rPr>
          <w:b/>
          <w:sz w:val="22"/>
        </w:rPr>
        <w:t>Student</w:t>
      </w:r>
      <w:r>
        <w:rPr>
          <w:b/>
          <w:spacing w:val="-5"/>
          <w:sz w:val="22"/>
        </w:rPr>
        <w:t> </w:t>
      </w:r>
      <w:r>
        <w:rPr>
          <w:b/>
          <w:spacing w:val="-2"/>
          <w:sz w:val="22"/>
        </w:rPr>
        <w:t>Characteristics</w:t>
      </w:r>
    </w:p>
    <w:p>
      <w:pPr>
        <w:pStyle w:val="BodyText"/>
        <w:spacing w:before="6"/>
        <w:rPr>
          <w:b/>
          <w:sz w:val="21"/>
        </w:rPr>
      </w:pPr>
    </w:p>
    <w:tbl>
      <w:tblPr>
        <w:tblW w:w="0" w:type="auto"/>
        <w:jc w:val="left"/>
        <w:tblInd w:w="275" w:type="dxa"/>
        <w:tblBorders>
          <w:top w:val="single" w:sz="4" w:space="0" w:color="A7A8A7"/>
          <w:left w:val="single" w:sz="4" w:space="0" w:color="A7A8A7"/>
          <w:bottom w:val="single" w:sz="4" w:space="0" w:color="A7A8A7"/>
          <w:right w:val="single" w:sz="4" w:space="0" w:color="A7A8A7"/>
          <w:insideH w:val="single" w:sz="4" w:space="0" w:color="A7A8A7"/>
          <w:insideV w:val="single" w:sz="4" w:space="0" w:color="A7A8A7"/>
        </w:tblBorders>
        <w:tblLayout w:type="fixed"/>
        <w:tblCellMar>
          <w:top w:w="0" w:type="dxa"/>
          <w:left w:w="0" w:type="dxa"/>
          <w:bottom w:w="0" w:type="dxa"/>
          <w:right w:w="0" w:type="dxa"/>
        </w:tblCellMar>
        <w:tblLook w:val="01E0"/>
      </w:tblPr>
      <w:tblGrid>
        <w:gridCol w:w="1066"/>
        <w:gridCol w:w="1289"/>
        <w:gridCol w:w="720"/>
        <w:gridCol w:w="754"/>
        <w:gridCol w:w="598"/>
        <w:gridCol w:w="809"/>
        <w:gridCol w:w="631"/>
        <w:gridCol w:w="629"/>
        <w:gridCol w:w="727"/>
        <w:gridCol w:w="696"/>
        <w:gridCol w:w="394"/>
        <w:gridCol w:w="704"/>
        <w:gridCol w:w="658"/>
        <w:gridCol w:w="694"/>
      </w:tblGrid>
      <w:tr>
        <w:trPr>
          <w:trHeight w:val="728" w:hRule="atLeast"/>
        </w:trPr>
        <w:tc>
          <w:tcPr>
            <w:tcW w:w="1066" w:type="dxa"/>
            <w:tcBorders>
              <w:top w:val="nil"/>
              <w:left w:val="nil"/>
              <w:right w:val="single" w:sz="8" w:space="0" w:color="FFFFFF"/>
            </w:tcBorders>
            <w:shd w:val="clear" w:color="auto" w:fill="000000"/>
          </w:tcPr>
          <w:p>
            <w:pPr>
              <w:pStyle w:val="TableParagraph"/>
              <w:spacing w:before="6"/>
              <w:rPr>
                <w:b/>
                <w:sz w:val="19"/>
              </w:rPr>
            </w:pPr>
          </w:p>
          <w:p>
            <w:pPr>
              <w:pStyle w:val="TableParagraph"/>
              <w:spacing w:line="230" w:lineRule="atLeast"/>
              <w:ind w:left="107"/>
              <w:rPr>
                <w:b/>
                <w:sz w:val="18"/>
              </w:rPr>
            </w:pPr>
            <w:r>
              <w:rPr>
                <w:b/>
                <w:color w:val="FFFFFF"/>
                <w:spacing w:val="-2"/>
                <w:sz w:val="18"/>
              </w:rPr>
              <w:t>Academic </w:t>
            </w:r>
            <w:r>
              <w:rPr>
                <w:b/>
                <w:color w:val="FFFFFF"/>
                <w:spacing w:val="-4"/>
                <w:sz w:val="18"/>
              </w:rPr>
              <w:t>Year</w:t>
            </w:r>
          </w:p>
        </w:tc>
        <w:tc>
          <w:tcPr>
            <w:tcW w:w="1289" w:type="dxa"/>
            <w:tcBorders>
              <w:top w:val="nil"/>
              <w:left w:val="single" w:sz="8" w:space="0" w:color="FFFFFF"/>
              <w:right w:val="single" w:sz="8" w:space="0" w:color="FFFFFF"/>
            </w:tcBorders>
            <w:shd w:val="clear" w:color="auto" w:fill="000000"/>
          </w:tcPr>
          <w:p>
            <w:pPr>
              <w:pStyle w:val="TableParagraph"/>
              <w:spacing w:before="10"/>
              <w:ind w:left="109" w:right="94"/>
              <w:jc w:val="center"/>
              <w:rPr>
                <w:b/>
                <w:sz w:val="18"/>
              </w:rPr>
            </w:pPr>
            <w:r>
              <w:rPr>
                <w:b/>
                <w:color w:val="FFFFFF"/>
                <w:spacing w:val="-2"/>
                <w:sz w:val="18"/>
              </w:rPr>
              <w:t>Total</w:t>
            </w:r>
          </w:p>
          <w:p>
            <w:pPr>
              <w:pStyle w:val="TableParagraph"/>
              <w:spacing w:line="230" w:lineRule="atLeast" w:before="7"/>
              <w:ind w:left="112" w:right="94"/>
              <w:jc w:val="center"/>
              <w:rPr>
                <w:b/>
                <w:sz w:val="18"/>
              </w:rPr>
            </w:pPr>
            <w:r>
              <w:rPr>
                <w:b/>
                <w:color w:val="FFFFFF"/>
                <w:spacing w:val="-2"/>
                <w:sz w:val="18"/>
              </w:rPr>
              <w:t>Architecture Students</w:t>
            </w:r>
          </w:p>
        </w:tc>
        <w:tc>
          <w:tcPr>
            <w:tcW w:w="1474" w:type="dxa"/>
            <w:gridSpan w:val="2"/>
            <w:tcBorders>
              <w:top w:val="nil"/>
              <w:left w:val="single" w:sz="8" w:space="0" w:color="FFFFFF"/>
              <w:right w:val="single" w:sz="8" w:space="0" w:color="FFFFFF"/>
            </w:tcBorders>
            <w:shd w:val="clear" w:color="auto" w:fill="000000"/>
          </w:tcPr>
          <w:p>
            <w:pPr>
              <w:pStyle w:val="TableParagraph"/>
              <w:rPr>
                <w:b/>
                <w:sz w:val="20"/>
              </w:rPr>
            </w:pPr>
          </w:p>
          <w:p>
            <w:pPr>
              <w:pStyle w:val="TableParagraph"/>
              <w:spacing w:before="2"/>
              <w:rPr>
                <w:b/>
                <w:sz w:val="22"/>
              </w:rPr>
            </w:pPr>
          </w:p>
          <w:p>
            <w:pPr>
              <w:pStyle w:val="TableParagraph"/>
              <w:ind w:left="523" w:right="506"/>
              <w:jc w:val="center"/>
              <w:rPr>
                <w:b/>
                <w:sz w:val="18"/>
              </w:rPr>
            </w:pPr>
            <w:r>
              <w:rPr>
                <w:b/>
                <w:color w:val="FFFFFF"/>
                <w:spacing w:val="-4"/>
                <w:sz w:val="18"/>
              </w:rPr>
              <w:t>Male</w:t>
            </w:r>
          </w:p>
        </w:tc>
        <w:tc>
          <w:tcPr>
            <w:tcW w:w="1407" w:type="dxa"/>
            <w:gridSpan w:val="2"/>
            <w:tcBorders>
              <w:top w:val="nil"/>
              <w:left w:val="single" w:sz="8" w:space="0" w:color="FFFFFF"/>
              <w:right w:val="nil"/>
            </w:tcBorders>
            <w:shd w:val="clear" w:color="auto" w:fill="000000"/>
          </w:tcPr>
          <w:p>
            <w:pPr>
              <w:pStyle w:val="TableParagraph"/>
              <w:rPr>
                <w:b/>
                <w:sz w:val="20"/>
              </w:rPr>
            </w:pPr>
          </w:p>
          <w:p>
            <w:pPr>
              <w:pStyle w:val="TableParagraph"/>
              <w:spacing w:before="2"/>
              <w:rPr>
                <w:b/>
                <w:sz w:val="22"/>
              </w:rPr>
            </w:pPr>
          </w:p>
          <w:p>
            <w:pPr>
              <w:pStyle w:val="TableParagraph"/>
              <w:ind w:left="392"/>
              <w:rPr>
                <w:b/>
                <w:sz w:val="18"/>
              </w:rPr>
            </w:pPr>
            <w:r>
              <w:rPr>
                <w:b/>
                <w:color w:val="FFFFFF"/>
                <w:spacing w:val="-2"/>
                <w:sz w:val="18"/>
              </w:rPr>
              <w:t>Female</w:t>
            </w:r>
          </w:p>
        </w:tc>
        <w:tc>
          <w:tcPr>
            <w:tcW w:w="1260" w:type="dxa"/>
            <w:gridSpan w:val="2"/>
            <w:tcBorders>
              <w:top w:val="nil"/>
              <w:left w:val="nil"/>
              <w:right w:val="single" w:sz="8" w:space="0" w:color="FFFFFF"/>
            </w:tcBorders>
            <w:shd w:val="clear" w:color="auto" w:fill="000000"/>
          </w:tcPr>
          <w:p>
            <w:pPr>
              <w:pStyle w:val="TableParagraph"/>
              <w:spacing w:before="10"/>
              <w:ind w:left="336" w:hanging="70"/>
              <w:rPr>
                <w:b/>
                <w:sz w:val="18"/>
              </w:rPr>
            </w:pPr>
            <w:r>
              <w:rPr>
                <w:b/>
                <w:color w:val="FFFFFF"/>
                <w:sz w:val="18"/>
              </w:rPr>
              <w:t>Asian</w:t>
            </w:r>
            <w:r>
              <w:rPr>
                <w:b/>
                <w:color w:val="FFFFFF"/>
                <w:spacing w:val="-5"/>
                <w:sz w:val="18"/>
              </w:rPr>
              <w:t> or</w:t>
            </w:r>
          </w:p>
          <w:p>
            <w:pPr>
              <w:pStyle w:val="TableParagraph"/>
              <w:spacing w:line="230" w:lineRule="atLeast" w:before="7"/>
              <w:ind w:left="281" w:firstLine="55"/>
              <w:rPr>
                <w:b/>
                <w:sz w:val="18"/>
              </w:rPr>
            </w:pPr>
            <w:r>
              <w:rPr>
                <w:b/>
                <w:color w:val="FFFFFF"/>
                <w:spacing w:val="-2"/>
                <w:sz w:val="18"/>
              </w:rPr>
              <w:t>Pacific Islander</w:t>
            </w:r>
          </w:p>
        </w:tc>
        <w:tc>
          <w:tcPr>
            <w:tcW w:w="1423" w:type="dxa"/>
            <w:gridSpan w:val="2"/>
            <w:tcBorders>
              <w:top w:val="nil"/>
              <w:left w:val="single" w:sz="8" w:space="0" w:color="FFFFFF"/>
              <w:right w:val="single" w:sz="8" w:space="0" w:color="FFFFFF"/>
            </w:tcBorders>
            <w:shd w:val="clear" w:color="auto" w:fill="000000"/>
          </w:tcPr>
          <w:p>
            <w:pPr>
              <w:pStyle w:val="TableParagraph"/>
              <w:rPr>
                <w:b/>
                <w:sz w:val="20"/>
              </w:rPr>
            </w:pPr>
          </w:p>
          <w:p>
            <w:pPr>
              <w:pStyle w:val="TableParagraph"/>
              <w:spacing w:before="2"/>
              <w:rPr>
                <w:b/>
                <w:sz w:val="22"/>
              </w:rPr>
            </w:pPr>
          </w:p>
          <w:p>
            <w:pPr>
              <w:pStyle w:val="TableParagraph"/>
              <w:ind w:left="468"/>
              <w:rPr>
                <w:b/>
                <w:sz w:val="18"/>
              </w:rPr>
            </w:pPr>
            <w:r>
              <w:rPr>
                <w:b/>
                <w:color w:val="FFFFFF"/>
                <w:spacing w:val="-2"/>
                <w:sz w:val="18"/>
              </w:rPr>
              <w:t>Black</w:t>
            </w:r>
          </w:p>
        </w:tc>
        <w:tc>
          <w:tcPr>
            <w:tcW w:w="1098" w:type="dxa"/>
            <w:gridSpan w:val="2"/>
            <w:tcBorders>
              <w:top w:val="nil"/>
              <w:left w:val="single" w:sz="8" w:space="0" w:color="FFFFFF"/>
              <w:right w:val="single" w:sz="8" w:space="0" w:color="FFFFFF"/>
            </w:tcBorders>
            <w:shd w:val="clear" w:color="auto" w:fill="000000"/>
          </w:tcPr>
          <w:p>
            <w:pPr>
              <w:pStyle w:val="TableParagraph"/>
              <w:rPr>
                <w:b/>
                <w:sz w:val="20"/>
              </w:rPr>
            </w:pPr>
          </w:p>
          <w:p>
            <w:pPr>
              <w:pStyle w:val="TableParagraph"/>
              <w:spacing w:before="2"/>
              <w:rPr>
                <w:b/>
                <w:sz w:val="22"/>
              </w:rPr>
            </w:pPr>
          </w:p>
          <w:p>
            <w:pPr>
              <w:pStyle w:val="TableParagraph"/>
              <w:ind w:left="171"/>
              <w:rPr>
                <w:b/>
                <w:sz w:val="18"/>
              </w:rPr>
            </w:pPr>
            <w:r>
              <w:rPr>
                <w:b/>
                <w:color w:val="FFFFFF"/>
                <w:spacing w:val="-2"/>
                <w:sz w:val="18"/>
              </w:rPr>
              <w:t>Hispanic</w:t>
            </w:r>
          </w:p>
        </w:tc>
        <w:tc>
          <w:tcPr>
            <w:tcW w:w="1352" w:type="dxa"/>
            <w:gridSpan w:val="2"/>
            <w:tcBorders>
              <w:top w:val="nil"/>
              <w:left w:val="single" w:sz="8" w:space="0" w:color="FFFFFF"/>
              <w:right w:val="nil"/>
            </w:tcBorders>
            <w:shd w:val="clear" w:color="auto" w:fill="000000"/>
          </w:tcPr>
          <w:p>
            <w:pPr>
              <w:pStyle w:val="TableParagraph"/>
              <w:rPr>
                <w:b/>
                <w:sz w:val="20"/>
              </w:rPr>
            </w:pPr>
          </w:p>
          <w:p>
            <w:pPr>
              <w:pStyle w:val="TableParagraph"/>
              <w:spacing w:before="2"/>
              <w:rPr>
                <w:b/>
                <w:sz w:val="22"/>
              </w:rPr>
            </w:pPr>
          </w:p>
          <w:p>
            <w:pPr>
              <w:pStyle w:val="TableParagraph"/>
              <w:ind w:left="426"/>
              <w:rPr>
                <w:b/>
                <w:sz w:val="18"/>
              </w:rPr>
            </w:pPr>
            <w:r>
              <w:rPr>
                <w:b/>
                <w:color w:val="FFFFFF"/>
                <w:spacing w:val="-2"/>
                <w:sz w:val="18"/>
              </w:rPr>
              <w:t>White</w:t>
            </w:r>
          </w:p>
        </w:tc>
      </w:tr>
      <w:tr>
        <w:trPr>
          <w:trHeight w:val="239" w:hRule="atLeast"/>
        </w:trPr>
        <w:tc>
          <w:tcPr>
            <w:tcW w:w="1066" w:type="dxa"/>
            <w:tcBorders>
              <w:left w:val="single" w:sz="8" w:space="0" w:color="000000"/>
              <w:right w:val="single" w:sz="8" w:space="0" w:color="000000"/>
            </w:tcBorders>
          </w:tcPr>
          <w:p>
            <w:pPr>
              <w:pStyle w:val="TableParagraph"/>
              <w:spacing w:line="204" w:lineRule="exact"/>
              <w:ind w:left="107"/>
              <w:rPr>
                <w:b/>
                <w:sz w:val="18"/>
              </w:rPr>
            </w:pPr>
            <w:r>
              <w:rPr>
                <w:b/>
                <w:w w:val="95"/>
                <w:sz w:val="18"/>
              </w:rPr>
              <w:t>2013-</w:t>
            </w:r>
            <w:r>
              <w:rPr>
                <w:b/>
                <w:spacing w:val="-5"/>
                <w:w w:val="95"/>
                <w:sz w:val="18"/>
              </w:rPr>
              <w:t>14</w:t>
            </w:r>
          </w:p>
        </w:tc>
        <w:tc>
          <w:tcPr>
            <w:tcW w:w="1289" w:type="dxa"/>
            <w:tcBorders>
              <w:left w:val="single" w:sz="8" w:space="0" w:color="000000"/>
              <w:right w:val="single" w:sz="8" w:space="0" w:color="000000"/>
            </w:tcBorders>
          </w:tcPr>
          <w:p>
            <w:pPr>
              <w:pStyle w:val="TableParagraph"/>
              <w:spacing w:before="1"/>
              <w:ind w:left="112" w:right="92"/>
              <w:jc w:val="center"/>
              <w:rPr>
                <w:sz w:val="18"/>
              </w:rPr>
            </w:pPr>
            <w:r>
              <w:rPr>
                <w:spacing w:val="-5"/>
                <w:sz w:val="18"/>
              </w:rPr>
              <w:t>125</w:t>
            </w:r>
          </w:p>
        </w:tc>
        <w:tc>
          <w:tcPr>
            <w:tcW w:w="720" w:type="dxa"/>
            <w:tcBorders>
              <w:left w:val="single" w:sz="8" w:space="0" w:color="000000"/>
            </w:tcBorders>
          </w:tcPr>
          <w:p>
            <w:pPr>
              <w:pStyle w:val="TableParagraph"/>
              <w:spacing w:before="1"/>
              <w:ind w:left="198" w:right="180"/>
              <w:jc w:val="center"/>
              <w:rPr>
                <w:sz w:val="18"/>
              </w:rPr>
            </w:pPr>
            <w:r>
              <w:rPr>
                <w:spacing w:val="-5"/>
                <w:sz w:val="18"/>
              </w:rPr>
              <w:t>71</w:t>
            </w:r>
          </w:p>
        </w:tc>
        <w:tc>
          <w:tcPr>
            <w:tcW w:w="754" w:type="dxa"/>
            <w:tcBorders>
              <w:right w:val="single" w:sz="8" w:space="0" w:color="000000"/>
            </w:tcBorders>
          </w:tcPr>
          <w:p>
            <w:pPr>
              <w:pStyle w:val="TableParagraph"/>
              <w:spacing w:before="1"/>
              <w:ind w:left="186" w:right="167"/>
              <w:jc w:val="center"/>
              <w:rPr>
                <w:sz w:val="18"/>
              </w:rPr>
            </w:pPr>
            <w:r>
              <w:rPr>
                <w:spacing w:val="-5"/>
                <w:sz w:val="18"/>
              </w:rPr>
              <w:t>57%</w:t>
            </w:r>
          </w:p>
        </w:tc>
        <w:tc>
          <w:tcPr>
            <w:tcW w:w="598" w:type="dxa"/>
            <w:tcBorders>
              <w:left w:val="single" w:sz="8" w:space="0" w:color="000000"/>
            </w:tcBorders>
          </w:tcPr>
          <w:p>
            <w:pPr>
              <w:pStyle w:val="TableParagraph"/>
              <w:spacing w:before="1"/>
              <w:ind w:left="103" w:right="89"/>
              <w:jc w:val="center"/>
              <w:rPr>
                <w:sz w:val="18"/>
              </w:rPr>
            </w:pPr>
            <w:r>
              <w:rPr>
                <w:spacing w:val="-5"/>
                <w:sz w:val="18"/>
              </w:rPr>
              <w:t>54</w:t>
            </w:r>
          </w:p>
        </w:tc>
        <w:tc>
          <w:tcPr>
            <w:tcW w:w="809" w:type="dxa"/>
            <w:tcBorders>
              <w:right w:val="single" w:sz="8" w:space="0" w:color="000000"/>
            </w:tcBorders>
          </w:tcPr>
          <w:p>
            <w:pPr>
              <w:pStyle w:val="TableParagraph"/>
              <w:spacing w:before="1"/>
              <w:ind w:left="209" w:right="198"/>
              <w:jc w:val="center"/>
              <w:rPr>
                <w:sz w:val="18"/>
              </w:rPr>
            </w:pPr>
            <w:r>
              <w:rPr>
                <w:spacing w:val="-5"/>
                <w:sz w:val="18"/>
              </w:rPr>
              <w:t>43%</w:t>
            </w:r>
          </w:p>
        </w:tc>
        <w:tc>
          <w:tcPr>
            <w:tcW w:w="631" w:type="dxa"/>
            <w:tcBorders>
              <w:left w:val="single" w:sz="8" w:space="0" w:color="000000"/>
            </w:tcBorders>
          </w:tcPr>
          <w:p>
            <w:pPr>
              <w:pStyle w:val="TableParagraph"/>
              <w:spacing w:before="1"/>
              <w:ind w:right="246"/>
              <w:jc w:val="right"/>
              <w:rPr>
                <w:sz w:val="18"/>
              </w:rPr>
            </w:pPr>
            <w:r>
              <w:rPr>
                <w:w w:val="99"/>
                <w:sz w:val="18"/>
              </w:rPr>
              <w:t>5</w:t>
            </w:r>
          </w:p>
        </w:tc>
        <w:tc>
          <w:tcPr>
            <w:tcW w:w="629" w:type="dxa"/>
            <w:tcBorders>
              <w:right w:val="single" w:sz="8" w:space="0" w:color="000000"/>
            </w:tcBorders>
          </w:tcPr>
          <w:p>
            <w:pPr>
              <w:pStyle w:val="TableParagraph"/>
              <w:spacing w:before="1"/>
              <w:ind w:left="168" w:right="155"/>
              <w:jc w:val="center"/>
              <w:rPr>
                <w:sz w:val="18"/>
              </w:rPr>
            </w:pPr>
            <w:r>
              <w:rPr>
                <w:spacing w:val="-5"/>
                <w:sz w:val="18"/>
              </w:rPr>
              <w:t>4%</w:t>
            </w:r>
          </w:p>
        </w:tc>
        <w:tc>
          <w:tcPr>
            <w:tcW w:w="727" w:type="dxa"/>
            <w:tcBorders>
              <w:left w:val="single" w:sz="8" w:space="0" w:color="000000"/>
            </w:tcBorders>
          </w:tcPr>
          <w:p>
            <w:pPr>
              <w:pStyle w:val="TableParagraph"/>
              <w:spacing w:before="1"/>
              <w:ind w:left="202" w:right="184"/>
              <w:jc w:val="center"/>
              <w:rPr>
                <w:sz w:val="18"/>
              </w:rPr>
            </w:pPr>
            <w:r>
              <w:rPr>
                <w:spacing w:val="-5"/>
                <w:sz w:val="18"/>
              </w:rPr>
              <w:t>110</w:t>
            </w:r>
          </w:p>
        </w:tc>
        <w:tc>
          <w:tcPr>
            <w:tcW w:w="696" w:type="dxa"/>
            <w:tcBorders>
              <w:right w:val="single" w:sz="8" w:space="0" w:color="000000"/>
            </w:tcBorders>
          </w:tcPr>
          <w:p>
            <w:pPr>
              <w:pStyle w:val="TableParagraph"/>
              <w:spacing w:before="1"/>
              <w:ind w:left="156" w:right="138"/>
              <w:jc w:val="center"/>
              <w:rPr>
                <w:sz w:val="18"/>
              </w:rPr>
            </w:pPr>
            <w:r>
              <w:rPr>
                <w:spacing w:val="-5"/>
                <w:sz w:val="18"/>
              </w:rPr>
              <w:t>88%</w:t>
            </w:r>
          </w:p>
        </w:tc>
        <w:tc>
          <w:tcPr>
            <w:tcW w:w="394" w:type="dxa"/>
            <w:tcBorders>
              <w:left w:val="single" w:sz="8" w:space="0" w:color="000000"/>
            </w:tcBorders>
          </w:tcPr>
          <w:p>
            <w:pPr>
              <w:pStyle w:val="TableParagraph"/>
              <w:spacing w:before="1"/>
              <w:ind w:left="15"/>
              <w:jc w:val="center"/>
              <w:rPr>
                <w:sz w:val="18"/>
              </w:rPr>
            </w:pPr>
            <w:r>
              <w:rPr>
                <w:w w:val="99"/>
                <w:sz w:val="18"/>
              </w:rPr>
              <w:t>2</w:t>
            </w:r>
          </w:p>
        </w:tc>
        <w:tc>
          <w:tcPr>
            <w:tcW w:w="704" w:type="dxa"/>
            <w:tcBorders>
              <w:right w:val="single" w:sz="8" w:space="0" w:color="000000"/>
            </w:tcBorders>
          </w:tcPr>
          <w:p>
            <w:pPr>
              <w:pStyle w:val="TableParagraph"/>
              <w:spacing w:before="1"/>
              <w:ind w:left="206" w:right="192"/>
              <w:jc w:val="center"/>
              <w:rPr>
                <w:sz w:val="18"/>
              </w:rPr>
            </w:pPr>
            <w:r>
              <w:rPr>
                <w:spacing w:val="-5"/>
                <w:sz w:val="18"/>
              </w:rPr>
              <w:t>2%</w:t>
            </w:r>
          </w:p>
        </w:tc>
        <w:tc>
          <w:tcPr>
            <w:tcW w:w="658" w:type="dxa"/>
            <w:tcBorders>
              <w:left w:val="single" w:sz="8" w:space="0" w:color="000000"/>
            </w:tcBorders>
          </w:tcPr>
          <w:p>
            <w:pPr>
              <w:pStyle w:val="TableParagraph"/>
              <w:spacing w:before="1"/>
              <w:ind w:left="275"/>
              <w:rPr>
                <w:sz w:val="18"/>
              </w:rPr>
            </w:pPr>
            <w:r>
              <w:rPr>
                <w:w w:val="99"/>
                <w:sz w:val="18"/>
              </w:rPr>
              <w:t>8</w:t>
            </w:r>
          </w:p>
        </w:tc>
        <w:tc>
          <w:tcPr>
            <w:tcW w:w="694" w:type="dxa"/>
            <w:tcBorders>
              <w:right w:val="single" w:sz="8" w:space="0" w:color="000000"/>
            </w:tcBorders>
          </w:tcPr>
          <w:p>
            <w:pPr>
              <w:pStyle w:val="TableParagraph"/>
              <w:spacing w:before="1"/>
              <w:ind w:left="152" w:right="140"/>
              <w:jc w:val="center"/>
              <w:rPr>
                <w:sz w:val="18"/>
              </w:rPr>
            </w:pPr>
            <w:r>
              <w:rPr>
                <w:spacing w:val="-5"/>
                <w:sz w:val="18"/>
              </w:rPr>
              <w:t>6%</w:t>
            </w:r>
          </w:p>
        </w:tc>
      </w:tr>
      <w:tr>
        <w:trPr>
          <w:trHeight w:val="237" w:hRule="atLeast"/>
        </w:trPr>
        <w:tc>
          <w:tcPr>
            <w:tcW w:w="1066" w:type="dxa"/>
            <w:tcBorders>
              <w:left w:val="single" w:sz="8" w:space="0" w:color="000000"/>
              <w:right w:val="single" w:sz="8" w:space="0" w:color="000000"/>
            </w:tcBorders>
          </w:tcPr>
          <w:p>
            <w:pPr>
              <w:pStyle w:val="TableParagraph"/>
              <w:spacing w:line="201" w:lineRule="exact"/>
              <w:ind w:left="107"/>
              <w:rPr>
                <w:b/>
                <w:sz w:val="18"/>
              </w:rPr>
            </w:pPr>
            <w:r>
              <w:rPr>
                <w:b/>
                <w:w w:val="95"/>
                <w:sz w:val="18"/>
              </w:rPr>
              <w:t>2012-</w:t>
            </w:r>
            <w:r>
              <w:rPr>
                <w:b/>
                <w:spacing w:val="-5"/>
                <w:w w:val="95"/>
                <w:sz w:val="18"/>
              </w:rPr>
              <w:t>13</w:t>
            </w:r>
          </w:p>
        </w:tc>
        <w:tc>
          <w:tcPr>
            <w:tcW w:w="1289" w:type="dxa"/>
            <w:tcBorders>
              <w:left w:val="single" w:sz="8" w:space="0" w:color="000000"/>
              <w:right w:val="single" w:sz="8" w:space="0" w:color="000000"/>
            </w:tcBorders>
          </w:tcPr>
          <w:p>
            <w:pPr>
              <w:pStyle w:val="TableParagraph"/>
              <w:spacing w:line="206" w:lineRule="exact"/>
              <w:ind w:left="112" w:right="92"/>
              <w:jc w:val="center"/>
              <w:rPr>
                <w:sz w:val="18"/>
              </w:rPr>
            </w:pPr>
            <w:r>
              <w:rPr>
                <w:spacing w:val="-5"/>
                <w:sz w:val="18"/>
              </w:rPr>
              <w:t>141</w:t>
            </w:r>
          </w:p>
        </w:tc>
        <w:tc>
          <w:tcPr>
            <w:tcW w:w="720" w:type="dxa"/>
            <w:tcBorders>
              <w:left w:val="single" w:sz="8" w:space="0" w:color="000000"/>
            </w:tcBorders>
          </w:tcPr>
          <w:p>
            <w:pPr>
              <w:pStyle w:val="TableParagraph"/>
              <w:spacing w:line="206" w:lineRule="exact"/>
              <w:ind w:left="198" w:right="180"/>
              <w:jc w:val="center"/>
              <w:rPr>
                <w:sz w:val="18"/>
              </w:rPr>
            </w:pPr>
            <w:r>
              <w:rPr>
                <w:spacing w:val="-5"/>
                <w:sz w:val="18"/>
              </w:rPr>
              <w:t>82</w:t>
            </w:r>
          </w:p>
        </w:tc>
        <w:tc>
          <w:tcPr>
            <w:tcW w:w="754" w:type="dxa"/>
            <w:tcBorders>
              <w:right w:val="single" w:sz="8" w:space="0" w:color="000000"/>
            </w:tcBorders>
          </w:tcPr>
          <w:p>
            <w:pPr>
              <w:pStyle w:val="TableParagraph"/>
              <w:spacing w:line="206" w:lineRule="exact"/>
              <w:ind w:left="186" w:right="167"/>
              <w:jc w:val="center"/>
              <w:rPr>
                <w:sz w:val="18"/>
              </w:rPr>
            </w:pPr>
            <w:r>
              <w:rPr>
                <w:spacing w:val="-5"/>
                <w:sz w:val="18"/>
              </w:rPr>
              <w:t>58%</w:t>
            </w:r>
          </w:p>
        </w:tc>
        <w:tc>
          <w:tcPr>
            <w:tcW w:w="598" w:type="dxa"/>
            <w:tcBorders>
              <w:left w:val="single" w:sz="8" w:space="0" w:color="000000"/>
            </w:tcBorders>
          </w:tcPr>
          <w:p>
            <w:pPr>
              <w:pStyle w:val="TableParagraph"/>
              <w:spacing w:line="206" w:lineRule="exact"/>
              <w:ind w:left="103" w:right="89"/>
              <w:jc w:val="center"/>
              <w:rPr>
                <w:sz w:val="18"/>
              </w:rPr>
            </w:pPr>
            <w:r>
              <w:rPr>
                <w:spacing w:val="-5"/>
                <w:sz w:val="18"/>
              </w:rPr>
              <w:t>59</w:t>
            </w:r>
          </w:p>
        </w:tc>
        <w:tc>
          <w:tcPr>
            <w:tcW w:w="809" w:type="dxa"/>
            <w:tcBorders>
              <w:right w:val="single" w:sz="8" w:space="0" w:color="000000"/>
            </w:tcBorders>
          </w:tcPr>
          <w:p>
            <w:pPr>
              <w:pStyle w:val="TableParagraph"/>
              <w:spacing w:line="206" w:lineRule="exact"/>
              <w:ind w:left="209" w:right="198"/>
              <w:jc w:val="center"/>
              <w:rPr>
                <w:sz w:val="18"/>
              </w:rPr>
            </w:pPr>
            <w:r>
              <w:rPr>
                <w:spacing w:val="-5"/>
                <w:sz w:val="18"/>
              </w:rPr>
              <w:t>42%</w:t>
            </w:r>
          </w:p>
        </w:tc>
        <w:tc>
          <w:tcPr>
            <w:tcW w:w="631" w:type="dxa"/>
            <w:tcBorders>
              <w:left w:val="single" w:sz="8" w:space="0" w:color="000000"/>
            </w:tcBorders>
          </w:tcPr>
          <w:p>
            <w:pPr>
              <w:pStyle w:val="TableParagraph"/>
              <w:spacing w:line="206" w:lineRule="exact"/>
              <w:ind w:right="246"/>
              <w:jc w:val="right"/>
              <w:rPr>
                <w:sz w:val="18"/>
              </w:rPr>
            </w:pPr>
            <w:r>
              <w:rPr>
                <w:w w:val="99"/>
                <w:sz w:val="18"/>
              </w:rPr>
              <w:t>6</w:t>
            </w:r>
          </w:p>
        </w:tc>
        <w:tc>
          <w:tcPr>
            <w:tcW w:w="629" w:type="dxa"/>
            <w:tcBorders>
              <w:right w:val="single" w:sz="8" w:space="0" w:color="000000"/>
            </w:tcBorders>
          </w:tcPr>
          <w:p>
            <w:pPr>
              <w:pStyle w:val="TableParagraph"/>
              <w:spacing w:line="206" w:lineRule="exact"/>
              <w:ind w:left="168" w:right="155"/>
              <w:jc w:val="center"/>
              <w:rPr>
                <w:sz w:val="18"/>
              </w:rPr>
            </w:pPr>
            <w:r>
              <w:rPr>
                <w:spacing w:val="-5"/>
                <w:sz w:val="18"/>
              </w:rPr>
              <w:t>4%</w:t>
            </w:r>
          </w:p>
        </w:tc>
        <w:tc>
          <w:tcPr>
            <w:tcW w:w="727" w:type="dxa"/>
            <w:tcBorders>
              <w:left w:val="single" w:sz="8" w:space="0" w:color="000000"/>
            </w:tcBorders>
          </w:tcPr>
          <w:p>
            <w:pPr>
              <w:pStyle w:val="TableParagraph"/>
              <w:spacing w:line="206" w:lineRule="exact"/>
              <w:ind w:left="202" w:right="184"/>
              <w:jc w:val="center"/>
              <w:rPr>
                <w:sz w:val="18"/>
              </w:rPr>
            </w:pPr>
            <w:r>
              <w:rPr>
                <w:spacing w:val="-5"/>
                <w:sz w:val="18"/>
              </w:rPr>
              <w:t>123</w:t>
            </w:r>
          </w:p>
        </w:tc>
        <w:tc>
          <w:tcPr>
            <w:tcW w:w="696" w:type="dxa"/>
            <w:tcBorders>
              <w:right w:val="single" w:sz="8" w:space="0" w:color="000000"/>
            </w:tcBorders>
          </w:tcPr>
          <w:p>
            <w:pPr>
              <w:pStyle w:val="TableParagraph"/>
              <w:spacing w:line="206" w:lineRule="exact"/>
              <w:ind w:left="156" w:right="138"/>
              <w:jc w:val="center"/>
              <w:rPr>
                <w:sz w:val="18"/>
              </w:rPr>
            </w:pPr>
            <w:r>
              <w:rPr>
                <w:spacing w:val="-5"/>
                <w:sz w:val="18"/>
              </w:rPr>
              <w:t>87%</w:t>
            </w:r>
          </w:p>
        </w:tc>
        <w:tc>
          <w:tcPr>
            <w:tcW w:w="394" w:type="dxa"/>
            <w:tcBorders>
              <w:left w:val="single" w:sz="8" w:space="0" w:color="000000"/>
            </w:tcBorders>
          </w:tcPr>
          <w:p>
            <w:pPr>
              <w:pStyle w:val="TableParagraph"/>
              <w:spacing w:line="206" w:lineRule="exact"/>
              <w:ind w:left="15"/>
              <w:jc w:val="center"/>
              <w:rPr>
                <w:sz w:val="18"/>
              </w:rPr>
            </w:pPr>
            <w:r>
              <w:rPr>
                <w:w w:val="99"/>
                <w:sz w:val="18"/>
              </w:rPr>
              <w:t>0</w:t>
            </w:r>
          </w:p>
        </w:tc>
        <w:tc>
          <w:tcPr>
            <w:tcW w:w="704" w:type="dxa"/>
            <w:tcBorders>
              <w:right w:val="single" w:sz="8" w:space="0" w:color="000000"/>
            </w:tcBorders>
          </w:tcPr>
          <w:p>
            <w:pPr>
              <w:pStyle w:val="TableParagraph"/>
              <w:spacing w:line="206" w:lineRule="exact"/>
              <w:ind w:left="206" w:right="192"/>
              <w:jc w:val="center"/>
              <w:rPr>
                <w:sz w:val="18"/>
              </w:rPr>
            </w:pPr>
            <w:r>
              <w:rPr>
                <w:spacing w:val="-5"/>
                <w:sz w:val="18"/>
              </w:rPr>
              <w:t>0%</w:t>
            </w:r>
          </w:p>
        </w:tc>
        <w:tc>
          <w:tcPr>
            <w:tcW w:w="658" w:type="dxa"/>
            <w:tcBorders>
              <w:left w:val="single" w:sz="8" w:space="0" w:color="000000"/>
            </w:tcBorders>
          </w:tcPr>
          <w:p>
            <w:pPr>
              <w:pStyle w:val="TableParagraph"/>
              <w:spacing w:line="206" w:lineRule="exact"/>
              <w:ind w:left="225"/>
              <w:rPr>
                <w:sz w:val="18"/>
              </w:rPr>
            </w:pPr>
            <w:r>
              <w:rPr>
                <w:spacing w:val="-5"/>
                <w:sz w:val="18"/>
              </w:rPr>
              <w:t>12</w:t>
            </w:r>
          </w:p>
        </w:tc>
        <w:tc>
          <w:tcPr>
            <w:tcW w:w="694" w:type="dxa"/>
            <w:tcBorders>
              <w:right w:val="single" w:sz="8" w:space="0" w:color="000000"/>
            </w:tcBorders>
          </w:tcPr>
          <w:p>
            <w:pPr>
              <w:pStyle w:val="TableParagraph"/>
              <w:spacing w:line="206" w:lineRule="exact"/>
              <w:ind w:left="152" w:right="140"/>
              <w:jc w:val="center"/>
              <w:rPr>
                <w:sz w:val="18"/>
              </w:rPr>
            </w:pPr>
            <w:r>
              <w:rPr>
                <w:spacing w:val="-5"/>
                <w:sz w:val="18"/>
              </w:rPr>
              <w:t>9%</w:t>
            </w:r>
          </w:p>
        </w:tc>
      </w:tr>
      <w:tr>
        <w:trPr>
          <w:trHeight w:val="237" w:hRule="atLeast"/>
        </w:trPr>
        <w:tc>
          <w:tcPr>
            <w:tcW w:w="1066" w:type="dxa"/>
            <w:tcBorders>
              <w:left w:val="single" w:sz="8" w:space="0" w:color="000000"/>
              <w:right w:val="single" w:sz="8" w:space="0" w:color="000000"/>
            </w:tcBorders>
          </w:tcPr>
          <w:p>
            <w:pPr>
              <w:pStyle w:val="TableParagraph"/>
              <w:spacing w:line="201" w:lineRule="exact"/>
              <w:ind w:left="107"/>
              <w:rPr>
                <w:b/>
                <w:sz w:val="18"/>
              </w:rPr>
            </w:pPr>
            <w:r>
              <w:rPr>
                <w:b/>
                <w:w w:val="95"/>
                <w:sz w:val="18"/>
              </w:rPr>
              <w:t>2011-</w:t>
            </w:r>
            <w:r>
              <w:rPr>
                <w:b/>
                <w:spacing w:val="-5"/>
                <w:w w:val="95"/>
                <w:sz w:val="18"/>
              </w:rPr>
              <w:t>12</w:t>
            </w:r>
          </w:p>
        </w:tc>
        <w:tc>
          <w:tcPr>
            <w:tcW w:w="1289" w:type="dxa"/>
            <w:tcBorders>
              <w:left w:val="single" w:sz="8" w:space="0" w:color="000000"/>
              <w:right w:val="single" w:sz="8" w:space="0" w:color="000000"/>
            </w:tcBorders>
          </w:tcPr>
          <w:p>
            <w:pPr>
              <w:pStyle w:val="TableParagraph"/>
              <w:spacing w:line="206" w:lineRule="exact"/>
              <w:ind w:left="112" w:right="92"/>
              <w:jc w:val="center"/>
              <w:rPr>
                <w:sz w:val="18"/>
              </w:rPr>
            </w:pPr>
            <w:r>
              <w:rPr>
                <w:spacing w:val="-5"/>
                <w:sz w:val="18"/>
              </w:rPr>
              <w:t>156</w:t>
            </w:r>
          </w:p>
        </w:tc>
        <w:tc>
          <w:tcPr>
            <w:tcW w:w="720" w:type="dxa"/>
            <w:tcBorders>
              <w:left w:val="single" w:sz="8" w:space="0" w:color="000000"/>
            </w:tcBorders>
          </w:tcPr>
          <w:p>
            <w:pPr>
              <w:pStyle w:val="TableParagraph"/>
              <w:spacing w:line="206" w:lineRule="exact"/>
              <w:ind w:left="198" w:right="180"/>
              <w:jc w:val="center"/>
              <w:rPr>
                <w:sz w:val="18"/>
              </w:rPr>
            </w:pPr>
            <w:r>
              <w:rPr>
                <w:spacing w:val="-5"/>
                <w:sz w:val="18"/>
              </w:rPr>
              <w:t>90</w:t>
            </w:r>
          </w:p>
        </w:tc>
        <w:tc>
          <w:tcPr>
            <w:tcW w:w="754" w:type="dxa"/>
            <w:tcBorders>
              <w:right w:val="single" w:sz="8" w:space="0" w:color="000000"/>
            </w:tcBorders>
          </w:tcPr>
          <w:p>
            <w:pPr>
              <w:pStyle w:val="TableParagraph"/>
              <w:spacing w:line="206" w:lineRule="exact"/>
              <w:ind w:left="186" w:right="167"/>
              <w:jc w:val="center"/>
              <w:rPr>
                <w:sz w:val="18"/>
              </w:rPr>
            </w:pPr>
            <w:r>
              <w:rPr>
                <w:spacing w:val="-5"/>
                <w:sz w:val="18"/>
              </w:rPr>
              <w:t>58%</w:t>
            </w:r>
          </w:p>
        </w:tc>
        <w:tc>
          <w:tcPr>
            <w:tcW w:w="598" w:type="dxa"/>
            <w:tcBorders>
              <w:left w:val="single" w:sz="8" w:space="0" w:color="000000"/>
            </w:tcBorders>
          </w:tcPr>
          <w:p>
            <w:pPr>
              <w:pStyle w:val="TableParagraph"/>
              <w:spacing w:line="206" w:lineRule="exact"/>
              <w:ind w:left="103" w:right="89"/>
              <w:jc w:val="center"/>
              <w:rPr>
                <w:sz w:val="18"/>
              </w:rPr>
            </w:pPr>
            <w:r>
              <w:rPr>
                <w:spacing w:val="-5"/>
                <w:sz w:val="18"/>
              </w:rPr>
              <w:t>66</w:t>
            </w:r>
          </w:p>
        </w:tc>
        <w:tc>
          <w:tcPr>
            <w:tcW w:w="809" w:type="dxa"/>
            <w:tcBorders>
              <w:right w:val="single" w:sz="8" w:space="0" w:color="000000"/>
            </w:tcBorders>
          </w:tcPr>
          <w:p>
            <w:pPr>
              <w:pStyle w:val="TableParagraph"/>
              <w:spacing w:line="206" w:lineRule="exact"/>
              <w:ind w:left="209" w:right="198"/>
              <w:jc w:val="center"/>
              <w:rPr>
                <w:sz w:val="18"/>
              </w:rPr>
            </w:pPr>
            <w:r>
              <w:rPr>
                <w:spacing w:val="-5"/>
                <w:sz w:val="18"/>
              </w:rPr>
              <w:t>42%</w:t>
            </w:r>
          </w:p>
        </w:tc>
        <w:tc>
          <w:tcPr>
            <w:tcW w:w="631" w:type="dxa"/>
            <w:tcBorders>
              <w:left w:val="single" w:sz="8" w:space="0" w:color="000000"/>
            </w:tcBorders>
          </w:tcPr>
          <w:p>
            <w:pPr>
              <w:pStyle w:val="TableParagraph"/>
              <w:spacing w:line="206" w:lineRule="exact"/>
              <w:ind w:right="246"/>
              <w:jc w:val="right"/>
              <w:rPr>
                <w:sz w:val="18"/>
              </w:rPr>
            </w:pPr>
            <w:r>
              <w:rPr>
                <w:w w:val="99"/>
                <w:sz w:val="18"/>
              </w:rPr>
              <w:t>4</w:t>
            </w:r>
          </w:p>
        </w:tc>
        <w:tc>
          <w:tcPr>
            <w:tcW w:w="629" w:type="dxa"/>
            <w:tcBorders>
              <w:right w:val="single" w:sz="8" w:space="0" w:color="000000"/>
            </w:tcBorders>
          </w:tcPr>
          <w:p>
            <w:pPr>
              <w:pStyle w:val="TableParagraph"/>
              <w:spacing w:line="206" w:lineRule="exact"/>
              <w:ind w:left="168" w:right="155"/>
              <w:jc w:val="center"/>
              <w:rPr>
                <w:sz w:val="18"/>
              </w:rPr>
            </w:pPr>
            <w:r>
              <w:rPr>
                <w:spacing w:val="-5"/>
                <w:sz w:val="18"/>
              </w:rPr>
              <w:t>3%</w:t>
            </w:r>
          </w:p>
        </w:tc>
        <w:tc>
          <w:tcPr>
            <w:tcW w:w="727" w:type="dxa"/>
            <w:tcBorders>
              <w:left w:val="single" w:sz="8" w:space="0" w:color="000000"/>
            </w:tcBorders>
          </w:tcPr>
          <w:p>
            <w:pPr>
              <w:pStyle w:val="TableParagraph"/>
              <w:spacing w:line="206" w:lineRule="exact"/>
              <w:ind w:left="202" w:right="184"/>
              <w:jc w:val="center"/>
              <w:rPr>
                <w:sz w:val="18"/>
              </w:rPr>
            </w:pPr>
            <w:r>
              <w:rPr>
                <w:spacing w:val="-5"/>
                <w:sz w:val="18"/>
              </w:rPr>
              <w:t>135</w:t>
            </w:r>
          </w:p>
        </w:tc>
        <w:tc>
          <w:tcPr>
            <w:tcW w:w="696" w:type="dxa"/>
            <w:tcBorders>
              <w:right w:val="single" w:sz="8" w:space="0" w:color="000000"/>
            </w:tcBorders>
          </w:tcPr>
          <w:p>
            <w:pPr>
              <w:pStyle w:val="TableParagraph"/>
              <w:spacing w:line="206" w:lineRule="exact"/>
              <w:ind w:left="156" w:right="138"/>
              <w:jc w:val="center"/>
              <w:rPr>
                <w:sz w:val="18"/>
              </w:rPr>
            </w:pPr>
            <w:r>
              <w:rPr>
                <w:spacing w:val="-5"/>
                <w:sz w:val="18"/>
              </w:rPr>
              <w:t>87%</w:t>
            </w:r>
          </w:p>
        </w:tc>
        <w:tc>
          <w:tcPr>
            <w:tcW w:w="394" w:type="dxa"/>
            <w:tcBorders>
              <w:left w:val="single" w:sz="8" w:space="0" w:color="000000"/>
            </w:tcBorders>
          </w:tcPr>
          <w:p>
            <w:pPr>
              <w:pStyle w:val="TableParagraph"/>
              <w:spacing w:line="206" w:lineRule="exact"/>
              <w:ind w:left="15"/>
              <w:jc w:val="center"/>
              <w:rPr>
                <w:sz w:val="18"/>
              </w:rPr>
            </w:pPr>
            <w:r>
              <w:rPr>
                <w:w w:val="99"/>
                <w:sz w:val="18"/>
              </w:rPr>
              <w:t>3</w:t>
            </w:r>
          </w:p>
        </w:tc>
        <w:tc>
          <w:tcPr>
            <w:tcW w:w="704" w:type="dxa"/>
            <w:tcBorders>
              <w:right w:val="single" w:sz="8" w:space="0" w:color="000000"/>
            </w:tcBorders>
          </w:tcPr>
          <w:p>
            <w:pPr>
              <w:pStyle w:val="TableParagraph"/>
              <w:spacing w:line="206" w:lineRule="exact"/>
              <w:ind w:left="206" w:right="192"/>
              <w:jc w:val="center"/>
              <w:rPr>
                <w:sz w:val="18"/>
              </w:rPr>
            </w:pPr>
            <w:r>
              <w:rPr>
                <w:spacing w:val="-5"/>
                <w:sz w:val="18"/>
              </w:rPr>
              <w:t>2%</w:t>
            </w:r>
          </w:p>
        </w:tc>
        <w:tc>
          <w:tcPr>
            <w:tcW w:w="658" w:type="dxa"/>
            <w:tcBorders>
              <w:left w:val="single" w:sz="8" w:space="0" w:color="000000"/>
            </w:tcBorders>
          </w:tcPr>
          <w:p>
            <w:pPr>
              <w:pStyle w:val="TableParagraph"/>
              <w:spacing w:line="206" w:lineRule="exact"/>
              <w:ind w:left="225"/>
              <w:rPr>
                <w:sz w:val="18"/>
              </w:rPr>
            </w:pPr>
            <w:r>
              <w:rPr>
                <w:spacing w:val="-5"/>
                <w:sz w:val="18"/>
              </w:rPr>
              <w:t>14</w:t>
            </w:r>
          </w:p>
        </w:tc>
        <w:tc>
          <w:tcPr>
            <w:tcW w:w="694" w:type="dxa"/>
            <w:tcBorders>
              <w:right w:val="single" w:sz="8" w:space="0" w:color="000000"/>
            </w:tcBorders>
          </w:tcPr>
          <w:p>
            <w:pPr>
              <w:pStyle w:val="TableParagraph"/>
              <w:spacing w:line="206" w:lineRule="exact"/>
              <w:ind w:left="152" w:right="140"/>
              <w:jc w:val="center"/>
              <w:rPr>
                <w:sz w:val="18"/>
              </w:rPr>
            </w:pPr>
            <w:r>
              <w:rPr>
                <w:spacing w:val="-5"/>
                <w:sz w:val="18"/>
              </w:rPr>
              <w:t>9%</w:t>
            </w:r>
          </w:p>
        </w:tc>
      </w:tr>
      <w:tr>
        <w:trPr>
          <w:trHeight w:val="239" w:hRule="atLeast"/>
        </w:trPr>
        <w:tc>
          <w:tcPr>
            <w:tcW w:w="1066" w:type="dxa"/>
            <w:tcBorders>
              <w:left w:val="single" w:sz="8" w:space="0" w:color="000000"/>
              <w:right w:val="single" w:sz="8" w:space="0" w:color="000000"/>
            </w:tcBorders>
          </w:tcPr>
          <w:p>
            <w:pPr>
              <w:pStyle w:val="TableParagraph"/>
              <w:spacing w:line="204" w:lineRule="exact"/>
              <w:ind w:left="107"/>
              <w:rPr>
                <w:b/>
                <w:sz w:val="18"/>
              </w:rPr>
            </w:pPr>
            <w:r>
              <w:rPr>
                <w:b/>
                <w:w w:val="95"/>
                <w:sz w:val="18"/>
              </w:rPr>
              <w:t>2010-</w:t>
            </w:r>
            <w:r>
              <w:rPr>
                <w:b/>
                <w:spacing w:val="-5"/>
                <w:w w:val="95"/>
                <w:sz w:val="18"/>
              </w:rPr>
              <w:t>11</w:t>
            </w:r>
          </w:p>
        </w:tc>
        <w:tc>
          <w:tcPr>
            <w:tcW w:w="1289" w:type="dxa"/>
            <w:tcBorders>
              <w:left w:val="single" w:sz="8" w:space="0" w:color="000000"/>
              <w:right w:val="single" w:sz="8" w:space="0" w:color="000000"/>
            </w:tcBorders>
          </w:tcPr>
          <w:p>
            <w:pPr>
              <w:pStyle w:val="TableParagraph"/>
              <w:spacing w:before="1"/>
              <w:ind w:left="112" w:right="92"/>
              <w:jc w:val="center"/>
              <w:rPr>
                <w:sz w:val="18"/>
              </w:rPr>
            </w:pPr>
            <w:r>
              <w:rPr>
                <w:spacing w:val="-5"/>
                <w:sz w:val="18"/>
              </w:rPr>
              <w:t>179</w:t>
            </w:r>
          </w:p>
        </w:tc>
        <w:tc>
          <w:tcPr>
            <w:tcW w:w="720" w:type="dxa"/>
            <w:tcBorders>
              <w:left w:val="single" w:sz="8" w:space="0" w:color="000000"/>
            </w:tcBorders>
          </w:tcPr>
          <w:p>
            <w:pPr>
              <w:pStyle w:val="TableParagraph"/>
              <w:spacing w:before="1"/>
              <w:ind w:left="198" w:right="180"/>
              <w:jc w:val="center"/>
              <w:rPr>
                <w:sz w:val="18"/>
              </w:rPr>
            </w:pPr>
            <w:r>
              <w:rPr>
                <w:spacing w:val="-5"/>
                <w:sz w:val="18"/>
              </w:rPr>
              <w:t>104</w:t>
            </w:r>
          </w:p>
        </w:tc>
        <w:tc>
          <w:tcPr>
            <w:tcW w:w="754" w:type="dxa"/>
            <w:tcBorders>
              <w:right w:val="single" w:sz="8" w:space="0" w:color="000000"/>
            </w:tcBorders>
          </w:tcPr>
          <w:p>
            <w:pPr>
              <w:pStyle w:val="TableParagraph"/>
              <w:spacing w:before="1"/>
              <w:ind w:left="186" w:right="167"/>
              <w:jc w:val="center"/>
              <w:rPr>
                <w:sz w:val="18"/>
              </w:rPr>
            </w:pPr>
            <w:r>
              <w:rPr>
                <w:spacing w:val="-5"/>
                <w:sz w:val="18"/>
              </w:rPr>
              <w:t>58%</w:t>
            </w:r>
          </w:p>
        </w:tc>
        <w:tc>
          <w:tcPr>
            <w:tcW w:w="598" w:type="dxa"/>
            <w:tcBorders>
              <w:left w:val="single" w:sz="8" w:space="0" w:color="000000"/>
            </w:tcBorders>
          </w:tcPr>
          <w:p>
            <w:pPr>
              <w:pStyle w:val="TableParagraph"/>
              <w:spacing w:before="1"/>
              <w:ind w:left="103" w:right="89"/>
              <w:jc w:val="center"/>
              <w:rPr>
                <w:sz w:val="18"/>
              </w:rPr>
            </w:pPr>
            <w:r>
              <w:rPr>
                <w:spacing w:val="-5"/>
                <w:sz w:val="18"/>
              </w:rPr>
              <w:t>75</w:t>
            </w:r>
          </w:p>
        </w:tc>
        <w:tc>
          <w:tcPr>
            <w:tcW w:w="809" w:type="dxa"/>
            <w:tcBorders>
              <w:right w:val="single" w:sz="8" w:space="0" w:color="000000"/>
            </w:tcBorders>
          </w:tcPr>
          <w:p>
            <w:pPr>
              <w:pStyle w:val="TableParagraph"/>
              <w:spacing w:before="1"/>
              <w:ind w:left="209" w:right="198"/>
              <w:jc w:val="center"/>
              <w:rPr>
                <w:sz w:val="18"/>
              </w:rPr>
            </w:pPr>
            <w:r>
              <w:rPr>
                <w:spacing w:val="-5"/>
                <w:sz w:val="18"/>
              </w:rPr>
              <w:t>42%</w:t>
            </w:r>
          </w:p>
        </w:tc>
        <w:tc>
          <w:tcPr>
            <w:tcW w:w="631" w:type="dxa"/>
            <w:tcBorders>
              <w:left w:val="single" w:sz="8" w:space="0" w:color="000000"/>
            </w:tcBorders>
          </w:tcPr>
          <w:p>
            <w:pPr>
              <w:pStyle w:val="TableParagraph"/>
              <w:spacing w:before="1"/>
              <w:ind w:right="246"/>
              <w:jc w:val="right"/>
              <w:rPr>
                <w:sz w:val="18"/>
              </w:rPr>
            </w:pPr>
            <w:r>
              <w:rPr>
                <w:w w:val="99"/>
                <w:sz w:val="18"/>
              </w:rPr>
              <w:t>4</w:t>
            </w:r>
          </w:p>
        </w:tc>
        <w:tc>
          <w:tcPr>
            <w:tcW w:w="629" w:type="dxa"/>
            <w:tcBorders>
              <w:right w:val="single" w:sz="8" w:space="0" w:color="000000"/>
            </w:tcBorders>
          </w:tcPr>
          <w:p>
            <w:pPr>
              <w:pStyle w:val="TableParagraph"/>
              <w:spacing w:before="1"/>
              <w:ind w:left="168" w:right="155"/>
              <w:jc w:val="center"/>
              <w:rPr>
                <w:sz w:val="18"/>
              </w:rPr>
            </w:pPr>
            <w:r>
              <w:rPr>
                <w:spacing w:val="-5"/>
                <w:sz w:val="18"/>
              </w:rPr>
              <w:t>2%</w:t>
            </w:r>
          </w:p>
        </w:tc>
        <w:tc>
          <w:tcPr>
            <w:tcW w:w="727" w:type="dxa"/>
            <w:tcBorders>
              <w:left w:val="single" w:sz="8" w:space="0" w:color="000000"/>
            </w:tcBorders>
          </w:tcPr>
          <w:p>
            <w:pPr>
              <w:pStyle w:val="TableParagraph"/>
              <w:spacing w:before="1"/>
              <w:ind w:left="202" w:right="184"/>
              <w:jc w:val="center"/>
              <w:rPr>
                <w:sz w:val="18"/>
              </w:rPr>
            </w:pPr>
            <w:r>
              <w:rPr>
                <w:spacing w:val="-5"/>
                <w:sz w:val="18"/>
              </w:rPr>
              <w:t>151</w:t>
            </w:r>
          </w:p>
        </w:tc>
        <w:tc>
          <w:tcPr>
            <w:tcW w:w="696" w:type="dxa"/>
            <w:tcBorders>
              <w:right w:val="single" w:sz="8" w:space="0" w:color="000000"/>
            </w:tcBorders>
          </w:tcPr>
          <w:p>
            <w:pPr>
              <w:pStyle w:val="TableParagraph"/>
              <w:spacing w:before="1"/>
              <w:ind w:left="156" w:right="138"/>
              <w:jc w:val="center"/>
              <w:rPr>
                <w:sz w:val="18"/>
              </w:rPr>
            </w:pPr>
            <w:r>
              <w:rPr>
                <w:spacing w:val="-5"/>
                <w:sz w:val="18"/>
              </w:rPr>
              <w:t>84%</w:t>
            </w:r>
          </w:p>
        </w:tc>
        <w:tc>
          <w:tcPr>
            <w:tcW w:w="394" w:type="dxa"/>
            <w:tcBorders>
              <w:left w:val="single" w:sz="8" w:space="0" w:color="000000"/>
            </w:tcBorders>
          </w:tcPr>
          <w:p>
            <w:pPr>
              <w:pStyle w:val="TableParagraph"/>
              <w:spacing w:before="1"/>
              <w:ind w:left="15"/>
              <w:jc w:val="center"/>
              <w:rPr>
                <w:sz w:val="18"/>
              </w:rPr>
            </w:pPr>
            <w:r>
              <w:rPr>
                <w:w w:val="99"/>
                <w:sz w:val="18"/>
              </w:rPr>
              <w:t>3</w:t>
            </w:r>
          </w:p>
        </w:tc>
        <w:tc>
          <w:tcPr>
            <w:tcW w:w="704" w:type="dxa"/>
            <w:tcBorders>
              <w:right w:val="single" w:sz="8" w:space="0" w:color="000000"/>
            </w:tcBorders>
          </w:tcPr>
          <w:p>
            <w:pPr>
              <w:pStyle w:val="TableParagraph"/>
              <w:spacing w:before="1"/>
              <w:ind w:left="206" w:right="192"/>
              <w:jc w:val="center"/>
              <w:rPr>
                <w:sz w:val="18"/>
              </w:rPr>
            </w:pPr>
            <w:r>
              <w:rPr>
                <w:spacing w:val="-5"/>
                <w:sz w:val="18"/>
              </w:rPr>
              <w:t>2%</w:t>
            </w:r>
          </w:p>
        </w:tc>
        <w:tc>
          <w:tcPr>
            <w:tcW w:w="658" w:type="dxa"/>
            <w:tcBorders>
              <w:left w:val="single" w:sz="8" w:space="0" w:color="000000"/>
            </w:tcBorders>
          </w:tcPr>
          <w:p>
            <w:pPr>
              <w:pStyle w:val="TableParagraph"/>
              <w:spacing w:before="1"/>
              <w:ind w:left="225"/>
              <w:rPr>
                <w:sz w:val="18"/>
              </w:rPr>
            </w:pPr>
            <w:r>
              <w:rPr>
                <w:spacing w:val="-5"/>
                <w:sz w:val="18"/>
              </w:rPr>
              <w:t>21</w:t>
            </w:r>
          </w:p>
        </w:tc>
        <w:tc>
          <w:tcPr>
            <w:tcW w:w="694" w:type="dxa"/>
            <w:tcBorders>
              <w:right w:val="single" w:sz="8" w:space="0" w:color="000000"/>
            </w:tcBorders>
          </w:tcPr>
          <w:p>
            <w:pPr>
              <w:pStyle w:val="TableParagraph"/>
              <w:spacing w:before="1"/>
              <w:ind w:left="152" w:right="140"/>
              <w:jc w:val="center"/>
              <w:rPr>
                <w:sz w:val="18"/>
              </w:rPr>
            </w:pPr>
            <w:r>
              <w:rPr>
                <w:spacing w:val="-5"/>
                <w:sz w:val="18"/>
              </w:rPr>
              <w:t>12%</w:t>
            </w:r>
          </w:p>
        </w:tc>
      </w:tr>
      <w:tr>
        <w:trPr>
          <w:trHeight w:val="237" w:hRule="atLeast"/>
        </w:trPr>
        <w:tc>
          <w:tcPr>
            <w:tcW w:w="1066" w:type="dxa"/>
            <w:tcBorders>
              <w:left w:val="single" w:sz="8" w:space="0" w:color="000000"/>
              <w:bottom w:val="single" w:sz="8" w:space="0" w:color="000000"/>
              <w:right w:val="single" w:sz="8" w:space="0" w:color="000000"/>
            </w:tcBorders>
          </w:tcPr>
          <w:p>
            <w:pPr>
              <w:pStyle w:val="TableParagraph"/>
              <w:spacing w:line="201" w:lineRule="exact"/>
              <w:ind w:left="107"/>
              <w:rPr>
                <w:b/>
                <w:sz w:val="18"/>
              </w:rPr>
            </w:pPr>
            <w:r>
              <w:rPr>
                <w:b/>
                <w:w w:val="95"/>
                <w:sz w:val="18"/>
              </w:rPr>
              <w:t>2009-</w:t>
            </w:r>
            <w:r>
              <w:rPr>
                <w:b/>
                <w:spacing w:val="-5"/>
                <w:w w:val="95"/>
                <w:sz w:val="18"/>
              </w:rPr>
              <w:t>10</w:t>
            </w:r>
          </w:p>
        </w:tc>
        <w:tc>
          <w:tcPr>
            <w:tcW w:w="1289" w:type="dxa"/>
            <w:tcBorders>
              <w:left w:val="single" w:sz="8" w:space="0" w:color="000000"/>
              <w:bottom w:val="single" w:sz="8" w:space="0" w:color="000000"/>
              <w:right w:val="single" w:sz="8" w:space="0" w:color="000000"/>
            </w:tcBorders>
          </w:tcPr>
          <w:p>
            <w:pPr>
              <w:pStyle w:val="TableParagraph"/>
              <w:spacing w:line="206" w:lineRule="exact"/>
              <w:ind w:left="112" w:right="92"/>
              <w:jc w:val="center"/>
              <w:rPr>
                <w:sz w:val="18"/>
              </w:rPr>
            </w:pPr>
            <w:r>
              <w:rPr>
                <w:spacing w:val="-5"/>
                <w:sz w:val="18"/>
              </w:rPr>
              <w:t>188</w:t>
            </w:r>
          </w:p>
        </w:tc>
        <w:tc>
          <w:tcPr>
            <w:tcW w:w="720" w:type="dxa"/>
            <w:tcBorders>
              <w:left w:val="single" w:sz="8" w:space="0" w:color="000000"/>
              <w:bottom w:val="single" w:sz="8" w:space="0" w:color="000000"/>
            </w:tcBorders>
          </w:tcPr>
          <w:p>
            <w:pPr>
              <w:pStyle w:val="TableParagraph"/>
              <w:spacing w:line="206" w:lineRule="exact"/>
              <w:ind w:left="198" w:right="180"/>
              <w:jc w:val="center"/>
              <w:rPr>
                <w:sz w:val="18"/>
              </w:rPr>
            </w:pPr>
            <w:r>
              <w:rPr>
                <w:spacing w:val="-5"/>
                <w:sz w:val="18"/>
              </w:rPr>
              <w:t>105</w:t>
            </w:r>
          </w:p>
        </w:tc>
        <w:tc>
          <w:tcPr>
            <w:tcW w:w="754" w:type="dxa"/>
            <w:tcBorders>
              <w:bottom w:val="single" w:sz="8" w:space="0" w:color="000000"/>
              <w:right w:val="single" w:sz="8" w:space="0" w:color="000000"/>
            </w:tcBorders>
          </w:tcPr>
          <w:p>
            <w:pPr>
              <w:pStyle w:val="TableParagraph"/>
              <w:spacing w:line="206" w:lineRule="exact"/>
              <w:ind w:left="186" w:right="167"/>
              <w:jc w:val="center"/>
              <w:rPr>
                <w:sz w:val="18"/>
              </w:rPr>
            </w:pPr>
            <w:r>
              <w:rPr>
                <w:spacing w:val="-5"/>
                <w:sz w:val="18"/>
              </w:rPr>
              <w:t>56%</w:t>
            </w:r>
          </w:p>
        </w:tc>
        <w:tc>
          <w:tcPr>
            <w:tcW w:w="598" w:type="dxa"/>
            <w:tcBorders>
              <w:left w:val="single" w:sz="8" w:space="0" w:color="000000"/>
              <w:bottom w:val="single" w:sz="8" w:space="0" w:color="000000"/>
            </w:tcBorders>
          </w:tcPr>
          <w:p>
            <w:pPr>
              <w:pStyle w:val="TableParagraph"/>
              <w:spacing w:line="206" w:lineRule="exact"/>
              <w:ind w:left="103" w:right="89"/>
              <w:jc w:val="center"/>
              <w:rPr>
                <w:sz w:val="18"/>
              </w:rPr>
            </w:pPr>
            <w:r>
              <w:rPr>
                <w:spacing w:val="-5"/>
                <w:sz w:val="18"/>
              </w:rPr>
              <w:t>83</w:t>
            </w:r>
          </w:p>
        </w:tc>
        <w:tc>
          <w:tcPr>
            <w:tcW w:w="809" w:type="dxa"/>
            <w:tcBorders>
              <w:bottom w:val="single" w:sz="8" w:space="0" w:color="000000"/>
              <w:right w:val="single" w:sz="8" w:space="0" w:color="000000"/>
            </w:tcBorders>
          </w:tcPr>
          <w:p>
            <w:pPr>
              <w:pStyle w:val="TableParagraph"/>
              <w:spacing w:line="206" w:lineRule="exact"/>
              <w:ind w:left="209" w:right="198"/>
              <w:jc w:val="center"/>
              <w:rPr>
                <w:sz w:val="18"/>
              </w:rPr>
            </w:pPr>
            <w:r>
              <w:rPr>
                <w:spacing w:val="-5"/>
                <w:sz w:val="18"/>
              </w:rPr>
              <w:t>44%</w:t>
            </w:r>
          </w:p>
        </w:tc>
        <w:tc>
          <w:tcPr>
            <w:tcW w:w="631" w:type="dxa"/>
            <w:tcBorders>
              <w:left w:val="single" w:sz="8" w:space="0" w:color="000000"/>
              <w:bottom w:val="single" w:sz="8" w:space="0" w:color="000000"/>
            </w:tcBorders>
          </w:tcPr>
          <w:p>
            <w:pPr>
              <w:pStyle w:val="TableParagraph"/>
              <w:spacing w:line="206" w:lineRule="exact"/>
              <w:ind w:right="246"/>
              <w:jc w:val="right"/>
              <w:rPr>
                <w:sz w:val="18"/>
              </w:rPr>
            </w:pPr>
            <w:r>
              <w:rPr>
                <w:w w:val="99"/>
                <w:sz w:val="18"/>
              </w:rPr>
              <w:t>1</w:t>
            </w:r>
          </w:p>
        </w:tc>
        <w:tc>
          <w:tcPr>
            <w:tcW w:w="629" w:type="dxa"/>
            <w:tcBorders>
              <w:bottom w:val="single" w:sz="8" w:space="0" w:color="000000"/>
              <w:right w:val="single" w:sz="8" w:space="0" w:color="000000"/>
            </w:tcBorders>
          </w:tcPr>
          <w:p>
            <w:pPr>
              <w:pStyle w:val="TableParagraph"/>
              <w:spacing w:line="206" w:lineRule="exact"/>
              <w:ind w:left="168" w:right="155"/>
              <w:jc w:val="center"/>
              <w:rPr>
                <w:sz w:val="18"/>
              </w:rPr>
            </w:pPr>
            <w:r>
              <w:rPr>
                <w:spacing w:val="-5"/>
                <w:sz w:val="18"/>
              </w:rPr>
              <w:t>1%</w:t>
            </w:r>
          </w:p>
        </w:tc>
        <w:tc>
          <w:tcPr>
            <w:tcW w:w="727" w:type="dxa"/>
            <w:tcBorders>
              <w:left w:val="single" w:sz="8" w:space="0" w:color="000000"/>
              <w:bottom w:val="single" w:sz="8" w:space="0" w:color="000000"/>
            </w:tcBorders>
          </w:tcPr>
          <w:p>
            <w:pPr>
              <w:pStyle w:val="TableParagraph"/>
              <w:spacing w:line="206" w:lineRule="exact"/>
              <w:ind w:left="202" w:right="184"/>
              <w:jc w:val="center"/>
              <w:rPr>
                <w:sz w:val="18"/>
              </w:rPr>
            </w:pPr>
            <w:r>
              <w:rPr>
                <w:spacing w:val="-5"/>
                <w:sz w:val="18"/>
              </w:rPr>
              <w:t>163</w:t>
            </w:r>
          </w:p>
        </w:tc>
        <w:tc>
          <w:tcPr>
            <w:tcW w:w="696" w:type="dxa"/>
            <w:tcBorders>
              <w:bottom w:val="single" w:sz="8" w:space="0" w:color="000000"/>
              <w:right w:val="nil"/>
            </w:tcBorders>
          </w:tcPr>
          <w:p>
            <w:pPr>
              <w:pStyle w:val="TableParagraph"/>
              <w:spacing w:line="206" w:lineRule="exact"/>
              <w:ind w:left="161" w:right="143"/>
              <w:jc w:val="center"/>
              <w:rPr>
                <w:sz w:val="18"/>
              </w:rPr>
            </w:pPr>
            <w:r>
              <w:rPr>
                <w:spacing w:val="-5"/>
                <w:sz w:val="18"/>
              </w:rPr>
              <w:t>87%</w:t>
            </w:r>
          </w:p>
        </w:tc>
        <w:tc>
          <w:tcPr>
            <w:tcW w:w="394" w:type="dxa"/>
            <w:tcBorders>
              <w:left w:val="nil"/>
              <w:bottom w:val="nil"/>
              <w:right w:val="nil"/>
            </w:tcBorders>
          </w:tcPr>
          <w:p>
            <w:pPr>
              <w:pStyle w:val="TableParagraph"/>
              <w:spacing w:line="206" w:lineRule="exact"/>
              <w:ind w:left="15"/>
              <w:jc w:val="center"/>
              <w:rPr>
                <w:sz w:val="18"/>
              </w:rPr>
            </w:pPr>
            <w:r>
              <w:rPr>
                <w:w w:val="99"/>
                <w:sz w:val="18"/>
              </w:rPr>
              <w:t>1</w:t>
            </w:r>
          </w:p>
        </w:tc>
        <w:tc>
          <w:tcPr>
            <w:tcW w:w="704" w:type="dxa"/>
            <w:tcBorders>
              <w:left w:val="nil"/>
              <w:bottom w:val="single" w:sz="8" w:space="0" w:color="000000"/>
              <w:right w:val="single" w:sz="8" w:space="0" w:color="000000"/>
            </w:tcBorders>
          </w:tcPr>
          <w:p>
            <w:pPr>
              <w:pStyle w:val="TableParagraph"/>
              <w:spacing w:line="206" w:lineRule="exact"/>
              <w:ind w:left="208" w:right="194"/>
              <w:jc w:val="center"/>
              <w:rPr>
                <w:sz w:val="18"/>
              </w:rPr>
            </w:pPr>
            <w:r>
              <w:rPr>
                <w:spacing w:val="-5"/>
                <w:sz w:val="18"/>
              </w:rPr>
              <w:t>1%</w:t>
            </w:r>
          </w:p>
        </w:tc>
        <w:tc>
          <w:tcPr>
            <w:tcW w:w="658" w:type="dxa"/>
            <w:tcBorders>
              <w:left w:val="single" w:sz="8" w:space="0" w:color="000000"/>
              <w:bottom w:val="single" w:sz="8" w:space="0" w:color="000000"/>
            </w:tcBorders>
          </w:tcPr>
          <w:p>
            <w:pPr>
              <w:pStyle w:val="TableParagraph"/>
              <w:spacing w:line="206" w:lineRule="exact"/>
              <w:ind w:left="225"/>
              <w:rPr>
                <w:sz w:val="18"/>
              </w:rPr>
            </w:pPr>
            <w:r>
              <w:rPr>
                <w:spacing w:val="-5"/>
                <w:sz w:val="18"/>
              </w:rPr>
              <w:t>23</w:t>
            </w:r>
          </w:p>
        </w:tc>
        <w:tc>
          <w:tcPr>
            <w:tcW w:w="694" w:type="dxa"/>
            <w:tcBorders>
              <w:bottom w:val="single" w:sz="8" w:space="0" w:color="000000"/>
              <w:right w:val="single" w:sz="8" w:space="0" w:color="000000"/>
            </w:tcBorders>
          </w:tcPr>
          <w:p>
            <w:pPr>
              <w:pStyle w:val="TableParagraph"/>
              <w:spacing w:line="206" w:lineRule="exact"/>
              <w:ind w:left="152" w:right="140"/>
              <w:jc w:val="center"/>
              <w:rPr>
                <w:sz w:val="18"/>
              </w:rPr>
            </w:pPr>
            <w:r>
              <w:rPr>
                <w:spacing w:val="-5"/>
                <w:sz w:val="18"/>
              </w:rPr>
              <w:t>12%</w:t>
            </w:r>
          </w:p>
        </w:tc>
      </w:tr>
    </w:tbl>
    <w:p>
      <w:pPr>
        <w:pStyle w:val="BodyText"/>
        <w:rPr>
          <w:b/>
          <w:sz w:val="24"/>
        </w:rPr>
      </w:pPr>
    </w:p>
    <w:p>
      <w:pPr>
        <w:pStyle w:val="BodyText"/>
        <w:spacing w:before="3"/>
        <w:rPr>
          <w:b/>
          <w:sz w:val="19"/>
        </w:rPr>
      </w:pPr>
    </w:p>
    <w:p>
      <w:pPr>
        <w:spacing w:before="0"/>
        <w:ind w:left="280" w:right="0" w:firstLine="0"/>
        <w:jc w:val="left"/>
        <w:rPr>
          <w:b/>
          <w:sz w:val="22"/>
        </w:rPr>
      </w:pPr>
      <w:r>
        <w:rPr/>
        <w:drawing>
          <wp:anchor distT="0" distB="0" distL="0" distR="0" allowOverlap="1" layoutInCell="1" locked="0" behindDoc="1" simplePos="0" relativeHeight="476271104">
            <wp:simplePos x="0" y="0"/>
            <wp:positionH relativeFrom="page">
              <wp:posOffset>5926835</wp:posOffset>
            </wp:positionH>
            <wp:positionV relativeFrom="paragraph">
              <wp:posOffset>-472412</wp:posOffset>
            </wp:positionV>
            <wp:extent cx="263304" cy="161925"/>
            <wp:effectExtent l="0" t="0" r="0" b="0"/>
            <wp:wrapNone/>
            <wp:docPr id="5" name="image5.png"/>
            <wp:cNvGraphicFramePr>
              <a:graphicFrameLocks noChangeAspect="1"/>
            </wp:cNvGraphicFramePr>
            <a:graphic>
              <a:graphicData uri="http://schemas.openxmlformats.org/drawingml/2006/picture">
                <pic:pic>
                  <pic:nvPicPr>
                    <pic:cNvPr id="6" name="image5.png"/>
                    <pic:cNvPicPr/>
                  </pic:nvPicPr>
                  <pic:blipFill>
                    <a:blip r:embed="rId92" cstate="print"/>
                    <a:stretch>
                      <a:fillRect/>
                    </a:stretch>
                  </pic:blipFill>
                  <pic:spPr>
                    <a:xfrm>
                      <a:off x="0" y="0"/>
                      <a:ext cx="263304" cy="161925"/>
                    </a:xfrm>
                    <a:prstGeom prst="rect">
                      <a:avLst/>
                    </a:prstGeom>
                  </pic:spPr>
                </pic:pic>
              </a:graphicData>
            </a:graphic>
          </wp:anchor>
        </w:drawing>
      </w:r>
      <w:r>
        <w:rPr>
          <w:b/>
          <w:sz w:val="22"/>
        </w:rPr>
        <w:t>See</w:t>
      </w:r>
      <w:r>
        <w:rPr>
          <w:b/>
          <w:spacing w:val="-3"/>
          <w:sz w:val="22"/>
        </w:rPr>
        <w:t> </w:t>
      </w:r>
      <w:r>
        <w:rPr>
          <w:b/>
          <w:sz w:val="22"/>
        </w:rPr>
        <w:t>Time</w:t>
      </w:r>
      <w:r>
        <w:rPr>
          <w:b/>
          <w:spacing w:val="-2"/>
          <w:sz w:val="22"/>
        </w:rPr>
        <w:t> </w:t>
      </w:r>
      <w:r>
        <w:rPr>
          <w:b/>
          <w:sz w:val="22"/>
        </w:rPr>
        <w:t>to</w:t>
      </w:r>
      <w:r>
        <w:rPr>
          <w:b/>
          <w:spacing w:val="-6"/>
          <w:sz w:val="22"/>
        </w:rPr>
        <w:t> </w:t>
      </w:r>
      <w:r>
        <w:rPr>
          <w:b/>
          <w:sz w:val="22"/>
        </w:rPr>
        <w:t>Graduate</w:t>
      </w:r>
      <w:r>
        <w:rPr>
          <w:b/>
          <w:spacing w:val="-5"/>
          <w:sz w:val="22"/>
        </w:rPr>
        <w:t> </w:t>
      </w:r>
      <w:r>
        <w:rPr>
          <w:b/>
          <w:sz w:val="22"/>
        </w:rPr>
        <w:t>on</w:t>
      </w:r>
      <w:r>
        <w:rPr>
          <w:b/>
          <w:spacing w:val="-1"/>
          <w:sz w:val="22"/>
        </w:rPr>
        <w:t> </w:t>
      </w:r>
      <w:r>
        <w:rPr>
          <w:b/>
          <w:sz w:val="22"/>
        </w:rPr>
        <w:t>following</w:t>
      </w:r>
      <w:r>
        <w:rPr>
          <w:b/>
          <w:spacing w:val="-4"/>
          <w:sz w:val="22"/>
        </w:rPr>
        <w:t> </w:t>
      </w:r>
      <w:r>
        <w:rPr>
          <w:b/>
          <w:spacing w:val="-2"/>
          <w:sz w:val="22"/>
        </w:rPr>
        <w:t>page.</w:t>
      </w:r>
    </w:p>
    <w:p>
      <w:pPr>
        <w:spacing w:after="0"/>
        <w:jc w:val="left"/>
        <w:rPr>
          <w:sz w:val="22"/>
        </w:rPr>
        <w:sectPr>
          <w:headerReference w:type="default" r:id="rId90"/>
          <w:footerReference w:type="default" r:id="rId91"/>
          <w:pgSz w:w="12240" w:h="15840"/>
          <w:pgMar w:header="0" w:footer="974" w:top="1360" w:bottom="1160" w:left="1160" w:right="320"/>
        </w:sectPr>
      </w:pPr>
    </w:p>
    <w:p>
      <w:pPr>
        <w:spacing w:before="75"/>
        <w:ind w:left="280" w:right="0" w:firstLine="0"/>
        <w:jc w:val="left"/>
        <w:rPr>
          <w:b/>
          <w:sz w:val="22"/>
        </w:rPr>
      </w:pPr>
      <w:r>
        <w:rPr>
          <w:b/>
          <w:sz w:val="22"/>
        </w:rPr>
        <w:t>Time</w:t>
      </w:r>
      <w:r>
        <w:rPr>
          <w:b/>
          <w:spacing w:val="-2"/>
          <w:sz w:val="22"/>
        </w:rPr>
        <w:t> </w:t>
      </w:r>
      <w:r>
        <w:rPr>
          <w:b/>
          <w:sz w:val="22"/>
        </w:rPr>
        <w:t>to</w:t>
      </w:r>
      <w:r>
        <w:rPr>
          <w:b/>
          <w:spacing w:val="-2"/>
          <w:sz w:val="22"/>
        </w:rPr>
        <w:t> Graduate:</w:t>
      </w:r>
    </w:p>
    <w:p>
      <w:pPr>
        <w:pStyle w:val="BodyText"/>
        <w:spacing w:before="2"/>
        <w:rPr>
          <w:b/>
          <w:sz w:val="21"/>
        </w:rPr>
      </w:pPr>
    </w:p>
    <w:tbl>
      <w:tblPr>
        <w:tblW w:w="0" w:type="auto"/>
        <w:jc w:val="left"/>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07"/>
        <w:gridCol w:w="804"/>
        <w:gridCol w:w="806"/>
        <w:gridCol w:w="806"/>
        <w:gridCol w:w="808"/>
        <w:gridCol w:w="803"/>
        <w:gridCol w:w="805"/>
        <w:gridCol w:w="805"/>
        <w:gridCol w:w="685"/>
      </w:tblGrid>
      <w:tr>
        <w:trPr>
          <w:trHeight w:val="248" w:hRule="atLeast"/>
        </w:trPr>
        <w:tc>
          <w:tcPr>
            <w:tcW w:w="9929" w:type="dxa"/>
            <w:gridSpan w:val="9"/>
            <w:tcBorders>
              <w:bottom w:val="nil"/>
            </w:tcBorders>
          </w:tcPr>
          <w:p>
            <w:pPr>
              <w:pStyle w:val="TableParagraph"/>
              <w:spacing w:line="227" w:lineRule="exact"/>
              <w:ind w:left="2519" w:right="2508"/>
              <w:jc w:val="center"/>
              <w:rPr>
                <w:b/>
                <w:sz w:val="20"/>
              </w:rPr>
            </w:pPr>
            <w:r>
              <w:rPr>
                <w:b/>
                <w:sz w:val="20"/>
              </w:rPr>
              <w:t>Major:</w:t>
            </w:r>
            <w:r>
              <w:rPr>
                <w:b/>
                <w:spacing w:val="52"/>
                <w:sz w:val="20"/>
              </w:rPr>
              <w:t> </w:t>
            </w:r>
            <w:r>
              <w:rPr>
                <w:b/>
                <w:spacing w:val="-2"/>
                <w:sz w:val="20"/>
              </w:rPr>
              <w:t>Architecture</w:t>
            </w:r>
          </w:p>
        </w:tc>
      </w:tr>
      <w:tr>
        <w:trPr>
          <w:trHeight w:val="278" w:hRule="atLeast"/>
        </w:trPr>
        <w:tc>
          <w:tcPr>
            <w:tcW w:w="9929" w:type="dxa"/>
            <w:gridSpan w:val="9"/>
            <w:tcBorders>
              <w:top w:val="nil"/>
            </w:tcBorders>
          </w:tcPr>
          <w:p>
            <w:pPr>
              <w:pStyle w:val="TableParagraph"/>
              <w:spacing w:before="14"/>
              <w:ind w:left="2524" w:right="2508"/>
              <w:jc w:val="center"/>
              <w:rPr>
                <w:sz w:val="20"/>
              </w:rPr>
            </w:pPr>
            <w:r>
              <w:rPr>
                <w:sz w:val="20"/>
              </w:rPr>
              <w:t>First-Time</w:t>
            </w:r>
            <w:r>
              <w:rPr>
                <w:spacing w:val="-9"/>
                <w:sz w:val="20"/>
              </w:rPr>
              <w:t> </w:t>
            </w:r>
            <w:r>
              <w:rPr>
                <w:sz w:val="20"/>
              </w:rPr>
              <w:t>Entering</w:t>
            </w:r>
            <w:r>
              <w:rPr>
                <w:spacing w:val="-9"/>
                <w:sz w:val="20"/>
              </w:rPr>
              <w:t> </w:t>
            </w:r>
            <w:r>
              <w:rPr>
                <w:sz w:val="20"/>
              </w:rPr>
              <w:t>Freshmen,</w:t>
            </w:r>
            <w:r>
              <w:rPr>
                <w:spacing w:val="-8"/>
                <w:sz w:val="20"/>
              </w:rPr>
              <w:t> </w:t>
            </w:r>
            <w:r>
              <w:rPr>
                <w:sz w:val="20"/>
              </w:rPr>
              <w:t>Fall</w:t>
            </w:r>
            <w:r>
              <w:rPr>
                <w:spacing w:val="-8"/>
                <w:sz w:val="20"/>
              </w:rPr>
              <w:t> </w:t>
            </w:r>
            <w:r>
              <w:rPr>
                <w:sz w:val="20"/>
              </w:rPr>
              <w:t>Cohorts</w:t>
            </w:r>
            <w:r>
              <w:rPr>
                <w:spacing w:val="-8"/>
                <w:sz w:val="20"/>
              </w:rPr>
              <w:t> </w:t>
            </w:r>
            <w:r>
              <w:rPr>
                <w:sz w:val="20"/>
              </w:rPr>
              <w:t>2006</w:t>
            </w:r>
            <w:r>
              <w:rPr>
                <w:spacing w:val="-8"/>
                <w:sz w:val="20"/>
              </w:rPr>
              <w:t> </w:t>
            </w:r>
            <w:r>
              <w:rPr>
                <w:sz w:val="20"/>
              </w:rPr>
              <w:t>-</w:t>
            </w:r>
            <w:r>
              <w:rPr>
                <w:spacing w:val="-4"/>
                <w:sz w:val="20"/>
              </w:rPr>
              <w:t>2013</w:t>
            </w:r>
          </w:p>
        </w:tc>
      </w:tr>
      <w:tr>
        <w:trPr>
          <w:trHeight w:val="383" w:hRule="atLeast"/>
        </w:trPr>
        <w:tc>
          <w:tcPr>
            <w:tcW w:w="3607" w:type="dxa"/>
            <w:shd w:val="clear" w:color="auto" w:fill="DCE6F1"/>
          </w:tcPr>
          <w:p>
            <w:pPr>
              <w:pStyle w:val="TableParagraph"/>
              <w:spacing w:line="227" w:lineRule="exact"/>
              <w:ind w:left="107"/>
              <w:rPr>
                <w:b/>
                <w:sz w:val="20"/>
              </w:rPr>
            </w:pPr>
            <w:r>
              <w:rPr>
                <w:b/>
                <w:sz w:val="20"/>
              </w:rPr>
              <w:t>Academic</w:t>
            </w:r>
            <w:r>
              <w:rPr>
                <w:b/>
                <w:spacing w:val="-12"/>
                <w:sz w:val="20"/>
              </w:rPr>
              <w:t> </w:t>
            </w:r>
            <w:r>
              <w:rPr>
                <w:b/>
                <w:spacing w:val="-4"/>
                <w:sz w:val="20"/>
              </w:rPr>
              <w:t>Year</w:t>
            </w:r>
          </w:p>
        </w:tc>
        <w:tc>
          <w:tcPr>
            <w:tcW w:w="804" w:type="dxa"/>
            <w:shd w:val="clear" w:color="auto" w:fill="DCE6F1"/>
          </w:tcPr>
          <w:p>
            <w:pPr>
              <w:pStyle w:val="TableParagraph"/>
              <w:spacing w:line="227" w:lineRule="exact"/>
              <w:ind w:right="96"/>
              <w:jc w:val="right"/>
              <w:rPr>
                <w:b/>
                <w:sz w:val="20"/>
              </w:rPr>
            </w:pPr>
            <w:r>
              <w:rPr>
                <w:b/>
                <w:spacing w:val="-4"/>
                <w:sz w:val="20"/>
              </w:rPr>
              <w:t>2006</w:t>
            </w:r>
          </w:p>
        </w:tc>
        <w:tc>
          <w:tcPr>
            <w:tcW w:w="806" w:type="dxa"/>
            <w:shd w:val="clear" w:color="auto" w:fill="DCE6F1"/>
          </w:tcPr>
          <w:p>
            <w:pPr>
              <w:pStyle w:val="TableParagraph"/>
              <w:spacing w:line="227" w:lineRule="exact"/>
              <w:ind w:right="95"/>
              <w:jc w:val="right"/>
              <w:rPr>
                <w:b/>
                <w:sz w:val="20"/>
              </w:rPr>
            </w:pPr>
            <w:r>
              <w:rPr>
                <w:b/>
                <w:spacing w:val="-4"/>
                <w:sz w:val="20"/>
              </w:rPr>
              <w:t>2007</w:t>
            </w:r>
          </w:p>
        </w:tc>
        <w:tc>
          <w:tcPr>
            <w:tcW w:w="806" w:type="dxa"/>
            <w:shd w:val="clear" w:color="auto" w:fill="DCE6F1"/>
          </w:tcPr>
          <w:p>
            <w:pPr>
              <w:pStyle w:val="TableParagraph"/>
              <w:spacing w:line="227" w:lineRule="exact"/>
              <w:ind w:right="95"/>
              <w:jc w:val="right"/>
              <w:rPr>
                <w:b/>
                <w:sz w:val="20"/>
              </w:rPr>
            </w:pPr>
            <w:r>
              <w:rPr>
                <w:b/>
                <w:spacing w:val="-4"/>
                <w:sz w:val="20"/>
              </w:rPr>
              <w:t>2008</w:t>
            </w:r>
          </w:p>
        </w:tc>
        <w:tc>
          <w:tcPr>
            <w:tcW w:w="808" w:type="dxa"/>
            <w:shd w:val="clear" w:color="auto" w:fill="DCE6F1"/>
          </w:tcPr>
          <w:p>
            <w:pPr>
              <w:pStyle w:val="TableParagraph"/>
              <w:spacing w:line="227" w:lineRule="exact"/>
              <w:ind w:right="96"/>
              <w:jc w:val="right"/>
              <w:rPr>
                <w:b/>
                <w:sz w:val="20"/>
              </w:rPr>
            </w:pPr>
            <w:r>
              <w:rPr>
                <w:b/>
                <w:spacing w:val="-4"/>
                <w:sz w:val="20"/>
              </w:rPr>
              <w:t>2009</w:t>
            </w:r>
          </w:p>
        </w:tc>
        <w:tc>
          <w:tcPr>
            <w:tcW w:w="803" w:type="dxa"/>
            <w:shd w:val="clear" w:color="auto" w:fill="DCE6F1"/>
          </w:tcPr>
          <w:p>
            <w:pPr>
              <w:pStyle w:val="TableParagraph"/>
              <w:spacing w:line="227" w:lineRule="exact"/>
              <w:ind w:right="91"/>
              <w:jc w:val="right"/>
              <w:rPr>
                <w:b/>
                <w:sz w:val="20"/>
              </w:rPr>
            </w:pPr>
            <w:r>
              <w:rPr>
                <w:b/>
                <w:spacing w:val="-4"/>
                <w:sz w:val="20"/>
              </w:rPr>
              <w:t>2010</w:t>
            </w:r>
          </w:p>
        </w:tc>
        <w:tc>
          <w:tcPr>
            <w:tcW w:w="805" w:type="dxa"/>
            <w:shd w:val="clear" w:color="auto" w:fill="DCE6F1"/>
          </w:tcPr>
          <w:p>
            <w:pPr>
              <w:pStyle w:val="TableParagraph"/>
              <w:spacing w:line="227" w:lineRule="exact"/>
              <w:ind w:right="89"/>
              <w:jc w:val="right"/>
              <w:rPr>
                <w:b/>
                <w:sz w:val="20"/>
              </w:rPr>
            </w:pPr>
            <w:r>
              <w:rPr>
                <w:b/>
                <w:spacing w:val="-4"/>
                <w:sz w:val="20"/>
              </w:rPr>
              <w:t>2011</w:t>
            </w:r>
          </w:p>
        </w:tc>
        <w:tc>
          <w:tcPr>
            <w:tcW w:w="805" w:type="dxa"/>
            <w:shd w:val="clear" w:color="auto" w:fill="DCE6F1"/>
          </w:tcPr>
          <w:p>
            <w:pPr>
              <w:pStyle w:val="TableParagraph"/>
              <w:spacing w:line="227" w:lineRule="exact"/>
              <w:ind w:right="88"/>
              <w:jc w:val="right"/>
              <w:rPr>
                <w:b/>
                <w:sz w:val="20"/>
              </w:rPr>
            </w:pPr>
            <w:r>
              <w:rPr>
                <w:b/>
                <w:spacing w:val="-4"/>
                <w:sz w:val="20"/>
              </w:rPr>
              <w:t>2012</w:t>
            </w:r>
          </w:p>
        </w:tc>
        <w:tc>
          <w:tcPr>
            <w:tcW w:w="685" w:type="dxa"/>
            <w:shd w:val="clear" w:color="auto" w:fill="DCE6F1"/>
          </w:tcPr>
          <w:p>
            <w:pPr>
              <w:pStyle w:val="TableParagraph"/>
              <w:spacing w:line="227" w:lineRule="exact"/>
              <w:ind w:right="91"/>
              <w:jc w:val="right"/>
              <w:rPr>
                <w:b/>
                <w:sz w:val="20"/>
              </w:rPr>
            </w:pPr>
            <w:r>
              <w:rPr>
                <w:b/>
                <w:spacing w:val="-4"/>
                <w:sz w:val="20"/>
              </w:rPr>
              <w:t>2013</w:t>
            </w:r>
          </w:p>
        </w:tc>
      </w:tr>
      <w:tr>
        <w:trPr>
          <w:trHeight w:val="266" w:hRule="atLeast"/>
        </w:trPr>
        <w:tc>
          <w:tcPr>
            <w:tcW w:w="3607" w:type="dxa"/>
          </w:tcPr>
          <w:p>
            <w:pPr>
              <w:pStyle w:val="TableParagraph"/>
              <w:spacing w:before="2"/>
              <w:ind w:left="107"/>
              <w:rPr>
                <w:sz w:val="20"/>
              </w:rPr>
            </w:pPr>
            <w:r>
              <w:rPr>
                <w:sz w:val="20"/>
              </w:rPr>
              <w:t>Enrolled</w:t>
            </w:r>
            <w:r>
              <w:rPr>
                <w:spacing w:val="-8"/>
                <w:sz w:val="20"/>
              </w:rPr>
              <w:t> </w:t>
            </w:r>
            <w:r>
              <w:rPr>
                <w:sz w:val="20"/>
              </w:rPr>
              <w:t>Fall</w:t>
            </w:r>
            <w:r>
              <w:rPr>
                <w:spacing w:val="-6"/>
                <w:sz w:val="20"/>
              </w:rPr>
              <w:t> </w:t>
            </w:r>
            <w:r>
              <w:rPr>
                <w:spacing w:val="-4"/>
                <w:sz w:val="20"/>
              </w:rPr>
              <w:t>2006</w:t>
            </w:r>
          </w:p>
        </w:tc>
        <w:tc>
          <w:tcPr>
            <w:tcW w:w="804" w:type="dxa"/>
            <w:shd w:val="clear" w:color="auto" w:fill="DCE6F1"/>
          </w:tcPr>
          <w:p>
            <w:pPr>
              <w:pStyle w:val="TableParagraph"/>
              <w:spacing w:line="229" w:lineRule="exact"/>
              <w:ind w:right="96"/>
              <w:jc w:val="right"/>
              <w:rPr>
                <w:b/>
                <w:sz w:val="20"/>
              </w:rPr>
            </w:pPr>
            <w:r>
              <w:rPr>
                <w:b/>
                <w:spacing w:val="-5"/>
                <w:sz w:val="20"/>
              </w:rPr>
              <w:t>40</w:t>
            </w:r>
          </w:p>
        </w:tc>
        <w:tc>
          <w:tcPr>
            <w:tcW w:w="806" w:type="dxa"/>
            <w:vMerge w:val="restart"/>
          </w:tcPr>
          <w:p>
            <w:pPr>
              <w:pStyle w:val="TableParagraph"/>
              <w:rPr>
                <w:rFonts w:ascii="Times New Roman"/>
                <w:sz w:val="18"/>
              </w:rPr>
            </w:pPr>
          </w:p>
        </w:tc>
        <w:tc>
          <w:tcPr>
            <w:tcW w:w="806" w:type="dxa"/>
            <w:vMerge w:val="restart"/>
          </w:tcPr>
          <w:p>
            <w:pPr>
              <w:pStyle w:val="TableParagraph"/>
              <w:rPr>
                <w:rFonts w:ascii="Times New Roman"/>
                <w:sz w:val="18"/>
              </w:rPr>
            </w:pPr>
          </w:p>
        </w:tc>
        <w:tc>
          <w:tcPr>
            <w:tcW w:w="808" w:type="dxa"/>
            <w:vMerge w:val="restart"/>
          </w:tcPr>
          <w:p>
            <w:pPr>
              <w:pStyle w:val="TableParagraph"/>
              <w:rPr>
                <w:rFonts w:ascii="Times New Roman"/>
                <w:sz w:val="18"/>
              </w:rPr>
            </w:pPr>
          </w:p>
        </w:tc>
        <w:tc>
          <w:tcPr>
            <w:tcW w:w="803" w:type="dxa"/>
            <w:vMerge w:val="restart"/>
          </w:tcPr>
          <w:p>
            <w:pPr>
              <w:pStyle w:val="TableParagraph"/>
              <w:rPr>
                <w:rFonts w:ascii="Times New Roman"/>
                <w:sz w:val="18"/>
              </w:rPr>
            </w:pPr>
          </w:p>
        </w:tc>
        <w:tc>
          <w:tcPr>
            <w:tcW w:w="805" w:type="dxa"/>
            <w:vMerge w:val="restart"/>
          </w:tcPr>
          <w:p>
            <w:pPr>
              <w:pStyle w:val="TableParagraph"/>
              <w:rPr>
                <w:rFonts w:ascii="Times New Roman"/>
                <w:sz w:val="18"/>
              </w:rPr>
            </w:pPr>
          </w:p>
        </w:tc>
        <w:tc>
          <w:tcPr>
            <w:tcW w:w="805" w:type="dxa"/>
            <w:vMerge w:val="restart"/>
          </w:tcPr>
          <w:p>
            <w:pPr>
              <w:pStyle w:val="TableParagraph"/>
              <w:rPr>
                <w:rFonts w:ascii="Times New Roman"/>
                <w:sz w:val="18"/>
              </w:rPr>
            </w:pPr>
          </w:p>
        </w:tc>
        <w:tc>
          <w:tcPr>
            <w:tcW w:w="685" w:type="dxa"/>
            <w:vMerge w:val="restart"/>
          </w:tcPr>
          <w:p>
            <w:pPr>
              <w:pStyle w:val="TableParagraph"/>
              <w:rPr>
                <w:rFonts w:ascii="Times New Roman"/>
                <w:sz w:val="18"/>
              </w:rPr>
            </w:pPr>
          </w:p>
        </w:tc>
      </w:tr>
      <w:tr>
        <w:trPr>
          <w:trHeight w:val="263" w:hRule="atLeast"/>
        </w:trPr>
        <w:tc>
          <w:tcPr>
            <w:tcW w:w="3607" w:type="dxa"/>
          </w:tcPr>
          <w:p>
            <w:pPr>
              <w:pStyle w:val="TableParagraph"/>
              <w:spacing w:line="229" w:lineRule="exact"/>
              <w:ind w:left="107"/>
              <w:rPr>
                <w:sz w:val="20"/>
              </w:rPr>
            </w:pPr>
            <w:r>
              <w:rPr>
                <w:sz w:val="20"/>
              </w:rPr>
              <w:t>Graduated</w:t>
            </w:r>
            <w:r>
              <w:rPr>
                <w:spacing w:val="43"/>
                <w:sz w:val="20"/>
              </w:rPr>
              <w:t> </w:t>
            </w:r>
            <w:r>
              <w:rPr>
                <w:sz w:val="20"/>
              </w:rPr>
              <w:t>Fall</w:t>
            </w:r>
            <w:r>
              <w:rPr>
                <w:spacing w:val="-5"/>
                <w:sz w:val="20"/>
              </w:rPr>
              <w:t> </w:t>
            </w:r>
            <w:r>
              <w:rPr>
                <w:spacing w:val="-4"/>
                <w:sz w:val="20"/>
              </w:rPr>
              <w:t>2006</w:t>
            </w:r>
          </w:p>
        </w:tc>
        <w:tc>
          <w:tcPr>
            <w:tcW w:w="804" w:type="dxa"/>
          </w:tcPr>
          <w:p>
            <w:pPr>
              <w:pStyle w:val="TableParagraph"/>
              <w:spacing w:line="229" w:lineRule="exact"/>
              <w:ind w:right="93"/>
              <w:jc w:val="right"/>
              <w:rPr>
                <w:sz w:val="20"/>
              </w:rPr>
            </w:pPr>
            <w:r>
              <w:rPr>
                <w:w w:val="99"/>
                <w:sz w:val="20"/>
              </w:rPr>
              <w:t>0</w:t>
            </w:r>
          </w:p>
        </w:tc>
        <w:tc>
          <w:tcPr>
            <w:tcW w:w="806" w:type="dxa"/>
            <w:vMerge/>
            <w:tcBorders>
              <w:top w:val="nil"/>
            </w:tcBorders>
          </w:tcPr>
          <w:p>
            <w:pPr>
              <w:rPr>
                <w:sz w:val="2"/>
                <w:szCs w:val="2"/>
              </w:rPr>
            </w:pPr>
          </w:p>
        </w:tc>
        <w:tc>
          <w:tcPr>
            <w:tcW w:w="806" w:type="dxa"/>
            <w:vMerge/>
            <w:tcBorders>
              <w:top w:val="nil"/>
            </w:tcBorders>
          </w:tcPr>
          <w:p>
            <w:pPr>
              <w:rPr>
                <w:sz w:val="2"/>
                <w:szCs w:val="2"/>
              </w:rPr>
            </w:pPr>
          </w:p>
        </w:tc>
        <w:tc>
          <w:tcPr>
            <w:tcW w:w="808" w:type="dxa"/>
            <w:vMerge/>
            <w:tcBorders>
              <w:top w:val="nil"/>
            </w:tcBorders>
          </w:tcPr>
          <w:p>
            <w:pPr>
              <w:rPr>
                <w:sz w:val="2"/>
                <w:szCs w:val="2"/>
              </w:rPr>
            </w:pPr>
          </w:p>
        </w:tc>
        <w:tc>
          <w:tcPr>
            <w:tcW w:w="803" w:type="dxa"/>
            <w:vMerge/>
            <w:tcBorders>
              <w:top w:val="nil"/>
            </w:tcBorders>
          </w:tcPr>
          <w:p>
            <w:pPr>
              <w:rPr>
                <w:sz w:val="2"/>
                <w:szCs w:val="2"/>
              </w:rPr>
            </w:pPr>
          </w:p>
        </w:tc>
        <w:tc>
          <w:tcPr>
            <w:tcW w:w="805" w:type="dxa"/>
            <w:vMerge/>
            <w:tcBorders>
              <w:top w:val="nil"/>
            </w:tcBorders>
          </w:tcPr>
          <w:p>
            <w:pPr>
              <w:rPr>
                <w:sz w:val="2"/>
                <w:szCs w:val="2"/>
              </w:rPr>
            </w:pPr>
          </w:p>
        </w:tc>
        <w:tc>
          <w:tcPr>
            <w:tcW w:w="805" w:type="dxa"/>
            <w:vMerge/>
            <w:tcBorders>
              <w:top w:val="nil"/>
            </w:tcBorders>
          </w:tcPr>
          <w:p>
            <w:pPr>
              <w:rPr>
                <w:sz w:val="2"/>
                <w:szCs w:val="2"/>
              </w:rPr>
            </w:pPr>
          </w:p>
        </w:tc>
        <w:tc>
          <w:tcPr>
            <w:tcW w:w="685" w:type="dxa"/>
            <w:vMerge/>
            <w:tcBorders>
              <w:top w:val="nil"/>
            </w:tcBorders>
          </w:tcPr>
          <w:p>
            <w:pPr>
              <w:rPr>
                <w:sz w:val="2"/>
                <w:szCs w:val="2"/>
              </w:rPr>
            </w:pPr>
          </w:p>
        </w:tc>
      </w:tr>
      <w:tr>
        <w:trPr>
          <w:trHeight w:val="265" w:hRule="atLeast"/>
        </w:trPr>
        <w:tc>
          <w:tcPr>
            <w:tcW w:w="3607" w:type="dxa"/>
          </w:tcPr>
          <w:p>
            <w:pPr>
              <w:pStyle w:val="TableParagraph"/>
              <w:spacing w:line="229" w:lineRule="exact"/>
              <w:ind w:left="107"/>
              <w:rPr>
                <w:sz w:val="20"/>
              </w:rPr>
            </w:pPr>
            <w:r>
              <w:rPr>
                <w:sz w:val="20"/>
              </w:rPr>
              <w:t>Graduated</w:t>
            </w:r>
            <w:r>
              <w:rPr>
                <w:spacing w:val="43"/>
                <w:sz w:val="20"/>
              </w:rPr>
              <w:t> </w:t>
            </w:r>
            <w:r>
              <w:rPr>
                <w:sz w:val="20"/>
              </w:rPr>
              <w:t>Spring</w:t>
            </w:r>
            <w:r>
              <w:rPr>
                <w:spacing w:val="-6"/>
                <w:sz w:val="20"/>
              </w:rPr>
              <w:t> </w:t>
            </w:r>
            <w:r>
              <w:rPr>
                <w:spacing w:val="-4"/>
                <w:sz w:val="20"/>
              </w:rPr>
              <w:t>2007</w:t>
            </w:r>
          </w:p>
        </w:tc>
        <w:tc>
          <w:tcPr>
            <w:tcW w:w="804" w:type="dxa"/>
          </w:tcPr>
          <w:p>
            <w:pPr>
              <w:pStyle w:val="TableParagraph"/>
              <w:spacing w:line="229" w:lineRule="exact"/>
              <w:ind w:right="93"/>
              <w:jc w:val="right"/>
              <w:rPr>
                <w:sz w:val="20"/>
              </w:rPr>
            </w:pPr>
            <w:r>
              <w:rPr>
                <w:w w:val="99"/>
                <w:sz w:val="20"/>
              </w:rPr>
              <w:t>0</w:t>
            </w:r>
          </w:p>
        </w:tc>
        <w:tc>
          <w:tcPr>
            <w:tcW w:w="806" w:type="dxa"/>
            <w:vMerge/>
            <w:tcBorders>
              <w:top w:val="nil"/>
            </w:tcBorders>
          </w:tcPr>
          <w:p>
            <w:pPr>
              <w:rPr>
                <w:sz w:val="2"/>
                <w:szCs w:val="2"/>
              </w:rPr>
            </w:pPr>
          </w:p>
        </w:tc>
        <w:tc>
          <w:tcPr>
            <w:tcW w:w="806" w:type="dxa"/>
            <w:vMerge/>
            <w:tcBorders>
              <w:top w:val="nil"/>
            </w:tcBorders>
          </w:tcPr>
          <w:p>
            <w:pPr>
              <w:rPr>
                <w:sz w:val="2"/>
                <w:szCs w:val="2"/>
              </w:rPr>
            </w:pPr>
          </w:p>
        </w:tc>
        <w:tc>
          <w:tcPr>
            <w:tcW w:w="808" w:type="dxa"/>
            <w:vMerge/>
            <w:tcBorders>
              <w:top w:val="nil"/>
            </w:tcBorders>
          </w:tcPr>
          <w:p>
            <w:pPr>
              <w:rPr>
                <w:sz w:val="2"/>
                <w:szCs w:val="2"/>
              </w:rPr>
            </w:pPr>
          </w:p>
        </w:tc>
        <w:tc>
          <w:tcPr>
            <w:tcW w:w="803" w:type="dxa"/>
            <w:vMerge/>
            <w:tcBorders>
              <w:top w:val="nil"/>
            </w:tcBorders>
          </w:tcPr>
          <w:p>
            <w:pPr>
              <w:rPr>
                <w:sz w:val="2"/>
                <w:szCs w:val="2"/>
              </w:rPr>
            </w:pPr>
          </w:p>
        </w:tc>
        <w:tc>
          <w:tcPr>
            <w:tcW w:w="805" w:type="dxa"/>
            <w:vMerge/>
            <w:tcBorders>
              <w:top w:val="nil"/>
            </w:tcBorders>
          </w:tcPr>
          <w:p>
            <w:pPr>
              <w:rPr>
                <w:sz w:val="2"/>
                <w:szCs w:val="2"/>
              </w:rPr>
            </w:pPr>
          </w:p>
        </w:tc>
        <w:tc>
          <w:tcPr>
            <w:tcW w:w="805" w:type="dxa"/>
            <w:vMerge/>
            <w:tcBorders>
              <w:top w:val="nil"/>
            </w:tcBorders>
          </w:tcPr>
          <w:p>
            <w:pPr>
              <w:rPr>
                <w:sz w:val="2"/>
                <w:szCs w:val="2"/>
              </w:rPr>
            </w:pPr>
          </w:p>
        </w:tc>
        <w:tc>
          <w:tcPr>
            <w:tcW w:w="685" w:type="dxa"/>
            <w:vMerge/>
            <w:tcBorders>
              <w:top w:val="nil"/>
            </w:tcBorders>
          </w:tcPr>
          <w:p>
            <w:pPr>
              <w:rPr>
                <w:sz w:val="2"/>
                <w:szCs w:val="2"/>
              </w:rPr>
            </w:pPr>
          </w:p>
        </w:tc>
      </w:tr>
      <w:tr>
        <w:trPr>
          <w:trHeight w:val="263" w:hRule="atLeast"/>
        </w:trPr>
        <w:tc>
          <w:tcPr>
            <w:tcW w:w="3607" w:type="dxa"/>
          </w:tcPr>
          <w:p>
            <w:pPr>
              <w:pStyle w:val="TableParagraph"/>
              <w:spacing w:line="229" w:lineRule="exact"/>
              <w:ind w:left="107"/>
              <w:rPr>
                <w:sz w:val="20"/>
              </w:rPr>
            </w:pPr>
            <w:r>
              <w:rPr>
                <w:sz w:val="20"/>
              </w:rPr>
              <w:t>Enrolled</w:t>
            </w:r>
            <w:r>
              <w:rPr>
                <w:spacing w:val="-8"/>
                <w:sz w:val="20"/>
              </w:rPr>
              <w:t> </w:t>
            </w:r>
            <w:r>
              <w:rPr>
                <w:sz w:val="20"/>
              </w:rPr>
              <w:t>Fall</w:t>
            </w:r>
            <w:r>
              <w:rPr>
                <w:spacing w:val="-6"/>
                <w:sz w:val="20"/>
              </w:rPr>
              <w:t> </w:t>
            </w:r>
            <w:r>
              <w:rPr>
                <w:spacing w:val="-4"/>
                <w:sz w:val="20"/>
              </w:rPr>
              <w:t>2007</w:t>
            </w:r>
          </w:p>
        </w:tc>
        <w:tc>
          <w:tcPr>
            <w:tcW w:w="804" w:type="dxa"/>
          </w:tcPr>
          <w:p>
            <w:pPr>
              <w:pStyle w:val="TableParagraph"/>
              <w:spacing w:line="229" w:lineRule="exact"/>
              <w:ind w:right="96"/>
              <w:jc w:val="right"/>
              <w:rPr>
                <w:sz w:val="20"/>
              </w:rPr>
            </w:pPr>
            <w:r>
              <w:rPr>
                <w:spacing w:val="-5"/>
                <w:sz w:val="20"/>
              </w:rPr>
              <w:t>24</w:t>
            </w:r>
          </w:p>
        </w:tc>
        <w:tc>
          <w:tcPr>
            <w:tcW w:w="806" w:type="dxa"/>
            <w:shd w:val="clear" w:color="auto" w:fill="DCE6F1"/>
          </w:tcPr>
          <w:p>
            <w:pPr>
              <w:pStyle w:val="TableParagraph"/>
              <w:spacing w:line="227" w:lineRule="exact"/>
              <w:ind w:right="95"/>
              <w:jc w:val="right"/>
              <w:rPr>
                <w:b/>
                <w:sz w:val="20"/>
              </w:rPr>
            </w:pPr>
            <w:r>
              <w:rPr>
                <w:b/>
                <w:spacing w:val="-5"/>
                <w:sz w:val="20"/>
              </w:rPr>
              <w:t>47</w:t>
            </w:r>
          </w:p>
        </w:tc>
        <w:tc>
          <w:tcPr>
            <w:tcW w:w="806" w:type="dxa"/>
            <w:vMerge/>
            <w:tcBorders>
              <w:top w:val="nil"/>
            </w:tcBorders>
          </w:tcPr>
          <w:p>
            <w:pPr>
              <w:rPr>
                <w:sz w:val="2"/>
                <w:szCs w:val="2"/>
              </w:rPr>
            </w:pPr>
          </w:p>
        </w:tc>
        <w:tc>
          <w:tcPr>
            <w:tcW w:w="808" w:type="dxa"/>
            <w:vMerge/>
            <w:tcBorders>
              <w:top w:val="nil"/>
            </w:tcBorders>
          </w:tcPr>
          <w:p>
            <w:pPr>
              <w:rPr>
                <w:sz w:val="2"/>
                <w:szCs w:val="2"/>
              </w:rPr>
            </w:pPr>
          </w:p>
        </w:tc>
        <w:tc>
          <w:tcPr>
            <w:tcW w:w="803" w:type="dxa"/>
            <w:vMerge/>
            <w:tcBorders>
              <w:top w:val="nil"/>
            </w:tcBorders>
          </w:tcPr>
          <w:p>
            <w:pPr>
              <w:rPr>
                <w:sz w:val="2"/>
                <w:szCs w:val="2"/>
              </w:rPr>
            </w:pPr>
          </w:p>
        </w:tc>
        <w:tc>
          <w:tcPr>
            <w:tcW w:w="805" w:type="dxa"/>
            <w:vMerge/>
            <w:tcBorders>
              <w:top w:val="nil"/>
            </w:tcBorders>
          </w:tcPr>
          <w:p>
            <w:pPr>
              <w:rPr>
                <w:sz w:val="2"/>
                <w:szCs w:val="2"/>
              </w:rPr>
            </w:pPr>
          </w:p>
        </w:tc>
        <w:tc>
          <w:tcPr>
            <w:tcW w:w="805" w:type="dxa"/>
            <w:vMerge/>
            <w:tcBorders>
              <w:top w:val="nil"/>
            </w:tcBorders>
          </w:tcPr>
          <w:p>
            <w:pPr>
              <w:rPr>
                <w:sz w:val="2"/>
                <w:szCs w:val="2"/>
              </w:rPr>
            </w:pPr>
          </w:p>
        </w:tc>
        <w:tc>
          <w:tcPr>
            <w:tcW w:w="685" w:type="dxa"/>
            <w:vMerge/>
            <w:tcBorders>
              <w:top w:val="nil"/>
            </w:tcBorders>
          </w:tcPr>
          <w:p>
            <w:pPr>
              <w:rPr>
                <w:sz w:val="2"/>
                <w:szCs w:val="2"/>
              </w:rPr>
            </w:pPr>
          </w:p>
        </w:tc>
      </w:tr>
      <w:tr>
        <w:trPr>
          <w:trHeight w:val="263" w:hRule="atLeast"/>
        </w:trPr>
        <w:tc>
          <w:tcPr>
            <w:tcW w:w="3607" w:type="dxa"/>
            <w:shd w:val="clear" w:color="auto" w:fill="D8E4BC"/>
          </w:tcPr>
          <w:p>
            <w:pPr>
              <w:pStyle w:val="TableParagraph"/>
              <w:spacing w:line="227" w:lineRule="exact"/>
              <w:ind w:right="99"/>
              <w:jc w:val="right"/>
              <w:rPr>
                <w:b/>
                <w:sz w:val="20"/>
              </w:rPr>
            </w:pPr>
            <w:r>
              <w:rPr>
                <w:b/>
                <w:sz w:val="20"/>
              </w:rPr>
              <w:t>2006</w:t>
            </w:r>
            <w:r>
              <w:rPr>
                <w:b/>
                <w:spacing w:val="-9"/>
                <w:sz w:val="20"/>
              </w:rPr>
              <w:t> </w:t>
            </w:r>
            <w:r>
              <w:rPr>
                <w:b/>
                <w:sz w:val="20"/>
              </w:rPr>
              <w:t>Cohort</w:t>
            </w:r>
            <w:r>
              <w:rPr>
                <w:b/>
                <w:spacing w:val="-7"/>
                <w:sz w:val="20"/>
              </w:rPr>
              <w:t> </w:t>
            </w:r>
            <w:r>
              <w:rPr>
                <w:b/>
                <w:spacing w:val="-2"/>
                <w:sz w:val="20"/>
              </w:rPr>
              <w:t>Retention</w:t>
            </w:r>
          </w:p>
        </w:tc>
        <w:tc>
          <w:tcPr>
            <w:tcW w:w="804" w:type="dxa"/>
            <w:shd w:val="clear" w:color="auto" w:fill="D8E4BC"/>
          </w:tcPr>
          <w:p>
            <w:pPr>
              <w:pStyle w:val="TableParagraph"/>
              <w:spacing w:line="227" w:lineRule="exact"/>
              <w:ind w:right="94"/>
              <w:jc w:val="right"/>
              <w:rPr>
                <w:b/>
                <w:sz w:val="20"/>
              </w:rPr>
            </w:pPr>
            <w:r>
              <w:rPr>
                <w:b/>
                <w:spacing w:val="-2"/>
                <w:sz w:val="20"/>
              </w:rPr>
              <w:t>60.0%</w:t>
            </w:r>
          </w:p>
        </w:tc>
        <w:tc>
          <w:tcPr>
            <w:tcW w:w="806" w:type="dxa"/>
            <w:shd w:val="clear" w:color="auto" w:fill="DADADA"/>
          </w:tcPr>
          <w:p>
            <w:pPr>
              <w:pStyle w:val="TableParagraph"/>
              <w:rPr>
                <w:rFonts w:ascii="Times New Roman"/>
                <w:sz w:val="18"/>
              </w:rPr>
            </w:pPr>
          </w:p>
        </w:tc>
        <w:tc>
          <w:tcPr>
            <w:tcW w:w="806" w:type="dxa"/>
            <w:vMerge/>
            <w:tcBorders>
              <w:top w:val="nil"/>
            </w:tcBorders>
          </w:tcPr>
          <w:p>
            <w:pPr>
              <w:rPr>
                <w:sz w:val="2"/>
                <w:szCs w:val="2"/>
              </w:rPr>
            </w:pPr>
          </w:p>
        </w:tc>
        <w:tc>
          <w:tcPr>
            <w:tcW w:w="808" w:type="dxa"/>
            <w:vMerge/>
            <w:tcBorders>
              <w:top w:val="nil"/>
            </w:tcBorders>
          </w:tcPr>
          <w:p>
            <w:pPr>
              <w:rPr>
                <w:sz w:val="2"/>
                <w:szCs w:val="2"/>
              </w:rPr>
            </w:pPr>
          </w:p>
        </w:tc>
        <w:tc>
          <w:tcPr>
            <w:tcW w:w="803" w:type="dxa"/>
            <w:vMerge/>
            <w:tcBorders>
              <w:top w:val="nil"/>
            </w:tcBorders>
          </w:tcPr>
          <w:p>
            <w:pPr>
              <w:rPr>
                <w:sz w:val="2"/>
                <w:szCs w:val="2"/>
              </w:rPr>
            </w:pPr>
          </w:p>
        </w:tc>
        <w:tc>
          <w:tcPr>
            <w:tcW w:w="805" w:type="dxa"/>
            <w:vMerge/>
            <w:tcBorders>
              <w:top w:val="nil"/>
            </w:tcBorders>
          </w:tcPr>
          <w:p>
            <w:pPr>
              <w:rPr>
                <w:sz w:val="2"/>
                <w:szCs w:val="2"/>
              </w:rPr>
            </w:pPr>
          </w:p>
        </w:tc>
        <w:tc>
          <w:tcPr>
            <w:tcW w:w="805" w:type="dxa"/>
            <w:vMerge/>
            <w:tcBorders>
              <w:top w:val="nil"/>
            </w:tcBorders>
          </w:tcPr>
          <w:p>
            <w:pPr>
              <w:rPr>
                <w:sz w:val="2"/>
                <w:szCs w:val="2"/>
              </w:rPr>
            </w:pPr>
          </w:p>
        </w:tc>
        <w:tc>
          <w:tcPr>
            <w:tcW w:w="685" w:type="dxa"/>
            <w:vMerge/>
            <w:tcBorders>
              <w:top w:val="nil"/>
            </w:tcBorders>
          </w:tcPr>
          <w:p>
            <w:pPr>
              <w:rPr>
                <w:sz w:val="2"/>
                <w:szCs w:val="2"/>
              </w:rPr>
            </w:pPr>
          </w:p>
        </w:tc>
      </w:tr>
      <w:tr>
        <w:trPr>
          <w:trHeight w:val="266" w:hRule="atLeast"/>
        </w:trPr>
        <w:tc>
          <w:tcPr>
            <w:tcW w:w="3607" w:type="dxa"/>
          </w:tcPr>
          <w:p>
            <w:pPr>
              <w:pStyle w:val="TableParagraph"/>
              <w:spacing w:line="229" w:lineRule="exact"/>
              <w:ind w:left="107"/>
              <w:rPr>
                <w:sz w:val="20"/>
              </w:rPr>
            </w:pPr>
            <w:r>
              <w:rPr>
                <w:sz w:val="20"/>
              </w:rPr>
              <w:t>Graduated</w:t>
            </w:r>
            <w:r>
              <w:rPr>
                <w:spacing w:val="43"/>
                <w:sz w:val="20"/>
              </w:rPr>
              <w:t> </w:t>
            </w:r>
            <w:r>
              <w:rPr>
                <w:sz w:val="20"/>
              </w:rPr>
              <w:t>Fall</w:t>
            </w:r>
            <w:r>
              <w:rPr>
                <w:spacing w:val="-5"/>
                <w:sz w:val="20"/>
              </w:rPr>
              <w:t> </w:t>
            </w:r>
            <w:r>
              <w:rPr>
                <w:spacing w:val="-4"/>
                <w:sz w:val="20"/>
              </w:rPr>
              <w:t>2007</w:t>
            </w:r>
          </w:p>
        </w:tc>
        <w:tc>
          <w:tcPr>
            <w:tcW w:w="804" w:type="dxa"/>
          </w:tcPr>
          <w:p>
            <w:pPr>
              <w:pStyle w:val="TableParagraph"/>
              <w:spacing w:line="229" w:lineRule="exact"/>
              <w:ind w:right="93"/>
              <w:jc w:val="right"/>
              <w:rPr>
                <w:sz w:val="20"/>
              </w:rPr>
            </w:pPr>
            <w:r>
              <w:rPr>
                <w:w w:val="99"/>
                <w:sz w:val="20"/>
              </w:rPr>
              <w:t>0</w:t>
            </w:r>
          </w:p>
        </w:tc>
        <w:tc>
          <w:tcPr>
            <w:tcW w:w="806" w:type="dxa"/>
          </w:tcPr>
          <w:p>
            <w:pPr>
              <w:pStyle w:val="TableParagraph"/>
              <w:spacing w:line="229" w:lineRule="exact"/>
              <w:ind w:right="92"/>
              <w:jc w:val="right"/>
              <w:rPr>
                <w:sz w:val="20"/>
              </w:rPr>
            </w:pPr>
            <w:r>
              <w:rPr>
                <w:w w:val="99"/>
                <w:sz w:val="20"/>
              </w:rPr>
              <w:t>0</w:t>
            </w:r>
          </w:p>
        </w:tc>
        <w:tc>
          <w:tcPr>
            <w:tcW w:w="806" w:type="dxa"/>
            <w:vMerge/>
            <w:tcBorders>
              <w:top w:val="nil"/>
            </w:tcBorders>
          </w:tcPr>
          <w:p>
            <w:pPr>
              <w:rPr>
                <w:sz w:val="2"/>
                <w:szCs w:val="2"/>
              </w:rPr>
            </w:pPr>
          </w:p>
        </w:tc>
        <w:tc>
          <w:tcPr>
            <w:tcW w:w="808" w:type="dxa"/>
            <w:vMerge/>
            <w:tcBorders>
              <w:top w:val="nil"/>
            </w:tcBorders>
          </w:tcPr>
          <w:p>
            <w:pPr>
              <w:rPr>
                <w:sz w:val="2"/>
                <w:szCs w:val="2"/>
              </w:rPr>
            </w:pPr>
          </w:p>
        </w:tc>
        <w:tc>
          <w:tcPr>
            <w:tcW w:w="803" w:type="dxa"/>
            <w:vMerge/>
            <w:tcBorders>
              <w:top w:val="nil"/>
            </w:tcBorders>
          </w:tcPr>
          <w:p>
            <w:pPr>
              <w:rPr>
                <w:sz w:val="2"/>
                <w:szCs w:val="2"/>
              </w:rPr>
            </w:pPr>
          </w:p>
        </w:tc>
        <w:tc>
          <w:tcPr>
            <w:tcW w:w="805" w:type="dxa"/>
            <w:vMerge/>
            <w:tcBorders>
              <w:top w:val="nil"/>
            </w:tcBorders>
          </w:tcPr>
          <w:p>
            <w:pPr>
              <w:rPr>
                <w:sz w:val="2"/>
                <w:szCs w:val="2"/>
              </w:rPr>
            </w:pPr>
          </w:p>
        </w:tc>
        <w:tc>
          <w:tcPr>
            <w:tcW w:w="805" w:type="dxa"/>
            <w:vMerge/>
            <w:tcBorders>
              <w:top w:val="nil"/>
            </w:tcBorders>
          </w:tcPr>
          <w:p>
            <w:pPr>
              <w:rPr>
                <w:sz w:val="2"/>
                <w:szCs w:val="2"/>
              </w:rPr>
            </w:pPr>
          </w:p>
        </w:tc>
        <w:tc>
          <w:tcPr>
            <w:tcW w:w="685" w:type="dxa"/>
            <w:vMerge/>
            <w:tcBorders>
              <w:top w:val="nil"/>
            </w:tcBorders>
          </w:tcPr>
          <w:p>
            <w:pPr>
              <w:rPr>
                <w:sz w:val="2"/>
                <w:szCs w:val="2"/>
              </w:rPr>
            </w:pPr>
          </w:p>
        </w:tc>
      </w:tr>
      <w:tr>
        <w:trPr>
          <w:trHeight w:val="263" w:hRule="atLeast"/>
        </w:trPr>
        <w:tc>
          <w:tcPr>
            <w:tcW w:w="3607" w:type="dxa"/>
          </w:tcPr>
          <w:p>
            <w:pPr>
              <w:pStyle w:val="TableParagraph"/>
              <w:spacing w:line="229" w:lineRule="exact"/>
              <w:ind w:left="107"/>
              <w:rPr>
                <w:sz w:val="20"/>
              </w:rPr>
            </w:pPr>
            <w:r>
              <w:rPr>
                <w:sz w:val="20"/>
              </w:rPr>
              <w:t>Graduated</w:t>
            </w:r>
            <w:r>
              <w:rPr>
                <w:spacing w:val="43"/>
                <w:sz w:val="20"/>
              </w:rPr>
              <w:t> </w:t>
            </w:r>
            <w:r>
              <w:rPr>
                <w:sz w:val="20"/>
              </w:rPr>
              <w:t>Spring</w:t>
            </w:r>
            <w:r>
              <w:rPr>
                <w:spacing w:val="-6"/>
                <w:sz w:val="20"/>
              </w:rPr>
              <w:t> </w:t>
            </w:r>
            <w:r>
              <w:rPr>
                <w:spacing w:val="-4"/>
                <w:sz w:val="20"/>
              </w:rPr>
              <w:t>2008</w:t>
            </w:r>
          </w:p>
        </w:tc>
        <w:tc>
          <w:tcPr>
            <w:tcW w:w="804" w:type="dxa"/>
          </w:tcPr>
          <w:p>
            <w:pPr>
              <w:pStyle w:val="TableParagraph"/>
              <w:spacing w:line="229" w:lineRule="exact"/>
              <w:ind w:right="93"/>
              <w:jc w:val="right"/>
              <w:rPr>
                <w:sz w:val="20"/>
              </w:rPr>
            </w:pPr>
            <w:r>
              <w:rPr>
                <w:w w:val="99"/>
                <w:sz w:val="20"/>
              </w:rPr>
              <w:t>0</w:t>
            </w:r>
          </w:p>
        </w:tc>
        <w:tc>
          <w:tcPr>
            <w:tcW w:w="806" w:type="dxa"/>
          </w:tcPr>
          <w:p>
            <w:pPr>
              <w:pStyle w:val="TableParagraph"/>
              <w:spacing w:line="229" w:lineRule="exact"/>
              <w:ind w:right="92"/>
              <w:jc w:val="right"/>
              <w:rPr>
                <w:sz w:val="20"/>
              </w:rPr>
            </w:pPr>
            <w:r>
              <w:rPr>
                <w:w w:val="99"/>
                <w:sz w:val="20"/>
              </w:rPr>
              <w:t>0</w:t>
            </w:r>
          </w:p>
        </w:tc>
        <w:tc>
          <w:tcPr>
            <w:tcW w:w="806" w:type="dxa"/>
            <w:vMerge/>
            <w:tcBorders>
              <w:top w:val="nil"/>
            </w:tcBorders>
          </w:tcPr>
          <w:p>
            <w:pPr>
              <w:rPr>
                <w:sz w:val="2"/>
                <w:szCs w:val="2"/>
              </w:rPr>
            </w:pPr>
          </w:p>
        </w:tc>
        <w:tc>
          <w:tcPr>
            <w:tcW w:w="808" w:type="dxa"/>
            <w:vMerge/>
            <w:tcBorders>
              <w:top w:val="nil"/>
            </w:tcBorders>
          </w:tcPr>
          <w:p>
            <w:pPr>
              <w:rPr>
                <w:sz w:val="2"/>
                <w:szCs w:val="2"/>
              </w:rPr>
            </w:pPr>
          </w:p>
        </w:tc>
        <w:tc>
          <w:tcPr>
            <w:tcW w:w="803" w:type="dxa"/>
            <w:vMerge/>
            <w:tcBorders>
              <w:top w:val="nil"/>
            </w:tcBorders>
          </w:tcPr>
          <w:p>
            <w:pPr>
              <w:rPr>
                <w:sz w:val="2"/>
                <w:szCs w:val="2"/>
              </w:rPr>
            </w:pPr>
          </w:p>
        </w:tc>
        <w:tc>
          <w:tcPr>
            <w:tcW w:w="805" w:type="dxa"/>
            <w:vMerge/>
            <w:tcBorders>
              <w:top w:val="nil"/>
            </w:tcBorders>
          </w:tcPr>
          <w:p>
            <w:pPr>
              <w:rPr>
                <w:sz w:val="2"/>
                <w:szCs w:val="2"/>
              </w:rPr>
            </w:pPr>
          </w:p>
        </w:tc>
        <w:tc>
          <w:tcPr>
            <w:tcW w:w="805" w:type="dxa"/>
            <w:vMerge/>
            <w:tcBorders>
              <w:top w:val="nil"/>
            </w:tcBorders>
          </w:tcPr>
          <w:p>
            <w:pPr>
              <w:rPr>
                <w:sz w:val="2"/>
                <w:szCs w:val="2"/>
              </w:rPr>
            </w:pPr>
          </w:p>
        </w:tc>
        <w:tc>
          <w:tcPr>
            <w:tcW w:w="685" w:type="dxa"/>
            <w:vMerge/>
            <w:tcBorders>
              <w:top w:val="nil"/>
            </w:tcBorders>
          </w:tcPr>
          <w:p>
            <w:pPr>
              <w:rPr>
                <w:sz w:val="2"/>
                <w:szCs w:val="2"/>
              </w:rPr>
            </w:pPr>
          </w:p>
        </w:tc>
      </w:tr>
      <w:tr>
        <w:trPr>
          <w:trHeight w:val="263" w:hRule="atLeast"/>
        </w:trPr>
        <w:tc>
          <w:tcPr>
            <w:tcW w:w="3607" w:type="dxa"/>
          </w:tcPr>
          <w:p>
            <w:pPr>
              <w:pStyle w:val="TableParagraph"/>
              <w:spacing w:line="229" w:lineRule="exact"/>
              <w:ind w:left="107"/>
              <w:rPr>
                <w:sz w:val="20"/>
              </w:rPr>
            </w:pPr>
            <w:r>
              <w:rPr>
                <w:sz w:val="20"/>
              </w:rPr>
              <w:t>Enrolled</w:t>
            </w:r>
            <w:r>
              <w:rPr>
                <w:spacing w:val="-8"/>
                <w:sz w:val="20"/>
              </w:rPr>
              <w:t> </w:t>
            </w:r>
            <w:r>
              <w:rPr>
                <w:sz w:val="20"/>
              </w:rPr>
              <w:t>Fall</w:t>
            </w:r>
            <w:r>
              <w:rPr>
                <w:spacing w:val="-6"/>
                <w:sz w:val="20"/>
              </w:rPr>
              <w:t> </w:t>
            </w:r>
            <w:r>
              <w:rPr>
                <w:spacing w:val="-4"/>
                <w:sz w:val="20"/>
              </w:rPr>
              <w:t>2008</w:t>
            </w:r>
          </w:p>
        </w:tc>
        <w:tc>
          <w:tcPr>
            <w:tcW w:w="804" w:type="dxa"/>
          </w:tcPr>
          <w:p>
            <w:pPr>
              <w:pStyle w:val="TableParagraph"/>
              <w:spacing w:line="229" w:lineRule="exact"/>
              <w:ind w:right="96"/>
              <w:jc w:val="right"/>
              <w:rPr>
                <w:sz w:val="20"/>
              </w:rPr>
            </w:pPr>
            <w:r>
              <w:rPr>
                <w:spacing w:val="-5"/>
                <w:sz w:val="20"/>
              </w:rPr>
              <w:t>19</w:t>
            </w:r>
          </w:p>
        </w:tc>
        <w:tc>
          <w:tcPr>
            <w:tcW w:w="806" w:type="dxa"/>
          </w:tcPr>
          <w:p>
            <w:pPr>
              <w:pStyle w:val="TableParagraph"/>
              <w:spacing w:line="229" w:lineRule="exact"/>
              <w:ind w:right="95"/>
              <w:jc w:val="right"/>
              <w:rPr>
                <w:sz w:val="20"/>
              </w:rPr>
            </w:pPr>
            <w:r>
              <w:rPr>
                <w:spacing w:val="-5"/>
                <w:sz w:val="20"/>
              </w:rPr>
              <w:t>24</w:t>
            </w:r>
          </w:p>
        </w:tc>
        <w:tc>
          <w:tcPr>
            <w:tcW w:w="806" w:type="dxa"/>
            <w:shd w:val="clear" w:color="auto" w:fill="DCE6F1"/>
          </w:tcPr>
          <w:p>
            <w:pPr>
              <w:pStyle w:val="TableParagraph"/>
              <w:spacing w:line="227" w:lineRule="exact"/>
              <w:ind w:right="95"/>
              <w:jc w:val="right"/>
              <w:rPr>
                <w:b/>
                <w:sz w:val="20"/>
              </w:rPr>
            </w:pPr>
            <w:r>
              <w:rPr>
                <w:b/>
                <w:spacing w:val="-5"/>
                <w:sz w:val="20"/>
              </w:rPr>
              <w:t>36</w:t>
            </w:r>
          </w:p>
        </w:tc>
        <w:tc>
          <w:tcPr>
            <w:tcW w:w="808" w:type="dxa"/>
            <w:vMerge/>
            <w:tcBorders>
              <w:top w:val="nil"/>
            </w:tcBorders>
          </w:tcPr>
          <w:p>
            <w:pPr>
              <w:rPr>
                <w:sz w:val="2"/>
                <w:szCs w:val="2"/>
              </w:rPr>
            </w:pPr>
          </w:p>
        </w:tc>
        <w:tc>
          <w:tcPr>
            <w:tcW w:w="803" w:type="dxa"/>
            <w:vMerge/>
            <w:tcBorders>
              <w:top w:val="nil"/>
            </w:tcBorders>
          </w:tcPr>
          <w:p>
            <w:pPr>
              <w:rPr>
                <w:sz w:val="2"/>
                <w:szCs w:val="2"/>
              </w:rPr>
            </w:pPr>
          </w:p>
        </w:tc>
        <w:tc>
          <w:tcPr>
            <w:tcW w:w="805" w:type="dxa"/>
            <w:vMerge/>
            <w:tcBorders>
              <w:top w:val="nil"/>
            </w:tcBorders>
          </w:tcPr>
          <w:p>
            <w:pPr>
              <w:rPr>
                <w:sz w:val="2"/>
                <w:szCs w:val="2"/>
              </w:rPr>
            </w:pPr>
          </w:p>
        </w:tc>
        <w:tc>
          <w:tcPr>
            <w:tcW w:w="805" w:type="dxa"/>
            <w:vMerge/>
            <w:tcBorders>
              <w:top w:val="nil"/>
            </w:tcBorders>
          </w:tcPr>
          <w:p>
            <w:pPr>
              <w:rPr>
                <w:sz w:val="2"/>
                <w:szCs w:val="2"/>
              </w:rPr>
            </w:pPr>
          </w:p>
        </w:tc>
        <w:tc>
          <w:tcPr>
            <w:tcW w:w="685" w:type="dxa"/>
            <w:vMerge/>
            <w:tcBorders>
              <w:top w:val="nil"/>
            </w:tcBorders>
          </w:tcPr>
          <w:p>
            <w:pPr>
              <w:rPr>
                <w:sz w:val="2"/>
                <w:szCs w:val="2"/>
              </w:rPr>
            </w:pPr>
          </w:p>
        </w:tc>
      </w:tr>
      <w:tr>
        <w:trPr>
          <w:trHeight w:val="265" w:hRule="atLeast"/>
        </w:trPr>
        <w:tc>
          <w:tcPr>
            <w:tcW w:w="4411" w:type="dxa"/>
            <w:gridSpan w:val="2"/>
            <w:shd w:val="clear" w:color="auto" w:fill="D8E4BC"/>
          </w:tcPr>
          <w:p>
            <w:pPr>
              <w:pStyle w:val="TableParagraph"/>
              <w:spacing w:line="229" w:lineRule="exact"/>
              <w:ind w:left="2171"/>
              <w:rPr>
                <w:b/>
                <w:sz w:val="20"/>
              </w:rPr>
            </w:pPr>
            <w:r>
              <w:rPr>
                <w:b/>
                <w:sz w:val="20"/>
              </w:rPr>
              <w:t>2007</w:t>
            </w:r>
            <w:r>
              <w:rPr>
                <w:b/>
                <w:spacing w:val="-9"/>
                <w:sz w:val="20"/>
              </w:rPr>
              <w:t> </w:t>
            </w:r>
            <w:r>
              <w:rPr>
                <w:b/>
                <w:sz w:val="20"/>
              </w:rPr>
              <w:t>Cohort</w:t>
            </w:r>
            <w:r>
              <w:rPr>
                <w:b/>
                <w:spacing w:val="-7"/>
                <w:sz w:val="20"/>
              </w:rPr>
              <w:t> </w:t>
            </w:r>
            <w:r>
              <w:rPr>
                <w:b/>
                <w:spacing w:val="-2"/>
                <w:sz w:val="20"/>
              </w:rPr>
              <w:t>Retention</w:t>
            </w:r>
          </w:p>
        </w:tc>
        <w:tc>
          <w:tcPr>
            <w:tcW w:w="806" w:type="dxa"/>
            <w:shd w:val="clear" w:color="auto" w:fill="D8E4BC"/>
          </w:tcPr>
          <w:p>
            <w:pPr>
              <w:pStyle w:val="TableParagraph"/>
              <w:spacing w:line="229" w:lineRule="exact"/>
              <w:ind w:right="93"/>
              <w:jc w:val="right"/>
              <w:rPr>
                <w:b/>
                <w:sz w:val="20"/>
              </w:rPr>
            </w:pPr>
            <w:r>
              <w:rPr>
                <w:b/>
                <w:spacing w:val="-2"/>
                <w:sz w:val="20"/>
              </w:rPr>
              <w:t>51.1%</w:t>
            </w:r>
          </w:p>
        </w:tc>
        <w:tc>
          <w:tcPr>
            <w:tcW w:w="806" w:type="dxa"/>
            <w:shd w:val="clear" w:color="auto" w:fill="DADADA"/>
          </w:tcPr>
          <w:p>
            <w:pPr>
              <w:pStyle w:val="TableParagraph"/>
              <w:rPr>
                <w:rFonts w:ascii="Times New Roman"/>
                <w:sz w:val="18"/>
              </w:rPr>
            </w:pPr>
          </w:p>
        </w:tc>
        <w:tc>
          <w:tcPr>
            <w:tcW w:w="808" w:type="dxa"/>
            <w:vMerge/>
            <w:tcBorders>
              <w:top w:val="nil"/>
            </w:tcBorders>
          </w:tcPr>
          <w:p>
            <w:pPr>
              <w:rPr>
                <w:sz w:val="2"/>
                <w:szCs w:val="2"/>
              </w:rPr>
            </w:pPr>
          </w:p>
        </w:tc>
        <w:tc>
          <w:tcPr>
            <w:tcW w:w="803" w:type="dxa"/>
            <w:vMerge/>
            <w:tcBorders>
              <w:top w:val="nil"/>
            </w:tcBorders>
          </w:tcPr>
          <w:p>
            <w:pPr>
              <w:rPr>
                <w:sz w:val="2"/>
                <w:szCs w:val="2"/>
              </w:rPr>
            </w:pPr>
          </w:p>
        </w:tc>
        <w:tc>
          <w:tcPr>
            <w:tcW w:w="805" w:type="dxa"/>
            <w:vMerge/>
            <w:tcBorders>
              <w:top w:val="nil"/>
            </w:tcBorders>
          </w:tcPr>
          <w:p>
            <w:pPr>
              <w:rPr>
                <w:sz w:val="2"/>
                <w:szCs w:val="2"/>
              </w:rPr>
            </w:pPr>
          </w:p>
        </w:tc>
        <w:tc>
          <w:tcPr>
            <w:tcW w:w="805" w:type="dxa"/>
            <w:vMerge/>
            <w:tcBorders>
              <w:top w:val="nil"/>
            </w:tcBorders>
          </w:tcPr>
          <w:p>
            <w:pPr>
              <w:rPr>
                <w:sz w:val="2"/>
                <w:szCs w:val="2"/>
              </w:rPr>
            </w:pPr>
          </w:p>
        </w:tc>
        <w:tc>
          <w:tcPr>
            <w:tcW w:w="685" w:type="dxa"/>
            <w:vMerge/>
            <w:tcBorders>
              <w:top w:val="nil"/>
            </w:tcBorders>
          </w:tcPr>
          <w:p>
            <w:pPr>
              <w:rPr>
                <w:sz w:val="2"/>
                <w:szCs w:val="2"/>
              </w:rPr>
            </w:pPr>
          </w:p>
        </w:tc>
      </w:tr>
      <w:tr>
        <w:trPr>
          <w:trHeight w:val="263" w:hRule="atLeast"/>
        </w:trPr>
        <w:tc>
          <w:tcPr>
            <w:tcW w:w="3607" w:type="dxa"/>
          </w:tcPr>
          <w:p>
            <w:pPr>
              <w:pStyle w:val="TableParagraph"/>
              <w:spacing w:line="229" w:lineRule="exact"/>
              <w:ind w:left="107"/>
              <w:rPr>
                <w:sz w:val="20"/>
              </w:rPr>
            </w:pPr>
            <w:r>
              <w:rPr>
                <w:sz w:val="20"/>
              </w:rPr>
              <w:t>Graduated</w:t>
            </w:r>
            <w:r>
              <w:rPr>
                <w:spacing w:val="43"/>
                <w:sz w:val="20"/>
              </w:rPr>
              <w:t> </w:t>
            </w:r>
            <w:r>
              <w:rPr>
                <w:sz w:val="20"/>
              </w:rPr>
              <w:t>Fall</w:t>
            </w:r>
            <w:r>
              <w:rPr>
                <w:spacing w:val="-5"/>
                <w:sz w:val="20"/>
              </w:rPr>
              <w:t> </w:t>
            </w:r>
            <w:r>
              <w:rPr>
                <w:spacing w:val="-4"/>
                <w:sz w:val="20"/>
              </w:rPr>
              <w:t>2008</w:t>
            </w:r>
          </w:p>
        </w:tc>
        <w:tc>
          <w:tcPr>
            <w:tcW w:w="804" w:type="dxa"/>
          </w:tcPr>
          <w:p>
            <w:pPr>
              <w:pStyle w:val="TableParagraph"/>
              <w:spacing w:line="229" w:lineRule="exact"/>
              <w:ind w:right="93"/>
              <w:jc w:val="right"/>
              <w:rPr>
                <w:sz w:val="20"/>
              </w:rPr>
            </w:pPr>
            <w:r>
              <w:rPr>
                <w:w w:val="99"/>
                <w:sz w:val="20"/>
              </w:rPr>
              <w:t>0</w:t>
            </w:r>
          </w:p>
        </w:tc>
        <w:tc>
          <w:tcPr>
            <w:tcW w:w="806" w:type="dxa"/>
          </w:tcPr>
          <w:p>
            <w:pPr>
              <w:pStyle w:val="TableParagraph"/>
              <w:spacing w:line="229" w:lineRule="exact"/>
              <w:ind w:right="92"/>
              <w:jc w:val="right"/>
              <w:rPr>
                <w:sz w:val="20"/>
              </w:rPr>
            </w:pPr>
            <w:r>
              <w:rPr>
                <w:w w:val="99"/>
                <w:sz w:val="20"/>
              </w:rPr>
              <w:t>0</w:t>
            </w:r>
          </w:p>
        </w:tc>
        <w:tc>
          <w:tcPr>
            <w:tcW w:w="806" w:type="dxa"/>
          </w:tcPr>
          <w:p>
            <w:pPr>
              <w:pStyle w:val="TableParagraph"/>
              <w:spacing w:line="229" w:lineRule="exact"/>
              <w:ind w:right="92"/>
              <w:jc w:val="right"/>
              <w:rPr>
                <w:sz w:val="20"/>
              </w:rPr>
            </w:pPr>
            <w:r>
              <w:rPr>
                <w:w w:val="99"/>
                <w:sz w:val="20"/>
              </w:rPr>
              <w:t>0</w:t>
            </w:r>
          </w:p>
        </w:tc>
        <w:tc>
          <w:tcPr>
            <w:tcW w:w="808" w:type="dxa"/>
            <w:vMerge/>
            <w:tcBorders>
              <w:top w:val="nil"/>
            </w:tcBorders>
          </w:tcPr>
          <w:p>
            <w:pPr>
              <w:rPr>
                <w:sz w:val="2"/>
                <w:szCs w:val="2"/>
              </w:rPr>
            </w:pPr>
          </w:p>
        </w:tc>
        <w:tc>
          <w:tcPr>
            <w:tcW w:w="803" w:type="dxa"/>
            <w:vMerge/>
            <w:tcBorders>
              <w:top w:val="nil"/>
            </w:tcBorders>
          </w:tcPr>
          <w:p>
            <w:pPr>
              <w:rPr>
                <w:sz w:val="2"/>
                <w:szCs w:val="2"/>
              </w:rPr>
            </w:pPr>
          </w:p>
        </w:tc>
        <w:tc>
          <w:tcPr>
            <w:tcW w:w="805" w:type="dxa"/>
            <w:vMerge/>
            <w:tcBorders>
              <w:top w:val="nil"/>
            </w:tcBorders>
          </w:tcPr>
          <w:p>
            <w:pPr>
              <w:rPr>
                <w:sz w:val="2"/>
                <w:szCs w:val="2"/>
              </w:rPr>
            </w:pPr>
          </w:p>
        </w:tc>
        <w:tc>
          <w:tcPr>
            <w:tcW w:w="805" w:type="dxa"/>
            <w:vMerge/>
            <w:tcBorders>
              <w:top w:val="nil"/>
            </w:tcBorders>
          </w:tcPr>
          <w:p>
            <w:pPr>
              <w:rPr>
                <w:sz w:val="2"/>
                <w:szCs w:val="2"/>
              </w:rPr>
            </w:pPr>
          </w:p>
        </w:tc>
        <w:tc>
          <w:tcPr>
            <w:tcW w:w="685" w:type="dxa"/>
            <w:vMerge/>
            <w:tcBorders>
              <w:top w:val="nil"/>
            </w:tcBorders>
          </w:tcPr>
          <w:p>
            <w:pPr>
              <w:rPr>
                <w:sz w:val="2"/>
                <w:szCs w:val="2"/>
              </w:rPr>
            </w:pPr>
          </w:p>
        </w:tc>
      </w:tr>
      <w:tr>
        <w:trPr>
          <w:trHeight w:val="265" w:hRule="atLeast"/>
        </w:trPr>
        <w:tc>
          <w:tcPr>
            <w:tcW w:w="3607" w:type="dxa"/>
          </w:tcPr>
          <w:p>
            <w:pPr>
              <w:pStyle w:val="TableParagraph"/>
              <w:spacing w:line="229" w:lineRule="exact"/>
              <w:ind w:left="107"/>
              <w:rPr>
                <w:sz w:val="20"/>
              </w:rPr>
            </w:pPr>
            <w:r>
              <w:rPr>
                <w:sz w:val="20"/>
              </w:rPr>
              <w:t>Graduated</w:t>
            </w:r>
            <w:r>
              <w:rPr>
                <w:spacing w:val="43"/>
                <w:sz w:val="20"/>
              </w:rPr>
              <w:t> </w:t>
            </w:r>
            <w:r>
              <w:rPr>
                <w:sz w:val="20"/>
              </w:rPr>
              <w:t>Spring</w:t>
            </w:r>
            <w:r>
              <w:rPr>
                <w:spacing w:val="-6"/>
                <w:sz w:val="20"/>
              </w:rPr>
              <w:t> </w:t>
            </w:r>
            <w:r>
              <w:rPr>
                <w:spacing w:val="-4"/>
                <w:sz w:val="20"/>
              </w:rPr>
              <w:t>2009</w:t>
            </w:r>
          </w:p>
        </w:tc>
        <w:tc>
          <w:tcPr>
            <w:tcW w:w="804" w:type="dxa"/>
          </w:tcPr>
          <w:p>
            <w:pPr>
              <w:pStyle w:val="TableParagraph"/>
              <w:spacing w:line="229" w:lineRule="exact"/>
              <w:ind w:right="93"/>
              <w:jc w:val="right"/>
              <w:rPr>
                <w:sz w:val="20"/>
              </w:rPr>
            </w:pPr>
            <w:r>
              <w:rPr>
                <w:w w:val="99"/>
                <w:sz w:val="20"/>
              </w:rPr>
              <w:t>0</w:t>
            </w:r>
          </w:p>
        </w:tc>
        <w:tc>
          <w:tcPr>
            <w:tcW w:w="806" w:type="dxa"/>
          </w:tcPr>
          <w:p>
            <w:pPr>
              <w:pStyle w:val="TableParagraph"/>
              <w:spacing w:line="229" w:lineRule="exact"/>
              <w:ind w:right="92"/>
              <w:jc w:val="right"/>
              <w:rPr>
                <w:sz w:val="20"/>
              </w:rPr>
            </w:pPr>
            <w:r>
              <w:rPr>
                <w:w w:val="99"/>
                <w:sz w:val="20"/>
              </w:rPr>
              <w:t>0</w:t>
            </w:r>
          </w:p>
        </w:tc>
        <w:tc>
          <w:tcPr>
            <w:tcW w:w="806" w:type="dxa"/>
          </w:tcPr>
          <w:p>
            <w:pPr>
              <w:pStyle w:val="TableParagraph"/>
              <w:spacing w:line="229" w:lineRule="exact"/>
              <w:ind w:right="92"/>
              <w:jc w:val="right"/>
              <w:rPr>
                <w:sz w:val="20"/>
              </w:rPr>
            </w:pPr>
            <w:r>
              <w:rPr>
                <w:w w:val="99"/>
                <w:sz w:val="20"/>
              </w:rPr>
              <w:t>0</w:t>
            </w:r>
          </w:p>
        </w:tc>
        <w:tc>
          <w:tcPr>
            <w:tcW w:w="808" w:type="dxa"/>
            <w:vMerge/>
            <w:tcBorders>
              <w:top w:val="nil"/>
            </w:tcBorders>
          </w:tcPr>
          <w:p>
            <w:pPr>
              <w:rPr>
                <w:sz w:val="2"/>
                <w:szCs w:val="2"/>
              </w:rPr>
            </w:pPr>
          </w:p>
        </w:tc>
        <w:tc>
          <w:tcPr>
            <w:tcW w:w="803" w:type="dxa"/>
            <w:vMerge/>
            <w:tcBorders>
              <w:top w:val="nil"/>
            </w:tcBorders>
          </w:tcPr>
          <w:p>
            <w:pPr>
              <w:rPr>
                <w:sz w:val="2"/>
                <w:szCs w:val="2"/>
              </w:rPr>
            </w:pPr>
          </w:p>
        </w:tc>
        <w:tc>
          <w:tcPr>
            <w:tcW w:w="805" w:type="dxa"/>
            <w:vMerge/>
            <w:tcBorders>
              <w:top w:val="nil"/>
            </w:tcBorders>
          </w:tcPr>
          <w:p>
            <w:pPr>
              <w:rPr>
                <w:sz w:val="2"/>
                <w:szCs w:val="2"/>
              </w:rPr>
            </w:pPr>
          </w:p>
        </w:tc>
        <w:tc>
          <w:tcPr>
            <w:tcW w:w="805" w:type="dxa"/>
            <w:vMerge/>
            <w:tcBorders>
              <w:top w:val="nil"/>
            </w:tcBorders>
          </w:tcPr>
          <w:p>
            <w:pPr>
              <w:rPr>
                <w:sz w:val="2"/>
                <w:szCs w:val="2"/>
              </w:rPr>
            </w:pPr>
          </w:p>
        </w:tc>
        <w:tc>
          <w:tcPr>
            <w:tcW w:w="685" w:type="dxa"/>
            <w:vMerge/>
            <w:tcBorders>
              <w:top w:val="nil"/>
            </w:tcBorders>
          </w:tcPr>
          <w:p>
            <w:pPr>
              <w:rPr>
                <w:sz w:val="2"/>
                <w:szCs w:val="2"/>
              </w:rPr>
            </w:pPr>
          </w:p>
        </w:tc>
      </w:tr>
      <w:tr>
        <w:trPr>
          <w:trHeight w:val="263" w:hRule="atLeast"/>
        </w:trPr>
        <w:tc>
          <w:tcPr>
            <w:tcW w:w="3607" w:type="dxa"/>
          </w:tcPr>
          <w:p>
            <w:pPr>
              <w:pStyle w:val="TableParagraph"/>
              <w:spacing w:line="229" w:lineRule="exact"/>
              <w:ind w:left="107"/>
              <w:rPr>
                <w:sz w:val="20"/>
              </w:rPr>
            </w:pPr>
            <w:r>
              <w:rPr>
                <w:sz w:val="20"/>
              </w:rPr>
              <w:t>Enrolled</w:t>
            </w:r>
            <w:r>
              <w:rPr>
                <w:spacing w:val="-8"/>
                <w:sz w:val="20"/>
              </w:rPr>
              <w:t> </w:t>
            </w:r>
            <w:r>
              <w:rPr>
                <w:sz w:val="20"/>
              </w:rPr>
              <w:t>Fall</w:t>
            </w:r>
            <w:r>
              <w:rPr>
                <w:spacing w:val="-6"/>
                <w:sz w:val="20"/>
              </w:rPr>
              <w:t> </w:t>
            </w:r>
            <w:r>
              <w:rPr>
                <w:spacing w:val="-4"/>
                <w:sz w:val="20"/>
              </w:rPr>
              <w:t>2009</w:t>
            </w:r>
          </w:p>
        </w:tc>
        <w:tc>
          <w:tcPr>
            <w:tcW w:w="804" w:type="dxa"/>
          </w:tcPr>
          <w:p>
            <w:pPr>
              <w:pStyle w:val="TableParagraph"/>
              <w:spacing w:line="229" w:lineRule="exact"/>
              <w:ind w:right="96"/>
              <w:jc w:val="right"/>
              <w:rPr>
                <w:sz w:val="20"/>
              </w:rPr>
            </w:pPr>
            <w:r>
              <w:rPr>
                <w:spacing w:val="-5"/>
                <w:sz w:val="20"/>
              </w:rPr>
              <w:t>18</w:t>
            </w:r>
          </w:p>
        </w:tc>
        <w:tc>
          <w:tcPr>
            <w:tcW w:w="806" w:type="dxa"/>
          </w:tcPr>
          <w:p>
            <w:pPr>
              <w:pStyle w:val="TableParagraph"/>
              <w:spacing w:line="229" w:lineRule="exact"/>
              <w:ind w:right="95"/>
              <w:jc w:val="right"/>
              <w:rPr>
                <w:sz w:val="20"/>
              </w:rPr>
            </w:pPr>
            <w:r>
              <w:rPr>
                <w:spacing w:val="-5"/>
                <w:sz w:val="20"/>
              </w:rPr>
              <w:t>18</w:t>
            </w:r>
          </w:p>
        </w:tc>
        <w:tc>
          <w:tcPr>
            <w:tcW w:w="806" w:type="dxa"/>
          </w:tcPr>
          <w:p>
            <w:pPr>
              <w:pStyle w:val="TableParagraph"/>
              <w:spacing w:line="229" w:lineRule="exact"/>
              <w:ind w:right="95"/>
              <w:jc w:val="right"/>
              <w:rPr>
                <w:sz w:val="20"/>
              </w:rPr>
            </w:pPr>
            <w:r>
              <w:rPr>
                <w:spacing w:val="-5"/>
                <w:sz w:val="20"/>
              </w:rPr>
              <w:t>22</w:t>
            </w:r>
          </w:p>
        </w:tc>
        <w:tc>
          <w:tcPr>
            <w:tcW w:w="808" w:type="dxa"/>
            <w:shd w:val="clear" w:color="auto" w:fill="DCE6F1"/>
          </w:tcPr>
          <w:p>
            <w:pPr>
              <w:pStyle w:val="TableParagraph"/>
              <w:spacing w:line="227" w:lineRule="exact"/>
              <w:ind w:right="96"/>
              <w:jc w:val="right"/>
              <w:rPr>
                <w:b/>
                <w:sz w:val="20"/>
              </w:rPr>
            </w:pPr>
            <w:r>
              <w:rPr>
                <w:b/>
                <w:spacing w:val="-5"/>
                <w:sz w:val="20"/>
              </w:rPr>
              <w:t>36</w:t>
            </w:r>
          </w:p>
        </w:tc>
        <w:tc>
          <w:tcPr>
            <w:tcW w:w="803" w:type="dxa"/>
            <w:vMerge/>
            <w:tcBorders>
              <w:top w:val="nil"/>
            </w:tcBorders>
          </w:tcPr>
          <w:p>
            <w:pPr>
              <w:rPr>
                <w:sz w:val="2"/>
                <w:szCs w:val="2"/>
              </w:rPr>
            </w:pPr>
          </w:p>
        </w:tc>
        <w:tc>
          <w:tcPr>
            <w:tcW w:w="805" w:type="dxa"/>
            <w:vMerge/>
            <w:tcBorders>
              <w:top w:val="nil"/>
            </w:tcBorders>
          </w:tcPr>
          <w:p>
            <w:pPr>
              <w:rPr>
                <w:sz w:val="2"/>
                <w:szCs w:val="2"/>
              </w:rPr>
            </w:pPr>
          </w:p>
        </w:tc>
        <w:tc>
          <w:tcPr>
            <w:tcW w:w="805" w:type="dxa"/>
            <w:vMerge/>
            <w:tcBorders>
              <w:top w:val="nil"/>
            </w:tcBorders>
          </w:tcPr>
          <w:p>
            <w:pPr>
              <w:rPr>
                <w:sz w:val="2"/>
                <w:szCs w:val="2"/>
              </w:rPr>
            </w:pPr>
          </w:p>
        </w:tc>
        <w:tc>
          <w:tcPr>
            <w:tcW w:w="685" w:type="dxa"/>
            <w:vMerge/>
            <w:tcBorders>
              <w:top w:val="nil"/>
            </w:tcBorders>
          </w:tcPr>
          <w:p>
            <w:pPr>
              <w:rPr>
                <w:sz w:val="2"/>
                <w:szCs w:val="2"/>
              </w:rPr>
            </w:pPr>
          </w:p>
        </w:tc>
      </w:tr>
      <w:tr>
        <w:trPr>
          <w:trHeight w:val="263" w:hRule="atLeast"/>
        </w:trPr>
        <w:tc>
          <w:tcPr>
            <w:tcW w:w="5217" w:type="dxa"/>
            <w:gridSpan w:val="3"/>
            <w:tcBorders>
              <w:right w:val="nil"/>
            </w:tcBorders>
            <w:shd w:val="clear" w:color="auto" w:fill="D8E4BC"/>
          </w:tcPr>
          <w:p>
            <w:pPr>
              <w:pStyle w:val="TableParagraph"/>
              <w:spacing w:line="227" w:lineRule="exact"/>
              <w:ind w:left="2978"/>
              <w:rPr>
                <w:b/>
                <w:sz w:val="20"/>
              </w:rPr>
            </w:pPr>
            <w:r>
              <w:rPr>
                <w:b/>
                <w:sz w:val="20"/>
              </w:rPr>
              <w:t>2008</w:t>
            </w:r>
            <w:r>
              <w:rPr>
                <w:b/>
                <w:spacing w:val="-9"/>
                <w:sz w:val="20"/>
              </w:rPr>
              <w:t> </w:t>
            </w:r>
            <w:r>
              <w:rPr>
                <w:b/>
                <w:sz w:val="20"/>
              </w:rPr>
              <w:t>Cohort</w:t>
            </w:r>
            <w:r>
              <w:rPr>
                <w:b/>
                <w:spacing w:val="-7"/>
                <w:sz w:val="20"/>
              </w:rPr>
              <w:t> </w:t>
            </w:r>
            <w:r>
              <w:rPr>
                <w:b/>
                <w:spacing w:val="-2"/>
                <w:sz w:val="20"/>
              </w:rPr>
              <w:t>Retention</w:t>
            </w:r>
          </w:p>
        </w:tc>
        <w:tc>
          <w:tcPr>
            <w:tcW w:w="806" w:type="dxa"/>
            <w:tcBorders>
              <w:left w:val="nil"/>
            </w:tcBorders>
            <w:shd w:val="clear" w:color="auto" w:fill="D8E4BC"/>
          </w:tcPr>
          <w:p>
            <w:pPr>
              <w:pStyle w:val="TableParagraph"/>
              <w:spacing w:line="227" w:lineRule="exact"/>
              <w:ind w:right="93"/>
              <w:jc w:val="right"/>
              <w:rPr>
                <w:b/>
                <w:sz w:val="20"/>
              </w:rPr>
            </w:pPr>
            <w:r>
              <w:rPr>
                <w:b/>
                <w:spacing w:val="-2"/>
                <w:sz w:val="20"/>
              </w:rPr>
              <w:t>61.1%</w:t>
            </w:r>
          </w:p>
        </w:tc>
        <w:tc>
          <w:tcPr>
            <w:tcW w:w="808" w:type="dxa"/>
            <w:shd w:val="clear" w:color="auto" w:fill="DADADA"/>
          </w:tcPr>
          <w:p>
            <w:pPr>
              <w:pStyle w:val="TableParagraph"/>
              <w:rPr>
                <w:rFonts w:ascii="Times New Roman"/>
                <w:sz w:val="18"/>
              </w:rPr>
            </w:pPr>
          </w:p>
        </w:tc>
        <w:tc>
          <w:tcPr>
            <w:tcW w:w="803" w:type="dxa"/>
            <w:vMerge/>
            <w:tcBorders>
              <w:top w:val="nil"/>
            </w:tcBorders>
          </w:tcPr>
          <w:p>
            <w:pPr>
              <w:rPr>
                <w:sz w:val="2"/>
                <w:szCs w:val="2"/>
              </w:rPr>
            </w:pPr>
          </w:p>
        </w:tc>
        <w:tc>
          <w:tcPr>
            <w:tcW w:w="805" w:type="dxa"/>
            <w:vMerge/>
            <w:tcBorders>
              <w:top w:val="nil"/>
            </w:tcBorders>
          </w:tcPr>
          <w:p>
            <w:pPr>
              <w:rPr>
                <w:sz w:val="2"/>
                <w:szCs w:val="2"/>
              </w:rPr>
            </w:pPr>
          </w:p>
        </w:tc>
        <w:tc>
          <w:tcPr>
            <w:tcW w:w="805" w:type="dxa"/>
            <w:vMerge/>
            <w:tcBorders>
              <w:top w:val="nil"/>
            </w:tcBorders>
          </w:tcPr>
          <w:p>
            <w:pPr>
              <w:rPr>
                <w:sz w:val="2"/>
                <w:szCs w:val="2"/>
              </w:rPr>
            </w:pPr>
          </w:p>
        </w:tc>
        <w:tc>
          <w:tcPr>
            <w:tcW w:w="685" w:type="dxa"/>
            <w:vMerge/>
            <w:tcBorders>
              <w:top w:val="nil"/>
            </w:tcBorders>
          </w:tcPr>
          <w:p>
            <w:pPr>
              <w:rPr>
                <w:sz w:val="2"/>
                <w:szCs w:val="2"/>
              </w:rPr>
            </w:pPr>
          </w:p>
        </w:tc>
      </w:tr>
      <w:tr>
        <w:trPr>
          <w:trHeight w:val="266" w:hRule="atLeast"/>
        </w:trPr>
        <w:tc>
          <w:tcPr>
            <w:tcW w:w="3607" w:type="dxa"/>
          </w:tcPr>
          <w:p>
            <w:pPr>
              <w:pStyle w:val="TableParagraph"/>
              <w:spacing w:line="229" w:lineRule="exact"/>
              <w:ind w:left="107"/>
              <w:rPr>
                <w:sz w:val="20"/>
              </w:rPr>
            </w:pPr>
            <w:r>
              <w:rPr>
                <w:sz w:val="20"/>
              </w:rPr>
              <w:t>Graduated</w:t>
            </w:r>
            <w:r>
              <w:rPr>
                <w:spacing w:val="43"/>
                <w:sz w:val="20"/>
              </w:rPr>
              <w:t> </w:t>
            </w:r>
            <w:r>
              <w:rPr>
                <w:sz w:val="20"/>
              </w:rPr>
              <w:t>Fall</w:t>
            </w:r>
            <w:r>
              <w:rPr>
                <w:spacing w:val="-5"/>
                <w:sz w:val="20"/>
              </w:rPr>
              <w:t> </w:t>
            </w:r>
            <w:r>
              <w:rPr>
                <w:spacing w:val="-4"/>
                <w:sz w:val="20"/>
              </w:rPr>
              <w:t>2009</w:t>
            </w:r>
          </w:p>
        </w:tc>
        <w:tc>
          <w:tcPr>
            <w:tcW w:w="804" w:type="dxa"/>
          </w:tcPr>
          <w:p>
            <w:pPr>
              <w:pStyle w:val="TableParagraph"/>
              <w:spacing w:line="229" w:lineRule="exact"/>
              <w:ind w:right="93"/>
              <w:jc w:val="right"/>
              <w:rPr>
                <w:sz w:val="20"/>
              </w:rPr>
            </w:pPr>
            <w:r>
              <w:rPr>
                <w:w w:val="99"/>
                <w:sz w:val="20"/>
              </w:rPr>
              <w:t>0</w:t>
            </w:r>
          </w:p>
        </w:tc>
        <w:tc>
          <w:tcPr>
            <w:tcW w:w="806" w:type="dxa"/>
          </w:tcPr>
          <w:p>
            <w:pPr>
              <w:pStyle w:val="TableParagraph"/>
              <w:spacing w:line="229" w:lineRule="exact"/>
              <w:ind w:right="92"/>
              <w:jc w:val="right"/>
              <w:rPr>
                <w:sz w:val="20"/>
              </w:rPr>
            </w:pPr>
            <w:r>
              <w:rPr>
                <w:w w:val="99"/>
                <w:sz w:val="20"/>
              </w:rPr>
              <w:t>0</w:t>
            </w:r>
          </w:p>
        </w:tc>
        <w:tc>
          <w:tcPr>
            <w:tcW w:w="806" w:type="dxa"/>
          </w:tcPr>
          <w:p>
            <w:pPr>
              <w:pStyle w:val="TableParagraph"/>
              <w:spacing w:line="229" w:lineRule="exact"/>
              <w:ind w:right="92"/>
              <w:jc w:val="right"/>
              <w:rPr>
                <w:sz w:val="20"/>
              </w:rPr>
            </w:pPr>
            <w:r>
              <w:rPr>
                <w:w w:val="99"/>
                <w:sz w:val="20"/>
              </w:rPr>
              <w:t>0</w:t>
            </w:r>
          </w:p>
        </w:tc>
        <w:tc>
          <w:tcPr>
            <w:tcW w:w="808" w:type="dxa"/>
          </w:tcPr>
          <w:p>
            <w:pPr>
              <w:pStyle w:val="TableParagraph"/>
              <w:spacing w:line="229" w:lineRule="exact"/>
              <w:ind w:right="94"/>
              <w:jc w:val="right"/>
              <w:rPr>
                <w:sz w:val="20"/>
              </w:rPr>
            </w:pPr>
            <w:r>
              <w:rPr>
                <w:w w:val="99"/>
                <w:sz w:val="20"/>
              </w:rPr>
              <w:t>0</w:t>
            </w:r>
          </w:p>
        </w:tc>
        <w:tc>
          <w:tcPr>
            <w:tcW w:w="803" w:type="dxa"/>
            <w:vMerge/>
            <w:tcBorders>
              <w:top w:val="nil"/>
            </w:tcBorders>
          </w:tcPr>
          <w:p>
            <w:pPr>
              <w:rPr>
                <w:sz w:val="2"/>
                <w:szCs w:val="2"/>
              </w:rPr>
            </w:pPr>
          </w:p>
        </w:tc>
        <w:tc>
          <w:tcPr>
            <w:tcW w:w="805" w:type="dxa"/>
            <w:vMerge/>
            <w:tcBorders>
              <w:top w:val="nil"/>
            </w:tcBorders>
          </w:tcPr>
          <w:p>
            <w:pPr>
              <w:rPr>
                <w:sz w:val="2"/>
                <w:szCs w:val="2"/>
              </w:rPr>
            </w:pPr>
          </w:p>
        </w:tc>
        <w:tc>
          <w:tcPr>
            <w:tcW w:w="805" w:type="dxa"/>
            <w:vMerge/>
            <w:tcBorders>
              <w:top w:val="nil"/>
            </w:tcBorders>
          </w:tcPr>
          <w:p>
            <w:pPr>
              <w:rPr>
                <w:sz w:val="2"/>
                <w:szCs w:val="2"/>
              </w:rPr>
            </w:pPr>
          </w:p>
        </w:tc>
        <w:tc>
          <w:tcPr>
            <w:tcW w:w="685" w:type="dxa"/>
            <w:vMerge/>
            <w:tcBorders>
              <w:top w:val="nil"/>
            </w:tcBorders>
          </w:tcPr>
          <w:p>
            <w:pPr>
              <w:rPr>
                <w:sz w:val="2"/>
                <w:szCs w:val="2"/>
              </w:rPr>
            </w:pPr>
          </w:p>
        </w:tc>
      </w:tr>
      <w:tr>
        <w:trPr>
          <w:trHeight w:val="263" w:hRule="atLeast"/>
        </w:trPr>
        <w:tc>
          <w:tcPr>
            <w:tcW w:w="3607" w:type="dxa"/>
          </w:tcPr>
          <w:p>
            <w:pPr>
              <w:pStyle w:val="TableParagraph"/>
              <w:spacing w:line="229" w:lineRule="exact"/>
              <w:ind w:left="107"/>
              <w:rPr>
                <w:sz w:val="20"/>
              </w:rPr>
            </w:pPr>
            <w:r>
              <w:rPr>
                <w:sz w:val="20"/>
              </w:rPr>
              <w:t>Graduated</w:t>
            </w:r>
            <w:r>
              <w:rPr>
                <w:spacing w:val="43"/>
                <w:sz w:val="20"/>
              </w:rPr>
              <w:t> </w:t>
            </w:r>
            <w:r>
              <w:rPr>
                <w:sz w:val="20"/>
              </w:rPr>
              <w:t>Spring</w:t>
            </w:r>
            <w:r>
              <w:rPr>
                <w:spacing w:val="-6"/>
                <w:sz w:val="20"/>
              </w:rPr>
              <w:t> </w:t>
            </w:r>
            <w:r>
              <w:rPr>
                <w:spacing w:val="-4"/>
                <w:sz w:val="20"/>
              </w:rPr>
              <w:t>2010</w:t>
            </w:r>
          </w:p>
        </w:tc>
        <w:tc>
          <w:tcPr>
            <w:tcW w:w="804" w:type="dxa"/>
          </w:tcPr>
          <w:p>
            <w:pPr>
              <w:pStyle w:val="TableParagraph"/>
              <w:spacing w:line="229" w:lineRule="exact"/>
              <w:ind w:right="93"/>
              <w:jc w:val="right"/>
              <w:rPr>
                <w:sz w:val="20"/>
              </w:rPr>
            </w:pPr>
            <w:r>
              <w:rPr>
                <w:w w:val="99"/>
                <w:sz w:val="20"/>
              </w:rPr>
              <w:t>0</w:t>
            </w:r>
          </w:p>
        </w:tc>
        <w:tc>
          <w:tcPr>
            <w:tcW w:w="806" w:type="dxa"/>
          </w:tcPr>
          <w:p>
            <w:pPr>
              <w:pStyle w:val="TableParagraph"/>
              <w:spacing w:line="229" w:lineRule="exact"/>
              <w:ind w:right="92"/>
              <w:jc w:val="right"/>
              <w:rPr>
                <w:sz w:val="20"/>
              </w:rPr>
            </w:pPr>
            <w:r>
              <w:rPr>
                <w:w w:val="99"/>
                <w:sz w:val="20"/>
              </w:rPr>
              <w:t>0</w:t>
            </w:r>
          </w:p>
        </w:tc>
        <w:tc>
          <w:tcPr>
            <w:tcW w:w="806" w:type="dxa"/>
          </w:tcPr>
          <w:p>
            <w:pPr>
              <w:pStyle w:val="TableParagraph"/>
              <w:spacing w:line="229" w:lineRule="exact"/>
              <w:ind w:right="92"/>
              <w:jc w:val="right"/>
              <w:rPr>
                <w:sz w:val="20"/>
              </w:rPr>
            </w:pPr>
            <w:r>
              <w:rPr>
                <w:w w:val="99"/>
                <w:sz w:val="20"/>
              </w:rPr>
              <w:t>0</w:t>
            </w:r>
          </w:p>
        </w:tc>
        <w:tc>
          <w:tcPr>
            <w:tcW w:w="808" w:type="dxa"/>
          </w:tcPr>
          <w:p>
            <w:pPr>
              <w:pStyle w:val="TableParagraph"/>
              <w:spacing w:line="229" w:lineRule="exact"/>
              <w:ind w:right="94"/>
              <w:jc w:val="right"/>
              <w:rPr>
                <w:sz w:val="20"/>
              </w:rPr>
            </w:pPr>
            <w:r>
              <w:rPr>
                <w:w w:val="99"/>
                <w:sz w:val="20"/>
              </w:rPr>
              <w:t>0</w:t>
            </w:r>
          </w:p>
        </w:tc>
        <w:tc>
          <w:tcPr>
            <w:tcW w:w="803" w:type="dxa"/>
            <w:vMerge/>
            <w:tcBorders>
              <w:top w:val="nil"/>
            </w:tcBorders>
          </w:tcPr>
          <w:p>
            <w:pPr>
              <w:rPr>
                <w:sz w:val="2"/>
                <w:szCs w:val="2"/>
              </w:rPr>
            </w:pPr>
          </w:p>
        </w:tc>
        <w:tc>
          <w:tcPr>
            <w:tcW w:w="805" w:type="dxa"/>
            <w:vMerge/>
            <w:tcBorders>
              <w:top w:val="nil"/>
            </w:tcBorders>
          </w:tcPr>
          <w:p>
            <w:pPr>
              <w:rPr>
                <w:sz w:val="2"/>
                <w:szCs w:val="2"/>
              </w:rPr>
            </w:pPr>
          </w:p>
        </w:tc>
        <w:tc>
          <w:tcPr>
            <w:tcW w:w="805" w:type="dxa"/>
            <w:vMerge/>
            <w:tcBorders>
              <w:top w:val="nil"/>
            </w:tcBorders>
          </w:tcPr>
          <w:p>
            <w:pPr>
              <w:rPr>
                <w:sz w:val="2"/>
                <w:szCs w:val="2"/>
              </w:rPr>
            </w:pPr>
          </w:p>
        </w:tc>
        <w:tc>
          <w:tcPr>
            <w:tcW w:w="685" w:type="dxa"/>
            <w:vMerge/>
            <w:tcBorders>
              <w:top w:val="nil"/>
            </w:tcBorders>
          </w:tcPr>
          <w:p>
            <w:pPr>
              <w:rPr>
                <w:sz w:val="2"/>
                <w:szCs w:val="2"/>
              </w:rPr>
            </w:pPr>
          </w:p>
        </w:tc>
      </w:tr>
      <w:tr>
        <w:trPr>
          <w:trHeight w:val="263" w:hRule="atLeast"/>
        </w:trPr>
        <w:tc>
          <w:tcPr>
            <w:tcW w:w="3607" w:type="dxa"/>
          </w:tcPr>
          <w:p>
            <w:pPr>
              <w:pStyle w:val="TableParagraph"/>
              <w:spacing w:line="229" w:lineRule="exact"/>
              <w:ind w:left="107"/>
              <w:rPr>
                <w:sz w:val="20"/>
              </w:rPr>
            </w:pPr>
            <w:r>
              <w:rPr>
                <w:sz w:val="20"/>
              </w:rPr>
              <w:t>Enrolled</w:t>
            </w:r>
            <w:r>
              <w:rPr>
                <w:spacing w:val="-8"/>
                <w:sz w:val="20"/>
              </w:rPr>
              <w:t> </w:t>
            </w:r>
            <w:r>
              <w:rPr>
                <w:sz w:val="20"/>
              </w:rPr>
              <w:t>Fall</w:t>
            </w:r>
            <w:r>
              <w:rPr>
                <w:spacing w:val="-6"/>
                <w:sz w:val="20"/>
              </w:rPr>
              <w:t> </w:t>
            </w:r>
            <w:r>
              <w:rPr>
                <w:spacing w:val="-4"/>
                <w:sz w:val="20"/>
              </w:rPr>
              <w:t>2010</w:t>
            </w:r>
          </w:p>
        </w:tc>
        <w:tc>
          <w:tcPr>
            <w:tcW w:w="804" w:type="dxa"/>
          </w:tcPr>
          <w:p>
            <w:pPr>
              <w:pStyle w:val="TableParagraph"/>
              <w:spacing w:line="229" w:lineRule="exact"/>
              <w:ind w:right="93"/>
              <w:jc w:val="right"/>
              <w:rPr>
                <w:sz w:val="20"/>
              </w:rPr>
            </w:pPr>
            <w:r>
              <w:rPr>
                <w:w w:val="99"/>
                <w:sz w:val="20"/>
              </w:rPr>
              <w:t>7</w:t>
            </w:r>
          </w:p>
        </w:tc>
        <w:tc>
          <w:tcPr>
            <w:tcW w:w="806" w:type="dxa"/>
          </w:tcPr>
          <w:p>
            <w:pPr>
              <w:pStyle w:val="TableParagraph"/>
              <w:spacing w:line="229" w:lineRule="exact"/>
              <w:ind w:right="95"/>
              <w:jc w:val="right"/>
              <w:rPr>
                <w:sz w:val="20"/>
              </w:rPr>
            </w:pPr>
            <w:r>
              <w:rPr>
                <w:spacing w:val="-5"/>
                <w:sz w:val="20"/>
              </w:rPr>
              <w:t>14</w:t>
            </w:r>
          </w:p>
        </w:tc>
        <w:tc>
          <w:tcPr>
            <w:tcW w:w="806" w:type="dxa"/>
          </w:tcPr>
          <w:p>
            <w:pPr>
              <w:pStyle w:val="TableParagraph"/>
              <w:spacing w:line="229" w:lineRule="exact"/>
              <w:ind w:right="95"/>
              <w:jc w:val="right"/>
              <w:rPr>
                <w:sz w:val="20"/>
              </w:rPr>
            </w:pPr>
            <w:r>
              <w:rPr>
                <w:spacing w:val="-5"/>
                <w:sz w:val="20"/>
              </w:rPr>
              <w:t>17</w:t>
            </w:r>
          </w:p>
        </w:tc>
        <w:tc>
          <w:tcPr>
            <w:tcW w:w="808" w:type="dxa"/>
          </w:tcPr>
          <w:p>
            <w:pPr>
              <w:pStyle w:val="TableParagraph"/>
              <w:spacing w:line="229" w:lineRule="exact"/>
              <w:ind w:right="96"/>
              <w:jc w:val="right"/>
              <w:rPr>
                <w:sz w:val="20"/>
              </w:rPr>
            </w:pPr>
            <w:r>
              <w:rPr>
                <w:spacing w:val="-5"/>
                <w:sz w:val="20"/>
              </w:rPr>
              <w:t>25</w:t>
            </w:r>
          </w:p>
        </w:tc>
        <w:tc>
          <w:tcPr>
            <w:tcW w:w="803" w:type="dxa"/>
            <w:shd w:val="clear" w:color="auto" w:fill="DCE6F1"/>
          </w:tcPr>
          <w:p>
            <w:pPr>
              <w:pStyle w:val="TableParagraph"/>
              <w:spacing w:line="227" w:lineRule="exact"/>
              <w:ind w:right="91"/>
              <w:jc w:val="right"/>
              <w:rPr>
                <w:b/>
                <w:sz w:val="20"/>
              </w:rPr>
            </w:pPr>
            <w:r>
              <w:rPr>
                <w:b/>
                <w:spacing w:val="-5"/>
                <w:sz w:val="20"/>
              </w:rPr>
              <w:t>41</w:t>
            </w:r>
          </w:p>
        </w:tc>
        <w:tc>
          <w:tcPr>
            <w:tcW w:w="805" w:type="dxa"/>
            <w:vMerge/>
            <w:tcBorders>
              <w:top w:val="nil"/>
            </w:tcBorders>
          </w:tcPr>
          <w:p>
            <w:pPr>
              <w:rPr>
                <w:sz w:val="2"/>
                <w:szCs w:val="2"/>
              </w:rPr>
            </w:pPr>
          </w:p>
        </w:tc>
        <w:tc>
          <w:tcPr>
            <w:tcW w:w="805" w:type="dxa"/>
            <w:vMerge/>
            <w:tcBorders>
              <w:top w:val="nil"/>
            </w:tcBorders>
          </w:tcPr>
          <w:p>
            <w:pPr>
              <w:rPr>
                <w:sz w:val="2"/>
                <w:szCs w:val="2"/>
              </w:rPr>
            </w:pPr>
          </w:p>
        </w:tc>
        <w:tc>
          <w:tcPr>
            <w:tcW w:w="685" w:type="dxa"/>
            <w:vMerge/>
            <w:tcBorders>
              <w:top w:val="nil"/>
            </w:tcBorders>
          </w:tcPr>
          <w:p>
            <w:pPr>
              <w:rPr>
                <w:sz w:val="2"/>
                <w:szCs w:val="2"/>
              </w:rPr>
            </w:pPr>
          </w:p>
        </w:tc>
      </w:tr>
      <w:tr>
        <w:trPr>
          <w:trHeight w:val="266" w:hRule="atLeast"/>
        </w:trPr>
        <w:tc>
          <w:tcPr>
            <w:tcW w:w="3607" w:type="dxa"/>
            <w:tcBorders>
              <w:right w:val="nil"/>
            </w:tcBorders>
            <w:shd w:val="clear" w:color="auto" w:fill="D8E4BC"/>
          </w:tcPr>
          <w:p>
            <w:pPr>
              <w:pStyle w:val="TableParagraph"/>
              <w:rPr>
                <w:rFonts w:ascii="Times New Roman"/>
                <w:sz w:val="18"/>
              </w:rPr>
            </w:pPr>
          </w:p>
        </w:tc>
        <w:tc>
          <w:tcPr>
            <w:tcW w:w="2416" w:type="dxa"/>
            <w:gridSpan w:val="3"/>
            <w:tcBorders>
              <w:left w:val="nil"/>
              <w:right w:val="nil"/>
            </w:tcBorders>
            <w:shd w:val="clear" w:color="auto" w:fill="D8E4BC"/>
          </w:tcPr>
          <w:p>
            <w:pPr>
              <w:pStyle w:val="TableParagraph"/>
              <w:spacing w:line="229" w:lineRule="exact"/>
              <w:ind w:left="185"/>
              <w:rPr>
                <w:b/>
                <w:sz w:val="20"/>
              </w:rPr>
            </w:pPr>
            <w:r>
              <w:rPr>
                <w:b/>
                <w:sz w:val="20"/>
              </w:rPr>
              <w:t>2009</w:t>
            </w:r>
            <w:r>
              <w:rPr>
                <w:b/>
                <w:spacing w:val="-9"/>
                <w:sz w:val="20"/>
              </w:rPr>
              <w:t> </w:t>
            </w:r>
            <w:r>
              <w:rPr>
                <w:b/>
                <w:sz w:val="20"/>
              </w:rPr>
              <w:t>Cohort</w:t>
            </w:r>
            <w:r>
              <w:rPr>
                <w:b/>
                <w:spacing w:val="-7"/>
                <w:sz w:val="20"/>
              </w:rPr>
              <w:t> </w:t>
            </w:r>
            <w:r>
              <w:rPr>
                <w:b/>
                <w:spacing w:val="-2"/>
                <w:sz w:val="20"/>
              </w:rPr>
              <w:t>Retention</w:t>
            </w:r>
          </w:p>
        </w:tc>
        <w:tc>
          <w:tcPr>
            <w:tcW w:w="808" w:type="dxa"/>
            <w:tcBorders>
              <w:left w:val="nil"/>
            </w:tcBorders>
            <w:shd w:val="clear" w:color="auto" w:fill="D8E4BC"/>
          </w:tcPr>
          <w:p>
            <w:pPr>
              <w:pStyle w:val="TableParagraph"/>
              <w:spacing w:line="229" w:lineRule="exact"/>
              <w:ind w:right="96"/>
              <w:jc w:val="right"/>
              <w:rPr>
                <w:b/>
                <w:sz w:val="20"/>
              </w:rPr>
            </w:pPr>
            <w:r>
              <w:rPr>
                <w:b/>
                <w:spacing w:val="-2"/>
                <w:sz w:val="20"/>
              </w:rPr>
              <w:t>69.4%</w:t>
            </w:r>
          </w:p>
        </w:tc>
        <w:tc>
          <w:tcPr>
            <w:tcW w:w="803" w:type="dxa"/>
            <w:shd w:val="clear" w:color="auto" w:fill="DADADA"/>
          </w:tcPr>
          <w:p>
            <w:pPr>
              <w:pStyle w:val="TableParagraph"/>
              <w:rPr>
                <w:rFonts w:ascii="Times New Roman"/>
                <w:sz w:val="18"/>
              </w:rPr>
            </w:pPr>
          </w:p>
        </w:tc>
        <w:tc>
          <w:tcPr>
            <w:tcW w:w="805" w:type="dxa"/>
            <w:vMerge/>
            <w:tcBorders>
              <w:top w:val="nil"/>
            </w:tcBorders>
          </w:tcPr>
          <w:p>
            <w:pPr>
              <w:rPr>
                <w:sz w:val="2"/>
                <w:szCs w:val="2"/>
              </w:rPr>
            </w:pPr>
          </w:p>
        </w:tc>
        <w:tc>
          <w:tcPr>
            <w:tcW w:w="805" w:type="dxa"/>
            <w:vMerge/>
            <w:tcBorders>
              <w:top w:val="nil"/>
            </w:tcBorders>
          </w:tcPr>
          <w:p>
            <w:pPr>
              <w:rPr>
                <w:sz w:val="2"/>
                <w:szCs w:val="2"/>
              </w:rPr>
            </w:pPr>
          </w:p>
        </w:tc>
        <w:tc>
          <w:tcPr>
            <w:tcW w:w="685" w:type="dxa"/>
            <w:vMerge/>
            <w:tcBorders>
              <w:top w:val="nil"/>
            </w:tcBorders>
          </w:tcPr>
          <w:p>
            <w:pPr>
              <w:rPr>
                <w:sz w:val="2"/>
                <w:szCs w:val="2"/>
              </w:rPr>
            </w:pPr>
          </w:p>
        </w:tc>
      </w:tr>
      <w:tr>
        <w:trPr>
          <w:trHeight w:val="263" w:hRule="atLeast"/>
        </w:trPr>
        <w:tc>
          <w:tcPr>
            <w:tcW w:w="3607" w:type="dxa"/>
          </w:tcPr>
          <w:p>
            <w:pPr>
              <w:pStyle w:val="TableParagraph"/>
              <w:spacing w:line="229" w:lineRule="exact"/>
              <w:ind w:left="107"/>
              <w:rPr>
                <w:sz w:val="20"/>
              </w:rPr>
            </w:pPr>
            <w:r>
              <w:rPr>
                <w:sz w:val="20"/>
              </w:rPr>
              <w:t>Graduated</w:t>
            </w:r>
            <w:r>
              <w:rPr>
                <w:spacing w:val="43"/>
                <w:sz w:val="20"/>
              </w:rPr>
              <w:t> </w:t>
            </w:r>
            <w:r>
              <w:rPr>
                <w:sz w:val="20"/>
              </w:rPr>
              <w:t>Fall</w:t>
            </w:r>
            <w:r>
              <w:rPr>
                <w:spacing w:val="-5"/>
                <w:sz w:val="20"/>
              </w:rPr>
              <w:t> </w:t>
            </w:r>
            <w:r>
              <w:rPr>
                <w:spacing w:val="-4"/>
                <w:sz w:val="20"/>
              </w:rPr>
              <w:t>2010</w:t>
            </w:r>
          </w:p>
        </w:tc>
        <w:tc>
          <w:tcPr>
            <w:tcW w:w="804" w:type="dxa"/>
          </w:tcPr>
          <w:p>
            <w:pPr>
              <w:pStyle w:val="TableParagraph"/>
              <w:spacing w:line="229" w:lineRule="exact"/>
              <w:ind w:right="93"/>
              <w:jc w:val="right"/>
              <w:rPr>
                <w:sz w:val="20"/>
              </w:rPr>
            </w:pPr>
            <w:r>
              <w:rPr>
                <w:w w:val="99"/>
                <w:sz w:val="20"/>
              </w:rPr>
              <w:t>0</w:t>
            </w:r>
          </w:p>
        </w:tc>
        <w:tc>
          <w:tcPr>
            <w:tcW w:w="806" w:type="dxa"/>
          </w:tcPr>
          <w:p>
            <w:pPr>
              <w:pStyle w:val="TableParagraph"/>
              <w:spacing w:line="229" w:lineRule="exact"/>
              <w:ind w:right="92"/>
              <w:jc w:val="right"/>
              <w:rPr>
                <w:sz w:val="20"/>
              </w:rPr>
            </w:pPr>
            <w:r>
              <w:rPr>
                <w:w w:val="99"/>
                <w:sz w:val="20"/>
              </w:rPr>
              <w:t>0</w:t>
            </w:r>
          </w:p>
        </w:tc>
        <w:tc>
          <w:tcPr>
            <w:tcW w:w="806" w:type="dxa"/>
          </w:tcPr>
          <w:p>
            <w:pPr>
              <w:pStyle w:val="TableParagraph"/>
              <w:spacing w:line="229" w:lineRule="exact"/>
              <w:ind w:right="92"/>
              <w:jc w:val="right"/>
              <w:rPr>
                <w:sz w:val="20"/>
              </w:rPr>
            </w:pPr>
            <w:r>
              <w:rPr>
                <w:w w:val="99"/>
                <w:sz w:val="20"/>
              </w:rPr>
              <w:t>0</w:t>
            </w:r>
          </w:p>
        </w:tc>
        <w:tc>
          <w:tcPr>
            <w:tcW w:w="808" w:type="dxa"/>
          </w:tcPr>
          <w:p>
            <w:pPr>
              <w:pStyle w:val="TableParagraph"/>
              <w:spacing w:line="229" w:lineRule="exact"/>
              <w:ind w:right="94"/>
              <w:jc w:val="right"/>
              <w:rPr>
                <w:sz w:val="20"/>
              </w:rPr>
            </w:pPr>
            <w:r>
              <w:rPr>
                <w:w w:val="99"/>
                <w:sz w:val="20"/>
              </w:rPr>
              <w:t>0</w:t>
            </w:r>
          </w:p>
        </w:tc>
        <w:tc>
          <w:tcPr>
            <w:tcW w:w="803" w:type="dxa"/>
          </w:tcPr>
          <w:p>
            <w:pPr>
              <w:pStyle w:val="TableParagraph"/>
              <w:spacing w:line="229" w:lineRule="exact"/>
              <w:ind w:right="88"/>
              <w:jc w:val="right"/>
              <w:rPr>
                <w:sz w:val="20"/>
              </w:rPr>
            </w:pPr>
            <w:r>
              <w:rPr>
                <w:w w:val="99"/>
                <w:sz w:val="20"/>
              </w:rPr>
              <w:t>0</w:t>
            </w:r>
          </w:p>
        </w:tc>
        <w:tc>
          <w:tcPr>
            <w:tcW w:w="805" w:type="dxa"/>
            <w:vMerge/>
            <w:tcBorders>
              <w:top w:val="nil"/>
            </w:tcBorders>
          </w:tcPr>
          <w:p>
            <w:pPr>
              <w:rPr>
                <w:sz w:val="2"/>
                <w:szCs w:val="2"/>
              </w:rPr>
            </w:pPr>
          </w:p>
        </w:tc>
        <w:tc>
          <w:tcPr>
            <w:tcW w:w="805" w:type="dxa"/>
            <w:vMerge/>
            <w:tcBorders>
              <w:top w:val="nil"/>
            </w:tcBorders>
          </w:tcPr>
          <w:p>
            <w:pPr>
              <w:rPr>
                <w:sz w:val="2"/>
                <w:szCs w:val="2"/>
              </w:rPr>
            </w:pPr>
          </w:p>
        </w:tc>
        <w:tc>
          <w:tcPr>
            <w:tcW w:w="685" w:type="dxa"/>
            <w:vMerge/>
            <w:tcBorders>
              <w:top w:val="nil"/>
            </w:tcBorders>
          </w:tcPr>
          <w:p>
            <w:pPr>
              <w:rPr>
                <w:sz w:val="2"/>
                <w:szCs w:val="2"/>
              </w:rPr>
            </w:pPr>
          </w:p>
        </w:tc>
      </w:tr>
      <w:tr>
        <w:trPr>
          <w:trHeight w:val="263" w:hRule="atLeast"/>
        </w:trPr>
        <w:tc>
          <w:tcPr>
            <w:tcW w:w="3607" w:type="dxa"/>
          </w:tcPr>
          <w:p>
            <w:pPr>
              <w:pStyle w:val="TableParagraph"/>
              <w:spacing w:line="229" w:lineRule="exact"/>
              <w:ind w:left="107"/>
              <w:rPr>
                <w:sz w:val="20"/>
              </w:rPr>
            </w:pPr>
            <w:r>
              <w:rPr>
                <w:sz w:val="20"/>
              </w:rPr>
              <w:t>Graduated</w:t>
            </w:r>
            <w:r>
              <w:rPr>
                <w:spacing w:val="43"/>
                <w:sz w:val="20"/>
              </w:rPr>
              <w:t> </w:t>
            </w:r>
            <w:r>
              <w:rPr>
                <w:sz w:val="20"/>
              </w:rPr>
              <w:t>Spring</w:t>
            </w:r>
            <w:r>
              <w:rPr>
                <w:spacing w:val="-6"/>
                <w:sz w:val="20"/>
              </w:rPr>
              <w:t> </w:t>
            </w:r>
            <w:r>
              <w:rPr>
                <w:spacing w:val="-4"/>
                <w:sz w:val="20"/>
              </w:rPr>
              <w:t>2011</w:t>
            </w:r>
          </w:p>
        </w:tc>
        <w:tc>
          <w:tcPr>
            <w:tcW w:w="804" w:type="dxa"/>
          </w:tcPr>
          <w:p>
            <w:pPr>
              <w:pStyle w:val="TableParagraph"/>
              <w:spacing w:line="229" w:lineRule="exact"/>
              <w:ind w:right="96"/>
              <w:jc w:val="right"/>
              <w:rPr>
                <w:sz w:val="20"/>
              </w:rPr>
            </w:pPr>
            <w:r>
              <w:rPr>
                <w:spacing w:val="-5"/>
                <w:sz w:val="20"/>
              </w:rPr>
              <w:t>10</w:t>
            </w:r>
          </w:p>
        </w:tc>
        <w:tc>
          <w:tcPr>
            <w:tcW w:w="806" w:type="dxa"/>
          </w:tcPr>
          <w:p>
            <w:pPr>
              <w:pStyle w:val="TableParagraph"/>
              <w:spacing w:line="229" w:lineRule="exact"/>
              <w:ind w:right="92"/>
              <w:jc w:val="right"/>
              <w:rPr>
                <w:sz w:val="20"/>
              </w:rPr>
            </w:pPr>
            <w:r>
              <w:rPr>
                <w:w w:val="99"/>
                <w:sz w:val="20"/>
              </w:rPr>
              <w:t>0</w:t>
            </w:r>
          </w:p>
        </w:tc>
        <w:tc>
          <w:tcPr>
            <w:tcW w:w="806" w:type="dxa"/>
          </w:tcPr>
          <w:p>
            <w:pPr>
              <w:pStyle w:val="TableParagraph"/>
              <w:spacing w:line="229" w:lineRule="exact"/>
              <w:ind w:right="92"/>
              <w:jc w:val="right"/>
              <w:rPr>
                <w:sz w:val="20"/>
              </w:rPr>
            </w:pPr>
            <w:r>
              <w:rPr>
                <w:w w:val="99"/>
                <w:sz w:val="20"/>
              </w:rPr>
              <w:t>0</w:t>
            </w:r>
          </w:p>
        </w:tc>
        <w:tc>
          <w:tcPr>
            <w:tcW w:w="808" w:type="dxa"/>
          </w:tcPr>
          <w:p>
            <w:pPr>
              <w:pStyle w:val="TableParagraph"/>
              <w:spacing w:line="229" w:lineRule="exact"/>
              <w:ind w:right="94"/>
              <w:jc w:val="right"/>
              <w:rPr>
                <w:sz w:val="20"/>
              </w:rPr>
            </w:pPr>
            <w:r>
              <w:rPr>
                <w:w w:val="99"/>
                <w:sz w:val="20"/>
              </w:rPr>
              <w:t>0</w:t>
            </w:r>
          </w:p>
        </w:tc>
        <w:tc>
          <w:tcPr>
            <w:tcW w:w="803" w:type="dxa"/>
          </w:tcPr>
          <w:p>
            <w:pPr>
              <w:pStyle w:val="TableParagraph"/>
              <w:spacing w:line="229" w:lineRule="exact"/>
              <w:ind w:right="88"/>
              <w:jc w:val="right"/>
              <w:rPr>
                <w:sz w:val="20"/>
              </w:rPr>
            </w:pPr>
            <w:r>
              <w:rPr>
                <w:w w:val="99"/>
                <w:sz w:val="20"/>
              </w:rPr>
              <w:t>0</w:t>
            </w:r>
          </w:p>
        </w:tc>
        <w:tc>
          <w:tcPr>
            <w:tcW w:w="805" w:type="dxa"/>
            <w:vMerge/>
            <w:tcBorders>
              <w:top w:val="nil"/>
            </w:tcBorders>
          </w:tcPr>
          <w:p>
            <w:pPr>
              <w:rPr>
                <w:sz w:val="2"/>
                <w:szCs w:val="2"/>
              </w:rPr>
            </w:pPr>
          </w:p>
        </w:tc>
        <w:tc>
          <w:tcPr>
            <w:tcW w:w="805" w:type="dxa"/>
            <w:vMerge/>
            <w:tcBorders>
              <w:top w:val="nil"/>
            </w:tcBorders>
          </w:tcPr>
          <w:p>
            <w:pPr>
              <w:rPr>
                <w:sz w:val="2"/>
                <w:szCs w:val="2"/>
              </w:rPr>
            </w:pPr>
          </w:p>
        </w:tc>
        <w:tc>
          <w:tcPr>
            <w:tcW w:w="685" w:type="dxa"/>
            <w:vMerge/>
            <w:tcBorders>
              <w:top w:val="nil"/>
            </w:tcBorders>
          </w:tcPr>
          <w:p>
            <w:pPr>
              <w:rPr>
                <w:sz w:val="2"/>
                <w:szCs w:val="2"/>
              </w:rPr>
            </w:pPr>
          </w:p>
        </w:tc>
      </w:tr>
      <w:tr>
        <w:trPr>
          <w:trHeight w:val="265" w:hRule="atLeast"/>
        </w:trPr>
        <w:tc>
          <w:tcPr>
            <w:tcW w:w="3607" w:type="dxa"/>
            <w:tcBorders>
              <w:right w:val="nil"/>
            </w:tcBorders>
            <w:shd w:val="clear" w:color="auto" w:fill="B7DEE8"/>
          </w:tcPr>
          <w:p>
            <w:pPr>
              <w:pStyle w:val="TableParagraph"/>
              <w:spacing w:line="229" w:lineRule="exact"/>
              <w:ind w:right="96"/>
              <w:jc w:val="right"/>
              <w:rPr>
                <w:b/>
                <w:sz w:val="20"/>
              </w:rPr>
            </w:pPr>
            <w:r>
              <w:rPr>
                <w:b/>
                <w:sz w:val="20"/>
              </w:rPr>
              <w:t>2006</w:t>
            </w:r>
            <w:r>
              <w:rPr>
                <w:b/>
                <w:spacing w:val="-6"/>
                <w:sz w:val="20"/>
              </w:rPr>
              <w:t> </w:t>
            </w:r>
            <w:r>
              <w:rPr>
                <w:b/>
                <w:sz w:val="20"/>
              </w:rPr>
              <w:t>Cohort</w:t>
            </w:r>
            <w:r>
              <w:rPr>
                <w:b/>
                <w:spacing w:val="-7"/>
                <w:sz w:val="20"/>
              </w:rPr>
              <w:t> </w:t>
            </w:r>
            <w:r>
              <w:rPr>
                <w:b/>
                <w:sz w:val="20"/>
              </w:rPr>
              <w:t>5-Year</w:t>
            </w:r>
            <w:r>
              <w:rPr>
                <w:b/>
                <w:spacing w:val="-9"/>
                <w:sz w:val="20"/>
              </w:rPr>
              <w:t> </w:t>
            </w:r>
            <w:r>
              <w:rPr>
                <w:b/>
                <w:spacing w:val="-2"/>
                <w:sz w:val="20"/>
              </w:rPr>
              <w:t>Graduation</w:t>
            </w:r>
          </w:p>
        </w:tc>
        <w:tc>
          <w:tcPr>
            <w:tcW w:w="804" w:type="dxa"/>
            <w:tcBorders>
              <w:left w:val="nil"/>
            </w:tcBorders>
            <w:shd w:val="clear" w:color="auto" w:fill="B7DEE8"/>
          </w:tcPr>
          <w:p>
            <w:pPr>
              <w:pStyle w:val="TableParagraph"/>
              <w:spacing w:line="229" w:lineRule="exact"/>
              <w:ind w:right="94"/>
              <w:jc w:val="right"/>
              <w:rPr>
                <w:b/>
                <w:sz w:val="20"/>
              </w:rPr>
            </w:pPr>
            <w:r>
              <w:rPr>
                <w:b/>
                <w:spacing w:val="-2"/>
                <w:sz w:val="20"/>
              </w:rPr>
              <w:t>25.0%</w:t>
            </w:r>
          </w:p>
        </w:tc>
        <w:tc>
          <w:tcPr>
            <w:tcW w:w="4028" w:type="dxa"/>
            <w:gridSpan w:val="5"/>
            <w:shd w:val="clear" w:color="auto" w:fill="DADADA"/>
          </w:tcPr>
          <w:p>
            <w:pPr>
              <w:pStyle w:val="TableParagraph"/>
              <w:rPr>
                <w:rFonts w:ascii="Times New Roman"/>
                <w:sz w:val="18"/>
              </w:rPr>
            </w:pPr>
          </w:p>
        </w:tc>
        <w:tc>
          <w:tcPr>
            <w:tcW w:w="805" w:type="dxa"/>
            <w:vMerge/>
            <w:tcBorders>
              <w:top w:val="nil"/>
            </w:tcBorders>
          </w:tcPr>
          <w:p>
            <w:pPr>
              <w:rPr>
                <w:sz w:val="2"/>
                <w:szCs w:val="2"/>
              </w:rPr>
            </w:pPr>
          </w:p>
        </w:tc>
        <w:tc>
          <w:tcPr>
            <w:tcW w:w="685" w:type="dxa"/>
            <w:vMerge/>
            <w:tcBorders>
              <w:top w:val="nil"/>
            </w:tcBorders>
          </w:tcPr>
          <w:p>
            <w:pPr>
              <w:rPr>
                <w:sz w:val="2"/>
                <w:szCs w:val="2"/>
              </w:rPr>
            </w:pPr>
          </w:p>
        </w:tc>
      </w:tr>
      <w:tr>
        <w:trPr>
          <w:trHeight w:val="263" w:hRule="atLeast"/>
        </w:trPr>
        <w:tc>
          <w:tcPr>
            <w:tcW w:w="3607" w:type="dxa"/>
          </w:tcPr>
          <w:p>
            <w:pPr>
              <w:pStyle w:val="TableParagraph"/>
              <w:spacing w:line="229" w:lineRule="exact"/>
              <w:ind w:left="107"/>
              <w:rPr>
                <w:sz w:val="20"/>
              </w:rPr>
            </w:pPr>
            <w:r>
              <w:rPr>
                <w:sz w:val="20"/>
              </w:rPr>
              <w:t>Enrolled</w:t>
            </w:r>
            <w:r>
              <w:rPr>
                <w:spacing w:val="-8"/>
                <w:sz w:val="20"/>
              </w:rPr>
              <w:t> </w:t>
            </w:r>
            <w:r>
              <w:rPr>
                <w:sz w:val="20"/>
              </w:rPr>
              <w:t>Fall</w:t>
            </w:r>
            <w:r>
              <w:rPr>
                <w:spacing w:val="-6"/>
                <w:sz w:val="20"/>
              </w:rPr>
              <w:t> </w:t>
            </w:r>
            <w:r>
              <w:rPr>
                <w:spacing w:val="-4"/>
                <w:sz w:val="20"/>
              </w:rPr>
              <w:t>2011</w:t>
            </w:r>
          </w:p>
        </w:tc>
        <w:tc>
          <w:tcPr>
            <w:tcW w:w="804" w:type="dxa"/>
          </w:tcPr>
          <w:p>
            <w:pPr>
              <w:pStyle w:val="TableParagraph"/>
              <w:spacing w:line="229" w:lineRule="exact"/>
              <w:ind w:right="93"/>
              <w:jc w:val="right"/>
              <w:rPr>
                <w:sz w:val="20"/>
              </w:rPr>
            </w:pPr>
            <w:r>
              <w:rPr>
                <w:w w:val="99"/>
                <w:sz w:val="20"/>
              </w:rPr>
              <w:t>1</w:t>
            </w:r>
          </w:p>
        </w:tc>
        <w:tc>
          <w:tcPr>
            <w:tcW w:w="806" w:type="dxa"/>
          </w:tcPr>
          <w:p>
            <w:pPr>
              <w:pStyle w:val="TableParagraph"/>
              <w:spacing w:line="229" w:lineRule="exact"/>
              <w:ind w:right="95"/>
              <w:jc w:val="right"/>
              <w:rPr>
                <w:sz w:val="20"/>
              </w:rPr>
            </w:pPr>
            <w:r>
              <w:rPr>
                <w:spacing w:val="-5"/>
                <w:sz w:val="20"/>
              </w:rPr>
              <w:t>15</w:t>
            </w:r>
          </w:p>
        </w:tc>
        <w:tc>
          <w:tcPr>
            <w:tcW w:w="806" w:type="dxa"/>
          </w:tcPr>
          <w:p>
            <w:pPr>
              <w:pStyle w:val="TableParagraph"/>
              <w:spacing w:line="229" w:lineRule="exact"/>
              <w:ind w:right="95"/>
              <w:jc w:val="right"/>
              <w:rPr>
                <w:sz w:val="20"/>
              </w:rPr>
            </w:pPr>
            <w:r>
              <w:rPr>
                <w:spacing w:val="-5"/>
                <w:sz w:val="20"/>
              </w:rPr>
              <w:t>15</w:t>
            </w:r>
          </w:p>
        </w:tc>
        <w:tc>
          <w:tcPr>
            <w:tcW w:w="808" w:type="dxa"/>
          </w:tcPr>
          <w:p>
            <w:pPr>
              <w:pStyle w:val="TableParagraph"/>
              <w:spacing w:line="229" w:lineRule="exact"/>
              <w:ind w:right="96"/>
              <w:jc w:val="right"/>
              <w:rPr>
                <w:sz w:val="20"/>
              </w:rPr>
            </w:pPr>
            <w:r>
              <w:rPr>
                <w:spacing w:val="-5"/>
                <w:sz w:val="20"/>
              </w:rPr>
              <w:t>24</w:t>
            </w:r>
          </w:p>
        </w:tc>
        <w:tc>
          <w:tcPr>
            <w:tcW w:w="803" w:type="dxa"/>
          </w:tcPr>
          <w:p>
            <w:pPr>
              <w:pStyle w:val="TableParagraph"/>
              <w:spacing w:line="229" w:lineRule="exact"/>
              <w:ind w:right="91"/>
              <w:jc w:val="right"/>
              <w:rPr>
                <w:sz w:val="20"/>
              </w:rPr>
            </w:pPr>
            <w:r>
              <w:rPr>
                <w:spacing w:val="-5"/>
                <w:sz w:val="20"/>
              </w:rPr>
              <w:t>29</w:t>
            </w:r>
          </w:p>
        </w:tc>
        <w:tc>
          <w:tcPr>
            <w:tcW w:w="805" w:type="dxa"/>
            <w:shd w:val="clear" w:color="auto" w:fill="DCE6F1"/>
          </w:tcPr>
          <w:p>
            <w:pPr>
              <w:pStyle w:val="TableParagraph"/>
              <w:spacing w:line="227" w:lineRule="exact"/>
              <w:ind w:right="89"/>
              <w:jc w:val="right"/>
              <w:rPr>
                <w:b/>
                <w:sz w:val="20"/>
              </w:rPr>
            </w:pPr>
            <w:r>
              <w:rPr>
                <w:b/>
                <w:spacing w:val="-5"/>
                <w:sz w:val="20"/>
              </w:rPr>
              <w:t>27</w:t>
            </w:r>
          </w:p>
        </w:tc>
        <w:tc>
          <w:tcPr>
            <w:tcW w:w="805" w:type="dxa"/>
            <w:vMerge/>
            <w:tcBorders>
              <w:top w:val="nil"/>
            </w:tcBorders>
          </w:tcPr>
          <w:p>
            <w:pPr>
              <w:rPr>
                <w:sz w:val="2"/>
                <w:szCs w:val="2"/>
              </w:rPr>
            </w:pPr>
          </w:p>
        </w:tc>
        <w:tc>
          <w:tcPr>
            <w:tcW w:w="685" w:type="dxa"/>
            <w:vMerge/>
            <w:tcBorders>
              <w:top w:val="nil"/>
            </w:tcBorders>
          </w:tcPr>
          <w:p>
            <w:pPr>
              <w:rPr>
                <w:sz w:val="2"/>
                <w:szCs w:val="2"/>
              </w:rPr>
            </w:pPr>
          </w:p>
        </w:tc>
      </w:tr>
      <w:tr>
        <w:trPr>
          <w:trHeight w:val="266" w:hRule="atLeast"/>
        </w:trPr>
        <w:tc>
          <w:tcPr>
            <w:tcW w:w="3607" w:type="dxa"/>
            <w:tcBorders>
              <w:right w:val="nil"/>
            </w:tcBorders>
            <w:shd w:val="clear" w:color="auto" w:fill="D8E4BC"/>
          </w:tcPr>
          <w:p>
            <w:pPr>
              <w:pStyle w:val="TableParagraph"/>
              <w:rPr>
                <w:rFonts w:ascii="Times New Roman"/>
                <w:sz w:val="18"/>
              </w:rPr>
            </w:pPr>
          </w:p>
        </w:tc>
        <w:tc>
          <w:tcPr>
            <w:tcW w:w="804" w:type="dxa"/>
            <w:tcBorders>
              <w:left w:val="nil"/>
              <w:right w:val="nil"/>
            </w:tcBorders>
            <w:shd w:val="clear" w:color="auto" w:fill="D8E4BC"/>
          </w:tcPr>
          <w:p>
            <w:pPr>
              <w:pStyle w:val="TableParagraph"/>
              <w:rPr>
                <w:rFonts w:ascii="Times New Roman"/>
                <w:sz w:val="18"/>
              </w:rPr>
            </w:pPr>
          </w:p>
        </w:tc>
        <w:tc>
          <w:tcPr>
            <w:tcW w:w="2420" w:type="dxa"/>
            <w:gridSpan w:val="3"/>
            <w:tcBorders>
              <w:left w:val="nil"/>
              <w:right w:val="nil"/>
            </w:tcBorders>
            <w:shd w:val="clear" w:color="auto" w:fill="D8E4BC"/>
          </w:tcPr>
          <w:p>
            <w:pPr>
              <w:pStyle w:val="TableParagraph"/>
              <w:spacing w:line="227" w:lineRule="exact"/>
              <w:ind w:left="187"/>
              <w:rPr>
                <w:b/>
                <w:sz w:val="20"/>
              </w:rPr>
            </w:pPr>
            <w:r>
              <w:rPr>
                <w:b/>
                <w:sz w:val="20"/>
              </w:rPr>
              <w:t>2010</w:t>
            </w:r>
            <w:r>
              <w:rPr>
                <w:b/>
                <w:spacing w:val="-9"/>
                <w:sz w:val="20"/>
              </w:rPr>
              <w:t> </w:t>
            </w:r>
            <w:r>
              <w:rPr>
                <w:b/>
                <w:sz w:val="20"/>
              </w:rPr>
              <w:t>Cohort</w:t>
            </w:r>
            <w:r>
              <w:rPr>
                <w:b/>
                <w:spacing w:val="-7"/>
                <w:sz w:val="20"/>
              </w:rPr>
              <w:t> </w:t>
            </w:r>
            <w:r>
              <w:rPr>
                <w:b/>
                <w:spacing w:val="-2"/>
                <w:sz w:val="20"/>
              </w:rPr>
              <w:t>Retention</w:t>
            </w:r>
          </w:p>
        </w:tc>
        <w:tc>
          <w:tcPr>
            <w:tcW w:w="803" w:type="dxa"/>
            <w:tcBorders>
              <w:left w:val="nil"/>
            </w:tcBorders>
            <w:shd w:val="clear" w:color="auto" w:fill="D8E4BC"/>
          </w:tcPr>
          <w:p>
            <w:pPr>
              <w:pStyle w:val="TableParagraph"/>
              <w:spacing w:line="227" w:lineRule="exact"/>
              <w:ind w:right="89"/>
              <w:jc w:val="right"/>
              <w:rPr>
                <w:b/>
                <w:sz w:val="20"/>
              </w:rPr>
            </w:pPr>
            <w:r>
              <w:rPr>
                <w:b/>
                <w:spacing w:val="-2"/>
                <w:sz w:val="20"/>
              </w:rPr>
              <w:t>70.7%</w:t>
            </w:r>
          </w:p>
        </w:tc>
        <w:tc>
          <w:tcPr>
            <w:tcW w:w="805" w:type="dxa"/>
            <w:shd w:val="clear" w:color="auto" w:fill="DADADA"/>
          </w:tcPr>
          <w:p>
            <w:pPr>
              <w:pStyle w:val="TableParagraph"/>
              <w:rPr>
                <w:rFonts w:ascii="Times New Roman"/>
                <w:sz w:val="18"/>
              </w:rPr>
            </w:pPr>
          </w:p>
        </w:tc>
        <w:tc>
          <w:tcPr>
            <w:tcW w:w="805" w:type="dxa"/>
            <w:vMerge/>
            <w:tcBorders>
              <w:top w:val="nil"/>
            </w:tcBorders>
          </w:tcPr>
          <w:p>
            <w:pPr>
              <w:rPr>
                <w:sz w:val="2"/>
                <w:szCs w:val="2"/>
              </w:rPr>
            </w:pPr>
          </w:p>
        </w:tc>
        <w:tc>
          <w:tcPr>
            <w:tcW w:w="685" w:type="dxa"/>
            <w:vMerge/>
            <w:tcBorders>
              <w:top w:val="nil"/>
            </w:tcBorders>
          </w:tcPr>
          <w:p>
            <w:pPr>
              <w:rPr>
                <w:sz w:val="2"/>
                <w:szCs w:val="2"/>
              </w:rPr>
            </w:pPr>
          </w:p>
        </w:tc>
      </w:tr>
      <w:tr>
        <w:trPr>
          <w:trHeight w:val="263" w:hRule="atLeast"/>
        </w:trPr>
        <w:tc>
          <w:tcPr>
            <w:tcW w:w="3607" w:type="dxa"/>
          </w:tcPr>
          <w:p>
            <w:pPr>
              <w:pStyle w:val="TableParagraph"/>
              <w:spacing w:line="229" w:lineRule="exact"/>
              <w:ind w:left="107"/>
              <w:rPr>
                <w:sz w:val="20"/>
              </w:rPr>
            </w:pPr>
            <w:r>
              <w:rPr>
                <w:sz w:val="20"/>
              </w:rPr>
              <w:t>Graduated</w:t>
            </w:r>
            <w:r>
              <w:rPr>
                <w:spacing w:val="-9"/>
                <w:sz w:val="20"/>
              </w:rPr>
              <w:t> </w:t>
            </w:r>
            <w:r>
              <w:rPr>
                <w:sz w:val="20"/>
              </w:rPr>
              <w:t>Fall</w:t>
            </w:r>
            <w:r>
              <w:rPr>
                <w:spacing w:val="-7"/>
                <w:sz w:val="20"/>
              </w:rPr>
              <w:t> </w:t>
            </w:r>
            <w:r>
              <w:rPr>
                <w:spacing w:val="-4"/>
                <w:sz w:val="20"/>
              </w:rPr>
              <w:t>2011</w:t>
            </w:r>
          </w:p>
        </w:tc>
        <w:tc>
          <w:tcPr>
            <w:tcW w:w="804" w:type="dxa"/>
          </w:tcPr>
          <w:p>
            <w:pPr>
              <w:pStyle w:val="TableParagraph"/>
              <w:spacing w:line="229" w:lineRule="exact"/>
              <w:ind w:right="93"/>
              <w:jc w:val="right"/>
              <w:rPr>
                <w:sz w:val="20"/>
              </w:rPr>
            </w:pPr>
            <w:r>
              <w:rPr>
                <w:w w:val="99"/>
                <w:sz w:val="20"/>
              </w:rPr>
              <w:t>0</w:t>
            </w:r>
          </w:p>
        </w:tc>
        <w:tc>
          <w:tcPr>
            <w:tcW w:w="806" w:type="dxa"/>
          </w:tcPr>
          <w:p>
            <w:pPr>
              <w:pStyle w:val="TableParagraph"/>
              <w:spacing w:line="229" w:lineRule="exact"/>
              <w:ind w:right="92"/>
              <w:jc w:val="right"/>
              <w:rPr>
                <w:sz w:val="20"/>
              </w:rPr>
            </w:pPr>
            <w:r>
              <w:rPr>
                <w:w w:val="99"/>
                <w:sz w:val="20"/>
              </w:rPr>
              <w:t>0</w:t>
            </w:r>
          </w:p>
        </w:tc>
        <w:tc>
          <w:tcPr>
            <w:tcW w:w="806" w:type="dxa"/>
          </w:tcPr>
          <w:p>
            <w:pPr>
              <w:pStyle w:val="TableParagraph"/>
              <w:spacing w:line="229" w:lineRule="exact"/>
              <w:ind w:right="92"/>
              <w:jc w:val="right"/>
              <w:rPr>
                <w:sz w:val="20"/>
              </w:rPr>
            </w:pPr>
            <w:r>
              <w:rPr>
                <w:w w:val="99"/>
                <w:sz w:val="20"/>
              </w:rPr>
              <w:t>0</w:t>
            </w:r>
          </w:p>
        </w:tc>
        <w:tc>
          <w:tcPr>
            <w:tcW w:w="808" w:type="dxa"/>
          </w:tcPr>
          <w:p>
            <w:pPr>
              <w:pStyle w:val="TableParagraph"/>
              <w:spacing w:line="229" w:lineRule="exact"/>
              <w:ind w:right="94"/>
              <w:jc w:val="right"/>
              <w:rPr>
                <w:sz w:val="20"/>
              </w:rPr>
            </w:pPr>
            <w:r>
              <w:rPr>
                <w:w w:val="99"/>
                <w:sz w:val="20"/>
              </w:rPr>
              <w:t>0</w:t>
            </w:r>
          </w:p>
        </w:tc>
        <w:tc>
          <w:tcPr>
            <w:tcW w:w="803" w:type="dxa"/>
          </w:tcPr>
          <w:p>
            <w:pPr>
              <w:pStyle w:val="TableParagraph"/>
              <w:spacing w:line="229" w:lineRule="exact"/>
              <w:ind w:right="88"/>
              <w:jc w:val="right"/>
              <w:rPr>
                <w:sz w:val="20"/>
              </w:rPr>
            </w:pPr>
            <w:r>
              <w:rPr>
                <w:w w:val="99"/>
                <w:sz w:val="20"/>
              </w:rPr>
              <w:t>0</w:t>
            </w:r>
          </w:p>
        </w:tc>
        <w:tc>
          <w:tcPr>
            <w:tcW w:w="805" w:type="dxa"/>
          </w:tcPr>
          <w:p>
            <w:pPr>
              <w:pStyle w:val="TableParagraph"/>
              <w:spacing w:line="229" w:lineRule="exact"/>
              <w:ind w:right="86"/>
              <w:jc w:val="right"/>
              <w:rPr>
                <w:sz w:val="20"/>
              </w:rPr>
            </w:pPr>
            <w:r>
              <w:rPr>
                <w:w w:val="99"/>
                <w:sz w:val="20"/>
              </w:rPr>
              <w:t>0</w:t>
            </w:r>
          </w:p>
        </w:tc>
        <w:tc>
          <w:tcPr>
            <w:tcW w:w="805" w:type="dxa"/>
            <w:vMerge/>
            <w:tcBorders>
              <w:top w:val="nil"/>
            </w:tcBorders>
          </w:tcPr>
          <w:p>
            <w:pPr>
              <w:rPr>
                <w:sz w:val="2"/>
                <w:szCs w:val="2"/>
              </w:rPr>
            </w:pPr>
          </w:p>
        </w:tc>
        <w:tc>
          <w:tcPr>
            <w:tcW w:w="685" w:type="dxa"/>
            <w:vMerge/>
            <w:tcBorders>
              <w:top w:val="nil"/>
            </w:tcBorders>
          </w:tcPr>
          <w:p>
            <w:pPr>
              <w:rPr>
                <w:sz w:val="2"/>
                <w:szCs w:val="2"/>
              </w:rPr>
            </w:pPr>
          </w:p>
        </w:tc>
      </w:tr>
      <w:tr>
        <w:trPr>
          <w:trHeight w:val="263" w:hRule="atLeast"/>
        </w:trPr>
        <w:tc>
          <w:tcPr>
            <w:tcW w:w="3607" w:type="dxa"/>
          </w:tcPr>
          <w:p>
            <w:pPr>
              <w:pStyle w:val="TableParagraph"/>
              <w:spacing w:line="229" w:lineRule="exact"/>
              <w:ind w:left="107"/>
              <w:rPr>
                <w:sz w:val="20"/>
              </w:rPr>
            </w:pPr>
            <w:r>
              <w:rPr>
                <w:sz w:val="20"/>
              </w:rPr>
              <w:t>Graduated</w:t>
            </w:r>
            <w:r>
              <w:rPr>
                <w:spacing w:val="-9"/>
                <w:sz w:val="20"/>
              </w:rPr>
              <w:t> </w:t>
            </w:r>
            <w:r>
              <w:rPr>
                <w:sz w:val="20"/>
              </w:rPr>
              <w:t>Spring</w:t>
            </w:r>
            <w:r>
              <w:rPr>
                <w:spacing w:val="-11"/>
                <w:sz w:val="20"/>
              </w:rPr>
              <w:t> </w:t>
            </w:r>
            <w:r>
              <w:rPr>
                <w:spacing w:val="-4"/>
                <w:sz w:val="20"/>
              </w:rPr>
              <w:t>2012</w:t>
            </w:r>
          </w:p>
        </w:tc>
        <w:tc>
          <w:tcPr>
            <w:tcW w:w="804" w:type="dxa"/>
          </w:tcPr>
          <w:p>
            <w:pPr>
              <w:pStyle w:val="TableParagraph"/>
              <w:spacing w:line="229" w:lineRule="exact"/>
              <w:ind w:right="93"/>
              <w:jc w:val="right"/>
              <w:rPr>
                <w:sz w:val="20"/>
              </w:rPr>
            </w:pPr>
            <w:r>
              <w:rPr>
                <w:w w:val="99"/>
                <w:sz w:val="20"/>
              </w:rPr>
              <w:t>5</w:t>
            </w:r>
          </w:p>
        </w:tc>
        <w:tc>
          <w:tcPr>
            <w:tcW w:w="806" w:type="dxa"/>
          </w:tcPr>
          <w:p>
            <w:pPr>
              <w:pStyle w:val="TableParagraph"/>
              <w:spacing w:line="229" w:lineRule="exact"/>
              <w:ind w:right="95"/>
              <w:jc w:val="right"/>
              <w:rPr>
                <w:sz w:val="20"/>
              </w:rPr>
            </w:pPr>
            <w:r>
              <w:rPr>
                <w:spacing w:val="-5"/>
                <w:sz w:val="20"/>
              </w:rPr>
              <w:t>10</w:t>
            </w:r>
          </w:p>
        </w:tc>
        <w:tc>
          <w:tcPr>
            <w:tcW w:w="806" w:type="dxa"/>
          </w:tcPr>
          <w:p>
            <w:pPr>
              <w:pStyle w:val="TableParagraph"/>
              <w:spacing w:line="229" w:lineRule="exact"/>
              <w:ind w:right="92"/>
              <w:jc w:val="right"/>
              <w:rPr>
                <w:sz w:val="20"/>
              </w:rPr>
            </w:pPr>
            <w:r>
              <w:rPr>
                <w:w w:val="99"/>
                <w:sz w:val="20"/>
              </w:rPr>
              <w:t>0</w:t>
            </w:r>
          </w:p>
        </w:tc>
        <w:tc>
          <w:tcPr>
            <w:tcW w:w="808" w:type="dxa"/>
          </w:tcPr>
          <w:p>
            <w:pPr>
              <w:pStyle w:val="TableParagraph"/>
              <w:spacing w:line="229" w:lineRule="exact"/>
              <w:ind w:right="94"/>
              <w:jc w:val="right"/>
              <w:rPr>
                <w:sz w:val="20"/>
              </w:rPr>
            </w:pPr>
            <w:r>
              <w:rPr>
                <w:w w:val="99"/>
                <w:sz w:val="20"/>
              </w:rPr>
              <w:t>0</w:t>
            </w:r>
          </w:p>
        </w:tc>
        <w:tc>
          <w:tcPr>
            <w:tcW w:w="803" w:type="dxa"/>
          </w:tcPr>
          <w:p>
            <w:pPr>
              <w:pStyle w:val="TableParagraph"/>
              <w:spacing w:line="229" w:lineRule="exact"/>
              <w:ind w:right="88"/>
              <w:jc w:val="right"/>
              <w:rPr>
                <w:sz w:val="20"/>
              </w:rPr>
            </w:pPr>
            <w:r>
              <w:rPr>
                <w:w w:val="99"/>
                <w:sz w:val="20"/>
              </w:rPr>
              <w:t>0</w:t>
            </w:r>
          </w:p>
        </w:tc>
        <w:tc>
          <w:tcPr>
            <w:tcW w:w="805" w:type="dxa"/>
          </w:tcPr>
          <w:p>
            <w:pPr>
              <w:pStyle w:val="TableParagraph"/>
              <w:spacing w:line="229" w:lineRule="exact"/>
              <w:ind w:right="86"/>
              <w:jc w:val="right"/>
              <w:rPr>
                <w:sz w:val="20"/>
              </w:rPr>
            </w:pPr>
            <w:r>
              <w:rPr>
                <w:w w:val="99"/>
                <w:sz w:val="20"/>
              </w:rPr>
              <w:t>0</w:t>
            </w:r>
          </w:p>
        </w:tc>
        <w:tc>
          <w:tcPr>
            <w:tcW w:w="805" w:type="dxa"/>
            <w:vMerge/>
            <w:tcBorders>
              <w:top w:val="nil"/>
            </w:tcBorders>
          </w:tcPr>
          <w:p>
            <w:pPr>
              <w:rPr>
                <w:sz w:val="2"/>
                <w:szCs w:val="2"/>
              </w:rPr>
            </w:pPr>
          </w:p>
        </w:tc>
        <w:tc>
          <w:tcPr>
            <w:tcW w:w="685" w:type="dxa"/>
            <w:vMerge/>
            <w:tcBorders>
              <w:top w:val="nil"/>
            </w:tcBorders>
          </w:tcPr>
          <w:p>
            <w:pPr>
              <w:rPr>
                <w:sz w:val="2"/>
                <w:szCs w:val="2"/>
              </w:rPr>
            </w:pPr>
          </w:p>
        </w:tc>
      </w:tr>
      <w:tr>
        <w:trPr>
          <w:trHeight w:val="265" w:hRule="atLeast"/>
        </w:trPr>
        <w:tc>
          <w:tcPr>
            <w:tcW w:w="4411" w:type="dxa"/>
            <w:gridSpan w:val="2"/>
            <w:tcBorders>
              <w:right w:val="nil"/>
            </w:tcBorders>
            <w:shd w:val="clear" w:color="auto" w:fill="B7DEE8"/>
          </w:tcPr>
          <w:p>
            <w:pPr>
              <w:pStyle w:val="TableParagraph"/>
              <w:spacing w:line="227" w:lineRule="exact"/>
              <w:ind w:left="1360"/>
              <w:rPr>
                <w:b/>
                <w:sz w:val="20"/>
              </w:rPr>
            </w:pPr>
            <w:r>
              <w:rPr>
                <w:b/>
                <w:sz w:val="20"/>
              </w:rPr>
              <w:t>2007</w:t>
            </w:r>
            <w:r>
              <w:rPr>
                <w:b/>
                <w:spacing w:val="-6"/>
                <w:sz w:val="20"/>
              </w:rPr>
              <w:t> </w:t>
            </w:r>
            <w:r>
              <w:rPr>
                <w:b/>
                <w:sz w:val="20"/>
              </w:rPr>
              <w:t>Cohort</w:t>
            </w:r>
            <w:r>
              <w:rPr>
                <w:b/>
                <w:spacing w:val="-7"/>
                <w:sz w:val="20"/>
              </w:rPr>
              <w:t> </w:t>
            </w:r>
            <w:r>
              <w:rPr>
                <w:b/>
                <w:sz w:val="20"/>
              </w:rPr>
              <w:t>5-Year</w:t>
            </w:r>
            <w:r>
              <w:rPr>
                <w:b/>
                <w:spacing w:val="-9"/>
                <w:sz w:val="20"/>
              </w:rPr>
              <w:t> </w:t>
            </w:r>
            <w:r>
              <w:rPr>
                <w:b/>
                <w:spacing w:val="-2"/>
                <w:sz w:val="20"/>
              </w:rPr>
              <w:t>Graduation</w:t>
            </w:r>
          </w:p>
        </w:tc>
        <w:tc>
          <w:tcPr>
            <w:tcW w:w="806" w:type="dxa"/>
            <w:tcBorders>
              <w:left w:val="nil"/>
            </w:tcBorders>
            <w:shd w:val="clear" w:color="auto" w:fill="B7DEE8"/>
          </w:tcPr>
          <w:p>
            <w:pPr>
              <w:pStyle w:val="TableParagraph"/>
              <w:spacing w:line="227" w:lineRule="exact"/>
              <w:ind w:right="93"/>
              <w:jc w:val="right"/>
              <w:rPr>
                <w:b/>
                <w:sz w:val="20"/>
              </w:rPr>
            </w:pPr>
            <w:r>
              <w:rPr>
                <w:b/>
                <w:spacing w:val="-2"/>
                <w:sz w:val="20"/>
              </w:rPr>
              <w:t>21.3%</w:t>
            </w:r>
          </w:p>
        </w:tc>
        <w:tc>
          <w:tcPr>
            <w:tcW w:w="3222" w:type="dxa"/>
            <w:gridSpan w:val="4"/>
            <w:shd w:val="clear" w:color="auto" w:fill="DADADA"/>
          </w:tcPr>
          <w:p>
            <w:pPr>
              <w:pStyle w:val="TableParagraph"/>
              <w:rPr>
                <w:rFonts w:ascii="Times New Roman"/>
                <w:sz w:val="18"/>
              </w:rPr>
            </w:pPr>
          </w:p>
        </w:tc>
        <w:tc>
          <w:tcPr>
            <w:tcW w:w="805" w:type="dxa"/>
            <w:vMerge/>
            <w:tcBorders>
              <w:top w:val="nil"/>
            </w:tcBorders>
          </w:tcPr>
          <w:p>
            <w:pPr>
              <w:rPr>
                <w:sz w:val="2"/>
                <w:szCs w:val="2"/>
              </w:rPr>
            </w:pPr>
          </w:p>
        </w:tc>
        <w:tc>
          <w:tcPr>
            <w:tcW w:w="685" w:type="dxa"/>
            <w:vMerge/>
            <w:tcBorders>
              <w:top w:val="nil"/>
            </w:tcBorders>
          </w:tcPr>
          <w:p>
            <w:pPr>
              <w:rPr>
                <w:sz w:val="2"/>
                <w:szCs w:val="2"/>
              </w:rPr>
            </w:pPr>
          </w:p>
        </w:tc>
      </w:tr>
      <w:tr>
        <w:trPr>
          <w:trHeight w:val="263" w:hRule="atLeast"/>
        </w:trPr>
        <w:tc>
          <w:tcPr>
            <w:tcW w:w="3607" w:type="dxa"/>
          </w:tcPr>
          <w:p>
            <w:pPr>
              <w:pStyle w:val="TableParagraph"/>
              <w:spacing w:line="229" w:lineRule="exact"/>
              <w:ind w:left="107"/>
              <w:rPr>
                <w:sz w:val="20"/>
              </w:rPr>
            </w:pPr>
            <w:r>
              <w:rPr>
                <w:sz w:val="20"/>
              </w:rPr>
              <w:t>Enrolled</w:t>
            </w:r>
            <w:r>
              <w:rPr>
                <w:spacing w:val="-8"/>
                <w:sz w:val="20"/>
              </w:rPr>
              <w:t> </w:t>
            </w:r>
            <w:r>
              <w:rPr>
                <w:sz w:val="20"/>
              </w:rPr>
              <w:t>Fall</w:t>
            </w:r>
            <w:r>
              <w:rPr>
                <w:spacing w:val="-6"/>
                <w:sz w:val="20"/>
              </w:rPr>
              <w:t> </w:t>
            </w:r>
            <w:r>
              <w:rPr>
                <w:spacing w:val="-4"/>
                <w:sz w:val="20"/>
              </w:rPr>
              <w:t>2012</w:t>
            </w:r>
          </w:p>
        </w:tc>
        <w:tc>
          <w:tcPr>
            <w:tcW w:w="804" w:type="dxa"/>
          </w:tcPr>
          <w:p>
            <w:pPr>
              <w:pStyle w:val="TableParagraph"/>
              <w:spacing w:line="229" w:lineRule="exact"/>
              <w:ind w:right="93"/>
              <w:jc w:val="right"/>
              <w:rPr>
                <w:sz w:val="20"/>
              </w:rPr>
            </w:pPr>
            <w:r>
              <w:rPr>
                <w:w w:val="99"/>
                <w:sz w:val="20"/>
              </w:rPr>
              <w:t>0</w:t>
            </w:r>
          </w:p>
        </w:tc>
        <w:tc>
          <w:tcPr>
            <w:tcW w:w="806" w:type="dxa"/>
          </w:tcPr>
          <w:p>
            <w:pPr>
              <w:pStyle w:val="TableParagraph"/>
              <w:spacing w:line="229" w:lineRule="exact"/>
              <w:ind w:right="92"/>
              <w:jc w:val="right"/>
              <w:rPr>
                <w:sz w:val="20"/>
              </w:rPr>
            </w:pPr>
            <w:r>
              <w:rPr>
                <w:w w:val="99"/>
                <w:sz w:val="20"/>
              </w:rPr>
              <w:t>4</w:t>
            </w:r>
          </w:p>
        </w:tc>
        <w:tc>
          <w:tcPr>
            <w:tcW w:w="806" w:type="dxa"/>
          </w:tcPr>
          <w:p>
            <w:pPr>
              <w:pStyle w:val="TableParagraph"/>
              <w:spacing w:line="229" w:lineRule="exact"/>
              <w:ind w:right="95"/>
              <w:jc w:val="right"/>
              <w:rPr>
                <w:sz w:val="20"/>
              </w:rPr>
            </w:pPr>
            <w:r>
              <w:rPr>
                <w:spacing w:val="-5"/>
                <w:sz w:val="20"/>
              </w:rPr>
              <w:t>15</w:t>
            </w:r>
          </w:p>
        </w:tc>
        <w:tc>
          <w:tcPr>
            <w:tcW w:w="808" w:type="dxa"/>
          </w:tcPr>
          <w:p>
            <w:pPr>
              <w:pStyle w:val="TableParagraph"/>
              <w:spacing w:line="229" w:lineRule="exact"/>
              <w:ind w:right="96"/>
              <w:jc w:val="right"/>
              <w:rPr>
                <w:sz w:val="20"/>
              </w:rPr>
            </w:pPr>
            <w:r>
              <w:rPr>
                <w:spacing w:val="-5"/>
                <w:sz w:val="20"/>
              </w:rPr>
              <w:t>22</w:t>
            </w:r>
          </w:p>
        </w:tc>
        <w:tc>
          <w:tcPr>
            <w:tcW w:w="803" w:type="dxa"/>
          </w:tcPr>
          <w:p>
            <w:pPr>
              <w:pStyle w:val="TableParagraph"/>
              <w:spacing w:line="229" w:lineRule="exact"/>
              <w:ind w:right="91"/>
              <w:jc w:val="right"/>
              <w:rPr>
                <w:sz w:val="20"/>
              </w:rPr>
            </w:pPr>
            <w:r>
              <w:rPr>
                <w:spacing w:val="-5"/>
                <w:sz w:val="20"/>
              </w:rPr>
              <w:t>22</w:t>
            </w:r>
          </w:p>
        </w:tc>
        <w:tc>
          <w:tcPr>
            <w:tcW w:w="805" w:type="dxa"/>
          </w:tcPr>
          <w:p>
            <w:pPr>
              <w:pStyle w:val="TableParagraph"/>
              <w:spacing w:line="229" w:lineRule="exact"/>
              <w:ind w:right="89"/>
              <w:jc w:val="right"/>
              <w:rPr>
                <w:sz w:val="20"/>
              </w:rPr>
            </w:pPr>
            <w:r>
              <w:rPr>
                <w:spacing w:val="-5"/>
                <w:sz w:val="20"/>
              </w:rPr>
              <w:t>14</w:t>
            </w:r>
          </w:p>
        </w:tc>
        <w:tc>
          <w:tcPr>
            <w:tcW w:w="805" w:type="dxa"/>
            <w:shd w:val="clear" w:color="auto" w:fill="DCE6F1"/>
          </w:tcPr>
          <w:p>
            <w:pPr>
              <w:pStyle w:val="TableParagraph"/>
              <w:spacing w:line="227" w:lineRule="exact"/>
              <w:ind w:right="88"/>
              <w:jc w:val="right"/>
              <w:rPr>
                <w:b/>
                <w:sz w:val="20"/>
              </w:rPr>
            </w:pPr>
            <w:r>
              <w:rPr>
                <w:b/>
                <w:spacing w:val="-5"/>
                <w:sz w:val="20"/>
              </w:rPr>
              <w:t>22</w:t>
            </w:r>
          </w:p>
        </w:tc>
        <w:tc>
          <w:tcPr>
            <w:tcW w:w="685" w:type="dxa"/>
            <w:vMerge/>
            <w:tcBorders>
              <w:top w:val="nil"/>
            </w:tcBorders>
          </w:tcPr>
          <w:p>
            <w:pPr>
              <w:rPr>
                <w:sz w:val="2"/>
                <w:szCs w:val="2"/>
              </w:rPr>
            </w:pPr>
          </w:p>
        </w:tc>
      </w:tr>
      <w:tr>
        <w:trPr>
          <w:trHeight w:val="263" w:hRule="atLeast"/>
        </w:trPr>
        <w:tc>
          <w:tcPr>
            <w:tcW w:w="3607" w:type="dxa"/>
            <w:tcBorders>
              <w:right w:val="nil"/>
            </w:tcBorders>
            <w:shd w:val="clear" w:color="auto" w:fill="D8E4BC"/>
          </w:tcPr>
          <w:p>
            <w:pPr>
              <w:pStyle w:val="TableParagraph"/>
              <w:rPr>
                <w:rFonts w:ascii="Times New Roman"/>
                <w:sz w:val="18"/>
              </w:rPr>
            </w:pPr>
          </w:p>
        </w:tc>
        <w:tc>
          <w:tcPr>
            <w:tcW w:w="804" w:type="dxa"/>
            <w:tcBorders>
              <w:left w:val="nil"/>
              <w:right w:val="nil"/>
            </w:tcBorders>
            <w:shd w:val="clear" w:color="auto" w:fill="D8E4BC"/>
          </w:tcPr>
          <w:p>
            <w:pPr>
              <w:pStyle w:val="TableParagraph"/>
              <w:rPr>
                <w:rFonts w:ascii="Times New Roman"/>
                <w:sz w:val="18"/>
              </w:rPr>
            </w:pPr>
          </w:p>
        </w:tc>
        <w:tc>
          <w:tcPr>
            <w:tcW w:w="806" w:type="dxa"/>
            <w:tcBorders>
              <w:left w:val="nil"/>
              <w:right w:val="nil"/>
            </w:tcBorders>
            <w:shd w:val="clear" w:color="auto" w:fill="D8E4BC"/>
          </w:tcPr>
          <w:p>
            <w:pPr>
              <w:pStyle w:val="TableParagraph"/>
              <w:rPr>
                <w:rFonts w:ascii="Times New Roman"/>
                <w:sz w:val="18"/>
              </w:rPr>
            </w:pPr>
          </w:p>
        </w:tc>
        <w:tc>
          <w:tcPr>
            <w:tcW w:w="2417" w:type="dxa"/>
            <w:gridSpan w:val="3"/>
            <w:tcBorders>
              <w:left w:val="nil"/>
              <w:right w:val="nil"/>
            </w:tcBorders>
            <w:shd w:val="clear" w:color="auto" w:fill="D8E4BC"/>
          </w:tcPr>
          <w:p>
            <w:pPr>
              <w:pStyle w:val="TableParagraph"/>
              <w:spacing w:line="227" w:lineRule="exact"/>
              <w:ind w:left="187"/>
              <w:rPr>
                <w:b/>
                <w:sz w:val="20"/>
              </w:rPr>
            </w:pPr>
            <w:r>
              <w:rPr>
                <w:b/>
                <w:sz w:val="20"/>
              </w:rPr>
              <w:t>2011</w:t>
            </w:r>
            <w:r>
              <w:rPr>
                <w:b/>
                <w:spacing w:val="-9"/>
                <w:sz w:val="20"/>
              </w:rPr>
              <w:t> </w:t>
            </w:r>
            <w:r>
              <w:rPr>
                <w:b/>
                <w:sz w:val="20"/>
              </w:rPr>
              <w:t>Cohort</w:t>
            </w:r>
            <w:r>
              <w:rPr>
                <w:b/>
                <w:spacing w:val="-7"/>
                <w:sz w:val="20"/>
              </w:rPr>
              <w:t> </w:t>
            </w:r>
            <w:r>
              <w:rPr>
                <w:b/>
                <w:spacing w:val="-2"/>
                <w:sz w:val="20"/>
              </w:rPr>
              <w:t>Retention</w:t>
            </w:r>
          </w:p>
        </w:tc>
        <w:tc>
          <w:tcPr>
            <w:tcW w:w="805" w:type="dxa"/>
            <w:tcBorders>
              <w:left w:val="nil"/>
            </w:tcBorders>
            <w:shd w:val="clear" w:color="auto" w:fill="D8E4BC"/>
          </w:tcPr>
          <w:p>
            <w:pPr>
              <w:pStyle w:val="TableParagraph"/>
              <w:spacing w:line="227" w:lineRule="exact"/>
              <w:ind w:right="87"/>
              <w:jc w:val="right"/>
              <w:rPr>
                <w:b/>
                <w:sz w:val="20"/>
              </w:rPr>
            </w:pPr>
            <w:r>
              <w:rPr>
                <w:b/>
                <w:spacing w:val="-2"/>
                <w:sz w:val="20"/>
              </w:rPr>
              <w:t>51.9%</w:t>
            </w:r>
          </w:p>
        </w:tc>
        <w:tc>
          <w:tcPr>
            <w:tcW w:w="805" w:type="dxa"/>
            <w:shd w:val="clear" w:color="auto" w:fill="DADADA"/>
          </w:tcPr>
          <w:p>
            <w:pPr>
              <w:pStyle w:val="TableParagraph"/>
              <w:rPr>
                <w:rFonts w:ascii="Times New Roman"/>
                <w:sz w:val="18"/>
              </w:rPr>
            </w:pPr>
          </w:p>
        </w:tc>
        <w:tc>
          <w:tcPr>
            <w:tcW w:w="685" w:type="dxa"/>
            <w:vMerge/>
            <w:tcBorders>
              <w:top w:val="nil"/>
            </w:tcBorders>
          </w:tcPr>
          <w:p>
            <w:pPr>
              <w:rPr>
                <w:sz w:val="2"/>
                <w:szCs w:val="2"/>
              </w:rPr>
            </w:pPr>
          </w:p>
        </w:tc>
      </w:tr>
      <w:tr>
        <w:trPr>
          <w:trHeight w:val="265" w:hRule="atLeast"/>
        </w:trPr>
        <w:tc>
          <w:tcPr>
            <w:tcW w:w="3607" w:type="dxa"/>
          </w:tcPr>
          <w:p>
            <w:pPr>
              <w:pStyle w:val="TableParagraph"/>
              <w:spacing w:before="2"/>
              <w:ind w:left="107"/>
              <w:rPr>
                <w:sz w:val="20"/>
              </w:rPr>
            </w:pPr>
            <w:r>
              <w:rPr>
                <w:sz w:val="20"/>
              </w:rPr>
              <w:t>Graduated</w:t>
            </w:r>
            <w:r>
              <w:rPr>
                <w:spacing w:val="-9"/>
                <w:sz w:val="20"/>
              </w:rPr>
              <w:t> </w:t>
            </w:r>
            <w:r>
              <w:rPr>
                <w:sz w:val="20"/>
              </w:rPr>
              <w:t>Fall</w:t>
            </w:r>
            <w:r>
              <w:rPr>
                <w:spacing w:val="-7"/>
                <w:sz w:val="20"/>
              </w:rPr>
              <w:t> </w:t>
            </w:r>
            <w:r>
              <w:rPr>
                <w:spacing w:val="-4"/>
                <w:sz w:val="20"/>
              </w:rPr>
              <w:t>2012</w:t>
            </w:r>
          </w:p>
        </w:tc>
        <w:tc>
          <w:tcPr>
            <w:tcW w:w="804" w:type="dxa"/>
          </w:tcPr>
          <w:p>
            <w:pPr>
              <w:pStyle w:val="TableParagraph"/>
              <w:spacing w:before="2"/>
              <w:ind w:right="93"/>
              <w:jc w:val="right"/>
              <w:rPr>
                <w:sz w:val="20"/>
              </w:rPr>
            </w:pPr>
            <w:r>
              <w:rPr>
                <w:w w:val="99"/>
                <w:sz w:val="20"/>
              </w:rPr>
              <w:t>0</w:t>
            </w:r>
          </w:p>
        </w:tc>
        <w:tc>
          <w:tcPr>
            <w:tcW w:w="806" w:type="dxa"/>
          </w:tcPr>
          <w:p>
            <w:pPr>
              <w:pStyle w:val="TableParagraph"/>
              <w:spacing w:before="2"/>
              <w:ind w:right="92"/>
              <w:jc w:val="right"/>
              <w:rPr>
                <w:sz w:val="20"/>
              </w:rPr>
            </w:pPr>
            <w:r>
              <w:rPr>
                <w:w w:val="99"/>
                <w:sz w:val="20"/>
              </w:rPr>
              <w:t>0</w:t>
            </w:r>
          </w:p>
        </w:tc>
        <w:tc>
          <w:tcPr>
            <w:tcW w:w="806" w:type="dxa"/>
          </w:tcPr>
          <w:p>
            <w:pPr>
              <w:pStyle w:val="TableParagraph"/>
              <w:spacing w:before="2"/>
              <w:ind w:right="92"/>
              <w:jc w:val="right"/>
              <w:rPr>
                <w:sz w:val="20"/>
              </w:rPr>
            </w:pPr>
            <w:r>
              <w:rPr>
                <w:w w:val="99"/>
                <w:sz w:val="20"/>
              </w:rPr>
              <w:t>0</w:t>
            </w:r>
          </w:p>
        </w:tc>
        <w:tc>
          <w:tcPr>
            <w:tcW w:w="808" w:type="dxa"/>
          </w:tcPr>
          <w:p>
            <w:pPr>
              <w:pStyle w:val="TableParagraph"/>
              <w:spacing w:before="2"/>
              <w:ind w:right="94"/>
              <w:jc w:val="right"/>
              <w:rPr>
                <w:sz w:val="20"/>
              </w:rPr>
            </w:pPr>
            <w:r>
              <w:rPr>
                <w:w w:val="99"/>
                <w:sz w:val="20"/>
              </w:rPr>
              <w:t>0</w:t>
            </w:r>
          </w:p>
        </w:tc>
        <w:tc>
          <w:tcPr>
            <w:tcW w:w="803" w:type="dxa"/>
          </w:tcPr>
          <w:p>
            <w:pPr>
              <w:pStyle w:val="TableParagraph"/>
              <w:spacing w:before="2"/>
              <w:ind w:right="88"/>
              <w:jc w:val="right"/>
              <w:rPr>
                <w:sz w:val="20"/>
              </w:rPr>
            </w:pPr>
            <w:r>
              <w:rPr>
                <w:w w:val="99"/>
                <w:sz w:val="20"/>
              </w:rPr>
              <w:t>0</w:t>
            </w:r>
          </w:p>
        </w:tc>
        <w:tc>
          <w:tcPr>
            <w:tcW w:w="805" w:type="dxa"/>
          </w:tcPr>
          <w:p>
            <w:pPr>
              <w:pStyle w:val="TableParagraph"/>
              <w:spacing w:before="2"/>
              <w:ind w:right="86"/>
              <w:jc w:val="right"/>
              <w:rPr>
                <w:sz w:val="20"/>
              </w:rPr>
            </w:pPr>
            <w:r>
              <w:rPr>
                <w:w w:val="99"/>
                <w:sz w:val="20"/>
              </w:rPr>
              <w:t>0</w:t>
            </w:r>
          </w:p>
        </w:tc>
        <w:tc>
          <w:tcPr>
            <w:tcW w:w="805" w:type="dxa"/>
          </w:tcPr>
          <w:p>
            <w:pPr>
              <w:pStyle w:val="TableParagraph"/>
              <w:spacing w:before="2"/>
              <w:ind w:right="85"/>
              <w:jc w:val="right"/>
              <w:rPr>
                <w:sz w:val="20"/>
              </w:rPr>
            </w:pPr>
            <w:r>
              <w:rPr>
                <w:w w:val="99"/>
                <w:sz w:val="20"/>
              </w:rPr>
              <w:t>0</w:t>
            </w:r>
          </w:p>
        </w:tc>
        <w:tc>
          <w:tcPr>
            <w:tcW w:w="685" w:type="dxa"/>
            <w:vMerge/>
            <w:tcBorders>
              <w:top w:val="nil"/>
            </w:tcBorders>
          </w:tcPr>
          <w:p>
            <w:pPr>
              <w:rPr>
                <w:sz w:val="2"/>
                <w:szCs w:val="2"/>
              </w:rPr>
            </w:pPr>
          </w:p>
        </w:tc>
      </w:tr>
      <w:tr>
        <w:trPr>
          <w:trHeight w:val="263" w:hRule="atLeast"/>
        </w:trPr>
        <w:tc>
          <w:tcPr>
            <w:tcW w:w="3607" w:type="dxa"/>
          </w:tcPr>
          <w:p>
            <w:pPr>
              <w:pStyle w:val="TableParagraph"/>
              <w:spacing w:line="229" w:lineRule="exact"/>
              <w:ind w:left="107"/>
              <w:rPr>
                <w:sz w:val="20"/>
              </w:rPr>
            </w:pPr>
            <w:r>
              <w:rPr>
                <w:sz w:val="20"/>
              </w:rPr>
              <w:t>Graduated</w:t>
            </w:r>
            <w:r>
              <w:rPr>
                <w:spacing w:val="-9"/>
                <w:sz w:val="20"/>
              </w:rPr>
              <w:t> </w:t>
            </w:r>
            <w:r>
              <w:rPr>
                <w:sz w:val="20"/>
              </w:rPr>
              <w:t>Spring</w:t>
            </w:r>
            <w:r>
              <w:rPr>
                <w:spacing w:val="-11"/>
                <w:sz w:val="20"/>
              </w:rPr>
              <w:t> </w:t>
            </w:r>
            <w:r>
              <w:rPr>
                <w:spacing w:val="-4"/>
                <w:sz w:val="20"/>
              </w:rPr>
              <w:t>2013</w:t>
            </w:r>
          </w:p>
        </w:tc>
        <w:tc>
          <w:tcPr>
            <w:tcW w:w="804" w:type="dxa"/>
          </w:tcPr>
          <w:p>
            <w:pPr>
              <w:pStyle w:val="TableParagraph"/>
              <w:spacing w:line="229" w:lineRule="exact"/>
              <w:ind w:right="93"/>
              <w:jc w:val="right"/>
              <w:rPr>
                <w:sz w:val="20"/>
              </w:rPr>
            </w:pPr>
            <w:r>
              <w:rPr>
                <w:w w:val="99"/>
                <w:sz w:val="20"/>
              </w:rPr>
              <w:t>1</w:t>
            </w:r>
          </w:p>
        </w:tc>
        <w:tc>
          <w:tcPr>
            <w:tcW w:w="806" w:type="dxa"/>
          </w:tcPr>
          <w:p>
            <w:pPr>
              <w:pStyle w:val="TableParagraph"/>
              <w:spacing w:line="229" w:lineRule="exact"/>
              <w:ind w:right="92"/>
              <w:jc w:val="right"/>
              <w:rPr>
                <w:sz w:val="20"/>
              </w:rPr>
            </w:pPr>
            <w:r>
              <w:rPr>
                <w:w w:val="99"/>
                <w:sz w:val="20"/>
              </w:rPr>
              <w:t>4</w:t>
            </w:r>
          </w:p>
        </w:tc>
        <w:tc>
          <w:tcPr>
            <w:tcW w:w="806" w:type="dxa"/>
          </w:tcPr>
          <w:p>
            <w:pPr>
              <w:pStyle w:val="TableParagraph"/>
              <w:spacing w:line="229" w:lineRule="exact"/>
              <w:ind w:right="95"/>
              <w:jc w:val="right"/>
              <w:rPr>
                <w:sz w:val="20"/>
              </w:rPr>
            </w:pPr>
            <w:r>
              <w:rPr>
                <w:spacing w:val="-5"/>
                <w:sz w:val="20"/>
              </w:rPr>
              <w:t>12</w:t>
            </w:r>
          </w:p>
        </w:tc>
        <w:tc>
          <w:tcPr>
            <w:tcW w:w="808" w:type="dxa"/>
          </w:tcPr>
          <w:p>
            <w:pPr>
              <w:pStyle w:val="TableParagraph"/>
              <w:spacing w:line="229" w:lineRule="exact"/>
              <w:ind w:right="94"/>
              <w:jc w:val="right"/>
              <w:rPr>
                <w:sz w:val="20"/>
              </w:rPr>
            </w:pPr>
            <w:r>
              <w:rPr>
                <w:w w:val="99"/>
                <w:sz w:val="20"/>
              </w:rPr>
              <w:t>0</w:t>
            </w:r>
          </w:p>
        </w:tc>
        <w:tc>
          <w:tcPr>
            <w:tcW w:w="803" w:type="dxa"/>
          </w:tcPr>
          <w:p>
            <w:pPr>
              <w:pStyle w:val="TableParagraph"/>
              <w:spacing w:line="229" w:lineRule="exact"/>
              <w:ind w:right="88"/>
              <w:jc w:val="right"/>
              <w:rPr>
                <w:sz w:val="20"/>
              </w:rPr>
            </w:pPr>
            <w:r>
              <w:rPr>
                <w:w w:val="99"/>
                <w:sz w:val="20"/>
              </w:rPr>
              <w:t>0</w:t>
            </w:r>
          </w:p>
        </w:tc>
        <w:tc>
          <w:tcPr>
            <w:tcW w:w="805" w:type="dxa"/>
          </w:tcPr>
          <w:p>
            <w:pPr>
              <w:pStyle w:val="TableParagraph"/>
              <w:spacing w:line="229" w:lineRule="exact"/>
              <w:ind w:right="86"/>
              <w:jc w:val="right"/>
              <w:rPr>
                <w:sz w:val="20"/>
              </w:rPr>
            </w:pPr>
            <w:r>
              <w:rPr>
                <w:w w:val="99"/>
                <w:sz w:val="20"/>
              </w:rPr>
              <w:t>0</w:t>
            </w:r>
          </w:p>
        </w:tc>
        <w:tc>
          <w:tcPr>
            <w:tcW w:w="805" w:type="dxa"/>
          </w:tcPr>
          <w:p>
            <w:pPr>
              <w:pStyle w:val="TableParagraph"/>
              <w:spacing w:line="229" w:lineRule="exact"/>
              <w:ind w:right="85"/>
              <w:jc w:val="right"/>
              <w:rPr>
                <w:sz w:val="20"/>
              </w:rPr>
            </w:pPr>
            <w:r>
              <w:rPr>
                <w:w w:val="99"/>
                <w:sz w:val="20"/>
              </w:rPr>
              <w:t>0</w:t>
            </w:r>
          </w:p>
        </w:tc>
        <w:tc>
          <w:tcPr>
            <w:tcW w:w="685" w:type="dxa"/>
            <w:vMerge/>
            <w:tcBorders>
              <w:top w:val="nil"/>
            </w:tcBorders>
          </w:tcPr>
          <w:p>
            <w:pPr>
              <w:rPr>
                <w:sz w:val="2"/>
                <w:szCs w:val="2"/>
              </w:rPr>
            </w:pPr>
          </w:p>
        </w:tc>
      </w:tr>
      <w:tr>
        <w:trPr>
          <w:trHeight w:val="263" w:hRule="atLeast"/>
        </w:trPr>
        <w:tc>
          <w:tcPr>
            <w:tcW w:w="5217" w:type="dxa"/>
            <w:gridSpan w:val="3"/>
            <w:tcBorders>
              <w:right w:val="nil"/>
            </w:tcBorders>
            <w:shd w:val="clear" w:color="auto" w:fill="B7DEE8"/>
          </w:tcPr>
          <w:p>
            <w:pPr>
              <w:pStyle w:val="TableParagraph"/>
              <w:spacing w:line="227" w:lineRule="exact"/>
              <w:ind w:left="2166"/>
              <w:rPr>
                <w:b/>
                <w:sz w:val="20"/>
              </w:rPr>
            </w:pPr>
            <w:r>
              <w:rPr>
                <w:b/>
                <w:sz w:val="20"/>
              </w:rPr>
              <w:t>2008</w:t>
            </w:r>
            <w:r>
              <w:rPr>
                <w:b/>
                <w:spacing w:val="-6"/>
                <w:sz w:val="20"/>
              </w:rPr>
              <w:t> </w:t>
            </w:r>
            <w:r>
              <w:rPr>
                <w:b/>
                <w:sz w:val="20"/>
              </w:rPr>
              <w:t>Cohort</w:t>
            </w:r>
            <w:r>
              <w:rPr>
                <w:b/>
                <w:spacing w:val="-7"/>
                <w:sz w:val="20"/>
              </w:rPr>
              <w:t> </w:t>
            </w:r>
            <w:r>
              <w:rPr>
                <w:b/>
                <w:sz w:val="20"/>
              </w:rPr>
              <w:t>5-Year</w:t>
            </w:r>
            <w:r>
              <w:rPr>
                <w:b/>
                <w:spacing w:val="-9"/>
                <w:sz w:val="20"/>
              </w:rPr>
              <w:t> </w:t>
            </w:r>
            <w:r>
              <w:rPr>
                <w:b/>
                <w:spacing w:val="-2"/>
                <w:sz w:val="20"/>
              </w:rPr>
              <w:t>Graduation</w:t>
            </w:r>
          </w:p>
        </w:tc>
        <w:tc>
          <w:tcPr>
            <w:tcW w:w="806" w:type="dxa"/>
            <w:tcBorders>
              <w:left w:val="nil"/>
            </w:tcBorders>
            <w:shd w:val="clear" w:color="auto" w:fill="B7DEE8"/>
          </w:tcPr>
          <w:p>
            <w:pPr>
              <w:pStyle w:val="TableParagraph"/>
              <w:spacing w:line="227" w:lineRule="exact"/>
              <w:ind w:right="93"/>
              <w:jc w:val="right"/>
              <w:rPr>
                <w:b/>
                <w:sz w:val="20"/>
              </w:rPr>
            </w:pPr>
            <w:r>
              <w:rPr>
                <w:b/>
                <w:spacing w:val="-2"/>
                <w:sz w:val="20"/>
              </w:rPr>
              <w:t>33.3%</w:t>
            </w:r>
          </w:p>
        </w:tc>
        <w:tc>
          <w:tcPr>
            <w:tcW w:w="3221" w:type="dxa"/>
            <w:gridSpan w:val="4"/>
            <w:shd w:val="clear" w:color="auto" w:fill="DADADA"/>
          </w:tcPr>
          <w:p>
            <w:pPr>
              <w:pStyle w:val="TableParagraph"/>
              <w:rPr>
                <w:rFonts w:ascii="Times New Roman"/>
                <w:sz w:val="18"/>
              </w:rPr>
            </w:pPr>
          </w:p>
        </w:tc>
        <w:tc>
          <w:tcPr>
            <w:tcW w:w="685" w:type="dxa"/>
            <w:vMerge/>
            <w:tcBorders>
              <w:top w:val="nil"/>
            </w:tcBorders>
          </w:tcPr>
          <w:p>
            <w:pPr>
              <w:rPr>
                <w:sz w:val="2"/>
                <w:szCs w:val="2"/>
              </w:rPr>
            </w:pPr>
          </w:p>
        </w:tc>
      </w:tr>
      <w:tr>
        <w:trPr>
          <w:trHeight w:val="266" w:hRule="atLeast"/>
        </w:trPr>
        <w:tc>
          <w:tcPr>
            <w:tcW w:w="3607" w:type="dxa"/>
          </w:tcPr>
          <w:p>
            <w:pPr>
              <w:pStyle w:val="TableParagraph"/>
              <w:spacing w:before="2"/>
              <w:ind w:left="107"/>
              <w:rPr>
                <w:sz w:val="20"/>
              </w:rPr>
            </w:pPr>
            <w:r>
              <w:rPr>
                <w:sz w:val="20"/>
              </w:rPr>
              <w:t>Enrolled</w:t>
            </w:r>
            <w:r>
              <w:rPr>
                <w:spacing w:val="-8"/>
                <w:sz w:val="20"/>
              </w:rPr>
              <w:t> </w:t>
            </w:r>
            <w:r>
              <w:rPr>
                <w:sz w:val="20"/>
              </w:rPr>
              <w:t>Fall</w:t>
            </w:r>
            <w:r>
              <w:rPr>
                <w:spacing w:val="-6"/>
                <w:sz w:val="20"/>
              </w:rPr>
              <w:t> </w:t>
            </w:r>
            <w:r>
              <w:rPr>
                <w:spacing w:val="-4"/>
                <w:sz w:val="20"/>
              </w:rPr>
              <w:t>2013</w:t>
            </w:r>
          </w:p>
        </w:tc>
        <w:tc>
          <w:tcPr>
            <w:tcW w:w="804" w:type="dxa"/>
          </w:tcPr>
          <w:p>
            <w:pPr>
              <w:pStyle w:val="TableParagraph"/>
              <w:spacing w:before="2"/>
              <w:ind w:right="93"/>
              <w:jc w:val="right"/>
              <w:rPr>
                <w:sz w:val="20"/>
              </w:rPr>
            </w:pPr>
            <w:r>
              <w:rPr>
                <w:w w:val="99"/>
                <w:sz w:val="20"/>
              </w:rPr>
              <w:t>0</w:t>
            </w:r>
          </w:p>
        </w:tc>
        <w:tc>
          <w:tcPr>
            <w:tcW w:w="806" w:type="dxa"/>
          </w:tcPr>
          <w:p>
            <w:pPr>
              <w:pStyle w:val="TableParagraph"/>
              <w:spacing w:before="2"/>
              <w:ind w:right="92"/>
              <w:jc w:val="right"/>
              <w:rPr>
                <w:sz w:val="20"/>
              </w:rPr>
            </w:pPr>
            <w:r>
              <w:rPr>
                <w:w w:val="99"/>
                <w:sz w:val="20"/>
              </w:rPr>
              <w:t>0</w:t>
            </w:r>
          </w:p>
        </w:tc>
        <w:tc>
          <w:tcPr>
            <w:tcW w:w="806" w:type="dxa"/>
          </w:tcPr>
          <w:p>
            <w:pPr>
              <w:pStyle w:val="TableParagraph"/>
              <w:spacing w:before="2"/>
              <w:ind w:right="92"/>
              <w:jc w:val="right"/>
              <w:rPr>
                <w:sz w:val="20"/>
              </w:rPr>
            </w:pPr>
            <w:r>
              <w:rPr>
                <w:w w:val="99"/>
                <w:sz w:val="20"/>
              </w:rPr>
              <w:t>2</w:t>
            </w:r>
          </w:p>
        </w:tc>
        <w:tc>
          <w:tcPr>
            <w:tcW w:w="808" w:type="dxa"/>
          </w:tcPr>
          <w:p>
            <w:pPr>
              <w:pStyle w:val="TableParagraph"/>
              <w:spacing w:before="2"/>
              <w:ind w:right="96"/>
              <w:jc w:val="right"/>
              <w:rPr>
                <w:sz w:val="20"/>
              </w:rPr>
            </w:pPr>
            <w:r>
              <w:rPr>
                <w:spacing w:val="-5"/>
                <w:sz w:val="20"/>
              </w:rPr>
              <w:t>18</w:t>
            </w:r>
          </w:p>
        </w:tc>
        <w:tc>
          <w:tcPr>
            <w:tcW w:w="803" w:type="dxa"/>
          </w:tcPr>
          <w:p>
            <w:pPr>
              <w:pStyle w:val="TableParagraph"/>
              <w:spacing w:before="2"/>
              <w:ind w:right="91"/>
              <w:jc w:val="right"/>
              <w:rPr>
                <w:sz w:val="20"/>
              </w:rPr>
            </w:pPr>
            <w:r>
              <w:rPr>
                <w:spacing w:val="-5"/>
                <w:sz w:val="20"/>
              </w:rPr>
              <w:t>19</w:t>
            </w:r>
          </w:p>
        </w:tc>
        <w:tc>
          <w:tcPr>
            <w:tcW w:w="805" w:type="dxa"/>
          </w:tcPr>
          <w:p>
            <w:pPr>
              <w:pStyle w:val="TableParagraph"/>
              <w:spacing w:before="2"/>
              <w:ind w:right="89"/>
              <w:jc w:val="right"/>
              <w:rPr>
                <w:sz w:val="20"/>
              </w:rPr>
            </w:pPr>
            <w:r>
              <w:rPr>
                <w:spacing w:val="-5"/>
                <w:sz w:val="20"/>
              </w:rPr>
              <w:t>12</w:t>
            </w:r>
          </w:p>
        </w:tc>
        <w:tc>
          <w:tcPr>
            <w:tcW w:w="805" w:type="dxa"/>
          </w:tcPr>
          <w:p>
            <w:pPr>
              <w:pStyle w:val="TableParagraph"/>
              <w:spacing w:before="2"/>
              <w:ind w:right="88"/>
              <w:jc w:val="right"/>
              <w:rPr>
                <w:sz w:val="20"/>
              </w:rPr>
            </w:pPr>
            <w:r>
              <w:rPr>
                <w:spacing w:val="-5"/>
                <w:sz w:val="20"/>
              </w:rPr>
              <w:t>14</w:t>
            </w:r>
          </w:p>
        </w:tc>
        <w:tc>
          <w:tcPr>
            <w:tcW w:w="685" w:type="dxa"/>
            <w:shd w:val="clear" w:color="auto" w:fill="DCE6F1"/>
          </w:tcPr>
          <w:p>
            <w:pPr>
              <w:pStyle w:val="TableParagraph"/>
              <w:spacing w:line="229" w:lineRule="exact"/>
              <w:ind w:right="91"/>
              <w:jc w:val="right"/>
              <w:rPr>
                <w:b/>
                <w:sz w:val="20"/>
              </w:rPr>
            </w:pPr>
            <w:r>
              <w:rPr>
                <w:b/>
                <w:spacing w:val="-5"/>
                <w:sz w:val="20"/>
              </w:rPr>
              <w:t>29</w:t>
            </w:r>
          </w:p>
        </w:tc>
      </w:tr>
      <w:tr>
        <w:trPr>
          <w:trHeight w:val="263" w:hRule="atLeast"/>
        </w:trPr>
        <w:tc>
          <w:tcPr>
            <w:tcW w:w="3607" w:type="dxa"/>
            <w:tcBorders>
              <w:right w:val="nil"/>
            </w:tcBorders>
            <w:shd w:val="clear" w:color="auto" w:fill="D8E4BC"/>
          </w:tcPr>
          <w:p>
            <w:pPr>
              <w:pStyle w:val="TableParagraph"/>
              <w:rPr>
                <w:rFonts w:ascii="Times New Roman"/>
                <w:sz w:val="18"/>
              </w:rPr>
            </w:pPr>
          </w:p>
        </w:tc>
        <w:tc>
          <w:tcPr>
            <w:tcW w:w="804" w:type="dxa"/>
            <w:tcBorders>
              <w:left w:val="nil"/>
              <w:right w:val="nil"/>
            </w:tcBorders>
            <w:shd w:val="clear" w:color="auto" w:fill="D8E4BC"/>
          </w:tcPr>
          <w:p>
            <w:pPr>
              <w:pStyle w:val="TableParagraph"/>
              <w:rPr>
                <w:rFonts w:ascii="Times New Roman"/>
                <w:sz w:val="18"/>
              </w:rPr>
            </w:pPr>
          </w:p>
        </w:tc>
        <w:tc>
          <w:tcPr>
            <w:tcW w:w="806" w:type="dxa"/>
            <w:tcBorders>
              <w:left w:val="nil"/>
              <w:right w:val="nil"/>
            </w:tcBorders>
            <w:shd w:val="clear" w:color="auto" w:fill="D8E4BC"/>
          </w:tcPr>
          <w:p>
            <w:pPr>
              <w:pStyle w:val="TableParagraph"/>
              <w:rPr>
                <w:rFonts w:ascii="Times New Roman"/>
                <w:sz w:val="18"/>
              </w:rPr>
            </w:pPr>
          </w:p>
        </w:tc>
        <w:tc>
          <w:tcPr>
            <w:tcW w:w="806" w:type="dxa"/>
            <w:tcBorders>
              <w:left w:val="nil"/>
              <w:right w:val="nil"/>
            </w:tcBorders>
            <w:shd w:val="clear" w:color="auto" w:fill="D8E4BC"/>
          </w:tcPr>
          <w:p>
            <w:pPr>
              <w:pStyle w:val="TableParagraph"/>
              <w:rPr>
                <w:rFonts w:ascii="Times New Roman"/>
                <w:sz w:val="18"/>
              </w:rPr>
            </w:pPr>
          </w:p>
        </w:tc>
        <w:tc>
          <w:tcPr>
            <w:tcW w:w="2416" w:type="dxa"/>
            <w:gridSpan w:val="3"/>
            <w:tcBorders>
              <w:left w:val="nil"/>
              <w:right w:val="nil"/>
            </w:tcBorders>
            <w:shd w:val="clear" w:color="auto" w:fill="D8E4BC"/>
          </w:tcPr>
          <w:p>
            <w:pPr>
              <w:pStyle w:val="TableParagraph"/>
              <w:spacing w:line="227" w:lineRule="exact"/>
              <w:ind w:left="188"/>
              <w:rPr>
                <w:b/>
                <w:sz w:val="20"/>
              </w:rPr>
            </w:pPr>
            <w:r>
              <w:rPr>
                <w:b/>
                <w:sz w:val="20"/>
              </w:rPr>
              <w:t>2012</w:t>
            </w:r>
            <w:r>
              <w:rPr>
                <w:b/>
                <w:spacing w:val="-9"/>
                <w:sz w:val="20"/>
              </w:rPr>
              <w:t> </w:t>
            </w:r>
            <w:r>
              <w:rPr>
                <w:b/>
                <w:sz w:val="20"/>
              </w:rPr>
              <w:t>Cohort</w:t>
            </w:r>
            <w:r>
              <w:rPr>
                <w:b/>
                <w:spacing w:val="-7"/>
                <w:sz w:val="20"/>
              </w:rPr>
              <w:t> </w:t>
            </w:r>
            <w:r>
              <w:rPr>
                <w:b/>
                <w:spacing w:val="-2"/>
                <w:sz w:val="20"/>
              </w:rPr>
              <w:t>Retention</w:t>
            </w:r>
          </w:p>
        </w:tc>
        <w:tc>
          <w:tcPr>
            <w:tcW w:w="805" w:type="dxa"/>
            <w:tcBorders>
              <w:left w:val="nil"/>
            </w:tcBorders>
            <w:shd w:val="clear" w:color="auto" w:fill="D8E4BC"/>
          </w:tcPr>
          <w:p>
            <w:pPr>
              <w:pStyle w:val="TableParagraph"/>
              <w:spacing w:line="227" w:lineRule="exact"/>
              <w:ind w:right="86"/>
              <w:jc w:val="right"/>
              <w:rPr>
                <w:b/>
                <w:sz w:val="20"/>
              </w:rPr>
            </w:pPr>
            <w:r>
              <w:rPr>
                <w:b/>
                <w:spacing w:val="-2"/>
                <w:sz w:val="20"/>
              </w:rPr>
              <w:t>63.6%</w:t>
            </w:r>
          </w:p>
        </w:tc>
        <w:tc>
          <w:tcPr>
            <w:tcW w:w="685" w:type="dxa"/>
            <w:shd w:val="clear" w:color="auto" w:fill="DADADA"/>
          </w:tcPr>
          <w:p>
            <w:pPr>
              <w:pStyle w:val="TableParagraph"/>
              <w:rPr>
                <w:rFonts w:ascii="Times New Roman"/>
                <w:sz w:val="18"/>
              </w:rPr>
            </w:pPr>
          </w:p>
        </w:tc>
      </w:tr>
      <w:tr>
        <w:trPr>
          <w:trHeight w:val="265" w:hRule="atLeast"/>
        </w:trPr>
        <w:tc>
          <w:tcPr>
            <w:tcW w:w="3607" w:type="dxa"/>
          </w:tcPr>
          <w:p>
            <w:pPr>
              <w:pStyle w:val="TableParagraph"/>
              <w:spacing w:line="229" w:lineRule="exact"/>
              <w:ind w:left="107"/>
              <w:rPr>
                <w:sz w:val="20"/>
              </w:rPr>
            </w:pPr>
            <w:r>
              <w:rPr>
                <w:sz w:val="20"/>
              </w:rPr>
              <w:t>Graduated</w:t>
            </w:r>
            <w:r>
              <w:rPr>
                <w:spacing w:val="-9"/>
                <w:sz w:val="20"/>
              </w:rPr>
              <w:t> </w:t>
            </w:r>
            <w:r>
              <w:rPr>
                <w:sz w:val="20"/>
              </w:rPr>
              <w:t>Fall</w:t>
            </w:r>
            <w:r>
              <w:rPr>
                <w:spacing w:val="-7"/>
                <w:sz w:val="20"/>
              </w:rPr>
              <w:t> </w:t>
            </w:r>
            <w:r>
              <w:rPr>
                <w:spacing w:val="-4"/>
                <w:sz w:val="20"/>
              </w:rPr>
              <w:t>2013</w:t>
            </w:r>
          </w:p>
        </w:tc>
        <w:tc>
          <w:tcPr>
            <w:tcW w:w="804" w:type="dxa"/>
          </w:tcPr>
          <w:p>
            <w:pPr>
              <w:pStyle w:val="TableParagraph"/>
              <w:spacing w:line="229" w:lineRule="exact"/>
              <w:ind w:right="93"/>
              <w:jc w:val="right"/>
              <w:rPr>
                <w:sz w:val="20"/>
              </w:rPr>
            </w:pPr>
            <w:r>
              <w:rPr>
                <w:w w:val="99"/>
                <w:sz w:val="20"/>
              </w:rPr>
              <w:t>0</w:t>
            </w:r>
          </w:p>
        </w:tc>
        <w:tc>
          <w:tcPr>
            <w:tcW w:w="806" w:type="dxa"/>
          </w:tcPr>
          <w:p>
            <w:pPr>
              <w:pStyle w:val="TableParagraph"/>
              <w:spacing w:line="229" w:lineRule="exact"/>
              <w:ind w:right="92"/>
              <w:jc w:val="right"/>
              <w:rPr>
                <w:sz w:val="20"/>
              </w:rPr>
            </w:pPr>
            <w:r>
              <w:rPr>
                <w:w w:val="99"/>
                <w:sz w:val="20"/>
              </w:rPr>
              <w:t>0</w:t>
            </w:r>
          </w:p>
        </w:tc>
        <w:tc>
          <w:tcPr>
            <w:tcW w:w="806" w:type="dxa"/>
          </w:tcPr>
          <w:p>
            <w:pPr>
              <w:pStyle w:val="TableParagraph"/>
              <w:spacing w:line="229" w:lineRule="exact"/>
              <w:ind w:right="92"/>
              <w:jc w:val="right"/>
              <w:rPr>
                <w:sz w:val="20"/>
              </w:rPr>
            </w:pPr>
            <w:r>
              <w:rPr>
                <w:w w:val="99"/>
                <w:sz w:val="20"/>
              </w:rPr>
              <w:t>0</w:t>
            </w:r>
          </w:p>
        </w:tc>
        <w:tc>
          <w:tcPr>
            <w:tcW w:w="808" w:type="dxa"/>
          </w:tcPr>
          <w:p>
            <w:pPr>
              <w:pStyle w:val="TableParagraph"/>
              <w:spacing w:line="229" w:lineRule="exact"/>
              <w:ind w:right="94"/>
              <w:jc w:val="right"/>
              <w:rPr>
                <w:sz w:val="20"/>
              </w:rPr>
            </w:pPr>
            <w:r>
              <w:rPr>
                <w:w w:val="99"/>
                <w:sz w:val="20"/>
              </w:rPr>
              <w:t>0</w:t>
            </w:r>
          </w:p>
        </w:tc>
        <w:tc>
          <w:tcPr>
            <w:tcW w:w="803" w:type="dxa"/>
          </w:tcPr>
          <w:p>
            <w:pPr>
              <w:pStyle w:val="TableParagraph"/>
              <w:spacing w:line="229" w:lineRule="exact"/>
              <w:ind w:right="88"/>
              <w:jc w:val="right"/>
              <w:rPr>
                <w:sz w:val="20"/>
              </w:rPr>
            </w:pPr>
            <w:r>
              <w:rPr>
                <w:w w:val="99"/>
                <w:sz w:val="20"/>
              </w:rPr>
              <w:t>0</w:t>
            </w:r>
          </w:p>
        </w:tc>
        <w:tc>
          <w:tcPr>
            <w:tcW w:w="805" w:type="dxa"/>
          </w:tcPr>
          <w:p>
            <w:pPr>
              <w:pStyle w:val="TableParagraph"/>
              <w:spacing w:line="229" w:lineRule="exact"/>
              <w:ind w:right="86"/>
              <w:jc w:val="right"/>
              <w:rPr>
                <w:sz w:val="20"/>
              </w:rPr>
            </w:pPr>
            <w:r>
              <w:rPr>
                <w:w w:val="99"/>
                <w:sz w:val="20"/>
              </w:rPr>
              <w:t>0</w:t>
            </w:r>
          </w:p>
        </w:tc>
        <w:tc>
          <w:tcPr>
            <w:tcW w:w="805" w:type="dxa"/>
          </w:tcPr>
          <w:p>
            <w:pPr>
              <w:pStyle w:val="TableParagraph"/>
              <w:spacing w:line="229" w:lineRule="exact"/>
              <w:ind w:right="85"/>
              <w:jc w:val="right"/>
              <w:rPr>
                <w:sz w:val="20"/>
              </w:rPr>
            </w:pPr>
            <w:r>
              <w:rPr>
                <w:w w:val="99"/>
                <w:sz w:val="20"/>
              </w:rPr>
              <w:t>0</w:t>
            </w:r>
          </w:p>
        </w:tc>
        <w:tc>
          <w:tcPr>
            <w:tcW w:w="685" w:type="dxa"/>
          </w:tcPr>
          <w:p>
            <w:pPr>
              <w:pStyle w:val="TableParagraph"/>
              <w:spacing w:line="229" w:lineRule="exact"/>
              <w:ind w:left="27"/>
              <w:jc w:val="center"/>
              <w:rPr>
                <w:sz w:val="20"/>
              </w:rPr>
            </w:pPr>
            <w:r>
              <w:rPr>
                <w:w w:val="99"/>
                <w:sz w:val="20"/>
              </w:rPr>
              <w:t>0</w:t>
            </w:r>
          </w:p>
        </w:tc>
      </w:tr>
      <w:tr>
        <w:trPr>
          <w:trHeight w:val="263" w:hRule="atLeast"/>
        </w:trPr>
        <w:tc>
          <w:tcPr>
            <w:tcW w:w="3607" w:type="dxa"/>
            <w:tcBorders>
              <w:right w:val="nil"/>
            </w:tcBorders>
            <w:shd w:val="clear" w:color="auto" w:fill="FFC000"/>
          </w:tcPr>
          <w:p>
            <w:pPr>
              <w:pStyle w:val="TableParagraph"/>
              <w:spacing w:line="227" w:lineRule="exact"/>
              <w:ind w:right="96"/>
              <w:jc w:val="right"/>
              <w:rPr>
                <w:b/>
                <w:sz w:val="20"/>
              </w:rPr>
            </w:pPr>
            <w:r>
              <w:rPr>
                <w:b/>
                <w:sz w:val="20"/>
              </w:rPr>
              <w:t>2006</w:t>
            </w:r>
            <w:r>
              <w:rPr>
                <w:b/>
                <w:spacing w:val="-6"/>
                <w:sz w:val="20"/>
              </w:rPr>
              <w:t> </w:t>
            </w:r>
            <w:r>
              <w:rPr>
                <w:b/>
                <w:sz w:val="20"/>
              </w:rPr>
              <w:t>Cohort</w:t>
            </w:r>
            <w:r>
              <w:rPr>
                <w:b/>
                <w:spacing w:val="-6"/>
                <w:sz w:val="20"/>
              </w:rPr>
              <w:t> </w:t>
            </w:r>
            <w:r>
              <w:rPr>
                <w:b/>
                <w:sz w:val="20"/>
              </w:rPr>
              <w:t>7</w:t>
            </w:r>
            <w:r>
              <w:rPr>
                <w:b/>
                <w:spacing w:val="-5"/>
                <w:sz w:val="20"/>
              </w:rPr>
              <w:t> </w:t>
            </w:r>
            <w:r>
              <w:rPr>
                <w:b/>
                <w:sz w:val="20"/>
              </w:rPr>
              <w:t>1/2-Year</w:t>
            </w:r>
            <w:r>
              <w:rPr>
                <w:b/>
                <w:spacing w:val="-8"/>
                <w:sz w:val="20"/>
              </w:rPr>
              <w:t> </w:t>
            </w:r>
            <w:r>
              <w:rPr>
                <w:b/>
                <w:spacing w:val="-2"/>
                <w:sz w:val="20"/>
              </w:rPr>
              <w:t>Graduation</w:t>
            </w:r>
          </w:p>
        </w:tc>
        <w:tc>
          <w:tcPr>
            <w:tcW w:w="804" w:type="dxa"/>
            <w:tcBorders>
              <w:left w:val="nil"/>
            </w:tcBorders>
            <w:shd w:val="clear" w:color="auto" w:fill="FFC000"/>
          </w:tcPr>
          <w:p>
            <w:pPr>
              <w:pStyle w:val="TableParagraph"/>
              <w:spacing w:line="227" w:lineRule="exact"/>
              <w:ind w:right="94"/>
              <w:jc w:val="right"/>
              <w:rPr>
                <w:b/>
                <w:sz w:val="20"/>
              </w:rPr>
            </w:pPr>
            <w:r>
              <w:rPr>
                <w:b/>
                <w:spacing w:val="-2"/>
                <w:sz w:val="20"/>
              </w:rPr>
              <w:t>40.0%</w:t>
            </w:r>
          </w:p>
        </w:tc>
        <w:tc>
          <w:tcPr>
            <w:tcW w:w="5518" w:type="dxa"/>
            <w:gridSpan w:val="7"/>
            <w:shd w:val="clear" w:color="auto" w:fill="DADADA"/>
          </w:tcPr>
          <w:p>
            <w:pPr>
              <w:pStyle w:val="TableParagraph"/>
              <w:rPr>
                <w:rFonts w:ascii="Times New Roman"/>
                <w:sz w:val="18"/>
              </w:rPr>
            </w:pPr>
          </w:p>
        </w:tc>
      </w:tr>
      <w:tr>
        <w:trPr>
          <w:trHeight w:val="263" w:hRule="atLeast"/>
        </w:trPr>
        <w:tc>
          <w:tcPr>
            <w:tcW w:w="3607" w:type="dxa"/>
          </w:tcPr>
          <w:p>
            <w:pPr>
              <w:pStyle w:val="TableParagraph"/>
              <w:spacing w:line="229" w:lineRule="exact"/>
              <w:ind w:left="107"/>
              <w:rPr>
                <w:sz w:val="20"/>
              </w:rPr>
            </w:pPr>
            <w:r>
              <w:rPr>
                <w:sz w:val="20"/>
              </w:rPr>
              <w:t>Graduated</w:t>
            </w:r>
            <w:r>
              <w:rPr>
                <w:spacing w:val="-9"/>
                <w:sz w:val="20"/>
              </w:rPr>
              <w:t> </w:t>
            </w:r>
            <w:r>
              <w:rPr>
                <w:sz w:val="20"/>
              </w:rPr>
              <w:t>Spring</w:t>
            </w:r>
            <w:r>
              <w:rPr>
                <w:spacing w:val="-11"/>
                <w:sz w:val="20"/>
              </w:rPr>
              <w:t> </w:t>
            </w:r>
            <w:r>
              <w:rPr>
                <w:spacing w:val="-4"/>
                <w:sz w:val="20"/>
              </w:rPr>
              <w:t>2014</w:t>
            </w:r>
          </w:p>
        </w:tc>
        <w:tc>
          <w:tcPr>
            <w:tcW w:w="804" w:type="dxa"/>
          </w:tcPr>
          <w:p>
            <w:pPr>
              <w:pStyle w:val="TableParagraph"/>
              <w:spacing w:line="229" w:lineRule="exact"/>
              <w:ind w:right="93"/>
              <w:jc w:val="right"/>
              <w:rPr>
                <w:sz w:val="20"/>
              </w:rPr>
            </w:pPr>
            <w:r>
              <w:rPr>
                <w:w w:val="99"/>
                <w:sz w:val="20"/>
              </w:rPr>
              <w:t>0</w:t>
            </w:r>
          </w:p>
        </w:tc>
        <w:tc>
          <w:tcPr>
            <w:tcW w:w="806" w:type="dxa"/>
          </w:tcPr>
          <w:p>
            <w:pPr>
              <w:pStyle w:val="TableParagraph"/>
              <w:spacing w:line="229" w:lineRule="exact"/>
              <w:ind w:right="92"/>
              <w:jc w:val="right"/>
              <w:rPr>
                <w:sz w:val="20"/>
              </w:rPr>
            </w:pPr>
            <w:r>
              <w:rPr>
                <w:w w:val="99"/>
                <w:sz w:val="20"/>
              </w:rPr>
              <w:t>0</w:t>
            </w:r>
          </w:p>
        </w:tc>
        <w:tc>
          <w:tcPr>
            <w:tcW w:w="806" w:type="dxa"/>
          </w:tcPr>
          <w:p>
            <w:pPr>
              <w:pStyle w:val="TableParagraph"/>
              <w:spacing w:line="229" w:lineRule="exact"/>
              <w:ind w:right="92"/>
              <w:jc w:val="right"/>
              <w:rPr>
                <w:sz w:val="20"/>
              </w:rPr>
            </w:pPr>
            <w:r>
              <w:rPr>
                <w:w w:val="99"/>
                <w:sz w:val="20"/>
              </w:rPr>
              <w:t>0</w:t>
            </w:r>
          </w:p>
        </w:tc>
        <w:tc>
          <w:tcPr>
            <w:tcW w:w="808" w:type="dxa"/>
          </w:tcPr>
          <w:p>
            <w:pPr>
              <w:pStyle w:val="TableParagraph"/>
              <w:spacing w:line="229" w:lineRule="exact"/>
              <w:ind w:right="96"/>
              <w:jc w:val="right"/>
              <w:rPr>
                <w:sz w:val="20"/>
              </w:rPr>
            </w:pPr>
            <w:r>
              <w:rPr>
                <w:spacing w:val="-5"/>
                <w:sz w:val="20"/>
              </w:rPr>
              <w:t>15</w:t>
            </w:r>
          </w:p>
        </w:tc>
        <w:tc>
          <w:tcPr>
            <w:tcW w:w="803" w:type="dxa"/>
          </w:tcPr>
          <w:p>
            <w:pPr>
              <w:pStyle w:val="TableParagraph"/>
              <w:spacing w:line="229" w:lineRule="exact"/>
              <w:ind w:right="88"/>
              <w:jc w:val="right"/>
              <w:rPr>
                <w:sz w:val="20"/>
              </w:rPr>
            </w:pPr>
            <w:r>
              <w:rPr>
                <w:w w:val="99"/>
                <w:sz w:val="20"/>
              </w:rPr>
              <w:t>0</w:t>
            </w:r>
          </w:p>
        </w:tc>
        <w:tc>
          <w:tcPr>
            <w:tcW w:w="805" w:type="dxa"/>
          </w:tcPr>
          <w:p>
            <w:pPr>
              <w:pStyle w:val="TableParagraph"/>
              <w:spacing w:line="229" w:lineRule="exact"/>
              <w:ind w:right="86"/>
              <w:jc w:val="right"/>
              <w:rPr>
                <w:sz w:val="20"/>
              </w:rPr>
            </w:pPr>
            <w:r>
              <w:rPr>
                <w:w w:val="99"/>
                <w:sz w:val="20"/>
              </w:rPr>
              <w:t>0</w:t>
            </w:r>
          </w:p>
        </w:tc>
        <w:tc>
          <w:tcPr>
            <w:tcW w:w="805" w:type="dxa"/>
          </w:tcPr>
          <w:p>
            <w:pPr>
              <w:pStyle w:val="TableParagraph"/>
              <w:spacing w:line="229" w:lineRule="exact"/>
              <w:ind w:right="85"/>
              <w:jc w:val="right"/>
              <w:rPr>
                <w:sz w:val="20"/>
              </w:rPr>
            </w:pPr>
            <w:r>
              <w:rPr>
                <w:w w:val="99"/>
                <w:sz w:val="20"/>
              </w:rPr>
              <w:t>0</w:t>
            </w:r>
          </w:p>
        </w:tc>
        <w:tc>
          <w:tcPr>
            <w:tcW w:w="685" w:type="dxa"/>
          </w:tcPr>
          <w:p>
            <w:pPr>
              <w:pStyle w:val="TableParagraph"/>
              <w:spacing w:line="229" w:lineRule="exact"/>
              <w:ind w:left="27"/>
              <w:jc w:val="center"/>
              <w:rPr>
                <w:sz w:val="20"/>
              </w:rPr>
            </w:pPr>
            <w:r>
              <w:rPr>
                <w:w w:val="99"/>
                <w:sz w:val="20"/>
              </w:rPr>
              <w:t>0</w:t>
            </w:r>
          </w:p>
        </w:tc>
      </w:tr>
      <w:tr>
        <w:trPr>
          <w:trHeight w:val="265" w:hRule="atLeast"/>
        </w:trPr>
        <w:tc>
          <w:tcPr>
            <w:tcW w:w="6023" w:type="dxa"/>
            <w:gridSpan w:val="4"/>
            <w:tcBorders>
              <w:right w:val="nil"/>
            </w:tcBorders>
            <w:shd w:val="clear" w:color="auto" w:fill="B7DEE8"/>
          </w:tcPr>
          <w:p>
            <w:pPr>
              <w:pStyle w:val="TableParagraph"/>
              <w:spacing w:line="227" w:lineRule="exact"/>
              <w:ind w:left="2975"/>
              <w:rPr>
                <w:b/>
                <w:sz w:val="20"/>
              </w:rPr>
            </w:pPr>
            <w:r>
              <w:rPr>
                <w:b/>
                <w:sz w:val="20"/>
              </w:rPr>
              <w:t>2009</w:t>
            </w:r>
            <w:r>
              <w:rPr>
                <w:b/>
                <w:spacing w:val="-6"/>
                <w:sz w:val="20"/>
              </w:rPr>
              <w:t> </w:t>
            </w:r>
            <w:r>
              <w:rPr>
                <w:b/>
                <w:sz w:val="20"/>
              </w:rPr>
              <w:t>Cohort</w:t>
            </w:r>
            <w:r>
              <w:rPr>
                <w:b/>
                <w:spacing w:val="-7"/>
                <w:sz w:val="20"/>
              </w:rPr>
              <w:t> </w:t>
            </w:r>
            <w:r>
              <w:rPr>
                <w:b/>
                <w:sz w:val="20"/>
              </w:rPr>
              <w:t>5-Year</w:t>
            </w:r>
            <w:r>
              <w:rPr>
                <w:b/>
                <w:spacing w:val="-9"/>
                <w:sz w:val="20"/>
              </w:rPr>
              <w:t> </w:t>
            </w:r>
            <w:r>
              <w:rPr>
                <w:b/>
                <w:spacing w:val="-2"/>
                <w:sz w:val="20"/>
              </w:rPr>
              <w:t>Graduation</w:t>
            </w:r>
          </w:p>
        </w:tc>
        <w:tc>
          <w:tcPr>
            <w:tcW w:w="808" w:type="dxa"/>
            <w:tcBorders>
              <w:left w:val="nil"/>
            </w:tcBorders>
            <w:shd w:val="clear" w:color="auto" w:fill="B7DEE8"/>
          </w:tcPr>
          <w:p>
            <w:pPr>
              <w:pStyle w:val="TableParagraph"/>
              <w:spacing w:line="227" w:lineRule="exact"/>
              <w:ind w:right="96"/>
              <w:jc w:val="right"/>
              <w:rPr>
                <w:b/>
                <w:sz w:val="20"/>
              </w:rPr>
            </w:pPr>
            <w:r>
              <w:rPr>
                <w:b/>
                <w:spacing w:val="-2"/>
                <w:sz w:val="20"/>
              </w:rPr>
              <w:t>41.7%</w:t>
            </w:r>
          </w:p>
        </w:tc>
        <w:tc>
          <w:tcPr>
            <w:tcW w:w="3098" w:type="dxa"/>
            <w:gridSpan w:val="4"/>
            <w:shd w:val="clear" w:color="auto" w:fill="DADADA"/>
          </w:tcPr>
          <w:p>
            <w:pPr>
              <w:pStyle w:val="TableParagraph"/>
              <w:rPr>
                <w:rFonts w:ascii="Times New Roman"/>
                <w:sz w:val="18"/>
              </w:rPr>
            </w:pPr>
          </w:p>
        </w:tc>
      </w:tr>
      <w:tr>
        <w:trPr>
          <w:trHeight w:val="248" w:hRule="atLeast"/>
        </w:trPr>
        <w:tc>
          <w:tcPr>
            <w:tcW w:w="9929" w:type="dxa"/>
            <w:gridSpan w:val="9"/>
            <w:tcBorders>
              <w:bottom w:val="nil"/>
            </w:tcBorders>
          </w:tcPr>
          <w:p>
            <w:pPr>
              <w:pStyle w:val="TableParagraph"/>
              <w:spacing w:line="229" w:lineRule="exact"/>
              <w:ind w:left="107"/>
              <w:rPr>
                <w:sz w:val="20"/>
              </w:rPr>
            </w:pPr>
            <w:r>
              <w:rPr>
                <w:sz w:val="20"/>
              </w:rPr>
              <w:t>Note:</w:t>
            </w:r>
            <w:r>
              <w:rPr>
                <w:spacing w:val="44"/>
                <w:sz w:val="20"/>
              </w:rPr>
              <w:t> </w:t>
            </w:r>
            <w:r>
              <w:rPr>
                <w:sz w:val="20"/>
              </w:rPr>
              <w:t>This</w:t>
            </w:r>
            <w:r>
              <w:rPr>
                <w:spacing w:val="-6"/>
                <w:sz w:val="20"/>
              </w:rPr>
              <w:t> </w:t>
            </w:r>
            <w:r>
              <w:rPr>
                <w:sz w:val="20"/>
              </w:rPr>
              <w:t>chart</w:t>
            </w:r>
            <w:r>
              <w:rPr>
                <w:spacing w:val="-7"/>
                <w:sz w:val="20"/>
              </w:rPr>
              <w:t> </w:t>
            </w:r>
            <w:r>
              <w:rPr>
                <w:sz w:val="20"/>
              </w:rPr>
              <w:t>represents</w:t>
            </w:r>
            <w:r>
              <w:rPr>
                <w:spacing w:val="-6"/>
                <w:sz w:val="20"/>
              </w:rPr>
              <w:t> </w:t>
            </w:r>
            <w:r>
              <w:rPr>
                <w:sz w:val="20"/>
              </w:rPr>
              <w:t>first-time</w:t>
            </w:r>
            <w:r>
              <w:rPr>
                <w:spacing w:val="-7"/>
                <w:sz w:val="20"/>
              </w:rPr>
              <w:t> </w:t>
            </w:r>
            <w:r>
              <w:rPr>
                <w:sz w:val="20"/>
              </w:rPr>
              <w:t>entering</w:t>
            </w:r>
            <w:r>
              <w:rPr>
                <w:spacing w:val="-6"/>
                <w:sz w:val="20"/>
              </w:rPr>
              <w:t> </w:t>
            </w:r>
            <w:r>
              <w:rPr>
                <w:sz w:val="20"/>
              </w:rPr>
              <w:t>Freshmen</w:t>
            </w:r>
            <w:r>
              <w:rPr>
                <w:spacing w:val="-7"/>
                <w:sz w:val="20"/>
              </w:rPr>
              <w:t> </w:t>
            </w:r>
            <w:r>
              <w:rPr>
                <w:sz w:val="20"/>
              </w:rPr>
              <w:t>in</w:t>
            </w:r>
            <w:r>
              <w:rPr>
                <w:spacing w:val="-7"/>
                <w:sz w:val="20"/>
              </w:rPr>
              <w:t> </w:t>
            </w:r>
            <w:r>
              <w:rPr>
                <w:sz w:val="20"/>
              </w:rPr>
              <w:t>the</w:t>
            </w:r>
            <w:r>
              <w:rPr>
                <w:spacing w:val="-7"/>
                <w:sz w:val="20"/>
              </w:rPr>
              <w:t> </w:t>
            </w:r>
            <w:r>
              <w:rPr>
                <w:sz w:val="20"/>
              </w:rPr>
              <w:t>Architecture</w:t>
            </w:r>
            <w:r>
              <w:rPr>
                <w:spacing w:val="-7"/>
                <w:sz w:val="20"/>
              </w:rPr>
              <w:t> </w:t>
            </w:r>
            <w:r>
              <w:rPr>
                <w:sz w:val="20"/>
              </w:rPr>
              <w:t>field</w:t>
            </w:r>
            <w:r>
              <w:rPr>
                <w:spacing w:val="-5"/>
                <w:sz w:val="20"/>
              </w:rPr>
              <w:t> </w:t>
            </w:r>
            <w:r>
              <w:rPr>
                <w:spacing w:val="-2"/>
                <w:sz w:val="20"/>
              </w:rPr>
              <w:t>only.</w:t>
            </w:r>
          </w:p>
        </w:tc>
      </w:tr>
      <w:tr>
        <w:trPr>
          <w:trHeight w:val="278" w:hRule="atLeast"/>
        </w:trPr>
        <w:tc>
          <w:tcPr>
            <w:tcW w:w="9929" w:type="dxa"/>
            <w:gridSpan w:val="9"/>
            <w:tcBorders>
              <w:top w:val="nil"/>
            </w:tcBorders>
          </w:tcPr>
          <w:p>
            <w:pPr>
              <w:pStyle w:val="TableParagraph"/>
              <w:spacing w:before="12"/>
              <w:ind w:left="107"/>
              <w:rPr>
                <w:sz w:val="20"/>
              </w:rPr>
            </w:pPr>
            <w:r>
              <w:rPr>
                <w:i/>
                <w:sz w:val="20"/>
              </w:rPr>
              <w:t>Source:</w:t>
            </w:r>
            <w:r>
              <w:rPr>
                <w:i/>
                <w:spacing w:val="42"/>
                <w:sz w:val="20"/>
              </w:rPr>
              <w:t> </w:t>
            </w:r>
            <w:r>
              <w:rPr>
                <w:sz w:val="20"/>
              </w:rPr>
              <w:t>University</w:t>
            </w:r>
            <w:r>
              <w:rPr>
                <w:spacing w:val="-11"/>
                <w:sz w:val="20"/>
              </w:rPr>
              <w:t> </w:t>
            </w:r>
            <w:r>
              <w:rPr>
                <w:sz w:val="20"/>
              </w:rPr>
              <w:t>Fall</w:t>
            </w:r>
            <w:r>
              <w:rPr>
                <w:spacing w:val="-8"/>
                <w:sz w:val="20"/>
              </w:rPr>
              <w:t> </w:t>
            </w:r>
            <w:r>
              <w:rPr>
                <w:sz w:val="20"/>
              </w:rPr>
              <w:t>Headcount</w:t>
            </w:r>
            <w:r>
              <w:rPr>
                <w:spacing w:val="-8"/>
                <w:sz w:val="20"/>
              </w:rPr>
              <w:t> </w:t>
            </w:r>
            <w:r>
              <w:rPr>
                <w:sz w:val="20"/>
              </w:rPr>
              <w:t>File,</w:t>
            </w:r>
            <w:r>
              <w:rPr>
                <w:spacing w:val="-6"/>
                <w:sz w:val="20"/>
              </w:rPr>
              <w:t> </w:t>
            </w:r>
            <w:r>
              <w:rPr>
                <w:sz w:val="20"/>
              </w:rPr>
              <w:t>National</w:t>
            </w:r>
            <w:r>
              <w:rPr>
                <w:spacing w:val="-7"/>
                <w:sz w:val="20"/>
              </w:rPr>
              <w:t> </w:t>
            </w:r>
            <w:r>
              <w:rPr>
                <w:sz w:val="20"/>
              </w:rPr>
              <w:t>Student</w:t>
            </w:r>
            <w:r>
              <w:rPr>
                <w:spacing w:val="-7"/>
                <w:sz w:val="20"/>
              </w:rPr>
              <w:t> </w:t>
            </w:r>
            <w:r>
              <w:rPr>
                <w:sz w:val="20"/>
              </w:rPr>
              <w:t>Clearinghouse,</w:t>
            </w:r>
            <w:r>
              <w:rPr>
                <w:spacing w:val="-8"/>
                <w:sz w:val="20"/>
              </w:rPr>
              <w:t> </w:t>
            </w:r>
            <w:r>
              <w:rPr>
                <w:sz w:val="20"/>
              </w:rPr>
              <w:t>HU</w:t>
            </w:r>
            <w:r>
              <w:rPr>
                <w:spacing w:val="-8"/>
                <w:sz w:val="20"/>
              </w:rPr>
              <w:t> </w:t>
            </w:r>
            <w:r>
              <w:rPr>
                <w:sz w:val="20"/>
              </w:rPr>
              <w:t>Institutional</w:t>
            </w:r>
            <w:r>
              <w:rPr>
                <w:spacing w:val="-9"/>
                <w:sz w:val="20"/>
              </w:rPr>
              <w:t> </w:t>
            </w:r>
            <w:r>
              <w:rPr>
                <w:spacing w:val="-2"/>
                <w:sz w:val="20"/>
              </w:rPr>
              <w:t>Research</w:t>
            </w:r>
          </w:p>
        </w:tc>
      </w:tr>
    </w:tbl>
    <w:p>
      <w:pPr>
        <w:spacing w:after="0"/>
        <w:rPr>
          <w:sz w:val="20"/>
        </w:rPr>
        <w:sectPr>
          <w:headerReference w:type="default" r:id="rId93"/>
          <w:footerReference w:type="default" r:id="rId94"/>
          <w:pgSz w:w="12240" w:h="15840"/>
          <w:pgMar w:header="0" w:footer="974" w:top="1360" w:bottom="1160" w:left="1160" w:right="320"/>
        </w:sectPr>
      </w:pPr>
    </w:p>
    <w:p>
      <w:pPr>
        <w:pStyle w:val="Heading5"/>
        <w:numPr>
          <w:ilvl w:val="3"/>
          <w:numId w:val="28"/>
        </w:numPr>
        <w:tabs>
          <w:tab w:pos="2079" w:val="left" w:leader="none"/>
          <w:tab w:pos="2080" w:val="left" w:leader="none"/>
        </w:tabs>
        <w:spacing w:line="240" w:lineRule="auto" w:before="76" w:after="0"/>
        <w:ind w:left="2079" w:right="0" w:hanging="1080"/>
        <w:jc w:val="left"/>
      </w:pPr>
      <w:r>
        <w:rPr/>
        <w:t>Program</w:t>
      </w:r>
      <w:r>
        <w:rPr>
          <w:spacing w:val="-6"/>
        </w:rPr>
        <w:t> </w:t>
      </w:r>
      <w:r>
        <w:rPr/>
        <w:t>Faculty</w:t>
      </w:r>
      <w:r>
        <w:rPr>
          <w:spacing w:val="-9"/>
        </w:rPr>
        <w:t> </w:t>
      </w:r>
      <w:r>
        <w:rPr>
          <w:spacing w:val="-2"/>
        </w:rPr>
        <w:t>Characteristics</w:t>
      </w:r>
    </w:p>
    <w:p>
      <w:pPr>
        <w:pStyle w:val="BodyText"/>
        <w:spacing w:before="241"/>
        <w:ind w:left="280"/>
      </w:pPr>
      <w:r>
        <w:rPr/>
        <w:t>In</w:t>
      </w:r>
      <w:r>
        <w:rPr>
          <w:spacing w:val="-6"/>
        </w:rPr>
        <w:t> </w:t>
      </w:r>
      <w:r>
        <w:rPr/>
        <w:t>2009,</w:t>
      </w:r>
      <w:r>
        <w:rPr>
          <w:spacing w:val="-5"/>
        </w:rPr>
        <w:t> </w:t>
      </w:r>
      <w:r>
        <w:rPr/>
        <w:t>as</w:t>
      </w:r>
      <w:r>
        <w:rPr>
          <w:spacing w:val="-5"/>
        </w:rPr>
        <w:t> </w:t>
      </w:r>
      <w:r>
        <w:rPr/>
        <w:t>a</w:t>
      </w:r>
      <w:r>
        <w:rPr>
          <w:spacing w:val="-6"/>
        </w:rPr>
        <w:t> </w:t>
      </w:r>
      <w:r>
        <w:rPr/>
        <w:t>result</w:t>
      </w:r>
      <w:r>
        <w:rPr>
          <w:spacing w:val="-6"/>
        </w:rPr>
        <w:t> </w:t>
      </w:r>
      <w:r>
        <w:rPr/>
        <w:t>of</w:t>
      </w:r>
      <w:r>
        <w:rPr>
          <w:spacing w:val="-4"/>
        </w:rPr>
        <w:t> </w:t>
      </w:r>
      <w:r>
        <w:rPr/>
        <w:t>the</w:t>
      </w:r>
      <w:r>
        <w:rPr>
          <w:spacing w:val="-6"/>
        </w:rPr>
        <w:t> </w:t>
      </w:r>
      <w:r>
        <w:rPr/>
        <w:t>economic</w:t>
      </w:r>
      <w:r>
        <w:rPr>
          <w:spacing w:val="-5"/>
        </w:rPr>
        <w:t> </w:t>
      </w:r>
      <w:r>
        <w:rPr/>
        <w:t>crisis</w:t>
      </w:r>
      <w:r>
        <w:rPr>
          <w:spacing w:val="-5"/>
        </w:rPr>
        <w:t> </w:t>
      </w:r>
      <w:r>
        <w:rPr/>
        <w:t>that</w:t>
      </w:r>
      <w:r>
        <w:rPr>
          <w:spacing w:val="-6"/>
        </w:rPr>
        <w:t> </w:t>
      </w:r>
      <w:r>
        <w:rPr/>
        <w:t>impacted</w:t>
      </w:r>
      <w:r>
        <w:rPr>
          <w:spacing w:val="-6"/>
        </w:rPr>
        <w:t> </w:t>
      </w:r>
      <w:r>
        <w:rPr/>
        <w:t>the</w:t>
      </w:r>
      <w:r>
        <w:rPr>
          <w:spacing w:val="-4"/>
        </w:rPr>
        <w:t> </w:t>
      </w:r>
      <w:r>
        <w:rPr/>
        <w:t>nation,</w:t>
      </w:r>
      <w:r>
        <w:rPr>
          <w:spacing w:val="-6"/>
        </w:rPr>
        <w:t> </w:t>
      </w:r>
      <w:r>
        <w:rPr/>
        <w:t>Hampton</w:t>
      </w:r>
      <w:r>
        <w:rPr>
          <w:spacing w:val="-6"/>
        </w:rPr>
        <w:t> </w:t>
      </w:r>
      <w:r>
        <w:rPr>
          <w:spacing w:val="-2"/>
        </w:rPr>
        <w:t>University</w:t>
      </w:r>
    </w:p>
    <w:p>
      <w:pPr>
        <w:pStyle w:val="BodyText"/>
        <w:spacing w:before="1"/>
        <w:rPr>
          <w:sz w:val="21"/>
        </w:rPr>
      </w:pPr>
    </w:p>
    <w:tbl>
      <w:tblPr>
        <w:tblW w:w="0" w:type="auto"/>
        <w:jc w:val="left"/>
        <w:tblInd w:w="1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0"/>
        <w:gridCol w:w="1260"/>
        <w:gridCol w:w="900"/>
        <w:gridCol w:w="991"/>
        <w:gridCol w:w="1080"/>
        <w:gridCol w:w="742"/>
        <w:gridCol w:w="742"/>
        <w:gridCol w:w="742"/>
        <w:gridCol w:w="924"/>
      </w:tblGrid>
      <w:tr>
        <w:trPr>
          <w:trHeight w:val="359" w:hRule="atLeast"/>
        </w:trPr>
        <w:tc>
          <w:tcPr>
            <w:tcW w:w="8461" w:type="dxa"/>
            <w:gridSpan w:val="9"/>
          </w:tcPr>
          <w:p>
            <w:pPr>
              <w:pStyle w:val="TableParagraph"/>
              <w:spacing w:before="47"/>
              <w:ind w:left="2752" w:right="2745"/>
              <w:jc w:val="center"/>
              <w:rPr>
                <w:sz w:val="20"/>
              </w:rPr>
            </w:pPr>
            <w:r>
              <w:rPr>
                <w:sz w:val="20"/>
              </w:rPr>
              <w:t>Faculty</w:t>
            </w:r>
            <w:r>
              <w:rPr>
                <w:spacing w:val="-11"/>
                <w:sz w:val="20"/>
              </w:rPr>
              <w:t> </w:t>
            </w:r>
            <w:r>
              <w:rPr>
                <w:sz w:val="20"/>
              </w:rPr>
              <w:t>Characteristics</w:t>
            </w:r>
            <w:r>
              <w:rPr>
                <w:spacing w:val="-7"/>
                <w:sz w:val="20"/>
              </w:rPr>
              <w:t> </w:t>
            </w:r>
            <w:r>
              <w:rPr>
                <w:sz w:val="20"/>
              </w:rPr>
              <w:t>-</w:t>
            </w:r>
            <w:r>
              <w:rPr>
                <w:spacing w:val="-7"/>
                <w:sz w:val="20"/>
              </w:rPr>
              <w:t> </w:t>
            </w:r>
            <w:r>
              <w:rPr>
                <w:spacing w:val="-2"/>
                <w:sz w:val="20"/>
              </w:rPr>
              <w:t>Ethnicity</w:t>
            </w:r>
          </w:p>
        </w:tc>
      </w:tr>
      <w:tr>
        <w:trPr>
          <w:trHeight w:val="621" w:hRule="atLeast"/>
        </w:trPr>
        <w:tc>
          <w:tcPr>
            <w:tcW w:w="1080" w:type="dxa"/>
          </w:tcPr>
          <w:p>
            <w:pPr>
              <w:pStyle w:val="TableParagraph"/>
              <w:spacing w:line="260" w:lineRule="atLeast" w:before="60"/>
              <w:ind w:left="328" w:right="88" w:hanging="229"/>
              <w:rPr>
                <w:sz w:val="20"/>
              </w:rPr>
            </w:pPr>
            <w:r>
              <w:rPr>
                <w:spacing w:val="-2"/>
                <w:sz w:val="20"/>
              </w:rPr>
              <w:t>Academic </w:t>
            </w:r>
            <w:r>
              <w:rPr>
                <w:spacing w:val="-4"/>
                <w:sz w:val="20"/>
              </w:rPr>
              <w:t>Year</w:t>
            </w:r>
          </w:p>
        </w:tc>
        <w:tc>
          <w:tcPr>
            <w:tcW w:w="1260" w:type="dxa"/>
          </w:tcPr>
          <w:p>
            <w:pPr>
              <w:pStyle w:val="TableParagraph"/>
              <w:spacing w:line="260" w:lineRule="atLeast" w:before="60"/>
              <w:ind w:left="57" w:right="42" w:firstLine="127"/>
              <w:rPr>
                <w:sz w:val="20"/>
              </w:rPr>
            </w:pPr>
            <w:r>
              <w:rPr>
                <w:sz w:val="20"/>
              </w:rPr>
              <w:t>Total Full- Time</w:t>
            </w:r>
            <w:r>
              <w:rPr>
                <w:spacing w:val="-14"/>
                <w:sz w:val="20"/>
              </w:rPr>
              <w:t> </w:t>
            </w:r>
            <w:r>
              <w:rPr>
                <w:sz w:val="20"/>
              </w:rPr>
              <w:t>Faculty</w:t>
            </w:r>
          </w:p>
        </w:tc>
        <w:tc>
          <w:tcPr>
            <w:tcW w:w="900" w:type="dxa"/>
          </w:tcPr>
          <w:p>
            <w:pPr>
              <w:pStyle w:val="TableParagraph"/>
              <w:spacing w:before="9"/>
              <w:rPr>
                <w:sz w:val="30"/>
              </w:rPr>
            </w:pPr>
          </w:p>
          <w:p>
            <w:pPr>
              <w:pStyle w:val="TableParagraph"/>
              <w:ind w:left="219" w:right="212"/>
              <w:jc w:val="center"/>
              <w:rPr>
                <w:sz w:val="20"/>
              </w:rPr>
            </w:pPr>
            <w:r>
              <w:rPr>
                <w:spacing w:val="-4"/>
                <w:sz w:val="20"/>
              </w:rPr>
              <w:t>Male</w:t>
            </w:r>
          </w:p>
        </w:tc>
        <w:tc>
          <w:tcPr>
            <w:tcW w:w="991" w:type="dxa"/>
          </w:tcPr>
          <w:p>
            <w:pPr>
              <w:pStyle w:val="TableParagraph"/>
              <w:spacing w:before="9"/>
              <w:rPr>
                <w:sz w:val="30"/>
              </w:rPr>
            </w:pPr>
          </w:p>
          <w:p>
            <w:pPr>
              <w:pStyle w:val="TableParagraph"/>
              <w:ind w:left="146" w:right="139"/>
              <w:jc w:val="center"/>
              <w:rPr>
                <w:sz w:val="20"/>
              </w:rPr>
            </w:pPr>
            <w:r>
              <w:rPr>
                <w:spacing w:val="-2"/>
                <w:sz w:val="20"/>
              </w:rPr>
              <w:t>Female</w:t>
            </w:r>
          </w:p>
        </w:tc>
        <w:tc>
          <w:tcPr>
            <w:tcW w:w="1080" w:type="dxa"/>
          </w:tcPr>
          <w:p>
            <w:pPr>
              <w:pStyle w:val="TableParagraph"/>
              <w:spacing w:line="260" w:lineRule="atLeast" w:before="60"/>
              <w:ind w:left="117" w:right="104" w:firstLine="110"/>
              <w:rPr>
                <w:sz w:val="20"/>
              </w:rPr>
            </w:pPr>
            <w:r>
              <w:rPr>
                <w:spacing w:val="-2"/>
                <w:sz w:val="20"/>
              </w:rPr>
              <w:t>African American</w:t>
            </w:r>
          </w:p>
        </w:tc>
        <w:tc>
          <w:tcPr>
            <w:tcW w:w="742" w:type="dxa"/>
          </w:tcPr>
          <w:p>
            <w:pPr>
              <w:pStyle w:val="TableParagraph"/>
              <w:spacing w:line="260" w:lineRule="atLeast" w:before="60"/>
              <w:ind w:left="98" w:right="81" w:firstLine="16"/>
              <w:rPr>
                <w:sz w:val="20"/>
              </w:rPr>
            </w:pPr>
            <w:r>
              <w:rPr>
                <w:sz w:val="20"/>
              </w:rPr>
              <w:t>Hisp</w:t>
            </w:r>
            <w:r>
              <w:rPr>
                <w:spacing w:val="-14"/>
                <w:sz w:val="20"/>
              </w:rPr>
              <w:t> </w:t>
            </w:r>
            <w:r>
              <w:rPr>
                <w:sz w:val="20"/>
              </w:rPr>
              <w:t>/ </w:t>
            </w:r>
            <w:r>
              <w:rPr>
                <w:spacing w:val="-2"/>
                <w:sz w:val="20"/>
              </w:rPr>
              <w:t>Latino</w:t>
            </w:r>
          </w:p>
        </w:tc>
        <w:tc>
          <w:tcPr>
            <w:tcW w:w="742" w:type="dxa"/>
          </w:tcPr>
          <w:p>
            <w:pPr>
              <w:pStyle w:val="TableParagraph"/>
              <w:spacing w:before="9"/>
              <w:rPr>
                <w:sz w:val="30"/>
              </w:rPr>
            </w:pPr>
          </w:p>
          <w:p>
            <w:pPr>
              <w:pStyle w:val="TableParagraph"/>
              <w:ind w:left="92" w:right="94"/>
              <w:jc w:val="center"/>
              <w:rPr>
                <w:sz w:val="20"/>
              </w:rPr>
            </w:pPr>
            <w:r>
              <w:rPr>
                <w:spacing w:val="-2"/>
                <w:sz w:val="20"/>
              </w:rPr>
              <w:t>Asian</w:t>
            </w:r>
          </w:p>
        </w:tc>
        <w:tc>
          <w:tcPr>
            <w:tcW w:w="742" w:type="dxa"/>
          </w:tcPr>
          <w:p>
            <w:pPr>
              <w:pStyle w:val="TableParagraph"/>
              <w:spacing w:before="9"/>
              <w:rPr>
                <w:sz w:val="30"/>
              </w:rPr>
            </w:pPr>
          </w:p>
          <w:p>
            <w:pPr>
              <w:pStyle w:val="TableParagraph"/>
              <w:ind w:left="95" w:right="94"/>
              <w:jc w:val="center"/>
              <w:rPr>
                <w:sz w:val="20"/>
              </w:rPr>
            </w:pPr>
            <w:r>
              <w:rPr>
                <w:spacing w:val="-2"/>
                <w:sz w:val="20"/>
              </w:rPr>
              <w:t>White</w:t>
            </w:r>
          </w:p>
        </w:tc>
        <w:tc>
          <w:tcPr>
            <w:tcW w:w="924" w:type="dxa"/>
          </w:tcPr>
          <w:p>
            <w:pPr>
              <w:pStyle w:val="TableParagraph"/>
              <w:rPr>
                <w:rFonts w:ascii="Times New Roman"/>
                <w:sz w:val="18"/>
              </w:rPr>
            </w:pPr>
          </w:p>
        </w:tc>
      </w:tr>
      <w:tr>
        <w:trPr>
          <w:trHeight w:val="311" w:hRule="atLeast"/>
        </w:trPr>
        <w:tc>
          <w:tcPr>
            <w:tcW w:w="1080" w:type="dxa"/>
          </w:tcPr>
          <w:p>
            <w:pPr>
              <w:pStyle w:val="TableParagraph"/>
              <w:spacing w:before="28"/>
              <w:ind w:left="11"/>
              <w:rPr>
                <w:sz w:val="20"/>
              </w:rPr>
            </w:pPr>
            <w:r>
              <w:rPr>
                <w:w w:val="95"/>
                <w:sz w:val="20"/>
              </w:rPr>
              <w:t>2008-</w:t>
            </w:r>
            <w:r>
              <w:rPr>
                <w:spacing w:val="-4"/>
                <w:sz w:val="20"/>
              </w:rPr>
              <w:t>2009</w:t>
            </w:r>
          </w:p>
        </w:tc>
        <w:tc>
          <w:tcPr>
            <w:tcW w:w="1260" w:type="dxa"/>
          </w:tcPr>
          <w:p>
            <w:pPr>
              <w:pStyle w:val="TableParagraph"/>
              <w:spacing w:before="28"/>
              <w:ind w:left="7"/>
              <w:jc w:val="center"/>
              <w:rPr>
                <w:sz w:val="20"/>
              </w:rPr>
            </w:pPr>
            <w:r>
              <w:rPr>
                <w:w w:val="99"/>
                <w:sz w:val="20"/>
              </w:rPr>
              <w:t>8</w:t>
            </w:r>
          </w:p>
        </w:tc>
        <w:tc>
          <w:tcPr>
            <w:tcW w:w="900" w:type="dxa"/>
          </w:tcPr>
          <w:p>
            <w:pPr>
              <w:pStyle w:val="TableParagraph"/>
              <w:spacing w:before="28"/>
              <w:ind w:left="7"/>
              <w:jc w:val="center"/>
              <w:rPr>
                <w:sz w:val="20"/>
              </w:rPr>
            </w:pPr>
            <w:r>
              <w:rPr>
                <w:w w:val="99"/>
                <w:sz w:val="20"/>
              </w:rPr>
              <w:t>7</w:t>
            </w:r>
          </w:p>
        </w:tc>
        <w:tc>
          <w:tcPr>
            <w:tcW w:w="991" w:type="dxa"/>
          </w:tcPr>
          <w:p>
            <w:pPr>
              <w:pStyle w:val="TableParagraph"/>
              <w:spacing w:before="28"/>
              <w:ind w:left="7"/>
              <w:jc w:val="center"/>
              <w:rPr>
                <w:sz w:val="20"/>
              </w:rPr>
            </w:pPr>
            <w:r>
              <w:rPr>
                <w:w w:val="99"/>
                <w:sz w:val="20"/>
              </w:rPr>
              <w:t>3</w:t>
            </w:r>
          </w:p>
        </w:tc>
        <w:tc>
          <w:tcPr>
            <w:tcW w:w="1080" w:type="dxa"/>
          </w:tcPr>
          <w:p>
            <w:pPr>
              <w:pStyle w:val="TableParagraph"/>
              <w:spacing w:before="28"/>
              <w:ind w:left="10"/>
              <w:jc w:val="center"/>
              <w:rPr>
                <w:sz w:val="20"/>
              </w:rPr>
            </w:pPr>
            <w:r>
              <w:rPr>
                <w:w w:val="99"/>
                <w:sz w:val="20"/>
              </w:rPr>
              <w:t>4</w:t>
            </w:r>
          </w:p>
        </w:tc>
        <w:tc>
          <w:tcPr>
            <w:tcW w:w="742" w:type="dxa"/>
          </w:tcPr>
          <w:p>
            <w:pPr>
              <w:pStyle w:val="TableParagraph"/>
              <w:spacing w:before="28"/>
              <w:ind w:left="7"/>
              <w:jc w:val="center"/>
              <w:rPr>
                <w:sz w:val="20"/>
              </w:rPr>
            </w:pPr>
            <w:r>
              <w:rPr>
                <w:w w:val="99"/>
                <w:sz w:val="20"/>
              </w:rPr>
              <w:t>1</w:t>
            </w:r>
          </w:p>
        </w:tc>
        <w:tc>
          <w:tcPr>
            <w:tcW w:w="742" w:type="dxa"/>
          </w:tcPr>
          <w:p>
            <w:pPr>
              <w:pStyle w:val="TableParagraph"/>
              <w:spacing w:before="28"/>
              <w:jc w:val="center"/>
              <w:rPr>
                <w:sz w:val="20"/>
              </w:rPr>
            </w:pPr>
            <w:r>
              <w:rPr>
                <w:w w:val="99"/>
                <w:sz w:val="20"/>
              </w:rPr>
              <w:t>0</w:t>
            </w:r>
          </w:p>
        </w:tc>
        <w:tc>
          <w:tcPr>
            <w:tcW w:w="742" w:type="dxa"/>
          </w:tcPr>
          <w:p>
            <w:pPr>
              <w:pStyle w:val="TableParagraph"/>
              <w:spacing w:before="28"/>
              <w:ind w:right="1"/>
              <w:jc w:val="center"/>
              <w:rPr>
                <w:sz w:val="20"/>
              </w:rPr>
            </w:pPr>
            <w:r>
              <w:rPr>
                <w:w w:val="99"/>
                <w:sz w:val="20"/>
              </w:rPr>
              <w:t>4</w:t>
            </w:r>
          </w:p>
        </w:tc>
        <w:tc>
          <w:tcPr>
            <w:tcW w:w="924" w:type="dxa"/>
          </w:tcPr>
          <w:p>
            <w:pPr>
              <w:pStyle w:val="TableParagraph"/>
              <w:rPr>
                <w:rFonts w:ascii="Times New Roman"/>
                <w:sz w:val="18"/>
              </w:rPr>
            </w:pPr>
          </w:p>
        </w:tc>
      </w:tr>
      <w:tr>
        <w:trPr>
          <w:trHeight w:val="311" w:hRule="atLeast"/>
        </w:trPr>
        <w:tc>
          <w:tcPr>
            <w:tcW w:w="1080" w:type="dxa"/>
          </w:tcPr>
          <w:p>
            <w:pPr>
              <w:pStyle w:val="TableParagraph"/>
              <w:spacing w:before="28"/>
              <w:ind w:left="11"/>
              <w:rPr>
                <w:sz w:val="20"/>
              </w:rPr>
            </w:pPr>
            <w:r>
              <w:rPr>
                <w:w w:val="95"/>
                <w:sz w:val="20"/>
              </w:rPr>
              <w:t>2009-</w:t>
            </w:r>
            <w:r>
              <w:rPr>
                <w:spacing w:val="-4"/>
                <w:sz w:val="20"/>
              </w:rPr>
              <w:t>2010</w:t>
            </w:r>
          </w:p>
        </w:tc>
        <w:tc>
          <w:tcPr>
            <w:tcW w:w="1260" w:type="dxa"/>
          </w:tcPr>
          <w:p>
            <w:pPr>
              <w:pStyle w:val="TableParagraph"/>
              <w:spacing w:before="28"/>
              <w:ind w:left="7"/>
              <w:jc w:val="center"/>
              <w:rPr>
                <w:sz w:val="20"/>
              </w:rPr>
            </w:pPr>
            <w:r>
              <w:rPr>
                <w:w w:val="99"/>
                <w:sz w:val="20"/>
              </w:rPr>
              <w:t>9</w:t>
            </w:r>
          </w:p>
        </w:tc>
        <w:tc>
          <w:tcPr>
            <w:tcW w:w="900" w:type="dxa"/>
          </w:tcPr>
          <w:p>
            <w:pPr>
              <w:pStyle w:val="TableParagraph"/>
              <w:spacing w:before="28"/>
              <w:ind w:left="7"/>
              <w:jc w:val="center"/>
              <w:rPr>
                <w:sz w:val="20"/>
              </w:rPr>
            </w:pPr>
            <w:r>
              <w:rPr>
                <w:w w:val="99"/>
                <w:sz w:val="20"/>
              </w:rPr>
              <w:t>7</w:t>
            </w:r>
          </w:p>
        </w:tc>
        <w:tc>
          <w:tcPr>
            <w:tcW w:w="991" w:type="dxa"/>
          </w:tcPr>
          <w:p>
            <w:pPr>
              <w:pStyle w:val="TableParagraph"/>
              <w:spacing w:before="28"/>
              <w:ind w:left="7"/>
              <w:jc w:val="center"/>
              <w:rPr>
                <w:sz w:val="20"/>
              </w:rPr>
            </w:pPr>
            <w:r>
              <w:rPr>
                <w:w w:val="99"/>
                <w:sz w:val="20"/>
              </w:rPr>
              <w:t>3</w:t>
            </w:r>
          </w:p>
        </w:tc>
        <w:tc>
          <w:tcPr>
            <w:tcW w:w="1080" w:type="dxa"/>
          </w:tcPr>
          <w:p>
            <w:pPr>
              <w:pStyle w:val="TableParagraph"/>
              <w:spacing w:before="28"/>
              <w:ind w:left="10"/>
              <w:jc w:val="center"/>
              <w:rPr>
                <w:sz w:val="20"/>
              </w:rPr>
            </w:pPr>
            <w:r>
              <w:rPr>
                <w:w w:val="99"/>
                <w:sz w:val="20"/>
              </w:rPr>
              <w:t>4</w:t>
            </w:r>
          </w:p>
        </w:tc>
        <w:tc>
          <w:tcPr>
            <w:tcW w:w="742" w:type="dxa"/>
          </w:tcPr>
          <w:p>
            <w:pPr>
              <w:pStyle w:val="TableParagraph"/>
              <w:spacing w:before="28"/>
              <w:ind w:left="7"/>
              <w:jc w:val="center"/>
              <w:rPr>
                <w:sz w:val="20"/>
              </w:rPr>
            </w:pPr>
            <w:r>
              <w:rPr>
                <w:w w:val="99"/>
                <w:sz w:val="20"/>
              </w:rPr>
              <w:t>1</w:t>
            </w:r>
          </w:p>
        </w:tc>
        <w:tc>
          <w:tcPr>
            <w:tcW w:w="742" w:type="dxa"/>
          </w:tcPr>
          <w:p>
            <w:pPr>
              <w:pStyle w:val="TableParagraph"/>
              <w:spacing w:before="28"/>
              <w:jc w:val="center"/>
              <w:rPr>
                <w:sz w:val="20"/>
              </w:rPr>
            </w:pPr>
            <w:r>
              <w:rPr>
                <w:w w:val="99"/>
                <w:sz w:val="20"/>
              </w:rPr>
              <w:t>0</w:t>
            </w:r>
          </w:p>
        </w:tc>
        <w:tc>
          <w:tcPr>
            <w:tcW w:w="742" w:type="dxa"/>
          </w:tcPr>
          <w:p>
            <w:pPr>
              <w:pStyle w:val="TableParagraph"/>
              <w:spacing w:before="28"/>
              <w:ind w:right="1"/>
              <w:jc w:val="center"/>
              <w:rPr>
                <w:sz w:val="20"/>
              </w:rPr>
            </w:pPr>
            <w:r>
              <w:rPr>
                <w:w w:val="99"/>
                <w:sz w:val="20"/>
              </w:rPr>
              <w:t>4</w:t>
            </w:r>
          </w:p>
        </w:tc>
        <w:tc>
          <w:tcPr>
            <w:tcW w:w="924" w:type="dxa"/>
          </w:tcPr>
          <w:p>
            <w:pPr>
              <w:pStyle w:val="TableParagraph"/>
              <w:rPr>
                <w:rFonts w:ascii="Times New Roman"/>
                <w:sz w:val="18"/>
              </w:rPr>
            </w:pPr>
          </w:p>
        </w:tc>
      </w:tr>
      <w:tr>
        <w:trPr>
          <w:trHeight w:val="311" w:hRule="atLeast"/>
        </w:trPr>
        <w:tc>
          <w:tcPr>
            <w:tcW w:w="1080" w:type="dxa"/>
          </w:tcPr>
          <w:p>
            <w:pPr>
              <w:pStyle w:val="TableParagraph"/>
              <w:spacing w:before="30"/>
              <w:ind w:left="11"/>
              <w:rPr>
                <w:sz w:val="20"/>
              </w:rPr>
            </w:pPr>
            <w:r>
              <w:rPr>
                <w:w w:val="95"/>
                <w:sz w:val="20"/>
              </w:rPr>
              <w:t>2010-</w:t>
            </w:r>
            <w:r>
              <w:rPr>
                <w:spacing w:val="-4"/>
                <w:sz w:val="20"/>
              </w:rPr>
              <w:t>2011</w:t>
            </w:r>
          </w:p>
        </w:tc>
        <w:tc>
          <w:tcPr>
            <w:tcW w:w="1260" w:type="dxa"/>
          </w:tcPr>
          <w:p>
            <w:pPr>
              <w:pStyle w:val="TableParagraph"/>
              <w:spacing w:before="30"/>
              <w:ind w:left="7"/>
              <w:jc w:val="center"/>
              <w:rPr>
                <w:sz w:val="20"/>
              </w:rPr>
            </w:pPr>
            <w:r>
              <w:rPr>
                <w:w w:val="99"/>
                <w:sz w:val="20"/>
              </w:rPr>
              <w:t>9</w:t>
            </w:r>
          </w:p>
        </w:tc>
        <w:tc>
          <w:tcPr>
            <w:tcW w:w="900" w:type="dxa"/>
          </w:tcPr>
          <w:p>
            <w:pPr>
              <w:pStyle w:val="TableParagraph"/>
              <w:spacing w:before="30"/>
              <w:ind w:left="7"/>
              <w:jc w:val="center"/>
              <w:rPr>
                <w:sz w:val="20"/>
              </w:rPr>
            </w:pPr>
            <w:r>
              <w:rPr>
                <w:w w:val="99"/>
                <w:sz w:val="20"/>
              </w:rPr>
              <w:t>7</w:t>
            </w:r>
          </w:p>
        </w:tc>
        <w:tc>
          <w:tcPr>
            <w:tcW w:w="991" w:type="dxa"/>
          </w:tcPr>
          <w:p>
            <w:pPr>
              <w:pStyle w:val="TableParagraph"/>
              <w:spacing w:before="30"/>
              <w:ind w:left="7"/>
              <w:jc w:val="center"/>
              <w:rPr>
                <w:sz w:val="20"/>
              </w:rPr>
            </w:pPr>
            <w:r>
              <w:rPr>
                <w:w w:val="99"/>
                <w:sz w:val="20"/>
              </w:rPr>
              <w:t>3</w:t>
            </w:r>
          </w:p>
        </w:tc>
        <w:tc>
          <w:tcPr>
            <w:tcW w:w="1080" w:type="dxa"/>
          </w:tcPr>
          <w:p>
            <w:pPr>
              <w:pStyle w:val="TableParagraph"/>
              <w:spacing w:before="30"/>
              <w:ind w:left="10"/>
              <w:jc w:val="center"/>
              <w:rPr>
                <w:sz w:val="20"/>
              </w:rPr>
            </w:pPr>
            <w:r>
              <w:rPr>
                <w:w w:val="99"/>
                <w:sz w:val="20"/>
              </w:rPr>
              <w:t>4</w:t>
            </w:r>
          </w:p>
        </w:tc>
        <w:tc>
          <w:tcPr>
            <w:tcW w:w="742" w:type="dxa"/>
          </w:tcPr>
          <w:p>
            <w:pPr>
              <w:pStyle w:val="TableParagraph"/>
              <w:spacing w:before="30"/>
              <w:ind w:left="7"/>
              <w:jc w:val="center"/>
              <w:rPr>
                <w:sz w:val="20"/>
              </w:rPr>
            </w:pPr>
            <w:r>
              <w:rPr>
                <w:w w:val="99"/>
                <w:sz w:val="20"/>
              </w:rPr>
              <w:t>1</w:t>
            </w:r>
          </w:p>
        </w:tc>
        <w:tc>
          <w:tcPr>
            <w:tcW w:w="742" w:type="dxa"/>
          </w:tcPr>
          <w:p>
            <w:pPr>
              <w:pStyle w:val="TableParagraph"/>
              <w:spacing w:before="30"/>
              <w:ind w:right="1"/>
              <w:jc w:val="center"/>
              <w:rPr>
                <w:sz w:val="20"/>
              </w:rPr>
            </w:pPr>
            <w:r>
              <w:rPr>
                <w:w w:val="99"/>
                <w:sz w:val="20"/>
              </w:rPr>
              <w:t>0</w:t>
            </w:r>
          </w:p>
        </w:tc>
        <w:tc>
          <w:tcPr>
            <w:tcW w:w="742" w:type="dxa"/>
          </w:tcPr>
          <w:p>
            <w:pPr>
              <w:pStyle w:val="TableParagraph"/>
              <w:spacing w:before="30"/>
              <w:ind w:right="1"/>
              <w:jc w:val="center"/>
              <w:rPr>
                <w:sz w:val="20"/>
              </w:rPr>
            </w:pPr>
            <w:r>
              <w:rPr>
                <w:w w:val="99"/>
                <w:sz w:val="20"/>
              </w:rPr>
              <w:t>4</w:t>
            </w:r>
          </w:p>
        </w:tc>
        <w:tc>
          <w:tcPr>
            <w:tcW w:w="924" w:type="dxa"/>
          </w:tcPr>
          <w:p>
            <w:pPr>
              <w:pStyle w:val="TableParagraph"/>
              <w:rPr>
                <w:rFonts w:ascii="Times New Roman"/>
                <w:sz w:val="18"/>
              </w:rPr>
            </w:pPr>
          </w:p>
        </w:tc>
      </w:tr>
      <w:tr>
        <w:trPr>
          <w:trHeight w:val="311" w:hRule="atLeast"/>
        </w:trPr>
        <w:tc>
          <w:tcPr>
            <w:tcW w:w="1080" w:type="dxa"/>
          </w:tcPr>
          <w:p>
            <w:pPr>
              <w:pStyle w:val="TableParagraph"/>
              <w:spacing w:before="30"/>
              <w:ind w:left="11"/>
              <w:rPr>
                <w:sz w:val="20"/>
              </w:rPr>
            </w:pPr>
            <w:r>
              <w:rPr>
                <w:w w:val="95"/>
                <w:sz w:val="20"/>
              </w:rPr>
              <w:t>2011-</w:t>
            </w:r>
            <w:r>
              <w:rPr>
                <w:spacing w:val="-4"/>
                <w:sz w:val="20"/>
              </w:rPr>
              <w:t>2012</w:t>
            </w:r>
          </w:p>
        </w:tc>
        <w:tc>
          <w:tcPr>
            <w:tcW w:w="1260" w:type="dxa"/>
          </w:tcPr>
          <w:p>
            <w:pPr>
              <w:pStyle w:val="TableParagraph"/>
              <w:spacing w:before="30"/>
              <w:ind w:left="7"/>
              <w:jc w:val="center"/>
              <w:rPr>
                <w:sz w:val="20"/>
              </w:rPr>
            </w:pPr>
            <w:r>
              <w:rPr>
                <w:w w:val="99"/>
                <w:sz w:val="20"/>
              </w:rPr>
              <w:t>9</w:t>
            </w:r>
          </w:p>
        </w:tc>
        <w:tc>
          <w:tcPr>
            <w:tcW w:w="900" w:type="dxa"/>
          </w:tcPr>
          <w:p>
            <w:pPr>
              <w:pStyle w:val="TableParagraph"/>
              <w:spacing w:before="30"/>
              <w:ind w:left="7"/>
              <w:jc w:val="center"/>
              <w:rPr>
                <w:sz w:val="20"/>
              </w:rPr>
            </w:pPr>
            <w:r>
              <w:rPr>
                <w:w w:val="99"/>
                <w:sz w:val="20"/>
              </w:rPr>
              <w:t>7</w:t>
            </w:r>
          </w:p>
        </w:tc>
        <w:tc>
          <w:tcPr>
            <w:tcW w:w="991" w:type="dxa"/>
          </w:tcPr>
          <w:p>
            <w:pPr>
              <w:pStyle w:val="TableParagraph"/>
              <w:spacing w:before="30"/>
              <w:ind w:left="7"/>
              <w:jc w:val="center"/>
              <w:rPr>
                <w:sz w:val="20"/>
              </w:rPr>
            </w:pPr>
            <w:r>
              <w:rPr>
                <w:w w:val="99"/>
                <w:sz w:val="20"/>
              </w:rPr>
              <w:t>3</w:t>
            </w:r>
          </w:p>
        </w:tc>
        <w:tc>
          <w:tcPr>
            <w:tcW w:w="1080" w:type="dxa"/>
          </w:tcPr>
          <w:p>
            <w:pPr>
              <w:pStyle w:val="TableParagraph"/>
              <w:spacing w:before="30"/>
              <w:ind w:left="10"/>
              <w:jc w:val="center"/>
              <w:rPr>
                <w:sz w:val="20"/>
              </w:rPr>
            </w:pPr>
            <w:r>
              <w:rPr>
                <w:w w:val="99"/>
                <w:sz w:val="20"/>
              </w:rPr>
              <w:t>4</w:t>
            </w:r>
          </w:p>
        </w:tc>
        <w:tc>
          <w:tcPr>
            <w:tcW w:w="742" w:type="dxa"/>
          </w:tcPr>
          <w:p>
            <w:pPr>
              <w:pStyle w:val="TableParagraph"/>
              <w:spacing w:before="30"/>
              <w:ind w:left="7"/>
              <w:jc w:val="center"/>
              <w:rPr>
                <w:sz w:val="20"/>
              </w:rPr>
            </w:pPr>
            <w:r>
              <w:rPr>
                <w:w w:val="99"/>
                <w:sz w:val="20"/>
              </w:rPr>
              <w:t>1</w:t>
            </w:r>
          </w:p>
        </w:tc>
        <w:tc>
          <w:tcPr>
            <w:tcW w:w="742" w:type="dxa"/>
          </w:tcPr>
          <w:p>
            <w:pPr>
              <w:pStyle w:val="TableParagraph"/>
              <w:spacing w:before="30"/>
              <w:ind w:right="1"/>
              <w:jc w:val="center"/>
              <w:rPr>
                <w:sz w:val="20"/>
              </w:rPr>
            </w:pPr>
            <w:r>
              <w:rPr>
                <w:w w:val="99"/>
                <w:sz w:val="20"/>
              </w:rPr>
              <w:t>0</w:t>
            </w:r>
          </w:p>
        </w:tc>
        <w:tc>
          <w:tcPr>
            <w:tcW w:w="742" w:type="dxa"/>
          </w:tcPr>
          <w:p>
            <w:pPr>
              <w:pStyle w:val="TableParagraph"/>
              <w:spacing w:before="30"/>
              <w:ind w:right="1"/>
              <w:jc w:val="center"/>
              <w:rPr>
                <w:sz w:val="20"/>
              </w:rPr>
            </w:pPr>
            <w:r>
              <w:rPr>
                <w:w w:val="99"/>
                <w:sz w:val="20"/>
              </w:rPr>
              <w:t>4</w:t>
            </w:r>
          </w:p>
        </w:tc>
        <w:tc>
          <w:tcPr>
            <w:tcW w:w="924" w:type="dxa"/>
          </w:tcPr>
          <w:p>
            <w:pPr>
              <w:pStyle w:val="TableParagraph"/>
              <w:rPr>
                <w:rFonts w:ascii="Times New Roman"/>
                <w:sz w:val="18"/>
              </w:rPr>
            </w:pPr>
          </w:p>
        </w:tc>
      </w:tr>
      <w:tr>
        <w:trPr>
          <w:trHeight w:val="311" w:hRule="atLeast"/>
        </w:trPr>
        <w:tc>
          <w:tcPr>
            <w:tcW w:w="1080" w:type="dxa"/>
          </w:tcPr>
          <w:p>
            <w:pPr>
              <w:pStyle w:val="TableParagraph"/>
              <w:spacing w:before="30"/>
              <w:ind w:left="11"/>
              <w:rPr>
                <w:sz w:val="20"/>
              </w:rPr>
            </w:pPr>
            <w:r>
              <w:rPr>
                <w:w w:val="95"/>
                <w:sz w:val="20"/>
              </w:rPr>
              <w:t>2012-</w:t>
            </w:r>
            <w:r>
              <w:rPr>
                <w:spacing w:val="-4"/>
                <w:sz w:val="20"/>
              </w:rPr>
              <w:t>2013</w:t>
            </w:r>
          </w:p>
        </w:tc>
        <w:tc>
          <w:tcPr>
            <w:tcW w:w="1260" w:type="dxa"/>
          </w:tcPr>
          <w:p>
            <w:pPr>
              <w:pStyle w:val="TableParagraph"/>
              <w:spacing w:before="30"/>
              <w:ind w:left="7"/>
              <w:jc w:val="center"/>
              <w:rPr>
                <w:sz w:val="20"/>
              </w:rPr>
            </w:pPr>
            <w:r>
              <w:rPr>
                <w:w w:val="99"/>
                <w:sz w:val="20"/>
              </w:rPr>
              <w:t>8</w:t>
            </w:r>
          </w:p>
        </w:tc>
        <w:tc>
          <w:tcPr>
            <w:tcW w:w="900" w:type="dxa"/>
          </w:tcPr>
          <w:p>
            <w:pPr>
              <w:pStyle w:val="TableParagraph"/>
              <w:spacing w:before="30"/>
              <w:ind w:left="7"/>
              <w:jc w:val="center"/>
              <w:rPr>
                <w:sz w:val="20"/>
              </w:rPr>
            </w:pPr>
            <w:r>
              <w:rPr>
                <w:w w:val="99"/>
                <w:sz w:val="20"/>
              </w:rPr>
              <w:t>8</w:t>
            </w:r>
          </w:p>
        </w:tc>
        <w:tc>
          <w:tcPr>
            <w:tcW w:w="991" w:type="dxa"/>
          </w:tcPr>
          <w:p>
            <w:pPr>
              <w:pStyle w:val="TableParagraph"/>
              <w:spacing w:before="30"/>
              <w:ind w:left="7"/>
              <w:jc w:val="center"/>
              <w:rPr>
                <w:sz w:val="20"/>
              </w:rPr>
            </w:pPr>
            <w:r>
              <w:rPr>
                <w:w w:val="99"/>
                <w:sz w:val="20"/>
              </w:rPr>
              <w:t>3</w:t>
            </w:r>
          </w:p>
        </w:tc>
        <w:tc>
          <w:tcPr>
            <w:tcW w:w="1080" w:type="dxa"/>
          </w:tcPr>
          <w:p>
            <w:pPr>
              <w:pStyle w:val="TableParagraph"/>
              <w:spacing w:before="30"/>
              <w:ind w:left="10"/>
              <w:jc w:val="center"/>
              <w:rPr>
                <w:sz w:val="20"/>
              </w:rPr>
            </w:pPr>
            <w:r>
              <w:rPr>
                <w:w w:val="99"/>
                <w:sz w:val="20"/>
              </w:rPr>
              <w:t>3</w:t>
            </w:r>
          </w:p>
        </w:tc>
        <w:tc>
          <w:tcPr>
            <w:tcW w:w="742" w:type="dxa"/>
          </w:tcPr>
          <w:p>
            <w:pPr>
              <w:pStyle w:val="TableParagraph"/>
              <w:spacing w:before="30"/>
              <w:ind w:left="7"/>
              <w:jc w:val="center"/>
              <w:rPr>
                <w:sz w:val="20"/>
              </w:rPr>
            </w:pPr>
            <w:r>
              <w:rPr>
                <w:w w:val="99"/>
                <w:sz w:val="20"/>
              </w:rPr>
              <w:t>1</w:t>
            </w:r>
          </w:p>
        </w:tc>
        <w:tc>
          <w:tcPr>
            <w:tcW w:w="742" w:type="dxa"/>
          </w:tcPr>
          <w:p>
            <w:pPr>
              <w:pStyle w:val="TableParagraph"/>
              <w:spacing w:before="30"/>
              <w:jc w:val="center"/>
              <w:rPr>
                <w:sz w:val="20"/>
              </w:rPr>
            </w:pPr>
            <w:r>
              <w:rPr>
                <w:w w:val="99"/>
                <w:sz w:val="20"/>
              </w:rPr>
              <w:t>0</w:t>
            </w:r>
          </w:p>
        </w:tc>
        <w:tc>
          <w:tcPr>
            <w:tcW w:w="742" w:type="dxa"/>
          </w:tcPr>
          <w:p>
            <w:pPr>
              <w:pStyle w:val="TableParagraph"/>
              <w:spacing w:before="30"/>
              <w:ind w:right="1"/>
              <w:jc w:val="center"/>
              <w:rPr>
                <w:sz w:val="20"/>
              </w:rPr>
            </w:pPr>
            <w:r>
              <w:rPr>
                <w:w w:val="99"/>
                <w:sz w:val="20"/>
              </w:rPr>
              <w:t>4</w:t>
            </w:r>
          </w:p>
        </w:tc>
        <w:tc>
          <w:tcPr>
            <w:tcW w:w="924" w:type="dxa"/>
          </w:tcPr>
          <w:p>
            <w:pPr>
              <w:pStyle w:val="TableParagraph"/>
              <w:rPr>
                <w:rFonts w:ascii="Times New Roman"/>
                <w:sz w:val="18"/>
              </w:rPr>
            </w:pPr>
          </w:p>
        </w:tc>
      </w:tr>
      <w:tr>
        <w:trPr>
          <w:trHeight w:val="314" w:hRule="atLeast"/>
        </w:trPr>
        <w:tc>
          <w:tcPr>
            <w:tcW w:w="1080" w:type="dxa"/>
          </w:tcPr>
          <w:p>
            <w:pPr>
              <w:pStyle w:val="TableParagraph"/>
              <w:spacing w:before="30"/>
              <w:ind w:left="11"/>
              <w:rPr>
                <w:sz w:val="20"/>
              </w:rPr>
            </w:pPr>
            <w:r>
              <w:rPr>
                <w:w w:val="95"/>
                <w:sz w:val="20"/>
              </w:rPr>
              <w:t>2013-</w:t>
            </w:r>
            <w:r>
              <w:rPr>
                <w:spacing w:val="-4"/>
                <w:sz w:val="20"/>
              </w:rPr>
              <w:t>2014</w:t>
            </w:r>
          </w:p>
        </w:tc>
        <w:tc>
          <w:tcPr>
            <w:tcW w:w="1260" w:type="dxa"/>
          </w:tcPr>
          <w:p>
            <w:pPr>
              <w:pStyle w:val="TableParagraph"/>
              <w:spacing w:before="30"/>
              <w:ind w:left="7"/>
              <w:jc w:val="center"/>
              <w:rPr>
                <w:sz w:val="20"/>
              </w:rPr>
            </w:pPr>
            <w:r>
              <w:rPr>
                <w:w w:val="99"/>
                <w:sz w:val="20"/>
              </w:rPr>
              <w:t>8</w:t>
            </w:r>
          </w:p>
        </w:tc>
        <w:tc>
          <w:tcPr>
            <w:tcW w:w="900" w:type="dxa"/>
          </w:tcPr>
          <w:p>
            <w:pPr>
              <w:pStyle w:val="TableParagraph"/>
              <w:spacing w:before="30"/>
              <w:ind w:left="7"/>
              <w:jc w:val="center"/>
              <w:rPr>
                <w:sz w:val="20"/>
              </w:rPr>
            </w:pPr>
            <w:r>
              <w:rPr>
                <w:w w:val="99"/>
                <w:sz w:val="20"/>
              </w:rPr>
              <w:t>8</w:t>
            </w:r>
          </w:p>
        </w:tc>
        <w:tc>
          <w:tcPr>
            <w:tcW w:w="991" w:type="dxa"/>
          </w:tcPr>
          <w:p>
            <w:pPr>
              <w:pStyle w:val="TableParagraph"/>
              <w:spacing w:before="30"/>
              <w:ind w:left="7"/>
              <w:jc w:val="center"/>
              <w:rPr>
                <w:sz w:val="20"/>
              </w:rPr>
            </w:pPr>
            <w:r>
              <w:rPr>
                <w:w w:val="99"/>
                <w:sz w:val="20"/>
              </w:rPr>
              <w:t>3</w:t>
            </w:r>
          </w:p>
        </w:tc>
        <w:tc>
          <w:tcPr>
            <w:tcW w:w="1080" w:type="dxa"/>
          </w:tcPr>
          <w:p>
            <w:pPr>
              <w:pStyle w:val="TableParagraph"/>
              <w:spacing w:before="30"/>
              <w:ind w:left="10"/>
              <w:jc w:val="center"/>
              <w:rPr>
                <w:sz w:val="20"/>
              </w:rPr>
            </w:pPr>
            <w:r>
              <w:rPr>
                <w:w w:val="99"/>
                <w:sz w:val="20"/>
              </w:rPr>
              <w:t>3</w:t>
            </w:r>
          </w:p>
        </w:tc>
        <w:tc>
          <w:tcPr>
            <w:tcW w:w="742" w:type="dxa"/>
          </w:tcPr>
          <w:p>
            <w:pPr>
              <w:pStyle w:val="TableParagraph"/>
              <w:spacing w:before="30"/>
              <w:ind w:left="7"/>
              <w:jc w:val="center"/>
              <w:rPr>
                <w:sz w:val="20"/>
              </w:rPr>
            </w:pPr>
            <w:r>
              <w:rPr>
                <w:w w:val="99"/>
                <w:sz w:val="20"/>
              </w:rPr>
              <w:t>1</w:t>
            </w:r>
          </w:p>
        </w:tc>
        <w:tc>
          <w:tcPr>
            <w:tcW w:w="742" w:type="dxa"/>
          </w:tcPr>
          <w:p>
            <w:pPr>
              <w:pStyle w:val="TableParagraph"/>
              <w:spacing w:before="30"/>
              <w:jc w:val="center"/>
              <w:rPr>
                <w:sz w:val="20"/>
              </w:rPr>
            </w:pPr>
            <w:r>
              <w:rPr>
                <w:w w:val="99"/>
                <w:sz w:val="20"/>
              </w:rPr>
              <w:t>0</w:t>
            </w:r>
          </w:p>
        </w:tc>
        <w:tc>
          <w:tcPr>
            <w:tcW w:w="742" w:type="dxa"/>
          </w:tcPr>
          <w:p>
            <w:pPr>
              <w:pStyle w:val="TableParagraph"/>
              <w:spacing w:before="30"/>
              <w:ind w:right="1"/>
              <w:jc w:val="center"/>
              <w:rPr>
                <w:sz w:val="20"/>
              </w:rPr>
            </w:pPr>
            <w:r>
              <w:rPr>
                <w:w w:val="99"/>
                <w:sz w:val="20"/>
              </w:rPr>
              <w:t>4</w:t>
            </w:r>
          </w:p>
        </w:tc>
        <w:tc>
          <w:tcPr>
            <w:tcW w:w="924" w:type="dxa"/>
          </w:tcPr>
          <w:p>
            <w:pPr>
              <w:pStyle w:val="TableParagraph"/>
              <w:rPr>
                <w:rFonts w:ascii="Times New Roman"/>
                <w:sz w:val="18"/>
              </w:rPr>
            </w:pPr>
          </w:p>
        </w:tc>
      </w:tr>
      <w:tr>
        <w:trPr>
          <w:trHeight w:val="311" w:hRule="atLeast"/>
        </w:trPr>
        <w:tc>
          <w:tcPr>
            <w:tcW w:w="1080" w:type="dxa"/>
          </w:tcPr>
          <w:p>
            <w:pPr>
              <w:pStyle w:val="TableParagraph"/>
              <w:spacing w:before="28"/>
              <w:ind w:left="11"/>
              <w:rPr>
                <w:sz w:val="20"/>
              </w:rPr>
            </w:pPr>
            <w:r>
              <w:rPr>
                <w:w w:val="95"/>
                <w:sz w:val="20"/>
              </w:rPr>
              <w:t>2014-</w:t>
            </w:r>
            <w:r>
              <w:rPr>
                <w:spacing w:val="-4"/>
                <w:sz w:val="20"/>
              </w:rPr>
              <w:t>2015</w:t>
            </w:r>
          </w:p>
        </w:tc>
        <w:tc>
          <w:tcPr>
            <w:tcW w:w="1260" w:type="dxa"/>
          </w:tcPr>
          <w:p>
            <w:pPr>
              <w:pStyle w:val="TableParagraph"/>
              <w:spacing w:before="28"/>
              <w:ind w:left="7"/>
              <w:jc w:val="center"/>
              <w:rPr>
                <w:sz w:val="20"/>
              </w:rPr>
            </w:pPr>
            <w:r>
              <w:rPr>
                <w:w w:val="99"/>
                <w:sz w:val="20"/>
              </w:rPr>
              <w:t>7</w:t>
            </w:r>
          </w:p>
        </w:tc>
        <w:tc>
          <w:tcPr>
            <w:tcW w:w="900" w:type="dxa"/>
          </w:tcPr>
          <w:p>
            <w:pPr>
              <w:pStyle w:val="TableParagraph"/>
              <w:spacing w:before="28"/>
              <w:ind w:left="7"/>
              <w:jc w:val="center"/>
              <w:rPr>
                <w:sz w:val="20"/>
              </w:rPr>
            </w:pPr>
            <w:r>
              <w:rPr>
                <w:w w:val="99"/>
                <w:sz w:val="20"/>
              </w:rPr>
              <w:t>7</w:t>
            </w:r>
          </w:p>
        </w:tc>
        <w:tc>
          <w:tcPr>
            <w:tcW w:w="991" w:type="dxa"/>
          </w:tcPr>
          <w:p>
            <w:pPr>
              <w:pStyle w:val="TableParagraph"/>
              <w:spacing w:before="28"/>
              <w:ind w:left="7"/>
              <w:jc w:val="center"/>
              <w:rPr>
                <w:sz w:val="20"/>
              </w:rPr>
            </w:pPr>
            <w:r>
              <w:rPr>
                <w:w w:val="99"/>
                <w:sz w:val="20"/>
              </w:rPr>
              <w:t>2</w:t>
            </w:r>
          </w:p>
        </w:tc>
        <w:tc>
          <w:tcPr>
            <w:tcW w:w="1080" w:type="dxa"/>
          </w:tcPr>
          <w:p>
            <w:pPr>
              <w:pStyle w:val="TableParagraph"/>
              <w:spacing w:before="28"/>
              <w:ind w:left="10"/>
              <w:jc w:val="center"/>
              <w:rPr>
                <w:sz w:val="20"/>
              </w:rPr>
            </w:pPr>
            <w:r>
              <w:rPr>
                <w:w w:val="99"/>
                <w:sz w:val="20"/>
              </w:rPr>
              <w:t>3</w:t>
            </w:r>
          </w:p>
        </w:tc>
        <w:tc>
          <w:tcPr>
            <w:tcW w:w="742" w:type="dxa"/>
          </w:tcPr>
          <w:p>
            <w:pPr>
              <w:pStyle w:val="TableParagraph"/>
              <w:spacing w:before="28"/>
              <w:ind w:left="7"/>
              <w:jc w:val="center"/>
              <w:rPr>
                <w:sz w:val="20"/>
              </w:rPr>
            </w:pPr>
            <w:r>
              <w:rPr>
                <w:w w:val="99"/>
                <w:sz w:val="20"/>
              </w:rPr>
              <w:t>1</w:t>
            </w:r>
          </w:p>
        </w:tc>
        <w:tc>
          <w:tcPr>
            <w:tcW w:w="742" w:type="dxa"/>
          </w:tcPr>
          <w:p>
            <w:pPr>
              <w:pStyle w:val="TableParagraph"/>
              <w:spacing w:before="28"/>
              <w:jc w:val="center"/>
              <w:rPr>
                <w:sz w:val="20"/>
              </w:rPr>
            </w:pPr>
            <w:r>
              <w:rPr>
                <w:w w:val="99"/>
                <w:sz w:val="20"/>
              </w:rPr>
              <w:t>0</w:t>
            </w:r>
          </w:p>
        </w:tc>
        <w:tc>
          <w:tcPr>
            <w:tcW w:w="742" w:type="dxa"/>
          </w:tcPr>
          <w:p>
            <w:pPr>
              <w:pStyle w:val="TableParagraph"/>
              <w:spacing w:before="28"/>
              <w:ind w:right="1"/>
              <w:jc w:val="center"/>
              <w:rPr>
                <w:sz w:val="20"/>
              </w:rPr>
            </w:pPr>
            <w:r>
              <w:rPr>
                <w:w w:val="99"/>
                <w:sz w:val="20"/>
              </w:rPr>
              <w:t>3</w:t>
            </w:r>
          </w:p>
        </w:tc>
        <w:tc>
          <w:tcPr>
            <w:tcW w:w="924" w:type="dxa"/>
          </w:tcPr>
          <w:p>
            <w:pPr>
              <w:pStyle w:val="TableParagraph"/>
              <w:rPr>
                <w:rFonts w:ascii="Times New Roman"/>
                <w:sz w:val="18"/>
              </w:rPr>
            </w:pPr>
          </w:p>
        </w:tc>
      </w:tr>
    </w:tbl>
    <w:p>
      <w:pPr>
        <w:pStyle w:val="BodyText"/>
        <w:spacing w:before="4"/>
      </w:pPr>
    </w:p>
    <w:tbl>
      <w:tblPr>
        <w:tblW w:w="0" w:type="auto"/>
        <w:jc w:val="left"/>
        <w:tblInd w:w="1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0"/>
        <w:gridCol w:w="1260"/>
        <w:gridCol w:w="1080"/>
        <w:gridCol w:w="991"/>
        <w:gridCol w:w="1080"/>
        <w:gridCol w:w="2969"/>
      </w:tblGrid>
      <w:tr>
        <w:trPr>
          <w:trHeight w:val="359" w:hRule="atLeast"/>
        </w:trPr>
        <w:tc>
          <w:tcPr>
            <w:tcW w:w="8460" w:type="dxa"/>
            <w:gridSpan w:val="6"/>
          </w:tcPr>
          <w:p>
            <w:pPr>
              <w:pStyle w:val="TableParagraph"/>
              <w:spacing w:before="47"/>
              <w:ind w:left="2581" w:right="2574"/>
              <w:jc w:val="center"/>
              <w:rPr>
                <w:sz w:val="20"/>
              </w:rPr>
            </w:pPr>
            <w:r>
              <w:rPr>
                <w:sz w:val="20"/>
              </w:rPr>
              <w:t>Faculty</w:t>
            </w:r>
            <w:r>
              <w:rPr>
                <w:spacing w:val="-11"/>
                <w:sz w:val="20"/>
              </w:rPr>
              <w:t> </w:t>
            </w:r>
            <w:r>
              <w:rPr>
                <w:sz w:val="20"/>
              </w:rPr>
              <w:t>Characteristics</w:t>
            </w:r>
            <w:r>
              <w:rPr>
                <w:spacing w:val="-6"/>
                <w:sz w:val="20"/>
              </w:rPr>
              <w:t> </w:t>
            </w:r>
            <w:r>
              <w:rPr>
                <w:sz w:val="20"/>
              </w:rPr>
              <w:t>-</w:t>
            </w:r>
            <w:r>
              <w:rPr>
                <w:spacing w:val="-7"/>
                <w:sz w:val="20"/>
              </w:rPr>
              <w:t> </w:t>
            </w:r>
            <w:r>
              <w:rPr>
                <w:spacing w:val="-2"/>
                <w:sz w:val="20"/>
              </w:rPr>
              <w:t>Professional</w:t>
            </w:r>
          </w:p>
        </w:tc>
      </w:tr>
      <w:tr>
        <w:trPr>
          <w:trHeight w:val="609" w:hRule="atLeast"/>
        </w:trPr>
        <w:tc>
          <w:tcPr>
            <w:tcW w:w="1080" w:type="dxa"/>
          </w:tcPr>
          <w:p>
            <w:pPr>
              <w:pStyle w:val="TableParagraph"/>
              <w:spacing w:line="260" w:lineRule="atLeast" w:before="51"/>
              <w:ind w:left="328" w:right="87" w:hanging="228"/>
              <w:rPr>
                <w:sz w:val="20"/>
              </w:rPr>
            </w:pPr>
            <w:r>
              <w:rPr>
                <w:spacing w:val="-2"/>
                <w:sz w:val="20"/>
              </w:rPr>
              <w:t>Academic </w:t>
            </w:r>
            <w:r>
              <w:rPr>
                <w:spacing w:val="-4"/>
                <w:sz w:val="20"/>
              </w:rPr>
              <w:t>Year</w:t>
            </w:r>
          </w:p>
        </w:tc>
        <w:tc>
          <w:tcPr>
            <w:tcW w:w="1260" w:type="dxa"/>
          </w:tcPr>
          <w:p>
            <w:pPr>
              <w:pStyle w:val="TableParagraph"/>
              <w:spacing w:line="260" w:lineRule="atLeast" w:before="51"/>
              <w:ind w:left="57" w:right="42" w:firstLine="127"/>
              <w:rPr>
                <w:sz w:val="20"/>
              </w:rPr>
            </w:pPr>
            <w:r>
              <w:rPr>
                <w:sz w:val="20"/>
              </w:rPr>
              <w:t>Total Full- Time</w:t>
            </w:r>
            <w:r>
              <w:rPr>
                <w:spacing w:val="-14"/>
                <w:sz w:val="20"/>
              </w:rPr>
              <w:t> </w:t>
            </w:r>
            <w:r>
              <w:rPr>
                <w:sz w:val="20"/>
              </w:rPr>
              <w:t>Faculty</w:t>
            </w:r>
          </w:p>
        </w:tc>
        <w:tc>
          <w:tcPr>
            <w:tcW w:w="1080" w:type="dxa"/>
          </w:tcPr>
          <w:p>
            <w:pPr>
              <w:pStyle w:val="TableParagraph"/>
              <w:spacing w:line="260" w:lineRule="atLeast" w:before="51"/>
              <w:ind w:left="100" w:right="91" w:firstLine="38"/>
              <w:rPr>
                <w:sz w:val="20"/>
              </w:rPr>
            </w:pPr>
            <w:r>
              <w:rPr>
                <w:spacing w:val="-2"/>
                <w:sz w:val="20"/>
              </w:rPr>
              <w:t>Licensed Architects</w:t>
            </w:r>
          </w:p>
        </w:tc>
        <w:tc>
          <w:tcPr>
            <w:tcW w:w="991" w:type="dxa"/>
          </w:tcPr>
          <w:p>
            <w:pPr>
              <w:pStyle w:val="TableParagraph"/>
              <w:spacing w:line="260" w:lineRule="atLeast" w:before="51"/>
              <w:ind w:left="172" w:right="109" w:hanging="51"/>
              <w:rPr>
                <w:sz w:val="20"/>
              </w:rPr>
            </w:pPr>
            <w:r>
              <w:rPr>
                <w:spacing w:val="-2"/>
                <w:sz w:val="20"/>
              </w:rPr>
              <w:t>Tenured Faculty</w:t>
            </w:r>
          </w:p>
        </w:tc>
        <w:tc>
          <w:tcPr>
            <w:tcW w:w="1080" w:type="dxa"/>
          </w:tcPr>
          <w:p>
            <w:pPr>
              <w:pStyle w:val="TableParagraph"/>
              <w:spacing w:line="260" w:lineRule="atLeast" w:before="51"/>
              <w:ind w:left="216" w:right="93" w:hanging="111"/>
              <w:rPr>
                <w:sz w:val="20"/>
              </w:rPr>
            </w:pPr>
            <w:r>
              <w:rPr>
                <w:spacing w:val="-2"/>
                <w:sz w:val="20"/>
              </w:rPr>
              <w:t>Promoted Faculty</w:t>
            </w:r>
          </w:p>
        </w:tc>
        <w:tc>
          <w:tcPr>
            <w:tcW w:w="2969" w:type="dxa"/>
          </w:tcPr>
          <w:p>
            <w:pPr>
              <w:pStyle w:val="TableParagraph"/>
              <w:rPr>
                <w:sz w:val="30"/>
              </w:rPr>
            </w:pPr>
          </w:p>
          <w:p>
            <w:pPr>
              <w:pStyle w:val="TableParagraph"/>
              <w:ind w:left="1071" w:right="1061"/>
              <w:jc w:val="center"/>
              <w:rPr>
                <w:sz w:val="20"/>
              </w:rPr>
            </w:pPr>
            <w:r>
              <w:rPr>
                <w:spacing w:val="-2"/>
                <w:sz w:val="20"/>
              </w:rPr>
              <w:t>Remarks</w:t>
            </w:r>
          </w:p>
        </w:tc>
      </w:tr>
      <w:tr>
        <w:trPr>
          <w:trHeight w:val="301" w:hRule="atLeast"/>
        </w:trPr>
        <w:tc>
          <w:tcPr>
            <w:tcW w:w="1080" w:type="dxa"/>
          </w:tcPr>
          <w:p>
            <w:pPr>
              <w:pStyle w:val="TableParagraph"/>
              <w:spacing w:before="21"/>
              <w:ind w:left="11"/>
              <w:rPr>
                <w:sz w:val="20"/>
              </w:rPr>
            </w:pPr>
            <w:r>
              <w:rPr>
                <w:w w:val="95"/>
                <w:sz w:val="20"/>
              </w:rPr>
              <w:t>2008-</w:t>
            </w:r>
            <w:r>
              <w:rPr>
                <w:spacing w:val="-4"/>
                <w:sz w:val="20"/>
              </w:rPr>
              <w:t>2009</w:t>
            </w:r>
          </w:p>
        </w:tc>
        <w:tc>
          <w:tcPr>
            <w:tcW w:w="1260" w:type="dxa"/>
          </w:tcPr>
          <w:p>
            <w:pPr>
              <w:pStyle w:val="TableParagraph"/>
              <w:spacing w:before="21"/>
              <w:ind w:left="7"/>
              <w:jc w:val="center"/>
              <w:rPr>
                <w:sz w:val="20"/>
              </w:rPr>
            </w:pPr>
            <w:r>
              <w:rPr>
                <w:w w:val="99"/>
                <w:sz w:val="20"/>
              </w:rPr>
              <w:t>8</w:t>
            </w:r>
          </w:p>
        </w:tc>
        <w:tc>
          <w:tcPr>
            <w:tcW w:w="1080" w:type="dxa"/>
          </w:tcPr>
          <w:p>
            <w:pPr>
              <w:pStyle w:val="TableParagraph"/>
              <w:spacing w:before="21"/>
              <w:ind w:left="9"/>
              <w:jc w:val="center"/>
              <w:rPr>
                <w:sz w:val="20"/>
              </w:rPr>
            </w:pPr>
            <w:r>
              <w:rPr>
                <w:w w:val="99"/>
                <w:sz w:val="20"/>
              </w:rPr>
              <w:t>7</w:t>
            </w:r>
          </w:p>
        </w:tc>
        <w:tc>
          <w:tcPr>
            <w:tcW w:w="991" w:type="dxa"/>
          </w:tcPr>
          <w:p>
            <w:pPr>
              <w:pStyle w:val="TableParagraph"/>
              <w:spacing w:before="21"/>
              <w:ind w:left="7"/>
              <w:jc w:val="center"/>
              <w:rPr>
                <w:sz w:val="20"/>
              </w:rPr>
            </w:pPr>
            <w:r>
              <w:rPr>
                <w:w w:val="99"/>
                <w:sz w:val="20"/>
              </w:rPr>
              <w:t>3</w:t>
            </w:r>
          </w:p>
        </w:tc>
        <w:tc>
          <w:tcPr>
            <w:tcW w:w="1080" w:type="dxa"/>
          </w:tcPr>
          <w:p>
            <w:pPr>
              <w:pStyle w:val="TableParagraph"/>
              <w:spacing w:before="21"/>
              <w:ind w:left="10"/>
              <w:jc w:val="center"/>
              <w:rPr>
                <w:sz w:val="20"/>
              </w:rPr>
            </w:pPr>
            <w:r>
              <w:rPr>
                <w:w w:val="99"/>
                <w:sz w:val="20"/>
              </w:rPr>
              <w:t>0</w:t>
            </w:r>
          </w:p>
        </w:tc>
        <w:tc>
          <w:tcPr>
            <w:tcW w:w="2969" w:type="dxa"/>
          </w:tcPr>
          <w:p>
            <w:pPr>
              <w:pStyle w:val="TableParagraph"/>
              <w:rPr>
                <w:rFonts w:ascii="Times New Roman"/>
                <w:sz w:val="18"/>
              </w:rPr>
            </w:pPr>
          </w:p>
        </w:tc>
      </w:tr>
      <w:tr>
        <w:trPr>
          <w:trHeight w:val="302" w:hRule="atLeast"/>
        </w:trPr>
        <w:tc>
          <w:tcPr>
            <w:tcW w:w="1080" w:type="dxa"/>
          </w:tcPr>
          <w:p>
            <w:pPr>
              <w:pStyle w:val="TableParagraph"/>
              <w:spacing w:before="21"/>
              <w:ind w:left="11"/>
              <w:rPr>
                <w:sz w:val="20"/>
              </w:rPr>
            </w:pPr>
            <w:r>
              <w:rPr>
                <w:w w:val="95"/>
                <w:sz w:val="20"/>
              </w:rPr>
              <w:t>2009-</w:t>
            </w:r>
            <w:r>
              <w:rPr>
                <w:spacing w:val="-4"/>
                <w:sz w:val="20"/>
              </w:rPr>
              <w:t>2010</w:t>
            </w:r>
          </w:p>
        </w:tc>
        <w:tc>
          <w:tcPr>
            <w:tcW w:w="1260" w:type="dxa"/>
          </w:tcPr>
          <w:p>
            <w:pPr>
              <w:pStyle w:val="TableParagraph"/>
              <w:spacing w:before="21"/>
              <w:ind w:left="7"/>
              <w:jc w:val="center"/>
              <w:rPr>
                <w:sz w:val="20"/>
              </w:rPr>
            </w:pPr>
            <w:r>
              <w:rPr>
                <w:w w:val="99"/>
                <w:sz w:val="20"/>
              </w:rPr>
              <w:t>9</w:t>
            </w:r>
          </w:p>
        </w:tc>
        <w:tc>
          <w:tcPr>
            <w:tcW w:w="1080" w:type="dxa"/>
          </w:tcPr>
          <w:p>
            <w:pPr>
              <w:pStyle w:val="TableParagraph"/>
              <w:spacing w:before="21"/>
              <w:ind w:left="9"/>
              <w:jc w:val="center"/>
              <w:rPr>
                <w:sz w:val="20"/>
              </w:rPr>
            </w:pPr>
            <w:r>
              <w:rPr>
                <w:w w:val="99"/>
                <w:sz w:val="20"/>
              </w:rPr>
              <w:t>7</w:t>
            </w:r>
          </w:p>
        </w:tc>
        <w:tc>
          <w:tcPr>
            <w:tcW w:w="991" w:type="dxa"/>
          </w:tcPr>
          <w:p>
            <w:pPr>
              <w:pStyle w:val="TableParagraph"/>
              <w:spacing w:before="21"/>
              <w:ind w:left="7"/>
              <w:jc w:val="center"/>
              <w:rPr>
                <w:sz w:val="20"/>
              </w:rPr>
            </w:pPr>
            <w:r>
              <w:rPr>
                <w:w w:val="99"/>
                <w:sz w:val="20"/>
              </w:rPr>
              <w:t>3</w:t>
            </w:r>
          </w:p>
        </w:tc>
        <w:tc>
          <w:tcPr>
            <w:tcW w:w="1080" w:type="dxa"/>
          </w:tcPr>
          <w:p>
            <w:pPr>
              <w:pStyle w:val="TableParagraph"/>
              <w:spacing w:before="21"/>
              <w:ind w:left="10"/>
              <w:jc w:val="center"/>
              <w:rPr>
                <w:sz w:val="20"/>
              </w:rPr>
            </w:pPr>
            <w:r>
              <w:rPr>
                <w:w w:val="99"/>
                <w:sz w:val="20"/>
              </w:rPr>
              <w:t>0</w:t>
            </w:r>
          </w:p>
        </w:tc>
        <w:tc>
          <w:tcPr>
            <w:tcW w:w="2969" w:type="dxa"/>
          </w:tcPr>
          <w:p>
            <w:pPr>
              <w:pStyle w:val="TableParagraph"/>
              <w:rPr>
                <w:rFonts w:ascii="Times New Roman"/>
                <w:sz w:val="18"/>
              </w:rPr>
            </w:pPr>
          </w:p>
        </w:tc>
      </w:tr>
      <w:tr>
        <w:trPr>
          <w:trHeight w:val="302" w:hRule="atLeast"/>
        </w:trPr>
        <w:tc>
          <w:tcPr>
            <w:tcW w:w="1080" w:type="dxa"/>
          </w:tcPr>
          <w:p>
            <w:pPr>
              <w:pStyle w:val="TableParagraph"/>
              <w:spacing w:before="21"/>
              <w:ind w:left="11"/>
              <w:rPr>
                <w:sz w:val="20"/>
              </w:rPr>
            </w:pPr>
            <w:r>
              <w:rPr>
                <w:w w:val="95"/>
                <w:sz w:val="20"/>
              </w:rPr>
              <w:t>2010-</w:t>
            </w:r>
            <w:r>
              <w:rPr>
                <w:spacing w:val="-4"/>
                <w:sz w:val="20"/>
              </w:rPr>
              <w:t>2011</w:t>
            </w:r>
          </w:p>
        </w:tc>
        <w:tc>
          <w:tcPr>
            <w:tcW w:w="1260" w:type="dxa"/>
          </w:tcPr>
          <w:p>
            <w:pPr>
              <w:pStyle w:val="TableParagraph"/>
              <w:spacing w:before="21"/>
              <w:ind w:left="7"/>
              <w:jc w:val="center"/>
              <w:rPr>
                <w:sz w:val="20"/>
              </w:rPr>
            </w:pPr>
            <w:r>
              <w:rPr>
                <w:w w:val="99"/>
                <w:sz w:val="20"/>
              </w:rPr>
              <w:t>9</w:t>
            </w:r>
          </w:p>
        </w:tc>
        <w:tc>
          <w:tcPr>
            <w:tcW w:w="1080" w:type="dxa"/>
          </w:tcPr>
          <w:p>
            <w:pPr>
              <w:pStyle w:val="TableParagraph"/>
              <w:spacing w:before="21"/>
              <w:ind w:left="9"/>
              <w:jc w:val="center"/>
              <w:rPr>
                <w:sz w:val="20"/>
              </w:rPr>
            </w:pPr>
            <w:r>
              <w:rPr>
                <w:w w:val="99"/>
                <w:sz w:val="20"/>
              </w:rPr>
              <w:t>7</w:t>
            </w:r>
          </w:p>
        </w:tc>
        <w:tc>
          <w:tcPr>
            <w:tcW w:w="991" w:type="dxa"/>
          </w:tcPr>
          <w:p>
            <w:pPr>
              <w:pStyle w:val="TableParagraph"/>
              <w:spacing w:before="21"/>
              <w:ind w:left="7"/>
              <w:jc w:val="center"/>
              <w:rPr>
                <w:sz w:val="20"/>
              </w:rPr>
            </w:pPr>
            <w:r>
              <w:rPr>
                <w:w w:val="99"/>
                <w:sz w:val="20"/>
              </w:rPr>
              <w:t>3</w:t>
            </w:r>
          </w:p>
        </w:tc>
        <w:tc>
          <w:tcPr>
            <w:tcW w:w="1080" w:type="dxa"/>
          </w:tcPr>
          <w:p>
            <w:pPr>
              <w:pStyle w:val="TableParagraph"/>
              <w:spacing w:before="21"/>
              <w:ind w:left="10"/>
              <w:jc w:val="center"/>
              <w:rPr>
                <w:sz w:val="20"/>
              </w:rPr>
            </w:pPr>
            <w:r>
              <w:rPr>
                <w:w w:val="99"/>
                <w:sz w:val="20"/>
              </w:rPr>
              <w:t>0</w:t>
            </w:r>
          </w:p>
        </w:tc>
        <w:tc>
          <w:tcPr>
            <w:tcW w:w="2969" w:type="dxa"/>
          </w:tcPr>
          <w:p>
            <w:pPr>
              <w:pStyle w:val="TableParagraph"/>
              <w:rPr>
                <w:rFonts w:ascii="Times New Roman"/>
                <w:sz w:val="18"/>
              </w:rPr>
            </w:pPr>
          </w:p>
        </w:tc>
      </w:tr>
      <w:tr>
        <w:trPr>
          <w:trHeight w:val="301" w:hRule="atLeast"/>
        </w:trPr>
        <w:tc>
          <w:tcPr>
            <w:tcW w:w="1080" w:type="dxa"/>
          </w:tcPr>
          <w:p>
            <w:pPr>
              <w:pStyle w:val="TableParagraph"/>
              <w:spacing w:before="21"/>
              <w:ind w:left="11"/>
              <w:rPr>
                <w:sz w:val="20"/>
              </w:rPr>
            </w:pPr>
            <w:r>
              <w:rPr>
                <w:w w:val="95"/>
                <w:sz w:val="20"/>
              </w:rPr>
              <w:t>2011-</w:t>
            </w:r>
            <w:r>
              <w:rPr>
                <w:spacing w:val="-4"/>
                <w:sz w:val="20"/>
              </w:rPr>
              <w:t>2012</w:t>
            </w:r>
          </w:p>
        </w:tc>
        <w:tc>
          <w:tcPr>
            <w:tcW w:w="1260" w:type="dxa"/>
          </w:tcPr>
          <w:p>
            <w:pPr>
              <w:pStyle w:val="TableParagraph"/>
              <w:spacing w:before="21"/>
              <w:ind w:left="7"/>
              <w:jc w:val="center"/>
              <w:rPr>
                <w:sz w:val="20"/>
              </w:rPr>
            </w:pPr>
            <w:r>
              <w:rPr>
                <w:w w:val="99"/>
                <w:sz w:val="20"/>
              </w:rPr>
              <w:t>9</w:t>
            </w:r>
          </w:p>
        </w:tc>
        <w:tc>
          <w:tcPr>
            <w:tcW w:w="1080" w:type="dxa"/>
          </w:tcPr>
          <w:p>
            <w:pPr>
              <w:pStyle w:val="TableParagraph"/>
              <w:spacing w:before="21"/>
              <w:ind w:left="9"/>
              <w:jc w:val="center"/>
              <w:rPr>
                <w:sz w:val="20"/>
              </w:rPr>
            </w:pPr>
            <w:r>
              <w:rPr>
                <w:w w:val="99"/>
                <w:sz w:val="20"/>
              </w:rPr>
              <w:t>7</w:t>
            </w:r>
          </w:p>
        </w:tc>
        <w:tc>
          <w:tcPr>
            <w:tcW w:w="991" w:type="dxa"/>
          </w:tcPr>
          <w:p>
            <w:pPr>
              <w:pStyle w:val="TableParagraph"/>
              <w:spacing w:before="21"/>
              <w:ind w:left="7"/>
              <w:jc w:val="center"/>
              <w:rPr>
                <w:sz w:val="20"/>
              </w:rPr>
            </w:pPr>
            <w:r>
              <w:rPr>
                <w:w w:val="99"/>
                <w:sz w:val="20"/>
              </w:rPr>
              <w:t>3</w:t>
            </w:r>
          </w:p>
        </w:tc>
        <w:tc>
          <w:tcPr>
            <w:tcW w:w="1080" w:type="dxa"/>
          </w:tcPr>
          <w:p>
            <w:pPr>
              <w:pStyle w:val="TableParagraph"/>
              <w:spacing w:before="21"/>
              <w:ind w:left="10"/>
              <w:jc w:val="center"/>
              <w:rPr>
                <w:sz w:val="20"/>
              </w:rPr>
            </w:pPr>
            <w:r>
              <w:rPr>
                <w:w w:val="99"/>
                <w:sz w:val="20"/>
              </w:rPr>
              <w:t>0</w:t>
            </w:r>
          </w:p>
        </w:tc>
        <w:tc>
          <w:tcPr>
            <w:tcW w:w="2969" w:type="dxa"/>
          </w:tcPr>
          <w:p>
            <w:pPr>
              <w:pStyle w:val="TableParagraph"/>
              <w:rPr>
                <w:rFonts w:ascii="Times New Roman"/>
                <w:sz w:val="18"/>
              </w:rPr>
            </w:pPr>
          </w:p>
        </w:tc>
      </w:tr>
      <w:tr>
        <w:trPr>
          <w:trHeight w:val="302" w:hRule="atLeast"/>
        </w:trPr>
        <w:tc>
          <w:tcPr>
            <w:tcW w:w="1080" w:type="dxa"/>
          </w:tcPr>
          <w:p>
            <w:pPr>
              <w:pStyle w:val="TableParagraph"/>
              <w:spacing w:before="21"/>
              <w:ind w:left="11"/>
              <w:rPr>
                <w:sz w:val="20"/>
              </w:rPr>
            </w:pPr>
            <w:r>
              <w:rPr>
                <w:w w:val="95"/>
                <w:sz w:val="20"/>
              </w:rPr>
              <w:t>2012-</w:t>
            </w:r>
            <w:r>
              <w:rPr>
                <w:spacing w:val="-4"/>
                <w:sz w:val="20"/>
              </w:rPr>
              <w:t>2013</w:t>
            </w:r>
          </w:p>
        </w:tc>
        <w:tc>
          <w:tcPr>
            <w:tcW w:w="1260" w:type="dxa"/>
          </w:tcPr>
          <w:p>
            <w:pPr>
              <w:pStyle w:val="TableParagraph"/>
              <w:spacing w:before="21"/>
              <w:ind w:left="7"/>
              <w:jc w:val="center"/>
              <w:rPr>
                <w:sz w:val="20"/>
              </w:rPr>
            </w:pPr>
            <w:r>
              <w:rPr>
                <w:w w:val="99"/>
                <w:sz w:val="20"/>
              </w:rPr>
              <w:t>8</w:t>
            </w:r>
          </w:p>
        </w:tc>
        <w:tc>
          <w:tcPr>
            <w:tcW w:w="1080" w:type="dxa"/>
          </w:tcPr>
          <w:p>
            <w:pPr>
              <w:pStyle w:val="TableParagraph"/>
              <w:spacing w:before="21"/>
              <w:ind w:left="9"/>
              <w:jc w:val="center"/>
              <w:rPr>
                <w:sz w:val="20"/>
              </w:rPr>
            </w:pPr>
            <w:r>
              <w:rPr>
                <w:w w:val="99"/>
                <w:sz w:val="20"/>
              </w:rPr>
              <w:t>8</w:t>
            </w:r>
          </w:p>
        </w:tc>
        <w:tc>
          <w:tcPr>
            <w:tcW w:w="991" w:type="dxa"/>
          </w:tcPr>
          <w:p>
            <w:pPr>
              <w:pStyle w:val="TableParagraph"/>
              <w:spacing w:before="21"/>
              <w:ind w:left="7"/>
              <w:jc w:val="center"/>
              <w:rPr>
                <w:sz w:val="20"/>
              </w:rPr>
            </w:pPr>
            <w:r>
              <w:rPr>
                <w:w w:val="99"/>
                <w:sz w:val="20"/>
              </w:rPr>
              <w:t>3</w:t>
            </w:r>
          </w:p>
        </w:tc>
        <w:tc>
          <w:tcPr>
            <w:tcW w:w="1080" w:type="dxa"/>
          </w:tcPr>
          <w:p>
            <w:pPr>
              <w:pStyle w:val="TableParagraph"/>
              <w:spacing w:before="21"/>
              <w:ind w:left="10"/>
              <w:jc w:val="center"/>
              <w:rPr>
                <w:sz w:val="20"/>
              </w:rPr>
            </w:pPr>
            <w:r>
              <w:rPr>
                <w:w w:val="99"/>
                <w:sz w:val="20"/>
              </w:rPr>
              <w:t>0</w:t>
            </w:r>
          </w:p>
        </w:tc>
        <w:tc>
          <w:tcPr>
            <w:tcW w:w="2969" w:type="dxa"/>
          </w:tcPr>
          <w:p>
            <w:pPr>
              <w:pStyle w:val="TableParagraph"/>
              <w:rPr>
                <w:rFonts w:ascii="Times New Roman"/>
                <w:sz w:val="18"/>
              </w:rPr>
            </w:pPr>
          </w:p>
        </w:tc>
      </w:tr>
      <w:tr>
        <w:trPr>
          <w:trHeight w:val="311" w:hRule="atLeast"/>
        </w:trPr>
        <w:tc>
          <w:tcPr>
            <w:tcW w:w="1080" w:type="dxa"/>
          </w:tcPr>
          <w:p>
            <w:pPr>
              <w:pStyle w:val="TableParagraph"/>
              <w:spacing w:before="30"/>
              <w:ind w:left="11"/>
              <w:rPr>
                <w:sz w:val="20"/>
              </w:rPr>
            </w:pPr>
            <w:r>
              <w:rPr>
                <w:w w:val="95"/>
                <w:sz w:val="20"/>
              </w:rPr>
              <w:t>2013-</w:t>
            </w:r>
            <w:r>
              <w:rPr>
                <w:spacing w:val="-4"/>
                <w:sz w:val="20"/>
              </w:rPr>
              <w:t>2014</w:t>
            </w:r>
          </w:p>
        </w:tc>
        <w:tc>
          <w:tcPr>
            <w:tcW w:w="1260" w:type="dxa"/>
          </w:tcPr>
          <w:p>
            <w:pPr>
              <w:pStyle w:val="TableParagraph"/>
              <w:spacing w:before="30"/>
              <w:ind w:left="7"/>
              <w:jc w:val="center"/>
              <w:rPr>
                <w:sz w:val="20"/>
              </w:rPr>
            </w:pPr>
            <w:r>
              <w:rPr>
                <w:w w:val="99"/>
                <w:sz w:val="20"/>
              </w:rPr>
              <w:t>8</w:t>
            </w:r>
          </w:p>
        </w:tc>
        <w:tc>
          <w:tcPr>
            <w:tcW w:w="1080" w:type="dxa"/>
          </w:tcPr>
          <w:p>
            <w:pPr>
              <w:pStyle w:val="TableParagraph"/>
              <w:spacing w:before="30"/>
              <w:ind w:left="9"/>
              <w:jc w:val="center"/>
              <w:rPr>
                <w:sz w:val="20"/>
              </w:rPr>
            </w:pPr>
            <w:r>
              <w:rPr>
                <w:w w:val="99"/>
                <w:sz w:val="20"/>
              </w:rPr>
              <w:t>8</w:t>
            </w:r>
          </w:p>
        </w:tc>
        <w:tc>
          <w:tcPr>
            <w:tcW w:w="991" w:type="dxa"/>
          </w:tcPr>
          <w:p>
            <w:pPr>
              <w:pStyle w:val="TableParagraph"/>
              <w:spacing w:before="30"/>
              <w:ind w:left="7"/>
              <w:jc w:val="center"/>
              <w:rPr>
                <w:sz w:val="20"/>
              </w:rPr>
            </w:pPr>
            <w:r>
              <w:rPr>
                <w:w w:val="99"/>
                <w:sz w:val="20"/>
              </w:rPr>
              <w:t>3</w:t>
            </w:r>
          </w:p>
        </w:tc>
        <w:tc>
          <w:tcPr>
            <w:tcW w:w="1080" w:type="dxa"/>
          </w:tcPr>
          <w:p>
            <w:pPr>
              <w:pStyle w:val="TableParagraph"/>
              <w:spacing w:before="30"/>
              <w:ind w:left="10"/>
              <w:jc w:val="center"/>
              <w:rPr>
                <w:sz w:val="20"/>
              </w:rPr>
            </w:pPr>
            <w:r>
              <w:rPr>
                <w:w w:val="99"/>
                <w:sz w:val="20"/>
              </w:rPr>
              <w:t>1</w:t>
            </w:r>
          </w:p>
        </w:tc>
        <w:tc>
          <w:tcPr>
            <w:tcW w:w="2969" w:type="dxa"/>
          </w:tcPr>
          <w:p>
            <w:pPr>
              <w:pStyle w:val="TableParagraph"/>
              <w:spacing w:before="11"/>
              <w:ind w:left="12"/>
              <w:rPr>
                <w:sz w:val="20"/>
              </w:rPr>
            </w:pPr>
            <w:r>
              <w:rPr>
                <w:sz w:val="20"/>
              </w:rPr>
              <w:t>Sanchez</w:t>
            </w:r>
            <w:r>
              <w:rPr>
                <w:spacing w:val="-6"/>
                <w:sz w:val="20"/>
              </w:rPr>
              <w:t> </w:t>
            </w:r>
            <w:r>
              <w:rPr>
                <w:sz w:val="20"/>
              </w:rPr>
              <w:t>to</w:t>
            </w:r>
            <w:r>
              <w:rPr>
                <w:spacing w:val="-5"/>
                <w:sz w:val="20"/>
              </w:rPr>
              <w:t> </w:t>
            </w:r>
            <w:r>
              <w:rPr>
                <w:sz w:val="20"/>
              </w:rPr>
              <w:t>Full</w:t>
            </w:r>
            <w:r>
              <w:rPr>
                <w:spacing w:val="-4"/>
                <w:sz w:val="20"/>
              </w:rPr>
              <w:t> </w:t>
            </w:r>
            <w:r>
              <w:rPr>
                <w:spacing w:val="-2"/>
                <w:sz w:val="20"/>
              </w:rPr>
              <w:t>Professor</w:t>
            </w:r>
          </w:p>
        </w:tc>
      </w:tr>
      <w:tr>
        <w:trPr>
          <w:trHeight w:val="806" w:hRule="atLeast"/>
        </w:trPr>
        <w:tc>
          <w:tcPr>
            <w:tcW w:w="1080" w:type="dxa"/>
          </w:tcPr>
          <w:p>
            <w:pPr>
              <w:pStyle w:val="TableParagraph"/>
              <w:spacing w:before="1"/>
              <w:rPr>
                <w:sz w:val="24"/>
              </w:rPr>
            </w:pPr>
          </w:p>
          <w:p>
            <w:pPr>
              <w:pStyle w:val="TableParagraph"/>
              <w:spacing w:before="1"/>
              <w:ind w:left="11"/>
              <w:rPr>
                <w:sz w:val="20"/>
              </w:rPr>
            </w:pPr>
            <w:r>
              <w:rPr>
                <w:w w:val="95"/>
                <w:sz w:val="20"/>
              </w:rPr>
              <w:t>2014-</w:t>
            </w:r>
            <w:r>
              <w:rPr>
                <w:spacing w:val="-4"/>
                <w:sz w:val="20"/>
              </w:rPr>
              <w:t>2015</w:t>
            </w:r>
          </w:p>
        </w:tc>
        <w:tc>
          <w:tcPr>
            <w:tcW w:w="1260" w:type="dxa"/>
          </w:tcPr>
          <w:p>
            <w:pPr>
              <w:pStyle w:val="TableParagraph"/>
              <w:spacing w:before="1"/>
              <w:rPr>
                <w:sz w:val="24"/>
              </w:rPr>
            </w:pPr>
          </w:p>
          <w:p>
            <w:pPr>
              <w:pStyle w:val="TableParagraph"/>
              <w:spacing w:before="1"/>
              <w:ind w:left="7"/>
              <w:jc w:val="center"/>
              <w:rPr>
                <w:sz w:val="20"/>
              </w:rPr>
            </w:pPr>
            <w:r>
              <w:rPr>
                <w:w w:val="99"/>
                <w:sz w:val="20"/>
              </w:rPr>
              <w:t>7</w:t>
            </w:r>
          </w:p>
        </w:tc>
        <w:tc>
          <w:tcPr>
            <w:tcW w:w="1080" w:type="dxa"/>
          </w:tcPr>
          <w:p>
            <w:pPr>
              <w:pStyle w:val="TableParagraph"/>
              <w:spacing w:before="1"/>
              <w:rPr>
                <w:sz w:val="24"/>
              </w:rPr>
            </w:pPr>
          </w:p>
          <w:p>
            <w:pPr>
              <w:pStyle w:val="TableParagraph"/>
              <w:spacing w:before="1"/>
              <w:ind w:left="9"/>
              <w:jc w:val="center"/>
              <w:rPr>
                <w:sz w:val="20"/>
              </w:rPr>
            </w:pPr>
            <w:r>
              <w:rPr>
                <w:w w:val="99"/>
                <w:sz w:val="20"/>
              </w:rPr>
              <w:t>6</w:t>
            </w:r>
          </w:p>
        </w:tc>
        <w:tc>
          <w:tcPr>
            <w:tcW w:w="991" w:type="dxa"/>
          </w:tcPr>
          <w:p>
            <w:pPr>
              <w:pStyle w:val="TableParagraph"/>
              <w:spacing w:before="1"/>
              <w:rPr>
                <w:sz w:val="24"/>
              </w:rPr>
            </w:pPr>
          </w:p>
          <w:p>
            <w:pPr>
              <w:pStyle w:val="TableParagraph"/>
              <w:spacing w:before="1"/>
              <w:ind w:left="7"/>
              <w:jc w:val="center"/>
              <w:rPr>
                <w:sz w:val="20"/>
              </w:rPr>
            </w:pPr>
            <w:r>
              <w:rPr>
                <w:w w:val="99"/>
                <w:sz w:val="20"/>
              </w:rPr>
              <w:t>3</w:t>
            </w:r>
          </w:p>
        </w:tc>
        <w:tc>
          <w:tcPr>
            <w:tcW w:w="1080" w:type="dxa"/>
          </w:tcPr>
          <w:p>
            <w:pPr>
              <w:pStyle w:val="TableParagraph"/>
              <w:spacing w:before="1"/>
              <w:rPr>
                <w:sz w:val="24"/>
              </w:rPr>
            </w:pPr>
          </w:p>
          <w:p>
            <w:pPr>
              <w:pStyle w:val="TableParagraph"/>
              <w:spacing w:before="1"/>
              <w:ind w:left="427" w:right="422"/>
              <w:jc w:val="center"/>
              <w:rPr>
                <w:sz w:val="20"/>
              </w:rPr>
            </w:pPr>
            <w:r>
              <w:rPr>
                <w:spacing w:val="-5"/>
                <w:sz w:val="20"/>
              </w:rPr>
              <w:t>2*</w:t>
            </w:r>
          </w:p>
        </w:tc>
        <w:tc>
          <w:tcPr>
            <w:tcW w:w="2969" w:type="dxa"/>
          </w:tcPr>
          <w:p>
            <w:pPr>
              <w:pStyle w:val="TableParagraph"/>
              <w:spacing w:line="276" w:lineRule="auto" w:before="14"/>
              <w:ind w:left="12"/>
              <w:rPr>
                <w:sz w:val="20"/>
              </w:rPr>
            </w:pPr>
            <w:r>
              <w:rPr>
                <w:sz w:val="20"/>
              </w:rPr>
              <w:t>*Chance</w:t>
            </w:r>
            <w:r>
              <w:rPr>
                <w:spacing w:val="-9"/>
                <w:sz w:val="20"/>
              </w:rPr>
              <w:t> </w:t>
            </w:r>
            <w:r>
              <w:rPr>
                <w:sz w:val="20"/>
              </w:rPr>
              <w:t>to</w:t>
            </w:r>
            <w:r>
              <w:rPr>
                <w:spacing w:val="-9"/>
                <w:sz w:val="20"/>
              </w:rPr>
              <w:t> </w:t>
            </w:r>
            <w:r>
              <w:rPr>
                <w:sz w:val="20"/>
              </w:rPr>
              <w:t>Full</w:t>
            </w:r>
            <w:r>
              <w:rPr>
                <w:spacing w:val="-8"/>
                <w:sz w:val="20"/>
              </w:rPr>
              <w:t> </w:t>
            </w:r>
            <w:r>
              <w:rPr>
                <w:sz w:val="20"/>
              </w:rPr>
              <w:t>Professor</w:t>
            </w:r>
            <w:r>
              <w:rPr>
                <w:spacing w:val="-7"/>
                <w:sz w:val="20"/>
              </w:rPr>
              <w:t> </w:t>
            </w:r>
            <w:r>
              <w:rPr>
                <w:sz w:val="20"/>
              </w:rPr>
              <w:t>is</w:t>
            </w:r>
            <w:r>
              <w:rPr>
                <w:spacing w:val="-8"/>
                <w:sz w:val="20"/>
              </w:rPr>
              <w:t> </w:t>
            </w:r>
            <w:r>
              <w:rPr>
                <w:sz w:val="20"/>
              </w:rPr>
              <w:t>no longer with the program</w:t>
            </w:r>
          </w:p>
          <w:p>
            <w:pPr>
              <w:pStyle w:val="TableParagraph"/>
              <w:spacing w:line="229" w:lineRule="exact"/>
              <w:ind w:left="12"/>
              <w:rPr>
                <w:sz w:val="20"/>
              </w:rPr>
            </w:pPr>
            <w:r>
              <w:rPr>
                <w:sz w:val="20"/>
              </w:rPr>
              <w:t>Easter</w:t>
            </w:r>
            <w:r>
              <w:rPr>
                <w:spacing w:val="-9"/>
                <w:sz w:val="20"/>
              </w:rPr>
              <w:t> </w:t>
            </w:r>
            <w:r>
              <w:rPr>
                <w:spacing w:val="-2"/>
                <w:sz w:val="20"/>
              </w:rPr>
              <w:t>tenured</w:t>
            </w:r>
          </w:p>
        </w:tc>
      </w:tr>
    </w:tbl>
    <w:p>
      <w:pPr>
        <w:pStyle w:val="BodyText"/>
        <w:spacing w:before="3"/>
        <w:rPr>
          <w:sz w:val="31"/>
        </w:rPr>
      </w:pPr>
    </w:p>
    <w:p>
      <w:pPr>
        <w:spacing w:before="0"/>
        <w:ind w:left="280" w:right="0" w:firstLine="0"/>
        <w:jc w:val="left"/>
        <w:rPr>
          <w:b/>
          <w:sz w:val="20"/>
        </w:rPr>
      </w:pPr>
      <w:r>
        <w:rPr>
          <w:b/>
          <w:sz w:val="20"/>
        </w:rPr>
        <w:t>Overall</w:t>
      </w:r>
      <w:r>
        <w:rPr>
          <w:b/>
          <w:spacing w:val="-9"/>
          <w:sz w:val="20"/>
        </w:rPr>
        <w:t> </w:t>
      </w:r>
      <w:r>
        <w:rPr>
          <w:b/>
          <w:spacing w:val="-2"/>
          <w:sz w:val="20"/>
        </w:rPr>
        <w:t>University</w:t>
      </w:r>
    </w:p>
    <w:p>
      <w:pPr>
        <w:pStyle w:val="BodyText"/>
        <w:spacing w:before="10"/>
        <w:rPr>
          <w:b/>
          <w:sz w:val="13"/>
        </w:rPr>
      </w:pPr>
    </w:p>
    <w:tbl>
      <w:tblPr>
        <w:tblW w:w="0" w:type="auto"/>
        <w:jc w:val="left"/>
        <w:tblInd w:w="1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62"/>
        <w:gridCol w:w="808"/>
        <w:gridCol w:w="719"/>
        <w:gridCol w:w="810"/>
        <w:gridCol w:w="719"/>
        <w:gridCol w:w="808"/>
        <w:gridCol w:w="738"/>
        <w:gridCol w:w="791"/>
        <w:gridCol w:w="719"/>
        <w:gridCol w:w="808"/>
        <w:gridCol w:w="630"/>
        <w:gridCol w:w="808"/>
      </w:tblGrid>
      <w:tr>
        <w:trPr>
          <w:trHeight w:val="779" w:hRule="atLeast"/>
        </w:trPr>
        <w:tc>
          <w:tcPr>
            <w:tcW w:w="1262" w:type="dxa"/>
            <w:tcBorders>
              <w:bottom w:val="single" w:sz="4" w:space="0" w:color="A7A8A7"/>
              <w:right w:val="single" w:sz="4" w:space="0" w:color="000000"/>
            </w:tcBorders>
          </w:tcPr>
          <w:p>
            <w:pPr>
              <w:pStyle w:val="TableParagraph"/>
              <w:rPr>
                <w:b/>
                <w:sz w:val="26"/>
              </w:rPr>
            </w:pPr>
          </w:p>
          <w:p>
            <w:pPr>
              <w:pStyle w:val="TableParagraph"/>
              <w:spacing w:line="230" w:lineRule="atLeast"/>
              <w:ind w:left="417" w:hanging="228"/>
              <w:rPr>
                <w:sz w:val="20"/>
              </w:rPr>
            </w:pPr>
            <w:r>
              <w:rPr>
                <w:spacing w:val="-2"/>
                <w:sz w:val="20"/>
              </w:rPr>
              <w:t>Academic </w:t>
            </w:r>
            <w:r>
              <w:rPr>
                <w:spacing w:val="-4"/>
                <w:sz w:val="20"/>
              </w:rPr>
              <w:t>Year</w:t>
            </w:r>
          </w:p>
        </w:tc>
        <w:tc>
          <w:tcPr>
            <w:tcW w:w="808" w:type="dxa"/>
            <w:tcBorders>
              <w:left w:val="single" w:sz="4" w:space="0" w:color="000000"/>
              <w:bottom w:val="single" w:sz="4" w:space="0" w:color="A7A8A7"/>
            </w:tcBorders>
          </w:tcPr>
          <w:p>
            <w:pPr>
              <w:pStyle w:val="TableParagraph"/>
              <w:ind w:left="16"/>
              <w:jc w:val="center"/>
              <w:rPr>
                <w:b/>
                <w:sz w:val="16"/>
              </w:rPr>
            </w:pPr>
            <w:r>
              <w:rPr>
                <w:b/>
                <w:color w:val="FFFFFF"/>
                <w:spacing w:val="-2"/>
                <w:sz w:val="16"/>
              </w:rPr>
              <w:t>Total</w:t>
            </w:r>
          </w:p>
          <w:p>
            <w:pPr>
              <w:pStyle w:val="TableParagraph"/>
              <w:spacing w:before="11"/>
              <w:ind w:left="18"/>
              <w:jc w:val="center"/>
              <w:rPr>
                <w:b/>
                <w:sz w:val="16"/>
              </w:rPr>
            </w:pPr>
            <w:r>
              <w:rPr>
                <w:b/>
                <w:color w:val="FFFFFF"/>
                <w:spacing w:val="30"/>
                <w:sz w:val="16"/>
                <w:shd w:fill="000000" w:color="auto" w:val="clear"/>
              </w:rPr>
              <w:t>  </w:t>
            </w:r>
            <w:r>
              <w:rPr>
                <w:b/>
                <w:color w:val="FFFFFF"/>
                <w:spacing w:val="-4"/>
                <w:w w:val="95"/>
                <w:sz w:val="16"/>
                <w:shd w:fill="000000" w:color="auto" w:val="clear"/>
              </w:rPr>
              <w:t>Full-</w:t>
            </w:r>
            <w:r>
              <w:rPr>
                <w:b/>
                <w:color w:val="FFFFFF"/>
                <w:spacing w:val="40"/>
                <w:sz w:val="16"/>
                <w:shd w:fill="000000" w:color="auto" w:val="clear"/>
              </w:rPr>
              <w:t> </w:t>
            </w:r>
          </w:p>
          <w:p>
            <w:pPr>
              <w:pStyle w:val="TableParagraph"/>
              <w:spacing w:before="13"/>
              <w:ind w:left="18"/>
              <w:jc w:val="center"/>
              <w:rPr>
                <w:b/>
                <w:sz w:val="16"/>
              </w:rPr>
            </w:pPr>
            <w:r>
              <w:rPr>
                <w:b/>
                <w:color w:val="FFFFFF"/>
                <w:spacing w:val="61"/>
                <w:w w:val="150"/>
                <w:sz w:val="16"/>
                <w:shd w:fill="000000" w:color="auto" w:val="clear"/>
              </w:rPr>
              <w:t> </w:t>
            </w:r>
            <w:r>
              <w:rPr>
                <w:b/>
                <w:color w:val="FFFFFF"/>
                <w:spacing w:val="-4"/>
                <w:sz w:val="16"/>
                <w:shd w:fill="000000" w:color="auto" w:val="clear"/>
              </w:rPr>
              <w:t>Time</w:t>
            </w:r>
            <w:r>
              <w:rPr>
                <w:b/>
                <w:color w:val="FFFFFF"/>
                <w:spacing w:val="40"/>
                <w:sz w:val="16"/>
                <w:shd w:fill="000000" w:color="auto" w:val="clear"/>
              </w:rPr>
              <w:t> </w:t>
            </w:r>
          </w:p>
          <w:p>
            <w:pPr>
              <w:pStyle w:val="TableParagraph"/>
              <w:spacing w:line="173" w:lineRule="exact" w:before="10"/>
              <w:ind w:left="18"/>
              <w:jc w:val="center"/>
              <w:rPr>
                <w:b/>
                <w:sz w:val="16"/>
              </w:rPr>
            </w:pPr>
            <w:r>
              <w:rPr>
                <w:b/>
                <w:color w:val="FFFFFF"/>
                <w:spacing w:val="12"/>
                <w:sz w:val="16"/>
                <w:shd w:fill="000000" w:color="auto" w:val="clear"/>
              </w:rPr>
              <w:t> </w:t>
            </w:r>
            <w:r>
              <w:rPr>
                <w:b/>
                <w:color w:val="FFFFFF"/>
                <w:spacing w:val="-2"/>
                <w:w w:val="95"/>
                <w:sz w:val="16"/>
                <w:shd w:fill="000000" w:color="auto" w:val="clear"/>
              </w:rPr>
              <w:t>Faculty</w:t>
            </w:r>
            <w:r>
              <w:rPr>
                <w:b/>
                <w:color w:val="FFFFFF"/>
                <w:spacing w:val="40"/>
                <w:sz w:val="16"/>
                <w:shd w:fill="000000" w:color="auto" w:val="clear"/>
              </w:rPr>
              <w:t> </w:t>
            </w:r>
          </w:p>
        </w:tc>
        <w:tc>
          <w:tcPr>
            <w:tcW w:w="719" w:type="dxa"/>
            <w:tcBorders>
              <w:top w:val="nil"/>
              <w:left w:val="nil"/>
              <w:bottom w:val="single" w:sz="4" w:space="0" w:color="A7A8A7"/>
              <w:right w:val="nil"/>
            </w:tcBorders>
            <w:shd w:val="clear" w:color="auto" w:fill="000000"/>
          </w:tcPr>
          <w:p>
            <w:pPr>
              <w:pStyle w:val="TableParagraph"/>
              <w:rPr>
                <w:b/>
                <w:sz w:val="16"/>
              </w:rPr>
            </w:pPr>
          </w:p>
          <w:p>
            <w:pPr>
              <w:pStyle w:val="TableParagraph"/>
              <w:rPr>
                <w:b/>
                <w:sz w:val="16"/>
              </w:rPr>
            </w:pPr>
          </w:p>
          <w:p>
            <w:pPr>
              <w:pStyle w:val="TableParagraph"/>
              <w:spacing w:before="11"/>
              <w:rPr>
                <w:b/>
                <w:sz w:val="18"/>
              </w:rPr>
            </w:pPr>
          </w:p>
          <w:p>
            <w:pPr>
              <w:pStyle w:val="TableParagraph"/>
              <w:spacing w:line="173" w:lineRule="exact"/>
              <w:ind w:left="231"/>
              <w:rPr>
                <w:b/>
                <w:sz w:val="16"/>
              </w:rPr>
            </w:pPr>
            <w:r>
              <w:rPr>
                <w:b/>
                <w:color w:val="FFFFFF"/>
                <w:spacing w:val="-4"/>
                <w:sz w:val="16"/>
              </w:rPr>
              <w:t>Prof</w:t>
            </w:r>
          </w:p>
        </w:tc>
        <w:tc>
          <w:tcPr>
            <w:tcW w:w="810" w:type="dxa"/>
            <w:tcBorders>
              <w:top w:val="nil"/>
              <w:left w:val="nil"/>
              <w:bottom w:val="single" w:sz="4" w:space="0" w:color="A7A8A7"/>
              <w:right w:val="nil"/>
            </w:tcBorders>
            <w:shd w:val="clear" w:color="auto" w:fill="000000"/>
          </w:tcPr>
          <w:p>
            <w:pPr>
              <w:pStyle w:val="TableParagraph"/>
              <w:rPr>
                <w:b/>
                <w:sz w:val="16"/>
              </w:rPr>
            </w:pPr>
          </w:p>
          <w:p>
            <w:pPr>
              <w:pStyle w:val="TableParagraph"/>
              <w:rPr>
                <w:b/>
                <w:sz w:val="18"/>
              </w:rPr>
            </w:pPr>
          </w:p>
          <w:p>
            <w:pPr>
              <w:pStyle w:val="TableParagraph"/>
              <w:spacing w:before="1"/>
              <w:ind w:left="23"/>
              <w:jc w:val="center"/>
              <w:rPr>
                <w:b/>
                <w:sz w:val="16"/>
              </w:rPr>
            </w:pPr>
            <w:r>
              <w:rPr>
                <w:b/>
                <w:color w:val="FFFFFF"/>
                <w:w w:val="90"/>
                <w:sz w:val="16"/>
              </w:rPr>
              <w:t>#</w:t>
            </w:r>
          </w:p>
          <w:p>
            <w:pPr>
              <w:pStyle w:val="TableParagraph"/>
              <w:spacing w:line="173" w:lineRule="exact" w:before="10"/>
              <w:ind w:left="88" w:right="64"/>
              <w:jc w:val="center"/>
              <w:rPr>
                <w:b/>
                <w:sz w:val="16"/>
              </w:rPr>
            </w:pPr>
            <w:r>
              <w:rPr>
                <w:b/>
                <w:color w:val="FFFFFF"/>
                <w:spacing w:val="-2"/>
                <w:sz w:val="16"/>
              </w:rPr>
              <w:t>Tenured</w:t>
            </w:r>
          </w:p>
        </w:tc>
        <w:tc>
          <w:tcPr>
            <w:tcW w:w="719" w:type="dxa"/>
            <w:tcBorders>
              <w:top w:val="nil"/>
              <w:left w:val="nil"/>
              <w:bottom w:val="single" w:sz="4" w:space="0" w:color="A7A8A7"/>
              <w:right w:val="nil"/>
            </w:tcBorders>
            <w:shd w:val="clear" w:color="auto" w:fill="000000"/>
          </w:tcPr>
          <w:p>
            <w:pPr>
              <w:pStyle w:val="TableParagraph"/>
              <w:rPr>
                <w:b/>
                <w:sz w:val="16"/>
              </w:rPr>
            </w:pPr>
          </w:p>
          <w:p>
            <w:pPr>
              <w:pStyle w:val="TableParagraph"/>
              <w:spacing w:before="11"/>
              <w:rPr>
                <w:b/>
                <w:sz w:val="16"/>
              </w:rPr>
            </w:pPr>
          </w:p>
          <w:p>
            <w:pPr>
              <w:pStyle w:val="TableParagraph"/>
              <w:spacing w:line="190" w:lineRule="atLeast"/>
              <w:ind w:left="209" w:right="133" w:hanging="51"/>
              <w:rPr>
                <w:b/>
                <w:sz w:val="16"/>
              </w:rPr>
            </w:pPr>
            <w:r>
              <w:rPr>
                <w:b/>
                <w:color w:val="FFFFFF"/>
                <w:spacing w:val="-2"/>
                <w:w w:val="80"/>
                <w:sz w:val="16"/>
              </w:rPr>
              <w:t>Assoc.</w:t>
            </w:r>
            <w:r>
              <w:rPr>
                <w:b/>
                <w:color w:val="FFFFFF"/>
                <w:spacing w:val="-2"/>
                <w:w w:val="95"/>
                <w:sz w:val="16"/>
              </w:rPr>
              <w:t> Prof.</w:t>
            </w:r>
          </w:p>
        </w:tc>
        <w:tc>
          <w:tcPr>
            <w:tcW w:w="808" w:type="dxa"/>
            <w:tcBorders>
              <w:top w:val="nil"/>
              <w:left w:val="nil"/>
              <w:bottom w:val="single" w:sz="4" w:space="0" w:color="A7A8A7"/>
              <w:right w:val="nil"/>
            </w:tcBorders>
            <w:shd w:val="clear" w:color="auto" w:fill="000000"/>
          </w:tcPr>
          <w:p>
            <w:pPr>
              <w:pStyle w:val="TableParagraph"/>
              <w:rPr>
                <w:b/>
                <w:sz w:val="16"/>
              </w:rPr>
            </w:pPr>
          </w:p>
          <w:p>
            <w:pPr>
              <w:pStyle w:val="TableParagraph"/>
              <w:rPr>
                <w:b/>
                <w:sz w:val="18"/>
              </w:rPr>
            </w:pPr>
          </w:p>
          <w:p>
            <w:pPr>
              <w:pStyle w:val="TableParagraph"/>
              <w:spacing w:before="1"/>
              <w:ind w:left="24"/>
              <w:jc w:val="center"/>
              <w:rPr>
                <w:b/>
                <w:sz w:val="16"/>
              </w:rPr>
            </w:pPr>
            <w:r>
              <w:rPr>
                <w:b/>
                <w:color w:val="FFFFFF"/>
                <w:w w:val="90"/>
                <w:sz w:val="16"/>
              </w:rPr>
              <w:t>#</w:t>
            </w:r>
          </w:p>
          <w:p>
            <w:pPr>
              <w:pStyle w:val="TableParagraph"/>
              <w:spacing w:line="173" w:lineRule="exact" w:before="10"/>
              <w:ind w:left="82" w:right="56"/>
              <w:jc w:val="center"/>
              <w:rPr>
                <w:b/>
                <w:sz w:val="16"/>
              </w:rPr>
            </w:pPr>
            <w:r>
              <w:rPr>
                <w:b/>
                <w:color w:val="FFFFFF"/>
                <w:spacing w:val="-2"/>
                <w:sz w:val="16"/>
              </w:rPr>
              <w:t>Tenured</w:t>
            </w:r>
          </w:p>
        </w:tc>
        <w:tc>
          <w:tcPr>
            <w:tcW w:w="738" w:type="dxa"/>
            <w:tcBorders>
              <w:top w:val="nil"/>
              <w:left w:val="nil"/>
              <w:bottom w:val="single" w:sz="4" w:space="0" w:color="A7A8A7"/>
              <w:right w:val="nil"/>
            </w:tcBorders>
            <w:shd w:val="clear" w:color="auto" w:fill="000000"/>
          </w:tcPr>
          <w:p>
            <w:pPr>
              <w:pStyle w:val="TableParagraph"/>
              <w:rPr>
                <w:b/>
                <w:sz w:val="16"/>
              </w:rPr>
            </w:pPr>
          </w:p>
          <w:p>
            <w:pPr>
              <w:pStyle w:val="TableParagraph"/>
              <w:spacing w:before="11"/>
              <w:rPr>
                <w:b/>
                <w:sz w:val="16"/>
              </w:rPr>
            </w:pPr>
          </w:p>
          <w:p>
            <w:pPr>
              <w:pStyle w:val="TableParagraph"/>
              <w:spacing w:line="190" w:lineRule="atLeast"/>
              <w:ind w:left="223" w:right="187" w:hanging="3"/>
              <w:rPr>
                <w:b/>
                <w:sz w:val="16"/>
              </w:rPr>
            </w:pPr>
            <w:r>
              <w:rPr>
                <w:b/>
                <w:color w:val="FFFFFF"/>
                <w:spacing w:val="-2"/>
                <w:w w:val="80"/>
                <w:sz w:val="16"/>
              </w:rPr>
              <w:t>Asst.</w:t>
            </w:r>
            <w:r>
              <w:rPr>
                <w:b/>
                <w:color w:val="FFFFFF"/>
                <w:sz w:val="16"/>
              </w:rPr>
              <w:t> </w:t>
            </w:r>
            <w:r>
              <w:rPr>
                <w:b/>
                <w:color w:val="FFFFFF"/>
                <w:spacing w:val="-4"/>
                <w:w w:val="90"/>
                <w:sz w:val="16"/>
              </w:rPr>
              <w:t>Prof.</w:t>
            </w:r>
          </w:p>
        </w:tc>
        <w:tc>
          <w:tcPr>
            <w:tcW w:w="791" w:type="dxa"/>
            <w:tcBorders>
              <w:top w:val="nil"/>
              <w:left w:val="nil"/>
              <w:bottom w:val="single" w:sz="4" w:space="0" w:color="A7A8A7"/>
              <w:right w:val="nil"/>
            </w:tcBorders>
            <w:shd w:val="clear" w:color="auto" w:fill="000000"/>
          </w:tcPr>
          <w:p>
            <w:pPr>
              <w:pStyle w:val="TableParagraph"/>
              <w:rPr>
                <w:b/>
                <w:sz w:val="16"/>
              </w:rPr>
            </w:pPr>
          </w:p>
          <w:p>
            <w:pPr>
              <w:pStyle w:val="TableParagraph"/>
              <w:rPr>
                <w:b/>
                <w:sz w:val="18"/>
              </w:rPr>
            </w:pPr>
          </w:p>
          <w:p>
            <w:pPr>
              <w:pStyle w:val="TableParagraph"/>
              <w:spacing w:before="1"/>
              <w:ind w:left="31"/>
              <w:jc w:val="center"/>
              <w:rPr>
                <w:b/>
                <w:sz w:val="16"/>
              </w:rPr>
            </w:pPr>
            <w:r>
              <w:rPr>
                <w:b/>
                <w:color w:val="FFFFFF"/>
                <w:w w:val="90"/>
                <w:sz w:val="16"/>
              </w:rPr>
              <w:t>#</w:t>
            </w:r>
          </w:p>
          <w:p>
            <w:pPr>
              <w:pStyle w:val="TableParagraph"/>
              <w:spacing w:line="173" w:lineRule="exact" w:before="10"/>
              <w:ind w:left="82" w:right="50"/>
              <w:jc w:val="center"/>
              <w:rPr>
                <w:b/>
                <w:sz w:val="16"/>
              </w:rPr>
            </w:pPr>
            <w:r>
              <w:rPr>
                <w:b/>
                <w:color w:val="FFFFFF"/>
                <w:spacing w:val="-2"/>
                <w:sz w:val="16"/>
              </w:rPr>
              <w:t>Tenured</w:t>
            </w:r>
          </w:p>
        </w:tc>
        <w:tc>
          <w:tcPr>
            <w:tcW w:w="719" w:type="dxa"/>
            <w:tcBorders>
              <w:top w:val="nil"/>
              <w:left w:val="nil"/>
              <w:bottom w:val="single" w:sz="4" w:space="0" w:color="A7A8A7"/>
              <w:right w:val="nil"/>
            </w:tcBorders>
            <w:shd w:val="clear" w:color="auto" w:fill="000000"/>
          </w:tcPr>
          <w:p>
            <w:pPr>
              <w:pStyle w:val="TableParagraph"/>
              <w:rPr>
                <w:b/>
                <w:sz w:val="16"/>
              </w:rPr>
            </w:pPr>
          </w:p>
          <w:p>
            <w:pPr>
              <w:pStyle w:val="TableParagraph"/>
              <w:spacing w:before="11"/>
              <w:rPr>
                <w:b/>
                <w:sz w:val="16"/>
              </w:rPr>
            </w:pPr>
          </w:p>
          <w:p>
            <w:pPr>
              <w:pStyle w:val="TableParagraph"/>
              <w:spacing w:line="190" w:lineRule="atLeast"/>
              <w:ind w:left="242" w:hanging="99"/>
              <w:rPr>
                <w:b/>
                <w:sz w:val="16"/>
              </w:rPr>
            </w:pPr>
            <w:r>
              <w:rPr>
                <w:b/>
                <w:color w:val="FFFFFF"/>
                <w:spacing w:val="-2"/>
                <w:w w:val="85"/>
                <w:sz w:val="16"/>
              </w:rPr>
              <w:t>Instruc</w:t>
            </w:r>
            <w:r>
              <w:rPr>
                <w:b/>
                <w:color w:val="FFFFFF"/>
                <w:spacing w:val="-2"/>
                <w:sz w:val="16"/>
              </w:rPr>
              <w:t> </w:t>
            </w:r>
            <w:r>
              <w:rPr>
                <w:b/>
                <w:color w:val="FFFFFF"/>
                <w:spacing w:val="-4"/>
                <w:sz w:val="16"/>
              </w:rPr>
              <w:t>tors</w:t>
            </w:r>
          </w:p>
        </w:tc>
        <w:tc>
          <w:tcPr>
            <w:tcW w:w="808" w:type="dxa"/>
            <w:tcBorders>
              <w:top w:val="nil"/>
              <w:left w:val="nil"/>
              <w:bottom w:val="single" w:sz="4" w:space="0" w:color="A7A8A7"/>
              <w:right w:val="nil"/>
            </w:tcBorders>
            <w:shd w:val="clear" w:color="auto" w:fill="000000"/>
          </w:tcPr>
          <w:p>
            <w:pPr>
              <w:pStyle w:val="TableParagraph"/>
              <w:rPr>
                <w:b/>
                <w:sz w:val="16"/>
              </w:rPr>
            </w:pPr>
          </w:p>
          <w:p>
            <w:pPr>
              <w:pStyle w:val="TableParagraph"/>
              <w:rPr>
                <w:b/>
                <w:sz w:val="18"/>
              </w:rPr>
            </w:pPr>
          </w:p>
          <w:p>
            <w:pPr>
              <w:pStyle w:val="TableParagraph"/>
              <w:spacing w:before="1"/>
              <w:ind w:left="32"/>
              <w:jc w:val="center"/>
              <w:rPr>
                <w:b/>
                <w:sz w:val="16"/>
              </w:rPr>
            </w:pPr>
            <w:r>
              <w:rPr>
                <w:b/>
                <w:color w:val="FFFFFF"/>
                <w:w w:val="90"/>
                <w:sz w:val="16"/>
              </w:rPr>
              <w:t>#</w:t>
            </w:r>
          </w:p>
          <w:p>
            <w:pPr>
              <w:pStyle w:val="TableParagraph"/>
              <w:spacing w:line="173" w:lineRule="exact" w:before="10"/>
              <w:ind w:left="88" w:right="54"/>
              <w:jc w:val="center"/>
              <w:rPr>
                <w:b/>
                <w:sz w:val="16"/>
              </w:rPr>
            </w:pPr>
            <w:r>
              <w:rPr>
                <w:b/>
                <w:color w:val="FFFFFF"/>
                <w:spacing w:val="-2"/>
                <w:sz w:val="16"/>
              </w:rPr>
              <w:t>Tenured</w:t>
            </w:r>
          </w:p>
        </w:tc>
        <w:tc>
          <w:tcPr>
            <w:tcW w:w="630" w:type="dxa"/>
            <w:tcBorders>
              <w:top w:val="nil"/>
              <w:left w:val="nil"/>
              <w:bottom w:val="single" w:sz="4" w:space="0" w:color="A7A8A7"/>
              <w:right w:val="nil"/>
            </w:tcBorders>
            <w:shd w:val="clear" w:color="auto" w:fill="000000"/>
          </w:tcPr>
          <w:p>
            <w:pPr>
              <w:pStyle w:val="TableParagraph"/>
              <w:rPr>
                <w:b/>
                <w:sz w:val="16"/>
              </w:rPr>
            </w:pPr>
          </w:p>
          <w:p>
            <w:pPr>
              <w:pStyle w:val="TableParagraph"/>
              <w:spacing w:before="11"/>
              <w:rPr>
                <w:b/>
                <w:sz w:val="16"/>
              </w:rPr>
            </w:pPr>
          </w:p>
          <w:p>
            <w:pPr>
              <w:pStyle w:val="TableParagraph"/>
              <w:spacing w:line="190" w:lineRule="atLeast"/>
              <w:ind w:left="232" w:right="80" w:hanging="106"/>
              <w:rPr>
                <w:b/>
                <w:sz w:val="16"/>
              </w:rPr>
            </w:pPr>
            <w:r>
              <w:rPr>
                <w:b/>
                <w:color w:val="FFFFFF"/>
                <w:spacing w:val="-2"/>
                <w:w w:val="85"/>
                <w:sz w:val="16"/>
              </w:rPr>
              <w:t>Lectur</w:t>
            </w:r>
            <w:r>
              <w:rPr>
                <w:b/>
                <w:color w:val="FFFFFF"/>
                <w:spacing w:val="-2"/>
                <w:w w:val="95"/>
                <w:sz w:val="16"/>
              </w:rPr>
              <w:t> </w:t>
            </w:r>
            <w:r>
              <w:rPr>
                <w:b/>
                <w:color w:val="FFFFFF"/>
                <w:spacing w:val="-4"/>
                <w:w w:val="95"/>
                <w:sz w:val="16"/>
              </w:rPr>
              <w:t>ers</w:t>
            </w:r>
          </w:p>
        </w:tc>
        <w:tc>
          <w:tcPr>
            <w:tcW w:w="808" w:type="dxa"/>
            <w:tcBorders>
              <w:top w:val="nil"/>
              <w:left w:val="nil"/>
              <w:bottom w:val="single" w:sz="4" w:space="0" w:color="A7A8A7"/>
              <w:right w:val="nil"/>
            </w:tcBorders>
            <w:shd w:val="clear" w:color="auto" w:fill="000000"/>
          </w:tcPr>
          <w:p>
            <w:pPr>
              <w:pStyle w:val="TableParagraph"/>
              <w:rPr>
                <w:b/>
                <w:sz w:val="16"/>
              </w:rPr>
            </w:pPr>
          </w:p>
          <w:p>
            <w:pPr>
              <w:pStyle w:val="TableParagraph"/>
              <w:rPr>
                <w:b/>
                <w:sz w:val="18"/>
              </w:rPr>
            </w:pPr>
          </w:p>
          <w:p>
            <w:pPr>
              <w:pStyle w:val="TableParagraph"/>
              <w:spacing w:before="1"/>
              <w:ind w:left="36"/>
              <w:jc w:val="center"/>
              <w:rPr>
                <w:b/>
                <w:sz w:val="16"/>
              </w:rPr>
            </w:pPr>
            <w:r>
              <w:rPr>
                <w:b/>
                <w:color w:val="FFFFFF"/>
                <w:w w:val="90"/>
                <w:sz w:val="16"/>
              </w:rPr>
              <w:t>#</w:t>
            </w:r>
          </w:p>
          <w:p>
            <w:pPr>
              <w:pStyle w:val="TableParagraph"/>
              <w:spacing w:line="173" w:lineRule="exact" w:before="10"/>
              <w:ind w:left="88" w:right="50"/>
              <w:jc w:val="center"/>
              <w:rPr>
                <w:b/>
                <w:sz w:val="16"/>
              </w:rPr>
            </w:pPr>
            <w:r>
              <w:rPr>
                <w:b/>
                <w:color w:val="FFFFFF"/>
                <w:spacing w:val="-2"/>
                <w:sz w:val="16"/>
              </w:rPr>
              <w:t>Tenured</w:t>
            </w:r>
          </w:p>
        </w:tc>
      </w:tr>
      <w:tr>
        <w:trPr>
          <w:trHeight w:val="302" w:hRule="atLeast"/>
        </w:trPr>
        <w:tc>
          <w:tcPr>
            <w:tcW w:w="1262" w:type="dxa"/>
            <w:tcBorders>
              <w:top w:val="single" w:sz="4" w:space="0" w:color="A7A8A7"/>
              <w:bottom w:val="single" w:sz="4" w:space="0" w:color="A7A8A7"/>
              <w:right w:val="single" w:sz="4" w:space="0" w:color="000000"/>
            </w:tcBorders>
          </w:tcPr>
          <w:p>
            <w:pPr>
              <w:pStyle w:val="TableParagraph"/>
              <w:spacing w:line="249" w:lineRule="exact" w:before="33"/>
              <w:ind w:left="107"/>
              <w:rPr>
                <w:b/>
                <w:sz w:val="22"/>
              </w:rPr>
            </w:pPr>
            <w:r>
              <w:rPr>
                <w:b/>
                <w:w w:val="90"/>
                <w:sz w:val="22"/>
              </w:rPr>
              <w:t>2009-</w:t>
            </w:r>
            <w:r>
              <w:rPr>
                <w:b/>
                <w:spacing w:val="-4"/>
                <w:w w:val="95"/>
                <w:sz w:val="22"/>
              </w:rPr>
              <w:t>2010</w:t>
            </w:r>
          </w:p>
        </w:tc>
        <w:tc>
          <w:tcPr>
            <w:tcW w:w="808" w:type="dxa"/>
            <w:tcBorders>
              <w:top w:val="single" w:sz="4" w:space="0" w:color="A7A8A7"/>
              <w:left w:val="single" w:sz="4" w:space="0" w:color="000000"/>
              <w:bottom w:val="single" w:sz="4" w:space="0" w:color="A7A8A7"/>
            </w:tcBorders>
          </w:tcPr>
          <w:p>
            <w:pPr>
              <w:pStyle w:val="TableParagraph"/>
              <w:spacing w:line="249" w:lineRule="exact" w:before="33"/>
              <w:ind w:right="87"/>
              <w:jc w:val="right"/>
              <w:rPr>
                <w:sz w:val="22"/>
              </w:rPr>
            </w:pPr>
            <w:r>
              <w:rPr>
                <w:spacing w:val="-5"/>
                <w:sz w:val="22"/>
              </w:rPr>
              <w:t>330</w:t>
            </w:r>
          </w:p>
        </w:tc>
        <w:tc>
          <w:tcPr>
            <w:tcW w:w="719" w:type="dxa"/>
            <w:tcBorders>
              <w:top w:val="single" w:sz="4" w:space="0" w:color="A7A8A7"/>
              <w:bottom w:val="single" w:sz="4" w:space="0" w:color="A7A8A7"/>
              <w:right w:val="single" w:sz="4" w:space="0" w:color="A7A8A7"/>
            </w:tcBorders>
          </w:tcPr>
          <w:p>
            <w:pPr>
              <w:pStyle w:val="TableParagraph"/>
              <w:spacing w:line="249" w:lineRule="exact" w:before="33"/>
              <w:ind w:right="81"/>
              <w:jc w:val="right"/>
              <w:rPr>
                <w:sz w:val="22"/>
              </w:rPr>
            </w:pPr>
            <w:r>
              <w:rPr>
                <w:spacing w:val="-5"/>
                <w:sz w:val="22"/>
              </w:rPr>
              <w:t>57</w:t>
            </w:r>
          </w:p>
        </w:tc>
        <w:tc>
          <w:tcPr>
            <w:tcW w:w="810" w:type="dxa"/>
            <w:tcBorders>
              <w:top w:val="single" w:sz="4" w:space="0" w:color="A7A8A7"/>
              <w:left w:val="single" w:sz="4" w:space="0" w:color="A7A8A7"/>
              <w:bottom w:val="single" w:sz="4" w:space="0" w:color="A7A8A7"/>
            </w:tcBorders>
          </w:tcPr>
          <w:p>
            <w:pPr>
              <w:pStyle w:val="TableParagraph"/>
              <w:spacing w:line="249" w:lineRule="exact" w:before="33"/>
              <w:ind w:right="82"/>
              <w:jc w:val="right"/>
              <w:rPr>
                <w:sz w:val="22"/>
              </w:rPr>
            </w:pPr>
            <w:r>
              <w:rPr>
                <w:spacing w:val="-5"/>
                <w:sz w:val="22"/>
              </w:rPr>
              <w:t>43</w:t>
            </w:r>
          </w:p>
        </w:tc>
        <w:tc>
          <w:tcPr>
            <w:tcW w:w="719" w:type="dxa"/>
            <w:tcBorders>
              <w:top w:val="single" w:sz="4" w:space="0" w:color="A7A8A7"/>
              <w:bottom w:val="single" w:sz="4" w:space="0" w:color="A7A8A7"/>
              <w:right w:val="single" w:sz="4" w:space="0" w:color="A7A8A7"/>
            </w:tcBorders>
          </w:tcPr>
          <w:p>
            <w:pPr>
              <w:pStyle w:val="TableParagraph"/>
              <w:spacing w:line="249" w:lineRule="exact" w:before="33"/>
              <w:ind w:right="81"/>
              <w:jc w:val="right"/>
              <w:rPr>
                <w:sz w:val="22"/>
              </w:rPr>
            </w:pPr>
            <w:r>
              <w:rPr>
                <w:spacing w:val="-5"/>
                <w:sz w:val="22"/>
              </w:rPr>
              <w:t>80</w:t>
            </w:r>
          </w:p>
        </w:tc>
        <w:tc>
          <w:tcPr>
            <w:tcW w:w="808" w:type="dxa"/>
            <w:tcBorders>
              <w:top w:val="single" w:sz="4" w:space="0" w:color="A7A8A7"/>
              <w:left w:val="single" w:sz="4" w:space="0" w:color="A7A8A7"/>
              <w:bottom w:val="single" w:sz="4" w:space="0" w:color="A7A8A7"/>
            </w:tcBorders>
          </w:tcPr>
          <w:p>
            <w:pPr>
              <w:pStyle w:val="TableParagraph"/>
              <w:spacing w:line="249" w:lineRule="exact" w:before="33"/>
              <w:ind w:right="81"/>
              <w:jc w:val="right"/>
              <w:rPr>
                <w:sz w:val="22"/>
              </w:rPr>
            </w:pPr>
            <w:r>
              <w:rPr>
                <w:spacing w:val="-5"/>
                <w:sz w:val="22"/>
              </w:rPr>
              <w:t>42</w:t>
            </w:r>
          </w:p>
        </w:tc>
        <w:tc>
          <w:tcPr>
            <w:tcW w:w="738" w:type="dxa"/>
            <w:tcBorders>
              <w:top w:val="single" w:sz="4" w:space="0" w:color="A7A8A7"/>
              <w:bottom w:val="single" w:sz="4" w:space="0" w:color="A7A8A7"/>
              <w:right w:val="single" w:sz="4" w:space="0" w:color="A7A8A7"/>
            </w:tcBorders>
          </w:tcPr>
          <w:p>
            <w:pPr>
              <w:pStyle w:val="TableParagraph"/>
              <w:spacing w:line="249" w:lineRule="exact" w:before="33"/>
              <w:ind w:right="81"/>
              <w:jc w:val="right"/>
              <w:rPr>
                <w:sz w:val="22"/>
              </w:rPr>
            </w:pPr>
            <w:r>
              <w:rPr>
                <w:spacing w:val="-5"/>
                <w:sz w:val="22"/>
              </w:rPr>
              <w:t>159</w:t>
            </w:r>
          </w:p>
        </w:tc>
        <w:tc>
          <w:tcPr>
            <w:tcW w:w="791" w:type="dxa"/>
            <w:tcBorders>
              <w:top w:val="single" w:sz="4" w:space="0" w:color="A7A8A7"/>
              <w:left w:val="single" w:sz="4" w:space="0" w:color="A7A8A7"/>
              <w:bottom w:val="single" w:sz="4" w:space="0" w:color="A7A8A7"/>
            </w:tcBorders>
          </w:tcPr>
          <w:p>
            <w:pPr>
              <w:pStyle w:val="TableParagraph"/>
              <w:spacing w:line="249" w:lineRule="exact" w:before="33"/>
              <w:ind w:right="78"/>
              <w:jc w:val="right"/>
              <w:rPr>
                <w:sz w:val="22"/>
              </w:rPr>
            </w:pPr>
            <w:r>
              <w:rPr>
                <w:spacing w:val="-5"/>
                <w:sz w:val="22"/>
              </w:rPr>
              <w:t>11</w:t>
            </w:r>
          </w:p>
        </w:tc>
        <w:tc>
          <w:tcPr>
            <w:tcW w:w="719" w:type="dxa"/>
            <w:tcBorders>
              <w:top w:val="single" w:sz="4" w:space="0" w:color="A7A8A7"/>
              <w:bottom w:val="single" w:sz="4" w:space="0" w:color="A7A8A7"/>
              <w:right w:val="single" w:sz="4" w:space="0" w:color="A7A8A7"/>
            </w:tcBorders>
          </w:tcPr>
          <w:p>
            <w:pPr>
              <w:pStyle w:val="TableParagraph"/>
              <w:spacing w:line="249" w:lineRule="exact" w:before="33"/>
              <w:ind w:right="77"/>
              <w:jc w:val="right"/>
              <w:rPr>
                <w:sz w:val="22"/>
              </w:rPr>
            </w:pPr>
            <w:r>
              <w:rPr>
                <w:spacing w:val="-5"/>
                <w:sz w:val="22"/>
              </w:rPr>
              <w:t>22</w:t>
            </w:r>
          </w:p>
        </w:tc>
        <w:tc>
          <w:tcPr>
            <w:tcW w:w="808" w:type="dxa"/>
            <w:tcBorders>
              <w:top w:val="single" w:sz="4" w:space="0" w:color="A7A8A7"/>
              <w:left w:val="single" w:sz="4" w:space="0" w:color="A7A8A7"/>
              <w:bottom w:val="single" w:sz="4" w:space="0" w:color="A7A8A7"/>
            </w:tcBorders>
          </w:tcPr>
          <w:p>
            <w:pPr>
              <w:pStyle w:val="TableParagraph"/>
              <w:spacing w:line="249" w:lineRule="exact" w:before="33"/>
              <w:ind w:right="78"/>
              <w:jc w:val="right"/>
              <w:rPr>
                <w:sz w:val="22"/>
              </w:rPr>
            </w:pPr>
            <w:r>
              <w:rPr>
                <w:w w:val="91"/>
                <w:sz w:val="22"/>
              </w:rPr>
              <w:t>0</w:t>
            </w:r>
          </w:p>
        </w:tc>
        <w:tc>
          <w:tcPr>
            <w:tcW w:w="630" w:type="dxa"/>
            <w:tcBorders>
              <w:top w:val="single" w:sz="4" w:space="0" w:color="A7A8A7"/>
              <w:bottom w:val="single" w:sz="4" w:space="0" w:color="A7A8A7"/>
              <w:right w:val="single" w:sz="4" w:space="0" w:color="A7A8A7"/>
            </w:tcBorders>
          </w:tcPr>
          <w:p>
            <w:pPr>
              <w:pStyle w:val="TableParagraph"/>
              <w:spacing w:line="249" w:lineRule="exact" w:before="33"/>
              <w:ind w:right="75"/>
              <w:jc w:val="right"/>
              <w:rPr>
                <w:sz w:val="22"/>
              </w:rPr>
            </w:pPr>
            <w:r>
              <w:rPr>
                <w:spacing w:val="-5"/>
                <w:sz w:val="22"/>
              </w:rPr>
              <w:t>12</w:t>
            </w:r>
          </w:p>
        </w:tc>
        <w:tc>
          <w:tcPr>
            <w:tcW w:w="808" w:type="dxa"/>
            <w:tcBorders>
              <w:top w:val="single" w:sz="4" w:space="0" w:color="A7A8A7"/>
              <w:left w:val="single" w:sz="4" w:space="0" w:color="A7A8A7"/>
              <w:bottom w:val="single" w:sz="4" w:space="0" w:color="A7A8A7"/>
            </w:tcBorders>
          </w:tcPr>
          <w:p>
            <w:pPr>
              <w:pStyle w:val="TableParagraph"/>
              <w:spacing w:line="249" w:lineRule="exact" w:before="33"/>
              <w:ind w:right="76"/>
              <w:jc w:val="right"/>
              <w:rPr>
                <w:sz w:val="22"/>
              </w:rPr>
            </w:pPr>
            <w:r>
              <w:rPr>
                <w:w w:val="91"/>
                <w:sz w:val="22"/>
              </w:rPr>
              <w:t>0</w:t>
            </w:r>
          </w:p>
        </w:tc>
      </w:tr>
      <w:tr>
        <w:trPr>
          <w:trHeight w:val="299" w:hRule="atLeast"/>
        </w:trPr>
        <w:tc>
          <w:tcPr>
            <w:tcW w:w="1262" w:type="dxa"/>
            <w:tcBorders>
              <w:top w:val="single" w:sz="4" w:space="0" w:color="A7A8A7"/>
              <w:bottom w:val="single" w:sz="4" w:space="0" w:color="A7A8A7"/>
              <w:right w:val="single" w:sz="4" w:space="0" w:color="000000"/>
            </w:tcBorders>
          </w:tcPr>
          <w:p>
            <w:pPr>
              <w:pStyle w:val="TableParagraph"/>
              <w:spacing w:line="249" w:lineRule="exact" w:before="31"/>
              <w:ind w:left="107"/>
              <w:rPr>
                <w:b/>
                <w:sz w:val="22"/>
              </w:rPr>
            </w:pPr>
            <w:r>
              <w:rPr>
                <w:b/>
                <w:w w:val="90"/>
                <w:sz w:val="22"/>
              </w:rPr>
              <w:t>2010-</w:t>
            </w:r>
            <w:r>
              <w:rPr>
                <w:b/>
                <w:spacing w:val="-4"/>
                <w:w w:val="95"/>
                <w:sz w:val="22"/>
              </w:rPr>
              <w:t>2011</w:t>
            </w:r>
          </w:p>
        </w:tc>
        <w:tc>
          <w:tcPr>
            <w:tcW w:w="808" w:type="dxa"/>
            <w:tcBorders>
              <w:top w:val="single" w:sz="4" w:space="0" w:color="A7A8A7"/>
              <w:left w:val="single" w:sz="4" w:space="0" w:color="000000"/>
              <w:bottom w:val="single" w:sz="4" w:space="0" w:color="A7A8A7"/>
            </w:tcBorders>
          </w:tcPr>
          <w:p>
            <w:pPr>
              <w:pStyle w:val="TableParagraph"/>
              <w:spacing w:line="249" w:lineRule="exact" w:before="31"/>
              <w:ind w:right="87"/>
              <w:jc w:val="right"/>
              <w:rPr>
                <w:sz w:val="22"/>
              </w:rPr>
            </w:pPr>
            <w:r>
              <w:rPr>
                <w:spacing w:val="-5"/>
                <w:sz w:val="22"/>
              </w:rPr>
              <w:t>352</w:t>
            </w:r>
          </w:p>
        </w:tc>
        <w:tc>
          <w:tcPr>
            <w:tcW w:w="719" w:type="dxa"/>
            <w:tcBorders>
              <w:top w:val="single" w:sz="4" w:space="0" w:color="A7A8A7"/>
              <w:bottom w:val="single" w:sz="4" w:space="0" w:color="A7A8A7"/>
              <w:right w:val="single" w:sz="4" w:space="0" w:color="A7A8A7"/>
            </w:tcBorders>
          </w:tcPr>
          <w:p>
            <w:pPr>
              <w:pStyle w:val="TableParagraph"/>
              <w:spacing w:line="249" w:lineRule="exact" w:before="31"/>
              <w:ind w:right="81"/>
              <w:jc w:val="right"/>
              <w:rPr>
                <w:sz w:val="22"/>
              </w:rPr>
            </w:pPr>
            <w:r>
              <w:rPr>
                <w:spacing w:val="-5"/>
                <w:sz w:val="22"/>
              </w:rPr>
              <w:t>75</w:t>
            </w:r>
          </w:p>
        </w:tc>
        <w:tc>
          <w:tcPr>
            <w:tcW w:w="810" w:type="dxa"/>
            <w:tcBorders>
              <w:top w:val="single" w:sz="4" w:space="0" w:color="A7A8A7"/>
              <w:left w:val="single" w:sz="4" w:space="0" w:color="A7A8A7"/>
              <w:bottom w:val="single" w:sz="4" w:space="0" w:color="A7A8A7"/>
            </w:tcBorders>
          </w:tcPr>
          <w:p>
            <w:pPr>
              <w:pStyle w:val="TableParagraph"/>
              <w:spacing w:line="249" w:lineRule="exact" w:before="31"/>
              <w:ind w:right="82"/>
              <w:jc w:val="right"/>
              <w:rPr>
                <w:sz w:val="22"/>
              </w:rPr>
            </w:pPr>
            <w:r>
              <w:rPr>
                <w:spacing w:val="-5"/>
                <w:sz w:val="22"/>
              </w:rPr>
              <w:t>38</w:t>
            </w:r>
          </w:p>
        </w:tc>
        <w:tc>
          <w:tcPr>
            <w:tcW w:w="719" w:type="dxa"/>
            <w:tcBorders>
              <w:top w:val="single" w:sz="4" w:space="0" w:color="A7A8A7"/>
              <w:bottom w:val="single" w:sz="4" w:space="0" w:color="A7A8A7"/>
              <w:right w:val="single" w:sz="4" w:space="0" w:color="A7A8A7"/>
            </w:tcBorders>
          </w:tcPr>
          <w:p>
            <w:pPr>
              <w:pStyle w:val="TableParagraph"/>
              <w:spacing w:line="249" w:lineRule="exact" w:before="31"/>
              <w:ind w:right="81"/>
              <w:jc w:val="right"/>
              <w:rPr>
                <w:sz w:val="22"/>
              </w:rPr>
            </w:pPr>
            <w:r>
              <w:rPr>
                <w:spacing w:val="-5"/>
                <w:sz w:val="22"/>
              </w:rPr>
              <w:t>82</w:t>
            </w:r>
          </w:p>
        </w:tc>
        <w:tc>
          <w:tcPr>
            <w:tcW w:w="808" w:type="dxa"/>
            <w:tcBorders>
              <w:top w:val="single" w:sz="4" w:space="0" w:color="A7A8A7"/>
              <w:left w:val="single" w:sz="4" w:space="0" w:color="A7A8A7"/>
              <w:bottom w:val="single" w:sz="4" w:space="0" w:color="A7A8A7"/>
            </w:tcBorders>
          </w:tcPr>
          <w:p>
            <w:pPr>
              <w:pStyle w:val="TableParagraph"/>
              <w:spacing w:line="249" w:lineRule="exact" w:before="31"/>
              <w:ind w:right="81"/>
              <w:jc w:val="right"/>
              <w:rPr>
                <w:sz w:val="22"/>
              </w:rPr>
            </w:pPr>
            <w:r>
              <w:rPr>
                <w:spacing w:val="-5"/>
                <w:sz w:val="22"/>
              </w:rPr>
              <w:t>36</w:t>
            </w:r>
          </w:p>
        </w:tc>
        <w:tc>
          <w:tcPr>
            <w:tcW w:w="738" w:type="dxa"/>
            <w:tcBorders>
              <w:top w:val="single" w:sz="4" w:space="0" w:color="A7A8A7"/>
              <w:bottom w:val="single" w:sz="4" w:space="0" w:color="A7A8A7"/>
              <w:right w:val="single" w:sz="4" w:space="0" w:color="A7A8A7"/>
            </w:tcBorders>
          </w:tcPr>
          <w:p>
            <w:pPr>
              <w:pStyle w:val="TableParagraph"/>
              <w:spacing w:line="249" w:lineRule="exact" w:before="31"/>
              <w:ind w:right="81"/>
              <w:jc w:val="right"/>
              <w:rPr>
                <w:sz w:val="22"/>
              </w:rPr>
            </w:pPr>
            <w:r>
              <w:rPr>
                <w:spacing w:val="-5"/>
                <w:sz w:val="22"/>
              </w:rPr>
              <w:t>157</w:t>
            </w:r>
          </w:p>
        </w:tc>
        <w:tc>
          <w:tcPr>
            <w:tcW w:w="791" w:type="dxa"/>
            <w:tcBorders>
              <w:top w:val="single" w:sz="4" w:space="0" w:color="A7A8A7"/>
              <w:left w:val="single" w:sz="4" w:space="0" w:color="A7A8A7"/>
              <w:bottom w:val="single" w:sz="4" w:space="0" w:color="A7A8A7"/>
            </w:tcBorders>
          </w:tcPr>
          <w:p>
            <w:pPr>
              <w:pStyle w:val="TableParagraph"/>
              <w:spacing w:line="249" w:lineRule="exact" w:before="31"/>
              <w:ind w:right="78"/>
              <w:jc w:val="right"/>
              <w:rPr>
                <w:sz w:val="22"/>
              </w:rPr>
            </w:pPr>
            <w:r>
              <w:rPr>
                <w:spacing w:val="-5"/>
                <w:sz w:val="22"/>
              </w:rPr>
              <w:t>12</w:t>
            </w:r>
          </w:p>
        </w:tc>
        <w:tc>
          <w:tcPr>
            <w:tcW w:w="719" w:type="dxa"/>
            <w:tcBorders>
              <w:top w:val="single" w:sz="4" w:space="0" w:color="A7A8A7"/>
              <w:bottom w:val="single" w:sz="4" w:space="0" w:color="A7A8A7"/>
              <w:right w:val="single" w:sz="4" w:space="0" w:color="A7A8A7"/>
            </w:tcBorders>
          </w:tcPr>
          <w:p>
            <w:pPr>
              <w:pStyle w:val="TableParagraph"/>
              <w:spacing w:line="249" w:lineRule="exact" w:before="31"/>
              <w:ind w:right="77"/>
              <w:jc w:val="right"/>
              <w:rPr>
                <w:sz w:val="22"/>
              </w:rPr>
            </w:pPr>
            <w:r>
              <w:rPr>
                <w:spacing w:val="-5"/>
                <w:sz w:val="22"/>
              </w:rPr>
              <w:t>17</w:t>
            </w:r>
          </w:p>
        </w:tc>
        <w:tc>
          <w:tcPr>
            <w:tcW w:w="808" w:type="dxa"/>
            <w:tcBorders>
              <w:top w:val="single" w:sz="4" w:space="0" w:color="A7A8A7"/>
              <w:left w:val="single" w:sz="4" w:space="0" w:color="A7A8A7"/>
              <w:bottom w:val="single" w:sz="4" w:space="0" w:color="A7A8A7"/>
            </w:tcBorders>
          </w:tcPr>
          <w:p>
            <w:pPr>
              <w:pStyle w:val="TableParagraph"/>
              <w:spacing w:line="249" w:lineRule="exact" w:before="31"/>
              <w:ind w:right="78"/>
              <w:jc w:val="right"/>
              <w:rPr>
                <w:sz w:val="22"/>
              </w:rPr>
            </w:pPr>
            <w:r>
              <w:rPr>
                <w:w w:val="91"/>
                <w:sz w:val="22"/>
              </w:rPr>
              <w:t>0</w:t>
            </w:r>
          </w:p>
        </w:tc>
        <w:tc>
          <w:tcPr>
            <w:tcW w:w="630" w:type="dxa"/>
            <w:tcBorders>
              <w:top w:val="single" w:sz="4" w:space="0" w:color="A7A8A7"/>
              <w:bottom w:val="single" w:sz="4" w:space="0" w:color="A7A8A7"/>
              <w:right w:val="single" w:sz="4" w:space="0" w:color="A7A8A7"/>
            </w:tcBorders>
          </w:tcPr>
          <w:p>
            <w:pPr>
              <w:pStyle w:val="TableParagraph"/>
              <w:spacing w:line="249" w:lineRule="exact" w:before="31"/>
              <w:ind w:right="75"/>
              <w:jc w:val="right"/>
              <w:rPr>
                <w:sz w:val="22"/>
              </w:rPr>
            </w:pPr>
            <w:r>
              <w:rPr>
                <w:spacing w:val="-5"/>
                <w:sz w:val="22"/>
              </w:rPr>
              <w:t>21</w:t>
            </w:r>
          </w:p>
        </w:tc>
        <w:tc>
          <w:tcPr>
            <w:tcW w:w="808" w:type="dxa"/>
            <w:tcBorders>
              <w:top w:val="single" w:sz="4" w:space="0" w:color="A7A8A7"/>
              <w:left w:val="single" w:sz="4" w:space="0" w:color="A7A8A7"/>
              <w:bottom w:val="single" w:sz="4" w:space="0" w:color="A7A8A7"/>
            </w:tcBorders>
          </w:tcPr>
          <w:p>
            <w:pPr>
              <w:pStyle w:val="TableParagraph"/>
              <w:spacing w:line="249" w:lineRule="exact" w:before="31"/>
              <w:ind w:right="76"/>
              <w:jc w:val="right"/>
              <w:rPr>
                <w:sz w:val="22"/>
              </w:rPr>
            </w:pPr>
            <w:r>
              <w:rPr>
                <w:w w:val="91"/>
                <w:sz w:val="22"/>
              </w:rPr>
              <w:t>0</w:t>
            </w:r>
          </w:p>
        </w:tc>
      </w:tr>
      <w:tr>
        <w:trPr>
          <w:trHeight w:val="299" w:hRule="atLeast"/>
        </w:trPr>
        <w:tc>
          <w:tcPr>
            <w:tcW w:w="1262" w:type="dxa"/>
            <w:tcBorders>
              <w:top w:val="single" w:sz="4" w:space="0" w:color="A7A8A7"/>
              <w:bottom w:val="single" w:sz="4" w:space="0" w:color="A7A8A7"/>
              <w:right w:val="single" w:sz="4" w:space="0" w:color="000000"/>
            </w:tcBorders>
          </w:tcPr>
          <w:p>
            <w:pPr>
              <w:pStyle w:val="TableParagraph"/>
              <w:spacing w:line="249" w:lineRule="exact" w:before="31"/>
              <w:ind w:left="107"/>
              <w:rPr>
                <w:b/>
                <w:sz w:val="22"/>
              </w:rPr>
            </w:pPr>
            <w:r>
              <w:rPr>
                <w:b/>
                <w:w w:val="90"/>
                <w:sz w:val="22"/>
              </w:rPr>
              <w:t>2011-</w:t>
            </w:r>
            <w:r>
              <w:rPr>
                <w:b/>
                <w:spacing w:val="-4"/>
                <w:w w:val="95"/>
                <w:sz w:val="22"/>
              </w:rPr>
              <w:t>2012</w:t>
            </w:r>
          </w:p>
        </w:tc>
        <w:tc>
          <w:tcPr>
            <w:tcW w:w="808" w:type="dxa"/>
            <w:tcBorders>
              <w:top w:val="single" w:sz="4" w:space="0" w:color="A7A8A7"/>
              <w:left w:val="single" w:sz="4" w:space="0" w:color="000000"/>
              <w:bottom w:val="single" w:sz="4" w:space="0" w:color="A7A8A7"/>
            </w:tcBorders>
          </w:tcPr>
          <w:p>
            <w:pPr>
              <w:pStyle w:val="TableParagraph"/>
              <w:spacing w:line="249" w:lineRule="exact" w:before="31"/>
              <w:ind w:right="87"/>
              <w:jc w:val="right"/>
              <w:rPr>
                <w:sz w:val="22"/>
              </w:rPr>
            </w:pPr>
            <w:r>
              <w:rPr>
                <w:spacing w:val="-5"/>
                <w:sz w:val="22"/>
              </w:rPr>
              <w:t>241</w:t>
            </w:r>
          </w:p>
        </w:tc>
        <w:tc>
          <w:tcPr>
            <w:tcW w:w="719" w:type="dxa"/>
            <w:tcBorders>
              <w:top w:val="single" w:sz="4" w:space="0" w:color="A7A8A7"/>
              <w:bottom w:val="single" w:sz="4" w:space="0" w:color="A7A8A7"/>
              <w:right w:val="single" w:sz="4" w:space="0" w:color="A7A8A7"/>
            </w:tcBorders>
          </w:tcPr>
          <w:p>
            <w:pPr>
              <w:pStyle w:val="TableParagraph"/>
              <w:spacing w:line="249" w:lineRule="exact" w:before="31"/>
              <w:ind w:right="81"/>
              <w:jc w:val="right"/>
              <w:rPr>
                <w:sz w:val="22"/>
              </w:rPr>
            </w:pPr>
            <w:r>
              <w:rPr>
                <w:spacing w:val="-5"/>
                <w:sz w:val="22"/>
              </w:rPr>
              <w:t>46</w:t>
            </w:r>
          </w:p>
        </w:tc>
        <w:tc>
          <w:tcPr>
            <w:tcW w:w="810" w:type="dxa"/>
            <w:tcBorders>
              <w:top w:val="single" w:sz="4" w:space="0" w:color="A7A8A7"/>
              <w:left w:val="single" w:sz="4" w:space="0" w:color="A7A8A7"/>
              <w:bottom w:val="single" w:sz="4" w:space="0" w:color="A7A8A7"/>
            </w:tcBorders>
          </w:tcPr>
          <w:p>
            <w:pPr>
              <w:pStyle w:val="TableParagraph"/>
              <w:spacing w:line="249" w:lineRule="exact" w:before="31"/>
              <w:ind w:right="82"/>
              <w:jc w:val="right"/>
              <w:rPr>
                <w:sz w:val="22"/>
              </w:rPr>
            </w:pPr>
            <w:r>
              <w:rPr>
                <w:spacing w:val="-5"/>
                <w:sz w:val="22"/>
              </w:rPr>
              <w:t>30</w:t>
            </w:r>
          </w:p>
        </w:tc>
        <w:tc>
          <w:tcPr>
            <w:tcW w:w="719" w:type="dxa"/>
            <w:tcBorders>
              <w:top w:val="single" w:sz="4" w:space="0" w:color="A7A8A7"/>
              <w:bottom w:val="single" w:sz="4" w:space="0" w:color="A7A8A7"/>
              <w:right w:val="single" w:sz="4" w:space="0" w:color="A7A8A7"/>
            </w:tcBorders>
          </w:tcPr>
          <w:p>
            <w:pPr>
              <w:pStyle w:val="TableParagraph"/>
              <w:spacing w:line="249" w:lineRule="exact" w:before="31"/>
              <w:ind w:right="81"/>
              <w:jc w:val="right"/>
              <w:rPr>
                <w:sz w:val="22"/>
              </w:rPr>
            </w:pPr>
            <w:r>
              <w:rPr>
                <w:spacing w:val="-5"/>
                <w:sz w:val="22"/>
              </w:rPr>
              <w:t>68</w:t>
            </w:r>
          </w:p>
        </w:tc>
        <w:tc>
          <w:tcPr>
            <w:tcW w:w="808" w:type="dxa"/>
            <w:tcBorders>
              <w:top w:val="single" w:sz="4" w:space="0" w:color="A7A8A7"/>
              <w:left w:val="single" w:sz="4" w:space="0" w:color="A7A8A7"/>
              <w:bottom w:val="single" w:sz="4" w:space="0" w:color="A7A8A7"/>
            </w:tcBorders>
          </w:tcPr>
          <w:p>
            <w:pPr>
              <w:pStyle w:val="TableParagraph"/>
              <w:spacing w:line="249" w:lineRule="exact" w:before="31"/>
              <w:ind w:right="81"/>
              <w:jc w:val="right"/>
              <w:rPr>
                <w:sz w:val="22"/>
              </w:rPr>
            </w:pPr>
            <w:r>
              <w:rPr>
                <w:spacing w:val="-5"/>
                <w:sz w:val="22"/>
              </w:rPr>
              <w:t>34</w:t>
            </w:r>
          </w:p>
        </w:tc>
        <w:tc>
          <w:tcPr>
            <w:tcW w:w="738" w:type="dxa"/>
            <w:tcBorders>
              <w:top w:val="single" w:sz="4" w:space="0" w:color="A7A8A7"/>
              <w:bottom w:val="single" w:sz="4" w:space="0" w:color="A7A8A7"/>
              <w:right w:val="single" w:sz="4" w:space="0" w:color="A7A8A7"/>
            </w:tcBorders>
          </w:tcPr>
          <w:p>
            <w:pPr>
              <w:pStyle w:val="TableParagraph"/>
              <w:spacing w:line="249" w:lineRule="exact" w:before="31"/>
              <w:ind w:right="81"/>
              <w:jc w:val="right"/>
              <w:rPr>
                <w:sz w:val="22"/>
              </w:rPr>
            </w:pPr>
            <w:r>
              <w:rPr>
                <w:spacing w:val="-5"/>
                <w:sz w:val="22"/>
              </w:rPr>
              <w:t>107</w:t>
            </w:r>
          </w:p>
        </w:tc>
        <w:tc>
          <w:tcPr>
            <w:tcW w:w="791" w:type="dxa"/>
            <w:tcBorders>
              <w:top w:val="single" w:sz="4" w:space="0" w:color="A7A8A7"/>
              <w:left w:val="single" w:sz="4" w:space="0" w:color="A7A8A7"/>
              <w:bottom w:val="single" w:sz="4" w:space="0" w:color="A7A8A7"/>
            </w:tcBorders>
          </w:tcPr>
          <w:p>
            <w:pPr>
              <w:pStyle w:val="TableParagraph"/>
              <w:spacing w:line="249" w:lineRule="exact" w:before="31"/>
              <w:ind w:right="78"/>
              <w:jc w:val="right"/>
              <w:rPr>
                <w:sz w:val="22"/>
              </w:rPr>
            </w:pPr>
            <w:r>
              <w:rPr>
                <w:spacing w:val="-5"/>
                <w:sz w:val="22"/>
              </w:rPr>
              <w:t>11</w:t>
            </w:r>
          </w:p>
        </w:tc>
        <w:tc>
          <w:tcPr>
            <w:tcW w:w="719" w:type="dxa"/>
            <w:tcBorders>
              <w:top w:val="single" w:sz="4" w:space="0" w:color="A7A8A7"/>
              <w:bottom w:val="single" w:sz="4" w:space="0" w:color="A7A8A7"/>
              <w:right w:val="single" w:sz="4" w:space="0" w:color="A7A8A7"/>
            </w:tcBorders>
          </w:tcPr>
          <w:p>
            <w:pPr>
              <w:pStyle w:val="TableParagraph"/>
              <w:spacing w:line="249" w:lineRule="exact" w:before="31"/>
              <w:ind w:right="77"/>
              <w:jc w:val="right"/>
              <w:rPr>
                <w:sz w:val="22"/>
              </w:rPr>
            </w:pPr>
            <w:r>
              <w:rPr>
                <w:spacing w:val="-5"/>
                <w:sz w:val="22"/>
              </w:rPr>
              <w:t>10</w:t>
            </w:r>
          </w:p>
        </w:tc>
        <w:tc>
          <w:tcPr>
            <w:tcW w:w="808" w:type="dxa"/>
            <w:tcBorders>
              <w:top w:val="single" w:sz="4" w:space="0" w:color="A7A8A7"/>
              <w:left w:val="single" w:sz="4" w:space="0" w:color="A7A8A7"/>
              <w:bottom w:val="single" w:sz="4" w:space="0" w:color="A7A8A7"/>
            </w:tcBorders>
          </w:tcPr>
          <w:p>
            <w:pPr>
              <w:pStyle w:val="TableParagraph"/>
              <w:spacing w:line="249" w:lineRule="exact" w:before="31"/>
              <w:ind w:right="78"/>
              <w:jc w:val="right"/>
              <w:rPr>
                <w:sz w:val="22"/>
              </w:rPr>
            </w:pPr>
            <w:r>
              <w:rPr>
                <w:w w:val="91"/>
                <w:sz w:val="22"/>
              </w:rPr>
              <w:t>0</w:t>
            </w:r>
          </w:p>
        </w:tc>
        <w:tc>
          <w:tcPr>
            <w:tcW w:w="630" w:type="dxa"/>
            <w:tcBorders>
              <w:top w:val="single" w:sz="4" w:space="0" w:color="A7A8A7"/>
              <w:bottom w:val="single" w:sz="4" w:space="0" w:color="A7A8A7"/>
              <w:right w:val="single" w:sz="4" w:space="0" w:color="A7A8A7"/>
            </w:tcBorders>
          </w:tcPr>
          <w:p>
            <w:pPr>
              <w:pStyle w:val="TableParagraph"/>
              <w:spacing w:line="249" w:lineRule="exact" w:before="31"/>
              <w:ind w:right="75"/>
              <w:jc w:val="right"/>
              <w:rPr>
                <w:sz w:val="22"/>
              </w:rPr>
            </w:pPr>
            <w:r>
              <w:rPr>
                <w:spacing w:val="-5"/>
                <w:sz w:val="22"/>
              </w:rPr>
              <w:t>10</w:t>
            </w:r>
          </w:p>
        </w:tc>
        <w:tc>
          <w:tcPr>
            <w:tcW w:w="808" w:type="dxa"/>
            <w:tcBorders>
              <w:top w:val="single" w:sz="4" w:space="0" w:color="A7A8A7"/>
              <w:left w:val="single" w:sz="4" w:space="0" w:color="A7A8A7"/>
              <w:bottom w:val="single" w:sz="4" w:space="0" w:color="A7A8A7"/>
            </w:tcBorders>
          </w:tcPr>
          <w:p>
            <w:pPr>
              <w:pStyle w:val="TableParagraph"/>
              <w:spacing w:line="249" w:lineRule="exact" w:before="31"/>
              <w:ind w:right="76"/>
              <w:jc w:val="right"/>
              <w:rPr>
                <w:sz w:val="22"/>
              </w:rPr>
            </w:pPr>
            <w:r>
              <w:rPr>
                <w:w w:val="91"/>
                <w:sz w:val="22"/>
              </w:rPr>
              <w:t>0</w:t>
            </w:r>
          </w:p>
        </w:tc>
      </w:tr>
      <w:tr>
        <w:trPr>
          <w:trHeight w:val="299" w:hRule="atLeast"/>
        </w:trPr>
        <w:tc>
          <w:tcPr>
            <w:tcW w:w="1262" w:type="dxa"/>
            <w:tcBorders>
              <w:top w:val="single" w:sz="4" w:space="0" w:color="A7A8A7"/>
              <w:bottom w:val="single" w:sz="4" w:space="0" w:color="A7A8A7"/>
              <w:right w:val="single" w:sz="4" w:space="0" w:color="000000"/>
            </w:tcBorders>
          </w:tcPr>
          <w:p>
            <w:pPr>
              <w:pStyle w:val="TableParagraph"/>
              <w:spacing w:line="249" w:lineRule="exact" w:before="31"/>
              <w:ind w:left="107"/>
              <w:rPr>
                <w:b/>
                <w:sz w:val="22"/>
              </w:rPr>
            </w:pPr>
            <w:r>
              <w:rPr>
                <w:b/>
                <w:w w:val="90"/>
                <w:sz w:val="22"/>
              </w:rPr>
              <w:t>2012-</w:t>
            </w:r>
            <w:r>
              <w:rPr>
                <w:b/>
                <w:spacing w:val="-4"/>
                <w:w w:val="95"/>
                <w:sz w:val="22"/>
              </w:rPr>
              <w:t>2013</w:t>
            </w:r>
          </w:p>
        </w:tc>
        <w:tc>
          <w:tcPr>
            <w:tcW w:w="808" w:type="dxa"/>
            <w:tcBorders>
              <w:top w:val="single" w:sz="4" w:space="0" w:color="A7A8A7"/>
              <w:left w:val="single" w:sz="4" w:space="0" w:color="000000"/>
              <w:bottom w:val="single" w:sz="4" w:space="0" w:color="A7A8A7"/>
            </w:tcBorders>
          </w:tcPr>
          <w:p>
            <w:pPr>
              <w:pStyle w:val="TableParagraph"/>
              <w:spacing w:line="249" w:lineRule="exact" w:before="31"/>
              <w:ind w:right="87"/>
              <w:jc w:val="right"/>
              <w:rPr>
                <w:sz w:val="22"/>
              </w:rPr>
            </w:pPr>
            <w:r>
              <w:rPr>
                <w:spacing w:val="-5"/>
                <w:sz w:val="22"/>
              </w:rPr>
              <w:t>251</w:t>
            </w:r>
          </w:p>
        </w:tc>
        <w:tc>
          <w:tcPr>
            <w:tcW w:w="719" w:type="dxa"/>
            <w:tcBorders>
              <w:top w:val="single" w:sz="4" w:space="0" w:color="A7A8A7"/>
              <w:bottom w:val="single" w:sz="4" w:space="0" w:color="A7A8A7"/>
              <w:right w:val="single" w:sz="4" w:space="0" w:color="A7A8A7"/>
            </w:tcBorders>
          </w:tcPr>
          <w:p>
            <w:pPr>
              <w:pStyle w:val="TableParagraph"/>
              <w:spacing w:line="249" w:lineRule="exact" w:before="31"/>
              <w:ind w:right="81"/>
              <w:jc w:val="right"/>
              <w:rPr>
                <w:sz w:val="22"/>
              </w:rPr>
            </w:pPr>
            <w:r>
              <w:rPr>
                <w:spacing w:val="-5"/>
                <w:sz w:val="22"/>
              </w:rPr>
              <w:t>46</w:t>
            </w:r>
          </w:p>
        </w:tc>
        <w:tc>
          <w:tcPr>
            <w:tcW w:w="810" w:type="dxa"/>
            <w:tcBorders>
              <w:top w:val="single" w:sz="4" w:space="0" w:color="A7A8A7"/>
              <w:left w:val="single" w:sz="4" w:space="0" w:color="A7A8A7"/>
              <w:bottom w:val="single" w:sz="4" w:space="0" w:color="A7A8A7"/>
            </w:tcBorders>
          </w:tcPr>
          <w:p>
            <w:pPr>
              <w:pStyle w:val="TableParagraph"/>
              <w:spacing w:line="249" w:lineRule="exact" w:before="31"/>
              <w:ind w:right="82"/>
              <w:jc w:val="right"/>
              <w:rPr>
                <w:sz w:val="22"/>
              </w:rPr>
            </w:pPr>
            <w:r>
              <w:rPr>
                <w:spacing w:val="-5"/>
                <w:sz w:val="22"/>
              </w:rPr>
              <w:t>34</w:t>
            </w:r>
          </w:p>
        </w:tc>
        <w:tc>
          <w:tcPr>
            <w:tcW w:w="719" w:type="dxa"/>
            <w:tcBorders>
              <w:top w:val="single" w:sz="4" w:space="0" w:color="A7A8A7"/>
              <w:bottom w:val="single" w:sz="4" w:space="0" w:color="A7A8A7"/>
              <w:right w:val="single" w:sz="4" w:space="0" w:color="A7A8A7"/>
            </w:tcBorders>
          </w:tcPr>
          <w:p>
            <w:pPr>
              <w:pStyle w:val="TableParagraph"/>
              <w:spacing w:line="249" w:lineRule="exact" w:before="31"/>
              <w:ind w:right="81"/>
              <w:jc w:val="right"/>
              <w:rPr>
                <w:sz w:val="22"/>
              </w:rPr>
            </w:pPr>
            <w:r>
              <w:rPr>
                <w:spacing w:val="-5"/>
                <w:sz w:val="22"/>
              </w:rPr>
              <w:t>68</w:t>
            </w:r>
          </w:p>
        </w:tc>
        <w:tc>
          <w:tcPr>
            <w:tcW w:w="808" w:type="dxa"/>
            <w:tcBorders>
              <w:top w:val="single" w:sz="4" w:space="0" w:color="A7A8A7"/>
              <w:left w:val="single" w:sz="4" w:space="0" w:color="A7A8A7"/>
              <w:bottom w:val="single" w:sz="4" w:space="0" w:color="A7A8A7"/>
            </w:tcBorders>
          </w:tcPr>
          <w:p>
            <w:pPr>
              <w:pStyle w:val="TableParagraph"/>
              <w:spacing w:line="249" w:lineRule="exact" w:before="31"/>
              <w:ind w:right="81"/>
              <w:jc w:val="right"/>
              <w:rPr>
                <w:sz w:val="22"/>
              </w:rPr>
            </w:pPr>
            <w:r>
              <w:rPr>
                <w:spacing w:val="-5"/>
                <w:sz w:val="22"/>
              </w:rPr>
              <w:t>34</w:t>
            </w:r>
          </w:p>
        </w:tc>
        <w:tc>
          <w:tcPr>
            <w:tcW w:w="738" w:type="dxa"/>
            <w:tcBorders>
              <w:top w:val="single" w:sz="4" w:space="0" w:color="A7A8A7"/>
              <w:bottom w:val="single" w:sz="4" w:space="0" w:color="A7A8A7"/>
              <w:right w:val="single" w:sz="4" w:space="0" w:color="A7A8A7"/>
            </w:tcBorders>
          </w:tcPr>
          <w:p>
            <w:pPr>
              <w:pStyle w:val="TableParagraph"/>
              <w:spacing w:line="249" w:lineRule="exact" w:before="31"/>
              <w:ind w:right="81"/>
              <w:jc w:val="right"/>
              <w:rPr>
                <w:sz w:val="22"/>
              </w:rPr>
            </w:pPr>
            <w:r>
              <w:rPr>
                <w:spacing w:val="-5"/>
                <w:sz w:val="22"/>
              </w:rPr>
              <w:t>116</w:t>
            </w:r>
          </w:p>
        </w:tc>
        <w:tc>
          <w:tcPr>
            <w:tcW w:w="791" w:type="dxa"/>
            <w:tcBorders>
              <w:top w:val="single" w:sz="4" w:space="0" w:color="A7A8A7"/>
              <w:left w:val="single" w:sz="4" w:space="0" w:color="A7A8A7"/>
              <w:bottom w:val="single" w:sz="4" w:space="0" w:color="A7A8A7"/>
            </w:tcBorders>
          </w:tcPr>
          <w:p>
            <w:pPr>
              <w:pStyle w:val="TableParagraph"/>
              <w:spacing w:line="249" w:lineRule="exact" w:before="31"/>
              <w:ind w:right="78"/>
              <w:jc w:val="right"/>
              <w:rPr>
                <w:sz w:val="22"/>
              </w:rPr>
            </w:pPr>
            <w:r>
              <w:rPr>
                <w:spacing w:val="-5"/>
                <w:sz w:val="22"/>
              </w:rPr>
              <w:t>12</w:t>
            </w:r>
          </w:p>
        </w:tc>
        <w:tc>
          <w:tcPr>
            <w:tcW w:w="719" w:type="dxa"/>
            <w:tcBorders>
              <w:top w:val="single" w:sz="4" w:space="0" w:color="A7A8A7"/>
              <w:bottom w:val="single" w:sz="4" w:space="0" w:color="A7A8A7"/>
              <w:right w:val="single" w:sz="4" w:space="0" w:color="A7A8A7"/>
            </w:tcBorders>
          </w:tcPr>
          <w:p>
            <w:pPr>
              <w:pStyle w:val="TableParagraph"/>
              <w:spacing w:line="249" w:lineRule="exact" w:before="31"/>
              <w:ind w:right="78"/>
              <w:jc w:val="right"/>
              <w:rPr>
                <w:sz w:val="22"/>
              </w:rPr>
            </w:pPr>
            <w:r>
              <w:rPr>
                <w:w w:val="91"/>
                <w:sz w:val="22"/>
              </w:rPr>
              <w:t>8</w:t>
            </w:r>
          </w:p>
        </w:tc>
        <w:tc>
          <w:tcPr>
            <w:tcW w:w="808" w:type="dxa"/>
            <w:tcBorders>
              <w:top w:val="single" w:sz="4" w:space="0" w:color="A7A8A7"/>
              <w:left w:val="single" w:sz="4" w:space="0" w:color="A7A8A7"/>
              <w:bottom w:val="single" w:sz="4" w:space="0" w:color="A7A8A7"/>
            </w:tcBorders>
          </w:tcPr>
          <w:p>
            <w:pPr>
              <w:pStyle w:val="TableParagraph"/>
              <w:spacing w:line="249" w:lineRule="exact" w:before="31"/>
              <w:ind w:right="78"/>
              <w:jc w:val="right"/>
              <w:rPr>
                <w:sz w:val="22"/>
              </w:rPr>
            </w:pPr>
            <w:r>
              <w:rPr>
                <w:w w:val="91"/>
                <w:sz w:val="22"/>
              </w:rPr>
              <w:t>0</w:t>
            </w:r>
          </w:p>
        </w:tc>
        <w:tc>
          <w:tcPr>
            <w:tcW w:w="630" w:type="dxa"/>
            <w:tcBorders>
              <w:top w:val="single" w:sz="4" w:space="0" w:color="A7A8A7"/>
              <w:bottom w:val="single" w:sz="4" w:space="0" w:color="A7A8A7"/>
              <w:right w:val="single" w:sz="4" w:space="0" w:color="A7A8A7"/>
            </w:tcBorders>
          </w:tcPr>
          <w:p>
            <w:pPr>
              <w:pStyle w:val="TableParagraph"/>
              <w:spacing w:line="249" w:lineRule="exact" w:before="31"/>
              <w:ind w:right="75"/>
              <w:jc w:val="right"/>
              <w:rPr>
                <w:sz w:val="22"/>
              </w:rPr>
            </w:pPr>
            <w:r>
              <w:rPr>
                <w:spacing w:val="-5"/>
                <w:sz w:val="22"/>
              </w:rPr>
              <w:t>13</w:t>
            </w:r>
          </w:p>
        </w:tc>
        <w:tc>
          <w:tcPr>
            <w:tcW w:w="808" w:type="dxa"/>
            <w:tcBorders>
              <w:top w:val="single" w:sz="4" w:space="0" w:color="A7A8A7"/>
              <w:left w:val="single" w:sz="4" w:space="0" w:color="A7A8A7"/>
              <w:bottom w:val="single" w:sz="4" w:space="0" w:color="A7A8A7"/>
            </w:tcBorders>
          </w:tcPr>
          <w:p>
            <w:pPr>
              <w:pStyle w:val="TableParagraph"/>
              <w:spacing w:line="249" w:lineRule="exact" w:before="31"/>
              <w:ind w:right="76"/>
              <w:jc w:val="right"/>
              <w:rPr>
                <w:sz w:val="22"/>
              </w:rPr>
            </w:pPr>
            <w:r>
              <w:rPr>
                <w:w w:val="91"/>
                <w:sz w:val="22"/>
              </w:rPr>
              <w:t>0</w:t>
            </w:r>
          </w:p>
        </w:tc>
      </w:tr>
      <w:tr>
        <w:trPr>
          <w:trHeight w:val="316" w:hRule="atLeast"/>
        </w:trPr>
        <w:tc>
          <w:tcPr>
            <w:tcW w:w="1262" w:type="dxa"/>
            <w:tcBorders>
              <w:top w:val="single" w:sz="4" w:space="0" w:color="A7A8A7"/>
              <w:bottom w:val="nil"/>
              <w:right w:val="single" w:sz="4" w:space="0" w:color="000000"/>
            </w:tcBorders>
          </w:tcPr>
          <w:p>
            <w:pPr>
              <w:pStyle w:val="TableParagraph"/>
              <w:spacing w:line="248" w:lineRule="exact" w:before="48"/>
              <w:ind w:left="107"/>
              <w:rPr>
                <w:b/>
                <w:sz w:val="22"/>
              </w:rPr>
            </w:pPr>
            <w:r>
              <w:rPr>
                <w:b/>
                <w:w w:val="90"/>
                <w:sz w:val="22"/>
              </w:rPr>
              <w:t>2013-</w:t>
            </w:r>
            <w:r>
              <w:rPr>
                <w:b/>
                <w:spacing w:val="-4"/>
                <w:w w:val="95"/>
                <w:sz w:val="22"/>
              </w:rPr>
              <w:t>2014</w:t>
            </w:r>
          </w:p>
        </w:tc>
        <w:tc>
          <w:tcPr>
            <w:tcW w:w="808" w:type="dxa"/>
            <w:tcBorders>
              <w:top w:val="single" w:sz="4" w:space="0" w:color="A7A8A7"/>
              <w:left w:val="single" w:sz="4" w:space="0" w:color="000000"/>
              <w:bottom w:val="nil"/>
            </w:tcBorders>
          </w:tcPr>
          <w:p>
            <w:pPr>
              <w:pStyle w:val="TableParagraph"/>
              <w:spacing w:line="248" w:lineRule="exact" w:before="48"/>
              <w:ind w:right="87"/>
              <w:jc w:val="right"/>
              <w:rPr>
                <w:sz w:val="22"/>
              </w:rPr>
            </w:pPr>
            <w:r>
              <w:rPr>
                <w:spacing w:val="-5"/>
                <w:sz w:val="22"/>
              </w:rPr>
              <w:t>277</w:t>
            </w:r>
          </w:p>
        </w:tc>
        <w:tc>
          <w:tcPr>
            <w:tcW w:w="719" w:type="dxa"/>
            <w:tcBorders>
              <w:top w:val="single" w:sz="4" w:space="0" w:color="A7A8A7"/>
              <w:right w:val="single" w:sz="4" w:space="0" w:color="A7A8A7"/>
            </w:tcBorders>
          </w:tcPr>
          <w:p>
            <w:pPr>
              <w:pStyle w:val="TableParagraph"/>
              <w:spacing w:line="248" w:lineRule="exact" w:before="48"/>
              <w:ind w:right="81"/>
              <w:jc w:val="right"/>
              <w:rPr>
                <w:sz w:val="22"/>
              </w:rPr>
            </w:pPr>
            <w:r>
              <w:rPr>
                <w:spacing w:val="-5"/>
                <w:sz w:val="22"/>
              </w:rPr>
              <w:t>50</w:t>
            </w:r>
          </w:p>
        </w:tc>
        <w:tc>
          <w:tcPr>
            <w:tcW w:w="810" w:type="dxa"/>
            <w:tcBorders>
              <w:top w:val="single" w:sz="4" w:space="0" w:color="A7A8A7"/>
              <w:left w:val="single" w:sz="4" w:space="0" w:color="A7A8A7"/>
            </w:tcBorders>
          </w:tcPr>
          <w:p>
            <w:pPr>
              <w:pStyle w:val="TableParagraph"/>
              <w:spacing w:line="248" w:lineRule="exact" w:before="48"/>
              <w:ind w:right="82"/>
              <w:jc w:val="right"/>
              <w:rPr>
                <w:sz w:val="22"/>
              </w:rPr>
            </w:pPr>
            <w:r>
              <w:rPr>
                <w:spacing w:val="-5"/>
                <w:sz w:val="22"/>
              </w:rPr>
              <w:t>43</w:t>
            </w:r>
          </w:p>
        </w:tc>
        <w:tc>
          <w:tcPr>
            <w:tcW w:w="719" w:type="dxa"/>
            <w:tcBorders>
              <w:top w:val="single" w:sz="4" w:space="0" w:color="A7A8A7"/>
              <w:right w:val="single" w:sz="4" w:space="0" w:color="A7A8A7"/>
            </w:tcBorders>
          </w:tcPr>
          <w:p>
            <w:pPr>
              <w:pStyle w:val="TableParagraph"/>
              <w:spacing w:line="248" w:lineRule="exact" w:before="48"/>
              <w:ind w:right="81"/>
              <w:jc w:val="right"/>
              <w:rPr>
                <w:sz w:val="22"/>
              </w:rPr>
            </w:pPr>
            <w:r>
              <w:rPr>
                <w:spacing w:val="-5"/>
                <w:sz w:val="22"/>
              </w:rPr>
              <w:t>59</w:t>
            </w:r>
          </w:p>
        </w:tc>
        <w:tc>
          <w:tcPr>
            <w:tcW w:w="808" w:type="dxa"/>
            <w:tcBorders>
              <w:top w:val="single" w:sz="4" w:space="0" w:color="A7A8A7"/>
              <w:left w:val="single" w:sz="4" w:space="0" w:color="A7A8A7"/>
            </w:tcBorders>
          </w:tcPr>
          <w:p>
            <w:pPr>
              <w:pStyle w:val="TableParagraph"/>
              <w:spacing w:line="248" w:lineRule="exact" w:before="48"/>
              <w:ind w:right="81"/>
              <w:jc w:val="right"/>
              <w:rPr>
                <w:sz w:val="22"/>
              </w:rPr>
            </w:pPr>
            <w:r>
              <w:rPr>
                <w:spacing w:val="-5"/>
                <w:sz w:val="22"/>
              </w:rPr>
              <w:t>56</w:t>
            </w:r>
          </w:p>
        </w:tc>
        <w:tc>
          <w:tcPr>
            <w:tcW w:w="738" w:type="dxa"/>
            <w:tcBorders>
              <w:top w:val="single" w:sz="4" w:space="0" w:color="A7A8A7"/>
              <w:right w:val="single" w:sz="4" w:space="0" w:color="A7A8A7"/>
            </w:tcBorders>
          </w:tcPr>
          <w:p>
            <w:pPr>
              <w:pStyle w:val="TableParagraph"/>
              <w:spacing w:line="248" w:lineRule="exact" w:before="48"/>
              <w:ind w:right="81"/>
              <w:jc w:val="right"/>
              <w:rPr>
                <w:sz w:val="22"/>
              </w:rPr>
            </w:pPr>
            <w:r>
              <w:rPr>
                <w:spacing w:val="-5"/>
                <w:sz w:val="22"/>
              </w:rPr>
              <w:t>142</w:t>
            </w:r>
          </w:p>
        </w:tc>
        <w:tc>
          <w:tcPr>
            <w:tcW w:w="791" w:type="dxa"/>
            <w:tcBorders>
              <w:top w:val="single" w:sz="4" w:space="0" w:color="A7A8A7"/>
              <w:left w:val="single" w:sz="4" w:space="0" w:color="A7A8A7"/>
            </w:tcBorders>
          </w:tcPr>
          <w:p>
            <w:pPr>
              <w:pStyle w:val="TableParagraph"/>
              <w:spacing w:line="248" w:lineRule="exact" w:before="48"/>
              <w:ind w:right="79"/>
              <w:jc w:val="right"/>
              <w:rPr>
                <w:sz w:val="22"/>
              </w:rPr>
            </w:pPr>
            <w:r>
              <w:rPr>
                <w:w w:val="91"/>
                <w:sz w:val="22"/>
              </w:rPr>
              <w:t>8</w:t>
            </w:r>
          </w:p>
        </w:tc>
        <w:tc>
          <w:tcPr>
            <w:tcW w:w="719" w:type="dxa"/>
            <w:tcBorders>
              <w:top w:val="single" w:sz="4" w:space="0" w:color="A7A8A7"/>
              <w:right w:val="single" w:sz="4" w:space="0" w:color="A7A8A7"/>
            </w:tcBorders>
          </w:tcPr>
          <w:p>
            <w:pPr>
              <w:pStyle w:val="TableParagraph"/>
              <w:spacing w:line="248" w:lineRule="exact" w:before="48"/>
              <w:ind w:right="77"/>
              <w:jc w:val="right"/>
              <w:rPr>
                <w:sz w:val="22"/>
              </w:rPr>
            </w:pPr>
            <w:r>
              <w:rPr>
                <w:spacing w:val="-5"/>
                <w:sz w:val="22"/>
              </w:rPr>
              <w:t>20</w:t>
            </w:r>
          </w:p>
        </w:tc>
        <w:tc>
          <w:tcPr>
            <w:tcW w:w="808" w:type="dxa"/>
            <w:tcBorders>
              <w:top w:val="single" w:sz="4" w:space="0" w:color="A7A8A7"/>
              <w:left w:val="single" w:sz="4" w:space="0" w:color="A7A8A7"/>
            </w:tcBorders>
          </w:tcPr>
          <w:p>
            <w:pPr>
              <w:pStyle w:val="TableParagraph"/>
              <w:spacing w:line="248" w:lineRule="exact" w:before="48"/>
              <w:ind w:right="78"/>
              <w:jc w:val="right"/>
              <w:rPr>
                <w:sz w:val="22"/>
              </w:rPr>
            </w:pPr>
            <w:r>
              <w:rPr>
                <w:w w:val="91"/>
                <w:sz w:val="22"/>
              </w:rPr>
              <w:t>0</w:t>
            </w:r>
          </w:p>
        </w:tc>
        <w:tc>
          <w:tcPr>
            <w:tcW w:w="630" w:type="dxa"/>
            <w:tcBorders>
              <w:top w:val="single" w:sz="4" w:space="0" w:color="A7A8A7"/>
              <w:right w:val="single" w:sz="4" w:space="0" w:color="A7A8A7"/>
            </w:tcBorders>
          </w:tcPr>
          <w:p>
            <w:pPr>
              <w:pStyle w:val="TableParagraph"/>
              <w:spacing w:line="248" w:lineRule="exact" w:before="48"/>
              <w:ind w:right="76"/>
              <w:jc w:val="right"/>
              <w:rPr>
                <w:sz w:val="22"/>
              </w:rPr>
            </w:pPr>
            <w:r>
              <w:rPr>
                <w:w w:val="91"/>
                <w:sz w:val="22"/>
              </w:rPr>
              <w:t>6</w:t>
            </w:r>
          </w:p>
        </w:tc>
        <w:tc>
          <w:tcPr>
            <w:tcW w:w="808" w:type="dxa"/>
            <w:tcBorders>
              <w:top w:val="single" w:sz="4" w:space="0" w:color="A7A8A7"/>
              <w:left w:val="single" w:sz="4" w:space="0" w:color="A7A8A7"/>
            </w:tcBorders>
          </w:tcPr>
          <w:p>
            <w:pPr>
              <w:pStyle w:val="TableParagraph"/>
              <w:spacing w:line="248" w:lineRule="exact" w:before="48"/>
              <w:ind w:right="76"/>
              <w:jc w:val="right"/>
              <w:rPr>
                <w:sz w:val="22"/>
              </w:rPr>
            </w:pPr>
            <w:r>
              <w:rPr>
                <w:w w:val="91"/>
                <w:sz w:val="22"/>
              </w:rPr>
              <w:t>0</w:t>
            </w:r>
          </w:p>
        </w:tc>
      </w:tr>
    </w:tbl>
    <w:p>
      <w:pPr>
        <w:spacing w:after="0" w:line="248" w:lineRule="exact"/>
        <w:jc w:val="right"/>
        <w:rPr>
          <w:sz w:val="22"/>
        </w:rPr>
        <w:sectPr>
          <w:headerReference w:type="default" r:id="rId95"/>
          <w:footerReference w:type="default" r:id="rId96"/>
          <w:pgSz w:w="12240" w:h="15840"/>
          <w:pgMar w:header="0" w:footer="974" w:top="1360" w:bottom="1160" w:left="1160" w:right="320"/>
        </w:sectPr>
      </w:pPr>
    </w:p>
    <w:p>
      <w:pPr>
        <w:pStyle w:val="Heading5"/>
        <w:numPr>
          <w:ilvl w:val="2"/>
          <w:numId w:val="28"/>
        </w:numPr>
        <w:tabs>
          <w:tab w:pos="999" w:val="left" w:leader="none"/>
          <w:tab w:pos="1001" w:val="left" w:leader="none"/>
        </w:tabs>
        <w:spacing w:line="240" w:lineRule="auto" w:before="74" w:after="0"/>
        <w:ind w:left="1000" w:right="0" w:hanging="887"/>
        <w:jc w:val="left"/>
      </w:pPr>
      <w:r>
        <w:rPr/>
        <w:t>Annual</w:t>
      </w:r>
      <w:r>
        <w:rPr>
          <w:spacing w:val="-6"/>
        </w:rPr>
        <w:t> </w:t>
      </w:r>
      <w:r>
        <w:rPr>
          <w:spacing w:val="-2"/>
        </w:rPr>
        <w:t>Reports</w:t>
      </w:r>
    </w:p>
    <w:p>
      <w:pPr>
        <w:pStyle w:val="BodyText"/>
        <w:spacing w:before="243"/>
        <w:ind w:left="1503" w:right="1130"/>
      </w:pPr>
      <w:r>
        <w:rPr/>
        <w:t>Robert Easter, Chair of the Department of Architecture is responsible for preparing and submitting Annual Reports. The statistical data is obtained from the university’s office of Institutional Research.. All data submitted to the NAAB through the Annual Report submission</w:t>
      </w:r>
      <w:r>
        <w:rPr>
          <w:spacing w:val="-4"/>
        </w:rPr>
        <w:t> </w:t>
      </w:r>
      <w:r>
        <w:rPr/>
        <w:t>system since</w:t>
      </w:r>
      <w:r>
        <w:rPr>
          <w:spacing w:val="-4"/>
        </w:rPr>
        <w:t> </w:t>
      </w:r>
      <w:r>
        <w:rPr/>
        <w:t>the</w:t>
      </w:r>
      <w:r>
        <w:rPr>
          <w:spacing w:val="-4"/>
        </w:rPr>
        <w:t> </w:t>
      </w:r>
      <w:r>
        <w:rPr/>
        <w:t>last</w:t>
      </w:r>
      <w:r>
        <w:rPr>
          <w:spacing w:val="-4"/>
        </w:rPr>
        <w:t> </w:t>
      </w:r>
      <w:r>
        <w:rPr/>
        <w:t>site</w:t>
      </w:r>
      <w:r>
        <w:rPr>
          <w:spacing w:val="-3"/>
        </w:rPr>
        <w:t> </w:t>
      </w:r>
      <w:r>
        <w:rPr/>
        <w:t>visit</w:t>
      </w:r>
      <w:r>
        <w:rPr>
          <w:spacing w:val="-4"/>
        </w:rPr>
        <w:t> </w:t>
      </w:r>
      <w:r>
        <w:rPr/>
        <w:t>is</w:t>
      </w:r>
      <w:r>
        <w:rPr>
          <w:spacing w:val="-1"/>
        </w:rPr>
        <w:t> </w:t>
      </w:r>
      <w:r>
        <w:rPr/>
        <w:t>accurate</w:t>
      </w:r>
      <w:r>
        <w:rPr>
          <w:spacing w:val="-4"/>
        </w:rPr>
        <w:t> </w:t>
      </w:r>
      <w:r>
        <w:rPr/>
        <w:t>and</w:t>
      </w:r>
      <w:r>
        <w:rPr>
          <w:spacing w:val="-4"/>
        </w:rPr>
        <w:t> </w:t>
      </w:r>
      <w:r>
        <w:rPr/>
        <w:t>consistent</w:t>
      </w:r>
      <w:r>
        <w:rPr>
          <w:spacing w:val="-3"/>
        </w:rPr>
        <w:t> </w:t>
      </w:r>
      <w:r>
        <w:rPr/>
        <w:t>with</w:t>
      </w:r>
      <w:r>
        <w:rPr>
          <w:spacing w:val="-3"/>
        </w:rPr>
        <w:t> </w:t>
      </w:r>
      <w:r>
        <w:rPr/>
        <w:t>the</w:t>
      </w:r>
      <w:r>
        <w:rPr>
          <w:spacing w:val="-3"/>
        </w:rPr>
        <w:t> </w:t>
      </w:r>
      <w:r>
        <w:rPr/>
        <w:t>reports</w:t>
      </w:r>
      <w:r>
        <w:rPr>
          <w:spacing w:val="-4"/>
        </w:rPr>
        <w:t> </w:t>
      </w:r>
      <w:r>
        <w:rPr/>
        <w:t>sent</w:t>
      </w:r>
      <w:r>
        <w:rPr>
          <w:spacing w:val="-4"/>
        </w:rPr>
        <w:t> </w:t>
      </w:r>
      <w:r>
        <w:rPr/>
        <w:t>to other national and regional agencies, including the National Center for Education Statistics.</w:t>
      </w:r>
    </w:p>
    <w:p>
      <w:pPr>
        <w:pStyle w:val="BodyText"/>
        <w:spacing w:before="9"/>
      </w:pPr>
    </w:p>
    <w:p>
      <w:pPr>
        <w:pStyle w:val="ListParagraph"/>
        <w:numPr>
          <w:ilvl w:val="2"/>
          <w:numId w:val="28"/>
        </w:numPr>
        <w:tabs>
          <w:tab w:pos="1645" w:val="left" w:leader="none"/>
          <w:tab w:pos="1646" w:val="left" w:leader="none"/>
        </w:tabs>
        <w:spacing w:line="240" w:lineRule="auto" w:before="0" w:after="0"/>
        <w:ind w:left="1645" w:right="0" w:hanging="887"/>
        <w:jc w:val="left"/>
        <w:rPr>
          <w:sz w:val="20"/>
        </w:rPr>
      </w:pPr>
      <w:r>
        <w:rPr>
          <w:sz w:val="20"/>
        </w:rPr>
        <w:t>Faculty</w:t>
      </w:r>
      <w:r>
        <w:rPr>
          <w:spacing w:val="-10"/>
          <w:sz w:val="20"/>
        </w:rPr>
        <w:t> </w:t>
      </w:r>
      <w:r>
        <w:rPr>
          <w:spacing w:val="-2"/>
          <w:sz w:val="20"/>
        </w:rPr>
        <w:t>Credentials</w:t>
      </w:r>
    </w:p>
    <w:p>
      <w:pPr>
        <w:pStyle w:val="BodyText"/>
        <w:spacing w:before="11"/>
      </w:pPr>
    </w:p>
    <w:p>
      <w:pPr>
        <w:pStyle w:val="BodyText"/>
        <w:ind w:left="519"/>
      </w:pPr>
      <w:r>
        <w:rPr/>
        <w:t>This</w:t>
      </w:r>
      <w:r>
        <w:rPr>
          <w:spacing w:val="-6"/>
        </w:rPr>
        <w:t> </w:t>
      </w:r>
      <w:r>
        <w:rPr/>
        <w:t>information</w:t>
      </w:r>
      <w:r>
        <w:rPr>
          <w:spacing w:val="-4"/>
        </w:rPr>
        <w:t> </w:t>
      </w:r>
      <w:r>
        <w:rPr/>
        <w:t>will</w:t>
      </w:r>
      <w:r>
        <w:rPr>
          <w:spacing w:val="-7"/>
        </w:rPr>
        <w:t> </w:t>
      </w:r>
      <w:r>
        <w:rPr/>
        <w:t>be</w:t>
      </w:r>
      <w:r>
        <w:rPr>
          <w:spacing w:val="-6"/>
        </w:rPr>
        <w:t> </w:t>
      </w:r>
      <w:r>
        <w:rPr/>
        <w:t>on</w:t>
      </w:r>
      <w:r>
        <w:rPr>
          <w:spacing w:val="-2"/>
        </w:rPr>
        <w:t> </w:t>
      </w:r>
      <w:r>
        <w:rPr/>
        <w:t>display</w:t>
      </w:r>
      <w:r>
        <w:rPr>
          <w:spacing w:val="-7"/>
        </w:rPr>
        <w:t> </w:t>
      </w:r>
      <w:r>
        <w:rPr/>
        <w:t>in</w:t>
      </w:r>
      <w:r>
        <w:rPr>
          <w:spacing w:val="-4"/>
        </w:rPr>
        <w:t> </w:t>
      </w:r>
      <w:r>
        <w:rPr/>
        <w:t>the</w:t>
      </w:r>
      <w:r>
        <w:rPr>
          <w:spacing w:val="-5"/>
        </w:rPr>
        <w:t> </w:t>
      </w:r>
      <w:r>
        <w:rPr/>
        <w:t>team</w:t>
      </w:r>
      <w:r>
        <w:rPr>
          <w:spacing w:val="-1"/>
        </w:rPr>
        <w:t> </w:t>
      </w:r>
      <w:r>
        <w:rPr>
          <w:spacing w:val="-4"/>
        </w:rPr>
        <w:t>room</w:t>
      </w:r>
    </w:p>
    <w:p>
      <w:pPr>
        <w:pStyle w:val="BodyText"/>
        <w:spacing w:before="9"/>
      </w:pPr>
    </w:p>
    <w:p>
      <w:pPr>
        <w:pStyle w:val="Heading5"/>
        <w:numPr>
          <w:ilvl w:val="2"/>
          <w:numId w:val="28"/>
        </w:numPr>
        <w:tabs>
          <w:tab w:pos="999" w:val="left" w:leader="none"/>
          <w:tab w:pos="1001" w:val="left" w:leader="none"/>
        </w:tabs>
        <w:spacing w:line="240" w:lineRule="auto" w:before="0" w:after="0"/>
        <w:ind w:left="1000" w:right="0" w:hanging="887"/>
        <w:jc w:val="left"/>
      </w:pPr>
      <w:r>
        <w:rPr/>
        <w:t>Policy</w:t>
      </w:r>
      <w:r>
        <w:rPr>
          <w:spacing w:val="-8"/>
        </w:rPr>
        <w:t> </w:t>
      </w:r>
      <w:r>
        <w:rPr>
          <w:spacing w:val="-2"/>
        </w:rPr>
        <w:t>Review</w:t>
      </w:r>
    </w:p>
    <w:p>
      <w:pPr>
        <w:pStyle w:val="BodyText"/>
        <w:spacing w:before="241"/>
        <w:ind w:left="520"/>
      </w:pPr>
      <w:r>
        <w:rPr/>
        <w:t>This</w:t>
      </w:r>
      <w:r>
        <w:rPr>
          <w:spacing w:val="-7"/>
        </w:rPr>
        <w:t> </w:t>
      </w:r>
      <w:r>
        <w:rPr/>
        <w:t>information</w:t>
      </w:r>
      <w:r>
        <w:rPr>
          <w:spacing w:val="-6"/>
        </w:rPr>
        <w:t> </w:t>
      </w:r>
      <w:r>
        <w:rPr/>
        <w:t>is</w:t>
      </w:r>
      <w:r>
        <w:rPr>
          <w:spacing w:val="-7"/>
        </w:rPr>
        <w:t> </w:t>
      </w:r>
      <w:r>
        <w:rPr/>
        <w:t>located</w:t>
      </w:r>
      <w:r>
        <w:rPr>
          <w:spacing w:val="-6"/>
        </w:rPr>
        <w:t> </w:t>
      </w:r>
      <w:r>
        <w:rPr/>
        <w:t>in</w:t>
      </w:r>
      <w:r>
        <w:rPr>
          <w:spacing w:val="-8"/>
        </w:rPr>
        <w:t> </w:t>
      </w:r>
      <w:r>
        <w:rPr/>
        <w:t>the</w:t>
      </w:r>
      <w:r>
        <w:rPr>
          <w:spacing w:val="-6"/>
        </w:rPr>
        <w:t> </w:t>
      </w:r>
      <w:r>
        <w:rPr/>
        <w:t>Appendices,</w:t>
      </w:r>
      <w:r>
        <w:rPr>
          <w:spacing w:val="-6"/>
        </w:rPr>
        <w:t> </w:t>
      </w:r>
      <w:r>
        <w:rPr/>
        <w:t>Section</w:t>
      </w:r>
      <w:r>
        <w:rPr>
          <w:spacing w:val="-6"/>
        </w:rPr>
        <w:t> </w:t>
      </w:r>
      <w:r>
        <w:rPr>
          <w:spacing w:val="-5"/>
        </w:rPr>
        <w:t>4,</w:t>
      </w:r>
    </w:p>
    <w:p>
      <w:pPr>
        <w:spacing w:after="0"/>
        <w:sectPr>
          <w:headerReference w:type="default" r:id="rId97"/>
          <w:footerReference w:type="default" r:id="rId98"/>
          <w:pgSz w:w="12240" w:h="15840"/>
          <w:pgMar w:header="0" w:footer="974" w:top="1360" w:bottom="1160" w:left="1160" w:right="320"/>
        </w:sectPr>
      </w:pPr>
    </w:p>
    <w:p>
      <w:pPr>
        <w:pStyle w:val="Heading5"/>
        <w:spacing w:before="76"/>
        <w:ind w:left="280" w:firstLine="0"/>
      </w:pPr>
      <w:r>
        <w:rPr/>
        <w:t>Part</w:t>
      </w:r>
      <w:r>
        <w:rPr>
          <w:spacing w:val="-8"/>
        </w:rPr>
        <w:t> </w:t>
      </w:r>
      <w:r>
        <w:rPr/>
        <w:t>Two</w:t>
      </w:r>
      <w:r>
        <w:rPr>
          <w:spacing w:val="-7"/>
        </w:rPr>
        <w:t> </w:t>
      </w:r>
      <w:r>
        <w:rPr/>
        <w:t>–</w:t>
      </w:r>
      <w:r>
        <w:rPr>
          <w:spacing w:val="-6"/>
        </w:rPr>
        <w:t> </w:t>
      </w:r>
      <w:r>
        <w:rPr/>
        <w:t>Educational</w:t>
      </w:r>
      <w:r>
        <w:rPr>
          <w:spacing w:val="-6"/>
        </w:rPr>
        <w:t> </w:t>
      </w:r>
      <w:r>
        <w:rPr/>
        <w:t>Outcomes</w:t>
      </w:r>
      <w:r>
        <w:rPr>
          <w:spacing w:val="-3"/>
        </w:rPr>
        <w:t> </w:t>
      </w:r>
      <w:r>
        <w:rPr/>
        <w:t>and</w:t>
      </w:r>
      <w:r>
        <w:rPr>
          <w:spacing w:val="-4"/>
        </w:rPr>
        <w:t> </w:t>
      </w:r>
      <w:r>
        <w:rPr>
          <w:spacing w:val="-2"/>
        </w:rPr>
        <w:t>Curriculum</w:t>
      </w:r>
    </w:p>
    <w:p>
      <w:pPr>
        <w:pStyle w:val="ListParagraph"/>
        <w:numPr>
          <w:ilvl w:val="1"/>
          <w:numId w:val="29"/>
        </w:numPr>
        <w:tabs>
          <w:tab w:pos="433" w:val="left" w:leader="none"/>
        </w:tabs>
        <w:spacing w:line="240" w:lineRule="auto" w:before="241" w:after="0"/>
        <w:ind w:left="432" w:right="4874" w:hanging="433"/>
        <w:jc w:val="right"/>
        <w:rPr>
          <w:sz w:val="20"/>
        </w:rPr>
      </w:pPr>
      <w:r>
        <w:rPr>
          <w:sz w:val="20"/>
        </w:rPr>
        <w:t>Educational</w:t>
      </w:r>
      <w:r>
        <w:rPr>
          <w:spacing w:val="-10"/>
          <w:sz w:val="20"/>
        </w:rPr>
        <w:t> </w:t>
      </w:r>
      <w:r>
        <w:rPr>
          <w:sz w:val="20"/>
        </w:rPr>
        <w:t>Realms</w:t>
      </w:r>
      <w:r>
        <w:rPr>
          <w:spacing w:val="-7"/>
          <w:sz w:val="20"/>
        </w:rPr>
        <w:t> </w:t>
      </w:r>
      <w:r>
        <w:rPr>
          <w:sz w:val="20"/>
        </w:rPr>
        <w:t>and</w:t>
      </w:r>
      <w:r>
        <w:rPr>
          <w:spacing w:val="-8"/>
          <w:sz w:val="20"/>
        </w:rPr>
        <w:t> </w:t>
      </w:r>
      <w:r>
        <w:rPr>
          <w:sz w:val="20"/>
        </w:rPr>
        <w:t>Student</w:t>
      </w:r>
      <w:r>
        <w:rPr>
          <w:spacing w:val="-8"/>
          <w:sz w:val="20"/>
        </w:rPr>
        <w:t> </w:t>
      </w:r>
      <w:r>
        <w:rPr>
          <w:sz w:val="20"/>
        </w:rPr>
        <w:t>Performance</w:t>
      </w:r>
      <w:r>
        <w:rPr>
          <w:spacing w:val="-8"/>
          <w:sz w:val="20"/>
        </w:rPr>
        <w:t> </w:t>
      </w:r>
      <w:r>
        <w:rPr>
          <w:spacing w:val="-2"/>
          <w:sz w:val="20"/>
        </w:rPr>
        <w:t>Criteria</w:t>
      </w:r>
    </w:p>
    <w:p>
      <w:pPr>
        <w:pStyle w:val="BodyText"/>
        <w:spacing w:before="7"/>
      </w:pPr>
    </w:p>
    <w:p>
      <w:pPr>
        <w:numPr>
          <w:ilvl w:val="2"/>
          <w:numId w:val="29"/>
        </w:numPr>
        <w:tabs>
          <w:tab w:pos="504" w:val="left" w:leader="none"/>
        </w:tabs>
        <w:spacing w:before="0"/>
        <w:ind w:left="503" w:right="4846" w:hanging="504"/>
        <w:jc w:val="right"/>
        <w:rPr>
          <w:b/>
          <w:sz w:val="20"/>
        </w:rPr>
      </w:pPr>
      <w:bookmarkStart w:name="_TOC_250002" w:id="63"/>
      <w:r>
        <w:rPr>
          <w:b/>
          <w:sz w:val="20"/>
        </w:rPr>
        <w:t>Realm</w:t>
      </w:r>
      <w:r>
        <w:rPr>
          <w:b/>
          <w:spacing w:val="-4"/>
          <w:sz w:val="20"/>
        </w:rPr>
        <w:t> </w:t>
      </w:r>
      <w:r>
        <w:rPr>
          <w:b/>
          <w:sz w:val="20"/>
        </w:rPr>
        <w:t>A:</w:t>
      </w:r>
      <w:r>
        <w:rPr>
          <w:b/>
          <w:spacing w:val="-6"/>
          <w:sz w:val="20"/>
        </w:rPr>
        <w:t> </w:t>
      </w:r>
      <w:r>
        <w:rPr>
          <w:b/>
          <w:sz w:val="20"/>
        </w:rPr>
        <w:t>Critical</w:t>
      </w:r>
      <w:r>
        <w:rPr>
          <w:b/>
          <w:spacing w:val="-8"/>
          <w:sz w:val="20"/>
        </w:rPr>
        <w:t> </w:t>
      </w:r>
      <w:r>
        <w:rPr>
          <w:b/>
          <w:sz w:val="20"/>
        </w:rPr>
        <w:t>Thinking</w:t>
      </w:r>
      <w:r>
        <w:rPr>
          <w:b/>
          <w:spacing w:val="-8"/>
          <w:sz w:val="20"/>
        </w:rPr>
        <w:t> </w:t>
      </w:r>
      <w:r>
        <w:rPr>
          <w:b/>
          <w:sz w:val="20"/>
        </w:rPr>
        <w:t>and</w:t>
      </w:r>
      <w:r>
        <w:rPr>
          <w:b/>
          <w:spacing w:val="-7"/>
          <w:sz w:val="20"/>
        </w:rPr>
        <w:t> </w:t>
      </w:r>
      <w:bookmarkEnd w:id="63"/>
      <w:r>
        <w:rPr>
          <w:b/>
          <w:spacing w:val="-2"/>
          <w:sz w:val="20"/>
        </w:rPr>
        <w:t>Representation</w:t>
      </w:r>
    </w:p>
    <w:p>
      <w:pPr>
        <w:pStyle w:val="BodyText"/>
        <w:spacing w:before="11"/>
        <w:rPr>
          <w:b/>
        </w:rPr>
      </w:pPr>
    </w:p>
    <w:p>
      <w:pPr>
        <w:pStyle w:val="ListParagraph"/>
        <w:numPr>
          <w:ilvl w:val="1"/>
          <w:numId w:val="30"/>
        </w:numPr>
        <w:tabs>
          <w:tab w:pos="2079" w:val="left" w:leader="none"/>
          <w:tab w:pos="2081" w:val="left" w:leader="none"/>
        </w:tabs>
        <w:spacing w:line="240" w:lineRule="auto" w:before="0" w:after="0"/>
        <w:ind w:left="2080" w:right="0" w:hanging="577"/>
        <w:jc w:val="left"/>
        <w:rPr>
          <w:sz w:val="20"/>
        </w:rPr>
      </w:pPr>
      <w:r>
        <w:rPr>
          <w:sz w:val="20"/>
        </w:rPr>
        <w:t>Communication</w:t>
      </w:r>
      <w:r>
        <w:rPr>
          <w:spacing w:val="-7"/>
          <w:sz w:val="20"/>
        </w:rPr>
        <w:t> </w:t>
      </w:r>
      <w:r>
        <w:rPr>
          <w:sz w:val="20"/>
        </w:rPr>
        <w:t>Skills:</w:t>
      </w:r>
      <w:r>
        <w:rPr>
          <w:spacing w:val="-6"/>
          <w:sz w:val="20"/>
        </w:rPr>
        <w:t> </w:t>
      </w:r>
      <w:r>
        <w:rPr>
          <w:i/>
          <w:sz w:val="20"/>
        </w:rPr>
        <w:t>Ability</w:t>
      </w:r>
      <w:r>
        <w:rPr>
          <w:i/>
          <w:spacing w:val="-8"/>
          <w:sz w:val="20"/>
        </w:rPr>
        <w:t> </w:t>
      </w:r>
      <w:r>
        <w:rPr>
          <w:i/>
          <w:sz w:val="20"/>
        </w:rPr>
        <w:t>to</w:t>
      </w:r>
      <w:r>
        <w:rPr>
          <w:i/>
          <w:spacing w:val="-8"/>
          <w:sz w:val="20"/>
        </w:rPr>
        <w:t> </w:t>
      </w:r>
      <w:r>
        <w:rPr>
          <w:sz w:val="20"/>
        </w:rPr>
        <w:t>read,</w:t>
      </w:r>
      <w:r>
        <w:rPr>
          <w:spacing w:val="-6"/>
          <w:sz w:val="20"/>
        </w:rPr>
        <w:t> </w:t>
      </w:r>
      <w:r>
        <w:rPr>
          <w:sz w:val="20"/>
        </w:rPr>
        <w:t>write,</w:t>
      </w:r>
      <w:r>
        <w:rPr>
          <w:spacing w:val="-8"/>
          <w:sz w:val="20"/>
        </w:rPr>
        <w:t> </w:t>
      </w:r>
      <w:r>
        <w:rPr>
          <w:sz w:val="20"/>
        </w:rPr>
        <w:t>speak</w:t>
      </w:r>
      <w:r>
        <w:rPr>
          <w:spacing w:val="-5"/>
          <w:sz w:val="20"/>
        </w:rPr>
        <w:t> </w:t>
      </w:r>
      <w:r>
        <w:rPr>
          <w:sz w:val="20"/>
        </w:rPr>
        <w:t>and</w:t>
      </w:r>
      <w:r>
        <w:rPr>
          <w:spacing w:val="-6"/>
          <w:sz w:val="20"/>
        </w:rPr>
        <w:t> </w:t>
      </w:r>
      <w:r>
        <w:rPr>
          <w:sz w:val="20"/>
        </w:rPr>
        <w:t>listen</w:t>
      </w:r>
      <w:r>
        <w:rPr>
          <w:spacing w:val="-8"/>
          <w:sz w:val="20"/>
        </w:rPr>
        <w:t> </w:t>
      </w:r>
      <w:r>
        <w:rPr>
          <w:spacing w:val="-2"/>
          <w:sz w:val="20"/>
        </w:rPr>
        <w:t>effectively.</w:t>
      </w:r>
    </w:p>
    <w:p>
      <w:pPr>
        <w:pStyle w:val="BodyText"/>
        <w:spacing w:before="8" w:after="1"/>
        <w:rPr>
          <w:sz w:val="21"/>
        </w:rPr>
      </w:pPr>
    </w:p>
    <w:tbl>
      <w:tblPr>
        <w:tblW w:w="0" w:type="auto"/>
        <w:jc w:val="left"/>
        <w:tblInd w:w="2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69"/>
        <w:gridCol w:w="3555"/>
        <w:gridCol w:w="2163"/>
      </w:tblGrid>
      <w:tr>
        <w:trPr>
          <w:trHeight w:val="225" w:hRule="atLeast"/>
        </w:trPr>
        <w:tc>
          <w:tcPr>
            <w:tcW w:w="1369" w:type="dxa"/>
          </w:tcPr>
          <w:p>
            <w:pPr>
              <w:pStyle w:val="TableParagraph"/>
              <w:spacing w:line="205" w:lineRule="exact"/>
              <w:ind w:left="50"/>
              <w:rPr>
                <w:sz w:val="20"/>
              </w:rPr>
            </w:pPr>
            <w:r>
              <w:rPr>
                <w:sz w:val="20"/>
              </w:rPr>
              <w:t>ARC</w:t>
            </w:r>
            <w:r>
              <w:rPr>
                <w:spacing w:val="-7"/>
                <w:sz w:val="20"/>
              </w:rPr>
              <w:t> </w:t>
            </w:r>
            <w:r>
              <w:rPr>
                <w:spacing w:val="-5"/>
                <w:sz w:val="20"/>
              </w:rPr>
              <w:t>411</w:t>
            </w:r>
          </w:p>
        </w:tc>
        <w:tc>
          <w:tcPr>
            <w:tcW w:w="3555" w:type="dxa"/>
          </w:tcPr>
          <w:p>
            <w:pPr>
              <w:pStyle w:val="TableParagraph"/>
              <w:spacing w:line="205" w:lineRule="exact"/>
              <w:ind w:left="121"/>
              <w:rPr>
                <w:sz w:val="20"/>
              </w:rPr>
            </w:pPr>
            <w:r>
              <w:rPr>
                <w:sz w:val="20"/>
              </w:rPr>
              <w:t>Architecture</w:t>
            </w:r>
            <w:r>
              <w:rPr>
                <w:spacing w:val="-10"/>
                <w:sz w:val="20"/>
              </w:rPr>
              <w:t> </w:t>
            </w:r>
            <w:r>
              <w:rPr>
                <w:sz w:val="20"/>
              </w:rPr>
              <w:t>Theory</w:t>
            </w:r>
            <w:r>
              <w:rPr>
                <w:spacing w:val="-12"/>
                <w:sz w:val="20"/>
              </w:rPr>
              <w:t> </w:t>
            </w:r>
            <w:r>
              <w:rPr>
                <w:spacing w:val="-5"/>
                <w:sz w:val="20"/>
              </w:rPr>
              <w:t>II</w:t>
            </w:r>
          </w:p>
        </w:tc>
        <w:tc>
          <w:tcPr>
            <w:tcW w:w="2163" w:type="dxa"/>
          </w:tcPr>
          <w:p>
            <w:pPr>
              <w:pStyle w:val="TableParagraph"/>
              <w:spacing w:line="205" w:lineRule="exact"/>
              <w:ind w:left="165"/>
              <w:rPr>
                <w:sz w:val="20"/>
              </w:rPr>
            </w:pPr>
            <w:r>
              <w:rPr>
                <w:spacing w:val="-2"/>
                <w:sz w:val="20"/>
              </w:rPr>
              <w:t>Papers</w:t>
            </w:r>
          </w:p>
        </w:tc>
      </w:tr>
      <w:tr>
        <w:trPr>
          <w:trHeight w:val="225" w:hRule="atLeast"/>
        </w:trPr>
        <w:tc>
          <w:tcPr>
            <w:tcW w:w="1369" w:type="dxa"/>
          </w:tcPr>
          <w:p>
            <w:pPr>
              <w:pStyle w:val="TableParagraph"/>
              <w:spacing w:line="205" w:lineRule="exact"/>
              <w:ind w:left="50"/>
              <w:rPr>
                <w:sz w:val="20"/>
              </w:rPr>
            </w:pPr>
            <w:r>
              <w:rPr>
                <w:sz w:val="20"/>
              </w:rPr>
              <w:t>ARC</w:t>
            </w:r>
            <w:r>
              <w:rPr>
                <w:spacing w:val="-7"/>
                <w:sz w:val="20"/>
              </w:rPr>
              <w:t> </w:t>
            </w:r>
            <w:r>
              <w:rPr>
                <w:spacing w:val="-2"/>
                <w:sz w:val="20"/>
              </w:rPr>
              <w:t>601/602</w:t>
            </w:r>
          </w:p>
        </w:tc>
        <w:tc>
          <w:tcPr>
            <w:tcW w:w="3555" w:type="dxa"/>
          </w:tcPr>
          <w:p>
            <w:pPr>
              <w:pStyle w:val="TableParagraph"/>
              <w:spacing w:line="205" w:lineRule="exact"/>
              <w:ind w:left="121"/>
              <w:rPr>
                <w:sz w:val="20"/>
              </w:rPr>
            </w:pPr>
            <w:r>
              <w:rPr>
                <w:sz w:val="20"/>
              </w:rPr>
              <w:t>Design</w:t>
            </w:r>
            <w:r>
              <w:rPr>
                <w:spacing w:val="-5"/>
                <w:sz w:val="20"/>
              </w:rPr>
              <w:t> </w:t>
            </w:r>
            <w:r>
              <w:rPr>
                <w:sz w:val="20"/>
              </w:rPr>
              <w:t>Research</w:t>
            </w:r>
            <w:r>
              <w:rPr>
                <w:spacing w:val="-6"/>
                <w:sz w:val="20"/>
              </w:rPr>
              <w:t> </w:t>
            </w:r>
            <w:r>
              <w:rPr>
                <w:sz w:val="20"/>
              </w:rPr>
              <w:t>Thesis</w:t>
            </w:r>
            <w:r>
              <w:rPr>
                <w:spacing w:val="-3"/>
                <w:sz w:val="20"/>
              </w:rPr>
              <w:t> </w:t>
            </w:r>
            <w:r>
              <w:rPr>
                <w:sz w:val="20"/>
              </w:rPr>
              <w:t>Studio</w:t>
            </w:r>
            <w:r>
              <w:rPr>
                <w:spacing w:val="-6"/>
                <w:sz w:val="20"/>
              </w:rPr>
              <w:t> </w:t>
            </w:r>
            <w:r>
              <w:rPr>
                <w:sz w:val="20"/>
              </w:rPr>
              <w:t>I</w:t>
            </w:r>
            <w:r>
              <w:rPr>
                <w:spacing w:val="-5"/>
                <w:sz w:val="20"/>
              </w:rPr>
              <w:t> </w:t>
            </w:r>
            <w:r>
              <w:rPr>
                <w:sz w:val="20"/>
              </w:rPr>
              <w:t>&amp;</w:t>
            </w:r>
            <w:r>
              <w:rPr>
                <w:spacing w:val="-7"/>
                <w:sz w:val="20"/>
              </w:rPr>
              <w:t> </w:t>
            </w:r>
            <w:r>
              <w:rPr>
                <w:spacing w:val="-5"/>
                <w:sz w:val="20"/>
              </w:rPr>
              <w:t>II</w:t>
            </w:r>
          </w:p>
        </w:tc>
        <w:tc>
          <w:tcPr>
            <w:tcW w:w="2163" w:type="dxa"/>
          </w:tcPr>
          <w:p>
            <w:pPr>
              <w:pStyle w:val="TableParagraph"/>
              <w:spacing w:line="205" w:lineRule="exact"/>
              <w:ind w:left="166"/>
              <w:rPr>
                <w:sz w:val="20"/>
              </w:rPr>
            </w:pPr>
            <w:r>
              <w:rPr>
                <w:sz w:val="20"/>
              </w:rPr>
              <w:t>Papers</w:t>
            </w:r>
            <w:r>
              <w:rPr>
                <w:spacing w:val="-4"/>
                <w:sz w:val="20"/>
              </w:rPr>
              <w:t> </w:t>
            </w:r>
            <w:r>
              <w:rPr>
                <w:sz w:val="20"/>
              </w:rPr>
              <w:t>/</w:t>
            </w:r>
            <w:r>
              <w:rPr>
                <w:spacing w:val="-5"/>
                <w:sz w:val="20"/>
              </w:rPr>
              <w:t> </w:t>
            </w:r>
            <w:r>
              <w:rPr>
                <w:spacing w:val="-2"/>
                <w:sz w:val="20"/>
              </w:rPr>
              <w:t>Assignments</w:t>
            </w:r>
          </w:p>
        </w:tc>
      </w:tr>
    </w:tbl>
    <w:p>
      <w:pPr>
        <w:pStyle w:val="BodyText"/>
        <w:spacing w:before="11"/>
      </w:pPr>
    </w:p>
    <w:p>
      <w:pPr>
        <w:pStyle w:val="BodyText"/>
        <w:ind w:left="2440" w:right="1130"/>
      </w:pPr>
      <w:r>
        <w:rPr/>
        <w:t>Evidence:</w:t>
      </w:r>
      <w:r>
        <w:rPr>
          <w:spacing w:val="-5"/>
        </w:rPr>
        <w:t> </w:t>
      </w:r>
      <w:r>
        <w:rPr/>
        <w:t>In</w:t>
      </w:r>
      <w:r>
        <w:rPr>
          <w:spacing w:val="-5"/>
        </w:rPr>
        <w:t> </w:t>
      </w:r>
      <w:r>
        <w:rPr/>
        <w:t>the</w:t>
      </w:r>
      <w:r>
        <w:rPr>
          <w:spacing w:val="-5"/>
        </w:rPr>
        <w:t> </w:t>
      </w:r>
      <w:r>
        <w:rPr/>
        <w:t>Theory</w:t>
      </w:r>
      <w:r>
        <w:rPr>
          <w:spacing w:val="-8"/>
        </w:rPr>
        <w:t> </w:t>
      </w:r>
      <w:r>
        <w:rPr/>
        <w:t>class,</w:t>
      </w:r>
      <w:r>
        <w:rPr>
          <w:spacing w:val="-5"/>
        </w:rPr>
        <w:t> </w:t>
      </w:r>
      <w:r>
        <w:rPr/>
        <w:t>students</w:t>
      </w:r>
      <w:r>
        <w:rPr>
          <w:spacing w:val="-4"/>
        </w:rPr>
        <w:t> </w:t>
      </w:r>
      <w:r>
        <w:rPr/>
        <w:t>are</w:t>
      </w:r>
      <w:r>
        <w:rPr>
          <w:spacing w:val="-5"/>
        </w:rPr>
        <w:t> </w:t>
      </w:r>
      <w:r>
        <w:rPr/>
        <w:t>required</w:t>
      </w:r>
      <w:r>
        <w:rPr>
          <w:spacing w:val="-3"/>
        </w:rPr>
        <w:t> </w:t>
      </w:r>
      <w:r>
        <w:rPr/>
        <w:t>to</w:t>
      </w:r>
      <w:r>
        <w:rPr>
          <w:spacing w:val="-3"/>
        </w:rPr>
        <w:t> </w:t>
      </w:r>
      <w:r>
        <w:rPr/>
        <w:t>write</w:t>
      </w:r>
      <w:r>
        <w:rPr>
          <w:spacing w:val="-3"/>
        </w:rPr>
        <w:t> </w:t>
      </w:r>
      <w:r>
        <w:rPr/>
        <w:t>papers</w:t>
      </w:r>
      <w:r>
        <w:rPr>
          <w:spacing w:val="-4"/>
        </w:rPr>
        <w:t> </w:t>
      </w:r>
      <w:r>
        <w:rPr/>
        <w:t>documenting their analysis of works by other architects.</w:t>
      </w:r>
    </w:p>
    <w:p>
      <w:pPr>
        <w:pStyle w:val="BodyText"/>
        <w:spacing w:before="11"/>
      </w:pPr>
    </w:p>
    <w:p>
      <w:pPr>
        <w:pStyle w:val="BodyText"/>
        <w:ind w:left="2440" w:right="1151"/>
      </w:pPr>
      <w:r>
        <w:rPr/>
        <w:t>Studio</w:t>
      </w:r>
      <w:r>
        <w:rPr>
          <w:spacing w:val="-5"/>
        </w:rPr>
        <w:t> </w:t>
      </w:r>
      <w:r>
        <w:rPr/>
        <w:t>fulfills</w:t>
      </w:r>
      <w:r>
        <w:rPr>
          <w:spacing w:val="-2"/>
        </w:rPr>
        <w:t> </w:t>
      </w:r>
      <w:r>
        <w:rPr/>
        <w:t>A.1</w:t>
      </w:r>
      <w:r>
        <w:rPr>
          <w:spacing w:val="-5"/>
        </w:rPr>
        <w:t> </w:t>
      </w:r>
      <w:r>
        <w:rPr/>
        <w:t>Communication</w:t>
      </w:r>
      <w:r>
        <w:rPr>
          <w:spacing w:val="-4"/>
        </w:rPr>
        <w:t> </w:t>
      </w:r>
      <w:r>
        <w:rPr/>
        <w:t>Skills</w:t>
      </w:r>
      <w:r>
        <w:rPr>
          <w:spacing w:val="-2"/>
        </w:rPr>
        <w:t> </w:t>
      </w:r>
      <w:r>
        <w:rPr/>
        <w:t>as</w:t>
      </w:r>
      <w:r>
        <w:rPr>
          <w:spacing w:val="-4"/>
        </w:rPr>
        <w:t> </w:t>
      </w:r>
      <w:r>
        <w:rPr/>
        <w:t>it</w:t>
      </w:r>
      <w:r>
        <w:rPr>
          <w:spacing w:val="-5"/>
        </w:rPr>
        <w:t> </w:t>
      </w:r>
      <w:r>
        <w:rPr/>
        <w:t>requires</w:t>
      </w:r>
      <w:r>
        <w:rPr>
          <w:spacing w:val="-4"/>
        </w:rPr>
        <w:t> </w:t>
      </w:r>
      <w:r>
        <w:rPr/>
        <w:t>reading</w:t>
      </w:r>
      <w:r>
        <w:rPr>
          <w:spacing w:val="-5"/>
        </w:rPr>
        <w:t> </w:t>
      </w:r>
      <w:r>
        <w:rPr/>
        <w:t>for</w:t>
      </w:r>
      <w:r>
        <w:rPr>
          <w:spacing w:val="-4"/>
        </w:rPr>
        <w:t> </w:t>
      </w:r>
      <w:r>
        <w:rPr/>
        <w:t>analysis,</w:t>
      </w:r>
      <w:r>
        <w:rPr>
          <w:spacing w:val="-4"/>
        </w:rPr>
        <w:t> </w:t>
      </w:r>
      <w:r>
        <w:rPr/>
        <w:t>writing for constructing argument, students oral delivery is assessed for clarity and completeness, and listen to peers’ presentations to review their work.</w:t>
      </w:r>
    </w:p>
    <w:p>
      <w:pPr>
        <w:pStyle w:val="BodyText"/>
        <w:spacing w:before="6"/>
      </w:pPr>
    </w:p>
    <w:p>
      <w:pPr>
        <w:pStyle w:val="ListParagraph"/>
        <w:numPr>
          <w:ilvl w:val="1"/>
          <w:numId w:val="30"/>
        </w:numPr>
        <w:tabs>
          <w:tab w:pos="2432" w:val="left" w:leader="none"/>
          <w:tab w:pos="2433" w:val="left" w:leader="none"/>
        </w:tabs>
        <w:spacing w:line="242" w:lineRule="auto" w:before="0" w:after="0"/>
        <w:ind w:left="2432" w:right="1158" w:hanging="929"/>
        <w:jc w:val="left"/>
        <w:rPr>
          <w:sz w:val="20"/>
        </w:rPr>
      </w:pPr>
      <w:r>
        <w:rPr>
          <w:sz w:val="20"/>
        </w:rPr>
        <w:t>Design Thinking Skills: </w:t>
      </w:r>
      <w:r>
        <w:rPr>
          <w:i/>
          <w:sz w:val="20"/>
        </w:rPr>
        <w:t>Ability </w:t>
      </w:r>
      <w:r>
        <w:rPr>
          <w:sz w:val="20"/>
        </w:rPr>
        <w:t>to raise clear and precise questions, use abstract ideas to interpret information, consider diverse points of view, reach well- reasoned</w:t>
      </w:r>
      <w:r>
        <w:rPr>
          <w:spacing w:val="-6"/>
          <w:sz w:val="20"/>
        </w:rPr>
        <w:t> </w:t>
      </w:r>
      <w:r>
        <w:rPr>
          <w:sz w:val="20"/>
        </w:rPr>
        <w:t>conclusions,</w:t>
      </w:r>
      <w:r>
        <w:rPr>
          <w:spacing w:val="-4"/>
          <w:sz w:val="20"/>
        </w:rPr>
        <w:t> </w:t>
      </w:r>
      <w:r>
        <w:rPr>
          <w:sz w:val="20"/>
        </w:rPr>
        <w:t>and</w:t>
      </w:r>
      <w:r>
        <w:rPr>
          <w:spacing w:val="-1"/>
          <w:sz w:val="20"/>
        </w:rPr>
        <w:t> </w:t>
      </w:r>
      <w:r>
        <w:rPr>
          <w:sz w:val="20"/>
        </w:rPr>
        <w:t>test</w:t>
      </w:r>
      <w:r>
        <w:rPr>
          <w:spacing w:val="-6"/>
          <w:sz w:val="20"/>
        </w:rPr>
        <w:t> </w:t>
      </w:r>
      <w:r>
        <w:rPr>
          <w:sz w:val="20"/>
        </w:rPr>
        <w:t>alternative</w:t>
      </w:r>
      <w:r>
        <w:rPr>
          <w:spacing w:val="-6"/>
          <w:sz w:val="20"/>
        </w:rPr>
        <w:t> </w:t>
      </w:r>
      <w:r>
        <w:rPr>
          <w:sz w:val="20"/>
        </w:rPr>
        <w:t>outcomes</w:t>
      </w:r>
      <w:r>
        <w:rPr>
          <w:spacing w:val="-5"/>
          <w:sz w:val="20"/>
        </w:rPr>
        <w:t> </w:t>
      </w:r>
      <w:r>
        <w:rPr>
          <w:sz w:val="20"/>
        </w:rPr>
        <w:t>against</w:t>
      </w:r>
      <w:r>
        <w:rPr>
          <w:spacing w:val="-6"/>
          <w:sz w:val="20"/>
        </w:rPr>
        <w:t> </w:t>
      </w:r>
      <w:r>
        <w:rPr>
          <w:sz w:val="20"/>
        </w:rPr>
        <w:t>relevant</w:t>
      </w:r>
      <w:r>
        <w:rPr>
          <w:spacing w:val="-6"/>
          <w:sz w:val="20"/>
        </w:rPr>
        <w:t> </w:t>
      </w:r>
      <w:r>
        <w:rPr>
          <w:sz w:val="20"/>
        </w:rPr>
        <w:t>criteria</w:t>
      </w:r>
      <w:r>
        <w:rPr>
          <w:spacing w:val="-4"/>
          <w:sz w:val="20"/>
        </w:rPr>
        <w:t> </w:t>
      </w:r>
      <w:r>
        <w:rPr>
          <w:sz w:val="20"/>
        </w:rPr>
        <w:t>and </w:t>
      </w:r>
      <w:r>
        <w:rPr>
          <w:spacing w:val="-2"/>
          <w:sz w:val="20"/>
        </w:rPr>
        <w:t>standards.</w:t>
      </w:r>
    </w:p>
    <w:p>
      <w:pPr>
        <w:pStyle w:val="BodyText"/>
        <w:spacing w:before="5"/>
      </w:pPr>
    </w:p>
    <w:p>
      <w:pPr>
        <w:pStyle w:val="BodyText"/>
        <w:tabs>
          <w:tab w:pos="3879" w:val="left" w:leader="none"/>
          <w:tab w:pos="7479" w:val="left" w:leader="none"/>
        </w:tabs>
        <w:ind w:left="2439"/>
      </w:pPr>
      <w:r>
        <w:rPr/>
        <w:t>ARC</w:t>
      </w:r>
      <w:r>
        <w:rPr>
          <w:spacing w:val="-11"/>
        </w:rPr>
        <w:t> </w:t>
      </w:r>
      <w:r>
        <w:rPr/>
        <w:t>303-</w:t>
      </w:r>
      <w:r>
        <w:rPr>
          <w:spacing w:val="-5"/>
        </w:rPr>
        <w:t>304</w:t>
      </w:r>
      <w:r>
        <w:rPr/>
        <w:tab/>
        <w:t>Design</w:t>
      </w:r>
      <w:r>
        <w:rPr>
          <w:spacing w:val="-4"/>
        </w:rPr>
        <w:t> </w:t>
      </w:r>
      <w:r>
        <w:rPr/>
        <w:t>Studio</w:t>
      </w:r>
      <w:r>
        <w:rPr>
          <w:spacing w:val="-6"/>
        </w:rPr>
        <w:t> </w:t>
      </w:r>
      <w:r>
        <w:rPr/>
        <w:t>5</w:t>
      </w:r>
      <w:r>
        <w:rPr>
          <w:spacing w:val="-3"/>
        </w:rPr>
        <w:t> </w:t>
      </w:r>
      <w:r>
        <w:rPr/>
        <w:t>and</w:t>
      </w:r>
      <w:r>
        <w:rPr>
          <w:spacing w:val="-6"/>
        </w:rPr>
        <w:t> </w:t>
      </w:r>
      <w:r>
        <w:rPr>
          <w:spacing w:val="-10"/>
        </w:rPr>
        <w:t>6</w:t>
      </w:r>
      <w:r>
        <w:rPr/>
        <w:tab/>
        <w:t>Project</w:t>
      </w:r>
      <w:r>
        <w:rPr>
          <w:spacing w:val="-9"/>
        </w:rPr>
        <w:t> </w:t>
      </w:r>
      <w:r>
        <w:rPr>
          <w:spacing w:val="-2"/>
        </w:rPr>
        <w:t>Assignments</w:t>
      </w:r>
    </w:p>
    <w:p>
      <w:pPr>
        <w:pStyle w:val="BodyText"/>
        <w:tabs>
          <w:tab w:pos="3879" w:val="left" w:leader="none"/>
          <w:tab w:pos="7479" w:val="left" w:leader="none"/>
        </w:tabs>
        <w:spacing w:before="1"/>
        <w:ind w:left="2439"/>
      </w:pPr>
      <w:r>
        <w:rPr/>
        <w:t>ARC</w:t>
      </w:r>
      <w:r>
        <w:rPr>
          <w:spacing w:val="-11"/>
        </w:rPr>
        <w:t> </w:t>
      </w:r>
      <w:r>
        <w:rPr/>
        <w:t>405-</w:t>
      </w:r>
      <w:r>
        <w:rPr>
          <w:spacing w:val="-5"/>
        </w:rPr>
        <w:t>406</w:t>
      </w:r>
      <w:r>
        <w:rPr/>
        <w:tab/>
        <w:t>Design</w:t>
      </w:r>
      <w:r>
        <w:rPr>
          <w:spacing w:val="-4"/>
        </w:rPr>
        <w:t> </w:t>
      </w:r>
      <w:r>
        <w:rPr/>
        <w:t>Studio</w:t>
      </w:r>
      <w:r>
        <w:rPr>
          <w:spacing w:val="-6"/>
        </w:rPr>
        <w:t> </w:t>
      </w:r>
      <w:r>
        <w:rPr/>
        <w:t>8</w:t>
      </w:r>
      <w:r>
        <w:rPr>
          <w:spacing w:val="-3"/>
        </w:rPr>
        <w:t> </w:t>
      </w:r>
      <w:r>
        <w:rPr/>
        <w:t>and</w:t>
      </w:r>
      <w:r>
        <w:rPr>
          <w:spacing w:val="-6"/>
        </w:rPr>
        <w:t> </w:t>
      </w:r>
      <w:r>
        <w:rPr>
          <w:spacing w:val="-10"/>
        </w:rPr>
        <w:t>9</w:t>
      </w:r>
      <w:r>
        <w:rPr/>
        <w:tab/>
        <w:t>Project</w:t>
      </w:r>
      <w:r>
        <w:rPr>
          <w:spacing w:val="-9"/>
        </w:rPr>
        <w:t> </w:t>
      </w:r>
      <w:r>
        <w:rPr>
          <w:spacing w:val="-2"/>
        </w:rPr>
        <w:t>Assignments</w:t>
      </w:r>
    </w:p>
    <w:p>
      <w:pPr>
        <w:pStyle w:val="BodyText"/>
        <w:spacing w:before="8"/>
      </w:pPr>
    </w:p>
    <w:p>
      <w:pPr>
        <w:pStyle w:val="BodyText"/>
        <w:ind w:left="2439" w:right="1151"/>
      </w:pPr>
      <w:r>
        <w:rPr/>
        <w:t>Students are required to demonstrate through creative design projects, an understanding</w:t>
      </w:r>
      <w:r>
        <w:rPr>
          <w:spacing w:val="-2"/>
        </w:rPr>
        <w:t> </w:t>
      </w:r>
      <w:r>
        <w:rPr/>
        <w:t>of</w:t>
      </w:r>
      <w:r>
        <w:rPr>
          <w:spacing w:val="-2"/>
        </w:rPr>
        <w:t> </w:t>
      </w:r>
      <w:r>
        <w:rPr/>
        <w:t>the</w:t>
      </w:r>
      <w:r>
        <w:rPr>
          <w:spacing w:val="-4"/>
        </w:rPr>
        <w:t> </w:t>
      </w:r>
      <w:r>
        <w:rPr/>
        <w:t>design</w:t>
      </w:r>
      <w:r>
        <w:rPr>
          <w:spacing w:val="-4"/>
        </w:rPr>
        <w:t> </w:t>
      </w:r>
      <w:r>
        <w:rPr/>
        <w:t>process</w:t>
      </w:r>
      <w:r>
        <w:rPr>
          <w:spacing w:val="-3"/>
        </w:rPr>
        <w:t> </w:t>
      </w:r>
      <w:r>
        <w:rPr/>
        <w:t>and</w:t>
      </w:r>
      <w:r>
        <w:rPr>
          <w:spacing w:val="-4"/>
        </w:rPr>
        <w:t> </w:t>
      </w:r>
      <w:r>
        <w:rPr/>
        <w:t>an</w:t>
      </w:r>
      <w:r>
        <w:rPr>
          <w:spacing w:val="-2"/>
        </w:rPr>
        <w:t> </w:t>
      </w:r>
      <w:r>
        <w:rPr/>
        <w:t>ability</w:t>
      </w:r>
      <w:r>
        <w:rPr>
          <w:spacing w:val="-7"/>
        </w:rPr>
        <w:t> </w:t>
      </w:r>
      <w:r>
        <w:rPr/>
        <w:t>to</w:t>
      </w:r>
      <w:r>
        <w:rPr>
          <w:spacing w:val="-2"/>
        </w:rPr>
        <w:t> </w:t>
      </w:r>
      <w:r>
        <w:rPr/>
        <w:t>employ</w:t>
      </w:r>
      <w:r>
        <w:rPr>
          <w:spacing w:val="-7"/>
        </w:rPr>
        <w:t> </w:t>
      </w:r>
      <w:r>
        <w:rPr/>
        <w:t>the</w:t>
      </w:r>
      <w:r>
        <w:rPr>
          <w:spacing w:val="-4"/>
        </w:rPr>
        <w:t> </w:t>
      </w:r>
      <w:r>
        <w:rPr/>
        <w:t>skills</w:t>
      </w:r>
      <w:r>
        <w:rPr>
          <w:spacing w:val="-3"/>
        </w:rPr>
        <w:t> </w:t>
      </w:r>
      <w:r>
        <w:rPr/>
        <w:t>needed</w:t>
      </w:r>
      <w:r>
        <w:rPr>
          <w:spacing w:val="-4"/>
        </w:rPr>
        <w:t> </w:t>
      </w:r>
      <w:r>
        <w:rPr/>
        <w:t>to complete a complex design problem.</w:t>
      </w:r>
    </w:p>
    <w:p>
      <w:pPr>
        <w:pStyle w:val="BodyText"/>
        <w:spacing w:before="11"/>
      </w:pPr>
    </w:p>
    <w:p>
      <w:pPr>
        <w:pStyle w:val="BodyText"/>
        <w:ind w:left="2439" w:right="1311"/>
      </w:pPr>
      <w:r>
        <w:rPr/>
        <w:t>Additionally, in the 5th year studio, Design Thinking Skills criterion is demonstrated</w:t>
      </w:r>
      <w:r>
        <w:rPr>
          <w:spacing w:val="-5"/>
        </w:rPr>
        <w:t> </w:t>
      </w:r>
      <w:r>
        <w:rPr/>
        <w:t>in</w:t>
      </w:r>
      <w:r>
        <w:rPr>
          <w:spacing w:val="-5"/>
        </w:rPr>
        <w:t> </w:t>
      </w:r>
      <w:r>
        <w:rPr/>
        <w:t>the</w:t>
      </w:r>
      <w:r>
        <w:rPr>
          <w:spacing w:val="-5"/>
        </w:rPr>
        <w:t> </w:t>
      </w:r>
      <w:r>
        <w:rPr/>
        <w:t>implementation</w:t>
      </w:r>
      <w:r>
        <w:rPr>
          <w:spacing w:val="-5"/>
        </w:rPr>
        <w:t> </w:t>
      </w:r>
      <w:r>
        <w:rPr/>
        <w:t>of</w:t>
      </w:r>
      <w:r>
        <w:rPr>
          <w:spacing w:val="-3"/>
        </w:rPr>
        <w:t> </w:t>
      </w:r>
      <w:r>
        <w:rPr/>
        <w:t>the</w:t>
      </w:r>
      <w:r>
        <w:rPr>
          <w:spacing w:val="-5"/>
        </w:rPr>
        <w:t> </w:t>
      </w:r>
      <w:r>
        <w:rPr/>
        <w:t>research</w:t>
      </w:r>
      <w:r>
        <w:rPr>
          <w:spacing w:val="-3"/>
        </w:rPr>
        <w:t> </w:t>
      </w:r>
      <w:r>
        <w:rPr/>
        <w:t>plan,</w:t>
      </w:r>
      <w:r>
        <w:rPr>
          <w:spacing w:val="-3"/>
        </w:rPr>
        <w:t> </w:t>
      </w:r>
      <w:r>
        <w:rPr/>
        <w:t>in</w:t>
      </w:r>
      <w:r>
        <w:rPr>
          <w:spacing w:val="-3"/>
        </w:rPr>
        <w:t> </w:t>
      </w:r>
      <w:r>
        <w:rPr/>
        <w:t>the</w:t>
      </w:r>
      <w:r>
        <w:rPr>
          <w:spacing w:val="-3"/>
        </w:rPr>
        <w:t> </w:t>
      </w:r>
      <w:r>
        <w:rPr/>
        <w:t>assessment</w:t>
      </w:r>
      <w:r>
        <w:rPr>
          <w:spacing w:val="-5"/>
        </w:rPr>
        <w:t> </w:t>
      </w:r>
      <w:r>
        <w:rPr/>
        <w:t>of its effectiveness for answering the research questions, and in evaluating the design research products against the criteria defined by the student.</w:t>
      </w:r>
    </w:p>
    <w:p>
      <w:pPr>
        <w:pStyle w:val="BodyText"/>
        <w:spacing w:before="7"/>
      </w:pPr>
    </w:p>
    <w:p>
      <w:pPr>
        <w:pStyle w:val="ListParagraph"/>
        <w:numPr>
          <w:ilvl w:val="1"/>
          <w:numId w:val="30"/>
        </w:numPr>
        <w:tabs>
          <w:tab w:pos="2432" w:val="left" w:leader="none"/>
          <w:tab w:pos="2433" w:val="left" w:leader="none"/>
        </w:tabs>
        <w:spacing w:line="242" w:lineRule="auto" w:before="0" w:after="0"/>
        <w:ind w:left="2432" w:right="1359" w:hanging="929"/>
        <w:jc w:val="left"/>
        <w:rPr>
          <w:sz w:val="20"/>
        </w:rPr>
      </w:pPr>
      <w:r>
        <w:rPr>
          <w:sz w:val="20"/>
        </w:rPr>
        <w:t>Visual</w:t>
      </w:r>
      <w:r>
        <w:rPr>
          <w:spacing w:val="-7"/>
          <w:sz w:val="20"/>
        </w:rPr>
        <w:t> </w:t>
      </w:r>
      <w:r>
        <w:rPr>
          <w:sz w:val="20"/>
        </w:rPr>
        <w:t>Communication</w:t>
      </w:r>
      <w:r>
        <w:rPr>
          <w:spacing w:val="-5"/>
          <w:sz w:val="20"/>
        </w:rPr>
        <w:t> </w:t>
      </w:r>
      <w:r>
        <w:rPr>
          <w:sz w:val="20"/>
        </w:rPr>
        <w:t>Skills:</w:t>
      </w:r>
      <w:r>
        <w:rPr>
          <w:spacing w:val="-6"/>
          <w:sz w:val="20"/>
        </w:rPr>
        <w:t> </w:t>
      </w:r>
      <w:r>
        <w:rPr>
          <w:i/>
          <w:sz w:val="20"/>
        </w:rPr>
        <w:t>Ability</w:t>
      </w:r>
      <w:r>
        <w:rPr>
          <w:i/>
          <w:spacing w:val="-5"/>
          <w:sz w:val="20"/>
        </w:rPr>
        <w:t> </w:t>
      </w:r>
      <w:r>
        <w:rPr>
          <w:sz w:val="20"/>
        </w:rPr>
        <w:t>to</w:t>
      </w:r>
      <w:r>
        <w:rPr>
          <w:spacing w:val="-6"/>
          <w:sz w:val="20"/>
        </w:rPr>
        <w:t> </w:t>
      </w:r>
      <w:r>
        <w:rPr>
          <w:sz w:val="20"/>
        </w:rPr>
        <w:t>use</w:t>
      </w:r>
      <w:r>
        <w:rPr>
          <w:spacing w:val="-5"/>
          <w:sz w:val="20"/>
        </w:rPr>
        <w:t> </w:t>
      </w:r>
      <w:r>
        <w:rPr>
          <w:sz w:val="20"/>
        </w:rPr>
        <w:t>appropriate</w:t>
      </w:r>
      <w:r>
        <w:rPr>
          <w:spacing w:val="-5"/>
          <w:sz w:val="20"/>
        </w:rPr>
        <w:t> </w:t>
      </w:r>
      <w:r>
        <w:rPr>
          <w:sz w:val="20"/>
        </w:rPr>
        <w:t>representational</w:t>
      </w:r>
      <w:r>
        <w:rPr>
          <w:spacing w:val="-7"/>
          <w:sz w:val="20"/>
        </w:rPr>
        <w:t> </w:t>
      </w:r>
      <w:r>
        <w:rPr>
          <w:sz w:val="20"/>
        </w:rPr>
        <w:t>media, such as traditional graphic and digital technology skills, to convey essential formal elements at each stage of the programming and design process.</w:t>
      </w:r>
    </w:p>
    <w:p>
      <w:pPr>
        <w:pStyle w:val="BodyText"/>
        <w:spacing w:before="7"/>
      </w:pPr>
    </w:p>
    <w:p>
      <w:pPr>
        <w:pStyle w:val="BodyText"/>
        <w:tabs>
          <w:tab w:pos="3879" w:val="left" w:leader="none"/>
          <w:tab w:pos="7479" w:val="left" w:leader="none"/>
        </w:tabs>
        <w:ind w:left="2439" w:right="2646"/>
      </w:pPr>
      <w:r>
        <w:rPr/>
        <w:t>ARC 203-204</w:t>
        <w:tab/>
        <w:t>Architectural Representation 1 and 2</w:t>
        <w:tab/>
      </w:r>
      <w:r>
        <w:rPr>
          <w:spacing w:val="-2"/>
        </w:rPr>
        <w:t>Papers </w:t>
      </w:r>
      <w:r>
        <w:rPr/>
        <w:t>ARC</w:t>
      </w:r>
      <w:r>
        <w:rPr>
          <w:spacing w:val="-7"/>
        </w:rPr>
        <w:t> </w:t>
      </w:r>
      <w:r>
        <w:rPr>
          <w:spacing w:val="-2"/>
        </w:rPr>
        <w:t>601/602</w:t>
      </w:r>
      <w:r>
        <w:rPr/>
        <w:tab/>
        <w:t>Design</w:t>
      </w:r>
      <w:r>
        <w:rPr>
          <w:spacing w:val="-5"/>
        </w:rPr>
        <w:t> </w:t>
      </w:r>
      <w:r>
        <w:rPr/>
        <w:t>Research</w:t>
      </w:r>
      <w:r>
        <w:rPr>
          <w:spacing w:val="-6"/>
        </w:rPr>
        <w:t> </w:t>
      </w:r>
      <w:r>
        <w:rPr/>
        <w:t>Thesis</w:t>
      </w:r>
      <w:r>
        <w:rPr>
          <w:spacing w:val="-3"/>
        </w:rPr>
        <w:t> </w:t>
      </w:r>
      <w:r>
        <w:rPr/>
        <w:t>Studio</w:t>
      </w:r>
      <w:r>
        <w:rPr>
          <w:spacing w:val="-6"/>
        </w:rPr>
        <w:t> </w:t>
      </w:r>
      <w:r>
        <w:rPr/>
        <w:t>I</w:t>
      </w:r>
      <w:r>
        <w:rPr>
          <w:spacing w:val="-5"/>
        </w:rPr>
        <w:t> </w:t>
      </w:r>
      <w:r>
        <w:rPr/>
        <w:t>&amp;</w:t>
      </w:r>
      <w:r>
        <w:rPr>
          <w:spacing w:val="-7"/>
        </w:rPr>
        <w:t> </w:t>
      </w:r>
      <w:r>
        <w:rPr>
          <w:spacing w:val="-5"/>
        </w:rPr>
        <w:t>II</w:t>
      </w:r>
      <w:r>
        <w:rPr/>
        <w:tab/>
      </w:r>
      <w:r>
        <w:rPr>
          <w:spacing w:val="-2"/>
        </w:rPr>
        <w:t>Papers</w:t>
      </w:r>
    </w:p>
    <w:p>
      <w:pPr>
        <w:pStyle w:val="BodyText"/>
        <w:spacing w:before="8"/>
      </w:pPr>
    </w:p>
    <w:p>
      <w:pPr>
        <w:pStyle w:val="BodyText"/>
        <w:ind w:left="2439" w:right="1211"/>
      </w:pPr>
      <w:r>
        <w:rPr/>
        <w:t>In the studio, this is demonstrated in the construction of the thesis, the case studies,</w:t>
      </w:r>
      <w:r>
        <w:rPr>
          <w:spacing w:val="-4"/>
        </w:rPr>
        <w:t> </w:t>
      </w:r>
      <w:r>
        <w:rPr/>
        <w:t>and</w:t>
      </w:r>
      <w:r>
        <w:rPr>
          <w:spacing w:val="-4"/>
        </w:rPr>
        <w:t> </w:t>
      </w:r>
      <w:r>
        <w:rPr/>
        <w:t>the</w:t>
      </w:r>
      <w:r>
        <w:rPr>
          <w:spacing w:val="-4"/>
        </w:rPr>
        <w:t> </w:t>
      </w:r>
      <w:r>
        <w:rPr/>
        <w:t>diagramming</w:t>
      </w:r>
      <w:r>
        <w:rPr>
          <w:spacing w:val="-6"/>
        </w:rPr>
        <w:t> </w:t>
      </w:r>
      <w:r>
        <w:rPr/>
        <w:t>of</w:t>
      </w:r>
      <w:r>
        <w:rPr>
          <w:spacing w:val="-4"/>
        </w:rPr>
        <w:t> </w:t>
      </w:r>
      <w:r>
        <w:rPr/>
        <w:t>the</w:t>
      </w:r>
      <w:r>
        <w:rPr>
          <w:spacing w:val="-4"/>
        </w:rPr>
        <w:t> </w:t>
      </w:r>
      <w:r>
        <w:rPr/>
        <w:t>architectural</w:t>
      </w:r>
      <w:r>
        <w:rPr>
          <w:spacing w:val="-5"/>
        </w:rPr>
        <w:t> </w:t>
      </w:r>
      <w:r>
        <w:rPr/>
        <w:t>problem</w:t>
      </w:r>
      <w:r>
        <w:rPr>
          <w:spacing w:val="-1"/>
        </w:rPr>
        <w:t> </w:t>
      </w:r>
      <w:r>
        <w:rPr/>
        <w:t>and</w:t>
      </w:r>
      <w:r>
        <w:rPr>
          <w:spacing w:val="-6"/>
        </w:rPr>
        <w:t> </w:t>
      </w:r>
      <w:r>
        <w:rPr/>
        <w:t>of</w:t>
      </w:r>
      <w:r>
        <w:rPr>
          <w:spacing w:val="-4"/>
        </w:rPr>
        <w:t> </w:t>
      </w:r>
      <w:r>
        <w:rPr/>
        <w:t>the</w:t>
      </w:r>
      <w:r>
        <w:rPr>
          <w:spacing w:val="-6"/>
        </w:rPr>
        <w:t> </w:t>
      </w:r>
      <w:r>
        <w:rPr/>
        <w:t>proposal </w:t>
      </w:r>
      <w:r>
        <w:rPr>
          <w:spacing w:val="-2"/>
        </w:rPr>
        <w:t>argument.</w:t>
      </w:r>
    </w:p>
    <w:p>
      <w:pPr>
        <w:pStyle w:val="BodyText"/>
        <w:spacing w:before="9"/>
      </w:pPr>
    </w:p>
    <w:p>
      <w:pPr>
        <w:pStyle w:val="ListParagraph"/>
        <w:numPr>
          <w:ilvl w:val="1"/>
          <w:numId w:val="30"/>
        </w:numPr>
        <w:tabs>
          <w:tab w:pos="2432" w:val="left" w:leader="none"/>
          <w:tab w:pos="2433" w:val="left" w:leader="none"/>
        </w:tabs>
        <w:spacing w:line="240" w:lineRule="auto" w:before="0" w:after="0"/>
        <w:ind w:left="2432" w:right="1145" w:hanging="929"/>
        <w:jc w:val="left"/>
        <w:rPr>
          <w:sz w:val="20"/>
        </w:rPr>
      </w:pPr>
      <w:r>
        <w:rPr>
          <w:sz w:val="20"/>
        </w:rPr>
        <w:t>Technical</w:t>
      </w:r>
      <w:r>
        <w:rPr>
          <w:spacing w:val="-6"/>
          <w:sz w:val="20"/>
        </w:rPr>
        <w:t> </w:t>
      </w:r>
      <w:r>
        <w:rPr>
          <w:sz w:val="20"/>
        </w:rPr>
        <w:t>Documentation:</w:t>
      </w:r>
      <w:r>
        <w:rPr>
          <w:spacing w:val="-2"/>
          <w:sz w:val="20"/>
        </w:rPr>
        <w:t> </w:t>
      </w:r>
      <w:r>
        <w:rPr>
          <w:i/>
          <w:sz w:val="20"/>
        </w:rPr>
        <w:t>Ability</w:t>
      </w:r>
      <w:r>
        <w:rPr>
          <w:i/>
          <w:spacing w:val="-4"/>
          <w:sz w:val="20"/>
        </w:rPr>
        <w:t> </w:t>
      </w:r>
      <w:r>
        <w:rPr>
          <w:sz w:val="20"/>
        </w:rPr>
        <w:t>to</w:t>
      </w:r>
      <w:r>
        <w:rPr>
          <w:spacing w:val="-5"/>
          <w:sz w:val="20"/>
        </w:rPr>
        <w:t> </w:t>
      </w:r>
      <w:r>
        <w:rPr>
          <w:sz w:val="20"/>
        </w:rPr>
        <w:t>make</w:t>
      </w:r>
      <w:r>
        <w:rPr>
          <w:spacing w:val="-5"/>
          <w:sz w:val="20"/>
        </w:rPr>
        <w:t> </w:t>
      </w:r>
      <w:r>
        <w:rPr>
          <w:sz w:val="20"/>
        </w:rPr>
        <w:t>technically</w:t>
      </w:r>
      <w:r>
        <w:rPr>
          <w:spacing w:val="-8"/>
          <w:sz w:val="20"/>
        </w:rPr>
        <w:t> </w:t>
      </w:r>
      <w:r>
        <w:rPr>
          <w:sz w:val="20"/>
        </w:rPr>
        <w:t>clear</w:t>
      </w:r>
      <w:r>
        <w:rPr>
          <w:spacing w:val="-4"/>
          <w:sz w:val="20"/>
        </w:rPr>
        <w:t> </w:t>
      </w:r>
      <w:r>
        <w:rPr>
          <w:sz w:val="20"/>
        </w:rPr>
        <w:t>drawings,</w:t>
      </w:r>
      <w:r>
        <w:rPr>
          <w:spacing w:val="-3"/>
          <w:sz w:val="20"/>
        </w:rPr>
        <w:t> </w:t>
      </w:r>
      <w:r>
        <w:rPr>
          <w:sz w:val="20"/>
        </w:rPr>
        <w:t>write</w:t>
      </w:r>
      <w:r>
        <w:rPr>
          <w:spacing w:val="-5"/>
          <w:sz w:val="20"/>
        </w:rPr>
        <w:t> </w:t>
      </w:r>
      <w:r>
        <w:rPr>
          <w:sz w:val="20"/>
        </w:rPr>
        <w:t>outline specifications, and prepare models illustrating and identifying the assembly of materials, systems, and components appropriate for a building design.</w:t>
      </w:r>
    </w:p>
    <w:p>
      <w:pPr>
        <w:pStyle w:val="BodyText"/>
        <w:rPr>
          <w:sz w:val="21"/>
        </w:rPr>
      </w:pPr>
    </w:p>
    <w:p>
      <w:pPr>
        <w:pStyle w:val="BodyText"/>
        <w:tabs>
          <w:tab w:pos="3879" w:val="left" w:leader="none"/>
          <w:tab w:pos="7479" w:val="left" w:leader="none"/>
        </w:tabs>
        <w:ind w:left="2439"/>
      </w:pPr>
      <w:r>
        <w:rPr/>
        <w:t>ARC</w:t>
      </w:r>
      <w:r>
        <w:rPr>
          <w:spacing w:val="-11"/>
        </w:rPr>
        <w:t> </w:t>
      </w:r>
      <w:r>
        <w:rPr/>
        <w:t>405-</w:t>
      </w:r>
      <w:r>
        <w:rPr>
          <w:spacing w:val="-5"/>
        </w:rPr>
        <w:t>406</w:t>
      </w:r>
      <w:r>
        <w:rPr/>
        <w:tab/>
        <w:t>Design</w:t>
      </w:r>
      <w:r>
        <w:rPr>
          <w:spacing w:val="-4"/>
        </w:rPr>
        <w:t> </w:t>
      </w:r>
      <w:r>
        <w:rPr/>
        <w:t>Studio</w:t>
      </w:r>
      <w:r>
        <w:rPr>
          <w:spacing w:val="-6"/>
        </w:rPr>
        <w:t> </w:t>
      </w:r>
      <w:r>
        <w:rPr/>
        <w:t>8</w:t>
      </w:r>
      <w:r>
        <w:rPr>
          <w:spacing w:val="-3"/>
        </w:rPr>
        <w:t> </w:t>
      </w:r>
      <w:r>
        <w:rPr/>
        <w:t>and</w:t>
      </w:r>
      <w:r>
        <w:rPr>
          <w:spacing w:val="-6"/>
        </w:rPr>
        <w:t> </w:t>
      </w:r>
      <w:r>
        <w:rPr>
          <w:spacing w:val="-10"/>
        </w:rPr>
        <w:t>9</w:t>
      </w:r>
      <w:r>
        <w:rPr/>
        <w:tab/>
        <w:t>Project</w:t>
      </w:r>
      <w:r>
        <w:rPr>
          <w:spacing w:val="-9"/>
        </w:rPr>
        <w:t> </w:t>
      </w:r>
      <w:r>
        <w:rPr>
          <w:spacing w:val="-2"/>
        </w:rPr>
        <w:t>Assignments</w:t>
      </w:r>
    </w:p>
    <w:p>
      <w:pPr>
        <w:pStyle w:val="BodyText"/>
        <w:tabs>
          <w:tab w:pos="3879" w:val="left" w:leader="none"/>
          <w:tab w:pos="7479" w:val="left" w:leader="none"/>
        </w:tabs>
        <w:spacing w:line="491" w:lineRule="auto" w:before="1"/>
        <w:ind w:left="2439" w:right="1456"/>
      </w:pPr>
      <w:r>
        <w:rPr/>
        <w:t>ARC 518</w:t>
        <w:tab/>
        <w:t>Professional Practice II</w:t>
        <w:tab/>
        <w:t>Project</w:t>
      </w:r>
      <w:r>
        <w:rPr>
          <w:spacing w:val="-14"/>
        </w:rPr>
        <w:t> </w:t>
      </w:r>
      <w:r>
        <w:rPr/>
        <w:t>Assignments Students are required to present their design solutions in a readable,</w:t>
      </w:r>
    </w:p>
    <w:p>
      <w:pPr>
        <w:spacing w:after="0" w:line="491" w:lineRule="auto"/>
        <w:sectPr>
          <w:headerReference w:type="default" r:id="rId99"/>
          <w:footerReference w:type="default" r:id="rId100"/>
          <w:pgSz w:w="12240" w:h="15840"/>
          <w:pgMar w:header="0" w:footer="974" w:top="1600" w:bottom="1160" w:left="1160" w:right="320"/>
          <w:pgNumType w:start="1"/>
        </w:sectPr>
      </w:pPr>
    </w:p>
    <w:p>
      <w:pPr>
        <w:pStyle w:val="ListParagraph"/>
        <w:numPr>
          <w:ilvl w:val="1"/>
          <w:numId w:val="30"/>
        </w:numPr>
        <w:tabs>
          <w:tab w:pos="2432" w:val="left" w:leader="none"/>
          <w:tab w:pos="2433" w:val="left" w:leader="none"/>
        </w:tabs>
        <w:spacing w:line="242" w:lineRule="auto" w:before="75" w:after="0"/>
        <w:ind w:left="2432" w:right="1463" w:hanging="929"/>
        <w:jc w:val="left"/>
        <w:rPr>
          <w:sz w:val="20"/>
        </w:rPr>
      </w:pPr>
      <w:r>
        <w:rPr>
          <w:sz w:val="20"/>
        </w:rPr>
        <w:t>Investigative</w:t>
      </w:r>
      <w:r>
        <w:rPr>
          <w:spacing w:val="-3"/>
          <w:sz w:val="20"/>
        </w:rPr>
        <w:t> </w:t>
      </w:r>
      <w:r>
        <w:rPr>
          <w:sz w:val="20"/>
        </w:rPr>
        <w:t>Skills:</w:t>
      </w:r>
      <w:r>
        <w:rPr>
          <w:spacing w:val="-3"/>
          <w:sz w:val="20"/>
        </w:rPr>
        <w:t> </w:t>
      </w:r>
      <w:r>
        <w:rPr>
          <w:i/>
          <w:sz w:val="20"/>
        </w:rPr>
        <w:t>Ability</w:t>
      </w:r>
      <w:r>
        <w:rPr>
          <w:i/>
          <w:spacing w:val="-4"/>
          <w:sz w:val="20"/>
        </w:rPr>
        <w:t> </w:t>
      </w:r>
      <w:r>
        <w:rPr>
          <w:sz w:val="20"/>
        </w:rPr>
        <w:t>to</w:t>
      </w:r>
      <w:r>
        <w:rPr>
          <w:spacing w:val="-5"/>
          <w:sz w:val="20"/>
        </w:rPr>
        <w:t> </w:t>
      </w:r>
      <w:r>
        <w:rPr>
          <w:sz w:val="20"/>
        </w:rPr>
        <w:t>gather,</w:t>
      </w:r>
      <w:r>
        <w:rPr>
          <w:spacing w:val="-5"/>
          <w:sz w:val="20"/>
        </w:rPr>
        <w:t> </w:t>
      </w:r>
      <w:r>
        <w:rPr>
          <w:sz w:val="20"/>
        </w:rPr>
        <w:t>assess,</w:t>
      </w:r>
      <w:r>
        <w:rPr>
          <w:spacing w:val="-5"/>
          <w:sz w:val="20"/>
        </w:rPr>
        <w:t> </w:t>
      </w:r>
      <w:r>
        <w:rPr>
          <w:sz w:val="20"/>
        </w:rPr>
        <w:t>record,</w:t>
      </w:r>
      <w:r>
        <w:rPr>
          <w:spacing w:val="-3"/>
          <w:sz w:val="20"/>
        </w:rPr>
        <w:t> </w:t>
      </w:r>
      <w:r>
        <w:rPr>
          <w:sz w:val="20"/>
        </w:rPr>
        <w:t>apply,</w:t>
      </w:r>
      <w:r>
        <w:rPr>
          <w:spacing w:val="-3"/>
          <w:sz w:val="20"/>
        </w:rPr>
        <w:t> </w:t>
      </w:r>
      <w:r>
        <w:rPr>
          <w:sz w:val="20"/>
        </w:rPr>
        <w:t>and</w:t>
      </w:r>
      <w:r>
        <w:rPr>
          <w:spacing w:val="-5"/>
          <w:sz w:val="20"/>
        </w:rPr>
        <w:t> </w:t>
      </w:r>
      <w:r>
        <w:rPr>
          <w:sz w:val="20"/>
        </w:rPr>
        <w:t>comparatively evaluate relevant information within architectural coursework and design </w:t>
      </w:r>
      <w:r>
        <w:rPr>
          <w:spacing w:val="-2"/>
          <w:sz w:val="20"/>
        </w:rPr>
        <w:t>processes.</w:t>
      </w:r>
    </w:p>
    <w:p>
      <w:pPr>
        <w:pStyle w:val="BodyText"/>
        <w:spacing w:before="4"/>
      </w:pPr>
    </w:p>
    <w:p>
      <w:pPr>
        <w:pStyle w:val="BodyText"/>
        <w:tabs>
          <w:tab w:pos="3879" w:val="left" w:leader="none"/>
          <w:tab w:pos="7479" w:val="left" w:leader="none"/>
        </w:tabs>
        <w:ind w:left="2440" w:right="1333" w:hanging="1"/>
      </w:pPr>
      <w:r>
        <w:rPr/>
        <w:t>ARC 405-406</w:t>
        <w:tab/>
        <w:t>Design Studio 8 and 9</w:t>
        <w:tab/>
        <w:t>Project Assignments ARC</w:t>
      </w:r>
      <w:r>
        <w:rPr>
          <w:spacing w:val="-7"/>
        </w:rPr>
        <w:t> </w:t>
      </w:r>
      <w:r>
        <w:rPr>
          <w:spacing w:val="-2"/>
        </w:rPr>
        <w:t>601/602</w:t>
      </w:r>
      <w:r>
        <w:rPr/>
        <w:tab/>
        <w:t>Design</w:t>
      </w:r>
      <w:r>
        <w:rPr>
          <w:spacing w:val="-5"/>
        </w:rPr>
        <w:t> </w:t>
      </w:r>
      <w:r>
        <w:rPr/>
        <w:t>Research</w:t>
      </w:r>
      <w:r>
        <w:rPr>
          <w:spacing w:val="-6"/>
        </w:rPr>
        <w:t> </w:t>
      </w:r>
      <w:r>
        <w:rPr/>
        <w:t>Thesis</w:t>
      </w:r>
      <w:r>
        <w:rPr>
          <w:spacing w:val="-3"/>
        </w:rPr>
        <w:t> </w:t>
      </w:r>
      <w:r>
        <w:rPr/>
        <w:t>Studio</w:t>
      </w:r>
      <w:r>
        <w:rPr>
          <w:spacing w:val="-6"/>
        </w:rPr>
        <w:t> </w:t>
      </w:r>
      <w:r>
        <w:rPr/>
        <w:t>I</w:t>
      </w:r>
      <w:r>
        <w:rPr>
          <w:spacing w:val="-5"/>
        </w:rPr>
        <w:t> </w:t>
      </w:r>
      <w:r>
        <w:rPr/>
        <w:t>&amp;</w:t>
      </w:r>
      <w:r>
        <w:rPr>
          <w:spacing w:val="-7"/>
        </w:rPr>
        <w:t> </w:t>
      </w:r>
      <w:r>
        <w:rPr>
          <w:spacing w:val="-5"/>
        </w:rPr>
        <w:t>II</w:t>
      </w:r>
      <w:r>
        <w:rPr/>
        <w:tab/>
      </w:r>
      <w:r>
        <w:rPr>
          <w:spacing w:val="-56"/>
        </w:rPr>
        <w:t> </w:t>
      </w:r>
      <w:r>
        <w:rPr/>
        <w:t>Papers</w:t>
      </w:r>
      <w:r>
        <w:rPr>
          <w:spacing w:val="-4"/>
        </w:rPr>
        <w:t> </w:t>
      </w:r>
      <w:r>
        <w:rPr/>
        <w:t>/</w:t>
      </w:r>
      <w:r>
        <w:rPr>
          <w:spacing w:val="-5"/>
        </w:rPr>
        <w:t> </w:t>
      </w:r>
      <w:r>
        <w:rPr>
          <w:spacing w:val="-2"/>
        </w:rPr>
        <w:t>Assignments</w:t>
      </w:r>
    </w:p>
    <w:p>
      <w:pPr>
        <w:pStyle w:val="BodyText"/>
        <w:spacing w:before="11"/>
      </w:pPr>
    </w:p>
    <w:p>
      <w:pPr>
        <w:pStyle w:val="BodyText"/>
        <w:ind w:left="2440" w:right="1211"/>
      </w:pPr>
      <w:r>
        <w:rPr/>
        <w:t>At</w:t>
      </w:r>
      <w:r>
        <w:rPr>
          <w:spacing w:val="-5"/>
        </w:rPr>
        <w:t> </w:t>
      </w:r>
      <w:r>
        <w:rPr/>
        <w:t>the</w:t>
      </w:r>
      <w:r>
        <w:rPr>
          <w:spacing w:val="-5"/>
        </w:rPr>
        <w:t> </w:t>
      </w:r>
      <w:r>
        <w:rPr/>
        <w:t>fourth</w:t>
      </w:r>
      <w:r>
        <w:rPr>
          <w:spacing w:val="-1"/>
        </w:rPr>
        <w:t> </w:t>
      </w:r>
      <w:r>
        <w:rPr/>
        <w:t>year</w:t>
      </w:r>
      <w:r>
        <w:rPr>
          <w:spacing w:val="-4"/>
        </w:rPr>
        <w:t> </w:t>
      </w:r>
      <w:r>
        <w:rPr/>
        <w:t>design</w:t>
      </w:r>
      <w:r>
        <w:rPr>
          <w:spacing w:val="-5"/>
        </w:rPr>
        <w:t> </w:t>
      </w:r>
      <w:r>
        <w:rPr/>
        <w:t>studio,</w:t>
      </w:r>
      <w:r>
        <w:rPr>
          <w:spacing w:val="-5"/>
        </w:rPr>
        <w:t> </w:t>
      </w:r>
      <w:r>
        <w:rPr/>
        <w:t>students</w:t>
      </w:r>
      <w:r>
        <w:rPr>
          <w:spacing w:val="-4"/>
        </w:rPr>
        <w:t> </w:t>
      </w:r>
      <w:r>
        <w:rPr/>
        <w:t>conduct</w:t>
      </w:r>
      <w:r>
        <w:rPr>
          <w:spacing w:val="-5"/>
        </w:rPr>
        <w:t> </w:t>
      </w:r>
      <w:r>
        <w:rPr/>
        <w:t>research</w:t>
      </w:r>
      <w:r>
        <w:rPr>
          <w:spacing w:val="-5"/>
        </w:rPr>
        <w:t> </w:t>
      </w:r>
      <w:r>
        <w:rPr/>
        <w:t>on</w:t>
      </w:r>
      <w:r>
        <w:rPr>
          <w:spacing w:val="-5"/>
        </w:rPr>
        <w:t> </w:t>
      </w:r>
      <w:r>
        <w:rPr/>
        <w:t>building</w:t>
      </w:r>
      <w:r>
        <w:rPr>
          <w:spacing w:val="-3"/>
        </w:rPr>
        <w:t> </w:t>
      </w:r>
      <w:r>
        <w:rPr/>
        <w:t>systems and LEED requirements for the development of a LEED certification strategy.</w:t>
      </w:r>
    </w:p>
    <w:p>
      <w:pPr>
        <w:pStyle w:val="BodyText"/>
        <w:spacing w:before="1"/>
        <w:ind w:left="2440" w:right="1151"/>
      </w:pPr>
      <w:r>
        <w:rPr/>
        <w:t>Students</w:t>
      </w:r>
      <w:r>
        <w:rPr>
          <w:spacing w:val="-4"/>
        </w:rPr>
        <w:t> </w:t>
      </w:r>
      <w:r>
        <w:rPr/>
        <w:t>also</w:t>
      </w:r>
      <w:r>
        <w:rPr>
          <w:spacing w:val="-5"/>
        </w:rPr>
        <w:t> </w:t>
      </w:r>
      <w:r>
        <w:rPr/>
        <w:t>conduct</w:t>
      </w:r>
      <w:r>
        <w:rPr>
          <w:spacing w:val="-5"/>
        </w:rPr>
        <w:t> </w:t>
      </w:r>
      <w:r>
        <w:rPr/>
        <w:t>research</w:t>
      </w:r>
      <w:r>
        <w:rPr>
          <w:spacing w:val="-5"/>
        </w:rPr>
        <w:t> </w:t>
      </w:r>
      <w:r>
        <w:rPr/>
        <w:t>on</w:t>
      </w:r>
      <w:r>
        <w:rPr>
          <w:spacing w:val="-5"/>
        </w:rPr>
        <w:t> </w:t>
      </w:r>
      <w:r>
        <w:rPr/>
        <w:t>code</w:t>
      </w:r>
      <w:r>
        <w:rPr>
          <w:spacing w:val="-5"/>
        </w:rPr>
        <w:t> </w:t>
      </w:r>
      <w:r>
        <w:rPr/>
        <w:t>requirement,</w:t>
      </w:r>
      <w:r>
        <w:rPr>
          <w:spacing w:val="-3"/>
        </w:rPr>
        <w:t> </w:t>
      </w:r>
      <w:r>
        <w:rPr/>
        <w:t>zoning</w:t>
      </w:r>
      <w:r>
        <w:rPr>
          <w:spacing w:val="-5"/>
        </w:rPr>
        <w:t> </w:t>
      </w:r>
      <w:r>
        <w:rPr/>
        <w:t>issues</w:t>
      </w:r>
      <w:r>
        <w:rPr>
          <w:spacing w:val="-4"/>
        </w:rPr>
        <w:t> </w:t>
      </w:r>
      <w:r>
        <w:rPr/>
        <w:t>and</w:t>
      </w:r>
      <w:r>
        <w:rPr>
          <w:spacing w:val="-3"/>
        </w:rPr>
        <w:t> </w:t>
      </w:r>
      <w:r>
        <w:rPr/>
        <w:t>building </w:t>
      </w:r>
      <w:r>
        <w:rPr>
          <w:spacing w:val="-2"/>
        </w:rPr>
        <w:t>programming.</w:t>
      </w:r>
    </w:p>
    <w:p>
      <w:pPr>
        <w:pStyle w:val="BodyText"/>
        <w:spacing w:before="8"/>
      </w:pPr>
    </w:p>
    <w:p>
      <w:pPr>
        <w:pStyle w:val="BodyText"/>
        <w:ind w:left="2440" w:right="1195"/>
      </w:pPr>
      <w:r>
        <w:rPr/>
        <w:t>In this 5th year studio students must demonstrate competency in A.5 Investigative Skills</w:t>
      </w:r>
      <w:r>
        <w:rPr>
          <w:spacing w:val="40"/>
        </w:rPr>
        <w:t> </w:t>
      </w:r>
      <w:r>
        <w:rPr/>
        <w:t>as they individually search for an architectural problem</w:t>
      </w:r>
      <w:r>
        <w:rPr>
          <w:spacing w:val="40"/>
        </w:rPr>
        <w:t> </w:t>
      </w:r>
      <w:r>
        <w:rPr/>
        <w:t>to define</w:t>
      </w:r>
      <w:r>
        <w:rPr>
          <w:spacing w:val="-2"/>
        </w:rPr>
        <w:t> </w:t>
      </w:r>
      <w:r>
        <w:rPr/>
        <w:t>and</w:t>
      </w:r>
      <w:r>
        <w:rPr>
          <w:spacing w:val="-2"/>
        </w:rPr>
        <w:t> </w:t>
      </w:r>
      <w:r>
        <w:rPr/>
        <w:t>articulate</w:t>
      </w:r>
      <w:r>
        <w:rPr>
          <w:spacing w:val="-4"/>
        </w:rPr>
        <w:t> </w:t>
      </w:r>
      <w:r>
        <w:rPr/>
        <w:t>a</w:t>
      </w:r>
      <w:r>
        <w:rPr>
          <w:spacing w:val="-4"/>
        </w:rPr>
        <w:t> </w:t>
      </w:r>
      <w:r>
        <w:rPr/>
        <w:t>thesis.</w:t>
      </w:r>
      <w:r>
        <w:rPr>
          <w:spacing w:val="-4"/>
        </w:rPr>
        <w:t> </w:t>
      </w:r>
      <w:r>
        <w:rPr/>
        <w:t>They</w:t>
      </w:r>
      <w:r>
        <w:rPr>
          <w:spacing w:val="-9"/>
        </w:rPr>
        <w:t> </w:t>
      </w:r>
      <w:r>
        <w:rPr/>
        <w:t>must</w:t>
      </w:r>
      <w:r>
        <w:rPr>
          <w:spacing w:val="-4"/>
        </w:rPr>
        <w:t> </w:t>
      </w:r>
      <w:r>
        <w:rPr/>
        <w:t>make</w:t>
      </w:r>
      <w:r>
        <w:rPr>
          <w:spacing w:val="-4"/>
        </w:rPr>
        <w:t> </w:t>
      </w:r>
      <w:r>
        <w:rPr/>
        <w:t>use</w:t>
      </w:r>
      <w:r>
        <w:rPr>
          <w:spacing w:val="-4"/>
        </w:rPr>
        <w:t> </w:t>
      </w:r>
      <w:r>
        <w:rPr/>
        <w:t>of</w:t>
      </w:r>
      <w:r>
        <w:rPr>
          <w:spacing w:val="-2"/>
        </w:rPr>
        <w:t> </w:t>
      </w:r>
      <w:r>
        <w:rPr/>
        <w:t>the</w:t>
      </w:r>
      <w:r>
        <w:rPr>
          <w:spacing w:val="-4"/>
        </w:rPr>
        <w:t> </w:t>
      </w:r>
      <w:r>
        <w:rPr/>
        <w:t>results</w:t>
      </w:r>
      <w:r>
        <w:rPr>
          <w:spacing w:val="-3"/>
        </w:rPr>
        <w:t> </w:t>
      </w:r>
      <w:r>
        <w:rPr/>
        <w:t>of</w:t>
      </w:r>
      <w:r>
        <w:rPr>
          <w:spacing w:val="-2"/>
        </w:rPr>
        <w:t> </w:t>
      </w:r>
      <w:r>
        <w:rPr/>
        <w:t>A.11</w:t>
      </w:r>
      <w:r>
        <w:rPr>
          <w:spacing w:val="-4"/>
        </w:rPr>
        <w:t> </w:t>
      </w:r>
      <w:r>
        <w:rPr/>
        <w:t>Applied Research as they must use evidence to support the thesis rationale. The evidence</w:t>
      </w:r>
      <w:r>
        <w:rPr>
          <w:spacing w:val="-6"/>
        </w:rPr>
        <w:t> </w:t>
      </w:r>
      <w:r>
        <w:rPr/>
        <w:t>is</w:t>
      </w:r>
      <w:r>
        <w:rPr>
          <w:spacing w:val="-5"/>
        </w:rPr>
        <w:t> </w:t>
      </w:r>
      <w:r>
        <w:rPr/>
        <w:t>generated</w:t>
      </w:r>
      <w:r>
        <w:rPr>
          <w:spacing w:val="-4"/>
        </w:rPr>
        <w:t> </w:t>
      </w:r>
      <w:r>
        <w:rPr/>
        <w:t>from</w:t>
      </w:r>
      <w:r>
        <w:rPr>
          <w:spacing w:val="-4"/>
        </w:rPr>
        <w:t> </w:t>
      </w:r>
      <w:r>
        <w:rPr/>
        <w:t>researching</w:t>
      </w:r>
      <w:r>
        <w:rPr>
          <w:spacing w:val="-6"/>
        </w:rPr>
        <w:t> </w:t>
      </w:r>
      <w:r>
        <w:rPr/>
        <w:t>the</w:t>
      </w:r>
      <w:r>
        <w:rPr>
          <w:spacing w:val="-6"/>
        </w:rPr>
        <w:t> </w:t>
      </w:r>
      <w:r>
        <w:rPr/>
        <w:t>manufacture</w:t>
      </w:r>
      <w:r>
        <w:rPr>
          <w:spacing w:val="-6"/>
        </w:rPr>
        <w:t> </w:t>
      </w:r>
      <w:r>
        <w:rPr/>
        <w:t>and</w:t>
      </w:r>
      <w:r>
        <w:rPr>
          <w:spacing w:val="-6"/>
        </w:rPr>
        <w:t> </w:t>
      </w:r>
      <w:r>
        <w:rPr/>
        <w:t>function</w:t>
      </w:r>
      <w:r>
        <w:rPr>
          <w:spacing w:val="-4"/>
        </w:rPr>
        <w:t> </w:t>
      </w:r>
      <w:r>
        <w:rPr/>
        <w:t>of</w:t>
      </w:r>
      <w:r>
        <w:rPr>
          <w:spacing w:val="-4"/>
        </w:rPr>
        <w:t> </w:t>
      </w:r>
      <w:r>
        <w:rPr/>
        <w:t>building systems, assemblies and materials, and from the analysis of architectural work, as well as consider insights gained from research on behavior and social and economic sciences.</w:t>
      </w:r>
      <w:r>
        <w:rPr>
          <w:spacing w:val="40"/>
        </w:rPr>
        <w:t> </w:t>
      </w:r>
      <w:r>
        <w:rPr/>
        <w:t>This is demonstrated in the critical assessment of the research process and products as the students compare/contrast their results with architectural projects, and research on the problem and solution. Students must place the intermediate findings of their research in the larger context of the professional community. Tangible demonstration of this understanding can be found in the summative reflective essay, and in the design work.</w:t>
      </w:r>
    </w:p>
    <w:p>
      <w:pPr>
        <w:pStyle w:val="BodyText"/>
        <w:spacing w:before="9"/>
      </w:pPr>
    </w:p>
    <w:p>
      <w:pPr>
        <w:pStyle w:val="ListParagraph"/>
        <w:numPr>
          <w:ilvl w:val="1"/>
          <w:numId w:val="30"/>
        </w:numPr>
        <w:tabs>
          <w:tab w:pos="2432" w:val="left" w:leader="none"/>
          <w:tab w:pos="2433" w:val="left" w:leader="none"/>
        </w:tabs>
        <w:spacing w:line="242" w:lineRule="auto" w:before="0" w:after="0"/>
        <w:ind w:left="2432" w:right="1714" w:hanging="929"/>
        <w:jc w:val="left"/>
        <w:rPr>
          <w:sz w:val="20"/>
        </w:rPr>
      </w:pPr>
      <w:r>
        <w:rPr>
          <w:sz w:val="20"/>
        </w:rPr>
        <w:t>Fundamental</w:t>
      </w:r>
      <w:r>
        <w:rPr>
          <w:spacing w:val="-5"/>
          <w:sz w:val="20"/>
        </w:rPr>
        <w:t> </w:t>
      </w:r>
      <w:r>
        <w:rPr>
          <w:sz w:val="20"/>
        </w:rPr>
        <w:t>Design</w:t>
      </w:r>
      <w:r>
        <w:rPr>
          <w:spacing w:val="-4"/>
          <w:sz w:val="20"/>
        </w:rPr>
        <w:t> </w:t>
      </w:r>
      <w:r>
        <w:rPr>
          <w:sz w:val="20"/>
        </w:rPr>
        <w:t>Skills:</w:t>
      </w:r>
      <w:r>
        <w:rPr>
          <w:spacing w:val="-4"/>
          <w:sz w:val="20"/>
        </w:rPr>
        <w:t> </w:t>
      </w:r>
      <w:r>
        <w:rPr>
          <w:i/>
          <w:sz w:val="20"/>
        </w:rPr>
        <w:t>Ability</w:t>
      </w:r>
      <w:r>
        <w:rPr>
          <w:i/>
          <w:spacing w:val="-4"/>
          <w:sz w:val="20"/>
        </w:rPr>
        <w:t> </w:t>
      </w:r>
      <w:r>
        <w:rPr>
          <w:sz w:val="20"/>
        </w:rPr>
        <w:t>to</w:t>
      </w:r>
      <w:r>
        <w:rPr>
          <w:spacing w:val="-4"/>
          <w:sz w:val="20"/>
        </w:rPr>
        <w:t> </w:t>
      </w:r>
      <w:r>
        <w:rPr>
          <w:sz w:val="20"/>
        </w:rPr>
        <w:t>effectively</w:t>
      </w:r>
      <w:r>
        <w:rPr>
          <w:spacing w:val="-9"/>
          <w:sz w:val="20"/>
        </w:rPr>
        <w:t> </w:t>
      </w:r>
      <w:r>
        <w:rPr>
          <w:sz w:val="20"/>
        </w:rPr>
        <w:t>use</w:t>
      </w:r>
      <w:r>
        <w:rPr>
          <w:spacing w:val="-4"/>
          <w:sz w:val="20"/>
        </w:rPr>
        <w:t> </w:t>
      </w:r>
      <w:r>
        <w:rPr>
          <w:sz w:val="20"/>
        </w:rPr>
        <w:t>basic</w:t>
      </w:r>
      <w:r>
        <w:rPr>
          <w:spacing w:val="-5"/>
          <w:sz w:val="20"/>
        </w:rPr>
        <w:t> </w:t>
      </w:r>
      <w:r>
        <w:rPr>
          <w:sz w:val="20"/>
        </w:rPr>
        <w:t>architectural</w:t>
      </w:r>
      <w:r>
        <w:rPr>
          <w:spacing w:val="-7"/>
          <w:sz w:val="20"/>
        </w:rPr>
        <w:t> </w:t>
      </w:r>
      <w:r>
        <w:rPr>
          <w:sz w:val="20"/>
        </w:rPr>
        <w:t>and environmental principles in design.</w:t>
      </w:r>
    </w:p>
    <w:p>
      <w:pPr>
        <w:pStyle w:val="BodyText"/>
        <w:spacing w:before="9"/>
      </w:pPr>
    </w:p>
    <w:p>
      <w:pPr>
        <w:pStyle w:val="BodyText"/>
        <w:tabs>
          <w:tab w:pos="3879" w:val="left" w:leader="none"/>
          <w:tab w:pos="7480" w:val="left" w:leader="none"/>
        </w:tabs>
        <w:ind w:left="2440"/>
      </w:pPr>
      <w:r>
        <w:rPr/>
        <w:t>ARC</w:t>
      </w:r>
      <w:r>
        <w:rPr>
          <w:spacing w:val="-11"/>
        </w:rPr>
        <w:t> </w:t>
      </w:r>
      <w:r>
        <w:rPr/>
        <w:t>201-</w:t>
      </w:r>
      <w:r>
        <w:rPr>
          <w:spacing w:val="-5"/>
        </w:rPr>
        <w:t>202</w:t>
      </w:r>
      <w:r>
        <w:rPr/>
        <w:tab/>
        <w:t>Design</w:t>
      </w:r>
      <w:r>
        <w:rPr>
          <w:spacing w:val="-4"/>
        </w:rPr>
        <w:t> </w:t>
      </w:r>
      <w:r>
        <w:rPr/>
        <w:t>Studio</w:t>
      </w:r>
      <w:r>
        <w:rPr>
          <w:spacing w:val="-6"/>
        </w:rPr>
        <w:t> </w:t>
      </w:r>
      <w:r>
        <w:rPr/>
        <w:t>2</w:t>
      </w:r>
      <w:r>
        <w:rPr>
          <w:spacing w:val="-3"/>
        </w:rPr>
        <w:t> </w:t>
      </w:r>
      <w:r>
        <w:rPr/>
        <w:t>and</w:t>
      </w:r>
      <w:r>
        <w:rPr>
          <w:spacing w:val="-6"/>
        </w:rPr>
        <w:t> </w:t>
      </w:r>
      <w:r>
        <w:rPr>
          <w:spacing w:val="-10"/>
        </w:rPr>
        <w:t>3</w:t>
      </w:r>
      <w:r>
        <w:rPr/>
        <w:tab/>
        <w:t>Project</w:t>
      </w:r>
      <w:r>
        <w:rPr>
          <w:spacing w:val="-9"/>
        </w:rPr>
        <w:t> </w:t>
      </w:r>
      <w:r>
        <w:rPr>
          <w:spacing w:val="-2"/>
        </w:rPr>
        <w:t>Assignments</w:t>
      </w:r>
    </w:p>
    <w:p>
      <w:pPr>
        <w:pStyle w:val="BodyText"/>
        <w:tabs>
          <w:tab w:pos="3879" w:val="left" w:leader="none"/>
          <w:tab w:pos="7480" w:val="left" w:leader="none"/>
        </w:tabs>
        <w:ind w:left="2440"/>
      </w:pPr>
      <w:r>
        <w:rPr/>
        <w:t>ARC</w:t>
      </w:r>
      <w:r>
        <w:rPr>
          <w:spacing w:val="-11"/>
        </w:rPr>
        <w:t> </w:t>
      </w:r>
      <w:r>
        <w:rPr/>
        <w:t>303-</w:t>
      </w:r>
      <w:r>
        <w:rPr>
          <w:spacing w:val="-5"/>
        </w:rPr>
        <w:t>304</w:t>
      </w:r>
      <w:r>
        <w:rPr/>
        <w:tab/>
        <w:t>Design</w:t>
      </w:r>
      <w:r>
        <w:rPr>
          <w:spacing w:val="-4"/>
        </w:rPr>
        <w:t> </w:t>
      </w:r>
      <w:r>
        <w:rPr/>
        <w:t>Studio</w:t>
      </w:r>
      <w:r>
        <w:rPr>
          <w:spacing w:val="-6"/>
        </w:rPr>
        <w:t> </w:t>
      </w:r>
      <w:r>
        <w:rPr/>
        <w:t>5</w:t>
      </w:r>
      <w:r>
        <w:rPr>
          <w:spacing w:val="-3"/>
        </w:rPr>
        <w:t> </w:t>
      </w:r>
      <w:r>
        <w:rPr/>
        <w:t>and</w:t>
      </w:r>
      <w:r>
        <w:rPr>
          <w:spacing w:val="-6"/>
        </w:rPr>
        <w:t> </w:t>
      </w:r>
      <w:r>
        <w:rPr>
          <w:spacing w:val="-10"/>
        </w:rPr>
        <w:t>6</w:t>
      </w:r>
      <w:r>
        <w:rPr/>
        <w:tab/>
        <w:t>Project</w:t>
      </w:r>
      <w:r>
        <w:rPr>
          <w:spacing w:val="-9"/>
        </w:rPr>
        <w:t> </w:t>
      </w:r>
      <w:r>
        <w:rPr>
          <w:spacing w:val="-2"/>
        </w:rPr>
        <w:t>Assignments</w:t>
      </w:r>
    </w:p>
    <w:p>
      <w:pPr>
        <w:pStyle w:val="BodyText"/>
        <w:spacing w:before="8"/>
      </w:pPr>
    </w:p>
    <w:p>
      <w:pPr>
        <w:pStyle w:val="BodyText"/>
        <w:ind w:left="2440" w:right="1211"/>
      </w:pPr>
      <w:r>
        <w:rPr/>
        <w:t>This</w:t>
      </w:r>
      <w:r>
        <w:rPr>
          <w:spacing w:val="-3"/>
        </w:rPr>
        <w:t> </w:t>
      </w:r>
      <w:r>
        <w:rPr/>
        <w:t>is</w:t>
      </w:r>
      <w:r>
        <w:rPr>
          <w:spacing w:val="-3"/>
        </w:rPr>
        <w:t> </w:t>
      </w:r>
      <w:r>
        <w:rPr/>
        <w:t>demonstrated</w:t>
      </w:r>
      <w:r>
        <w:rPr>
          <w:spacing w:val="-4"/>
        </w:rPr>
        <w:t> </w:t>
      </w:r>
      <w:r>
        <w:rPr/>
        <w:t>by</w:t>
      </w:r>
      <w:r>
        <w:rPr>
          <w:spacing w:val="-7"/>
        </w:rPr>
        <w:t> </w:t>
      </w:r>
      <w:r>
        <w:rPr/>
        <w:t>the</w:t>
      </w:r>
      <w:r>
        <w:rPr>
          <w:spacing w:val="-4"/>
        </w:rPr>
        <w:t> </w:t>
      </w:r>
      <w:r>
        <w:rPr/>
        <w:t>design</w:t>
      </w:r>
      <w:r>
        <w:rPr>
          <w:spacing w:val="-1"/>
        </w:rPr>
        <w:t> </w:t>
      </w:r>
      <w:r>
        <w:rPr/>
        <w:t>assignments</w:t>
      </w:r>
      <w:r>
        <w:rPr>
          <w:spacing w:val="-3"/>
        </w:rPr>
        <w:t> </w:t>
      </w:r>
      <w:r>
        <w:rPr/>
        <w:t>that</w:t>
      </w:r>
      <w:r>
        <w:rPr>
          <w:spacing w:val="-2"/>
        </w:rPr>
        <w:t> </w:t>
      </w:r>
      <w:r>
        <w:rPr/>
        <w:t>will</w:t>
      </w:r>
      <w:r>
        <w:rPr>
          <w:spacing w:val="-5"/>
        </w:rPr>
        <w:t> </w:t>
      </w:r>
      <w:r>
        <w:rPr/>
        <w:t>be</w:t>
      </w:r>
      <w:r>
        <w:rPr>
          <w:spacing w:val="-4"/>
        </w:rPr>
        <w:t> </w:t>
      </w:r>
      <w:r>
        <w:rPr/>
        <w:t>on</w:t>
      </w:r>
      <w:r>
        <w:rPr>
          <w:spacing w:val="-2"/>
        </w:rPr>
        <w:t> </w:t>
      </w:r>
      <w:r>
        <w:rPr/>
        <w:t>display</w:t>
      </w:r>
      <w:r>
        <w:rPr>
          <w:spacing w:val="-7"/>
        </w:rPr>
        <w:t> </w:t>
      </w:r>
      <w:r>
        <w:rPr/>
        <w:t>for</w:t>
      </w:r>
      <w:r>
        <w:rPr>
          <w:spacing w:val="-3"/>
        </w:rPr>
        <w:t> </w:t>
      </w:r>
      <w:r>
        <w:rPr/>
        <w:t>all levels of the program.</w:t>
      </w:r>
    </w:p>
    <w:p>
      <w:pPr>
        <w:pStyle w:val="BodyText"/>
        <w:spacing w:before="9"/>
      </w:pPr>
    </w:p>
    <w:p>
      <w:pPr>
        <w:pStyle w:val="ListParagraph"/>
        <w:numPr>
          <w:ilvl w:val="1"/>
          <w:numId w:val="30"/>
        </w:numPr>
        <w:tabs>
          <w:tab w:pos="2432" w:val="left" w:leader="none"/>
          <w:tab w:pos="2433" w:val="left" w:leader="none"/>
        </w:tabs>
        <w:spacing w:line="242" w:lineRule="auto" w:before="0" w:after="0"/>
        <w:ind w:left="2432" w:right="1614" w:hanging="929"/>
        <w:jc w:val="left"/>
        <w:rPr>
          <w:sz w:val="20"/>
        </w:rPr>
      </w:pPr>
      <w:r>
        <w:rPr>
          <w:sz w:val="20"/>
        </w:rPr>
        <w:t>Use of Precedents: </w:t>
      </w:r>
      <w:r>
        <w:rPr>
          <w:i/>
          <w:sz w:val="20"/>
        </w:rPr>
        <w:t>Ability </w:t>
      </w:r>
      <w:r>
        <w:rPr>
          <w:sz w:val="20"/>
        </w:rPr>
        <w:t>to examine and comprehend the fundamental principles</w:t>
      </w:r>
      <w:r>
        <w:rPr>
          <w:spacing w:val="-2"/>
          <w:sz w:val="20"/>
        </w:rPr>
        <w:t> </w:t>
      </w:r>
      <w:r>
        <w:rPr>
          <w:sz w:val="20"/>
        </w:rPr>
        <w:t>present</w:t>
      </w:r>
      <w:r>
        <w:rPr>
          <w:spacing w:val="-4"/>
          <w:sz w:val="20"/>
        </w:rPr>
        <w:t> </w:t>
      </w:r>
      <w:r>
        <w:rPr>
          <w:sz w:val="20"/>
        </w:rPr>
        <w:t>in</w:t>
      </w:r>
      <w:r>
        <w:rPr>
          <w:spacing w:val="-6"/>
          <w:sz w:val="20"/>
        </w:rPr>
        <w:t> </w:t>
      </w:r>
      <w:r>
        <w:rPr>
          <w:sz w:val="20"/>
        </w:rPr>
        <w:t>relevant</w:t>
      </w:r>
      <w:r>
        <w:rPr>
          <w:spacing w:val="-6"/>
          <w:sz w:val="20"/>
        </w:rPr>
        <w:t> </w:t>
      </w:r>
      <w:r>
        <w:rPr>
          <w:sz w:val="20"/>
        </w:rPr>
        <w:t>precedents</w:t>
      </w:r>
      <w:r>
        <w:rPr>
          <w:spacing w:val="-2"/>
          <w:sz w:val="20"/>
        </w:rPr>
        <w:t> </w:t>
      </w:r>
      <w:r>
        <w:rPr>
          <w:sz w:val="20"/>
        </w:rPr>
        <w:t>and</w:t>
      </w:r>
      <w:r>
        <w:rPr>
          <w:spacing w:val="-4"/>
          <w:sz w:val="20"/>
        </w:rPr>
        <w:t> </w:t>
      </w:r>
      <w:r>
        <w:rPr>
          <w:sz w:val="20"/>
        </w:rPr>
        <w:t>to</w:t>
      </w:r>
      <w:r>
        <w:rPr>
          <w:spacing w:val="-6"/>
          <w:sz w:val="20"/>
        </w:rPr>
        <w:t> </w:t>
      </w:r>
      <w:r>
        <w:rPr>
          <w:sz w:val="20"/>
        </w:rPr>
        <w:t>make</w:t>
      </w:r>
      <w:r>
        <w:rPr>
          <w:spacing w:val="-6"/>
          <w:sz w:val="20"/>
        </w:rPr>
        <w:t> </w:t>
      </w:r>
      <w:r>
        <w:rPr>
          <w:sz w:val="20"/>
        </w:rPr>
        <w:t>choices</w:t>
      </w:r>
      <w:r>
        <w:rPr>
          <w:spacing w:val="-5"/>
          <w:sz w:val="20"/>
        </w:rPr>
        <w:t> </w:t>
      </w:r>
      <w:r>
        <w:rPr>
          <w:sz w:val="20"/>
        </w:rPr>
        <w:t>regarding</w:t>
      </w:r>
      <w:r>
        <w:rPr>
          <w:spacing w:val="-6"/>
          <w:sz w:val="20"/>
        </w:rPr>
        <w:t> </w:t>
      </w:r>
      <w:r>
        <w:rPr>
          <w:sz w:val="20"/>
        </w:rPr>
        <w:t>the incorporation of such principles into architecture and urban design projects.</w:t>
      </w:r>
    </w:p>
    <w:p>
      <w:pPr>
        <w:pStyle w:val="BodyText"/>
        <w:spacing w:before="7"/>
      </w:pPr>
    </w:p>
    <w:p>
      <w:pPr>
        <w:pStyle w:val="BodyText"/>
        <w:tabs>
          <w:tab w:pos="3880" w:val="left" w:leader="none"/>
          <w:tab w:pos="7480" w:val="left" w:leader="none"/>
        </w:tabs>
        <w:ind w:left="2440" w:right="1332" w:hanging="1"/>
      </w:pPr>
      <w:r>
        <w:rPr/>
        <w:t>ARC 306</w:t>
        <w:tab/>
        <w:t>International Urban Design Studio 7</w:t>
        <w:tab/>
        <w:t>Papers</w:t>
      </w:r>
      <w:r>
        <w:rPr>
          <w:spacing w:val="-14"/>
        </w:rPr>
        <w:t> </w:t>
      </w:r>
      <w:r>
        <w:rPr/>
        <w:t>/</w:t>
      </w:r>
      <w:r>
        <w:rPr>
          <w:spacing w:val="-14"/>
        </w:rPr>
        <w:t> </w:t>
      </w:r>
      <w:r>
        <w:rPr/>
        <w:t>Assignments ARC</w:t>
      </w:r>
      <w:r>
        <w:rPr>
          <w:spacing w:val="-11"/>
        </w:rPr>
        <w:t> </w:t>
      </w:r>
      <w:r>
        <w:rPr/>
        <w:t>601-</w:t>
      </w:r>
      <w:r>
        <w:rPr>
          <w:spacing w:val="-5"/>
        </w:rPr>
        <w:t>602</w:t>
      </w:r>
      <w:r>
        <w:rPr/>
        <w:tab/>
        <w:t>Design</w:t>
      </w:r>
      <w:r>
        <w:rPr>
          <w:spacing w:val="-5"/>
        </w:rPr>
        <w:t> </w:t>
      </w:r>
      <w:r>
        <w:rPr/>
        <w:t>Research</w:t>
      </w:r>
      <w:r>
        <w:rPr>
          <w:spacing w:val="-6"/>
        </w:rPr>
        <w:t> </w:t>
      </w:r>
      <w:r>
        <w:rPr/>
        <w:t>Thesis</w:t>
      </w:r>
      <w:r>
        <w:rPr>
          <w:spacing w:val="-3"/>
        </w:rPr>
        <w:t> </w:t>
      </w:r>
      <w:r>
        <w:rPr/>
        <w:t>Studio</w:t>
      </w:r>
      <w:r>
        <w:rPr>
          <w:spacing w:val="-6"/>
        </w:rPr>
        <w:t> </w:t>
      </w:r>
      <w:r>
        <w:rPr/>
        <w:t>I</w:t>
      </w:r>
      <w:r>
        <w:rPr>
          <w:spacing w:val="-5"/>
        </w:rPr>
        <w:t> </w:t>
      </w:r>
      <w:r>
        <w:rPr/>
        <w:t>&amp;</w:t>
      </w:r>
      <w:r>
        <w:rPr>
          <w:spacing w:val="-7"/>
        </w:rPr>
        <w:t> </w:t>
      </w:r>
      <w:r>
        <w:rPr>
          <w:spacing w:val="-5"/>
        </w:rPr>
        <w:t>II</w:t>
      </w:r>
      <w:r>
        <w:rPr/>
        <w:tab/>
        <w:t>Papers</w:t>
      </w:r>
      <w:r>
        <w:rPr>
          <w:spacing w:val="-4"/>
        </w:rPr>
        <w:t> </w:t>
      </w:r>
      <w:r>
        <w:rPr/>
        <w:t>/</w:t>
      </w:r>
      <w:r>
        <w:rPr>
          <w:spacing w:val="-5"/>
        </w:rPr>
        <w:t> </w:t>
      </w:r>
      <w:r>
        <w:rPr>
          <w:spacing w:val="-2"/>
        </w:rPr>
        <w:t>Assignments</w:t>
      </w:r>
    </w:p>
    <w:p>
      <w:pPr>
        <w:pStyle w:val="BodyText"/>
        <w:spacing w:before="8"/>
      </w:pPr>
    </w:p>
    <w:p>
      <w:pPr>
        <w:pStyle w:val="BodyText"/>
        <w:ind w:left="2440" w:right="1211"/>
      </w:pPr>
      <w:r>
        <w:rPr/>
        <w:t>Students</w:t>
      </w:r>
      <w:r>
        <w:rPr>
          <w:spacing w:val="-1"/>
        </w:rPr>
        <w:t> </w:t>
      </w:r>
      <w:r>
        <w:rPr/>
        <w:t>are</w:t>
      </w:r>
      <w:r>
        <w:rPr>
          <w:spacing w:val="-2"/>
        </w:rPr>
        <w:t> </w:t>
      </w:r>
      <w:r>
        <w:rPr/>
        <w:t>required</w:t>
      </w:r>
      <w:r>
        <w:rPr>
          <w:spacing w:val="-1"/>
        </w:rPr>
        <w:t> </w:t>
      </w:r>
      <w:r>
        <w:rPr/>
        <w:t>to present</w:t>
      </w:r>
      <w:r>
        <w:rPr>
          <w:spacing w:val="-2"/>
        </w:rPr>
        <w:t> </w:t>
      </w:r>
      <w:r>
        <w:rPr/>
        <w:t>analysis of</w:t>
      </w:r>
      <w:r>
        <w:rPr>
          <w:spacing w:val="-1"/>
        </w:rPr>
        <w:t> </w:t>
      </w:r>
      <w:r>
        <w:rPr/>
        <w:t>architectural</w:t>
      </w:r>
      <w:r>
        <w:rPr>
          <w:spacing w:val="-3"/>
        </w:rPr>
        <w:t> </w:t>
      </w:r>
      <w:r>
        <w:rPr/>
        <w:t>icons</w:t>
      </w:r>
      <w:r>
        <w:rPr>
          <w:spacing w:val="-1"/>
        </w:rPr>
        <w:t> </w:t>
      </w:r>
      <w:r>
        <w:rPr/>
        <w:t>that</w:t>
      </w:r>
      <w:r>
        <w:rPr>
          <w:spacing w:val="-1"/>
        </w:rPr>
        <w:t> </w:t>
      </w:r>
      <w:r>
        <w:rPr/>
        <w:t>inspire</w:t>
      </w:r>
      <w:r>
        <w:rPr>
          <w:spacing w:val="-2"/>
        </w:rPr>
        <w:t> </w:t>
      </w:r>
      <w:r>
        <w:rPr/>
        <w:t>their work and describe what impact that work has on their creative process. This analysis is included in the pre-design work in the studio. In the Thesis studio, more</w:t>
      </w:r>
      <w:r>
        <w:rPr>
          <w:spacing w:val="-5"/>
        </w:rPr>
        <w:t> </w:t>
      </w:r>
      <w:r>
        <w:rPr/>
        <w:t>detailed</w:t>
      </w:r>
      <w:r>
        <w:rPr>
          <w:spacing w:val="-5"/>
        </w:rPr>
        <w:t> </w:t>
      </w:r>
      <w:r>
        <w:rPr/>
        <w:t>analysis</w:t>
      </w:r>
      <w:r>
        <w:rPr>
          <w:spacing w:val="-4"/>
        </w:rPr>
        <w:t> </w:t>
      </w:r>
      <w:r>
        <w:rPr/>
        <w:t>is</w:t>
      </w:r>
      <w:r>
        <w:rPr>
          <w:spacing w:val="-4"/>
        </w:rPr>
        <w:t> </w:t>
      </w:r>
      <w:r>
        <w:rPr/>
        <w:t>provided</w:t>
      </w:r>
      <w:r>
        <w:rPr>
          <w:spacing w:val="-5"/>
        </w:rPr>
        <w:t> </w:t>
      </w:r>
      <w:r>
        <w:rPr/>
        <w:t>and</w:t>
      </w:r>
      <w:r>
        <w:rPr>
          <w:spacing w:val="-5"/>
        </w:rPr>
        <w:t> </w:t>
      </w:r>
      <w:r>
        <w:rPr/>
        <w:t>documented</w:t>
      </w:r>
      <w:r>
        <w:rPr>
          <w:spacing w:val="-5"/>
        </w:rPr>
        <w:t> </w:t>
      </w:r>
      <w:r>
        <w:rPr/>
        <w:t>on</w:t>
      </w:r>
      <w:r>
        <w:rPr>
          <w:spacing w:val="-3"/>
        </w:rPr>
        <w:t> </w:t>
      </w:r>
      <w:r>
        <w:rPr/>
        <w:t>the</w:t>
      </w:r>
      <w:r>
        <w:rPr>
          <w:spacing w:val="-3"/>
        </w:rPr>
        <w:t> </w:t>
      </w:r>
      <w:r>
        <w:rPr/>
        <w:t>presentation</w:t>
      </w:r>
      <w:r>
        <w:rPr>
          <w:spacing w:val="-5"/>
        </w:rPr>
        <w:t> </w:t>
      </w:r>
      <w:r>
        <w:rPr/>
        <w:t>boards.</w:t>
      </w:r>
    </w:p>
    <w:p>
      <w:pPr>
        <w:pStyle w:val="BodyText"/>
        <w:spacing w:before="9"/>
      </w:pPr>
    </w:p>
    <w:p>
      <w:pPr>
        <w:pStyle w:val="ListParagraph"/>
        <w:numPr>
          <w:ilvl w:val="1"/>
          <w:numId w:val="30"/>
        </w:numPr>
        <w:tabs>
          <w:tab w:pos="2433" w:val="left" w:leader="none"/>
          <w:tab w:pos="2434" w:val="left" w:leader="none"/>
        </w:tabs>
        <w:spacing w:line="240" w:lineRule="auto" w:before="1" w:after="0"/>
        <w:ind w:left="2433" w:right="1256" w:hanging="929"/>
        <w:jc w:val="left"/>
        <w:rPr>
          <w:sz w:val="20"/>
        </w:rPr>
      </w:pPr>
      <w:r>
        <w:rPr>
          <w:sz w:val="20"/>
        </w:rPr>
        <w:t>Ordering</w:t>
      </w:r>
      <w:r>
        <w:rPr>
          <w:spacing w:val="-4"/>
          <w:sz w:val="20"/>
        </w:rPr>
        <w:t> </w:t>
      </w:r>
      <w:r>
        <w:rPr>
          <w:sz w:val="20"/>
        </w:rPr>
        <w:t>Systems</w:t>
      </w:r>
      <w:r>
        <w:rPr>
          <w:spacing w:val="-5"/>
          <w:sz w:val="20"/>
        </w:rPr>
        <w:t> </w:t>
      </w:r>
      <w:r>
        <w:rPr>
          <w:sz w:val="20"/>
        </w:rPr>
        <w:t>Skills:</w:t>
      </w:r>
      <w:r>
        <w:rPr>
          <w:spacing w:val="-5"/>
          <w:sz w:val="20"/>
        </w:rPr>
        <w:t> </w:t>
      </w:r>
      <w:r>
        <w:rPr>
          <w:i/>
          <w:sz w:val="20"/>
        </w:rPr>
        <w:t>Understanding</w:t>
      </w:r>
      <w:r>
        <w:rPr>
          <w:i/>
          <w:spacing w:val="-5"/>
          <w:sz w:val="20"/>
        </w:rPr>
        <w:t> </w:t>
      </w:r>
      <w:r>
        <w:rPr>
          <w:sz w:val="20"/>
        </w:rPr>
        <w:t>of</w:t>
      </w:r>
      <w:r>
        <w:rPr>
          <w:spacing w:val="-4"/>
          <w:sz w:val="20"/>
        </w:rPr>
        <w:t> </w:t>
      </w:r>
      <w:r>
        <w:rPr>
          <w:sz w:val="20"/>
        </w:rPr>
        <w:t>the</w:t>
      </w:r>
      <w:r>
        <w:rPr>
          <w:spacing w:val="-5"/>
          <w:sz w:val="20"/>
        </w:rPr>
        <w:t> </w:t>
      </w:r>
      <w:r>
        <w:rPr>
          <w:sz w:val="20"/>
        </w:rPr>
        <w:t>fundamentals</w:t>
      </w:r>
      <w:r>
        <w:rPr>
          <w:spacing w:val="-5"/>
          <w:sz w:val="20"/>
        </w:rPr>
        <w:t> </w:t>
      </w:r>
      <w:r>
        <w:rPr>
          <w:sz w:val="20"/>
        </w:rPr>
        <w:t>of</w:t>
      </w:r>
      <w:r>
        <w:rPr>
          <w:spacing w:val="-4"/>
          <w:sz w:val="20"/>
        </w:rPr>
        <w:t> </w:t>
      </w:r>
      <w:r>
        <w:rPr>
          <w:sz w:val="20"/>
        </w:rPr>
        <w:t>both</w:t>
      </w:r>
      <w:r>
        <w:rPr>
          <w:spacing w:val="-4"/>
          <w:sz w:val="20"/>
        </w:rPr>
        <w:t> </w:t>
      </w:r>
      <w:r>
        <w:rPr>
          <w:sz w:val="20"/>
        </w:rPr>
        <w:t>natural</w:t>
      </w:r>
      <w:r>
        <w:rPr>
          <w:spacing w:val="-5"/>
          <w:sz w:val="20"/>
        </w:rPr>
        <w:t> </w:t>
      </w:r>
      <w:r>
        <w:rPr>
          <w:sz w:val="20"/>
        </w:rPr>
        <w:t>and formal ordering systems and the capacity of each to inform two- and three- dimensional design.</w:t>
      </w:r>
    </w:p>
    <w:p>
      <w:pPr>
        <w:pStyle w:val="BodyText"/>
        <w:spacing w:before="11"/>
      </w:pPr>
    </w:p>
    <w:p>
      <w:pPr>
        <w:pStyle w:val="BodyText"/>
        <w:tabs>
          <w:tab w:pos="3880" w:val="left" w:leader="none"/>
          <w:tab w:pos="7480" w:val="left" w:leader="none"/>
        </w:tabs>
        <w:ind w:left="2440"/>
      </w:pPr>
      <w:r>
        <w:rPr/>
        <w:t>ARC</w:t>
      </w:r>
      <w:r>
        <w:rPr>
          <w:spacing w:val="-11"/>
        </w:rPr>
        <w:t> </w:t>
      </w:r>
      <w:r>
        <w:rPr/>
        <w:t>201-</w:t>
      </w:r>
      <w:r>
        <w:rPr>
          <w:spacing w:val="-5"/>
        </w:rPr>
        <w:t>202</w:t>
      </w:r>
      <w:r>
        <w:rPr/>
        <w:tab/>
        <w:t>Design</w:t>
      </w:r>
      <w:r>
        <w:rPr>
          <w:spacing w:val="-4"/>
        </w:rPr>
        <w:t> </w:t>
      </w:r>
      <w:r>
        <w:rPr/>
        <w:t>Studio</w:t>
      </w:r>
      <w:r>
        <w:rPr>
          <w:spacing w:val="-6"/>
        </w:rPr>
        <w:t> </w:t>
      </w:r>
      <w:r>
        <w:rPr/>
        <w:t>3</w:t>
      </w:r>
      <w:r>
        <w:rPr>
          <w:spacing w:val="-3"/>
        </w:rPr>
        <w:t> </w:t>
      </w:r>
      <w:r>
        <w:rPr/>
        <w:t>and</w:t>
      </w:r>
      <w:r>
        <w:rPr>
          <w:spacing w:val="-6"/>
        </w:rPr>
        <w:t> </w:t>
      </w:r>
      <w:r>
        <w:rPr>
          <w:spacing w:val="-10"/>
        </w:rPr>
        <w:t>4</w:t>
      </w:r>
      <w:r>
        <w:rPr/>
        <w:tab/>
        <w:t>Project</w:t>
      </w:r>
      <w:r>
        <w:rPr>
          <w:spacing w:val="-9"/>
        </w:rPr>
        <w:t> </w:t>
      </w:r>
      <w:r>
        <w:rPr>
          <w:spacing w:val="-2"/>
        </w:rPr>
        <w:t>Assignments</w:t>
      </w:r>
    </w:p>
    <w:p>
      <w:pPr>
        <w:pStyle w:val="BodyText"/>
        <w:tabs>
          <w:tab w:pos="3880" w:val="left" w:leader="none"/>
          <w:tab w:pos="7481" w:val="left" w:leader="none"/>
        </w:tabs>
        <w:ind w:left="2441"/>
      </w:pPr>
      <w:r>
        <w:rPr/>
        <w:t>ARC</w:t>
      </w:r>
      <w:r>
        <w:rPr>
          <w:spacing w:val="-11"/>
        </w:rPr>
        <w:t> </w:t>
      </w:r>
      <w:r>
        <w:rPr/>
        <w:t>405-</w:t>
      </w:r>
      <w:r>
        <w:rPr>
          <w:spacing w:val="-5"/>
        </w:rPr>
        <w:t>406</w:t>
      </w:r>
      <w:r>
        <w:rPr/>
        <w:tab/>
        <w:t>Design</w:t>
      </w:r>
      <w:r>
        <w:rPr>
          <w:spacing w:val="-4"/>
        </w:rPr>
        <w:t> </w:t>
      </w:r>
      <w:r>
        <w:rPr/>
        <w:t>Studio</w:t>
      </w:r>
      <w:r>
        <w:rPr>
          <w:spacing w:val="-6"/>
        </w:rPr>
        <w:t> </w:t>
      </w:r>
      <w:r>
        <w:rPr/>
        <w:t>8</w:t>
      </w:r>
      <w:r>
        <w:rPr>
          <w:spacing w:val="-3"/>
        </w:rPr>
        <w:t> </w:t>
      </w:r>
      <w:r>
        <w:rPr/>
        <w:t>and</w:t>
      </w:r>
      <w:r>
        <w:rPr>
          <w:spacing w:val="-6"/>
        </w:rPr>
        <w:t> </w:t>
      </w:r>
      <w:r>
        <w:rPr>
          <w:spacing w:val="-10"/>
        </w:rPr>
        <w:t>9</w:t>
      </w:r>
      <w:r>
        <w:rPr/>
        <w:tab/>
        <w:t>Project</w:t>
      </w:r>
      <w:r>
        <w:rPr>
          <w:spacing w:val="-9"/>
        </w:rPr>
        <w:t> </w:t>
      </w:r>
      <w:r>
        <w:rPr>
          <w:spacing w:val="-2"/>
        </w:rPr>
        <w:t>Assignments</w:t>
      </w:r>
    </w:p>
    <w:p>
      <w:pPr>
        <w:spacing w:after="0"/>
        <w:sectPr>
          <w:headerReference w:type="default" r:id="rId101"/>
          <w:footerReference w:type="default" r:id="rId102"/>
          <w:pgSz w:w="12240" w:h="15840"/>
          <w:pgMar w:header="0" w:footer="974" w:top="1360" w:bottom="1160" w:left="1160" w:right="320"/>
        </w:sectPr>
      </w:pPr>
    </w:p>
    <w:p>
      <w:pPr>
        <w:pStyle w:val="BodyText"/>
        <w:spacing w:before="77"/>
        <w:ind w:left="2440" w:right="1181"/>
        <w:jc w:val="both"/>
      </w:pPr>
      <w:r>
        <w:rPr/>
        <w:t>In</w:t>
      </w:r>
      <w:r>
        <w:rPr>
          <w:spacing w:val="-4"/>
        </w:rPr>
        <w:t> </w:t>
      </w:r>
      <w:r>
        <w:rPr/>
        <w:t>the</w:t>
      </w:r>
      <w:r>
        <w:rPr>
          <w:spacing w:val="-4"/>
        </w:rPr>
        <w:t> </w:t>
      </w:r>
      <w:r>
        <w:rPr/>
        <w:t>studio</w:t>
      </w:r>
      <w:r>
        <w:rPr>
          <w:spacing w:val="-4"/>
        </w:rPr>
        <w:t> </w:t>
      </w:r>
      <w:r>
        <w:rPr/>
        <w:t>setting,</w:t>
      </w:r>
      <w:r>
        <w:rPr>
          <w:spacing w:val="-4"/>
        </w:rPr>
        <w:t> </w:t>
      </w:r>
      <w:r>
        <w:rPr/>
        <w:t>students</w:t>
      </w:r>
      <w:r>
        <w:rPr>
          <w:spacing w:val="-3"/>
        </w:rPr>
        <w:t> </w:t>
      </w:r>
      <w:r>
        <w:rPr/>
        <w:t>are</w:t>
      </w:r>
      <w:r>
        <w:rPr>
          <w:spacing w:val="-4"/>
        </w:rPr>
        <w:t> </w:t>
      </w:r>
      <w:r>
        <w:rPr/>
        <w:t>required</w:t>
      </w:r>
      <w:r>
        <w:rPr>
          <w:spacing w:val="-2"/>
        </w:rPr>
        <w:t> </w:t>
      </w:r>
      <w:r>
        <w:rPr/>
        <w:t>to</w:t>
      </w:r>
      <w:r>
        <w:rPr>
          <w:spacing w:val="-2"/>
        </w:rPr>
        <w:t> </w:t>
      </w:r>
      <w:r>
        <w:rPr/>
        <w:t>do</w:t>
      </w:r>
      <w:r>
        <w:rPr>
          <w:spacing w:val="-4"/>
        </w:rPr>
        <w:t> </w:t>
      </w:r>
      <w:r>
        <w:rPr/>
        <w:t>a</w:t>
      </w:r>
      <w:r>
        <w:rPr>
          <w:spacing w:val="-2"/>
        </w:rPr>
        <w:t> </w:t>
      </w:r>
      <w:r>
        <w:rPr/>
        <w:t>precedence</w:t>
      </w:r>
      <w:r>
        <w:rPr>
          <w:spacing w:val="-2"/>
        </w:rPr>
        <w:t> </w:t>
      </w:r>
      <w:r>
        <w:rPr/>
        <w:t>analysis</w:t>
      </w:r>
      <w:r>
        <w:rPr>
          <w:spacing w:val="-3"/>
        </w:rPr>
        <w:t> </w:t>
      </w:r>
      <w:r>
        <w:rPr/>
        <w:t>of</w:t>
      </w:r>
      <w:r>
        <w:rPr>
          <w:spacing w:val="-2"/>
        </w:rPr>
        <w:t> </w:t>
      </w:r>
      <w:r>
        <w:rPr/>
        <w:t>similar building</w:t>
      </w:r>
      <w:r>
        <w:rPr>
          <w:spacing w:val="-1"/>
        </w:rPr>
        <w:t> </w:t>
      </w:r>
      <w:r>
        <w:rPr/>
        <w:t>types,</w:t>
      </w:r>
      <w:r>
        <w:rPr>
          <w:spacing w:val="-3"/>
        </w:rPr>
        <w:t> </w:t>
      </w:r>
      <w:r>
        <w:rPr/>
        <w:t>and</w:t>
      </w:r>
      <w:r>
        <w:rPr>
          <w:spacing w:val="-1"/>
        </w:rPr>
        <w:t> </w:t>
      </w:r>
      <w:r>
        <w:rPr/>
        <w:t>determine</w:t>
      </w:r>
      <w:r>
        <w:rPr>
          <w:spacing w:val="-3"/>
        </w:rPr>
        <w:t> </w:t>
      </w:r>
      <w:r>
        <w:rPr/>
        <w:t>the</w:t>
      </w:r>
      <w:r>
        <w:rPr>
          <w:spacing w:val="-3"/>
        </w:rPr>
        <w:t> </w:t>
      </w:r>
      <w:r>
        <w:rPr/>
        <w:t>context</w:t>
      </w:r>
      <w:r>
        <w:rPr>
          <w:spacing w:val="-3"/>
        </w:rPr>
        <w:t> </w:t>
      </w:r>
      <w:r>
        <w:rPr/>
        <w:t>of</w:t>
      </w:r>
      <w:r>
        <w:rPr>
          <w:spacing w:val="-1"/>
        </w:rPr>
        <w:t> </w:t>
      </w:r>
      <w:r>
        <w:rPr/>
        <w:t>the</w:t>
      </w:r>
      <w:r>
        <w:rPr>
          <w:spacing w:val="-1"/>
        </w:rPr>
        <w:t> </w:t>
      </w:r>
      <w:r>
        <w:rPr/>
        <w:t>local</w:t>
      </w:r>
      <w:r>
        <w:rPr>
          <w:spacing w:val="-4"/>
        </w:rPr>
        <w:t> </w:t>
      </w:r>
      <w:r>
        <w:rPr/>
        <w:t>area</w:t>
      </w:r>
      <w:r>
        <w:rPr>
          <w:spacing w:val="-1"/>
        </w:rPr>
        <w:t> </w:t>
      </w:r>
      <w:r>
        <w:rPr/>
        <w:t>where</w:t>
      </w:r>
      <w:r>
        <w:rPr>
          <w:spacing w:val="-3"/>
        </w:rPr>
        <w:t> </w:t>
      </w:r>
      <w:r>
        <w:rPr/>
        <w:t>their</w:t>
      </w:r>
      <w:r>
        <w:rPr>
          <w:spacing w:val="-2"/>
        </w:rPr>
        <w:t> </w:t>
      </w:r>
      <w:r>
        <w:rPr/>
        <w:t>building</w:t>
      </w:r>
      <w:r>
        <w:rPr>
          <w:spacing w:val="-1"/>
        </w:rPr>
        <w:t> </w:t>
      </w:r>
      <w:r>
        <w:rPr/>
        <w:t>is to be placed.</w:t>
      </w:r>
    </w:p>
    <w:p>
      <w:pPr>
        <w:pStyle w:val="BodyText"/>
        <w:spacing w:before="9"/>
      </w:pPr>
    </w:p>
    <w:p>
      <w:pPr>
        <w:pStyle w:val="ListParagraph"/>
        <w:numPr>
          <w:ilvl w:val="1"/>
          <w:numId w:val="30"/>
        </w:numPr>
        <w:tabs>
          <w:tab w:pos="2432" w:val="left" w:leader="none"/>
          <w:tab w:pos="2433" w:val="left" w:leader="none"/>
        </w:tabs>
        <w:spacing w:line="240" w:lineRule="auto" w:before="0" w:after="0"/>
        <w:ind w:left="2432" w:right="1170" w:hanging="929"/>
        <w:jc w:val="left"/>
        <w:rPr>
          <w:sz w:val="20"/>
        </w:rPr>
      </w:pPr>
      <w:r>
        <w:rPr>
          <w:sz w:val="20"/>
        </w:rPr>
        <w:t>Historical Traditions and Global Culture: Understanding of parallel and divergent canons and traditions of architecture, landscape and urban design including examples of indigenous, vernacular, local, regional, national settings from the Eastern,</w:t>
      </w:r>
      <w:r>
        <w:rPr>
          <w:spacing w:val="-7"/>
          <w:sz w:val="20"/>
        </w:rPr>
        <w:t> </w:t>
      </w:r>
      <w:r>
        <w:rPr>
          <w:sz w:val="20"/>
        </w:rPr>
        <w:t>Western,</w:t>
      </w:r>
      <w:r>
        <w:rPr>
          <w:spacing w:val="-5"/>
          <w:sz w:val="20"/>
        </w:rPr>
        <w:t> </w:t>
      </w:r>
      <w:r>
        <w:rPr>
          <w:sz w:val="20"/>
        </w:rPr>
        <w:t>Northern,</w:t>
      </w:r>
      <w:r>
        <w:rPr>
          <w:spacing w:val="-5"/>
          <w:sz w:val="20"/>
        </w:rPr>
        <w:t> </w:t>
      </w:r>
      <w:r>
        <w:rPr>
          <w:sz w:val="20"/>
        </w:rPr>
        <w:t>and</w:t>
      </w:r>
      <w:r>
        <w:rPr>
          <w:spacing w:val="-3"/>
          <w:sz w:val="20"/>
        </w:rPr>
        <w:t> </w:t>
      </w:r>
      <w:r>
        <w:rPr>
          <w:sz w:val="20"/>
        </w:rPr>
        <w:t>Southern</w:t>
      </w:r>
      <w:r>
        <w:rPr>
          <w:spacing w:val="-5"/>
          <w:sz w:val="20"/>
        </w:rPr>
        <w:t> </w:t>
      </w:r>
      <w:r>
        <w:rPr>
          <w:sz w:val="20"/>
        </w:rPr>
        <w:t>hemispheres</w:t>
      </w:r>
      <w:r>
        <w:rPr>
          <w:spacing w:val="-4"/>
          <w:sz w:val="20"/>
        </w:rPr>
        <w:t> </w:t>
      </w:r>
      <w:r>
        <w:rPr>
          <w:sz w:val="20"/>
        </w:rPr>
        <w:t>in</w:t>
      </w:r>
      <w:r>
        <w:rPr>
          <w:spacing w:val="-5"/>
          <w:sz w:val="20"/>
        </w:rPr>
        <w:t> </w:t>
      </w:r>
      <w:r>
        <w:rPr>
          <w:sz w:val="20"/>
        </w:rPr>
        <w:t>terms</w:t>
      </w:r>
      <w:r>
        <w:rPr>
          <w:spacing w:val="-4"/>
          <w:sz w:val="20"/>
        </w:rPr>
        <w:t> </w:t>
      </w:r>
      <w:r>
        <w:rPr>
          <w:sz w:val="20"/>
        </w:rPr>
        <w:t>of</w:t>
      </w:r>
      <w:r>
        <w:rPr>
          <w:spacing w:val="-3"/>
          <w:sz w:val="20"/>
        </w:rPr>
        <w:t> </w:t>
      </w:r>
      <w:r>
        <w:rPr>
          <w:sz w:val="20"/>
        </w:rPr>
        <w:t>their</w:t>
      </w:r>
      <w:r>
        <w:rPr>
          <w:spacing w:val="-4"/>
          <w:sz w:val="20"/>
        </w:rPr>
        <w:t> </w:t>
      </w:r>
      <w:r>
        <w:rPr>
          <w:sz w:val="20"/>
        </w:rPr>
        <w:t>climatic, ecological, technological, socioeconomic, public health, and cultural factors.</w:t>
      </w:r>
    </w:p>
    <w:p>
      <w:pPr>
        <w:pStyle w:val="BodyText"/>
        <w:rPr>
          <w:sz w:val="21"/>
        </w:rPr>
      </w:pPr>
    </w:p>
    <w:p>
      <w:pPr>
        <w:pStyle w:val="BodyText"/>
        <w:tabs>
          <w:tab w:pos="3879" w:val="left" w:leader="none"/>
          <w:tab w:pos="7479" w:val="left" w:leader="none"/>
        </w:tabs>
        <w:spacing w:before="1"/>
        <w:ind w:left="2439" w:right="1455"/>
      </w:pPr>
      <w:r>
        <w:rPr/>
        <w:t>ARC 207-208</w:t>
        <w:tab/>
        <w:t>Architectural History 1 &amp; 2</w:t>
        <w:tab/>
        <w:t>Project</w:t>
      </w:r>
      <w:r>
        <w:rPr>
          <w:spacing w:val="-14"/>
        </w:rPr>
        <w:t> </w:t>
      </w:r>
      <w:r>
        <w:rPr/>
        <w:t>Assignments ARC</w:t>
      </w:r>
      <w:r>
        <w:rPr>
          <w:spacing w:val="-11"/>
        </w:rPr>
        <w:t> </w:t>
      </w:r>
      <w:r>
        <w:rPr/>
        <w:t>305-</w:t>
      </w:r>
      <w:r>
        <w:rPr>
          <w:spacing w:val="-5"/>
        </w:rPr>
        <w:t>305</w:t>
      </w:r>
      <w:r>
        <w:rPr/>
        <w:tab/>
        <w:t>International</w:t>
      </w:r>
      <w:r>
        <w:rPr>
          <w:spacing w:val="-11"/>
        </w:rPr>
        <w:t> </w:t>
      </w:r>
      <w:r>
        <w:rPr/>
        <w:t>Urban</w:t>
      </w:r>
      <w:r>
        <w:rPr>
          <w:spacing w:val="-9"/>
        </w:rPr>
        <w:t> </w:t>
      </w:r>
      <w:r>
        <w:rPr/>
        <w:t>Design</w:t>
      </w:r>
      <w:r>
        <w:rPr>
          <w:spacing w:val="-5"/>
        </w:rPr>
        <w:t> </w:t>
      </w:r>
      <w:r>
        <w:rPr/>
        <w:t>Studio</w:t>
      </w:r>
      <w:r>
        <w:rPr>
          <w:spacing w:val="-7"/>
        </w:rPr>
        <w:t> </w:t>
      </w:r>
      <w:r>
        <w:rPr>
          <w:spacing w:val="-10"/>
        </w:rPr>
        <w:t>7</w:t>
      </w:r>
      <w:r>
        <w:rPr/>
        <w:tab/>
        <w:t>Project</w:t>
      </w:r>
      <w:r>
        <w:rPr>
          <w:spacing w:val="-9"/>
        </w:rPr>
        <w:t> </w:t>
      </w:r>
      <w:r>
        <w:rPr>
          <w:spacing w:val="-2"/>
        </w:rPr>
        <w:t>Assignments</w:t>
      </w:r>
    </w:p>
    <w:p>
      <w:pPr>
        <w:pStyle w:val="BodyText"/>
        <w:spacing w:before="9"/>
        <w:rPr>
          <w:sz w:val="22"/>
        </w:rPr>
      </w:pPr>
    </w:p>
    <w:p>
      <w:pPr>
        <w:pStyle w:val="BodyText"/>
        <w:tabs>
          <w:tab w:pos="6849" w:val="left" w:leader="none"/>
        </w:tabs>
        <w:ind w:left="2439" w:right="1151"/>
      </w:pPr>
      <w:r>
        <w:rPr/>
        <w:t>Students are required to take 3</w:t>
      </w:r>
      <w:r>
        <w:rPr>
          <w:spacing w:val="-2"/>
        </w:rPr>
        <w:t> </w:t>
      </w:r>
      <w:r>
        <w:rPr/>
        <w:t>multiple-choice examinations.</w:t>
      </w:r>
      <w:r>
        <w:rPr>
          <w:spacing w:val="80"/>
        </w:rPr>
        <w:t> </w:t>
      </w:r>
      <w:r>
        <w:rPr/>
        <w:t>And students are required to write a 10-page research paper. Students had to select 4 buildings: 1)ancient/built before 1900; 2)modern/built after 1900; 3)a building in their hometown of any time period; 4)a building on this campus or from the surrounding community.</w:t>
      </w:r>
      <w:r>
        <w:rPr>
          <w:spacing w:val="80"/>
        </w:rPr>
        <w:t> </w:t>
      </w:r>
      <w:r>
        <w:rPr/>
        <w:t>All four buildings should have something in common, possibly in their use, material, form, style, or designer.</w:t>
      </w:r>
      <w:r>
        <w:rPr>
          <w:spacing w:val="80"/>
        </w:rPr>
        <w:t> </w:t>
      </w:r>
      <w:r>
        <w:rPr/>
        <w:t>Students had to analyze these commonalities and then compare them looking for differences.</w:t>
      </w:r>
      <w:r>
        <w:rPr>
          <w:spacing w:val="80"/>
        </w:rPr>
        <w:t> </w:t>
      </w:r>
      <w:r>
        <w:rPr/>
        <w:t>Students also had to analyze the designers of these buildings, looking for commonalities and differences among them.</w:t>
      </w:r>
      <w:r>
        <w:rPr>
          <w:spacing w:val="80"/>
        </w:rPr>
        <w:t> </w:t>
      </w:r>
      <w:r>
        <w:rPr/>
        <w:t>The papers were graded for grammatical errors. Photographs of all four buildings were required.</w:t>
        <w:tab/>
        <w:t>The photographs could come from the</w:t>
      </w:r>
      <w:r>
        <w:rPr>
          <w:spacing w:val="-5"/>
        </w:rPr>
        <w:t> </w:t>
      </w:r>
      <w:r>
        <w:rPr/>
        <w:t>internet,</w:t>
      </w:r>
      <w:r>
        <w:rPr>
          <w:spacing w:val="-5"/>
        </w:rPr>
        <w:t> </w:t>
      </w:r>
      <w:r>
        <w:rPr/>
        <w:t>but</w:t>
      </w:r>
      <w:r>
        <w:rPr>
          <w:spacing w:val="-5"/>
        </w:rPr>
        <w:t> </w:t>
      </w:r>
      <w:r>
        <w:rPr/>
        <w:t>students</w:t>
      </w:r>
      <w:r>
        <w:rPr>
          <w:spacing w:val="-1"/>
        </w:rPr>
        <w:t> </w:t>
      </w:r>
      <w:r>
        <w:rPr/>
        <w:t>were</w:t>
      </w:r>
      <w:r>
        <w:rPr>
          <w:spacing w:val="-5"/>
        </w:rPr>
        <w:t> </w:t>
      </w:r>
      <w:r>
        <w:rPr/>
        <w:t>encouraged</w:t>
      </w:r>
      <w:r>
        <w:rPr>
          <w:spacing w:val="-3"/>
        </w:rPr>
        <w:t> </w:t>
      </w:r>
      <w:r>
        <w:rPr/>
        <w:t>to</w:t>
      </w:r>
      <w:r>
        <w:rPr>
          <w:spacing w:val="-5"/>
        </w:rPr>
        <w:t> </w:t>
      </w:r>
      <w:r>
        <w:rPr/>
        <w:t>take</w:t>
      </w:r>
      <w:r>
        <w:rPr>
          <w:spacing w:val="-5"/>
        </w:rPr>
        <w:t> </w:t>
      </w:r>
      <w:r>
        <w:rPr/>
        <w:t>their</w:t>
      </w:r>
      <w:r>
        <w:rPr>
          <w:spacing w:val="-4"/>
        </w:rPr>
        <w:t> </w:t>
      </w:r>
      <w:r>
        <w:rPr/>
        <w:t>own</w:t>
      </w:r>
      <w:r>
        <w:rPr>
          <w:spacing w:val="-5"/>
        </w:rPr>
        <w:t> </w:t>
      </w:r>
      <w:r>
        <w:rPr/>
        <w:t>photographs</w:t>
      </w:r>
      <w:r>
        <w:rPr>
          <w:spacing w:val="-4"/>
        </w:rPr>
        <w:t> </w:t>
      </w:r>
      <w:r>
        <w:rPr/>
        <w:t>of the campus buildings.</w:t>
      </w:r>
      <w:r>
        <w:rPr>
          <w:spacing w:val="80"/>
        </w:rPr>
        <w:t> </w:t>
      </w:r>
      <w:r>
        <w:rPr/>
        <w:t>Because the class is numerically large, there is not enough time for verbal presentations of the papers by each student.</w:t>
      </w:r>
      <w:r>
        <w:rPr>
          <w:spacing w:val="40"/>
        </w:rPr>
        <w:t> </w:t>
      </w:r>
      <w:r>
        <w:rPr/>
        <w:t>Instead, at the end of the semester, after taking the final exam, each student must select and read 3 papers written by fellow students.</w:t>
      </w:r>
      <w:r>
        <w:rPr>
          <w:spacing w:val="80"/>
        </w:rPr>
        <w:t> </w:t>
      </w:r>
      <w:r>
        <w:rPr/>
        <w:t>Students then fill out a survey/questionnaire about each paper they have read.</w:t>
      </w:r>
      <w:r>
        <w:rPr>
          <w:spacing w:val="40"/>
        </w:rPr>
        <w:t> </w:t>
      </w:r>
      <w:r>
        <w:rPr/>
        <w:t>This questionnaire process helps assure that students adequately</w:t>
      </w:r>
      <w:r>
        <w:rPr>
          <w:spacing w:val="-2"/>
        </w:rPr>
        <w:t> </w:t>
      </w:r>
      <w:r>
        <w:rPr/>
        <w:t>read each paper rather than rush or skim through it.</w:t>
      </w:r>
    </w:p>
    <w:p>
      <w:pPr>
        <w:pStyle w:val="BodyText"/>
        <w:rPr>
          <w:sz w:val="21"/>
        </w:rPr>
      </w:pPr>
    </w:p>
    <w:p>
      <w:pPr>
        <w:pStyle w:val="ListParagraph"/>
        <w:numPr>
          <w:ilvl w:val="1"/>
          <w:numId w:val="30"/>
        </w:numPr>
        <w:tabs>
          <w:tab w:pos="2432" w:val="left" w:leader="none"/>
          <w:tab w:pos="2433" w:val="left" w:leader="none"/>
        </w:tabs>
        <w:spacing w:line="240" w:lineRule="auto" w:before="0" w:after="0"/>
        <w:ind w:left="2432" w:right="1660" w:hanging="929"/>
        <w:jc w:val="left"/>
        <w:rPr>
          <w:sz w:val="20"/>
        </w:rPr>
      </w:pPr>
      <w:r>
        <w:rPr>
          <w:sz w:val="20"/>
        </w:rPr>
        <w:t>Culture Diversity: </w:t>
      </w:r>
      <w:r>
        <w:rPr>
          <w:i/>
          <w:sz w:val="20"/>
        </w:rPr>
        <w:t>Understanding </w:t>
      </w:r>
      <w:r>
        <w:rPr>
          <w:sz w:val="20"/>
        </w:rPr>
        <w:t>of the diverse needs, callused, behavioral norms, physical abilities, and social and spatial patterns that characterize different</w:t>
      </w:r>
      <w:r>
        <w:rPr>
          <w:spacing w:val="-6"/>
          <w:sz w:val="20"/>
        </w:rPr>
        <w:t> </w:t>
      </w:r>
      <w:r>
        <w:rPr>
          <w:sz w:val="20"/>
        </w:rPr>
        <w:t>cultures</w:t>
      </w:r>
      <w:r>
        <w:rPr>
          <w:spacing w:val="-2"/>
          <w:sz w:val="20"/>
        </w:rPr>
        <w:t> </w:t>
      </w:r>
      <w:r>
        <w:rPr>
          <w:sz w:val="20"/>
        </w:rPr>
        <w:t>and</w:t>
      </w:r>
      <w:r>
        <w:rPr>
          <w:spacing w:val="-4"/>
          <w:sz w:val="20"/>
        </w:rPr>
        <w:t> </w:t>
      </w:r>
      <w:r>
        <w:rPr>
          <w:sz w:val="20"/>
        </w:rPr>
        <w:t>individuals</w:t>
      </w:r>
      <w:r>
        <w:rPr>
          <w:spacing w:val="-5"/>
          <w:sz w:val="20"/>
        </w:rPr>
        <w:t> </w:t>
      </w:r>
      <w:r>
        <w:rPr>
          <w:sz w:val="20"/>
        </w:rPr>
        <w:t>and</w:t>
      </w:r>
      <w:r>
        <w:rPr>
          <w:spacing w:val="-4"/>
          <w:sz w:val="20"/>
        </w:rPr>
        <w:t> </w:t>
      </w:r>
      <w:r>
        <w:rPr>
          <w:sz w:val="20"/>
        </w:rPr>
        <w:t>the</w:t>
      </w:r>
      <w:r>
        <w:rPr>
          <w:spacing w:val="-4"/>
          <w:sz w:val="20"/>
        </w:rPr>
        <w:t> </w:t>
      </w:r>
      <w:r>
        <w:rPr>
          <w:sz w:val="20"/>
        </w:rPr>
        <w:t>implications</w:t>
      </w:r>
      <w:r>
        <w:rPr>
          <w:spacing w:val="-2"/>
          <w:sz w:val="20"/>
        </w:rPr>
        <w:t> </w:t>
      </w:r>
      <w:r>
        <w:rPr>
          <w:sz w:val="20"/>
        </w:rPr>
        <w:t>of</w:t>
      </w:r>
      <w:r>
        <w:rPr>
          <w:spacing w:val="-4"/>
          <w:sz w:val="20"/>
        </w:rPr>
        <w:t> </w:t>
      </w:r>
      <w:r>
        <w:rPr>
          <w:sz w:val="20"/>
        </w:rPr>
        <w:t>this</w:t>
      </w:r>
      <w:r>
        <w:rPr>
          <w:spacing w:val="-5"/>
          <w:sz w:val="20"/>
        </w:rPr>
        <w:t> </w:t>
      </w:r>
      <w:r>
        <w:rPr>
          <w:sz w:val="20"/>
        </w:rPr>
        <w:t>diversity</w:t>
      </w:r>
      <w:r>
        <w:rPr>
          <w:spacing w:val="-7"/>
          <w:sz w:val="20"/>
        </w:rPr>
        <w:t> </w:t>
      </w:r>
      <w:r>
        <w:rPr>
          <w:sz w:val="20"/>
        </w:rPr>
        <w:t>on</w:t>
      </w:r>
      <w:r>
        <w:rPr>
          <w:spacing w:val="-6"/>
          <w:sz w:val="20"/>
        </w:rPr>
        <w:t> </w:t>
      </w:r>
      <w:r>
        <w:rPr>
          <w:sz w:val="20"/>
        </w:rPr>
        <w:t>the societal roles and responsibilities of architects.</w:t>
      </w:r>
    </w:p>
    <w:p>
      <w:pPr>
        <w:pStyle w:val="BodyText"/>
        <w:spacing w:before="8"/>
        <w:rPr>
          <w:sz w:val="21"/>
        </w:rPr>
      </w:pPr>
    </w:p>
    <w:tbl>
      <w:tblPr>
        <w:tblW w:w="0" w:type="auto"/>
        <w:jc w:val="left"/>
        <w:tblInd w:w="23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5"/>
        <w:gridCol w:w="3616"/>
        <w:gridCol w:w="2173"/>
      </w:tblGrid>
      <w:tr>
        <w:trPr>
          <w:trHeight w:val="225" w:hRule="atLeast"/>
        </w:trPr>
        <w:tc>
          <w:tcPr>
            <w:tcW w:w="1175" w:type="dxa"/>
          </w:tcPr>
          <w:p>
            <w:pPr>
              <w:pStyle w:val="TableParagraph"/>
              <w:spacing w:line="205" w:lineRule="exact"/>
              <w:ind w:left="50"/>
              <w:rPr>
                <w:sz w:val="20"/>
              </w:rPr>
            </w:pPr>
            <w:r>
              <w:rPr>
                <w:sz w:val="20"/>
              </w:rPr>
              <w:t>ARC</w:t>
            </w:r>
            <w:r>
              <w:rPr>
                <w:spacing w:val="-7"/>
                <w:sz w:val="20"/>
              </w:rPr>
              <w:t> </w:t>
            </w:r>
            <w:r>
              <w:rPr>
                <w:spacing w:val="-5"/>
                <w:sz w:val="20"/>
              </w:rPr>
              <w:t>305</w:t>
            </w:r>
          </w:p>
        </w:tc>
        <w:tc>
          <w:tcPr>
            <w:tcW w:w="3616" w:type="dxa"/>
          </w:tcPr>
          <w:p>
            <w:pPr>
              <w:pStyle w:val="TableParagraph"/>
              <w:spacing w:line="205" w:lineRule="exact"/>
              <w:ind w:left="315"/>
              <w:rPr>
                <w:sz w:val="20"/>
              </w:rPr>
            </w:pPr>
            <w:r>
              <w:rPr>
                <w:sz w:val="20"/>
              </w:rPr>
              <w:t>International</w:t>
            </w:r>
            <w:r>
              <w:rPr>
                <w:spacing w:val="-13"/>
                <w:sz w:val="20"/>
              </w:rPr>
              <w:t> </w:t>
            </w:r>
            <w:r>
              <w:rPr>
                <w:sz w:val="20"/>
              </w:rPr>
              <w:t>Travel</w:t>
            </w:r>
            <w:r>
              <w:rPr>
                <w:spacing w:val="-10"/>
                <w:sz w:val="20"/>
              </w:rPr>
              <w:t> </w:t>
            </w:r>
            <w:r>
              <w:rPr>
                <w:spacing w:val="-2"/>
                <w:sz w:val="20"/>
              </w:rPr>
              <w:t>Studio</w:t>
            </w:r>
          </w:p>
        </w:tc>
        <w:tc>
          <w:tcPr>
            <w:tcW w:w="2173" w:type="dxa"/>
          </w:tcPr>
          <w:p>
            <w:pPr>
              <w:pStyle w:val="TableParagraph"/>
              <w:spacing w:line="205" w:lineRule="exact"/>
              <w:ind w:right="49"/>
              <w:jc w:val="right"/>
              <w:rPr>
                <w:sz w:val="20"/>
              </w:rPr>
            </w:pPr>
            <w:r>
              <w:rPr>
                <w:sz w:val="20"/>
              </w:rPr>
              <w:t>Project</w:t>
            </w:r>
            <w:r>
              <w:rPr>
                <w:spacing w:val="-9"/>
                <w:sz w:val="20"/>
              </w:rPr>
              <w:t> </w:t>
            </w:r>
            <w:r>
              <w:rPr>
                <w:spacing w:val="-2"/>
                <w:sz w:val="20"/>
              </w:rPr>
              <w:t>Assignments</w:t>
            </w:r>
          </w:p>
        </w:tc>
      </w:tr>
      <w:tr>
        <w:trPr>
          <w:trHeight w:val="225" w:hRule="atLeast"/>
        </w:trPr>
        <w:tc>
          <w:tcPr>
            <w:tcW w:w="1175" w:type="dxa"/>
          </w:tcPr>
          <w:p>
            <w:pPr>
              <w:pStyle w:val="TableParagraph"/>
              <w:spacing w:line="205" w:lineRule="exact"/>
              <w:ind w:left="50"/>
              <w:rPr>
                <w:sz w:val="20"/>
              </w:rPr>
            </w:pPr>
            <w:r>
              <w:rPr>
                <w:sz w:val="20"/>
              </w:rPr>
              <w:t>ARC</w:t>
            </w:r>
            <w:r>
              <w:rPr>
                <w:spacing w:val="-7"/>
                <w:sz w:val="20"/>
              </w:rPr>
              <w:t> </w:t>
            </w:r>
            <w:r>
              <w:rPr>
                <w:spacing w:val="-5"/>
                <w:sz w:val="20"/>
              </w:rPr>
              <w:t>618</w:t>
            </w:r>
          </w:p>
        </w:tc>
        <w:tc>
          <w:tcPr>
            <w:tcW w:w="3616" w:type="dxa"/>
          </w:tcPr>
          <w:p>
            <w:pPr>
              <w:pStyle w:val="TableParagraph"/>
              <w:spacing w:line="205" w:lineRule="exact"/>
              <w:ind w:left="315"/>
              <w:rPr>
                <w:sz w:val="20"/>
              </w:rPr>
            </w:pPr>
            <w:r>
              <w:rPr>
                <w:sz w:val="20"/>
              </w:rPr>
              <w:t>International</w:t>
            </w:r>
            <w:r>
              <w:rPr>
                <w:spacing w:val="-11"/>
                <w:sz w:val="20"/>
              </w:rPr>
              <w:t> </w:t>
            </w:r>
            <w:r>
              <w:rPr>
                <w:sz w:val="20"/>
              </w:rPr>
              <w:t>Urban</w:t>
            </w:r>
            <w:r>
              <w:rPr>
                <w:spacing w:val="-9"/>
                <w:sz w:val="20"/>
              </w:rPr>
              <w:t> </w:t>
            </w:r>
            <w:r>
              <w:rPr>
                <w:sz w:val="20"/>
              </w:rPr>
              <w:t>Design</w:t>
            </w:r>
            <w:r>
              <w:rPr>
                <w:spacing w:val="-5"/>
                <w:sz w:val="20"/>
              </w:rPr>
              <w:t> </w:t>
            </w:r>
            <w:r>
              <w:rPr>
                <w:spacing w:val="-2"/>
                <w:sz w:val="20"/>
              </w:rPr>
              <w:t>Studio</w:t>
            </w:r>
          </w:p>
        </w:tc>
        <w:tc>
          <w:tcPr>
            <w:tcW w:w="2173" w:type="dxa"/>
          </w:tcPr>
          <w:p>
            <w:pPr>
              <w:pStyle w:val="TableParagraph"/>
              <w:spacing w:line="205" w:lineRule="exact"/>
              <w:ind w:right="49"/>
              <w:jc w:val="right"/>
              <w:rPr>
                <w:sz w:val="20"/>
              </w:rPr>
            </w:pPr>
            <w:r>
              <w:rPr>
                <w:sz w:val="20"/>
              </w:rPr>
              <w:t>Project</w:t>
            </w:r>
            <w:r>
              <w:rPr>
                <w:spacing w:val="-9"/>
                <w:sz w:val="20"/>
              </w:rPr>
              <w:t> </w:t>
            </w:r>
            <w:r>
              <w:rPr>
                <w:spacing w:val="-2"/>
                <w:sz w:val="20"/>
              </w:rPr>
              <w:t>Assignments</w:t>
            </w:r>
          </w:p>
        </w:tc>
      </w:tr>
    </w:tbl>
    <w:p>
      <w:pPr>
        <w:pStyle w:val="BodyText"/>
        <w:spacing w:before="11"/>
      </w:pPr>
    </w:p>
    <w:p>
      <w:pPr>
        <w:pStyle w:val="BodyText"/>
        <w:ind w:left="2439" w:right="1130"/>
      </w:pPr>
      <w:r>
        <w:rPr/>
        <w:t>Students</w:t>
      </w:r>
      <w:r>
        <w:rPr>
          <w:spacing w:val="-4"/>
        </w:rPr>
        <w:t> </w:t>
      </w:r>
      <w:r>
        <w:rPr/>
        <w:t>are</w:t>
      </w:r>
      <w:r>
        <w:rPr>
          <w:spacing w:val="-5"/>
        </w:rPr>
        <w:t> </w:t>
      </w:r>
      <w:r>
        <w:rPr/>
        <w:t>exposed</w:t>
      </w:r>
      <w:r>
        <w:rPr>
          <w:spacing w:val="-5"/>
        </w:rPr>
        <w:t> </w:t>
      </w:r>
      <w:r>
        <w:rPr/>
        <w:t>to</w:t>
      </w:r>
      <w:r>
        <w:rPr>
          <w:spacing w:val="-3"/>
        </w:rPr>
        <w:t> </w:t>
      </w:r>
      <w:r>
        <w:rPr/>
        <w:t>a</w:t>
      </w:r>
      <w:r>
        <w:rPr>
          <w:spacing w:val="-3"/>
        </w:rPr>
        <w:t> </w:t>
      </w:r>
      <w:r>
        <w:rPr/>
        <w:t>variety</w:t>
      </w:r>
      <w:r>
        <w:rPr>
          <w:spacing w:val="-6"/>
        </w:rPr>
        <w:t> </w:t>
      </w:r>
      <w:r>
        <w:rPr/>
        <w:t>of</w:t>
      </w:r>
      <w:r>
        <w:rPr>
          <w:spacing w:val="-3"/>
        </w:rPr>
        <w:t> </w:t>
      </w:r>
      <w:r>
        <w:rPr/>
        <w:t>cultures</w:t>
      </w:r>
      <w:r>
        <w:rPr>
          <w:spacing w:val="-1"/>
        </w:rPr>
        <w:t> </w:t>
      </w:r>
      <w:r>
        <w:rPr/>
        <w:t>and</w:t>
      </w:r>
      <w:r>
        <w:rPr>
          <w:spacing w:val="-5"/>
        </w:rPr>
        <w:t> </w:t>
      </w:r>
      <w:r>
        <w:rPr/>
        <w:t>study</w:t>
      </w:r>
      <w:r>
        <w:rPr>
          <w:spacing w:val="-6"/>
        </w:rPr>
        <w:t> </w:t>
      </w:r>
      <w:r>
        <w:rPr/>
        <w:t>the</w:t>
      </w:r>
      <w:r>
        <w:rPr>
          <w:spacing w:val="-5"/>
        </w:rPr>
        <w:t> </w:t>
      </w:r>
      <w:r>
        <w:rPr/>
        <w:t>implications</w:t>
      </w:r>
      <w:r>
        <w:rPr>
          <w:spacing w:val="-4"/>
        </w:rPr>
        <w:t> </w:t>
      </w:r>
      <w:r>
        <w:rPr/>
        <w:t>of</w:t>
      </w:r>
      <w:r>
        <w:rPr>
          <w:spacing w:val="-3"/>
        </w:rPr>
        <w:t> </w:t>
      </w:r>
      <w:r>
        <w:rPr/>
        <w:t>culture and history on the making of space. This is demonstrated in the process work of the Urban Travel studio, students</w:t>
      </w:r>
    </w:p>
    <w:p>
      <w:pPr>
        <w:pStyle w:val="BodyText"/>
        <w:spacing w:before="9"/>
      </w:pPr>
    </w:p>
    <w:p>
      <w:pPr>
        <w:pStyle w:val="ListParagraph"/>
        <w:numPr>
          <w:ilvl w:val="1"/>
          <w:numId w:val="30"/>
        </w:numPr>
        <w:tabs>
          <w:tab w:pos="2431" w:val="left" w:leader="none"/>
          <w:tab w:pos="2432" w:val="left" w:leader="none"/>
        </w:tabs>
        <w:spacing w:line="242" w:lineRule="auto" w:before="0" w:after="0"/>
        <w:ind w:left="2431" w:right="1236" w:hanging="929"/>
        <w:jc w:val="left"/>
        <w:rPr>
          <w:sz w:val="20"/>
        </w:rPr>
      </w:pPr>
      <w:r>
        <w:rPr>
          <w:sz w:val="20"/>
        </w:rPr>
        <w:t>Applied Research: </w:t>
      </w:r>
      <w:r>
        <w:rPr>
          <w:i/>
          <w:sz w:val="20"/>
        </w:rPr>
        <w:t>Understanding </w:t>
      </w:r>
      <w:r>
        <w:rPr>
          <w:sz w:val="20"/>
        </w:rPr>
        <w:t>the role of applied research in determining function,</w:t>
      </w:r>
      <w:r>
        <w:rPr>
          <w:spacing w:val="-4"/>
          <w:sz w:val="20"/>
        </w:rPr>
        <w:t> </w:t>
      </w:r>
      <w:r>
        <w:rPr>
          <w:sz w:val="20"/>
        </w:rPr>
        <w:t>form,</w:t>
      </w:r>
      <w:r>
        <w:rPr>
          <w:spacing w:val="-4"/>
          <w:sz w:val="20"/>
        </w:rPr>
        <w:t> </w:t>
      </w:r>
      <w:r>
        <w:rPr>
          <w:sz w:val="20"/>
        </w:rPr>
        <w:t>and</w:t>
      </w:r>
      <w:r>
        <w:rPr>
          <w:spacing w:val="-4"/>
          <w:sz w:val="20"/>
        </w:rPr>
        <w:t> </w:t>
      </w:r>
      <w:r>
        <w:rPr>
          <w:sz w:val="20"/>
        </w:rPr>
        <w:t>systems</w:t>
      </w:r>
      <w:r>
        <w:rPr>
          <w:spacing w:val="-5"/>
          <w:sz w:val="20"/>
        </w:rPr>
        <w:t> </w:t>
      </w:r>
      <w:r>
        <w:rPr>
          <w:sz w:val="20"/>
        </w:rPr>
        <w:t>and</w:t>
      </w:r>
      <w:r>
        <w:rPr>
          <w:spacing w:val="-2"/>
          <w:sz w:val="20"/>
        </w:rPr>
        <w:t> </w:t>
      </w:r>
      <w:r>
        <w:rPr>
          <w:sz w:val="20"/>
        </w:rPr>
        <w:t>their</w:t>
      </w:r>
      <w:r>
        <w:rPr>
          <w:spacing w:val="-3"/>
          <w:sz w:val="20"/>
        </w:rPr>
        <w:t> </w:t>
      </w:r>
      <w:r>
        <w:rPr>
          <w:sz w:val="20"/>
        </w:rPr>
        <w:t>impact</w:t>
      </w:r>
      <w:r>
        <w:rPr>
          <w:spacing w:val="-4"/>
          <w:sz w:val="20"/>
        </w:rPr>
        <w:t> </w:t>
      </w:r>
      <w:r>
        <w:rPr>
          <w:sz w:val="20"/>
        </w:rPr>
        <w:t>on</w:t>
      </w:r>
      <w:r>
        <w:rPr>
          <w:spacing w:val="-4"/>
          <w:sz w:val="20"/>
        </w:rPr>
        <w:t> </w:t>
      </w:r>
      <w:r>
        <w:rPr>
          <w:sz w:val="20"/>
        </w:rPr>
        <w:t>human</w:t>
      </w:r>
      <w:r>
        <w:rPr>
          <w:spacing w:val="-4"/>
          <w:sz w:val="20"/>
        </w:rPr>
        <w:t> </w:t>
      </w:r>
      <w:r>
        <w:rPr>
          <w:sz w:val="20"/>
        </w:rPr>
        <w:t>conditions</w:t>
      </w:r>
      <w:r>
        <w:rPr>
          <w:spacing w:val="-3"/>
          <w:sz w:val="20"/>
        </w:rPr>
        <w:t> </w:t>
      </w:r>
      <w:r>
        <w:rPr>
          <w:sz w:val="20"/>
        </w:rPr>
        <w:t>and</w:t>
      </w:r>
      <w:r>
        <w:rPr>
          <w:spacing w:val="-4"/>
          <w:sz w:val="20"/>
        </w:rPr>
        <w:t> </w:t>
      </w:r>
      <w:r>
        <w:rPr>
          <w:sz w:val="20"/>
        </w:rPr>
        <w:t>behavior.</w:t>
      </w:r>
    </w:p>
    <w:p>
      <w:pPr>
        <w:pStyle w:val="BodyText"/>
        <w:spacing w:before="6"/>
      </w:pPr>
    </w:p>
    <w:p>
      <w:pPr>
        <w:pStyle w:val="BodyText"/>
        <w:tabs>
          <w:tab w:pos="3879" w:val="left" w:leader="none"/>
          <w:tab w:pos="7479" w:val="left" w:leader="none"/>
        </w:tabs>
        <w:ind w:left="2439" w:right="1333"/>
      </w:pPr>
      <w:r>
        <w:rPr/>
        <w:t>ARC 314-315</w:t>
        <w:tab/>
        <w:t>Environmental Systems 1 &amp; 2</w:t>
        <w:tab/>
        <w:t>Project Assignments ARC 601-602</w:t>
        <w:tab/>
        <w:t>Design Research Thesis Studio I &amp; II</w:t>
        <w:tab/>
        <w:t>Papers</w:t>
      </w:r>
      <w:r>
        <w:rPr>
          <w:spacing w:val="-14"/>
        </w:rPr>
        <w:t> </w:t>
      </w:r>
      <w:r>
        <w:rPr/>
        <w:t>/</w:t>
      </w:r>
      <w:r>
        <w:rPr>
          <w:spacing w:val="-14"/>
        </w:rPr>
        <w:t> </w:t>
      </w:r>
      <w:r>
        <w:rPr/>
        <w:t>Assignments</w:t>
      </w:r>
    </w:p>
    <w:p>
      <w:pPr>
        <w:pStyle w:val="BodyText"/>
        <w:spacing w:before="11"/>
      </w:pPr>
    </w:p>
    <w:p>
      <w:pPr>
        <w:pStyle w:val="BodyText"/>
        <w:ind w:left="2439" w:right="1211"/>
      </w:pPr>
      <w:r>
        <w:rPr/>
        <w:t>In the 5th year studio, Applied Research</w:t>
      </w:r>
      <w:r>
        <w:rPr>
          <w:spacing w:val="40"/>
        </w:rPr>
        <w:t> </w:t>
      </w:r>
      <w:r>
        <w:rPr/>
        <w:t>is demonstrated in the critical assessment of the research process and products as the students compare/contrast</w:t>
      </w:r>
      <w:r>
        <w:rPr>
          <w:spacing w:val="-6"/>
        </w:rPr>
        <w:t> </w:t>
      </w:r>
      <w:r>
        <w:rPr/>
        <w:t>their</w:t>
      </w:r>
      <w:r>
        <w:rPr>
          <w:spacing w:val="-5"/>
        </w:rPr>
        <w:t> </w:t>
      </w:r>
      <w:r>
        <w:rPr/>
        <w:t>results</w:t>
      </w:r>
      <w:r>
        <w:rPr>
          <w:spacing w:val="-2"/>
        </w:rPr>
        <w:t> </w:t>
      </w:r>
      <w:r>
        <w:rPr/>
        <w:t>with</w:t>
      </w:r>
      <w:r>
        <w:rPr>
          <w:spacing w:val="-6"/>
        </w:rPr>
        <w:t> </w:t>
      </w:r>
      <w:r>
        <w:rPr/>
        <w:t>architectural</w:t>
      </w:r>
      <w:r>
        <w:rPr>
          <w:spacing w:val="-7"/>
        </w:rPr>
        <w:t> </w:t>
      </w:r>
      <w:r>
        <w:rPr/>
        <w:t>projects,</w:t>
      </w:r>
      <w:r>
        <w:rPr>
          <w:spacing w:val="-6"/>
        </w:rPr>
        <w:t> </w:t>
      </w:r>
      <w:r>
        <w:rPr/>
        <w:t>and</w:t>
      </w:r>
      <w:r>
        <w:rPr>
          <w:spacing w:val="-6"/>
        </w:rPr>
        <w:t> </w:t>
      </w:r>
      <w:r>
        <w:rPr/>
        <w:t>research</w:t>
      </w:r>
      <w:r>
        <w:rPr>
          <w:spacing w:val="-6"/>
        </w:rPr>
        <w:t> </w:t>
      </w:r>
      <w:r>
        <w:rPr/>
        <w:t>on</w:t>
      </w:r>
      <w:r>
        <w:rPr>
          <w:spacing w:val="-4"/>
        </w:rPr>
        <w:t> </w:t>
      </w:r>
      <w:r>
        <w:rPr/>
        <w:t>the problem and solution. Students must place the intermediate findings of their research in the larger context of the professional community. Tangible</w:t>
      </w:r>
    </w:p>
    <w:p>
      <w:pPr>
        <w:spacing w:after="0"/>
        <w:sectPr>
          <w:headerReference w:type="default" r:id="rId103"/>
          <w:footerReference w:type="default" r:id="rId104"/>
          <w:pgSz w:w="12240" w:h="15840"/>
          <w:pgMar w:header="0" w:footer="974" w:top="1360" w:bottom="1160" w:left="1160" w:right="320"/>
        </w:sectPr>
      </w:pPr>
    </w:p>
    <w:p>
      <w:pPr>
        <w:pStyle w:val="BodyText"/>
        <w:spacing w:before="77"/>
        <w:ind w:left="2440" w:right="1211"/>
      </w:pPr>
      <w:r>
        <w:rPr/>
        <w:t>demonstration</w:t>
      </w:r>
      <w:r>
        <w:rPr>
          <w:spacing w:val="-4"/>
        </w:rPr>
        <w:t> </w:t>
      </w:r>
      <w:r>
        <w:rPr/>
        <w:t>of</w:t>
      </w:r>
      <w:r>
        <w:rPr>
          <w:spacing w:val="-4"/>
        </w:rPr>
        <w:t> </w:t>
      </w:r>
      <w:r>
        <w:rPr/>
        <w:t>this</w:t>
      </w:r>
      <w:r>
        <w:rPr>
          <w:spacing w:val="-5"/>
        </w:rPr>
        <w:t> </w:t>
      </w:r>
      <w:r>
        <w:rPr/>
        <w:t>understanding</w:t>
      </w:r>
      <w:r>
        <w:rPr>
          <w:spacing w:val="-6"/>
        </w:rPr>
        <w:t> </w:t>
      </w:r>
      <w:r>
        <w:rPr/>
        <w:t>can</w:t>
      </w:r>
      <w:r>
        <w:rPr>
          <w:spacing w:val="-6"/>
        </w:rPr>
        <w:t> </w:t>
      </w:r>
      <w:r>
        <w:rPr/>
        <w:t>be</w:t>
      </w:r>
      <w:r>
        <w:rPr>
          <w:spacing w:val="-4"/>
        </w:rPr>
        <w:t> </w:t>
      </w:r>
      <w:r>
        <w:rPr/>
        <w:t>found</w:t>
      </w:r>
      <w:r>
        <w:rPr>
          <w:spacing w:val="-4"/>
        </w:rPr>
        <w:t> </w:t>
      </w:r>
      <w:r>
        <w:rPr/>
        <w:t>in</w:t>
      </w:r>
      <w:r>
        <w:rPr>
          <w:spacing w:val="-4"/>
        </w:rPr>
        <w:t> </w:t>
      </w:r>
      <w:r>
        <w:rPr/>
        <w:t>the</w:t>
      </w:r>
      <w:r>
        <w:rPr>
          <w:spacing w:val="-6"/>
        </w:rPr>
        <w:t> </w:t>
      </w:r>
      <w:r>
        <w:rPr/>
        <w:t>summative</w:t>
      </w:r>
      <w:r>
        <w:rPr>
          <w:spacing w:val="-6"/>
        </w:rPr>
        <w:t> </w:t>
      </w:r>
      <w:r>
        <w:rPr/>
        <w:t>reflective essay, and in the design work.</w:t>
      </w:r>
    </w:p>
    <w:p>
      <w:pPr>
        <w:pStyle w:val="BodyText"/>
        <w:spacing w:before="8"/>
      </w:pPr>
    </w:p>
    <w:p>
      <w:pPr>
        <w:numPr>
          <w:ilvl w:val="2"/>
          <w:numId w:val="29"/>
        </w:numPr>
        <w:tabs>
          <w:tab w:pos="1504" w:val="left" w:leader="none"/>
        </w:tabs>
        <w:spacing w:before="0"/>
        <w:ind w:left="1503" w:right="0" w:hanging="505"/>
        <w:jc w:val="left"/>
        <w:rPr>
          <w:b/>
          <w:sz w:val="20"/>
        </w:rPr>
      </w:pPr>
      <w:bookmarkStart w:name="_TOC_250001" w:id="64"/>
      <w:r>
        <w:rPr>
          <w:b/>
          <w:sz w:val="20"/>
        </w:rPr>
        <w:t>Realm</w:t>
      </w:r>
      <w:r>
        <w:rPr>
          <w:b/>
          <w:spacing w:val="-9"/>
          <w:sz w:val="20"/>
        </w:rPr>
        <w:t> </w:t>
      </w:r>
      <w:r>
        <w:rPr>
          <w:b/>
          <w:sz w:val="20"/>
        </w:rPr>
        <w:t>B:</w:t>
      </w:r>
      <w:r>
        <w:rPr>
          <w:b/>
          <w:spacing w:val="-6"/>
          <w:sz w:val="20"/>
        </w:rPr>
        <w:t> </w:t>
      </w:r>
      <w:r>
        <w:rPr>
          <w:b/>
          <w:sz w:val="20"/>
        </w:rPr>
        <w:t>Integrated</w:t>
      </w:r>
      <w:r>
        <w:rPr>
          <w:b/>
          <w:spacing w:val="-6"/>
          <w:sz w:val="20"/>
        </w:rPr>
        <w:t> </w:t>
      </w:r>
      <w:r>
        <w:rPr>
          <w:b/>
          <w:sz w:val="20"/>
        </w:rPr>
        <w:t>Building</w:t>
      </w:r>
      <w:r>
        <w:rPr>
          <w:b/>
          <w:spacing w:val="-8"/>
          <w:sz w:val="20"/>
        </w:rPr>
        <w:t> </w:t>
      </w:r>
      <w:r>
        <w:rPr>
          <w:b/>
          <w:sz w:val="20"/>
        </w:rPr>
        <w:t>Practices,</w:t>
      </w:r>
      <w:r>
        <w:rPr>
          <w:b/>
          <w:spacing w:val="-9"/>
          <w:sz w:val="20"/>
        </w:rPr>
        <w:t> </w:t>
      </w:r>
      <w:r>
        <w:rPr>
          <w:b/>
          <w:sz w:val="20"/>
        </w:rPr>
        <w:t>Technical</w:t>
      </w:r>
      <w:r>
        <w:rPr>
          <w:b/>
          <w:spacing w:val="-8"/>
          <w:sz w:val="20"/>
        </w:rPr>
        <w:t> </w:t>
      </w:r>
      <w:r>
        <w:rPr>
          <w:b/>
          <w:sz w:val="20"/>
        </w:rPr>
        <w:t>Skills</w:t>
      </w:r>
      <w:r>
        <w:rPr>
          <w:b/>
          <w:spacing w:val="-9"/>
          <w:sz w:val="20"/>
        </w:rPr>
        <w:t> </w:t>
      </w:r>
      <w:r>
        <w:rPr>
          <w:b/>
          <w:sz w:val="20"/>
        </w:rPr>
        <w:t>and</w:t>
      </w:r>
      <w:r>
        <w:rPr>
          <w:b/>
          <w:spacing w:val="-8"/>
          <w:sz w:val="20"/>
        </w:rPr>
        <w:t> </w:t>
      </w:r>
      <w:bookmarkEnd w:id="64"/>
      <w:r>
        <w:rPr>
          <w:b/>
          <w:spacing w:val="-2"/>
          <w:sz w:val="20"/>
        </w:rPr>
        <w:t>Knowledge:</w:t>
      </w:r>
    </w:p>
    <w:p>
      <w:pPr>
        <w:pStyle w:val="BodyText"/>
        <w:spacing w:before="8"/>
        <w:rPr>
          <w:b/>
        </w:rPr>
      </w:pPr>
    </w:p>
    <w:p>
      <w:pPr>
        <w:pStyle w:val="ListParagraph"/>
        <w:numPr>
          <w:ilvl w:val="1"/>
          <w:numId w:val="31"/>
        </w:numPr>
        <w:tabs>
          <w:tab w:pos="2432" w:val="left" w:leader="none"/>
          <w:tab w:pos="2433" w:val="left" w:leader="none"/>
        </w:tabs>
        <w:spacing w:line="240" w:lineRule="auto" w:before="0" w:after="0"/>
        <w:ind w:left="2432" w:right="1244" w:hanging="929"/>
        <w:jc w:val="left"/>
        <w:rPr>
          <w:sz w:val="20"/>
        </w:rPr>
      </w:pPr>
      <w:r>
        <w:rPr>
          <w:sz w:val="20"/>
        </w:rPr>
        <w:t>Pre-Design: </w:t>
      </w:r>
      <w:r>
        <w:rPr>
          <w:i/>
          <w:sz w:val="20"/>
        </w:rPr>
        <w:t>Ability </w:t>
      </w:r>
      <w:r>
        <w:rPr>
          <w:sz w:val="20"/>
        </w:rPr>
        <w:t>to prepare a comprehensive program for an architectural project,</w:t>
      </w:r>
      <w:r>
        <w:rPr>
          <w:spacing w:val="-4"/>
          <w:sz w:val="20"/>
        </w:rPr>
        <w:t> </w:t>
      </w:r>
      <w:r>
        <w:rPr>
          <w:sz w:val="20"/>
        </w:rPr>
        <w:t>such</w:t>
      </w:r>
      <w:r>
        <w:rPr>
          <w:spacing w:val="-4"/>
          <w:sz w:val="20"/>
        </w:rPr>
        <w:t> </w:t>
      </w:r>
      <w:r>
        <w:rPr>
          <w:sz w:val="20"/>
        </w:rPr>
        <w:t>as</w:t>
      </w:r>
      <w:r>
        <w:rPr>
          <w:spacing w:val="-4"/>
          <w:sz w:val="20"/>
        </w:rPr>
        <w:t> </w:t>
      </w:r>
      <w:r>
        <w:rPr>
          <w:sz w:val="20"/>
        </w:rPr>
        <w:t>preparing</w:t>
      </w:r>
      <w:r>
        <w:rPr>
          <w:spacing w:val="-3"/>
          <w:sz w:val="20"/>
        </w:rPr>
        <w:t> </w:t>
      </w:r>
      <w:r>
        <w:rPr>
          <w:sz w:val="20"/>
        </w:rPr>
        <w:t>an</w:t>
      </w:r>
      <w:r>
        <w:rPr>
          <w:spacing w:val="-4"/>
          <w:sz w:val="20"/>
        </w:rPr>
        <w:t> </w:t>
      </w:r>
      <w:r>
        <w:rPr>
          <w:sz w:val="20"/>
        </w:rPr>
        <w:t>assessment</w:t>
      </w:r>
      <w:r>
        <w:rPr>
          <w:spacing w:val="-4"/>
          <w:sz w:val="20"/>
        </w:rPr>
        <w:t> </w:t>
      </w:r>
      <w:r>
        <w:rPr>
          <w:sz w:val="20"/>
        </w:rPr>
        <w:t>of</w:t>
      </w:r>
      <w:r>
        <w:rPr>
          <w:spacing w:val="-3"/>
          <w:sz w:val="20"/>
        </w:rPr>
        <w:t> </w:t>
      </w:r>
      <w:r>
        <w:rPr>
          <w:sz w:val="20"/>
        </w:rPr>
        <w:t>client</w:t>
      </w:r>
      <w:r>
        <w:rPr>
          <w:spacing w:val="-4"/>
          <w:sz w:val="20"/>
        </w:rPr>
        <w:t> </w:t>
      </w:r>
      <w:r>
        <w:rPr>
          <w:sz w:val="20"/>
        </w:rPr>
        <w:t>and</w:t>
      </w:r>
      <w:r>
        <w:rPr>
          <w:spacing w:val="-4"/>
          <w:sz w:val="20"/>
        </w:rPr>
        <w:t> </w:t>
      </w:r>
      <w:r>
        <w:rPr>
          <w:sz w:val="20"/>
        </w:rPr>
        <w:t>user</w:t>
      </w:r>
      <w:r>
        <w:rPr>
          <w:spacing w:val="-4"/>
          <w:sz w:val="20"/>
        </w:rPr>
        <w:t> </w:t>
      </w:r>
      <w:r>
        <w:rPr>
          <w:sz w:val="20"/>
        </w:rPr>
        <w:t>needs,</w:t>
      </w:r>
      <w:r>
        <w:rPr>
          <w:spacing w:val="-3"/>
          <w:sz w:val="20"/>
        </w:rPr>
        <w:t> </w:t>
      </w:r>
      <w:r>
        <w:rPr>
          <w:sz w:val="20"/>
        </w:rPr>
        <w:t>an</w:t>
      </w:r>
      <w:r>
        <w:rPr>
          <w:spacing w:val="-3"/>
          <w:sz w:val="20"/>
        </w:rPr>
        <w:t> </w:t>
      </w:r>
      <w:r>
        <w:rPr>
          <w:sz w:val="20"/>
        </w:rPr>
        <w:t>inventory of space and equipment requirements, an analysis of site conditions (including existing</w:t>
      </w:r>
      <w:r>
        <w:rPr>
          <w:spacing w:val="-3"/>
          <w:sz w:val="20"/>
        </w:rPr>
        <w:t> </w:t>
      </w:r>
      <w:r>
        <w:rPr>
          <w:sz w:val="20"/>
        </w:rPr>
        <w:t>buildings),</w:t>
      </w:r>
      <w:r>
        <w:rPr>
          <w:spacing w:val="-3"/>
          <w:sz w:val="20"/>
        </w:rPr>
        <w:t> </w:t>
      </w:r>
      <w:r>
        <w:rPr>
          <w:sz w:val="20"/>
        </w:rPr>
        <w:t>a</w:t>
      </w:r>
      <w:r>
        <w:rPr>
          <w:spacing w:val="-3"/>
          <w:sz w:val="20"/>
        </w:rPr>
        <w:t> </w:t>
      </w:r>
      <w:r>
        <w:rPr>
          <w:sz w:val="20"/>
        </w:rPr>
        <w:t>review</w:t>
      </w:r>
      <w:r>
        <w:rPr>
          <w:spacing w:val="-3"/>
          <w:sz w:val="20"/>
        </w:rPr>
        <w:t> </w:t>
      </w:r>
      <w:r>
        <w:rPr>
          <w:sz w:val="20"/>
        </w:rPr>
        <w:t>of</w:t>
      </w:r>
      <w:r>
        <w:rPr>
          <w:spacing w:val="-1"/>
          <w:sz w:val="20"/>
        </w:rPr>
        <w:t> </w:t>
      </w:r>
      <w:r>
        <w:rPr>
          <w:sz w:val="20"/>
        </w:rPr>
        <w:t>the</w:t>
      </w:r>
      <w:r>
        <w:rPr>
          <w:spacing w:val="-3"/>
          <w:sz w:val="20"/>
        </w:rPr>
        <w:t> </w:t>
      </w:r>
      <w:r>
        <w:rPr>
          <w:sz w:val="20"/>
        </w:rPr>
        <w:t>relevant</w:t>
      </w:r>
      <w:r>
        <w:rPr>
          <w:spacing w:val="-1"/>
          <w:sz w:val="20"/>
        </w:rPr>
        <w:t> </w:t>
      </w:r>
      <w:r>
        <w:rPr>
          <w:sz w:val="20"/>
        </w:rPr>
        <w:t>laws and</w:t>
      </w:r>
      <w:r>
        <w:rPr>
          <w:spacing w:val="-1"/>
          <w:sz w:val="20"/>
        </w:rPr>
        <w:t> </w:t>
      </w:r>
      <w:r>
        <w:rPr>
          <w:sz w:val="20"/>
        </w:rPr>
        <w:t>standards</w:t>
      </w:r>
      <w:r>
        <w:rPr>
          <w:spacing w:val="-2"/>
          <w:sz w:val="20"/>
        </w:rPr>
        <w:t> </w:t>
      </w:r>
      <w:r>
        <w:rPr>
          <w:sz w:val="20"/>
        </w:rPr>
        <w:t>and</w:t>
      </w:r>
      <w:r>
        <w:rPr>
          <w:spacing w:val="-1"/>
          <w:sz w:val="20"/>
        </w:rPr>
        <w:t> </w:t>
      </w:r>
      <w:r>
        <w:rPr>
          <w:sz w:val="20"/>
        </w:rPr>
        <w:t>assessment of their implications for the project, and a definition of site selection and design assessment criteria.</w:t>
      </w:r>
    </w:p>
    <w:p>
      <w:pPr>
        <w:pStyle w:val="BodyText"/>
        <w:spacing w:before="1"/>
        <w:rPr>
          <w:sz w:val="21"/>
        </w:rPr>
      </w:pPr>
    </w:p>
    <w:p>
      <w:pPr>
        <w:pStyle w:val="BodyText"/>
        <w:tabs>
          <w:tab w:pos="3879" w:val="left" w:leader="none"/>
          <w:tab w:pos="7479" w:val="left" w:leader="none"/>
        </w:tabs>
        <w:spacing w:before="1"/>
        <w:ind w:left="2439"/>
      </w:pPr>
      <w:r>
        <w:rPr/>
        <w:t>ARC</w:t>
      </w:r>
      <w:r>
        <w:rPr>
          <w:spacing w:val="-11"/>
        </w:rPr>
        <w:t> </w:t>
      </w:r>
      <w:r>
        <w:rPr/>
        <w:t>303-</w:t>
      </w:r>
      <w:r>
        <w:rPr>
          <w:spacing w:val="-5"/>
        </w:rPr>
        <w:t>304</w:t>
      </w:r>
      <w:r>
        <w:rPr/>
        <w:tab/>
        <w:t>Design</w:t>
      </w:r>
      <w:r>
        <w:rPr>
          <w:spacing w:val="-4"/>
        </w:rPr>
        <w:t> </w:t>
      </w:r>
      <w:r>
        <w:rPr/>
        <w:t>Studio</w:t>
      </w:r>
      <w:r>
        <w:rPr>
          <w:spacing w:val="-6"/>
        </w:rPr>
        <w:t> </w:t>
      </w:r>
      <w:r>
        <w:rPr/>
        <w:t>5</w:t>
      </w:r>
      <w:r>
        <w:rPr>
          <w:spacing w:val="-3"/>
        </w:rPr>
        <w:t> </w:t>
      </w:r>
      <w:r>
        <w:rPr/>
        <w:t>and</w:t>
      </w:r>
      <w:r>
        <w:rPr>
          <w:spacing w:val="-6"/>
        </w:rPr>
        <w:t> </w:t>
      </w:r>
      <w:r>
        <w:rPr>
          <w:spacing w:val="-10"/>
        </w:rPr>
        <w:t>6</w:t>
      </w:r>
      <w:r>
        <w:rPr/>
        <w:tab/>
        <w:t>Project</w:t>
      </w:r>
      <w:r>
        <w:rPr>
          <w:spacing w:val="-9"/>
        </w:rPr>
        <w:t> </w:t>
      </w:r>
      <w:r>
        <w:rPr>
          <w:spacing w:val="-2"/>
        </w:rPr>
        <w:t>Assignments</w:t>
      </w:r>
    </w:p>
    <w:p>
      <w:pPr>
        <w:pStyle w:val="BodyText"/>
        <w:tabs>
          <w:tab w:pos="3879" w:val="left" w:leader="none"/>
          <w:tab w:pos="7479" w:val="left" w:leader="none"/>
        </w:tabs>
        <w:ind w:left="2439"/>
      </w:pPr>
      <w:r>
        <w:rPr/>
        <w:t>ARC</w:t>
      </w:r>
      <w:r>
        <w:rPr>
          <w:spacing w:val="-11"/>
        </w:rPr>
        <w:t> </w:t>
      </w:r>
      <w:r>
        <w:rPr/>
        <w:t>405-</w:t>
      </w:r>
      <w:r>
        <w:rPr>
          <w:spacing w:val="-5"/>
        </w:rPr>
        <w:t>406</w:t>
      </w:r>
      <w:r>
        <w:rPr/>
        <w:tab/>
        <w:t>Design</w:t>
      </w:r>
      <w:r>
        <w:rPr>
          <w:spacing w:val="-4"/>
        </w:rPr>
        <w:t> </w:t>
      </w:r>
      <w:r>
        <w:rPr/>
        <w:t>Studio</w:t>
      </w:r>
      <w:r>
        <w:rPr>
          <w:spacing w:val="-6"/>
        </w:rPr>
        <w:t> </w:t>
      </w:r>
      <w:r>
        <w:rPr/>
        <w:t>8</w:t>
      </w:r>
      <w:r>
        <w:rPr>
          <w:spacing w:val="-3"/>
        </w:rPr>
        <w:t> </w:t>
      </w:r>
      <w:r>
        <w:rPr/>
        <w:t>and</w:t>
      </w:r>
      <w:r>
        <w:rPr>
          <w:spacing w:val="-6"/>
        </w:rPr>
        <w:t> </w:t>
      </w:r>
      <w:r>
        <w:rPr>
          <w:spacing w:val="-10"/>
        </w:rPr>
        <w:t>9</w:t>
      </w:r>
      <w:r>
        <w:rPr/>
        <w:tab/>
        <w:t>Project</w:t>
      </w:r>
      <w:r>
        <w:rPr>
          <w:spacing w:val="-9"/>
        </w:rPr>
        <w:t> </w:t>
      </w:r>
      <w:r>
        <w:rPr>
          <w:spacing w:val="-2"/>
        </w:rPr>
        <w:t>Assignments</w:t>
      </w:r>
    </w:p>
    <w:p>
      <w:pPr>
        <w:pStyle w:val="BodyText"/>
        <w:spacing w:before="10"/>
      </w:pPr>
    </w:p>
    <w:p>
      <w:pPr>
        <w:pStyle w:val="BodyText"/>
        <w:ind w:left="2440" w:right="1151"/>
      </w:pPr>
      <w:r>
        <w:rPr/>
        <w:t>In the fourth year, student work to develop project requirements including budgeting,</w:t>
      </w:r>
      <w:r>
        <w:rPr>
          <w:spacing w:val="-4"/>
        </w:rPr>
        <w:t> </w:t>
      </w:r>
      <w:r>
        <w:rPr/>
        <w:t>programming,</w:t>
      </w:r>
      <w:r>
        <w:rPr>
          <w:spacing w:val="-6"/>
        </w:rPr>
        <w:t> </w:t>
      </w:r>
      <w:r>
        <w:rPr/>
        <w:t>site</w:t>
      </w:r>
      <w:r>
        <w:rPr>
          <w:spacing w:val="-6"/>
        </w:rPr>
        <w:t> </w:t>
      </w:r>
      <w:r>
        <w:rPr/>
        <w:t>analysis,</w:t>
      </w:r>
      <w:r>
        <w:rPr>
          <w:spacing w:val="-4"/>
        </w:rPr>
        <w:t> </w:t>
      </w:r>
      <w:r>
        <w:rPr/>
        <w:t>zoning</w:t>
      </w:r>
      <w:r>
        <w:rPr>
          <w:spacing w:val="-6"/>
        </w:rPr>
        <w:t> </w:t>
      </w:r>
      <w:r>
        <w:rPr/>
        <w:t>and</w:t>
      </w:r>
      <w:r>
        <w:rPr>
          <w:spacing w:val="-6"/>
        </w:rPr>
        <w:t> </w:t>
      </w:r>
      <w:r>
        <w:rPr/>
        <w:t>code</w:t>
      </w:r>
      <w:r>
        <w:rPr>
          <w:spacing w:val="-6"/>
        </w:rPr>
        <w:t> </w:t>
      </w:r>
      <w:r>
        <w:rPr/>
        <w:t>requirements.</w:t>
      </w:r>
      <w:r>
        <w:rPr>
          <w:spacing w:val="-6"/>
        </w:rPr>
        <w:t> </w:t>
      </w:r>
      <w:r>
        <w:rPr/>
        <w:t>This</w:t>
      </w:r>
      <w:r>
        <w:rPr>
          <w:spacing w:val="-5"/>
        </w:rPr>
        <w:t> </w:t>
      </w:r>
      <w:r>
        <w:rPr/>
        <w:t>work is documented in their final project presentations.</w:t>
      </w:r>
    </w:p>
    <w:p>
      <w:pPr>
        <w:pStyle w:val="BodyText"/>
        <w:spacing w:before="9"/>
      </w:pPr>
    </w:p>
    <w:p>
      <w:pPr>
        <w:pStyle w:val="ListParagraph"/>
        <w:numPr>
          <w:ilvl w:val="1"/>
          <w:numId w:val="31"/>
        </w:numPr>
        <w:tabs>
          <w:tab w:pos="2432" w:val="left" w:leader="none"/>
          <w:tab w:pos="2433" w:val="left" w:leader="none"/>
        </w:tabs>
        <w:spacing w:line="240" w:lineRule="auto" w:before="0" w:after="0"/>
        <w:ind w:left="2432" w:right="1302" w:hanging="929"/>
        <w:jc w:val="left"/>
        <w:rPr>
          <w:sz w:val="20"/>
        </w:rPr>
      </w:pPr>
      <w:r>
        <w:rPr>
          <w:sz w:val="20"/>
        </w:rPr>
        <w:t>Accessibility: </w:t>
      </w:r>
      <w:r>
        <w:rPr>
          <w:i/>
          <w:sz w:val="20"/>
        </w:rPr>
        <w:t>Ability </w:t>
      </w:r>
      <w:r>
        <w:rPr>
          <w:sz w:val="20"/>
        </w:rPr>
        <w:t>to design sites, facilities, and systems to provide independent</w:t>
      </w:r>
      <w:r>
        <w:rPr>
          <w:spacing w:val="-6"/>
          <w:sz w:val="20"/>
        </w:rPr>
        <w:t> </w:t>
      </w:r>
      <w:r>
        <w:rPr>
          <w:sz w:val="20"/>
        </w:rPr>
        <w:t>and</w:t>
      </w:r>
      <w:r>
        <w:rPr>
          <w:spacing w:val="-4"/>
          <w:sz w:val="20"/>
        </w:rPr>
        <w:t> </w:t>
      </w:r>
      <w:r>
        <w:rPr>
          <w:sz w:val="20"/>
        </w:rPr>
        <w:t>integrated</w:t>
      </w:r>
      <w:r>
        <w:rPr>
          <w:spacing w:val="-4"/>
          <w:sz w:val="20"/>
        </w:rPr>
        <w:t> </w:t>
      </w:r>
      <w:r>
        <w:rPr>
          <w:sz w:val="20"/>
        </w:rPr>
        <w:t>use</w:t>
      </w:r>
      <w:r>
        <w:rPr>
          <w:spacing w:val="-6"/>
          <w:sz w:val="20"/>
        </w:rPr>
        <w:t> </w:t>
      </w:r>
      <w:r>
        <w:rPr>
          <w:sz w:val="20"/>
        </w:rPr>
        <w:t>by</w:t>
      </w:r>
      <w:r>
        <w:rPr>
          <w:spacing w:val="-8"/>
          <w:sz w:val="20"/>
        </w:rPr>
        <w:t> </w:t>
      </w:r>
      <w:r>
        <w:rPr>
          <w:sz w:val="20"/>
        </w:rPr>
        <w:t>individuals</w:t>
      </w:r>
      <w:r>
        <w:rPr>
          <w:spacing w:val="-2"/>
          <w:sz w:val="20"/>
        </w:rPr>
        <w:t> </w:t>
      </w:r>
      <w:r>
        <w:rPr>
          <w:sz w:val="20"/>
        </w:rPr>
        <w:t>with</w:t>
      </w:r>
      <w:r>
        <w:rPr>
          <w:spacing w:val="-4"/>
          <w:sz w:val="20"/>
        </w:rPr>
        <w:t> </w:t>
      </w:r>
      <w:r>
        <w:rPr>
          <w:sz w:val="20"/>
        </w:rPr>
        <w:t>physical</w:t>
      </w:r>
      <w:r>
        <w:rPr>
          <w:spacing w:val="-7"/>
          <w:sz w:val="20"/>
        </w:rPr>
        <w:t> </w:t>
      </w:r>
      <w:r>
        <w:rPr>
          <w:sz w:val="20"/>
        </w:rPr>
        <w:t>(including</w:t>
      </w:r>
      <w:r>
        <w:rPr>
          <w:spacing w:val="-6"/>
          <w:sz w:val="20"/>
        </w:rPr>
        <w:t> </w:t>
      </w:r>
      <w:r>
        <w:rPr>
          <w:sz w:val="20"/>
        </w:rPr>
        <w:t>mobility), sensory, and cognitive disabilities.</w:t>
      </w:r>
    </w:p>
    <w:p>
      <w:pPr>
        <w:pStyle w:val="BodyText"/>
        <w:rPr>
          <w:sz w:val="21"/>
        </w:rPr>
      </w:pPr>
    </w:p>
    <w:p>
      <w:pPr>
        <w:pStyle w:val="BodyText"/>
        <w:tabs>
          <w:tab w:pos="3879" w:val="left" w:leader="none"/>
          <w:tab w:pos="7479" w:val="left" w:leader="none"/>
        </w:tabs>
        <w:ind w:left="2439"/>
      </w:pPr>
      <w:r>
        <w:rPr/>
        <w:t>ARC</w:t>
      </w:r>
      <w:r>
        <w:rPr>
          <w:spacing w:val="-11"/>
        </w:rPr>
        <w:t> </w:t>
      </w:r>
      <w:r>
        <w:rPr/>
        <w:t>405-</w:t>
      </w:r>
      <w:r>
        <w:rPr>
          <w:spacing w:val="-5"/>
        </w:rPr>
        <w:t>406</w:t>
      </w:r>
      <w:r>
        <w:rPr/>
        <w:tab/>
        <w:t>Design</w:t>
      </w:r>
      <w:r>
        <w:rPr>
          <w:spacing w:val="-4"/>
        </w:rPr>
        <w:t> </w:t>
      </w:r>
      <w:r>
        <w:rPr/>
        <w:t>Studio</w:t>
      </w:r>
      <w:r>
        <w:rPr>
          <w:spacing w:val="-5"/>
        </w:rPr>
        <w:t> </w:t>
      </w:r>
      <w:r>
        <w:rPr/>
        <w:t>8</w:t>
      </w:r>
      <w:r>
        <w:rPr>
          <w:spacing w:val="-3"/>
        </w:rPr>
        <w:t> </w:t>
      </w:r>
      <w:r>
        <w:rPr/>
        <w:t>&amp;</w:t>
      </w:r>
      <w:r>
        <w:rPr>
          <w:spacing w:val="-4"/>
        </w:rPr>
        <w:t> </w:t>
      </w:r>
      <w:r>
        <w:rPr>
          <w:spacing w:val="-10"/>
        </w:rPr>
        <w:t>9</w:t>
      </w:r>
      <w:r>
        <w:rPr/>
        <w:tab/>
        <w:t>Project</w:t>
      </w:r>
      <w:r>
        <w:rPr>
          <w:spacing w:val="-9"/>
        </w:rPr>
        <w:t> </w:t>
      </w:r>
      <w:r>
        <w:rPr>
          <w:spacing w:val="-2"/>
        </w:rPr>
        <w:t>Assignments</w:t>
      </w:r>
    </w:p>
    <w:p>
      <w:pPr>
        <w:pStyle w:val="BodyText"/>
        <w:tabs>
          <w:tab w:pos="3879" w:val="left" w:leader="none"/>
          <w:tab w:pos="7479" w:val="left" w:leader="none"/>
        </w:tabs>
        <w:spacing w:before="1"/>
        <w:ind w:left="2440"/>
      </w:pPr>
      <w:r>
        <w:rPr/>
        <w:t>ARC</w:t>
      </w:r>
      <w:r>
        <w:rPr>
          <w:spacing w:val="-11"/>
        </w:rPr>
        <w:t> </w:t>
      </w:r>
      <w:r>
        <w:rPr/>
        <w:t>517-</w:t>
      </w:r>
      <w:r>
        <w:rPr>
          <w:spacing w:val="-5"/>
        </w:rPr>
        <w:t>518</w:t>
      </w:r>
      <w:r>
        <w:rPr/>
        <w:tab/>
        <w:t>Professional</w:t>
      </w:r>
      <w:r>
        <w:rPr>
          <w:spacing w:val="-8"/>
        </w:rPr>
        <w:t> </w:t>
      </w:r>
      <w:r>
        <w:rPr/>
        <w:t>Practice</w:t>
      </w:r>
      <w:r>
        <w:rPr>
          <w:spacing w:val="-6"/>
        </w:rPr>
        <w:t> </w:t>
      </w:r>
      <w:r>
        <w:rPr/>
        <w:t>1</w:t>
      </w:r>
      <w:r>
        <w:rPr>
          <w:spacing w:val="-5"/>
        </w:rPr>
        <w:t> </w:t>
      </w:r>
      <w:r>
        <w:rPr/>
        <w:t>&amp;</w:t>
      </w:r>
      <w:r>
        <w:rPr>
          <w:spacing w:val="-4"/>
        </w:rPr>
        <w:t> </w:t>
      </w:r>
      <w:r>
        <w:rPr>
          <w:spacing w:val="-10"/>
        </w:rPr>
        <w:t>2</w:t>
      </w:r>
      <w:r>
        <w:rPr/>
        <w:tab/>
      </w:r>
      <w:r>
        <w:rPr>
          <w:spacing w:val="-2"/>
        </w:rPr>
        <w:t>Papers</w:t>
      </w:r>
    </w:p>
    <w:p>
      <w:pPr>
        <w:pStyle w:val="BodyText"/>
        <w:spacing w:before="10"/>
      </w:pPr>
    </w:p>
    <w:p>
      <w:pPr>
        <w:pStyle w:val="BodyText"/>
        <w:ind w:left="2439" w:right="1211"/>
      </w:pPr>
      <w:r>
        <w:rPr/>
        <w:t>In the fourth year, student work is required to include site and building accommodations as required in the CABA ANSI 117.1, a required text for the class.</w:t>
      </w:r>
      <w:r>
        <w:rPr>
          <w:spacing w:val="-11"/>
        </w:rPr>
        <w:t> </w:t>
      </w:r>
      <w:r>
        <w:rPr/>
        <w:t>Work</w:t>
      </w:r>
      <w:r>
        <w:rPr>
          <w:spacing w:val="-2"/>
        </w:rPr>
        <w:t> </w:t>
      </w:r>
      <w:r>
        <w:rPr/>
        <w:t>demonstrated</w:t>
      </w:r>
      <w:r>
        <w:rPr>
          <w:spacing w:val="-6"/>
        </w:rPr>
        <w:t> </w:t>
      </w:r>
      <w:r>
        <w:rPr/>
        <w:t>include</w:t>
      </w:r>
      <w:r>
        <w:rPr>
          <w:spacing w:val="-6"/>
        </w:rPr>
        <w:t> </w:t>
      </w:r>
      <w:r>
        <w:rPr/>
        <w:t>restroom</w:t>
      </w:r>
      <w:r>
        <w:rPr>
          <w:spacing w:val="-1"/>
        </w:rPr>
        <w:t> </w:t>
      </w:r>
      <w:r>
        <w:rPr/>
        <w:t>configurations</w:t>
      </w:r>
      <w:r>
        <w:rPr>
          <w:spacing w:val="-5"/>
        </w:rPr>
        <w:t> </w:t>
      </w:r>
      <w:r>
        <w:rPr/>
        <w:t>and</w:t>
      </w:r>
      <w:r>
        <w:rPr>
          <w:spacing w:val="-6"/>
        </w:rPr>
        <w:t> </w:t>
      </w:r>
      <w:r>
        <w:rPr/>
        <w:t>a</w:t>
      </w:r>
      <w:r>
        <w:rPr>
          <w:spacing w:val="-4"/>
        </w:rPr>
        <w:t> </w:t>
      </w:r>
      <w:r>
        <w:rPr/>
        <w:t>description</w:t>
      </w:r>
      <w:r>
        <w:rPr>
          <w:spacing w:val="-4"/>
        </w:rPr>
        <w:t> </w:t>
      </w:r>
      <w:r>
        <w:rPr/>
        <w:t>of systems that support persons with physical and cognitive disabilities.</w:t>
      </w:r>
    </w:p>
    <w:p>
      <w:pPr>
        <w:pStyle w:val="BodyText"/>
        <w:spacing w:before="9"/>
      </w:pPr>
    </w:p>
    <w:p>
      <w:pPr>
        <w:pStyle w:val="BodyText"/>
        <w:spacing w:before="1"/>
        <w:ind w:left="2439" w:right="1151"/>
      </w:pPr>
      <w:r>
        <w:rPr/>
        <w:t>Each</w:t>
      </w:r>
      <w:r>
        <w:rPr>
          <w:spacing w:val="-2"/>
        </w:rPr>
        <w:t> </w:t>
      </w:r>
      <w:r>
        <w:rPr/>
        <w:t>year,</w:t>
      </w:r>
      <w:r>
        <w:rPr>
          <w:spacing w:val="-4"/>
        </w:rPr>
        <w:t> </w:t>
      </w:r>
      <w:r>
        <w:rPr/>
        <w:t>the</w:t>
      </w:r>
      <w:r>
        <w:rPr>
          <w:spacing w:val="-4"/>
        </w:rPr>
        <w:t> </w:t>
      </w:r>
      <w:r>
        <w:rPr/>
        <w:t>students</w:t>
      </w:r>
      <w:r>
        <w:rPr>
          <w:spacing w:val="-4"/>
        </w:rPr>
        <w:t> </w:t>
      </w:r>
      <w:r>
        <w:rPr/>
        <w:t>in</w:t>
      </w:r>
      <w:r>
        <w:rPr>
          <w:spacing w:val="-5"/>
        </w:rPr>
        <w:t> </w:t>
      </w:r>
      <w:r>
        <w:rPr/>
        <w:t>the</w:t>
      </w:r>
      <w:r>
        <w:rPr>
          <w:spacing w:val="-5"/>
        </w:rPr>
        <w:t> </w:t>
      </w:r>
      <w:r>
        <w:rPr/>
        <w:t>Professional</w:t>
      </w:r>
      <w:r>
        <w:rPr>
          <w:spacing w:val="-4"/>
        </w:rPr>
        <w:t> </w:t>
      </w:r>
      <w:r>
        <w:rPr/>
        <w:t>Practice</w:t>
      </w:r>
      <w:r>
        <w:rPr>
          <w:spacing w:val="-5"/>
        </w:rPr>
        <w:t> </w:t>
      </w:r>
      <w:r>
        <w:rPr/>
        <w:t>course</w:t>
      </w:r>
      <w:r>
        <w:rPr>
          <w:spacing w:val="-5"/>
        </w:rPr>
        <w:t> </w:t>
      </w:r>
      <w:r>
        <w:rPr/>
        <w:t>conduct</w:t>
      </w:r>
      <w:r>
        <w:rPr>
          <w:spacing w:val="-4"/>
        </w:rPr>
        <w:t> </w:t>
      </w:r>
      <w:r>
        <w:rPr/>
        <w:t>a</w:t>
      </w:r>
      <w:r>
        <w:rPr>
          <w:spacing w:val="-4"/>
        </w:rPr>
        <w:t> </w:t>
      </w:r>
      <w:r>
        <w:rPr/>
        <w:t>wheelchair race during the week of their Professional seminar on the ADA. The path of the race includes maneuvering through areas where accessibility has not been provided. This race is conducted to help students understand the importance of applying the principals of accessibility in all aspects of their design.</w:t>
      </w:r>
    </w:p>
    <w:p>
      <w:pPr>
        <w:pStyle w:val="BodyText"/>
        <w:spacing w:before="7"/>
      </w:pPr>
    </w:p>
    <w:p>
      <w:pPr>
        <w:pStyle w:val="ListParagraph"/>
        <w:numPr>
          <w:ilvl w:val="1"/>
          <w:numId w:val="31"/>
        </w:numPr>
        <w:tabs>
          <w:tab w:pos="2432" w:val="left" w:leader="none"/>
          <w:tab w:pos="2433" w:val="left" w:leader="none"/>
        </w:tabs>
        <w:spacing w:line="240" w:lineRule="auto" w:before="0" w:after="0"/>
        <w:ind w:left="2432" w:right="1255" w:hanging="929"/>
        <w:jc w:val="left"/>
        <w:rPr>
          <w:sz w:val="20"/>
        </w:rPr>
      </w:pPr>
      <w:r>
        <w:rPr>
          <w:sz w:val="20"/>
        </w:rPr>
        <w:t>Sustainability:</w:t>
      </w:r>
      <w:r>
        <w:rPr>
          <w:spacing w:val="-3"/>
          <w:sz w:val="20"/>
        </w:rPr>
        <w:t> </w:t>
      </w:r>
      <w:r>
        <w:rPr>
          <w:i/>
          <w:sz w:val="20"/>
        </w:rPr>
        <w:t>Ability</w:t>
      </w:r>
      <w:r>
        <w:rPr>
          <w:i/>
          <w:spacing w:val="-4"/>
          <w:sz w:val="20"/>
        </w:rPr>
        <w:t> </w:t>
      </w:r>
      <w:r>
        <w:rPr>
          <w:sz w:val="20"/>
        </w:rPr>
        <w:t>to</w:t>
      </w:r>
      <w:r>
        <w:rPr>
          <w:spacing w:val="-3"/>
          <w:sz w:val="20"/>
        </w:rPr>
        <w:t> </w:t>
      </w:r>
      <w:r>
        <w:rPr>
          <w:sz w:val="20"/>
        </w:rPr>
        <w:t>design</w:t>
      </w:r>
      <w:r>
        <w:rPr>
          <w:spacing w:val="-3"/>
          <w:sz w:val="20"/>
        </w:rPr>
        <w:t> </w:t>
      </w:r>
      <w:r>
        <w:rPr>
          <w:sz w:val="20"/>
        </w:rPr>
        <w:t>projects</w:t>
      </w:r>
      <w:r>
        <w:rPr>
          <w:spacing w:val="-4"/>
          <w:sz w:val="20"/>
        </w:rPr>
        <w:t> </w:t>
      </w:r>
      <w:r>
        <w:rPr>
          <w:sz w:val="20"/>
        </w:rPr>
        <w:t>that</w:t>
      </w:r>
      <w:r>
        <w:rPr>
          <w:spacing w:val="-3"/>
          <w:sz w:val="20"/>
        </w:rPr>
        <w:t> </w:t>
      </w:r>
      <w:r>
        <w:rPr>
          <w:sz w:val="20"/>
        </w:rPr>
        <w:t>optimize,</w:t>
      </w:r>
      <w:r>
        <w:rPr>
          <w:spacing w:val="-5"/>
          <w:sz w:val="20"/>
        </w:rPr>
        <w:t> </w:t>
      </w:r>
      <w:r>
        <w:rPr>
          <w:sz w:val="20"/>
        </w:rPr>
        <w:t>conserve,</w:t>
      </w:r>
      <w:r>
        <w:rPr>
          <w:spacing w:val="-5"/>
          <w:sz w:val="20"/>
        </w:rPr>
        <w:t> </w:t>
      </w:r>
      <w:r>
        <w:rPr>
          <w:sz w:val="20"/>
        </w:rPr>
        <w:t>or</w:t>
      </w:r>
      <w:r>
        <w:rPr>
          <w:spacing w:val="-4"/>
          <w:sz w:val="20"/>
        </w:rPr>
        <w:t> </w:t>
      </w:r>
      <w:r>
        <w:rPr>
          <w:sz w:val="20"/>
        </w:rPr>
        <w:t>reuse</w:t>
      </w:r>
      <w:r>
        <w:rPr>
          <w:spacing w:val="-5"/>
          <w:sz w:val="20"/>
        </w:rPr>
        <w:t> </w:t>
      </w:r>
      <w:r>
        <w:rPr>
          <w:sz w:val="20"/>
        </w:rPr>
        <w:t>natural and built resources, provide healthful environments for occupants/users, and reduce the environmental impacts of building construction and operations on future generations through means such as carbon-neutral design, bioclimatic design, and energy efficiency.</w:t>
      </w:r>
    </w:p>
    <w:p>
      <w:pPr>
        <w:pStyle w:val="BodyText"/>
        <w:spacing w:before="1"/>
        <w:rPr>
          <w:sz w:val="21"/>
        </w:rPr>
      </w:pPr>
    </w:p>
    <w:p>
      <w:pPr>
        <w:pStyle w:val="BodyText"/>
        <w:tabs>
          <w:tab w:pos="3879" w:val="left" w:leader="none"/>
          <w:tab w:pos="7480" w:val="left" w:leader="none"/>
        </w:tabs>
        <w:ind w:left="2439"/>
      </w:pPr>
      <w:r>
        <w:rPr/>
        <w:t>ARC</w:t>
      </w:r>
      <w:r>
        <w:rPr>
          <w:spacing w:val="-7"/>
        </w:rPr>
        <w:t> </w:t>
      </w:r>
      <w:r>
        <w:rPr>
          <w:spacing w:val="-5"/>
        </w:rPr>
        <w:t>200</w:t>
      </w:r>
      <w:r>
        <w:rPr/>
        <w:tab/>
      </w:r>
      <w:r>
        <w:rPr>
          <w:spacing w:val="-2"/>
        </w:rPr>
        <w:t>Architectural</w:t>
      </w:r>
      <w:r>
        <w:rPr>
          <w:spacing w:val="10"/>
        </w:rPr>
        <w:t> </w:t>
      </w:r>
      <w:r>
        <w:rPr>
          <w:spacing w:val="-2"/>
        </w:rPr>
        <w:t>Ecology</w:t>
      </w:r>
      <w:r>
        <w:rPr/>
        <w:tab/>
        <w:t>Project</w:t>
      </w:r>
      <w:r>
        <w:rPr>
          <w:spacing w:val="-9"/>
        </w:rPr>
        <w:t> </w:t>
      </w:r>
      <w:r>
        <w:rPr>
          <w:spacing w:val="-2"/>
        </w:rPr>
        <w:t>Assignments</w:t>
      </w:r>
    </w:p>
    <w:p>
      <w:pPr>
        <w:pStyle w:val="BodyText"/>
        <w:tabs>
          <w:tab w:pos="3880" w:val="left" w:leader="none"/>
          <w:tab w:pos="7480" w:val="left" w:leader="none"/>
        </w:tabs>
        <w:ind w:left="2440"/>
      </w:pPr>
      <w:r>
        <w:rPr/>
        <w:t>ARC</w:t>
      </w:r>
      <w:r>
        <w:rPr>
          <w:spacing w:val="-11"/>
        </w:rPr>
        <w:t> </w:t>
      </w:r>
      <w:r>
        <w:rPr/>
        <w:t>405-</w:t>
      </w:r>
      <w:r>
        <w:rPr>
          <w:spacing w:val="-5"/>
        </w:rPr>
        <w:t>406</w:t>
      </w:r>
      <w:r>
        <w:rPr/>
        <w:tab/>
        <w:t>Design</w:t>
      </w:r>
      <w:r>
        <w:rPr>
          <w:spacing w:val="-4"/>
        </w:rPr>
        <w:t> </w:t>
      </w:r>
      <w:r>
        <w:rPr/>
        <w:t>Studio</w:t>
      </w:r>
      <w:r>
        <w:rPr>
          <w:spacing w:val="-6"/>
        </w:rPr>
        <w:t> </w:t>
      </w:r>
      <w:r>
        <w:rPr/>
        <w:t>8</w:t>
      </w:r>
      <w:r>
        <w:rPr>
          <w:spacing w:val="-3"/>
        </w:rPr>
        <w:t> </w:t>
      </w:r>
      <w:r>
        <w:rPr/>
        <w:t>and</w:t>
      </w:r>
      <w:r>
        <w:rPr>
          <w:spacing w:val="-6"/>
        </w:rPr>
        <w:t> </w:t>
      </w:r>
      <w:r>
        <w:rPr>
          <w:spacing w:val="-10"/>
        </w:rPr>
        <w:t>9</w:t>
      </w:r>
      <w:r>
        <w:rPr/>
        <w:tab/>
        <w:t>Project</w:t>
      </w:r>
      <w:r>
        <w:rPr>
          <w:spacing w:val="-9"/>
        </w:rPr>
        <w:t> </w:t>
      </w:r>
      <w:r>
        <w:rPr>
          <w:spacing w:val="-2"/>
        </w:rPr>
        <w:t>Assignments</w:t>
      </w:r>
    </w:p>
    <w:p>
      <w:pPr>
        <w:pStyle w:val="BodyText"/>
        <w:spacing w:before="11"/>
      </w:pPr>
    </w:p>
    <w:p>
      <w:pPr>
        <w:pStyle w:val="BodyText"/>
        <w:ind w:left="2440" w:right="1211"/>
      </w:pPr>
      <w:r>
        <w:rPr/>
        <w:t>Students</w:t>
      </w:r>
      <w:r>
        <w:rPr>
          <w:spacing w:val="-4"/>
        </w:rPr>
        <w:t> </w:t>
      </w:r>
      <w:r>
        <w:rPr/>
        <w:t>are</w:t>
      </w:r>
      <w:r>
        <w:rPr>
          <w:spacing w:val="-5"/>
        </w:rPr>
        <w:t> </w:t>
      </w:r>
      <w:r>
        <w:rPr/>
        <w:t>introduced</w:t>
      </w:r>
      <w:r>
        <w:rPr>
          <w:spacing w:val="-5"/>
        </w:rPr>
        <w:t> </w:t>
      </w:r>
      <w:r>
        <w:rPr/>
        <w:t>to</w:t>
      </w:r>
      <w:r>
        <w:rPr>
          <w:spacing w:val="-3"/>
        </w:rPr>
        <w:t> </w:t>
      </w:r>
      <w:r>
        <w:rPr/>
        <w:t>the</w:t>
      </w:r>
      <w:r>
        <w:rPr>
          <w:spacing w:val="-5"/>
        </w:rPr>
        <w:t> </w:t>
      </w:r>
      <w:r>
        <w:rPr/>
        <w:t>elements</w:t>
      </w:r>
      <w:r>
        <w:rPr>
          <w:spacing w:val="-4"/>
        </w:rPr>
        <w:t> </w:t>
      </w:r>
      <w:r>
        <w:rPr/>
        <w:t>of</w:t>
      </w:r>
      <w:r>
        <w:rPr>
          <w:spacing w:val="-3"/>
        </w:rPr>
        <w:t> </w:t>
      </w:r>
      <w:r>
        <w:rPr/>
        <w:t>design</w:t>
      </w:r>
      <w:r>
        <w:rPr>
          <w:spacing w:val="-5"/>
        </w:rPr>
        <w:t> </w:t>
      </w:r>
      <w:r>
        <w:rPr/>
        <w:t>that</w:t>
      </w:r>
      <w:r>
        <w:rPr>
          <w:spacing w:val="-3"/>
        </w:rPr>
        <w:t> </w:t>
      </w:r>
      <w:r>
        <w:rPr/>
        <w:t>impact</w:t>
      </w:r>
      <w:r>
        <w:rPr>
          <w:spacing w:val="-5"/>
        </w:rPr>
        <w:t> </w:t>
      </w:r>
      <w:r>
        <w:rPr/>
        <w:t>the</w:t>
      </w:r>
      <w:r>
        <w:rPr>
          <w:spacing w:val="-5"/>
        </w:rPr>
        <w:t> </w:t>
      </w:r>
      <w:r>
        <w:rPr/>
        <w:t>environment and are required to develop strategies through small project assignments that demonstrate their understand of the principles of sustainability.</w:t>
      </w:r>
    </w:p>
    <w:p>
      <w:pPr>
        <w:pStyle w:val="BodyText"/>
        <w:spacing w:before="9"/>
      </w:pPr>
    </w:p>
    <w:p>
      <w:pPr>
        <w:pStyle w:val="BodyText"/>
        <w:ind w:left="2440" w:right="1151"/>
      </w:pPr>
      <w:r>
        <w:rPr/>
        <w:t>In</w:t>
      </w:r>
      <w:r>
        <w:rPr>
          <w:spacing w:val="-4"/>
        </w:rPr>
        <w:t> </w:t>
      </w:r>
      <w:r>
        <w:rPr/>
        <w:t>the</w:t>
      </w:r>
      <w:r>
        <w:rPr>
          <w:spacing w:val="-4"/>
        </w:rPr>
        <w:t> </w:t>
      </w:r>
      <w:r>
        <w:rPr/>
        <w:t>fourth year,</w:t>
      </w:r>
      <w:r>
        <w:rPr>
          <w:spacing w:val="-4"/>
        </w:rPr>
        <w:t> </w:t>
      </w:r>
      <w:r>
        <w:rPr/>
        <w:t>student</w:t>
      </w:r>
      <w:r>
        <w:rPr>
          <w:spacing w:val="-4"/>
        </w:rPr>
        <w:t> </w:t>
      </w:r>
      <w:r>
        <w:rPr/>
        <w:t>document</w:t>
      </w:r>
      <w:r>
        <w:rPr>
          <w:spacing w:val="-4"/>
        </w:rPr>
        <w:t> </w:t>
      </w:r>
      <w:r>
        <w:rPr/>
        <w:t>a</w:t>
      </w:r>
      <w:r>
        <w:rPr>
          <w:spacing w:val="-4"/>
        </w:rPr>
        <w:t> </w:t>
      </w:r>
      <w:r>
        <w:rPr/>
        <w:t>plan</w:t>
      </w:r>
      <w:r>
        <w:rPr>
          <w:spacing w:val="-4"/>
        </w:rPr>
        <w:t> </w:t>
      </w:r>
      <w:r>
        <w:rPr/>
        <w:t>to</w:t>
      </w:r>
      <w:r>
        <w:rPr>
          <w:spacing w:val="-4"/>
        </w:rPr>
        <w:t> </w:t>
      </w:r>
      <w:r>
        <w:rPr/>
        <w:t>achieve</w:t>
      </w:r>
      <w:r>
        <w:rPr>
          <w:spacing w:val="-2"/>
        </w:rPr>
        <w:t> </w:t>
      </w:r>
      <w:r>
        <w:rPr/>
        <w:t>LEED</w:t>
      </w:r>
      <w:r>
        <w:rPr>
          <w:spacing w:val="-4"/>
        </w:rPr>
        <w:t> </w:t>
      </w:r>
      <w:r>
        <w:rPr/>
        <w:t>certification</w:t>
      </w:r>
      <w:r>
        <w:rPr>
          <w:spacing w:val="-2"/>
        </w:rPr>
        <w:t> </w:t>
      </w:r>
      <w:r>
        <w:rPr/>
        <w:t>for</w:t>
      </w:r>
      <w:r>
        <w:rPr>
          <w:spacing w:val="-3"/>
        </w:rPr>
        <w:t> </w:t>
      </w:r>
      <w:r>
        <w:rPr/>
        <w:t>their project designs.</w:t>
      </w:r>
    </w:p>
    <w:p>
      <w:pPr>
        <w:pStyle w:val="BodyText"/>
        <w:spacing w:before="8"/>
      </w:pPr>
    </w:p>
    <w:p>
      <w:pPr>
        <w:pStyle w:val="ListParagraph"/>
        <w:numPr>
          <w:ilvl w:val="1"/>
          <w:numId w:val="31"/>
        </w:numPr>
        <w:tabs>
          <w:tab w:pos="2432" w:val="left" w:leader="none"/>
          <w:tab w:pos="2434" w:val="left" w:leader="none"/>
        </w:tabs>
        <w:spacing w:line="242" w:lineRule="auto" w:before="0" w:after="0"/>
        <w:ind w:left="2433" w:right="1469" w:hanging="929"/>
        <w:jc w:val="left"/>
        <w:rPr>
          <w:sz w:val="20"/>
        </w:rPr>
      </w:pPr>
      <w:r>
        <w:rPr>
          <w:sz w:val="20"/>
        </w:rPr>
        <w:t>Site</w:t>
      </w:r>
      <w:r>
        <w:rPr>
          <w:spacing w:val="-5"/>
          <w:sz w:val="20"/>
        </w:rPr>
        <w:t> </w:t>
      </w:r>
      <w:r>
        <w:rPr>
          <w:sz w:val="20"/>
        </w:rPr>
        <w:t>Design:</w:t>
      </w:r>
      <w:r>
        <w:rPr>
          <w:spacing w:val="-2"/>
          <w:sz w:val="20"/>
        </w:rPr>
        <w:t> </w:t>
      </w:r>
      <w:r>
        <w:rPr>
          <w:i/>
          <w:sz w:val="20"/>
        </w:rPr>
        <w:t>Ability</w:t>
      </w:r>
      <w:r>
        <w:rPr>
          <w:i/>
          <w:spacing w:val="-4"/>
          <w:sz w:val="20"/>
        </w:rPr>
        <w:t> </w:t>
      </w:r>
      <w:r>
        <w:rPr>
          <w:sz w:val="20"/>
        </w:rPr>
        <w:t>to</w:t>
      </w:r>
      <w:r>
        <w:rPr>
          <w:spacing w:val="-3"/>
          <w:sz w:val="20"/>
        </w:rPr>
        <w:t> </w:t>
      </w:r>
      <w:r>
        <w:rPr>
          <w:sz w:val="20"/>
        </w:rPr>
        <w:t>respond</w:t>
      </w:r>
      <w:r>
        <w:rPr>
          <w:spacing w:val="-5"/>
          <w:sz w:val="20"/>
        </w:rPr>
        <w:t> </w:t>
      </w:r>
      <w:r>
        <w:rPr>
          <w:sz w:val="20"/>
        </w:rPr>
        <w:t>to</w:t>
      </w:r>
      <w:r>
        <w:rPr>
          <w:spacing w:val="-3"/>
          <w:sz w:val="20"/>
        </w:rPr>
        <w:t> </w:t>
      </w:r>
      <w:r>
        <w:rPr>
          <w:sz w:val="20"/>
        </w:rPr>
        <w:t>site</w:t>
      </w:r>
      <w:r>
        <w:rPr>
          <w:spacing w:val="-5"/>
          <w:sz w:val="20"/>
        </w:rPr>
        <w:t> </w:t>
      </w:r>
      <w:r>
        <w:rPr>
          <w:sz w:val="20"/>
        </w:rPr>
        <w:t>characteristics</w:t>
      </w:r>
      <w:r>
        <w:rPr>
          <w:spacing w:val="-4"/>
          <w:sz w:val="20"/>
        </w:rPr>
        <w:t> </w:t>
      </w:r>
      <w:r>
        <w:rPr>
          <w:sz w:val="20"/>
        </w:rPr>
        <w:t>such</w:t>
      </w:r>
      <w:r>
        <w:rPr>
          <w:spacing w:val="-5"/>
          <w:sz w:val="20"/>
        </w:rPr>
        <w:t> </w:t>
      </w:r>
      <w:r>
        <w:rPr>
          <w:sz w:val="20"/>
        </w:rPr>
        <w:t>as</w:t>
      </w:r>
      <w:r>
        <w:rPr>
          <w:spacing w:val="-4"/>
          <w:sz w:val="20"/>
        </w:rPr>
        <w:t> </w:t>
      </w:r>
      <w:r>
        <w:rPr>
          <w:sz w:val="20"/>
        </w:rPr>
        <w:t>soil,</w:t>
      </w:r>
      <w:r>
        <w:rPr>
          <w:spacing w:val="-5"/>
          <w:sz w:val="20"/>
        </w:rPr>
        <w:t> </w:t>
      </w:r>
      <w:r>
        <w:rPr>
          <w:sz w:val="20"/>
        </w:rPr>
        <w:t>topography, vegetation, and watershed in the development of a project design.</w:t>
      </w:r>
    </w:p>
    <w:p>
      <w:pPr>
        <w:spacing w:after="0" w:line="242" w:lineRule="auto"/>
        <w:jc w:val="left"/>
        <w:rPr>
          <w:sz w:val="20"/>
        </w:rPr>
        <w:sectPr>
          <w:headerReference w:type="default" r:id="rId105"/>
          <w:footerReference w:type="default" r:id="rId106"/>
          <w:pgSz w:w="12240" w:h="15840"/>
          <w:pgMar w:header="0" w:footer="974" w:top="1360" w:bottom="1160" w:left="1160" w:right="320"/>
        </w:sectPr>
      </w:pPr>
    </w:p>
    <w:p>
      <w:pPr>
        <w:pStyle w:val="BodyText"/>
        <w:spacing w:before="1"/>
        <w:rPr>
          <w:sz w:val="2"/>
        </w:rPr>
      </w:pPr>
    </w:p>
    <w:tbl>
      <w:tblPr>
        <w:tblW w:w="0" w:type="auto"/>
        <w:jc w:val="left"/>
        <w:tblInd w:w="2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5"/>
        <w:gridCol w:w="3700"/>
        <w:gridCol w:w="2212"/>
      </w:tblGrid>
      <w:tr>
        <w:trPr>
          <w:trHeight w:val="226" w:hRule="atLeast"/>
        </w:trPr>
        <w:tc>
          <w:tcPr>
            <w:tcW w:w="1175" w:type="dxa"/>
          </w:tcPr>
          <w:p>
            <w:pPr>
              <w:pStyle w:val="TableParagraph"/>
              <w:spacing w:line="207" w:lineRule="exact"/>
              <w:ind w:left="50"/>
              <w:rPr>
                <w:sz w:val="20"/>
              </w:rPr>
            </w:pPr>
            <w:r>
              <w:rPr>
                <w:sz w:val="20"/>
              </w:rPr>
              <w:t>ARC</w:t>
            </w:r>
            <w:r>
              <w:rPr>
                <w:spacing w:val="-7"/>
                <w:sz w:val="20"/>
              </w:rPr>
              <w:t> </w:t>
            </w:r>
            <w:r>
              <w:rPr>
                <w:spacing w:val="-5"/>
                <w:sz w:val="20"/>
              </w:rPr>
              <w:t>200</w:t>
            </w:r>
          </w:p>
        </w:tc>
        <w:tc>
          <w:tcPr>
            <w:tcW w:w="3700" w:type="dxa"/>
          </w:tcPr>
          <w:p>
            <w:pPr>
              <w:pStyle w:val="TableParagraph"/>
              <w:spacing w:line="207" w:lineRule="exact"/>
              <w:ind w:left="315"/>
              <w:rPr>
                <w:sz w:val="20"/>
              </w:rPr>
            </w:pPr>
            <w:r>
              <w:rPr>
                <w:spacing w:val="-2"/>
                <w:sz w:val="20"/>
              </w:rPr>
              <w:t>Architectural</w:t>
            </w:r>
            <w:r>
              <w:rPr>
                <w:spacing w:val="10"/>
                <w:sz w:val="20"/>
              </w:rPr>
              <w:t> </w:t>
            </w:r>
            <w:r>
              <w:rPr>
                <w:spacing w:val="-2"/>
                <w:sz w:val="20"/>
              </w:rPr>
              <w:t>Ecology</w:t>
            </w:r>
          </w:p>
        </w:tc>
        <w:tc>
          <w:tcPr>
            <w:tcW w:w="2212" w:type="dxa"/>
          </w:tcPr>
          <w:p>
            <w:pPr>
              <w:pStyle w:val="TableParagraph"/>
              <w:spacing w:line="207" w:lineRule="exact"/>
              <w:ind w:left="215"/>
              <w:rPr>
                <w:sz w:val="20"/>
              </w:rPr>
            </w:pPr>
            <w:r>
              <w:rPr>
                <w:sz w:val="20"/>
              </w:rPr>
              <w:t>Project</w:t>
            </w:r>
            <w:r>
              <w:rPr>
                <w:spacing w:val="-9"/>
                <w:sz w:val="20"/>
              </w:rPr>
              <w:t> </w:t>
            </w:r>
            <w:r>
              <w:rPr>
                <w:spacing w:val="-2"/>
                <w:sz w:val="20"/>
              </w:rPr>
              <w:t>Assignments</w:t>
            </w:r>
          </w:p>
        </w:tc>
      </w:tr>
      <w:tr>
        <w:trPr>
          <w:trHeight w:val="226" w:hRule="atLeast"/>
        </w:trPr>
        <w:tc>
          <w:tcPr>
            <w:tcW w:w="1175" w:type="dxa"/>
          </w:tcPr>
          <w:p>
            <w:pPr>
              <w:pStyle w:val="TableParagraph"/>
              <w:spacing w:line="207" w:lineRule="exact"/>
              <w:ind w:left="50"/>
              <w:rPr>
                <w:sz w:val="20"/>
              </w:rPr>
            </w:pPr>
            <w:r>
              <w:rPr>
                <w:sz w:val="20"/>
              </w:rPr>
              <w:t>ARC</w:t>
            </w:r>
            <w:r>
              <w:rPr>
                <w:spacing w:val="-7"/>
                <w:sz w:val="20"/>
              </w:rPr>
              <w:t> </w:t>
            </w:r>
            <w:r>
              <w:rPr>
                <w:spacing w:val="-5"/>
                <w:sz w:val="20"/>
              </w:rPr>
              <w:t>306</w:t>
            </w:r>
          </w:p>
        </w:tc>
        <w:tc>
          <w:tcPr>
            <w:tcW w:w="3700" w:type="dxa"/>
          </w:tcPr>
          <w:p>
            <w:pPr>
              <w:pStyle w:val="TableParagraph"/>
              <w:spacing w:line="207" w:lineRule="exact"/>
              <w:ind w:left="315"/>
              <w:rPr>
                <w:sz w:val="20"/>
              </w:rPr>
            </w:pPr>
            <w:r>
              <w:rPr>
                <w:sz w:val="20"/>
              </w:rPr>
              <w:t>International</w:t>
            </w:r>
            <w:r>
              <w:rPr>
                <w:spacing w:val="-11"/>
                <w:sz w:val="20"/>
              </w:rPr>
              <w:t> </w:t>
            </w:r>
            <w:r>
              <w:rPr>
                <w:sz w:val="20"/>
              </w:rPr>
              <w:t>Urban</w:t>
            </w:r>
            <w:r>
              <w:rPr>
                <w:spacing w:val="-9"/>
                <w:sz w:val="20"/>
              </w:rPr>
              <w:t> </w:t>
            </w:r>
            <w:r>
              <w:rPr>
                <w:sz w:val="20"/>
              </w:rPr>
              <w:t>Design</w:t>
            </w:r>
            <w:r>
              <w:rPr>
                <w:spacing w:val="-5"/>
                <w:sz w:val="20"/>
              </w:rPr>
              <w:t> </w:t>
            </w:r>
            <w:r>
              <w:rPr>
                <w:sz w:val="20"/>
              </w:rPr>
              <w:t>Studio</w:t>
            </w:r>
            <w:r>
              <w:rPr>
                <w:spacing w:val="-8"/>
                <w:sz w:val="20"/>
              </w:rPr>
              <w:t> </w:t>
            </w:r>
            <w:r>
              <w:rPr>
                <w:spacing w:val="-10"/>
                <w:sz w:val="20"/>
              </w:rPr>
              <w:t>7</w:t>
            </w:r>
          </w:p>
        </w:tc>
        <w:tc>
          <w:tcPr>
            <w:tcW w:w="2212" w:type="dxa"/>
          </w:tcPr>
          <w:p>
            <w:pPr>
              <w:pStyle w:val="TableParagraph"/>
              <w:spacing w:line="207" w:lineRule="exact"/>
              <w:ind w:left="215"/>
              <w:rPr>
                <w:sz w:val="20"/>
              </w:rPr>
            </w:pPr>
            <w:r>
              <w:rPr>
                <w:sz w:val="20"/>
              </w:rPr>
              <w:t>Papers</w:t>
            </w:r>
            <w:r>
              <w:rPr>
                <w:spacing w:val="-4"/>
                <w:sz w:val="20"/>
              </w:rPr>
              <w:t> </w:t>
            </w:r>
            <w:r>
              <w:rPr>
                <w:sz w:val="20"/>
              </w:rPr>
              <w:t>/</w:t>
            </w:r>
            <w:r>
              <w:rPr>
                <w:spacing w:val="-5"/>
                <w:sz w:val="20"/>
              </w:rPr>
              <w:t> </w:t>
            </w:r>
            <w:r>
              <w:rPr>
                <w:spacing w:val="-2"/>
                <w:sz w:val="20"/>
              </w:rPr>
              <w:t>Assignments</w:t>
            </w:r>
          </w:p>
        </w:tc>
      </w:tr>
    </w:tbl>
    <w:p>
      <w:pPr>
        <w:pStyle w:val="BodyText"/>
        <w:spacing w:before="11"/>
        <w:rPr>
          <w:sz w:val="12"/>
        </w:rPr>
      </w:pPr>
    </w:p>
    <w:p>
      <w:pPr>
        <w:pStyle w:val="BodyText"/>
        <w:spacing w:before="93"/>
        <w:ind w:left="2440" w:right="1211"/>
      </w:pPr>
      <w:r>
        <w:rPr/>
        <w:t>Students</w:t>
      </w:r>
      <w:r>
        <w:rPr>
          <w:spacing w:val="-5"/>
        </w:rPr>
        <w:t> </w:t>
      </w:r>
      <w:r>
        <w:rPr/>
        <w:t>are</w:t>
      </w:r>
      <w:r>
        <w:rPr>
          <w:spacing w:val="-6"/>
        </w:rPr>
        <w:t> </w:t>
      </w:r>
      <w:r>
        <w:rPr/>
        <w:t>required</w:t>
      </w:r>
      <w:r>
        <w:rPr>
          <w:spacing w:val="-4"/>
        </w:rPr>
        <w:t> </w:t>
      </w:r>
      <w:r>
        <w:rPr/>
        <w:t>to</w:t>
      </w:r>
      <w:r>
        <w:rPr>
          <w:spacing w:val="-3"/>
        </w:rPr>
        <w:t> </w:t>
      </w:r>
      <w:r>
        <w:rPr/>
        <w:t>develop</w:t>
      </w:r>
      <w:r>
        <w:rPr>
          <w:spacing w:val="-6"/>
        </w:rPr>
        <w:t> </w:t>
      </w:r>
      <w:r>
        <w:rPr/>
        <w:t>site</w:t>
      </w:r>
      <w:r>
        <w:rPr>
          <w:spacing w:val="-4"/>
        </w:rPr>
        <w:t> </w:t>
      </w:r>
      <w:r>
        <w:rPr/>
        <w:t>plans</w:t>
      </w:r>
      <w:r>
        <w:rPr>
          <w:spacing w:val="-5"/>
        </w:rPr>
        <w:t> </w:t>
      </w:r>
      <w:r>
        <w:rPr/>
        <w:t>through</w:t>
      </w:r>
      <w:r>
        <w:rPr>
          <w:spacing w:val="-4"/>
        </w:rPr>
        <w:t> </w:t>
      </w:r>
      <w:r>
        <w:rPr/>
        <w:t>project</w:t>
      </w:r>
      <w:r>
        <w:rPr>
          <w:spacing w:val="-6"/>
        </w:rPr>
        <w:t> </w:t>
      </w:r>
      <w:r>
        <w:rPr/>
        <w:t>assignments</w:t>
      </w:r>
      <w:r>
        <w:rPr>
          <w:spacing w:val="-5"/>
        </w:rPr>
        <w:t> </w:t>
      </w:r>
      <w:r>
        <w:rPr/>
        <w:t>that demonstrate an understanding of site and context.</w:t>
      </w:r>
    </w:p>
    <w:p>
      <w:pPr>
        <w:pStyle w:val="BodyText"/>
        <w:spacing w:before="6"/>
      </w:pPr>
    </w:p>
    <w:p>
      <w:pPr>
        <w:pStyle w:val="ListParagraph"/>
        <w:numPr>
          <w:ilvl w:val="1"/>
          <w:numId w:val="31"/>
        </w:numPr>
        <w:tabs>
          <w:tab w:pos="2432" w:val="left" w:leader="none"/>
          <w:tab w:pos="2434" w:val="left" w:leader="none"/>
        </w:tabs>
        <w:spacing w:line="242" w:lineRule="auto" w:before="0" w:after="0"/>
        <w:ind w:left="2433" w:right="1609" w:hanging="929"/>
        <w:jc w:val="left"/>
        <w:rPr>
          <w:sz w:val="20"/>
        </w:rPr>
      </w:pPr>
      <w:r>
        <w:rPr>
          <w:sz w:val="20"/>
        </w:rPr>
        <w:t>Life</w:t>
      </w:r>
      <w:r>
        <w:rPr>
          <w:spacing w:val="-4"/>
          <w:sz w:val="20"/>
        </w:rPr>
        <w:t> </w:t>
      </w:r>
      <w:r>
        <w:rPr>
          <w:sz w:val="20"/>
        </w:rPr>
        <w:t>Safety:</w:t>
      </w:r>
      <w:r>
        <w:rPr>
          <w:spacing w:val="-1"/>
          <w:sz w:val="20"/>
        </w:rPr>
        <w:t> </w:t>
      </w:r>
      <w:r>
        <w:rPr>
          <w:i/>
          <w:sz w:val="20"/>
        </w:rPr>
        <w:t>Ability</w:t>
      </w:r>
      <w:r>
        <w:rPr>
          <w:i/>
          <w:spacing w:val="-3"/>
          <w:sz w:val="20"/>
        </w:rPr>
        <w:t> </w:t>
      </w:r>
      <w:r>
        <w:rPr>
          <w:sz w:val="20"/>
        </w:rPr>
        <w:t>to</w:t>
      </w:r>
      <w:r>
        <w:rPr>
          <w:spacing w:val="-2"/>
          <w:sz w:val="20"/>
        </w:rPr>
        <w:t> </w:t>
      </w:r>
      <w:r>
        <w:rPr>
          <w:sz w:val="20"/>
        </w:rPr>
        <w:t>apply</w:t>
      </w:r>
      <w:r>
        <w:rPr>
          <w:spacing w:val="-3"/>
          <w:sz w:val="20"/>
        </w:rPr>
        <w:t> </w:t>
      </w:r>
      <w:r>
        <w:rPr>
          <w:sz w:val="20"/>
        </w:rPr>
        <w:t>the</w:t>
      </w:r>
      <w:r>
        <w:rPr>
          <w:spacing w:val="-4"/>
          <w:sz w:val="20"/>
        </w:rPr>
        <w:t> </w:t>
      </w:r>
      <w:r>
        <w:rPr>
          <w:sz w:val="20"/>
        </w:rPr>
        <w:t>basic</w:t>
      </w:r>
      <w:r>
        <w:rPr>
          <w:spacing w:val="-3"/>
          <w:sz w:val="20"/>
        </w:rPr>
        <w:t> </w:t>
      </w:r>
      <w:r>
        <w:rPr>
          <w:sz w:val="20"/>
        </w:rPr>
        <w:t>principles</w:t>
      </w:r>
      <w:r>
        <w:rPr>
          <w:spacing w:val="-3"/>
          <w:sz w:val="20"/>
        </w:rPr>
        <w:t> </w:t>
      </w:r>
      <w:r>
        <w:rPr>
          <w:sz w:val="20"/>
        </w:rPr>
        <w:t>of</w:t>
      </w:r>
      <w:r>
        <w:rPr>
          <w:spacing w:val="-2"/>
          <w:sz w:val="20"/>
        </w:rPr>
        <w:t> </w:t>
      </w:r>
      <w:r>
        <w:rPr>
          <w:sz w:val="20"/>
        </w:rPr>
        <w:t>life-safety</w:t>
      </w:r>
      <w:r>
        <w:rPr>
          <w:spacing w:val="-7"/>
          <w:sz w:val="20"/>
        </w:rPr>
        <w:t> </w:t>
      </w:r>
      <w:r>
        <w:rPr>
          <w:sz w:val="20"/>
        </w:rPr>
        <w:t>systems</w:t>
      </w:r>
      <w:r>
        <w:rPr>
          <w:spacing w:val="-3"/>
          <w:sz w:val="20"/>
        </w:rPr>
        <w:t> </w:t>
      </w:r>
      <w:r>
        <w:rPr>
          <w:sz w:val="20"/>
        </w:rPr>
        <w:t>with</w:t>
      </w:r>
      <w:r>
        <w:rPr>
          <w:spacing w:val="-4"/>
          <w:sz w:val="20"/>
        </w:rPr>
        <w:t> </w:t>
      </w:r>
      <w:r>
        <w:rPr>
          <w:sz w:val="20"/>
        </w:rPr>
        <w:t>an emphasis on egress.</w:t>
      </w:r>
    </w:p>
    <w:p>
      <w:pPr>
        <w:pStyle w:val="BodyText"/>
        <w:spacing w:before="8"/>
      </w:pPr>
    </w:p>
    <w:p>
      <w:pPr>
        <w:pStyle w:val="BodyText"/>
        <w:tabs>
          <w:tab w:pos="3879" w:val="left" w:leader="none"/>
          <w:tab w:pos="7480" w:val="left" w:leader="none"/>
        </w:tabs>
        <w:ind w:left="2440"/>
      </w:pPr>
      <w:r>
        <w:rPr/>
        <w:t>ARC</w:t>
      </w:r>
      <w:r>
        <w:rPr>
          <w:spacing w:val="-11"/>
        </w:rPr>
        <w:t> </w:t>
      </w:r>
      <w:r>
        <w:rPr/>
        <w:t>303-</w:t>
      </w:r>
      <w:r>
        <w:rPr>
          <w:spacing w:val="-5"/>
        </w:rPr>
        <w:t>304</w:t>
      </w:r>
      <w:r>
        <w:rPr/>
        <w:tab/>
        <w:t>Design</w:t>
      </w:r>
      <w:r>
        <w:rPr>
          <w:spacing w:val="-4"/>
        </w:rPr>
        <w:t> </w:t>
      </w:r>
      <w:r>
        <w:rPr/>
        <w:t>Studio</w:t>
      </w:r>
      <w:r>
        <w:rPr>
          <w:spacing w:val="-6"/>
        </w:rPr>
        <w:t> </w:t>
      </w:r>
      <w:r>
        <w:rPr/>
        <w:t>5</w:t>
      </w:r>
      <w:r>
        <w:rPr>
          <w:spacing w:val="-3"/>
        </w:rPr>
        <w:t> </w:t>
      </w:r>
      <w:r>
        <w:rPr/>
        <w:t>and</w:t>
      </w:r>
      <w:r>
        <w:rPr>
          <w:spacing w:val="-6"/>
        </w:rPr>
        <w:t> </w:t>
      </w:r>
      <w:r>
        <w:rPr>
          <w:spacing w:val="-10"/>
        </w:rPr>
        <w:t>6</w:t>
      </w:r>
      <w:r>
        <w:rPr/>
        <w:tab/>
        <w:t>Project</w:t>
      </w:r>
      <w:r>
        <w:rPr>
          <w:spacing w:val="-9"/>
        </w:rPr>
        <w:t> </w:t>
      </w:r>
      <w:r>
        <w:rPr>
          <w:spacing w:val="-2"/>
        </w:rPr>
        <w:t>Assignments</w:t>
      </w:r>
    </w:p>
    <w:p>
      <w:pPr>
        <w:pStyle w:val="BodyText"/>
        <w:tabs>
          <w:tab w:pos="3880" w:val="left" w:leader="none"/>
          <w:tab w:pos="7480" w:val="left" w:leader="none"/>
        </w:tabs>
        <w:spacing w:before="1"/>
        <w:ind w:left="2440"/>
      </w:pPr>
      <w:r>
        <w:rPr/>
        <w:t>ARC</w:t>
      </w:r>
      <w:r>
        <w:rPr>
          <w:spacing w:val="-11"/>
        </w:rPr>
        <w:t> </w:t>
      </w:r>
      <w:r>
        <w:rPr/>
        <w:t>405-</w:t>
      </w:r>
      <w:r>
        <w:rPr>
          <w:spacing w:val="-5"/>
        </w:rPr>
        <w:t>406</w:t>
      </w:r>
      <w:r>
        <w:rPr/>
        <w:tab/>
        <w:t>Design</w:t>
      </w:r>
      <w:r>
        <w:rPr>
          <w:spacing w:val="-4"/>
        </w:rPr>
        <w:t> </w:t>
      </w:r>
      <w:r>
        <w:rPr/>
        <w:t>Studio</w:t>
      </w:r>
      <w:r>
        <w:rPr>
          <w:spacing w:val="-5"/>
        </w:rPr>
        <w:t> </w:t>
      </w:r>
      <w:r>
        <w:rPr/>
        <w:t>8</w:t>
      </w:r>
      <w:r>
        <w:rPr>
          <w:spacing w:val="-3"/>
        </w:rPr>
        <w:t> </w:t>
      </w:r>
      <w:r>
        <w:rPr/>
        <w:t>&amp;</w:t>
      </w:r>
      <w:r>
        <w:rPr>
          <w:spacing w:val="-4"/>
        </w:rPr>
        <w:t> </w:t>
      </w:r>
      <w:r>
        <w:rPr>
          <w:spacing w:val="-10"/>
        </w:rPr>
        <w:t>9</w:t>
      </w:r>
      <w:r>
        <w:rPr/>
        <w:tab/>
        <w:t>Project</w:t>
      </w:r>
      <w:r>
        <w:rPr>
          <w:spacing w:val="-9"/>
        </w:rPr>
        <w:t> </w:t>
      </w:r>
      <w:r>
        <w:rPr>
          <w:spacing w:val="-2"/>
        </w:rPr>
        <w:t>Assignments</w:t>
      </w:r>
    </w:p>
    <w:p>
      <w:pPr>
        <w:pStyle w:val="BodyText"/>
        <w:spacing w:before="10"/>
      </w:pPr>
    </w:p>
    <w:p>
      <w:pPr>
        <w:pStyle w:val="BodyText"/>
        <w:ind w:left="2440" w:right="1130"/>
      </w:pPr>
      <w:r>
        <w:rPr/>
        <w:t>Students are required to review the International Building Code and assess its impact</w:t>
      </w:r>
      <w:r>
        <w:rPr>
          <w:spacing w:val="-4"/>
        </w:rPr>
        <w:t> </w:t>
      </w:r>
      <w:r>
        <w:rPr/>
        <w:t>on</w:t>
      </w:r>
      <w:r>
        <w:rPr>
          <w:spacing w:val="-4"/>
        </w:rPr>
        <w:t> </w:t>
      </w:r>
      <w:r>
        <w:rPr/>
        <w:t>the</w:t>
      </w:r>
      <w:r>
        <w:rPr>
          <w:spacing w:val="-2"/>
        </w:rPr>
        <w:t> </w:t>
      </w:r>
      <w:r>
        <w:rPr/>
        <w:t>development</w:t>
      </w:r>
      <w:r>
        <w:rPr>
          <w:spacing w:val="-2"/>
        </w:rPr>
        <w:t> </w:t>
      </w:r>
      <w:r>
        <w:rPr/>
        <w:t>of</w:t>
      </w:r>
      <w:r>
        <w:rPr>
          <w:spacing w:val="-2"/>
        </w:rPr>
        <w:t> </w:t>
      </w:r>
      <w:r>
        <w:rPr/>
        <w:t>their</w:t>
      </w:r>
      <w:r>
        <w:rPr>
          <w:spacing w:val="-3"/>
        </w:rPr>
        <w:t> </w:t>
      </w:r>
      <w:r>
        <w:rPr/>
        <w:t>design</w:t>
      </w:r>
      <w:r>
        <w:rPr>
          <w:spacing w:val="-4"/>
        </w:rPr>
        <w:t> </w:t>
      </w:r>
      <w:r>
        <w:rPr/>
        <w:t>solution.</w:t>
      </w:r>
      <w:r>
        <w:rPr>
          <w:spacing w:val="-2"/>
        </w:rPr>
        <w:t> </w:t>
      </w:r>
      <w:r>
        <w:rPr/>
        <w:t>A</w:t>
      </w:r>
      <w:r>
        <w:rPr>
          <w:spacing w:val="-2"/>
        </w:rPr>
        <w:t> </w:t>
      </w:r>
      <w:r>
        <w:rPr/>
        <w:t>life</w:t>
      </w:r>
      <w:r>
        <w:rPr>
          <w:spacing w:val="-4"/>
        </w:rPr>
        <w:t> </w:t>
      </w:r>
      <w:r>
        <w:rPr/>
        <w:t>safety</w:t>
      </w:r>
      <w:r>
        <w:rPr>
          <w:spacing w:val="-7"/>
        </w:rPr>
        <w:t> </w:t>
      </w:r>
      <w:r>
        <w:rPr/>
        <w:t>plan</w:t>
      </w:r>
      <w:r>
        <w:rPr>
          <w:spacing w:val="-4"/>
        </w:rPr>
        <w:t> </w:t>
      </w:r>
      <w:r>
        <w:rPr/>
        <w:t>is a</w:t>
      </w:r>
      <w:r>
        <w:rPr>
          <w:spacing w:val="-4"/>
        </w:rPr>
        <w:t> </w:t>
      </w:r>
      <w:r>
        <w:rPr/>
        <w:t>required part of their final submission.</w:t>
      </w:r>
    </w:p>
    <w:p>
      <w:pPr>
        <w:pStyle w:val="BodyText"/>
        <w:spacing w:before="7"/>
      </w:pPr>
    </w:p>
    <w:p>
      <w:pPr>
        <w:pStyle w:val="ListParagraph"/>
        <w:numPr>
          <w:ilvl w:val="1"/>
          <w:numId w:val="31"/>
        </w:numPr>
        <w:tabs>
          <w:tab w:pos="2432" w:val="left" w:leader="none"/>
          <w:tab w:pos="2434" w:val="left" w:leader="none"/>
        </w:tabs>
        <w:spacing w:line="242" w:lineRule="auto" w:before="0" w:after="0"/>
        <w:ind w:left="2433" w:right="1224" w:hanging="929"/>
        <w:jc w:val="left"/>
        <w:rPr>
          <w:sz w:val="20"/>
        </w:rPr>
      </w:pPr>
      <w:r>
        <w:rPr>
          <w:sz w:val="20"/>
        </w:rPr>
        <w:t>Comprehensive</w:t>
      </w:r>
      <w:r>
        <w:rPr>
          <w:spacing w:val="-6"/>
          <w:sz w:val="20"/>
        </w:rPr>
        <w:t> </w:t>
      </w:r>
      <w:r>
        <w:rPr>
          <w:sz w:val="20"/>
        </w:rPr>
        <w:t>Design:</w:t>
      </w:r>
      <w:r>
        <w:rPr>
          <w:spacing w:val="-4"/>
          <w:sz w:val="20"/>
        </w:rPr>
        <w:t> </w:t>
      </w:r>
      <w:r>
        <w:rPr>
          <w:i/>
          <w:sz w:val="20"/>
        </w:rPr>
        <w:t>Ability</w:t>
      </w:r>
      <w:r>
        <w:rPr>
          <w:i/>
          <w:spacing w:val="-4"/>
          <w:sz w:val="20"/>
        </w:rPr>
        <w:t> </w:t>
      </w:r>
      <w:r>
        <w:rPr>
          <w:sz w:val="20"/>
        </w:rPr>
        <w:t>to</w:t>
      </w:r>
      <w:r>
        <w:rPr>
          <w:spacing w:val="-4"/>
          <w:sz w:val="20"/>
        </w:rPr>
        <w:t> </w:t>
      </w:r>
      <w:r>
        <w:rPr>
          <w:sz w:val="20"/>
        </w:rPr>
        <w:t>produce</w:t>
      </w:r>
      <w:r>
        <w:rPr>
          <w:spacing w:val="-4"/>
          <w:sz w:val="20"/>
        </w:rPr>
        <w:t> </w:t>
      </w:r>
      <w:r>
        <w:rPr>
          <w:sz w:val="20"/>
        </w:rPr>
        <w:t>a</w:t>
      </w:r>
      <w:r>
        <w:rPr>
          <w:spacing w:val="-6"/>
          <w:sz w:val="20"/>
        </w:rPr>
        <w:t> </w:t>
      </w:r>
      <w:r>
        <w:rPr>
          <w:sz w:val="20"/>
        </w:rPr>
        <w:t>comprehensive</w:t>
      </w:r>
      <w:r>
        <w:rPr>
          <w:spacing w:val="-6"/>
          <w:sz w:val="20"/>
        </w:rPr>
        <w:t> </w:t>
      </w:r>
      <w:r>
        <w:rPr>
          <w:sz w:val="20"/>
        </w:rPr>
        <w:t>architectural</w:t>
      </w:r>
      <w:r>
        <w:rPr>
          <w:spacing w:val="-7"/>
          <w:sz w:val="20"/>
        </w:rPr>
        <w:t> </w:t>
      </w:r>
      <w:r>
        <w:rPr>
          <w:sz w:val="20"/>
        </w:rPr>
        <w:t>project that demonstrates each student’s capacity to make design decisions across scales while integrating the following SPC:</w:t>
      </w:r>
    </w:p>
    <w:p>
      <w:pPr>
        <w:pStyle w:val="BodyText"/>
        <w:spacing w:before="2"/>
        <w:rPr>
          <w:sz w:val="21"/>
        </w:rPr>
      </w:pPr>
    </w:p>
    <w:tbl>
      <w:tblPr>
        <w:tblW w:w="0" w:type="auto"/>
        <w:jc w:val="left"/>
        <w:tblInd w:w="2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69"/>
        <w:gridCol w:w="3599"/>
        <w:gridCol w:w="805"/>
      </w:tblGrid>
      <w:tr>
        <w:trPr>
          <w:trHeight w:val="225" w:hRule="atLeast"/>
        </w:trPr>
        <w:tc>
          <w:tcPr>
            <w:tcW w:w="1369" w:type="dxa"/>
          </w:tcPr>
          <w:p>
            <w:pPr>
              <w:pStyle w:val="TableParagraph"/>
              <w:spacing w:line="205" w:lineRule="exact"/>
              <w:ind w:left="40" w:right="109"/>
              <w:jc w:val="center"/>
              <w:rPr>
                <w:sz w:val="20"/>
              </w:rPr>
            </w:pPr>
            <w:r>
              <w:rPr>
                <w:sz w:val="20"/>
              </w:rPr>
              <w:t>ARC</w:t>
            </w:r>
            <w:r>
              <w:rPr>
                <w:spacing w:val="-7"/>
                <w:sz w:val="20"/>
              </w:rPr>
              <w:t> </w:t>
            </w:r>
            <w:r>
              <w:rPr>
                <w:spacing w:val="-2"/>
                <w:sz w:val="20"/>
              </w:rPr>
              <w:t>405/506</w:t>
            </w:r>
          </w:p>
        </w:tc>
        <w:tc>
          <w:tcPr>
            <w:tcW w:w="3599" w:type="dxa"/>
          </w:tcPr>
          <w:p>
            <w:pPr>
              <w:pStyle w:val="TableParagraph"/>
              <w:spacing w:line="205" w:lineRule="exact"/>
              <w:ind w:left="121"/>
              <w:rPr>
                <w:sz w:val="20"/>
              </w:rPr>
            </w:pPr>
            <w:r>
              <w:rPr>
                <w:sz w:val="20"/>
              </w:rPr>
              <w:t>Architecture</w:t>
            </w:r>
            <w:r>
              <w:rPr>
                <w:spacing w:val="-9"/>
                <w:sz w:val="20"/>
              </w:rPr>
              <w:t> </w:t>
            </w:r>
            <w:r>
              <w:rPr>
                <w:sz w:val="20"/>
              </w:rPr>
              <w:t>Design</w:t>
            </w:r>
            <w:r>
              <w:rPr>
                <w:spacing w:val="-6"/>
                <w:sz w:val="20"/>
              </w:rPr>
              <w:t> </w:t>
            </w:r>
            <w:r>
              <w:rPr>
                <w:sz w:val="20"/>
              </w:rPr>
              <w:t>Studio</w:t>
            </w:r>
            <w:r>
              <w:rPr>
                <w:spacing w:val="-7"/>
                <w:sz w:val="20"/>
              </w:rPr>
              <w:t> </w:t>
            </w:r>
            <w:r>
              <w:rPr>
                <w:sz w:val="20"/>
              </w:rPr>
              <w:t>VIII</w:t>
            </w:r>
            <w:r>
              <w:rPr>
                <w:spacing w:val="-7"/>
                <w:sz w:val="20"/>
              </w:rPr>
              <w:t> </w:t>
            </w:r>
            <w:r>
              <w:rPr>
                <w:sz w:val="20"/>
              </w:rPr>
              <w:t>and</w:t>
            </w:r>
            <w:r>
              <w:rPr>
                <w:spacing w:val="-6"/>
                <w:sz w:val="20"/>
              </w:rPr>
              <w:t> </w:t>
            </w:r>
            <w:r>
              <w:rPr>
                <w:spacing w:val="-5"/>
                <w:sz w:val="20"/>
              </w:rPr>
              <w:t>IX</w:t>
            </w:r>
          </w:p>
        </w:tc>
        <w:tc>
          <w:tcPr>
            <w:tcW w:w="805" w:type="dxa"/>
          </w:tcPr>
          <w:p>
            <w:pPr>
              <w:pStyle w:val="TableParagraph"/>
              <w:spacing w:line="205" w:lineRule="exact"/>
              <w:ind w:right="48"/>
              <w:jc w:val="right"/>
              <w:rPr>
                <w:sz w:val="20"/>
              </w:rPr>
            </w:pPr>
            <w:r>
              <w:rPr>
                <w:spacing w:val="-2"/>
                <w:sz w:val="20"/>
              </w:rPr>
              <w:t>Papers</w:t>
            </w:r>
          </w:p>
        </w:tc>
      </w:tr>
      <w:tr>
        <w:trPr>
          <w:trHeight w:val="225" w:hRule="atLeast"/>
        </w:trPr>
        <w:tc>
          <w:tcPr>
            <w:tcW w:w="1369" w:type="dxa"/>
          </w:tcPr>
          <w:p>
            <w:pPr>
              <w:pStyle w:val="TableParagraph"/>
              <w:spacing w:line="205" w:lineRule="exact"/>
              <w:ind w:left="40" w:right="109"/>
              <w:jc w:val="center"/>
              <w:rPr>
                <w:sz w:val="20"/>
              </w:rPr>
            </w:pPr>
            <w:r>
              <w:rPr>
                <w:sz w:val="20"/>
              </w:rPr>
              <w:t>ARC</w:t>
            </w:r>
            <w:r>
              <w:rPr>
                <w:spacing w:val="-7"/>
                <w:sz w:val="20"/>
              </w:rPr>
              <w:t> </w:t>
            </w:r>
            <w:r>
              <w:rPr>
                <w:spacing w:val="-2"/>
                <w:sz w:val="20"/>
              </w:rPr>
              <w:t>517/518</w:t>
            </w:r>
          </w:p>
        </w:tc>
        <w:tc>
          <w:tcPr>
            <w:tcW w:w="3599" w:type="dxa"/>
          </w:tcPr>
          <w:p>
            <w:pPr>
              <w:pStyle w:val="TableParagraph"/>
              <w:spacing w:line="205" w:lineRule="exact"/>
              <w:ind w:left="121"/>
              <w:rPr>
                <w:sz w:val="20"/>
              </w:rPr>
            </w:pPr>
            <w:r>
              <w:rPr>
                <w:sz w:val="20"/>
              </w:rPr>
              <w:t>Professional</w:t>
            </w:r>
            <w:r>
              <w:rPr>
                <w:spacing w:val="-8"/>
                <w:sz w:val="20"/>
              </w:rPr>
              <w:t> </w:t>
            </w:r>
            <w:r>
              <w:rPr>
                <w:sz w:val="20"/>
              </w:rPr>
              <w:t>Practice</w:t>
            </w:r>
            <w:r>
              <w:rPr>
                <w:spacing w:val="-6"/>
                <w:sz w:val="20"/>
              </w:rPr>
              <w:t> </w:t>
            </w:r>
            <w:r>
              <w:rPr>
                <w:sz w:val="20"/>
              </w:rPr>
              <w:t>I</w:t>
            </w:r>
            <w:r>
              <w:rPr>
                <w:spacing w:val="-4"/>
                <w:sz w:val="20"/>
              </w:rPr>
              <w:t> </w:t>
            </w:r>
            <w:r>
              <w:rPr>
                <w:sz w:val="20"/>
              </w:rPr>
              <w:t>&amp;</w:t>
            </w:r>
            <w:r>
              <w:rPr>
                <w:spacing w:val="-8"/>
                <w:sz w:val="20"/>
              </w:rPr>
              <w:t> </w:t>
            </w:r>
            <w:r>
              <w:rPr>
                <w:spacing w:val="-5"/>
                <w:sz w:val="20"/>
              </w:rPr>
              <w:t>II</w:t>
            </w:r>
          </w:p>
        </w:tc>
        <w:tc>
          <w:tcPr>
            <w:tcW w:w="805" w:type="dxa"/>
          </w:tcPr>
          <w:p>
            <w:pPr>
              <w:pStyle w:val="TableParagraph"/>
              <w:spacing w:line="205" w:lineRule="exact"/>
              <w:ind w:right="48"/>
              <w:jc w:val="right"/>
              <w:rPr>
                <w:sz w:val="20"/>
              </w:rPr>
            </w:pPr>
            <w:r>
              <w:rPr>
                <w:spacing w:val="-2"/>
                <w:sz w:val="20"/>
              </w:rPr>
              <w:t>Papers</w:t>
            </w:r>
          </w:p>
        </w:tc>
      </w:tr>
    </w:tbl>
    <w:p>
      <w:pPr>
        <w:pStyle w:val="BodyText"/>
        <w:spacing w:before="11"/>
      </w:pPr>
    </w:p>
    <w:p>
      <w:pPr>
        <w:pStyle w:val="BodyText"/>
        <w:ind w:left="2439" w:right="1211"/>
      </w:pPr>
      <w:r>
        <w:rPr/>
        <w:t>The</w:t>
      </w:r>
      <w:r>
        <w:rPr>
          <w:spacing w:val="-4"/>
        </w:rPr>
        <w:t> </w:t>
      </w:r>
      <w:r>
        <w:rPr/>
        <w:t>evidence</w:t>
      </w:r>
      <w:r>
        <w:rPr>
          <w:spacing w:val="-2"/>
        </w:rPr>
        <w:t> </w:t>
      </w:r>
      <w:r>
        <w:rPr/>
        <w:t>for</w:t>
      </w:r>
      <w:r>
        <w:rPr>
          <w:spacing w:val="-3"/>
        </w:rPr>
        <w:t> </w:t>
      </w:r>
      <w:r>
        <w:rPr/>
        <w:t>this</w:t>
      </w:r>
      <w:r>
        <w:rPr>
          <w:spacing w:val="-3"/>
        </w:rPr>
        <w:t> </w:t>
      </w:r>
      <w:r>
        <w:rPr/>
        <w:t>criteria</w:t>
      </w:r>
      <w:r>
        <w:rPr>
          <w:spacing w:val="-4"/>
        </w:rPr>
        <w:t> </w:t>
      </w:r>
      <w:r>
        <w:rPr/>
        <w:t>is</w:t>
      </w:r>
      <w:r>
        <w:rPr>
          <w:spacing w:val="-3"/>
        </w:rPr>
        <w:t> </w:t>
      </w:r>
      <w:r>
        <w:rPr/>
        <w:t>found</w:t>
      </w:r>
      <w:r>
        <w:rPr>
          <w:spacing w:val="-2"/>
        </w:rPr>
        <w:t> </w:t>
      </w:r>
      <w:r>
        <w:rPr/>
        <w:t>primarily</w:t>
      </w:r>
      <w:r>
        <w:rPr>
          <w:spacing w:val="-5"/>
        </w:rPr>
        <w:t> </w:t>
      </w:r>
      <w:r>
        <w:rPr/>
        <w:t>in</w:t>
      </w:r>
      <w:r>
        <w:rPr>
          <w:spacing w:val="-2"/>
        </w:rPr>
        <w:t> </w:t>
      </w:r>
      <w:r>
        <w:rPr/>
        <w:t>the</w:t>
      </w:r>
      <w:r>
        <w:rPr>
          <w:spacing w:val="-2"/>
        </w:rPr>
        <w:t> </w:t>
      </w:r>
      <w:r>
        <w:rPr/>
        <w:t>4</w:t>
      </w:r>
      <w:r>
        <w:rPr>
          <w:vertAlign w:val="superscript"/>
        </w:rPr>
        <w:t>th</w:t>
      </w:r>
      <w:r>
        <w:rPr>
          <w:spacing w:val="-2"/>
          <w:vertAlign w:val="baseline"/>
        </w:rPr>
        <w:t> </w:t>
      </w:r>
      <w:r>
        <w:rPr>
          <w:vertAlign w:val="baseline"/>
        </w:rPr>
        <w:t>year</w:t>
      </w:r>
      <w:r>
        <w:rPr>
          <w:spacing w:val="-3"/>
          <w:vertAlign w:val="baseline"/>
        </w:rPr>
        <w:t> </w:t>
      </w:r>
      <w:r>
        <w:rPr>
          <w:vertAlign w:val="baseline"/>
        </w:rPr>
        <w:t>studio</w:t>
      </w:r>
      <w:r>
        <w:rPr>
          <w:spacing w:val="-2"/>
          <w:vertAlign w:val="baseline"/>
        </w:rPr>
        <w:t> </w:t>
      </w:r>
      <w:r>
        <w:rPr>
          <w:vertAlign w:val="baseline"/>
        </w:rPr>
        <w:t>work,</w:t>
      </w:r>
      <w:r>
        <w:rPr>
          <w:spacing w:val="-4"/>
          <w:vertAlign w:val="baseline"/>
        </w:rPr>
        <w:t> </w:t>
      </w:r>
      <w:r>
        <w:rPr>
          <w:vertAlign w:val="baseline"/>
        </w:rPr>
        <w:t>ARC 405 and ARC 406 and is characterized as follows.</w:t>
      </w:r>
    </w:p>
    <w:p>
      <w:pPr>
        <w:pStyle w:val="BodyText"/>
        <w:spacing w:before="8"/>
      </w:pPr>
    </w:p>
    <w:p>
      <w:pPr>
        <w:pStyle w:val="ListParagraph"/>
        <w:numPr>
          <w:ilvl w:val="1"/>
          <w:numId w:val="32"/>
        </w:numPr>
        <w:tabs>
          <w:tab w:pos="2860" w:val="left" w:leader="none"/>
        </w:tabs>
        <w:spacing w:line="240" w:lineRule="auto" w:before="0" w:after="0"/>
        <w:ind w:left="2439" w:right="1131" w:firstLine="0"/>
        <w:jc w:val="left"/>
        <w:rPr>
          <w:b/>
          <w:sz w:val="20"/>
        </w:rPr>
      </w:pPr>
      <w:r>
        <w:rPr>
          <w:b/>
          <w:sz w:val="20"/>
        </w:rPr>
        <w:t>Design Thinking Skills</w:t>
      </w:r>
      <w:r>
        <w:rPr>
          <w:sz w:val="20"/>
        </w:rPr>
        <w:t>: In ARC 405, students compete in a statewide design completion to design an elementary school. They have professional mentors</w:t>
      </w:r>
      <w:r>
        <w:rPr>
          <w:spacing w:val="-6"/>
          <w:sz w:val="20"/>
        </w:rPr>
        <w:t> </w:t>
      </w:r>
      <w:r>
        <w:rPr>
          <w:sz w:val="20"/>
        </w:rPr>
        <w:t>from the</w:t>
      </w:r>
      <w:r>
        <w:rPr>
          <w:spacing w:val="-5"/>
          <w:sz w:val="20"/>
        </w:rPr>
        <w:t> </w:t>
      </w:r>
      <w:r>
        <w:rPr>
          <w:sz w:val="20"/>
        </w:rPr>
        <w:t>local</w:t>
      </w:r>
      <w:r>
        <w:rPr>
          <w:spacing w:val="-4"/>
          <w:sz w:val="20"/>
        </w:rPr>
        <w:t> </w:t>
      </w:r>
      <w:r>
        <w:rPr>
          <w:sz w:val="20"/>
        </w:rPr>
        <w:t>professional</w:t>
      </w:r>
      <w:r>
        <w:rPr>
          <w:spacing w:val="-6"/>
          <w:sz w:val="20"/>
        </w:rPr>
        <w:t> </w:t>
      </w:r>
      <w:r>
        <w:rPr>
          <w:sz w:val="20"/>
        </w:rPr>
        <w:t>community</w:t>
      </w:r>
      <w:r>
        <w:rPr>
          <w:spacing w:val="-6"/>
          <w:sz w:val="20"/>
        </w:rPr>
        <w:t> </w:t>
      </w:r>
      <w:r>
        <w:rPr>
          <w:sz w:val="20"/>
        </w:rPr>
        <w:t>who</w:t>
      </w:r>
      <w:r>
        <w:rPr>
          <w:spacing w:val="-5"/>
          <w:sz w:val="20"/>
        </w:rPr>
        <w:t> </w:t>
      </w:r>
      <w:r>
        <w:rPr>
          <w:sz w:val="20"/>
        </w:rPr>
        <w:t>meet</w:t>
      </w:r>
      <w:r>
        <w:rPr>
          <w:spacing w:val="-3"/>
          <w:sz w:val="20"/>
        </w:rPr>
        <w:t> </w:t>
      </w:r>
      <w:r>
        <w:rPr>
          <w:sz w:val="20"/>
        </w:rPr>
        <w:t>with</w:t>
      </w:r>
      <w:r>
        <w:rPr>
          <w:spacing w:val="-5"/>
          <w:sz w:val="20"/>
        </w:rPr>
        <w:t> </w:t>
      </w:r>
      <w:r>
        <w:rPr>
          <w:sz w:val="20"/>
        </w:rPr>
        <w:t>students</w:t>
      </w:r>
      <w:r>
        <w:rPr>
          <w:spacing w:val="-4"/>
          <w:sz w:val="20"/>
        </w:rPr>
        <w:t> </w:t>
      </w:r>
      <w:r>
        <w:rPr>
          <w:sz w:val="20"/>
        </w:rPr>
        <w:t>every</w:t>
      </w:r>
      <w:r>
        <w:rPr>
          <w:spacing w:val="-6"/>
          <w:sz w:val="20"/>
        </w:rPr>
        <w:t> </w:t>
      </w:r>
      <w:r>
        <w:rPr>
          <w:sz w:val="20"/>
        </w:rPr>
        <w:t>two weeks and assist students in testing their design ideas.</w:t>
      </w:r>
    </w:p>
    <w:p>
      <w:pPr>
        <w:pStyle w:val="BodyText"/>
        <w:spacing w:before="9"/>
      </w:pPr>
    </w:p>
    <w:p>
      <w:pPr>
        <w:pStyle w:val="ListParagraph"/>
        <w:numPr>
          <w:ilvl w:val="1"/>
          <w:numId w:val="33"/>
        </w:numPr>
        <w:tabs>
          <w:tab w:pos="2860" w:val="left" w:leader="none"/>
        </w:tabs>
        <w:spacing w:line="242" w:lineRule="auto" w:before="1" w:after="0"/>
        <w:ind w:left="2439" w:right="1886" w:firstLine="0"/>
        <w:jc w:val="both"/>
        <w:rPr>
          <w:sz w:val="20"/>
        </w:rPr>
      </w:pPr>
      <w:r>
        <w:rPr>
          <w:b/>
          <w:sz w:val="20"/>
        </w:rPr>
        <w:t>Technical</w:t>
      </w:r>
      <w:r>
        <w:rPr>
          <w:b/>
          <w:spacing w:val="-4"/>
          <w:sz w:val="20"/>
        </w:rPr>
        <w:t> </w:t>
      </w:r>
      <w:r>
        <w:rPr>
          <w:b/>
          <w:sz w:val="20"/>
        </w:rPr>
        <w:t>Documentation</w:t>
      </w:r>
      <w:r>
        <w:rPr>
          <w:sz w:val="20"/>
        </w:rPr>
        <w:t>:</w:t>
      </w:r>
      <w:r>
        <w:rPr>
          <w:spacing w:val="-6"/>
          <w:sz w:val="20"/>
        </w:rPr>
        <w:t> </w:t>
      </w:r>
      <w:r>
        <w:rPr>
          <w:sz w:val="20"/>
        </w:rPr>
        <w:t>To</w:t>
      </w:r>
      <w:r>
        <w:rPr>
          <w:spacing w:val="-6"/>
          <w:sz w:val="20"/>
        </w:rPr>
        <w:t> </w:t>
      </w:r>
      <w:r>
        <w:rPr>
          <w:sz w:val="20"/>
        </w:rPr>
        <w:t>be</w:t>
      </w:r>
      <w:r>
        <w:rPr>
          <w:spacing w:val="-6"/>
          <w:sz w:val="20"/>
        </w:rPr>
        <w:t> </w:t>
      </w:r>
      <w:r>
        <w:rPr>
          <w:sz w:val="20"/>
        </w:rPr>
        <w:t>demonstrated</w:t>
      </w:r>
      <w:r>
        <w:rPr>
          <w:spacing w:val="-4"/>
          <w:sz w:val="20"/>
        </w:rPr>
        <w:t> </w:t>
      </w:r>
      <w:r>
        <w:rPr>
          <w:sz w:val="20"/>
        </w:rPr>
        <w:t>in</w:t>
      </w:r>
      <w:r>
        <w:rPr>
          <w:spacing w:val="-6"/>
          <w:sz w:val="20"/>
        </w:rPr>
        <w:t> </w:t>
      </w:r>
      <w:r>
        <w:rPr>
          <w:sz w:val="20"/>
        </w:rPr>
        <w:t>the</w:t>
      </w:r>
      <w:r>
        <w:rPr>
          <w:spacing w:val="-4"/>
          <w:sz w:val="20"/>
        </w:rPr>
        <w:t> </w:t>
      </w:r>
      <w:r>
        <w:rPr>
          <w:sz w:val="20"/>
        </w:rPr>
        <w:t>ARC</w:t>
      </w:r>
      <w:r>
        <w:rPr>
          <w:spacing w:val="-6"/>
          <w:sz w:val="20"/>
        </w:rPr>
        <w:t> </w:t>
      </w:r>
      <w:r>
        <w:rPr>
          <w:sz w:val="20"/>
        </w:rPr>
        <w:t>518,</w:t>
      </w:r>
      <w:r>
        <w:rPr>
          <w:spacing w:val="-4"/>
          <w:sz w:val="20"/>
        </w:rPr>
        <w:t> </w:t>
      </w:r>
      <w:r>
        <w:rPr>
          <w:sz w:val="20"/>
        </w:rPr>
        <w:t>in conjunction</w:t>
      </w:r>
      <w:r>
        <w:rPr>
          <w:spacing w:val="-3"/>
          <w:sz w:val="20"/>
        </w:rPr>
        <w:t> </w:t>
      </w:r>
      <w:r>
        <w:rPr>
          <w:sz w:val="20"/>
        </w:rPr>
        <w:t>with</w:t>
      </w:r>
      <w:r>
        <w:rPr>
          <w:spacing w:val="-3"/>
          <w:sz w:val="20"/>
        </w:rPr>
        <w:t> </w:t>
      </w:r>
      <w:r>
        <w:rPr>
          <w:sz w:val="20"/>
        </w:rPr>
        <w:t>ARC</w:t>
      </w:r>
      <w:r>
        <w:rPr>
          <w:spacing w:val="-2"/>
          <w:sz w:val="20"/>
        </w:rPr>
        <w:t> </w:t>
      </w:r>
      <w:r>
        <w:rPr>
          <w:sz w:val="20"/>
        </w:rPr>
        <w:t>406. Students</w:t>
      </w:r>
      <w:r>
        <w:rPr>
          <w:spacing w:val="-4"/>
          <w:sz w:val="20"/>
        </w:rPr>
        <w:t> </w:t>
      </w:r>
      <w:r>
        <w:rPr>
          <w:sz w:val="20"/>
        </w:rPr>
        <w:t>compose</w:t>
      </w:r>
      <w:r>
        <w:rPr>
          <w:spacing w:val="-5"/>
          <w:sz w:val="20"/>
        </w:rPr>
        <w:t> </w:t>
      </w:r>
      <w:r>
        <w:rPr>
          <w:sz w:val="20"/>
        </w:rPr>
        <w:t>a</w:t>
      </w:r>
      <w:r>
        <w:rPr>
          <w:spacing w:val="-5"/>
          <w:sz w:val="20"/>
        </w:rPr>
        <w:t> </w:t>
      </w:r>
      <w:r>
        <w:rPr>
          <w:sz w:val="20"/>
        </w:rPr>
        <w:t>small</w:t>
      </w:r>
      <w:r>
        <w:rPr>
          <w:spacing w:val="-4"/>
          <w:sz w:val="20"/>
        </w:rPr>
        <w:t> </w:t>
      </w:r>
      <w:r>
        <w:rPr>
          <w:sz w:val="20"/>
        </w:rPr>
        <w:t>set</w:t>
      </w:r>
      <w:r>
        <w:rPr>
          <w:spacing w:val="-5"/>
          <w:sz w:val="20"/>
        </w:rPr>
        <w:t> </w:t>
      </w:r>
      <w:r>
        <w:rPr>
          <w:sz w:val="20"/>
        </w:rPr>
        <w:t>of</w:t>
      </w:r>
      <w:r>
        <w:rPr>
          <w:spacing w:val="-3"/>
          <w:sz w:val="20"/>
        </w:rPr>
        <w:t> </w:t>
      </w:r>
      <w:r>
        <w:rPr>
          <w:sz w:val="20"/>
        </w:rPr>
        <w:t>construction </w:t>
      </w:r>
      <w:r>
        <w:rPr>
          <w:spacing w:val="-2"/>
          <w:sz w:val="20"/>
        </w:rPr>
        <w:t>documents.</w:t>
      </w:r>
    </w:p>
    <w:p>
      <w:pPr>
        <w:pStyle w:val="BodyText"/>
        <w:spacing w:before="4"/>
      </w:pPr>
    </w:p>
    <w:p>
      <w:pPr>
        <w:pStyle w:val="ListParagraph"/>
        <w:numPr>
          <w:ilvl w:val="1"/>
          <w:numId w:val="33"/>
        </w:numPr>
        <w:tabs>
          <w:tab w:pos="2860" w:val="left" w:leader="none"/>
        </w:tabs>
        <w:spacing w:line="240" w:lineRule="auto" w:before="0" w:after="0"/>
        <w:ind w:left="2439" w:right="1175" w:firstLine="0"/>
        <w:jc w:val="left"/>
        <w:rPr>
          <w:sz w:val="20"/>
        </w:rPr>
      </w:pPr>
      <w:r>
        <w:rPr>
          <w:b/>
          <w:sz w:val="20"/>
        </w:rPr>
        <w:t>Investigative</w:t>
      </w:r>
      <w:r>
        <w:rPr>
          <w:b/>
          <w:spacing w:val="-4"/>
          <w:sz w:val="20"/>
        </w:rPr>
        <w:t> </w:t>
      </w:r>
      <w:r>
        <w:rPr>
          <w:b/>
          <w:sz w:val="20"/>
        </w:rPr>
        <w:t>Skills</w:t>
      </w:r>
      <w:r>
        <w:rPr>
          <w:sz w:val="20"/>
        </w:rPr>
        <w:t>:</w:t>
      </w:r>
      <w:r>
        <w:rPr>
          <w:spacing w:val="-4"/>
          <w:sz w:val="20"/>
        </w:rPr>
        <w:t> </w:t>
      </w:r>
      <w:r>
        <w:rPr>
          <w:sz w:val="20"/>
        </w:rPr>
        <w:t>Work</w:t>
      </w:r>
      <w:r>
        <w:rPr>
          <w:spacing w:val="-2"/>
          <w:sz w:val="20"/>
        </w:rPr>
        <w:t> </w:t>
      </w:r>
      <w:r>
        <w:rPr>
          <w:sz w:val="20"/>
        </w:rPr>
        <w:t>performed</w:t>
      </w:r>
      <w:r>
        <w:rPr>
          <w:spacing w:val="-6"/>
          <w:sz w:val="20"/>
        </w:rPr>
        <w:t> </w:t>
      </w:r>
      <w:r>
        <w:rPr>
          <w:sz w:val="20"/>
        </w:rPr>
        <w:t>at</w:t>
      </w:r>
      <w:r>
        <w:rPr>
          <w:spacing w:val="-6"/>
          <w:sz w:val="20"/>
        </w:rPr>
        <w:t> </w:t>
      </w:r>
      <w:r>
        <w:rPr>
          <w:sz w:val="20"/>
        </w:rPr>
        <w:t>the</w:t>
      </w:r>
      <w:r>
        <w:rPr>
          <w:spacing w:val="-4"/>
          <w:sz w:val="20"/>
        </w:rPr>
        <w:t> </w:t>
      </w:r>
      <w:r>
        <w:rPr>
          <w:sz w:val="20"/>
        </w:rPr>
        <w:t>4th</w:t>
      </w:r>
      <w:r>
        <w:rPr>
          <w:spacing w:val="-3"/>
          <w:sz w:val="20"/>
        </w:rPr>
        <w:t> </w:t>
      </w:r>
      <w:r>
        <w:rPr>
          <w:sz w:val="20"/>
        </w:rPr>
        <w:t>year</w:t>
      </w:r>
      <w:r>
        <w:rPr>
          <w:spacing w:val="-3"/>
          <w:sz w:val="20"/>
        </w:rPr>
        <w:t> </w:t>
      </w:r>
      <w:r>
        <w:rPr>
          <w:sz w:val="20"/>
        </w:rPr>
        <w:t>level</w:t>
      </w:r>
      <w:r>
        <w:rPr>
          <w:spacing w:val="-7"/>
          <w:sz w:val="20"/>
        </w:rPr>
        <w:t> </w:t>
      </w:r>
      <w:r>
        <w:rPr>
          <w:sz w:val="20"/>
        </w:rPr>
        <w:t>requires</w:t>
      </w:r>
      <w:r>
        <w:rPr>
          <w:spacing w:val="-5"/>
          <w:sz w:val="20"/>
        </w:rPr>
        <w:t> </w:t>
      </w:r>
      <w:r>
        <w:rPr>
          <w:sz w:val="20"/>
        </w:rPr>
        <w:t>students to</w:t>
      </w:r>
      <w:r>
        <w:rPr>
          <w:spacing w:val="-3"/>
          <w:sz w:val="20"/>
        </w:rPr>
        <w:t> </w:t>
      </w:r>
      <w:r>
        <w:rPr>
          <w:sz w:val="20"/>
        </w:rPr>
        <w:t>research</w:t>
      </w:r>
      <w:r>
        <w:rPr>
          <w:spacing w:val="-3"/>
          <w:sz w:val="20"/>
        </w:rPr>
        <w:t> </w:t>
      </w:r>
      <w:r>
        <w:rPr>
          <w:sz w:val="20"/>
        </w:rPr>
        <w:t>several</w:t>
      </w:r>
      <w:r>
        <w:rPr>
          <w:spacing w:val="-4"/>
          <w:sz w:val="20"/>
        </w:rPr>
        <w:t> </w:t>
      </w:r>
      <w:r>
        <w:rPr>
          <w:sz w:val="20"/>
        </w:rPr>
        <w:t>components</w:t>
      </w:r>
      <w:r>
        <w:rPr>
          <w:spacing w:val="-2"/>
          <w:sz w:val="20"/>
        </w:rPr>
        <w:t> </w:t>
      </w:r>
      <w:r>
        <w:rPr>
          <w:sz w:val="20"/>
        </w:rPr>
        <w:t>of</w:t>
      </w:r>
      <w:r>
        <w:rPr>
          <w:spacing w:val="-1"/>
          <w:sz w:val="20"/>
        </w:rPr>
        <w:t> </w:t>
      </w:r>
      <w:r>
        <w:rPr>
          <w:sz w:val="20"/>
        </w:rPr>
        <w:t>design,</w:t>
      </w:r>
      <w:r>
        <w:rPr>
          <w:spacing w:val="-1"/>
          <w:sz w:val="20"/>
        </w:rPr>
        <w:t> </w:t>
      </w:r>
      <w:r>
        <w:rPr>
          <w:sz w:val="20"/>
        </w:rPr>
        <w:t>including</w:t>
      </w:r>
      <w:r>
        <w:rPr>
          <w:spacing w:val="-3"/>
          <w:sz w:val="20"/>
        </w:rPr>
        <w:t> </w:t>
      </w:r>
      <w:r>
        <w:rPr>
          <w:sz w:val="20"/>
        </w:rPr>
        <w:t>building</w:t>
      </w:r>
      <w:r>
        <w:rPr>
          <w:spacing w:val="-3"/>
          <w:sz w:val="20"/>
        </w:rPr>
        <w:t> </w:t>
      </w:r>
      <w:r>
        <w:rPr>
          <w:sz w:val="20"/>
        </w:rPr>
        <w:t>type,</w:t>
      </w:r>
      <w:r>
        <w:rPr>
          <w:spacing w:val="-3"/>
          <w:sz w:val="20"/>
        </w:rPr>
        <w:t> </w:t>
      </w:r>
      <w:r>
        <w:rPr>
          <w:sz w:val="20"/>
        </w:rPr>
        <w:t>programmatic requirements, zoning ordinance criteria, as well as site conditions and project / client requirements.</w:t>
      </w:r>
    </w:p>
    <w:p>
      <w:pPr>
        <w:pStyle w:val="BodyText"/>
        <w:spacing w:before="9"/>
      </w:pPr>
    </w:p>
    <w:p>
      <w:pPr>
        <w:pStyle w:val="ListParagraph"/>
        <w:numPr>
          <w:ilvl w:val="1"/>
          <w:numId w:val="34"/>
        </w:numPr>
        <w:tabs>
          <w:tab w:pos="2860" w:val="left" w:leader="none"/>
        </w:tabs>
        <w:spacing w:line="242" w:lineRule="auto" w:before="1" w:after="0"/>
        <w:ind w:left="2439" w:right="1127" w:firstLine="0"/>
        <w:jc w:val="left"/>
        <w:rPr>
          <w:sz w:val="20"/>
        </w:rPr>
      </w:pPr>
      <w:r>
        <w:rPr>
          <w:b/>
          <w:sz w:val="20"/>
        </w:rPr>
        <w:t>Ordering</w:t>
      </w:r>
      <w:r>
        <w:rPr>
          <w:b/>
          <w:spacing w:val="-3"/>
          <w:sz w:val="20"/>
        </w:rPr>
        <w:t> </w:t>
      </w:r>
      <w:r>
        <w:rPr>
          <w:b/>
          <w:sz w:val="20"/>
        </w:rPr>
        <w:t>Systems</w:t>
      </w:r>
      <w:r>
        <w:rPr>
          <w:sz w:val="20"/>
        </w:rPr>
        <w:t>:</w:t>
      </w:r>
      <w:r>
        <w:rPr>
          <w:spacing w:val="-4"/>
          <w:sz w:val="20"/>
        </w:rPr>
        <w:t> </w:t>
      </w:r>
      <w:r>
        <w:rPr>
          <w:sz w:val="20"/>
        </w:rPr>
        <w:t>Students</w:t>
      </w:r>
      <w:r>
        <w:rPr>
          <w:spacing w:val="-5"/>
          <w:sz w:val="20"/>
        </w:rPr>
        <w:t> </w:t>
      </w:r>
      <w:r>
        <w:rPr>
          <w:sz w:val="20"/>
        </w:rPr>
        <w:t>study</w:t>
      </w:r>
      <w:r>
        <w:rPr>
          <w:spacing w:val="-9"/>
          <w:sz w:val="20"/>
        </w:rPr>
        <w:t> </w:t>
      </w:r>
      <w:r>
        <w:rPr>
          <w:sz w:val="20"/>
        </w:rPr>
        <w:t>circulation</w:t>
      </w:r>
      <w:r>
        <w:rPr>
          <w:spacing w:val="-6"/>
          <w:sz w:val="20"/>
        </w:rPr>
        <w:t> </w:t>
      </w:r>
      <w:r>
        <w:rPr>
          <w:sz w:val="20"/>
        </w:rPr>
        <w:t>patterns</w:t>
      </w:r>
      <w:r>
        <w:rPr>
          <w:spacing w:val="-5"/>
          <w:sz w:val="20"/>
        </w:rPr>
        <w:t> </w:t>
      </w:r>
      <w:r>
        <w:rPr>
          <w:sz w:val="20"/>
        </w:rPr>
        <w:t>and</w:t>
      </w:r>
      <w:r>
        <w:rPr>
          <w:spacing w:val="-4"/>
          <w:sz w:val="20"/>
        </w:rPr>
        <w:t> </w:t>
      </w:r>
      <w:r>
        <w:rPr>
          <w:sz w:val="20"/>
        </w:rPr>
        <w:t>human</w:t>
      </w:r>
      <w:r>
        <w:rPr>
          <w:spacing w:val="-6"/>
          <w:sz w:val="20"/>
        </w:rPr>
        <w:t> </w:t>
      </w:r>
      <w:r>
        <w:rPr>
          <w:sz w:val="20"/>
        </w:rPr>
        <w:t>behavior to define spatial arrangements.</w:t>
      </w:r>
    </w:p>
    <w:p>
      <w:pPr>
        <w:pStyle w:val="BodyText"/>
        <w:spacing w:before="6"/>
      </w:pPr>
    </w:p>
    <w:p>
      <w:pPr>
        <w:pStyle w:val="ListParagraph"/>
        <w:numPr>
          <w:ilvl w:val="1"/>
          <w:numId w:val="34"/>
        </w:numPr>
        <w:tabs>
          <w:tab w:pos="2860" w:val="left" w:leader="none"/>
        </w:tabs>
        <w:spacing w:line="240" w:lineRule="auto" w:before="0" w:after="0"/>
        <w:ind w:left="2439" w:right="2040" w:firstLine="0"/>
        <w:jc w:val="left"/>
        <w:rPr>
          <w:sz w:val="20"/>
        </w:rPr>
      </w:pPr>
      <w:r>
        <w:rPr>
          <w:b/>
          <w:sz w:val="20"/>
        </w:rPr>
        <w:t>Historical</w:t>
      </w:r>
      <w:r>
        <w:rPr>
          <w:b/>
          <w:spacing w:val="-6"/>
          <w:sz w:val="20"/>
        </w:rPr>
        <w:t> </w:t>
      </w:r>
      <w:r>
        <w:rPr>
          <w:b/>
          <w:sz w:val="20"/>
        </w:rPr>
        <w:t>Traditions</w:t>
      </w:r>
      <w:r>
        <w:rPr>
          <w:b/>
          <w:spacing w:val="-4"/>
          <w:sz w:val="20"/>
        </w:rPr>
        <w:t> </w:t>
      </w:r>
      <w:r>
        <w:rPr>
          <w:b/>
          <w:sz w:val="20"/>
        </w:rPr>
        <w:t>and</w:t>
      </w:r>
      <w:r>
        <w:rPr>
          <w:b/>
          <w:spacing w:val="-5"/>
          <w:sz w:val="20"/>
        </w:rPr>
        <w:t> </w:t>
      </w:r>
      <w:r>
        <w:rPr>
          <w:b/>
          <w:sz w:val="20"/>
        </w:rPr>
        <w:t>Global</w:t>
      </w:r>
      <w:r>
        <w:rPr>
          <w:b/>
          <w:spacing w:val="-6"/>
          <w:sz w:val="20"/>
        </w:rPr>
        <w:t> </w:t>
      </w:r>
      <w:r>
        <w:rPr>
          <w:b/>
          <w:sz w:val="20"/>
        </w:rPr>
        <w:t>Culture</w:t>
      </w:r>
      <w:r>
        <w:rPr>
          <w:sz w:val="20"/>
        </w:rPr>
        <w:t>:</w:t>
      </w:r>
      <w:r>
        <w:rPr>
          <w:spacing w:val="-6"/>
          <w:sz w:val="20"/>
        </w:rPr>
        <w:t> </w:t>
      </w:r>
      <w:r>
        <w:rPr>
          <w:sz w:val="20"/>
        </w:rPr>
        <w:t>Students</w:t>
      </w:r>
      <w:r>
        <w:rPr>
          <w:spacing w:val="-5"/>
          <w:sz w:val="20"/>
        </w:rPr>
        <w:t> </w:t>
      </w:r>
      <w:r>
        <w:rPr>
          <w:sz w:val="20"/>
        </w:rPr>
        <w:t>study</w:t>
      </w:r>
      <w:r>
        <w:rPr>
          <w:spacing w:val="-9"/>
          <w:sz w:val="20"/>
        </w:rPr>
        <w:t> </w:t>
      </w:r>
      <w:r>
        <w:rPr>
          <w:sz w:val="20"/>
        </w:rPr>
        <w:t>design precedents and project site context to complete their design concepts.</w:t>
      </w:r>
    </w:p>
    <w:p>
      <w:pPr>
        <w:pStyle w:val="BodyText"/>
        <w:spacing w:before="8"/>
      </w:pPr>
    </w:p>
    <w:p>
      <w:pPr>
        <w:pStyle w:val="ListParagraph"/>
        <w:numPr>
          <w:ilvl w:val="1"/>
          <w:numId w:val="35"/>
        </w:numPr>
        <w:tabs>
          <w:tab w:pos="2865" w:val="left" w:leader="none"/>
        </w:tabs>
        <w:spacing w:line="240" w:lineRule="auto" w:before="0" w:after="0"/>
        <w:ind w:left="2439" w:right="1318" w:firstLine="0"/>
        <w:jc w:val="left"/>
        <w:rPr>
          <w:sz w:val="20"/>
        </w:rPr>
      </w:pPr>
      <w:r>
        <w:rPr>
          <w:b/>
          <w:sz w:val="20"/>
        </w:rPr>
        <w:t>Accessibility: Students </w:t>
      </w:r>
      <w:r>
        <w:rPr>
          <w:sz w:val="20"/>
        </w:rPr>
        <w:t>are required to obtain copies of the ANSI/CABO 117.1, and use it as a design resource. Their work is graded on the capacity</w:t>
      </w:r>
      <w:r>
        <w:rPr>
          <w:spacing w:val="-1"/>
          <w:sz w:val="20"/>
        </w:rPr>
        <w:t> </w:t>
      </w:r>
      <w:r>
        <w:rPr>
          <w:sz w:val="20"/>
        </w:rPr>
        <w:t>of buildings to facilitate access for the physically handicapped. In ARC 518, they provide more detail in toilet rooms to demonstrate an understanding of the accessible requirements. In 517/518, students plan a panel discussion on accessibility.</w:t>
      </w:r>
      <w:r>
        <w:rPr>
          <w:spacing w:val="-5"/>
          <w:sz w:val="20"/>
        </w:rPr>
        <w:t> </w:t>
      </w:r>
      <w:r>
        <w:rPr>
          <w:sz w:val="20"/>
        </w:rPr>
        <w:t>They</w:t>
      </w:r>
      <w:r>
        <w:rPr>
          <w:spacing w:val="-6"/>
          <w:sz w:val="20"/>
        </w:rPr>
        <w:t> </w:t>
      </w:r>
      <w:r>
        <w:rPr>
          <w:sz w:val="20"/>
        </w:rPr>
        <w:t>also</w:t>
      </w:r>
      <w:r>
        <w:rPr>
          <w:spacing w:val="-3"/>
          <w:sz w:val="20"/>
        </w:rPr>
        <w:t> </w:t>
      </w:r>
      <w:r>
        <w:rPr>
          <w:sz w:val="20"/>
        </w:rPr>
        <w:t>organize</w:t>
      </w:r>
      <w:r>
        <w:rPr>
          <w:spacing w:val="-3"/>
          <w:sz w:val="20"/>
        </w:rPr>
        <w:t> </w:t>
      </w:r>
      <w:r>
        <w:rPr>
          <w:sz w:val="20"/>
        </w:rPr>
        <w:t>and</w:t>
      </w:r>
      <w:r>
        <w:rPr>
          <w:spacing w:val="-3"/>
          <w:sz w:val="20"/>
        </w:rPr>
        <w:t> </w:t>
      </w:r>
      <w:r>
        <w:rPr>
          <w:sz w:val="20"/>
        </w:rPr>
        <w:t>compete</w:t>
      </w:r>
      <w:r>
        <w:rPr>
          <w:spacing w:val="-5"/>
          <w:sz w:val="20"/>
        </w:rPr>
        <w:t> </w:t>
      </w:r>
      <w:r>
        <w:rPr>
          <w:sz w:val="20"/>
        </w:rPr>
        <w:t>in</w:t>
      </w:r>
      <w:r>
        <w:rPr>
          <w:spacing w:val="-3"/>
          <w:sz w:val="20"/>
        </w:rPr>
        <w:t> </w:t>
      </w:r>
      <w:r>
        <w:rPr>
          <w:sz w:val="20"/>
        </w:rPr>
        <w:t>a</w:t>
      </w:r>
      <w:r>
        <w:rPr>
          <w:spacing w:val="-3"/>
          <w:sz w:val="20"/>
        </w:rPr>
        <w:t> </w:t>
      </w:r>
      <w:r>
        <w:rPr>
          <w:sz w:val="20"/>
        </w:rPr>
        <w:t>wheel</w:t>
      </w:r>
      <w:r>
        <w:rPr>
          <w:spacing w:val="-6"/>
          <w:sz w:val="20"/>
        </w:rPr>
        <w:t> </w:t>
      </w:r>
      <w:r>
        <w:rPr>
          <w:sz w:val="20"/>
        </w:rPr>
        <w:t>chair</w:t>
      </w:r>
      <w:r>
        <w:rPr>
          <w:spacing w:val="-4"/>
          <w:sz w:val="20"/>
        </w:rPr>
        <w:t> </w:t>
      </w:r>
      <w:r>
        <w:rPr>
          <w:sz w:val="20"/>
        </w:rPr>
        <w:t>race</w:t>
      </w:r>
      <w:r>
        <w:rPr>
          <w:spacing w:val="-3"/>
          <w:sz w:val="20"/>
        </w:rPr>
        <w:t> </w:t>
      </w:r>
      <w:r>
        <w:rPr>
          <w:sz w:val="20"/>
        </w:rPr>
        <w:t>on</w:t>
      </w:r>
      <w:r>
        <w:rPr>
          <w:spacing w:val="-5"/>
          <w:sz w:val="20"/>
        </w:rPr>
        <w:t> </w:t>
      </w:r>
      <w:r>
        <w:rPr>
          <w:sz w:val="20"/>
        </w:rPr>
        <w:t>campus having to maneuver around obstacles where current conditions are not </w:t>
      </w:r>
      <w:r>
        <w:rPr>
          <w:spacing w:val="-2"/>
          <w:sz w:val="20"/>
        </w:rPr>
        <w:t>accessible.</w:t>
      </w:r>
    </w:p>
    <w:p>
      <w:pPr>
        <w:spacing w:after="0" w:line="240" w:lineRule="auto"/>
        <w:jc w:val="left"/>
        <w:rPr>
          <w:sz w:val="20"/>
        </w:rPr>
        <w:sectPr>
          <w:headerReference w:type="default" r:id="rId107"/>
          <w:footerReference w:type="default" r:id="rId108"/>
          <w:pgSz w:w="12240" w:h="15840"/>
          <w:pgMar w:header="0" w:footer="974" w:top="1420" w:bottom="1160" w:left="1160" w:right="320"/>
        </w:sectPr>
      </w:pPr>
    </w:p>
    <w:p>
      <w:pPr>
        <w:pStyle w:val="ListParagraph"/>
        <w:numPr>
          <w:ilvl w:val="1"/>
          <w:numId w:val="35"/>
        </w:numPr>
        <w:tabs>
          <w:tab w:pos="2863" w:val="left" w:leader="none"/>
        </w:tabs>
        <w:spacing w:line="242" w:lineRule="auto" w:before="75" w:after="0"/>
        <w:ind w:left="2440" w:right="1239" w:firstLine="0"/>
        <w:jc w:val="left"/>
        <w:rPr>
          <w:sz w:val="20"/>
        </w:rPr>
      </w:pPr>
      <w:r>
        <w:rPr>
          <w:b/>
          <w:sz w:val="20"/>
        </w:rPr>
        <w:t>Sustainability</w:t>
      </w:r>
      <w:r>
        <w:rPr>
          <w:sz w:val="20"/>
        </w:rPr>
        <w:t>: To be demonstrated in the second semester. Students will be</w:t>
      </w:r>
      <w:r>
        <w:rPr>
          <w:spacing w:val="-4"/>
          <w:sz w:val="20"/>
        </w:rPr>
        <w:t> </w:t>
      </w:r>
      <w:r>
        <w:rPr>
          <w:sz w:val="20"/>
        </w:rPr>
        <w:t>required</w:t>
      </w:r>
      <w:r>
        <w:rPr>
          <w:spacing w:val="-4"/>
          <w:sz w:val="20"/>
        </w:rPr>
        <w:t> </w:t>
      </w:r>
      <w:r>
        <w:rPr>
          <w:sz w:val="20"/>
        </w:rPr>
        <w:t>to</w:t>
      </w:r>
      <w:r>
        <w:rPr>
          <w:spacing w:val="-2"/>
          <w:sz w:val="20"/>
        </w:rPr>
        <w:t> </w:t>
      </w:r>
      <w:r>
        <w:rPr>
          <w:sz w:val="20"/>
        </w:rPr>
        <w:t>develop</w:t>
      </w:r>
      <w:r>
        <w:rPr>
          <w:spacing w:val="-2"/>
          <w:sz w:val="20"/>
        </w:rPr>
        <w:t> </w:t>
      </w:r>
      <w:r>
        <w:rPr>
          <w:sz w:val="20"/>
        </w:rPr>
        <w:t>a</w:t>
      </w:r>
      <w:r>
        <w:rPr>
          <w:spacing w:val="-4"/>
          <w:sz w:val="20"/>
        </w:rPr>
        <w:t> </w:t>
      </w:r>
      <w:r>
        <w:rPr>
          <w:sz w:val="20"/>
        </w:rPr>
        <w:t>LEED</w:t>
      </w:r>
      <w:r>
        <w:rPr>
          <w:spacing w:val="-1"/>
          <w:sz w:val="20"/>
        </w:rPr>
        <w:t> </w:t>
      </w:r>
      <w:r>
        <w:rPr>
          <w:sz w:val="20"/>
        </w:rPr>
        <w:t>strategy</w:t>
      </w:r>
      <w:r>
        <w:rPr>
          <w:spacing w:val="-5"/>
          <w:sz w:val="20"/>
        </w:rPr>
        <w:t> </w:t>
      </w:r>
      <w:r>
        <w:rPr>
          <w:sz w:val="20"/>
        </w:rPr>
        <w:t>in</w:t>
      </w:r>
      <w:r>
        <w:rPr>
          <w:spacing w:val="-4"/>
          <w:sz w:val="20"/>
        </w:rPr>
        <w:t> </w:t>
      </w:r>
      <w:r>
        <w:rPr>
          <w:sz w:val="20"/>
        </w:rPr>
        <w:t>the</w:t>
      </w:r>
      <w:r>
        <w:rPr>
          <w:spacing w:val="-4"/>
          <w:sz w:val="20"/>
        </w:rPr>
        <w:t> </w:t>
      </w:r>
      <w:r>
        <w:rPr>
          <w:sz w:val="20"/>
        </w:rPr>
        <w:t>design</w:t>
      </w:r>
      <w:r>
        <w:rPr>
          <w:spacing w:val="-2"/>
          <w:sz w:val="20"/>
        </w:rPr>
        <w:t> </w:t>
      </w:r>
      <w:r>
        <w:rPr>
          <w:sz w:val="20"/>
        </w:rPr>
        <w:t>of</w:t>
      </w:r>
      <w:r>
        <w:rPr>
          <w:spacing w:val="-2"/>
          <w:sz w:val="20"/>
        </w:rPr>
        <w:t> </w:t>
      </w:r>
      <w:r>
        <w:rPr>
          <w:sz w:val="20"/>
        </w:rPr>
        <w:t>their</w:t>
      </w:r>
      <w:r>
        <w:rPr>
          <w:spacing w:val="-3"/>
          <w:sz w:val="20"/>
        </w:rPr>
        <w:t> </w:t>
      </w:r>
      <w:r>
        <w:rPr>
          <w:sz w:val="20"/>
        </w:rPr>
        <w:t>final</w:t>
      </w:r>
      <w:r>
        <w:rPr>
          <w:spacing w:val="-5"/>
          <w:sz w:val="20"/>
        </w:rPr>
        <w:t> </w:t>
      </w:r>
      <w:r>
        <w:rPr>
          <w:sz w:val="20"/>
        </w:rPr>
        <w:t>design</w:t>
      </w:r>
      <w:r>
        <w:rPr>
          <w:spacing w:val="-4"/>
          <w:sz w:val="20"/>
        </w:rPr>
        <w:t> </w:t>
      </w:r>
      <w:r>
        <w:rPr>
          <w:sz w:val="20"/>
        </w:rPr>
        <w:t>project and present their solutions for achieving Gold Certification for their buildings.</w:t>
      </w:r>
    </w:p>
    <w:p>
      <w:pPr>
        <w:pStyle w:val="BodyText"/>
        <w:spacing w:before="1"/>
      </w:pPr>
    </w:p>
    <w:p>
      <w:pPr>
        <w:pStyle w:val="ListParagraph"/>
        <w:numPr>
          <w:ilvl w:val="1"/>
          <w:numId w:val="35"/>
        </w:numPr>
        <w:tabs>
          <w:tab w:pos="2863" w:val="left" w:leader="none"/>
        </w:tabs>
        <w:spacing w:line="242" w:lineRule="auto" w:before="1" w:after="0"/>
        <w:ind w:left="2440" w:right="1140" w:firstLine="0"/>
        <w:jc w:val="left"/>
        <w:rPr>
          <w:sz w:val="20"/>
        </w:rPr>
      </w:pPr>
      <w:r>
        <w:rPr>
          <w:b/>
          <w:sz w:val="20"/>
        </w:rPr>
        <w:t>Site Design</w:t>
      </w:r>
      <w:r>
        <w:rPr>
          <w:sz w:val="20"/>
        </w:rPr>
        <w:t>: Students are given a project on a Greenfield site and an existing</w:t>
      </w:r>
      <w:r>
        <w:rPr>
          <w:spacing w:val="-4"/>
          <w:sz w:val="20"/>
        </w:rPr>
        <w:t> </w:t>
      </w:r>
      <w:r>
        <w:rPr>
          <w:sz w:val="20"/>
        </w:rPr>
        <w:t>site.</w:t>
      </w:r>
      <w:r>
        <w:rPr>
          <w:spacing w:val="-4"/>
          <w:sz w:val="20"/>
        </w:rPr>
        <w:t> </w:t>
      </w:r>
      <w:r>
        <w:rPr>
          <w:sz w:val="20"/>
        </w:rPr>
        <w:t>On</w:t>
      </w:r>
      <w:r>
        <w:rPr>
          <w:spacing w:val="-4"/>
          <w:sz w:val="20"/>
        </w:rPr>
        <w:t> </w:t>
      </w:r>
      <w:r>
        <w:rPr>
          <w:sz w:val="20"/>
        </w:rPr>
        <w:t>both</w:t>
      </w:r>
      <w:r>
        <w:rPr>
          <w:spacing w:val="-3"/>
          <w:sz w:val="20"/>
        </w:rPr>
        <w:t> </w:t>
      </w:r>
      <w:r>
        <w:rPr>
          <w:sz w:val="20"/>
        </w:rPr>
        <w:t>projects,</w:t>
      </w:r>
      <w:r>
        <w:rPr>
          <w:spacing w:val="-4"/>
          <w:sz w:val="20"/>
        </w:rPr>
        <w:t> </w:t>
      </w:r>
      <w:r>
        <w:rPr>
          <w:sz w:val="20"/>
        </w:rPr>
        <w:t>they</w:t>
      </w:r>
      <w:r>
        <w:rPr>
          <w:spacing w:val="-5"/>
          <w:sz w:val="20"/>
        </w:rPr>
        <w:t> </w:t>
      </w:r>
      <w:r>
        <w:rPr>
          <w:sz w:val="20"/>
        </w:rPr>
        <w:t>are</w:t>
      </w:r>
      <w:r>
        <w:rPr>
          <w:spacing w:val="-4"/>
          <w:sz w:val="20"/>
        </w:rPr>
        <w:t> </w:t>
      </w:r>
      <w:r>
        <w:rPr>
          <w:sz w:val="20"/>
        </w:rPr>
        <w:t>required</w:t>
      </w:r>
      <w:r>
        <w:rPr>
          <w:spacing w:val="-4"/>
          <w:sz w:val="20"/>
        </w:rPr>
        <w:t> </w:t>
      </w:r>
      <w:r>
        <w:rPr>
          <w:sz w:val="20"/>
        </w:rPr>
        <w:t>to</w:t>
      </w:r>
      <w:r>
        <w:rPr>
          <w:spacing w:val="-4"/>
          <w:sz w:val="20"/>
        </w:rPr>
        <w:t> </w:t>
      </w:r>
      <w:r>
        <w:rPr>
          <w:sz w:val="20"/>
        </w:rPr>
        <w:t>develop</w:t>
      </w:r>
      <w:r>
        <w:rPr>
          <w:spacing w:val="-3"/>
          <w:sz w:val="20"/>
        </w:rPr>
        <w:t> </w:t>
      </w:r>
      <w:r>
        <w:rPr>
          <w:sz w:val="20"/>
        </w:rPr>
        <w:t>parking</w:t>
      </w:r>
      <w:r>
        <w:rPr>
          <w:spacing w:val="-4"/>
          <w:sz w:val="20"/>
        </w:rPr>
        <w:t> </w:t>
      </w:r>
      <w:r>
        <w:rPr>
          <w:sz w:val="20"/>
        </w:rPr>
        <w:t>and</w:t>
      </w:r>
      <w:r>
        <w:rPr>
          <w:spacing w:val="-3"/>
          <w:sz w:val="20"/>
        </w:rPr>
        <w:t> </w:t>
      </w:r>
      <w:r>
        <w:rPr>
          <w:sz w:val="20"/>
        </w:rPr>
        <w:t>vehicular circulation patterns,</w:t>
      </w:r>
    </w:p>
    <w:p>
      <w:pPr>
        <w:pStyle w:val="BodyText"/>
        <w:spacing w:before="4"/>
      </w:pPr>
    </w:p>
    <w:p>
      <w:pPr>
        <w:pStyle w:val="ListParagraph"/>
        <w:numPr>
          <w:ilvl w:val="1"/>
          <w:numId w:val="35"/>
        </w:numPr>
        <w:tabs>
          <w:tab w:pos="2860" w:val="left" w:leader="none"/>
        </w:tabs>
        <w:spacing w:line="242" w:lineRule="auto" w:before="0" w:after="0"/>
        <w:ind w:left="2440" w:right="1187" w:firstLine="0"/>
        <w:jc w:val="left"/>
        <w:rPr>
          <w:sz w:val="20"/>
        </w:rPr>
      </w:pPr>
      <w:r>
        <w:rPr>
          <w:b/>
          <w:sz w:val="20"/>
        </w:rPr>
        <w:t>Life</w:t>
      </w:r>
      <w:r>
        <w:rPr>
          <w:b/>
          <w:spacing w:val="-2"/>
          <w:sz w:val="20"/>
        </w:rPr>
        <w:t> </w:t>
      </w:r>
      <w:r>
        <w:rPr>
          <w:b/>
          <w:sz w:val="20"/>
        </w:rPr>
        <w:t>Safety</w:t>
      </w:r>
      <w:r>
        <w:rPr>
          <w:sz w:val="20"/>
        </w:rPr>
        <w:t>:</w:t>
      </w:r>
      <w:r>
        <w:rPr>
          <w:spacing w:val="-9"/>
          <w:sz w:val="20"/>
        </w:rPr>
        <w:t> </w:t>
      </w:r>
      <w:r>
        <w:rPr>
          <w:sz w:val="20"/>
        </w:rPr>
        <w:t>Work</w:t>
      </w:r>
      <w:r>
        <w:rPr>
          <w:spacing w:val="-3"/>
          <w:sz w:val="20"/>
        </w:rPr>
        <w:t> </w:t>
      </w:r>
      <w:r>
        <w:rPr>
          <w:sz w:val="20"/>
        </w:rPr>
        <w:t>on</w:t>
      </w:r>
      <w:r>
        <w:rPr>
          <w:spacing w:val="-4"/>
          <w:sz w:val="20"/>
        </w:rPr>
        <w:t> </w:t>
      </w:r>
      <w:r>
        <w:rPr>
          <w:sz w:val="20"/>
        </w:rPr>
        <w:t>their</w:t>
      </w:r>
      <w:r>
        <w:rPr>
          <w:spacing w:val="-3"/>
          <w:sz w:val="20"/>
        </w:rPr>
        <w:t> </w:t>
      </w:r>
      <w:r>
        <w:rPr>
          <w:sz w:val="20"/>
        </w:rPr>
        <w:t>first</w:t>
      </w:r>
      <w:r>
        <w:rPr>
          <w:spacing w:val="-4"/>
          <w:sz w:val="20"/>
        </w:rPr>
        <w:t> </w:t>
      </w:r>
      <w:r>
        <w:rPr>
          <w:sz w:val="20"/>
        </w:rPr>
        <w:t>design</w:t>
      </w:r>
      <w:r>
        <w:rPr>
          <w:spacing w:val="-2"/>
          <w:sz w:val="20"/>
        </w:rPr>
        <w:t> </w:t>
      </w:r>
      <w:r>
        <w:rPr>
          <w:sz w:val="20"/>
        </w:rPr>
        <w:t>project,</w:t>
      </w:r>
      <w:r>
        <w:rPr>
          <w:spacing w:val="-4"/>
          <w:sz w:val="20"/>
        </w:rPr>
        <w:t> </w:t>
      </w:r>
      <w:r>
        <w:rPr>
          <w:sz w:val="20"/>
        </w:rPr>
        <w:t>a</w:t>
      </w:r>
      <w:r>
        <w:rPr>
          <w:spacing w:val="-4"/>
          <w:sz w:val="20"/>
        </w:rPr>
        <w:t> </w:t>
      </w:r>
      <w:r>
        <w:rPr>
          <w:sz w:val="20"/>
        </w:rPr>
        <w:t>six</w:t>
      </w:r>
      <w:r>
        <w:rPr>
          <w:spacing w:val="-3"/>
          <w:sz w:val="20"/>
        </w:rPr>
        <w:t> </w:t>
      </w:r>
      <w:r>
        <w:rPr>
          <w:sz w:val="20"/>
        </w:rPr>
        <w:t>week design</w:t>
      </w:r>
      <w:r>
        <w:rPr>
          <w:spacing w:val="-4"/>
          <w:sz w:val="20"/>
        </w:rPr>
        <w:t> </w:t>
      </w:r>
      <w:r>
        <w:rPr>
          <w:sz w:val="20"/>
        </w:rPr>
        <w:t>study</w:t>
      </w:r>
      <w:r>
        <w:rPr>
          <w:spacing w:val="-5"/>
          <w:sz w:val="20"/>
        </w:rPr>
        <w:t> </w:t>
      </w:r>
      <w:r>
        <w:rPr>
          <w:sz w:val="20"/>
        </w:rPr>
        <w:t>of</w:t>
      </w:r>
      <w:r>
        <w:rPr>
          <w:spacing w:val="-2"/>
          <w:sz w:val="20"/>
        </w:rPr>
        <w:t> </w:t>
      </w:r>
      <w:r>
        <w:rPr>
          <w:sz w:val="20"/>
        </w:rPr>
        <w:t>an elementary school, required code analysis of a variety of life safety measures, including egress requirements,</w:t>
      </w:r>
    </w:p>
    <w:p>
      <w:pPr>
        <w:pStyle w:val="BodyText"/>
        <w:spacing w:before="2"/>
      </w:pPr>
    </w:p>
    <w:p>
      <w:pPr>
        <w:pStyle w:val="BodyText"/>
        <w:spacing w:line="242" w:lineRule="auto"/>
        <w:ind w:left="2440" w:right="1211"/>
      </w:pPr>
      <w:r>
        <w:rPr>
          <w:b/>
        </w:rPr>
        <w:t>B.8.</w:t>
      </w:r>
      <w:r>
        <w:rPr>
          <w:b/>
          <w:spacing w:val="-3"/>
        </w:rPr>
        <w:t> </w:t>
      </w:r>
      <w:r>
        <w:rPr>
          <w:b/>
        </w:rPr>
        <w:t>Environmental</w:t>
      </w:r>
      <w:r>
        <w:rPr>
          <w:b/>
          <w:spacing w:val="-3"/>
        </w:rPr>
        <w:t> </w:t>
      </w:r>
      <w:r>
        <w:rPr>
          <w:b/>
        </w:rPr>
        <w:t>Systems</w:t>
      </w:r>
      <w:r>
        <w:rPr/>
        <w:t>:</w:t>
      </w:r>
      <w:r>
        <w:rPr>
          <w:spacing w:val="-5"/>
        </w:rPr>
        <w:t> </w:t>
      </w:r>
      <w:r>
        <w:rPr/>
        <w:t>Students</w:t>
      </w:r>
      <w:r>
        <w:rPr>
          <w:spacing w:val="-4"/>
        </w:rPr>
        <w:t> </w:t>
      </w:r>
      <w:r>
        <w:rPr/>
        <w:t>are</w:t>
      </w:r>
      <w:r>
        <w:rPr>
          <w:spacing w:val="-5"/>
        </w:rPr>
        <w:t> </w:t>
      </w:r>
      <w:r>
        <w:rPr/>
        <w:t>required</w:t>
      </w:r>
      <w:r>
        <w:rPr>
          <w:spacing w:val="-3"/>
        </w:rPr>
        <w:t> </w:t>
      </w:r>
      <w:r>
        <w:rPr/>
        <w:t>to</w:t>
      </w:r>
      <w:r>
        <w:rPr>
          <w:spacing w:val="-5"/>
        </w:rPr>
        <w:t> </w:t>
      </w:r>
      <w:r>
        <w:rPr/>
        <w:t>design</w:t>
      </w:r>
      <w:r>
        <w:rPr>
          <w:spacing w:val="-5"/>
        </w:rPr>
        <w:t> </w:t>
      </w:r>
      <w:r>
        <w:rPr/>
        <w:t>the</w:t>
      </w:r>
      <w:r>
        <w:rPr>
          <w:spacing w:val="-5"/>
        </w:rPr>
        <w:t> </w:t>
      </w:r>
      <w:r>
        <w:rPr/>
        <w:t>concept</w:t>
      </w:r>
      <w:r>
        <w:rPr>
          <w:spacing w:val="-5"/>
        </w:rPr>
        <w:t> </w:t>
      </w:r>
      <w:r>
        <w:rPr/>
        <w:t>for introducing mechanical systems into their building, as well as discuss passive systems that reduce the use of fossil fuels.</w:t>
      </w:r>
    </w:p>
    <w:p>
      <w:pPr>
        <w:pStyle w:val="BodyText"/>
        <w:spacing w:before="4"/>
      </w:pPr>
    </w:p>
    <w:p>
      <w:pPr>
        <w:spacing w:line="242" w:lineRule="auto" w:before="0"/>
        <w:ind w:left="2439" w:right="1151" w:firstLine="0"/>
        <w:jc w:val="left"/>
        <w:rPr>
          <w:sz w:val="20"/>
        </w:rPr>
      </w:pPr>
      <w:r>
        <w:rPr>
          <w:b/>
          <w:sz w:val="20"/>
        </w:rPr>
        <w:t>B.9.</w:t>
      </w:r>
      <w:r>
        <w:rPr>
          <w:b/>
          <w:spacing w:val="-3"/>
          <w:sz w:val="20"/>
        </w:rPr>
        <w:t> </w:t>
      </w:r>
      <w:r>
        <w:rPr>
          <w:b/>
          <w:sz w:val="20"/>
        </w:rPr>
        <w:t>Structural</w:t>
      </w:r>
      <w:r>
        <w:rPr>
          <w:b/>
          <w:spacing w:val="-5"/>
          <w:sz w:val="20"/>
        </w:rPr>
        <w:t> </w:t>
      </w:r>
      <w:r>
        <w:rPr>
          <w:b/>
          <w:sz w:val="20"/>
        </w:rPr>
        <w:t>Systems</w:t>
      </w:r>
      <w:r>
        <w:rPr>
          <w:sz w:val="20"/>
        </w:rPr>
        <w:t>:</w:t>
      </w:r>
      <w:r>
        <w:rPr>
          <w:spacing w:val="-3"/>
          <w:sz w:val="20"/>
        </w:rPr>
        <w:t> </w:t>
      </w:r>
      <w:r>
        <w:rPr>
          <w:sz w:val="20"/>
        </w:rPr>
        <w:t>Students</w:t>
      </w:r>
      <w:r>
        <w:rPr>
          <w:spacing w:val="-4"/>
          <w:sz w:val="20"/>
        </w:rPr>
        <w:t> </w:t>
      </w:r>
      <w:r>
        <w:rPr>
          <w:sz w:val="20"/>
        </w:rPr>
        <w:t>are</w:t>
      </w:r>
      <w:r>
        <w:rPr>
          <w:spacing w:val="-5"/>
          <w:sz w:val="20"/>
        </w:rPr>
        <w:t> </w:t>
      </w:r>
      <w:r>
        <w:rPr>
          <w:sz w:val="20"/>
        </w:rPr>
        <w:t>required</w:t>
      </w:r>
      <w:r>
        <w:rPr>
          <w:spacing w:val="-3"/>
          <w:sz w:val="20"/>
        </w:rPr>
        <w:t> </w:t>
      </w:r>
      <w:r>
        <w:rPr>
          <w:sz w:val="20"/>
        </w:rPr>
        <w:t>to</w:t>
      </w:r>
      <w:r>
        <w:rPr>
          <w:spacing w:val="-3"/>
          <w:sz w:val="20"/>
        </w:rPr>
        <w:t> </w:t>
      </w:r>
      <w:r>
        <w:rPr>
          <w:sz w:val="20"/>
        </w:rPr>
        <w:t>design</w:t>
      </w:r>
      <w:r>
        <w:rPr>
          <w:spacing w:val="-5"/>
          <w:sz w:val="20"/>
        </w:rPr>
        <w:t> </w:t>
      </w:r>
      <w:r>
        <w:rPr>
          <w:sz w:val="20"/>
        </w:rPr>
        <w:t>the</w:t>
      </w:r>
      <w:r>
        <w:rPr>
          <w:spacing w:val="-5"/>
          <w:sz w:val="20"/>
        </w:rPr>
        <w:t> </w:t>
      </w:r>
      <w:r>
        <w:rPr>
          <w:sz w:val="20"/>
        </w:rPr>
        <w:t>structural</w:t>
      </w:r>
      <w:r>
        <w:rPr>
          <w:spacing w:val="-6"/>
          <w:sz w:val="20"/>
        </w:rPr>
        <w:t> </w:t>
      </w:r>
      <w:r>
        <w:rPr>
          <w:sz w:val="20"/>
        </w:rPr>
        <w:t>systems for their building designs.</w:t>
      </w:r>
    </w:p>
    <w:p>
      <w:pPr>
        <w:pStyle w:val="BodyText"/>
        <w:spacing w:before="7"/>
      </w:pPr>
    </w:p>
    <w:p>
      <w:pPr>
        <w:pStyle w:val="ListParagraph"/>
        <w:numPr>
          <w:ilvl w:val="1"/>
          <w:numId w:val="31"/>
        </w:numPr>
        <w:tabs>
          <w:tab w:pos="2432" w:val="left" w:leader="none"/>
          <w:tab w:pos="2433" w:val="left" w:leader="none"/>
        </w:tabs>
        <w:spacing w:line="240" w:lineRule="auto" w:before="0" w:after="0"/>
        <w:ind w:left="2432" w:right="1130" w:hanging="929"/>
        <w:jc w:val="left"/>
        <w:rPr>
          <w:sz w:val="20"/>
        </w:rPr>
      </w:pPr>
      <w:r>
        <w:rPr>
          <w:sz w:val="20"/>
        </w:rPr>
        <w:t>Financial Considerations: </w:t>
      </w:r>
      <w:r>
        <w:rPr>
          <w:i/>
          <w:sz w:val="20"/>
        </w:rPr>
        <w:t>Understanding </w:t>
      </w:r>
      <w:r>
        <w:rPr>
          <w:sz w:val="20"/>
        </w:rPr>
        <w:t>of the fundamentals of building costs, such as acquisition costs, project financing and funding, financial feasibility, operational</w:t>
      </w:r>
      <w:r>
        <w:rPr>
          <w:spacing w:val="-4"/>
          <w:sz w:val="20"/>
        </w:rPr>
        <w:t> </w:t>
      </w:r>
      <w:r>
        <w:rPr>
          <w:sz w:val="20"/>
        </w:rPr>
        <w:t>costs,</w:t>
      </w:r>
      <w:r>
        <w:rPr>
          <w:spacing w:val="-5"/>
          <w:sz w:val="20"/>
        </w:rPr>
        <w:t> </w:t>
      </w:r>
      <w:r>
        <w:rPr>
          <w:sz w:val="20"/>
        </w:rPr>
        <w:t>and</w:t>
      </w:r>
      <w:r>
        <w:rPr>
          <w:spacing w:val="-3"/>
          <w:sz w:val="20"/>
        </w:rPr>
        <w:t> </w:t>
      </w:r>
      <w:r>
        <w:rPr>
          <w:sz w:val="20"/>
        </w:rPr>
        <w:t>construction</w:t>
      </w:r>
      <w:r>
        <w:rPr>
          <w:spacing w:val="-3"/>
          <w:sz w:val="20"/>
        </w:rPr>
        <w:t> </w:t>
      </w:r>
      <w:r>
        <w:rPr>
          <w:sz w:val="20"/>
        </w:rPr>
        <w:t>estimating</w:t>
      </w:r>
      <w:r>
        <w:rPr>
          <w:spacing w:val="-3"/>
          <w:sz w:val="20"/>
        </w:rPr>
        <w:t> </w:t>
      </w:r>
      <w:r>
        <w:rPr>
          <w:sz w:val="20"/>
        </w:rPr>
        <w:t>with</w:t>
      </w:r>
      <w:r>
        <w:rPr>
          <w:spacing w:val="-5"/>
          <w:sz w:val="20"/>
        </w:rPr>
        <w:t> </w:t>
      </w:r>
      <w:r>
        <w:rPr>
          <w:sz w:val="20"/>
        </w:rPr>
        <w:t>an</w:t>
      </w:r>
      <w:r>
        <w:rPr>
          <w:spacing w:val="-1"/>
          <w:sz w:val="20"/>
        </w:rPr>
        <w:t> </w:t>
      </w:r>
      <w:r>
        <w:rPr>
          <w:sz w:val="20"/>
        </w:rPr>
        <w:t>emphasis</w:t>
      </w:r>
      <w:r>
        <w:rPr>
          <w:spacing w:val="-4"/>
          <w:sz w:val="20"/>
        </w:rPr>
        <w:t> </w:t>
      </w:r>
      <w:r>
        <w:rPr>
          <w:sz w:val="20"/>
        </w:rPr>
        <w:t>on</w:t>
      </w:r>
      <w:r>
        <w:rPr>
          <w:spacing w:val="-5"/>
          <w:sz w:val="20"/>
        </w:rPr>
        <w:t> </w:t>
      </w:r>
      <w:r>
        <w:rPr>
          <w:sz w:val="20"/>
        </w:rPr>
        <w:t>life-cycle</w:t>
      </w:r>
      <w:r>
        <w:rPr>
          <w:spacing w:val="-5"/>
          <w:sz w:val="20"/>
        </w:rPr>
        <w:t> </w:t>
      </w:r>
      <w:r>
        <w:rPr>
          <w:sz w:val="20"/>
        </w:rPr>
        <w:t>cost </w:t>
      </w:r>
      <w:r>
        <w:rPr>
          <w:spacing w:val="-2"/>
          <w:sz w:val="20"/>
        </w:rPr>
        <w:t>accounting.</w:t>
      </w:r>
    </w:p>
    <w:p>
      <w:pPr>
        <w:pStyle w:val="BodyText"/>
        <w:rPr>
          <w:sz w:val="21"/>
        </w:rPr>
      </w:pPr>
    </w:p>
    <w:p>
      <w:pPr>
        <w:pStyle w:val="BodyText"/>
        <w:tabs>
          <w:tab w:pos="3880" w:val="left" w:leader="none"/>
          <w:tab w:pos="7480" w:val="left" w:leader="none"/>
        </w:tabs>
        <w:ind w:left="2440"/>
      </w:pPr>
      <w:r>
        <w:rPr/>
        <w:t>ARC</w:t>
      </w:r>
      <w:r>
        <w:rPr>
          <w:spacing w:val="-7"/>
        </w:rPr>
        <w:t> </w:t>
      </w:r>
      <w:r>
        <w:rPr>
          <w:spacing w:val="-5"/>
        </w:rPr>
        <w:t>518</w:t>
      </w:r>
      <w:r>
        <w:rPr/>
        <w:tab/>
        <w:t>Professional</w:t>
      </w:r>
      <w:r>
        <w:rPr>
          <w:spacing w:val="-12"/>
        </w:rPr>
        <w:t> </w:t>
      </w:r>
      <w:r>
        <w:rPr/>
        <w:t>Practice</w:t>
      </w:r>
      <w:r>
        <w:rPr>
          <w:spacing w:val="-11"/>
        </w:rPr>
        <w:t> </w:t>
      </w:r>
      <w:r>
        <w:rPr>
          <w:spacing w:val="-10"/>
        </w:rPr>
        <w:t>2</w:t>
      </w:r>
      <w:r>
        <w:rPr/>
        <w:tab/>
        <w:t>Assignments</w:t>
      </w:r>
      <w:r>
        <w:rPr>
          <w:spacing w:val="-10"/>
        </w:rPr>
        <w:t> </w:t>
      </w:r>
      <w:r>
        <w:rPr/>
        <w:t>/</w:t>
      </w:r>
      <w:r>
        <w:rPr>
          <w:spacing w:val="-7"/>
        </w:rPr>
        <w:t> </w:t>
      </w:r>
      <w:r>
        <w:rPr>
          <w:spacing w:val="-2"/>
        </w:rPr>
        <w:t>Tests</w:t>
      </w:r>
    </w:p>
    <w:p>
      <w:pPr>
        <w:pStyle w:val="BodyText"/>
        <w:spacing w:before="10"/>
      </w:pPr>
    </w:p>
    <w:p>
      <w:pPr>
        <w:pStyle w:val="BodyText"/>
        <w:ind w:left="2440" w:right="1211"/>
      </w:pPr>
      <w:r>
        <w:rPr/>
        <w:t>After</w:t>
      </w:r>
      <w:r>
        <w:rPr>
          <w:spacing w:val="-4"/>
        </w:rPr>
        <w:t> </w:t>
      </w:r>
      <w:r>
        <w:rPr/>
        <w:t>a</w:t>
      </w:r>
      <w:r>
        <w:rPr>
          <w:spacing w:val="-5"/>
        </w:rPr>
        <w:t> </w:t>
      </w:r>
      <w:r>
        <w:rPr/>
        <w:t>lecture</w:t>
      </w:r>
      <w:r>
        <w:rPr>
          <w:spacing w:val="-5"/>
        </w:rPr>
        <w:t> </w:t>
      </w:r>
      <w:r>
        <w:rPr/>
        <w:t>on</w:t>
      </w:r>
      <w:r>
        <w:rPr>
          <w:spacing w:val="-5"/>
        </w:rPr>
        <w:t> </w:t>
      </w:r>
      <w:r>
        <w:rPr/>
        <w:t>Project</w:t>
      </w:r>
      <w:r>
        <w:rPr>
          <w:spacing w:val="-3"/>
        </w:rPr>
        <w:t> </w:t>
      </w:r>
      <w:r>
        <w:rPr/>
        <w:t>Budgets,</w:t>
      </w:r>
      <w:r>
        <w:rPr>
          <w:spacing w:val="-5"/>
        </w:rPr>
        <w:t> </w:t>
      </w:r>
      <w:r>
        <w:rPr/>
        <w:t>students</w:t>
      </w:r>
      <w:r>
        <w:rPr>
          <w:spacing w:val="-4"/>
        </w:rPr>
        <w:t> </w:t>
      </w:r>
      <w:r>
        <w:rPr/>
        <w:t>are</w:t>
      </w:r>
      <w:r>
        <w:rPr>
          <w:spacing w:val="-5"/>
        </w:rPr>
        <w:t> </w:t>
      </w:r>
      <w:r>
        <w:rPr/>
        <w:t>required</w:t>
      </w:r>
      <w:r>
        <w:rPr>
          <w:spacing w:val="-5"/>
        </w:rPr>
        <w:t> </w:t>
      </w:r>
      <w:r>
        <w:rPr/>
        <w:t>to</w:t>
      </w:r>
      <w:r>
        <w:rPr>
          <w:spacing w:val="-3"/>
        </w:rPr>
        <w:t> </w:t>
      </w:r>
      <w:r>
        <w:rPr/>
        <w:t>respond</w:t>
      </w:r>
      <w:r>
        <w:rPr>
          <w:spacing w:val="-5"/>
        </w:rPr>
        <w:t> </w:t>
      </w:r>
      <w:r>
        <w:rPr/>
        <w:t>to</w:t>
      </w:r>
      <w:r>
        <w:rPr>
          <w:spacing w:val="-3"/>
        </w:rPr>
        <w:t> </w:t>
      </w:r>
      <w:r>
        <w:rPr/>
        <w:t>test questions about project funding and budgets.</w:t>
      </w:r>
    </w:p>
    <w:p>
      <w:pPr>
        <w:pStyle w:val="BodyText"/>
        <w:spacing w:before="6"/>
      </w:pPr>
    </w:p>
    <w:p>
      <w:pPr>
        <w:pStyle w:val="ListParagraph"/>
        <w:numPr>
          <w:ilvl w:val="1"/>
          <w:numId w:val="31"/>
        </w:numPr>
        <w:tabs>
          <w:tab w:pos="2432" w:val="left" w:leader="none"/>
          <w:tab w:pos="2433" w:val="left" w:leader="none"/>
        </w:tabs>
        <w:spacing w:line="242" w:lineRule="auto" w:before="0" w:after="0"/>
        <w:ind w:left="2432" w:right="1178" w:hanging="929"/>
        <w:jc w:val="left"/>
        <w:rPr>
          <w:sz w:val="20"/>
        </w:rPr>
      </w:pPr>
      <w:r>
        <w:rPr>
          <w:sz w:val="20"/>
        </w:rPr>
        <w:t>Environmental</w:t>
      </w:r>
      <w:r>
        <w:rPr>
          <w:spacing w:val="-3"/>
          <w:sz w:val="20"/>
        </w:rPr>
        <w:t> </w:t>
      </w:r>
      <w:r>
        <w:rPr>
          <w:sz w:val="20"/>
        </w:rPr>
        <w:t>Systems:</w:t>
      </w:r>
      <w:r>
        <w:rPr>
          <w:spacing w:val="-2"/>
          <w:sz w:val="20"/>
        </w:rPr>
        <w:t> </w:t>
      </w:r>
      <w:r>
        <w:rPr>
          <w:i/>
          <w:sz w:val="20"/>
        </w:rPr>
        <w:t>Understanding</w:t>
      </w:r>
      <w:r>
        <w:rPr>
          <w:i/>
          <w:spacing w:val="-2"/>
          <w:sz w:val="20"/>
        </w:rPr>
        <w:t> </w:t>
      </w:r>
      <w:r>
        <w:rPr>
          <w:sz w:val="20"/>
        </w:rPr>
        <w:t>the</w:t>
      </w:r>
      <w:r>
        <w:rPr>
          <w:spacing w:val="-2"/>
          <w:sz w:val="20"/>
        </w:rPr>
        <w:t> </w:t>
      </w:r>
      <w:r>
        <w:rPr>
          <w:sz w:val="20"/>
        </w:rPr>
        <w:t>principles of environmental</w:t>
      </w:r>
      <w:r>
        <w:rPr>
          <w:spacing w:val="-3"/>
          <w:sz w:val="20"/>
        </w:rPr>
        <w:t> </w:t>
      </w:r>
      <w:r>
        <w:rPr>
          <w:sz w:val="20"/>
        </w:rPr>
        <w:t>systems’ design</w:t>
      </w:r>
      <w:r>
        <w:rPr>
          <w:spacing w:val="-5"/>
          <w:sz w:val="20"/>
        </w:rPr>
        <w:t> </w:t>
      </w:r>
      <w:r>
        <w:rPr>
          <w:sz w:val="20"/>
        </w:rPr>
        <w:t>such</w:t>
      </w:r>
      <w:r>
        <w:rPr>
          <w:spacing w:val="-5"/>
          <w:sz w:val="20"/>
        </w:rPr>
        <w:t> </w:t>
      </w:r>
      <w:r>
        <w:rPr>
          <w:sz w:val="20"/>
        </w:rPr>
        <w:t>as</w:t>
      </w:r>
      <w:r>
        <w:rPr>
          <w:spacing w:val="-4"/>
          <w:sz w:val="20"/>
        </w:rPr>
        <w:t> </w:t>
      </w:r>
      <w:r>
        <w:rPr>
          <w:sz w:val="20"/>
        </w:rPr>
        <w:t>embodied</w:t>
      </w:r>
      <w:r>
        <w:rPr>
          <w:spacing w:val="-3"/>
          <w:sz w:val="20"/>
        </w:rPr>
        <w:t> </w:t>
      </w:r>
      <w:r>
        <w:rPr>
          <w:sz w:val="20"/>
        </w:rPr>
        <w:t>energy,</w:t>
      </w:r>
      <w:r>
        <w:rPr>
          <w:spacing w:val="-3"/>
          <w:sz w:val="20"/>
        </w:rPr>
        <w:t> </w:t>
      </w:r>
      <w:r>
        <w:rPr>
          <w:sz w:val="20"/>
        </w:rPr>
        <w:t>active</w:t>
      </w:r>
      <w:r>
        <w:rPr>
          <w:spacing w:val="-3"/>
          <w:sz w:val="20"/>
        </w:rPr>
        <w:t> </w:t>
      </w:r>
      <w:r>
        <w:rPr>
          <w:sz w:val="20"/>
        </w:rPr>
        <w:t>and</w:t>
      </w:r>
      <w:r>
        <w:rPr>
          <w:spacing w:val="-5"/>
          <w:sz w:val="20"/>
        </w:rPr>
        <w:t> </w:t>
      </w:r>
      <w:r>
        <w:rPr>
          <w:sz w:val="20"/>
        </w:rPr>
        <w:t>passive</w:t>
      </w:r>
      <w:r>
        <w:rPr>
          <w:spacing w:val="-3"/>
          <w:sz w:val="20"/>
        </w:rPr>
        <w:t> </w:t>
      </w:r>
      <w:r>
        <w:rPr>
          <w:sz w:val="20"/>
        </w:rPr>
        <w:t>heating</w:t>
      </w:r>
      <w:r>
        <w:rPr>
          <w:spacing w:val="-3"/>
          <w:sz w:val="20"/>
        </w:rPr>
        <w:t> </w:t>
      </w:r>
      <w:r>
        <w:rPr>
          <w:sz w:val="20"/>
        </w:rPr>
        <w:t>and</w:t>
      </w:r>
      <w:r>
        <w:rPr>
          <w:spacing w:val="-5"/>
          <w:sz w:val="20"/>
        </w:rPr>
        <w:t> </w:t>
      </w:r>
      <w:r>
        <w:rPr>
          <w:sz w:val="20"/>
        </w:rPr>
        <w:t>cooling,</w:t>
      </w:r>
      <w:r>
        <w:rPr>
          <w:spacing w:val="-5"/>
          <w:sz w:val="20"/>
        </w:rPr>
        <w:t> </w:t>
      </w:r>
      <w:r>
        <w:rPr>
          <w:sz w:val="20"/>
        </w:rPr>
        <w:t>indoor air quality, solar orientation, daylighting and artificial illumination, and acoustics; including the use of appropriate performance assessment tools.</w:t>
      </w:r>
    </w:p>
    <w:p>
      <w:pPr>
        <w:pStyle w:val="BodyText"/>
        <w:spacing w:before="5"/>
      </w:pPr>
    </w:p>
    <w:p>
      <w:pPr>
        <w:pStyle w:val="BodyText"/>
        <w:tabs>
          <w:tab w:pos="3879" w:val="left" w:leader="none"/>
          <w:tab w:pos="7480" w:val="left" w:leader="none"/>
        </w:tabs>
        <w:ind w:left="2440" w:right="1455" w:hanging="1"/>
      </w:pPr>
      <w:r>
        <w:rPr/>
        <w:t>ARC 314-315</w:t>
        <w:tab/>
        <w:t>Environmental Systems 1 &amp; 2</w:t>
        <w:tab/>
        <w:t>Assignments</w:t>
      </w:r>
      <w:r>
        <w:rPr>
          <w:spacing w:val="-8"/>
        </w:rPr>
        <w:t> </w:t>
      </w:r>
      <w:r>
        <w:rPr/>
        <w:t>/</w:t>
      </w:r>
      <w:r>
        <w:rPr>
          <w:spacing w:val="-9"/>
        </w:rPr>
        <w:t> </w:t>
      </w:r>
      <w:r>
        <w:rPr/>
        <w:t>Tests ARC</w:t>
      </w:r>
      <w:r>
        <w:rPr>
          <w:spacing w:val="-11"/>
        </w:rPr>
        <w:t> </w:t>
      </w:r>
      <w:r>
        <w:rPr/>
        <w:t>405-</w:t>
      </w:r>
      <w:r>
        <w:rPr>
          <w:spacing w:val="-5"/>
        </w:rPr>
        <w:t>406</w:t>
      </w:r>
      <w:r>
        <w:rPr/>
        <w:tab/>
      </w:r>
      <w:r>
        <w:rPr>
          <w:spacing w:val="-56"/>
        </w:rPr>
        <w:t> </w:t>
      </w:r>
      <w:r>
        <w:rPr/>
        <w:t>Design</w:t>
      </w:r>
      <w:r>
        <w:rPr>
          <w:spacing w:val="-3"/>
        </w:rPr>
        <w:t> </w:t>
      </w:r>
      <w:r>
        <w:rPr/>
        <w:t>Studio</w:t>
      </w:r>
      <w:r>
        <w:rPr>
          <w:spacing w:val="-6"/>
        </w:rPr>
        <w:t> </w:t>
      </w:r>
      <w:r>
        <w:rPr/>
        <w:t>8</w:t>
      </w:r>
      <w:r>
        <w:rPr>
          <w:spacing w:val="-3"/>
        </w:rPr>
        <w:t> </w:t>
      </w:r>
      <w:r>
        <w:rPr/>
        <w:t>&amp;</w:t>
      </w:r>
      <w:r>
        <w:rPr>
          <w:spacing w:val="-3"/>
        </w:rPr>
        <w:t> </w:t>
      </w:r>
      <w:r>
        <w:rPr>
          <w:spacing w:val="-11"/>
        </w:rPr>
        <w:t>9</w:t>
      </w:r>
      <w:r>
        <w:rPr/>
        <w:tab/>
        <w:t>Project</w:t>
      </w:r>
      <w:r>
        <w:rPr>
          <w:spacing w:val="-9"/>
        </w:rPr>
        <w:t> </w:t>
      </w:r>
      <w:r>
        <w:rPr>
          <w:spacing w:val="-2"/>
        </w:rPr>
        <w:t>Assignments</w:t>
      </w:r>
    </w:p>
    <w:p>
      <w:pPr>
        <w:pStyle w:val="BodyText"/>
        <w:spacing w:before="9"/>
      </w:pPr>
    </w:p>
    <w:p>
      <w:pPr>
        <w:pStyle w:val="BodyText"/>
        <w:ind w:left="2440" w:right="1211"/>
      </w:pPr>
      <w:r>
        <w:rPr/>
        <w:t>Students</w:t>
      </w:r>
      <w:r>
        <w:rPr>
          <w:spacing w:val="-5"/>
        </w:rPr>
        <w:t> </w:t>
      </w:r>
      <w:r>
        <w:rPr/>
        <w:t>are</w:t>
      </w:r>
      <w:r>
        <w:rPr>
          <w:spacing w:val="-6"/>
        </w:rPr>
        <w:t> </w:t>
      </w:r>
      <w:r>
        <w:rPr/>
        <w:t>required</w:t>
      </w:r>
      <w:r>
        <w:rPr>
          <w:spacing w:val="-4"/>
        </w:rPr>
        <w:t> </w:t>
      </w:r>
      <w:r>
        <w:rPr/>
        <w:t>to</w:t>
      </w:r>
      <w:r>
        <w:rPr>
          <w:spacing w:val="-4"/>
        </w:rPr>
        <w:t> </w:t>
      </w:r>
      <w:r>
        <w:rPr/>
        <w:t>evaluate</w:t>
      </w:r>
      <w:r>
        <w:rPr>
          <w:spacing w:val="-6"/>
        </w:rPr>
        <w:t> </w:t>
      </w:r>
      <w:r>
        <w:rPr/>
        <w:t>multiple</w:t>
      </w:r>
      <w:r>
        <w:rPr>
          <w:spacing w:val="-4"/>
        </w:rPr>
        <w:t> </w:t>
      </w:r>
      <w:r>
        <w:rPr/>
        <w:t>active</w:t>
      </w:r>
      <w:r>
        <w:rPr>
          <w:spacing w:val="-4"/>
        </w:rPr>
        <w:t> </w:t>
      </w:r>
      <w:r>
        <w:rPr/>
        <w:t>and</w:t>
      </w:r>
      <w:r>
        <w:rPr>
          <w:spacing w:val="-4"/>
        </w:rPr>
        <w:t> </w:t>
      </w:r>
      <w:r>
        <w:rPr/>
        <w:t>passive</w:t>
      </w:r>
      <w:r>
        <w:rPr>
          <w:spacing w:val="-5"/>
        </w:rPr>
        <w:t> </w:t>
      </w:r>
      <w:r>
        <w:rPr/>
        <w:t>systems</w:t>
      </w:r>
      <w:r>
        <w:rPr>
          <w:spacing w:val="-5"/>
        </w:rPr>
        <w:t> </w:t>
      </w:r>
      <w:r>
        <w:rPr/>
        <w:t>and determine how those systems are incorporated into their project design.</w:t>
      </w:r>
    </w:p>
    <w:p>
      <w:pPr>
        <w:pStyle w:val="BodyText"/>
        <w:spacing w:before="8"/>
      </w:pPr>
    </w:p>
    <w:p>
      <w:pPr>
        <w:pStyle w:val="ListParagraph"/>
        <w:numPr>
          <w:ilvl w:val="1"/>
          <w:numId w:val="31"/>
        </w:numPr>
        <w:tabs>
          <w:tab w:pos="2432" w:val="left" w:leader="none"/>
          <w:tab w:pos="2434" w:val="left" w:leader="none"/>
        </w:tabs>
        <w:spacing w:line="242" w:lineRule="auto" w:before="0" w:after="0"/>
        <w:ind w:left="2433" w:right="1125" w:hanging="929"/>
        <w:jc w:val="left"/>
        <w:rPr>
          <w:sz w:val="20"/>
        </w:rPr>
      </w:pPr>
      <w:r>
        <w:rPr>
          <w:sz w:val="20"/>
        </w:rPr>
        <w:t>Structural</w:t>
      </w:r>
      <w:r>
        <w:rPr>
          <w:spacing w:val="-6"/>
          <w:sz w:val="20"/>
        </w:rPr>
        <w:t> </w:t>
      </w:r>
      <w:r>
        <w:rPr>
          <w:sz w:val="20"/>
        </w:rPr>
        <w:t>Systems:</w:t>
      </w:r>
      <w:r>
        <w:rPr>
          <w:spacing w:val="-5"/>
          <w:sz w:val="20"/>
        </w:rPr>
        <w:t> </w:t>
      </w:r>
      <w:r>
        <w:rPr>
          <w:i/>
          <w:sz w:val="20"/>
        </w:rPr>
        <w:t>Understanding</w:t>
      </w:r>
      <w:r>
        <w:rPr>
          <w:i/>
          <w:spacing w:val="-4"/>
          <w:sz w:val="20"/>
        </w:rPr>
        <w:t> </w:t>
      </w:r>
      <w:r>
        <w:rPr>
          <w:sz w:val="20"/>
        </w:rPr>
        <w:t>of</w:t>
      </w:r>
      <w:r>
        <w:rPr>
          <w:spacing w:val="-4"/>
          <w:sz w:val="20"/>
        </w:rPr>
        <w:t> </w:t>
      </w:r>
      <w:r>
        <w:rPr>
          <w:sz w:val="20"/>
        </w:rPr>
        <w:t>the</w:t>
      </w:r>
      <w:r>
        <w:rPr>
          <w:spacing w:val="-4"/>
          <w:sz w:val="20"/>
        </w:rPr>
        <w:t> </w:t>
      </w:r>
      <w:r>
        <w:rPr>
          <w:sz w:val="20"/>
        </w:rPr>
        <w:t>basic</w:t>
      </w:r>
      <w:r>
        <w:rPr>
          <w:spacing w:val="-4"/>
          <w:sz w:val="20"/>
        </w:rPr>
        <w:t> </w:t>
      </w:r>
      <w:r>
        <w:rPr>
          <w:sz w:val="20"/>
        </w:rPr>
        <w:t>principles</w:t>
      </w:r>
      <w:r>
        <w:rPr>
          <w:spacing w:val="-4"/>
          <w:sz w:val="20"/>
        </w:rPr>
        <w:t> </w:t>
      </w:r>
      <w:r>
        <w:rPr>
          <w:sz w:val="20"/>
        </w:rPr>
        <w:t>of</w:t>
      </w:r>
      <w:r>
        <w:rPr>
          <w:spacing w:val="-4"/>
          <w:sz w:val="20"/>
        </w:rPr>
        <w:t> </w:t>
      </w:r>
      <w:r>
        <w:rPr>
          <w:sz w:val="20"/>
        </w:rPr>
        <w:t>structural</w:t>
      </w:r>
      <w:r>
        <w:rPr>
          <w:spacing w:val="-6"/>
          <w:sz w:val="20"/>
        </w:rPr>
        <w:t> </w:t>
      </w:r>
      <w:r>
        <w:rPr>
          <w:sz w:val="20"/>
        </w:rPr>
        <w:t>behavior</w:t>
      </w:r>
      <w:r>
        <w:rPr>
          <w:spacing w:val="-4"/>
          <w:sz w:val="20"/>
        </w:rPr>
        <w:t> </w:t>
      </w:r>
      <w:r>
        <w:rPr>
          <w:sz w:val="20"/>
        </w:rPr>
        <w:t>in withstanding gravity and lateral forces and the evolution, range, and appropriate application of contemporary structural systems.</w:t>
      </w:r>
    </w:p>
    <w:p>
      <w:pPr>
        <w:pStyle w:val="BodyText"/>
        <w:spacing w:before="5"/>
      </w:pPr>
    </w:p>
    <w:p>
      <w:pPr>
        <w:pStyle w:val="BodyText"/>
        <w:tabs>
          <w:tab w:pos="3880" w:val="left" w:leader="none"/>
          <w:tab w:pos="7480" w:val="left" w:leader="none"/>
        </w:tabs>
        <w:ind w:left="2440"/>
      </w:pPr>
      <w:r>
        <w:rPr/>
        <w:t>ARC</w:t>
      </w:r>
      <w:r>
        <w:rPr>
          <w:spacing w:val="-7"/>
        </w:rPr>
        <w:t> </w:t>
      </w:r>
      <w:r>
        <w:rPr>
          <w:spacing w:val="-5"/>
        </w:rPr>
        <w:t>414</w:t>
      </w:r>
      <w:r>
        <w:rPr/>
        <w:tab/>
        <w:t>Structures</w:t>
      </w:r>
      <w:r>
        <w:rPr>
          <w:spacing w:val="-5"/>
        </w:rPr>
        <w:t> </w:t>
      </w:r>
      <w:r>
        <w:rPr/>
        <w:t>1,</w:t>
      </w:r>
      <w:r>
        <w:rPr>
          <w:spacing w:val="-4"/>
        </w:rPr>
        <w:t> </w:t>
      </w:r>
      <w:r>
        <w:rPr/>
        <w:t>2</w:t>
      </w:r>
      <w:r>
        <w:rPr>
          <w:spacing w:val="-4"/>
        </w:rPr>
        <w:t> </w:t>
      </w:r>
      <w:r>
        <w:rPr/>
        <w:t>&amp;</w:t>
      </w:r>
      <w:r>
        <w:rPr>
          <w:spacing w:val="-7"/>
        </w:rPr>
        <w:t> </w:t>
      </w:r>
      <w:r>
        <w:rPr>
          <w:spacing w:val="-10"/>
        </w:rPr>
        <w:t>3</w:t>
      </w:r>
      <w:r>
        <w:rPr/>
        <w:tab/>
        <w:t>Papers</w:t>
      </w:r>
      <w:r>
        <w:rPr>
          <w:spacing w:val="-4"/>
        </w:rPr>
        <w:t> </w:t>
      </w:r>
      <w:r>
        <w:rPr/>
        <w:t>/</w:t>
      </w:r>
      <w:r>
        <w:rPr>
          <w:spacing w:val="-5"/>
        </w:rPr>
        <w:t> </w:t>
      </w:r>
      <w:r>
        <w:rPr>
          <w:spacing w:val="-2"/>
        </w:rPr>
        <w:t>Tests</w:t>
      </w:r>
    </w:p>
    <w:p>
      <w:pPr>
        <w:pStyle w:val="BodyText"/>
        <w:tabs>
          <w:tab w:pos="3880" w:val="left" w:leader="none"/>
          <w:tab w:pos="7480" w:val="left" w:leader="none"/>
        </w:tabs>
        <w:ind w:left="2440"/>
      </w:pPr>
      <w:r>
        <w:rPr/>
        <w:t>ARC</w:t>
      </w:r>
      <w:r>
        <w:rPr>
          <w:spacing w:val="-11"/>
        </w:rPr>
        <w:t> </w:t>
      </w:r>
      <w:r>
        <w:rPr/>
        <w:t>405-</w:t>
      </w:r>
      <w:r>
        <w:rPr>
          <w:spacing w:val="-5"/>
        </w:rPr>
        <w:t>406</w:t>
      </w:r>
      <w:r>
        <w:rPr/>
        <w:tab/>
        <w:t>Design</w:t>
      </w:r>
      <w:r>
        <w:rPr>
          <w:spacing w:val="-4"/>
        </w:rPr>
        <w:t> </w:t>
      </w:r>
      <w:r>
        <w:rPr/>
        <w:t>Studio</w:t>
      </w:r>
      <w:r>
        <w:rPr>
          <w:spacing w:val="-5"/>
        </w:rPr>
        <w:t> </w:t>
      </w:r>
      <w:r>
        <w:rPr/>
        <w:t>8</w:t>
      </w:r>
      <w:r>
        <w:rPr>
          <w:spacing w:val="-3"/>
        </w:rPr>
        <w:t> </w:t>
      </w:r>
      <w:r>
        <w:rPr/>
        <w:t>&amp;</w:t>
      </w:r>
      <w:r>
        <w:rPr>
          <w:spacing w:val="-4"/>
        </w:rPr>
        <w:t> </w:t>
      </w:r>
      <w:r>
        <w:rPr>
          <w:spacing w:val="-10"/>
        </w:rPr>
        <w:t>9</w:t>
      </w:r>
      <w:r>
        <w:rPr/>
        <w:tab/>
        <w:t>Project</w:t>
      </w:r>
      <w:r>
        <w:rPr>
          <w:spacing w:val="-9"/>
        </w:rPr>
        <w:t> </w:t>
      </w:r>
      <w:r>
        <w:rPr>
          <w:spacing w:val="-2"/>
        </w:rPr>
        <w:t>Assignments</w:t>
      </w:r>
    </w:p>
    <w:p>
      <w:pPr>
        <w:pStyle w:val="BodyText"/>
        <w:spacing w:before="10"/>
      </w:pPr>
    </w:p>
    <w:p>
      <w:pPr>
        <w:pStyle w:val="BodyText"/>
        <w:spacing w:before="1"/>
        <w:ind w:left="2440" w:right="1211"/>
      </w:pPr>
      <w:r>
        <w:rPr/>
        <w:t>Students</w:t>
      </w:r>
      <w:r>
        <w:rPr>
          <w:spacing w:val="-4"/>
        </w:rPr>
        <w:t> </w:t>
      </w:r>
      <w:r>
        <w:rPr/>
        <w:t>are</w:t>
      </w:r>
      <w:r>
        <w:rPr>
          <w:spacing w:val="-5"/>
        </w:rPr>
        <w:t> </w:t>
      </w:r>
      <w:r>
        <w:rPr/>
        <w:t>required</w:t>
      </w:r>
      <w:r>
        <w:rPr>
          <w:spacing w:val="-3"/>
        </w:rPr>
        <w:t> </w:t>
      </w:r>
      <w:r>
        <w:rPr/>
        <w:t>to</w:t>
      </w:r>
      <w:r>
        <w:rPr>
          <w:spacing w:val="-3"/>
        </w:rPr>
        <w:t> </w:t>
      </w:r>
      <w:r>
        <w:rPr/>
        <w:t>develop</w:t>
      </w:r>
      <w:r>
        <w:rPr>
          <w:spacing w:val="-3"/>
        </w:rPr>
        <w:t> </w:t>
      </w:r>
      <w:r>
        <w:rPr/>
        <w:t>a</w:t>
      </w:r>
      <w:r>
        <w:rPr>
          <w:spacing w:val="-5"/>
        </w:rPr>
        <w:t> </w:t>
      </w:r>
      <w:r>
        <w:rPr/>
        <w:t>structural</w:t>
      </w:r>
      <w:r>
        <w:rPr>
          <w:spacing w:val="-6"/>
        </w:rPr>
        <w:t> </w:t>
      </w:r>
      <w:r>
        <w:rPr/>
        <w:t>plan,</w:t>
      </w:r>
      <w:r>
        <w:rPr>
          <w:spacing w:val="-3"/>
        </w:rPr>
        <w:t> </w:t>
      </w:r>
      <w:r>
        <w:rPr/>
        <w:t>including</w:t>
      </w:r>
      <w:r>
        <w:rPr>
          <w:spacing w:val="-5"/>
        </w:rPr>
        <w:t> </w:t>
      </w:r>
      <w:r>
        <w:rPr/>
        <w:t>the</w:t>
      </w:r>
      <w:r>
        <w:rPr>
          <w:spacing w:val="-5"/>
        </w:rPr>
        <w:t> </w:t>
      </w:r>
      <w:r>
        <w:rPr/>
        <w:t>selection</w:t>
      </w:r>
      <w:r>
        <w:rPr>
          <w:spacing w:val="-3"/>
        </w:rPr>
        <w:t> </w:t>
      </w:r>
      <w:r>
        <w:rPr/>
        <w:t>and justification of structural system, horizontal and vertical layout of systems.</w:t>
      </w:r>
    </w:p>
    <w:p>
      <w:pPr>
        <w:pStyle w:val="BodyText"/>
        <w:spacing w:before="8"/>
      </w:pPr>
    </w:p>
    <w:p>
      <w:pPr>
        <w:pStyle w:val="ListParagraph"/>
        <w:numPr>
          <w:ilvl w:val="1"/>
          <w:numId w:val="31"/>
        </w:numPr>
        <w:tabs>
          <w:tab w:pos="2434" w:val="left" w:leader="none"/>
        </w:tabs>
        <w:spacing w:line="240" w:lineRule="auto" w:before="0" w:after="0"/>
        <w:ind w:left="2433" w:right="1147" w:hanging="929"/>
        <w:jc w:val="both"/>
        <w:rPr>
          <w:sz w:val="20"/>
        </w:rPr>
      </w:pPr>
      <w:r>
        <w:rPr>
          <w:sz w:val="20"/>
        </w:rPr>
        <w:t>Building</w:t>
      </w:r>
      <w:r>
        <w:rPr>
          <w:spacing w:val="-3"/>
          <w:sz w:val="20"/>
        </w:rPr>
        <w:t> </w:t>
      </w:r>
      <w:r>
        <w:rPr>
          <w:sz w:val="20"/>
        </w:rPr>
        <w:t>Envelope</w:t>
      </w:r>
      <w:r>
        <w:rPr>
          <w:spacing w:val="-1"/>
          <w:sz w:val="20"/>
        </w:rPr>
        <w:t> </w:t>
      </w:r>
      <w:r>
        <w:rPr>
          <w:sz w:val="20"/>
        </w:rPr>
        <w:t>Systems:</w:t>
      </w:r>
      <w:r>
        <w:rPr>
          <w:spacing w:val="-3"/>
          <w:sz w:val="20"/>
        </w:rPr>
        <w:t> </w:t>
      </w:r>
      <w:r>
        <w:rPr>
          <w:i/>
          <w:sz w:val="20"/>
        </w:rPr>
        <w:t>Understanding </w:t>
      </w:r>
      <w:r>
        <w:rPr>
          <w:sz w:val="20"/>
        </w:rPr>
        <w:t>of</w:t>
      </w:r>
      <w:r>
        <w:rPr>
          <w:spacing w:val="-1"/>
          <w:sz w:val="20"/>
        </w:rPr>
        <w:t> </w:t>
      </w:r>
      <w:r>
        <w:rPr>
          <w:sz w:val="20"/>
        </w:rPr>
        <w:t>the</w:t>
      </w:r>
      <w:r>
        <w:rPr>
          <w:spacing w:val="-1"/>
          <w:sz w:val="20"/>
        </w:rPr>
        <w:t> </w:t>
      </w:r>
      <w:r>
        <w:rPr>
          <w:sz w:val="20"/>
        </w:rPr>
        <w:t>basic</w:t>
      </w:r>
      <w:r>
        <w:rPr>
          <w:spacing w:val="-2"/>
          <w:sz w:val="20"/>
        </w:rPr>
        <w:t> </w:t>
      </w:r>
      <w:r>
        <w:rPr>
          <w:sz w:val="20"/>
        </w:rPr>
        <w:t>principles involved</w:t>
      </w:r>
      <w:r>
        <w:rPr>
          <w:spacing w:val="-3"/>
          <w:sz w:val="20"/>
        </w:rPr>
        <w:t> </w:t>
      </w:r>
      <w:r>
        <w:rPr>
          <w:sz w:val="20"/>
        </w:rPr>
        <w:t>in</w:t>
      </w:r>
      <w:r>
        <w:rPr>
          <w:spacing w:val="-3"/>
          <w:sz w:val="20"/>
        </w:rPr>
        <w:t> </w:t>
      </w:r>
      <w:r>
        <w:rPr>
          <w:sz w:val="20"/>
        </w:rPr>
        <w:t>the appropriate application of building envelope systems and associated assemblies relative</w:t>
      </w:r>
      <w:r>
        <w:rPr>
          <w:spacing w:val="-6"/>
          <w:sz w:val="20"/>
        </w:rPr>
        <w:t> </w:t>
      </w:r>
      <w:r>
        <w:rPr>
          <w:sz w:val="20"/>
        </w:rPr>
        <w:t>to</w:t>
      </w:r>
      <w:r>
        <w:rPr>
          <w:spacing w:val="-6"/>
          <w:sz w:val="20"/>
        </w:rPr>
        <w:t> </w:t>
      </w:r>
      <w:r>
        <w:rPr>
          <w:sz w:val="20"/>
        </w:rPr>
        <w:t>fundamental</w:t>
      </w:r>
      <w:r>
        <w:rPr>
          <w:spacing w:val="-5"/>
          <w:sz w:val="20"/>
        </w:rPr>
        <w:t> </w:t>
      </w:r>
      <w:r>
        <w:rPr>
          <w:sz w:val="20"/>
        </w:rPr>
        <w:t>performance,</w:t>
      </w:r>
      <w:r>
        <w:rPr>
          <w:spacing w:val="-6"/>
          <w:sz w:val="20"/>
        </w:rPr>
        <w:t> </w:t>
      </w:r>
      <w:r>
        <w:rPr>
          <w:sz w:val="20"/>
        </w:rPr>
        <w:t>aesthetics,</w:t>
      </w:r>
      <w:r>
        <w:rPr>
          <w:spacing w:val="-6"/>
          <w:sz w:val="20"/>
        </w:rPr>
        <w:t> </w:t>
      </w:r>
      <w:r>
        <w:rPr>
          <w:sz w:val="20"/>
        </w:rPr>
        <w:t>moisture</w:t>
      </w:r>
      <w:r>
        <w:rPr>
          <w:spacing w:val="-6"/>
          <w:sz w:val="20"/>
        </w:rPr>
        <w:t> </w:t>
      </w:r>
      <w:r>
        <w:rPr>
          <w:sz w:val="20"/>
        </w:rPr>
        <w:t>transfer,</w:t>
      </w:r>
      <w:r>
        <w:rPr>
          <w:spacing w:val="-6"/>
          <w:sz w:val="20"/>
        </w:rPr>
        <w:t> </w:t>
      </w:r>
      <w:r>
        <w:rPr>
          <w:sz w:val="20"/>
        </w:rPr>
        <w:t>durability,</w:t>
      </w:r>
      <w:r>
        <w:rPr>
          <w:spacing w:val="-4"/>
          <w:sz w:val="20"/>
        </w:rPr>
        <w:t> </w:t>
      </w:r>
      <w:r>
        <w:rPr>
          <w:sz w:val="20"/>
        </w:rPr>
        <w:t>and energy and material resources.</w:t>
      </w:r>
    </w:p>
    <w:p>
      <w:pPr>
        <w:spacing w:after="0" w:line="240" w:lineRule="auto"/>
        <w:jc w:val="both"/>
        <w:rPr>
          <w:sz w:val="20"/>
        </w:rPr>
        <w:sectPr>
          <w:headerReference w:type="default" r:id="rId109"/>
          <w:footerReference w:type="default" r:id="rId110"/>
          <w:pgSz w:w="12240" w:h="15840"/>
          <w:pgMar w:header="0" w:footer="974" w:top="1360" w:bottom="1160" w:left="1160" w:right="320"/>
        </w:sectPr>
      </w:pPr>
    </w:p>
    <w:p>
      <w:pPr>
        <w:pStyle w:val="BodyText"/>
        <w:spacing w:before="1"/>
        <w:rPr>
          <w:sz w:val="2"/>
        </w:rPr>
      </w:pPr>
    </w:p>
    <w:tbl>
      <w:tblPr>
        <w:tblW w:w="0" w:type="auto"/>
        <w:jc w:val="left"/>
        <w:tblInd w:w="2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75"/>
        <w:gridCol w:w="2915"/>
        <w:gridCol w:w="2673"/>
      </w:tblGrid>
      <w:tr>
        <w:trPr>
          <w:trHeight w:val="226" w:hRule="atLeast"/>
        </w:trPr>
        <w:tc>
          <w:tcPr>
            <w:tcW w:w="1375" w:type="dxa"/>
          </w:tcPr>
          <w:p>
            <w:pPr>
              <w:pStyle w:val="TableParagraph"/>
              <w:spacing w:line="207" w:lineRule="exact"/>
              <w:ind w:left="50"/>
              <w:rPr>
                <w:sz w:val="20"/>
              </w:rPr>
            </w:pPr>
            <w:r>
              <w:rPr>
                <w:sz w:val="20"/>
              </w:rPr>
              <w:t>ARC</w:t>
            </w:r>
            <w:r>
              <w:rPr>
                <w:spacing w:val="-7"/>
                <w:sz w:val="20"/>
              </w:rPr>
              <w:t> </w:t>
            </w:r>
            <w:r>
              <w:rPr>
                <w:spacing w:val="-5"/>
                <w:sz w:val="20"/>
              </w:rPr>
              <w:t>310</w:t>
            </w:r>
          </w:p>
        </w:tc>
        <w:tc>
          <w:tcPr>
            <w:tcW w:w="2915" w:type="dxa"/>
          </w:tcPr>
          <w:p>
            <w:pPr>
              <w:pStyle w:val="TableParagraph"/>
              <w:spacing w:line="207" w:lineRule="exact"/>
              <w:ind w:left="115"/>
              <w:rPr>
                <w:sz w:val="20"/>
              </w:rPr>
            </w:pPr>
            <w:r>
              <w:rPr>
                <w:sz w:val="20"/>
              </w:rPr>
              <w:t>Building</w:t>
            </w:r>
            <w:r>
              <w:rPr>
                <w:spacing w:val="-6"/>
                <w:sz w:val="20"/>
              </w:rPr>
              <w:t> </w:t>
            </w:r>
            <w:r>
              <w:rPr>
                <w:sz w:val="20"/>
              </w:rPr>
              <w:t>Science</w:t>
            </w:r>
            <w:r>
              <w:rPr>
                <w:spacing w:val="-3"/>
                <w:sz w:val="20"/>
              </w:rPr>
              <w:t> </w:t>
            </w:r>
            <w:r>
              <w:rPr>
                <w:sz w:val="20"/>
              </w:rPr>
              <w:t>1</w:t>
            </w:r>
            <w:r>
              <w:rPr>
                <w:spacing w:val="-6"/>
                <w:sz w:val="20"/>
              </w:rPr>
              <w:t> </w:t>
            </w:r>
            <w:r>
              <w:rPr>
                <w:sz w:val="20"/>
              </w:rPr>
              <w:t>&amp;</w:t>
            </w:r>
            <w:r>
              <w:rPr>
                <w:spacing w:val="-3"/>
                <w:sz w:val="20"/>
              </w:rPr>
              <w:t> </w:t>
            </w:r>
            <w:r>
              <w:rPr>
                <w:spacing w:val="-10"/>
                <w:sz w:val="20"/>
              </w:rPr>
              <w:t>2</w:t>
            </w:r>
          </w:p>
        </w:tc>
        <w:tc>
          <w:tcPr>
            <w:tcW w:w="2673" w:type="dxa"/>
          </w:tcPr>
          <w:p>
            <w:pPr>
              <w:pStyle w:val="TableParagraph"/>
              <w:spacing w:line="207" w:lineRule="exact"/>
              <w:ind w:left="800"/>
              <w:rPr>
                <w:sz w:val="20"/>
              </w:rPr>
            </w:pPr>
            <w:r>
              <w:rPr>
                <w:spacing w:val="-2"/>
                <w:sz w:val="20"/>
              </w:rPr>
              <w:t>Papers</w:t>
            </w:r>
          </w:p>
        </w:tc>
      </w:tr>
      <w:tr>
        <w:trPr>
          <w:trHeight w:val="226" w:hRule="atLeast"/>
        </w:trPr>
        <w:tc>
          <w:tcPr>
            <w:tcW w:w="1375" w:type="dxa"/>
          </w:tcPr>
          <w:p>
            <w:pPr>
              <w:pStyle w:val="TableParagraph"/>
              <w:spacing w:line="207" w:lineRule="exact"/>
              <w:ind w:left="50"/>
              <w:rPr>
                <w:sz w:val="20"/>
              </w:rPr>
            </w:pPr>
            <w:r>
              <w:rPr>
                <w:sz w:val="20"/>
              </w:rPr>
              <w:t>ARC</w:t>
            </w:r>
            <w:r>
              <w:rPr>
                <w:spacing w:val="-11"/>
                <w:sz w:val="20"/>
              </w:rPr>
              <w:t> </w:t>
            </w:r>
            <w:r>
              <w:rPr>
                <w:sz w:val="20"/>
              </w:rPr>
              <w:t>405-</w:t>
            </w:r>
            <w:r>
              <w:rPr>
                <w:spacing w:val="-5"/>
                <w:sz w:val="20"/>
              </w:rPr>
              <w:t>406</w:t>
            </w:r>
          </w:p>
        </w:tc>
        <w:tc>
          <w:tcPr>
            <w:tcW w:w="2915" w:type="dxa"/>
          </w:tcPr>
          <w:p>
            <w:pPr>
              <w:pStyle w:val="TableParagraph"/>
              <w:spacing w:line="207" w:lineRule="exact"/>
              <w:ind w:left="115"/>
              <w:rPr>
                <w:sz w:val="20"/>
              </w:rPr>
            </w:pPr>
            <w:r>
              <w:rPr>
                <w:sz w:val="20"/>
              </w:rPr>
              <w:t>Design</w:t>
            </w:r>
            <w:r>
              <w:rPr>
                <w:spacing w:val="-4"/>
                <w:sz w:val="20"/>
              </w:rPr>
              <w:t> </w:t>
            </w:r>
            <w:r>
              <w:rPr>
                <w:sz w:val="20"/>
              </w:rPr>
              <w:t>Studio</w:t>
            </w:r>
            <w:r>
              <w:rPr>
                <w:spacing w:val="-5"/>
                <w:sz w:val="20"/>
              </w:rPr>
              <w:t> </w:t>
            </w:r>
            <w:r>
              <w:rPr>
                <w:sz w:val="20"/>
              </w:rPr>
              <w:t>8</w:t>
            </w:r>
            <w:r>
              <w:rPr>
                <w:spacing w:val="-3"/>
                <w:sz w:val="20"/>
              </w:rPr>
              <w:t> </w:t>
            </w:r>
            <w:r>
              <w:rPr>
                <w:sz w:val="20"/>
              </w:rPr>
              <w:t>&amp;</w:t>
            </w:r>
            <w:r>
              <w:rPr>
                <w:spacing w:val="-4"/>
                <w:sz w:val="20"/>
              </w:rPr>
              <w:t> </w:t>
            </w:r>
            <w:r>
              <w:rPr>
                <w:spacing w:val="-10"/>
                <w:sz w:val="20"/>
              </w:rPr>
              <w:t>9</w:t>
            </w:r>
          </w:p>
        </w:tc>
        <w:tc>
          <w:tcPr>
            <w:tcW w:w="2673" w:type="dxa"/>
          </w:tcPr>
          <w:p>
            <w:pPr>
              <w:pStyle w:val="TableParagraph"/>
              <w:spacing w:line="207" w:lineRule="exact"/>
              <w:ind w:left="800"/>
              <w:rPr>
                <w:sz w:val="20"/>
              </w:rPr>
            </w:pPr>
            <w:r>
              <w:rPr>
                <w:sz w:val="20"/>
              </w:rPr>
              <w:t>Project</w:t>
            </w:r>
            <w:r>
              <w:rPr>
                <w:spacing w:val="-9"/>
                <w:sz w:val="20"/>
              </w:rPr>
              <w:t> </w:t>
            </w:r>
            <w:r>
              <w:rPr>
                <w:spacing w:val="-2"/>
                <w:sz w:val="20"/>
              </w:rPr>
              <w:t>Assignments</w:t>
            </w:r>
          </w:p>
        </w:tc>
      </w:tr>
    </w:tbl>
    <w:p>
      <w:pPr>
        <w:pStyle w:val="BodyText"/>
        <w:spacing w:before="11"/>
        <w:rPr>
          <w:sz w:val="12"/>
        </w:rPr>
      </w:pPr>
    </w:p>
    <w:p>
      <w:pPr>
        <w:pStyle w:val="BodyText"/>
        <w:spacing w:before="93"/>
        <w:ind w:left="2440" w:right="1213"/>
        <w:jc w:val="both"/>
      </w:pPr>
      <w:r>
        <w:rPr/>
        <w:t>Students</w:t>
      </w:r>
      <w:r>
        <w:rPr>
          <w:spacing w:val="-4"/>
        </w:rPr>
        <w:t> </w:t>
      </w:r>
      <w:r>
        <w:rPr/>
        <w:t>are</w:t>
      </w:r>
      <w:r>
        <w:rPr>
          <w:spacing w:val="-5"/>
        </w:rPr>
        <w:t> </w:t>
      </w:r>
      <w:r>
        <w:rPr/>
        <w:t>required</w:t>
      </w:r>
      <w:r>
        <w:rPr>
          <w:spacing w:val="-3"/>
        </w:rPr>
        <w:t> </w:t>
      </w:r>
      <w:r>
        <w:rPr/>
        <w:t>to</w:t>
      </w:r>
      <w:r>
        <w:rPr>
          <w:spacing w:val="-5"/>
        </w:rPr>
        <w:t> </w:t>
      </w:r>
      <w:r>
        <w:rPr/>
        <w:t>take</w:t>
      </w:r>
      <w:r>
        <w:rPr>
          <w:spacing w:val="-5"/>
        </w:rPr>
        <w:t> </w:t>
      </w:r>
      <w:r>
        <w:rPr/>
        <w:t>exams</w:t>
      </w:r>
      <w:r>
        <w:rPr>
          <w:spacing w:val="-4"/>
        </w:rPr>
        <w:t> </w:t>
      </w:r>
      <w:r>
        <w:rPr/>
        <w:t>to</w:t>
      </w:r>
      <w:r>
        <w:rPr>
          <w:spacing w:val="-5"/>
        </w:rPr>
        <w:t> </w:t>
      </w:r>
      <w:r>
        <w:rPr/>
        <w:t>demonstrate</w:t>
      </w:r>
      <w:r>
        <w:rPr>
          <w:spacing w:val="-5"/>
        </w:rPr>
        <w:t> </w:t>
      </w:r>
      <w:r>
        <w:rPr/>
        <w:t>understanding</w:t>
      </w:r>
      <w:r>
        <w:rPr>
          <w:spacing w:val="-5"/>
        </w:rPr>
        <w:t> </w:t>
      </w:r>
      <w:r>
        <w:rPr/>
        <w:t>and</w:t>
      </w:r>
      <w:r>
        <w:rPr>
          <w:spacing w:val="-3"/>
        </w:rPr>
        <w:t> </w:t>
      </w:r>
      <w:r>
        <w:rPr/>
        <w:t>produce Lab</w:t>
      </w:r>
      <w:r>
        <w:rPr>
          <w:spacing w:val="-3"/>
        </w:rPr>
        <w:t> </w:t>
      </w:r>
      <w:r>
        <w:rPr/>
        <w:t>assignments</w:t>
      </w:r>
      <w:r>
        <w:rPr>
          <w:spacing w:val="-4"/>
        </w:rPr>
        <w:t> </w:t>
      </w:r>
      <w:r>
        <w:rPr/>
        <w:t>are</w:t>
      </w:r>
      <w:r>
        <w:rPr>
          <w:spacing w:val="-4"/>
        </w:rPr>
        <w:t> </w:t>
      </w:r>
      <w:r>
        <w:rPr/>
        <w:t>used</w:t>
      </w:r>
      <w:r>
        <w:rPr>
          <w:spacing w:val="-3"/>
        </w:rPr>
        <w:t> </w:t>
      </w:r>
      <w:r>
        <w:rPr/>
        <w:t>to</w:t>
      </w:r>
      <w:r>
        <w:rPr>
          <w:spacing w:val="-4"/>
        </w:rPr>
        <w:t> </w:t>
      </w:r>
      <w:r>
        <w:rPr/>
        <w:t>practice</w:t>
      </w:r>
      <w:r>
        <w:rPr>
          <w:spacing w:val="-3"/>
        </w:rPr>
        <w:t> </w:t>
      </w:r>
      <w:r>
        <w:rPr/>
        <w:t>methods.</w:t>
      </w:r>
      <w:r>
        <w:rPr>
          <w:spacing w:val="40"/>
        </w:rPr>
        <w:t> </w:t>
      </w:r>
      <w:r>
        <w:rPr/>
        <w:t>Studio</w:t>
      </w:r>
      <w:r>
        <w:rPr>
          <w:spacing w:val="-4"/>
        </w:rPr>
        <w:t> </w:t>
      </w:r>
      <w:r>
        <w:rPr/>
        <w:t>Projects</w:t>
      </w:r>
      <w:r>
        <w:rPr>
          <w:spacing w:val="-4"/>
        </w:rPr>
        <w:t> </w:t>
      </w:r>
      <w:r>
        <w:rPr/>
        <w:t>reveal</w:t>
      </w:r>
      <w:r>
        <w:rPr>
          <w:spacing w:val="-5"/>
        </w:rPr>
        <w:t> </w:t>
      </w:r>
      <w:r>
        <w:rPr/>
        <w:t>technical proficiency when applied to unique building designs</w:t>
      </w:r>
    </w:p>
    <w:p>
      <w:pPr>
        <w:pStyle w:val="BodyText"/>
        <w:spacing w:before="8"/>
      </w:pPr>
    </w:p>
    <w:p>
      <w:pPr>
        <w:pStyle w:val="BodyText"/>
        <w:spacing w:before="1"/>
        <w:ind w:left="2440" w:right="1211"/>
      </w:pPr>
      <w:r>
        <w:rPr/>
        <w:t>In</w:t>
      </w:r>
      <w:r>
        <w:rPr>
          <w:spacing w:val="-5"/>
        </w:rPr>
        <w:t> </w:t>
      </w:r>
      <w:r>
        <w:rPr/>
        <w:t>the</w:t>
      </w:r>
      <w:r>
        <w:rPr>
          <w:spacing w:val="-5"/>
        </w:rPr>
        <w:t> </w:t>
      </w:r>
      <w:r>
        <w:rPr/>
        <w:t>fourth</w:t>
      </w:r>
      <w:r>
        <w:rPr>
          <w:spacing w:val="-1"/>
        </w:rPr>
        <w:t> </w:t>
      </w:r>
      <w:r>
        <w:rPr/>
        <w:t>year,</w:t>
      </w:r>
      <w:r>
        <w:rPr>
          <w:spacing w:val="-5"/>
        </w:rPr>
        <w:t> </w:t>
      </w:r>
      <w:r>
        <w:rPr/>
        <w:t>student</w:t>
      </w:r>
      <w:r>
        <w:rPr>
          <w:spacing w:val="-5"/>
        </w:rPr>
        <w:t> </w:t>
      </w:r>
      <w:r>
        <w:rPr/>
        <w:t>develop</w:t>
      </w:r>
      <w:r>
        <w:rPr>
          <w:spacing w:val="-5"/>
        </w:rPr>
        <w:t> </w:t>
      </w:r>
      <w:r>
        <w:rPr/>
        <w:t>enlarged</w:t>
      </w:r>
      <w:r>
        <w:rPr>
          <w:spacing w:val="-3"/>
        </w:rPr>
        <w:t> </w:t>
      </w:r>
      <w:r>
        <w:rPr/>
        <w:t>wall</w:t>
      </w:r>
      <w:r>
        <w:rPr>
          <w:spacing w:val="-6"/>
        </w:rPr>
        <w:t> </w:t>
      </w:r>
      <w:r>
        <w:rPr/>
        <w:t>sections</w:t>
      </w:r>
      <w:r>
        <w:rPr>
          <w:spacing w:val="-4"/>
        </w:rPr>
        <w:t> </w:t>
      </w:r>
      <w:r>
        <w:rPr/>
        <w:t>describing</w:t>
      </w:r>
      <w:r>
        <w:rPr>
          <w:spacing w:val="-5"/>
        </w:rPr>
        <w:t> </w:t>
      </w:r>
      <w:r>
        <w:rPr/>
        <w:t>the</w:t>
      </w:r>
      <w:r>
        <w:rPr>
          <w:spacing w:val="-3"/>
        </w:rPr>
        <w:t> </w:t>
      </w:r>
      <w:r>
        <w:rPr/>
        <w:t>wall systems used in their building design.</w:t>
      </w:r>
    </w:p>
    <w:p>
      <w:pPr>
        <w:pStyle w:val="BodyText"/>
        <w:spacing w:before="8"/>
      </w:pPr>
    </w:p>
    <w:p>
      <w:pPr>
        <w:pStyle w:val="ListParagraph"/>
        <w:numPr>
          <w:ilvl w:val="1"/>
          <w:numId w:val="31"/>
        </w:numPr>
        <w:tabs>
          <w:tab w:pos="2433" w:val="left" w:leader="none"/>
          <w:tab w:pos="2434" w:val="left" w:leader="none"/>
        </w:tabs>
        <w:spacing w:line="240" w:lineRule="auto" w:before="0" w:after="0"/>
        <w:ind w:left="2433" w:right="1221" w:hanging="929"/>
        <w:jc w:val="left"/>
        <w:rPr>
          <w:sz w:val="20"/>
        </w:rPr>
      </w:pPr>
      <w:r>
        <w:rPr>
          <w:sz w:val="20"/>
        </w:rPr>
        <w:t>Building</w:t>
      </w:r>
      <w:r>
        <w:rPr>
          <w:spacing w:val="-6"/>
          <w:sz w:val="20"/>
        </w:rPr>
        <w:t> </w:t>
      </w:r>
      <w:r>
        <w:rPr>
          <w:sz w:val="20"/>
        </w:rPr>
        <w:t>Service</w:t>
      </w:r>
      <w:r>
        <w:rPr>
          <w:spacing w:val="-6"/>
          <w:sz w:val="20"/>
        </w:rPr>
        <w:t> </w:t>
      </w:r>
      <w:r>
        <w:rPr>
          <w:sz w:val="20"/>
        </w:rPr>
        <w:t>Systems:</w:t>
      </w:r>
      <w:r>
        <w:rPr>
          <w:spacing w:val="-6"/>
          <w:sz w:val="20"/>
        </w:rPr>
        <w:t> </w:t>
      </w:r>
      <w:r>
        <w:rPr>
          <w:i/>
          <w:sz w:val="20"/>
        </w:rPr>
        <w:t>Understanding</w:t>
      </w:r>
      <w:r>
        <w:rPr>
          <w:i/>
          <w:spacing w:val="-4"/>
          <w:sz w:val="20"/>
        </w:rPr>
        <w:t> </w:t>
      </w:r>
      <w:r>
        <w:rPr>
          <w:sz w:val="20"/>
        </w:rPr>
        <w:t>of</w:t>
      </w:r>
      <w:r>
        <w:rPr>
          <w:spacing w:val="-4"/>
          <w:sz w:val="20"/>
        </w:rPr>
        <w:t> </w:t>
      </w:r>
      <w:r>
        <w:rPr>
          <w:sz w:val="20"/>
        </w:rPr>
        <w:t>the</w:t>
      </w:r>
      <w:r>
        <w:rPr>
          <w:spacing w:val="-6"/>
          <w:sz w:val="20"/>
        </w:rPr>
        <w:t> </w:t>
      </w:r>
      <w:r>
        <w:rPr>
          <w:sz w:val="20"/>
        </w:rPr>
        <w:t>basic</w:t>
      </w:r>
      <w:r>
        <w:rPr>
          <w:spacing w:val="-3"/>
          <w:sz w:val="20"/>
        </w:rPr>
        <w:t> </w:t>
      </w:r>
      <w:r>
        <w:rPr>
          <w:sz w:val="20"/>
        </w:rPr>
        <w:t>principles</w:t>
      </w:r>
      <w:r>
        <w:rPr>
          <w:spacing w:val="-3"/>
          <w:sz w:val="20"/>
        </w:rPr>
        <w:t> </w:t>
      </w:r>
      <w:r>
        <w:rPr>
          <w:sz w:val="20"/>
        </w:rPr>
        <w:t>and</w:t>
      </w:r>
      <w:r>
        <w:rPr>
          <w:spacing w:val="-4"/>
          <w:sz w:val="20"/>
        </w:rPr>
        <w:t> </w:t>
      </w:r>
      <w:r>
        <w:rPr>
          <w:sz w:val="20"/>
        </w:rPr>
        <w:t>appropriate application and performance of building service systems such as plumbing, electrical, vertical transportation, security, and fire protection systems.</w:t>
      </w:r>
    </w:p>
    <w:p>
      <w:pPr>
        <w:pStyle w:val="BodyText"/>
        <w:rPr>
          <w:sz w:val="21"/>
        </w:rPr>
      </w:pPr>
    </w:p>
    <w:p>
      <w:pPr>
        <w:pStyle w:val="BodyText"/>
        <w:tabs>
          <w:tab w:pos="3880" w:val="left" w:leader="none"/>
          <w:tab w:pos="7480" w:val="left" w:leader="none"/>
        </w:tabs>
        <w:ind w:left="2440" w:right="1454" w:hanging="1"/>
      </w:pPr>
      <w:r>
        <w:rPr/>
        <w:t>ARC 314-315</w:t>
        <w:tab/>
        <w:t>Environmental Systems 1 &amp; 2</w:t>
        <w:tab/>
        <w:t>Assignments</w:t>
      </w:r>
      <w:r>
        <w:rPr>
          <w:spacing w:val="-7"/>
        </w:rPr>
        <w:t> </w:t>
      </w:r>
      <w:r>
        <w:rPr/>
        <w:t>/</w:t>
      </w:r>
      <w:r>
        <w:rPr>
          <w:spacing w:val="-8"/>
        </w:rPr>
        <w:t> </w:t>
      </w:r>
      <w:r>
        <w:rPr/>
        <w:t>Tests ARC</w:t>
      </w:r>
      <w:r>
        <w:rPr>
          <w:spacing w:val="-11"/>
        </w:rPr>
        <w:t> </w:t>
      </w:r>
      <w:r>
        <w:rPr/>
        <w:t>405-</w:t>
      </w:r>
      <w:r>
        <w:rPr>
          <w:spacing w:val="-5"/>
        </w:rPr>
        <w:t>406</w:t>
      </w:r>
      <w:r>
        <w:rPr/>
        <w:tab/>
        <w:t>Design</w:t>
      </w:r>
      <w:r>
        <w:rPr>
          <w:spacing w:val="-4"/>
        </w:rPr>
        <w:t> </w:t>
      </w:r>
      <w:r>
        <w:rPr/>
        <w:t>Studio</w:t>
      </w:r>
      <w:r>
        <w:rPr>
          <w:spacing w:val="-5"/>
        </w:rPr>
        <w:t> </w:t>
      </w:r>
      <w:r>
        <w:rPr/>
        <w:t>8</w:t>
      </w:r>
      <w:r>
        <w:rPr>
          <w:spacing w:val="-3"/>
        </w:rPr>
        <w:t> </w:t>
      </w:r>
      <w:r>
        <w:rPr/>
        <w:t>&amp;</w:t>
      </w:r>
      <w:r>
        <w:rPr>
          <w:spacing w:val="-4"/>
        </w:rPr>
        <w:t> </w:t>
      </w:r>
      <w:r>
        <w:rPr>
          <w:spacing w:val="-10"/>
        </w:rPr>
        <w:t>9</w:t>
      </w:r>
      <w:r>
        <w:rPr/>
        <w:tab/>
        <w:t>Project</w:t>
      </w:r>
      <w:r>
        <w:rPr>
          <w:spacing w:val="-9"/>
        </w:rPr>
        <w:t> </w:t>
      </w:r>
      <w:r>
        <w:rPr>
          <w:spacing w:val="-2"/>
        </w:rPr>
        <w:t>Assignments</w:t>
      </w:r>
    </w:p>
    <w:p>
      <w:pPr>
        <w:pStyle w:val="BodyText"/>
        <w:spacing w:before="11"/>
      </w:pPr>
    </w:p>
    <w:p>
      <w:pPr>
        <w:pStyle w:val="BodyText"/>
        <w:ind w:left="2440" w:right="1211"/>
      </w:pPr>
      <w:r>
        <w:rPr/>
        <w:t>Through</w:t>
      </w:r>
      <w:r>
        <w:rPr>
          <w:spacing w:val="-7"/>
        </w:rPr>
        <w:t> </w:t>
      </w:r>
      <w:r>
        <w:rPr/>
        <w:t>project</w:t>
      </w:r>
      <w:r>
        <w:rPr>
          <w:spacing w:val="-7"/>
        </w:rPr>
        <w:t> </w:t>
      </w:r>
      <w:r>
        <w:rPr/>
        <w:t>assignments,</w:t>
      </w:r>
      <w:r>
        <w:rPr>
          <w:spacing w:val="-7"/>
        </w:rPr>
        <w:t> </w:t>
      </w:r>
      <w:r>
        <w:rPr/>
        <w:t>examinations</w:t>
      </w:r>
      <w:r>
        <w:rPr>
          <w:spacing w:val="-6"/>
        </w:rPr>
        <w:t> </w:t>
      </w:r>
      <w:r>
        <w:rPr/>
        <w:t>and</w:t>
      </w:r>
      <w:r>
        <w:rPr>
          <w:spacing w:val="-5"/>
        </w:rPr>
        <w:t> </w:t>
      </w:r>
      <w:r>
        <w:rPr/>
        <w:t>research</w:t>
      </w:r>
      <w:r>
        <w:rPr>
          <w:spacing w:val="-7"/>
        </w:rPr>
        <w:t> </w:t>
      </w:r>
      <w:r>
        <w:rPr/>
        <w:t>projects,</w:t>
      </w:r>
      <w:r>
        <w:rPr>
          <w:spacing w:val="-7"/>
        </w:rPr>
        <w:t> </w:t>
      </w:r>
      <w:r>
        <w:rPr/>
        <w:t>students demonstrate an understanding of the principals of heating, cooling, lighting, power and other building systems.</w:t>
      </w:r>
    </w:p>
    <w:p>
      <w:pPr>
        <w:pStyle w:val="BodyText"/>
        <w:spacing w:before="9"/>
      </w:pPr>
    </w:p>
    <w:p>
      <w:pPr>
        <w:pStyle w:val="BodyText"/>
        <w:ind w:left="2440" w:right="1211"/>
      </w:pPr>
      <w:r>
        <w:rPr/>
        <w:t>In</w:t>
      </w:r>
      <w:r>
        <w:rPr>
          <w:spacing w:val="-4"/>
        </w:rPr>
        <w:t> </w:t>
      </w:r>
      <w:r>
        <w:rPr/>
        <w:t>the</w:t>
      </w:r>
      <w:r>
        <w:rPr>
          <w:spacing w:val="-4"/>
        </w:rPr>
        <w:t> </w:t>
      </w:r>
      <w:r>
        <w:rPr/>
        <w:t>fourth</w:t>
      </w:r>
      <w:r>
        <w:rPr>
          <w:spacing w:val="-1"/>
        </w:rPr>
        <w:t> </w:t>
      </w:r>
      <w:r>
        <w:rPr/>
        <w:t>year,</w:t>
      </w:r>
      <w:r>
        <w:rPr>
          <w:spacing w:val="-4"/>
        </w:rPr>
        <w:t> </w:t>
      </w:r>
      <w:r>
        <w:rPr/>
        <w:t>student</w:t>
      </w:r>
      <w:r>
        <w:rPr>
          <w:spacing w:val="-4"/>
        </w:rPr>
        <w:t> </w:t>
      </w:r>
      <w:r>
        <w:rPr/>
        <w:t>present</w:t>
      </w:r>
      <w:r>
        <w:rPr>
          <w:spacing w:val="-4"/>
        </w:rPr>
        <w:t> </w:t>
      </w:r>
      <w:r>
        <w:rPr/>
        <w:t>a</w:t>
      </w:r>
      <w:r>
        <w:rPr>
          <w:spacing w:val="-3"/>
        </w:rPr>
        <w:t> </w:t>
      </w:r>
      <w:r>
        <w:rPr/>
        <w:t>design</w:t>
      </w:r>
      <w:r>
        <w:rPr>
          <w:spacing w:val="-4"/>
        </w:rPr>
        <w:t> </w:t>
      </w:r>
      <w:r>
        <w:rPr/>
        <w:t>for</w:t>
      </w:r>
      <w:r>
        <w:rPr>
          <w:spacing w:val="-3"/>
        </w:rPr>
        <w:t> </w:t>
      </w:r>
      <w:r>
        <w:rPr/>
        <w:t>incorporating</w:t>
      </w:r>
      <w:r>
        <w:rPr>
          <w:spacing w:val="-4"/>
        </w:rPr>
        <w:t> </w:t>
      </w:r>
      <w:r>
        <w:rPr/>
        <w:t>building</w:t>
      </w:r>
      <w:r>
        <w:rPr>
          <w:spacing w:val="-4"/>
        </w:rPr>
        <w:t> </w:t>
      </w:r>
      <w:r>
        <w:rPr/>
        <w:t>systems into their building design.</w:t>
      </w:r>
    </w:p>
    <w:p>
      <w:pPr>
        <w:pStyle w:val="BodyText"/>
        <w:spacing w:before="8"/>
      </w:pPr>
    </w:p>
    <w:p>
      <w:pPr>
        <w:pStyle w:val="ListParagraph"/>
        <w:numPr>
          <w:ilvl w:val="1"/>
          <w:numId w:val="31"/>
        </w:numPr>
        <w:tabs>
          <w:tab w:pos="2433" w:val="left" w:leader="none"/>
          <w:tab w:pos="2434" w:val="left" w:leader="none"/>
        </w:tabs>
        <w:spacing w:line="242" w:lineRule="auto" w:before="0" w:after="0"/>
        <w:ind w:left="2433" w:right="1179" w:hanging="929"/>
        <w:jc w:val="left"/>
        <w:rPr>
          <w:sz w:val="20"/>
        </w:rPr>
      </w:pPr>
      <w:r>
        <w:rPr>
          <w:sz w:val="20"/>
        </w:rPr>
        <w:t>Building</w:t>
      </w:r>
      <w:r>
        <w:rPr>
          <w:spacing w:val="-2"/>
          <w:sz w:val="20"/>
        </w:rPr>
        <w:t> </w:t>
      </w:r>
      <w:r>
        <w:rPr>
          <w:sz w:val="20"/>
        </w:rPr>
        <w:t>Materials</w:t>
      </w:r>
      <w:r>
        <w:rPr>
          <w:spacing w:val="-1"/>
          <w:sz w:val="20"/>
        </w:rPr>
        <w:t> </w:t>
      </w:r>
      <w:r>
        <w:rPr>
          <w:sz w:val="20"/>
        </w:rPr>
        <w:t>and Assemblies:</w:t>
      </w:r>
      <w:r>
        <w:rPr>
          <w:spacing w:val="-2"/>
          <w:sz w:val="20"/>
        </w:rPr>
        <w:t> </w:t>
      </w:r>
      <w:r>
        <w:rPr>
          <w:i/>
          <w:sz w:val="20"/>
        </w:rPr>
        <w:t>Understanding</w:t>
      </w:r>
      <w:r>
        <w:rPr>
          <w:i/>
          <w:spacing w:val="-1"/>
          <w:sz w:val="20"/>
        </w:rPr>
        <w:t> </w:t>
      </w:r>
      <w:r>
        <w:rPr>
          <w:sz w:val="20"/>
        </w:rPr>
        <w:t>of the</w:t>
      </w:r>
      <w:r>
        <w:rPr>
          <w:spacing w:val="-2"/>
          <w:sz w:val="20"/>
        </w:rPr>
        <w:t> </w:t>
      </w:r>
      <w:r>
        <w:rPr>
          <w:sz w:val="20"/>
        </w:rPr>
        <w:t>basic</w:t>
      </w:r>
      <w:r>
        <w:rPr>
          <w:spacing w:val="-1"/>
          <w:sz w:val="20"/>
        </w:rPr>
        <w:t> </w:t>
      </w:r>
      <w:r>
        <w:rPr>
          <w:sz w:val="20"/>
        </w:rPr>
        <w:t>principles</w:t>
      </w:r>
      <w:r>
        <w:rPr>
          <w:spacing w:val="-1"/>
          <w:sz w:val="20"/>
        </w:rPr>
        <w:t> </w:t>
      </w:r>
      <w:r>
        <w:rPr>
          <w:sz w:val="20"/>
        </w:rPr>
        <w:t>utilized in</w:t>
      </w:r>
      <w:r>
        <w:rPr>
          <w:spacing w:val="-5"/>
          <w:sz w:val="20"/>
        </w:rPr>
        <w:t> </w:t>
      </w:r>
      <w:r>
        <w:rPr>
          <w:sz w:val="20"/>
        </w:rPr>
        <w:t>the</w:t>
      </w:r>
      <w:r>
        <w:rPr>
          <w:spacing w:val="-5"/>
          <w:sz w:val="20"/>
        </w:rPr>
        <w:t> </w:t>
      </w:r>
      <w:r>
        <w:rPr>
          <w:sz w:val="20"/>
        </w:rPr>
        <w:t>appropriate</w:t>
      </w:r>
      <w:r>
        <w:rPr>
          <w:spacing w:val="-5"/>
          <w:sz w:val="20"/>
        </w:rPr>
        <w:t> </w:t>
      </w:r>
      <w:r>
        <w:rPr>
          <w:sz w:val="20"/>
        </w:rPr>
        <w:t>selection</w:t>
      </w:r>
      <w:r>
        <w:rPr>
          <w:spacing w:val="-4"/>
          <w:sz w:val="20"/>
        </w:rPr>
        <w:t> </w:t>
      </w:r>
      <w:r>
        <w:rPr>
          <w:sz w:val="20"/>
        </w:rPr>
        <w:t>of</w:t>
      </w:r>
      <w:r>
        <w:rPr>
          <w:spacing w:val="-4"/>
          <w:sz w:val="20"/>
        </w:rPr>
        <w:t> </w:t>
      </w:r>
      <w:r>
        <w:rPr>
          <w:sz w:val="20"/>
        </w:rPr>
        <w:t>construction</w:t>
      </w:r>
      <w:r>
        <w:rPr>
          <w:spacing w:val="-5"/>
          <w:sz w:val="20"/>
        </w:rPr>
        <w:t> </w:t>
      </w:r>
      <w:r>
        <w:rPr>
          <w:sz w:val="20"/>
        </w:rPr>
        <w:t>materials,</w:t>
      </w:r>
      <w:r>
        <w:rPr>
          <w:spacing w:val="-5"/>
          <w:sz w:val="20"/>
        </w:rPr>
        <w:t> </w:t>
      </w:r>
      <w:r>
        <w:rPr>
          <w:sz w:val="20"/>
        </w:rPr>
        <w:t>products,</w:t>
      </w:r>
      <w:r>
        <w:rPr>
          <w:spacing w:val="-5"/>
          <w:sz w:val="20"/>
        </w:rPr>
        <w:t> </w:t>
      </w:r>
      <w:r>
        <w:rPr>
          <w:sz w:val="20"/>
        </w:rPr>
        <w:t>components,</w:t>
      </w:r>
      <w:r>
        <w:rPr>
          <w:spacing w:val="-5"/>
          <w:sz w:val="20"/>
        </w:rPr>
        <w:t> </w:t>
      </w:r>
      <w:r>
        <w:rPr>
          <w:sz w:val="20"/>
        </w:rPr>
        <w:t>and assemblies, based on their inherent characteristics and performance, including their environmental impact and reuse.</w:t>
      </w:r>
    </w:p>
    <w:p>
      <w:pPr>
        <w:pStyle w:val="BodyText"/>
        <w:spacing w:before="3"/>
      </w:pPr>
    </w:p>
    <w:p>
      <w:pPr>
        <w:pStyle w:val="BodyText"/>
        <w:tabs>
          <w:tab w:pos="3880" w:val="left" w:leader="none"/>
          <w:tab w:pos="7480" w:val="left" w:leader="none"/>
        </w:tabs>
        <w:ind w:left="2440"/>
      </w:pPr>
      <w:r>
        <w:rPr/>
        <w:t>ARC</w:t>
      </w:r>
      <w:r>
        <w:rPr>
          <w:spacing w:val="-11"/>
        </w:rPr>
        <w:t> </w:t>
      </w:r>
      <w:r>
        <w:rPr/>
        <w:t>213-</w:t>
      </w:r>
      <w:r>
        <w:rPr>
          <w:spacing w:val="-5"/>
        </w:rPr>
        <w:t>304</w:t>
      </w:r>
      <w:r>
        <w:rPr/>
        <w:tab/>
        <w:t>Building</w:t>
      </w:r>
      <w:r>
        <w:rPr>
          <w:spacing w:val="-6"/>
        </w:rPr>
        <w:t> </w:t>
      </w:r>
      <w:r>
        <w:rPr/>
        <w:t>Science</w:t>
      </w:r>
      <w:r>
        <w:rPr>
          <w:spacing w:val="-3"/>
        </w:rPr>
        <w:t> </w:t>
      </w:r>
      <w:r>
        <w:rPr/>
        <w:t>1</w:t>
      </w:r>
      <w:r>
        <w:rPr>
          <w:spacing w:val="-6"/>
        </w:rPr>
        <w:t> </w:t>
      </w:r>
      <w:r>
        <w:rPr/>
        <w:t>&amp;</w:t>
      </w:r>
      <w:r>
        <w:rPr>
          <w:spacing w:val="-3"/>
        </w:rPr>
        <w:t> </w:t>
      </w:r>
      <w:r>
        <w:rPr>
          <w:spacing w:val="-10"/>
        </w:rPr>
        <w:t>2</w:t>
      </w:r>
      <w:r>
        <w:rPr/>
        <w:tab/>
      </w:r>
      <w:r>
        <w:rPr>
          <w:spacing w:val="-2"/>
        </w:rPr>
        <w:t>Papers</w:t>
      </w:r>
    </w:p>
    <w:p>
      <w:pPr>
        <w:pStyle w:val="BodyText"/>
        <w:tabs>
          <w:tab w:pos="3880" w:val="left" w:leader="none"/>
          <w:tab w:pos="7481" w:val="left" w:leader="none"/>
        </w:tabs>
        <w:ind w:left="2440"/>
      </w:pPr>
      <w:r>
        <w:rPr/>
        <w:t>ARC</w:t>
      </w:r>
      <w:r>
        <w:rPr>
          <w:spacing w:val="-11"/>
        </w:rPr>
        <w:t> </w:t>
      </w:r>
      <w:r>
        <w:rPr/>
        <w:t>405-</w:t>
      </w:r>
      <w:r>
        <w:rPr>
          <w:spacing w:val="-5"/>
        </w:rPr>
        <w:t>406</w:t>
      </w:r>
      <w:r>
        <w:rPr/>
        <w:tab/>
        <w:t>Design</w:t>
      </w:r>
      <w:r>
        <w:rPr>
          <w:spacing w:val="-4"/>
        </w:rPr>
        <w:t> </w:t>
      </w:r>
      <w:r>
        <w:rPr/>
        <w:t>Studio</w:t>
      </w:r>
      <w:r>
        <w:rPr>
          <w:spacing w:val="-5"/>
        </w:rPr>
        <w:t> </w:t>
      </w:r>
      <w:r>
        <w:rPr/>
        <w:t>8</w:t>
      </w:r>
      <w:r>
        <w:rPr>
          <w:spacing w:val="-3"/>
        </w:rPr>
        <w:t> </w:t>
      </w:r>
      <w:r>
        <w:rPr/>
        <w:t>&amp;</w:t>
      </w:r>
      <w:r>
        <w:rPr>
          <w:spacing w:val="-4"/>
        </w:rPr>
        <w:t> </w:t>
      </w:r>
      <w:r>
        <w:rPr>
          <w:spacing w:val="-10"/>
        </w:rPr>
        <w:t>9</w:t>
      </w:r>
      <w:r>
        <w:rPr/>
        <w:tab/>
        <w:t>Project</w:t>
      </w:r>
      <w:r>
        <w:rPr>
          <w:spacing w:val="-9"/>
        </w:rPr>
        <w:t> </w:t>
      </w:r>
      <w:r>
        <w:rPr>
          <w:spacing w:val="-2"/>
        </w:rPr>
        <w:t>Assignments</w:t>
      </w:r>
    </w:p>
    <w:p>
      <w:pPr>
        <w:pStyle w:val="BodyText"/>
        <w:spacing w:before="8"/>
      </w:pPr>
    </w:p>
    <w:p>
      <w:pPr>
        <w:pStyle w:val="BodyText"/>
        <w:ind w:left="2441" w:right="1151"/>
      </w:pPr>
      <w:r>
        <w:rPr/>
        <w:t>In ARC 213-314 students are tested on material from </w:t>
      </w:r>
      <w:r>
        <w:rPr>
          <w:i/>
        </w:rPr>
        <w:t>Fundamentals of Building Construction, </w:t>
      </w:r>
      <w:r>
        <w:rPr/>
        <w:t>by Paul Allen. They are also required to attend monthly Hard Hat Tours</w:t>
      </w:r>
      <w:r>
        <w:rPr>
          <w:spacing w:val="-1"/>
        </w:rPr>
        <w:t> </w:t>
      </w:r>
      <w:r>
        <w:rPr/>
        <w:t>of buildings</w:t>
      </w:r>
      <w:r>
        <w:rPr>
          <w:spacing w:val="-1"/>
        </w:rPr>
        <w:t> </w:t>
      </w:r>
      <w:r>
        <w:rPr/>
        <w:t>under</w:t>
      </w:r>
      <w:r>
        <w:rPr>
          <w:spacing w:val="-1"/>
        </w:rPr>
        <w:t> </w:t>
      </w:r>
      <w:r>
        <w:rPr/>
        <w:t>construction, conducted by</w:t>
      </w:r>
      <w:r>
        <w:rPr>
          <w:spacing w:val="-3"/>
        </w:rPr>
        <w:t> </w:t>
      </w:r>
      <w:r>
        <w:rPr/>
        <w:t>the</w:t>
      </w:r>
      <w:r>
        <w:rPr>
          <w:spacing w:val="-2"/>
        </w:rPr>
        <w:t> </w:t>
      </w:r>
      <w:r>
        <w:rPr/>
        <w:t>local</w:t>
      </w:r>
      <w:r>
        <w:rPr>
          <w:spacing w:val="-3"/>
        </w:rPr>
        <w:t> </w:t>
      </w:r>
      <w:r>
        <w:rPr/>
        <w:t>chapter of the</w:t>
      </w:r>
      <w:r>
        <w:rPr>
          <w:spacing w:val="-2"/>
        </w:rPr>
        <w:t> </w:t>
      </w:r>
      <w:r>
        <w:rPr/>
        <w:t>AIA, and</w:t>
      </w:r>
      <w:r>
        <w:rPr>
          <w:spacing w:val="-4"/>
        </w:rPr>
        <w:t> </w:t>
      </w:r>
      <w:r>
        <w:rPr/>
        <w:t>to</w:t>
      </w:r>
      <w:r>
        <w:rPr>
          <w:spacing w:val="-4"/>
        </w:rPr>
        <w:t> </w:t>
      </w:r>
      <w:r>
        <w:rPr/>
        <w:t>generate</w:t>
      </w:r>
      <w:r>
        <w:rPr>
          <w:spacing w:val="-4"/>
        </w:rPr>
        <w:t> </w:t>
      </w:r>
      <w:r>
        <w:rPr/>
        <w:t>framing</w:t>
      </w:r>
      <w:r>
        <w:rPr>
          <w:spacing w:val="-4"/>
        </w:rPr>
        <w:t> </w:t>
      </w:r>
      <w:r>
        <w:rPr/>
        <w:t>plans</w:t>
      </w:r>
      <w:r>
        <w:rPr>
          <w:spacing w:val="-3"/>
        </w:rPr>
        <w:t> </w:t>
      </w:r>
      <w:r>
        <w:rPr/>
        <w:t>and</w:t>
      </w:r>
      <w:r>
        <w:rPr>
          <w:spacing w:val="-4"/>
        </w:rPr>
        <w:t> </w:t>
      </w:r>
      <w:r>
        <w:rPr/>
        <w:t>construct</w:t>
      </w:r>
      <w:r>
        <w:rPr>
          <w:spacing w:val="-4"/>
        </w:rPr>
        <w:t> </w:t>
      </w:r>
      <w:r>
        <w:rPr/>
        <w:t>½</w:t>
      </w:r>
      <w:r>
        <w:rPr>
          <w:spacing w:val="-2"/>
        </w:rPr>
        <w:t> </w:t>
      </w:r>
      <w:r>
        <w:rPr/>
        <w:t>inch</w:t>
      </w:r>
      <w:r>
        <w:rPr>
          <w:spacing w:val="-4"/>
        </w:rPr>
        <w:t> </w:t>
      </w:r>
      <w:r>
        <w:rPr/>
        <w:t>scale</w:t>
      </w:r>
      <w:r>
        <w:rPr>
          <w:spacing w:val="-4"/>
        </w:rPr>
        <w:t> </w:t>
      </w:r>
      <w:r>
        <w:rPr/>
        <w:t>framing</w:t>
      </w:r>
      <w:r>
        <w:rPr>
          <w:spacing w:val="-4"/>
        </w:rPr>
        <w:t> </w:t>
      </w:r>
      <w:r>
        <w:rPr/>
        <w:t>models</w:t>
      </w:r>
      <w:r>
        <w:rPr>
          <w:spacing w:val="-3"/>
        </w:rPr>
        <w:t> </w:t>
      </w:r>
      <w:r>
        <w:rPr/>
        <w:t>of</w:t>
      </w:r>
      <w:r>
        <w:rPr>
          <w:spacing w:val="-2"/>
        </w:rPr>
        <w:t> </w:t>
      </w:r>
      <w:r>
        <w:rPr/>
        <w:t>Key West cottages.</w:t>
      </w:r>
    </w:p>
    <w:p>
      <w:pPr>
        <w:pStyle w:val="BodyText"/>
        <w:spacing w:before="1"/>
        <w:rPr>
          <w:sz w:val="21"/>
        </w:rPr>
      </w:pPr>
    </w:p>
    <w:p>
      <w:pPr>
        <w:pStyle w:val="BodyText"/>
        <w:ind w:left="2441" w:right="1213"/>
        <w:jc w:val="both"/>
      </w:pPr>
      <w:r>
        <w:rPr/>
        <w:t>Students</w:t>
      </w:r>
      <w:r>
        <w:rPr>
          <w:spacing w:val="-4"/>
        </w:rPr>
        <w:t> </w:t>
      </w:r>
      <w:r>
        <w:rPr/>
        <w:t>are</w:t>
      </w:r>
      <w:r>
        <w:rPr>
          <w:spacing w:val="-5"/>
        </w:rPr>
        <w:t> </w:t>
      </w:r>
      <w:r>
        <w:rPr/>
        <w:t>required</w:t>
      </w:r>
      <w:r>
        <w:rPr>
          <w:spacing w:val="-3"/>
        </w:rPr>
        <w:t> </w:t>
      </w:r>
      <w:r>
        <w:rPr/>
        <w:t>to</w:t>
      </w:r>
      <w:r>
        <w:rPr>
          <w:spacing w:val="-5"/>
        </w:rPr>
        <w:t> </w:t>
      </w:r>
      <w:r>
        <w:rPr/>
        <w:t>take</w:t>
      </w:r>
      <w:r>
        <w:rPr>
          <w:spacing w:val="-5"/>
        </w:rPr>
        <w:t> </w:t>
      </w:r>
      <w:r>
        <w:rPr/>
        <w:t>exams</w:t>
      </w:r>
      <w:r>
        <w:rPr>
          <w:spacing w:val="-4"/>
        </w:rPr>
        <w:t> </w:t>
      </w:r>
      <w:r>
        <w:rPr/>
        <w:t>to</w:t>
      </w:r>
      <w:r>
        <w:rPr>
          <w:spacing w:val="-5"/>
        </w:rPr>
        <w:t> </w:t>
      </w:r>
      <w:r>
        <w:rPr/>
        <w:t>demonstrate</w:t>
      </w:r>
      <w:r>
        <w:rPr>
          <w:spacing w:val="-5"/>
        </w:rPr>
        <w:t> </w:t>
      </w:r>
      <w:r>
        <w:rPr/>
        <w:t>understanding</w:t>
      </w:r>
      <w:r>
        <w:rPr>
          <w:spacing w:val="-5"/>
        </w:rPr>
        <w:t> </w:t>
      </w:r>
      <w:r>
        <w:rPr/>
        <w:t>and</w:t>
      </w:r>
      <w:r>
        <w:rPr>
          <w:spacing w:val="-3"/>
        </w:rPr>
        <w:t> </w:t>
      </w:r>
      <w:r>
        <w:rPr/>
        <w:t>produce Lab</w:t>
      </w:r>
      <w:r>
        <w:rPr>
          <w:spacing w:val="-3"/>
        </w:rPr>
        <w:t> </w:t>
      </w:r>
      <w:r>
        <w:rPr/>
        <w:t>assignments</w:t>
      </w:r>
      <w:r>
        <w:rPr>
          <w:spacing w:val="-4"/>
        </w:rPr>
        <w:t> </w:t>
      </w:r>
      <w:r>
        <w:rPr/>
        <w:t>are</w:t>
      </w:r>
      <w:r>
        <w:rPr>
          <w:spacing w:val="-5"/>
        </w:rPr>
        <w:t> </w:t>
      </w:r>
      <w:r>
        <w:rPr/>
        <w:t>used</w:t>
      </w:r>
      <w:r>
        <w:rPr>
          <w:spacing w:val="-3"/>
        </w:rPr>
        <w:t> </w:t>
      </w:r>
      <w:r>
        <w:rPr/>
        <w:t>to</w:t>
      </w:r>
      <w:r>
        <w:rPr>
          <w:spacing w:val="-5"/>
        </w:rPr>
        <w:t> </w:t>
      </w:r>
      <w:r>
        <w:rPr/>
        <w:t>practice</w:t>
      </w:r>
      <w:r>
        <w:rPr>
          <w:spacing w:val="-3"/>
        </w:rPr>
        <w:t> </w:t>
      </w:r>
      <w:r>
        <w:rPr/>
        <w:t>methods.</w:t>
      </w:r>
      <w:r>
        <w:rPr>
          <w:spacing w:val="40"/>
        </w:rPr>
        <w:t> </w:t>
      </w:r>
      <w:r>
        <w:rPr/>
        <w:t>Studio</w:t>
      </w:r>
      <w:r>
        <w:rPr>
          <w:spacing w:val="-5"/>
        </w:rPr>
        <w:t> </w:t>
      </w:r>
      <w:r>
        <w:rPr/>
        <w:t>Projects</w:t>
      </w:r>
      <w:r>
        <w:rPr>
          <w:spacing w:val="-4"/>
        </w:rPr>
        <w:t> </w:t>
      </w:r>
      <w:r>
        <w:rPr/>
        <w:t>reveal</w:t>
      </w:r>
      <w:r>
        <w:rPr>
          <w:spacing w:val="-6"/>
        </w:rPr>
        <w:t> </w:t>
      </w:r>
      <w:r>
        <w:rPr/>
        <w:t>technical proficiency when applied to unique building designs.</w:t>
      </w:r>
    </w:p>
    <w:p>
      <w:pPr>
        <w:pStyle w:val="BodyText"/>
        <w:rPr>
          <w:sz w:val="21"/>
        </w:rPr>
      </w:pPr>
    </w:p>
    <w:p>
      <w:pPr>
        <w:pStyle w:val="BodyText"/>
        <w:ind w:left="2441" w:right="1211"/>
      </w:pPr>
      <w:r>
        <w:rPr/>
        <w:t>In</w:t>
      </w:r>
      <w:r>
        <w:rPr>
          <w:spacing w:val="-5"/>
        </w:rPr>
        <w:t> </w:t>
      </w:r>
      <w:r>
        <w:rPr/>
        <w:t>the</w:t>
      </w:r>
      <w:r>
        <w:rPr>
          <w:spacing w:val="-5"/>
        </w:rPr>
        <w:t> </w:t>
      </w:r>
      <w:r>
        <w:rPr/>
        <w:t>fourth</w:t>
      </w:r>
      <w:r>
        <w:rPr>
          <w:spacing w:val="-2"/>
        </w:rPr>
        <w:t> </w:t>
      </w:r>
      <w:r>
        <w:rPr/>
        <w:t>year,</w:t>
      </w:r>
      <w:r>
        <w:rPr>
          <w:spacing w:val="-5"/>
        </w:rPr>
        <w:t> </w:t>
      </w:r>
      <w:r>
        <w:rPr/>
        <w:t>student</w:t>
      </w:r>
      <w:r>
        <w:rPr>
          <w:spacing w:val="-4"/>
        </w:rPr>
        <w:t> </w:t>
      </w:r>
      <w:r>
        <w:rPr/>
        <w:t>work</w:t>
      </w:r>
      <w:r>
        <w:rPr>
          <w:spacing w:val="-4"/>
        </w:rPr>
        <w:t> </w:t>
      </w:r>
      <w:r>
        <w:rPr/>
        <w:t>must</w:t>
      </w:r>
      <w:r>
        <w:rPr>
          <w:spacing w:val="-5"/>
        </w:rPr>
        <w:t> </w:t>
      </w:r>
      <w:r>
        <w:rPr/>
        <w:t>demonstrate</w:t>
      </w:r>
      <w:r>
        <w:rPr>
          <w:spacing w:val="-5"/>
        </w:rPr>
        <w:t> </w:t>
      </w:r>
      <w:r>
        <w:rPr/>
        <w:t>an</w:t>
      </w:r>
      <w:r>
        <w:rPr>
          <w:spacing w:val="-4"/>
        </w:rPr>
        <w:t> </w:t>
      </w:r>
      <w:r>
        <w:rPr/>
        <w:t>understanding</w:t>
      </w:r>
      <w:r>
        <w:rPr>
          <w:spacing w:val="-4"/>
        </w:rPr>
        <w:t> </w:t>
      </w:r>
      <w:r>
        <w:rPr/>
        <w:t>of</w:t>
      </w:r>
      <w:r>
        <w:rPr>
          <w:spacing w:val="-4"/>
        </w:rPr>
        <w:t> </w:t>
      </w:r>
      <w:r>
        <w:rPr/>
        <w:t>building materials that are used in their building designs</w:t>
      </w:r>
    </w:p>
    <w:p>
      <w:pPr>
        <w:pStyle w:val="BodyText"/>
        <w:spacing w:before="6"/>
      </w:pPr>
    </w:p>
    <w:p>
      <w:pPr>
        <w:numPr>
          <w:ilvl w:val="2"/>
          <w:numId w:val="36"/>
        </w:numPr>
        <w:tabs>
          <w:tab w:pos="1506" w:val="left" w:leader="none"/>
        </w:tabs>
        <w:spacing w:before="0"/>
        <w:ind w:left="1505" w:right="0" w:hanging="505"/>
        <w:jc w:val="left"/>
        <w:rPr>
          <w:b/>
          <w:sz w:val="20"/>
        </w:rPr>
      </w:pPr>
      <w:bookmarkStart w:name="_TOC_250000" w:id="65"/>
      <w:r>
        <w:rPr>
          <w:b/>
          <w:sz w:val="20"/>
        </w:rPr>
        <w:t>Realm</w:t>
      </w:r>
      <w:r>
        <w:rPr>
          <w:b/>
          <w:spacing w:val="-7"/>
          <w:sz w:val="20"/>
        </w:rPr>
        <w:t> </w:t>
      </w:r>
      <w:r>
        <w:rPr>
          <w:b/>
          <w:sz w:val="20"/>
        </w:rPr>
        <w:t>C:</w:t>
      </w:r>
      <w:r>
        <w:rPr>
          <w:b/>
          <w:spacing w:val="-7"/>
          <w:sz w:val="20"/>
        </w:rPr>
        <w:t> </w:t>
      </w:r>
      <w:r>
        <w:rPr>
          <w:b/>
          <w:sz w:val="20"/>
        </w:rPr>
        <w:t>Leadership</w:t>
      </w:r>
      <w:r>
        <w:rPr>
          <w:b/>
          <w:spacing w:val="-4"/>
          <w:sz w:val="20"/>
        </w:rPr>
        <w:t> </w:t>
      </w:r>
      <w:r>
        <w:rPr>
          <w:b/>
          <w:sz w:val="20"/>
        </w:rPr>
        <w:t>and</w:t>
      </w:r>
      <w:r>
        <w:rPr>
          <w:b/>
          <w:spacing w:val="-7"/>
          <w:sz w:val="20"/>
        </w:rPr>
        <w:t> </w:t>
      </w:r>
      <w:bookmarkEnd w:id="65"/>
      <w:r>
        <w:rPr>
          <w:b/>
          <w:spacing w:val="-2"/>
          <w:sz w:val="20"/>
        </w:rPr>
        <w:t>Practice:</w:t>
      </w:r>
    </w:p>
    <w:p>
      <w:pPr>
        <w:pStyle w:val="BodyText"/>
        <w:spacing w:before="10"/>
        <w:rPr>
          <w:b/>
        </w:rPr>
      </w:pPr>
    </w:p>
    <w:p>
      <w:pPr>
        <w:pStyle w:val="ListParagraph"/>
        <w:numPr>
          <w:ilvl w:val="1"/>
          <w:numId w:val="37"/>
        </w:numPr>
        <w:tabs>
          <w:tab w:pos="2433" w:val="left" w:leader="none"/>
          <w:tab w:pos="2434" w:val="left" w:leader="none"/>
        </w:tabs>
        <w:spacing w:line="242" w:lineRule="auto" w:before="0" w:after="0"/>
        <w:ind w:left="2433" w:right="1308" w:hanging="929"/>
        <w:jc w:val="left"/>
        <w:rPr>
          <w:sz w:val="20"/>
        </w:rPr>
      </w:pPr>
      <w:r>
        <w:rPr>
          <w:sz w:val="20"/>
        </w:rPr>
        <w:t>Collaboration:</w:t>
      </w:r>
      <w:r>
        <w:rPr>
          <w:spacing w:val="-3"/>
          <w:sz w:val="20"/>
        </w:rPr>
        <w:t> </w:t>
      </w:r>
      <w:r>
        <w:rPr>
          <w:i/>
          <w:sz w:val="20"/>
        </w:rPr>
        <w:t>Ability</w:t>
      </w:r>
      <w:r>
        <w:rPr>
          <w:i/>
          <w:spacing w:val="-5"/>
          <w:sz w:val="20"/>
        </w:rPr>
        <w:t> </w:t>
      </w:r>
      <w:r>
        <w:rPr>
          <w:sz w:val="20"/>
        </w:rPr>
        <w:t>to</w:t>
      </w:r>
      <w:r>
        <w:rPr>
          <w:spacing w:val="-1"/>
          <w:sz w:val="20"/>
        </w:rPr>
        <w:t> </w:t>
      </w:r>
      <w:r>
        <w:rPr>
          <w:sz w:val="20"/>
        </w:rPr>
        <w:t>work</w:t>
      </w:r>
      <w:r>
        <w:rPr>
          <w:spacing w:val="-2"/>
          <w:sz w:val="20"/>
        </w:rPr>
        <w:t> </w:t>
      </w:r>
      <w:r>
        <w:rPr>
          <w:sz w:val="20"/>
        </w:rPr>
        <w:t>in</w:t>
      </w:r>
      <w:r>
        <w:rPr>
          <w:spacing w:val="-6"/>
          <w:sz w:val="20"/>
        </w:rPr>
        <w:t> </w:t>
      </w:r>
      <w:r>
        <w:rPr>
          <w:sz w:val="20"/>
        </w:rPr>
        <w:t>collaboration</w:t>
      </w:r>
      <w:r>
        <w:rPr>
          <w:spacing w:val="-1"/>
          <w:sz w:val="20"/>
        </w:rPr>
        <w:t> </w:t>
      </w:r>
      <w:r>
        <w:rPr>
          <w:sz w:val="20"/>
        </w:rPr>
        <w:t>with</w:t>
      </w:r>
      <w:r>
        <w:rPr>
          <w:spacing w:val="-6"/>
          <w:sz w:val="20"/>
        </w:rPr>
        <w:t> </w:t>
      </w:r>
      <w:r>
        <w:rPr>
          <w:sz w:val="20"/>
        </w:rPr>
        <w:t>others</w:t>
      </w:r>
      <w:r>
        <w:rPr>
          <w:spacing w:val="-5"/>
          <w:sz w:val="20"/>
        </w:rPr>
        <w:t> </w:t>
      </w:r>
      <w:r>
        <w:rPr>
          <w:sz w:val="20"/>
        </w:rPr>
        <w:t>and</w:t>
      </w:r>
      <w:r>
        <w:rPr>
          <w:spacing w:val="-4"/>
          <w:sz w:val="20"/>
        </w:rPr>
        <w:t> </w:t>
      </w:r>
      <w:r>
        <w:rPr>
          <w:sz w:val="20"/>
        </w:rPr>
        <w:t>in</w:t>
      </w:r>
      <w:r>
        <w:rPr>
          <w:spacing w:val="-6"/>
          <w:sz w:val="20"/>
        </w:rPr>
        <w:t> </w:t>
      </w:r>
      <w:r>
        <w:rPr>
          <w:sz w:val="20"/>
        </w:rPr>
        <w:t>multidisciplinary teams to successfully complete design projects.</w:t>
      </w:r>
    </w:p>
    <w:p>
      <w:pPr>
        <w:pStyle w:val="BodyText"/>
        <w:spacing w:before="9"/>
      </w:pPr>
    </w:p>
    <w:p>
      <w:pPr>
        <w:pStyle w:val="BodyText"/>
        <w:tabs>
          <w:tab w:pos="3880" w:val="left" w:leader="none"/>
          <w:tab w:pos="7480" w:val="left" w:leader="none"/>
        </w:tabs>
        <w:ind w:left="2440" w:right="1453"/>
        <w:jc w:val="both"/>
      </w:pPr>
      <w:r>
        <w:rPr/>
        <w:t>ARC 303-304</w:t>
      </w:r>
      <w:r>
        <w:rPr>
          <w:spacing w:val="80"/>
        </w:rPr>
        <w:t> </w:t>
      </w:r>
      <w:r>
        <w:rPr/>
        <w:t>Design Studio 5 and 6</w:t>
        <w:tab/>
        <w:t>Project</w:t>
      </w:r>
      <w:r>
        <w:rPr>
          <w:spacing w:val="-14"/>
        </w:rPr>
        <w:t> </w:t>
      </w:r>
      <w:r>
        <w:rPr/>
        <w:t>Assignments ARC 306</w:t>
        <w:tab/>
        <w:t>International</w:t>
      </w:r>
      <w:r>
        <w:rPr>
          <w:spacing w:val="-5"/>
        </w:rPr>
        <w:t> </w:t>
      </w:r>
      <w:r>
        <w:rPr/>
        <w:t>Urban</w:t>
      </w:r>
      <w:r>
        <w:rPr>
          <w:spacing w:val="-4"/>
        </w:rPr>
        <w:t> </w:t>
      </w:r>
      <w:r>
        <w:rPr/>
        <w:t>Design Studio</w:t>
      </w:r>
      <w:r>
        <w:rPr>
          <w:spacing w:val="-2"/>
        </w:rPr>
        <w:t> </w:t>
      </w:r>
      <w:r>
        <w:rPr/>
        <w:t>7</w:t>
      </w:r>
      <w:r>
        <w:rPr>
          <w:spacing w:val="80"/>
          <w:w w:val="150"/>
        </w:rPr>
        <w:t> </w:t>
      </w:r>
      <w:r>
        <w:rPr/>
        <w:t>Project</w:t>
      </w:r>
      <w:r>
        <w:rPr>
          <w:spacing w:val="-4"/>
        </w:rPr>
        <w:t> </w:t>
      </w:r>
      <w:r>
        <w:rPr/>
        <w:t>Assignments ARC</w:t>
      </w:r>
      <w:r>
        <w:rPr>
          <w:spacing w:val="-5"/>
        </w:rPr>
        <w:t> </w:t>
      </w:r>
      <w:r>
        <w:rPr/>
        <w:t>405-406</w:t>
      </w:r>
      <w:r>
        <w:rPr>
          <w:spacing w:val="52"/>
        </w:rPr>
        <w:t>  </w:t>
      </w:r>
      <w:r>
        <w:rPr/>
        <w:t>Design</w:t>
      </w:r>
      <w:r>
        <w:rPr>
          <w:spacing w:val="-2"/>
        </w:rPr>
        <w:t> </w:t>
      </w:r>
      <w:r>
        <w:rPr/>
        <w:t>Studio</w:t>
      </w:r>
      <w:r>
        <w:rPr>
          <w:spacing w:val="-4"/>
        </w:rPr>
        <w:t> </w:t>
      </w:r>
      <w:r>
        <w:rPr/>
        <w:t>8</w:t>
      </w:r>
      <w:r>
        <w:rPr>
          <w:spacing w:val="-3"/>
        </w:rPr>
        <w:t> </w:t>
      </w:r>
      <w:r>
        <w:rPr/>
        <w:t>and</w:t>
      </w:r>
      <w:r>
        <w:rPr>
          <w:spacing w:val="-4"/>
        </w:rPr>
        <w:t> </w:t>
      </w:r>
      <w:r>
        <w:rPr>
          <w:spacing w:val="-10"/>
        </w:rPr>
        <w:t>9</w:t>
      </w:r>
      <w:r>
        <w:rPr/>
        <w:tab/>
      </w:r>
      <w:r>
        <w:rPr>
          <w:spacing w:val="-56"/>
        </w:rPr>
        <w:t> </w:t>
      </w:r>
      <w:r>
        <w:rPr/>
        <w:t>Project</w:t>
      </w:r>
      <w:r>
        <w:rPr>
          <w:spacing w:val="-8"/>
        </w:rPr>
        <w:t> </w:t>
      </w:r>
      <w:r>
        <w:rPr>
          <w:spacing w:val="-2"/>
        </w:rPr>
        <w:t>Assignments</w:t>
      </w:r>
    </w:p>
    <w:p>
      <w:pPr>
        <w:spacing w:after="0"/>
        <w:jc w:val="both"/>
        <w:sectPr>
          <w:headerReference w:type="default" r:id="rId111"/>
          <w:footerReference w:type="default" r:id="rId112"/>
          <w:pgSz w:w="12240" w:h="15840"/>
          <w:pgMar w:header="0" w:footer="974" w:top="1420" w:bottom="1160" w:left="1160" w:right="320"/>
        </w:sectPr>
      </w:pPr>
    </w:p>
    <w:p>
      <w:pPr>
        <w:pStyle w:val="BodyText"/>
        <w:spacing w:before="77"/>
        <w:ind w:left="2440" w:right="1211"/>
      </w:pPr>
      <w:r>
        <w:rPr/>
        <w:t>This</w:t>
      </w:r>
      <w:r>
        <w:rPr>
          <w:spacing w:val="-3"/>
        </w:rPr>
        <w:t> </w:t>
      </w:r>
      <w:r>
        <w:rPr/>
        <w:t>is</w:t>
      </w:r>
      <w:r>
        <w:rPr>
          <w:spacing w:val="-3"/>
        </w:rPr>
        <w:t> </w:t>
      </w:r>
      <w:r>
        <w:rPr/>
        <w:t>a</w:t>
      </w:r>
      <w:r>
        <w:rPr>
          <w:spacing w:val="-4"/>
        </w:rPr>
        <w:t> </w:t>
      </w:r>
      <w:r>
        <w:rPr/>
        <w:t>staple</w:t>
      </w:r>
      <w:r>
        <w:rPr>
          <w:spacing w:val="-4"/>
        </w:rPr>
        <w:t> </w:t>
      </w:r>
      <w:r>
        <w:rPr/>
        <w:t>of</w:t>
      </w:r>
      <w:r>
        <w:rPr>
          <w:spacing w:val="-2"/>
        </w:rPr>
        <w:t> </w:t>
      </w:r>
      <w:r>
        <w:rPr/>
        <w:t>our</w:t>
      </w:r>
      <w:r>
        <w:rPr>
          <w:spacing w:val="-1"/>
        </w:rPr>
        <w:t> </w:t>
      </w:r>
      <w:r>
        <w:rPr/>
        <w:t>project</w:t>
      </w:r>
      <w:r>
        <w:rPr>
          <w:spacing w:val="-4"/>
        </w:rPr>
        <w:t> </w:t>
      </w:r>
      <w:r>
        <w:rPr/>
        <w:t>design</w:t>
      </w:r>
      <w:r>
        <w:rPr>
          <w:spacing w:val="-4"/>
        </w:rPr>
        <w:t> </w:t>
      </w:r>
      <w:r>
        <w:rPr/>
        <w:t>instruction</w:t>
      </w:r>
      <w:r>
        <w:rPr>
          <w:spacing w:val="-4"/>
        </w:rPr>
        <w:t> </w:t>
      </w:r>
      <w:r>
        <w:rPr/>
        <w:t>process.</w:t>
      </w:r>
      <w:r>
        <w:rPr>
          <w:spacing w:val="-4"/>
        </w:rPr>
        <w:t> </w:t>
      </w:r>
      <w:r>
        <w:rPr/>
        <w:t>Parts</w:t>
      </w:r>
      <w:r>
        <w:rPr>
          <w:spacing w:val="-3"/>
        </w:rPr>
        <w:t> </w:t>
      </w:r>
      <w:r>
        <w:rPr/>
        <w:t>of</w:t>
      </w:r>
      <w:r>
        <w:rPr>
          <w:spacing w:val="-2"/>
        </w:rPr>
        <w:t> </w:t>
      </w:r>
      <w:r>
        <w:rPr/>
        <w:t>studio</w:t>
      </w:r>
      <w:r>
        <w:rPr>
          <w:spacing w:val="-4"/>
        </w:rPr>
        <w:t> </w:t>
      </w:r>
      <w:r>
        <w:rPr/>
        <w:t>projects are</w:t>
      </w:r>
      <w:r>
        <w:rPr>
          <w:spacing w:val="-1"/>
        </w:rPr>
        <w:t> </w:t>
      </w:r>
      <w:r>
        <w:rPr/>
        <w:t>collaborative;</w:t>
      </w:r>
      <w:r>
        <w:rPr>
          <w:spacing w:val="-1"/>
        </w:rPr>
        <w:t> </w:t>
      </w:r>
      <w:r>
        <w:rPr/>
        <w:t>requiring students to work in</w:t>
      </w:r>
      <w:r>
        <w:rPr>
          <w:spacing w:val="-1"/>
        </w:rPr>
        <w:t> </w:t>
      </w:r>
      <w:r>
        <w:rPr/>
        <w:t>project groups to develop</w:t>
      </w:r>
      <w:r>
        <w:rPr>
          <w:spacing w:val="-1"/>
        </w:rPr>
        <w:t> </w:t>
      </w:r>
      <w:r>
        <w:rPr/>
        <w:t>design solutions. At the fourth year level, outside consultation with engineering and construction professionals is also planned to help integrate building system designs into the building projects.</w:t>
      </w:r>
    </w:p>
    <w:p>
      <w:pPr>
        <w:pStyle w:val="BodyText"/>
        <w:spacing w:before="7"/>
      </w:pPr>
    </w:p>
    <w:p>
      <w:pPr>
        <w:pStyle w:val="ListParagraph"/>
        <w:numPr>
          <w:ilvl w:val="1"/>
          <w:numId w:val="37"/>
        </w:numPr>
        <w:tabs>
          <w:tab w:pos="2432" w:val="left" w:leader="none"/>
          <w:tab w:pos="2433" w:val="left" w:leader="none"/>
        </w:tabs>
        <w:spacing w:line="242" w:lineRule="auto" w:before="0" w:after="0"/>
        <w:ind w:left="2432" w:right="1437" w:hanging="929"/>
        <w:jc w:val="left"/>
        <w:rPr>
          <w:sz w:val="20"/>
        </w:rPr>
      </w:pPr>
      <w:r>
        <w:rPr>
          <w:sz w:val="20"/>
        </w:rPr>
        <w:t>Human</w:t>
      </w:r>
      <w:r>
        <w:rPr>
          <w:spacing w:val="-6"/>
          <w:sz w:val="20"/>
        </w:rPr>
        <w:t> </w:t>
      </w:r>
      <w:r>
        <w:rPr>
          <w:sz w:val="20"/>
        </w:rPr>
        <w:t>Behavior:</w:t>
      </w:r>
      <w:r>
        <w:rPr>
          <w:spacing w:val="-6"/>
          <w:sz w:val="20"/>
        </w:rPr>
        <w:t> </w:t>
      </w:r>
      <w:r>
        <w:rPr>
          <w:i/>
          <w:sz w:val="20"/>
        </w:rPr>
        <w:t>Understanding</w:t>
      </w:r>
      <w:r>
        <w:rPr>
          <w:i/>
          <w:spacing w:val="-6"/>
          <w:sz w:val="20"/>
        </w:rPr>
        <w:t> </w:t>
      </w:r>
      <w:r>
        <w:rPr>
          <w:sz w:val="20"/>
        </w:rPr>
        <w:t>of</w:t>
      </w:r>
      <w:r>
        <w:rPr>
          <w:spacing w:val="-4"/>
          <w:sz w:val="20"/>
        </w:rPr>
        <w:t> </w:t>
      </w:r>
      <w:r>
        <w:rPr>
          <w:sz w:val="20"/>
        </w:rPr>
        <w:t>the</w:t>
      </w:r>
      <w:r>
        <w:rPr>
          <w:spacing w:val="-6"/>
          <w:sz w:val="20"/>
        </w:rPr>
        <w:t> </w:t>
      </w:r>
      <w:r>
        <w:rPr>
          <w:sz w:val="20"/>
        </w:rPr>
        <w:t>relationship</w:t>
      </w:r>
      <w:r>
        <w:rPr>
          <w:spacing w:val="-6"/>
          <w:sz w:val="20"/>
        </w:rPr>
        <w:t> </w:t>
      </w:r>
      <w:r>
        <w:rPr>
          <w:sz w:val="20"/>
        </w:rPr>
        <w:t>between</w:t>
      </w:r>
      <w:r>
        <w:rPr>
          <w:spacing w:val="-4"/>
          <w:sz w:val="20"/>
        </w:rPr>
        <w:t> </w:t>
      </w:r>
      <w:r>
        <w:rPr>
          <w:sz w:val="20"/>
        </w:rPr>
        <w:t>human</w:t>
      </w:r>
      <w:r>
        <w:rPr>
          <w:spacing w:val="-6"/>
          <w:sz w:val="20"/>
        </w:rPr>
        <w:t> </w:t>
      </w:r>
      <w:r>
        <w:rPr>
          <w:sz w:val="20"/>
        </w:rPr>
        <w:t>behavior, the natural environment and the design of the built environment.</w:t>
      </w:r>
    </w:p>
    <w:p>
      <w:pPr>
        <w:pStyle w:val="BodyText"/>
        <w:spacing w:before="5"/>
        <w:rPr>
          <w:sz w:val="21"/>
        </w:rPr>
      </w:pPr>
    </w:p>
    <w:tbl>
      <w:tblPr>
        <w:tblW w:w="0" w:type="auto"/>
        <w:jc w:val="left"/>
        <w:tblInd w:w="2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5"/>
        <w:gridCol w:w="3065"/>
        <w:gridCol w:w="1534"/>
      </w:tblGrid>
      <w:tr>
        <w:trPr>
          <w:trHeight w:val="226" w:hRule="atLeast"/>
        </w:trPr>
        <w:tc>
          <w:tcPr>
            <w:tcW w:w="1175" w:type="dxa"/>
          </w:tcPr>
          <w:p>
            <w:pPr>
              <w:pStyle w:val="TableParagraph"/>
              <w:spacing w:line="207" w:lineRule="exact"/>
              <w:ind w:left="50"/>
              <w:rPr>
                <w:sz w:val="20"/>
              </w:rPr>
            </w:pPr>
            <w:r>
              <w:rPr>
                <w:sz w:val="20"/>
              </w:rPr>
              <w:t>ARC</w:t>
            </w:r>
            <w:r>
              <w:rPr>
                <w:spacing w:val="-7"/>
                <w:sz w:val="20"/>
              </w:rPr>
              <w:t> </w:t>
            </w:r>
            <w:r>
              <w:rPr>
                <w:spacing w:val="-5"/>
                <w:sz w:val="20"/>
              </w:rPr>
              <w:t>200</w:t>
            </w:r>
          </w:p>
        </w:tc>
        <w:tc>
          <w:tcPr>
            <w:tcW w:w="3065" w:type="dxa"/>
          </w:tcPr>
          <w:p>
            <w:pPr>
              <w:pStyle w:val="TableParagraph"/>
              <w:spacing w:line="207" w:lineRule="exact"/>
              <w:ind w:left="315"/>
              <w:rPr>
                <w:sz w:val="20"/>
              </w:rPr>
            </w:pPr>
            <w:r>
              <w:rPr>
                <w:spacing w:val="-2"/>
                <w:sz w:val="20"/>
              </w:rPr>
              <w:t>Architectural</w:t>
            </w:r>
            <w:r>
              <w:rPr>
                <w:spacing w:val="10"/>
                <w:sz w:val="20"/>
              </w:rPr>
              <w:t> </w:t>
            </w:r>
            <w:r>
              <w:rPr>
                <w:spacing w:val="-2"/>
                <w:sz w:val="20"/>
              </w:rPr>
              <w:t>Ecology</w:t>
            </w:r>
          </w:p>
        </w:tc>
        <w:tc>
          <w:tcPr>
            <w:tcW w:w="1534" w:type="dxa"/>
          </w:tcPr>
          <w:p>
            <w:pPr>
              <w:pStyle w:val="TableParagraph"/>
              <w:spacing w:line="207" w:lineRule="exact"/>
              <w:ind w:right="49"/>
              <w:jc w:val="right"/>
              <w:rPr>
                <w:sz w:val="20"/>
              </w:rPr>
            </w:pPr>
            <w:r>
              <w:rPr>
                <w:spacing w:val="-2"/>
                <w:sz w:val="20"/>
              </w:rPr>
              <w:t>Papers</w:t>
            </w:r>
          </w:p>
        </w:tc>
      </w:tr>
      <w:tr>
        <w:trPr>
          <w:trHeight w:val="226" w:hRule="atLeast"/>
        </w:trPr>
        <w:tc>
          <w:tcPr>
            <w:tcW w:w="1175" w:type="dxa"/>
          </w:tcPr>
          <w:p>
            <w:pPr>
              <w:pStyle w:val="TableParagraph"/>
              <w:spacing w:line="207" w:lineRule="exact"/>
              <w:ind w:left="50"/>
              <w:rPr>
                <w:sz w:val="20"/>
              </w:rPr>
            </w:pPr>
            <w:r>
              <w:rPr>
                <w:sz w:val="20"/>
              </w:rPr>
              <w:t>ARC</w:t>
            </w:r>
            <w:r>
              <w:rPr>
                <w:spacing w:val="-7"/>
                <w:sz w:val="20"/>
              </w:rPr>
              <w:t> </w:t>
            </w:r>
            <w:r>
              <w:rPr>
                <w:spacing w:val="-5"/>
                <w:sz w:val="20"/>
              </w:rPr>
              <w:t>317</w:t>
            </w:r>
          </w:p>
        </w:tc>
        <w:tc>
          <w:tcPr>
            <w:tcW w:w="3065" w:type="dxa"/>
          </w:tcPr>
          <w:p>
            <w:pPr>
              <w:pStyle w:val="TableParagraph"/>
              <w:spacing w:line="207" w:lineRule="exact"/>
              <w:ind w:left="315"/>
              <w:rPr>
                <w:sz w:val="20"/>
              </w:rPr>
            </w:pPr>
            <w:r>
              <w:rPr>
                <w:sz w:val="20"/>
              </w:rPr>
              <w:t>Architectural</w:t>
            </w:r>
            <w:r>
              <w:rPr>
                <w:spacing w:val="-11"/>
                <w:sz w:val="20"/>
              </w:rPr>
              <w:t> </w:t>
            </w:r>
            <w:r>
              <w:rPr>
                <w:sz w:val="20"/>
              </w:rPr>
              <w:t>Theory</w:t>
            </w:r>
            <w:r>
              <w:rPr>
                <w:spacing w:val="-12"/>
                <w:sz w:val="20"/>
              </w:rPr>
              <w:t> </w:t>
            </w:r>
            <w:r>
              <w:rPr>
                <w:spacing w:val="-10"/>
                <w:sz w:val="20"/>
              </w:rPr>
              <w:t>I</w:t>
            </w:r>
          </w:p>
        </w:tc>
        <w:tc>
          <w:tcPr>
            <w:tcW w:w="1534" w:type="dxa"/>
          </w:tcPr>
          <w:p>
            <w:pPr>
              <w:pStyle w:val="TableParagraph"/>
              <w:spacing w:line="207" w:lineRule="exact"/>
              <w:ind w:right="49"/>
              <w:jc w:val="right"/>
              <w:rPr>
                <w:sz w:val="20"/>
              </w:rPr>
            </w:pPr>
            <w:r>
              <w:rPr>
                <w:spacing w:val="-2"/>
                <w:sz w:val="20"/>
              </w:rPr>
              <w:t>Papers</w:t>
            </w:r>
          </w:p>
        </w:tc>
      </w:tr>
    </w:tbl>
    <w:p>
      <w:pPr>
        <w:pStyle w:val="BodyText"/>
        <w:spacing w:before="9"/>
      </w:pPr>
    </w:p>
    <w:p>
      <w:pPr>
        <w:pStyle w:val="BodyText"/>
        <w:ind w:left="2440" w:right="1169"/>
      </w:pPr>
      <w:r>
        <w:rPr/>
        <w:t>In</w:t>
      </w:r>
      <w:r>
        <w:rPr>
          <w:spacing w:val="-5"/>
        </w:rPr>
        <w:t> </w:t>
      </w:r>
      <w:r>
        <w:rPr/>
        <w:t>the</w:t>
      </w:r>
      <w:r>
        <w:rPr>
          <w:spacing w:val="-5"/>
        </w:rPr>
        <w:t> </w:t>
      </w:r>
      <w:r>
        <w:rPr/>
        <w:t>definition</w:t>
      </w:r>
      <w:r>
        <w:rPr>
          <w:spacing w:val="-3"/>
        </w:rPr>
        <w:t> </w:t>
      </w:r>
      <w:r>
        <w:rPr/>
        <w:t>and</w:t>
      </w:r>
      <w:r>
        <w:rPr>
          <w:spacing w:val="-3"/>
        </w:rPr>
        <w:t> </w:t>
      </w:r>
      <w:r>
        <w:rPr/>
        <w:t>characterization</w:t>
      </w:r>
      <w:r>
        <w:rPr>
          <w:spacing w:val="-3"/>
        </w:rPr>
        <w:t> </w:t>
      </w:r>
      <w:r>
        <w:rPr/>
        <w:t>of</w:t>
      </w:r>
      <w:r>
        <w:rPr>
          <w:spacing w:val="-3"/>
        </w:rPr>
        <w:t> </w:t>
      </w:r>
      <w:r>
        <w:rPr/>
        <w:t>the</w:t>
      </w:r>
      <w:r>
        <w:rPr>
          <w:spacing w:val="-5"/>
        </w:rPr>
        <w:t> </w:t>
      </w:r>
      <w:r>
        <w:rPr/>
        <w:t>architectural</w:t>
      </w:r>
      <w:r>
        <w:rPr>
          <w:spacing w:val="-6"/>
        </w:rPr>
        <w:t> </w:t>
      </w:r>
      <w:r>
        <w:rPr/>
        <w:t>problem that</w:t>
      </w:r>
      <w:r>
        <w:rPr>
          <w:spacing w:val="-5"/>
        </w:rPr>
        <w:t> </w:t>
      </w:r>
      <w:r>
        <w:rPr/>
        <w:t>is</w:t>
      </w:r>
      <w:r>
        <w:rPr>
          <w:spacing w:val="-4"/>
        </w:rPr>
        <w:t> </w:t>
      </w:r>
      <w:r>
        <w:rPr/>
        <w:t>the</w:t>
      </w:r>
      <w:r>
        <w:rPr>
          <w:spacing w:val="-5"/>
        </w:rPr>
        <w:t> </w:t>
      </w:r>
      <w:r>
        <w:rPr/>
        <w:t>focus of the thesis, students must demonstrate the understanding specified by C.2 Human Behavior: human behavior, natural context, and built context. The scale at which each thesis engages human behavior varies with the scale of the focus problem and research question. Demonstrating the understanding specified under C.2 Human Behavior can also be found in the set of criteria that each student defines in their research plan to assess their research work.</w:t>
      </w:r>
    </w:p>
    <w:p>
      <w:pPr>
        <w:pStyle w:val="BodyText"/>
        <w:spacing w:before="8"/>
      </w:pPr>
    </w:p>
    <w:p>
      <w:pPr>
        <w:pStyle w:val="ListParagraph"/>
        <w:numPr>
          <w:ilvl w:val="1"/>
          <w:numId w:val="37"/>
        </w:numPr>
        <w:tabs>
          <w:tab w:pos="2432" w:val="left" w:leader="none"/>
          <w:tab w:pos="2434" w:val="left" w:leader="none"/>
        </w:tabs>
        <w:spacing w:line="242" w:lineRule="auto" w:before="0" w:after="0"/>
        <w:ind w:left="2433" w:right="1234" w:hanging="929"/>
        <w:jc w:val="both"/>
        <w:rPr>
          <w:sz w:val="20"/>
        </w:rPr>
      </w:pPr>
      <w:r>
        <w:rPr>
          <w:sz w:val="20"/>
        </w:rPr>
        <w:t>Client</w:t>
      </w:r>
      <w:r>
        <w:rPr>
          <w:spacing w:val="-4"/>
          <w:sz w:val="20"/>
        </w:rPr>
        <w:t> </w:t>
      </w:r>
      <w:r>
        <w:rPr>
          <w:sz w:val="20"/>
        </w:rPr>
        <w:t>Role</w:t>
      </w:r>
      <w:r>
        <w:rPr>
          <w:spacing w:val="-4"/>
          <w:sz w:val="20"/>
        </w:rPr>
        <w:t> </w:t>
      </w:r>
      <w:r>
        <w:rPr>
          <w:sz w:val="20"/>
        </w:rPr>
        <w:t>in</w:t>
      </w:r>
      <w:r>
        <w:rPr>
          <w:spacing w:val="-4"/>
          <w:sz w:val="20"/>
        </w:rPr>
        <w:t> </w:t>
      </w:r>
      <w:r>
        <w:rPr>
          <w:sz w:val="20"/>
        </w:rPr>
        <w:t>Architecture:</w:t>
      </w:r>
      <w:r>
        <w:rPr>
          <w:spacing w:val="-1"/>
          <w:sz w:val="20"/>
        </w:rPr>
        <w:t> </w:t>
      </w:r>
      <w:r>
        <w:rPr>
          <w:i/>
          <w:sz w:val="20"/>
        </w:rPr>
        <w:t>Understanding</w:t>
      </w:r>
      <w:r>
        <w:rPr>
          <w:i/>
          <w:spacing w:val="-2"/>
          <w:sz w:val="20"/>
        </w:rPr>
        <w:t> </w:t>
      </w:r>
      <w:r>
        <w:rPr>
          <w:sz w:val="20"/>
        </w:rPr>
        <w:t>of</w:t>
      </w:r>
      <w:r>
        <w:rPr>
          <w:spacing w:val="-2"/>
          <w:sz w:val="20"/>
        </w:rPr>
        <w:t> </w:t>
      </w:r>
      <w:r>
        <w:rPr>
          <w:sz w:val="20"/>
        </w:rPr>
        <w:t>the</w:t>
      </w:r>
      <w:r>
        <w:rPr>
          <w:spacing w:val="-4"/>
          <w:sz w:val="20"/>
        </w:rPr>
        <w:t> </w:t>
      </w:r>
      <w:r>
        <w:rPr>
          <w:sz w:val="20"/>
        </w:rPr>
        <w:t>responsibility</w:t>
      </w:r>
      <w:r>
        <w:rPr>
          <w:spacing w:val="-5"/>
          <w:sz w:val="20"/>
        </w:rPr>
        <w:t> </w:t>
      </w:r>
      <w:r>
        <w:rPr>
          <w:sz w:val="20"/>
        </w:rPr>
        <w:t>of</w:t>
      </w:r>
      <w:r>
        <w:rPr>
          <w:spacing w:val="-2"/>
          <w:sz w:val="20"/>
        </w:rPr>
        <w:t> </w:t>
      </w:r>
      <w:r>
        <w:rPr>
          <w:sz w:val="20"/>
        </w:rPr>
        <w:t>the</w:t>
      </w:r>
      <w:r>
        <w:rPr>
          <w:spacing w:val="-4"/>
          <w:sz w:val="20"/>
        </w:rPr>
        <w:t> </w:t>
      </w:r>
      <w:r>
        <w:rPr>
          <w:sz w:val="20"/>
        </w:rPr>
        <w:t>architect</w:t>
      </w:r>
      <w:r>
        <w:rPr>
          <w:spacing w:val="-4"/>
          <w:sz w:val="20"/>
        </w:rPr>
        <w:t> </w:t>
      </w:r>
      <w:r>
        <w:rPr>
          <w:sz w:val="20"/>
        </w:rPr>
        <w:t>to elicit,</w:t>
      </w:r>
      <w:r>
        <w:rPr>
          <w:spacing w:val="-5"/>
          <w:sz w:val="20"/>
        </w:rPr>
        <w:t> </w:t>
      </w:r>
      <w:r>
        <w:rPr>
          <w:sz w:val="20"/>
        </w:rPr>
        <w:t>understand,</w:t>
      </w:r>
      <w:r>
        <w:rPr>
          <w:spacing w:val="-3"/>
          <w:sz w:val="20"/>
        </w:rPr>
        <w:t> </w:t>
      </w:r>
      <w:r>
        <w:rPr>
          <w:sz w:val="20"/>
        </w:rPr>
        <w:t>and</w:t>
      </w:r>
      <w:r>
        <w:rPr>
          <w:spacing w:val="-3"/>
          <w:sz w:val="20"/>
        </w:rPr>
        <w:t> </w:t>
      </w:r>
      <w:r>
        <w:rPr>
          <w:sz w:val="20"/>
        </w:rPr>
        <w:t>reconcile</w:t>
      </w:r>
      <w:r>
        <w:rPr>
          <w:spacing w:val="-3"/>
          <w:sz w:val="20"/>
        </w:rPr>
        <w:t> </w:t>
      </w:r>
      <w:r>
        <w:rPr>
          <w:sz w:val="20"/>
        </w:rPr>
        <w:t>the</w:t>
      </w:r>
      <w:r>
        <w:rPr>
          <w:spacing w:val="-3"/>
          <w:sz w:val="20"/>
        </w:rPr>
        <w:t> </w:t>
      </w:r>
      <w:r>
        <w:rPr>
          <w:sz w:val="20"/>
        </w:rPr>
        <w:t>needs</w:t>
      </w:r>
      <w:r>
        <w:rPr>
          <w:spacing w:val="-4"/>
          <w:sz w:val="20"/>
        </w:rPr>
        <w:t> </w:t>
      </w:r>
      <w:r>
        <w:rPr>
          <w:sz w:val="20"/>
        </w:rPr>
        <w:t>of</w:t>
      </w:r>
      <w:r>
        <w:rPr>
          <w:spacing w:val="-3"/>
          <w:sz w:val="20"/>
        </w:rPr>
        <w:t> </w:t>
      </w:r>
      <w:r>
        <w:rPr>
          <w:sz w:val="20"/>
        </w:rPr>
        <w:t>the</w:t>
      </w:r>
      <w:r>
        <w:rPr>
          <w:spacing w:val="-5"/>
          <w:sz w:val="20"/>
        </w:rPr>
        <w:t> </w:t>
      </w:r>
      <w:r>
        <w:rPr>
          <w:sz w:val="20"/>
        </w:rPr>
        <w:t>client,</w:t>
      </w:r>
      <w:r>
        <w:rPr>
          <w:spacing w:val="-5"/>
          <w:sz w:val="20"/>
        </w:rPr>
        <w:t> </w:t>
      </w:r>
      <w:r>
        <w:rPr>
          <w:sz w:val="20"/>
        </w:rPr>
        <w:t>owner,</w:t>
      </w:r>
      <w:r>
        <w:rPr>
          <w:spacing w:val="-5"/>
          <w:sz w:val="20"/>
        </w:rPr>
        <w:t> </w:t>
      </w:r>
      <w:r>
        <w:rPr>
          <w:sz w:val="20"/>
        </w:rPr>
        <w:t>user</w:t>
      </w:r>
      <w:r>
        <w:rPr>
          <w:spacing w:val="-4"/>
          <w:sz w:val="20"/>
        </w:rPr>
        <w:t> </w:t>
      </w:r>
      <w:r>
        <w:rPr>
          <w:sz w:val="20"/>
        </w:rPr>
        <w:t>groups,</w:t>
      </w:r>
      <w:r>
        <w:rPr>
          <w:spacing w:val="-5"/>
          <w:sz w:val="20"/>
        </w:rPr>
        <w:t> </w:t>
      </w:r>
      <w:r>
        <w:rPr>
          <w:sz w:val="20"/>
        </w:rPr>
        <w:t>and the public and community domains.</w:t>
      </w:r>
    </w:p>
    <w:p>
      <w:pPr>
        <w:pStyle w:val="BodyText"/>
        <w:spacing w:before="7"/>
      </w:pPr>
    </w:p>
    <w:p>
      <w:pPr>
        <w:pStyle w:val="BodyText"/>
        <w:tabs>
          <w:tab w:pos="3879" w:val="left" w:leader="none"/>
          <w:tab w:pos="7480" w:val="left" w:leader="none"/>
        </w:tabs>
        <w:ind w:left="2440"/>
      </w:pPr>
      <w:r>
        <w:rPr/>
        <w:t>ARC</w:t>
      </w:r>
      <w:r>
        <w:rPr>
          <w:spacing w:val="-11"/>
        </w:rPr>
        <w:t> </w:t>
      </w:r>
      <w:r>
        <w:rPr/>
        <w:t>303-</w:t>
      </w:r>
      <w:r>
        <w:rPr>
          <w:spacing w:val="-5"/>
        </w:rPr>
        <w:t>304</w:t>
      </w:r>
      <w:r>
        <w:rPr/>
        <w:tab/>
        <w:t>Design</w:t>
      </w:r>
      <w:r>
        <w:rPr>
          <w:spacing w:val="-4"/>
        </w:rPr>
        <w:t> </w:t>
      </w:r>
      <w:r>
        <w:rPr/>
        <w:t>Studio</w:t>
      </w:r>
      <w:r>
        <w:rPr>
          <w:spacing w:val="-6"/>
        </w:rPr>
        <w:t> </w:t>
      </w:r>
      <w:r>
        <w:rPr/>
        <w:t>5</w:t>
      </w:r>
      <w:r>
        <w:rPr>
          <w:spacing w:val="-3"/>
        </w:rPr>
        <w:t> </w:t>
      </w:r>
      <w:r>
        <w:rPr/>
        <w:t>and</w:t>
      </w:r>
      <w:r>
        <w:rPr>
          <w:spacing w:val="-6"/>
        </w:rPr>
        <w:t> </w:t>
      </w:r>
      <w:r>
        <w:rPr>
          <w:spacing w:val="-10"/>
        </w:rPr>
        <w:t>6</w:t>
      </w:r>
      <w:r>
        <w:rPr/>
        <w:tab/>
        <w:t>Project</w:t>
      </w:r>
      <w:r>
        <w:rPr>
          <w:spacing w:val="-9"/>
        </w:rPr>
        <w:t> </w:t>
      </w:r>
      <w:r>
        <w:rPr>
          <w:spacing w:val="-2"/>
        </w:rPr>
        <w:t>Assignments</w:t>
      </w:r>
    </w:p>
    <w:p>
      <w:pPr>
        <w:pStyle w:val="BodyText"/>
        <w:tabs>
          <w:tab w:pos="3880" w:val="left" w:leader="none"/>
          <w:tab w:pos="7480" w:val="left" w:leader="none"/>
        </w:tabs>
        <w:spacing w:before="1"/>
        <w:ind w:left="2440"/>
      </w:pPr>
      <w:r>
        <w:rPr/>
        <w:t>ARC</w:t>
      </w:r>
      <w:r>
        <w:rPr>
          <w:spacing w:val="-11"/>
        </w:rPr>
        <w:t> </w:t>
      </w:r>
      <w:r>
        <w:rPr/>
        <w:t>405-</w:t>
      </w:r>
      <w:r>
        <w:rPr>
          <w:spacing w:val="-5"/>
        </w:rPr>
        <w:t>406</w:t>
      </w:r>
      <w:r>
        <w:rPr/>
        <w:tab/>
        <w:t>Design</w:t>
      </w:r>
      <w:r>
        <w:rPr>
          <w:spacing w:val="-4"/>
        </w:rPr>
        <w:t> </w:t>
      </w:r>
      <w:r>
        <w:rPr/>
        <w:t>Studio</w:t>
      </w:r>
      <w:r>
        <w:rPr>
          <w:spacing w:val="-6"/>
        </w:rPr>
        <w:t> </w:t>
      </w:r>
      <w:r>
        <w:rPr/>
        <w:t>8</w:t>
      </w:r>
      <w:r>
        <w:rPr>
          <w:spacing w:val="-3"/>
        </w:rPr>
        <w:t> </w:t>
      </w:r>
      <w:r>
        <w:rPr/>
        <w:t>and</w:t>
      </w:r>
      <w:r>
        <w:rPr>
          <w:spacing w:val="-6"/>
        </w:rPr>
        <w:t> </w:t>
      </w:r>
      <w:r>
        <w:rPr>
          <w:spacing w:val="-10"/>
        </w:rPr>
        <w:t>9</w:t>
      </w:r>
      <w:r>
        <w:rPr/>
        <w:tab/>
        <w:t>Project</w:t>
      </w:r>
      <w:r>
        <w:rPr>
          <w:spacing w:val="-9"/>
        </w:rPr>
        <w:t> </w:t>
      </w:r>
      <w:r>
        <w:rPr>
          <w:spacing w:val="-2"/>
        </w:rPr>
        <w:t>Assignments</w:t>
      </w:r>
    </w:p>
    <w:p>
      <w:pPr>
        <w:pStyle w:val="BodyText"/>
        <w:spacing w:before="7"/>
      </w:pPr>
    </w:p>
    <w:p>
      <w:pPr>
        <w:pStyle w:val="BodyText"/>
        <w:spacing w:before="1"/>
        <w:ind w:left="2440" w:right="1151"/>
      </w:pPr>
      <w:r>
        <w:rPr/>
        <w:t>Students are introduced to projects that involve outside clients, interacting with them to develop building programs, design requirements and other project parameters.</w:t>
      </w:r>
      <w:r>
        <w:rPr>
          <w:spacing w:val="-1"/>
        </w:rPr>
        <w:t> </w:t>
      </w:r>
      <w:r>
        <w:rPr/>
        <w:t>Those</w:t>
      </w:r>
      <w:r>
        <w:rPr>
          <w:spacing w:val="-1"/>
        </w:rPr>
        <w:t> </w:t>
      </w:r>
      <w:r>
        <w:rPr/>
        <w:t>clients work with the</w:t>
      </w:r>
      <w:r>
        <w:rPr>
          <w:spacing w:val="-1"/>
        </w:rPr>
        <w:t> </w:t>
      </w:r>
      <w:r>
        <w:rPr/>
        <w:t>students through</w:t>
      </w:r>
      <w:r>
        <w:rPr>
          <w:spacing w:val="-1"/>
        </w:rPr>
        <w:t> </w:t>
      </w:r>
      <w:r>
        <w:rPr/>
        <w:t>the</w:t>
      </w:r>
      <w:r>
        <w:rPr>
          <w:spacing w:val="-1"/>
        </w:rPr>
        <w:t> </w:t>
      </w:r>
      <w:r>
        <w:rPr/>
        <w:t>course</w:t>
      </w:r>
      <w:r>
        <w:rPr>
          <w:spacing w:val="-1"/>
        </w:rPr>
        <w:t> </w:t>
      </w:r>
      <w:r>
        <w:rPr/>
        <w:t>of the</w:t>
      </w:r>
      <w:r>
        <w:rPr>
          <w:spacing w:val="-1"/>
        </w:rPr>
        <w:t> </w:t>
      </w:r>
      <w:r>
        <w:rPr/>
        <w:t>term, attending</w:t>
      </w:r>
      <w:r>
        <w:rPr>
          <w:spacing w:val="-5"/>
        </w:rPr>
        <w:t> </w:t>
      </w:r>
      <w:r>
        <w:rPr/>
        <w:t>crits</w:t>
      </w:r>
      <w:r>
        <w:rPr>
          <w:spacing w:val="-4"/>
        </w:rPr>
        <w:t> </w:t>
      </w:r>
      <w:r>
        <w:rPr/>
        <w:t>and</w:t>
      </w:r>
      <w:r>
        <w:rPr>
          <w:spacing w:val="-4"/>
        </w:rPr>
        <w:t> </w:t>
      </w:r>
      <w:r>
        <w:rPr/>
        <w:t>providing</w:t>
      </w:r>
      <w:r>
        <w:rPr>
          <w:spacing w:val="-5"/>
        </w:rPr>
        <w:t> </w:t>
      </w:r>
      <w:r>
        <w:rPr/>
        <w:t>project</w:t>
      </w:r>
      <w:r>
        <w:rPr>
          <w:spacing w:val="-5"/>
        </w:rPr>
        <w:t> </w:t>
      </w:r>
      <w:r>
        <w:rPr/>
        <w:t>advisement,</w:t>
      </w:r>
      <w:r>
        <w:rPr>
          <w:spacing w:val="-5"/>
        </w:rPr>
        <w:t> </w:t>
      </w:r>
      <w:r>
        <w:rPr/>
        <w:t>and</w:t>
      </w:r>
      <w:r>
        <w:rPr>
          <w:spacing w:val="-4"/>
        </w:rPr>
        <w:t> </w:t>
      </w:r>
      <w:r>
        <w:rPr/>
        <w:t>attending</w:t>
      </w:r>
      <w:r>
        <w:rPr>
          <w:spacing w:val="-5"/>
        </w:rPr>
        <w:t> </w:t>
      </w:r>
      <w:r>
        <w:rPr/>
        <w:t>the</w:t>
      </w:r>
      <w:r>
        <w:rPr>
          <w:spacing w:val="-5"/>
        </w:rPr>
        <w:t> </w:t>
      </w:r>
      <w:r>
        <w:rPr/>
        <w:t>submission</w:t>
      </w:r>
      <w:r>
        <w:rPr>
          <w:spacing w:val="-5"/>
        </w:rPr>
        <w:t> </w:t>
      </w:r>
      <w:r>
        <w:rPr/>
        <w:t>of the final design product. Past client representatives have included the School administrators and facility planners, the Newport News Redevelopment &amp; Housing Authority, the Norfolk Redevelopment &amp; Housing Authority, NASA, multiple private developers in the Hampton Roads area. This is primarily demonstrated in the contexts created by the student to test their architectural proposition, and by the set of criteria they have defined to evaluate the research </w:t>
      </w:r>
      <w:r>
        <w:rPr>
          <w:spacing w:val="-2"/>
        </w:rPr>
        <w:t>products.</w:t>
      </w:r>
    </w:p>
    <w:p>
      <w:pPr>
        <w:pStyle w:val="BodyText"/>
        <w:spacing w:before="8"/>
      </w:pPr>
    </w:p>
    <w:p>
      <w:pPr>
        <w:pStyle w:val="ListParagraph"/>
        <w:numPr>
          <w:ilvl w:val="1"/>
          <w:numId w:val="37"/>
        </w:numPr>
        <w:tabs>
          <w:tab w:pos="2433" w:val="left" w:leader="none"/>
          <w:tab w:pos="2434" w:val="left" w:leader="none"/>
        </w:tabs>
        <w:spacing w:line="242" w:lineRule="auto" w:before="0" w:after="0"/>
        <w:ind w:left="2433" w:right="1325" w:hanging="929"/>
        <w:jc w:val="left"/>
        <w:rPr>
          <w:sz w:val="20"/>
        </w:rPr>
      </w:pPr>
      <w:r>
        <w:rPr>
          <w:sz w:val="20"/>
        </w:rPr>
        <w:t>Project Management: </w:t>
      </w:r>
      <w:r>
        <w:rPr>
          <w:i/>
          <w:sz w:val="20"/>
        </w:rPr>
        <w:t>Understanding </w:t>
      </w:r>
      <w:r>
        <w:rPr>
          <w:sz w:val="20"/>
        </w:rPr>
        <w:t>of the methods for competing for commissions,</w:t>
      </w:r>
      <w:r>
        <w:rPr>
          <w:spacing w:val="-7"/>
          <w:sz w:val="20"/>
        </w:rPr>
        <w:t> </w:t>
      </w:r>
      <w:r>
        <w:rPr>
          <w:sz w:val="20"/>
        </w:rPr>
        <w:t>selecting</w:t>
      </w:r>
      <w:r>
        <w:rPr>
          <w:spacing w:val="-7"/>
          <w:sz w:val="20"/>
        </w:rPr>
        <w:t> </w:t>
      </w:r>
      <w:r>
        <w:rPr>
          <w:sz w:val="20"/>
        </w:rPr>
        <w:t>consultants</w:t>
      </w:r>
      <w:r>
        <w:rPr>
          <w:spacing w:val="-6"/>
          <w:sz w:val="20"/>
        </w:rPr>
        <w:t> </w:t>
      </w:r>
      <w:r>
        <w:rPr>
          <w:sz w:val="20"/>
        </w:rPr>
        <w:t>and</w:t>
      </w:r>
      <w:r>
        <w:rPr>
          <w:spacing w:val="-5"/>
          <w:sz w:val="20"/>
        </w:rPr>
        <w:t> </w:t>
      </w:r>
      <w:r>
        <w:rPr>
          <w:sz w:val="20"/>
        </w:rPr>
        <w:t>assembling</w:t>
      </w:r>
      <w:r>
        <w:rPr>
          <w:spacing w:val="-7"/>
          <w:sz w:val="20"/>
        </w:rPr>
        <w:t> </w:t>
      </w:r>
      <w:r>
        <w:rPr>
          <w:sz w:val="20"/>
        </w:rPr>
        <w:t>teams,</w:t>
      </w:r>
      <w:r>
        <w:rPr>
          <w:spacing w:val="-7"/>
          <w:sz w:val="20"/>
        </w:rPr>
        <w:t> </w:t>
      </w:r>
      <w:r>
        <w:rPr>
          <w:sz w:val="20"/>
        </w:rPr>
        <w:t>and</w:t>
      </w:r>
      <w:r>
        <w:rPr>
          <w:spacing w:val="-7"/>
          <w:sz w:val="20"/>
        </w:rPr>
        <w:t> </w:t>
      </w:r>
      <w:r>
        <w:rPr>
          <w:sz w:val="20"/>
        </w:rPr>
        <w:t>recommending project delivery methods.</w:t>
      </w:r>
    </w:p>
    <w:p>
      <w:pPr>
        <w:pStyle w:val="BodyText"/>
        <w:spacing w:before="6"/>
      </w:pPr>
    </w:p>
    <w:p>
      <w:pPr>
        <w:pStyle w:val="BodyText"/>
        <w:tabs>
          <w:tab w:pos="3880" w:val="left" w:leader="none"/>
          <w:tab w:pos="7480" w:val="left" w:leader="none"/>
        </w:tabs>
        <w:spacing w:before="1"/>
        <w:ind w:left="2440"/>
      </w:pPr>
      <w:r>
        <w:rPr/>
        <w:t>ARC</w:t>
      </w:r>
      <w:r>
        <w:rPr>
          <w:spacing w:val="-7"/>
        </w:rPr>
        <w:t> </w:t>
      </w:r>
      <w:r>
        <w:rPr>
          <w:spacing w:val="-5"/>
        </w:rPr>
        <w:t>518</w:t>
      </w:r>
      <w:r>
        <w:rPr/>
        <w:tab/>
        <w:t>Professional</w:t>
      </w:r>
      <w:r>
        <w:rPr>
          <w:spacing w:val="-12"/>
        </w:rPr>
        <w:t> </w:t>
      </w:r>
      <w:r>
        <w:rPr/>
        <w:t>Practice</w:t>
      </w:r>
      <w:r>
        <w:rPr>
          <w:spacing w:val="-11"/>
        </w:rPr>
        <w:t> </w:t>
      </w:r>
      <w:r>
        <w:rPr>
          <w:spacing w:val="-10"/>
        </w:rPr>
        <w:t>2</w:t>
      </w:r>
      <w:r>
        <w:rPr/>
        <w:tab/>
      </w:r>
      <w:r>
        <w:rPr>
          <w:spacing w:val="-2"/>
        </w:rPr>
        <w:t>Papers</w:t>
      </w:r>
    </w:p>
    <w:p>
      <w:pPr>
        <w:pStyle w:val="BodyText"/>
        <w:spacing w:before="10"/>
      </w:pPr>
    </w:p>
    <w:p>
      <w:pPr>
        <w:pStyle w:val="BodyText"/>
        <w:ind w:left="2440" w:right="1211"/>
      </w:pPr>
      <w:r>
        <w:rPr/>
        <w:t>As part of the requirements for Professional Practice, students work in project teams to research office procedures and develop an implementation plan for opening</w:t>
      </w:r>
      <w:r>
        <w:rPr>
          <w:spacing w:val="-5"/>
        </w:rPr>
        <w:t> </w:t>
      </w:r>
      <w:r>
        <w:rPr/>
        <w:t>a</w:t>
      </w:r>
      <w:r>
        <w:rPr>
          <w:spacing w:val="-5"/>
        </w:rPr>
        <w:t> </w:t>
      </w:r>
      <w:r>
        <w:rPr/>
        <w:t>small</w:t>
      </w:r>
      <w:r>
        <w:rPr>
          <w:spacing w:val="-6"/>
        </w:rPr>
        <w:t> </w:t>
      </w:r>
      <w:r>
        <w:rPr/>
        <w:t>practice.</w:t>
      </w:r>
      <w:r>
        <w:rPr>
          <w:spacing w:val="-3"/>
        </w:rPr>
        <w:t> </w:t>
      </w:r>
      <w:r>
        <w:rPr/>
        <w:t>By</w:t>
      </w:r>
      <w:r>
        <w:rPr>
          <w:spacing w:val="-6"/>
        </w:rPr>
        <w:t> </w:t>
      </w:r>
      <w:r>
        <w:rPr/>
        <w:t>examination,</w:t>
      </w:r>
      <w:r>
        <w:rPr>
          <w:spacing w:val="-3"/>
        </w:rPr>
        <w:t> </w:t>
      </w:r>
      <w:r>
        <w:rPr/>
        <w:t>students</w:t>
      </w:r>
      <w:r>
        <w:rPr>
          <w:spacing w:val="-4"/>
        </w:rPr>
        <w:t> </w:t>
      </w:r>
      <w:r>
        <w:rPr/>
        <w:t>are</w:t>
      </w:r>
      <w:r>
        <w:rPr>
          <w:spacing w:val="-3"/>
        </w:rPr>
        <w:t> </w:t>
      </w:r>
      <w:r>
        <w:rPr/>
        <w:t>required</w:t>
      </w:r>
      <w:r>
        <w:rPr>
          <w:spacing w:val="-5"/>
        </w:rPr>
        <w:t> </w:t>
      </w:r>
      <w:r>
        <w:rPr/>
        <w:t>to</w:t>
      </w:r>
      <w:r>
        <w:rPr>
          <w:spacing w:val="-5"/>
        </w:rPr>
        <w:t> </w:t>
      </w:r>
      <w:r>
        <w:rPr/>
        <w:t>demonstrate an understanding of project delivery methods and methods for securing AE </w:t>
      </w:r>
      <w:r>
        <w:rPr>
          <w:spacing w:val="-2"/>
        </w:rPr>
        <w:t>commissions.</w:t>
      </w:r>
    </w:p>
    <w:p>
      <w:pPr>
        <w:pStyle w:val="BodyText"/>
        <w:spacing w:before="7"/>
      </w:pPr>
    </w:p>
    <w:p>
      <w:pPr>
        <w:pStyle w:val="ListParagraph"/>
        <w:numPr>
          <w:ilvl w:val="1"/>
          <w:numId w:val="37"/>
        </w:numPr>
        <w:tabs>
          <w:tab w:pos="2433" w:val="left" w:leader="none"/>
          <w:tab w:pos="2434" w:val="left" w:leader="none"/>
        </w:tabs>
        <w:spacing w:line="240" w:lineRule="auto" w:before="1" w:after="0"/>
        <w:ind w:left="2433" w:right="1247" w:hanging="929"/>
        <w:jc w:val="left"/>
        <w:rPr>
          <w:sz w:val="20"/>
        </w:rPr>
      </w:pPr>
      <w:r>
        <w:rPr>
          <w:sz w:val="20"/>
        </w:rPr>
        <w:t>Practice Management: </w:t>
      </w:r>
      <w:r>
        <w:rPr>
          <w:i/>
          <w:sz w:val="20"/>
        </w:rPr>
        <w:t>Understanding </w:t>
      </w:r>
      <w:r>
        <w:rPr>
          <w:sz w:val="20"/>
        </w:rPr>
        <w:t>of the basic principles of architectural practice management such as financial management and business planning, time</w:t>
      </w:r>
      <w:r>
        <w:rPr>
          <w:spacing w:val="-9"/>
          <w:sz w:val="20"/>
        </w:rPr>
        <w:t> </w:t>
      </w:r>
      <w:r>
        <w:rPr>
          <w:sz w:val="20"/>
        </w:rPr>
        <w:t>management,</w:t>
      </w:r>
      <w:r>
        <w:rPr>
          <w:spacing w:val="-6"/>
          <w:sz w:val="20"/>
        </w:rPr>
        <w:t> </w:t>
      </w:r>
      <w:r>
        <w:rPr>
          <w:sz w:val="20"/>
        </w:rPr>
        <w:t>risk</w:t>
      </w:r>
      <w:r>
        <w:rPr>
          <w:spacing w:val="-5"/>
          <w:sz w:val="20"/>
        </w:rPr>
        <w:t> </w:t>
      </w:r>
      <w:r>
        <w:rPr>
          <w:sz w:val="20"/>
        </w:rPr>
        <w:t>management,</w:t>
      </w:r>
      <w:r>
        <w:rPr>
          <w:spacing w:val="-6"/>
          <w:sz w:val="20"/>
        </w:rPr>
        <w:t> </w:t>
      </w:r>
      <w:r>
        <w:rPr>
          <w:sz w:val="20"/>
        </w:rPr>
        <w:t>mediation</w:t>
      </w:r>
      <w:r>
        <w:rPr>
          <w:spacing w:val="-4"/>
          <w:sz w:val="20"/>
        </w:rPr>
        <w:t> </w:t>
      </w:r>
      <w:r>
        <w:rPr>
          <w:sz w:val="20"/>
        </w:rPr>
        <w:t>and</w:t>
      </w:r>
      <w:r>
        <w:rPr>
          <w:spacing w:val="-6"/>
          <w:sz w:val="20"/>
        </w:rPr>
        <w:t> </w:t>
      </w:r>
      <w:r>
        <w:rPr>
          <w:sz w:val="20"/>
        </w:rPr>
        <w:t>arbitration,</w:t>
      </w:r>
      <w:r>
        <w:rPr>
          <w:spacing w:val="-4"/>
          <w:sz w:val="20"/>
        </w:rPr>
        <w:t> </w:t>
      </w:r>
      <w:r>
        <w:rPr>
          <w:sz w:val="20"/>
        </w:rPr>
        <w:t>and</w:t>
      </w:r>
      <w:r>
        <w:rPr>
          <w:spacing w:val="-6"/>
          <w:sz w:val="20"/>
        </w:rPr>
        <w:t> </w:t>
      </w:r>
      <w:r>
        <w:rPr>
          <w:sz w:val="20"/>
        </w:rPr>
        <w:t>recognizing trends that affect practice.</w:t>
      </w:r>
    </w:p>
    <w:p>
      <w:pPr>
        <w:spacing w:after="0" w:line="240" w:lineRule="auto"/>
        <w:jc w:val="left"/>
        <w:rPr>
          <w:sz w:val="20"/>
        </w:rPr>
        <w:sectPr>
          <w:headerReference w:type="default" r:id="rId113"/>
          <w:footerReference w:type="default" r:id="rId114"/>
          <w:pgSz w:w="12240" w:h="15840"/>
          <w:pgMar w:header="0" w:footer="974" w:top="1360" w:bottom="1160" w:left="1160" w:right="320"/>
        </w:sectPr>
      </w:pPr>
    </w:p>
    <w:p>
      <w:pPr>
        <w:pStyle w:val="BodyText"/>
        <w:tabs>
          <w:tab w:pos="3879" w:val="left" w:leader="none"/>
          <w:tab w:pos="7479" w:val="left" w:leader="none"/>
        </w:tabs>
        <w:spacing w:before="77"/>
        <w:ind w:left="2440"/>
      </w:pPr>
      <w:r>
        <w:rPr/>
        <w:t>ARC</w:t>
      </w:r>
      <w:r>
        <w:rPr>
          <w:spacing w:val="-7"/>
        </w:rPr>
        <w:t> </w:t>
      </w:r>
      <w:r>
        <w:rPr>
          <w:spacing w:val="-5"/>
        </w:rPr>
        <w:t>517</w:t>
      </w:r>
      <w:r>
        <w:rPr/>
        <w:tab/>
        <w:t>Professional</w:t>
      </w:r>
      <w:r>
        <w:rPr>
          <w:spacing w:val="-12"/>
        </w:rPr>
        <w:t> </w:t>
      </w:r>
      <w:r>
        <w:rPr/>
        <w:t>Practice</w:t>
      </w:r>
      <w:r>
        <w:rPr>
          <w:spacing w:val="-11"/>
        </w:rPr>
        <w:t> </w:t>
      </w:r>
      <w:r>
        <w:rPr>
          <w:spacing w:val="-10"/>
        </w:rPr>
        <w:t>1</w:t>
      </w:r>
      <w:r>
        <w:rPr/>
        <w:tab/>
        <w:t>Papers</w:t>
      </w:r>
      <w:r>
        <w:rPr>
          <w:spacing w:val="-4"/>
        </w:rPr>
        <w:t> </w:t>
      </w:r>
      <w:r>
        <w:rPr/>
        <w:t>/</w:t>
      </w:r>
      <w:r>
        <w:rPr>
          <w:spacing w:val="-5"/>
        </w:rPr>
        <w:t> </w:t>
      </w:r>
      <w:r>
        <w:rPr>
          <w:spacing w:val="-2"/>
        </w:rPr>
        <w:t>Tests</w:t>
      </w:r>
    </w:p>
    <w:p>
      <w:pPr>
        <w:pStyle w:val="BodyText"/>
        <w:spacing w:before="10"/>
      </w:pPr>
    </w:p>
    <w:p>
      <w:pPr>
        <w:pStyle w:val="BodyText"/>
        <w:ind w:left="2440" w:right="1211"/>
      </w:pPr>
      <w:r>
        <w:rPr/>
        <w:t>Students</w:t>
      </w:r>
      <w:r>
        <w:rPr>
          <w:spacing w:val="-4"/>
        </w:rPr>
        <w:t> </w:t>
      </w:r>
      <w:r>
        <w:rPr/>
        <w:t>are</w:t>
      </w:r>
      <w:r>
        <w:rPr>
          <w:spacing w:val="-5"/>
        </w:rPr>
        <w:t> </w:t>
      </w:r>
      <w:r>
        <w:rPr/>
        <w:t>required</w:t>
      </w:r>
      <w:r>
        <w:rPr>
          <w:spacing w:val="-3"/>
        </w:rPr>
        <w:t> </w:t>
      </w:r>
      <w:r>
        <w:rPr/>
        <w:t>to</w:t>
      </w:r>
      <w:r>
        <w:rPr>
          <w:spacing w:val="-3"/>
        </w:rPr>
        <w:t> </w:t>
      </w:r>
      <w:r>
        <w:rPr/>
        <w:t>visit</w:t>
      </w:r>
      <w:r>
        <w:rPr>
          <w:spacing w:val="-5"/>
        </w:rPr>
        <w:t> </w:t>
      </w:r>
      <w:r>
        <w:rPr/>
        <w:t>architectural</w:t>
      </w:r>
      <w:r>
        <w:rPr>
          <w:spacing w:val="-6"/>
        </w:rPr>
        <w:t> </w:t>
      </w:r>
      <w:r>
        <w:rPr/>
        <w:t>offices</w:t>
      </w:r>
      <w:r>
        <w:rPr>
          <w:spacing w:val="-4"/>
        </w:rPr>
        <w:t> </w:t>
      </w:r>
      <w:r>
        <w:rPr/>
        <w:t>and</w:t>
      </w:r>
      <w:r>
        <w:rPr>
          <w:spacing w:val="-5"/>
        </w:rPr>
        <w:t> </w:t>
      </w:r>
      <w:r>
        <w:rPr/>
        <w:t>discuss</w:t>
      </w:r>
      <w:r>
        <w:rPr>
          <w:spacing w:val="-4"/>
        </w:rPr>
        <w:t> </w:t>
      </w:r>
      <w:r>
        <w:rPr/>
        <w:t>with</w:t>
      </w:r>
      <w:r>
        <w:rPr>
          <w:spacing w:val="-5"/>
        </w:rPr>
        <w:t> </w:t>
      </w:r>
      <w:r>
        <w:rPr/>
        <w:t>the</w:t>
      </w:r>
      <w:r>
        <w:rPr>
          <w:spacing w:val="-5"/>
        </w:rPr>
        <w:t> </w:t>
      </w:r>
      <w:r>
        <w:rPr/>
        <w:t>principals a variety of topics. These discussions are presented to the class in seminar </w:t>
      </w:r>
      <w:r>
        <w:rPr>
          <w:spacing w:val="-2"/>
        </w:rPr>
        <w:t>fashion.</w:t>
      </w:r>
    </w:p>
    <w:p>
      <w:pPr>
        <w:pStyle w:val="BodyText"/>
        <w:spacing w:before="9"/>
      </w:pPr>
    </w:p>
    <w:p>
      <w:pPr>
        <w:pStyle w:val="ListParagraph"/>
        <w:numPr>
          <w:ilvl w:val="1"/>
          <w:numId w:val="37"/>
        </w:numPr>
        <w:tabs>
          <w:tab w:pos="2432" w:val="left" w:leader="none"/>
          <w:tab w:pos="2433" w:val="left" w:leader="none"/>
        </w:tabs>
        <w:spacing w:line="240" w:lineRule="auto" w:before="0" w:after="0"/>
        <w:ind w:left="2432" w:right="1480" w:hanging="929"/>
        <w:jc w:val="left"/>
        <w:rPr>
          <w:sz w:val="20"/>
        </w:rPr>
      </w:pPr>
      <w:r>
        <w:rPr>
          <w:sz w:val="20"/>
        </w:rPr>
        <w:t>Leadership:</w:t>
      </w:r>
      <w:r>
        <w:rPr>
          <w:spacing w:val="-5"/>
          <w:sz w:val="20"/>
        </w:rPr>
        <w:t> </w:t>
      </w:r>
      <w:r>
        <w:rPr>
          <w:sz w:val="20"/>
        </w:rPr>
        <w:t>Understanding</w:t>
      </w:r>
      <w:r>
        <w:rPr>
          <w:spacing w:val="-4"/>
          <w:sz w:val="20"/>
        </w:rPr>
        <w:t> </w:t>
      </w:r>
      <w:r>
        <w:rPr>
          <w:sz w:val="20"/>
        </w:rPr>
        <w:t>of</w:t>
      </w:r>
      <w:r>
        <w:rPr>
          <w:spacing w:val="-4"/>
          <w:sz w:val="20"/>
        </w:rPr>
        <w:t> </w:t>
      </w:r>
      <w:r>
        <w:rPr>
          <w:sz w:val="20"/>
        </w:rPr>
        <w:t>the</w:t>
      </w:r>
      <w:r>
        <w:rPr>
          <w:spacing w:val="-5"/>
          <w:sz w:val="20"/>
        </w:rPr>
        <w:t> </w:t>
      </w:r>
      <w:r>
        <w:rPr>
          <w:sz w:val="20"/>
        </w:rPr>
        <w:t>techniques</w:t>
      </w:r>
      <w:r>
        <w:rPr>
          <w:spacing w:val="-4"/>
          <w:sz w:val="20"/>
        </w:rPr>
        <w:t> </w:t>
      </w:r>
      <w:r>
        <w:rPr>
          <w:sz w:val="20"/>
        </w:rPr>
        <w:t>and</w:t>
      </w:r>
      <w:r>
        <w:rPr>
          <w:spacing w:val="-5"/>
          <w:sz w:val="20"/>
        </w:rPr>
        <w:t> </w:t>
      </w:r>
      <w:r>
        <w:rPr>
          <w:sz w:val="20"/>
        </w:rPr>
        <w:t>skills</w:t>
      </w:r>
      <w:r>
        <w:rPr>
          <w:spacing w:val="-4"/>
          <w:sz w:val="20"/>
        </w:rPr>
        <w:t> </w:t>
      </w:r>
      <w:r>
        <w:rPr>
          <w:sz w:val="20"/>
        </w:rPr>
        <w:t>architects</w:t>
      </w:r>
      <w:r>
        <w:rPr>
          <w:spacing w:val="-4"/>
          <w:sz w:val="20"/>
        </w:rPr>
        <w:t> </w:t>
      </w:r>
      <w:r>
        <w:rPr>
          <w:sz w:val="20"/>
        </w:rPr>
        <w:t>use</w:t>
      </w:r>
      <w:r>
        <w:rPr>
          <w:spacing w:val="-5"/>
          <w:sz w:val="20"/>
        </w:rPr>
        <w:t> </w:t>
      </w:r>
      <w:r>
        <w:rPr>
          <w:sz w:val="20"/>
        </w:rPr>
        <w:t>to</w:t>
      </w:r>
      <w:r>
        <w:rPr>
          <w:spacing w:val="-4"/>
          <w:sz w:val="20"/>
        </w:rPr>
        <w:t> </w:t>
      </w:r>
      <w:r>
        <w:rPr>
          <w:sz w:val="20"/>
        </w:rPr>
        <w:t>work collaboratively in the building design and construction process and on environmental, social, and aesthetic issues in their communities.</w:t>
      </w:r>
    </w:p>
    <w:p>
      <w:pPr>
        <w:pStyle w:val="BodyText"/>
        <w:rPr>
          <w:sz w:val="21"/>
        </w:rPr>
      </w:pPr>
    </w:p>
    <w:p>
      <w:pPr>
        <w:pStyle w:val="BodyText"/>
        <w:tabs>
          <w:tab w:pos="3879" w:val="left" w:leader="none"/>
          <w:tab w:pos="7479" w:val="left" w:leader="none"/>
        </w:tabs>
        <w:ind w:left="2439"/>
      </w:pPr>
      <w:r>
        <w:rPr/>
        <w:t>ARC</w:t>
      </w:r>
      <w:r>
        <w:rPr>
          <w:spacing w:val="-7"/>
        </w:rPr>
        <w:t> </w:t>
      </w:r>
      <w:r>
        <w:rPr>
          <w:spacing w:val="-5"/>
        </w:rPr>
        <w:t>512</w:t>
      </w:r>
      <w:r>
        <w:rPr/>
        <w:tab/>
        <w:t>Professional</w:t>
      </w:r>
      <w:r>
        <w:rPr>
          <w:spacing w:val="-12"/>
        </w:rPr>
        <w:t> </w:t>
      </w:r>
      <w:r>
        <w:rPr/>
        <w:t>Practice</w:t>
      </w:r>
      <w:r>
        <w:rPr>
          <w:spacing w:val="-11"/>
        </w:rPr>
        <w:t> </w:t>
      </w:r>
      <w:r>
        <w:rPr>
          <w:spacing w:val="-10"/>
        </w:rPr>
        <w:t>1</w:t>
      </w:r>
      <w:r>
        <w:rPr/>
        <w:tab/>
      </w:r>
      <w:r>
        <w:rPr>
          <w:spacing w:val="-2"/>
        </w:rPr>
        <w:t>Papers</w:t>
      </w:r>
    </w:p>
    <w:p>
      <w:pPr>
        <w:pStyle w:val="BodyText"/>
        <w:tabs>
          <w:tab w:pos="7479" w:val="left" w:leader="none"/>
        </w:tabs>
        <w:spacing w:before="1"/>
        <w:ind w:left="2439"/>
      </w:pPr>
      <w:r>
        <w:rPr/>
        <w:t>ARC</w:t>
      </w:r>
      <w:r>
        <w:rPr>
          <w:spacing w:val="-7"/>
        </w:rPr>
        <w:t> </w:t>
      </w:r>
      <w:r>
        <w:rPr>
          <w:spacing w:val="-5"/>
        </w:rPr>
        <w:t>618</w:t>
      </w:r>
      <w:r>
        <w:rPr/>
        <w:tab/>
      </w:r>
      <w:r>
        <w:rPr>
          <w:spacing w:val="-2"/>
        </w:rPr>
        <w:t>Papers</w:t>
      </w:r>
    </w:p>
    <w:p>
      <w:pPr>
        <w:pStyle w:val="BodyText"/>
        <w:spacing w:before="7"/>
      </w:pPr>
    </w:p>
    <w:p>
      <w:pPr>
        <w:pStyle w:val="BodyText"/>
        <w:ind w:left="2439" w:right="1163"/>
      </w:pPr>
      <w:r>
        <w:rPr/>
        <w:t>The C.6 Leadership criterion is addressed as follows. The thesis requires students to take a stand and propose direction for solution to a pressing architectural problem. In defining and characterizing the architectural problem their thesis seeks to resolve they must construct the environmental, social, cultural, political, and economic context in which the problem is found. In identifying and characterizing an architectural problem, and conceiving a direction for resolution students demonstrate understanding about the responsibilities of the architect, and of which those shared with the design team and the community it works for. Students have to analyze and evaluate architectural work and in this critical thinking process they have to identify and interpret all the forces that have shaped the projects to understand who affects what and in what context. This is primarily demonstrated in the contexts created by</w:t>
      </w:r>
      <w:r>
        <w:rPr>
          <w:spacing w:val="-6"/>
        </w:rPr>
        <w:t> </w:t>
      </w:r>
      <w:r>
        <w:rPr/>
        <w:t>the</w:t>
      </w:r>
      <w:r>
        <w:rPr>
          <w:spacing w:val="-4"/>
        </w:rPr>
        <w:t> </w:t>
      </w:r>
      <w:r>
        <w:rPr/>
        <w:t>student</w:t>
      </w:r>
      <w:r>
        <w:rPr>
          <w:spacing w:val="-4"/>
        </w:rPr>
        <w:t> </w:t>
      </w:r>
      <w:r>
        <w:rPr/>
        <w:t>to</w:t>
      </w:r>
      <w:r>
        <w:rPr>
          <w:spacing w:val="-2"/>
        </w:rPr>
        <w:t> </w:t>
      </w:r>
      <w:r>
        <w:rPr/>
        <w:t>test</w:t>
      </w:r>
      <w:r>
        <w:rPr>
          <w:spacing w:val="-4"/>
        </w:rPr>
        <w:t> </w:t>
      </w:r>
      <w:r>
        <w:rPr/>
        <w:t>their</w:t>
      </w:r>
      <w:r>
        <w:rPr>
          <w:spacing w:val="-1"/>
        </w:rPr>
        <w:t> </w:t>
      </w:r>
      <w:r>
        <w:rPr/>
        <w:t>architectural</w:t>
      </w:r>
      <w:r>
        <w:rPr>
          <w:spacing w:val="-4"/>
        </w:rPr>
        <w:t> </w:t>
      </w:r>
      <w:r>
        <w:rPr/>
        <w:t>proposition,</w:t>
      </w:r>
      <w:r>
        <w:rPr>
          <w:spacing w:val="-4"/>
        </w:rPr>
        <w:t> </w:t>
      </w:r>
      <w:r>
        <w:rPr/>
        <w:t>and</w:t>
      </w:r>
      <w:r>
        <w:rPr>
          <w:spacing w:val="-4"/>
        </w:rPr>
        <w:t> </w:t>
      </w:r>
      <w:r>
        <w:rPr/>
        <w:t>by</w:t>
      </w:r>
      <w:r>
        <w:rPr>
          <w:spacing w:val="-6"/>
        </w:rPr>
        <w:t> </w:t>
      </w:r>
      <w:r>
        <w:rPr/>
        <w:t>the</w:t>
      </w:r>
      <w:r>
        <w:rPr>
          <w:spacing w:val="-4"/>
        </w:rPr>
        <w:t> </w:t>
      </w:r>
      <w:r>
        <w:rPr/>
        <w:t>set</w:t>
      </w:r>
      <w:r>
        <w:rPr>
          <w:spacing w:val="-2"/>
        </w:rPr>
        <w:t> </w:t>
      </w:r>
      <w:r>
        <w:rPr/>
        <w:t>of</w:t>
      </w:r>
      <w:r>
        <w:rPr>
          <w:spacing w:val="-2"/>
        </w:rPr>
        <w:t> </w:t>
      </w:r>
      <w:r>
        <w:rPr/>
        <w:t>criteria</w:t>
      </w:r>
      <w:r>
        <w:rPr>
          <w:spacing w:val="-4"/>
        </w:rPr>
        <w:t> </w:t>
      </w:r>
      <w:r>
        <w:rPr/>
        <w:t>they have defined to evaluate the research products.</w:t>
      </w:r>
    </w:p>
    <w:p>
      <w:pPr>
        <w:pStyle w:val="BodyText"/>
        <w:spacing w:before="10"/>
      </w:pPr>
    </w:p>
    <w:p>
      <w:pPr>
        <w:pStyle w:val="ListParagraph"/>
        <w:numPr>
          <w:ilvl w:val="1"/>
          <w:numId w:val="37"/>
        </w:numPr>
        <w:tabs>
          <w:tab w:pos="2432" w:val="left" w:leader="none"/>
          <w:tab w:pos="2433" w:val="left" w:leader="none"/>
        </w:tabs>
        <w:spacing w:line="240" w:lineRule="auto" w:before="0" w:after="0"/>
        <w:ind w:left="2432" w:right="1125" w:hanging="929"/>
        <w:jc w:val="left"/>
        <w:rPr>
          <w:sz w:val="20"/>
        </w:rPr>
      </w:pPr>
      <w:r>
        <w:rPr>
          <w:sz w:val="20"/>
        </w:rPr>
        <w:t>Legal</w:t>
      </w:r>
      <w:r>
        <w:rPr>
          <w:spacing w:val="-7"/>
          <w:sz w:val="20"/>
        </w:rPr>
        <w:t> </w:t>
      </w:r>
      <w:r>
        <w:rPr>
          <w:sz w:val="20"/>
        </w:rPr>
        <w:t>Responsibilities:</w:t>
      </w:r>
      <w:r>
        <w:rPr>
          <w:spacing w:val="-3"/>
          <w:sz w:val="20"/>
        </w:rPr>
        <w:t> </w:t>
      </w:r>
      <w:r>
        <w:rPr>
          <w:i/>
          <w:sz w:val="20"/>
        </w:rPr>
        <w:t>Understanding</w:t>
      </w:r>
      <w:r>
        <w:rPr>
          <w:i/>
          <w:spacing w:val="-4"/>
          <w:sz w:val="20"/>
        </w:rPr>
        <w:t> </w:t>
      </w:r>
      <w:r>
        <w:rPr>
          <w:sz w:val="20"/>
        </w:rPr>
        <w:t>of</w:t>
      </w:r>
      <w:r>
        <w:rPr>
          <w:spacing w:val="-4"/>
          <w:sz w:val="20"/>
        </w:rPr>
        <w:t> </w:t>
      </w:r>
      <w:r>
        <w:rPr>
          <w:sz w:val="20"/>
        </w:rPr>
        <w:t>the</w:t>
      </w:r>
      <w:r>
        <w:rPr>
          <w:spacing w:val="-6"/>
          <w:sz w:val="20"/>
        </w:rPr>
        <w:t> </w:t>
      </w:r>
      <w:r>
        <w:rPr>
          <w:sz w:val="20"/>
        </w:rPr>
        <w:t>architect’s</w:t>
      </w:r>
      <w:r>
        <w:rPr>
          <w:spacing w:val="-2"/>
          <w:sz w:val="20"/>
        </w:rPr>
        <w:t> </w:t>
      </w:r>
      <w:r>
        <w:rPr>
          <w:sz w:val="20"/>
        </w:rPr>
        <w:t>responsibility</w:t>
      </w:r>
      <w:r>
        <w:rPr>
          <w:spacing w:val="-9"/>
          <w:sz w:val="20"/>
        </w:rPr>
        <w:t> </w:t>
      </w:r>
      <w:r>
        <w:rPr>
          <w:sz w:val="20"/>
        </w:rPr>
        <w:t>to</w:t>
      </w:r>
      <w:r>
        <w:rPr>
          <w:spacing w:val="-6"/>
          <w:sz w:val="20"/>
        </w:rPr>
        <w:t> </w:t>
      </w:r>
      <w:r>
        <w:rPr>
          <w:sz w:val="20"/>
        </w:rPr>
        <w:t>the</w:t>
      </w:r>
      <w:r>
        <w:rPr>
          <w:spacing w:val="-6"/>
          <w:sz w:val="20"/>
        </w:rPr>
        <w:t> </w:t>
      </w:r>
      <w:r>
        <w:rPr>
          <w:sz w:val="20"/>
        </w:rPr>
        <w:t>public and the client as determined by registration law, building codes and regulations, professional</w:t>
      </w:r>
      <w:r>
        <w:rPr>
          <w:spacing w:val="-1"/>
          <w:sz w:val="20"/>
        </w:rPr>
        <w:t> </w:t>
      </w:r>
      <w:r>
        <w:rPr>
          <w:sz w:val="20"/>
        </w:rPr>
        <w:t>service</w:t>
      </w:r>
      <w:r>
        <w:rPr>
          <w:spacing w:val="-2"/>
          <w:sz w:val="20"/>
        </w:rPr>
        <w:t> </w:t>
      </w:r>
      <w:r>
        <w:rPr>
          <w:sz w:val="20"/>
        </w:rPr>
        <w:t>contracts,</w:t>
      </w:r>
      <w:r>
        <w:rPr>
          <w:spacing w:val="-2"/>
          <w:sz w:val="20"/>
        </w:rPr>
        <w:t> </w:t>
      </w:r>
      <w:r>
        <w:rPr>
          <w:sz w:val="20"/>
        </w:rPr>
        <w:t>zoning and</w:t>
      </w:r>
      <w:r>
        <w:rPr>
          <w:spacing w:val="-2"/>
          <w:sz w:val="20"/>
        </w:rPr>
        <w:t> </w:t>
      </w:r>
      <w:r>
        <w:rPr>
          <w:sz w:val="20"/>
        </w:rPr>
        <w:t>subdivision ordinances,</w:t>
      </w:r>
      <w:r>
        <w:rPr>
          <w:spacing w:val="-2"/>
          <w:sz w:val="20"/>
        </w:rPr>
        <w:t> </w:t>
      </w:r>
      <w:r>
        <w:rPr>
          <w:sz w:val="20"/>
        </w:rPr>
        <w:t>environmental regulation, and historic preservation and accessibility laws.</w:t>
      </w:r>
    </w:p>
    <w:p>
      <w:pPr>
        <w:pStyle w:val="BodyText"/>
        <w:spacing w:before="8"/>
        <w:rPr>
          <w:sz w:val="21"/>
        </w:rPr>
      </w:pPr>
    </w:p>
    <w:tbl>
      <w:tblPr>
        <w:tblW w:w="0" w:type="auto"/>
        <w:jc w:val="left"/>
        <w:tblInd w:w="2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69"/>
        <w:gridCol w:w="2943"/>
        <w:gridCol w:w="1462"/>
      </w:tblGrid>
      <w:tr>
        <w:trPr>
          <w:trHeight w:val="226" w:hRule="atLeast"/>
        </w:trPr>
        <w:tc>
          <w:tcPr>
            <w:tcW w:w="1369" w:type="dxa"/>
          </w:tcPr>
          <w:p>
            <w:pPr>
              <w:pStyle w:val="TableParagraph"/>
              <w:spacing w:line="207" w:lineRule="exact"/>
              <w:ind w:left="50"/>
              <w:rPr>
                <w:sz w:val="20"/>
              </w:rPr>
            </w:pPr>
            <w:r>
              <w:rPr>
                <w:sz w:val="20"/>
              </w:rPr>
              <w:t>ARC</w:t>
            </w:r>
            <w:r>
              <w:rPr>
                <w:spacing w:val="-7"/>
                <w:sz w:val="20"/>
              </w:rPr>
              <w:t> </w:t>
            </w:r>
            <w:r>
              <w:rPr>
                <w:spacing w:val="-5"/>
                <w:sz w:val="20"/>
              </w:rPr>
              <w:t>518</w:t>
            </w:r>
          </w:p>
        </w:tc>
        <w:tc>
          <w:tcPr>
            <w:tcW w:w="2943" w:type="dxa"/>
          </w:tcPr>
          <w:p>
            <w:pPr>
              <w:pStyle w:val="TableParagraph"/>
              <w:spacing w:line="207" w:lineRule="exact"/>
              <w:ind w:left="121"/>
              <w:rPr>
                <w:sz w:val="20"/>
              </w:rPr>
            </w:pPr>
            <w:r>
              <w:rPr>
                <w:sz w:val="20"/>
              </w:rPr>
              <w:t>Professional</w:t>
            </w:r>
            <w:r>
              <w:rPr>
                <w:spacing w:val="-12"/>
                <w:sz w:val="20"/>
              </w:rPr>
              <w:t> </w:t>
            </w:r>
            <w:r>
              <w:rPr>
                <w:sz w:val="20"/>
              </w:rPr>
              <w:t>Practice</w:t>
            </w:r>
            <w:r>
              <w:rPr>
                <w:spacing w:val="-11"/>
                <w:sz w:val="20"/>
              </w:rPr>
              <w:t> </w:t>
            </w:r>
            <w:r>
              <w:rPr>
                <w:spacing w:val="-10"/>
                <w:sz w:val="20"/>
              </w:rPr>
              <w:t>2</w:t>
            </w:r>
          </w:p>
        </w:tc>
        <w:tc>
          <w:tcPr>
            <w:tcW w:w="1462" w:type="dxa"/>
          </w:tcPr>
          <w:p>
            <w:pPr>
              <w:pStyle w:val="TableParagraph"/>
              <w:spacing w:line="207" w:lineRule="exact"/>
              <w:ind w:right="49"/>
              <w:jc w:val="right"/>
              <w:rPr>
                <w:sz w:val="20"/>
              </w:rPr>
            </w:pPr>
            <w:r>
              <w:rPr>
                <w:spacing w:val="-2"/>
                <w:sz w:val="20"/>
              </w:rPr>
              <w:t>Papers</w:t>
            </w:r>
          </w:p>
        </w:tc>
      </w:tr>
      <w:tr>
        <w:trPr>
          <w:trHeight w:val="226" w:hRule="atLeast"/>
        </w:trPr>
        <w:tc>
          <w:tcPr>
            <w:tcW w:w="1369" w:type="dxa"/>
          </w:tcPr>
          <w:p>
            <w:pPr>
              <w:pStyle w:val="TableParagraph"/>
              <w:spacing w:line="207" w:lineRule="exact"/>
              <w:ind w:left="50"/>
              <w:rPr>
                <w:sz w:val="20"/>
              </w:rPr>
            </w:pPr>
            <w:r>
              <w:rPr>
                <w:sz w:val="20"/>
              </w:rPr>
              <w:t>ARC</w:t>
            </w:r>
            <w:r>
              <w:rPr>
                <w:spacing w:val="-7"/>
                <w:sz w:val="20"/>
              </w:rPr>
              <w:t> </w:t>
            </w:r>
            <w:r>
              <w:rPr>
                <w:spacing w:val="-2"/>
                <w:sz w:val="20"/>
              </w:rPr>
              <w:t>405/406</w:t>
            </w:r>
          </w:p>
        </w:tc>
        <w:tc>
          <w:tcPr>
            <w:tcW w:w="2943" w:type="dxa"/>
          </w:tcPr>
          <w:p>
            <w:pPr>
              <w:pStyle w:val="TableParagraph"/>
              <w:spacing w:line="207" w:lineRule="exact"/>
              <w:ind w:left="121"/>
              <w:rPr>
                <w:sz w:val="20"/>
              </w:rPr>
            </w:pPr>
            <w:r>
              <w:rPr>
                <w:sz w:val="20"/>
              </w:rPr>
              <w:t>Design</w:t>
            </w:r>
            <w:r>
              <w:rPr>
                <w:spacing w:val="-4"/>
                <w:sz w:val="20"/>
              </w:rPr>
              <w:t> </w:t>
            </w:r>
            <w:r>
              <w:rPr>
                <w:sz w:val="20"/>
              </w:rPr>
              <w:t>Studio</w:t>
            </w:r>
            <w:r>
              <w:rPr>
                <w:spacing w:val="-5"/>
                <w:sz w:val="20"/>
              </w:rPr>
              <w:t> </w:t>
            </w:r>
            <w:r>
              <w:rPr>
                <w:sz w:val="20"/>
              </w:rPr>
              <w:t>8</w:t>
            </w:r>
            <w:r>
              <w:rPr>
                <w:spacing w:val="-3"/>
                <w:sz w:val="20"/>
              </w:rPr>
              <w:t> </w:t>
            </w:r>
            <w:r>
              <w:rPr>
                <w:sz w:val="20"/>
              </w:rPr>
              <w:t>&amp;</w:t>
            </w:r>
            <w:r>
              <w:rPr>
                <w:spacing w:val="-4"/>
                <w:sz w:val="20"/>
              </w:rPr>
              <w:t> </w:t>
            </w:r>
            <w:r>
              <w:rPr>
                <w:spacing w:val="-10"/>
                <w:sz w:val="20"/>
              </w:rPr>
              <w:t>9</w:t>
            </w:r>
          </w:p>
        </w:tc>
        <w:tc>
          <w:tcPr>
            <w:tcW w:w="1462" w:type="dxa"/>
          </w:tcPr>
          <w:p>
            <w:pPr>
              <w:pStyle w:val="TableParagraph"/>
              <w:spacing w:line="207" w:lineRule="exact"/>
              <w:ind w:right="49"/>
              <w:jc w:val="right"/>
              <w:rPr>
                <w:sz w:val="20"/>
              </w:rPr>
            </w:pPr>
            <w:r>
              <w:rPr>
                <w:spacing w:val="-2"/>
                <w:sz w:val="20"/>
              </w:rPr>
              <w:t>Papers</w:t>
            </w:r>
          </w:p>
        </w:tc>
      </w:tr>
    </w:tbl>
    <w:p>
      <w:pPr>
        <w:pStyle w:val="BodyText"/>
        <w:rPr>
          <w:sz w:val="21"/>
        </w:rPr>
      </w:pPr>
    </w:p>
    <w:p>
      <w:pPr>
        <w:pStyle w:val="BodyText"/>
        <w:ind w:left="2439" w:right="1211"/>
      </w:pPr>
      <w:r>
        <w:rPr/>
        <w:t>Students</w:t>
      </w:r>
      <w:r>
        <w:rPr>
          <w:spacing w:val="-4"/>
        </w:rPr>
        <w:t> </w:t>
      </w:r>
      <w:r>
        <w:rPr/>
        <w:t>are</w:t>
      </w:r>
      <w:r>
        <w:rPr>
          <w:spacing w:val="-5"/>
        </w:rPr>
        <w:t> </w:t>
      </w:r>
      <w:r>
        <w:rPr/>
        <w:t>introduced</w:t>
      </w:r>
      <w:r>
        <w:rPr>
          <w:spacing w:val="-5"/>
        </w:rPr>
        <w:t> </w:t>
      </w:r>
      <w:r>
        <w:rPr/>
        <w:t>to</w:t>
      </w:r>
      <w:r>
        <w:rPr>
          <w:spacing w:val="-3"/>
        </w:rPr>
        <w:t> </w:t>
      </w:r>
      <w:r>
        <w:rPr/>
        <w:t>the</w:t>
      </w:r>
      <w:r>
        <w:rPr>
          <w:spacing w:val="-5"/>
        </w:rPr>
        <w:t> </w:t>
      </w:r>
      <w:r>
        <w:rPr/>
        <w:t>requirements</w:t>
      </w:r>
      <w:r>
        <w:rPr>
          <w:spacing w:val="-4"/>
        </w:rPr>
        <w:t> </w:t>
      </w:r>
      <w:r>
        <w:rPr/>
        <w:t>imposed</w:t>
      </w:r>
      <w:r>
        <w:rPr>
          <w:spacing w:val="-3"/>
        </w:rPr>
        <w:t> </w:t>
      </w:r>
      <w:r>
        <w:rPr/>
        <w:t>by</w:t>
      </w:r>
      <w:r>
        <w:rPr>
          <w:spacing w:val="-7"/>
        </w:rPr>
        <w:t> </w:t>
      </w:r>
      <w:r>
        <w:rPr/>
        <w:t>the</w:t>
      </w:r>
      <w:r>
        <w:rPr>
          <w:spacing w:val="-3"/>
        </w:rPr>
        <w:t> </w:t>
      </w:r>
      <w:r>
        <w:rPr/>
        <w:t>Building</w:t>
      </w:r>
      <w:r>
        <w:rPr>
          <w:spacing w:val="-5"/>
        </w:rPr>
        <w:t> </w:t>
      </w:r>
      <w:r>
        <w:rPr/>
        <w:t>Codes</w:t>
      </w:r>
      <w:r>
        <w:rPr>
          <w:spacing w:val="-4"/>
        </w:rPr>
        <w:t> </w:t>
      </w:r>
      <w:r>
        <w:rPr/>
        <w:t>in the third year design studio.</w:t>
      </w:r>
    </w:p>
    <w:p>
      <w:pPr>
        <w:pStyle w:val="BodyText"/>
        <w:spacing w:before="8"/>
      </w:pPr>
    </w:p>
    <w:p>
      <w:pPr>
        <w:pStyle w:val="ListParagraph"/>
        <w:numPr>
          <w:ilvl w:val="1"/>
          <w:numId w:val="37"/>
        </w:numPr>
        <w:tabs>
          <w:tab w:pos="2432" w:val="left" w:leader="none"/>
          <w:tab w:pos="2433" w:val="left" w:leader="none"/>
        </w:tabs>
        <w:spacing w:line="240" w:lineRule="auto" w:before="0" w:after="0"/>
        <w:ind w:left="2432" w:right="1291" w:hanging="929"/>
        <w:jc w:val="left"/>
        <w:rPr>
          <w:sz w:val="20"/>
        </w:rPr>
      </w:pPr>
      <w:r>
        <w:rPr>
          <w:sz w:val="20"/>
        </w:rPr>
        <w:t>Ethics</w:t>
      </w:r>
      <w:r>
        <w:rPr>
          <w:spacing w:val="-5"/>
          <w:sz w:val="20"/>
        </w:rPr>
        <w:t> </w:t>
      </w:r>
      <w:r>
        <w:rPr>
          <w:sz w:val="20"/>
        </w:rPr>
        <w:t>and</w:t>
      </w:r>
      <w:r>
        <w:rPr>
          <w:spacing w:val="-4"/>
          <w:sz w:val="20"/>
        </w:rPr>
        <w:t> </w:t>
      </w:r>
      <w:r>
        <w:rPr>
          <w:sz w:val="20"/>
        </w:rPr>
        <w:t>Professional</w:t>
      </w:r>
      <w:r>
        <w:rPr>
          <w:spacing w:val="-7"/>
          <w:sz w:val="20"/>
        </w:rPr>
        <w:t> </w:t>
      </w:r>
      <w:r>
        <w:rPr>
          <w:sz w:val="20"/>
        </w:rPr>
        <w:t>Judgment:</w:t>
      </w:r>
      <w:r>
        <w:rPr>
          <w:spacing w:val="-6"/>
          <w:sz w:val="20"/>
        </w:rPr>
        <w:t> </w:t>
      </w:r>
      <w:r>
        <w:rPr>
          <w:i/>
          <w:sz w:val="20"/>
        </w:rPr>
        <w:t>Understanding</w:t>
      </w:r>
      <w:r>
        <w:rPr>
          <w:i/>
          <w:spacing w:val="-4"/>
          <w:sz w:val="20"/>
        </w:rPr>
        <w:t> </w:t>
      </w:r>
      <w:r>
        <w:rPr>
          <w:sz w:val="20"/>
        </w:rPr>
        <w:t>of</w:t>
      </w:r>
      <w:r>
        <w:rPr>
          <w:spacing w:val="-4"/>
          <w:sz w:val="20"/>
        </w:rPr>
        <w:t> </w:t>
      </w:r>
      <w:r>
        <w:rPr>
          <w:sz w:val="20"/>
        </w:rPr>
        <w:t>the</w:t>
      </w:r>
      <w:r>
        <w:rPr>
          <w:spacing w:val="-6"/>
          <w:sz w:val="20"/>
        </w:rPr>
        <w:t> </w:t>
      </w:r>
      <w:r>
        <w:rPr>
          <w:sz w:val="20"/>
        </w:rPr>
        <w:t>ethical</w:t>
      </w:r>
      <w:r>
        <w:rPr>
          <w:spacing w:val="-7"/>
          <w:sz w:val="20"/>
        </w:rPr>
        <w:t> </w:t>
      </w:r>
      <w:r>
        <w:rPr>
          <w:sz w:val="20"/>
        </w:rPr>
        <w:t>issues</w:t>
      </w:r>
      <w:r>
        <w:rPr>
          <w:spacing w:val="-2"/>
          <w:sz w:val="20"/>
        </w:rPr>
        <w:t> </w:t>
      </w:r>
      <w:r>
        <w:rPr>
          <w:sz w:val="20"/>
        </w:rPr>
        <w:t>involved in the formation of professional judgment regarding social, political and cultural issues in architectural design and practice.</w:t>
      </w:r>
    </w:p>
    <w:p>
      <w:pPr>
        <w:pStyle w:val="BodyText"/>
        <w:rPr>
          <w:sz w:val="21"/>
        </w:rPr>
      </w:pPr>
    </w:p>
    <w:p>
      <w:pPr>
        <w:pStyle w:val="BodyText"/>
        <w:tabs>
          <w:tab w:pos="3879" w:val="left" w:leader="none"/>
          <w:tab w:pos="7479" w:val="left" w:leader="none"/>
        </w:tabs>
        <w:ind w:left="2439"/>
      </w:pPr>
      <w:r>
        <w:rPr/>
        <w:t>ARC</w:t>
      </w:r>
      <w:r>
        <w:rPr>
          <w:spacing w:val="-7"/>
        </w:rPr>
        <w:t> </w:t>
      </w:r>
      <w:r>
        <w:rPr>
          <w:spacing w:val="-5"/>
        </w:rPr>
        <w:t>517</w:t>
      </w:r>
      <w:r>
        <w:rPr/>
        <w:tab/>
      </w:r>
      <w:r>
        <w:rPr>
          <w:spacing w:val="-2"/>
        </w:rPr>
        <w:t>Professional</w:t>
      </w:r>
      <w:r>
        <w:rPr>
          <w:spacing w:val="8"/>
        </w:rPr>
        <w:t> </w:t>
      </w:r>
      <w:r>
        <w:rPr>
          <w:spacing w:val="-2"/>
        </w:rPr>
        <w:t>Practice</w:t>
      </w:r>
      <w:r>
        <w:rPr/>
        <w:tab/>
        <w:t>Tested</w:t>
      </w:r>
      <w:r>
        <w:rPr>
          <w:spacing w:val="-7"/>
        </w:rPr>
        <w:t> </w:t>
      </w:r>
      <w:r>
        <w:rPr>
          <w:spacing w:val="-2"/>
        </w:rPr>
        <w:t>Material</w:t>
      </w:r>
    </w:p>
    <w:p>
      <w:pPr>
        <w:pStyle w:val="BodyText"/>
        <w:tabs>
          <w:tab w:pos="7479" w:val="left" w:leader="none"/>
        </w:tabs>
        <w:spacing w:before="1"/>
        <w:ind w:left="2439"/>
      </w:pPr>
      <w:r>
        <w:rPr/>
        <w:t>ARC</w:t>
      </w:r>
      <w:r>
        <w:rPr>
          <w:spacing w:val="-7"/>
        </w:rPr>
        <w:t> </w:t>
      </w:r>
      <w:r>
        <w:rPr>
          <w:spacing w:val="-5"/>
        </w:rPr>
        <w:t>618</w:t>
      </w:r>
      <w:r>
        <w:rPr/>
        <w:tab/>
      </w:r>
      <w:r>
        <w:rPr>
          <w:spacing w:val="-2"/>
        </w:rPr>
        <w:t>Papers</w:t>
      </w:r>
    </w:p>
    <w:p>
      <w:pPr>
        <w:pStyle w:val="BodyText"/>
        <w:spacing w:before="10"/>
      </w:pPr>
    </w:p>
    <w:p>
      <w:pPr>
        <w:pStyle w:val="BodyText"/>
        <w:ind w:left="2439" w:right="1211"/>
      </w:pPr>
      <w:r>
        <w:rPr/>
        <w:t>One</w:t>
      </w:r>
      <w:r>
        <w:rPr>
          <w:spacing w:val="-5"/>
        </w:rPr>
        <w:t> </w:t>
      </w:r>
      <w:r>
        <w:rPr/>
        <w:t>requirement</w:t>
      </w:r>
      <w:r>
        <w:rPr>
          <w:spacing w:val="-5"/>
        </w:rPr>
        <w:t> </w:t>
      </w:r>
      <w:r>
        <w:rPr/>
        <w:t>of</w:t>
      </w:r>
      <w:r>
        <w:rPr>
          <w:spacing w:val="-3"/>
        </w:rPr>
        <w:t> </w:t>
      </w:r>
      <w:r>
        <w:rPr/>
        <w:t>ARC</w:t>
      </w:r>
      <w:r>
        <w:rPr>
          <w:spacing w:val="-2"/>
        </w:rPr>
        <w:t> </w:t>
      </w:r>
      <w:r>
        <w:rPr/>
        <w:t>517/518</w:t>
      </w:r>
      <w:r>
        <w:rPr>
          <w:spacing w:val="-5"/>
        </w:rPr>
        <w:t> </w:t>
      </w:r>
      <w:r>
        <w:rPr/>
        <w:t>sequence</w:t>
      </w:r>
      <w:r>
        <w:rPr>
          <w:spacing w:val="-3"/>
        </w:rPr>
        <w:t> </w:t>
      </w:r>
      <w:r>
        <w:rPr/>
        <w:t>of</w:t>
      </w:r>
      <w:r>
        <w:rPr>
          <w:spacing w:val="-3"/>
        </w:rPr>
        <w:t> </w:t>
      </w:r>
      <w:r>
        <w:rPr/>
        <w:t>courses</w:t>
      </w:r>
      <w:r>
        <w:rPr>
          <w:spacing w:val="-4"/>
        </w:rPr>
        <w:t> </w:t>
      </w:r>
      <w:r>
        <w:rPr/>
        <w:t>is</w:t>
      </w:r>
      <w:r>
        <w:rPr>
          <w:spacing w:val="-4"/>
        </w:rPr>
        <w:t> </w:t>
      </w:r>
      <w:r>
        <w:rPr/>
        <w:t>that</w:t>
      </w:r>
      <w:r>
        <w:rPr>
          <w:spacing w:val="-5"/>
        </w:rPr>
        <w:t> </w:t>
      </w:r>
      <w:r>
        <w:rPr/>
        <w:t>students</w:t>
      </w:r>
      <w:r>
        <w:rPr>
          <w:spacing w:val="-4"/>
        </w:rPr>
        <w:t> </w:t>
      </w:r>
      <w:r>
        <w:rPr/>
        <w:t>plan</w:t>
      </w:r>
      <w:r>
        <w:rPr>
          <w:spacing w:val="-5"/>
        </w:rPr>
        <w:t> </w:t>
      </w:r>
      <w:r>
        <w:rPr/>
        <w:t>four seminars, inviting outside speakers and advertising the content for the entire student body. They</w:t>
      </w:r>
      <w:r>
        <w:rPr>
          <w:spacing w:val="-2"/>
        </w:rPr>
        <w:t> </w:t>
      </w:r>
      <w:r>
        <w:rPr/>
        <w:t>are provided a list of required or recommended participants. Those topics include:</w:t>
      </w:r>
    </w:p>
    <w:p>
      <w:pPr>
        <w:pStyle w:val="BodyText"/>
        <w:spacing w:before="9"/>
      </w:pPr>
    </w:p>
    <w:p>
      <w:pPr>
        <w:pStyle w:val="ListParagraph"/>
        <w:numPr>
          <w:ilvl w:val="2"/>
          <w:numId w:val="37"/>
        </w:numPr>
        <w:tabs>
          <w:tab w:pos="3520" w:val="left" w:leader="none"/>
        </w:tabs>
        <w:spacing w:line="240" w:lineRule="auto" w:before="0" w:after="0"/>
        <w:ind w:left="3519" w:right="0" w:hanging="361"/>
        <w:jc w:val="left"/>
        <w:rPr>
          <w:sz w:val="20"/>
        </w:rPr>
      </w:pPr>
      <w:r>
        <w:rPr>
          <w:sz w:val="20"/>
        </w:rPr>
        <w:t>Professional</w:t>
      </w:r>
      <w:r>
        <w:rPr>
          <w:spacing w:val="-11"/>
          <w:sz w:val="20"/>
        </w:rPr>
        <w:t> </w:t>
      </w:r>
      <w:r>
        <w:rPr>
          <w:sz w:val="20"/>
        </w:rPr>
        <w:t>Opportunities</w:t>
      </w:r>
      <w:r>
        <w:rPr>
          <w:spacing w:val="-9"/>
          <w:sz w:val="20"/>
        </w:rPr>
        <w:t> </w:t>
      </w:r>
      <w:r>
        <w:rPr>
          <w:sz w:val="20"/>
        </w:rPr>
        <w:t>in</w:t>
      </w:r>
      <w:r>
        <w:rPr>
          <w:spacing w:val="-10"/>
          <w:sz w:val="20"/>
        </w:rPr>
        <w:t> </w:t>
      </w:r>
      <w:r>
        <w:rPr>
          <w:spacing w:val="-2"/>
          <w:sz w:val="20"/>
        </w:rPr>
        <w:t>Architecture</w:t>
      </w:r>
    </w:p>
    <w:p>
      <w:pPr>
        <w:pStyle w:val="ListParagraph"/>
        <w:numPr>
          <w:ilvl w:val="2"/>
          <w:numId w:val="37"/>
        </w:numPr>
        <w:tabs>
          <w:tab w:pos="3520" w:val="left" w:leader="none"/>
        </w:tabs>
        <w:spacing w:line="240" w:lineRule="auto" w:before="1" w:after="0"/>
        <w:ind w:left="3519" w:right="0" w:hanging="361"/>
        <w:jc w:val="left"/>
        <w:rPr>
          <w:sz w:val="20"/>
        </w:rPr>
      </w:pPr>
      <w:r>
        <w:rPr>
          <w:spacing w:val="-2"/>
          <w:sz w:val="20"/>
        </w:rPr>
        <w:t>Professional</w:t>
      </w:r>
      <w:r>
        <w:rPr>
          <w:spacing w:val="8"/>
          <w:sz w:val="20"/>
        </w:rPr>
        <w:t> </w:t>
      </w:r>
      <w:r>
        <w:rPr>
          <w:spacing w:val="-2"/>
          <w:sz w:val="20"/>
        </w:rPr>
        <w:t>Ethics</w:t>
      </w:r>
    </w:p>
    <w:p>
      <w:pPr>
        <w:pStyle w:val="ListParagraph"/>
        <w:numPr>
          <w:ilvl w:val="2"/>
          <w:numId w:val="37"/>
        </w:numPr>
        <w:tabs>
          <w:tab w:pos="3519" w:val="left" w:leader="none"/>
          <w:tab w:pos="3520" w:val="left" w:leader="none"/>
        </w:tabs>
        <w:spacing w:line="229" w:lineRule="exact" w:before="0" w:after="0"/>
        <w:ind w:left="3519" w:right="0" w:hanging="361"/>
        <w:jc w:val="left"/>
        <w:rPr>
          <w:sz w:val="20"/>
        </w:rPr>
      </w:pPr>
      <w:r>
        <w:rPr>
          <w:sz w:val="20"/>
        </w:rPr>
        <w:t>The</w:t>
      </w:r>
      <w:r>
        <w:rPr>
          <w:spacing w:val="-11"/>
          <w:sz w:val="20"/>
        </w:rPr>
        <w:t> </w:t>
      </w:r>
      <w:r>
        <w:rPr>
          <w:sz w:val="20"/>
        </w:rPr>
        <w:t>Americans</w:t>
      </w:r>
      <w:r>
        <w:rPr>
          <w:spacing w:val="-7"/>
          <w:sz w:val="20"/>
        </w:rPr>
        <w:t> </w:t>
      </w:r>
      <w:r>
        <w:rPr>
          <w:sz w:val="20"/>
        </w:rPr>
        <w:t>with</w:t>
      </w:r>
      <w:r>
        <w:rPr>
          <w:spacing w:val="-9"/>
          <w:sz w:val="20"/>
        </w:rPr>
        <w:t> </w:t>
      </w:r>
      <w:r>
        <w:rPr>
          <w:sz w:val="20"/>
        </w:rPr>
        <w:t>Disabilities</w:t>
      </w:r>
      <w:r>
        <w:rPr>
          <w:spacing w:val="-7"/>
          <w:sz w:val="20"/>
        </w:rPr>
        <w:t> </w:t>
      </w:r>
      <w:r>
        <w:rPr>
          <w:spacing w:val="-5"/>
          <w:sz w:val="20"/>
        </w:rPr>
        <w:t>Act</w:t>
      </w:r>
    </w:p>
    <w:p>
      <w:pPr>
        <w:pStyle w:val="ListParagraph"/>
        <w:numPr>
          <w:ilvl w:val="2"/>
          <w:numId w:val="37"/>
        </w:numPr>
        <w:tabs>
          <w:tab w:pos="3520" w:val="left" w:leader="none"/>
        </w:tabs>
        <w:spacing w:line="229" w:lineRule="exact" w:before="0" w:after="0"/>
        <w:ind w:left="3519" w:right="0" w:hanging="361"/>
        <w:jc w:val="left"/>
        <w:rPr>
          <w:sz w:val="20"/>
        </w:rPr>
      </w:pPr>
      <w:r>
        <w:rPr>
          <w:spacing w:val="-2"/>
          <w:sz w:val="20"/>
        </w:rPr>
        <w:t>Sustainability</w:t>
      </w:r>
    </w:p>
    <w:p>
      <w:pPr>
        <w:spacing w:after="0" w:line="229" w:lineRule="exact"/>
        <w:jc w:val="left"/>
        <w:rPr>
          <w:sz w:val="20"/>
        </w:rPr>
        <w:sectPr>
          <w:headerReference w:type="default" r:id="rId115"/>
          <w:footerReference w:type="default" r:id="rId116"/>
          <w:pgSz w:w="12240" w:h="15840"/>
          <w:pgMar w:header="0" w:footer="974" w:top="1360" w:bottom="1160" w:left="1160" w:right="320"/>
        </w:sectPr>
      </w:pPr>
    </w:p>
    <w:p>
      <w:pPr>
        <w:pStyle w:val="BodyText"/>
        <w:spacing w:before="77"/>
        <w:ind w:left="2440" w:right="1151"/>
      </w:pPr>
      <w:r>
        <w:rPr/>
        <w:t>One of the required participants of the Ethics panel is Dr. Richard</w:t>
      </w:r>
      <w:r>
        <w:rPr>
          <w:spacing w:val="-1"/>
        </w:rPr>
        <w:t> </w:t>
      </w:r>
      <w:r>
        <w:rPr/>
        <w:t>Wills, Ph.D, a local</w:t>
      </w:r>
      <w:r>
        <w:rPr>
          <w:spacing w:val="-4"/>
        </w:rPr>
        <w:t> </w:t>
      </w:r>
      <w:r>
        <w:rPr/>
        <w:t>pastor</w:t>
      </w:r>
      <w:r>
        <w:rPr>
          <w:spacing w:val="-2"/>
        </w:rPr>
        <w:t> </w:t>
      </w:r>
      <w:r>
        <w:rPr/>
        <w:t>who</w:t>
      </w:r>
      <w:r>
        <w:rPr>
          <w:spacing w:val="-5"/>
        </w:rPr>
        <w:t> </w:t>
      </w:r>
      <w:r>
        <w:rPr/>
        <w:t>completed</w:t>
      </w:r>
      <w:r>
        <w:rPr>
          <w:spacing w:val="-3"/>
        </w:rPr>
        <w:t> </w:t>
      </w:r>
      <w:r>
        <w:rPr/>
        <w:t>his</w:t>
      </w:r>
      <w:r>
        <w:rPr>
          <w:spacing w:val="-4"/>
        </w:rPr>
        <w:t> </w:t>
      </w:r>
      <w:r>
        <w:rPr/>
        <w:t>degree</w:t>
      </w:r>
      <w:r>
        <w:rPr>
          <w:spacing w:val="-3"/>
        </w:rPr>
        <w:t> </w:t>
      </w:r>
      <w:r>
        <w:rPr/>
        <w:t>in</w:t>
      </w:r>
      <w:r>
        <w:rPr>
          <w:spacing w:val="-3"/>
        </w:rPr>
        <w:t> </w:t>
      </w:r>
      <w:r>
        <w:rPr/>
        <w:t>architecture</w:t>
      </w:r>
      <w:r>
        <w:rPr>
          <w:spacing w:val="-3"/>
        </w:rPr>
        <w:t> </w:t>
      </w:r>
      <w:r>
        <w:rPr/>
        <w:t>and</w:t>
      </w:r>
      <w:r>
        <w:rPr>
          <w:spacing w:val="-3"/>
        </w:rPr>
        <w:t> </w:t>
      </w:r>
      <w:r>
        <w:rPr/>
        <w:t>worked</w:t>
      </w:r>
      <w:r>
        <w:rPr>
          <w:spacing w:val="-8"/>
        </w:rPr>
        <w:t> </w:t>
      </w:r>
      <w:r>
        <w:rPr/>
        <w:t>many</w:t>
      </w:r>
      <w:r>
        <w:rPr>
          <w:spacing w:val="-4"/>
        </w:rPr>
        <w:t> </w:t>
      </w:r>
      <w:r>
        <w:rPr/>
        <w:t>years</w:t>
      </w:r>
      <w:r>
        <w:rPr>
          <w:spacing w:val="-4"/>
        </w:rPr>
        <w:t> </w:t>
      </w:r>
      <w:r>
        <w:rPr/>
        <w:t>in the field before pursuing his ministerial vocation and receiving a Ph.D. from the University of Virginia in Religious Ethics. Students also invite ethics professors, local</w:t>
      </w:r>
      <w:r>
        <w:rPr>
          <w:spacing w:val="-2"/>
        </w:rPr>
        <w:t> </w:t>
      </w:r>
      <w:r>
        <w:rPr/>
        <w:t>Human</w:t>
      </w:r>
      <w:r>
        <w:rPr>
          <w:spacing w:val="-3"/>
        </w:rPr>
        <w:t> </w:t>
      </w:r>
      <w:r>
        <w:rPr/>
        <w:t>Resource</w:t>
      </w:r>
      <w:r>
        <w:rPr>
          <w:spacing w:val="-3"/>
        </w:rPr>
        <w:t> </w:t>
      </w:r>
      <w:r>
        <w:rPr/>
        <w:t>corporate</w:t>
      </w:r>
      <w:r>
        <w:rPr>
          <w:spacing w:val="-1"/>
        </w:rPr>
        <w:t> </w:t>
      </w:r>
      <w:r>
        <w:rPr/>
        <w:t>officers</w:t>
      </w:r>
      <w:r>
        <w:rPr>
          <w:spacing w:val="-2"/>
        </w:rPr>
        <w:t> </w:t>
      </w:r>
      <w:r>
        <w:rPr/>
        <w:t>and</w:t>
      </w:r>
      <w:r>
        <w:rPr>
          <w:spacing w:val="-3"/>
        </w:rPr>
        <w:t> </w:t>
      </w:r>
      <w:r>
        <w:rPr/>
        <w:t>architects.</w:t>
      </w:r>
      <w:r>
        <w:rPr>
          <w:spacing w:val="-3"/>
        </w:rPr>
        <w:t> </w:t>
      </w:r>
      <w:r>
        <w:rPr/>
        <w:t>The</w:t>
      </w:r>
      <w:r>
        <w:rPr>
          <w:spacing w:val="-5"/>
        </w:rPr>
        <w:t> </w:t>
      </w:r>
      <w:r>
        <w:rPr/>
        <w:t>material</w:t>
      </w:r>
      <w:r>
        <w:rPr>
          <w:spacing w:val="-2"/>
        </w:rPr>
        <w:t> </w:t>
      </w:r>
      <w:r>
        <w:rPr/>
        <w:t>presented in the seminars are tested.</w:t>
      </w:r>
    </w:p>
    <w:p>
      <w:pPr>
        <w:pStyle w:val="BodyText"/>
        <w:spacing w:before="10"/>
      </w:pPr>
    </w:p>
    <w:p>
      <w:pPr>
        <w:pStyle w:val="BodyText"/>
        <w:ind w:left="2439" w:right="1195"/>
      </w:pPr>
      <w:r>
        <w:rPr/>
        <w:t>The analysis of the architectural problem and of the projects that deliver the evidence</w:t>
      </w:r>
      <w:r>
        <w:rPr>
          <w:spacing w:val="-5"/>
        </w:rPr>
        <w:t> </w:t>
      </w:r>
      <w:r>
        <w:rPr/>
        <w:t>to</w:t>
      </w:r>
      <w:r>
        <w:rPr>
          <w:spacing w:val="-5"/>
        </w:rPr>
        <w:t> </w:t>
      </w:r>
      <w:r>
        <w:rPr/>
        <w:t>support</w:t>
      </w:r>
      <w:r>
        <w:rPr>
          <w:spacing w:val="-3"/>
        </w:rPr>
        <w:t> </w:t>
      </w:r>
      <w:r>
        <w:rPr/>
        <w:t>the</w:t>
      </w:r>
      <w:r>
        <w:rPr>
          <w:spacing w:val="-3"/>
        </w:rPr>
        <w:t> </w:t>
      </w:r>
      <w:r>
        <w:rPr/>
        <w:t>thesis</w:t>
      </w:r>
      <w:r>
        <w:rPr>
          <w:spacing w:val="-4"/>
        </w:rPr>
        <w:t> </w:t>
      </w:r>
      <w:r>
        <w:rPr/>
        <w:t>students</w:t>
      </w:r>
      <w:r>
        <w:rPr>
          <w:spacing w:val="-4"/>
        </w:rPr>
        <w:t> </w:t>
      </w:r>
      <w:r>
        <w:rPr/>
        <w:t>must</w:t>
      </w:r>
      <w:r>
        <w:rPr>
          <w:spacing w:val="-5"/>
        </w:rPr>
        <w:t> </w:t>
      </w:r>
      <w:r>
        <w:rPr/>
        <w:t>demonstrate</w:t>
      </w:r>
      <w:r>
        <w:rPr>
          <w:spacing w:val="-5"/>
        </w:rPr>
        <w:t> </w:t>
      </w:r>
      <w:r>
        <w:rPr/>
        <w:t>ethical</w:t>
      </w:r>
      <w:r>
        <w:rPr>
          <w:spacing w:val="-6"/>
        </w:rPr>
        <w:t> </w:t>
      </w:r>
      <w:r>
        <w:rPr/>
        <w:t>judgment.</w:t>
      </w:r>
      <w:r>
        <w:rPr>
          <w:spacing w:val="-5"/>
        </w:rPr>
        <w:t> </w:t>
      </w:r>
      <w:r>
        <w:rPr/>
        <w:t>This fulfills criterion C.8 Ethical and Professional Judgment. Students demonstrate fulfillment of C.9 Community and Social Responsibility in the selection of the architectural problem to be studied, in the articulation of the thesis and its rational. The understanding specified by the criterion is demonstrated n the research plan that guides design research. This is demonstrated in the research products and in their evaluation by</w:t>
      </w:r>
      <w:r>
        <w:rPr>
          <w:spacing w:val="-2"/>
        </w:rPr>
        <w:t> </w:t>
      </w:r>
      <w:r>
        <w:rPr/>
        <w:t>the student. This assessment is documented in a summative reflective essay.</w:t>
      </w:r>
    </w:p>
    <w:p>
      <w:pPr>
        <w:pStyle w:val="BodyText"/>
        <w:spacing w:before="7"/>
      </w:pPr>
    </w:p>
    <w:p>
      <w:pPr>
        <w:pStyle w:val="ListParagraph"/>
        <w:numPr>
          <w:ilvl w:val="1"/>
          <w:numId w:val="37"/>
        </w:numPr>
        <w:tabs>
          <w:tab w:pos="2432" w:val="left" w:leader="none"/>
          <w:tab w:pos="2433" w:val="left" w:leader="none"/>
        </w:tabs>
        <w:spacing w:line="242" w:lineRule="auto" w:before="0" w:after="0"/>
        <w:ind w:left="2432" w:right="1357" w:hanging="929"/>
        <w:jc w:val="left"/>
        <w:rPr>
          <w:sz w:val="20"/>
        </w:rPr>
      </w:pPr>
      <w:r>
        <w:rPr>
          <w:sz w:val="20"/>
        </w:rPr>
        <w:t>Community and Social Responsibility: </w:t>
      </w:r>
      <w:r>
        <w:rPr>
          <w:i/>
          <w:sz w:val="20"/>
        </w:rPr>
        <w:t>Understanding </w:t>
      </w:r>
      <w:r>
        <w:rPr>
          <w:sz w:val="20"/>
        </w:rPr>
        <w:t>of the architect’s responsibility</w:t>
      </w:r>
      <w:r>
        <w:rPr>
          <w:spacing w:val="-8"/>
          <w:sz w:val="20"/>
        </w:rPr>
        <w:t> </w:t>
      </w:r>
      <w:r>
        <w:rPr>
          <w:sz w:val="20"/>
        </w:rPr>
        <w:t>to work</w:t>
      </w:r>
      <w:r>
        <w:rPr>
          <w:spacing w:val="-1"/>
          <w:sz w:val="20"/>
        </w:rPr>
        <w:t> </w:t>
      </w:r>
      <w:r>
        <w:rPr>
          <w:sz w:val="20"/>
        </w:rPr>
        <w:t>in</w:t>
      </w:r>
      <w:r>
        <w:rPr>
          <w:spacing w:val="-5"/>
          <w:sz w:val="20"/>
        </w:rPr>
        <w:t> </w:t>
      </w:r>
      <w:r>
        <w:rPr>
          <w:sz w:val="20"/>
        </w:rPr>
        <w:t>the</w:t>
      </w:r>
      <w:r>
        <w:rPr>
          <w:spacing w:val="-3"/>
          <w:sz w:val="20"/>
        </w:rPr>
        <w:t> </w:t>
      </w:r>
      <w:r>
        <w:rPr>
          <w:sz w:val="20"/>
        </w:rPr>
        <w:t>public</w:t>
      </w:r>
      <w:r>
        <w:rPr>
          <w:spacing w:val="-1"/>
          <w:sz w:val="20"/>
        </w:rPr>
        <w:t> </w:t>
      </w:r>
      <w:r>
        <w:rPr>
          <w:sz w:val="20"/>
        </w:rPr>
        <w:t>interest,</w:t>
      </w:r>
      <w:r>
        <w:rPr>
          <w:spacing w:val="-5"/>
          <w:sz w:val="20"/>
        </w:rPr>
        <w:t> </w:t>
      </w:r>
      <w:r>
        <w:rPr>
          <w:sz w:val="20"/>
        </w:rPr>
        <w:t>to</w:t>
      </w:r>
      <w:r>
        <w:rPr>
          <w:spacing w:val="-5"/>
          <w:sz w:val="20"/>
        </w:rPr>
        <w:t> </w:t>
      </w:r>
      <w:r>
        <w:rPr>
          <w:sz w:val="20"/>
        </w:rPr>
        <w:t>respect</w:t>
      </w:r>
      <w:r>
        <w:rPr>
          <w:spacing w:val="-5"/>
          <w:sz w:val="20"/>
        </w:rPr>
        <w:t> </w:t>
      </w:r>
      <w:r>
        <w:rPr>
          <w:sz w:val="20"/>
        </w:rPr>
        <w:t>historic</w:t>
      </w:r>
      <w:r>
        <w:rPr>
          <w:spacing w:val="-4"/>
          <w:sz w:val="20"/>
        </w:rPr>
        <w:t> </w:t>
      </w:r>
      <w:r>
        <w:rPr>
          <w:sz w:val="20"/>
        </w:rPr>
        <w:t>resources,</w:t>
      </w:r>
      <w:r>
        <w:rPr>
          <w:spacing w:val="-5"/>
          <w:sz w:val="20"/>
        </w:rPr>
        <w:t> </w:t>
      </w:r>
      <w:r>
        <w:rPr>
          <w:sz w:val="20"/>
        </w:rPr>
        <w:t>and</w:t>
      </w:r>
      <w:r>
        <w:rPr>
          <w:spacing w:val="-5"/>
          <w:sz w:val="20"/>
        </w:rPr>
        <w:t> </w:t>
      </w:r>
      <w:r>
        <w:rPr>
          <w:sz w:val="20"/>
        </w:rPr>
        <w:t>to improve the quality of life for local and global neighbors</w:t>
      </w:r>
    </w:p>
    <w:p>
      <w:pPr>
        <w:pStyle w:val="BodyText"/>
        <w:spacing w:before="7"/>
      </w:pPr>
    </w:p>
    <w:p>
      <w:pPr>
        <w:pStyle w:val="BodyText"/>
        <w:tabs>
          <w:tab w:pos="3879" w:val="left" w:leader="none"/>
          <w:tab w:pos="7479" w:val="left" w:leader="none"/>
        </w:tabs>
        <w:ind w:left="2439" w:right="1333" w:hanging="1"/>
      </w:pPr>
      <w:r>
        <w:rPr/>
        <w:t>ARC 601</w:t>
        <w:tab/>
        <w:t>Design Research Thesis Studio I</w:t>
        <w:tab/>
        <w:t>Papers</w:t>
      </w:r>
      <w:r>
        <w:rPr>
          <w:spacing w:val="-14"/>
        </w:rPr>
        <w:t> </w:t>
      </w:r>
      <w:r>
        <w:rPr/>
        <w:t>/</w:t>
      </w:r>
      <w:r>
        <w:rPr>
          <w:spacing w:val="-14"/>
        </w:rPr>
        <w:t> </w:t>
      </w:r>
      <w:r>
        <w:rPr/>
        <w:t>Assignments ARC 618</w:t>
        <w:tab/>
        <w:tab/>
      </w:r>
      <w:r>
        <w:rPr>
          <w:spacing w:val="-2"/>
        </w:rPr>
        <w:t>Papers</w:t>
      </w:r>
    </w:p>
    <w:p>
      <w:pPr>
        <w:pStyle w:val="BodyText"/>
        <w:spacing w:before="11"/>
      </w:pPr>
    </w:p>
    <w:p>
      <w:pPr>
        <w:pStyle w:val="BodyText"/>
        <w:ind w:left="2439" w:right="1211"/>
      </w:pPr>
      <w:r>
        <w:rPr/>
        <w:t>In</w:t>
      </w:r>
      <w:r>
        <w:rPr>
          <w:spacing w:val="-4"/>
        </w:rPr>
        <w:t> </w:t>
      </w:r>
      <w:r>
        <w:rPr/>
        <w:t>the</w:t>
      </w:r>
      <w:r>
        <w:rPr>
          <w:spacing w:val="-4"/>
        </w:rPr>
        <w:t> </w:t>
      </w:r>
      <w:r>
        <w:rPr/>
        <w:t>5th</w:t>
      </w:r>
      <w:r>
        <w:rPr>
          <w:spacing w:val="-2"/>
        </w:rPr>
        <w:t> </w:t>
      </w:r>
      <w:r>
        <w:rPr/>
        <w:t>year</w:t>
      </w:r>
      <w:r>
        <w:rPr>
          <w:spacing w:val="-3"/>
        </w:rPr>
        <w:t> </w:t>
      </w:r>
      <w:r>
        <w:rPr/>
        <w:t>studio,</w:t>
      </w:r>
      <w:r>
        <w:rPr>
          <w:spacing w:val="-2"/>
        </w:rPr>
        <w:t> </w:t>
      </w:r>
      <w:r>
        <w:rPr/>
        <w:t>this</w:t>
      </w:r>
      <w:r>
        <w:rPr>
          <w:spacing w:val="-3"/>
        </w:rPr>
        <w:t> </w:t>
      </w:r>
      <w:r>
        <w:rPr/>
        <w:t>is</w:t>
      </w:r>
      <w:r>
        <w:rPr>
          <w:spacing w:val="-3"/>
        </w:rPr>
        <w:t> </w:t>
      </w:r>
      <w:r>
        <w:rPr/>
        <w:t>demonstrated</w:t>
      </w:r>
      <w:r>
        <w:rPr>
          <w:spacing w:val="-4"/>
        </w:rPr>
        <w:t> </w:t>
      </w:r>
      <w:r>
        <w:rPr/>
        <w:t>in</w:t>
      </w:r>
      <w:r>
        <w:rPr>
          <w:spacing w:val="-2"/>
        </w:rPr>
        <w:t> </w:t>
      </w:r>
      <w:r>
        <w:rPr/>
        <w:t>the</w:t>
      </w:r>
      <w:r>
        <w:rPr>
          <w:spacing w:val="-2"/>
        </w:rPr>
        <w:t> </w:t>
      </w:r>
      <w:r>
        <w:rPr/>
        <w:t>research</w:t>
      </w:r>
      <w:r>
        <w:rPr>
          <w:spacing w:val="-4"/>
        </w:rPr>
        <w:t> </w:t>
      </w:r>
      <w:r>
        <w:rPr/>
        <w:t>products</w:t>
      </w:r>
      <w:r>
        <w:rPr>
          <w:spacing w:val="-3"/>
        </w:rPr>
        <w:t> </w:t>
      </w:r>
      <w:r>
        <w:rPr/>
        <w:t>and</w:t>
      </w:r>
      <w:r>
        <w:rPr>
          <w:spacing w:val="-2"/>
        </w:rPr>
        <w:t> </w:t>
      </w:r>
      <w:r>
        <w:rPr/>
        <w:t>in</w:t>
      </w:r>
      <w:r>
        <w:rPr>
          <w:spacing w:val="-4"/>
        </w:rPr>
        <w:t> </w:t>
      </w:r>
      <w:r>
        <w:rPr/>
        <w:t>their evaluation by the student. This assessment is documented in a summative reflective essay.</w:t>
      </w:r>
    </w:p>
    <w:p>
      <w:pPr>
        <w:spacing w:after="0"/>
        <w:sectPr>
          <w:headerReference w:type="default" r:id="rId117"/>
          <w:footerReference w:type="default" r:id="rId118"/>
          <w:pgSz w:w="12240" w:h="15840"/>
          <w:pgMar w:header="0" w:footer="974" w:top="1360" w:bottom="1160" w:left="1160" w:right="320"/>
        </w:sectPr>
      </w:pPr>
    </w:p>
    <w:tbl>
      <w:tblPr>
        <w:tblW w:w="0" w:type="auto"/>
        <w:jc w:val="left"/>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6"/>
        <w:gridCol w:w="218"/>
        <w:gridCol w:w="216"/>
        <w:gridCol w:w="218"/>
        <w:gridCol w:w="216"/>
        <w:gridCol w:w="218"/>
        <w:gridCol w:w="216"/>
        <w:gridCol w:w="216"/>
        <w:gridCol w:w="218"/>
        <w:gridCol w:w="216"/>
        <w:gridCol w:w="218"/>
        <w:gridCol w:w="216"/>
        <w:gridCol w:w="216"/>
        <w:gridCol w:w="218"/>
        <w:gridCol w:w="216"/>
        <w:gridCol w:w="218"/>
        <w:gridCol w:w="216"/>
        <w:gridCol w:w="216"/>
        <w:gridCol w:w="218"/>
        <w:gridCol w:w="216"/>
        <w:gridCol w:w="218"/>
        <w:gridCol w:w="216"/>
        <w:gridCol w:w="216"/>
        <w:gridCol w:w="218"/>
        <w:gridCol w:w="216"/>
        <w:gridCol w:w="218"/>
        <w:gridCol w:w="216"/>
        <w:gridCol w:w="218"/>
        <w:gridCol w:w="216"/>
        <w:gridCol w:w="216"/>
        <w:gridCol w:w="2215"/>
        <w:gridCol w:w="585"/>
      </w:tblGrid>
      <w:tr>
        <w:trPr>
          <w:trHeight w:val="911" w:hRule="atLeast"/>
        </w:trPr>
        <w:tc>
          <w:tcPr>
            <w:tcW w:w="216" w:type="dxa"/>
            <w:textDirection w:val="tbRl"/>
          </w:tcPr>
          <w:p>
            <w:pPr>
              <w:pStyle w:val="TableParagraph"/>
              <w:spacing w:line="186" w:lineRule="exact"/>
              <w:ind w:left="102"/>
              <w:rPr>
                <w:sz w:val="18"/>
              </w:rPr>
            </w:pPr>
            <w:r>
              <w:rPr>
                <w:spacing w:val="-2"/>
                <w:sz w:val="18"/>
              </w:rPr>
              <w:t>ARC530</w:t>
            </w:r>
          </w:p>
        </w:tc>
        <w:tc>
          <w:tcPr>
            <w:tcW w:w="218" w:type="dxa"/>
            <w:textDirection w:val="tbRl"/>
          </w:tcPr>
          <w:p>
            <w:pPr>
              <w:pStyle w:val="TableParagraph"/>
              <w:spacing w:line="188" w:lineRule="exact"/>
              <w:ind w:left="102"/>
              <w:rPr>
                <w:sz w:val="18"/>
              </w:rPr>
            </w:pPr>
            <w:r>
              <w:rPr>
                <w:spacing w:val="-2"/>
                <w:sz w:val="18"/>
              </w:rPr>
              <w:t>ARC618</w:t>
            </w:r>
          </w:p>
        </w:tc>
        <w:tc>
          <w:tcPr>
            <w:tcW w:w="216" w:type="dxa"/>
            <w:textDirection w:val="tbRl"/>
          </w:tcPr>
          <w:p>
            <w:pPr>
              <w:pStyle w:val="TableParagraph"/>
              <w:spacing w:line="186" w:lineRule="exact"/>
              <w:ind w:left="102"/>
              <w:rPr>
                <w:sz w:val="18"/>
              </w:rPr>
            </w:pPr>
            <w:r>
              <w:rPr>
                <w:spacing w:val="-2"/>
                <w:sz w:val="18"/>
              </w:rPr>
              <w:t>ARC617</w:t>
            </w:r>
          </w:p>
        </w:tc>
        <w:tc>
          <w:tcPr>
            <w:tcW w:w="218" w:type="dxa"/>
            <w:textDirection w:val="tbRl"/>
          </w:tcPr>
          <w:p>
            <w:pPr>
              <w:pStyle w:val="TableParagraph"/>
              <w:spacing w:line="188" w:lineRule="exact"/>
              <w:ind w:left="102"/>
              <w:rPr>
                <w:sz w:val="18"/>
              </w:rPr>
            </w:pPr>
            <w:r>
              <w:rPr>
                <w:spacing w:val="-2"/>
                <w:sz w:val="18"/>
              </w:rPr>
              <w:t>ARC602</w:t>
            </w:r>
          </w:p>
        </w:tc>
        <w:tc>
          <w:tcPr>
            <w:tcW w:w="216" w:type="dxa"/>
            <w:textDirection w:val="tbRl"/>
          </w:tcPr>
          <w:p>
            <w:pPr>
              <w:pStyle w:val="TableParagraph"/>
              <w:spacing w:line="186" w:lineRule="exact"/>
              <w:ind w:left="102"/>
              <w:rPr>
                <w:sz w:val="18"/>
              </w:rPr>
            </w:pPr>
            <w:r>
              <w:rPr>
                <w:spacing w:val="-2"/>
                <w:sz w:val="18"/>
              </w:rPr>
              <w:t>ARC601</w:t>
            </w:r>
          </w:p>
        </w:tc>
        <w:tc>
          <w:tcPr>
            <w:tcW w:w="218" w:type="dxa"/>
            <w:textDirection w:val="tbRl"/>
          </w:tcPr>
          <w:p>
            <w:pPr>
              <w:pStyle w:val="TableParagraph"/>
              <w:spacing w:line="188" w:lineRule="exact"/>
              <w:ind w:left="102"/>
              <w:rPr>
                <w:sz w:val="18"/>
              </w:rPr>
            </w:pPr>
            <w:r>
              <w:rPr>
                <w:spacing w:val="-2"/>
                <w:sz w:val="18"/>
              </w:rPr>
              <w:t>ARC518</w:t>
            </w:r>
          </w:p>
        </w:tc>
        <w:tc>
          <w:tcPr>
            <w:tcW w:w="216" w:type="dxa"/>
            <w:textDirection w:val="tbRl"/>
          </w:tcPr>
          <w:p>
            <w:pPr>
              <w:pStyle w:val="TableParagraph"/>
              <w:spacing w:line="186" w:lineRule="exact"/>
              <w:ind w:left="102"/>
              <w:rPr>
                <w:sz w:val="18"/>
              </w:rPr>
            </w:pPr>
            <w:r>
              <w:rPr>
                <w:spacing w:val="-2"/>
                <w:sz w:val="18"/>
              </w:rPr>
              <w:t>ARC517</w:t>
            </w:r>
          </w:p>
        </w:tc>
        <w:tc>
          <w:tcPr>
            <w:tcW w:w="216" w:type="dxa"/>
            <w:textDirection w:val="tbRl"/>
          </w:tcPr>
          <w:p>
            <w:pPr>
              <w:pStyle w:val="TableParagraph"/>
              <w:spacing w:line="186" w:lineRule="exact"/>
              <w:ind w:left="102"/>
              <w:rPr>
                <w:sz w:val="18"/>
              </w:rPr>
            </w:pPr>
            <w:r>
              <w:rPr>
                <w:spacing w:val="-2"/>
                <w:sz w:val="18"/>
              </w:rPr>
              <w:t>ARC414</w:t>
            </w:r>
          </w:p>
        </w:tc>
        <w:tc>
          <w:tcPr>
            <w:tcW w:w="218" w:type="dxa"/>
            <w:textDirection w:val="tbRl"/>
          </w:tcPr>
          <w:p>
            <w:pPr>
              <w:pStyle w:val="TableParagraph"/>
              <w:spacing w:line="188" w:lineRule="exact"/>
              <w:ind w:left="102"/>
              <w:rPr>
                <w:sz w:val="18"/>
              </w:rPr>
            </w:pPr>
            <w:r>
              <w:rPr>
                <w:spacing w:val="-2"/>
                <w:sz w:val="18"/>
              </w:rPr>
              <w:t>ARC411</w:t>
            </w:r>
          </w:p>
        </w:tc>
        <w:tc>
          <w:tcPr>
            <w:tcW w:w="216" w:type="dxa"/>
            <w:textDirection w:val="tbRl"/>
          </w:tcPr>
          <w:p>
            <w:pPr>
              <w:pStyle w:val="TableParagraph"/>
              <w:spacing w:line="186" w:lineRule="exact"/>
              <w:ind w:left="102"/>
              <w:rPr>
                <w:sz w:val="18"/>
              </w:rPr>
            </w:pPr>
            <w:r>
              <w:rPr>
                <w:spacing w:val="-2"/>
                <w:sz w:val="18"/>
              </w:rPr>
              <w:t>ARC406</w:t>
            </w:r>
          </w:p>
        </w:tc>
        <w:tc>
          <w:tcPr>
            <w:tcW w:w="218" w:type="dxa"/>
            <w:textDirection w:val="tbRl"/>
          </w:tcPr>
          <w:p>
            <w:pPr>
              <w:pStyle w:val="TableParagraph"/>
              <w:spacing w:line="188" w:lineRule="exact"/>
              <w:ind w:left="102"/>
              <w:rPr>
                <w:sz w:val="18"/>
              </w:rPr>
            </w:pPr>
            <w:r>
              <w:rPr>
                <w:spacing w:val="-2"/>
                <w:sz w:val="18"/>
              </w:rPr>
              <w:t>ARC405</w:t>
            </w:r>
          </w:p>
        </w:tc>
        <w:tc>
          <w:tcPr>
            <w:tcW w:w="216" w:type="dxa"/>
            <w:textDirection w:val="tbRl"/>
          </w:tcPr>
          <w:p>
            <w:pPr>
              <w:pStyle w:val="TableParagraph"/>
              <w:spacing w:line="186" w:lineRule="exact"/>
              <w:ind w:left="102"/>
              <w:rPr>
                <w:sz w:val="18"/>
              </w:rPr>
            </w:pPr>
            <w:r>
              <w:rPr>
                <w:spacing w:val="-2"/>
                <w:sz w:val="18"/>
              </w:rPr>
              <w:t>ARC306</w:t>
            </w:r>
          </w:p>
        </w:tc>
        <w:tc>
          <w:tcPr>
            <w:tcW w:w="216" w:type="dxa"/>
            <w:textDirection w:val="tbRl"/>
          </w:tcPr>
          <w:p>
            <w:pPr>
              <w:pStyle w:val="TableParagraph"/>
              <w:spacing w:line="186" w:lineRule="exact"/>
              <w:ind w:left="102"/>
              <w:rPr>
                <w:sz w:val="18"/>
              </w:rPr>
            </w:pPr>
            <w:r>
              <w:rPr>
                <w:spacing w:val="-2"/>
                <w:sz w:val="18"/>
              </w:rPr>
              <w:t>ARC305</w:t>
            </w:r>
          </w:p>
        </w:tc>
        <w:tc>
          <w:tcPr>
            <w:tcW w:w="218" w:type="dxa"/>
            <w:textDirection w:val="tbRl"/>
          </w:tcPr>
          <w:p>
            <w:pPr>
              <w:pStyle w:val="TableParagraph"/>
              <w:spacing w:line="188" w:lineRule="exact"/>
              <w:ind w:left="102"/>
              <w:rPr>
                <w:sz w:val="18"/>
              </w:rPr>
            </w:pPr>
            <w:r>
              <w:rPr>
                <w:spacing w:val="-2"/>
                <w:sz w:val="18"/>
              </w:rPr>
              <w:t>ARC317</w:t>
            </w:r>
          </w:p>
        </w:tc>
        <w:tc>
          <w:tcPr>
            <w:tcW w:w="216" w:type="dxa"/>
            <w:textDirection w:val="tbRl"/>
          </w:tcPr>
          <w:p>
            <w:pPr>
              <w:pStyle w:val="TableParagraph"/>
              <w:spacing w:line="186" w:lineRule="exact"/>
              <w:ind w:left="102"/>
              <w:rPr>
                <w:sz w:val="18"/>
              </w:rPr>
            </w:pPr>
            <w:r>
              <w:rPr>
                <w:spacing w:val="-2"/>
                <w:sz w:val="18"/>
              </w:rPr>
              <w:t>ARC315</w:t>
            </w:r>
          </w:p>
        </w:tc>
        <w:tc>
          <w:tcPr>
            <w:tcW w:w="218" w:type="dxa"/>
            <w:textDirection w:val="tbRl"/>
          </w:tcPr>
          <w:p>
            <w:pPr>
              <w:pStyle w:val="TableParagraph"/>
              <w:spacing w:line="188" w:lineRule="exact"/>
              <w:ind w:left="102"/>
              <w:rPr>
                <w:sz w:val="18"/>
              </w:rPr>
            </w:pPr>
            <w:r>
              <w:rPr>
                <w:spacing w:val="-2"/>
                <w:sz w:val="18"/>
              </w:rPr>
              <w:t>ARC314</w:t>
            </w:r>
          </w:p>
        </w:tc>
        <w:tc>
          <w:tcPr>
            <w:tcW w:w="216" w:type="dxa"/>
            <w:textDirection w:val="tbRl"/>
          </w:tcPr>
          <w:p>
            <w:pPr>
              <w:pStyle w:val="TableParagraph"/>
              <w:spacing w:line="186" w:lineRule="exact"/>
              <w:ind w:left="102"/>
              <w:rPr>
                <w:sz w:val="18"/>
              </w:rPr>
            </w:pPr>
            <w:r>
              <w:rPr>
                <w:spacing w:val="-2"/>
                <w:sz w:val="18"/>
              </w:rPr>
              <w:t>ARC310</w:t>
            </w:r>
          </w:p>
        </w:tc>
        <w:tc>
          <w:tcPr>
            <w:tcW w:w="216" w:type="dxa"/>
            <w:textDirection w:val="tbRl"/>
          </w:tcPr>
          <w:p>
            <w:pPr>
              <w:pStyle w:val="TableParagraph"/>
              <w:spacing w:line="186" w:lineRule="exact"/>
              <w:ind w:left="102"/>
              <w:rPr>
                <w:sz w:val="18"/>
              </w:rPr>
            </w:pPr>
            <w:r>
              <w:rPr>
                <w:spacing w:val="-2"/>
                <w:sz w:val="18"/>
              </w:rPr>
              <w:t>ARC309</w:t>
            </w:r>
          </w:p>
        </w:tc>
        <w:tc>
          <w:tcPr>
            <w:tcW w:w="218" w:type="dxa"/>
            <w:textDirection w:val="tbRl"/>
          </w:tcPr>
          <w:p>
            <w:pPr>
              <w:pStyle w:val="TableParagraph"/>
              <w:spacing w:line="188" w:lineRule="exact"/>
              <w:ind w:left="102"/>
              <w:rPr>
                <w:sz w:val="18"/>
              </w:rPr>
            </w:pPr>
            <w:r>
              <w:rPr>
                <w:spacing w:val="-2"/>
                <w:sz w:val="18"/>
              </w:rPr>
              <w:t>ARC304</w:t>
            </w:r>
          </w:p>
        </w:tc>
        <w:tc>
          <w:tcPr>
            <w:tcW w:w="216" w:type="dxa"/>
            <w:textDirection w:val="tbRl"/>
          </w:tcPr>
          <w:p>
            <w:pPr>
              <w:pStyle w:val="TableParagraph"/>
              <w:spacing w:line="186" w:lineRule="exact"/>
              <w:ind w:left="102"/>
              <w:rPr>
                <w:sz w:val="18"/>
              </w:rPr>
            </w:pPr>
            <w:r>
              <w:rPr>
                <w:spacing w:val="-2"/>
                <w:sz w:val="18"/>
              </w:rPr>
              <w:t>ARC303</w:t>
            </w:r>
          </w:p>
        </w:tc>
        <w:tc>
          <w:tcPr>
            <w:tcW w:w="218" w:type="dxa"/>
            <w:textDirection w:val="tbRl"/>
          </w:tcPr>
          <w:p>
            <w:pPr>
              <w:pStyle w:val="TableParagraph"/>
              <w:spacing w:line="188" w:lineRule="exact"/>
              <w:ind w:left="102"/>
              <w:rPr>
                <w:sz w:val="18"/>
              </w:rPr>
            </w:pPr>
            <w:r>
              <w:rPr>
                <w:spacing w:val="-2"/>
                <w:sz w:val="18"/>
              </w:rPr>
              <w:t>ARC213</w:t>
            </w:r>
          </w:p>
        </w:tc>
        <w:tc>
          <w:tcPr>
            <w:tcW w:w="216" w:type="dxa"/>
            <w:textDirection w:val="tbRl"/>
          </w:tcPr>
          <w:p>
            <w:pPr>
              <w:pStyle w:val="TableParagraph"/>
              <w:spacing w:line="186" w:lineRule="exact"/>
              <w:ind w:left="102"/>
              <w:rPr>
                <w:sz w:val="18"/>
              </w:rPr>
            </w:pPr>
            <w:r>
              <w:rPr>
                <w:spacing w:val="-2"/>
                <w:sz w:val="18"/>
              </w:rPr>
              <w:t>ARC208</w:t>
            </w:r>
          </w:p>
        </w:tc>
        <w:tc>
          <w:tcPr>
            <w:tcW w:w="216" w:type="dxa"/>
            <w:textDirection w:val="tbRl"/>
          </w:tcPr>
          <w:p>
            <w:pPr>
              <w:pStyle w:val="TableParagraph"/>
              <w:spacing w:line="186" w:lineRule="exact"/>
              <w:ind w:left="102"/>
              <w:rPr>
                <w:sz w:val="18"/>
              </w:rPr>
            </w:pPr>
            <w:r>
              <w:rPr>
                <w:spacing w:val="-2"/>
                <w:sz w:val="18"/>
              </w:rPr>
              <w:t>ARC207</w:t>
            </w:r>
          </w:p>
        </w:tc>
        <w:tc>
          <w:tcPr>
            <w:tcW w:w="218" w:type="dxa"/>
            <w:textDirection w:val="tbRl"/>
          </w:tcPr>
          <w:p>
            <w:pPr>
              <w:pStyle w:val="TableParagraph"/>
              <w:spacing w:line="188" w:lineRule="exact"/>
              <w:ind w:left="102"/>
              <w:rPr>
                <w:sz w:val="18"/>
              </w:rPr>
            </w:pPr>
            <w:r>
              <w:rPr>
                <w:spacing w:val="-2"/>
                <w:sz w:val="18"/>
              </w:rPr>
              <w:t>ARC204</w:t>
            </w:r>
          </w:p>
        </w:tc>
        <w:tc>
          <w:tcPr>
            <w:tcW w:w="216" w:type="dxa"/>
            <w:textDirection w:val="tbRl"/>
          </w:tcPr>
          <w:p>
            <w:pPr>
              <w:pStyle w:val="TableParagraph"/>
              <w:spacing w:line="186" w:lineRule="exact"/>
              <w:ind w:left="102"/>
              <w:rPr>
                <w:sz w:val="18"/>
              </w:rPr>
            </w:pPr>
            <w:r>
              <w:rPr>
                <w:spacing w:val="-2"/>
                <w:sz w:val="18"/>
              </w:rPr>
              <w:t>ARC203</w:t>
            </w:r>
          </w:p>
        </w:tc>
        <w:tc>
          <w:tcPr>
            <w:tcW w:w="218" w:type="dxa"/>
            <w:textDirection w:val="tbRl"/>
          </w:tcPr>
          <w:p>
            <w:pPr>
              <w:pStyle w:val="TableParagraph"/>
              <w:spacing w:line="188" w:lineRule="exact"/>
              <w:ind w:left="102"/>
              <w:rPr>
                <w:sz w:val="18"/>
              </w:rPr>
            </w:pPr>
            <w:r>
              <w:rPr>
                <w:spacing w:val="-2"/>
                <w:sz w:val="18"/>
              </w:rPr>
              <w:t>ARC202</w:t>
            </w:r>
          </w:p>
        </w:tc>
        <w:tc>
          <w:tcPr>
            <w:tcW w:w="216" w:type="dxa"/>
            <w:textDirection w:val="tbRl"/>
          </w:tcPr>
          <w:p>
            <w:pPr>
              <w:pStyle w:val="TableParagraph"/>
              <w:spacing w:line="186" w:lineRule="exact"/>
              <w:ind w:left="102"/>
              <w:rPr>
                <w:sz w:val="18"/>
              </w:rPr>
            </w:pPr>
            <w:r>
              <w:rPr>
                <w:spacing w:val="-2"/>
                <w:sz w:val="18"/>
              </w:rPr>
              <w:t>ARC201</w:t>
            </w:r>
          </w:p>
        </w:tc>
        <w:tc>
          <w:tcPr>
            <w:tcW w:w="218" w:type="dxa"/>
            <w:textDirection w:val="tbRl"/>
          </w:tcPr>
          <w:p>
            <w:pPr>
              <w:pStyle w:val="TableParagraph"/>
              <w:spacing w:line="188" w:lineRule="exact"/>
              <w:ind w:left="102"/>
              <w:rPr>
                <w:sz w:val="18"/>
              </w:rPr>
            </w:pPr>
            <w:r>
              <w:rPr>
                <w:spacing w:val="-2"/>
                <w:sz w:val="18"/>
              </w:rPr>
              <w:t>ARC200</w:t>
            </w:r>
          </w:p>
        </w:tc>
        <w:tc>
          <w:tcPr>
            <w:tcW w:w="216" w:type="dxa"/>
            <w:textDirection w:val="tbRl"/>
          </w:tcPr>
          <w:p>
            <w:pPr>
              <w:pStyle w:val="TableParagraph"/>
              <w:spacing w:line="186" w:lineRule="exact"/>
              <w:ind w:left="102"/>
              <w:rPr>
                <w:sz w:val="18"/>
              </w:rPr>
            </w:pPr>
            <w:r>
              <w:rPr>
                <w:spacing w:val="-2"/>
                <w:sz w:val="18"/>
              </w:rPr>
              <w:t>ARC102</w:t>
            </w:r>
          </w:p>
        </w:tc>
        <w:tc>
          <w:tcPr>
            <w:tcW w:w="216" w:type="dxa"/>
            <w:textDirection w:val="tbRl"/>
          </w:tcPr>
          <w:p>
            <w:pPr>
              <w:pStyle w:val="TableParagraph"/>
              <w:spacing w:line="186" w:lineRule="exact"/>
              <w:ind w:left="102"/>
              <w:rPr>
                <w:sz w:val="18"/>
              </w:rPr>
            </w:pPr>
            <w:r>
              <w:rPr>
                <w:spacing w:val="-2"/>
                <w:sz w:val="18"/>
              </w:rPr>
              <w:t>ARC101</w:t>
            </w:r>
          </w:p>
        </w:tc>
        <w:tc>
          <w:tcPr>
            <w:tcW w:w="2215" w:type="dxa"/>
          </w:tcPr>
          <w:p>
            <w:pPr>
              <w:pStyle w:val="TableParagraph"/>
              <w:rPr>
                <w:sz w:val="20"/>
              </w:rPr>
            </w:pPr>
          </w:p>
          <w:p>
            <w:pPr>
              <w:pStyle w:val="TableParagraph"/>
              <w:spacing w:before="119"/>
              <w:ind w:left="9"/>
              <w:rPr>
                <w:sz w:val="18"/>
              </w:rPr>
            </w:pPr>
            <w:r>
              <w:rPr>
                <w:sz w:val="18"/>
              </w:rPr>
              <w:t>NAAB</w:t>
            </w:r>
            <w:r>
              <w:rPr>
                <w:spacing w:val="-3"/>
                <w:sz w:val="18"/>
              </w:rPr>
              <w:t> </w:t>
            </w:r>
            <w:r>
              <w:rPr>
                <w:spacing w:val="-2"/>
                <w:sz w:val="18"/>
              </w:rPr>
              <w:t>Title</w:t>
            </w:r>
          </w:p>
        </w:tc>
        <w:tc>
          <w:tcPr>
            <w:tcW w:w="585" w:type="dxa"/>
          </w:tcPr>
          <w:p>
            <w:pPr>
              <w:pStyle w:val="TableParagraph"/>
              <w:rPr>
                <w:rFonts w:ascii="Times New Roman"/>
                <w:sz w:val="18"/>
              </w:rPr>
            </w:pPr>
          </w:p>
        </w:tc>
      </w:tr>
      <w:tr>
        <w:trPr>
          <w:trHeight w:val="261" w:hRule="atLeast"/>
        </w:trPr>
        <w:tc>
          <w:tcPr>
            <w:tcW w:w="216" w:type="dxa"/>
            <w:textDirection w:val="tbRl"/>
          </w:tcPr>
          <w:p>
            <w:pPr>
              <w:pStyle w:val="TableParagraph"/>
              <w:spacing w:line="186" w:lineRule="exact"/>
              <w:ind w:left="105"/>
              <w:rPr>
                <w:sz w:val="18"/>
              </w:rPr>
            </w:pPr>
            <w:r>
              <w:rPr>
                <w:w w:val="99"/>
                <w:sz w:val="18"/>
              </w:rPr>
              <w:t>6</w:t>
            </w:r>
          </w:p>
        </w:tc>
        <w:tc>
          <w:tcPr>
            <w:tcW w:w="218" w:type="dxa"/>
            <w:textDirection w:val="tbRl"/>
          </w:tcPr>
          <w:p>
            <w:pPr>
              <w:pStyle w:val="TableParagraph"/>
              <w:spacing w:line="188" w:lineRule="exact"/>
              <w:ind w:left="105"/>
              <w:rPr>
                <w:sz w:val="18"/>
              </w:rPr>
            </w:pPr>
            <w:r>
              <w:rPr>
                <w:w w:val="99"/>
                <w:sz w:val="18"/>
              </w:rPr>
              <w:t>3</w:t>
            </w:r>
          </w:p>
        </w:tc>
        <w:tc>
          <w:tcPr>
            <w:tcW w:w="216" w:type="dxa"/>
            <w:textDirection w:val="tbRl"/>
          </w:tcPr>
          <w:p>
            <w:pPr>
              <w:pStyle w:val="TableParagraph"/>
              <w:spacing w:line="186" w:lineRule="exact"/>
              <w:ind w:left="105"/>
              <w:rPr>
                <w:sz w:val="18"/>
              </w:rPr>
            </w:pPr>
            <w:r>
              <w:rPr>
                <w:w w:val="99"/>
                <w:sz w:val="18"/>
              </w:rPr>
              <w:t>3</w:t>
            </w:r>
          </w:p>
        </w:tc>
        <w:tc>
          <w:tcPr>
            <w:tcW w:w="218" w:type="dxa"/>
            <w:textDirection w:val="tbRl"/>
          </w:tcPr>
          <w:p>
            <w:pPr>
              <w:pStyle w:val="TableParagraph"/>
              <w:spacing w:line="188" w:lineRule="exact"/>
              <w:ind w:left="105"/>
              <w:rPr>
                <w:sz w:val="18"/>
              </w:rPr>
            </w:pPr>
            <w:r>
              <w:rPr>
                <w:w w:val="99"/>
                <w:sz w:val="18"/>
              </w:rPr>
              <w:t>6</w:t>
            </w:r>
          </w:p>
        </w:tc>
        <w:tc>
          <w:tcPr>
            <w:tcW w:w="216" w:type="dxa"/>
            <w:textDirection w:val="tbRl"/>
          </w:tcPr>
          <w:p>
            <w:pPr>
              <w:pStyle w:val="TableParagraph"/>
              <w:spacing w:line="186" w:lineRule="exact"/>
              <w:ind w:left="105"/>
              <w:rPr>
                <w:sz w:val="18"/>
              </w:rPr>
            </w:pPr>
            <w:r>
              <w:rPr>
                <w:w w:val="99"/>
                <w:sz w:val="18"/>
              </w:rPr>
              <w:t>6</w:t>
            </w:r>
          </w:p>
        </w:tc>
        <w:tc>
          <w:tcPr>
            <w:tcW w:w="218" w:type="dxa"/>
            <w:textDirection w:val="tbRl"/>
          </w:tcPr>
          <w:p>
            <w:pPr>
              <w:pStyle w:val="TableParagraph"/>
              <w:spacing w:line="188" w:lineRule="exact"/>
              <w:ind w:left="105"/>
              <w:rPr>
                <w:sz w:val="18"/>
              </w:rPr>
            </w:pPr>
            <w:r>
              <w:rPr>
                <w:w w:val="99"/>
                <w:sz w:val="18"/>
              </w:rPr>
              <w:t>3</w:t>
            </w:r>
          </w:p>
        </w:tc>
        <w:tc>
          <w:tcPr>
            <w:tcW w:w="216" w:type="dxa"/>
            <w:textDirection w:val="tbRl"/>
          </w:tcPr>
          <w:p>
            <w:pPr>
              <w:pStyle w:val="TableParagraph"/>
              <w:spacing w:line="186" w:lineRule="exact"/>
              <w:ind w:left="105"/>
              <w:rPr>
                <w:sz w:val="18"/>
              </w:rPr>
            </w:pPr>
            <w:r>
              <w:rPr>
                <w:w w:val="99"/>
                <w:sz w:val="18"/>
              </w:rPr>
              <w:t>3</w:t>
            </w:r>
          </w:p>
        </w:tc>
        <w:tc>
          <w:tcPr>
            <w:tcW w:w="216" w:type="dxa"/>
            <w:textDirection w:val="tbRl"/>
          </w:tcPr>
          <w:p>
            <w:pPr>
              <w:pStyle w:val="TableParagraph"/>
              <w:spacing w:line="186" w:lineRule="exact"/>
              <w:ind w:left="105"/>
              <w:rPr>
                <w:sz w:val="18"/>
              </w:rPr>
            </w:pPr>
            <w:r>
              <w:rPr>
                <w:w w:val="99"/>
                <w:sz w:val="18"/>
              </w:rPr>
              <w:t>3</w:t>
            </w:r>
          </w:p>
        </w:tc>
        <w:tc>
          <w:tcPr>
            <w:tcW w:w="218" w:type="dxa"/>
            <w:textDirection w:val="tbRl"/>
          </w:tcPr>
          <w:p>
            <w:pPr>
              <w:pStyle w:val="TableParagraph"/>
              <w:spacing w:line="188" w:lineRule="exact"/>
              <w:ind w:left="105"/>
              <w:rPr>
                <w:sz w:val="18"/>
              </w:rPr>
            </w:pPr>
            <w:r>
              <w:rPr>
                <w:w w:val="99"/>
                <w:sz w:val="18"/>
              </w:rPr>
              <w:t>3</w:t>
            </w:r>
          </w:p>
        </w:tc>
        <w:tc>
          <w:tcPr>
            <w:tcW w:w="216" w:type="dxa"/>
            <w:textDirection w:val="tbRl"/>
          </w:tcPr>
          <w:p>
            <w:pPr>
              <w:pStyle w:val="TableParagraph"/>
              <w:spacing w:line="186" w:lineRule="exact"/>
              <w:ind w:left="105"/>
              <w:rPr>
                <w:sz w:val="18"/>
              </w:rPr>
            </w:pPr>
            <w:r>
              <w:rPr>
                <w:w w:val="99"/>
                <w:sz w:val="18"/>
              </w:rPr>
              <w:t>6</w:t>
            </w:r>
          </w:p>
        </w:tc>
        <w:tc>
          <w:tcPr>
            <w:tcW w:w="218" w:type="dxa"/>
            <w:textDirection w:val="tbRl"/>
          </w:tcPr>
          <w:p>
            <w:pPr>
              <w:pStyle w:val="TableParagraph"/>
              <w:spacing w:line="188" w:lineRule="exact"/>
              <w:ind w:left="105"/>
              <w:rPr>
                <w:sz w:val="18"/>
              </w:rPr>
            </w:pPr>
            <w:r>
              <w:rPr>
                <w:w w:val="99"/>
                <w:sz w:val="18"/>
              </w:rPr>
              <w:t>6</w:t>
            </w:r>
          </w:p>
        </w:tc>
        <w:tc>
          <w:tcPr>
            <w:tcW w:w="216" w:type="dxa"/>
            <w:textDirection w:val="tbRl"/>
          </w:tcPr>
          <w:p>
            <w:pPr>
              <w:pStyle w:val="TableParagraph"/>
              <w:spacing w:line="186" w:lineRule="exact"/>
              <w:ind w:left="105"/>
              <w:rPr>
                <w:sz w:val="18"/>
              </w:rPr>
            </w:pPr>
            <w:r>
              <w:rPr>
                <w:w w:val="99"/>
                <w:sz w:val="18"/>
              </w:rPr>
              <w:t>3</w:t>
            </w:r>
          </w:p>
        </w:tc>
        <w:tc>
          <w:tcPr>
            <w:tcW w:w="216" w:type="dxa"/>
            <w:textDirection w:val="tbRl"/>
          </w:tcPr>
          <w:p>
            <w:pPr>
              <w:pStyle w:val="TableParagraph"/>
              <w:spacing w:line="186" w:lineRule="exact"/>
              <w:ind w:left="105"/>
              <w:rPr>
                <w:sz w:val="18"/>
              </w:rPr>
            </w:pPr>
            <w:r>
              <w:rPr>
                <w:w w:val="99"/>
                <w:sz w:val="18"/>
              </w:rPr>
              <w:t>3</w:t>
            </w:r>
          </w:p>
        </w:tc>
        <w:tc>
          <w:tcPr>
            <w:tcW w:w="218" w:type="dxa"/>
            <w:textDirection w:val="tbRl"/>
          </w:tcPr>
          <w:p>
            <w:pPr>
              <w:pStyle w:val="TableParagraph"/>
              <w:spacing w:line="188" w:lineRule="exact"/>
              <w:ind w:left="105"/>
              <w:rPr>
                <w:sz w:val="18"/>
              </w:rPr>
            </w:pPr>
            <w:r>
              <w:rPr>
                <w:w w:val="99"/>
                <w:sz w:val="18"/>
              </w:rPr>
              <w:t>3</w:t>
            </w:r>
          </w:p>
        </w:tc>
        <w:tc>
          <w:tcPr>
            <w:tcW w:w="216" w:type="dxa"/>
            <w:textDirection w:val="tbRl"/>
          </w:tcPr>
          <w:p>
            <w:pPr>
              <w:pStyle w:val="TableParagraph"/>
              <w:spacing w:line="186" w:lineRule="exact"/>
              <w:ind w:left="105"/>
              <w:rPr>
                <w:sz w:val="18"/>
              </w:rPr>
            </w:pPr>
            <w:r>
              <w:rPr>
                <w:w w:val="99"/>
                <w:sz w:val="18"/>
              </w:rPr>
              <w:t>3</w:t>
            </w:r>
          </w:p>
        </w:tc>
        <w:tc>
          <w:tcPr>
            <w:tcW w:w="218" w:type="dxa"/>
            <w:textDirection w:val="tbRl"/>
          </w:tcPr>
          <w:p>
            <w:pPr>
              <w:pStyle w:val="TableParagraph"/>
              <w:spacing w:line="188" w:lineRule="exact"/>
              <w:ind w:left="105"/>
              <w:rPr>
                <w:sz w:val="18"/>
              </w:rPr>
            </w:pPr>
            <w:r>
              <w:rPr>
                <w:w w:val="99"/>
                <w:sz w:val="18"/>
              </w:rPr>
              <w:t>3</w:t>
            </w:r>
          </w:p>
        </w:tc>
        <w:tc>
          <w:tcPr>
            <w:tcW w:w="216" w:type="dxa"/>
            <w:textDirection w:val="tbRl"/>
          </w:tcPr>
          <w:p>
            <w:pPr>
              <w:pStyle w:val="TableParagraph"/>
              <w:spacing w:line="186" w:lineRule="exact"/>
              <w:ind w:left="105"/>
              <w:rPr>
                <w:sz w:val="18"/>
              </w:rPr>
            </w:pPr>
            <w:r>
              <w:rPr>
                <w:w w:val="99"/>
                <w:sz w:val="18"/>
              </w:rPr>
              <w:t>3</w:t>
            </w:r>
          </w:p>
        </w:tc>
        <w:tc>
          <w:tcPr>
            <w:tcW w:w="216" w:type="dxa"/>
            <w:textDirection w:val="tbRl"/>
          </w:tcPr>
          <w:p>
            <w:pPr>
              <w:pStyle w:val="TableParagraph"/>
              <w:spacing w:line="186" w:lineRule="exact"/>
              <w:ind w:left="105"/>
              <w:rPr>
                <w:sz w:val="18"/>
              </w:rPr>
            </w:pPr>
            <w:r>
              <w:rPr>
                <w:w w:val="99"/>
                <w:sz w:val="18"/>
              </w:rPr>
              <w:t>3</w:t>
            </w:r>
          </w:p>
        </w:tc>
        <w:tc>
          <w:tcPr>
            <w:tcW w:w="218" w:type="dxa"/>
            <w:textDirection w:val="tbRl"/>
          </w:tcPr>
          <w:p>
            <w:pPr>
              <w:pStyle w:val="TableParagraph"/>
              <w:spacing w:line="188" w:lineRule="exact"/>
              <w:ind w:left="105"/>
              <w:rPr>
                <w:sz w:val="18"/>
              </w:rPr>
            </w:pPr>
            <w:r>
              <w:rPr>
                <w:w w:val="99"/>
                <w:sz w:val="18"/>
              </w:rPr>
              <w:t>6</w:t>
            </w:r>
          </w:p>
        </w:tc>
        <w:tc>
          <w:tcPr>
            <w:tcW w:w="216" w:type="dxa"/>
            <w:textDirection w:val="tbRl"/>
          </w:tcPr>
          <w:p>
            <w:pPr>
              <w:pStyle w:val="TableParagraph"/>
              <w:spacing w:line="186" w:lineRule="exact"/>
              <w:ind w:left="105"/>
              <w:rPr>
                <w:sz w:val="18"/>
              </w:rPr>
            </w:pPr>
            <w:r>
              <w:rPr>
                <w:w w:val="99"/>
                <w:sz w:val="18"/>
              </w:rPr>
              <w:t>6</w:t>
            </w:r>
          </w:p>
        </w:tc>
        <w:tc>
          <w:tcPr>
            <w:tcW w:w="218" w:type="dxa"/>
            <w:textDirection w:val="tbRl"/>
          </w:tcPr>
          <w:p>
            <w:pPr>
              <w:pStyle w:val="TableParagraph"/>
              <w:spacing w:line="188" w:lineRule="exact"/>
              <w:ind w:left="105"/>
              <w:rPr>
                <w:sz w:val="18"/>
              </w:rPr>
            </w:pPr>
            <w:r>
              <w:rPr>
                <w:w w:val="99"/>
                <w:sz w:val="18"/>
              </w:rPr>
              <w:t>3</w:t>
            </w:r>
          </w:p>
        </w:tc>
        <w:tc>
          <w:tcPr>
            <w:tcW w:w="216" w:type="dxa"/>
            <w:textDirection w:val="tbRl"/>
          </w:tcPr>
          <w:p>
            <w:pPr>
              <w:pStyle w:val="TableParagraph"/>
              <w:spacing w:line="186" w:lineRule="exact"/>
              <w:ind w:left="105"/>
              <w:rPr>
                <w:sz w:val="18"/>
              </w:rPr>
            </w:pPr>
            <w:r>
              <w:rPr>
                <w:w w:val="99"/>
                <w:sz w:val="18"/>
              </w:rPr>
              <w:t>3</w:t>
            </w:r>
          </w:p>
        </w:tc>
        <w:tc>
          <w:tcPr>
            <w:tcW w:w="216" w:type="dxa"/>
            <w:textDirection w:val="tbRl"/>
          </w:tcPr>
          <w:p>
            <w:pPr>
              <w:pStyle w:val="TableParagraph"/>
              <w:spacing w:line="186" w:lineRule="exact"/>
              <w:ind w:left="105"/>
              <w:rPr>
                <w:sz w:val="18"/>
              </w:rPr>
            </w:pPr>
            <w:r>
              <w:rPr>
                <w:w w:val="99"/>
                <w:sz w:val="18"/>
              </w:rPr>
              <w:t>3</w:t>
            </w:r>
          </w:p>
        </w:tc>
        <w:tc>
          <w:tcPr>
            <w:tcW w:w="218" w:type="dxa"/>
            <w:textDirection w:val="tbRl"/>
          </w:tcPr>
          <w:p>
            <w:pPr>
              <w:pStyle w:val="TableParagraph"/>
              <w:spacing w:line="188" w:lineRule="exact"/>
              <w:ind w:left="105"/>
              <w:rPr>
                <w:sz w:val="18"/>
              </w:rPr>
            </w:pPr>
            <w:r>
              <w:rPr>
                <w:w w:val="99"/>
                <w:sz w:val="18"/>
              </w:rPr>
              <w:t>3</w:t>
            </w:r>
          </w:p>
        </w:tc>
        <w:tc>
          <w:tcPr>
            <w:tcW w:w="216" w:type="dxa"/>
            <w:textDirection w:val="tbRl"/>
          </w:tcPr>
          <w:p>
            <w:pPr>
              <w:pStyle w:val="TableParagraph"/>
              <w:spacing w:line="186" w:lineRule="exact"/>
              <w:ind w:left="105"/>
              <w:rPr>
                <w:sz w:val="18"/>
              </w:rPr>
            </w:pPr>
            <w:r>
              <w:rPr>
                <w:w w:val="99"/>
                <w:sz w:val="18"/>
              </w:rPr>
              <w:t>3</w:t>
            </w:r>
          </w:p>
        </w:tc>
        <w:tc>
          <w:tcPr>
            <w:tcW w:w="218" w:type="dxa"/>
            <w:textDirection w:val="tbRl"/>
          </w:tcPr>
          <w:p>
            <w:pPr>
              <w:pStyle w:val="TableParagraph"/>
              <w:spacing w:line="188" w:lineRule="exact"/>
              <w:ind w:left="105"/>
              <w:rPr>
                <w:sz w:val="18"/>
              </w:rPr>
            </w:pPr>
            <w:r>
              <w:rPr>
                <w:w w:val="99"/>
                <w:sz w:val="18"/>
              </w:rPr>
              <w:t>5</w:t>
            </w:r>
          </w:p>
        </w:tc>
        <w:tc>
          <w:tcPr>
            <w:tcW w:w="216" w:type="dxa"/>
            <w:textDirection w:val="tbRl"/>
          </w:tcPr>
          <w:p>
            <w:pPr>
              <w:pStyle w:val="TableParagraph"/>
              <w:spacing w:line="186" w:lineRule="exact"/>
              <w:ind w:left="105"/>
              <w:rPr>
                <w:sz w:val="18"/>
              </w:rPr>
            </w:pPr>
            <w:r>
              <w:rPr>
                <w:w w:val="99"/>
                <w:sz w:val="18"/>
              </w:rPr>
              <w:t>5</w:t>
            </w:r>
          </w:p>
        </w:tc>
        <w:tc>
          <w:tcPr>
            <w:tcW w:w="218" w:type="dxa"/>
            <w:textDirection w:val="tbRl"/>
          </w:tcPr>
          <w:p>
            <w:pPr>
              <w:pStyle w:val="TableParagraph"/>
              <w:spacing w:line="188" w:lineRule="exact"/>
              <w:ind w:left="105"/>
              <w:rPr>
                <w:sz w:val="18"/>
              </w:rPr>
            </w:pPr>
            <w:r>
              <w:rPr>
                <w:w w:val="99"/>
                <w:sz w:val="18"/>
              </w:rPr>
              <w:t>3</w:t>
            </w:r>
          </w:p>
        </w:tc>
        <w:tc>
          <w:tcPr>
            <w:tcW w:w="216" w:type="dxa"/>
            <w:textDirection w:val="tbRl"/>
          </w:tcPr>
          <w:p>
            <w:pPr>
              <w:pStyle w:val="TableParagraph"/>
              <w:spacing w:line="186" w:lineRule="exact"/>
              <w:ind w:left="105"/>
              <w:rPr>
                <w:sz w:val="18"/>
              </w:rPr>
            </w:pPr>
            <w:r>
              <w:rPr>
                <w:w w:val="99"/>
                <w:sz w:val="18"/>
              </w:rPr>
              <w:t>5</w:t>
            </w:r>
          </w:p>
        </w:tc>
        <w:tc>
          <w:tcPr>
            <w:tcW w:w="216" w:type="dxa"/>
            <w:textDirection w:val="tbRl"/>
          </w:tcPr>
          <w:p>
            <w:pPr>
              <w:pStyle w:val="TableParagraph"/>
              <w:spacing w:line="186" w:lineRule="exact"/>
              <w:ind w:left="105"/>
              <w:rPr>
                <w:sz w:val="18"/>
              </w:rPr>
            </w:pPr>
            <w:r>
              <w:rPr>
                <w:w w:val="99"/>
                <w:sz w:val="18"/>
              </w:rPr>
              <w:t>5</w:t>
            </w:r>
          </w:p>
        </w:tc>
        <w:tc>
          <w:tcPr>
            <w:tcW w:w="2215" w:type="dxa"/>
          </w:tcPr>
          <w:p>
            <w:pPr>
              <w:pStyle w:val="TableParagraph"/>
              <w:spacing w:before="20"/>
              <w:ind w:left="9"/>
              <w:rPr>
                <w:sz w:val="18"/>
              </w:rPr>
            </w:pPr>
            <w:r>
              <w:rPr>
                <w:spacing w:val="-2"/>
                <w:sz w:val="18"/>
              </w:rPr>
              <w:t>credits</w:t>
            </w:r>
          </w:p>
        </w:tc>
        <w:tc>
          <w:tcPr>
            <w:tcW w:w="585" w:type="dxa"/>
          </w:tcPr>
          <w:p>
            <w:pPr>
              <w:pStyle w:val="TableParagraph"/>
              <w:rPr>
                <w:rFonts w:ascii="Times New Roman"/>
                <w:sz w:val="18"/>
              </w:rPr>
            </w:pPr>
          </w:p>
        </w:tc>
      </w:tr>
      <w:tr>
        <w:trPr>
          <w:trHeight w:val="854" w:hRule="atLeast"/>
        </w:trPr>
        <w:tc>
          <w:tcPr>
            <w:tcW w:w="216" w:type="dxa"/>
          </w:tcPr>
          <w:p>
            <w:pPr>
              <w:pStyle w:val="TableParagraph"/>
              <w:rPr>
                <w:rFonts w:ascii="Times New Roman"/>
                <w:sz w:val="18"/>
              </w:rPr>
            </w:pPr>
          </w:p>
        </w:tc>
        <w:tc>
          <w:tcPr>
            <w:tcW w:w="218" w:type="dxa"/>
            <w:textDirection w:val="tbRl"/>
          </w:tcPr>
          <w:p>
            <w:pPr>
              <w:pStyle w:val="TableParagraph"/>
              <w:spacing w:line="188" w:lineRule="exact"/>
              <w:ind w:left="103"/>
              <w:rPr>
                <w:sz w:val="18"/>
              </w:rPr>
            </w:pPr>
            <w:r>
              <w:rPr>
                <w:spacing w:val="-2"/>
                <w:sz w:val="18"/>
              </w:rPr>
              <w:t>Hist/Th</w:t>
            </w:r>
          </w:p>
        </w:tc>
        <w:tc>
          <w:tcPr>
            <w:tcW w:w="216" w:type="dxa"/>
            <w:textDirection w:val="tbRl"/>
          </w:tcPr>
          <w:p>
            <w:pPr>
              <w:pStyle w:val="TableParagraph"/>
              <w:spacing w:line="186" w:lineRule="exact"/>
              <w:ind w:left="102"/>
              <w:rPr>
                <w:sz w:val="18"/>
              </w:rPr>
            </w:pPr>
            <w:r>
              <w:rPr>
                <w:spacing w:val="-4"/>
                <w:sz w:val="18"/>
              </w:rPr>
              <w:t>Tech</w:t>
            </w:r>
          </w:p>
        </w:tc>
        <w:tc>
          <w:tcPr>
            <w:tcW w:w="218" w:type="dxa"/>
            <w:textDirection w:val="tbRl"/>
          </w:tcPr>
          <w:p>
            <w:pPr>
              <w:pStyle w:val="TableParagraph"/>
              <w:spacing w:line="188" w:lineRule="exact"/>
              <w:ind w:left="102"/>
              <w:rPr>
                <w:sz w:val="18"/>
              </w:rPr>
            </w:pPr>
            <w:r>
              <w:rPr>
                <w:spacing w:val="-2"/>
                <w:sz w:val="18"/>
              </w:rPr>
              <w:t>Studio</w:t>
            </w:r>
          </w:p>
        </w:tc>
        <w:tc>
          <w:tcPr>
            <w:tcW w:w="216" w:type="dxa"/>
            <w:textDirection w:val="tbRl"/>
          </w:tcPr>
          <w:p>
            <w:pPr>
              <w:pStyle w:val="TableParagraph"/>
              <w:spacing w:line="186" w:lineRule="exact"/>
              <w:ind w:left="102"/>
              <w:rPr>
                <w:sz w:val="18"/>
              </w:rPr>
            </w:pPr>
            <w:r>
              <w:rPr>
                <w:spacing w:val="-2"/>
                <w:sz w:val="18"/>
              </w:rPr>
              <w:t>Studio</w:t>
            </w:r>
          </w:p>
        </w:tc>
        <w:tc>
          <w:tcPr>
            <w:tcW w:w="218" w:type="dxa"/>
            <w:textDirection w:val="tbRl"/>
          </w:tcPr>
          <w:p>
            <w:pPr>
              <w:pStyle w:val="TableParagraph"/>
              <w:spacing w:line="188" w:lineRule="exact"/>
              <w:ind w:left="102"/>
              <w:rPr>
                <w:sz w:val="18"/>
              </w:rPr>
            </w:pPr>
            <w:r>
              <w:rPr>
                <w:spacing w:val="-4"/>
                <w:sz w:val="18"/>
              </w:rPr>
              <w:t>Prof</w:t>
            </w:r>
          </w:p>
        </w:tc>
        <w:tc>
          <w:tcPr>
            <w:tcW w:w="216" w:type="dxa"/>
            <w:textDirection w:val="tbRl"/>
          </w:tcPr>
          <w:p>
            <w:pPr>
              <w:pStyle w:val="TableParagraph"/>
              <w:spacing w:line="186" w:lineRule="exact"/>
              <w:ind w:left="102"/>
              <w:rPr>
                <w:sz w:val="18"/>
              </w:rPr>
            </w:pPr>
            <w:r>
              <w:rPr>
                <w:spacing w:val="-4"/>
                <w:sz w:val="18"/>
              </w:rPr>
              <w:t>Prof</w:t>
            </w:r>
          </w:p>
        </w:tc>
        <w:tc>
          <w:tcPr>
            <w:tcW w:w="216" w:type="dxa"/>
            <w:textDirection w:val="tbRl"/>
          </w:tcPr>
          <w:p>
            <w:pPr>
              <w:pStyle w:val="TableParagraph"/>
              <w:spacing w:line="186" w:lineRule="exact"/>
              <w:ind w:left="102"/>
              <w:rPr>
                <w:sz w:val="18"/>
              </w:rPr>
            </w:pPr>
            <w:r>
              <w:rPr>
                <w:spacing w:val="-4"/>
                <w:sz w:val="18"/>
              </w:rPr>
              <w:t>Tech</w:t>
            </w:r>
          </w:p>
        </w:tc>
        <w:tc>
          <w:tcPr>
            <w:tcW w:w="218" w:type="dxa"/>
            <w:textDirection w:val="tbRl"/>
          </w:tcPr>
          <w:p>
            <w:pPr>
              <w:pStyle w:val="TableParagraph"/>
              <w:spacing w:line="188" w:lineRule="exact"/>
              <w:ind w:left="102"/>
              <w:rPr>
                <w:sz w:val="18"/>
              </w:rPr>
            </w:pPr>
            <w:r>
              <w:rPr>
                <w:spacing w:val="-2"/>
                <w:sz w:val="18"/>
              </w:rPr>
              <w:t>Hist/Th</w:t>
            </w:r>
          </w:p>
        </w:tc>
        <w:tc>
          <w:tcPr>
            <w:tcW w:w="216" w:type="dxa"/>
            <w:textDirection w:val="tbRl"/>
          </w:tcPr>
          <w:p>
            <w:pPr>
              <w:pStyle w:val="TableParagraph"/>
              <w:spacing w:line="186" w:lineRule="exact"/>
              <w:ind w:left="102"/>
              <w:rPr>
                <w:sz w:val="18"/>
              </w:rPr>
            </w:pPr>
            <w:r>
              <w:rPr>
                <w:spacing w:val="-2"/>
                <w:sz w:val="18"/>
              </w:rPr>
              <w:t>Studio</w:t>
            </w:r>
          </w:p>
        </w:tc>
        <w:tc>
          <w:tcPr>
            <w:tcW w:w="218" w:type="dxa"/>
            <w:textDirection w:val="tbRl"/>
          </w:tcPr>
          <w:p>
            <w:pPr>
              <w:pStyle w:val="TableParagraph"/>
              <w:spacing w:line="188" w:lineRule="exact"/>
              <w:ind w:left="102"/>
              <w:rPr>
                <w:sz w:val="18"/>
              </w:rPr>
            </w:pPr>
            <w:r>
              <w:rPr>
                <w:spacing w:val="-2"/>
                <w:sz w:val="18"/>
              </w:rPr>
              <w:t>Studio</w:t>
            </w:r>
          </w:p>
        </w:tc>
        <w:tc>
          <w:tcPr>
            <w:tcW w:w="216" w:type="dxa"/>
            <w:textDirection w:val="tbRl"/>
          </w:tcPr>
          <w:p>
            <w:pPr>
              <w:pStyle w:val="TableParagraph"/>
              <w:spacing w:line="186" w:lineRule="exact"/>
              <w:ind w:left="102"/>
              <w:rPr>
                <w:sz w:val="18"/>
              </w:rPr>
            </w:pPr>
            <w:r>
              <w:rPr>
                <w:spacing w:val="-2"/>
                <w:sz w:val="18"/>
              </w:rPr>
              <w:t>Studio</w:t>
            </w:r>
          </w:p>
        </w:tc>
        <w:tc>
          <w:tcPr>
            <w:tcW w:w="216" w:type="dxa"/>
            <w:textDirection w:val="tbRl"/>
          </w:tcPr>
          <w:p>
            <w:pPr>
              <w:pStyle w:val="TableParagraph"/>
              <w:spacing w:line="186" w:lineRule="exact"/>
              <w:ind w:left="102"/>
              <w:rPr>
                <w:sz w:val="18"/>
              </w:rPr>
            </w:pPr>
            <w:r>
              <w:rPr>
                <w:spacing w:val="-2"/>
                <w:sz w:val="18"/>
              </w:rPr>
              <w:t>Hist/Th</w:t>
            </w:r>
          </w:p>
        </w:tc>
        <w:tc>
          <w:tcPr>
            <w:tcW w:w="218" w:type="dxa"/>
            <w:textDirection w:val="tbRl"/>
          </w:tcPr>
          <w:p>
            <w:pPr>
              <w:pStyle w:val="TableParagraph"/>
              <w:spacing w:line="188" w:lineRule="exact"/>
              <w:ind w:left="102"/>
              <w:rPr>
                <w:sz w:val="18"/>
              </w:rPr>
            </w:pPr>
            <w:r>
              <w:rPr>
                <w:spacing w:val="-2"/>
                <w:sz w:val="18"/>
              </w:rPr>
              <w:t>Hist/Th</w:t>
            </w:r>
          </w:p>
        </w:tc>
        <w:tc>
          <w:tcPr>
            <w:tcW w:w="216" w:type="dxa"/>
            <w:textDirection w:val="tbRl"/>
          </w:tcPr>
          <w:p>
            <w:pPr>
              <w:pStyle w:val="TableParagraph"/>
              <w:spacing w:line="186" w:lineRule="exact"/>
              <w:ind w:left="102"/>
              <w:rPr>
                <w:sz w:val="18"/>
              </w:rPr>
            </w:pPr>
            <w:r>
              <w:rPr>
                <w:spacing w:val="-4"/>
                <w:sz w:val="18"/>
              </w:rPr>
              <w:t>Tech</w:t>
            </w:r>
          </w:p>
        </w:tc>
        <w:tc>
          <w:tcPr>
            <w:tcW w:w="218" w:type="dxa"/>
            <w:textDirection w:val="tbRl"/>
          </w:tcPr>
          <w:p>
            <w:pPr>
              <w:pStyle w:val="TableParagraph"/>
              <w:spacing w:line="188" w:lineRule="exact"/>
              <w:ind w:left="102"/>
              <w:rPr>
                <w:sz w:val="18"/>
              </w:rPr>
            </w:pPr>
            <w:r>
              <w:rPr>
                <w:spacing w:val="-4"/>
                <w:sz w:val="18"/>
              </w:rPr>
              <w:t>Tech</w:t>
            </w:r>
          </w:p>
        </w:tc>
        <w:tc>
          <w:tcPr>
            <w:tcW w:w="216" w:type="dxa"/>
            <w:textDirection w:val="tbRl"/>
          </w:tcPr>
          <w:p>
            <w:pPr>
              <w:pStyle w:val="TableParagraph"/>
              <w:spacing w:line="186" w:lineRule="exact"/>
              <w:ind w:left="102"/>
              <w:rPr>
                <w:sz w:val="18"/>
              </w:rPr>
            </w:pPr>
            <w:r>
              <w:rPr>
                <w:spacing w:val="-4"/>
                <w:sz w:val="18"/>
              </w:rPr>
              <w:t>Tech</w:t>
            </w:r>
          </w:p>
        </w:tc>
        <w:tc>
          <w:tcPr>
            <w:tcW w:w="216" w:type="dxa"/>
            <w:textDirection w:val="tbRl"/>
          </w:tcPr>
          <w:p>
            <w:pPr>
              <w:pStyle w:val="TableParagraph"/>
              <w:spacing w:line="186" w:lineRule="exact"/>
              <w:ind w:left="102"/>
              <w:rPr>
                <w:sz w:val="18"/>
              </w:rPr>
            </w:pPr>
            <w:r>
              <w:rPr>
                <w:spacing w:val="-4"/>
                <w:sz w:val="18"/>
              </w:rPr>
              <w:t>Tech</w:t>
            </w:r>
          </w:p>
        </w:tc>
        <w:tc>
          <w:tcPr>
            <w:tcW w:w="218" w:type="dxa"/>
            <w:textDirection w:val="tbRl"/>
          </w:tcPr>
          <w:p>
            <w:pPr>
              <w:pStyle w:val="TableParagraph"/>
              <w:spacing w:line="188" w:lineRule="exact"/>
              <w:ind w:left="102"/>
              <w:rPr>
                <w:sz w:val="18"/>
              </w:rPr>
            </w:pPr>
            <w:r>
              <w:rPr>
                <w:spacing w:val="-2"/>
                <w:sz w:val="18"/>
              </w:rPr>
              <w:t>Studio</w:t>
            </w:r>
          </w:p>
        </w:tc>
        <w:tc>
          <w:tcPr>
            <w:tcW w:w="216" w:type="dxa"/>
            <w:textDirection w:val="tbRl"/>
          </w:tcPr>
          <w:p>
            <w:pPr>
              <w:pStyle w:val="TableParagraph"/>
              <w:spacing w:line="186" w:lineRule="exact"/>
              <w:ind w:left="102"/>
              <w:rPr>
                <w:sz w:val="18"/>
              </w:rPr>
            </w:pPr>
            <w:r>
              <w:rPr>
                <w:spacing w:val="-2"/>
                <w:sz w:val="18"/>
              </w:rPr>
              <w:t>Studio</w:t>
            </w:r>
          </w:p>
        </w:tc>
        <w:tc>
          <w:tcPr>
            <w:tcW w:w="218" w:type="dxa"/>
            <w:textDirection w:val="tbRl"/>
          </w:tcPr>
          <w:p>
            <w:pPr>
              <w:pStyle w:val="TableParagraph"/>
              <w:spacing w:line="188" w:lineRule="exact"/>
              <w:ind w:left="102"/>
              <w:rPr>
                <w:sz w:val="18"/>
              </w:rPr>
            </w:pPr>
            <w:r>
              <w:rPr>
                <w:spacing w:val="-4"/>
                <w:sz w:val="18"/>
              </w:rPr>
              <w:t>Tech</w:t>
            </w:r>
          </w:p>
        </w:tc>
        <w:tc>
          <w:tcPr>
            <w:tcW w:w="216" w:type="dxa"/>
            <w:textDirection w:val="tbRl"/>
          </w:tcPr>
          <w:p>
            <w:pPr>
              <w:pStyle w:val="TableParagraph"/>
              <w:spacing w:line="186" w:lineRule="exact"/>
              <w:ind w:left="102"/>
              <w:rPr>
                <w:sz w:val="18"/>
              </w:rPr>
            </w:pPr>
            <w:r>
              <w:rPr>
                <w:spacing w:val="-2"/>
                <w:sz w:val="18"/>
              </w:rPr>
              <w:t>Hist/Th</w:t>
            </w:r>
          </w:p>
        </w:tc>
        <w:tc>
          <w:tcPr>
            <w:tcW w:w="216" w:type="dxa"/>
            <w:textDirection w:val="tbRl"/>
          </w:tcPr>
          <w:p>
            <w:pPr>
              <w:pStyle w:val="TableParagraph"/>
              <w:spacing w:line="186" w:lineRule="exact"/>
              <w:ind w:left="102"/>
              <w:rPr>
                <w:sz w:val="18"/>
              </w:rPr>
            </w:pPr>
            <w:r>
              <w:rPr>
                <w:spacing w:val="-2"/>
                <w:sz w:val="18"/>
              </w:rPr>
              <w:t>Hist/Th</w:t>
            </w:r>
          </w:p>
        </w:tc>
        <w:tc>
          <w:tcPr>
            <w:tcW w:w="218" w:type="dxa"/>
            <w:textDirection w:val="tbRl"/>
          </w:tcPr>
          <w:p>
            <w:pPr>
              <w:pStyle w:val="TableParagraph"/>
              <w:spacing w:line="188" w:lineRule="exact"/>
              <w:ind w:left="102"/>
              <w:rPr>
                <w:sz w:val="18"/>
              </w:rPr>
            </w:pPr>
            <w:r>
              <w:rPr>
                <w:spacing w:val="-2"/>
                <w:sz w:val="18"/>
              </w:rPr>
              <w:t>Repres</w:t>
            </w:r>
          </w:p>
        </w:tc>
        <w:tc>
          <w:tcPr>
            <w:tcW w:w="216" w:type="dxa"/>
            <w:textDirection w:val="tbRl"/>
          </w:tcPr>
          <w:p>
            <w:pPr>
              <w:pStyle w:val="TableParagraph"/>
              <w:spacing w:line="186" w:lineRule="exact"/>
              <w:ind w:left="102"/>
              <w:rPr>
                <w:sz w:val="18"/>
              </w:rPr>
            </w:pPr>
            <w:r>
              <w:rPr>
                <w:spacing w:val="-2"/>
                <w:sz w:val="18"/>
              </w:rPr>
              <w:t>Repres</w:t>
            </w:r>
          </w:p>
        </w:tc>
        <w:tc>
          <w:tcPr>
            <w:tcW w:w="218" w:type="dxa"/>
            <w:textDirection w:val="tbRl"/>
          </w:tcPr>
          <w:p>
            <w:pPr>
              <w:pStyle w:val="TableParagraph"/>
              <w:spacing w:line="188" w:lineRule="exact"/>
              <w:ind w:left="102"/>
              <w:rPr>
                <w:sz w:val="18"/>
              </w:rPr>
            </w:pPr>
            <w:r>
              <w:rPr>
                <w:spacing w:val="-2"/>
                <w:sz w:val="18"/>
              </w:rPr>
              <w:t>Studio</w:t>
            </w:r>
          </w:p>
        </w:tc>
        <w:tc>
          <w:tcPr>
            <w:tcW w:w="216" w:type="dxa"/>
            <w:textDirection w:val="tbRl"/>
          </w:tcPr>
          <w:p>
            <w:pPr>
              <w:pStyle w:val="TableParagraph"/>
              <w:spacing w:line="186" w:lineRule="exact"/>
              <w:ind w:left="102"/>
              <w:rPr>
                <w:sz w:val="18"/>
              </w:rPr>
            </w:pPr>
            <w:r>
              <w:rPr>
                <w:spacing w:val="-2"/>
                <w:sz w:val="18"/>
              </w:rPr>
              <w:t>Studio</w:t>
            </w:r>
          </w:p>
        </w:tc>
        <w:tc>
          <w:tcPr>
            <w:tcW w:w="218" w:type="dxa"/>
            <w:textDirection w:val="tbRl"/>
          </w:tcPr>
          <w:p>
            <w:pPr>
              <w:pStyle w:val="TableParagraph"/>
              <w:spacing w:line="188" w:lineRule="exact"/>
              <w:ind w:left="102"/>
              <w:rPr>
                <w:sz w:val="18"/>
              </w:rPr>
            </w:pPr>
            <w:r>
              <w:rPr>
                <w:spacing w:val="-4"/>
                <w:sz w:val="18"/>
              </w:rPr>
              <w:t>Tech</w:t>
            </w:r>
          </w:p>
        </w:tc>
        <w:tc>
          <w:tcPr>
            <w:tcW w:w="216" w:type="dxa"/>
            <w:textDirection w:val="tbRl"/>
          </w:tcPr>
          <w:p>
            <w:pPr>
              <w:pStyle w:val="TableParagraph"/>
              <w:spacing w:line="186" w:lineRule="exact"/>
              <w:ind w:left="102"/>
              <w:rPr>
                <w:sz w:val="18"/>
              </w:rPr>
            </w:pPr>
            <w:r>
              <w:rPr>
                <w:spacing w:val="-2"/>
                <w:sz w:val="18"/>
              </w:rPr>
              <w:t>Studio</w:t>
            </w:r>
          </w:p>
        </w:tc>
        <w:tc>
          <w:tcPr>
            <w:tcW w:w="216" w:type="dxa"/>
            <w:textDirection w:val="tbRl"/>
          </w:tcPr>
          <w:p>
            <w:pPr>
              <w:pStyle w:val="TableParagraph"/>
              <w:spacing w:line="186" w:lineRule="exact"/>
              <w:ind w:left="102"/>
              <w:rPr>
                <w:sz w:val="18"/>
              </w:rPr>
            </w:pPr>
            <w:r>
              <w:rPr>
                <w:spacing w:val="-2"/>
                <w:sz w:val="18"/>
              </w:rPr>
              <w:t>Studio</w:t>
            </w:r>
          </w:p>
        </w:tc>
        <w:tc>
          <w:tcPr>
            <w:tcW w:w="2215" w:type="dxa"/>
          </w:tcPr>
          <w:p>
            <w:pPr>
              <w:pStyle w:val="TableParagraph"/>
              <w:spacing w:before="7"/>
              <w:rPr>
                <w:sz w:val="27"/>
              </w:rPr>
            </w:pPr>
          </w:p>
          <w:p>
            <w:pPr>
              <w:pStyle w:val="TableParagraph"/>
              <w:ind w:left="110"/>
              <w:rPr>
                <w:sz w:val="18"/>
              </w:rPr>
            </w:pPr>
            <w:r>
              <w:rPr>
                <w:spacing w:val="-2"/>
                <w:sz w:val="18"/>
              </w:rPr>
              <w:t>cluster</w:t>
            </w:r>
          </w:p>
        </w:tc>
        <w:tc>
          <w:tcPr>
            <w:tcW w:w="585" w:type="dxa"/>
          </w:tcPr>
          <w:p>
            <w:pPr>
              <w:pStyle w:val="TableParagraph"/>
              <w:spacing w:before="10"/>
              <w:rPr>
                <w:sz w:val="27"/>
              </w:rPr>
            </w:pPr>
          </w:p>
          <w:p>
            <w:pPr>
              <w:pStyle w:val="TableParagraph"/>
              <w:spacing w:line="244" w:lineRule="auto"/>
              <w:ind w:left="112" w:right="28" w:hanging="60"/>
              <w:rPr>
                <w:sz w:val="18"/>
              </w:rPr>
            </w:pPr>
            <w:r>
              <w:rPr>
                <w:spacing w:val="-4"/>
                <w:sz w:val="18"/>
              </w:rPr>
              <w:t>NAAB SPC</w:t>
            </w:r>
          </w:p>
        </w:tc>
      </w:tr>
      <w:tr>
        <w:trPr>
          <w:trHeight w:val="350" w:hRule="atLeast"/>
        </w:trPr>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FF6600"/>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FFCC00"/>
          </w:tcPr>
          <w:p>
            <w:pPr>
              <w:pStyle w:val="TableParagraph"/>
              <w:rPr>
                <w:rFonts w:ascii="Times New Roman"/>
                <w:sz w:val="18"/>
              </w:rPr>
            </w:pPr>
          </w:p>
        </w:tc>
        <w:tc>
          <w:tcPr>
            <w:tcW w:w="216" w:type="dxa"/>
            <w:shd w:val="clear" w:color="auto" w:fill="FFCC00"/>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FFCC00"/>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shd w:val="clear" w:color="auto" w:fill="FFCC00"/>
          </w:tcPr>
          <w:p>
            <w:pPr>
              <w:pStyle w:val="TableParagraph"/>
              <w:rPr>
                <w:rFonts w:ascii="Times New Roman"/>
                <w:sz w:val="18"/>
              </w:rPr>
            </w:pPr>
          </w:p>
        </w:tc>
        <w:tc>
          <w:tcPr>
            <w:tcW w:w="216" w:type="dxa"/>
            <w:shd w:val="clear" w:color="auto" w:fill="FFCC00"/>
          </w:tcPr>
          <w:p>
            <w:pPr>
              <w:pStyle w:val="TableParagraph"/>
              <w:rPr>
                <w:rFonts w:ascii="Times New Roman"/>
                <w:sz w:val="18"/>
              </w:rPr>
            </w:pPr>
          </w:p>
        </w:tc>
        <w:tc>
          <w:tcPr>
            <w:tcW w:w="2215" w:type="dxa"/>
          </w:tcPr>
          <w:p>
            <w:pPr>
              <w:pStyle w:val="TableParagraph"/>
              <w:spacing w:before="30"/>
              <w:ind w:left="9"/>
              <w:rPr>
                <w:sz w:val="18"/>
              </w:rPr>
            </w:pPr>
            <w:r>
              <w:rPr>
                <w:sz w:val="18"/>
              </w:rPr>
              <w:t>Communication</w:t>
            </w:r>
            <w:r>
              <w:rPr>
                <w:spacing w:val="-5"/>
                <w:sz w:val="18"/>
              </w:rPr>
              <w:t> </w:t>
            </w:r>
            <w:r>
              <w:rPr>
                <w:spacing w:val="-2"/>
                <w:sz w:val="18"/>
              </w:rPr>
              <w:t>Skills</w:t>
            </w:r>
          </w:p>
        </w:tc>
        <w:tc>
          <w:tcPr>
            <w:tcW w:w="585" w:type="dxa"/>
          </w:tcPr>
          <w:p>
            <w:pPr>
              <w:pStyle w:val="TableParagraph"/>
              <w:spacing w:before="30"/>
              <w:ind w:left="124" w:right="105"/>
              <w:jc w:val="center"/>
              <w:rPr>
                <w:sz w:val="18"/>
              </w:rPr>
            </w:pPr>
            <w:r>
              <w:rPr>
                <w:spacing w:val="-5"/>
                <w:sz w:val="18"/>
              </w:rPr>
              <w:t>A1</w:t>
            </w:r>
          </w:p>
        </w:tc>
      </w:tr>
      <w:tr>
        <w:trPr>
          <w:trHeight w:val="352" w:hRule="atLeast"/>
        </w:trPr>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8" w:type="dxa"/>
            <w:shd w:val="clear" w:color="auto" w:fill="FFCC00"/>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FF6600"/>
          </w:tcPr>
          <w:p>
            <w:pPr>
              <w:pStyle w:val="TableParagraph"/>
              <w:rPr>
                <w:rFonts w:ascii="Times New Roman"/>
                <w:sz w:val="18"/>
              </w:rPr>
            </w:pPr>
          </w:p>
        </w:tc>
        <w:tc>
          <w:tcPr>
            <w:tcW w:w="216" w:type="dxa"/>
            <w:shd w:val="clear" w:color="auto" w:fill="FF6600"/>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FFCC00"/>
          </w:tcPr>
          <w:p>
            <w:pPr>
              <w:pStyle w:val="TableParagraph"/>
              <w:rPr>
                <w:rFonts w:ascii="Times New Roman"/>
                <w:sz w:val="18"/>
              </w:rPr>
            </w:pPr>
          </w:p>
        </w:tc>
        <w:tc>
          <w:tcPr>
            <w:tcW w:w="216" w:type="dxa"/>
            <w:shd w:val="clear" w:color="auto" w:fill="FFCC00"/>
          </w:tcPr>
          <w:p>
            <w:pPr>
              <w:pStyle w:val="TableParagraph"/>
              <w:rPr>
                <w:rFonts w:ascii="Times New Roman"/>
                <w:sz w:val="18"/>
              </w:rPr>
            </w:pPr>
          </w:p>
        </w:tc>
        <w:tc>
          <w:tcPr>
            <w:tcW w:w="2215" w:type="dxa"/>
          </w:tcPr>
          <w:p>
            <w:pPr>
              <w:pStyle w:val="TableParagraph"/>
              <w:spacing w:before="30"/>
              <w:ind w:left="9"/>
              <w:rPr>
                <w:sz w:val="18"/>
              </w:rPr>
            </w:pPr>
            <w:r>
              <w:rPr>
                <w:sz w:val="18"/>
              </w:rPr>
              <w:t>Design</w:t>
            </w:r>
            <w:r>
              <w:rPr>
                <w:spacing w:val="-3"/>
                <w:sz w:val="18"/>
              </w:rPr>
              <w:t> </w:t>
            </w:r>
            <w:r>
              <w:rPr>
                <w:sz w:val="18"/>
              </w:rPr>
              <w:t>Thinking</w:t>
            </w:r>
            <w:r>
              <w:rPr>
                <w:spacing w:val="-3"/>
                <w:sz w:val="18"/>
              </w:rPr>
              <w:t> </w:t>
            </w:r>
            <w:r>
              <w:rPr>
                <w:spacing w:val="-2"/>
                <w:sz w:val="18"/>
              </w:rPr>
              <w:t>Skills</w:t>
            </w:r>
          </w:p>
        </w:tc>
        <w:tc>
          <w:tcPr>
            <w:tcW w:w="585" w:type="dxa"/>
          </w:tcPr>
          <w:p>
            <w:pPr>
              <w:pStyle w:val="TableParagraph"/>
              <w:spacing w:before="30"/>
              <w:ind w:left="124" w:right="105"/>
              <w:jc w:val="center"/>
              <w:rPr>
                <w:sz w:val="18"/>
              </w:rPr>
            </w:pPr>
            <w:r>
              <w:rPr>
                <w:spacing w:val="-5"/>
                <w:sz w:val="18"/>
              </w:rPr>
              <w:t>A2</w:t>
            </w:r>
          </w:p>
        </w:tc>
      </w:tr>
      <w:tr>
        <w:trPr>
          <w:trHeight w:val="350" w:hRule="atLeast"/>
        </w:trPr>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shd w:val="clear" w:color="auto" w:fill="FF6600"/>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shd w:val="clear" w:color="auto" w:fill="FFCC00"/>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FFCC00"/>
          </w:tcPr>
          <w:p>
            <w:pPr>
              <w:pStyle w:val="TableParagraph"/>
              <w:rPr>
                <w:rFonts w:ascii="Times New Roman"/>
                <w:sz w:val="18"/>
              </w:rPr>
            </w:pPr>
          </w:p>
        </w:tc>
        <w:tc>
          <w:tcPr>
            <w:tcW w:w="216" w:type="dxa"/>
            <w:shd w:val="clear" w:color="auto" w:fill="FFCC00"/>
          </w:tcPr>
          <w:p>
            <w:pPr>
              <w:pStyle w:val="TableParagraph"/>
              <w:rPr>
                <w:rFonts w:ascii="Times New Roman"/>
                <w:sz w:val="18"/>
              </w:rPr>
            </w:pPr>
          </w:p>
        </w:tc>
        <w:tc>
          <w:tcPr>
            <w:tcW w:w="2215" w:type="dxa"/>
          </w:tcPr>
          <w:p>
            <w:pPr>
              <w:pStyle w:val="TableParagraph"/>
              <w:spacing w:before="30"/>
              <w:ind w:left="9"/>
              <w:rPr>
                <w:sz w:val="18"/>
              </w:rPr>
            </w:pPr>
            <w:r>
              <w:rPr>
                <w:sz w:val="18"/>
              </w:rPr>
              <w:t>Visual</w:t>
            </w:r>
            <w:r>
              <w:rPr>
                <w:spacing w:val="-5"/>
                <w:sz w:val="18"/>
              </w:rPr>
              <w:t> </w:t>
            </w:r>
            <w:r>
              <w:rPr>
                <w:sz w:val="18"/>
              </w:rPr>
              <w:t>Communication</w:t>
            </w:r>
            <w:r>
              <w:rPr>
                <w:spacing w:val="-4"/>
                <w:sz w:val="18"/>
              </w:rPr>
              <w:t> </w:t>
            </w:r>
            <w:r>
              <w:rPr>
                <w:spacing w:val="-5"/>
                <w:sz w:val="18"/>
              </w:rPr>
              <w:t>Sk</w:t>
            </w:r>
          </w:p>
        </w:tc>
        <w:tc>
          <w:tcPr>
            <w:tcW w:w="585" w:type="dxa"/>
          </w:tcPr>
          <w:p>
            <w:pPr>
              <w:pStyle w:val="TableParagraph"/>
              <w:spacing w:before="30"/>
              <w:ind w:left="124" w:right="105"/>
              <w:jc w:val="center"/>
              <w:rPr>
                <w:sz w:val="18"/>
              </w:rPr>
            </w:pPr>
            <w:r>
              <w:rPr>
                <w:spacing w:val="-5"/>
                <w:sz w:val="18"/>
              </w:rPr>
              <w:t>A3</w:t>
            </w:r>
          </w:p>
        </w:tc>
      </w:tr>
      <w:tr>
        <w:trPr>
          <w:trHeight w:val="350" w:hRule="atLeast"/>
        </w:trPr>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FFCC00"/>
          </w:tcPr>
          <w:p>
            <w:pPr>
              <w:pStyle w:val="TableParagraph"/>
              <w:rPr>
                <w:rFonts w:ascii="Times New Roman"/>
                <w:sz w:val="18"/>
              </w:rPr>
            </w:pPr>
          </w:p>
        </w:tc>
        <w:tc>
          <w:tcPr>
            <w:tcW w:w="216" w:type="dxa"/>
            <w:shd w:val="clear" w:color="auto" w:fill="FFCC00"/>
          </w:tcPr>
          <w:p>
            <w:pPr>
              <w:pStyle w:val="TableParagraph"/>
              <w:rPr>
                <w:rFonts w:ascii="Times New Roman"/>
                <w:sz w:val="18"/>
              </w:rPr>
            </w:pPr>
          </w:p>
        </w:tc>
        <w:tc>
          <w:tcPr>
            <w:tcW w:w="218" w:type="dxa"/>
            <w:shd w:val="clear" w:color="auto" w:fill="FFCC00"/>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FF6600"/>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FFCC00"/>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215" w:type="dxa"/>
          </w:tcPr>
          <w:p>
            <w:pPr>
              <w:pStyle w:val="TableParagraph"/>
              <w:spacing w:before="30"/>
              <w:ind w:left="9"/>
              <w:rPr>
                <w:sz w:val="18"/>
              </w:rPr>
            </w:pPr>
            <w:r>
              <w:rPr>
                <w:sz w:val="18"/>
              </w:rPr>
              <w:t>Technical</w:t>
            </w:r>
            <w:r>
              <w:rPr>
                <w:spacing w:val="-2"/>
                <w:sz w:val="18"/>
              </w:rPr>
              <w:t> Documentation</w:t>
            </w:r>
          </w:p>
        </w:tc>
        <w:tc>
          <w:tcPr>
            <w:tcW w:w="585" w:type="dxa"/>
          </w:tcPr>
          <w:p>
            <w:pPr>
              <w:pStyle w:val="TableParagraph"/>
              <w:spacing w:before="30"/>
              <w:ind w:left="124" w:right="105"/>
              <w:jc w:val="center"/>
              <w:rPr>
                <w:sz w:val="18"/>
              </w:rPr>
            </w:pPr>
            <w:r>
              <w:rPr>
                <w:spacing w:val="-5"/>
                <w:sz w:val="18"/>
              </w:rPr>
              <w:t>A4</w:t>
            </w:r>
          </w:p>
        </w:tc>
      </w:tr>
      <w:tr>
        <w:trPr>
          <w:trHeight w:val="352" w:hRule="atLeast"/>
        </w:trPr>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FF6600"/>
          </w:tcPr>
          <w:p>
            <w:pPr>
              <w:pStyle w:val="TableParagraph"/>
              <w:rPr>
                <w:rFonts w:ascii="Times New Roman"/>
                <w:sz w:val="18"/>
              </w:rPr>
            </w:pPr>
          </w:p>
        </w:tc>
        <w:tc>
          <w:tcPr>
            <w:tcW w:w="216" w:type="dxa"/>
            <w:shd w:val="clear" w:color="auto" w:fill="FF6600"/>
          </w:tcPr>
          <w:p>
            <w:pPr>
              <w:pStyle w:val="TableParagraph"/>
              <w:rPr>
                <w:rFonts w:ascii="Times New Roman"/>
                <w:sz w:val="18"/>
              </w:rPr>
            </w:pPr>
          </w:p>
        </w:tc>
        <w:tc>
          <w:tcPr>
            <w:tcW w:w="218" w:type="dxa"/>
            <w:shd w:val="clear" w:color="auto" w:fill="FF6600"/>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FFCC00"/>
          </w:tcPr>
          <w:p>
            <w:pPr>
              <w:pStyle w:val="TableParagraph"/>
              <w:rPr>
                <w:rFonts w:ascii="Times New Roman"/>
                <w:sz w:val="18"/>
              </w:rPr>
            </w:pPr>
          </w:p>
        </w:tc>
        <w:tc>
          <w:tcPr>
            <w:tcW w:w="216" w:type="dxa"/>
            <w:shd w:val="clear" w:color="auto" w:fill="FFCC00"/>
          </w:tcPr>
          <w:p>
            <w:pPr>
              <w:pStyle w:val="TableParagraph"/>
              <w:rPr>
                <w:rFonts w:ascii="Times New Roman"/>
                <w:sz w:val="18"/>
              </w:rPr>
            </w:pPr>
          </w:p>
        </w:tc>
        <w:tc>
          <w:tcPr>
            <w:tcW w:w="218" w:type="dxa"/>
            <w:shd w:val="clear" w:color="auto" w:fill="FF6600"/>
          </w:tcPr>
          <w:p>
            <w:pPr>
              <w:pStyle w:val="TableParagraph"/>
              <w:rPr>
                <w:rFonts w:ascii="Times New Roman"/>
                <w:sz w:val="18"/>
              </w:rPr>
            </w:pPr>
          </w:p>
        </w:tc>
        <w:tc>
          <w:tcPr>
            <w:tcW w:w="216" w:type="dxa"/>
            <w:shd w:val="clear" w:color="auto" w:fill="FF6600"/>
          </w:tcPr>
          <w:p>
            <w:pPr>
              <w:pStyle w:val="TableParagraph"/>
              <w:rPr>
                <w:rFonts w:ascii="Times New Roman"/>
                <w:sz w:val="18"/>
              </w:rPr>
            </w:pPr>
          </w:p>
        </w:tc>
        <w:tc>
          <w:tcPr>
            <w:tcW w:w="216" w:type="dxa"/>
            <w:shd w:val="clear" w:color="auto" w:fill="FCF305"/>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FFCC00"/>
          </w:tcPr>
          <w:p>
            <w:pPr>
              <w:pStyle w:val="TableParagraph"/>
              <w:rPr>
                <w:rFonts w:ascii="Times New Roman"/>
                <w:sz w:val="18"/>
              </w:rPr>
            </w:pPr>
          </w:p>
        </w:tc>
        <w:tc>
          <w:tcPr>
            <w:tcW w:w="216" w:type="dxa"/>
            <w:shd w:val="clear" w:color="auto" w:fill="FFCC00"/>
          </w:tcPr>
          <w:p>
            <w:pPr>
              <w:pStyle w:val="TableParagraph"/>
              <w:rPr>
                <w:rFonts w:ascii="Times New Roman"/>
                <w:sz w:val="18"/>
              </w:rPr>
            </w:pPr>
          </w:p>
        </w:tc>
        <w:tc>
          <w:tcPr>
            <w:tcW w:w="218" w:type="dxa"/>
            <w:shd w:val="clear" w:color="auto" w:fill="FFCC00"/>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215" w:type="dxa"/>
          </w:tcPr>
          <w:p>
            <w:pPr>
              <w:pStyle w:val="TableParagraph"/>
              <w:spacing w:before="30"/>
              <w:ind w:left="9"/>
              <w:rPr>
                <w:sz w:val="18"/>
              </w:rPr>
            </w:pPr>
            <w:r>
              <w:rPr>
                <w:sz w:val="18"/>
              </w:rPr>
              <w:t>Investigative</w:t>
            </w:r>
            <w:r>
              <w:rPr>
                <w:spacing w:val="-2"/>
                <w:sz w:val="18"/>
              </w:rPr>
              <w:t> Skills</w:t>
            </w:r>
          </w:p>
        </w:tc>
        <w:tc>
          <w:tcPr>
            <w:tcW w:w="585" w:type="dxa"/>
          </w:tcPr>
          <w:p>
            <w:pPr>
              <w:pStyle w:val="TableParagraph"/>
              <w:spacing w:before="30"/>
              <w:ind w:left="124" w:right="105"/>
              <w:jc w:val="center"/>
              <w:rPr>
                <w:sz w:val="18"/>
              </w:rPr>
            </w:pPr>
            <w:r>
              <w:rPr>
                <w:spacing w:val="-5"/>
                <w:sz w:val="18"/>
              </w:rPr>
              <w:t>A5</w:t>
            </w:r>
          </w:p>
        </w:tc>
      </w:tr>
      <w:tr>
        <w:trPr>
          <w:trHeight w:val="350" w:hRule="atLeast"/>
        </w:trPr>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shd w:val="clear" w:color="auto" w:fill="FF6600"/>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FFCC00"/>
          </w:tcPr>
          <w:p>
            <w:pPr>
              <w:pStyle w:val="TableParagraph"/>
              <w:rPr>
                <w:rFonts w:ascii="Times New Roman"/>
                <w:sz w:val="18"/>
              </w:rPr>
            </w:pPr>
          </w:p>
        </w:tc>
        <w:tc>
          <w:tcPr>
            <w:tcW w:w="216" w:type="dxa"/>
            <w:shd w:val="clear" w:color="auto" w:fill="FFCC00"/>
          </w:tcPr>
          <w:p>
            <w:pPr>
              <w:pStyle w:val="TableParagraph"/>
              <w:rPr>
                <w:rFonts w:ascii="Times New Roman"/>
                <w:sz w:val="18"/>
              </w:rPr>
            </w:pPr>
          </w:p>
        </w:tc>
        <w:tc>
          <w:tcPr>
            <w:tcW w:w="2215" w:type="dxa"/>
          </w:tcPr>
          <w:p>
            <w:pPr>
              <w:pStyle w:val="TableParagraph"/>
              <w:spacing w:before="30"/>
              <w:ind w:left="9"/>
              <w:rPr>
                <w:sz w:val="18"/>
              </w:rPr>
            </w:pPr>
            <w:r>
              <w:rPr>
                <w:sz w:val="18"/>
              </w:rPr>
              <w:t>Fundamental</w:t>
            </w:r>
            <w:r>
              <w:rPr>
                <w:spacing w:val="-4"/>
                <w:sz w:val="18"/>
              </w:rPr>
              <w:t> </w:t>
            </w:r>
            <w:r>
              <w:rPr>
                <w:sz w:val="18"/>
              </w:rPr>
              <w:t>Design</w:t>
            </w:r>
            <w:r>
              <w:rPr>
                <w:spacing w:val="-3"/>
                <w:sz w:val="18"/>
              </w:rPr>
              <w:t> </w:t>
            </w:r>
            <w:r>
              <w:rPr>
                <w:spacing w:val="-2"/>
                <w:sz w:val="18"/>
              </w:rPr>
              <w:t>Skills</w:t>
            </w:r>
          </w:p>
        </w:tc>
        <w:tc>
          <w:tcPr>
            <w:tcW w:w="585" w:type="dxa"/>
          </w:tcPr>
          <w:p>
            <w:pPr>
              <w:pStyle w:val="TableParagraph"/>
              <w:spacing w:before="30"/>
              <w:ind w:left="124" w:right="105"/>
              <w:jc w:val="center"/>
              <w:rPr>
                <w:sz w:val="18"/>
              </w:rPr>
            </w:pPr>
            <w:r>
              <w:rPr>
                <w:spacing w:val="-5"/>
                <w:sz w:val="18"/>
              </w:rPr>
              <w:t>A6</w:t>
            </w:r>
          </w:p>
        </w:tc>
      </w:tr>
      <w:tr>
        <w:trPr>
          <w:trHeight w:val="350" w:hRule="atLeast"/>
        </w:trPr>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shd w:val="clear" w:color="auto" w:fill="FF6600"/>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FCF305"/>
          </w:tcPr>
          <w:p>
            <w:pPr>
              <w:pStyle w:val="TableParagraph"/>
              <w:rPr>
                <w:rFonts w:ascii="Times New Roman"/>
                <w:sz w:val="18"/>
              </w:rPr>
            </w:pPr>
          </w:p>
        </w:tc>
        <w:tc>
          <w:tcPr>
            <w:tcW w:w="216" w:type="dxa"/>
            <w:shd w:val="clear" w:color="auto" w:fill="FCF305"/>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FFCC00"/>
          </w:tcPr>
          <w:p>
            <w:pPr>
              <w:pStyle w:val="TableParagraph"/>
              <w:rPr>
                <w:rFonts w:ascii="Times New Roman"/>
                <w:sz w:val="18"/>
              </w:rPr>
            </w:pPr>
          </w:p>
        </w:tc>
        <w:tc>
          <w:tcPr>
            <w:tcW w:w="216" w:type="dxa"/>
            <w:shd w:val="clear" w:color="auto" w:fill="FFCC00"/>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FFCC00"/>
          </w:tcPr>
          <w:p>
            <w:pPr>
              <w:pStyle w:val="TableParagraph"/>
              <w:rPr>
                <w:rFonts w:ascii="Times New Roman"/>
                <w:sz w:val="18"/>
              </w:rPr>
            </w:pPr>
          </w:p>
        </w:tc>
        <w:tc>
          <w:tcPr>
            <w:tcW w:w="216" w:type="dxa"/>
            <w:shd w:val="clear" w:color="auto" w:fill="FFCC00"/>
          </w:tcPr>
          <w:p>
            <w:pPr>
              <w:pStyle w:val="TableParagraph"/>
              <w:rPr>
                <w:rFonts w:ascii="Times New Roman"/>
                <w:sz w:val="18"/>
              </w:rPr>
            </w:pPr>
          </w:p>
        </w:tc>
        <w:tc>
          <w:tcPr>
            <w:tcW w:w="2215" w:type="dxa"/>
          </w:tcPr>
          <w:p>
            <w:pPr>
              <w:pStyle w:val="TableParagraph"/>
              <w:spacing w:before="30"/>
              <w:ind w:left="9"/>
              <w:rPr>
                <w:sz w:val="18"/>
              </w:rPr>
            </w:pPr>
            <w:r>
              <w:rPr>
                <w:sz w:val="18"/>
              </w:rPr>
              <w:t>Use of</w:t>
            </w:r>
            <w:r>
              <w:rPr>
                <w:spacing w:val="-1"/>
                <w:sz w:val="18"/>
              </w:rPr>
              <w:t> </w:t>
            </w:r>
            <w:r>
              <w:rPr>
                <w:spacing w:val="-2"/>
                <w:sz w:val="18"/>
              </w:rPr>
              <w:t>Precedents</w:t>
            </w:r>
          </w:p>
        </w:tc>
        <w:tc>
          <w:tcPr>
            <w:tcW w:w="585" w:type="dxa"/>
          </w:tcPr>
          <w:p>
            <w:pPr>
              <w:pStyle w:val="TableParagraph"/>
              <w:spacing w:before="30"/>
              <w:ind w:left="124" w:right="105"/>
              <w:jc w:val="center"/>
              <w:rPr>
                <w:sz w:val="18"/>
              </w:rPr>
            </w:pPr>
            <w:r>
              <w:rPr>
                <w:spacing w:val="-5"/>
                <w:sz w:val="18"/>
              </w:rPr>
              <w:t>A7</w:t>
            </w:r>
          </w:p>
        </w:tc>
      </w:tr>
      <w:tr>
        <w:trPr>
          <w:trHeight w:val="350" w:hRule="atLeast"/>
        </w:trPr>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shd w:val="clear" w:color="auto" w:fill="FF6600"/>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FFCC00"/>
          </w:tcPr>
          <w:p>
            <w:pPr>
              <w:pStyle w:val="TableParagraph"/>
              <w:rPr>
                <w:rFonts w:ascii="Times New Roman"/>
                <w:sz w:val="18"/>
              </w:rPr>
            </w:pPr>
          </w:p>
        </w:tc>
        <w:tc>
          <w:tcPr>
            <w:tcW w:w="216" w:type="dxa"/>
            <w:shd w:val="clear" w:color="auto" w:fill="FFCC00"/>
          </w:tcPr>
          <w:p>
            <w:pPr>
              <w:pStyle w:val="TableParagraph"/>
              <w:rPr>
                <w:rFonts w:ascii="Times New Roman"/>
                <w:sz w:val="18"/>
              </w:rPr>
            </w:pPr>
          </w:p>
        </w:tc>
        <w:tc>
          <w:tcPr>
            <w:tcW w:w="2215" w:type="dxa"/>
          </w:tcPr>
          <w:p>
            <w:pPr>
              <w:pStyle w:val="TableParagraph"/>
              <w:spacing w:before="30"/>
              <w:ind w:left="9"/>
              <w:rPr>
                <w:sz w:val="18"/>
              </w:rPr>
            </w:pPr>
            <w:r>
              <w:rPr>
                <w:sz w:val="18"/>
              </w:rPr>
              <w:t>Ordering</w:t>
            </w:r>
            <w:r>
              <w:rPr>
                <w:spacing w:val="-3"/>
                <w:sz w:val="18"/>
              </w:rPr>
              <w:t> </w:t>
            </w:r>
            <w:r>
              <w:rPr>
                <w:sz w:val="18"/>
              </w:rPr>
              <w:t>Systems</w:t>
            </w:r>
            <w:r>
              <w:rPr>
                <w:spacing w:val="-2"/>
                <w:sz w:val="18"/>
              </w:rPr>
              <w:t> Skills</w:t>
            </w:r>
          </w:p>
        </w:tc>
        <w:tc>
          <w:tcPr>
            <w:tcW w:w="585" w:type="dxa"/>
          </w:tcPr>
          <w:p>
            <w:pPr>
              <w:pStyle w:val="TableParagraph"/>
              <w:spacing w:before="30"/>
              <w:ind w:left="124" w:right="105"/>
              <w:jc w:val="center"/>
              <w:rPr>
                <w:sz w:val="18"/>
              </w:rPr>
            </w:pPr>
            <w:r>
              <w:rPr>
                <w:spacing w:val="-5"/>
                <w:sz w:val="18"/>
              </w:rPr>
              <w:t>A8</w:t>
            </w:r>
          </w:p>
        </w:tc>
      </w:tr>
      <w:tr>
        <w:trPr>
          <w:trHeight w:val="350" w:hRule="atLeast"/>
        </w:trPr>
        <w:tc>
          <w:tcPr>
            <w:tcW w:w="216" w:type="dxa"/>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FFCC00"/>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FFCC00"/>
          </w:tcPr>
          <w:p>
            <w:pPr>
              <w:pStyle w:val="TableParagraph"/>
              <w:rPr>
                <w:rFonts w:ascii="Times New Roman"/>
                <w:sz w:val="18"/>
              </w:rPr>
            </w:pPr>
          </w:p>
        </w:tc>
        <w:tc>
          <w:tcPr>
            <w:tcW w:w="216" w:type="dxa"/>
            <w:shd w:val="clear" w:color="auto" w:fill="FFCC00"/>
          </w:tcPr>
          <w:p>
            <w:pPr>
              <w:pStyle w:val="TableParagraph"/>
              <w:rPr>
                <w:rFonts w:ascii="Times New Roman"/>
                <w:sz w:val="18"/>
              </w:rPr>
            </w:pPr>
          </w:p>
        </w:tc>
        <w:tc>
          <w:tcPr>
            <w:tcW w:w="216" w:type="dxa"/>
          </w:tcPr>
          <w:p>
            <w:pPr>
              <w:pStyle w:val="TableParagraph"/>
              <w:rPr>
                <w:rFonts w:ascii="Times New Roman"/>
                <w:sz w:val="18"/>
              </w:rPr>
            </w:pPr>
          </w:p>
        </w:tc>
        <w:tc>
          <w:tcPr>
            <w:tcW w:w="2215" w:type="dxa"/>
          </w:tcPr>
          <w:p>
            <w:pPr>
              <w:pStyle w:val="TableParagraph"/>
              <w:spacing w:before="30"/>
              <w:ind w:left="9"/>
              <w:rPr>
                <w:sz w:val="18"/>
              </w:rPr>
            </w:pPr>
            <w:r>
              <w:rPr>
                <w:sz w:val="18"/>
              </w:rPr>
              <w:t>Hist</w:t>
            </w:r>
            <w:r>
              <w:rPr>
                <w:spacing w:val="-2"/>
                <w:sz w:val="18"/>
              </w:rPr>
              <w:t> </w:t>
            </w:r>
            <w:r>
              <w:rPr>
                <w:sz w:val="18"/>
              </w:rPr>
              <w:t>Trads.</w:t>
            </w:r>
            <w:r>
              <w:rPr>
                <w:spacing w:val="-3"/>
                <w:sz w:val="18"/>
              </w:rPr>
              <w:t> </w:t>
            </w:r>
            <w:r>
              <w:rPr>
                <w:sz w:val="18"/>
              </w:rPr>
              <w:t>&amp;</w:t>
            </w:r>
            <w:r>
              <w:rPr>
                <w:spacing w:val="-2"/>
                <w:sz w:val="18"/>
              </w:rPr>
              <w:t> </w:t>
            </w:r>
            <w:r>
              <w:rPr>
                <w:sz w:val="18"/>
              </w:rPr>
              <w:t>Global </w:t>
            </w:r>
            <w:r>
              <w:rPr>
                <w:spacing w:val="-4"/>
                <w:sz w:val="18"/>
              </w:rPr>
              <w:t>Cult</w:t>
            </w:r>
          </w:p>
        </w:tc>
        <w:tc>
          <w:tcPr>
            <w:tcW w:w="585" w:type="dxa"/>
          </w:tcPr>
          <w:p>
            <w:pPr>
              <w:pStyle w:val="TableParagraph"/>
              <w:spacing w:before="30"/>
              <w:ind w:left="124" w:right="105"/>
              <w:jc w:val="center"/>
              <w:rPr>
                <w:sz w:val="18"/>
              </w:rPr>
            </w:pPr>
            <w:r>
              <w:rPr>
                <w:spacing w:val="-5"/>
                <w:sz w:val="18"/>
              </w:rPr>
              <w:t>A9</w:t>
            </w:r>
          </w:p>
        </w:tc>
      </w:tr>
      <w:tr>
        <w:trPr>
          <w:trHeight w:val="350" w:hRule="atLeast"/>
        </w:trPr>
        <w:tc>
          <w:tcPr>
            <w:tcW w:w="216" w:type="dxa"/>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FF6600"/>
          </w:tcPr>
          <w:p>
            <w:pPr>
              <w:pStyle w:val="TableParagraph"/>
              <w:rPr>
                <w:rFonts w:ascii="Times New Roman"/>
                <w:sz w:val="18"/>
              </w:rPr>
            </w:pPr>
          </w:p>
        </w:tc>
        <w:tc>
          <w:tcPr>
            <w:tcW w:w="216" w:type="dxa"/>
            <w:shd w:val="clear" w:color="auto" w:fill="FF6600"/>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215" w:type="dxa"/>
          </w:tcPr>
          <w:p>
            <w:pPr>
              <w:pStyle w:val="TableParagraph"/>
              <w:spacing w:before="30"/>
              <w:ind w:left="9"/>
              <w:rPr>
                <w:sz w:val="18"/>
              </w:rPr>
            </w:pPr>
            <w:r>
              <w:rPr>
                <w:sz w:val="18"/>
              </w:rPr>
              <w:t>Cultural</w:t>
            </w:r>
            <w:r>
              <w:rPr>
                <w:spacing w:val="-4"/>
                <w:sz w:val="18"/>
              </w:rPr>
              <w:t> </w:t>
            </w:r>
            <w:r>
              <w:rPr>
                <w:spacing w:val="-2"/>
                <w:sz w:val="18"/>
              </w:rPr>
              <w:t>Diversity</w:t>
            </w:r>
          </w:p>
        </w:tc>
        <w:tc>
          <w:tcPr>
            <w:tcW w:w="585" w:type="dxa"/>
          </w:tcPr>
          <w:p>
            <w:pPr>
              <w:pStyle w:val="TableParagraph"/>
              <w:spacing w:before="30"/>
              <w:ind w:left="124" w:right="105"/>
              <w:jc w:val="center"/>
              <w:rPr>
                <w:sz w:val="18"/>
              </w:rPr>
            </w:pPr>
            <w:r>
              <w:rPr>
                <w:spacing w:val="-5"/>
                <w:sz w:val="18"/>
              </w:rPr>
              <w:t>A10</w:t>
            </w:r>
          </w:p>
        </w:tc>
      </w:tr>
      <w:tr>
        <w:trPr>
          <w:trHeight w:val="350" w:hRule="atLeast"/>
        </w:trPr>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FF6600"/>
          </w:tcPr>
          <w:p>
            <w:pPr>
              <w:pStyle w:val="TableParagraph"/>
              <w:rPr>
                <w:rFonts w:ascii="Times New Roman"/>
                <w:sz w:val="18"/>
              </w:rPr>
            </w:pPr>
          </w:p>
        </w:tc>
        <w:tc>
          <w:tcPr>
            <w:tcW w:w="218" w:type="dxa"/>
            <w:shd w:val="clear" w:color="auto" w:fill="FF6600"/>
          </w:tcPr>
          <w:p>
            <w:pPr>
              <w:pStyle w:val="TableParagraph"/>
              <w:rPr>
                <w:rFonts w:ascii="Times New Roman"/>
                <w:sz w:val="18"/>
              </w:rPr>
            </w:pPr>
          </w:p>
        </w:tc>
        <w:tc>
          <w:tcPr>
            <w:tcW w:w="216" w:type="dxa"/>
            <w:shd w:val="clear" w:color="auto" w:fill="FF6600"/>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FF6600"/>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215" w:type="dxa"/>
          </w:tcPr>
          <w:p>
            <w:pPr>
              <w:pStyle w:val="TableParagraph"/>
              <w:spacing w:before="30"/>
              <w:ind w:left="9"/>
              <w:rPr>
                <w:sz w:val="18"/>
              </w:rPr>
            </w:pPr>
            <w:r>
              <w:rPr>
                <w:sz w:val="18"/>
              </w:rPr>
              <w:t>Applied</w:t>
            </w:r>
            <w:r>
              <w:rPr>
                <w:spacing w:val="-2"/>
                <w:sz w:val="18"/>
              </w:rPr>
              <w:t> Research</w:t>
            </w:r>
          </w:p>
        </w:tc>
        <w:tc>
          <w:tcPr>
            <w:tcW w:w="585" w:type="dxa"/>
          </w:tcPr>
          <w:p>
            <w:pPr>
              <w:pStyle w:val="TableParagraph"/>
              <w:spacing w:before="30"/>
              <w:ind w:left="124" w:right="105"/>
              <w:jc w:val="center"/>
              <w:rPr>
                <w:sz w:val="18"/>
              </w:rPr>
            </w:pPr>
            <w:r>
              <w:rPr>
                <w:spacing w:val="-5"/>
                <w:sz w:val="18"/>
              </w:rPr>
              <w:t>A11</w:t>
            </w:r>
          </w:p>
        </w:tc>
      </w:tr>
      <w:tr>
        <w:trPr>
          <w:trHeight w:val="350" w:hRule="atLeast"/>
        </w:trPr>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FFCC00"/>
          </w:tcPr>
          <w:p>
            <w:pPr>
              <w:pStyle w:val="TableParagraph"/>
              <w:rPr>
                <w:rFonts w:ascii="Times New Roman"/>
                <w:sz w:val="18"/>
              </w:rPr>
            </w:pPr>
          </w:p>
        </w:tc>
        <w:tc>
          <w:tcPr>
            <w:tcW w:w="216" w:type="dxa"/>
            <w:shd w:val="clear" w:color="auto" w:fill="FFCC00"/>
          </w:tcPr>
          <w:p>
            <w:pPr>
              <w:pStyle w:val="TableParagraph"/>
              <w:rPr>
                <w:rFonts w:ascii="Times New Roman"/>
                <w:sz w:val="18"/>
              </w:rPr>
            </w:pPr>
          </w:p>
        </w:tc>
        <w:tc>
          <w:tcPr>
            <w:tcW w:w="218" w:type="dxa"/>
            <w:shd w:val="clear" w:color="auto" w:fill="FF6600"/>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215" w:type="dxa"/>
          </w:tcPr>
          <w:p>
            <w:pPr>
              <w:pStyle w:val="TableParagraph"/>
              <w:spacing w:before="30"/>
              <w:ind w:left="9"/>
              <w:rPr>
                <w:sz w:val="18"/>
              </w:rPr>
            </w:pPr>
            <w:r>
              <w:rPr>
                <w:sz w:val="18"/>
              </w:rPr>
              <w:t>Pre-</w:t>
            </w:r>
            <w:r>
              <w:rPr>
                <w:spacing w:val="-2"/>
                <w:sz w:val="18"/>
              </w:rPr>
              <w:t>Design</w:t>
            </w:r>
          </w:p>
        </w:tc>
        <w:tc>
          <w:tcPr>
            <w:tcW w:w="585" w:type="dxa"/>
          </w:tcPr>
          <w:p>
            <w:pPr>
              <w:pStyle w:val="TableParagraph"/>
              <w:spacing w:before="30"/>
              <w:ind w:left="124" w:right="105"/>
              <w:jc w:val="center"/>
              <w:rPr>
                <w:sz w:val="18"/>
              </w:rPr>
            </w:pPr>
            <w:r>
              <w:rPr>
                <w:spacing w:val="-5"/>
                <w:sz w:val="18"/>
              </w:rPr>
              <w:t>B1</w:t>
            </w:r>
          </w:p>
        </w:tc>
      </w:tr>
      <w:tr>
        <w:trPr>
          <w:trHeight w:val="350" w:hRule="atLeast"/>
        </w:trPr>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FFCC00"/>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FFCC00"/>
          </w:tcPr>
          <w:p>
            <w:pPr>
              <w:pStyle w:val="TableParagraph"/>
              <w:rPr>
                <w:rFonts w:ascii="Times New Roman"/>
                <w:sz w:val="18"/>
              </w:rPr>
            </w:pPr>
          </w:p>
        </w:tc>
        <w:tc>
          <w:tcPr>
            <w:tcW w:w="216" w:type="dxa"/>
          </w:tcPr>
          <w:p>
            <w:pPr>
              <w:pStyle w:val="TableParagraph"/>
              <w:rPr>
                <w:rFonts w:ascii="Times New Roman"/>
                <w:sz w:val="18"/>
              </w:rPr>
            </w:pPr>
          </w:p>
        </w:tc>
        <w:tc>
          <w:tcPr>
            <w:tcW w:w="2215" w:type="dxa"/>
          </w:tcPr>
          <w:p>
            <w:pPr>
              <w:pStyle w:val="TableParagraph"/>
              <w:spacing w:before="30"/>
              <w:ind w:left="9"/>
              <w:rPr>
                <w:sz w:val="18"/>
              </w:rPr>
            </w:pPr>
            <w:r>
              <w:rPr>
                <w:spacing w:val="-2"/>
                <w:sz w:val="18"/>
              </w:rPr>
              <w:t>Accessibility</w:t>
            </w:r>
          </w:p>
        </w:tc>
        <w:tc>
          <w:tcPr>
            <w:tcW w:w="585" w:type="dxa"/>
          </w:tcPr>
          <w:p>
            <w:pPr>
              <w:pStyle w:val="TableParagraph"/>
              <w:spacing w:before="30"/>
              <w:ind w:left="124" w:right="105"/>
              <w:jc w:val="center"/>
              <w:rPr>
                <w:sz w:val="18"/>
              </w:rPr>
            </w:pPr>
            <w:r>
              <w:rPr>
                <w:spacing w:val="-5"/>
                <w:sz w:val="18"/>
              </w:rPr>
              <w:t>B2</w:t>
            </w:r>
          </w:p>
        </w:tc>
      </w:tr>
      <w:tr>
        <w:trPr>
          <w:trHeight w:val="350" w:hRule="atLeast"/>
        </w:trPr>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FFCC00"/>
          </w:tcPr>
          <w:p>
            <w:pPr>
              <w:pStyle w:val="TableParagraph"/>
              <w:rPr>
                <w:rFonts w:ascii="Times New Roman"/>
                <w:sz w:val="18"/>
              </w:rPr>
            </w:pPr>
          </w:p>
        </w:tc>
        <w:tc>
          <w:tcPr>
            <w:tcW w:w="218" w:type="dxa"/>
            <w:shd w:val="clear" w:color="auto" w:fill="FFCC00"/>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FFCC00"/>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215" w:type="dxa"/>
          </w:tcPr>
          <w:p>
            <w:pPr>
              <w:pStyle w:val="TableParagraph"/>
              <w:spacing w:before="30"/>
              <w:ind w:left="9"/>
              <w:rPr>
                <w:sz w:val="18"/>
              </w:rPr>
            </w:pPr>
            <w:r>
              <w:rPr>
                <w:spacing w:val="-2"/>
                <w:sz w:val="18"/>
              </w:rPr>
              <w:t>Sustain-ability</w:t>
            </w:r>
          </w:p>
        </w:tc>
        <w:tc>
          <w:tcPr>
            <w:tcW w:w="585" w:type="dxa"/>
          </w:tcPr>
          <w:p>
            <w:pPr>
              <w:pStyle w:val="TableParagraph"/>
              <w:spacing w:before="30"/>
              <w:ind w:left="124" w:right="105"/>
              <w:jc w:val="center"/>
              <w:rPr>
                <w:sz w:val="18"/>
              </w:rPr>
            </w:pPr>
            <w:r>
              <w:rPr>
                <w:spacing w:val="-5"/>
                <w:sz w:val="18"/>
              </w:rPr>
              <w:t>B3</w:t>
            </w:r>
          </w:p>
        </w:tc>
      </w:tr>
      <w:tr>
        <w:trPr>
          <w:trHeight w:val="350" w:hRule="atLeast"/>
        </w:trPr>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6" w:type="dxa"/>
            <w:shd w:val="clear" w:color="auto" w:fill="FFCC00"/>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FFCC00"/>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215" w:type="dxa"/>
          </w:tcPr>
          <w:p>
            <w:pPr>
              <w:pStyle w:val="TableParagraph"/>
              <w:spacing w:before="30"/>
              <w:ind w:left="9"/>
              <w:rPr>
                <w:sz w:val="18"/>
              </w:rPr>
            </w:pPr>
            <w:r>
              <w:rPr>
                <w:sz w:val="18"/>
              </w:rPr>
              <w:t>Site</w:t>
            </w:r>
            <w:r>
              <w:rPr>
                <w:spacing w:val="-2"/>
                <w:sz w:val="18"/>
              </w:rPr>
              <w:t> Design</w:t>
            </w:r>
          </w:p>
        </w:tc>
        <w:tc>
          <w:tcPr>
            <w:tcW w:w="585" w:type="dxa"/>
          </w:tcPr>
          <w:p>
            <w:pPr>
              <w:pStyle w:val="TableParagraph"/>
              <w:spacing w:before="30"/>
              <w:ind w:left="124" w:right="105"/>
              <w:jc w:val="center"/>
              <w:rPr>
                <w:sz w:val="18"/>
              </w:rPr>
            </w:pPr>
            <w:r>
              <w:rPr>
                <w:spacing w:val="-5"/>
                <w:sz w:val="18"/>
              </w:rPr>
              <w:t>B4</w:t>
            </w:r>
          </w:p>
        </w:tc>
      </w:tr>
      <w:tr>
        <w:trPr>
          <w:trHeight w:val="350" w:hRule="atLeast"/>
        </w:trPr>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shd w:val="clear" w:color="auto" w:fill="FF6600"/>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FFCC00"/>
          </w:tcPr>
          <w:p>
            <w:pPr>
              <w:pStyle w:val="TableParagraph"/>
              <w:rPr>
                <w:rFonts w:ascii="Times New Roman"/>
                <w:sz w:val="18"/>
              </w:rPr>
            </w:pPr>
          </w:p>
        </w:tc>
        <w:tc>
          <w:tcPr>
            <w:tcW w:w="216" w:type="dxa"/>
            <w:shd w:val="clear" w:color="auto" w:fill="FFCC00"/>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215" w:type="dxa"/>
          </w:tcPr>
          <w:p>
            <w:pPr>
              <w:pStyle w:val="TableParagraph"/>
              <w:spacing w:before="30"/>
              <w:ind w:left="9"/>
              <w:rPr>
                <w:sz w:val="18"/>
              </w:rPr>
            </w:pPr>
            <w:r>
              <w:rPr>
                <w:sz w:val="18"/>
              </w:rPr>
              <w:t>Life</w:t>
            </w:r>
            <w:r>
              <w:rPr>
                <w:spacing w:val="-1"/>
                <w:sz w:val="18"/>
              </w:rPr>
              <w:t> </w:t>
            </w:r>
            <w:r>
              <w:rPr>
                <w:spacing w:val="-2"/>
                <w:sz w:val="18"/>
              </w:rPr>
              <w:t>Safety</w:t>
            </w:r>
          </w:p>
        </w:tc>
        <w:tc>
          <w:tcPr>
            <w:tcW w:w="585" w:type="dxa"/>
          </w:tcPr>
          <w:p>
            <w:pPr>
              <w:pStyle w:val="TableParagraph"/>
              <w:spacing w:before="30"/>
              <w:ind w:left="124" w:right="105"/>
              <w:jc w:val="center"/>
              <w:rPr>
                <w:sz w:val="18"/>
              </w:rPr>
            </w:pPr>
            <w:r>
              <w:rPr>
                <w:spacing w:val="-5"/>
                <w:sz w:val="18"/>
              </w:rPr>
              <w:t>B5</w:t>
            </w:r>
          </w:p>
        </w:tc>
      </w:tr>
      <w:tr>
        <w:trPr>
          <w:trHeight w:val="350" w:hRule="atLeast"/>
        </w:trPr>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FF6600"/>
          </w:tcPr>
          <w:p>
            <w:pPr>
              <w:pStyle w:val="TableParagraph"/>
              <w:rPr>
                <w:rFonts w:ascii="Times New Roman"/>
                <w:sz w:val="18"/>
              </w:rPr>
            </w:pPr>
          </w:p>
        </w:tc>
        <w:tc>
          <w:tcPr>
            <w:tcW w:w="216" w:type="dxa"/>
            <w:shd w:val="clear" w:color="auto" w:fill="FF6600"/>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FF6600"/>
          </w:tcPr>
          <w:p>
            <w:pPr>
              <w:pStyle w:val="TableParagraph"/>
              <w:rPr>
                <w:rFonts w:ascii="Times New Roman"/>
                <w:sz w:val="18"/>
              </w:rPr>
            </w:pPr>
          </w:p>
        </w:tc>
        <w:tc>
          <w:tcPr>
            <w:tcW w:w="216" w:type="dxa"/>
            <w:shd w:val="clear" w:color="auto" w:fill="FF6600"/>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215" w:type="dxa"/>
          </w:tcPr>
          <w:p>
            <w:pPr>
              <w:pStyle w:val="TableParagraph"/>
              <w:spacing w:before="30"/>
              <w:ind w:left="9"/>
              <w:rPr>
                <w:sz w:val="18"/>
              </w:rPr>
            </w:pPr>
            <w:r>
              <w:rPr>
                <w:sz w:val="18"/>
              </w:rPr>
              <w:t>Comprehensive</w:t>
            </w:r>
            <w:r>
              <w:rPr>
                <w:spacing w:val="-6"/>
                <w:sz w:val="18"/>
              </w:rPr>
              <w:t> </w:t>
            </w:r>
            <w:r>
              <w:rPr>
                <w:spacing w:val="-2"/>
                <w:sz w:val="18"/>
              </w:rPr>
              <w:t>Design</w:t>
            </w:r>
          </w:p>
        </w:tc>
        <w:tc>
          <w:tcPr>
            <w:tcW w:w="585" w:type="dxa"/>
          </w:tcPr>
          <w:p>
            <w:pPr>
              <w:pStyle w:val="TableParagraph"/>
              <w:spacing w:before="30"/>
              <w:ind w:left="124" w:right="105"/>
              <w:jc w:val="center"/>
              <w:rPr>
                <w:sz w:val="18"/>
              </w:rPr>
            </w:pPr>
            <w:r>
              <w:rPr>
                <w:spacing w:val="-5"/>
                <w:sz w:val="18"/>
              </w:rPr>
              <w:t>B6</w:t>
            </w:r>
          </w:p>
        </w:tc>
      </w:tr>
      <w:tr>
        <w:trPr>
          <w:trHeight w:val="350" w:hRule="atLeast"/>
        </w:trPr>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tcPr>
          <w:p>
            <w:pPr>
              <w:pStyle w:val="TableParagraph"/>
              <w:rPr>
                <w:rFonts w:ascii="Times New Roman"/>
                <w:sz w:val="18"/>
              </w:rPr>
            </w:pPr>
          </w:p>
        </w:tc>
        <w:tc>
          <w:tcPr>
            <w:tcW w:w="216" w:type="dxa"/>
            <w:shd w:val="clear" w:color="auto" w:fill="FFCC00"/>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FFCC00"/>
          </w:tcPr>
          <w:p>
            <w:pPr>
              <w:pStyle w:val="TableParagraph"/>
              <w:rPr>
                <w:rFonts w:ascii="Times New Roman"/>
                <w:sz w:val="18"/>
              </w:rPr>
            </w:pPr>
          </w:p>
        </w:tc>
        <w:tc>
          <w:tcPr>
            <w:tcW w:w="218" w:type="dxa"/>
            <w:shd w:val="clear" w:color="auto" w:fill="FFCC00"/>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FFCC00"/>
          </w:tcPr>
          <w:p>
            <w:pPr>
              <w:pStyle w:val="TableParagraph"/>
              <w:rPr>
                <w:rFonts w:ascii="Times New Roman"/>
                <w:sz w:val="18"/>
              </w:rPr>
            </w:pPr>
          </w:p>
        </w:tc>
        <w:tc>
          <w:tcPr>
            <w:tcW w:w="218" w:type="dxa"/>
            <w:shd w:val="clear" w:color="auto" w:fill="FFCC00"/>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FF6600"/>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FFCC00"/>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215" w:type="dxa"/>
          </w:tcPr>
          <w:p>
            <w:pPr>
              <w:pStyle w:val="TableParagraph"/>
              <w:spacing w:before="30"/>
              <w:ind w:left="9"/>
              <w:rPr>
                <w:sz w:val="18"/>
              </w:rPr>
            </w:pPr>
            <w:r>
              <w:rPr>
                <w:sz w:val="18"/>
              </w:rPr>
              <w:t>Financial</w:t>
            </w:r>
            <w:r>
              <w:rPr>
                <w:spacing w:val="-2"/>
                <w:sz w:val="18"/>
              </w:rPr>
              <w:t> Considerations</w:t>
            </w:r>
          </w:p>
        </w:tc>
        <w:tc>
          <w:tcPr>
            <w:tcW w:w="585" w:type="dxa"/>
          </w:tcPr>
          <w:p>
            <w:pPr>
              <w:pStyle w:val="TableParagraph"/>
              <w:spacing w:before="30"/>
              <w:ind w:left="124" w:right="105"/>
              <w:jc w:val="center"/>
              <w:rPr>
                <w:sz w:val="18"/>
              </w:rPr>
            </w:pPr>
            <w:r>
              <w:rPr>
                <w:spacing w:val="-5"/>
                <w:sz w:val="18"/>
              </w:rPr>
              <w:t>B7</w:t>
            </w:r>
          </w:p>
        </w:tc>
      </w:tr>
      <w:tr>
        <w:trPr>
          <w:trHeight w:val="350" w:hRule="atLeast"/>
        </w:trPr>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FF6600"/>
          </w:tcPr>
          <w:p>
            <w:pPr>
              <w:pStyle w:val="TableParagraph"/>
              <w:rPr>
                <w:rFonts w:ascii="Times New Roman"/>
                <w:sz w:val="18"/>
              </w:rPr>
            </w:pPr>
          </w:p>
        </w:tc>
        <w:tc>
          <w:tcPr>
            <w:tcW w:w="216" w:type="dxa"/>
            <w:shd w:val="clear" w:color="auto" w:fill="FFCC00"/>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FF6600"/>
          </w:tcPr>
          <w:p>
            <w:pPr>
              <w:pStyle w:val="TableParagraph"/>
              <w:rPr>
                <w:rFonts w:ascii="Times New Roman"/>
                <w:sz w:val="18"/>
              </w:rPr>
            </w:pPr>
          </w:p>
        </w:tc>
        <w:tc>
          <w:tcPr>
            <w:tcW w:w="218" w:type="dxa"/>
            <w:shd w:val="clear" w:color="auto" w:fill="FFCC00"/>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215" w:type="dxa"/>
          </w:tcPr>
          <w:p>
            <w:pPr>
              <w:pStyle w:val="TableParagraph"/>
              <w:spacing w:before="30"/>
              <w:ind w:left="9"/>
              <w:rPr>
                <w:sz w:val="18"/>
              </w:rPr>
            </w:pPr>
            <w:r>
              <w:rPr>
                <w:sz w:val="18"/>
              </w:rPr>
              <w:t>Environmental</w:t>
            </w:r>
            <w:r>
              <w:rPr>
                <w:spacing w:val="-4"/>
                <w:sz w:val="18"/>
              </w:rPr>
              <w:t> </w:t>
            </w:r>
            <w:r>
              <w:rPr>
                <w:spacing w:val="-2"/>
                <w:sz w:val="18"/>
              </w:rPr>
              <w:t>Systems</w:t>
            </w:r>
          </w:p>
        </w:tc>
        <w:tc>
          <w:tcPr>
            <w:tcW w:w="585" w:type="dxa"/>
          </w:tcPr>
          <w:p>
            <w:pPr>
              <w:pStyle w:val="TableParagraph"/>
              <w:spacing w:before="30"/>
              <w:ind w:left="124" w:right="105"/>
              <w:jc w:val="center"/>
              <w:rPr>
                <w:sz w:val="18"/>
              </w:rPr>
            </w:pPr>
            <w:r>
              <w:rPr>
                <w:spacing w:val="-5"/>
                <w:sz w:val="18"/>
              </w:rPr>
              <w:t>B8</w:t>
            </w:r>
          </w:p>
        </w:tc>
      </w:tr>
      <w:tr>
        <w:trPr>
          <w:trHeight w:val="350" w:hRule="atLeast"/>
        </w:trPr>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6" w:type="dxa"/>
            <w:shd w:val="clear" w:color="auto" w:fill="FF6600"/>
          </w:tcPr>
          <w:p>
            <w:pPr>
              <w:pStyle w:val="TableParagraph"/>
              <w:rPr>
                <w:rFonts w:ascii="Times New Roman"/>
                <w:sz w:val="18"/>
              </w:rPr>
            </w:pPr>
          </w:p>
        </w:tc>
        <w:tc>
          <w:tcPr>
            <w:tcW w:w="218" w:type="dxa"/>
            <w:shd w:val="clear" w:color="auto" w:fill="FF6600"/>
          </w:tcPr>
          <w:p>
            <w:pPr>
              <w:pStyle w:val="TableParagraph"/>
              <w:rPr>
                <w:rFonts w:ascii="Times New Roman"/>
                <w:sz w:val="18"/>
              </w:rPr>
            </w:pPr>
          </w:p>
        </w:tc>
        <w:tc>
          <w:tcPr>
            <w:tcW w:w="216" w:type="dxa"/>
            <w:shd w:val="clear" w:color="auto" w:fill="FF6600"/>
          </w:tcPr>
          <w:p>
            <w:pPr>
              <w:pStyle w:val="TableParagraph"/>
              <w:rPr>
                <w:rFonts w:ascii="Times New Roman"/>
                <w:sz w:val="18"/>
              </w:rPr>
            </w:pPr>
          </w:p>
        </w:tc>
        <w:tc>
          <w:tcPr>
            <w:tcW w:w="218" w:type="dxa"/>
            <w:shd w:val="clear" w:color="auto" w:fill="FFCC00"/>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FFCC00"/>
          </w:tcPr>
          <w:p>
            <w:pPr>
              <w:pStyle w:val="TableParagraph"/>
              <w:rPr>
                <w:rFonts w:ascii="Times New Roman"/>
                <w:sz w:val="18"/>
              </w:rPr>
            </w:pPr>
          </w:p>
        </w:tc>
        <w:tc>
          <w:tcPr>
            <w:tcW w:w="216" w:type="dxa"/>
            <w:shd w:val="clear" w:color="auto" w:fill="FFCC00"/>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215" w:type="dxa"/>
          </w:tcPr>
          <w:p>
            <w:pPr>
              <w:pStyle w:val="TableParagraph"/>
              <w:spacing w:before="30"/>
              <w:ind w:left="9"/>
              <w:rPr>
                <w:sz w:val="18"/>
              </w:rPr>
            </w:pPr>
            <w:r>
              <w:rPr>
                <w:sz w:val="18"/>
              </w:rPr>
              <w:t>Structural</w:t>
            </w:r>
            <w:r>
              <w:rPr>
                <w:spacing w:val="-2"/>
                <w:sz w:val="18"/>
              </w:rPr>
              <w:t> Systems</w:t>
            </w:r>
          </w:p>
        </w:tc>
        <w:tc>
          <w:tcPr>
            <w:tcW w:w="585" w:type="dxa"/>
          </w:tcPr>
          <w:p>
            <w:pPr>
              <w:pStyle w:val="TableParagraph"/>
              <w:spacing w:before="30"/>
              <w:ind w:left="124" w:right="105"/>
              <w:jc w:val="center"/>
              <w:rPr>
                <w:sz w:val="18"/>
              </w:rPr>
            </w:pPr>
            <w:r>
              <w:rPr>
                <w:spacing w:val="-5"/>
                <w:sz w:val="18"/>
              </w:rPr>
              <w:t>B9</w:t>
            </w:r>
          </w:p>
        </w:tc>
      </w:tr>
      <w:tr>
        <w:trPr>
          <w:trHeight w:val="350" w:hRule="atLeast"/>
        </w:trPr>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shd w:val="clear" w:color="auto" w:fill="FF6600"/>
          </w:tcPr>
          <w:p>
            <w:pPr>
              <w:pStyle w:val="TableParagraph"/>
              <w:rPr>
                <w:rFonts w:ascii="Times New Roman"/>
                <w:sz w:val="18"/>
              </w:rPr>
            </w:pPr>
          </w:p>
        </w:tc>
        <w:tc>
          <w:tcPr>
            <w:tcW w:w="218" w:type="dxa"/>
            <w:shd w:val="clear" w:color="auto" w:fill="FCF305"/>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FFCC00"/>
          </w:tcPr>
          <w:p>
            <w:pPr>
              <w:pStyle w:val="TableParagraph"/>
              <w:rPr>
                <w:rFonts w:ascii="Times New Roman"/>
                <w:sz w:val="18"/>
              </w:rPr>
            </w:pPr>
          </w:p>
        </w:tc>
        <w:tc>
          <w:tcPr>
            <w:tcW w:w="216" w:type="dxa"/>
            <w:shd w:val="clear" w:color="auto" w:fill="FFCC00"/>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215" w:type="dxa"/>
          </w:tcPr>
          <w:p>
            <w:pPr>
              <w:pStyle w:val="TableParagraph"/>
              <w:spacing w:before="30"/>
              <w:ind w:left="9"/>
              <w:rPr>
                <w:sz w:val="18"/>
              </w:rPr>
            </w:pPr>
            <w:r>
              <w:rPr>
                <w:sz w:val="18"/>
              </w:rPr>
              <w:t>Building</w:t>
            </w:r>
            <w:r>
              <w:rPr>
                <w:spacing w:val="-5"/>
                <w:sz w:val="18"/>
              </w:rPr>
              <w:t> </w:t>
            </w:r>
            <w:r>
              <w:rPr>
                <w:sz w:val="18"/>
              </w:rPr>
              <w:t>Envelop</w:t>
            </w:r>
            <w:r>
              <w:rPr>
                <w:spacing w:val="-2"/>
                <w:sz w:val="18"/>
              </w:rPr>
              <w:t> </w:t>
            </w:r>
            <w:r>
              <w:rPr>
                <w:spacing w:val="-4"/>
                <w:sz w:val="18"/>
              </w:rPr>
              <w:t>Stems</w:t>
            </w:r>
          </w:p>
        </w:tc>
        <w:tc>
          <w:tcPr>
            <w:tcW w:w="585" w:type="dxa"/>
          </w:tcPr>
          <w:p>
            <w:pPr>
              <w:pStyle w:val="TableParagraph"/>
              <w:spacing w:before="30"/>
              <w:ind w:left="124" w:right="105"/>
              <w:jc w:val="center"/>
              <w:rPr>
                <w:sz w:val="18"/>
              </w:rPr>
            </w:pPr>
            <w:r>
              <w:rPr>
                <w:spacing w:val="-5"/>
                <w:sz w:val="18"/>
              </w:rPr>
              <w:t>B10</w:t>
            </w:r>
          </w:p>
        </w:tc>
      </w:tr>
      <w:tr>
        <w:trPr>
          <w:trHeight w:val="350" w:hRule="atLeast"/>
        </w:trPr>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8" w:type="dxa"/>
            <w:shd w:val="clear" w:color="auto" w:fill="FF6600"/>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FF6600"/>
          </w:tcPr>
          <w:p>
            <w:pPr>
              <w:pStyle w:val="TableParagraph"/>
              <w:rPr>
                <w:rFonts w:ascii="Times New Roman"/>
                <w:sz w:val="18"/>
              </w:rPr>
            </w:pPr>
          </w:p>
        </w:tc>
        <w:tc>
          <w:tcPr>
            <w:tcW w:w="216" w:type="dxa"/>
            <w:shd w:val="clear" w:color="auto" w:fill="FFCC00"/>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215" w:type="dxa"/>
          </w:tcPr>
          <w:p>
            <w:pPr>
              <w:pStyle w:val="TableParagraph"/>
              <w:spacing w:before="30"/>
              <w:ind w:left="9"/>
              <w:rPr>
                <w:sz w:val="18"/>
              </w:rPr>
            </w:pPr>
            <w:r>
              <w:rPr>
                <w:sz w:val="18"/>
              </w:rPr>
              <w:t>Building</w:t>
            </w:r>
            <w:r>
              <w:rPr>
                <w:spacing w:val="-2"/>
                <w:sz w:val="18"/>
              </w:rPr>
              <w:t> </w:t>
            </w:r>
            <w:r>
              <w:rPr>
                <w:sz w:val="18"/>
              </w:rPr>
              <w:t>Service</w:t>
            </w:r>
            <w:r>
              <w:rPr>
                <w:spacing w:val="-2"/>
                <w:sz w:val="18"/>
              </w:rPr>
              <w:t> Systems</w:t>
            </w:r>
          </w:p>
        </w:tc>
        <w:tc>
          <w:tcPr>
            <w:tcW w:w="585" w:type="dxa"/>
          </w:tcPr>
          <w:p>
            <w:pPr>
              <w:pStyle w:val="TableParagraph"/>
              <w:spacing w:before="30"/>
              <w:ind w:left="124" w:right="105"/>
              <w:jc w:val="center"/>
              <w:rPr>
                <w:sz w:val="18"/>
              </w:rPr>
            </w:pPr>
            <w:r>
              <w:rPr>
                <w:spacing w:val="-5"/>
                <w:sz w:val="18"/>
              </w:rPr>
              <w:t>B11</w:t>
            </w:r>
          </w:p>
        </w:tc>
      </w:tr>
      <w:tr>
        <w:trPr>
          <w:trHeight w:val="350" w:hRule="atLeast"/>
        </w:trPr>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FFCC00"/>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215" w:type="dxa"/>
          </w:tcPr>
          <w:p>
            <w:pPr>
              <w:pStyle w:val="TableParagraph"/>
              <w:spacing w:before="30"/>
              <w:ind w:left="9"/>
              <w:rPr>
                <w:sz w:val="18"/>
              </w:rPr>
            </w:pPr>
            <w:r>
              <w:rPr>
                <w:sz w:val="18"/>
              </w:rPr>
              <w:t>Building</w:t>
            </w:r>
            <w:r>
              <w:rPr>
                <w:spacing w:val="-6"/>
                <w:sz w:val="18"/>
              </w:rPr>
              <w:t> </w:t>
            </w:r>
            <w:r>
              <w:rPr>
                <w:sz w:val="18"/>
              </w:rPr>
              <w:t>Matl &amp;</w:t>
            </w:r>
            <w:r>
              <w:rPr>
                <w:spacing w:val="-1"/>
                <w:sz w:val="18"/>
              </w:rPr>
              <w:t> </w:t>
            </w:r>
            <w:r>
              <w:rPr>
                <w:spacing w:val="-4"/>
                <w:sz w:val="18"/>
              </w:rPr>
              <w:t>Assem</w:t>
            </w:r>
          </w:p>
        </w:tc>
        <w:tc>
          <w:tcPr>
            <w:tcW w:w="585" w:type="dxa"/>
          </w:tcPr>
          <w:p>
            <w:pPr>
              <w:pStyle w:val="TableParagraph"/>
              <w:spacing w:before="30"/>
              <w:ind w:left="124" w:right="105"/>
              <w:jc w:val="center"/>
              <w:rPr>
                <w:sz w:val="18"/>
              </w:rPr>
            </w:pPr>
            <w:r>
              <w:rPr>
                <w:spacing w:val="-5"/>
                <w:sz w:val="18"/>
              </w:rPr>
              <w:t>B12</w:t>
            </w:r>
          </w:p>
        </w:tc>
      </w:tr>
      <w:tr>
        <w:trPr>
          <w:trHeight w:val="350" w:hRule="atLeast"/>
        </w:trPr>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FF6600"/>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FF6600"/>
          </w:tcPr>
          <w:p>
            <w:pPr>
              <w:pStyle w:val="TableParagraph"/>
              <w:rPr>
                <w:rFonts w:ascii="Times New Roman"/>
                <w:sz w:val="18"/>
              </w:rPr>
            </w:pPr>
          </w:p>
        </w:tc>
        <w:tc>
          <w:tcPr>
            <w:tcW w:w="216" w:type="dxa"/>
            <w:shd w:val="clear" w:color="auto" w:fill="FF6600"/>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FFCC00"/>
          </w:tcPr>
          <w:p>
            <w:pPr>
              <w:pStyle w:val="TableParagraph"/>
              <w:rPr>
                <w:rFonts w:ascii="Times New Roman"/>
                <w:sz w:val="18"/>
              </w:rPr>
            </w:pPr>
          </w:p>
        </w:tc>
        <w:tc>
          <w:tcPr>
            <w:tcW w:w="216" w:type="dxa"/>
            <w:shd w:val="clear" w:color="auto" w:fill="FFCC00"/>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215" w:type="dxa"/>
          </w:tcPr>
          <w:p>
            <w:pPr>
              <w:pStyle w:val="TableParagraph"/>
              <w:spacing w:before="30"/>
              <w:ind w:left="9"/>
              <w:rPr>
                <w:sz w:val="18"/>
              </w:rPr>
            </w:pPr>
            <w:r>
              <w:rPr>
                <w:spacing w:val="-2"/>
                <w:sz w:val="18"/>
              </w:rPr>
              <w:t>Collaboration</w:t>
            </w:r>
          </w:p>
        </w:tc>
        <w:tc>
          <w:tcPr>
            <w:tcW w:w="585" w:type="dxa"/>
          </w:tcPr>
          <w:p>
            <w:pPr>
              <w:pStyle w:val="TableParagraph"/>
              <w:spacing w:before="30"/>
              <w:ind w:left="123" w:right="105"/>
              <w:jc w:val="center"/>
              <w:rPr>
                <w:sz w:val="18"/>
              </w:rPr>
            </w:pPr>
            <w:r>
              <w:rPr>
                <w:spacing w:val="-5"/>
                <w:sz w:val="18"/>
              </w:rPr>
              <w:t>C1</w:t>
            </w:r>
          </w:p>
        </w:tc>
      </w:tr>
      <w:tr>
        <w:trPr>
          <w:trHeight w:val="350" w:hRule="atLeast"/>
        </w:trPr>
        <w:tc>
          <w:tcPr>
            <w:tcW w:w="216" w:type="dxa"/>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FF6600"/>
          </w:tcPr>
          <w:p>
            <w:pPr>
              <w:pStyle w:val="TableParagraph"/>
              <w:rPr>
                <w:rFonts w:ascii="Times New Roman"/>
                <w:sz w:val="18"/>
              </w:rPr>
            </w:pPr>
          </w:p>
        </w:tc>
        <w:tc>
          <w:tcPr>
            <w:tcW w:w="216" w:type="dxa"/>
            <w:shd w:val="clear" w:color="auto" w:fill="FF6600"/>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FFCC00"/>
          </w:tcPr>
          <w:p>
            <w:pPr>
              <w:pStyle w:val="TableParagraph"/>
              <w:rPr>
                <w:rFonts w:ascii="Times New Roman"/>
                <w:sz w:val="18"/>
              </w:rPr>
            </w:pPr>
          </w:p>
        </w:tc>
        <w:tc>
          <w:tcPr>
            <w:tcW w:w="216" w:type="dxa"/>
            <w:shd w:val="clear" w:color="auto" w:fill="FFCC00"/>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shd w:val="clear" w:color="auto" w:fill="FFCC00"/>
          </w:tcPr>
          <w:p>
            <w:pPr>
              <w:pStyle w:val="TableParagraph"/>
              <w:rPr>
                <w:rFonts w:ascii="Times New Roman"/>
                <w:sz w:val="18"/>
              </w:rPr>
            </w:pPr>
          </w:p>
        </w:tc>
        <w:tc>
          <w:tcPr>
            <w:tcW w:w="216" w:type="dxa"/>
          </w:tcPr>
          <w:p>
            <w:pPr>
              <w:pStyle w:val="TableParagraph"/>
              <w:rPr>
                <w:rFonts w:ascii="Times New Roman"/>
                <w:sz w:val="18"/>
              </w:rPr>
            </w:pPr>
          </w:p>
        </w:tc>
        <w:tc>
          <w:tcPr>
            <w:tcW w:w="2215" w:type="dxa"/>
          </w:tcPr>
          <w:p>
            <w:pPr>
              <w:pStyle w:val="TableParagraph"/>
              <w:spacing w:before="30"/>
              <w:ind w:left="9"/>
              <w:rPr>
                <w:sz w:val="18"/>
              </w:rPr>
            </w:pPr>
            <w:r>
              <w:rPr>
                <w:sz w:val="18"/>
              </w:rPr>
              <w:t>Human</w:t>
            </w:r>
            <w:r>
              <w:rPr>
                <w:spacing w:val="-1"/>
                <w:sz w:val="18"/>
              </w:rPr>
              <w:t> </w:t>
            </w:r>
            <w:r>
              <w:rPr>
                <w:spacing w:val="-2"/>
                <w:sz w:val="18"/>
              </w:rPr>
              <w:t>Behavior</w:t>
            </w:r>
          </w:p>
        </w:tc>
        <w:tc>
          <w:tcPr>
            <w:tcW w:w="585" w:type="dxa"/>
          </w:tcPr>
          <w:p>
            <w:pPr>
              <w:pStyle w:val="TableParagraph"/>
              <w:spacing w:before="30"/>
              <w:ind w:left="123" w:right="105"/>
              <w:jc w:val="center"/>
              <w:rPr>
                <w:sz w:val="18"/>
              </w:rPr>
            </w:pPr>
            <w:r>
              <w:rPr>
                <w:spacing w:val="-5"/>
                <w:sz w:val="18"/>
              </w:rPr>
              <w:t>C2</w:t>
            </w:r>
          </w:p>
        </w:tc>
      </w:tr>
      <w:tr>
        <w:trPr>
          <w:trHeight w:val="350" w:hRule="atLeast"/>
        </w:trPr>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FF6600"/>
          </w:tcPr>
          <w:p>
            <w:pPr>
              <w:pStyle w:val="TableParagraph"/>
              <w:rPr>
                <w:rFonts w:ascii="Times New Roman"/>
                <w:sz w:val="18"/>
              </w:rPr>
            </w:pPr>
          </w:p>
        </w:tc>
        <w:tc>
          <w:tcPr>
            <w:tcW w:w="216" w:type="dxa"/>
            <w:shd w:val="clear" w:color="auto" w:fill="FF6600"/>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FFCC00"/>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215" w:type="dxa"/>
          </w:tcPr>
          <w:p>
            <w:pPr>
              <w:pStyle w:val="TableParagraph"/>
              <w:spacing w:before="30"/>
              <w:ind w:left="9"/>
              <w:rPr>
                <w:sz w:val="18"/>
              </w:rPr>
            </w:pPr>
            <w:r>
              <w:rPr>
                <w:sz w:val="18"/>
              </w:rPr>
              <w:t>Client</w:t>
            </w:r>
            <w:r>
              <w:rPr>
                <w:spacing w:val="-3"/>
                <w:sz w:val="18"/>
              </w:rPr>
              <w:t> </w:t>
            </w:r>
            <w:r>
              <w:rPr>
                <w:sz w:val="18"/>
              </w:rPr>
              <w:t>Role</w:t>
            </w:r>
            <w:r>
              <w:rPr>
                <w:spacing w:val="-4"/>
                <w:sz w:val="18"/>
              </w:rPr>
              <w:t> </w:t>
            </w:r>
            <w:r>
              <w:rPr>
                <w:sz w:val="18"/>
              </w:rPr>
              <w:t>in</w:t>
            </w:r>
            <w:r>
              <w:rPr>
                <w:spacing w:val="-1"/>
                <w:sz w:val="18"/>
              </w:rPr>
              <w:t> </w:t>
            </w:r>
            <w:r>
              <w:rPr>
                <w:spacing w:val="-2"/>
                <w:sz w:val="18"/>
              </w:rPr>
              <w:t>Architecture</w:t>
            </w:r>
          </w:p>
        </w:tc>
        <w:tc>
          <w:tcPr>
            <w:tcW w:w="585" w:type="dxa"/>
          </w:tcPr>
          <w:p>
            <w:pPr>
              <w:pStyle w:val="TableParagraph"/>
              <w:spacing w:before="30"/>
              <w:ind w:left="123" w:right="105"/>
              <w:jc w:val="center"/>
              <w:rPr>
                <w:sz w:val="18"/>
              </w:rPr>
            </w:pPr>
            <w:r>
              <w:rPr>
                <w:spacing w:val="-5"/>
                <w:sz w:val="18"/>
              </w:rPr>
              <w:t>C3</w:t>
            </w:r>
          </w:p>
        </w:tc>
      </w:tr>
      <w:tr>
        <w:trPr>
          <w:trHeight w:val="350" w:hRule="atLeast"/>
        </w:trPr>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215" w:type="dxa"/>
          </w:tcPr>
          <w:p>
            <w:pPr>
              <w:pStyle w:val="TableParagraph"/>
              <w:spacing w:before="30"/>
              <w:ind w:left="9"/>
              <w:rPr>
                <w:sz w:val="18"/>
              </w:rPr>
            </w:pPr>
            <w:r>
              <w:rPr>
                <w:sz w:val="18"/>
              </w:rPr>
              <w:t>Project</w:t>
            </w:r>
            <w:r>
              <w:rPr>
                <w:spacing w:val="-3"/>
                <w:sz w:val="18"/>
              </w:rPr>
              <w:t> </w:t>
            </w:r>
            <w:r>
              <w:rPr>
                <w:spacing w:val="-2"/>
                <w:sz w:val="18"/>
              </w:rPr>
              <w:t>Management</w:t>
            </w:r>
          </w:p>
        </w:tc>
        <w:tc>
          <w:tcPr>
            <w:tcW w:w="585" w:type="dxa"/>
          </w:tcPr>
          <w:p>
            <w:pPr>
              <w:pStyle w:val="TableParagraph"/>
              <w:spacing w:before="30"/>
              <w:ind w:left="123" w:right="105"/>
              <w:jc w:val="center"/>
              <w:rPr>
                <w:sz w:val="18"/>
              </w:rPr>
            </w:pPr>
            <w:r>
              <w:rPr>
                <w:spacing w:val="-5"/>
                <w:sz w:val="18"/>
              </w:rPr>
              <w:t>C4</w:t>
            </w:r>
          </w:p>
        </w:tc>
      </w:tr>
      <w:tr>
        <w:trPr>
          <w:trHeight w:val="350" w:hRule="atLeast"/>
        </w:trPr>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215" w:type="dxa"/>
          </w:tcPr>
          <w:p>
            <w:pPr>
              <w:pStyle w:val="TableParagraph"/>
              <w:spacing w:before="30"/>
              <w:ind w:left="9"/>
              <w:rPr>
                <w:sz w:val="18"/>
              </w:rPr>
            </w:pPr>
            <w:r>
              <w:rPr>
                <w:sz w:val="18"/>
              </w:rPr>
              <w:t>Practice</w:t>
            </w:r>
            <w:r>
              <w:rPr>
                <w:spacing w:val="-3"/>
                <w:sz w:val="18"/>
              </w:rPr>
              <w:t> </w:t>
            </w:r>
            <w:r>
              <w:rPr>
                <w:spacing w:val="-2"/>
                <w:sz w:val="18"/>
              </w:rPr>
              <w:t>Management</w:t>
            </w:r>
          </w:p>
        </w:tc>
        <w:tc>
          <w:tcPr>
            <w:tcW w:w="585" w:type="dxa"/>
          </w:tcPr>
          <w:p>
            <w:pPr>
              <w:pStyle w:val="TableParagraph"/>
              <w:spacing w:before="30"/>
              <w:ind w:left="123" w:right="105"/>
              <w:jc w:val="center"/>
              <w:rPr>
                <w:sz w:val="18"/>
              </w:rPr>
            </w:pPr>
            <w:r>
              <w:rPr>
                <w:spacing w:val="-5"/>
                <w:sz w:val="18"/>
              </w:rPr>
              <w:t>C5</w:t>
            </w:r>
          </w:p>
        </w:tc>
      </w:tr>
      <w:tr>
        <w:trPr>
          <w:trHeight w:val="350" w:hRule="atLeast"/>
        </w:trPr>
        <w:tc>
          <w:tcPr>
            <w:tcW w:w="216" w:type="dxa"/>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shd w:val="clear" w:color="auto" w:fill="FF6600"/>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FF6600"/>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FF6600"/>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FFCC00"/>
          </w:tcPr>
          <w:p>
            <w:pPr>
              <w:pStyle w:val="TableParagraph"/>
              <w:rPr>
                <w:rFonts w:ascii="Times New Roman"/>
                <w:sz w:val="18"/>
              </w:rPr>
            </w:pPr>
          </w:p>
        </w:tc>
        <w:tc>
          <w:tcPr>
            <w:tcW w:w="216" w:type="dxa"/>
            <w:shd w:val="clear" w:color="auto" w:fill="FFCC00"/>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FF6600"/>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215" w:type="dxa"/>
          </w:tcPr>
          <w:p>
            <w:pPr>
              <w:pStyle w:val="TableParagraph"/>
              <w:spacing w:before="30"/>
              <w:ind w:left="9"/>
              <w:rPr>
                <w:sz w:val="18"/>
              </w:rPr>
            </w:pPr>
            <w:r>
              <w:rPr>
                <w:spacing w:val="-2"/>
                <w:sz w:val="18"/>
              </w:rPr>
              <w:t>Leadership</w:t>
            </w:r>
          </w:p>
        </w:tc>
        <w:tc>
          <w:tcPr>
            <w:tcW w:w="585" w:type="dxa"/>
          </w:tcPr>
          <w:p>
            <w:pPr>
              <w:pStyle w:val="TableParagraph"/>
              <w:spacing w:before="30"/>
              <w:ind w:left="123" w:right="105"/>
              <w:jc w:val="center"/>
              <w:rPr>
                <w:sz w:val="18"/>
              </w:rPr>
            </w:pPr>
            <w:r>
              <w:rPr>
                <w:spacing w:val="-5"/>
                <w:sz w:val="18"/>
              </w:rPr>
              <w:t>C6</w:t>
            </w:r>
          </w:p>
        </w:tc>
      </w:tr>
      <w:tr>
        <w:trPr>
          <w:trHeight w:val="350" w:hRule="atLeast"/>
        </w:trPr>
        <w:tc>
          <w:tcPr>
            <w:tcW w:w="216" w:type="dxa"/>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FF6600"/>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FFCC00"/>
          </w:tcPr>
          <w:p>
            <w:pPr>
              <w:pStyle w:val="TableParagraph"/>
              <w:rPr>
                <w:rFonts w:ascii="Times New Roman"/>
                <w:sz w:val="18"/>
              </w:rPr>
            </w:pPr>
          </w:p>
        </w:tc>
        <w:tc>
          <w:tcPr>
            <w:tcW w:w="216" w:type="dxa"/>
            <w:shd w:val="clear" w:color="auto" w:fill="FFCC00"/>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FF6600"/>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FF6600"/>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215" w:type="dxa"/>
          </w:tcPr>
          <w:p>
            <w:pPr>
              <w:pStyle w:val="TableParagraph"/>
              <w:spacing w:before="30"/>
              <w:ind w:left="9"/>
              <w:rPr>
                <w:sz w:val="18"/>
              </w:rPr>
            </w:pPr>
            <w:r>
              <w:rPr>
                <w:sz w:val="18"/>
              </w:rPr>
              <w:t>Legal</w:t>
            </w:r>
            <w:r>
              <w:rPr>
                <w:spacing w:val="-7"/>
                <w:sz w:val="18"/>
              </w:rPr>
              <w:t> </w:t>
            </w:r>
            <w:r>
              <w:rPr>
                <w:spacing w:val="-2"/>
                <w:sz w:val="18"/>
              </w:rPr>
              <w:t>Responsibilities</w:t>
            </w:r>
          </w:p>
        </w:tc>
        <w:tc>
          <w:tcPr>
            <w:tcW w:w="585" w:type="dxa"/>
          </w:tcPr>
          <w:p>
            <w:pPr>
              <w:pStyle w:val="TableParagraph"/>
              <w:spacing w:before="30"/>
              <w:ind w:left="123" w:right="105"/>
              <w:jc w:val="center"/>
              <w:rPr>
                <w:sz w:val="18"/>
              </w:rPr>
            </w:pPr>
            <w:r>
              <w:rPr>
                <w:spacing w:val="-5"/>
                <w:sz w:val="18"/>
              </w:rPr>
              <w:t>C7</w:t>
            </w:r>
          </w:p>
        </w:tc>
      </w:tr>
      <w:tr>
        <w:trPr>
          <w:trHeight w:val="350" w:hRule="atLeast"/>
        </w:trPr>
        <w:tc>
          <w:tcPr>
            <w:tcW w:w="216" w:type="dxa"/>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shd w:val="clear" w:color="auto" w:fill="FF6600"/>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FF6600"/>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FFCC00"/>
          </w:tcPr>
          <w:p>
            <w:pPr>
              <w:pStyle w:val="TableParagraph"/>
              <w:rPr>
                <w:rFonts w:ascii="Times New Roman"/>
                <w:sz w:val="18"/>
              </w:rPr>
            </w:pPr>
          </w:p>
        </w:tc>
        <w:tc>
          <w:tcPr>
            <w:tcW w:w="216" w:type="dxa"/>
            <w:shd w:val="clear" w:color="auto" w:fill="FFCC00"/>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FF6600"/>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215" w:type="dxa"/>
          </w:tcPr>
          <w:p>
            <w:pPr>
              <w:pStyle w:val="TableParagraph"/>
              <w:spacing w:before="30"/>
              <w:ind w:left="9"/>
              <w:rPr>
                <w:sz w:val="18"/>
              </w:rPr>
            </w:pPr>
            <w:r>
              <w:rPr>
                <w:sz w:val="18"/>
              </w:rPr>
              <w:t>Ethics</w:t>
            </w:r>
            <w:r>
              <w:rPr>
                <w:spacing w:val="-1"/>
                <w:sz w:val="18"/>
              </w:rPr>
              <w:t> </w:t>
            </w:r>
            <w:r>
              <w:rPr>
                <w:sz w:val="18"/>
              </w:rPr>
              <w:t>&amp;</w:t>
            </w:r>
            <w:r>
              <w:rPr>
                <w:spacing w:val="-1"/>
                <w:sz w:val="18"/>
              </w:rPr>
              <w:t> </w:t>
            </w:r>
            <w:r>
              <w:rPr>
                <w:sz w:val="18"/>
              </w:rPr>
              <w:t>Prof.</w:t>
            </w:r>
            <w:r>
              <w:rPr>
                <w:spacing w:val="-1"/>
                <w:sz w:val="18"/>
              </w:rPr>
              <w:t> </w:t>
            </w:r>
            <w:r>
              <w:rPr>
                <w:spacing w:val="-2"/>
                <w:sz w:val="18"/>
              </w:rPr>
              <w:t>Judgment</w:t>
            </w:r>
          </w:p>
        </w:tc>
        <w:tc>
          <w:tcPr>
            <w:tcW w:w="585" w:type="dxa"/>
          </w:tcPr>
          <w:p>
            <w:pPr>
              <w:pStyle w:val="TableParagraph"/>
              <w:spacing w:before="30"/>
              <w:ind w:left="123" w:right="105"/>
              <w:jc w:val="center"/>
              <w:rPr>
                <w:sz w:val="18"/>
              </w:rPr>
            </w:pPr>
            <w:r>
              <w:rPr>
                <w:spacing w:val="-5"/>
                <w:sz w:val="18"/>
              </w:rPr>
              <w:t>C8</w:t>
            </w:r>
          </w:p>
        </w:tc>
      </w:tr>
      <w:tr>
        <w:trPr>
          <w:trHeight w:val="350" w:hRule="atLeast"/>
        </w:trPr>
        <w:tc>
          <w:tcPr>
            <w:tcW w:w="216" w:type="dxa"/>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shd w:val="clear" w:color="auto" w:fill="FF6600"/>
          </w:tcPr>
          <w:p>
            <w:pPr>
              <w:pStyle w:val="TableParagraph"/>
              <w:rPr>
                <w:rFonts w:ascii="Times New Roman"/>
                <w:sz w:val="18"/>
              </w:rPr>
            </w:pPr>
          </w:p>
        </w:tc>
        <w:tc>
          <w:tcPr>
            <w:tcW w:w="218" w:type="dxa"/>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DD0806"/>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6" w:type="dxa"/>
            <w:shd w:val="clear" w:color="auto" w:fill="DD0806"/>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FFCC00"/>
          </w:tcPr>
          <w:p>
            <w:pPr>
              <w:pStyle w:val="TableParagraph"/>
              <w:rPr>
                <w:rFonts w:ascii="Times New Roman"/>
                <w:sz w:val="18"/>
              </w:rPr>
            </w:pPr>
          </w:p>
        </w:tc>
        <w:tc>
          <w:tcPr>
            <w:tcW w:w="216" w:type="dxa"/>
            <w:shd w:val="clear" w:color="auto" w:fill="FFCC00"/>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tcPr>
          <w:p>
            <w:pPr>
              <w:pStyle w:val="TableParagraph"/>
              <w:rPr>
                <w:rFonts w:ascii="Times New Roman"/>
                <w:sz w:val="18"/>
              </w:rPr>
            </w:pPr>
          </w:p>
        </w:tc>
        <w:tc>
          <w:tcPr>
            <w:tcW w:w="216" w:type="dxa"/>
          </w:tcPr>
          <w:p>
            <w:pPr>
              <w:pStyle w:val="TableParagraph"/>
              <w:rPr>
                <w:rFonts w:ascii="Times New Roman"/>
                <w:sz w:val="18"/>
              </w:rPr>
            </w:pPr>
          </w:p>
        </w:tc>
        <w:tc>
          <w:tcPr>
            <w:tcW w:w="218" w:type="dxa"/>
            <w:shd w:val="clear" w:color="auto" w:fill="FF6600"/>
          </w:tcPr>
          <w:p>
            <w:pPr>
              <w:pStyle w:val="TableParagraph"/>
              <w:rPr>
                <w:rFonts w:ascii="Times New Roman"/>
                <w:sz w:val="18"/>
              </w:rPr>
            </w:pPr>
          </w:p>
        </w:tc>
        <w:tc>
          <w:tcPr>
            <w:tcW w:w="216" w:type="dxa"/>
          </w:tcPr>
          <w:p>
            <w:pPr>
              <w:pStyle w:val="TableParagraph"/>
              <w:rPr>
                <w:rFonts w:ascii="Times New Roman"/>
                <w:sz w:val="18"/>
              </w:rPr>
            </w:pPr>
          </w:p>
        </w:tc>
        <w:tc>
          <w:tcPr>
            <w:tcW w:w="216" w:type="dxa"/>
          </w:tcPr>
          <w:p>
            <w:pPr>
              <w:pStyle w:val="TableParagraph"/>
              <w:rPr>
                <w:rFonts w:ascii="Times New Roman"/>
                <w:sz w:val="18"/>
              </w:rPr>
            </w:pPr>
          </w:p>
        </w:tc>
        <w:tc>
          <w:tcPr>
            <w:tcW w:w="2215" w:type="dxa"/>
          </w:tcPr>
          <w:p>
            <w:pPr>
              <w:pStyle w:val="TableParagraph"/>
              <w:spacing w:before="30"/>
              <w:ind w:left="9"/>
              <w:rPr>
                <w:sz w:val="18"/>
              </w:rPr>
            </w:pPr>
            <w:r>
              <w:rPr>
                <w:sz w:val="18"/>
              </w:rPr>
              <w:t>Community</w:t>
            </w:r>
            <w:r>
              <w:rPr>
                <w:spacing w:val="-2"/>
                <w:sz w:val="18"/>
              </w:rPr>
              <w:t> </w:t>
            </w:r>
            <w:r>
              <w:rPr>
                <w:sz w:val="18"/>
              </w:rPr>
              <w:t>&amp;</w:t>
            </w:r>
            <w:r>
              <w:rPr>
                <w:spacing w:val="-2"/>
                <w:sz w:val="18"/>
              </w:rPr>
              <w:t> </w:t>
            </w:r>
            <w:r>
              <w:rPr>
                <w:sz w:val="18"/>
              </w:rPr>
              <w:t>Soc.</w:t>
            </w:r>
            <w:r>
              <w:rPr>
                <w:spacing w:val="-2"/>
                <w:sz w:val="18"/>
              </w:rPr>
              <w:t> </w:t>
            </w:r>
            <w:r>
              <w:rPr>
                <w:spacing w:val="-4"/>
                <w:sz w:val="18"/>
              </w:rPr>
              <w:t>Resp.</w:t>
            </w:r>
          </w:p>
        </w:tc>
        <w:tc>
          <w:tcPr>
            <w:tcW w:w="585" w:type="dxa"/>
          </w:tcPr>
          <w:p>
            <w:pPr>
              <w:pStyle w:val="TableParagraph"/>
              <w:spacing w:before="30"/>
              <w:ind w:left="123" w:right="105"/>
              <w:jc w:val="center"/>
              <w:rPr>
                <w:sz w:val="18"/>
              </w:rPr>
            </w:pPr>
            <w:r>
              <w:rPr>
                <w:spacing w:val="-5"/>
                <w:sz w:val="18"/>
              </w:rPr>
              <w:t>C9</w:t>
            </w:r>
          </w:p>
        </w:tc>
      </w:tr>
    </w:tbl>
    <w:p>
      <w:pPr>
        <w:rPr>
          <w:sz w:val="2"/>
          <w:szCs w:val="2"/>
        </w:rPr>
      </w:pPr>
      <w:r>
        <w:rPr/>
        <w:pict>
          <v:rect style="position:absolute;margin-left:57.959999pt;margin-top:70.559998pt;width:.72pt;height:650.88pt;mso-position-horizontal-relative:page;mso-position-vertical-relative:page;z-index:-27044864" id="docshape168" filled="true" fillcolor="#000000" stroked="false">
            <v:fill type="solid"/>
            <w10:wrap type="none"/>
          </v:rect>
        </w:pict>
      </w:r>
      <w:r>
        <w:rPr/>
        <w:pict>
          <v:shape style="position:absolute;margin-left:35.272999pt;margin-top:71pt;width:21.95pt;height:178.95pt;mso-position-horizontal-relative:page;mso-position-vertical-relative:page;z-index:15732736" type="#_x0000_t202" id="docshape169" filled="false" stroked="false">
            <v:textbox inset="0,0,0,0" style="layout-flow:vertical">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35.272999pt;margin-top:498.679993pt;width:11pt;height:42.25pt;mso-position-horizontal-relative:page;mso-position-vertical-relative:page;z-index:15733248" type="#_x0000_t202" id="docshape170" filled="false" stroked="false">
            <v:textbox inset="0,0,0,0" style="layout-flow:vertical">
              <w:txbxContent>
                <w:p>
                  <w:pPr>
                    <w:spacing w:line="193" w:lineRule="exact" w:before="0"/>
                    <w:ind w:left="20" w:right="0" w:firstLine="0"/>
                    <w:jc w:val="left"/>
                    <w:rPr>
                      <w:sz w:val="18"/>
                    </w:rPr>
                  </w:pPr>
                  <w:r>
                    <w:rPr>
                      <w:w w:val="90"/>
                      <w:sz w:val="18"/>
                    </w:rPr>
                    <w:t>page</w:t>
                  </w:r>
                  <w:r>
                    <w:rPr>
                      <w:spacing w:val="-8"/>
                      <w:w w:val="90"/>
                      <w:sz w:val="18"/>
                    </w:rPr>
                    <w:t> </w:t>
                  </w:r>
                  <w:r>
                    <w:rPr>
                      <w:w w:val="90"/>
                      <w:sz w:val="18"/>
                    </w:rPr>
                    <w:t>2</w:t>
                  </w:r>
                  <w:r>
                    <w:rPr>
                      <w:spacing w:val="-7"/>
                      <w:w w:val="90"/>
                      <w:sz w:val="18"/>
                    </w:rPr>
                    <w:t> </w:t>
                  </w:r>
                  <w:r>
                    <w:rPr>
                      <w:w w:val="90"/>
                      <w:sz w:val="18"/>
                    </w:rPr>
                    <w:t>-</w:t>
                  </w:r>
                  <w:r>
                    <w:rPr>
                      <w:spacing w:val="-6"/>
                      <w:w w:val="90"/>
                      <w:sz w:val="18"/>
                    </w:rPr>
                    <w:t> </w:t>
                  </w:r>
                  <w:r>
                    <w:rPr>
                      <w:spacing w:val="-5"/>
                      <w:w w:val="90"/>
                      <w:sz w:val="18"/>
                    </w:rPr>
                    <w:t>11</w:t>
                  </w:r>
                </w:p>
              </w:txbxContent>
            </v:textbox>
            <w10:wrap type="none"/>
          </v:shape>
        </w:pict>
      </w:r>
    </w:p>
    <w:p>
      <w:pPr>
        <w:spacing w:after="0"/>
        <w:rPr>
          <w:sz w:val="2"/>
          <w:szCs w:val="2"/>
        </w:rPr>
        <w:sectPr>
          <w:headerReference w:type="default" r:id="rId119"/>
          <w:footerReference w:type="default" r:id="rId120"/>
          <w:pgSz w:w="12240" w:h="15840"/>
          <w:pgMar w:header="0" w:footer="0" w:top="1100" w:bottom="280" w:left="1160" w:right="320"/>
        </w:sectPr>
      </w:pPr>
    </w:p>
    <w:p>
      <w:pPr>
        <w:pStyle w:val="BodyText"/>
        <w:spacing w:before="2" w:after="1"/>
        <w:rPr>
          <w:sz w:val="25"/>
        </w:rPr>
      </w:pPr>
      <w:r>
        <w:rPr/>
        <w:pict>
          <v:group style="position:absolute;margin-left:102.599998pt;margin-top:83.519997pt;width:14.55pt;height:13.7pt;mso-position-horizontal-relative:page;mso-position-vertical-relative:page;z-index:-27043328" id="docshapegroup173" coordorigin="2052,1670" coordsize="291,274">
            <v:rect style="position:absolute;left:2061;top:1680;width:272;height:24" id="docshape174" filled="true" fillcolor="#ffcc00" stroked="false">
              <v:fill type="solid"/>
            </v:rect>
            <v:shape style="position:absolute;left:2052;top:1670;width:291;height:274" id="docshape175" coordorigin="2052,1670" coordsize="291,274" path="m2342,1670l2333,1670,2333,1680,2333,1934,2071,1934,2062,1934,2062,1680,2333,1680,2333,1670,2062,1670,2052,1670,2052,1680,2052,1934,2052,1944,2062,1944,2071,1944,2333,1944,2342,1944,2342,1934,2342,1680,2342,1670xe" filled="true" fillcolor="#000000" stroked="false">
              <v:path arrowok="t"/>
              <v:fill type="solid"/>
            </v:shape>
            <w10:wrap type="none"/>
          </v:group>
        </w:pict>
      </w:r>
      <w:r>
        <w:rPr/>
        <w:pict>
          <v:group style="position:absolute;margin-left:102.599998pt;margin-top:110.040001pt;width:14.55pt;height:13.7pt;mso-position-horizontal-relative:page;mso-position-vertical-relative:page;z-index:-27042816" id="docshapegroup176" coordorigin="2052,2201" coordsize="291,274">
            <v:rect style="position:absolute;left:2061;top:2210;width:272;height:24" id="docshape177" filled="true" fillcolor="#ff6600" stroked="false">
              <v:fill type="solid"/>
            </v:rect>
            <v:shape style="position:absolute;left:2052;top:2200;width:291;height:274" id="docshape178" coordorigin="2052,2201" coordsize="291,274" path="m2333,2201l2071,2201,2071,2210,2333,2210,2333,2201xm2342,2210l2333,2210,2333,2465,2071,2465,2071,2465,2062,2465,2062,2210,2052,2210,2052,2465,2052,2474,2062,2474,2071,2474,2071,2474,2333,2474,2342,2474,2342,2465,2342,2210xe" filled="true" fillcolor="#000000" stroked="false">
              <v:path arrowok="t"/>
              <v:fill type="solid"/>
            </v:shape>
            <w10:wrap type="none"/>
          </v:group>
        </w:pict>
      </w:r>
      <w:r>
        <w:rPr/>
        <w:pict>
          <v:group style="position:absolute;margin-left:102.599998pt;margin-top:136.440002pt;width:14.55pt;height:13.8pt;mso-position-horizontal-relative:page;mso-position-vertical-relative:page;z-index:-27042304" id="docshapegroup179" coordorigin="2052,2729" coordsize="291,276">
            <v:shape style="position:absolute;left:2061;top:2764;width:168;height:231" id="docshape180" coordorigin="2062,2765" coordsize="168,231" path="m2230,2765l2165,2765,2062,2765,2062,2995,2165,2995,2230,2995,2230,2765xe" filled="true" fillcolor="#dd0806" stroked="false">
              <v:path arrowok="t"/>
              <v:fill type="solid"/>
            </v:shape>
            <v:shape style="position:absolute;left:2052;top:2728;width:291;height:276" id="docshape181" coordorigin="2052,2729" coordsize="291,276" path="m2333,2729l2071,2729,2071,2738,2333,2738,2333,2729xm2342,2738l2333,2738,2333,2995,2071,2995,2071,2995,2062,2995,2062,2738,2062,2729,2052,2729,2052,2738,2052,2995,2052,3005,2062,3005,2071,3005,2071,3005,2333,3005,2342,3005,2342,2995,2342,2738xe" filled="true" fillcolor="#000000" stroked="false">
              <v:path arrowok="t"/>
              <v:fill type="solid"/>
            </v:shape>
            <w10:wrap type="none"/>
          </v:group>
        </w:pict>
      </w:r>
      <w:r>
        <w:rPr/>
        <w:pict>
          <v:group style="position:absolute;margin-left:102.599998pt;margin-top:162.960007pt;width:14.55pt;height:13.8pt;mso-position-horizontal-relative:page;mso-position-vertical-relative:page;z-index:-27041792" id="docshapegroup182" coordorigin="2052,3259" coordsize="291,276">
            <v:shape style="position:absolute;left:2061;top:3295;width:168;height:231" id="docshape183" coordorigin="2062,3295" coordsize="168,231" path="m2230,3295l2165,3295,2062,3295,2062,3526,2165,3526,2230,3526,2230,3295xe" filled="true" fillcolor="#dd0806" stroked="false">
              <v:path arrowok="t"/>
              <v:fill type="solid"/>
            </v:shape>
            <v:shape style="position:absolute;left:2052;top:3259;width:291;height:276" id="docshape184" coordorigin="2052,3259" coordsize="291,276" path="m2333,3259l2071,3259,2071,3269,2333,3269,2333,3259xm2342,3269l2333,3269,2333,3526,2062,3526,2062,3269,2062,3259,2052,3259,2052,3269,2052,3526,2052,3535,2062,3535,2333,3535,2342,3535,2342,3526,2342,3269xe" filled="true" fillcolor="#000000" stroked="false">
              <v:path arrowok="t"/>
              <v:fill type="solid"/>
            </v:shape>
            <w10:wrap type="none"/>
          </v:group>
        </w:pict>
      </w:r>
      <w:r>
        <w:rPr/>
        <w:pict>
          <v:rect style="position:absolute;margin-left:70.559998pt;margin-top:553.320007pt;width:650.88pt;height:.72pt;mso-position-horizontal-relative:page;mso-position-vertical-relative:page;z-index:15735808" id="docshape185" filled="true" fillcolor="#000000" stroked="false">
            <v:fill type="solid"/>
            <w10:wrap type="none"/>
          </v:rect>
        </w:pict>
      </w: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2"/>
        <w:gridCol w:w="114"/>
        <w:gridCol w:w="84"/>
        <w:gridCol w:w="84"/>
        <w:gridCol w:w="5337"/>
      </w:tblGrid>
      <w:tr>
        <w:trPr>
          <w:trHeight w:val="264" w:hRule="atLeast"/>
        </w:trPr>
        <w:tc>
          <w:tcPr>
            <w:tcW w:w="502" w:type="dxa"/>
          </w:tcPr>
          <w:p>
            <w:pPr>
              <w:pStyle w:val="TableParagraph"/>
              <w:spacing w:line="213" w:lineRule="exact" w:before="31"/>
              <w:ind w:left="50"/>
              <w:rPr>
                <w:sz w:val="20"/>
              </w:rPr>
            </w:pPr>
            <w:r>
              <w:rPr>
                <w:spacing w:val="-5"/>
                <w:sz w:val="20"/>
              </w:rPr>
              <w:t>KEY</w:t>
            </w:r>
          </w:p>
        </w:tc>
        <w:tc>
          <w:tcPr>
            <w:tcW w:w="114" w:type="dxa"/>
            <w:tcBorders>
              <w:right w:val="single" w:sz="48" w:space="0" w:color="FFCC00"/>
            </w:tcBorders>
          </w:tcPr>
          <w:p>
            <w:pPr>
              <w:pStyle w:val="TableParagraph"/>
              <w:rPr>
                <w:rFonts w:ascii="Times New Roman"/>
                <w:sz w:val="18"/>
              </w:rPr>
            </w:pPr>
          </w:p>
        </w:tc>
        <w:tc>
          <w:tcPr>
            <w:tcW w:w="84" w:type="dxa"/>
            <w:tcBorders>
              <w:left w:val="single" w:sz="48" w:space="0" w:color="FFCC00"/>
              <w:right w:val="single" w:sz="36" w:space="0" w:color="FFCC00"/>
            </w:tcBorders>
          </w:tcPr>
          <w:p>
            <w:pPr>
              <w:pStyle w:val="TableParagraph"/>
              <w:rPr>
                <w:rFonts w:ascii="Times New Roman"/>
                <w:sz w:val="18"/>
              </w:rPr>
            </w:pPr>
          </w:p>
        </w:tc>
        <w:tc>
          <w:tcPr>
            <w:tcW w:w="84" w:type="dxa"/>
            <w:tcBorders>
              <w:left w:val="single" w:sz="36" w:space="0" w:color="FFCC00"/>
              <w:right w:val="single" w:sz="48" w:space="0" w:color="FFCC00"/>
            </w:tcBorders>
          </w:tcPr>
          <w:p>
            <w:pPr>
              <w:pStyle w:val="TableParagraph"/>
              <w:rPr>
                <w:rFonts w:ascii="Times New Roman"/>
                <w:sz w:val="18"/>
              </w:rPr>
            </w:pPr>
          </w:p>
        </w:tc>
        <w:tc>
          <w:tcPr>
            <w:tcW w:w="5337" w:type="dxa"/>
            <w:tcBorders>
              <w:left w:val="single" w:sz="48" w:space="0" w:color="FFCC00"/>
            </w:tcBorders>
          </w:tcPr>
          <w:p>
            <w:pPr>
              <w:pStyle w:val="TableParagraph"/>
              <w:spacing w:line="213" w:lineRule="exact" w:before="31"/>
              <w:ind w:left="103"/>
              <w:rPr>
                <w:sz w:val="20"/>
              </w:rPr>
            </w:pPr>
            <w:r>
              <w:rPr>
                <w:spacing w:val="-2"/>
                <w:sz w:val="20"/>
              </w:rPr>
              <w:t>introductory</w:t>
            </w:r>
            <w:r>
              <w:rPr>
                <w:spacing w:val="9"/>
                <w:sz w:val="20"/>
              </w:rPr>
              <w:t> </w:t>
            </w:r>
            <w:r>
              <w:rPr>
                <w:spacing w:val="-2"/>
                <w:sz w:val="20"/>
              </w:rPr>
              <w:t>level</w:t>
            </w:r>
          </w:p>
        </w:tc>
      </w:tr>
      <w:tr>
        <w:trPr>
          <w:trHeight w:val="300" w:hRule="atLeast"/>
        </w:trPr>
        <w:tc>
          <w:tcPr>
            <w:tcW w:w="502" w:type="dxa"/>
          </w:tcPr>
          <w:p>
            <w:pPr>
              <w:pStyle w:val="TableParagraph"/>
              <w:rPr>
                <w:rFonts w:ascii="Times New Roman"/>
                <w:sz w:val="18"/>
              </w:rPr>
            </w:pPr>
          </w:p>
        </w:tc>
        <w:tc>
          <w:tcPr>
            <w:tcW w:w="114" w:type="dxa"/>
          </w:tcPr>
          <w:p>
            <w:pPr>
              <w:pStyle w:val="TableParagraph"/>
              <w:rPr>
                <w:rFonts w:ascii="Times New Roman"/>
                <w:sz w:val="18"/>
              </w:rPr>
            </w:pPr>
          </w:p>
        </w:tc>
        <w:tc>
          <w:tcPr>
            <w:tcW w:w="84" w:type="dxa"/>
          </w:tcPr>
          <w:p>
            <w:pPr>
              <w:pStyle w:val="TableParagraph"/>
              <w:rPr>
                <w:rFonts w:ascii="Times New Roman"/>
                <w:sz w:val="18"/>
              </w:rPr>
            </w:pPr>
          </w:p>
        </w:tc>
        <w:tc>
          <w:tcPr>
            <w:tcW w:w="84" w:type="dxa"/>
          </w:tcPr>
          <w:p>
            <w:pPr>
              <w:pStyle w:val="TableParagraph"/>
              <w:rPr>
                <w:rFonts w:ascii="Times New Roman"/>
                <w:sz w:val="18"/>
              </w:rPr>
            </w:pPr>
          </w:p>
        </w:tc>
        <w:tc>
          <w:tcPr>
            <w:tcW w:w="5337" w:type="dxa"/>
          </w:tcPr>
          <w:p>
            <w:pPr>
              <w:pStyle w:val="TableParagraph"/>
              <w:rPr>
                <w:rFonts w:ascii="Times New Roman"/>
                <w:sz w:val="18"/>
              </w:rPr>
            </w:pPr>
          </w:p>
        </w:tc>
      </w:tr>
      <w:tr>
        <w:trPr>
          <w:trHeight w:val="503" w:hRule="atLeast"/>
        </w:trPr>
        <w:tc>
          <w:tcPr>
            <w:tcW w:w="502" w:type="dxa"/>
          </w:tcPr>
          <w:p>
            <w:pPr>
              <w:pStyle w:val="TableParagraph"/>
              <w:rPr>
                <w:rFonts w:ascii="Times New Roman"/>
                <w:sz w:val="18"/>
              </w:rPr>
            </w:pPr>
          </w:p>
        </w:tc>
        <w:tc>
          <w:tcPr>
            <w:tcW w:w="114" w:type="dxa"/>
            <w:tcBorders>
              <w:right w:val="single" w:sz="48" w:space="0" w:color="FF6600"/>
            </w:tcBorders>
          </w:tcPr>
          <w:p>
            <w:pPr>
              <w:pStyle w:val="TableParagraph"/>
              <w:rPr>
                <w:rFonts w:ascii="Times New Roman"/>
                <w:sz w:val="18"/>
              </w:rPr>
            </w:pPr>
          </w:p>
        </w:tc>
        <w:tc>
          <w:tcPr>
            <w:tcW w:w="84" w:type="dxa"/>
            <w:tcBorders>
              <w:left w:val="single" w:sz="48" w:space="0" w:color="FF6600"/>
              <w:bottom w:val="single" w:sz="12" w:space="0" w:color="DD0806"/>
              <w:right w:val="single" w:sz="36" w:space="0" w:color="FF6600"/>
            </w:tcBorders>
          </w:tcPr>
          <w:p>
            <w:pPr>
              <w:pStyle w:val="TableParagraph"/>
              <w:rPr>
                <w:rFonts w:ascii="Times New Roman"/>
                <w:sz w:val="18"/>
              </w:rPr>
            </w:pPr>
          </w:p>
        </w:tc>
        <w:tc>
          <w:tcPr>
            <w:tcW w:w="84" w:type="dxa"/>
            <w:tcBorders>
              <w:left w:val="single" w:sz="36" w:space="0" w:color="FF6600"/>
              <w:bottom w:val="single" w:sz="12" w:space="0" w:color="DD0806"/>
              <w:right w:val="single" w:sz="48" w:space="0" w:color="FF6600"/>
            </w:tcBorders>
          </w:tcPr>
          <w:p>
            <w:pPr>
              <w:pStyle w:val="TableParagraph"/>
              <w:rPr>
                <w:rFonts w:ascii="Times New Roman"/>
                <w:sz w:val="18"/>
              </w:rPr>
            </w:pPr>
          </w:p>
        </w:tc>
        <w:tc>
          <w:tcPr>
            <w:tcW w:w="5337" w:type="dxa"/>
            <w:tcBorders>
              <w:left w:val="single" w:sz="48" w:space="0" w:color="FF6600"/>
            </w:tcBorders>
          </w:tcPr>
          <w:p>
            <w:pPr>
              <w:pStyle w:val="TableParagraph"/>
              <w:spacing w:line="227" w:lineRule="exact"/>
              <w:ind w:left="103"/>
              <w:rPr>
                <w:sz w:val="20"/>
              </w:rPr>
            </w:pPr>
            <w:r>
              <w:rPr>
                <w:sz w:val="20"/>
              </w:rPr>
              <w:t>application</w:t>
            </w:r>
            <w:r>
              <w:rPr>
                <w:spacing w:val="-5"/>
                <w:sz w:val="20"/>
              </w:rPr>
              <w:t> </w:t>
            </w:r>
            <w:r>
              <w:rPr>
                <w:sz w:val="20"/>
              </w:rPr>
              <w:t>of</w:t>
            </w:r>
            <w:r>
              <w:rPr>
                <w:spacing w:val="-4"/>
                <w:sz w:val="20"/>
              </w:rPr>
              <w:t> </w:t>
            </w:r>
            <w:r>
              <w:rPr>
                <w:sz w:val="20"/>
              </w:rPr>
              <w:t>many</w:t>
            </w:r>
            <w:r>
              <w:rPr>
                <w:spacing w:val="-11"/>
                <w:sz w:val="20"/>
              </w:rPr>
              <w:t> </w:t>
            </w:r>
            <w:r>
              <w:rPr>
                <w:sz w:val="20"/>
              </w:rPr>
              <w:t>facets</w:t>
            </w:r>
            <w:r>
              <w:rPr>
                <w:spacing w:val="-2"/>
                <w:sz w:val="20"/>
              </w:rPr>
              <w:t> </w:t>
            </w:r>
            <w:r>
              <w:rPr>
                <w:sz w:val="20"/>
              </w:rPr>
              <w:t>of</w:t>
            </w:r>
            <w:r>
              <w:rPr>
                <w:spacing w:val="-5"/>
                <w:sz w:val="20"/>
              </w:rPr>
              <w:t> </w:t>
            </w:r>
            <w:r>
              <w:rPr>
                <w:spacing w:val="-2"/>
                <w:sz w:val="20"/>
              </w:rPr>
              <w:t>criterion</w:t>
            </w:r>
          </w:p>
        </w:tc>
      </w:tr>
      <w:tr>
        <w:trPr>
          <w:trHeight w:val="499" w:hRule="atLeast"/>
        </w:trPr>
        <w:tc>
          <w:tcPr>
            <w:tcW w:w="502" w:type="dxa"/>
          </w:tcPr>
          <w:p>
            <w:pPr>
              <w:pStyle w:val="TableParagraph"/>
              <w:rPr>
                <w:rFonts w:ascii="Times New Roman"/>
                <w:sz w:val="18"/>
              </w:rPr>
            </w:pPr>
          </w:p>
        </w:tc>
        <w:tc>
          <w:tcPr>
            <w:tcW w:w="114" w:type="dxa"/>
          </w:tcPr>
          <w:p>
            <w:pPr>
              <w:pStyle w:val="TableParagraph"/>
              <w:rPr>
                <w:rFonts w:ascii="Times New Roman"/>
                <w:sz w:val="18"/>
              </w:rPr>
            </w:pPr>
          </w:p>
        </w:tc>
        <w:tc>
          <w:tcPr>
            <w:tcW w:w="84" w:type="dxa"/>
            <w:tcBorders>
              <w:top w:val="single" w:sz="12" w:space="0" w:color="DD0806"/>
              <w:bottom w:val="single" w:sz="12" w:space="0" w:color="DD0806"/>
            </w:tcBorders>
          </w:tcPr>
          <w:p>
            <w:pPr>
              <w:pStyle w:val="TableParagraph"/>
              <w:rPr>
                <w:rFonts w:ascii="Times New Roman"/>
                <w:sz w:val="18"/>
              </w:rPr>
            </w:pPr>
          </w:p>
        </w:tc>
        <w:tc>
          <w:tcPr>
            <w:tcW w:w="84" w:type="dxa"/>
            <w:tcBorders>
              <w:top w:val="single" w:sz="12" w:space="0" w:color="DD0806"/>
              <w:bottom w:val="single" w:sz="12" w:space="0" w:color="DD0806"/>
              <w:right w:val="single" w:sz="48" w:space="0" w:color="DD0806"/>
            </w:tcBorders>
          </w:tcPr>
          <w:p>
            <w:pPr>
              <w:pStyle w:val="TableParagraph"/>
              <w:rPr>
                <w:rFonts w:ascii="Times New Roman"/>
                <w:sz w:val="18"/>
              </w:rPr>
            </w:pPr>
          </w:p>
        </w:tc>
        <w:tc>
          <w:tcPr>
            <w:tcW w:w="5337" w:type="dxa"/>
            <w:tcBorders>
              <w:left w:val="single" w:sz="48" w:space="0" w:color="DD0806"/>
            </w:tcBorders>
          </w:tcPr>
          <w:p>
            <w:pPr>
              <w:pStyle w:val="TableParagraph"/>
              <w:spacing w:line="224" w:lineRule="exact"/>
              <w:ind w:left="103"/>
              <w:rPr>
                <w:sz w:val="20"/>
              </w:rPr>
            </w:pPr>
            <w:r>
              <w:rPr>
                <w:sz w:val="20"/>
              </w:rPr>
              <w:t>fully</w:t>
            </w:r>
            <w:r>
              <w:rPr>
                <w:spacing w:val="-9"/>
                <w:sz w:val="20"/>
              </w:rPr>
              <w:t> </w:t>
            </w:r>
            <w:r>
              <w:rPr>
                <w:sz w:val="20"/>
              </w:rPr>
              <w:t>meets</w:t>
            </w:r>
            <w:r>
              <w:rPr>
                <w:spacing w:val="-4"/>
                <w:sz w:val="20"/>
              </w:rPr>
              <w:t> </w:t>
            </w:r>
            <w:r>
              <w:rPr>
                <w:sz w:val="20"/>
              </w:rPr>
              <w:t>the</w:t>
            </w:r>
            <w:r>
              <w:rPr>
                <w:spacing w:val="-5"/>
                <w:sz w:val="20"/>
              </w:rPr>
              <w:t> </w:t>
            </w:r>
            <w:r>
              <w:rPr>
                <w:spacing w:val="-2"/>
                <w:sz w:val="20"/>
              </w:rPr>
              <w:t>criterion</w:t>
            </w:r>
          </w:p>
        </w:tc>
      </w:tr>
      <w:tr>
        <w:trPr>
          <w:trHeight w:val="238" w:hRule="atLeast"/>
        </w:trPr>
        <w:tc>
          <w:tcPr>
            <w:tcW w:w="502" w:type="dxa"/>
          </w:tcPr>
          <w:p>
            <w:pPr>
              <w:pStyle w:val="TableParagraph"/>
              <w:rPr>
                <w:rFonts w:ascii="Times New Roman"/>
                <w:sz w:val="16"/>
              </w:rPr>
            </w:pPr>
          </w:p>
        </w:tc>
        <w:tc>
          <w:tcPr>
            <w:tcW w:w="114" w:type="dxa"/>
          </w:tcPr>
          <w:p>
            <w:pPr>
              <w:pStyle w:val="TableParagraph"/>
              <w:rPr>
                <w:rFonts w:ascii="Times New Roman"/>
                <w:sz w:val="16"/>
              </w:rPr>
            </w:pPr>
          </w:p>
        </w:tc>
        <w:tc>
          <w:tcPr>
            <w:tcW w:w="84" w:type="dxa"/>
            <w:tcBorders>
              <w:top w:val="single" w:sz="12" w:space="0" w:color="DD0806"/>
            </w:tcBorders>
          </w:tcPr>
          <w:p>
            <w:pPr>
              <w:pStyle w:val="TableParagraph"/>
              <w:rPr>
                <w:rFonts w:ascii="Times New Roman"/>
                <w:sz w:val="16"/>
              </w:rPr>
            </w:pPr>
          </w:p>
        </w:tc>
        <w:tc>
          <w:tcPr>
            <w:tcW w:w="84" w:type="dxa"/>
            <w:tcBorders>
              <w:top w:val="single" w:sz="12" w:space="0" w:color="DD0806"/>
              <w:right w:val="single" w:sz="48" w:space="0" w:color="DD0806"/>
            </w:tcBorders>
          </w:tcPr>
          <w:p>
            <w:pPr>
              <w:pStyle w:val="TableParagraph"/>
              <w:rPr>
                <w:rFonts w:ascii="Times New Roman"/>
                <w:sz w:val="16"/>
              </w:rPr>
            </w:pPr>
          </w:p>
        </w:tc>
        <w:tc>
          <w:tcPr>
            <w:tcW w:w="5337" w:type="dxa"/>
            <w:tcBorders>
              <w:left w:val="single" w:sz="48" w:space="0" w:color="DD0806"/>
            </w:tcBorders>
          </w:tcPr>
          <w:p>
            <w:pPr>
              <w:pStyle w:val="TableParagraph"/>
              <w:spacing w:line="218" w:lineRule="exact"/>
              <w:ind w:left="103" w:right="-15"/>
              <w:rPr>
                <w:sz w:val="20"/>
              </w:rPr>
            </w:pPr>
            <w:r>
              <w:rPr>
                <w:sz w:val="20"/>
              </w:rPr>
              <w:t>must</w:t>
            </w:r>
            <w:r>
              <w:rPr>
                <w:spacing w:val="-9"/>
                <w:sz w:val="20"/>
              </w:rPr>
              <w:t> </w:t>
            </w:r>
            <w:r>
              <w:rPr>
                <w:sz w:val="20"/>
              </w:rPr>
              <w:t>be</w:t>
            </w:r>
            <w:r>
              <w:rPr>
                <w:spacing w:val="-8"/>
                <w:sz w:val="20"/>
              </w:rPr>
              <w:t> </w:t>
            </w:r>
            <w:r>
              <w:rPr>
                <w:sz w:val="20"/>
              </w:rPr>
              <w:t>demonstrated</w:t>
            </w:r>
            <w:r>
              <w:rPr>
                <w:spacing w:val="-7"/>
                <w:sz w:val="20"/>
              </w:rPr>
              <w:t> </w:t>
            </w:r>
            <w:r>
              <w:rPr>
                <w:sz w:val="20"/>
              </w:rPr>
              <w:t>together</w:t>
            </w:r>
            <w:r>
              <w:rPr>
                <w:spacing w:val="-8"/>
                <w:sz w:val="20"/>
              </w:rPr>
              <w:t> </w:t>
            </w:r>
            <w:r>
              <w:rPr>
                <w:sz w:val="20"/>
              </w:rPr>
              <w:t>in</w:t>
            </w:r>
            <w:r>
              <w:rPr>
                <w:spacing w:val="-8"/>
                <w:sz w:val="20"/>
              </w:rPr>
              <w:t> </w:t>
            </w:r>
            <w:r>
              <w:rPr>
                <w:sz w:val="20"/>
              </w:rPr>
              <w:t>Comprehensive</w:t>
            </w:r>
            <w:r>
              <w:rPr>
                <w:spacing w:val="-7"/>
                <w:sz w:val="20"/>
              </w:rPr>
              <w:t> </w:t>
            </w:r>
            <w:r>
              <w:rPr>
                <w:spacing w:val="-2"/>
                <w:sz w:val="20"/>
              </w:rPr>
              <w:t>Design</w:t>
            </w:r>
          </w:p>
        </w:tc>
      </w:tr>
    </w:tbl>
    <w:p>
      <w:pPr>
        <w:spacing w:after="0" w:line="218" w:lineRule="exact"/>
        <w:rPr>
          <w:sz w:val="20"/>
        </w:rPr>
        <w:sectPr>
          <w:headerReference w:type="default" r:id="rId121"/>
          <w:footerReference w:type="default" r:id="rId122"/>
          <w:pgSz w:w="15840" w:h="12240" w:orient="landscape"/>
          <w:pgMar w:header="0" w:footer="924" w:top="1380" w:bottom="1120" w:left="1380" w:right="2260"/>
          <w:pgNumType w:start="12"/>
        </w:sectPr>
      </w:pPr>
    </w:p>
    <w:p>
      <w:pPr>
        <w:pStyle w:val="Heading5"/>
        <w:numPr>
          <w:ilvl w:val="1"/>
          <w:numId w:val="38"/>
        </w:numPr>
        <w:tabs>
          <w:tab w:pos="1519" w:val="left" w:leader="none"/>
          <w:tab w:pos="1520" w:val="left" w:leader="none"/>
        </w:tabs>
        <w:spacing w:line="240" w:lineRule="auto" w:before="76" w:after="0"/>
        <w:ind w:left="1519" w:right="0" w:hanging="720"/>
        <w:jc w:val="left"/>
      </w:pPr>
      <w:r>
        <w:rPr/>
        <w:t>Curricular</w:t>
      </w:r>
      <w:r>
        <w:rPr>
          <w:spacing w:val="-6"/>
        </w:rPr>
        <w:t> </w:t>
      </w:r>
      <w:r>
        <w:rPr>
          <w:spacing w:val="-2"/>
        </w:rPr>
        <w:t>Framework</w:t>
      </w:r>
    </w:p>
    <w:p>
      <w:pPr>
        <w:pStyle w:val="ListParagraph"/>
        <w:numPr>
          <w:ilvl w:val="2"/>
          <w:numId w:val="38"/>
        </w:numPr>
        <w:tabs>
          <w:tab w:pos="1664" w:val="left" w:leader="none"/>
        </w:tabs>
        <w:spacing w:line="240" w:lineRule="auto" w:before="241" w:after="0"/>
        <w:ind w:left="1663" w:right="0" w:hanging="504"/>
        <w:jc w:val="left"/>
        <w:rPr>
          <w:sz w:val="18"/>
        </w:rPr>
      </w:pPr>
      <w:r>
        <w:rPr>
          <w:sz w:val="20"/>
        </w:rPr>
        <w:t>Regional</w:t>
      </w:r>
      <w:r>
        <w:rPr>
          <w:spacing w:val="-9"/>
          <w:sz w:val="20"/>
        </w:rPr>
        <w:t> </w:t>
      </w:r>
      <w:r>
        <w:rPr>
          <w:spacing w:val="-2"/>
          <w:sz w:val="20"/>
        </w:rPr>
        <w:t>Accreditation</w:t>
      </w:r>
    </w:p>
    <w:p>
      <w:pPr>
        <w:pStyle w:val="BodyText"/>
        <w:spacing w:before="10"/>
      </w:pPr>
    </w:p>
    <w:p>
      <w:pPr>
        <w:pStyle w:val="BodyText"/>
        <w:ind w:left="1663" w:right="642"/>
      </w:pPr>
      <w:r>
        <w:rPr/>
        <w:t>Hampton University is accredited by the Commission on Colleges of the Southern Association of Colleges and Schools (SACS) to award degrees at the associate, baccalaureate,</w:t>
      </w:r>
      <w:r>
        <w:rPr>
          <w:spacing w:val="-6"/>
        </w:rPr>
        <w:t> </w:t>
      </w:r>
      <w:r>
        <w:rPr/>
        <w:t>master’s,</w:t>
      </w:r>
      <w:r>
        <w:rPr>
          <w:spacing w:val="-6"/>
        </w:rPr>
        <w:t> </w:t>
      </w:r>
      <w:r>
        <w:rPr/>
        <w:t>education</w:t>
      </w:r>
      <w:r>
        <w:rPr>
          <w:spacing w:val="-6"/>
        </w:rPr>
        <w:t> </w:t>
      </w:r>
      <w:r>
        <w:rPr/>
        <w:t>specialist</w:t>
      </w:r>
      <w:r>
        <w:rPr>
          <w:spacing w:val="-4"/>
        </w:rPr>
        <w:t> </w:t>
      </w:r>
      <w:r>
        <w:rPr/>
        <w:t>and</w:t>
      </w:r>
      <w:r>
        <w:rPr>
          <w:spacing w:val="-4"/>
        </w:rPr>
        <w:t> </w:t>
      </w:r>
      <w:r>
        <w:rPr/>
        <w:t>doctorate</w:t>
      </w:r>
      <w:r>
        <w:rPr>
          <w:spacing w:val="-4"/>
        </w:rPr>
        <w:t> </w:t>
      </w:r>
      <w:r>
        <w:rPr/>
        <w:t>levels.</w:t>
      </w:r>
      <w:r>
        <w:rPr>
          <w:spacing w:val="-6"/>
        </w:rPr>
        <w:t> </w:t>
      </w:r>
      <w:r>
        <w:rPr/>
        <w:t>Contact</w:t>
      </w:r>
      <w:r>
        <w:rPr>
          <w:spacing w:val="-6"/>
        </w:rPr>
        <w:t> </w:t>
      </w:r>
      <w:r>
        <w:rPr/>
        <w:t>the</w:t>
      </w:r>
      <w:r>
        <w:rPr>
          <w:spacing w:val="-6"/>
        </w:rPr>
        <w:t> </w:t>
      </w:r>
      <w:r>
        <w:rPr/>
        <w:t>Commission on Colleges at 1866 Southern Lane, Decatur, GA 30033-4097 or call (404) 679-4500 for questions about the accreditation of Hampton University. The Commission requests that it be contacted only if there is evidence that appears to support and institution’s significant non-compliance with a requirement of standard.</w:t>
      </w:r>
    </w:p>
    <w:p>
      <w:pPr>
        <w:pStyle w:val="BodyText"/>
        <w:spacing w:before="11"/>
      </w:pPr>
    </w:p>
    <w:p>
      <w:pPr>
        <w:pStyle w:val="ListParagraph"/>
        <w:numPr>
          <w:ilvl w:val="2"/>
          <w:numId w:val="38"/>
        </w:numPr>
        <w:tabs>
          <w:tab w:pos="1664" w:val="left" w:leader="none"/>
        </w:tabs>
        <w:spacing w:line="240" w:lineRule="auto" w:before="0" w:after="0"/>
        <w:ind w:left="1663" w:right="0" w:hanging="505"/>
        <w:jc w:val="left"/>
        <w:rPr>
          <w:sz w:val="18"/>
        </w:rPr>
      </w:pPr>
      <w:r>
        <w:rPr>
          <w:sz w:val="20"/>
        </w:rPr>
        <w:t>Professional</w:t>
      </w:r>
      <w:r>
        <w:rPr>
          <w:spacing w:val="-10"/>
          <w:sz w:val="20"/>
        </w:rPr>
        <w:t> </w:t>
      </w:r>
      <w:r>
        <w:rPr>
          <w:sz w:val="20"/>
        </w:rPr>
        <w:t>Degrees</w:t>
      </w:r>
      <w:r>
        <w:rPr>
          <w:spacing w:val="-8"/>
          <w:sz w:val="20"/>
        </w:rPr>
        <w:t> </w:t>
      </w:r>
      <w:r>
        <w:rPr>
          <w:sz w:val="20"/>
        </w:rPr>
        <w:t>and</w:t>
      </w:r>
      <w:r>
        <w:rPr>
          <w:spacing w:val="-6"/>
          <w:sz w:val="20"/>
        </w:rPr>
        <w:t> </w:t>
      </w:r>
      <w:r>
        <w:rPr>
          <w:spacing w:val="-2"/>
          <w:sz w:val="20"/>
        </w:rPr>
        <w:t>Curriculum:</w:t>
      </w:r>
    </w:p>
    <w:p>
      <w:pPr>
        <w:pStyle w:val="BodyText"/>
        <w:spacing w:before="10"/>
      </w:pPr>
    </w:p>
    <w:p>
      <w:pPr>
        <w:pStyle w:val="BodyText"/>
        <w:ind w:left="1663" w:right="632"/>
      </w:pPr>
      <w:r>
        <w:rPr/>
        <w:t>Hampton University Department of Architecture offers the Master of Architecture degree. Our</w:t>
      </w:r>
      <w:r>
        <w:rPr>
          <w:spacing w:val="-3"/>
        </w:rPr>
        <w:t> </w:t>
      </w:r>
      <w:r>
        <w:rPr/>
        <w:t>offering</w:t>
      </w:r>
      <w:r>
        <w:rPr>
          <w:spacing w:val="-4"/>
        </w:rPr>
        <w:t> </w:t>
      </w:r>
      <w:r>
        <w:rPr/>
        <w:t>is</w:t>
      </w:r>
      <w:r>
        <w:rPr>
          <w:spacing w:val="-3"/>
        </w:rPr>
        <w:t> </w:t>
      </w:r>
      <w:r>
        <w:rPr/>
        <w:t>unique,</w:t>
      </w:r>
      <w:r>
        <w:rPr>
          <w:spacing w:val="-2"/>
        </w:rPr>
        <w:t> </w:t>
      </w:r>
      <w:r>
        <w:rPr/>
        <w:t>in</w:t>
      </w:r>
      <w:r>
        <w:rPr>
          <w:spacing w:val="-4"/>
        </w:rPr>
        <w:t> </w:t>
      </w:r>
      <w:r>
        <w:rPr/>
        <w:t>that</w:t>
      </w:r>
      <w:r>
        <w:rPr>
          <w:spacing w:val="-4"/>
        </w:rPr>
        <w:t> </w:t>
      </w:r>
      <w:r>
        <w:rPr/>
        <w:t>students</w:t>
      </w:r>
      <w:r>
        <w:rPr>
          <w:spacing w:val="-3"/>
        </w:rPr>
        <w:t> </w:t>
      </w:r>
      <w:r>
        <w:rPr/>
        <w:t>complete</w:t>
      </w:r>
      <w:r>
        <w:rPr>
          <w:spacing w:val="-4"/>
        </w:rPr>
        <w:t> </w:t>
      </w:r>
      <w:r>
        <w:rPr/>
        <w:t>five</w:t>
      </w:r>
      <w:r>
        <w:rPr>
          <w:spacing w:val="-4"/>
        </w:rPr>
        <w:t> </w:t>
      </w:r>
      <w:r>
        <w:rPr/>
        <w:t>academic</w:t>
      </w:r>
      <w:r>
        <w:rPr>
          <w:spacing w:val="-3"/>
        </w:rPr>
        <w:t> </w:t>
      </w:r>
      <w:r>
        <w:rPr/>
        <w:t>semesters,</w:t>
      </w:r>
      <w:r>
        <w:rPr>
          <w:spacing w:val="-4"/>
        </w:rPr>
        <w:t> </w:t>
      </w:r>
      <w:r>
        <w:rPr/>
        <w:t>plus</w:t>
      </w:r>
      <w:r>
        <w:rPr>
          <w:spacing w:val="-3"/>
        </w:rPr>
        <w:t> </w:t>
      </w:r>
      <w:r>
        <w:rPr/>
        <w:t>two</w:t>
      </w:r>
      <w:r>
        <w:rPr>
          <w:spacing w:val="-4"/>
        </w:rPr>
        <w:t> </w:t>
      </w:r>
      <w:r>
        <w:rPr/>
        <w:t>summer sessions.</w:t>
      </w:r>
      <w:r>
        <w:rPr>
          <w:spacing w:val="-7"/>
        </w:rPr>
        <w:t> </w:t>
      </w:r>
      <w:r>
        <w:rPr/>
        <w:t>We</w:t>
      </w:r>
      <w:r>
        <w:rPr>
          <w:spacing w:val="-5"/>
        </w:rPr>
        <w:t> </w:t>
      </w:r>
      <w:r>
        <w:rPr/>
        <w:t>call</w:t>
      </w:r>
      <w:r>
        <w:rPr>
          <w:spacing w:val="-3"/>
        </w:rPr>
        <w:t> </w:t>
      </w:r>
      <w:r>
        <w:rPr/>
        <w:t>it</w:t>
      </w:r>
      <w:r>
        <w:rPr>
          <w:spacing w:val="-2"/>
        </w:rPr>
        <w:t> </w:t>
      </w:r>
      <w:r>
        <w:rPr/>
        <w:t>a 5½ degree. It</w:t>
      </w:r>
      <w:r>
        <w:rPr>
          <w:spacing w:val="-2"/>
        </w:rPr>
        <w:t> </w:t>
      </w:r>
      <w:r>
        <w:rPr/>
        <w:t>is unique</w:t>
      </w:r>
      <w:r>
        <w:rPr>
          <w:spacing w:val="-2"/>
        </w:rPr>
        <w:t> </w:t>
      </w:r>
      <w:r>
        <w:rPr/>
        <w:t>because there is</w:t>
      </w:r>
      <w:r>
        <w:rPr>
          <w:spacing w:val="-1"/>
        </w:rPr>
        <w:t> </w:t>
      </w:r>
      <w:r>
        <w:rPr/>
        <w:t>no bachelorette degree; after four years, students transition into an “architectural professional” status.</w:t>
      </w:r>
    </w:p>
    <w:p>
      <w:pPr>
        <w:pStyle w:val="BodyText"/>
        <w:spacing w:before="9"/>
      </w:pPr>
    </w:p>
    <w:p>
      <w:pPr>
        <w:pStyle w:val="BodyText"/>
        <w:spacing w:before="1"/>
        <w:ind w:left="1663" w:right="642"/>
      </w:pPr>
      <w:r>
        <w:rPr/>
        <w:t>There</w:t>
      </w:r>
      <w:r>
        <w:rPr>
          <w:spacing w:val="-4"/>
        </w:rPr>
        <w:t> </w:t>
      </w:r>
      <w:r>
        <w:rPr/>
        <w:t>are</w:t>
      </w:r>
      <w:r>
        <w:rPr>
          <w:spacing w:val="-4"/>
        </w:rPr>
        <w:t> </w:t>
      </w:r>
      <w:r>
        <w:rPr/>
        <w:t>no</w:t>
      </w:r>
      <w:r>
        <w:rPr>
          <w:spacing w:val="-2"/>
        </w:rPr>
        <w:t> </w:t>
      </w:r>
      <w:r>
        <w:rPr/>
        <w:t>prerequisite</w:t>
      </w:r>
      <w:r>
        <w:rPr>
          <w:spacing w:val="-4"/>
        </w:rPr>
        <w:t> </w:t>
      </w:r>
      <w:r>
        <w:rPr/>
        <w:t>courses</w:t>
      </w:r>
      <w:r>
        <w:rPr>
          <w:spacing w:val="-3"/>
        </w:rPr>
        <w:t> </w:t>
      </w:r>
      <w:r>
        <w:rPr/>
        <w:t>required</w:t>
      </w:r>
      <w:r>
        <w:rPr>
          <w:spacing w:val="-4"/>
        </w:rPr>
        <w:t> </w:t>
      </w:r>
      <w:r>
        <w:rPr/>
        <w:t>for</w:t>
      </w:r>
      <w:r>
        <w:rPr>
          <w:spacing w:val="-3"/>
        </w:rPr>
        <w:t> </w:t>
      </w:r>
      <w:r>
        <w:rPr/>
        <w:t>a</w:t>
      </w:r>
      <w:r>
        <w:rPr>
          <w:spacing w:val="-4"/>
        </w:rPr>
        <w:t> </w:t>
      </w:r>
      <w:r>
        <w:rPr/>
        <w:t>student</w:t>
      </w:r>
      <w:r>
        <w:rPr>
          <w:spacing w:val="-4"/>
        </w:rPr>
        <w:t> </w:t>
      </w:r>
      <w:r>
        <w:rPr/>
        <w:t>to</w:t>
      </w:r>
      <w:r>
        <w:rPr>
          <w:spacing w:val="-2"/>
        </w:rPr>
        <w:t> </w:t>
      </w:r>
      <w:r>
        <w:rPr/>
        <w:t>declare</w:t>
      </w:r>
      <w:r>
        <w:rPr>
          <w:spacing w:val="-4"/>
        </w:rPr>
        <w:t> </w:t>
      </w:r>
      <w:r>
        <w:rPr/>
        <w:t>architecture</w:t>
      </w:r>
      <w:r>
        <w:rPr>
          <w:spacing w:val="-2"/>
        </w:rPr>
        <w:t> </w:t>
      </w:r>
      <w:r>
        <w:rPr/>
        <w:t>as</w:t>
      </w:r>
      <w:r>
        <w:rPr>
          <w:spacing w:val="-3"/>
        </w:rPr>
        <w:t> </w:t>
      </w:r>
      <w:r>
        <w:rPr/>
        <w:t>a</w:t>
      </w:r>
      <w:r>
        <w:rPr>
          <w:spacing w:val="-4"/>
        </w:rPr>
        <w:t> </w:t>
      </w:r>
      <w:r>
        <w:rPr/>
        <w:t>major and enter the program. Therefore, our program is both comprehensive and intensively rigorous. Our aim is to develop students who are proficient in the work of architecture, no matter their background or preparation.</w:t>
      </w:r>
    </w:p>
    <w:p>
      <w:pPr>
        <w:pStyle w:val="BodyText"/>
        <w:spacing w:before="9"/>
      </w:pPr>
    </w:p>
    <w:p>
      <w:pPr>
        <w:pStyle w:val="BodyText"/>
        <w:ind w:left="1663" w:right="642"/>
      </w:pPr>
      <w:r>
        <w:rPr/>
        <w:t>In</w:t>
      </w:r>
      <w:r>
        <w:rPr>
          <w:spacing w:val="-5"/>
        </w:rPr>
        <w:t> </w:t>
      </w:r>
      <w:r>
        <w:rPr/>
        <w:t>recent years,</w:t>
      </w:r>
      <w:r>
        <w:rPr>
          <w:spacing w:val="-5"/>
        </w:rPr>
        <w:t> </w:t>
      </w:r>
      <w:r>
        <w:rPr/>
        <w:t>students</w:t>
      </w:r>
      <w:r>
        <w:rPr>
          <w:spacing w:val="-4"/>
        </w:rPr>
        <w:t> </w:t>
      </w:r>
      <w:r>
        <w:rPr/>
        <w:t>have</w:t>
      </w:r>
      <w:r>
        <w:rPr>
          <w:spacing w:val="-3"/>
        </w:rPr>
        <w:t> </w:t>
      </w:r>
      <w:r>
        <w:rPr/>
        <w:t>been</w:t>
      </w:r>
      <w:r>
        <w:rPr>
          <w:spacing w:val="-5"/>
        </w:rPr>
        <w:t> </w:t>
      </w:r>
      <w:r>
        <w:rPr/>
        <w:t>able</w:t>
      </w:r>
      <w:r>
        <w:rPr>
          <w:spacing w:val="-5"/>
        </w:rPr>
        <w:t> </w:t>
      </w:r>
      <w:r>
        <w:rPr/>
        <w:t>to</w:t>
      </w:r>
      <w:r>
        <w:rPr>
          <w:spacing w:val="-5"/>
        </w:rPr>
        <w:t> </w:t>
      </w:r>
      <w:r>
        <w:rPr/>
        <w:t>complete</w:t>
      </w:r>
      <w:r>
        <w:rPr>
          <w:spacing w:val="-3"/>
        </w:rPr>
        <w:t> </w:t>
      </w:r>
      <w:r>
        <w:rPr/>
        <w:t>minors</w:t>
      </w:r>
      <w:r>
        <w:rPr>
          <w:spacing w:val="-4"/>
        </w:rPr>
        <w:t> </w:t>
      </w:r>
      <w:r>
        <w:rPr/>
        <w:t>in</w:t>
      </w:r>
      <w:r>
        <w:rPr>
          <w:spacing w:val="-5"/>
        </w:rPr>
        <w:t> </w:t>
      </w:r>
      <w:r>
        <w:rPr/>
        <w:t>mathematics,</w:t>
      </w:r>
      <w:r>
        <w:rPr>
          <w:spacing w:val="-5"/>
        </w:rPr>
        <w:t> </w:t>
      </w:r>
      <w:r>
        <w:rPr/>
        <w:t>aviation</w:t>
      </w:r>
      <w:r>
        <w:rPr>
          <w:spacing w:val="-5"/>
        </w:rPr>
        <w:t> </w:t>
      </w:r>
      <w:r>
        <w:rPr/>
        <w:t>and graphic design. Students have also obtained concentrations in math.</w:t>
      </w:r>
    </w:p>
    <w:p>
      <w:pPr>
        <w:pStyle w:val="BodyText"/>
        <w:spacing w:before="11"/>
      </w:pPr>
    </w:p>
    <w:p>
      <w:pPr>
        <w:pStyle w:val="BodyText"/>
        <w:ind w:left="1663" w:right="642"/>
      </w:pPr>
      <w:r>
        <w:rPr/>
        <w:t>The program includes 168 credits, of which 123 are major courses, 9 are open elective courses, and 36 are general education courses. Six (6) of the major credits are elective credits.</w:t>
      </w:r>
      <w:r>
        <w:rPr>
          <w:spacing w:val="-4"/>
        </w:rPr>
        <w:t> </w:t>
      </w:r>
      <w:r>
        <w:rPr/>
        <w:t>These</w:t>
      </w:r>
      <w:r>
        <w:rPr>
          <w:spacing w:val="-4"/>
        </w:rPr>
        <w:t> </w:t>
      </w:r>
      <w:r>
        <w:rPr/>
        <w:t>are</w:t>
      </w:r>
      <w:r>
        <w:rPr>
          <w:spacing w:val="-2"/>
        </w:rPr>
        <w:t> </w:t>
      </w:r>
      <w:r>
        <w:rPr/>
        <w:t>advanced</w:t>
      </w:r>
      <w:r>
        <w:rPr>
          <w:spacing w:val="-4"/>
        </w:rPr>
        <w:t> </w:t>
      </w:r>
      <w:r>
        <w:rPr/>
        <w:t>level</w:t>
      </w:r>
      <w:r>
        <w:rPr>
          <w:spacing w:val="-5"/>
        </w:rPr>
        <w:t> </w:t>
      </w:r>
      <w:r>
        <w:rPr/>
        <w:t>electives</w:t>
      </w:r>
      <w:r>
        <w:rPr>
          <w:spacing w:val="-3"/>
        </w:rPr>
        <w:t> </w:t>
      </w:r>
      <w:r>
        <w:rPr/>
        <w:t>offered</w:t>
      </w:r>
      <w:r>
        <w:rPr>
          <w:spacing w:val="-4"/>
        </w:rPr>
        <w:t> </w:t>
      </w:r>
      <w:r>
        <w:rPr/>
        <w:t>to</w:t>
      </w:r>
      <w:r>
        <w:rPr>
          <w:spacing w:val="-2"/>
        </w:rPr>
        <w:t> </w:t>
      </w:r>
      <w:r>
        <w:rPr/>
        <w:t>4</w:t>
      </w:r>
      <w:r>
        <w:rPr>
          <w:vertAlign w:val="superscript"/>
        </w:rPr>
        <w:t>th</w:t>
      </w:r>
      <w:r>
        <w:rPr>
          <w:spacing w:val="-4"/>
          <w:vertAlign w:val="baseline"/>
        </w:rPr>
        <w:t> </w:t>
      </w:r>
      <w:r>
        <w:rPr>
          <w:vertAlign w:val="baseline"/>
        </w:rPr>
        <w:t>year</w:t>
      </w:r>
      <w:r>
        <w:rPr>
          <w:spacing w:val="-3"/>
          <w:vertAlign w:val="baseline"/>
        </w:rPr>
        <w:t> </w:t>
      </w:r>
      <w:r>
        <w:rPr>
          <w:vertAlign w:val="baseline"/>
        </w:rPr>
        <w:t>and</w:t>
      </w:r>
      <w:r>
        <w:rPr>
          <w:spacing w:val="-4"/>
          <w:vertAlign w:val="baseline"/>
        </w:rPr>
        <w:t> </w:t>
      </w:r>
      <w:r>
        <w:rPr>
          <w:vertAlign w:val="baseline"/>
        </w:rPr>
        <w:t>Graduate</w:t>
      </w:r>
      <w:r>
        <w:rPr>
          <w:spacing w:val="-4"/>
          <w:vertAlign w:val="baseline"/>
        </w:rPr>
        <w:t> </w:t>
      </w:r>
      <w:r>
        <w:rPr>
          <w:vertAlign w:val="baseline"/>
        </w:rPr>
        <w:t>Professional students.</w:t>
      </w:r>
      <w:r>
        <w:rPr>
          <w:spacing w:val="-1"/>
          <w:vertAlign w:val="baseline"/>
        </w:rPr>
        <w:t> </w:t>
      </w:r>
      <w:r>
        <w:rPr>
          <w:vertAlign w:val="baseline"/>
        </w:rPr>
        <w:t>Other electives are</w:t>
      </w:r>
      <w:r>
        <w:rPr>
          <w:spacing w:val="-1"/>
          <w:vertAlign w:val="baseline"/>
        </w:rPr>
        <w:t> </w:t>
      </w:r>
      <w:r>
        <w:rPr>
          <w:vertAlign w:val="baseline"/>
        </w:rPr>
        <w:t>offered</w:t>
      </w:r>
      <w:r>
        <w:rPr>
          <w:spacing w:val="-1"/>
          <w:vertAlign w:val="baseline"/>
        </w:rPr>
        <w:t> </w:t>
      </w:r>
      <w:r>
        <w:rPr>
          <w:vertAlign w:val="baseline"/>
        </w:rPr>
        <w:t>as open</w:t>
      </w:r>
      <w:r>
        <w:rPr>
          <w:spacing w:val="-1"/>
          <w:vertAlign w:val="baseline"/>
        </w:rPr>
        <w:t> </w:t>
      </w:r>
      <w:r>
        <w:rPr>
          <w:vertAlign w:val="baseline"/>
        </w:rPr>
        <w:t>electives and</w:t>
      </w:r>
      <w:r>
        <w:rPr>
          <w:spacing w:val="-1"/>
          <w:vertAlign w:val="baseline"/>
        </w:rPr>
        <w:t> </w:t>
      </w:r>
      <w:r>
        <w:rPr>
          <w:vertAlign w:val="baseline"/>
        </w:rPr>
        <w:t>made</w:t>
      </w:r>
      <w:r>
        <w:rPr>
          <w:spacing w:val="-1"/>
          <w:vertAlign w:val="baseline"/>
        </w:rPr>
        <w:t> </w:t>
      </w:r>
      <w:r>
        <w:rPr>
          <w:vertAlign w:val="baseline"/>
        </w:rPr>
        <w:t>available</w:t>
      </w:r>
      <w:r>
        <w:rPr>
          <w:spacing w:val="-1"/>
          <w:vertAlign w:val="baseline"/>
        </w:rPr>
        <w:t> </w:t>
      </w:r>
      <w:r>
        <w:rPr>
          <w:vertAlign w:val="baseline"/>
        </w:rPr>
        <w:t>to lower level </w:t>
      </w:r>
      <w:r>
        <w:rPr>
          <w:spacing w:val="-2"/>
          <w:vertAlign w:val="baseline"/>
        </w:rPr>
        <w:t>students.</w:t>
      </w:r>
    </w:p>
    <w:p>
      <w:pPr>
        <w:pStyle w:val="BodyText"/>
        <w:spacing w:before="9"/>
      </w:pPr>
    </w:p>
    <w:p>
      <w:pPr>
        <w:pStyle w:val="BodyText"/>
        <w:ind w:left="1663" w:right="642"/>
      </w:pPr>
      <w:r>
        <w:rPr/>
        <w:t>The</w:t>
      </w:r>
      <w:r>
        <w:rPr>
          <w:spacing w:val="-5"/>
        </w:rPr>
        <w:t> </w:t>
      </w:r>
      <w:r>
        <w:rPr/>
        <w:t>following</w:t>
      </w:r>
      <w:r>
        <w:rPr>
          <w:spacing w:val="-5"/>
        </w:rPr>
        <w:t> </w:t>
      </w:r>
      <w:r>
        <w:rPr/>
        <w:t>table</w:t>
      </w:r>
      <w:r>
        <w:rPr>
          <w:spacing w:val="-5"/>
        </w:rPr>
        <w:t> </w:t>
      </w:r>
      <w:r>
        <w:rPr/>
        <w:t>describes</w:t>
      </w:r>
      <w:r>
        <w:rPr>
          <w:spacing w:val="-4"/>
        </w:rPr>
        <w:t> </w:t>
      </w:r>
      <w:r>
        <w:rPr/>
        <w:t>the</w:t>
      </w:r>
      <w:r>
        <w:rPr>
          <w:spacing w:val="-3"/>
        </w:rPr>
        <w:t> </w:t>
      </w:r>
      <w:r>
        <w:rPr/>
        <w:t>distribution</w:t>
      </w:r>
      <w:r>
        <w:rPr>
          <w:spacing w:val="-3"/>
        </w:rPr>
        <w:t> </w:t>
      </w:r>
      <w:r>
        <w:rPr/>
        <w:t>of</w:t>
      </w:r>
      <w:r>
        <w:rPr>
          <w:spacing w:val="-3"/>
        </w:rPr>
        <w:t> </w:t>
      </w:r>
      <w:r>
        <w:rPr/>
        <w:t>credits</w:t>
      </w:r>
      <w:r>
        <w:rPr>
          <w:spacing w:val="-4"/>
        </w:rPr>
        <w:t> </w:t>
      </w:r>
      <w:r>
        <w:rPr/>
        <w:t>between</w:t>
      </w:r>
      <w:r>
        <w:rPr>
          <w:spacing w:val="-3"/>
        </w:rPr>
        <w:t> </w:t>
      </w:r>
      <w:r>
        <w:rPr/>
        <w:t>professional</w:t>
      </w:r>
      <w:r>
        <w:rPr>
          <w:spacing w:val="-6"/>
        </w:rPr>
        <w:t> </w:t>
      </w:r>
      <w:r>
        <w:rPr/>
        <w:t>and</w:t>
      </w:r>
      <w:r>
        <w:rPr>
          <w:spacing w:val="-3"/>
        </w:rPr>
        <w:t> </w:t>
      </w:r>
      <w:r>
        <w:rPr/>
        <w:t>non- professional courses.</w:t>
      </w:r>
    </w:p>
    <w:p>
      <w:pPr>
        <w:spacing w:after="0"/>
        <w:sectPr>
          <w:headerReference w:type="default" r:id="rId123"/>
          <w:footerReference w:type="default" r:id="rId124"/>
          <w:pgSz w:w="12240" w:h="15840"/>
          <w:pgMar w:header="0" w:footer="974" w:top="1600" w:bottom="1160" w:left="1000" w:right="820"/>
        </w:sectPr>
      </w:pPr>
    </w:p>
    <w:tbl>
      <w:tblPr>
        <w:tblW w:w="0" w:type="auto"/>
        <w:jc w:val="left"/>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58"/>
        <w:gridCol w:w="849"/>
        <w:gridCol w:w="3799"/>
        <w:gridCol w:w="852"/>
      </w:tblGrid>
      <w:tr>
        <w:trPr>
          <w:trHeight w:val="431" w:hRule="atLeast"/>
        </w:trPr>
        <w:tc>
          <w:tcPr>
            <w:tcW w:w="4907" w:type="dxa"/>
            <w:gridSpan w:val="2"/>
          </w:tcPr>
          <w:p>
            <w:pPr>
              <w:pStyle w:val="TableParagraph"/>
              <w:spacing w:before="95"/>
              <w:ind w:left="842"/>
              <w:rPr>
                <w:b/>
                <w:sz w:val="20"/>
              </w:rPr>
            </w:pPr>
            <w:r>
              <w:rPr>
                <w:b/>
                <w:spacing w:val="-2"/>
                <w:sz w:val="20"/>
              </w:rPr>
              <w:t>General</w:t>
            </w:r>
            <w:r>
              <w:rPr>
                <w:b/>
                <w:spacing w:val="9"/>
                <w:sz w:val="20"/>
              </w:rPr>
              <w:t> </w:t>
            </w:r>
            <w:r>
              <w:rPr>
                <w:b/>
                <w:spacing w:val="-2"/>
                <w:sz w:val="20"/>
              </w:rPr>
              <w:t>(non-architecture</w:t>
            </w:r>
            <w:r>
              <w:rPr>
                <w:b/>
                <w:spacing w:val="9"/>
                <w:sz w:val="20"/>
              </w:rPr>
              <w:t> </w:t>
            </w:r>
            <w:r>
              <w:rPr>
                <w:b/>
                <w:spacing w:val="-2"/>
                <w:sz w:val="20"/>
              </w:rPr>
              <w:t>Studies</w:t>
            </w:r>
          </w:p>
        </w:tc>
        <w:tc>
          <w:tcPr>
            <w:tcW w:w="4651" w:type="dxa"/>
            <w:gridSpan w:val="2"/>
          </w:tcPr>
          <w:p>
            <w:pPr>
              <w:pStyle w:val="TableParagraph"/>
              <w:spacing w:before="95"/>
              <w:ind w:left="1335"/>
              <w:rPr>
                <w:b/>
                <w:sz w:val="20"/>
              </w:rPr>
            </w:pPr>
            <w:r>
              <w:rPr>
                <w:b/>
                <w:spacing w:val="-2"/>
                <w:sz w:val="20"/>
              </w:rPr>
              <w:t>Professional</w:t>
            </w:r>
            <w:r>
              <w:rPr>
                <w:b/>
                <w:spacing w:val="7"/>
                <w:sz w:val="20"/>
              </w:rPr>
              <w:t> </w:t>
            </w:r>
            <w:r>
              <w:rPr>
                <w:b/>
                <w:spacing w:val="-2"/>
                <w:sz w:val="20"/>
              </w:rPr>
              <w:t>Studies</w:t>
            </w:r>
          </w:p>
        </w:tc>
      </w:tr>
      <w:tr>
        <w:trPr>
          <w:trHeight w:val="431" w:hRule="atLeast"/>
        </w:trPr>
        <w:tc>
          <w:tcPr>
            <w:tcW w:w="4058" w:type="dxa"/>
          </w:tcPr>
          <w:p>
            <w:pPr>
              <w:pStyle w:val="TableParagraph"/>
              <w:spacing w:before="98"/>
              <w:ind w:left="1139"/>
              <w:rPr>
                <w:sz w:val="20"/>
              </w:rPr>
            </w:pPr>
            <w:r>
              <w:rPr>
                <w:sz w:val="20"/>
              </w:rPr>
              <w:t>Course</w:t>
            </w:r>
            <w:r>
              <w:rPr>
                <w:spacing w:val="-5"/>
                <w:sz w:val="20"/>
              </w:rPr>
              <w:t> </w:t>
            </w:r>
            <w:r>
              <w:rPr>
                <w:sz w:val="20"/>
              </w:rPr>
              <w:t>Name</w:t>
            </w:r>
            <w:r>
              <w:rPr>
                <w:spacing w:val="-4"/>
                <w:sz w:val="20"/>
              </w:rPr>
              <w:t> </w:t>
            </w:r>
            <w:r>
              <w:rPr>
                <w:sz w:val="20"/>
              </w:rPr>
              <w:t>/</w:t>
            </w:r>
            <w:r>
              <w:rPr>
                <w:spacing w:val="-5"/>
                <w:sz w:val="20"/>
              </w:rPr>
              <w:t> </w:t>
            </w:r>
            <w:r>
              <w:rPr>
                <w:spacing w:val="-4"/>
                <w:sz w:val="20"/>
              </w:rPr>
              <w:t>Title</w:t>
            </w:r>
          </w:p>
        </w:tc>
        <w:tc>
          <w:tcPr>
            <w:tcW w:w="849" w:type="dxa"/>
          </w:tcPr>
          <w:p>
            <w:pPr>
              <w:pStyle w:val="TableParagraph"/>
              <w:spacing w:before="98"/>
              <w:ind w:left="93" w:right="86"/>
              <w:jc w:val="center"/>
              <w:rPr>
                <w:sz w:val="20"/>
              </w:rPr>
            </w:pPr>
            <w:r>
              <w:rPr>
                <w:spacing w:val="-2"/>
                <w:sz w:val="20"/>
              </w:rPr>
              <w:t>Credits</w:t>
            </w:r>
          </w:p>
        </w:tc>
        <w:tc>
          <w:tcPr>
            <w:tcW w:w="3799" w:type="dxa"/>
          </w:tcPr>
          <w:p>
            <w:pPr>
              <w:pStyle w:val="TableParagraph"/>
              <w:spacing w:before="98"/>
              <w:ind w:left="1011"/>
              <w:rPr>
                <w:sz w:val="20"/>
              </w:rPr>
            </w:pPr>
            <w:r>
              <w:rPr>
                <w:sz w:val="20"/>
              </w:rPr>
              <w:t>Course</w:t>
            </w:r>
            <w:r>
              <w:rPr>
                <w:spacing w:val="-5"/>
                <w:sz w:val="20"/>
              </w:rPr>
              <w:t> </w:t>
            </w:r>
            <w:r>
              <w:rPr>
                <w:sz w:val="20"/>
              </w:rPr>
              <w:t>Name</w:t>
            </w:r>
            <w:r>
              <w:rPr>
                <w:spacing w:val="-4"/>
                <w:sz w:val="20"/>
              </w:rPr>
              <w:t> </w:t>
            </w:r>
            <w:r>
              <w:rPr>
                <w:sz w:val="20"/>
              </w:rPr>
              <w:t>/</w:t>
            </w:r>
            <w:r>
              <w:rPr>
                <w:spacing w:val="-5"/>
                <w:sz w:val="20"/>
              </w:rPr>
              <w:t> </w:t>
            </w:r>
            <w:r>
              <w:rPr>
                <w:spacing w:val="-4"/>
                <w:sz w:val="20"/>
              </w:rPr>
              <w:t>Title</w:t>
            </w:r>
          </w:p>
        </w:tc>
        <w:tc>
          <w:tcPr>
            <w:tcW w:w="852" w:type="dxa"/>
          </w:tcPr>
          <w:p>
            <w:pPr>
              <w:pStyle w:val="TableParagraph"/>
              <w:spacing w:before="98"/>
              <w:ind w:left="93" w:right="88"/>
              <w:jc w:val="center"/>
              <w:rPr>
                <w:sz w:val="20"/>
              </w:rPr>
            </w:pPr>
            <w:r>
              <w:rPr>
                <w:spacing w:val="-2"/>
                <w:sz w:val="20"/>
              </w:rPr>
              <w:t>Credits</w:t>
            </w:r>
          </w:p>
        </w:tc>
      </w:tr>
      <w:tr>
        <w:trPr>
          <w:trHeight w:val="7480" w:hRule="atLeast"/>
        </w:trPr>
        <w:tc>
          <w:tcPr>
            <w:tcW w:w="4058" w:type="dxa"/>
          </w:tcPr>
          <w:p>
            <w:pPr>
              <w:pStyle w:val="TableParagraph"/>
              <w:spacing w:line="229" w:lineRule="exact" w:before="119"/>
              <w:ind w:left="107"/>
              <w:rPr>
                <w:sz w:val="20"/>
              </w:rPr>
            </w:pPr>
            <w:r>
              <w:rPr>
                <w:sz w:val="20"/>
              </w:rPr>
              <w:t>Health</w:t>
            </w:r>
            <w:r>
              <w:rPr>
                <w:spacing w:val="-6"/>
                <w:sz w:val="20"/>
              </w:rPr>
              <w:t> </w:t>
            </w:r>
            <w:r>
              <w:rPr>
                <w:sz w:val="20"/>
              </w:rPr>
              <w:t>Education</w:t>
            </w:r>
            <w:r>
              <w:rPr>
                <w:spacing w:val="-8"/>
                <w:sz w:val="20"/>
              </w:rPr>
              <w:t> </w:t>
            </w:r>
            <w:r>
              <w:rPr>
                <w:sz w:val="20"/>
              </w:rPr>
              <w:t>or</w:t>
            </w:r>
            <w:r>
              <w:rPr>
                <w:spacing w:val="-5"/>
                <w:sz w:val="20"/>
              </w:rPr>
              <w:t> PE</w:t>
            </w:r>
          </w:p>
          <w:p>
            <w:pPr>
              <w:pStyle w:val="TableParagraph"/>
              <w:tabs>
                <w:tab w:pos="1187" w:val="left" w:leader="none"/>
              </w:tabs>
              <w:ind w:left="107" w:right="1082"/>
              <w:rPr>
                <w:sz w:val="20"/>
              </w:rPr>
            </w:pPr>
            <w:r>
              <w:rPr>
                <w:sz w:val="20"/>
              </w:rPr>
              <w:t>UNV 101</w:t>
              <w:tab/>
              <w:t>University Studies ENG 101</w:t>
              <w:tab/>
              <w:t>English</w:t>
            </w:r>
            <w:r>
              <w:rPr>
                <w:spacing w:val="-14"/>
                <w:sz w:val="20"/>
              </w:rPr>
              <w:t> </w:t>
            </w:r>
            <w:r>
              <w:rPr>
                <w:sz w:val="20"/>
              </w:rPr>
              <w:t>composition ENG 102</w:t>
              <w:tab/>
              <w:t>College English MAT 118</w:t>
              <w:tab/>
              <w:t>Pre-Calculus II</w:t>
            </w:r>
          </w:p>
          <w:p>
            <w:pPr>
              <w:pStyle w:val="TableParagraph"/>
              <w:tabs>
                <w:tab w:pos="1187" w:val="left" w:leader="none"/>
              </w:tabs>
              <w:spacing w:before="1"/>
              <w:ind w:left="107" w:right="938"/>
              <w:rPr>
                <w:sz w:val="20"/>
              </w:rPr>
            </w:pPr>
            <w:r>
              <w:rPr>
                <w:sz w:val="20"/>
              </w:rPr>
              <w:t>COM 103</w:t>
              <w:tab/>
              <w:t>Oral</w:t>
            </w:r>
            <w:r>
              <w:rPr>
                <w:spacing w:val="-14"/>
                <w:sz w:val="20"/>
              </w:rPr>
              <w:t> </w:t>
            </w:r>
            <w:r>
              <w:rPr>
                <w:sz w:val="20"/>
              </w:rPr>
              <w:t>Communications </w:t>
            </w:r>
            <w:r>
              <w:rPr>
                <w:spacing w:val="-4"/>
                <w:sz w:val="20"/>
              </w:rPr>
              <w:t>ART</w:t>
            </w:r>
            <w:r>
              <w:rPr>
                <w:sz w:val="20"/>
              </w:rPr>
              <w:tab/>
              <w:t>Required Elective PHY 201</w:t>
              <w:tab/>
            </w:r>
            <w:r>
              <w:rPr>
                <w:spacing w:val="-2"/>
                <w:sz w:val="20"/>
              </w:rPr>
              <w:t>Physics</w:t>
            </w:r>
          </w:p>
          <w:p>
            <w:pPr>
              <w:pStyle w:val="TableParagraph"/>
              <w:tabs>
                <w:tab w:pos="1187" w:val="left" w:leader="none"/>
              </w:tabs>
              <w:spacing w:line="229" w:lineRule="exact"/>
              <w:ind w:left="107"/>
              <w:rPr>
                <w:sz w:val="20"/>
              </w:rPr>
            </w:pPr>
            <w:r>
              <w:rPr>
                <w:sz w:val="20"/>
              </w:rPr>
              <w:t>HUM</w:t>
            </w:r>
            <w:r>
              <w:rPr>
                <w:spacing w:val="-6"/>
                <w:sz w:val="20"/>
              </w:rPr>
              <w:t> </w:t>
            </w:r>
            <w:r>
              <w:rPr>
                <w:spacing w:val="-5"/>
                <w:sz w:val="20"/>
              </w:rPr>
              <w:t>201</w:t>
            </w:r>
            <w:r>
              <w:rPr>
                <w:sz w:val="20"/>
              </w:rPr>
              <w:tab/>
            </w:r>
            <w:r>
              <w:rPr>
                <w:spacing w:val="-2"/>
                <w:sz w:val="20"/>
              </w:rPr>
              <w:t>Humanities</w:t>
            </w:r>
          </w:p>
          <w:p>
            <w:pPr>
              <w:pStyle w:val="TableParagraph"/>
              <w:tabs>
                <w:tab w:pos="1187" w:val="left" w:leader="none"/>
              </w:tabs>
              <w:spacing w:before="1"/>
              <w:ind w:left="107" w:right="950"/>
              <w:rPr>
                <w:sz w:val="20"/>
              </w:rPr>
            </w:pPr>
            <w:r>
              <w:rPr>
                <w:sz w:val="20"/>
              </w:rPr>
              <w:t>Social</w:t>
            </w:r>
            <w:r>
              <w:rPr>
                <w:spacing w:val="-14"/>
                <w:sz w:val="20"/>
              </w:rPr>
              <w:t> </w:t>
            </w:r>
            <w:r>
              <w:rPr>
                <w:sz w:val="20"/>
              </w:rPr>
              <w:t>Science</w:t>
            </w:r>
            <w:r>
              <w:rPr>
                <w:spacing w:val="-14"/>
                <w:sz w:val="20"/>
              </w:rPr>
              <w:t> </w:t>
            </w:r>
            <w:r>
              <w:rPr>
                <w:sz w:val="20"/>
              </w:rPr>
              <w:t>Requred</w:t>
            </w:r>
            <w:r>
              <w:rPr>
                <w:spacing w:val="-13"/>
                <w:sz w:val="20"/>
              </w:rPr>
              <w:t> </w:t>
            </w:r>
            <w:r>
              <w:rPr>
                <w:sz w:val="20"/>
              </w:rPr>
              <w:t>Electives HIS 106</w:t>
              <w:tab/>
              <w:t>World Civilization</w:t>
            </w:r>
          </w:p>
        </w:tc>
        <w:tc>
          <w:tcPr>
            <w:tcW w:w="849" w:type="dxa"/>
          </w:tcPr>
          <w:p>
            <w:pPr>
              <w:pStyle w:val="TableParagraph"/>
              <w:spacing w:line="229" w:lineRule="exact" w:before="120"/>
              <w:ind w:left="11"/>
              <w:jc w:val="center"/>
              <w:rPr>
                <w:sz w:val="20"/>
              </w:rPr>
            </w:pPr>
            <w:r>
              <w:rPr>
                <w:w w:val="99"/>
                <w:sz w:val="20"/>
              </w:rPr>
              <w:t>2</w:t>
            </w:r>
          </w:p>
          <w:p>
            <w:pPr>
              <w:pStyle w:val="TableParagraph"/>
              <w:spacing w:line="229" w:lineRule="exact"/>
              <w:ind w:left="11"/>
              <w:jc w:val="center"/>
              <w:rPr>
                <w:sz w:val="20"/>
              </w:rPr>
            </w:pPr>
            <w:r>
              <w:rPr>
                <w:w w:val="99"/>
                <w:sz w:val="20"/>
              </w:rPr>
              <w:t>1</w:t>
            </w:r>
          </w:p>
          <w:p>
            <w:pPr>
              <w:pStyle w:val="TableParagraph"/>
              <w:ind w:left="11"/>
              <w:jc w:val="center"/>
              <w:rPr>
                <w:sz w:val="20"/>
              </w:rPr>
            </w:pPr>
            <w:r>
              <w:rPr>
                <w:w w:val="99"/>
                <w:sz w:val="20"/>
              </w:rPr>
              <w:t>3</w:t>
            </w:r>
          </w:p>
          <w:p>
            <w:pPr>
              <w:pStyle w:val="TableParagraph"/>
              <w:spacing w:before="1"/>
              <w:ind w:left="11"/>
              <w:jc w:val="center"/>
              <w:rPr>
                <w:sz w:val="20"/>
              </w:rPr>
            </w:pPr>
            <w:r>
              <w:rPr>
                <w:w w:val="99"/>
                <w:sz w:val="20"/>
              </w:rPr>
              <w:t>3</w:t>
            </w:r>
          </w:p>
          <w:p>
            <w:pPr>
              <w:pStyle w:val="TableParagraph"/>
              <w:ind w:left="11"/>
              <w:jc w:val="center"/>
              <w:rPr>
                <w:sz w:val="20"/>
              </w:rPr>
            </w:pPr>
            <w:r>
              <w:rPr>
                <w:w w:val="99"/>
                <w:sz w:val="20"/>
              </w:rPr>
              <w:t>3</w:t>
            </w:r>
          </w:p>
          <w:p>
            <w:pPr>
              <w:pStyle w:val="TableParagraph"/>
              <w:spacing w:line="229" w:lineRule="exact" w:before="1"/>
              <w:ind w:left="11"/>
              <w:jc w:val="center"/>
              <w:rPr>
                <w:sz w:val="20"/>
              </w:rPr>
            </w:pPr>
            <w:r>
              <w:rPr>
                <w:w w:val="99"/>
                <w:sz w:val="20"/>
              </w:rPr>
              <w:t>3</w:t>
            </w:r>
          </w:p>
          <w:p>
            <w:pPr>
              <w:pStyle w:val="TableParagraph"/>
              <w:spacing w:line="229" w:lineRule="exact"/>
              <w:ind w:left="11"/>
              <w:jc w:val="center"/>
              <w:rPr>
                <w:sz w:val="20"/>
              </w:rPr>
            </w:pPr>
            <w:r>
              <w:rPr>
                <w:w w:val="99"/>
                <w:sz w:val="20"/>
              </w:rPr>
              <w:t>5</w:t>
            </w:r>
          </w:p>
          <w:p>
            <w:pPr>
              <w:pStyle w:val="TableParagraph"/>
              <w:ind w:left="11"/>
              <w:jc w:val="center"/>
              <w:rPr>
                <w:sz w:val="20"/>
              </w:rPr>
            </w:pPr>
            <w:r>
              <w:rPr>
                <w:w w:val="99"/>
                <w:sz w:val="20"/>
              </w:rPr>
              <w:t>4</w:t>
            </w:r>
          </w:p>
          <w:p>
            <w:pPr>
              <w:pStyle w:val="TableParagraph"/>
              <w:spacing w:before="1"/>
              <w:ind w:left="11"/>
              <w:jc w:val="center"/>
              <w:rPr>
                <w:sz w:val="20"/>
              </w:rPr>
            </w:pPr>
            <w:r>
              <w:rPr>
                <w:w w:val="99"/>
                <w:sz w:val="20"/>
              </w:rPr>
              <w:t>3</w:t>
            </w:r>
          </w:p>
          <w:p>
            <w:pPr>
              <w:pStyle w:val="TableParagraph"/>
              <w:ind w:left="11"/>
              <w:jc w:val="center"/>
              <w:rPr>
                <w:sz w:val="20"/>
              </w:rPr>
            </w:pPr>
            <w:r>
              <w:rPr>
                <w:w w:val="99"/>
                <w:sz w:val="20"/>
              </w:rPr>
              <w:t>6</w:t>
            </w:r>
          </w:p>
          <w:p>
            <w:pPr>
              <w:pStyle w:val="TableParagraph"/>
              <w:spacing w:before="1"/>
              <w:ind w:left="11"/>
              <w:jc w:val="center"/>
              <w:rPr>
                <w:sz w:val="20"/>
              </w:rPr>
            </w:pPr>
            <w:r>
              <w:rPr>
                <w:w w:val="99"/>
                <w:sz w:val="20"/>
              </w:rPr>
              <w:t>3</w:t>
            </w:r>
          </w:p>
        </w:tc>
        <w:tc>
          <w:tcPr>
            <w:tcW w:w="3799" w:type="dxa"/>
          </w:tcPr>
          <w:p>
            <w:pPr>
              <w:pStyle w:val="TableParagraph"/>
              <w:tabs>
                <w:tab w:pos="1150" w:val="left" w:leader="none"/>
              </w:tabs>
              <w:spacing w:before="121"/>
              <w:ind w:left="108" w:right="1904"/>
              <w:rPr>
                <w:sz w:val="20"/>
              </w:rPr>
            </w:pPr>
            <w:r>
              <w:rPr>
                <w:sz w:val="20"/>
              </w:rPr>
              <w:t>ARC 101</w:t>
              <w:tab/>
              <w:t>Studio I ARC</w:t>
            </w:r>
            <w:r>
              <w:rPr>
                <w:spacing w:val="-7"/>
                <w:sz w:val="20"/>
              </w:rPr>
              <w:t> </w:t>
            </w:r>
            <w:r>
              <w:rPr>
                <w:spacing w:val="-5"/>
                <w:sz w:val="20"/>
              </w:rPr>
              <w:t>102</w:t>
            </w:r>
            <w:r>
              <w:rPr>
                <w:sz w:val="20"/>
              </w:rPr>
              <w:tab/>
              <w:t>Studio</w:t>
            </w:r>
            <w:r>
              <w:rPr>
                <w:spacing w:val="-8"/>
                <w:sz w:val="20"/>
              </w:rPr>
              <w:t> </w:t>
            </w:r>
            <w:r>
              <w:rPr>
                <w:spacing w:val="-5"/>
                <w:sz w:val="20"/>
              </w:rPr>
              <w:t>II</w:t>
            </w:r>
          </w:p>
          <w:p>
            <w:pPr>
              <w:pStyle w:val="TableParagraph"/>
              <w:tabs>
                <w:tab w:pos="1150" w:val="left" w:leader="none"/>
              </w:tabs>
              <w:ind w:left="108" w:right="756"/>
              <w:rPr>
                <w:sz w:val="20"/>
              </w:rPr>
            </w:pPr>
            <w:r>
              <w:rPr>
                <w:sz w:val="20"/>
              </w:rPr>
              <w:t>ARC 200</w:t>
              <w:tab/>
              <w:t>Architectural</w:t>
            </w:r>
            <w:r>
              <w:rPr>
                <w:spacing w:val="-14"/>
                <w:sz w:val="20"/>
              </w:rPr>
              <w:t> </w:t>
            </w:r>
            <w:r>
              <w:rPr>
                <w:sz w:val="20"/>
              </w:rPr>
              <w:t>Ecology ARC 201</w:t>
              <w:tab/>
              <w:t>Studio III</w:t>
            </w:r>
          </w:p>
          <w:p>
            <w:pPr>
              <w:pStyle w:val="TableParagraph"/>
              <w:tabs>
                <w:tab w:pos="1150" w:val="left" w:leader="none"/>
              </w:tabs>
              <w:ind w:left="108"/>
              <w:rPr>
                <w:sz w:val="20"/>
              </w:rPr>
            </w:pPr>
            <w:r>
              <w:rPr>
                <w:sz w:val="20"/>
              </w:rPr>
              <w:t>ARC</w:t>
            </w:r>
            <w:r>
              <w:rPr>
                <w:spacing w:val="-7"/>
                <w:sz w:val="20"/>
              </w:rPr>
              <w:t> </w:t>
            </w:r>
            <w:r>
              <w:rPr>
                <w:spacing w:val="-5"/>
                <w:sz w:val="20"/>
              </w:rPr>
              <w:t>202</w:t>
            </w:r>
            <w:r>
              <w:rPr>
                <w:sz w:val="20"/>
              </w:rPr>
              <w:tab/>
              <w:t>Studio</w:t>
            </w:r>
            <w:r>
              <w:rPr>
                <w:spacing w:val="-8"/>
                <w:sz w:val="20"/>
              </w:rPr>
              <w:t> </w:t>
            </w:r>
            <w:r>
              <w:rPr>
                <w:spacing w:val="-5"/>
                <w:sz w:val="20"/>
              </w:rPr>
              <w:t>IV</w:t>
            </w:r>
          </w:p>
          <w:p>
            <w:pPr>
              <w:pStyle w:val="TableParagraph"/>
              <w:tabs>
                <w:tab w:pos="1150" w:val="left" w:leader="none"/>
              </w:tabs>
              <w:ind w:left="108" w:right="1115"/>
              <w:rPr>
                <w:sz w:val="20"/>
              </w:rPr>
            </w:pPr>
            <w:r>
              <w:rPr>
                <w:sz w:val="20"/>
              </w:rPr>
              <w:t>ARC 203</w:t>
              <w:tab/>
              <w:t>Representation I ARC 204</w:t>
              <w:tab/>
              <w:t>Representation</w:t>
            </w:r>
            <w:r>
              <w:rPr>
                <w:spacing w:val="-14"/>
                <w:sz w:val="20"/>
              </w:rPr>
              <w:t> </w:t>
            </w:r>
            <w:r>
              <w:rPr>
                <w:sz w:val="20"/>
              </w:rPr>
              <w:t>II</w:t>
            </w:r>
          </w:p>
          <w:p>
            <w:pPr>
              <w:pStyle w:val="TableParagraph"/>
              <w:tabs>
                <w:tab w:pos="1150" w:val="left" w:leader="none"/>
              </w:tabs>
              <w:ind w:left="108" w:right="200"/>
              <w:rPr>
                <w:sz w:val="20"/>
              </w:rPr>
            </w:pPr>
            <w:r>
              <w:rPr>
                <w:spacing w:val="-2"/>
                <w:sz w:val="20"/>
              </w:rPr>
              <w:t>ARC207</w:t>
            </w:r>
            <w:r>
              <w:rPr>
                <w:sz w:val="20"/>
              </w:rPr>
              <w:tab/>
              <w:t>History of Architecture I </w:t>
            </w:r>
            <w:r>
              <w:rPr>
                <w:spacing w:val="-2"/>
                <w:sz w:val="20"/>
              </w:rPr>
              <w:t>ARC208</w:t>
            </w:r>
            <w:r>
              <w:rPr>
                <w:sz w:val="20"/>
              </w:rPr>
              <w:tab/>
              <w:t>History of Architecture II ARC 213</w:t>
              <w:tab/>
              <w:t>Elements</w:t>
            </w:r>
            <w:r>
              <w:rPr>
                <w:spacing w:val="-13"/>
                <w:sz w:val="20"/>
              </w:rPr>
              <w:t> </w:t>
            </w:r>
            <w:r>
              <w:rPr>
                <w:sz w:val="20"/>
              </w:rPr>
              <w:t>of</w:t>
            </w:r>
            <w:r>
              <w:rPr>
                <w:spacing w:val="-12"/>
                <w:sz w:val="20"/>
              </w:rPr>
              <w:t> </w:t>
            </w:r>
            <w:r>
              <w:rPr>
                <w:sz w:val="20"/>
              </w:rPr>
              <w:t>Bldg</w:t>
            </w:r>
            <w:r>
              <w:rPr>
                <w:spacing w:val="-12"/>
                <w:sz w:val="20"/>
              </w:rPr>
              <w:t> </w:t>
            </w:r>
            <w:r>
              <w:rPr>
                <w:sz w:val="20"/>
              </w:rPr>
              <w:t>Assembly ARC 301</w:t>
              <w:tab/>
              <w:t>International Travel Prep ARC 303</w:t>
              <w:tab/>
              <w:t>Studio V</w:t>
            </w:r>
          </w:p>
          <w:p>
            <w:pPr>
              <w:pStyle w:val="TableParagraph"/>
              <w:tabs>
                <w:tab w:pos="1150" w:val="left" w:leader="none"/>
              </w:tabs>
              <w:spacing w:line="229" w:lineRule="exact"/>
              <w:ind w:left="108"/>
              <w:rPr>
                <w:sz w:val="20"/>
              </w:rPr>
            </w:pPr>
            <w:r>
              <w:rPr>
                <w:sz w:val="20"/>
              </w:rPr>
              <w:t>ARC</w:t>
            </w:r>
            <w:r>
              <w:rPr>
                <w:spacing w:val="-7"/>
                <w:sz w:val="20"/>
              </w:rPr>
              <w:t> </w:t>
            </w:r>
            <w:r>
              <w:rPr>
                <w:spacing w:val="-5"/>
                <w:sz w:val="20"/>
              </w:rPr>
              <w:t>304</w:t>
            </w:r>
            <w:r>
              <w:rPr>
                <w:sz w:val="20"/>
              </w:rPr>
              <w:tab/>
              <w:t>Studio</w:t>
            </w:r>
            <w:r>
              <w:rPr>
                <w:spacing w:val="-8"/>
                <w:sz w:val="20"/>
              </w:rPr>
              <w:t> </w:t>
            </w:r>
            <w:r>
              <w:rPr>
                <w:spacing w:val="-5"/>
                <w:sz w:val="20"/>
              </w:rPr>
              <w:t>VI</w:t>
            </w:r>
          </w:p>
          <w:p>
            <w:pPr>
              <w:pStyle w:val="TableParagraph"/>
              <w:tabs>
                <w:tab w:pos="1150" w:val="left" w:leader="none"/>
              </w:tabs>
              <w:spacing w:line="242" w:lineRule="auto"/>
              <w:ind w:left="108" w:right="383" w:hanging="1"/>
              <w:rPr>
                <w:sz w:val="20"/>
              </w:rPr>
            </w:pPr>
            <w:r>
              <w:rPr>
                <w:b/>
                <w:sz w:val="20"/>
              </w:rPr>
              <w:t>ARC 305</w:t>
              <w:tab/>
              <w:t>Intl</w:t>
            </w:r>
            <w:r>
              <w:rPr>
                <w:b/>
                <w:spacing w:val="-14"/>
                <w:sz w:val="20"/>
              </w:rPr>
              <w:t> </w:t>
            </w:r>
            <w:r>
              <w:rPr>
                <w:b/>
                <w:sz w:val="20"/>
              </w:rPr>
              <w:t>Urban</w:t>
            </w:r>
            <w:r>
              <w:rPr>
                <w:b/>
                <w:spacing w:val="-13"/>
                <w:sz w:val="20"/>
              </w:rPr>
              <w:t> </w:t>
            </w:r>
            <w:r>
              <w:rPr>
                <w:b/>
                <w:sz w:val="20"/>
              </w:rPr>
              <w:t>Travel</w:t>
            </w:r>
            <w:r>
              <w:rPr>
                <w:b/>
                <w:spacing w:val="-14"/>
                <w:sz w:val="20"/>
              </w:rPr>
              <w:t> </w:t>
            </w:r>
            <w:r>
              <w:rPr>
                <w:b/>
                <w:sz w:val="20"/>
              </w:rPr>
              <w:t>Studio </w:t>
            </w:r>
            <w:r>
              <w:rPr>
                <w:sz w:val="20"/>
              </w:rPr>
              <w:t>ARC 306</w:t>
              <w:tab/>
              <w:t>Urban Des Studio VII ARC 309</w:t>
              <w:tab/>
              <w:t>Structures I</w:t>
            </w:r>
          </w:p>
          <w:p>
            <w:pPr>
              <w:pStyle w:val="TableParagraph"/>
              <w:tabs>
                <w:tab w:pos="1150" w:val="left" w:leader="none"/>
              </w:tabs>
              <w:spacing w:line="227" w:lineRule="exact"/>
              <w:ind w:left="108"/>
              <w:rPr>
                <w:sz w:val="20"/>
              </w:rPr>
            </w:pPr>
            <w:r>
              <w:rPr>
                <w:sz w:val="20"/>
              </w:rPr>
              <w:t>ARC</w:t>
            </w:r>
            <w:r>
              <w:rPr>
                <w:spacing w:val="-7"/>
                <w:sz w:val="20"/>
              </w:rPr>
              <w:t> </w:t>
            </w:r>
            <w:r>
              <w:rPr>
                <w:spacing w:val="-5"/>
                <w:sz w:val="20"/>
              </w:rPr>
              <w:t>310</w:t>
            </w:r>
            <w:r>
              <w:rPr>
                <w:sz w:val="20"/>
              </w:rPr>
              <w:tab/>
            </w:r>
            <w:r>
              <w:rPr>
                <w:spacing w:val="-2"/>
                <w:sz w:val="20"/>
              </w:rPr>
              <w:t>Structures</w:t>
            </w:r>
            <w:r>
              <w:rPr>
                <w:spacing w:val="5"/>
                <w:sz w:val="20"/>
              </w:rPr>
              <w:t> </w:t>
            </w:r>
            <w:r>
              <w:rPr>
                <w:spacing w:val="-5"/>
                <w:sz w:val="20"/>
              </w:rPr>
              <w:t>II</w:t>
            </w:r>
          </w:p>
          <w:p>
            <w:pPr>
              <w:pStyle w:val="TableParagraph"/>
              <w:tabs>
                <w:tab w:pos="1150" w:val="left" w:leader="none"/>
              </w:tabs>
              <w:ind w:left="108" w:right="405"/>
              <w:rPr>
                <w:sz w:val="20"/>
              </w:rPr>
            </w:pPr>
            <w:r>
              <w:rPr>
                <w:sz w:val="20"/>
              </w:rPr>
              <w:t>ARC 314</w:t>
              <w:tab/>
              <w:t>Building Assemblies </w:t>
            </w:r>
            <w:r>
              <w:rPr>
                <w:spacing w:val="-2"/>
                <w:sz w:val="20"/>
              </w:rPr>
              <w:t>ARC315</w:t>
            </w:r>
            <w:r>
              <w:rPr>
                <w:sz w:val="20"/>
              </w:rPr>
              <w:tab/>
              <w:t>Environmental Systems ARC 317</w:t>
              <w:tab/>
              <w:t>Global</w:t>
            </w:r>
            <w:r>
              <w:rPr>
                <w:spacing w:val="-14"/>
                <w:sz w:val="20"/>
              </w:rPr>
              <w:t> </w:t>
            </w:r>
            <w:r>
              <w:rPr>
                <w:sz w:val="20"/>
              </w:rPr>
              <w:t>Theories</w:t>
            </w:r>
            <w:r>
              <w:rPr>
                <w:spacing w:val="-14"/>
                <w:sz w:val="20"/>
              </w:rPr>
              <w:t> </w:t>
            </w:r>
            <w:r>
              <w:rPr>
                <w:sz w:val="20"/>
              </w:rPr>
              <w:t>of</w:t>
            </w:r>
            <w:r>
              <w:rPr>
                <w:spacing w:val="-13"/>
                <w:sz w:val="20"/>
              </w:rPr>
              <w:t> </w:t>
            </w:r>
            <w:r>
              <w:rPr>
                <w:sz w:val="20"/>
              </w:rPr>
              <w:t>Urban ARC 405</w:t>
              <w:tab/>
              <w:t>Studio VIII</w:t>
            </w:r>
          </w:p>
          <w:p>
            <w:pPr>
              <w:pStyle w:val="TableParagraph"/>
              <w:tabs>
                <w:tab w:pos="1150" w:val="left" w:leader="none"/>
              </w:tabs>
              <w:spacing w:line="230" w:lineRule="exact"/>
              <w:ind w:left="109"/>
              <w:rPr>
                <w:sz w:val="20"/>
              </w:rPr>
            </w:pPr>
            <w:r>
              <w:rPr>
                <w:sz w:val="20"/>
              </w:rPr>
              <w:t>ARC</w:t>
            </w:r>
            <w:r>
              <w:rPr>
                <w:spacing w:val="-7"/>
                <w:sz w:val="20"/>
              </w:rPr>
              <w:t> </w:t>
            </w:r>
            <w:r>
              <w:rPr>
                <w:spacing w:val="-5"/>
                <w:sz w:val="20"/>
              </w:rPr>
              <w:t>406</w:t>
            </w:r>
            <w:r>
              <w:rPr>
                <w:sz w:val="20"/>
              </w:rPr>
              <w:tab/>
              <w:t>Studio</w:t>
            </w:r>
            <w:r>
              <w:rPr>
                <w:spacing w:val="-8"/>
                <w:sz w:val="20"/>
              </w:rPr>
              <w:t> </w:t>
            </w:r>
            <w:r>
              <w:rPr>
                <w:spacing w:val="-5"/>
                <w:sz w:val="20"/>
              </w:rPr>
              <w:t>IX</w:t>
            </w:r>
          </w:p>
          <w:p>
            <w:pPr>
              <w:pStyle w:val="TableParagraph"/>
              <w:tabs>
                <w:tab w:pos="1150" w:val="left" w:leader="none"/>
              </w:tabs>
              <w:ind w:left="108" w:right="312"/>
              <w:rPr>
                <w:sz w:val="20"/>
              </w:rPr>
            </w:pPr>
            <w:r>
              <w:rPr>
                <w:sz w:val="20"/>
              </w:rPr>
              <w:t>ARC 411</w:t>
              <w:tab/>
              <w:t>Cont.</w:t>
            </w:r>
            <w:r>
              <w:rPr>
                <w:spacing w:val="-14"/>
                <w:sz w:val="20"/>
              </w:rPr>
              <w:t> </w:t>
            </w:r>
            <w:r>
              <w:rPr>
                <w:sz w:val="20"/>
              </w:rPr>
              <w:t>Architectural</w:t>
            </w:r>
            <w:r>
              <w:rPr>
                <w:spacing w:val="-14"/>
                <w:sz w:val="20"/>
              </w:rPr>
              <w:t> </w:t>
            </w:r>
            <w:r>
              <w:rPr>
                <w:sz w:val="20"/>
              </w:rPr>
              <w:t>Theory ARC 414</w:t>
              <w:tab/>
              <w:t>Structures III</w:t>
            </w:r>
          </w:p>
          <w:p>
            <w:pPr>
              <w:pStyle w:val="TableParagraph"/>
              <w:tabs>
                <w:tab w:pos="1150" w:val="left" w:leader="none"/>
              </w:tabs>
              <w:ind w:left="108" w:right="268"/>
              <w:rPr>
                <w:sz w:val="20"/>
              </w:rPr>
            </w:pPr>
            <w:r>
              <w:rPr>
                <w:sz w:val="20"/>
              </w:rPr>
              <w:t>ARC 516</w:t>
              <w:tab/>
              <w:t>Bldg</w:t>
            </w:r>
            <w:r>
              <w:rPr>
                <w:spacing w:val="-12"/>
                <w:sz w:val="20"/>
              </w:rPr>
              <w:t> </w:t>
            </w:r>
            <w:r>
              <w:rPr>
                <w:sz w:val="20"/>
              </w:rPr>
              <w:t>Sys</w:t>
            </w:r>
            <w:r>
              <w:rPr>
                <w:spacing w:val="-12"/>
                <w:sz w:val="20"/>
              </w:rPr>
              <w:t> </w:t>
            </w:r>
            <w:r>
              <w:rPr>
                <w:sz w:val="20"/>
              </w:rPr>
              <w:t>Integr.</w:t>
            </w:r>
            <w:r>
              <w:rPr>
                <w:spacing w:val="-14"/>
                <w:sz w:val="20"/>
              </w:rPr>
              <w:t> </w:t>
            </w:r>
            <w:r>
              <w:rPr>
                <w:sz w:val="20"/>
              </w:rPr>
              <w:t>Workshop ARC 517</w:t>
              <w:tab/>
              <w:t>Professional Practice I ARC 518</w:t>
              <w:tab/>
              <w:t>Professional Practice II ARC 601</w:t>
              <w:tab/>
              <w:t>Thesis Studio I</w:t>
            </w:r>
          </w:p>
          <w:p>
            <w:pPr>
              <w:pStyle w:val="TableParagraph"/>
              <w:tabs>
                <w:tab w:pos="1150" w:val="left" w:leader="none"/>
              </w:tabs>
              <w:spacing w:line="229" w:lineRule="exact"/>
              <w:ind w:left="108"/>
              <w:rPr>
                <w:sz w:val="20"/>
              </w:rPr>
            </w:pPr>
            <w:r>
              <w:rPr>
                <w:sz w:val="20"/>
              </w:rPr>
              <w:t>ARC</w:t>
            </w:r>
            <w:r>
              <w:rPr>
                <w:spacing w:val="-7"/>
                <w:sz w:val="20"/>
              </w:rPr>
              <w:t> </w:t>
            </w:r>
            <w:r>
              <w:rPr>
                <w:spacing w:val="-5"/>
                <w:sz w:val="20"/>
              </w:rPr>
              <w:t>602</w:t>
            </w:r>
            <w:r>
              <w:rPr>
                <w:sz w:val="20"/>
              </w:rPr>
              <w:tab/>
              <w:t>Thesis</w:t>
            </w:r>
            <w:r>
              <w:rPr>
                <w:spacing w:val="-8"/>
                <w:sz w:val="20"/>
              </w:rPr>
              <w:t> </w:t>
            </w:r>
            <w:r>
              <w:rPr>
                <w:sz w:val="20"/>
              </w:rPr>
              <w:t>Studio</w:t>
            </w:r>
            <w:r>
              <w:rPr>
                <w:spacing w:val="-8"/>
                <w:sz w:val="20"/>
              </w:rPr>
              <w:t> </w:t>
            </w:r>
            <w:r>
              <w:rPr>
                <w:spacing w:val="-5"/>
                <w:sz w:val="20"/>
              </w:rPr>
              <w:t>II</w:t>
            </w:r>
          </w:p>
          <w:p>
            <w:pPr>
              <w:pStyle w:val="TableParagraph"/>
              <w:tabs>
                <w:tab w:pos="1150" w:val="left" w:leader="none"/>
              </w:tabs>
              <w:ind w:left="108" w:right="159"/>
              <w:rPr>
                <w:sz w:val="20"/>
              </w:rPr>
            </w:pPr>
            <w:r>
              <w:rPr>
                <w:sz w:val="20"/>
              </w:rPr>
              <w:t>ARC 617</w:t>
              <w:tab/>
              <w:t>Community Design Issue ARC 618</w:t>
              <w:tab/>
              <w:t>Advanced</w:t>
            </w:r>
            <w:r>
              <w:rPr>
                <w:spacing w:val="-14"/>
                <w:sz w:val="20"/>
              </w:rPr>
              <w:t> </w:t>
            </w:r>
            <w:r>
              <w:rPr>
                <w:sz w:val="20"/>
              </w:rPr>
              <w:t>Bldg</w:t>
            </w:r>
            <w:r>
              <w:rPr>
                <w:spacing w:val="-14"/>
                <w:sz w:val="20"/>
              </w:rPr>
              <w:t> </w:t>
            </w:r>
            <w:r>
              <w:rPr>
                <w:sz w:val="20"/>
              </w:rPr>
              <w:t>Tech</w:t>
            </w:r>
            <w:r>
              <w:rPr>
                <w:spacing w:val="-13"/>
                <w:sz w:val="20"/>
              </w:rPr>
              <w:t> </w:t>
            </w:r>
            <w:r>
              <w:rPr>
                <w:sz w:val="20"/>
              </w:rPr>
              <w:t>Issues</w:t>
            </w:r>
          </w:p>
        </w:tc>
        <w:tc>
          <w:tcPr>
            <w:tcW w:w="852" w:type="dxa"/>
          </w:tcPr>
          <w:p>
            <w:pPr>
              <w:pStyle w:val="TableParagraph"/>
              <w:spacing w:line="229" w:lineRule="exact" w:before="119"/>
              <w:ind w:left="9"/>
              <w:jc w:val="center"/>
              <w:rPr>
                <w:sz w:val="20"/>
              </w:rPr>
            </w:pPr>
            <w:r>
              <w:rPr>
                <w:w w:val="99"/>
                <w:sz w:val="20"/>
              </w:rPr>
              <w:t>5</w:t>
            </w:r>
          </w:p>
          <w:p>
            <w:pPr>
              <w:pStyle w:val="TableParagraph"/>
              <w:spacing w:line="229" w:lineRule="exact"/>
              <w:ind w:left="9"/>
              <w:jc w:val="center"/>
              <w:rPr>
                <w:sz w:val="20"/>
              </w:rPr>
            </w:pPr>
            <w:r>
              <w:rPr>
                <w:w w:val="99"/>
                <w:sz w:val="20"/>
              </w:rPr>
              <w:t>5</w:t>
            </w:r>
          </w:p>
          <w:p>
            <w:pPr>
              <w:pStyle w:val="TableParagraph"/>
              <w:spacing w:before="1"/>
              <w:ind w:left="9"/>
              <w:jc w:val="center"/>
              <w:rPr>
                <w:sz w:val="20"/>
              </w:rPr>
            </w:pPr>
            <w:r>
              <w:rPr>
                <w:w w:val="99"/>
                <w:sz w:val="20"/>
              </w:rPr>
              <w:t>3</w:t>
            </w:r>
          </w:p>
          <w:p>
            <w:pPr>
              <w:pStyle w:val="TableParagraph"/>
              <w:ind w:left="9"/>
              <w:jc w:val="center"/>
              <w:rPr>
                <w:sz w:val="20"/>
              </w:rPr>
            </w:pPr>
            <w:r>
              <w:rPr>
                <w:w w:val="99"/>
                <w:sz w:val="20"/>
              </w:rPr>
              <w:t>5</w:t>
            </w:r>
          </w:p>
          <w:p>
            <w:pPr>
              <w:pStyle w:val="TableParagraph"/>
              <w:spacing w:before="1"/>
              <w:ind w:left="9"/>
              <w:jc w:val="center"/>
              <w:rPr>
                <w:sz w:val="20"/>
              </w:rPr>
            </w:pPr>
            <w:r>
              <w:rPr>
                <w:w w:val="99"/>
                <w:sz w:val="20"/>
              </w:rPr>
              <w:t>5</w:t>
            </w:r>
          </w:p>
          <w:p>
            <w:pPr>
              <w:pStyle w:val="TableParagraph"/>
              <w:spacing w:line="229" w:lineRule="exact"/>
              <w:ind w:left="9"/>
              <w:jc w:val="center"/>
              <w:rPr>
                <w:sz w:val="20"/>
              </w:rPr>
            </w:pPr>
            <w:r>
              <w:rPr>
                <w:w w:val="99"/>
                <w:sz w:val="20"/>
              </w:rPr>
              <w:t>3</w:t>
            </w:r>
          </w:p>
          <w:p>
            <w:pPr>
              <w:pStyle w:val="TableParagraph"/>
              <w:spacing w:line="229" w:lineRule="exact"/>
              <w:ind w:left="9"/>
              <w:jc w:val="center"/>
              <w:rPr>
                <w:sz w:val="20"/>
              </w:rPr>
            </w:pPr>
            <w:r>
              <w:rPr>
                <w:w w:val="99"/>
                <w:sz w:val="20"/>
              </w:rPr>
              <w:t>3</w:t>
            </w:r>
          </w:p>
          <w:p>
            <w:pPr>
              <w:pStyle w:val="TableParagraph"/>
              <w:spacing w:before="1"/>
              <w:ind w:left="9"/>
              <w:jc w:val="center"/>
              <w:rPr>
                <w:sz w:val="20"/>
              </w:rPr>
            </w:pPr>
            <w:r>
              <w:rPr>
                <w:w w:val="99"/>
                <w:sz w:val="20"/>
              </w:rPr>
              <w:t>3</w:t>
            </w:r>
          </w:p>
          <w:p>
            <w:pPr>
              <w:pStyle w:val="TableParagraph"/>
              <w:ind w:left="9"/>
              <w:jc w:val="center"/>
              <w:rPr>
                <w:sz w:val="20"/>
              </w:rPr>
            </w:pPr>
            <w:r>
              <w:rPr>
                <w:w w:val="99"/>
                <w:sz w:val="20"/>
              </w:rPr>
              <w:t>3</w:t>
            </w:r>
          </w:p>
          <w:p>
            <w:pPr>
              <w:pStyle w:val="TableParagraph"/>
              <w:spacing w:before="1"/>
              <w:ind w:left="9"/>
              <w:jc w:val="center"/>
              <w:rPr>
                <w:sz w:val="20"/>
              </w:rPr>
            </w:pPr>
            <w:r>
              <w:rPr>
                <w:w w:val="99"/>
                <w:sz w:val="20"/>
              </w:rPr>
              <w:t>3</w:t>
            </w:r>
          </w:p>
          <w:p>
            <w:pPr>
              <w:pStyle w:val="TableParagraph"/>
              <w:ind w:left="9"/>
              <w:jc w:val="center"/>
              <w:rPr>
                <w:sz w:val="20"/>
              </w:rPr>
            </w:pPr>
            <w:r>
              <w:rPr>
                <w:w w:val="99"/>
                <w:sz w:val="20"/>
              </w:rPr>
              <w:t>1</w:t>
            </w:r>
          </w:p>
          <w:p>
            <w:pPr>
              <w:pStyle w:val="TableParagraph"/>
              <w:spacing w:line="229" w:lineRule="exact" w:before="1"/>
              <w:ind w:left="9"/>
              <w:jc w:val="center"/>
              <w:rPr>
                <w:sz w:val="20"/>
              </w:rPr>
            </w:pPr>
            <w:r>
              <w:rPr>
                <w:w w:val="99"/>
                <w:sz w:val="20"/>
              </w:rPr>
              <w:t>6</w:t>
            </w:r>
          </w:p>
          <w:p>
            <w:pPr>
              <w:pStyle w:val="TableParagraph"/>
              <w:spacing w:line="229" w:lineRule="exact"/>
              <w:ind w:left="9"/>
              <w:jc w:val="center"/>
              <w:rPr>
                <w:sz w:val="20"/>
              </w:rPr>
            </w:pPr>
            <w:r>
              <w:rPr>
                <w:w w:val="99"/>
                <w:sz w:val="20"/>
              </w:rPr>
              <w:t>6</w:t>
            </w:r>
          </w:p>
          <w:p>
            <w:pPr>
              <w:pStyle w:val="TableParagraph"/>
              <w:ind w:left="9"/>
              <w:jc w:val="center"/>
              <w:rPr>
                <w:sz w:val="20"/>
              </w:rPr>
            </w:pPr>
            <w:r>
              <w:rPr>
                <w:w w:val="99"/>
                <w:sz w:val="20"/>
              </w:rPr>
              <w:t>3</w:t>
            </w:r>
          </w:p>
          <w:p>
            <w:pPr>
              <w:pStyle w:val="TableParagraph"/>
              <w:spacing w:before="1"/>
              <w:ind w:left="9"/>
              <w:jc w:val="center"/>
              <w:rPr>
                <w:sz w:val="20"/>
              </w:rPr>
            </w:pPr>
            <w:r>
              <w:rPr>
                <w:w w:val="99"/>
                <w:sz w:val="20"/>
              </w:rPr>
              <w:t>3</w:t>
            </w:r>
          </w:p>
          <w:p>
            <w:pPr>
              <w:pStyle w:val="TableParagraph"/>
              <w:ind w:left="9"/>
              <w:jc w:val="center"/>
              <w:rPr>
                <w:sz w:val="20"/>
              </w:rPr>
            </w:pPr>
            <w:r>
              <w:rPr>
                <w:w w:val="99"/>
                <w:sz w:val="20"/>
              </w:rPr>
              <w:t>3</w:t>
            </w:r>
          </w:p>
          <w:p>
            <w:pPr>
              <w:pStyle w:val="TableParagraph"/>
              <w:spacing w:before="1"/>
              <w:ind w:left="9"/>
              <w:jc w:val="center"/>
              <w:rPr>
                <w:sz w:val="20"/>
              </w:rPr>
            </w:pPr>
            <w:r>
              <w:rPr>
                <w:w w:val="99"/>
                <w:sz w:val="20"/>
              </w:rPr>
              <w:t>3</w:t>
            </w:r>
          </w:p>
          <w:p>
            <w:pPr>
              <w:pStyle w:val="TableParagraph"/>
              <w:spacing w:line="229" w:lineRule="exact"/>
              <w:ind w:left="9"/>
              <w:jc w:val="center"/>
              <w:rPr>
                <w:sz w:val="20"/>
              </w:rPr>
            </w:pPr>
            <w:r>
              <w:rPr>
                <w:w w:val="99"/>
                <w:sz w:val="20"/>
              </w:rPr>
              <w:t>3</w:t>
            </w:r>
          </w:p>
          <w:p>
            <w:pPr>
              <w:pStyle w:val="TableParagraph"/>
              <w:spacing w:line="229" w:lineRule="exact"/>
              <w:ind w:left="9"/>
              <w:jc w:val="center"/>
              <w:rPr>
                <w:sz w:val="20"/>
              </w:rPr>
            </w:pPr>
            <w:r>
              <w:rPr>
                <w:w w:val="99"/>
                <w:sz w:val="20"/>
              </w:rPr>
              <w:t>3</w:t>
            </w:r>
          </w:p>
          <w:p>
            <w:pPr>
              <w:pStyle w:val="TableParagraph"/>
              <w:spacing w:before="1"/>
              <w:ind w:left="9"/>
              <w:jc w:val="center"/>
              <w:rPr>
                <w:sz w:val="20"/>
              </w:rPr>
            </w:pPr>
            <w:r>
              <w:rPr>
                <w:w w:val="99"/>
                <w:sz w:val="20"/>
              </w:rPr>
              <w:t>3</w:t>
            </w:r>
          </w:p>
          <w:p>
            <w:pPr>
              <w:pStyle w:val="TableParagraph"/>
              <w:ind w:left="9"/>
              <w:jc w:val="center"/>
              <w:rPr>
                <w:sz w:val="20"/>
              </w:rPr>
            </w:pPr>
            <w:r>
              <w:rPr>
                <w:w w:val="99"/>
                <w:sz w:val="20"/>
              </w:rPr>
              <w:t>6</w:t>
            </w:r>
          </w:p>
          <w:p>
            <w:pPr>
              <w:pStyle w:val="TableParagraph"/>
              <w:ind w:left="9"/>
              <w:jc w:val="center"/>
              <w:rPr>
                <w:sz w:val="20"/>
              </w:rPr>
            </w:pPr>
            <w:r>
              <w:rPr>
                <w:w w:val="99"/>
                <w:sz w:val="20"/>
              </w:rPr>
              <w:t>6</w:t>
            </w:r>
          </w:p>
          <w:p>
            <w:pPr>
              <w:pStyle w:val="TableParagraph"/>
              <w:spacing w:line="229" w:lineRule="exact" w:before="1"/>
              <w:ind w:left="9"/>
              <w:jc w:val="center"/>
              <w:rPr>
                <w:sz w:val="20"/>
              </w:rPr>
            </w:pPr>
            <w:r>
              <w:rPr>
                <w:w w:val="99"/>
                <w:sz w:val="20"/>
              </w:rPr>
              <w:t>3</w:t>
            </w:r>
          </w:p>
          <w:p>
            <w:pPr>
              <w:pStyle w:val="TableParagraph"/>
              <w:spacing w:line="229" w:lineRule="exact"/>
              <w:ind w:left="9"/>
              <w:jc w:val="center"/>
              <w:rPr>
                <w:sz w:val="20"/>
              </w:rPr>
            </w:pPr>
            <w:r>
              <w:rPr>
                <w:w w:val="99"/>
                <w:sz w:val="20"/>
              </w:rPr>
              <w:t>3</w:t>
            </w:r>
          </w:p>
          <w:p>
            <w:pPr>
              <w:pStyle w:val="TableParagraph"/>
              <w:ind w:left="9"/>
              <w:jc w:val="center"/>
              <w:rPr>
                <w:sz w:val="20"/>
              </w:rPr>
            </w:pPr>
            <w:r>
              <w:rPr>
                <w:w w:val="99"/>
                <w:sz w:val="20"/>
              </w:rPr>
              <w:t>3</w:t>
            </w:r>
          </w:p>
          <w:p>
            <w:pPr>
              <w:pStyle w:val="TableParagraph"/>
              <w:spacing w:before="1"/>
              <w:ind w:left="9"/>
              <w:jc w:val="center"/>
              <w:rPr>
                <w:sz w:val="20"/>
              </w:rPr>
            </w:pPr>
            <w:r>
              <w:rPr>
                <w:w w:val="99"/>
                <w:sz w:val="20"/>
              </w:rPr>
              <w:t>3</w:t>
            </w:r>
          </w:p>
          <w:p>
            <w:pPr>
              <w:pStyle w:val="TableParagraph"/>
              <w:ind w:left="9"/>
              <w:jc w:val="center"/>
              <w:rPr>
                <w:sz w:val="20"/>
              </w:rPr>
            </w:pPr>
            <w:r>
              <w:rPr>
                <w:w w:val="99"/>
                <w:sz w:val="20"/>
              </w:rPr>
              <w:t>3</w:t>
            </w:r>
          </w:p>
          <w:p>
            <w:pPr>
              <w:pStyle w:val="TableParagraph"/>
              <w:spacing w:before="1"/>
              <w:ind w:left="9"/>
              <w:jc w:val="center"/>
              <w:rPr>
                <w:sz w:val="20"/>
              </w:rPr>
            </w:pPr>
            <w:r>
              <w:rPr>
                <w:w w:val="99"/>
                <w:sz w:val="20"/>
              </w:rPr>
              <w:t>6</w:t>
            </w:r>
          </w:p>
          <w:p>
            <w:pPr>
              <w:pStyle w:val="TableParagraph"/>
              <w:spacing w:line="229" w:lineRule="exact"/>
              <w:ind w:left="9"/>
              <w:jc w:val="center"/>
              <w:rPr>
                <w:sz w:val="20"/>
              </w:rPr>
            </w:pPr>
            <w:r>
              <w:rPr>
                <w:w w:val="99"/>
                <w:sz w:val="20"/>
              </w:rPr>
              <w:t>6</w:t>
            </w:r>
          </w:p>
          <w:p>
            <w:pPr>
              <w:pStyle w:val="TableParagraph"/>
              <w:spacing w:line="229" w:lineRule="exact"/>
              <w:ind w:left="9"/>
              <w:jc w:val="center"/>
              <w:rPr>
                <w:sz w:val="20"/>
              </w:rPr>
            </w:pPr>
            <w:r>
              <w:rPr>
                <w:w w:val="99"/>
                <w:sz w:val="20"/>
              </w:rPr>
              <w:t>3</w:t>
            </w:r>
          </w:p>
          <w:p>
            <w:pPr>
              <w:pStyle w:val="TableParagraph"/>
              <w:spacing w:before="1"/>
              <w:ind w:left="9"/>
              <w:jc w:val="center"/>
              <w:rPr>
                <w:sz w:val="20"/>
              </w:rPr>
            </w:pPr>
            <w:r>
              <w:rPr>
                <w:w w:val="99"/>
                <w:sz w:val="20"/>
              </w:rPr>
              <w:t>3</w:t>
            </w:r>
          </w:p>
        </w:tc>
      </w:tr>
      <w:tr>
        <w:trPr>
          <w:trHeight w:val="431" w:hRule="atLeast"/>
        </w:trPr>
        <w:tc>
          <w:tcPr>
            <w:tcW w:w="4058" w:type="dxa"/>
          </w:tcPr>
          <w:p>
            <w:pPr>
              <w:pStyle w:val="TableParagraph"/>
              <w:spacing w:before="98"/>
              <w:ind w:left="1450" w:right="1444"/>
              <w:jc w:val="center"/>
              <w:rPr>
                <w:sz w:val="20"/>
              </w:rPr>
            </w:pPr>
            <w:r>
              <w:rPr>
                <w:sz w:val="20"/>
              </w:rPr>
              <w:t>Total</w:t>
            </w:r>
            <w:r>
              <w:rPr>
                <w:spacing w:val="-7"/>
                <w:sz w:val="20"/>
              </w:rPr>
              <w:t> </w:t>
            </w:r>
            <w:r>
              <w:rPr>
                <w:spacing w:val="-2"/>
                <w:sz w:val="20"/>
              </w:rPr>
              <w:t>Credits</w:t>
            </w:r>
          </w:p>
        </w:tc>
        <w:tc>
          <w:tcPr>
            <w:tcW w:w="849" w:type="dxa"/>
          </w:tcPr>
          <w:p>
            <w:pPr>
              <w:pStyle w:val="TableParagraph"/>
              <w:spacing w:before="98"/>
              <w:ind w:left="92" w:right="86"/>
              <w:jc w:val="center"/>
              <w:rPr>
                <w:sz w:val="20"/>
              </w:rPr>
            </w:pPr>
            <w:r>
              <w:rPr>
                <w:spacing w:val="-5"/>
                <w:sz w:val="20"/>
              </w:rPr>
              <w:t>36</w:t>
            </w:r>
          </w:p>
        </w:tc>
        <w:tc>
          <w:tcPr>
            <w:tcW w:w="3799" w:type="dxa"/>
          </w:tcPr>
          <w:p>
            <w:pPr>
              <w:pStyle w:val="TableParagraph"/>
              <w:rPr>
                <w:rFonts w:ascii="Times New Roman"/>
                <w:sz w:val="18"/>
              </w:rPr>
            </w:pPr>
          </w:p>
        </w:tc>
        <w:tc>
          <w:tcPr>
            <w:tcW w:w="852" w:type="dxa"/>
          </w:tcPr>
          <w:p>
            <w:pPr>
              <w:pStyle w:val="TableParagraph"/>
              <w:spacing w:before="98"/>
              <w:ind w:left="92" w:right="88"/>
              <w:jc w:val="center"/>
              <w:rPr>
                <w:sz w:val="20"/>
              </w:rPr>
            </w:pPr>
            <w:r>
              <w:rPr>
                <w:spacing w:val="-5"/>
                <w:sz w:val="20"/>
              </w:rPr>
              <w:t>117</w:t>
            </w:r>
          </w:p>
        </w:tc>
      </w:tr>
      <w:tr>
        <w:trPr>
          <w:trHeight w:val="539" w:hRule="atLeast"/>
        </w:trPr>
        <w:tc>
          <w:tcPr>
            <w:tcW w:w="4907" w:type="dxa"/>
            <w:gridSpan w:val="2"/>
          </w:tcPr>
          <w:p>
            <w:pPr>
              <w:pStyle w:val="TableParagraph"/>
              <w:spacing w:before="38"/>
              <w:ind w:left="2102" w:hanging="1666"/>
              <w:rPr>
                <w:sz w:val="20"/>
              </w:rPr>
            </w:pPr>
            <w:r>
              <w:rPr>
                <w:sz w:val="20"/>
              </w:rPr>
              <w:t>Elective</w:t>
            </w:r>
            <w:r>
              <w:rPr>
                <w:spacing w:val="-9"/>
                <w:sz w:val="20"/>
              </w:rPr>
              <w:t> </w:t>
            </w:r>
            <w:r>
              <w:rPr>
                <w:sz w:val="20"/>
              </w:rPr>
              <w:t>Courses</w:t>
            </w:r>
            <w:r>
              <w:rPr>
                <w:spacing w:val="-6"/>
                <w:sz w:val="20"/>
              </w:rPr>
              <w:t> </w:t>
            </w:r>
            <w:r>
              <w:rPr>
                <w:sz w:val="20"/>
              </w:rPr>
              <w:t>with</w:t>
            </w:r>
            <w:r>
              <w:rPr>
                <w:spacing w:val="-9"/>
                <w:sz w:val="20"/>
              </w:rPr>
              <w:t> </w:t>
            </w:r>
            <w:r>
              <w:rPr>
                <w:sz w:val="20"/>
              </w:rPr>
              <w:t>other</w:t>
            </w:r>
            <w:r>
              <w:rPr>
                <w:spacing w:val="-7"/>
                <w:sz w:val="20"/>
              </w:rPr>
              <w:t> </w:t>
            </w:r>
            <w:r>
              <w:rPr>
                <w:sz w:val="20"/>
              </w:rPr>
              <w:t>than</w:t>
            </w:r>
            <w:r>
              <w:rPr>
                <w:spacing w:val="-8"/>
                <w:sz w:val="20"/>
              </w:rPr>
              <w:t> </w:t>
            </w:r>
            <w:r>
              <w:rPr>
                <w:sz w:val="20"/>
              </w:rPr>
              <w:t>Architectural </w:t>
            </w:r>
            <w:r>
              <w:rPr>
                <w:spacing w:val="-2"/>
                <w:sz w:val="20"/>
              </w:rPr>
              <w:t>Content</w:t>
            </w:r>
          </w:p>
        </w:tc>
        <w:tc>
          <w:tcPr>
            <w:tcW w:w="4651" w:type="dxa"/>
            <w:gridSpan w:val="2"/>
          </w:tcPr>
          <w:p>
            <w:pPr>
              <w:pStyle w:val="TableParagraph"/>
              <w:spacing w:before="153"/>
              <w:ind w:left="439"/>
              <w:rPr>
                <w:sz w:val="20"/>
              </w:rPr>
            </w:pPr>
            <w:r>
              <w:rPr>
                <w:sz w:val="20"/>
              </w:rPr>
              <w:t>Elective</w:t>
            </w:r>
            <w:r>
              <w:rPr>
                <w:spacing w:val="-11"/>
                <w:sz w:val="20"/>
              </w:rPr>
              <w:t> </w:t>
            </w:r>
            <w:r>
              <w:rPr>
                <w:sz w:val="20"/>
              </w:rPr>
              <w:t>Courses</w:t>
            </w:r>
            <w:r>
              <w:rPr>
                <w:spacing w:val="-7"/>
                <w:sz w:val="20"/>
              </w:rPr>
              <w:t> </w:t>
            </w:r>
            <w:r>
              <w:rPr>
                <w:sz w:val="20"/>
              </w:rPr>
              <w:t>with</w:t>
            </w:r>
            <w:r>
              <w:rPr>
                <w:spacing w:val="-10"/>
                <w:sz w:val="20"/>
              </w:rPr>
              <w:t> </w:t>
            </w:r>
            <w:r>
              <w:rPr>
                <w:sz w:val="20"/>
              </w:rPr>
              <w:t>architectural</w:t>
            </w:r>
            <w:r>
              <w:rPr>
                <w:spacing w:val="-11"/>
                <w:sz w:val="20"/>
              </w:rPr>
              <w:t> </w:t>
            </w:r>
            <w:r>
              <w:rPr>
                <w:spacing w:val="-2"/>
                <w:sz w:val="20"/>
              </w:rPr>
              <w:t>content</w:t>
            </w:r>
          </w:p>
        </w:tc>
      </w:tr>
      <w:tr>
        <w:trPr>
          <w:trHeight w:val="469" w:hRule="atLeast"/>
        </w:trPr>
        <w:tc>
          <w:tcPr>
            <w:tcW w:w="4058" w:type="dxa"/>
          </w:tcPr>
          <w:p>
            <w:pPr>
              <w:pStyle w:val="TableParagraph"/>
              <w:spacing w:before="117"/>
              <w:ind w:left="107"/>
              <w:rPr>
                <w:sz w:val="20"/>
              </w:rPr>
            </w:pPr>
            <w:r>
              <w:rPr>
                <w:sz w:val="20"/>
              </w:rPr>
              <w:t>Total</w:t>
            </w:r>
            <w:r>
              <w:rPr>
                <w:spacing w:val="-10"/>
                <w:sz w:val="20"/>
              </w:rPr>
              <w:t> </w:t>
            </w:r>
            <w:r>
              <w:rPr>
                <w:sz w:val="20"/>
              </w:rPr>
              <w:t>Free</w:t>
            </w:r>
            <w:r>
              <w:rPr>
                <w:spacing w:val="-5"/>
                <w:sz w:val="20"/>
              </w:rPr>
              <w:t> </w:t>
            </w:r>
            <w:r>
              <w:rPr>
                <w:sz w:val="20"/>
              </w:rPr>
              <w:t>Elective</w:t>
            </w:r>
            <w:r>
              <w:rPr>
                <w:spacing w:val="-7"/>
                <w:sz w:val="20"/>
              </w:rPr>
              <w:t> </w:t>
            </w:r>
            <w:r>
              <w:rPr>
                <w:sz w:val="20"/>
              </w:rPr>
              <w:t>Course</w:t>
            </w:r>
            <w:r>
              <w:rPr>
                <w:spacing w:val="-4"/>
                <w:sz w:val="20"/>
              </w:rPr>
              <w:t> </w:t>
            </w:r>
            <w:r>
              <w:rPr>
                <w:spacing w:val="-2"/>
                <w:sz w:val="20"/>
              </w:rPr>
              <w:t>Opportunities</w:t>
            </w:r>
          </w:p>
        </w:tc>
        <w:tc>
          <w:tcPr>
            <w:tcW w:w="849" w:type="dxa"/>
          </w:tcPr>
          <w:p>
            <w:pPr>
              <w:pStyle w:val="TableParagraph"/>
              <w:spacing w:before="117"/>
              <w:ind w:left="11"/>
              <w:jc w:val="center"/>
              <w:rPr>
                <w:sz w:val="20"/>
              </w:rPr>
            </w:pPr>
            <w:r>
              <w:rPr>
                <w:w w:val="99"/>
                <w:sz w:val="20"/>
              </w:rPr>
              <w:t>9</w:t>
            </w:r>
          </w:p>
        </w:tc>
        <w:tc>
          <w:tcPr>
            <w:tcW w:w="3799" w:type="dxa"/>
          </w:tcPr>
          <w:p>
            <w:pPr>
              <w:pStyle w:val="TableParagraph"/>
              <w:spacing w:before="117"/>
              <w:ind w:left="108"/>
              <w:rPr>
                <w:sz w:val="20"/>
              </w:rPr>
            </w:pPr>
            <w:r>
              <w:rPr>
                <w:sz w:val="20"/>
              </w:rPr>
              <w:t>Total</w:t>
            </w:r>
            <w:r>
              <w:rPr>
                <w:spacing w:val="-11"/>
                <w:sz w:val="20"/>
              </w:rPr>
              <w:t> </w:t>
            </w:r>
            <w:r>
              <w:rPr>
                <w:sz w:val="20"/>
              </w:rPr>
              <w:t>Required</w:t>
            </w:r>
            <w:r>
              <w:rPr>
                <w:spacing w:val="-10"/>
                <w:sz w:val="20"/>
              </w:rPr>
              <w:t> </w:t>
            </w:r>
            <w:r>
              <w:rPr>
                <w:sz w:val="20"/>
              </w:rPr>
              <w:t>Architecture</w:t>
            </w:r>
            <w:r>
              <w:rPr>
                <w:spacing w:val="-8"/>
                <w:sz w:val="20"/>
              </w:rPr>
              <w:t> </w:t>
            </w:r>
            <w:r>
              <w:rPr>
                <w:spacing w:val="-2"/>
                <w:sz w:val="20"/>
              </w:rPr>
              <w:t>Electives</w:t>
            </w:r>
          </w:p>
        </w:tc>
        <w:tc>
          <w:tcPr>
            <w:tcW w:w="852" w:type="dxa"/>
          </w:tcPr>
          <w:p>
            <w:pPr>
              <w:pStyle w:val="TableParagraph"/>
              <w:spacing w:before="117"/>
              <w:ind w:left="9"/>
              <w:jc w:val="center"/>
              <w:rPr>
                <w:sz w:val="20"/>
              </w:rPr>
            </w:pPr>
            <w:r>
              <w:rPr>
                <w:w w:val="99"/>
                <w:sz w:val="20"/>
              </w:rPr>
              <w:t>6</w:t>
            </w:r>
          </w:p>
        </w:tc>
      </w:tr>
      <w:tr>
        <w:trPr>
          <w:trHeight w:val="470" w:hRule="atLeast"/>
        </w:trPr>
        <w:tc>
          <w:tcPr>
            <w:tcW w:w="4058" w:type="dxa"/>
          </w:tcPr>
          <w:p>
            <w:pPr>
              <w:pStyle w:val="TableParagraph"/>
              <w:spacing w:before="114"/>
              <w:ind w:left="107"/>
              <w:rPr>
                <w:b/>
                <w:sz w:val="20"/>
              </w:rPr>
            </w:pPr>
            <w:r>
              <w:rPr>
                <w:b/>
                <w:sz w:val="20"/>
              </w:rPr>
              <w:t>Total</w:t>
            </w:r>
            <w:r>
              <w:rPr>
                <w:b/>
                <w:spacing w:val="-13"/>
                <w:sz w:val="20"/>
              </w:rPr>
              <w:t> </w:t>
            </w:r>
            <w:r>
              <w:rPr>
                <w:b/>
                <w:sz w:val="20"/>
              </w:rPr>
              <w:t>Non-Architecture</w:t>
            </w:r>
            <w:r>
              <w:rPr>
                <w:b/>
                <w:spacing w:val="-12"/>
                <w:sz w:val="20"/>
              </w:rPr>
              <w:t> </w:t>
            </w:r>
            <w:r>
              <w:rPr>
                <w:b/>
                <w:spacing w:val="-2"/>
                <w:sz w:val="20"/>
              </w:rPr>
              <w:t>Studies</w:t>
            </w:r>
          </w:p>
        </w:tc>
        <w:tc>
          <w:tcPr>
            <w:tcW w:w="849" w:type="dxa"/>
          </w:tcPr>
          <w:p>
            <w:pPr>
              <w:pStyle w:val="TableParagraph"/>
              <w:spacing w:before="117"/>
              <w:ind w:left="91" w:right="86"/>
              <w:jc w:val="center"/>
              <w:rPr>
                <w:sz w:val="20"/>
              </w:rPr>
            </w:pPr>
            <w:r>
              <w:rPr>
                <w:spacing w:val="-5"/>
                <w:sz w:val="20"/>
              </w:rPr>
              <w:t>45</w:t>
            </w:r>
          </w:p>
        </w:tc>
        <w:tc>
          <w:tcPr>
            <w:tcW w:w="3799" w:type="dxa"/>
          </w:tcPr>
          <w:p>
            <w:pPr>
              <w:pStyle w:val="TableParagraph"/>
              <w:spacing w:before="117"/>
              <w:ind w:left="108"/>
              <w:rPr>
                <w:sz w:val="20"/>
              </w:rPr>
            </w:pPr>
            <w:r>
              <w:rPr>
                <w:sz w:val="20"/>
              </w:rPr>
              <w:t>Total</w:t>
            </w:r>
            <w:r>
              <w:rPr>
                <w:spacing w:val="-10"/>
                <w:sz w:val="20"/>
              </w:rPr>
              <w:t> </w:t>
            </w:r>
            <w:r>
              <w:rPr>
                <w:sz w:val="20"/>
              </w:rPr>
              <w:t>Professional</w:t>
            </w:r>
            <w:r>
              <w:rPr>
                <w:spacing w:val="-8"/>
                <w:sz w:val="20"/>
              </w:rPr>
              <w:t> </w:t>
            </w:r>
            <w:r>
              <w:rPr>
                <w:sz w:val="20"/>
              </w:rPr>
              <w:t>Studies</w:t>
            </w:r>
            <w:r>
              <w:rPr>
                <w:spacing w:val="-9"/>
                <w:sz w:val="20"/>
              </w:rPr>
              <w:t> </w:t>
            </w:r>
            <w:r>
              <w:rPr>
                <w:spacing w:val="-2"/>
                <w:sz w:val="20"/>
              </w:rPr>
              <w:t>Credits</w:t>
            </w:r>
          </w:p>
        </w:tc>
        <w:tc>
          <w:tcPr>
            <w:tcW w:w="852" w:type="dxa"/>
          </w:tcPr>
          <w:p>
            <w:pPr>
              <w:pStyle w:val="TableParagraph"/>
              <w:spacing w:before="117"/>
              <w:ind w:left="92" w:right="88"/>
              <w:jc w:val="center"/>
              <w:rPr>
                <w:sz w:val="20"/>
              </w:rPr>
            </w:pPr>
            <w:r>
              <w:rPr>
                <w:spacing w:val="-5"/>
                <w:sz w:val="20"/>
              </w:rPr>
              <w:t>123</w:t>
            </w:r>
          </w:p>
        </w:tc>
      </w:tr>
      <w:tr>
        <w:trPr>
          <w:trHeight w:val="470" w:hRule="atLeast"/>
        </w:trPr>
        <w:tc>
          <w:tcPr>
            <w:tcW w:w="8706" w:type="dxa"/>
            <w:gridSpan w:val="3"/>
          </w:tcPr>
          <w:p>
            <w:pPr>
              <w:pStyle w:val="TableParagraph"/>
              <w:spacing w:before="114"/>
              <w:ind w:left="107"/>
              <w:rPr>
                <w:b/>
                <w:sz w:val="20"/>
              </w:rPr>
            </w:pPr>
            <w:r>
              <w:rPr>
                <w:b/>
                <w:sz w:val="20"/>
              </w:rPr>
              <w:t>Total</w:t>
            </w:r>
            <w:r>
              <w:rPr>
                <w:b/>
                <w:spacing w:val="-8"/>
                <w:sz w:val="20"/>
              </w:rPr>
              <w:t> </w:t>
            </w:r>
            <w:r>
              <w:rPr>
                <w:b/>
                <w:sz w:val="20"/>
              </w:rPr>
              <w:t>Number</w:t>
            </w:r>
            <w:r>
              <w:rPr>
                <w:b/>
                <w:spacing w:val="-8"/>
                <w:sz w:val="20"/>
              </w:rPr>
              <w:t> </w:t>
            </w:r>
            <w:r>
              <w:rPr>
                <w:b/>
                <w:sz w:val="20"/>
              </w:rPr>
              <w:t>of</w:t>
            </w:r>
            <w:r>
              <w:rPr>
                <w:b/>
                <w:spacing w:val="-6"/>
                <w:sz w:val="20"/>
              </w:rPr>
              <w:t> </w:t>
            </w:r>
            <w:r>
              <w:rPr>
                <w:b/>
                <w:sz w:val="20"/>
              </w:rPr>
              <w:t>Credits</w:t>
            </w:r>
            <w:r>
              <w:rPr>
                <w:b/>
                <w:spacing w:val="-6"/>
                <w:sz w:val="20"/>
              </w:rPr>
              <w:t> </w:t>
            </w:r>
            <w:r>
              <w:rPr>
                <w:b/>
                <w:sz w:val="20"/>
              </w:rPr>
              <w:t>Required</w:t>
            </w:r>
            <w:r>
              <w:rPr>
                <w:b/>
                <w:spacing w:val="-6"/>
                <w:sz w:val="20"/>
              </w:rPr>
              <w:t> </w:t>
            </w:r>
            <w:r>
              <w:rPr>
                <w:b/>
                <w:sz w:val="20"/>
              </w:rPr>
              <w:t>for</w:t>
            </w:r>
            <w:r>
              <w:rPr>
                <w:b/>
                <w:spacing w:val="-6"/>
                <w:sz w:val="20"/>
              </w:rPr>
              <w:t> </w:t>
            </w:r>
            <w:r>
              <w:rPr>
                <w:b/>
                <w:spacing w:val="-2"/>
                <w:sz w:val="20"/>
              </w:rPr>
              <w:t>Degree</w:t>
            </w:r>
          </w:p>
        </w:tc>
        <w:tc>
          <w:tcPr>
            <w:tcW w:w="852" w:type="dxa"/>
          </w:tcPr>
          <w:p>
            <w:pPr>
              <w:pStyle w:val="TableParagraph"/>
              <w:spacing w:before="114"/>
              <w:ind w:left="92" w:right="88"/>
              <w:jc w:val="center"/>
              <w:rPr>
                <w:b/>
                <w:sz w:val="20"/>
              </w:rPr>
            </w:pPr>
            <w:r>
              <w:rPr>
                <w:b/>
                <w:spacing w:val="-5"/>
                <w:sz w:val="20"/>
              </w:rPr>
              <w:t>168</w:t>
            </w:r>
          </w:p>
        </w:tc>
      </w:tr>
    </w:tbl>
    <w:p>
      <w:pPr>
        <w:pStyle w:val="BodyText"/>
        <w:spacing w:before="6"/>
        <w:rPr>
          <w:sz w:val="14"/>
        </w:rPr>
      </w:pPr>
    </w:p>
    <w:p>
      <w:pPr>
        <w:pStyle w:val="BodyText"/>
        <w:spacing w:before="93"/>
        <w:ind w:left="1663" w:right="642"/>
      </w:pPr>
      <w:r>
        <w:rPr/>
        <w:t>The emboldened course, ARC 305, is the one course that has an off-campus requirement. Students travel for a period of 2-3 weeks to an area abroad. Our students have traveled to countries in South America, Africa, Europe and the Caribbean. The cost of the travel is supported</w:t>
      </w:r>
      <w:r>
        <w:rPr>
          <w:spacing w:val="-4"/>
        </w:rPr>
        <w:t> </w:t>
      </w:r>
      <w:r>
        <w:rPr/>
        <w:t>by</w:t>
      </w:r>
      <w:r>
        <w:rPr>
          <w:spacing w:val="-7"/>
        </w:rPr>
        <w:t> </w:t>
      </w:r>
      <w:r>
        <w:rPr/>
        <w:t>grants</w:t>
      </w:r>
      <w:r>
        <w:rPr>
          <w:spacing w:val="-3"/>
        </w:rPr>
        <w:t> </w:t>
      </w:r>
      <w:r>
        <w:rPr/>
        <w:t>from the</w:t>
      </w:r>
      <w:r>
        <w:rPr>
          <w:spacing w:val="-4"/>
        </w:rPr>
        <w:t> </w:t>
      </w:r>
      <w:r>
        <w:rPr/>
        <w:t>Ray</w:t>
      </w:r>
      <w:r>
        <w:rPr>
          <w:spacing w:val="-7"/>
        </w:rPr>
        <w:t> </w:t>
      </w:r>
      <w:r>
        <w:rPr/>
        <w:t>and</w:t>
      </w:r>
      <w:r>
        <w:rPr>
          <w:spacing w:val="-4"/>
        </w:rPr>
        <w:t> </w:t>
      </w:r>
      <w:r>
        <w:rPr/>
        <w:t>Marilyn</w:t>
      </w:r>
      <w:r>
        <w:rPr>
          <w:spacing w:val="-2"/>
        </w:rPr>
        <w:t> </w:t>
      </w:r>
      <w:r>
        <w:rPr/>
        <w:t>Gindroz</w:t>
      </w:r>
      <w:r>
        <w:rPr>
          <w:spacing w:val="-3"/>
        </w:rPr>
        <w:t> </w:t>
      </w:r>
      <w:r>
        <w:rPr/>
        <w:t>Foundation,</w:t>
      </w:r>
      <w:r>
        <w:rPr>
          <w:spacing w:val="-4"/>
        </w:rPr>
        <w:t> </w:t>
      </w:r>
      <w:r>
        <w:rPr/>
        <w:t>the</w:t>
      </w:r>
      <w:r>
        <w:rPr>
          <w:spacing w:val="-2"/>
        </w:rPr>
        <w:t> </w:t>
      </w:r>
      <w:r>
        <w:rPr/>
        <w:t>Sol</w:t>
      </w:r>
      <w:r>
        <w:rPr>
          <w:spacing w:val="-5"/>
        </w:rPr>
        <w:t> </w:t>
      </w:r>
      <w:r>
        <w:rPr/>
        <w:t>Cohen</w:t>
      </w:r>
      <w:r>
        <w:rPr>
          <w:spacing w:val="-2"/>
        </w:rPr>
        <w:t> </w:t>
      </w:r>
      <w:r>
        <w:rPr/>
        <w:t>endowed scholarship and the Virginia Center for Architecture. In addition to their tuition, students must also supplement the cost of the trip. We endeavor to keep the cost for students under</w:t>
      </w:r>
    </w:p>
    <w:p>
      <w:pPr>
        <w:pStyle w:val="BodyText"/>
        <w:spacing w:before="1"/>
        <w:ind w:left="1663" w:right="642"/>
      </w:pPr>
      <w:r>
        <w:rPr/>
        <w:t>$2,500. The University has recently approved a professional fee that will be paid each semester</w:t>
      </w:r>
      <w:r>
        <w:rPr>
          <w:spacing w:val="-3"/>
        </w:rPr>
        <w:t> </w:t>
      </w:r>
      <w:r>
        <w:rPr/>
        <w:t>by</w:t>
      </w:r>
      <w:r>
        <w:rPr>
          <w:spacing w:val="-7"/>
        </w:rPr>
        <w:t> </w:t>
      </w:r>
      <w:r>
        <w:rPr/>
        <w:t>students,</w:t>
      </w:r>
      <w:r>
        <w:rPr>
          <w:spacing w:val="-2"/>
        </w:rPr>
        <w:t> </w:t>
      </w:r>
      <w:r>
        <w:rPr/>
        <w:t>and will</w:t>
      </w:r>
      <w:r>
        <w:rPr>
          <w:spacing w:val="-5"/>
        </w:rPr>
        <w:t> </w:t>
      </w:r>
      <w:r>
        <w:rPr/>
        <w:t>cover</w:t>
      </w:r>
      <w:r>
        <w:rPr>
          <w:spacing w:val="-3"/>
        </w:rPr>
        <w:t> </w:t>
      </w:r>
      <w:r>
        <w:rPr/>
        <w:t>the</w:t>
      </w:r>
      <w:r>
        <w:rPr>
          <w:spacing w:val="-4"/>
        </w:rPr>
        <w:t> </w:t>
      </w:r>
      <w:r>
        <w:rPr/>
        <w:t>student</w:t>
      </w:r>
      <w:r>
        <w:rPr>
          <w:spacing w:val="-4"/>
        </w:rPr>
        <w:t> </w:t>
      </w:r>
      <w:r>
        <w:rPr/>
        <w:t>contribution</w:t>
      </w:r>
      <w:r>
        <w:rPr>
          <w:spacing w:val="-4"/>
        </w:rPr>
        <w:t> </w:t>
      </w:r>
      <w:r>
        <w:rPr/>
        <w:t>to</w:t>
      </w:r>
      <w:r>
        <w:rPr>
          <w:spacing w:val="-4"/>
        </w:rPr>
        <w:t> </w:t>
      </w:r>
      <w:r>
        <w:rPr/>
        <w:t>the</w:t>
      </w:r>
      <w:r>
        <w:rPr>
          <w:spacing w:val="-4"/>
        </w:rPr>
        <w:t> </w:t>
      </w:r>
      <w:r>
        <w:rPr/>
        <w:t>travel</w:t>
      </w:r>
      <w:r>
        <w:rPr>
          <w:spacing w:val="-5"/>
        </w:rPr>
        <w:t> </w:t>
      </w:r>
      <w:r>
        <w:rPr/>
        <w:t>requirements.</w:t>
      </w:r>
    </w:p>
    <w:p>
      <w:pPr>
        <w:spacing w:after="0"/>
        <w:sectPr>
          <w:headerReference w:type="default" r:id="rId125"/>
          <w:footerReference w:type="default" r:id="rId126"/>
          <w:pgSz w:w="12240" w:h="15840"/>
          <w:pgMar w:header="0" w:footer="974" w:top="1420" w:bottom="1160" w:left="1000" w:right="820"/>
        </w:sectPr>
      </w:pPr>
    </w:p>
    <w:p>
      <w:pPr>
        <w:pStyle w:val="BodyText"/>
        <w:spacing w:before="77"/>
        <w:ind w:left="1663"/>
      </w:pPr>
      <w:r>
        <w:rPr/>
        <w:pict>
          <v:shape style="position:absolute;margin-left:38.049999pt;margin-top:658.752991pt;width:27.95pt;height:58.45pt;mso-position-horizontal-relative:page;mso-position-vertical-relative:page;z-index:15737344" type="#_x0000_t202" id="docshape195" filled="false" stroked="true" strokeweight=".75pt" strokecolor="#000000">
            <v:textbox inset="0,0,0,0" style="layout-flow:vertical;mso-layout-flow-alt:bottom-to-top">
              <w:txbxContent>
                <w:p>
                  <w:pPr>
                    <w:spacing w:before="146"/>
                    <w:ind w:left="258" w:right="0" w:firstLine="0"/>
                    <w:jc w:val="left"/>
                    <w:rPr>
                      <w:b/>
                      <w:sz w:val="22"/>
                    </w:rPr>
                  </w:pPr>
                  <w:r>
                    <w:rPr>
                      <w:b/>
                      <w:w w:val="75"/>
                      <w:sz w:val="22"/>
                    </w:rPr>
                    <w:t>YEAR</w:t>
                  </w:r>
                  <w:r>
                    <w:rPr>
                      <w:b/>
                      <w:spacing w:val="7"/>
                      <w:sz w:val="22"/>
                    </w:rPr>
                    <w:t> </w:t>
                  </w:r>
                  <w:r>
                    <w:rPr>
                      <w:b/>
                      <w:spacing w:val="-12"/>
                      <w:w w:val="95"/>
                      <w:sz w:val="22"/>
                    </w:rPr>
                    <w:t>5</w:t>
                  </w:r>
                </w:p>
              </w:txbxContent>
            </v:textbox>
            <v:stroke dashstyle="solid"/>
            <w10:wrap type="none"/>
          </v:shape>
        </w:pict>
      </w:r>
      <w:r>
        <w:rPr/>
        <w:pict>
          <v:shape style="position:absolute;margin-left:38.049999pt;margin-top:594.257996pt;width:27.95pt;height:50.95pt;mso-position-horizontal-relative:page;mso-position-vertical-relative:page;z-index:-27039232" type="#_x0000_t202" id="docshape196" filled="false" stroked="true" strokeweight=".75pt" strokecolor="#000000">
            <v:textbox inset="0,0,0,0" style="layout-flow:vertical;mso-layout-flow-alt:bottom-to-top">
              <w:txbxContent>
                <w:p>
                  <w:pPr>
                    <w:spacing w:before="146"/>
                    <w:ind w:left="97" w:right="0" w:firstLine="0"/>
                    <w:jc w:val="left"/>
                    <w:rPr>
                      <w:b/>
                      <w:sz w:val="22"/>
                    </w:rPr>
                  </w:pPr>
                  <w:r>
                    <w:rPr>
                      <w:b/>
                      <w:w w:val="75"/>
                      <w:sz w:val="22"/>
                    </w:rPr>
                    <w:t>YEAR</w:t>
                  </w:r>
                  <w:r>
                    <w:rPr>
                      <w:b/>
                      <w:spacing w:val="7"/>
                      <w:sz w:val="22"/>
                    </w:rPr>
                    <w:t> </w:t>
                  </w:r>
                  <w:r>
                    <w:rPr>
                      <w:b/>
                      <w:spacing w:val="-5"/>
                      <w:w w:val="95"/>
                      <w:sz w:val="22"/>
                    </w:rPr>
                    <w:t>4.5</w:t>
                  </w:r>
                </w:p>
              </w:txbxContent>
            </v:textbox>
            <v:stroke dashstyle="solid"/>
            <w10:wrap type="none"/>
          </v:shape>
        </w:pict>
      </w:r>
      <w:r>
        <w:rPr/>
        <w:pict>
          <v:shape style="position:absolute;margin-left:38.049999pt;margin-top:512.065002pt;width:27.95pt;height:76.1pt;mso-position-horizontal-relative:page;mso-position-vertical-relative:page;z-index:15738368" type="#_x0000_t202" id="docshape197" filled="false" stroked="true" strokeweight=".75pt" strokecolor="#000000">
            <v:textbox inset="0,0,0,0" style="layout-flow:vertical;mso-layout-flow-alt:bottom-to-top">
              <w:txbxContent>
                <w:p>
                  <w:pPr>
                    <w:spacing w:before="146"/>
                    <w:ind w:left="432" w:right="0" w:firstLine="0"/>
                    <w:jc w:val="left"/>
                    <w:rPr>
                      <w:b/>
                      <w:sz w:val="22"/>
                    </w:rPr>
                  </w:pPr>
                  <w:r>
                    <w:rPr>
                      <w:b/>
                      <w:w w:val="75"/>
                      <w:sz w:val="22"/>
                    </w:rPr>
                    <w:t>YEAR</w:t>
                  </w:r>
                  <w:r>
                    <w:rPr>
                      <w:b/>
                      <w:spacing w:val="7"/>
                      <w:sz w:val="22"/>
                    </w:rPr>
                    <w:t> </w:t>
                  </w:r>
                  <w:r>
                    <w:rPr>
                      <w:b/>
                      <w:spacing w:val="-12"/>
                      <w:w w:val="95"/>
                      <w:sz w:val="22"/>
                    </w:rPr>
                    <w:t>4</w:t>
                  </w:r>
                </w:p>
              </w:txbxContent>
            </v:textbox>
            <v:stroke dashstyle="solid"/>
            <w10:wrap type="none"/>
          </v:shape>
        </w:pict>
      </w:r>
      <w:r>
        <w:rPr/>
        <w:pict>
          <v:shape style="position:absolute;margin-left:38.049999pt;margin-top:442.270996pt;width:27.95pt;height:58.2pt;mso-position-horizontal-relative:page;mso-position-vertical-relative:page;z-index:-27038208" type="#_x0000_t202" id="docshape198" filled="false" stroked="true" strokeweight=".75pt" strokecolor="#000000">
            <v:textbox inset="0,0,0,0" style="layout-flow:vertical;mso-layout-flow-alt:bottom-to-top">
              <w:txbxContent>
                <w:p>
                  <w:pPr>
                    <w:spacing w:before="146"/>
                    <w:ind w:left="169" w:right="0" w:firstLine="0"/>
                    <w:jc w:val="left"/>
                    <w:rPr>
                      <w:b/>
                      <w:sz w:val="22"/>
                    </w:rPr>
                  </w:pPr>
                  <w:r>
                    <w:rPr>
                      <w:b/>
                      <w:w w:val="75"/>
                      <w:sz w:val="22"/>
                    </w:rPr>
                    <w:t>YEAR</w:t>
                  </w:r>
                  <w:r>
                    <w:rPr>
                      <w:b/>
                      <w:spacing w:val="7"/>
                      <w:sz w:val="22"/>
                    </w:rPr>
                    <w:t> </w:t>
                  </w:r>
                  <w:r>
                    <w:rPr>
                      <w:b/>
                      <w:spacing w:val="-5"/>
                      <w:w w:val="95"/>
                      <w:sz w:val="22"/>
                    </w:rPr>
                    <w:t>3.5</w:t>
                  </w:r>
                </w:p>
              </w:txbxContent>
            </v:textbox>
            <v:stroke dashstyle="solid"/>
            <w10:wrap type="none"/>
          </v:shape>
        </w:pict>
      </w:r>
      <w:r>
        <w:rPr/>
        <w:pict>
          <v:shape style="position:absolute;margin-left:38.049999pt;margin-top:338.178986pt;width:27.95pt;height:86pt;mso-position-horizontal-relative:page;mso-position-vertical-relative:page;z-index:-27037696" type="#_x0000_t202" id="docshape199" filled="false" stroked="true" strokeweight=".75pt" strokecolor="#000000">
            <v:textbox inset="0,0,0,0" style="layout-flow:vertical;mso-layout-flow-alt:bottom-to-top">
              <w:txbxContent>
                <w:p>
                  <w:pPr>
                    <w:spacing w:before="146"/>
                    <w:ind w:left="532" w:right="0" w:firstLine="0"/>
                    <w:jc w:val="left"/>
                    <w:rPr>
                      <w:b/>
                      <w:sz w:val="22"/>
                    </w:rPr>
                  </w:pPr>
                  <w:r>
                    <w:rPr>
                      <w:b/>
                      <w:w w:val="75"/>
                      <w:sz w:val="22"/>
                    </w:rPr>
                    <w:t>YEAR</w:t>
                  </w:r>
                  <w:r>
                    <w:rPr>
                      <w:b/>
                      <w:spacing w:val="7"/>
                      <w:sz w:val="22"/>
                    </w:rPr>
                    <w:t> </w:t>
                  </w:r>
                  <w:r>
                    <w:rPr>
                      <w:b/>
                      <w:spacing w:val="-12"/>
                      <w:w w:val="95"/>
                      <w:sz w:val="22"/>
                    </w:rPr>
                    <w:t>3</w:t>
                  </w:r>
                </w:p>
              </w:txbxContent>
            </v:textbox>
            <v:stroke dashstyle="solid"/>
            <w10:wrap type="none"/>
          </v:shape>
        </w:pict>
      </w:r>
      <w:r>
        <w:rPr/>
        <w:pict>
          <v:shape style="position:absolute;margin-left:38.049999pt;margin-top:233.488007pt;width:27.95pt;height:86pt;mso-position-horizontal-relative:page;mso-position-vertical-relative:page;z-index:-27037184" type="#_x0000_t202" id="docshape200" filled="false" stroked="true" strokeweight=".75pt" strokecolor="#000000">
            <v:textbox inset="0,0,0,0" style="layout-flow:vertical;mso-layout-flow-alt:bottom-to-top">
              <w:txbxContent>
                <w:p>
                  <w:pPr>
                    <w:spacing w:before="146"/>
                    <w:ind w:left="533" w:right="0" w:firstLine="0"/>
                    <w:jc w:val="left"/>
                    <w:rPr>
                      <w:b/>
                      <w:sz w:val="22"/>
                    </w:rPr>
                  </w:pPr>
                  <w:r>
                    <w:rPr>
                      <w:b/>
                      <w:w w:val="75"/>
                      <w:sz w:val="22"/>
                    </w:rPr>
                    <w:t>YEAR</w:t>
                  </w:r>
                  <w:r>
                    <w:rPr>
                      <w:b/>
                      <w:spacing w:val="7"/>
                      <w:sz w:val="22"/>
                    </w:rPr>
                    <w:t> </w:t>
                  </w:r>
                  <w:r>
                    <w:rPr>
                      <w:b/>
                      <w:spacing w:val="-12"/>
                      <w:w w:val="95"/>
                      <w:sz w:val="22"/>
                    </w:rPr>
                    <w:t>2</w:t>
                  </w:r>
                </w:p>
              </w:txbxContent>
            </v:textbox>
            <v:stroke dashstyle="solid"/>
            <w10:wrap type="none"/>
          </v:shape>
        </w:pict>
      </w:r>
      <w:r>
        <w:rPr/>
        <w:pict>
          <v:shape style="position:absolute;margin-left:38.049999pt;margin-top:119.547997pt;width:27.95pt;height:97.8pt;mso-position-horizontal-relative:page;mso-position-vertical-relative:page;z-index:-27036672" type="#_x0000_t202" id="docshape201" filled="false" stroked="true" strokeweight=".75pt" strokecolor="#000000">
            <v:textbox inset="0,0,0,0" style="layout-flow:vertical;mso-layout-flow-alt:bottom-to-top">
              <w:txbxContent>
                <w:p>
                  <w:pPr>
                    <w:spacing w:before="146"/>
                    <w:ind w:left="636" w:right="634" w:firstLine="0"/>
                    <w:jc w:val="center"/>
                    <w:rPr>
                      <w:b/>
                      <w:sz w:val="22"/>
                    </w:rPr>
                  </w:pPr>
                  <w:r>
                    <w:rPr>
                      <w:b/>
                      <w:w w:val="75"/>
                      <w:sz w:val="22"/>
                    </w:rPr>
                    <w:t>YEAR</w:t>
                  </w:r>
                  <w:r>
                    <w:rPr>
                      <w:b/>
                      <w:spacing w:val="7"/>
                      <w:sz w:val="22"/>
                    </w:rPr>
                    <w:t> </w:t>
                  </w:r>
                  <w:r>
                    <w:rPr>
                      <w:b/>
                      <w:spacing w:val="-12"/>
                      <w:w w:val="95"/>
                      <w:sz w:val="22"/>
                    </w:rPr>
                    <w:t>1</w:t>
                  </w:r>
                </w:p>
              </w:txbxContent>
            </v:textbox>
            <v:stroke dashstyle="solid"/>
            <w10:wrap type="none"/>
          </v:shape>
        </w:pict>
      </w:r>
      <w:r>
        <w:rPr/>
        <w:t>The</w:t>
      </w:r>
      <w:r>
        <w:rPr>
          <w:spacing w:val="-6"/>
        </w:rPr>
        <w:t> </w:t>
      </w:r>
      <w:r>
        <w:rPr/>
        <w:t>following</w:t>
      </w:r>
      <w:r>
        <w:rPr>
          <w:spacing w:val="-4"/>
        </w:rPr>
        <w:t> </w:t>
      </w:r>
      <w:r>
        <w:rPr/>
        <w:t>is</w:t>
      </w:r>
      <w:r>
        <w:rPr>
          <w:spacing w:val="-5"/>
        </w:rPr>
        <w:t> </w:t>
      </w:r>
      <w:r>
        <w:rPr/>
        <w:t>the</w:t>
      </w:r>
      <w:r>
        <w:rPr>
          <w:spacing w:val="-4"/>
        </w:rPr>
        <w:t> </w:t>
      </w:r>
      <w:r>
        <w:rPr/>
        <w:t>recommended</w:t>
      </w:r>
      <w:r>
        <w:rPr>
          <w:spacing w:val="-5"/>
        </w:rPr>
        <w:t> </w:t>
      </w:r>
      <w:r>
        <w:rPr/>
        <w:t>track</w:t>
      </w:r>
      <w:r>
        <w:rPr>
          <w:spacing w:val="-2"/>
        </w:rPr>
        <w:t> </w:t>
      </w:r>
      <w:r>
        <w:rPr/>
        <w:t>of</w:t>
      </w:r>
      <w:r>
        <w:rPr>
          <w:spacing w:val="-6"/>
        </w:rPr>
        <w:t> </w:t>
      </w:r>
      <w:r>
        <w:rPr/>
        <w:t>study</w:t>
      </w:r>
      <w:r>
        <w:rPr>
          <w:spacing w:val="-9"/>
        </w:rPr>
        <w:t> </w:t>
      </w:r>
      <w:r>
        <w:rPr/>
        <w:t>for</w:t>
      </w:r>
      <w:r>
        <w:rPr>
          <w:spacing w:val="-4"/>
        </w:rPr>
        <w:t> </w:t>
      </w:r>
      <w:r>
        <w:rPr/>
        <w:t>all</w:t>
      </w:r>
      <w:r>
        <w:rPr>
          <w:spacing w:val="-7"/>
        </w:rPr>
        <w:t> </w:t>
      </w:r>
      <w:r>
        <w:rPr/>
        <w:t>students</w:t>
      </w:r>
      <w:r>
        <w:rPr>
          <w:spacing w:val="-5"/>
        </w:rPr>
        <w:t> </w:t>
      </w:r>
      <w:r>
        <w:rPr/>
        <w:t>in</w:t>
      </w:r>
      <w:r>
        <w:rPr>
          <w:spacing w:val="-4"/>
        </w:rPr>
        <w:t> </w:t>
      </w:r>
      <w:r>
        <w:rPr/>
        <w:t>the</w:t>
      </w:r>
      <w:r>
        <w:rPr>
          <w:spacing w:val="-3"/>
        </w:rPr>
        <w:t> </w:t>
      </w:r>
      <w:r>
        <w:rPr/>
        <w:t>M.Arch</w:t>
      </w:r>
      <w:r>
        <w:rPr>
          <w:spacing w:val="-6"/>
        </w:rPr>
        <w:t> </w:t>
      </w:r>
      <w:r>
        <w:rPr>
          <w:spacing w:val="-2"/>
        </w:rPr>
        <w:t>curriculum.</w:t>
      </w:r>
    </w:p>
    <w:p>
      <w:pPr>
        <w:pStyle w:val="BodyText"/>
        <w:spacing w:before="8"/>
      </w:pPr>
    </w:p>
    <w:p>
      <w:pPr>
        <w:tabs>
          <w:tab w:pos="5479" w:val="left" w:leader="none"/>
        </w:tabs>
        <w:spacing w:before="0"/>
        <w:ind w:left="440" w:right="0" w:firstLine="0"/>
        <w:jc w:val="left"/>
        <w:rPr>
          <w:b/>
          <w:sz w:val="20"/>
        </w:rPr>
      </w:pPr>
      <w:r>
        <w:rPr/>
        <w:pict>
          <v:rect style="position:absolute;margin-left:72pt;margin-top:10.459868pt;width:324pt;height:1.08pt;mso-position-horizontal-relative:page;mso-position-vertical-relative:paragraph;z-index:15736832" id="docshape202" filled="true" fillcolor="#000000" stroked="false">
            <v:fill type="solid"/>
            <w10:wrap type="none"/>
          </v:rect>
        </w:pict>
      </w:r>
      <w:r>
        <w:rPr>
          <w:b/>
          <w:sz w:val="20"/>
        </w:rPr>
        <w:t>revised</w:t>
      </w:r>
      <w:r>
        <w:rPr>
          <w:b/>
          <w:spacing w:val="-12"/>
          <w:sz w:val="20"/>
        </w:rPr>
        <w:t> </w:t>
      </w:r>
      <w:r>
        <w:rPr>
          <w:b/>
          <w:spacing w:val="-2"/>
          <w:sz w:val="20"/>
        </w:rPr>
        <w:t>curriculum</w:t>
      </w:r>
      <w:r>
        <w:rPr>
          <w:b/>
          <w:sz w:val="20"/>
        </w:rPr>
        <w:tab/>
        <w:t>14</w:t>
      </w:r>
      <w:r>
        <w:rPr>
          <w:b/>
          <w:spacing w:val="-4"/>
          <w:sz w:val="20"/>
        </w:rPr>
        <w:t> </w:t>
      </w:r>
      <w:r>
        <w:rPr>
          <w:b/>
          <w:sz w:val="20"/>
        </w:rPr>
        <w:t>May</w:t>
      </w:r>
      <w:r>
        <w:rPr>
          <w:b/>
          <w:spacing w:val="-6"/>
          <w:sz w:val="20"/>
        </w:rPr>
        <w:t> </w:t>
      </w:r>
      <w:r>
        <w:rPr>
          <w:b/>
          <w:spacing w:val="-4"/>
          <w:sz w:val="20"/>
        </w:rPr>
        <w:t>2014</w:t>
      </w:r>
    </w:p>
    <w:p>
      <w:pPr>
        <w:pStyle w:val="BodyText"/>
        <w:spacing w:before="9"/>
        <w:rPr>
          <w:b/>
          <w:sz w:val="12"/>
        </w:rPr>
      </w:pPr>
    </w:p>
    <w:p>
      <w:pPr>
        <w:tabs>
          <w:tab w:pos="3319" w:val="left" w:leader="none"/>
          <w:tab w:pos="5839" w:val="left" w:leader="none"/>
        </w:tabs>
        <w:spacing w:before="93"/>
        <w:ind w:left="440" w:right="0" w:firstLine="0"/>
        <w:jc w:val="left"/>
        <w:rPr>
          <w:b/>
          <w:sz w:val="20"/>
        </w:rPr>
      </w:pPr>
      <w:r>
        <w:rPr/>
        <w:pict>
          <v:shape style="position:absolute;margin-left:72pt;margin-top:14.033386pt;width:450pt;height:84.95pt;mso-position-horizontal-relative:page;mso-position-vertical-relative:paragraph;z-index:15740928" type="#_x0000_t202" id="docshape203"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49"/>
                    <w:gridCol w:w="2533"/>
                    <w:gridCol w:w="835"/>
                    <w:gridCol w:w="653"/>
                    <w:gridCol w:w="1092"/>
                    <w:gridCol w:w="2489"/>
                    <w:gridCol w:w="451"/>
                  </w:tblGrid>
                  <w:tr>
                    <w:trPr>
                      <w:trHeight w:val="276" w:hRule="atLeast"/>
                    </w:trPr>
                    <w:tc>
                      <w:tcPr>
                        <w:tcW w:w="949" w:type="dxa"/>
                      </w:tcPr>
                      <w:p>
                        <w:pPr>
                          <w:pStyle w:val="TableParagraph"/>
                          <w:spacing w:line="214" w:lineRule="exact" w:before="42"/>
                          <w:rPr>
                            <w:sz w:val="20"/>
                          </w:rPr>
                        </w:pPr>
                        <w:r>
                          <w:rPr>
                            <w:sz w:val="20"/>
                          </w:rPr>
                          <w:t>ARC</w:t>
                        </w:r>
                        <w:r>
                          <w:rPr>
                            <w:spacing w:val="-7"/>
                            <w:sz w:val="20"/>
                          </w:rPr>
                          <w:t> </w:t>
                        </w:r>
                        <w:r>
                          <w:rPr>
                            <w:spacing w:val="-5"/>
                            <w:sz w:val="20"/>
                          </w:rPr>
                          <w:t>101</w:t>
                        </w:r>
                      </w:p>
                    </w:tc>
                    <w:tc>
                      <w:tcPr>
                        <w:tcW w:w="2533" w:type="dxa"/>
                      </w:tcPr>
                      <w:p>
                        <w:pPr>
                          <w:pStyle w:val="TableParagraph"/>
                          <w:spacing w:line="214" w:lineRule="exact" w:before="42"/>
                          <w:ind w:left="130"/>
                          <w:rPr>
                            <w:sz w:val="20"/>
                          </w:rPr>
                        </w:pPr>
                        <w:r>
                          <w:rPr>
                            <w:spacing w:val="-2"/>
                            <w:sz w:val="20"/>
                          </w:rPr>
                          <w:t>Studio</w:t>
                        </w:r>
                      </w:p>
                    </w:tc>
                    <w:tc>
                      <w:tcPr>
                        <w:tcW w:w="835" w:type="dxa"/>
                      </w:tcPr>
                      <w:p>
                        <w:pPr>
                          <w:pStyle w:val="TableParagraph"/>
                          <w:spacing w:line="214" w:lineRule="exact" w:before="42"/>
                          <w:ind w:left="117"/>
                          <w:rPr>
                            <w:sz w:val="20"/>
                          </w:rPr>
                        </w:pPr>
                        <w:r>
                          <w:rPr>
                            <w:w w:val="99"/>
                            <w:sz w:val="20"/>
                          </w:rPr>
                          <w:t>5</w:t>
                        </w:r>
                      </w:p>
                    </w:tc>
                    <w:tc>
                      <w:tcPr>
                        <w:tcW w:w="653" w:type="dxa"/>
                      </w:tcPr>
                      <w:p>
                        <w:pPr>
                          <w:pStyle w:val="TableParagraph"/>
                          <w:rPr>
                            <w:rFonts w:ascii="Times New Roman"/>
                            <w:sz w:val="18"/>
                          </w:rPr>
                        </w:pPr>
                      </w:p>
                    </w:tc>
                    <w:tc>
                      <w:tcPr>
                        <w:tcW w:w="1092" w:type="dxa"/>
                      </w:tcPr>
                      <w:p>
                        <w:pPr>
                          <w:pStyle w:val="TableParagraph"/>
                          <w:spacing w:line="214" w:lineRule="exact" w:before="42"/>
                          <w:ind w:left="69"/>
                          <w:rPr>
                            <w:sz w:val="20"/>
                          </w:rPr>
                        </w:pPr>
                        <w:r>
                          <w:rPr>
                            <w:sz w:val="20"/>
                          </w:rPr>
                          <w:t>ARC</w:t>
                        </w:r>
                        <w:r>
                          <w:rPr>
                            <w:spacing w:val="-7"/>
                            <w:sz w:val="20"/>
                          </w:rPr>
                          <w:t> </w:t>
                        </w:r>
                        <w:r>
                          <w:rPr>
                            <w:spacing w:val="-5"/>
                            <w:sz w:val="20"/>
                          </w:rPr>
                          <w:t>102</w:t>
                        </w:r>
                      </w:p>
                    </w:tc>
                    <w:tc>
                      <w:tcPr>
                        <w:tcW w:w="2489" w:type="dxa"/>
                      </w:tcPr>
                      <w:p>
                        <w:pPr>
                          <w:pStyle w:val="TableParagraph"/>
                          <w:spacing w:line="214" w:lineRule="exact" w:before="42"/>
                          <w:ind w:left="57"/>
                          <w:rPr>
                            <w:sz w:val="20"/>
                          </w:rPr>
                        </w:pPr>
                        <w:r>
                          <w:rPr>
                            <w:spacing w:val="-2"/>
                            <w:sz w:val="20"/>
                          </w:rPr>
                          <w:t>Studio</w:t>
                        </w:r>
                      </w:p>
                    </w:tc>
                    <w:tc>
                      <w:tcPr>
                        <w:tcW w:w="451" w:type="dxa"/>
                      </w:tcPr>
                      <w:p>
                        <w:pPr>
                          <w:pStyle w:val="TableParagraph"/>
                          <w:spacing w:line="214" w:lineRule="exact" w:before="42"/>
                          <w:ind w:left="88"/>
                          <w:rPr>
                            <w:sz w:val="20"/>
                          </w:rPr>
                        </w:pPr>
                        <w:r>
                          <w:rPr>
                            <w:w w:val="99"/>
                            <w:sz w:val="20"/>
                          </w:rPr>
                          <w:t>5</w:t>
                        </w:r>
                      </w:p>
                    </w:tc>
                  </w:tr>
                  <w:tr>
                    <w:trPr>
                      <w:trHeight w:val="230" w:hRule="atLeast"/>
                    </w:trPr>
                    <w:tc>
                      <w:tcPr>
                        <w:tcW w:w="949" w:type="dxa"/>
                      </w:tcPr>
                      <w:p>
                        <w:pPr>
                          <w:pStyle w:val="TableParagraph"/>
                          <w:spacing w:line="210" w:lineRule="exact"/>
                          <w:ind w:left="-1"/>
                          <w:rPr>
                            <w:sz w:val="20"/>
                          </w:rPr>
                        </w:pPr>
                        <w:r>
                          <w:rPr>
                            <w:sz w:val="20"/>
                          </w:rPr>
                          <w:t>ARC</w:t>
                        </w:r>
                        <w:r>
                          <w:rPr>
                            <w:spacing w:val="-7"/>
                            <w:sz w:val="20"/>
                          </w:rPr>
                          <w:t> </w:t>
                        </w:r>
                        <w:r>
                          <w:rPr>
                            <w:spacing w:val="-5"/>
                            <w:sz w:val="20"/>
                          </w:rPr>
                          <w:t>207</w:t>
                        </w:r>
                      </w:p>
                    </w:tc>
                    <w:tc>
                      <w:tcPr>
                        <w:tcW w:w="2533" w:type="dxa"/>
                      </w:tcPr>
                      <w:p>
                        <w:pPr>
                          <w:pStyle w:val="TableParagraph"/>
                          <w:spacing w:line="210" w:lineRule="exact"/>
                          <w:ind w:left="130"/>
                          <w:rPr>
                            <w:sz w:val="20"/>
                          </w:rPr>
                        </w:pPr>
                        <w:r>
                          <w:rPr>
                            <w:sz w:val="20"/>
                          </w:rPr>
                          <w:t>Architectural</w:t>
                        </w:r>
                        <w:r>
                          <w:rPr>
                            <w:spacing w:val="-11"/>
                            <w:sz w:val="20"/>
                          </w:rPr>
                          <w:t> </w:t>
                        </w:r>
                        <w:r>
                          <w:rPr>
                            <w:sz w:val="20"/>
                          </w:rPr>
                          <w:t>History</w:t>
                        </w:r>
                        <w:r>
                          <w:rPr>
                            <w:spacing w:val="-13"/>
                            <w:sz w:val="20"/>
                          </w:rPr>
                          <w:t> </w:t>
                        </w:r>
                        <w:r>
                          <w:rPr>
                            <w:spacing w:val="-10"/>
                            <w:sz w:val="20"/>
                          </w:rPr>
                          <w:t>I</w:t>
                        </w:r>
                      </w:p>
                    </w:tc>
                    <w:tc>
                      <w:tcPr>
                        <w:tcW w:w="835" w:type="dxa"/>
                      </w:tcPr>
                      <w:p>
                        <w:pPr>
                          <w:pStyle w:val="TableParagraph"/>
                          <w:spacing w:line="210" w:lineRule="exact"/>
                          <w:ind w:left="117"/>
                          <w:rPr>
                            <w:sz w:val="20"/>
                          </w:rPr>
                        </w:pPr>
                        <w:r>
                          <w:rPr>
                            <w:w w:val="99"/>
                            <w:sz w:val="20"/>
                          </w:rPr>
                          <w:t>3</w:t>
                        </w:r>
                      </w:p>
                    </w:tc>
                    <w:tc>
                      <w:tcPr>
                        <w:tcW w:w="653" w:type="dxa"/>
                      </w:tcPr>
                      <w:p>
                        <w:pPr>
                          <w:pStyle w:val="TableParagraph"/>
                          <w:rPr>
                            <w:rFonts w:ascii="Times New Roman"/>
                            <w:sz w:val="16"/>
                          </w:rPr>
                        </w:pPr>
                      </w:p>
                    </w:tc>
                    <w:tc>
                      <w:tcPr>
                        <w:tcW w:w="1092" w:type="dxa"/>
                      </w:tcPr>
                      <w:p>
                        <w:pPr>
                          <w:pStyle w:val="TableParagraph"/>
                          <w:spacing w:line="210" w:lineRule="exact"/>
                          <w:ind w:left="124"/>
                          <w:rPr>
                            <w:sz w:val="20"/>
                          </w:rPr>
                        </w:pPr>
                        <w:r>
                          <w:rPr>
                            <w:sz w:val="20"/>
                          </w:rPr>
                          <w:t>ARC</w:t>
                        </w:r>
                        <w:r>
                          <w:rPr>
                            <w:spacing w:val="-4"/>
                            <w:sz w:val="20"/>
                          </w:rPr>
                          <w:t> </w:t>
                        </w:r>
                        <w:r>
                          <w:rPr>
                            <w:spacing w:val="-5"/>
                            <w:sz w:val="20"/>
                          </w:rPr>
                          <w:t>208</w:t>
                        </w:r>
                      </w:p>
                    </w:tc>
                    <w:tc>
                      <w:tcPr>
                        <w:tcW w:w="2489" w:type="dxa"/>
                      </w:tcPr>
                      <w:p>
                        <w:pPr>
                          <w:pStyle w:val="TableParagraph"/>
                          <w:spacing w:line="210" w:lineRule="exact"/>
                          <w:ind w:left="57"/>
                          <w:rPr>
                            <w:sz w:val="20"/>
                          </w:rPr>
                        </w:pPr>
                        <w:r>
                          <w:rPr>
                            <w:sz w:val="20"/>
                          </w:rPr>
                          <w:t>Architectural</w:t>
                        </w:r>
                        <w:r>
                          <w:rPr>
                            <w:spacing w:val="-11"/>
                            <w:sz w:val="20"/>
                          </w:rPr>
                          <w:t> </w:t>
                        </w:r>
                        <w:r>
                          <w:rPr>
                            <w:sz w:val="20"/>
                          </w:rPr>
                          <w:t>History</w:t>
                        </w:r>
                        <w:r>
                          <w:rPr>
                            <w:spacing w:val="-13"/>
                            <w:sz w:val="20"/>
                          </w:rPr>
                          <w:t> </w:t>
                        </w:r>
                        <w:r>
                          <w:rPr>
                            <w:spacing w:val="-5"/>
                            <w:sz w:val="20"/>
                          </w:rPr>
                          <w:t>II</w:t>
                        </w:r>
                      </w:p>
                    </w:tc>
                    <w:tc>
                      <w:tcPr>
                        <w:tcW w:w="451" w:type="dxa"/>
                      </w:tcPr>
                      <w:p>
                        <w:pPr>
                          <w:pStyle w:val="TableParagraph"/>
                          <w:spacing w:line="210" w:lineRule="exact"/>
                          <w:ind w:left="87"/>
                          <w:rPr>
                            <w:sz w:val="20"/>
                          </w:rPr>
                        </w:pPr>
                        <w:r>
                          <w:rPr>
                            <w:w w:val="99"/>
                            <w:sz w:val="20"/>
                          </w:rPr>
                          <w:t>3</w:t>
                        </w:r>
                      </w:p>
                    </w:tc>
                  </w:tr>
                  <w:tr>
                    <w:trPr>
                      <w:trHeight w:val="230" w:hRule="atLeast"/>
                    </w:trPr>
                    <w:tc>
                      <w:tcPr>
                        <w:tcW w:w="949" w:type="dxa"/>
                      </w:tcPr>
                      <w:p>
                        <w:pPr>
                          <w:pStyle w:val="TableParagraph"/>
                          <w:spacing w:line="210" w:lineRule="exact"/>
                          <w:ind w:left="-2"/>
                          <w:rPr>
                            <w:sz w:val="20"/>
                          </w:rPr>
                        </w:pPr>
                        <w:r>
                          <w:rPr>
                            <w:sz w:val="20"/>
                          </w:rPr>
                          <w:t>ENG</w:t>
                        </w:r>
                        <w:r>
                          <w:rPr>
                            <w:spacing w:val="-6"/>
                            <w:sz w:val="20"/>
                          </w:rPr>
                          <w:t> </w:t>
                        </w:r>
                        <w:r>
                          <w:rPr>
                            <w:spacing w:val="-5"/>
                            <w:sz w:val="20"/>
                          </w:rPr>
                          <w:t>101</w:t>
                        </w:r>
                      </w:p>
                    </w:tc>
                    <w:tc>
                      <w:tcPr>
                        <w:tcW w:w="2533" w:type="dxa"/>
                      </w:tcPr>
                      <w:p>
                        <w:pPr>
                          <w:pStyle w:val="TableParagraph"/>
                          <w:spacing w:line="210" w:lineRule="exact"/>
                          <w:ind w:left="129"/>
                          <w:rPr>
                            <w:sz w:val="20"/>
                          </w:rPr>
                        </w:pPr>
                        <w:r>
                          <w:rPr>
                            <w:sz w:val="20"/>
                          </w:rPr>
                          <w:t>Written</w:t>
                        </w:r>
                        <w:r>
                          <w:rPr>
                            <w:spacing w:val="-14"/>
                            <w:sz w:val="20"/>
                          </w:rPr>
                          <w:t> </w:t>
                        </w:r>
                        <w:r>
                          <w:rPr>
                            <w:sz w:val="20"/>
                          </w:rPr>
                          <w:t>Communications</w:t>
                        </w:r>
                        <w:r>
                          <w:rPr>
                            <w:spacing w:val="-14"/>
                            <w:sz w:val="20"/>
                          </w:rPr>
                          <w:t> </w:t>
                        </w:r>
                        <w:r>
                          <w:rPr>
                            <w:spacing w:val="-10"/>
                            <w:sz w:val="20"/>
                          </w:rPr>
                          <w:t>I</w:t>
                        </w:r>
                      </w:p>
                    </w:tc>
                    <w:tc>
                      <w:tcPr>
                        <w:tcW w:w="835" w:type="dxa"/>
                      </w:tcPr>
                      <w:p>
                        <w:pPr>
                          <w:pStyle w:val="TableParagraph"/>
                          <w:spacing w:line="210" w:lineRule="exact"/>
                          <w:ind w:left="116"/>
                          <w:rPr>
                            <w:sz w:val="20"/>
                          </w:rPr>
                        </w:pPr>
                        <w:r>
                          <w:rPr>
                            <w:w w:val="99"/>
                            <w:sz w:val="20"/>
                          </w:rPr>
                          <w:t>3</w:t>
                        </w:r>
                      </w:p>
                    </w:tc>
                    <w:tc>
                      <w:tcPr>
                        <w:tcW w:w="653" w:type="dxa"/>
                      </w:tcPr>
                      <w:p>
                        <w:pPr>
                          <w:pStyle w:val="TableParagraph"/>
                          <w:rPr>
                            <w:rFonts w:ascii="Times New Roman"/>
                            <w:sz w:val="16"/>
                          </w:rPr>
                        </w:pPr>
                      </w:p>
                    </w:tc>
                    <w:tc>
                      <w:tcPr>
                        <w:tcW w:w="1092" w:type="dxa"/>
                      </w:tcPr>
                      <w:p>
                        <w:pPr>
                          <w:pStyle w:val="TableParagraph"/>
                          <w:spacing w:line="210" w:lineRule="exact"/>
                          <w:ind w:left="124"/>
                          <w:rPr>
                            <w:sz w:val="20"/>
                          </w:rPr>
                        </w:pPr>
                        <w:r>
                          <w:rPr>
                            <w:sz w:val="20"/>
                          </w:rPr>
                          <w:t>ENG</w:t>
                        </w:r>
                        <w:r>
                          <w:rPr>
                            <w:spacing w:val="-6"/>
                            <w:sz w:val="20"/>
                          </w:rPr>
                          <w:t> </w:t>
                        </w:r>
                        <w:r>
                          <w:rPr>
                            <w:spacing w:val="-5"/>
                            <w:sz w:val="20"/>
                          </w:rPr>
                          <w:t>102</w:t>
                        </w:r>
                      </w:p>
                    </w:tc>
                    <w:tc>
                      <w:tcPr>
                        <w:tcW w:w="2489" w:type="dxa"/>
                      </w:tcPr>
                      <w:p>
                        <w:pPr>
                          <w:pStyle w:val="TableParagraph"/>
                          <w:spacing w:line="210" w:lineRule="exact"/>
                          <w:ind w:left="57"/>
                          <w:rPr>
                            <w:sz w:val="20"/>
                          </w:rPr>
                        </w:pPr>
                        <w:r>
                          <w:rPr>
                            <w:sz w:val="20"/>
                          </w:rPr>
                          <w:t>Written</w:t>
                        </w:r>
                        <w:r>
                          <w:rPr>
                            <w:spacing w:val="-14"/>
                            <w:sz w:val="20"/>
                          </w:rPr>
                          <w:t> </w:t>
                        </w:r>
                        <w:r>
                          <w:rPr>
                            <w:sz w:val="20"/>
                          </w:rPr>
                          <w:t>Communications</w:t>
                        </w:r>
                        <w:r>
                          <w:rPr>
                            <w:spacing w:val="-14"/>
                            <w:sz w:val="20"/>
                          </w:rPr>
                          <w:t> </w:t>
                        </w:r>
                        <w:r>
                          <w:rPr>
                            <w:spacing w:val="-5"/>
                            <w:sz w:val="20"/>
                          </w:rPr>
                          <w:t>II</w:t>
                        </w:r>
                      </w:p>
                    </w:tc>
                    <w:tc>
                      <w:tcPr>
                        <w:tcW w:w="451" w:type="dxa"/>
                      </w:tcPr>
                      <w:p>
                        <w:pPr>
                          <w:pStyle w:val="TableParagraph"/>
                          <w:spacing w:line="210" w:lineRule="exact"/>
                          <w:ind w:left="88"/>
                          <w:rPr>
                            <w:sz w:val="20"/>
                          </w:rPr>
                        </w:pPr>
                        <w:r>
                          <w:rPr>
                            <w:w w:val="99"/>
                            <w:sz w:val="20"/>
                          </w:rPr>
                          <w:t>3</w:t>
                        </w:r>
                      </w:p>
                    </w:tc>
                  </w:tr>
                  <w:tr>
                    <w:trPr>
                      <w:trHeight w:val="230" w:hRule="atLeast"/>
                    </w:trPr>
                    <w:tc>
                      <w:tcPr>
                        <w:tcW w:w="949" w:type="dxa"/>
                      </w:tcPr>
                      <w:p>
                        <w:pPr>
                          <w:pStyle w:val="TableParagraph"/>
                          <w:spacing w:line="210" w:lineRule="exact"/>
                          <w:ind w:left="-1"/>
                          <w:rPr>
                            <w:sz w:val="20"/>
                          </w:rPr>
                        </w:pPr>
                        <w:r>
                          <w:rPr>
                            <w:sz w:val="20"/>
                          </w:rPr>
                          <w:t>MAT</w:t>
                        </w:r>
                        <w:r>
                          <w:rPr>
                            <w:spacing w:val="-5"/>
                            <w:sz w:val="20"/>
                          </w:rPr>
                          <w:t> 118</w:t>
                        </w:r>
                      </w:p>
                    </w:tc>
                    <w:tc>
                      <w:tcPr>
                        <w:tcW w:w="2533" w:type="dxa"/>
                      </w:tcPr>
                      <w:p>
                        <w:pPr>
                          <w:pStyle w:val="TableParagraph"/>
                          <w:spacing w:line="210" w:lineRule="exact"/>
                          <w:ind w:left="129"/>
                          <w:rPr>
                            <w:sz w:val="20"/>
                          </w:rPr>
                        </w:pPr>
                        <w:r>
                          <w:rPr>
                            <w:spacing w:val="-2"/>
                            <w:sz w:val="20"/>
                          </w:rPr>
                          <w:t>Pre-Calculus</w:t>
                        </w:r>
                        <w:r>
                          <w:rPr>
                            <w:spacing w:val="6"/>
                            <w:sz w:val="20"/>
                          </w:rPr>
                          <w:t> </w:t>
                        </w:r>
                        <w:r>
                          <w:rPr>
                            <w:spacing w:val="-5"/>
                            <w:sz w:val="20"/>
                          </w:rPr>
                          <w:t>II</w:t>
                        </w:r>
                      </w:p>
                    </w:tc>
                    <w:tc>
                      <w:tcPr>
                        <w:tcW w:w="835" w:type="dxa"/>
                      </w:tcPr>
                      <w:p>
                        <w:pPr>
                          <w:pStyle w:val="TableParagraph"/>
                          <w:spacing w:line="210" w:lineRule="exact"/>
                          <w:ind w:left="116"/>
                          <w:rPr>
                            <w:sz w:val="20"/>
                          </w:rPr>
                        </w:pPr>
                        <w:r>
                          <w:rPr>
                            <w:w w:val="99"/>
                            <w:sz w:val="20"/>
                          </w:rPr>
                          <w:t>3</w:t>
                        </w:r>
                      </w:p>
                    </w:tc>
                    <w:tc>
                      <w:tcPr>
                        <w:tcW w:w="653" w:type="dxa"/>
                      </w:tcPr>
                      <w:p>
                        <w:pPr>
                          <w:pStyle w:val="TableParagraph"/>
                          <w:rPr>
                            <w:rFonts w:ascii="Times New Roman"/>
                            <w:sz w:val="16"/>
                          </w:rPr>
                        </w:pPr>
                      </w:p>
                    </w:tc>
                    <w:tc>
                      <w:tcPr>
                        <w:tcW w:w="1092" w:type="dxa"/>
                      </w:tcPr>
                      <w:p>
                        <w:pPr>
                          <w:pStyle w:val="TableParagraph"/>
                          <w:spacing w:line="210" w:lineRule="exact"/>
                          <w:ind w:left="68"/>
                          <w:rPr>
                            <w:sz w:val="20"/>
                          </w:rPr>
                        </w:pPr>
                        <w:r>
                          <w:rPr>
                            <w:sz w:val="20"/>
                          </w:rPr>
                          <w:t>COM</w:t>
                        </w:r>
                        <w:r>
                          <w:rPr>
                            <w:spacing w:val="-5"/>
                            <w:sz w:val="20"/>
                          </w:rPr>
                          <w:t> 103</w:t>
                        </w:r>
                      </w:p>
                    </w:tc>
                    <w:tc>
                      <w:tcPr>
                        <w:tcW w:w="2489" w:type="dxa"/>
                      </w:tcPr>
                      <w:p>
                        <w:pPr>
                          <w:pStyle w:val="TableParagraph"/>
                          <w:spacing w:line="210" w:lineRule="exact"/>
                          <w:ind w:left="56"/>
                          <w:rPr>
                            <w:sz w:val="20"/>
                          </w:rPr>
                        </w:pPr>
                        <w:r>
                          <w:rPr>
                            <w:sz w:val="20"/>
                          </w:rPr>
                          <w:t>Oral</w:t>
                        </w:r>
                        <w:r>
                          <w:rPr>
                            <w:spacing w:val="-6"/>
                            <w:sz w:val="20"/>
                          </w:rPr>
                          <w:t> </w:t>
                        </w:r>
                        <w:r>
                          <w:rPr>
                            <w:spacing w:val="-2"/>
                            <w:sz w:val="20"/>
                          </w:rPr>
                          <w:t>Communications</w:t>
                        </w:r>
                      </w:p>
                    </w:tc>
                    <w:tc>
                      <w:tcPr>
                        <w:tcW w:w="451" w:type="dxa"/>
                      </w:tcPr>
                      <w:p>
                        <w:pPr>
                          <w:pStyle w:val="TableParagraph"/>
                          <w:spacing w:line="210" w:lineRule="exact"/>
                          <w:ind w:left="87"/>
                          <w:rPr>
                            <w:sz w:val="20"/>
                          </w:rPr>
                        </w:pPr>
                        <w:r>
                          <w:rPr>
                            <w:w w:val="99"/>
                            <w:sz w:val="20"/>
                          </w:rPr>
                          <w:t>3</w:t>
                        </w:r>
                      </w:p>
                    </w:tc>
                  </w:tr>
                  <w:tr>
                    <w:trPr>
                      <w:trHeight w:val="230" w:hRule="atLeast"/>
                    </w:trPr>
                    <w:tc>
                      <w:tcPr>
                        <w:tcW w:w="949" w:type="dxa"/>
                      </w:tcPr>
                      <w:p>
                        <w:pPr>
                          <w:pStyle w:val="TableParagraph"/>
                          <w:spacing w:line="210" w:lineRule="exact"/>
                          <w:ind w:left="-2"/>
                          <w:rPr>
                            <w:sz w:val="20"/>
                          </w:rPr>
                        </w:pPr>
                        <w:r>
                          <w:rPr>
                            <w:sz w:val="20"/>
                          </w:rPr>
                          <w:t>UNV</w:t>
                        </w:r>
                        <w:r>
                          <w:rPr>
                            <w:spacing w:val="-7"/>
                            <w:sz w:val="20"/>
                          </w:rPr>
                          <w:t> </w:t>
                        </w:r>
                        <w:r>
                          <w:rPr>
                            <w:spacing w:val="-5"/>
                            <w:sz w:val="20"/>
                          </w:rPr>
                          <w:t>101</w:t>
                        </w:r>
                      </w:p>
                    </w:tc>
                    <w:tc>
                      <w:tcPr>
                        <w:tcW w:w="2533" w:type="dxa"/>
                      </w:tcPr>
                      <w:p>
                        <w:pPr>
                          <w:pStyle w:val="TableParagraph"/>
                          <w:spacing w:line="210" w:lineRule="exact"/>
                          <w:ind w:left="129"/>
                          <w:rPr>
                            <w:sz w:val="20"/>
                          </w:rPr>
                        </w:pPr>
                        <w:r>
                          <w:rPr>
                            <w:sz w:val="20"/>
                          </w:rPr>
                          <w:t>Individual</w:t>
                        </w:r>
                        <w:r>
                          <w:rPr>
                            <w:spacing w:val="-6"/>
                            <w:sz w:val="20"/>
                          </w:rPr>
                          <w:t> </w:t>
                        </w:r>
                        <w:r>
                          <w:rPr>
                            <w:sz w:val="20"/>
                          </w:rPr>
                          <w:t>&amp;</w:t>
                        </w:r>
                        <w:r>
                          <w:rPr>
                            <w:spacing w:val="-8"/>
                            <w:sz w:val="20"/>
                          </w:rPr>
                          <w:t> </w:t>
                        </w:r>
                        <w:r>
                          <w:rPr>
                            <w:spacing w:val="-4"/>
                            <w:sz w:val="20"/>
                          </w:rPr>
                          <w:t>Life</w:t>
                        </w:r>
                      </w:p>
                    </w:tc>
                    <w:tc>
                      <w:tcPr>
                        <w:tcW w:w="835" w:type="dxa"/>
                      </w:tcPr>
                      <w:p>
                        <w:pPr>
                          <w:pStyle w:val="TableParagraph"/>
                          <w:spacing w:line="210" w:lineRule="exact"/>
                          <w:ind w:left="116"/>
                          <w:rPr>
                            <w:sz w:val="20"/>
                          </w:rPr>
                        </w:pPr>
                        <w:r>
                          <w:rPr>
                            <w:w w:val="99"/>
                            <w:sz w:val="20"/>
                          </w:rPr>
                          <w:t>1</w:t>
                        </w:r>
                      </w:p>
                    </w:tc>
                    <w:tc>
                      <w:tcPr>
                        <w:tcW w:w="653" w:type="dxa"/>
                      </w:tcPr>
                      <w:p>
                        <w:pPr>
                          <w:pStyle w:val="TableParagraph"/>
                          <w:rPr>
                            <w:rFonts w:ascii="Times New Roman"/>
                            <w:sz w:val="16"/>
                          </w:rPr>
                        </w:pPr>
                      </w:p>
                    </w:tc>
                    <w:tc>
                      <w:tcPr>
                        <w:tcW w:w="1092" w:type="dxa"/>
                      </w:tcPr>
                      <w:p>
                        <w:pPr>
                          <w:pStyle w:val="TableParagraph"/>
                          <w:spacing w:line="210" w:lineRule="exact"/>
                          <w:ind w:left="68"/>
                          <w:rPr>
                            <w:sz w:val="20"/>
                          </w:rPr>
                        </w:pPr>
                        <w:r>
                          <w:rPr>
                            <w:spacing w:val="-2"/>
                            <w:sz w:val="20"/>
                          </w:rPr>
                          <w:t>ELECTIVE</w:t>
                        </w:r>
                      </w:p>
                    </w:tc>
                    <w:tc>
                      <w:tcPr>
                        <w:tcW w:w="2489" w:type="dxa"/>
                      </w:tcPr>
                      <w:p>
                        <w:pPr>
                          <w:pStyle w:val="TableParagraph"/>
                          <w:spacing w:line="210" w:lineRule="exact"/>
                          <w:ind w:left="219"/>
                          <w:rPr>
                            <w:sz w:val="20"/>
                          </w:rPr>
                        </w:pPr>
                        <w:r>
                          <w:rPr>
                            <w:spacing w:val="-5"/>
                            <w:sz w:val="20"/>
                          </w:rPr>
                          <w:t>Art</w:t>
                        </w:r>
                      </w:p>
                    </w:tc>
                    <w:tc>
                      <w:tcPr>
                        <w:tcW w:w="451" w:type="dxa"/>
                      </w:tcPr>
                      <w:p>
                        <w:pPr>
                          <w:pStyle w:val="TableParagraph"/>
                          <w:spacing w:line="210" w:lineRule="exact"/>
                          <w:ind w:left="87"/>
                          <w:rPr>
                            <w:sz w:val="20"/>
                          </w:rPr>
                        </w:pPr>
                        <w:r>
                          <w:rPr>
                            <w:w w:val="99"/>
                            <w:sz w:val="20"/>
                          </w:rPr>
                          <w:t>2</w:t>
                        </w:r>
                      </w:p>
                    </w:tc>
                  </w:tr>
                  <w:tr>
                    <w:trPr>
                      <w:trHeight w:val="218" w:hRule="atLeast"/>
                    </w:trPr>
                    <w:tc>
                      <w:tcPr>
                        <w:tcW w:w="949" w:type="dxa"/>
                        <w:tcBorders>
                          <w:bottom w:val="single" w:sz="6" w:space="0" w:color="000000"/>
                        </w:tcBorders>
                      </w:tcPr>
                      <w:p>
                        <w:pPr>
                          <w:pStyle w:val="TableParagraph"/>
                          <w:spacing w:line="185" w:lineRule="exact"/>
                          <w:rPr>
                            <w:sz w:val="20"/>
                          </w:rPr>
                        </w:pPr>
                        <w:r>
                          <w:rPr>
                            <w:sz w:val="20"/>
                          </w:rPr>
                          <w:t>HEA</w:t>
                        </w:r>
                        <w:r>
                          <w:rPr>
                            <w:spacing w:val="-5"/>
                            <w:sz w:val="20"/>
                          </w:rPr>
                          <w:t> 200</w:t>
                        </w:r>
                      </w:p>
                    </w:tc>
                    <w:tc>
                      <w:tcPr>
                        <w:tcW w:w="2533" w:type="dxa"/>
                        <w:tcBorders>
                          <w:bottom w:val="single" w:sz="6" w:space="0" w:color="000000"/>
                        </w:tcBorders>
                      </w:tcPr>
                      <w:p>
                        <w:pPr>
                          <w:pStyle w:val="TableParagraph"/>
                          <w:spacing w:line="185" w:lineRule="exact"/>
                          <w:ind w:left="131"/>
                          <w:rPr>
                            <w:sz w:val="20"/>
                          </w:rPr>
                        </w:pPr>
                        <w:r>
                          <w:rPr>
                            <w:sz w:val="20"/>
                          </w:rPr>
                          <w:t>Health</w:t>
                        </w:r>
                        <w:r>
                          <w:rPr>
                            <w:spacing w:val="-8"/>
                            <w:sz w:val="20"/>
                          </w:rPr>
                          <w:t> </w:t>
                        </w:r>
                        <w:r>
                          <w:rPr>
                            <w:sz w:val="20"/>
                          </w:rPr>
                          <w:t>Education</w:t>
                        </w:r>
                        <w:r>
                          <w:rPr>
                            <w:spacing w:val="-10"/>
                            <w:sz w:val="20"/>
                          </w:rPr>
                          <w:t> </w:t>
                        </w:r>
                        <w:r>
                          <w:rPr>
                            <w:spacing w:val="-4"/>
                            <w:sz w:val="20"/>
                          </w:rPr>
                          <w:t>(PED)</w:t>
                        </w:r>
                      </w:p>
                    </w:tc>
                    <w:tc>
                      <w:tcPr>
                        <w:tcW w:w="835" w:type="dxa"/>
                        <w:tcBorders>
                          <w:bottom w:val="single" w:sz="6" w:space="0" w:color="000000"/>
                        </w:tcBorders>
                      </w:tcPr>
                      <w:p>
                        <w:pPr>
                          <w:pStyle w:val="TableParagraph"/>
                          <w:spacing w:line="185" w:lineRule="exact"/>
                          <w:ind w:left="118"/>
                          <w:rPr>
                            <w:sz w:val="20"/>
                          </w:rPr>
                        </w:pPr>
                        <w:r>
                          <w:rPr>
                            <w:spacing w:val="-4"/>
                            <w:sz w:val="20"/>
                          </w:rPr>
                          <w:t>2(1)</w:t>
                        </w:r>
                      </w:p>
                    </w:tc>
                    <w:tc>
                      <w:tcPr>
                        <w:tcW w:w="653" w:type="dxa"/>
                        <w:tcBorders>
                          <w:bottom w:val="single" w:sz="6" w:space="0" w:color="000000"/>
                        </w:tcBorders>
                      </w:tcPr>
                      <w:p>
                        <w:pPr>
                          <w:pStyle w:val="TableParagraph"/>
                          <w:rPr>
                            <w:rFonts w:ascii="Times New Roman"/>
                            <w:sz w:val="14"/>
                          </w:rPr>
                        </w:pPr>
                      </w:p>
                    </w:tc>
                    <w:tc>
                      <w:tcPr>
                        <w:tcW w:w="1092" w:type="dxa"/>
                        <w:tcBorders>
                          <w:bottom w:val="single" w:sz="6" w:space="0" w:color="000000"/>
                        </w:tcBorders>
                      </w:tcPr>
                      <w:p>
                        <w:pPr>
                          <w:pStyle w:val="TableParagraph"/>
                          <w:rPr>
                            <w:rFonts w:ascii="Times New Roman"/>
                            <w:sz w:val="14"/>
                          </w:rPr>
                        </w:pPr>
                      </w:p>
                    </w:tc>
                    <w:tc>
                      <w:tcPr>
                        <w:tcW w:w="2489" w:type="dxa"/>
                        <w:tcBorders>
                          <w:bottom w:val="single" w:sz="6" w:space="0" w:color="000000"/>
                        </w:tcBorders>
                      </w:tcPr>
                      <w:p>
                        <w:pPr>
                          <w:pStyle w:val="TableParagraph"/>
                          <w:rPr>
                            <w:rFonts w:ascii="Times New Roman"/>
                            <w:sz w:val="14"/>
                          </w:rPr>
                        </w:pPr>
                      </w:p>
                    </w:tc>
                    <w:tc>
                      <w:tcPr>
                        <w:tcW w:w="451" w:type="dxa"/>
                        <w:tcBorders>
                          <w:bottom w:val="single" w:sz="6" w:space="0" w:color="000000"/>
                        </w:tcBorders>
                      </w:tcPr>
                      <w:p>
                        <w:pPr>
                          <w:pStyle w:val="TableParagraph"/>
                          <w:rPr>
                            <w:rFonts w:ascii="Times New Roman"/>
                            <w:sz w:val="14"/>
                          </w:rPr>
                        </w:pPr>
                      </w:p>
                    </w:tc>
                  </w:tr>
                  <w:tr>
                    <w:trPr>
                      <w:trHeight w:val="270" w:hRule="atLeast"/>
                    </w:trPr>
                    <w:tc>
                      <w:tcPr>
                        <w:tcW w:w="949" w:type="dxa"/>
                        <w:tcBorders>
                          <w:top w:val="single" w:sz="6" w:space="0" w:color="000000"/>
                        </w:tcBorders>
                      </w:tcPr>
                      <w:p>
                        <w:pPr>
                          <w:pStyle w:val="TableParagraph"/>
                          <w:rPr>
                            <w:rFonts w:ascii="Times New Roman"/>
                            <w:sz w:val="18"/>
                          </w:rPr>
                        </w:pPr>
                      </w:p>
                    </w:tc>
                    <w:tc>
                      <w:tcPr>
                        <w:tcW w:w="2533" w:type="dxa"/>
                        <w:tcBorders>
                          <w:top w:val="single" w:sz="6" w:space="0" w:color="000000"/>
                        </w:tcBorders>
                      </w:tcPr>
                      <w:p>
                        <w:pPr>
                          <w:pStyle w:val="TableParagraph"/>
                          <w:spacing w:before="4"/>
                          <w:ind w:left="836" w:right="1090"/>
                          <w:jc w:val="center"/>
                          <w:rPr>
                            <w:sz w:val="20"/>
                          </w:rPr>
                        </w:pPr>
                        <w:r>
                          <w:rPr>
                            <w:spacing w:val="-2"/>
                            <w:sz w:val="20"/>
                          </w:rPr>
                          <w:t>17(16)</w:t>
                        </w:r>
                      </w:p>
                    </w:tc>
                    <w:tc>
                      <w:tcPr>
                        <w:tcW w:w="835" w:type="dxa"/>
                        <w:tcBorders>
                          <w:top w:val="single" w:sz="6" w:space="0" w:color="000000"/>
                        </w:tcBorders>
                      </w:tcPr>
                      <w:p>
                        <w:pPr>
                          <w:pStyle w:val="TableParagraph"/>
                          <w:rPr>
                            <w:rFonts w:ascii="Times New Roman"/>
                            <w:sz w:val="18"/>
                          </w:rPr>
                        </w:pPr>
                      </w:p>
                    </w:tc>
                    <w:tc>
                      <w:tcPr>
                        <w:tcW w:w="653" w:type="dxa"/>
                        <w:tcBorders>
                          <w:top w:val="single" w:sz="6" w:space="0" w:color="000000"/>
                        </w:tcBorders>
                      </w:tcPr>
                      <w:p>
                        <w:pPr>
                          <w:pStyle w:val="TableParagraph"/>
                          <w:spacing w:before="4"/>
                          <w:ind w:left="362"/>
                          <w:rPr>
                            <w:sz w:val="20"/>
                          </w:rPr>
                        </w:pPr>
                        <w:r>
                          <w:rPr>
                            <w:spacing w:val="-5"/>
                            <w:sz w:val="20"/>
                          </w:rPr>
                          <w:t>16</w:t>
                        </w:r>
                      </w:p>
                    </w:tc>
                    <w:tc>
                      <w:tcPr>
                        <w:tcW w:w="1092" w:type="dxa"/>
                        <w:tcBorders>
                          <w:top w:val="single" w:sz="6" w:space="0" w:color="000000"/>
                        </w:tcBorders>
                      </w:tcPr>
                      <w:p>
                        <w:pPr>
                          <w:pStyle w:val="TableParagraph"/>
                          <w:rPr>
                            <w:rFonts w:ascii="Times New Roman"/>
                            <w:sz w:val="18"/>
                          </w:rPr>
                        </w:pPr>
                      </w:p>
                    </w:tc>
                    <w:tc>
                      <w:tcPr>
                        <w:tcW w:w="2489" w:type="dxa"/>
                        <w:tcBorders>
                          <w:top w:val="single" w:sz="6" w:space="0" w:color="000000"/>
                        </w:tcBorders>
                      </w:tcPr>
                      <w:p>
                        <w:pPr>
                          <w:pStyle w:val="TableParagraph"/>
                          <w:rPr>
                            <w:rFonts w:ascii="Times New Roman"/>
                            <w:sz w:val="18"/>
                          </w:rPr>
                        </w:pPr>
                      </w:p>
                    </w:tc>
                    <w:tc>
                      <w:tcPr>
                        <w:tcW w:w="451" w:type="dxa"/>
                        <w:tcBorders>
                          <w:top w:val="single" w:sz="6" w:space="0" w:color="000000"/>
                        </w:tcBorders>
                      </w:tcPr>
                      <w:p>
                        <w:pPr>
                          <w:pStyle w:val="TableParagraph"/>
                          <w:rPr>
                            <w:rFonts w:ascii="Times New Roman"/>
                            <w:sz w:val="18"/>
                          </w:rPr>
                        </w:pPr>
                      </w:p>
                    </w:tc>
                  </w:tr>
                </w:tbl>
                <w:p>
                  <w:pPr>
                    <w:pStyle w:val="BodyText"/>
                  </w:pPr>
                </w:p>
              </w:txbxContent>
            </v:textbox>
            <w10:wrap type="none"/>
          </v:shape>
        </w:pict>
      </w:r>
      <w:r>
        <w:rPr>
          <w:b/>
          <w:sz w:val="20"/>
          <w:u w:val="thick"/>
        </w:rPr>
        <w:t>semester</w:t>
      </w:r>
      <w:r>
        <w:rPr>
          <w:b/>
          <w:spacing w:val="-13"/>
          <w:sz w:val="20"/>
          <w:u w:val="thick"/>
        </w:rPr>
        <w:t> </w:t>
      </w:r>
      <w:r>
        <w:rPr>
          <w:b/>
          <w:spacing w:val="-10"/>
          <w:sz w:val="20"/>
          <w:u w:val="thick"/>
        </w:rPr>
        <w:t>I</w:t>
      </w:r>
      <w:r>
        <w:rPr>
          <w:b/>
          <w:sz w:val="20"/>
          <w:u w:val="thick"/>
        </w:rPr>
        <w:tab/>
        <w:t>semester</w:t>
      </w:r>
      <w:r>
        <w:rPr>
          <w:b/>
          <w:spacing w:val="-13"/>
          <w:sz w:val="20"/>
          <w:u w:val="thick"/>
        </w:rPr>
        <w:t> </w:t>
      </w:r>
      <w:r>
        <w:rPr>
          <w:b/>
          <w:spacing w:val="-5"/>
          <w:sz w:val="20"/>
          <w:u w:val="thick"/>
        </w:rPr>
        <w:t>II</w:t>
      </w:r>
      <w:r>
        <w:rPr>
          <w:b/>
          <w:sz w:val="20"/>
          <w:u w:val="thick"/>
        </w:rPr>
        <w:tab/>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6"/>
        </w:rPr>
      </w:pPr>
    </w:p>
    <w:p>
      <w:pPr>
        <w:tabs>
          <w:tab w:pos="3679" w:val="left" w:leader="none"/>
          <w:tab w:pos="6559" w:val="left" w:leader="none"/>
        </w:tabs>
        <w:spacing w:before="0"/>
        <w:ind w:left="440" w:right="0" w:firstLine="0"/>
        <w:jc w:val="left"/>
        <w:rPr>
          <w:b/>
          <w:sz w:val="20"/>
        </w:rPr>
      </w:pPr>
      <w:r>
        <w:rPr/>
        <w:pict>
          <v:shape style="position:absolute;margin-left:72pt;margin-top:9.503365pt;width:466pt;height:234.15pt;mso-position-horizontal-relative:page;mso-position-vertical-relative:paragraph;z-index:15741440" type="#_x0000_t202" id="docshape204"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05"/>
                    <w:gridCol w:w="2501"/>
                    <w:gridCol w:w="924"/>
                    <w:gridCol w:w="1554"/>
                    <w:gridCol w:w="2455"/>
                    <w:gridCol w:w="880"/>
                  </w:tblGrid>
                  <w:tr>
                    <w:trPr>
                      <w:trHeight w:val="276" w:hRule="atLeast"/>
                    </w:trPr>
                    <w:tc>
                      <w:tcPr>
                        <w:tcW w:w="1005" w:type="dxa"/>
                      </w:tcPr>
                      <w:p>
                        <w:pPr>
                          <w:pStyle w:val="TableParagraph"/>
                          <w:spacing w:line="214" w:lineRule="exact" w:before="42"/>
                          <w:rPr>
                            <w:sz w:val="20"/>
                          </w:rPr>
                        </w:pPr>
                        <w:r>
                          <w:rPr>
                            <w:sz w:val="20"/>
                          </w:rPr>
                          <w:t>ARC</w:t>
                        </w:r>
                        <w:r>
                          <w:rPr>
                            <w:spacing w:val="-7"/>
                            <w:sz w:val="20"/>
                          </w:rPr>
                          <w:t> </w:t>
                        </w:r>
                        <w:r>
                          <w:rPr>
                            <w:spacing w:val="-5"/>
                            <w:sz w:val="20"/>
                          </w:rPr>
                          <w:t>201</w:t>
                        </w:r>
                      </w:p>
                    </w:tc>
                    <w:tc>
                      <w:tcPr>
                        <w:tcW w:w="2501" w:type="dxa"/>
                      </w:tcPr>
                      <w:p>
                        <w:pPr>
                          <w:pStyle w:val="TableParagraph"/>
                          <w:spacing w:line="214" w:lineRule="exact" w:before="42"/>
                          <w:ind w:left="75"/>
                          <w:rPr>
                            <w:sz w:val="20"/>
                          </w:rPr>
                        </w:pPr>
                        <w:r>
                          <w:rPr>
                            <w:spacing w:val="-2"/>
                            <w:sz w:val="20"/>
                          </w:rPr>
                          <w:t>Studio</w:t>
                        </w:r>
                      </w:p>
                    </w:tc>
                    <w:tc>
                      <w:tcPr>
                        <w:tcW w:w="924" w:type="dxa"/>
                      </w:tcPr>
                      <w:p>
                        <w:pPr>
                          <w:pStyle w:val="TableParagraph"/>
                          <w:spacing w:line="214" w:lineRule="exact" w:before="42"/>
                          <w:ind w:left="93"/>
                          <w:rPr>
                            <w:sz w:val="20"/>
                          </w:rPr>
                        </w:pPr>
                        <w:r>
                          <w:rPr>
                            <w:w w:val="99"/>
                            <w:sz w:val="20"/>
                          </w:rPr>
                          <w:t>5</w:t>
                        </w:r>
                      </w:p>
                    </w:tc>
                    <w:tc>
                      <w:tcPr>
                        <w:tcW w:w="1554" w:type="dxa"/>
                      </w:tcPr>
                      <w:p>
                        <w:pPr>
                          <w:pStyle w:val="TableParagraph"/>
                          <w:spacing w:line="214" w:lineRule="exact" w:before="42"/>
                          <w:ind w:right="132"/>
                          <w:jc w:val="right"/>
                          <w:rPr>
                            <w:sz w:val="20"/>
                          </w:rPr>
                        </w:pPr>
                        <w:r>
                          <w:rPr>
                            <w:sz w:val="20"/>
                          </w:rPr>
                          <w:t>ARC</w:t>
                        </w:r>
                        <w:r>
                          <w:rPr>
                            <w:spacing w:val="-7"/>
                            <w:sz w:val="20"/>
                          </w:rPr>
                          <w:t> </w:t>
                        </w:r>
                        <w:r>
                          <w:rPr>
                            <w:spacing w:val="-5"/>
                            <w:sz w:val="20"/>
                          </w:rPr>
                          <w:t>202</w:t>
                        </w:r>
                      </w:p>
                    </w:tc>
                    <w:tc>
                      <w:tcPr>
                        <w:tcW w:w="2455" w:type="dxa"/>
                      </w:tcPr>
                      <w:p>
                        <w:pPr>
                          <w:pStyle w:val="TableParagraph"/>
                          <w:spacing w:line="214" w:lineRule="exact" w:before="42"/>
                          <w:ind w:left="135"/>
                          <w:rPr>
                            <w:sz w:val="20"/>
                          </w:rPr>
                        </w:pPr>
                        <w:r>
                          <w:rPr>
                            <w:spacing w:val="-2"/>
                            <w:sz w:val="20"/>
                          </w:rPr>
                          <w:t>Studio</w:t>
                        </w:r>
                      </w:p>
                    </w:tc>
                    <w:tc>
                      <w:tcPr>
                        <w:tcW w:w="880" w:type="dxa"/>
                      </w:tcPr>
                      <w:p>
                        <w:pPr>
                          <w:pStyle w:val="TableParagraph"/>
                          <w:spacing w:line="214" w:lineRule="exact" w:before="42"/>
                          <w:ind w:left="200"/>
                          <w:rPr>
                            <w:sz w:val="20"/>
                          </w:rPr>
                        </w:pPr>
                        <w:r>
                          <w:rPr>
                            <w:w w:val="99"/>
                            <w:sz w:val="20"/>
                          </w:rPr>
                          <w:t>5</w:t>
                        </w:r>
                      </w:p>
                    </w:tc>
                  </w:tr>
                  <w:tr>
                    <w:trPr>
                      <w:trHeight w:val="228" w:hRule="atLeast"/>
                    </w:trPr>
                    <w:tc>
                      <w:tcPr>
                        <w:tcW w:w="1005" w:type="dxa"/>
                      </w:tcPr>
                      <w:p>
                        <w:pPr>
                          <w:pStyle w:val="TableParagraph"/>
                          <w:spacing w:line="208" w:lineRule="exact"/>
                          <w:ind w:left="-1"/>
                          <w:rPr>
                            <w:sz w:val="20"/>
                          </w:rPr>
                        </w:pPr>
                        <w:r>
                          <w:rPr>
                            <w:sz w:val="20"/>
                          </w:rPr>
                          <w:t>ARC</w:t>
                        </w:r>
                        <w:r>
                          <w:rPr>
                            <w:spacing w:val="-7"/>
                            <w:sz w:val="20"/>
                          </w:rPr>
                          <w:t> </w:t>
                        </w:r>
                        <w:r>
                          <w:rPr>
                            <w:spacing w:val="-5"/>
                            <w:sz w:val="20"/>
                          </w:rPr>
                          <w:t>203</w:t>
                        </w:r>
                      </w:p>
                    </w:tc>
                    <w:tc>
                      <w:tcPr>
                        <w:tcW w:w="2501" w:type="dxa"/>
                      </w:tcPr>
                      <w:p>
                        <w:pPr>
                          <w:pStyle w:val="TableParagraph"/>
                          <w:spacing w:line="208" w:lineRule="exact"/>
                          <w:ind w:left="74"/>
                          <w:rPr>
                            <w:sz w:val="20"/>
                          </w:rPr>
                        </w:pPr>
                        <w:r>
                          <w:rPr>
                            <w:spacing w:val="-2"/>
                            <w:sz w:val="20"/>
                          </w:rPr>
                          <w:t>Representation</w:t>
                        </w:r>
                        <w:r>
                          <w:rPr>
                            <w:spacing w:val="11"/>
                            <w:sz w:val="20"/>
                          </w:rPr>
                          <w:t> </w:t>
                        </w:r>
                        <w:r>
                          <w:rPr>
                            <w:spacing w:val="-10"/>
                            <w:sz w:val="20"/>
                          </w:rPr>
                          <w:t>I</w:t>
                        </w:r>
                      </w:p>
                    </w:tc>
                    <w:tc>
                      <w:tcPr>
                        <w:tcW w:w="924" w:type="dxa"/>
                      </w:tcPr>
                      <w:p>
                        <w:pPr>
                          <w:pStyle w:val="TableParagraph"/>
                          <w:spacing w:line="208" w:lineRule="exact"/>
                          <w:ind w:left="93"/>
                          <w:rPr>
                            <w:sz w:val="20"/>
                          </w:rPr>
                        </w:pPr>
                        <w:r>
                          <w:rPr>
                            <w:w w:val="99"/>
                            <w:sz w:val="20"/>
                          </w:rPr>
                          <w:t>3</w:t>
                        </w:r>
                      </w:p>
                    </w:tc>
                    <w:tc>
                      <w:tcPr>
                        <w:tcW w:w="1554" w:type="dxa"/>
                      </w:tcPr>
                      <w:p>
                        <w:pPr>
                          <w:pStyle w:val="TableParagraph"/>
                          <w:spacing w:line="208" w:lineRule="exact"/>
                          <w:ind w:right="133"/>
                          <w:jc w:val="right"/>
                          <w:rPr>
                            <w:sz w:val="20"/>
                          </w:rPr>
                        </w:pPr>
                        <w:r>
                          <w:rPr>
                            <w:sz w:val="20"/>
                          </w:rPr>
                          <w:t>ARC</w:t>
                        </w:r>
                        <w:r>
                          <w:rPr>
                            <w:spacing w:val="-7"/>
                            <w:sz w:val="20"/>
                          </w:rPr>
                          <w:t> </w:t>
                        </w:r>
                        <w:r>
                          <w:rPr>
                            <w:spacing w:val="-5"/>
                            <w:sz w:val="20"/>
                          </w:rPr>
                          <w:t>204</w:t>
                        </w:r>
                      </w:p>
                    </w:tc>
                    <w:tc>
                      <w:tcPr>
                        <w:tcW w:w="2455" w:type="dxa"/>
                      </w:tcPr>
                      <w:p>
                        <w:pPr>
                          <w:pStyle w:val="TableParagraph"/>
                          <w:spacing w:line="208" w:lineRule="exact"/>
                          <w:ind w:left="135"/>
                          <w:rPr>
                            <w:sz w:val="20"/>
                          </w:rPr>
                        </w:pPr>
                        <w:r>
                          <w:rPr>
                            <w:spacing w:val="-2"/>
                            <w:sz w:val="20"/>
                          </w:rPr>
                          <w:t>Representation</w:t>
                        </w:r>
                        <w:r>
                          <w:rPr>
                            <w:spacing w:val="11"/>
                            <w:sz w:val="20"/>
                          </w:rPr>
                          <w:t> </w:t>
                        </w:r>
                        <w:r>
                          <w:rPr>
                            <w:spacing w:val="-5"/>
                            <w:sz w:val="20"/>
                          </w:rPr>
                          <w:t>II</w:t>
                        </w:r>
                      </w:p>
                    </w:tc>
                    <w:tc>
                      <w:tcPr>
                        <w:tcW w:w="880" w:type="dxa"/>
                      </w:tcPr>
                      <w:p>
                        <w:pPr>
                          <w:pStyle w:val="TableParagraph"/>
                          <w:spacing w:line="208" w:lineRule="exact"/>
                          <w:ind w:left="200"/>
                          <w:rPr>
                            <w:sz w:val="20"/>
                          </w:rPr>
                        </w:pPr>
                        <w:r>
                          <w:rPr>
                            <w:w w:val="99"/>
                            <w:sz w:val="20"/>
                          </w:rPr>
                          <w:t>3</w:t>
                        </w:r>
                      </w:p>
                    </w:tc>
                  </w:tr>
                  <w:tr>
                    <w:trPr>
                      <w:trHeight w:val="229" w:hRule="atLeast"/>
                    </w:trPr>
                    <w:tc>
                      <w:tcPr>
                        <w:tcW w:w="1005" w:type="dxa"/>
                      </w:tcPr>
                      <w:p>
                        <w:pPr>
                          <w:pStyle w:val="TableParagraph"/>
                          <w:spacing w:line="209" w:lineRule="exact"/>
                          <w:ind w:left="-1"/>
                          <w:rPr>
                            <w:b/>
                            <w:sz w:val="20"/>
                          </w:rPr>
                        </w:pPr>
                        <w:r>
                          <w:rPr>
                            <w:b/>
                            <w:sz w:val="20"/>
                          </w:rPr>
                          <w:t>ARC</w:t>
                        </w:r>
                        <w:r>
                          <w:rPr>
                            <w:b/>
                            <w:spacing w:val="-6"/>
                            <w:sz w:val="20"/>
                          </w:rPr>
                          <w:t> </w:t>
                        </w:r>
                        <w:r>
                          <w:rPr>
                            <w:b/>
                            <w:spacing w:val="-5"/>
                            <w:sz w:val="20"/>
                          </w:rPr>
                          <w:t>213</w:t>
                        </w:r>
                      </w:p>
                    </w:tc>
                    <w:tc>
                      <w:tcPr>
                        <w:tcW w:w="2501" w:type="dxa"/>
                      </w:tcPr>
                      <w:p>
                        <w:pPr>
                          <w:pStyle w:val="TableParagraph"/>
                          <w:spacing w:line="209" w:lineRule="exact"/>
                          <w:ind w:left="74"/>
                          <w:rPr>
                            <w:b/>
                            <w:sz w:val="20"/>
                          </w:rPr>
                        </w:pPr>
                        <w:r>
                          <w:rPr>
                            <w:b/>
                            <w:sz w:val="20"/>
                          </w:rPr>
                          <w:t>Elem</w:t>
                        </w:r>
                        <w:r>
                          <w:rPr>
                            <w:b/>
                            <w:spacing w:val="-5"/>
                            <w:sz w:val="20"/>
                          </w:rPr>
                          <w:t> </w:t>
                        </w:r>
                        <w:r>
                          <w:rPr>
                            <w:b/>
                            <w:sz w:val="20"/>
                          </w:rPr>
                          <w:t>of</w:t>
                        </w:r>
                        <w:r>
                          <w:rPr>
                            <w:b/>
                            <w:spacing w:val="-4"/>
                            <w:sz w:val="20"/>
                          </w:rPr>
                          <w:t> </w:t>
                        </w:r>
                        <w:r>
                          <w:rPr>
                            <w:b/>
                            <w:sz w:val="20"/>
                          </w:rPr>
                          <w:t>Bldg </w:t>
                        </w:r>
                        <w:r>
                          <w:rPr>
                            <w:b/>
                            <w:spacing w:val="-2"/>
                            <w:sz w:val="20"/>
                          </w:rPr>
                          <w:t>Assembly</w:t>
                        </w:r>
                      </w:p>
                    </w:tc>
                    <w:tc>
                      <w:tcPr>
                        <w:tcW w:w="924" w:type="dxa"/>
                      </w:tcPr>
                      <w:p>
                        <w:pPr>
                          <w:pStyle w:val="TableParagraph"/>
                          <w:spacing w:line="209" w:lineRule="exact"/>
                          <w:ind w:left="93"/>
                          <w:rPr>
                            <w:b/>
                            <w:sz w:val="20"/>
                          </w:rPr>
                        </w:pPr>
                        <w:r>
                          <w:rPr>
                            <w:b/>
                            <w:w w:val="99"/>
                            <w:sz w:val="20"/>
                          </w:rPr>
                          <w:t>3</w:t>
                        </w:r>
                      </w:p>
                    </w:tc>
                    <w:tc>
                      <w:tcPr>
                        <w:tcW w:w="1554" w:type="dxa"/>
                      </w:tcPr>
                      <w:p>
                        <w:pPr>
                          <w:pStyle w:val="TableParagraph"/>
                          <w:spacing w:line="209" w:lineRule="exact"/>
                          <w:ind w:right="133"/>
                          <w:jc w:val="right"/>
                          <w:rPr>
                            <w:sz w:val="20"/>
                          </w:rPr>
                        </w:pPr>
                        <w:r>
                          <w:rPr>
                            <w:sz w:val="20"/>
                          </w:rPr>
                          <w:t>ARC</w:t>
                        </w:r>
                        <w:r>
                          <w:rPr>
                            <w:spacing w:val="-7"/>
                            <w:sz w:val="20"/>
                          </w:rPr>
                          <w:t> </w:t>
                        </w:r>
                        <w:r>
                          <w:rPr>
                            <w:spacing w:val="-5"/>
                            <w:sz w:val="20"/>
                          </w:rPr>
                          <w:t>200</w:t>
                        </w:r>
                      </w:p>
                    </w:tc>
                    <w:tc>
                      <w:tcPr>
                        <w:tcW w:w="2455" w:type="dxa"/>
                      </w:tcPr>
                      <w:p>
                        <w:pPr>
                          <w:pStyle w:val="TableParagraph"/>
                          <w:spacing w:line="209" w:lineRule="exact"/>
                          <w:ind w:left="135"/>
                          <w:rPr>
                            <w:sz w:val="20"/>
                          </w:rPr>
                        </w:pPr>
                        <w:r>
                          <w:rPr>
                            <w:spacing w:val="-2"/>
                            <w:sz w:val="20"/>
                          </w:rPr>
                          <w:t>Architectural</w:t>
                        </w:r>
                        <w:r>
                          <w:rPr>
                            <w:spacing w:val="10"/>
                            <w:sz w:val="20"/>
                          </w:rPr>
                          <w:t> </w:t>
                        </w:r>
                        <w:r>
                          <w:rPr>
                            <w:spacing w:val="-2"/>
                            <w:sz w:val="20"/>
                          </w:rPr>
                          <w:t>Ecology</w:t>
                        </w:r>
                      </w:p>
                    </w:tc>
                    <w:tc>
                      <w:tcPr>
                        <w:tcW w:w="880" w:type="dxa"/>
                      </w:tcPr>
                      <w:p>
                        <w:pPr>
                          <w:pStyle w:val="TableParagraph"/>
                          <w:spacing w:line="209" w:lineRule="exact"/>
                          <w:ind w:left="200"/>
                          <w:rPr>
                            <w:sz w:val="20"/>
                          </w:rPr>
                        </w:pPr>
                        <w:r>
                          <w:rPr>
                            <w:w w:val="99"/>
                            <w:sz w:val="20"/>
                          </w:rPr>
                          <w:t>3</w:t>
                        </w:r>
                      </w:p>
                    </w:tc>
                  </w:tr>
                  <w:tr>
                    <w:trPr>
                      <w:trHeight w:val="277" w:hRule="atLeast"/>
                    </w:trPr>
                    <w:tc>
                      <w:tcPr>
                        <w:tcW w:w="1005" w:type="dxa"/>
                      </w:tcPr>
                      <w:p>
                        <w:pPr>
                          <w:pStyle w:val="TableParagraph"/>
                          <w:spacing w:line="228" w:lineRule="exact"/>
                          <w:ind w:left="-1"/>
                          <w:rPr>
                            <w:sz w:val="20"/>
                          </w:rPr>
                        </w:pPr>
                        <w:r>
                          <w:rPr>
                            <w:sz w:val="20"/>
                          </w:rPr>
                          <w:t>PHYS</w:t>
                        </w:r>
                        <w:r>
                          <w:rPr>
                            <w:spacing w:val="-8"/>
                            <w:sz w:val="20"/>
                          </w:rPr>
                          <w:t> </w:t>
                        </w:r>
                        <w:r>
                          <w:rPr>
                            <w:spacing w:val="-5"/>
                            <w:sz w:val="20"/>
                          </w:rPr>
                          <w:t>201</w:t>
                        </w:r>
                      </w:p>
                    </w:tc>
                    <w:tc>
                      <w:tcPr>
                        <w:tcW w:w="2501" w:type="dxa"/>
                      </w:tcPr>
                      <w:p>
                        <w:pPr>
                          <w:pStyle w:val="TableParagraph"/>
                          <w:spacing w:line="228" w:lineRule="exact"/>
                          <w:ind w:left="74"/>
                          <w:rPr>
                            <w:sz w:val="20"/>
                          </w:rPr>
                        </w:pPr>
                        <w:r>
                          <w:rPr>
                            <w:sz w:val="20"/>
                          </w:rPr>
                          <w:t>Intro</w:t>
                        </w:r>
                        <w:r>
                          <w:rPr>
                            <w:spacing w:val="-6"/>
                            <w:sz w:val="20"/>
                          </w:rPr>
                          <w:t> </w:t>
                        </w:r>
                        <w:r>
                          <w:rPr>
                            <w:sz w:val="20"/>
                          </w:rPr>
                          <w:t>to</w:t>
                        </w:r>
                        <w:r>
                          <w:rPr>
                            <w:spacing w:val="-4"/>
                            <w:sz w:val="20"/>
                          </w:rPr>
                          <w:t> </w:t>
                        </w:r>
                        <w:r>
                          <w:rPr>
                            <w:spacing w:val="-2"/>
                            <w:sz w:val="20"/>
                          </w:rPr>
                          <w:t>Physics</w:t>
                        </w:r>
                      </w:p>
                    </w:tc>
                    <w:tc>
                      <w:tcPr>
                        <w:tcW w:w="924" w:type="dxa"/>
                      </w:tcPr>
                      <w:p>
                        <w:pPr>
                          <w:pStyle w:val="TableParagraph"/>
                          <w:spacing w:line="228" w:lineRule="exact"/>
                          <w:ind w:left="93"/>
                          <w:rPr>
                            <w:sz w:val="20"/>
                          </w:rPr>
                        </w:pPr>
                        <w:r>
                          <w:rPr>
                            <w:w w:val="99"/>
                            <w:sz w:val="20"/>
                          </w:rPr>
                          <w:t>4</w:t>
                        </w:r>
                      </w:p>
                    </w:tc>
                    <w:tc>
                      <w:tcPr>
                        <w:tcW w:w="1554" w:type="dxa"/>
                      </w:tcPr>
                      <w:p>
                        <w:pPr>
                          <w:pStyle w:val="TableParagraph"/>
                          <w:spacing w:line="228" w:lineRule="exact"/>
                          <w:ind w:right="133"/>
                          <w:jc w:val="right"/>
                          <w:rPr>
                            <w:sz w:val="20"/>
                          </w:rPr>
                        </w:pPr>
                        <w:r>
                          <w:rPr>
                            <w:sz w:val="20"/>
                          </w:rPr>
                          <w:t>ARC</w:t>
                        </w:r>
                        <w:r>
                          <w:rPr>
                            <w:spacing w:val="-7"/>
                            <w:sz w:val="20"/>
                          </w:rPr>
                          <w:t> </w:t>
                        </w:r>
                        <w:r>
                          <w:rPr>
                            <w:spacing w:val="-5"/>
                            <w:sz w:val="20"/>
                          </w:rPr>
                          <w:t>309</w:t>
                        </w:r>
                      </w:p>
                    </w:tc>
                    <w:tc>
                      <w:tcPr>
                        <w:tcW w:w="2455" w:type="dxa"/>
                      </w:tcPr>
                      <w:p>
                        <w:pPr>
                          <w:pStyle w:val="TableParagraph"/>
                          <w:spacing w:line="228" w:lineRule="exact"/>
                          <w:ind w:left="135"/>
                          <w:rPr>
                            <w:sz w:val="20"/>
                          </w:rPr>
                        </w:pPr>
                        <w:r>
                          <w:rPr>
                            <w:spacing w:val="-2"/>
                            <w:sz w:val="20"/>
                          </w:rPr>
                          <w:t>Structures</w:t>
                        </w:r>
                        <w:r>
                          <w:rPr>
                            <w:spacing w:val="5"/>
                            <w:sz w:val="20"/>
                          </w:rPr>
                          <w:t> </w:t>
                        </w:r>
                        <w:r>
                          <w:rPr>
                            <w:spacing w:val="-10"/>
                            <w:sz w:val="20"/>
                          </w:rPr>
                          <w:t>I</w:t>
                        </w:r>
                      </w:p>
                    </w:tc>
                    <w:tc>
                      <w:tcPr>
                        <w:tcW w:w="880" w:type="dxa"/>
                      </w:tcPr>
                      <w:p>
                        <w:pPr>
                          <w:pStyle w:val="TableParagraph"/>
                          <w:spacing w:line="228" w:lineRule="exact"/>
                          <w:ind w:left="200"/>
                          <w:rPr>
                            <w:sz w:val="20"/>
                          </w:rPr>
                        </w:pPr>
                        <w:r>
                          <w:rPr>
                            <w:w w:val="99"/>
                            <w:sz w:val="20"/>
                          </w:rPr>
                          <w:t>3</w:t>
                        </w:r>
                      </w:p>
                    </w:tc>
                  </w:tr>
                  <w:tr>
                    <w:trPr>
                      <w:trHeight w:val="172" w:hRule="atLeast"/>
                    </w:trPr>
                    <w:tc>
                      <w:tcPr>
                        <w:tcW w:w="3506" w:type="dxa"/>
                        <w:gridSpan w:val="2"/>
                        <w:tcBorders>
                          <w:bottom w:val="single" w:sz="6" w:space="0" w:color="000000"/>
                        </w:tcBorders>
                      </w:tcPr>
                      <w:p>
                        <w:pPr>
                          <w:pStyle w:val="TableParagraph"/>
                          <w:spacing w:line="139" w:lineRule="exact"/>
                          <w:rPr>
                            <w:sz w:val="20"/>
                          </w:rPr>
                        </w:pPr>
                        <w:r>
                          <w:rPr>
                            <w:sz w:val="20"/>
                          </w:rPr>
                          <w:t>OPEN</w:t>
                        </w:r>
                        <w:r>
                          <w:rPr>
                            <w:spacing w:val="-7"/>
                            <w:sz w:val="20"/>
                          </w:rPr>
                          <w:t> </w:t>
                        </w:r>
                        <w:r>
                          <w:rPr>
                            <w:sz w:val="20"/>
                          </w:rPr>
                          <w:t>ELECTIVE</w:t>
                        </w:r>
                        <w:r>
                          <w:rPr>
                            <w:spacing w:val="-7"/>
                            <w:sz w:val="20"/>
                          </w:rPr>
                          <w:t> </w:t>
                        </w:r>
                        <w:r>
                          <w:rPr>
                            <w:spacing w:val="-10"/>
                            <w:sz w:val="20"/>
                          </w:rPr>
                          <w:t>1</w:t>
                        </w:r>
                      </w:p>
                    </w:tc>
                    <w:tc>
                      <w:tcPr>
                        <w:tcW w:w="924" w:type="dxa"/>
                        <w:tcBorders>
                          <w:bottom w:val="single" w:sz="6" w:space="0" w:color="000000"/>
                        </w:tcBorders>
                      </w:tcPr>
                      <w:p>
                        <w:pPr>
                          <w:pStyle w:val="TableParagraph"/>
                          <w:spacing w:line="139" w:lineRule="exact"/>
                          <w:ind w:left="93"/>
                          <w:rPr>
                            <w:sz w:val="20"/>
                          </w:rPr>
                        </w:pPr>
                        <w:r>
                          <w:rPr>
                            <w:w w:val="99"/>
                            <w:sz w:val="20"/>
                          </w:rPr>
                          <w:t>3</w:t>
                        </w:r>
                      </w:p>
                    </w:tc>
                    <w:tc>
                      <w:tcPr>
                        <w:tcW w:w="4009" w:type="dxa"/>
                        <w:gridSpan w:val="2"/>
                        <w:tcBorders>
                          <w:bottom w:val="single" w:sz="6" w:space="0" w:color="000000"/>
                        </w:tcBorders>
                      </w:tcPr>
                      <w:p>
                        <w:pPr>
                          <w:pStyle w:val="TableParagraph"/>
                          <w:spacing w:line="139" w:lineRule="exact"/>
                          <w:ind w:left="609"/>
                          <w:rPr>
                            <w:sz w:val="20"/>
                          </w:rPr>
                        </w:pPr>
                        <w:r>
                          <w:rPr>
                            <w:sz w:val="20"/>
                          </w:rPr>
                          <w:t>ART</w:t>
                        </w:r>
                        <w:r>
                          <w:rPr>
                            <w:spacing w:val="-5"/>
                            <w:sz w:val="20"/>
                          </w:rPr>
                          <w:t> </w:t>
                        </w:r>
                        <w:r>
                          <w:rPr>
                            <w:spacing w:val="-2"/>
                            <w:sz w:val="20"/>
                          </w:rPr>
                          <w:t>ELECTIVE</w:t>
                        </w:r>
                      </w:p>
                    </w:tc>
                    <w:tc>
                      <w:tcPr>
                        <w:tcW w:w="880" w:type="dxa"/>
                        <w:tcBorders>
                          <w:bottom w:val="single" w:sz="6" w:space="0" w:color="000000"/>
                        </w:tcBorders>
                      </w:tcPr>
                      <w:p>
                        <w:pPr>
                          <w:pStyle w:val="TableParagraph"/>
                          <w:spacing w:line="139" w:lineRule="exact"/>
                          <w:ind w:left="201"/>
                          <w:rPr>
                            <w:sz w:val="20"/>
                          </w:rPr>
                        </w:pPr>
                        <w:r>
                          <w:rPr>
                            <w:w w:val="99"/>
                            <w:sz w:val="20"/>
                          </w:rPr>
                          <w:t>3</w:t>
                        </w:r>
                      </w:p>
                    </w:tc>
                  </w:tr>
                  <w:tr>
                    <w:trPr>
                      <w:trHeight w:val="454" w:hRule="atLeast"/>
                    </w:trPr>
                    <w:tc>
                      <w:tcPr>
                        <w:tcW w:w="3506" w:type="dxa"/>
                        <w:gridSpan w:val="2"/>
                        <w:tcBorders>
                          <w:top w:val="single" w:sz="6" w:space="0" w:color="000000"/>
                        </w:tcBorders>
                      </w:tcPr>
                      <w:p>
                        <w:pPr>
                          <w:pStyle w:val="TableParagraph"/>
                          <w:rPr>
                            <w:rFonts w:ascii="Times New Roman"/>
                            <w:sz w:val="18"/>
                          </w:rPr>
                        </w:pPr>
                      </w:p>
                    </w:tc>
                    <w:tc>
                      <w:tcPr>
                        <w:tcW w:w="924" w:type="dxa"/>
                        <w:tcBorders>
                          <w:top w:val="single" w:sz="6" w:space="0" w:color="000000"/>
                        </w:tcBorders>
                      </w:tcPr>
                      <w:p>
                        <w:pPr>
                          <w:pStyle w:val="TableParagraph"/>
                          <w:spacing w:before="6"/>
                          <w:ind w:left="94"/>
                          <w:rPr>
                            <w:sz w:val="20"/>
                          </w:rPr>
                        </w:pPr>
                        <w:r>
                          <w:rPr>
                            <w:spacing w:val="-5"/>
                            <w:sz w:val="20"/>
                          </w:rPr>
                          <w:t>18</w:t>
                        </w:r>
                      </w:p>
                    </w:tc>
                    <w:tc>
                      <w:tcPr>
                        <w:tcW w:w="4009" w:type="dxa"/>
                        <w:gridSpan w:val="2"/>
                        <w:tcBorders>
                          <w:top w:val="single" w:sz="6" w:space="0" w:color="000000"/>
                        </w:tcBorders>
                      </w:tcPr>
                      <w:p>
                        <w:pPr>
                          <w:pStyle w:val="TableParagraph"/>
                          <w:rPr>
                            <w:rFonts w:ascii="Times New Roman"/>
                            <w:sz w:val="18"/>
                          </w:rPr>
                        </w:pPr>
                      </w:p>
                    </w:tc>
                    <w:tc>
                      <w:tcPr>
                        <w:tcW w:w="880" w:type="dxa"/>
                        <w:tcBorders>
                          <w:top w:val="single" w:sz="6" w:space="0" w:color="000000"/>
                        </w:tcBorders>
                      </w:tcPr>
                      <w:p>
                        <w:pPr>
                          <w:pStyle w:val="TableParagraph"/>
                          <w:spacing w:before="6"/>
                          <w:ind w:left="201"/>
                          <w:rPr>
                            <w:sz w:val="20"/>
                          </w:rPr>
                        </w:pPr>
                        <w:r>
                          <w:rPr>
                            <w:spacing w:val="-5"/>
                            <w:sz w:val="20"/>
                          </w:rPr>
                          <w:t>17</w:t>
                        </w:r>
                      </w:p>
                    </w:tc>
                  </w:tr>
                  <w:tr>
                    <w:trPr>
                      <w:trHeight w:val="439" w:hRule="atLeast"/>
                    </w:trPr>
                    <w:tc>
                      <w:tcPr>
                        <w:tcW w:w="3506" w:type="dxa"/>
                        <w:gridSpan w:val="2"/>
                        <w:tcBorders>
                          <w:bottom w:val="single" w:sz="12" w:space="0" w:color="000000"/>
                        </w:tcBorders>
                      </w:tcPr>
                      <w:p>
                        <w:pPr>
                          <w:pStyle w:val="TableParagraph"/>
                          <w:spacing w:before="6"/>
                          <w:rPr>
                            <w:sz w:val="19"/>
                          </w:rPr>
                        </w:pPr>
                      </w:p>
                      <w:p>
                        <w:pPr>
                          <w:pStyle w:val="TableParagraph"/>
                          <w:spacing w:line="185" w:lineRule="exact"/>
                          <w:rPr>
                            <w:b/>
                            <w:sz w:val="20"/>
                          </w:rPr>
                        </w:pPr>
                        <w:r>
                          <w:rPr>
                            <w:b/>
                            <w:sz w:val="20"/>
                          </w:rPr>
                          <w:t>semester</w:t>
                        </w:r>
                        <w:r>
                          <w:rPr>
                            <w:b/>
                            <w:spacing w:val="-10"/>
                            <w:sz w:val="20"/>
                          </w:rPr>
                          <w:t> V</w:t>
                        </w:r>
                      </w:p>
                    </w:tc>
                    <w:tc>
                      <w:tcPr>
                        <w:tcW w:w="924" w:type="dxa"/>
                        <w:tcBorders>
                          <w:bottom w:val="single" w:sz="12" w:space="0" w:color="000000"/>
                        </w:tcBorders>
                      </w:tcPr>
                      <w:p>
                        <w:pPr>
                          <w:pStyle w:val="TableParagraph"/>
                          <w:rPr>
                            <w:rFonts w:ascii="Times New Roman"/>
                            <w:sz w:val="18"/>
                          </w:rPr>
                        </w:pPr>
                      </w:p>
                    </w:tc>
                    <w:tc>
                      <w:tcPr>
                        <w:tcW w:w="4009" w:type="dxa"/>
                        <w:gridSpan w:val="2"/>
                        <w:tcBorders>
                          <w:bottom w:val="single" w:sz="12" w:space="0" w:color="000000"/>
                        </w:tcBorders>
                      </w:tcPr>
                      <w:p>
                        <w:pPr>
                          <w:pStyle w:val="TableParagraph"/>
                          <w:spacing w:before="6"/>
                          <w:rPr>
                            <w:sz w:val="19"/>
                          </w:rPr>
                        </w:pPr>
                      </w:p>
                      <w:p>
                        <w:pPr>
                          <w:pStyle w:val="TableParagraph"/>
                          <w:spacing w:line="185" w:lineRule="exact"/>
                          <w:ind w:left="609"/>
                          <w:rPr>
                            <w:b/>
                            <w:sz w:val="20"/>
                          </w:rPr>
                        </w:pPr>
                        <w:r>
                          <w:rPr>
                            <w:b/>
                            <w:sz w:val="20"/>
                          </w:rPr>
                          <w:t>semester</w:t>
                        </w:r>
                        <w:r>
                          <w:rPr>
                            <w:b/>
                            <w:spacing w:val="-10"/>
                            <w:sz w:val="20"/>
                          </w:rPr>
                          <w:t> V</w:t>
                        </w:r>
                      </w:p>
                    </w:tc>
                    <w:tc>
                      <w:tcPr>
                        <w:tcW w:w="880" w:type="dxa"/>
                        <w:tcBorders>
                          <w:bottom w:val="single" w:sz="12" w:space="0" w:color="000000"/>
                        </w:tcBorders>
                      </w:tcPr>
                      <w:p>
                        <w:pPr>
                          <w:pStyle w:val="TableParagraph"/>
                          <w:rPr>
                            <w:rFonts w:ascii="Times New Roman"/>
                            <w:sz w:val="18"/>
                          </w:rPr>
                        </w:pPr>
                      </w:p>
                    </w:tc>
                  </w:tr>
                  <w:tr>
                    <w:trPr>
                      <w:trHeight w:val="221" w:hRule="atLeast"/>
                    </w:trPr>
                    <w:tc>
                      <w:tcPr>
                        <w:tcW w:w="3506" w:type="dxa"/>
                        <w:gridSpan w:val="2"/>
                        <w:tcBorders>
                          <w:top w:val="single" w:sz="12" w:space="0" w:color="000000"/>
                        </w:tcBorders>
                      </w:tcPr>
                      <w:p>
                        <w:pPr>
                          <w:pStyle w:val="TableParagraph"/>
                          <w:tabs>
                            <w:tab w:pos="1079" w:val="left" w:leader="none"/>
                          </w:tabs>
                          <w:spacing w:line="212" w:lineRule="exact"/>
                          <w:rPr>
                            <w:sz w:val="20"/>
                          </w:rPr>
                        </w:pPr>
                        <w:r>
                          <w:rPr>
                            <w:sz w:val="20"/>
                          </w:rPr>
                          <w:t>ARC</w:t>
                        </w:r>
                        <w:r>
                          <w:rPr>
                            <w:spacing w:val="-7"/>
                            <w:sz w:val="20"/>
                          </w:rPr>
                          <w:t> </w:t>
                        </w:r>
                        <w:r>
                          <w:rPr>
                            <w:spacing w:val="-5"/>
                            <w:sz w:val="20"/>
                          </w:rPr>
                          <w:t>303</w:t>
                        </w:r>
                        <w:r>
                          <w:rPr>
                            <w:sz w:val="20"/>
                          </w:rPr>
                          <w:tab/>
                        </w:r>
                        <w:r>
                          <w:rPr>
                            <w:spacing w:val="-2"/>
                            <w:sz w:val="20"/>
                          </w:rPr>
                          <w:t>Studio</w:t>
                        </w:r>
                      </w:p>
                    </w:tc>
                    <w:tc>
                      <w:tcPr>
                        <w:tcW w:w="924" w:type="dxa"/>
                        <w:tcBorders>
                          <w:top w:val="single" w:sz="12" w:space="0" w:color="000000"/>
                        </w:tcBorders>
                      </w:tcPr>
                      <w:p>
                        <w:pPr>
                          <w:pStyle w:val="TableParagraph"/>
                          <w:spacing w:line="212" w:lineRule="exact"/>
                          <w:ind w:left="93"/>
                          <w:rPr>
                            <w:sz w:val="20"/>
                          </w:rPr>
                        </w:pPr>
                        <w:r>
                          <w:rPr>
                            <w:w w:val="99"/>
                            <w:sz w:val="20"/>
                          </w:rPr>
                          <w:t>3</w:t>
                        </w:r>
                      </w:p>
                    </w:tc>
                    <w:tc>
                      <w:tcPr>
                        <w:tcW w:w="4009" w:type="dxa"/>
                        <w:gridSpan w:val="2"/>
                        <w:tcBorders>
                          <w:top w:val="single" w:sz="12" w:space="0" w:color="000000"/>
                        </w:tcBorders>
                      </w:tcPr>
                      <w:p>
                        <w:pPr>
                          <w:pStyle w:val="TableParagraph"/>
                          <w:tabs>
                            <w:tab w:pos="1689" w:val="left" w:leader="none"/>
                          </w:tabs>
                          <w:spacing w:line="212" w:lineRule="exact"/>
                          <w:ind w:left="609"/>
                          <w:rPr>
                            <w:sz w:val="20"/>
                          </w:rPr>
                        </w:pPr>
                        <w:r>
                          <w:rPr>
                            <w:sz w:val="20"/>
                          </w:rPr>
                          <w:t>ARC</w:t>
                        </w:r>
                        <w:r>
                          <w:rPr>
                            <w:spacing w:val="-7"/>
                            <w:sz w:val="20"/>
                          </w:rPr>
                          <w:t> </w:t>
                        </w:r>
                        <w:r>
                          <w:rPr>
                            <w:spacing w:val="-5"/>
                            <w:sz w:val="20"/>
                          </w:rPr>
                          <w:t>304</w:t>
                        </w:r>
                        <w:r>
                          <w:rPr>
                            <w:sz w:val="20"/>
                          </w:rPr>
                          <w:tab/>
                        </w:r>
                        <w:r>
                          <w:rPr>
                            <w:spacing w:val="-2"/>
                            <w:sz w:val="20"/>
                          </w:rPr>
                          <w:t>Studio</w:t>
                        </w:r>
                      </w:p>
                    </w:tc>
                    <w:tc>
                      <w:tcPr>
                        <w:tcW w:w="880" w:type="dxa"/>
                        <w:tcBorders>
                          <w:top w:val="single" w:sz="12" w:space="0" w:color="000000"/>
                        </w:tcBorders>
                      </w:tcPr>
                      <w:p>
                        <w:pPr>
                          <w:pStyle w:val="TableParagraph"/>
                          <w:spacing w:line="212" w:lineRule="exact"/>
                          <w:ind w:left="200"/>
                          <w:rPr>
                            <w:sz w:val="20"/>
                          </w:rPr>
                        </w:pPr>
                        <w:r>
                          <w:rPr>
                            <w:w w:val="99"/>
                            <w:sz w:val="20"/>
                          </w:rPr>
                          <w:t>6</w:t>
                        </w:r>
                      </w:p>
                    </w:tc>
                  </w:tr>
                  <w:tr>
                    <w:trPr>
                      <w:trHeight w:val="229" w:hRule="atLeast"/>
                    </w:trPr>
                    <w:tc>
                      <w:tcPr>
                        <w:tcW w:w="3506" w:type="dxa"/>
                        <w:gridSpan w:val="2"/>
                      </w:tcPr>
                      <w:p>
                        <w:pPr>
                          <w:pStyle w:val="TableParagraph"/>
                          <w:tabs>
                            <w:tab w:pos="1079" w:val="left" w:leader="none"/>
                          </w:tabs>
                          <w:spacing w:line="209" w:lineRule="exact"/>
                          <w:ind w:left="-1"/>
                          <w:rPr>
                            <w:sz w:val="20"/>
                          </w:rPr>
                        </w:pPr>
                        <w:r>
                          <w:rPr>
                            <w:sz w:val="20"/>
                          </w:rPr>
                          <w:t>ARC</w:t>
                        </w:r>
                        <w:r>
                          <w:rPr>
                            <w:spacing w:val="-7"/>
                            <w:sz w:val="20"/>
                          </w:rPr>
                          <w:t> </w:t>
                        </w:r>
                        <w:r>
                          <w:rPr>
                            <w:spacing w:val="-5"/>
                            <w:sz w:val="20"/>
                          </w:rPr>
                          <w:t>310</w:t>
                        </w:r>
                        <w:r>
                          <w:rPr>
                            <w:sz w:val="20"/>
                          </w:rPr>
                          <w:tab/>
                          <w:t>Structure</w:t>
                        </w:r>
                        <w:r>
                          <w:rPr>
                            <w:spacing w:val="-14"/>
                            <w:sz w:val="20"/>
                          </w:rPr>
                          <w:t> </w:t>
                        </w:r>
                        <w:r>
                          <w:rPr>
                            <w:spacing w:val="-5"/>
                            <w:sz w:val="20"/>
                          </w:rPr>
                          <w:t>II</w:t>
                        </w:r>
                      </w:p>
                    </w:tc>
                    <w:tc>
                      <w:tcPr>
                        <w:tcW w:w="924" w:type="dxa"/>
                      </w:tcPr>
                      <w:p>
                        <w:pPr>
                          <w:pStyle w:val="TableParagraph"/>
                          <w:spacing w:line="209" w:lineRule="exact"/>
                          <w:ind w:left="93"/>
                          <w:rPr>
                            <w:sz w:val="20"/>
                          </w:rPr>
                        </w:pPr>
                        <w:r>
                          <w:rPr>
                            <w:w w:val="99"/>
                            <w:sz w:val="20"/>
                          </w:rPr>
                          <w:t>3</w:t>
                        </w:r>
                      </w:p>
                    </w:tc>
                    <w:tc>
                      <w:tcPr>
                        <w:tcW w:w="4009" w:type="dxa"/>
                        <w:gridSpan w:val="2"/>
                      </w:tcPr>
                      <w:p>
                        <w:pPr>
                          <w:pStyle w:val="TableParagraph"/>
                          <w:tabs>
                            <w:tab w:pos="1689" w:val="left" w:leader="none"/>
                          </w:tabs>
                          <w:spacing w:line="209" w:lineRule="exact"/>
                          <w:ind w:left="609"/>
                          <w:rPr>
                            <w:sz w:val="20"/>
                          </w:rPr>
                        </w:pPr>
                        <w:r>
                          <w:rPr>
                            <w:sz w:val="20"/>
                          </w:rPr>
                          <w:t>ARC</w:t>
                        </w:r>
                        <w:r>
                          <w:rPr>
                            <w:spacing w:val="-7"/>
                            <w:sz w:val="20"/>
                          </w:rPr>
                          <w:t> </w:t>
                        </w:r>
                        <w:r>
                          <w:rPr>
                            <w:spacing w:val="-5"/>
                            <w:sz w:val="20"/>
                          </w:rPr>
                          <w:t>315</w:t>
                        </w:r>
                        <w:r>
                          <w:rPr>
                            <w:sz w:val="20"/>
                          </w:rPr>
                          <w:tab/>
                        </w:r>
                        <w:r>
                          <w:rPr>
                            <w:w w:val="95"/>
                            <w:sz w:val="20"/>
                          </w:rPr>
                          <w:t>Environmental</w:t>
                        </w:r>
                        <w:r>
                          <w:rPr>
                            <w:spacing w:val="47"/>
                            <w:sz w:val="20"/>
                          </w:rPr>
                          <w:t> </w:t>
                        </w:r>
                        <w:r>
                          <w:rPr>
                            <w:spacing w:val="-2"/>
                            <w:sz w:val="20"/>
                          </w:rPr>
                          <w:t>Systems</w:t>
                        </w:r>
                      </w:p>
                    </w:tc>
                    <w:tc>
                      <w:tcPr>
                        <w:tcW w:w="880" w:type="dxa"/>
                      </w:tcPr>
                      <w:p>
                        <w:pPr>
                          <w:pStyle w:val="TableParagraph"/>
                          <w:spacing w:line="209" w:lineRule="exact"/>
                          <w:ind w:left="200"/>
                          <w:rPr>
                            <w:sz w:val="20"/>
                          </w:rPr>
                        </w:pPr>
                        <w:r>
                          <w:rPr>
                            <w:w w:val="99"/>
                            <w:sz w:val="20"/>
                          </w:rPr>
                          <w:t>3</w:t>
                        </w:r>
                      </w:p>
                    </w:tc>
                  </w:tr>
                  <w:tr>
                    <w:trPr>
                      <w:trHeight w:val="229" w:hRule="atLeast"/>
                    </w:trPr>
                    <w:tc>
                      <w:tcPr>
                        <w:tcW w:w="3506" w:type="dxa"/>
                        <w:gridSpan w:val="2"/>
                      </w:tcPr>
                      <w:p>
                        <w:pPr>
                          <w:pStyle w:val="TableParagraph"/>
                          <w:tabs>
                            <w:tab w:pos="1078" w:val="left" w:leader="none"/>
                          </w:tabs>
                          <w:spacing w:line="209" w:lineRule="exact"/>
                          <w:ind w:left="-1"/>
                          <w:rPr>
                            <w:b/>
                            <w:sz w:val="20"/>
                          </w:rPr>
                        </w:pPr>
                        <w:r>
                          <w:rPr>
                            <w:b/>
                            <w:sz w:val="20"/>
                          </w:rPr>
                          <w:t>ARC</w:t>
                        </w:r>
                        <w:r>
                          <w:rPr>
                            <w:b/>
                            <w:spacing w:val="-6"/>
                            <w:sz w:val="20"/>
                          </w:rPr>
                          <w:t> </w:t>
                        </w:r>
                        <w:r>
                          <w:rPr>
                            <w:b/>
                            <w:spacing w:val="-5"/>
                            <w:sz w:val="20"/>
                          </w:rPr>
                          <w:t>314</w:t>
                        </w:r>
                        <w:r>
                          <w:rPr>
                            <w:b/>
                            <w:sz w:val="20"/>
                          </w:rPr>
                          <w:tab/>
                          <w:t>Bldg</w:t>
                        </w:r>
                        <w:r>
                          <w:rPr>
                            <w:b/>
                            <w:spacing w:val="-4"/>
                            <w:sz w:val="20"/>
                          </w:rPr>
                          <w:t> </w:t>
                        </w:r>
                        <w:r>
                          <w:rPr>
                            <w:b/>
                            <w:spacing w:val="-2"/>
                            <w:sz w:val="20"/>
                          </w:rPr>
                          <w:t>Assemblies</w:t>
                        </w:r>
                      </w:p>
                    </w:tc>
                    <w:tc>
                      <w:tcPr>
                        <w:tcW w:w="924" w:type="dxa"/>
                      </w:tcPr>
                      <w:p>
                        <w:pPr>
                          <w:pStyle w:val="TableParagraph"/>
                          <w:spacing w:line="209" w:lineRule="exact"/>
                          <w:ind w:left="93"/>
                          <w:rPr>
                            <w:b/>
                            <w:sz w:val="20"/>
                          </w:rPr>
                        </w:pPr>
                        <w:r>
                          <w:rPr>
                            <w:b/>
                            <w:w w:val="99"/>
                            <w:sz w:val="20"/>
                          </w:rPr>
                          <w:t>3</w:t>
                        </w:r>
                      </w:p>
                    </w:tc>
                    <w:tc>
                      <w:tcPr>
                        <w:tcW w:w="4009" w:type="dxa"/>
                        <w:gridSpan w:val="2"/>
                      </w:tcPr>
                      <w:p>
                        <w:pPr>
                          <w:pStyle w:val="TableParagraph"/>
                          <w:tabs>
                            <w:tab w:pos="1689" w:val="left" w:leader="none"/>
                          </w:tabs>
                          <w:spacing w:line="209" w:lineRule="exact"/>
                          <w:ind w:left="609"/>
                          <w:rPr>
                            <w:b/>
                            <w:sz w:val="20"/>
                          </w:rPr>
                        </w:pPr>
                        <w:r>
                          <w:rPr>
                            <w:b/>
                            <w:sz w:val="20"/>
                          </w:rPr>
                          <w:t>ARC</w:t>
                        </w:r>
                        <w:r>
                          <w:rPr>
                            <w:b/>
                            <w:spacing w:val="-6"/>
                            <w:sz w:val="20"/>
                          </w:rPr>
                          <w:t> </w:t>
                        </w:r>
                        <w:r>
                          <w:rPr>
                            <w:b/>
                            <w:spacing w:val="-5"/>
                            <w:sz w:val="20"/>
                          </w:rPr>
                          <w:t>317</w:t>
                        </w:r>
                        <w:r>
                          <w:rPr>
                            <w:b/>
                            <w:sz w:val="20"/>
                          </w:rPr>
                          <w:tab/>
                          <w:t>glob</w:t>
                        </w:r>
                        <w:r>
                          <w:rPr>
                            <w:b/>
                            <w:spacing w:val="-6"/>
                            <w:sz w:val="20"/>
                          </w:rPr>
                          <w:t> </w:t>
                        </w:r>
                        <w:r>
                          <w:rPr>
                            <w:b/>
                            <w:sz w:val="20"/>
                          </w:rPr>
                          <w:t>theories</w:t>
                        </w:r>
                        <w:r>
                          <w:rPr>
                            <w:b/>
                            <w:spacing w:val="46"/>
                            <w:sz w:val="20"/>
                          </w:rPr>
                          <w:t> </w:t>
                        </w:r>
                        <w:r>
                          <w:rPr>
                            <w:b/>
                            <w:sz w:val="20"/>
                          </w:rPr>
                          <w:t>urb</w:t>
                        </w:r>
                        <w:r>
                          <w:rPr>
                            <w:b/>
                            <w:spacing w:val="-6"/>
                            <w:sz w:val="20"/>
                          </w:rPr>
                          <w:t> </w:t>
                        </w:r>
                        <w:r>
                          <w:rPr>
                            <w:b/>
                            <w:spacing w:val="-5"/>
                            <w:sz w:val="20"/>
                          </w:rPr>
                          <w:t>des</w:t>
                        </w:r>
                      </w:p>
                    </w:tc>
                    <w:tc>
                      <w:tcPr>
                        <w:tcW w:w="880" w:type="dxa"/>
                      </w:tcPr>
                      <w:p>
                        <w:pPr>
                          <w:pStyle w:val="TableParagraph"/>
                          <w:spacing w:line="209" w:lineRule="exact"/>
                          <w:ind w:left="200"/>
                          <w:rPr>
                            <w:b/>
                            <w:sz w:val="20"/>
                          </w:rPr>
                        </w:pPr>
                        <w:r>
                          <w:rPr>
                            <w:b/>
                            <w:w w:val="99"/>
                            <w:sz w:val="20"/>
                          </w:rPr>
                          <w:t>3</w:t>
                        </w:r>
                      </w:p>
                    </w:tc>
                  </w:tr>
                  <w:tr>
                    <w:trPr>
                      <w:trHeight w:val="230" w:hRule="atLeast"/>
                    </w:trPr>
                    <w:tc>
                      <w:tcPr>
                        <w:tcW w:w="3506" w:type="dxa"/>
                        <w:gridSpan w:val="2"/>
                      </w:tcPr>
                      <w:p>
                        <w:pPr>
                          <w:pStyle w:val="TableParagraph"/>
                          <w:spacing w:line="210" w:lineRule="exact"/>
                          <w:ind w:left="-1"/>
                          <w:rPr>
                            <w:sz w:val="20"/>
                          </w:rPr>
                        </w:pPr>
                        <w:r>
                          <w:rPr>
                            <w:sz w:val="20"/>
                          </w:rPr>
                          <w:t>HUM</w:t>
                        </w:r>
                        <w:r>
                          <w:rPr>
                            <w:spacing w:val="-6"/>
                            <w:sz w:val="20"/>
                          </w:rPr>
                          <w:t> </w:t>
                        </w:r>
                        <w:r>
                          <w:rPr>
                            <w:spacing w:val="-5"/>
                            <w:sz w:val="20"/>
                          </w:rPr>
                          <w:t>201</w:t>
                        </w:r>
                      </w:p>
                    </w:tc>
                    <w:tc>
                      <w:tcPr>
                        <w:tcW w:w="924" w:type="dxa"/>
                      </w:tcPr>
                      <w:p>
                        <w:pPr>
                          <w:pStyle w:val="TableParagraph"/>
                          <w:spacing w:line="210" w:lineRule="exact"/>
                          <w:ind w:left="93"/>
                          <w:rPr>
                            <w:sz w:val="20"/>
                          </w:rPr>
                        </w:pPr>
                        <w:r>
                          <w:rPr>
                            <w:w w:val="99"/>
                            <w:sz w:val="20"/>
                          </w:rPr>
                          <w:t>3</w:t>
                        </w:r>
                      </w:p>
                    </w:tc>
                    <w:tc>
                      <w:tcPr>
                        <w:tcW w:w="4009" w:type="dxa"/>
                        <w:gridSpan w:val="2"/>
                      </w:tcPr>
                      <w:p>
                        <w:pPr>
                          <w:pStyle w:val="TableParagraph"/>
                          <w:tabs>
                            <w:tab w:pos="1689" w:val="left" w:leader="none"/>
                          </w:tabs>
                          <w:spacing w:line="210" w:lineRule="exact"/>
                          <w:ind w:left="609"/>
                          <w:rPr>
                            <w:b/>
                            <w:sz w:val="20"/>
                          </w:rPr>
                        </w:pPr>
                        <w:r>
                          <w:rPr>
                            <w:b/>
                            <w:sz w:val="20"/>
                          </w:rPr>
                          <w:t>ARC</w:t>
                        </w:r>
                        <w:r>
                          <w:rPr>
                            <w:b/>
                            <w:spacing w:val="-6"/>
                            <w:sz w:val="20"/>
                          </w:rPr>
                          <w:t> </w:t>
                        </w:r>
                        <w:r>
                          <w:rPr>
                            <w:b/>
                            <w:spacing w:val="-5"/>
                            <w:sz w:val="20"/>
                          </w:rPr>
                          <w:t>301</w:t>
                        </w:r>
                        <w:r>
                          <w:rPr>
                            <w:b/>
                            <w:sz w:val="20"/>
                          </w:rPr>
                          <w:tab/>
                          <w:t>Intl</w:t>
                        </w:r>
                        <w:r>
                          <w:rPr>
                            <w:b/>
                            <w:spacing w:val="-7"/>
                            <w:sz w:val="20"/>
                          </w:rPr>
                          <w:t> </w:t>
                        </w:r>
                        <w:r>
                          <w:rPr>
                            <w:b/>
                            <w:sz w:val="20"/>
                          </w:rPr>
                          <w:t>Studio</w:t>
                        </w:r>
                        <w:r>
                          <w:rPr>
                            <w:b/>
                            <w:spacing w:val="-5"/>
                            <w:sz w:val="20"/>
                          </w:rPr>
                          <w:t> </w:t>
                        </w:r>
                        <w:r>
                          <w:rPr>
                            <w:b/>
                            <w:sz w:val="20"/>
                          </w:rPr>
                          <w:t>Travel</w:t>
                        </w:r>
                        <w:r>
                          <w:rPr>
                            <w:b/>
                            <w:spacing w:val="-7"/>
                            <w:sz w:val="20"/>
                          </w:rPr>
                          <w:t> </w:t>
                        </w:r>
                        <w:r>
                          <w:rPr>
                            <w:b/>
                            <w:spacing w:val="-4"/>
                            <w:sz w:val="20"/>
                          </w:rPr>
                          <w:t>Prep</w:t>
                        </w:r>
                      </w:p>
                    </w:tc>
                    <w:tc>
                      <w:tcPr>
                        <w:tcW w:w="880" w:type="dxa"/>
                      </w:tcPr>
                      <w:p>
                        <w:pPr>
                          <w:pStyle w:val="TableParagraph"/>
                          <w:spacing w:line="210" w:lineRule="exact"/>
                          <w:ind w:left="200"/>
                          <w:rPr>
                            <w:b/>
                            <w:sz w:val="20"/>
                          </w:rPr>
                        </w:pPr>
                        <w:r>
                          <w:rPr>
                            <w:b/>
                            <w:w w:val="99"/>
                            <w:sz w:val="20"/>
                          </w:rPr>
                          <w:t>1</w:t>
                        </w:r>
                      </w:p>
                    </w:tc>
                  </w:tr>
                  <w:tr>
                    <w:trPr>
                      <w:trHeight w:val="230" w:hRule="atLeast"/>
                    </w:trPr>
                    <w:tc>
                      <w:tcPr>
                        <w:tcW w:w="3506" w:type="dxa"/>
                        <w:gridSpan w:val="2"/>
                      </w:tcPr>
                      <w:p>
                        <w:pPr>
                          <w:pStyle w:val="TableParagraph"/>
                          <w:spacing w:line="210" w:lineRule="exact"/>
                          <w:ind w:left="-1"/>
                          <w:rPr>
                            <w:sz w:val="20"/>
                          </w:rPr>
                        </w:pPr>
                        <w:r>
                          <w:rPr>
                            <w:sz w:val="20"/>
                          </w:rPr>
                          <w:t>OPEN</w:t>
                        </w:r>
                        <w:r>
                          <w:rPr>
                            <w:spacing w:val="-7"/>
                            <w:sz w:val="20"/>
                          </w:rPr>
                          <w:t> </w:t>
                        </w:r>
                        <w:r>
                          <w:rPr>
                            <w:sz w:val="20"/>
                          </w:rPr>
                          <w:t>ELECTIVE</w:t>
                        </w:r>
                        <w:r>
                          <w:rPr>
                            <w:spacing w:val="-7"/>
                            <w:sz w:val="20"/>
                          </w:rPr>
                          <w:t> </w:t>
                        </w:r>
                        <w:r>
                          <w:rPr>
                            <w:spacing w:val="-10"/>
                            <w:sz w:val="20"/>
                          </w:rPr>
                          <w:t>2</w:t>
                        </w:r>
                      </w:p>
                    </w:tc>
                    <w:tc>
                      <w:tcPr>
                        <w:tcW w:w="924" w:type="dxa"/>
                      </w:tcPr>
                      <w:p>
                        <w:pPr>
                          <w:pStyle w:val="TableParagraph"/>
                          <w:spacing w:line="210" w:lineRule="exact"/>
                          <w:ind w:left="93"/>
                          <w:rPr>
                            <w:sz w:val="20"/>
                          </w:rPr>
                        </w:pPr>
                        <w:r>
                          <w:rPr>
                            <w:w w:val="99"/>
                            <w:sz w:val="20"/>
                          </w:rPr>
                          <w:t>3</w:t>
                        </w:r>
                      </w:p>
                    </w:tc>
                    <w:tc>
                      <w:tcPr>
                        <w:tcW w:w="4009" w:type="dxa"/>
                        <w:gridSpan w:val="2"/>
                      </w:tcPr>
                      <w:p>
                        <w:pPr>
                          <w:pStyle w:val="TableParagraph"/>
                          <w:tabs>
                            <w:tab w:pos="1689" w:val="left" w:leader="none"/>
                          </w:tabs>
                          <w:spacing w:line="210" w:lineRule="exact"/>
                          <w:ind w:left="609"/>
                          <w:rPr>
                            <w:sz w:val="20"/>
                          </w:rPr>
                        </w:pPr>
                        <w:r>
                          <w:rPr>
                            <w:sz w:val="20"/>
                          </w:rPr>
                          <w:t>HIS</w:t>
                        </w:r>
                        <w:r>
                          <w:rPr>
                            <w:spacing w:val="-7"/>
                            <w:sz w:val="20"/>
                          </w:rPr>
                          <w:t> </w:t>
                        </w:r>
                        <w:r>
                          <w:rPr>
                            <w:spacing w:val="-5"/>
                            <w:sz w:val="20"/>
                          </w:rPr>
                          <w:t>106</w:t>
                        </w:r>
                        <w:r>
                          <w:rPr>
                            <w:sz w:val="20"/>
                          </w:rPr>
                          <w:tab/>
                          <w:t>World</w:t>
                        </w:r>
                        <w:r>
                          <w:rPr>
                            <w:spacing w:val="-6"/>
                            <w:sz w:val="20"/>
                          </w:rPr>
                          <w:t> </w:t>
                        </w:r>
                        <w:r>
                          <w:rPr>
                            <w:spacing w:val="-2"/>
                            <w:sz w:val="20"/>
                          </w:rPr>
                          <w:t>Civilization</w:t>
                        </w:r>
                      </w:p>
                    </w:tc>
                    <w:tc>
                      <w:tcPr>
                        <w:tcW w:w="880" w:type="dxa"/>
                      </w:tcPr>
                      <w:p>
                        <w:pPr>
                          <w:pStyle w:val="TableParagraph"/>
                          <w:spacing w:line="210" w:lineRule="exact"/>
                          <w:ind w:left="200"/>
                          <w:rPr>
                            <w:sz w:val="20"/>
                          </w:rPr>
                        </w:pPr>
                        <w:r>
                          <w:rPr>
                            <w:w w:val="99"/>
                            <w:sz w:val="20"/>
                          </w:rPr>
                          <w:t>3</w:t>
                        </w:r>
                      </w:p>
                    </w:tc>
                  </w:tr>
                  <w:tr>
                    <w:trPr>
                      <w:trHeight w:val="226" w:hRule="atLeast"/>
                    </w:trPr>
                    <w:tc>
                      <w:tcPr>
                        <w:tcW w:w="3506" w:type="dxa"/>
                        <w:gridSpan w:val="2"/>
                      </w:tcPr>
                      <w:p>
                        <w:pPr>
                          <w:pStyle w:val="TableParagraph"/>
                          <w:spacing w:line="206" w:lineRule="exact"/>
                          <w:rPr>
                            <w:sz w:val="20"/>
                          </w:rPr>
                        </w:pPr>
                        <w:r>
                          <w:rPr>
                            <w:spacing w:val="-2"/>
                            <w:sz w:val="20"/>
                          </w:rPr>
                          <w:t>(PED)*</w:t>
                        </w:r>
                      </w:p>
                    </w:tc>
                    <w:tc>
                      <w:tcPr>
                        <w:tcW w:w="924" w:type="dxa"/>
                      </w:tcPr>
                      <w:p>
                        <w:pPr>
                          <w:pStyle w:val="TableParagraph"/>
                          <w:rPr>
                            <w:rFonts w:ascii="Times New Roman"/>
                            <w:sz w:val="16"/>
                          </w:rPr>
                        </w:pPr>
                      </w:p>
                    </w:tc>
                    <w:tc>
                      <w:tcPr>
                        <w:tcW w:w="4009" w:type="dxa"/>
                        <w:gridSpan w:val="2"/>
                      </w:tcPr>
                      <w:p>
                        <w:pPr>
                          <w:pStyle w:val="TableParagraph"/>
                          <w:rPr>
                            <w:rFonts w:ascii="Times New Roman"/>
                            <w:sz w:val="16"/>
                          </w:rPr>
                        </w:pPr>
                      </w:p>
                    </w:tc>
                    <w:tc>
                      <w:tcPr>
                        <w:tcW w:w="880" w:type="dxa"/>
                      </w:tcPr>
                      <w:p>
                        <w:pPr>
                          <w:pStyle w:val="TableParagraph"/>
                          <w:spacing w:line="206" w:lineRule="exact"/>
                          <w:ind w:left="201"/>
                          <w:rPr>
                            <w:sz w:val="20"/>
                          </w:rPr>
                        </w:pPr>
                        <w:r>
                          <w:rPr>
                            <w:spacing w:val="-5"/>
                            <w:sz w:val="20"/>
                          </w:rPr>
                          <w:t>(1)</w:t>
                        </w:r>
                      </w:p>
                    </w:tc>
                  </w:tr>
                  <w:tr>
                    <w:trPr>
                      <w:trHeight w:val="463" w:hRule="atLeast"/>
                    </w:trPr>
                    <w:tc>
                      <w:tcPr>
                        <w:tcW w:w="3506" w:type="dxa"/>
                        <w:gridSpan w:val="2"/>
                      </w:tcPr>
                      <w:p>
                        <w:pPr>
                          <w:pStyle w:val="TableParagraph"/>
                          <w:rPr>
                            <w:rFonts w:ascii="Times New Roman"/>
                            <w:sz w:val="18"/>
                          </w:rPr>
                        </w:pPr>
                      </w:p>
                    </w:tc>
                    <w:tc>
                      <w:tcPr>
                        <w:tcW w:w="924" w:type="dxa"/>
                      </w:tcPr>
                      <w:p>
                        <w:pPr>
                          <w:pStyle w:val="TableParagraph"/>
                          <w:ind w:left="94"/>
                          <w:rPr>
                            <w:sz w:val="20"/>
                          </w:rPr>
                        </w:pPr>
                        <w:r>
                          <w:rPr>
                            <w:spacing w:val="-5"/>
                            <w:sz w:val="20"/>
                          </w:rPr>
                          <w:t>18</w:t>
                        </w:r>
                      </w:p>
                    </w:tc>
                    <w:tc>
                      <w:tcPr>
                        <w:tcW w:w="4009" w:type="dxa"/>
                        <w:gridSpan w:val="2"/>
                      </w:tcPr>
                      <w:p>
                        <w:pPr>
                          <w:pStyle w:val="TableParagraph"/>
                          <w:rPr>
                            <w:rFonts w:ascii="Times New Roman"/>
                            <w:sz w:val="18"/>
                          </w:rPr>
                        </w:pPr>
                      </w:p>
                    </w:tc>
                    <w:tc>
                      <w:tcPr>
                        <w:tcW w:w="880" w:type="dxa"/>
                      </w:tcPr>
                      <w:p>
                        <w:pPr>
                          <w:pStyle w:val="TableParagraph"/>
                          <w:ind w:left="201"/>
                          <w:rPr>
                            <w:sz w:val="20"/>
                          </w:rPr>
                        </w:pPr>
                        <w:r>
                          <w:rPr>
                            <w:spacing w:val="-2"/>
                            <w:sz w:val="20"/>
                          </w:rPr>
                          <w:t>16/(17)</w:t>
                        </w:r>
                      </w:p>
                    </w:tc>
                  </w:tr>
                  <w:tr>
                    <w:trPr>
                      <w:trHeight w:val="440" w:hRule="atLeast"/>
                    </w:trPr>
                    <w:tc>
                      <w:tcPr>
                        <w:tcW w:w="3506" w:type="dxa"/>
                        <w:gridSpan w:val="2"/>
                        <w:tcBorders>
                          <w:bottom w:val="single" w:sz="12" w:space="0" w:color="000000"/>
                        </w:tcBorders>
                      </w:tcPr>
                      <w:p>
                        <w:pPr>
                          <w:pStyle w:val="TableParagraph"/>
                          <w:spacing w:before="7"/>
                          <w:rPr>
                            <w:sz w:val="19"/>
                          </w:rPr>
                        </w:pPr>
                      </w:p>
                      <w:p>
                        <w:pPr>
                          <w:pStyle w:val="TableParagraph"/>
                          <w:spacing w:line="185" w:lineRule="exact"/>
                          <w:rPr>
                            <w:b/>
                            <w:sz w:val="20"/>
                          </w:rPr>
                        </w:pPr>
                        <w:r>
                          <w:rPr>
                            <w:b/>
                            <w:sz w:val="20"/>
                          </w:rPr>
                          <w:t>semester</w:t>
                        </w:r>
                        <w:r>
                          <w:rPr>
                            <w:b/>
                            <w:spacing w:val="-10"/>
                            <w:sz w:val="20"/>
                          </w:rPr>
                          <w:t> </w:t>
                        </w:r>
                        <w:r>
                          <w:rPr>
                            <w:b/>
                            <w:spacing w:val="-5"/>
                            <w:sz w:val="20"/>
                          </w:rPr>
                          <w:t>VII</w:t>
                        </w:r>
                      </w:p>
                    </w:tc>
                    <w:tc>
                      <w:tcPr>
                        <w:tcW w:w="924" w:type="dxa"/>
                        <w:tcBorders>
                          <w:bottom w:val="single" w:sz="12" w:space="0" w:color="000000"/>
                        </w:tcBorders>
                      </w:tcPr>
                      <w:p>
                        <w:pPr>
                          <w:pStyle w:val="TableParagraph"/>
                          <w:rPr>
                            <w:rFonts w:ascii="Times New Roman"/>
                            <w:sz w:val="18"/>
                          </w:rPr>
                        </w:pPr>
                      </w:p>
                    </w:tc>
                    <w:tc>
                      <w:tcPr>
                        <w:tcW w:w="4009" w:type="dxa"/>
                        <w:gridSpan w:val="2"/>
                        <w:tcBorders>
                          <w:bottom w:val="single" w:sz="12" w:space="0" w:color="000000"/>
                        </w:tcBorders>
                      </w:tcPr>
                      <w:p>
                        <w:pPr>
                          <w:pStyle w:val="TableParagraph"/>
                          <w:rPr>
                            <w:rFonts w:ascii="Times New Roman"/>
                            <w:sz w:val="18"/>
                          </w:rPr>
                        </w:pPr>
                      </w:p>
                    </w:tc>
                    <w:tc>
                      <w:tcPr>
                        <w:tcW w:w="880" w:type="dxa"/>
                        <w:tcBorders>
                          <w:bottom w:val="single" w:sz="12" w:space="0" w:color="000000"/>
                        </w:tcBorders>
                      </w:tcPr>
                      <w:p>
                        <w:pPr>
                          <w:pStyle w:val="TableParagraph"/>
                          <w:rPr>
                            <w:rFonts w:ascii="Times New Roman"/>
                            <w:sz w:val="18"/>
                          </w:rPr>
                        </w:pPr>
                      </w:p>
                    </w:tc>
                  </w:tr>
                  <w:tr>
                    <w:trPr>
                      <w:trHeight w:val="265" w:hRule="atLeast"/>
                    </w:trPr>
                    <w:tc>
                      <w:tcPr>
                        <w:tcW w:w="3506" w:type="dxa"/>
                        <w:gridSpan w:val="2"/>
                        <w:tcBorders>
                          <w:top w:val="single" w:sz="12" w:space="0" w:color="000000"/>
                        </w:tcBorders>
                      </w:tcPr>
                      <w:p>
                        <w:pPr>
                          <w:pStyle w:val="TableParagraph"/>
                          <w:tabs>
                            <w:tab w:pos="1079" w:val="left" w:leader="none"/>
                          </w:tabs>
                          <w:spacing w:line="225" w:lineRule="exact"/>
                          <w:rPr>
                            <w:sz w:val="20"/>
                          </w:rPr>
                        </w:pPr>
                        <w:r>
                          <w:rPr>
                            <w:sz w:val="20"/>
                          </w:rPr>
                          <w:t>ARC</w:t>
                        </w:r>
                        <w:r>
                          <w:rPr>
                            <w:spacing w:val="-7"/>
                            <w:sz w:val="20"/>
                          </w:rPr>
                          <w:t> </w:t>
                        </w:r>
                        <w:r>
                          <w:rPr>
                            <w:spacing w:val="-5"/>
                            <w:sz w:val="20"/>
                          </w:rPr>
                          <w:t>305</w:t>
                        </w:r>
                        <w:r>
                          <w:rPr>
                            <w:sz w:val="20"/>
                          </w:rPr>
                          <w:tab/>
                          <w:t>International</w:t>
                        </w:r>
                        <w:r>
                          <w:rPr>
                            <w:spacing w:val="-13"/>
                            <w:sz w:val="20"/>
                          </w:rPr>
                          <w:t> </w:t>
                        </w:r>
                        <w:r>
                          <w:rPr>
                            <w:sz w:val="20"/>
                          </w:rPr>
                          <w:t>Travel</w:t>
                        </w:r>
                        <w:r>
                          <w:rPr>
                            <w:spacing w:val="-10"/>
                            <w:sz w:val="20"/>
                          </w:rPr>
                          <w:t> </w:t>
                        </w:r>
                        <w:r>
                          <w:rPr>
                            <w:spacing w:val="-2"/>
                            <w:sz w:val="20"/>
                          </w:rPr>
                          <w:t>Studio</w:t>
                        </w:r>
                      </w:p>
                    </w:tc>
                    <w:tc>
                      <w:tcPr>
                        <w:tcW w:w="924" w:type="dxa"/>
                        <w:tcBorders>
                          <w:top w:val="single" w:sz="12" w:space="0" w:color="000000"/>
                        </w:tcBorders>
                      </w:tcPr>
                      <w:p>
                        <w:pPr>
                          <w:pStyle w:val="TableParagraph"/>
                          <w:spacing w:line="225" w:lineRule="exact"/>
                          <w:ind w:left="93"/>
                          <w:rPr>
                            <w:sz w:val="20"/>
                          </w:rPr>
                        </w:pPr>
                        <w:r>
                          <w:rPr>
                            <w:w w:val="99"/>
                            <w:sz w:val="20"/>
                          </w:rPr>
                          <w:t>3</w:t>
                        </w:r>
                      </w:p>
                    </w:tc>
                    <w:tc>
                      <w:tcPr>
                        <w:tcW w:w="4009" w:type="dxa"/>
                        <w:gridSpan w:val="2"/>
                        <w:tcBorders>
                          <w:top w:val="single" w:sz="12" w:space="0" w:color="000000"/>
                        </w:tcBorders>
                      </w:tcPr>
                      <w:p>
                        <w:pPr>
                          <w:pStyle w:val="TableParagraph"/>
                          <w:rPr>
                            <w:rFonts w:ascii="Times New Roman"/>
                            <w:sz w:val="18"/>
                          </w:rPr>
                        </w:pPr>
                      </w:p>
                    </w:tc>
                    <w:tc>
                      <w:tcPr>
                        <w:tcW w:w="880" w:type="dxa"/>
                        <w:tcBorders>
                          <w:top w:val="single" w:sz="12" w:space="0" w:color="000000"/>
                        </w:tcBorders>
                      </w:tcPr>
                      <w:p>
                        <w:pPr>
                          <w:pStyle w:val="TableParagraph"/>
                          <w:rPr>
                            <w:rFonts w:ascii="Times New Roman"/>
                            <w:sz w:val="18"/>
                          </w:rPr>
                        </w:pPr>
                      </w:p>
                    </w:tc>
                  </w:tr>
                </w:tbl>
                <w:p>
                  <w:pPr>
                    <w:pStyle w:val="BodyText"/>
                  </w:pPr>
                </w:p>
              </w:txbxContent>
            </v:textbox>
            <w10:wrap type="none"/>
          </v:shape>
        </w:pict>
      </w:r>
      <w:r>
        <w:rPr>
          <w:b/>
          <w:sz w:val="20"/>
          <w:u w:val="thick"/>
        </w:rPr>
        <w:t>semester</w:t>
      </w:r>
      <w:r>
        <w:rPr>
          <w:b/>
          <w:spacing w:val="-13"/>
          <w:sz w:val="20"/>
          <w:u w:val="thick"/>
        </w:rPr>
        <w:t> </w:t>
      </w:r>
      <w:r>
        <w:rPr>
          <w:b/>
          <w:spacing w:val="-5"/>
          <w:sz w:val="20"/>
          <w:u w:val="thick"/>
        </w:rPr>
        <w:t>III</w:t>
      </w:r>
      <w:r>
        <w:rPr>
          <w:b/>
          <w:sz w:val="20"/>
          <w:u w:val="thick"/>
        </w:rPr>
        <w:tab/>
        <w:t>semester</w:t>
      </w:r>
      <w:r>
        <w:rPr>
          <w:b/>
          <w:spacing w:val="-13"/>
          <w:sz w:val="20"/>
          <w:u w:val="thick"/>
        </w:rPr>
        <w:t> </w:t>
      </w:r>
      <w:r>
        <w:rPr>
          <w:b/>
          <w:spacing w:val="-5"/>
          <w:sz w:val="20"/>
          <w:u w:val="thick"/>
        </w:rPr>
        <w:t>IV</w:t>
      </w:r>
      <w:r>
        <w:rPr>
          <w:b/>
          <w:sz w:val="20"/>
          <w:u w:val="thick"/>
        </w:rPr>
        <w:tab/>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
        <w:rPr>
          <w:b/>
          <w:sz w:val="16"/>
        </w:rPr>
      </w:pPr>
      <w:r>
        <w:rPr/>
        <w:pict>
          <v:rect style="position:absolute;margin-left:75.360001pt;margin-top:10.53793pt;width:446.64pt;height:.72pt;mso-position-horizontal-relative:page;mso-position-vertical-relative:paragraph;z-index:-15720960;mso-wrap-distance-left:0;mso-wrap-distance-right:0" id="docshape205" filled="true" fillcolor="#000000" stroked="false">
            <v:fill type="solid"/>
            <w10:wrap type="topAndBottom"/>
          </v:rect>
        </w:pic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tabs>
          <w:tab w:pos="1519" w:val="left" w:leader="none"/>
          <w:tab w:pos="4039" w:val="left" w:leader="none"/>
          <w:tab w:pos="5479" w:val="left" w:leader="none"/>
        </w:tabs>
        <w:spacing w:before="144"/>
        <w:ind w:left="440"/>
      </w:pPr>
      <w:r>
        <w:rPr>
          <w:u w:val="single"/>
        </w:rPr>
        <w:t>ARC</w:t>
      </w:r>
      <w:r>
        <w:rPr>
          <w:spacing w:val="-7"/>
          <w:u w:val="single"/>
        </w:rPr>
        <w:t> </w:t>
      </w:r>
      <w:r>
        <w:rPr>
          <w:spacing w:val="-5"/>
          <w:u w:val="single"/>
        </w:rPr>
        <w:t>306</w:t>
      </w:r>
      <w:r>
        <w:rPr>
          <w:u w:val="single"/>
        </w:rPr>
        <w:tab/>
        <w:t>Intl</w:t>
      </w:r>
      <w:r>
        <w:rPr>
          <w:spacing w:val="-7"/>
          <w:u w:val="single"/>
        </w:rPr>
        <w:t> </w:t>
      </w:r>
      <w:r>
        <w:rPr>
          <w:u w:val="single"/>
        </w:rPr>
        <w:t>Urban</w:t>
      </w:r>
      <w:r>
        <w:rPr>
          <w:spacing w:val="-5"/>
          <w:u w:val="single"/>
        </w:rPr>
        <w:t> </w:t>
      </w:r>
      <w:r>
        <w:rPr>
          <w:u w:val="single"/>
        </w:rPr>
        <w:t>Design</w:t>
      </w:r>
      <w:r>
        <w:rPr>
          <w:spacing w:val="-6"/>
          <w:u w:val="single"/>
        </w:rPr>
        <w:t> </w:t>
      </w:r>
      <w:r>
        <w:rPr>
          <w:spacing w:val="-2"/>
          <w:u w:val="single"/>
        </w:rPr>
        <w:t>Studio</w:t>
      </w:r>
      <w:r>
        <w:rPr>
          <w:u w:val="single"/>
        </w:rPr>
        <w:tab/>
      </w:r>
      <w:r>
        <w:rPr>
          <w:spacing w:val="-10"/>
          <w:u w:val="single"/>
        </w:rPr>
        <w:t>3</w:t>
      </w:r>
      <w:r>
        <w:rPr>
          <w:u w:val="single"/>
        </w:rPr>
        <w:tab/>
      </w:r>
    </w:p>
    <w:p>
      <w:pPr>
        <w:pStyle w:val="BodyText"/>
        <w:spacing w:before="1"/>
        <w:ind w:right="2226"/>
        <w:jc w:val="center"/>
      </w:pPr>
      <w:r>
        <w:rPr>
          <w:w w:val="99"/>
        </w:rPr>
        <w:t>6</w:t>
      </w:r>
    </w:p>
    <w:p>
      <w:pPr>
        <w:pStyle w:val="BodyText"/>
        <w:spacing w:before="1"/>
        <w:rPr>
          <w:sz w:val="16"/>
        </w:rPr>
      </w:pPr>
    </w:p>
    <w:tbl>
      <w:tblPr>
        <w:tblW w:w="0" w:type="auto"/>
        <w:jc w:val="left"/>
        <w:tblInd w:w="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43"/>
        <w:gridCol w:w="1086"/>
        <w:gridCol w:w="4569"/>
      </w:tblGrid>
      <w:tr>
        <w:trPr>
          <w:trHeight w:val="257" w:hRule="atLeast"/>
        </w:trPr>
        <w:tc>
          <w:tcPr>
            <w:tcW w:w="3343" w:type="dxa"/>
            <w:tcBorders>
              <w:bottom w:val="single" w:sz="12" w:space="0" w:color="000000"/>
            </w:tcBorders>
          </w:tcPr>
          <w:p>
            <w:pPr>
              <w:pStyle w:val="TableParagraph"/>
              <w:spacing w:line="185" w:lineRule="exact" w:before="42"/>
              <w:rPr>
                <w:b/>
                <w:sz w:val="20"/>
              </w:rPr>
            </w:pPr>
            <w:r>
              <w:rPr>
                <w:b/>
                <w:sz w:val="20"/>
              </w:rPr>
              <w:t>semester</w:t>
            </w:r>
            <w:r>
              <w:rPr>
                <w:b/>
                <w:spacing w:val="-10"/>
                <w:sz w:val="20"/>
              </w:rPr>
              <w:t> </w:t>
            </w:r>
            <w:r>
              <w:rPr>
                <w:b/>
                <w:spacing w:val="-4"/>
                <w:sz w:val="20"/>
              </w:rPr>
              <w:t>VIII</w:t>
            </w:r>
          </w:p>
        </w:tc>
        <w:tc>
          <w:tcPr>
            <w:tcW w:w="1086" w:type="dxa"/>
            <w:tcBorders>
              <w:bottom w:val="single" w:sz="12" w:space="0" w:color="000000"/>
            </w:tcBorders>
          </w:tcPr>
          <w:p>
            <w:pPr>
              <w:pStyle w:val="TableParagraph"/>
              <w:rPr>
                <w:rFonts w:ascii="Times New Roman"/>
                <w:sz w:val="18"/>
              </w:rPr>
            </w:pPr>
          </w:p>
        </w:tc>
        <w:tc>
          <w:tcPr>
            <w:tcW w:w="4569" w:type="dxa"/>
            <w:tcBorders>
              <w:bottom w:val="single" w:sz="12" w:space="0" w:color="000000"/>
            </w:tcBorders>
          </w:tcPr>
          <w:p>
            <w:pPr>
              <w:pStyle w:val="TableParagraph"/>
              <w:spacing w:line="185" w:lineRule="exact" w:before="42"/>
              <w:ind w:left="611"/>
              <w:rPr>
                <w:b/>
                <w:sz w:val="20"/>
              </w:rPr>
            </w:pPr>
            <w:r>
              <w:rPr>
                <w:b/>
                <w:sz w:val="20"/>
              </w:rPr>
              <w:t>semester</w:t>
            </w:r>
            <w:r>
              <w:rPr>
                <w:b/>
                <w:spacing w:val="-13"/>
                <w:sz w:val="20"/>
              </w:rPr>
              <w:t> </w:t>
            </w:r>
            <w:r>
              <w:rPr>
                <w:b/>
                <w:spacing w:val="-5"/>
                <w:sz w:val="20"/>
              </w:rPr>
              <w:t>IX</w:t>
            </w:r>
          </w:p>
        </w:tc>
      </w:tr>
      <w:tr>
        <w:trPr>
          <w:trHeight w:val="219" w:hRule="atLeast"/>
        </w:trPr>
        <w:tc>
          <w:tcPr>
            <w:tcW w:w="3343" w:type="dxa"/>
            <w:tcBorders>
              <w:top w:val="single" w:sz="12" w:space="0" w:color="000000"/>
            </w:tcBorders>
          </w:tcPr>
          <w:p>
            <w:pPr>
              <w:pStyle w:val="TableParagraph"/>
              <w:tabs>
                <w:tab w:pos="1079" w:val="left" w:leader="none"/>
              </w:tabs>
              <w:spacing w:line="209" w:lineRule="exact"/>
              <w:rPr>
                <w:sz w:val="20"/>
              </w:rPr>
            </w:pPr>
            <w:r>
              <w:rPr>
                <w:sz w:val="20"/>
              </w:rPr>
              <w:t>ARC</w:t>
            </w:r>
            <w:r>
              <w:rPr>
                <w:spacing w:val="-7"/>
                <w:sz w:val="20"/>
              </w:rPr>
              <w:t> </w:t>
            </w:r>
            <w:r>
              <w:rPr>
                <w:spacing w:val="-5"/>
                <w:sz w:val="20"/>
              </w:rPr>
              <w:t>405</w:t>
            </w:r>
            <w:r>
              <w:rPr>
                <w:sz w:val="20"/>
              </w:rPr>
              <w:tab/>
            </w:r>
            <w:r>
              <w:rPr>
                <w:spacing w:val="-2"/>
                <w:sz w:val="20"/>
              </w:rPr>
              <w:t>Studio</w:t>
            </w:r>
          </w:p>
        </w:tc>
        <w:tc>
          <w:tcPr>
            <w:tcW w:w="1086" w:type="dxa"/>
            <w:tcBorders>
              <w:top w:val="single" w:sz="12" w:space="0" w:color="000000"/>
            </w:tcBorders>
          </w:tcPr>
          <w:p>
            <w:pPr>
              <w:pStyle w:val="TableParagraph"/>
              <w:spacing w:line="209" w:lineRule="exact"/>
              <w:ind w:left="256"/>
              <w:rPr>
                <w:sz w:val="20"/>
              </w:rPr>
            </w:pPr>
            <w:r>
              <w:rPr>
                <w:w w:val="99"/>
                <w:sz w:val="20"/>
              </w:rPr>
              <w:t>6</w:t>
            </w:r>
          </w:p>
        </w:tc>
        <w:tc>
          <w:tcPr>
            <w:tcW w:w="4569" w:type="dxa"/>
            <w:tcBorders>
              <w:top w:val="single" w:sz="12" w:space="0" w:color="000000"/>
            </w:tcBorders>
          </w:tcPr>
          <w:p>
            <w:pPr>
              <w:pStyle w:val="TableParagraph"/>
              <w:tabs>
                <w:tab w:pos="1690" w:val="left" w:leader="none"/>
                <w:tab w:pos="4321" w:val="right" w:leader="none"/>
              </w:tabs>
              <w:spacing w:line="209" w:lineRule="exact"/>
              <w:ind w:left="610"/>
              <w:rPr>
                <w:sz w:val="20"/>
              </w:rPr>
            </w:pPr>
            <w:r>
              <w:rPr>
                <w:sz w:val="20"/>
              </w:rPr>
              <w:t>ARC</w:t>
            </w:r>
            <w:r>
              <w:rPr>
                <w:spacing w:val="-7"/>
                <w:sz w:val="20"/>
              </w:rPr>
              <w:t> </w:t>
            </w:r>
            <w:r>
              <w:rPr>
                <w:spacing w:val="-5"/>
                <w:sz w:val="20"/>
              </w:rPr>
              <w:t>406</w:t>
            </w:r>
            <w:r>
              <w:rPr>
                <w:sz w:val="20"/>
              </w:rPr>
              <w:tab/>
            </w:r>
            <w:r>
              <w:rPr>
                <w:spacing w:val="-2"/>
                <w:sz w:val="20"/>
              </w:rPr>
              <w:t>Studio</w:t>
            </w:r>
            <w:r>
              <w:rPr>
                <w:sz w:val="20"/>
              </w:rPr>
              <w:tab/>
            </w:r>
            <w:r>
              <w:rPr>
                <w:spacing w:val="-10"/>
                <w:sz w:val="20"/>
              </w:rPr>
              <w:t>6</w:t>
            </w:r>
          </w:p>
        </w:tc>
      </w:tr>
      <w:tr>
        <w:trPr>
          <w:trHeight w:val="228" w:hRule="atLeast"/>
        </w:trPr>
        <w:tc>
          <w:tcPr>
            <w:tcW w:w="3343" w:type="dxa"/>
          </w:tcPr>
          <w:p>
            <w:pPr>
              <w:pStyle w:val="TableParagraph"/>
              <w:tabs>
                <w:tab w:pos="1079" w:val="left" w:leader="none"/>
              </w:tabs>
              <w:spacing w:line="208" w:lineRule="exact"/>
              <w:ind w:left="-1"/>
              <w:rPr>
                <w:sz w:val="20"/>
              </w:rPr>
            </w:pPr>
            <w:r>
              <w:rPr>
                <w:sz w:val="20"/>
              </w:rPr>
              <w:t>ARC</w:t>
            </w:r>
            <w:r>
              <w:rPr>
                <w:spacing w:val="-7"/>
                <w:sz w:val="20"/>
              </w:rPr>
              <w:t> </w:t>
            </w:r>
            <w:r>
              <w:rPr>
                <w:spacing w:val="-5"/>
                <w:sz w:val="20"/>
              </w:rPr>
              <w:t>414</w:t>
            </w:r>
            <w:r>
              <w:rPr>
                <w:sz w:val="20"/>
              </w:rPr>
              <w:tab/>
              <w:t>Structure</w:t>
            </w:r>
            <w:r>
              <w:rPr>
                <w:spacing w:val="-14"/>
                <w:sz w:val="20"/>
              </w:rPr>
              <w:t> </w:t>
            </w:r>
            <w:r>
              <w:rPr>
                <w:spacing w:val="-5"/>
                <w:sz w:val="20"/>
              </w:rPr>
              <w:t>III</w:t>
            </w:r>
          </w:p>
        </w:tc>
        <w:tc>
          <w:tcPr>
            <w:tcW w:w="1086" w:type="dxa"/>
          </w:tcPr>
          <w:p>
            <w:pPr>
              <w:pStyle w:val="TableParagraph"/>
              <w:spacing w:line="208" w:lineRule="exact"/>
              <w:ind w:left="256"/>
              <w:rPr>
                <w:sz w:val="20"/>
              </w:rPr>
            </w:pPr>
            <w:r>
              <w:rPr>
                <w:w w:val="99"/>
                <w:sz w:val="20"/>
              </w:rPr>
              <w:t>3</w:t>
            </w:r>
          </w:p>
        </w:tc>
        <w:tc>
          <w:tcPr>
            <w:tcW w:w="4569" w:type="dxa"/>
          </w:tcPr>
          <w:p>
            <w:pPr>
              <w:pStyle w:val="TableParagraph"/>
              <w:tabs>
                <w:tab w:pos="1690" w:val="left" w:leader="none"/>
              </w:tabs>
              <w:spacing w:line="208" w:lineRule="exact"/>
              <w:ind w:left="610"/>
              <w:rPr>
                <w:b/>
                <w:sz w:val="20"/>
              </w:rPr>
            </w:pPr>
            <w:r>
              <w:rPr>
                <w:b/>
                <w:sz w:val="20"/>
              </w:rPr>
              <w:t>ARC</w:t>
            </w:r>
            <w:r>
              <w:rPr>
                <w:b/>
                <w:spacing w:val="-6"/>
                <w:sz w:val="20"/>
              </w:rPr>
              <w:t> </w:t>
            </w:r>
            <w:r>
              <w:rPr>
                <w:b/>
                <w:spacing w:val="-5"/>
                <w:sz w:val="20"/>
              </w:rPr>
              <w:t>411</w:t>
            </w:r>
            <w:r>
              <w:rPr>
                <w:b/>
                <w:sz w:val="20"/>
              </w:rPr>
              <w:tab/>
              <w:t>Contemprary</w:t>
            </w:r>
            <w:r>
              <w:rPr>
                <w:b/>
                <w:spacing w:val="-14"/>
                <w:sz w:val="20"/>
              </w:rPr>
              <w:t> </w:t>
            </w:r>
            <w:r>
              <w:rPr>
                <w:b/>
                <w:sz w:val="20"/>
              </w:rPr>
              <w:t>Arch</w:t>
            </w:r>
            <w:r>
              <w:rPr>
                <w:b/>
                <w:spacing w:val="-12"/>
                <w:sz w:val="20"/>
              </w:rPr>
              <w:t> </w:t>
            </w:r>
            <w:r>
              <w:rPr>
                <w:b/>
                <w:sz w:val="20"/>
              </w:rPr>
              <w:t>Theory</w:t>
            </w:r>
            <w:r>
              <w:rPr>
                <w:b/>
                <w:spacing w:val="-14"/>
                <w:sz w:val="20"/>
              </w:rPr>
              <w:t> </w:t>
            </w:r>
            <w:r>
              <w:rPr>
                <w:b/>
                <w:spacing w:val="-10"/>
                <w:sz w:val="20"/>
              </w:rPr>
              <w:t>3</w:t>
            </w:r>
          </w:p>
        </w:tc>
      </w:tr>
      <w:tr>
        <w:trPr>
          <w:trHeight w:val="231" w:hRule="atLeast"/>
        </w:trPr>
        <w:tc>
          <w:tcPr>
            <w:tcW w:w="3343" w:type="dxa"/>
          </w:tcPr>
          <w:p>
            <w:pPr>
              <w:pStyle w:val="TableParagraph"/>
              <w:tabs>
                <w:tab w:pos="1079" w:val="left" w:leader="none"/>
              </w:tabs>
              <w:spacing w:line="212" w:lineRule="exact"/>
              <w:ind w:left="-1"/>
              <w:rPr>
                <w:b/>
                <w:sz w:val="20"/>
              </w:rPr>
            </w:pPr>
            <w:r>
              <w:rPr>
                <w:b/>
                <w:sz w:val="20"/>
              </w:rPr>
              <w:t>ARC</w:t>
            </w:r>
            <w:r>
              <w:rPr>
                <w:b/>
                <w:spacing w:val="-6"/>
                <w:sz w:val="20"/>
              </w:rPr>
              <w:t> </w:t>
            </w:r>
            <w:r>
              <w:rPr>
                <w:b/>
                <w:spacing w:val="-5"/>
                <w:sz w:val="20"/>
              </w:rPr>
              <w:t>516</w:t>
            </w:r>
            <w:r>
              <w:rPr>
                <w:b/>
                <w:sz w:val="20"/>
              </w:rPr>
              <w:tab/>
              <w:t>Bldg</w:t>
            </w:r>
            <w:r>
              <w:rPr>
                <w:b/>
                <w:spacing w:val="-6"/>
                <w:sz w:val="20"/>
              </w:rPr>
              <w:t> </w:t>
            </w:r>
            <w:r>
              <w:rPr>
                <w:b/>
                <w:sz w:val="20"/>
              </w:rPr>
              <w:t>Syst</w:t>
            </w:r>
            <w:r>
              <w:rPr>
                <w:b/>
                <w:spacing w:val="-5"/>
                <w:sz w:val="20"/>
              </w:rPr>
              <w:t> </w:t>
            </w:r>
            <w:r>
              <w:rPr>
                <w:b/>
                <w:spacing w:val="-2"/>
                <w:sz w:val="20"/>
              </w:rPr>
              <w:t>Integration</w:t>
            </w:r>
          </w:p>
        </w:tc>
        <w:tc>
          <w:tcPr>
            <w:tcW w:w="1086" w:type="dxa"/>
          </w:tcPr>
          <w:p>
            <w:pPr>
              <w:pStyle w:val="TableParagraph"/>
              <w:spacing w:line="212" w:lineRule="exact"/>
              <w:ind w:left="256"/>
              <w:rPr>
                <w:b/>
                <w:sz w:val="20"/>
              </w:rPr>
            </w:pPr>
            <w:r>
              <w:rPr>
                <w:b/>
                <w:w w:val="99"/>
                <w:sz w:val="20"/>
              </w:rPr>
              <w:t>3</w:t>
            </w:r>
          </w:p>
        </w:tc>
        <w:tc>
          <w:tcPr>
            <w:tcW w:w="4569" w:type="dxa"/>
          </w:tcPr>
          <w:p>
            <w:pPr>
              <w:pStyle w:val="TableParagraph"/>
              <w:tabs>
                <w:tab w:pos="1690" w:val="left" w:leader="none"/>
                <w:tab w:pos="4320" w:val="right" w:leader="none"/>
              </w:tabs>
              <w:spacing w:line="212" w:lineRule="exact"/>
              <w:ind w:left="610"/>
              <w:rPr>
                <w:b/>
                <w:sz w:val="20"/>
              </w:rPr>
            </w:pPr>
            <w:r>
              <w:rPr>
                <w:sz w:val="20"/>
              </w:rPr>
              <w:t>ARC</w:t>
            </w:r>
            <w:r>
              <w:rPr>
                <w:spacing w:val="-7"/>
                <w:sz w:val="20"/>
              </w:rPr>
              <w:t> </w:t>
            </w:r>
            <w:r>
              <w:rPr>
                <w:spacing w:val="-5"/>
                <w:sz w:val="20"/>
              </w:rPr>
              <w:t>518</w:t>
            </w:r>
            <w:r>
              <w:rPr>
                <w:sz w:val="20"/>
              </w:rPr>
              <w:tab/>
            </w:r>
            <w:r>
              <w:rPr>
                <w:spacing w:val="-2"/>
                <w:sz w:val="20"/>
              </w:rPr>
              <w:t>Professional</w:t>
            </w:r>
            <w:r>
              <w:rPr>
                <w:spacing w:val="8"/>
                <w:sz w:val="20"/>
              </w:rPr>
              <w:t> </w:t>
            </w:r>
            <w:r>
              <w:rPr>
                <w:spacing w:val="-2"/>
                <w:sz w:val="20"/>
              </w:rPr>
              <w:t>Practice</w:t>
            </w:r>
            <w:r>
              <w:rPr>
                <w:sz w:val="20"/>
              </w:rPr>
              <w:tab/>
            </w:r>
            <w:r>
              <w:rPr>
                <w:b/>
                <w:spacing w:val="-10"/>
                <w:sz w:val="20"/>
              </w:rPr>
              <w:t>3</w:t>
            </w:r>
          </w:p>
        </w:tc>
      </w:tr>
      <w:tr>
        <w:trPr>
          <w:trHeight w:val="231" w:hRule="atLeast"/>
        </w:trPr>
        <w:tc>
          <w:tcPr>
            <w:tcW w:w="3343" w:type="dxa"/>
          </w:tcPr>
          <w:p>
            <w:pPr>
              <w:pStyle w:val="TableParagraph"/>
              <w:tabs>
                <w:tab w:pos="1078" w:val="left" w:leader="none"/>
              </w:tabs>
              <w:spacing w:line="212" w:lineRule="exact"/>
              <w:ind w:left="-1"/>
              <w:rPr>
                <w:sz w:val="20"/>
              </w:rPr>
            </w:pPr>
            <w:r>
              <w:rPr>
                <w:sz w:val="20"/>
              </w:rPr>
              <w:t>ARC</w:t>
            </w:r>
            <w:r>
              <w:rPr>
                <w:spacing w:val="-7"/>
                <w:sz w:val="20"/>
              </w:rPr>
              <w:t> </w:t>
            </w:r>
            <w:r>
              <w:rPr>
                <w:spacing w:val="-5"/>
                <w:sz w:val="20"/>
              </w:rPr>
              <w:t>517</w:t>
            </w:r>
            <w:r>
              <w:rPr>
                <w:sz w:val="20"/>
              </w:rPr>
              <w:tab/>
            </w:r>
            <w:r>
              <w:rPr>
                <w:spacing w:val="-2"/>
                <w:sz w:val="20"/>
              </w:rPr>
              <w:t>Professional</w:t>
            </w:r>
            <w:r>
              <w:rPr>
                <w:spacing w:val="8"/>
                <w:sz w:val="20"/>
              </w:rPr>
              <w:t> </w:t>
            </w:r>
            <w:r>
              <w:rPr>
                <w:spacing w:val="-2"/>
                <w:sz w:val="20"/>
              </w:rPr>
              <w:t>Practice</w:t>
            </w:r>
          </w:p>
        </w:tc>
        <w:tc>
          <w:tcPr>
            <w:tcW w:w="1086" w:type="dxa"/>
          </w:tcPr>
          <w:p>
            <w:pPr>
              <w:pStyle w:val="TableParagraph"/>
              <w:spacing w:line="212" w:lineRule="exact"/>
              <w:ind w:left="256"/>
              <w:rPr>
                <w:sz w:val="20"/>
              </w:rPr>
            </w:pPr>
            <w:r>
              <w:rPr>
                <w:w w:val="99"/>
                <w:sz w:val="20"/>
              </w:rPr>
              <w:t>3</w:t>
            </w:r>
          </w:p>
        </w:tc>
        <w:tc>
          <w:tcPr>
            <w:tcW w:w="4569" w:type="dxa"/>
          </w:tcPr>
          <w:p>
            <w:pPr>
              <w:pStyle w:val="TableParagraph"/>
              <w:tabs>
                <w:tab w:pos="4320" w:val="right" w:leader="none"/>
              </w:tabs>
              <w:spacing w:line="212" w:lineRule="exact"/>
              <w:ind w:left="610"/>
              <w:rPr>
                <w:sz w:val="20"/>
              </w:rPr>
            </w:pPr>
            <w:r>
              <w:rPr>
                <w:sz w:val="20"/>
              </w:rPr>
              <w:t>OPEN</w:t>
            </w:r>
            <w:r>
              <w:rPr>
                <w:spacing w:val="-7"/>
                <w:sz w:val="20"/>
              </w:rPr>
              <w:t> </w:t>
            </w:r>
            <w:r>
              <w:rPr>
                <w:sz w:val="20"/>
              </w:rPr>
              <w:t>ELECTIVE</w:t>
            </w:r>
            <w:r>
              <w:rPr>
                <w:spacing w:val="-7"/>
                <w:sz w:val="20"/>
              </w:rPr>
              <w:t> </w:t>
            </w:r>
            <w:r>
              <w:rPr>
                <w:spacing w:val="-10"/>
                <w:sz w:val="20"/>
              </w:rPr>
              <w:t>3</w:t>
            </w:r>
            <w:r>
              <w:rPr>
                <w:sz w:val="20"/>
              </w:rPr>
              <w:tab/>
            </w:r>
            <w:r>
              <w:rPr>
                <w:spacing w:val="-10"/>
                <w:sz w:val="20"/>
              </w:rPr>
              <w:t>3</w:t>
            </w:r>
          </w:p>
        </w:tc>
      </w:tr>
      <w:tr>
        <w:trPr>
          <w:trHeight w:val="218" w:hRule="atLeast"/>
        </w:trPr>
        <w:tc>
          <w:tcPr>
            <w:tcW w:w="3343" w:type="dxa"/>
            <w:tcBorders>
              <w:bottom w:val="single" w:sz="6" w:space="0" w:color="000000"/>
            </w:tcBorders>
          </w:tcPr>
          <w:p>
            <w:pPr>
              <w:pStyle w:val="TableParagraph"/>
              <w:spacing w:line="185" w:lineRule="exact"/>
              <w:rPr>
                <w:sz w:val="20"/>
              </w:rPr>
            </w:pPr>
            <w:r>
              <w:rPr>
                <w:sz w:val="20"/>
              </w:rPr>
              <w:t>SOC.</w:t>
            </w:r>
            <w:r>
              <w:rPr>
                <w:spacing w:val="-6"/>
                <w:sz w:val="20"/>
              </w:rPr>
              <w:t> </w:t>
            </w:r>
            <w:r>
              <w:rPr>
                <w:sz w:val="20"/>
              </w:rPr>
              <w:t>SCI.</w:t>
            </w:r>
            <w:r>
              <w:rPr>
                <w:spacing w:val="-3"/>
                <w:sz w:val="20"/>
              </w:rPr>
              <w:t> </w:t>
            </w:r>
            <w:r>
              <w:rPr>
                <w:spacing w:val="-2"/>
                <w:sz w:val="20"/>
              </w:rPr>
              <w:t>ELECTIVE</w:t>
            </w:r>
          </w:p>
        </w:tc>
        <w:tc>
          <w:tcPr>
            <w:tcW w:w="1086" w:type="dxa"/>
            <w:tcBorders>
              <w:bottom w:val="single" w:sz="6" w:space="0" w:color="000000"/>
            </w:tcBorders>
          </w:tcPr>
          <w:p>
            <w:pPr>
              <w:pStyle w:val="TableParagraph"/>
              <w:spacing w:line="185" w:lineRule="exact"/>
              <w:ind w:left="256"/>
              <w:rPr>
                <w:sz w:val="20"/>
              </w:rPr>
            </w:pPr>
            <w:r>
              <w:rPr>
                <w:w w:val="99"/>
                <w:sz w:val="20"/>
              </w:rPr>
              <w:t>3</w:t>
            </w:r>
          </w:p>
        </w:tc>
        <w:tc>
          <w:tcPr>
            <w:tcW w:w="4569" w:type="dxa"/>
            <w:tcBorders>
              <w:bottom w:val="single" w:sz="6" w:space="0" w:color="000000"/>
            </w:tcBorders>
          </w:tcPr>
          <w:p>
            <w:pPr>
              <w:pStyle w:val="TableParagraph"/>
              <w:tabs>
                <w:tab w:pos="4321" w:val="right" w:leader="none"/>
              </w:tabs>
              <w:spacing w:line="185" w:lineRule="exact"/>
              <w:ind w:left="610"/>
              <w:rPr>
                <w:sz w:val="20"/>
              </w:rPr>
            </w:pPr>
            <w:r>
              <w:rPr>
                <w:sz w:val="20"/>
              </w:rPr>
              <w:t>SOC.</w:t>
            </w:r>
            <w:r>
              <w:rPr>
                <w:spacing w:val="-6"/>
                <w:sz w:val="20"/>
              </w:rPr>
              <w:t> </w:t>
            </w:r>
            <w:r>
              <w:rPr>
                <w:sz w:val="20"/>
              </w:rPr>
              <w:t>SCI.</w:t>
            </w:r>
            <w:r>
              <w:rPr>
                <w:spacing w:val="-3"/>
                <w:sz w:val="20"/>
              </w:rPr>
              <w:t> </w:t>
            </w:r>
            <w:r>
              <w:rPr>
                <w:spacing w:val="-2"/>
                <w:sz w:val="20"/>
              </w:rPr>
              <w:t>ELECTIVE</w:t>
            </w:r>
            <w:r>
              <w:rPr>
                <w:sz w:val="20"/>
              </w:rPr>
              <w:tab/>
            </w:r>
            <w:r>
              <w:rPr>
                <w:spacing w:val="-10"/>
                <w:sz w:val="20"/>
              </w:rPr>
              <w:t>3</w:t>
            </w:r>
          </w:p>
        </w:tc>
      </w:tr>
      <w:tr>
        <w:trPr>
          <w:trHeight w:val="272" w:hRule="atLeast"/>
        </w:trPr>
        <w:tc>
          <w:tcPr>
            <w:tcW w:w="3343" w:type="dxa"/>
            <w:tcBorders>
              <w:top w:val="single" w:sz="6" w:space="0" w:color="000000"/>
            </w:tcBorders>
          </w:tcPr>
          <w:p>
            <w:pPr>
              <w:pStyle w:val="TableParagraph"/>
              <w:rPr>
                <w:rFonts w:ascii="Times New Roman"/>
                <w:sz w:val="18"/>
              </w:rPr>
            </w:pPr>
          </w:p>
        </w:tc>
        <w:tc>
          <w:tcPr>
            <w:tcW w:w="1086" w:type="dxa"/>
            <w:tcBorders>
              <w:top w:val="single" w:sz="6" w:space="0" w:color="000000"/>
            </w:tcBorders>
          </w:tcPr>
          <w:p>
            <w:pPr>
              <w:pStyle w:val="TableParagraph"/>
              <w:spacing w:before="6"/>
              <w:ind w:left="257"/>
              <w:rPr>
                <w:sz w:val="20"/>
              </w:rPr>
            </w:pPr>
            <w:r>
              <w:rPr>
                <w:spacing w:val="-5"/>
                <w:sz w:val="20"/>
              </w:rPr>
              <w:t>18</w:t>
            </w:r>
          </w:p>
        </w:tc>
        <w:tc>
          <w:tcPr>
            <w:tcW w:w="4569" w:type="dxa"/>
            <w:tcBorders>
              <w:top w:val="single" w:sz="6" w:space="0" w:color="000000"/>
            </w:tcBorders>
          </w:tcPr>
          <w:p>
            <w:pPr>
              <w:pStyle w:val="TableParagraph"/>
              <w:spacing w:before="6"/>
              <w:ind w:right="135"/>
              <w:jc w:val="right"/>
              <w:rPr>
                <w:sz w:val="20"/>
              </w:rPr>
            </w:pPr>
            <w:r>
              <w:rPr>
                <w:spacing w:val="-5"/>
                <w:sz w:val="20"/>
              </w:rPr>
              <w:t>18</w:t>
            </w:r>
          </w:p>
        </w:tc>
      </w:tr>
      <w:tr>
        <w:trPr>
          <w:trHeight w:val="405" w:hRule="atLeast"/>
        </w:trPr>
        <w:tc>
          <w:tcPr>
            <w:tcW w:w="8998" w:type="dxa"/>
            <w:gridSpan w:val="3"/>
          </w:tcPr>
          <w:p>
            <w:pPr>
              <w:pStyle w:val="TableParagraph"/>
              <w:tabs>
                <w:tab w:pos="8639" w:val="left" w:leader="none"/>
              </w:tabs>
              <w:spacing w:line="210" w:lineRule="exact" w:before="176"/>
              <w:rPr>
                <w:b/>
                <w:sz w:val="20"/>
              </w:rPr>
            </w:pPr>
            <w:r>
              <w:rPr>
                <w:b/>
                <w:sz w:val="20"/>
                <w:u w:val="thick"/>
              </w:rPr>
              <w:t>semester</w:t>
            </w:r>
            <w:r>
              <w:rPr>
                <w:b/>
                <w:spacing w:val="-10"/>
                <w:sz w:val="20"/>
                <w:u w:val="thick"/>
              </w:rPr>
              <w:t> X</w:t>
            </w:r>
            <w:r>
              <w:rPr>
                <w:b/>
                <w:sz w:val="20"/>
                <w:u w:val="thick"/>
              </w:rPr>
              <w:tab/>
            </w:r>
          </w:p>
        </w:tc>
      </w:tr>
      <w:tr>
        <w:trPr>
          <w:trHeight w:val="282" w:hRule="atLeast"/>
        </w:trPr>
        <w:tc>
          <w:tcPr>
            <w:tcW w:w="3343" w:type="dxa"/>
          </w:tcPr>
          <w:p>
            <w:pPr>
              <w:pStyle w:val="TableParagraph"/>
              <w:spacing w:before="3"/>
              <w:rPr>
                <w:sz w:val="20"/>
              </w:rPr>
            </w:pPr>
            <w:r>
              <w:rPr>
                <w:spacing w:val="-2"/>
                <w:sz w:val="20"/>
              </w:rPr>
              <w:t>Internship</w:t>
            </w:r>
          </w:p>
        </w:tc>
        <w:tc>
          <w:tcPr>
            <w:tcW w:w="5655" w:type="dxa"/>
            <w:gridSpan w:val="2"/>
          </w:tcPr>
          <w:p>
            <w:pPr>
              <w:pStyle w:val="TableParagraph"/>
              <w:spacing w:before="3"/>
              <w:ind w:left="2761" w:right="2574"/>
              <w:jc w:val="center"/>
              <w:rPr>
                <w:sz w:val="20"/>
              </w:rPr>
            </w:pPr>
            <w:r>
              <w:rPr>
                <w:spacing w:val="-5"/>
                <w:sz w:val="20"/>
              </w:rPr>
              <w:t>NC</w:t>
            </w:r>
          </w:p>
        </w:tc>
      </w:tr>
    </w:tbl>
    <w:p>
      <w:pPr>
        <w:pStyle w:val="BodyText"/>
      </w:pPr>
    </w:p>
    <w:p>
      <w:pPr>
        <w:pStyle w:val="BodyText"/>
      </w:pPr>
    </w:p>
    <w:p>
      <w:pPr>
        <w:pStyle w:val="BodyText"/>
        <w:spacing w:before="2"/>
        <w:rPr>
          <w:sz w:val="12"/>
        </w:rPr>
      </w:pPr>
    </w:p>
    <w:tbl>
      <w:tblPr>
        <w:tblW w:w="0" w:type="auto"/>
        <w:jc w:val="left"/>
        <w:tblInd w:w="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05"/>
        <w:gridCol w:w="1124"/>
        <w:gridCol w:w="4569"/>
      </w:tblGrid>
      <w:tr>
        <w:trPr>
          <w:trHeight w:val="257" w:hRule="atLeast"/>
        </w:trPr>
        <w:tc>
          <w:tcPr>
            <w:tcW w:w="3305" w:type="dxa"/>
            <w:tcBorders>
              <w:bottom w:val="single" w:sz="12" w:space="0" w:color="000000"/>
            </w:tcBorders>
          </w:tcPr>
          <w:p>
            <w:pPr>
              <w:pStyle w:val="TableParagraph"/>
              <w:spacing w:line="185" w:lineRule="exact" w:before="42"/>
              <w:rPr>
                <w:b/>
                <w:sz w:val="20"/>
              </w:rPr>
            </w:pPr>
            <w:r>
              <w:rPr>
                <w:b/>
                <w:sz w:val="20"/>
              </w:rPr>
              <w:t>semester</w:t>
            </w:r>
            <w:r>
              <w:rPr>
                <w:b/>
                <w:spacing w:val="-10"/>
                <w:sz w:val="20"/>
              </w:rPr>
              <w:t> </w:t>
            </w:r>
            <w:r>
              <w:rPr>
                <w:b/>
                <w:spacing w:val="-5"/>
                <w:sz w:val="20"/>
              </w:rPr>
              <w:t>XI</w:t>
            </w:r>
          </w:p>
        </w:tc>
        <w:tc>
          <w:tcPr>
            <w:tcW w:w="1124" w:type="dxa"/>
            <w:tcBorders>
              <w:bottom w:val="single" w:sz="12" w:space="0" w:color="000000"/>
            </w:tcBorders>
          </w:tcPr>
          <w:p>
            <w:pPr>
              <w:pStyle w:val="TableParagraph"/>
              <w:rPr>
                <w:rFonts w:ascii="Times New Roman"/>
                <w:sz w:val="18"/>
              </w:rPr>
            </w:pPr>
          </w:p>
        </w:tc>
        <w:tc>
          <w:tcPr>
            <w:tcW w:w="4569" w:type="dxa"/>
            <w:tcBorders>
              <w:bottom w:val="single" w:sz="12" w:space="0" w:color="000000"/>
            </w:tcBorders>
          </w:tcPr>
          <w:p>
            <w:pPr>
              <w:pStyle w:val="TableParagraph"/>
              <w:spacing w:line="185" w:lineRule="exact" w:before="42"/>
              <w:ind w:left="611"/>
              <w:rPr>
                <w:b/>
                <w:sz w:val="20"/>
              </w:rPr>
            </w:pPr>
            <w:r>
              <w:rPr>
                <w:b/>
                <w:sz w:val="20"/>
              </w:rPr>
              <w:t>semester</w:t>
            </w:r>
            <w:r>
              <w:rPr>
                <w:b/>
                <w:spacing w:val="-10"/>
                <w:sz w:val="20"/>
              </w:rPr>
              <w:t> </w:t>
            </w:r>
            <w:r>
              <w:rPr>
                <w:b/>
                <w:spacing w:val="-5"/>
                <w:sz w:val="20"/>
              </w:rPr>
              <w:t>XII</w:t>
            </w:r>
          </w:p>
        </w:tc>
      </w:tr>
      <w:tr>
        <w:trPr>
          <w:trHeight w:val="221" w:hRule="atLeast"/>
        </w:trPr>
        <w:tc>
          <w:tcPr>
            <w:tcW w:w="3305" w:type="dxa"/>
            <w:tcBorders>
              <w:top w:val="single" w:sz="12" w:space="0" w:color="000000"/>
            </w:tcBorders>
          </w:tcPr>
          <w:p>
            <w:pPr>
              <w:pStyle w:val="TableParagraph"/>
              <w:tabs>
                <w:tab w:pos="1079" w:val="left" w:leader="none"/>
              </w:tabs>
              <w:spacing w:line="212" w:lineRule="exact"/>
              <w:rPr>
                <w:sz w:val="20"/>
              </w:rPr>
            </w:pPr>
            <w:r>
              <w:rPr>
                <w:sz w:val="20"/>
              </w:rPr>
              <w:t>ARC</w:t>
            </w:r>
            <w:r>
              <w:rPr>
                <w:spacing w:val="-7"/>
                <w:sz w:val="20"/>
              </w:rPr>
              <w:t> </w:t>
            </w:r>
            <w:r>
              <w:rPr>
                <w:spacing w:val="-5"/>
                <w:sz w:val="20"/>
              </w:rPr>
              <w:t>601</w:t>
            </w:r>
            <w:r>
              <w:rPr>
                <w:sz w:val="20"/>
              </w:rPr>
              <w:tab/>
              <w:t>Thesis</w:t>
            </w:r>
            <w:r>
              <w:rPr>
                <w:spacing w:val="-6"/>
                <w:sz w:val="20"/>
              </w:rPr>
              <w:t> </w:t>
            </w:r>
            <w:r>
              <w:rPr>
                <w:spacing w:val="-2"/>
                <w:sz w:val="20"/>
              </w:rPr>
              <w:t>Studio</w:t>
            </w:r>
          </w:p>
        </w:tc>
        <w:tc>
          <w:tcPr>
            <w:tcW w:w="1124" w:type="dxa"/>
            <w:tcBorders>
              <w:top w:val="single" w:sz="12" w:space="0" w:color="000000"/>
            </w:tcBorders>
          </w:tcPr>
          <w:p>
            <w:pPr>
              <w:pStyle w:val="TableParagraph"/>
              <w:spacing w:line="212" w:lineRule="exact"/>
              <w:ind w:left="294"/>
              <w:rPr>
                <w:sz w:val="20"/>
              </w:rPr>
            </w:pPr>
            <w:r>
              <w:rPr>
                <w:w w:val="99"/>
                <w:sz w:val="20"/>
              </w:rPr>
              <w:t>6</w:t>
            </w:r>
          </w:p>
        </w:tc>
        <w:tc>
          <w:tcPr>
            <w:tcW w:w="4569" w:type="dxa"/>
            <w:tcBorders>
              <w:top w:val="single" w:sz="12" w:space="0" w:color="000000"/>
            </w:tcBorders>
          </w:tcPr>
          <w:p>
            <w:pPr>
              <w:pStyle w:val="TableParagraph"/>
              <w:tabs>
                <w:tab w:pos="1690" w:val="left" w:leader="none"/>
                <w:tab w:pos="4321" w:val="right" w:leader="none"/>
              </w:tabs>
              <w:spacing w:line="212" w:lineRule="exact"/>
              <w:ind w:left="610"/>
              <w:rPr>
                <w:sz w:val="20"/>
              </w:rPr>
            </w:pPr>
            <w:r>
              <w:rPr>
                <w:sz w:val="20"/>
              </w:rPr>
              <w:t>ARC</w:t>
            </w:r>
            <w:r>
              <w:rPr>
                <w:spacing w:val="-7"/>
                <w:sz w:val="20"/>
              </w:rPr>
              <w:t> </w:t>
            </w:r>
            <w:r>
              <w:rPr>
                <w:spacing w:val="-5"/>
                <w:sz w:val="20"/>
              </w:rPr>
              <w:t>602</w:t>
            </w:r>
            <w:r>
              <w:rPr>
                <w:sz w:val="20"/>
              </w:rPr>
              <w:tab/>
              <w:t>Thesis</w:t>
            </w:r>
            <w:r>
              <w:rPr>
                <w:spacing w:val="-6"/>
                <w:sz w:val="20"/>
              </w:rPr>
              <w:t> </w:t>
            </w:r>
            <w:r>
              <w:rPr>
                <w:spacing w:val="-2"/>
                <w:sz w:val="20"/>
              </w:rPr>
              <w:t>Studio</w:t>
            </w:r>
            <w:r>
              <w:rPr>
                <w:sz w:val="20"/>
              </w:rPr>
              <w:tab/>
            </w:r>
            <w:r>
              <w:rPr>
                <w:spacing w:val="-10"/>
                <w:sz w:val="20"/>
              </w:rPr>
              <w:t>6</w:t>
            </w:r>
          </w:p>
        </w:tc>
      </w:tr>
      <w:tr>
        <w:trPr>
          <w:trHeight w:val="230" w:hRule="atLeast"/>
        </w:trPr>
        <w:tc>
          <w:tcPr>
            <w:tcW w:w="3305" w:type="dxa"/>
          </w:tcPr>
          <w:p>
            <w:pPr>
              <w:pStyle w:val="TableParagraph"/>
              <w:tabs>
                <w:tab w:pos="1079" w:val="left" w:leader="none"/>
              </w:tabs>
              <w:spacing w:line="210" w:lineRule="exact"/>
              <w:ind w:left="-1"/>
              <w:rPr>
                <w:sz w:val="20"/>
              </w:rPr>
            </w:pPr>
            <w:r>
              <w:rPr>
                <w:sz w:val="20"/>
              </w:rPr>
              <w:t>ARC</w:t>
            </w:r>
            <w:r>
              <w:rPr>
                <w:spacing w:val="-7"/>
                <w:sz w:val="20"/>
              </w:rPr>
              <w:t> </w:t>
            </w:r>
            <w:r>
              <w:rPr>
                <w:spacing w:val="-5"/>
                <w:sz w:val="20"/>
              </w:rPr>
              <w:t>617</w:t>
            </w:r>
            <w:r>
              <w:rPr>
                <w:sz w:val="20"/>
              </w:rPr>
              <w:tab/>
              <w:t>Seminar-Tech</w:t>
            </w:r>
            <w:r>
              <w:rPr>
                <w:spacing w:val="-12"/>
                <w:sz w:val="20"/>
              </w:rPr>
              <w:t> </w:t>
            </w:r>
            <w:r>
              <w:rPr>
                <w:spacing w:val="-2"/>
                <w:sz w:val="20"/>
              </w:rPr>
              <w:t>Issues</w:t>
            </w:r>
          </w:p>
        </w:tc>
        <w:tc>
          <w:tcPr>
            <w:tcW w:w="1124" w:type="dxa"/>
          </w:tcPr>
          <w:p>
            <w:pPr>
              <w:pStyle w:val="TableParagraph"/>
              <w:spacing w:line="210" w:lineRule="exact"/>
              <w:ind w:left="294"/>
              <w:rPr>
                <w:sz w:val="20"/>
              </w:rPr>
            </w:pPr>
            <w:r>
              <w:rPr>
                <w:w w:val="99"/>
                <w:sz w:val="20"/>
              </w:rPr>
              <w:t>3</w:t>
            </w:r>
          </w:p>
        </w:tc>
        <w:tc>
          <w:tcPr>
            <w:tcW w:w="4569" w:type="dxa"/>
          </w:tcPr>
          <w:p>
            <w:pPr>
              <w:pStyle w:val="TableParagraph"/>
              <w:tabs>
                <w:tab w:pos="1690" w:val="left" w:leader="none"/>
              </w:tabs>
              <w:spacing w:line="210" w:lineRule="exact"/>
              <w:ind w:left="610"/>
              <w:rPr>
                <w:sz w:val="20"/>
              </w:rPr>
            </w:pPr>
            <w:r>
              <w:rPr>
                <w:sz w:val="20"/>
              </w:rPr>
              <w:t>ARC</w:t>
            </w:r>
            <w:r>
              <w:rPr>
                <w:spacing w:val="-7"/>
                <w:sz w:val="20"/>
              </w:rPr>
              <w:t> </w:t>
            </w:r>
            <w:r>
              <w:rPr>
                <w:spacing w:val="-5"/>
                <w:sz w:val="20"/>
              </w:rPr>
              <w:t>618</w:t>
            </w:r>
            <w:r>
              <w:rPr>
                <w:sz w:val="20"/>
              </w:rPr>
              <w:tab/>
              <w:t>Seminar-Community</w:t>
            </w:r>
            <w:r>
              <w:rPr>
                <w:spacing w:val="-15"/>
                <w:sz w:val="20"/>
              </w:rPr>
              <w:t> </w:t>
            </w:r>
            <w:r>
              <w:rPr>
                <w:sz w:val="20"/>
              </w:rPr>
              <w:t>Issues</w:t>
            </w:r>
            <w:r>
              <w:rPr>
                <w:spacing w:val="-3"/>
                <w:sz w:val="20"/>
              </w:rPr>
              <w:t> </w:t>
            </w:r>
            <w:r>
              <w:rPr>
                <w:spacing w:val="-10"/>
                <w:sz w:val="20"/>
              </w:rPr>
              <w:t>3</w:t>
            </w:r>
          </w:p>
        </w:tc>
      </w:tr>
      <w:tr>
        <w:trPr>
          <w:trHeight w:val="218" w:hRule="atLeast"/>
        </w:trPr>
        <w:tc>
          <w:tcPr>
            <w:tcW w:w="3305" w:type="dxa"/>
            <w:tcBorders>
              <w:bottom w:val="single" w:sz="6" w:space="0" w:color="000000"/>
            </w:tcBorders>
          </w:tcPr>
          <w:p>
            <w:pPr>
              <w:pStyle w:val="TableParagraph"/>
              <w:tabs>
                <w:tab w:pos="1079" w:val="left" w:leader="none"/>
              </w:tabs>
              <w:spacing w:line="186" w:lineRule="exact"/>
              <w:rPr>
                <w:sz w:val="20"/>
              </w:rPr>
            </w:pPr>
            <w:r>
              <w:rPr>
                <w:sz w:val="20"/>
              </w:rPr>
              <w:t>ARC</w:t>
            </w:r>
            <w:r>
              <w:rPr>
                <w:spacing w:val="-7"/>
                <w:sz w:val="20"/>
              </w:rPr>
              <w:t> </w:t>
            </w:r>
            <w:r>
              <w:rPr>
                <w:spacing w:val="-5"/>
                <w:sz w:val="20"/>
              </w:rPr>
              <w:t>530</w:t>
            </w:r>
            <w:r>
              <w:rPr>
                <w:sz w:val="20"/>
              </w:rPr>
              <w:tab/>
              <w:t>Architecture</w:t>
            </w:r>
            <w:r>
              <w:rPr>
                <w:spacing w:val="-12"/>
                <w:sz w:val="20"/>
              </w:rPr>
              <w:t> </w:t>
            </w:r>
            <w:r>
              <w:rPr>
                <w:sz w:val="20"/>
              </w:rPr>
              <w:t>Elective</w:t>
            </w:r>
            <w:r>
              <w:rPr>
                <w:spacing w:val="-11"/>
                <w:sz w:val="20"/>
              </w:rPr>
              <w:t> </w:t>
            </w:r>
            <w:r>
              <w:rPr>
                <w:spacing w:val="-10"/>
                <w:sz w:val="20"/>
              </w:rPr>
              <w:t>I</w:t>
            </w:r>
          </w:p>
        </w:tc>
        <w:tc>
          <w:tcPr>
            <w:tcW w:w="1124" w:type="dxa"/>
            <w:tcBorders>
              <w:bottom w:val="single" w:sz="6" w:space="0" w:color="000000"/>
            </w:tcBorders>
          </w:tcPr>
          <w:p>
            <w:pPr>
              <w:pStyle w:val="TableParagraph"/>
              <w:spacing w:line="186" w:lineRule="exact"/>
              <w:ind w:left="294"/>
              <w:rPr>
                <w:sz w:val="20"/>
              </w:rPr>
            </w:pPr>
            <w:r>
              <w:rPr>
                <w:w w:val="99"/>
                <w:sz w:val="20"/>
              </w:rPr>
              <w:t>3</w:t>
            </w:r>
          </w:p>
        </w:tc>
        <w:tc>
          <w:tcPr>
            <w:tcW w:w="4569" w:type="dxa"/>
            <w:tcBorders>
              <w:bottom w:val="single" w:sz="6" w:space="0" w:color="000000"/>
            </w:tcBorders>
          </w:tcPr>
          <w:p>
            <w:pPr>
              <w:pStyle w:val="TableParagraph"/>
              <w:tabs>
                <w:tab w:pos="1690" w:val="left" w:leader="none"/>
                <w:tab w:pos="4321" w:val="right" w:leader="none"/>
              </w:tabs>
              <w:spacing w:line="186" w:lineRule="exact"/>
              <w:ind w:left="610"/>
              <w:rPr>
                <w:sz w:val="20"/>
              </w:rPr>
            </w:pPr>
            <w:r>
              <w:rPr>
                <w:sz w:val="20"/>
              </w:rPr>
              <w:t>ARC</w:t>
            </w:r>
            <w:r>
              <w:rPr>
                <w:spacing w:val="-7"/>
                <w:sz w:val="20"/>
              </w:rPr>
              <w:t> </w:t>
            </w:r>
            <w:r>
              <w:rPr>
                <w:spacing w:val="-5"/>
                <w:sz w:val="20"/>
              </w:rPr>
              <w:t>530</w:t>
            </w:r>
            <w:r>
              <w:rPr>
                <w:sz w:val="20"/>
              </w:rPr>
              <w:tab/>
              <w:t>Architecture</w:t>
            </w:r>
            <w:r>
              <w:rPr>
                <w:spacing w:val="-12"/>
                <w:sz w:val="20"/>
              </w:rPr>
              <w:t> </w:t>
            </w:r>
            <w:r>
              <w:rPr>
                <w:sz w:val="20"/>
              </w:rPr>
              <w:t>Elective</w:t>
            </w:r>
            <w:r>
              <w:rPr>
                <w:spacing w:val="-11"/>
                <w:sz w:val="20"/>
              </w:rPr>
              <w:t> </w:t>
            </w:r>
            <w:r>
              <w:rPr>
                <w:spacing w:val="-5"/>
                <w:sz w:val="20"/>
              </w:rPr>
              <w:t>II</w:t>
            </w:r>
            <w:r>
              <w:rPr>
                <w:sz w:val="20"/>
              </w:rPr>
              <w:tab/>
            </w:r>
            <w:r>
              <w:rPr>
                <w:spacing w:val="-10"/>
                <w:sz w:val="20"/>
              </w:rPr>
              <w:t>3</w:t>
            </w:r>
          </w:p>
        </w:tc>
      </w:tr>
      <w:tr>
        <w:trPr>
          <w:trHeight w:val="272" w:hRule="atLeast"/>
        </w:trPr>
        <w:tc>
          <w:tcPr>
            <w:tcW w:w="3305" w:type="dxa"/>
            <w:tcBorders>
              <w:top w:val="single" w:sz="6" w:space="0" w:color="000000"/>
            </w:tcBorders>
          </w:tcPr>
          <w:p>
            <w:pPr>
              <w:pStyle w:val="TableParagraph"/>
              <w:rPr>
                <w:rFonts w:ascii="Times New Roman"/>
                <w:sz w:val="18"/>
              </w:rPr>
            </w:pPr>
          </w:p>
        </w:tc>
        <w:tc>
          <w:tcPr>
            <w:tcW w:w="1124" w:type="dxa"/>
            <w:tcBorders>
              <w:top w:val="single" w:sz="6" w:space="0" w:color="000000"/>
            </w:tcBorders>
          </w:tcPr>
          <w:p>
            <w:pPr>
              <w:pStyle w:val="TableParagraph"/>
              <w:spacing w:before="6"/>
              <w:ind w:left="295"/>
              <w:rPr>
                <w:sz w:val="20"/>
              </w:rPr>
            </w:pPr>
            <w:r>
              <w:rPr>
                <w:spacing w:val="-5"/>
                <w:sz w:val="20"/>
              </w:rPr>
              <w:t>12</w:t>
            </w:r>
          </w:p>
        </w:tc>
        <w:tc>
          <w:tcPr>
            <w:tcW w:w="4569" w:type="dxa"/>
            <w:tcBorders>
              <w:top w:val="single" w:sz="6" w:space="0" w:color="000000"/>
            </w:tcBorders>
          </w:tcPr>
          <w:p>
            <w:pPr>
              <w:pStyle w:val="TableParagraph"/>
              <w:spacing w:before="6"/>
              <w:ind w:right="135"/>
              <w:jc w:val="right"/>
              <w:rPr>
                <w:sz w:val="20"/>
              </w:rPr>
            </w:pPr>
            <w:r>
              <w:rPr>
                <w:spacing w:val="-5"/>
                <w:sz w:val="20"/>
              </w:rPr>
              <w:t>12</w:t>
            </w:r>
          </w:p>
        </w:tc>
      </w:tr>
    </w:tbl>
    <w:p>
      <w:pPr>
        <w:spacing w:after="0"/>
        <w:jc w:val="right"/>
        <w:rPr>
          <w:sz w:val="20"/>
        </w:rPr>
        <w:sectPr>
          <w:headerReference w:type="default" r:id="rId127"/>
          <w:footerReference w:type="default" r:id="rId128"/>
          <w:pgSz w:w="12240" w:h="15840"/>
          <w:pgMar w:header="0" w:footer="974" w:top="1360" w:bottom="1160" w:left="1000" w:right="820"/>
        </w:sectPr>
      </w:pPr>
    </w:p>
    <w:p>
      <w:pPr>
        <w:numPr>
          <w:ilvl w:val="2"/>
          <w:numId w:val="38"/>
        </w:numPr>
        <w:tabs>
          <w:tab w:pos="1664" w:val="left" w:leader="none"/>
        </w:tabs>
        <w:spacing w:before="75"/>
        <w:ind w:left="1663" w:right="0" w:hanging="504"/>
        <w:jc w:val="left"/>
        <w:rPr>
          <w:b/>
          <w:sz w:val="18"/>
        </w:rPr>
      </w:pPr>
      <w:r>
        <w:rPr>
          <w:b/>
          <w:sz w:val="20"/>
        </w:rPr>
        <w:t>Curriculum</w:t>
      </w:r>
      <w:r>
        <w:rPr>
          <w:b/>
          <w:spacing w:val="-9"/>
          <w:sz w:val="20"/>
        </w:rPr>
        <w:t> </w:t>
      </w:r>
      <w:r>
        <w:rPr>
          <w:b/>
          <w:sz w:val="20"/>
        </w:rPr>
        <w:t>Review</w:t>
      </w:r>
      <w:r>
        <w:rPr>
          <w:b/>
          <w:spacing w:val="-5"/>
          <w:sz w:val="20"/>
        </w:rPr>
        <w:t> </w:t>
      </w:r>
      <w:r>
        <w:rPr>
          <w:b/>
          <w:sz w:val="20"/>
        </w:rPr>
        <w:t>and</w:t>
      </w:r>
      <w:r>
        <w:rPr>
          <w:b/>
          <w:spacing w:val="-9"/>
          <w:sz w:val="20"/>
        </w:rPr>
        <w:t> </w:t>
      </w:r>
      <w:r>
        <w:rPr>
          <w:b/>
          <w:spacing w:val="-2"/>
          <w:sz w:val="20"/>
        </w:rPr>
        <w:t>Development</w:t>
      </w:r>
    </w:p>
    <w:p>
      <w:pPr>
        <w:pStyle w:val="BodyText"/>
        <w:spacing w:before="1"/>
        <w:rPr>
          <w:b/>
          <w:sz w:val="21"/>
        </w:rPr>
      </w:pPr>
    </w:p>
    <w:p>
      <w:pPr>
        <w:pStyle w:val="BodyText"/>
        <w:ind w:left="1663" w:right="642"/>
      </w:pPr>
      <w:r>
        <w:rPr/>
        <w:t>Periodically, the faculty or the University will review the curriculum and recommend modifications. In the past six years there have been two occasions for curriculum modifications.</w:t>
      </w:r>
      <w:r>
        <w:rPr>
          <w:spacing w:val="-6"/>
        </w:rPr>
        <w:t> </w:t>
      </w:r>
      <w:r>
        <w:rPr/>
        <w:t>These</w:t>
      </w:r>
      <w:r>
        <w:rPr>
          <w:spacing w:val="-6"/>
        </w:rPr>
        <w:t> </w:t>
      </w:r>
      <w:r>
        <w:rPr/>
        <w:t>have</w:t>
      </w:r>
      <w:r>
        <w:rPr>
          <w:spacing w:val="-4"/>
        </w:rPr>
        <w:t> </w:t>
      </w:r>
      <w:r>
        <w:rPr/>
        <w:t>involved</w:t>
      </w:r>
      <w:r>
        <w:rPr>
          <w:spacing w:val="-4"/>
        </w:rPr>
        <w:t> </w:t>
      </w:r>
      <w:r>
        <w:rPr/>
        <w:t>department</w:t>
      </w:r>
      <w:r>
        <w:rPr>
          <w:spacing w:val="-6"/>
        </w:rPr>
        <w:t> </w:t>
      </w:r>
      <w:r>
        <w:rPr/>
        <w:t>recommended</w:t>
      </w:r>
      <w:r>
        <w:rPr>
          <w:spacing w:val="-6"/>
        </w:rPr>
        <w:t> </w:t>
      </w:r>
      <w:r>
        <w:rPr/>
        <w:t>changes</w:t>
      </w:r>
      <w:r>
        <w:rPr>
          <w:spacing w:val="-5"/>
        </w:rPr>
        <w:t> </w:t>
      </w:r>
      <w:r>
        <w:rPr/>
        <w:t>and</w:t>
      </w:r>
      <w:r>
        <w:rPr>
          <w:spacing w:val="-6"/>
        </w:rPr>
        <w:t> </w:t>
      </w:r>
      <w:r>
        <w:rPr/>
        <w:t>university required changes.</w:t>
      </w:r>
    </w:p>
    <w:p>
      <w:pPr>
        <w:pStyle w:val="BodyText"/>
        <w:spacing w:before="9"/>
      </w:pPr>
    </w:p>
    <w:p>
      <w:pPr>
        <w:pStyle w:val="BodyText"/>
        <w:ind w:left="439"/>
      </w:pPr>
      <w:r>
        <w:rPr>
          <w:spacing w:val="-2"/>
        </w:rPr>
        <w:t>Process</w:t>
      </w:r>
    </w:p>
    <w:p>
      <w:pPr>
        <w:pStyle w:val="BodyText"/>
        <w:spacing w:before="10"/>
      </w:pPr>
    </w:p>
    <w:p>
      <w:pPr>
        <w:pStyle w:val="BodyText"/>
        <w:spacing w:before="1"/>
        <w:ind w:left="1663" w:right="642"/>
      </w:pPr>
      <w:r>
        <w:rPr/>
        <w:t>Need</w:t>
      </w:r>
      <w:r>
        <w:rPr>
          <w:spacing w:val="-3"/>
        </w:rPr>
        <w:t> </w:t>
      </w:r>
      <w:r>
        <w:rPr/>
        <w:t>Determined:</w:t>
      </w:r>
      <w:r>
        <w:rPr>
          <w:spacing w:val="-5"/>
        </w:rPr>
        <w:t> </w:t>
      </w:r>
      <w:r>
        <w:rPr/>
        <w:t>The</w:t>
      </w:r>
      <w:r>
        <w:rPr>
          <w:spacing w:val="-3"/>
        </w:rPr>
        <w:t> </w:t>
      </w:r>
      <w:r>
        <w:rPr/>
        <w:t>need</w:t>
      </w:r>
      <w:r>
        <w:rPr>
          <w:spacing w:val="-5"/>
        </w:rPr>
        <w:t> </w:t>
      </w:r>
      <w:r>
        <w:rPr/>
        <w:t>for</w:t>
      </w:r>
      <w:r>
        <w:rPr>
          <w:spacing w:val="-4"/>
        </w:rPr>
        <w:t> </w:t>
      </w:r>
      <w:r>
        <w:rPr/>
        <w:t>adjustments</w:t>
      </w:r>
      <w:r>
        <w:rPr>
          <w:spacing w:val="-4"/>
        </w:rPr>
        <w:t> </w:t>
      </w:r>
      <w:r>
        <w:rPr/>
        <w:t>or</w:t>
      </w:r>
      <w:r>
        <w:rPr>
          <w:spacing w:val="-4"/>
        </w:rPr>
        <w:t> </w:t>
      </w:r>
      <w:r>
        <w:rPr/>
        <w:t>amendments</w:t>
      </w:r>
      <w:r>
        <w:rPr>
          <w:spacing w:val="-4"/>
        </w:rPr>
        <w:t> </w:t>
      </w:r>
      <w:r>
        <w:rPr/>
        <w:t>to</w:t>
      </w:r>
      <w:r>
        <w:rPr>
          <w:spacing w:val="-5"/>
        </w:rPr>
        <w:t> </w:t>
      </w:r>
      <w:r>
        <w:rPr/>
        <w:t>the</w:t>
      </w:r>
      <w:r>
        <w:rPr>
          <w:spacing w:val="-5"/>
        </w:rPr>
        <w:t> </w:t>
      </w:r>
      <w:r>
        <w:rPr/>
        <w:t>curriculum can</w:t>
      </w:r>
      <w:r>
        <w:rPr>
          <w:spacing w:val="-5"/>
        </w:rPr>
        <w:t> </w:t>
      </w:r>
      <w:r>
        <w:rPr/>
        <w:t>be offered through a number of initiatives. As we periodically review our program, recommendations can be made by individual faculty members, including the chair.</w:t>
      </w:r>
    </w:p>
    <w:p>
      <w:pPr>
        <w:pStyle w:val="BodyText"/>
        <w:spacing w:before="8"/>
      </w:pPr>
    </w:p>
    <w:p>
      <w:pPr>
        <w:pStyle w:val="BodyText"/>
        <w:ind w:left="1663" w:right="642"/>
      </w:pPr>
      <w:r>
        <w:rPr/>
        <w:t>They</w:t>
      </w:r>
      <w:r>
        <w:rPr>
          <w:spacing w:val="-9"/>
        </w:rPr>
        <w:t> </w:t>
      </w:r>
      <w:r>
        <w:rPr/>
        <w:t>can</w:t>
      </w:r>
      <w:r>
        <w:rPr>
          <w:spacing w:val="-3"/>
        </w:rPr>
        <w:t> </w:t>
      </w:r>
      <w:r>
        <w:rPr/>
        <w:t>also</w:t>
      </w:r>
      <w:r>
        <w:rPr>
          <w:spacing w:val="-3"/>
        </w:rPr>
        <w:t> </w:t>
      </w:r>
      <w:r>
        <w:rPr/>
        <w:t>be</w:t>
      </w:r>
      <w:r>
        <w:rPr>
          <w:spacing w:val="-3"/>
        </w:rPr>
        <w:t> </w:t>
      </w:r>
      <w:r>
        <w:rPr/>
        <w:t>mandated</w:t>
      </w:r>
      <w:r>
        <w:rPr>
          <w:spacing w:val="-3"/>
        </w:rPr>
        <w:t> </w:t>
      </w:r>
      <w:r>
        <w:rPr/>
        <w:t>by</w:t>
      </w:r>
      <w:r>
        <w:rPr>
          <w:spacing w:val="-6"/>
        </w:rPr>
        <w:t> </w:t>
      </w:r>
      <w:r>
        <w:rPr/>
        <w:t>the</w:t>
      </w:r>
      <w:r>
        <w:rPr>
          <w:spacing w:val="-3"/>
        </w:rPr>
        <w:t> </w:t>
      </w:r>
      <w:r>
        <w:rPr/>
        <w:t>administration.</w:t>
      </w:r>
      <w:r>
        <w:rPr>
          <w:spacing w:val="-3"/>
        </w:rPr>
        <w:t> </w:t>
      </w:r>
      <w:r>
        <w:rPr/>
        <w:t>One</w:t>
      </w:r>
      <w:r>
        <w:rPr>
          <w:spacing w:val="-3"/>
        </w:rPr>
        <w:t> </w:t>
      </w:r>
      <w:r>
        <w:rPr/>
        <w:t>catalyst</w:t>
      </w:r>
      <w:r>
        <w:rPr>
          <w:spacing w:val="-3"/>
        </w:rPr>
        <w:t> </w:t>
      </w:r>
      <w:r>
        <w:rPr/>
        <w:t>for</w:t>
      </w:r>
      <w:r>
        <w:rPr>
          <w:spacing w:val="-2"/>
        </w:rPr>
        <w:t> </w:t>
      </w:r>
      <w:r>
        <w:rPr/>
        <w:t>the</w:t>
      </w:r>
      <w:r>
        <w:rPr>
          <w:spacing w:val="-1"/>
        </w:rPr>
        <w:t> </w:t>
      </w:r>
      <w:r>
        <w:rPr/>
        <w:t>most</w:t>
      </w:r>
      <w:r>
        <w:rPr>
          <w:spacing w:val="-3"/>
        </w:rPr>
        <w:t> </w:t>
      </w:r>
      <w:r>
        <w:rPr/>
        <w:t>recent</w:t>
      </w:r>
      <w:r>
        <w:rPr>
          <w:spacing w:val="-3"/>
        </w:rPr>
        <w:t> </w:t>
      </w:r>
      <w:r>
        <w:rPr/>
        <w:t>change was a directive from the senior academic leadership team that the general education requirements be officer</w:t>
      </w:r>
    </w:p>
    <w:p>
      <w:pPr>
        <w:pStyle w:val="BodyText"/>
        <w:rPr>
          <w:sz w:val="21"/>
        </w:rPr>
      </w:pPr>
    </w:p>
    <w:p>
      <w:pPr>
        <w:pStyle w:val="BodyText"/>
        <w:ind w:left="1663" w:right="712"/>
      </w:pPr>
      <w:r>
        <w:rPr/>
        <w:t>Once</w:t>
      </w:r>
      <w:r>
        <w:rPr>
          <w:spacing w:val="-4"/>
        </w:rPr>
        <w:t> </w:t>
      </w:r>
      <w:r>
        <w:rPr/>
        <w:t>the</w:t>
      </w:r>
      <w:r>
        <w:rPr>
          <w:spacing w:val="-2"/>
        </w:rPr>
        <w:t> </w:t>
      </w:r>
      <w:r>
        <w:rPr/>
        <w:t>need</w:t>
      </w:r>
      <w:r>
        <w:rPr>
          <w:spacing w:val="-4"/>
        </w:rPr>
        <w:t> </w:t>
      </w:r>
      <w:r>
        <w:rPr/>
        <w:t>for</w:t>
      </w:r>
      <w:r>
        <w:rPr>
          <w:spacing w:val="-3"/>
        </w:rPr>
        <w:t> </w:t>
      </w:r>
      <w:r>
        <w:rPr/>
        <w:t>a</w:t>
      </w:r>
      <w:r>
        <w:rPr>
          <w:spacing w:val="-4"/>
        </w:rPr>
        <w:t> </w:t>
      </w:r>
      <w:r>
        <w:rPr/>
        <w:t>curriculum revision</w:t>
      </w:r>
      <w:r>
        <w:rPr>
          <w:spacing w:val="-4"/>
        </w:rPr>
        <w:t> </w:t>
      </w:r>
      <w:r>
        <w:rPr/>
        <w:t>has been</w:t>
      </w:r>
      <w:r>
        <w:rPr>
          <w:spacing w:val="-4"/>
        </w:rPr>
        <w:t> </w:t>
      </w:r>
      <w:r>
        <w:rPr/>
        <w:t>identified,</w:t>
      </w:r>
      <w:r>
        <w:rPr>
          <w:spacing w:val="-4"/>
        </w:rPr>
        <w:t> </w:t>
      </w:r>
      <w:r>
        <w:rPr/>
        <w:t>there</w:t>
      </w:r>
      <w:r>
        <w:rPr>
          <w:spacing w:val="-2"/>
        </w:rPr>
        <w:t> </w:t>
      </w:r>
      <w:r>
        <w:rPr/>
        <w:t>are</w:t>
      </w:r>
      <w:r>
        <w:rPr>
          <w:spacing w:val="-4"/>
        </w:rPr>
        <w:t> </w:t>
      </w:r>
      <w:r>
        <w:rPr/>
        <w:t>several</w:t>
      </w:r>
      <w:r>
        <w:rPr>
          <w:spacing w:val="-5"/>
        </w:rPr>
        <w:t> </w:t>
      </w:r>
      <w:r>
        <w:rPr/>
        <w:t>steps required for a successful approval of the modification.</w:t>
      </w:r>
    </w:p>
    <w:p>
      <w:pPr>
        <w:pStyle w:val="BodyText"/>
        <w:spacing w:before="11"/>
      </w:pPr>
    </w:p>
    <w:p>
      <w:pPr>
        <w:pStyle w:val="ListParagraph"/>
        <w:numPr>
          <w:ilvl w:val="3"/>
          <w:numId w:val="38"/>
        </w:numPr>
        <w:tabs>
          <w:tab w:pos="2528" w:val="left" w:leader="none"/>
        </w:tabs>
        <w:spacing w:line="240" w:lineRule="auto" w:before="0" w:after="0"/>
        <w:ind w:left="2527" w:right="813" w:hanging="360"/>
        <w:jc w:val="left"/>
        <w:rPr>
          <w:sz w:val="20"/>
        </w:rPr>
      </w:pPr>
      <w:r>
        <w:rPr>
          <w:sz w:val="20"/>
        </w:rPr>
        <w:t>A</w:t>
      </w:r>
      <w:r>
        <w:rPr>
          <w:spacing w:val="-5"/>
          <w:sz w:val="20"/>
        </w:rPr>
        <w:t> </w:t>
      </w:r>
      <w:r>
        <w:rPr>
          <w:sz w:val="20"/>
        </w:rPr>
        <w:t>curriculum revision</w:t>
      </w:r>
      <w:r>
        <w:rPr>
          <w:spacing w:val="-2"/>
          <w:sz w:val="20"/>
        </w:rPr>
        <w:t> </w:t>
      </w:r>
      <w:r>
        <w:rPr>
          <w:sz w:val="20"/>
        </w:rPr>
        <w:t>must</w:t>
      </w:r>
      <w:r>
        <w:rPr>
          <w:spacing w:val="-6"/>
          <w:sz w:val="20"/>
        </w:rPr>
        <w:t> </w:t>
      </w:r>
      <w:r>
        <w:rPr>
          <w:sz w:val="20"/>
        </w:rPr>
        <w:t>be</w:t>
      </w:r>
      <w:r>
        <w:rPr>
          <w:spacing w:val="-4"/>
          <w:sz w:val="20"/>
        </w:rPr>
        <w:t> </w:t>
      </w:r>
      <w:r>
        <w:rPr>
          <w:sz w:val="20"/>
        </w:rPr>
        <w:t>developed</w:t>
      </w:r>
      <w:r>
        <w:rPr>
          <w:spacing w:val="-2"/>
          <w:sz w:val="20"/>
        </w:rPr>
        <w:t> </w:t>
      </w:r>
      <w:r>
        <w:rPr>
          <w:sz w:val="20"/>
        </w:rPr>
        <w:t>by</w:t>
      </w:r>
      <w:r>
        <w:rPr>
          <w:spacing w:val="-7"/>
          <w:sz w:val="20"/>
        </w:rPr>
        <w:t> </w:t>
      </w:r>
      <w:r>
        <w:rPr>
          <w:sz w:val="20"/>
        </w:rPr>
        <w:t>the</w:t>
      </w:r>
      <w:r>
        <w:rPr>
          <w:spacing w:val="-4"/>
          <w:sz w:val="20"/>
        </w:rPr>
        <w:t> </w:t>
      </w:r>
      <w:r>
        <w:rPr>
          <w:sz w:val="20"/>
        </w:rPr>
        <w:t>department.</w:t>
      </w:r>
      <w:r>
        <w:rPr>
          <w:spacing w:val="-4"/>
          <w:sz w:val="20"/>
        </w:rPr>
        <w:t> </w:t>
      </w:r>
      <w:r>
        <w:rPr>
          <w:sz w:val="20"/>
        </w:rPr>
        <w:t>Faculty</w:t>
      </w:r>
      <w:r>
        <w:rPr>
          <w:spacing w:val="-5"/>
          <w:sz w:val="20"/>
        </w:rPr>
        <w:t> </w:t>
      </w:r>
      <w:r>
        <w:rPr>
          <w:sz w:val="20"/>
        </w:rPr>
        <w:t>will</w:t>
      </w:r>
      <w:r>
        <w:rPr>
          <w:spacing w:val="-5"/>
          <w:sz w:val="20"/>
        </w:rPr>
        <w:t> </w:t>
      </w:r>
      <w:r>
        <w:rPr>
          <w:sz w:val="20"/>
        </w:rPr>
        <w:t>meet</w:t>
      </w:r>
      <w:r>
        <w:rPr>
          <w:spacing w:val="-4"/>
          <w:sz w:val="20"/>
        </w:rPr>
        <w:t> </w:t>
      </w:r>
      <w:r>
        <w:rPr>
          <w:sz w:val="20"/>
        </w:rPr>
        <w:t>to discuss the required / requested / recommended adjustments and discuss how those can best be appropriated. Led by the Tenured Faculty Committee, but inclusive of all faculty, multiple meeting will occur until consensus is reached.</w:t>
      </w:r>
    </w:p>
    <w:p>
      <w:pPr>
        <w:pStyle w:val="BodyText"/>
        <w:spacing w:before="9"/>
      </w:pPr>
    </w:p>
    <w:p>
      <w:pPr>
        <w:pStyle w:val="ListParagraph"/>
        <w:numPr>
          <w:ilvl w:val="3"/>
          <w:numId w:val="38"/>
        </w:numPr>
        <w:tabs>
          <w:tab w:pos="2528" w:val="left" w:leader="none"/>
        </w:tabs>
        <w:spacing w:line="240" w:lineRule="auto" w:before="1" w:after="0"/>
        <w:ind w:left="2527" w:right="824" w:hanging="360"/>
        <w:jc w:val="left"/>
        <w:rPr>
          <w:sz w:val="20"/>
        </w:rPr>
      </w:pPr>
      <w:r>
        <w:rPr>
          <w:sz w:val="20"/>
        </w:rPr>
        <w:t>A</w:t>
      </w:r>
      <w:r>
        <w:rPr>
          <w:spacing w:val="-5"/>
          <w:sz w:val="20"/>
        </w:rPr>
        <w:t> </w:t>
      </w:r>
      <w:r>
        <w:rPr>
          <w:sz w:val="20"/>
        </w:rPr>
        <w:t>copy</w:t>
      </w:r>
      <w:r>
        <w:rPr>
          <w:spacing w:val="-7"/>
          <w:sz w:val="20"/>
        </w:rPr>
        <w:t> </w:t>
      </w:r>
      <w:r>
        <w:rPr>
          <w:sz w:val="20"/>
        </w:rPr>
        <w:t>of</w:t>
      </w:r>
      <w:r>
        <w:rPr>
          <w:spacing w:val="-2"/>
          <w:sz w:val="20"/>
        </w:rPr>
        <w:t> </w:t>
      </w:r>
      <w:r>
        <w:rPr>
          <w:sz w:val="20"/>
        </w:rPr>
        <w:t>the</w:t>
      </w:r>
      <w:r>
        <w:rPr>
          <w:spacing w:val="-2"/>
          <w:sz w:val="20"/>
        </w:rPr>
        <w:t> </w:t>
      </w:r>
      <w:r>
        <w:rPr>
          <w:sz w:val="20"/>
        </w:rPr>
        <w:t>modification</w:t>
      </w:r>
      <w:r>
        <w:rPr>
          <w:spacing w:val="-2"/>
          <w:sz w:val="20"/>
        </w:rPr>
        <w:t> </w:t>
      </w:r>
      <w:r>
        <w:rPr>
          <w:sz w:val="20"/>
        </w:rPr>
        <w:t>is</w:t>
      </w:r>
      <w:r>
        <w:rPr>
          <w:spacing w:val="-3"/>
          <w:sz w:val="20"/>
        </w:rPr>
        <w:t> </w:t>
      </w:r>
      <w:r>
        <w:rPr>
          <w:sz w:val="20"/>
        </w:rPr>
        <w:t>submitted</w:t>
      </w:r>
      <w:r>
        <w:rPr>
          <w:spacing w:val="-4"/>
          <w:sz w:val="20"/>
        </w:rPr>
        <w:t> </w:t>
      </w:r>
      <w:r>
        <w:rPr>
          <w:sz w:val="20"/>
        </w:rPr>
        <w:t>to</w:t>
      </w:r>
      <w:r>
        <w:rPr>
          <w:spacing w:val="-4"/>
          <w:sz w:val="20"/>
        </w:rPr>
        <w:t> </w:t>
      </w:r>
      <w:r>
        <w:rPr>
          <w:sz w:val="20"/>
        </w:rPr>
        <w:t>the</w:t>
      </w:r>
      <w:r>
        <w:rPr>
          <w:spacing w:val="-4"/>
          <w:sz w:val="20"/>
        </w:rPr>
        <w:t> </w:t>
      </w:r>
      <w:r>
        <w:rPr>
          <w:sz w:val="20"/>
        </w:rPr>
        <w:t>Dean</w:t>
      </w:r>
      <w:r>
        <w:rPr>
          <w:spacing w:val="-2"/>
          <w:sz w:val="20"/>
        </w:rPr>
        <w:t> </w:t>
      </w:r>
      <w:r>
        <w:rPr>
          <w:sz w:val="20"/>
        </w:rPr>
        <w:t>of</w:t>
      </w:r>
      <w:r>
        <w:rPr>
          <w:spacing w:val="-2"/>
          <w:sz w:val="20"/>
        </w:rPr>
        <w:t> </w:t>
      </w:r>
      <w:r>
        <w:rPr>
          <w:sz w:val="20"/>
        </w:rPr>
        <w:t>the</w:t>
      </w:r>
      <w:r>
        <w:rPr>
          <w:spacing w:val="-4"/>
          <w:sz w:val="20"/>
        </w:rPr>
        <w:t> </w:t>
      </w:r>
      <w:r>
        <w:rPr>
          <w:sz w:val="20"/>
        </w:rPr>
        <w:t>School</w:t>
      </w:r>
      <w:r>
        <w:rPr>
          <w:spacing w:val="-5"/>
          <w:sz w:val="20"/>
        </w:rPr>
        <w:t> </w:t>
      </w:r>
      <w:r>
        <w:rPr>
          <w:sz w:val="20"/>
        </w:rPr>
        <w:t>of</w:t>
      </w:r>
      <w:r>
        <w:rPr>
          <w:spacing w:val="-2"/>
          <w:sz w:val="20"/>
        </w:rPr>
        <w:t> </w:t>
      </w:r>
      <w:r>
        <w:rPr>
          <w:sz w:val="20"/>
        </w:rPr>
        <w:t>Engineering of Engineering for review. The Dean will convene an assembly of the school’s faculty and the revision is reviewed and a vote for school approval is taken.</w:t>
      </w:r>
    </w:p>
    <w:p>
      <w:pPr>
        <w:pStyle w:val="BodyText"/>
        <w:spacing w:before="8"/>
      </w:pPr>
    </w:p>
    <w:p>
      <w:pPr>
        <w:pStyle w:val="ListParagraph"/>
        <w:numPr>
          <w:ilvl w:val="3"/>
          <w:numId w:val="38"/>
        </w:numPr>
        <w:tabs>
          <w:tab w:pos="2527" w:val="left" w:leader="none"/>
          <w:tab w:pos="2528" w:val="left" w:leader="none"/>
        </w:tabs>
        <w:spacing w:line="240" w:lineRule="auto" w:before="1" w:after="0"/>
        <w:ind w:left="2527" w:right="624" w:hanging="360"/>
        <w:jc w:val="left"/>
        <w:rPr>
          <w:sz w:val="20"/>
        </w:rPr>
      </w:pPr>
      <w:r>
        <w:rPr>
          <w:sz w:val="20"/>
        </w:rPr>
        <w:t>The</w:t>
      </w:r>
      <w:r>
        <w:rPr>
          <w:spacing w:val="-4"/>
          <w:sz w:val="20"/>
        </w:rPr>
        <w:t> </w:t>
      </w:r>
      <w:r>
        <w:rPr>
          <w:sz w:val="20"/>
        </w:rPr>
        <w:t>Dean</w:t>
      </w:r>
      <w:r>
        <w:rPr>
          <w:spacing w:val="-2"/>
          <w:sz w:val="20"/>
        </w:rPr>
        <w:t> </w:t>
      </w:r>
      <w:r>
        <w:rPr>
          <w:sz w:val="20"/>
        </w:rPr>
        <w:t>will</w:t>
      </w:r>
      <w:r>
        <w:rPr>
          <w:spacing w:val="-5"/>
          <w:sz w:val="20"/>
        </w:rPr>
        <w:t> </w:t>
      </w:r>
      <w:r>
        <w:rPr>
          <w:sz w:val="20"/>
        </w:rPr>
        <w:t>submit</w:t>
      </w:r>
      <w:r>
        <w:rPr>
          <w:spacing w:val="-4"/>
          <w:sz w:val="20"/>
        </w:rPr>
        <w:t> </w:t>
      </w:r>
      <w:r>
        <w:rPr>
          <w:sz w:val="20"/>
        </w:rPr>
        <w:t>the</w:t>
      </w:r>
      <w:r>
        <w:rPr>
          <w:spacing w:val="-4"/>
          <w:sz w:val="20"/>
        </w:rPr>
        <w:t> </w:t>
      </w:r>
      <w:r>
        <w:rPr>
          <w:sz w:val="20"/>
        </w:rPr>
        <w:t>modification</w:t>
      </w:r>
      <w:r>
        <w:rPr>
          <w:spacing w:val="-4"/>
          <w:sz w:val="20"/>
        </w:rPr>
        <w:t> </w:t>
      </w:r>
      <w:r>
        <w:rPr>
          <w:sz w:val="20"/>
        </w:rPr>
        <w:t>requires</w:t>
      </w:r>
      <w:r>
        <w:rPr>
          <w:spacing w:val="-3"/>
          <w:sz w:val="20"/>
        </w:rPr>
        <w:t> </w:t>
      </w:r>
      <w:r>
        <w:rPr>
          <w:sz w:val="20"/>
        </w:rPr>
        <w:t>to</w:t>
      </w:r>
      <w:r>
        <w:rPr>
          <w:spacing w:val="-4"/>
          <w:sz w:val="20"/>
        </w:rPr>
        <w:t> </w:t>
      </w:r>
      <w:r>
        <w:rPr>
          <w:sz w:val="20"/>
        </w:rPr>
        <w:t>the</w:t>
      </w:r>
      <w:r>
        <w:rPr>
          <w:spacing w:val="-4"/>
          <w:sz w:val="20"/>
        </w:rPr>
        <w:t> </w:t>
      </w:r>
      <w:r>
        <w:rPr>
          <w:sz w:val="20"/>
        </w:rPr>
        <w:t>Office</w:t>
      </w:r>
      <w:r>
        <w:rPr>
          <w:spacing w:val="-4"/>
          <w:sz w:val="20"/>
        </w:rPr>
        <w:t> </w:t>
      </w:r>
      <w:r>
        <w:rPr>
          <w:sz w:val="20"/>
        </w:rPr>
        <w:t>of</w:t>
      </w:r>
      <w:r>
        <w:rPr>
          <w:spacing w:val="-2"/>
          <w:sz w:val="20"/>
        </w:rPr>
        <w:t> </w:t>
      </w:r>
      <w:r>
        <w:rPr>
          <w:sz w:val="20"/>
        </w:rPr>
        <w:t>the</w:t>
      </w:r>
      <w:r>
        <w:rPr>
          <w:spacing w:val="-4"/>
          <w:sz w:val="20"/>
        </w:rPr>
        <w:t> </w:t>
      </w:r>
      <w:r>
        <w:rPr>
          <w:sz w:val="20"/>
        </w:rPr>
        <w:t>Provost</w:t>
      </w:r>
      <w:r>
        <w:rPr>
          <w:spacing w:val="-2"/>
          <w:sz w:val="20"/>
        </w:rPr>
        <w:t> </w:t>
      </w:r>
      <w:r>
        <w:rPr>
          <w:sz w:val="20"/>
        </w:rPr>
        <w:t>who</w:t>
      </w:r>
      <w:r>
        <w:rPr>
          <w:spacing w:val="-2"/>
          <w:sz w:val="20"/>
        </w:rPr>
        <w:t> </w:t>
      </w:r>
      <w:r>
        <w:rPr>
          <w:sz w:val="20"/>
        </w:rPr>
        <w:t>will review the modification for approval of that office.</w:t>
      </w:r>
    </w:p>
    <w:p>
      <w:pPr>
        <w:pStyle w:val="BodyText"/>
        <w:spacing w:before="10"/>
      </w:pPr>
    </w:p>
    <w:p>
      <w:pPr>
        <w:pStyle w:val="ListParagraph"/>
        <w:numPr>
          <w:ilvl w:val="3"/>
          <w:numId w:val="38"/>
        </w:numPr>
        <w:tabs>
          <w:tab w:pos="2527" w:val="left" w:leader="none"/>
        </w:tabs>
        <w:spacing w:line="240" w:lineRule="auto" w:before="0" w:after="0"/>
        <w:ind w:left="2526" w:right="792" w:hanging="360"/>
        <w:jc w:val="left"/>
        <w:rPr>
          <w:sz w:val="20"/>
        </w:rPr>
      </w:pPr>
      <w:r>
        <w:rPr>
          <w:sz w:val="20"/>
        </w:rPr>
        <w:t>If</w:t>
      </w:r>
      <w:r>
        <w:rPr>
          <w:spacing w:val="-3"/>
          <w:sz w:val="20"/>
        </w:rPr>
        <w:t> </w:t>
      </w:r>
      <w:r>
        <w:rPr>
          <w:sz w:val="20"/>
        </w:rPr>
        <w:t>successful,</w:t>
      </w:r>
      <w:r>
        <w:rPr>
          <w:spacing w:val="-5"/>
          <w:sz w:val="20"/>
        </w:rPr>
        <w:t> </w:t>
      </w:r>
      <w:r>
        <w:rPr>
          <w:sz w:val="20"/>
        </w:rPr>
        <w:t>the</w:t>
      </w:r>
      <w:r>
        <w:rPr>
          <w:spacing w:val="-5"/>
          <w:sz w:val="20"/>
        </w:rPr>
        <w:t> </w:t>
      </w:r>
      <w:r>
        <w:rPr>
          <w:sz w:val="20"/>
        </w:rPr>
        <w:t>revision</w:t>
      </w:r>
      <w:r>
        <w:rPr>
          <w:spacing w:val="-3"/>
          <w:sz w:val="20"/>
        </w:rPr>
        <w:t> </w:t>
      </w:r>
      <w:r>
        <w:rPr>
          <w:sz w:val="20"/>
        </w:rPr>
        <w:t>is</w:t>
      </w:r>
      <w:r>
        <w:rPr>
          <w:spacing w:val="-4"/>
          <w:sz w:val="20"/>
        </w:rPr>
        <w:t> </w:t>
      </w:r>
      <w:r>
        <w:rPr>
          <w:sz w:val="20"/>
        </w:rPr>
        <w:t>submitted</w:t>
      </w:r>
      <w:r>
        <w:rPr>
          <w:spacing w:val="-5"/>
          <w:sz w:val="20"/>
        </w:rPr>
        <w:t> </w:t>
      </w:r>
      <w:r>
        <w:rPr>
          <w:sz w:val="20"/>
        </w:rPr>
        <w:t>to</w:t>
      </w:r>
      <w:r>
        <w:rPr>
          <w:spacing w:val="-5"/>
          <w:sz w:val="20"/>
        </w:rPr>
        <w:t> </w:t>
      </w:r>
      <w:r>
        <w:rPr>
          <w:sz w:val="20"/>
        </w:rPr>
        <w:t>the</w:t>
      </w:r>
      <w:r>
        <w:rPr>
          <w:spacing w:val="-3"/>
          <w:sz w:val="20"/>
        </w:rPr>
        <w:t> </w:t>
      </w:r>
      <w:r>
        <w:rPr>
          <w:sz w:val="20"/>
        </w:rPr>
        <w:t>long-range</w:t>
      </w:r>
      <w:r>
        <w:rPr>
          <w:spacing w:val="-5"/>
          <w:sz w:val="20"/>
        </w:rPr>
        <w:t> </w:t>
      </w:r>
      <w:r>
        <w:rPr>
          <w:sz w:val="20"/>
        </w:rPr>
        <w:t>planning</w:t>
      </w:r>
      <w:r>
        <w:rPr>
          <w:spacing w:val="-5"/>
          <w:sz w:val="20"/>
        </w:rPr>
        <w:t> </w:t>
      </w:r>
      <w:r>
        <w:rPr>
          <w:sz w:val="20"/>
        </w:rPr>
        <w:t>committee</w:t>
      </w:r>
      <w:r>
        <w:rPr>
          <w:spacing w:val="-5"/>
          <w:sz w:val="20"/>
        </w:rPr>
        <w:t> </w:t>
      </w:r>
      <w:r>
        <w:rPr>
          <w:sz w:val="20"/>
        </w:rPr>
        <w:t>and the Graduate College. The Chair or his/her designee will appear before those committees and present the modification for their review and approval.</w:t>
      </w:r>
    </w:p>
    <w:p>
      <w:pPr>
        <w:pStyle w:val="BodyText"/>
        <w:spacing w:before="9"/>
      </w:pPr>
    </w:p>
    <w:p>
      <w:pPr>
        <w:pStyle w:val="ListParagraph"/>
        <w:numPr>
          <w:ilvl w:val="3"/>
          <w:numId w:val="38"/>
        </w:numPr>
        <w:tabs>
          <w:tab w:pos="2527" w:val="left" w:leader="none"/>
        </w:tabs>
        <w:spacing w:line="240" w:lineRule="auto" w:before="0" w:after="0"/>
        <w:ind w:left="2526" w:right="690" w:hanging="360"/>
        <w:jc w:val="left"/>
        <w:rPr>
          <w:sz w:val="20"/>
        </w:rPr>
      </w:pPr>
      <w:r>
        <w:rPr>
          <w:sz w:val="20"/>
        </w:rPr>
        <w:t>The</w:t>
      </w:r>
      <w:r>
        <w:rPr>
          <w:spacing w:val="-7"/>
          <w:sz w:val="20"/>
        </w:rPr>
        <w:t> </w:t>
      </w:r>
      <w:r>
        <w:rPr>
          <w:sz w:val="20"/>
        </w:rPr>
        <w:t>modification</w:t>
      </w:r>
      <w:r>
        <w:rPr>
          <w:spacing w:val="-1"/>
          <w:sz w:val="20"/>
        </w:rPr>
        <w:t> </w:t>
      </w:r>
      <w:r>
        <w:rPr>
          <w:sz w:val="20"/>
        </w:rPr>
        <w:t>is</w:t>
      </w:r>
      <w:r>
        <w:rPr>
          <w:spacing w:val="-3"/>
          <w:sz w:val="20"/>
        </w:rPr>
        <w:t> </w:t>
      </w:r>
      <w:r>
        <w:rPr>
          <w:sz w:val="20"/>
        </w:rPr>
        <w:t>presented</w:t>
      </w:r>
      <w:r>
        <w:rPr>
          <w:spacing w:val="-4"/>
          <w:sz w:val="20"/>
        </w:rPr>
        <w:t> </w:t>
      </w:r>
      <w:r>
        <w:rPr>
          <w:sz w:val="20"/>
        </w:rPr>
        <w:t>to</w:t>
      </w:r>
      <w:r>
        <w:rPr>
          <w:spacing w:val="-2"/>
          <w:sz w:val="20"/>
        </w:rPr>
        <w:t> </w:t>
      </w:r>
      <w:r>
        <w:rPr>
          <w:sz w:val="20"/>
        </w:rPr>
        <w:t>the</w:t>
      </w:r>
      <w:r>
        <w:rPr>
          <w:spacing w:val="-2"/>
          <w:sz w:val="20"/>
        </w:rPr>
        <w:t> </w:t>
      </w:r>
      <w:r>
        <w:rPr>
          <w:sz w:val="20"/>
        </w:rPr>
        <w:t>full</w:t>
      </w:r>
      <w:r>
        <w:rPr>
          <w:spacing w:val="-3"/>
          <w:sz w:val="20"/>
        </w:rPr>
        <w:t> </w:t>
      </w:r>
      <w:r>
        <w:rPr>
          <w:sz w:val="20"/>
        </w:rPr>
        <w:t>university</w:t>
      </w:r>
      <w:r>
        <w:rPr>
          <w:spacing w:val="-7"/>
          <w:sz w:val="20"/>
        </w:rPr>
        <w:t> </w:t>
      </w:r>
      <w:r>
        <w:rPr>
          <w:sz w:val="20"/>
        </w:rPr>
        <w:t>faculty</w:t>
      </w:r>
      <w:r>
        <w:rPr>
          <w:spacing w:val="-7"/>
          <w:sz w:val="20"/>
        </w:rPr>
        <w:t> </w:t>
      </w:r>
      <w:r>
        <w:rPr>
          <w:sz w:val="20"/>
        </w:rPr>
        <w:t>senate</w:t>
      </w:r>
      <w:r>
        <w:rPr>
          <w:spacing w:val="-4"/>
          <w:sz w:val="20"/>
        </w:rPr>
        <w:t> </w:t>
      </w:r>
      <w:r>
        <w:rPr>
          <w:sz w:val="20"/>
        </w:rPr>
        <w:t>for</w:t>
      </w:r>
      <w:r>
        <w:rPr>
          <w:spacing w:val="-3"/>
          <w:sz w:val="20"/>
        </w:rPr>
        <w:t> </w:t>
      </w:r>
      <w:r>
        <w:rPr>
          <w:sz w:val="20"/>
        </w:rPr>
        <w:t>review</w:t>
      </w:r>
      <w:r>
        <w:rPr>
          <w:spacing w:val="-4"/>
          <w:sz w:val="20"/>
        </w:rPr>
        <w:t> </w:t>
      </w:r>
      <w:r>
        <w:rPr>
          <w:sz w:val="20"/>
        </w:rPr>
        <w:t>and</w:t>
      </w:r>
      <w:r>
        <w:rPr>
          <w:spacing w:val="-2"/>
          <w:sz w:val="20"/>
        </w:rPr>
        <w:t> </w:t>
      </w:r>
      <w:r>
        <w:rPr>
          <w:sz w:val="20"/>
        </w:rPr>
        <w:t>at one of the monthly meetings, will be voted for final approval.</w:t>
      </w:r>
    </w:p>
    <w:p>
      <w:pPr>
        <w:pStyle w:val="BodyText"/>
        <w:spacing w:before="11"/>
      </w:pPr>
    </w:p>
    <w:p>
      <w:pPr>
        <w:pStyle w:val="BodyText"/>
        <w:ind w:left="1662" w:right="642"/>
      </w:pPr>
      <w:r>
        <w:rPr/>
        <w:t>When</w:t>
      </w:r>
      <w:r>
        <w:rPr>
          <w:spacing w:val="-6"/>
        </w:rPr>
        <w:t> </w:t>
      </w:r>
      <w:r>
        <w:rPr/>
        <w:t>modifications</w:t>
      </w:r>
      <w:r>
        <w:rPr>
          <w:spacing w:val="-3"/>
        </w:rPr>
        <w:t> </w:t>
      </w:r>
      <w:r>
        <w:rPr/>
        <w:t>have</w:t>
      </w:r>
      <w:r>
        <w:rPr>
          <w:spacing w:val="-4"/>
        </w:rPr>
        <w:t> </w:t>
      </w:r>
      <w:r>
        <w:rPr/>
        <w:t>fiscal</w:t>
      </w:r>
      <w:r>
        <w:rPr>
          <w:spacing w:val="-5"/>
        </w:rPr>
        <w:t> </w:t>
      </w:r>
      <w:r>
        <w:rPr/>
        <w:t>impacts</w:t>
      </w:r>
      <w:r>
        <w:rPr>
          <w:spacing w:val="-3"/>
        </w:rPr>
        <w:t> </w:t>
      </w:r>
      <w:r>
        <w:rPr/>
        <w:t>or</w:t>
      </w:r>
      <w:r>
        <w:rPr>
          <w:spacing w:val="-3"/>
        </w:rPr>
        <w:t> </w:t>
      </w:r>
      <w:r>
        <w:rPr/>
        <w:t>degree</w:t>
      </w:r>
      <w:r>
        <w:rPr>
          <w:spacing w:val="-2"/>
        </w:rPr>
        <w:t> </w:t>
      </w:r>
      <w:r>
        <w:rPr/>
        <w:t>implications,</w:t>
      </w:r>
      <w:r>
        <w:rPr>
          <w:spacing w:val="-4"/>
        </w:rPr>
        <w:t> </w:t>
      </w:r>
      <w:r>
        <w:rPr/>
        <w:t>it</w:t>
      </w:r>
      <w:r>
        <w:rPr>
          <w:spacing w:val="-4"/>
        </w:rPr>
        <w:t> </w:t>
      </w:r>
      <w:r>
        <w:rPr/>
        <w:t>might</w:t>
      </w:r>
      <w:r>
        <w:rPr>
          <w:spacing w:val="-4"/>
        </w:rPr>
        <w:t> </w:t>
      </w:r>
      <w:r>
        <w:rPr/>
        <w:t>also</w:t>
      </w:r>
      <w:r>
        <w:rPr>
          <w:spacing w:val="-4"/>
        </w:rPr>
        <w:t> </w:t>
      </w:r>
      <w:r>
        <w:rPr/>
        <w:t>be</w:t>
      </w:r>
      <w:r>
        <w:rPr>
          <w:spacing w:val="-2"/>
        </w:rPr>
        <w:t> </w:t>
      </w:r>
      <w:r>
        <w:rPr/>
        <w:t>reviewed</w:t>
      </w:r>
      <w:r>
        <w:rPr>
          <w:spacing w:val="-2"/>
        </w:rPr>
        <w:t> </w:t>
      </w:r>
      <w:r>
        <w:rPr/>
        <w:t>by the University administrative leadership, including the Treasures and Vice President for Financial Affairs and, if need be, the University President.</w:t>
      </w:r>
    </w:p>
    <w:p>
      <w:pPr>
        <w:pStyle w:val="BodyText"/>
        <w:rPr>
          <w:sz w:val="21"/>
        </w:rPr>
      </w:pPr>
    </w:p>
    <w:p>
      <w:pPr>
        <w:pStyle w:val="BodyText"/>
        <w:ind w:left="438"/>
      </w:pPr>
      <w:r>
        <w:rPr/>
        <w:t>Recent</w:t>
      </w:r>
      <w:r>
        <w:rPr>
          <w:spacing w:val="-10"/>
        </w:rPr>
        <w:t> </w:t>
      </w:r>
      <w:r>
        <w:rPr>
          <w:spacing w:val="-2"/>
        </w:rPr>
        <w:t>Changes</w:t>
      </w:r>
    </w:p>
    <w:p>
      <w:pPr>
        <w:pStyle w:val="BodyText"/>
        <w:spacing w:before="8"/>
      </w:pPr>
    </w:p>
    <w:p>
      <w:pPr>
        <w:pStyle w:val="BodyText"/>
        <w:ind w:left="1662" w:right="642"/>
      </w:pPr>
      <w:r>
        <w:rPr/>
        <w:t>In 2009, the NAAB Visiting Team recommended modifications to strengthen the pre- requisite</w:t>
      </w:r>
      <w:r>
        <w:rPr>
          <w:spacing w:val="-4"/>
        </w:rPr>
        <w:t> </w:t>
      </w:r>
      <w:r>
        <w:rPr/>
        <w:t>requirements</w:t>
      </w:r>
      <w:r>
        <w:rPr>
          <w:spacing w:val="-3"/>
        </w:rPr>
        <w:t> </w:t>
      </w:r>
      <w:r>
        <w:rPr/>
        <w:t>and</w:t>
      </w:r>
      <w:r>
        <w:rPr>
          <w:spacing w:val="-2"/>
        </w:rPr>
        <w:t> </w:t>
      </w:r>
      <w:r>
        <w:rPr/>
        <w:t>introduce</w:t>
      </w:r>
      <w:r>
        <w:rPr>
          <w:spacing w:val="-4"/>
        </w:rPr>
        <w:t> </w:t>
      </w:r>
      <w:r>
        <w:rPr/>
        <w:t>gateways</w:t>
      </w:r>
      <w:r>
        <w:rPr>
          <w:spacing w:val="-3"/>
        </w:rPr>
        <w:t> </w:t>
      </w:r>
      <w:r>
        <w:rPr/>
        <w:t>to</w:t>
      </w:r>
      <w:r>
        <w:rPr>
          <w:spacing w:val="-4"/>
        </w:rPr>
        <w:t> </w:t>
      </w:r>
      <w:r>
        <w:rPr/>
        <w:t>insure</w:t>
      </w:r>
      <w:r>
        <w:rPr>
          <w:spacing w:val="-4"/>
        </w:rPr>
        <w:t> </w:t>
      </w:r>
      <w:r>
        <w:rPr/>
        <w:t>that</w:t>
      </w:r>
      <w:r>
        <w:rPr>
          <w:spacing w:val="-4"/>
        </w:rPr>
        <w:t> </w:t>
      </w:r>
      <w:r>
        <w:rPr/>
        <w:t>students</w:t>
      </w:r>
      <w:r>
        <w:rPr>
          <w:spacing w:val="-3"/>
        </w:rPr>
        <w:t> </w:t>
      </w:r>
      <w:r>
        <w:rPr/>
        <w:t>did</w:t>
      </w:r>
      <w:r>
        <w:rPr>
          <w:spacing w:val="-2"/>
        </w:rPr>
        <w:t> </w:t>
      </w:r>
      <w:r>
        <w:rPr/>
        <w:t>not</w:t>
      </w:r>
      <w:r>
        <w:rPr>
          <w:spacing w:val="-2"/>
        </w:rPr>
        <w:t> </w:t>
      </w:r>
      <w:r>
        <w:rPr/>
        <w:t>progress</w:t>
      </w:r>
      <w:r>
        <w:rPr>
          <w:spacing w:val="-3"/>
        </w:rPr>
        <w:t> </w:t>
      </w:r>
      <w:r>
        <w:rPr/>
        <w:t>too far into the program if ultimate completion were not possible.</w:t>
      </w:r>
    </w:p>
    <w:p>
      <w:pPr>
        <w:pStyle w:val="BodyText"/>
        <w:rPr>
          <w:sz w:val="21"/>
        </w:rPr>
      </w:pPr>
    </w:p>
    <w:p>
      <w:pPr>
        <w:pStyle w:val="BodyText"/>
        <w:ind w:left="1662" w:right="676"/>
      </w:pPr>
      <w:r>
        <w:rPr/>
        <w:t>In 2013, there was internal discussion about the cost of credits being required for the architecture</w:t>
      </w:r>
      <w:r>
        <w:rPr>
          <w:spacing w:val="-3"/>
        </w:rPr>
        <w:t> </w:t>
      </w:r>
      <w:r>
        <w:rPr/>
        <w:t>curriculum,</w:t>
      </w:r>
      <w:r>
        <w:rPr>
          <w:spacing w:val="-5"/>
        </w:rPr>
        <w:t> </w:t>
      </w:r>
      <w:r>
        <w:rPr/>
        <w:t>where</w:t>
      </w:r>
      <w:r>
        <w:rPr>
          <w:spacing w:val="-5"/>
        </w:rPr>
        <w:t> </w:t>
      </w:r>
      <w:r>
        <w:rPr/>
        <w:t>seven</w:t>
      </w:r>
      <w:r>
        <w:rPr>
          <w:spacing w:val="-5"/>
        </w:rPr>
        <w:t> </w:t>
      </w:r>
      <w:r>
        <w:rPr/>
        <w:t>of</w:t>
      </w:r>
      <w:r>
        <w:rPr>
          <w:spacing w:val="-3"/>
        </w:rPr>
        <w:t> </w:t>
      </w:r>
      <w:r>
        <w:rPr/>
        <w:t>the</w:t>
      </w:r>
      <w:r>
        <w:rPr>
          <w:spacing w:val="-5"/>
        </w:rPr>
        <w:t> </w:t>
      </w:r>
      <w:r>
        <w:rPr/>
        <w:t>11</w:t>
      </w:r>
      <w:r>
        <w:rPr>
          <w:spacing w:val="-5"/>
        </w:rPr>
        <w:t> </w:t>
      </w:r>
      <w:r>
        <w:rPr/>
        <w:t>academic</w:t>
      </w:r>
      <w:r>
        <w:rPr>
          <w:spacing w:val="-2"/>
        </w:rPr>
        <w:t> </w:t>
      </w:r>
      <w:r>
        <w:rPr/>
        <w:t>terms</w:t>
      </w:r>
      <w:r>
        <w:rPr>
          <w:spacing w:val="-4"/>
        </w:rPr>
        <w:t> </w:t>
      </w:r>
      <w:r>
        <w:rPr/>
        <w:t>included</w:t>
      </w:r>
      <w:r>
        <w:rPr>
          <w:spacing w:val="-5"/>
        </w:rPr>
        <w:t> </w:t>
      </w:r>
      <w:r>
        <w:rPr/>
        <w:t>credits</w:t>
      </w:r>
      <w:r>
        <w:rPr>
          <w:spacing w:val="-4"/>
        </w:rPr>
        <w:t> </w:t>
      </w:r>
      <w:r>
        <w:rPr/>
        <w:t>beyond</w:t>
      </w:r>
      <w:r>
        <w:rPr>
          <w:spacing w:val="-3"/>
        </w:rPr>
        <w:t> </w:t>
      </w:r>
      <w:r>
        <w:rPr/>
        <w:t>the 17 maximum credit limit, exposing students to additional costs. At the same time, the university was reviewing the requirements for general education courses within each curriculum.</w:t>
      </w:r>
      <w:r>
        <w:rPr>
          <w:spacing w:val="-1"/>
        </w:rPr>
        <w:t> </w:t>
      </w:r>
      <w:r>
        <w:rPr/>
        <w:t>In</w:t>
      </w:r>
      <w:r>
        <w:rPr>
          <w:spacing w:val="-1"/>
        </w:rPr>
        <w:t> </w:t>
      </w:r>
      <w:r>
        <w:rPr/>
        <w:t>November,</w:t>
      </w:r>
      <w:r>
        <w:rPr>
          <w:spacing w:val="-1"/>
        </w:rPr>
        <w:t> </w:t>
      </w:r>
      <w:r>
        <w:rPr/>
        <w:t>2013, the</w:t>
      </w:r>
      <w:r>
        <w:rPr>
          <w:spacing w:val="-1"/>
        </w:rPr>
        <w:t> </w:t>
      </w:r>
      <w:r>
        <w:rPr/>
        <w:t>faculty</w:t>
      </w:r>
      <w:r>
        <w:rPr>
          <w:spacing w:val="-4"/>
        </w:rPr>
        <w:t> </w:t>
      </w:r>
      <w:r>
        <w:rPr/>
        <w:t>completed a</w:t>
      </w:r>
      <w:r>
        <w:rPr>
          <w:spacing w:val="-1"/>
        </w:rPr>
        <w:t> </w:t>
      </w:r>
      <w:r>
        <w:rPr/>
        <w:t>review</w:t>
      </w:r>
      <w:r>
        <w:rPr>
          <w:spacing w:val="-1"/>
        </w:rPr>
        <w:t> </w:t>
      </w:r>
      <w:r>
        <w:rPr/>
        <w:t>of the</w:t>
      </w:r>
      <w:r>
        <w:rPr>
          <w:spacing w:val="-1"/>
        </w:rPr>
        <w:t> </w:t>
      </w:r>
      <w:r>
        <w:rPr/>
        <w:t>curriculum and</w:t>
      </w:r>
      <w:r>
        <w:rPr>
          <w:spacing w:val="-1"/>
        </w:rPr>
        <w:t> </w:t>
      </w:r>
      <w:r>
        <w:rPr/>
        <w:t>made a recommendation to the Dean of SET. The recommendation was tabled until January,</w:t>
      </w:r>
    </w:p>
    <w:p>
      <w:pPr>
        <w:spacing w:after="0"/>
        <w:sectPr>
          <w:headerReference w:type="default" r:id="rId129"/>
          <w:footerReference w:type="default" r:id="rId130"/>
          <w:pgSz w:w="12240" w:h="15840"/>
          <w:pgMar w:header="0" w:footer="974" w:top="1360" w:bottom="1160" w:left="1000" w:right="820"/>
        </w:sectPr>
      </w:pPr>
    </w:p>
    <w:p>
      <w:pPr>
        <w:pStyle w:val="BodyText"/>
        <w:spacing w:before="77"/>
        <w:ind w:left="1664" w:right="712"/>
      </w:pPr>
      <w:r>
        <w:rPr/>
        <w:t>when a sub-committee of the University’s long-range planning committee assigned to review the General Education requirements completed their work. That committee determined that the University had a larger than necessary requirement for General Education</w:t>
      </w:r>
      <w:r>
        <w:rPr>
          <w:spacing w:val="-5"/>
        </w:rPr>
        <w:t> </w:t>
      </w:r>
      <w:r>
        <w:rPr/>
        <w:t>requirements</w:t>
      </w:r>
      <w:r>
        <w:rPr>
          <w:spacing w:val="-4"/>
        </w:rPr>
        <w:t> </w:t>
      </w:r>
      <w:r>
        <w:rPr/>
        <w:t>compared</w:t>
      </w:r>
      <w:r>
        <w:rPr>
          <w:spacing w:val="-5"/>
        </w:rPr>
        <w:t> </w:t>
      </w:r>
      <w:r>
        <w:rPr/>
        <w:t>to</w:t>
      </w:r>
      <w:r>
        <w:rPr>
          <w:spacing w:val="-5"/>
        </w:rPr>
        <w:t> </w:t>
      </w:r>
      <w:r>
        <w:rPr/>
        <w:t>its</w:t>
      </w:r>
      <w:r>
        <w:rPr>
          <w:spacing w:val="-4"/>
        </w:rPr>
        <w:t> </w:t>
      </w:r>
      <w:r>
        <w:rPr/>
        <w:t>peer</w:t>
      </w:r>
      <w:r>
        <w:rPr>
          <w:spacing w:val="-4"/>
        </w:rPr>
        <w:t> </w:t>
      </w:r>
      <w:r>
        <w:rPr/>
        <w:t>institutions</w:t>
      </w:r>
      <w:r>
        <w:rPr>
          <w:spacing w:val="-4"/>
        </w:rPr>
        <w:t> </w:t>
      </w:r>
      <w:r>
        <w:rPr/>
        <w:t>and</w:t>
      </w:r>
      <w:r>
        <w:rPr>
          <w:spacing w:val="-5"/>
        </w:rPr>
        <w:t> </w:t>
      </w:r>
      <w:r>
        <w:rPr/>
        <w:t>recommended</w:t>
      </w:r>
      <w:r>
        <w:rPr>
          <w:spacing w:val="-5"/>
        </w:rPr>
        <w:t> </w:t>
      </w:r>
      <w:r>
        <w:rPr/>
        <w:t>that</w:t>
      </w:r>
      <w:r>
        <w:rPr>
          <w:spacing w:val="-3"/>
        </w:rPr>
        <w:t> </w:t>
      </w:r>
      <w:r>
        <w:rPr/>
        <w:t>programs reassess their General Education requirement based on university developed criteria.</w:t>
      </w:r>
    </w:p>
    <w:p>
      <w:pPr>
        <w:pStyle w:val="BodyText"/>
        <w:spacing w:before="10"/>
      </w:pPr>
    </w:p>
    <w:p>
      <w:pPr>
        <w:pStyle w:val="BodyText"/>
        <w:ind w:left="1664" w:right="712"/>
      </w:pPr>
      <w:r>
        <w:rPr/>
        <w:t>The HUDA faculty incorporated those recommendations into the earlier completed document, and in April, 2014 submitted the modification to the Dean. The revision was examined by the appropriate committees and in July, 2014 a special committee of the faculty</w:t>
      </w:r>
      <w:r>
        <w:rPr>
          <w:spacing w:val="-5"/>
        </w:rPr>
        <w:t> </w:t>
      </w:r>
      <w:r>
        <w:rPr/>
        <w:t>voted</w:t>
      </w:r>
      <w:r>
        <w:rPr>
          <w:spacing w:val="-4"/>
        </w:rPr>
        <w:t> </w:t>
      </w:r>
      <w:r>
        <w:rPr/>
        <w:t>to</w:t>
      </w:r>
      <w:r>
        <w:rPr>
          <w:spacing w:val="-4"/>
        </w:rPr>
        <w:t> </w:t>
      </w:r>
      <w:r>
        <w:rPr/>
        <w:t>approve</w:t>
      </w:r>
      <w:r>
        <w:rPr>
          <w:spacing w:val="-4"/>
        </w:rPr>
        <w:t> </w:t>
      </w:r>
      <w:r>
        <w:rPr/>
        <w:t>the</w:t>
      </w:r>
      <w:r>
        <w:rPr>
          <w:spacing w:val="-4"/>
        </w:rPr>
        <w:t> </w:t>
      </w:r>
      <w:r>
        <w:rPr/>
        <w:t>curriculum revision.</w:t>
      </w:r>
      <w:r>
        <w:rPr>
          <w:spacing w:val="-4"/>
        </w:rPr>
        <w:t> </w:t>
      </w:r>
      <w:r>
        <w:rPr/>
        <w:t>The</w:t>
      </w:r>
      <w:r>
        <w:rPr>
          <w:spacing w:val="-4"/>
        </w:rPr>
        <w:t> </w:t>
      </w:r>
      <w:r>
        <w:rPr/>
        <w:t>result</w:t>
      </w:r>
      <w:r>
        <w:rPr>
          <w:spacing w:val="-2"/>
        </w:rPr>
        <w:t> </w:t>
      </w:r>
      <w:r>
        <w:rPr/>
        <w:t>was</w:t>
      </w:r>
      <w:r>
        <w:rPr>
          <w:spacing w:val="-3"/>
        </w:rPr>
        <w:t> </w:t>
      </w:r>
      <w:r>
        <w:rPr/>
        <w:t>a</w:t>
      </w:r>
      <w:r>
        <w:rPr>
          <w:spacing w:val="-4"/>
        </w:rPr>
        <w:t> </w:t>
      </w:r>
      <w:r>
        <w:rPr/>
        <w:t>reduction</w:t>
      </w:r>
      <w:r>
        <w:rPr>
          <w:spacing w:val="-2"/>
        </w:rPr>
        <w:t> </w:t>
      </w:r>
      <w:r>
        <w:rPr/>
        <w:t>in</w:t>
      </w:r>
      <w:r>
        <w:rPr>
          <w:spacing w:val="-4"/>
        </w:rPr>
        <w:t> </w:t>
      </w:r>
      <w:r>
        <w:rPr/>
        <w:t>total</w:t>
      </w:r>
      <w:r>
        <w:rPr>
          <w:spacing w:val="-5"/>
        </w:rPr>
        <w:t> </w:t>
      </w:r>
      <w:r>
        <w:rPr/>
        <w:t>credits required for the degree (from 173 credits to 168 credits). This allowed the department to introduce two new courses (ARC 300, Travel Prep, and ARC 516 Building System Integration), while eliminating three General Education courses (one math course, one credit in art and one humanities course.</w:t>
      </w:r>
    </w:p>
    <w:p>
      <w:pPr>
        <w:spacing w:after="0"/>
        <w:sectPr>
          <w:headerReference w:type="default" r:id="rId131"/>
          <w:footerReference w:type="default" r:id="rId132"/>
          <w:pgSz w:w="12240" w:h="15840"/>
          <w:pgMar w:header="0" w:footer="974" w:top="1360" w:bottom="1160" w:left="1000" w:right="820"/>
        </w:sectPr>
      </w:pPr>
    </w:p>
    <w:p>
      <w:pPr>
        <w:pStyle w:val="Heading5"/>
        <w:numPr>
          <w:ilvl w:val="1"/>
          <w:numId w:val="38"/>
        </w:numPr>
        <w:tabs>
          <w:tab w:pos="1519" w:val="left" w:leader="none"/>
          <w:tab w:pos="1520" w:val="left" w:leader="none"/>
        </w:tabs>
        <w:spacing w:line="240" w:lineRule="auto" w:before="74" w:after="0"/>
        <w:ind w:left="1519" w:right="0" w:hanging="720"/>
        <w:jc w:val="left"/>
      </w:pPr>
      <w:r>
        <w:rPr/>
        <w:t>Evaluation</w:t>
      </w:r>
      <w:r>
        <w:rPr>
          <w:spacing w:val="-15"/>
        </w:rPr>
        <w:t> </w:t>
      </w:r>
      <w:r>
        <w:rPr/>
        <w:t>of</w:t>
      </w:r>
      <w:r>
        <w:rPr>
          <w:spacing w:val="-11"/>
        </w:rPr>
        <w:t> </w:t>
      </w:r>
      <w:r>
        <w:rPr/>
        <w:t>Preparatory/Pre-professional</w:t>
      </w:r>
      <w:r>
        <w:rPr>
          <w:spacing w:val="-12"/>
        </w:rPr>
        <w:t> </w:t>
      </w:r>
      <w:r>
        <w:rPr>
          <w:spacing w:val="-2"/>
        </w:rPr>
        <w:t>Education:</w:t>
      </w:r>
    </w:p>
    <w:p>
      <w:pPr>
        <w:pStyle w:val="BodyText"/>
        <w:spacing w:before="243"/>
        <w:ind w:left="1663" w:right="712"/>
      </w:pPr>
      <w:r>
        <w:rPr/>
        <w:t>Hampton</w:t>
      </w:r>
      <w:r>
        <w:rPr>
          <w:spacing w:val="-4"/>
        </w:rPr>
        <w:t> </w:t>
      </w:r>
      <w:r>
        <w:rPr/>
        <w:t>University</w:t>
      </w:r>
      <w:r>
        <w:rPr>
          <w:spacing w:val="-5"/>
        </w:rPr>
        <w:t> </w:t>
      </w:r>
      <w:r>
        <w:rPr/>
        <w:t>is</w:t>
      </w:r>
      <w:r>
        <w:rPr>
          <w:spacing w:val="-3"/>
        </w:rPr>
        <w:t> </w:t>
      </w:r>
      <w:r>
        <w:rPr/>
        <w:t>an</w:t>
      </w:r>
      <w:r>
        <w:rPr>
          <w:spacing w:val="-2"/>
        </w:rPr>
        <w:t> </w:t>
      </w:r>
      <w:r>
        <w:rPr/>
        <w:t>open</w:t>
      </w:r>
      <w:r>
        <w:rPr>
          <w:spacing w:val="-2"/>
        </w:rPr>
        <w:t> </w:t>
      </w:r>
      <w:r>
        <w:rPr/>
        <w:t>enrollment</w:t>
      </w:r>
      <w:r>
        <w:rPr>
          <w:spacing w:val="-4"/>
        </w:rPr>
        <w:t> </w:t>
      </w:r>
      <w:r>
        <w:rPr/>
        <w:t>institution;</w:t>
      </w:r>
      <w:r>
        <w:rPr>
          <w:spacing w:val="-4"/>
        </w:rPr>
        <w:t> </w:t>
      </w:r>
      <w:r>
        <w:rPr/>
        <w:t>any</w:t>
      </w:r>
      <w:r>
        <w:rPr>
          <w:spacing w:val="-7"/>
        </w:rPr>
        <w:t> </w:t>
      </w:r>
      <w:r>
        <w:rPr/>
        <w:t>student</w:t>
      </w:r>
      <w:r>
        <w:rPr>
          <w:spacing w:val="-4"/>
        </w:rPr>
        <w:t> </w:t>
      </w:r>
      <w:r>
        <w:rPr/>
        <w:t>admitted</w:t>
      </w:r>
      <w:r>
        <w:rPr>
          <w:spacing w:val="-2"/>
        </w:rPr>
        <w:t> </w:t>
      </w:r>
      <w:r>
        <w:rPr/>
        <w:t>to</w:t>
      </w:r>
      <w:r>
        <w:rPr>
          <w:spacing w:val="-4"/>
        </w:rPr>
        <w:t> </w:t>
      </w:r>
      <w:r>
        <w:rPr/>
        <w:t>the</w:t>
      </w:r>
      <w:r>
        <w:rPr>
          <w:spacing w:val="-2"/>
        </w:rPr>
        <w:t> </w:t>
      </w:r>
      <w:r>
        <w:rPr/>
        <w:t>university may declare any desired major. The university standards for admission are based on high school performance and standardized test scores, but the university has a mission to extend opportunities to students who do not necessarily meet the minimum requirements, but display other qualities of leadership and service that merit a chance to develop their talents through collegiate education. The department of architecture will often receive students who are not academically prepared for the rigors of our curriculum. Remedial courses, particularly in mathematics are generally required.</w:t>
      </w:r>
    </w:p>
    <w:p>
      <w:pPr>
        <w:pStyle w:val="BodyText"/>
        <w:spacing w:before="11"/>
      </w:pPr>
    </w:p>
    <w:p>
      <w:pPr>
        <w:pStyle w:val="BodyText"/>
        <w:ind w:left="1663" w:right="642"/>
      </w:pPr>
      <w:r>
        <w:rPr/>
        <w:t>One</w:t>
      </w:r>
      <w:r>
        <w:rPr>
          <w:spacing w:val="-2"/>
        </w:rPr>
        <w:t> </w:t>
      </w:r>
      <w:r>
        <w:rPr/>
        <w:t>comment</w:t>
      </w:r>
      <w:r>
        <w:rPr>
          <w:spacing w:val="-2"/>
        </w:rPr>
        <w:t> </w:t>
      </w:r>
      <w:r>
        <w:rPr/>
        <w:t>received</w:t>
      </w:r>
      <w:r>
        <w:rPr>
          <w:spacing w:val="-2"/>
        </w:rPr>
        <w:t> </w:t>
      </w:r>
      <w:r>
        <w:rPr/>
        <w:t>from the</w:t>
      </w:r>
      <w:r>
        <w:rPr>
          <w:spacing w:val="-2"/>
        </w:rPr>
        <w:t> </w:t>
      </w:r>
      <w:r>
        <w:rPr/>
        <w:t>2009</w:t>
      </w:r>
      <w:r>
        <w:rPr>
          <w:spacing w:val="-2"/>
        </w:rPr>
        <w:t> </w:t>
      </w:r>
      <w:r>
        <w:rPr/>
        <w:t>NAAB Visiting Team suggested</w:t>
      </w:r>
      <w:r>
        <w:rPr>
          <w:spacing w:val="-2"/>
        </w:rPr>
        <w:t> </w:t>
      </w:r>
      <w:r>
        <w:rPr/>
        <w:t>that</w:t>
      </w:r>
      <w:r>
        <w:rPr>
          <w:spacing w:val="-2"/>
        </w:rPr>
        <w:t> </w:t>
      </w:r>
      <w:r>
        <w:rPr/>
        <w:t>the</w:t>
      </w:r>
      <w:r>
        <w:rPr>
          <w:spacing w:val="-2"/>
        </w:rPr>
        <w:t> </w:t>
      </w:r>
      <w:r>
        <w:rPr/>
        <w:t>measure</w:t>
      </w:r>
      <w:r>
        <w:rPr>
          <w:spacing w:val="-2"/>
        </w:rPr>
        <w:t> </w:t>
      </w:r>
      <w:r>
        <w:rPr/>
        <w:t>for students moving forward was too nebulous and did not provide ample gateways for evaluating student progression through the curriculum; there was no suitable ‘off-ramp’ for those who had progressed to the 4</w:t>
      </w:r>
      <w:r>
        <w:rPr>
          <w:vertAlign w:val="superscript"/>
        </w:rPr>
        <w:t>th</w:t>
      </w:r>
      <w:r>
        <w:rPr>
          <w:vertAlign w:val="baseline"/>
        </w:rPr>
        <w:t> year with no future in the profession. As a result, we developed more stringent metrics to determine who moved forward in the process. That included higher GPA standards after the first and second year so that students could be assessed</w:t>
      </w:r>
      <w:r>
        <w:rPr>
          <w:spacing w:val="-4"/>
          <w:vertAlign w:val="baseline"/>
        </w:rPr>
        <w:t> </w:t>
      </w:r>
      <w:r>
        <w:rPr>
          <w:vertAlign w:val="baseline"/>
        </w:rPr>
        <w:t>by</w:t>
      </w:r>
      <w:r>
        <w:rPr>
          <w:spacing w:val="-5"/>
          <w:vertAlign w:val="baseline"/>
        </w:rPr>
        <w:t> </w:t>
      </w:r>
      <w:r>
        <w:rPr>
          <w:vertAlign w:val="baseline"/>
        </w:rPr>
        <w:t>their</w:t>
      </w:r>
      <w:r>
        <w:rPr>
          <w:spacing w:val="-3"/>
          <w:vertAlign w:val="baseline"/>
        </w:rPr>
        <w:t> </w:t>
      </w:r>
      <w:r>
        <w:rPr>
          <w:vertAlign w:val="baseline"/>
        </w:rPr>
        <w:t>professors</w:t>
      </w:r>
      <w:r>
        <w:rPr>
          <w:spacing w:val="-4"/>
          <w:vertAlign w:val="baseline"/>
        </w:rPr>
        <w:t> </w:t>
      </w:r>
      <w:r>
        <w:rPr>
          <w:vertAlign w:val="baseline"/>
        </w:rPr>
        <w:t>in</w:t>
      </w:r>
      <w:r>
        <w:rPr>
          <w:spacing w:val="-4"/>
          <w:vertAlign w:val="baseline"/>
        </w:rPr>
        <w:t> </w:t>
      </w:r>
      <w:r>
        <w:rPr>
          <w:vertAlign w:val="baseline"/>
        </w:rPr>
        <w:t>concert</w:t>
      </w:r>
      <w:r>
        <w:rPr>
          <w:spacing w:val="-3"/>
          <w:vertAlign w:val="baseline"/>
        </w:rPr>
        <w:t> </w:t>
      </w:r>
      <w:r>
        <w:rPr>
          <w:vertAlign w:val="baseline"/>
        </w:rPr>
        <w:t>with</w:t>
      </w:r>
      <w:r>
        <w:rPr>
          <w:spacing w:val="-3"/>
          <w:vertAlign w:val="baseline"/>
        </w:rPr>
        <w:t> </w:t>
      </w:r>
      <w:r>
        <w:rPr>
          <w:vertAlign w:val="baseline"/>
        </w:rPr>
        <w:t>their</w:t>
      </w:r>
      <w:r>
        <w:rPr>
          <w:spacing w:val="-3"/>
          <w:vertAlign w:val="baseline"/>
        </w:rPr>
        <w:t> </w:t>
      </w:r>
      <w:r>
        <w:rPr>
          <w:vertAlign w:val="baseline"/>
        </w:rPr>
        <w:t>faculty</w:t>
      </w:r>
      <w:r>
        <w:rPr>
          <w:spacing w:val="-5"/>
          <w:vertAlign w:val="baseline"/>
        </w:rPr>
        <w:t> </w:t>
      </w:r>
      <w:r>
        <w:rPr>
          <w:vertAlign w:val="baseline"/>
        </w:rPr>
        <w:t>advisors</w:t>
      </w:r>
      <w:r>
        <w:rPr>
          <w:spacing w:val="-3"/>
          <w:vertAlign w:val="baseline"/>
        </w:rPr>
        <w:t> </w:t>
      </w:r>
      <w:r>
        <w:rPr>
          <w:vertAlign w:val="baseline"/>
        </w:rPr>
        <w:t>and</w:t>
      </w:r>
      <w:r>
        <w:rPr>
          <w:spacing w:val="-3"/>
          <w:vertAlign w:val="baseline"/>
        </w:rPr>
        <w:t> </w:t>
      </w:r>
      <w:r>
        <w:rPr>
          <w:vertAlign w:val="baseline"/>
        </w:rPr>
        <w:t>those</w:t>
      </w:r>
      <w:r>
        <w:rPr>
          <w:spacing w:val="-3"/>
          <w:vertAlign w:val="baseline"/>
        </w:rPr>
        <w:t> </w:t>
      </w:r>
      <w:r>
        <w:rPr>
          <w:vertAlign w:val="baseline"/>
        </w:rPr>
        <w:t>not</w:t>
      </w:r>
      <w:r>
        <w:rPr>
          <w:spacing w:val="-3"/>
          <w:vertAlign w:val="baseline"/>
        </w:rPr>
        <w:t> </w:t>
      </w:r>
      <w:r>
        <w:rPr>
          <w:vertAlign w:val="baseline"/>
        </w:rPr>
        <w:t>possessing the needed acumen would be remanded to the Chair for assessment.</w:t>
      </w:r>
    </w:p>
    <w:p>
      <w:pPr>
        <w:pStyle w:val="BodyText"/>
        <w:spacing w:before="8"/>
      </w:pPr>
    </w:p>
    <w:p>
      <w:pPr>
        <w:pStyle w:val="BodyText"/>
        <w:ind w:left="1663" w:right="712"/>
      </w:pPr>
      <w:r>
        <w:rPr/>
        <w:t>Our</w:t>
      </w:r>
      <w:r>
        <w:rPr>
          <w:spacing w:val="-4"/>
        </w:rPr>
        <w:t> </w:t>
      </w:r>
      <w:r>
        <w:rPr/>
        <w:t>program also</w:t>
      </w:r>
      <w:r>
        <w:rPr>
          <w:spacing w:val="-5"/>
        </w:rPr>
        <w:t> </w:t>
      </w:r>
      <w:r>
        <w:rPr/>
        <w:t>includes</w:t>
      </w:r>
      <w:r>
        <w:rPr>
          <w:spacing w:val="-1"/>
        </w:rPr>
        <w:t> </w:t>
      </w:r>
      <w:r>
        <w:rPr/>
        <w:t>a</w:t>
      </w:r>
      <w:r>
        <w:rPr>
          <w:spacing w:val="-5"/>
        </w:rPr>
        <w:t> </w:t>
      </w:r>
      <w:r>
        <w:rPr/>
        <w:t>small</w:t>
      </w:r>
      <w:r>
        <w:rPr>
          <w:spacing w:val="-6"/>
        </w:rPr>
        <w:t> </w:t>
      </w:r>
      <w:r>
        <w:rPr/>
        <w:t>percentage</w:t>
      </w:r>
      <w:r>
        <w:rPr>
          <w:spacing w:val="-3"/>
        </w:rPr>
        <w:t> </w:t>
      </w:r>
      <w:r>
        <w:rPr/>
        <w:t>of</w:t>
      </w:r>
      <w:r>
        <w:rPr>
          <w:spacing w:val="-3"/>
        </w:rPr>
        <w:t> </w:t>
      </w:r>
      <w:r>
        <w:rPr/>
        <w:t>transfer</w:t>
      </w:r>
      <w:r>
        <w:rPr>
          <w:spacing w:val="-4"/>
        </w:rPr>
        <w:t> </w:t>
      </w:r>
      <w:r>
        <w:rPr/>
        <w:t>students</w:t>
      </w:r>
      <w:r>
        <w:rPr>
          <w:spacing w:val="-4"/>
        </w:rPr>
        <w:t> </w:t>
      </w:r>
      <w:r>
        <w:rPr/>
        <w:t>(approximately</w:t>
      </w:r>
      <w:r>
        <w:rPr>
          <w:spacing w:val="-6"/>
        </w:rPr>
        <w:t> </w:t>
      </w:r>
      <w:r>
        <w:rPr/>
        <w:t>6-10</w:t>
      </w:r>
      <w:r>
        <w:rPr>
          <w:spacing w:val="-5"/>
        </w:rPr>
        <w:t> </w:t>
      </w:r>
      <w:r>
        <w:rPr/>
        <w:t>of each new</w:t>
      </w:r>
      <w:r>
        <w:rPr>
          <w:spacing w:val="-1"/>
        </w:rPr>
        <w:t> </w:t>
      </w:r>
      <w:r>
        <w:rPr/>
        <w:t>class). Most of those students arrive as a result of articulation agreements that we have developed with the Architectural Technology programs within the Virginia Community</w:t>
      </w:r>
      <w:r>
        <w:rPr>
          <w:spacing w:val="-3"/>
        </w:rPr>
        <w:t> </w:t>
      </w:r>
      <w:r>
        <w:rPr/>
        <w:t>College System institutions, most notably</w:t>
      </w:r>
      <w:r>
        <w:rPr>
          <w:spacing w:val="-1"/>
        </w:rPr>
        <w:t> </w:t>
      </w:r>
      <w:r>
        <w:rPr/>
        <w:t>Tidewater Community</w:t>
      </w:r>
      <w:r>
        <w:rPr>
          <w:spacing w:val="-3"/>
        </w:rPr>
        <w:t> </w:t>
      </w:r>
      <w:r>
        <w:rPr/>
        <w:t>College.</w:t>
      </w:r>
      <w:r>
        <w:rPr>
          <w:spacing w:val="-2"/>
        </w:rPr>
        <w:t> </w:t>
      </w:r>
      <w:r>
        <w:rPr/>
        <w:t>We have worked at length with this program to align our course goals and objectives. Those students enter our program as advanced 2</w:t>
      </w:r>
      <w:r>
        <w:rPr>
          <w:vertAlign w:val="superscript"/>
        </w:rPr>
        <w:t>nd</w:t>
      </w:r>
      <w:r>
        <w:rPr>
          <w:vertAlign w:val="baseline"/>
        </w:rPr>
        <w:t> year students, having completed multiple technical architectural and general education courses.</w:t>
      </w:r>
    </w:p>
    <w:p>
      <w:pPr>
        <w:spacing w:after="0"/>
        <w:sectPr>
          <w:headerReference w:type="default" r:id="rId133"/>
          <w:footerReference w:type="default" r:id="rId134"/>
          <w:pgSz w:w="12240" w:h="15840"/>
          <w:pgMar w:header="0" w:footer="974" w:top="1360" w:bottom="1160" w:left="1000" w:right="820"/>
        </w:sectPr>
      </w:pPr>
    </w:p>
    <w:p>
      <w:pPr>
        <w:pStyle w:val="Heading5"/>
        <w:numPr>
          <w:ilvl w:val="1"/>
          <w:numId w:val="38"/>
        </w:numPr>
        <w:tabs>
          <w:tab w:pos="1519" w:val="left" w:leader="none"/>
          <w:tab w:pos="1520" w:val="left" w:leader="none"/>
        </w:tabs>
        <w:spacing w:line="240" w:lineRule="auto" w:before="74" w:after="0"/>
        <w:ind w:left="1519" w:right="0" w:hanging="720"/>
        <w:jc w:val="left"/>
      </w:pPr>
      <w:r>
        <w:rPr/>
        <w:t>Public</w:t>
      </w:r>
      <w:r>
        <w:rPr>
          <w:spacing w:val="-5"/>
        </w:rPr>
        <w:t> </w:t>
      </w:r>
      <w:r>
        <w:rPr>
          <w:spacing w:val="-2"/>
        </w:rPr>
        <w:t>Information</w:t>
      </w:r>
    </w:p>
    <w:p>
      <w:pPr>
        <w:pStyle w:val="ListParagraph"/>
        <w:numPr>
          <w:ilvl w:val="2"/>
          <w:numId w:val="38"/>
        </w:numPr>
        <w:tabs>
          <w:tab w:pos="1664" w:val="left" w:leader="none"/>
        </w:tabs>
        <w:spacing w:line="491" w:lineRule="auto" w:before="243" w:after="0"/>
        <w:ind w:left="1663" w:right="5099" w:hanging="504"/>
        <w:jc w:val="left"/>
        <w:rPr>
          <w:sz w:val="18"/>
        </w:rPr>
      </w:pPr>
      <w:r>
        <w:rPr>
          <w:sz w:val="20"/>
        </w:rPr>
        <w:t>Statement</w:t>
      </w:r>
      <w:r>
        <w:rPr>
          <w:spacing w:val="-11"/>
          <w:sz w:val="20"/>
        </w:rPr>
        <w:t> </w:t>
      </w:r>
      <w:r>
        <w:rPr>
          <w:sz w:val="20"/>
        </w:rPr>
        <w:t>on</w:t>
      </w:r>
      <w:r>
        <w:rPr>
          <w:spacing w:val="-11"/>
          <w:sz w:val="20"/>
        </w:rPr>
        <w:t> </w:t>
      </w:r>
      <w:r>
        <w:rPr>
          <w:sz w:val="20"/>
        </w:rPr>
        <w:t>NAAB</w:t>
      </w:r>
      <w:r>
        <w:rPr>
          <w:spacing w:val="-9"/>
          <w:sz w:val="20"/>
        </w:rPr>
        <w:t> </w:t>
      </w:r>
      <w:r>
        <w:rPr>
          <w:sz w:val="20"/>
        </w:rPr>
        <w:t>Accredited</w:t>
      </w:r>
      <w:r>
        <w:rPr>
          <w:spacing w:val="-11"/>
          <w:sz w:val="20"/>
        </w:rPr>
        <w:t> </w:t>
      </w:r>
      <w:r>
        <w:rPr>
          <w:sz w:val="20"/>
        </w:rPr>
        <w:t>Degrees: Located on university website at:</w:t>
      </w:r>
    </w:p>
    <w:p>
      <w:pPr>
        <w:pStyle w:val="BodyText"/>
        <w:ind w:left="1663" w:right="1003"/>
      </w:pPr>
      <w:r>
        <w:rPr/>
        <w:t>Located</w:t>
      </w:r>
      <w:r>
        <w:rPr>
          <w:spacing w:val="-6"/>
        </w:rPr>
        <w:t> </w:t>
      </w:r>
      <w:r>
        <w:rPr/>
        <w:t>on</w:t>
      </w:r>
      <w:r>
        <w:rPr>
          <w:spacing w:val="-4"/>
        </w:rPr>
        <w:t> </w:t>
      </w:r>
      <w:r>
        <w:rPr/>
        <w:t>the</w:t>
      </w:r>
      <w:r>
        <w:rPr>
          <w:spacing w:val="-4"/>
        </w:rPr>
        <w:t> </w:t>
      </w:r>
      <w:r>
        <w:rPr/>
        <w:t>University</w:t>
      </w:r>
      <w:r>
        <w:rPr>
          <w:spacing w:val="-5"/>
        </w:rPr>
        <w:t> </w:t>
      </w:r>
      <w:r>
        <w:rPr/>
        <w:t>website</w:t>
      </w:r>
      <w:r>
        <w:rPr>
          <w:spacing w:val="-6"/>
        </w:rPr>
        <w:t> </w:t>
      </w:r>
      <w:r>
        <w:rPr/>
        <w:t>at</w:t>
      </w:r>
      <w:r>
        <w:rPr>
          <w:spacing w:val="-4"/>
        </w:rPr>
        <w:t> </w:t>
      </w:r>
      <w:r>
        <w:rPr/>
        <w:t>the</w:t>
      </w:r>
      <w:r>
        <w:rPr>
          <w:spacing w:val="-6"/>
        </w:rPr>
        <w:t> </w:t>
      </w:r>
      <w:r>
        <w:rPr/>
        <w:t>following</w:t>
      </w:r>
      <w:r>
        <w:rPr>
          <w:spacing w:val="-6"/>
        </w:rPr>
        <w:t> </w:t>
      </w:r>
      <w:r>
        <w:rPr/>
        <w:t>link: </w:t>
      </w:r>
      <w:hyperlink r:id="rId137">
        <w:r>
          <w:rPr>
            <w:color w:val="0000FF"/>
            <w:spacing w:val="-2"/>
            <w:u w:val="single" w:color="0000FF"/>
          </w:rPr>
          <w:t>http://set.hamptonu.edu/architecture/</w:t>
        </w:r>
      </w:hyperlink>
    </w:p>
    <w:p>
      <w:pPr>
        <w:pStyle w:val="BodyText"/>
        <w:spacing w:before="5"/>
        <w:rPr>
          <w:sz w:val="12"/>
        </w:rPr>
      </w:pPr>
    </w:p>
    <w:p>
      <w:pPr>
        <w:pStyle w:val="ListParagraph"/>
        <w:numPr>
          <w:ilvl w:val="2"/>
          <w:numId w:val="38"/>
        </w:numPr>
        <w:tabs>
          <w:tab w:pos="1664" w:val="left" w:leader="none"/>
        </w:tabs>
        <w:spacing w:line="491" w:lineRule="auto" w:before="93" w:after="0"/>
        <w:ind w:left="1663" w:right="4820" w:hanging="504"/>
        <w:jc w:val="left"/>
        <w:rPr>
          <w:sz w:val="18"/>
        </w:rPr>
      </w:pPr>
      <w:r>
        <w:rPr>
          <w:sz w:val="20"/>
        </w:rPr>
        <w:t>Access</w:t>
      </w:r>
      <w:r>
        <w:rPr>
          <w:spacing w:val="-8"/>
          <w:sz w:val="20"/>
        </w:rPr>
        <w:t> </w:t>
      </w:r>
      <w:r>
        <w:rPr>
          <w:sz w:val="20"/>
        </w:rPr>
        <w:t>to</w:t>
      </w:r>
      <w:r>
        <w:rPr>
          <w:spacing w:val="-9"/>
          <w:sz w:val="20"/>
        </w:rPr>
        <w:t> </w:t>
      </w:r>
      <w:r>
        <w:rPr>
          <w:sz w:val="20"/>
        </w:rPr>
        <w:t>NAAB</w:t>
      </w:r>
      <w:r>
        <w:rPr>
          <w:spacing w:val="-8"/>
          <w:sz w:val="20"/>
        </w:rPr>
        <w:t> </w:t>
      </w:r>
      <w:r>
        <w:rPr>
          <w:sz w:val="20"/>
        </w:rPr>
        <w:t>Conditions</w:t>
      </w:r>
      <w:r>
        <w:rPr>
          <w:spacing w:val="-8"/>
          <w:sz w:val="20"/>
        </w:rPr>
        <w:t> </w:t>
      </w:r>
      <w:r>
        <w:rPr>
          <w:sz w:val="20"/>
        </w:rPr>
        <w:t>and</w:t>
      </w:r>
      <w:r>
        <w:rPr>
          <w:spacing w:val="-8"/>
          <w:sz w:val="20"/>
        </w:rPr>
        <w:t> </w:t>
      </w:r>
      <w:r>
        <w:rPr>
          <w:sz w:val="20"/>
        </w:rPr>
        <w:t>Procedures Information available on website:</w:t>
      </w:r>
    </w:p>
    <w:p>
      <w:pPr>
        <w:pStyle w:val="ListParagraph"/>
        <w:numPr>
          <w:ilvl w:val="2"/>
          <w:numId w:val="38"/>
        </w:numPr>
        <w:tabs>
          <w:tab w:pos="1664" w:val="left" w:leader="none"/>
        </w:tabs>
        <w:spacing w:line="228" w:lineRule="exact" w:before="0" w:after="0"/>
        <w:ind w:left="1663" w:right="0" w:hanging="504"/>
        <w:jc w:val="left"/>
        <w:rPr>
          <w:sz w:val="18"/>
        </w:rPr>
      </w:pPr>
      <w:r>
        <w:rPr>
          <w:sz w:val="20"/>
        </w:rPr>
        <w:t>Access</w:t>
      </w:r>
      <w:r>
        <w:rPr>
          <w:spacing w:val="-7"/>
          <w:sz w:val="20"/>
        </w:rPr>
        <w:t> </w:t>
      </w:r>
      <w:r>
        <w:rPr>
          <w:sz w:val="20"/>
        </w:rPr>
        <w:t>to</w:t>
      </w:r>
      <w:r>
        <w:rPr>
          <w:spacing w:val="-7"/>
          <w:sz w:val="20"/>
        </w:rPr>
        <w:t> </w:t>
      </w:r>
      <w:r>
        <w:rPr>
          <w:sz w:val="20"/>
        </w:rPr>
        <w:t>Career</w:t>
      </w:r>
      <w:r>
        <w:rPr>
          <w:spacing w:val="-5"/>
          <w:sz w:val="20"/>
        </w:rPr>
        <w:t> </w:t>
      </w:r>
      <w:r>
        <w:rPr>
          <w:sz w:val="20"/>
        </w:rPr>
        <w:t>Development</w:t>
      </w:r>
      <w:r>
        <w:rPr>
          <w:spacing w:val="-8"/>
          <w:sz w:val="20"/>
        </w:rPr>
        <w:t> </w:t>
      </w:r>
      <w:r>
        <w:rPr>
          <w:spacing w:val="-2"/>
          <w:sz w:val="20"/>
        </w:rPr>
        <w:t>Information</w:t>
      </w:r>
    </w:p>
    <w:p>
      <w:pPr>
        <w:pStyle w:val="BodyText"/>
        <w:spacing w:before="10"/>
      </w:pPr>
    </w:p>
    <w:p>
      <w:pPr>
        <w:pStyle w:val="BodyText"/>
        <w:spacing w:line="491" w:lineRule="auto"/>
        <w:ind w:left="1663" w:right="642"/>
      </w:pPr>
      <w:r>
        <w:rPr/>
        <w:t>This</w:t>
      </w:r>
      <w:r>
        <w:rPr>
          <w:spacing w:val="-4"/>
        </w:rPr>
        <w:t> </w:t>
      </w:r>
      <w:r>
        <w:rPr/>
        <w:t>information</w:t>
      </w:r>
      <w:r>
        <w:rPr>
          <w:spacing w:val="-3"/>
        </w:rPr>
        <w:t> </w:t>
      </w:r>
      <w:r>
        <w:rPr/>
        <w:t>is</w:t>
      </w:r>
      <w:r>
        <w:rPr>
          <w:spacing w:val="-4"/>
        </w:rPr>
        <w:t> </w:t>
      </w:r>
      <w:r>
        <w:rPr/>
        <w:t>available</w:t>
      </w:r>
      <w:r>
        <w:rPr>
          <w:spacing w:val="-5"/>
        </w:rPr>
        <w:t> </w:t>
      </w:r>
      <w:r>
        <w:rPr/>
        <w:t>on</w:t>
      </w:r>
      <w:r>
        <w:rPr>
          <w:spacing w:val="-3"/>
        </w:rPr>
        <w:t> </w:t>
      </w:r>
      <w:r>
        <w:rPr/>
        <w:t>the</w:t>
      </w:r>
      <w:r>
        <w:rPr>
          <w:spacing w:val="-3"/>
        </w:rPr>
        <w:t> </w:t>
      </w:r>
      <w:r>
        <w:rPr/>
        <w:t>University</w:t>
      </w:r>
      <w:r>
        <w:rPr>
          <w:spacing w:val="-5"/>
        </w:rPr>
        <w:t> </w:t>
      </w:r>
      <w:r>
        <w:rPr/>
        <w:t>website</w:t>
      </w:r>
      <w:r>
        <w:rPr>
          <w:spacing w:val="-3"/>
        </w:rPr>
        <w:t> </w:t>
      </w:r>
      <w:r>
        <w:rPr/>
        <w:t>at</w:t>
      </w:r>
      <w:r>
        <w:rPr>
          <w:spacing w:val="-5"/>
        </w:rPr>
        <w:t> </w:t>
      </w:r>
      <w:r>
        <w:rPr/>
        <w:t>the</w:t>
      </w:r>
      <w:r>
        <w:rPr>
          <w:spacing w:val="-5"/>
        </w:rPr>
        <w:t> </w:t>
      </w:r>
      <w:r>
        <w:rPr/>
        <w:t>following</w:t>
      </w:r>
      <w:r>
        <w:rPr>
          <w:spacing w:val="-3"/>
        </w:rPr>
        <w:t> </w:t>
      </w:r>
      <w:r>
        <w:rPr/>
        <w:t>link. </w:t>
      </w:r>
      <w:hyperlink r:id="rId138">
        <w:r>
          <w:rPr>
            <w:color w:val="0000FF"/>
            <w:spacing w:val="-2"/>
            <w:u w:val="single" w:color="0000FF"/>
          </w:rPr>
          <w:t>http://www.hamptonu.edu/studentservices/careercenter/</w:t>
        </w:r>
      </w:hyperlink>
    </w:p>
    <w:p>
      <w:pPr>
        <w:pStyle w:val="BodyText"/>
        <w:ind w:left="1663" w:right="642"/>
      </w:pPr>
      <w:r>
        <w:rPr/>
        <w:t>There</w:t>
      </w:r>
      <w:r>
        <w:rPr>
          <w:spacing w:val="-5"/>
        </w:rPr>
        <w:t> </w:t>
      </w:r>
      <w:r>
        <w:rPr/>
        <w:t>are</w:t>
      </w:r>
      <w:r>
        <w:rPr>
          <w:spacing w:val="-5"/>
        </w:rPr>
        <w:t> </w:t>
      </w:r>
      <w:r>
        <w:rPr/>
        <w:t>two</w:t>
      </w:r>
      <w:r>
        <w:rPr>
          <w:spacing w:val="-5"/>
        </w:rPr>
        <w:t> </w:t>
      </w:r>
      <w:r>
        <w:rPr/>
        <w:t>major</w:t>
      </w:r>
      <w:r>
        <w:rPr>
          <w:spacing w:val="-4"/>
        </w:rPr>
        <w:t> </w:t>
      </w:r>
      <w:r>
        <w:rPr/>
        <w:t>components</w:t>
      </w:r>
      <w:r>
        <w:rPr>
          <w:spacing w:val="-4"/>
        </w:rPr>
        <w:t> </w:t>
      </w:r>
      <w:r>
        <w:rPr/>
        <w:t>associated with</w:t>
      </w:r>
      <w:r>
        <w:rPr>
          <w:spacing w:val="-5"/>
        </w:rPr>
        <w:t> </w:t>
      </w:r>
      <w:r>
        <w:rPr/>
        <w:t>providing</w:t>
      </w:r>
      <w:r>
        <w:rPr>
          <w:spacing w:val="-5"/>
        </w:rPr>
        <w:t> </w:t>
      </w:r>
      <w:r>
        <w:rPr/>
        <w:t>our</w:t>
      </w:r>
      <w:r>
        <w:rPr>
          <w:spacing w:val="-4"/>
        </w:rPr>
        <w:t> </w:t>
      </w:r>
      <w:r>
        <w:rPr/>
        <w:t>students</w:t>
      </w:r>
      <w:r>
        <w:rPr>
          <w:spacing w:val="-4"/>
        </w:rPr>
        <w:t> </w:t>
      </w:r>
      <w:r>
        <w:rPr/>
        <w:t>access</w:t>
      </w:r>
      <w:r>
        <w:rPr>
          <w:spacing w:val="-4"/>
        </w:rPr>
        <w:t> </w:t>
      </w:r>
      <w:r>
        <w:rPr/>
        <w:t>to</w:t>
      </w:r>
      <w:r>
        <w:rPr>
          <w:spacing w:val="-3"/>
        </w:rPr>
        <w:t> </w:t>
      </w:r>
      <w:r>
        <w:rPr/>
        <w:t>Carreer Development information. One is provided inhouse through the office of the Chair, the second is provided at the University level through the office of Career Counseling and </w:t>
      </w:r>
      <w:r>
        <w:rPr>
          <w:spacing w:val="-2"/>
        </w:rPr>
        <w:t>Planning.</w:t>
      </w:r>
    </w:p>
    <w:p>
      <w:pPr>
        <w:pStyle w:val="BodyText"/>
        <w:spacing w:before="8"/>
      </w:pPr>
    </w:p>
    <w:p>
      <w:pPr>
        <w:pStyle w:val="BodyText"/>
        <w:ind w:left="1663" w:right="637"/>
      </w:pPr>
      <w:r>
        <w:rPr/>
        <w:t>Within our department, there is an IDP coordinator (currently Robert Easter, but</w:t>
      </w:r>
      <w:r>
        <w:rPr>
          <w:spacing w:val="40"/>
        </w:rPr>
        <w:t> </w:t>
      </w:r>
      <w:r>
        <w:rPr/>
        <w:t>transitioning</w:t>
      </w:r>
      <w:r>
        <w:rPr>
          <w:spacing w:val="-1"/>
        </w:rPr>
        <w:t> </w:t>
      </w:r>
      <w:r>
        <w:rPr/>
        <w:t>to</w:t>
      </w:r>
      <w:r>
        <w:rPr>
          <w:spacing w:val="-3"/>
        </w:rPr>
        <w:t> </w:t>
      </w:r>
      <w:r>
        <w:rPr/>
        <w:t>Darryl</w:t>
      </w:r>
      <w:r>
        <w:rPr>
          <w:spacing w:val="-2"/>
        </w:rPr>
        <w:t> </w:t>
      </w:r>
      <w:r>
        <w:rPr/>
        <w:t>Henderson)</w:t>
      </w:r>
      <w:r>
        <w:rPr>
          <w:spacing w:val="-1"/>
        </w:rPr>
        <w:t> </w:t>
      </w:r>
      <w:r>
        <w:rPr/>
        <w:t>who</w:t>
      </w:r>
      <w:r>
        <w:rPr>
          <w:spacing w:val="-1"/>
        </w:rPr>
        <w:t> </w:t>
      </w:r>
      <w:r>
        <w:rPr/>
        <w:t>is</w:t>
      </w:r>
      <w:r>
        <w:rPr>
          <w:spacing w:val="-2"/>
        </w:rPr>
        <w:t> </w:t>
      </w:r>
      <w:r>
        <w:rPr/>
        <w:t>responsible</w:t>
      </w:r>
      <w:r>
        <w:rPr>
          <w:spacing w:val="-3"/>
        </w:rPr>
        <w:t> </w:t>
      </w:r>
      <w:r>
        <w:rPr/>
        <w:t>for</w:t>
      </w:r>
      <w:r>
        <w:rPr>
          <w:spacing w:val="-2"/>
        </w:rPr>
        <w:t> </w:t>
      </w:r>
      <w:r>
        <w:rPr/>
        <w:t>assisting</w:t>
      </w:r>
      <w:r>
        <w:rPr>
          <w:spacing w:val="-3"/>
        </w:rPr>
        <w:t> </w:t>
      </w:r>
      <w:r>
        <w:rPr/>
        <w:t>student</w:t>
      </w:r>
      <w:r>
        <w:rPr>
          <w:spacing w:val="-3"/>
        </w:rPr>
        <w:t> </w:t>
      </w:r>
      <w:r>
        <w:rPr/>
        <w:t>transition</w:t>
      </w:r>
      <w:r>
        <w:rPr>
          <w:spacing w:val="-3"/>
        </w:rPr>
        <w:t> </w:t>
      </w:r>
      <w:r>
        <w:rPr/>
        <w:t>into</w:t>
      </w:r>
      <w:r>
        <w:rPr>
          <w:spacing w:val="-1"/>
        </w:rPr>
        <w:t> </w:t>
      </w:r>
      <w:r>
        <w:rPr/>
        <w:t>the workplace. Students are required to complete a summer intership that meets the standards and criteria of the NCARB Intern Development Program. They are given assistance and preparation</w:t>
      </w:r>
      <w:r>
        <w:rPr>
          <w:spacing w:val="-4"/>
        </w:rPr>
        <w:t> </w:t>
      </w:r>
      <w:r>
        <w:rPr/>
        <w:t>in</w:t>
      </w:r>
      <w:r>
        <w:rPr>
          <w:spacing w:val="-4"/>
        </w:rPr>
        <w:t> </w:t>
      </w:r>
      <w:r>
        <w:rPr/>
        <w:t>ARC</w:t>
      </w:r>
      <w:r>
        <w:rPr>
          <w:spacing w:val="-4"/>
        </w:rPr>
        <w:t> </w:t>
      </w:r>
      <w:r>
        <w:rPr/>
        <w:t>517,</w:t>
      </w:r>
      <w:r>
        <w:rPr>
          <w:spacing w:val="-2"/>
        </w:rPr>
        <w:t> </w:t>
      </w:r>
      <w:r>
        <w:rPr/>
        <w:t>Architectural</w:t>
      </w:r>
      <w:r>
        <w:rPr>
          <w:spacing w:val="-3"/>
        </w:rPr>
        <w:t> </w:t>
      </w:r>
      <w:r>
        <w:rPr/>
        <w:t>Practice</w:t>
      </w:r>
      <w:r>
        <w:rPr>
          <w:spacing w:val="-4"/>
        </w:rPr>
        <w:t> </w:t>
      </w:r>
      <w:r>
        <w:rPr/>
        <w:t>!.</w:t>
      </w:r>
      <w:r>
        <w:rPr>
          <w:spacing w:val="-4"/>
        </w:rPr>
        <w:t> </w:t>
      </w:r>
      <w:r>
        <w:rPr/>
        <w:t>Students</w:t>
      </w:r>
      <w:r>
        <w:rPr>
          <w:spacing w:val="-3"/>
        </w:rPr>
        <w:t> </w:t>
      </w:r>
      <w:r>
        <w:rPr/>
        <w:t>must</w:t>
      </w:r>
      <w:r>
        <w:rPr>
          <w:spacing w:val="-4"/>
        </w:rPr>
        <w:t> </w:t>
      </w:r>
      <w:r>
        <w:rPr/>
        <w:t>present</w:t>
      </w:r>
      <w:r>
        <w:rPr>
          <w:spacing w:val="-4"/>
        </w:rPr>
        <w:t> </w:t>
      </w:r>
      <w:r>
        <w:rPr/>
        <w:t>portfolios,</w:t>
      </w:r>
      <w:r>
        <w:rPr>
          <w:spacing w:val="-2"/>
        </w:rPr>
        <w:t> </w:t>
      </w:r>
      <w:r>
        <w:rPr/>
        <w:t>resumes, firm research and identification / business cards during the class. Students must also have an IDP / NCARB file. The chair helps students locate mentors in their hometowns who act as conduits, channeling students to practicing professionals in their chosen area and help acclimate students to the job climate.</w:t>
      </w:r>
    </w:p>
    <w:p>
      <w:pPr>
        <w:pStyle w:val="BodyText"/>
        <w:spacing w:before="9"/>
      </w:pPr>
    </w:p>
    <w:p>
      <w:pPr>
        <w:pStyle w:val="BodyText"/>
        <w:ind w:left="1663" w:right="642"/>
      </w:pPr>
      <w:r>
        <w:rPr/>
        <w:t>The</w:t>
      </w:r>
      <w:r>
        <w:rPr>
          <w:spacing w:val="-4"/>
        </w:rPr>
        <w:t> </w:t>
      </w:r>
      <w:r>
        <w:rPr/>
        <w:t>Department</w:t>
      </w:r>
      <w:r>
        <w:rPr>
          <w:spacing w:val="-4"/>
        </w:rPr>
        <w:t> </w:t>
      </w:r>
      <w:r>
        <w:rPr/>
        <w:t>also</w:t>
      </w:r>
      <w:r>
        <w:rPr>
          <w:spacing w:val="-2"/>
        </w:rPr>
        <w:t> </w:t>
      </w:r>
      <w:r>
        <w:rPr/>
        <w:t>works</w:t>
      </w:r>
      <w:r>
        <w:rPr>
          <w:spacing w:val="-5"/>
        </w:rPr>
        <w:t> </w:t>
      </w:r>
      <w:r>
        <w:rPr/>
        <w:t>closely</w:t>
      </w:r>
      <w:r>
        <w:rPr>
          <w:spacing w:val="-5"/>
        </w:rPr>
        <w:t> </w:t>
      </w:r>
      <w:r>
        <w:rPr/>
        <w:t>with</w:t>
      </w:r>
      <w:r>
        <w:rPr>
          <w:spacing w:val="-2"/>
        </w:rPr>
        <w:t> </w:t>
      </w:r>
      <w:r>
        <w:rPr/>
        <w:t>the</w:t>
      </w:r>
      <w:r>
        <w:rPr>
          <w:spacing w:val="-2"/>
        </w:rPr>
        <w:t> </w:t>
      </w:r>
      <w:r>
        <w:rPr/>
        <w:t>Career</w:t>
      </w:r>
      <w:r>
        <w:rPr>
          <w:spacing w:val="-3"/>
        </w:rPr>
        <w:t> </w:t>
      </w:r>
      <w:r>
        <w:rPr/>
        <w:t>Counseling</w:t>
      </w:r>
      <w:r>
        <w:rPr>
          <w:spacing w:val="-2"/>
        </w:rPr>
        <w:t> </w:t>
      </w:r>
      <w:r>
        <w:rPr/>
        <w:t>office</w:t>
      </w:r>
      <w:r>
        <w:rPr>
          <w:spacing w:val="-4"/>
        </w:rPr>
        <w:t> </w:t>
      </w:r>
      <w:r>
        <w:rPr/>
        <w:t>to</w:t>
      </w:r>
      <w:r>
        <w:rPr>
          <w:spacing w:val="-4"/>
        </w:rPr>
        <w:t> </w:t>
      </w:r>
      <w:r>
        <w:rPr/>
        <w:t>identify</w:t>
      </w:r>
      <w:r>
        <w:rPr>
          <w:spacing w:val="-7"/>
        </w:rPr>
        <w:t> </w:t>
      </w:r>
      <w:r>
        <w:rPr/>
        <w:t>prospective employment opportunities for our students.</w:t>
      </w:r>
    </w:p>
    <w:p>
      <w:pPr>
        <w:pStyle w:val="BodyText"/>
        <w:spacing w:before="11"/>
      </w:pPr>
    </w:p>
    <w:p>
      <w:pPr>
        <w:pStyle w:val="BodyText"/>
        <w:ind w:left="1664" w:right="642"/>
      </w:pPr>
      <w:r>
        <w:rPr/>
        <w:t>The mission of the Career Counseling and Planning Center is to support academic programs and to provide services that assist students and alumni in developing, evaluating and</w:t>
      </w:r>
      <w:r>
        <w:rPr>
          <w:spacing w:val="-3"/>
        </w:rPr>
        <w:t> </w:t>
      </w:r>
      <w:r>
        <w:rPr/>
        <w:t>implementing</w:t>
      </w:r>
      <w:r>
        <w:rPr>
          <w:spacing w:val="-5"/>
        </w:rPr>
        <w:t> </w:t>
      </w:r>
      <w:r>
        <w:rPr/>
        <w:t>career</w:t>
      </w:r>
      <w:r>
        <w:rPr>
          <w:spacing w:val="-2"/>
        </w:rPr>
        <w:t> </w:t>
      </w:r>
      <w:r>
        <w:rPr/>
        <w:t>plans</w:t>
      </w:r>
      <w:r>
        <w:rPr>
          <w:spacing w:val="-4"/>
        </w:rPr>
        <w:t> </w:t>
      </w:r>
      <w:r>
        <w:rPr/>
        <w:t>that</w:t>
      </w:r>
      <w:r>
        <w:rPr>
          <w:spacing w:val="-5"/>
        </w:rPr>
        <w:t> </w:t>
      </w:r>
      <w:r>
        <w:rPr/>
        <w:t>lead</w:t>
      </w:r>
      <w:r>
        <w:rPr>
          <w:spacing w:val="-3"/>
        </w:rPr>
        <w:t> </w:t>
      </w:r>
      <w:r>
        <w:rPr/>
        <w:t>to</w:t>
      </w:r>
      <w:r>
        <w:rPr>
          <w:spacing w:val="-5"/>
        </w:rPr>
        <w:t> </w:t>
      </w:r>
      <w:r>
        <w:rPr/>
        <w:t>employment</w:t>
      </w:r>
      <w:r>
        <w:rPr>
          <w:spacing w:val="-5"/>
        </w:rPr>
        <w:t> </w:t>
      </w:r>
      <w:r>
        <w:rPr/>
        <w:t>and</w:t>
      </w:r>
      <w:r>
        <w:rPr>
          <w:spacing w:val="-5"/>
        </w:rPr>
        <w:t> </w:t>
      </w:r>
      <w:r>
        <w:rPr/>
        <w:t>lifelong</w:t>
      </w:r>
      <w:r>
        <w:rPr>
          <w:spacing w:val="-5"/>
        </w:rPr>
        <w:t> </w:t>
      </w:r>
      <w:r>
        <w:rPr/>
        <w:t>personal</w:t>
      </w:r>
      <w:r>
        <w:rPr>
          <w:spacing w:val="-6"/>
        </w:rPr>
        <w:t> </w:t>
      </w:r>
      <w:r>
        <w:rPr/>
        <w:t>development. The Center is the liaison between the students, alumni, corporations and government agencies. All resources are employed to facilitate and enhance the student's professional development. The Career Counseling and Planning Center's mission is consistent with the University's through commitment to the preparation and promotion of learning, character building, leadership skills and service. For this process, students are provided workshops and</w:t>
      </w:r>
      <w:r>
        <w:rPr>
          <w:spacing w:val="-3"/>
        </w:rPr>
        <w:t> </w:t>
      </w:r>
      <w:r>
        <w:rPr/>
        <w:t>seminars</w:t>
      </w:r>
      <w:r>
        <w:rPr>
          <w:spacing w:val="-2"/>
        </w:rPr>
        <w:t> </w:t>
      </w:r>
      <w:r>
        <w:rPr/>
        <w:t>in</w:t>
      </w:r>
      <w:r>
        <w:rPr>
          <w:spacing w:val="-1"/>
        </w:rPr>
        <w:t> </w:t>
      </w:r>
      <w:r>
        <w:rPr/>
        <w:t>dining</w:t>
      </w:r>
      <w:r>
        <w:rPr>
          <w:spacing w:val="-3"/>
        </w:rPr>
        <w:t> </w:t>
      </w:r>
      <w:r>
        <w:rPr/>
        <w:t>etiquette,</w:t>
      </w:r>
      <w:r>
        <w:rPr>
          <w:spacing w:val="-3"/>
        </w:rPr>
        <w:t> </w:t>
      </w:r>
      <w:r>
        <w:rPr/>
        <w:t>image</w:t>
      </w:r>
      <w:r>
        <w:rPr>
          <w:spacing w:val="-3"/>
        </w:rPr>
        <w:t> </w:t>
      </w:r>
      <w:r>
        <w:rPr/>
        <w:t>enhancements,</w:t>
      </w:r>
      <w:r>
        <w:rPr>
          <w:spacing w:val="-3"/>
        </w:rPr>
        <w:t> </w:t>
      </w:r>
      <w:r>
        <w:rPr/>
        <w:t>and</w:t>
      </w:r>
      <w:r>
        <w:rPr>
          <w:spacing w:val="-1"/>
        </w:rPr>
        <w:t> </w:t>
      </w:r>
      <w:r>
        <w:rPr/>
        <w:t>general</w:t>
      </w:r>
      <w:r>
        <w:rPr>
          <w:spacing w:val="-2"/>
        </w:rPr>
        <w:t> </w:t>
      </w:r>
      <w:r>
        <w:rPr/>
        <w:t>topics</w:t>
      </w:r>
      <w:r>
        <w:rPr>
          <w:spacing w:val="-2"/>
        </w:rPr>
        <w:t> </w:t>
      </w:r>
      <w:r>
        <w:rPr/>
        <w:t>that</w:t>
      </w:r>
      <w:r>
        <w:rPr>
          <w:spacing w:val="-1"/>
        </w:rPr>
        <w:t> </w:t>
      </w:r>
      <w:r>
        <w:rPr/>
        <w:t>will</w:t>
      </w:r>
      <w:r>
        <w:rPr>
          <w:spacing w:val="-4"/>
        </w:rPr>
        <w:t> </w:t>
      </w:r>
      <w:r>
        <w:rPr/>
        <w:t>prepare them for workplace experiences presented by the Center's staff, businesses and corporations. These services are open to all students and alumni.</w:t>
      </w:r>
    </w:p>
    <w:p>
      <w:pPr>
        <w:pStyle w:val="BodyText"/>
        <w:spacing w:before="10"/>
      </w:pPr>
    </w:p>
    <w:p>
      <w:pPr>
        <w:pStyle w:val="BodyText"/>
        <w:spacing w:before="1"/>
        <w:ind w:left="1663" w:right="642"/>
      </w:pPr>
      <w:r>
        <w:rPr/>
        <w:t>The Career Counseling and Planning Center, under the direction of Mrs. Vivian Wrenn David, provides on-going services during the entire period of a student's involvement with the University. The Department has worked most intensely with Mrs. Bessie Willis in this office. The Center also offers up-to-date career planning information, assistance with selection</w:t>
      </w:r>
      <w:r>
        <w:rPr>
          <w:spacing w:val="-3"/>
        </w:rPr>
        <w:t> </w:t>
      </w:r>
      <w:r>
        <w:rPr/>
        <w:t>of</w:t>
      </w:r>
      <w:r>
        <w:rPr>
          <w:spacing w:val="-1"/>
        </w:rPr>
        <w:t> </w:t>
      </w:r>
      <w:r>
        <w:rPr/>
        <w:t>a</w:t>
      </w:r>
      <w:r>
        <w:rPr>
          <w:spacing w:val="-3"/>
        </w:rPr>
        <w:t> </w:t>
      </w:r>
      <w:r>
        <w:rPr/>
        <w:t>major</w:t>
      </w:r>
      <w:r>
        <w:rPr>
          <w:spacing w:val="-2"/>
        </w:rPr>
        <w:t> </w:t>
      </w:r>
      <w:r>
        <w:rPr/>
        <w:t>field</w:t>
      </w:r>
      <w:r>
        <w:rPr>
          <w:spacing w:val="-3"/>
        </w:rPr>
        <w:t> </w:t>
      </w:r>
      <w:r>
        <w:rPr/>
        <w:t>of</w:t>
      </w:r>
      <w:r>
        <w:rPr>
          <w:spacing w:val="-1"/>
        </w:rPr>
        <w:t> </w:t>
      </w:r>
      <w:r>
        <w:rPr/>
        <w:t>study,</w:t>
      </w:r>
      <w:r>
        <w:rPr>
          <w:spacing w:val="-1"/>
        </w:rPr>
        <w:t> </w:t>
      </w:r>
      <w:r>
        <w:rPr/>
        <w:t>self-assessment</w:t>
      </w:r>
      <w:r>
        <w:rPr>
          <w:spacing w:val="-3"/>
        </w:rPr>
        <w:t> </w:t>
      </w:r>
      <w:r>
        <w:rPr/>
        <w:t>and</w:t>
      </w:r>
      <w:r>
        <w:rPr>
          <w:spacing w:val="-1"/>
        </w:rPr>
        <w:t> </w:t>
      </w:r>
      <w:r>
        <w:rPr/>
        <w:t>evaluation,</w:t>
      </w:r>
      <w:r>
        <w:rPr>
          <w:spacing w:val="-1"/>
        </w:rPr>
        <w:t> </w:t>
      </w:r>
      <w:r>
        <w:rPr/>
        <w:t>individual</w:t>
      </w:r>
      <w:r>
        <w:rPr>
          <w:spacing w:val="-4"/>
        </w:rPr>
        <w:t> </w:t>
      </w:r>
      <w:r>
        <w:rPr/>
        <w:t>appointments for</w:t>
      </w:r>
      <w:r>
        <w:rPr>
          <w:spacing w:val="-10"/>
        </w:rPr>
        <w:t> </w:t>
      </w:r>
      <w:r>
        <w:rPr/>
        <w:t>career</w:t>
      </w:r>
      <w:r>
        <w:rPr>
          <w:spacing w:val="-10"/>
        </w:rPr>
        <w:t> </w:t>
      </w:r>
      <w:r>
        <w:rPr/>
        <w:t>counseling,</w:t>
      </w:r>
      <w:r>
        <w:rPr>
          <w:spacing w:val="-10"/>
        </w:rPr>
        <w:t> </w:t>
      </w:r>
      <w:r>
        <w:rPr/>
        <w:t>information</w:t>
      </w:r>
      <w:r>
        <w:rPr>
          <w:spacing w:val="-10"/>
        </w:rPr>
        <w:t> </w:t>
      </w:r>
      <w:r>
        <w:rPr/>
        <w:t>sessions</w:t>
      </w:r>
      <w:r>
        <w:rPr>
          <w:spacing w:val="-10"/>
        </w:rPr>
        <w:t> </w:t>
      </w:r>
      <w:r>
        <w:rPr/>
        <w:t>from</w:t>
      </w:r>
      <w:r>
        <w:rPr>
          <w:spacing w:val="-7"/>
        </w:rPr>
        <w:t> </w:t>
      </w:r>
      <w:r>
        <w:rPr/>
        <w:t>corporate</w:t>
      </w:r>
      <w:r>
        <w:rPr>
          <w:spacing w:val="-11"/>
        </w:rPr>
        <w:t> </w:t>
      </w:r>
      <w:r>
        <w:rPr/>
        <w:t>representatives,</w:t>
      </w:r>
      <w:r>
        <w:rPr>
          <w:spacing w:val="-11"/>
        </w:rPr>
        <w:t> </w:t>
      </w:r>
      <w:r>
        <w:rPr/>
        <w:t>internships</w:t>
      </w:r>
      <w:r>
        <w:rPr>
          <w:spacing w:val="-10"/>
        </w:rPr>
        <w:t> </w:t>
      </w:r>
      <w:r>
        <w:rPr>
          <w:spacing w:val="-5"/>
        </w:rPr>
        <w:t>and</w:t>
      </w:r>
    </w:p>
    <w:p>
      <w:pPr>
        <w:spacing w:after="0"/>
        <w:sectPr>
          <w:headerReference w:type="default" r:id="rId135"/>
          <w:footerReference w:type="default" r:id="rId136"/>
          <w:pgSz w:w="12240" w:h="15840"/>
          <w:pgMar w:header="0" w:footer="974" w:top="1360" w:bottom="1160" w:left="1000" w:right="820"/>
        </w:sectPr>
      </w:pPr>
    </w:p>
    <w:p>
      <w:pPr>
        <w:pStyle w:val="BodyText"/>
        <w:spacing w:before="77"/>
        <w:ind w:left="1663" w:right="712"/>
      </w:pPr>
      <w:r>
        <w:rPr/>
        <w:t>cooperative education opportunities, job listings, on-line recruiting, mentorship opportunities, and workshops on resume writing, interviewing, job search, dining and dressing for success. The Career Counseling and Planning Center sponsors two career fairs,</w:t>
      </w:r>
      <w:r>
        <w:rPr>
          <w:spacing w:val="-4"/>
        </w:rPr>
        <w:t> </w:t>
      </w:r>
      <w:r>
        <w:rPr/>
        <w:t>one</w:t>
      </w:r>
      <w:r>
        <w:rPr>
          <w:spacing w:val="-4"/>
        </w:rPr>
        <w:t> </w:t>
      </w:r>
      <w:r>
        <w:rPr/>
        <w:t>graduate</w:t>
      </w:r>
      <w:r>
        <w:rPr>
          <w:spacing w:val="-4"/>
        </w:rPr>
        <w:t> </w:t>
      </w:r>
      <w:r>
        <w:rPr/>
        <w:t>school</w:t>
      </w:r>
      <w:r>
        <w:rPr>
          <w:spacing w:val="-3"/>
        </w:rPr>
        <w:t> </w:t>
      </w:r>
      <w:r>
        <w:rPr/>
        <w:t>day</w:t>
      </w:r>
      <w:r>
        <w:rPr>
          <w:spacing w:val="-5"/>
        </w:rPr>
        <w:t> </w:t>
      </w:r>
      <w:r>
        <w:rPr/>
        <w:t>and</w:t>
      </w:r>
      <w:r>
        <w:rPr>
          <w:spacing w:val="-4"/>
        </w:rPr>
        <w:t> </w:t>
      </w:r>
      <w:r>
        <w:rPr/>
        <w:t>endeavors</w:t>
      </w:r>
      <w:r>
        <w:rPr>
          <w:spacing w:val="-3"/>
        </w:rPr>
        <w:t> </w:t>
      </w:r>
      <w:r>
        <w:rPr/>
        <w:t>to</w:t>
      </w:r>
      <w:r>
        <w:rPr>
          <w:spacing w:val="-4"/>
        </w:rPr>
        <w:t> </w:t>
      </w:r>
      <w:r>
        <w:rPr/>
        <w:t>ensure</w:t>
      </w:r>
      <w:r>
        <w:rPr>
          <w:spacing w:val="-4"/>
        </w:rPr>
        <w:t> </w:t>
      </w:r>
      <w:r>
        <w:rPr/>
        <w:t>that</w:t>
      </w:r>
      <w:r>
        <w:rPr>
          <w:spacing w:val="-4"/>
        </w:rPr>
        <w:t> </w:t>
      </w:r>
      <w:r>
        <w:rPr/>
        <w:t>students'</w:t>
      </w:r>
      <w:r>
        <w:rPr>
          <w:spacing w:val="-4"/>
        </w:rPr>
        <w:t> </w:t>
      </w:r>
      <w:r>
        <w:rPr/>
        <w:t>career</w:t>
      </w:r>
      <w:r>
        <w:rPr>
          <w:spacing w:val="-3"/>
        </w:rPr>
        <w:t> </w:t>
      </w:r>
      <w:r>
        <w:rPr/>
        <w:t>aspirations are in sync with the jobs available to them upon graduation. All Center services and programs are also extended to alumni.</w:t>
      </w:r>
    </w:p>
    <w:p>
      <w:pPr>
        <w:pStyle w:val="BodyText"/>
        <w:spacing w:before="10"/>
      </w:pPr>
    </w:p>
    <w:p>
      <w:pPr>
        <w:pStyle w:val="BodyText"/>
        <w:ind w:left="1663"/>
      </w:pPr>
      <w:r>
        <w:rPr/>
        <w:t>There</w:t>
      </w:r>
      <w:r>
        <w:rPr>
          <w:spacing w:val="-6"/>
        </w:rPr>
        <w:t> </w:t>
      </w:r>
      <w:r>
        <w:rPr/>
        <w:t>are</w:t>
      </w:r>
      <w:r>
        <w:rPr>
          <w:spacing w:val="-6"/>
        </w:rPr>
        <w:t> </w:t>
      </w:r>
      <w:r>
        <w:rPr/>
        <w:t>a</w:t>
      </w:r>
      <w:r>
        <w:rPr>
          <w:spacing w:val="-6"/>
        </w:rPr>
        <w:t> </w:t>
      </w:r>
      <w:r>
        <w:rPr/>
        <w:t>number</w:t>
      </w:r>
      <w:r>
        <w:rPr>
          <w:spacing w:val="-5"/>
        </w:rPr>
        <w:t> </w:t>
      </w:r>
      <w:r>
        <w:rPr/>
        <w:t>of</w:t>
      </w:r>
      <w:r>
        <w:rPr>
          <w:spacing w:val="-4"/>
        </w:rPr>
        <w:t> </w:t>
      </w:r>
      <w:r>
        <w:rPr/>
        <w:t>critical</w:t>
      </w:r>
      <w:r>
        <w:rPr>
          <w:spacing w:val="-7"/>
        </w:rPr>
        <w:t> </w:t>
      </w:r>
      <w:r>
        <w:rPr/>
        <w:t>programs</w:t>
      </w:r>
      <w:r>
        <w:rPr>
          <w:spacing w:val="-5"/>
        </w:rPr>
        <w:t> </w:t>
      </w:r>
      <w:r>
        <w:rPr/>
        <w:t>sponsored</w:t>
      </w:r>
      <w:r>
        <w:rPr>
          <w:spacing w:val="-6"/>
        </w:rPr>
        <w:t> </w:t>
      </w:r>
      <w:r>
        <w:rPr/>
        <w:t>by</w:t>
      </w:r>
      <w:r>
        <w:rPr>
          <w:spacing w:val="-7"/>
        </w:rPr>
        <w:t> </w:t>
      </w:r>
      <w:r>
        <w:rPr/>
        <w:t>this</w:t>
      </w:r>
      <w:r>
        <w:rPr>
          <w:spacing w:val="-5"/>
        </w:rPr>
        <w:t> </w:t>
      </w:r>
      <w:r>
        <w:rPr/>
        <w:t>office,</w:t>
      </w:r>
      <w:r>
        <w:rPr>
          <w:spacing w:val="-6"/>
        </w:rPr>
        <w:t> </w:t>
      </w:r>
      <w:r>
        <w:rPr>
          <w:spacing w:val="-2"/>
        </w:rPr>
        <w:t>including:</w:t>
      </w:r>
    </w:p>
    <w:p>
      <w:pPr>
        <w:pStyle w:val="BodyText"/>
        <w:spacing w:before="10"/>
      </w:pPr>
    </w:p>
    <w:p>
      <w:pPr>
        <w:pStyle w:val="BodyText"/>
        <w:spacing w:before="1"/>
        <w:ind w:left="1880" w:right="658"/>
      </w:pPr>
      <w:r>
        <w:rPr/>
        <w:t>Though it is not a placement office, this department houses announcements on all full and</w:t>
      </w:r>
      <w:r>
        <w:rPr>
          <w:spacing w:val="-3"/>
        </w:rPr>
        <w:t> </w:t>
      </w:r>
      <w:r>
        <w:rPr/>
        <w:t>part-time</w:t>
      </w:r>
      <w:r>
        <w:rPr>
          <w:spacing w:val="-4"/>
        </w:rPr>
        <w:t> </w:t>
      </w:r>
      <w:r>
        <w:rPr/>
        <w:t>jobs</w:t>
      </w:r>
      <w:r>
        <w:rPr>
          <w:spacing w:val="-3"/>
        </w:rPr>
        <w:t> </w:t>
      </w:r>
      <w:r>
        <w:rPr/>
        <w:t>received</w:t>
      </w:r>
      <w:r>
        <w:rPr>
          <w:spacing w:val="-3"/>
        </w:rPr>
        <w:t> </w:t>
      </w:r>
      <w:r>
        <w:rPr/>
        <w:t>in</w:t>
      </w:r>
      <w:r>
        <w:rPr>
          <w:spacing w:val="-4"/>
        </w:rPr>
        <w:t> </w:t>
      </w:r>
      <w:r>
        <w:rPr/>
        <w:t>the</w:t>
      </w:r>
      <w:r>
        <w:rPr>
          <w:spacing w:val="-4"/>
        </w:rPr>
        <w:t> </w:t>
      </w:r>
      <w:r>
        <w:rPr/>
        <w:t>Career</w:t>
      </w:r>
      <w:r>
        <w:rPr>
          <w:spacing w:val="-3"/>
        </w:rPr>
        <w:t> </w:t>
      </w:r>
      <w:r>
        <w:rPr/>
        <w:t>Counseling</w:t>
      </w:r>
      <w:r>
        <w:rPr>
          <w:spacing w:val="-3"/>
        </w:rPr>
        <w:t> </w:t>
      </w:r>
      <w:r>
        <w:rPr/>
        <w:t>and</w:t>
      </w:r>
      <w:r>
        <w:rPr>
          <w:spacing w:val="-4"/>
        </w:rPr>
        <w:t> </w:t>
      </w:r>
      <w:r>
        <w:rPr/>
        <w:t>Planning</w:t>
      </w:r>
      <w:r>
        <w:rPr>
          <w:spacing w:val="-3"/>
        </w:rPr>
        <w:t> </w:t>
      </w:r>
      <w:r>
        <w:rPr/>
        <w:t>Center</w:t>
      </w:r>
      <w:r>
        <w:rPr>
          <w:spacing w:val="-3"/>
        </w:rPr>
        <w:t> </w:t>
      </w:r>
      <w:r>
        <w:rPr/>
        <w:t>and</w:t>
      </w:r>
      <w:r>
        <w:rPr>
          <w:spacing w:val="-4"/>
        </w:rPr>
        <w:t> </w:t>
      </w:r>
      <w:r>
        <w:rPr/>
        <w:t>post</w:t>
      </w:r>
      <w:r>
        <w:rPr>
          <w:spacing w:val="-4"/>
        </w:rPr>
        <w:t> </w:t>
      </w:r>
      <w:r>
        <w:rPr/>
        <w:t>them on the on-line eRecruiting System, the Student Pipeline, and the bulletin boards in the Student and Career Centers. Job announcements are emailed to alumni upon request.</w:t>
      </w:r>
    </w:p>
    <w:p>
      <w:pPr>
        <w:pStyle w:val="BodyText"/>
        <w:ind w:left="1880" w:right="712"/>
      </w:pPr>
      <w:r>
        <w:rPr/>
        <w:t>This department provides professional assistance and consultation to students and alumni on career development or transitions, registers students on the eRecruiting System, critiques resumes and covers letters and works directly with employers to develop</w:t>
      </w:r>
      <w:r>
        <w:rPr>
          <w:spacing w:val="-5"/>
        </w:rPr>
        <w:t> </w:t>
      </w:r>
      <w:r>
        <w:rPr/>
        <w:t>employment</w:t>
      </w:r>
      <w:r>
        <w:rPr>
          <w:spacing w:val="-4"/>
        </w:rPr>
        <w:t> </w:t>
      </w:r>
      <w:r>
        <w:rPr/>
        <w:t>opportunities</w:t>
      </w:r>
      <w:r>
        <w:rPr>
          <w:spacing w:val="-5"/>
        </w:rPr>
        <w:t> </w:t>
      </w:r>
      <w:r>
        <w:rPr/>
        <w:t>for</w:t>
      </w:r>
      <w:r>
        <w:rPr>
          <w:spacing w:val="-5"/>
        </w:rPr>
        <w:t> </w:t>
      </w:r>
      <w:r>
        <w:rPr/>
        <w:t>students.</w:t>
      </w:r>
      <w:r>
        <w:rPr>
          <w:spacing w:val="-5"/>
        </w:rPr>
        <w:t> </w:t>
      </w:r>
      <w:r>
        <w:rPr/>
        <w:t>The</w:t>
      </w:r>
      <w:r>
        <w:rPr>
          <w:spacing w:val="-5"/>
        </w:rPr>
        <w:t> </w:t>
      </w:r>
      <w:r>
        <w:rPr/>
        <w:t>department</w:t>
      </w:r>
      <w:r>
        <w:rPr>
          <w:spacing w:val="-5"/>
        </w:rPr>
        <w:t> </w:t>
      </w:r>
      <w:r>
        <w:rPr/>
        <w:t>assists</w:t>
      </w:r>
      <w:r>
        <w:rPr>
          <w:spacing w:val="-5"/>
        </w:rPr>
        <w:t> </w:t>
      </w:r>
      <w:r>
        <w:rPr/>
        <w:t>with</w:t>
      </w:r>
      <w:r>
        <w:rPr>
          <w:spacing w:val="-4"/>
        </w:rPr>
        <w:t> </w:t>
      </w:r>
      <w:r>
        <w:rPr/>
        <w:t>the</w:t>
      </w:r>
      <w:r>
        <w:rPr>
          <w:spacing w:val="-4"/>
        </w:rPr>
        <w:t> </w:t>
      </w:r>
      <w:r>
        <w:rPr/>
        <w:t>liaison and consultative relationship with faculty, staff, appropriate student organizations and represents the Center at campus and community functions.</w:t>
      </w:r>
    </w:p>
    <w:p>
      <w:pPr>
        <w:pStyle w:val="BodyText"/>
        <w:spacing w:before="10"/>
      </w:pPr>
    </w:p>
    <w:p>
      <w:pPr>
        <w:pStyle w:val="BodyText"/>
        <w:ind w:left="1880" w:right="642"/>
      </w:pPr>
      <w:r>
        <w:rPr/>
        <w:t>The</w:t>
      </w:r>
      <w:r>
        <w:rPr>
          <w:spacing w:val="-4"/>
        </w:rPr>
        <w:t> </w:t>
      </w:r>
      <w:r>
        <w:rPr/>
        <w:t>Career</w:t>
      </w:r>
      <w:r>
        <w:rPr>
          <w:spacing w:val="-3"/>
        </w:rPr>
        <w:t> </w:t>
      </w:r>
      <w:r>
        <w:rPr/>
        <w:t>Fair</w:t>
      </w:r>
      <w:r>
        <w:rPr>
          <w:spacing w:val="-1"/>
        </w:rPr>
        <w:t> </w:t>
      </w:r>
      <w:r>
        <w:rPr/>
        <w:t>is</w:t>
      </w:r>
      <w:r>
        <w:rPr>
          <w:spacing w:val="-3"/>
        </w:rPr>
        <w:t> </w:t>
      </w:r>
      <w:r>
        <w:rPr/>
        <w:t>one</w:t>
      </w:r>
      <w:r>
        <w:rPr>
          <w:spacing w:val="-4"/>
        </w:rPr>
        <w:t> </w:t>
      </w:r>
      <w:r>
        <w:rPr/>
        <w:t>of</w:t>
      </w:r>
      <w:r>
        <w:rPr>
          <w:spacing w:val="-2"/>
        </w:rPr>
        <w:t> </w:t>
      </w:r>
      <w:r>
        <w:rPr/>
        <w:t>the</w:t>
      </w:r>
      <w:r>
        <w:rPr>
          <w:spacing w:val="-4"/>
        </w:rPr>
        <w:t> </w:t>
      </w:r>
      <w:r>
        <w:rPr/>
        <w:t>most</w:t>
      </w:r>
      <w:r>
        <w:rPr>
          <w:spacing w:val="-4"/>
        </w:rPr>
        <w:t> </w:t>
      </w:r>
      <w:r>
        <w:rPr/>
        <w:t>anticipated</w:t>
      </w:r>
      <w:r>
        <w:rPr>
          <w:spacing w:val="-2"/>
        </w:rPr>
        <w:t> </w:t>
      </w:r>
      <w:r>
        <w:rPr/>
        <w:t>annual</w:t>
      </w:r>
      <w:r>
        <w:rPr>
          <w:spacing w:val="-5"/>
        </w:rPr>
        <w:t> </w:t>
      </w:r>
      <w:r>
        <w:rPr/>
        <w:t>events.</w:t>
      </w:r>
      <w:r>
        <w:rPr>
          <w:spacing w:val="-4"/>
        </w:rPr>
        <w:t> </w:t>
      </w:r>
      <w:r>
        <w:rPr/>
        <w:t>Corporations,</w:t>
      </w:r>
      <w:r>
        <w:rPr>
          <w:spacing w:val="-4"/>
        </w:rPr>
        <w:t> </w:t>
      </w:r>
      <w:r>
        <w:rPr/>
        <w:t>Government agencies and Educational institutions from all over the country have the opportunity to acquaint students with their organizations while recruiting potential employees.</w:t>
      </w:r>
    </w:p>
    <w:p>
      <w:pPr>
        <w:pStyle w:val="BodyText"/>
        <w:spacing w:before="11"/>
      </w:pPr>
    </w:p>
    <w:p>
      <w:pPr>
        <w:pStyle w:val="BodyText"/>
        <w:ind w:left="1880" w:right="712"/>
      </w:pPr>
      <w:r>
        <w:rPr/>
        <w:t>The</w:t>
      </w:r>
      <w:r>
        <w:rPr>
          <w:spacing w:val="-4"/>
        </w:rPr>
        <w:t> </w:t>
      </w:r>
      <w:r>
        <w:rPr/>
        <w:t>Fall</w:t>
      </w:r>
      <w:r>
        <w:rPr>
          <w:spacing w:val="-4"/>
        </w:rPr>
        <w:t> </w:t>
      </w:r>
      <w:r>
        <w:rPr/>
        <w:t>Career</w:t>
      </w:r>
      <w:r>
        <w:rPr>
          <w:spacing w:val="-3"/>
        </w:rPr>
        <w:t> </w:t>
      </w:r>
      <w:r>
        <w:rPr/>
        <w:t>Fair</w:t>
      </w:r>
      <w:r>
        <w:rPr>
          <w:spacing w:val="-3"/>
        </w:rPr>
        <w:t> </w:t>
      </w:r>
      <w:r>
        <w:rPr/>
        <w:t>is</w:t>
      </w:r>
      <w:r>
        <w:rPr>
          <w:spacing w:val="-3"/>
        </w:rPr>
        <w:t> </w:t>
      </w:r>
      <w:r>
        <w:rPr/>
        <w:t>held</w:t>
      </w:r>
      <w:r>
        <w:rPr>
          <w:spacing w:val="-2"/>
        </w:rPr>
        <w:t> </w:t>
      </w:r>
      <w:r>
        <w:rPr/>
        <w:t>at</w:t>
      </w:r>
      <w:r>
        <w:rPr>
          <w:spacing w:val="-4"/>
        </w:rPr>
        <w:t> </w:t>
      </w:r>
      <w:r>
        <w:rPr/>
        <w:t>the</w:t>
      </w:r>
      <w:r>
        <w:rPr>
          <w:spacing w:val="-4"/>
        </w:rPr>
        <w:t> </w:t>
      </w:r>
      <w:r>
        <w:rPr/>
        <w:t>Convocation</w:t>
      </w:r>
      <w:r>
        <w:rPr>
          <w:spacing w:val="-4"/>
        </w:rPr>
        <w:t> </w:t>
      </w:r>
      <w:r>
        <w:rPr/>
        <w:t>Center,</w:t>
      </w:r>
      <w:r>
        <w:rPr>
          <w:spacing w:val="-2"/>
        </w:rPr>
        <w:t> </w:t>
      </w:r>
      <w:r>
        <w:rPr/>
        <w:t>usually</w:t>
      </w:r>
      <w:r>
        <w:rPr>
          <w:spacing w:val="-6"/>
        </w:rPr>
        <w:t> </w:t>
      </w:r>
      <w:r>
        <w:rPr/>
        <w:t>in</w:t>
      </w:r>
      <w:r>
        <w:rPr>
          <w:spacing w:val="-4"/>
        </w:rPr>
        <w:t> </w:t>
      </w:r>
      <w:r>
        <w:rPr/>
        <w:t>September</w:t>
      </w:r>
      <w:r>
        <w:rPr>
          <w:spacing w:val="-3"/>
        </w:rPr>
        <w:t> </w:t>
      </w:r>
      <w:r>
        <w:rPr/>
        <w:t>of</w:t>
      </w:r>
      <w:r>
        <w:rPr>
          <w:spacing w:val="-2"/>
        </w:rPr>
        <w:t> </w:t>
      </w:r>
      <w:r>
        <w:rPr/>
        <w:t>each year. The Spring Career Fair is generally held in February in the Student Center Ballroom. The Fairs are open to all students and alumni.</w:t>
      </w:r>
    </w:p>
    <w:p>
      <w:pPr>
        <w:pStyle w:val="BodyText"/>
        <w:spacing w:before="9"/>
      </w:pPr>
    </w:p>
    <w:p>
      <w:pPr>
        <w:pStyle w:val="BodyText"/>
        <w:ind w:left="1880" w:right="712"/>
      </w:pPr>
      <w:r>
        <w:rPr/>
        <w:t>Graduate and Professional School Day is usually in October or November. Representatives</w:t>
      </w:r>
      <w:r>
        <w:rPr>
          <w:spacing w:val="-4"/>
        </w:rPr>
        <w:t> </w:t>
      </w:r>
      <w:r>
        <w:rPr/>
        <w:t>from</w:t>
      </w:r>
      <w:r>
        <w:rPr>
          <w:spacing w:val="-3"/>
        </w:rPr>
        <w:t> </w:t>
      </w:r>
      <w:r>
        <w:rPr/>
        <w:t>more</w:t>
      </w:r>
      <w:r>
        <w:rPr>
          <w:spacing w:val="-8"/>
        </w:rPr>
        <w:t> </w:t>
      </w:r>
      <w:r>
        <w:rPr/>
        <w:t>than</w:t>
      </w:r>
      <w:r>
        <w:rPr>
          <w:spacing w:val="-3"/>
        </w:rPr>
        <w:t> </w:t>
      </w:r>
      <w:r>
        <w:rPr/>
        <w:t>86</w:t>
      </w:r>
      <w:r>
        <w:rPr>
          <w:spacing w:val="-3"/>
        </w:rPr>
        <w:t> </w:t>
      </w:r>
      <w:r>
        <w:rPr/>
        <w:t>graduate</w:t>
      </w:r>
      <w:r>
        <w:rPr>
          <w:spacing w:val="-3"/>
        </w:rPr>
        <w:t> </w:t>
      </w:r>
      <w:r>
        <w:rPr/>
        <w:t>and</w:t>
      </w:r>
      <w:r>
        <w:rPr>
          <w:spacing w:val="-5"/>
        </w:rPr>
        <w:t> </w:t>
      </w:r>
      <w:r>
        <w:rPr/>
        <w:t>professional</w:t>
      </w:r>
      <w:r>
        <w:rPr>
          <w:spacing w:val="-6"/>
        </w:rPr>
        <w:t> </w:t>
      </w:r>
      <w:r>
        <w:rPr/>
        <w:t>schools</w:t>
      </w:r>
      <w:r>
        <w:rPr>
          <w:spacing w:val="-4"/>
        </w:rPr>
        <w:t> </w:t>
      </w:r>
      <w:r>
        <w:rPr/>
        <w:t>around</w:t>
      </w:r>
      <w:r>
        <w:rPr>
          <w:spacing w:val="-5"/>
        </w:rPr>
        <w:t> </w:t>
      </w:r>
      <w:r>
        <w:rPr/>
        <w:t>the country will generally attend.</w:t>
      </w:r>
    </w:p>
    <w:p>
      <w:pPr>
        <w:pStyle w:val="BodyText"/>
        <w:spacing w:before="9"/>
      </w:pPr>
    </w:p>
    <w:p>
      <w:pPr>
        <w:pStyle w:val="BodyText"/>
        <w:ind w:left="1879" w:right="642"/>
      </w:pPr>
      <w:r>
        <w:rPr/>
        <w:t>Students</w:t>
      </w:r>
      <w:r>
        <w:rPr>
          <w:spacing w:val="-4"/>
        </w:rPr>
        <w:t> </w:t>
      </w:r>
      <w:r>
        <w:rPr/>
        <w:t>are</w:t>
      </w:r>
      <w:r>
        <w:rPr>
          <w:spacing w:val="-4"/>
        </w:rPr>
        <w:t> </w:t>
      </w:r>
      <w:r>
        <w:rPr/>
        <w:t>given</w:t>
      </w:r>
      <w:r>
        <w:rPr>
          <w:spacing w:val="-4"/>
        </w:rPr>
        <w:t> </w:t>
      </w:r>
      <w:r>
        <w:rPr/>
        <w:t>the</w:t>
      </w:r>
      <w:r>
        <w:rPr>
          <w:spacing w:val="-4"/>
        </w:rPr>
        <w:t> </w:t>
      </w:r>
      <w:r>
        <w:rPr/>
        <w:t>opportunity</w:t>
      </w:r>
      <w:r>
        <w:rPr>
          <w:spacing w:val="-5"/>
        </w:rPr>
        <w:t> </w:t>
      </w:r>
      <w:r>
        <w:rPr/>
        <w:t>to</w:t>
      </w:r>
      <w:r>
        <w:rPr>
          <w:spacing w:val="-4"/>
        </w:rPr>
        <w:t> </w:t>
      </w:r>
      <w:r>
        <w:rPr/>
        <w:t>gather</w:t>
      </w:r>
      <w:r>
        <w:rPr>
          <w:spacing w:val="-4"/>
        </w:rPr>
        <w:t> </w:t>
      </w:r>
      <w:r>
        <w:rPr/>
        <w:t>information</w:t>
      </w:r>
      <w:r>
        <w:rPr>
          <w:spacing w:val="-4"/>
        </w:rPr>
        <w:t> </w:t>
      </w:r>
      <w:r>
        <w:rPr/>
        <w:t>on</w:t>
      </w:r>
      <w:r>
        <w:rPr>
          <w:spacing w:val="-3"/>
        </w:rPr>
        <w:t> </w:t>
      </w:r>
      <w:r>
        <w:rPr/>
        <w:t>the</w:t>
      </w:r>
      <w:r>
        <w:rPr>
          <w:spacing w:val="-3"/>
        </w:rPr>
        <w:t> </w:t>
      </w:r>
      <w:r>
        <w:rPr/>
        <w:t>various</w:t>
      </w:r>
      <w:r>
        <w:rPr>
          <w:spacing w:val="-1"/>
        </w:rPr>
        <w:t> </w:t>
      </w:r>
      <w:r>
        <w:rPr/>
        <w:t>offerings</w:t>
      </w:r>
      <w:r>
        <w:rPr>
          <w:spacing w:val="-4"/>
        </w:rPr>
        <w:t> </w:t>
      </w:r>
      <w:r>
        <w:rPr/>
        <w:t>of</w:t>
      </w:r>
      <w:r>
        <w:rPr>
          <w:spacing w:val="-3"/>
        </w:rPr>
        <w:t> </w:t>
      </w:r>
      <w:r>
        <w:rPr/>
        <w:t>these schools; such as graduate studies, fellowships, special programs and scholarships.</w:t>
      </w:r>
    </w:p>
    <w:p>
      <w:pPr>
        <w:pStyle w:val="BodyText"/>
        <w:spacing w:before="11"/>
      </w:pPr>
    </w:p>
    <w:p>
      <w:pPr>
        <w:pStyle w:val="BodyText"/>
        <w:ind w:left="1879" w:right="632"/>
      </w:pPr>
      <w:r>
        <w:rPr/>
        <w:t>Outside</w:t>
      </w:r>
      <w:r>
        <w:rPr>
          <w:spacing w:val="-3"/>
        </w:rPr>
        <w:t> </w:t>
      </w:r>
      <w:r>
        <w:rPr/>
        <w:t>of</w:t>
      </w:r>
      <w:r>
        <w:rPr>
          <w:spacing w:val="-3"/>
        </w:rPr>
        <w:t> </w:t>
      </w:r>
      <w:r>
        <w:rPr/>
        <w:t>academia,</w:t>
      </w:r>
      <w:r>
        <w:rPr>
          <w:spacing w:val="-5"/>
        </w:rPr>
        <w:t> </w:t>
      </w:r>
      <w:r>
        <w:rPr/>
        <w:t>the</w:t>
      </w:r>
      <w:r>
        <w:rPr>
          <w:spacing w:val="-5"/>
        </w:rPr>
        <w:t> </w:t>
      </w:r>
      <w:r>
        <w:rPr/>
        <w:t>department</w:t>
      </w:r>
      <w:r>
        <w:rPr>
          <w:spacing w:val="-5"/>
        </w:rPr>
        <w:t> </w:t>
      </w:r>
      <w:r>
        <w:rPr/>
        <w:t>chairpersons</w:t>
      </w:r>
      <w:r>
        <w:rPr>
          <w:spacing w:val="-4"/>
        </w:rPr>
        <w:t> </w:t>
      </w:r>
      <w:r>
        <w:rPr/>
        <w:t>have</w:t>
      </w:r>
      <w:r>
        <w:rPr>
          <w:spacing w:val="-5"/>
        </w:rPr>
        <w:t> </w:t>
      </w:r>
      <w:r>
        <w:rPr/>
        <w:t>many</w:t>
      </w:r>
      <w:r>
        <w:rPr>
          <w:spacing w:val="-8"/>
        </w:rPr>
        <w:t> </w:t>
      </w:r>
      <w:r>
        <w:rPr/>
        <w:t>resources</w:t>
      </w:r>
      <w:r>
        <w:rPr>
          <w:spacing w:val="-4"/>
        </w:rPr>
        <w:t> </w:t>
      </w:r>
      <w:r>
        <w:rPr/>
        <w:t>at</w:t>
      </w:r>
      <w:r>
        <w:rPr>
          <w:spacing w:val="-5"/>
        </w:rPr>
        <w:t> </w:t>
      </w:r>
      <w:r>
        <w:rPr/>
        <w:t>their</w:t>
      </w:r>
      <w:r>
        <w:rPr>
          <w:spacing w:val="-2"/>
        </w:rPr>
        <w:t> </w:t>
      </w:r>
      <w:r>
        <w:rPr/>
        <w:t>disposal to keep current on the job market trends. They assist students with job search strategies and ensure that students are well prepared for the workforce. Successful students are those who have taken the initiative to stay in touch with the Career Center, participate in career fairs and other extra curricula activities and have participated in some volunteer service. This type of networking brings different kinds of exposure and opportunities.</w:t>
      </w:r>
    </w:p>
    <w:p>
      <w:pPr>
        <w:spacing w:after="0"/>
        <w:sectPr>
          <w:headerReference w:type="default" r:id="rId139"/>
          <w:footerReference w:type="default" r:id="rId140"/>
          <w:pgSz w:w="12240" w:h="15840"/>
          <w:pgMar w:header="0" w:footer="974" w:top="1360" w:bottom="1160" w:left="1000" w:right="820"/>
        </w:sectPr>
      </w:pPr>
    </w:p>
    <w:p>
      <w:pPr>
        <w:pStyle w:val="ListParagraph"/>
        <w:numPr>
          <w:ilvl w:val="2"/>
          <w:numId w:val="38"/>
        </w:numPr>
        <w:tabs>
          <w:tab w:pos="1664" w:val="left" w:leader="none"/>
        </w:tabs>
        <w:spacing w:line="240" w:lineRule="auto" w:before="77" w:after="0"/>
        <w:ind w:left="1663" w:right="0" w:hanging="504"/>
        <w:jc w:val="left"/>
        <w:rPr>
          <w:sz w:val="18"/>
        </w:rPr>
      </w:pPr>
      <w:r>
        <w:rPr>
          <w:sz w:val="20"/>
        </w:rPr>
        <w:t>Public</w:t>
      </w:r>
      <w:r>
        <w:rPr>
          <w:spacing w:val="-3"/>
          <w:sz w:val="20"/>
        </w:rPr>
        <w:t> </w:t>
      </w:r>
      <w:r>
        <w:rPr>
          <w:sz w:val="20"/>
        </w:rPr>
        <w:t>Access</w:t>
      </w:r>
      <w:r>
        <w:rPr>
          <w:spacing w:val="-6"/>
          <w:sz w:val="20"/>
        </w:rPr>
        <w:t> </w:t>
      </w:r>
      <w:r>
        <w:rPr>
          <w:sz w:val="20"/>
        </w:rPr>
        <w:t>to</w:t>
      </w:r>
      <w:r>
        <w:rPr>
          <w:spacing w:val="-6"/>
          <w:sz w:val="20"/>
        </w:rPr>
        <w:t> </w:t>
      </w:r>
      <w:r>
        <w:rPr>
          <w:sz w:val="20"/>
        </w:rPr>
        <w:t>APR’s</w:t>
      </w:r>
      <w:r>
        <w:rPr>
          <w:spacing w:val="-3"/>
          <w:sz w:val="20"/>
        </w:rPr>
        <w:t> </w:t>
      </w:r>
      <w:r>
        <w:rPr>
          <w:sz w:val="20"/>
        </w:rPr>
        <w:t>and</w:t>
      </w:r>
      <w:r>
        <w:rPr>
          <w:spacing w:val="-6"/>
          <w:sz w:val="20"/>
        </w:rPr>
        <w:t> </w:t>
      </w:r>
      <w:r>
        <w:rPr>
          <w:spacing w:val="-2"/>
          <w:sz w:val="20"/>
        </w:rPr>
        <w:t>VTR’s</w:t>
      </w:r>
    </w:p>
    <w:p>
      <w:pPr>
        <w:pStyle w:val="BodyText"/>
        <w:spacing w:before="10"/>
      </w:pPr>
    </w:p>
    <w:p>
      <w:pPr>
        <w:pStyle w:val="BodyText"/>
        <w:ind w:left="1663"/>
      </w:pPr>
      <w:r>
        <w:rPr/>
        <w:t>Thus</w:t>
      </w:r>
      <w:r>
        <w:rPr>
          <w:spacing w:val="-6"/>
        </w:rPr>
        <w:t> </w:t>
      </w:r>
      <w:r>
        <w:rPr/>
        <w:t>information</w:t>
      </w:r>
      <w:r>
        <w:rPr>
          <w:spacing w:val="-5"/>
        </w:rPr>
        <w:t> </w:t>
      </w:r>
      <w:r>
        <w:rPr/>
        <w:t>is</w:t>
      </w:r>
      <w:r>
        <w:rPr>
          <w:spacing w:val="-3"/>
        </w:rPr>
        <w:t> </w:t>
      </w:r>
      <w:r>
        <w:rPr/>
        <w:t>in</w:t>
      </w:r>
      <w:r>
        <w:rPr>
          <w:spacing w:val="-4"/>
        </w:rPr>
        <w:t> </w:t>
      </w:r>
      <w:r>
        <w:rPr/>
        <w:t>office</w:t>
      </w:r>
      <w:r>
        <w:rPr>
          <w:spacing w:val="-9"/>
        </w:rPr>
        <w:t> </w:t>
      </w:r>
      <w:r>
        <w:rPr/>
        <w:t>of</w:t>
      </w:r>
      <w:r>
        <w:rPr>
          <w:spacing w:val="-4"/>
        </w:rPr>
        <w:t> </w:t>
      </w:r>
      <w:r>
        <w:rPr/>
        <w:t>the</w:t>
      </w:r>
      <w:r>
        <w:rPr>
          <w:spacing w:val="-6"/>
        </w:rPr>
        <w:t> </w:t>
      </w:r>
      <w:r>
        <w:rPr/>
        <w:t>Chair</w:t>
      </w:r>
      <w:r>
        <w:rPr>
          <w:spacing w:val="-4"/>
        </w:rPr>
        <w:t> </w:t>
      </w:r>
      <w:r>
        <w:rPr/>
        <w:t>and</w:t>
      </w:r>
      <w:r>
        <w:rPr>
          <w:spacing w:val="-4"/>
        </w:rPr>
        <w:t> </w:t>
      </w:r>
      <w:r>
        <w:rPr/>
        <w:t>us</w:t>
      </w:r>
      <w:r>
        <w:rPr>
          <w:spacing w:val="-5"/>
        </w:rPr>
        <w:t> </w:t>
      </w:r>
      <w:r>
        <w:rPr/>
        <w:t>available</w:t>
      </w:r>
      <w:r>
        <w:rPr>
          <w:spacing w:val="-6"/>
        </w:rPr>
        <w:t> </w:t>
      </w:r>
      <w:r>
        <w:rPr/>
        <w:t>to</w:t>
      </w:r>
      <w:r>
        <w:rPr>
          <w:spacing w:val="-6"/>
        </w:rPr>
        <w:t> </w:t>
      </w:r>
      <w:r>
        <w:rPr/>
        <w:t>anyone</w:t>
      </w:r>
      <w:r>
        <w:rPr>
          <w:spacing w:val="-6"/>
        </w:rPr>
        <w:t> </w:t>
      </w:r>
      <w:r>
        <w:rPr/>
        <w:t>requesting</w:t>
      </w:r>
      <w:r>
        <w:rPr>
          <w:spacing w:val="-4"/>
        </w:rPr>
        <w:t> </w:t>
      </w:r>
      <w:r>
        <w:rPr>
          <w:spacing w:val="-2"/>
        </w:rPr>
        <w:t>access.</w:t>
      </w:r>
    </w:p>
    <w:p>
      <w:pPr>
        <w:pStyle w:val="BodyText"/>
        <w:spacing w:before="10"/>
      </w:pPr>
    </w:p>
    <w:p>
      <w:pPr>
        <w:pStyle w:val="ListParagraph"/>
        <w:numPr>
          <w:ilvl w:val="2"/>
          <w:numId w:val="38"/>
        </w:numPr>
        <w:tabs>
          <w:tab w:pos="1664" w:val="left" w:leader="none"/>
        </w:tabs>
        <w:spacing w:line="240" w:lineRule="auto" w:before="1" w:after="0"/>
        <w:ind w:left="1663" w:right="0" w:hanging="504"/>
        <w:jc w:val="left"/>
        <w:rPr>
          <w:sz w:val="18"/>
        </w:rPr>
      </w:pPr>
      <w:r>
        <w:rPr>
          <w:sz w:val="20"/>
        </w:rPr>
        <w:t>ARE</w:t>
      </w:r>
      <w:r>
        <w:rPr>
          <w:spacing w:val="-5"/>
          <w:sz w:val="20"/>
        </w:rPr>
        <w:t> </w:t>
      </w:r>
      <w:r>
        <w:rPr>
          <w:sz w:val="20"/>
        </w:rPr>
        <w:t>Pass</w:t>
      </w:r>
      <w:r>
        <w:rPr>
          <w:spacing w:val="-5"/>
          <w:sz w:val="20"/>
        </w:rPr>
        <w:t> </w:t>
      </w:r>
      <w:r>
        <w:rPr>
          <w:spacing w:val="-4"/>
          <w:sz w:val="20"/>
        </w:rPr>
        <w:t>Rate</w:t>
      </w:r>
    </w:p>
    <w:p>
      <w:pPr>
        <w:pStyle w:val="BodyText"/>
        <w:spacing w:before="7"/>
      </w:pPr>
    </w:p>
    <w:p>
      <w:pPr>
        <w:pStyle w:val="BodyText"/>
        <w:spacing w:before="1"/>
        <w:ind w:left="1663"/>
      </w:pPr>
      <w:r>
        <w:rPr/>
        <w:t>Information</w:t>
      </w:r>
      <w:r>
        <w:rPr>
          <w:spacing w:val="-9"/>
        </w:rPr>
        <w:t> </w:t>
      </w:r>
      <w:r>
        <w:rPr/>
        <w:t>available</w:t>
      </w:r>
      <w:r>
        <w:rPr>
          <w:spacing w:val="-6"/>
        </w:rPr>
        <w:t> </w:t>
      </w:r>
      <w:r>
        <w:rPr/>
        <w:t>on</w:t>
      </w:r>
      <w:r>
        <w:rPr>
          <w:spacing w:val="-7"/>
        </w:rPr>
        <w:t> </w:t>
      </w:r>
      <w:r>
        <w:rPr/>
        <w:t>line</w:t>
      </w:r>
      <w:r>
        <w:rPr>
          <w:spacing w:val="-6"/>
        </w:rPr>
        <w:t> </w:t>
      </w:r>
      <w:r>
        <w:rPr/>
        <w:t>with</w:t>
      </w:r>
      <w:r>
        <w:rPr>
          <w:spacing w:val="-8"/>
        </w:rPr>
        <w:t> </w:t>
      </w:r>
      <w:r>
        <w:rPr>
          <w:spacing w:val="-4"/>
        </w:rPr>
        <w:t>link</w:t>
      </w:r>
    </w:p>
    <w:p>
      <w:pPr>
        <w:spacing w:after="0"/>
        <w:sectPr>
          <w:headerReference w:type="default" r:id="rId141"/>
          <w:footerReference w:type="default" r:id="rId142"/>
          <w:pgSz w:w="12240" w:h="15840"/>
          <w:pgMar w:header="0" w:footer="974" w:top="1360" w:bottom="1160" w:left="1000" w:right="820"/>
        </w:sectPr>
      </w:pPr>
    </w:p>
    <w:p>
      <w:pPr>
        <w:pStyle w:val="Heading5"/>
        <w:numPr>
          <w:ilvl w:val="0"/>
          <w:numId w:val="39"/>
        </w:numPr>
        <w:tabs>
          <w:tab w:pos="800" w:val="left" w:leader="none"/>
        </w:tabs>
        <w:spacing w:line="240" w:lineRule="auto" w:before="76" w:after="0"/>
        <w:ind w:left="799" w:right="0" w:hanging="360"/>
        <w:jc w:val="left"/>
      </w:pPr>
      <w:r>
        <w:rPr/>
        <w:t>Part</w:t>
      </w:r>
      <w:r>
        <w:rPr>
          <w:spacing w:val="-7"/>
        </w:rPr>
        <w:t> </w:t>
      </w:r>
      <w:r>
        <w:rPr/>
        <w:t>Three</w:t>
      </w:r>
      <w:r>
        <w:rPr>
          <w:spacing w:val="-5"/>
        </w:rPr>
        <w:t> </w:t>
      </w:r>
      <w:r>
        <w:rPr/>
        <w:t>–</w:t>
      </w:r>
      <w:r>
        <w:rPr>
          <w:spacing w:val="-2"/>
        </w:rPr>
        <w:t> </w:t>
      </w:r>
      <w:r>
        <w:rPr/>
        <w:t>Progress</w:t>
      </w:r>
      <w:r>
        <w:rPr>
          <w:spacing w:val="-3"/>
        </w:rPr>
        <w:t> </w:t>
      </w:r>
      <w:r>
        <w:rPr/>
        <w:t>Since</w:t>
      </w:r>
      <w:r>
        <w:rPr>
          <w:spacing w:val="-3"/>
        </w:rPr>
        <w:t> </w:t>
      </w:r>
      <w:r>
        <w:rPr/>
        <w:t>the</w:t>
      </w:r>
      <w:r>
        <w:rPr>
          <w:spacing w:val="-5"/>
        </w:rPr>
        <w:t> </w:t>
      </w:r>
      <w:r>
        <w:rPr/>
        <w:t>Last</w:t>
      </w:r>
      <w:r>
        <w:rPr>
          <w:spacing w:val="-5"/>
        </w:rPr>
        <w:t> </w:t>
      </w:r>
      <w:r>
        <w:rPr/>
        <w:t>Site</w:t>
      </w:r>
      <w:r>
        <w:rPr>
          <w:spacing w:val="-2"/>
        </w:rPr>
        <w:t> Visit</w:t>
      </w:r>
    </w:p>
    <w:p>
      <w:pPr>
        <w:pStyle w:val="ListParagraph"/>
        <w:numPr>
          <w:ilvl w:val="1"/>
          <w:numId w:val="39"/>
        </w:numPr>
        <w:tabs>
          <w:tab w:pos="1161" w:val="left" w:leader="none"/>
        </w:tabs>
        <w:spacing w:line="240" w:lineRule="auto" w:before="241" w:after="0"/>
        <w:ind w:left="1160" w:right="0" w:hanging="433"/>
        <w:jc w:val="left"/>
        <w:rPr>
          <w:sz w:val="20"/>
        </w:rPr>
      </w:pPr>
      <w:r>
        <w:rPr>
          <w:sz w:val="20"/>
        </w:rPr>
        <w:t>Summary</w:t>
      </w:r>
      <w:r>
        <w:rPr>
          <w:spacing w:val="-11"/>
          <w:sz w:val="20"/>
        </w:rPr>
        <w:t> </w:t>
      </w:r>
      <w:r>
        <w:rPr>
          <w:sz w:val="20"/>
        </w:rPr>
        <w:t>of</w:t>
      </w:r>
      <w:r>
        <w:rPr>
          <w:spacing w:val="-4"/>
          <w:sz w:val="20"/>
        </w:rPr>
        <w:t> </w:t>
      </w:r>
      <w:r>
        <w:rPr>
          <w:sz w:val="20"/>
        </w:rPr>
        <w:t>Responses</w:t>
      </w:r>
      <w:r>
        <w:rPr>
          <w:spacing w:val="-4"/>
          <w:sz w:val="20"/>
        </w:rPr>
        <w:t> </w:t>
      </w:r>
      <w:r>
        <w:rPr>
          <w:sz w:val="20"/>
        </w:rPr>
        <w:t>to</w:t>
      </w:r>
      <w:r>
        <w:rPr>
          <w:spacing w:val="-4"/>
          <w:sz w:val="20"/>
        </w:rPr>
        <w:t> </w:t>
      </w:r>
      <w:r>
        <w:rPr>
          <w:sz w:val="20"/>
        </w:rPr>
        <w:t>the</w:t>
      </w:r>
      <w:r>
        <w:rPr>
          <w:spacing w:val="-5"/>
          <w:sz w:val="20"/>
        </w:rPr>
        <w:t> </w:t>
      </w:r>
      <w:r>
        <w:rPr>
          <w:sz w:val="20"/>
        </w:rPr>
        <w:t>Team</w:t>
      </w:r>
      <w:r>
        <w:rPr>
          <w:spacing w:val="-1"/>
          <w:sz w:val="20"/>
        </w:rPr>
        <w:t> </w:t>
      </w:r>
      <w:r>
        <w:rPr>
          <w:spacing w:val="-2"/>
          <w:sz w:val="20"/>
        </w:rPr>
        <w:t>Findings</w:t>
      </w:r>
    </w:p>
    <w:p>
      <w:pPr>
        <w:pStyle w:val="BodyText"/>
        <w:spacing w:before="6"/>
        <w:rPr>
          <w:sz w:val="17"/>
        </w:rPr>
      </w:pPr>
    </w:p>
    <w:p>
      <w:pPr>
        <w:pStyle w:val="ListParagraph"/>
        <w:numPr>
          <w:ilvl w:val="2"/>
          <w:numId w:val="39"/>
        </w:numPr>
        <w:tabs>
          <w:tab w:pos="1665" w:val="left" w:leader="none"/>
        </w:tabs>
        <w:spacing w:line="240" w:lineRule="auto" w:before="0" w:after="0"/>
        <w:ind w:left="1663" w:right="759" w:hanging="504"/>
        <w:jc w:val="left"/>
        <w:rPr>
          <w:sz w:val="20"/>
        </w:rPr>
      </w:pPr>
      <w:r>
        <w:rPr>
          <w:sz w:val="20"/>
        </w:rPr>
        <w:t>Responses</w:t>
      </w:r>
      <w:r>
        <w:rPr>
          <w:spacing w:val="-3"/>
          <w:sz w:val="20"/>
        </w:rPr>
        <w:t> </w:t>
      </w:r>
      <w:r>
        <w:rPr>
          <w:sz w:val="20"/>
        </w:rPr>
        <w:t>to</w:t>
      </w:r>
      <w:r>
        <w:rPr>
          <w:spacing w:val="-4"/>
          <w:sz w:val="20"/>
        </w:rPr>
        <w:t> </w:t>
      </w:r>
      <w:r>
        <w:rPr>
          <w:sz w:val="20"/>
        </w:rPr>
        <w:t>Conditions</w:t>
      </w:r>
      <w:r>
        <w:rPr>
          <w:spacing w:val="-3"/>
          <w:sz w:val="20"/>
        </w:rPr>
        <w:t> </w:t>
      </w:r>
      <w:r>
        <w:rPr>
          <w:sz w:val="20"/>
        </w:rPr>
        <w:t>Not</w:t>
      </w:r>
      <w:r>
        <w:rPr>
          <w:spacing w:val="-4"/>
          <w:sz w:val="20"/>
        </w:rPr>
        <w:t> </w:t>
      </w:r>
      <w:r>
        <w:rPr>
          <w:sz w:val="20"/>
        </w:rPr>
        <w:t>Met:</w:t>
      </w:r>
      <w:r>
        <w:rPr>
          <w:spacing w:val="40"/>
          <w:sz w:val="20"/>
        </w:rPr>
        <w:t> </w:t>
      </w:r>
      <w:r>
        <w:rPr>
          <w:sz w:val="20"/>
        </w:rPr>
        <w:t>The</w:t>
      </w:r>
      <w:r>
        <w:rPr>
          <w:spacing w:val="-4"/>
          <w:sz w:val="20"/>
        </w:rPr>
        <w:t> </w:t>
      </w:r>
      <w:r>
        <w:rPr>
          <w:sz w:val="20"/>
        </w:rPr>
        <w:t>2009</w:t>
      </w:r>
      <w:r>
        <w:rPr>
          <w:spacing w:val="-2"/>
          <w:sz w:val="20"/>
        </w:rPr>
        <w:t> </w:t>
      </w:r>
      <w:r>
        <w:rPr>
          <w:sz w:val="20"/>
        </w:rPr>
        <w:t>VTR</w:t>
      </w:r>
      <w:r>
        <w:rPr>
          <w:spacing w:val="-3"/>
          <w:sz w:val="20"/>
        </w:rPr>
        <w:t> </w:t>
      </w:r>
      <w:r>
        <w:rPr>
          <w:sz w:val="20"/>
        </w:rPr>
        <w:t>cited</w:t>
      </w:r>
      <w:r>
        <w:rPr>
          <w:spacing w:val="-4"/>
          <w:sz w:val="20"/>
        </w:rPr>
        <w:t> </w:t>
      </w:r>
      <w:r>
        <w:rPr>
          <w:sz w:val="20"/>
        </w:rPr>
        <w:t>four</w:t>
      </w:r>
      <w:r>
        <w:rPr>
          <w:spacing w:val="-3"/>
          <w:sz w:val="20"/>
        </w:rPr>
        <w:t> </w:t>
      </w:r>
      <w:r>
        <w:rPr>
          <w:sz w:val="20"/>
        </w:rPr>
        <w:t>conditions</w:t>
      </w:r>
      <w:r>
        <w:rPr>
          <w:spacing w:val="-3"/>
          <w:sz w:val="20"/>
        </w:rPr>
        <w:t> </w:t>
      </w:r>
      <w:r>
        <w:rPr>
          <w:sz w:val="20"/>
        </w:rPr>
        <w:t>as</w:t>
      </w:r>
      <w:r>
        <w:rPr>
          <w:spacing w:val="-3"/>
          <w:sz w:val="20"/>
        </w:rPr>
        <w:t> </w:t>
      </w:r>
      <w:r>
        <w:rPr>
          <w:sz w:val="20"/>
        </w:rPr>
        <w:t>“Not</w:t>
      </w:r>
      <w:r>
        <w:rPr>
          <w:spacing w:val="-2"/>
          <w:sz w:val="20"/>
        </w:rPr>
        <w:t> </w:t>
      </w:r>
      <w:r>
        <w:rPr>
          <w:sz w:val="20"/>
        </w:rPr>
        <w:t>Met.”</w:t>
      </w:r>
      <w:r>
        <w:rPr>
          <w:spacing w:val="-3"/>
          <w:sz w:val="20"/>
        </w:rPr>
        <w:t> </w:t>
      </w:r>
      <w:r>
        <w:rPr>
          <w:sz w:val="20"/>
        </w:rPr>
        <w:t>They </w:t>
      </w:r>
      <w:r>
        <w:rPr>
          <w:spacing w:val="-2"/>
          <w:sz w:val="20"/>
        </w:rPr>
        <w:t>were:</w:t>
      </w:r>
    </w:p>
    <w:p>
      <w:pPr>
        <w:numPr>
          <w:ilvl w:val="3"/>
          <w:numId w:val="39"/>
        </w:numPr>
        <w:tabs>
          <w:tab w:pos="2024" w:val="left" w:leader="none"/>
          <w:tab w:pos="9799" w:val="right" w:leader="dot"/>
        </w:tabs>
        <w:spacing w:before="198"/>
        <w:ind w:left="2023" w:right="0" w:hanging="361"/>
        <w:jc w:val="left"/>
        <w:rPr>
          <w:b/>
          <w:sz w:val="20"/>
        </w:rPr>
      </w:pPr>
      <w:r>
        <w:rPr>
          <w:b/>
          <w:sz w:val="20"/>
        </w:rPr>
        <w:t>Human</w:t>
      </w:r>
      <w:r>
        <w:rPr>
          <w:b/>
          <w:spacing w:val="-11"/>
          <w:sz w:val="20"/>
        </w:rPr>
        <w:t> </w:t>
      </w:r>
      <w:r>
        <w:rPr>
          <w:b/>
          <w:sz w:val="20"/>
        </w:rPr>
        <w:t>Resources</w:t>
      </w:r>
      <w:r>
        <w:rPr>
          <w:b/>
          <w:spacing w:val="-10"/>
          <w:sz w:val="20"/>
        </w:rPr>
        <w:t> </w:t>
      </w:r>
      <w:r>
        <w:rPr>
          <w:b/>
          <w:sz w:val="20"/>
        </w:rPr>
        <w:t>(Condition</w:t>
      </w:r>
      <w:r>
        <w:rPr>
          <w:b/>
          <w:spacing w:val="-8"/>
          <w:sz w:val="20"/>
        </w:rPr>
        <w:t> </w:t>
      </w:r>
      <w:r>
        <w:rPr>
          <w:b/>
          <w:spacing w:val="-5"/>
          <w:sz w:val="20"/>
        </w:rPr>
        <w:t>6)</w:t>
      </w:r>
      <w:r>
        <w:rPr>
          <w:b/>
          <w:sz w:val="20"/>
        </w:rPr>
        <w:tab/>
      </w:r>
      <w:r>
        <w:rPr>
          <w:b/>
          <w:spacing w:val="-5"/>
          <w:sz w:val="20"/>
        </w:rPr>
        <w:t>3-</w:t>
      </w:r>
      <w:r>
        <w:rPr>
          <w:b/>
          <w:w w:val="95"/>
          <w:sz w:val="20"/>
        </w:rPr>
        <w:t>2</w:t>
      </w:r>
    </w:p>
    <w:p>
      <w:pPr>
        <w:numPr>
          <w:ilvl w:val="3"/>
          <w:numId w:val="39"/>
        </w:numPr>
        <w:tabs>
          <w:tab w:pos="2024" w:val="left" w:leader="none"/>
          <w:tab w:pos="9799" w:val="right" w:leader="dot"/>
        </w:tabs>
        <w:spacing w:before="200"/>
        <w:ind w:left="2023" w:right="0" w:hanging="361"/>
        <w:jc w:val="left"/>
        <w:rPr>
          <w:b/>
          <w:sz w:val="20"/>
        </w:rPr>
      </w:pPr>
      <w:r>
        <w:rPr>
          <w:b/>
          <w:sz w:val="20"/>
        </w:rPr>
        <w:t>Physical</w:t>
      </w:r>
      <w:r>
        <w:rPr>
          <w:b/>
          <w:spacing w:val="-10"/>
          <w:sz w:val="20"/>
        </w:rPr>
        <w:t> </w:t>
      </w:r>
      <w:r>
        <w:rPr>
          <w:b/>
          <w:sz w:val="20"/>
        </w:rPr>
        <w:t>Resources</w:t>
      </w:r>
      <w:r>
        <w:rPr>
          <w:b/>
          <w:spacing w:val="-12"/>
          <w:sz w:val="20"/>
        </w:rPr>
        <w:t> </w:t>
      </w:r>
      <w:r>
        <w:rPr>
          <w:b/>
          <w:sz w:val="20"/>
        </w:rPr>
        <w:t>(Condition</w:t>
      </w:r>
      <w:r>
        <w:rPr>
          <w:b/>
          <w:spacing w:val="-11"/>
          <w:sz w:val="20"/>
        </w:rPr>
        <w:t> </w:t>
      </w:r>
      <w:r>
        <w:rPr>
          <w:b/>
          <w:spacing w:val="-5"/>
          <w:sz w:val="20"/>
        </w:rPr>
        <w:t>8)</w:t>
      </w:r>
      <w:r>
        <w:rPr>
          <w:b/>
          <w:sz w:val="20"/>
        </w:rPr>
        <w:tab/>
      </w:r>
      <w:r>
        <w:rPr>
          <w:b/>
          <w:spacing w:val="-5"/>
          <w:sz w:val="20"/>
        </w:rPr>
        <w:t>3-</w:t>
      </w:r>
      <w:r>
        <w:rPr>
          <w:b/>
          <w:w w:val="95"/>
          <w:sz w:val="20"/>
        </w:rPr>
        <w:t>4</w:t>
      </w:r>
    </w:p>
    <w:p>
      <w:pPr>
        <w:numPr>
          <w:ilvl w:val="3"/>
          <w:numId w:val="39"/>
        </w:numPr>
        <w:tabs>
          <w:tab w:pos="2024" w:val="left" w:leader="none"/>
          <w:tab w:pos="9799" w:val="right" w:leader="dot"/>
        </w:tabs>
        <w:spacing w:before="199"/>
        <w:ind w:left="2023" w:right="0" w:hanging="361"/>
        <w:jc w:val="left"/>
        <w:rPr>
          <w:b/>
          <w:sz w:val="20"/>
        </w:rPr>
      </w:pPr>
      <w:r>
        <w:rPr>
          <w:b/>
          <w:sz w:val="20"/>
        </w:rPr>
        <w:t>Building</w:t>
      </w:r>
      <w:r>
        <w:rPr>
          <w:b/>
          <w:spacing w:val="-11"/>
          <w:sz w:val="20"/>
        </w:rPr>
        <w:t> </w:t>
      </w:r>
      <w:r>
        <w:rPr>
          <w:b/>
          <w:sz w:val="20"/>
        </w:rPr>
        <w:t>Systems</w:t>
      </w:r>
      <w:r>
        <w:rPr>
          <w:b/>
          <w:spacing w:val="-9"/>
          <w:sz w:val="20"/>
        </w:rPr>
        <w:t> </w:t>
      </w:r>
      <w:r>
        <w:rPr>
          <w:b/>
          <w:sz w:val="20"/>
        </w:rPr>
        <w:t>Integration</w:t>
      </w:r>
      <w:r>
        <w:rPr>
          <w:b/>
          <w:spacing w:val="-10"/>
          <w:sz w:val="20"/>
        </w:rPr>
        <w:t> </w:t>
      </w:r>
      <w:r>
        <w:rPr>
          <w:b/>
          <w:sz w:val="20"/>
        </w:rPr>
        <w:t>(SPC</w:t>
      </w:r>
      <w:r>
        <w:rPr>
          <w:b/>
          <w:spacing w:val="-11"/>
          <w:sz w:val="20"/>
        </w:rPr>
        <w:t> </w:t>
      </w:r>
      <w:r>
        <w:rPr>
          <w:b/>
          <w:spacing w:val="-2"/>
          <w:sz w:val="20"/>
        </w:rPr>
        <w:t>13.23)</w:t>
      </w:r>
      <w:r>
        <w:rPr>
          <w:b/>
          <w:sz w:val="20"/>
        </w:rPr>
        <w:tab/>
      </w:r>
      <w:r>
        <w:rPr>
          <w:b/>
          <w:spacing w:val="-5"/>
          <w:sz w:val="20"/>
        </w:rPr>
        <w:t>3-</w:t>
      </w:r>
      <w:r>
        <w:rPr>
          <w:b/>
          <w:w w:val="95"/>
          <w:sz w:val="20"/>
        </w:rPr>
        <w:t>6</w:t>
      </w:r>
    </w:p>
    <w:p>
      <w:pPr>
        <w:numPr>
          <w:ilvl w:val="3"/>
          <w:numId w:val="39"/>
        </w:numPr>
        <w:tabs>
          <w:tab w:pos="2024" w:val="left" w:leader="none"/>
          <w:tab w:pos="9799" w:val="right" w:leader="dot"/>
        </w:tabs>
        <w:spacing w:before="200"/>
        <w:ind w:left="2023" w:right="0" w:hanging="361"/>
        <w:jc w:val="left"/>
        <w:rPr>
          <w:b/>
          <w:sz w:val="20"/>
        </w:rPr>
      </w:pPr>
      <w:r>
        <w:rPr>
          <w:b/>
          <w:sz w:val="20"/>
        </w:rPr>
        <w:t>Comprehensive</w:t>
      </w:r>
      <w:r>
        <w:rPr>
          <w:b/>
          <w:spacing w:val="-11"/>
          <w:sz w:val="20"/>
        </w:rPr>
        <w:t> </w:t>
      </w:r>
      <w:r>
        <w:rPr>
          <w:b/>
          <w:sz w:val="20"/>
        </w:rPr>
        <w:t>Design</w:t>
      </w:r>
      <w:r>
        <w:rPr>
          <w:b/>
          <w:spacing w:val="-9"/>
          <w:sz w:val="20"/>
        </w:rPr>
        <w:t> </w:t>
      </w:r>
      <w:r>
        <w:rPr>
          <w:b/>
          <w:sz w:val="20"/>
        </w:rPr>
        <w:t>(SPC</w:t>
      </w:r>
      <w:r>
        <w:rPr>
          <w:b/>
          <w:spacing w:val="-8"/>
          <w:sz w:val="20"/>
        </w:rPr>
        <w:t> </w:t>
      </w:r>
      <w:r>
        <w:rPr>
          <w:b/>
          <w:spacing w:val="-2"/>
          <w:sz w:val="20"/>
        </w:rPr>
        <w:t>13.28)</w:t>
      </w:r>
      <w:r>
        <w:rPr>
          <w:b/>
          <w:sz w:val="20"/>
        </w:rPr>
        <w:tab/>
      </w:r>
      <w:r>
        <w:rPr>
          <w:b/>
          <w:spacing w:val="-5"/>
          <w:sz w:val="20"/>
        </w:rPr>
        <w:t>3-</w:t>
      </w:r>
      <w:r>
        <w:rPr>
          <w:b/>
          <w:w w:val="95"/>
          <w:sz w:val="20"/>
        </w:rPr>
        <w:t>8</w:t>
      </w:r>
    </w:p>
    <w:p>
      <w:pPr>
        <w:spacing w:after="0"/>
        <w:jc w:val="left"/>
        <w:rPr>
          <w:sz w:val="20"/>
        </w:rPr>
        <w:sectPr>
          <w:headerReference w:type="default" r:id="rId143"/>
          <w:footerReference w:type="default" r:id="rId144"/>
          <w:pgSz w:w="12240" w:h="15840"/>
          <w:pgMar w:header="0" w:footer="974" w:top="1600" w:bottom="1160" w:left="1000" w:right="820"/>
          <w:pgNumType w:start="1"/>
        </w:sectPr>
      </w:pPr>
    </w:p>
    <w:p>
      <w:pPr>
        <w:spacing w:before="75"/>
        <w:ind w:left="440" w:right="0" w:firstLine="0"/>
        <w:jc w:val="left"/>
        <w:rPr>
          <w:b/>
          <w:sz w:val="20"/>
        </w:rPr>
      </w:pPr>
      <w:r>
        <w:rPr>
          <w:b/>
          <w:sz w:val="20"/>
        </w:rPr>
        <w:t>Human</w:t>
      </w:r>
      <w:r>
        <w:rPr>
          <w:b/>
          <w:spacing w:val="-11"/>
          <w:sz w:val="20"/>
        </w:rPr>
        <w:t> </w:t>
      </w:r>
      <w:r>
        <w:rPr>
          <w:b/>
          <w:sz w:val="20"/>
        </w:rPr>
        <w:t>Resources</w:t>
      </w:r>
      <w:r>
        <w:rPr>
          <w:b/>
          <w:spacing w:val="-10"/>
          <w:sz w:val="20"/>
        </w:rPr>
        <w:t> </w:t>
      </w:r>
      <w:r>
        <w:rPr>
          <w:b/>
          <w:sz w:val="20"/>
        </w:rPr>
        <w:t>(Condition</w:t>
      </w:r>
      <w:r>
        <w:rPr>
          <w:b/>
          <w:spacing w:val="-8"/>
          <w:sz w:val="20"/>
        </w:rPr>
        <w:t> </w:t>
      </w:r>
      <w:r>
        <w:rPr>
          <w:b/>
          <w:spacing w:val="-5"/>
          <w:sz w:val="20"/>
        </w:rPr>
        <w:t>6)</w:t>
      </w:r>
    </w:p>
    <w:p>
      <w:pPr>
        <w:spacing w:line="254" w:lineRule="auto" w:before="125"/>
        <w:ind w:left="1159" w:right="642" w:firstLine="0"/>
        <w:jc w:val="left"/>
        <w:rPr>
          <w:i/>
          <w:sz w:val="22"/>
        </w:rPr>
      </w:pPr>
      <w:r>
        <w:rPr>
          <w:i/>
          <w:spacing w:val="-2"/>
          <w:w w:val="95"/>
          <w:sz w:val="22"/>
        </w:rPr>
        <w:t>The accredited</w:t>
      </w:r>
      <w:r>
        <w:rPr>
          <w:i/>
          <w:spacing w:val="-5"/>
          <w:w w:val="95"/>
          <w:sz w:val="22"/>
        </w:rPr>
        <w:t> </w:t>
      </w:r>
      <w:r>
        <w:rPr>
          <w:i/>
          <w:spacing w:val="-2"/>
          <w:w w:val="95"/>
          <w:sz w:val="22"/>
        </w:rPr>
        <w:t>degree program</w:t>
      </w:r>
      <w:r>
        <w:rPr>
          <w:i/>
          <w:spacing w:val="-4"/>
          <w:w w:val="95"/>
          <w:sz w:val="22"/>
        </w:rPr>
        <w:t> </w:t>
      </w:r>
      <w:r>
        <w:rPr>
          <w:i/>
          <w:spacing w:val="-2"/>
          <w:w w:val="95"/>
          <w:sz w:val="22"/>
        </w:rPr>
        <w:t>must demonstrate</w:t>
      </w:r>
      <w:r>
        <w:rPr>
          <w:i/>
          <w:spacing w:val="-5"/>
          <w:w w:val="95"/>
          <w:sz w:val="22"/>
        </w:rPr>
        <w:t> </w:t>
      </w:r>
      <w:r>
        <w:rPr>
          <w:i/>
          <w:spacing w:val="-2"/>
          <w:w w:val="95"/>
          <w:sz w:val="22"/>
        </w:rPr>
        <w:t>that it provides adequate</w:t>
      </w:r>
      <w:r>
        <w:rPr>
          <w:i/>
          <w:spacing w:val="-5"/>
          <w:w w:val="95"/>
          <w:sz w:val="22"/>
        </w:rPr>
        <w:t> </w:t>
      </w:r>
      <w:r>
        <w:rPr>
          <w:i/>
          <w:spacing w:val="-2"/>
          <w:w w:val="95"/>
          <w:sz w:val="22"/>
        </w:rPr>
        <w:t>human</w:t>
      </w:r>
      <w:r>
        <w:rPr>
          <w:i/>
          <w:spacing w:val="-3"/>
          <w:w w:val="95"/>
          <w:sz w:val="22"/>
        </w:rPr>
        <w:t> </w:t>
      </w:r>
      <w:r>
        <w:rPr>
          <w:i/>
          <w:spacing w:val="-2"/>
          <w:w w:val="95"/>
          <w:sz w:val="22"/>
        </w:rPr>
        <w:t>resources </w:t>
      </w:r>
      <w:r>
        <w:rPr>
          <w:i/>
          <w:w w:val="95"/>
          <w:sz w:val="22"/>
        </w:rPr>
        <w:t>for</w:t>
      </w:r>
      <w:r>
        <w:rPr>
          <w:i/>
          <w:spacing w:val="-13"/>
          <w:w w:val="95"/>
          <w:sz w:val="22"/>
        </w:rPr>
        <w:t> </w:t>
      </w:r>
      <w:r>
        <w:rPr>
          <w:i/>
          <w:w w:val="95"/>
          <w:sz w:val="22"/>
        </w:rPr>
        <w:t>a</w:t>
      </w:r>
      <w:r>
        <w:rPr>
          <w:i/>
          <w:spacing w:val="-12"/>
          <w:w w:val="95"/>
          <w:sz w:val="22"/>
        </w:rPr>
        <w:t> </w:t>
      </w:r>
      <w:r>
        <w:rPr>
          <w:i/>
          <w:w w:val="95"/>
          <w:sz w:val="22"/>
        </w:rPr>
        <w:t>professional</w:t>
      </w:r>
      <w:r>
        <w:rPr>
          <w:i/>
          <w:spacing w:val="-12"/>
          <w:w w:val="95"/>
          <w:sz w:val="22"/>
        </w:rPr>
        <w:t> </w:t>
      </w:r>
      <w:r>
        <w:rPr>
          <w:i/>
          <w:w w:val="95"/>
          <w:sz w:val="22"/>
        </w:rPr>
        <w:t>degree</w:t>
      </w:r>
      <w:r>
        <w:rPr>
          <w:i/>
          <w:spacing w:val="-12"/>
          <w:w w:val="95"/>
          <w:sz w:val="22"/>
        </w:rPr>
        <w:t> </w:t>
      </w:r>
      <w:r>
        <w:rPr>
          <w:i/>
          <w:w w:val="95"/>
          <w:sz w:val="22"/>
        </w:rPr>
        <w:t>program</w:t>
      </w:r>
      <w:r>
        <w:rPr>
          <w:i/>
          <w:spacing w:val="-13"/>
          <w:w w:val="95"/>
          <w:sz w:val="22"/>
        </w:rPr>
        <w:t> </w:t>
      </w:r>
      <w:r>
        <w:rPr>
          <w:i/>
          <w:w w:val="95"/>
          <w:sz w:val="22"/>
        </w:rPr>
        <w:t>in</w:t>
      </w:r>
      <w:r>
        <w:rPr>
          <w:i/>
          <w:spacing w:val="-12"/>
          <w:w w:val="95"/>
          <w:sz w:val="22"/>
        </w:rPr>
        <w:t> </w:t>
      </w:r>
      <w:r>
        <w:rPr>
          <w:i/>
          <w:w w:val="95"/>
          <w:sz w:val="22"/>
        </w:rPr>
        <w:t>architecture,</w:t>
      </w:r>
      <w:r>
        <w:rPr>
          <w:i/>
          <w:spacing w:val="-12"/>
          <w:w w:val="95"/>
          <w:sz w:val="22"/>
        </w:rPr>
        <w:t> </w:t>
      </w:r>
      <w:r>
        <w:rPr>
          <w:i/>
          <w:w w:val="95"/>
          <w:sz w:val="22"/>
        </w:rPr>
        <w:t>including</w:t>
      </w:r>
      <w:r>
        <w:rPr>
          <w:i/>
          <w:spacing w:val="-12"/>
          <w:w w:val="95"/>
          <w:sz w:val="22"/>
        </w:rPr>
        <w:t> </w:t>
      </w:r>
      <w:r>
        <w:rPr>
          <w:i/>
          <w:w w:val="95"/>
          <w:sz w:val="22"/>
        </w:rPr>
        <w:t>a</w:t>
      </w:r>
      <w:r>
        <w:rPr>
          <w:i/>
          <w:spacing w:val="-13"/>
          <w:w w:val="95"/>
          <w:sz w:val="22"/>
        </w:rPr>
        <w:t> </w:t>
      </w:r>
      <w:r>
        <w:rPr>
          <w:i/>
          <w:w w:val="95"/>
          <w:sz w:val="22"/>
        </w:rPr>
        <w:t>sufficient</w:t>
      </w:r>
      <w:r>
        <w:rPr>
          <w:i/>
          <w:spacing w:val="-12"/>
          <w:w w:val="95"/>
          <w:sz w:val="22"/>
        </w:rPr>
        <w:t> </w:t>
      </w:r>
      <w:r>
        <w:rPr>
          <w:i/>
          <w:w w:val="95"/>
          <w:sz w:val="22"/>
        </w:rPr>
        <w:t>faculty</w:t>
      </w:r>
      <w:r>
        <w:rPr>
          <w:i/>
          <w:spacing w:val="-12"/>
          <w:w w:val="95"/>
          <w:sz w:val="22"/>
        </w:rPr>
        <w:t> </w:t>
      </w:r>
      <w:r>
        <w:rPr>
          <w:i/>
          <w:w w:val="95"/>
          <w:sz w:val="22"/>
        </w:rPr>
        <w:t>complement,</w:t>
      </w:r>
      <w:r>
        <w:rPr>
          <w:i/>
          <w:spacing w:val="-12"/>
          <w:w w:val="95"/>
          <w:sz w:val="22"/>
        </w:rPr>
        <w:t> </w:t>
      </w:r>
      <w:r>
        <w:rPr>
          <w:i/>
          <w:w w:val="95"/>
          <w:sz w:val="22"/>
        </w:rPr>
        <w:t>an administrative</w:t>
      </w:r>
      <w:r>
        <w:rPr>
          <w:i/>
          <w:spacing w:val="-13"/>
          <w:w w:val="95"/>
          <w:sz w:val="22"/>
        </w:rPr>
        <w:t> </w:t>
      </w:r>
      <w:r>
        <w:rPr>
          <w:i/>
          <w:w w:val="95"/>
          <w:sz w:val="22"/>
        </w:rPr>
        <w:t>head</w:t>
      </w:r>
      <w:r>
        <w:rPr>
          <w:i/>
          <w:spacing w:val="-12"/>
          <w:w w:val="95"/>
          <w:sz w:val="22"/>
        </w:rPr>
        <w:t> </w:t>
      </w:r>
      <w:r>
        <w:rPr>
          <w:i/>
          <w:w w:val="95"/>
          <w:sz w:val="22"/>
        </w:rPr>
        <w:t>with</w:t>
      </w:r>
      <w:r>
        <w:rPr>
          <w:i/>
          <w:spacing w:val="-12"/>
          <w:w w:val="95"/>
          <w:sz w:val="22"/>
        </w:rPr>
        <w:t> </w:t>
      </w:r>
      <w:r>
        <w:rPr>
          <w:i/>
          <w:w w:val="95"/>
          <w:sz w:val="22"/>
        </w:rPr>
        <w:t>enough</w:t>
      </w:r>
      <w:r>
        <w:rPr>
          <w:i/>
          <w:spacing w:val="-12"/>
          <w:w w:val="95"/>
          <w:sz w:val="22"/>
        </w:rPr>
        <w:t> </w:t>
      </w:r>
      <w:r>
        <w:rPr>
          <w:i/>
          <w:w w:val="95"/>
          <w:sz w:val="22"/>
        </w:rPr>
        <w:t>time</w:t>
      </w:r>
      <w:r>
        <w:rPr>
          <w:i/>
          <w:spacing w:val="-12"/>
          <w:w w:val="95"/>
          <w:sz w:val="22"/>
        </w:rPr>
        <w:t> </w:t>
      </w:r>
      <w:r>
        <w:rPr>
          <w:i/>
          <w:w w:val="95"/>
          <w:sz w:val="22"/>
        </w:rPr>
        <w:t>for</w:t>
      </w:r>
      <w:r>
        <w:rPr>
          <w:i/>
          <w:spacing w:val="-12"/>
          <w:w w:val="95"/>
          <w:sz w:val="22"/>
        </w:rPr>
        <w:t> </w:t>
      </w:r>
      <w:r>
        <w:rPr>
          <w:i/>
          <w:w w:val="95"/>
          <w:sz w:val="22"/>
        </w:rPr>
        <w:t>effective</w:t>
      </w:r>
      <w:r>
        <w:rPr>
          <w:i/>
          <w:spacing w:val="-11"/>
          <w:w w:val="95"/>
          <w:sz w:val="22"/>
        </w:rPr>
        <w:t> </w:t>
      </w:r>
      <w:r>
        <w:rPr>
          <w:i/>
          <w:w w:val="95"/>
          <w:sz w:val="22"/>
        </w:rPr>
        <w:t>administration,</w:t>
      </w:r>
      <w:r>
        <w:rPr>
          <w:i/>
          <w:spacing w:val="-11"/>
          <w:w w:val="95"/>
          <w:sz w:val="22"/>
        </w:rPr>
        <w:t> </w:t>
      </w:r>
      <w:r>
        <w:rPr>
          <w:i/>
          <w:w w:val="95"/>
          <w:sz w:val="22"/>
        </w:rPr>
        <w:t>and</w:t>
      </w:r>
      <w:r>
        <w:rPr>
          <w:i/>
          <w:spacing w:val="-12"/>
          <w:w w:val="95"/>
          <w:sz w:val="22"/>
        </w:rPr>
        <w:t> </w:t>
      </w:r>
      <w:r>
        <w:rPr>
          <w:i/>
          <w:w w:val="95"/>
          <w:sz w:val="22"/>
        </w:rPr>
        <w:t>adequate</w:t>
      </w:r>
      <w:r>
        <w:rPr>
          <w:i/>
          <w:spacing w:val="-13"/>
          <w:w w:val="95"/>
          <w:sz w:val="22"/>
        </w:rPr>
        <w:t> </w:t>
      </w:r>
      <w:r>
        <w:rPr>
          <w:i/>
          <w:w w:val="95"/>
          <w:sz w:val="22"/>
        </w:rPr>
        <w:t>administrative </w:t>
      </w:r>
      <w:r>
        <w:rPr>
          <w:i/>
          <w:w w:val="90"/>
          <w:sz w:val="22"/>
        </w:rPr>
        <w:t>technical, and faculty support staff.</w:t>
      </w:r>
      <w:r>
        <w:rPr>
          <w:i/>
          <w:spacing w:val="40"/>
          <w:sz w:val="22"/>
        </w:rPr>
        <w:t> </w:t>
      </w:r>
      <w:r>
        <w:rPr>
          <w:i/>
          <w:w w:val="90"/>
          <w:sz w:val="22"/>
        </w:rPr>
        <w:t>Student enrollment in and scheduling of design studios must </w:t>
      </w:r>
      <w:r>
        <w:rPr>
          <w:i/>
          <w:w w:val="95"/>
          <w:sz w:val="22"/>
        </w:rPr>
        <w:t>ensure</w:t>
      </w:r>
      <w:r>
        <w:rPr>
          <w:i/>
          <w:spacing w:val="-8"/>
          <w:w w:val="95"/>
          <w:sz w:val="22"/>
        </w:rPr>
        <w:t> </w:t>
      </w:r>
      <w:r>
        <w:rPr>
          <w:i/>
          <w:w w:val="95"/>
          <w:sz w:val="22"/>
        </w:rPr>
        <w:t>adequate</w:t>
      </w:r>
      <w:r>
        <w:rPr>
          <w:i/>
          <w:spacing w:val="-11"/>
          <w:w w:val="95"/>
          <w:sz w:val="22"/>
        </w:rPr>
        <w:t> </w:t>
      </w:r>
      <w:r>
        <w:rPr>
          <w:i/>
          <w:w w:val="95"/>
          <w:sz w:val="22"/>
        </w:rPr>
        <w:t>time</w:t>
      </w:r>
      <w:r>
        <w:rPr>
          <w:i/>
          <w:spacing w:val="-8"/>
          <w:w w:val="95"/>
          <w:sz w:val="22"/>
        </w:rPr>
        <w:t> </w:t>
      </w:r>
      <w:r>
        <w:rPr>
          <w:i/>
          <w:w w:val="95"/>
          <w:sz w:val="22"/>
        </w:rPr>
        <w:t>for</w:t>
      </w:r>
      <w:r>
        <w:rPr>
          <w:i/>
          <w:spacing w:val="-10"/>
          <w:w w:val="95"/>
          <w:sz w:val="22"/>
        </w:rPr>
        <w:t> </w:t>
      </w:r>
      <w:r>
        <w:rPr>
          <w:i/>
          <w:w w:val="95"/>
          <w:sz w:val="22"/>
        </w:rPr>
        <w:t>an</w:t>
      </w:r>
      <w:r>
        <w:rPr>
          <w:i/>
          <w:spacing w:val="-9"/>
          <w:w w:val="95"/>
          <w:sz w:val="22"/>
        </w:rPr>
        <w:t> </w:t>
      </w:r>
      <w:r>
        <w:rPr>
          <w:i/>
          <w:w w:val="95"/>
          <w:sz w:val="22"/>
        </w:rPr>
        <w:t>effective</w:t>
      </w:r>
      <w:r>
        <w:rPr>
          <w:i/>
          <w:spacing w:val="-10"/>
          <w:w w:val="95"/>
          <w:sz w:val="22"/>
        </w:rPr>
        <w:t> </w:t>
      </w:r>
      <w:r>
        <w:rPr>
          <w:i/>
          <w:w w:val="95"/>
          <w:sz w:val="22"/>
        </w:rPr>
        <w:t>tutorial</w:t>
      </w:r>
      <w:r>
        <w:rPr>
          <w:i/>
          <w:spacing w:val="-11"/>
          <w:w w:val="95"/>
          <w:sz w:val="22"/>
        </w:rPr>
        <w:t> </w:t>
      </w:r>
      <w:r>
        <w:rPr>
          <w:i/>
          <w:w w:val="95"/>
          <w:sz w:val="22"/>
        </w:rPr>
        <w:t>exchange</w:t>
      </w:r>
      <w:r>
        <w:rPr>
          <w:i/>
          <w:spacing w:val="-8"/>
          <w:w w:val="95"/>
          <w:sz w:val="22"/>
        </w:rPr>
        <w:t> </w:t>
      </w:r>
      <w:r>
        <w:rPr>
          <w:i/>
          <w:w w:val="95"/>
          <w:sz w:val="22"/>
        </w:rPr>
        <w:t>between</w:t>
      </w:r>
      <w:r>
        <w:rPr>
          <w:i/>
          <w:spacing w:val="-9"/>
          <w:w w:val="95"/>
          <w:sz w:val="22"/>
        </w:rPr>
        <w:t> </w:t>
      </w:r>
      <w:r>
        <w:rPr>
          <w:i/>
          <w:w w:val="95"/>
          <w:sz w:val="22"/>
        </w:rPr>
        <w:t>the</w:t>
      </w:r>
      <w:r>
        <w:rPr>
          <w:i/>
          <w:spacing w:val="-11"/>
          <w:w w:val="95"/>
          <w:sz w:val="22"/>
        </w:rPr>
        <w:t> </w:t>
      </w:r>
      <w:r>
        <w:rPr>
          <w:i/>
          <w:w w:val="95"/>
          <w:sz w:val="22"/>
        </w:rPr>
        <w:t>teacher</w:t>
      </w:r>
      <w:r>
        <w:rPr>
          <w:i/>
          <w:spacing w:val="-10"/>
          <w:w w:val="95"/>
          <w:sz w:val="22"/>
        </w:rPr>
        <w:t> </w:t>
      </w:r>
      <w:r>
        <w:rPr>
          <w:i/>
          <w:w w:val="95"/>
          <w:sz w:val="22"/>
        </w:rPr>
        <w:t>and</w:t>
      </w:r>
      <w:r>
        <w:rPr>
          <w:i/>
          <w:spacing w:val="-11"/>
          <w:w w:val="95"/>
          <w:sz w:val="22"/>
        </w:rPr>
        <w:t> </w:t>
      </w:r>
      <w:r>
        <w:rPr>
          <w:i/>
          <w:w w:val="95"/>
          <w:sz w:val="22"/>
        </w:rPr>
        <w:t>the</w:t>
      </w:r>
      <w:r>
        <w:rPr>
          <w:i/>
          <w:spacing w:val="-8"/>
          <w:w w:val="95"/>
          <w:sz w:val="22"/>
        </w:rPr>
        <w:t> </w:t>
      </w:r>
      <w:r>
        <w:rPr>
          <w:i/>
          <w:w w:val="95"/>
          <w:sz w:val="22"/>
        </w:rPr>
        <w:t>student.</w:t>
      </w:r>
    </w:p>
    <w:p>
      <w:pPr>
        <w:spacing w:line="254" w:lineRule="auto" w:before="1"/>
        <w:ind w:left="1159" w:right="642" w:firstLine="0"/>
        <w:jc w:val="left"/>
        <w:rPr>
          <w:sz w:val="22"/>
        </w:rPr>
      </w:pPr>
      <w:r>
        <w:rPr>
          <w:i/>
          <w:w w:val="90"/>
          <w:sz w:val="22"/>
        </w:rPr>
        <w:t>The total teaching load should allow faculty members adequate time to pursue research, </w:t>
      </w:r>
      <w:r>
        <w:rPr>
          <w:i/>
          <w:w w:val="95"/>
          <w:sz w:val="22"/>
        </w:rPr>
        <w:t>scholarship</w:t>
      </w:r>
      <w:r>
        <w:rPr>
          <w:i/>
          <w:spacing w:val="-13"/>
          <w:w w:val="95"/>
          <w:sz w:val="22"/>
        </w:rPr>
        <w:t> </w:t>
      </w:r>
      <w:r>
        <w:rPr>
          <w:i/>
          <w:w w:val="95"/>
          <w:sz w:val="22"/>
        </w:rPr>
        <w:t>and</w:t>
      </w:r>
      <w:r>
        <w:rPr>
          <w:i/>
          <w:spacing w:val="-12"/>
          <w:w w:val="95"/>
          <w:sz w:val="22"/>
        </w:rPr>
        <w:t> </w:t>
      </w:r>
      <w:r>
        <w:rPr>
          <w:i/>
          <w:w w:val="95"/>
          <w:sz w:val="22"/>
        </w:rPr>
        <w:t>practice</w:t>
      </w:r>
      <w:r>
        <w:rPr>
          <w:i/>
          <w:spacing w:val="-12"/>
          <w:w w:val="95"/>
          <w:sz w:val="22"/>
        </w:rPr>
        <w:t> </w:t>
      </w:r>
      <w:r>
        <w:rPr>
          <w:i/>
          <w:w w:val="95"/>
          <w:sz w:val="22"/>
        </w:rPr>
        <w:t>to</w:t>
      </w:r>
      <w:r>
        <w:rPr>
          <w:i/>
          <w:spacing w:val="-12"/>
          <w:w w:val="95"/>
          <w:sz w:val="22"/>
        </w:rPr>
        <w:t> </w:t>
      </w:r>
      <w:r>
        <w:rPr>
          <w:i/>
          <w:w w:val="95"/>
          <w:sz w:val="22"/>
        </w:rPr>
        <w:t>enhance</w:t>
      </w:r>
      <w:r>
        <w:rPr>
          <w:i/>
          <w:spacing w:val="-13"/>
          <w:w w:val="95"/>
          <w:sz w:val="22"/>
        </w:rPr>
        <w:t> </w:t>
      </w:r>
      <w:r>
        <w:rPr>
          <w:i/>
          <w:w w:val="95"/>
          <w:sz w:val="22"/>
        </w:rPr>
        <w:t>their</w:t>
      </w:r>
      <w:r>
        <w:rPr>
          <w:i/>
          <w:spacing w:val="-12"/>
          <w:w w:val="95"/>
          <w:sz w:val="22"/>
        </w:rPr>
        <w:t> </w:t>
      </w:r>
      <w:r>
        <w:rPr>
          <w:i/>
          <w:w w:val="95"/>
          <w:sz w:val="22"/>
        </w:rPr>
        <w:t>professional</w:t>
      </w:r>
      <w:r>
        <w:rPr>
          <w:i/>
          <w:spacing w:val="-12"/>
          <w:w w:val="95"/>
          <w:sz w:val="22"/>
        </w:rPr>
        <w:t> </w:t>
      </w:r>
      <w:r>
        <w:rPr>
          <w:i/>
          <w:w w:val="95"/>
          <w:sz w:val="22"/>
        </w:rPr>
        <w:t>development</w:t>
      </w:r>
      <w:r>
        <w:rPr>
          <w:w w:val="95"/>
          <w:sz w:val="22"/>
        </w:rPr>
        <w:t>.</w:t>
      </w:r>
    </w:p>
    <w:p>
      <w:pPr>
        <w:spacing w:before="198"/>
        <w:ind w:left="1160" w:right="0" w:firstLine="0"/>
        <w:jc w:val="left"/>
        <w:rPr>
          <w:b/>
          <w:sz w:val="20"/>
        </w:rPr>
      </w:pPr>
      <w:r>
        <w:rPr>
          <w:b/>
          <w:sz w:val="20"/>
        </w:rPr>
        <w:t>VTR</w:t>
      </w:r>
      <w:r>
        <w:rPr>
          <w:b/>
          <w:spacing w:val="-3"/>
          <w:sz w:val="20"/>
        </w:rPr>
        <w:t> </w:t>
      </w:r>
      <w:r>
        <w:rPr>
          <w:b/>
          <w:spacing w:val="-2"/>
          <w:sz w:val="20"/>
        </w:rPr>
        <w:t>Comments:</w:t>
      </w:r>
    </w:p>
    <w:p>
      <w:pPr>
        <w:pStyle w:val="BodyText"/>
        <w:spacing w:before="6"/>
        <w:rPr>
          <w:b/>
          <w:sz w:val="18"/>
        </w:rPr>
      </w:pPr>
    </w:p>
    <w:p>
      <w:pPr>
        <w:pStyle w:val="ListParagraph"/>
        <w:numPr>
          <w:ilvl w:val="0"/>
          <w:numId w:val="40"/>
        </w:numPr>
        <w:tabs>
          <w:tab w:pos="1951" w:val="left" w:leader="none"/>
          <w:tab w:pos="1953" w:val="left" w:leader="none"/>
        </w:tabs>
        <w:spacing w:line="240" w:lineRule="auto" w:before="1" w:after="0"/>
        <w:ind w:left="1952" w:right="642" w:hanging="360"/>
        <w:jc w:val="left"/>
        <w:rPr>
          <w:sz w:val="20"/>
        </w:rPr>
      </w:pPr>
      <w:r>
        <w:rPr>
          <w:sz w:val="20"/>
        </w:rPr>
        <w:t>The Architecture program is at or near its limits in terms of the faculty’s ability to deliver comprehensive</w:t>
      </w:r>
      <w:r>
        <w:rPr>
          <w:spacing w:val="-3"/>
          <w:sz w:val="20"/>
        </w:rPr>
        <w:t> </w:t>
      </w:r>
      <w:r>
        <w:rPr>
          <w:sz w:val="20"/>
        </w:rPr>
        <w:t>instruction</w:t>
      </w:r>
      <w:r>
        <w:rPr>
          <w:spacing w:val="-5"/>
          <w:sz w:val="20"/>
        </w:rPr>
        <w:t> </w:t>
      </w:r>
      <w:r>
        <w:rPr>
          <w:sz w:val="20"/>
        </w:rPr>
        <w:t>related</w:t>
      </w:r>
      <w:r>
        <w:rPr>
          <w:spacing w:val="-5"/>
          <w:sz w:val="20"/>
        </w:rPr>
        <w:t> </w:t>
      </w:r>
      <w:r>
        <w:rPr>
          <w:sz w:val="20"/>
        </w:rPr>
        <w:t>to</w:t>
      </w:r>
      <w:r>
        <w:rPr>
          <w:spacing w:val="-5"/>
          <w:sz w:val="20"/>
        </w:rPr>
        <w:t> </w:t>
      </w:r>
      <w:r>
        <w:rPr>
          <w:sz w:val="20"/>
        </w:rPr>
        <w:t>a</w:t>
      </w:r>
      <w:r>
        <w:rPr>
          <w:spacing w:val="-3"/>
          <w:sz w:val="20"/>
        </w:rPr>
        <w:t> </w:t>
      </w:r>
      <w:r>
        <w:rPr>
          <w:sz w:val="20"/>
        </w:rPr>
        <w:t>Master</w:t>
      </w:r>
      <w:r>
        <w:rPr>
          <w:spacing w:val="-2"/>
          <w:sz w:val="20"/>
        </w:rPr>
        <w:t> </w:t>
      </w:r>
      <w:r>
        <w:rPr>
          <w:sz w:val="20"/>
        </w:rPr>
        <w:t>of</w:t>
      </w:r>
      <w:r>
        <w:rPr>
          <w:spacing w:val="-3"/>
          <w:sz w:val="20"/>
        </w:rPr>
        <w:t> </w:t>
      </w:r>
      <w:r>
        <w:rPr>
          <w:sz w:val="20"/>
        </w:rPr>
        <w:t>Architecture</w:t>
      </w:r>
      <w:r>
        <w:rPr>
          <w:spacing w:val="-5"/>
          <w:sz w:val="20"/>
        </w:rPr>
        <w:t> </w:t>
      </w:r>
      <w:r>
        <w:rPr>
          <w:sz w:val="20"/>
        </w:rPr>
        <w:t>degree.</w:t>
      </w:r>
      <w:r>
        <w:rPr>
          <w:spacing w:val="40"/>
          <w:sz w:val="20"/>
        </w:rPr>
        <w:t> </w:t>
      </w:r>
      <w:r>
        <w:rPr>
          <w:sz w:val="20"/>
        </w:rPr>
        <w:t>It</w:t>
      </w:r>
      <w:r>
        <w:rPr>
          <w:spacing w:val="-3"/>
          <w:sz w:val="20"/>
        </w:rPr>
        <w:t> </w:t>
      </w:r>
      <w:r>
        <w:rPr>
          <w:sz w:val="20"/>
        </w:rPr>
        <w:t>is</w:t>
      </w:r>
      <w:r>
        <w:rPr>
          <w:spacing w:val="-4"/>
          <w:sz w:val="20"/>
        </w:rPr>
        <w:t> </w:t>
      </w:r>
      <w:r>
        <w:rPr>
          <w:sz w:val="20"/>
        </w:rPr>
        <w:t>important</w:t>
      </w:r>
      <w:r>
        <w:rPr>
          <w:spacing w:val="-5"/>
          <w:sz w:val="20"/>
        </w:rPr>
        <w:t> </w:t>
      </w:r>
      <w:r>
        <w:rPr>
          <w:sz w:val="20"/>
        </w:rPr>
        <w:t>that measures</w:t>
      </w:r>
      <w:r>
        <w:rPr>
          <w:spacing w:val="-2"/>
          <w:sz w:val="20"/>
        </w:rPr>
        <w:t> </w:t>
      </w:r>
      <w:r>
        <w:rPr>
          <w:sz w:val="20"/>
        </w:rPr>
        <w:t>are</w:t>
      </w:r>
      <w:r>
        <w:rPr>
          <w:spacing w:val="-3"/>
          <w:sz w:val="20"/>
        </w:rPr>
        <w:t> </w:t>
      </w:r>
      <w:r>
        <w:rPr>
          <w:sz w:val="20"/>
        </w:rPr>
        <w:t>firmly</w:t>
      </w:r>
      <w:r>
        <w:rPr>
          <w:spacing w:val="-9"/>
          <w:sz w:val="20"/>
        </w:rPr>
        <w:t> </w:t>
      </w:r>
      <w:r>
        <w:rPr>
          <w:sz w:val="20"/>
        </w:rPr>
        <w:t>in</w:t>
      </w:r>
      <w:r>
        <w:rPr>
          <w:spacing w:val="-3"/>
          <w:sz w:val="20"/>
        </w:rPr>
        <w:t> </w:t>
      </w:r>
      <w:r>
        <w:rPr>
          <w:sz w:val="20"/>
        </w:rPr>
        <w:t>place</w:t>
      </w:r>
      <w:r>
        <w:rPr>
          <w:spacing w:val="-3"/>
          <w:sz w:val="20"/>
        </w:rPr>
        <w:t> </w:t>
      </w:r>
      <w:r>
        <w:rPr>
          <w:sz w:val="20"/>
        </w:rPr>
        <w:t>to</w:t>
      </w:r>
      <w:r>
        <w:rPr>
          <w:spacing w:val="-3"/>
          <w:sz w:val="20"/>
        </w:rPr>
        <w:t> </w:t>
      </w:r>
      <w:r>
        <w:rPr>
          <w:sz w:val="20"/>
        </w:rPr>
        <w:t>maximize</w:t>
      </w:r>
      <w:r>
        <w:rPr>
          <w:spacing w:val="-3"/>
          <w:sz w:val="20"/>
        </w:rPr>
        <w:t> </w:t>
      </w:r>
      <w:r>
        <w:rPr>
          <w:sz w:val="20"/>
        </w:rPr>
        <w:t>the</w:t>
      </w:r>
      <w:r>
        <w:rPr>
          <w:spacing w:val="-1"/>
          <w:sz w:val="20"/>
        </w:rPr>
        <w:t> </w:t>
      </w:r>
      <w:r>
        <w:rPr>
          <w:sz w:val="20"/>
        </w:rPr>
        <w:t>potential</w:t>
      </w:r>
      <w:r>
        <w:rPr>
          <w:spacing w:val="-1"/>
          <w:sz w:val="20"/>
        </w:rPr>
        <w:t> </w:t>
      </w:r>
      <w:r>
        <w:rPr>
          <w:sz w:val="20"/>
        </w:rPr>
        <w:t>for</w:t>
      </w:r>
      <w:r>
        <w:rPr>
          <w:spacing w:val="-2"/>
          <w:sz w:val="20"/>
        </w:rPr>
        <w:t> </w:t>
      </w:r>
      <w:r>
        <w:rPr>
          <w:sz w:val="20"/>
        </w:rPr>
        <w:t>the</w:t>
      </w:r>
      <w:r>
        <w:rPr>
          <w:spacing w:val="-3"/>
          <w:sz w:val="20"/>
        </w:rPr>
        <w:t> </w:t>
      </w:r>
      <w:r>
        <w:rPr>
          <w:sz w:val="20"/>
        </w:rPr>
        <w:t>faculty</w:t>
      </w:r>
      <w:r>
        <w:rPr>
          <w:spacing w:val="-4"/>
          <w:sz w:val="20"/>
        </w:rPr>
        <w:t> </w:t>
      </w:r>
      <w:r>
        <w:rPr>
          <w:sz w:val="20"/>
        </w:rPr>
        <w:t>and</w:t>
      </w:r>
      <w:r>
        <w:rPr>
          <w:spacing w:val="-1"/>
          <w:sz w:val="20"/>
        </w:rPr>
        <w:t> </w:t>
      </w:r>
      <w:r>
        <w:rPr>
          <w:sz w:val="20"/>
        </w:rPr>
        <w:t>staff</w:t>
      </w:r>
      <w:r>
        <w:rPr>
          <w:spacing w:val="-1"/>
          <w:sz w:val="20"/>
        </w:rPr>
        <w:t> </w:t>
      </w:r>
      <w:r>
        <w:rPr>
          <w:sz w:val="20"/>
        </w:rPr>
        <w:t>to</w:t>
      </w:r>
      <w:r>
        <w:rPr>
          <w:spacing w:val="-3"/>
          <w:sz w:val="20"/>
        </w:rPr>
        <w:t> </w:t>
      </w:r>
      <w:r>
        <w:rPr>
          <w:sz w:val="20"/>
        </w:rPr>
        <w:t>thrive</w:t>
      </w:r>
      <w:r>
        <w:rPr>
          <w:spacing w:val="-3"/>
          <w:sz w:val="20"/>
        </w:rPr>
        <w:t> </w:t>
      </w:r>
      <w:r>
        <w:rPr>
          <w:sz w:val="20"/>
        </w:rPr>
        <w:t>in their respective roles, minimize the possibility of disruption due to lack of human resources, and reinforce continuity in the program.</w:t>
      </w:r>
      <w:r>
        <w:rPr>
          <w:spacing w:val="40"/>
          <w:sz w:val="20"/>
        </w:rPr>
        <w:t> </w:t>
      </w:r>
      <w:r>
        <w:rPr>
          <w:sz w:val="20"/>
        </w:rPr>
        <w:t>Significant attention should be immediately paid to increasing the faculty staff to meet the demands of a Master’s offering and providing methods of faculty engagement that enhance the potential for </w:t>
      </w:r>
      <w:r>
        <w:rPr>
          <w:spacing w:val="-2"/>
          <w:sz w:val="20"/>
        </w:rPr>
        <w:t>retention.</w:t>
      </w:r>
    </w:p>
    <w:p>
      <w:pPr>
        <w:pStyle w:val="BodyText"/>
        <w:spacing w:before="7"/>
        <w:rPr>
          <w:sz w:val="17"/>
        </w:rPr>
      </w:pPr>
    </w:p>
    <w:p>
      <w:pPr>
        <w:pStyle w:val="BodyText"/>
        <w:ind w:left="1952" w:right="632"/>
      </w:pPr>
      <w:r>
        <w:rPr/>
        <w:t>The sequential design studio curriculum forms the central focus of a professional architectural degree program, culminating in this case with a research-based terminal project.</w:t>
      </w:r>
      <w:r>
        <w:rPr>
          <w:spacing w:val="40"/>
        </w:rPr>
        <w:t> </w:t>
      </w:r>
      <w:r>
        <w:rPr/>
        <w:t>Due to increased class loads, particularly with regard to design studios, several of the faculty is required to lead multiple design studios in addition to fulfilling their other assignments, responsibilities, and aspirations.</w:t>
      </w:r>
      <w:r>
        <w:rPr>
          <w:spacing w:val="40"/>
        </w:rPr>
        <w:t> </w:t>
      </w:r>
      <w:r>
        <w:rPr/>
        <w:t>This condition places a significant stress on</w:t>
      </w:r>
      <w:r>
        <w:rPr>
          <w:spacing w:val="-4"/>
        </w:rPr>
        <w:t> </w:t>
      </w:r>
      <w:r>
        <w:rPr/>
        <w:t>the</w:t>
      </w:r>
      <w:r>
        <w:rPr>
          <w:spacing w:val="-4"/>
        </w:rPr>
        <w:t> </w:t>
      </w:r>
      <w:r>
        <w:rPr/>
        <w:t>faculty</w:t>
      </w:r>
      <w:r>
        <w:rPr>
          <w:spacing w:val="-7"/>
        </w:rPr>
        <w:t> </w:t>
      </w:r>
      <w:r>
        <w:rPr/>
        <w:t>and</w:t>
      </w:r>
      <w:r>
        <w:rPr>
          <w:spacing w:val="-4"/>
        </w:rPr>
        <w:t> </w:t>
      </w:r>
      <w:r>
        <w:rPr/>
        <w:t>has</w:t>
      </w:r>
      <w:r>
        <w:rPr>
          <w:spacing w:val="-3"/>
        </w:rPr>
        <w:t> </w:t>
      </w:r>
      <w:r>
        <w:rPr/>
        <w:t>the potential</w:t>
      </w:r>
      <w:r>
        <w:rPr>
          <w:spacing w:val="-5"/>
        </w:rPr>
        <w:t> </w:t>
      </w:r>
      <w:r>
        <w:rPr/>
        <w:t>to</w:t>
      </w:r>
      <w:r>
        <w:rPr>
          <w:spacing w:val="-4"/>
        </w:rPr>
        <w:t> </w:t>
      </w:r>
      <w:r>
        <w:rPr/>
        <w:t>compromise</w:t>
      </w:r>
      <w:r>
        <w:rPr>
          <w:spacing w:val="-4"/>
        </w:rPr>
        <w:t> </w:t>
      </w:r>
      <w:r>
        <w:rPr/>
        <w:t>the</w:t>
      </w:r>
      <w:r>
        <w:rPr>
          <w:spacing w:val="-4"/>
        </w:rPr>
        <w:t> </w:t>
      </w:r>
      <w:r>
        <w:rPr/>
        <w:t>quality</w:t>
      </w:r>
      <w:r>
        <w:rPr>
          <w:spacing w:val="-5"/>
        </w:rPr>
        <w:t> </w:t>
      </w:r>
      <w:r>
        <w:rPr/>
        <w:t>of</w:t>
      </w:r>
      <w:r>
        <w:rPr>
          <w:spacing w:val="-2"/>
        </w:rPr>
        <w:t> </w:t>
      </w:r>
      <w:r>
        <w:rPr/>
        <w:t>the</w:t>
      </w:r>
      <w:r>
        <w:rPr>
          <w:spacing w:val="-2"/>
        </w:rPr>
        <w:t> </w:t>
      </w:r>
      <w:r>
        <w:rPr/>
        <w:t>education</w:t>
      </w:r>
      <w:r>
        <w:rPr>
          <w:spacing w:val="-4"/>
        </w:rPr>
        <w:t> </w:t>
      </w:r>
      <w:r>
        <w:rPr/>
        <w:t>delivered.</w:t>
      </w:r>
    </w:p>
    <w:p>
      <w:pPr>
        <w:pStyle w:val="BodyText"/>
        <w:spacing w:before="4"/>
        <w:rPr>
          <w:sz w:val="17"/>
        </w:rPr>
      </w:pPr>
    </w:p>
    <w:p>
      <w:pPr>
        <w:pStyle w:val="BodyText"/>
        <w:spacing w:before="1"/>
        <w:ind w:left="1952" w:right="712"/>
      </w:pPr>
      <w:r>
        <w:rPr/>
        <w:t>The</w:t>
      </w:r>
      <w:r>
        <w:rPr>
          <w:spacing w:val="-4"/>
        </w:rPr>
        <w:t> </w:t>
      </w:r>
      <w:r>
        <w:rPr/>
        <w:t>program is</w:t>
      </w:r>
      <w:r>
        <w:rPr>
          <w:spacing w:val="-3"/>
        </w:rPr>
        <w:t> </w:t>
      </w:r>
      <w:r>
        <w:rPr/>
        <w:t>at</w:t>
      </w:r>
      <w:r>
        <w:rPr>
          <w:spacing w:val="-4"/>
        </w:rPr>
        <w:t> </w:t>
      </w:r>
      <w:r>
        <w:rPr/>
        <w:t>or</w:t>
      </w:r>
      <w:r>
        <w:rPr>
          <w:spacing w:val="-3"/>
        </w:rPr>
        <w:t> </w:t>
      </w:r>
      <w:r>
        <w:rPr/>
        <w:t>very</w:t>
      </w:r>
      <w:r>
        <w:rPr>
          <w:spacing w:val="-7"/>
        </w:rPr>
        <w:t> </w:t>
      </w:r>
      <w:r>
        <w:rPr/>
        <w:t>near</w:t>
      </w:r>
      <w:r>
        <w:rPr>
          <w:spacing w:val="-3"/>
        </w:rPr>
        <w:t> </w:t>
      </w:r>
      <w:r>
        <w:rPr/>
        <w:t>in</w:t>
      </w:r>
      <w:r>
        <w:rPr>
          <w:spacing w:val="-2"/>
        </w:rPr>
        <w:t> </w:t>
      </w:r>
      <w:r>
        <w:rPr/>
        <w:t>terms</w:t>
      </w:r>
      <w:r>
        <w:rPr>
          <w:spacing w:val="-3"/>
        </w:rPr>
        <w:t> </w:t>
      </w:r>
      <w:r>
        <w:rPr/>
        <w:t>of</w:t>
      </w:r>
      <w:r>
        <w:rPr>
          <w:spacing w:val="-2"/>
        </w:rPr>
        <w:t> </w:t>
      </w:r>
      <w:r>
        <w:rPr/>
        <w:t>the</w:t>
      </w:r>
      <w:r>
        <w:rPr>
          <w:spacing w:val="-4"/>
        </w:rPr>
        <w:t> </w:t>
      </w:r>
      <w:r>
        <w:rPr/>
        <w:t>faculty’s ability</w:t>
      </w:r>
      <w:r>
        <w:rPr>
          <w:spacing w:val="-7"/>
        </w:rPr>
        <w:t> </w:t>
      </w:r>
      <w:r>
        <w:rPr/>
        <w:t>to</w:t>
      </w:r>
      <w:r>
        <w:rPr>
          <w:spacing w:val="-4"/>
        </w:rPr>
        <w:t> </w:t>
      </w:r>
      <w:r>
        <w:rPr/>
        <w:t>deliver</w:t>
      </w:r>
      <w:r>
        <w:rPr>
          <w:spacing w:val="-3"/>
        </w:rPr>
        <w:t> </w:t>
      </w:r>
      <w:r>
        <w:rPr/>
        <w:t>comprehensive instruction.</w:t>
      </w:r>
      <w:r>
        <w:rPr>
          <w:spacing w:val="40"/>
        </w:rPr>
        <w:t> </w:t>
      </w:r>
      <w:r>
        <w:rPr/>
        <w:t>Action should be taken immediately to increase tenure-track faculty </w:t>
      </w:r>
      <w:r>
        <w:rPr>
          <w:spacing w:val="-2"/>
        </w:rPr>
        <w:t>positions.</w:t>
      </w:r>
    </w:p>
    <w:p>
      <w:pPr>
        <w:pStyle w:val="BodyText"/>
        <w:spacing w:before="2"/>
        <w:rPr>
          <w:sz w:val="17"/>
        </w:rPr>
      </w:pPr>
    </w:p>
    <w:p>
      <w:pPr>
        <w:spacing w:before="0"/>
        <w:ind w:left="1159" w:right="0" w:firstLine="0"/>
        <w:jc w:val="left"/>
        <w:rPr>
          <w:b/>
          <w:sz w:val="20"/>
        </w:rPr>
      </w:pPr>
      <w:r>
        <w:rPr>
          <w:b/>
          <w:sz w:val="20"/>
        </w:rPr>
        <w:t>Program</w:t>
      </w:r>
      <w:r>
        <w:rPr>
          <w:b/>
          <w:spacing w:val="-8"/>
          <w:sz w:val="20"/>
        </w:rPr>
        <w:t> </w:t>
      </w:r>
      <w:r>
        <w:rPr>
          <w:b/>
          <w:sz w:val="20"/>
        </w:rPr>
        <w:t>Response</w:t>
      </w:r>
      <w:r>
        <w:rPr>
          <w:b/>
          <w:spacing w:val="-7"/>
          <w:sz w:val="20"/>
        </w:rPr>
        <w:t> </w:t>
      </w:r>
      <w:r>
        <w:rPr>
          <w:b/>
          <w:sz w:val="20"/>
        </w:rPr>
        <w:t>Since</w:t>
      </w:r>
      <w:r>
        <w:rPr>
          <w:b/>
          <w:spacing w:val="-7"/>
          <w:sz w:val="20"/>
        </w:rPr>
        <w:t> </w:t>
      </w:r>
      <w:r>
        <w:rPr>
          <w:b/>
          <w:sz w:val="20"/>
        </w:rPr>
        <w:t>Last</w:t>
      </w:r>
      <w:r>
        <w:rPr>
          <w:b/>
          <w:spacing w:val="-8"/>
          <w:sz w:val="20"/>
        </w:rPr>
        <w:t> </w:t>
      </w:r>
      <w:r>
        <w:rPr>
          <w:b/>
          <w:spacing w:val="-2"/>
          <w:sz w:val="20"/>
        </w:rPr>
        <w:t>Visit:</w:t>
      </w:r>
    </w:p>
    <w:p>
      <w:pPr>
        <w:pStyle w:val="BodyText"/>
        <w:spacing w:before="7"/>
        <w:rPr>
          <w:b/>
          <w:sz w:val="18"/>
        </w:rPr>
      </w:pPr>
    </w:p>
    <w:p>
      <w:pPr>
        <w:pStyle w:val="ListParagraph"/>
        <w:numPr>
          <w:ilvl w:val="0"/>
          <w:numId w:val="40"/>
        </w:numPr>
        <w:tabs>
          <w:tab w:pos="1951" w:val="left" w:leader="none"/>
          <w:tab w:pos="1953" w:val="left" w:leader="none"/>
        </w:tabs>
        <w:spacing w:line="240" w:lineRule="auto" w:before="0" w:after="0"/>
        <w:ind w:left="1951" w:right="679" w:hanging="360"/>
        <w:jc w:val="left"/>
        <w:rPr>
          <w:sz w:val="20"/>
        </w:rPr>
      </w:pPr>
      <w:r>
        <w:rPr>
          <w:sz w:val="20"/>
        </w:rPr>
        <w:t>2010 Response:</w:t>
      </w:r>
      <w:r>
        <w:rPr>
          <w:spacing w:val="40"/>
          <w:sz w:val="20"/>
        </w:rPr>
        <w:t> </w:t>
      </w:r>
      <w:r>
        <w:rPr>
          <w:sz w:val="20"/>
        </w:rPr>
        <w:t>Our program was cited for having too few</w:t>
      </w:r>
      <w:r>
        <w:rPr>
          <w:spacing w:val="-2"/>
          <w:sz w:val="20"/>
        </w:rPr>
        <w:t> </w:t>
      </w:r>
      <w:r>
        <w:rPr>
          <w:sz w:val="20"/>
        </w:rPr>
        <w:t>FTE’s to support the size of our student body. At the time of the visit, our program had 192 students. This student population was uncommon for our program, which had averaged 175-180 in the previous years. The 2009-2010 academic year saw the number increase to 193. We have determined that the larger population is unsustainable, because neither our physical nor human resources support that level. Some factors that contributed to the larger population include a temporary influx of students from another institution as a result of that program’s accreditation status. Those students have graduated and our program is back to a more manageable level of 180. In response to the variation, the University has eliminated one part-time faculty position and replaced it with a full-time position. Additionally, one of our faculty members was serving as an assistant to the Dean of the School of Engineering and Technology, resulting in a 25% release time. That assignment has been eliminated and the University has provided support for the addition of an Assistant Dean’s position that will not adversely impact the Department’s FTE’s.</w:t>
      </w:r>
      <w:r>
        <w:rPr>
          <w:spacing w:val="-1"/>
          <w:sz w:val="20"/>
        </w:rPr>
        <w:t> </w:t>
      </w:r>
      <w:r>
        <w:rPr>
          <w:sz w:val="20"/>
        </w:rPr>
        <w:t>The</w:t>
      </w:r>
      <w:r>
        <w:rPr>
          <w:spacing w:val="-1"/>
          <w:sz w:val="20"/>
        </w:rPr>
        <w:t> </w:t>
      </w:r>
      <w:r>
        <w:rPr>
          <w:sz w:val="20"/>
        </w:rPr>
        <w:t>result</w:t>
      </w:r>
      <w:r>
        <w:rPr>
          <w:spacing w:val="-1"/>
          <w:sz w:val="20"/>
        </w:rPr>
        <w:t> </w:t>
      </w:r>
      <w:r>
        <w:rPr>
          <w:sz w:val="20"/>
        </w:rPr>
        <w:t>of these actions has increased our full-time</w:t>
      </w:r>
      <w:r>
        <w:rPr>
          <w:spacing w:val="-1"/>
          <w:sz w:val="20"/>
        </w:rPr>
        <w:t> </w:t>
      </w:r>
      <w:r>
        <w:rPr>
          <w:sz w:val="20"/>
        </w:rPr>
        <w:t>FTE’s from 8</w:t>
      </w:r>
      <w:r>
        <w:rPr>
          <w:spacing w:val="-1"/>
          <w:sz w:val="20"/>
        </w:rPr>
        <w:t> </w:t>
      </w:r>
      <w:r>
        <w:rPr>
          <w:sz w:val="20"/>
        </w:rPr>
        <w:t>to</w:t>
      </w:r>
      <w:r>
        <w:rPr>
          <w:spacing w:val="-1"/>
          <w:sz w:val="20"/>
        </w:rPr>
        <w:t> </w:t>
      </w:r>
      <w:r>
        <w:rPr>
          <w:sz w:val="20"/>
        </w:rPr>
        <w:t>8.75.</w:t>
      </w:r>
      <w:r>
        <w:rPr>
          <w:spacing w:val="-1"/>
          <w:sz w:val="20"/>
        </w:rPr>
        <w:t> </w:t>
      </w:r>
      <w:r>
        <w:rPr>
          <w:sz w:val="20"/>
        </w:rPr>
        <w:t>This has resulted in a drop in our student-to-faculty ratio from 1:24 to 1:20. Additionally, the University has indicated that it will support any additional adjunct positions that are necessary to meet the needs of our program (we currently have 3 adjunct professors, the</w:t>
      </w:r>
      <w:r>
        <w:rPr>
          <w:spacing w:val="-4"/>
          <w:sz w:val="20"/>
        </w:rPr>
        <w:t> </w:t>
      </w:r>
      <w:r>
        <w:rPr>
          <w:sz w:val="20"/>
        </w:rPr>
        <w:t>same</w:t>
      </w:r>
      <w:r>
        <w:rPr>
          <w:spacing w:val="-4"/>
          <w:sz w:val="20"/>
        </w:rPr>
        <w:t> </w:t>
      </w:r>
      <w:r>
        <w:rPr>
          <w:sz w:val="20"/>
        </w:rPr>
        <w:t>as</w:t>
      </w:r>
      <w:r>
        <w:rPr>
          <w:spacing w:val="-3"/>
          <w:sz w:val="20"/>
        </w:rPr>
        <w:t> </w:t>
      </w:r>
      <w:r>
        <w:rPr>
          <w:sz w:val="20"/>
        </w:rPr>
        <w:t>at</w:t>
      </w:r>
      <w:r>
        <w:rPr>
          <w:spacing w:val="-4"/>
          <w:sz w:val="20"/>
        </w:rPr>
        <w:t> </w:t>
      </w:r>
      <w:r>
        <w:rPr>
          <w:sz w:val="20"/>
        </w:rPr>
        <w:t>the</w:t>
      </w:r>
      <w:r>
        <w:rPr>
          <w:spacing w:val="-4"/>
          <w:sz w:val="20"/>
        </w:rPr>
        <w:t> </w:t>
      </w:r>
      <w:r>
        <w:rPr>
          <w:sz w:val="20"/>
        </w:rPr>
        <w:t>time</w:t>
      </w:r>
      <w:r>
        <w:rPr>
          <w:spacing w:val="-4"/>
          <w:sz w:val="20"/>
        </w:rPr>
        <w:t> </w:t>
      </w:r>
      <w:r>
        <w:rPr>
          <w:sz w:val="20"/>
        </w:rPr>
        <w:t>of</w:t>
      </w:r>
      <w:r>
        <w:rPr>
          <w:spacing w:val="-2"/>
          <w:sz w:val="20"/>
        </w:rPr>
        <w:t> </w:t>
      </w:r>
      <w:r>
        <w:rPr>
          <w:sz w:val="20"/>
        </w:rPr>
        <w:t>the</w:t>
      </w:r>
      <w:r>
        <w:rPr>
          <w:spacing w:val="-4"/>
          <w:sz w:val="20"/>
        </w:rPr>
        <w:t> </w:t>
      </w:r>
      <w:r>
        <w:rPr>
          <w:sz w:val="20"/>
        </w:rPr>
        <w:t>Team Visit).</w:t>
      </w:r>
      <w:r>
        <w:rPr>
          <w:spacing w:val="-4"/>
          <w:sz w:val="20"/>
        </w:rPr>
        <w:t> </w:t>
      </w:r>
      <w:r>
        <w:rPr>
          <w:sz w:val="20"/>
        </w:rPr>
        <w:t>It</w:t>
      </w:r>
      <w:r>
        <w:rPr>
          <w:spacing w:val="-4"/>
          <w:sz w:val="20"/>
        </w:rPr>
        <w:t> </w:t>
      </w:r>
      <w:r>
        <w:rPr>
          <w:sz w:val="20"/>
        </w:rPr>
        <w:t>should</w:t>
      </w:r>
      <w:r>
        <w:rPr>
          <w:spacing w:val="-4"/>
          <w:sz w:val="20"/>
        </w:rPr>
        <w:t> </w:t>
      </w:r>
      <w:r>
        <w:rPr>
          <w:sz w:val="20"/>
        </w:rPr>
        <w:t>be</w:t>
      </w:r>
      <w:r>
        <w:rPr>
          <w:spacing w:val="-2"/>
          <w:sz w:val="20"/>
        </w:rPr>
        <w:t> </w:t>
      </w:r>
      <w:r>
        <w:rPr>
          <w:sz w:val="20"/>
        </w:rPr>
        <w:t>noted</w:t>
      </w:r>
      <w:r>
        <w:rPr>
          <w:spacing w:val="-4"/>
          <w:sz w:val="20"/>
        </w:rPr>
        <w:t> </w:t>
      </w:r>
      <w:r>
        <w:rPr>
          <w:sz w:val="20"/>
        </w:rPr>
        <w:t>that</w:t>
      </w:r>
      <w:r>
        <w:rPr>
          <w:spacing w:val="-4"/>
          <w:sz w:val="20"/>
        </w:rPr>
        <w:t> </w:t>
      </w:r>
      <w:r>
        <w:rPr>
          <w:sz w:val="20"/>
        </w:rPr>
        <w:t>Hampton</w:t>
      </w:r>
      <w:r>
        <w:rPr>
          <w:spacing w:val="-4"/>
          <w:sz w:val="20"/>
        </w:rPr>
        <w:t> </w:t>
      </w:r>
      <w:r>
        <w:rPr>
          <w:sz w:val="20"/>
        </w:rPr>
        <w:t>University</w:t>
      </w:r>
      <w:r>
        <w:rPr>
          <w:spacing w:val="-4"/>
          <w:sz w:val="20"/>
        </w:rPr>
        <w:t> </w:t>
      </w:r>
      <w:r>
        <w:rPr>
          <w:sz w:val="20"/>
        </w:rPr>
        <w:t>is a private, tuition/endowment funded institution. As is typical of most similar institutions, our endowment has been affected by the severe economic trends. However, the</w:t>
      </w:r>
    </w:p>
    <w:p>
      <w:pPr>
        <w:spacing w:after="0" w:line="240" w:lineRule="auto"/>
        <w:jc w:val="left"/>
        <w:rPr>
          <w:sz w:val="20"/>
        </w:rPr>
        <w:sectPr>
          <w:headerReference w:type="default" r:id="rId145"/>
          <w:footerReference w:type="default" r:id="rId146"/>
          <w:pgSz w:w="12240" w:h="15840"/>
          <w:pgMar w:header="0" w:footer="974" w:top="1360" w:bottom="1160" w:left="1000" w:right="820"/>
        </w:sectPr>
      </w:pPr>
    </w:p>
    <w:p>
      <w:pPr>
        <w:pStyle w:val="BodyText"/>
        <w:spacing w:before="77"/>
        <w:ind w:left="1952" w:right="712"/>
      </w:pPr>
      <w:r>
        <w:rPr/>
        <w:t>University</w:t>
      </w:r>
      <w:r>
        <w:rPr>
          <w:spacing w:val="-7"/>
        </w:rPr>
        <w:t> </w:t>
      </w:r>
      <w:r>
        <w:rPr/>
        <w:t>has</w:t>
      </w:r>
      <w:r>
        <w:rPr>
          <w:spacing w:val="-3"/>
        </w:rPr>
        <w:t> </w:t>
      </w:r>
      <w:r>
        <w:rPr/>
        <w:t>not</w:t>
      </w:r>
      <w:r>
        <w:rPr>
          <w:spacing w:val="-2"/>
        </w:rPr>
        <w:t> </w:t>
      </w:r>
      <w:r>
        <w:rPr/>
        <w:t>raised</w:t>
      </w:r>
      <w:r>
        <w:rPr>
          <w:spacing w:val="-4"/>
        </w:rPr>
        <w:t> </w:t>
      </w:r>
      <w:r>
        <w:rPr/>
        <w:t>tuition</w:t>
      </w:r>
      <w:r>
        <w:rPr>
          <w:spacing w:val="-4"/>
        </w:rPr>
        <w:t> </w:t>
      </w:r>
      <w:r>
        <w:rPr/>
        <w:t>by</w:t>
      </w:r>
      <w:r>
        <w:rPr>
          <w:spacing w:val="-5"/>
        </w:rPr>
        <w:t> </w:t>
      </w:r>
      <w:r>
        <w:rPr/>
        <w:t>double</w:t>
      </w:r>
      <w:r>
        <w:rPr>
          <w:spacing w:val="-2"/>
        </w:rPr>
        <w:t> </w:t>
      </w:r>
      <w:r>
        <w:rPr/>
        <w:t>digits,</w:t>
      </w:r>
      <w:r>
        <w:rPr>
          <w:spacing w:val="-4"/>
        </w:rPr>
        <w:t> </w:t>
      </w:r>
      <w:r>
        <w:rPr/>
        <w:t>nor</w:t>
      </w:r>
      <w:r>
        <w:rPr>
          <w:spacing w:val="-3"/>
        </w:rPr>
        <w:t> </w:t>
      </w:r>
      <w:r>
        <w:rPr/>
        <w:t>(unlike</w:t>
      </w:r>
      <w:r>
        <w:rPr>
          <w:spacing w:val="-4"/>
        </w:rPr>
        <w:t> </w:t>
      </w:r>
      <w:r>
        <w:rPr/>
        <w:t>many</w:t>
      </w:r>
      <w:r>
        <w:rPr>
          <w:spacing w:val="-7"/>
        </w:rPr>
        <w:t> </w:t>
      </w:r>
      <w:r>
        <w:rPr/>
        <w:t>others)</w:t>
      </w:r>
      <w:r>
        <w:rPr>
          <w:spacing w:val="-3"/>
        </w:rPr>
        <w:t> </w:t>
      </w:r>
      <w:r>
        <w:rPr/>
        <w:t>reduced faculty staffing.</w:t>
      </w:r>
    </w:p>
    <w:p>
      <w:pPr>
        <w:pStyle w:val="BodyText"/>
        <w:spacing w:before="7"/>
        <w:rPr>
          <w:sz w:val="18"/>
        </w:rPr>
      </w:pPr>
    </w:p>
    <w:p>
      <w:pPr>
        <w:pStyle w:val="ListParagraph"/>
        <w:numPr>
          <w:ilvl w:val="0"/>
          <w:numId w:val="40"/>
        </w:numPr>
        <w:tabs>
          <w:tab w:pos="1951" w:val="left" w:leader="none"/>
          <w:tab w:pos="1952" w:val="left" w:leader="none"/>
        </w:tabs>
        <w:spacing w:line="240" w:lineRule="auto" w:before="0" w:after="0"/>
        <w:ind w:left="1951" w:right="749" w:hanging="360"/>
        <w:jc w:val="left"/>
        <w:rPr>
          <w:sz w:val="20"/>
        </w:rPr>
      </w:pPr>
      <w:r>
        <w:rPr>
          <w:sz w:val="20"/>
        </w:rPr>
        <w:t>2011 Response: This academic year has seen a dramatic decline in our department’s enrollment, which now stands at 159, resulting in a student-to-faculty</w:t>
      </w:r>
      <w:r>
        <w:rPr>
          <w:spacing w:val="-1"/>
          <w:sz w:val="20"/>
        </w:rPr>
        <w:t> </w:t>
      </w:r>
      <w:r>
        <w:rPr>
          <w:sz w:val="20"/>
        </w:rPr>
        <w:t>ratio of 1:18. The University</w:t>
      </w:r>
      <w:r>
        <w:rPr>
          <w:spacing w:val="-6"/>
          <w:sz w:val="20"/>
        </w:rPr>
        <w:t> </w:t>
      </w:r>
      <w:r>
        <w:rPr>
          <w:sz w:val="20"/>
        </w:rPr>
        <w:t>continues</w:t>
      </w:r>
      <w:r>
        <w:rPr>
          <w:spacing w:val="-2"/>
          <w:sz w:val="20"/>
        </w:rPr>
        <w:t> </w:t>
      </w:r>
      <w:r>
        <w:rPr>
          <w:sz w:val="20"/>
        </w:rPr>
        <w:t>to</w:t>
      </w:r>
      <w:r>
        <w:rPr>
          <w:spacing w:val="-1"/>
          <w:sz w:val="20"/>
        </w:rPr>
        <w:t> </w:t>
      </w:r>
      <w:r>
        <w:rPr>
          <w:sz w:val="20"/>
        </w:rPr>
        <w:t>support</w:t>
      </w:r>
      <w:r>
        <w:rPr>
          <w:spacing w:val="-3"/>
          <w:sz w:val="20"/>
        </w:rPr>
        <w:t> </w:t>
      </w:r>
      <w:r>
        <w:rPr>
          <w:sz w:val="20"/>
        </w:rPr>
        <w:t>the</w:t>
      </w:r>
      <w:r>
        <w:rPr>
          <w:spacing w:val="-3"/>
          <w:sz w:val="20"/>
        </w:rPr>
        <w:t> </w:t>
      </w:r>
      <w:r>
        <w:rPr>
          <w:sz w:val="20"/>
        </w:rPr>
        <w:t>current</w:t>
      </w:r>
      <w:r>
        <w:rPr>
          <w:spacing w:val="-1"/>
          <w:sz w:val="20"/>
        </w:rPr>
        <w:t> </w:t>
      </w:r>
      <w:r>
        <w:rPr>
          <w:sz w:val="20"/>
        </w:rPr>
        <w:t>level</w:t>
      </w:r>
      <w:r>
        <w:rPr>
          <w:spacing w:val="-4"/>
          <w:sz w:val="20"/>
        </w:rPr>
        <w:t> </w:t>
      </w:r>
      <w:r>
        <w:rPr>
          <w:sz w:val="20"/>
        </w:rPr>
        <w:t>of</w:t>
      </w:r>
      <w:r>
        <w:rPr>
          <w:spacing w:val="-1"/>
          <w:sz w:val="20"/>
        </w:rPr>
        <w:t> </w:t>
      </w:r>
      <w:r>
        <w:rPr>
          <w:sz w:val="20"/>
        </w:rPr>
        <w:t>faculty.</w:t>
      </w:r>
      <w:r>
        <w:rPr>
          <w:spacing w:val="-5"/>
          <w:sz w:val="20"/>
        </w:rPr>
        <w:t> </w:t>
      </w:r>
      <w:r>
        <w:rPr>
          <w:sz w:val="20"/>
        </w:rPr>
        <w:t>We</w:t>
      </w:r>
      <w:r>
        <w:rPr>
          <w:spacing w:val="-3"/>
          <w:sz w:val="20"/>
        </w:rPr>
        <w:t> </w:t>
      </w:r>
      <w:r>
        <w:rPr>
          <w:sz w:val="20"/>
        </w:rPr>
        <w:t>lost</w:t>
      </w:r>
      <w:r>
        <w:rPr>
          <w:spacing w:val="-3"/>
          <w:sz w:val="20"/>
        </w:rPr>
        <w:t> </w:t>
      </w:r>
      <w:r>
        <w:rPr>
          <w:sz w:val="20"/>
        </w:rPr>
        <w:t>one</w:t>
      </w:r>
      <w:r>
        <w:rPr>
          <w:spacing w:val="-3"/>
          <w:sz w:val="20"/>
        </w:rPr>
        <w:t> </w:t>
      </w:r>
      <w:r>
        <w:rPr>
          <w:sz w:val="20"/>
        </w:rPr>
        <w:t>faculty</w:t>
      </w:r>
      <w:r>
        <w:rPr>
          <w:spacing w:val="-6"/>
          <w:sz w:val="20"/>
        </w:rPr>
        <w:t> </w:t>
      </w:r>
      <w:r>
        <w:rPr>
          <w:sz w:val="20"/>
        </w:rPr>
        <w:t>member, Professor Daisy Williams, who joined the faculty at the University of Oregon. We have hired Ogheneruno Okiomah, a recent graduate of the Massachusetts Institute of Technology (her CV is attached in the appendix). Additionally, we have adjunct faculty who have provided key assistance to our program and the University has supported every request for those positions. As a result, our program has a strong cadre of experienced faculty.</w:t>
      </w:r>
    </w:p>
    <w:p>
      <w:pPr>
        <w:pStyle w:val="BodyText"/>
        <w:spacing w:before="6"/>
        <w:rPr>
          <w:sz w:val="18"/>
        </w:rPr>
      </w:pPr>
    </w:p>
    <w:p>
      <w:pPr>
        <w:pStyle w:val="ListParagraph"/>
        <w:numPr>
          <w:ilvl w:val="0"/>
          <w:numId w:val="40"/>
        </w:numPr>
        <w:tabs>
          <w:tab w:pos="1951" w:val="left" w:leader="none"/>
          <w:tab w:pos="1952" w:val="left" w:leader="none"/>
        </w:tabs>
        <w:spacing w:line="240" w:lineRule="auto" w:before="1" w:after="0"/>
        <w:ind w:left="1951" w:right="631" w:hanging="360"/>
        <w:jc w:val="left"/>
        <w:rPr>
          <w:sz w:val="20"/>
        </w:rPr>
      </w:pPr>
      <w:r>
        <w:rPr>
          <w:sz w:val="20"/>
        </w:rPr>
        <w:t>2012</w:t>
      </w:r>
      <w:r>
        <w:rPr>
          <w:spacing w:val="-1"/>
          <w:sz w:val="20"/>
        </w:rPr>
        <w:t> </w:t>
      </w:r>
      <w:r>
        <w:rPr>
          <w:sz w:val="20"/>
        </w:rPr>
        <w:t>Response:</w:t>
      </w:r>
      <w:r>
        <w:rPr>
          <w:spacing w:val="-3"/>
          <w:sz w:val="20"/>
        </w:rPr>
        <w:t> </w:t>
      </w:r>
      <w:r>
        <w:rPr>
          <w:sz w:val="20"/>
        </w:rPr>
        <w:t>Over</w:t>
      </w:r>
      <w:r>
        <w:rPr>
          <w:spacing w:val="-2"/>
          <w:sz w:val="20"/>
        </w:rPr>
        <w:t> </w:t>
      </w:r>
      <w:r>
        <w:rPr>
          <w:sz w:val="20"/>
        </w:rPr>
        <w:t>the</w:t>
      </w:r>
      <w:r>
        <w:rPr>
          <w:spacing w:val="-3"/>
          <w:sz w:val="20"/>
        </w:rPr>
        <w:t> </w:t>
      </w:r>
      <w:r>
        <w:rPr>
          <w:sz w:val="20"/>
        </w:rPr>
        <w:t>past</w:t>
      </w:r>
      <w:r>
        <w:rPr>
          <w:spacing w:val="-3"/>
          <w:sz w:val="20"/>
        </w:rPr>
        <w:t> </w:t>
      </w:r>
      <w:r>
        <w:rPr>
          <w:sz w:val="20"/>
        </w:rPr>
        <w:t>two years,</w:t>
      </w:r>
      <w:r>
        <w:rPr>
          <w:spacing w:val="-3"/>
          <w:sz w:val="20"/>
        </w:rPr>
        <w:t> </w:t>
      </w:r>
      <w:r>
        <w:rPr>
          <w:sz w:val="20"/>
        </w:rPr>
        <w:t>our</w:t>
      </w:r>
      <w:r>
        <w:rPr>
          <w:spacing w:val="-2"/>
          <w:sz w:val="20"/>
        </w:rPr>
        <w:t> </w:t>
      </w:r>
      <w:r>
        <w:rPr>
          <w:sz w:val="20"/>
        </w:rPr>
        <w:t>program</w:t>
      </w:r>
      <w:r>
        <w:rPr>
          <w:spacing w:val="-1"/>
          <w:sz w:val="20"/>
        </w:rPr>
        <w:t> </w:t>
      </w:r>
      <w:r>
        <w:rPr>
          <w:sz w:val="20"/>
        </w:rPr>
        <w:t>has</w:t>
      </w:r>
      <w:r>
        <w:rPr>
          <w:spacing w:val="-2"/>
          <w:sz w:val="20"/>
        </w:rPr>
        <w:t> </w:t>
      </w:r>
      <w:r>
        <w:rPr>
          <w:sz w:val="20"/>
        </w:rPr>
        <w:t>successfully</w:t>
      </w:r>
      <w:r>
        <w:rPr>
          <w:spacing w:val="-6"/>
          <w:sz w:val="20"/>
        </w:rPr>
        <w:t> </w:t>
      </w:r>
      <w:r>
        <w:rPr>
          <w:sz w:val="20"/>
        </w:rPr>
        <w:t>competed</w:t>
      </w:r>
      <w:r>
        <w:rPr>
          <w:spacing w:val="-1"/>
          <w:sz w:val="20"/>
        </w:rPr>
        <w:t> </w:t>
      </w:r>
      <w:r>
        <w:rPr>
          <w:sz w:val="20"/>
        </w:rPr>
        <w:t>in</w:t>
      </w:r>
      <w:r>
        <w:rPr>
          <w:spacing w:val="-3"/>
          <w:sz w:val="20"/>
        </w:rPr>
        <w:t> </w:t>
      </w:r>
      <w:r>
        <w:rPr>
          <w:sz w:val="20"/>
        </w:rPr>
        <w:t>the US Department of Energy’s Solar Decathlon, in partnership with the School of Engineering at Old Dominion University. As we moved to the 2012-2013 Solar Decathlon, the University committed to provide instructional support so that the faculty member(s) involved with the Solar Decathlon would not teaching overloads and would</w:t>
      </w:r>
      <w:r>
        <w:rPr>
          <w:spacing w:val="40"/>
          <w:sz w:val="20"/>
        </w:rPr>
        <w:t> </w:t>
      </w:r>
      <w:r>
        <w:rPr>
          <w:sz w:val="20"/>
        </w:rPr>
        <w:t>be</w:t>
      </w:r>
      <w:r>
        <w:rPr>
          <w:spacing w:val="-4"/>
          <w:sz w:val="20"/>
        </w:rPr>
        <w:t> </w:t>
      </w:r>
      <w:r>
        <w:rPr>
          <w:sz w:val="20"/>
        </w:rPr>
        <w:t>able</w:t>
      </w:r>
      <w:r>
        <w:rPr>
          <w:spacing w:val="-2"/>
          <w:sz w:val="20"/>
        </w:rPr>
        <w:t> </w:t>
      </w:r>
      <w:r>
        <w:rPr>
          <w:sz w:val="20"/>
        </w:rPr>
        <w:t>to</w:t>
      </w:r>
      <w:r>
        <w:rPr>
          <w:spacing w:val="-4"/>
          <w:sz w:val="20"/>
        </w:rPr>
        <w:t> </w:t>
      </w:r>
      <w:r>
        <w:rPr>
          <w:sz w:val="20"/>
        </w:rPr>
        <w:t>focus</w:t>
      </w:r>
      <w:r>
        <w:rPr>
          <w:spacing w:val="-3"/>
          <w:sz w:val="20"/>
        </w:rPr>
        <w:t> </w:t>
      </w:r>
      <w:r>
        <w:rPr>
          <w:sz w:val="20"/>
        </w:rPr>
        <w:t>on</w:t>
      </w:r>
      <w:r>
        <w:rPr>
          <w:spacing w:val="-2"/>
          <w:sz w:val="20"/>
        </w:rPr>
        <w:t> </w:t>
      </w:r>
      <w:r>
        <w:rPr>
          <w:sz w:val="20"/>
        </w:rPr>
        <w:t>the</w:t>
      </w:r>
      <w:r>
        <w:rPr>
          <w:spacing w:val="-4"/>
          <w:sz w:val="20"/>
        </w:rPr>
        <w:t> </w:t>
      </w:r>
      <w:r>
        <w:rPr>
          <w:sz w:val="20"/>
        </w:rPr>
        <w:t>competition.</w:t>
      </w:r>
      <w:r>
        <w:rPr>
          <w:spacing w:val="-6"/>
          <w:sz w:val="20"/>
        </w:rPr>
        <w:t> </w:t>
      </w:r>
      <w:r>
        <w:rPr>
          <w:sz w:val="20"/>
        </w:rPr>
        <w:t>We</w:t>
      </w:r>
      <w:r>
        <w:rPr>
          <w:spacing w:val="-4"/>
          <w:sz w:val="20"/>
        </w:rPr>
        <w:t> </w:t>
      </w:r>
      <w:r>
        <w:rPr>
          <w:sz w:val="20"/>
        </w:rPr>
        <w:t>have</w:t>
      </w:r>
      <w:r>
        <w:rPr>
          <w:spacing w:val="-2"/>
          <w:sz w:val="20"/>
        </w:rPr>
        <w:t> </w:t>
      </w:r>
      <w:r>
        <w:rPr>
          <w:sz w:val="20"/>
        </w:rPr>
        <w:t>also</w:t>
      </w:r>
      <w:r>
        <w:rPr>
          <w:spacing w:val="-2"/>
          <w:sz w:val="20"/>
        </w:rPr>
        <w:t> </w:t>
      </w:r>
      <w:r>
        <w:rPr>
          <w:sz w:val="20"/>
        </w:rPr>
        <w:t>received</w:t>
      </w:r>
      <w:r>
        <w:rPr>
          <w:spacing w:val="-4"/>
          <w:sz w:val="20"/>
        </w:rPr>
        <w:t> </w:t>
      </w:r>
      <w:r>
        <w:rPr>
          <w:sz w:val="20"/>
        </w:rPr>
        <w:t>support</w:t>
      </w:r>
      <w:r>
        <w:rPr>
          <w:spacing w:val="-4"/>
          <w:sz w:val="20"/>
        </w:rPr>
        <w:t> </w:t>
      </w:r>
      <w:r>
        <w:rPr>
          <w:sz w:val="20"/>
        </w:rPr>
        <w:t>from local</w:t>
      </w:r>
      <w:r>
        <w:rPr>
          <w:spacing w:val="-5"/>
          <w:sz w:val="20"/>
        </w:rPr>
        <w:t> </w:t>
      </w:r>
      <w:r>
        <w:rPr>
          <w:sz w:val="20"/>
        </w:rPr>
        <w:t>firms</w:t>
      </w:r>
      <w:r>
        <w:rPr>
          <w:spacing w:val="-3"/>
          <w:sz w:val="20"/>
        </w:rPr>
        <w:t> </w:t>
      </w:r>
      <w:r>
        <w:rPr>
          <w:sz w:val="20"/>
        </w:rPr>
        <w:t>to</w:t>
      </w:r>
      <w:r>
        <w:rPr>
          <w:spacing w:val="-4"/>
          <w:sz w:val="20"/>
        </w:rPr>
        <w:t> </w:t>
      </w:r>
      <w:r>
        <w:rPr>
          <w:sz w:val="20"/>
        </w:rPr>
        <w:t>fill the void. One firm, Clark Nexen, provided three instructors, all of whom had previous instructional experience at the collegiate level, to assist in design studio courses. Adjuncts positions were provided to fill other voids and as a result, the competition did not</w:t>
      </w:r>
      <w:r>
        <w:rPr>
          <w:spacing w:val="-3"/>
          <w:sz w:val="20"/>
        </w:rPr>
        <w:t> </w:t>
      </w:r>
      <w:r>
        <w:rPr>
          <w:sz w:val="20"/>
        </w:rPr>
        <w:t>add</w:t>
      </w:r>
      <w:r>
        <w:rPr>
          <w:spacing w:val="-3"/>
          <w:sz w:val="20"/>
        </w:rPr>
        <w:t> </w:t>
      </w:r>
      <w:r>
        <w:rPr>
          <w:sz w:val="20"/>
        </w:rPr>
        <w:t>stress</w:t>
      </w:r>
      <w:r>
        <w:rPr>
          <w:spacing w:val="-2"/>
          <w:sz w:val="20"/>
        </w:rPr>
        <w:t> </w:t>
      </w:r>
      <w:r>
        <w:rPr>
          <w:sz w:val="20"/>
        </w:rPr>
        <w:t>to</w:t>
      </w:r>
      <w:r>
        <w:rPr>
          <w:spacing w:val="-3"/>
          <w:sz w:val="20"/>
        </w:rPr>
        <w:t> </w:t>
      </w:r>
      <w:r>
        <w:rPr>
          <w:sz w:val="20"/>
        </w:rPr>
        <w:t>the</w:t>
      </w:r>
      <w:r>
        <w:rPr>
          <w:spacing w:val="-3"/>
          <w:sz w:val="20"/>
        </w:rPr>
        <w:t> </w:t>
      </w:r>
      <w:r>
        <w:rPr>
          <w:sz w:val="20"/>
        </w:rPr>
        <w:t>teaching</w:t>
      </w:r>
      <w:r>
        <w:rPr>
          <w:spacing w:val="-3"/>
          <w:sz w:val="20"/>
        </w:rPr>
        <w:t> </w:t>
      </w:r>
      <w:r>
        <w:rPr>
          <w:sz w:val="20"/>
        </w:rPr>
        <w:t>loads of</w:t>
      </w:r>
      <w:r>
        <w:rPr>
          <w:spacing w:val="-1"/>
          <w:sz w:val="20"/>
        </w:rPr>
        <w:t> </w:t>
      </w:r>
      <w:r>
        <w:rPr>
          <w:sz w:val="20"/>
        </w:rPr>
        <w:t>the</w:t>
      </w:r>
      <w:r>
        <w:rPr>
          <w:spacing w:val="-2"/>
          <w:sz w:val="20"/>
        </w:rPr>
        <w:t> </w:t>
      </w:r>
      <w:r>
        <w:rPr>
          <w:sz w:val="20"/>
        </w:rPr>
        <w:t>full</w:t>
      </w:r>
      <w:r>
        <w:rPr>
          <w:spacing w:val="-2"/>
          <w:sz w:val="20"/>
        </w:rPr>
        <w:t> </w:t>
      </w:r>
      <w:r>
        <w:rPr>
          <w:sz w:val="20"/>
        </w:rPr>
        <w:t>time</w:t>
      </w:r>
      <w:r>
        <w:rPr>
          <w:spacing w:val="-3"/>
          <w:sz w:val="20"/>
        </w:rPr>
        <w:t> </w:t>
      </w:r>
      <w:r>
        <w:rPr>
          <w:sz w:val="20"/>
        </w:rPr>
        <w:t>faculty.</w:t>
      </w:r>
      <w:r>
        <w:rPr>
          <w:spacing w:val="-3"/>
          <w:sz w:val="20"/>
        </w:rPr>
        <w:t> </w:t>
      </w:r>
      <w:r>
        <w:rPr>
          <w:sz w:val="20"/>
        </w:rPr>
        <w:t>The</w:t>
      </w:r>
      <w:r>
        <w:rPr>
          <w:spacing w:val="-3"/>
          <w:sz w:val="20"/>
        </w:rPr>
        <w:t> </w:t>
      </w:r>
      <w:r>
        <w:rPr>
          <w:sz w:val="20"/>
        </w:rPr>
        <w:t>Solar</w:t>
      </w:r>
      <w:r>
        <w:rPr>
          <w:spacing w:val="-2"/>
          <w:sz w:val="20"/>
        </w:rPr>
        <w:t> </w:t>
      </w:r>
      <w:r>
        <w:rPr>
          <w:sz w:val="20"/>
        </w:rPr>
        <w:t>Decathlon</w:t>
      </w:r>
      <w:r>
        <w:rPr>
          <w:spacing w:val="-3"/>
          <w:sz w:val="20"/>
        </w:rPr>
        <w:t> </w:t>
      </w:r>
      <w:r>
        <w:rPr>
          <w:sz w:val="20"/>
        </w:rPr>
        <w:t>has</w:t>
      </w:r>
      <w:r>
        <w:rPr>
          <w:spacing w:val="-2"/>
          <w:sz w:val="20"/>
        </w:rPr>
        <w:t> </w:t>
      </w:r>
      <w:r>
        <w:rPr>
          <w:sz w:val="20"/>
        </w:rPr>
        <w:t>also provided opportunities for expanded collaboration with our partners at the Old Dominion University who initiated dialog about assisting in the instruction of some of our core courses, including Architectural Ecology and Structures. Additionally, during this academic year, one of our faculty members, Shannon Chance, has received a prestigious Fullbright Scholarship to continue her research in Dublin. This is a testament to the level of scholarship and research being conducted by our faculty and demonstrates the level of excellence in our teaching corps.</w:t>
      </w:r>
    </w:p>
    <w:p>
      <w:pPr>
        <w:pStyle w:val="BodyText"/>
        <w:spacing w:before="7"/>
        <w:rPr>
          <w:sz w:val="18"/>
        </w:rPr>
      </w:pPr>
    </w:p>
    <w:p>
      <w:pPr>
        <w:pStyle w:val="ListParagraph"/>
        <w:numPr>
          <w:ilvl w:val="0"/>
          <w:numId w:val="40"/>
        </w:numPr>
        <w:tabs>
          <w:tab w:pos="1951" w:val="left" w:leader="none"/>
          <w:tab w:pos="1952" w:val="left" w:leader="none"/>
        </w:tabs>
        <w:spacing w:line="240" w:lineRule="auto" w:before="0" w:after="0"/>
        <w:ind w:left="1951" w:right="644" w:hanging="360"/>
        <w:jc w:val="left"/>
        <w:rPr>
          <w:sz w:val="20"/>
        </w:rPr>
      </w:pPr>
      <w:r>
        <w:rPr>
          <w:sz w:val="20"/>
        </w:rPr>
        <w:t>2013: After lifting the freeze on promotions, the University promoted Dr. Sanchez to the rank of Full Professor. Profs. Okiomah and Turner departed the program to pursue their research interest and licensure, respectively. Because the enrollment had decreased 17%, the university replaced only one position. That slot was used to hire Darryl Henderson, AIA, a practicing architect in the Hampton Roads area with teaching experience in interior design and a distinguished and celebrated design career. The university</w:t>
      </w:r>
      <w:r>
        <w:rPr>
          <w:spacing w:val="-5"/>
          <w:sz w:val="20"/>
        </w:rPr>
        <w:t> </w:t>
      </w:r>
      <w:r>
        <w:rPr>
          <w:sz w:val="20"/>
        </w:rPr>
        <w:t>also</w:t>
      </w:r>
      <w:r>
        <w:rPr>
          <w:spacing w:val="-4"/>
          <w:sz w:val="20"/>
        </w:rPr>
        <w:t> </w:t>
      </w:r>
      <w:r>
        <w:rPr>
          <w:sz w:val="20"/>
        </w:rPr>
        <w:t>conferred</w:t>
      </w:r>
      <w:r>
        <w:rPr>
          <w:spacing w:val="-4"/>
          <w:sz w:val="20"/>
        </w:rPr>
        <w:t> </w:t>
      </w:r>
      <w:r>
        <w:rPr>
          <w:sz w:val="20"/>
        </w:rPr>
        <w:t>adjunct</w:t>
      </w:r>
      <w:r>
        <w:rPr>
          <w:spacing w:val="-4"/>
          <w:sz w:val="20"/>
        </w:rPr>
        <w:t> </w:t>
      </w:r>
      <w:r>
        <w:rPr>
          <w:sz w:val="20"/>
        </w:rPr>
        <w:t>status</w:t>
      </w:r>
      <w:r>
        <w:rPr>
          <w:spacing w:val="-3"/>
          <w:sz w:val="20"/>
        </w:rPr>
        <w:t> </w:t>
      </w:r>
      <w:r>
        <w:rPr>
          <w:sz w:val="20"/>
        </w:rPr>
        <w:t>to</w:t>
      </w:r>
      <w:r>
        <w:rPr>
          <w:spacing w:val="-2"/>
          <w:sz w:val="20"/>
        </w:rPr>
        <w:t> </w:t>
      </w:r>
      <w:r>
        <w:rPr>
          <w:sz w:val="20"/>
        </w:rPr>
        <w:t>Professor</w:t>
      </w:r>
      <w:r>
        <w:rPr>
          <w:spacing w:val="-3"/>
          <w:sz w:val="20"/>
        </w:rPr>
        <w:t> </w:t>
      </w:r>
      <w:r>
        <w:rPr>
          <w:sz w:val="20"/>
        </w:rPr>
        <w:t>Ray</w:t>
      </w:r>
      <w:r>
        <w:rPr>
          <w:spacing w:val="-7"/>
          <w:sz w:val="20"/>
        </w:rPr>
        <w:t> </w:t>
      </w:r>
      <w:r>
        <w:rPr>
          <w:sz w:val="20"/>
        </w:rPr>
        <w:t>Gindroz</w:t>
      </w:r>
      <w:r>
        <w:rPr>
          <w:spacing w:val="-3"/>
          <w:sz w:val="20"/>
        </w:rPr>
        <w:t> </w:t>
      </w:r>
      <w:r>
        <w:rPr>
          <w:sz w:val="20"/>
        </w:rPr>
        <w:t>in</w:t>
      </w:r>
      <w:r>
        <w:rPr>
          <w:spacing w:val="-2"/>
          <w:sz w:val="20"/>
        </w:rPr>
        <w:t> </w:t>
      </w:r>
      <w:r>
        <w:rPr>
          <w:sz w:val="20"/>
        </w:rPr>
        <w:t>order</w:t>
      </w:r>
      <w:r>
        <w:rPr>
          <w:spacing w:val="-3"/>
          <w:sz w:val="20"/>
        </w:rPr>
        <w:t> </w:t>
      </w:r>
      <w:r>
        <w:rPr>
          <w:sz w:val="20"/>
        </w:rPr>
        <w:t>to</w:t>
      </w:r>
      <w:r>
        <w:rPr>
          <w:spacing w:val="-2"/>
          <w:sz w:val="20"/>
        </w:rPr>
        <w:t> </w:t>
      </w:r>
      <w:r>
        <w:rPr>
          <w:sz w:val="20"/>
        </w:rPr>
        <w:t>allow</w:t>
      </w:r>
      <w:r>
        <w:rPr>
          <w:spacing w:val="-4"/>
          <w:sz w:val="20"/>
        </w:rPr>
        <w:t> </w:t>
      </w:r>
      <w:r>
        <w:rPr>
          <w:sz w:val="20"/>
        </w:rPr>
        <w:t>him to conduct research and write grants for the department in support of our International Travel</w:t>
      </w:r>
      <w:r>
        <w:rPr>
          <w:spacing w:val="-4"/>
          <w:sz w:val="20"/>
        </w:rPr>
        <w:t> </w:t>
      </w:r>
      <w:r>
        <w:rPr>
          <w:sz w:val="20"/>
        </w:rPr>
        <w:t>Studio.</w:t>
      </w:r>
      <w:r>
        <w:rPr>
          <w:spacing w:val="-1"/>
          <w:sz w:val="20"/>
        </w:rPr>
        <w:t> </w:t>
      </w:r>
      <w:r>
        <w:rPr>
          <w:sz w:val="20"/>
        </w:rPr>
        <w:t>At</w:t>
      </w:r>
      <w:r>
        <w:rPr>
          <w:spacing w:val="-3"/>
          <w:sz w:val="20"/>
        </w:rPr>
        <w:t> </w:t>
      </w:r>
      <w:r>
        <w:rPr>
          <w:sz w:val="20"/>
        </w:rPr>
        <w:t>the</w:t>
      </w:r>
      <w:r>
        <w:rPr>
          <w:spacing w:val="-3"/>
          <w:sz w:val="20"/>
        </w:rPr>
        <w:t> </w:t>
      </w:r>
      <w:r>
        <w:rPr>
          <w:sz w:val="20"/>
        </w:rPr>
        <w:t>same</w:t>
      </w:r>
      <w:r>
        <w:rPr>
          <w:spacing w:val="-3"/>
          <w:sz w:val="20"/>
        </w:rPr>
        <w:t> </w:t>
      </w:r>
      <w:r>
        <w:rPr>
          <w:sz w:val="20"/>
        </w:rPr>
        <w:t>time,</w:t>
      </w:r>
      <w:r>
        <w:rPr>
          <w:spacing w:val="-3"/>
          <w:sz w:val="20"/>
        </w:rPr>
        <w:t> </w:t>
      </w:r>
      <w:r>
        <w:rPr>
          <w:sz w:val="20"/>
        </w:rPr>
        <w:t>the</w:t>
      </w:r>
      <w:r>
        <w:rPr>
          <w:spacing w:val="-3"/>
          <w:sz w:val="20"/>
        </w:rPr>
        <w:t> </w:t>
      </w:r>
      <w:r>
        <w:rPr>
          <w:sz w:val="20"/>
        </w:rPr>
        <w:t>university</w:t>
      </w:r>
      <w:r>
        <w:rPr>
          <w:spacing w:val="-6"/>
          <w:sz w:val="20"/>
        </w:rPr>
        <w:t> </w:t>
      </w:r>
      <w:r>
        <w:rPr>
          <w:sz w:val="20"/>
        </w:rPr>
        <w:t>allowed</w:t>
      </w:r>
      <w:r>
        <w:rPr>
          <w:spacing w:val="-1"/>
          <w:sz w:val="20"/>
        </w:rPr>
        <w:t> </w:t>
      </w:r>
      <w:r>
        <w:rPr>
          <w:sz w:val="20"/>
        </w:rPr>
        <w:t>a</w:t>
      </w:r>
      <w:r>
        <w:rPr>
          <w:spacing w:val="-3"/>
          <w:sz w:val="20"/>
        </w:rPr>
        <w:t> </w:t>
      </w:r>
      <w:r>
        <w:rPr>
          <w:sz w:val="20"/>
        </w:rPr>
        <w:t>25% reduction</w:t>
      </w:r>
      <w:r>
        <w:rPr>
          <w:spacing w:val="-1"/>
          <w:sz w:val="20"/>
        </w:rPr>
        <w:t> </w:t>
      </w:r>
      <w:r>
        <w:rPr>
          <w:sz w:val="20"/>
        </w:rPr>
        <w:t>in</w:t>
      </w:r>
      <w:r>
        <w:rPr>
          <w:spacing w:val="-1"/>
          <w:sz w:val="20"/>
        </w:rPr>
        <w:t> </w:t>
      </w:r>
      <w:r>
        <w:rPr>
          <w:sz w:val="20"/>
        </w:rPr>
        <w:t>the</w:t>
      </w:r>
      <w:r>
        <w:rPr>
          <w:spacing w:val="-1"/>
          <w:sz w:val="20"/>
        </w:rPr>
        <w:t> </w:t>
      </w:r>
      <w:r>
        <w:rPr>
          <w:sz w:val="20"/>
        </w:rPr>
        <w:t>number</w:t>
      </w:r>
      <w:r>
        <w:rPr>
          <w:spacing w:val="-2"/>
          <w:sz w:val="20"/>
        </w:rPr>
        <w:t> </w:t>
      </w:r>
      <w:r>
        <w:rPr>
          <w:sz w:val="20"/>
        </w:rPr>
        <w:t>of credits required to be taught by our graduate faculty. The result is a decrease in our FTE’s from 8.75 to 7.75.</w:t>
      </w:r>
    </w:p>
    <w:p>
      <w:pPr>
        <w:pStyle w:val="BodyText"/>
        <w:spacing w:before="7"/>
        <w:rPr>
          <w:sz w:val="18"/>
        </w:rPr>
      </w:pPr>
    </w:p>
    <w:p>
      <w:pPr>
        <w:pStyle w:val="ListParagraph"/>
        <w:numPr>
          <w:ilvl w:val="0"/>
          <w:numId w:val="40"/>
        </w:numPr>
        <w:tabs>
          <w:tab w:pos="1951" w:val="left" w:leader="none"/>
          <w:tab w:pos="1952" w:val="left" w:leader="none"/>
        </w:tabs>
        <w:spacing w:line="240" w:lineRule="auto" w:before="1" w:after="0"/>
        <w:ind w:left="1951" w:right="629" w:hanging="360"/>
        <w:jc w:val="left"/>
        <w:rPr>
          <w:sz w:val="20"/>
        </w:rPr>
      </w:pPr>
      <w:r>
        <w:rPr>
          <w:sz w:val="20"/>
        </w:rPr>
        <w:t>2014: The University promoted Professor Chance to Full Professor and awarded tenure to</w:t>
      </w:r>
      <w:r>
        <w:rPr>
          <w:spacing w:val="-4"/>
          <w:sz w:val="20"/>
        </w:rPr>
        <w:t> </w:t>
      </w:r>
      <w:r>
        <w:rPr>
          <w:sz w:val="20"/>
        </w:rPr>
        <w:t>Chair</w:t>
      </w:r>
      <w:r>
        <w:rPr>
          <w:spacing w:val="-2"/>
          <w:sz w:val="20"/>
        </w:rPr>
        <w:t> </w:t>
      </w:r>
      <w:r>
        <w:rPr>
          <w:sz w:val="20"/>
        </w:rPr>
        <w:t>Easter.</w:t>
      </w:r>
      <w:r>
        <w:rPr>
          <w:spacing w:val="-6"/>
          <w:sz w:val="20"/>
        </w:rPr>
        <w:t> </w:t>
      </w:r>
      <w:r>
        <w:rPr>
          <w:sz w:val="20"/>
        </w:rPr>
        <w:t>We</w:t>
      </w:r>
      <w:r>
        <w:rPr>
          <w:spacing w:val="-4"/>
          <w:sz w:val="20"/>
        </w:rPr>
        <w:t> </w:t>
      </w:r>
      <w:r>
        <w:rPr>
          <w:sz w:val="20"/>
        </w:rPr>
        <w:t>also</w:t>
      </w:r>
      <w:r>
        <w:rPr>
          <w:spacing w:val="-4"/>
          <w:sz w:val="20"/>
        </w:rPr>
        <w:t> </w:t>
      </w:r>
      <w:r>
        <w:rPr>
          <w:sz w:val="20"/>
        </w:rPr>
        <w:t>learned</w:t>
      </w:r>
      <w:r>
        <w:rPr>
          <w:spacing w:val="-4"/>
          <w:sz w:val="20"/>
        </w:rPr>
        <w:t> </w:t>
      </w:r>
      <w:r>
        <w:rPr>
          <w:sz w:val="20"/>
        </w:rPr>
        <w:t>that</w:t>
      </w:r>
      <w:r>
        <w:rPr>
          <w:spacing w:val="-3"/>
          <w:sz w:val="20"/>
        </w:rPr>
        <w:t> </w:t>
      </w:r>
      <w:r>
        <w:rPr>
          <w:sz w:val="20"/>
        </w:rPr>
        <w:t>Professor</w:t>
      </w:r>
      <w:r>
        <w:rPr>
          <w:spacing w:val="-4"/>
          <w:sz w:val="20"/>
        </w:rPr>
        <w:t> </w:t>
      </w:r>
      <w:r>
        <w:rPr>
          <w:sz w:val="20"/>
        </w:rPr>
        <w:t>Chance</w:t>
      </w:r>
      <w:r>
        <w:rPr>
          <w:spacing w:val="-3"/>
          <w:sz w:val="20"/>
        </w:rPr>
        <w:t> </w:t>
      </w:r>
      <w:r>
        <w:rPr>
          <w:sz w:val="20"/>
        </w:rPr>
        <w:t>would</w:t>
      </w:r>
      <w:r>
        <w:rPr>
          <w:spacing w:val="-3"/>
          <w:sz w:val="20"/>
        </w:rPr>
        <w:t> </w:t>
      </w:r>
      <w:r>
        <w:rPr>
          <w:sz w:val="20"/>
        </w:rPr>
        <w:t>be</w:t>
      </w:r>
      <w:r>
        <w:rPr>
          <w:spacing w:val="-3"/>
          <w:sz w:val="20"/>
        </w:rPr>
        <w:t> </w:t>
      </w:r>
      <w:r>
        <w:rPr>
          <w:sz w:val="20"/>
        </w:rPr>
        <w:t>leaving</w:t>
      </w:r>
      <w:r>
        <w:rPr>
          <w:spacing w:val="-3"/>
          <w:sz w:val="20"/>
        </w:rPr>
        <w:t> </w:t>
      </w:r>
      <w:r>
        <w:rPr>
          <w:sz w:val="20"/>
        </w:rPr>
        <w:t>the</w:t>
      </w:r>
      <w:r>
        <w:rPr>
          <w:spacing w:val="-3"/>
          <w:sz w:val="20"/>
        </w:rPr>
        <w:t> </w:t>
      </w:r>
      <w:r>
        <w:rPr>
          <w:sz w:val="20"/>
        </w:rPr>
        <w:t>program to continue her research in Dublin, Ireland. The University has decided not to fill her position</w:t>
      </w:r>
      <w:r>
        <w:rPr>
          <w:spacing w:val="-1"/>
          <w:sz w:val="20"/>
        </w:rPr>
        <w:t> </w:t>
      </w:r>
      <w:r>
        <w:rPr>
          <w:sz w:val="20"/>
        </w:rPr>
        <w:t>at</w:t>
      </w:r>
      <w:r>
        <w:rPr>
          <w:spacing w:val="-3"/>
          <w:sz w:val="20"/>
        </w:rPr>
        <w:t> </w:t>
      </w:r>
      <w:r>
        <w:rPr>
          <w:sz w:val="20"/>
        </w:rPr>
        <w:t>this</w:t>
      </w:r>
      <w:r>
        <w:rPr>
          <w:spacing w:val="-2"/>
          <w:sz w:val="20"/>
        </w:rPr>
        <w:t> </w:t>
      </w:r>
      <w:r>
        <w:rPr>
          <w:sz w:val="20"/>
        </w:rPr>
        <w:t>time,</w:t>
      </w:r>
      <w:r>
        <w:rPr>
          <w:spacing w:val="-4"/>
          <w:sz w:val="20"/>
        </w:rPr>
        <w:t> </w:t>
      </w:r>
      <w:r>
        <w:rPr>
          <w:sz w:val="20"/>
        </w:rPr>
        <w:t>meaning</w:t>
      </w:r>
      <w:r>
        <w:rPr>
          <w:spacing w:val="-3"/>
          <w:sz w:val="20"/>
        </w:rPr>
        <w:t> </w:t>
      </w:r>
      <w:r>
        <w:rPr>
          <w:sz w:val="20"/>
        </w:rPr>
        <w:t>that</w:t>
      </w:r>
      <w:r>
        <w:rPr>
          <w:spacing w:val="-3"/>
          <w:sz w:val="20"/>
        </w:rPr>
        <w:t> </w:t>
      </w:r>
      <w:r>
        <w:rPr>
          <w:sz w:val="20"/>
        </w:rPr>
        <w:t>our</w:t>
      </w:r>
      <w:r>
        <w:rPr>
          <w:spacing w:val="-2"/>
          <w:sz w:val="20"/>
        </w:rPr>
        <w:t> </w:t>
      </w:r>
      <w:r>
        <w:rPr>
          <w:sz w:val="20"/>
        </w:rPr>
        <w:t>FTE’s</w:t>
      </w:r>
      <w:r>
        <w:rPr>
          <w:spacing w:val="-2"/>
          <w:sz w:val="20"/>
        </w:rPr>
        <w:t> </w:t>
      </w:r>
      <w:r>
        <w:rPr>
          <w:sz w:val="20"/>
        </w:rPr>
        <w:t>is</w:t>
      </w:r>
      <w:r>
        <w:rPr>
          <w:spacing w:val="-2"/>
          <w:sz w:val="20"/>
        </w:rPr>
        <w:t> </w:t>
      </w:r>
      <w:r>
        <w:rPr>
          <w:sz w:val="20"/>
        </w:rPr>
        <w:t>now</w:t>
      </w:r>
      <w:r>
        <w:rPr>
          <w:spacing w:val="-3"/>
          <w:sz w:val="20"/>
        </w:rPr>
        <w:t> </w:t>
      </w:r>
      <w:r>
        <w:rPr>
          <w:sz w:val="20"/>
        </w:rPr>
        <w:t>at</w:t>
      </w:r>
      <w:r>
        <w:rPr>
          <w:spacing w:val="-1"/>
          <w:sz w:val="20"/>
        </w:rPr>
        <w:t> </w:t>
      </w:r>
      <w:r>
        <w:rPr>
          <w:sz w:val="20"/>
        </w:rPr>
        <w:t>6.75</w:t>
      </w:r>
      <w:r>
        <w:rPr>
          <w:spacing w:val="-1"/>
          <w:sz w:val="20"/>
        </w:rPr>
        <w:t> </w:t>
      </w:r>
      <w:r>
        <w:rPr>
          <w:sz w:val="20"/>
        </w:rPr>
        <w:t>and</w:t>
      </w:r>
      <w:r>
        <w:rPr>
          <w:spacing w:val="-1"/>
          <w:sz w:val="20"/>
        </w:rPr>
        <w:t> </w:t>
      </w:r>
      <w:r>
        <w:rPr>
          <w:sz w:val="20"/>
        </w:rPr>
        <w:t>our</w:t>
      </w:r>
      <w:r>
        <w:rPr>
          <w:spacing w:val="-2"/>
          <w:sz w:val="20"/>
        </w:rPr>
        <w:t> </w:t>
      </w:r>
      <w:r>
        <w:rPr>
          <w:sz w:val="20"/>
        </w:rPr>
        <w:t>student</w:t>
      </w:r>
      <w:r>
        <w:rPr>
          <w:spacing w:val="-3"/>
          <w:sz w:val="20"/>
        </w:rPr>
        <w:t> </w:t>
      </w:r>
      <w:r>
        <w:rPr>
          <w:sz w:val="20"/>
        </w:rPr>
        <w:t>/</w:t>
      </w:r>
      <w:r>
        <w:rPr>
          <w:spacing w:val="-3"/>
          <w:sz w:val="20"/>
        </w:rPr>
        <w:t> </w:t>
      </w:r>
      <w:r>
        <w:rPr>
          <w:sz w:val="20"/>
        </w:rPr>
        <w:t>faculty</w:t>
      </w:r>
      <w:r>
        <w:rPr>
          <w:spacing w:val="-5"/>
          <w:sz w:val="20"/>
        </w:rPr>
        <w:t> </w:t>
      </w:r>
      <w:r>
        <w:rPr>
          <w:sz w:val="20"/>
        </w:rPr>
        <w:t>ratio is at 21.2:1.</w:t>
      </w:r>
    </w:p>
    <w:p>
      <w:pPr>
        <w:pStyle w:val="BodyText"/>
        <w:spacing w:before="4"/>
        <w:rPr>
          <w:sz w:val="18"/>
        </w:rPr>
      </w:pPr>
    </w:p>
    <w:p>
      <w:pPr>
        <w:pStyle w:val="ListParagraph"/>
        <w:numPr>
          <w:ilvl w:val="0"/>
          <w:numId w:val="40"/>
        </w:numPr>
        <w:tabs>
          <w:tab w:pos="1951" w:val="left" w:leader="none"/>
          <w:tab w:pos="1952" w:val="left" w:leader="none"/>
        </w:tabs>
        <w:spacing w:line="240" w:lineRule="auto" w:before="0" w:after="0"/>
        <w:ind w:left="1951" w:right="866" w:hanging="360"/>
        <w:jc w:val="left"/>
        <w:rPr>
          <w:b/>
          <w:sz w:val="20"/>
        </w:rPr>
      </w:pPr>
      <w:r>
        <w:rPr>
          <w:b/>
          <w:sz w:val="20"/>
        </w:rPr>
        <w:t>Since</w:t>
      </w:r>
      <w:r>
        <w:rPr>
          <w:b/>
          <w:spacing w:val="-3"/>
          <w:sz w:val="20"/>
        </w:rPr>
        <w:t> </w:t>
      </w:r>
      <w:r>
        <w:rPr>
          <w:b/>
          <w:sz w:val="20"/>
        </w:rPr>
        <w:t>Visit:</w:t>
      </w:r>
      <w:r>
        <w:rPr>
          <w:b/>
          <w:spacing w:val="40"/>
          <w:sz w:val="20"/>
        </w:rPr>
        <w:t> </w:t>
      </w:r>
      <w:r>
        <w:rPr>
          <w:b/>
          <w:sz w:val="20"/>
        </w:rPr>
        <w:t>The</w:t>
      </w:r>
      <w:r>
        <w:rPr>
          <w:b/>
          <w:spacing w:val="-5"/>
          <w:sz w:val="20"/>
        </w:rPr>
        <w:t> </w:t>
      </w:r>
      <w:r>
        <w:rPr>
          <w:b/>
          <w:sz w:val="20"/>
        </w:rPr>
        <w:t>first</w:t>
      </w:r>
      <w:r>
        <w:rPr>
          <w:b/>
          <w:spacing w:val="-4"/>
          <w:sz w:val="20"/>
        </w:rPr>
        <w:t> </w:t>
      </w:r>
      <w:r>
        <w:rPr>
          <w:b/>
          <w:sz w:val="20"/>
        </w:rPr>
        <w:t>two</w:t>
      </w:r>
      <w:r>
        <w:rPr>
          <w:b/>
          <w:spacing w:val="-6"/>
          <w:sz w:val="20"/>
        </w:rPr>
        <w:t> </w:t>
      </w:r>
      <w:r>
        <w:rPr>
          <w:b/>
          <w:sz w:val="20"/>
        </w:rPr>
        <w:t>conditions</w:t>
      </w:r>
      <w:r>
        <w:rPr>
          <w:b/>
          <w:spacing w:val="-5"/>
          <w:sz w:val="20"/>
        </w:rPr>
        <w:t> </w:t>
      </w:r>
      <w:r>
        <w:rPr>
          <w:b/>
          <w:sz w:val="20"/>
        </w:rPr>
        <w:t>necessitated</w:t>
      </w:r>
      <w:r>
        <w:rPr>
          <w:b/>
          <w:spacing w:val="-2"/>
          <w:sz w:val="20"/>
        </w:rPr>
        <w:t> </w:t>
      </w:r>
      <w:r>
        <w:rPr>
          <w:b/>
          <w:sz w:val="20"/>
        </w:rPr>
        <w:t>an</w:t>
      </w:r>
      <w:r>
        <w:rPr>
          <w:b/>
          <w:spacing w:val="-4"/>
          <w:sz w:val="20"/>
        </w:rPr>
        <w:t> </w:t>
      </w:r>
      <w:r>
        <w:rPr>
          <w:b/>
          <w:sz w:val="20"/>
        </w:rPr>
        <w:t>interim</w:t>
      </w:r>
      <w:r>
        <w:rPr>
          <w:b/>
          <w:spacing w:val="-2"/>
          <w:sz w:val="20"/>
        </w:rPr>
        <w:t> </w:t>
      </w:r>
      <w:r>
        <w:rPr>
          <w:b/>
          <w:sz w:val="20"/>
        </w:rPr>
        <w:t>review.</w:t>
      </w:r>
      <w:r>
        <w:rPr>
          <w:b/>
          <w:spacing w:val="-5"/>
          <w:sz w:val="20"/>
        </w:rPr>
        <w:t> </w:t>
      </w:r>
      <w:r>
        <w:rPr>
          <w:b/>
          <w:sz w:val="20"/>
        </w:rPr>
        <w:t>In</w:t>
      </w:r>
      <w:r>
        <w:rPr>
          <w:b/>
          <w:spacing w:val="-4"/>
          <w:sz w:val="20"/>
        </w:rPr>
        <w:t> </w:t>
      </w:r>
      <w:r>
        <w:rPr>
          <w:b/>
          <w:sz w:val="20"/>
        </w:rPr>
        <w:t>Summer, 2012, this condition was determined to be met.</w:t>
      </w:r>
    </w:p>
    <w:p>
      <w:pPr>
        <w:spacing w:after="0" w:line="240" w:lineRule="auto"/>
        <w:jc w:val="left"/>
        <w:rPr>
          <w:sz w:val="20"/>
        </w:rPr>
        <w:sectPr>
          <w:headerReference w:type="default" r:id="rId147"/>
          <w:footerReference w:type="default" r:id="rId148"/>
          <w:pgSz w:w="12240" w:h="15840"/>
          <w:pgMar w:header="0" w:footer="974" w:top="1360" w:bottom="1160" w:left="1000" w:right="820"/>
        </w:sectPr>
      </w:pPr>
    </w:p>
    <w:p>
      <w:pPr>
        <w:spacing w:before="75"/>
        <w:ind w:left="440" w:right="0" w:firstLine="0"/>
        <w:jc w:val="left"/>
        <w:rPr>
          <w:b/>
          <w:sz w:val="20"/>
        </w:rPr>
      </w:pPr>
      <w:r>
        <w:rPr>
          <w:b/>
          <w:sz w:val="20"/>
        </w:rPr>
        <w:t>Physical</w:t>
      </w:r>
      <w:r>
        <w:rPr>
          <w:b/>
          <w:spacing w:val="-10"/>
          <w:sz w:val="20"/>
        </w:rPr>
        <w:t> </w:t>
      </w:r>
      <w:r>
        <w:rPr>
          <w:b/>
          <w:sz w:val="20"/>
        </w:rPr>
        <w:t>Resources</w:t>
      </w:r>
      <w:r>
        <w:rPr>
          <w:b/>
          <w:spacing w:val="-12"/>
          <w:sz w:val="20"/>
        </w:rPr>
        <w:t> </w:t>
      </w:r>
      <w:r>
        <w:rPr>
          <w:b/>
          <w:sz w:val="20"/>
        </w:rPr>
        <w:t>(Condition</w:t>
      </w:r>
      <w:r>
        <w:rPr>
          <w:b/>
          <w:spacing w:val="-11"/>
          <w:sz w:val="20"/>
        </w:rPr>
        <w:t> </w:t>
      </w:r>
      <w:r>
        <w:rPr>
          <w:b/>
          <w:spacing w:val="-5"/>
          <w:sz w:val="20"/>
        </w:rPr>
        <w:t>8)</w:t>
      </w:r>
    </w:p>
    <w:p>
      <w:pPr>
        <w:spacing w:line="254" w:lineRule="auto" w:before="125"/>
        <w:ind w:left="1159" w:right="683" w:firstLine="0"/>
        <w:jc w:val="left"/>
        <w:rPr>
          <w:i/>
          <w:sz w:val="22"/>
        </w:rPr>
      </w:pPr>
      <w:r>
        <w:rPr>
          <w:i/>
          <w:spacing w:val="-2"/>
          <w:w w:val="95"/>
          <w:sz w:val="22"/>
        </w:rPr>
        <w:t>The</w:t>
      </w:r>
      <w:r>
        <w:rPr>
          <w:i/>
          <w:spacing w:val="-3"/>
          <w:w w:val="95"/>
          <w:sz w:val="22"/>
        </w:rPr>
        <w:t> </w:t>
      </w:r>
      <w:r>
        <w:rPr>
          <w:i/>
          <w:spacing w:val="-2"/>
          <w:w w:val="95"/>
          <w:sz w:val="22"/>
        </w:rPr>
        <w:t>accredited</w:t>
      </w:r>
      <w:r>
        <w:rPr>
          <w:i/>
          <w:spacing w:val="-6"/>
          <w:w w:val="95"/>
          <w:sz w:val="22"/>
        </w:rPr>
        <w:t> </w:t>
      </w:r>
      <w:r>
        <w:rPr>
          <w:i/>
          <w:spacing w:val="-2"/>
          <w:w w:val="95"/>
          <w:sz w:val="22"/>
        </w:rPr>
        <w:t>degree</w:t>
      </w:r>
      <w:r>
        <w:rPr>
          <w:i/>
          <w:spacing w:val="-3"/>
          <w:w w:val="95"/>
          <w:sz w:val="22"/>
        </w:rPr>
        <w:t> </w:t>
      </w:r>
      <w:r>
        <w:rPr>
          <w:i/>
          <w:spacing w:val="-2"/>
          <w:w w:val="95"/>
          <w:sz w:val="22"/>
        </w:rPr>
        <w:t>program</w:t>
      </w:r>
      <w:r>
        <w:rPr>
          <w:i/>
          <w:spacing w:val="-5"/>
          <w:w w:val="95"/>
          <w:sz w:val="22"/>
        </w:rPr>
        <w:t> </w:t>
      </w:r>
      <w:r>
        <w:rPr>
          <w:i/>
          <w:spacing w:val="-2"/>
          <w:w w:val="95"/>
          <w:sz w:val="22"/>
        </w:rPr>
        <w:t>must</w:t>
      </w:r>
      <w:r>
        <w:rPr>
          <w:i/>
          <w:spacing w:val="-3"/>
          <w:w w:val="95"/>
          <w:sz w:val="22"/>
        </w:rPr>
        <w:t> </w:t>
      </w:r>
      <w:r>
        <w:rPr>
          <w:i/>
          <w:spacing w:val="-2"/>
          <w:w w:val="95"/>
          <w:sz w:val="22"/>
        </w:rPr>
        <w:t>provide</w:t>
      </w:r>
      <w:r>
        <w:rPr>
          <w:i/>
          <w:spacing w:val="-6"/>
          <w:w w:val="95"/>
          <w:sz w:val="22"/>
        </w:rPr>
        <w:t> </w:t>
      </w:r>
      <w:r>
        <w:rPr>
          <w:i/>
          <w:spacing w:val="-2"/>
          <w:w w:val="95"/>
          <w:sz w:val="22"/>
        </w:rPr>
        <w:t>the</w:t>
      </w:r>
      <w:r>
        <w:rPr>
          <w:i/>
          <w:spacing w:val="-3"/>
          <w:w w:val="95"/>
          <w:sz w:val="22"/>
        </w:rPr>
        <w:t> </w:t>
      </w:r>
      <w:r>
        <w:rPr>
          <w:i/>
          <w:spacing w:val="-2"/>
          <w:w w:val="95"/>
          <w:sz w:val="22"/>
        </w:rPr>
        <w:t>physical</w:t>
      </w:r>
      <w:r>
        <w:rPr>
          <w:i/>
          <w:spacing w:val="-3"/>
          <w:w w:val="95"/>
          <w:sz w:val="22"/>
        </w:rPr>
        <w:t> </w:t>
      </w:r>
      <w:r>
        <w:rPr>
          <w:i/>
          <w:spacing w:val="-2"/>
          <w:w w:val="95"/>
          <w:sz w:val="22"/>
        </w:rPr>
        <w:t>resources</w:t>
      </w:r>
      <w:r>
        <w:rPr>
          <w:i/>
          <w:spacing w:val="-3"/>
          <w:w w:val="95"/>
          <w:sz w:val="22"/>
        </w:rPr>
        <w:t> </w:t>
      </w:r>
      <w:r>
        <w:rPr>
          <w:i/>
          <w:spacing w:val="-2"/>
          <w:w w:val="95"/>
          <w:sz w:val="22"/>
        </w:rPr>
        <w:t>appropriate</w:t>
      </w:r>
      <w:r>
        <w:rPr>
          <w:i/>
          <w:spacing w:val="-3"/>
          <w:w w:val="95"/>
          <w:sz w:val="22"/>
        </w:rPr>
        <w:t> </w:t>
      </w:r>
      <w:r>
        <w:rPr>
          <w:i/>
          <w:spacing w:val="-2"/>
          <w:w w:val="95"/>
          <w:sz w:val="22"/>
        </w:rPr>
        <w:t>for a </w:t>
      </w:r>
      <w:r>
        <w:rPr>
          <w:i/>
          <w:w w:val="90"/>
          <w:sz w:val="22"/>
        </w:rPr>
        <w:t>professional degree program in architecture, including design studio space for the exclusive use</w:t>
      </w:r>
      <w:r>
        <w:rPr>
          <w:i/>
          <w:spacing w:val="40"/>
          <w:sz w:val="22"/>
        </w:rPr>
        <w:t> </w:t>
      </w:r>
      <w:r>
        <w:rPr>
          <w:i/>
          <w:spacing w:val="-2"/>
          <w:w w:val="95"/>
          <w:sz w:val="22"/>
        </w:rPr>
        <w:t>of</w:t>
      </w:r>
      <w:r>
        <w:rPr>
          <w:i/>
          <w:spacing w:val="-4"/>
          <w:w w:val="95"/>
          <w:sz w:val="22"/>
        </w:rPr>
        <w:t> </w:t>
      </w:r>
      <w:r>
        <w:rPr>
          <w:i/>
          <w:spacing w:val="-2"/>
          <w:w w:val="95"/>
          <w:sz w:val="22"/>
        </w:rPr>
        <w:t>each</w:t>
      </w:r>
      <w:r>
        <w:rPr>
          <w:i/>
          <w:spacing w:val="-5"/>
          <w:w w:val="95"/>
          <w:sz w:val="22"/>
        </w:rPr>
        <w:t> </w:t>
      </w:r>
      <w:r>
        <w:rPr>
          <w:i/>
          <w:spacing w:val="-2"/>
          <w:w w:val="95"/>
          <w:sz w:val="22"/>
        </w:rPr>
        <w:t>student</w:t>
      </w:r>
      <w:r>
        <w:rPr>
          <w:i/>
          <w:spacing w:val="-4"/>
          <w:w w:val="95"/>
          <w:sz w:val="22"/>
        </w:rPr>
        <w:t> </w:t>
      </w:r>
      <w:r>
        <w:rPr>
          <w:i/>
          <w:spacing w:val="-2"/>
          <w:w w:val="95"/>
          <w:sz w:val="22"/>
        </w:rPr>
        <w:t>in</w:t>
      </w:r>
      <w:r>
        <w:rPr>
          <w:i/>
          <w:spacing w:val="-5"/>
          <w:w w:val="95"/>
          <w:sz w:val="22"/>
        </w:rPr>
        <w:t> </w:t>
      </w:r>
      <w:r>
        <w:rPr>
          <w:i/>
          <w:spacing w:val="-2"/>
          <w:w w:val="95"/>
          <w:sz w:val="22"/>
        </w:rPr>
        <w:t>a</w:t>
      </w:r>
      <w:r>
        <w:rPr>
          <w:i/>
          <w:spacing w:val="-7"/>
          <w:w w:val="95"/>
          <w:sz w:val="22"/>
        </w:rPr>
        <w:t> </w:t>
      </w:r>
      <w:r>
        <w:rPr>
          <w:i/>
          <w:spacing w:val="-2"/>
          <w:w w:val="95"/>
          <w:sz w:val="22"/>
        </w:rPr>
        <w:t>studio</w:t>
      </w:r>
      <w:r>
        <w:rPr>
          <w:i/>
          <w:spacing w:val="-7"/>
          <w:w w:val="95"/>
          <w:sz w:val="22"/>
        </w:rPr>
        <w:t> </w:t>
      </w:r>
      <w:r>
        <w:rPr>
          <w:i/>
          <w:spacing w:val="-2"/>
          <w:w w:val="95"/>
          <w:sz w:val="22"/>
        </w:rPr>
        <w:t>class;</w:t>
      </w:r>
      <w:r>
        <w:rPr>
          <w:i/>
          <w:spacing w:val="-3"/>
          <w:w w:val="95"/>
          <w:sz w:val="22"/>
        </w:rPr>
        <w:t> </w:t>
      </w:r>
      <w:r>
        <w:rPr>
          <w:i/>
          <w:spacing w:val="-2"/>
          <w:w w:val="95"/>
          <w:sz w:val="22"/>
        </w:rPr>
        <w:t>lecture</w:t>
      </w:r>
      <w:r>
        <w:rPr>
          <w:i/>
          <w:spacing w:val="-4"/>
          <w:w w:val="95"/>
          <w:sz w:val="22"/>
        </w:rPr>
        <w:t> </w:t>
      </w:r>
      <w:r>
        <w:rPr>
          <w:i/>
          <w:spacing w:val="-2"/>
          <w:w w:val="95"/>
          <w:sz w:val="22"/>
        </w:rPr>
        <w:t>and</w:t>
      </w:r>
      <w:r>
        <w:rPr>
          <w:i/>
          <w:spacing w:val="-7"/>
          <w:w w:val="95"/>
          <w:sz w:val="22"/>
        </w:rPr>
        <w:t> </w:t>
      </w:r>
      <w:r>
        <w:rPr>
          <w:i/>
          <w:spacing w:val="-2"/>
          <w:w w:val="95"/>
          <w:sz w:val="22"/>
        </w:rPr>
        <w:t>seminar</w:t>
      </w:r>
      <w:r>
        <w:rPr>
          <w:i/>
          <w:spacing w:val="-3"/>
          <w:w w:val="95"/>
          <w:sz w:val="22"/>
        </w:rPr>
        <w:t> </w:t>
      </w:r>
      <w:r>
        <w:rPr>
          <w:i/>
          <w:spacing w:val="-2"/>
          <w:w w:val="95"/>
          <w:sz w:val="22"/>
        </w:rPr>
        <w:t>space</w:t>
      </w:r>
      <w:r>
        <w:rPr>
          <w:i/>
          <w:spacing w:val="-4"/>
          <w:w w:val="95"/>
          <w:sz w:val="22"/>
        </w:rPr>
        <w:t> </w:t>
      </w:r>
      <w:r>
        <w:rPr>
          <w:i/>
          <w:spacing w:val="-2"/>
          <w:w w:val="95"/>
          <w:sz w:val="22"/>
        </w:rPr>
        <w:t>to</w:t>
      </w:r>
      <w:r>
        <w:rPr>
          <w:i/>
          <w:spacing w:val="-5"/>
          <w:w w:val="95"/>
          <w:sz w:val="22"/>
        </w:rPr>
        <w:t> </w:t>
      </w:r>
      <w:r>
        <w:rPr>
          <w:i/>
          <w:spacing w:val="-2"/>
          <w:w w:val="95"/>
          <w:sz w:val="22"/>
        </w:rPr>
        <w:t>accommodate</w:t>
      </w:r>
      <w:r>
        <w:rPr>
          <w:i/>
          <w:spacing w:val="-7"/>
          <w:w w:val="95"/>
          <w:sz w:val="22"/>
        </w:rPr>
        <w:t> </w:t>
      </w:r>
      <w:r>
        <w:rPr>
          <w:i/>
          <w:spacing w:val="-2"/>
          <w:w w:val="95"/>
          <w:sz w:val="22"/>
        </w:rPr>
        <w:t>both</w:t>
      </w:r>
      <w:r>
        <w:rPr>
          <w:i/>
          <w:spacing w:val="-7"/>
          <w:w w:val="95"/>
          <w:sz w:val="22"/>
        </w:rPr>
        <w:t> </w:t>
      </w:r>
      <w:r>
        <w:rPr>
          <w:i/>
          <w:spacing w:val="-2"/>
          <w:w w:val="95"/>
          <w:sz w:val="22"/>
        </w:rPr>
        <w:t>didactic</w:t>
      </w:r>
      <w:r>
        <w:rPr>
          <w:i/>
          <w:spacing w:val="-5"/>
          <w:w w:val="95"/>
          <w:sz w:val="22"/>
        </w:rPr>
        <w:t> </w:t>
      </w:r>
      <w:r>
        <w:rPr>
          <w:i/>
          <w:spacing w:val="-2"/>
          <w:w w:val="95"/>
          <w:sz w:val="22"/>
        </w:rPr>
        <w:t>and </w:t>
      </w:r>
      <w:r>
        <w:rPr>
          <w:i/>
          <w:w w:val="95"/>
          <w:sz w:val="22"/>
        </w:rPr>
        <w:t>interactive</w:t>
      </w:r>
      <w:r>
        <w:rPr>
          <w:i/>
          <w:spacing w:val="-13"/>
          <w:w w:val="95"/>
          <w:sz w:val="22"/>
        </w:rPr>
        <w:t> </w:t>
      </w:r>
      <w:r>
        <w:rPr>
          <w:i/>
          <w:w w:val="95"/>
          <w:sz w:val="22"/>
        </w:rPr>
        <w:t>learning;</w:t>
      </w:r>
      <w:r>
        <w:rPr>
          <w:i/>
          <w:spacing w:val="-12"/>
          <w:w w:val="95"/>
          <w:sz w:val="22"/>
        </w:rPr>
        <w:t> </w:t>
      </w:r>
      <w:r>
        <w:rPr>
          <w:i/>
          <w:w w:val="95"/>
          <w:sz w:val="22"/>
        </w:rPr>
        <w:t>office</w:t>
      </w:r>
      <w:r>
        <w:rPr>
          <w:i/>
          <w:spacing w:val="-12"/>
          <w:w w:val="95"/>
          <w:sz w:val="22"/>
        </w:rPr>
        <w:t> </w:t>
      </w:r>
      <w:r>
        <w:rPr>
          <w:i/>
          <w:w w:val="95"/>
          <w:sz w:val="22"/>
        </w:rPr>
        <w:t>space</w:t>
      </w:r>
      <w:r>
        <w:rPr>
          <w:i/>
          <w:spacing w:val="-12"/>
          <w:w w:val="95"/>
          <w:sz w:val="22"/>
        </w:rPr>
        <w:t> </w:t>
      </w:r>
      <w:r>
        <w:rPr>
          <w:i/>
          <w:w w:val="95"/>
          <w:sz w:val="22"/>
        </w:rPr>
        <w:t>for</w:t>
      </w:r>
      <w:r>
        <w:rPr>
          <w:i/>
          <w:spacing w:val="-13"/>
          <w:w w:val="95"/>
          <w:sz w:val="22"/>
        </w:rPr>
        <w:t> </w:t>
      </w:r>
      <w:r>
        <w:rPr>
          <w:i/>
          <w:w w:val="95"/>
          <w:sz w:val="22"/>
        </w:rPr>
        <w:t>the</w:t>
      </w:r>
      <w:r>
        <w:rPr>
          <w:i/>
          <w:spacing w:val="-12"/>
          <w:w w:val="95"/>
          <w:sz w:val="22"/>
        </w:rPr>
        <w:t> </w:t>
      </w:r>
      <w:r>
        <w:rPr>
          <w:i/>
          <w:w w:val="95"/>
          <w:sz w:val="22"/>
        </w:rPr>
        <w:t>exclusive</w:t>
      </w:r>
      <w:r>
        <w:rPr>
          <w:i/>
          <w:spacing w:val="-12"/>
          <w:w w:val="95"/>
          <w:sz w:val="22"/>
        </w:rPr>
        <w:t> </w:t>
      </w:r>
      <w:r>
        <w:rPr>
          <w:i/>
          <w:w w:val="95"/>
          <w:sz w:val="22"/>
        </w:rPr>
        <w:t>use</w:t>
      </w:r>
      <w:r>
        <w:rPr>
          <w:i/>
          <w:spacing w:val="-13"/>
          <w:w w:val="95"/>
          <w:sz w:val="22"/>
        </w:rPr>
        <w:t> </w:t>
      </w:r>
      <w:r>
        <w:rPr>
          <w:i/>
          <w:w w:val="95"/>
          <w:sz w:val="22"/>
        </w:rPr>
        <w:t>of</w:t>
      </w:r>
      <w:r>
        <w:rPr>
          <w:i/>
          <w:spacing w:val="-12"/>
          <w:w w:val="95"/>
          <w:sz w:val="22"/>
        </w:rPr>
        <w:t> </w:t>
      </w:r>
      <w:r>
        <w:rPr>
          <w:i/>
          <w:w w:val="95"/>
          <w:sz w:val="22"/>
        </w:rPr>
        <w:t>each</w:t>
      </w:r>
      <w:r>
        <w:rPr>
          <w:i/>
          <w:spacing w:val="-12"/>
          <w:w w:val="95"/>
          <w:sz w:val="22"/>
        </w:rPr>
        <w:t> </w:t>
      </w:r>
      <w:r>
        <w:rPr>
          <w:i/>
          <w:w w:val="95"/>
          <w:sz w:val="22"/>
        </w:rPr>
        <w:t>full-time</w:t>
      </w:r>
      <w:r>
        <w:rPr>
          <w:i/>
          <w:spacing w:val="-13"/>
          <w:w w:val="95"/>
          <w:sz w:val="22"/>
        </w:rPr>
        <w:t> </w:t>
      </w:r>
      <w:r>
        <w:rPr>
          <w:i/>
          <w:w w:val="95"/>
          <w:sz w:val="22"/>
        </w:rPr>
        <w:t>faculty</w:t>
      </w:r>
      <w:r>
        <w:rPr>
          <w:i/>
          <w:spacing w:val="-12"/>
          <w:w w:val="95"/>
          <w:sz w:val="22"/>
        </w:rPr>
        <w:t> </w:t>
      </w:r>
      <w:r>
        <w:rPr>
          <w:i/>
          <w:w w:val="95"/>
          <w:sz w:val="22"/>
        </w:rPr>
        <w:t>member;</w:t>
      </w:r>
      <w:r>
        <w:rPr>
          <w:i/>
          <w:spacing w:val="-12"/>
          <w:w w:val="95"/>
          <w:sz w:val="22"/>
        </w:rPr>
        <w:t> </w:t>
      </w:r>
      <w:r>
        <w:rPr>
          <w:i/>
          <w:w w:val="95"/>
          <w:sz w:val="22"/>
        </w:rPr>
        <w:t>and </w:t>
      </w:r>
      <w:r>
        <w:rPr>
          <w:i/>
          <w:w w:val="90"/>
          <w:sz w:val="22"/>
        </w:rPr>
        <w:t>related instructional support space.</w:t>
      </w:r>
      <w:r>
        <w:rPr>
          <w:i/>
          <w:spacing w:val="40"/>
          <w:sz w:val="22"/>
        </w:rPr>
        <w:t> </w:t>
      </w:r>
      <w:r>
        <w:rPr>
          <w:i/>
          <w:w w:val="90"/>
          <w:sz w:val="22"/>
        </w:rPr>
        <w:t>The facilities must also be in compliance with the Americans </w:t>
      </w:r>
      <w:r>
        <w:rPr>
          <w:i/>
          <w:w w:val="95"/>
          <w:sz w:val="22"/>
        </w:rPr>
        <w:t>with</w:t>
      </w:r>
      <w:r>
        <w:rPr>
          <w:i/>
          <w:spacing w:val="-13"/>
          <w:w w:val="95"/>
          <w:sz w:val="22"/>
        </w:rPr>
        <w:t> </w:t>
      </w:r>
      <w:r>
        <w:rPr>
          <w:i/>
          <w:w w:val="95"/>
          <w:sz w:val="22"/>
        </w:rPr>
        <w:t>Disabilities</w:t>
      </w:r>
      <w:r>
        <w:rPr>
          <w:i/>
          <w:spacing w:val="-10"/>
          <w:w w:val="95"/>
          <w:sz w:val="22"/>
        </w:rPr>
        <w:t> </w:t>
      </w:r>
      <w:r>
        <w:rPr>
          <w:i/>
          <w:w w:val="95"/>
          <w:sz w:val="22"/>
        </w:rPr>
        <w:t>Act</w:t>
      </w:r>
      <w:r>
        <w:rPr>
          <w:i/>
          <w:spacing w:val="-11"/>
          <w:w w:val="95"/>
          <w:sz w:val="22"/>
        </w:rPr>
        <w:t> </w:t>
      </w:r>
      <w:r>
        <w:rPr>
          <w:i/>
          <w:w w:val="95"/>
          <w:sz w:val="22"/>
        </w:rPr>
        <w:t>(ADA)</w:t>
      </w:r>
      <w:r>
        <w:rPr>
          <w:i/>
          <w:spacing w:val="-13"/>
          <w:w w:val="95"/>
          <w:sz w:val="22"/>
        </w:rPr>
        <w:t> </w:t>
      </w:r>
      <w:r>
        <w:rPr>
          <w:i/>
          <w:w w:val="95"/>
          <w:sz w:val="22"/>
        </w:rPr>
        <w:t>and</w:t>
      </w:r>
      <w:r>
        <w:rPr>
          <w:i/>
          <w:spacing w:val="-11"/>
          <w:w w:val="95"/>
          <w:sz w:val="22"/>
        </w:rPr>
        <w:t> </w:t>
      </w:r>
      <w:r>
        <w:rPr>
          <w:i/>
          <w:w w:val="95"/>
          <w:sz w:val="22"/>
        </w:rPr>
        <w:t>applicable</w:t>
      </w:r>
      <w:r>
        <w:rPr>
          <w:i/>
          <w:spacing w:val="-11"/>
          <w:w w:val="95"/>
          <w:sz w:val="22"/>
        </w:rPr>
        <w:t> </w:t>
      </w:r>
      <w:r>
        <w:rPr>
          <w:i/>
          <w:w w:val="95"/>
          <w:sz w:val="22"/>
        </w:rPr>
        <w:t>building</w:t>
      </w:r>
      <w:r>
        <w:rPr>
          <w:i/>
          <w:spacing w:val="-12"/>
          <w:w w:val="95"/>
          <w:sz w:val="22"/>
        </w:rPr>
        <w:t> </w:t>
      </w:r>
      <w:r>
        <w:rPr>
          <w:i/>
          <w:w w:val="95"/>
          <w:sz w:val="22"/>
        </w:rPr>
        <w:t>codes.</w:t>
      </w:r>
    </w:p>
    <w:p>
      <w:pPr>
        <w:pStyle w:val="BodyText"/>
        <w:spacing w:before="2"/>
        <w:rPr>
          <w:i/>
          <w:sz w:val="17"/>
        </w:rPr>
      </w:pPr>
    </w:p>
    <w:p>
      <w:pPr>
        <w:spacing w:before="0"/>
        <w:ind w:left="1160" w:right="0" w:firstLine="0"/>
        <w:jc w:val="left"/>
        <w:rPr>
          <w:b/>
          <w:sz w:val="20"/>
        </w:rPr>
      </w:pPr>
      <w:r>
        <w:rPr>
          <w:b/>
          <w:sz w:val="20"/>
        </w:rPr>
        <w:t>VTR</w:t>
      </w:r>
      <w:r>
        <w:rPr>
          <w:b/>
          <w:spacing w:val="-3"/>
          <w:sz w:val="20"/>
        </w:rPr>
        <w:t> </w:t>
      </w:r>
      <w:r>
        <w:rPr>
          <w:b/>
          <w:spacing w:val="-2"/>
          <w:sz w:val="20"/>
        </w:rPr>
        <w:t>Comments:</w:t>
      </w:r>
    </w:p>
    <w:p>
      <w:pPr>
        <w:pStyle w:val="BodyText"/>
        <w:spacing w:before="7"/>
        <w:rPr>
          <w:b/>
          <w:sz w:val="18"/>
        </w:rPr>
      </w:pPr>
    </w:p>
    <w:p>
      <w:pPr>
        <w:pStyle w:val="ListParagraph"/>
        <w:numPr>
          <w:ilvl w:val="0"/>
          <w:numId w:val="40"/>
        </w:numPr>
        <w:tabs>
          <w:tab w:pos="1951" w:val="left" w:leader="none"/>
          <w:tab w:pos="1953" w:val="left" w:leader="none"/>
        </w:tabs>
        <w:spacing w:line="240" w:lineRule="auto" w:before="1" w:after="0"/>
        <w:ind w:left="1952" w:right="977" w:hanging="360"/>
        <w:jc w:val="left"/>
        <w:rPr>
          <w:sz w:val="20"/>
        </w:rPr>
      </w:pPr>
      <w:r>
        <w:rPr>
          <w:sz w:val="20"/>
        </w:rPr>
        <w:t>Bemis</w:t>
      </w:r>
      <w:r>
        <w:rPr>
          <w:spacing w:val="-2"/>
          <w:sz w:val="20"/>
        </w:rPr>
        <w:t> </w:t>
      </w:r>
      <w:r>
        <w:rPr>
          <w:sz w:val="20"/>
        </w:rPr>
        <w:t>Hall</w:t>
      </w:r>
      <w:r>
        <w:rPr>
          <w:spacing w:val="-2"/>
          <w:sz w:val="20"/>
        </w:rPr>
        <w:t> </w:t>
      </w:r>
      <w:r>
        <w:rPr>
          <w:sz w:val="20"/>
        </w:rPr>
        <w:t>was</w:t>
      </w:r>
      <w:r>
        <w:rPr>
          <w:spacing w:val="-2"/>
          <w:sz w:val="20"/>
        </w:rPr>
        <w:t> </w:t>
      </w:r>
      <w:r>
        <w:rPr>
          <w:sz w:val="20"/>
        </w:rPr>
        <w:t>constructed</w:t>
      </w:r>
      <w:r>
        <w:rPr>
          <w:spacing w:val="-3"/>
          <w:sz w:val="20"/>
        </w:rPr>
        <w:t> </w:t>
      </w:r>
      <w:r>
        <w:rPr>
          <w:sz w:val="20"/>
        </w:rPr>
        <w:t>in</w:t>
      </w:r>
      <w:r>
        <w:rPr>
          <w:spacing w:val="-1"/>
          <w:sz w:val="20"/>
        </w:rPr>
        <w:t> </w:t>
      </w:r>
      <w:r>
        <w:rPr>
          <w:sz w:val="20"/>
        </w:rPr>
        <w:t>1931</w:t>
      </w:r>
      <w:r>
        <w:rPr>
          <w:spacing w:val="-3"/>
          <w:sz w:val="20"/>
        </w:rPr>
        <w:t> </w:t>
      </w:r>
      <w:r>
        <w:rPr>
          <w:sz w:val="20"/>
        </w:rPr>
        <w:t>and</w:t>
      </w:r>
      <w:r>
        <w:rPr>
          <w:spacing w:val="-1"/>
          <w:sz w:val="20"/>
        </w:rPr>
        <w:t> </w:t>
      </w:r>
      <w:r>
        <w:rPr>
          <w:sz w:val="20"/>
        </w:rPr>
        <w:t>is</w:t>
      </w:r>
      <w:r>
        <w:rPr>
          <w:spacing w:val="-2"/>
          <w:sz w:val="20"/>
        </w:rPr>
        <w:t> </w:t>
      </w:r>
      <w:r>
        <w:rPr>
          <w:sz w:val="20"/>
        </w:rPr>
        <w:t>structurally</w:t>
      </w:r>
      <w:r>
        <w:rPr>
          <w:spacing w:val="-4"/>
          <w:sz w:val="20"/>
        </w:rPr>
        <w:t> </w:t>
      </w:r>
      <w:r>
        <w:rPr>
          <w:sz w:val="20"/>
        </w:rPr>
        <w:t>sound;</w:t>
      </w:r>
      <w:r>
        <w:rPr>
          <w:spacing w:val="-1"/>
          <w:sz w:val="20"/>
        </w:rPr>
        <w:t> </w:t>
      </w:r>
      <w:r>
        <w:rPr>
          <w:sz w:val="20"/>
        </w:rPr>
        <w:t>however</w:t>
      </w:r>
      <w:r>
        <w:rPr>
          <w:spacing w:val="-2"/>
          <w:sz w:val="20"/>
        </w:rPr>
        <w:t> </w:t>
      </w:r>
      <w:r>
        <w:rPr>
          <w:sz w:val="20"/>
        </w:rPr>
        <w:t>infrastructure systems and the building envelope are outdated and inefficient.</w:t>
      </w:r>
      <w:r>
        <w:rPr>
          <w:spacing w:val="40"/>
          <w:sz w:val="20"/>
        </w:rPr>
        <w:t> </w:t>
      </w:r>
      <w:r>
        <w:rPr>
          <w:sz w:val="20"/>
        </w:rPr>
        <w:t>Studio space is crowded and lecture rooms are poorly lit, arranged, and equipped.</w:t>
      </w:r>
      <w:r>
        <w:rPr>
          <w:spacing w:val="40"/>
          <w:sz w:val="20"/>
        </w:rPr>
        <w:t> </w:t>
      </w:r>
      <w:r>
        <w:rPr>
          <w:sz w:val="20"/>
        </w:rPr>
        <w:t>Even with these deficiencies,</w:t>
      </w:r>
      <w:r>
        <w:rPr>
          <w:spacing w:val="-5"/>
          <w:sz w:val="20"/>
        </w:rPr>
        <w:t> </w:t>
      </w:r>
      <w:r>
        <w:rPr>
          <w:sz w:val="20"/>
        </w:rPr>
        <w:t>Bemis</w:t>
      </w:r>
      <w:r>
        <w:rPr>
          <w:spacing w:val="-4"/>
          <w:sz w:val="20"/>
        </w:rPr>
        <w:t> </w:t>
      </w:r>
      <w:r>
        <w:rPr>
          <w:sz w:val="20"/>
        </w:rPr>
        <w:t>has</w:t>
      </w:r>
      <w:r>
        <w:rPr>
          <w:spacing w:val="-4"/>
          <w:sz w:val="20"/>
        </w:rPr>
        <w:t> </w:t>
      </w:r>
      <w:r>
        <w:rPr>
          <w:sz w:val="20"/>
        </w:rPr>
        <w:t>a</w:t>
      </w:r>
      <w:r>
        <w:rPr>
          <w:spacing w:val="-5"/>
          <w:sz w:val="20"/>
        </w:rPr>
        <w:t> </w:t>
      </w:r>
      <w:r>
        <w:rPr>
          <w:sz w:val="20"/>
        </w:rPr>
        <w:t>character</w:t>
      </w:r>
      <w:r>
        <w:rPr>
          <w:spacing w:val="-4"/>
          <w:sz w:val="20"/>
        </w:rPr>
        <w:t> </w:t>
      </w:r>
      <w:r>
        <w:rPr>
          <w:sz w:val="20"/>
        </w:rPr>
        <w:t>and</w:t>
      </w:r>
      <w:r>
        <w:rPr>
          <w:spacing w:val="-3"/>
          <w:sz w:val="20"/>
        </w:rPr>
        <w:t> </w:t>
      </w:r>
      <w:r>
        <w:rPr>
          <w:sz w:val="20"/>
        </w:rPr>
        <w:t>identity</w:t>
      </w:r>
      <w:r>
        <w:rPr>
          <w:spacing w:val="-8"/>
          <w:sz w:val="20"/>
        </w:rPr>
        <w:t> </w:t>
      </w:r>
      <w:r>
        <w:rPr>
          <w:sz w:val="20"/>
        </w:rPr>
        <w:t>suited</w:t>
      </w:r>
      <w:r>
        <w:rPr>
          <w:spacing w:val="-3"/>
          <w:sz w:val="20"/>
        </w:rPr>
        <w:t> </w:t>
      </w:r>
      <w:r>
        <w:rPr>
          <w:sz w:val="20"/>
        </w:rPr>
        <w:t>to</w:t>
      </w:r>
      <w:r>
        <w:rPr>
          <w:spacing w:val="-5"/>
          <w:sz w:val="20"/>
        </w:rPr>
        <w:t> </w:t>
      </w:r>
      <w:r>
        <w:rPr>
          <w:sz w:val="20"/>
        </w:rPr>
        <w:t>architectural</w:t>
      </w:r>
      <w:r>
        <w:rPr>
          <w:spacing w:val="-6"/>
          <w:sz w:val="20"/>
        </w:rPr>
        <w:t> </w:t>
      </w:r>
      <w:r>
        <w:rPr>
          <w:sz w:val="20"/>
        </w:rPr>
        <w:t>education</w:t>
      </w:r>
      <w:r>
        <w:rPr>
          <w:spacing w:val="-3"/>
          <w:sz w:val="20"/>
        </w:rPr>
        <w:t> </w:t>
      </w:r>
      <w:r>
        <w:rPr>
          <w:sz w:val="20"/>
        </w:rPr>
        <w:t>and should be properly restored.</w:t>
      </w:r>
      <w:r>
        <w:rPr>
          <w:spacing w:val="40"/>
          <w:sz w:val="20"/>
        </w:rPr>
        <w:t> </w:t>
      </w:r>
      <w:r>
        <w:rPr>
          <w:sz w:val="20"/>
        </w:rPr>
        <w:t>Heating and cooling issues should be addressed in consultation with the department chair and faculty.</w:t>
      </w:r>
    </w:p>
    <w:p>
      <w:pPr>
        <w:pStyle w:val="BodyText"/>
        <w:spacing w:before="6"/>
        <w:rPr>
          <w:sz w:val="17"/>
        </w:rPr>
      </w:pPr>
    </w:p>
    <w:p>
      <w:pPr>
        <w:pStyle w:val="BodyText"/>
        <w:ind w:left="1952" w:right="676"/>
      </w:pPr>
      <w:r>
        <w:rPr/>
        <w:t>The Team sees a need for additional studio and faculty office space, a large architectural</w:t>
      </w:r>
      <w:r>
        <w:rPr>
          <w:spacing w:val="-6"/>
        </w:rPr>
        <w:t> </w:t>
      </w:r>
      <w:r>
        <w:rPr/>
        <w:t>model-building</w:t>
      </w:r>
      <w:r>
        <w:rPr>
          <w:spacing w:val="-3"/>
        </w:rPr>
        <w:t> </w:t>
      </w:r>
      <w:r>
        <w:rPr/>
        <w:t>shop,</w:t>
      </w:r>
      <w:r>
        <w:rPr>
          <w:spacing w:val="-3"/>
        </w:rPr>
        <w:t> </w:t>
      </w:r>
      <w:r>
        <w:rPr/>
        <w:t>dedicated</w:t>
      </w:r>
      <w:r>
        <w:rPr>
          <w:spacing w:val="-5"/>
        </w:rPr>
        <w:t> </w:t>
      </w:r>
      <w:r>
        <w:rPr/>
        <w:t>outdoor</w:t>
      </w:r>
      <w:r>
        <w:rPr>
          <w:spacing w:val="-4"/>
        </w:rPr>
        <w:t> </w:t>
      </w:r>
      <w:r>
        <w:rPr/>
        <w:t>construction</w:t>
      </w:r>
      <w:r>
        <w:rPr>
          <w:spacing w:val="-5"/>
        </w:rPr>
        <w:t> </w:t>
      </w:r>
      <w:r>
        <w:rPr/>
        <w:t>space,</w:t>
      </w:r>
      <w:r>
        <w:rPr>
          <w:spacing w:val="-3"/>
        </w:rPr>
        <w:t> </w:t>
      </w:r>
      <w:r>
        <w:rPr/>
        <w:t>and</w:t>
      </w:r>
      <w:r>
        <w:rPr>
          <w:spacing w:val="-5"/>
        </w:rPr>
        <w:t> </w:t>
      </w:r>
      <w:r>
        <w:rPr/>
        <w:t>a</w:t>
      </w:r>
      <w:r>
        <w:rPr>
          <w:spacing w:val="-5"/>
        </w:rPr>
        <w:t> </w:t>
      </w:r>
      <w:r>
        <w:rPr/>
        <w:t>space</w:t>
      </w:r>
      <w:r>
        <w:rPr>
          <w:spacing w:val="-5"/>
        </w:rPr>
        <w:t> </w:t>
      </w:r>
      <w:r>
        <w:rPr/>
        <w:t>to assemble the entire student body (200 seats).</w:t>
      </w:r>
      <w:r>
        <w:rPr>
          <w:spacing w:val="40"/>
        </w:rPr>
        <w:t> </w:t>
      </w:r>
      <w:r>
        <w:rPr/>
        <w:t>The existing library, while convenient, would yield program space if moved to Harvey</w:t>
      </w:r>
      <w:r>
        <w:rPr>
          <w:spacing w:val="-1"/>
        </w:rPr>
        <w:t> </w:t>
      </w:r>
      <w:r>
        <w:rPr/>
        <w:t>Library.</w:t>
      </w:r>
      <w:r>
        <w:rPr>
          <w:spacing w:val="40"/>
        </w:rPr>
        <w:t> </w:t>
      </w:r>
      <w:r>
        <w:rPr/>
        <w:t>The ceramics studio located on the ground floor of Bemis is actually part of Liberal Arts’ space.</w:t>
      </w:r>
    </w:p>
    <w:p>
      <w:pPr>
        <w:pStyle w:val="BodyText"/>
        <w:spacing w:before="6"/>
        <w:rPr>
          <w:sz w:val="17"/>
        </w:rPr>
      </w:pPr>
    </w:p>
    <w:p>
      <w:pPr>
        <w:pStyle w:val="BodyText"/>
        <w:ind w:left="1952" w:right="712"/>
      </w:pPr>
      <w:r>
        <w:rPr/>
        <w:t>Regarding digital technology needs, students accept the requirement to provide their own computers, yet they are frustrated that formal training is not offered on software they</w:t>
      </w:r>
      <w:r>
        <w:rPr>
          <w:spacing w:val="-7"/>
        </w:rPr>
        <w:t> </w:t>
      </w:r>
      <w:r>
        <w:rPr/>
        <w:t>are</w:t>
      </w:r>
      <w:r>
        <w:rPr>
          <w:spacing w:val="-4"/>
        </w:rPr>
        <w:t> </w:t>
      </w:r>
      <w:r>
        <w:rPr/>
        <w:t>required</w:t>
      </w:r>
      <w:r>
        <w:rPr>
          <w:spacing w:val="-4"/>
        </w:rPr>
        <w:t> </w:t>
      </w:r>
      <w:r>
        <w:rPr/>
        <w:t>to</w:t>
      </w:r>
      <w:r>
        <w:rPr>
          <w:spacing w:val="-4"/>
        </w:rPr>
        <w:t> </w:t>
      </w:r>
      <w:r>
        <w:rPr/>
        <w:t>purchase.</w:t>
      </w:r>
      <w:r>
        <w:rPr>
          <w:spacing w:val="40"/>
        </w:rPr>
        <w:t> </w:t>
      </w:r>
      <w:r>
        <w:rPr/>
        <w:t>In</w:t>
      </w:r>
      <w:r>
        <w:rPr>
          <w:spacing w:val="-4"/>
        </w:rPr>
        <w:t> </w:t>
      </w:r>
      <w:r>
        <w:rPr/>
        <w:t>addition,</w:t>
      </w:r>
      <w:r>
        <w:rPr>
          <w:spacing w:val="-4"/>
        </w:rPr>
        <w:t> </w:t>
      </w:r>
      <w:r>
        <w:rPr/>
        <w:t>students would</w:t>
      </w:r>
      <w:r>
        <w:rPr>
          <w:spacing w:val="-4"/>
        </w:rPr>
        <w:t> </w:t>
      </w:r>
      <w:r>
        <w:rPr/>
        <w:t>appreciate</w:t>
      </w:r>
      <w:r>
        <w:rPr>
          <w:spacing w:val="-4"/>
        </w:rPr>
        <w:t> </w:t>
      </w:r>
      <w:r>
        <w:rPr/>
        <w:t>greater</w:t>
      </w:r>
      <w:r>
        <w:rPr>
          <w:spacing w:val="-1"/>
        </w:rPr>
        <w:t> </w:t>
      </w:r>
      <w:r>
        <w:rPr/>
        <w:t>access</w:t>
      </w:r>
      <w:r>
        <w:rPr>
          <w:spacing w:val="-3"/>
        </w:rPr>
        <w:t> </w:t>
      </w:r>
      <w:r>
        <w:rPr/>
        <w:t>to the department’s laser cutter and a wireless link to the department’s plotters.</w:t>
      </w:r>
    </w:p>
    <w:p>
      <w:pPr>
        <w:spacing w:before="197"/>
        <w:ind w:left="1160" w:right="0" w:firstLine="0"/>
        <w:jc w:val="left"/>
        <w:rPr>
          <w:b/>
          <w:sz w:val="20"/>
        </w:rPr>
      </w:pPr>
      <w:r>
        <w:rPr>
          <w:b/>
          <w:sz w:val="20"/>
        </w:rPr>
        <w:t>Program</w:t>
      </w:r>
      <w:r>
        <w:rPr>
          <w:b/>
          <w:spacing w:val="-8"/>
          <w:sz w:val="20"/>
        </w:rPr>
        <w:t> </w:t>
      </w:r>
      <w:r>
        <w:rPr>
          <w:b/>
          <w:sz w:val="20"/>
        </w:rPr>
        <w:t>Response</w:t>
      </w:r>
      <w:r>
        <w:rPr>
          <w:b/>
          <w:spacing w:val="-7"/>
          <w:sz w:val="20"/>
        </w:rPr>
        <w:t> </w:t>
      </w:r>
      <w:r>
        <w:rPr>
          <w:b/>
          <w:sz w:val="20"/>
        </w:rPr>
        <w:t>Since</w:t>
      </w:r>
      <w:r>
        <w:rPr>
          <w:b/>
          <w:spacing w:val="-7"/>
          <w:sz w:val="20"/>
        </w:rPr>
        <w:t> </w:t>
      </w:r>
      <w:r>
        <w:rPr>
          <w:b/>
          <w:sz w:val="20"/>
        </w:rPr>
        <w:t>Last</w:t>
      </w:r>
      <w:r>
        <w:rPr>
          <w:b/>
          <w:spacing w:val="-8"/>
          <w:sz w:val="20"/>
        </w:rPr>
        <w:t> </w:t>
      </w:r>
      <w:r>
        <w:rPr>
          <w:b/>
          <w:spacing w:val="-2"/>
          <w:sz w:val="20"/>
        </w:rPr>
        <w:t>Visit:</w:t>
      </w:r>
    </w:p>
    <w:p>
      <w:pPr>
        <w:pStyle w:val="BodyText"/>
        <w:spacing w:before="9"/>
        <w:rPr>
          <w:b/>
          <w:sz w:val="18"/>
        </w:rPr>
      </w:pPr>
    </w:p>
    <w:p>
      <w:pPr>
        <w:pStyle w:val="ListParagraph"/>
        <w:numPr>
          <w:ilvl w:val="0"/>
          <w:numId w:val="40"/>
        </w:numPr>
        <w:tabs>
          <w:tab w:pos="1952" w:val="left" w:leader="none"/>
          <w:tab w:pos="1953" w:val="left" w:leader="none"/>
        </w:tabs>
        <w:spacing w:line="240" w:lineRule="auto" w:before="0" w:after="0"/>
        <w:ind w:left="1952" w:right="674" w:hanging="360"/>
        <w:jc w:val="left"/>
        <w:rPr>
          <w:sz w:val="20"/>
        </w:rPr>
      </w:pPr>
      <w:r>
        <w:rPr>
          <w:sz w:val="20"/>
        </w:rPr>
        <w:t>2010 Response: The primary issue surrounding the physical resources of Bemis Laboratory is its size. As indicated above, at the time of the Team Visit, we had 192 students in our program and our classrooms were overcrowded. Our student population has decreased and the overcrowding has been mitigated. Two recommendations made by the Visiting Team (expanding into the first floor ceramics lab and moving the library resources from Bemis Laboratory into the main university library) have not been fully explored,</w:t>
      </w:r>
      <w:r>
        <w:rPr>
          <w:spacing w:val="-4"/>
          <w:sz w:val="20"/>
        </w:rPr>
        <w:t> </w:t>
      </w:r>
      <w:r>
        <w:rPr>
          <w:sz w:val="20"/>
        </w:rPr>
        <w:t>but</w:t>
      </w:r>
      <w:r>
        <w:rPr>
          <w:spacing w:val="-4"/>
          <w:sz w:val="20"/>
        </w:rPr>
        <w:t> </w:t>
      </w:r>
      <w:r>
        <w:rPr>
          <w:sz w:val="20"/>
        </w:rPr>
        <w:t>carry</w:t>
      </w:r>
      <w:r>
        <w:rPr>
          <w:spacing w:val="-7"/>
          <w:sz w:val="20"/>
        </w:rPr>
        <w:t> </w:t>
      </w:r>
      <w:r>
        <w:rPr>
          <w:sz w:val="20"/>
        </w:rPr>
        <w:t>significant</w:t>
      </w:r>
      <w:r>
        <w:rPr>
          <w:spacing w:val="-4"/>
          <w:sz w:val="20"/>
        </w:rPr>
        <w:t> </w:t>
      </w:r>
      <w:r>
        <w:rPr>
          <w:sz w:val="20"/>
        </w:rPr>
        <w:t>programmatic</w:t>
      </w:r>
      <w:r>
        <w:rPr>
          <w:spacing w:val="-3"/>
          <w:sz w:val="20"/>
        </w:rPr>
        <w:t> </w:t>
      </w:r>
      <w:r>
        <w:rPr>
          <w:sz w:val="20"/>
        </w:rPr>
        <w:t>and</w:t>
      </w:r>
      <w:r>
        <w:rPr>
          <w:spacing w:val="-4"/>
          <w:sz w:val="20"/>
        </w:rPr>
        <w:t> </w:t>
      </w:r>
      <w:r>
        <w:rPr>
          <w:sz w:val="20"/>
        </w:rPr>
        <w:t>financial</w:t>
      </w:r>
      <w:r>
        <w:rPr>
          <w:spacing w:val="-3"/>
          <w:sz w:val="20"/>
        </w:rPr>
        <w:t> </w:t>
      </w:r>
      <w:r>
        <w:rPr>
          <w:sz w:val="20"/>
        </w:rPr>
        <w:t>costs.</w:t>
      </w:r>
      <w:r>
        <w:rPr>
          <w:spacing w:val="-4"/>
          <w:sz w:val="20"/>
        </w:rPr>
        <w:t> </w:t>
      </w:r>
      <w:r>
        <w:rPr>
          <w:sz w:val="20"/>
        </w:rPr>
        <w:t>The</w:t>
      </w:r>
      <w:r>
        <w:rPr>
          <w:spacing w:val="-4"/>
          <w:sz w:val="20"/>
        </w:rPr>
        <w:t> </w:t>
      </w:r>
      <w:r>
        <w:rPr>
          <w:sz w:val="20"/>
        </w:rPr>
        <w:t>Dean</w:t>
      </w:r>
      <w:r>
        <w:rPr>
          <w:spacing w:val="-2"/>
          <w:sz w:val="20"/>
        </w:rPr>
        <w:t> </w:t>
      </w:r>
      <w:r>
        <w:rPr>
          <w:sz w:val="20"/>
        </w:rPr>
        <w:t>of</w:t>
      </w:r>
      <w:r>
        <w:rPr>
          <w:spacing w:val="-2"/>
          <w:sz w:val="20"/>
        </w:rPr>
        <w:t> </w:t>
      </w:r>
      <w:r>
        <w:rPr>
          <w:sz w:val="20"/>
        </w:rPr>
        <w:t>the</w:t>
      </w:r>
      <w:r>
        <w:rPr>
          <w:spacing w:val="-1"/>
          <w:sz w:val="20"/>
        </w:rPr>
        <w:t> </w:t>
      </w:r>
      <w:r>
        <w:rPr>
          <w:sz w:val="20"/>
        </w:rPr>
        <w:t>School of Engineering and Technology and the Dean of the School of Liberal Arts have discussed moving the ceramics lab, but a location that will accommodate the class and kiln</w:t>
      </w:r>
      <w:r>
        <w:rPr>
          <w:spacing w:val="-1"/>
          <w:sz w:val="20"/>
        </w:rPr>
        <w:t> </w:t>
      </w:r>
      <w:r>
        <w:rPr>
          <w:sz w:val="20"/>
        </w:rPr>
        <w:t>has not yet</w:t>
      </w:r>
      <w:r>
        <w:rPr>
          <w:spacing w:val="-1"/>
          <w:sz w:val="20"/>
        </w:rPr>
        <w:t> </w:t>
      </w:r>
      <w:r>
        <w:rPr>
          <w:sz w:val="20"/>
        </w:rPr>
        <w:t>been found. Additionally, the</w:t>
      </w:r>
      <w:r>
        <w:rPr>
          <w:spacing w:val="-1"/>
          <w:sz w:val="20"/>
        </w:rPr>
        <w:t> </w:t>
      </w:r>
      <w:r>
        <w:rPr>
          <w:sz w:val="20"/>
        </w:rPr>
        <w:t>University</w:t>
      </w:r>
      <w:r>
        <w:rPr>
          <w:spacing w:val="-2"/>
          <w:sz w:val="20"/>
        </w:rPr>
        <w:t> </w:t>
      </w:r>
      <w:r>
        <w:rPr>
          <w:sz w:val="20"/>
        </w:rPr>
        <w:t>made</w:t>
      </w:r>
      <w:r>
        <w:rPr>
          <w:spacing w:val="-1"/>
          <w:sz w:val="20"/>
        </w:rPr>
        <w:t> </w:t>
      </w:r>
      <w:r>
        <w:rPr>
          <w:sz w:val="20"/>
        </w:rPr>
        <w:t>a</w:t>
      </w:r>
      <w:r>
        <w:rPr>
          <w:spacing w:val="-1"/>
          <w:sz w:val="20"/>
        </w:rPr>
        <w:t> </w:t>
      </w:r>
      <w:r>
        <w:rPr>
          <w:sz w:val="20"/>
        </w:rPr>
        <w:t>significant investment in upgrading the mechanical system in the building and made repairs to the roof. The University has proposed an addition to the Architecture building when funds become available. Other physical resource improvements have also been made to the program. We have acquired 66 new desks; a new large format scanner, and new computers for the library and faculty.</w:t>
      </w:r>
    </w:p>
    <w:p>
      <w:pPr>
        <w:pStyle w:val="BodyText"/>
        <w:spacing w:before="7"/>
        <w:rPr>
          <w:sz w:val="18"/>
        </w:rPr>
      </w:pPr>
    </w:p>
    <w:p>
      <w:pPr>
        <w:pStyle w:val="ListParagraph"/>
        <w:numPr>
          <w:ilvl w:val="0"/>
          <w:numId w:val="40"/>
        </w:numPr>
        <w:tabs>
          <w:tab w:pos="1951" w:val="left" w:leader="none"/>
          <w:tab w:pos="1953" w:val="left" w:leader="none"/>
        </w:tabs>
        <w:spacing w:line="240" w:lineRule="auto" w:before="0" w:after="0"/>
        <w:ind w:left="1952" w:right="626" w:hanging="360"/>
        <w:jc w:val="left"/>
        <w:rPr>
          <w:sz w:val="20"/>
        </w:rPr>
      </w:pPr>
      <w:r>
        <w:rPr>
          <w:sz w:val="20"/>
        </w:rPr>
        <w:t>2011 Response: As indicated above, our enrollment has decreased to a manageable level. During the past year, our facilities have received extensive attention. The building suffered extensive damage from Hurricane Irene in August, 2011. The University responded immediately by providing for the roof to be completely replaced. Our mechanical systems have been significantly improved and building comfort has increased</w:t>
      </w:r>
      <w:r>
        <w:rPr>
          <w:spacing w:val="-2"/>
          <w:sz w:val="20"/>
        </w:rPr>
        <w:t> </w:t>
      </w:r>
      <w:r>
        <w:rPr>
          <w:sz w:val="20"/>
        </w:rPr>
        <w:t>as</w:t>
      </w:r>
      <w:r>
        <w:rPr>
          <w:spacing w:val="-3"/>
          <w:sz w:val="20"/>
        </w:rPr>
        <w:t> </w:t>
      </w:r>
      <w:r>
        <w:rPr>
          <w:sz w:val="20"/>
        </w:rPr>
        <w:t>a</w:t>
      </w:r>
      <w:r>
        <w:rPr>
          <w:spacing w:val="-4"/>
          <w:sz w:val="20"/>
        </w:rPr>
        <w:t> </w:t>
      </w:r>
      <w:r>
        <w:rPr>
          <w:sz w:val="20"/>
        </w:rPr>
        <w:t>result</w:t>
      </w:r>
      <w:r>
        <w:rPr>
          <w:spacing w:val="-4"/>
          <w:sz w:val="20"/>
        </w:rPr>
        <w:t> </w:t>
      </w:r>
      <w:r>
        <w:rPr>
          <w:sz w:val="20"/>
        </w:rPr>
        <w:t>of</w:t>
      </w:r>
      <w:r>
        <w:rPr>
          <w:spacing w:val="-2"/>
          <w:sz w:val="20"/>
        </w:rPr>
        <w:t> </w:t>
      </w:r>
      <w:r>
        <w:rPr>
          <w:sz w:val="20"/>
        </w:rPr>
        <w:t>compressor</w:t>
      </w:r>
      <w:r>
        <w:rPr>
          <w:spacing w:val="-3"/>
          <w:sz w:val="20"/>
        </w:rPr>
        <w:t> </w:t>
      </w:r>
      <w:r>
        <w:rPr>
          <w:sz w:val="20"/>
        </w:rPr>
        <w:t>replacements</w:t>
      </w:r>
      <w:r>
        <w:rPr>
          <w:spacing w:val="-3"/>
          <w:sz w:val="20"/>
        </w:rPr>
        <w:t> </w:t>
      </w:r>
      <w:r>
        <w:rPr>
          <w:sz w:val="20"/>
        </w:rPr>
        <w:t>and</w:t>
      </w:r>
      <w:r>
        <w:rPr>
          <w:spacing w:val="-4"/>
          <w:sz w:val="20"/>
        </w:rPr>
        <w:t> </w:t>
      </w:r>
      <w:r>
        <w:rPr>
          <w:sz w:val="20"/>
        </w:rPr>
        <w:t>pipe</w:t>
      </w:r>
      <w:r>
        <w:rPr>
          <w:spacing w:val="-4"/>
          <w:sz w:val="20"/>
        </w:rPr>
        <w:t> </w:t>
      </w:r>
      <w:r>
        <w:rPr>
          <w:sz w:val="20"/>
        </w:rPr>
        <w:t>maintenance.</w:t>
      </w:r>
      <w:r>
        <w:rPr>
          <w:spacing w:val="-4"/>
          <w:sz w:val="20"/>
        </w:rPr>
        <w:t> </w:t>
      </w:r>
      <w:r>
        <w:rPr>
          <w:sz w:val="20"/>
        </w:rPr>
        <w:t>The</w:t>
      </w:r>
      <w:r>
        <w:rPr>
          <w:spacing w:val="-4"/>
          <w:sz w:val="20"/>
        </w:rPr>
        <w:t> </w:t>
      </w:r>
      <w:r>
        <w:rPr>
          <w:sz w:val="20"/>
        </w:rPr>
        <w:t>University continues to study options for expanding our physical resources. Our lecture series has been moved into an auditorium in Phenix Hall, which has a seating capacity of over 300 (exceeding our enrollment). This allows for more flexible use of remaining large</w:t>
      </w:r>
    </w:p>
    <w:p>
      <w:pPr>
        <w:spacing w:after="0" w:line="240" w:lineRule="auto"/>
        <w:jc w:val="left"/>
        <w:rPr>
          <w:sz w:val="20"/>
        </w:rPr>
        <w:sectPr>
          <w:headerReference w:type="default" r:id="rId149"/>
          <w:footerReference w:type="default" r:id="rId150"/>
          <w:pgSz w:w="12240" w:h="15840"/>
          <w:pgMar w:header="0" w:footer="974" w:top="1360" w:bottom="1160" w:left="1000" w:right="820"/>
        </w:sectPr>
      </w:pPr>
    </w:p>
    <w:p>
      <w:pPr>
        <w:pStyle w:val="BodyText"/>
        <w:spacing w:before="77"/>
        <w:ind w:left="1952" w:right="642"/>
      </w:pPr>
      <w:r>
        <w:rPr/>
        <w:t>classroom</w:t>
      </w:r>
      <w:r>
        <w:rPr>
          <w:spacing w:val="-1"/>
        </w:rPr>
        <w:t> </w:t>
      </w:r>
      <w:r>
        <w:rPr/>
        <w:t>spaces</w:t>
      </w:r>
      <w:r>
        <w:rPr>
          <w:spacing w:val="-4"/>
        </w:rPr>
        <w:t> </w:t>
      </w:r>
      <w:r>
        <w:rPr/>
        <w:t>in</w:t>
      </w:r>
      <w:r>
        <w:rPr>
          <w:spacing w:val="-5"/>
        </w:rPr>
        <w:t> </w:t>
      </w:r>
      <w:r>
        <w:rPr/>
        <w:t>Bemis.</w:t>
      </w:r>
      <w:r>
        <w:rPr>
          <w:spacing w:val="-5"/>
        </w:rPr>
        <w:t> </w:t>
      </w:r>
      <w:r>
        <w:rPr/>
        <w:t>During</w:t>
      </w:r>
      <w:r>
        <w:rPr>
          <w:spacing w:val="-5"/>
        </w:rPr>
        <w:t> </w:t>
      </w:r>
      <w:r>
        <w:rPr/>
        <w:t>construction,</w:t>
      </w:r>
      <w:r>
        <w:rPr>
          <w:spacing w:val="-3"/>
        </w:rPr>
        <w:t> </w:t>
      </w:r>
      <w:r>
        <w:rPr/>
        <w:t>for</w:t>
      </w:r>
      <w:r>
        <w:rPr>
          <w:spacing w:val="-4"/>
        </w:rPr>
        <w:t> </w:t>
      </w:r>
      <w:r>
        <w:rPr/>
        <w:t>example,</w:t>
      </w:r>
      <w:r>
        <w:rPr>
          <w:spacing w:val="-5"/>
        </w:rPr>
        <w:t> </w:t>
      </w:r>
      <w:r>
        <w:rPr/>
        <w:t>the</w:t>
      </w:r>
      <w:r>
        <w:rPr>
          <w:spacing w:val="-3"/>
        </w:rPr>
        <w:t> </w:t>
      </w:r>
      <w:r>
        <w:rPr/>
        <w:t>Bemis</w:t>
      </w:r>
      <w:r>
        <w:rPr>
          <w:spacing w:val="-4"/>
        </w:rPr>
        <w:t> </w:t>
      </w:r>
      <w:r>
        <w:rPr/>
        <w:t>Auditorium</w:t>
      </w:r>
      <w:r>
        <w:rPr>
          <w:spacing w:val="-1"/>
        </w:rPr>
        <w:t> </w:t>
      </w:r>
      <w:r>
        <w:rPr/>
        <w:t>has been used as a studio space.</w:t>
      </w:r>
    </w:p>
    <w:p>
      <w:pPr>
        <w:pStyle w:val="BodyText"/>
        <w:spacing w:before="7"/>
        <w:rPr>
          <w:sz w:val="18"/>
        </w:rPr>
      </w:pPr>
    </w:p>
    <w:p>
      <w:pPr>
        <w:pStyle w:val="ListParagraph"/>
        <w:numPr>
          <w:ilvl w:val="0"/>
          <w:numId w:val="40"/>
        </w:numPr>
        <w:tabs>
          <w:tab w:pos="1951" w:val="left" w:leader="none"/>
          <w:tab w:pos="1952" w:val="left" w:leader="none"/>
        </w:tabs>
        <w:spacing w:line="240" w:lineRule="auto" w:before="0" w:after="0"/>
        <w:ind w:left="1951" w:right="684" w:hanging="360"/>
        <w:jc w:val="left"/>
        <w:rPr>
          <w:sz w:val="20"/>
        </w:rPr>
      </w:pPr>
      <w:r>
        <w:rPr>
          <w:sz w:val="20"/>
        </w:rPr>
        <w:t>2012 Response: To compete in the Solar Decathlon, the School of Engineering &amp; Technology has made space available in the Olin Engineering Building for our SD Design Studio. Additionally, our reduced enrollment has resulted in adequate room being available in Bemis Laboratory to meet the needs of the Department. As we collaborate with other institutions and departments on and around campus, we are also provided access to extended technology enhancements, including instructional telecommunications and computer hardware / software. Our CADD lab has added an additional plotter ( a corporate gift ), a copy machine and five new computers with updated BIM and modeling simulation software. The University studied the recommendations of the Visiting Team (described above) and determined that moving the</w:t>
      </w:r>
      <w:r>
        <w:rPr>
          <w:spacing w:val="-4"/>
          <w:sz w:val="20"/>
        </w:rPr>
        <w:t> </w:t>
      </w:r>
      <w:r>
        <w:rPr>
          <w:sz w:val="20"/>
        </w:rPr>
        <w:t>ceramics</w:t>
      </w:r>
      <w:r>
        <w:rPr>
          <w:spacing w:val="-3"/>
          <w:sz w:val="20"/>
        </w:rPr>
        <w:t> </w:t>
      </w:r>
      <w:r>
        <w:rPr>
          <w:sz w:val="20"/>
        </w:rPr>
        <w:t>studio</w:t>
      </w:r>
      <w:r>
        <w:rPr>
          <w:spacing w:val="-2"/>
          <w:sz w:val="20"/>
        </w:rPr>
        <w:t> </w:t>
      </w:r>
      <w:r>
        <w:rPr>
          <w:sz w:val="20"/>
        </w:rPr>
        <w:t>would</w:t>
      </w:r>
      <w:r>
        <w:rPr>
          <w:spacing w:val="-2"/>
          <w:sz w:val="20"/>
        </w:rPr>
        <w:t> </w:t>
      </w:r>
      <w:r>
        <w:rPr>
          <w:sz w:val="20"/>
        </w:rPr>
        <w:t>have</w:t>
      </w:r>
      <w:r>
        <w:rPr>
          <w:spacing w:val="-4"/>
          <w:sz w:val="20"/>
        </w:rPr>
        <w:t> </w:t>
      </w:r>
      <w:r>
        <w:rPr>
          <w:sz w:val="20"/>
        </w:rPr>
        <w:t>an</w:t>
      </w:r>
      <w:r>
        <w:rPr>
          <w:spacing w:val="-4"/>
          <w:sz w:val="20"/>
        </w:rPr>
        <w:t> </w:t>
      </w:r>
      <w:r>
        <w:rPr>
          <w:sz w:val="20"/>
        </w:rPr>
        <w:t>adverse</w:t>
      </w:r>
      <w:r>
        <w:rPr>
          <w:spacing w:val="-2"/>
          <w:sz w:val="20"/>
        </w:rPr>
        <w:t> </w:t>
      </w:r>
      <w:r>
        <w:rPr>
          <w:sz w:val="20"/>
        </w:rPr>
        <w:t>impact</w:t>
      </w:r>
      <w:r>
        <w:rPr>
          <w:spacing w:val="-4"/>
          <w:sz w:val="20"/>
        </w:rPr>
        <w:t> </w:t>
      </w:r>
      <w:r>
        <w:rPr>
          <w:sz w:val="20"/>
        </w:rPr>
        <w:t>on</w:t>
      </w:r>
      <w:r>
        <w:rPr>
          <w:spacing w:val="-2"/>
          <w:sz w:val="20"/>
        </w:rPr>
        <w:t> </w:t>
      </w:r>
      <w:r>
        <w:rPr>
          <w:sz w:val="20"/>
        </w:rPr>
        <w:t>the</w:t>
      </w:r>
      <w:r>
        <w:rPr>
          <w:spacing w:val="-2"/>
          <w:sz w:val="20"/>
        </w:rPr>
        <w:t> </w:t>
      </w:r>
      <w:r>
        <w:rPr>
          <w:sz w:val="20"/>
        </w:rPr>
        <w:t>Art</w:t>
      </w:r>
      <w:r>
        <w:rPr>
          <w:spacing w:val="-4"/>
          <w:sz w:val="20"/>
        </w:rPr>
        <w:t> </w:t>
      </w:r>
      <w:r>
        <w:rPr>
          <w:sz w:val="20"/>
        </w:rPr>
        <w:t>Program.</w:t>
      </w:r>
      <w:r>
        <w:rPr>
          <w:spacing w:val="-4"/>
          <w:sz w:val="20"/>
        </w:rPr>
        <w:t> </w:t>
      </w:r>
      <w:r>
        <w:rPr>
          <w:sz w:val="20"/>
        </w:rPr>
        <w:t>The</w:t>
      </w:r>
      <w:r>
        <w:rPr>
          <w:spacing w:val="-4"/>
          <w:sz w:val="20"/>
        </w:rPr>
        <w:t> </w:t>
      </w:r>
      <w:r>
        <w:rPr>
          <w:sz w:val="20"/>
        </w:rPr>
        <w:t>Department faculty determined that the relative benefits of the Library space would be diminished significantly by the relocation of the Library functions to the main library building on campus. Our library, with the CADD Lab now integral to it, is a hub of activity in the program and adds to the community culture of the program.</w:t>
      </w:r>
    </w:p>
    <w:p>
      <w:pPr>
        <w:pStyle w:val="BodyText"/>
        <w:spacing w:before="7"/>
        <w:rPr>
          <w:sz w:val="18"/>
        </w:rPr>
      </w:pPr>
    </w:p>
    <w:p>
      <w:pPr>
        <w:pStyle w:val="ListParagraph"/>
        <w:numPr>
          <w:ilvl w:val="0"/>
          <w:numId w:val="40"/>
        </w:numPr>
        <w:tabs>
          <w:tab w:pos="1951" w:val="left" w:leader="none"/>
          <w:tab w:pos="1952" w:val="left" w:leader="none"/>
        </w:tabs>
        <w:spacing w:line="240" w:lineRule="auto" w:before="0" w:after="0"/>
        <w:ind w:left="1951" w:right="655" w:hanging="360"/>
        <w:jc w:val="left"/>
        <w:rPr>
          <w:sz w:val="20"/>
        </w:rPr>
      </w:pPr>
      <w:r>
        <w:rPr>
          <w:sz w:val="20"/>
        </w:rPr>
        <w:t>2013-2014</w:t>
      </w:r>
      <w:r>
        <w:rPr>
          <w:spacing w:val="-1"/>
          <w:sz w:val="20"/>
        </w:rPr>
        <w:t> </w:t>
      </w:r>
      <w:r>
        <w:rPr>
          <w:sz w:val="20"/>
        </w:rPr>
        <w:t>Response:</w:t>
      </w:r>
      <w:r>
        <w:rPr>
          <w:spacing w:val="-1"/>
          <w:sz w:val="20"/>
        </w:rPr>
        <w:t> </w:t>
      </w:r>
      <w:r>
        <w:rPr>
          <w:sz w:val="20"/>
        </w:rPr>
        <w:t>Our program has reviewed</w:t>
      </w:r>
      <w:r>
        <w:rPr>
          <w:spacing w:val="-1"/>
          <w:sz w:val="20"/>
        </w:rPr>
        <w:t> </w:t>
      </w:r>
      <w:r>
        <w:rPr>
          <w:sz w:val="20"/>
        </w:rPr>
        <w:t>and debated the</w:t>
      </w:r>
      <w:r>
        <w:rPr>
          <w:spacing w:val="-1"/>
          <w:sz w:val="20"/>
        </w:rPr>
        <w:t> </w:t>
      </w:r>
      <w:r>
        <w:rPr>
          <w:sz w:val="20"/>
        </w:rPr>
        <w:t>recommendations of the NAAB Team, particularly the suggestions to relocated the library and seek to relocated</w:t>
      </w:r>
      <w:r>
        <w:rPr>
          <w:spacing w:val="-5"/>
          <w:sz w:val="20"/>
        </w:rPr>
        <w:t> </w:t>
      </w:r>
      <w:r>
        <w:rPr>
          <w:sz w:val="20"/>
        </w:rPr>
        <w:t>art</w:t>
      </w:r>
      <w:r>
        <w:rPr>
          <w:spacing w:val="-3"/>
          <w:sz w:val="20"/>
        </w:rPr>
        <w:t> </w:t>
      </w:r>
      <w:r>
        <w:rPr>
          <w:sz w:val="20"/>
        </w:rPr>
        <w:t>department</w:t>
      </w:r>
      <w:r>
        <w:rPr>
          <w:spacing w:val="-5"/>
          <w:sz w:val="20"/>
        </w:rPr>
        <w:t> </w:t>
      </w:r>
      <w:r>
        <w:rPr>
          <w:sz w:val="20"/>
        </w:rPr>
        <w:t>related</w:t>
      </w:r>
      <w:r>
        <w:rPr>
          <w:spacing w:val="-5"/>
          <w:sz w:val="20"/>
        </w:rPr>
        <w:t> </w:t>
      </w:r>
      <w:r>
        <w:rPr>
          <w:sz w:val="20"/>
        </w:rPr>
        <w:t>instructional</w:t>
      </w:r>
      <w:r>
        <w:rPr>
          <w:spacing w:val="-6"/>
          <w:sz w:val="20"/>
        </w:rPr>
        <w:t> </w:t>
      </w:r>
      <w:r>
        <w:rPr>
          <w:sz w:val="20"/>
        </w:rPr>
        <w:t>spaces</w:t>
      </w:r>
      <w:r>
        <w:rPr>
          <w:spacing w:val="-4"/>
          <w:sz w:val="20"/>
        </w:rPr>
        <w:t> </w:t>
      </w:r>
      <w:r>
        <w:rPr>
          <w:sz w:val="20"/>
        </w:rPr>
        <w:t>and</w:t>
      </w:r>
      <w:r>
        <w:rPr>
          <w:spacing w:val="-5"/>
          <w:sz w:val="20"/>
        </w:rPr>
        <w:t> </w:t>
      </w:r>
      <w:r>
        <w:rPr>
          <w:sz w:val="20"/>
        </w:rPr>
        <w:t>found</w:t>
      </w:r>
      <w:r>
        <w:rPr>
          <w:spacing w:val="-3"/>
          <w:sz w:val="20"/>
        </w:rPr>
        <w:t> </w:t>
      </w:r>
      <w:r>
        <w:rPr>
          <w:sz w:val="20"/>
        </w:rPr>
        <w:t>that</w:t>
      </w:r>
      <w:r>
        <w:rPr>
          <w:spacing w:val="-5"/>
          <w:sz w:val="20"/>
        </w:rPr>
        <w:t> </w:t>
      </w:r>
      <w:r>
        <w:rPr>
          <w:sz w:val="20"/>
        </w:rPr>
        <w:t>those</w:t>
      </w:r>
      <w:r>
        <w:rPr>
          <w:spacing w:val="-5"/>
          <w:sz w:val="20"/>
        </w:rPr>
        <w:t> </w:t>
      </w:r>
      <w:r>
        <w:rPr>
          <w:sz w:val="20"/>
        </w:rPr>
        <w:t>options</w:t>
      </w:r>
      <w:r>
        <w:rPr>
          <w:spacing w:val="-4"/>
          <w:sz w:val="20"/>
        </w:rPr>
        <w:t> </w:t>
      </w:r>
      <w:r>
        <w:rPr>
          <w:sz w:val="20"/>
        </w:rPr>
        <w:t>would not be of benefit to the university. The library, though a small satellite, provides an essential study space for our students. Its co-location with the CADD lab makes it more than a convenience, but a necessary and vital component of our program. The reductions in enrollment has alleviated many of the space concerns. We have also had an influx of equipment. In 2012, Chair Easter received a grant from Hewlett-Packard to conduct research in the use and vibrancy of their E-Share plotting software. As a result of this grant, the department received five new plotters of varying sizes to support the plotting needs of the program.</w:t>
      </w:r>
    </w:p>
    <w:p>
      <w:pPr>
        <w:pStyle w:val="BodyText"/>
        <w:spacing w:before="5"/>
        <w:rPr>
          <w:sz w:val="18"/>
        </w:rPr>
      </w:pPr>
    </w:p>
    <w:p>
      <w:pPr>
        <w:pStyle w:val="ListParagraph"/>
        <w:numPr>
          <w:ilvl w:val="0"/>
          <w:numId w:val="40"/>
        </w:numPr>
        <w:tabs>
          <w:tab w:pos="1951" w:val="left" w:leader="none"/>
          <w:tab w:pos="1952" w:val="left" w:leader="none"/>
        </w:tabs>
        <w:spacing w:line="240" w:lineRule="auto" w:before="0" w:after="0"/>
        <w:ind w:left="1951" w:right="0" w:hanging="361"/>
        <w:jc w:val="left"/>
        <w:rPr>
          <w:b/>
          <w:sz w:val="20"/>
        </w:rPr>
      </w:pPr>
      <w:r>
        <w:rPr>
          <w:b/>
          <w:sz w:val="20"/>
        </w:rPr>
        <w:t>In</w:t>
      </w:r>
      <w:r>
        <w:rPr>
          <w:b/>
          <w:spacing w:val="-6"/>
          <w:sz w:val="20"/>
        </w:rPr>
        <w:t> </w:t>
      </w:r>
      <w:r>
        <w:rPr>
          <w:b/>
          <w:sz w:val="20"/>
        </w:rPr>
        <w:t>Summer,</w:t>
      </w:r>
      <w:r>
        <w:rPr>
          <w:b/>
          <w:spacing w:val="-6"/>
          <w:sz w:val="20"/>
        </w:rPr>
        <w:t> </w:t>
      </w:r>
      <w:r>
        <w:rPr>
          <w:b/>
          <w:sz w:val="20"/>
        </w:rPr>
        <w:t>2012,</w:t>
      </w:r>
      <w:r>
        <w:rPr>
          <w:b/>
          <w:spacing w:val="-6"/>
          <w:sz w:val="20"/>
        </w:rPr>
        <w:t> </w:t>
      </w:r>
      <w:r>
        <w:rPr>
          <w:b/>
          <w:sz w:val="20"/>
        </w:rPr>
        <w:t>this</w:t>
      </w:r>
      <w:r>
        <w:rPr>
          <w:b/>
          <w:spacing w:val="-6"/>
          <w:sz w:val="20"/>
        </w:rPr>
        <w:t> </w:t>
      </w:r>
      <w:r>
        <w:rPr>
          <w:b/>
          <w:sz w:val="20"/>
        </w:rPr>
        <w:t>condition</w:t>
      </w:r>
      <w:r>
        <w:rPr>
          <w:b/>
          <w:spacing w:val="-5"/>
          <w:sz w:val="20"/>
        </w:rPr>
        <w:t> </w:t>
      </w:r>
      <w:r>
        <w:rPr>
          <w:b/>
          <w:sz w:val="20"/>
        </w:rPr>
        <w:t>was</w:t>
      </w:r>
      <w:r>
        <w:rPr>
          <w:b/>
          <w:spacing w:val="-7"/>
          <w:sz w:val="20"/>
        </w:rPr>
        <w:t> </w:t>
      </w:r>
      <w:r>
        <w:rPr>
          <w:b/>
          <w:sz w:val="20"/>
        </w:rPr>
        <w:t>determined</w:t>
      </w:r>
      <w:r>
        <w:rPr>
          <w:b/>
          <w:spacing w:val="-5"/>
          <w:sz w:val="20"/>
        </w:rPr>
        <w:t> </w:t>
      </w:r>
      <w:r>
        <w:rPr>
          <w:b/>
          <w:sz w:val="20"/>
        </w:rPr>
        <w:t>to</w:t>
      </w:r>
      <w:r>
        <w:rPr>
          <w:b/>
          <w:spacing w:val="-5"/>
          <w:sz w:val="20"/>
        </w:rPr>
        <w:t> </w:t>
      </w:r>
      <w:r>
        <w:rPr>
          <w:b/>
          <w:sz w:val="20"/>
        </w:rPr>
        <w:t>be</w:t>
      </w:r>
      <w:r>
        <w:rPr>
          <w:b/>
          <w:spacing w:val="-6"/>
          <w:sz w:val="20"/>
        </w:rPr>
        <w:t> </w:t>
      </w:r>
      <w:r>
        <w:rPr>
          <w:b/>
          <w:spacing w:val="-4"/>
          <w:sz w:val="20"/>
        </w:rPr>
        <w:t>met.</w:t>
      </w:r>
    </w:p>
    <w:p>
      <w:pPr>
        <w:spacing w:after="0" w:line="240" w:lineRule="auto"/>
        <w:jc w:val="left"/>
        <w:rPr>
          <w:sz w:val="20"/>
        </w:rPr>
        <w:sectPr>
          <w:headerReference w:type="default" r:id="rId151"/>
          <w:footerReference w:type="default" r:id="rId152"/>
          <w:pgSz w:w="12240" w:h="15840"/>
          <w:pgMar w:header="0" w:footer="974" w:top="1360" w:bottom="1160" w:left="1000" w:right="820"/>
        </w:sectPr>
      </w:pPr>
    </w:p>
    <w:p>
      <w:pPr>
        <w:spacing w:before="75"/>
        <w:ind w:left="440" w:right="0" w:firstLine="0"/>
        <w:jc w:val="left"/>
        <w:rPr>
          <w:b/>
          <w:sz w:val="20"/>
        </w:rPr>
      </w:pPr>
      <w:r>
        <w:rPr>
          <w:b/>
          <w:sz w:val="20"/>
        </w:rPr>
        <w:t>Building</w:t>
      </w:r>
      <w:r>
        <w:rPr>
          <w:b/>
          <w:spacing w:val="-11"/>
          <w:sz w:val="20"/>
        </w:rPr>
        <w:t> </w:t>
      </w:r>
      <w:r>
        <w:rPr>
          <w:b/>
          <w:sz w:val="20"/>
        </w:rPr>
        <w:t>Systems</w:t>
      </w:r>
      <w:r>
        <w:rPr>
          <w:b/>
          <w:spacing w:val="-9"/>
          <w:sz w:val="20"/>
        </w:rPr>
        <w:t> </w:t>
      </w:r>
      <w:r>
        <w:rPr>
          <w:b/>
          <w:sz w:val="20"/>
        </w:rPr>
        <w:t>Integration</w:t>
      </w:r>
      <w:r>
        <w:rPr>
          <w:b/>
          <w:spacing w:val="-10"/>
          <w:sz w:val="20"/>
        </w:rPr>
        <w:t> </w:t>
      </w:r>
      <w:r>
        <w:rPr>
          <w:b/>
          <w:sz w:val="20"/>
        </w:rPr>
        <w:t>(SPC</w:t>
      </w:r>
      <w:r>
        <w:rPr>
          <w:b/>
          <w:spacing w:val="-11"/>
          <w:sz w:val="20"/>
        </w:rPr>
        <w:t> </w:t>
      </w:r>
      <w:r>
        <w:rPr>
          <w:b/>
          <w:spacing w:val="-2"/>
          <w:sz w:val="20"/>
        </w:rPr>
        <w:t>13.23)</w:t>
      </w:r>
    </w:p>
    <w:p>
      <w:pPr>
        <w:spacing w:line="254" w:lineRule="auto" w:before="125"/>
        <w:ind w:left="1160" w:right="642" w:firstLine="0"/>
        <w:jc w:val="left"/>
        <w:rPr>
          <w:i/>
          <w:sz w:val="22"/>
        </w:rPr>
      </w:pPr>
      <w:r>
        <w:rPr>
          <w:i/>
          <w:spacing w:val="-2"/>
          <w:w w:val="95"/>
          <w:sz w:val="22"/>
        </w:rPr>
        <w:t>Ability</w:t>
      </w:r>
      <w:r>
        <w:rPr>
          <w:i/>
          <w:spacing w:val="-5"/>
          <w:w w:val="95"/>
          <w:sz w:val="22"/>
        </w:rPr>
        <w:t> </w:t>
      </w:r>
      <w:r>
        <w:rPr>
          <w:i/>
          <w:spacing w:val="-2"/>
          <w:w w:val="95"/>
          <w:sz w:val="22"/>
        </w:rPr>
        <w:t>to</w:t>
      </w:r>
      <w:r>
        <w:rPr>
          <w:i/>
          <w:spacing w:val="-5"/>
          <w:w w:val="95"/>
          <w:sz w:val="22"/>
        </w:rPr>
        <w:t> </w:t>
      </w:r>
      <w:r>
        <w:rPr>
          <w:i/>
          <w:spacing w:val="-2"/>
          <w:w w:val="95"/>
          <w:sz w:val="22"/>
        </w:rPr>
        <w:t>assess,</w:t>
      </w:r>
      <w:r>
        <w:rPr>
          <w:i/>
          <w:spacing w:val="-8"/>
          <w:w w:val="95"/>
          <w:sz w:val="22"/>
        </w:rPr>
        <w:t> </w:t>
      </w:r>
      <w:r>
        <w:rPr>
          <w:i/>
          <w:spacing w:val="-2"/>
          <w:w w:val="95"/>
          <w:sz w:val="22"/>
        </w:rPr>
        <w:t>select,</w:t>
      </w:r>
      <w:r>
        <w:rPr>
          <w:i/>
          <w:spacing w:val="-4"/>
          <w:w w:val="95"/>
          <w:sz w:val="22"/>
        </w:rPr>
        <w:t> </w:t>
      </w:r>
      <w:r>
        <w:rPr>
          <w:i/>
          <w:spacing w:val="-2"/>
          <w:w w:val="95"/>
          <w:sz w:val="22"/>
        </w:rPr>
        <w:t>and</w:t>
      </w:r>
      <w:r>
        <w:rPr>
          <w:i/>
          <w:spacing w:val="-5"/>
          <w:w w:val="95"/>
          <w:sz w:val="22"/>
        </w:rPr>
        <w:t> </w:t>
      </w:r>
      <w:r>
        <w:rPr>
          <w:i/>
          <w:spacing w:val="-2"/>
          <w:w w:val="95"/>
          <w:sz w:val="22"/>
        </w:rPr>
        <w:t>conceptually</w:t>
      </w:r>
      <w:r>
        <w:rPr>
          <w:i/>
          <w:spacing w:val="-5"/>
          <w:w w:val="95"/>
          <w:sz w:val="22"/>
        </w:rPr>
        <w:t> </w:t>
      </w:r>
      <w:r>
        <w:rPr>
          <w:i/>
          <w:spacing w:val="-2"/>
          <w:w w:val="95"/>
          <w:sz w:val="22"/>
        </w:rPr>
        <w:t>integrate</w:t>
      </w:r>
      <w:r>
        <w:rPr>
          <w:i/>
          <w:spacing w:val="-7"/>
          <w:w w:val="95"/>
          <w:sz w:val="22"/>
        </w:rPr>
        <w:t> </w:t>
      </w:r>
      <w:r>
        <w:rPr>
          <w:i/>
          <w:spacing w:val="-2"/>
          <w:w w:val="95"/>
          <w:sz w:val="22"/>
        </w:rPr>
        <w:t>structural</w:t>
      </w:r>
      <w:r>
        <w:rPr>
          <w:i/>
          <w:spacing w:val="-4"/>
          <w:w w:val="95"/>
          <w:sz w:val="22"/>
        </w:rPr>
        <w:t> </w:t>
      </w:r>
      <w:r>
        <w:rPr>
          <w:i/>
          <w:spacing w:val="-2"/>
          <w:w w:val="95"/>
          <w:sz w:val="22"/>
        </w:rPr>
        <w:t>systems,</w:t>
      </w:r>
      <w:r>
        <w:rPr>
          <w:i/>
          <w:spacing w:val="-4"/>
          <w:w w:val="95"/>
          <w:sz w:val="22"/>
        </w:rPr>
        <w:t> </w:t>
      </w:r>
      <w:r>
        <w:rPr>
          <w:i/>
          <w:spacing w:val="-2"/>
          <w:w w:val="95"/>
          <w:sz w:val="22"/>
        </w:rPr>
        <w:t>building</w:t>
      </w:r>
      <w:r>
        <w:rPr>
          <w:i/>
          <w:spacing w:val="-5"/>
          <w:w w:val="95"/>
          <w:sz w:val="22"/>
        </w:rPr>
        <w:t> </w:t>
      </w:r>
      <w:r>
        <w:rPr>
          <w:i/>
          <w:spacing w:val="-2"/>
          <w:w w:val="95"/>
          <w:sz w:val="22"/>
        </w:rPr>
        <w:t>envelope </w:t>
      </w:r>
      <w:r>
        <w:rPr>
          <w:i/>
          <w:w w:val="90"/>
          <w:sz w:val="22"/>
        </w:rPr>
        <w:t>systems,</w:t>
      </w:r>
      <w:r>
        <w:rPr>
          <w:i/>
          <w:spacing w:val="-1"/>
          <w:w w:val="90"/>
          <w:sz w:val="22"/>
        </w:rPr>
        <w:t> </w:t>
      </w:r>
      <w:r>
        <w:rPr>
          <w:i/>
          <w:w w:val="90"/>
          <w:sz w:val="22"/>
        </w:rPr>
        <w:t>environmental systems,</w:t>
      </w:r>
      <w:r>
        <w:rPr>
          <w:i/>
          <w:spacing w:val="-1"/>
          <w:w w:val="90"/>
          <w:sz w:val="22"/>
        </w:rPr>
        <w:t> </w:t>
      </w:r>
      <w:r>
        <w:rPr>
          <w:i/>
          <w:w w:val="90"/>
          <w:sz w:val="22"/>
        </w:rPr>
        <w:t>life-safety systems, and building service systems into building </w:t>
      </w:r>
      <w:r>
        <w:rPr>
          <w:i/>
          <w:spacing w:val="-2"/>
          <w:sz w:val="22"/>
        </w:rPr>
        <w:t>design.</w:t>
      </w:r>
    </w:p>
    <w:p>
      <w:pPr>
        <w:pStyle w:val="BodyText"/>
        <w:spacing w:before="3"/>
        <w:rPr>
          <w:i/>
          <w:sz w:val="17"/>
        </w:rPr>
      </w:pPr>
    </w:p>
    <w:p>
      <w:pPr>
        <w:spacing w:before="0"/>
        <w:ind w:left="1160" w:right="0" w:firstLine="0"/>
        <w:jc w:val="left"/>
        <w:rPr>
          <w:b/>
          <w:sz w:val="20"/>
        </w:rPr>
      </w:pPr>
      <w:r>
        <w:rPr>
          <w:b/>
          <w:sz w:val="20"/>
        </w:rPr>
        <w:t>VTR</w:t>
      </w:r>
      <w:r>
        <w:rPr>
          <w:b/>
          <w:spacing w:val="-3"/>
          <w:sz w:val="20"/>
        </w:rPr>
        <w:t> </w:t>
      </w:r>
      <w:r>
        <w:rPr>
          <w:b/>
          <w:spacing w:val="-2"/>
          <w:sz w:val="20"/>
        </w:rPr>
        <w:t>Comments:</w:t>
      </w:r>
    </w:p>
    <w:p>
      <w:pPr>
        <w:pStyle w:val="BodyText"/>
        <w:spacing w:before="7"/>
        <w:rPr>
          <w:b/>
          <w:sz w:val="18"/>
        </w:rPr>
      </w:pPr>
    </w:p>
    <w:p>
      <w:pPr>
        <w:pStyle w:val="ListParagraph"/>
        <w:numPr>
          <w:ilvl w:val="0"/>
          <w:numId w:val="40"/>
        </w:numPr>
        <w:tabs>
          <w:tab w:pos="1951" w:val="left" w:leader="none"/>
          <w:tab w:pos="1953" w:val="left" w:leader="none"/>
        </w:tabs>
        <w:spacing w:line="240" w:lineRule="auto" w:before="0" w:after="0"/>
        <w:ind w:left="1952" w:right="656" w:hanging="360"/>
        <w:jc w:val="left"/>
        <w:rPr>
          <w:sz w:val="20"/>
        </w:rPr>
      </w:pPr>
      <w:r>
        <w:rPr>
          <w:sz w:val="20"/>
        </w:rPr>
        <w:t>This criterion is first addressed in ARC 304 and later in ARC 405-6.</w:t>
      </w:r>
      <w:r>
        <w:rPr>
          <w:spacing w:val="40"/>
          <w:sz w:val="20"/>
        </w:rPr>
        <w:t> </w:t>
      </w:r>
      <w:r>
        <w:rPr>
          <w:sz w:val="20"/>
        </w:rPr>
        <w:t>New faculty have been</w:t>
      </w:r>
      <w:r>
        <w:rPr>
          <w:spacing w:val="-2"/>
          <w:sz w:val="20"/>
        </w:rPr>
        <w:t> </w:t>
      </w:r>
      <w:r>
        <w:rPr>
          <w:sz w:val="20"/>
        </w:rPr>
        <w:t>hired</w:t>
      </w:r>
      <w:r>
        <w:rPr>
          <w:spacing w:val="-4"/>
          <w:sz w:val="20"/>
        </w:rPr>
        <w:t> </w:t>
      </w:r>
      <w:r>
        <w:rPr>
          <w:sz w:val="20"/>
        </w:rPr>
        <w:t>to</w:t>
      </w:r>
      <w:r>
        <w:rPr>
          <w:spacing w:val="-4"/>
          <w:sz w:val="20"/>
        </w:rPr>
        <w:t> </w:t>
      </w:r>
      <w:r>
        <w:rPr>
          <w:sz w:val="20"/>
        </w:rPr>
        <w:t>teach</w:t>
      </w:r>
      <w:r>
        <w:rPr>
          <w:spacing w:val="-4"/>
          <w:sz w:val="20"/>
        </w:rPr>
        <w:t> </w:t>
      </w:r>
      <w:r>
        <w:rPr>
          <w:sz w:val="20"/>
        </w:rPr>
        <w:t>ARC</w:t>
      </w:r>
      <w:r>
        <w:rPr>
          <w:spacing w:val="-4"/>
          <w:sz w:val="20"/>
        </w:rPr>
        <w:t> </w:t>
      </w:r>
      <w:r>
        <w:rPr>
          <w:sz w:val="20"/>
        </w:rPr>
        <w:t>304;</w:t>
      </w:r>
      <w:r>
        <w:rPr>
          <w:spacing w:val="-4"/>
          <w:sz w:val="20"/>
        </w:rPr>
        <w:t> </w:t>
      </w:r>
      <w:r>
        <w:rPr>
          <w:sz w:val="20"/>
        </w:rPr>
        <w:t>the</w:t>
      </w:r>
      <w:r>
        <w:rPr>
          <w:spacing w:val="-4"/>
          <w:sz w:val="20"/>
        </w:rPr>
        <w:t> </w:t>
      </w:r>
      <w:r>
        <w:rPr>
          <w:sz w:val="20"/>
        </w:rPr>
        <w:t>outlook of</w:t>
      </w:r>
      <w:r>
        <w:rPr>
          <w:spacing w:val="-4"/>
          <w:sz w:val="20"/>
        </w:rPr>
        <w:t> </w:t>
      </w:r>
      <w:r>
        <w:rPr>
          <w:sz w:val="20"/>
        </w:rPr>
        <w:t>meeting</w:t>
      </w:r>
      <w:r>
        <w:rPr>
          <w:spacing w:val="-4"/>
          <w:sz w:val="20"/>
        </w:rPr>
        <w:t> </w:t>
      </w:r>
      <w:r>
        <w:rPr>
          <w:sz w:val="20"/>
        </w:rPr>
        <w:t>this</w:t>
      </w:r>
      <w:r>
        <w:rPr>
          <w:spacing w:val="-3"/>
          <w:sz w:val="20"/>
        </w:rPr>
        <w:t> </w:t>
      </w:r>
      <w:r>
        <w:rPr>
          <w:sz w:val="20"/>
        </w:rPr>
        <w:t>criterion</w:t>
      </w:r>
      <w:r>
        <w:rPr>
          <w:spacing w:val="-2"/>
          <w:sz w:val="20"/>
        </w:rPr>
        <w:t> </w:t>
      </w:r>
      <w:r>
        <w:rPr>
          <w:sz w:val="20"/>
        </w:rPr>
        <w:t>in</w:t>
      </w:r>
      <w:r>
        <w:rPr>
          <w:spacing w:val="-4"/>
          <w:sz w:val="20"/>
        </w:rPr>
        <w:t> </w:t>
      </w:r>
      <w:r>
        <w:rPr>
          <w:sz w:val="20"/>
        </w:rPr>
        <w:t>the</w:t>
      </w:r>
      <w:r>
        <w:rPr>
          <w:spacing w:val="-4"/>
          <w:sz w:val="20"/>
        </w:rPr>
        <w:t> </w:t>
      </w:r>
      <w:r>
        <w:rPr>
          <w:sz w:val="20"/>
        </w:rPr>
        <w:t>future</w:t>
      </w:r>
      <w:r>
        <w:rPr>
          <w:spacing w:val="-2"/>
          <w:sz w:val="20"/>
        </w:rPr>
        <w:t> </w:t>
      </w:r>
      <w:r>
        <w:rPr>
          <w:sz w:val="20"/>
        </w:rPr>
        <w:t>is certain. Current fourth year student work falls short in demonstrating the ability to capably and fully integrate building systems in the designs.</w:t>
      </w:r>
    </w:p>
    <w:p>
      <w:pPr>
        <w:pStyle w:val="BodyText"/>
        <w:spacing w:before="3"/>
        <w:rPr>
          <w:sz w:val="17"/>
        </w:rPr>
      </w:pPr>
    </w:p>
    <w:p>
      <w:pPr>
        <w:spacing w:before="0"/>
        <w:ind w:left="1160" w:right="0" w:firstLine="0"/>
        <w:jc w:val="left"/>
        <w:rPr>
          <w:b/>
          <w:sz w:val="20"/>
        </w:rPr>
      </w:pPr>
      <w:r>
        <w:rPr>
          <w:b/>
          <w:sz w:val="20"/>
        </w:rPr>
        <w:t>Program</w:t>
      </w:r>
      <w:r>
        <w:rPr>
          <w:b/>
          <w:spacing w:val="-8"/>
          <w:sz w:val="20"/>
        </w:rPr>
        <w:t> </w:t>
      </w:r>
      <w:r>
        <w:rPr>
          <w:b/>
          <w:sz w:val="20"/>
        </w:rPr>
        <w:t>Response</w:t>
      </w:r>
      <w:r>
        <w:rPr>
          <w:b/>
          <w:spacing w:val="-7"/>
          <w:sz w:val="20"/>
        </w:rPr>
        <w:t> </w:t>
      </w:r>
      <w:r>
        <w:rPr>
          <w:b/>
          <w:sz w:val="20"/>
        </w:rPr>
        <w:t>Since</w:t>
      </w:r>
      <w:r>
        <w:rPr>
          <w:b/>
          <w:spacing w:val="-7"/>
          <w:sz w:val="20"/>
        </w:rPr>
        <w:t> </w:t>
      </w:r>
      <w:r>
        <w:rPr>
          <w:b/>
          <w:sz w:val="20"/>
        </w:rPr>
        <w:t>Last</w:t>
      </w:r>
      <w:r>
        <w:rPr>
          <w:b/>
          <w:spacing w:val="-8"/>
          <w:sz w:val="20"/>
        </w:rPr>
        <w:t> </w:t>
      </w:r>
      <w:r>
        <w:rPr>
          <w:b/>
          <w:spacing w:val="-2"/>
          <w:sz w:val="20"/>
        </w:rPr>
        <w:t>Visit:</w:t>
      </w:r>
    </w:p>
    <w:p>
      <w:pPr>
        <w:pStyle w:val="BodyText"/>
        <w:spacing w:before="7"/>
        <w:rPr>
          <w:b/>
          <w:sz w:val="18"/>
        </w:rPr>
      </w:pPr>
    </w:p>
    <w:p>
      <w:pPr>
        <w:pStyle w:val="ListParagraph"/>
        <w:numPr>
          <w:ilvl w:val="0"/>
          <w:numId w:val="40"/>
        </w:numPr>
        <w:tabs>
          <w:tab w:pos="1951" w:val="left" w:leader="none"/>
          <w:tab w:pos="1953" w:val="left" w:leader="none"/>
        </w:tabs>
        <w:spacing w:line="240" w:lineRule="auto" w:before="0" w:after="0"/>
        <w:ind w:left="1952" w:right="685" w:hanging="360"/>
        <w:jc w:val="left"/>
        <w:rPr>
          <w:sz w:val="20"/>
        </w:rPr>
      </w:pPr>
      <w:r>
        <w:rPr>
          <w:sz w:val="20"/>
        </w:rPr>
        <w:t>2009-2012: We have made changes to teaching assignments for the third and fourth year</w:t>
      </w:r>
      <w:r>
        <w:rPr>
          <w:spacing w:val="-4"/>
          <w:sz w:val="20"/>
        </w:rPr>
        <w:t> </w:t>
      </w:r>
      <w:r>
        <w:rPr>
          <w:sz w:val="20"/>
        </w:rPr>
        <w:t>studios;</w:t>
      </w:r>
      <w:r>
        <w:rPr>
          <w:spacing w:val="-5"/>
          <w:sz w:val="20"/>
        </w:rPr>
        <w:t> </w:t>
      </w:r>
      <w:r>
        <w:rPr>
          <w:sz w:val="20"/>
        </w:rPr>
        <w:t>these</w:t>
      </w:r>
      <w:r>
        <w:rPr>
          <w:spacing w:val="-5"/>
          <w:sz w:val="20"/>
        </w:rPr>
        <w:t> </w:t>
      </w:r>
      <w:r>
        <w:rPr>
          <w:sz w:val="20"/>
        </w:rPr>
        <w:t>courses</w:t>
      </w:r>
      <w:r>
        <w:rPr>
          <w:spacing w:val="-4"/>
          <w:sz w:val="20"/>
        </w:rPr>
        <w:t> </w:t>
      </w:r>
      <w:r>
        <w:rPr>
          <w:sz w:val="20"/>
        </w:rPr>
        <w:t>are</w:t>
      </w:r>
      <w:r>
        <w:rPr>
          <w:spacing w:val="-4"/>
          <w:sz w:val="20"/>
        </w:rPr>
        <w:t> </w:t>
      </w:r>
      <w:r>
        <w:rPr>
          <w:sz w:val="20"/>
        </w:rPr>
        <w:t>taught</w:t>
      </w:r>
      <w:r>
        <w:rPr>
          <w:spacing w:val="-3"/>
          <w:sz w:val="20"/>
        </w:rPr>
        <w:t> </w:t>
      </w:r>
      <w:r>
        <w:rPr>
          <w:sz w:val="20"/>
        </w:rPr>
        <w:t>by</w:t>
      </w:r>
      <w:r>
        <w:rPr>
          <w:spacing w:val="-7"/>
          <w:sz w:val="20"/>
        </w:rPr>
        <w:t> </w:t>
      </w:r>
      <w:r>
        <w:rPr>
          <w:sz w:val="20"/>
        </w:rPr>
        <w:t>registered</w:t>
      </w:r>
      <w:r>
        <w:rPr>
          <w:spacing w:val="-3"/>
          <w:sz w:val="20"/>
        </w:rPr>
        <w:t> </w:t>
      </w:r>
      <w:r>
        <w:rPr>
          <w:sz w:val="20"/>
        </w:rPr>
        <w:t>architects</w:t>
      </w:r>
      <w:r>
        <w:rPr>
          <w:spacing w:val="-1"/>
          <w:sz w:val="20"/>
        </w:rPr>
        <w:t> </w:t>
      </w:r>
      <w:r>
        <w:rPr>
          <w:sz w:val="20"/>
        </w:rPr>
        <w:t>who</w:t>
      </w:r>
      <w:r>
        <w:rPr>
          <w:spacing w:val="-5"/>
          <w:sz w:val="20"/>
        </w:rPr>
        <w:t> </w:t>
      </w:r>
      <w:r>
        <w:rPr>
          <w:sz w:val="20"/>
        </w:rPr>
        <w:t>are</w:t>
      </w:r>
      <w:r>
        <w:rPr>
          <w:spacing w:val="-3"/>
          <w:sz w:val="20"/>
        </w:rPr>
        <w:t> </w:t>
      </w:r>
      <w:r>
        <w:rPr>
          <w:sz w:val="20"/>
        </w:rPr>
        <w:t>also</w:t>
      </w:r>
      <w:r>
        <w:rPr>
          <w:spacing w:val="-5"/>
          <w:sz w:val="20"/>
        </w:rPr>
        <w:t> </w:t>
      </w:r>
      <w:r>
        <w:rPr>
          <w:sz w:val="20"/>
        </w:rPr>
        <w:t>responsible for teaching the architectural technical support courses (Environmental Systems, Building Science and Structures). Additionally, we conducted a review of all required courses in the Architecture curriculum to document the required measurable outcome expectations for each of the courses in the curriculum, including those support classes.</w:t>
      </w:r>
    </w:p>
    <w:p>
      <w:pPr>
        <w:pStyle w:val="BodyText"/>
        <w:spacing w:before="7"/>
        <w:rPr>
          <w:sz w:val="18"/>
        </w:rPr>
      </w:pPr>
    </w:p>
    <w:p>
      <w:pPr>
        <w:pStyle w:val="ListParagraph"/>
        <w:numPr>
          <w:ilvl w:val="0"/>
          <w:numId w:val="40"/>
        </w:numPr>
        <w:tabs>
          <w:tab w:pos="1951" w:val="left" w:leader="none"/>
          <w:tab w:pos="1953" w:val="left" w:leader="none"/>
        </w:tabs>
        <w:spacing w:line="240" w:lineRule="auto" w:before="1" w:after="0"/>
        <w:ind w:left="1952" w:right="632" w:hanging="360"/>
        <w:jc w:val="left"/>
        <w:rPr>
          <w:sz w:val="20"/>
        </w:rPr>
      </w:pPr>
      <w:r>
        <w:rPr>
          <w:sz w:val="20"/>
        </w:rPr>
        <w:t>2012-2013: We have initiated a pilot program with a local architectural / engineering (A/E) firm, Clark Nexen, who provide a cadre of architects and engineers to assist in our Comprehensive design studio. This process began when one of the firm associates began</w:t>
      </w:r>
      <w:r>
        <w:rPr>
          <w:spacing w:val="-3"/>
          <w:sz w:val="20"/>
        </w:rPr>
        <w:t> </w:t>
      </w:r>
      <w:r>
        <w:rPr>
          <w:sz w:val="20"/>
        </w:rPr>
        <w:t>working</w:t>
      </w:r>
      <w:r>
        <w:rPr>
          <w:spacing w:val="-3"/>
          <w:sz w:val="20"/>
        </w:rPr>
        <w:t> </w:t>
      </w:r>
      <w:r>
        <w:rPr>
          <w:sz w:val="20"/>
        </w:rPr>
        <w:t>with</w:t>
      </w:r>
      <w:r>
        <w:rPr>
          <w:spacing w:val="-3"/>
          <w:sz w:val="20"/>
        </w:rPr>
        <w:t> </w:t>
      </w:r>
      <w:r>
        <w:rPr>
          <w:sz w:val="20"/>
        </w:rPr>
        <w:t>our</w:t>
      </w:r>
      <w:r>
        <w:rPr>
          <w:spacing w:val="-3"/>
          <w:sz w:val="20"/>
        </w:rPr>
        <w:t> </w:t>
      </w:r>
      <w:r>
        <w:rPr>
          <w:sz w:val="20"/>
        </w:rPr>
        <w:t>program</w:t>
      </w:r>
      <w:r>
        <w:rPr>
          <w:spacing w:val="-1"/>
          <w:sz w:val="20"/>
        </w:rPr>
        <w:t> </w:t>
      </w:r>
      <w:r>
        <w:rPr>
          <w:sz w:val="20"/>
        </w:rPr>
        <w:t>as</w:t>
      </w:r>
      <w:r>
        <w:rPr>
          <w:spacing w:val="-4"/>
          <w:sz w:val="20"/>
        </w:rPr>
        <w:t> </w:t>
      </w:r>
      <w:r>
        <w:rPr>
          <w:sz w:val="20"/>
        </w:rPr>
        <w:t>an</w:t>
      </w:r>
      <w:r>
        <w:rPr>
          <w:spacing w:val="-5"/>
          <w:sz w:val="20"/>
        </w:rPr>
        <w:t> </w:t>
      </w:r>
      <w:r>
        <w:rPr>
          <w:sz w:val="20"/>
        </w:rPr>
        <w:t>Adjunct</w:t>
      </w:r>
      <w:r>
        <w:rPr>
          <w:spacing w:val="-3"/>
          <w:sz w:val="20"/>
        </w:rPr>
        <w:t> </w:t>
      </w:r>
      <w:r>
        <w:rPr>
          <w:sz w:val="20"/>
        </w:rPr>
        <w:t>Professor</w:t>
      </w:r>
      <w:r>
        <w:rPr>
          <w:spacing w:val="-4"/>
          <w:sz w:val="20"/>
        </w:rPr>
        <w:t> </w:t>
      </w:r>
      <w:r>
        <w:rPr>
          <w:sz w:val="20"/>
        </w:rPr>
        <w:t>and</w:t>
      </w:r>
      <w:r>
        <w:rPr>
          <w:spacing w:val="-5"/>
          <w:sz w:val="20"/>
        </w:rPr>
        <w:t> </w:t>
      </w:r>
      <w:r>
        <w:rPr>
          <w:sz w:val="20"/>
        </w:rPr>
        <w:t>the</w:t>
      </w:r>
      <w:r>
        <w:rPr>
          <w:spacing w:val="-5"/>
          <w:sz w:val="20"/>
        </w:rPr>
        <w:t> </w:t>
      </w:r>
      <w:r>
        <w:rPr>
          <w:sz w:val="20"/>
        </w:rPr>
        <w:t>firm</w:t>
      </w:r>
      <w:r>
        <w:rPr>
          <w:spacing w:val="-1"/>
          <w:sz w:val="20"/>
        </w:rPr>
        <w:t> </w:t>
      </w:r>
      <w:r>
        <w:rPr>
          <w:sz w:val="20"/>
        </w:rPr>
        <w:t>expressed</w:t>
      </w:r>
      <w:r>
        <w:rPr>
          <w:spacing w:val="-5"/>
          <w:sz w:val="20"/>
        </w:rPr>
        <w:t> </w:t>
      </w:r>
      <w:r>
        <w:rPr>
          <w:sz w:val="20"/>
        </w:rPr>
        <w:t>interest in expanding their participation in our program. Design professionals include Architects, land planners, Landscape Architects, and an array of professional engineers who are assisting in the instruction.</w:t>
      </w:r>
    </w:p>
    <w:p>
      <w:pPr>
        <w:pStyle w:val="BodyText"/>
        <w:spacing w:before="7"/>
        <w:rPr>
          <w:sz w:val="18"/>
        </w:rPr>
      </w:pPr>
    </w:p>
    <w:p>
      <w:pPr>
        <w:pStyle w:val="ListParagraph"/>
        <w:numPr>
          <w:ilvl w:val="0"/>
          <w:numId w:val="40"/>
        </w:numPr>
        <w:tabs>
          <w:tab w:pos="1951" w:val="left" w:leader="none"/>
          <w:tab w:pos="1953" w:val="left" w:leader="none"/>
        </w:tabs>
        <w:spacing w:line="240" w:lineRule="auto" w:before="0" w:after="0"/>
        <w:ind w:left="1952" w:right="831" w:hanging="360"/>
        <w:jc w:val="left"/>
        <w:rPr>
          <w:sz w:val="20"/>
        </w:rPr>
      </w:pPr>
      <w:r>
        <w:rPr>
          <w:sz w:val="20"/>
        </w:rPr>
        <w:t>2010 Response: The fourth year studio (our Comprehensive Design Studio) has been restructured</w:t>
      </w:r>
      <w:r>
        <w:rPr>
          <w:spacing w:val="-4"/>
          <w:sz w:val="20"/>
        </w:rPr>
        <w:t> </w:t>
      </w:r>
      <w:r>
        <w:rPr>
          <w:sz w:val="20"/>
        </w:rPr>
        <w:t>to</w:t>
      </w:r>
      <w:r>
        <w:rPr>
          <w:spacing w:val="-4"/>
          <w:sz w:val="20"/>
        </w:rPr>
        <w:t> </w:t>
      </w:r>
      <w:r>
        <w:rPr>
          <w:sz w:val="20"/>
        </w:rPr>
        <w:t>make</w:t>
      </w:r>
      <w:r>
        <w:rPr>
          <w:spacing w:val="-4"/>
          <w:sz w:val="20"/>
        </w:rPr>
        <w:t> </w:t>
      </w:r>
      <w:r>
        <w:rPr>
          <w:sz w:val="20"/>
        </w:rPr>
        <w:t>sure</w:t>
      </w:r>
      <w:r>
        <w:rPr>
          <w:spacing w:val="-4"/>
          <w:sz w:val="20"/>
        </w:rPr>
        <w:t> </w:t>
      </w:r>
      <w:r>
        <w:rPr>
          <w:sz w:val="20"/>
        </w:rPr>
        <w:t>that</w:t>
      </w:r>
      <w:r>
        <w:rPr>
          <w:spacing w:val="-4"/>
          <w:sz w:val="20"/>
        </w:rPr>
        <w:t> </w:t>
      </w:r>
      <w:r>
        <w:rPr>
          <w:sz w:val="20"/>
        </w:rPr>
        <w:t>students are</w:t>
      </w:r>
      <w:r>
        <w:rPr>
          <w:spacing w:val="-4"/>
          <w:sz w:val="20"/>
        </w:rPr>
        <w:t> </w:t>
      </w:r>
      <w:r>
        <w:rPr>
          <w:sz w:val="20"/>
        </w:rPr>
        <w:t>able</w:t>
      </w:r>
      <w:r>
        <w:rPr>
          <w:spacing w:val="-2"/>
          <w:sz w:val="20"/>
        </w:rPr>
        <w:t> </w:t>
      </w:r>
      <w:r>
        <w:rPr>
          <w:sz w:val="20"/>
        </w:rPr>
        <w:t>to</w:t>
      </w:r>
      <w:r>
        <w:rPr>
          <w:spacing w:val="-2"/>
          <w:sz w:val="20"/>
        </w:rPr>
        <w:t> </w:t>
      </w:r>
      <w:r>
        <w:rPr>
          <w:sz w:val="20"/>
        </w:rPr>
        <w:t>adequately</w:t>
      </w:r>
      <w:r>
        <w:rPr>
          <w:spacing w:val="-7"/>
          <w:sz w:val="20"/>
        </w:rPr>
        <w:t> </w:t>
      </w:r>
      <w:r>
        <w:rPr>
          <w:sz w:val="20"/>
        </w:rPr>
        <w:t>show</w:t>
      </w:r>
      <w:r>
        <w:rPr>
          <w:spacing w:val="-6"/>
          <w:sz w:val="20"/>
        </w:rPr>
        <w:t> </w:t>
      </w:r>
      <w:r>
        <w:rPr>
          <w:sz w:val="20"/>
        </w:rPr>
        <w:t>an</w:t>
      </w:r>
      <w:r>
        <w:rPr>
          <w:spacing w:val="-4"/>
          <w:sz w:val="20"/>
        </w:rPr>
        <w:t> </w:t>
      </w:r>
      <w:r>
        <w:rPr>
          <w:sz w:val="20"/>
        </w:rPr>
        <w:t>understanding of the variety of approaches and systems available to support their designs and to incorporate them into their work.</w:t>
      </w:r>
    </w:p>
    <w:p>
      <w:pPr>
        <w:pStyle w:val="BodyText"/>
        <w:spacing w:before="6"/>
        <w:rPr>
          <w:sz w:val="18"/>
        </w:rPr>
      </w:pPr>
    </w:p>
    <w:p>
      <w:pPr>
        <w:pStyle w:val="ListParagraph"/>
        <w:numPr>
          <w:ilvl w:val="0"/>
          <w:numId w:val="40"/>
        </w:numPr>
        <w:tabs>
          <w:tab w:pos="1951" w:val="left" w:leader="none"/>
          <w:tab w:pos="1952" w:val="left" w:leader="none"/>
        </w:tabs>
        <w:spacing w:line="240" w:lineRule="auto" w:before="0" w:after="0"/>
        <w:ind w:left="1951" w:right="985" w:hanging="360"/>
        <w:jc w:val="left"/>
        <w:rPr>
          <w:sz w:val="20"/>
        </w:rPr>
      </w:pPr>
      <w:r>
        <w:rPr>
          <w:sz w:val="20"/>
        </w:rPr>
        <w:t>2011</w:t>
      </w:r>
      <w:r>
        <w:rPr>
          <w:spacing w:val="-3"/>
          <w:sz w:val="20"/>
        </w:rPr>
        <w:t> </w:t>
      </w:r>
      <w:r>
        <w:rPr>
          <w:sz w:val="20"/>
        </w:rPr>
        <w:t>Response:</w:t>
      </w:r>
      <w:r>
        <w:rPr>
          <w:spacing w:val="-5"/>
          <w:sz w:val="20"/>
        </w:rPr>
        <w:t> </w:t>
      </w:r>
      <w:r>
        <w:rPr>
          <w:sz w:val="20"/>
        </w:rPr>
        <w:t>There</w:t>
      </w:r>
      <w:r>
        <w:rPr>
          <w:spacing w:val="-5"/>
          <w:sz w:val="20"/>
        </w:rPr>
        <w:t> </w:t>
      </w:r>
      <w:r>
        <w:rPr>
          <w:sz w:val="20"/>
        </w:rPr>
        <w:t>have</w:t>
      </w:r>
      <w:r>
        <w:rPr>
          <w:spacing w:val="-5"/>
          <w:sz w:val="20"/>
        </w:rPr>
        <w:t> </w:t>
      </w:r>
      <w:r>
        <w:rPr>
          <w:sz w:val="20"/>
        </w:rPr>
        <w:t>been</w:t>
      </w:r>
      <w:r>
        <w:rPr>
          <w:spacing w:val="-5"/>
          <w:sz w:val="20"/>
        </w:rPr>
        <w:t> </w:t>
      </w:r>
      <w:r>
        <w:rPr>
          <w:sz w:val="20"/>
        </w:rPr>
        <w:t>several</w:t>
      </w:r>
      <w:r>
        <w:rPr>
          <w:spacing w:val="-6"/>
          <w:sz w:val="20"/>
        </w:rPr>
        <w:t> </w:t>
      </w:r>
      <w:r>
        <w:rPr>
          <w:sz w:val="20"/>
        </w:rPr>
        <w:t>significant</w:t>
      </w:r>
      <w:r>
        <w:rPr>
          <w:spacing w:val="-1"/>
          <w:sz w:val="20"/>
        </w:rPr>
        <w:t> </w:t>
      </w:r>
      <w:r>
        <w:rPr>
          <w:sz w:val="20"/>
        </w:rPr>
        <w:t>accomplishments</w:t>
      </w:r>
      <w:r>
        <w:rPr>
          <w:spacing w:val="-4"/>
          <w:sz w:val="20"/>
        </w:rPr>
        <w:t> </w:t>
      </w:r>
      <w:r>
        <w:rPr>
          <w:sz w:val="20"/>
        </w:rPr>
        <w:t>over</w:t>
      </w:r>
      <w:r>
        <w:rPr>
          <w:spacing w:val="-4"/>
          <w:sz w:val="20"/>
        </w:rPr>
        <w:t> </w:t>
      </w:r>
      <w:r>
        <w:rPr>
          <w:sz w:val="20"/>
        </w:rPr>
        <w:t>the</w:t>
      </w:r>
      <w:r>
        <w:rPr>
          <w:spacing w:val="-5"/>
          <w:sz w:val="20"/>
        </w:rPr>
        <w:t> </w:t>
      </w:r>
      <w:r>
        <w:rPr>
          <w:sz w:val="20"/>
        </w:rPr>
        <w:t>past year, including the following:</w:t>
      </w:r>
    </w:p>
    <w:p>
      <w:pPr>
        <w:pStyle w:val="BodyText"/>
        <w:spacing w:before="7"/>
        <w:rPr>
          <w:sz w:val="17"/>
        </w:rPr>
      </w:pPr>
    </w:p>
    <w:p>
      <w:pPr>
        <w:pStyle w:val="ListParagraph"/>
        <w:numPr>
          <w:ilvl w:val="1"/>
          <w:numId w:val="40"/>
        </w:numPr>
        <w:tabs>
          <w:tab w:pos="2312" w:val="left" w:leader="none"/>
        </w:tabs>
        <w:spacing w:line="240" w:lineRule="auto" w:before="0" w:after="0"/>
        <w:ind w:left="2311" w:right="792" w:hanging="360"/>
        <w:jc w:val="left"/>
        <w:rPr>
          <w:sz w:val="20"/>
        </w:rPr>
      </w:pPr>
      <w:r>
        <w:rPr>
          <w:sz w:val="20"/>
        </w:rPr>
        <w:t>Measured outcomes that were developed by faculty for the 4th Year, Comprehensive Design Studio, require students to demonstrate a comprehensive understanding</w:t>
      </w:r>
      <w:r>
        <w:rPr>
          <w:spacing w:val="-3"/>
          <w:sz w:val="20"/>
        </w:rPr>
        <w:t> </w:t>
      </w:r>
      <w:r>
        <w:rPr>
          <w:sz w:val="20"/>
        </w:rPr>
        <w:t>of</w:t>
      </w:r>
      <w:r>
        <w:rPr>
          <w:spacing w:val="-3"/>
          <w:sz w:val="20"/>
        </w:rPr>
        <w:t> </w:t>
      </w:r>
      <w:r>
        <w:rPr>
          <w:sz w:val="20"/>
        </w:rPr>
        <w:t>key</w:t>
      </w:r>
      <w:r>
        <w:rPr>
          <w:spacing w:val="-10"/>
          <w:sz w:val="20"/>
        </w:rPr>
        <w:t> </w:t>
      </w:r>
      <w:r>
        <w:rPr>
          <w:sz w:val="20"/>
        </w:rPr>
        <w:t>components</w:t>
      </w:r>
      <w:r>
        <w:rPr>
          <w:spacing w:val="-4"/>
          <w:sz w:val="20"/>
        </w:rPr>
        <w:t> </w:t>
      </w:r>
      <w:r>
        <w:rPr>
          <w:sz w:val="20"/>
        </w:rPr>
        <w:t>of</w:t>
      </w:r>
      <w:r>
        <w:rPr>
          <w:spacing w:val="-3"/>
          <w:sz w:val="20"/>
        </w:rPr>
        <w:t> </w:t>
      </w:r>
      <w:r>
        <w:rPr>
          <w:sz w:val="20"/>
        </w:rPr>
        <w:t>the</w:t>
      </w:r>
      <w:r>
        <w:rPr>
          <w:spacing w:val="-5"/>
          <w:sz w:val="20"/>
        </w:rPr>
        <w:t> </w:t>
      </w:r>
      <w:r>
        <w:rPr>
          <w:sz w:val="20"/>
        </w:rPr>
        <w:t>design</w:t>
      </w:r>
      <w:r>
        <w:rPr>
          <w:spacing w:val="-5"/>
          <w:sz w:val="20"/>
        </w:rPr>
        <w:t> </w:t>
      </w:r>
      <w:r>
        <w:rPr>
          <w:sz w:val="20"/>
        </w:rPr>
        <w:t>process,</w:t>
      </w:r>
      <w:r>
        <w:rPr>
          <w:spacing w:val="-5"/>
          <w:sz w:val="20"/>
        </w:rPr>
        <w:t> </w:t>
      </w:r>
      <w:r>
        <w:rPr>
          <w:sz w:val="20"/>
        </w:rPr>
        <w:t>including</w:t>
      </w:r>
      <w:r>
        <w:rPr>
          <w:spacing w:val="-5"/>
          <w:sz w:val="20"/>
        </w:rPr>
        <w:t> </w:t>
      </w:r>
      <w:r>
        <w:rPr>
          <w:sz w:val="20"/>
        </w:rPr>
        <w:t>mechanical</w:t>
      </w:r>
      <w:r>
        <w:rPr>
          <w:spacing w:val="-4"/>
          <w:sz w:val="20"/>
        </w:rPr>
        <w:t> </w:t>
      </w:r>
      <w:r>
        <w:rPr>
          <w:sz w:val="20"/>
        </w:rPr>
        <w:t>and electrical systems integration, accessibility and code analysis, structural systems and building envelop systems design, zoning and site planning, interior space planning and interior architecture, cost controls.</w:t>
      </w:r>
    </w:p>
    <w:p>
      <w:pPr>
        <w:pStyle w:val="BodyText"/>
        <w:spacing w:before="4"/>
        <w:rPr>
          <w:sz w:val="17"/>
        </w:rPr>
      </w:pPr>
    </w:p>
    <w:p>
      <w:pPr>
        <w:pStyle w:val="ListParagraph"/>
        <w:numPr>
          <w:ilvl w:val="1"/>
          <w:numId w:val="40"/>
        </w:numPr>
        <w:tabs>
          <w:tab w:pos="2312" w:val="left" w:leader="none"/>
        </w:tabs>
        <w:spacing w:line="240" w:lineRule="auto" w:before="1" w:after="0"/>
        <w:ind w:left="2311" w:right="635" w:hanging="360"/>
        <w:jc w:val="left"/>
        <w:rPr>
          <w:sz w:val="20"/>
        </w:rPr>
      </w:pPr>
      <w:r>
        <w:rPr>
          <w:sz w:val="20"/>
        </w:rPr>
        <w:t>Additionally, this class has been coupled with our ARC 417-418 Professional Practice</w:t>
      </w:r>
      <w:r>
        <w:rPr>
          <w:spacing w:val="-5"/>
          <w:sz w:val="20"/>
        </w:rPr>
        <w:t> </w:t>
      </w:r>
      <w:r>
        <w:rPr>
          <w:sz w:val="20"/>
        </w:rPr>
        <w:t>sequence</w:t>
      </w:r>
      <w:r>
        <w:rPr>
          <w:spacing w:val="-5"/>
          <w:sz w:val="20"/>
        </w:rPr>
        <w:t> </w:t>
      </w:r>
      <w:r>
        <w:rPr>
          <w:sz w:val="20"/>
        </w:rPr>
        <w:t>(which</w:t>
      </w:r>
      <w:r>
        <w:rPr>
          <w:spacing w:val="-5"/>
          <w:sz w:val="20"/>
        </w:rPr>
        <w:t> </w:t>
      </w:r>
      <w:r>
        <w:rPr>
          <w:sz w:val="20"/>
        </w:rPr>
        <w:t>has</w:t>
      </w:r>
      <w:r>
        <w:rPr>
          <w:spacing w:val="-4"/>
          <w:sz w:val="20"/>
        </w:rPr>
        <w:t> </w:t>
      </w:r>
      <w:r>
        <w:rPr>
          <w:sz w:val="20"/>
        </w:rPr>
        <w:t>now</w:t>
      </w:r>
      <w:r>
        <w:rPr>
          <w:spacing w:val="-4"/>
          <w:sz w:val="20"/>
        </w:rPr>
        <w:t> </w:t>
      </w:r>
      <w:r>
        <w:rPr>
          <w:sz w:val="20"/>
        </w:rPr>
        <w:t>become</w:t>
      </w:r>
      <w:r>
        <w:rPr>
          <w:spacing w:val="-5"/>
          <w:sz w:val="20"/>
        </w:rPr>
        <w:t> </w:t>
      </w:r>
      <w:r>
        <w:rPr>
          <w:sz w:val="20"/>
        </w:rPr>
        <w:t>517-518</w:t>
      </w:r>
      <w:r>
        <w:rPr>
          <w:spacing w:val="-5"/>
          <w:sz w:val="20"/>
        </w:rPr>
        <w:t> </w:t>
      </w:r>
      <w:r>
        <w:rPr>
          <w:sz w:val="20"/>
        </w:rPr>
        <w:t>in</w:t>
      </w:r>
      <w:r>
        <w:rPr>
          <w:spacing w:val="-3"/>
          <w:sz w:val="20"/>
        </w:rPr>
        <w:t> </w:t>
      </w:r>
      <w:r>
        <w:rPr>
          <w:sz w:val="20"/>
        </w:rPr>
        <w:t>the</w:t>
      </w:r>
      <w:r>
        <w:rPr>
          <w:spacing w:val="-3"/>
          <w:sz w:val="20"/>
        </w:rPr>
        <w:t> </w:t>
      </w:r>
      <w:r>
        <w:rPr>
          <w:sz w:val="20"/>
        </w:rPr>
        <w:t>2012</w:t>
      </w:r>
      <w:r>
        <w:rPr>
          <w:spacing w:val="-5"/>
          <w:sz w:val="20"/>
        </w:rPr>
        <w:t> </w:t>
      </w:r>
      <w:r>
        <w:rPr>
          <w:sz w:val="20"/>
        </w:rPr>
        <w:t>curriculum revision) to provide increased understanding of Construction Document development, specifications and presentation methods.</w:t>
      </w:r>
    </w:p>
    <w:p>
      <w:pPr>
        <w:pStyle w:val="BodyText"/>
        <w:spacing w:before="3"/>
        <w:rPr>
          <w:sz w:val="18"/>
        </w:rPr>
      </w:pPr>
    </w:p>
    <w:p>
      <w:pPr>
        <w:pStyle w:val="ListParagraph"/>
        <w:numPr>
          <w:ilvl w:val="0"/>
          <w:numId w:val="40"/>
        </w:numPr>
        <w:tabs>
          <w:tab w:pos="1951" w:val="left" w:leader="none"/>
          <w:tab w:pos="1952" w:val="left" w:leader="none"/>
        </w:tabs>
        <w:spacing w:line="240" w:lineRule="auto" w:before="0" w:after="0"/>
        <w:ind w:left="1951" w:right="630" w:hanging="360"/>
        <w:jc w:val="left"/>
        <w:rPr>
          <w:sz w:val="20"/>
        </w:rPr>
      </w:pPr>
      <w:r>
        <w:rPr>
          <w:sz w:val="20"/>
        </w:rPr>
        <w:t>2012</w:t>
      </w:r>
      <w:r>
        <w:rPr>
          <w:spacing w:val="-3"/>
          <w:sz w:val="20"/>
        </w:rPr>
        <w:t> </w:t>
      </w:r>
      <w:r>
        <w:rPr>
          <w:sz w:val="20"/>
        </w:rPr>
        <w:t>Response:</w:t>
      </w:r>
      <w:r>
        <w:rPr>
          <w:spacing w:val="-5"/>
          <w:sz w:val="20"/>
        </w:rPr>
        <w:t> </w:t>
      </w:r>
      <w:r>
        <w:rPr>
          <w:sz w:val="20"/>
        </w:rPr>
        <w:t>This</w:t>
      </w:r>
      <w:r>
        <w:rPr>
          <w:spacing w:val="-1"/>
          <w:sz w:val="20"/>
        </w:rPr>
        <w:t> </w:t>
      </w:r>
      <w:r>
        <w:rPr>
          <w:sz w:val="20"/>
        </w:rPr>
        <w:t>year,</w:t>
      </w:r>
      <w:r>
        <w:rPr>
          <w:spacing w:val="-3"/>
          <w:sz w:val="20"/>
        </w:rPr>
        <w:t> </w:t>
      </w:r>
      <w:r>
        <w:rPr>
          <w:sz w:val="20"/>
        </w:rPr>
        <w:t>our</w:t>
      </w:r>
      <w:r>
        <w:rPr>
          <w:spacing w:val="-4"/>
          <w:sz w:val="20"/>
        </w:rPr>
        <w:t> </w:t>
      </w:r>
      <w:r>
        <w:rPr>
          <w:sz w:val="20"/>
        </w:rPr>
        <w:t>program added</w:t>
      </w:r>
      <w:r>
        <w:rPr>
          <w:spacing w:val="-5"/>
          <w:sz w:val="20"/>
        </w:rPr>
        <w:t> </w:t>
      </w:r>
      <w:r>
        <w:rPr>
          <w:sz w:val="20"/>
        </w:rPr>
        <w:t>the</w:t>
      </w:r>
      <w:r>
        <w:rPr>
          <w:spacing w:val="-5"/>
          <w:sz w:val="20"/>
        </w:rPr>
        <w:t> </w:t>
      </w:r>
      <w:r>
        <w:rPr>
          <w:sz w:val="20"/>
        </w:rPr>
        <w:t>NASA</w:t>
      </w:r>
      <w:r>
        <w:rPr>
          <w:spacing w:val="-3"/>
          <w:sz w:val="20"/>
        </w:rPr>
        <w:t> </w:t>
      </w:r>
      <w:r>
        <w:rPr>
          <w:sz w:val="20"/>
        </w:rPr>
        <w:t>Langley</w:t>
      </w:r>
      <w:r>
        <w:rPr>
          <w:spacing w:val="-6"/>
          <w:sz w:val="20"/>
        </w:rPr>
        <w:t> </w:t>
      </w:r>
      <w:r>
        <w:rPr>
          <w:sz w:val="20"/>
        </w:rPr>
        <w:t>Research</w:t>
      </w:r>
      <w:r>
        <w:rPr>
          <w:spacing w:val="-5"/>
          <w:sz w:val="20"/>
        </w:rPr>
        <w:t> </w:t>
      </w:r>
      <w:r>
        <w:rPr>
          <w:sz w:val="20"/>
        </w:rPr>
        <w:t>Center</w:t>
      </w:r>
      <w:r>
        <w:rPr>
          <w:spacing w:val="-4"/>
          <w:sz w:val="20"/>
        </w:rPr>
        <w:t> </w:t>
      </w:r>
      <w:r>
        <w:rPr>
          <w:sz w:val="20"/>
        </w:rPr>
        <w:t>as</w:t>
      </w:r>
      <w:r>
        <w:rPr>
          <w:spacing w:val="-4"/>
          <w:sz w:val="20"/>
        </w:rPr>
        <w:t> </w:t>
      </w:r>
      <w:r>
        <w:rPr>
          <w:sz w:val="20"/>
        </w:rPr>
        <w:t>a partner. The Chief Architect and Center Master Planner along with the Chief of Facility Engineering worked with the Studio professors to develop a comprehensive pilot program for our 4th year studio that included the detailed study of their proposed 140,000 sf Measurement Science Building (called New Town 3) to be constructed on their</w:t>
      </w:r>
      <w:r>
        <w:rPr>
          <w:spacing w:val="-2"/>
          <w:sz w:val="20"/>
        </w:rPr>
        <w:t> </w:t>
      </w:r>
      <w:r>
        <w:rPr>
          <w:sz w:val="20"/>
        </w:rPr>
        <w:t>New</w:t>
      </w:r>
      <w:r>
        <w:rPr>
          <w:spacing w:val="-5"/>
          <w:sz w:val="20"/>
        </w:rPr>
        <w:t> </w:t>
      </w:r>
      <w:r>
        <w:rPr>
          <w:sz w:val="20"/>
        </w:rPr>
        <w:t>Town</w:t>
      </w:r>
      <w:r>
        <w:rPr>
          <w:spacing w:val="-3"/>
          <w:sz w:val="20"/>
        </w:rPr>
        <w:t> </w:t>
      </w:r>
      <w:r>
        <w:rPr>
          <w:sz w:val="20"/>
        </w:rPr>
        <w:t>Campus</w:t>
      </w:r>
      <w:r>
        <w:rPr>
          <w:spacing w:val="-2"/>
          <w:sz w:val="20"/>
        </w:rPr>
        <w:t> </w:t>
      </w:r>
      <w:r>
        <w:rPr>
          <w:sz w:val="20"/>
        </w:rPr>
        <w:t>in</w:t>
      </w:r>
      <w:r>
        <w:rPr>
          <w:spacing w:val="-3"/>
          <w:sz w:val="20"/>
        </w:rPr>
        <w:t> </w:t>
      </w:r>
      <w:r>
        <w:rPr>
          <w:sz w:val="20"/>
        </w:rPr>
        <w:t>2014-16.</w:t>
      </w:r>
      <w:r>
        <w:rPr>
          <w:spacing w:val="-3"/>
          <w:sz w:val="20"/>
        </w:rPr>
        <w:t> </w:t>
      </w:r>
      <w:r>
        <w:rPr>
          <w:sz w:val="20"/>
        </w:rPr>
        <w:t>This</w:t>
      </w:r>
      <w:r>
        <w:rPr>
          <w:spacing w:val="-2"/>
          <w:sz w:val="20"/>
        </w:rPr>
        <w:t> </w:t>
      </w:r>
      <w:r>
        <w:rPr>
          <w:sz w:val="20"/>
        </w:rPr>
        <w:t>partnership</w:t>
      </w:r>
      <w:r>
        <w:rPr>
          <w:spacing w:val="-1"/>
          <w:sz w:val="20"/>
        </w:rPr>
        <w:t> </w:t>
      </w:r>
      <w:r>
        <w:rPr>
          <w:sz w:val="20"/>
        </w:rPr>
        <w:t>will</w:t>
      </w:r>
      <w:r>
        <w:rPr>
          <w:spacing w:val="-4"/>
          <w:sz w:val="20"/>
        </w:rPr>
        <w:t> </w:t>
      </w:r>
      <w:r>
        <w:rPr>
          <w:sz w:val="20"/>
        </w:rPr>
        <w:t>continue</w:t>
      </w:r>
      <w:r>
        <w:rPr>
          <w:spacing w:val="-1"/>
          <w:sz w:val="20"/>
        </w:rPr>
        <w:t> </w:t>
      </w:r>
      <w:r>
        <w:rPr>
          <w:sz w:val="20"/>
        </w:rPr>
        <w:t>with</w:t>
      </w:r>
      <w:r>
        <w:rPr>
          <w:spacing w:val="-1"/>
          <w:sz w:val="20"/>
        </w:rPr>
        <w:t> </w:t>
      </w:r>
      <w:r>
        <w:rPr>
          <w:sz w:val="20"/>
        </w:rPr>
        <w:t>the</w:t>
      </w:r>
      <w:r>
        <w:rPr>
          <w:spacing w:val="-1"/>
          <w:sz w:val="20"/>
        </w:rPr>
        <w:t> </w:t>
      </w:r>
      <w:r>
        <w:rPr>
          <w:sz w:val="20"/>
        </w:rPr>
        <w:t>development of each new building on the New Town campus and allow students to experience real</w:t>
      </w:r>
    </w:p>
    <w:p>
      <w:pPr>
        <w:spacing w:after="0" w:line="240" w:lineRule="auto"/>
        <w:jc w:val="left"/>
        <w:rPr>
          <w:sz w:val="20"/>
        </w:rPr>
        <w:sectPr>
          <w:headerReference w:type="default" r:id="rId153"/>
          <w:footerReference w:type="default" r:id="rId154"/>
          <w:pgSz w:w="12240" w:h="15840"/>
          <w:pgMar w:header="0" w:footer="974" w:top="1360" w:bottom="1160" w:left="1000" w:right="820"/>
        </w:sectPr>
      </w:pPr>
    </w:p>
    <w:p>
      <w:pPr>
        <w:pStyle w:val="BodyText"/>
        <w:spacing w:before="77"/>
        <w:ind w:left="1952" w:right="632"/>
      </w:pPr>
      <w:r>
        <w:rPr/>
        <w:t>world design conditions from project programming through conceptual design, making presentations to a</w:t>
      </w:r>
      <w:r>
        <w:rPr>
          <w:spacing w:val="-1"/>
        </w:rPr>
        <w:t> </w:t>
      </w:r>
      <w:r>
        <w:rPr/>
        <w:t>variety</w:t>
      </w:r>
      <w:r>
        <w:rPr>
          <w:spacing w:val="-2"/>
        </w:rPr>
        <w:t> </w:t>
      </w:r>
      <w:r>
        <w:rPr/>
        <w:t>of Owner /</w:t>
      </w:r>
      <w:r>
        <w:rPr>
          <w:spacing w:val="-1"/>
        </w:rPr>
        <w:t> </w:t>
      </w:r>
      <w:r>
        <w:rPr/>
        <w:t>User /</w:t>
      </w:r>
      <w:r>
        <w:rPr>
          <w:spacing w:val="-1"/>
        </w:rPr>
        <w:t> </w:t>
      </w:r>
      <w:r>
        <w:rPr/>
        <w:t>Client</w:t>
      </w:r>
      <w:r>
        <w:rPr>
          <w:spacing w:val="-1"/>
        </w:rPr>
        <w:t> </w:t>
      </w:r>
      <w:r>
        <w:rPr/>
        <w:t>groups throughout</w:t>
      </w:r>
      <w:r>
        <w:rPr>
          <w:spacing w:val="-1"/>
        </w:rPr>
        <w:t> </w:t>
      </w:r>
      <w:r>
        <w:rPr/>
        <w:t>the</w:t>
      </w:r>
      <w:r>
        <w:rPr>
          <w:spacing w:val="-1"/>
        </w:rPr>
        <w:t> </w:t>
      </w:r>
      <w:r>
        <w:rPr/>
        <w:t>process. NASA is making their engineering team available to the students to discuss emerging technologies being employed in sustainable designs. Their architecture and engineering consulting</w:t>
      </w:r>
      <w:r>
        <w:rPr>
          <w:spacing w:val="-4"/>
        </w:rPr>
        <w:t> </w:t>
      </w:r>
      <w:r>
        <w:rPr/>
        <w:t>firms</w:t>
      </w:r>
      <w:r>
        <w:rPr>
          <w:spacing w:val="-3"/>
        </w:rPr>
        <w:t> </w:t>
      </w:r>
      <w:r>
        <w:rPr/>
        <w:t>are</w:t>
      </w:r>
      <w:r>
        <w:rPr>
          <w:spacing w:val="-4"/>
        </w:rPr>
        <w:t> </w:t>
      </w:r>
      <w:r>
        <w:rPr/>
        <w:t>also</w:t>
      </w:r>
      <w:r>
        <w:rPr>
          <w:spacing w:val="-4"/>
        </w:rPr>
        <w:t> </w:t>
      </w:r>
      <w:r>
        <w:rPr/>
        <w:t>acting</w:t>
      </w:r>
      <w:r>
        <w:rPr>
          <w:spacing w:val="-2"/>
        </w:rPr>
        <w:t> </w:t>
      </w:r>
      <w:r>
        <w:rPr/>
        <w:t>as</w:t>
      </w:r>
      <w:r>
        <w:rPr>
          <w:spacing w:val="-3"/>
        </w:rPr>
        <w:t> </w:t>
      </w:r>
      <w:r>
        <w:rPr/>
        <w:t>consultants</w:t>
      </w:r>
      <w:r>
        <w:rPr>
          <w:spacing w:val="-3"/>
        </w:rPr>
        <w:t> </w:t>
      </w:r>
      <w:r>
        <w:rPr/>
        <w:t>to</w:t>
      </w:r>
      <w:r>
        <w:rPr>
          <w:spacing w:val="-4"/>
        </w:rPr>
        <w:t> </w:t>
      </w:r>
      <w:r>
        <w:rPr/>
        <w:t>the</w:t>
      </w:r>
      <w:r>
        <w:rPr>
          <w:spacing w:val="-4"/>
        </w:rPr>
        <w:t> </w:t>
      </w:r>
      <w:r>
        <w:rPr/>
        <w:t>students</w:t>
      </w:r>
      <w:r>
        <w:rPr>
          <w:spacing w:val="-3"/>
        </w:rPr>
        <w:t> </w:t>
      </w:r>
      <w:r>
        <w:rPr/>
        <w:t>to</w:t>
      </w:r>
      <w:r>
        <w:rPr>
          <w:spacing w:val="-4"/>
        </w:rPr>
        <w:t> </w:t>
      </w:r>
      <w:r>
        <w:rPr/>
        <w:t>allow</w:t>
      </w:r>
      <w:r>
        <w:rPr>
          <w:spacing w:val="-6"/>
        </w:rPr>
        <w:t> </w:t>
      </w:r>
      <w:r>
        <w:rPr/>
        <w:t>them to</w:t>
      </w:r>
      <w:r>
        <w:rPr>
          <w:spacing w:val="-4"/>
        </w:rPr>
        <w:t> </w:t>
      </w:r>
      <w:r>
        <w:rPr/>
        <w:t>engage</w:t>
      </w:r>
      <w:r>
        <w:rPr>
          <w:spacing w:val="-2"/>
        </w:rPr>
        <w:t> </w:t>
      </w:r>
      <w:r>
        <w:rPr/>
        <w:t>in the comprehensive design process of place making. They participate in studio presentations and review student submissions. The work of our students will be displayed at the Langley Research Center facilities during the summer.</w:t>
      </w:r>
    </w:p>
    <w:p>
      <w:pPr>
        <w:pStyle w:val="BodyText"/>
        <w:spacing w:before="8"/>
        <w:rPr>
          <w:sz w:val="18"/>
        </w:rPr>
      </w:pPr>
    </w:p>
    <w:p>
      <w:pPr>
        <w:pStyle w:val="ListParagraph"/>
        <w:numPr>
          <w:ilvl w:val="0"/>
          <w:numId w:val="40"/>
        </w:numPr>
        <w:tabs>
          <w:tab w:pos="1951" w:val="left" w:leader="none"/>
          <w:tab w:pos="1953" w:val="left" w:leader="none"/>
        </w:tabs>
        <w:spacing w:line="240" w:lineRule="auto" w:before="0" w:after="0"/>
        <w:ind w:left="1952" w:right="698" w:hanging="360"/>
        <w:jc w:val="left"/>
        <w:rPr>
          <w:sz w:val="20"/>
        </w:rPr>
      </w:pPr>
      <w:r>
        <w:rPr>
          <w:sz w:val="20"/>
        </w:rPr>
        <w:t>2013-2014 Response: Our program continues to review our curriculum and the most recent</w:t>
      </w:r>
      <w:r>
        <w:rPr>
          <w:spacing w:val="-6"/>
          <w:sz w:val="20"/>
        </w:rPr>
        <w:t> </w:t>
      </w:r>
      <w:r>
        <w:rPr>
          <w:sz w:val="20"/>
        </w:rPr>
        <w:t>revision</w:t>
      </w:r>
      <w:r>
        <w:rPr>
          <w:spacing w:val="-6"/>
          <w:sz w:val="20"/>
        </w:rPr>
        <w:t> </w:t>
      </w:r>
      <w:r>
        <w:rPr>
          <w:sz w:val="20"/>
        </w:rPr>
        <w:t>added</w:t>
      </w:r>
      <w:r>
        <w:rPr>
          <w:spacing w:val="-3"/>
          <w:sz w:val="20"/>
        </w:rPr>
        <w:t> </w:t>
      </w:r>
      <w:r>
        <w:rPr>
          <w:sz w:val="20"/>
        </w:rPr>
        <w:t>ARC</w:t>
      </w:r>
      <w:r>
        <w:rPr>
          <w:spacing w:val="-3"/>
          <w:sz w:val="20"/>
        </w:rPr>
        <w:t> </w:t>
      </w:r>
      <w:r>
        <w:rPr>
          <w:sz w:val="20"/>
        </w:rPr>
        <w:t>516,</w:t>
      </w:r>
      <w:r>
        <w:rPr>
          <w:spacing w:val="-4"/>
          <w:sz w:val="20"/>
        </w:rPr>
        <w:t> </w:t>
      </w:r>
      <w:r>
        <w:rPr>
          <w:sz w:val="20"/>
        </w:rPr>
        <w:t>Building</w:t>
      </w:r>
      <w:r>
        <w:rPr>
          <w:spacing w:val="-4"/>
          <w:sz w:val="20"/>
        </w:rPr>
        <w:t> </w:t>
      </w:r>
      <w:r>
        <w:rPr>
          <w:sz w:val="20"/>
        </w:rPr>
        <w:t>Systems</w:t>
      </w:r>
      <w:r>
        <w:rPr>
          <w:spacing w:val="-5"/>
          <w:sz w:val="20"/>
        </w:rPr>
        <w:t> </w:t>
      </w:r>
      <w:r>
        <w:rPr>
          <w:sz w:val="20"/>
        </w:rPr>
        <w:t>Integration</w:t>
      </w:r>
      <w:r>
        <w:rPr>
          <w:spacing w:val="-6"/>
          <w:sz w:val="20"/>
        </w:rPr>
        <w:t> </w:t>
      </w:r>
      <w:r>
        <w:rPr>
          <w:sz w:val="20"/>
        </w:rPr>
        <w:t>to</w:t>
      </w:r>
      <w:r>
        <w:rPr>
          <w:spacing w:val="-4"/>
          <w:sz w:val="20"/>
        </w:rPr>
        <w:t> </w:t>
      </w:r>
      <w:r>
        <w:rPr>
          <w:sz w:val="20"/>
        </w:rPr>
        <w:t>enhance</w:t>
      </w:r>
      <w:r>
        <w:rPr>
          <w:spacing w:val="-4"/>
          <w:sz w:val="20"/>
        </w:rPr>
        <w:t> </w:t>
      </w:r>
      <w:r>
        <w:rPr>
          <w:sz w:val="20"/>
        </w:rPr>
        <w:t>the</w:t>
      </w:r>
      <w:r>
        <w:rPr>
          <w:spacing w:val="-4"/>
          <w:sz w:val="20"/>
        </w:rPr>
        <w:t> </w:t>
      </w:r>
      <w:r>
        <w:rPr>
          <w:sz w:val="20"/>
        </w:rPr>
        <w:t>instruction for the 4</w:t>
      </w:r>
      <w:r>
        <w:rPr>
          <w:sz w:val="20"/>
          <w:vertAlign w:val="superscript"/>
        </w:rPr>
        <w:t>t</w:t>
      </w:r>
      <w:r>
        <w:rPr>
          <w:sz w:val="20"/>
          <w:vertAlign w:val="superscript"/>
        </w:rPr>
        <w:t>h</w:t>
      </w:r>
      <w:r>
        <w:rPr>
          <w:sz w:val="20"/>
          <w:vertAlign w:val="baseline"/>
        </w:rPr>
        <w:t> year students concurrently in the Comprehensive Design Studio.</w:t>
      </w:r>
    </w:p>
    <w:p>
      <w:pPr>
        <w:spacing w:after="0" w:line="240" w:lineRule="auto"/>
        <w:jc w:val="left"/>
        <w:rPr>
          <w:sz w:val="20"/>
        </w:rPr>
        <w:sectPr>
          <w:headerReference w:type="default" r:id="rId155"/>
          <w:footerReference w:type="default" r:id="rId156"/>
          <w:pgSz w:w="12240" w:h="15840"/>
          <w:pgMar w:header="0" w:footer="974" w:top="1360" w:bottom="1160" w:left="1000" w:right="820"/>
        </w:sectPr>
      </w:pPr>
    </w:p>
    <w:p>
      <w:pPr>
        <w:spacing w:before="75"/>
        <w:ind w:left="440" w:right="0" w:firstLine="0"/>
        <w:jc w:val="left"/>
        <w:rPr>
          <w:b/>
          <w:sz w:val="20"/>
        </w:rPr>
      </w:pPr>
      <w:r>
        <w:rPr>
          <w:b/>
          <w:sz w:val="20"/>
        </w:rPr>
        <w:t>Comprehensive</w:t>
      </w:r>
      <w:r>
        <w:rPr>
          <w:b/>
          <w:spacing w:val="-11"/>
          <w:sz w:val="20"/>
        </w:rPr>
        <w:t> </w:t>
      </w:r>
      <w:r>
        <w:rPr>
          <w:b/>
          <w:sz w:val="20"/>
        </w:rPr>
        <w:t>Design</w:t>
      </w:r>
      <w:r>
        <w:rPr>
          <w:b/>
          <w:spacing w:val="-9"/>
          <w:sz w:val="20"/>
        </w:rPr>
        <w:t> </w:t>
      </w:r>
      <w:r>
        <w:rPr>
          <w:b/>
          <w:sz w:val="20"/>
        </w:rPr>
        <w:t>(SPC</w:t>
      </w:r>
      <w:r>
        <w:rPr>
          <w:b/>
          <w:spacing w:val="-8"/>
          <w:sz w:val="20"/>
        </w:rPr>
        <w:t> </w:t>
      </w:r>
      <w:r>
        <w:rPr>
          <w:b/>
          <w:spacing w:val="-2"/>
          <w:sz w:val="20"/>
        </w:rPr>
        <w:t>13.28):</w:t>
      </w:r>
    </w:p>
    <w:p>
      <w:pPr>
        <w:spacing w:line="254" w:lineRule="auto" w:before="125"/>
        <w:ind w:left="1159" w:right="642" w:firstLine="0"/>
        <w:jc w:val="left"/>
        <w:rPr>
          <w:i/>
          <w:sz w:val="22"/>
        </w:rPr>
      </w:pPr>
      <w:r>
        <w:rPr>
          <w:i/>
          <w:w w:val="95"/>
          <w:sz w:val="22"/>
        </w:rPr>
        <w:t>Ability</w:t>
      </w:r>
      <w:r>
        <w:rPr>
          <w:i/>
          <w:spacing w:val="-12"/>
          <w:w w:val="95"/>
          <w:sz w:val="22"/>
        </w:rPr>
        <w:t> </w:t>
      </w:r>
      <w:r>
        <w:rPr>
          <w:i/>
          <w:w w:val="95"/>
          <w:sz w:val="22"/>
        </w:rPr>
        <w:t>to</w:t>
      </w:r>
      <w:r>
        <w:rPr>
          <w:i/>
          <w:spacing w:val="-12"/>
          <w:w w:val="95"/>
          <w:sz w:val="22"/>
        </w:rPr>
        <w:t> </w:t>
      </w:r>
      <w:r>
        <w:rPr>
          <w:i/>
          <w:w w:val="95"/>
          <w:sz w:val="22"/>
        </w:rPr>
        <w:t>produce</w:t>
      </w:r>
      <w:r>
        <w:rPr>
          <w:i/>
          <w:spacing w:val="-11"/>
          <w:w w:val="95"/>
          <w:sz w:val="22"/>
        </w:rPr>
        <w:t> </w:t>
      </w:r>
      <w:r>
        <w:rPr>
          <w:i/>
          <w:w w:val="95"/>
          <w:sz w:val="22"/>
        </w:rPr>
        <w:t>a</w:t>
      </w:r>
      <w:r>
        <w:rPr>
          <w:i/>
          <w:spacing w:val="-12"/>
          <w:w w:val="95"/>
          <w:sz w:val="22"/>
        </w:rPr>
        <w:t> </w:t>
      </w:r>
      <w:r>
        <w:rPr>
          <w:i/>
          <w:w w:val="95"/>
          <w:sz w:val="22"/>
        </w:rPr>
        <w:t>comprehensive</w:t>
      </w:r>
      <w:r>
        <w:rPr>
          <w:i/>
          <w:spacing w:val="-11"/>
          <w:w w:val="95"/>
          <w:sz w:val="22"/>
        </w:rPr>
        <w:t> </w:t>
      </w:r>
      <w:r>
        <w:rPr>
          <w:i/>
          <w:w w:val="95"/>
          <w:sz w:val="22"/>
        </w:rPr>
        <w:t>architectural</w:t>
      </w:r>
      <w:r>
        <w:rPr>
          <w:i/>
          <w:spacing w:val="-11"/>
          <w:w w:val="95"/>
          <w:sz w:val="22"/>
        </w:rPr>
        <w:t> </w:t>
      </w:r>
      <w:r>
        <w:rPr>
          <w:i/>
          <w:w w:val="95"/>
          <w:sz w:val="22"/>
        </w:rPr>
        <w:t>project</w:t>
      </w:r>
      <w:r>
        <w:rPr>
          <w:i/>
          <w:spacing w:val="-11"/>
          <w:w w:val="95"/>
          <w:sz w:val="22"/>
        </w:rPr>
        <w:t> </w:t>
      </w:r>
      <w:r>
        <w:rPr>
          <w:i/>
          <w:w w:val="95"/>
          <w:sz w:val="22"/>
        </w:rPr>
        <w:t>based</w:t>
      </w:r>
      <w:r>
        <w:rPr>
          <w:i/>
          <w:spacing w:val="-12"/>
          <w:w w:val="95"/>
          <w:sz w:val="22"/>
        </w:rPr>
        <w:t> </w:t>
      </w:r>
      <w:r>
        <w:rPr>
          <w:i/>
          <w:w w:val="95"/>
          <w:sz w:val="22"/>
        </w:rPr>
        <w:t>on</w:t>
      </w:r>
      <w:r>
        <w:rPr>
          <w:i/>
          <w:spacing w:val="-12"/>
          <w:w w:val="95"/>
          <w:sz w:val="22"/>
        </w:rPr>
        <w:t> </w:t>
      </w:r>
      <w:r>
        <w:rPr>
          <w:i/>
          <w:w w:val="95"/>
          <w:sz w:val="22"/>
        </w:rPr>
        <w:t>a</w:t>
      </w:r>
      <w:r>
        <w:rPr>
          <w:i/>
          <w:spacing w:val="-12"/>
          <w:w w:val="95"/>
          <w:sz w:val="22"/>
        </w:rPr>
        <w:t> </w:t>
      </w:r>
      <w:r>
        <w:rPr>
          <w:i/>
          <w:w w:val="95"/>
          <w:sz w:val="22"/>
        </w:rPr>
        <w:t>building</w:t>
      </w:r>
      <w:r>
        <w:rPr>
          <w:i/>
          <w:spacing w:val="-12"/>
          <w:w w:val="95"/>
          <w:sz w:val="22"/>
        </w:rPr>
        <w:t> </w:t>
      </w:r>
      <w:r>
        <w:rPr>
          <w:i/>
          <w:w w:val="95"/>
          <w:sz w:val="22"/>
        </w:rPr>
        <w:t>program</w:t>
      </w:r>
      <w:r>
        <w:rPr>
          <w:i/>
          <w:spacing w:val="-11"/>
          <w:w w:val="95"/>
          <w:sz w:val="22"/>
        </w:rPr>
        <w:t> </w:t>
      </w:r>
      <w:r>
        <w:rPr>
          <w:i/>
          <w:w w:val="95"/>
          <w:sz w:val="22"/>
        </w:rPr>
        <w:t>and</w:t>
      </w:r>
      <w:r>
        <w:rPr>
          <w:i/>
          <w:spacing w:val="-12"/>
          <w:w w:val="95"/>
          <w:sz w:val="22"/>
        </w:rPr>
        <w:t> </w:t>
      </w:r>
      <w:r>
        <w:rPr>
          <w:i/>
          <w:w w:val="95"/>
          <w:sz w:val="22"/>
        </w:rPr>
        <w:t>site </w:t>
      </w:r>
      <w:r>
        <w:rPr>
          <w:i/>
          <w:w w:val="90"/>
          <w:sz w:val="22"/>
        </w:rPr>
        <w:t>that includes development of programmed spaces demonstrating an understanding of structural and environmental systems, building envelope systems, life-safety provisions, wall sections and </w:t>
      </w:r>
      <w:r>
        <w:rPr>
          <w:i/>
          <w:w w:val="95"/>
          <w:sz w:val="22"/>
        </w:rPr>
        <w:t>building</w:t>
      </w:r>
      <w:r>
        <w:rPr>
          <w:i/>
          <w:spacing w:val="-8"/>
          <w:w w:val="95"/>
          <w:sz w:val="22"/>
        </w:rPr>
        <w:t> </w:t>
      </w:r>
      <w:r>
        <w:rPr>
          <w:i/>
          <w:w w:val="95"/>
          <w:sz w:val="22"/>
        </w:rPr>
        <w:t>assemblies,</w:t>
      </w:r>
      <w:r>
        <w:rPr>
          <w:i/>
          <w:spacing w:val="-7"/>
          <w:w w:val="95"/>
          <w:sz w:val="22"/>
        </w:rPr>
        <w:t> </w:t>
      </w:r>
      <w:r>
        <w:rPr>
          <w:i/>
          <w:w w:val="95"/>
          <w:sz w:val="22"/>
        </w:rPr>
        <w:t>and</w:t>
      </w:r>
      <w:r>
        <w:rPr>
          <w:i/>
          <w:spacing w:val="-10"/>
          <w:w w:val="95"/>
          <w:sz w:val="22"/>
        </w:rPr>
        <w:t> </w:t>
      </w:r>
      <w:r>
        <w:rPr>
          <w:i/>
          <w:w w:val="95"/>
          <w:sz w:val="22"/>
        </w:rPr>
        <w:t>the</w:t>
      </w:r>
      <w:r>
        <w:rPr>
          <w:i/>
          <w:spacing w:val="-7"/>
          <w:w w:val="95"/>
          <w:sz w:val="22"/>
        </w:rPr>
        <w:t> </w:t>
      </w:r>
      <w:r>
        <w:rPr>
          <w:i/>
          <w:w w:val="95"/>
          <w:sz w:val="22"/>
        </w:rPr>
        <w:t>principles</w:t>
      </w:r>
      <w:r>
        <w:rPr>
          <w:i/>
          <w:spacing w:val="-7"/>
          <w:w w:val="95"/>
          <w:sz w:val="22"/>
        </w:rPr>
        <w:t> </w:t>
      </w:r>
      <w:r>
        <w:rPr>
          <w:i/>
          <w:w w:val="95"/>
          <w:sz w:val="22"/>
        </w:rPr>
        <w:t>of</w:t>
      </w:r>
      <w:r>
        <w:rPr>
          <w:i/>
          <w:spacing w:val="-10"/>
          <w:w w:val="95"/>
          <w:sz w:val="22"/>
        </w:rPr>
        <w:t> </w:t>
      </w:r>
      <w:r>
        <w:rPr>
          <w:i/>
          <w:w w:val="95"/>
          <w:sz w:val="22"/>
        </w:rPr>
        <w:t>sustainability.</w:t>
      </w:r>
    </w:p>
    <w:p>
      <w:pPr>
        <w:spacing w:before="197"/>
        <w:ind w:left="1160" w:right="0" w:firstLine="0"/>
        <w:jc w:val="left"/>
        <w:rPr>
          <w:b/>
          <w:sz w:val="20"/>
        </w:rPr>
      </w:pPr>
      <w:r>
        <w:rPr>
          <w:b/>
          <w:sz w:val="20"/>
        </w:rPr>
        <w:t>VTR</w:t>
      </w:r>
      <w:r>
        <w:rPr>
          <w:b/>
          <w:spacing w:val="-3"/>
          <w:sz w:val="20"/>
        </w:rPr>
        <w:t> </w:t>
      </w:r>
      <w:r>
        <w:rPr>
          <w:b/>
          <w:spacing w:val="-2"/>
          <w:sz w:val="20"/>
        </w:rPr>
        <w:t>Comments:</w:t>
      </w:r>
    </w:p>
    <w:p>
      <w:pPr>
        <w:pStyle w:val="BodyText"/>
        <w:spacing w:before="9"/>
        <w:rPr>
          <w:b/>
          <w:sz w:val="18"/>
        </w:rPr>
      </w:pPr>
    </w:p>
    <w:p>
      <w:pPr>
        <w:pStyle w:val="ListParagraph"/>
        <w:numPr>
          <w:ilvl w:val="0"/>
          <w:numId w:val="40"/>
        </w:numPr>
        <w:tabs>
          <w:tab w:pos="1951" w:val="left" w:leader="none"/>
          <w:tab w:pos="1953" w:val="left" w:leader="none"/>
        </w:tabs>
        <w:spacing w:line="240" w:lineRule="auto" w:before="0" w:after="0"/>
        <w:ind w:left="1952" w:right="723" w:hanging="360"/>
        <w:jc w:val="left"/>
        <w:rPr>
          <w:sz w:val="20"/>
        </w:rPr>
      </w:pPr>
      <w:r>
        <w:rPr>
          <w:sz w:val="20"/>
        </w:rPr>
        <w:t>Comprehensive design ability is to be demonstrated in courses ARC 405-6, Advanced Architectural</w:t>
      </w:r>
      <w:r>
        <w:rPr>
          <w:spacing w:val="-4"/>
          <w:sz w:val="20"/>
        </w:rPr>
        <w:t> </w:t>
      </w:r>
      <w:r>
        <w:rPr>
          <w:sz w:val="20"/>
        </w:rPr>
        <w:t>Design</w:t>
      </w:r>
      <w:r>
        <w:rPr>
          <w:spacing w:val="-5"/>
          <w:sz w:val="20"/>
        </w:rPr>
        <w:t> </w:t>
      </w:r>
      <w:r>
        <w:rPr>
          <w:sz w:val="20"/>
        </w:rPr>
        <w:t>Studios.</w:t>
      </w:r>
      <w:r>
        <w:rPr>
          <w:spacing w:val="40"/>
          <w:sz w:val="20"/>
        </w:rPr>
        <w:t> </w:t>
      </w:r>
      <w:r>
        <w:rPr>
          <w:sz w:val="20"/>
        </w:rPr>
        <w:t>The</w:t>
      </w:r>
      <w:r>
        <w:rPr>
          <w:spacing w:val="-5"/>
          <w:sz w:val="20"/>
        </w:rPr>
        <w:t> </w:t>
      </w:r>
      <w:r>
        <w:rPr>
          <w:sz w:val="20"/>
        </w:rPr>
        <w:t>Team did</w:t>
      </w:r>
      <w:r>
        <w:rPr>
          <w:spacing w:val="-5"/>
          <w:sz w:val="20"/>
        </w:rPr>
        <w:t> </w:t>
      </w:r>
      <w:r>
        <w:rPr>
          <w:sz w:val="20"/>
        </w:rPr>
        <w:t>not</w:t>
      </w:r>
      <w:r>
        <w:rPr>
          <w:spacing w:val="-5"/>
          <w:sz w:val="20"/>
        </w:rPr>
        <w:t> </w:t>
      </w:r>
      <w:r>
        <w:rPr>
          <w:sz w:val="20"/>
        </w:rPr>
        <w:t>find</w:t>
      </w:r>
      <w:r>
        <w:rPr>
          <w:spacing w:val="-5"/>
          <w:sz w:val="20"/>
        </w:rPr>
        <w:t> </w:t>
      </w:r>
      <w:r>
        <w:rPr>
          <w:sz w:val="20"/>
        </w:rPr>
        <w:t>a</w:t>
      </w:r>
      <w:r>
        <w:rPr>
          <w:spacing w:val="-3"/>
          <w:sz w:val="20"/>
        </w:rPr>
        <w:t> </w:t>
      </w:r>
      <w:r>
        <w:rPr>
          <w:sz w:val="20"/>
        </w:rPr>
        <w:t>comprehensive</w:t>
      </w:r>
      <w:r>
        <w:rPr>
          <w:spacing w:val="-3"/>
          <w:sz w:val="20"/>
        </w:rPr>
        <w:t> </w:t>
      </w:r>
      <w:r>
        <w:rPr>
          <w:sz w:val="20"/>
        </w:rPr>
        <w:t>understanding</w:t>
      </w:r>
      <w:r>
        <w:rPr>
          <w:spacing w:val="-3"/>
          <w:sz w:val="20"/>
        </w:rPr>
        <w:t> </w:t>
      </w:r>
      <w:r>
        <w:rPr>
          <w:sz w:val="20"/>
        </w:rPr>
        <w:t>of structural, environmental, and life-safety systems shown in the design work.</w:t>
      </w:r>
      <w:r>
        <w:rPr>
          <w:spacing w:val="40"/>
          <w:sz w:val="20"/>
        </w:rPr>
        <w:t> </w:t>
      </w:r>
      <w:r>
        <w:rPr>
          <w:sz w:val="20"/>
        </w:rPr>
        <w:t>An understanding of some conditions was found, but projects, in general, feel short of comprehensive solutions.</w:t>
      </w:r>
    </w:p>
    <w:p>
      <w:pPr>
        <w:pStyle w:val="BodyText"/>
        <w:spacing w:before="4"/>
        <w:rPr>
          <w:sz w:val="17"/>
        </w:rPr>
      </w:pPr>
    </w:p>
    <w:p>
      <w:pPr>
        <w:spacing w:before="0"/>
        <w:ind w:left="1159" w:right="0" w:firstLine="0"/>
        <w:jc w:val="left"/>
        <w:rPr>
          <w:b/>
          <w:sz w:val="20"/>
        </w:rPr>
      </w:pPr>
      <w:r>
        <w:rPr>
          <w:b/>
          <w:sz w:val="20"/>
        </w:rPr>
        <w:t>Program</w:t>
      </w:r>
      <w:r>
        <w:rPr>
          <w:b/>
          <w:spacing w:val="-8"/>
          <w:sz w:val="20"/>
        </w:rPr>
        <w:t> </w:t>
      </w:r>
      <w:r>
        <w:rPr>
          <w:b/>
          <w:sz w:val="20"/>
        </w:rPr>
        <w:t>Response</w:t>
      </w:r>
      <w:r>
        <w:rPr>
          <w:b/>
          <w:spacing w:val="-7"/>
          <w:sz w:val="20"/>
        </w:rPr>
        <w:t> </w:t>
      </w:r>
      <w:r>
        <w:rPr>
          <w:b/>
          <w:sz w:val="20"/>
        </w:rPr>
        <w:t>Since</w:t>
      </w:r>
      <w:r>
        <w:rPr>
          <w:b/>
          <w:spacing w:val="-7"/>
          <w:sz w:val="20"/>
        </w:rPr>
        <w:t> </w:t>
      </w:r>
      <w:r>
        <w:rPr>
          <w:b/>
          <w:sz w:val="20"/>
        </w:rPr>
        <w:t>Last</w:t>
      </w:r>
      <w:r>
        <w:rPr>
          <w:b/>
          <w:spacing w:val="-8"/>
          <w:sz w:val="20"/>
        </w:rPr>
        <w:t> </w:t>
      </w:r>
      <w:r>
        <w:rPr>
          <w:b/>
          <w:spacing w:val="-2"/>
          <w:sz w:val="20"/>
        </w:rPr>
        <w:t>Visit:</w:t>
      </w:r>
    </w:p>
    <w:p>
      <w:pPr>
        <w:pStyle w:val="BodyText"/>
        <w:spacing w:before="7"/>
        <w:rPr>
          <w:b/>
          <w:sz w:val="18"/>
        </w:rPr>
      </w:pPr>
    </w:p>
    <w:p>
      <w:pPr>
        <w:pStyle w:val="ListParagraph"/>
        <w:numPr>
          <w:ilvl w:val="0"/>
          <w:numId w:val="40"/>
        </w:numPr>
        <w:tabs>
          <w:tab w:pos="1951" w:val="left" w:leader="none"/>
          <w:tab w:pos="1952" w:val="left" w:leader="none"/>
        </w:tabs>
        <w:spacing w:line="240" w:lineRule="auto" w:before="0" w:after="0"/>
        <w:ind w:left="1951" w:right="1632" w:hanging="360"/>
        <w:jc w:val="left"/>
        <w:rPr>
          <w:sz w:val="20"/>
        </w:rPr>
      </w:pPr>
      <w:r>
        <w:rPr>
          <w:sz w:val="20"/>
        </w:rPr>
        <w:t>The</w:t>
      </w:r>
      <w:r>
        <w:rPr>
          <w:spacing w:val="-5"/>
          <w:sz w:val="20"/>
        </w:rPr>
        <w:t> </w:t>
      </w:r>
      <w:r>
        <w:rPr>
          <w:sz w:val="20"/>
        </w:rPr>
        <w:t>fourth</w:t>
      </w:r>
      <w:r>
        <w:rPr>
          <w:spacing w:val="-3"/>
          <w:sz w:val="20"/>
        </w:rPr>
        <w:t> </w:t>
      </w:r>
      <w:r>
        <w:rPr>
          <w:sz w:val="20"/>
        </w:rPr>
        <w:t>year</w:t>
      </w:r>
      <w:r>
        <w:rPr>
          <w:spacing w:val="-4"/>
          <w:sz w:val="20"/>
        </w:rPr>
        <w:t> </w:t>
      </w:r>
      <w:r>
        <w:rPr>
          <w:sz w:val="20"/>
        </w:rPr>
        <w:t>studio</w:t>
      </w:r>
      <w:r>
        <w:rPr>
          <w:spacing w:val="-3"/>
          <w:sz w:val="20"/>
        </w:rPr>
        <w:t> </w:t>
      </w:r>
      <w:r>
        <w:rPr>
          <w:sz w:val="20"/>
        </w:rPr>
        <w:t>was</w:t>
      </w:r>
      <w:r>
        <w:rPr>
          <w:spacing w:val="-1"/>
          <w:sz w:val="20"/>
        </w:rPr>
        <w:t> </w:t>
      </w:r>
      <w:r>
        <w:rPr>
          <w:sz w:val="20"/>
        </w:rPr>
        <w:t>revamped.</w:t>
      </w:r>
      <w:r>
        <w:rPr>
          <w:spacing w:val="-5"/>
          <w:sz w:val="20"/>
        </w:rPr>
        <w:t> </w:t>
      </w:r>
      <w:r>
        <w:rPr>
          <w:sz w:val="20"/>
        </w:rPr>
        <w:t>It</w:t>
      </w:r>
      <w:r>
        <w:rPr>
          <w:spacing w:val="-3"/>
          <w:sz w:val="20"/>
        </w:rPr>
        <w:t> </w:t>
      </w:r>
      <w:r>
        <w:rPr>
          <w:sz w:val="20"/>
        </w:rPr>
        <w:t>is</w:t>
      </w:r>
      <w:r>
        <w:rPr>
          <w:spacing w:val="-4"/>
          <w:sz w:val="20"/>
        </w:rPr>
        <w:t> </w:t>
      </w:r>
      <w:r>
        <w:rPr>
          <w:sz w:val="20"/>
        </w:rPr>
        <w:t>taught</w:t>
      </w:r>
      <w:r>
        <w:rPr>
          <w:spacing w:val="-3"/>
          <w:sz w:val="20"/>
        </w:rPr>
        <w:t> </w:t>
      </w:r>
      <w:r>
        <w:rPr>
          <w:sz w:val="20"/>
        </w:rPr>
        <w:t>as</w:t>
      </w:r>
      <w:r>
        <w:rPr>
          <w:spacing w:val="-4"/>
          <w:sz w:val="20"/>
        </w:rPr>
        <w:t> </w:t>
      </w:r>
      <w:r>
        <w:rPr>
          <w:sz w:val="20"/>
        </w:rPr>
        <w:t>an</w:t>
      </w:r>
      <w:r>
        <w:rPr>
          <w:spacing w:val="-5"/>
          <w:sz w:val="20"/>
        </w:rPr>
        <w:t> </w:t>
      </w:r>
      <w:r>
        <w:rPr>
          <w:sz w:val="20"/>
        </w:rPr>
        <w:t>office</w:t>
      </w:r>
      <w:r>
        <w:rPr>
          <w:spacing w:val="-5"/>
          <w:sz w:val="20"/>
        </w:rPr>
        <w:t> </w:t>
      </w:r>
      <w:r>
        <w:rPr>
          <w:sz w:val="20"/>
        </w:rPr>
        <w:t>environment,</w:t>
      </w:r>
      <w:r>
        <w:rPr>
          <w:spacing w:val="-5"/>
          <w:sz w:val="20"/>
        </w:rPr>
        <w:t> </w:t>
      </w:r>
      <w:r>
        <w:rPr>
          <w:sz w:val="20"/>
        </w:rPr>
        <w:t>in conjunction with the ARC 517-518, Professional Practice sequence.</w:t>
      </w:r>
    </w:p>
    <w:p>
      <w:pPr>
        <w:pStyle w:val="BodyText"/>
        <w:spacing w:before="5"/>
        <w:rPr>
          <w:sz w:val="18"/>
        </w:rPr>
      </w:pPr>
    </w:p>
    <w:p>
      <w:pPr>
        <w:pStyle w:val="ListParagraph"/>
        <w:numPr>
          <w:ilvl w:val="0"/>
          <w:numId w:val="40"/>
        </w:numPr>
        <w:tabs>
          <w:tab w:pos="1951" w:val="left" w:leader="none"/>
          <w:tab w:pos="1952" w:val="left" w:leader="none"/>
        </w:tabs>
        <w:spacing w:line="240" w:lineRule="auto" w:before="0" w:after="0"/>
        <w:ind w:left="1951" w:right="831" w:hanging="360"/>
        <w:jc w:val="left"/>
        <w:rPr>
          <w:sz w:val="20"/>
        </w:rPr>
      </w:pPr>
      <w:r>
        <w:rPr>
          <w:sz w:val="20"/>
        </w:rPr>
        <w:t>2009-2012: The fourth year studio (our Comprehensive Design Studio) has been restructured</w:t>
      </w:r>
      <w:r>
        <w:rPr>
          <w:spacing w:val="-4"/>
          <w:sz w:val="20"/>
        </w:rPr>
        <w:t> </w:t>
      </w:r>
      <w:r>
        <w:rPr>
          <w:sz w:val="20"/>
        </w:rPr>
        <w:t>to</w:t>
      </w:r>
      <w:r>
        <w:rPr>
          <w:spacing w:val="-4"/>
          <w:sz w:val="20"/>
        </w:rPr>
        <w:t> </w:t>
      </w:r>
      <w:r>
        <w:rPr>
          <w:sz w:val="20"/>
        </w:rPr>
        <w:t>make</w:t>
      </w:r>
      <w:r>
        <w:rPr>
          <w:spacing w:val="-4"/>
          <w:sz w:val="20"/>
        </w:rPr>
        <w:t> </w:t>
      </w:r>
      <w:r>
        <w:rPr>
          <w:sz w:val="20"/>
        </w:rPr>
        <w:t>sure</w:t>
      </w:r>
      <w:r>
        <w:rPr>
          <w:spacing w:val="-4"/>
          <w:sz w:val="20"/>
        </w:rPr>
        <w:t> </w:t>
      </w:r>
      <w:r>
        <w:rPr>
          <w:sz w:val="20"/>
        </w:rPr>
        <w:t>that</w:t>
      </w:r>
      <w:r>
        <w:rPr>
          <w:spacing w:val="-4"/>
          <w:sz w:val="20"/>
        </w:rPr>
        <w:t> </w:t>
      </w:r>
      <w:r>
        <w:rPr>
          <w:sz w:val="20"/>
        </w:rPr>
        <w:t>students are</w:t>
      </w:r>
      <w:r>
        <w:rPr>
          <w:spacing w:val="-4"/>
          <w:sz w:val="20"/>
        </w:rPr>
        <w:t> </w:t>
      </w:r>
      <w:r>
        <w:rPr>
          <w:sz w:val="20"/>
        </w:rPr>
        <w:t>able</w:t>
      </w:r>
      <w:r>
        <w:rPr>
          <w:spacing w:val="-2"/>
          <w:sz w:val="20"/>
        </w:rPr>
        <w:t> </w:t>
      </w:r>
      <w:r>
        <w:rPr>
          <w:sz w:val="20"/>
        </w:rPr>
        <w:t>to</w:t>
      </w:r>
      <w:r>
        <w:rPr>
          <w:spacing w:val="-2"/>
          <w:sz w:val="20"/>
        </w:rPr>
        <w:t> </w:t>
      </w:r>
      <w:r>
        <w:rPr>
          <w:sz w:val="20"/>
        </w:rPr>
        <w:t>adequately</w:t>
      </w:r>
      <w:r>
        <w:rPr>
          <w:spacing w:val="-7"/>
          <w:sz w:val="20"/>
        </w:rPr>
        <w:t> </w:t>
      </w:r>
      <w:r>
        <w:rPr>
          <w:sz w:val="20"/>
        </w:rPr>
        <w:t>show</w:t>
      </w:r>
      <w:r>
        <w:rPr>
          <w:spacing w:val="-6"/>
          <w:sz w:val="20"/>
        </w:rPr>
        <w:t> </w:t>
      </w:r>
      <w:r>
        <w:rPr>
          <w:sz w:val="20"/>
        </w:rPr>
        <w:t>an</w:t>
      </w:r>
      <w:r>
        <w:rPr>
          <w:spacing w:val="-4"/>
          <w:sz w:val="20"/>
        </w:rPr>
        <w:t> </w:t>
      </w:r>
      <w:r>
        <w:rPr>
          <w:sz w:val="20"/>
        </w:rPr>
        <w:t>understanding of the variety of approaches and systems available to support their designs and to incorporate them into their work.</w:t>
      </w:r>
    </w:p>
    <w:p>
      <w:pPr>
        <w:pStyle w:val="BodyText"/>
        <w:spacing w:before="8"/>
        <w:rPr>
          <w:sz w:val="18"/>
        </w:rPr>
      </w:pPr>
    </w:p>
    <w:p>
      <w:pPr>
        <w:pStyle w:val="ListParagraph"/>
        <w:numPr>
          <w:ilvl w:val="0"/>
          <w:numId w:val="40"/>
        </w:numPr>
        <w:tabs>
          <w:tab w:pos="1951" w:val="left" w:leader="none"/>
          <w:tab w:pos="1952" w:val="left" w:leader="none"/>
        </w:tabs>
        <w:spacing w:line="240" w:lineRule="auto" w:before="1" w:after="0"/>
        <w:ind w:left="1951" w:right="709" w:hanging="360"/>
        <w:jc w:val="left"/>
        <w:rPr>
          <w:sz w:val="20"/>
        </w:rPr>
      </w:pPr>
      <w:r>
        <w:rPr>
          <w:sz w:val="20"/>
        </w:rPr>
        <w:t>As</w:t>
      </w:r>
      <w:r>
        <w:rPr>
          <w:spacing w:val="-4"/>
          <w:sz w:val="20"/>
        </w:rPr>
        <w:t> </w:t>
      </w:r>
      <w:r>
        <w:rPr>
          <w:sz w:val="20"/>
        </w:rPr>
        <w:t>indicated</w:t>
      </w:r>
      <w:r>
        <w:rPr>
          <w:spacing w:val="-3"/>
          <w:sz w:val="20"/>
        </w:rPr>
        <w:t> </w:t>
      </w:r>
      <w:r>
        <w:rPr>
          <w:sz w:val="20"/>
        </w:rPr>
        <w:t>above, we</w:t>
      </w:r>
      <w:r>
        <w:rPr>
          <w:spacing w:val="-3"/>
          <w:sz w:val="20"/>
        </w:rPr>
        <w:t> </w:t>
      </w:r>
      <w:r>
        <w:rPr>
          <w:sz w:val="20"/>
        </w:rPr>
        <w:t>have</w:t>
      </w:r>
      <w:r>
        <w:rPr>
          <w:spacing w:val="-5"/>
          <w:sz w:val="20"/>
        </w:rPr>
        <w:t> </w:t>
      </w:r>
      <w:r>
        <w:rPr>
          <w:sz w:val="20"/>
        </w:rPr>
        <w:t>initiated</w:t>
      </w:r>
      <w:r>
        <w:rPr>
          <w:spacing w:val="-5"/>
          <w:sz w:val="20"/>
        </w:rPr>
        <w:t> </w:t>
      </w:r>
      <w:r>
        <w:rPr>
          <w:sz w:val="20"/>
        </w:rPr>
        <w:t>a</w:t>
      </w:r>
      <w:r>
        <w:rPr>
          <w:spacing w:val="-3"/>
          <w:sz w:val="20"/>
        </w:rPr>
        <w:t> </w:t>
      </w:r>
      <w:r>
        <w:rPr>
          <w:sz w:val="20"/>
        </w:rPr>
        <w:t>pilot</w:t>
      </w:r>
      <w:r>
        <w:rPr>
          <w:spacing w:val="-3"/>
          <w:sz w:val="20"/>
        </w:rPr>
        <w:t> </w:t>
      </w:r>
      <w:r>
        <w:rPr>
          <w:sz w:val="20"/>
        </w:rPr>
        <w:t>program with</w:t>
      </w:r>
      <w:r>
        <w:rPr>
          <w:spacing w:val="-3"/>
          <w:sz w:val="20"/>
        </w:rPr>
        <w:t> </w:t>
      </w:r>
      <w:r>
        <w:rPr>
          <w:sz w:val="20"/>
        </w:rPr>
        <w:t>a</w:t>
      </w:r>
      <w:r>
        <w:rPr>
          <w:spacing w:val="-5"/>
          <w:sz w:val="20"/>
        </w:rPr>
        <w:t> </w:t>
      </w:r>
      <w:r>
        <w:rPr>
          <w:sz w:val="20"/>
        </w:rPr>
        <w:t>local</w:t>
      </w:r>
      <w:r>
        <w:rPr>
          <w:spacing w:val="-4"/>
          <w:sz w:val="20"/>
        </w:rPr>
        <w:t> </w:t>
      </w:r>
      <w:r>
        <w:rPr>
          <w:sz w:val="20"/>
        </w:rPr>
        <w:t>A/E</w:t>
      </w:r>
      <w:r>
        <w:rPr>
          <w:spacing w:val="-6"/>
          <w:sz w:val="20"/>
        </w:rPr>
        <w:t> </w:t>
      </w:r>
      <w:r>
        <w:rPr>
          <w:sz w:val="20"/>
        </w:rPr>
        <w:t>firm,</w:t>
      </w:r>
      <w:r>
        <w:rPr>
          <w:spacing w:val="-5"/>
          <w:sz w:val="20"/>
        </w:rPr>
        <w:t> </w:t>
      </w:r>
      <w:r>
        <w:rPr>
          <w:sz w:val="20"/>
        </w:rPr>
        <w:t>Clark</w:t>
      </w:r>
      <w:r>
        <w:rPr>
          <w:spacing w:val="-1"/>
          <w:sz w:val="20"/>
        </w:rPr>
        <w:t> </w:t>
      </w:r>
      <w:r>
        <w:rPr>
          <w:sz w:val="20"/>
        </w:rPr>
        <w:t>Nexen, who</w:t>
      </w:r>
      <w:r>
        <w:rPr>
          <w:spacing w:val="-1"/>
          <w:sz w:val="20"/>
        </w:rPr>
        <w:t> </w:t>
      </w:r>
      <w:r>
        <w:rPr>
          <w:sz w:val="20"/>
        </w:rPr>
        <w:t>provide a</w:t>
      </w:r>
      <w:r>
        <w:rPr>
          <w:spacing w:val="-1"/>
          <w:sz w:val="20"/>
        </w:rPr>
        <w:t> </w:t>
      </w:r>
      <w:r>
        <w:rPr>
          <w:sz w:val="20"/>
        </w:rPr>
        <w:t>cadre</w:t>
      </w:r>
      <w:r>
        <w:rPr>
          <w:spacing w:val="-1"/>
          <w:sz w:val="20"/>
        </w:rPr>
        <w:t> </w:t>
      </w:r>
      <w:r>
        <w:rPr>
          <w:sz w:val="20"/>
        </w:rPr>
        <w:t>of architects and engineers to</w:t>
      </w:r>
      <w:r>
        <w:rPr>
          <w:spacing w:val="-1"/>
          <w:sz w:val="20"/>
        </w:rPr>
        <w:t> </w:t>
      </w:r>
      <w:r>
        <w:rPr>
          <w:sz w:val="20"/>
        </w:rPr>
        <w:t>assist</w:t>
      </w:r>
      <w:r>
        <w:rPr>
          <w:spacing w:val="-1"/>
          <w:sz w:val="20"/>
        </w:rPr>
        <w:t> </w:t>
      </w:r>
      <w:r>
        <w:rPr>
          <w:sz w:val="20"/>
        </w:rPr>
        <w:t>in our Comprehensive design studio. Design professionals include Architects, land planners, Landscape Architects, and an array of professional engineers who are assisting in the instruction.</w:t>
      </w:r>
    </w:p>
    <w:p>
      <w:pPr>
        <w:pStyle w:val="BodyText"/>
        <w:spacing w:before="6"/>
        <w:rPr>
          <w:sz w:val="18"/>
        </w:rPr>
      </w:pPr>
    </w:p>
    <w:p>
      <w:pPr>
        <w:pStyle w:val="ListParagraph"/>
        <w:numPr>
          <w:ilvl w:val="0"/>
          <w:numId w:val="40"/>
        </w:numPr>
        <w:tabs>
          <w:tab w:pos="1951" w:val="left" w:leader="none"/>
          <w:tab w:pos="1952" w:val="left" w:leader="none"/>
        </w:tabs>
        <w:spacing w:line="240" w:lineRule="auto" w:before="0" w:after="0"/>
        <w:ind w:left="1951" w:right="811" w:hanging="360"/>
        <w:jc w:val="left"/>
        <w:rPr>
          <w:sz w:val="20"/>
        </w:rPr>
      </w:pPr>
      <w:r>
        <w:rPr>
          <w:sz w:val="20"/>
        </w:rPr>
        <w:t>2012-2014 Response: Our program has developed a relationship with the university’s mechanical</w:t>
      </w:r>
      <w:r>
        <w:rPr>
          <w:spacing w:val="-6"/>
          <w:sz w:val="20"/>
        </w:rPr>
        <w:t> </w:t>
      </w:r>
      <w:r>
        <w:rPr>
          <w:sz w:val="20"/>
        </w:rPr>
        <w:t>contractor,</w:t>
      </w:r>
      <w:r>
        <w:rPr>
          <w:spacing w:val="-3"/>
          <w:sz w:val="20"/>
        </w:rPr>
        <w:t> </w:t>
      </w:r>
      <w:r>
        <w:rPr>
          <w:sz w:val="20"/>
        </w:rPr>
        <w:t>Damuth</w:t>
      </w:r>
      <w:r>
        <w:rPr>
          <w:spacing w:val="-8"/>
          <w:sz w:val="20"/>
        </w:rPr>
        <w:t> </w:t>
      </w:r>
      <w:r>
        <w:rPr>
          <w:sz w:val="20"/>
        </w:rPr>
        <w:t>Trane.</w:t>
      </w:r>
      <w:r>
        <w:rPr>
          <w:spacing w:val="-5"/>
          <w:sz w:val="20"/>
        </w:rPr>
        <w:t> </w:t>
      </w:r>
      <w:r>
        <w:rPr>
          <w:sz w:val="20"/>
        </w:rPr>
        <w:t>An</w:t>
      </w:r>
      <w:r>
        <w:rPr>
          <w:spacing w:val="-3"/>
          <w:sz w:val="20"/>
        </w:rPr>
        <w:t> </w:t>
      </w:r>
      <w:r>
        <w:rPr>
          <w:sz w:val="20"/>
        </w:rPr>
        <w:t>engineer</w:t>
      </w:r>
      <w:r>
        <w:rPr>
          <w:spacing w:val="-4"/>
          <w:sz w:val="20"/>
        </w:rPr>
        <w:t> </w:t>
      </w:r>
      <w:r>
        <w:rPr>
          <w:sz w:val="20"/>
        </w:rPr>
        <w:t>from that</w:t>
      </w:r>
      <w:r>
        <w:rPr>
          <w:spacing w:val="-5"/>
          <w:sz w:val="20"/>
        </w:rPr>
        <w:t> </w:t>
      </w:r>
      <w:r>
        <w:rPr>
          <w:sz w:val="20"/>
        </w:rPr>
        <w:t>company</w:t>
      </w:r>
      <w:r>
        <w:rPr>
          <w:spacing w:val="-8"/>
          <w:sz w:val="20"/>
        </w:rPr>
        <w:t> </w:t>
      </w:r>
      <w:r>
        <w:rPr>
          <w:sz w:val="20"/>
        </w:rPr>
        <w:t>also</w:t>
      </w:r>
      <w:r>
        <w:rPr>
          <w:spacing w:val="-3"/>
          <w:sz w:val="20"/>
        </w:rPr>
        <w:t> </w:t>
      </w:r>
      <w:r>
        <w:rPr>
          <w:sz w:val="20"/>
        </w:rPr>
        <w:t>works</w:t>
      </w:r>
      <w:r>
        <w:rPr>
          <w:spacing w:val="-4"/>
          <w:sz w:val="20"/>
        </w:rPr>
        <w:t> </w:t>
      </w:r>
      <w:r>
        <w:rPr>
          <w:sz w:val="20"/>
        </w:rPr>
        <w:t>with our 4</w:t>
      </w:r>
      <w:r>
        <w:rPr>
          <w:sz w:val="20"/>
          <w:vertAlign w:val="superscript"/>
        </w:rPr>
        <w:t>t</w:t>
      </w:r>
      <w:r>
        <w:rPr>
          <w:sz w:val="20"/>
          <w:vertAlign w:val="superscript"/>
        </w:rPr>
        <w:t>h</w:t>
      </w:r>
      <w:r>
        <w:rPr>
          <w:sz w:val="20"/>
          <w:vertAlign w:val="baseline"/>
        </w:rPr>
        <w:t> year studio to facilitate mechanical system discussions.</w:t>
      </w:r>
    </w:p>
    <w:p>
      <w:pPr>
        <w:spacing w:after="0" w:line="240" w:lineRule="auto"/>
        <w:jc w:val="left"/>
        <w:rPr>
          <w:sz w:val="20"/>
        </w:rPr>
        <w:sectPr>
          <w:headerReference w:type="default" r:id="rId157"/>
          <w:footerReference w:type="default" r:id="rId158"/>
          <w:pgSz w:w="12240" w:h="15840"/>
          <w:pgMar w:header="0" w:footer="974" w:top="1360" w:bottom="1160" w:left="1000" w:right="820"/>
        </w:sectPr>
      </w:pPr>
    </w:p>
    <w:p>
      <w:pPr>
        <w:pStyle w:val="ListParagraph"/>
        <w:numPr>
          <w:ilvl w:val="2"/>
          <w:numId w:val="39"/>
        </w:numPr>
        <w:tabs>
          <w:tab w:pos="1664" w:val="left" w:leader="none"/>
        </w:tabs>
        <w:spacing w:line="240" w:lineRule="auto" w:before="77" w:after="0"/>
        <w:ind w:left="1663" w:right="1173" w:hanging="504"/>
        <w:jc w:val="left"/>
        <w:rPr>
          <w:sz w:val="20"/>
        </w:rPr>
      </w:pPr>
      <w:r>
        <w:rPr>
          <w:sz w:val="20"/>
        </w:rPr>
        <w:t>Responses</w:t>
      </w:r>
      <w:r>
        <w:rPr>
          <w:spacing w:val="-3"/>
          <w:sz w:val="20"/>
        </w:rPr>
        <w:t> </w:t>
      </w:r>
      <w:r>
        <w:rPr>
          <w:sz w:val="20"/>
        </w:rPr>
        <w:t>to</w:t>
      </w:r>
      <w:r>
        <w:rPr>
          <w:spacing w:val="-4"/>
          <w:sz w:val="20"/>
        </w:rPr>
        <w:t> </w:t>
      </w:r>
      <w:r>
        <w:rPr>
          <w:sz w:val="20"/>
        </w:rPr>
        <w:t>Causes</w:t>
      </w:r>
      <w:r>
        <w:rPr>
          <w:spacing w:val="-3"/>
          <w:sz w:val="20"/>
        </w:rPr>
        <w:t> </w:t>
      </w:r>
      <w:r>
        <w:rPr>
          <w:sz w:val="20"/>
        </w:rPr>
        <w:t>of</w:t>
      </w:r>
      <w:r>
        <w:rPr>
          <w:spacing w:val="-2"/>
          <w:sz w:val="20"/>
        </w:rPr>
        <w:t> </w:t>
      </w:r>
      <w:r>
        <w:rPr>
          <w:sz w:val="20"/>
        </w:rPr>
        <w:t>Concern:</w:t>
      </w:r>
      <w:r>
        <w:rPr>
          <w:spacing w:val="-4"/>
          <w:sz w:val="20"/>
        </w:rPr>
        <w:t> </w:t>
      </w:r>
      <w:r>
        <w:rPr>
          <w:sz w:val="20"/>
        </w:rPr>
        <w:t>The</w:t>
      </w:r>
      <w:r>
        <w:rPr>
          <w:spacing w:val="-4"/>
          <w:sz w:val="20"/>
        </w:rPr>
        <w:t> </w:t>
      </w:r>
      <w:r>
        <w:rPr>
          <w:sz w:val="20"/>
        </w:rPr>
        <w:t>2009</w:t>
      </w:r>
      <w:r>
        <w:rPr>
          <w:spacing w:val="-2"/>
          <w:sz w:val="20"/>
        </w:rPr>
        <w:t> </w:t>
      </w:r>
      <w:r>
        <w:rPr>
          <w:sz w:val="20"/>
        </w:rPr>
        <w:t>VTR,</w:t>
      </w:r>
      <w:r>
        <w:rPr>
          <w:spacing w:val="-4"/>
          <w:sz w:val="20"/>
        </w:rPr>
        <w:t> </w:t>
      </w:r>
      <w:r>
        <w:rPr>
          <w:sz w:val="20"/>
        </w:rPr>
        <w:t>cited</w:t>
      </w:r>
      <w:r>
        <w:rPr>
          <w:spacing w:val="-4"/>
          <w:sz w:val="20"/>
        </w:rPr>
        <w:t> </w:t>
      </w:r>
      <w:r>
        <w:rPr>
          <w:sz w:val="20"/>
        </w:rPr>
        <w:t>four</w:t>
      </w:r>
      <w:r>
        <w:rPr>
          <w:spacing w:val="-3"/>
          <w:sz w:val="20"/>
        </w:rPr>
        <w:t> </w:t>
      </w:r>
      <w:r>
        <w:rPr>
          <w:sz w:val="20"/>
        </w:rPr>
        <w:t>conditions</w:t>
      </w:r>
      <w:r>
        <w:rPr>
          <w:spacing w:val="-3"/>
          <w:sz w:val="20"/>
        </w:rPr>
        <w:t> </w:t>
      </w:r>
      <w:r>
        <w:rPr>
          <w:sz w:val="20"/>
        </w:rPr>
        <w:t>as</w:t>
      </w:r>
      <w:r>
        <w:rPr>
          <w:spacing w:val="-3"/>
          <w:sz w:val="20"/>
        </w:rPr>
        <w:t> </w:t>
      </w:r>
      <w:r>
        <w:rPr>
          <w:sz w:val="20"/>
        </w:rPr>
        <w:t>“Causes</w:t>
      </w:r>
      <w:r>
        <w:rPr>
          <w:spacing w:val="-3"/>
          <w:sz w:val="20"/>
        </w:rPr>
        <w:t> </w:t>
      </w:r>
      <w:r>
        <w:rPr>
          <w:sz w:val="20"/>
        </w:rPr>
        <w:t>of Concern.” They were:</w:t>
      </w:r>
    </w:p>
    <w:p>
      <w:pPr>
        <w:numPr>
          <w:ilvl w:val="3"/>
          <w:numId w:val="39"/>
        </w:numPr>
        <w:tabs>
          <w:tab w:pos="2024" w:val="left" w:leader="none"/>
          <w:tab w:pos="9797" w:val="right" w:leader="dot"/>
        </w:tabs>
        <w:spacing w:before="200"/>
        <w:ind w:left="2023" w:right="0" w:hanging="361"/>
        <w:jc w:val="left"/>
        <w:rPr>
          <w:b/>
          <w:sz w:val="20"/>
        </w:rPr>
      </w:pPr>
      <w:r>
        <w:rPr>
          <w:b/>
          <w:sz w:val="20"/>
        </w:rPr>
        <w:t>Human</w:t>
      </w:r>
      <w:r>
        <w:rPr>
          <w:b/>
          <w:spacing w:val="-11"/>
          <w:sz w:val="20"/>
        </w:rPr>
        <w:t> </w:t>
      </w:r>
      <w:r>
        <w:rPr>
          <w:b/>
          <w:sz w:val="20"/>
        </w:rPr>
        <w:t>Resource</w:t>
      </w:r>
      <w:r>
        <w:rPr>
          <w:b/>
          <w:spacing w:val="-9"/>
          <w:sz w:val="20"/>
        </w:rPr>
        <w:t> </w:t>
      </w:r>
      <w:r>
        <w:rPr>
          <w:b/>
          <w:sz w:val="20"/>
        </w:rPr>
        <w:t>Development</w:t>
      </w:r>
      <w:r>
        <w:rPr>
          <w:b/>
          <w:spacing w:val="-11"/>
          <w:sz w:val="20"/>
        </w:rPr>
        <w:t> </w:t>
      </w:r>
      <w:r>
        <w:rPr>
          <w:b/>
          <w:sz w:val="20"/>
        </w:rPr>
        <w:t>(Condition</w:t>
      </w:r>
      <w:r>
        <w:rPr>
          <w:b/>
          <w:spacing w:val="-10"/>
          <w:sz w:val="20"/>
        </w:rPr>
        <w:t> </w:t>
      </w:r>
      <w:r>
        <w:rPr>
          <w:b/>
          <w:spacing w:val="-5"/>
          <w:sz w:val="20"/>
        </w:rPr>
        <w:t>7)</w:t>
      </w:r>
      <w:r>
        <w:rPr>
          <w:b/>
          <w:sz w:val="20"/>
        </w:rPr>
        <w:tab/>
      </w:r>
      <w:r>
        <w:rPr>
          <w:b/>
          <w:spacing w:val="-5"/>
          <w:sz w:val="20"/>
        </w:rPr>
        <w:t>3-</w:t>
      </w:r>
      <w:r>
        <w:rPr>
          <w:b/>
          <w:w w:val="95"/>
          <w:sz w:val="20"/>
        </w:rPr>
        <w:t>10</w:t>
      </w:r>
    </w:p>
    <w:p>
      <w:pPr>
        <w:numPr>
          <w:ilvl w:val="3"/>
          <w:numId w:val="39"/>
        </w:numPr>
        <w:tabs>
          <w:tab w:pos="2024" w:val="left" w:leader="none"/>
          <w:tab w:pos="9796" w:val="right" w:leader="dot"/>
        </w:tabs>
        <w:spacing w:before="200"/>
        <w:ind w:left="2023" w:right="0" w:hanging="361"/>
        <w:jc w:val="left"/>
        <w:rPr>
          <w:b/>
          <w:sz w:val="20"/>
        </w:rPr>
      </w:pPr>
      <w:r>
        <w:rPr>
          <w:b/>
          <w:sz w:val="20"/>
        </w:rPr>
        <w:t>Graphic</w:t>
      </w:r>
      <w:r>
        <w:rPr>
          <w:b/>
          <w:spacing w:val="-7"/>
          <w:sz w:val="20"/>
        </w:rPr>
        <w:t> </w:t>
      </w:r>
      <w:r>
        <w:rPr>
          <w:b/>
          <w:sz w:val="20"/>
        </w:rPr>
        <w:t>Skills</w:t>
      </w:r>
      <w:r>
        <w:rPr>
          <w:b/>
          <w:spacing w:val="-8"/>
          <w:sz w:val="20"/>
        </w:rPr>
        <w:t> </w:t>
      </w:r>
      <w:r>
        <w:rPr>
          <w:b/>
          <w:sz w:val="20"/>
        </w:rPr>
        <w:t>(SPC</w:t>
      </w:r>
      <w:r>
        <w:rPr>
          <w:b/>
          <w:spacing w:val="-5"/>
          <w:sz w:val="20"/>
        </w:rPr>
        <w:t> </w:t>
      </w:r>
      <w:r>
        <w:rPr>
          <w:b/>
          <w:spacing w:val="-4"/>
          <w:sz w:val="20"/>
        </w:rPr>
        <w:t>13.3)</w:t>
      </w:r>
      <w:r>
        <w:rPr>
          <w:b/>
          <w:sz w:val="20"/>
        </w:rPr>
        <w:tab/>
      </w:r>
      <w:r>
        <w:rPr>
          <w:b/>
          <w:spacing w:val="-5"/>
          <w:sz w:val="20"/>
        </w:rPr>
        <w:t>3-</w:t>
      </w:r>
      <w:r>
        <w:rPr>
          <w:b/>
          <w:w w:val="95"/>
          <w:sz w:val="20"/>
        </w:rPr>
        <w:t>14</w:t>
      </w:r>
    </w:p>
    <w:p>
      <w:pPr>
        <w:numPr>
          <w:ilvl w:val="3"/>
          <w:numId w:val="39"/>
        </w:numPr>
        <w:tabs>
          <w:tab w:pos="2024" w:val="left" w:leader="none"/>
          <w:tab w:pos="9796" w:val="right" w:leader="dot"/>
        </w:tabs>
        <w:spacing w:before="199"/>
        <w:ind w:left="2023" w:right="0" w:hanging="361"/>
        <w:jc w:val="left"/>
        <w:rPr>
          <w:b/>
          <w:sz w:val="20"/>
        </w:rPr>
      </w:pPr>
      <w:r>
        <w:rPr>
          <w:b/>
          <w:sz w:val="20"/>
        </w:rPr>
        <w:t>Structural</w:t>
      </w:r>
      <w:r>
        <w:rPr>
          <w:b/>
          <w:spacing w:val="-9"/>
          <w:sz w:val="20"/>
        </w:rPr>
        <w:t> </w:t>
      </w:r>
      <w:r>
        <w:rPr>
          <w:b/>
          <w:sz w:val="20"/>
        </w:rPr>
        <w:t>Systems</w:t>
      </w:r>
      <w:r>
        <w:rPr>
          <w:b/>
          <w:spacing w:val="-9"/>
          <w:sz w:val="20"/>
        </w:rPr>
        <w:t> </w:t>
      </w:r>
      <w:r>
        <w:rPr>
          <w:b/>
          <w:sz w:val="20"/>
        </w:rPr>
        <w:t>(SPC</w:t>
      </w:r>
      <w:r>
        <w:rPr>
          <w:b/>
          <w:spacing w:val="-7"/>
          <w:sz w:val="20"/>
        </w:rPr>
        <w:t> </w:t>
      </w:r>
      <w:r>
        <w:rPr>
          <w:b/>
          <w:spacing w:val="-2"/>
          <w:sz w:val="20"/>
        </w:rPr>
        <w:t>13.18)</w:t>
      </w:r>
      <w:r>
        <w:rPr>
          <w:b/>
          <w:sz w:val="20"/>
        </w:rPr>
        <w:tab/>
      </w:r>
      <w:r>
        <w:rPr>
          <w:b/>
          <w:spacing w:val="-5"/>
          <w:sz w:val="20"/>
        </w:rPr>
        <w:t>3-</w:t>
      </w:r>
      <w:r>
        <w:rPr>
          <w:b/>
          <w:w w:val="95"/>
          <w:sz w:val="20"/>
        </w:rPr>
        <w:t>15</w:t>
      </w:r>
    </w:p>
    <w:p>
      <w:pPr>
        <w:numPr>
          <w:ilvl w:val="3"/>
          <w:numId w:val="39"/>
        </w:numPr>
        <w:tabs>
          <w:tab w:pos="2024" w:val="left" w:leader="none"/>
          <w:tab w:pos="9796" w:val="right" w:leader="dot"/>
        </w:tabs>
        <w:spacing w:before="200"/>
        <w:ind w:left="2023" w:right="0" w:hanging="361"/>
        <w:jc w:val="left"/>
        <w:rPr>
          <w:b/>
          <w:sz w:val="20"/>
        </w:rPr>
      </w:pPr>
      <w:r>
        <w:rPr>
          <w:b/>
          <w:sz w:val="20"/>
        </w:rPr>
        <w:t>Environmental</w:t>
      </w:r>
      <w:r>
        <w:rPr>
          <w:b/>
          <w:spacing w:val="-10"/>
          <w:sz w:val="20"/>
        </w:rPr>
        <w:t> </w:t>
      </w:r>
      <w:r>
        <w:rPr>
          <w:b/>
          <w:sz w:val="20"/>
        </w:rPr>
        <w:t>Systems</w:t>
      </w:r>
      <w:r>
        <w:rPr>
          <w:b/>
          <w:spacing w:val="-10"/>
          <w:sz w:val="20"/>
        </w:rPr>
        <w:t> </w:t>
      </w:r>
      <w:r>
        <w:rPr>
          <w:b/>
          <w:sz w:val="20"/>
        </w:rPr>
        <w:t>(SPC</w:t>
      </w:r>
      <w:r>
        <w:rPr>
          <w:b/>
          <w:spacing w:val="-8"/>
          <w:sz w:val="20"/>
        </w:rPr>
        <w:t> </w:t>
      </w:r>
      <w:r>
        <w:rPr>
          <w:b/>
          <w:spacing w:val="-2"/>
          <w:sz w:val="20"/>
        </w:rPr>
        <w:t>13.19)</w:t>
      </w:r>
      <w:r>
        <w:rPr>
          <w:b/>
          <w:sz w:val="20"/>
        </w:rPr>
        <w:tab/>
      </w:r>
      <w:r>
        <w:rPr>
          <w:b/>
          <w:spacing w:val="-5"/>
          <w:sz w:val="20"/>
        </w:rPr>
        <w:t>3-</w:t>
      </w:r>
      <w:r>
        <w:rPr>
          <w:b/>
          <w:w w:val="95"/>
          <w:sz w:val="20"/>
        </w:rPr>
        <w:t>16</w:t>
      </w:r>
    </w:p>
    <w:p>
      <w:pPr>
        <w:spacing w:after="0"/>
        <w:jc w:val="left"/>
        <w:rPr>
          <w:sz w:val="20"/>
        </w:rPr>
        <w:sectPr>
          <w:headerReference w:type="default" r:id="rId159"/>
          <w:footerReference w:type="default" r:id="rId160"/>
          <w:pgSz w:w="12240" w:h="15840"/>
          <w:pgMar w:header="0" w:footer="974" w:top="1720" w:bottom="1160" w:left="1000" w:right="820"/>
        </w:sectPr>
      </w:pPr>
    </w:p>
    <w:p>
      <w:pPr>
        <w:spacing w:before="75"/>
        <w:ind w:left="440" w:right="0" w:firstLine="0"/>
        <w:jc w:val="left"/>
        <w:rPr>
          <w:b/>
          <w:sz w:val="20"/>
        </w:rPr>
      </w:pPr>
      <w:r>
        <w:rPr>
          <w:b/>
          <w:sz w:val="20"/>
        </w:rPr>
        <w:t>Human</w:t>
      </w:r>
      <w:r>
        <w:rPr>
          <w:b/>
          <w:spacing w:val="-11"/>
          <w:sz w:val="20"/>
        </w:rPr>
        <w:t> </w:t>
      </w:r>
      <w:r>
        <w:rPr>
          <w:b/>
          <w:sz w:val="20"/>
        </w:rPr>
        <w:t>Resource</w:t>
      </w:r>
      <w:r>
        <w:rPr>
          <w:b/>
          <w:spacing w:val="-9"/>
          <w:sz w:val="20"/>
        </w:rPr>
        <w:t> </w:t>
      </w:r>
      <w:r>
        <w:rPr>
          <w:b/>
          <w:sz w:val="20"/>
        </w:rPr>
        <w:t>Development</w:t>
      </w:r>
      <w:r>
        <w:rPr>
          <w:b/>
          <w:spacing w:val="-11"/>
          <w:sz w:val="20"/>
        </w:rPr>
        <w:t> </w:t>
      </w:r>
      <w:r>
        <w:rPr>
          <w:b/>
          <w:sz w:val="20"/>
        </w:rPr>
        <w:t>(Condition</w:t>
      </w:r>
      <w:r>
        <w:rPr>
          <w:b/>
          <w:spacing w:val="-10"/>
          <w:sz w:val="20"/>
        </w:rPr>
        <w:t> </w:t>
      </w:r>
      <w:r>
        <w:rPr>
          <w:b/>
          <w:spacing w:val="-5"/>
          <w:sz w:val="20"/>
        </w:rPr>
        <w:t>7)</w:t>
      </w:r>
    </w:p>
    <w:p>
      <w:pPr>
        <w:spacing w:line="254" w:lineRule="auto" w:before="125"/>
        <w:ind w:left="1160" w:right="642" w:firstLine="0"/>
        <w:jc w:val="left"/>
        <w:rPr>
          <w:i/>
          <w:sz w:val="22"/>
        </w:rPr>
      </w:pPr>
      <w:r>
        <w:rPr>
          <w:i/>
          <w:w w:val="90"/>
          <w:sz w:val="22"/>
        </w:rPr>
        <w:t>Schools must have a clear policy outlining both individual and collective opportunities for faculty </w:t>
      </w:r>
      <w:r>
        <w:rPr>
          <w:i/>
          <w:w w:val="95"/>
          <w:sz w:val="22"/>
        </w:rPr>
        <w:t>and student growth inside</w:t>
      </w:r>
      <w:r>
        <w:rPr>
          <w:i/>
          <w:spacing w:val="-1"/>
          <w:w w:val="95"/>
          <w:sz w:val="22"/>
        </w:rPr>
        <w:t> </w:t>
      </w:r>
      <w:r>
        <w:rPr>
          <w:i/>
          <w:w w:val="95"/>
          <w:sz w:val="22"/>
        </w:rPr>
        <w:t>and outside the program.</w:t>
      </w:r>
    </w:p>
    <w:p>
      <w:pPr>
        <w:pStyle w:val="BodyText"/>
        <w:spacing w:before="2"/>
        <w:rPr>
          <w:i/>
          <w:sz w:val="17"/>
        </w:rPr>
      </w:pPr>
    </w:p>
    <w:p>
      <w:pPr>
        <w:spacing w:before="0"/>
        <w:ind w:left="1160" w:right="0" w:firstLine="0"/>
        <w:jc w:val="left"/>
        <w:rPr>
          <w:b/>
          <w:sz w:val="20"/>
        </w:rPr>
      </w:pPr>
      <w:r>
        <w:rPr>
          <w:b/>
          <w:sz w:val="20"/>
        </w:rPr>
        <w:t>VTR</w:t>
      </w:r>
      <w:r>
        <w:rPr>
          <w:b/>
          <w:spacing w:val="-3"/>
          <w:sz w:val="20"/>
        </w:rPr>
        <w:t> </w:t>
      </w:r>
      <w:r>
        <w:rPr>
          <w:b/>
          <w:spacing w:val="-2"/>
          <w:sz w:val="20"/>
        </w:rPr>
        <w:t>Comments:</w:t>
      </w:r>
    </w:p>
    <w:p>
      <w:pPr>
        <w:pStyle w:val="BodyText"/>
        <w:spacing w:before="7"/>
        <w:rPr>
          <w:b/>
          <w:sz w:val="18"/>
        </w:rPr>
      </w:pPr>
    </w:p>
    <w:p>
      <w:pPr>
        <w:pStyle w:val="ListParagraph"/>
        <w:numPr>
          <w:ilvl w:val="0"/>
          <w:numId w:val="41"/>
        </w:numPr>
        <w:tabs>
          <w:tab w:pos="1951" w:val="left" w:leader="none"/>
          <w:tab w:pos="1953" w:val="left" w:leader="none"/>
        </w:tabs>
        <w:spacing w:line="240" w:lineRule="auto" w:before="0" w:after="0"/>
        <w:ind w:left="1952" w:right="688" w:hanging="360"/>
        <w:jc w:val="left"/>
        <w:rPr>
          <w:sz w:val="20"/>
        </w:rPr>
      </w:pPr>
      <w:r>
        <w:rPr>
          <w:sz w:val="20"/>
        </w:rPr>
        <w:t>The</w:t>
      </w:r>
      <w:r>
        <w:rPr>
          <w:spacing w:val="-4"/>
          <w:sz w:val="20"/>
        </w:rPr>
        <w:t> </w:t>
      </w:r>
      <w:r>
        <w:rPr>
          <w:sz w:val="20"/>
        </w:rPr>
        <w:t>University</w:t>
      </w:r>
      <w:r>
        <w:rPr>
          <w:spacing w:val="-7"/>
          <w:sz w:val="20"/>
        </w:rPr>
        <w:t> </w:t>
      </w:r>
      <w:r>
        <w:rPr>
          <w:sz w:val="20"/>
        </w:rPr>
        <w:t>has</w:t>
      </w:r>
      <w:r>
        <w:rPr>
          <w:spacing w:val="-4"/>
          <w:sz w:val="20"/>
        </w:rPr>
        <w:t> </w:t>
      </w:r>
      <w:r>
        <w:rPr>
          <w:sz w:val="20"/>
        </w:rPr>
        <w:t>stated</w:t>
      </w:r>
      <w:r>
        <w:rPr>
          <w:spacing w:val="-3"/>
          <w:sz w:val="20"/>
        </w:rPr>
        <w:t> </w:t>
      </w:r>
      <w:r>
        <w:rPr>
          <w:sz w:val="20"/>
        </w:rPr>
        <w:t>policies</w:t>
      </w:r>
      <w:r>
        <w:rPr>
          <w:spacing w:val="-4"/>
          <w:sz w:val="20"/>
        </w:rPr>
        <w:t> </w:t>
      </w:r>
      <w:r>
        <w:rPr>
          <w:sz w:val="20"/>
        </w:rPr>
        <w:t>regarding</w:t>
      </w:r>
      <w:r>
        <w:rPr>
          <w:spacing w:val="-4"/>
          <w:sz w:val="20"/>
        </w:rPr>
        <w:t> </w:t>
      </w:r>
      <w:r>
        <w:rPr>
          <w:sz w:val="20"/>
        </w:rPr>
        <w:t>Human</w:t>
      </w:r>
      <w:r>
        <w:rPr>
          <w:spacing w:val="-5"/>
          <w:sz w:val="20"/>
        </w:rPr>
        <w:t> </w:t>
      </w:r>
      <w:r>
        <w:rPr>
          <w:sz w:val="20"/>
        </w:rPr>
        <w:t>Resource</w:t>
      </w:r>
      <w:r>
        <w:rPr>
          <w:spacing w:val="-4"/>
          <w:sz w:val="20"/>
        </w:rPr>
        <w:t> </w:t>
      </w:r>
      <w:r>
        <w:rPr>
          <w:sz w:val="20"/>
        </w:rPr>
        <w:t>Development.</w:t>
      </w:r>
      <w:r>
        <w:rPr>
          <w:spacing w:val="40"/>
          <w:sz w:val="20"/>
        </w:rPr>
        <w:t> </w:t>
      </w:r>
      <w:r>
        <w:rPr>
          <w:sz w:val="20"/>
        </w:rPr>
        <w:t>It</w:t>
      </w:r>
      <w:r>
        <w:rPr>
          <w:spacing w:val="-3"/>
          <w:sz w:val="20"/>
        </w:rPr>
        <w:t> </w:t>
      </w:r>
      <w:r>
        <w:rPr>
          <w:sz w:val="20"/>
        </w:rPr>
        <w:t>appears however, funding is currently insufficient to adequately encourage, support, and sustain faculty development opportunities for personal and professional growth.</w:t>
      </w:r>
      <w:r>
        <w:rPr>
          <w:spacing w:val="40"/>
          <w:sz w:val="20"/>
        </w:rPr>
        <w:t> </w:t>
      </w:r>
      <w:r>
        <w:rPr>
          <w:sz w:val="20"/>
        </w:rPr>
        <w:t>The Team found this is a cause of concern.</w:t>
      </w:r>
    </w:p>
    <w:p>
      <w:pPr>
        <w:pStyle w:val="BodyText"/>
        <w:spacing w:before="6"/>
        <w:rPr>
          <w:sz w:val="17"/>
        </w:rPr>
      </w:pPr>
    </w:p>
    <w:p>
      <w:pPr>
        <w:pStyle w:val="BodyText"/>
        <w:ind w:left="1952" w:right="632"/>
      </w:pPr>
      <w:r>
        <w:rPr/>
        <w:t>The university has a stated policy regarding individual opportunities for growth and development available to the faculty including:</w:t>
      </w:r>
      <w:r>
        <w:rPr>
          <w:spacing w:val="78"/>
        </w:rPr>
        <w:t> </w:t>
      </w:r>
      <w:r>
        <w:rPr/>
        <w:t>paid leave, awards for dissertation,</w:t>
      </w:r>
      <w:r>
        <w:rPr/>
        <w:t> study, retraining and in-service grants, and other individual pursuits.</w:t>
      </w:r>
      <w:r>
        <w:rPr>
          <w:spacing w:val="80"/>
        </w:rPr>
        <w:t> </w:t>
      </w:r>
      <w:r>
        <w:rPr/>
        <w:t>Collective opportunities</w:t>
      </w:r>
      <w:r>
        <w:rPr>
          <w:spacing w:val="-3"/>
        </w:rPr>
        <w:t> </w:t>
      </w:r>
      <w:r>
        <w:rPr/>
        <w:t>for</w:t>
      </w:r>
      <w:r>
        <w:rPr>
          <w:spacing w:val="-3"/>
        </w:rPr>
        <w:t> </w:t>
      </w:r>
      <w:r>
        <w:rPr/>
        <w:t>the</w:t>
      </w:r>
      <w:r>
        <w:rPr>
          <w:spacing w:val="-4"/>
        </w:rPr>
        <w:t> </w:t>
      </w:r>
      <w:r>
        <w:rPr/>
        <w:t>faculty</w:t>
      </w:r>
      <w:r>
        <w:rPr>
          <w:spacing w:val="-5"/>
        </w:rPr>
        <w:t> </w:t>
      </w:r>
      <w:r>
        <w:rPr/>
        <w:t>within</w:t>
      </w:r>
      <w:r>
        <w:rPr>
          <w:spacing w:val="-2"/>
        </w:rPr>
        <w:t> </w:t>
      </w:r>
      <w:r>
        <w:rPr/>
        <w:t>the</w:t>
      </w:r>
      <w:r>
        <w:rPr>
          <w:spacing w:val="-2"/>
        </w:rPr>
        <w:t> </w:t>
      </w:r>
      <w:r>
        <w:rPr/>
        <w:t>department</w:t>
      </w:r>
      <w:r>
        <w:rPr>
          <w:spacing w:val="-4"/>
        </w:rPr>
        <w:t> </w:t>
      </w:r>
      <w:r>
        <w:rPr/>
        <w:t>are</w:t>
      </w:r>
      <w:r>
        <w:rPr>
          <w:spacing w:val="-2"/>
        </w:rPr>
        <w:t> </w:t>
      </w:r>
      <w:r>
        <w:rPr/>
        <w:t>not</w:t>
      </w:r>
      <w:r>
        <w:rPr>
          <w:spacing w:val="-4"/>
        </w:rPr>
        <w:t> </w:t>
      </w:r>
      <w:r>
        <w:rPr/>
        <w:t>stated</w:t>
      </w:r>
      <w:r>
        <w:rPr>
          <w:spacing w:val="-4"/>
        </w:rPr>
        <w:t> </w:t>
      </w:r>
      <w:r>
        <w:rPr/>
        <w:t>specifically</w:t>
      </w:r>
      <w:r>
        <w:rPr>
          <w:spacing w:val="-5"/>
        </w:rPr>
        <w:t> </w:t>
      </w:r>
      <w:r>
        <w:rPr/>
        <w:t>as</w:t>
      </w:r>
      <w:r>
        <w:rPr>
          <w:spacing w:val="-3"/>
        </w:rPr>
        <w:t> </w:t>
      </w:r>
      <w:r>
        <w:rPr/>
        <w:t>policy</w:t>
      </w:r>
      <w:r>
        <w:rPr>
          <w:spacing w:val="-5"/>
        </w:rPr>
        <w:t> </w:t>
      </w:r>
      <w:r>
        <w:rPr/>
        <w:t>but are essentially realized through active participation in local, regional and national professional service affiliations, conferences, conventions, juries, and foreign travel </w:t>
      </w:r>
      <w:r>
        <w:rPr>
          <w:spacing w:val="-2"/>
        </w:rPr>
        <w:t>studios.</w:t>
      </w:r>
    </w:p>
    <w:p>
      <w:pPr>
        <w:pStyle w:val="BodyText"/>
        <w:spacing w:before="5"/>
        <w:rPr>
          <w:sz w:val="17"/>
        </w:rPr>
      </w:pPr>
    </w:p>
    <w:p>
      <w:pPr>
        <w:pStyle w:val="BodyText"/>
        <w:ind w:left="1952" w:right="676"/>
      </w:pPr>
      <w:r>
        <w:rPr/>
        <w:t>The students enjoy a variety of pathways for their personal and pre-professional development</w:t>
      </w:r>
      <w:r>
        <w:rPr>
          <w:spacing w:val="-5"/>
        </w:rPr>
        <w:t> </w:t>
      </w:r>
      <w:r>
        <w:rPr/>
        <w:t>through</w:t>
      </w:r>
      <w:r>
        <w:rPr>
          <w:spacing w:val="-5"/>
        </w:rPr>
        <w:t> </w:t>
      </w:r>
      <w:r>
        <w:rPr/>
        <w:t>the</w:t>
      </w:r>
      <w:r>
        <w:rPr>
          <w:spacing w:val="-5"/>
        </w:rPr>
        <w:t> </w:t>
      </w:r>
      <w:r>
        <w:rPr/>
        <w:t>core</w:t>
      </w:r>
      <w:r>
        <w:rPr>
          <w:spacing w:val="-5"/>
        </w:rPr>
        <w:t> </w:t>
      </w:r>
      <w:r>
        <w:rPr/>
        <w:t>curriculum</w:t>
      </w:r>
      <w:r>
        <w:rPr>
          <w:spacing w:val="-1"/>
        </w:rPr>
        <w:t> </w:t>
      </w:r>
      <w:r>
        <w:rPr/>
        <w:t>and</w:t>
      </w:r>
      <w:r>
        <w:rPr>
          <w:spacing w:val="-5"/>
        </w:rPr>
        <w:t> </w:t>
      </w:r>
      <w:r>
        <w:rPr/>
        <w:t>related</w:t>
      </w:r>
      <w:r>
        <w:rPr>
          <w:spacing w:val="-3"/>
        </w:rPr>
        <w:t> </w:t>
      </w:r>
      <w:r>
        <w:rPr/>
        <w:t>opportunities.</w:t>
      </w:r>
      <w:r>
        <w:rPr>
          <w:spacing w:val="40"/>
        </w:rPr>
        <w:t> </w:t>
      </w:r>
      <w:r>
        <w:rPr/>
        <w:t>These</w:t>
      </w:r>
      <w:r>
        <w:rPr>
          <w:spacing w:val="-5"/>
        </w:rPr>
        <w:t> </w:t>
      </w:r>
      <w:r>
        <w:rPr/>
        <w:t>activities</w:t>
      </w:r>
      <w:r>
        <w:rPr>
          <w:spacing w:val="-1"/>
        </w:rPr>
        <w:t> </w:t>
      </w:r>
      <w:r>
        <w:rPr/>
        <w:t>are integrated into, and in addition to normal coursework and tailored appropriately to the student’s sequential learning experience through individual efforts.</w:t>
      </w:r>
      <w:r>
        <w:rPr>
          <w:spacing w:val="40"/>
        </w:rPr>
        <w:t> </w:t>
      </w:r>
      <w:r>
        <w:rPr/>
        <w:t>Regular programs are available to the students such as guest lecturers, gallery and juried critiques, involvement with professional and community organizations, travel abroad, and academic advising, career guidance, and advocacy for internship opportunities.</w:t>
      </w:r>
    </w:p>
    <w:p>
      <w:pPr>
        <w:pStyle w:val="BodyText"/>
        <w:spacing w:before="4"/>
        <w:rPr>
          <w:sz w:val="17"/>
        </w:rPr>
      </w:pPr>
    </w:p>
    <w:p>
      <w:pPr>
        <w:pStyle w:val="BodyText"/>
        <w:spacing w:before="1"/>
        <w:ind w:left="1952" w:right="642"/>
      </w:pPr>
      <w:r>
        <w:rPr/>
        <w:t>While University policies are in place to address human resource development, it appears additional funding for the Department of Architecture faculty is currently insufficient to adequately encourage, support, and sustain faculty development opportunities</w:t>
      </w:r>
      <w:r>
        <w:rPr>
          <w:spacing w:val="-3"/>
        </w:rPr>
        <w:t> </w:t>
      </w:r>
      <w:r>
        <w:rPr/>
        <w:t>for</w:t>
      </w:r>
      <w:r>
        <w:rPr>
          <w:spacing w:val="-3"/>
        </w:rPr>
        <w:t> </w:t>
      </w:r>
      <w:r>
        <w:rPr/>
        <w:t>personal</w:t>
      </w:r>
      <w:r>
        <w:rPr>
          <w:spacing w:val="-3"/>
        </w:rPr>
        <w:t> </w:t>
      </w:r>
      <w:r>
        <w:rPr/>
        <w:t>and</w:t>
      </w:r>
      <w:r>
        <w:rPr>
          <w:spacing w:val="-4"/>
        </w:rPr>
        <w:t> </w:t>
      </w:r>
      <w:r>
        <w:rPr/>
        <w:t>professional</w:t>
      </w:r>
      <w:r>
        <w:rPr>
          <w:spacing w:val="-3"/>
        </w:rPr>
        <w:t> </w:t>
      </w:r>
      <w:r>
        <w:rPr/>
        <w:t>growth.</w:t>
      </w:r>
      <w:r>
        <w:rPr>
          <w:spacing w:val="40"/>
        </w:rPr>
        <w:t> </w:t>
      </w:r>
      <w:r>
        <w:rPr/>
        <w:t>The</w:t>
      </w:r>
      <w:r>
        <w:rPr>
          <w:spacing w:val="-4"/>
        </w:rPr>
        <w:t> </w:t>
      </w:r>
      <w:r>
        <w:rPr/>
        <w:t>Team</w:t>
      </w:r>
      <w:r>
        <w:rPr>
          <w:spacing w:val="-2"/>
        </w:rPr>
        <w:t> </w:t>
      </w:r>
      <w:r>
        <w:rPr/>
        <w:t>found</w:t>
      </w:r>
      <w:r>
        <w:rPr>
          <w:spacing w:val="-4"/>
        </w:rPr>
        <w:t> </w:t>
      </w:r>
      <w:r>
        <w:rPr/>
        <w:t>this</w:t>
      </w:r>
      <w:r>
        <w:rPr>
          <w:spacing w:val="-1"/>
        </w:rPr>
        <w:t> </w:t>
      </w:r>
      <w:r>
        <w:rPr/>
        <w:t>is</w:t>
      </w:r>
      <w:r>
        <w:rPr>
          <w:spacing w:val="-3"/>
        </w:rPr>
        <w:t> </w:t>
      </w:r>
      <w:r>
        <w:rPr/>
        <w:t>a</w:t>
      </w:r>
      <w:r>
        <w:rPr>
          <w:spacing w:val="-4"/>
        </w:rPr>
        <w:t> </w:t>
      </w:r>
      <w:r>
        <w:rPr/>
        <w:t>cause</w:t>
      </w:r>
      <w:r>
        <w:rPr>
          <w:spacing w:val="-4"/>
        </w:rPr>
        <w:t> </w:t>
      </w:r>
      <w:r>
        <w:rPr/>
        <w:t>of </w:t>
      </w:r>
      <w:r>
        <w:rPr>
          <w:spacing w:val="-2"/>
        </w:rPr>
        <w:t>concern.</w:t>
      </w:r>
    </w:p>
    <w:p>
      <w:pPr>
        <w:pStyle w:val="BodyText"/>
        <w:spacing w:before="3"/>
        <w:rPr>
          <w:sz w:val="17"/>
        </w:rPr>
      </w:pPr>
    </w:p>
    <w:p>
      <w:pPr>
        <w:spacing w:before="0"/>
        <w:ind w:left="1160" w:right="0" w:firstLine="0"/>
        <w:jc w:val="left"/>
        <w:rPr>
          <w:b/>
          <w:sz w:val="20"/>
        </w:rPr>
      </w:pPr>
      <w:r>
        <w:rPr>
          <w:b/>
          <w:sz w:val="20"/>
        </w:rPr>
        <w:t>Program</w:t>
      </w:r>
      <w:r>
        <w:rPr>
          <w:b/>
          <w:spacing w:val="-8"/>
          <w:sz w:val="20"/>
        </w:rPr>
        <w:t> </w:t>
      </w:r>
      <w:r>
        <w:rPr>
          <w:b/>
          <w:sz w:val="20"/>
        </w:rPr>
        <w:t>Response</w:t>
      </w:r>
      <w:r>
        <w:rPr>
          <w:b/>
          <w:spacing w:val="-7"/>
          <w:sz w:val="20"/>
        </w:rPr>
        <w:t> </w:t>
      </w:r>
      <w:r>
        <w:rPr>
          <w:b/>
          <w:sz w:val="20"/>
        </w:rPr>
        <w:t>Since</w:t>
      </w:r>
      <w:r>
        <w:rPr>
          <w:b/>
          <w:spacing w:val="-7"/>
          <w:sz w:val="20"/>
        </w:rPr>
        <w:t> </w:t>
      </w:r>
      <w:r>
        <w:rPr>
          <w:b/>
          <w:sz w:val="20"/>
        </w:rPr>
        <w:t>Last</w:t>
      </w:r>
      <w:r>
        <w:rPr>
          <w:b/>
          <w:spacing w:val="-8"/>
          <w:sz w:val="20"/>
        </w:rPr>
        <w:t> </w:t>
      </w:r>
      <w:r>
        <w:rPr>
          <w:b/>
          <w:spacing w:val="-2"/>
          <w:sz w:val="20"/>
        </w:rPr>
        <w:t>Visit:</w:t>
      </w:r>
    </w:p>
    <w:p>
      <w:pPr>
        <w:pStyle w:val="BodyText"/>
        <w:spacing w:before="7"/>
        <w:rPr>
          <w:b/>
          <w:sz w:val="18"/>
        </w:rPr>
      </w:pPr>
    </w:p>
    <w:p>
      <w:pPr>
        <w:pStyle w:val="ListParagraph"/>
        <w:numPr>
          <w:ilvl w:val="0"/>
          <w:numId w:val="41"/>
        </w:numPr>
        <w:tabs>
          <w:tab w:pos="1951" w:val="left" w:leader="none"/>
          <w:tab w:pos="1953" w:val="left" w:leader="none"/>
        </w:tabs>
        <w:spacing w:line="240" w:lineRule="auto" w:before="0" w:after="0"/>
        <w:ind w:left="1951" w:right="632" w:hanging="360"/>
        <w:jc w:val="left"/>
        <w:rPr>
          <w:sz w:val="20"/>
        </w:rPr>
      </w:pPr>
      <w:r>
        <w:rPr>
          <w:sz w:val="20"/>
        </w:rPr>
        <w:t>University funds have been requested and approved to attend critical activities to</w:t>
      </w:r>
      <w:r>
        <w:rPr>
          <w:spacing w:val="40"/>
          <w:sz w:val="20"/>
        </w:rPr>
        <w:t> </w:t>
      </w:r>
      <w:r>
        <w:rPr>
          <w:sz w:val="20"/>
        </w:rPr>
        <w:t>support faculty and program development, including the ACSA Administrator’s Conference in Austin, TX in 2012. In addition, we have also been successful in securing external funds to support travel to conferences and conventions (faculty and students attend the Virginia Society of the American Institute of Architect’s annual conference, Architecture</w:t>
      </w:r>
      <w:r>
        <w:rPr>
          <w:spacing w:val="-3"/>
          <w:sz w:val="20"/>
        </w:rPr>
        <w:t> </w:t>
      </w:r>
      <w:r>
        <w:rPr>
          <w:sz w:val="20"/>
        </w:rPr>
        <w:t>Exchange</w:t>
      </w:r>
      <w:r>
        <w:rPr>
          <w:spacing w:val="-1"/>
          <w:sz w:val="20"/>
        </w:rPr>
        <w:t> </w:t>
      </w:r>
      <w:r>
        <w:rPr>
          <w:sz w:val="20"/>
        </w:rPr>
        <w:t>– East</w:t>
      </w:r>
      <w:r>
        <w:rPr>
          <w:spacing w:val="-3"/>
          <w:sz w:val="20"/>
        </w:rPr>
        <w:t> </w:t>
      </w:r>
      <w:r>
        <w:rPr>
          <w:sz w:val="20"/>
        </w:rPr>
        <w:t>in</w:t>
      </w:r>
      <w:r>
        <w:rPr>
          <w:spacing w:val="-1"/>
          <w:sz w:val="20"/>
        </w:rPr>
        <w:t> </w:t>
      </w:r>
      <w:r>
        <w:rPr>
          <w:sz w:val="20"/>
        </w:rPr>
        <w:t>Richmond,</w:t>
      </w:r>
      <w:r>
        <w:rPr>
          <w:spacing w:val="-3"/>
          <w:sz w:val="20"/>
        </w:rPr>
        <w:t> </w:t>
      </w:r>
      <w:r>
        <w:rPr>
          <w:sz w:val="20"/>
        </w:rPr>
        <w:t>VA</w:t>
      </w:r>
      <w:r>
        <w:rPr>
          <w:spacing w:val="-1"/>
          <w:sz w:val="20"/>
        </w:rPr>
        <w:t> </w:t>
      </w:r>
      <w:r>
        <w:rPr>
          <w:sz w:val="20"/>
        </w:rPr>
        <w:t>and</w:t>
      </w:r>
      <w:r>
        <w:rPr>
          <w:spacing w:val="-1"/>
          <w:sz w:val="20"/>
        </w:rPr>
        <w:t> </w:t>
      </w:r>
      <w:r>
        <w:rPr>
          <w:sz w:val="20"/>
        </w:rPr>
        <w:t>the</w:t>
      </w:r>
      <w:r>
        <w:rPr>
          <w:spacing w:val="-3"/>
          <w:sz w:val="20"/>
        </w:rPr>
        <w:t> </w:t>
      </w:r>
      <w:r>
        <w:rPr>
          <w:sz w:val="20"/>
        </w:rPr>
        <w:t>NOMA</w:t>
      </w:r>
      <w:r>
        <w:rPr>
          <w:spacing w:val="-4"/>
          <w:sz w:val="20"/>
        </w:rPr>
        <w:t> </w:t>
      </w:r>
      <w:r>
        <w:rPr>
          <w:sz w:val="20"/>
        </w:rPr>
        <w:t>Annual</w:t>
      </w:r>
      <w:r>
        <w:rPr>
          <w:spacing w:val="-2"/>
          <w:sz w:val="20"/>
        </w:rPr>
        <w:t> </w:t>
      </w:r>
      <w:r>
        <w:rPr>
          <w:sz w:val="20"/>
        </w:rPr>
        <w:t>Conference</w:t>
      </w:r>
      <w:r>
        <w:rPr>
          <w:spacing w:val="-3"/>
          <w:sz w:val="20"/>
        </w:rPr>
        <w:t> </w:t>
      </w:r>
      <w:r>
        <w:rPr>
          <w:sz w:val="20"/>
        </w:rPr>
        <w:t>each year). Faculty and students have also attended the National Homebuilders Convention. We</w:t>
      </w:r>
      <w:r>
        <w:rPr>
          <w:spacing w:val="-5"/>
          <w:sz w:val="20"/>
        </w:rPr>
        <w:t> </w:t>
      </w:r>
      <w:r>
        <w:rPr>
          <w:sz w:val="20"/>
        </w:rPr>
        <w:t>are</w:t>
      </w:r>
      <w:r>
        <w:rPr>
          <w:spacing w:val="-2"/>
          <w:sz w:val="20"/>
        </w:rPr>
        <w:t> </w:t>
      </w:r>
      <w:r>
        <w:rPr>
          <w:sz w:val="20"/>
        </w:rPr>
        <w:t>also</w:t>
      </w:r>
      <w:r>
        <w:rPr>
          <w:spacing w:val="-2"/>
          <w:sz w:val="20"/>
        </w:rPr>
        <w:t> </w:t>
      </w:r>
      <w:r>
        <w:rPr>
          <w:sz w:val="20"/>
        </w:rPr>
        <w:t>developing</w:t>
      </w:r>
      <w:r>
        <w:rPr>
          <w:spacing w:val="-2"/>
          <w:sz w:val="20"/>
        </w:rPr>
        <w:t> </w:t>
      </w:r>
      <w:r>
        <w:rPr>
          <w:sz w:val="20"/>
        </w:rPr>
        <w:t>relationships with</w:t>
      </w:r>
      <w:r>
        <w:rPr>
          <w:spacing w:val="-2"/>
          <w:sz w:val="20"/>
        </w:rPr>
        <w:t> </w:t>
      </w:r>
      <w:r>
        <w:rPr>
          <w:sz w:val="20"/>
        </w:rPr>
        <w:t>other</w:t>
      </w:r>
      <w:r>
        <w:rPr>
          <w:spacing w:val="-1"/>
          <w:sz w:val="20"/>
        </w:rPr>
        <w:t> </w:t>
      </w:r>
      <w:r>
        <w:rPr>
          <w:sz w:val="20"/>
        </w:rPr>
        <w:t>institutions</w:t>
      </w:r>
      <w:r>
        <w:rPr>
          <w:spacing w:val="-1"/>
          <w:sz w:val="20"/>
        </w:rPr>
        <w:t> </w:t>
      </w:r>
      <w:r>
        <w:rPr>
          <w:sz w:val="20"/>
        </w:rPr>
        <w:t>(Virginia</w:t>
      </w:r>
      <w:r>
        <w:rPr>
          <w:spacing w:val="-2"/>
          <w:sz w:val="20"/>
        </w:rPr>
        <w:t> </w:t>
      </w:r>
      <w:r>
        <w:rPr>
          <w:sz w:val="20"/>
        </w:rPr>
        <w:t>Tech,</w:t>
      </w:r>
      <w:r>
        <w:rPr>
          <w:spacing w:val="-2"/>
          <w:sz w:val="20"/>
        </w:rPr>
        <w:t> </w:t>
      </w:r>
      <w:r>
        <w:rPr>
          <w:sz w:val="20"/>
        </w:rPr>
        <w:t>the University of Virginia, MIT and the other accredited HBCU programs) to secure opportunities for collaborative work in pursuit of funded research and service. Relationships with government</w:t>
      </w:r>
      <w:r>
        <w:rPr>
          <w:spacing w:val="-6"/>
          <w:sz w:val="20"/>
        </w:rPr>
        <w:t> </w:t>
      </w:r>
      <w:r>
        <w:rPr>
          <w:sz w:val="20"/>
        </w:rPr>
        <w:t>agencies</w:t>
      </w:r>
      <w:r>
        <w:rPr>
          <w:spacing w:val="-5"/>
          <w:sz w:val="20"/>
        </w:rPr>
        <w:t> </w:t>
      </w:r>
      <w:r>
        <w:rPr>
          <w:sz w:val="20"/>
        </w:rPr>
        <w:t>also</w:t>
      </w:r>
      <w:r>
        <w:rPr>
          <w:spacing w:val="-4"/>
          <w:sz w:val="20"/>
        </w:rPr>
        <w:t> </w:t>
      </w:r>
      <w:r>
        <w:rPr>
          <w:sz w:val="20"/>
        </w:rPr>
        <w:t>provide</w:t>
      </w:r>
      <w:r>
        <w:rPr>
          <w:spacing w:val="-4"/>
          <w:sz w:val="20"/>
        </w:rPr>
        <w:t> </w:t>
      </w:r>
      <w:r>
        <w:rPr>
          <w:sz w:val="20"/>
        </w:rPr>
        <w:t>opportunities</w:t>
      </w:r>
      <w:r>
        <w:rPr>
          <w:spacing w:val="-5"/>
          <w:sz w:val="20"/>
        </w:rPr>
        <w:t> </w:t>
      </w:r>
      <w:r>
        <w:rPr>
          <w:sz w:val="20"/>
        </w:rPr>
        <w:t>for</w:t>
      </w:r>
      <w:r>
        <w:rPr>
          <w:spacing w:val="-5"/>
          <w:sz w:val="20"/>
        </w:rPr>
        <w:t> </w:t>
      </w:r>
      <w:r>
        <w:rPr>
          <w:sz w:val="20"/>
        </w:rPr>
        <w:t>Human</w:t>
      </w:r>
      <w:r>
        <w:rPr>
          <w:spacing w:val="-6"/>
          <w:sz w:val="20"/>
        </w:rPr>
        <w:t> </w:t>
      </w:r>
      <w:r>
        <w:rPr>
          <w:sz w:val="20"/>
        </w:rPr>
        <w:t>Resource</w:t>
      </w:r>
      <w:r>
        <w:rPr>
          <w:spacing w:val="-6"/>
          <w:sz w:val="20"/>
        </w:rPr>
        <w:t> </w:t>
      </w:r>
      <w:r>
        <w:rPr>
          <w:sz w:val="20"/>
        </w:rPr>
        <w:t>Development.</w:t>
      </w:r>
      <w:r>
        <w:rPr>
          <w:spacing w:val="-6"/>
          <w:sz w:val="20"/>
        </w:rPr>
        <w:t> </w:t>
      </w:r>
      <w:r>
        <w:rPr>
          <w:sz w:val="20"/>
        </w:rPr>
        <w:t>The US Park Service conducted a two day workshop for our program focusing on historic preservation under the direction of Dr. Ali Miri from the Atlanta office. Finally, one of our faculty, Shannon Chance, completed her doctorate with the support of the University, and the University is supporting her Sabbatical in 2012-2013 as a Fulbright Fellow in Dublin, Ireland.</w:t>
      </w:r>
      <w:r>
        <w:rPr>
          <w:spacing w:val="40"/>
          <w:sz w:val="20"/>
        </w:rPr>
        <w:t> </w:t>
      </w:r>
      <w:r>
        <w:rPr>
          <w:sz w:val="20"/>
        </w:rPr>
        <w:t>Finally, the University provides professional development activities at</w:t>
      </w:r>
      <w:r>
        <w:rPr>
          <w:spacing w:val="40"/>
          <w:sz w:val="20"/>
        </w:rPr>
        <w:t> </w:t>
      </w:r>
      <w:r>
        <w:rPr>
          <w:sz w:val="20"/>
        </w:rPr>
        <w:t>the Fall, Winter, and Spring Faculty Institutes as well as periodic sessions throughout</w:t>
      </w:r>
      <w:r>
        <w:rPr>
          <w:spacing w:val="40"/>
          <w:sz w:val="20"/>
        </w:rPr>
        <w:t> </w:t>
      </w:r>
      <w:r>
        <w:rPr>
          <w:sz w:val="20"/>
        </w:rPr>
        <w:t>the year offered through the Center for Teaching Excellence.</w:t>
      </w:r>
    </w:p>
    <w:p>
      <w:pPr>
        <w:pStyle w:val="BodyText"/>
        <w:spacing w:before="9"/>
        <w:rPr>
          <w:sz w:val="18"/>
        </w:rPr>
      </w:pPr>
    </w:p>
    <w:p>
      <w:pPr>
        <w:pStyle w:val="ListParagraph"/>
        <w:numPr>
          <w:ilvl w:val="0"/>
          <w:numId w:val="41"/>
        </w:numPr>
        <w:tabs>
          <w:tab w:pos="1951" w:val="left" w:leader="none"/>
          <w:tab w:pos="1952" w:val="left" w:leader="none"/>
        </w:tabs>
        <w:spacing w:line="240" w:lineRule="auto" w:before="0" w:after="0"/>
        <w:ind w:left="1951" w:right="755" w:hanging="360"/>
        <w:jc w:val="left"/>
        <w:rPr>
          <w:sz w:val="20"/>
        </w:rPr>
      </w:pPr>
      <w:r>
        <w:rPr>
          <w:sz w:val="20"/>
        </w:rPr>
        <w:t>We</w:t>
      </w:r>
      <w:r>
        <w:rPr>
          <w:spacing w:val="-7"/>
          <w:sz w:val="20"/>
        </w:rPr>
        <w:t> </w:t>
      </w:r>
      <w:r>
        <w:rPr>
          <w:sz w:val="20"/>
        </w:rPr>
        <w:t>have</w:t>
      </w:r>
      <w:r>
        <w:rPr>
          <w:spacing w:val="-4"/>
          <w:sz w:val="20"/>
        </w:rPr>
        <w:t> </w:t>
      </w:r>
      <w:r>
        <w:rPr>
          <w:sz w:val="20"/>
        </w:rPr>
        <w:t>been</w:t>
      </w:r>
      <w:r>
        <w:rPr>
          <w:spacing w:val="-2"/>
          <w:sz w:val="20"/>
        </w:rPr>
        <w:t> </w:t>
      </w:r>
      <w:r>
        <w:rPr>
          <w:sz w:val="20"/>
        </w:rPr>
        <w:t>cosponsors of</w:t>
      </w:r>
      <w:r>
        <w:rPr>
          <w:spacing w:val="-2"/>
          <w:sz w:val="20"/>
        </w:rPr>
        <w:t> </w:t>
      </w:r>
      <w:r>
        <w:rPr>
          <w:sz w:val="20"/>
        </w:rPr>
        <w:t>a</w:t>
      </w:r>
      <w:r>
        <w:rPr>
          <w:spacing w:val="-4"/>
          <w:sz w:val="20"/>
        </w:rPr>
        <w:t> </w:t>
      </w:r>
      <w:r>
        <w:rPr>
          <w:sz w:val="20"/>
        </w:rPr>
        <w:t>new</w:t>
      </w:r>
      <w:r>
        <w:rPr>
          <w:spacing w:val="-6"/>
          <w:sz w:val="20"/>
        </w:rPr>
        <w:t> </w:t>
      </w:r>
      <w:r>
        <w:rPr>
          <w:sz w:val="20"/>
        </w:rPr>
        <w:t>conference</w:t>
      </w:r>
      <w:r>
        <w:rPr>
          <w:spacing w:val="-4"/>
          <w:sz w:val="20"/>
        </w:rPr>
        <w:t> </w:t>
      </w:r>
      <w:r>
        <w:rPr>
          <w:sz w:val="20"/>
        </w:rPr>
        <w:t>held</w:t>
      </w:r>
      <w:r>
        <w:rPr>
          <w:spacing w:val="-2"/>
          <w:sz w:val="20"/>
        </w:rPr>
        <w:t> </w:t>
      </w:r>
      <w:r>
        <w:rPr>
          <w:sz w:val="20"/>
        </w:rPr>
        <w:t>annually</w:t>
      </w:r>
      <w:r>
        <w:rPr>
          <w:spacing w:val="-5"/>
          <w:sz w:val="20"/>
        </w:rPr>
        <w:t> </w:t>
      </w:r>
      <w:r>
        <w:rPr>
          <w:sz w:val="20"/>
        </w:rPr>
        <w:t>and</w:t>
      </w:r>
      <w:r>
        <w:rPr>
          <w:spacing w:val="-4"/>
          <w:sz w:val="20"/>
        </w:rPr>
        <w:t> </w:t>
      </w:r>
      <w:r>
        <w:rPr>
          <w:sz w:val="20"/>
        </w:rPr>
        <w:t>rotating</w:t>
      </w:r>
      <w:r>
        <w:rPr>
          <w:spacing w:val="-2"/>
          <w:sz w:val="20"/>
        </w:rPr>
        <w:t> </w:t>
      </w:r>
      <w:r>
        <w:rPr>
          <w:sz w:val="20"/>
        </w:rPr>
        <w:t>between</w:t>
      </w:r>
      <w:r>
        <w:rPr>
          <w:spacing w:val="-4"/>
          <w:sz w:val="20"/>
        </w:rPr>
        <w:t> </w:t>
      </w:r>
      <w:r>
        <w:rPr>
          <w:sz w:val="20"/>
        </w:rPr>
        <w:t>the accredited Historically Black Colleges and Universities (HBCU). We hosted the</w:t>
      </w:r>
    </w:p>
    <w:p>
      <w:pPr>
        <w:spacing w:after="0" w:line="240" w:lineRule="auto"/>
        <w:jc w:val="left"/>
        <w:rPr>
          <w:sz w:val="20"/>
        </w:rPr>
        <w:sectPr>
          <w:headerReference w:type="default" r:id="rId161"/>
          <w:footerReference w:type="default" r:id="rId162"/>
          <w:pgSz w:w="12240" w:h="15840"/>
          <w:pgMar w:header="0" w:footer="974" w:top="1360" w:bottom="1160" w:left="1000" w:right="820"/>
        </w:sectPr>
      </w:pPr>
    </w:p>
    <w:p>
      <w:pPr>
        <w:pStyle w:val="BodyText"/>
        <w:spacing w:before="77"/>
        <w:ind w:left="1952" w:right="642"/>
      </w:pPr>
      <w:r>
        <w:rPr/>
        <w:t>conference</w:t>
      </w:r>
      <w:r>
        <w:rPr>
          <w:spacing w:val="-4"/>
        </w:rPr>
        <w:t> </w:t>
      </w:r>
      <w:r>
        <w:rPr/>
        <w:t>in</w:t>
      </w:r>
      <w:r>
        <w:rPr>
          <w:spacing w:val="-2"/>
        </w:rPr>
        <w:t> </w:t>
      </w:r>
      <w:r>
        <w:rPr/>
        <w:t>2010.</w:t>
      </w:r>
      <w:r>
        <w:rPr>
          <w:spacing w:val="-4"/>
        </w:rPr>
        <w:t> </w:t>
      </w:r>
      <w:r>
        <w:rPr/>
        <w:t>One</w:t>
      </w:r>
      <w:r>
        <w:rPr>
          <w:spacing w:val="-4"/>
        </w:rPr>
        <w:t> </w:t>
      </w:r>
      <w:r>
        <w:rPr/>
        <w:t>of</w:t>
      </w:r>
      <w:r>
        <w:rPr>
          <w:spacing w:val="-2"/>
        </w:rPr>
        <w:t> </w:t>
      </w:r>
      <w:r>
        <w:rPr/>
        <w:t>our</w:t>
      </w:r>
      <w:r>
        <w:rPr>
          <w:spacing w:val="-3"/>
        </w:rPr>
        <w:t> </w:t>
      </w:r>
      <w:r>
        <w:rPr/>
        <w:t>faculty</w:t>
      </w:r>
      <w:r>
        <w:rPr>
          <w:spacing w:val="-7"/>
        </w:rPr>
        <w:t> </w:t>
      </w:r>
      <w:r>
        <w:rPr/>
        <w:t>members,</w:t>
      </w:r>
      <w:r>
        <w:rPr>
          <w:spacing w:val="-4"/>
        </w:rPr>
        <w:t> </w:t>
      </w:r>
      <w:r>
        <w:rPr/>
        <w:t>Dr.</w:t>
      </w:r>
      <w:r>
        <w:rPr>
          <w:spacing w:val="-4"/>
        </w:rPr>
        <w:t> </w:t>
      </w:r>
      <w:r>
        <w:rPr/>
        <w:t>Chance, was</w:t>
      </w:r>
      <w:r>
        <w:rPr>
          <w:spacing w:val="-3"/>
        </w:rPr>
        <w:t> </w:t>
      </w:r>
      <w:r>
        <w:rPr/>
        <w:t>permitted</w:t>
      </w:r>
      <w:r>
        <w:rPr>
          <w:spacing w:val="-4"/>
        </w:rPr>
        <w:t> </w:t>
      </w:r>
      <w:r>
        <w:rPr/>
        <w:t>to</w:t>
      </w:r>
      <w:r>
        <w:rPr>
          <w:spacing w:val="-4"/>
        </w:rPr>
        <w:t> </w:t>
      </w:r>
      <w:r>
        <w:rPr/>
        <w:t>take leave on a paid sabbatical to continue her research in Dublin, Ireland.</w:t>
      </w:r>
    </w:p>
    <w:p>
      <w:pPr>
        <w:pStyle w:val="BodyText"/>
        <w:spacing w:before="7"/>
        <w:rPr>
          <w:sz w:val="18"/>
        </w:rPr>
      </w:pPr>
    </w:p>
    <w:p>
      <w:pPr>
        <w:pStyle w:val="ListParagraph"/>
        <w:numPr>
          <w:ilvl w:val="0"/>
          <w:numId w:val="41"/>
        </w:numPr>
        <w:tabs>
          <w:tab w:pos="1951" w:val="left" w:leader="none"/>
          <w:tab w:pos="1952" w:val="left" w:leader="none"/>
        </w:tabs>
        <w:spacing w:line="240" w:lineRule="auto" w:before="0" w:after="0"/>
        <w:ind w:left="1951" w:right="632" w:hanging="360"/>
        <w:jc w:val="left"/>
        <w:rPr>
          <w:sz w:val="20"/>
        </w:rPr>
      </w:pPr>
      <w:r>
        <w:rPr>
          <w:sz w:val="20"/>
        </w:rPr>
        <w:t>2010 Response: In light of reduced resources available campus-wide, each academic program has been tasked to creatively fund, where possible, through grants and contributions, faculty travel and involvement in opportunities that foster personal and professional growth. We have been successful in securing funding to support travel to conferences and conventions (this year, faculty and students attended the Architecture Exchange – East conference in Richmond and the NOMA Annual Conference in Boston and will be attending the National Homebuilders Convention in Orlando in January. We are also developing relationships with other institutions (Virginia Tech, the University of Virginia, MIT and the other accredited HBCU programs) to secure opportunities for collaborative work in pursuit of funded research and service. Relationships with government</w:t>
      </w:r>
      <w:r>
        <w:rPr>
          <w:spacing w:val="-6"/>
          <w:sz w:val="20"/>
        </w:rPr>
        <w:t> </w:t>
      </w:r>
      <w:r>
        <w:rPr>
          <w:sz w:val="20"/>
        </w:rPr>
        <w:t>agencies</w:t>
      </w:r>
      <w:r>
        <w:rPr>
          <w:spacing w:val="-5"/>
          <w:sz w:val="20"/>
        </w:rPr>
        <w:t> </w:t>
      </w:r>
      <w:r>
        <w:rPr>
          <w:sz w:val="20"/>
        </w:rPr>
        <w:t>also</w:t>
      </w:r>
      <w:r>
        <w:rPr>
          <w:spacing w:val="-4"/>
          <w:sz w:val="20"/>
        </w:rPr>
        <w:t> </w:t>
      </w:r>
      <w:r>
        <w:rPr>
          <w:sz w:val="20"/>
        </w:rPr>
        <w:t>provide</w:t>
      </w:r>
      <w:r>
        <w:rPr>
          <w:spacing w:val="-4"/>
          <w:sz w:val="20"/>
        </w:rPr>
        <w:t> </w:t>
      </w:r>
      <w:r>
        <w:rPr>
          <w:sz w:val="20"/>
        </w:rPr>
        <w:t>opportunities</w:t>
      </w:r>
      <w:r>
        <w:rPr>
          <w:spacing w:val="-5"/>
          <w:sz w:val="20"/>
        </w:rPr>
        <w:t> </w:t>
      </w:r>
      <w:r>
        <w:rPr>
          <w:sz w:val="20"/>
        </w:rPr>
        <w:t>for</w:t>
      </w:r>
      <w:r>
        <w:rPr>
          <w:spacing w:val="-5"/>
          <w:sz w:val="20"/>
        </w:rPr>
        <w:t> </w:t>
      </w:r>
      <w:r>
        <w:rPr>
          <w:sz w:val="20"/>
        </w:rPr>
        <w:t>Human</w:t>
      </w:r>
      <w:r>
        <w:rPr>
          <w:spacing w:val="-6"/>
          <w:sz w:val="20"/>
        </w:rPr>
        <w:t> </w:t>
      </w:r>
      <w:r>
        <w:rPr>
          <w:sz w:val="20"/>
        </w:rPr>
        <w:t>Resource</w:t>
      </w:r>
      <w:r>
        <w:rPr>
          <w:spacing w:val="-6"/>
          <w:sz w:val="20"/>
        </w:rPr>
        <w:t> </w:t>
      </w:r>
      <w:r>
        <w:rPr>
          <w:sz w:val="20"/>
        </w:rPr>
        <w:t>Development.</w:t>
      </w:r>
      <w:r>
        <w:rPr>
          <w:spacing w:val="-6"/>
          <w:sz w:val="20"/>
        </w:rPr>
        <w:t> </w:t>
      </w:r>
      <w:r>
        <w:rPr>
          <w:sz w:val="20"/>
        </w:rPr>
        <w:t>The US Park Service conducted a two day workshop for our program focusing on historic preservation under the direction of Dr. Miri from the Atlanta office. Finally, one of our faculty, Shannon Chance, completed her doctorate this year, with the support of the </w:t>
      </w:r>
      <w:r>
        <w:rPr>
          <w:spacing w:val="-2"/>
          <w:sz w:val="20"/>
        </w:rPr>
        <w:t>University.</w:t>
      </w:r>
    </w:p>
    <w:p>
      <w:pPr>
        <w:pStyle w:val="BodyText"/>
        <w:spacing w:before="7"/>
        <w:rPr>
          <w:sz w:val="18"/>
        </w:rPr>
      </w:pPr>
    </w:p>
    <w:p>
      <w:pPr>
        <w:pStyle w:val="ListParagraph"/>
        <w:numPr>
          <w:ilvl w:val="0"/>
          <w:numId w:val="41"/>
        </w:numPr>
        <w:tabs>
          <w:tab w:pos="1951" w:val="left" w:leader="none"/>
          <w:tab w:pos="1952" w:val="left" w:leader="none"/>
        </w:tabs>
        <w:spacing w:line="240" w:lineRule="auto" w:before="0" w:after="0"/>
        <w:ind w:left="1951" w:right="760" w:hanging="360"/>
        <w:jc w:val="left"/>
        <w:rPr>
          <w:sz w:val="20"/>
        </w:rPr>
      </w:pPr>
      <w:r>
        <w:rPr>
          <w:sz w:val="20"/>
        </w:rPr>
        <w:t>2011</w:t>
      </w:r>
      <w:r>
        <w:rPr>
          <w:spacing w:val="-4"/>
          <w:sz w:val="20"/>
        </w:rPr>
        <w:t> </w:t>
      </w:r>
      <w:r>
        <w:rPr>
          <w:sz w:val="20"/>
        </w:rPr>
        <w:t>Response:</w:t>
      </w:r>
      <w:r>
        <w:rPr>
          <w:spacing w:val="-6"/>
          <w:sz w:val="20"/>
        </w:rPr>
        <w:t> </w:t>
      </w:r>
      <w:r>
        <w:rPr>
          <w:sz w:val="20"/>
        </w:rPr>
        <w:t>Our</w:t>
      </w:r>
      <w:r>
        <w:rPr>
          <w:spacing w:val="-3"/>
          <w:sz w:val="20"/>
        </w:rPr>
        <w:t> </w:t>
      </w:r>
      <w:r>
        <w:rPr>
          <w:sz w:val="20"/>
        </w:rPr>
        <w:t>program</w:t>
      </w:r>
      <w:r>
        <w:rPr>
          <w:spacing w:val="-1"/>
          <w:sz w:val="20"/>
        </w:rPr>
        <w:t> </w:t>
      </w:r>
      <w:r>
        <w:rPr>
          <w:sz w:val="20"/>
        </w:rPr>
        <w:t>created</w:t>
      </w:r>
      <w:r>
        <w:rPr>
          <w:spacing w:val="-6"/>
          <w:sz w:val="20"/>
        </w:rPr>
        <w:t> </w:t>
      </w:r>
      <w:r>
        <w:rPr>
          <w:sz w:val="20"/>
        </w:rPr>
        <w:t>several</w:t>
      </w:r>
      <w:r>
        <w:rPr>
          <w:spacing w:val="-7"/>
          <w:sz w:val="20"/>
        </w:rPr>
        <w:t> </w:t>
      </w:r>
      <w:r>
        <w:rPr>
          <w:sz w:val="20"/>
        </w:rPr>
        <w:t>unique</w:t>
      </w:r>
      <w:r>
        <w:rPr>
          <w:spacing w:val="-4"/>
          <w:sz w:val="20"/>
        </w:rPr>
        <w:t> </w:t>
      </w:r>
      <w:r>
        <w:rPr>
          <w:sz w:val="20"/>
        </w:rPr>
        <w:t>partnerships</w:t>
      </w:r>
      <w:r>
        <w:rPr>
          <w:spacing w:val="-2"/>
          <w:sz w:val="20"/>
        </w:rPr>
        <w:t> </w:t>
      </w:r>
      <w:r>
        <w:rPr>
          <w:sz w:val="20"/>
        </w:rPr>
        <w:t>with</w:t>
      </w:r>
      <w:r>
        <w:rPr>
          <w:spacing w:val="-6"/>
          <w:sz w:val="20"/>
        </w:rPr>
        <w:t> </w:t>
      </w:r>
      <w:r>
        <w:rPr>
          <w:sz w:val="20"/>
        </w:rPr>
        <w:t>other</w:t>
      </w:r>
      <w:r>
        <w:rPr>
          <w:spacing w:val="-3"/>
          <w:sz w:val="20"/>
        </w:rPr>
        <w:t> </w:t>
      </w:r>
      <w:r>
        <w:rPr>
          <w:sz w:val="20"/>
        </w:rPr>
        <w:t>programs that provide opportunities for our faculty members to develop expertise in architecture and related fields.</w:t>
      </w:r>
    </w:p>
    <w:p>
      <w:pPr>
        <w:pStyle w:val="BodyText"/>
        <w:spacing w:before="5"/>
        <w:rPr>
          <w:sz w:val="17"/>
        </w:rPr>
      </w:pPr>
    </w:p>
    <w:p>
      <w:pPr>
        <w:pStyle w:val="ListParagraph"/>
        <w:numPr>
          <w:ilvl w:val="1"/>
          <w:numId w:val="41"/>
        </w:numPr>
        <w:tabs>
          <w:tab w:pos="2312" w:val="left" w:leader="none"/>
        </w:tabs>
        <w:spacing w:line="240" w:lineRule="auto" w:before="0" w:after="0"/>
        <w:ind w:left="2311" w:right="660" w:hanging="360"/>
        <w:jc w:val="left"/>
        <w:rPr>
          <w:sz w:val="20"/>
        </w:rPr>
      </w:pPr>
      <w:r>
        <w:rPr>
          <w:sz w:val="20"/>
        </w:rPr>
        <w:t>Solar</w:t>
      </w:r>
      <w:r>
        <w:rPr>
          <w:spacing w:val="-5"/>
          <w:sz w:val="20"/>
        </w:rPr>
        <w:t> </w:t>
      </w:r>
      <w:r>
        <w:rPr>
          <w:sz w:val="20"/>
        </w:rPr>
        <w:t>Decathlon:</w:t>
      </w:r>
      <w:r>
        <w:rPr>
          <w:spacing w:val="-6"/>
          <w:sz w:val="20"/>
        </w:rPr>
        <w:t> </w:t>
      </w:r>
      <w:r>
        <w:rPr>
          <w:sz w:val="20"/>
        </w:rPr>
        <w:t>The</w:t>
      </w:r>
      <w:r>
        <w:rPr>
          <w:spacing w:val="-6"/>
          <w:sz w:val="20"/>
        </w:rPr>
        <w:t> </w:t>
      </w:r>
      <w:r>
        <w:rPr>
          <w:sz w:val="20"/>
        </w:rPr>
        <w:t>Hampton</w:t>
      </w:r>
      <w:r>
        <w:rPr>
          <w:spacing w:val="-4"/>
          <w:sz w:val="20"/>
        </w:rPr>
        <w:t> </w:t>
      </w:r>
      <w:r>
        <w:rPr>
          <w:sz w:val="20"/>
        </w:rPr>
        <w:t>University</w:t>
      </w:r>
      <w:r>
        <w:rPr>
          <w:spacing w:val="-7"/>
          <w:sz w:val="20"/>
        </w:rPr>
        <w:t> </w:t>
      </w:r>
      <w:r>
        <w:rPr>
          <w:sz w:val="20"/>
        </w:rPr>
        <w:t>Department</w:t>
      </w:r>
      <w:r>
        <w:rPr>
          <w:spacing w:val="-6"/>
          <w:sz w:val="20"/>
        </w:rPr>
        <w:t> </w:t>
      </w:r>
      <w:r>
        <w:rPr>
          <w:sz w:val="20"/>
        </w:rPr>
        <w:t>of</w:t>
      </w:r>
      <w:r>
        <w:rPr>
          <w:spacing w:val="-4"/>
          <w:sz w:val="20"/>
        </w:rPr>
        <w:t> </w:t>
      </w:r>
      <w:r>
        <w:rPr>
          <w:sz w:val="20"/>
        </w:rPr>
        <w:t>Architecture</w:t>
      </w:r>
      <w:r>
        <w:rPr>
          <w:spacing w:val="-4"/>
          <w:sz w:val="20"/>
        </w:rPr>
        <w:t> </w:t>
      </w:r>
      <w:r>
        <w:rPr>
          <w:sz w:val="20"/>
        </w:rPr>
        <w:t>partnered</w:t>
      </w:r>
      <w:r>
        <w:rPr>
          <w:spacing w:val="-1"/>
          <w:sz w:val="20"/>
        </w:rPr>
        <w:t> </w:t>
      </w:r>
      <w:r>
        <w:rPr>
          <w:sz w:val="20"/>
        </w:rPr>
        <w:t>with the School of Engineering at Old Dominion University to submit a successful entry into the US Department of Energy’s 2011 Solar Decathlon. Two professors, Mason Andrews and David Peronnet developed collaborative coursework in the areas of energy efficiency, sustainability, and construction materials and methods that will continue to be offered between the two programs. We are continuing to explore ways to work collaboratively with the Engineering School at Old Dominion</w:t>
      </w:r>
      <w:r>
        <w:rPr>
          <w:sz w:val="20"/>
        </w:rPr>
        <w:t> University, our Solar Decathlon partners, to develop additional joint coursework in these areas.</w:t>
      </w:r>
    </w:p>
    <w:p>
      <w:pPr>
        <w:pStyle w:val="BodyText"/>
        <w:spacing w:before="6"/>
        <w:rPr>
          <w:sz w:val="17"/>
        </w:rPr>
      </w:pPr>
    </w:p>
    <w:p>
      <w:pPr>
        <w:pStyle w:val="ListParagraph"/>
        <w:numPr>
          <w:ilvl w:val="1"/>
          <w:numId w:val="41"/>
        </w:numPr>
        <w:tabs>
          <w:tab w:pos="2312" w:val="left" w:leader="none"/>
        </w:tabs>
        <w:spacing w:line="240" w:lineRule="auto" w:before="0" w:after="0"/>
        <w:ind w:left="2311" w:right="637" w:hanging="360"/>
        <w:jc w:val="left"/>
        <w:rPr>
          <w:sz w:val="20"/>
        </w:rPr>
      </w:pPr>
      <w:r>
        <w:rPr>
          <w:sz w:val="20"/>
        </w:rPr>
        <w:t>As a result of our success in the Solar Decathlon, the University’s interest in this competition</w:t>
      </w:r>
      <w:r>
        <w:rPr>
          <w:spacing w:val="-3"/>
          <w:sz w:val="20"/>
        </w:rPr>
        <w:t> </w:t>
      </w:r>
      <w:r>
        <w:rPr>
          <w:sz w:val="20"/>
        </w:rPr>
        <w:t>has</w:t>
      </w:r>
      <w:r>
        <w:rPr>
          <w:spacing w:val="-4"/>
          <w:sz w:val="20"/>
        </w:rPr>
        <w:t> </w:t>
      </w:r>
      <w:r>
        <w:rPr>
          <w:sz w:val="20"/>
        </w:rPr>
        <w:t>increased,</w:t>
      </w:r>
      <w:r>
        <w:rPr>
          <w:spacing w:val="-1"/>
          <w:sz w:val="20"/>
        </w:rPr>
        <w:t> </w:t>
      </w:r>
      <w:r>
        <w:rPr>
          <w:sz w:val="20"/>
        </w:rPr>
        <w:t>resulting</w:t>
      </w:r>
      <w:r>
        <w:rPr>
          <w:spacing w:val="-3"/>
          <w:sz w:val="20"/>
        </w:rPr>
        <w:t> </w:t>
      </w:r>
      <w:r>
        <w:rPr>
          <w:sz w:val="20"/>
        </w:rPr>
        <w:t>in</w:t>
      </w:r>
      <w:r>
        <w:rPr>
          <w:spacing w:val="-5"/>
          <w:sz w:val="20"/>
        </w:rPr>
        <w:t> </w:t>
      </w:r>
      <w:r>
        <w:rPr>
          <w:sz w:val="20"/>
        </w:rPr>
        <w:t>continued</w:t>
      </w:r>
      <w:r>
        <w:rPr>
          <w:spacing w:val="-5"/>
          <w:sz w:val="20"/>
        </w:rPr>
        <w:t> </w:t>
      </w:r>
      <w:r>
        <w:rPr>
          <w:sz w:val="20"/>
        </w:rPr>
        <w:t>efforts</w:t>
      </w:r>
      <w:r>
        <w:rPr>
          <w:spacing w:val="-4"/>
          <w:sz w:val="20"/>
        </w:rPr>
        <w:t> </w:t>
      </w:r>
      <w:r>
        <w:rPr>
          <w:sz w:val="20"/>
        </w:rPr>
        <w:t>to</w:t>
      </w:r>
      <w:r>
        <w:rPr>
          <w:spacing w:val="-5"/>
          <w:sz w:val="20"/>
        </w:rPr>
        <w:t> </w:t>
      </w:r>
      <w:r>
        <w:rPr>
          <w:sz w:val="20"/>
        </w:rPr>
        <w:t>enter</w:t>
      </w:r>
      <w:r>
        <w:rPr>
          <w:spacing w:val="-4"/>
          <w:sz w:val="20"/>
        </w:rPr>
        <w:t> </w:t>
      </w:r>
      <w:r>
        <w:rPr>
          <w:sz w:val="20"/>
        </w:rPr>
        <w:t>the</w:t>
      </w:r>
      <w:r>
        <w:rPr>
          <w:spacing w:val="-3"/>
          <w:sz w:val="20"/>
        </w:rPr>
        <w:t> </w:t>
      </w:r>
      <w:r>
        <w:rPr>
          <w:sz w:val="20"/>
        </w:rPr>
        <w:t>competition</w:t>
      </w:r>
      <w:r>
        <w:rPr>
          <w:spacing w:val="-5"/>
          <w:sz w:val="20"/>
        </w:rPr>
        <w:t> </w:t>
      </w:r>
      <w:r>
        <w:rPr>
          <w:sz w:val="20"/>
        </w:rPr>
        <w:t>and maintain</w:t>
      </w:r>
      <w:r>
        <w:rPr>
          <w:spacing w:val="-5"/>
          <w:sz w:val="20"/>
        </w:rPr>
        <w:t> </w:t>
      </w:r>
      <w:r>
        <w:rPr>
          <w:sz w:val="20"/>
        </w:rPr>
        <w:t>the</w:t>
      </w:r>
      <w:r>
        <w:rPr>
          <w:spacing w:val="-5"/>
          <w:sz w:val="20"/>
        </w:rPr>
        <w:t> </w:t>
      </w:r>
      <w:r>
        <w:rPr>
          <w:sz w:val="20"/>
        </w:rPr>
        <w:t>collaborative</w:t>
      </w:r>
      <w:r>
        <w:rPr>
          <w:spacing w:val="-5"/>
          <w:sz w:val="20"/>
        </w:rPr>
        <w:t> </w:t>
      </w:r>
      <w:r>
        <w:rPr>
          <w:sz w:val="20"/>
        </w:rPr>
        <w:t>relationship with</w:t>
      </w:r>
      <w:r>
        <w:rPr>
          <w:spacing w:val="-5"/>
          <w:sz w:val="20"/>
        </w:rPr>
        <w:t> </w:t>
      </w:r>
      <w:r>
        <w:rPr>
          <w:sz w:val="20"/>
        </w:rPr>
        <w:t>ODU.</w:t>
      </w:r>
      <w:r>
        <w:rPr>
          <w:spacing w:val="-5"/>
          <w:sz w:val="20"/>
        </w:rPr>
        <w:t> </w:t>
      </w:r>
      <w:r>
        <w:rPr>
          <w:sz w:val="20"/>
        </w:rPr>
        <w:t>The</w:t>
      </w:r>
      <w:r>
        <w:rPr>
          <w:spacing w:val="-3"/>
          <w:sz w:val="20"/>
        </w:rPr>
        <w:t> </w:t>
      </w:r>
      <w:r>
        <w:rPr>
          <w:sz w:val="20"/>
        </w:rPr>
        <w:t>University</w:t>
      </w:r>
      <w:r>
        <w:rPr>
          <w:spacing w:val="-7"/>
          <w:sz w:val="20"/>
        </w:rPr>
        <w:t> </w:t>
      </w:r>
      <w:r>
        <w:rPr>
          <w:sz w:val="20"/>
        </w:rPr>
        <w:t>has</w:t>
      </w:r>
      <w:r>
        <w:rPr>
          <w:spacing w:val="-4"/>
          <w:sz w:val="20"/>
        </w:rPr>
        <w:t> </w:t>
      </w:r>
      <w:r>
        <w:rPr>
          <w:sz w:val="20"/>
        </w:rPr>
        <w:t>also</w:t>
      </w:r>
      <w:r>
        <w:rPr>
          <w:spacing w:val="-3"/>
          <w:sz w:val="20"/>
        </w:rPr>
        <w:t> </w:t>
      </w:r>
      <w:r>
        <w:rPr>
          <w:sz w:val="20"/>
        </w:rPr>
        <w:t>indicated</w:t>
      </w:r>
      <w:r>
        <w:rPr>
          <w:spacing w:val="-5"/>
          <w:sz w:val="20"/>
        </w:rPr>
        <w:t> </w:t>
      </w:r>
      <w:r>
        <w:rPr>
          <w:sz w:val="20"/>
        </w:rPr>
        <w:t>a support our efforts with increased resources, in faculty, space and equipment.</w:t>
      </w:r>
    </w:p>
    <w:p>
      <w:pPr>
        <w:pStyle w:val="BodyText"/>
        <w:spacing w:before="6"/>
        <w:rPr>
          <w:sz w:val="17"/>
        </w:rPr>
      </w:pPr>
    </w:p>
    <w:p>
      <w:pPr>
        <w:pStyle w:val="ListParagraph"/>
        <w:numPr>
          <w:ilvl w:val="1"/>
          <w:numId w:val="41"/>
        </w:numPr>
        <w:tabs>
          <w:tab w:pos="2312" w:val="left" w:leader="none"/>
        </w:tabs>
        <w:spacing w:line="240" w:lineRule="auto" w:before="0" w:after="0"/>
        <w:ind w:left="2311" w:right="804" w:hanging="360"/>
        <w:jc w:val="left"/>
        <w:rPr>
          <w:sz w:val="20"/>
        </w:rPr>
      </w:pPr>
      <w:r>
        <w:rPr>
          <w:sz w:val="20"/>
        </w:rPr>
        <w:t>Shannon Chance has continued research in the area of collaboration models of instruction</w:t>
      </w:r>
      <w:r>
        <w:rPr>
          <w:spacing w:val="-5"/>
          <w:sz w:val="20"/>
        </w:rPr>
        <w:t> </w:t>
      </w:r>
      <w:r>
        <w:rPr>
          <w:sz w:val="20"/>
        </w:rPr>
        <w:t>used</w:t>
      </w:r>
      <w:r>
        <w:rPr>
          <w:spacing w:val="-5"/>
          <w:sz w:val="20"/>
        </w:rPr>
        <w:t> </w:t>
      </w:r>
      <w:r>
        <w:rPr>
          <w:sz w:val="20"/>
        </w:rPr>
        <w:t>creative</w:t>
      </w:r>
      <w:r>
        <w:rPr>
          <w:spacing w:val="-5"/>
          <w:sz w:val="20"/>
        </w:rPr>
        <w:t> </w:t>
      </w:r>
      <w:r>
        <w:rPr>
          <w:sz w:val="20"/>
        </w:rPr>
        <w:t>/</w:t>
      </w:r>
      <w:r>
        <w:rPr>
          <w:spacing w:val="-5"/>
          <w:sz w:val="20"/>
        </w:rPr>
        <w:t> </w:t>
      </w:r>
      <w:r>
        <w:rPr>
          <w:sz w:val="20"/>
        </w:rPr>
        <w:t>design</w:t>
      </w:r>
      <w:r>
        <w:rPr>
          <w:spacing w:val="-3"/>
          <w:sz w:val="20"/>
        </w:rPr>
        <w:t> </w:t>
      </w:r>
      <w:r>
        <w:rPr>
          <w:sz w:val="20"/>
        </w:rPr>
        <w:t>and</w:t>
      </w:r>
      <w:r>
        <w:rPr>
          <w:spacing w:val="-3"/>
          <w:sz w:val="20"/>
        </w:rPr>
        <w:t> </w:t>
      </w:r>
      <w:r>
        <w:rPr>
          <w:sz w:val="20"/>
        </w:rPr>
        <w:t>Engineering</w:t>
      </w:r>
      <w:r>
        <w:rPr>
          <w:spacing w:val="-3"/>
          <w:sz w:val="20"/>
        </w:rPr>
        <w:t> </w:t>
      </w:r>
      <w:r>
        <w:rPr>
          <w:sz w:val="20"/>
        </w:rPr>
        <w:t>courses</w:t>
      </w:r>
      <w:r>
        <w:rPr>
          <w:spacing w:val="-4"/>
          <w:sz w:val="20"/>
        </w:rPr>
        <w:t> </w:t>
      </w:r>
      <w:r>
        <w:rPr>
          <w:sz w:val="20"/>
        </w:rPr>
        <w:t>and</w:t>
      </w:r>
      <w:r>
        <w:rPr>
          <w:spacing w:val="-3"/>
          <w:sz w:val="20"/>
        </w:rPr>
        <w:t> </w:t>
      </w:r>
      <w:r>
        <w:rPr>
          <w:sz w:val="20"/>
        </w:rPr>
        <w:t>is</w:t>
      </w:r>
      <w:r>
        <w:rPr>
          <w:spacing w:val="-4"/>
          <w:sz w:val="20"/>
        </w:rPr>
        <w:t> </w:t>
      </w:r>
      <w:r>
        <w:rPr>
          <w:sz w:val="20"/>
        </w:rPr>
        <w:t>pursuing</w:t>
      </w:r>
      <w:r>
        <w:rPr>
          <w:spacing w:val="-5"/>
          <w:sz w:val="20"/>
        </w:rPr>
        <w:t> </w:t>
      </w:r>
      <w:r>
        <w:rPr>
          <w:sz w:val="20"/>
        </w:rPr>
        <w:t>funding with international programs.</w:t>
      </w:r>
    </w:p>
    <w:p>
      <w:pPr>
        <w:pStyle w:val="BodyText"/>
        <w:spacing w:before="5"/>
        <w:rPr>
          <w:sz w:val="17"/>
        </w:rPr>
      </w:pPr>
    </w:p>
    <w:p>
      <w:pPr>
        <w:pStyle w:val="ListParagraph"/>
        <w:numPr>
          <w:ilvl w:val="1"/>
          <w:numId w:val="41"/>
        </w:numPr>
        <w:tabs>
          <w:tab w:pos="2312" w:val="left" w:leader="none"/>
        </w:tabs>
        <w:spacing w:line="240" w:lineRule="auto" w:before="0" w:after="0"/>
        <w:ind w:left="2311" w:right="795" w:hanging="360"/>
        <w:jc w:val="left"/>
        <w:rPr>
          <w:sz w:val="20"/>
        </w:rPr>
      </w:pPr>
      <w:r>
        <w:rPr>
          <w:sz w:val="20"/>
        </w:rPr>
        <w:t>Our</w:t>
      </w:r>
      <w:r>
        <w:rPr>
          <w:spacing w:val="-3"/>
          <w:sz w:val="20"/>
        </w:rPr>
        <w:t> </w:t>
      </w:r>
      <w:r>
        <w:rPr>
          <w:sz w:val="20"/>
        </w:rPr>
        <w:t>new</w:t>
      </w:r>
      <w:r>
        <w:rPr>
          <w:spacing w:val="-4"/>
          <w:sz w:val="20"/>
        </w:rPr>
        <w:t> </w:t>
      </w:r>
      <w:r>
        <w:rPr>
          <w:sz w:val="20"/>
        </w:rPr>
        <w:t>instructor,</w:t>
      </w:r>
      <w:r>
        <w:rPr>
          <w:spacing w:val="-4"/>
          <w:sz w:val="20"/>
        </w:rPr>
        <w:t> </w:t>
      </w:r>
      <w:r>
        <w:rPr>
          <w:sz w:val="20"/>
        </w:rPr>
        <w:t>Ogheneruno</w:t>
      </w:r>
      <w:r>
        <w:rPr>
          <w:spacing w:val="-4"/>
          <w:sz w:val="20"/>
        </w:rPr>
        <w:t> </w:t>
      </w:r>
      <w:r>
        <w:rPr>
          <w:sz w:val="20"/>
        </w:rPr>
        <w:t>Okiomah</w:t>
      </w:r>
      <w:r>
        <w:rPr>
          <w:spacing w:val="-4"/>
          <w:sz w:val="20"/>
        </w:rPr>
        <w:t> </w:t>
      </w:r>
      <w:r>
        <w:rPr>
          <w:sz w:val="20"/>
        </w:rPr>
        <w:t>is</w:t>
      </w:r>
      <w:r>
        <w:rPr>
          <w:spacing w:val="-3"/>
          <w:sz w:val="20"/>
        </w:rPr>
        <w:t> </w:t>
      </w:r>
      <w:r>
        <w:rPr>
          <w:sz w:val="20"/>
        </w:rPr>
        <w:t>doing</w:t>
      </w:r>
      <w:r>
        <w:rPr>
          <w:spacing w:val="-4"/>
          <w:sz w:val="20"/>
        </w:rPr>
        <w:t> </w:t>
      </w:r>
      <w:r>
        <w:rPr>
          <w:sz w:val="20"/>
        </w:rPr>
        <w:t>research</w:t>
      </w:r>
      <w:r>
        <w:rPr>
          <w:spacing w:val="-4"/>
          <w:sz w:val="20"/>
        </w:rPr>
        <w:t> </w:t>
      </w:r>
      <w:r>
        <w:rPr>
          <w:sz w:val="20"/>
        </w:rPr>
        <w:t>on</w:t>
      </w:r>
      <w:r>
        <w:rPr>
          <w:spacing w:val="-4"/>
          <w:sz w:val="20"/>
        </w:rPr>
        <w:t> </w:t>
      </w:r>
      <w:r>
        <w:rPr>
          <w:sz w:val="20"/>
        </w:rPr>
        <w:t>sustainability</w:t>
      </w:r>
      <w:r>
        <w:rPr>
          <w:spacing w:val="-7"/>
          <w:sz w:val="20"/>
        </w:rPr>
        <w:t> </w:t>
      </w:r>
      <w:r>
        <w:rPr>
          <w:sz w:val="20"/>
        </w:rPr>
        <w:t>in</w:t>
      </w:r>
      <w:r>
        <w:rPr>
          <w:spacing w:val="-4"/>
          <w:sz w:val="20"/>
        </w:rPr>
        <w:t> </w:t>
      </w:r>
      <w:r>
        <w:rPr>
          <w:sz w:val="20"/>
        </w:rPr>
        <w:t>the development of housing and agrarian communities in Nigeria.</w:t>
      </w:r>
    </w:p>
    <w:p>
      <w:pPr>
        <w:pStyle w:val="BodyText"/>
        <w:spacing w:before="5"/>
        <w:rPr>
          <w:sz w:val="17"/>
        </w:rPr>
      </w:pPr>
    </w:p>
    <w:p>
      <w:pPr>
        <w:pStyle w:val="ListParagraph"/>
        <w:numPr>
          <w:ilvl w:val="1"/>
          <w:numId w:val="41"/>
        </w:numPr>
        <w:tabs>
          <w:tab w:pos="2312" w:val="left" w:leader="none"/>
        </w:tabs>
        <w:spacing w:line="240" w:lineRule="auto" w:before="0" w:after="0"/>
        <w:ind w:left="2311" w:right="1158" w:hanging="360"/>
        <w:jc w:val="both"/>
        <w:rPr>
          <w:sz w:val="20"/>
        </w:rPr>
      </w:pPr>
      <w:r>
        <w:rPr>
          <w:sz w:val="20"/>
        </w:rPr>
        <w:t>Two</w:t>
      </w:r>
      <w:r>
        <w:rPr>
          <w:spacing w:val="-4"/>
          <w:sz w:val="20"/>
        </w:rPr>
        <w:t> </w:t>
      </w:r>
      <w:r>
        <w:rPr>
          <w:sz w:val="20"/>
        </w:rPr>
        <w:t>faculty</w:t>
      </w:r>
      <w:r>
        <w:rPr>
          <w:spacing w:val="-7"/>
          <w:sz w:val="20"/>
        </w:rPr>
        <w:t> </w:t>
      </w:r>
      <w:r>
        <w:rPr>
          <w:sz w:val="20"/>
        </w:rPr>
        <w:t>members</w:t>
      </w:r>
      <w:r>
        <w:rPr>
          <w:spacing w:val="-3"/>
          <w:sz w:val="20"/>
        </w:rPr>
        <w:t> </w:t>
      </w:r>
      <w:r>
        <w:rPr>
          <w:sz w:val="20"/>
        </w:rPr>
        <w:t>were</w:t>
      </w:r>
      <w:r>
        <w:rPr>
          <w:spacing w:val="-2"/>
          <w:sz w:val="20"/>
        </w:rPr>
        <w:t> </w:t>
      </w:r>
      <w:r>
        <w:rPr>
          <w:sz w:val="20"/>
        </w:rPr>
        <w:t>able</w:t>
      </w:r>
      <w:r>
        <w:rPr>
          <w:spacing w:val="-4"/>
          <w:sz w:val="20"/>
        </w:rPr>
        <w:t> </w:t>
      </w:r>
      <w:r>
        <w:rPr>
          <w:sz w:val="20"/>
        </w:rPr>
        <w:t>to</w:t>
      </w:r>
      <w:r>
        <w:rPr>
          <w:spacing w:val="-2"/>
          <w:sz w:val="20"/>
        </w:rPr>
        <w:t> </w:t>
      </w:r>
      <w:r>
        <w:rPr>
          <w:sz w:val="20"/>
        </w:rPr>
        <w:t>attend</w:t>
      </w:r>
      <w:r>
        <w:rPr>
          <w:spacing w:val="-4"/>
          <w:sz w:val="20"/>
        </w:rPr>
        <w:t> </w:t>
      </w:r>
      <w:r>
        <w:rPr>
          <w:sz w:val="20"/>
        </w:rPr>
        <w:t>the</w:t>
      </w:r>
      <w:r>
        <w:rPr>
          <w:spacing w:val="-4"/>
          <w:sz w:val="20"/>
        </w:rPr>
        <w:t> </w:t>
      </w:r>
      <w:r>
        <w:rPr>
          <w:sz w:val="20"/>
        </w:rPr>
        <w:t>National</w:t>
      </w:r>
      <w:r>
        <w:rPr>
          <w:spacing w:val="-2"/>
          <w:sz w:val="20"/>
        </w:rPr>
        <w:t> </w:t>
      </w:r>
      <w:r>
        <w:rPr>
          <w:sz w:val="20"/>
        </w:rPr>
        <w:t>Organization</w:t>
      </w:r>
      <w:r>
        <w:rPr>
          <w:spacing w:val="-4"/>
          <w:sz w:val="20"/>
        </w:rPr>
        <w:t> </w:t>
      </w:r>
      <w:r>
        <w:rPr>
          <w:sz w:val="20"/>
        </w:rPr>
        <w:t>of</w:t>
      </w:r>
      <w:r>
        <w:rPr>
          <w:spacing w:val="-2"/>
          <w:sz w:val="20"/>
        </w:rPr>
        <w:t> </w:t>
      </w:r>
      <w:r>
        <w:rPr>
          <w:sz w:val="20"/>
        </w:rPr>
        <w:t>Minority Architects</w:t>
      </w:r>
      <w:r>
        <w:rPr>
          <w:spacing w:val="-2"/>
          <w:sz w:val="20"/>
        </w:rPr>
        <w:t> </w:t>
      </w:r>
      <w:r>
        <w:rPr>
          <w:sz w:val="20"/>
        </w:rPr>
        <w:t>annual</w:t>
      </w:r>
      <w:r>
        <w:rPr>
          <w:spacing w:val="-4"/>
          <w:sz w:val="20"/>
        </w:rPr>
        <w:t> </w:t>
      </w:r>
      <w:r>
        <w:rPr>
          <w:sz w:val="20"/>
        </w:rPr>
        <w:t>conference</w:t>
      </w:r>
      <w:r>
        <w:rPr>
          <w:spacing w:val="-3"/>
          <w:sz w:val="20"/>
        </w:rPr>
        <w:t> </w:t>
      </w:r>
      <w:r>
        <w:rPr>
          <w:sz w:val="20"/>
        </w:rPr>
        <w:t>in</w:t>
      </w:r>
      <w:r>
        <w:rPr>
          <w:spacing w:val="-1"/>
          <w:sz w:val="20"/>
        </w:rPr>
        <w:t> </w:t>
      </w:r>
      <w:r>
        <w:rPr>
          <w:sz w:val="20"/>
        </w:rPr>
        <w:t>Atlanta,</w:t>
      </w:r>
      <w:r>
        <w:rPr>
          <w:spacing w:val="-3"/>
          <w:sz w:val="20"/>
        </w:rPr>
        <w:t> </w:t>
      </w:r>
      <w:r>
        <w:rPr>
          <w:sz w:val="20"/>
        </w:rPr>
        <w:t>GA where</w:t>
      </w:r>
      <w:r>
        <w:rPr>
          <w:spacing w:val="-3"/>
          <w:sz w:val="20"/>
        </w:rPr>
        <w:t> </w:t>
      </w:r>
      <w:r>
        <w:rPr>
          <w:sz w:val="20"/>
        </w:rPr>
        <w:t>over</w:t>
      </w:r>
      <w:r>
        <w:rPr>
          <w:spacing w:val="-2"/>
          <w:sz w:val="20"/>
        </w:rPr>
        <w:t> </w:t>
      </w:r>
      <w:r>
        <w:rPr>
          <w:sz w:val="20"/>
        </w:rPr>
        <w:t>15</w:t>
      </w:r>
      <w:r>
        <w:rPr>
          <w:spacing w:val="-1"/>
          <w:sz w:val="20"/>
        </w:rPr>
        <w:t> </w:t>
      </w:r>
      <w:r>
        <w:rPr>
          <w:sz w:val="20"/>
        </w:rPr>
        <w:t>learning</w:t>
      </w:r>
      <w:r>
        <w:rPr>
          <w:spacing w:val="-3"/>
          <w:sz w:val="20"/>
        </w:rPr>
        <w:t> </w:t>
      </w:r>
      <w:r>
        <w:rPr>
          <w:sz w:val="20"/>
        </w:rPr>
        <w:t>units were available from participation in a variety of lectures and seminars.</w:t>
      </w:r>
    </w:p>
    <w:p>
      <w:pPr>
        <w:pStyle w:val="BodyText"/>
        <w:spacing w:before="2"/>
        <w:rPr>
          <w:sz w:val="17"/>
        </w:rPr>
      </w:pPr>
    </w:p>
    <w:p>
      <w:pPr>
        <w:pStyle w:val="ListParagraph"/>
        <w:numPr>
          <w:ilvl w:val="1"/>
          <w:numId w:val="41"/>
        </w:numPr>
        <w:tabs>
          <w:tab w:pos="2312" w:val="left" w:leader="none"/>
        </w:tabs>
        <w:spacing w:line="240" w:lineRule="auto" w:before="1" w:after="0"/>
        <w:ind w:left="2311" w:right="985" w:hanging="360"/>
        <w:jc w:val="both"/>
        <w:rPr>
          <w:sz w:val="20"/>
        </w:rPr>
      </w:pPr>
      <w:r>
        <w:rPr>
          <w:sz w:val="20"/>
        </w:rPr>
        <w:t>We</w:t>
      </w:r>
      <w:r>
        <w:rPr>
          <w:spacing w:val="-3"/>
          <w:sz w:val="20"/>
        </w:rPr>
        <w:t> </w:t>
      </w:r>
      <w:r>
        <w:rPr>
          <w:sz w:val="20"/>
        </w:rPr>
        <w:t>are</w:t>
      </w:r>
      <w:r>
        <w:rPr>
          <w:spacing w:val="-3"/>
          <w:sz w:val="20"/>
        </w:rPr>
        <w:t> </w:t>
      </w:r>
      <w:r>
        <w:rPr>
          <w:sz w:val="20"/>
        </w:rPr>
        <w:t>most proud that Dr. Carmina Sanchez was selected by</w:t>
      </w:r>
      <w:r>
        <w:rPr>
          <w:spacing w:val="-3"/>
          <w:sz w:val="20"/>
        </w:rPr>
        <w:t> </w:t>
      </w:r>
      <w:r>
        <w:rPr>
          <w:sz w:val="20"/>
        </w:rPr>
        <w:t>the ACSA as the Outstanding</w:t>
      </w:r>
      <w:r>
        <w:rPr>
          <w:spacing w:val="-3"/>
          <w:sz w:val="20"/>
        </w:rPr>
        <w:t> </w:t>
      </w:r>
      <w:r>
        <w:rPr>
          <w:sz w:val="20"/>
        </w:rPr>
        <w:t>Architectural</w:t>
      </w:r>
      <w:r>
        <w:rPr>
          <w:spacing w:val="-6"/>
          <w:sz w:val="20"/>
        </w:rPr>
        <w:t> </w:t>
      </w:r>
      <w:r>
        <w:rPr>
          <w:sz w:val="20"/>
        </w:rPr>
        <w:t>Educator</w:t>
      </w:r>
      <w:r>
        <w:rPr>
          <w:spacing w:val="-4"/>
          <w:sz w:val="20"/>
        </w:rPr>
        <w:t> </w:t>
      </w:r>
      <w:r>
        <w:rPr>
          <w:sz w:val="20"/>
        </w:rPr>
        <w:t>of</w:t>
      </w:r>
      <w:r>
        <w:rPr>
          <w:spacing w:val="-3"/>
          <w:sz w:val="20"/>
        </w:rPr>
        <w:t> </w:t>
      </w:r>
      <w:r>
        <w:rPr>
          <w:sz w:val="20"/>
        </w:rPr>
        <w:t>the</w:t>
      </w:r>
      <w:r>
        <w:rPr>
          <w:spacing w:val="-3"/>
          <w:sz w:val="20"/>
        </w:rPr>
        <w:t> </w:t>
      </w:r>
      <w:r>
        <w:rPr>
          <w:sz w:val="20"/>
        </w:rPr>
        <w:t>Year,</w:t>
      </w:r>
      <w:r>
        <w:rPr>
          <w:spacing w:val="-5"/>
          <w:sz w:val="20"/>
        </w:rPr>
        <w:t> </w:t>
      </w:r>
      <w:r>
        <w:rPr>
          <w:sz w:val="20"/>
        </w:rPr>
        <w:t>for</w:t>
      </w:r>
      <w:r>
        <w:rPr>
          <w:spacing w:val="-2"/>
          <w:sz w:val="20"/>
        </w:rPr>
        <w:t> </w:t>
      </w:r>
      <w:r>
        <w:rPr>
          <w:sz w:val="20"/>
        </w:rPr>
        <w:t>which</w:t>
      </w:r>
      <w:r>
        <w:rPr>
          <w:spacing w:val="-5"/>
          <w:sz w:val="20"/>
        </w:rPr>
        <w:t> </w:t>
      </w:r>
      <w:r>
        <w:rPr>
          <w:sz w:val="20"/>
        </w:rPr>
        <w:t>she</w:t>
      </w:r>
      <w:r>
        <w:rPr>
          <w:spacing w:val="-5"/>
          <w:sz w:val="20"/>
        </w:rPr>
        <w:t> </w:t>
      </w:r>
      <w:r>
        <w:rPr>
          <w:sz w:val="20"/>
        </w:rPr>
        <w:t>gave</w:t>
      </w:r>
      <w:r>
        <w:rPr>
          <w:spacing w:val="-3"/>
          <w:sz w:val="20"/>
        </w:rPr>
        <w:t> </w:t>
      </w:r>
      <w:r>
        <w:rPr>
          <w:sz w:val="20"/>
        </w:rPr>
        <w:t>a</w:t>
      </w:r>
      <w:r>
        <w:rPr>
          <w:spacing w:val="-3"/>
          <w:sz w:val="20"/>
        </w:rPr>
        <w:t> </w:t>
      </w:r>
      <w:r>
        <w:rPr>
          <w:sz w:val="20"/>
        </w:rPr>
        <w:t>lecture</w:t>
      </w:r>
      <w:r>
        <w:rPr>
          <w:spacing w:val="-3"/>
          <w:sz w:val="20"/>
        </w:rPr>
        <w:t> </w:t>
      </w:r>
      <w:r>
        <w:rPr>
          <w:sz w:val="20"/>
        </w:rPr>
        <w:t>and participated in the Annual Conference in Montreal, Quebec, Canada.</w:t>
      </w:r>
    </w:p>
    <w:p>
      <w:pPr>
        <w:pStyle w:val="BodyText"/>
        <w:spacing w:before="5"/>
        <w:rPr>
          <w:sz w:val="17"/>
        </w:rPr>
      </w:pPr>
    </w:p>
    <w:p>
      <w:pPr>
        <w:pStyle w:val="ListParagraph"/>
        <w:numPr>
          <w:ilvl w:val="1"/>
          <w:numId w:val="41"/>
        </w:numPr>
        <w:tabs>
          <w:tab w:pos="2312" w:val="left" w:leader="none"/>
        </w:tabs>
        <w:spacing w:line="240" w:lineRule="auto" w:before="0" w:after="0"/>
        <w:ind w:left="2311" w:right="670" w:hanging="360"/>
        <w:jc w:val="left"/>
        <w:rPr>
          <w:sz w:val="20"/>
        </w:rPr>
      </w:pPr>
      <w:r>
        <w:rPr>
          <w:sz w:val="20"/>
        </w:rPr>
        <w:t>Dr. Wesley Henderson was a co-principal investigator of a study grant with the Robert</w:t>
      </w:r>
      <w:r>
        <w:rPr>
          <w:spacing w:val="-5"/>
          <w:sz w:val="20"/>
        </w:rPr>
        <w:t> </w:t>
      </w:r>
      <w:r>
        <w:rPr>
          <w:sz w:val="20"/>
        </w:rPr>
        <w:t>Taylor</w:t>
      </w:r>
      <w:r>
        <w:rPr>
          <w:spacing w:val="-2"/>
          <w:sz w:val="20"/>
        </w:rPr>
        <w:t> </w:t>
      </w:r>
      <w:r>
        <w:rPr>
          <w:sz w:val="20"/>
        </w:rPr>
        <w:t>Society</w:t>
      </w:r>
      <w:r>
        <w:rPr>
          <w:spacing w:val="-6"/>
          <w:sz w:val="20"/>
        </w:rPr>
        <w:t> </w:t>
      </w:r>
      <w:r>
        <w:rPr>
          <w:sz w:val="20"/>
        </w:rPr>
        <w:t>at</w:t>
      </w:r>
      <w:r>
        <w:rPr>
          <w:spacing w:val="-3"/>
          <w:sz w:val="20"/>
        </w:rPr>
        <w:t> </w:t>
      </w:r>
      <w:r>
        <w:rPr>
          <w:sz w:val="20"/>
        </w:rPr>
        <w:t>MIT</w:t>
      </w:r>
      <w:r>
        <w:rPr>
          <w:spacing w:val="-2"/>
          <w:sz w:val="20"/>
        </w:rPr>
        <w:t> </w:t>
      </w:r>
      <w:r>
        <w:rPr>
          <w:sz w:val="20"/>
        </w:rPr>
        <w:t>to</w:t>
      </w:r>
      <w:r>
        <w:rPr>
          <w:spacing w:val="-5"/>
          <w:sz w:val="20"/>
        </w:rPr>
        <w:t> </w:t>
      </w:r>
      <w:r>
        <w:rPr>
          <w:sz w:val="20"/>
        </w:rPr>
        <w:t>develop</w:t>
      </w:r>
      <w:r>
        <w:rPr>
          <w:spacing w:val="-5"/>
          <w:sz w:val="20"/>
        </w:rPr>
        <w:t> </w:t>
      </w:r>
      <w:r>
        <w:rPr>
          <w:sz w:val="20"/>
        </w:rPr>
        <w:t>a</w:t>
      </w:r>
      <w:r>
        <w:rPr>
          <w:spacing w:val="-3"/>
          <w:sz w:val="20"/>
        </w:rPr>
        <w:t> </w:t>
      </w:r>
      <w:r>
        <w:rPr>
          <w:sz w:val="20"/>
        </w:rPr>
        <w:t>digital</w:t>
      </w:r>
      <w:r>
        <w:rPr>
          <w:spacing w:val="-4"/>
          <w:sz w:val="20"/>
        </w:rPr>
        <w:t> </w:t>
      </w:r>
      <w:r>
        <w:rPr>
          <w:sz w:val="20"/>
        </w:rPr>
        <w:t>documentation</w:t>
      </w:r>
      <w:r>
        <w:rPr>
          <w:spacing w:val="-5"/>
          <w:sz w:val="20"/>
        </w:rPr>
        <w:t> </w:t>
      </w:r>
      <w:r>
        <w:rPr>
          <w:sz w:val="20"/>
        </w:rPr>
        <w:t>of</w:t>
      </w:r>
      <w:r>
        <w:rPr>
          <w:spacing w:val="-3"/>
          <w:sz w:val="20"/>
        </w:rPr>
        <w:t> </w:t>
      </w:r>
      <w:r>
        <w:rPr>
          <w:sz w:val="20"/>
        </w:rPr>
        <w:t>African</w:t>
      </w:r>
      <w:r>
        <w:rPr>
          <w:spacing w:val="-3"/>
          <w:sz w:val="20"/>
        </w:rPr>
        <w:t> </w:t>
      </w:r>
      <w:r>
        <w:rPr>
          <w:sz w:val="20"/>
        </w:rPr>
        <w:t>American Architects practicing in the United States.</w:t>
      </w:r>
    </w:p>
    <w:p>
      <w:pPr>
        <w:spacing w:after="0" w:line="240" w:lineRule="auto"/>
        <w:jc w:val="left"/>
        <w:rPr>
          <w:sz w:val="20"/>
        </w:rPr>
        <w:sectPr>
          <w:headerReference w:type="default" r:id="rId163"/>
          <w:footerReference w:type="default" r:id="rId164"/>
          <w:pgSz w:w="12240" w:h="15840"/>
          <w:pgMar w:header="0" w:footer="974" w:top="1360" w:bottom="1160" w:left="1000" w:right="820"/>
        </w:sectPr>
      </w:pPr>
    </w:p>
    <w:p>
      <w:pPr>
        <w:pStyle w:val="ListParagraph"/>
        <w:numPr>
          <w:ilvl w:val="1"/>
          <w:numId w:val="41"/>
        </w:numPr>
        <w:tabs>
          <w:tab w:pos="2312" w:val="left" w:leader="none"/>
        </w:tabs>
        <w:spacing w:line="240" w:lineRule="auto" w:before="79" w:after="0"/>
        <w:ind w:left="2311" w:right="726" w:hanging="360"/>
        <w:jc w:val="left"/>
        <w:rPr>
          <w:sz w:val="20"/>
        </w:rPr>
      </w:pPr>
      <w:r>
        <w:rPr>
          <w:sz w:val="20"/>
        </w:rPr>
        <w:t>Robert</w:t>
      </w:r>
      <w:r>
        <w:rPr>
          <w:spacing w:val="-3"/>
          <w:sz w:val="20"/>
        </w:rPr>
        <w:t> </w:t>
      </w:r>
      <w:r>
        <w:rPr>
          <w:sz w:val="20"/>
        </w:rPr>
        <w:t>Easter</w:t>
      </w:r>
      <w:r>
        <w:rPr>
          <w:spacing w:val="-2"/>
          <w:sz w:val="20"/>
        </w:rPr>
        <w:t> </w:t>
      </w:r>
      <w:r>
        <w:rPr>
          <w:sz w:val="20"/>
        </w:rPr>
        <w:t>and</w:t>
      </w:r>
      <w:r>
        <w:rPr>
          <w:spacing w:val="-7"/>
          <w:sz w:val="20"/>
        </w:rPr>
        <w:t> </w:t>
      </w:r>
      <w:r>
        <w:rPr>
          <w:sz w:val="20"/>
        </w:rPr>
        <w:t>Wesley</w:t>
      </w:r>
      <w:r>
        <w:rPr>
          <w:spacing w:val="-5"/>
          <w:sz w:val="20"/>
        </w:rPr>
        <w:t> </w:t>
      </w:r>
      <w:r>
        <w:rPr>
          <w:sz w:val="20"/>
        </w:rPr>
        <w:t>Henderson</w:t>
      </w:r>
      <w:r>
        <w:rPr>
          <w:spacing w:val="-5"/>
          <w:sz w:val="20"/>
        </w:rPr>
        <w:t> </w:t>
      </w:r>
      <w:r>
        <w:rPr>
          <w:sz w:val="20"/>
        </w:rPr>
        <w:t>have</w:t>
      </w:r>
      <w:r>
        <w:rPr>
          <w:spacing w:val="-5"/>
          <w:sz w:val="20"/>
        </w:rPr>
        <w:t> </w:t>
      </w:r>
      <w:r>
        <w:rPr>
          <w:sz w:val="20"/>
        </w:rPr>
        <w:t>attended</w:t>
      </w:r>
      <w:r>
        <w:rPr>
          <w:spacing w:val="-5"/>
          <w:sz w:val="20"/>
        </w:rPr>
        <w:t> </w:t>
      </w:r>
      <w:r>
        <w:rPr>
          <w:sz w:val="20"/>
        </w:rPr>
        <w:t>the</w:t>
      </w:r>
      <w:r>
        <w:rPr>
          <w:spacing w:val="-5"/>
          <w:sz w:val="20"/>
        </w:rPr>
        <w:t> </w:t>
      </w:r>
      <w:r>
        <w:rPr>
          <w:sz w:val="20"/>
        </w:rPr>
        <w:t>annual</w:t>
      </w:r>
      <w:r>
        <w:rPr>
          <w:spacing w:val="-5"/>
          <w:sz w:val="20"/>
        </w:rPr>
        <w:t> </w:t>
      </w:r>
      <w:r>
        <w:rPr>
          <w:sz w:val="20"/>
        </w:rPr>
        <w:t>conferences</w:t>
      </w:r>
      <w:r>
        <w:rPr>
          <w:spacing w:val="-2"/>
          <w:sz w:val="20"/>
        </w:rPr>
        <w:t> </w:t>
      </w:r>
      <w:r>
        <w:rPr>
          <w:sz w:val="20"/>
        </w:rPr>
        <w:t>of</w:t>
      </w:r>
      <w:r>
        <w:rPr>
          <w:spacing w:val="-3"/>
          <w:sz w:val="20"/>
        </w:rPr>
        <w:t> </w:t>
      </w:r>
      <w:r>
        <w:rPr>
          <w:sz w:val="20"/>
        </w:rPr>
        <w:t>the National Organization of Minority Architects (NOMA) in 2010 through 2013. Each year, they have also taken students with them. In 2011, the department received a grant from YBF, a website devoted to African American celebrity news, to send 30 students to the conference in Atlanta, GA.</w:t>
      </w:r>
    </w:p>
    <w:p>
      <w:pPr>
        <w:pStyle w:val="BodyText"/>
        <w:spacing w:before="4"/>
        <w:rPr>
          <w:sz w:val="17"/>
        </w:rPr>
      </w:pPr>
    </w:p>
    <w:p>
      <w:pPr>
        <w:pStyle w:val="ListParagraph"/>
        <w:numPr>
          <w:ilvl w:val="1"/>
          <w:numId w:val="41"/>
        </w:numPr>
        <w:tabs>
          <w:tab w:pos="2312" w:val="left" w:leader="none"/>
        </w:tabs>
        <w:spacing w:line="240" w:lineRule="auto" w:before="0" w:after="0"/>
        <w:ind w:left="2311" w:right="651" w:hanging="360"/>
        <w:jc w:val="left"/>
        <w:rPr>
          <w:sz w:val="20"/>
        </w:rPr>
      </w:pPr>
      <w:r>
        <w:rPr>
          <w:sz w:val="20"/>
        </w:rPr>
        <w:t>Our students participated in a design competition at the AIA Convention in Washington,</w:t>
      </w:r>
      <w:r>
        <w:rPr>
          <w:spacing w:val="-3"/>
          <w:sz w:val="20"/>
        </w:rPr>
        <w:t> </w:t>
      </w:r>
      <w:r>
        <w:rPr>
          <w:sz w:val="20"/>
        </w:rPr>
        <w:t>DC</w:t>
      </w:r>
      <w:r>
        <w:rPr>
          <w:spacing w:val="-5"/>
          <w:sz w:val="20"/>
        </w:rPr>
        <w:t> </w:t>
      </w:r>
      <w:r>
        <w:rPr>
          <w:sz w:val="20"/>
        </w:rPr>
        <w:t>along</w:t>
      </w:r>
      <w:r>
        <w:rPr>
          <w:spacing w:val="-3"/>
          <w:sz w:val="20"/>
        </w:rPr>
        <w:t> </w:t>
      </w:r>
      <w:r>
        <w:rPr>
          <w:sz w:val="20"/>
        </w:rPr>
        <w:t>with</w:t>
      </w:r>
      <w:r>
        <w:rPr>
          <w:spacing w:val="-3"/>
          <w:sz w:val="20"/>
        </w:rPr>
        <w:t> </w:t>
      </w:r>
      <w:r>
        <w:rPr>
          <w:sz w:val="20"/>
        </w:rPr>
        <w:t>the</w:t>
      </w:r>
      <w:r>
        <w:rPr>
          <w:spacing w:val="-5"/>
          <w:sz w:val="20"/>
        </w:rPr>
        <w:t> </w:t>
      </w:r>
      <w:r>
        <w:rPr>
          <w:sz w:val="20"/>
        </w:rPr>
        <w:t>regional</w:t>
      </w:r>
      <w:r>
        <w:rPr>
          <w:spacing w:val="-6"/>
          <w:sz w:val="20"/>
        </w:rPr>
        <w:t> </w:t>
      </w:r>
      <w:r>
        <w:rPr>
          <w:sz w:val="20"/>
        </w:rPr>
        <w:t>schools</w:t>
      </w:r>
      <w:r>
        <w:rPr>
          <w:spacing w:val="-4"/>
          <w:sz w:val="20"/>
        </w:rPr>
        <w:t> </w:t>
      </w:r>
      <w:r>
        <w:rPr>
          <w:sz w:val="20"/>
        </w:rPr>
        <w:t>of</w:t>
      </w:r>
      <w:r>
        <w:rPr>
          <w:spacing w:val="-3"/>
          <w:sz w:val="20"/>
        </w:rPr>
        <w:t> </w:t>
      </w:r>
      <w:r>
        <w:rPr>
          <w:sz w:val="20"/>
        </w:rPr>
        <w:t>architecture.</w:t>
      </w:r>
      <w:r>
        <w:rPr>
          <w:spacing w:val="-5"/>
          <w:sz w:val="20"/>
        </w:rPr>
        <w:t> </w:t>
      </w:r>
      <w:r>
        <w:rPr>
          <w:sz w:val="20"/>
        </w:rPr>
        <w:t>The</w:t>
      </w:r>
      <w:r>
        <w:rPr>
          <w:spacing w:val="-5"/>
          <w:sz w:val="20"/>
        </w:rPr>
        <w:t> </w:t>
      </w:r>
      <w:r>
        <w:rPr>
          <w:sz w:val="20"/>
        </w:rPr>
        <w:t>program,</w:t>
      </w:r>
      <w:r>
        <w:rPr>
          <w:spacing w:val="-5"/>
          <w:sz w:val="20"/>
        </w:rPr>
        <w:t> </w:t>
      </w:r>
      <w:r>
        <w:rPr>
          <w:sz w:val="20"/>
        </w:rPr>
        <w:t>called 30x30x30 required them to design a prototype workstation of the future that was no more</w:t>
      </w:r>
      <w:r>
        <w:rPr>
          <w:spacing w:val="-3"/>
          <w:sz w:val="20"/>
        </w:rPr>
        <w:t> </w:t>
      </w:r>
      <w:r>
        <w:rPr>
          <w:sz w:val="20"/>
        </w:rPr>
        <w:t>than</w:t>
      </w:r>
      <w:r>
        <w:rPr>
          <w:spacing w:val="-3"/>
          <w:sz w:val="20"/>
        </w:rPr>
        <w:t> </w:t>
      </w:r>
      <w:r>
        <w:rPr>
          <w:sz w:val="20"/>
        </w:rPr>
        <w:t>30</w:t>
      </w:r>
      <w:r>
        <w:rPr>
          <w:spacing w:val="-3"/>
          <w:sz w:val="20"/>
        </w:rPr>
        <w:t> </w:t>
      </w:r>
      <w:r>
        <w:rPr>
          <w:sz w:val="20"/>
        </w:rPr>
        <w:t>square</w:t>
      </w:r>
      <w:r>
        <w:rPr>
          <w:spacing w:val="-3"/>
          <w:sz w:val="20"/>
        </w:rPr>
        <w:t> </w:t>
      </w:r>
      <w:r>
        <w:rPr>
          <w:sz w:val="20"/>
        </w:rPr>
        <w:t>feet,</w:t>
      </w:r>
      <w:r>
        <w:rPr>
          <w:spacing w:val="-1"/>
          <w:sz w:val="20"/>
        </w:rPr>
        <w:t> </w:t>
      </w:r>
      <w:r>
        <w:rPr>
          <w:sz w:val="20"/>
        </w:rPr>
        <w:t>consisted</w:t>
      </w:r>
      <w:r>
        <w:rPr>
          <w:spacing w:val="-1"/>
          <w:sz w:val="20"/>
        </w:rPr>
        <w:t> </w:t>
      </w:r>
      <w:r>
        <w:rPr>
          <w:sz w:val="20"/>
        </w:rPr>
        <w:t>of</w:t>
      </w:r>
      <w:r>
        <w:rPr>
          <w:spacing w:val="-1"/>
          <w:sz w:val="20"/>
        </w:rPr>
        <w:t> </w:t>
      </w:r>
      <w:r>
        <w:rPr>
          <w:sz w:val="20"/>
        </w:rPr>
        <w:t>materials</w:t>
      </w:r>
      <w:r>
        <w:rPr>
          <w:spacing w:val="-2"/>
          <w:sz w:val="20"/>
        </w:rPr>
        <w:t> </w:t>
      </w:r>
      <w:r>
        <w:rPr>
          <w:sz w:val="20"/>
        </w:rPr>
        <w:t>purchased</w:t>
      </w:r>
      <w:r>
        <w:rPr>
          <w:spacing w:val="-3"/>
          <w:sz w:val="20"/>
        </w:rPr>
        <w:t> </w:t>
      </w:r>
      <w:r>
        <w:rPr>
          <w:sz w:val="20"/>
        </w:rPr>
        <w:t>or</w:t>
      </w:r>
      <w:r>
        <w:rPr>
          <w:spacing w:val="-2"/>
          <w:sz w:val="20"/>
        </w:rPr>
        <w:t> </w:t>
      </w:r>
      <w:r>
        <w:rPr>
          <w:sz w:val="20"/>
        </w:rPr>
        <w:t>scavengered</w:t>
      </w:r>
      <w:r>
        <w:rPr>
          <w:spacing w:val="-3"/>
          <w:sz w:val="20"/>
        </w:rPr>
        <w:t> </w:t>
      </w:r>
      <w:r>
        <w:rPr>
          <w:sz w:val="20"/>
        </w:rPr>
        <w:t>from</w:t>
      </w:r>
      <w:r>
        <w:rPr>
          <w:spacing w:val="-1"/>
          <w:sz w:val="20"/>
        </w:rPr>
        <w:t> </w:t>
      </w:r>
      <w:r>
        <w:rPr>
          <w:sz w:val="20"/>
        </w:rPr>
        <w:t>no further than 30 miles and cost no more than $30. Our student’s submission won the “People’s Choice” award.</w:t>
      </w:r>
    </w:p>
    <w:p>
      <w:pPr>
        <w:pStyle w:val="BodyText"/>
        <w:spacing w:before="4"/>
        <w:rPr>
          <w:sz w:val="17"/>
        </w:rPr>
      </w:pPr>
    </w:p>
    <w:p>
      <w:pPr>
        <w:pStyle w:val="ListParagraph"/>
        <w:numPr>
          <w:ilvl w:val="1"/>
          <w:numId w:val="41"/>
        </w:numPr>
        <w:tabs>
          <w:tab w:pos="2312" w:val="left" w:leader="none"/>
        </w:tabs>
        <w:spacing w:line="240" w:lineRule="auto" w:before="0" w:after="0"/>
        <w:ind w:left="2311" w:right="679" w:hanging="361"/>
        <w:jc w:val="left"/>
        <w:rPr>
          <w:sz w:val="20"/>
        </w:rPr>
      </w:pPr>
      <w:r>
        <w:rPr>
          <w:sz w:val="20"/>
        </w:rPr>
        <w:t>All</w:t>
      </w:r>
      <w:r>
        <w:rPr>
          <w:spacing w:val="-1"/>
          <w:sz w:val="20"/>
        </w:rPr>
        <w:t> </w:t>
      </w:r>
      <w:r>
        <w:rPr>
          <w:sz w:val="20"/>
        </w:rPr>
        <w:t>faculty</w:t>
      </w:r>
      <w:r>
        <w:rPr>
          <w:spacing w:val="-3"/>
          <w:sz w:val="20"/>
        </w:rPr>
        <w:t> </w:t>
      </w:r>
      <w:r>
        <w:rPr>
          <w:sz w:val="20"/>
        </w:rPr>
        <w:t>and students had the opportunity</w:t>
      </w:r>
      <w:r>
        <w:rPr>
          <w:spacing w:val="-3"/>
          <w:sz w:val="20"/>
        </w:rPr>
        <w:t> </w:t>
      </w:r>
      <w:r>
        <w:rPr>
          <w:sz w:val="20"/>
        </w:rPr>
        <w:t>to participate in the regional</w:t>
      </w:r>
      <w:r>
        <w:rPr>
          <w:spacing w:val="-1"/>
          <w:sz w:val="20"/>
        </w:rPr>
        <w:t> </w:t>
      </w:r>
      <w:r>
        <w:rPr>
          <w:sz w:val="20"/>
        </w:rPr>
        <w:t>conference of</w:t>
      </w:r>
      <w:r>
        <w:rPr>
          <w:spacing w:val="-3"/>
          <w:sz w:val="20"/>
        </w:rPr>
        <w:t> </w:t>
      </w:r>
      <w:r>
        <w:rPr>
          <w:sz w:val="20"/>
        </w:rPr>
        <w:t>the</w:t>
      </w:r>
      <w:r>
        <w:rPr>
          <w:spacing w:val="-5"/>
          <w:sz w:val="20"/>
        </w:rPr>
        <w:t> </w:t>
      </w:r>
      <w:r>
        <w:rPr>
          <w:sz w:val="20"/>
        </w:rPr>
        <w:t>American</w:t>
      </w:r>
      <w:r>
        <w:rPr>
          <w:spacing w:val="-5"/>
          <w:sz w:val="20"/>
        </w:rPr>
        <w:t> </w:t>
      </w:r>
      <w:r>
        <w:rPr>
          <w:sz w:val="20"/>
        </w:rPr>
        <w:t>Institute</w:t>
      </w:r>
      <w:r>
        <w:rPr>
          <w:spacing w:val="-5"/>
          <w:sz w:val="20"/>
        </w:rPr>
        <w:t> </w:t>
      </w:r>
      <w:r>
        <w:rPr>
          <w:sz w:val="20"/>
        </w:rPr>
        <w:t>of</w:t>
      </w:r>
      <w:r>
        <w:rPr>
          <w:spacing w:val="-3"/>
          <w:sz w:val="20"/>
        </w:rPr>
        <w:t> </w:t>
      </w:r>
      <w:r>
        <w:rPr>
          <w:sz w:val="20"/>
        </w:rPr>
        <w:t>Architects</w:t>
      </w:r>
      <w:r>
        <w:rPr>
          <w:spacing w:val="-4"/>
          <w:sz w:val="20"/>
        </w:rPr>
        <w:t> </w:t>
      </w:r>
      <w:r>
        <w:rPr>
          <w:sz w:val="20"/>
        </w:rPr>
        <w:t>(Architecture</w:t>
      </w:r>
      <w:r>
        <w:rPr>
          <w:spacing w:val="-3"/>
          <w:sz w:val="20"/>
        </w:rPr>
        <w:t> </w:t>
      </w:r>
      <w:r>
        <w:rPr>
          <w:sz w:val="20"/>
        </w:rPr>
        <w:t>Exchange</w:t>
      </w:r>
      <w:r>
        <w:rPr>
          <w:spacing w:val="-3"/>
          <w:sz w:val="20"/>
        </w:rPr>
        <w:t> </w:t>
      </w:r>
      <w:r>
        <w:rPr>
          <w:sz w:val="20"/>
        </w:rPr>
        <w:t>–</w:t>
      </w:r>
      <w:r>
        <w:rPr>
          <w:spacing w:val="-1"/>
          <w:sz w:val="20"/>
        </w:rPr>
        <w:t> </w:t>
      </w:r>
      <w:r>
        <w:rPr>
          <w:sz w:val="20"/>
        </w:rPr>
        <w:t>East),</w:t>
      </w:r>
      <w:r>
        <w:rPr>
          <w:spacing w:val="-5"/>
          <w:sz w:val="20"/>
        </w:rPr>
        <w:t> </w:t>
      </w:r>
      <w:r>
        <w:rPr>
          <w:sz w:val="20"/>
        </w:rPr>
        <w:t>held</w:t>
      </w:r>
      <w:r>
        <w:rPr>
          <w:spacing w:val="-3"/>
          <w:sz w:val="20"/>
        </w:rPr>
        <w:t> </w:t>
      </w:r>
      <w:r>
        <w:rPr>
          <w:sz w:val="20"/>
        </w:rPr>
        <w:t>annually in Richmond, Virginia. The Virginia Society of the AIA allows our program to attend for one day at no expense to the participants (both faculty and students).</w:t>
      </w:r>
    </w:p>
    <w:p>
      <w:pPr>
        <w:pStyle w:val="BodyText"/>
        <w:spacing w:before="6"/>
        <w:rPr>
          <w:sz w:val="17"/>
        </w:rPr>
      </w:pPr>
    </w:p>
    <w:p>
      <w:pPr>
        <w:pStyle w:val="ListParagraph"/>
        <w:numPr>
          <w:ilvl w:val="1"/>
          <w:numId w:val="41"/>
        </w:numPr>
        <w:tabs>
          <w:tab w:pos="2313" w:val="left" w:leader="none"/>
        </w:tabs>
        <w:spacing w:line="240" w:lineRule="auto" w:before="0" w:after="0"/>
        <w:ind w:left="2312" w:right="658" w:hanging="361"/>
        <w:jc w:val="left"/>
        <w:rPr>
          <w:sz w:val="20"/>
        </w:rPr>
      </w:pPr>
      <w:r>
        <w:rPr>
          <w:sz w:val="20"/>
        </w:rPr>
        <w:t>We</w:t>
      </w:r>
      <w:r>
        <w:rPr>
          <w:spacing w:val="-2"/>
          <w:sz w:val="20"/>
        </w:rPr>
        <w:t> </w:t>
      </w:r>
      <w:r>
        <w:rPr>
          <w:sz w:val="20"/>
        </w:rPr>
        <w:t>are collaborating with the accredited programs at the other six Historically Black colleges and Universities (HBCU) in a variety of programs. This year, we traveled with Howard University and Morgan State University to the NOMA conference. Additionally, we sponsored and planned the first two annual HBCU Architecture Student Conferences, the first held at Howard, and the second held here at Hampton</w:t>
      </w:r>
      <w:r>
        <w:rPr>
          <w:spacing w:val="-4"/>
          <w:sz w:val="20"/>
        </w:rPr>
        <w:t> </w:t>
      </w:r>
      <w:r>
        <w:rPr>
          <w:sz w:val="20"/>
        </w:rPr>
        <w:t>University.</w:t>
      </w:r>
      <w:r>
        <w:rPr>
          <w:spacing w:val="-2"/>
          <w:sz w:val="20"/>
        </w:rPr>
        <w:t> </w:t>
      </w:r>
      <w:r>
        <w:rPr>
          <w:sz w:val="20"/>
        </w:rPr>
        <w:t>43</w:t>
      </w:r>
      <w:r>
        <w:rPr>
          <w:spacing w:val="-2"/>
          <w:sz w:val="20"/>
        </w:rPr>
        <w:t> </w:t>
      </w:r>
      <w:r>
        <w:rPr>
          <w:sz w:val="20"/>
        </w:rPr>
        <w:t>of</w:t>
      </w:r>
      <w:r>
        <w:rPr>
          <w:spacing w:val="-2"/>
          <w:sz w:val="20"/>
        </w:rPr>
        <w:t> </w:t>
      </w:r>
      <w:r>
        <w:rPr>
          <w:sz w:val="20"/>
        </w:rPr>
        <w:t>our</w:t>
      </w:r>
      <w:r>
        <w:rPr>
          <w:spacing w:val="-3"/>
          <w:sz w:val="20"/>
        </w:rPr>
        <w:t> </w:t>
      </w:r>
      <w:r>
        <w:rPr>
          <w:sz w:val="20"/>
        </w:rPr>
        <w:t>students,</w:t>
      </w:r>
      <w:r>
        <w:rPr>
          <w:spacing w:val="-4"/>
          <w:sz w:val="20"/>
        </w:rPr>
        <w:t> </w:t>
      </w:r>
      <w:r>
        <w:rPr>
          <w:sz w:val="20"/>
        </w:rPr>
        <w:t>along</w:t>
      </w:r>
      <w:r>
        <w:rPr>
          <w:spacing w:val="-2"/>
          <w:sz w:val="20"/>
        </w:rPr>
        <w:t> </w:t>
      </w:r>
      <w:r>
        <w:rPr>
          <w:sz w:val="20"/>
        </w:rPr>
        <w:t>with</w:t>
      </w:r>
      <w:r>
        <w:rPr>
          <w:spacing w:val="-2"/>
          <w:sz w:val="20"/>
        </w:rPr>
        <w:t> </w:t>
      </w:r>
      <w:r>
        <w:rPr>
          <w:sz w:val="20"/>
        </w:rPr>
        <w:t>two</w:t>
      </w:r>
      <w:r>
        <w:rPr>
          <w:spacing w:val="-4"/>
          <w:sz w:val="20"/>
        </w:rPr>
        <w:t> </w:t>
      </w:r>
      <w:r>
        <w:rPr>
          <w:sz w:val="20"/>
        </w:rPr>
        <w:t>faculty</w:t>
      </w:r>
      <w:r>
        <w:rPr>
          <w:spacing w:val="-7"/>
          <w:sz w:val="20"/>
        </w:rPr>
        <w:t> </w:t>
      </w:r>
      <w:r>
        <w:rPr>
          <w:sz w:val="20"/>
        </w:rPr>
        <w:t>members,</w:t>
      </w:r>
      <w:r>
        <w:rPr>
          <w:spacing w:val="-4"/>
          <w:sz w:val="20"/>
        </w:rPr>
        <w:t> </w:t>
      </w:r>
      <w:r>
        <w:rPr>
          <w:sz w:val="20"/>
        </w:rPr>
        <w:t>travelled</w:t>
      </w:r>
      <w:r>
        <w:rPr>
          <w:spacing w:val="-3"/>
          <w:sz w:val="20"/>
        </w:rPr>
        <w:t> </w:t>
      </w:r>
      <w:r>
        <w:rPr>
          <w:sz w:val="20"/>
        </w:rPr>
        <w:t>to the third annual event, held at Florida A&amp;M University.</w:t>
      </w:r>
    </w:p>
    <w:p>
      <w:pPr>
        <w:pStyle w:val="BodyText"/>
        <w:spacing w:before="5"/>
        <w:rPr>
          <w:sz w:val="17"/>
        </w:rPr>
      </w:pPr>
    </w:p>
    <w:p>
      <w:pPr>
        <w:pStyle w:val="ListParagraph"/>
        <w:numPr>
          <w:ilvl w:val="1"/>
          <w:numId w:val="41"/>
        </w:numPr>
        <w:tabs>
          <w:tab w:pos="2313" w:val="left" w:leader="none"/>
        </w:tabs>
        <w:spacing w:line="240" w:lineRule="auto" w:before="0" w:after="0"/>
        <w:ind w:left="2312" w:right="1051" w:hanging="361"/>
        <w:jc w:val="left"/>
        <w:rPr>
          <w:sz w:val="20"/>
        </w:rPr>
      </w:pPr>
      <w:r>
        <w:rPr>
          <w:sz w:val="20"/>
        </w:rPr>
        <w:t>Our program has joined with Virginia Tech to propose a planning effort for Ft. Monroe,</w:t>
      </w:r>
      <w:r>
        <w:rPr>
          <w:spacing w:val="-4"/>
          <w:sz w:val="20"/>
        </w:rPr>
        <w:t> </w:t>
      </w:r>
      <w:r>
        <w:rPr>
          <w:sz w:val="20"/>
        </w:rPr>
        <w:t>a</w:t>
      </w:r>
      <w:r>
        <w:rPr>
          <w:spacing w:val="-3"/>
          <w:sz w:val="20"/>
        </w:rPr>
        <w:t> </w:t>
      </w:r>
      <w:r>
        <w:rPr>
          <w:sz w:val="20"/>
        </w:rPr>
        <w:t>historic</w:t>
      </w:r>
      <w:r>
        <w:rPr>
          <w:spacing w:val="-3"/>
          <w:sz w:val="20"/>
        </w:rPr>
        <w:t> </w:t>
      </w:r>
      <w:r>
        <w:rPr>
          <w:sz w:val="20"/>
        </w:rPr>
        <w:t>army</w:t>
      </w:r>
      <w:r>
        <w:rPr>
          <w:spacing w:val="-10"/>
          <w:sz w:val="20"/>
        </w:rPr>
        <w:t> </w:t>
      </w:r>
      <w:r>
        <w:rPr>
          <w:sz w:val="20"/>
        </w:rPr>
        <w:t>installation</w:t>
      </w:r>
      <w:r>
        <w:rPr>
          <w:spacing w:val="-3"/>
          <w:sz w:val="20"/>
        </w:rPr>
        <w:t> </w:t>
      </w:r>
      <w:r>
        <w:rPr>
          <w:sz w:val="20"/>
        </w:rPr>
        <w:t>that was</w:t>
      </w:r>
      <w:r>
        <w:rPr>
          <w:spacing w:val="-3"/>
          <w:sz w:val="20"/>
        </w:rPr>
        <w:t> </w:t>
      </w:r>
      <w:r>
        <w:rPr>
          <w:sz w:val="20"/>
        </w:rPr>
        <w:t>recently</w:t>
      </w:r>
      <w:r>
        <w:rPr>
          <w:spacing w:val="-7"/>
          <w:sz w:val="20"/>
        </w:rPr>
        <w:t> </w:t>
      </w:r>
      <w:r>
        <w:rPr>
          <w:sz w:val="20"/>
        </w:rPr>
        <w:t>turned</w:t>
      </w:r>
      <w:r>
        <w:rPr>
          <w:spacing w:val="-3"/>
          <w:sz w:val="20"/>
        </w:rPr>
        <w:t> </w:t>
      </w:r>
      <w:r>
        <w:rPr>
          <w:sz w:val="20"/>
        </w:rPr>
        <w:t>over</w:t>
      </w:r>
      <w:r>
        <w:rPr>
          <w:spacing w:val="-3"/>
          <w:sz w:val="20"/>
        </w:rPr>
        <w:t> </w:t>
      </w:r>
      <w:r>
        <w:rPr>
          <w:sz w:val="20"/>
        </w:rPr>
        <w:t>to</w:t>
      </w:r>
      <w:r>
        <w:rPr>
          <w:spacing w:val="-4"/>
          <w:sz w:val="20"/>
        </w:rPr>
        <w:t> </w:t>
      </w:r>
      <w:r>
        <w:rPr>
          <w:sz w:val="20"/>
        </w:rPr>
        <w:t>the</w:t>
      </w:r>
      <w:r>
        <w:rPr>
          <w:spacing w:val="-4"/>
          <w:sz w:val="20"/>
        </w:rPr>
        <w:t> </w:t>
      </w:r>
      <w:r>
        <w:rPr>
          <w:sz w:val="20"/>
        </w:rPr>
        <w:t>National Park Service as part of the Base Closing Commission.</w:t>
      </w:r>
    </w:p>
    <w:p>
      <w:pPr>
        <w:pStyle w:val="BodyText"/>
        <w:spacing w:before="5"/>
        <w:rPr>
          <w:sz w:val="17"/>
        </w:rPr>
      </w:pPr>
    </w:p>
    <w:p>
      <w:pPr>
        <w:pStyle w:val="ListParagraph"/>
        <w:numPr>
          <w:ilvl w:val="1"/>
          <w:numId w:val="41"/>
        </w:numPr>
        <w:tabs>
          <w:tab w:pos="2313" w:val="left" w:leader="none"/>
        </w:tabs>
        <w:spacing w:line="240" w:lineRule="auto" w:before="0" w:after="0"/>
        <w:ind w:left="2312" w:right="1060" w:hanging="361"/>
        <w:jc w:val="left"/>
        <w:rPr>
          <w:sz w:val="20"/>
        </w:rPr>
      </w:pPr>
      <w:r>
        <w:rPr>
          <w:sz w:val="20"/>
        </w:rPr>
        <w:t>We</w:t>
      </w:r>
      <w:r>
        <w:rPr>
          <w:spacing w:val="-7"/>
          <w:sz w:val="20"/>
        </w:rPr>
        <w:t> </w:t>
      </w:r>
      <w:r>
        <w:rPr>
          <w:sz w:val="20"/>
        </w:rPr>
        <w:t>have</w:t>
      </w:r>
      <w:r>
        <w:rPr>
          <w:spacing w:val="-5"/>
          <w:sz w:val="20"/>
        </w:rPr>
        <w:t> </w:t>
      </w:r>
      <w:r>
        <w:rPr>
          <w:sz w:val="20"/>
        </w:rPr>
        <w:t>partnered</w:t>
      </w:r>
      <w:r>
        <w:rPr>
          <w:spacing w:val="-3"/>
          <w:sz w:val="20"/>
        </w:rPr>
        <w:t> </w:t>
      </w:r>
      <w:r>
        <w:rPr>
          <w:sz w:val="20"/>
        </w:rPr>
        <w:t>with</w:t>
      </w:r>
      <w:r>
        <w:rPr>
          <w:spacing w:val="-5"/>
          <w:sz w:val="20"/>
        </w:rPr>
        <w:t> </w:t>
      </w:r>
      <w:r>
        <w:rPr>
          <w:sz w:val="20"/>
        </w:rPr>
        <w:t>the</w:t>
      </w:r>
      <w:r>
        <w:rPr>
          <w:spacing w:val="-3"/>
          <w:sz w:val="20"/>
        </w:rPr>
        <w:t> </w:t>
      </w:r>
      <w:r>
        <w:rPr>
          <w:sz w:val="20"/>
        </w:rPr>
        <w:t>NASA</w:t>
      </w:r>
      <w:r>
        <w:rPr>
          <w:spacing w:val="-3"/>
          <w:sz w:val="20"/>
        </w:rPr>
        <w:t> </w:t>
      </w:r>
      <w:r>
        <w:rPr>
          <w:sz w:val="20"/>
        </w:rPr>
        <w:t>Langley</w:t>
      </w:r>
      <w:r>
        <w:rPr>
          <w:spacing w:val="-6"/>
          <w:sz w:val="20"/>
        </w:rPr>
        <w:t> </w:t>
      </w:r>
      <w:r>
        <w:rPr>
          <w:sz w:val="20"/>
        </w:rPr>
        <w:t>Research</w:t>
      </w:r>
      <w:r>
        <w:rPr>
          <w:spacing w:val="-3"/>
          <w:sz w:val="20"/>
        </w:rPr>
        <w:t> </w:t>
      </w:r>
      <w:r>
        <w:rPr>
          <w:sz w:val="20"/>
        </w:rPr>
        <w:t>Center</w:t>
      </w:r>
      <w:r>
        <w:rPr>
          <w:spacing w:val="-4"/>
          <w:sz w:val="20"/>
        </w:rPr>
        <w:t> </w:t>
      </w:r>
      <w:r>
        <w:rPr>
          <w:sz w:val="20"/>
        </w:rPr>
        <w:t>(LaRC)</w:t>
      </w:r>
      <w:r>
        <w:rPr>
          <w:spacing w:val="-4"/>
          <w:sz w:val="20"/>
        </w:rPr>
        <w:t> </w:t>
      </w:r>
      <w:r>
        <w:rPr>
          <w:sz w:val="20"/>
        </w:rPr>
        <w:t>to</w:t>
      </w:r>
      <w:r>
        <w:rPr>
          <w:spacing w:val="-5"/>
          <w:sz w:val="20"/>
        </w:rPr>
        <w:t> </w:t>
      </w:r>
      <w:r>
        <w:rPr>
          <w:sz w:val="20"/>
        </w:rPr>
        <w:t>develop design studio assignments consistent with their newly implemented New Town Master Plan. For the next few years, our students will be designing significant buildings on the LaRC campus. Engineers and planners from the facility</w:t>
      </w:r>
    </w:p>
    <w:p>
      <w:pPr>
        <w:pStyle w:val="BodyText"/>
        <w:spacing w:before="6"/>
        <w:rPr>
          <w:sz w:val="17"/>
        </w:rPr>
      </w:pPr>
    </w:p>
    <w:p>
      <w:pPr>
        <w:pStyle w:val="ListParagraph"/>
        <w:numPr>
          <w:ilvl w:val="1"/>
          <w:numId w:val="41"/>
        </w:numPr>
        <w:tabs>
          <w:tab w:pos="2313" w:val="left" w:leader="none"/>
        </w:tabs>
        <w:spacing w:line="240" w:lineRule="auto" w:before="0" w:after="0"/>
        <w:ind w:left="2312" w:right="624" w:hanging="361"/>
        <w:jc w:val="left"/>
        <w:rPr>
          <w:sz w:val="20"/>
        </w:rPr>
      </w:pPr>
      <w:r>
        <w:rPr>
          <w:sz w:val="20"/>
        </w:rPr>
        <w:t>When</w:t>
      </w:r>
      <w:r>
        <w:rPr>
          <w:spacing w:val="-4"/>
          <w:sz w:val="20"/>
        </w:rPr>
        <w:t> </w:t>
      </w:r>
      <w:r>
        <w:rPr>
          <w:sz w:val="20"/>
        </w:rPr>
        <w:t>travel</w:t>
      </w:r>
      <w:r>
        <w:rPr>
          <w:spacing w:val="-5"/>
          <w:sz w:val="20"/>
        </w:rPr>
        <w:t> </w:t>
      </w:r>
      <w:r>
        <w:rPr>
          <w:sz w:val="20"/>
        </w:rPr>
        <w:t>and</w:t>
      </w:r>
      <w:r>
        <w:rPr>
          <w:spacing w:val="-4"/>
          <w:sz w:val="20"/>
        </w:rPr>
        <w:t> </w:t>
      </w:r>
      <w:r>
        <w:rPr>
          <w:sz w:val="20"/>
        </w:rPr>
        <w:t>faculty</w:t>
      </w:r>
      <w:r>
        <w:rPr>
          <w:spacing w:val="-7"/>
          <w:sz w:val="20"/>
        </w:rPr>
        <w:t> </w:t>
      </w:r>
      <w:r>
        <w:rPr>
          <w:sz w:val="20"/>
        </w:rPr>
        <w:t>development</w:t>
      </w:r>
      <w:r>
        <w:rPr>
          <w:spacing w:val="-4"/>
          <w:sz w:val="20"/>
        </w:rPr>
        <w:t> </w:t>
      </w:r>
      <w:r>
        <w:rPr>
          <w:sz w:val="20"/>
        </w:rPr>
        <w:t>funding</w:t>
      </w:r>
      <w:r>
        <w:rPr>
          <w:spacing w:val="-2"/>
          <w:sz w:val="20"/>
        </w:rPr>
        <w:t> </w:t>
      </w:r>
      <w:r>
        <w:rPr>
          <w:sz w:val="20"/>
        </w:rPr>
        <w:t>is</w:t>
      </w:r>
      <w:r>
        <w:rPr>
          <w:spacing w:val="-3"/>
          <w:sz w:val="20"/>
        </w:rPr>
        <w:t> </w:t>
      </w:r>
      <w:r>
        <w:rPr>
          <w:sz w:val="20"/>
        </w:rPr>
        <w:t>required,</w:t>
      </w:r>
      <w:r>
        <w:rPr>
          <w:spacing w:val="-4"/>
          <w:sz w:val="20"/>
        </w:rPr>
        <w:t> </w:t>
      </w:r>
      <w:r>
        <w:rPr>
          <w:sz w:val="20"/>
        </w:rPr>
        <w:t>the</w:t>
      </w:r>
      <w:r>
        <w:rPr>
          <w:spacing w:val="-4"/>
          <w:sz w:val="20"/>
        </w:rPr>
        <w:t> </w:t>
      </w:r>
      <w:r>
        <w:rPr>
          <w:sz w:val="20"/>
        </w:rPr>
        <w:t>chair</w:t>
      </w:r>
      <w:r>
        <w:rPr>
          <w:spacing w:val="-3"/>
          <w:sz w:val="20"/>
        </w:rPr>
        <w:t> </w:t>
      </w:r>
      <w:r>
        <w:rPr>
          <w:sz w:val="20"/>
        </w:rPr>
        <w:t>and</w:t>
      </w:r>
      <w:r>
        <w:rPr>
          <w:spacing w:val="-4"/>
          <w:sz w:val="20"/>
        </w:rPr>
        <w:t> </w:t>
      </w:r>
      <w:r>
        <w:rPr>
          <w:sz w:val="20"/>
        </w:rPr>
        <w:t>dean</w:t>
      </w:r>
      <w:r>
        <w:rPr>
          <w:spacing w:val="-2"/>
          <w:sz w:val="20"/>
        </w:rPr>
        <w:t> </w:t>
      </w:r>
      <w:r>
        <w:rPr>
          <w:sz w:val="20"/>
        </w:rPr>
        <w:t>request an exception to the travel funding freeze. Most faculty have been able to travel on University funds when necessary. Further, the University offers three faculty institutes</w:t>
      </w:r>
      <w:r>
        <w:rPr>
          <w:spacing w:val="-2"/>
          <w:sz w:val="20"/>
        </w:rPr>
        <w:t> </w:t>
      </w:r>
      <w:r>
        <w:rPr>
          <w:sz w:val="20"/>
        </w:rPr>
        <w:t>each year,</w:t>
      </w:r>
      <w:r>
        <w:rPr>
          <w:spacing w:val="-1"/>
          <w:sz w:val="20"/>
        </w:rPr>
        <w:t> </w:t>
      </w:r>
      <w:r>
        <w:rPr>
          <w:sz w:val="20"/>
        </w:rPr>
        <w:t>a</w:t>
      </w:r>
      <w:r>
        <w:rPr>
          <w:spacing w:val="-3"/>
          <w:sz w:val="20"/>
        </w:rPr>
        <w:t> </w:t>
      </w:r>
      <w:r>
        <w:rPr>
          <w:sz w:val="20"/>
        </w:rPr>
        <w:t>monthly</w:t>
      </w:r>
      <w:r>
        <w:rPr>
          <w:spacing w:val="-5"/>
          <w:sz w:val="20"/>
        </w:rPr>
        <w:t> </w:t>
      </w:r>
      <w:r>
        <w:rPr>
          <w:sz w:val="20"/>
        </w:rPr>
        <w:t>development</w:t>
      </w:r>
      <w:r>
        <w:rPr>
          <w:spacing w:val="-3"/>
          <w:sz w:val="20"/>
        </w:rPr>
        <w:t> </w:t>
      </w:r>
      <w:r>
        <w:rPr>
          <w:sz w:val="20"/>
        </w:rPr>
        <w:t>activity</w:t>
      </w:r>
      <w:r>
        <w:rPr>
          <w:spacing w:val="-5"/>
          <w:sz w:val="20"/>
        </w:rPr>
        <w:t> </w:t>
      </w:r>
      <w:r>
        <w:rPr>
          <w:sz w:val="20"/>
        </w:rPr>
        <w:t>through</w:t>
      </w:r>
      <w:r>
        <w:rPr>
          <w:spacing w:val="-1"/>
          <w:sz w:val="20"/>
        </w:rPr>
        <w:t> </w:t>
      </w:r>
      <w:r>
        <w:rPr>
          <w:sz w:val="20"/>
        </w:rPr>
        <w:t>the</w:t>
      </w:r>
      <w:r>
        <w:rPr>
          <w:spacing w:val="-1"/>
          <w:sz w:val="20"/>
        </w:rPr>
        <w:t> </w:t>
      </w:r>
      <w:r>
        <w:rPr>
          <w:sz w:val="20"/>
        </w:rPr>
        <w:t>Center</w:t>
      </w:r>
      <w:r>
        <w:rPr>
          <w:spacing w:val="-2"/>
          <w:sz w:val="20"/>
        </w:rPr>
        <w:t> </w:t>
      </w:r>
      <w:r>
        <w:rPr>
          <w:sz w:val="20"/>
        </w:rPr>
        <w:t>for</w:t>
      </w:r>
      <w:r>
        <w:rPr>
          <w:spacing w:val="-2"/>
          <w:sz w:val="20"/>
        </w:rPr>
        <w:t> </w:t>
      </w:r>
      <w:r>
        <w:rPr>
          <w:sz w:val="20"/>
        </w:rPr>
        <w:t>Teaching Excellence, and a monitoring program to help optimize human resource </w:t>
      </w:r>
      <w:r>
        <w:rPr>
          <w:spacing w:val="-2"/>
          <w:sz w:val="20"/>
        </w:rPr>
        <w:t>development.</w:t>
      </w:r>
    </w:p>
    <w:p>
      <w:pPr>
        <w:pStyle w:val="BodyText"/>
        <w:spacing w:before="4"/>
        <w:rPr>
          <w:sz w:val="17"/>
        </w:rPr>
      </w:pPr>
    </w:p>
    <w:p>
      <w:pPr>
        <w:pStyle w:val="ListParagraph"/>
        <w:numPr>
          <w:ilvl w:val="1"/>
          <w:numId w:val="41"/>
        </w:numPr>
        <w:tabs>
          <w:tab w:pos="2313" w:val="left" w:leader="none"/>
        </w:tabs>
        <w:spacing w:line="240" w:lineRule="auto" w:before="0" w:after="0"/>
        <w:ind w:left="2312" w:right="637" w:hanging="361"/>
        <w:jc w:val="left"/>
        <w:rPr>
          <w:sz w:val="20"/>
        </w:rPr>
      </w:pPr>
      <w:r>
        <w:rPr>
          <w:sz w:val="20"/>
        </w:rPr>
        <w:t>Our</w:t>
      </w:r>
      <w:r>
        <w:rPr>
          <w:spacing w:val="-3"/>
          <w:sz w:val="20"/>
        </w:rPr>
        <w:t> </w:t>
      </w:r>
      <w:r>
        <w:rPr>
          <w:sz w:val="20"/>
        </w:rPr>
        <w:t>collaborative</w:t>
      </w:r>
      <w:r>
        <w:rPr>
          <w:spacing w:val="-4"/>
          <w:sz w:val="20"/>
        </w:rPr>
        <w:t> </w:t>
      </w:r>
      <w:r>
        <w:rPr>
          <w:sz w:val="20"/>
        </w:rPr>
        <w:t>efforts</w:t>
      </w:r>
      <w:r>
        <w:rPr>
          <w:spacing w:val="-3"/>
          <w:sz w:val="20"/>
        </w:rPr>
        <w:t> </w:t>
      </w:r>
      <w:r>
        <w:rPr>
          <w:sz w:val="20"/>
        </w:rPr>
        <w:t>also</w:t>
      </w:r>
      <w:r>
        <w:rPr>
          <w:spacing w:val="-4"/>
          <w:sz w:val="20"/>
        </w:rPr>
        <w:t> </w:t>
      </w:r>
      <w:r>
        <w:rPr>
          <w:sz w:val="20"/>
        </w:rPr>
        <w:t>include</w:t>
      </w:r>
      <w:r>
        <w:rPr>
          <w:spacing w:val="-4"/>
          <w:sz w:val="20"/>
        </w:rPr>
        <w:t> </w:t>
      </w:r>
      <w:r>
        <w:rPr>
          <w:sz w:val="20"/>
        </w:rPr>
        <w:t>a</w:t>
      </w:r>
      <w:r>
        <w:rPr>
          <w:spacing w:val="-2"/>
          <w:sz w:val="20"/>
        </w:rPr>
        <w:t> </w:t>
      </w:r>
      <w:r>
        <w:rPr>
          <w:sz w:val="20"/>
        </w:rPr>
        <w:t>number</w:t>
      </w:r>
      <w:r>
        <w:rPr>
          <w:spacing w:val="-3"/>
          <w:sz w:val="20"/>
        </w:rPr>
        <w:t> </w:t>
      </w:r>
      <w:r>
        <w:rPr>
          <w:sz w:val="20"/>
        </w:rPr>
        <w:t>of</w:t>
      </w:r>
      <w:r>
        <w:rPr>
          <w:spacing w:val="-2"/>
          <w:sz w:val="20"/>
        </w:rPr>
        <w:t> </w:t>
      </w:r>
      <w:r>
        <w:rPr>
          <w:sz w:val="20"/>
        </w:rPr>
        <w:t>community</w:t>
      </w:r>
      <w:r>
        <w:rPr>
          <w:spacing w:val="-7"/>
          <w:sz w:val="20"/>
        </w:rPr>
        <w:t> </w:t>
      </w:r>
      <w:r>
        <w:rPr>
          <w:sz w:val="20"/>
        </w:rPr>
        <w:t>based</w:t>
      </w:r>
      <w:r>
        <w:rPr>
          <w:spacing w:val="-4"/>
          <w:sz w:val="20"/>
        </w:rPr>
        <w:t> </w:t>
      </w:r>
      <w:r>
        <w:rPr>
          <w:sz w:val="20"/>
        </w:rPr>
        <w:t>projects</w:t>
      </w:r>
      <w:r>
        <w:rPr>
          <w:spacing w:val="-3"/>
          <w:sz w:val="20"/>
        </w:rPr>
        <w:t> </w:t>
      </w:r>
      <w:r>
        <w:rPr>
          <w:sz w:val="20"/>
        </w:rPr>
        <w:t>that</w:t>
      </w:r>
      <w:r>
        <w:rPr>
          <w:spacing w:val="-2"/>
          <w:sz w:val="20"/>
        </w:rPr>
        <w:t> </w:t>
      </w:r>
      <w:r>
        <w:rPr>
          <w:sz w:val="20"/>
        </w:rPr>
        <w:t>are still being planned:</w:t>
      </w:r>
    </w:p>
    <w:p>
      <w:pPr>
        <w:pStyle w:val="BodyText"/>
        <w:spacing w:before="5"/>
        <w:rPr>
          <w:sz w:val="17"/>
        </w:rPr>
      </w:pPr>
    </w:p>
    <w:p>
      <w:pPr>
        <w:pStyle w:val="ListParagraph"/>
        <w:numPr>
          <w:ilvl w:val="2"/>
          <w:numId w:val="41"/>
        </w:numPr>
        <w:tabs>
          <w:tab w:pos="2673" w:val="left" w:leader="none"/>
        </w:tabs>
        <w:spacing w:line="240" w:lineRule="auto" w:before="0" w:after="0"/>
        <w:ind w:left="2672" w:right="855" w:hanging="360"/>
        <w:jc w:val="left"/>
        <w:rPr>
          <w:sz w:val="20"/>
        </w:rPr>
      </w:pPr>
      <w:r>
        <w:rPr>
          <w:sz w:val="20"/>
        </w:rPr>
        <w:t>Courtland</w:t>
      </w:r>
      <w:r>
        <w:rPr>
          <w:spacing w:val="-4"/>
          <w:sz w:val="20"/>
        </w:rPr>
        <w:t> </w:t>
      </w:r>
      <w:r>
        <w:rPr>
          <w:sz w:val="20"/>
        </w:rPr>
        <w:t>School</w:t>
      </w:r>
      <w:r>
        <w:rPr>
          <w:spacing w:val="-5"/>
          <w:sz w:val="20"/>
        </w:rPr>
        <w:t> </w:t>
      </w:r>
      <w:r>
        <w:rPr>
          <w:sz w:val="20"/>
        </w:rPr>
        <w:t>in</w:t>
      </w:r>
      <w:r>
        <w:rPr>
          <w:spacing w:val="-4"/>
          <w:sz w:val="20"/>
        </w:rPr>
        <w:t> </w:t>
      </w:r>
      <w:r>
        <w:rPr>
          <w:sz w:val="20"/>
        </w:rPr>
        <w:t>Chesapeake,</w:t>
      </w:r>
      <w:r>
        <w:rPr>
          <w:spacing w:val="-6"/>
          <w:sz w:val="20"/>
        </w:rPr>
        <w:t> </w:t>
      </w:r>
      <w:r>
        <w:rPr>
          <w:sz w:val="20"/>
        </w:rPr>
        <w:t>VA:</w:t>
      </w:r>
      <w:r>
        <w:rPr>
          <w:spacing w:val="-6"/>
          <w:sz w:val="20"/>
        </w:rPr>
        <w:t> </w:t>
      </w:r>
      <w:r>
        <w:rPr>
          <w:sz w:val="20"/>
        </w:rPr>
        <w:t>restoration</w:t>
      </w:r>
      <w:r>
        <w:rPr>
          <w:spacing w:val="-6"/>
          <w:sz w:val="20"/>
        </w:rPr>
        <w:t> </w:t>
      </w:r>
      <w:r>
        <w:rPr>
          <w:sz w:val="20"/>
        </w:rPr>
        <w:t>of</w:t>
      </w:r>
      <w:r>
        <w:rPr>
          <w:spacing w:val="-4"/>
          <w:sz w:val="20"/>
        </w:rPr>
        <w:t> </w:t>
      </w:r>
      <w:r>
        <w:rPr>
          <w:sz w:val="20"/>
        </w:rPr>
        <w:t>a</w:t>
      </w:r>
      <w:r>
        <w:rPr>
          <w:spacing w:val="-4"/>
          <w:sz w:val="20"/>
        </w:rPr>
        <w:t> </w:t>
      </w:r>
      <w:r>
        <w:rPr>
          <w:sz w:val="20"/>
        </w:rPr>
        <w:t>one-room</w:t>
      </w:r>
      <w:r>
        <w:rPr>
          <w:spacing w:val="-1"/>
          <w:sz w:val="20"/>
        </w:rPr>
        <w:t> </w:t>
      </w:r>
      <w:r>
        <w:rPr>
          <w:sz w:val="20"/>
        </w:rPr>
        <w:t>school</w:t>
      </w:r>
      <w:r>
        <w:rPr>
          <w:spacing w:val="-7"/>
          <w:sz w:val="20"/>
        </w:rPr>
        <w:t> </w:t>
      </w:r>
      <w:r>
        <w:rPr>
          <w:sz w:val="20"/>
        </w:rPr>
        <w:t>house that was used to educate freed African Americans prior to desegregation.</w:t>
      </w:r>
    </w:p>
    <w:p>
      <w:pPr>
        <w:pStyle w:val="BodyText"/>
        <w:spacing w:before="4"/>
        <w:rPr>
          <w:sz w:val="17"/>
        </w:rPr>
      </w:pPr>
    </w:p>
    <w:p>
      <w:pPr>
        <w:pStyle w:val="ListParagraph"/>
        <w:numPr>
          <w:ilvl w:val="2"/>
          <w:numId w:val="41"/>
        </w:numPr>
        <w:tabs>
          <w:tab w:pos="2673" w:val="left" w:leader="none"/>
        </w:tabs>
        <w:spacing w:line="240" w:lineRule="auto" w:before="0" w:after="0"/>
        <w:ind w:left="2672" w:right="743" w:hanging="360"/>
        <w:jc w:val="left"/>
        <w:rPr>
          <w:sz w:val="20"/>
        </w:rPr>
      </w:pPr>
      <w:r>
        <w:rPr>
          <w:sz w:val="20"/>
        </w:rPr>
        <w:t>Virginia</w:t>
      </w:r>
      <w:r>
        <w:rPr>
          <w:spacing w:val="-3"/>
          <w:sz w:val="20"/>
        </w:rPr>
        <w:t> </w:t>
      </w:r>
      <w:r>
        <w:rPr>
          <w:sz w:val="20"/>
        </w:rPr>
        <w:t>School</w:t>
      </w:r>
      <w:r>
        <w:rPr>
          <w:spacing w:val="-6"/>
          <w:sz w:val="20"/>
        </w:rPr>
        <w:t> </w:t>
      </w:r>
      <w:r>
        <w:rPr>
          <w:sz w:val="20"/>
        </w:rPr>
        <w:t>for</w:t>
      </w:r>
      <w:r>
        <w:rPr>
          <w:spacing w:val="-4"/>
          <w:sz w:val="20"/>
        </w:rPr>
        <w:t> </w:t>
      </w:r>
      <w:r>
        <w:rPr>
          <w:sz w:val="20"/>
        </w:rPr>
        <w:t>the</w:t>
      </w:r>
      <w:r>
        <w:rPr>
          <w:spacing w:val="-3"/>
          <w:sz w:val="20"/>
        </w:rPr>
        <w:t> </w:t>
      </w:r>
      <w:r>
        <w:rPr>
          <w:sz w:val="20"/>
        </w:rPr>
        <w:t>Deaf and</w:t>
      </w:r>
      <w:r>
        <w:rPr>
          <w:spacing w:val="-3"/>
          <w:sz w:val="20"/>
        </w:rPr>
        <w:t> </w:t>
      </w:r>
      <w:r>
        <w:rPr>
          <w:sz w:val="20"/>
        </w:rPr>
        <w:t>Blind:</w:t>
      </w:r>
      <w:r>
        <w:rPr>
          <w:spacing w:val="-5"/>
          <w:sz w:val="20"/>
        </w:rPr>
        <w:t> </w:t>
      </w:r>
      <w:r>
        <w:rPr>
          <w:sz w:val="20"/>
        </w:rPr>
        <w:t>reutilization</w:t>
      </w:r>
      <w:r>
        <w:rPr>
          <w:spacing w:val="-5"/>
          <w:sz w:val="20"/>
        </w:rPr>
        <w:t> </w:t>
      </w:r>
      <w:r>
        <w:rPr>
          <w:sz w:val="20"/>
        </w:rPr>
        <w:t>of</w:t>
      </w:r>
      <w:r>
        <w:rPr>
          <w:spacing w:val="-3"/>
          <w:sz w:val="20"/>
        </w:rPr>
        <w:t> </w:t>
      </w:r>
      <w:r>
        <w:rPr>
          <w:sz w:val="20"/>
        </w:rPr>
        <w:t>a</w:t>
      </w:r>
      <w:r>
        <w:rPr>
          <w:spacing w:val="-3"/>
          <w:sz w:val="20"/>
        </w:rPr>
        <w:t> </w:t>
      </w:r>
      <w:r>
        <w:rPr>
          <w:sz w:val="20"/>
        </w:rPr>
        <w:t>site</w:t>
      </w:r>
      <w:r>
        <w:rPr>
          <w:spacing w:val="-5"/>
          <w:sz w:val="20"/>
        </w:rPr>
        <w:t> </w:t>
      </w:r>
      <w:r>
        <w:rPr>
          <w:sz w:val="20"/>
        </w:rPr>
        <w:t>and</w:t>
      </w:r>
      <w:r>
        <w:rPr>
          <w:spacing w:val="-3"/>
          <w:sz w:val="20"/>
        </w:rPr>
        <w:t> </w:t>
      </w:r>
      <w:r>
        <w:rPr>
          <w:sz w:val="20"/>
        </w:rPr>
        <w:t>its</w:t>
      </w:r>
      <w:r>
        <w:rPr>
          <w:spacing w:val="-4"/>
          <w:sz w:val="20"/>
        </w:rPr>
        <w:t> </w:t>
      </w:r>
      <w:r>
        <w:rPr>
          <w:sz w:val="20"/>
        </w:rPr>
        <w:t>facilities</w:t>
      </w:r>
      <w:r>
        <w:rPr>
          <w:spacing w:val="-4"/>
          <w:sz w:val="20"/>
        </w:rPr>
        <w:t> </w:t>
      </w:r>
      <w:r>
        <w:rPr>
          <w:sz w:val="20"/>
        </w:rPr>
        <w:t>that once housed the academic campus for educating African American deaf and blind children. The facility functions have been consolidated to the campus in Staunton, VA and the conditions for which the original campus property was donated require that the uses continue to serve populations with visual and hearing impairments.</w:t>
      </w:r>
    </w:p>
    <w:p>
      <w:pPr>
        <w:spacing w:after="0" w:line="240" w:lineRule="auto"/>
        <w:jc w:val="left"/>
        <w:rPr>
          <w:sz w:val="20"/>
        </w:rPr>
        <w:sectPr>
          <w:headerReference w:type="default" r:id="rId165"/>
          <w:footerReference w:type="default" r:id="rId166"/>
          <w:pgSz w:w="12240" w:h="15840"/>
          <w:pgMar w:header="0" w:footer="974" w:top="1360" w:bottom="1160" w:left="1000" w:right="820"/>
        </w:sectPr>
      </w:pPr>
    </w:p>
    <w:p>
      <w:pPr>
        <w:pStyle w:val="ListParagraph"/>
        <w:numPr>
          <w:ilvl w:val="0"/>
          <w:numId w:val="41"/>
        </w:numPr>
        <w:tabs>
          <w:tab w:pos="1951" w:val="left" w:leader="none"/>
          <w:tab w:pos="1952" w:val="left" w:leader="none"/>
        </w:tabs>
        <w:spacing w:line="240" w:lineRule="auto" w:before="91" w:after="0"/>
        <w:ind w:left="1951" w:right="674" w:hanging="360"/>
        <w:jc w:val="left"/>
        <w:rPr>
          <w:sz w:val="20"/>
        </w:rPr>
      </w:pPr>
      <w:r>
        <w:rPr>
          <w:sz w:val="20"/>
        </w:rPr>
        <w:t>2012-2014</w:t>
      </w:r>
      <w:r>
        <w:rPr>
          <w:spacing w:val="-5"/>
          <w:sz w:val="20"/>
        </w:rPr>
        <w:t> </w:t>
      </w:r>
      <w:r>
        <w:rPr>
          <w:sz w:val="20"/>
        </w:rPr>
        <w:t>Response:</w:t>
      </w:r>
      <w:r>
        <w:rPr>
          <w:spacing w:val="-5"/>
          <w:sz w:val="20"/>
        </w:rPr>
        <w:t> </w:t>
      </w:r>
      <w:r>
        <w:rPr>
          <w:sz w:val="20"/>
        </w:rPr>
        <w:t>Our</w:t>
      </w:r>
      <w:r>
        <w:rPr>
          <w:spacing w:val="-1"/>
          <w:sz w:val="20"/>
        </w:rPr>
        <w:t> </w:t>
      </w:r>
      <w:r>
        <w:rPr>
          <w:sz w:val="20"/>
        </w:rPr>
        <w:t>faculty</w:t>
      </w:r>
      <w:r>
        <w:rPr>
          <w:spacing w:val="-7"/>
          <w:sz w:val="20"/>
        </w:rPr>
        <w:t> </w:t>
      </w:r>
      <w:r>
        <w:rPr>
          <w:sz w:val="20"/>
        </w:rPr>
        <w:t>have</w:t>
      </w:r>
      <w:r>
        <w:rPr>
          <w:spacing w:val="-5"/>
          <w:sz w:val="20"/>
        </w:rPr>
        <w:t> </w:t>
      </w:r>
      <w:r>
        <w:rPr>
          <w:sz w:val="20"/>
        </w:rPr>
        <w:t>made</w:t>
      </w:r>
      <w:r>
        <w:rPr>
          <w:spacing w:val="-5"/>
          <w:sz w:val="20"/>
        </w:rPr>
        <w:t> </w:t>
      </w:r>
      <w:r>
        <w:rPr>
          <w:sz w:val="20"/>
        </w:rPr>
        <w:t>significant</w:t>
      </w:r>
      <w:r>
        <w:rPr>
          <w:spacing w:val="-5"/>
          <w:sz w:val="20"/>
        </w:rPr>
        <w:t> </w:t>
      </w:r>
      <w:r>
        <w:rPr>
          <w:sz w:val="20"/>
        </w:rPr>
        <w:t>contributions</w:t>
      </w:r>
      <w:r>
        <w:rPr>
          <w:spacing w:val="-4"/>
          <w:sz w:val="20"/>
        </w:rPr>
        <w:t> </w:t>
      </w:r>
      <w:r>
        <w:rPr>
          <w:sz w:val="20"/>
        </w:rPr>
        <w:t>to</w:t>
      </w:r>
      <w:r>
        <w:rPr>
          <w:spacing w:val="-5"/>
          <w:sz w:val="20"/>
        </w:rPr>
        <w:t> </w:t>
      </w:r>
      <w:r>
        <w:rPr>
          <w:sz w:val="20"/>
        </w:rPr>
        <w:t>the</w:t>
      </w:r>
      <w:r>
        <w:rPr>
          <w:spacing w:val="-5"/>
          <w:sz w:val="20"/>
        </w:rPr>
        <w:t> </w:t>
      </w:r>
      <w:r>
        <w:rPr>
          <w:sz w:val="20"/>
        </w:rPr>
        <w:t>scholarship of the industry. In Spring, 2014, Professor Andrew presented a paper, at the ACSA Conference in Miami, FL about our International Urban Design Studio.</w:t>
      </w:r>
    </w:p>
    <w:p>
      <w:pPr>
        <w:pStyle w:val="BodyText"/>
        <w:spacing w:before="6"/>
        <w:rPr>
          <w:sz w:val="18"/>
        </w:rPr>
      </w:pPr>
    </w:p>
    <w:p>
      <w:pPr>
        <w:pStyle w:val="ListParagraph"/>
        <w:numPr>
          <w:ilvl w:val="0"/>
          <w:numId w:val="41"/>
        </w:numPr>
        <w:tabs>
          <w:tab w:pos="1952" w:val="left" w:leader="none"/>
        </w:tabs>
        <w:spacing w:line="240" w:lineRule="auto" w:before="0" w:after="0"/>
        <w:ind w:left="1951" w:right="776" w:hanging="360"/>
        <w:jc w:val="both"/>
        <w:rPr>
          <w:sz w:val="20"/>
        </w:rPr>
      </w:pPr>
      <w:r>
        <w:rPr>
          <w:sz w:val="20"/>
        </w:rPr>
        <w:t>During</w:t>
      </w:r>
      <w:r>
        <w:rPr>
          <w:spacing w:val="-5"/>
          <w:sz w:val="20"/>
        </w:rPr>
        <w:t> </w:t>
      </w:r>
      <w:r>
        <w:rPr>
          <w:sz w:val="20"/>
        </w:rPr>
        <w:t>the</w:t>
      </w:r>
      <w:r>
        <w:rPr>
          <w:spacing w:val="-5"/>
          <w:sz w:val="20"/>
        </w:rPr>
        <w:t> </w:t>
      </w:r>
      <w:r>
        <w:rPr>
          <w:sz w:val="20"/>
        </w:rPr>
        <w:t>2014</w:t>
      </w:r>
      <w:r>
        <w:rPr>
          <w:spacing w:val="-3"/>
          <w:sz w:val="20"/>
        </w:rPr>
        <w:t> </w:t>
      </w:r>
      <w:r>
        <w:rPr>
          <w:sz w:val="20"/>
        </w:rPr>
        <w:t>Spring</w:t>
      </w:r>
      <w:r>
        <w:rPr>
          <w:spacing w:val="-3"/>
          <w:sz w:val="20"/>
        </w:rPr>
        <w:t> </w:t>
      </w:r>
      <w:r>
        <w:rPr>
          <w:sz w:val="20"/>
        </w:rPr>
        <w:t>Break,</w:t>
      </w:r>
      <w:r>
        <w:rPr>
          <w:spacing w:val="-5"/>
          <w:sz w:val="20"/>
        </w:rPr>
        <w:t> </w:t>
      </w:r>
      <w:r>
        <w:rPr>
          <w:sz w:val="20"/>
        </w:rPr>
        <w:t>our</w:t>
      </w:r>
      <w:r>
        <w:rPr>
          <w:spacing w:val="-4"/>
          <w:sz w:val="20"/>
        </w:rPr>
        <w:t> </w:t>
      </w:r>
      <w:r>
        <w:rPr>
          <w:sz w:val="20"/>
        </w:rPr>
        <w:t>students,</w:t>
      </w:r>
      <w:r>
        <w:rPr>
          <w:spacing w:val="-3"/>
          <w:sz w:val="20"/>
        </w:rPr>
        <w:t> </w:t>
      </w:r>
      <w:r>
        <w:rPr>
          <w:sz w:val="20"/>
        </w:rPr>
        <w:t>hosted</w:t>
      </w:r>
      <w:r>
        <w:rPr>
          <w:spacing w:val="-5"/>
          <w:sz w:val="20"/>
        </w:rPr>
        <w:t> </w:t>
      </w:r>
      <w:r>
        <w:rPr>
          <w:sz w:val="20"/>
        </w:rPr>
        <w:t>by</w:t>
      </w:r>
      <w:r>
        <w:rPr>
          <w:spacing w:val="-6"/>
          <w:sz w:val="20"/>
        </w:rPr>
        <w:t> </w:t>
      </w:r>
      <w:r>
        <w:rPr>
          <w:sz w:val="20"/>
        </w:rPr>
        <w:t>Professor</w:t>
      </w:r>
      <w:r>
        <w:rPr>
          <w:spacing w:val="-4"/>
          <w:sz w:val="20"/>
        </w:rPr>
        <w:t> </w:t>
      </w:r>
      <w:r>
        <w:rPr>
          <w:sz w:val="20"/>
        </w:rPr>
        <w:t>Andrews,</w:t>
      </w:r>
      <w:r>
        <w:rPr>
          <w:spacing w:val="-3"/>
          <w:sz w:val="20"/>
        </w:rPr>
        <w:t> </w:t>
      </w:r>
      <w:r>
        <w:rPr>
          <w:sz w:val="20"/>
        </w:rPr>
        <w:t>Kloster</w:t>
      </w:r>
      <w:r>
        <w:rPr>
          <w:spacing w:val="-4"/>
          <w:sz w:val="20"/>
        </w:rPr>
        <w:t> </w:t>
      </w:r>
      <w:r>
        <w:rPr>
          <w:sz w:val="20"/>
        </w:rPr>
        <w:t>and Gindroz, visited and</w:t>
      </w:r>
      <w:r>
        <w:rPr>
          <w:spacing w:val="-1"/>
          <w:sz w:val="20"/>
        </w:rPr>
        <w:t> </w:t>
      </w:r>
      <w:r>
        <w:rPr>
          <w:sz w:val="20"/>
        </w:rPr>
        <w:t>participated</w:t>
      </w:r>
      <w:r>
        <w:rPr>
          <w:spacing w:val="-1"/>
          <w:sz w:val="20"/>
        </w:rPr>
        <w:t> </w:t>
      </w:r>
      <w:r>
        <w:rPr>
          <w:sz w:val="20"/>
        </w:rPr>
        <w:t>in</w:t>
      </w:r>
      <w:r>
        <w:rPr>
          <w:spacing w:val="-1"/>
          <w:sz w:val="20"/>
        </w:rPr>
        <w:t> </w:t>
      </w:r>
      <w:r>
        <w:rPr>
          <w:sz w:val="20"/>
        </w:rPr>
        <w:t>a</w:t>
      </w:r>
      <w:r>
        <w:rPr>
          <w:spacing w:val="-1"/>
          <w:sz w:val="20"/>
        </w:rPr>
        <w:t> </w:t>
      </w:r>
      <w:r>
        <w:rPr>
          <w:sz w:val="20"/>
        </w:rPr>
        <w:t>study</w:t>
      </w:r>
      <w:r>
        <w:rPr>
          <w:spacing w:val="-2"/>
          <w:sz w:val="20"/>
        </w:rPr>
        <w:t> </w:t>
      </w:r>
      <w:r>
        <w:rPr>
          <w:sz w:val="20"/>
        </w:rPr>
        <w:t>of Seaside,</w:t>
      </w:r>
      <w:r>
        <w:rPr>
          <w:spacing w:val="-1"/>
          <w:sz w:val="20"/>
        </w:rPr>
        <w:t> </w:t>
      </w:r>
      <w:r>
        <w:rPr>
          <w:sz w:val="20"/>
        </w:rPr>
        <w:t>a</w:t>
      </w:r>
      <w:r>
        <w:rPr>
          <w:spacing w:val="-1"/>
          <w:sz w:val="20"/>
        </w:rPr>
        <w:t> </w:t>
      </w:r>
      <w:r>
        <w:rPr>
          <w:sz w:val="20"/>
        </w:rPr>
        <w:t>planned community</w:t>
      </w:r>
      <w:r>
        <w:rPr>
          <w:spacing w:val="-4"/>
          <w:sz w:val="20"/>
        </w:rPr>
        <w:t> </w:t>
      </w:r>
      <w:r>
        <w:rPr>
          <w:sz w:val="20"/>
        </w:rPr>
        <w:t>in</w:t>
      </w:r>
      <w:r>
        <w:rPr>
          <w:spacing w:val="-1"/>
          <w:sz w:val="20"/>
        </w:rPr>
        <w:t> </w:t>
      </w:r>
      <w:r>
        <w:rPr>
          <w:sz w:val="20"/>
        </w:rPr>
        <w:t>central </w:t>
      </w:r>
      <w:r>
        <w:rPr>
          <w:spacing w:val="-2"/>
          <w:sz w:val="20"/>
        </w:rPr>
        <w:t>Florida.</w:t>
      </w:r>
    </w:p>
    <w:p>
      <w:pPr>
        <w:spacing w:after="0" w:line="240" w:lineRule="auto"/>
        <w:jc w:val="both"/>
        <w:rPr>
          <w:sz w:val="20"/>
        </w:rPr>
        <w:sectPr>
          <w:headerReference w:type="default" r:id="rId167"/>
          <w:footerReference w:type="default" r:id="rId168"/>
          <w:pgSz w:w="12240" w:h="15840"/>
          <w:pgMar w:header="0" w:footer="974" w:top="1360" w:bottom="1160" w:left="1000" w:right="820"/>
        </w:sectPr>
      </w:pPr>
    </w:p>
    <w:p>
      <w:pPr>
        <w:spacing w:line="254" w:lineRule="auto" w:before="126"/>
        <w:ind w:left="1160" w:right="642" w:firstLine="0"/>
        <w:jc w:val="left"/>
        <w:rPr>
          <w:i/>
          <w:sz w:val="22"/>
        </w:rPr>
      </w:pPr>
      <w:r>
        <w:rPr>
          <w:i/>
          <w:w w:val="90"/>
          <w:sz w:val="22"/>
        </w:rPr>
        <w:t>Ability to use appropriate representational media, including freehand drawing and computer</w:t>
      </w:r>
      <w:r>
        <w:rPr>
          <w:i/>
          <w:spacing w:val="40"/>
          <w:sz w:val="22"/>
        </w:rPr>
        <w:t> </w:t>
      </w:r>
      <w:r>
        <w:rPr>
          <w:i/>
          <w:spacing w:val="-2"/>
          <w:w w:val="95"/>
          <w:sz w:val="22"/>
        </w:rPr>
        <w:t>technology, to</w:t>
      </w:r>
      <w:r>
        <w:rPr>
          <w:i/>
          <w:spacing w:val="-3"/>
          <w:w w:val="95"/>
          <w:sz w:val="22"/>
        </w:rPr>
        <w:t> </w:t>
      </w:r>
      <w:r>
        <w:rPr>
          <w:i/>
          <w:spacing w:val="-2"/>
          <w:w w:val="95"/>
          <w:sz w:val="22"/>
        </w:rPr>
        <w:t>convey</w:t>
      </w:r>
      <w:r>
        <w:rPr>
          <w:i/>
          <w:spacing w:val="-3"/>
          <w:w w:val="95"/>
          <w:sz w:val="22"/>
        </w:rPr>
        <w:t> </w:t>
      </w:r>
      <w:r>
        <w:rPr>
          <w:i/>
          <w:spacing w:val="-2"/>
          <w:w w:val="95"/>
          <w:sz w:val="22"/>
        </w:rPr>
        <w:t>essential formal</w:t>
      </w:r>
      <w:r>
        <w:rPr>
          <w:i/>
          <w:spacing w:val="-6"/>
          <w:w w:val="95"/>
          <w:sz w:val="22"/>
        </w:rPr>
        <w:t> </w:t>
      </w:r>
      <w:r>
        <w:rPr>
          <w:i/>
          <w:spacing w:val="-2"/>
          <w:w w:val="95"/>
          <w:sz w:val="22"/>
        </w:rPr>
        <w:t>elements at</w:t>
      </w:r>
      <w:r>
        <w:rPr>
          <w:i/>
          <w:spacing w:val="-4"/>
          <w:w w:val="95"/>
          <w:sz w:val="22"/>
        </w:rPr>
        <w:t> </w:t>
      </w:r>
      <w:r>
        <w:rPr>
          <w:i/>
          <w:spacing w:val="-2"/>
          <w:w w:val="95"/>
          <w:sz w:val="22"/>
        </w:rPr>
        <w:t>each</w:t>
      </w:r>
      <w:r>
        <w:rPr>
          <w:i/>
          <w:spacing w:val="-3"/>
          <w:w w:val="95"/>
          <w:sz w:val="22"/>
        </w:rPr>
        <w:t> </w:t>
      </w:r>
      <w:r>
        <w:rPr>
          <w:i/>
          <w:spacing w:val="-2"/>
          <w:w w:val="95"/>
          <w:sz w:val="22"/>
        </w:rPr>
        <w:t>stage of programming</w:t>
      </w:r>
      <w:r>
        <w:rPr>
          <w:i/>
          <w:spacing w:val="-3"/>
          <w:w w:val="95"/>
          <w:sz w:val="22"/>
        </w:rPr>
        <w:t> </w:t>
      </w:r>
      <w:r>
        <w:rPr>
          <w:i/>
          <w:spacing w:val="-2"/>
          <w:w w:val="95"/>
          <w:sz w:val="22"/>
        </w:rPr>
        <w:t>and</w:t>
      </w:r>
      <w:r>
        <w:rPr>
          <w:i/>
          <w:spacing w:val="-3"/>
          <w:w w:val="95"/>
          <w:sz w:val="22"/>
        </w:rPr>
        <w:t> </w:t>
      </w:r>
      <w:r>
        <w:rPr>
          <w:i/>
          <w:spacing w:val="-2"/>
          <w:w w:val="95"/>
          <w:sz w:val="22"/>
        </w:rPr>
        <w:t>design </w:t>
      </w:r>
      <w:r>
        <w:rPr>
          <w:i/>
          <w:spacing w:val="-2"/>
          <w:sz w:val="22"/>
        </w:rPr>
        <w:t>process</w:t>
      </w:r>
    </w:p>
    <w:p>
      <w:pPr>
        <w:pStyle w:val="BodyText"/>
        <w:spacing w:before="2"/>
        <w:rPr>
          <w:i/>
          <w:sz w:val="17"/>
        </w:rPr>
      </w:pPr>
    </w:p>
    <w:p>
      <w:pPr>
        <w:spacing w:before="0"/>
        <w:ind w:left="1160" w:right="0" w:firstLine="0"/>
        <w:jc w:val="left"/>
        <w:rPr>
          <w:b/>
          <w:sz w:val="20"/>
        </w:rPr>
      </w:pPr>
      <w:r>
        <w:rPr>
          <w:b/>
          <w:sz w:val="20"/>
        </w:rPr>
        <w:t>VTR</w:t>
      </w:r>
      <w:r>
        <w:rPr>
          <w:b/>
          <w:spacing w:val="-3"/>
          <w:sz w:val="20"/>
        </w:rPr>
        <w:t> </w:t>
      </w:r>
      <w:r>
        <w:rPr>
          <w:b/>
          <w:spacing w:val="-2"/>
          <w:sz w:val="20"/>
        </w:rPr>
        <w:t>Comments:</w:t>
      </w:r>
    </w:p>
    <w:p>
      <w:pPr>
        <w:pStyle w:val="BodyText"/>
        <w:spacing w:before="7"/>
        <w:rPr>
          <w:b/>
          <w:sz w:val="18"/>
        </w:rPr>
      </w:pPr>
    </w:p>
    <w:p>
      <w:pPr>
        <w:pStyle w:val="ListParagraph"/>
        <w:numPr>
          <w:ilvl w:val="0"/>
          <w:numId w:val="41"/>
        </w:numPr>
        <w:tabs>
          <w:tab w:pos="1951" w:val="left" w:leader="none"/>
          <w:tab w:pos="1953" w:val="left" w:leader="none"/>
        </w:tabs>
        <w:spacing w:line="240" w:lineRule="auto" w:before="0" w:after="0"/>
        <w:ind w:left="1952" w:right="897" w:hanging="360"/>
        <w:jc w:val="left"/>
        <w:rPr>
          <w:sz w:val="20"/>
        </w:rPr>
      </w:pPr>
      <w:r>
        <w:rPr>
          <w:sz w:val="20"/>
        </w:rPr>
        <w:t>Mastery of graphic skills is essential to communicating ideas effectively within the practice</w:t>
      </w:r>
      <w:r>
        <w:rPr>
          <w:spacing w:val="-5"/>
          <w:sz w:val="20"/>
        </w:rPr>
        <w:t> </w:t>
      </w:r>
      <w:r>
        <w:rPr>
          <w:sz w:val="20"/>
        </w:rPr>
        <w:t>of</w:t>
      </w:r>
      <w:r>
        <w:rPr>
          <w:spacing w:val="-3"/>
          <w:sz w:val="20"/>
        </w:rPr>
        <w:t> </w:t>
      </w:r>
      <w:r>
        <w:rPr>
          <w:sz w:val="20"/>
        </w:rPr>
        <w:t>architecture.</w:t>
      </w:r>
      <w:r>
        <w:rPr>
          <w:spacing w:val="40"/>
          <w:sz w:val="20"/>
        </w:rPr>
        <w:t> </w:t>
      </w:r>
      <w:r>
        <w:rPr>
          <w:sz w:val="20"/>
        </w:rPr>
        <w:t>However,</w:t>
      </w:r>
      <w:r>
        <w:rPr>
          <w:spacing w:val="-5"/>
          <w:sz w:val="20"/>
        </w:rPr>
        <w:t> </w:t>
      </w:r>
      <w:r>
        <w:rPr>
          <w:sz w:val="20"/>
        </w:rPr>
        <w:t>consistent</w:t>
      </w:r>
      <w:r>
        <w:rPr>
          <w:spacing w:val="-5"/>
          <w:sz w:val="20"/>
        </w:rPr>
        <w:t> </w:t>
      </w:r>
      <w:r>
        <w:rPr>
          <w:sz w:val="20"/>
        </w:rPr>
        <w:t>evidence</w:t>
      </w:r>
      <w:r>
        <w:rPr>
          <w:spacing w:val="-3"/>
          <w:sz w:val="20"/>
        </w:rPr>
        <w:t> </w:t>
      </w:r>
      <w:r>
        <w:rPr>
          <w:sz w:val="20"/>
        </w:rPr>
        <w:t>of</w:t>
      </w:r>
      <w:r>
        <w:rPr>
          <w:spacing w:val="-3"/>
          <w:sz w:val="20"/>
        </w:rPr>
        <w:t> </w:t>
      </w:r>
      <w:r>
        <w:rPr>
          <w:sz w:val="20"/>
        </w:rPr>
        <w:t>freehand</w:t>
      </w:r>
      <w:r>
        <w:rPr>
          <w:spacing w:val="-5"/>
          <w:sz w:val="20"/>
        </w:rPr>
        <w:t> </w:t>
      </w:r>
      <w:r>
        <w:rPr>
          <w:sz w:val="20"/>
        </w:rPr>
        <w:t>drawing</w:t>
      </w:r>
      <w:r>
        <w:rPr>
          <w:spacing w:val="-5"/>
          <w:sz w:val="20"/>
        </w:rPr>
        <w:t> </w:t>
      </w:r>
      <w:r>
        <w:rPr>
          <w:sz w:val="20"/>
        </w:rPr>
        <w:t>skills</w:t>
      </w:r>
      <w:r>
        <w:rPr>
          <w:spacing w:val="-1"/>
          <w:sz w:val="20"/>
        </w:rPr>
        <w:t> </w:t>
      </w:r>
      <w:r>
        <w:rPr>
          <w:sz w:val="20"/>
        </w:rPr>
        <w:t>was not observed in student work; a cause for concern.</w:t>
      </w:r>
    </w:p>
    <w:p>
      <w:pPr>
        <w:pStyle w:val="BodyText"/>
        <w:spacing w:before="3"/>
        <w:rPr>
          <w:sz w:val="17"/>
        </w:rPr>
      </w:pPr>
    </w:p>
    <w:p>
      <w:pPr>
        <w:spacing w:before="0"/>
        <w:ind w:left="1160" w:right="0" w:firstLine="0"/>
        <w:jc w:val="left"/>
        <w:rPr>
          <w:b/>
          <w:sz w:val="20"/>
        </w:rPr>
      </w:pPr>
      <w:r>
        <w:rPr>
          <w:b/>
          <w:sz w:val="20"/>
        </w:rPr>
        <w:t>Program</w:t>
      </w:r>
      <w:r>
        <w:rPr>
          <w:b/>
          <w:spacing w:val="-8"/>
          <w:sz w:val="20"/>
        </w:rPr>
        <w:t> </w:t>
      </w:r>
      <w:r>
        <w:rPr>
          <w:b/>
          <w:sz w:val="20"/>
        </w:rPr>
        <w:t>Response</w:t>
      </w:r>
      <w:r>
        <w:rPr>
          <w:b/>
          <w:spacing w:val="-8"/>
          <w:sz w:val="20"/>
        </w:rPr>
        <w:t> </w:t>
      </w:r>
      <w:r>
        <w:rPr>
          <w:b/>
          <w:sz w:val="20"/>
        </w:rPr>
        <w:t>Since</w:t>
      </w:r>
      <w:r>
        <w:rPr>
          <w:b/>
          <w:spacing w:val="-7"/>
          <w:sz w:val="20"/>
        </w:rPr>
        <w:t> </w:t>
      </w:r>
      <w:r>
        <w:rPr>
          <w:b/>
          <w:sz w:val="20"/>
        </w:rPr>
        <w:t>Last</w:t>
      </w:r>
      <w:r>
        <w:rPr>
          <w:b/>
          <w:spacing w:val="-8"/>
          <w:sz w:val="20"/>
        </w:rPr>
        <w:t> </w:t>
      </w:r>
      <w:r>
        <w:rPr>
          <w:b/>
          <w:spacing w:val="-2"/>
          <w:sz w:val="20"/>
        </w:rPr>
        <w:t>Visit:</w:t>
      </w:r>
    </w:p>
    <w:p>
      <w:pPr>
        <w:pStyle w:val="BodyText"/>
        <w:spacing w:before="7"/>
        <w:rPr>
          <w:b/>
          <w:sz w:val="18"/>
        </w:rPr>
      </w:pPr>
    </w:p>
    <w:p>
      <w:pPr>
        <w:pStyle w:val="ListParagraph"/>
        <w:numPr>
          <w:ilvl w:val="0"/>
          <w:numId w:val="41"/>
        </w:numPr>
        <w:tabs>
          <w:tab w:pos="1951" w:val="left" w:leader="none"/>
          <w:tab w:pos="1953" w:val="left" w:leader="none"/>
        </w:tabs>
        <w:spacing w:line="240" w:lineRule="auto" w:before="0" w:after="0"/>
        <w:ind w:left="1952" w:right="687" w:hanging="360"/>
        <w:jc w:val="left"/>
        <w:rPr>
          <w:sz w:val="20"/>
        </w:rPr>
      </w:pPr>
      <w:r>
        <w:rPr>
          <w:sz w:val="20"/>
        </w:rPr>
        <w:t>2010 Response: Our first year studio outcomes include significant hand drawing requirements. Students do not work in digital media until the second year. At that time, they are taught as a part of the design process, to use hand drawings and quick sketches to capture conceptual thoughts. We have added a second architectural representation class to our required curriculum to allow more emphasis to be placed on both hand drawn and digital media. After our third year, our students take a required summer</w:t>
      </w:r>
      <w:r>
        <w:rPr>
          <w:spacing w:val="-5"/>
          <w:sz w:val="20"/>
        </w:rPr>
        <w:t> </w:t>
      </w:r>
      <w:r>
        <w:rPr>
          <w:sz w:val="20"/>
        </w:rPr>
        <w:t>Travel</w:t>
      </w:r>
      <w:r>
        <w:rPr>
          <w:spacing w:val="-5"/>
          <w:sz w:val="20"/>
        </w:rPr>
        <w:t> </w:t>
      </w:r>
      <w:r>
        <w:rPr>
          <w:sz w:val="20"/>
        </w:rPr>
        <w:t>Abroad</w:t>
      </w:r>
      <w:r>
        <w:rPr>
          <w:spacing w:val="-4"/>
          <w:sz w:val="20"/>
        </w:rPr>
        <w:t> </w:t>
      </w:r>
      <w:r>
        <w:rPr>
          <w:sz w:val="20"/>
        </w:rPr>
        <w:t>Studio</w:t>
      </w:r>
      <w:r>
        <w:rPr>
          <w:spacing w:val="-4"/>
          <w:sz w:val="20"/>
        </w:rPr>
        <w:t> </w:t>
      </w:r>
      <w:r>
        <w:rPr>
          <w:sz w:val="20"/>
        </w:rPr>
        <w:t>conducted,</w:t>
      </w:r>
      <w:r>
        <w:rPr>
          <w:spacing w:val="-3"/>
          <w:sz w:val="20"/>
        </w:rPr>
        <w:t> </w:t>
      </w:r>
      <w:r>
        <w:rPr>
          <w:sz w:val="20"/>
        </w:rPr>
        <w:t>in</w:t>
      </w:r>
      <w:r>
        <w:rPr>
          <w:spacing w:val="-3"/>
          <w:sz w:val="20"/>
        </w:rPr>
        <w:t> </w:t>
      </w:r>
      <w:r>
        <w:rPr>
          <w:sz w:val="20"/>
        </w:rPr>
        <w:t>part,</w:t>
      </w:r>
      <w:r>
        <w:rPr>
          <w:spacing w:val="-3"/>
          <w:sz w:val="20"/>
        </w:rPr>
        <w:t> </w:t>
      </w:r>
      <w:r>
        <w:rPr>
          <w:sz w:val="20"/>
        </w:rPr>
        <w:t>by</w:t>
      </w:r>
      <w:r>
        <w:rPr>
          <w:spacing w:val="-5"/>
          <w:sz w:val="20"/>
        </w:rPr>
        <w:t> </w:t>
      </w:r>
      <w:r>
        <w:rPr>
          <w:sz w:val="20"/>
        </w:rPr>
        <w:t>the</w:t>
      </w:r>
      <w:r>
        <w:rPr>
          <w:spacing w:val="-4"/>
          <w:sz w:val="20"/>
        </w:rPr>
        <w:t> </w:t>
      </w:r>
      <w:r>
        <w:rPr>
          <w:sz w:val="20"/>
        </w:rPr>
        <w:t>internationally</w:t>
      </w:r>
      <w:r>
        <w:rPr>
          <w:spacing w:val="-7"/>
          <w:sz w:val="20"/>
        </w:rPr>
        <w:t> </w:t>
      </w:r>
      <w:r>
        <w:rPr>
          <w:sz w:val="20"/>
        </w:rPr>
        <w:t>renowned</w:t>
      </w:r>
      <w:r>
        <w:rPr>
          <w:spacing w:val="-3"/>
          <w:sz w:val="20"/>
        </w:rPr>
        <w:t> </w:t>
      </w:r>
      <w:r>
        <w:rPr>
          <w:sz w:val="20"/>
        </w:rPr>
        <w:t>Urban Designer, Ray Gindroz, who works with our students on hand drawing techniques.</w:t>
      </w:r>
    </w:p>
    <w:p>
      <w:pPr>
        <w:pStyle w:val="BodyText"/>
        <w:spacing w:before="8"/>
        <w:rPr>
          <w:sz w:val="18"/>
        </w:rPr>
      </w:pPr>
    </w:p>
    <w:p>
      <w:pPr>
        <w:pStyle w:val="ListParagraph"/>
        <w:numPr>
          <w:ilvl w:val="0"/>
          <w:numId w:val="41"/>
        </w:numPr>
        <w:tabs>
          <w:tab w:pos="1951" w:val="left" w:leader="none"/>
          <w:tab w:pos="1953" w:val="left" w:leader="none"/>
        </w:tabs>
        <w:spacing w:line="240" w:lineRule="auto" w:before="0" w:after="0"/>
        <w:ind w:left="1952" w:right="952" w:hanging="360"/>
        <w:jc w:val="left"/>
        <w:rPr>
          <w:sz w:val="20"/>
        </w:rPr>
      </w:pPr>
      <w:r>
        <w:rPr>
          <w:sz w:val="20"/>
        </w:rPr>
        <w:t>2011</w:t>
      </w:r>
      <w:r>
        <w:rPr>
          <w:spacing w:val="-3"/>
          <w:sz w:val="20"/>
        </w:rPr>
        <w:t> </w:t>
      </w:r>
      <w:r>
        <w:rPr>
          <w:sz w:val="20"/>
        </w:rPr>
        <w:t>Response:</w:t>
      </w:r>
      <w:r>
        <w:rPr>
          <w:spacing w:val="-5"/>
          <w:sz w:val="20"/>
        </w:rPr>
        <w:t> </w:t>
      </w:r>
      <w:r>
        <w:rPr>
          <w:sz w:val="20"/>
        </w:rPr>
        <w:t>The</w:t>
      </w:r>
      <w:r>
        <w:rPr>
          <w:spacing w:val="-5"/>
          <w:sz w:val="20"/>
        </w:rPr>
        <w:t> </w:t>
      </w:r>
      <w:r>
        <w:rPr>
          <w:sz w:val="20"/>
        </w:rPr>
        <w:t>programs</w:t>
      </w:r>
      <w:r>
        <w:rPr>
          <w:spacing w:val="-4"/>
          <w:sz w:val="20"/>
        </w:rPr>
        <w:t> </w:t>
      </w:r>
      <w:r>
        <w:rPr>
          <w:sz w:val="20"/>
        </w:rPr>
        <w:t>above</w:t>
      </w:r>
      <w:r>
        <w:rPr>
          <w:spacing w:val="-5"/>
          <w:sz w:val="20"/>
        </w:rPr>
        <w:t> </w:t>
      </w:r>
      <w:r>
        <w:rPr>
          <w:sz w:val="20"/>
        </w:rPr>
        <w:t>continue</w:t>
      </w:r>
      <w:r>
        <w:rPr>
          <w:spacing w:val="-5"/>
          <w:sz w:val="20"/>
        </w:rPr>
        <w:t> </w:t>
      </w:r>
      <w:r>
        <w:rPr>
          <w:sz w:val="20"/>
        </w:rPr>
        <w:t>to</w:t>
      </w:r>
      <w:r>
        <w:rPr>
          <w:spacing w:val="-5"/>
          <w:sz w:val="20"/>
        </w:rPr>
        <w:t> </w:t>
      </w:r>
      <w:r>
        <w:rPr>
          <w:sz w:val="20"/>
        </w:rPr>
        <w:t>provide</w:t>
      </w:r>
      <w:r>
        <w:rPr>
          <w:spacing w:val="-3"/>
          <w:sz w:val="20"/>
        </w:rPr>
        <w:t> </w:t>
      </w:r>
      <w:r>
        <w:rPr>
          <w:sz w:val="20"/>
        </w:rPr>
        <w:t>increased</w:t>
      </w:r>
      <w:r>
        <w:rPr>
          <w:spacing w:val="-3"/>
          <w:sz w:val="20"/>
        </w:rPr>
        <w:t> </w:t>
      </w:r>
      <w:r>
        <w:rPr>
          <w:sz w:val="20"/>
        </w:rPr>
        <w:t>opportunities</w:t>
      </w:r>
      <w:r>
        <w:rPr>
          <w:spacing w:val="-4"/>
          <w:sz w:val="20"/>
        </w:rPr>
        <w:t> </w:t>
      </w:r>
      <w:r>
        <w:rPr>
          <w:sz w:val="20"/>
        </w:rPr>
        <w:t>for students to develop their graphic skills. They are now monitored based on required </w:t>
      </w:r>
      <w:r>
        <w:rPr>
          <w:spacing w:val="-2"/>
          <w:sz w:val="20"/>
        </w:rPr>
        <w:t>outcomes.</w:t>
      </w:r>
    </w:p>
    <w:p>
      <w:pPr>
        <w:pStyle w:val="BodyText"/>
        <w:spacing w:before="5"/>
        <w:rPr>
          <w:sz w:val="17"/>
        </w:rPr>
      </w:pPr>
    </w:p>
    <w:p>
      <w:pPr>
        <w:pStyle w:val="ListParagraph"/>
        <w:numPr>
          <w:ilvl w:val="1"/>
          <w:numId w:val="41"/>
        </w:numPr>
        <w:tabs>
          <w:tab w:pos="2312" w:val="left" w:leader="none"/>
        </w:tabs>
        <w:spacing w:line="240" w:lineRule="auto" w:before="1" w:after="0"/>
        <w:ind w:left="2311" w:right="836" w:hanging="360"/>
        <w:jc w:val="left"/>
        <w:rPr>
          <w:sz w:val="20"/>
        </w:rPr>
      </w:pPr>
      <w:r>
        <w:rPr>
          <w:sz w:val="20"/>
        </w:rPr>
        <w:t>We</w:t>
      </w:r>
      <w:r>
        <w:rPr>
          <w:spacing w:val="-7"/>
          <w:sz w:val="20"/>
        </w:rPr>
        <w:t> </w:t>
      </w:r>
      <w:r>
        <w:rPr>
          <w:sz w:val="20"/>
        </w:rPr>
        <w:t>have,</w:t>
      </w:r>
      <w:r>
        <w:rPr>
          <w:spacing w:val="-2"/>
          <w:sz w:val="20"/>
        </w:rPr>
        <w:t> </w:t>
      </w:r>
      <w:r>
        <w:rPr>
          <w:sz w:val="20"/>
        </w:rPr>
        <w:t>as</w:t>
      </w:r>
      <w:r>
        <w:rPr>
          <w:spacing w:val="-3"/>
          <w:sz w:val="20"/>
        </w:rPr>
        <w:t> </w:t>
      </w:r>
      <w:r>
        <w:rPr>
          <w:sz w:val="20"/>
        </w:rPr>
        <w:t>part</w:t>
      </w:r>
      <w:r>
        <w:rPr>
          <w:spacing w:val="-4"/>
          <w:sz w:val="20"/>
        </w:rPr>
        <w:t> </w:t>
      </w:r>
      <w:r>
        <w:rPr>
          <w:sz w:val="20"/>
        </w:rPr>
        <w:t>of</w:t>
      </w:r>
      <w:r>
        <w:rPr>
          <w:spacing w:val="-2"/>
          <w:sz w:val="20"/>
        </w:rPr>
        <w:t> </w:t>
      </w:r>
      <w:r>
        <w:rPr>
          <w:sz w:val="20"/>
        </w:rPr>
        <w:t>the</w:t>
      </w:r>
      <w:r>
        <w:rPr>
          <w:spacing w:val="-4"/>
          <w:sz w:val="20"/>
        </w:rPr>
        <w:t> </w:t>
      </w:r>
      <w:r>
        <w:rPr>
          <w:sz w:val="20"/>
        </w:rPr>
        <w:t>re-configured</w:t>
      </w:r>
      <w:r>
        <w:rPr>
          <w:spacing w:val="-4"/>
          <w:sz w:val="20"/>
        </w:rPr>
        <w:t> </w:t>
      </w:r>
      <w:r>
        <w:rPr>
          <w:sz w:val="20"/>
        </w:rPr>
        <w:t>curriculum,</w:t>
      </w:r>
      <w:r>
        <w:rPr>
          <w:spacing w:val="-4"/>
          <w:sz w:val="20"/>
        </w:rPr>
        <w:t> </w:t>
      </w:r>
      <w:r>
        <w:rPr>
          <w:sz w:val="20"/>
        </w:rPr>
        <w:t>an</w:t>
      </w:r>
      <w:r>
        <w:rPr>
          <w:spacing w:val="-4"/>
          <w:sz w:val="20"/>
        </w:rPr>
        <w:t> </w:t>
      </w:r>
      <w:r>
        <w:rPr>
          <w:sz w:val="20"/>
        </w:rPr>
        <w:t>additional</w:t>
      </w:r>
      <w:r>
        <w:rPr>
          <w:spacing w:val="-3"/>
          <w:sz w:val="20"/>
        </w:rPr>
        <w:t> </w:t>
      </w:r>
      <w:r>
        <w:rPr>
          <w:sz w:val="20"/>
        </w:rPr>
        <w:t>course,</w:t>
      </w:r>
      <w:r>
        <w:rPr>
          <w:spacing w:val="-2"/>
          <w:sz w:val="20"/>
        </w:rPr>
        <w:t> </w:t>
      </w:r>
      <w:r>
        <w:rPr>
          <w:sz w:val="20"/>
        </w:rPr>
        <w:t>ARC</w:t>
      </w:r>
      <w:r>
        <w:rPr>
          <w:spacing w:val="-1"/>
          <w:sz w:val="20"/>
        </w:rPr>
        <w:t> </w:t>
      </w:r>
      <w:r>
        <w:rPr>
          <w:sz w:val="20"/>
        </w:rPr>
        <w:t>204</w:t>
      </w:r>
      <w:r>
        <w:rPr>
          <w:spacing w:val="-1"/>
          <w:sz w:val="20"/>
        </w:rPr>
        <w:t> </w:t>
      </w:r>
      <w:r>
        <w:rPr>
          <w:sz w:val="20"/>
        </w:rPr>
        <w:t>– Architecture Representation II, to facilitate increased instruction in digital </w:t>
      </w:r>
      <w:r>
        <w:rPr>
          <w:spacing w:val="-2"/>
          <w:sz w:val="20"/>
        </w:rPr>
        <w:t>craftsmanship.</w:t>
      </w:r>
    </w:p>
    <w:p>
      <w:pPr>
        <w:pStyle w:val="BodyText"/>
        <w:spacing w:before="5"/>
        <w:rPr>
          <w:sz w:val="17"/>
        </w:rPr>
      </w:pPr>
    </w:p>
    <w:p>
      <w:pPr>
        <w:pStyle w:val="ListParagraph"/>
        <w:numPr>
          <w:ilvl w:val="1"/>
          <w:numId w:val="41"/>
        </w:numPr>
        <w:tabs>
          <w:tab w:pos="2312" w:val="left" w:leader="none"/>
        </w:tabs>
        <w:spacing w:line="240" w:lineRule="auto" w:before="0" w:after="0"/>
        <w:ind w:left="2311" w:right="850" w:hanging="360"/>
        <w:jc w:val="left"/>
        <w:rPr>
          <w:sz w:val="20"/>
        </w:rPr>
      </w:pPr>
      <w:r>
        <w:rPr>
          <w:sz w:val="20"/>
        </w:rPr>
        <w:t>We have expanded use of the laser cutter, a tool heretofore underutilized in the program.</w:t>
      </w:r>
      <w:r>
        <w:rPr>
          <w:spacing w:val="-5"/>
          <w:sz w:val="20"/>
        </w:rPr>
        <w:t> </w:t>
      </w:r>
      <w:r>
        <w:rPr>
          <w:sz w:val="20"/>
        </w:rPr>
        <w:t>The</w:t>
      </w:r>
      <w:r>
        <w:rPr>
          <w:spacing w:val="-5"/>
          <w:sz w:val="20"/>
        </w:rPr>
        <w:t> </w:t>
      </w:r>
      <w:r>
        <w:rPr>
          <w:sz w:val="20"/>
        </w:rPr>
        <w:t>Adjunct</w:t>
      </w:r>
      <w:r>
        <w:rPr>
          <w:spacing w:val="-5"/>
          <w:sz w:val="20"/>
        </w:rPr>
        <w:t> </w:t>
      </w:r>
      <w:r>
        <w:rPr>
          <w:sz w:val="20"/>
        </w:rPr>
        <w:t>professor,</w:t>
      </w:r>
      <w:r>
        <w:rPr>
          <w:spacing w:val="-5"/>
          <w:sz w:val="20"/>
        </w:rPr>
        <w:t> </w:t>
      </w:r>
      <w:r>
        <w:rPr>
          <w:sz w:val="20"/>
        </w:rPr>
        <w:t>one</w:t>
      </w:r>
      <w:r>
        <w:rPr>
          <w:spacing w:val="-5"/>
          <w:sz w:val="20"/>
        </w:rPr>
        <w:t> </w:t>
      </w:r>
      <w:r>
        <w:rPr>
          <w:sz w:val="20"/>
        </w:rPr>
        <w:t>of</w:t>
      </w:r>
      <w:r>
        <w:rPr>
          <w:spacing w:val="-3"/>
          <w:sz w:val="20"/>
        </w:rPr>
        <w:t> </w:t>
      </w:r>
      <w:r>
        <w:rPr>
          <w:sz w:val="20"/>
        </w:rPr>
        <w:t>our</w:t>
      </w:r>
      <w:r>
        <w:rPr>
          <w:spacing w:val="-4"/>
          <w:sz w:val="20"/>
        </w:rPr>
        <w:t> </w:t>
      </w:r>
      <w:r>
        <w:rPr>
          <w:sz w:val="20"/>
        </w:rPr>
        <w:t>former</w:t>
      </w:r>
      <w:r>
        <w:rPr>
          <w:spacing w:val="-4"/>
          <w:sz w:val="20"/>
        </w:rPr>
        <w:t> </w:t>
      </w:r>
      <w:r>
        <w:rPr>
          <w:sz w:val="20"/>
        </w:rPr>
        <w:t>graduates,</w:t>
      </w:r>
      <w:r>
        <w:rPr>
          <w:spacing w:val="-5"/>
          <w:sz w:val="20"/>
        </w:rPr>
        <w:t> </w:t>
      </w:r>
      <w:r>
        <w:rPr>
          <w:sz w:val="20"/>
        </w:rPr>
        <w:t>conducts</w:t>
      </w:r>
      <w:r>
        <w:rPr>
          <w:spacing w:val="-4"/>
          <w:sz w:val="20"/>
        </w:rPr>
        <w:t> </w:t>
      </w:r>
      <w:r>
        <w:rPr>
          <w:sz w:val="20"/>
        </w:rPr>
        <w:t>classes</w:t>
      </w:r>
      <w:r>
        <w:rPr>
          <w:spacing w:val="-4"/>
          <w:sz w:val="20"/>
        </w:rPr>
        <w:t> </w:t>
      </w:r>
      <w:r>
        <w:rPr>
          <w:sz w:val="20"/>
        </w:rPr>
        <w:t>to enable students to understand the potential of this equipment.</w:t>
      </w:r>
    </w:p>
    <w:p>
      <w:pPr>
        <w:pStyle w:val="BodyText"/>
        <w:spacing w:before="5"/>
        <w:rPr>
          <w:sz w:val="17"/>
        </w:rPr>
      </w:pPr>
    </w:p>
    <w:p>
      <w:pPr>
        <w:pStyle w:val="ListParagraph"/>
        <w:numPr>
          <w:ilvl w:val="1"/>
          <w:numId w:val="41"/>
        </w:numPr>
        <w:tabs>
          <w:tab w:pos="2312" w:val="left" w:leader="none"/>
        </w:tabs>
        <w:spacing w:line="240" w:lineRule="auto" w:before="0" w:after="0"/>
        <w:ind w:left="2311" w:right="650" w:hanging="360"/>
        <w:jc w:val="left"/>
        <w:rPr>
          <w:sz w:val="20"/>
        </w:rPr>
      </w:pPr>
      <w:r>
        <w:rPr>
          <w:sz w:val="20"/>
        </w:rPr>
        <w:t>Our</w:t>
      </w:r>
      <w:r>
        <w:rPr>
          <w:spacing w:val="-4"/>
          <w:sz w:val="20"/>
        </w:rPr>
        <w:t> </w:t>
      </w:r>
      <w:r>
        <w:rPr>
          <w:sz w:val="20"/>
        </w:rPr>
        <w:t>students</w:t>
      </w:r>
      <w:r>
        <w:rPr>
          <w:spacing w:val="-1"/>
          <w:sz w:val="20"/>
        </w:rPr>
        <w:t> </w:t>
      </w:r>
      <w:r>
        <w:rPr>
          <w:sz w:val="20"/>
        </w:rPr>
        <w:t>participate</w:t>
      </w:r>
      <w:r>
        <w:rPr>
          <w:spacing w:val="-5"/>
          <w:sz w:val="20"/>
        </w:rPr>
        <w:t> </w:t>
      </w:r>
      <w:r>
        <w:rPr>
          <w:sz w:val="20"/>
        </w:rPr>
        <w:t>in</w:t>
      </w:r>
      <w:r>
        <w:rPr>
          <w:spacing w:val="-3"/>
          <w:sz w:val="20"/>
        </w:rPr>
        <w:t> </w:t>
      </w:r>
      <w:r>
        <w:rPr>
          <w:sz w:val="20"/>
        </w:rPr>
        <w:t>mandatory</w:t>
      </w:r>
      <w:r>
        <w:rPr>
          <w:spacing w:val="-8"/>
          <w:sz w:val="20"/>
        </w:rPr>
        <w:t> </w:t>
      </w:r>
      <w:r>
        <w:rPr>
          <w:sz w:val="20"/>
        </w:rPr>
        <w:t>statewide</w:t>
      </w:r>
      <w:r>
        <w:rPr>
          <w:spacing w:val="-5"/>
          <w:sz w:val="20"/>
        </w:rPr>
        <w:t> </w:t>
      </w:r>
      <w:r>
        <w:rPr>
          <w:sz w:val="20"/>
        </w:rPr>
        <w:t>design</w:t>
      </w:r>
      <w:r>
        <w:rPr>
          <w:spacing w:val="-5"/>
          <w:sz w:val="20"/>
        </w:rPr>
        <w:t> </w:t>
      </w:r>
      <w:r>
        <w:rPr>
          <w:sz w:val="20"/>
        </w:rPr>
        <w:t>competitions</w:t>
      </w:r>
      <w:r>
        <w:rPr>
          <w:spacing w:val="-4"/>
          <w:sz w:val="20"/>
        </w:rPr>
        <w:t> </w:t>
      </w:r>
      <w:r>
        <w:rPr>
          <w:sz w:val="20"/>
        </w:rPr>
        <w:t>that</w:t>
      </w:r>
      <w:r>
        <w:rPr>
          <w:spacing w:val="-5"/>
          <w:sz w:val="20"/>
        </w:rPr>
        <w:t> </w:t>
      </w:r>
      <w:r>
        <w:rPr>
          <w:sz w:val="20"/>
        </w:rPr>
        <w:t>allow</w:t>
      </w:r>
      <w:r>
        <w:rPr>
          <w:spacing w:val="-5"/>
          <w:sz w:val="20"/>
        </w:rPr>
        <w:t> </w:t>
      </w:r>
      <w:r>
        <w:rPr>
          <w:sz w:val="20"/>
        </w:rPr>
        <w:t>them to see the work of other students.</w:t>
      </w:r>
    </w:p>
    <w:p>
      <w:pPr>
        <w:pStyle w:val="BodyText"/>
        <w:spacing w:before="5"/>
        <w:rPr>
          <w:sz w:val="18"/>
        </w:rPr>
      </w:pPr>
    </w:p>
    <w:p>
      <w:pPr>
        <w:pStyle w:val="ListParagraph"/>
        <w:numPr>
          <w:ilvl w:val="0"/>
          <w:numId w:val="41"/>
        </w:numPr>
        <w:tabs>
          <w:tab w:pos="1951" w:val="left" w:leader="none"/>
          <w:tab w:pos="1952" w:val="left" w:leader="none"/>
        </w:tabs>
        <w:spacing w:line="240" w:lineRule="auto" w:before="0" w:after="0"/>
        <w:ind w:left="1951" w:right="1131" w:hanging="360"/>
        <w:jc w:val="left"/>
        <w:rPr>
          <w:sz w:val="20"/>
        </w:rPr>
      </w:pPr>
      <w:r>
        <w:rPr>
          <w:sz w:val="20"/>
        </w:rPr>
        <w:t>The 2012 curriculum revision added an additional course, ARC 204, Architectural Representation</w:t>
      </w:r>
      <w:r>
        <w:rPr>
          <w:spacing w:val="-2"/>
          <w:sz w:val="20"/>
        </w:rPr>
        <w:t> </w:t>
      </w:r>
      <w:r>
        <w:rPr>
          <w:sz w:val="20"/>
        </w:rPr>
        <w:t>II,</w:t>
      </w:r>
      <w:r>
        <w:rPr>
          <w:spacing w:val="-4"/>
          <w:sz w:val="20"/>
        </w:rPr>
        <w:t> </w:t>
      </w:r>
      <w:r>
        <w:rPr>
          <w:sz w:val="20"/>
        </w:rPr>
        <w:t>to</w:t>
      </w:r>
      <w:r>
        <w:rPr>
          <w:spacing w:val="-4"/>
          <w:sz w:val="20"/>
        </w:rPr>
        <w:t> </w:t>
      </w:r>
      <w:r>
        <w:rPr>
          <w:sz w:val="20"/>
        </w:rPr>
        <w:t>provide</w:t>
      </w:r>
      <w:r>
        <w:rPr>
          <w:spacing w:val="-4"/>
          <w:sz w:val="20"/>
        </w:rPr>
        <w:t> </w:t>
      </w:r>
      <w:r>
        <w:rPr>
          <w:sz w:val="20"/>
        </w:rPr>
        <w:t>more</w:t>
      </w:r>
      <w:r>
        <w:rPr>
          <w:spacing w:val="-4"/>
          <w:sz w:val="20"/>
        </w:rPr>
        <w:t> </w:t>
      </w:r>
      <w:r>
        <w:rPr>
          <w:sz w:val="20"/>
        </w:rPr>
        <w:t>time</w:t>
      </w:r>
      <w:r>
        <w:rPr>
          <w:spacing w:val="-7"/>
          <w:sz w:val="20"/>
        </w:rPr>
        <w:t> </w:t>
      </w:r>
      <w:r>
        <w:rPr>
          <w:sz w:val="20"/>
        </w:rPr>
        <w:t>for</w:t>
      </w:r>
      <w:r>
        <w:rPr>
          <w:spacing w:val="-3"/>
          <w:sz w:val="20"/>
        </w:rPr>
        <w:t> </w:t>
      </w:r>
      <w:r>
        <w:rPr>
          <w:sz w:val="20"/>
        </w:rPr>
        <w:t>students</w:t>
      </w:r>
      <w:r>
        <w:rPr>
          <w:spacing w:val="-3"/>
          <w:sz w:val="20"/>
        </w:rPr>
        <w:t> </w:t>
      </w:r>
      <w:r>
        <w:rPr>
          <w:sz w:val="20"/>
        </w:rPr>
        <w:t>to</w:t>
      </w:r>
      <w:r>
        <w:rPr>
          <w:spacing w:val="-2"/>
          <w:sz w:val="20"/>
        </w:rPr>
        <w:t> </w:t>
      </w:r>
      <w:r>
        <w:rPr>
          <w:sz w:val="20"/>
        </w:rPr>
        <w:t>learn</w:t>
      </w:r>
      <w:r>
        <w:rPr>
          <w:spacing w:val="-2"/>
          <w:sz w:val="20"/>
        </w:rPr>
        <w:t> </w:t>
      </w:r>
      <w:r>
        <w:rPr>
          <w:sz w:val="20"/>
        </w:rPr>
        <w:t>how</w:t>
      </w:r>
      <w:r>
        <w:rPr>
          <w:spacing w:val="-4"/>
          <w:sz w:val="20"/>
        </w:rPr>
        <w:t> </w:t>
      </w:r>
      <w:r>
        <w:rPr>
          <w:sz w:val="20"/>
        </w:rPr>
        <w:t>to</w:t>
      </w:r>
      <w:r>
        <w:rPr>
          <w:spacing w:val="-2"/>
          <w:sz w:val="20"/>
        </w:rPr>
        <w:t> </w:t>
      </w:r>
      <w:r>
        <w:rPr>
          <w:sz w:val="20"/>
        </w:rPr>
        <w:t>use</w:t>
      </w:r>
      <w:r>
        <w:rPr>
          <w:spacing w:val="-4"/>
          <w:sz w:val="20"/>
        </w:rPr>
        <w:t> </w:t>
      </w:r>
      <w:r>
        <w:rPr>
          <w:sz w:val="20"/>
        </w:rPr>
        <w:t>software</w:t>
      </w:r>
      <w:r>
        <w:rPr>
          <w:spacing w:val="-4"/>
          <w:sz w:val="20"/>
        </w:rPr>
        <w:t> </w:t>
      </w:r>
      <w:r>
        <w:rPr>
          <w:sz w:val="20"/>
        </w:rPr>
        <w:t>to enhance their digital graphic representation skills.</w:t>
      </w:r>
    </w:p>
    <w:p>
      <w:pPr>
        <w:pStyle w:val="BodyText"/>
        <w:spacing w:before="6"/>
        <w:rPr>
          <w:sz w:val="18"/>
        </w:rPr>
      </w:pPr>
    </w:p>
    <w:p>
      <w:pPr>
        <w:pStyle w:val="ListParagraph"/>
        <w:numPr>
          <w:ilvl w:val="0"/>
          <w:numId w:val="41"/>
        </w:numPr>
        <w:tabs>
          <w:tab w:pos="1951" w:val="left" w:leader="none"/>
          <w:tab w:pos="1952" w:val="left" w:leader="none"/>
        </w:tabs>
        <w:spacing w:line="240" w:lineRule="auto" w:before="0" w:after="0"/>
        <w:ind w:left="1951" w:right="735" w:hanging="360"/>
        <w:jc w:val="left"/>
        <w:rPr>
          <w:sz w:val="20"/>
        </w:rPr>
      </w:pPr>
      <w:r>
        <w:rPr>
          <w:sz w:val="20"/>
        </w:rPr>
        <w:t>This</w:t>
      </w:r>
      <w:r>
        <w:rPr>
          <w:spacing w:val="-3"/>
          <w:sz w:val="20"/>
        </w:rPr>
        <w:t> </w:t>
      </w:r>
      <w:r>
        <w:rPr>
          <w:sz w:val="20"/>
        </w:rPr>
        <w:t>process</w:t>
      </w:r>
      <w:r>
        <w:rPr>
          <w:spacing w:val="-3"/>
          <w:sz w:val="20"/>
        </w:rPr>
        <w:t> </w:t>
      </w:r>
      <w:r>
        <w:rPr>
          <w:sz w:val="20"/>
        </w:rPr>
        <w:t>continues.</w:t>
      </w:r>
      <w:r>
        <w:rPr>
          <w:spacing w:val="-4"/>
          <w:sz w:val="20"/>
        </w:rPr>
        <w:t> </w:t>
      </w:r>
      <w:r>
        <w:rPr>
          <w:sz w:val="20"/>
        </w:rPr>
        <w:t>To</w:t>
      </w:r>
      <w:r>
        <w:rPr>
          <w:spacing w:val="-4"/>
          <w:sz w:val="20"/>
        </w:rPr>
        <w:t> </w:t>
      </w:r>
      <w:r>
        <w:rPr>
          <w:sz w:val="20"/>
        </w:rPr>
        <w:t>increase</w:t>
      </w:r>
      <w:r>
        <w:rPr>
          <w:spacing w:val="-4"/>
          <w:sz w:val="20"/>
        </w:rPr>
        <w:t> </w:t>
      </w:r>
      <w:r>
        <w:rPr>
          <w:sz w:val="20"/>
        </w:rPr>
        <w:t>the</w:t>
      </w:r>
      <w:r>
        <w:rPr>
          <w:spacing w:val="-4"/>
          <w:sz w:val="20"/>
        </w:rPr>
        <w:t> </w:t>
      </w:r>
      <w:r>
        <w:rPr>
          <w:sz w:val="20"/>
        </w:rPr>
        <w:t>competitive</w:t>
      </w:r>
      <w:r>
        <w:rPr>
          <w:spacing w:val="-4"/>
          <w:sz w:val="20"/>
        </w:rPr>
        <w:t> </w:t>
      </w:r>
      <w:r>
        <w:rPr>
          <w:sz w:val="20"/>
        </w:rPr>
        <w:t>drive</w:t>
      </w:r>
      <w:r>
        <w:rPr>
          <w:spacing w:val="-2"/>
          <w:sz w:val="20"/>
        </w:rPr>
        <w:t> </w:t>
      </w:r>
      <w:r>
        <w:rPr>
          <w:sz w:val="20"/>
        </w:rPr>
        <w:t>in</w:t>
      </w:r>
      <w:r>
        <w:rPr>
          <w:spacing w:val="-4"/>
          <w:sz w:val="20"/>
        </w:rPr>
        <w:t> </w:t>
      </w:r>
      <w:r>
        <w:rPr>
          <w:sz w:val="20"/>
        </w:rPr>
        <w:t>this</w:t>
      </w:r>
      <w:r>
        <w:rPr>
          <w:spacing w:val="-3"/>
          <w:sz w:val="20"/>
        </w:rPr>
        <w:t> </w:t>
      </w:r>
      <w:r>
        <w:rPr>
          <w:sz w:val="20"/>
        </w:rPr>
        <w:t>area,</w:t>
      </w:r>
      <w:r>
        <w:rPr>
          <w:spacing w:val="-2"/>
          <w:sz w:val="20"/>
        </w:rPr>
        <w:t> </w:t>
      </w:r>
      <w:r>
        <w:rPr>
          <w:sz w:val="20"/>
        </w:rPr>
        <w:t>we</w:t>
      </w:r>
      <w:r>
        <w:rPr>
          <w:spacing w:val="-4"/>
          <w:sz w:val="20"/>
        </w:rPr>
        <w:t> </w:t>
      </w:r>
      <w:r>
        <w:rPr>
          <w:sz w:val="20"/>
        </w:rPr>
        <w:t>offer,</w:t>
      </w:r>
      <w:r>
        <w:rPr>
          <w:spacing w:val="-4"/>
          <w:sz w:val="20"/>
        </w:rPr>
        <w:t> </w:t>
      </w:r>
      <w:r>
        <w:rPr>
          <w:sz w:val="20"/>
        </w:rPr>
        <w:t>through the Gindroz Foundation, a scholarship to a fourth year student to participate in the Winterim of the</w:t>
      </w:r>
      <w:r>
        <w:rPr>
          <w:spacing w:val="-2"/>
          <w:sz w:val="20"/>
        </w:rPr>
        <w:t> </w:t>
      </w:r>
      <w:r>
        <w:rPr>
          <w:sz w:val="20"/>
        </w:rPr>
        <w:t>Institute for</w:t>
      </w:r>
      <w:r>
        <w:rPr>
          <w:spacing w:val="-1"/>
          <w:sz w:val="20"/>
        </w:rPr>
        <w:t> </w:t>
      </w:r>
      <w:r>
        <w:rPr>
          <w:sz w:val="20"/>
        </w:rPr>
        <w:t>Classical</w:t>
      </w:r>
      <w:r>
        <w:rPr>
          <w:spacing w:val="-1"/>
          <w:sz w:val="20"/>
        </w:rPr>
        <w:t> </w:t>
      </w:r>
      <w:r>
        <w:rPr>
          <w:sz w:val="20"/>
        </w:rPr>
        <w:t>Art and Architecture.</w:t>
      </w:r>
      <w:r>
        <w:rPr>
          <w:spacing w:val="-2"/>
          <w:sz w:val="20"/>
        </w:rPr>
        <w:t> </w:t>
      </w:r>
      <w:r>
        <w:rPr>
          <w:sz w:val="20"/>
        </w:rPr>
        <w:t>The</w:t>
      </w:r>
      <w:r>
        <w:rPr>
          <w:spacing w:val="-2"/>
          <w:sz w:val="20"/>
        </w:rPr>
        <w:t> </w:t>
      </w:r>
      <w:r>
        <w:rPr>
          <w:sz w:val="20"/>
        </w:rPr>
        <w:t>student</w:t>
      </w:r>
      <w:r>
        <w:rPr>
          <w:spacing w:val="-2"/>
          <w:sz w:val="20"/>
        </w:rPr>
        <w:t> </w:t>
      </w:r>
      <w:r>
        <w:rPr>
          <w:sz w:val="20"/>
        </w:rPr>
        <w:t>selected</w:t>
      </w:r>
      <w:r>
        <w:rPr>
          <w:spacing w:val="-2"/>
          <w:sz w:val="20"/>
        </w:rPr>
        <w:t> </w:t>
      </w:r>
      <w:r>
        <w:rPr>
          <w:sz w:val="20"/>
        </w:rPr>
        <w:t>for this program is required to assist in hand drawing instruction upon their return.</w:t>
      </w:r>
    </w:p>
    <w:p>
      <w:pPr>
        <w:spacing w:after="0" w:line="240" w:lineRule="auto"/>
        <w:jc w:val="left"/>
        <w:rPr>
          <w:sz w:val="20"/>
        </w:rPr>
        <w:sectPr>
          <w:headerReference w:type="default" r:id="rId169"/>
          <w:footerReference w:type="default" r:id="rId170"/>
          <w:pgSz w:w="12240" w:h="15840"/>
          <w:pgMar w:header="1442" w:footer="974" w:top="1660" w:bottom="1160" w:left="1000" w:right="820"/>
        </w:sectPr>
      </w:pPr>
    </w:p>
    <w:p>
      <w:pPr>
        <w:spacing w:line="254" w:lineRule="auto" w:before="126"/>
        <w:ind w:left="1160" w:right="642" w:firstLine="0"/>
        <w:jc w:val="left"/>
        <w:rPr>
          <w:i/>
          <w:sz w:val="22"/>
        </w:rPr>
      </w:pPr>
      <w:r>
        <w:rPr>
          <w:i/>
          <w:spacing w:val="-2"/>
          <w:w w:val="95"/>
          <w:sz w:val="22"/>
        </w:rPr>
        <w:t>Understanding</w:t>
      </w:r>
      <w:r>
        <w:rPr>
          <w:i/>
          <w:spacing w:val="-6"/>
          <w:w w:val="95"/>
          <w:sz w:val="22"/>
        </w:rPr>
        <w:t> </w:t>
      </w:r>
      <w:r>
        <w:rPr>
          <w:i/>
          <w:spacing w:val="-2"/>
          <w:w w:val="95"/>
          <w:sz w:val="22"/>
        </w:rPr>
        <w:t>of</w:t>
      </w:r>
      <w:r>
        <w:rPr>
          <w:i/>
          <w:spacing w:val="-5"/>
          <w:w w:val="95"/>
          <w:sz w:val="22"/>
        </w:rPr>
        <w:t> </w:t>
      </w:r>
      <w:r>
        <w:rPr>
          <w:i/>
          <w:spacing w:val="-2"/>
          <w:w w:val="95"/>
          <w:sz w:val="22"/>
        </w:rPr>
        <w:t>principles</w:t>
      </w:r>
      <w:r>
        <w:rPr>
          <w:i/>
          <w:spacing w:val="-7"/>
          <w:w w:val="95"/>
          <w:sz w:val="22"/>
        </w:rPr>
        <w:t> </w:t>
      </w:r>
      <w:r>
        <w:rPr>
          <w:i/>
          <w:spacing w:val="-2"/>
          <w:w w:val="95"/>
          <w:sz w:val="22"/>
        </w:rPr>
        <w:t>of</w:t>
      </w:r>
      <w:r>
        <w:rPr>
          <w:i/>
          <w:spacing w:val="-5"/>
          <w:w w:val="95"/>
          <w:sz w:val="22"/>
        </w:rPr>
        <w:t> </w:t>
      </w:r>
      <w:r>
        <w:rPr>
          <w:i/>
          <w:spacing w:val="-2"/>
          <w:w w:val="95"/>
          <w:sz w:val="22"/>
        </w:rPr>
        <w:t>structural</w:t>
      </w:r>
      <w:r>
        <w:rPr>
          <w:i/>
          <w:spacing w:val="-5"/>
          <w:w w:val="95"/>
          <w:sz w:val="22"/>
        </w:rPr>
        <w:t> </w:t>
      </w:r>
      <w:r>
        <w:rPr>
          <w:i/>
          <w:spacing w:val="-2"/>
          <w:w w:val="95"/>
          <w:sz w:val="22"/>
        </w:rPr>
        <w:t>behavior</w:t>
      </w:r>
      <w:r>
        <w:rPr>
          <w:i/>
          <w:spacing w:val="-4"/>
          <w:w w:val="95"/>
          <w:sz w:val="22"/>
        </w:rPr>
        <w:t> </w:t>
      </w:r>
      <w:r>
        <w:rPr>
          <w:i/>
          <w:spacing w:val="-2"/>
          <w:w w:val="95"/>
          <w:sz w:val="22"/>
        </w:rPr>
        <w:t>in</w:t>
      </w:r>
      <w:r>
        <w:rPr>
          <w:i/>
          <w:spacing w:val="-8"/>
          <w:w w:val="95"/>
          <w:sz w:val="22"/>
        </w:rPr>
        <w:t> </w:t>
      </w:r>
      <w:r>
        <w:rPr>
          <w:i/>
          <w:spacing w:val="-2"/>
          <w:w w:val="95"/>
          <w:sz w:val="22"/>
        </w:rPr>
        <w:t>withstanding</w:t>
      </w:r>
      <w:r>
        <w:rPr>
          <w:i/>
          <w:spacing w:val="-6"/>
          <w:w w:val="95"/>
          <w:sz w:val="22"/>
        </w:rPr>
        <w:t> </w:t>
      </w:r>
      <w:r>
        <w:rPr>
          <w:i/>
          <w:spacing w:val="-2"/>
          <w:w w:val="95"/>
          <w:sz w:val="22"/>
        </w:rPr>
        <w:t>gravity</w:t>
      </w:r>
      <w:r>
        <w:rPr>
          <w:i/>
          <w:spacing w:val="-6"/>
          <w:w w:val="95"/>
          <w:sz w:val="22"/>
        </w:rPr>
        <w:t> </w:t>
      </w:r>
      <w:r>
        <w:rPr>
          <w:i/>
          <w:spacing w:val="-2"/>
          <w:w w:val="95"/>
          <w:sz w:val="22"/>
        </w:rPr>
        <w:t>and</w:t>
      </w:r>
      <w:r>
        <w:rPr>
          <w:i/>
          <w:spacing w:val="-6"/>
          <w:w w:val="95"/>
          <w:sz w:val="22"/>
        </w:rPr>
        <w:t> </w:t>
      </w:r>
      <w:r>
        <w:rPr>
          <w:i/>
          <w:spacing w:val="-2"/>
          <w:w w:val="95"/>
          <w:sz w:val="22"/>
        </w:rPr>
        <w:t>lateral</w:t>
      </w:r>
      <w:r>
        <w:rPr>
          <w:i/>
          <w:spacing w:val="-5"/>
          <w:w w:val="95"/>
          <w:sz w:val="22"/>
        </w:rPr>
        <w:t> </w:t>
      </w:r>
      <w:r>
        <w:rPr>
          <w:i/>
          <w:spacing w:val="-2"/>
          <w:w w:val="95"/>
          <w:sz w:val="22"/>
        </w:rPr>
        <w:t>forces</w:t>
      </w:r>
      <w:r>
        <w:rPr>
          <w:i/>
          <w:spacing w:val="-5"/>
          <w:w w:val="95"/>
          <w:sz w:val="22"/>
        </w:rPr>
        <w:t> </w:t>
      </w:r>
      <w:r>
        <w:rPr>
          <w:i/>
          <w:spacing w:val="-2"/>
          <w:w w:val="95"/>
          <w:sz w:val="22"/>
        </w:rPr>
        <w:t>and </w:t>
      </w:r>
      <w:r>
        <w:rPr>
          <w:i/>
          <w:w w:val="95"/>
          <w:sz w:val="22"/>
        </w:rPr>
        <w:t>the</w:t>
      </w:r>
      <w:r>
        <w:rPr>
          <w:i/>
          <w:spacing w:val="-5"/>
          <w:w w:val="95"/>
          <w:sz w:val="22"/>
        </w:rPr>
        <w:t> </w:t>
      </w:r>
      <w:r>
        <w:rPr>
          <w:i/>
          <w:w w:val="95"/>
          <w:sz w:val="22"/>
        </w:rPr>
        <w:t>evolution,</w:t>
      </w:r>
      <w:r>
        <w:rPr>
          <w:i/>
          <w:spacing w:val="-8"/>
          <w:w w:val="95"/>
          <w:sz w:val="22"/>
        </w:rPr>
        <w:t> </w:t>
      </w:r>
      <w:r>
        <w:rPr>
          <w:i/>
          <w:w w:val="95"/>
          <w:sz w:val="22"/>
        </w:rPr>
        <w:t>range,</w:t>
      </w:r>
      <w:r>
        <w:rPr>
          <w:i/>
          <w:spacing w:val="-5"/>
          <w:w w:val="95"/>
          <w:sz w:val="22"/>
        </w:rPr>
        <w:t> </w:t>
      </w:r>
      <w:r>
        <w:rPr>
          <w:i/>
          <w:w w:val="95"/>
          <w:sz w:val="22"/>
        </w:rPr>
        <w:t>and</w:t>
      </w:r>
      <w:r>
        <w:rPr>
          <w:i/>
          <w:spacing w:val="-6"/>
          <w:w w:val="95"/>
          <w:sz w:val="22"/>
        </w:rPr>
        <w:t> </w:t>
      </w:r>
      <w:r>
        <w:rPr>
          <w:i/>
          <w:w w:val="95"/>
          <w:sz w:val="22"/>
        </w:rPr>
        <w:t>appropriate</w:t>
      </w:r>
      <w:r>
        <w:rPr>
          <w:i/>
          <w:spacing w:val="-5"/>
          <w:w w:val="95"/>
          <w:sz w:val="22"/>
        </w:rPr>
        <w:t> </w:t>
      </w:r>
      <w:r>
        <w:rPr>
          <w:i/>
          <w:w w:val="95"/>
          <w:sz w:val="22"/>
        </w:rPr>
        <w:t>application</w:t>
      </w:r>
      <w:r>
        <w:rPr>
          <w:i/>
          <w:spacing w:val="-6"/>
          <w:w w:val="95"/>
          <w:sz w:val="22"/>
        </w:rPr>
        <w:t> </w:t>
      </w:r>
      <w:r>
        <w:rPr>
          <w:i/>
          <w:w w:val="95"/>
          <w:sz w:val="22"/>
        </w:rPr>
        <w:t>of</w:t>
      </w:r>
      <w:r>
        <w:rPr>
          <w:i/>
          <w:spacing w:val="-5"/>
          <w:w w:val="95"/>
          <w:sz w:val="22"/>
        </w:rPr>
        <w:t> </w:t>
      </w:r>
      <w:r>
        <w:rPr>
          <w:i/>
          <w:w w:val="95"/>
          <w:sz w:val="22"/>
        </w:rPr>
        <w:t>contemporary</w:t>
      </w:r>
      <w:r>
        <w:rPr>
          <w:i/>
          <w:spacing w:val="-6"/>
          <w:w w:val="95"/>
          <w:sz w:val="22"/>
        </w:rPr>
        <w:t> </w:t>
      </w:r>
      <w:r>
        <w:rPr>
          <w:i/>
          <w:w w:val="95"/>
          <w:sz w:val="22"/>
        </w:rPr>
        <w:t>structural</w:t>
      </w:r>
      <w:r>
        <w:rPr>
          <w:i/>
          <w:spacing w:val="-5"/>
          <w:w w:val="95"/>
          <w:sz w:val="22"/>
        </w:rPr>
        <w:t> </w:t>
      </w:r>
      <w:r>
        <w:rPr>
          <w:i/>
          <w:w w:val="95"/>
          <w:sz w:val="22"/>
        </w:rPr>
        <w:t>systems.</w:t>
      </w:r>
    </w:p>
    <w:p>
      <w:pPr>
        <w:spacing w:before="197"/>
        <w:ind w:left="1160" w:right="0" w:firstLine="0"/>
        <w:jc w:val="left"/>
        <w:rPr>
          <w:b/>
          <w:sz w:val="20"/>
        </w:rPr>
      </w:pPr>
      <w:r>
        <w:rPr>
          <w:b/>
          <w:sz w:val="20"/>
        </w:rPr>
        <w:t>VTR</w:t>
      </w:r>
      <w:r>
        <w:rPr>
          <w:b/>
          <w:spacing w:val="-3"/>
          <w:sz w:val="20"/>
        </w:rPr>
        <w:t> </w:t>
      </w:r>
      <w:r>
        <w:rPr>
          <w:b/>
          <w:spacing w:val="-2"/>
          <w:sz w:val="20"/>
        </w:rPr>
        <w:t>Comments:</w:t>
      </w:r>
    </w:p>
    <w:p>
      <w:pPr>
        <w:pStyle w:val="BodyText"/>
        <w:spacing w:before="7"/>
        <w:rPr>
          <w:b/>
          <w:sz w:val="18"/>
        </w:rPr>
      </w:pPr>
    </w:p>
    <w:p>
      <w:pPr>
        <w:pStyle w:val="ListParagraph"/>
        <w:numPr>
          <w:ilvl w:val="0"/>
          <w:numId w:val="41"/>
        </w:numPr>
        <w:tabs>
          <w:tab w:pos="1951" w:val="left" w:leader="none"/>
          <w:tab w:pos="1953" w:val="left" w:leader="none"/>
        </w:tabs>
        <w:spacing w:line="240" w:lineRule="auto" w:before="0" w:after="0"/>
        <w:ind w:left="1952" w:right="752" w:hanging="360"/>
        <w:jc w:val="left"/>
        <w:rPr>
          <w:sz w:val="20"/>
        </w:rPr>
      </w:pPr>
      <w:r>
        <w:rPr>
          <w:sz w:val="20"/>
        </w:rPr>
        <w:t>Comprehension of basic structural theory was not evident in the design solutions at appropriate</w:t>
      </w:r>
      <w:r>
        <w:rPr>
          <w:spacing w:val="-5"/>
          <w:sz w:val="20"/>
        </w:rPr>
        <w:t> </w:t>
      </w:r>
      <w:r>
        <w:rPr>
          <w:sz w:val="20"/>
        </w:rPr>
        <w:t>grade</w:t>
      </w:r>
      <w:r>
        <w:rPr>
          <w:spacing w:val="-3"/>
          <w:sz w:val="20"/>
        </w:rPr>
        <w:t> </w:t>
      </w:r>
      <w:r>
        <w:rPr>
          <w:sz w:val="20"/>
        </w:rPr>
        <w:t>levels.</w:t>
      </w:r>
      <w:r>
        <w:rPr>
          <w:spacing w:val="40"/>
          <w:sz w:val="20"/>
        </w:rPr>
        <w:t> </w:t>
      </w:r>
      <w:r>
        <w:rPr>
          <w:sz w:val="20"/>
        </w:rPr>
        <w:t>Concepts</w:t>
      </w:r>
      <w:r>
        <w:rPr>
          <w:spacing w:val="-4"/>
          <w:sz w:val="20"/>
        </w:rPr>
        <w:t> </w:t>
      </w:r>
      <w:r>
        <w:rPr>
          <w:sz w:val="20"/>
        </w:rPr>
        <w:t>such</w:t>
      </w:r>
      <w:r>
        <w:rPr>
          <w:spacing w:val="-3"/>
          <w:sz w:val="20"/>
        </w:rPr>
        <w:t> </w:t>
      </w:r>
      <w:r>
        <w:rPr>
          <w:sz w:val="20"/>
        </w:rPr>
        <w:t>as</w:t>
      </w:r>
      <w:r>
        <w:rPr>
          <w:spacing w:val="-4"/>
          <w:sz w:val="20"/>
        </w:rPr>
        <w:t> </w:t>
      </w:r>
      <w:r>
        <w:rPr>
          <w:sz w:val="20"/>
        </w:rPr>
        <w:t>load-path,</w:t>
      </w:r>
      <w:r>
        <w:rPr>
          <w:spacing w:val="-5"/>
          <w:sz w:val="20"/>
        </w:rPr>
        <w:t> </w:t>
      </w:r>
      <w:r>
        <w:rPr>
          <w:sz w:val="20"/>
        </w:rPr>
        <w:t>bay</w:t>
      </w:r>
      <w:r>
        <w:rPr>
          <w:spacing w:val="-8"/>
          <w:sz w:val="20"/>
        </w:rPr>
        <w:t> </w:t>
      </w:r>
      <w:r>
        <w:rPr>
          <w:sz w:val="20"/>
        </w:rPr>
        <w:t>sizes,</w:t>
      </w:r>
      <w:r>
        <w:rPr>
          <w:spacing w:val="-3"/>
          <w:sz w:val="20"/>
        </w:rPr>
        <w:t> </w:t>
      </w:r>
      <w:r>
        <w:rPr>
          <w:sz w:val="20"/>
        </w:rPr>
        <w:t>and</w:t>
      </w:r>
      <w:r>
        <w:rPr>
          <w:spacing w:val="-3"/>
          <w:sz w:val="20"/>
        </w:rPr>
        <w:t> </w:t>
      </w:r>
      <w:r>
        <w:rPr>
          <w:sz w:val="20"/>
        </w:rPr>
        <w:t>structural</w:t>
      </w:r>
      <w:r>
        <w:rPr>
          <w:spacing w:val="-4"/>
          <w:sz w:val="20"/>
        </w:rPr>
        <w:t> </w:t>
      </w:r>
      <w:r>
        <w:rPr>
          <w:sz w:val="20"/>
        </w:rPr>
        <w:t>depths were not consistently present in the design work and is a cause for concern.</w:t>
      </w:r>
    </w:p>
    <w:p>
      <w:pPr>
        <w:pStyle w:val="BodyText"/>
        <w:spacing w:before="5"/>
        <w:rPr>
          <w:sz w:val="17"/>
        </w:rPr>
      </w:pPr>
    </w:p>
    <w:p>
      <w:pPr>
        <w:pStyle w:val="BodyText"/>
        <w:ind w:left="1952" w:right="642"/>
      </w:pPr>
      <w:r>
        <w:rPr/>
        <w:t>Structural</w:t>
      </w:r>
      <w:r>
        <w:rPr>
          <w:spacing w:val="-6"/>
        </w:rPr>
        <w:t> </w:t>
      </w:r>
      <w:r>
        <w:rPr/>
        <w:t>principles</w:t>
      </w:r>
      <w:r>
        <w:rPr>
          <w:spacing w:val="-4"/>
        </w:rPr>
        <w:t> </w:t>
      </w:r>
      <w:r>
        <w:rPr/>
        <w:t>are</w:t>
      </w:r>
      <w:r>
        <w:rPr>
          <w:spacing w:val="-3"/>
        </w:rPr>
        <w:t> </w:t>
      </w:r>
      <w:r>
        <w:rPr/>
        <w:t>taught</w:t>
      </w:r>
      <w:r>
        <w:rPr>
          <w:spacing w:val="-5"/>
        </w:rPr>
        <w:t> </w:t>
      </w:r>
      <w:r>
        <w:rPr/>
        <w:t>through</w:t>
      </w:r>
      <w:r>
        <w:rPr>
          <w:spacing w:val="-5"/>
        </w:rPr>
        <w:t> </w:t>
      </w:r>
      <w:r>
        <w:rPr/>
        <w:t>courses</w:t>
      </w:r>
      <w:r>
        <w:rPr>
          <w:spacing w:val="-4"/>
        </w:rPr>
        <w:t> </w:t>
      </w:r>
      <w:r>
        <w:rPr/>
        <w:t>ARC</w:t>
      </w:r>
      <w:r>
        <w:rPr>
          <w:spacing w:val="-5"/>
        </w:rPr>
        <w:t> </w:t>
      </w:r>
      <w:r>
        <w:rPr/>
        <w:t>309-10,</w:t>
      </w:r>
      <w:r>
        <w:rPr>
          <w:spacing w:val="-3"/>
        </w:rPr>
        <w:t> </w:t>
      </w:r>
      <w:r>
        <w:rPr/>
        <w:t>ARC</w:t>
      </w:r>
      <w:r>
        <w:rPr>
          <w:spacing w:val="-2"/>
        </w:rPr>
        <w:t> </w:t>
      </w:r>
      <w:r>
        <w:rPr/>
        <w:t>414</w:t>
      </w:r>
      <w:r>
        <w:rPr>
          <w:spacing w:val="-5"/>
        </w:rPr>
        <w:t> </w:t>
      </w:r>
      <w:r>
        <w:rPr/>
        <w:t>and</w:t>
      </w:r>
      <w:r>
        <w:rPr>
          <w:spacing w:val="-5"/>
        </w:rPr>
        <w:t> </w:t>
      </w:r>
      <w:r>
        <w:rPr/>
        <w:t>reinforced</w:t>
      </w:r>
      <w:r>
        <w:rPr>
          <w:spacing w:val="-5"/>
        </w:rPr>
        <w:t> </w:t>
      </w:r>
      <w:r>
        <w:rPr/>
        <w:t>in design studios.</w:t>
      </w:r>
      <w:r>
        <w:rPr>
          <w:spacing w:val="40"/>
        </w:rPr>
        <w:t> </w:t>
      </w:r>
      <w:r>
        <w:rPr/>
        <w:t>Students have an adequate understanding of basic force resisting </w:t>
      </w:r>
      <w:r>
        <w:rPr>
          <w:spacing w:val="-2"/>
        </w:rPr>
        <w:t>systems.</w:t>
      </w:r>
    </w:p>
    <w:p>
      <w:pPr>
        <w:pStyle w:val="BodyText"/>
        <w:spacing w:before="3"/>
        <w:rPr>
          <w:sz w:val="17"/>
        </w:rPr>
      </w:pPr>
    </w:p>
    <w:p>
      <w:pPr>
        <w:spacing w:before="0"/>
        <w:ind w:left="1160" w:right="0" w:firstLine="0"/>
        <w:jc w:val="left"/>
        <w:rPr>
          <w:b/>
          <w:sz w:val="20"/>
        </w:rPr>
      </w:pPr>
      <w:r>
        <w:rPr>
          <w:b/>
          <w:sz w:val="20"/>
        </w:rPr>
        <w:t>Program</w:t>
      </w:r>
      <w:r>
        <w:rPr>
          <w:b/>
          <w:spacing w:val="-8"/>
          <w:sz w:val="20"/>
        </w:rPr>
        <w:t> </w:t>
      </w:r>
      <w:r>
        <w:rPr>
          <w:b/>
          <w:sz w:val="20"/>
        </w:rPr>
        <w:t>Response</w:t>
      </w:r>
      <w:r>
        <w:rPr>
          <w:b/>
          <w:spacing w:val="-7"/>
          <w:sz w:val="20"/>
        </w:rPr>
        <w:t> </w:t>
      </w:r>
      <w:r>
        <w:rPr>
          <w:b/>
          <w:sz w:val="20"/>
        </w:rPr>
        <w:t>Since</w:t>
      </w:r>
      <w:r>
        <w:rPr>
          <w:b/>
          <w:spacing w:val="-7"/>
          <w:sz w:val="20"/>
        </w:rPr>
        <w:t> </w:t>
      </w:r>
      <w:r>
        <w:rPr>
          <w:b/>
          <w:sz w:val="20"/>
        </w:rPr>
        <w:t>Last</w:t>
      </w:r>
      <w:r>
        <w:rPr>
          <w:b/>
          <w:spacing w:val="-8"/>
          <w:sz w:val="20"/>
        </w:rPr>
        <w:t> </w:t>
      </w:r>
      <w:r>
        <w:rPr>
          <w:b/>
          <w:spacing w:val="-2"/>
          <w:sz w:val="20"/>
        </w:rPr>
        <w:t>Visit:</w:t>
      </w:r>
    </w:p>
    <w:p>
      <w:pPr>
        <w:pStyle w:val="BodyText"/>
        <w:spacing w:before="7"/>
        <w:rPr>
          <w:b/>
          <w:sz w:val="18"/>
        </w:rPr>
      </w:pPr>
    </w:p>
    <w:p>
      <w:pPr>
        <w:pStyle w:val="ListParagraph"/>
        <w:numPr>
          <w:ilvl w:val="0"/>
          <w:numId w:val="41"/>
        </w:numPr>
        <w:tabs>
          <w:tab w:pos="1951" w:val="left" w:leader="none"/>
          <w:tab w:pos="1953" w:val="left" w:leader="none"/>
        </w:tabs>
        <w:spacing w:line="240" w:lineRule="auto" w:before="0" w:after="0"/>
        <w:ind w:left="1952" w:right="767" w:hanging="360"/>
        <w:jc w:val="left"/>
        <w:rPr>
          <w:sz w:val="20"/>
        </w:rPr>
      </w:pPr>
      <w:r>
        <w:rPr>
          <w:sz w:val="20"/>
        </w:rPr>
        <w:t>2010 Response: Design solutions at the third and fourth year are required (per student required</w:t>
      </w:r>
      <w:r>
        <w:rPr>
          <w:spacing w:val="-5"/>
          <w:sz w:val="20"/>
        </w:rPr>
        <w:t> </w:t>
      </w:r>
      <w:r>
        <w:rPr>
          <w:sz w:val="20"/>
        </w:rPr>
        <w:t>outcomes</w:t>
      </w:r>
      <w:r>
        <w:rPr>
          <w:spacing w:val="-4"/>
          <w:sz w:val="20"/>
        </w:rPr>
        <w:t> </w:t>
      </w:r>
      <w:r>
        <w:rPr>
          <w:sz w:val="20"/>
        </w:rPr>
        <w:t>for</w:t>
      </w:r>
      <w:r>
        <w:rPr>
          <w:spacing w:val="-4"/>
          <w:sz w:val="20"/>
        </w:rPr>
        <w:t> </w:t>
      </w:r>
      <w:r>
        <w:rPr>
          <w:sz w:val="20"/>
        </w:rPr>
        <w:t>those</w:t>
      </w:r>
      <w:r>
        <w:rPr>
          <w:spacing w:val="-5"/>
          <w:sz w:val="20"/>
        </w:rPr>
        <w:t> </w:t>
      </w:r>
      <w:r>
        <w:rPr>
          <w:sz w:val="20"/>
        </w:rPr>
        <w:t>classes)</w:t>
      </w:r>
      <w:r>
        <w:rPr>
          <w:spacing w:val="-4"/>
          <w:sz w:val="20"/>
        </w:rPr>
        <w:t> </w:t>
      </w:r>
      <w:r>
        <w:rPr>
          <w:sz w:val="20"/>
        </w:rPr>
        <w:t>to</w:t>
      </w:r>
      <w:r>
        <w:rPr>
          <w:spacing w:val="-5"/>
          <w:sz w:val="20"/>
        </w:rPr>
        <w:t> </w:t>
      </w:r>
      <w:r>
        <w:rPr>
          <w:sz w:val="20"/>
        </w:rPr>
        <w:t>demonstrate</w:t>
      </w:r>
      <w:r>
        <w:rPr>
          <w:spacing w:val="-5"/>
          <w:sz w:val="20"/>
        </w:rPr>
        <w:t> </w:t>
      </w:r>
      <w:r>
        <w:rPr>
          <w:sz w:val="20"/>
        </w:rPr>
        <w:t>an</w:t>
      </w:r>
      <w:r>
        <w:rPr>
          <w:spacing w:val="-5"/>
          <w:sz w:val="20"/>
        </w:rPr>
        <w:t> </w:t>
      </w:r>
      <w:r>
        <w:rPr>
          <w:sz w:val="20"/>
        </w:rPr>
        <w:t>understanding</w:t>
      </w:r>
      <w:r>
        <w:rPr>
          <w:spacing w:val="-3"/>
          <w:sz w:val="20"/>
        </w:rPr>
        <w:t> </w:t>
      </w:r>
      <w:r>
        <w:rPr>
          <w:sz w:val="20"/>
        </w:rPr>
        <w:t>of</w:t>
      </w:r>
      <w:r>
        <w:rPr>
          <w:spacing w:val="-3"/>
          <w:sz w:val="20"/>
        </w:rPr>
        <w:t> </w:t>
      </w:r>
      <w:r>
        <w:rPr>
          <w:sz w:val="20"/>
        </w:rPr>
        <w:t>the</w:t>
      </w:r>
      <w:r>
        <w:rPr>
          <w:spacing w:val="-5"/>
          <w:sz w:val="20"/>
        </w:rPr>
        <w:t> </w:t>
      </w:r>
      <w:r>
        <w:rPr>
          <w:sz w:val="20"/>
        </w:rPr>
        <w:t>structural systems that support the building concepts.</w:t>
      </w:r>
    </w:p>
    <w:p>
      <w:pPr>
        <w:pStyle w:val="BodyText"/>
        <w:spacing w:before="8"/>
        <w:rPr>
          <w:sz w:val="18"/>
        </w:rPr>
      </w:pPr>
    </w:p>
    <w:p>
      <w:pPr>
        <w:pStyle w:val="ListParagraph"/>
        <w:numPr>
          <w:ilvl w:val="0"/>
          <w:numId w:val="41"/>
        </w:numPr>
        <w:tabs>
          <w:tab w:pos="1951" w:val="left" w:leader="none"/>
          <w:tab w:pos="1953" w:val="left" w:leader="none"/>
        </w:tabs>
        <w:spacing w:line="240" w:lineRule="auto" w:before="0" w:after="0"/>
        <w:ind w:left="1952" w:right="797" w:hanging="360"/>
        <w:jc w:val="left"/>
        <w:rPr>
          <w:sz w:val="20"/>
        </w:rPr>
      </w:pPr>
      <w:r>
        <w:rPr>
          <w:sz w:val="20"/>
        </w:rPr>
        <w:t>2011 Response: In addition to the requirements stated above, our 4th Year Studio requires students to develop structural layouts and develop detailed exterior wall sections</w:t>
      </w:r>
      <w:r>
        <w:rPr>
          <w:spacing w:val="-4"/>
          <w:sz w:val="20"/>
        </w:rPr>
        <w:t> </w:t>
      </w:r>
      <w:r>
        <w:rPr>
          <w:sz w:val="20"/>
        </w:rPr>
        <w:t>of</w:t>
      </w:r>
      <w:r>
        <w:rPr>
          <w:spacing w:val="-3"/>
          <w:sz w:val="20"/>
        </w:rPr>
        <w:t> </w:t>
      </w:r>
      <w:r>
        <w:rPr>
          <w:sz w:val="20"/>
        </w:rPr>
        <w:t>their</w:t>
      </w:r>
      <w:r>
        <w:rPr>
          <w:spacing w:val="-4"/>
          <w:sz w:val="20"/>
        </w:rPr>
        <w:t> </w:t>
      </w:r>
      <w:r>
        <w:rPr>
          <w:sz w:val="20"/>
        </w:rPr>
        <w:t>buildings</w:t>
      </w:r>
      <w:r>
        <w:rPr>
          <w:spacing w:val="-4"/>
          <w:sz w:val="20"/>
        </w:rPr>
        <w:t> </w:t>
      </w:r>
      <w:r>
        <w:rPr>
          <w:sz w:val="20"/>
        </w:rPr>
        <w:t>as</w:t>
      </w:r>
      <w:r>
        <w:rPr>
          <w:spacing w:val="-4"/>
          <w:sz w:val="20"/>
        </w:rPr>
        <w:t> </w:t>
      </w:r>
      <w:r>
        <w:rPr>
          <w:sz w:val="20"/>
        </w:rPr>
        <w:t>a</w:t>
      </w:r>
      <w:r>
        <w:rPr>
          <w:spacing w:val="-5"/>
          <w:sz w:val="20"/>
        </w:rPr>
        <w:t> </w:t>
      </w:r>
      <w:r>
        <w:rPr>
          <w:sz w:val="20"/>
        </w:rPr>
        <w:t>part</w:t>
      </w:r>
      <w:r>
        <w:rPr>
          <w:spacing w:val="-5"/>
          <w:sz w:val="20"/>
        </w:rPr>
        <w:t> </w:t>
      </w:r>
      <w:r>
        <w:rPr>
          <w:sz w:val="20"/>
        </w:rPr>
        <w:t>of</w:t>
      </w:r>
      <w:r>
        <w:rPr>
          <w:spacing w:val="-3"/>
          <w:sz w:val="20"/>
        </w:rPr>
        <w:t> </w:t>
      </w:r>
      <w:r>
        <w:rPr>
          <w:sz w:val="20"/>
        </w:rPr>
        <w:t>the</w:t>
      </w:r>
      <w:r>
        <w:rPr>
          <w:spacing w:val="-5"/>
          <w:sz w:val="20"/>
        </w:rPr>
        <w:t> </w:t>
      </w:r>
      <w:r>
        <w:rPr>
          <w:sz w:val="20"/>
        </w:rPr>
        <w:t>Comprehensive</w:t>
      </w:r>
      <w:r>
        <w:rPr>
          <w:spacing w:val="-5"/>
          <w:sz w:val="20"/>
        </w:rPr>
        <w:t> </w:t>
      </w:r>
      <w:r>
        <w:rPr>
          <w:sz w:val="20"/>
        </w:rPr>
        <w:t>Design</w:t>
      </w:r>
      <w:r>
        <w:rPr>
          <w:spacing w:val="-3"/>
          <w:sz w:val="20"/>
        </w:rPr>
        <w:t> </w:t>
      </w:r>
      <w:r>
        <w:rPr>
          <w:sz w:val="20"/>
        </w:rPr>
        <w:t>Studio</w:t>
      </w:r>
      <w:r>
        <w:rPr>
          <w:spacing w:val="-5"/>
          <w:sz w:val="20"/>
        </w:rPr>
        <w:t> </w:t>
      </w:r>
      <w:r>
        <w:rPr>
          <w:sz w:val="20"/>
        </w:rPr>
        <w:t>requirements.</w:t>
      </w:r>
    </w:p>
    <w:p>
      <w:pPr>
        <w:pStyle w:val="BodyText"/>
        <w:spacing w:before="5"/>
        <w:rPr>
          <w:sz w:val="17"/>
        </w:rPr>
      </w:pPr>
    </w:p>
    <w:p>
      <w:pPr>
        <w:pStyle w:val="ListParagraph"/>
        <w:numPr>
          <w:ilvl w:val="1"/>
          <w:numId w:val="41"/>
        </w:numPr>
        <w:tabs>
          <w:tab w:pos="2312" w:val="left" w:leader="none"/>
        </w:tabs>
        <w:spacing w:line="240" w:lineRule="auto" w:before="1" w:after="0"/>
        <w:ind w:left="2311" w:right="735" w:hanging="360"/>
        <w:jc w:val="left"/>
        <w:rPr>
          <w:sz w:val="20"/>
        </w:rPr>
      </w:pPr>
      <w:r>
        <w:rPr>
          <w:sz w:val="20"/>
        </w:rPr>
        <w:t>We are also working with VA Tech on a NSF funded grant to develop structural analysis</w:t>
      </w:r>
      <w:r>
        <w:rPr>
          <w:spacing w:val="-3"/>
          <w:sz w:val="20"/>
        </w:rPr>
        <w:t> </w:t>
      </w:r>
      <w:r>
        <w:rPr>
          <w:sz w:val="20"/>
        </w:rPr>
        <w:t>software.</w:t>
      </w:r>
      <w:r>
        <w:rPr>
          <w:spacing w:val="-2"/>
          <w:sz w:val="20"/>
        </w:rPr>
        <w:t> </w:t>
      </w:r>
      <w:r>
        <w:rPr>
          <w:sz w:val="20"/>
        </w:rPr>
        <w:t>This</w:t>
      </w:r>
      <w:r>
        <w:rPr>
          <w:spacing w:val="-3"/>
          <w:sz w:val="20"/>
        </w:rPr>
        <w:t> </w:t>
      </w:r>
      <w:r>
        <w:rPr>
          <w:sz w:val="20"/>
        </w:rPr>
        <w:t>is</w:t>
      </w:r>
      <w:r>
        <w:rPr>
          <w:spacing w:val="-3"/>
          <w:sz w:val="20"/>
        </w:rPr>
        <w:t> </w:t>
      </w:r>
      <w:r>
        <w:rPr>
          <w:sz w:val="20"/>
        </w:rPr>
        <w:t>being</w:t>
      </w:r>
      <w:r>
        <w:rPr>
          <w:spacing w:val="-4"/>
          <w:sz w:val="20"/>
        </w:rPr>
        <w:t> </w:t>
      </w:r>
      <w:r>
        <w:rPr>
          <w:sz w:val="20"/>
        </w:rPr>
        <w:t>used</w:t>
      </w:r>
      <w:r>
        <w:rPr>
          <w:spacing w:val="-2"/>
          <w:sz w:val="20"/>
        </w:rPr>
        <w:t> </w:t>
      </w:r>
      <w:r>
        <w:rPr>
          <w:sz w:val="20"/>
        </w:rPr>
        <w:t>in</w:t>
      </w:r>
      <w:r>
        <w:rPr>
          <w:spacing w:val="-2"/>
          <w:sz w:val="20"/>
        </w:rPr>
        <w:t> </w:t>
      </w:r>
      <w:r>
        <w:rPr>
          <w:sz w:val="20"/>
        </w:rPr>
        <w:t>our</w:t>
      </w:r>
      <w:r>
        <w:rPr>
          <w:spacing w:val="-1"/>
          <w:sz w:val="20"/>
        </w:rPr>
        <w:t> </w:t>
      </w:r>
      <w:r>
        <w:rPr>
          <w:sz w:val="20"/>
        </w:rPr>
        <w:t>4th year</w:t>
      </w:r>
      <w:r>
        <w:rPr>
          <w:spacing w:val="-3"/>
          <w:sz w:val="20"/>
        </w:rPr>
        <w:t> </w:t>
      </w:r>
      <w:r>
        <w:rPr>
          <w:sz w:val="20"/>
        </w:rPr>
        <w:t>studio</w:t>
      </w:r>
      <w:r>
        <w:rPr>
          <w:spacing w:val="-4"/>
          <w:sz w:val="20"/>
        </w:rPr>
        <w:t> </w:t>
      </w:r>
      <w:r>
        <w:rPr>
          <w:sz w:val="20"/>
        </w:rPr>
        <w:t>for</w:t>
      </w:r>
      <w:r>
        <w:rPr>
          <w:spacing w:val="-3"/>
          <w:sz w:val="20"/>
        </w:rPr>
        <w:t> </w:t>
      </w:r>
      <w:r>
        <w:rPr>
          <w:sz w:val="20"/>
        </w:rPr>
        <w:t>long</w:t>
      </w:r>
      <w:r>
        <w:rPr>
          <w:spacing w:val="-4"/>
          <w:sz w:val="20"/>
        </w:rPr>
        <w:t> </w:t>
      </w:r>
      <w:r>
        <w:rPr>
          <w:sz w:val="20"/>
        </w:rPr>
        <w:t>span</w:t>
      </w:r>
      <w:r>
        <w:rPr>
          <w:spacing w:val="-4"/>
          <w:sz w:val="20"/>
        </w:rPr>
        <w:t> </w:t>
      </w:r>
      <w:r>
        <w:rPr>
          <w:sz w:val="20"/>
        </w:rPr>
        <w:t>and</w:t>
      </w:r>
      <w:r>
        <w:rPr>
          <w:spacing w:val="-3"/>
          <w:sz w:val="20"/>
        </w:rPr>
        <w:t> </w:t>
      </w:r>
      <w:r>
        <w:rPr>
          <w:sz w:val="20"/>
        </w:rPr>
        <w:t>space frame design.</w:t>
      </w:r>
    </w:p>
    <w:p>
      <w:pPr>
        <w:pStyle w:val="BodyText"/>
        <w:spacing w:before="5"/>
        <w:rPr>
          <w:sz w:val="18"/>
        </w:rPr>
      </w:pPr>
    </w:p>
    <w:p>
      <w:pPr>
        <w:pStyle w:val="ListParagraph"/>
        <w:numPr>
          <w:ilvl w:val="0"/>
          <w:numId w:val="41"/>
        </w:numPr>
        <w:tabs>
          <w:tab w:pos="1951" w:val="left" w:leader="none"/>
          <w:tab w:pos="1952" w:val="left" w:leader="none"/>
        </w:tabs>
        <w:spacing w:line="240" w:lineRule="auto" w:before="0" w:after="0"/>
        <w:ind w:left="1951" w:right="1130" w:hanging="360"/>
        <w:jc w:val="left"/>
        <w:rPr>
          <w:sz w:val="20"/>
        </w:rPr>
      </w:pPr>
      <w:r>
        <w:rPr>
          <w:sz w:val="20"/>
        </w:rPr>
        <w:t>2012: to further this work, the Norfolk A/E firm of Clark Nexen is assisting in our instruction</w:t>
      </w:r>
      <w:r>
        <w:rPr>
          <w:spacing w:val="-4"/>
          <w:sz w:val="20"/>
        </w:rPr>
        <w:t> </w:t>
      </w:r>
      <w:r>
        <w:rPr>
          <w:sz w:val="20"/>
        </w:rPr>
        <w:t>by</w:t>
      </w:r>
      <w:r>
        <w:rPr>
          <w:spacing w:val="-5"/>
          <w:sz w:val="20"/>
        </w:rPr>
        <w:t> </w:t>
      </w:r>
      <w:r>
        <w:rPr>
          <w:sz w:val="20"/>
        </w:rPr>
        <w:t>providing</w:t>
      </w:r>
      <w:r>
        <w:rPr>
          <w:spacing w:val="-2"/>
          <w:sz w:val="20"/>
        </w:rPr>
        <w:t> </w:t>
      </w:r>
      <w:r>
        <w:rPr>
          <w:sz w:val="20"/>
        </w:rPr>
        <w:t>faculty</w:t>
      </w:r>
      <w:r>
        <w:rPr>
          <w:spacing w:val="-7"/>
          <w:sz w:val="20"/>
        </w:rPr>
        <w:t> </w:t>
      </w:r>
      <w:r>
        <w:rPr>
          <w:sz w:val="20"/>
        </w:rPr>
        <w:t>support</w:t>
      </w:r>
      <w:r>
        <w:rPr>
          <w:spacing w:val="-4"/>
          <w:sz w:val="20"/>
        </w:rPr>
        <w:t> </w:t>
      </w:r>
      <w:r>
        <w:rPr>
          <w:sz w:val="20"/>
        </w:rPr>
        <w:t>in</w:t>
      </w:r>
      <w:r>
        <w:rPr>
          <w:spacing w:val="-4"/>
          <w:sz w:val="20"/>
        </w:rPr>
        <w:t> </w:t>
      </w:r>
      <w:r>
        <w:rPr>
          <w:sz w:val="20"/>
        </w:rPr>
        <w:t>all</w:t>
      </w:r>
      <w:r>
        <w:rPr>
          <w:spacing w:val="-3"/>
          <w:sz w:val="20"/>
        </w:rPr>
        <w:t> </w:t>
      </w:r>
      <w:r>
        <w:rPr>
          <w:sz w:val="20"/>
        </w:rPr>
        <w:t>engineering</w:t>
      </w:r>
      <w:r>
        <w:rPr>
          <w:spacing w:val="-4"/>
          <w:sz w:val="20"/>
        </w:rPr>
        <w:t> </w:t>
      </w:r>
      <w:r>
        <w:rPr>
          <w:sz w:val="20"/>
        </w:rPr>
        <w:t>areas,</w:t>
      </w:r>
      <w:r>
        <w:rPr>
          <w:spacing w:val="-4"/>
          <w:sz w:val="20"/>
        </w:rPr>
        <w:t> </w:t>
      </w:r>
      <w:r>
        <w:rPr>
          <w:sz w:val="20"/>
        </w:rPr>
        <w:t>including</w:t>
      </w:r>
      <w:r>
        <w:rPr>
          <w:spacing w:val="-4"/>
          <w:sz w:val="20"/>
        </w:rPr>
        <w:t> </w:t>
      </w:r>
      <w:r>
        <w:rPr>
          <w:sz w:val="20"/>
        </w:rPr>
        <w:t>Structural </w:t>
      </w:r>
      <w:r>
        <w:rPr>
          <w:spacing w:val="-2"/>
          <w:sz w:val="20"/>
        </w:rPr>
        <w:t>Engineering.</w:t>
      </w:r>
    </w:p>
    <w:p>
      <w:pPr>
        <w:spacing w:after="0" w:line="240" w:lineRule="auto"/>
        <w:jc w:val="left"/>
        <w:rPr>
          <w:sz w:val="20"/>
        </w:rPr>
        <w:sectPr>
          <w:headerReference w:type="default" r:id="rId171"/>
          <w:footerReference w:type="default" r:id="rId172"/>
          <w:pgSz w:w="12240" w:h="15840"/>
          <w:pgMar w:header="1442" w:footer="974" w:top="1660" w:bottom="1160" w:left="1000" w:right="820"/>
        </w:sectPr>
      </w:pPr>
    </w:p>
    <w:p>
      <w:pPr>
        <w:spacing w:line="254" w:lineRule="auto" w:before="126"/>
        <w:ind w:left="1160" w:right="642" w:firstLine="0"/>
        <w:jc w:val="left"/>
        <w:rPr>
          <w:i/>
          <w:sz w:val="22"/>
        </w:rPr>
      </w:pPr>
      <w:r>
        <w:rPr>
          <w:i/>
          <w:w w:val="95"/>
          <w:sz w:val="22"/>
        </w:rPr>
        <w:t>Understanding</w:t>
      </w:r>
      <w:r>
        <w:rPr>
          <w:i/>
          <w:spacing w:val="-10"/>
          <w:w w:val="95"/>
          <w:sz w:val="22"/>
        </w:rPr>
        <w:t> </w:t>
      </w:r>
      <w:r>
        <w:rPr>
          <w:i/>
          <w:w w:val="95"/>
          <w:sz w:val="22"/>
        </w:rPr>
        <w:t>of</w:t>
      </w:r>
      <w:r>
        <w:rPr>
          <w:i/>
          <w:spacing w:val="-9"/>
          <w:w w:val="95"/>
          <w:sz w:val="22"/>
        </w:rPr>
        <w:t> </w:t>
      </w:r>
      <w:r>
        <w:rPr>
          <w:i/>
          <w:w w:val="95"/>
          <w:sz w:val="22"/>
        </w:rPr>
        <w:t>the</w:t>
      </w:r>
      <w:r>
        <w:rPr>
          <w:i/>
          <w:spacing w:val="-9"/>
          <w:w w:val="95"/>
          <w:sz w:val="22"/>
        </w:rPr>
        <w:t> </w:t>
      </w:r>
      <w:r>
        <w:rPr>
          <w:i/>
          <w:w w:val="95"/>
          <w:sz w:val="22"/>
        </w:rPr>
        <w:t>basic</w:t>
      </w:r>
      <w:r>
        <w:rPr>
          <w:i/>
          <w:spacing w:val="-12"/>
          <w:w w:val="95"/>
          <w:sz w:val="22"/>
        </w:rPr>
        <w:t> </w:t>
      </w:r>
      <w:r>
        <w:rPr>
          <w:i/>
          <w:w w:val="95"/>
          <w:sz w:val="22"/>
        </w:rPr>
        <w:t>principles</w:t>
      </w:r>
      <w:r>
        <w:rPr>
          <w:i/>
          <w:spacing w:val="-9"/>
          <w:w w:val="95"/>
          <w:sz w:val="22"/>
        </w:rPr>
        <w:t> </w:t>
      </w:r>
      <w:r>
        <w:rPr>
          <w:i/>
          <w:w w:val="95"/>
          <w:sz w:val="22"/>
        </w:rPr>
        <w:t>and</w:t>
      </w:r>
      <w:r>
        <w:rPr>
          <w:i/>
          <w:spacing w:val="-10"/>
          <w:w w:val="95"/>
          <w:sz w:val="22"/>
        </w:rPr>
        <w:t> </w:t>
      </w:r>
      <w:r>
        <w:rPr>
          <w:i/>
          <w:w w:val="95"/>
          <w:sz w:val="22"/>
        </w:rPr>
        <w:t>appropriate</w:t>
      </w:r>
      <w:r>
        <w:rPr>
          <w:i/>
          <w:spacing w:val="-11"/>
          <w:w w:val="95"/>
          <w:sz w:val="22"/>
        </w:rPr>
        <w:t> </w:t>
      </w:r>
      <w:r>
        <w:rPr>
          <w:i/>
          <w:w w:val="95"/>
          <w:sz w:val="22"/>
        </w:rPr>
        <w:t>application</w:t>
      </w:r>
      <w:r>
        <w:rPr>
          <w:i/>
          <w:spacing w:val="-10"/>
          <w:w w:val="95"/>
          <w:sz w:val="22"/>
        </w:rPr>
        <w:t> </w:t>
      </w:r>
      <w:r>
        <w:rPr>
          <w:i/>
          <w:w w:val="95"/>
          <w:sz w:val="22"/>
        </w:rPr>
        <w:t>and</w:t>
      </w:r>
      <w:r>
        <w:rPr>
          <w:i/>
          <w:spacing w:val="-10"/>
          <w:w w:val="95"/>
          <w:sz w:val="22"/>
        </w:rPr>
        <w:t> </w:t>
      </w:r>
      <w:r>
        <w:rPr>
          <w:i/>
          <w:w w:val="95"/>
          <w:sz w:val="22"/>
        </w:rPr>
        <w:t>performance</w:t>
      </w:r>
      <w:r>
        <w:rPr>
          <w:i/>
          <w:spacing w:val="-9"/>
          <w:w w:val="95"/>
          <w:sz w:val="22"/>
        </w:rPr>
        <w:t> </w:t>
      </w:r>
      <w:r>
        <w:rPr>
          <w:i/>
          <w:w w:val="95"/>
          <w:sz w:val="22"/>
        </w:rPr>
        <w:t>of </w:t>
      </w:r>
      <w:r>
        <w:rPr>
          <w:i/>
          <w:w w:val="90"/>
          <w:sz w:val="22"/>
        </w:rPr>
        <w:t>environmental systems, including acoustical, lighting, and climate modification systems, and </w:t>
      </w:r>
      <w:r>
        <w:rPr>
          <w:i/>
          <w:w w:val="95"/>
          <w:sz w:val="22"/>
        </w:rPr>
        <w:t>energy use, integrated</w:t>
      </w:r>
      <w:r>
        <w:rPr>
          <w:i/>
          <w:spacing w:val="-1"/>
          <w:w w:val="95"/>
          <w:sz w:val="22"/>
        </w:rPr>
        <w:t> </w:t>
      </w:r>
      <w:r>
        <w:rPr>
          <w:i/>
          <w:w w:val="95"/>
          <w:sz w:val="22"/>
        </w:rPr>
        <w:t>with</w:t>
      </w:r>
      <w:r>
        <w:rPr>
          <w:i/>
          <w:spacing w:val="-1"/>
          <w:w w:val="95"/>
          <w:sz w:val="22"/>
        </w:rPr>
        <w:t> </w:t>
      </w:r>
      <w:r>
        <w:rPr>
          <w:i/>
          <w:w w:val="95"/>
          <w:sz w:val="22"/>
        </w:rPr>
        <w:t>the building envelope.</w:t>
      </w:r>
    </w:p>
    <w:p>
      <w:pPr>
        <w:pStyle w:val="BodyText"/>
        <w:spacing w:before="2"/>
        <w:rPr>
          <w:i/>
          <w:sz w:val="17"/>
        </w:rPr>
      </w:pPr>
    </w:p>
    <w:p>
      <w:pPr>
        <w:spacing w:before="0"/>
        <w:ind w:left="1160" w:right="0" w:firstLine="0"/>
        <w:jc w:val="left"/>
        <w:rPr>
          <w:b/>
          <w:sz w:val="20"/>
        </w:rPr>
      </w:pPr>
      <w:r>
        <w:rPr>
          <w:b/>
          <w:sz w:val="20"/>
        </w:rPr>
        <w:t>VTR</w:t>
      </w:r>
      <w:r>
        <w:rPr>
          <w:b/>
          <w:spacing w:val="-3"/>
          <w:sz w:val="20"/>
        </w:rPr>
        <w:t> </w:t>
      </w:r>
      <w:r>
        <w:rPr>
          <w:b/>
          <w:spacing w:val="-2"/>
          <w:sz w:val="20"/>
        </w:rPr>
        <w:t>Comments:</w:t>
      </w:r>
    </w:p>
    <w:p>
      <w:pPr>
        <w:pStyle w:val="BodyText"/>
        <w:spacing w:before="7"/>
        <w:rPr>
          <w:b/>
          <w:sz w:val="18"/>
        </w:rPr>
      </w:pPr>
    </w:p>
    <w:p>
      <w:pPr>
        <w:pStyle w:val="ListParagraph"/>
        <w:numPr>
          <w:ilvl w:val="0"/>
          <w:numId w:val="41"/>
        </w:numPr>
        <w:tabs>
          <w:tab w:pos="1951" w:val="left" w:leader="none"/>
          <w:tab w:pos="1953" w:val="left" w:leader="none"/>
        </w:tabs>
        <w:spacing w:line="240" w:lineRule="auto" w:before="0" w:after="0"/>
        <w:ind w:left="1952" w:right="841" w:hanging="360"/>
        <w:jc w:val="left"/>
        <w:rPr>
          <w:sz w:val="20"/>
        </w:rPr>
      </w:pPr>
      <w:r>
        <w:rPr>
          <w:sz w:val="20"/>
        </w:rPr>
        <w:t>Basic principles of environmental systems are presented in course ARC 315 and demonstrated in the 3rd and 4th year comprehensive project assignments.</w:t>
      </w:r>
      <w:r>
        <w:rPr>
          <w:spacing w:val="40"/>
          <w:sz w:val="20"/>
        </w:rPr>
        <w:t> </w:t>
      </w:r>
      <w:r>
        <w:rPr>
          <w:sz w:val="20"/>
        </w:rPr>
        <w:t>Course content and exam results suggest basic principles are understood, however actual translation</w:t>
      </w:r>
      <w:r>
        <w:rPr>
          <w:spacing w:val="-5"/>
          <w:sz w:val="20"/>
        </w:rPr>
        <w:t> </w:t>
      </w:r>
      <w:r>
        <w:rPr>
          <w:sz w:val="20"/>
        </w:rPr>
        <w:t>of</w:t>
      </w:r>
      <w:r>
        <w:rPr>
          <w:spacing w:val="-3"/>
          <w:sz w:val="20"/>
        </w:rPr>
        <w:t> </w:t>
      </w:r>
      <w:r>
        <w:rPr>
          <w:sz w:val="20"/>
        </w:rPr>
        <w:t>this</w:t>
      </w:r>
      <w:r>
        <w:rPr>
          <w:spacing w:val="-4"/>
          <w:sz w:val="20"/>
        </w:rPr>
        <w:t> </w:t>
      </w:r>
      <w:r>
        <w:rPr>
          <w:sz w:val="20"/>
        </w:rPr>
        <w:t>knowledge</w:t>
      </w:r>
      <w:r>
        <w:rPr>
          <w:spacing w:val="-5"/>
          <w:sz w:val="20"/>
        </w:rPr>
        <w:t> </w:t>
      </w:r>
      <w:r>
        <w:rPr>
          <w:sz w:val="20"/>
        </w:rPr>
        <w:t>to</w:t>
      </w:r>
      <w:r>
        <w:rPr>
          <w:spacing w:val="-5"/>
          <w:sz w:val="20"/>
        </w:rPr>
        <w:t> </w:t>
      </w:r>
      <w:r>
        <w:rPr>
          <w:sz w:val="20"/>
        </w:rPr>
        <w:t>the</w:t>
      </w:r>
      <w:r>
        <w:rPr>
          <w:spacing w:val="-3"/>
          <w:sz w:val="20"/>
        </w:rPr>
        <w:t> </w:t>
      </w:r>
      <w:r>
        <w:rPr>
          <w:sz w:val="20"/>
        </w:rPr>
        <w:t>4th</w:t>
      </w:r>
      <w:r>
        <w:rPr>
          <w:spacing w:val="-1"/>
          <w:sz w:val="20"/>
        </w:rPr>
        <w:t> </w:t>
      </w:r>
      <w:r>
        <w:rPr>
          <w:sz w:val="20"/>
        </w:rPr>
        <w:t>year</w:t>
      </w:r>
      <w:r>
        <w:rPr>
          <w:spacing w:val="-4"/>
          <w:sz w:val="20"/>
        </w:rPr>
        <w:t> </w:t>
      </w:r>
      <w:r>
        <w:rPr>
          <w:sz w:val="20"/>
        </w:rPr>
        <w:t>comprehensive</w:t>
      </w:r>
      <w:r>
        <w:rPr>
          <w:spacing w:val="-5"/>
          <w:sz w:val="20"/>
        </w:rPr>
        <w:t> </w:t>
      </w:r>
      <w:r>
        <w:rPr>
          <w:sz w:val="20"/>
        </w:rPr>
        <w:t>project</w:t>
      </w:r>
      <w:r>
        <w:rPr>
          <w:spacing w:val="-3"/>
          <w:sz w:val="20"/>
        </w:rPr>
        <w:t> </w:t>
      </w:r>
      <w:r>
        <w:rPr>
          <w:sz w:val="20"/>
        </w:rPr>
        <w:t>is</w:t>
      </w:r>
      <w:r>
        <w:rPr>
          <w:spacing w:val="-1"/>
          <w:sz w:val="20"/>
        </w:rPr>
        <w:t> </w:t>
      </w:r>
      <w:r>
        <w:rPr>
          <w:sz w:val="20"/>
        </w:rPr>
        <w:t>weak.</w:t>
      </w:r>
      <w:r>
        <w:rPr>
          <w:spacing w:val="40"/>
          <w:sz w:val="20"/>
        </w:rPr>
        <w:t> </w:t>
      </w:r>
      <w:r>
        <w:rPr>
          <w:sz w:val="20"/>
        </w:rPr>
        <w:t>Systems’ concepts,</w:t>
      </w:r>
      <w:r>
        <w:rPr>
          <w:spacing w:val="-1"/>
          <w:sz w:val="20"/>
        </w:rPr>
        <w:t> </w:t>
      </w:r>
      <w:r>
        <w:rPr>
          <w:sz w:val="20"/>
        </w:rPr>
        <w:t>equipment</w:t>
      </w:r>
      <w:r>
        <w:rPr>
          <w:spacing w:val="-1"/>
          <w:sz w:val="20"/>
        </w:rPr>
        <w:t> </w:t>
      </w:r>
      <w:r>
        <w:rPr>
          <w:sz w:val="20"/>
        </w:rPr>
        <w:t>sizes and locations, piping</w:t>
      </w:r>
      <w:r>
        <w:rPr>
          <w:spacing w:val="-1"/>
          <w:sz w:val="20"/>
        </w:rPr>
        <w:t> </w:t>
      </w:r>
      <w:r>
        <w:rPr>
          <w:sz w:val="20"/>
        </w:rPr>
        <w:t>chases,</w:t>
      </w:r>
      <w:r>
        <w:rPr>
          <w:spacing w:val="-1"/>
          <w:sz w:val="20"/>
        </w:rPr>
        <w:t> </w:t>
      </w:r>
      <w:r>
        <w:rPr>
          <w:sz w:val="20"/>
        </w:rPr>
        <w:t>air distribution</w:t>
      </w:r>
      <w:r>
        <w:rPr>
          <w:spacing w:val="-1"/>
          <w:sz w:val="20"/>
        </w:rPr>
        <w:t> </w:t>
      </w:r>
      <w:r>
        <w:rPr>
          <w:sz w:val="20"/>
        </w:rPr>
        <w:t>concepts, and outdoor equipment locations were not seen in the projects.</w:t>
      </w:r>
      <w:r>
        <w:rPr>
          <w:spacing w:val="40"/>
          <w:sz w:val="20"/>
        </w:rPr>
        <w:t> </w:t>
      </w:r>
      <w:r>
        <w:rPr>
          <w:sz w:val="20"/>
        </w:rPr>
        <w:t>The Team felt practical application of environmental systems concepts in the design process to be the key to understanding these principles; this was a cause of concern.</w:t>
      </w:r>
    </w:p>
    <w:p>
      <w:pPr>
        <w:pStyle w:val="BodyText"/>
        <w:spacing w:before="6"/>
        <w:rPr>
          <w:sz w:val="18"/>
        </w:rPr>
      </w:pPr>
    </w:p>
    <w:p>
      <w:pPr>
        <w:pStyle w:val="ListParagraph"/>
        <w:numPr>
          <w:ilvl w:val="0"/>
          <w:numId w:val="41"/>
        </w:numPr>
        <w:tabs>
          <w:tab w:pos="1951" w:val="left" w:leader="none"/>
          <w:tab w:pos="1953" w:val="left" w:leader="none"/>
        </w:tabs>
        <w:spacing w:line="240" w:lineRule="auto" w:before="0" w:after="0"/>
        <w:ind w:left="1952" w:right="809" w:hanging="360"/>
        <w:jc w:val="left"/>
        <w:rPr>
          <w:sz w:val="20"/>
        </w:rPr>
      </w:pPr>
      <w:r>
        <w:rPr>
          <w:sz w:val="20"/>
        </w:rPr>
        <w:t>Basic principles of environmental systems design are presented through a single core subject course ARC 315 and integrated through the 3rd and 4th year comprehensive project assignments.</w:t>
      </w:r>
      <w:r>
        <w:rPr>
          <w:spacing w:val="40"/>
          <w:sz w:val="20"/>
        </w:rPr>
        <w:t> </w:t>
      </w:r>
      <w:r>
        <w:rPr>
          <w:sz w:val="20"/>
        </w:rPr>
        <w:t>Course content and exam results suggest basic principles are understood</w:t>
      </w:r>
      <w:r>
        <w:rPr>
          <w:spacing w:val="-3"/>
          <w:sz w:val="20"/>
        </w:rPr>
        <w:t> </w:t>
      </w:r>
      <w:r>
        <w:rPr>
          <w:sz w:val="20"/>
        </w:rPr>
        <w:t>by</w:t>
      </w:r>
      <w:r>
        <w:rPr>
          <w:spacing w:val="-6"/>
          <w:sz w:val="20"/>
        </w:rPr>
        <w:t> </w:t>
      </w:r>
      <w:r>
        <w:rPr>
          <w:sz w:val="20"/>
        </w:rPr>
        <w:t>the</w:t>
      </w:r>
      <w:r>
        <w:rPr>
          <w:spacing w:val="-5"/>
          <w:sz w:val="20"/>
        </w:rPr>
        <w:t> </w:t>
      </w:r>
      <w:r>
        <w:rPr>
          <w:sz w:val="20"/>
        </w:rPr>
        <w:t>students</w:t>
      </w:r>
      <w:r>
        <w:rPr>
          <w:spacing w:val="-4"/>
          <w:sz w:val="20"/>
        </w:rPr>
        <w:t> </w:t>
      </w:r>
      <w:r>
        <w:rPr>
          <w:sz w:val="20"/>
        </w:rPr>
        <w:t>but</w:t>
      </w:r>
      <w:r>
        <w:rPr>
          <w:spacing w:val="-5"/>
          <w:sz w:val="20"/>
        </w:rPr>
        <w:t> </w:t>
      </w:r>
      <w:r>
        <w:rPr>
          <w:sz w:val="20"/>
        </w:rPr>
        <w:t>there</w:t>
      </w:r>
      <w:r>
        <w:rPr>
          <w:spacing w:val="-3"/>
          <w:sz w:val="20"/>
        </w:rPr>
        <w:t> </w:t>
      </w:r>
      <w:r>
        <w:rPr>
          <w:sz w:val="20"/>
        </w:rPr>
        <w:t>is</w:t>
      </w:r>
      <w:r>
        <w:rPr>
          <w:spacing w:val="-2"/>
          <w:sz w:val="20"/>
        </w:rPr>
        <w:t> </w:t>
      </w:r>
      <w:r>
        <w:rPr>
          <w:sz w:val="20"/>
        </w:rPr>
        <w:t>weak</w:t>
      </w:r>
      <w:r>
        <w:rPr>
          <w:spacing w:val="-2"/>
          <w:sz w:val="20"/>
        </w:rPr>
        <w:t> </w:t>
      </w:r>
      <w:r>
        <w:rPr>
          <w:sz w:val="20"/>
        </w:rPr>
        <w:t>evidence</w:t>
      </w:r>
      <w:r>
        <w:rPr>
          <w:spacing w:val="-3"/>
          <w:sz w:val="20"/>
        </w:rPr>
        <w:t> </w:t>
      </w:r>
      <w:r>
        <w:rPr>
          <w:sz w:val="20"/>
        </w:rPr>
        <w:t>this</w:t>
      </w:r>
      <w:r>
        <w:rPr>
          <w:spacing w:val="-4"/>
          <w:sz w:val="20"/>
        </w:rPr>
        <w:t> </w:t>
      </w:r>
      <w:r>
        <w:rPr>
          <w:sz w:val="20"/>
        </w:rPr>
        <w:t>understanding</w:t>
      </w:r>
      <w:r>
        <w:rPr>
          <w:spacing w:val="-3"/>
          <w:sz w:val="20"/>
        </w:rPr>
        <w:t> </w:t>
      </w:r>
      <w:r>
        <w:rPr>
          <w:sz w:val="20"/>
        </w:rPr>
        <w:t>is</w:t>
      </w:r>
      <w:r>
        <w:rPr>
          <w:spacing w:val="-4"/>
          <w:sz w:val="20"/>
        </w:rPr>
        <w:t> </w:t>
      </w:r>
      <w:r>
        <w:rPr>
          <w:sz w:val="20"/>
        </w:rPr>
        <w:t>translated into application at the 4th year comprehensive project appropriate to a Master of Architecture professional degree.</w:t>
      </w:r>
      <w:r>
        <w:rPr>
          <w:spacing w:val="40"/>
          <w:sz w:val="20"/>
        </w:rPr>
        <w:t> </w:t>
      </w:r>
      <w:r>
        <w:rPr>
          <w:sz w:val="20"/>
        </w:rPr>
        <w:t>The Team found this criterion a cause of concern.</w:t>
      </w:r>
    </w:p>
    <w:p>
      <w:pPr>
        <w:pStyle w:val="BodyText"/>
        <w:spacing w:before="4"/>
        <w:rPr>
          <w:sz w:val="17"/>
        </w:rPr>
      </w:pPr>
    </w:p>
    <w:p>
      <w:pPr>
        <w:spacing w:before="0"/>
        <w:ind w:left="1160" w:right="0" w:firstLine="0"/>
        <w:jc w:val="left"/>
        <w:rPr>
          <w:b/>
          <w:sz w:val="20"/>
        </w:rPr>
      </w:pPr>
      <w:r>
        <w:rPr>
          <w:b/>
          <w:sz w:val="20"/>
        </w:rPr>
        <w:t>Program</w:t>
      </w:r>
      <w:r>
        <w:rPr>
          <w:b/>
          <w:spacing w:val="-9"/>
          <w:sz w:val="20"/>
        </w:rPr>
        <w:t> </w:t>
      </w:r>
      <w:r>
        <w:rPr>
          <w:b/>
          <w:sz w:val="20"/>
        </w:rPr>
        <w:t>Response</w:t>
      </w:r>
      <w:r>
        <w:rPr>
          <w:b/>
          <w:spacing w:val="-7"/>
          <w:sz w:val="20"/>
        </w:rPr>
        <w:t> </w:t>
      </w:r>
      <w:r>
        <w:rPr>
          <w:b/>
          <w:sz w:val="20"/>
        </w:rPr>
        <w:t>Since</w:t>
      </w:r>
      <w:r>
        <w:rPr>
          <w:b/>
          <w:spacing w:val="-8"/>
          <w:sz w:val="20"/>
        </w:rPr>
        <w:t> </w:t>
      </w:r>
      <w:r>
        <w:rPr>
          <w:b/>
          <w:spacing w:val="-2"/>
          <w:sz w:val="20"/>
        </w:rPr>
        <w:t>Visit:</w:t>
      </w:r>
    </w:p>
    <w:p>
      <w:pPr>
        <w:pStyle w:val="BodyText"/>
        <w:spacing w:before="7"/>
        <w:rPr>
          <w:b/>
          <w:sz w:val="18"/>
        </w:rPr>
      </w:pPr>
    </w:p>
    <w:p>
      <w:pPr>
        <w:pStyle w:val="ListParagraph"/>
        <w:numPr>
          <w:ilvl w:val="0"/>
          <w:numId w:val="41"/>
        </w:numPr>
        <w:tabs>
          <w:tab w:pos="1952" w:val="left" w:leader="none"/>
          <w:tab w:pos="1953" w:val="left" w:leader="none"/>
        </w:tabs>
        <w:spacing w:line="240" w:lineRule="auto" w:before="0" w:after="0"/>
        <w:ind w:left="1952" w:right="778" w:hanging="360"/>
        <w:jc w:val="left"/>
        <w:rPr>
          <w:sz w:val="20"/>
        </w:rPr>
      </w:pPr>
      <w:r>
        <w:rPr>
          <w:sz w:val="20"/>
        </w:rPr>
        <w:t>2010 Response: Design solutions at the fourth year are required (per student required outcomes</w:t>
      </w:r>
      <w:r>
        <w:rPr>
          <w:spacing w:val="-4"/>
          <w:sz w:val="20"/>
        </w:rPr>
        <w:t> </w:t>
      </w:r>
      <w:r>
        <w:rPr>
          <w:sz w:val="20"/>
        </w:rPr>
        <w:t>for</w:t>
      </w:r>
      <w:r>
        <w:rPr>
          <w:spacing w:val="-4"/>
          <w:sz w:val="20"/>
        </w:rPr>
        <w:t> </w:t>
      </w:r>
      <w:r>
        <w:rPr>
          <w:sz w:val="20"/>
        </w:rPr>
        <w:t>that</w:t>
      </w:r>
      <w:r>
        <w:rPr>
          <w:spacing w:val="-5"/>
          <w:sz w:val="20"/>
        </w:rPr>
        <w:t> </w:t>
      </w:r>
      <w:r>
        <w:rPr>
          <w:sz w:val="20"/>
        </w:rPr>
        <w:t>class)</w:t>
      </w:r>
      <w:r>
        <w:rPr>
          <w:spacing w:val="-4"/>
          <w:sz w:val="20"/>
        </w:rPr>
        <w:t> </w:t>
      </w:r>
      <w:r>
        <w:rPr>
          <w:sz w:val="20"/>
        </w:rPr>
        <w:t>to</w:t>
      </w:r>
      <w:r>
        <w:rPr>
          <w:spacing w:val="-5"/>
          <w:sz w:val="20"/>
        </w:rPr>
        <w:t> </w:t>
      </w:r>
      <w:r>
        <w:rPr>
          <w:sz w:val="20"/>
        </w:rPr>
        <w:t>demonstrate</w:t>
      </w:r>
      <w:r>
        <w:rPr>
          <w:spacing w:val="-5"/>
          <w:sz w:val="20"/>
        </w:rPr>
        <w:t> </w:t>
      </w:r>
      <w:r>
        <w:rPr>
          <w:sz w:val="20"/>
        </w:rPr>
        <w:t>an</w:t>
      </w:r>
      <w:r>
        <w:rPr>
          <w:spacing w:val="-3"/>
          <w:sz w:val="20"/>
        </w:rPr>
        <w:t> </w:t>
      </w:r>
      <w:r>
        <w:rPr>
          <w:sz w:val="20"/>
        </w:rPr>
        <w:t>understanding</w:t>
      </w:r>
      <w:r>
        <w:rPr>
          <w:spacing w:val="-3"/>
          <w:sz w:val="20"/>
        </w:rPr>
        <w:t> </w:t>
      </w:r>
      <w:r>
        <w:rPr>
          <w:sz w:val="20"/>
        </w:rPr>
        <w:t>of</w:t>
      </w:r>
      <w:r>
        <w:rPr>
          <w:spacing w:val="-3"/>
          <w:sz w:val="20"/>
        </w:rPr>
        <w:t> </w:t>
      </w:r>
      <w:r>
        <w:rPr>
          <w:sz w:val="20"/>
        </w:rPr>
        <w:t>the</w:t>
      </w:r>
      <w:r>
        <w:rPr>
          <w:spacing w:val="-5"/>
          <w:sz w:val="20"/>
        </w:rPr>
        <w:t> </w:t>
      </w:r>
      <w:r>
        <w:rPr>
          <w:sz w:val="20"/>
        </w:rPr>
        <w:t>mechanical,</w:t>
      </w:r>
      <w:r>
        <w:rPr>
          <w:spacing w:val="-5"/>
          <w:sz w:val="20"/>
        </w:rPr>
        <w:t> </w:t>
      </w:r>
      <w:r>
        <w:rPr>
          <w:sz w:val="20"/>
        </w:rPr>
        <w:t>electrical, lighting and fire protection systems that support the building concepts.</w:t>
      </w:r>
    </w:p>
    <w:p>
      <w:pPr>
        <w:pStyle w:val="BodyText"/>
        <w:spacing w:before="8"/>
        <w:rPr>
          <w:sz w:val="18"/>
        </w:rPr>
      </w:pPr>
    </w:p>
    <w:p>
      <w:pPr>
        <w:pStyle w:val="ListParagraph"/>
        <w:numPr>
          <w:ilvl w:val="0"/>
          <w:numId w:val="41"/>
        </w:numPr>
        <w:tabs>
          <w:tab w:pos="1952" w:val="left" w:leader="none"/>
          <w:tab w:pos="1953" w:val="left" w:leader="none"/>
        </w:tabs>
        <w:spacing w:line="240" w:lineRule="auto" w:before="1" w:after="0"/>
        <w:ind w:left="1952" w:right="1241" w:hanging="360"/>
        <w:jc w:val="left"/>
        <w:rPr>
          <w:sz w:val="20"/>
        </w:rPr>
      </w:pPr>
      <w:r>
        <w:rPr>
          <w:sz w:val="20"/>
        </w:rPr>
        <w:t>2011</w:t>
      </w:r>
      <w:r>
        <w:rPr>
          <w:spacing w:val="-4"/>
          <w:sz w:val="20"/>
        </w:rPr>
        <w:t> </w:t>
      </w:r>
      <w:r>
        <w:rPr>
          <w:sz w:val="20"/>
        </w:rPr>
        <w:t>Response:</w:t>
      </w:r>
      <w:r>
        <w:rPr>
          <w:spacing w:val="-6"/>
          <w:sz w:val="20"/>
        </w:rPr>
        <w:t> </w:t>
      </w:r>
      <w:r>
        <w:rPr>
          <w:sz w:val="20"/>
        </w:rPr>
        <w:t>Those</w:t>
      </w:r>
      <w:r>
        <w:rPr>
          <w:spacing w:val="-6"/>
          <w:sz w:val="20"/>
        </w:rPr>
        <w:t> </w:t>
      </w:r>
      <w:r>
        <w:rPr>
          <w:sz w:val="20"/>
        </w:rPr>
        <w:t>requirements</w:t>
      </w:r>
      <w:r>
        <w:rPr>
          <w:spacing w:val="-5"/>
          <w:sz w:val="20"/>
        </w:rPr>
        <w:t> </w:t>
      </w:r>
      <w:r>
        <w:rPr>
          <w:sz w:val="20"/>
        </w:rPr>
        <w:t>are</w:t>
      </w:r>
      <w:r>
        <w:rPr>
          <w:spacing w:val="-6"/>
          <w:sz w:val="20"/>
        </w:rPr>
        <w:t> </w:t>
      </w:r>
      <w:r>
        <w:rPr>
          <w:sz w:val="20"/>
        </w:rPr>
        <w:t>consistent</w:t>
      </w:r>
      <w:r>
        <w:rPr>
          <w:spacing w:val="-4"/>
          <w:sz w:val="20"/>
        </w:rPr>
        <w:t> </w:t>
      </w:r>
      <w:r>
        <w:rPr>
          <w:sz w:val="20"/>
        </w:rPr>
        <w:t>with</w:t>
      </w:r>
      <w:r>
        <w:rPr>
          <w:spacing w:val="-6"/>
          <w:sz w:val="20"/>
        </w:rPr>
        <w:t> </w:t>
      </w:r>
      <w:r>
        <w:rPr>
          <w:sz w:val="20"/>
        </w:rPr>
        <w:t>the</w:t>
      </w:r>
      <w:r>
        <w:rPr>
          <w:spacing w:val="-6"/>
          <w:sz w:val="20"/>
        </w:rPr>
        <w:t> </w:t>
      </w:r>
      <w:r>
        <w:rPr>
          <w:sz w:val="20"/>
        </w:rPr>
        <w:t>student</w:t>
      </w:r>
      <w:r>
        <w:rPr>
          <w:spacing w:val="-4"/>
          <w:sz w:val="20"/>
        </w:rPr>
        <w:t> </w:t>
      </w:r>
      <w:r>
        <w:rPr>
          <w:sz w:val="20"/>
        </w:rPr>
        <w:t>performance criteria established in our course outcome requirements.</w:t>
      </w:r>
    </w:p>
    <w:p>
      <w:pPr>
        <w:pStyle w:val="BodyText"/>
        <w:spacing w:before="4"/>
        <w:rPr>
          <w:sz w:val="18"/>
        </w:rPr>
      </w:pPr>
    </w:p>
    <w:p>
      <w:pPr>
        <w:pStyle w:val="ListParagraph"/>
        <w:numPr>
          <w:ilvl w:val="0"/>
          <w:numId w:val="41"/>
        </w:numPr>
        <w:tabs>
          <w:tab w:pos="1952" w:val="left" w:leader="none"/>
          <w:tab w:pos="1953" w:val="left" w:leader="none"/>
        </w:tabs>
        <w:spacing w:line="240" w:lineRule="auto" w:before="1" w:after="0"/>
        <w:ind w:left="1952" w:right="909" w:hanging="360"/>
        <w:jc w:val="left"/>
        <w:rPr>
          <w:sz w:val="20"/>
        </w:rPr>
      </w:pPr>
      <w:r>
        <w:rPr>
          <w:sz w:val="20"/>
        </w:rPr>
        <w:t>2012: to further this work, the Norfolk A/E firm of Clark Nexen is assisting in our instruction by providing faculty</w:t>
      </w:r>
      <w:r>
        <w:rPr>
          <w:spacing w:val="-1"/>
          <w:sz w:val="20"/>
        </w:rPr>
        <w:t> </w:t>
      </w:r>
      <w:r>
        <w:rPr>
          <w:sz w:val="20"/>
        </w:rPr>
        <w:t>support in all engineering areas, including Mechanical and</w:t>
      </w:r>
      <w:r>
        <w:rPr>
          <w:spacing w:val="-3"/>
          <w:sz w:val="20"/>
        </w:rPr>
        <w:t> </w:t>
      </w:r>
      <w:r>
        <w:rPr>
          <w:sz w:val="20"/>
        </w:rPr>
        <w:t>Electrical</w:t>
      </w:r>
      <w:r>
        <w:rPr>
          <w:spacing w:val="-4"/>
          <w:sz w:val="20"/>
        </w:rPr>
        <w:t> </w:t>
      </w:r>
      <w:r>
        <w:rPr>
          <w:sz w:val="20"/>
        </w:rPr>
        <w:t>Engineering. They</w:t>
      </w:r>
      <w:r>
        <w:rPr>
          <w:spacing w:val="-10"/>
          <w:sz w:val="20"/>
        </w:rPr>
        <w:t> </w:t>
      </w:r>
      <w:r>
        <w:rPr>
          <w:sz w:val="20"/>
        </w:rPr>
        <w:t>further</w:t>
      </w:r>
      <w:r>
        <w:rPr>
          <w:spacing w:val="-4"/>
          <w:sz w:val="20"/>
        </w:rPr>
        <w:t> </w:t>
      </w:r>
      <w:r>
        <w:rPr>
          <w:sz w:val="20"/>
        </w:rPr>
        <w:t>provide</w:t>
      </w:r>
      <w:r>
        <w:rPr>
          <w:spacing w:val="-5"/>
          <w:sz w:val="20"/>
        </w:rPr>
        <w:t> </w:t>
      </w:r>
      <w:r>
        <w:rPr>
          <w:sz w:val="20"/>
        </w:rPr>
        <w:t>instruction</w:t>
      </w:r>
      <w:r>
        <w:rPr>
          <w:spacing w:val="-3"/>
          <w:sz w:val="20"/>
        </w:rPr>
        <w:t> </w:t>
      </w:r>
      <w:r>
        <w:rPr>
          <w:sz w:val="20"/>
        </w:rPr>
        <w:t>to</w:t>
      </w:r>
      <w:r>
        <w:rPr>
          <w:spacing w:val="-5"/>
          <w:sz w:val="20"/>
        </w:rPr>
        <w:t> </w:t>
      </w:r>
      <w:r>
        <w:rPr>
          <w:sz w:val="20"/>
        </w:rPr>
        <w:t>the</w:t>
      </w:r>
      <w:r>
        <w:rPr>
          <w:spacing w:val="-5"/>
          <w:sz w:val="20"/>
        </w:rPr>
        <w:t> </w:t>
      </w:r>
      <w:r>
        <w:rPr>
          <w:sz w:val="20"/>
        </w:rPr>
        <w:t>fourth</w:t>
      </w:r>
      <w:r>
        <w:rPr>
          <w:spacing w:val="-1"/>
          <w:sz w:val="20"/>
        </w:rPr>
        <w:t> </w:t>
      </w:r>
      <w:r>
        <w:rPr>
          <w:sz w:val="20"/>
        </w:rPr>
        <w:t>year</w:t>
      </w:r>
      <w:r>
        <w:rPr>
          <w:spacing w:val="-4"/>
          <w:sz w:val="20"/>
        </w:rPr>
        <w:t> </w:t>
      </w:r>
      <w:r>
        <w:rPr>
          <w:sz w:val="20"/>
        </w:rPr>
        <w:t>studio</w:t>
      </w:r>
      <w:r>
        <w:rPr>
          <w:spacing w:val="-5"/>
          <w:sz w:val="20"/>
        </w:rPr>
        <w:t> </w:t>
      </w:r>
      <w:r>
        <w:rPr>
          <w:sz w:val="20"/>
        </w:rPr>
        <w:t>in developing LEED strategies as part of design solutions.</w:t>
      </w:r>
    </w:p>
    <w:p>
      <w:pPr>
        <w:spacing w:after="0" w:line="240" w:lineRule="auto"/>
        <w:jc w:val="left"/>
        <w:rPr>
          <w:sz w:val="20"/>
        </w:rPr>
        <w:sectPr>
          <w:headerReference w:type="default" r:id="rId173"/>
          <w:footerReference w:type="default" r:id="rId174"/>
          <w:pgSz w:w="12240" w:h="15840"/>
          <w:pgMar w:header="1442" w:footer="974" w:top="1660" w:bottom="1160" w:left="1000" w:right="820"/>
        </w:sectPr>
      </w:pPr>
    </w:p>
    <w:p>
      <w:pPr>
        <w:spacing w:before="75"/>
        <w:ind w:left="1160" w:right="0" w:firstLine="0"/>
        <w:jc w:val="left"/>
        <w:rPr>
          <w:b/>
          <w:sz w:val="20"/>
        </w:rPr>
      </w:pPr>
      <w:r>
        <w:rPr>
          <w:b/>
          <w:sz w:val="20"/>
        </w:rPr>
        <w:t>3.1.3.Summary</w:t>
      </w:r>
      <w:r>
        <w:rPr>
          <w:b/>
          <w:spacing w:val="-8"/>
          <w:sz w:val="20"/>
        </w:rPr>
        <w:t> </w:t>
      </w:r>
      <w:r>
        <w:rPr>
          <w:b/>
          <w:sz w:val="20"/>
        </w:rPr>
        <w:t>of</w:t>
      </w:r>
      <w:r>
        <w:rPr>
          <w:b/>
          <w:spacing w:val="-7"/>
          <w:sz w:val="20"/>
        </w:rPr>
        <w:t> </w:t>
      </w:r>
      <w:r>
        <w:rPr>
          <w:b/>
          <w:sz w:val="20"/>
        </w:rPr>
        <w:t>Responses</w:t>
      </w:r>
      <w:r>
        <w:rPr>
          <w:b/>
          <w:spacing w:val="-6"/>
          <w:sz w:val="20"/>
        </w:rPr>
        <w:t> </w:t>
      </w:r>
      <w:r>
        <w:rPr>
          <w:b/>
          <w:sz w:val="20"/>
        </w:rPr>
        <w:t>to</w:t>
      </w:r>
      <w:r>
        <w:rPr>
          <w:b/>
          <w:spacing w:val="-7"/>
          <w:sz w:val="20"/>
        </w:rPr>
        <w:t> </w:t>
      </w:r>
      <w:r>
        <w:rPr>
          <w:b/>
          <w:sz w:val="20"/>
        </w:rPr>
        <w:t>Changes</w:t>
      </w:r>
      <w:r>
        <w:rPr>
          <w:b/>
          <w:spacing w:val="-7"/>
          <w:sz w:val="20"/>
        </w:rPr>
        <w:t> </w:t>
      </w:r>
      <w:r>
        <w:rPr>
          <w:b/>
          <w:sz w:val="20"/>
        </w:rPr>
        <w:t>in</w:t>
      </w:r>
      <w:r>
        <w:rPr>
          <w:b/>
          <w:spacing w:val="-7"/>
          <w:sz w:val="20"/>
        </w:rPr>
        <w:t> </w:t>
      </w:r>
      <w:r>
        <w:rPr>
          <w:b/>
          <w:sz w:val="20"/>
        </w:rPr>
        <w:t>the</w:t>
      </w:r>
      <w:r>
        <w:rPr>
          <w:b/>
          <w:spacing w:val="-6"/>
          <w:sz w:val="20"/>
        </w:rPr>
        <w:t> </w:t>
      </w:r>
      <w:r>
        <w:rPr>
          <w:b/>
          <w:sz w:val="20"/>
        </w:rPr>
        <w:t>NAAB</w:t>
      </w:r>
      <w:r>
        <w:rPr>
          <w:b/>
          <w:spacing w:val="-3"/>
          <w:sz w:val="20"/>
        </w:rPr>
        <w:t> </w:t>
      </w:r>
      <w:r>
        <w:rPr>
          <w:b/>
          <w:spacing w:val="-2"/>
          <w:sz w:val="20"/>
        </w:rPr>
        <w:t>Conditions</w:t>
      </w:r>
    </w:p>
    <w:p>
      <w:pPr>
        <w:pStyle w:val="BodyText"/>
        <w:spacing w:before="9"/>
        <w:rPr>
          <w:b/>
          <w:sz w:val="18"/>
        </w:rPr>
      </w:pPr>
    </w:p>
    <w:p>
      <w:pPr>
        <w:pStyle w:val="ListParagraph"/>
        <w:numPr>
          <w:ilvl w:val="0"/>
          <w:numId w:val="42"/>
        </w:numPr>
        <w:tabs>
          <w:tab w:pos="1951" w:val="left" w:leader="none"/>
          <w:tab w:pos="1952" w:val="left" w:leader="none"/>
        </w:tabs>
        <w:spacing w:line="240" w:lineRule="auto" w:before="0" w:after="0"/>
        <w:ind w:left="1951" w:right="686" w:hanging="360"/>
        <w:jc w:val="left"/>
        <w:rPr>
          <w:sz w:val="20"/>
        </w:rPr>
      </w:pPr>
      <w:r>
        <w:rPr>
          <w:sz w:val="20"/>
        </w:rPr>
        <w:t>Curricula</w:t>
      </w:r>
      <w:r>
        <w:rPr>
          <w:spacing w:val="-4"/>
          <w:sz w:val="20"/>
        </w:rPr>
        <w:t> </w:t>
      </w:r>
      <w:r>
        <w:rPr>
          <w:sz w:val="20"/>
        </w:rPr>
        <w:t>Modifications:</w:t>
      </w:r>
      <w:r>
        <w:rPr>
          <w:spacing w:val="-4"/>
          <w:sz w:val="20"/>
        </w:rPr>
        <w:t> </w:t>
      </w:r>
      <w:r>
        <w:rPr>
          <w:sz w:val="20"/>
        </w:rPr>
        <w:t>our</w:t>
      </w:r>
      <w:r>
        <w:rPr>
          <w:spacing w:val="-3"/>
          <w:sz w:val="20"/>
        </w:rPr>
        <w:t> </w:t>
      </w:r>
      <w:r>
        <w:rPr>
          <w:sz w:val="20"/>
        </w:rPr>
        <w:t>curriculum</w:t>
      </w:r>
      <w:r>
        <w:rPr>
          <w:spacing w:val="-1"/>
          <w:sz w:val="20"/>
        </w:rPr>
        <w:t> </w:t>
      </w:r>
      <w:r>
        <w:rPr>
          <w:sz w:val="20"/>
        </w:rPr>
        <w:t>has</w:t>
      </w:r>
      <w:r>
        <w:rPr>
          <w:spacing w:val="-5"/>
          <w:sz w:val="20"/>
        </w:rPr>
        <w:t> </w:t>
      </w:r>
      <w:r>
        <w:rPr>
          <w:sz w:val="20"/>
        </w:rPr>
        <w:t>been</w:t>
      </w:r>
      <w:r>
        <w:rPr>
          <w:spacing w:val="-5"/>
          <w:sz w:val="20"/>
        </w:rPr>
        <w:t> </w:t>
      </w:r>
      <w:r>
        <w:rPr>
          <w:sz w:val="20"/>
        </w:rPr>
        <w:t>modified</w:t>
      </w:r>
      <w:r>
        <w:rPr>
          <w:spacing w:val="-5"/>
          <w:sz w:val="20"/>
        </w:rPr>
        <w:t> </w:t>
      </w:r>
      <w:r>
        <w:rPr>
          <w:sz w:val="20"/>
        </w:rPr>
        <w:t>twice,</w:t>
      </w:r>
      <w:r>
        <w:rPr>
          <w:spacing w:val="-4"/>
          <w:sz w:val="20"/>
        </w:rPr>
        <w:t> </w:t>
      </w:r>
      <w:r>
        <w:rPr>
          <w:sz w:val="20"/>
        </w:rPr>
        <w:t>with</w:t>
      </w:r>
      <w:r>
        <w:rPr>
          <w:spacing w:val="-4"/>
          <w:sz w:val="20"/>
        </w:rPr>
        <w:t> </w:t>
      </w:r>
      <w:r>
        <w:rPr>
          <w:sz w:val="20"/>
        </w:rPr>
        <w:t>the</w:t>
      </w:r>
      <w:r>
        <w:rPr>
          <w:spacing w:val="-4"/>
          <w:sz w:val="20"/>
        </w:rPr>
        <w:t> </w:t>
      </w:r>
      <w:r>
        <w:rPr>
          <w:sz w:val="20"/>
        </w:rPr>
        <w:t>approval</w:t>
      </w:r>
      <w:r>
        <w:rPr>
          <w:spacing w:val="-5"/>
          <w:sz w:val="20"/>
        </w:rPr>
        <w:t> </w:t>
      </w:r>
      <w:r>
        <w:rPr>
          <w:sz w:val="20"/>
        </w:rPr>
        <w:t>of</w:t>
      </w:r>
      <w:r>
        <w:rPr>
          <w:spacing w:val="-4"/>
          <w:sz w:val="20"/>
        </w:rPr>
        <w:t> </w:t>
      </w:r>
      <w:r>
        <w:rPr>
          <w:sz w:val="20"/>
        </w:rPr>
        <w:t>the </w:t>
      </w:r>
      <w:r>
        <w:rPr>
          <w:spacing w:val="-2"/>
          <w:sz w:val="20"/>
        </w:rPr>
        <w:t>University.</w:t>
      </w:r>
    </w:p>
    <w:p>
      <w:pPr>
        <w:pStyle w:val="BodyText"/>
        <w:spacing w:before="6"/>
        <w:rPr>
          <w:sz w:val="17"/>
        </w:rPr>
      </w:pPr>
    </w:p>
    <w:p>
      <w:pPr>
        <w:pStyle w:val="ListParagraph"/>
        <w:numPr>
          <w:ilvl w:val="1"/>
          <w:numId w:val="42"/>
        </w:numPr>
        <w:tabs>
          <w:tab w:pos="2672" w:val="left" w:leader="none"/>
        </w:tabs>
        <w:spacing w:line="237" w:lineRule="auto" w:before="0" w:after="0"/>
        <w:ind w:left="2671" w:right="632" w:hanging="360"/>
        <w:jc w:val="left"/>
        <w:rPr>
          <w:sz w:val="20"/>
        </w:rPr>
      </w:pPr>
      <w:r>
        <w:rPr>
          <w:sz w:val="20"/>
        </w:rPr>
        <w:t>In 2012, the curriculum was changed to add an additional class in Architectural Representation</w:t>
      </w:r>
      <w:r>
        <w:rPr>
          <w:spacing w:val="-3"/>
          <w:sz w:val="20"/>
        </w:rPr>
        <w:t> </w:t>
      </w:r>
      <w:r>
        <w:rPr>
          <w:sz w:val="20"/>
        </w:rPr>
        <w:t>(ARC 204, Representation</w:t>
      </w:r>
      <w:r>
        <w:rPr>
          <w:spacing w:val="-1"/>
          <w:sz w:val="20"/>
        </w:rPr>
        <w:t> </w:t>
      </w:r>
      <w:r>
        <w:rPr>
          <w:sz w:val="20"/>
        </w:rPr>
        <w:t>II.</w:t>
      </w:r>
      <w:r>
        <w:rPr>
          <w:spacing w:val="-3"/>
          <w:sz w:val="20"/>
        </w:rPr>
        <w:t> </w:t>
      </w:r>
      <w:r>
        <w:rPr>
          <w:sz w:val="20"/>
        </w:rPr>
        <w:t>This</w:t>
      </w:r>
      <w:r>
        <w:rPr>
          <w:spacing w:val="-2"/>
          <w:sz w:val="20"/>
        </w:rPr>
        <w:t> </w:t>
      </w:r>
      <w:r>
        <w:rPr>
          <w:sz w:val="20"/>
        </w:rPr>
        <w:t>class</w:t>
      </w:r>
      <w:r>
        <w:rPr>
          <w:spacing w:val="-2"/>
          <w:sz w:val="20"/>
        </w:rPr>
        <w:t> </w:t>
      </w:r>
      <w:r>
        <w:rPr>
          <w:sz w:val="20"/>
        </w:rPr>
        <w:t>allows</w:t>
      </w:r>
      <w:r>
        <w:rPr>
          <w:spacing w:val="-2"/>
          <w:sz w:val="20"/>
        </w:rPr>
        <w:t> </w:t>
      </w:r>
      <w:r>
        <w:rPr>
          <w:sz w:val="20"/>
        </w:rPr>
        <w:t>for</w:t>
      </w:r>
      <w:r>
        <w:rPr>
          <w:spacing w:val="-4"/>
          <w:sz w:val="20"/>
        </w:rPr>
        <w:t> </w:t>
      </w:r>
      <w:r>
        <w:rPr>
          <w:sz w:val="20"/>
        </w:rPr>
        <w:t>more</w:t>
      </w:r>
      <w:r>
        <w:rPr>
          <w:spacing w:val="-3"/>
          <w:sz w:val="20"/>
        </w:rPr>
        <w:t> </w:t>
      </w:r>
      <w:r>
        <w:rPr>
          <w:sz w:val="20"/>
        </w:rPr>
        <w:t>focused instruction</w:t>
      </w:r>
      <w:r>
        <w:rPr>
          <w:spacing w:val="-5"/>
          <w:sz w:val="20"/>
        </w:rPr>
        <w:t> </w:t>
      </w:r>
      <w:r>
        <w:rPr>
          <w:sz w:val="20"/>
        </w:rPr>
        <w:t>on</w:t>
      </w:r>
      <w:r>
        <w:rPr>
          <w:spacing w:val="-5"/>
          <w:sz w:val="20"/>
        </w:rPr>
        <w:t> </w:t>
      </w:r>
      <w:r>
        <w:rPr>
          <w:sz w:val="20"/>
        </w:rPr>
        <w:t>the</w:t>
      </w:r>
      <w:r>
        <w:rPr>
          <w:spacing w:val="-5"/>
          <w:sz w:val="20"/>
        </w:rPr>
        <w:t> </w:t>
      </w:r>
      <w:r>
        <w:rPr>
          <w:sz w:val="20"/>
        </w:rPr>
        <w:t>use</w:t>
      </w:r>
      <w:r>
        <w:rPr>
          <w:spacing w:val="-3"/>
          <w:sz w:val="20"/>
        </w:rPr>
        <w:t> </w:t>
      </w:r>
      <w:r>
        <w:rPr>
          <w:sz w:val="20"/>
        </w:rPr>
        <w:t>and application</w:t>
      </w:r>
      <w:r>
        <w:rPr>
          <w:spacing w:val="-3"/>
          <w:sz w:val="20"/>
        </w:rPr>
        <w:t> </w:t>
      </w:r>
      <w:r>
        <w:rPr>
          <w:sz w:val="20"/>
        </w:rPr>
        <w:t>of</w:t>
      </w:r>
      <w:r>
        <w:rPr>
          <w:spacing w:val="-3"/>
          <w:sz w:val="20"/>
        </w:rPr>
        <w:t> </w:t>
      </w:r>
      <w:r>
        <w:rPr>
          <w:sz w:val="20"/>
        </w:rPr>
        <w:t>both</w:t>
      </w:r>
      <w:r>
        <w:rPr>
          <w:spacing w:val="-3"/>
          <w:sz w:val="20"/>
        </w:rPr>
        <w:t> </w:t>
      </w:r>
      <w:r>
        <w:rPr>
          <w:sz w:val="20"/>
        </w:rPr>
        <w:t>hand</w:t>
      </w:r>
      <w:r>
        <w:rPr>
          <w:spacing w:val="-3"/>
          <w:sz w:val="20"/>
        </w:rPr>
        <w:t> </w:t>
      </w:r>
      <w:r>
        <w:rPr>
          <w:sz w:val="20"/>
        </w:rPr>
        <w:t>and</w:t>
      </w:r>
      <w:r>
        <w:rPr>
          <w:spacing w:val="-5"/>
          <w:sz w:val="20"/>
        </w:rPr>
        <w:t> </w:t>
      </w:r>
      <w:r>
        <w:rPr>
          <w:sz w:val="20"/>
        </w:rPr>
        <w:t>digital</w:t>
      </w:r>
      <w:r>
        <w:rPr>
          <w:spacing w:val="-6"/>
          <w:sz w:val="20"/>
        </w:rPr>
        <w:t> </w:t>
      </w:r>
      <w:r>
        <w:rPr>
          <w:sz w:val="20"/>
        </w:rPr>
        <w:t>media</w:t>
      </w:r>
      <w:r>
        <w:rPr>
          <w:spacing w:val="-3"/>
          <w:sz w:val="20"/>
        </w:rPr>
        <w:t> </w:t>
      </w:r>
      <w:r>
        <w:rPr>
          <w:sz w:val="20"/>
        </w:rPr>
        <w:t>techniques. This addition was offset by a change in the number of credits assigned to the lower level studios. Additionally, in concert with the recommendations of the NAAB Team, we have increased the clarity of achievement milestones and gateways for students as they navigate the curriculum. As a result, our curriculum has increase from 171, to 173 required credits. Finally, the architectural</w:t>
      </w:r>
      <w:r>
        <w:rPr>
          <w:spacing w:val="-3"/>
          <w:sz w:val="20"/>
        </w:rPr>
        <w:t> </w:t>
      </w:r>
      <w:r>
        <w:rPr>
          <w:sz w:val="20"/>
        </w:rPr>
        <w:t>electives</w:t>
      </w:r>
      <w:r>
        <w:rPr>
          <w:spacing w:val="-1"/>
          <w:sz w:val="20"/>
        </w:rPr>
        <w:t> </w:t>
      </w:r>
      <w:r>
        <w:rPr>
          <w:sz w:val="20"/>
        </w:rPr>
        <w:t>and professional</w:t>
      </w:r>
      <w:r>
        <w:rPr>
          <w:spacing w:val="-1"/>
          <w:sz w:val="20"/>
        </w:rPr>
        <w:t> </w:t>
      </w:r>
      <w:r>
        <w:rPr>
          <w:sz w:val="20"/>
        </w:rPr>
        <w:t>practice</w:t>
      </w:r>
      <w:r>
        <w:rPr>
          <w:spacing w:val="-2"/>
          <w:sz w:val="20"/>
        </w:rPr>
        <w:t> </w:t>
      </w:r>
      <w:r>
        <w:rPr>
          <w:sz w:val="20"/>
        </w:rPr>
        <w:t>classes</w:t>
      </w:r>
      <w:r>
        <w:rPr>
          <w:spacing w:val="-1"/>
          <w:sz w:val="20"/>
        </w:rPr>
        <w:t> </w:t>
      </w:r>
      <w:r>
        <w:rPr>
          <w:sz w:val="20"/>
        </w:rPr>
        <w:t>were</w:t>
      </w:r>
      <w:r>
        <w:rPr>
          <w:spacing w:val="-2"/>
          <w:sz w:val="20"/>
        </w:rPr>
        <w:t> </w:t>
      </w:r>
      <w:r>
        <w:rPr>
          <w:sz w:val="20"/>
        </w:rPr>
        <w:t>changed</w:t>
      </w:r>
      <w:r>
        <w:rPr>
          <w:spacing w:val="-2"/>
          <w:sz w:val="20"/>
        </w:rPr>
        <w:t> </w:t>
      </w:r>
      <w:r>
        <w:rPr>
          <w:sz w:val="20"/>
        </w:rPr>
        <w:t>from 400 level</w:t>
      </w:r>
      <w:r>
        <w:rPr>
          <w:spacing w:val="-1"/>
          <w:sz w:val="20"/>
        </w:rPr>
        <w:t> </w:t>
      </w:r>
      <w:r>
        <w:rPr>
          <w:sz w:val="20"/>
        </w:rPr>
        <w:t>to 500 level</w:t>
      </w:r>
      <w:r>
        <w:rPr>
          <w:spacing w:val="-3"/>
          <w:sz w:val="20"/>
        </w:rPr>
        <w:t> </w:t>
      </w:r>
      <w:r>
        <w:rPr>
          <w:sz w:val="20"/>
        </w:rPr>
        <w:t>classes,</w:t>
      </w:r>
      <w:r>
        <w:rPr>
          <w:spacing w:val="-2"/>
          <w:sz w:val="20"/>
        </w:rPr>
        <w:t> </w:t>
      </w:r>
      <w:r>
        <w:rPr>
          <w:sz w:val="20"/>
        </w:rPr>
        <w:t>so</w:t>
      </w:r>
      <w:r>
        <w:rPr>
          <w:spacing w:val="-2"/>
          <w:sz w:val="20"/>
        </w:rPr>
        <w:t> </w:t>
      </w:r>
      <w:r>
        <w:rPr>
          <w:sz w:val="20"/>
        </w:rPr>
        <w:t>that</w:t>
      </w:r>
      <w:r>
        <w:rPr>
          <w:spacing w:val="-2"/>
          <w:sz w:val="20"/>
        </w:rPr>
        <w:t> </w:t>
      </w:r>
      <w:r>
        <w:rPr>
          <w:sz w:val="20"/>
        </w:rPr>
        <w:t>the</w:t>
      </w:r>
      <w:r>
        <w:rPr>
          <w:spacing w:val="-2"/>
          <w:sz w:val="20"/>
        </w:rPr>
        <w:t> </w:t>
      </w:r>
      <w:r>
        <w:rPr>
          <w:sz w:val="20"/>
        </w:rPr>
        <w:t>total</w:t>
      </w:r>
      <w:r>
        <w:rPr>
          <w:spacing w:val="-1"/>
          <w:sz w:val="20"/>
        </w:rPr>
        <w:t> </w:t>
      </w:r>
      <w:r>
        <w:rPr>
          <w:sz w:val="20"/>
        </w:rPr>
        <w:t>number</w:t>
      </w:r>
      <w:r>
        <w:rPr>
          <w:spacing w:val="-1"/>
          <w:sz w:val="20"/>
        </w:rPr>
        <w:t> </w:t>
      </w:r>
      <w:r>
        <w:rPr>
          <w:sz w:val="20"/>
        </w:rPr>
        <w:t>of graduate</w:t>
      </w:r>
      <w:r>
        <w:rPr>
          <w:spacing w:val="-2"/>
          <w:sz w:val="20"/>
        </w:rPr>
        <w:t> </w:t>
      </w:r>
      <w:r>
        <w:rPr>
          <w:sz w:val="20"/>
        </w:rPr>
        <w:t>courses</w:t>
      </w:r>
      <w:r>
        <w:rPr>
          <w:spacing w:val="-1"/>
          <w:sz w:val="20"/>
        </w:rPr>
        <w:t> </w:t>
      </w:r>
      <w:r>
        <w:rPr>
          <w:sz w:val="20"/>
        </w:rPr>
        <w:t>(500</w:t>
      </w:r>
      <w:r>
        <w:rPr>
          <w:spacing w:val="-2"/>
          <w:sz w:val="20"/>
        </w:rPr>
        <w:t> </w:t>
      </w:r>
      <w:r>
        <w:rPr>
          <w:sz w:val="20"/>
        </w:rPr>
        <w:t>and 600 level courses) was increased to 30 credits. See appendix for modifications to Program Curricula.</w:t>
      </w:r>
    </w:p>
    <w:p>
      <w:pPr>
        <w:pStyle w:val="BodyText"/>
        <w:spacing w:before="9"/>
        <w:rPr>
          <w:sz w:val="18"/>
        </w:rPr>
      </w:pPr>
    </w:p>
    <w:p>
      <w:pPr>
        <w:pStyle w:val="ListParagraph"/>
        <w:numPr>
          <w:ilvl w:val="1"/>
          <w:numId w:val="42"/>
        </w:numPr>
        <w:tabs>
          <w:tab w:pos="2672" w:val="left" w:leader="none"/>
        </w:tabs>
        <w:spacing w:line="232" w:lineRule="auto" w:before="0" w:after="0"/>
        <w:ind w:left="2671" w:right="867" w:hanging="360"/>
        <w:jc w:val="left"/>
        <w:rPr>
          <w:sz w:val="20"/>
        </w:rPr>
      </w:pPr>
      <w:r>
        <w:rPr>
          <w:sz w:val="20"/>
        </w:rPr>
        <w:t>In</w:t>
      </w:r>
      <w:r>
        <w:rPr>
          <w:spacing w:val="-5"/>
          <w:sz w:val="20"/>
        </w:rPr>
        <w:t> </w:t>
      </w:r>
      <w:r>
        <w:rPr>
          <w:sz w:val="20"/>
        </w:rPr>
        <w:t>2014,</w:t>
      </w:r>
      <w:r>
        <w:rPr>
          <w:spacing w:val="-3"/>
          <w:sz w:val="20"/>
        </w:rPr>
        <w:t> </w:t>
      </w:r>
      <w:r>
        <w:rPr>
          <w:sz w:val="20"/>
        </w:rPr>
        <w:t>the</w:t>
      </w:r>
      <w:r>
        <w:rPr>
          <w:spacing w:val="-5"/>
          <w:sz w:val="20"/>
        </w:rPr>
        <w:t> </w:t>
      </w:r>
      <w:r>
        <w:rPr>
          <w:sz w:val="20"/>
        </w:rPr>
        <w:t>curriculum was</w:t>
      </w:r>
      <w:r>
        <w:rPr>
          <w:spacing w:val="-1"/>
          <w:sz w:val="20"/>
        </w:rPr>
        <w:t> </w:t>
      </w:r>
      <w:r>
        <w:rPr>
          <w:sz w:val="20"/>
        </w:rPr>
        <w:t>changed</w:t>
      </w:r>
      <w:r>
        <w:rPr>
          <w:spacing w:val="-5"/>
          <w:sz w:val="20"/>
        </w:rPr>
        <w:t> </w:t>
      </w:r>
      <w:r>
        <w:rPr>
          <w:sz w:val="20"/>
        </w:rPr>
        <w:t>to</w:t>
      </w:r>
      <w:r>
        <w:rPr>
          <w:spacing w:val="-5"/>
          <w:sz w:val="20"/>
        </w:rPr>
        <w:t> </w:t>
      </w:r>
      <w:r>
        <w:rPr>
          <w:sz w:val="20"/>
        </w:rPr>
        <w:t>add</w:t>
      </w:r>
      <w:r>
        <w:rPr>
          <w:spacing w:val="-5"/>
          <w:sz w:val="20"/>
        </w:rPr>
        <w:t> </w:t>
      </w:r>
      <w:r>
        <w:rPr>
          <w:sz w:val="20"/>
        </w:rPr>
        <w:t>additional</w:t>
      </w:r>
      <w:r>
        <w:rPr>
          <w:spacing w:val="-4"/>
          <w:sz w:val="20"/>
        </w:rPr>
        <w:t> </w:t>
      </w:r>
      <w:r>
        <w:rPr>
          <w:sz w:val="20"/>
        </w:rPr>
        <w:t>course</w:t>
      </w:r>
      <w:r>
        <w:rPr>
          <w:spacing w:val="-5"/>
          <w:sz w:val="20"/>
        </w:rPr>
        <w:t> </w:t>
      </w:r>
      <w:r>
        <w:rPr>
          <w:sz w:val="20"/>
        </w:rPr>
        <w:t>work</w:t>
      </w:r>
      <w:r>
        <w:rPr>
          <w:spacing w:val="-1"/>
          <w:sz w:val="20"/>
        </w:rPr>
        <w:t> </w:t>
      </w:r>
      <w:r>
        <w:rPr>
          <w:sz w:val="20"/>
        </w:rPr>
        <w:t>in</w:t>
      </w:r>
      <w:r>
        <w:rPr>
          <w:spacing w:val="-5"/>
          <w:sz w:val="20"/>
        </w:rPr>
        <w:t> </w:t>
      </w:r>
      <w:r>
        <w:rPr>
          <w:sz w:val="20"/>
        </w:rPr>
        <w:t>building system integration (ARC 516), and to reduce the General Education core as mandated by the University. A Travel Prep course (ARC 300), which was previously offered as an elective, was made a required course.</w:t>
      </w:r>
    </w:p>
    <w:p>
      <w:pPr>
        <w:pStyle w:val="BodyText"/>
        <w:spacing w:before="9"/>
        <w:rPr>
          <w:sz w:val="18"/>
        </w:rPr>
      </w:pPr>
    </w:p>
    <w:p>
      <w:pPr>
        <w:pStyle w:val="ListParagraph"/>
        <w:numPr>
          <w:ilvl w:val="0"/>
          <w:numId w:val="42"/>
        </w:numPr>
        <w:tabs>
          <w:tab w:pos="1951" w:val="left" w:leader="none"/>
          <w:tab w:pos="1952" w:val="left" w:leader="none"/>
        </w:tabs>
        <w:spacing w:line="240" w:lineRule="auto" w:before="0" w:after="0"/>
        <w:ind w:left="1951" w:right="0" w:hanging="361"/>
        <w:jc w:val="left"/>
        <w:rPr>
          <w:sz w:val="20"/>
        </w:rPr>
      </w:pPr>
      <w:r>
        <w:rPr>
          <w:sz w:val="20"/>
        </w:rPr>
        <w:t>New</w:t>
      </w:r>
      <w:r>
        <w:rPr>
          <w:spacing w:val="-9"/>
          <w:sz w:val="20"/>
        </w:rPr>
        <w:t> </w:t>
      </w:r>
      <w:r>
        <w:rPr>
          <w:sz w:val="20"/>
        </w:rPr>
        <w:t>Faculty:</w:t>
      </w:r>
      <w:r>
        <w:rPr>
          <w:spacing w:val="-5"/>
          <w:sz w:val="20"/>
        </w:rPr>
        <w:t> </w:t>
      </w:r>
      <w:r>
        <w:rPr>
          <w:sz w:val="20"/>
        </w:rPr>
        <w:t>(Resumes</w:t>
      </w:r>
      <w:r>
        <w:rPr>
          <w:spacing w:val="-6"/>
          <w:sz w:val="20"/>
        </w:rPr>
        <w:t> </w:t>
      </w:r>
      <w:r>
        <w:rPr>
          <w:sz w:val="20"/>
        </w:rPr>
        <w:t>and</w:t>
      </w:r>
      <w:r>
        <w:rPr>
          <w:spacing w:val="-6"/>
          <w:sz w:val="20"/>
        </w:rPr>
        <w:t> </w:t>
      </w:r>
      <w:r>
        <w:rPr>
          <w:sz w:val="20"/>
        </w:rPr>
        <w:t>/</w:t>
      </w:r>
      <w:r>
        <w:rPr>
          <w:spacing w:val="-7"/>
          <w:sz w:val="20"/>
        </w:rPr>
        <w:t> </w:t>
      </w:r>
      <w:r>
        <w:rPr>
          <w:sz w:val="20"/>
        </w:rPr>
        <w:t>or</w:t>
      </w:r>
      <w:r>
        <w:rPr>
          <w:spacing w:val="-6"/>
          <w:sz w:val="20"/>
        </w:rPr>
        <w:t> </w:t>
      </w:r>
      <w:r>
        <w:rPr>
          <w:sz w:val="20"/>
        </w:rPr>
        <w:t>Curriculum</w:t>
      </w:r>
      <w:r>
        <w:rPr>
          <w:spacing w:val="-2"/>
          <w:sz w:val="20"/>
        </w:rPr>
        <w:t> </w:t>
      </w:r>
      <w:r>
        <w:rPr>
          <w:sz w:val="20"/>
        </w:rPr>
        <w:t>Vitas</w:t>
      </w:r>
      <w:r>
        <w:rPr>
          <w:spacing w:val="-6"/>
          <w:sz w:val="20"/>
        </w:rPr>
        <w:t> </w:t>
      </w:r>
      <w:r>
        <w:rPr>
          <w:sz w:val="20"/>
        </w:rPr>
        <w:t>are</w:t>
      </w:r>
      <w:r>
        <w:rPr>
          <w:spacing w:val="-5"/>
          <w:sz w:val="20"/>
        </w:rPr>
        <w:t> </w:t>
      </w:r>
      <w:r>
        <w:rPr>
          <w:sz w:val="20"/>
        </w:rPr>
        <w:t>attached</w:t>
      </w:r>
      <w:r>
        <w:rPr>
          <w:spacing w:val="-6"/>
          <w:sz w:val="20"/>
        </w:rPr>
        <w:t> </w:t>
      </w:r>
      <w:r>
        <w:rPr>
          <w:sz w:val="20"/>
        </w:rPr>
        <w:t>in</w:t>
      </w:r>
      <w:r>
        <w:rPr>
          <w:spacing w:val="-7"/>
          <w:sz w:val="20"/>
        </w:rPr>
        <w:t> </w:t>
      </w:r>
      <w:r>
        <w:rPr>
          <w:sz w:val="20"/>
        </w:rPr>
        <w:t>Appendix</w:t>
      </w:r>
      <w:r>
        <w:rPr>
          <w:spacing w:val="-6"/>
          <w:sz w:val="20"/>
        </w:rPr>
        <w:t> </w:t>
      </w:r>
      <w:r>
        <w:rPr>
          <w:spacing w:val="-5"/>
          <w:sz w:val="20"/>
        </w:rPr>
        <w:t>C)</w:t>
      </w:r>
    </w:p>
    <w:p>
      <w:pPr>
        <w:pStyle w:val="ListParagraph"/>
        <w:numPr>
          <w:ilvl w:val="1"/>
          <w:numId w:val="42"/>
        </w:numPr>
        <w:tabs>
          <w:tab w:pos="2672" w:val="left" w:leader="none"/>
        </w:tabs>
        <w:spacing w:line="220" w:lineRule="auto" w:before="216" w:after="0"/>
        <w:ind w:left="2671" w:right="856" w:hanging="360"/>
        <w:jc w:val="left"/>
        <w:rPr>
          <w:sz w:val="20"/>
        </w:rPr>
      </w:pPr>
      <w:r>
        <w:rPr>
          <w:sz w:val="20"/>
        </w:rPr>
        <w:t>In</w:t>
      </w:r>
      <w:r>
        <w:rPr>
          <w:spacing w:val="-5"/>
          <w:sz w:val="20"/>
        </w:rPr>
        <w:t> </w:t>
      </w:r>
      <w:r>
        <w:rPr>
          <w:sz w:val="20"/>
        </w:rPr>
        <w:t>February</w:t>
      </w:r>
      <w:r>
        <w:rPr>
          <w:spacing w:val="-6"/>
          <w:sz w:val="20"/>
        </w:rPr>
        <w:t> </w:t>
      </w:r>
      <w:r>
        <w:rPr>
          <w:sz w:val="20"/>
        </w:rPr>
        <w:t>2009,</w:t>
      </w:r>
      <w:r>
        <w:rPr>
          <w:spacing w:val="-3"/>
          <w:sz w:val="20"/>
        </w:rPr>
        <w:t> </w:t>
      </w:r>
      <w:r>
        <w:rPr>
          <w:sz w:val="20"/>
        </w:rPr>
        <w:t>we</w:t>
      </w:r>
      <w:r>
        <w:rPr>
          <w:spacing w:val="-5"/>
          <w:sz w:val="20"/>
        </w:rPr>
        <w:t> </w:t>
      </w:r>
      <w:r>
        <w:rPr>
          <w:sz w:val="20"/>
        </w:rPr>
        <w:t>added</w:t>
      </w:r>
      <w:r>
        <w:rPr>
          <w:spacing w:val="-5"/>
          <w:sz w:val="20"/>
        </w:rPr>
        <w:t> </w:t>
      </w:r>
      <w:r>
        <w:rPr>
          <w:sz w:val="20"/>
        </w:rPr>
        <w:t>professor</w:t>
      </w:r>
      <w:r>
        <w:rPr>
          <w:spacing w:val="-4"/>
          <w:sz w:val="20"/>
        </w:rPr>
        <w:t> </w:t>
      </w:r>
      <w:r>
        <w:rPr>
          <w:sz w:val="20"/>
        </w:rPr>
        <w:t>Mason</w:t>
      </w:r>
      <w:r>
        <w:rPr>
          <w:spacing w:val="-3"/>
          <w:sz w:val="20"/>
        </w:rPr>
        <w:t> </w:t>
      </w:r>
      <w:r>
        <w:rPr>
          <w:sz w:val="20"/>
        </w:rPr>
        <w:t>Andrews</w:t>
      </w:r>
      <w:r>
        <w:rPr>
          <w:spacing w:val="-4"/>
          <w:sz w:val="20"/>
        </w:rPr>
        <w:t> </w:t>
      </w:r>
      <w:r>
        <w:rPr>
          <w:sz w:val="20"/>
        </w:rPr>
        <w:t>to</w:t>
      </w:r>
      <w:r>
        <w:rPr>
          <w:spacing w:val="-5"/>
          <w:sz w:val="20"/>
        </w:rPr>
        <w:t> </w:t>
      </w:r>
      <w:r>
        <w:rPr>
          <w:sz w:val="20"/>
        </w:rPr>
        <w:t>our</w:t>
      </w:r>
      <w:r>
        <w:rPr>
          <w:spacing w:val="-4"/>
          <w:sz w:val="20"/>
        </w:rPr>
        <w:t> </w:t>
      </w:r>
      <w:r>
        <w:rPr>
          <w:sz w:val="20"/>
        </w:rPr>
        <w:t>full-time</w:t>
      </w:r>
      <w:r>
        <w:rPr>
          <w:spacing w:val="-5"/>
          <w:sz w:val="20"/>
        </w:rPr>
        <w:t> </w:t>
      </w:r>
      <w:r>
        <w:rPr>
          <w:sz w:val="20"/>
        </w:rPr>
        <w:t>faculty. This increases our FTE’s from 8 to 8.75.</w:t>
      </w:r>
    </w:p>
    <w:p>
      <w:pPr>
        <w:pStyle w:val="BodyText"/>
        <w:spacing w:before="5"/>
        <w:rPr>
          <w:sz w:val="18"/>
        </w:rPr>
      </w:pPr>
    </w:p>
    <w:p>
      <w:pPr>
        <w:pStyle w:val="ListParagraph"/>
        <w:numPr>
          <w:ilvl w:val="1"/>
          <w:numId w:val="42"/>
        </w:numPr>
        <w:tabs>
          <w:tab w:pos="2672" w:val="left" w:leader="none"/>
        </w:tabs>
        <w:spacing w:line="230" w:lineRule="auto" w:before="0" w:after="0"/>
        <w:ind w:left="2670" w:right="1168" w:hanging="360"/>
        <w:jc w:val="both"/>
        <w:rPr>
          <w:sz w:val="20"/>
        </w:rPr>
      </w:pPr>
      <w:r>
        <w:rPr>
          <w:sz w:val="20"/>
        </w:rPr>
        <w:t>In</w:t>
      </w:r>
      <w:r>
        <w:rPr>
          <w:spacing w:val="-2"/>
          <w:sz w:val="20"/>
        </w:rPr>
        <w:t> </w:t>
      </w:r>
      <w:r>
        <w:rPr>
          <w:sz w:val="20"/>
        </w:rPr>
        <w:t>September</w:t>
      </w:r>
      <w:r>
        <w:rPr>
          <w:spacing w:val="-1"/>
          <w:sz w:val="20"/>
        </w:rPr>
        <w:t> </w:t>
      </w:r>
      <w:r>
        <w:rPr>
          <w:sz w:val="20"/>
        </w:rPr>
        <w:t>/</w:t>
      </w:r>
      <w:r>
        <w:rPr>
          <w:spacing w:val="-2"/>
          <w:sz w:val="20"/>
        </w:rPr>
        <w:t> </w:t>
      </w:r>
      <w:r>
        <w:rPr>
          <w:sz w:val="20"/>
        </w:rPr>
        <w:t>October 2010, we</w:t>
      </w:r>
      <w:r>
        <w:rPr>
          <w:spacing w:val="-2"/>
          <w:sz w:val="20"/>
        </w:rPr>
        <w:t> </w:t>
      </w:r>
      <w:r>
        <w:rPr>
          <w:sz w:val="20"/>
        </w:rPr>
        <w:t>added Dr.</w:t>
      </w:r>
      <w:r>
        <w:rPr>
          <w:spacing w:val="-4"/>
          <w:sz w:val="20"/>
        </w:rPr>
        <w:t> </w:t>
      </w:r>
      <w:r>
        <w:rPr>
          <w:sz w:val="20"/>
        </w:rPr>
        <w:t>Wesley</w:t>
      </w:r>
      <w:r>
        <w:rPr>
          <w:spacing w:val="-8"/>
          <w:sz w:val="20"/>
        </w:rPr>
        <w:t> </w:t>
      </w:r>
      <w:r>
        <w:rPr>
          <w:sz w:val="20"/>
        </w:rPr>
        <w:t>Henderson</w:t>
      </w:r>
      <w:r>
        <w:rPr>
          <w:spacing w:val="-2"/>
          <w:sz w:val="20"/>
        </w:rPr>
        <w:t> </w:t>
      </w:r>
      <w:r>
        <w:rPr>
          <w:sz w:val="20"/>
        </w:rPr>
        <w:t>and</w:t>
      </w:r>
      <w:r>
        <w:rPr>
          <w:spacing w:val="-2"/>
          <w:sz w:val="20"/>
        </w:rPr>
        <w:t> </w:t>
      </w:r>
      <w:r>
        <w:rPr>
          <w:sz w:val="20"/>
        </w:rPr>
        <w:t>Marci Turner</w:t>
      </w:r>
      <w:r>
        <w:rPr>
          <w:spacing w:val="-4"/>
          <w:sz w:val="20"/>
        </w:rPr>
        <w:t> </w:t>
      </w:r>
      <w:r>
        <w:rPr>
          <w:sz w:val="20"/>
        </w:rPr>
        <w:t>to</w:t>
      </w:r>
      <w:r>
        <w:rPr>
          <w:spacing w:val="-5"/>
          <w:sz w:val="20"/>
        </w:rPr>
        <w:t> </w:t>
      </w:r>
      <w:r>
        <w:rPr>
          <w:sz w:val="20"/>
        </w:rPr>
        <w:t>our</w:t>
      </w:r>
      <w:r>
        <w:rPr>
          <w:spacing w:val="-4"/>
          <w:sz w:val="20"/>
        </w:rPr>
        <w:t> </w:t>
      </w:r>
      <w:r>
        <w:rPr>
          <w:sz w:val="20"/>
        </w:rPr>
        <w:t>full-time</w:t>
      </w:r>
      <w:r>
        <w:rPr>
          <w:spacing w:val="-5"/>
          <w:sz w:val="20"/>
        </w:rPr>
        <w:t> </w:t>
      </w:r>
      <w:r>
        <w:rPr>
          <w:sz w:val="20"/>
        </w:rPr>
        <w:t>faculty,</w:t>
      </w:r>
      <w:r>
        <w:rPr>
          <w:spacing w:val="-3"/>
          <w:sz w:val="20"/>
        </w:rPr>
        <w:t> </w:t>
      </w:r>
      <w:r>
        <w:rPr>
          <w:sz w:val="20"/>
        </w:rPr>
        <w:t>replacing</w:t>
      </w:r>
      <w:r>
        <w:rPr>
          <w:spacing w:val="-3"/>
          <w:sz w:val="20"/>
        </w:rPr>
        <w:t> </w:t>
      </w:r>
      <w:r>
        <w:rPr>
          <w:sz w:val="20"/>
        </w:rPr>
        <w:t>a</w:t>
      </w:r>
      <w:r>
        <w:rPr>
          <w:spacing w:val="-5"/>
          <w:sz w:val="20"/>
        </w:rPr>
        <w:t> </w:t>
      </w:r>
      <w:r>
        <w:rPr>
          <w:sz w:val="20"/>
        </w:rPr>
        <w:t>part-time</w:t>
      </w:r>
      <w:r>
        <w:rPr>
          <w:spacing w:val="-5"/>
          <w:sz w:val="20"/>
        </w:rPr>
        <w:t> </w:t>
      </w:r>
      <w:r>
        <w:rPr>
          <w:sz w:val="20"/>
        </w:rPr>
        <w:t>instructor</w:t>
      </w:r>
      <w:r>
        <w:rPr>
          <w:spacing w:val="-4"/>
          <w:sz w:val="20"/>
        </w:rPr>
        <w:t> </w:t>
      </w:r>
      <w:r>
        <w:rPr>
          <w:sz w:val="20"/>
        </w:rPr>
        <w:t>and</w:t>
      </w:r>
      <w:r>
        <w:rPr>
          <w:spacing w:val="-3"/>
          <w:sz w:val="20"/>
        </w:rPr>
        <w:t> </w:t>
      </w:r>
      <w:r>
        <w:rPr>
          <w:sz w:val="20"/>
        </w:rPr>
        <w:t>a</w:t>
      </w:r>
      <w:r>
        <w:rPr>
          <w:spacing w:val="-3"/>
          <w:sz w:val="20"/>
        </w:rPr>
        <w:t> </w:t>
      </w:r>
      <w:r>
        <w:rPr>
          <w:sz w:val="20"/>
        </w:rPr>
        <w:t>visiting professor slot.</w:t>
      </w:r>
    </w:p>
    <w:p>
      <w:pPr>
        <w:pStyle w:val="BodyText"/>
        <w:spacing w:before="10"/>
        <w:rPr>
          <w:sz w:val="18"/>
        </w:rPr>
      </w:pPr>
    </w:p>
    <w:p>
      <w:pPr>
        <w:pStyle w:val="ListParagraph"/>
        <w:numPr>
          <w:ilvl w:val="1"/>
          <w:numId w:val="42"/>
        </w:numPr>
        <w:tabs>
          <w:tab w:pos="2671" w:val="left" w:leader="none"/>
        </w:tabs>
        <w:spacing w:line="220" w:lineRule="auto" w:before="1" w:after="0"/>
        <w:ind w:left="2670" w:right="858" w:hanging="360"/>
        <w:jc w:val="left"/>
        <w:rPr>
          <w:sz w:val="20"/>
        </w:rPr>
      </w:pPr>
      <w:r>
        <w:rPr>
          <w:sz w:val="20"/>
        </w:rPr>
        <w:t>In</w:t>
      </w:r>
      <w:r>
        <w:rPr>
          <w:spacing w:val="-5"/>
          <w:sz w:val="20"/>
        </w:rPr>
        <w:t> </w:t>
      </w:r>
      <w:r>
        <w:rPr>
          <w:sz w:val="20"/>
        </w:rPr>
        <w:t>August,</w:t>
      </w:r>
      <w:r>
        <w:rPr>
          <w:spacing w:val="-3"/>
          <w:sz w:val="20"/>
        </w:rPr>
        <w:t> </w:t>
      </w:r>
      <w:r>
        <w:rPr>
          <w:sz w:val="20"/>
        </w:rPr>
        <w:t>2011,</w:t>
      </w:r>
      <w:r>
        <w:rPr>
          <w:spacing w:val="-3"/>
          <w:sz w:val="20"/>
        </w:rPr>
        <w:t> </w:t>
      </w:r>
      <w:r>
        <w:rPr>
          <w:sz w:val="20"/>
        </w:rPr>
        <w:t>we</w:t>
      </w:r>
      <w:r>
        <w:rPr>
          <w:spacing w:val="-5"/>
          <w:sz w:val="20"/>
        </w:rPr>
        <w:t> </w:t>
      </w:r>
      <w:r>
        <w:rPr>
          <w:sz w:val="20"/>
        </w:rPr>
        <w:t>added</w:t>
      </w:r>
      <w:r>
        <w:rPr>
          <w:spacing w:val="-3"/>
          <w:sz w:val="20"/>
        </w:rPr>
        <w:t> </w:t>
      </w:r>
      <w:r>
        <w:rPr>
          <w:sz w:val="20"/>
        </w:rPr>
        <w:t>Ogheneruno</w:t>
      </w:r>
      <w:r>
        <w:rPr>
          <w:spacing w:val="-3"/>
          <w:sz w:val="20"/>
        </w:rPr>
        <w:t> </w:t>
      </w:r>
      <w:r>
        <w:rPr>
          <w:sz w:val="20"/>
        </w:rPr>
        <w:t>('Runo’)</w:t>
      </w:r>
      <w:r>
        <w:rPr>
          <w:spacing w:val="-4"/>
          <w:sz w:val="20"/>
        </w:rPr>
        <w:t> </w:t>
      </w:r>
      <w:r>
        <w:rPr>
          <w:sz w:val="20"/>
        </w:rPr>
        <w:t>Okiomah</w:t>
      </w:r>
      <w:r>
        <w:rPr>
          <w:spacing w:val="-5"/>
          <w:sz w:val="20"/>
        </w:rPr>
        <w:t> </w:t>
      </w:r>
      <w:r>
        <w:rPr>
          <w:sz w:val="20"/>
        </w:rPr>
        <w:t>to</w:t>
      </w:r>
      <w:r>
        <w:rPr>
          <w:spacing w:val="-5"/>
          <w:sz w:val="20"/>
        </w:rPr>
        <w:t> </w:t>
      </w:r>
      <w:r>
        <w:rPr>
          <w:sz w:val="20"/>
        </w:rPr>
        <w:t>replace</w:t>
      </w:r>
      <w:r>
        <w:rPr>
          <w:spacing w:val="-3"/>
          <w:sz w:val="20"/>
        </w:rPr>
        <w:t> </w:t>
      </w:r>
      <w:r>
        <w:rPr>
          <w:sz w:val="20"/>
        </w:rPr>
        <w:t>a</w:t>
      </w:r>
      <w:r>
        <w:rPr>
          <w:spacing w:val="-5"/>
          <w:sz w:val="20"/>
        </w:rPr>
        <w:t> </w:t>
      </w:r>
      <w:r>
        <w:rPr>
          <w:sz w:val="20"/>
        </w:rPr>
        <w:t>faculty member who left. Our number of FTE’s remains at 8.75.</w:t>
      </w:r>
    </w:p>
    <w:p>
      <w:pPr>
        <w:pStyle w:val="BodyText"/>
        <w:spacing w:before="2"/>
        <w:rPr>
          <w:sz w:val="18"/>
        </w:rPr>
      </w:pPr>
    </w:p>
    <w:p>
      <w:pPr>
        <w:pStyle w:val="ListParagraph"/>
        <w:numPr>
          <w:ilvl w:val="1"/>
          <w:numId w:val="42"/>
        </w:numPr>
        <w:tabs>
          <w:tab w:pos="2671" w:val="left" w:leader="none"/>
        </w:tabs>
        <w:spacing w:line="235" w:lineRule="auto" w:before="0" w:after="0"/>
        <w:ind w:left="2670" w:right="702" w:hanging="360"/>
        <w:jc w:val="left"/>
        <w:rPr>
          <w:sz w:val="20"/>
        </w:rPr>
      </w:pPr>
      <w:r>
        <w:rPr>
          <w:sz w:val="20"/>
        </w:rPr>
        <w:t>In August, 2013, Professor Chance returned from her sabbatical in Dublin, Ireland. We added Darryl Henderson, AIA to replace the departing Profs. Okiomah</w:t>
      </w:r>
      <w:r>
        <w:rPr>
          <w:spacing w:val="-5"/>
          <w:sz w:val="20"/>
        </w:rPr>
        <w:t> </w:t>
      </w:r>
      <w:r>
        <w:rPr>
          <w:sz w:val="20"/>
        </w:rPr>
        <w:t>and</w:t>
      </w:r>
      <w:r>
        <w:rPr>
          <w:spacing w:val="-5"/>
          <w:sz w:val="20"/>
        </w:rPr>
        <w:t> </w:t>
      </w:r>
      <w:r>
        <w:rPr>
          <w:sz w:val="20"/>
        </w:rPr>
        <w:t>Turner.</w:t>
      </w:r>
      <w:r>
        <w:rPr>
          <w:spacing w:val="-5"/>
          <w:sz w:val="20"/>
        </w:rPr>
        <w:t> </w:t>
      </w:r>
      <w:r>
        <w:rPr>
          <w:sz w:val="20"/>
        </w:rPr>
        <w:t>Professor</w:t>
      </w:r>
      <w:r>
        <w:rPr>
          <w:spacing w:val="-4"/>
          <w:sz w:val="20"/>
        </w:rPr>
        <w:t> </w:t>
      </w:r>
      <w:r>
        <w:rPr>
          <w:sz w:val="20"/>
        </w:rPr>
        <w:t>Turner</w:t>
      </w:r>
      <w:r>
        <w:rPr>
          <w:spacing w:val="-4"/>
          <w:sz w:val="20"/>
        </w:rPr>
        <w:t> </w:t>
      </w:r>
      <w:r>
        <w:rPr>
          <w:sz w:val="20"/>
        </w:rPr>
        <w:t>returned</w:t>
      </w:r>
      <w:r>
        <w:rPr>
          <w:spacing w:val="-5"/>
          <w:sz w:val="20"/>
        </w:rPr>
        <w:t> </w:t>
      </w:r>
      <w:r>
        <w:rPr>
          <w:sz w:val="20"/>
        </w:rPr>
        <w:t>to</w:t>
      </w:r>
      <w:r>
        <w:rPr>
          <w:spacing w:val="-3"/>
          <w:sz w:val="20"/>
        </w:rPr>
        <w:t> </w:t>
      </w:r>
      <w:r>
        <w:rPr>
          <w:sz w:val="20"/>
        </w:rPr>
        <w:t>practice</w:t>
      </w:r>
      <w:r>
        <w:rPr>
          <w:spacing w:val="-5"/>
          <w:sz w:val="20"/>
        </w:rPr>
        <w:t> </w:t>
      </w:r>
      <w:r>
        <w:rPr>
          <w:sz w:val="20"/>
        </w:rPr>
        <w:t>to</w:t>
      </w:r>
      <w:r>
        <w:rPr>
          <w:spacing w:val="-5"/>
          <w:sz w:val="20"/>
        </w:rPr>
        <w:t> </w:t>
      </w:r>
      <w:r>
        <w:rPr>
          <w:sz w:val="20"/>
        </w:rPr>
        <w:t>complete</w:t>
      </w:r>
      <w:r>
        <w:rPr>
          <w:spacing w:val="-3"/>
          <w:sz w:val="20"/>
        </w:rPr>
        <w:t> </w:t>
      </w:r>
      <w:r>
        <w:rPr>
          <w:sz w:val="20"/>
        </w:rPr>
        <w:t>her</w:t>
      </w:r>
      <w:r>
        <w:rPr>
          <w:spacing w:val="-4"/>
          <w:sz w:val="20"/>
        </w:rPr>
        <w:t> </w:t>
      </w:r>
      <w:r>
        <w:rPr>
          <w:sz w:val="20"/>
        </w:rPr>
        <w:t>IDP requirement, but remained as an adjunct to continue teaching the Representation sequence (ARC 203-204).</w:t>
      </w:r>
    </w:p>
    <w:p>
      <w:pPr>
        <w:spacing w:after="0" w:line="235" w:lineRule="auto"/>
        <w:jc w:val="left"/>
        <w:rPr>
          <w:sz w:val="20"/>
        </w:rPr>
        <w:sectPr>
          <w:headerReference w:type="default" r:id="rId175"/>
          <w:footerReference w:type="default" r:id="rId176"/>
          <w:pgSz w:w="12240" w:h="15840"/>
          <w:pgMar w:header="0" w:footer="974" w:top="1720" w:bottom="1160" w:left="1000" w:right="820"/>
        </w:sectPr>
      </w:pPr>
    </w:p>
    <w:p>
      <w:pPr>
        <w:spacing w:before="75"/>
        <w:ind w:left="440" w:right="0" w:firstLine="0"/>
        <w:jc w:val="left"/>
        <w:rPr>
          <w:b/>
          <w:sz w:val="20"/>
        </w:rPr>
      </w:pPr>
      <w:r>
        <w:rPr>
          <w:b/>
          <w:sz w:val="20"/>
        </w:rPr>
        <w:t>Part</w:t>
      </w:r>
      <w:r>
        <w:rPr>
          <w:b/>
          <w:spacing w:val="-7"/>
          <w:sz w:val="20"/>
        </w:rPr>
        <w:t> </w:t>
      </w:r>
      <w:r>
        <w:rPr>
          <w:b/>
          <w:sz w:val="20"/>
        </w:rPr>
        <w:t>Four</w:t>
      </w:r>
      <w:r>
        <w:rPr>
          <w:b/>
          <w:spacing w:val="-6"/>
          <w:sz w:val="20"/>
        </w:rPr>
        <w:t> </w:t>
      </w:r>
      <w:r>
        <w:rPr>
          <w:b/>
          <w:sz w:val="20"/>
        </w:rPr>
        <w:t>–</w:t>
      </w:r>
      <w:r>
        <w:rPr>
          <w:b/>
          <w:spacing w:val="-6"/>
          <w:sz w:val="20"/>
        </w:rPr>
        <w:t> </w:t>
      </w:r>
      <w:r>
        <w:rPr>
          <w:b/>
          <w:sz w:val="20"/>
        </w:rPr>
        <w:t>Supplemental</w:t>
      </w:r>
      <w:r>
        <w:rPr>
          <w:b/>
          <w:spacing w:val="-6"/>
          <w:sz w:val="20"/>
        </w:rPr>
        <w:t> </w:t>
      </w:r>
      <w:r>
        <w:rPr>
          <w:b/>
          <w:spacing w:val="-2"/>
          <w:sz w:val="20"/>
        </w:rPr>
        <w:t>Information</w:t>
      </w:r>
    </w:p>
    <w:p>
      <w:pPr>
        <w:pStyle w:val="BodyText"/>
        <w:spacing w:before="1"/>
        <w:rPr>
          <w:b/>
          <w:sz w:val="21"/>
        </w:rPr>
      </w:pPr>
    </w:p>
    <w:p>
      <w:pPr>
        <w:pStyle w:val="ListParagraph"/>
        <w:numPr>
          <w:ilvl w:val="1"/>
          <w:numId w:val="39"/>
        </w:numPr>
        <w:tabs>
          <w:tab w:pos="1233" w:val="left" w:leader="none"/>
        </w:tabs>
        <w:spacing w:line="240" w:lineRule="auto" w:before="0" w:after="0"/>
        <w:ind w:left="1232" w:right="0" w:hanging="434"/>
        <w:jc w:val="left"/>
        <w:rPr>
          <w:sz w:val="20"/>
        </w:rPr>
      </w:pPr>
      <w:r>
        <w:rPr>
          <w:sz w:val="20"/>
        </w:rPr>
        <w:t>Course</w:t>
      </w:r>
      <w:r>
        <w:rPr>
          <w:spacing w:val="-9"/>
          <w:sz w:val="20"/>
        </w:rPr>
        <w:t> </w:t>
      </w:r>
      <w:r>
        <w:rPr>
          <w:spacing w:val="-2"/>
          <w:sz w:val="20"/>
        </w:rPr>
        <w:t>Descriptions</w:t>
      </w:r>
    </w:p>
    <w:p>
      <w:pPr>
        <w:pStyle w:val="BodyText"/>
        <w:tabs>
          <w:tab w:pos="9439" w:val="right" w:leader="dot"/>
        </w:tabs>
        <w:spacing w:before="120"/>
        <w:ind w:left="1159"/>
      </w:pPr>
      <w:r>
        <w:rPr/>
        <w:t>ARC</w:t>
      </w:r>
      <w:r>
        <w:rPr>
          <w:spacing w:val="-7"/>
        </w:rPr>
        <w:t> </w:t>
      </w:r>
      <w:r>
        <w:rPr/>
        <w:t>101</w:t>
      </w:r>
      <w:r>
        <w:rPr>
          <w:spacing w:val="33"/>
        </w:rPr>
        <w:t>  </w:t>
      </w:r>
      <w:r>
        <w:rPr/>
        <w:t>Intro</w:t>
      </w:r>
      <w:r>
        <w:rPr>
          <w:spacing w:val="-6"/>
        </w:rPr>
        <w:t> </w:t>
      </w:r>
      <w:r>
        <w:rPr/>
        <w:t>to</w:t>
      </w:r>
      <w:r>
        <w:rPr>
          <w:spacing w:val="-5"/>
        </w:rPr>
        <w:t> </w:t>
      </w:r>
      <w:r>
        <w:rPr/>
        <w:t>Communication</w:t>
      </w:r>
      <w:r>
        <w:rPr>
          <w:spacing w:val="-6"/>
        </w:rPr>
        <w:t> </w:t>
      </w:r>
      <w:r>
        <w:rPr/>
        <w:t>and</w:t>
      </w:r>
      <w:r>
        <w:rPr>
          <w:spacing w:val="-7"/>
        </w:rPr>
        <w:t> </w:t>
      </w:r>
      <w:r>
        <w:rPr/>
        <w:t>Design</w:t>
      </w:r>
      <w:r>
        <w:rPr>
          <w:spacing w:val="-7"/>
        </w:rPr>
        <w:t> </w:t>
      </w:r>
      <w:r>
        <w:rPr/>
        <w:t>Fundamentals—Studio</w:t>
      </w:r>
      <w:r>
        <w:rPr>
          <w:spacing w:val="-6"/>
        </w:rPr>
        <w:t> </w:t>
      </w:r>
      <w:r>
        <w:rPr>
          <w:spacing w:val="-10"/>
        </w:rPr>
        <w:t>I</w:t>
      </w:r>
      <w:r>
        <w:rPr/>
        <w:tab/>
      </w:r>
      <w:r>
        <w:rPr>
          <w:spacing w:val="-5"/>
        </w:rPr>
        <w:t>4-</w:t>
      </w:r>
      <w:r>
        <w:rPr>
          <w:w w:val="95"/>
        </w:rPr>
        <w:t>2</w:t>
      </w:r>
    </w:p>
    <w:p>
      <w:pPr>
        <w:pStyle w:val="BodyText"/>
        <w:tabs>
          <w:tab w:pos="9439" w:val="right" w:leader="dot"/>
        </w:tabs>
        <w:spacing w:before="118"/>
        <w:ind w:left="1159"/>
      </w:pPr>
      <w:r>
        <w:rPr/>
        <w:t>ARC</w:t>
      </w:r>
      <w:r>
        <w:rPr>
          <w:spacing w:val="-8"/>
        </w:rPr>
        <w:t> </w:t>
      </w:r>
      <w:r>
        <w:rPr/>
        <w:t>102</w:t>
      </w:r>
      <w:r>
        <w:rPr>
          <w:spacing w:val="31"/>
        </w:rPr>
        <w:t>  </w:t>
      </w:r>
      <w:r>
        <w:rPr/>
        <w:t>Communication</w:t>
      </w:r>
      <w:r>
        <w:rPr>
          <w:spacing w:val="-7"/>
        </w:rPr>
        <w:t> </w:t>
      </w:r>
      <w:r>
        <w:rPr/>
        <w:t>and</w:t>
      </w:r>
      <w:r>
        <w:rPr>
          <w:spacing w:val="-5"/>
        </w:rPr>
        <w:t> </w:t>
      </w:r>
      <w:r>
        <w:rPr/>
        <w:t>Design</w:t>
      </w:r>
      <w:r>
        <w:rPr>
          <w:spacing w:val="-8"/>
        </w:rPr>
        <w:t> </w:t>
      </w:r>
      <w:r>
        <w:rPr/>
        <w:t>Fundamentals--Studio</w:t>
      </w:r>
      <w:r>
        <w:rPr>
          <w:spacing w:val="-6"/>
        </w:rPr>
        <w:t> </w:t>
      </w:r>
      <w:r>
        <w:rPr>
          <w:spacing w:val="-5"/>
        </w:rPr>
        <w:t>II</w:t>
      </w:r>
      <w:r>
        <w:rPr/>
        <w:tab/>
      </w:r>
      <w:r>
        <w:rPr>
          <w:spacing w:val="-5"/>
        </w:rPr>
        <w:t>4-</w:t>
      </w:r>
      <w:r>
        <w:rPr>
          <w:w w:val="95"/>
        </w:rPr>
        <w:t>3</w:t>
      </w:r>
    </w:p>
    <w:p>
      <w:pPr>
        <w:pStyle w:val="BodyText"/>
        <w:tabs>
          <w:tab w:pos="9439" w:val="right" w:leader="dot"/>
        </w:tabs>
        <w:spacing w:before="121"/>
        <w:ind w:left="1159"/>
      </w:pPr>
      <w:r>
        <w:rPr/>
        <w:t>ARC</w:t>
      </w:r>
      <w:r>
        <w:rPr>
          <w:spacing w:val="-6"/>
        </w:rPr>
        <w:t> </w:t>
      </w:r>
      <w:r>
        <w:rPr/>
        <w:t>200</w:t>
      </w:r>
      <w:r>
        <w:rPr>
          <w:spacing w:val="36"/>
        </w:rPr>
        <w:t>  </w:t>
      </w:r>
      <w:r>
        <w:rPr/>
        <w:t>Architectural</w:t>
      </w:r>
      <w:r>
        <w:rPr>
          <w:spacing w:val="-4"/>
        </w:rPr>
        <w:t> </w:t>
      </w:r>
      <w:r>
        <w:rPr>
          <w:spacing w:val="-2"/>
        </w:rPr>
        <w:t>Ecology</w:t>
      </w:r>
      <w:r>
        <w:rPr/>
        <w:tab/>
      </w:r>
      <w:r>
        <w:rPr>
          <w:spacing w:val="-5"/>
        </w:rPr>
        <w:t>4-</w:t>
      </w:r>
      <w:r>
        <w:rPr>
          <w:w w:val="95"/>
        </w:rPr>
        <w:t>4</w:t>
      </w:r>
    </w:p>
    <w:p>
      <w:pPr>
        <w:pStyle w:val="BodyText"/>
        <w:tabs>
          <w:tab w:pos="9439" w:val="right" w:leader="dot"/>
        </w:tabs>
        <w:spacing w:before="120"/>
        <w:ind w:left="1159"/>
      </w:pPr>
      <w:r>
        <w:rPr/>
        <w:t>ARC</w:t>
      </w:r>
      <w:r>
        <w:rPr>
          <w:spacing w:val="-8"/>
        </w:rPr>
        <w:t> </w:t>
      </w:r>
      <w:r>
        <w:rPr/>
        <w:t>201</w:t>
      </w:r>
      <w:r>
        <w:rPr>
          <w:spacing w:val="30"/>
        </w:rPr>
        <w:t>  </w:t>
      </w:r>
      <w:r>
        <w:rPr/>
        <w:t>Basic</w:t>
      </w:r>
      <w:r>
        <w:rPr>
          <w:spacing w:val="-3"/>
        </w:rPr>
        <w:t> </w:t>
      </w:r>
      <w:r>
        <w:rPr/>
        <w:t>Architectural</w:t>
      </w:r>
      <w:r>
        <w:rPr>
          <w:spacing w:val="-7"/>
        </w:rPr>
        <w:t> </w:t>
      </w:r>
      <w:r>
        <w:rPr/>
        <w:t>and</w:t>
      </w:r>
      <w:r>
        <w:rPr>
          <w:spacing w:val="-6"/>
        </w:rPr>
        <w:t> </w:t>
      </w:r>
      <w:r>
        <w:rPr/>
        <w:t>Environmental</w:t>
      </w:r>
      <w:r>
        <w:rPr>
          <w:spacing w:val="-9"/>
        </w:rPr>
        <w:t> </w:t>
      </w:r>
      <w:r>
        <w:rPr/>
        <w:t>Design--Studio</w:t>
      </w:r>
      <w:r>
        <w:rPr>
          <w:spacing w:val="-6"/>
        </w:rPr>
        <w:t> </w:t>
      </w:r>
      <w:r>
        <w:rPr>
          <w:spacing w:val="-5"/>
        </w:rPr>
        <w:t>II</w:t>
      </w:r>
      <w:r>
        <w:rPr/>
        <w:tab/>
      </w:r>
      <w:r>
        <w:rPr>
          <w:spacing w:val="-5"/>
        </w:rPr>
        <w:t>4-</w:t>
      </w:r>
      <w:r>
        <w:rPr>
          <w:w w:val="95"/>
        </w:rPr>
        <w:t>5</w:t>
      </w:r>
    </w:p>
    <w:p>
      <w:pPr>
        <w:pStyle w:val="BodyText"/>
        <w:tabs>
          <w:tab w:pos="9439" w:val="right" w:leader="dot"/>
        </w:tabs>
        <w:spacing w:before="120"/>
        <w:ind w:left="1159"/>
      </w:pPr>
      <w:r>
        <w:rPr/>
        <w:t>ARC</w:t>
      </w:r>
      <w:r>
        <w:rPr>
          <w:spacing w:val="-8"/>
        </w:rPr>
        <w:t> </w:t>
      </w:r>
      <w:r>
        <w:rPr/>
        <w:t>202</w:t>
      </w:r>
      <w:r>
        <w:rPr>
          <w:spacing w:val="30"/>
        </w:rPr>
        <w:t>  </w:t>
      </w:r>
      <w:r>
        <w:rPr/>
        <w:t>Basic</w:t>
      </w:r>
      <w:r>
        <w:rPr>
          <w:spacing w:val="-3"/>
        </w:rPr>
        <w:t> </w:t>
      </w:r>
      <w:r>
        <w:rPr/>
        <w:t>Architectural</w:t>
      </w:r>
      <w:r>
        <w:rPr>
          <w:spacing w:val="-7"/>
        </w:rPr>
        <w:t> </w:t>
      </w:r>
      <w:r>
        <w:rPr/>
        <w:t>and</w:t>
      </w:r>
      <w:r>
        <w:rPr>
          <w:spacing w:val="-6"/>
        </w:rPr>
        <w:t> </w:t>
      </w:r>
      <w:r>
        <w:rPr/>
        <w:t>Environmental</w:t>
      </w:r>
      <w:r>
        <w:rPr>
          <w:spacing w:val="-9"/>
        </w:rPr>
        <w:t> </w:t>
      </w:r>
      <w:r>
        <w:rPr/>
        <w:t>Design--Studio</w:t>
      </w:r>
      <w:r>
        <w:rPr>
          <w:spacing w:val="-6"/>
        </w:rPr>
        <w:t> </w:t>
      </w:r>
      <w:r>
        <w:rPr>
          <w:spacing w:val="-5"/>
        </w:rPr>
        <w:t>IV</w:t>
      </w:r>
      <w:r>
        <w:rPr/>
        <w:tab/>
      </w:r>
      <w:r>
        <w:rPr>
          <w:spacing w:val="-5"/>
        </w:rPr>
        <w:t>4-</w:t>
      </w:r>
      <w:r>
        <w:rPr>
          <w:w w:val="95"/>
        </w:rPr>
        <w:t>6</w:t>
      </w:r>
    </w:p>
    <w:p>
      <w:pPr>
        <w:pStyle w:val="BodyText"/>
        <w:tabs>
          <w:tab w:pos="9438" w:val="right" w:leader="dot"/>
        </w:tabs>
        <w:spacing w:before="121"/>
        <w:ind w:left="1158"/>
      </w:pPr>
      <w:r>
        <w:rPr/>
        <w:t>ARC</w:t>
      </w:r>
      <w:r>
        <w:rPr>
          <w:spacing w:val="-6"/>
        </w:rPr>
        <w:t> </w:t>
      </w:r>
      <w:r>
        <w:rPr/>
        <w:t>203</w:t>
      </w:r>
      <w:r>
        <w:rPr>
          <w:spacing w:val="36"/>
        </w:rPr>
        <w:t>  </w:t>
      </w:r>
      <w:r>
        <w:rPr/>
        <w:t>Theory</w:t>
      </w:r>
      <w:r>
        <w:rPr>
          <w:spacing w:val="-8"/>
        </w:rPr>
        <w:t> </w:t>
      </w:r>
      <w:r>
        <w:rPr/>
        <w:t>and</w:t>
      </w:r>
      <w:r>
        <w:rPr>
          <w:spacing w:val="-5"/>
        </w:rPr>
        <w:t> </w:t>
      </w:r>
      <w:r>
        <w:rPr/>
        <w:t>Practices</w:t>
      </w:r>
      <w:r>
        <w:rPr>
          <w:spacing w:val="-4"/>
        </w:rPr>
        <w:t> </w:t>
      </w:r>
      <w:r>
        <w:rPr/>
        <w:t>of</w:t>
      </w:r>
      <w:r>
        <w:rPr>
          <w:spacing w:val="-4"/>
        </w:rPr>
        <w:t> </w:t>
      </w:r>
      <w:r>
        <w:rPr/>
        <w:t>Representation</w:t>
      </w:r>
      <w:r>
        <w:rPr>
          <w:spacing w:val="-5"/>
        </w:rPr>
        <w:t> </w:t>
      </w:r>
      <w:r>
        <w:rPr>
          <w:spacing w:val="-10"/>
          <w:w w:val="95"/>
        </w:rPr>
        <w:t>I</w:t>
      </w:r>
      <w:r>
        <w:rPr/>
        <w:tab/>
      </w:r>
      <w:r>
        <w:rPr>
          <w:spacing w:val="-5"/>
        </w:rPr>
        <w:t>4-</w:t>
      </w:r>
      <w:r>
        <w:rPr>
          <w:w w:val="95"/>
        </w:rPr>
        <w:t>7</w:t>
      </w:r>
    </w:p>
    <w:p>
      <w:pPr>
        <w:pStyle w:val="BodyText"/>
        <w:tabs>
          <w:tab w:pos="9438" w:val="right" w:leader="dot"/>
        </w:tabs>
        <w:spacing w:before="120"/>
        <w:ind w:left="1158"/>
      </w:pPr>
      <w:r>
        <w:rPr/>
        <w:t>ARC</w:t>
      </w:r>
      <w:r>
        <w:rPr>
          <w:spacing w:val="-6"/>
        </w:rPr>
        <w:t> </w:t>
      </w:r>
      <w:r>
        <w:rPr/>
        <w:t>204</w:t>
      </w:r>
      <w:r>
        <w:rPr>
          <w:spacing w:val="36"/>
        </w:rPr>
        <w:t>  </w:t>
      </w:r>
      <w:r>
        <w:rPr/>
        <w:t>Theory</w:t>
      </w:r>
      <w:r>
        <w:rPr>
          <w:spacing w:val="-8"/>
        </w:rPr>
        <w:t> </w:t>
      </w:r>
      <w:r>
        <w:rPr/>
        <w:t>and</w:t>
      </w:r>
      <w:r>
        <w:rPr>
          <w:spacing w:val="-5"/>
        </w:rPr>
        <w:t> </w:t>
      </w:r>
      <w:r>
        <w:rPr/>
        <w:t>Practices</w:t>
      </w:r>
      <w:r>
        <w:rPr>
          <w:spacing w:val="-4"/>
        </w:rPr>
        <w:t> </w:t>
      </w:r>
      <w:r>
        <w:rPr/>
        <w:t>of</w:t>
      </w:r>
      <w:r>
        <w:rPr>
          <w:spacing w:val="-4"/>
        </w:rPr>
        <w:t> </w:t>
      </w:r>
      <w:r>
        <w:rPr/>
        <w:t>Representation</w:t>
      </w:r>
      <w:r>
        <w:rPr>
          <w:spacing w:val="-5"/>
        </w:rPr>
        <w:t> II</w:t>
      </w:r>
      <w:r>
        <w:rPr/>
        <w:tab/>
      </w:r>
      <w:r>
        <w:rPr>
          <w:spacing w:val="-5"/>
        </w:rPr>
        <w:t>4-</w:t>
      </w:r>
      <w:r>
        <w:rPr>
          <w:w w:val="95"/>
        </w:rPr>
        <w:t>8</w:t>
      </w:r>
    </w:p>
    <w:p>
      <w:pPr>
        <w:pStyle w:val="BodyText"/>
        <w:tabs>
          <w:tab w:pos="2166" w:val="left" w:leader="none"/>
          <w:tab w:pos="9438" w:val="right" w:leader="dot"/>
        </w:tabs>
        <w:spacing w:before="118"/>
        <w:ind w:left="1158"/>
      </w:pPr>
      <w:r>
        <w:rPr>
          <w:spacing w:val="-2"/>
        </w:rPr>
        <w:t>ARC207</w:t>
      </w:r>
      <w:r>
        <w:rPr/>
        <w:tab/>
        <w:t>History</w:t>
      </w:r>
      <w:r>
        <w:rPr>
          <w:spacing w:val="-10"/>
        </w:rPr>
        <w:t> </w:t>
      </w:r>
      <w:r>
        <w:rPr/>
        <w:t>of</w:t>
      </w:r>
      <w:r>
        <w:rPr>
          <w:spacing w:val="-7"/>
        </w:rPr>
        <w:t> </w:t>
      </w:r>
      <w:r>
        <w:rPr/>
        <w:t>Architecture</w:t>
      </w:r>
      <w:r>
        <w:rPr>
          <w:spacing w:val="-8"/>
        </w:rPr>
        <w:t> </w:t>
      </w:r>
      <w:r>
        <w:rPr>
          <w:spacing w:val="-10"/>
        </w:rPr>
        <w:t>I</w:t>
      </w:r>
      <w:r>
        <w:rPr/>
        <w:tab/>
      </w:r>
      <w:r>
        <w:rPr>
          <w:spacing w:val="-5"/>
        </w:rPr>
        <w:t>4-</w:t>
      </w:r>
      <w:r>
        <w:rPr>
          <w:w w:val="95"/>
        </w:rPr>
        <w:t>9</w:t>
      </w:r>
    </w:p>
    <w:p>
      <w:pPr>
        <w:pStyle w:val="BodyText"/>
        <w:tabs>
          <w:tab w:pos="2166" w:val="left" w:leader="none"/>
          <w:tab w:pos="9438" w:val="right" w:leader="dot"/>
        </w:tabs>
        <w:spacing w:before="121"/>
        <w:ind w:left="1158"/>
      </w:pPr>
      <w:r>
        <w:rPr>
          <w:spacing w:val="-2"/>
        </w:rPr>
        <w:t>ARC208</w:t>
      </w:r>
      <w:r>
        <w:rPr/>
        <w:tab/>
        <w:t>History</w:t>
      </w:r>
      <w:r>
        <w:rPr>
          <w:spacing w:val="-10"/>
        </w:rPr>
        <w:t> </w:t>
      </w:r>
      <w:r>
        <w:rPr/>
        <w:t>of</w:t>
      </w:r>
      <w:r>
        <w:rPr>
          <w:spacing w:val="-7"/>
        </w:rPr>
        <w:t> </w:t>
      </w:r>
      <w:r>
        <w:rPr/>
        <w:t>Architecture</w:t>
      </w:r>
      <w:r>
        <w:rPr>
          <w:spacing w:val="-8"/>
        </w:rPr>
        <w:t> </w:t>
      </w:r>
      <w:r>
        <w:rPr>
          <w:spacing w:val="-5"/>
        </w:rPr>
        <w:t>II</w:t>
      </w:r>
      <w:r>
        <w:rPr/>
        <w:tab/>
      </w:r>
      <w:r>
        <w:rPr>
          <w:spacing w:val="-5"/>
        </w:rPr>
        <w:t>4-</w:t>
      </w:r>
      <w:r>
        <w:rPr>
          <w:w w:val="95"/>
        </w:rPr>
        <w:t>10</w:t>
      </w:r>
    </w:p>
    <w:p>
      <w:pPr>
        <w:pStyle w:val="BodyText"/>
        <w:tabs>
          <w:tab w:pos="9438" w:val="right" w:leader="dot"/>
        </w:tabs>
        <w:spacing w:before="120"/>
        <w:ind w:left="1158"/>
      </w:pPr>
      <w:r>
        <w:rPr/>
        <w:t>ARC</w:t>
      </w:r>
      <w:r>
        <w:rPr>
          <w:spacing w:val="-5"/>
        </w:rPr>
        <w:t> </w:t>
      </w:r>
      <w:r>
        <w:rPr/>
        <w:t>213</w:t>
      </w:r>
      <w:r>
        <w:rPr>
          <w:spacing w:val="36"/>
        </w:rPr>
        <w:t>  </w:t>
      </w:r>
      <w:r>
        <w:rPr/>
        <w:t>Elements</w:t>
      </w:r>
      <w:r>
        <w:rPr>
          <w:spacing w:val="-4"/>
        </w:rPr>
        <w:t> </w:t>
      </w:r>
      <w:r>
        <w:rPr/>
        <w:t>of</w:t>
      </w:r>
      <w:r>
        <w:rPr>
          <w:spacing w:val="-3"/>
        </w:rPr>
        <w:t> </w:t>
      </w:r>
      <w:r>
        <w:rPr/>
        <w:t>Building</w:t>
      </w:r>
      <w:r>
        <w:rPr>
          <w:spacing w:val="-5"/>
        </w:rPr>
        <w:t> </w:t>
      </w:r>
      <w:r>
        <w:rPr>
          <w:spacing w:val="-2"/>
        </w:rPr>
        <w:t>Assembly</w:t>
      </w:r>
      <w:r>
        <w:rPr/>
        <w:tab/>
      </w:r>
      <w:r>
        <w:rPr>
          <w:spacing w:val="-5"/>
        </w:rPr>
        <w:t>4-</w:t>
      </w:r>
      <w:r>
        <w:rPr>
          <w:w w:val="95"/>
        </w:rPr>
        <w:t>11</w:t>
      </w:r>
    </w:p>
    <w:p>
      <w:pPr>
        <w:pStyle w:val="BodyText"/>
        <w:tabs>
          <w:tab w:pos="9438" w:val="right" w:leader="dot"/>
        </w:tabs>
        <w:spacing w:before="120"/>
        <w:ind w:left="1158"/>
      </w:pPr>
      <w:r>
        <w:rPr/>
        <w:t>ARC</w:t>
      </w:r>
      <w:r>
        <w:rPr>
          <w:spacing w:val="-6"/>
        </w:rPr>
        <w:t> </w:t>
      </w:r>
      <w:r>
        <w:rPr/>
        <w:t>301</w:t>
      </w:r>
      <w:r>
        <w:rPr>
          <w:spacing w:val="35"/>
        </w:rPr>
        <w:t>  </w:t>
      </w:r>
      <w:r>
        <w:rPr/>
        <w:t>International</w:t>
      </w:r>
      <w:r>
        <w:rPr>
          <w:spacing w:val="-5"/>
        </w:rPr>
        <w:t> </w:t>
      </w:r>
      <w:r>
        <w:rPr/>
        <w:t>Travel</w:t>
      </w:r>
      <w:r>
        <w:rPr>
          <w:spacing w:val="-4"/>
        </w:rPr>
        <w:t> </w:t>
      </w:r>
      <w:r>
        <w:rPr>
          <w:spacing w:val="-2"/>
        </w:rPr>
        <w:t>Preparation</w:t>
      </w:r>
      <w:r>
        <w:rPr/>
        <w:tab/>
      </w:r>
      <w:r>
        <w:rPr>
          <w:spacing w:val="-5"/>
        </w:rPr>
        <w:t>4-</w:t>
      </w:r>
      <w:r>
        <w:rPr>
          <w:w w:val="95"/>
        </w:rPr>
        <w:t>12</w:t>
      </w:r>
    </w:p>
    <w:p>
      <w:pPr>
        <w:pStyle w:val="BodyText"/>
        <w:tabs>
          <w:tab w:pos="9438" w:val="right" w:leader="dot"/>
        </w:tabs>
        <w:spacing w:before="121"/>
        <w:ind w:left="1158"/>
      </w:pPr>
      <w:r>
        <w:rPr/>
        <w:t>ARC</w:t>
      </w:r>
      <w:r>
        <w:rPr>
          <w:spacing w:val="-8"/>
        </w:rPr>
        <w:t> </w:t>
      </w:r>
      <w:r>
        <w:rPr/>
        <w:t>303</w:t>
      </w:r>
      <w:r>
        <w:rPr>
          <w:spacing w:val="30"/>
        </w:rPr>
        <w:t>  </w:t>
      </w:r>
      <w:r>
        <w:rPr/>
        <w:t>Intermediate</w:t>
      </w:r>
      <w:r>
        <w:rPr>
          <w:spacing w:val="-5"/>
        </w:rPr>
        <w:t> </w:t>
      </w:r>
      <w:r>
        <w:rPr/>
        <w:t>Architecture</w:t>
      </w:r>
      <w:r>
        <w:rPr>
          <w:spacing w:val="-8"/>
        </w:rPr>
        <w:t> </w:t>
      </w:r>
      <w:r>
        <w:rPr/>
        <w:t>Design--Studio</w:t>
      </w:r>
      <w:r>
        <w:rPr>
          <w:spacing w:val="-7"/>
        </w:rPr>
        <w:t> </w:t>
      </w:r>
      <w:r>
        <w:rPr>
          <w:spacing w:val="-10"/>
          <w:w w:val="95"/>
        </w:rPr>
        <w:t>V</w:t>
      </w:r>
      <w:r>
        <w:rPr/>
        <w:tab/>
      </w:r>
      <w:r>
        <w:rPr>
          <w:spacing w:val="-5"/>
        </w:rPr>
        <w:t>4-</w:t>
      </w:r>
      <w:r>
        <w:rPr>
          <w:w w:val="95"/>
        </w:rPr>
        <w:t>13</w:t>
      </w:r>
    </w:p>
    <w:p>
      <w:pPr>
        <w:pStyle w:val="BodyText"/>
        <w:tabs>
          <w:tab w:pos="9438" w:val="right" w:leader="dot"/>
        </w:tabs>
        <w:spacing w:before="120"/>
        <w:ind w:left="1158"/>
      </w:pPr>
      <w:r>
        <w:rPr/>
        <w:t>ARC</w:t>
      </w:r>
      <w:r>
        <w:rPr>
          <w:spacing w:val="-8"/>
        </w:rPr>
        <w:t> </w:t>
      </w:r>
      <w:r>
        <w:rPr/>
        <w:t>304</w:t>
      </w:r>
      <w:r>
        <w:rPr>
          <w:spacing w:val="30"/>
        </w:rPr>
        <w:t>  </w:t>
      </w:r>
      <w:r>
        <w:rPr/>
        <w:t>Intermediate</w:t>
      </w:r>
      <w:r>
        <w:rPr>
          <w:spacing w:val="-5"/>
        </w:rPr>
        <w:t> </w:t>
      </w:r>
      <w:r>
        <w:rPr/>
        <w:t>Architecture</w:t>
      </w:r>
      <w:r>
        <w:rPr>
          <w:spacing w:val="-8"/>
        </w:rPr>
        <w:t> </w:t>
      </w:r>
      <w:r>
        <w:rPr/>
        <w:t>Design--Studio</w:t>
      </w:r>
      <w:r>
        <w:rPr>
          <w:spacing w:val="-7"/>
        </w:rPr>
        <w:t> </w:t>
      </w:r>
      <w:r>
        <w:rPr>
          <w:spacing w:val="-5"/>
        </w:rPr>
        <w:t>VI</w:t>
      </w:r>
      <w:r>
        <w:rPr/>
        <w:tab/>
      </w:r>
      <w:r>
        <w:rPr>
          <w:spacing w:val="-5"/>
        </w:rPr>
        <w:t>4-</w:t>
      </w:r>
      <w:r>
        <w:rPr>
          <w:w w:val="95"/>
        </w:rPr>
        <w:t>14</w:t>
      </w:r>
    </w:p>
    <w:p>
      <w:pPr>
        <w:pStyle w:val="BodyText"/>
        <w:tabs>
          <w:tab w:pos="9438" w:val="right" w:leader="dot"/>
        </w:tabs>
        <w:spacing w:before="118"/>
        <w:ind w:left="1158"/>
      </w:pPr>
      <w:r>
        <w:rPr/>
        <w:t>ARC</w:t>
      </w:r>
      <w:r>
        <w:rPr>
          <w:spacing w:val="-6"/>
        </w:rPr>
        <w:t> </w:t>
      </w:r>
      <w:r>
        <w:rPr/>
        <w:t>305</w:t>
      </w:r>
      <w:r>
        <w:rPr>
          <w:spacing w:val="34"/>
        </w:rPr>
        <w:t>  </w:t>
      </w:r>
      <w:r>
        <w:rPr/>
        <w:t>International</w:t>
      </w:r>
      <w:r>
        <w:rPr>
          <w:spacing w:val="-6"/>
        </w:rPr>
        <w:t> </w:t>
      </w:r>
      <w:r>
        <w:rPr/>
        <w:t>Urban</w:t>
      </w:r>
      <w:r>
        <w:rPr>
          <w:spacing w:val="-6"/>
        </w:rPr>
        <w:t> </w:t>
      </w:r>
      <w:r>
        <w:rPr/>
        <w:t>Travel--</w:t>
      </w:r>
      <w:r>
        <w:rPr>
          <w:spacing w:val="-2"/>
        </w:rPr>
        <w:t>StudioVII</w:t>
      </w:r>
      <w:r>
        <w:rPr/>
        <w:tab/>
      </w:r>
      <w:r>
        <w:rPr>
          <w:spacing w:val="-5"/>
        </w:rPr>
        <w:t>4-</w:t>
      </w:r>
      <w:r>
        <w:rPr>
          <w:w w:val="95"/>
        </w:rPr>
        <w:t>15</w:t>
      </w:r>
    </w:p>
    <w:p>
      <w:pPr>
        <w:pStyle w:val="BodyText"/>
        <w:tabs>
          <w:tab w:pos="9438" w:val="right" w:leader="dot"/>
        </w:tabs>
        <w:spacing w:before="121"/>
        <w:ind w:left="1158"/>
      </w:pPr>
      <w:r>
        <w:rPr/>
        <w:t>ARC</w:t>
      </w:r>
      <w:r>
        <w:rPr>
          <w:spacing w:val="-7"/>
        </w:rPr>
        <w:t> </w:t>
      </w:r>
      <w:r>
        <w:rPr/>
        <w:t>306</w:t>
      </w:r>
      <w:r>
        <w:rPr>
          <w:spacing w:val="34"/>
        </w:rPr>
        <w:t>  </w:t>
      </w:r>
      <w:r>
        <w:rPr/>
        <w:t>International</w:t>
      </w:r>
      <w:r>
        <w:rPr>
          <w:spacing w:val="-8"/>
        </w:rPr>
        <w:t> </w:t>
      </w:r>
      <w:r>
        <w:rPr/>
        <w:t>Urban</w:t>
      </w:r>
      <w:r>
        <w:rPr>
          <w:spacing w:val="-6"/>
        </w:rPr>
        <w:t> </w:t>
      </w:r>
      <w:r>
        <w:rPr/>
        <w:t>Travel</w:t>
      </w:r>
      <w:r>
        <w:rPr>
          <w:spacing w:val="-5"/>
        </w:rPr>
        <w:t> </w:t>
      </w:r>
      <w:r>
        <w:rPr/>
        <w:t>Design--Studio</w:t>
      </w:r>
      <w:r>
        <w:rPr>
          <w:spacing w:val="-5"/>
        </w:rPr>
        <w:t> </w:t>
      </w:r>
      <w:r>
        <w:rPr>
          <w:spacing w:val="-4"/>
        </w:rPr>
        <w:t>VIII</w:t>
      </w:r>
      <w:r>
        <w:rPr/>
        <w:tab/>
      </w:r>
      <w:r>
        <w:rPr>
          <w:spacing w:val="-5"/>
        </w:rPr>
        <w:t>4-</w:t>
      </w:r>
      <w:r>
        <w:rPr>
          <w:w w:val="95"/>
        </w:rPr>
        <w:t>16</w:t>
      </w:r>
    </w:p>
    <w:p>
      <w:pPr>
        <w:pStyle w:val="BodyText"/>
        <w:tabs>
          <w:tab w:pos="9438" w:val="right" w:leader="dot"/>
        </w:tabs>
        <w:spacing w:before="120"/>
        <w:ind w:left="1158"/>
      </w:pPr>
      <w:r>
        <w:rPr/>
        <w:t>ARC</w:t>
      </w:r>
      <w:r>
        <w:rPr>
          <w:spacing w:val="-5"/>
        </w:rPr>
        <w:t> </w:t>
      </w:r>
      <w:r>
        <w:rPr/>
        <w:t>309</w:t>
      </w:r>
      <w:r>
        <w:rPr>
          <w:spacing w:val="36"/>
        </w:rPr>
        <w:t>  </w:t>
      </w:r>
      <w:r>
        <w:rPr/>
        <w:t>Structures</w:t>
      </w:r>
      <w:r>
        <w:rPr>
          <w:spacing w:val="-4"/>
        </w:rPr>
        <w:t> </w:t>
      </w:r>
      <w:r>
        <w:rPr>
          <w:spacing w:val="-10"/>
        </w:rPr>
        <w:t>I</w:t>
      </w:r>
      <w:r>
        <w:rPr/>
        <w:tab/>
      </w:r>
      <w:r>
        <w:rPr>
          <w:spacing w:val="-5"/>
        </w:rPr>
        <w:t>4-</w:t>
      </w:r>
      <w:r>
        <w:rPr>
          <w:w w:val="95"/>
        </w:rPr>
        <w:t>17</w:t>
      </w:r>
    </w:p>
    <w:p>
      <w:pPr>
        <w:pStyle w:val="BodyText"/>
        <w:tabs>
          <w:tab w:pos="9438" w:val="right" w:leader="dot"/>
        </w:tabs>
        <w:spacing w:before="121"/>
        <w:ind w:left="1158"/>
      </w:pPr>
      <w:r>
        <w:rPr/>
        <w:t>ARC</w:t>
      </w:r>
      <w:r>
        <w:rPr>
          <w:spacing w:val="-5"/>
        </w:rPr>
        <w:t> </w:t>
      </w:r>
      <w:r>
        <w:rPr/>
        <w:t>310</w:t>
      </w:r>
      <w:r>
        <w:rPr>
          <w:spacing w:val="36"/>
        </w:rPr>
        <w:t>  </w:t>
      </w:r>
      <w:r>
        <w:rPr/>
        <w:t>Structures</w:t>
      </w:r>
      <w:r>
        <w:rPr>
          <w:spacing w:val="-4"/>
        </w:rPr>
        <w:t> </w:t>
      </w:r>
      <w:r>
        <w:rPr>
          <w:spacing w:val="-5"/>
        </w:rPr>
        <w:t>II</w:t>
      </w:r>
      <w:r>
        <w:rPr/>
        <w:tab/>
      </w:r>
      <w:r>
        <w:rPr>
          <w:spacing w:val="-5"/>
        </w:rPr>
        <w:t>4-</w:t>
      </w:r>
      <w:r>
        <w:rPr>
          <w:w w:val="95"/>
        </w:rPr>
        <w:t>18</w:t>
      </w:r>
    </w:p>
    <w:p>
      <w:pPr>
        <w:pStyle w:val="BodyText"/>
        <w:tabs>
          <w:tab w:pos="9438" w:val="right" w:leader="dot"/>
        </w:tabs>
        <w:spacing w:before="120"/>
        <w:ind w:left="1158"/>
      </w:pPr>
      <w:r>
        <w:rPr/>
        <w:t>ARC</w:t>
      </w:r>
      <w:r>
        <w:rPr>
          <w:spacing w:val="-4"/>
        </w:rPr>
        <w:t> </w:t>
      </w:r>
      <w:r>
        <w:rPr/>
        <w:t>314</w:t>
      </w:r>
      <w:r>
        <w:rPr>
          <w:spacing w:val="38"/>
        </w:rPr>
        <w:t>  </w:t>
      </w:r>
      <w:r>
        <w:rPr/>
        <w:t>Building</w:t>
      </w:r>
      <w:r>
        <w:rPr>
          <w:spacing w:val="-4"/>
        </w:rPr>
        <w:t> </w:t>
      </w:r>
      <w:r>
        <w:rPr>
          <w:spacing w:val="-2"/>
          <w:w w:val="95"/>
        </w:rPr>
        <w:t>Assemblies</w:t>
      </w:r>
      <w:r>
        <w:rPr/>
        <w:tab/>
      </w:r>
      <w:r>
        <w:rPr>
          <w:spacing w:val="-5"/>
        </w:rPr>
        <w:t>4-</w:t>
      </w:r>
      <w:r>
        <w:rPr>
          <w:w w:val="95"/>
        </w:rPr>
        <w:t>19</w:t>
      </w:r>
    </w:p>
    <w:p>
      <w:pPr>
        <w:pStyle w:val="BodyText"/>
        <w:tabs>
          <w:tab w:pos="2166" w:val="left" w:leader="none"/>
          <w:tab w:pos="9438" w:val="right" w:leader="dot"/>
        </w:tabs>
        <w:spacing w:before="120"/>
        <w:ind w:left="1158"/>
      </w:pPr>
      <w:r>
        <w:rPr>
          <w:spacing w:val="-2"/>
        </w:rPr>
        <w:t>ARC315</w:t>
      </w:r>
      <w:r>
        <w:rPr/>
        <w:tab/>
      </w:r>
      <w:r>
        <w:rPr>
          <w:w w:val="95"/>
        </w:rPr>
        <w:t>Environmental</w:t>
      </w:r>
      <w:r>
        <w:rPr>
          <w:spacing w:val="47"/>
        </w:rPr>
        <w:t> </w:t>
      </w:r>
      <w:r>
        <w:rPr>
          <w:spacing w:val="-2"/>
        </w:rPr>
        <w:t>Systems</w:t>
      </w:r>
      <w:r>
        <w:rPr/>
        <w:tab/>
      </w:r>
      <w:r>
        <w:rPr>
          <w:spacing w:val="-5"/>
        </w:rPr>
        <w:t>4-</w:t>
      </w:r>
      <w:r>
        <w:rPr>
          <w:w w:val="95"/>
        </w:rPr>
        <w:t>20</w:t>
      </w:r>
    </w:p>
    <w:p>
      <w:pPr>
        <w:pStyle w:val="BodyText"/>
        <w:tabs>
          <w:tab w:pos="9438" w:val="right" w:leader="dot"/>
        </w:tabs>
        <w:spacing w:before="118"/>
        <w:ind w:left="1158"/>
      </w:pPr>
      <w:r>
        <w:rPr/>
        <w:t>ARC</w:t>
      </w:r>
      <w:r>
        <w:rPr>
          <w:spacing w:val="-5"/>
        </w:rPr>
        <w:t> </w:t>
      </w:r>
      <w:r>
        <w:rPr/>
        <w:t>317</w:t>
      </w:r>
      <w:r>
        <w:rPr>
          <w:spacing w:val="36"/>
        </w:rPr>
        <w:t>  </w:t>
      </w:r>
      <w:r>
        <w:rPr/>
        <w:t>Global</w:t>
      </w:r>
      <w:r>
        <w:rPr>
          <w:spacing w:val="-5"/>
        </w:rPr>
        <w:t> </w:t>
      </w:r>
      <w:r>
        <w:rPr/>
        <w:t>Theories</w:t>
      </w:r>
      <w:r>
        <w:rPr>
          <w:spacing w:val="-4"/>
        </w:rPr>
        <w:t> </w:t>
      </w:r>
      <w:r>
        <w:rPr/>
        <w:t>of</w:t>
      </w:r>
      <w:r>
        <w:rPr>
          <w:spacing w:val="-3"/>
        </w:rPr>
        <w:t> </w:t>
      </w:r>
      <w:r>
        <w:rPr/>
        <w:t>Urban</w:t>
      </w:r>
      <w:r>
        <w:rPr>
          <w:spacing w:val="-4"/>
        </w:rPr>
        <w:t> </w:t>
      </w:r>
      <w:r>
        <w:rPr>
          <w:spacing w:val="-2"/>
        </w:rPr>
        <w:t>Design</w:t>
      </w:r>
      <w:r>
        <w:rPr/>
        <w:tab/>
      </w:r>
      <w:r>
        <w:rPr>
          <w:spacing w:val="-5"/>
        </w:rPr>
        <w:t>4-</w:t>
      </w:r>
      <w:r>
        <w:rPr>
          <w:w w:val="95"/>
        </w:rPr>
        <w:t>21</w:t>
      </w:r>
    </w:p>
    <w:p>
      <w:pPr>
        <w:pStyle w:val="BodyText"/>
        <w:tabs>
          <w:tab w:pos="9435" w:val="right" w:leader="dot"/>
        </w:tabs>
        <w:spacing w:before="121"/>
        <w:ind w:left="1158"/>
      </w:pPr>
      <w:r>
        <w:rPr/>
        <w:t>ARC</w:t>
      </w:r>
      <w:r>
        <w:rPr>
          <w:spacing w:val="-6"/>
        </w:rPr>
        <w:t> </w:t>
      </w:r>
      <w:r>
        <w:rPr/>
        <w:t>405</w:t>
      </w:r>
      <w:r>
        <w:rPr>
          <w:spacing w:val="34"/>
        </w:rPr>
        <w:t>  </w:t>
      </w:r>
      <w:r>
        <w:rPr/>
        <w:t>Advanced</w:t>
      </w:r>
      <w:r>
        <w:rPr>
          <w:spacing w:val="-5"/>
        </w:rPr>
        <w:t> </w:t>
      </w:r>
      <w:r>
        <w:rPr/>
        <w:t>Architectural</w:t>
      </w:r>
      <w:r>
        <w:rPr>
          <w:spacing w:val="-7"/>
        </w:rPr>
        <w:t> </w:t>
      </w:r>
      <w:r>
        <w:rPr/>
        <w:t>Design</w:t>
      </w:r>
      <w:r>
        <w:rPr>
          <w:spacing w:val="-4"/>
        </w:rPr>
        <w:t> </w:t>
      </w:r>
      <w:r>
        <w:rPr/>
        <w:t>Studio</w:t>
      </w:r>
      <w:r>
        <w:rPr>
          <w:spacing w:val="-4"/>
        </w:rPr>
        <w:t> VIII</w:t>
      </w:r>
      <w:r>
        <w:rPr/>
        <w:tab/>
      </w:r>
      <w:r>
        <w:rPr>
          <w:spacing w:val="-5"/>
        </w:rPr>
        <w:t>4-</w:t>
      </w:r>
      <w:r>
        <w:rPr>
          <w:w w:val="95"/>
        </w:rPr>
        <w:t>22</w:t>
      </w:r>
    </w:p>
    <w:p>
      <w:pPr>
        <w:pStyle w:val="BodyText"/>
        <w:tabs>
          <w:tab w:pos="9435" w:val="right" w:leader="dot"/>
        </w:tabs>
        <w:spacing w:before="120"/>
        <w:ind w:left="1158"/>
      </w:pPr>
      <w:r>
        <w:rPr/>
        <w:t>ARC</w:t>
      </w:r>
      <w:r>
        <w:rPr>
          <w:spacing w:val="-6"/>
        </w:rPr>
        <w:t> </w:t>
      </w:r>
      <w:r>
        <w:rPr/>
        <w:t>406</w:t>
      </w:r>
      <w:r>
        <w:rPr>
          <w:spacing w:val="34"/>
        </w:rPr>
        <w:t>  </w:t>
      </w:r>
      <w:r>
        <w:rPr/>
        <w:t>Advanced</w:t>
      </w:r>
      <w:r>
        <w:rPr>
          <w:spacing w:val="-5"/>
        </w:rPr>
        <w:t> </w:t>
      </w:r>
      <w:r>
        <w:rPr/>
        <w:t>Architectural</w:t>
      </w:r>
      <w:r>
        <w:rPr>
          <w:spacing w:val="-7"/>
        </w:rPr>
        <w:t> </w:t>
      </w:r>
      <w:r>
        <w:rPr/>
        <w:t>Design</w:t>
      </w:r>
      <w:r>
        <w:rPr>
          <w:spacing w:val="-4"/>
        </w:rPr>
        <w:t> </w:t>
      </w:r>
      <w:r>
        <w:rPr/>
        <w:t>Studio</w:t>
      </w:r>
      <w:r>
        <w:rPr>
          <w:spacing w:val="-4"/>
        </w:rPr>
        <w:t> </w:t>
      </w:r>
      <w:r>
        <w:rPr>
          <w:spacing w:val="-5"/>
        </w:rPr>
        <w:t>IXI</w:t>
      </w:r>
      <w:r>
        <w:rPr/>
        <w:tab/>
      </w:r>
      <w:r>
        <w:rPr>
          <w:spacing w:val="-5"/>
        </w:rPr>
        <w:t>4-</w:t>
      </w:r>
      <w:r>
        <w:rPr>
          <w:w w:val="95"/>
        </w:rPr>
        <w:t>23</w:t>
      </w:r>
    </w:p>
    <w:p>
      <w:pPr>
        <w:pStyle w:val="BodyText"/>
        <w:tabs>
          <w:tab w:pos="9437" w:val="right" w:leader="dot"/>
        </w:tabs>
        <w:spacing w:before="121"/>
        <w:ind w:left="1158"/>
      </w:pPr>
      <w:r>
        <w:rPr/>
        <w:t>ARC</w:t>
      </w:r>
      <w:r>
        <w:rPr>
          <w:spacing w:val="-7"/>
        </w:rPr>
        <w:t> </w:t>
      </w:r>
      <w:r>
        <w:rPr/>
        <w:t>411</w:t>
      </w:r>
      <w:r>
        <w:rPr>
          <w:spacing w:val="33"/>
        </w:rPr>
        <w:t>  </w:t>
      </w:r>
      <w:r>
        <w:rPr/>
        <w:t>Contemporary</w:t>
      </w:r>
      <w:r>
        <w:rPr>
          <w:spacing w:val="-6"/>
        </w:rPr>
        <w:t> </w:t>
      </w:r>
      <w:r>
        <w:rPr/>
        <w:t>Architectural</w:t>
      </w:r>
      <w:r>
        <w:rPr>
          <w:spacing w:val="-5"/>
        </w:rPr>
        <w:t> </w:t>
      </w:r>
      <w:r>
        <w:rPr>
          <w:spacing w:val="-2"/>
        </w:rPr>
        <w:t>Theory</w:t>
      </w:r>
      <w:r>
        <w:rPr/>
        <w:tab/>
      </w:r>
      <w:r>
        <w:rPr>
          <w:spacing w:val="-5"/>
        </w:rPr>
        <w:t>4-</w:t>
      </w:r>
      <w:r>
        <w:rPr>
          <w:w w:val="95"/>
        </w:rPr>
        <w:t>24</w:t>
      </w:r>
    </w:p>
    <w:p>
      <w:pPr>
        <w:pStyle w:val="BodyText"/>
        <w:tabs>
          <w:tab w:pos="9437" w:val="right" w:leader="dot"/>
        </w:tabs>
        <w:spacing w:before="120"/>
        <w:ind w:left="1158"/>
      </w:pPr>
      <w:r>
        <w:rPr/>
        <w:t>ARC</w:t>
      </w:r>
      <w:r>
        <w:rPr>
          <w:spacing w:val="-5"/>
        </w:rPr>
        <w:t> </w:t>
      </w:r>
      <w:r>
        <w:rPr/>
        <w:t>414</w:t>
      </w:r>
      <w:r>
        <w:rPr>
          <w:spacing w:val="36"/>
        </w:rPr>
        <w:t>  </w:t>
      </w:r>
      <w:r>
        <w:rPr/>
        <w:t>Structures</w:t>
      </w:r>
      <w:r>
        <w:rPr>
          <w:spacing w:val="-4"/>
        </w:rPr>
        <w:t> </w:t>
      </w:r>
      <w:r>
        <w:rPr>
          <w:spacing w:val="-5"/>
          <w:w w:val="95"/>
        </w:rPr>
        <w:t>III</w:t>
      </w:r>
      <w:r>
        <w:rPr/>
        <w:tab/>
      </w:r>
      <w:r>
        <w:rPr>
          <w:spacing w:val="-5"/>
        </w:rPr>
        <w:t>4-</w:t>
      </w:r>
      <w:r>
        <w:rPr>
          <w:w w:val="95"/>
        </w:rPr>
        <w:t>25</w:t>
      </w:r>
    </w:p>
    <w:p>
      <w:pPr>
        <w:pStyle w:val="BodyText"/>
        <w:tabs>
          <w:tab w:pos="9437" w:val="right" w:leader="dot"/>
        </w:tabs>
        <w:spacing w:before="118"/>
        <w:ind w:left="1158"/>
      </w:pPr>
      <w:r>
        <w:rPr/>
        <w:t>ARC</w:t>
      </w:r>
      <w:r>
        <w:rPr>
          <w:spacing w:val="-6"/>
        </w:rPr>
        <w:t> </w:t>
      </w:r>
      <w:r>
        <w:rPr/>
        <w:t>516</w:t>
      </w:r>
      <w:r>
        <w:rPr>
          <w:spacing w:val="35"/>
        </w:rPr>
        <w:t>  </w:t>
      </w:r>
      <w:r>
        <w:rPr/>
        <w:t>Building</w:t>
      </w:r>
      <w:r>
        <w:rPr>
          <w:spacing w:val="-6"/>
        </w:rPr>
        <w:t> </w:t>
      </w:r>
      <w:r>
        <w:rPr/>
        <w:t>Systems</w:t>
      </w:r>
      <w:r>
        <w:rPr>
          <w:spacing w:val="-5"/>
        </w:rPr>
        <w:t> </w:t>
      </w:r>
      <w:r>
        <w:rPr/>
        <w:t>Integration</w:t>
      </w:r>
      <w:r>
        <w:rPr>
          <w:spacing w:val="-10"/>
        </w:rPr>
        <w:t> </w:t>
      </w:r>
      <w:r>
        <w:rPr>
          <w:spacing w:val="-2"/>
        </w:rPr>
        <w:t>Workshop</w:t>
      </w:r>
      <w:r>
        <w:rPr/>
        <w:tab/>
      </w:r>
      <w:r>
        <w:rPr>
          <w:spacing w:val="-5"/>
        </w:rPr>
        <w:t>4-</w:t>
      </w:r>
      <w:r>
        <w:rPr>
          <w:w w:val="95"/>
        </w:rPr>
        <w:t>26</w:t>
      </w:r>
    </w:p>
    <w:p>
      <w:pPr>
        <w:pStyle w:val="BodyText"/>
        <w:tabs>
          <w:tab w:pos="9435" w:val="right" w:leader="dot"/>
        </w:tabs>
        <w:spacing w:before="121"/>
        <w:ind w:left="1158"/>
      </w:pPr>
      <w:r>
        <w:rPr/>
        <w:t>ARC</w:t>
      </w:r>
      <w:r>
        <w:rPr>
          <w:spacing w:val="-6"/>
        </w:rPr>
        <w:t> </w:t>
      </w:r>
      <w:r>
        <w:rPr/>
        <w:t>517</w:t>
      </w:r>
      <w:r>
        <w:rPr>
          <w:spacing w:val="35"/>
        </w:rPr>
        <w:t>  </w:t>
      </w:r>
      <w:r>
        <w:rPr/>
        <w:t>Professional</w:t>
      </w:r>
      <w:r>
        <w:rPr>
          <w:spacing w:val="-5"/>
        </w:rPr>
        <w:t> </w:t>
      </w:r>
      <w:r>
        <w:rPr/>
        <w:t>and</w:t>
      </w:r>
      <w:r>
        <w:rPr>
          <w:spacing w:val="-6"/>
        </w:rPr>
        <w:t> </w:t>
      </w:r>
      <w:r>
        <w:rPr/>
        <w:t>Community</w:t>
      </w:r>
      <w:r>
        <w:rPr>
          <w:spacing w:val="-8"/>
        </w:rPr>
        <w:t> </w:t>
      </w:r>
      <w:r>
        <w:rPr/>
        <w:t>Design</w:t>
      </w:r>
      <w:r>
        <w:rPr>
          <w:spacing w:val="-3"/>
        </w:rPr>
        <w:t> </w:t>
      </w:r>
      <w:r>
        <w:rPr/>
        <w:t>Practice</w:t>
      </w:r>
      <w:r>
        <w:rPr>
          <w:spacing w:val="-6"/>
        </w:rPr>
        <w:t> </w:t>
      </w:r>
      <w:r>
        <w:rPr>
          <w:spacing w:val="-10"/>
        </w:rPr>
        <w:t>I</w:t>
      </w:r>
      <w:r>
        <w:rPr/>
        <w:tab/>
      </w:r>
      <w:r>
        <w:rPr>
          <w:spacing w:val="-5"/>
        </w:rPr>
        <w:t>4-</w:t>
      </w:r>
      <w:r>
        <w:rPr>
          <w:w w:val="95"/>
        </w:rPr>
        <w:t>27</w:t>
      </w:r>
    </w:p>
    <w:p>
      <w:pPr>
        <w:pStyle w:val="BodyText"/>
        <w:tabs>
          <w:tab w:pos="9437" w:val="right" w:leader="dot"/>
        </w:tabs>
        <w:spacing w:before="120"/>
        <w:ind w:left="1160"/>
      </w:pPr>
      <w:r>
        <w:rPr/>
        <w:t>ARC</w:t>
      </w:r>
      <w:r>
        <w:rPr>
          <w:spacing w:val="-6"/>
        </w:rPr>
        <w:t> </w:t>
      </w:r>
      <w:r>
        <w:rPr/>
        <w:t>518</w:t>
      </w:r>
      <w:r>
        <w:rPr>
          <w:spacing w:val="35"/>
        </w:rPr>
        <w:t>  </w:t>
      </w:r>
      <w:r>
        <w:rPr/>
        <w:t>Professional</w:t>
      </w:r>
      <w:r>
        <w:rPr>
          <w:spacing w:val="-5"/>
        </w:rPr>
        <w:t> </w:t>
      </w:r>
      <w:r>
        <w:rPr/>
        <w:t>and</w:t>
      </w:r>
      <w:r>
        <w:rPr>
          <w:spacing w:val="-6"/>
        </w:rPr>
        <w:t> </w:t>
      </w:r>
      <w:r>
        <w:rPr/>
        <w:t>Community</w:t>
      </w:r>
      <w:r>
        <w:rPr>
          <w:spacing w:val="-8"/>
        </w:rPr>
        <w:t> </w:t>
      </w:r>
      <w:r>
        <w:rPr/>
        <w:t>Design</w:t>
      </w:r>
      <w:r>
        <w:rPr>
          <w:spacing w:val="-3"/>
        </w:rPr>
        <w:t> </w:t>
      </w:r>
      <w:r>
        <w:rPr/>
        <w:t>Practice</w:t>
      </w:r>
      <w:r>
        <w:rPr>
          <w:spacing w:val="-6"/>
        </w:rPr>
        <w:t> </w:t>
      </w:r>
      <w:r>
        <w:rPr>
          <w:spacing w:val="-5"/>
        </w:rPr>
        <w:t>II</w:t>
      </w:r>
      <w:r>
        <w:rPr/>
        <w:tab/>
      </w:r>
      <w:r>
        <w:rPr>
          <w:spacing w:val="-5"/>
        </w:rPr>
        <w:t>4-</w:t>
      </w:r>
      <w:r>
        <w:rPr>
          <w:w w:val="95"/>
        </w:rPr>
        <w:t>28</w:t>
      </w:r>
    </w:p>
    <w:p>
      <w:pPr>
        <w:pStyle w:val="BodyText"/>
        <w:tabs>
          <w:tab w:pos="9437" w:val="right" w:leader="dot"/>
        </w:tabs>
        <w:spacing w:before="121"/>
        <w:ind w:left="1159"/>
      </w:pPr>
      <w:r>
        <w:rPr/>
        <w:t>ARC</w:t>
      </w:r>
      <w:r>
        <w:rPr>
          <w:spacing w:val="-6"/>
        </w:rPr>
        <w:t> </w:t>
      </w:r>
      <w:r>
        <w:rPr/>
        <w:t>601</w:t>
      </w:r>
      <w:r>
        <w:rPr>
          <w:spacing w:val="36"/>
        </w:rPr>
        <w:t>  </w:t>
      </w:r>
      <w:r>
        <w:rPr/>
        <w:t>Thesis</w:t>
      </w:r>
      <w:r>
        <w:rPr>
          <w:spacing w:val="-4"/>
        </w:rPr>
        <w:t> </w:t>
      </w:r>
      <w:r>
        <w:rPr/>
        <w:t>Design</w:t>
      </w:r>
      <w:r>
        <w:rPr>
          <w:spacing w:val="-6"/>
        </w:rPr>
        <w:t> </w:t>
      </w:r>
      <w:r>
        <w:rPr/>
        <w:t>Research</w:t>
      </w:r>
      <w:r>
        <w:rPr>
          <w:spacing w:val="-3"/>
        </w:rPr>
        <w:t> </w:t>
      </w:r>
      <w:r>
        <w:rPr/>
        <w:t>Studio</w:t>
      </w:r>
      <w:r>
        <w:rPr>
          <w:spacing w:val="-5"/>
        </w:rPr>
        <w:t> </w:t>
      </w:r>
      <w:r>
        <w:rPr>
          <w:spacing w:val="-10"/>
        </w:rPr>
        <w:t>I</w:t>
      </w:r>
      <w:r>
        <w:rPr/>
        <w:tab/>
      </w:r>
      <w:r>
        <w:rPr>
          <w:spacing w:val="-5"/>
        </w:rPr>
        <w:t>4-</w:t>
      </w:r>
      <w:r>
        <w:rPr>
          <w:w w:val="95"/>
        </w:rPr>
        <w:t>29</w:t>
      </w:r>
    </w:p>
    <w:p>
      <w:pPr>
        <w:pStyle w:val="BodyText"/>
        <w:tabs>
          <w:tab w:pos="9437" w:val="right" w:leader="dot"/>
        </w:tabs>
        <w:spacing w:before="120"/>
        <w:ind w:left="1159"/>
      </w:pPr>
      <w:r>
        <w:rPr/>
        <w:t>ARC</w:t>
      </w:r>
      <w:r>
        <w:rPr>
          <w:spacing w:val="-6"/>
        </w:rPr>
        <w:t> </w:t>
      </w:r>
      <w:r>
        <w:rPr/>
        <w:t>602</w:t>
      </w:r>
      <w:r>
        <w:rPr>
          <w:spacing w:val="36"/>
        </w:rPr>
        <w:t>  </w:t>
      </w:r>
      <w:r>
        <w:rPr/>
        <w:t>Thesis</w:t>
      </w:r>
      <w:r>
        <w:rPr>
          <w:spacing w:val="-4"/>
        </w:rPr>
        <w:t> </w:t>
      </w:r>
      <w:r>
        <w:rPr/>
        <w:t>Design</w:t>
      </w:r>
      <w:r>
        <w:rPr>
          <w:spacing w:val="-6"/>
        </w:rPr>
        <w:t> </w:t>
      </w:r>
      <w:r>
        <w:rPr/>
        <w:t>Research</w:t>
      </w:r>
      <w:r>
        <w:rPr>
          <w:spacing w:val="-3"/>
        </w:rPr>
        <w:t> </w:t>
      </w:r>
      <w:r>
        <w:rPr/>
        <w:t>Studio</w:t>
      </w:r>
      <w:r>
        <w:rPr>
          <w:spacing w:val="-5"/>
        </w:rPr>
        <w:t> II</w:t>
      </w:r>
      <w:r>
        <w:rPr/>
        <w:tab/>
      </w:r>
      <w:r>
        <w:rPr>
          <w:spacing w:val="-5"/>
        </w:rPr>
        <w:t>4-</w:t>
      </w:r>
      <w:r>
        <w:rPr>
          <w:w w:val="95"/>
        </w:rPr>
        <w:t>30</w:t>
      </w:r>
    </w:p>
    <w:p>
      <w:pPr>
        <w:pStyle w:val="BodyText"/>
        <w:tabs>
          <w:tab w:pos="9437" w:val="right" w:leader="dot"/>
        </w:tabs>
        <w:spacing w:before="120"/>
        <w:ind w:left="1159"/>
      </w:pPr>
      <w:r>
        <w:rPr/>
        <w:t>ARC</w:t>
      </w:r>
      <w:r>
        <w:rPr>
          <w:spacing w:val="-5"/>
        </w:rPr>
        <w:t> </w:t>
      </w:r>
      <w:r>
        <w:rPr/>
        <w:t>617</w:t>
      </w:r>
      <w:r>
        <w:rPr>
          <w:spacing w:val="37"/>
        </w:rPr>
        <w:t>  </w:t>
      </w:r>
      <w:r>
        <w:rPr/>
        <w:t>Community</w:t>
      </w:r>
      <w:r>
        <w:rPr>
          <w:spacing w:val="-6"/>
        </w:rPr>
        <w:t> </w:t>
      </w:r>
      <w:r>
        <w:rPr/>
        <w:t>Design</w:t>
      </w:r>
      <w:r>
        <w:rPr>
          <w:spacing w:val="-4"/>
        </w:rPr>
        <w:t> </w:t>
      </w:r>
      <w:r>
        <w:rPr>
          <w:spacing w:val="-2"/>
        </w:rPr>
        <w:t>Issues</w:t>
      </w:r>
      <w:r>
        <w:rPr/>
        <w:tab/>
      </w:r>
      <w:r>
        <w:rPr>
          <w:spacing w:val="-5"/>
        </w:rPr>
        <w:t>4-</w:t>
      </w:r>
      <w:r>
        <w:rPr>
          <w:w w:val="95"/>
        </w:rPr>
        <w:t>31</w:t>
      </w:r>
    </w:p>
    <w:p>
      <w:pPr>
        <w:pStyle w:val="BodyText"/>
        <w:tabs>
          <w:tab w:pos="9436" w:val="right" w:leader="dot"/>
        </w:tabs>
        <w:spacing w:before="118"/>
        <w:ind w:left="1159"/>
      </w:pPr>
      <w:r>
        <w:rPr/>
        <w:t>ARC</w:t>
      </w:r>
      <w:r>
        <w:rPr>
          <w:spacing w:val="-6"/>
        </w:rPr>
        <w:t> </w:t>
      </w:r>
      <w:r>
        <w:rPr/>
        <w:t>618</w:t>
      </w:r>
      <w:r>
        <w:rPr>
          <w:spacing w:val="35"/>
        </w:rPr>
        <w:t>  </w:t>
      </w:r>
      <w:r>
        <w:rPr/>
        <w:t>Advanced</w:t>
      </w:r>
      <w:r>
        <w:rPr>
          <w:spacing w:val="-5"/>
        </w:rPr>
        <w:t> </w:t>
      </w:r>
      <w:r>
        <w:rPr/>
        <w:t>Building</w:t>
      </w:r>
      <w:r>
        <w:rPr>
          <w:spacing w:val="-4"/>
        </w:rPr>
        <w:t> </w:t>
      </w:r>
      <w:r>
        <w:rPr/>
        <w:t>Technology</w:t>
      </w:r>
      <w:r>
        <w:rPr>
          <w:spacing w:val="-6"/>
        </w:rPr>
        <w:t> </w:t>
      </w:r>
      <w:r>
        <w:rPr>
          <w:spacing w:val="-2"/>
        </w:rPr>
        <w:t>Issues</w:t>
      </w:r>
      <w:r>
        <w:rPr/>
        <w:tab/>
      </w:r>
      <w:r>
        <w:rPr>
          <w:spacing w:val="-5"/>
        </w:rPr>
        <w:t>4-</w:t>
      </w:r>
      <w:r>
        <w:rPr>
          <w:w w:val="95"/>
        </w:rPr>
        <w:t>32</w:t>
      </w:r>
    </w:p>
    <w:p>
      <w:pPr>
        <w:pStyle w:val="BodyText"/>
        <w:tabs>
          <w:tab w:pos="1519" w:val="left" w:leader="none"/>
        </w:tabs>
        <w:spacing w:before="241"/>
        <w:ind w:left="439"/>
      </w:pPr>
      <w:r>
        <w:rPr>
          <w:spacing w:val="-2"/>
        </w:rPr>
        <w:t>General:</w:t>
      </w:r>
      <w:r>
        <w:rPr/>
        <w:tab/>
        <w:t>All</w:t>
      </w:r>
      <w:r>
        <w:rPr>
          <w:spacing w:val="-8"/>
        </w:rPr>
        <w:t> </w:t>
      </w:r>
      <w:r>
        <w:rPr/>
        <w:t>prerequisites</w:t>
      </w:r>
      <w:r>
        <w:rPr>
          <w:spacing w:val="-5"/>
        </w:rPr>
        <w:t> </w:t>
      </w:r>
      <w:r>
        <w:rPr/>
        <w:t>for</w:t>
      </w:r>
      <w:r>
        <w:rPr>
          <w:spacing w:val="-5"/>
        </w:rPr>
        <w:t> </w:t>
      </w:r>
      <w:r>
        <w:rPr/>
        <w:t>architecture</w:t>
      </w:r>
      <w:r>
        <w:rPr>
          <w:spacing w:val="-6"/>
        </w:rPr>
        <w:t> </w:t>
      </w:r>
      <w:r>
        <w:rPr/>
        <w:t>courses</w:t>
      </w:r>
      <w:r>
        <w:rPr>
          <w:spacing w:val="-6"/>
        </w:rPr>
        <w:t> </w:t>
      </w:r>
      <w:r>
        <w:rPr/>
        <w:t>must</w:t>
      </w:r>
      <w:r>
        <w:rPr>
          <w:spacing w:val="-6"/>
        </w:rPr>
        <w:t> </w:t>
      </w:r>
      <w:r>
        <w:rPr/>
        <w:t>be</w:t>
      </w:r>
      <w:r>
        <w:rPr>
          <w:spacing w:val="-6"/>
        </w:rPr>
        <w:t> </w:t>
      </w:r>
      <w:r>
        <w:rPr/>
        <w:t>completed</w:t>
      </w:r>
      <w:r>
        <w:rPr>
          <w:spacing w:val="-5"/>
        </w:rPr>
        <w:t> </w:t>
      </w:r>
      <w:r>
        <w:rPr/>
        <w:t>with</w:t>
      </w:r>
      <w:r>
        <w:rPr>
          <w:spacing w:val="-4"/>
        </w:rPr>
        <w:t> </w:t>
      </w:r>
      <w:r>
        <w:rPr/>
        <w:t>a</w:t>
      </w:r>
      <w:r>
        <w:rPr>
          <w:spacing w:val="-6"/>
        </w:rPr>
        <w:t> </w:t>
      </w:r>
      <w:r>
        <w:rPr/>
        <w:t>grade</w:t>
      </w:r>
      <w:r>
        <w:rPr>
          <w:spacing w:val="-5"/>
        </w:rPr>
        <w:t> </w:t>
      </w:r>
      <w:r>
        <w:rPr/>
        <w:t>of</w:t>
      </w:r>
      <w:r>
        <w:rPr>
          <w:spacing w:val="-4"/>
        </w:rPr>
        <w:t> </w:t>
      </w:r>
      <w:r>
        <w:rPr/>
        <w:t>“C”</w:t>
      </w:r>
      <w:r>
        <w:rPr>
          <w:spacing w:val="-5"/>
        </w:rPr>
        <w:t> </w:t>
      </w:r>
      <w:r>
        <w:rPr/>
        <w:t>or</w:t>
      </w:r>
      <w:r>
        <w:rPr>
          <w:spacing w:val="-6"/>
        </w:rPr>
        <w:t> </w:t>
      </w:r>
      <w:r>
        <w:rPr>
          <w:spacing w:val="-2"/>
        </w:rPr>
        <w:t>better.</w:t>
      </w:r>
    </w:p>
    <w:p>
      <w:pPr>
        <w:pStyle w:val="BodyText"/>
        <w:ind w:left="1519"/>
      </w:pPr>
      <w:r>
        <w:rPr/>
        <w:t>All</w:t>
      </w:r>
      <w:r>
        <w:rPr>
          <w:spacing w:val="-6"/>
        </w:rPr>
        <w:t> </w:t>
      </w:r>
      <w:r>
        <w:rPr/>
        <w:t>required</w:t>
      </w:r>
      <w:r>
        <w:rPr>
          <w:spacing w:val="-5"/>
        </w:rPr>
        <w:t> </w:t>
      </w:r>
      <w:r>
        <w:rPr/>
        <w:t>courses</w:t>
      </w:r>
      <w:r>
        <w:rPr>
          <w:spacing w:val="-4"/>
        </w:rPr>
        <w:t> </w:t>
      </w:r>
      <w:r>
        <w:rPr/>
        <w:t>in</w:t>
      </w:r>
      <w:r>
        <w:rPr>
          <w:spacing w:val="-5"/>
        </w:rPr>
        <w:t> </w:t>
      </w:r>
      <w:r>
        <w:rPr/>
        <w:t>the</w:t>
      </w:r>
      <w:r>
        <w:rPr>
          <w:spacing w:val="-3"/>
        </w:rPr>
        <w:t> </w:t>
      </w:r>
      <w:r>
        <w:rPr/>
        <w:t>major</w:t>
      </w:r>
      <w:r>
        <w:rPr>
          <w:spacing w:val="-6"/>
        </w:rPr>
        <w:t> </w:t>
      </w:r>
      <w:r>
        <w:rPr/>
        <w:t>must</w:t>
      </w:r>
      <w:r>
        <w:rPr>
          <w:spacing w:val="-5"/>
        </w:rPr>
        <w:t> </w:t>
      </w:r>
      <w:r>
        <w:rPr/>
        <w:t>be</w:t>
      </w:r>
      <w:r>
        <w:rPr>
          <w:spacing w:val="-5"/>
        </w:rPr>
        <w:t> </w:t>
      </w:r>
      <w:r>
        <w:rPr/>
        <w:t>completed</w:t>
      </w:r>
      <w:r>
        <w:rPr>
          <w:spacing w:val="-3"/>
        </w:rPr>
        <w:t> </w:t>
      </w:r>
      <w:r>
        <w:rPr/>
        <w:t>with</w:t>
      </w:r>
      <w:r>
        <w:rPr>
          <w:spacing w:val="-3"/>
        </w:rPr>
        <w:t> </w:t>
      </w:r>
      <w:r>
        <w:rPr/>
        <w:t>a</w:t>
      </w:r>
      <w:r>
        <w:rPr>
          <w:spacing w:val="-5"/>
        </w:rPr>
        <w:t> </w:t>
      </w:r>
      <w:r>
        <w:rPr/>
        <w:t>grade</w:t>
      </w:r>
      <w:r>
        <w:rPr>
          <w:spacing w:val="-5"/>
        </w:rPr>
        <w:t> </w:t>
      </w:r>
      <w:r>
        <w:rPr/>
        <w:t>of</w:t>
      </w:r>
      <w:r>
        <w:rPr>
          <w:spacing w:val="-3"/>
        </w:rPr>
        <w:t> </w:t>
      </w:r>
      <w:r>
        <w:rPr/>
        <w:t>“C”</w:t>
      </w:r>
      <w:r>
        <w:rPr>
          <w:spacing w:val="-4"/>
        </w:rPr>
        <w:t> </w:t>
      </w:r>
      <w:r>
        <w:rPr/>
        <w:t>or</w:t>
      </w:r>
      <w:r>
        <w:rPr>
          <w:spacing w:val="-4"/>
        </w:rPr>
        <w:t> </w:t>
      </w:r>
      <w:r>
        <w:rPr>
          <w:spacing w:val="-2"/>
        </w:rPr>
        <w:t>better.</w:t>
      </w:r>
    </w:p>
    <w:p>
      <w:pPr>
        <w:pStyle w:val="BodyText"/>
        <w:spacing w:before="1"/>
        <w:ind w:left="1519" w:right="642"/>
      </w:pPr>
      <w:r>
        <w:rPr/>
        <w:t>In</w:t>
      </w:r>
      <w:r>
        <w:rPr>
          <w:spacing w:val="-4"/>
        </w:rPr>
        <w:t> </w:t>
      </w:r>
      <w:r>
        <w:rPr/>
        <w:t>addition</w:t>
      </w:r>
      <w:r>
        <w:rPr>
          <w:spacing w:val="-4"/>
        </w:rPr>
        <w:t> </w:t>
      </w:r>
      <w:r>
        <w:rPr/>
        <w:t>to</w:t>
      </w:r>
      <w:r>
        <w:rPr>
          <w:spacing w:val="-2"/>
        </w:rPr>
        <w:t> </w:t>
      </w:r>
      <w:r>
        <w:rPr/>
        <w:t>the</w:t>
      </w:r>
      <w:r>
        <w:rPr>
          <w:spacing w:val="-2"/>
        </w:rPr>
        <w:t> </w:t>
      </w:r>
      <w:r>
        <w:rPr/>
        <w:t>times</w:t>
      </w:r>
      <w:r>
        <w:rPr>
          <w:spacing w:val="-3"/>
        </w:rPr>
        <w:t> </w:t>
      </w:r>
      <w:r>
        <w:rPr/>
        <w:t>and</w:t>
      </w:r>
      <w:r>
        <w:rPr>
          <w:spacing w:val="-2"/>
        </w:rPr>
        <w:t> </w:t>
      </w:r>
      <w:r>
        <w:rPr/>
        <w:t>terms</w:t>
      </w:r>
      <w:r>
        <w:rPr>
          <w:spacing w:val="-3"/>
        </w:rPr>
        <w:t> </w:t>
      </w:r>
      <w:r>
        <w:rPr/>
        <w:t>listed,</w:t>
      </w:r>
      <w:r>
        <w:rPr>
          <w:spacing w:val="-4"/>
        </w:rPr>
        <w:t> </w:t>
      </w:r>
      <w:r>
        <w:rPr/>
        <w:t>students</w:t>
      </w:r>
      <w:r>
        <w:rPr>
          <w:spacing w:val="-3"/>
        </w:rPr>
        <w:t> </w:t>
      </w:r>
      <w:r>
        <w:rPr/>
        <w:t>are</w:t>
      </w:r>
      <w:r>
        <w:rPr>
          <w:spacing w:val="-2"/>
        </w:rPr>
        <w:t> </w:t>
      </w:r>
      <w:r>
        <w:rPr/>
        <w:t>allowed</w:t>
      </w:r>
      <w:r>
        <w:rPr>
          <w:spacing w:val="-4"/>
        </w:rPr>
        <w:t> </w:t>
      </w:r>
      <w:r>
        <w:rPr/>
        <w:t>to</w:t>
      </w:r>
      <w:r>
        <w:rPr>
          <w:spacing w:val="-4"/>
        </w:rPr>
        <w:t> </w:t>
      </w:r>
      <w:r>
        <w:rPr/>
        <w:t>re-take</w:t>
      </w:r>
      <w:r>
        <w:rPr>
          <w:spacing w:val="-4"/>
        </w:rPr>
        <w:t> </w:t>
      </w:r>
      <w:r>
        <w:rPr/>
        <w:t>studios during</w:t>
      </w:r>
      <w:r>
        <w:rPr>
          <w:spacing w:val="-2"/>
        </w:rPr>
        <w:t> </w:t>
      </w:r>
      <w:r>
        <w:rPr/>
        <w:t>the summer session if needed to stay on course for graduation.</w:t>
      </w:r>
    </w:p>
    <w:p>
      <w:pPr>
        <w:spacing w:after="0"/>
        <w:sectPr>
          <w:headerReference w:type="default" r:id="rId177"/>
          <w:footerReference w:type="default" r:id="rId178"/>
          <w:pgSz w:w="12240" w:h="15840"/>
          <w:pgMar w:header="0" w:footer="974" w:top="1600" w:bottom="1160" w:left="1000" w:right="820"/>
          <w:pgNumType w:start="1"/>
        </w:sectPr>
      </w:pPr>
    </w:p>
    <w:p>
      <w:pPr>
        <w:spacing w:before="115"/>
        <w:ind w:left="440" w:right="0" w:firstLine="0"/>
        <w:jc w:val="left"/>
        <w:rPr>
          <w:b/>
          <w:sz w:val="20"/>
        </w:rPr>
      </w:pPr>
      <w:r>
        <w:rPr>
          <w:b/>
          <w:sz w:val="20"/>
        </w:rPr>
        <w:t>Course</w:t>
      </w:r>
      <w:r>
        <w:rPr>
          <w:b/>
          <w:spacing w:val="-9"/>
          <w:sz w:val="20"/>
        </w:rPr>
        <w:t> </w:t>
      </w:r>
      <w:r>
        <w:rPr>
          <w:b/>
          <w:sz w:val="20"/>
        </w:rPr>
        <w:t>Description</w:t>
      </w:r>
      <w:r>
        <w:rPr>
          <w:b/>
          <w:spacing w:val="-8"/>
          <w:sz w:val="20"/>
        </w:rPr>
        <w:t> </w:t>
      </w:r>
      <w:r>
        <w:rPr>
          <w:b/>
          <w:sz w:val="20"/>
        </w:rPr>
        <w:t>(limit</w:t>
      </w:r>
      <w:r>
        <w:rPr>
          <w:b/>
          <w:spacing w:val="-7"/>
          <w:sz w:val="20"/>
        </w:rPr>
        <w:t> </w:t>
      </w:r>
      <w:r>
        <w:rPr>
          <w:b/>
          <w:sz w:val="20"/>
        </w:rPr>
        <w:t>25</w:t>
      </w:r>
      <w:r>
        <w:rPr>
          <w:b/>
          <w:spacing w:val="-8"/>
          <w:sz w:val="20"/>
        </w:rPr>
        <w:t> </w:t>
      </w:r>
      <w:r>
        <w:rPr>
          <w:b/>
          <w:spacing w:val="-2"/>
          <w:sz w:val="20"/>
        </w:rPr>
        <w:t>words):</w:t>
      </w:r>
    </w:p>
    <w:p>
      <w:pPr>
        <w:pStyle w:val="BodyText"/>
        <w:spacing w:before="122"/>
        <w:ind w:left="1159" w:right="645"/>
        <w:jc w:val="both"/>
      </w:pPr>
      <w:r>
        <w:rPr/>
        <w:t>Basic</w:t>
      </w:r>
      <w:r>
        <w:rPr>
          <w:spacing w:val="-4"/>
        </w:rPr>
        <w:t> </w:t>
      </w:r>
      <w:r>
        <w:rPr/>
        <w:t>free</w:t>
      </w:r>
      <w:r>
        <w:rPr>
          <w:spacing w:val="-5"/>
        </w:rPr>
        <w:t> </w:t>
      </w:r>
      <w:r>
        <w:rPr/>
        <w:t>hand</w:t>
      </w:r>
      <w:r>
        <w:rPr>
          <w:spacing w:val="-3"/>
        </w:rPr>
        <w:t> </w:t>
      </w:r>
      <w:r>
        <w:rPr/>
        <w:t>and</w:t>
      </w:r>
      <w:r>
        <w:rPr>
          <w:spacing w:val="-3"/>
        </w:rPr>
        <w:t> </w:t>
      </w:r>
      <w:r>
        <w:rPr/>
        <w:t>orthographic</w:t>
      </w:r>
      <w:r>
        <w:rPr>
          <w:spacing w:val="-4"/>
        </w:rPr>
        <w:t> </w:t>
      </w:r>
      <w:r>
        <w:rPr/>
        <w:t>graphic</w:t>
      </w:r>
      <w:r>
        <w:rPr>
          <w:spacing w:val="-4"/>
        </w:rPr>
        <w:t> </w:t>
      </w:r>
      <w:r>
        <w:rPr/>
        <w:t>drawing,</w:t>
      </w:r>
      <w:r>
        <w:rPr>
          <w:spacing w:val="-5"/>
        </w:rPr>
        <w:t> </w:t>
      </w:r>
      <w:r>
        <w:rPr/>
        <w:t>three-dimensional</w:t>
      </w:r>
      <w:r>
        <w:rPr>
          <w:spacing w:val="-6"/>
        </w:rPr>
        <w:t> </w:t>
      </w:r>
      <w:r>
        <w:rPr/>
        <w:t>modeling</w:t>
      </w:r>
      <w:r>
        <w:rPr>
          <w:spacing w:val="-5"/>
        </w:rPr>
        <w:t> </w:t>
      </w:r>
      <w:r>
        <w:rPr/>
        <w:t>and</w:t>
      </w:r>
      <w:r>
        <w:rPr>
          <w:spacing w:val="-3"/>
        </w:rPr>
        <w:t> </w:t>
      </w:r>
      <w:r>
        <w:rPr/>
        <w:t>verbal/written communication</w:t>
      </w:r>
      <w:r>
        <w:rPr>
          <w:spacing w:val="-4"/>
        </w:rPr>
        <w:t> </w:t>
      </w:r>
      <w:r>
        <w:rPr/>
        <w:t>skills.</w:t>
      </w:r>
      <w:r>
        <w:rPr>
          <w:spacing w:val="-5"/>
        </w:rPr>
        <w:t> </w:t>
      </w:r>
      <w:r>
        <w:rPr/>
        <w:t>Introduction</w:t>
      </w:r>
      <w:r>
        <w:rPr>
          <w:spacing w:val="-5"/>
        </w:rPr>
        <w:t> </w:t>
      </w:r>
      <w:r>
        <w:rPr/>
        <w:t>to</w:t>
      </w:r>
      <w:r>
        <w:rPr>
          <w:spacing w:val="-4"/>
        </w:rPr>
        <w:t> </w:t>
      </w:r>
      <w:r>
        <w:rPr/>
        <w:t>principles</w:t>
      </w:r>
      <w:r>
        <w:rPr>
          <w:spacing w:val="-4"/>
        </w:rPr>
        <w:t> </w:t>
      </w:r>
      <w:r>
        <w:rPr/>
        <w:t>and</w:t>
      </w:r>
      <w:r>
        <w:rPr>
          <w:spacing w:val="-5"/>
        </w:rPr>
        <w:t> </w:t>
      </w:r>
      <w:r>
        <w:rPr/>
        <w:t>theories</w:t>
      </w:r>
      <w:r>
        <w:rPr>
          <w:spacing w:val="-4"/>
        </w:rPr>
        <w:t> </w:t>
      </w:r>
      <w:r>
        <w:rPr/>
        <w:t>of</w:t>
      </w:r>
      <w:r>
        <w:rPr>
          <w:spacing w:val="-4"/>
        </w:rPr>
        <w:t> </w:t>
      </w:r>
      <w:r>
        <w:rPr/>
        <w:t>abstract</w:t>
      </w:r>
      <w:r>
        <w:rPr>
          <w:spacing w:val="-4"/>
        </w:rPr>
        <w:t> </w:t>
      </w:r>
      <w:r>
        <w:rPr/>
        <w:t>design,</w:t>
      </w:r>
      <w:r>
        <w:rPr>
          <w:spacing w:val="-5"/>
        </w:rPr>
        <w:t> </w:t>
      </w:r>
      <w:r>
        <w:rPr/>
        <w:t>conceptualization, and fabrication, with an emphasis placed on design analysis and “process of design.”</w:t>
      </w:r>
    </w:p>
    <w:p>
      <w:pPr>
        <w:spacing w:before="119"/>
        <w:ind w:left="550" w:right="0" w:firstLine="0"/>
        <w:jc w:val="left"/>
        <w:rPr>
          <w:b/>
          <w:sz w:val="20"/>
        </w:rPr>
      </w:pPr>
      <w:r>
        <w:rPr>
          <w:b/>
          <w:sz w:val="20"/>
        </w:rPr>
        <w:t>Course</w:t>
      </w:r>
      <w:r>
        <w:rPr>
          <w:b/>
          <w:spacing w:val="-8"/>
          <w:sz w:val="20"/>
        </w:rPr>
        <w:t> </w:t>
      </w:r>
      <w:r>
        <w:rPr>
          <w:b/>
          <w:sz w:val="20"/>
        </w:rPr>
        <w:t>Goals</w:t>
      </w:r>
      <w:r>
        <w:rPr>
          <w:b/>
          <w:spacing w:val="-6"/>
          <w:sz w:val="20"/>
        </w:rPr>
        <w:t> </w:t>
      </w:r>
      <w:r>
        <w:rPr>
          <w:b/>
          <w:sz w:val="20"/>
        </w:rPr>
        <w:t>and</w:t>
      </w:r>
      <w:r>
        <w:rPr>
          <w:b/>
          <w:spacing w:val="-6"/>
          <w:sz w:val="20"/>
        </w:rPr>
        <w:t> </w:t>
      </w:r>
      <w:r>
        <w:rPr>
          <w:b/>
          <w:spacing w:val="-2"/>
          <w:sz w:val="20"/>
        </w:rPr>
        <w:t>Objectives;</w:t>
      </w:r>
    </w:p>
    <w:p>
      <w:pPr>
        <w:pStyle w:val="ListParagraph"/>
        <w:numPr>
          <w:ilvl w:val="0"/>
          <w:numId w:val="43"/>
        </w:numPr>
        <w:tabs>
          <w:tab w:pos="1159" w:val="left" w:leader="none"/>
          <w:tab w:pos="1160" w:val="left" w:leader="none"/>
        </w:tabs>
        <w:spacing w:line="240" w:lineRule="auto" w:before="135" w:after="0"/>
        <w:ind w:left="1159" w:right="0" w:hanging="361"/>
        <w:jc w:val="left"/>
        <w:rPr>
          <w:sz w:val="20"/>
        </w:rPr>
      </w:pPr>
      <w:r>
        <w:rPr>
          <w:color w:val="303030"/>
          <w:sz w:val="20"/>
        </w:rPr>
        <w:t>Identify</w:t>
      </w:r>
      <w:r>
        <w:rPr>
          <w:color w:val="303030"/>
          <w:spacing w:val="-11"/>
          <w:sz w:val="20"/>
        </w:rPr>
        <w:t> </w:t>
      </w:r>
      <w:r>
        <w:rPr>
          <w:color w:val="303030"/>
          <w:sz w:val="20"/>
        </w:rPr>
        <w:t>and</w:t>
      </w:r>
      <w:r>
        <w:rPr>
          <w:color w:val="303030"/>
          <w:spacing w:val="-8"/>
          <w:sz w:val="20"/>
        </w:rPr>
        <w:t> </w:t>
      </w:r>
      <w:r>
        <w:rPr>
          <w:color w:val="303030"/>
          <w:sz w:val="20"/>
        </w:rPr>
        <w:t>represent</w:t>
      </w:r>
      <w:r>
        <w:rPr>
          <w:color w:val="303030"/>
          <w:spacing w:val="-6"/>
          <w:sz w:val="20"/>
        </w:rPr>
        <w:t> </w:t>
      </w:r>
      <w:r>
        <w:rPr>
          <w:color w:val="303030"/>
          <w:sz w:val="20"/>
        </w:rPr>
        <w:t>basic</w:t>
      </w:r>
      <w:r>
        <w:rPr>
          <w:color w:val="303030"/>
          <w:spacing w:val="-7"/>
          <w:sz w:val="20"/>
        </w:rPr>
        <w:t> </w:t>
      </w:r>
      <w:r>
        <w:rPr>
          <w:color w:val="303030"/>
          <w:sz w:val="20"/>
        </w:rPr>
        <w:t>architectonic</w:t>
      </w:r>
      <w:r>
        <w:rPr>
          <w:color w:val="303030"/>
          <w:spacing w:val="-7"/>
          <w:sz w:val="20"/>
        </w:rPr>
        <w:t> </w:t>
      </w:r>
      <w:r>
        <w:rPr>
          <w:color w:val="303030"/>
          <w:sz w:val="20"/>
        </w:rPr>
        <w:t>elements:</w:t>
      </w:r>
      <w:r>
        <w:rPr>
          <w:color w:val="303030"/>
          <w:spacing w:val="-8"/>
          <w:sz w:val="20"/>
        </w:rPr>
        <w:t> </w:t>
      </w:r>
      <w:r>
        <w:rPr>
          <w:color w:val="303030"/>
          <w:sz w:val="20"/>
        </w:rPr>
        <w:t>point,</w:t>
      </w:r>
      <w:r>
        <w:rPr>
          <w:color w:val="303030"/>
          <w:spacing w:val="-7"/>
          <w:sz w:val="20"/>
        </w:rPr>
        <w:t> </w:t>
      </w:r>
      <w:r>
        <w:rPr>
          <w:color w:val="303030"/>
          <w:sz w:val="20"/>
        </w:rPr>
        <w:t>line,</w:t>
      </w:r>
      <w:r>
        <w:rPr>
          <w:color w:val="303030"/>
          <w:spacing w:val="-8"/>
          <w:sz w:val="20"/>
        </w:rPr>
        <w:t> </w:t>
      </w:r>
      <w:r>
        <w:rPr>
          <w:color w:val="303030"/>
          <w:sz w:val="20"/>
        </w:rPr>
        <w:t>plane,</w:t>
      </w:r>
      <w:r>
        <w:rPr>
          <w:color w:val="303030"/>
          <w:spacing w:val="-6"/>
          <w:sz w:val="20"/>
        </w:rPr>
        <w:t> </w:t>
      </w:r>
      <w:r>
        <w:rPr>
          <w:color w:val="303030"/>
          <w:spacing w:val="-2"/>
          <w:sz w:val="20"/>
        </w:rPr>
        <w:t>volume.</w:t>
      </w:r>
    </w:p>
    <w:p>
      <w:pPr>
        <w:pStyle w:val="ListParagraph"/>
        <w:numPr>
          <w:ilvl w:val="0"/>
          <w:numId w:val="43"/>
        </w:numPr>
        <w:tabs>
          <w:tab w:pos="1159" w:val="left" w:leader="none"/>
          <w:tab w:pos="1160" w:val="left" w:leader="none"/>
        </w:tabs>
        <w:spacing w:line="240" w:lineRule="auto" w:before="13" w:after="0"/>
        <w:ind w:left="1159" w:right="676" w:hanging="360"/>
        <w:jc w:val="left"/>
        <w:rPr>
          <w:sz w:val="20"/>
        </w:rPr>
      </w:pPr>
      <w:r>
        <w:rPr>
          <w:sz w:val="20"/>
        </w:rPr>
        <w:t>Graphically</w:t>
      </w:r>
      <w:r>
        <w:rPr>
          <w:spacing w:val="-7"/>
          <w:sz w:val="20"/>
        </w:rPr>
        <w:t> </w:t>
      </w:r>
      <w:r>
        <w:rPr>
          <w:sz w:val="20"/>
        </w:rPr>
        <w:t>document</w:t>
      </w:r>
      <w:r>
        <w:rPr>
          <w:spacing w:val="-4"/>
          <w:sz w:val="20"/>
        </w:rPr>
        <w:t> </w:t>
      </w:r>
      <w:r>
        <w:rPr>
          <w:sz w:val="20"/>
        </w:rPr>
        <w:t>existing</w:t>
      </w:r>
      <w:r>
        <w:rPr>
          <w:spacing w:val="-4"/>
          <w:sz w:val="20"/>
        </w:rPr>
        <w:t> </w:t>
      </w:r>
      <w:r>
        <w:rPr>
          <w:sz w:val="20"/>
        </w:rPr>
        <w:t>buildings</w:t>
      </w:r>
      <w:r>
        <w:rPr>
          <w:spacing w:val="-3"/>
          <w:sz w:val="20"/>
        </w:rPr>
        <w:t> </w:t>
      </w:r>
      <w:r>
        <w:rPr>
          <w:sz w:val="20"/>
        </w:rPr>
        <w:t>and</w:t>
      </w:r>
      <w:r>
        <w:rPr>
          <w:spacing w:val="-4"/>
          <w:sz w:val="20"/>
        </w:rPr>
        <w:t> </w:t>
      </w:r>
      <w:r>
        <w:rPr>
          <w:sz w:val="20"/>
        </w:rPr>
        <w:t>sites</w:t>
      </w:r>
      <w:r>
        <w:rPr>
          <w:spacing w:val="-3"/>
          <w:sz w:val="20"/>
        </w:rPr>
        <w:t> </w:t>
      </w:r>
      <w:r>
        <w:rPr>
          <w:sz w:val="20"/>
        </w:rPr>
        <w:t>through</w:t>
      </w:r>
      <w:r>
        <w:rPr>
          <w:spacing w:val="-4"/>
          <w:sz w:val="20"/>
        </w:rPr>
        <w:t> </w:t>
      </w:r>
      <w:r>
        <w:rPr>
          <w:i/>
          <w:sz w:val="20"/>
        </w:rPr>
        <w:t>freehand</w:t>
      </w:r>
      <w:r>
        <w:rPr>
          <w:i/>
          <w:spacing w:val="-4"/>
          <w:sz w:val="20"/>
        </w:rPr>
        <w:t> </w:t>
      </w:r>
      <w:r>
        <w:rPr>
          <w:i/>
          <w:sz w:val="20"/>
        </w:rPr>
        <w:t>sketches</w:t>
      </w:r>
      <w:r>
        <w:rPr>
          <w:sz w:val="20"/>
        </w:rPr>
        <w:t>.</w:t>
      </w:r>
      <w:r>
        <w:rPr>
          <w:spacing w:val="-4"/>
          <w:sz w:val="20"/>
        </w:rPr>
        <w:t> </w:t>
      </w:r>
      <w:r>
        <w:rPr>
          <w:sz w:val="20"/>
        </w:rPr>
        <w:t>Translate</w:t>
      </w:r>
      <w:r>
        <w:rPr>
          <w:spacing w:val="-4"/>
          <w:sz w:val="20"/>
        </w:rPr>
        <w:t> </w:t>
      </w:r>
      <w:r>
        <w:rPr>
          <w:sz w:val="20"/>
        </w:rPr>
        <w:t>freehand sketches into accurate orthographic drawings with shade, shadow, and material pattern and </w:t>
      </w:r>
      <w:r>
        <w:rPr>
          <w:spacing w:val="-2"/>
          <w:sz w:val="20"/>
        </w:rPr>
        <w:t>texture.</w:t>
      </w:r>
    </w:p>
    <w:p>
      <w:pPr>
        <w:pStyle w:val="ListParagraph"/>
        <w:numPr>
          <w:ilvl w:val="0"/>
          <w:numId w:val="43"/>
        </w:numPr>
        <w:tabs>
          <w:tab w:pos="1159" w:val="left" w:leader="none"/>
          <w:tab w:pos="1160" w:val="left" w:leader="none"/>
        </w:tabs>
        <w:spacing w:line="240" w:lineRule="auto" w:before="15" w:after="0"/>
        <w:ind w:left="1159" w:right="0" w:hanging="361"/>
        <w:jc w:val="left"/>
        <w:rPr>
          <w:sz w:val="20"/>
        </w:rPr>
      </w:pPr>
      <w:r>
        <w:rPr>
          <w:sz w:val="20"/>
        </w:rPr>
        <w:t>Generate</w:t>
      </w:r>
      <w:r>
        <w:rPr>
          <w:spacing w:val="-6"/>
          <w:sz w:val="20"/>
        </w:rPr>
        <w:t> </w:t>
      </w:r>
      <w:r>
        <w:rPr>
          <w:sz w:val="20"/>
        </w:rPr>
        <w:t>projected</w:t>
      </w:r>
      <w:r>
        <w:rPr>
          <w:spacing w:val="-5"/>
          <w:sz w:val="20"/>
        </w:rPr>
        <w:t> </w:t>
      </w:r>
      <w:r>
        <w:rPr>
          <w:sz w:val="20"/>
        </w:rPr>
        <w:t>shadows</w:t>
      </w:r>
      <w:r>
        <w:rPr>
          <w:spacing w:val="-6"/>
          <w:sz w:val="20"/>
        </w:rPr>
        <w:t> </w:t>
      </w:r>
      <w:r>
        <w:rPr>
          <w:sz w:val="20"/>
        </w:rPr>
        <w:t>based</w:t>
      </w:r>
      <w:r>
        <w:rPr>
          <w:spacing w:val="-5"/>
          <w:sz w:val="20"/>
        </w:rPr>
        <w:t> </w:t>
      </w:r>
      <w:r>
        <w:rPr>
          <w:sz w:val="20"/>
        </w:rPr>
        <w:t>on</w:t>
      </w:r>
      <w:r>
        <w:rPr>
          <w:spacing w:val="-7"/>
          <w:sz w:val="20"/>
        </w:rPr>
        <w:t> </w:t>
      </w:r>
      <w:r>
        <w:rPr>
          <w:sz w:val="20"/>
        </w:rPr>
        <w:t>an</w:t>
      </w:r>
      <w:r>
        <w:rPr>
          <w:spacing w:val="-7"/>
          <w:sz w:val="20"/>
        </w:rPr>
        <w:t> </w:t>
      </w:r>
      <w:r>
        <w:rPr>
          <w:sz w:val="20"/>
        </w:rPr>
        <w:t>understanding</w:t>
      </w:r>
      <w:r>
        <w:rPr>
          <w:spacing w:val="-7"/>
          <w:sz w:val="20"/>
        </w:rPr>
        <w:t> </w:t>
      </w:r>
      <w:r>
        <w:rPr>
          <w:sz w:val="20"/>
        </w:rPr>
        <w:t>of</w:t>
      </w:r>
      <w:r>
        <w:rPr>
          <w:spacing w:val="-5"/>
          <w:sz w:val="20"/>
        </w:rPr>
        <w:t> </w:t>
      </w:r>
      <w:r>
        <w:rPr>
          <w:sz w:val="20"/>
        </w:rPr>
        <w:t>the</w:t>
      </w:r>
      <w:r>
        <w:rPr>
          <w:spacing w:val="-7"/>
          <w:sz w:val="20"/>
        </w:rPr>
        <w:t> </w:t>
      </w:r>
      <w:r>
        <w:rPr>
          <w:sz w:val="20"/>
        </w:rPr>
        <w:t>solar</w:t>
      </w:r>
      <w:r>
        <w:rPr>
          <w:spacing w:val="-6"/>
          <w:sz w:val="20"/>
        </w:rPr>
        <w:t> </w:t>
      </w:r>
      <w:r>
        <w:rPr>
          <w:spacing w:val="-2"/>
          <w:sz w:val="20"/>
        </w:rPr>
        <w:t>cycle.</w:t>
      </w:r>
    </w:p>
    <w:p>
      <w:pPr>
        <w:pStyle w:val="ListParagraph"/>
        <w:numPr>
          <w:ilvl w:val="0"/>
          <w:numId w:val="43"/>
        </w:numPr>
        <w:tabs>
          <w:tab w:pos="1159" w:val="left" w:leader="none"/>
          <w:tab w:pos="1160" w:val="left" w:leader="none"/>
        </w:tabs>
        <w:spacing w:line="240" w:lineRule="auto" w:before="13" w:after="0"/>
        <w:ind w:left="1159" w:right="0" w:hanging="361"/>
        <w:jc w:val="left"/>
        <w:rPr>
          <w:sz w:val="20"/>
        </w:rPr>
      </w:pPr>
      <w:r>
        <w:rPr>
          <w:sz w:val="20"/>
        </w:rPr>
        <w:t>Use</w:t>
      </w:r>
      <w:r>
        <w:rPr>
          <w:spacing w:val="-7"/>
          <w:sz w:val="20"/>
        </w:rPr>
        <w:t> </w:t>
      </w:r>
      <w:r>
        <w:rPr>
          <w:sz w:val="20"/>
        </w:rPr>
        <w:t>vocabulary</w:t>
      </w:r>
      <w:r>
        <w:rPr>
          <w:spacing w:val="-10"/>
          <w:sz w:val="20"/>
        </w:rPr>
        <w:t> </w:t>
      </w:r>
      <w:r>
        <w:rPr>
          <w:sz w:val="20"/>
        </w:rPr>
        <w:t>specific</w:t>
      </w:r>
      <w:r>
        <w:rPr>
          <w:spacing w:val="-6"/>
          <w:sz w:val="20"/>
        </w:rPr>
        <w:t> </w:t>
      </w:r>
      <w:r>
        <w:rPr>
          <w:sz w:val="20"/>
        </w:rPr>
        <w:t>to</w:t>
      </w:r>
      <w:r>
        <w:rPr>
          <w:spacing w:val="-5"/>
          <w:sz w:val="20"/>
        </w:rPr>
        <w:t> </w:t>
      </w:r>
      <w:r>
        <w:rPr>
          <w:sz w:val="20"/>
        </w:rPr>
        <w:t>design</w:t>
      </w:r>
      <w:r>
        <w:rPr>
          <w:spacing w:val="-7"/>
          <w:sz w:val="20"/>
        </w:rPr>
        <w:t> </w:t>
      </w:r>
      <w:r>
        <w:rPr>
          <w:sz w:val="20"/>
        </w:rPr>
        <w:t>principles</w:t>
      </w:r>
      <w:r>
        <w:rPr>
          <w:spacing w:val="-6"/>
          <w:sz w:val="20"/>
        </w:rPr>
        <w:t> </w:t>
      </w:r>
      <w:r>
        <w:rPr>
          <w:sz w:val="20"/>
        </w:rPr>
        <w:t>and</w:t>
      </w:r>
      <w:r>
        <w:rPr>
          <w:spacing w:val="-7"/>
          <w:sz w:val="20"/>
        </w:rPr>
        <w:t> </w:t>
      </w:r>
      <w:r>
        <w:rPr>
          <w:spacing w:val="-2"/>
          <w:sz w:val="20"/>
        </w:rPr>
        <w:t>elements.</w:t>
      </w:r>
    </w:p>
    <w:p>
      <w:pPr>
        <w:pStyle w:val="ListParagraph"/>
        <w:numPr>
          <w:ilvl w:val="0"/>
          <w:numId w:val="43"/>
        </w:numPr>
        <w:tabs>
          <w:tab w:pos="1159" w:val="left" w:leader="none"/>
          <w:tab w:pos="1160" w:val="left" w:leader="none"/>
        </w:tabs>
        <w:spacing w:line="240" w:lineRule="auto" w:before="48" w:after="0"/>
        <w:ind w:left="1159" w:right="0" w:hanging="361"/>
        <w:jc w:val="left"/>
        <w:rPr>
          <w:sz w:val="20"/>
        </w:rPr>
      </w:pPr>
      <w:r>
        <w:rPr>
          <w:sz w:val="20"/>
        </w:rPr>
        <w:t>Work</w:t>
      </w:r>
      <w:r>
        <w:rPr>
          <w:spacing w:val="-3"/>
          <w:sz w:val="20"/>
        </w:rPr>
        <w:t> </w:t>
      </w:r>
      <w:r>
        <w:rPr>
          <w:sz w:val="20"/>
        </w:rPr>
        <w:t>will</w:t>
      </w:r>
      <w:r>
        <w:rPr>
          <w:spacing w:val="-6"/>
          <w:sz w:val="20"/>
        </w:rPr>
        <w:t> </w:t>
      </w:r>
      <w:r>
        <w:rPr>
          <w:sz w:val="20"/>
        </w:rPr>
        <w:t>be</w:t>
      </w:r>
      <w:r>
        <w:rPr>
          <w:spacing w:val="-6"/>
          <w:sz w:val="20"/>
        </w:rPr>
        <w:t> </w:t>
      </w:r>
      <w:r>
        <w:rPr>
          <w:sz w:val="20"/>
        </w:rPr>
        <w:t>supported</w:t>
      </w:r>
      <w:r>
        <w:rPr>
          <w:spacing w:val="-4"/>
          <w:sz w:val="20"/>
        </w:rPr>
        <w:t> </w:t>
      </w:r>
      <w:r>
        <w:rPr>
          <w:sz w:val="20"/>
        </w:rPr>
        <w:t>by</w:t>
      </w:r>
      <w:r>
        <w:rPr>
          <w:spacing w:val="-10"/>
          <w:sz w:val="20"/>
        </w:rPr>
        <w:t> </w:t>
      </w:r>
      <w:r>
        <w:rPr>
          <w:sz w:val="20"/>
        </w:rPr>
        <w:t>knowledge</w:t>
      </w:r>
      <w:r>
        <w:rPr>
          <w:spacing w:val="-6"/>
          <w:sz w:val="20"/>
        </w:rPr>
        <w:t> </w:t>
      </w:r>
      <w:r>
        <w:rPr>
          <w:sz w:val="20"/>
        </w:rPr>
        <w:t>gained</w:t>
      </w:r>
      <w:r>
        <w:rPr>
          <w:spacing w:val="-4"/>
          <w:sz w:val="20"/>
        </w:rPr>
        <w:t> </w:t>
      </w:r>
      <w:r>
        <w:rPr>
          <w:sz w:val="20"/>
        </w:rPr>
        <w:t>in</w:t>
      </w:r>
      <w:r>
        <w:rPr>
          <w:spacing w:val="-5"/>
          <w:sz w:val="20"/>
        </w:rPr>
        <w:t> </w:t>
      </w:r>
      <w:r>
        <w:rPr>
          <w:sz w:val="20"/>
        </w:rPr>
        <w:t>the</w:t>
      </w:r>
      <w:r>
        <w:rPr>
          <w:spacing w:val="-4"/>
          <w:sz w:val="20"/>
        </w:rPr>
        <w:t> </w:t>
      </w:r>
      <w:r>
        <w:rPr>
          <w:sz w:val="20"/>
        </w:rPr>
        <w:t>history</w:t>
      </w:r>
      <w:r>
        <w:rPr>
          <w:spacing w:val="-9"/>
          <w:sz w:val="20"/>
        </w:rPr>
        <w:t> </w:t>
      </w:r>
      <w:r>
        <w:rPr>
          <w:sz w:val="20"/>
        </w:rPr>
        <w:t>of</w:t>
      </w:r>
      <w:r>
        <w:rPr>
          <w:spacing w:val="-5"/>
          <w:sz w:val="20"/>
        </w:rPr>
        <w:t> </w:t>
      </w:r>
      <w:r>
        <w:rPr>
          <w:sz w:val="20"/>
        </w:rPr>
        <w:t>architecture</w:t>
      </w:r>
      <w:r>
        <w:rPr>
          <w:spacing w:val="-6"/>
          <w:sz w:val="20"/>
        </w:rPr>
        <w:t> </w:t>
      </w:r>
      <w:r>
        <w:rPr>
          <w:sz w:val="20"/>
        </w:rPr>
        <w:t>course</w:t>
      </w:r>
      <w:r>
        <w:rPr>
          <w:spacing w:val="-7"/>
          <w:sz w:val="20"/>
        </w:rPr>
        <w:t> </w:t>
      </w:r>
      <w:r>
        <w:rPr>
          <w:sz w:val="20"/>
        </w:rPr>
        <w:t>(ARC</w:t>
      </w:r>
      <w:r>
        <w:rPr>
          <w:spacing w:val="-6"/>
          <w:sz w:val="20"/>
        </w:rPr>
        <w:t> </w:t>
      </w:r>
      <w:r>
        <w:rPr>
          <w:spacing w:val="-2"/>
          <w:sz w:val="20"/>
        </w:rPr>
        <w:t>207).</w:t>
      </w:r>
    </w:p>
    <w:p>
      <w:pPr>
        <w:pStyle w:val="ListParagraph"/>
        <w:numPr>
          <w:ilvl w:val="0"/>
          <w:numId w:val="43"/>
        </w:numPr>
        <w:tabs>
          <w:tab w:pos="1159" w:val="left" w:leader="none"/>
          <w:tab w:pos="1160" w:val="left" w:leader="none"/>
        </w:tabs>
        <w:spacing w:line="240" w:lineRule="auto" w:before="15" w:after="0"/>
        <w:ind w:left="1159" w:right="0" w:hanging="361"/>
        <w:jc w:val="left"/>
        <w:rPr>
          <w:color w:val="303030"/>
          <w:sz w:val="20"/>
        </w:rPr>
      </w:pPr>
      <w:r>
        <w:rPr>
          <w:color w:val="303030"/>
          <w:sz w:val="20"/>
        </w:rPr>
        <w:t>Generate</w:t>
      </w:r>
      <w:r>
        <w:rPr>
          <w:color w:val="303030"/>
          <w:spacing w:val="-6"/>
          <w:sz w:val="20"/>
        </w:rPr>
        <w:t> </w:t>
      </w:r>
      <w:r>
        <w:rPr>
          <w:color w:val="303030"/>
          <w:sz w:val="20"/>
        </w:rPr>
        <w:t>concepts</w:t>
      </w:r>
      <w:r>
        <w:rPr>
          <w:color w:val="303030"/>
          <w:spacing w:val="-7"/>
          <w:sz w:val="20"/>
        </w:rPr>
        <w:t> </w:t>
      </w:r>
      <w:r>
        <w:rPr>
          <w:color w:val="303030"/>
          <w:sz w:val="20"/>
        </w:rPr>
        <w:t>for</w:t>
      </w:r>
      <w:r>
        <w:rPr>
          <w:color w:val="303030"/>
          <w:spacing w:val="-6"/>
          <w:sz w:val="20"/>
        </w:rPr>
        <w:t> </w:t>
      </w:r>
      <w:r>
        <w:rPr>
          <w:color w:val="303030"/>
          <w:sz w:val="20"/>
        </w:rPr>
        <w:t>2D</w:t>
      </w:r>
      <w:r>
        <w:rPr>
          <w:color w:val="303030"/>
          <w:spacing w:val="-8"/>
          <w:sz w:val="20"/>
        </w:rPr>
        <w:t> </w:t>
      </w:r>
      <w:r>
        <w:rPr>
          <w:color w:val="303030"/>
          <w:sz w:val="20"/>
        </w:rPr>
        <w:t>and</w:t>
      </w:r>
      <w:r>
        <w:rPr>
          <w:color w:val="303030"/>
          <w:spacing w:val="-6"/>
          <w:sz w:val="20"/>
        </w:rPr>
        <w:t> </w:t>
      </w:r>
      <w:r>
        <w:rPr>
          <w:color w:val="303030"/>
          <w:sz w:val="20"/>
        </w:rPr>
        <w:t>3D</w:t>
      </w:r>
      <w:r>
        <w:rPr>
          <w:color w:val="303030"/>
          <w:spacing w:val="-7"/>
          <w:sz w:val="20"/>
        </w:rPr>
        <w:t> </w:t>
      </w:r>
      <w:r>
        <w:rPr>
          <w:color w:val="303030"/>
          <w:sz w:val="20"/>
        </w:rPr>
        <w:t>spatial</w:t>
      </w:r>
      <w:r>
        <w:rPr>
          <w:color w:val="303030"/>
          <w:spacing w:val="-9"/>
          <w:sz w:val="20"/>
        </w:rPr>
        <w:t> </w:t>
      </w:r>
      <w:r>
        <w:rPr>
          <w:color w:val="303030"/>
          <w:sz w:val="20"/>
        </w:rPr>
        <w:t>and</w:t>
      </w:r>
      <w:r>
        <w:rPr>
          <w:color w:val="303030"/>
          <w:spacing w:val="-5"/>
          <w:sz w:val="20"/>
        </w:rPr>
        <w:t> </w:t>
      </w:r>
      <w:r>
        <w:rPr>
          <w:color w:val="303030"/>
          <w:sz w:val="20"/>
        </w:rPr>
        <w:t>architectonic</w:t>
      </w:r>
      <w:r>
        <w:rPr>
          <w:color w:val="303030"/>
          <w:spacing w:val="-7"/>
          <w:sz w:val="20"/>
        </w:rPr>
        <w:t> </w:t>
      </w:r>
      <w:r>
        <w:rPr>
          <w:color w:val="303030"/>
          <w:spacing w:val="-2"/>
          <w:sz w:val="20"/>
        </w:rPr>
        <w:t>compositions.</w:t>
      </w:r>
    </w:p>
    <w:p>
      <w:pPr>
        <w:pStyle w:val="ListParagraph"/>
        <w:numPr>
          <w:ilvl w:val="0"/>
          <w:numId w:val="43"/>
        </w:numPr>
        <w:tabs>
          <w:tab w:pos="1159" w:val="left" w:leader="none"/>
          <w:tab w:pos="1160" w:val="left" w:leader="none"/>
        </w:tabs>
        <w:spacing w:line="242" w:lineRule="auto" w:before="10" w:after="0"/>
        <w:ind w:left="1159" w:right="701" w:hanging="360"/>
        <w:jc w:val="left"/>
        <w:rPr>
          <w:color w:val="303030"/>
          <w:sz w:val="20"/>
        </w:rPr>
      </w:pPr>
      <w:r>
        <w:rPr>
          <w:color w:val="303030"/>
          <w:sz w:val="20"/>
        </w:rPr>
        <w:t>Design</w:t>
      </w:r>
      <w:r>
        <w:rPr>
          <w:color w:val="303030"/>
          <w:spacing w:val="-3"/>
          <w:sz w:val="20"/>
        </w:rPr>
        <w:t> </w:t>
      </w:r>
      <w:r>
        <w:rPr>
          <w:color w:val="303030"/>
          <w:sz w:val="20"/>
        </w:rPr>
        <w:t>an</w:t>
      </w:r>
      <w:r>
        <w:rPr>
          <w:color w:val="303030"/>
          <w:spacing w:val="-3"/>
          <w:sz w:val="20"/>
        </w:rPr>
        <w:t> </w:t>
      </w:r>
      <w:r>
        <w:rPr>
          <w:i/>
          <w:color w:val="303030"/>
          <w:sz w:val="20"/>
        </w:rPr>
        <w:t>architectonic</w:t>
      </w:r>
      <w:r>
        <w:rPr>
          <w:i/>
          <w:color w:val="303030"/>
          <w:spacing w:val="-4"/>
          <w:sz w:val="20"/>
        </w:rPr>
        <w:t> </w:t>
      </w:r>
      <w:r>
        <w:rPr>
          <w:color w:val="303030"/>
          <w:sz w:val="20"/>
        </w:rPr>
        <w:t>(point,</w:t>
      </w:r>
      <w:r>
        <w:rPr>
          <w:color w:val="303030"/>
          <w:spacing w:val="-3"/>
          <w:sz w:val="20"/>
        </w:rPr>
        <w:t> </w:t>
      </w:r>
      <w:r>
        <w:rPr>
          <w:color w:val="303030"/>
          <w:sz w:val="20"/>
        </w:rPr>
        <w:t>line,</w:t>
      </w:r>
      <w:r>
        <w:rPr>
          <w:color w:val="303030"/>
          <w:spacing w:val="-3"/>
          <w:sz w:val="20"/>
        </w:rPr>
        <w:t> </w:t>
      </w:r>
      <w:r>
        <w:rPr>
          <w:color w:val="303030"/>
          <w:sz w:val="20"/>
        </w:rPr>
        <w:t>plane,</w:t>
      </w:r>
      <w:r>
        <w:rPr>
          <w:color w:val="303030"/>
          <w:spacing w:val="-3"/>
          <w:sz w:val="20"/>
        </w:rPr>
        <w:t> </w:t>
      </w:r>
      <w:r>
        <w:rPr>
          <w:color w:val="303030"/>
          <w:sz w:val="20"/>
        </w:rPr>
        <w:t>volume.)</w:t>
      </w:r>
      <w:r>
        <w:rPr>
          <w:color w:val="303030"/>
          <w:spacing w:val="-4"/>
          <w:sz w:val="20"/>
        </w:rPr>
        <w:t> </w:t>
      </w:r>
      <w:r>
        <w:rPr>
          <w:color w:val="303030"/>
          <w:sz w:val="20"/>
        </w:rPr>
        <w:t>composition</w:t>
      </w:r>
      <w:r>
        <w:rPr>
          <w:color w:val="303030"/>
          <w:spacing w:val="-5"/>
          <w:sz w:val="20"/>
        </w:rPr>
        <w:t> </w:t>
      </w:r>
      <w:r>
        <w:rPr>
          <w:color w:val="303030"/>
          <w:sz w:val="20"/>
        </w:rPr>
        <w:t>in</w:t>
      </w:r>
      <w:r>
        <w:rPr>
          <w:color w:val="303030"/>
          <w:spacing w:val="-5"/>
          <w:sz w:val="20"/>
        </w:rPr>
        <w:t> </w:t>
      </w:r>
      <w:r>
        <w:rPr>
          <w:color w:val="303030"/>
          <w:sz w:val="20"/>
        </w:rPr>
        <w:t>2D</w:t>
      </w:r>
      <w:r>
        <w:rPr>
          <w:color w:val="303030"/>
          <w:spacing w:val="-2"/>
          <w:sz w:val="20"/>
        </w:rPr>
        <w:t> </w:t>
      </w:r>
      <w:r>
        <w:rPr>
          <w:color w:val="303030"/>
          <w:sz w:val="20"/>
        </w:rPr>
        <w:t>and</w:t>
      </w:r>
      <w:r>
        <w:rPr>
          <w:color w:val="303030"/>
          <w:spacing w:val="-5"/>
          <w:sz w:val="20"/>
        </w:rPr>
        <w:t> </w:t>
      </w:r>
      <w:r>
        <w:rPr>
          <w:color w:val="303030"/>
          <w:sz w:val="20"/>
        </w:rPr>
        <w:t>3D</w:t>
      </w:r>
      <w:r>
        <w:rPr>
          <w:color w:val="303030"/>
          <w:spacing w:val="-5"/>
          <w:sz w:val="20"/>
        </w:rPr>
        <w:t> </w:t>
      </w:r>
      <w:r>
        <w:rPr>
          <w:color w:val="303030"/>
          <w:sz w:val="20"/>
        </w:rPr>
        <w:t>following</w:t>
      </w:r>
      <w:r>
        <w:rPr>
          <w:color w:val="303030"/>
          <w:spacing w:val="-5"/>
          <w:sz w:val="20"/>
        </w:rPr>
        <w:t> </w:t>
      </w:r>
      <w:r>
        <w:rPr>
          <w:color w:val="303030"/>
          <w:sz w:val="20"/>
        </w:rPr>
        <w:t>specified principles of design and rudimentary spatial/use/scale program following an iterative process.</w:t>
      </w:r>
    </w:p>
    <w:p>
      <w:pPr>
        <w:pStyle w:val="ListParagraph"/>
        <w:numPr>
          <w:ilvl w:val="0"/>
          <w:numId w:val="43"/>
        </w:numPr>
        <w:tabs>
          <w:tab w:pos="1159" w:val="left" w:leader="none"/>
          <w:tab w:pos="1160" w:val="left" w:leader="none"/>
        </w:tabs>
        <w:spacing w:line="242" w:lineRule="auto" w:before="9" w:after="0"/>
        <w:ind w:left="1159" w:right="692" w:hanging="360"/>
        <w:jc w:val="left"/>
        <w:rPr>
          <w:color w:val="303030"/>
          <w:sz w:val="20"/>
        </w:rPr>
      </w:pPr>
      <w:r>
        <w:rPr>
          <w:color w:val="303030"/>
          <w:sz w:val="20"/>
        </w:rPr>
        <w:t>Compose</w:t>
      </w:r>
      <w:r>
        <w:rPr>
          <w:color w:val="303030"/>
          <w:spacing w:val="-5"/>
          <w:sz w:val="20"/>
        </w:rPr>
        <w:t> </w:t>
      </w:r>
      <w:r>
        <w:rPr>
          <w:color w:val="303030"/>
          <w:sz w:val="20"/>
        </w:rPr>
        <w:t>(design)</w:t>
      </w:r>
      <w:r>
        <w:rPr>
          <w:color w:val="303030"/>
          <w:spacing w:val="-4"/>
          <w:sz w:val="20"/>
        </w:rPr>
        <w:t> </w:t>
      </w:r>
      <w:r>
        <w:rPr>
          <w:color w:val="303030"/>
          <w:sz w:val="20"/>
        </w:rPr>
        <w:t>the</w:t>
      </w:r>
      <w:r>
        <w:rPr>
          <w:color w:val="303030"/>
          <w:spacing w:val="-5"/>
          <w:sz w:val="20"/>
        </w:rPr>
        <w:t> </w:t>
      </w:r>
      <w:r>
        <w:rPr>
          <w:color w:val="303030"/>
          <w:sz w:val="20"/>
        </w:rPr>
        <w:t>presentation</w:t>
      </w:r>
      <w:r>
        <w:rPr>
          <w:color w:val="303030"/>
          <w:spacing w:val="-5"/>
          <w:sz w:val="20"/>
        </w:rPr>
        <w:t> </w:t>
      </w:r>
      <w:r>
        <w:rPr>
          <w:color w:val="303030"/>
          <w:sz w:val="20"/>
        </w:rPr>
        <w:t>for</w:t>
      </w:r>
      <w:r>
        <w:rPr>
          <w:color w:val="303030"/>
          <w:spacing w:val="-4"/>
          <w:sz w:val="20"/>
        </w:rPr>
        <w:t> </w:t>
      </w:r>
      <w:r>
        <w:rPr>
          <w:color w:val="303030"/>
          <w:sz w:val="20"/>
        </w:rPr>
        <w:t>an</w:t>
      </w:r>
      <w:r>
        <w:rPr>
          <w:color w:val="303030"/>
          <w:spacing w:val="-5"/>
          <w:sz w:val="20"/>
        </w:rPr>
        <w:t> </w:t>
      </w:r>
      <w:r>
        <w:rPr>
          <w:b/>
          <w:color w:val="303030"/>
          <w:sz w:val="20"/>
        </w:rPr>
        <w:t>architectonic</w:t>
      </w:r>
      <w:r>
        <w:rPr>
          <w:b/>
          <w:color w:val="303030"/>
          <w:spacing w:val="-4"/>
          <w:sz w:val="20"/>
        </w:rPr>
        <w:t> </w:t>
      </w:r>
      <w:r>
        <w:rPr>
          <w:color w:val="303030"/>
          <w:sz w:val="20"/>
        </w:rPr>
        <w:t>3D</w:t>
      </w:r>
      <w:r>
        <w:rPr>
          <w:color w:val="303030"/>
          <w:spacing w:val="-2"/>
          <w:sz w:val="20"/>
        </w:rPr>
        <w:t> </w:t>
      </w:r>
      <w:r>
        <w:rPr>
          <w:color w:val="303030"/>
          <w:sz w:val="20"/>
        </w:rPr>
        <w:t>object</w:t>
      </w:r>
      <w:r>
        <w:rPr>
          <w:color w:val="303030"/>
          <w:spacing w:val="-5"/>
          <w:sz w:val="20"/>
        </w:rPr>
        <w:t> </w:t>
      </w:r>
      <w:r>
        <w:rPr>
          <w:color w:val="303030"/>
          <w:sz w:val="20"/>
        </w:rPr>
        <w:t>using</w:t>
      </w:r>
      <w:r>
        <w:rPr>
          <w:color w:val="303030"/>
          <w:spacing w:val="-3"/>
          <w:sz w:val="20"/>
        </w:rPr>
        <w:t> </w:t>
      </w:r>
      <w:r>
        <w:rPr>
          <w:color w:val="303030"/>
          <w:sz w:val="20"/>
        </w:rPr>
        <w:t>plan,</w:t>
      </w:r>
      <w:r>
        <w:rPr>
          <w:color w:val="303030"/>
          <w:spacing w:val="-5"/>
          <w:sz w:val="20"/>
        </w:rPr>
        <w:t> </w:t>
      </w:r>
      <w:r>
        <w:rPr>
          <w:color w:val="303030"/>
          <w:sz w:val="20"/>
        </w:rPr>
        <w:t>section,</w:t>
      </w:r>
      <w:r>
        <w:rPr>
          <w:color w:val="303030"/>
          <w:spacing w:val="-3"/>
          <w:sz w:val="20"/>
        </w:rPr>
        <w:t> </w:t>
      </w:r>
      <w:r>
        <w:rPr>
          <w:color w:val="303030"/>
          <w:sz w:val="20"/>
        </w:rPr>
        <w:t>elevation, axonometric, and perspective; aligned according to geometrical relationships, and annotated so that text is secondary to content.</w:t>
      </w:r>
    </w:p>
    <w:p>
      <w:pPr>
        <w:pStyle w:val="ListParagraph"/>
        <w:numPr>
          <w:ilvl w:val="0"/>
          <w:numId w:val="43"/>
        </w:numPr>
        <w:tabs>
          <w:tab w:pos="1159" w:val="left" w:leader="none"/>
          <w:tab w:pos="1160" w:val="left" w:leader="none"/>
        </w:tabs>
        <w:spacing w:line="240" w:lineRule="auto" w:before="8" w:after="0"/>
        <w:ind w:left="1159" w:right="0" w:hanging="361"/>
        <w:jc w:val="left"/>
        <w:rPr>
          <w:color w:val="303030"/>
          <w:sz w:val="20"/>
        </w:rPr>
      </w:pPr>
      <w:r>
        <w:rPr>
          <w:color w:val="303030"/>
          <w:sz w:val="20"/>
        </w:rPr>
        <w:t>Use</w:t>
      </w:r>
      <w:r>
        <w:rPr>
          <w:color w:val="303030"/>
          <w:spacing w:val="-7"/>
          <w:sz w:val="20"/>
        </w:rPr>
        <w:t> </w:t>
      </w:r>
      <w:r>
        <w:rPr>
          <w:color w:val="303030"/>
          <w:sz w:val="20"/>
        </w:rPr>
        <w:t>materials</w:t>
      </w:r>
      <w:r>
        <w:rPr>
          <w:color w:val="303030"/>
          <w:spacing w:val="-6"/>
          <w:sz w:val="20"/>
        </w:rPr>
        <w:t> </w:t>
      </w:r>
      <w:r>
        <w:rPr>
          <w:color w:val="303030"/>
          <w:sz w:val="20"/>
        </w:rPr>
        <w:t>ensuring</w:t>
      </w:r>
      <w:r>
        <w:rPr>
          <w:color w:val="303030"/>
          <w:spacing w:val="-5"/>
          <w:sz w:val="20"/>
        </w:rPr>
        <w:t> </w:t>
      </w:r>
      <w:r>
        <w:rPr>
          <w:color w:val="303030"/>
          <w:sz w:val="20"/>
        </w:rPr>
        <w:t>the</w:t>
      </w:r>
      <w:r>
        <w:rPr>
          <w:color w:val="303030"/>
          <w:spacing w:val="-5"/>
          <w:sz w:val="20"/>
        </w:rPr>
        <w:t> </w:t>
      </w:r>
      <w:r>
        <w:rPr>
          <w:color w:val="303030"/>
          <w:sz w:val="20"/>
        </w:rPr>
        <w:t>economy</w:t>
      </w:r>
      <w:r>
        <w:rPr>
          <w:color w:val="303030"/>
          <w:spacing w:val="-9"/>
          <w:sz w:val="20"/>
        </w:rPr>
        <w:t> </w:t>
      </w:r>
      <w:r>
        <w:rPr>
          <w:color w:val="303030"/>
          <w:sz w:val="20"/>
        </w:rPr>
        <w:t>of</w:t>
      </w:r>
      <w:r>
        <w:rPr>
          <w:color w:val="303030"/>
          <w:spacing w:val="-7"/>
          <w:sz w:val="20"/>
        </w:rPr>
        <w:t> </w:t>
      </w:r>
      <w:r>
        <w:rPr>
          <w:color w:val="303030"/>
          <w:sz w:val="20"/>
        </w:rPr>
        <w:t>means</w:t>
      </w:r>
      <w:r>
        <w:rPr>
          <w:color w:val="303030"/>
          <w:spacing w:val="-6"/>
          <w:sz w:val="20"/>
        </w:rPr>
        <w:t> </w:t>
      </w:r>
      <w:r>
        <w:rPr>
          <w:color w:val="303030"/>
          <w:sz w:val="20"/>
        </w:rPr>
        <w:t>and</w:t>
      </w:r>
      <w:r>
        <w:rPr>
          <w:color w:val="303030"/>
          <w:spacing w:val="-7"/>
          <w:sz w:val="20"/>
        </w:rPr>
        <w:t> </w:t>
      </w:r>
      <w:r>
        <w:rPr>
          <w:color w:val="303030"/>
          <w:sz w:val="20"/>
        </w:rPr>
        <w:t>reduction</w:t>
      </w:r>
      <w:r>
        <w:rPr>
          <w:color w:val="303030"/>
          <w:spacing w:val="-5"/>
          <w:sz w:val="20"/>
        </w:rPr>
        <w:t> </w:t>
      </w:r>
      <w:r>
        <w:rPr>
          <w:color w:val="303030"/>
          <w:sz w:val="20"/>
        </w:rPr>
        <w:t>of</w:t>
      </w:r>
      <w:r>
        <w:rPr>
          <w:color w:val="303030"/>
          <w:spacing w:val="-5"/>
          <w:sz w:val="20"/>
        </w:rPr>
        <w:t> </w:t>
      </w:r>
      <w:r>
        <w:rPr>
          <w:color w:val="303030"/>
          <w:spacing w:val="-2"/>
          <w:sz w:val="20"/>
        </w:rPr>
        <w:t>waste.</w:t>
      </w:r>
    </w:p>
    <w:p>
      <w:pPr>
        <w:pStyle w:val="ListParagraph"/>
        <w:numPr>
          <w:ilvl w:val="0"/>
          <w:numId w:val="43"/>
        </w:numPr>
        <w:tabs>
          <w:tab w:pos="1159" w:val="left" w:leader="none"/>
          <w:tab w:pos="1160" w:val="left" w:leader="none"/>
        </w:tabs>
        <w:spacing w:line="240" w:lineRule="auto" w:before="15" w:after="0"/>
        <w:ind w:left="1159" w:right="0" w:hanging="361"/>
        <w:jc w:val="left"/>
        <w:rPr>
          <w:sz w:val="20"/>
        </w:rPr>
      </w:pPr>
      <w:r>
        <w:rPr>
          <w:sz w:val="20"/>
        </w:rPr>
        <w:t>Document</w:t>
      </w:r>
      <w:r>
        <w:rPr>
          <w:spacing w:val="-9"/>
          <w:sz w:val="20"/>
        </w:rPr>
        <w:t> </w:t>
      </w:r>
      <w:r>
        <w:rPr>
          <w:sz w:val="20"/>
        </w:rPr>
        <w:t>design</w:t>
      </w:r>
      <w:r>
        <w:rPr>
          <w:spacing w:val="-8"/>
          <w:sz w:val="20"/>
        </w:rPr>
        <w:t> </w:t>
      </w:r>
      <w:r>
        <w:rPr>
          <w:sz w:val="20"/>
        </w:rPr>
        <w:t>process</w:t>
      </w:r>
      <w:r>
        <w:rPr>
          <w:spacing w:val="-6"/>
          <w:sz w:val="20"/>
        </w:rPr>
        <w:t> </w:t>
      </w:r>
      <w:r>
        <w:rPr>
          <w:spacing w:val="-2"/>
          <w:sz w:val="20"/>
        </w:rPr>
        <w:t>graphically.</w:t>
      </w:r>
    </w:p>
    <w:p>
      <w:pPr>
        <w:pStyle w:val="ListParagraph"/>
        <w:numPr>
          <w:ilvl w:val="0"/>
          <w:numId w:val="43"/>
        </w:numPr>
        <w:tabs>
          <w:tab w:pos="1159" w:val="left" w:leader="none"/>
          <w:tab w:pos="1160" w:val="left" w:leader="none"/>
        </w:tabs>
        <w:spacing w:line="240" w:lineRule="auto" w:before="13" w:after="0"/>
        <w:ind w:left="1159" w:right="621" w:hanging="360"/>
        <w:jc w:val="left"/>
        <w:rPr>
          <w:sz w:val="20"/>
        </w:rPr>
      </w:pPr>
      <w:r>
        <w:rPr>
          <w:sz w:val="20"/>
        </w:rPr>
        <w:t>Represent</w:t>
      </w:r>
      <w:r>
        <w:rPr>
          <w:spacing w:val="-4"/>
          <w:sz w:val="20"/>
        </w:rPr>
        <w:t> </w:t>
      </w:r>
      <w:r>
        <w:rPr>
          <w:sz w:val="20"/>
        </w:rPr>
        <w:t>existing</w:t>
      </w:r>
      <w:r>
        <w:rPr>
          <w:spacing w:val="-2"/>
          <w:sz w:val="20"/>
        </w:rPr>
        <w:t> </w:t>
      </w:r>
      <w:r>
        <w:rPr>
          <w:sz w:val="20"/>
        </w:rPr>
        <w:t>buildings</w:t>
      </w:r>
      <w:r>
        <w:rPr>
          <w:spacing w:val="-3"/>
          <w:sz w:val="20"/>
        </w:rPr>
        <w:t> </w:t>
      </w:r>
      <w:r>
        <w:rPr>
          <w:sz w:val="20"/>
        </w:rPr>
        <w:t>and</w:t>
      </w:r>
      <w:r>
        <w:rPr>
          <w:spacing w:val="-4"/>
          <w:sz w:val="20"/>
        </w:rPr>
        <w:t> </w:t>
      </w:r>
      <w:r>
        <w:rPr>
          <w:sz w:val="20"/>
        </w:rPr>
        <w:t>sites</w:t>
      </w:r>
      <w:r>
        <w:rPr>
          <w:spacing w:val="-3"/>
          <w:sz w:val="20"/>
        </w:rPr>
        <w:t> </w:t>
      </w:r>
      <w:r>
        <w:rPr>
          <w:sz w:val="20"/>
        </w:rPr>
        <w:t>through</w:t>
      </w:r>
      <w:r>
        <w:rPr>
          <w:spacing w:val="-4"/>
          <w:sz w:val="20"/>
        </w:rPr>
        <w:t> </w:t>
      </w:r>
      <w:r>
        <w:rPr>
          <w:sz w:val="20"/>
        </w:rPr>
        <w:t>freehand</w:t>
      </w:r>
      <w:r>
        <w:rPr>
          <w:spacing w:val="-4"/>
          <w:sz w:val="20"/>
        </w:rPr>
        <w:t> </w:t>
      </w:r>
      <w:r>
        <w:rPr>
          <w:sz w:val="20"/>
        </w:rPr>
        <w:t>sketches,</w:t>
      </w:r>
      <w:r>
        <w:rPr>
          <w:spacing w:val="-4"/>
          <w:sz w:val="20"/>
        </w:rPr>
        <w:t> </w:t>
      </w:r>
      <w:r>
        <w:rPr>
          <w:sz w:val="20"/>
        </w:rPr>
        <w:t>2D</w:t>
      </w:r>
      <w:r>
        <w:rPr>
          <w:spacing w:val="-4"/>
          <w:sz w:val="20"/>
        </w:rPr>
        <w:t> </w:t>
      </w:r>
      <w:r>
        <w:rPr>
          <w:sz w:val="20"/>
        </w:rPr>
        <w:t>line</w:t>
      </w:r>
      <w:r>
        <w:rPr>
          <w:spacing w:val="-2"/>
          <w:sz w:val="20"/>
        </w:rPr>
        <w:t> </w:t>
      </w:r>
      <w:r>
        <w:rPr>
          <w:sz w:val="20"/>
        </w:rPr>
        <w:t>and</w:t>
      </w:r>
      <w:r>
        <w:rPr>
          <w:spacing w:val="-4"/>
          <w:sz w:val="20"/>
        </w:rPr>
        <w:t> </w:t>
      </w:r>
      <w:r>
        <w:rPr>
          <w:sz w:val="20"/>
        </w:rPr>
        <w:t>color</w:t>
      </w:r>
      <w:r>
        <w:rPr>
          <w:spacing w:val="-3"/>
          <w:sz w:val="20"/>
        </w:rPr>
        <w:t> </w:t>
      </w:r>
      <w:r>
        <w:rPr>
          <w:sz w:val="20"/>
        </w:rPr>
        <w:t>diagrams,</w:t>
      </w:r>
      <w:r>
        <w:rPr>
          <w:spacing w:val="-4"/>
          <w:sz w:val="20"/>
        </w:rPr>
        <w:t> </w:t>
      </w:r>
      <w:r>
        <w:rPr>
          <w:sz w:val="20"/>
        </w:rPr>
        <w:t>3D analytical models, and precise orthographic projections (plan, section, elevation).</w:t>
      </w:r>
    </w:p>
    <w:p>
      <w:pPr>
        <w:pStyle w:val="ListParagraph"/>
        <w:numPr>
          <w:ilvl w:val="0"/>
          <w:numId w:val="43"/>
        </w:numPr>
        <w:tabs>
          <w:tab w:pos="1214" w:val="left" w:leader="none"/>
          <w:tab w:pos="1215" w:val="left" w:leader="none"/>
        </w:tabs>
        <w:spacing w:line="276" w:lineRule="auto" w:before="15" w:after="0"/>
        <w:ind w:left="1159" w:right="782" w:hanging="360"/>
        <w:jc w:val="left"/>
        <w:rPr>
          <w:color w:val="303030"/>
          <w:sz w:val="20"/>
        </w:rPr>
      </w:pPr>
      <w:r>
        <w:rPr/>
        <w:tab/>
      </w:r>
      <w:r>
        <w:rPr>
          <w:color w:val="303030"/>
          <w:sz w:val="20"/>
        </w:rPr>
        <w:t>Use architectural tools and conventions to generate 2D and 3D parti diagrams, schematic drawings</w:t>
      </w:r>
      <w:r>
        <w:rPr>
          <w:color w:val="303030"/>
          <w:spacing w:val="-4"/>
          <w:sz w:val="20"/>
        </w:rPr>
        <w:t> </w:t>
      </w:r>
      <w:r>
        <w:rPr>
          <w:color w:val="303030"/>
          <w:sz w:val="20"/>
        </w:rPr>
        <w:t>(orthographic:</w:t>
      </w:r>
      <w:r>
        <w:rPr>
          <w:color w:val="303030"/>
          <w:spacing w:val="-5"/>
          <w:sz w:val="20"/>
        </w:rPr>
        <w:t> </w:t>
      </w:r>
      <w:r>
        <w:rPr>
          <w:color w:val="303030"/>
          <w:sz w:val="20"/>
        </w:rPr>
        <w:t>plan,</w:t>
      </w:r>
      <w:r>
        <w:rPr>
          <w:color w:val="303030"/>
          <w:spacing w:val="-5"/>
          <w:sz w:val="20"/>
        </w:rPr>
        <w:t> </w:t>
      </w:r>
      <w:r>
        <w:rPr>
          <w:color w:val="303030"/>
          <w:sz w:val="20"/>
        </w:rPr>
        <w:t>section,</w:t>
      </w:r>
      <w:r>
        <w:rPr>
          <w:color w:val="303030"/>
          <w:spacing w:val="-5"/>
          <w:sz w:val="20"/>
        </w:rPr>
        <w:t> </w:t>
      </w:r>
      <w:r>
        <w:rPr>
          <w:color w:val="303030"/>
          <w:sz w:val="20"/>
        </w:rPr>
        <w:t>elevation),</w:t>
      </w:r>
      <w:r>
        <w:rPr>
          <w:color w:val="303030"/>
          <w:spacing w:val="-5"/>
          <w:sz w:val="20"/>
        </w:rPr>
        <w:t> </w:t>
      </w:r>
      <w:r>
        <w:rPr>
          <w:color w:val="303030"/>
          <w:sz w:val="20"/>
        </w:rPr>
        <w:t>and</w:t>
      </w:r>
      <w:r>
        <w:rPr>
          <w:color w:val="303030"/>
          <w:spacing w:val="-5"/>
          <w:sz w:val="20"/>
        </w:rPr>
        <w:t> </w:t>
      </w:r>
      <w:r>
        <w:rPr>
          <w:color w:val="303030"/>
          <w:sz w:val="20"/>
        </w:rPr>
        <w:t>3D</w:t>
      </w:r>
      <w:r>
        <w:rPr>
          <w:color w:val="303030"/>
          <w:spacing w:val="-5"/>
          <w:sz w:val="20"/>
        </w:rPr>
        <w:t> </w:t>
      </w:r>
      <w:r>
        <w:rPr>
          <w:color w:val="303030"/>
          <w:sz w:val="20"/>
        </w:rPr>
        <w:t>physical</w:t>
      </w:r>
      <w:r>
        <w:rPr>
          <w:color w:val="303030"/>
          <w:spacing w:val="-4"/>
          <w:sz w:val="20"/>
        </w:rPr>
        <w:t> </w:t>
      </w:r>
      <w:r>
        <w:rPr>
          <w:color w:val="303030"/>
          <w:sz w:val="20"/>
        </w:rPr>
        <w:t>study</w:t>
      </w:r>
      <w:r>
        <w:rPr>
          <w:color w:val="303030"/>
          <w:spacing w:val="-7"/>
          <w:sz w:val="20"/>
        </w:rPr>
        <w:t> </w:t>
      </w:r>
      <w:r>
        <w:rPr>
          <w:color w:val="303030"/>
          <w:sz w:val="20"/>
        </w:rPr>
        <w:t>models</w:t>
      </w:r>
      <w:r>
        <w:rPr>
          <w:color w:val="303030"/>
          <w:spacing w:val="-4"/>
          <w:sz w:val="20"/>
        </w:rPr>
        <w:t> </w:t>
      </w:r>
      <w:r>
        <w:rPr>
          <w:color w:val="303030"/>
          <w:sz w:val="20"/>
        </w:rPr>
        <w:t>for</w:t>
      </w:r>
      <w:r>
        <w:rPr>
          <w:color w:val="303030"/>
          <w:spacing w:val="-4"/>
          <w:sz w:val="20"/>
        </w:rPr>
        <w:t> </w:t>
      </w:r>
      <w:r>
        <w:rPr>
          <w:color w:val="303030"/>
          <w:sz w:val="20"/>
        </w:rPr>
        <w:t>architectonic </w:t>
      </w:r>
      <w:r>
        <w:rPr>
          <w:color w:val="303030"/>
          <w:spacing w:val="-2"/>
          <w:sz w:val="20"/>
        </w:rPr>
        <w:t>compositions.</w:t>
      </w:r>
    </w:p>
    <w:p>
      <w:pPr>
        <w:pStyle w:val="ListParagraph"/>
        <w:numPr>
          <w:ilvl w:val="0"/>
          <w:numId w:val="43"/>
        </w:numPr>
        <w:tabs>
          <w:tab w:pos="1159" w:val="left" w:leader="none"/>
          <w:tab w:pos="1160" w:val="left" w:leader="none"/>
        </w:tabs>
        <w:spacing w:line="278" w:lineRule="auto" w:before="13" w:after="0"/>
        <w:ind w:left="1159" w:right="1026" w:hanging="360"/>
        <w:jc w:val="left"/>
        <w:rPr>
          <w:sz w:val="20"/>
        </w:rPr>
      </w:pPr>
      <w:r>
        <w:rPr>
          <w:sz w:val="20"/>
        </w:rPr>
        <w:t>Use</w:t>
      </w:r>
      <w:r>
        <w:rPr>
          <w:spacing w:val="-5"/>
          <w:sz w:val="20"/>
        </w:rPr>
        <w:t> </w:t>
      </w:r>
      <w:r>
        <w:rPr>
          <w:sz w:val="20"/>
        </w:rPr>
        <w:t>rendering</w:t>
      </w:r>
      <w:r>
        <w:rPr>
          <w:spacing w:val="-3"/>
          <w:sz w:val="20"/>
        </w:rPr>
        <w:t> </w:t>
      </w:r>
      <w:r>
        <w:rPr>
          <w:sz w:val="20"/>
        </w:rPr>
        <w:t>techniques:</w:t>
      </w:r>
      <w:r>
        <w:rPr>
          <w:spacing w:val="-3"/>
          <w:sz w:val="20"/>
        </w:rPr>
        <w:t> </w:t>
      </w:r>
      <w:r>
        <w:rPr>
          <w:sz w:val="20"/>
        </w:rPr>
        <w:t>line</w:t>
      </w:r>
      <w:r>
        <w:rPr>
          <w:spacing w:val="-3"/>
          <w:sz w:val="20"/>
        </w:rPr>
        <w:t> </w:t>
      </w:r>
      <w:r>
        <w:rPr>
          <w:sz w:val="20"/>
        </w:rPr>
        <w:t>weight,</w:t>
      </w:r>
      <w:r>
        <w:rPr>
          <w:spacing w:val="-3"/>
          <w:sz w:val="20"/>
        </w:rPr>
        <w:t> </w:t>
      </w:r>
      <w:r>
        <w:rPr>
          <w:sz w:val="20"/>
        </w:rPr>
        <w:t>line</w:t>
      </w:r>
      <w:r>
        <w:rPr>
          <w:spacing w:val="-3"/>
          <w:sz w:val="20"/>
        </w:rPr>
        <w:t> </w:t>
      </w:r>
      <w:r>
        <w:rPr>
          <w:sz w:val="20"/>
        </w:rPr>
        <w:t>type,</w:t>
      </w:r>
      <w:r>
        <w:rPr>
          <w:spacing w:val="-5"/>
          <w:sz w:val="20"/>
        </w:rPr>
        <w:t> </w:t>
      </w:r>
      <w:r>
        <w:rPr>
          <w:sz w:val="20"/>
        </w:rPr>
        <w:t>shade/shadow,</w:t>
      </w:r>
      <w:r>
        <w:rPr>
          <w:spacing w:val="-5"/>
          <w:sz w:val="20"/>
        </w:rPr>
        <w:t> </w:t>
      </w:r>
      <w:r>
        <w:rPr>
          <w:sz w:val="20"/>
        </w:rPr>
        <w:t>material</w:t>
      </w:r>
      <w:r>
        <w:rPr>
          <w:spacing w:val="-6"/>
          <w:sz w:val="20"/>
        </w:rPr>
        <w:t> </w:t>
      </w:r>
      <w:r>
        <w:rPr>
          <w:sz w:val="20"/>
        </w:rPr>
        <w:t>texture,</w:t>
      </w:r>
      <w:r>
        <w:rPr>
          <w:spacing w:val="-3"/>
          <w:sz w:val="20"/>
        </w:rPr>
        <w:t> </w:t>
      </w:r>
      <w:r>
        <w:rPr>
          <w:sz w:val="20"/>
        </w:rPr>
        <w:t>and</w:t>
      </w:r>
      <w:r>
        <w:rPr>
          <w:spacing w:val="-5"/>
          <w:sz w:val="20"/>
        </w:rPr>
        <w:t> </w:t>
      </w:r>
      <w:r>
        <w:rPr>
          <w:sz w:val="20"/>
        </w:rPr>
        <w:t>color</w:t>
      </w:r>
      <w:r>
        <w:rPr>
          <w:spacing w:val="-4"/>
          <w:sz w:val="20"/>
        </w:rPr>
        <w:t> </w:t>
      </w:r>
      <w:r>
        <w:rPr>
          <w:sz w:val="20"/>
        </w:rPr>
        <w:t>to generate representations of a design or existing object.</w:t>
      </w:r>
    </w:p>
    <w:p>
      <w:pPr>
        <w:pStyle w:val="ListParagraph"/>
        <w:numPr>
          <w:ilvl w:val="0"/>
          <w:numId w:val="43"/>
        </w:numPr>
        <w:tabs>
          <w:tab w:pos="1159" w:val="left" w:leader="none"/>
          <w:tab w:pos="1160" w:val="left" w:leader="none"/>
        </w:tabs>
        <w:spacing w:line="240" w:lineRule="auto" w:before="9" w:after="0"/>
        <w:ind w:left="1159" w:right="0" w:hanging="361"/>
        <w:jc w:val="left"/>
        <w:rPr>
          <w:color w:val="303030"/>
          <w:sz w:val="20"/>
        </w:rPr>
      </w:pPr>
      <w:r>
        <w:rPr>
          <w:color w:val="303030"/>
          <w:sz w:val="20"/>
        </w:rPr>
        <w:t>Use</w:t>
      </w:r>
      <w:r>
        <w:rPr>
          <w:color w:val="303030"/>
          <w:spacing w:val="-9"/>
          <w:sz w:val="20"/>
        </w:rPr>
        <w:t> </w:t>
      </w:r>
      <w:r>
        <w:rPr>
          <w:color w:val="303030"/>
          <w:sz w:val="20"/>
        </w:rPr>
        <w:t>Wood</w:t>
      </w:r>
      <w:r>
        <w:rPr>
          <w:color w:val="303030"/>
          <w:spacing w:val="-3"/>
          <w:sz w:val="20"/>
        </w:rPr>
        <w:t> </w:t>
      </w:r>
      <w:r>
        <w:rPr>
          <w:color w:val="303030"/>
          <w:sz w:val="20"/>
        </w:rPr>
        <w:t>Shop</w:t>
      </w:r>
      <w:r>
        <w:rPr>
          <w:color w:val="303030"/>
          <w:spacing w:val="-4"/>
          <w:sz w:val="20"/>
        </w:rPr>
        <w:t> </w:t>
      </w:r>
      <w:r>
        <w:rPr>
          <w:color w:val="303030"/>
          <w:sz w:val="20"/>
        </w:rPr>
        <w:t>to</w:t>
      </w:r>
      <w:r>
        <w:rPr>
          <w:color w:val="303030"/>
          <w:spacing w:val="-4"/>
          <w:sz w:val="20"/>
        </w:rPr>
        <w:t> </w:t>
      </w:r>
      <w:r>
        <w:rPr>
          <w:color w:val="303030"/>
          <w:sz w:val="20"/>
        </w:rPr>
        <w:t>make</w:t>
      </w:r>
      <w:r>
        <w:rPr>
          <w:color w:val="303030"/>
          <w:spacing w:val="-3"/>
          <w:sz w:val="20"/>
        </w:rPr>
        <w:t> </w:t>
      </w:r>
      <w:r>
        <w:rPr>
          <w:color w:val="303030"/>
          <w:sz w:val="20"/>
        </w:rPr>
        <w:t>parts</w:t>
      </w:r>
      <w:r>
        <w:rPr>
          <w:color w:val="303030"/>
          <w:spacing w:val="-3"/>
          <w:sz w:val="20"/>
        </w:rPr>
        <w:t> </w:t>
      </w:r>
      <w:r>
        <w:rPr>
          <w:color w:val="303030"/>
          <w:sz w:val="20"/>
        </w:rPr>
        <w:t>or</w:t>
      </w:r>
      <w:r>
        <w:rPr>
          <w:color w:val="303030"/>
          <w:spacing w:val="-3"/>
          <w:sz w:val="20"/>
        </w:rPr>
        <w:t> </w:t>
      </w:r>
      <w:r>
        <w:rPr>
          <w:color w:val="303030"/>
          <w:sz w:val="20"/>
        </w:rPr>
        <w:t>full</w:t>
      </w:r>
      <w:r>
        <w:rPr>
          <w:color w:val="303030"/>
          <w:spacing w:val="-4"/>
          <w:sz w:val="20"/>
        </w:rPr>
        <w:t> </w:t>
      </w:r>
      <w:r>
        <w:rPr>
          <w:color w:val="303030"/>
          <w:spacing w:val="-2"/>
          <w:sz w:val="20"/>
        </w:rPr>
        <w:t>models.</w:t>
      </w:r>
    </w:p>
    <w:p>
      <w:pPr>
        <w:pStyle w:val="ListParagraph"/>
        <w:numPr>
          <w:ilvl w:val="0"/>
          <w:numId w:val="43"/>
        </w:numPr>
        <w:tabs>
          <w:tab w:pos="1159" w:val="left" w:leader="none"/>
          <w:tab w:pos="1160" w:val="left" w:leader="none"/>
        </w:tabs>
        <w:spacing w:line="240" w:lineRule="auto" w:before="12" w:after="0"/>
        <w:ind w:left="1159" w:right="0" w:hanging="361"/>
        <w:jc w:val="left"/>
        <w:rPr>
          <w:sz w:val="20"/>
        </w:rPr>
      </w:pPr>
      <w:r>
        <w:rPr>
          <w:sz w:val="20"/>
        </w:rPr>
        <w:t>Use</w:t>
      </w:r>
      <w:r>
        <w:rPr>
          <w:spacing w:val="-5"/>
          <w:sz w:val="20"/>
        </w:rPr>
        <w:t> </w:t>
      </w:r>
      <w:r>
        <w:rPr>
          <w:sz w:val="20"/>
        </w:rPr>
        <w:t>tools</w:t>
      </w:r>
      <w:r>
        <w:rPr>
          <w:spacing w:val="-4"/>
          <w:sz w:val="20"/>
        </w:rPr>
        <w:t> </w:t>
      </w:r>
      <w:r>
        <w:rPr>
          <w:sz w:val="20"/>
        </w:rPr>
        <w:t>to</w:t>
      </w:r>
      <w:r>
        <w:rPr>
          <w:spacing w:val="-5"/>
          <w:sz w:val="20"/>
        </w:rPr>
        <w:t> </w:t>
      </w:r>
      <w:r>
        <w:rPr>
          <w:sz w:val="20"/>
        </w:rPr>
        <w:t>make</w:t>
      </w:r>
      <w:r>
        <w:rPr>
          <w:spacing w:val="-5"/>
          <w:sz w:val="20"/>
        </w:rPr>
        <w:t> </w:t>
      </w:r>
      <w:r>
        <w:rPr>
          <w:sz w:val="20"/>
        </w:rPr>
        <w:t>parts</w:t>
      </w:r>
      <w:r>
        <w:rPr>
          <w:spacing w:val="-4"/>
          <w:sz w:val="20"/>
        </w:rPr>
        <w:t> </w:t>
      </w:r>
      <w:r>
        <w:rPr>
          <w:sz w:val="20"/>
        </w:rPr>
        <w:t>or</w:t>
      </w:r>
      <w:r>
        <w:rPr>
          <w:spacing w:val="-3"/>
          <w:sz w:val="20"/>
        </w:rPr>
        <w:t> </w:t>
      </w:r>
      <w:r>
        <w:rPr>
          <w:sz w:val="20"/>
        </w:rPr>
        <w:t>full</w:t>
      </w:r>
      <w:r>
        <w:rPr>
          <w:spacing w:val="-4"/>
          <w:sz w:val="20"/>
        </w:rPr>
        <w:t> </w:t>
      </w:r>
      <w:r>
        <w:rPr>
          <w:sz w:val="20"/>
        </w:rPr>
        <w:t>models</w:t>
      </w:r>
      <w:r>
        <w:rPr>
          <w:spacing w:val="-4"/>
          <w:sz w:val="20"/>
        </w:rPr>
        <w:t> </w:t>
      </w:r>
      <w:r>
        <w:rPr>
          <w:sz w:val="20"/>
        </w:rPr>
        <w:t>for</w:t>
      </w:r>
      <w:r>
        <w:rPr>
          <w:spacing w:val="-4"/>
          <w:sz w:val="20"/>
        </w:rPr>
        <w:t> </w:t>
      </w:r>
      <w:r>
        <w:rPr>
          <w:sz w:val="20"/>
        </w:rPr>
        <w:t>study</w:t>
      </w:r>
      <w:r>
        <w:rPr>
          <w:spacing w:val="-8"/>
          <w:sz w:val="20"/>
        </w:rPr>
        <w:t> </w:t>
      </w:r>
      <w:r>
        <w:rPr>
          <w:sz w:val="20"/>
        </w:rPr>
        <w:t>and</w:t>
      </w:r>
      <w:r>
        <w:rPr>
          <w:spacing w:val="-3"/>
          <w:sz w:val="20"/>
        </w:rPr>
        <w:t> </w:t>
      </w:r>
      <w:r>
        <w:rPr>
          <w:spacing w:val="-2"/>
          <w:sz w:val="20"/>
        </w:rPr>
        <w:t>exhibition.</w:t>
      </w:r>
    </w:p>
    <w:p>
      <w:pPr>
        <w:pStyle w:val="ListParagraph"/>
        <w:numPr>
          <w:ilvl w:val="0"/>
          <w:numId w:val="43"/>
        </w:numPr>
        <w:tabs>
          <w:tab w:pos="1159" w:val="left" w:leader="none"/>
          <w:tab w:pos="1160" w:val="left" w:leader="none"/>
        </w:tabs>
        <w:spacing w:line="240" w:lineRule="auto" w:before="15" w:after="0"/>
        <w:ind w:left="1159" w:right="0" w:hanging="361"/>
        <w:jc w:val="left"/>
        <w:rPr>
          <w:sz w:val="20"/>
        </w:rPr>
      </w:pPr>
      <w:r>
        <w:rPr>
          <w:color w:val="303030"/>
          <w:sz w:val="20"/>
        </w:rPr>
        <w:t>Verbally</w:t>
      </w:r>
      <w:r>
        <w:rPr>
          <w:color w:val="303030"/>
          <w:spacing w:val="-8"/>
          <w:sz w:val="20"/>
        </w:rPr>
        <w:t> </w:t>
      </w:r>
      <w:r>
        <w:rPr>
          <w:color w:val="303030"/>
          <w:sz w:val="20"/>
        </w:rPr>
        <w:t>present</w:t>
      </w:r>
      <w:r>
        <w:rPr>
          <w:color w:val="303030"/>
          <w:spacing w:val="-7"/>
          <w:sz w:val="20"/>
        </w:rPr>
        <w:t> </w:t>
      </w:r>
      <w:r>
        <w:rPr>
          <w:color w:val="303030"/>
          <w:sz w:val="20"/>
        </w:rPr>
        <w:t>studio</w:t>
      </w:r>
      <w:r>
        <w:rPr>
          <w:color w:val="303030"/>
          <w:spacing w:val="-7"/>
          <w:sz w:val="20"/>
        </w:rPr>
        <w:t> </w:t>
      </w:r>
      <w:r>
        <w:rPr>
          <w:color w:val="303030"/>
          <w:sz w:val="20"/>
        </w:rPr>
        <w:t>projects</w:t>
      </w:r>
      <w:r>
        <w:rPr>
          <w:color w:val="303030"/>
          <w:spacing w:val="-6"/>
          <w:sz w:val="20"/>
        </w:rPr>
        <w:t> </w:t>
      </w:r>
      <w:r>
        <w:rPr>
          <w:color w:val="303030"/>
          <w:sz w:val="20"/>
        </w:rPr>
        <w:t>clearly</w:t>
      </w:r>
      <w:r>
        <w:rPr>
          <w:color w:val="303030"/>
          <w:spacing w:val="-10"/>
          <w:sz w:val="20"/>
        </w:rPr>
        <w:t> </w:t>
      </w:r>
      <w:r>
        <w:rPr>
          <w:color w:val="303030"/>
          <w:sz w:val="20"/>
        </w:rPr>
        <w:t>and</w:t>
      </w:r>
      <w:r>
        <w:rPr>
          <w:color w:val="303030"/>
          <w:spacing w:val="-7"/>
          <w:sz w:val="20"/>
        </w:rPr>
        <w:t> </w:t>
      </w:r>
      <w:r>
        <w:rPr>
          <w:color w:val="303030"/>
          <w:spacing w:val="-2"/>
          <w:sz w:val="20"/>
        </w:rPr>
        <w:t>concisely.</w:t>
      </w:r>
    </w:p>
    <w:p>
      <w:pPr>
        <w:pStyle w:val="ListParagraph"/>
        <w:numPr>
          <w:ilvl w:val="0"/>
          <w:numId w:val="43"/>
        </w:numPr>
        <w:tabs>
          <w:tab w:pos="1158" w:val="left" w:leader="none"/>
          <w:tab w:pos="1159" w:val="left" w:leader="none"/>
        </w:tabs>
        <w:spacing w:line="240" w:lineRule="auto" w:before="13" w:after="0"/>
        <w:ind w:left="1158" w:right="0" w:hanging="361"/>
        <w:jc w:val="left"/>
        <w:rPr>
          <w:color w:val="303030"/>
          <w:sz w:val="20"/>
        </w:rPr>
      </w:pPr>
      <w:r>
        <w:rPr>
          <w:color w:val="303030"/>
          <w:sz w:val="20"/>
        </w:rPr>
        <w:t>Manage</w:t>
      </w:r>
      <w:r>
        <w:rPr>
          <w:color w:val="303030"/>
          <w:spacing w:val="-7"/>
          <w:sz w:val="20"/>
        </w:rPr>
        <w:t> </w:t>
      </w:r>
      <w:r>
        <w:rPr>
          <w:color w:val="303030"/>
          <w:sz w:val="20"/>
        </w:rPr>
        <w:t>time</w:t>
      </w:r>
      <w:r>
        <w:rPr>
          <w:color w:val="303030"/>
          <w:spacing w:val="-6"/>
          <w:sz w:val="20"/>
        </w:rPr>
        <w:t> </w:t>
      </w:r>
      <w:r>
        <w:rPr>
          <w:color w:val="303030"/>
          <w:sz w:val="20"/>
        </w:rPr>
        <w:t>and</w:t>
      </w:r>
      <w:r>
        <w:rPr>
          <w:color w:val="303030"/>
          <w:spacing w:val="-7"/>
          <w:sz w:val="20"/>
        </w:rPr>
        <w:t> </w:t>
      </w:r>
      <w:r>
        <w:rPr>
          <w:color w:val="303030"/>
          <w:sz w:val="20"/>
        </w:rPr>
        <w:t>maintain</w:t>
      </w:r>
      <w:r>
        <w:rPr>
          <w:color w:val="303030"/>
          <w:spacing w:val="-5"/>
          <w:sz w:val="20"/>
        </w:rPr>
        <w:t> </w:t>
      </w:r>
      <w:r>
        <w:rPr>
          <w:color w:val="303030"/>
          <w:sz w:val="20"/>
        </w:rPr>
        <w:t>focus</w:t>
      </w:r>
      <w:r>
        <w:rPr>
          <w:color w:val="303030"/>
          <w:spacing w:val="-5"/>
          <w:sz w:val="20"/>
        </w:rPr>
        <w:t> </w:t>
      </w:r>
      <w:r>
        <w:rPr>
          <w:color w:val="303030"/>
          <w:sz w:val="20"/>
        </w:rPr>
        <w:t>to</w:t>
      </w:r>
      <w:r>
        <w:rPr>
          <w:color w:val="303030"/>
          <w:spacing w:val="-7"/>
          <w:sz w:val="20"/>
        </w:rPr>
        <w:t> </w:t>
      </w:r>
      <w:r>
        <w:rPr>
          <w:color w:val="303030"/>
          <w:sz w:val="20"/>
        </w:rPr>
        <w:t>complete</w:t>
      </w:r>
      <w:r>
        <w:rPr>
          <w:color w:val="303030"/>
          <w:spacing w:val="-4"/>
          <w:sz w:val="20"/>
        </w:rPr>
        <w:t> </w:t>
      </w:r>
      <w:r>
        <w:rPr>
          <w:color w:val="303030"/>
          <w:sz w:val="20"/>
        </w:rPr>
        <w:t>projects</w:t>
      </w:r>
      <w:r>
        <w:rPr>
          <w:color w:val="303030"/>
          <w:spacing w:val="-6"/>
          <w:sz w:val="20"/>
        </w:rPr>
        <w:t> </w:t>
      </w:r>
      <w:r>
        <w:rPr>
          <w:color w:val="303030"/>
          <w:sz w:val="20"/>
        </w:rPr>
        <w:t>by</w:t>
      </w:r>
      <w:r>
        <w:rPr>
          <w:color w:val="303030"/>
          <w:spacing w:val="-7"/>
          <w:sz w:val="20"/>
        </w:rPr>
        <w:t> </w:t>
      </w:r>
      <w:r>
        <w:rPr>
          <w:color w:val="303030"/>
          <w:spacing w:val="-2"/>
          <w:sz w:val="20"/>
        </w:rPr>
        <w:t>deadline.</w:t>
      </w:r>
    </w:p>
    <w:p>
      <w:pPr>
        <w:pStyle w:val="ListParagraph"/>
        <w:numPr>
          <w:ilvl w:val="0"/>
          <w:numId w:val="43"/>
        </w:numPr>
        <w:tabs>
          <w:tab w:pos="1158" w:val="left" w:leader="none"/>
          <w:tab w:pos="1159" w:val="left" w:leader="none"/>
        </w:tabs>
        <w:spacing w:line="240" w:lineRule="auto" w:before="48" w:after="0"/>
        <w:ind w:left="1158" w:right="0" w:hanging="361"/>
        <w:jc w:val="left"/>
        <w:rPr>
          <w:color w:val="303030"/>
          <w:sz w:val="20"/>
        </w:rPr>
      </w:pPr>
      <w:r>
        <w:rPr>
          <w:color w:val="303030"/>
          <w:sz w:val="20"/>
        </w:rPr>
        <w:t>Effective</w:t>
      </w:r>
      <w:r>
        <w:rPr>
          <w:color w:val="303030"/>
          <w:spacing w:val="-9"/>
          <w:sz w:val="20"/>
        </w:rPr>
        <w:t> </w:t>
      </w:r>
      <w:r>
        <w:rPr>
          <w:color w:val="303030"/>
          <w:sz w:val="20"/>
        </w:rPr>
        <w:t>(productive,</w:t>
      </w:r>
      <w:r>
        <w:rPr>
          <w:color w:val="303030"/>
          <w:spacing w:val="-7"/>
          <w:sz w:val="20"/>
        </w:rPr>
        <w:t> </w:t>
      </w:r>
      <w:r>
        <w:rPr>
          <w:color w:val="303030"/>
          <w:sz w:val="20"/>
        </w:rPr>
        <w:t>efficient,</w:t>
      </w:r>
      <w:r>
        <w:rPr>
          <w:color w:val="303030"/>
          <w:spacing w:val="-8"/>
          <w:sz w:val="20"/>
        </w:rPr>
        <w:t> </w:t>
      </w:r>
      <w:r>
        <w:rPr>
          <w:color w:val="303030"/>
          <w:sz w:val="20"/>
        </w:rPr>
        <w:t>focused)</w:t>
      </w:r>
      <w:r>
        <w:rPr>
          <w:color w:val="303030"/>
          <w:spacing w:val="-8"/>
          <w:sz w:val="20"/>
        </w:rPr>
        <w:t> </w:t>
      </w:r>
      <w:r>
        <w:rPr>
          <w:color w:val="303030"/>
          <w:sz w:val="20"/>
        </w:rPr>
        <w:t>use</w:t>
      </w:r>
      <w:r>
        <w:rPr>
          <w:color w:val="303030"/>
          <w:spacing w:val="-9"/>
          <w:sz w:val="20"/>
        </w:rPr>
        <w:t> </w:t>
      </w:r>
      <w:r>
        <w:rPr>
          <w:color w:val="303030"/>
          <w:sz w:val="20"/>
        </w:rPr>
        <w:t>of</w:t>
      </w:r>
      <w:r>
        <w:rPr>
          <w:color w:val="303030"/>
          <w:spacing w:val="-6"/>
          <w:sz w:val="20"/>
        </w:rPr>
        <w:t> </w:t>
      </w:r>
      <w:r>
        <w:rPr>
          <w:color w:val="303030"/>
          <w:sz w:val="20"/>
        </w:rPr>
        <w:t>studio</w:t>
      </w:r>
      <w:r>
        <w:rPr>
          <w:color w:val="303030"/>
          <w:spacing w:val="-9"/>
          <w:sz w:val="20"/>
        </w:rPr>
        <w:t> </w:t>
      </w:r>
      <w:r>
        <w:rPr>
          <w:color w:val="303030"/>
          <w:spacing w:val="-4"/>
          <w:sz w:val="20"/>
        </w:rPr>
        <w:t>time.</w:t>
      </w:r>
    </w:p>
    <w:p>
      <w:pPr>
        <w:spacing w:before="152"/>
        <w:ind w:left="439" w:right="0" w:firstLine="0"/>
        <w:jc w:val="left"/>
        <w:rPr>
          <w:b/>
          <w:sz w:val="20"/>
        </w:rPr>
      </w:pPr>
      <w:r>
        <w:rPr>
          <w:b/>
          <w:sz w:val="20"/>
        </w:rPr>
        <w:t>Student</w:t>
      </w:r>
      <w:r>
        <w:rPr>
          <w:b/>
          <w:spacing w:val="-9"/>
          <w:sz w:val="20"/>
        </w:rPr>
        <w:t> </w:t>
      </w:r>
      <w:r>
        <w:rPr>
          <w:b/>
          <w:sz w:val="20"/>
        </w:rPr>
        <w:t>Performance</w:t>
      </w:r>
      <w:r>
        <w:rPr>
          <w:b/>
          <w:spacing w:val="-9"/>
          <w:sz w:val="20"/>
        </w:rPr>
        <w:t> </w:t>
      </w:r>
      <w:r>
        <w:rPr>
          <w:b/>
          <w:sz w:val="20"/>
        </w:rPr>
        <w:t>Criteria</w:t>
      </w:r>
      <w:r>
        <w:rPr>
          <w:b/>
          <w:spacing w:val="-5"/>
          <w:sz w:val="20"/>
        </w:rPr>
        <w:t> </w:t>
      </w:r>
      <w:r>
        <w:rPr>
          <w:b/>
          <w:sz w:val="20"/>
        </w:rPr>
        <w:t>Addressed</w:t>
      </w:r>
      <w:r>
        <w:rPr>
          <w:b/>
          <w:spacing w:val="-8"/>
          <w:sz w:val="20"/>
        </w:rPr>
        <w:t> </w:t>
      </w:r>
      <w:r>
        <w:rPr>
          <w:b/>
          <w:sz w:val="20"/>
        </w:rPr>
        <w:t>(name</w:t>
      </w:r>
      <w:r>
        <w:rPr>
          <w:b/>
          <w:spacing w:val="-9"/>
          <w:sz w:val="20"/>
        </w:rPr>
        <w:t> </w:t>
      </w:r>
      <w:r>
        <w:rPr>
          <w:b/>
          <w:sz w:val="20"/>
        </w:rPr>
        <w:t>and</w:t>
      </w:r>
      <w:r>
        <w:rPr>
          <w:b/>
          <w:spacing w:val="-8"/>
          <w:sz w:val="20"/>
        </w:rPr>
        <w:t> </w:t>
      </w:r>
      <w:r>
        <w:rPr>
          <w:b/>
          <w:spacing w:val="-2"/>
          <w:sz w:val="20"/>
        </w:rPr>
        <w:t>number)</w:t>
      </w:r>
    </w:p>
    <w:p>
      <w:pPr>
        <w:pStyle w:val="BodyText"/>
        <w:spacing w:before="123"/>
        <w:ind w:left="798"/>
      </w:pPr>
      <w:r>
        <w:rPr/>
        <w:t>This</w:t>
      </w:r>
      <w:r>
        <w:rPr>
          <w:spacing w:val="-6"/>
        </w:rPr>
        <w:t> </w:t>
      </w:r>
      <w:r>
        <w:rPr/>
        <w:t>course</w:t>
      </w:r>
      <w:r>
        <w:rPr>
          <w:spacing w:val="-7"/>
        </w:rPr>
        <w:t> </w:t>
      </w:r>
      <w:r>
        <w:rPr/>
        <w:t>introduces</w:t>
      </w:r>
      <w:r>
        <w:rPr>
          <w:spacing w:val="-6"/>
        </w:rPr>
        <w:t> </w:t>
      </w:r>
      <w:r>
        <w:rPr/>
        <w:t>students</w:t>
      </w:r>
      <w:r>
        <w:rPr>
          <w:spacing w:val="-6"/>
        </w:rPr>
        <w:t> </w:t>
      </w:r>
      <w:r>
        <w:rPr/>
        <w:t>to</w:t>
      </w:r>
      <w:r>
        <w:rPr>
          <w:spacing w:val="-5"/>
        </w:rPr>
        <w:t> </w:t>
      </w:r>
      <w:r>
        <w:rPr/>
        <w:t>A-1,</w:t>
      </w:r>
      <w:r>
        <w:rPr>
          <w:spacing w:val="-5"/>
        </w:rPr>
        <w:t> </w:t>
      </w:r>
      <w:r>
        <w:rPr/>
        <w:t>A-2,</w:t>
      </w:r>
      <w:r>
        <w:rPr>
          <w:spacing w:val="-5"/>
        </w:rPr>
        <w:t> </w:t>
      </w:r>
      <w:r>
        <w:rPr/>
        <w:t>A-3,</w:t>
      </w:r>
      <w:r>
        <w:rPr>
          <w:spacing w:val="-5"/>
        </w:rPr>
        <w:t> </w:t>
      </w:r>
      <w:r>
        <w:rPr/>
        <w:t>A-6,</w:t>
      </w:r>
      <w:r>
        <w:rPr>
          <w:spacing w:val="-5"/>
        </w:rPr>
        <w:t> </w:t>
      </w:r>
      <w:r>
        <w:rPr/>
        <w:t>A-7,</w:t>
      </w:r>
      <w:r>
        <w:rPr>
          <w:spacing w:val="-5"/>
        </w:rPr>
        <w:t> </w:t>
      </w:r>
      <w:r>
        <w:rPr/>
        <w:t>A-8</w:t>
      </w:r>
      <w:r>
        <w:rPr>
          <w:spacing w:val="-7"/>
        </w:rPr>
        <w:t> </w:t>
      </w:r>
      <w:r>
        <w:rPr/>
        <w:t>and</w:t>
      </w:r>
      <w:r>
        <w:rPr>
          <w:spacing w:val="-7"/>
        </w:rPr>
        <w:t> </w:t>
      </w:r>
      <w:r>
        <w:rPr/>
        <w:t>C-</w:t>
      </w:r>
      <w:r>
        <w:rPr>
          <w:spacing w:val="-10"/>
        </w:rPr>
        <w:t>2</w:t>
      </w:r>
    </w:p>
    <w:p>
      <w:pPr>
        <w:spacing w:before="115"/>
        <w:ind w:left="438" w:right="0" w:firstLine="0"/>
        <w:jc w:val="left"/>
        <w:rPr>
          <w:b/>
          <w:sz w:val="20"/>
        </w:rPr>
      </w:pPr>
      <w:r>
        <w:rPr>
          <w:b/>
          <w:sz w:val="20"/>
        </w:rPr>
        <w:t>Topical</w:t>
      </w:r>
      <w:r>
        <w:rPr>
          <w:b/>
          <w:spacing w:val="-7"/>
          <w:sz w:val="20"/>
        </w:rPr>
        <w:t> </w:t>
      </w:r>
      <w:r>
        <w:rPr>
          <w:b/>
          <w:sz w:val="20"/>
        </w:rPr>
        <w:t>Outline</w:t>
      </w:r>
      <w:r>
        <w:rPr>
          <w:b/>
          <w:spacing w:val="-7"/>
          <w:sz w:val="20"/>
        </w:rPr>
        <w:t> </w:t>
      </w:r>
      <w:r>
        <w:rPr>
          <w:b/>
          <w:sz w:val="20"/>
        </w:rPr>
        <w:t>and</w:t>
      </w:r>
      <w:r>
        <w:rPr>
          <w:b/>
          <w:spacing w:val="-6"/>
          <w:sz w:val="20"/>
        </w:rPr>
        <w:t> </w:t>
      </w:r>
      <w:r>
        <w:rPr>
          <w:b/>
          <w:sz w:val="20"/>
        </w:rPr>
        <w:t>percentage</w:t>
      </w:r>
      <w:r>
        <w:rPr>
          <w:b/>
          <w:spacing w:val="-6"/>
          <w:sz w:val="20"/>
        </w:rPr>
        <w:t> </w:t>
      </w:r>
      <w:r>
        <w:rPr>
          <w:b/>
          <w:sz w:val="20"/>
        </w:rPr>
        <w:t>of</w:t>
      </w:r>
      <w:r>
        <w:rPr>
          <w:b/>
          <w:spacing w:val="-6"/>
          <w:sz w:val="20"/>
        </w:rPr>
        <w:t> </w:t>
      </w:r>
      <w:r>
        <w:rPr>
          <w:b/>
          <w:sz w:val="20"/>
        </w:rPr>
        <w:t>time</w:t>
      </w:r>
      <w:r>
        <w:rPr>
          <w:b/>
          <w:spacing w:val="-7"/>
          <w:sz w:val="20"/>
        </w:rPr>
        <w:t> </w:t>
      </w:r>
      <w:r>
        <w:rPr>
          <w:b/>
          <w:sz w:val="20"/>
        </w:rPr>
        <w:t>spent</w:t>
      </w:r>
      <w:r>
        <w:rPr>
          <w:b/>
          <w:spacing w:val="-6"/>
          <w:sz w:val="20"/>
        </w:rPr>
        <w:t> </w:t>
      </w:r>
      <w:r>
        <w:rPr>
          <w:b/>
          <w:sz w:val="20"/>
        </w:rPr>
        <w:t>on</w:t>
      </w:r>
      <w:r>
        <w:rPr>
          <w:b/>
          <w:spacing w:val="-5"/>
          <w:sz w:val="20"/>
        </w:rPr>
        <w:t> </w:t>
      </w:r>
      <w:r>
        <w:rPr>
          <w:b/>
          <w:spacing w:val="-4"/>
          <w:sz w:val="20"/>
        </w:rPr>
        <w:t>each</w:t>
      </w:r>
    </w:p>
    <w:p>
      <w:pPr>
        <w:pStyle w:val="BodyText"/>
        <w:spacing w:before="125"/>
        <w:ind w:left="1213"/>
      </w:pPr>
      <w:r>
        <w:rPr/>
        <w:t>Knowledge/Skills</w:t>
      </w:r>
      <w:r>
        <w:rPr>
          <w:spacing w:val="-10"/>
        </w:rPr>
        <w:t> </w:t>
      </w:r>
      <w:r>
        <w:rPr/>
        <w:t>30%,</w:t>
      </w:r>
      <w:r>
        <w:rPr>
          <w:spacing w:val="-10"/>
        </w:rPr>
        <w:t> </w:t>
      </w:r>
      <w:r>
        <w:rPr/>
        <w:t>Design/Process</w:t>
      </w:r>
      <w:r>
        <w:rPr>
          <w:spacing w:val="-12"/>
        </w:rPr>
        <w:t> </w:t>
      </w:r>
      <w:r>
        <w:rPr/>
        <w:t>30%,</w:t>
      </w:r>
      <w:r>
        <w:rPr>
          <w:spacing w:val="-10"/>
        </w:rPr>
        <w:t> </w:t>
      </w:r>
      <w:r>
        <w:rPr/>
        <w:t>Representation</w:t>
      </w:r>
      <w:r>
        <w:rPr>
          <w:spacing w:val="-12"/>
        </w:rPr>
        <w:t> </w:t>
      </w:r>
      <w:r>
        <w:rPr/>
        <w:t>30%,</w:t>
      </w:r>
      <w:r>
        <w:rPr>
          <w:spacing w:val="-13"/>
        </w:rPr>
        <w:t> </w:t>
      </w:r>
      <w:r>
        <w:rPr/>
        <w:t>Communication</w:t>
      </w:r>
      <w:r>
        <w:rPr>
          <w:spacing w:val="-12"/>
        </w:rPr>
        <w:t> </w:t>
      </w:r>
      <w:r>
        <w:rPr>
          <w:spacing w:val="-5"/>
        </w:rPr>
        <w:t>10%</w:t>
      </w:r>
    </w:p>
    <w:p>
      <w:pPr>
        <w:spacing w:line="364" w:lineRule="auto" w:before="150"/>
        <w:ind w:left="437" w:right="6024" w:firstLine="0"/>
        <w:jc w:val="left"/>
        <w:rPr>
          <w:b/>
          <w:sz w:val="20"/>
        </w:rPr>
      </w:pPr>
      <w:r>
        <w:rPr>
          <w:b/>
          <w:sz w:val="20"/>
        </w:rPr>
        <w:t>Pre-requisites: No prerequisite. Textbooks</w:t>
      </w:r>
      <w:r>
        <w:rPr>
          <w:b/>
          <w:spacing w:val="-14"/>
          <w:sz w:val="20"/>
        </w:rPr>
        <w:t> </w:t>
      </w:r>
      <w:r>
        <w:rPr>
          <w:b/>
          <w:sz w:val="20"/>
        </w:rPr>
        <w:t>/</w:t>
      </w:r>
      <w:r>
        <w:rPr>
          <w:b/>
          <w:spacing w:val="-14"/>
          <w:sz w:val="20"/>
        </w:rPr>
        <w:t> </w:t>
      </w:r>
      <w:r>
        <w:rPr>
          <w:b/>
          <w:sz w:val="20"/>
        </w:rPr>
        <w:t>Learning</w:t>
      </w:r>
      <w:r>
        <w:rPr>
          <w:b/>
          <w:spacing w:val="-13"/>
          <w:sz w:val="20"/>
        </w:rPr>
        <w:t> </w:t>
      </w:r>
      <w:r>
        <w:rPr>
          <w:b/>
          <w:sz w:val="20"/>
        </w:rPr>
        <w:t>Resources</w:t>
      </w:r>
    </w:p>
    <w:p>
      <w:pPr>
        <w:pStyle w:val="BodyText"/>
        <w:tabs>
          <w:tab w:pos="2957" w:val="left" w:leader="none"/>
          <w:tab w:pos="3316" w:val="left" w:leader="none"/>
        </w:tabs>
        <w:spacing w:line="276" w:lineRule="auto" w:before="6"/>
        <w:ind w:left="1157" w:right="4400"/>
      </w:pPr>
      <w:r>
        <w:rPr/>
        <w:t>Ching, Frank</w:t>
        <w:tab/>
        <w:t>Design Drawing, 2nd Edition Friedman, Jonathan</w:t>
        <w:tab/>
        <w:tab/>
        <w:t>Creation</w:t>
      </w:r>
      <w:r>
        <w:rPr>
          <w:spacing w:val="-10"/>
        </w:rPr>
        <w:t> </w:t>
      </w:r>
      <w:r>
        <w:rPr/>
        <w:t>in</w:t>
      </w:r>
      <w:r>
        <w:rPr>
          <w:spacing w:val="-10"/>
        </w:rPr>
        <w:t> </w:t>
      </w:r>
      <w:r>
        <w:rPr/>
        <w:t>Space,</w:t>
      </w:r>
      <w:r>
        <w:rPr>
          <w:spacing w:val="-11"/>
        </w:rPr>
        <w:t> </w:t>
      </w:r>
      <w:r>
        <w:rPr/>
        <w:t>2nd</w:t>
      </w:r>
      <w:r>
        <w:rPr>
          <w:spacing w:val="-10"/>
        </w:rPr>
        <w:t> </w:t>
      </w:r>
      <w:r>
        <w:rPr/>
        <w:t>Edition Ching,</w:t>
      </w:r>
      <w:r>
        <w:rPr>
          <w:spacing w:val="-9"/>
        </w:rPr>
        <w:t> </w:t>
      </w:r>
      <w:r>
        <w:rPr>
          <w:spacing w:val="-2"/>
        </w:rPr>
        <w:t>Frank</w:t>
      </w:r>
      <w:r>
        <w:rPr/>
        <w:tab/>
        <w:t>Architectural</w:t>
      </w:r>
      <w:r>
        <w:rPr>
          <w:spacing w:val="-10"/>
        </w:rPr>
        <w:t> </w:t>
      </w:r>
      <w:r>
        <w:rPr/>
        <w:t>Graphics,</w:t>
      </w:r>
      <w:r>
        <w:rPr>
          <w:spacing w:val="-10"/>
        </w:rPr>
        <w:t> </w:t>
      </w:r>
      <w:r>
        <w:rPr/>
        <w:t>5th</w:t>
      </w:r>
      <w:r>
        <w:rPr>
          <w:spacing w:val="-7"/>
        </w:rPr>
        <w:t> </w:t>
      </w:r>
      <w:r>
        <w:rPr>
          <w:spacing w:val="-2"/>
        </w:rPr>
        <w:t>Edition</w:t>
      </w:r>
    </w:p>
    <w:p>
      <w:pPr>
        <w:spacing w:before="116"/>
        <w:ind w:left="491" w:right="0" w:firstLine="0"/>
        <w:jc w:val="left"/>
        <w:rPr>
          <w:b/>
          <w:sz w:val="20"/>
        </w:rPr>
      </w:pPr>
      <w:r>
        <w:rPr>
          <w:b/>
          <w:sz w:val="20"/>
        </w:rPr>
        <w:t>Offered</w:t>
      </w:r>
      <w:r>
        <w:rPr>
          <w:b/>
          <w:spacing w:val="-10"/>
          <w:sz w:val="20"/>
        </w:rPr>
        <w:t> </w:t>
      </w:r>
      <w:r>
        <w:rPr>
          <w:b/>
          <w:spacing w:val="-2"/>
          <w:sz w:val="20"/>
        </w:rPr>
        <w:t>(terms):</w:t>
      </w:r>
    </w:p>
    <w:p>
      <w:pPr>
        <w:pStyle w:val="BodyText"/>
        <w:spacing w:before="123"/>
        <w:ind w:left="796"/>
      </w:pPr>
      <w:r>
        <w:rPr/>
        <w:t>Fall</w:t>
      </w:r>
      <w:r>
        <w:rPr>
          <w:spacing w:val="-7"/>
        </w:rPr>
        <w:t> </w:t>
      </w:r>
      <w:r>
        <w:rPr/>
        <w:t>Semester</w:t>
      </w:r>
      <w:r>
        <w:rPr>
          <w:spacing w:val="-7"/>
        </w:rPr>
        <w:t> </w:t>
      </w:r>
      <w:r>
        <w:rPr>
          <w:spacing w:val="-4"/>
        </w:rPr>
        <w:t>only</w:t>
      </w:r>
    </w:p>
    <w:p>
      <w:pPr>
        <w:spacing w:before="116"/>
        <w:ind w:left="437" w:right="0" w:firstLine="0"/>
        <w:jc w:val="left"/>
        <w:rPr>
          <w:b/>
          <w:sz w:val="20"/>
        </w:rPr>
      </w:pPr>
      <w:r>
        <w:rPr>
          <w:b/>
          <w:sz w:val="20"/>
        </w:rPr>
        <w:t>Faculty</w:t>
      </w:r>
      <w:r>
        <w:rPr>
          <w:b/>
          <w:spacing w:val="-8"/>
          <w:sz w:val="20"/>
        </w:rPr>
        <w:t> </w:t>
      </w:r>
      <w:r>
        <w:rPr>
          <w:b/>
          <w:spacing w:val="-2"/>
          <w:sz w:val="20"/>
        </w:rPr>
        <w:t>Assigned</w:t>
      </w:r>
    </w:p>
    <w:p>
      <w:pPr>
        <w:pStyle w:val="BodyText"/>
        <w:spacing w:line="276" w:lineRule="auto" w:before="125"/>
        <w:ind w:left="1156" w:right="6024"/>
      </w:pPr>
      <w:r>
        <w:rPr/>
        <w:t>2014</w:t>
      </w:r>
      <w:r>
        <w:rPr>
          <w:spacing w:val="-6"/>
        </w:rPr>
        <w:t> </w:t>
      </w:r>
      <w:r>
        <w:rPr/>
        <w:t>–</w:t>
      </w:r>
      <w:r>
        <w:rPr>
          <w:spacing w:val="-6"/>
        </w:rPr>
        <w:t> </w:t>
      </w:r>
      <w:r>
        <w:rPr/>
        <w:t>Kloster</w:t>
      </w:r>
      <w:r>
        <w:rPr>
          <w:spacing w:val="-7"/>
        </w:rPr>
        <w:t> </w:t>
      </w:r>
      <w:r>
        <w:rPr/>
        <w:t>(F/T)</w:t>
      </w:r>
      <w:r>
        <w:rPr>
          <w:spacing w:val="-7"/>
        </w:rPr>
        <w:t> </w:t>
      </w:r>
      <w:r>
        <w:rPr/>
        <w:t>/</w:t>
      </w:r>
      <w:r>
        <w:rPr>
          <w:spacing w:val="-8"/>
        </w:rPr>
        <w:t> </w:t>
      </w:r>
      <w:r>
        <w:rPr/>
        <w:t>Brown</w:t>
      </w:r>
      <w:r>
        <w:rPr>
          <w:spacing w:val="-8"/>
        </w:rPr>
        <w:t> </w:t>
      </w:r>
      <w:r>
        <w:rPr/>
        <w:t>(F/T) 2013</w:t>
      </w:r>
      <w:r>
        <w:rPr>
          <w:spacing w:val="-4"/>
        </w:rPr>
        <w:t> </w:t>
      </w:r>
      <w:r>
        <w:rPr/>
        <w:t>–</w:t>
      </w:r>
      <w:r>
        <w:rPr>
          <w:spacing w:val="-4"/>
        </w:rPr>
        <w:t> </w:t>
      </w:r>
      <w:r>
        <w:rPr/>
        <w:t>Kloster</w:t>
      </w:r>
      <w:r>
        <w:rPr>
          <w:spacing w:val="-4"/>
        </w:rPr>
        <w:t> </w:t>
      </w:r>
      <w:r>
        <w:rPr/>
        <w:t>(F/T)</w:t>
      </w:r>
      <w:r>
        <w:rPr>
          <w:spacing w:val="-5"/>
        </w:rPr>
        <w:t> </w:t>
      </w:r>
      <w:r>
        <w:rPr/>
        <w:t>/</w:t>
      </w:r>
      <w:r>
        <w:rPr>
          <w:spacing w:val="-5"/>
        </w:rPr>
        <w:t> </w:t>
      </w:r>
      <w:r>
        <w:rPr/>
        <w:t>Brown</w:t>
      </w:r>
      <w:r>
        <w:rPr>
          <w:spacing w:val="-6"/>
        </w:rPr>
        <w:t> </w:t>
      </w:r>
      <w:r>
        <w:rPr>
          <w:spacing w:val="-4"/>
        </w:rPr>
        <w:t>(F/T)</w:t>
      </w:r>
    </w:p>
    <w:p>
      <w:pPr>
        <w:spacing w:after="0" w:line="276" w:lineRule="auto"/>
        <w:sectPr>
          <w:headerReference w:type="default" r:id="rId179"/>
          <w:footerReference w:type="default" r:id="rId180"/>
          <w:pgSz w:w="12240" w:h="15840"/>
          <w:pgMar w:header="993" w:footer="974" w:top="1240" w:bottom="1160" w:left="1000" w:right="820"/>
        </w:sectPr>
      </w:pPr>
    </w:p>
    <w:p>
      <w:pPr>
        <w:spacing w:before="115"/>
        <w:ind w:left="440" w:right="0" w:firstLine="0"/>
        <w:jc w:val="left"/>
        <w:rPr>
          <w:b/>
          <w:sz w:val="20"/>
        </w:rPr>
      </w:pPr>
      <w:r>
        <w:rPr>
          <w:b/>
          <w:sz w:val="20"/>
        </w:rPr>
        <w:t>Course</w:t>
      </w:r>
      <w:r>
        <w:rPr>
          <w:b/>
          <w:spacing w:val="-9"/>
          <w:sz w:val="20"/>
        </w:rPr>
        <w:t> </w:t>
      </w:r>
      <w:r>
        <w:rPr>
          <w:b/>
          <w:sz w:val="20"/>
        </w:rPr>
        <w:t>Description</w:t>
      </w:r>
      <w:r>
        <w:rPr>
          <w:b/>
          <w:spacing w:val="-8"/>
          <w:sz w:val="20"/>
        </w:rPr>
        <w:t> </w:t>
      </w:r>
      <w:r>
        <w:rPr>
          <w:b/>
          <w:sz w:val="20"/>
        </w:rPr>
        <w:t>(limit</w:t>
      </w:r>
      <w:r>
        <w:rPr>
          <w:b/>
          <w:spacing w:val="-7"/>
          <w:sz w:val="20"/>
        </w:rPr>
        <w:t> </w:t>
      </w:r>
      <w:r>
        <w:rPr>
          <w:b/>
          <w:sz w:val="20"/>
        </w:rPr>
        <w:t>25</w:t>
      </w:r>
      <w:r>
        <w:rPr>
          <w:b/>
          <w:spacing w:val="-8"/>
          <w:sz w:val="20"/>
        </w:rPr>
        <w:t> </w:t>
      </w:r>
      <w:r>
        <w:rPr>
          <w:b/>
          <w:spacing w:val="-2"/>
          <w:sz w:val="20"/>
        </w:rPr>
        <w:t>words):</w:t>
      </w:r>
    </w:p>
    <w:p>
      <w:pPr>
        <w:pStyle w:val="BodyText"/>
        <w:spacing w:before="122"/>
        <w:ind w:left="1159" w:right="712"/>
      </w:pPr>
      <w:r>
        <w:rPr/>
        <w:t>The intention of this course is FIRST: to introduce those aspects of design (principles of order and</w:t>
      </w:r>
      <w:r>
        <w:rPr>
          <w:spacing w:val="-5"/>
        </w:rPr>
        <w:t> </w:t>
      </w:r>
      <w:r>
        <w:rPr/>
        <w:t>composition)</w:t>
      </w:r>
      <w:r>
        <w:rPr>
          <w:spacing w:val="-4"/>
        </w:rPr>
        <w:t> </w:t>
      </w:r>
      <w:r>
        <w:rPr/>
        <w:t>considered</w:t>
      </w:r>
      <w:r>
        <w:rPr>
          <w:spacing w:val="-5"/>
        </w:rPr>
        <w:t> </w:t>
      </w:r>
      <w:r>
        <w:rPr/>
        <w:t>fundamental</w:t>
      </w:r>
      <w:r>
        <w:rPr>
          <w:spacing w:val="-4"/>
        </w:rPr>
        <w:t> </w:t>
      </w:r>
      <w:r>
        <w:rPr/>
        <w:t>to</w:t>
      </w:r>
      <w:r>
        <w:rPr>
          <w:spacing w:val="-5"/>
        </w:rPr>
        <w:t> </w:t>
      </w:r>
      <w:r>
        <w:rPr/>
        <w:t>an</w:t>
      </w:r>
      <w:r>
        <w:rPr>
          <w:spacing w:val="-5"/>
        </w:rPr>
        <w:t> </w:t>
      </w:r>
      <w:r>
        <w:rPr/>
        <w:t>understanding</w:t>
      </w:r>
      <w:r>
        <w:rPr>
          <w:spacing w:val="-3"/>
        </w:rPr>
        <w:t> </w:t>
      </w:r>
      <w:r>
        <w:rPr/>
        <w:t>and</w:t>
      </w:r>
      <w:r>
        <w:rPr>
          <w:spacing w:val="-5"/>
        </w:rPr>
        <w:t> </w:t>
      </w:r>
      <w:r>
        <w:rPr/>
        <w:t>interpretation</w:t>
      </w:r>
      <w:r>
        <w:rPr>
          <w:spacing w:val="-3"/>
        </w:rPr>
        <w:t> </w:t>
      </w:r>
      <w:r>
        <w:rPr/>
        <w:t>of</w:t>
      </w:r>
      <w:r>
        <w:rPr>
          <w:spacing w:val="-3"/>
        </w:rPr>
        <w:t> </w:t>
      </w:r>
      <w:r>
        <w:rPr/>
        <w:t>architecture, and SECOND: the introduction of, and familiarization with, drawing and presentation skills, such that the student develops the facility and precision necessary for communication.</w:t>
      </w:r>
    </w:p>
    <w:p>
      <w:pPr>
        <w:spacing w:before="117"/>
        <w:ind w:left="439" w:right="0" w:firstLine="0"/>
        <w:jc w:val="left"/>
        <w:rPr>
          <w:b/>
          <w:sz w:val="20"/>
        </w:rPr>
      </w:pPr>
      <w:r>
        <w:rPr>
          <w:b/>
          <w:sz w:val="20"/>
        </w:rPr>
        <w:t>Course</w:t>
      </w:r>
      <w:r>
        <w:rPr>
          <w:b/>
          <w:spacing w:val="-9"/>
          <w:sz w:val="20"/>
        </w:rPr>
        <w:t> </w:t>
      </w:r>
      <w:r>
        <w:rPr>
          <w:b/>
          <w:sz w:val="20"/>
        </w:rPr>
        <w:t>Goals</w:t>
      </w:r>
      <w:r>
        <w:rPr>
          <w:b/>
          <w:spacing w:val="-7"/>
          <w:sz w:val="20"/>
        </w:rPr>
        <w:t> </w:t>
      </w:r>
      <w:r>
        <w:rPr>
          <w:b/>
          <w:sz w:val="20"/>
        </w:rPr>
        <w:t>and</w:t>
      </w:r>
      <w:r>
        <w:rPr>
          <w:b/>
          <w:spacing w:val="-5"/>
          <w:sz w:val="20"/>
        </w:rPr>
        <w:t> </w:t>
      </w:r>
      <w:r>
        <w:rPr>
          <w:b/>
          <w:spacing w:val="-2"/>
          <w:sz w:val="20"/>
        </w:rPr>
        <w:t>Objectives;</w:t>
      </w:r>
    </w:p>
    <w:p>
      <w:pPr>
        <w:pStyle w:val="ListParagraph"/>
        <w:numPr>
          <w:ilvl w:val="0"/>
          <w:numId w:val="43"/>
        </w:numPr>
        <w:tabs>
          <w:tab w:pos="1159" w:val="left" w:leader="none"/>
          <w:tab w:pos="1160" w:val="left" w:leader="none"/>
        </w:tabs>
        <w:spacing w:line="240" w:lineRule="auto" w:before="137" w:after="0"/>
        <w:ind w:left="1159" w:right="0" w:hanging="360"/>
        <w:jc w:val="left"/>
        <w:rPr>
          <w:color w:val="303030"/>
          <w:sz w:val="20"/>
        </w:rPr>
      </w:pPr>
      <w:r>
        <w:rPr>
          <w:color w:val="303030"/>
          <w:sz w:val="20"/>
        </w:rPr>
        <w:t>Identify</w:t>
      </w:r>
      <w:r>
        <w:rPr>
          <w:color w:val="303030"/>
          <w:spacing w:val="-10"/>
          <w:sz w:val="20"/>
        </w:rPr>
        <w:t> </w:t>
      </w:r>
      <w:r>
        <w:rPr>
          <w:color w:val="303030"/>
          <w:sz w:val="20"/>
        </w:rPr>
        <w:t>and</w:t>
      </w:r>
      <w:r>
        <w:rPr>
          <w:color w:val="303030"/>
          <w:spacing w:val="-7"/>
          <w:sz w:val="20"/>
        </w:rPr>
        <w:t> </w:t>
      </w:r>
      <w:r>
        <w:rPr>
          <w:color w:val="303030"/>
          <w:sz w:val="20"/>
        </w:rPr>
        <w:t>discuss</w:t>
      </w:r>
      <w:r>
        <w:rPr>
          <w:color w:val="303030"/>
          <w:spacing w:val="-6"/>
          <w:sz w:val="20"/>
        </w:rPr>
        <w:t> </w:t>
      </w:r>
      <w:r>
        <w:rPr>
          <w:color w:val="303030"/>
          <w:sz w:val="20"/>
        </w:rPr>
        <w:t>exemplary</w:t>
      </w:r>
      <w:r>
        <w:rPr>
          <w:color w:val="303030"/>
          <w:spacing w:val="-8"/>
          <w:sz w:val="20"/>
        </w:rPr>
        <w:t> </w:t>
      </w:r>
      <w:r>
        <w:rPr>
          <w:color w:val="303030"/>
          <w:sz w:val="20"/>
        </w:rPr>
        <w:t>works</w:t>
      </w:r>
      <w:r>
        <w:rPr>
          <w:color w:val="303030"/>
          <w:spacing w:val="-6"/>
          <w:sz w:val="20"/>
        </w:rPr>
        <w:t> </w:t>
      </w:r>
      <w:r>
        <w:rPr>
          <w:color w:val="303030"/>
          <w:sz w:val="20"/>
        </w:rPr>
        <w:t>of</w:t>
      </w:r>
      <w:r>
        <w:rPr>
          <w:color w:val="303030"/>
          <w:spacing w:val="-6"/>
          <w:sz w:val="20"/>
        </w:rPr>
        <w:t> </w:t>
      </w:r>
      <w:r>
        <w:rPr>
          <w:color w:val="303030"/>
          <w:sz w:val="20"/>
        </w:rPr>
        <w:t>contemporary</w:t>
      </w:r>
      <w:r>
        <w:rPr>
          <w:color w:val="303030"/>
          <w:spacing w:val="-9"/>
          <w:sz w:val="20"/>
        </w:rPr>
        <w:t> </w:t>
      </w:r>
      <w:r>
        <w:rPr>
          <w:color w:val="303030"/>
          <w:spacing w:val="-2"/>
          <w:sz w:val="20"/>
        </w:rPr>
        <w:t>architecture.</w:t>
      </w:r>
    </w:p>
    <w:p>
      <w:pPr>
        <w:pStyle w:val="ListParagraph"/>
        <w:numPr>
          <w:ilvl w:val="0"/>
          <w:numId w:val="43"/>
        </w:numPr>
        <w:tabs>
          <w:tab w:pos="1159" w:val="left" w:leader="none"/>
          <w:tab w:pos="1160" w:val="left" w:leader="none"/>
        </w:tabs>
        <w:spacing w:line="240" w:lineRule="auto" w:before="15" w:after="0"/>
        <w:ind w:left="1159" w:right="0" w:hanging="360"/>
        <w:jc w:val="left"/>
        <w:rPr>
          <w:sz w:val="20"/>
        </w:rPr>
      </w:pPr>
      <w:r>
        <w:rPr>
          <w:color w:val="303030"/>
          <w:sz w:val="20"/>
        </w:rPr>
        <w:t>Analyze</w:t>
      </w:r>
      <w:r>
        <w:rPr>
          <w:color w:val="303030"/>
          <w:spacing w:val="-7"/>
          <w:sz w:val="20"/>
        </w:rPr>
        <w:t> </w:t>
      </w:r>
      <w:r>
        <w:rPr>
          <w:color w:val="303030"/>
          <w:sz w:val="20"/>
        </w:rPr>
        <w:t>a</w:t>
      </w:r>
      <w:r>
        <w:rPr>
          <w:color w:val="303030"/>
          <w:spacing w:val="-8"/>
          <w:sz w:val="20"/>
        </w:rPr>
        <w:t> </w:t>
      </w:r>
      <w:r>
        <w:rPr>
          <w:color w:val="303030"/>
          <w:sz w:val="20"/>
        </w:rPr>
        <w:t>seminal</w:t>
      </w:r>
      <w:r>
        <w:rPr>
          <w:color w:val="303030"/>
          <w:spacing w:val="-6"/>
          <w:sz w:val="20"/>
        </w:rPr>
        <w:t> </w:t>
      </w:r>
      <w:r>
        <w:rPr>
          <w:color w:val="303030"/>
          <w:sz w:val="20"/>
        </w:rPr>
        <w:t>work</w:t>
      </w:r>
      <w:r>
        <w:rPr>
          <w:color w:val="303030"/>
          <w:spacing w:val="-4"/>
          <w:sz w:val="20"/>
        </w:rPr>
        <w:t> </w:t>
      </w:r>
      <w:r>
        <w:rPr>
          <w:color w:val="303030"/>
          <w:sz w:val="20"/>
        </w:rPr>
        <w:t>of</w:t>
      </w:r>
      <w:r>
        <w:rPr>
          <w:color w:val="303030"/>
          <w:spacing w:val="-8"/>
          <w:sz w:val="20"/>
        </w:rPr>
        <w:t> </w:t>
      </w:r>
      <w:r>
        <w:rPr>
          <w:color w:val="303030"/>
          <w:sz w:val="20"/>
        </w:rPr>
        <w:t>architecture</w:t>
      </w:r>
      <w:r>
        <w:rPr>
          <w:color w:val="303030"/>
          <w:spacing w:val="-6"/>
          <w:sz w:val="20"/>
        </w:rPr>
        <w:t> </w:t>
      </w:r>
      <w:r>
        <w:rPr>
          <w:color w:val="303030"/>
          <w:sz w:val="20"/>
        </w:rPr>
        <w:t>considering</w:t>
      </w:r>
      <w:r>
        <w:rPr>
          <w:color w:val="303030"/>
          <w:spacing w:val="-8"/>
          <w:sz w:val="20"/>
        </w:rPr>
        <w:t> </w:t>
      </w:r>
      <w:r>
        <w:rPr>
          <w:color w:val="303030"/>
          <w:sz w:val="20"/>
        </w:rPr>
        <w:t>elements</w:t>
      </w:r>
      <w:r>
        <w:rPr>
          <w:color w:val="303030"/>
          <w:spacing w:val="-8"/>
          <w:sz w:val="20"/>
        </w:rPr>
        <w:t> </w:t>
      </w:r>
      <w:r>
        <w:rPr>
          <w:color w:val="303030"/>
          <w:sz w:val="20"/>
        </w:rPr>
        <w:t>and</w:t>
      </w:r>
      <w:r>
        <w:rPr>
          <w:color w:val="303030"/>
          <w:spacing w:val="-7"/>
          <w:sz w:val="20"/>
        </w:rPr>
        <w:t> </w:t>
      </w:r>
      <w:r>
        <w:rPr>
          <w:color w:val="303030"/>
          <w:sz w:val="20"/>
        </w:rPr>
        <w:t>principles</w:t>
      </w:r>
      <w:r>
        <w:rPr>
          <w:color w:val="303030"/>
          <w:spacing w:val="-8"/>
          <w:sz w:val="20"/>
        </w:rPr>
        <w:t> </w:t>
      </w:r>
      <w:r>
        <w:rPr>
          <w:color w:val="303030"/>
          <w:sz w:val="20"/>
        </w:rPr>
        <w:t>of</w:t>
      </w:r>
      <w:r>
        <w:rPr>
          <w:color w:val="303030"/>
          <w:spacing w:val="-6"/>
          <w:sz w:val="20"/>
        </w:rPr>
        <w:t> </w:t>
      </w:r>
      <w:r>
        <w:rPr>
          <w:color w:val="303030"/>
          <w:spacing w:val="-2"/>
          <w:sz w:val="20"/>
        </w:rPr>
        <w:t>design.</w:t>
      </w:r>
    </w:p>
    <w:p>
      <w:pPr>
        <w:pStyle w:val="ListParagraph"/>
        <w:numPr>
          <w:ilvl w:val="0"/>
          <w:numId w:val="43"/>
        </w:numPr>
        <w:tabs>
          <w:tab w:pos="1159" w:val="left" w:leader="none"/>
          <w:tab w:pos="1160" w:val="left" w:leader="none"/>
        </w:tabs>
        <w:spacing w:line="240" w:lineRule="auto" w:before="13" w:after="0"/>
        <w:ind w:left="1159" w:right="0" w:hanging="360"/>
        <w:jc w:val="left"/>
        <w:rPr>
          <w:sz w:val="20"/>
        </w:rPr>
      </w:pPr>
      <w:r>
        <w:rPr>
          <w:sz w:val="20"/>
        </w:rPr>
        <w:t>Identify</w:t>
      </w:r>
      <w:r>
        <w:rPr>
          <w:spacing w:val="-11"/>
          <w:sz w:val="20"/>
        </w:rPr>
        <w:t> </w:t>
      </w:r>
      <w:r>
        <w:rPr>
          <w:sz w:val="20"/>
        </w:rPr>
        <w:t>and</w:t>
      </w:r>
      <w:r>
        <w:rPr>
          <w:spacing w:val="-7"/>
          <w:sz w:val="20"/>
        </w:rPr>
        <w:t> </w:t>
      </w:r>
      <w:r>
        <w:rPr>
          <w:sz w:val="20"/>
        </w:rPr>
        <w:t>represent</w:t>
      </w:r>
      <w:r>
        <w:rPr>
          <w:spacing w:val="-6"/>
          <w:sz w:val="20"/>
        </w:rPr>
        <w:t> </w:t>
      </w:r>
      <w:r>
        <w:rPr>
          <w:sz w:val="20"/>
        </w:rPr>
        <w:t>basic</w:t>
      </w:r>
      <w:r>
        <w:rPr>
          <w:spacing w:val="-6"/>
          <w:sz w:val="20"/>
        </w:rPr>
        <w:t> </w:t>
      </w:r>
      <w:r>
        <w:rPr>
          <w:sz w:val="20"/>
        </w:rPr>
        <w:t>architectural</w:t>
      </w:r>
      <w:r>
        <w:rPr>
          <w:spacing w:val="-9"/>
          <w:sz w:val="20"/>
        </w:rPr>
        <w:t> </w:t>
      </w:r>
      <w:r>
        <w:rPr>
          <w:sz w:val="20"/>
        </w:rPr>
        <w:t>elements</w:t>
      </w:r>
      <w:r>
        <w:rPr>
          <w:spacing w:val="-6"/>
          <w:sz w:val="20"/>
        </w:rPr>
        <w:t> </w:t>
      </w:r>
      <w:r>
        <w:rPr>
          <w:sz w:val="20"/>
        </w:rPr>
        <w:t>in</w:t>
      </w:r>
      <w:r>
        <w:rPr>
          <w:spacing w:val="-6"/>
          <w:sz w:val="20"/>
        </w:rPr>
        <w:t> </w:t>
      </w:r>
      <w:r>
        <w:rPr>
          <w:sz w:val="20"/>
        </w:rPr>
        <w:t>a</w:t>
      </w:r>
      <w:r>
        <w:rPr>
          <w:spacing w:val="-7"/>
          <w:sz w:val="20"/>
        </w:rPr>
        <w:t> </w:t>
      </w:r>
      <w:r>
        <w:rPr>
          <w:sz w:val="20"/>
        </w:rPr>
        <w:t>spatial</w:t>
      </w:r>
      <w:r>
        <w:rPr>
          <w:spacing w:val="-7"/>
          <w:sz w:val="20"/>
        </w:rPr>
        <w:t> </w:t>
      </w:r>
      <w:r>
        <w:rPr>
          <w:spacing w:val="-2"/>
          <w:sz w:val="20"/>
        </w:rPr>
        <w:t>composition.</w:t>
      </w:r>
    </w:p>
    <w:p>
      <w:pPr>
        <w:pStyle w:val="ListParagraph"/>
        <w:numPr>
          <w:ilvl w:val="0"/>
          <w:numId w:val="43"/>
        </w:numPr>
        <w:tabs>
          <w:tab w:pos="1159" w:val="left" w:leader="none"/>
          <w:tab w:pos="1160" w:val="left" w:leader="none"/>
        </w:tabs>
        <w:spacing w:line="240" w:lineRule="auto" w:before="14" w:after="0"/>
        <w:ind w:left="1159" w:right="0" w:hanging="360"/>
        <w:jc w:val="left"/>
        <w:rPr>
          <w:sz w:val="20"/>
        </w:rPr>
      </w:pPr>
      <w:r>
        <w:rPr>
          <w:sz w:val="20"/>
        </w:rPr>
        <w:t>Graphically</w:t>
      </w:r>
      <w:r>
        <w:rPr>
          <w:spacing w:val="-11"/>
          <w:sz w:val="20"/>
        </w:rPr>
        <w:t> </w:t>
      </w:r>
      <w:r>
        <w:rPr>
          <w:sz w:val="20"/>
        </w:rPr>
        <w:t>diagram</w:t>
      </w:r>
      <w:r>
        <w:rPr>
          <w:spacing w:val="-3"/>
          <w:sz w:val="20"/>
        </w:rPr>
        <w:t> </w:t>
      </w:r>
      <w:r>
        <w:rPr>
          <w:sz w:val="20"/>
        </w:rPr>
        <w:t>the</w:t>
      </w:r>
      <w:r>
        <w:rPr>
          <w:spacing w:val="-8"/>
          <w:sz w:val="20"/>
        </w:rPr>
        <w:t> </w:t>
      </w:r>
      <w:r>
        <w:rPr>
          <w:sz w:val="20"/>
        </w:rPr>
        <w:t>argument,</w:t>
      </w:r>
      <w:r>
        <w:rPr>
          <w:spacing w:val="-8"/>
          <w:sz w:val="20"/>
        </w:rPr>
        <w:t> </w:t>
      </w:r>
      <w:r>
        <w:rPr>
          <w:sz w:val="20"/>
        </w:rPr>
        <w:t>or</w:t>
      </w:r>
      <w:r>
        <w:rPr>
          <w:spacing w:val="-7"/>
          <w:sz w:val="20"/>
        </w:rPr>
        <w:t> </w:t>
      </w:r>
      <w:r>
        <w:rPr>
          <w:sz w:val="20"/>
        </w:rPr>
        <w:t>the</w:t>
      </w:r>
      <w:r>
        <w:rPr>
          <w:spacing w:val="-6"/>
          <w:sz w:val="20"/>
        </w:rPr>
        <w:t> </w:t>
      </w:r>
      <w:r>
        <w:rPr>
          <w:sz w:val="20"/>
        </w:rPr>
        <w:t>problem</w:t>
      </w:r>
      <w:r>
        <w:rPr>
          <w:spacing w:val="-3"/>
          <w:sz w:val="20"/>
        </w:rPr>
        <w:t> </w:t>
      </w:r>
      <w:r>
        <w:rPr>
          <w:sz w:val="20"/>
        </w:rPr>
        <w:t>presented</w:t>
      </w:r>
      <w:r>
        <w:rPr>
          <w:spacing w:val="-6"/>
          <w:sz w:val="20"/>
        </w:rPr>
        <w:t> </w:t>
      </w:r>
      <w:r>
        <w:rPr>
          <w:sz w:val="20"/>
        </w:rPr>
        <w:t>in</w:t>
      </w:r>
      <w:r>
        <w:rPr>
          <w:spacing w:val="-6"/>
          <w:sz w:val="20"/>
        </w:rPr>
        <w:t> </w:t>
      </w:r>
      <w:r>
        <w:rPr>
          <w:sz w:val="20"/>
        </w:rPr>
        <w:t>a</w:t>
      </w:r>
      <w:r>
        <w:rPr>
          <w:spacing w:val="-8"/>
          <w:sz w:val="20"/>
        </w:rPr>
        <w:t> </w:t>
      </w:r>
      <w:r>
        <w:rPr>
          <w:spacing w:val="-2"/>
          <w:sz w:val="20"/>
        </w:rPr>
        <w:t>reading.</w:t>
      </w:r>
    </w:p>
    <w:p>
      <w:pPr>
        <w:pStyle w:val="ListParagraph"/>
        <w:numPr>
          <w:ilvl w:val="0"/>
          <w:numId w:val="43"/>
        </w:numPr>
        <w:tabs>
          <w:tab w:pos="1159" w:val="left" w:leader="none"/>
          <w:tab w:pos="1160" w:val="left" w:leader="none"/>
        </w:tabs>
        <w:spacing w:line="240" w:lineRule="auto" w:before="13" w:after="0"/>
        <w:ind w:left="1159" w:right="0" w:hanging="360"/>
        <w:jc w:val="left"/>
        <w:rPr>
          <w:sz w:val="20"/>
        </w:rPr>
      </w:pPr>
      <w:r>
        <w:rPr>
          <w:sz w:val="20"/>
        </w:rPr>
        <w:t>Generate</w:t>
      </w:r>
      <w:r>
        <w:rPr>
          <w:spacing w:val="-6"/>
          <w:sz w:val="20"/>
        </w:rPr>
        <w:t> </w:t>
      </w:r>
      <w:r>
        <w:rPr>
          <w:sz w:val="20"/>
        </w:rPr>
        <w:t>projected</w:t>
      </w:r>
      <w:r>
        <w:rPr>
          <w:spacing w:val="-5"/>
          <w:sz w:val="20"/>
        </w:rPr>
        <w:t> </w:t>
      </w:r>
      <w:r>
        <w:rPr>
          <w:sz w:val="20"/>
        </w:rPr>
        <w:t>shadows</w:t>
      </w:r>
      <w:r>
        <w:rPr>
          <w:spacing w:val="-6"/>
          <w:sz w:val="20"/>
        </w:rPr>
        <w:t> </w:t>
      </w:r>
      <w:r>
        <w:rPr>
          <w:sz w:val="20"/>
        </w:rPr>
        <w:t>based</w:t>
      </w:r>
      <w:r>
        <w:rPr>
          <w:spacing w:val="-6"/>
          <w:sz w:val="20"/>
        </w:rPr>
        <w:t> </w:t>
      </w:r>
      <w:r>
        <w:rPr>
          <w:sz w:val="20"/>
        </w:rPr>
        <w:t>on</w:t>
      </w:r>
      <w:r>
        <w:rPr>
          <w:spacing w:val="-7"/>
          <w:sz w:val="20"/>
        </w:rPr>
        <w:t> </w:t>
      </w:r>
      <w:r>
        <w:rPr>
          <w:sz w:val="20"/>
        </w:rPr>
        <w:t>an</w:t>
      </w:r>
      <w:r>
        <w:rPr>
          <w:spacing w:val="-7"/>
          <w:sz w:val="20"/>
        </w:rPr>
        <w:t> </w:t>
      </w:r>
      <w:r>
        <w:rPr>
          <w:sz w:val="20"/>
        </w:rPr>
        <w:t>understanding</w:t>
      </w:r>
      <w:r>
        <w:rPr>
          <w:spacing w:val="-7"/>
          <w:sz w:val="20"/>
        </w:rPr>
        <w:t> </w:t>
      </w:r>
      <w:r>
        <w:rPr>
          <w:sz w:val="20"/>
        </w:rPr>
        <w:t>of</w:t>
      </w:r>
      <w:r>
        <w:rPr>
          <w:spacing w:val="-5"/>
          <w:sz w:val="20"/>
        </w:rPr>
        <w:t> </w:t>
      </w:r>
      <w:r>
        <w:rPr>
          <w:sz w:val="20"/>
        </w:rPr>
        <w:t>the</w:t>
      </w:r>
      <w:r>
        <w:rPr>
          <w:spacing w:val="-7"/>
          <w:sz w:val="20"/>
        </w:rPr>
        <w:t> </w:t>
      </w:r>
      <w:r>
        <w:rPr>
          <w:sz w:val="20"/>
        </w:rPr>
        <w:t>solar</w:t>
      </w:r>
      <w:r>
        <w:rPr>
          <w:spacing w:val="-6"/>
          <w:sz w:val="20"/>
        </w:rPr>
        <w:t> </w:t>
      </w:r>
      <w:r>
        <w:rPr>
          <w:spacing w:val="-2"/>
          <w:sz w:val="20"/>
        </w:rPr>
        <w:t>cycle.</w:t>
      </w:r>
    </w:p>
    <w:p>
      <w:pPr>
        <w:pStyle w:val="ListParagraph"/>
        <w:numPr>
          <w:ilvl w:val="0"/>
          <w:numId w:val="43"/>
        </w:numPr>
        <w:tabs>
          <w:tab w:pos="1159" w:val="left" w:leader="none"/>
          <w:tab w:pos="1160" w:val="left" w:leader="none"/>
        </w:tabs>
        <w:spacing w:line="240" w:lineRule="auto" w:before="12" w:after="0"/>
        <w:ind w:left="1159" w:right="0" w:hanging="360"/>
        <w:jc w:val="left"/>
        <w:rPr>
          <w:sz w:val="20"/>
        </w:rPr>
      </w:pPr>
      <w:r>
        <w:rPr>
          <w:sz w:val="20"/>
        </w:rPr>
        <w:t>Use</w:t>
      </w:r>
      <w:r>
        <w:rPr>
          <w:spacing w:val="-7"/>
          <w:sz w:val="20"/>
        </w:rPr>
        <w:t> </w:t>
      </w:r>
      <w:r>
        <w:rPr>
          <w:sz w:val="20"/>
        </w:rPr>
        <w:t>vocabulary</w:t>
      </w:r>
      <w:r>
        <w:rPr>
          <w:spacing w:val="-10"/>
          <w:sz w:val="20"/>
        </w:rPr>
        <w:t> </w:t>
      </w:r>
      <w:r>
        <w:rPr>
          <w:sz w:val="20"/>
        </w:rPr>
        <w:t>specific</w:t>
      </w:r>
      <w:r>
        <w:rPr>
          <w:spacing w:val="-6"/>
          <w:sz w:val="20"/>
        </w:rPr>
        <w:t> </w:t>
      </w:r>
      <w:r>
        <w:rPr>
          <w:sz w:val="20"/>
        </w:rPr>
        <w:t>to</w:t>
      </w:r>
      <w:r>
        <w:rPr>
          <w:spacing w:val="-5"/>
          <w:sz w:val="20"/>
        </w:rPr>
        <w:t> </w:t>
      </w:r>
      <w:r>
        <w:rPr>
          <w:sz w:val="20"/>
        </w:rPr>
        <w:t>design</w:t>
      </w:r>
      <w:r>
        <w:rPr>
          <w:spacing w:val="-7"/>
          <w:sz w:val="20"/>
        </w:rPr>
        <w:t> </w:t>
      </w:r>
      <w:r>
        <w:rPr>
          <w:sz w:val="20"/>
        </w:rPr>
        <w:t>principles</w:t>
      </w:r>
      <w:r>
        <w:rPr>
          <w:spacing w:val="-6"/>
          <w:sz w:val="20"/>
        </w:rPr>
        <w:t> </w:t>
      </w:r>
      <w:r>
        <w:rPr>
          <w:sz w:val="20"/>
        </w:rPr>
        <w:t>and</w:t>
      </w:r>
      <w:r>
        <w:rPr>
          <w:spacing w:val="-7"/>
          <w:sz w:val="20"/>
        </w:rPr>
        <w:t> </w:t>
      </w:r>
      <w:r>
        <w:rPr>
          <w:spacing w:val="-2"/>
          <w:sz w:val="20"/>
        </w:rPr>
        <w:t>elements.</w:t>
      </w:r>
    </w:p>
    <w:p>
      <w:pPr>
        <w:pStyle w:val="ListParagraph"/>
        <w:numPr>
          <w:ilvl w:val="0"/>
          <w:numId w:val="43"/>
        </w:numPr>
        <w:tabs>
          <w:tab w:pos="1159" w:val="left" w:leader="none"/>
          <w:tab w:pos="1160" w:val="left" w:leader="none"/>
        </w:tabs>
        <w:spacing w:line="240" w:lineRule="auto" w:before="13" w:after="0"/>
        <w:ind w:left="1160" w:right="702" w:hanging="360"/>
        <w:jc w:val="left"/>
        <w:rPr>
          <w:sz w:val="20"/>
        </w:rPr>
      </w:pPr>
      <w:r>
        <w:rPr>
          <w:sz w:val="20"/>
        </w:rPr>
        <w:t>Design an </w:t>
      </w:r>
      <w:r>
        <w:rPr>
          <w:i/>
          <w:sz w:val="20"/>
        </w:rPr>
        <w:t>architectural </w:t>
      </w:r>
      <w:r>
        <w:rPr>
          <w:sz w:val="20"/>
        </w:rPr>
        <w:t>(wall, roof, column, beam, floor, stair, ramp) composition in 2D and 3D following</w:t>
      </w:r>
      <w:r>
        <w:rPr>
          <w:spacing w:val="-5"/>
          <w:sz w:val="20"/>
        </w:rPr>
        <w:t> </w:t>
      </w:r>
      <w:r>
        <w:rPr>
          <w:sz w:val="20"/>
        </w:rPr>
        <w:t>specified</w:t>
      </w:r>
      <w:r>
        <w:rPr>
          <w:spacing w:val="-3"/>
          <w:sz w:val="20"/>
        </w:rPr>
        <w:t> </w:t>
      </w:r>
      <w:r>
        <w:rPr>
          <w:sz w:val="20"/>
        </w:rPr>
        <w:t>principles</w:t>
      </w:r>
      <w:r>
        <w:rPr>
          <w:spacing w:val="-4"/>
          <w:sz w:val="20"/>
        </w:rPr>
        <w:t> </w:t>
      </w:r>
      <w:r>
        <w:rPr>
          <w:sz w:val="20"/>
        </w:rPr>
        <w:t>of</w:t>
      </w:r>
      <w:r>
        <w:rPr>
          <w:spacing w:val="-3"/>
          <w:sz w:val="20"/>
        </w:rPr>
        <w:t> </w:t>
      </w:r>
      <w:r>
        <w:rPr>
          <w:sz w:val="20"/>
        </w:rPr>
        <w:t>design,</w:t>
      </w:r>
      <w:r>
        <w:rPr>
          <w:spacing w:val="-3"/>
          <w:sz w:val="20"/>
        </w:rPr>
        <w:t> </w:t>
      </w:r>
      <w:r>
        <w:rPr>
          <w:sz w:val="20"/>
        </w:rPr>
        <w:t>and</w:t>
      </w:r>
      <w:r>
        <w:rPr>
          <w:spacing w:val="-3"/>
          <w:sz w:val="20"/>
        </w:rPr>
        <w:t> </w:t>
      </w:r>
      <w:r>
        <w:rPr>
          <w:sz w:val="20"/>
        </w:rPr>
        <w:t>a</w:t>
      </w:r>
      <w:r>
        <w:rPr>
          <w:spacing w:val="-5"/>
          <w:sz w:val="20"/>
        </w:rPr>
        <w:t> </w:t>
      </w:r>
      <w:r>
        <w:rPr>
          <w:sz w:val="20"/>
        </w:rPr>
        <w:t>minimal</w:t>
      </w:r>
      <w:r>
        <w:rPr>
          <w:spacing w:val="-6"/>
          <w:sz w:val="20"/>
        </w:rPr>
        <w:t> </w:t>
      </w:r>
      <w:r>
        <w:rPr>
          <w:sz w:val="20"/>
        </w:rPr>
        <w:t>architectural</w:t>
      </w:r>
      <w:r>
        <w:rPr>
          <w:spacing w:val="-6"/>
          <w:sz w:val="20"/>
        </w:rPr>
        <w:t> </w:t>
      </w:r>
      <w:r>
        <w:rPr>
          <w:sz w:val="20"/>
        </w:rPr>
        <w:t>program</w:t>
      </w:r>
      <w:r>
        <w:rPr>
          <w:spacing w:val="-1"/>
          <w:sz w:val="20"/>
        </w:rPr>
        <w:t> </w:t>
      </w:r>
      <w:r>
        <w:rPr>
          <w:sz w:val="20"/>
        </w:rPr>
        <w:t>following</w:t>
      </w:r>
      <w:r>
        <w:rPr>
          <w:spacing w:val="-3"/>
          <w:sz w:val="20"/>
        </w:rPr>
        <w:t> </w:t>
      </w:r>
      <w:r>
        <w:rPr>
          <w:sz w:val="20"/>
        </w:rPr>
        <w:t>an</w:t>
      </w:r>
      <w:r>
        <w:rPr>
          <w:spacing w:val="-3"/>
          <w:sz w:val="20"/>
        </w:rPr>
        <w:t> </w:t>
      </w:r>
      <w:r>
        <w:rPr>
          <w:sz w:val="20"/>
        </w:rPr>
        <w:t>iterative </w:t>
      </w:r>
      <w:r>
        <w:rPr>
          <w:spacing w:val="-2"/>
          <w:sz w:val="20"/>
        </w:rPr>
        <w:t>process.</w:t>
      </w:r>
    </w:p>
    <w:p>
      <w:pPr>
        <w:pStyle w:val="ListParagraph"/>
        <w:numPr>
          <w:ilvl w:val="0"/>
          <w:numId w:val="43"/>
        </w:numPr>
        <w:tabs>
          <w:tab w:pos="1159" w:val="left" w:leader="none"/>
          <w:tab w:pos="1160" w:val="left" w:leader="none"/>
        </w:tabs>
        <w:spacing w:line="240" w:lineRule="auto" w:before="13" w:after="0"/>
        <w:ind w:left="1159" w:right="0" w:hanging="360"/>
        <w:jc w:val="left"/>
        <w:rPr>
          <w:sz w:val="20"/>
        </w:rPr>
      </w:pPr>
      <w:r>
        <w:rPr>
          <w:sz w:val="20"/>
        </w:rPr>
        <w:t>Design</w:t>
      </w:r>
      <w:r>
        <w:rPr>
          <w:spacing w:val="-9"/>
          <w:sz w:val="20"/>
        </w:rPr>
        <w:t> </w:t>
      </w:r>
      <w:r>
        <w:rPr>
          <w:sz w:val="20"/>
        </w:rPr>
        <w:t>an</w:t>
      </w:r>
      <w:r>
        <w:rPr>
          <w:spacing w:val="-9"/>
          <w:sz w:val="20"/>
        </w:rPr>
        <w:t> </w:t>
      </w:r>
      <w:r>
        <w:rPr>
          <w:i/>
          <w:sz w:val="20"/>
        </w:rPr>
        <w:t>architectural</w:t>
      </w:r>
      <w:r>
        <w:rPr>
          <w:i/>
          <w:spacing w:val="-9"/>
          <w:sz w:val="20"/>
        </w:rPr>
        <w:t> </w:t>
      </w:r>
      <w:r>
        <w:rPr>
          <w:sz w:val="20"/>
        </w:rPr>
        <w:t>artifact</w:t>
      </w:r>
      <w:r>
        <w:rPr>
          <w:spacing w:val="-11"/>
          <w:sz w:val="20"/>
        </w:rPr>
        <w:t> </w:t>
      </w:r>
      <w:r>
        <w:rPr>
          <w:sz w:val="20"/>
        </w:rPr>
        <w:t>demonstrating</w:t>
      </w:r>
      <w:r>
        <w:rPr>
          <w:spacing w:val="-8"/>
          <w:sz w:val="20"/>
        </w:rPr>
        <w:t> </w:t>
      </w:r>
      <w:r>
        <w:rPr>
          <w:sz w:val="20"/>
        </w:rPr>
        <w:t>basic</w:t>
      </w:r>
      <w:r>
        <w:rPr>
          <w:spacing w:val="-10"/>
          <w:sz w:val="20"/>
        </w:rPr>
        <w:t> </w:t>
      </w:r>
      <w:r>
        <w:rPr>
          <w:sz w:val="20"/>
        </w:rPr>
        <w:t>requirements</w:t>
      </w:r>
      <w:r>
        <w:rPr>
          <w:spacing w:val="-10"/>
          <w:sz w:val="20"/>
        </w:rPr>
        <w:t> </w:t>
      </w:r>
      <w:r>
        <w:rPr>
          <w:sz w:val="20"/>
        </w:rPr>
        <w:t>for</w:t>
      </w:r>
      <w:r>
        <w:rPr>
          <w:spacing w:val="-10"/>
          <w:sz w:val="20"/>
        </w:rPr>
        <w:t> </w:t>
      </w:r>
      <w:r>
        <w:rPr>
          <w:sz w:val="20"/>
        </w:rPr>
        <w:t>universal</w:t>
      </w:r>
      <w:r>
        <w:rPr>
          <w:spacing w:val="-9"/>
          <w:sz w:val="20"/>
        </w:rPr>
        <w:t> </w:t>
      </w:r>
      <w:r>
        <w:rPr>
          <w:spacing w:val="-2"/>
          <w:sz w:val="20"/>
        </w:rPr>
        <w:t>accessibility.</w:t>
      </w:r>
    </w:p>
    <w:p>
      <w:pPr>
        <w:pStyle w:val="ListParagraph"/>
        <w:numPr>
          <w:ilvl w:val="0"/>
          <w:numId w:val="43"/>
        </w:numPr>
        <w:tabs>
          <w:tab w:pos="1159" w:val="left" w:leader="none"/>
          <w:tab w:pos="1160" w:val="left" w:leader="none"/>
        </w:tabs>
        <w:spacing w:line="242" w:lineRule="auto" w:before="12" w:after="0"/>
        <w:ind w:left="1159" w:right="1073" w:hanging="360"/>
        <w:jc w:val="left"/>
        <w:rPr>
          <w:sz w:val="20"/>
        </w:rPr>
      </w:pPr>
      <w:r>
        <w:rPr>
          <w:sz w:val="20"/>
        </w:rPr>
        <w:t>Design</w:t>
      </w:r>
      <w:r>
        <w:rPr>
          <w:spacing w:val="-3"/>
          <w:sz w:val="20"/>
        </w:rPr>
        <w:t> </w:t>
      </w:r>
      <w:r>
        <w:rPr>
          <w:sz w:val="20"/>
        </w:rPr>
        <w:t>an</w:t>
      </w:r>
      <w:r>
        <w:rPr>
          <w:spacing w:val="-3"/>
          <w:sz w:val="20"/>
        </w:rPr>
        <w:t> </w:t>
      </w:r>
      <w:r>
        <w:rPr>
          <w:i/>
          <w:sz w:val="20"/>
        </w:rPr>
        <w:t>architectural</w:t>
      </w:r>
      <w:r>
        <w:rPr>
          <w:i/>
          <w:spacing w:val="-3"/>
          <w:sz w:val="20"/>
        </w:rPr>
        <w:t> </w:t>
      </w:r>
      <w:r>
        <w:rPr>
          <w:sz w:val="20"/>
        </w:rPr>
        <w:t>artifact</w:t>
      </w:r>
      <w:r>
        <w:rPr>
          <w:spacing w:val="-5"/>
          <w:sz w:val="20"/>
        </w:rPr>
        <w:t> </w:t>
      </w:r>
      <w:r>
        <w:rPr>
          <w:sz w:val="20"/>
        </w:rPr>
        <w:t>demonstrating</w:t>
      </w:r>
      <w:r>
        <w:rPr>
          <w:spacing w:val="-3"/>
          <w:sz w:val="20"/>
        </w:rPr>
        <w:t> </w:t>
      </w:r>
      <w:r>
        <w:rPr>
          <w:sz w:val="20"/>
        </w:rPr>
        <w:t>consideration</w:t>
      </w:r>
      <w:r>
        <w:rPr>
          <w:spacing w:val="-5"/>
          <w:sz w:val="20"/>
        </w:rPr>
        <w:t> </w:t>
      </w:r>
      <w:r>
        <w:rPr>
          <w:sz w:val="20"/>
        </w:rPr>
        <w:t>of</w:t>
      </w:r>
      <w:r>
        <w:rPr>
          <w:spacing w:val="-3"/>
          <w:sz w:val="20"/>
        </w:rPr>
        <w:t> </w:t>
      </w:r>
      <w:r>
        <w:rPr>
          <w:sz w:val="20"/>
        </w:rPr>
        <w:t>basic</w:t>
      </w:r>
      <w:r>
        <w:rPr>
          <w:spacing w:val="-1"/>
          <w:sz w:val="20"/>
        </w:rPr>
        <w:t> </w:t>
      </w:r>
      <w:r>
        <w:rPr>
          <w:sz w:val="20"/>
        </w:rPr>
        <w:t>human</w:t>
      </w:r>
      <w:r>
        <w:rPr>
          <w:spacing w:val="-5"/>
          <w:sz w:val="20"/>
        </w:rPr>
        <w:t> </w:t>
      </w:r>
      <w:r>
        <w:rPr>
          <w:sz w:val="20"/>
        </w:rPr>
        <w:t>habits,</w:t>
      </w:r>
      <w:r>
        <w:rPr>
          <w:spacing w:val="-5"/>
          <w:sz w:val="20"/>
        </w:rPr>
        <w:t> </w:t>
      </w:r>
      <w:r>
        <w:rPr>
          <w:sz w:val="20"/>
        </w:rPr>
        <w:t>customs, needs (human behavior).</w:t>
      </w:r>
    </w:p>
    <w:p>
      <w:pPr>
        <w:pStyle w:val="ListParagraph"/>
        <w:numPr>
          <w:ilvl w:val="0"/>
          <w:numId w:val="43"/>
        </w:numPr>
        <w:tabs>
          <w:tab w:pos="1159" w:val="left" w:leader="none"/>
          <w:tab w:pos="1160" w:val="left" w:leader="none"/>
        </w:tabs>
        <w:spacing w:line="240" w:lineRule="auto" w:before="11" w:after="0"/>
        <w:ind w:left="1159" w:right="1046" w:hanging="360"/>
        <w:jc w:val="left"/>
        <w:rPr>
          <w:color w:val="303030"/>
          <w:sz w:val="20"/>
        </w:rPr>
      </w:pPr>
      <w:r>
        <w:rPr>
          <w:color w:val="303030"/>
          <w:sz w:val="20"/>
        </w:rPr>
        <w:t>Compose</w:t>
      </w:r>
      <w:r>
        <w:rPr>
          <w:color w:val="303030"/>
          <w:spacing w:val="-5"/>
          <w:sz w:val="20"/>
        </w:rPr>
        <w:t> </w:t>
      </w:r>
      <w:r>
        <w:rPr>
          <w:color w:val="303030"/>
          <w:sz w:val="20"/>
        </w:rPr>
        <w:t>(design)</w:t>
      </w:r>
      <w:r>
        <w:rPr>
          <w:color w:val="303030"/>
          <w:spacing w:val="-4"/>
          <w:sz w:val="20"/>
        </w:rPr>
        <w:t> </w:t>
      </w:r>
      <w:r>
        <w:rPr>
          <w:color w:val="303030"/>
          <w:sz w:val="20"/>
        </w:rPr>
        <w:t>the</w:t>
      </w:r>
      <w:r>
        <w:rPr>
          <w:color w:val="303030"/>
          <w:spacing w:val="-5"/>
          <w:sz w:val="20"/>
        </w:rPr>
        <w:t> </w:t>
      </w:r>
      <w:r>
        <w:rPr>
          <w:color w:val="303030"/>
          <w:sz w:val="20"/>
        </w:rPr>
        <w:t>presentation</w:t>
      </w:r>
      <w:r>
        <w:rPr>
          <w:color w:val="303030"/>
          <w:spacing w:val="-5"/>
          <w:sz w:val="20"/>
        </w:rPr>
        <w:t> </w:t>
      </w:r>
      <w:r>
        <w:rPr>
          <w:color w:val="303030"/>
          <w:sz w:val="20"/>
        </w:rPr>
        <w:t>for</w:t>
      </w:r>
      <w:r>
        <w:rPr>
          <w:color w:val="303030"/>
          <w:spacing w:val="-4"/>
          <w:sz w:val="20"/>
        </w:rPr>
        <w:t> </w:t>
      </w:r>
      <w:r>
        <w:rPr>
          <w:color w:val="303030"/>
          <w:sz w:val="20"/>
        </w:rPr>
        <w:t>an</w:t>
      </w:r>
      <w:r>
        <w:rPr>
          <w:color w:val="303030"/>
          <w:spacing w:val="-5"/>
          <w:sz w:val="20"/>
        </w:rPr>
        <w:t> </w:t>
      </w:r>
      <w:r>
        <w:rPr>
          <w:b/>
          <w:color w:val="303030"/>
          <w:sz w:val="20"/>
        </w:rPr>
        <w:t>architectural</w:t>
      </w:r>
      <w:r>
        <w:rPr>
          <w:b/>
          <w:color w:val="303030"/>
          <w:spacing w:val="-3"/>
          <w:sz w:val="20"/>
        </w:rPr>
        <w:t> </w:t>
      </w:r>
      <w:r>
        <w:rPr>
          <w:color w:val="303030"/>
          <w:sz w:val="20"/>
        </w:rPr>
        <w:t>object</w:t>
      </w:r>
      <w:r>
        <w:rPr>
          <w:color w:val="303030"/>
          <w:spacing w:val="-3"/>
          <w:sz w:val="20"/>
        </w:rPr>
        <w:t> </w:t>
      </w:r>
      <w:r>
        <w:rPr>
          <w:color w:val="303030"/>
          <w:sz w:val="20"/>
        </w:rPr>
        <w:t>using</w:t>
      </w:r>
      <w:r>
        <w:rPr>
          <w:color w:val="303030"/>
          <w:spacing w:val="-3"/>
          <w:sz w:val="20"/>
        </w:rPr>
        <w:t> </w:t>
      </w:r>
      <w:r>
        <w:rPr>
          <w:color w:val="303030"/>
          <w:sz w:val="20"/>
        </w:rPr>
        <w:t>plan,</w:t>
      </w:r>
      <w:r>
        <w:rPr>
          <w:color w:val="303030"/>
          <w:spacing w:val="-5"/>
          <w:sz w:val="20"/>
        </w:rPr>
        <w:t> </w:t>
      </w:r>
      <w:r>
        <w:rPr>
          <w:color w:val="303030"/>
          <w:sz w:val="20"/>
        </w:rPr>
        <w:t>section,</w:t>
      </w:r>
      <w:r>
        <w:rPr>
          <w:color w:val="303030"/>
          <w:spacing w:val="-5"/>
          <w:sz w:val="20"/>
        </w:rPr>
        <w:t> </w:t>
      </w:r>
      <w:r>
        <w:rPr>
          <w:color w:val="303030"/>
          <w:sz w:val="20"/>
        </w:rPr>
        <w:t>elevation, axonometric, and perspective.</w:t>
      </w:r>
    </w:p>
    <w:p>
      <w:pPr>
        <w:pStyle w:val="ListParagraph"/>
        <w:numPr>
          <w:ilvl w:val="0"/>
          <w:numId w:val="43"/>
        </w:numPr>
        <w:tabs>
          <w:tab w:pos="1159" w:val="left" w:leader="none"/>
          <w:tab w:pos="1160" w:val="left" w:leader="none"/>
        </w:tabs>
        <w:spacing w:line="240" w:lineRule="auto" w:before="15" w:after="0"/>
        <w:ind w:left="1159" w:right="0" w:hanging="361"/>
        <w:jc w:val="left"/>
        <w:rPr>
          <w:color w:val="303030"/>
          <w:sz w:val="20"/>
        </w:rPr>
      </w:pPr>
      <w:r>
        <w:rPr>
          <w:color w:val="303030"/>
          <w:sz w:val="20"/>
        </w:rPr>
        <w:t>Use</w:t>
      </w:r>
      <w:r>
        <w:rPr>
          <w:color w:val="303030"/>
          <w:spacing w:val="-7"/>
          <w:sz w:val="20"/>
        </w:rPr>
        <w:t> </w:t>
      </w:r>
      <w:r>
        <w:rPr>
          <w:color w:val="303030"/>
          <w:sz w:val="20"/>
        </w:rPr>
        <w:t>materials</w:t>
      </w:r>
      <w:r>
        <w:rPr>
          <w:color w:val="303030"/>
          <w:spacing w:val="-6"/>
          <w:sz w:val="20"/>
        </w:rPr>
        <w:t> </w:t>
      </w:r>
      <w:r>
        <w:rPr>
          <w:color w:val="303030"/>
          <w:sz w:val="20"/>
        </w:rPr>
        <w:t>ensuring</w:t>
      </w:r>
      <w:r>
        <w:rPr>
          <w:color w:val="303030"/>
          <w:spacing w:val="-5"/>
          <w:sz w:val="20"/>
        </w:rPr>
        <w:t> </w:t>
      </w:r>
      <w:r>
        <w:rPr>
          <w:color w:val="303030"/>
          <w:sz w:val="20"/>
        </w:rPr>
        <w:t>the</w:t>
      </w:r>
      <w:r>
        <w:rPr>
          <w:color w:val="303030"/>
          <w:spacing w:val="-5"/>
          <w:sz w:val="20"/>
        </w:rPr>
        <w:t> </w:t>
      </w:r>
      <w:r>
        <w:rPr>
          <w:color w:val="303030"/>
          <w:sz w:val="20"/>
        </w:rPr>
        <w:t>economy</w:t>
      </w:r>
      <w:r>
        <w:rPr>
          <w:color w:val="303030"/>
          <w:spacing w:val="-9"/>
          <w:sz w:val="20"/>
        </w:rPr>
        <w:t> </w:t>
      </w:r>
      <w:r>
        <w:rPr>
          <w:color w:val="303030"/>
          <w:sz w:val="20"/>
        </w:rPr>
        <w:t>of</w:t>
      </w:r>
      <w:r>
        <w:rPr>
          <w:color w:val="303030"/>
          <w:spacing w:val="-7"/>
          <w:sz w:val="20"/>
        </w:rPr>
        <w:t> </w:t>
      </w:r>
      <w:r>
        <w:rPr>
          <w:color w:val="303030"/>
          <w:sz w:val="20"/>
        </w:rPr>
        <w:t>means</w:t>
      </w:r>
      <w:r>
        <w:rPr>
          <w:color w:val="303030"/>
          <w:spacing w:val="-6"/>
          <w:sz w:val="20"/>
        </w:rPr>
        <w:t> </w:t>
      </w:r>
      <w:r>
        <w:rPr>
          <w:color w:val="303030"/>
          <w:sz w:val="20"/>
        </w:rPr>
        <w:t>and</w:t>
      </w:r>
      <w:r>
        <w:rPr>
          <w:color w:val="303030"/>
          <w:spacing w:val="-7"/>
          <w:sz w:val="20"/>
        </w:rPr>
        <w:t> </w:t>
      </w:r>
      <w:r>
        <w:rPr>
          <w:color w:val="303030"/>
          <w:sz w:val="20"/>
        </w:rPr>
        <w:t>reduction</w:t>
      </w:r>
      <w:r>
        <w:rPr>
          <w:color w:val="303030"/>
          <w:spacing w:val="-5"/>
          <w:sz w:val="20"/>
        </w:rPr>
        <w:t> </w:t>
      </w:r>
      <w:r>
        <w:rPr>
          <w:color w:val="303030"/>
          <w:sz w:val="20"/>
        </w:rPr>
        <w:t>of</w:t>
      </w:r>
      <w:r>
        <w:rPr>
          <w:color w:val="303030"/>
          <w:spacing w:val="-5"/>
          <w:sz w:val="20"/>
        </w:rPr>
        <w:t> </w:t>
      </w:r>
      <w:r>
        <w:rPr>
          <w:color w:val="303030"/>
          <w:spacing w:val="-2"/>
          <w:sz w:val="20"/>
        </w:rPr>
        <w:t>waste.</w:t>
      </w:r>
    </w:p>
    <w:p>
      <w:pPr>
        <w:pStyle w:val="ListParagraph"/>
        <w:numPr>
          <w:ilvl w:val="0"/>
          <w:numId w:val="43"/>
        </w:numPr>
        <w:tabs>
          <w:tab w:pos="1159" w:val="left" w:leader="none"/>
          <w:tab w:pos="1160" w:val="left" w:leader="none"/>
        </w:tabs>
        <w:spacing w:line="240" w:lineRule="auto" w:before="13" w:after="0"/>
        <w:ind w:left="1159" w:right="621" w:hanging="360"/>
        <w:jc w:val="left"/>
        <w:rPr>
          <w:sz w:val="20"/>
        </w:rPr>
      </w:pPr>
      <w:r>
        <w:rPr>
          <w:sz w:val="20"/>
        </w:rPr>
        <w:t>Represent</w:t>
      </w:r>
      <w:r>
        <w:rPr>
          <w:spacing w:val="-4"/>
          <w:sz w:val="20"/>
        </w:rPr>
        <w:t> </w:t>
      </w:r>
      <w:r>
        <w:rPr>
          <w:sz w:val="20"/>
        </w:rPr>
        <w:t>existing</w:t>
      </w:r>
      <w:r>
        <w:rPr>
          <w:spacing w:val="-2"/>
          <w:sz w:val="20"/>
        </w:rPr>
        <w:t> </w:t>
      </w:r>
      <w:r>
        <w:rPr>
          <w:sz w:val="20"/>
        </w:rPr>
        <w:t>buildings</w:t>
      </w:r>
      <w:r>
        <w:rPr>
          <w:spacing w:val="-3"/>
          <w:sz w:val="20"/>
        </w:rPr>
        <w:t> </w:t>
      </w:r>
      <w:r>
        <w:rPr>
          <w:sz w:val="20"/>
        </w:rPr>
        <w:t>and</w:t>
      </w:r>
      <w:r>
        <w:rPr>
          <w:spacing w:val="-4"/>
          <w:sz w:val="20"/>
        </w:rPr>
        <w:t> </w:t>
      </w:r>
      <w:r>
        <w:rPr>
          <w:sz w:val="20"/>
        </w:rPr>
        <w:t>sites</w:t>
      </w:r>
      <w:r>
        <w:rPr>
          <w:spacing w:val="-3"/>
          <w:sz w:val="20"/>
        </w:rPr>
        <w:t> </w:t>
      </w:r>
      <w:r>
        <w:rPr>
          <w:sz w:val="20"/>
        </w:rPr>
        <w:t>through</w:t>
      </w:r>
      <w:r>
        <w:rPr>
          <w:spacing w:val="-4"/>
          <w:sz w:val="20"/>
        </w:rPr>
        <w:t> </w:t>
      </w:r>
      <w:r>
        <w:rPr>
          <w:sz w:val="20"/>
        </w:rPr>
        <w:t>freehand</w:t>
      </w:r>
      <w:r>
        <w:rPr>
          <w:spacing w:val="-4"/>
          <w:sz w:val="20"/>
        </w:rPr>
        <w:t> </w:t>
      </w:r>
      <w:r>
        <w:rPr>
          <w:sz w:val="20"/>
        </w:rPr>
        <w:t>sketches,</w:t>
      </w:r>
      <w:r>
        <w:rPr>
          <w:spacing w:val="-4"/>
          <w:sz w:val="20"/>
        </w:rPr>
        <w:t> </w:t>
      </w:r>
      <w:r>
        <w:rPr>
          <w:sz w:val="20"/>
        </w:rPr>
        <w:t>2D</w:t>
      </w:r>
      <w:r>
        <w:rPr>
          <w:spacing w:val="-4"/>
          <w:sz w:val="20"/>
        </w:rPr>
        <w:t> </w:t>
      </w:r>
      <w:r>
        <w:rPr>
          <w:sz w:val="20"/>
        </w:rPr>
        <w:t>line</w:t>
      </w:r>
      <w:r>
        <w:rPr>
          <w:spacing w:val="-2"/>
          <w:sz w:val="20"/>
        </w:rPr>
        <w:t> </w:t>
      </w:r>
      <w:r>
        <w:rPr>
          <w:sz w:val="20"/>
        </w:rPr>
        <w:t>and</w:t>
      </w:r>
      <w:r>
        <w:rPr>
          <w:spacing w:val="-4"/>
          <w:sz w:val="20"/>
        </w:rPr>
        <w:t> </w:t>
      </w:r>
      <w:r>
        <w:rPr>
          <w:sz w:val="20"/>
        </w:rPr>
        <w:t>color</w:t>
      </w:r>
      <w:r>
        <w:rPr>
          <w:spacing w:val="-3"/>
          <w:sz w:val="20"/>
        </w:rPr>
        <w:t> </w:t>
      </w:r>
      <w:r>
        <w:rPr>
          <w:sz w:val="20"/>
        </w:rPr>
        <w:t>diagrams,</w:t>
      </w:r>
      <w:r>
        <w:rPr>
          <w:spacing w:val="-4"/>
          <w:sz w:val="20"/>
        </w:rPr>
        <w:t> </w:t>
      </w:r>
      <w:r>
        <w:rPr>
          <w:sz w:val="20"/>
        </w:rPr>
        <w:t>3D analytical models, and precise orthographic projections (plan, section, elevation).</w:t>
      </w:r>
    </w:p>
    <w:p>
      <w:pPr>
        <w:pStyle w:val="ListParagraph"/>
        <w:numPr>
          <w:ilvl w:val="0"/>
          <w:numId w:val="43"/>
        </w:numPr>
        <w:tabs>
          <w:tab w:pos="1159" w:val="left" w:leader="none"/>
          <w:tab w:pos="1160" w:val="left" w:leader="none"/>
        </w:tabs>
        <w:spacing w:line="240" w:lineRule="auto" w:before="15" w:after="0"/>
        <w:ind w:left="1159" w:right="1356" w:hanging="360"/>
        <w:jc w:val="left"/>
        <w:rPr>
          <w:color w:val="303030"/>
          <w:sz w:val="20"/>
        </w:rPr>
      </w:pPr>
      <w:r>
        <w:rPr>
          <w:color w:val="303030"/>
          <w:sz w:val="20"/>
        </w:rPr>
        <w:t>Use</w:t>
      </w:r>
      <w:r>
        <w:rPr>
          <w:color w:val="303030"/>
          <w:spacing w:val="-5"/>
          <w:sz w:val="20"/>
        </w:rPr>
        <w:t> </w:t>
      </w:r>
      <w:r>
        <w:rPr>
          <w:color w:val="303030"/>
          <w:sz w:val="20"/>
        </w:rPr>
        <w:t>architectural</w:t>
      </w:r>
      <w:r>
        <w:rPr>
          <w:color w:val="303030"/>
          <w:spacing w:val="-4"/>
          <w:sz w:val="20"/>
        </w:rPr>
        <w:t> </w:t>
      </w:r>
      <w:r>
        <w:rPr>
          <w:color w:val="303030"/>
          <w:sz w:val="20"/>
        </w:rPr>
        <w:t>tools</w:t>
      </w:r>
      <w:r>
        <w:rPr>
          <w:color w:val="303030"/>
          <w:spacing w:val="-4"/>
          <w:sz w:val="20"/>
        </w:rPr>
        <w:t> </w:t>
      </w:r>
      <w:r>
        <w:rPr>
          <w:color w:val="303030"/>
          <w:sz w:val="20"/>
        </w:rPr>
        <w:t>and</w:t>
      </w:r>
      <w:r>
        <w:rPr>
          <w:color w:val="303030"/>
          <w:spacing w:val="-3"/>
          <w:sz w:val="20"/>
        </w:rPr>
        <w:t> </w:t>
      </w:r>
      <w:r>
        <w:rPr>
          <w:color w:val="303030"/>
          <w:sz w:val="20"/>
        </w:rPr>
        <w:t>conventions</w:t>
      </w:r>
      <w:r>
        <w:rPr>
          <w:color w:val="303030"/>
          <w:spacing w:val="-4"/>
          <w:sz w:val="20"/>
        </w:rPr>
        <w:t> </w:t>
      </w:r>
      <w:r>
        <w:rPr>
          <w:color w:val="303030"/>
          <w:sz w:val="20"/>
        </w:rPr>
        <w:t>to</w:t>
      </w:r>
      <w:r>
        <w:rPr>
          <w:color w:val="303030"/>
          <w:spacing w:val="-3"/>
          <w:sz w:val="20"/>
        </w:rPr>
        <w:t> </w:t>
      </w:r>
      <w:r>
        <w:rPr>
          <w:color w:val="303030"/>
          <w:sz w:val="20"/>
        </w:rPr>
        <w:t>generate</w:t>
      </w:r>
      <w:r>
        <w:rPr>
          <w:color w:val="303030"/>
          <w:spacing w:val="-5"/>
          <w:sz w:val="20"/>
        </w:rPr>
        <w:t> </w:t>
      </w:r>
      <w:r>
        <w:rPr>
          <w:color w:val="303030"/>
          <w:sz w:val="20"/>
        </w:rPr>
        <w:t>2D</w:t>
      </w:r>
      <w:r>
        <w:rPr>
          <w:color w:val="303030"/>
          <w:spacing w:val="-2"/>
          <w:sz w:val="20"/>
        </w:rPr>
        <w:t> </w:t>
      </w:r>
      <w:r>
        <w:rPr>
          <w:color w:val="303030"/>
          <w:sz w:val="20"/>
        </w:rPr>
        <w:t>and</w:t>
      </w:r>
      <w:r>
        <w:rPr>
          <w:color w:val="303030"/>
          <w:spacing w:val="-3"/>
          <w:sz w:val="20"/>
        </w:rPr>
        <w:t> </w:t>
      </w:r>
      <w:r>
        <w:rPr>
          <w:color w:val="303030"/>
          <w:sz w:val="20"/>
        </w:rPr>
        <w:t>3D</w:t>
      </w:r>
      <w:r>
        <w:rPr>
          <w:color w:val="303030"/>
          <w:spacing w:val="-5"/>
          <w:sz w:val="20"/>
        </w:rPr>
        <w:t> </w:t>
      </w:r>
      <w:r>
        <w:rPr>
          <w:color w:val="303030"/>
          <w:sz w:val="20"/>
        </w:rPr>
        <w:t>parti</w:t>
      </w:r>
      <w:r>
        <w:rPr>
          <w:color w:val="303030"/>
          <w:spacing w:val="-4"/>
          <w:sz w:val="20"/>
        </w:rPr>
        <w:t> </w:t>
      </w:r>
      <w:r>
        <w:rPr>
          <w:color w:val="303030"/>
          <w:sz w:val="20"/>
        </w:rPr>
        <w:t>diagrams,</w:t>
      </w:r>
      <w:r>
        <w:rPr>
          <w:color w:val="303030"/>
          <w:spacing w:val="-5"/>
          <w:sz w:val="20"/>
        </w:rPr>
        <w:t> </w:t>
      </w:r>
      <w:r>
        <w:rPr>
          <w:color w:val="303030"/>
          <w:sz w:val="20"/>
        </w:rPr>
        <w:t>schematic drawings and 3D physical study models for architectonic compositions.</w:t>
      </w:r>
    </w:p>
    <w:p>
      <w:pPr>
        <w:pStyle w:val="ListParagraph"/>
        <w:numPr>
          <w:ilvl w:val="0"/>
          <w:numId w:val="43"/>
        </w:numPr>
        <w:tabs>
          <w:tab w:pos="1159" w:val="left" w:leader="none"/>
          <w:tab w:pos="1160" w:val="left" w:leader="none"/>
        </w:tabs>
        <w:spacing w:line="240" w:lineRule="auto" w:before="13" w:after="0"/>
        <w:ind w:left="1159" w:right="0" w:hanging="361"/>
        <w:jc w:val="left"/>
        <w:rPr>
          <w:sz w:val="20"/>
        </w:rPr>
      </w:pPr>
      <w:r>
        <w:rPr>
          <w:sz w:val="20"/>
        </w:rPr>
        <w:t>Use</w:t>
      </w:r>
      <w:r>
        <w:rPr>
          <w:spacing w:val="-9"/>
          <w:sz w:val="20"/>
        </w:rPr>
        <w:t> </w:t>
      </w:r>
      <w:r>
        <w:rPr>
          <w:sz w:val="20"/>
        </w:rPr>
        <w:t>rendering</w:t>
      </w:r>
      <w:r>
        <w:rPr>
          <w:spacing w:val="-7"/>
          <w:sz w:val="20"/>
        </w:rPr>
        <w:t> </w:t>
      </w:r>
      <w:r>
        <w:rPr>
          <w:sz w:val="20"/>
        </w:rPr>
        <w:t>techniques:</w:t>
      </w:r>
      <w:r>
        <w:rPr>
          <w:spacing w:val="-7"/>
          <w:sz w:val="20"/>
        </w:rPr>
        <w:t> </w:t>
      </w:r>
      <w:r>
        <w:rPr>
          <w:sz w:val="20"/>
        </w:rPr>
        <w:t>line</w:t>
      </w:r>
      <w:r>
        <w:rPr>
          <w:spacing w:val="-7"/>
          <w:sz w:val="20"/>
        </w:rPr>
        <w:t> </w:t>
      </w:r>
      <w:r>
        <w:rPr>
          <w:sz w:val="20"/>
        </w:rPr>
        <w:t>weight,</w:t>
      </w:r>
      <w:r>
        <w:rPr>
          <w:spacing w:val="-6"/>
          <w:sz w:val="20"/>
        </w:rPr>
        <w:t> </w:t>
      </w:r>
      <w:r>
        <w:rPr>
          <w:sz w:val="20"/>
        </w:rPr>
        <w:t>line</w:t>
      </w:r>
      <w:r>
        <w:rPr>
          <w:spacing w:val="-7"/>
          <w:sz w:val="20"/>
        </w:rPr>
        <w:t> </w:t>
      </w:r>
      <w:r>
        <w:rPr>
          <w:sz w:val="20"/>
        </w:rPr>
        <w:t>type,</w:t>
      </w:r>
      <w:r>
        <w:rPr>
          <w:spacing w:val="-9"/>
          <w:sz w:val="20"/>
        </w:rPr>
        <w:t> </w:t>
      </w:r>
      <w:r>
        <w:rPr>
          <w:sz w:val="20"/>
        </w:rPr>
        <w:t>shade/shadow,</w:t>
      </w:r>
      <w:r>
        <w:rPr>
          <w:spacing w:val="-8"/>
          <w:sz w:val="20"/>
        </w:rPr>
        <w:t> </w:t>
      </w:r>
      <w:r>
        <w:rPr>
          <w:sz w:val="20"/>
        </w:rPr>
        <w:t>material</w:t>
      </w:r>
      <w:r>
        <w:rPr>
          <w:spacing w:val="-10"/>
          <w:sz w:val="20"/>
        </w:rPr>
        <w:t> </w:t>
      </w:r>
      <w:r>
        <w:rPr>
          <w:sz w:val="20"/>
        </w:rPr>
        <w:t>texture,</w:t>
      </w:r>
      <w:r>
        <w:rPr>
          <w:spacing w:val="-7"/>
          <w:sz w:val="20"/>
        </w:rPr>
        <w:t> </w:t>
      </w:r>
      <w:r>
        <w:rPr>
          <w:sz w:val="20"/>
        </w:rPr>
        <w:t>and</w:t>
      </w:r>
      <w:r>
        <w:rPr>
          <w:spacing w:val="-8"/>
          <w:sz w:val="20"/>
        </w:rPr>
        <w:t> </w:t>
      </w:r>
      <w:r>
        <w:rPr>
          <w:spacing w:val="-2"/>
          <w:sz w:val="20"/>
        </w:rPr>
        <w:t>color.</w:t>
      </w:r>
    </w:p>
    <w:p>
      <w:pPr>
        <w:pStyle w:val="ListParagraph"/>
        <w:numPr>
          <w:ilvl w:val="0"/>
          <w:numId w:val="43"/>
        </w:numPr>
        <w:tabs>
          <w:tab w:pos="1159" w:val="left" w:leader="none"/>
          <w:tab w:pos="1160" w:val="left" w:leader="none"/>
        </w:tabs>
        <w:spacing w:line="240" w:lineRule="auto" w:before="13" w:after="0"/>
        <w:ind w:left="1159" w:right="0" w:hanging="361"/>
        <w:jc w:val="left"/>
        <w:rPr>
          <w:sz w:val="20"/>
        </w:rPr>
      </w:pPr>
      <w:r>
        <w:rPr>
          <w:sz w:val="20"/>
        </w:rPr>
        <w:t>Use</w:t>
      </w:r>
      <w:r>
        <w:rPr>
          <w:spacing w:val="-9"/>
          <w:sz w:val="20"/>
        </w:rPr>
        <w:t> </w:t>
      </w:r>
      <w:r>
        <w:rPr>
          <w:sz w:val="20"/>
        </w:rPr>
        <w:t>Wood</w:t>
      </w:r>
      <w:r>
        <w:rPr>
          <w:spacing w:val="-4"/>
          <w:sz w:val="20"/>
        </w:rPr>
        <w:t> </w:t>
      </w:r>
      <w:r>
        <w:rPr>
          <w:sz w:val="20"/>
        </w:rPr>
        <w:t>Shop</w:t>
      </w:r>
      <w:r>
        <w:rPr>
          <w:spacing w:val="-4"/>
          <w:sz w:val="20"/>
        </w:rPr>
        <w:t> </w:t>
      </w:r>
      <w:r>
        <w:rPr>
          <w:sz w:val="20"/>
        </w:rPr>
        <w:t>and</w:t>
      </w:r>
      <w:r>
        <w:rPr>
          <w:spacing w:val="-4"/>
          <w:sz w:val="20"/>
        </w:rPr>
        <w:t> </w:t>
      </w:r>
      <w:r>
        <w:rPr>
          <w:sz w:val="20"/>
        </w:rPr>
        <w:t>tools</w:t>
      </w:r>
      <w:r>
        <w:rPr>
          <w:spacing w:val="-3"/>
          <w:sz w:val="20"/>
        </w:rPr>
        <w:t> </w:t>
      </w:r>
      <w:r>
        <w:rPr>
          <w:sz w:val="20"/>
        </w:rPr>
        <w:t>to</w:t>
      </w:r>
      <w:r>
        <w:rPr>
          <w:spacing w:val="-4"/>
          <w:sz w:val="20"/>
        </w:rPr>
        <w:t> </w:t>
      </w:r>
      <w:r>
        <w:rPr>
          <w:sz w:val="20"/>
        </w:rPr>
        <w:t>make</w:t>
      </w:r>
      <w:r>
        <w:rPr>
          <w:spacing w:val="-4"/>
          <w:sz w:val="20"/>
        </w:rPr>
        <w:t> </w:t>
      </w:r>
      <w:r>
        <w:rPr>
          <w:sz w:val="20"/>
        </w:rPr>
        <w:t>parts</w:t>
      </w:r>
      <w:r>
        <w:rPr>
          <w:spacing w:val="-3"/>
          <w:sz w:val="20"/>
        </w:rPr>
        <w:t> </w:t>
      </w:r>
      <w:r>
        <w:rPr>
          <w:sz w:val="20"/>
        </w:rPr>
        <w:t>or</w:t>
      </w:r>
      <w:r>
        <w:rPr>
          <w:spacing w:val="-3"/>
          <w:sz w:val="20"/>
        </w:rPr>
        <w:t> </w:t>
      </w:r>
      <w:r>
        <w:rPr>
          <w:sz w:val="20"/>
        </w:rPr>
        <w:t>full</w:t>
      </w:r>
      <w:r>
        <w:rPr>
          <w:spacing w:val="-5"/>
          <w:sz w:val="20"/>
        </w:rPr>
        <w:t> </w:t>
      </w:r>
      <w:r>
        <w:rPr>
          <w:sz w:val="20"/>
        </w:rPr>
        <w:t>models</w:t>
      </w:r>
      <w:r>
        <w:rPr>
          <w:spacing w:val="-3"/>
          <w:sz w:val="20"/>
        </w:rPr>
        <w:t> </w:t>
      </w:r>
      <w:r>
        <w:rPr>
          <w:sz w:val="20"/>
        </w:rPr>
        <w:t>for</w:t>
      </w:r>
      <w:r>
        <w:rPr>
          <w:spacing w:val="-3"/>
          <w:sz w:val="20"/>
        </w:rPr>
        <w:t> </w:t>
      </w:r>
      <w:r>
        <w:rPr>
          <w:sz w:val="20"/>
        </w:rPr>
        <w:t>study</w:t>
      </w:r>
      <w:r>
        <w:rPr>
          <w:spacing w:val="-7"/>
          <w:sz w:val="20"/>
        </w:rPr>
        <w:t> </w:t>
      </w:r>
      <w:r>
        <w:rPr>
          <w:sz w:val="20"/>
        </w:rPr>
        <w:t>and</w:t>
      </w:r>
      <w:r>
        <w:rPr>
          <w:spacing w:val="-4"/>
          <w:sz w:val="20"/>
        </w:rPr>
        <w:t> </w:t>
      </w:r>
      <w:r>
        <w:rPr>
          <w:spacing w:val="-2"/>
          <w:sz w:val="20"/>
        </w:rPr>
        <w:t>exhibition.</w:t>
      </w:r>
    </w:p>
    <w:p>
      <w:pPr>
        <w:pStyle w:val="ListParagraph"/>
        <w:numPr>
          <w:ilvl w:val="0"/>
          <w:numId w:val="43"/>
        </w:numPr>
        <w:tabs>
          <w:tab w:pos="1159" w:val="left" w:leader="none"/>
          <w:tab w:pos="1160" w:val="left" w:leader="none"/>
        </w:tabs>
        <w:spacing w:line="240" w:lineRule="auto" w:before="14" w:after="0"/>
        <w:ind w:left="1160" w:right="931" w:hanging="360"/>
        <w:jc w:val="left"/>
        <w:rPr>
          <w:color w:val="303030"/>
          <w:sz w:val="20"/>
        </w:rPr>
      </w:pPr>
      <w:r>
        <w:rPr>
          <w:color w:val="303030"/>
          <w:sz w:val="20"/>
        </w:rPr>
        <w:t>Generate</w:t>
      </w:r>
      <w:r>
        <w:rPr>
          <w:color w:val="303030"/>
          <w:spacing w:val="-3"/>
          <w:sz w:val="20"/>
        </w:rPr>
        <w:t> </w:t>
      </w:r>
      <w:r>
        <w:rPr>
          <w:color w:val="303030"/>
          <w:sz w:val="20"/>
        </w:rPr>
        <w:t>analysis</w:t>
      </w:r>
      <w:r>
        <w:rPr>
          <w:color w:val="303030"/>
          <w:spacing w:val="-4"/>
          <w:sz w:val="20"/>
        </w:rPr>
        <w:t> </w:t>
      </w:r>
      <w:r>
        <w:rPr>
          <w:color w:val="303030"/>
          <w:sz w:val="20"/>
        </w:rPr>
        <w:t>or</w:t>
      </w:r>
      <w:r>
        <w:rPr>
          <w:color w:val="303030"/>
          <w:spacing w:val="-4"/>
          <w:sz w:val="20"/>
        </w:rPr>
        <w:t> </w:t>
      </w:r>
      <w:r>
        <w:rPr>
          <w:color w:val="303030"/>
          <w:sz w:val="20"/>
        </w:rPr>
        <w:t>documentation</w:t>
      </w:r>
      <w:r>
        <w:rPr>
          <w:color w:val="303030"/>
          <w:spacing w:val="-5"/>
          <w:sz w:val="20"/>
        </w:rPr>
        <w:t> </w:t>
      </w:r>
      <w:r>
        <w:rPr>
          <w:color w:val="303030"/>
          <w:sz w:val="20"/>
        </w:rPr>
        <w:t>project</w:t>
      </w:r>
      <w:r>
        <w:rPr>
          <w:color w:val="303030"/>
          <w:spacing w:val="-5"/>
          <w:sz w:val="20"/>
        </w:rPr>
        <w:t> </w:t>
      </w:r>
      <w:r>
        <w:rPr>
          <w:color w:val="303030"/>
          <w:sz w:val="20"/>
        </w:rPr>
        <w:t>in</w:t>
      </w:r>
      <w:r>
        <w:rPr>
          <w:color w:val="303030"/>
          <w:spacing w:val="-5"/>
          <w:sz w:val="20"/>
        </w:rPr>
        <w:t> </w:t>
      </w:r>
      <w:r>
        <w:rPr>
          <w:color w:val="303030"/>
          <w:sz w:val="20"/>
        </w:rPr>
        <w:t>collaboration with</w:t>
      </w:r>
      <w:r>
        <w:rPr>
          <w:color w:val="303030"/>
          <w:spacing w:val="-5"/>
          <w:sz w:val="20"/>
        </w:rPr>
        <w:t> </w:t>
      </w:r>
      <w:r>
        <w:rPr>
          <w:color w:val="303030"/>
          <w:sz w:val="20"/>
        </w:rPr>
        <w:t>others</w:t>
      </w:r>
      <w:r>
        <w:rPr>
          <w:color w:val="303030"/>
          <w:spacing w:val="-4"/>
          <w:sz w:val="20"/>
        </w:rPr>
        <w:t> </w:t>
      </w:r>
      <w:r>
        <w:rPr>
          <w:color w:val="303030"/>
          <w:sz w:val="20"/>
        </w:rPr>
        <w:t>fulfilling</w:t>
      </w:r>
      <w:r>
        <w:rPr>
          <w:color w:val="303030"/>
          <w:spacing w:val="-5"/>
          <w:sz w:val="20"/>
        </w:rPr>
        <w:t> </w:t>
      </w:r>
      <w:r>
        <w:rPr>
          <w:color w:val="303030"/>
          <w:sz w:val="20"/>
        </w:rPr>
        <w:t>all</w:t>
      </w:r>
      <w:r>
        <w:rPr>
          <w:color w:val="303030"/>
          <w:spacing w:val="-6"/>
          <w:sz w:val="20"/>
        </w:rPr>
        <w:t> </w:t>
      </w:r>
      <w:r>
        <w:rPr>
          <w:color w:val="303030"/>
          <w:sz w:val="20"/>
        </w:rPr>
        <w:t>submission requirements on time.</w:t>
      </w:r>
    </w:p>
    <w:p>
      <w:pPr>
        <w:pStyle w:val="ListParagraph"/>
        <w:numPr>
          <w:ilvl w:val="0"/>
          <w:numId w:val="43"/>
        </w:numPr>
        <w:tabs>
          <w:tab w:pos="1159" w:val="left" w:leader="none"/>
          <w:tab w:pos="1160" w:val="left" w:leader="none"/>
        </w:tabs>
        <w:spacing w:line="240" w:lineRule="auto" w:before="13" w:after="0"/>
        <w:ind w:left="1159" w:right="0" w:hanging="360"/>
        <w:jc w:val="left"/>
        <w:rPr>
          <w:sz w:val="20"/>
        </w:rPr>
      </w:pPr>
      <w:r>
        <w:rPr>
          <w:color w:val="303030"/>
          <w:sz w:val="20"/>
        </w:rPr>
        <w:t>Verbally</w:t>
      </w:r>
      <w:r>
        <w:rPr>
          <w:color w:val="303030"/>
          <w:spacing w:val="-8"/>
          <w:sz w:val="20"/>
        </w:rPr>
        <w:t> </w:t>
      </w:r>
      <w:r>
        <w:rPr>
          <w:color w:val="303030"/>
          <w:sz w:val="20"/>
        </w:rPr>
        <w:t>present</w:t>
      </w:r>
      <w:r>
        <w:rPr>
          <w:color w:val="303030"/>
          <w:spacing w:val="-7"/>
          <w:sz w:val="20"/>
        </w:rPr>
        <w:t> </w:t>
      </w:r>
      <w:r>
        <w:rPr>
          <w:color w:val="303030"/>
          <w:sz w:val="20"/>
        </w:rPr>
        <w:t>studio</w:t>
      </w:r>
      <w:r>
        <w:rPr>
          <w:color w:val="303030"/>
          <w:spacing w:val="-7"/>
          <w:sz w:val="20"/>
        </w:rPr>
        <w:t> </w:t>
      </w:r>
      <w:r>
        <w:rPr>
          <w:color w:val="303030"/>
          <w:sz w:val="20"/>
        </w:rPr>
        <w:t>projects</w:t>
      </w:r>
      <w:r>
        <w:rPr>
          <w:color w:val="303030"/>
          <w:spacing w:val="-6"/>
          <w:sz w:val="20"/>
        </w:rPr>
        <w:t> </w:t>
      </w:r>
      <w:r>
        <w:rPr>
          <w:color w:val="303030"/>
          <w:sz w:val="20"/>
        </w:rPr>
        <w:t>clearly</w:t>
      </w:r>
      <w:r>
        <w:rPr>
          <w:color w:val="303030"/>
          <w:spacing w:val="-10"/>
          <w:sz w:val="20"/>
        </w:rPr>
        <w:t> </w:t>
      </w:r>
      <w:r>
        <w:rPr>
          <w:color w:val="303030"/>
          <w:sz w:val="20"/>
        </w:rPr>
        <w:t>and</w:t>
      </w:r>
      <w:r>
        <w:rPr>
          <w:color w:val="303030"/>
          <w:spacing w:val="-7"/>
          <w:sz w:val="20"/>
        </w:rPr>
        <w:t> </w:t>
      </w:r>
      <w:r>
        <w:rPr>
          <w:color w:val="303030"/>
          <w:spacing w:val="-2"/>
          <w:sz w:val="20"/>
        </w:rPr>
        <w:t>concisely.</w:t>
      </w:r>
    </w:p>
    <w:p>
      <w:pPr>
        <w:spacing w:before="118"/>
        <w:ind w:left="439" w:right="0" w:firstLine="0"/>
        <w:jc w:val="left"/>
        <w:rPr>
          <w:b/>
          <w:sz w:val="20"/>
        </w:rPr>
      </w:pPr>
      <w:r>
        <w:rPr>
          <w:b/>
          <w:sz w:val="20"/>
        </w:rPr>
        <w:t>Student</w:t>
      </w:r>
      <w:r>
        <w:rPr>
          <w:b/>
          <w:spacing w:val="-9"/>
          <w:sz w:val="20"/>
        </w:rPr>
        <w:t> </w:t>
      </w:r>
      <w:r>
        <w:rPr>
          <w:b/>
          <w:sz w:val="20"/>
        </w:rPr>
        <w:t>Performance</w:t>
      </w:r>
      <w:r>
        <w:rPr>
          <w:b/>
          <w:spacing w:val="-9"/>
          <w:sz w:val="20"/>
        </w:rPr>
        <w:t> </w:t>
      </w:r>
      <w:r>
        <w:rPr>
          <w:b/>
          <w:sz w:val="20"/>
        </w:rPr>
        <w:t>Criteria</w:t>
      </w:r>
      <w:r>
        <w:rPr>
          <w:b/>
          <w:spacing w:val="-5"/>
          <w:sz w:val="20"/>
        </w:rPr>
        <w:t> </w:t>
      </w:r>
      <w:r>
        <w:rPr>
          <w:b/>
          <w:sz w:val="20"/>
        </w:rPr>
        <w:t>Addressed</w:t>
      </w:r>
      <w:r>
        <w:rPr>
          <w:b/>
          <w:spacing w:val="-8"/>
          <w:sz w:val="20"/>
        </w:rPr>
        <w:t> </w:t>
      </w:r>
      <w:r>
        <w:rPr>
          <w:b/>
          <w:sz w:val="20"/>
        </w:rPr>
        <w:t>(name</w:t>
      </w:r>
      <w:r>
        <w:rPr>
          <w:b/>
          <w:spacing w:val="-9"/>
          <w:sz w:val="20"/>
        </w:rPr>
        <w:t> </w:t>
      </w:r>
      <w:r>
        <w:rPr>
          <w:b/>
          <w:sz w:val="20"/>
        </w:rPr>
        <w:t>and</w:t>
      </w:r>
      <w:r>
        <w:rPr>
          <w:b/>
          <w:spacing w:val="-8"/>
          <w:sz w:val="20"/>
        </w:rPr>
        <w:t> </w:t>
      </w:r>
      <w:r>
        <w:rPr>
          <w:b/>
          <w:spacing w:val="-2"/>
          <w:sz w:val="20"/>
        </w:rPr>
        <w:t>number)</w:t>
      </w:r>
    </w:p>
    <w:p>
      <w:pPr>
        <w:pStyle w:val="BodyText"/>
        <w:spacing w:before="120"/>
        <w:ind w:left="799"/>
      </w:pPr>
      <w:r>
        <w:rPr/>
        <w:t>This</w:t>
      </w:r>
      <w:r>
        <w:rPr>
          <w:spacing w:val="-6"/>
        </w:rPr>
        <w:t> </w:t>
      </w:r>
      <w:r>
        <w:rPr/>
        <w:t>course</w:t>
      </w:r>
      <w:r>
        <w:rPr>
          <w:spacing w:val="-7"/>
        </w:rPr>
        <w:t> </w:t>
      </w:r>
      <w:r>
        <w:rPr/>
        <w:t>introduces</w:t>
      </w:r>
      <w:r>
        <w:rPr>
          <w:spacing w:val="-6"/>
        </w:rPr>
        <w:t> </w:t>
      </w:r>
      <w:r>
        <w:rPr/>
        <w:t>students</w:t>
      </w:r>
      <w:r>
        <w:rPr>
          <w:spacing w:val="-6"/>
        </w:rPr>
        <w:t> </w:t>
      </w:r>
      <w:r>
        <w:rPr/>
        <w:t>to</w:t>
      </w:r>
      <w:r>
        <w:rPr>
          <w:spacing w:val="-5"/>
        </w:rPr>
        <w:t> </w:t>
      </w:r>
      <w:r>
        <w:rPr/>
        <w:t>A-1,</w:t>
      </w:r>
      <w:r>
        <w:rPr>
          <w:spacing w:val="-5"/>
        </w:rPr>
        <w:t> </w:t>
      </w:r>
      <w:r>
        <w:rPr/>
        <w:t>A-2,</w:t>
      </w:r>
      <w:r>
        <w:rPr>
          <w:spacing w:val="-5"/>
        </w:rPr>
        <w:t> </w:t>
      </w:r>
      <w:r>
        <w:rPr/>
        <w:t>A-3,</w:t>
      </w:r>
      <w:r>
        <w:rPr>
          <w:spacing w:val="-5"/>
        </w:rPr>
        <w:t> </w:t>
      </w:r>
      <w:r>
        <w:rPr/>
        <w:t>A-6,</w:t>
      </w:r>
      <w:r>
        <w:rPr>
          <w:spacing w:val="-5"/>
        </w:rPr>
        <w:t> </w:t>
      </w:r>
      <w:r>
        <w:rPr/>
        <w:t>A-7,</w:t>
      </w:r>
      <w:r>
        <w:rPr>
          <w:spacing w:val="-5"/>
        </w:rPr>
        <w:t> </w:t>
      </w:r>
      <w:r>
        <w:rPr/>
        <w:t>A-8</w:t>
      </w:r>
      <w:r>
        <w:rPr>
          <w:spacing w:val="-7"/>
        </w:rPr>
        <w:t> </w:t>
      </w:r>
      <w:r>
        <w:rPr/>
        <w:t>and</w:t>
      </w:r>
      <w:r>
        <w:rPr>
          <w:spacing w:val="-7"/>
        </w:rPr>
        <w:t> </w:t>
      </w:r>
      <w:r>
        <w:rPr/>
        <w:t>C-</w:t>
      </w:r>
      <w:r>
        <w:rPr>
          <w:spacing w:val="-10"/>
        </w:rPr>
        <w:t>2</w:t>
      </w:r>
    </w:p>
    <w:p>
      <w:pPr>
        <w:spacing w:before="118"/>
        <w:ind w:left="439" w:right="0" w:firstLine="0"/>
        <w:jc w:val="left"/>
        <w:rPr>
          <w:b/>
          <w:sz w:val="20"/>
        </w:rPr>
      </w:pPr>
      <w:r>
        <w:rPr>
          <w:b/>
          <w:sz w:val="20"/>
        </w:rPr>
        <w:t>Topical</w:t>
      </w:r>
      <w:r>
        <w:rPr>
          <w:b/>
          <w:spacing w:val="-7"/>
          <w:sz w:val="20"/>
        </w:rPr>
        <w:t> </w:t>
      </w:r>
      <w:r>
        <w:rPr>
          <w:b/>
          <w:sz w:val="20"/>
        </w:rPr>
        <w:t>Outline</w:t>
      </w:r>
      <w:r>
        <w:rPr>
          <w:b/>
          <w:spacing w:val="-7"/>
          <w:sz w:val="20"/>
        </w:rPr>
        <w:t> </w:t>
      </w:r>
      <w:r>
        <w:rPr>
          <w:b/>
          <w:sz w:val="20"/>
        </w:rPr>
        <w:t>and</w:t>
      </w:r>
      <w:r>
        <w:rPr>
          <w:b/>
          <w:spacing w:val="-6"/>
          <w:sz w:val="20"/>
        </w:rPr>
        <w:t> </w:t>
      </w:r>
      <w:r>
        <w:rPr>
          <w:b/>
          <w:sz w:val="20"/>
        </w:rPr>
        <w:t>percentage</w:t>
      </w:r>
      <w:r>
        <w:rPr>
          <w:b/>
          <w:spacing w:val="-6"/>
          <w:sz w:val="20"/>
        </w:rPr>
        <w:t> </w:t>
      </w:r>
      <w:r>
        <w:rPr>
          <w:b/>
          <w:sz w:val="20"/>
        </w:rPr>
        <w:t>of</w:t>
      </w:r>
      <w:r>
        <w:rPr>
          <w:b/>
          <w:spacing w:val="-6"/>
          <w:sz w:val="20"/>
        </w:rPr>
        <w:t> </w:t>
      </w:r>
      <w:r>
        <w:rPr>
          <w:b/>
          <w:sz w:val="20"/>
        </w:rPr>
        <w:t>time</w:t>
      </w:r>
      <w:r>
        <w:rPr>
          <w:b/>
          <w:spacing w:val="-7"/>
          <w:sz w:val="20"/>
        </w:rPr>
        <w:t> </w:t>
      </w:r>
      <w:r>
        <w:rPr>
          <w:b/>
          <w:sz w:val="20"/>
        </w:rPr>
        <w:t>spent</w:t>
      </w:r>
      <w:r>
        <w:rPr>
          <w:b/>
          <w:spacing w:val="-6"/>
          <w:sz w:val="20"/>
        </w:rPr>
        <w:t> </w:t>
      </w:r>
      <w:r>
        <w:rPr>
          <w:b/>
          <w:sz w:val="20"/>
        </w:rPr>
        <w:t>on</w:t>
      </w:r>
      <w:r>
        <w:rPr>
          <w:b/>
          <w:spacing w:val="-5"/>
          <w:sz w:val="20"/>
        </w:rPr>
        <w:t> </w:t>
      </w:r>
      <w:r>
        <w:rPr>
          <w:b/>
          <w:spacing w:val="-4"/>
          <w:sz w:val="20"/>
        </w:rPr>
        <w:t>each</w:t>
      </w:r>
    </w:p>
    <w:p>
      <w:pPr>
        <w:pStyle w:val="BodyText"/>
        <w:spacing w:before="123"/>
        <w:ind w:left="1158"/>
      </w:pPr>
      <w:r>
        <w:rPr/>
        <w:t>Knowledge/Skills</w:t>
      </w:r>
      <w:r>
        <w:rPr>
          <w:spacing w:val="-10"/>
        </w:rPr>
        <w:t> </w:t>
      </w:r>
      <w:r>
        <w:rPr/>
        <w:t>30%,</w:t>
      </w:r>
      <w:r>
        <w:rPr>
          <w:spacing w:val="-12"/>
        </w:rPr>
        <w:t> </w:t>
      </w:r>
      <w:r>
        <w:rPr/>
        <w:t>Design/Process</w:t>
      </w:r>
      <w:r>
        <w:rPr>
          <w:spacing w:val="-12"/>
        </w:rPr>
        <w:t> </w:t>
      </w:r>
      <w:r>
        <w:rPr/>
        <w:t>30%,</w:t>
      </w:r>
      <w:r>
        <w:rPr>
          <w:spacing w:val="-12"/>
        </w:rPr>
        <w:t> </w:t>
      </w:r>
      <w:r>
        <w:rPr/>
        <w:t>Representation</w:t>
      </w:r>
      <w:r>
        <w:rPr>
          <w:spacing w:val="-11"/>
        </w:rPr>
        <w:t> </w:t>
      </w:r>
      <w:r>
        <w:rPr/>
        <w:t>30%,</w:t>
      </w:r>
      <w:r>
        <w:rPr>
          <w:spacing w:val="-10"/>
        </w:rPr>
        <w:t> </w:t>
      </w:r>
      <w:r>
        <w:rPr/>
        <w:t>Communication</w:t>
      </w:r>
      <w:r>
        <w:rPr>
          <w:spacing w:val="-13"/>
        </w:rPr>
        <w:t> </w:t>
      </w:r>
      <w:r>
        <w:rPr>
          <w:spacing w:val="-5"/>
        </w:rPr>
        <w:t>10%</w:t>
      </w:r>
    </w:p>
    <w:p>
      <w:pPr>
        <w:spacing w:before="118"/>
        <w:ind w:left="439" w:right="0" w:firstLine="0"/>
        <w:jc w:val="left"/>
        <w:rPr>
          <w:b/>
          <w:sz w:val="20"/>
        </w:rPr>
      </w:pPr>
      <w:r>
        <w:rPr>
          <w:b/>
          <w:w w:val="95"/>
          <w:sz w:val="20"/>
        </w:rPr>
        <w:t>Pre-</w:t>
      </w:r>
      <w:r>
        <w:rPr>
          <w:b/>
          <w:spacing w:val="-2"/>
          <w:sz w:val="20"/>
        </w:rPr>
        <w:t>requisites</w:t>
      </w:r>
    </w:p>
    <w:p>
      <w:pPr>
        <w:pStyle w:val="BodyText"/>
        <w:spacing w:before="123"/>
        <w:ind w:left="1158"/>
      </w:pPr>
      <w:r>
        <w:rPr/>
        <w:t>ARC</w:t>
      </w:r>
      <w:r>
        <w:rPr>
          <w:spacing w:val="-5"/>
        </w:rPr>
        <w:t> </w:t>
      </w:r>
      <w:r>
        <w:rPr/>
        <w:t>101</w:t>
      </w:r>
      <w:r>
        <w:rPr>
          <w:spacing w:val="-5"/>
        </w:rPr>
        <w:t> </w:t>
      </w:r>
      <w:r>
        <w:rPr/>
        <w:t>for</w:t>
      </w:r>
      <w:r>
        <w:rPr>
          <w:spacing w:val="-4"/>
        </w:rPr>
        <w:t> </w:t>
      </w:r>
      <w:r>
        <w:rPr/>
        <w:t>ARC</w:t>
      </w:r>
      <w:r>
        <w:rPr>
          <w:spacing w:val="-5"/>
        </w:rPr>
        <w:t> </w:t>
      </w:r>
      <w:r>
        <w:rPr/>
        <w:t>102</w:t>
      </w:r>
      <w:r>
        <w:rPr>
          <w:spacing w:val="-5"/>
        </w:rPr>
        <w:t> </w:t>
      </w:r>
      <w:r>
        <w:rPr/>
        <w:t>or</w:t>
      </w:r>
      <w:r>
        <w:rPr>
          <w:spacing w:val="-2"/>
        </w:rPr>
        <w:t> </w:t>
      </w:r>
      <w:r>
        <w:rPr/>
        <w:t>permission</w:t>
      </w:r>
      <w:r>
        <w:rPr>
          <w:spacing w:val="-5"/>
        </w:rPr>
        <w:t> </w:t>
      </w:r>
      <w:r>
        <w:rPr/>
        <w:t>of</w:t>
      </w:r>
      <w:r>
        <w:rPr>
          <w:spacing w:val="-3"/>
        </w:rPr>
        <w:t> </w:t>
      </w:r>
      <w:r>
        <w:rPr/>
        <w:t>the</w:t>
      </w:r>
      <w:r>
        <w:rPr>
          <w:spacing w:val="-5"/>
        </w:rPr>
        <w:t> </w:t>
      </w:r>
      <w:r>
        <w:rPr>
          <w:spacing w:val="-2"/>
        </w:rPr>
        <w:t>faculty.</w:t>
      </w:r>
    </w:p>
    <w:p>
      <w:pPr>
        <w:spacing w:before="116"/>
        <w:ind w:left="439" w:right="0" w:firstLine="0"/>
        <w:jc w:val="left"/>
        <w:rPr>
          <w:b/>
          <w:sz w:val="20"/>
        </w:rPr>
      </w:pPr>
      <w:r>
        <w:rPr>
          <w:b/>
          <w:sz w:val="20"/>
        </w:rPr>
        <w:t>Textbooks</w:t>
      </w:r>
      <w:r>
        <w:rPr>
          <w:b/>
          <w:spacing w:val="-11"/>
          <w:sz w:val="20"/>
        </w:rPr>
        <w:t> </w:t>
      </w:r>
      <w:r>
        <w:rPr>
          <w:b/>
          <w:sz w:val="20"/>
        </w:rPr>
        <w:t>/</w:t>
      </w:r>
      <w:r>
        <w:rPr>
          <w:b/>
          <w:spacing w:val="-9"/>
          <w:sz w:val="20"/>
        </w:rPr>
        <w:t> </w:t>
      </w:r>
      <w:r>
        <w:rPr>
          <w:b/>
          <w:sz w:val="20"/>
        </w:rPr>
        <w:t>Learning</w:t>
      </w:r>
      <w:r>
        <w:rPr>
          <w:b/>
          <w:spacing w:val="-7"/>
          <w:sz w:val="20"/>
        </w:rPr>
        <w:t> </w:t>
      </w:r>
      <w:r>
        <w:rPr>
          <w:b/>
          <w:spacing w:val="-2"/>
          <w:sz w:val="20"/>
        </w:rPr>
        <w:t>Resources</w:t>
      </w:r>
    </w:p>
    <w:p>
      <w:pPr>
        <w:pStyle w:val="BodyText"/>
        <w:spacing w:before="122"/>
        <w:ind w:left="1158" w:right="4490"/>
      </w:pPr>
      <w:r>
        <w:rPr/>
        <w:t>Ching, Frank, Design Drawing, 2nd Edition , Friedman,</w:t>
      </w:r>
      <w:r>
        <w:rPr>
          <w:spacing w:val="-8"/>
        </w:rPr>
        <w:t> </w:t>
      </w:r>
      <w:r>
        <w:rPr/>
        <w:t>Jonathan,</w:t>
      </w:r>
      <w:r>
        <w:rPr>
          <w:spacing w:val="-5"/>
        </w:rPr>
        <w:t> </w:t>
      </w:r>
      <w:r>
        <w:rPr/>
        <w:t>Creation</w:t>
      </w:r>
      <w:r>
        <w:rPr>
          <w:spacing w:val="-8"/>
        </w:rPr>
        <w:t> </w:t>
      </w:r>
      <w:r>
        <w:rPr/>
        <w:t>in</w:t>
      </w:r>
      <w:r>
        <w:rPr>
          <w:spacing w:val="-8"/>
        </w:rPr>
        <w:t> </w:t>
      </w:r>
      <w:r>
        <w:rPr/>
        <w:t>Space,</w:t>
      </w:r>
      <w:r>
        <w:rPr>
          <w:spacing w:val="-6"/>
        </w:rPr>
        <w:t> </w:t>
      </w:r>
      <w:r>
        <w:rPr/>
        <w:t>2nd</w:t>
      </w:r>
      <w:r>
        <w:rPr>
          <w:spacing w:val="-8"/>
        </w:rPr>
        <w:t> </w:t>
      </w:r>
      <w:r>
        <w:rPr/>
        <w:t>Edition Ching, Frank, Architectural Graphics, 5th Edition, Unwin, Simon, Analyzing Architecture, 3rd Edition</w:t>
      </w:r>
    </w:p>
    <w:p>
      <w:pPr>
        <w:spacing w:before="120"/>
        <w:ind w:left="438" w:right="0" w:firstLine="0"/>
        <w:jc w:val="left"/>
        <w:rPr>
          <w:b/>
          <w:sz w:val="20"/>
        </w:rPr>
      </w:pPr>
      <w:r>
        <w:rPr>
          <w:b/>
          <w:sz w:val="20"/>
        </w:rPr>
        <w:t>Offered</w:t>
      </w:r>
      <w:r>
        <w:rPr>
          <w:b/>
          <w:spacing w:val="-10"/>
          <w:sz w:val="20"/>
        </w:rPr>
        <w:t> </w:t>
      </w:r>
      <w:r>
        <w:rPr>
          <w:b/>
          <w:spacing w:val="-2"/>
          <w:sz w:val="20"/>
        </w:rPr>
        <w:t>(terms):</w:t>
      </w:r>
    </w:p>
    <w:p>
      <w:pPr>
        <w:pStyle w:val="BodyText"/>
        <w:spacing w:before="120"/>
        <w:ind w:left="798"/>
      </w:pPr>
      <w:r>
        <w:rPr/>
        <w:t>Spring</w:t>
      </w:r>
      <w:r>
        <w:rPr>
          <w:spacing w:val="-8"/>
        </w:rPr>
        <w:t> </w:t>
      </w:r>
      <w:r>
        <w:rPr/>
        <w:t>Semester</w:t>
      </w:r>
      <w:r>
        <w:rPr>
          <w:spacing w:val="-8"/>
        </w:rPr>
        <w:t> </w:t>
      </w:r>
      <w:r>
        <w:rPr>
          <w:spacing w:val="-4"/>
        </w:rPr>
        <w:t>only</w:t>
      </w:r>
    </w:p>
    <w:p>
      <w:pPr>
        <w:spacing w:before="118"/>
        <w:ind w:left="493" w:right="0" w:firstLine="0"/>
        <w:jc w:val="left"/>
        <w:rPr>
          <w:b/>
          <w:sz w:val="20"/>
        </w:rPr>
      </w:pPr>
      <w:r>
        <w:rPr>
          <w:b/>
          <w:sz w:val="20"/>
        </w:rPr>
        <w:t>Faculty</w:t>
      </w:r>
      <w:r>
        <w:rPr>
          <w:b/>
          <w:spacing w:val="-8"/>
          <w:sz w:val="20"/>
        </w:rPr>
        <w:t> </w:t>
      </w:r>
      <w:r>
        <w:rPr>
          <w:b/>
          <w:spacing w:val="-2"/>
          <w:sz w:val="20"/>
        </w:rPr>
        <w:t>Assigned</w:t>
      </w:r>
    </w:p>
    <w:p>
      <w:pPr>
        <w:pStyle w:val="BodyText"/>
        <w:spacing w:before="123"/>
        <w:ind w:left="1158" w:right="6024"/>
      </w:pPr>
      <w:r>
        <w:rPr/>
        <w:t>2014</w:t>
      </w:r>
      <w:r>
        <w:rPr>
          <w:spacing w:val="-6"/>
        </w:rPr>
        <w:t> </w:t>
      </w:r>
      <w:r>
        <w:rPr/>
        <w:t>–</w:t>
      </w:r>
      <w:r>
        <w:rPr>
          <w:spacing w:val="-6"/>
        </w:rPr>
        <w:t> </w:t>
      </w:r>
      <w:r>
        <w:rPr/>
        <w:t>Kloster</w:t>
      </w:r>
      <w:r>
        <w:rPr>
          <w:spacing w:val="-7"/>
        </w:rPr>
        <w:t> </w:t>
      </w:r>
      <w:r>
        <w:rPr/>
        <w:t>(F/T)</w:t>
      </w:r>
      <w:r>
        <w:rPr>
          <w:spacing w:val="-7"/>
        </w:rPr>
        <w:t> </w:t>
      </w:r>
      <w:r>
        <w:rPr/>
        <w:t>/</w:t>
      </w:r>
      <w:r>
        <w:rPr>
          <w:spacing w:val="-8"/>
        </w:rPr>
        <w:t> </w:t>
      </w:r>
      <w:r>
        <w:rPr/>
        <w:t>Brown</w:t>
      </w:r>
      <w:r>
        <w:rPr>
          <w:spacing w:val="-8"/>
        </w:rPr>
        <w:t> </w:t>
      </w:r>
      <w:r>
        <w:rPr/>
        <w:t>(F/T) 2013</w:t>
      </w:r>
      <w:r>
        <w:rPr>
          <w:spacing w:val="-4"/>
        </w:rPr>
        <w:t> </w:t>
      </w:r>
      <w:r>
        <w:rPr/>
        <w:t>–</w:t>
      </w:r>
      <w:r>
        <w:rPr>
          <w:spacing w:val="-4"/>
        </w:rPr>
        <w:t> </w:t>
      </w:r>
      <w:r>
        <w:rPr/>
        <w:t>Kloster</w:t>
      </w:r>
      <w:r>
        <w:rPr>
          <w:spacing w:val="-4"/>
        </w:rPr>
        <w:t> </w:t>
      </w:r>
      <w:r>
        <w:rPr/>
        <w:t>(F/T)</w:t>
      </w:r>
      <w:r>
        <w:rPr>
          <w:spacing w:val="-5"/>
        </w:rPr>
        <w:t> </w:t>
      </w:r>
      <w:r>
        <w:rPr/>
        <w:t>/</w:t>
      </w:r>
      <w:r>
        <w:rPr>
          <w:spacing w:val="-5"/>
        </w:rPr>
        <w:t> </w:t>
      </w:r>
      <w:r>
        <w:rPr/>
        <w:t>Brown</w:t>
      </w:r>
      <w:r>
        <w:rPr>
          <w:spacing w:val="-6"/>
        </w:rPr>
        <w:t> </w:t>
      </w:r>
      <w:r>
        <w:rPr>
          <w:spacing w:val="-4"/>
        </w:rPr>
        <w:t>(F/T)</w:t>
      </w:r>
    </w:p>
    <w:p>
      <w:pPr>
        <w:spacing w:after="0"/>
        <w:sectPr>
          <w:headerReference w:type="default" r:id="rId181"/>
          <w:footerReference w:type="default" r:id="rId182"/>
          <w:pgSz w:w="12240" w:h="15840"/>
          <w:pgMar w:header="993" w:footer="974" w:top="1240" w:bottom="1160" w:left="1000" w:right="820"/>
        </w:sectPr>
      </w:pPr>
    </w:p>
    <w:p>
      <w:pPr>
        <w:spacing w:before="115"/>
        <w:ind w:left="440" w:right="0" w:firstLine="0"/>
        <w:jc w:val="left"/>
        <w:rPr>
          <w:b/>
          <w:sz w:val="20"/>
        </w:rPr>
      </w:pPr>
      <w:r>
        <w:rPr>
          <w:b/>
          <w:sz w:val="20"/>
        </w:rPr>
        <w:t>Course</w:t>
      </w:r>
      <w:r>
        <w:rPr>
          <w:b/>
          <w:spacing w:val="-9"/>
          <w:sz w:val="20"/>
        </w:rPr>
        <w:t> </w:t>
      </w:r>
      <w:r>
        <w:rPr>
          <w:b/>
          <w:sz w:val="20"/>
        </w:rPr>
        <w:t>Description</w:t>
      </w:r>
      <w:r>
        <w:rPr>
          <w:b/>
          <w:spacing w:val="-8"/>
          <w:sz w:val="20"/>
        </w:rPr>
        <w:t> </w:t>
      </w:r>
      <w:r>
        <w:rPr>
          <w:b/>
          <w:sz w:val="20"/>
        </w:rPr>
        <w:t>(limit</w:t>
      </w:r>
      <w:r>
        <w:rPr>
          <w:b/>
          <w:spacing w:val="-7"/>
          <w:sz w:val="20"/>
        </w:rPr>
        <w:t> </w:t>
      </w:r>
      <w:r>
        <w:rPr>
          <w:b/>
          <w:sz w:val="20"/>
        </w:rPr>
        <w:t>25</w:t>
      </w:r>
      <w:r>
        <w:rPr>
          <w:b/>
          <w:spacing w:val="-8"/>
          <w:sz w:val="20"/>
        </w:rPr>
        <w:t> </w:t>
      </w:r>
      <w:r>
        <w:rPr>
          <w:b/>
          <w:spacing w:val="-2"/>
          <w:sz w:val="20"/>
        </w:rPr>
        <w:t>words):</w:t>
      </w:r>
    </w:p>
    <w:p>
      <w:pPr>
        <w:pStyle w:val="BodyText"/>
        <w:spacing w:before="122"/>
        <w:ind w:left="1159" w:right="642"/>
      </w:pPr>
      <w:r>
        <w:rPr/>
        <w:t>An investigation of topographic and climatic phenomena that influence building assemblies and environmental</w:t>
      </w:r>
      <w:r>
        <w:rPr>
          <w:spacing w:val="-4"/>
        </w:rPr>
        <w:t> </w:t>
      </w:r>
      <w:r>
        <w:rPr/>
        <w:t>systems.</w:t>
      </w:r>
      <w:r>
        <w:rPr>
          <w:spacing w:val="-5"/>
        </w:rPr>
        <w:t> </w:t>
      </w:r>
      <w:r>
        <w:rPr/>
        <w:t>Passive</w:t>
      </w:r>
      <w:r>
        <w:rPr>
          <w:spacing w:val="-5"/>
        </w:rPr>
        <w:t> </w:t>
      </w:r>
      <w:r>
        <w:rPr/>
        <w:t>control</w:t>
      </w:r>
      <w:r>
        <w:rPr>
          <w:spacing w:val="-6"/>
        </w:rPr>
        <w:t> </w:t>
      </w:r>
      <w:r>
        <w:rPr/>
        <w:t>systems</w:t>
      </w:r>
      <w:r>
        <w:rPr>
          <w:spacing w:val="-6"/>
        </w:rPr>
        <w:t> </w:t>
      </w:r>
      <w:r>
        <w:rPr/>
        <w:t>from</w:t>
      </w:r>
      <w:r>
        <w:rPr>
          <w:spacing w:val="-3"/>
        </w:rPr>
        <w:t> </w:t>
      </w:r>
      <w:r>
        <w:rPr/>
        <w:t>ancient</w:t>
      </w:r>
      <w:r>
        <w:rPr>
          <w:spacing w:val="-5"/>
        </w:rPr>
        <w:t> </w:t>
      </w:r>
      <w:r>
        <w:rPr/>
        <w:t>and</w:t>
      </w:r>
      <w:r>
        <w:rPr>
          <w:spacing w:val="-5"/>
        </w:rPr>
        <w:t> </w:t>
      </w:r>
      <w:r>
        <w:rPr/>
        <w:t>contemporary</w:t>
      </w:r>
      <w:r>
        <w:rPr>
          <w:spacing w:val="-6"/>
        </w:rPr>
        <w:t> </w:t>
      </w:r>
      <w:r>
        <w:rPr/>
        <w:t>discoveries</w:t>
      </w:r>
      <w:r>
        <w:rPr>
          <w:spacing w:val="-4"/>
        </w:rPr>
        <w:t> </w:t>
      </w:r>
      <w:r>
        <w:rPr/>
        <w:t>are examined for sustainable solutions to thermal comfort, lighting, hydrology and power.</w:t>
      </w:r>
    </w:p>
    <w:p>
      <w:pPr>
        <w:spacing w:before="119"/>
        <w:ind w:left="439" w:right="0" w:firstLine="0"/>
        <w:jc w:val="left"/>
        <w:rPr>
          <w:b/>
          <w:sz w:val="20"/>
        </w:rPr>
      </w:pPr>
      <w:r>
        <w:rPr>
          <w:b/>
          <w:sz w:val="20"/>
        </w:rPr>
        <w:t>Course</w:t>
      </w:r>
      <w:r>
        <w:rPr>
          <w:b/>
          <w:spacing w:val="-9"/>
          <w:sz w:val="20"/>
        </w:rPr>
        <w:t> </w:t>
      </w:r>
      <w:r>
        <w:rPr>
          <w:b/>
          <w:sz w:val="20"/>
        </w:rPr>
        <w:t>Goals</w:t>
      </w:r>
      <w:r>
        <w:rPr>
          <w:b/>
          <w:spacing w:val="-7"/>
          <w:sz w:val="20"/>
        </w:rPr>
        <w:t> </w:t>
      </w:r>
      <w:r>
        <w:rPr>
          <w:b/>
          <w:sz w:val="20"/>
        </w:rPr>
        <w:t>and</w:t>
      </w:r>
      <w:r>
        <w:rPr>
          <w:b/>
          <w:spacing w:val="-5"/>
          <w:sz w:val="20"/>
        </w:rPr>
        <w:t> </w:t>
      </w:r>
      <w:r>
        <w:rPr>
          <w:b/>
          <w:spacing w:val="-2"/>
          <w:sz w:val="20"/>
        </w:rPr>
        <w:t>Objectives;</w:t>
      </w:r>
    </w:p>
    <w:p>
      <w:pPr>
        <w:pStyle w:val="BodyText"/>
        <w:spacing w:before="121"/>
        <w:ind w:left="1159" w:right="642"/>
      </w:pPr>
      <w:r>
        <w:rPr/>
        <w:t>Focusing on site-specific aspects that influence architectural design, ARC201 will build on the fundamental principles discussed in ARC101 and ARC102.</w:t>
      </w:r>
      <w:r>
        <w:rPr>
          <w:spacing w:val="40"/>
        </w:rPr>
        <w:t> </w:t>
      </w:r>
      <w:r>
        <w:rPr/>
        <w:t>Projects and discussions in this design studio will help you develop your architectural vocabulary and better understand how various types of parts of a building go together to make a cohesive design.</w:t>
      </w:r>
      <w:r>
        <w:rPr>
          <w:spacing w:val="40"/>
        </w:rPr>
        <w:t> </w:t>
      </w:r>
      <w:r>
        <w:rPr/>
        <w:t>ARC201 requires thoughtfully researching, analyzing, and reporting site data and built precedents; synthesizing ideas</w:t>
      </w:r>
      <w:r>
        <w:rPr>
          <w:spacing w:val="-3"/>
        </w:rPr>
        <w:t> </w:t>
      </w:r>
      <w:r>
        <w:rPr/>
        <w:t>and</w:t>
      </w:r>
      <w:r>
        <w:rPr>
          <w:spacing w:val="-2"/>
        </w:rPr>
        <w:t> </w:t>
      </w:r>
      <w:r>
        <w:rPr/>
        <w:t>information</w:t>
      </w:r>
      <w:r>
        <w:rPr>
          <w:spacing w:val="-4"/>
        </w:rPr>
        <w:t> </w:t>
      </w:r>
      <w:r>
        <w:rPr/>
        <w:t>(with</w:t>
      </w:r>
      <w:r>
        <w:rPr>
          <w:spacing w:val="-2"/>
        </w:rPr>
        <w:t> </w:t>
      </w:r>
      <w:r>
        <w:rPr/>
        <w:t>tools</w:t>
      </w:r>
      <w:r>
        <w:rPr>
          <w:spacing w:val="-3"/>
        </w:rPr>
        <w:t> </w:t>
      </w:r>
      <w:r>
        <w:rPr/>
        <w:t>such</w:t>
      </w:r>
      <w:r>
        <w:rPr>
          <w:spacing w:val="-2"/>
        </w:rPr>
        <w:t> </w:t>
      </w:r>
      <w:r>
        <w:rPr/>
        <w:t>as</w:t>
      </w:r>
      <w:r>
        <w:rPr>
          <w:spacing w:val="-3"/>
        </w:rPr>
        <w:t> </w:t>
      </w:r>
      <w:r>
        <w:rPr/>
        <w:t>diagrams,</w:t>
      </w:r>
      <w:r>
        <w:rPr>
          <w:spacing w:val="-4"/>
        </w:rPr>
        <w:t> </w:t>
      </w:r>
      <w:r>
        <w:rPr/>
        <w:t>sketches,</w:t>
      </w:r>
      <w:r>
        <w:rPr>
          <w:spacing w:val="-4"/>
        </w:rPr>
        <w:t> </w:t>
      </w:r>
      <w:r>
        <w:rPr/>
        <w:t>and</w:t>
      </w:r>
      <w:r>
        <w:rPr>
          <w:spacing w:val="-4"/>
        </w:rPr>
        <w:t> </w:t>
      </w:r>
      <w:r>
        <w:rPr/>
        <w:t>quick study</w:t>
      </w:r>
      <w:r>
        <w:rPr>
          <w:spacing w:val="-7"/>
        </w:rPr>
        <w:t> </w:t>
      </w:r>
      <w:r>
        <w:rPr/>
        <w:t>models</w:t>
      </w:r>
      <w:r>
        <w:rPr>
          <w:spacing w:val="-3"/>
        </w:rPr>
        <w:t> </w:t>
      </w:r>
      <w:r>
        <w:rPr/>
        <w:t>as well</w:t>
      </w:r>
      <w:r>
        <w:rPr>
          <w:spacing w:val="-5"/>
        </w:rPr>
        <w:t> </w:t>
      </w:r>
      <w:r>
        <w:rPr/>
        <w:t>as carefully measured process drawings and models); and then communicating your grasp of architectural concepts, typologies and intentions with formal presentation drawings and models.</w:t>
      </w:r>
    </w:p>
    <w:p>
      <w:pPr>
        <w:spacing w:before="119"/>
        <w:ind w:left="439" w:right="0" w:firstLine="0"/>
        <w:jc w:val="left"/>
        <w:rPr>
          <w:b/>
          <w:sz w:val="20"/>
        </w:rPr>
      </w:pPr>
      <w:r>
        <w:rPr>
          <w:b/>
          <w:sz w:val="20"/>
        </w:rPr>
        <w:t>Student</w:t>
      </w:r>
      <w:r>
        <w:rPr>
          <w:b/>
          <w:spacing w:val="-9"/>
          <w:sz w:val="20"/>
        </w:rPr>
        <w:t> </w:t>
      </w:r>
      <w:r>
        <w:rPr>
          <w:b/>
          <w:sz w:val="20"/>
        </w:rPr>
        <w:t>Performance</w:t>
      </w:r>
      <w:r>
        <w:rPr>
          <w:b/>
          <w:spacing w:val="-8"/>
          <w:sz w:val="20"/>
        </w:rPr>
        <w:t> </w:t>
      </w:r>
      <w:r>
        <w:rPr>
          <w:b/>
          <w:sz w:val="20"/>
        </w:rPr>
        <w:t>Criteria</w:t>
      </w:r>
      <w:r>
        <w:rPr>
          <w:b/>
          <w:spacing w:val="-6"/>
          <w:sz w:val="20"/>
        </w:rPr>
        <w:t> </w:t>
      </w:r>
      <w:r>
        <w:rPr>
          <w:b/>
          <w:sz w:val="20"/>
        </w:rPr>
        <w:t>Addressed</w:t>
      </w:r>
      <w:r>
        <w:rPr>
          <w:b/>
          <w:spacing w:val="-8"/>
          <w:sz w:val="20"/>
        </w:rPr>
        <w:t> </w:t>
      </w:r>
      <w:r>
        <w:rPr>
          <w:b/>
          <w:sz w:val="20"/>
        </w:rPr>
        <w:t>(name</w:t>
      </w:r>
      <w:r>
        <w:rPr>
          <w:b/>
          <w:spacing w:val="-9"/>
          <w:sz w:val="20"/>
        </w:rPr>
        <w:t> </w:t>
      </w:r>
      <w:r>
        <w:rPr>
          <w:b/>
          <w:sz w:val="20"/>
        </w:rPr>
        <w:t>and</w:t>
      </w:r>
      <w:r>
        <w:rPr>
          <w:b/>
          <w:spacing w:val="-8"/>
          <w:sz w:val="20"/>
        </w:rPr>
        <w:t> </w:t>
      </w:r>
      <w:r>
        <w:rPr>
          <w:b/>
          <w:spacing w:val="-2"/>
          <w:sz w:val="20"/>
        </w:rPr>
        <w:t>number)</w:t>
      </w:r>
    </w:p>
    <w:p>
      <w:pPr>
        <w:pStyle w:val="BodyText"/>
        <w:spacing w:before="123"/>
        <w:ind w:left="1159" w:right="642"/>
      </w:pPr>
      <w:r>
        <w:rPr/>
        <w:t>A-1,</w:t>
      </w:r>
      <w:r>
        <w:rPr>
          <w:spacing w:val="-5"/>
        </w:rPr>
        <w:t> </w:t>
      </w:r>
      <w:r>
        <w:rPr/>
        <w:t>Communication</w:t>
      </w:r>
      <w:r>
        <w:rPr>
          <w:spacing w:val="-3"/>
        </w:rPr>
        <w:t> </w:t>
      </w:r>
      <w:r>
        <w:rPr/>
        <w:t>Skills;</w:t>
      </w:r>
      <w:r>
        <w:rPr>
          <w:spacing w:val="-3"/>
        </w:rPr>
        <w:t> </w:t>
      </w:r>
      <w:r>
        <w:rPr/>
        <w:t>A-10,</w:t>
      </w:r>
      <w:r>
        <w:rPr>
          <w:spacing w:val="-2"/>
        </w:rPr>
        <w:t> </w:t>
      </w:r>
      <w:r>
        <w:rPr/>
        <w:t>Cultural</w:t>
      </w:r>
      <w:r>
        <w:rPr>
          <w:spacing w:val="-6"/>
        </w:rPr>
        <w:t> </w:t>
      </w:r>
      <w:r>
        <w:rPr/>
        <w:t>Diversity;</w:t>
      </w:r>
      <w:r>
        <w:rPr>
          <w:spacing w:val="-2"/>
        </w:rPr>
        <w:t> </w:t>
      </w:r>
      <w:r>
        <w:rPr/>
        <w:t>A-11,</w:t>
      </w:r>
      <w:r>
        <w:rPr>
          <w:spacing w:val="-2"/>
        </w:rPr>
        <w:t> </w:t>
      </w:r>
      <w:r>
        <w:rPr/>
        <w:t>Applied</w:t>
      </w:r>
      <w:r>
        <w:rPr>
          <w:spacing w:val="-5"/>
        </w:rPr>
        <w:t> </w:t>
      </w:r>
      <w:r>
        <w:rPr/>
        <w:t>Research;</w:t>
      </w:r>
      <w:r>
        <w:rPr>
          <w:spacing w:val="-2"/>
        </w:rPr>
        <w:t> </w:t>
      </w:r>
      <w:r>
        <w:rPr/>
        <w:t>B-4,</w:t>
      </w:r>
      <w:r>
        <w:rPr>
          <w:spacing w:val="-3"/>
        </w:rPr>
        <w:t> </w:t>
      </w:r>
      <w:r>
        <w:rPr/>
        <w:t>Site</w:t>
      </w:r>
      <w:r>
        <w:rPr>
          <w:spacing w:val="-5"/>
        </w:rPr>
        <w:t> </w:t>
      </w:r>
      <w:r>
        <w:rPr/>
        <w:t>Design;</w:t>
      </w:r>
      <w:r>
        <w:rPr>
          <w:spacing w:val="-2"/>
        </w:rPr>
        <w:t> </w:t>
      </w:r>
      <w:r>
        <w:rPr/>
        <w:t>C- 2, Human Behavior</w:t>
      </w:r>
    </w:p>
    <w:p>
      <w:pPr>
        <w:spacing w:before="118"/>
        <w:ind w:left="439" w:right="0" w:firstLine="0"/>
        <w:jc w:val="left"/>
        <w:rPr>
          <w:b/>
          <w:sz w:val="20"/>
        </w:rPr>
      </w:pPr>
      <w:r>
        <w:rPr>
          <w:b/>
          <w:sz w:val="20"/>
        </w:rPr>
        <w:t>Topical</w:t>
      </w:r>
      <w:r>
        <w:rPr>
          <w:b/>
          <w:spacing w:val="-7"/>
          <w:sz w:val="20"/>
        </w:rPr>
        <w:t> </w:t>
      </w:r>
      <w:r>
        <w:rPr>
          <w:b/>
          <w:sz w:val="20"/>
        </w:rPr>
        <w:t>Outline</w:t>
      </w:r>
      <w:r>
        <w:rPr>
          <w:b/>
          <w:spacing w:val="-7"/>
          <w:sz w:val="20"/>
        </w:rPr>
        <w:t> </w:t>
      </w:r>
      <w:r>
        <w:rPr>
          <w:b/>
          <w:sz w:val="20"/>
        </w:rPr>
        <w:t>and</w:t>
      </w:r>
      <w:r>
        <w:rPr>
          <w:b/>
          <w:spacing w:val="-6"/>
          <w:sz w:val="20"/>
        </w:rPr>
        <w:t> </w:t>
      </w:r>
      <w:r>
        <w:rPr>
          <w:b/>
          <w:sz w:val="20"/>
        </w:rPr>
        <w:t>percentage</w:t>
      </w:r>
      <w:r>
        <w:rPr>
          <w:b/>
          <w:spacing w:val="-6"/>
          <w:sz w:val="20"/>
        </w:rPr>
        <w:t> </w:t>
      </w:r>
      <w:r>
        <w:rPr>
          <w:b/>
          <w:sz w:val="20"/>
        </w:rPr>
        <w:t>of</w:t>
      </w:r>
      <w:r>
        <w:rPr>
          <w:b/>
          <w:spacing w:val="-6"/>
          <w:sz w:val="20"/>
        </w:rPr>
        <w:t> </w:t>
      </w:r>
      <w:r>
        <w:rPr>
          <w:b/>
          <w:sz w:val="20"/>
        </w:rPr>
        <w:t>time</w:t>
      </w:r>
      <w:r>
        <w:rPr>
          <w:b/>
          <w:spacing w:val="-7"/>
          <w:sz w:val="20"/>
        </w:rPr>
        <w:t> </w:t>
      </w:r>
      <w:r>
        <w:rPr>
          <w:b/>
          <w:sz w:val="20"/>
        </w:rPr>
        <w:t>spent</w:t>
      </w:r>
      <w:r>
        <w:rPr>
          <w:b/>
          <w:spacing w:val="-6"/>
          <w:sz w:val="20"/>
        </w:rPr>
        <w:t> </w:t>
      </w:r>
      <w:r>
        <w:rPr>
          <w:b/>
          <w:sz w:val="20"/>
        </w:rPr>
        <w:t>on</w:t>
      </w:r>
      <w:r>
        <w:rPr>
          <w:b/>
          <w:spacing w:val="-5"/>
          <w:sz w:val="20"/>
        </w:rPr>
        <w:t> </w:t>
      </w:r>
      <w:r>
        <w:rPr>
          <w:b/>
          <w:spacing w:val="-4"/>
          <w:sz w:val="20"/>
        </w:rPr>
        <w:t>each</w:t>
      </w:r>
    </w:p>
    <w:p>
      <w:pPr>
        <w:pStyle w:val="BodyText"/>
        <w:spacing w:before="121"/>
        <w:ind w:left="1214"/>
      </w:pPr>
      <w:r>
        <w:rPr/>
        <w:t>Lectures</w:t>
      </w:r>
      <w:r>
        <w:rPr>
          <w:spacing w:val="-8"/>
        </w:rPr>
        <w:t> </w:t>
      </w:r>
      <w:r>
        <w:rPr/>
        <w:t>(30%),</w:t>
      </w:r>
      <w:r>
        <w:rPr>
          <w:spacing w:val="-8"/>
        </w:rPr>
        <w:t> </w:t>
      </w:r>
      <w:r>
        <w:rPr/>
        <w:t>Class</w:t>
      </w:r>
      <w:r>
        <w:rPr>
          <w:spacing w:val="-8"/>
        </w:rPr>
        <w:t> </w:t>
      </w:r>
      <w:r>
        <w:rPr/>
        <w:t>Projects</w:t>
      </w:r>
      <w:r>
        <w:rPr>
          <w:spacing w:val="-7"/>
        </w:rPr>
        <w:t> </w:t>
      </w:r>
      <w:r>
        <w:rPr>
          <w:spacing w:val="-4"/>
        </w:rPr>
        <w:t>(70%)</w:t>
      </w:r>
    </w:p>
    <w:p>
      <w:pPr>
        <w:spacing w:before="118"/>
        <w:ind w:left="439" w:right="0" w:firstLine="0"/>
        <w:jc w:val="left"/>
        <w:rPr>
          <w:b/>
          <w:sz w:val="20"/>
        </w:rPr>
      </w:pPr>
      <w:r>
        <w:rPr>
          <w:b/>
          <w:w w:val="95"/>
          <w:sz w:val="20"/>
        </w:rPr>
        <w:t>Pre-</w:t>
      </w:r>
      <w:r>
        <w:rPr>
          <w:b/>
          <w:spacing w:val="-2"/>
          <w:sz w:val="20"/>
        </w:rPr>
        <w:t>requisites</w:t>
      </w:r>
    </w:p>
    <w:p>
      <w:pPr>
        <w:pStyle w:val="BodyText"/>
        <w:spacing w:before="122"/>
        <w:ind w:left="1159"/>
      </w:pPr>
      <w:r>
        <w:rPr/>
        <w:t>ARC</w:t>
      </w:r>
      <w:r>
        <w:rPr>
          <w:spacing w:val="-6"/>
        </w:rPr>
        <w:t> </w:t>
      </w:r>
      <w:r>
        <w:rPr/>
        <w:t>101,</w:t>
      </w:r>
      <w:r>
        <w:rPr>
          <w:spacing w:val="-4"/>
        </w:rPr>
        <w:t> </w:t>
      </w:r>
      <w:r>
        <w:rPr>
          <w:spacing w:val="-5"/>
        </w:rPr>
        <w:t>102</w:t>
      </w:r>
    </w:p>
    <w:p>
      <w:pPr>
        <w:spacing w:before="118"/>
        <w:ind w:left="439" w:right="0" w:firstLine="0"/>
        <w:jc w:val="left"/>
        <w:rPr>
          <w:b/>
          <w:sz w:val="20"/>
        </w:rPr>
      </w:pPr>
      <w:r>
        <w:rPr>
          <w:b/>
          <w:sz w:val="20"/>
        </w:rPr>
        <w:t>Textbooks</w:t>
      </w:r>
      <w:r>
        <w:rPr>
          <w:b/>
          <w:spacing w:val="-11"/>
          <w:sz w:val="20"/>
        </w:rPr>
        <w:t> </w:t>
      </w:r>
      <w:r>
        <w:rPr>
          <w:b/>
          <w:sz w:val="20"/>
        </w:rPr>
        <w:t>/</w:t>
      </w:r>
      <w:r>
        <w:rPr>
          <w:b/>
          <w:spacing w:val="-9"/>
          <w:sz w:val="20"/>
        </w:rPr>
        <w:t> </w:t>
      </w:r>
      <w:r>
        <w:rPr>
          <w:b/>
          <w:sz w:val="20"/>
        </w:rPr>
        <w:t>Learning</w:t>
      </w:r>
      <w:r>
        <w:rPr>
          <w:b/>
          <w:spacing w:val="-7"/>
          <w:sz w:val="20"/>
        </w:rPr>
        <w:t> </w:t>
      </w:r>
      <w:r>
        <w:rPr>
          <w:b/>
          <w:spacing w:val="-2"/>
          <w:sz w:val="20"/>
        </w:rPr>
        <w:t>Resources</w:t>
      </w:r>
    </w:p>
    <w:p>
      <w:pPr>
        <w:spacing w:before="121"/>
        <w:ind w:left="1159" w:right="0" w:firstLine="0"/>
        <w:jc w:val="left"/>
        <w:rPr>
          <w:sz w:val="20"/>
        </w:rPr>
      </w:pPr>
      <w:r>
        <w:rPr>
          <w:sz w:val="20"/>
        </w:rPr>
        <w:t>Friedman,</w:t>
      </w:r>
      <w:r>
        <w:rPr>
          <w:spacing w:val="11"/>
          <w:sz w:val="20"/>
        </w:rPr>
        <w:t> </w:t>
      </w:r>
      <w:r>
        <w:rPr>
          <w:sz w:val="20"/>
        </w:rPr>
        <w:t>J.</w:t>
      </w:r>
      <w:r>
        <w:rPr>
          <w:spacing w:val="11"/>
          <w:sz w:val="20"/>
        </w:rPr>
        <w:t> </w:t>
      </w:r>
      <w:r>
        <w:rPr>
          <w:sz w:val="20"/>
        </w:rPr>
        <w:t>B.</w:t>
      </w:r>
      <w:r>
        <w:rPr>
          <w:spacing w:val="12"/>
          <w:sz w:val="20"/>
        </w:rPr>
        <w:t> </w:t>
      </w:r>
      <w:r>
        <w:rPr>
          <w:sz w:val="20"/>
        </w:rPr>
        <w:t>(1999).</w:t>
      </w:r>
      <w:r>
        <w:rPr>
          <w:spacing w:val="12"/>
          <w:sz w:val="20"/>
        </w:rPr>
        <w:t> </w:t>
      </w:r>
      <w:r>
        <w:rPr>
          <w:i/>
          <w:sz w:val="20"/>
        </w:rPr>
        <w:t>Creation</w:t>
      </w:r>
      <w:r>
        <w:rPr>
          <w:i/>
          <w:spacing w:val="14"/>
          <w:sz w:val="20"/>
        </w:rPr>
        <w:t> </w:t>
      </w:r>
      <w:r>
        <w:rPr>
          <w:i/>
          <w:sz w:val="20"/>
        </w:rPr>
        <w:t>in</w:t>
      </w:r>
      <w:r>
        <w:rPr>
          <w:i/>
          <w:spacing w:val="11"/>
          <w:sz w:val="20"/>
        </w:rPr>
        <w:t> </w:t>
      </w:r>
      <w:r>
        <w:rPr>
          <w:i/>
          <w:sz w:val="20"/>
        </w:rPr>
        <w:t>Space:</w:t>
      </w:r>
      <w:r>
        <w:rPr>
          <w:i/>
          <w:spacing w:val="11"/>
          <w:sz w:val="20"/>
        </w:rPr>
        <w:t> </w:t>
      </w:r>
      <w:r>
        <w:rPr>
          <w:i/>
          <w:sz w:val="20"/>
        </w:rPr>
        <w:t>Fundamentals</w:t>
      </w:r>
      <w:r>
        <w:rPr>
          <w:i/>
          <w:spacing w:val="14"/>
          <w:sz w:val="20"/>
        </w:rPr>
        <w:t> </w:t>
      </w:r>
      <w:r>
        <w:rPr>
          <w:i/>
          <w:sz w:val="20"/>
        </w:rPr>
        <w:t>of</w:t>
      </w:r>
      <w:r>
        <w:rPr>
          <w:i/>
          <w:spacing w:val="11"/>
          <w:sz w:val="20"/>
        </w:rPr>
        <w:t> </w:t>
      </w:r>
      <w:r>
        <w:rPr>
          <w:i/>
          <w:sz w:val="20"/>
        </w:rPr>
        <w:t>Architecture:</w:t>
      </w:r>
      <w:r>
        <w:rPr>
          <w:i/>
          <w:spacing w:val="14"/>
          <w:sz w:val="20"/>
        </w:rPr>
        <w:t> </w:t>
      </w:r>
      <w:r>
        <w:rPr>
          <w:i/>
          <w:sz w:val="20"/>
        </w:rPr>
        <w:t>Volume</w:t>
      </w:r>
      <w:r>
        <w:rPr>
          <w:i/>
          <w:spacing w:val="12"/>
          <w:sz w:val="20"/>
        </w:rPr>
        <w:t> </w:t>
      </w:r>
      <w:r>
        <w:rPr>
          <w:i/>
          <w:sz w:val="20"/>
        </w:rPr>
        <w:t>2:</w:t>
      </w:r>
      <w:r>
        <w:rPr>
          <w:i/>
          <w:spacing w:val="11"/>
          <w:sz w:val="20"/>
        </w:rPr>
        <w:t> </w:t>
      </w:r>
      <w:r>
        <w:rPr>
          <w:i/>
          <w:spacing w:val="-2"/>
          <w:sz w:val="20"/>
        </w:rPr>
        <w:t>Dynamics</w:t>
      </w:r>
      <w:r>
        <w:rPr>
          <w:spacing w:val="-2"/>
          <w:sz w:val="20"/>
        </w:rPr>
        <w:t>.</w:t>
      </w:r>
    </w:p>
    <w:p>
      <w:pPr>
        <w:pStyle w:val="BodyText"/>
        <w:ind w:left="1519"/>
      </w:pPr>
      <w:r>
        <w:rPr/>
        <w:t>ISBN:</w:t>
      </w:r>
      <w:r>
        <w:rPr>
          <w:spacing w:val="-8"/>
        </w:rPr>
        <w:t> </w:t>
      </w:r>
      <w:r>
        <w:rPr>
          <w:spacing w:val="-2"/>
        </w:rPr>
        <w:t>0787215635</w:t>
      </w:r>
    </w:p>
    <w:p>
      <w:pPr>
        <w:pStyle w:val="BodyText"/>
        <w:spacing w:line="229" w:lineRule="exact" w:before="1"/>
        <w:ind w:left="799"/>
      </w:pPr>
      <w:r>
        <w:rPr/>
        <w:t>We</w:t>
      </w:r>
      <w:r>
        <w:rPr>
          <w:spacing w:val="-8"/>
        </w:rPr>
        <w:t> </w:t>
      </w:r>
      <w:r>
        <w:rPr/>
        <w:t>also</w:t>
      </w:r>
      <w:r>
        <w:rPr>
          <w:spacing w:val="-4"/>
        </w:rPr>
        <w:t> </w:t>
      </w:r>
      <w:r>
        <w:rPr/>
        <w:t>will</w:t>
      </w:r>
      <w:r>
        <w:rPr>
          <w:spacing w:val="-5"/>
        </w:rPr>
        <w:t> </w:t>
      </w:r>
      <w:r>
        <w:rPr/>
        <w:t>frequently</w:t>
      </w:r>
      <w:r>
        <w:rPr>
          <w:spacing w:val="-8"/>
        </w:rPr>
        <w:t> </w:t>
      </w:r>
      <w:r>
        <w:rPr>
          <w:spacing w:val="-2"/>
        </w:rPr>
        <w:t>reference:</w:t>
      </w:r>
    </w:p>
    <w:p>
      <w:pPr>
        <w:spacing w:line="242" w:lineRule="auto" w:before="0"/>
        <w:ind w:left="1518" w:right="333" w:hanging="360"/>
        <w:jc w:val="left"/>
        <w:rPr>
          <w:sz w:val="20"/>
        </w:rPr>
      </w:pPr>
      <w:r>
        <w:rPr>
          <w:sz w:val="20"/>
        </w:rPr>
        <w:t>Brawne, M.</w:t>
      </w:r>
      <w:r>
        <w:rPr>
          <w:spacing w:val="-3"/>
          <w:sz w:val="20"/>
        </w:rPr>
        <w:t> </w:t>
      </w:r>
      <w:r>
        <w:rPr>
          <w:sz w:val="20"/>
        </w:rPr>
        <w:t>(2003). </w:t>
      </w:r>
      <w:r>
        <w:rPr>
          <w:i/>
          <w:sz w:val="20"/>
        </w:rPr>
        <w:t>Architectural</w:t>
      </w:r>
      <w:r>
        <w:rPr>
          <w:i/>
          <w:spacing w:val="-3"/>
          <w:sz w:val="20"/>
        </w:rPr>
        <w:t> </w:t>
      </w:r>
      <w:r>
        <w:rPr>
          <w:i/>
          <w:sz w:val="20"/>
        </w:rPr>
        <w:t>Thought: The</w:t>
      </w:r>
      <w:r>
        <w:rPr>
          <w:i/>
          <w:spacing w:val="-1"/>
          <w:sz w:val="20"/>
        </w:rPr>
        <w:t> </w:t>
      </w:r>
      <w:r>
        <w:rPr>
          <w:i/>
          <w:sz w:val="20"/>
        </w:rPr>
        <w:t>design</w:t>
      </w:r>
      <w:r>
        <w:rPr>
          <w:i/>
          <w:spacing w:val="-1"/>
          <w:sz w:val="20"/>
        </w:rPr>
        <w:t> </w:t>
      </w:r>
      <w:r>
        <w:rPr>
          <w:i/>
          <w:sz w:val="20"/>
        </w:rPr>
        <w:t>process</w:t>
      </w:r>
      <w:r>
        <w:rPr>
          <w:i/>
          <w:spacing w:val="-1"/>
          <w:sz w:val="20"/>
        </w:rPr>
        <w:t> </w:t>
      </w:r>
      <w:r>
        <w:rPr>
          <w:i/>
          <w:sz w:val="20"/>
        </w:rPr>
        <w:t>and the expectant eye.</w:t>
      </w:r>
      <w:r>
        <w:rPr>
          <w:i/>
          <w:spacing w:val="-3"/>
          <w:sz w:val="20"/>
        </w:rPr>
        <w:t> </w:t>
      </w:r>
      <w:r>
        <w:rPr>
          <w:sz w:val="20"/>
        </w:rPr>
        <w:t>Burlington, MA: Architectural Press.</w:t>
      </w:r>
    </w:p>
    <w:p>
      <w:pPr>
        <w:spacing w:line="226" w:lineRule="exact" w:before="0"/>
        <w:ind w:left="1158" w:right="0" w:firstLine="0"/>
        <w:jc w:val="left"/>
        <w:rPr>
          <w:sz w:val="20"/>
        </w:rPr>
      </w:pPr>
      <w:r>
        <w:rPr>
          <w:sz w:val="20"/>
        </w:rPr>
        <w:t>Brolin.</w:t>
      </w:r>
      <w:r>
        <w:rPr>
          <w:spacing w:val="-6"/>
          <w:sz w:val="20"/>
        </w:rPr>
        <w:t> </w:t>
      </w:r>
      <w:r>
        <w:rPr>
          <w:sz w:val="20"/>
        </w:rPr>
        <w:t>B.</w:t>
      </w:r>
      <w:r>
        <w:rPr>
          <w:spacing w:val="-7"/>
          <w:sz w:val="20"/>
        </w:rPr>
        <w:t> </w:t>
      </w:r>
      <w:r>
        <w:rPr>
          <w:sz w:val="20"/>
        </w:rPr>
        <w:t>C.</w:t>
      </w:r>
      <w:r>
        <w:rPr>
          <w:spacing w:val="-7"/>
          <w:sz w:val="20"/>
        </w:rPr>
        <w:t> </w:t>
      </w:r>
      <w:r>
        <w:rPr>
          <w:sz w:val="20"/>
        </w:rPr>
        <w:t>(2002).</w:t>
      </w:r>
      <w:r>
        <w:rPr>
          <w:spacing w:val="-7"/>
          <w:sz w:val="20"/>
        </w:rPr>
        <w:t> </w:t>
      </w:r>
      <w:r>
        <w:rPr>
          <w:i/>
          <w:sz w:val="20"/>
        </w:rPr>
        <w:t>The</w:t>
      </w:r>
      <w:r>
        <w:rPr>
          <w:i/>
          <w:spacing w:val="-7"/>
          <w:sz w:val="20"/>
        </w:rPr>
        <w:t> </w:t>
      </w:r>
      <w:r>
        <w:rPr>
          <w:i/>
          <w:sz w:val="20"/>
        </w:rPr>
        <w:t>designer’s</w:t>
      </w:r>
      <w:r>
        <w:rPr>
          <w:i/>
          <w:spacing w:val="-3"/>
          <w:sz w:val="20"/>
        </w:rPr>
        <w:t> </w:t>
      </w:r>
      <w:r>
        <w:rPr>
          <w:i/>
          <w:sz w:val="20"/>
        </w:rPr>
        <w:t>eye:</w:t>
      </w:r>
      <w:r>
        <w:rPr>
          <w:i/>
          <w:spacing w:val="-6"/>
          <w:sz w:val="20"/>
        </w:rPr>
        <w:t> </w:t>
      </w:r>
      <w:r>
        <w:rPr>
          <w:i/>
          <w:sz w:val="20"/>
        </w:rPr>
        <w:t>Problem</w:t>
      </w:r>
      <w:r>
        <w:rPr>
          <w:i/>
          <w:spacing w:val="-7"/>
          <w:sz w:val="20"/>
        </w:rPr>
        <w:t> </w:t>
      </w:r>
      <w:r>
        <w:rPr>
          <w:i/>
          <w:sz w:val="20"/>
        </w:rPr>
        <w:t>solving</w:t>
      </w:r>
      <w:r>
        <w:rPr>
          <w:i/>
          <w:spacing w:val="-7"/>
          <w:sz w:val="20"/>
        </w:rPr>
        <w:t> </w:t>
      </w:r>
      <w:r>
        <w:rPr>
          <w:i/>
          <w:sz w:val="20"/>
        </w:rPr>
        <w:t>in</w:t>
      </w:r>
      <w:r>
        <w:rPr>
          <w:i/>
          <w:spacing w:val="-7"/>
          <w:sz w:val="20"/>
        </w:rPr>
        <w:t> </w:t>
      </w:r>
      <w:r>
        <w:rPr>
          <w:i/>
          <w:sz w:val="20"/>
        </w:rPr>
        <w:t>architectural</w:t>
      </w:r>
      <w:r>
        <w:rPr>
          <w:i/>
          <w:spacing w:val="-8"/>
          <w:sz w:val="20"/>
        </w:rPr>
        <w:t> </w:t>
      </w:r>
      <w:r>
        <w:rPr>
          <w:i/>
          <w:spacing w:val="-2"/>
          <w:sz w:val="20"/>
        </w:rPr>
        <w:t>design</w:t>
      </w:r>
      <w:r>
        <w:rPr>
          <w:spacing w:val="-2"/>
          <w:sz w:val="20"/>
        </w:rPr>
        <w:t>.</w:t>
      </w:r>
    </w:p>
    <w:p>
      <w:pPr>
        <w:spacing w:before="0"/>
        <w:ind w:left="1158" w:right="642" w:firstLine="0"/>
        <w:jc w:val="left"/>
        <w:rPr>
          <w:sz w:val="20"/>
        </w:rPr>
      </w:pPr>
      <w:r>
        <w:rPr>
          <w:sz w:val="20"/>
        </w:rPr>
        <w:t>Crowe,</w:t>
      </w:r>
      <w:r>
        <w:rPr>
          <w:spacing w:val="-4"/>
          <w:sz w:val="20"/>
        </w:rPr>
        <w:t> </w:t>
      </w:r>
      <w:r>
        <w:rPr>
          <w:sz w:val="20"/>
        </w:rPr>
        <w:t>N.,</w:t>
      </w:r>
      <w:r>
        <w:rPr>
          <w:spacing w:val="-4"/>
          <w:sz w:val="20"/>
        </w:rPr>
        <w:t> </w:t>
      </w:r>
      <w:r>
        <w:rPr>
          <w:sz w:val="20"/>
        </w:rPr>
        <w:t>&amp;</w:t>
      </w:r>
      <w:r>
        <w:rPr>
          <w:spacing w:val="-2"/>
          <w:sz w:val="20"/>
        </w:rPr>
        <w:t> </w:t>
      </w:r>
      <w:r>
        <w:rPr>
          <w:sz w:val="20"/>
        </w:rPr>
        <w:t>Laseau,</w:t>
      </w:r>
      <w:r>
        <w:rPr>
          <w:spacing w:val="-2"/>
          <w:sz w:val="20"/>
        </w:rPr>
        <w:t> </w:t>
      </w:r>
      <w:r>
        <w:rPr>
          <w:sz w:val="20"/>
        </w:rPr>
        <w:t>P.</w:t>
      </w:r>
      <w:r>
        <w:rPr>
          <w:spacing w:val="-4"/>
          <w:sz w:val="20"/>
        </w:rPr>
        <w:t> </w:t>
      </w:r>
      <w:r>
        <w:rPr>
          <w:sz w:val="20"/>
        </w:rPr>
        <w:t>(1984).</w:t>
      </w:r>
      <w:r>
        <w:rPr>
          <w:spacing w:val="-1"/>
          <w:sz w:val="20"/>
        </w:rPr>
        <w:t> </w:t>
      </w:r>
      <w:r>
        <w:rPr>
          <w:i/>
          <w:sz w:val="20"/>
        </w:rPr>
        <w:t>Visual</w:t>
      </w:r>
      <w:r>
        <w:rPr>
          <w:i/>
          <w:spacing w:val="-3"/>
          <w:sz w:val="20"/>
        </w:rPr>
        <w:t> </w:t>
      </w:r>
      <w:r>
        <w:rPr>
          <w:i/>
          <w:sz w:val="20"/>
        </w:rPr>
        <w:t>notes</w:t>
      </w:r>
      <w:r>
        <w:rPr>
          <w:i/>
          <w:spacing w:val="-3"/>
          <w:sz w:val="20"/>
        </w:rPr>
        <w:t> </w:t>
      </w:r>
      <w:r>
        <w:rPr>
          <w:i/>
          <w:sz w:val="20"/>
        </w:rPr>
        <w:t>for</w:t>
      </w:r>
      <w:r>
        <w:rPr>
          <w:i/>
          <w:spacing w:val="-3"/>
          <w:sz w:val="20"/>
        </w:rPr>
        <w:t> </w:t>
      </w:r>
      <w:r>
        <w:rPr>
          <w:i/>
          <w:sz w:val="20"/>
        </w:rPr>
        <w:t>architects</w:t>
      </w:r>
      <w:r>
        <w:rPr>
          <w:i/>
          <w:spacing w:val="-3"/>
          <w:sz w:val="20"/>
        </w:rPr>
        <w:t> </w:t>
      </w:r>
      <w:r>
        <w:rPr>
          <w:i/>
          <w:sz w:val="20"/>
        </w:rPr>
        <w:t>and</w:t>
      </w:r>
      <w:r>
        <w:rPr>
          <w:i/>
          <w:spacing w:val="-2"/>
          <w:sz w:val="20"/>
        </w:rPr>
        <w:t> </w:t>
      </w:r>
      <w:r>
        <w:rPr>
          <w:i/>
          <w:sz w:val="20"/>
        </w:rPr>
        <w:t>designers</w:t>
      </w:r>
      <w:r>
        <w:rPr>
          <w:sz w:val="20"/>
        </w:rPr>
        <w:t>.</w:t>
      </w:r>
      <w:r>
        <w:rPr>
          <w:spacing w:val="-4"/>
          <w:sz w:val="20"/>
        </w:rPr>
        <w:t> </w:t>
      </w:r>
      <w:r>
        <w:rPr>
          <w:sz w:val="20"/>
        </w:rPr>
        <w:t>John</w:t>
      </w:r>
      <w:r>
        <w:rPr>
          <w:spacing w:val="-2"/>
          <w:sz w:val="20"/>
        </w:rPr>
        <w:t> </w:t>
      </w:r>
      <w:r>
        <w:rPr>
          <w:sz w:val="20"/>
        </w:rPr>
        <w:t>Wiley</w:t>
      </w:r>
      <w:r>
        <w:rPr>
          <w:spacing w:val="-10"/>
          <w:sz w:val="20"/>
        </w:rPr>
        <w:t> </w:t>
      </w:r>
      <w:r>
        <w:rPr>
          <w:sz w:val="20"/>
        </w:rPr>
        <w:t>and</w:t>
      </w:r>
      <w:r>
        <w:rPr>
          <w:spacing w:val="-2"/>
          <w:sz w:val="20"/>
        </w:rPr>
        <w:t> </w:t>
      </w:r>
      <w:r>
        <w:rPr>
          <w:sz w:val="20"/>
        </w:rPr>
        <w:t>Sons. Lightman, A. (1993). </w:t>
      </w:r>
      <w:r>
        <w:rPr>
          <w:i/>
          <w:sz w:val="20"/>
        </w:rPr>
        <w:t>Einstein's dreams. </w:t>
      </w:r>
      <w:r>
        <w:rPr>
          <w:sz w:val="20"/>
        </w:rPr>
        <w:t>USA: Warner Books.</w:t>
      </w:r>
    </w:p>
    <w:p>
      <w:pPr>
        <w:spacing w:line="229" w:lineRule="exact" w:before="0"/>
        <w:ind w:left="1158" w:right="0" w:firstLine="0"/>
        <w:jc w:val="left"/>
        <w:rPr>
          <w:sz w:val="20"/>
        </w:rPr>
      </w:pPr>
      <w:r>
        <w:rPr>
          <w:sz w:val="20"/>
        </w:rPr>
        <w:t>Unwin,</w:t>
      </w:r>
      <w:r>
        <w:rPr>
          <w:spacing w:val="-9"/>
          <w:sz w:val="20"/>
        </w:rPr>
        <w:t> </w:t>
      </w:r>
      <w:r>
        <w:rPr>
          <w:sz w:val="20"/>
        </w:rPr>
        <w:t>S.</w:t>
      </w:r>
      <w:r>
        <w:rPr>
          <w:spacing w:val="-8"/>
          <w:sz w:val="20"/>
        </w:rPr>
        <w:t> </w:t>
      </w:r>
      <w:r>
        <w:rPr>
          <w:sz w:val="20"/>
        </w:rPr>
        <w:t>(2003).</w:t>
      </w:r>
      <w:r>
        <w:rPr>
          <w:spacing w:val="-5"/>
          <w:sz w:val="20"/>
        </w:rPr>
        <w:t> </w:t>
      </w:r>
      <w:r>
        <w:rPr>
          <w:i/>
          <w:sz w:val="20"/>
        </w:rPr>
        <w:t>Analyzing</w:t>
      </w:r>
      <w:r>
        <w:rPr>
          <w:i/>
          <w:spacing w:val="-9"/>
          <w:sz w:val="20"/>
        </w:rPr>
        <w:t> </w:t>
      </w:r>
      <w:r>
        <w:rPr>
          <w:i/>
          <w:sz w:val="20"/>
        </w:rPr>
        <w:t>architecture</w:t>
      </w:r>
      <w:r>
        <w:rPr>
          <w:sz w:val="20"/>
        </w:rPr>
        <w:t>.</w:t>
      </w:r>
      <w:r>
        <w:rPr>
          <w:spacing w:val="-8"/>
          <w:sz w:val="20"/>
        </w:rPr>
        <w:t> </w:t>
      </w:r>
      <w:r>
        <w:rPr>
          <w:sz w:val="20"/>
        </w:rPr>
        <w:t>NYC:</w:t>
      </w:r>
      <w:r>
        <w:rPr>
          <w:spacing w:val="-6"/>
          <w:sz w:val="20"/>
        </w:rPr>
        <w:t> </w:t>
      </w:r>
      <w:r>
        <w:rPr>
          <w:spacing w:val="-2"/>
          <w:sz w:val="20"/>
        </w:rPr>
        <w:t>Routledge.</w:t>
      </w:r>
    </w:p>
    <w:p>
      <w:pPr>
        <w:spacing w:before="0"/>
        <w:ind w:left="1158" w:right="0" w:firstLine="0"/>
        <w:jc w:val="left"/>
        <w:rPr>
          <w:sz w:val="20"/>
        </w:rPr>
      </w:pPr>
      <w:r>
        <w:rPr>
          <w:sz w:val="20"/>
        </w:rPr>
        <w:t>McDonough,</w:t>
      </w:r>
      <w:r>
        <w:rPr>
          <w:spacing w:val="13"/>
          <w:sz w:val="20"/>
        </w:rPr>
        <w:t> </w:t>
      </w:r>
      <w:r>
        <w:rPr>
          <w:sz w:val="20"/>
        </w:rPr>
        <w:t>W.</w:t>
      </w:r>
      <w:r>
        <w:rPr>
          <w:spacing w:val="19"/>
          <w:sz w:val="20"/>
        </w:rPr>
        <w:t> </w:t>
      </w:r>
      <w:r>
        <w:rPr>
          <w:sz w:val="20"/>
        </w:rPr>
        <w:t>&amp;</w:t>
      </w:r>
      <w:r>
        <w:rPr>
          <w:spacing w:val="17"/>
          <w:sz w:val="20"/>
        </w:rPr>
        <w:t> </w:t>
      </w:r>
      <w:r>
        <w:rPr>
          <w:sz w:val="20"/>
        </w:rPr>
        <w:t>Braungart,</w:t>
      </w:r>
      <w:r>
        <w:rPr>
          <w:spacing w:val="19"/>
          <w:sz w:val="20"/>
        </w:rPr>
        <w:t> </w:t>
      </w:r>
      <w:r>
        <w:rPr>
          <w:sz w:val="20"/>
        </w:rPr>
        <w:t>M.</w:t>
      </w:r>
      <w:r>
        <w:rPr>
          <w:spacing w:val="18"/>
          <w:sz w:val="20"/>
        </w:rPr>
        <w:t> </w:t>
      </w:r>
      <w:r>
        <w:rPr>
          <w:sz w:val="20"/>
        </w:rPr>
        <w:t>(2002).</w:t>
      </w:r>
      <w:r>
        <w:rPr>
          <w:spacing w:val="21"/>
          <w:sz w:val="20"/>
        </w:rPr>
        <w:t> </w:t>
      </w:r>
      <w:r>
        <w:rPr>
          <w:i/>
          <w:sz w:val="20"/>
        </w:rPr>
        <w:t>Cradle</w:t>
      </w:r>
      <w:r>
        <w:rPr>
          <w:i/>
          <w:spacing w:val="18"/>
          <w:sz w:val="20"/>
        </w:rPr>
        <w:t> </w:t>
      </w:r>
      <w:r>
        <w:rPr>
          <w:i/>
          <w:sz w:val="20"/>
        </w:rPr>
        <w:t>to</w:t>
      </w:r>
      <w:r>
        <w:rPr>
          <w:i/>
          <w:spacing w:val="19"/>
          <w:sz w:val="20"/>
        </w:rPr>
        <w:t> </w:t>
      </w:r>
      <w:r>
        <w:rPr>
          <w:i/>
          <w:sz w:val="20"/>
        </w:rPr>
        <w:t>cradle:</w:t>
      </w:r>
      <w:r>
        <w:rPr>
          <w:i/>
          <w:spacing w:val="20"/>
          <w:sz w:val="20"/>
        </w:rPr>
        <w:t> </w:t>
      </w:r>
      <w:r>
        <w:rPr>
          <w:i/>
          <w:sz w:val="20"/>
        </w:rPr>
        <w:t>Remaking</w:t>
      </w:r>
      <w:r>
        <w:rPr>
          <w:i/>
          <w:spacing w:val="18"/>
          <w:sz w:val="20"/>
        </w:rPr>
        <w:t> </w:t>
      </w:r>
      <w:r>
        <w:rPr>
          <w:i/>
          <w:sz w:val="20"/>
        </w:rPr>
        <w:t>the</w:t>
      </w:r>
      <w:r>
        <w:rPr>
          <w:i/>
          <w:spacing w:val="19"/>
          <w:sz w:val="20"/>
        </w:rPr>
        <w:t> </w:t>
      </w:r>
      <w:r>
        <w:rPr>
          <w:i/>
          <w:sz w:val="20"/>
        </w:rPr>
        <w:t>way</w:t>
      </w:r>
      <w:r>
        <w:rPr>
          <w:i/>
          <w:spacing w:val="19"/>
          <w:sz w:val="20"/>
        </w:rPr>
        <w:t> </w:t>
      </w:r>
      <w:r>
        <w:rPr>
          <w:i/>
          <w:sz w:val="20"/>
        </w:rPr>
        <w:t>we</w:t>
      </w:r>
      <w:r>
        <w:rPr>
          <w:i/>
          <w:spacing w:val="19"/>
          <w:sz w:val="20"/>
        </w:rPr>
        <w:t> </w:t>
      </w:r>
      <w:r>
        <w:rPr>
          <w:i/>
          <w:sz w:val="20"/>
        </w:rPr>
        <w:t>make</w:t>
      </w:r>
      <w:r>
        <w:rPr>
          <w:i/>
          <w:spacing w:val="20"/>
          <w:sz w:val="20"/>
        </w:rPr>
        <w:t> </w:t>
      </w:r>
      <w:r>
        <w:rPr>
          <w:i/>
          <w:spacing w:val="-2"/>
          <w:sz w:val="20"/>
        </w:rPr>
        <w:t>things</w:t>
      </w:r>
      <w:r>
        <w:rPr>
          <w:spacing w:val="-2"/>
          <w:sz w:val="20"/>
        </w:rPr>
        <w:t>.</w:t>
      </w:r>
    </w:p>
    <w:p>
      <w:pPr>
        <w:pStyle w:val="BodyText"/>
        <w:spacing w:line="229" w:lineRule="exact" w:before="3"/>
        <w:ind w:left="1518"/>
      </w:pPr>
      <w:r>
        <w:rPr/>
        <w:t>New</w:t>
      </w:r>
      <w:r>
        <w:rPr>
          <w:spacing w:val="-6"/>
        </w:rPr>
        <w:t> </w:t>
      </w:r>
      <w:r>
        <w:rPr/>
        <w:t>York:</w:t>
      </w:r>
      <w:r>
        <w:rPr>
          <w:spacing w:val="-6"/>
        </w:rPr>
        <w:t> </w:t>
      </w:r>
      <w:r>
        <w:rPr/>
        <w:t>North</w:t>
      </w:r>
      <w:r>
        <w:rPr>
          <w:spacing w:val="-6"/>
        </w:rPr>
        <w:t> </w:t>
      </w:r>
      <w:r>
        <w:rPr/>
        <w:t>Point</w:t>
      </w:r>
      <w:r>
        <w:rPr>
          <w:spacing w:val="-4"/>
        </w:rPr>
        <w:t> </w:t>
      </w:r>
      <w:r>
        <w:rPr>
          <w:spacing w:val="-2"/>
        </w:rPr>
        <w:t>Press.</w:t>
      </w:r>
    </w:p>
    <w:p>
      <w:pPr>
        <w:spacing w:before="0"/>
        <w:ind w:left="1158" w:right="333" w:firstLine="0"/>
        <w:jc w:val="left"/>
        <w:rPr>
          <w:sz w:val="20"/>
        </w:rPr>
      </w:pPr>
      <w:r>
        <w:rPr>
          <w:sz w:val="20"/>
        </w:rPr>
        <w:t>Shiller, M. (2004). </w:t>
      </w:r>
      <w:r>
        <w:rPr>
          <w:i/>
          <w:sz w:val="20"/>
        </w:rPr>
        <w:t>Mechanical and electrical systems</w:t>
      </w:r>
      <w:r>
        <w:rPr>
          <w:sz w:val="20"/>
        </w:rPr>
        <w:t>. Chicago: Dearborn Financial Publishing. Steffen,</w:t>
      </w:r>
      <w:r>
        <w:rPr>
          <w:spacing w:val="56"/>
          <w:sz w:val="20"/>
        </w:rPr>
        <w:t> </w:t>
      </w:r>
      <w:r>
        <w:rPr>
          <w:sz w:val="20"/>
        </w:rPr>
        <w:t>A.</w:t>
      </w:r>
      <w:r>
        <w:rPr>
          <w:spacing w:val="59"/>
          <w:sz w:val="20"/>
        </w:rPr>
        <w:t> </w:t>
      </w:r>
      <w:r>
        <w:rPr>
          <w:sz w:val="20"/>
        </w:rPr>
        <w:t>(Ed.).</w:t>
      </w:r>
      <w:r>
        <w:rPr>
          <w:spacing w:val="56"/>
          <w:sz w:val="20"/>
        </w:rPr>
        <w:t> </w:t>
      </w:r>
      <w:r>
        <w:rPr>
          <w:sz w:val="20"/>
        </w:rPr>
        <w:t>(2004).</w:t>
      </w:r>
      <w:r>
        <w:rPr>
          <w:spacing w:val="59"/>
          <w:sz w:val="20"/>
        </w:rPr>
        <w:t> </w:t>
      </w:r>
      <w:r>
        <w:rPr>
          <w:i/>
          <w:sz w:val="20"/>
        </w:rPr>
        <w:t>Worldchanging:</w:t>
      </w:r>
      <w:r>
        <w:rPr>
          <w:i/>
          <w:spacing w:val="59"/>
          <w:sz w:val="20"/>
        </w:rPr>
        <w:t> </w:t>
      </w:r>
      <w:r>
        <w:rPr>
          <w:i/>
          <w:sz w:val="20"/>
        </w:rPr>
        <w:t>A</w:t>
      </w:r>
      <w:r>
        <w:rPr>
          <w:i/>
          <w:spacing w:val="58"/>
          <w:sz w:val="20"/>
        </w:rPr>
        <w:t> </w:t>
      </w:r>
      <w:r>
        <w:rPr>
          <w:i/>
          <w:sz w:val="20"/>
        </w:rPr>
        <w:t>User's</w:t>
      </w:r>
      <w:r>
        <w:rPr>
          <w:i/>
          <w:spacing w:val="58"/>
          <w:sz w:val="20"/>
        </w:rPr>
        <w:t> </w:t>
      </w:r>
      <w:r>
        <w:rPr>
          <w:i/>
          <w:sz w:val="20"/>
        </w:rPr>
        <w:t>Guide</w:t>
      </w:r>
      <w:r>
        <w:rPr>
          <w:i/>
          <w:spacing w:val="56"/>
          <w:sz w:val="20"/>
        </w:rPr>
        <w:t> </w:t>
      </w:r>
      <w:r>
        <w:rPr>
          <w:i/>
          <w:sz w:val="20"/>
        </w:rPr>
        <w:t>for</w:t>
      </w:r>
      <w:r>
        <w:rPr>
          <w:i/>
          <w:spacing w:val="57"/>
          <w:sz w:val="20"/>
        </w:rPr>
        <w:t> </w:t>
      </w:r>
      <w:r>
        <w:rPr>
          <w:i/>
          <w:sz w:val="20"/>
        </w:rPr>
        <w:t>the</w:t>
      </w:r>
      <w:r>
        <w:rPr>
          <w:i/>
          <w:spacing w:val="56"/>
          <w:sz w:val="20"/>
        </w:rPr>
        <w:t> </w:t>
      </w:r>
      <w:r>
        <w:rPr>
          <w:i/>
          <w:sz w:val="20"/>
        </w:rPr>
        <w:t>21st</w:t>
      </w:r>
      <w:r>
        <w:rPr>
          <w:i/>
          <w:spacing w:val="56"/>
          <w:sz w:val="20"/>
        </w:rPr>
        <w:t> </w:t>
      </w:r>
      <w:r>
        <w:rPr>
          <w:i/>
          <w:sz w:val="20"/>
        </w:rPr>
        <w:t>Century</w:t>
      </w:r>
      <w:r>
        <w:rPr>
          <w:sz w:val="20"/>
        </w:rPr>
        <w:t>.</w:t>
      </w:r>
      <w:r>
        <w:rPr>
          <w:spacing w:val="56"/>
          <w:sz w:val="20"/>
        </w:rPr>
        <w:t> </w:t>
      </w:r>
      <w:r>
        <w:rPr>
          <w:sz w:val="20"/>
        </w:rPr>
        <w:t>New</w:t>
      </w:r>
      <w:r>
        <w:rPr>
          <w:spacing w:val="57"/>
          <w:sz w:val="20"/>
        </w:rPr>
        <w:t> </w:t>
      </w:r>
      <w:r>
        <w:rPr>
          <w:sz w:val="20"/>
        </w:rPr>
        <w:t>York:</w:t>
      </w:r>
    </w:p>
    <w:p>
      <w:pPr>
        <w:pStyle w:val="BodyText"/>
        <w:spacing w:line="229" w:lineRule="exact"/>
        <w:ind w:left="1518"/>
      </w:pPr>
      <w:r>
        <w:rPr/>
        <w:t>AbramsWood,</w:t>
      </w:r>
      <w:r>
        <w:rPr>
          <w:spacing w:val="-9"/>
        </w:rPr>
        <w:t> </w:t>
      </w:r>
      <w:r>
        <w:rPr/>
        <w:t>Paul</w:t>
      </w:r>
      <w:r>
        <w:rPr>
          <w:spacing w:val="-9"/>
        </w:rPr>
        <w:t> </w:t>
      </w:r>
      <w:r>
        <w:rPr/>
        <w:t>H.</w:t>
      </w:r>
      <w:r>
        <w:rPr>
          <w:spacing w:val="-6"/>
        </w:rPr>
        <w:t> </w:t>
      </w:r>
      <w:r>
        <w:rPr>
          <w:i/>
        </w:rPr>
        <w:t>Site</w:t>
      </w:r>
      <w:r>
        <w:rPr>
          <w:i/>
          <w:spacing w:val="-6"/>
        </w:rPr>
        <w:t> </w:t>
      </w:r>
      <w:r>
        <w:rPr>
          <w:i/>
        </w:rPr>
        <w:t>Design</w:t>
      </w:r>
      <w:r>
        <w:rPr/>
        <w:t>.</w:t>
      </w:r>
      <w:r>
        <w:rPr>
          <w:spacing w:val="-8"/>
        </w:rPr>
        <w:t> </w:t>
      </w:r>
      <w:r>
        <w:rPr/>
        <w:t>Chicago:</w:t>
      </w:r>
      <w:r>
        <w:rPr>
          <w:spacing w:val="-8"/>
        </w:rPr>
        <w:t> </w:t>
      </w:r>
      <w:r>
        <w:rPr/>
        <w:t>Dearborn</w:t>
      </w:r>
      <w:r>
        <w:rPr>
          <w:spacing w:val="-7"/>
        </w:rPr>
        <w:t> </w:t>
      </w:r>
      <w:r>
        <w:rPr/>
        <w:t>Financial</w:t>
      </w:r>
      <w:r>
        <w:rPr>
          <w:spacing w:val="-9"/>
        </w:rPr>
        <w:t> </w:t>
      </w:r>
      <w:r>
        <w:rPr>
          <w:spacing w:val="-2"/>
        </w:rPr>
        <w:t>Publishing.</w:t>
      </w:r>
    </w:p>
    <w:p>
      <w:pPr>
        <w:spacing w:before="0"/>
        <w:ind w:left="1158" w:right="0" w:firstLine="0"/>
        <w:jc w:val="left"/>
        <w:rPr>
          <w:sz w:val="20"/>
        </w:rPr>
      </w:pPr>
      <w:r>
        <w:rPr>
          <w:sz w:val="20"/>
        </w:rPr>
        <w:t>Stein,</w:t>
      </w:r>
      <w:r>
        <w:rPr>
          <w:spacing w:val="1"/>
          <w:sz w:val="20"/>
        </w:rPr>
        <w:t> </w:t>
      </w:r>
      <w:r>
        <w:rPr>
          <w:sz w:val="20"/>
        </w:rPr>
        <w:t>J. M.</w:t>
      </w:r>
      <w:r>
        <w:rPr>
          <w:spacing w:val="4"/>
          <w:sz w:val="20"/>
        </w:rPr>
        <w:t> </w:t>
      </w:r>
      <w:r>
        <w:rPr>
          <w:sz w:val="20"/>
        </w:rPr>
        <w:t>&amp;</w:t>
      </w:r>
      <w:r>
        <w:rPr>
          <w:spacing w:val="2"/>
          <w:sz w:val="20"/>
        </w:rPr>
        <w:t> </w:t>
      </w:r>
      <w:r>
        <w:rPr>
          <w:sz w:val="20"/>
        </w:rPr>
        <w:t>Sprecklemeyer, K.</w:t>
      </w:r>
      <w:r>
        <w:rPr>
          <w:spacing w:val="2"/>
          <w:sz w:val="20"/>
        </w:rPr>
        <w:t> </w:t>
      </w:r>
      <w:r>
        <w:rPr>
          <w:sz w:val="20"/>
        </w:rPr>
        <w:t>F.</w:t>
      </w:r>
      <w:r>
        <w:rPr>
          <w:spacing w:val="3"/>
          <w:sz w:val="20"/>
        </w:rPr>
        <w:t> </w:t>
      </w:r>
      <w:r>
        <w:rPr>
          <w:sz w:val="20"/>
        </w:rPr>
        <w:t>(Eds.).</w:t>
      </w:r>
      <w:r>
        <w:rPr>
          <w:spacing w:val="-1"/>
          <w:sz w:val="20"/>
        </w:rPr>
        <w:t> </w:t>
      </w:r>
      <w:r>
        <w:rPr>
          <w:sz w:val="20"/>
        </w:rPr>
        <w:t>(1999). </w:t>
      </w:r>
      <w:r>
        <w:rPr>
          <w:i/>
          <w:sz w:val="20"/>
        </w:rPr>
        <w:t>Classic</w:t>
      </w:r>
      <w:r>
        <w:rPr>
          <w:i/>
          <w:spacing w:val="1"/>
          <w:sz w:val="20"/>
        </w:rPr>
        <w:t> </w:t>
      </w:r>
      <w:r>
        <w:rPr>
          <w:i/>
          <w:sz w:val="20"/>
        </w:rPr>
        <w:t>readings</w:t>
      </w:r>
      <w:r>
        <w:rPr>
          <w:i/>
          <w:spacing w:val="3"/>
          <w:sz w:val="20"/>
        </w:rPr>
        <w:t> </w:t>
      </w:r>
      <w:r>
        <w:rPr>
          <w:i/>
          <w:sz w:val="20"/>
        </w:rPr>
        <w:t>in</w:t>
      </w:r>
      <w:r>
        <w:rPr>
          <w:i/>
          <w:spacing w:val="2"/>
          <w:sz w:val="20"/>
        </w:rPr>
        <w:t> </w:t>
      </w:r>
      <w:r>
        <w:rPr>
          <w:i/>
          <w:sz w:val="20"/>
        </w:rPr>
        <w:t>architecture</w:t>
      </w:r>
      <w:r>
        <w:rPr>
          <w:sz w:val="20"/>
        </w:rPr>
        <w:t>. McGraw-</w:t>
      </w:r>
      <w:r>
        <w:rPr>
          <w:spacing w:val="-2"/>
          <w:sz w:val="20"/>
        </w:rPr>
        <w:t>Hill.</w:t>
      </w:r>
    </w:p>
    <w:p>
      <w:pPr>
        <w:pStyle w:val="BodyText"/>
        <w:spacing w:line="229" w:lineRule="exact" w:before="2"/>
        <w:ind w:left="1518"/>
      </w:pPr>
      <w:r>
        <w:rPr/>
        <w:t>New</w:t>
      </w:r>
      <w:r>
        <w:rPr>
          <w:spacing w:val="-4"/>
        </w:rPr>
        <w:t> </w:t>
      </w:r>
      <w:r>
        <w:rPr/>
        <w:t>York,</w:t>
      </w:r>
      <w:r>
        <w:rPr>
          <w:spacing w:val="-4"/>
        </w:rPr>
        <w:t> </w:t>
      </w:r>
      <w:r>
        <w:rPr>
          <w:spacing w:val="-5"/>
        </w:rPr>
        <w:t>NY.</w:t>
      </w:r>
    </w:p>
    <w:p>
      <w:pPr>
        <w:spacing w:before="0"/>
        <w:ind w:left="1518" w:right="333" w:hanging="360"/>
        <w:jc w:val="left"/>
        <w:rPr>
          <w:sz w:val="20"/>
        </w:rPr>
      </w:pPr>
      <w:r>
        <w:rPr>
          <w:sz w:val="20"/>
        </w:rPr>
        <w:t>Wackernagel,</w:t>
      </w:r>
      <w:r>
        <w:rPr>
          <w:spacing w:val="27"/>
          <w:sz w:val="20"/>
        </w:rPr>
        <w:t> </w:t>
      </w:r>
      <w:r>
        <w:rPr>
          <w:sz w:val="20"/>
        </w:rPr>
        <w:t>M.</w:t>
      </w:r>
      <w:r>
        <w:rPr>
          <w:spacing w:val="27"/>
          <w:sz w:val="20"/>
        </w:rPr>
        <w:t> </w:t>
      </w:r>
      <w:r>
        <w:rPr>
          <w:sz w:val="20"/>
        </w:rPr>
        <w:t>&amp;</w:t>
      </w:r>
      <w:r>
        <w:rPr>
          <w:spacing w:val="26"/>
          <w:sz w:val="20"/>
        </w:rPr>
        <w:t> </w:t>
      </w:r>
      <w:r>
        <w:rPr>
          <w:sz w:val="20"/>
        </w:rPr>
        <w:t>Rees,</w:t>
      </w:r>
      <w:r>
        <w:rPr>
          <w:spacing w:val="27"/>
          <w:sz w:val="20"/>
        </w:rPr>
        <w:t> </w:t>
      </w:r>
      <w:r>
        <w:rPr>
          <w:sz w:val="20"/>
        </w:rPr>
        <w:t>W.</w:t>
      </w:r>
      <w:r>
        <w:rPr>
          <w:spacing w:val="22"/>
          <w:sz w:val="20"/>
        </w:rPr>
        <w:t> </w:t>
      </w:r>
      <w:r>
        <w:rPr>
          <w:sz w:val="20"/>
        </w:rPr>
        <w:t>(1996).</w:t>
      </w:r>
      <w:r>
        <w:rPr>
          <w:spacing w:val="27"/>
          <w:sz w:val="20"/>
        </w:rPr>
        <w:t> </w:t>
      </w:r>
      <w:r>
        <w:rPr>
          <w:i/>
          <w:sz w:val="20"/>
        </w:rPr>
        <w:t>Our</w:t>
      </w:r>
      <w:r>
        <w:rPr>
          <w:i/>
          <w:spacing w:val="28"/>
          <w:sz w:val="20"/>
        </w:rPr>
        <w:t> </w:t>
      </w:r>
      <w:r>
        <w:rPr>
          <w:i/>
          <w:sz w:val="20"/>
        </w:rPr>
        <w:t>ecological</w:t>
      </w:r>
      <w:r>
        <w:rPr>
          <w:i/>
          <w:spacing w:val="26"/>
          <w:sz w:val="20"/>
        </w:rPr>
        <w:t> </w:t>
      </w:r>
      <w:r>
        <w:rPr>
          <w:i/>
          <w:sz w:val="20"/>
        </w:rPr>
        <w:t>footprint:</w:t>
      </w:r>
      <w:r>
        <w:rPr>
          <w:i/>
          <w:spacing w:val="27"/>
          <w:sz w:val="20"/>
        </w:rPr>
        <w:t> </w:t>
      </w:r>
      <w:r>
        <w:rPr>
          <w:i/>
          <w:sz w:val="20"/>
        </w:rPr>
        <w:t>Reducing</w:t>
      </w:r>
      <w:r>
        <w:rPr>
          <w:i/>
          <w:spacing w:val="26"/>
          <w:sz w:val="20"/>
        </w:rPr>
        <w:t> </w:t>
      </w:r>
      <w:r>
        <w:rPr>
          <w:i/>
          <w:sz w:val="20"/>
        </w:rPr>
        <w:t>human</w:t>
      </w:r>
      <w:r>
        <w:rPr>
          <w:i/>
          <w:spacing w:val="29"/>
          <w:sz w:val="20"/>
        </w:rPr>
        <w:t> </w:t>
      </w:r>
      <w:r>
        <w:rPr>
          <w:i/>
          <w:sz w:val="20"/>
        </w:rPr>
        <w:t>impact</w:t>
      </w:r>
      <w:r>
        <w:rPr>
          <w:i/>
          <w:spacing w:val="27"/>
          <w:sz w:val="20"/>
        </w:rPr>
        <w:t> </w:t>
      </w:r>
      <w:r>
        <w:rPr>
          <w:i/>
          <w:sz w:val="20"/>
        </w:rPr>
        <w:t>on</w:t>
      </w:r>
      <w:r>
        <w:rPr>
          <w:i/>
          <w:spacing w:val="26"/>
          <w:sz w:val="20"/>
        </w:rPr>
        <w:t> </w:t>
      </w:r>
      <w:r>
        <w:rPr>
          <w:i/>
          <w:sz w:val="20"/>
        </w:rPr>
        <w:t>the earth</w:t>
      </w:r>
      <w:r>
        <w:rPr>
          <w:sz w:val="20"/>
        </w:rPr>
        <w:t>. Gabriola Island, British Columbia: New Society Publishers.</w:t>
      </w:r>
    </w:p>
    <w:p>
      <w:pPr>
        <w:pStyle w:val="BodyText"/>
        <w:spacing w:line="229" w:lineRule="exact"/>
        <w:ind w:left="1157"/>
      </w:pPr>
      <w:r>
        <w:rPr/>
        <w:t>Wood,</w:t>
      </w:r>
      <w:r>
        <w:rPr>
          <w:spacing w:val="-7"/>
        </w:rPr>
        <w:t> </w:t>
      </w:r>
      <w:r>
        <w:rPr/>
        <w:t>P.</w:t>
      </w:r>
      <w:r>
        <w:rPr>
          <w:spacing w:val="-7"/>
        </w:rPr>
        <w:t> </w:t>
      </w:r>
      <w:r>
        <w:rPr/>
        <w:t>H.</w:t>
      </w:r>
      <w:r>
        <w:rPr>
          <w:spacing w:val="-7"/>
        </w:rPr>
        <w:t> </w:t>
      </w:r>
      <w:r>
        <w:rPr/>
        <w:t>(2004).</w:t>
      </w:r>
      <w:r>
        <w:rPr>
          <w:spacing w:val="-7"/>
        </w:rPr>
        <w:t> </w:t>
      </w:r>
      <w:r>
        <w:rPr>
          <w:i/>
        </w:rPr>
        <w:t>Site</w:t>
      </w:r>
      <w:r>
        <w:rPr>
          <w:i/>
          <w:spacing w:val="-4"/>
        </w:rPr>
        <w:t> </w:t>
      </w:r>
      <w:r>
        <w:rPr>
          <w:i/>
        </w:rPr>
        <w:t>design</w:t>
      </w:r>
      <w:r>
        <w:rPr/>
        <w:t>.</w:t>
      </w:r>
      <w:r>
        <w:rPr>
          <w:spacing w:val="-7"/>
        </w:rPr>
        <w:t> </w:t>
      </w:r>
      <w:r>
        <w:rPr/>
        <w:t>Chicago:</w:t>
      </w:r>
      <w:r>
        <w:rPr>
          <w:spacing w:val="-7"/>
        </w:rPr>
        <w:t> </w:t>
      </w:r>
      <w:r>
        <w:rPr/>
        <w:t>Dearborn</w:t>
      </w:r>
      <w:r>
        <w:rPr>
          <w:spacing w:val="-7"/>
        </w:rPr>
        <w:t> </w:t>
      </w:r>
      <w:r>
        <w:rPr/>
        <w:t>Financial</w:t>
      </w:r>
      <w:r>
        <w:rPr>
          <w:spacing w:val="-6"/>
        </w:rPr>
        <w:t> </w:t>
      </w:r>
      <w:r>
        <w:rPr>
          <w:spacing w:val="-2"/>
        </w:rPr>
        <w:t>Publishing.</w:t>
      </w:r>
    </w:p>
    <w:p>
      <w:pPr>
        <w:spacing w:before="120"/>
        <w:ind w:left="437" w:right="0" w:firstLine="0"/>
        <w:jc w:val="left"/>
        <w:rPr>
          <w:b/>
          <w:sz w:val="20"/>
        </w:rPr>
      </w:pPr>
      <w:r>
        <w:rPr>
          <w:b/>
          <w:sz w:val="20"/>
        </w:rPr>
        <w:t>Offered</w:t>
      </w:r>
      <w:r>
        <w:rPr>
          <w:b/>
          <w:spacing w:val="-10"/>
          <w:sz w:val="20"/>
        </w:rPr>
        <w:t> </w:t>
      </w:r>
      <w:r>
        <w:rPr>
          <w:b/>
          <w:spacing w:val="-2"/>
          <w:sz w:val="20"/>
        </w:rPr>
        <w:t>(terms):</w:t>
      </w:r>
    </w:p>
    <w:p>
      <w:pPr>
        <w:pStyle w:val="BodyText"/>
        <w:spacing w:before="122"/>
        <w:ind w:left="1157"/>
      </w:pPr>
      <w:r>
        <w:rPr/>
        <w:t>Fall</w:t>
      </w:r>
      <w:r>
        <w:rPr>
          <w:spacing w:val="-7"/>
        </w:rPr>
        <w:t> </w:t>
      </w:r>
      <w:r>
        <w:rPr/>
        <w:t>Semester</w:t>
      </w:r>
      <w:r>
        <w:rPr>
          <w:spacing w:val="-7"/>
        </w:rPr>
        <w:t> </w:t>
      </w:r>
      <w:r>
        <w:rPr>
          <w:spacing w:val="-4"/>
        </w:rPr>
        <w:t>only</w:t>
      </w:r>
    </w:p>
    <w:p>
      <w:pPr>
        <w:spacing w:before="118"/>
        <w:ind w:left="492" w:right="0" w:firstLine="0"/>
        <w:jc w:val="left"/>
        <w:rPr>
          <w:b/>
          <w:sz w:val="20"/>
        </w:rPr>
      </w:pPr>
      <w:r>
        <w:rPr>
          <w:b/>
          <w:sz w:val="20"/>
        </w:rPr>
        <w:t>Faculty</w:t>
      </w:r>
      <w:r>
        <w:rPr>
          <w:b/>
          <w:spacing w:val="-8"/>
          <w:sz w:val="20"/>
        </w:rPr>
        <w:t> </w:t>
      </w:r>
      <w:r>
        <w:rPr>
          <w:b/>
          <w:spacing w:val="-2"/>
          <w:sz w:val="20"/>
        </w:rPr>
        <w:t>Assigned</w:t>
      </w:r>
    </w:p>
    <w:p>
      <w:pPr>
        <w:pStyle w:val="BodyText"/>
        <w:spacing w:before="123"/>
        <w:ind w:left="1157" w:right="7005"/>
      </w:pPr>
      <w:r>
        <w:rPr/>
        <w:t>2014 – Chance (F/T) 2013</w:t>
      </w:r>
      <w:r>
        <w:rPr>
          <w:spacing w:val="-12"/>
        </w:rPr>
        <w:t> </w:t>
      </w:r>
      <w:r>
        <w:rPr/>
        <w:t>–</w:t>
      </w:r>
      <w:r>
        <w:rPr>
          <w:spacing w:val="-13"/>
        </w:rPr>
        <w:t> </w:t>
      </w:r>
      <w:r>
        <w:rPr/>
        <w:t>Okiomah</w:t>
      </w:r>
      <w:r>
        <w:rPr>
          <w:spacing w:val="-13"/>
        </w:rPr>
        <w:t> </w:t>
      </w:r>
      <w:r>
        <w:rPr/>
        <w:t>(F/T)</w:t>
      </w:r>
    </w:p>
    <w:p>
      <w:pPr>
        <w:spacing w:after="0"/>
        <w:sectPr>
          <w:headerReference w:type="default" r:id="rId183"/>
          <w:footerReference w:type="default" r:id="rId184"/>
          <w:pgSz w:w="12240" w:h="15840"/>
          <w:pgMar w:header="993" w:footer="974" w:top="1240" w:bottom="1160" w:left="1000" w:right="820"/>
        </w:sectPr>
      </w:pPr>
    </w:p>
    <w:p>
      <w:pPr>
        <w:spacing w:before="115"/>
        <w:ind w:left="440" w:right="0" w:firstLine="0"/>
        <w:jc w:val="left"/>
        <w:rPr>
          <w:b/>
          <w:sz w:val="20"/>
        </w:rPr>
      </w:pPr>
      <w:r>
        <w:rPr>
          <w:b/>
          <w:sz w:val="20"/>
        </w:rPr>
        <w:t>Course</w:t>
      </w:r>
      <w:r>
        <w:rPr>
          <w:b/>
          <w:spacing w:val="-9"/>
          <w:sz w:val="20"/>
        </w:rPr>
        <w:t> </w:t>
      </w:r>
      <w:r>
        <w:rPr>
          <w:b/>
          <w:sz w:val="20"/>
        </w:rPr>
        <w:t>Description</w:t>
      </w:r>
      <w:r>
        <w:rPr>
          <w:b/>
          <w:spacing w:val="-8"/>
          <w:sz w:val="20"/>
        </w:rPr>
        <w:t> </w:t>
      </w:r>
      <w:r>
        <w:rPr>
          <w:b/>
          <w:sz w:val="20"/>
        </w:rPr>
        <w:t>(limit</w:t>
      </w:r>
      <w:r>
        <w:rPr>
          <w:b/>
          <w:spacing w:val="-7"/>
          <w:sz w:val="20"/>
        </w:rPr>
        <w:t> </w:t>
      </w:r>
      <w:r>
        <w:rPr>
          <w:b/>
          <w:sz w:val="20"/>
        </w:rPr>
        <w:t>25</w:t>
      </w:r>
      <w:r>
        <w:rPr>
          <w:b/>
          <w:spacing w:val="-8"/>
          <w:sz w:val="20"/>
        </w:rPr>
        <w:t> </w:t>
      </w:r>
      <w:r>
        <w:rPr>
          <w:b/>
          <w:spacing w:val="-2"/>
          <w:sz w:val="20"/>
        </w:rPr>
        <w:t>words):</w:t>
      </w:r>
    </w:p>
    <w:p>
      <w:pPr>
        <w:pStyle w:val="BodyText"/>
        <w:spacing w:before="122"/>
        <w:ind w:left="1159" w:right="642"/>
      </w:pPr>
      <w:r>
        <w:rPr/>
        <w:t>The focus on urban theory, buildings, and building patterns through physical documentation, drawings,</w:t>
      </w:r>
      <w:r>
        <w:rPr>
          <w:spacing w:val="-4"/>
        </w:rPr>
        <w:t> </w:t>
      </w:r>
      <w:r>
        <w:rPr/>
        <w:t>models,</w:t>
      </w:r>
      <w:r>
        <w:rPr>
          <w:spacing w:val="-4"/>
        </w:rPr>
        <w:t> </w:t>
      </w:r>
      <w:r>
        <w:rPr/>
        <w:t>and</w:t>
      </w:r>
      <w:r>
        <w:rPr>
          <w:spacing w:val="-4"/>
        </w:rPr>
        <w:t> </w:t>
      </w:r>
      <w:r>
        <w:rPr/>
        <w:t>urban</w:t>
      </w:r>
      <w:r>
        <w:rPr>
          <w:spacing w:val="-4"/>
        </w:rPr>
        <w:t> </w:t>
      </w:r>
      <w:r>
        <w:rPr/>
        <w:t>theory</w:t>
      </w:r>
      <w:r>
        <w:rPr>
          <w:spacing w:val="-7"/>
        </w:rPr>
        <w:t> </w:t>
      </w:r>
      <w:r>
        <w:rPr/>
        <w:t>readings.</w:t>
      </w:r>
      <w:r>
        <w:rPr>
          <w:spacing w:val="-4"/>
        </w:rPr>
        <w:t> </w:t>
      </w:r>
      <w:r>
        <w:rPr/>
        <w:t>Architectural</w:t>
      </w:r>
      <w:r>
        <w:rPr>
          <w:spacing w:val="-5"/>
        </w:rPr>
        <w:t> </w:t>
      </w:r>
      <w:r>
        <w:rPr/>
        <w:t>design</w:t>
      </w:r>
      <w:r>
        <w:rPr>
          <w:spacing w:val="-4"/>
        </w:rPr>
        <w:t> </w:t>
      </w:r>
      <w:r>
        <w:rPr/>
        <w:t>projects</w:t>
      </w:r>
      <w:r>
        <w:rPr>
          <w:spacing w:val="-3"/>
        </w:rPr>
        <w:t> </w:t>
      </w:r>
      <w:r>
        <w:rPr/>
        <w:t>involving</w:t>
      </w:r>
      <w:r>
        <w:rPr>
          <w:spacing w:val="-4"/>
        </w:rPr>
        <w:t> </w:t>
      </w:r>
      <w:r>
        <w:rPr/>
        <w:t>a</w:t>
      </w:r>
      <w:r>
        <w:rPr>
          <w:spacing w:val="-2"/>
        </w:rPr>
        <w:t> </w:t>
      </w:r>
      <w:r>
        <w:rPr/>
        <w:t>variety</w:t>
      </w:r>
      <w:r>
        <w:rPr>
          <w:spacing w:val="-5"/>
        </w:rPr>
        <w:t> </w:t>
      </w:r>
      <w:r>
        <w:rPr/>
        <w:t>of urban conditions. The course begins with small-scale structures that introduce basic tectonic issues and include site analysis and basic programming. ARC 202 projects increase in scale, complexity and level of detail. Studios include required field trips to various local, regional and national sites.</w:t>
      </w:r>
    </w:p>
    <w:p>
      <w:pPr>
        <w:spacing w:before="118"/>
        <w:ind w:left="439" w:right="0" w:firstLine="0"/>
        <w:jc w:val="left"/>
        <w:rPr>
          <w:b/>
          <w:sz w:val="20"/>
        </w:rPr>
      </w:pPr>
      <w:r>
        <w:rPr>
          <w:b/>
          <w:sz w:val="20"/>
        </w:rPr>
        <w:t>Course</w:t>
      </w:r>
      <w:r>
        <w:rPr>
          <w:b/>
          <w:spacing w:val="-9"/>
          <w:sz w:val="20"/>
        </w:rPr>
        <w:t> </w:t>
      </w:r>
      <w:r>
        <w:rPr>
          <w:b/>
          <w:sz w:val="20"/>
        </w:rPr>
        <w:t>Goals</w:t>
      </w:r>
      <w:r>
        <w:rPr>
          <w:b/>
          <w:spacing w:val="-7"/>
          <w:sz w:val="20"/>
        </w:rPr>
        <w:t> </w:t>
      </w:r>
      <w:r>
        <w:rPr>
          <w:b/>
          <w:sz w:val="20"/>
        </w:rPr>
        <w:t>and</w:t>
      </w:r>
      <w:r>
        <w:rPr>
          <w:b/>
          <w:spacing w:val="-5"/>
          <w:sz w:val="20"/>
        </w:rPr>
        <w:t> </w:t>
      </w:r>
      <w:r>
        <w:rPr>
          <w:b/>
          <w:spacing w:val="-2"/>
          <w:sz w:val="20"/>
        </w:rPr>
        <w:t>Objectives;</w:t>
      </w:r>
    </w:p>
    <w:p>
      <w:pPr>
        <w:pStyle w:val="BodyText"/>
        <w:spacing w:line="276" w:lineRule="auto" w:before="126"/>
        <w:ind w:left="1159" w:right="642"/>
      </w:pPr>
      <w:r>
        <w:rPr/>
        <w:t>To</w:t>
      </w:r>
      <w:r>
        <w:rPr>
          <w:spacing w:val="-5"/>
        </w:rPr>
        <w:t> </w:t>
      </w:r>
      <w:r>
        <w:rPr/>
        <w:t>enhance</w:t>
      </w:r>
      <w:r>
        <w:rPr>
          <w:spacing w:val="-5"/>
        </w:rPr>
        <w:t> </w:t>
      </w:r>
      <w:r>
        <w:rPr/>
        <w:t>the</w:t>
      </w:r>
      <w:r>
        <w:rPr>
          <w:spacing w:val="-5"/>
        </w:rPr>
        <w:t> </w:t>
      </w:r>
      <w:r>
        <w:rPr/>
        <w:t>concepts</w:t>
      </w:r>
      <w:r>
        <w:rPr>
          <w:spacing w:val="-4"/>
        </w:rPr>
        <w:t> </w:t>
      </w:r>
      <w:r>
        <w:rPr/>
        <w:t>of</w:t>
      </w:r>
      <w:r>
        <w:rPr>
          <w:spacing w:val="-3"/>
        </w:rPr>
        <w:t> </w:t>
      </w:r>
      <w:r>
        <w:rPr/>
        <w:t>quality</w:t>
      </w:r>
      <w:r>
        <w:rPr>
          <w:spacing w:val="-5"/>
        </w:rPr>
        <w:t> </w:t>
      </w:r>
      <w:r>
        <w:rPr/>
        <w:t>of</w:t>
      </w:r>
      <w:r>
        <w:rPr>
          <w:spacing w:val="-3"/>
        </w:rPr>
        <w:t> </w:t>
      </w:r>
      <w:r>
        <w:rPr/>
        <w:t>spaces,</w:t>
      </w:r>
      <w:r>
        <w:rPr>
          <w:spacing w:val="-5"/>
        </w:rPr>
        <w:t> </w:t>
      </w:r>
      <w:r>
        <w:rPr/>
        <w:t>materials,</w:t>
      </w:r>
      <w:r>
        <w:rPr>
          <w:spacing w:val="-5"/>
        </w:rPr>
        <w:t> </w:t>
      </w:r>
      <w:r>
        <w:rPr/>
        <w:t>function,</w:t>
      </w:r>
      <w:r>
        <w:rPr>
          <w:spacing w:val="-5"/>
        </w:rPr>
        <w:t> </w:t>
      </w:r>
      <w:r>
        <w:rPr/>
        <w:t>circulation,</w:t>
      </w:r>
      <w:r>
        <w:rPr>
          <w:spacing w:val="-5"/>
        </w:rPr>
        <w:t> </w:t>
      </w:r>
      <w:r>
        <w:rPr/>
        <w:t>and</w:t>
      </w:r>
      <w:r>
        <w:rPr>
          <w:spacing w:val="-3"/>
        </w:rPr>
        <w:t> </w:t>
      </w:r>
      <w:r>
        <w:rPr/>
        <w:t>interior/exterior relationships as design determinates.</w:t>
      </w:r>
    </w:p>
    <w:p>
      <w:pPr>
        <w:pStyle w:val="BodyText"/>
        <w:spacing w:line="276" w:lineRule="auto"/>
        <w:ind w:left="1159" w:right="4400"/>
      </w:pPr>
      <w:r>
        <w:rPr/>
        <w:t>To</w:t>
      </w:r>
      <w:r>
        <w:rPr>
          <w:spacing w:val="-9"/>
        </w:rPr>
        <w:t> </w:t>
      </w:r>
      <w:r>
        <w:rPr/>
        <w:t>further</w:t>
      </w:r>
      <w:r>
        <w:rPr>
          <w:spacing w:val="-8"/>
        </w:rPr>
        <w:t> </w:t>
      </w:r>
      <w:r>
        <w:rPr/>
        <w:t>develop</w:t>
      </w:r>
      <w:r>
        <w:rPr>
          <w:spacing w:val="-7"/>
        </w:rPr>
        <w:t> </w:t>
      </w:r>
      <w:r>
        <w:rPr/>
        <w:t>the</w:t>
      </w:r>
      <w:r>
        <w:rPr>
          <w:spacing w:val="-7"/>
        </w:rPr>
        <w:t> </w:t>
      </w:r>
      <w:r>
        <w:rPr/>
        <w:t>understanding</w:t>
      </w:r>
      <w:r>
        <w:rPr>
          <w:spacing w:val="-7"/>
        </w:rPr>
        <w:t> </w:t>
      </w:r>
      <w:r>
        <w:rPr/>
        <w:t>of</w:t>
      </w:r>
      <w:r>
        <w:rPr>
          <w:spacing w:val="-7"/>
        </w:rPr>
        <w:t> </w:t>
      </w:r>
      <w:r>
        <w:rPr/>
        <w:t>organization. To build skills in site analysis and design.</w:t>
      </w:r>
    </w:p>
    <w:p>
      <w:pPr>
        <w:pStyle w:val="BodyText"/>
        <w:spacing w:line="193" w:lineRule="exact"/>
        <w:ind w:left="1159"/>
      </w:pPr>
      <w:r>
        <w:rPr/>
        <w:t>To</w:t>
      </w:r>
      <w:r>
        <w:rPr>
          <w:spacing w:val="-8"/>
        </w:rPr>
        <w:t> </w:t>
      </w:r>
      <w:r>
        <w:rPr/>
        <w:t>understand</w:t>
      </w:r>
      <w:r>
        <w:rPr>
          <w:spacing w:val="-6"/>
        </w:rPr>
        <w:t> </w:t>
      </w:r>
      <w:r>
        <w:rPr/>
        <w:t>and</w:t>
      </w:r>
      <w:r>
        <w:rPr>
          <w:spacing w:val="-7"/>
        </w:rPr>
        <w:t> </w:t>
      </w:r>
      <w:r>
        <w:rPr/>
        <w:t>utilize</w:t>
      </w:r>
      <w:r>
        <w:rPr>
          <w:spacing w:val="-6"/>
        </w:rPr>
        <w:t> </w:t>
      </w:r>
      <w:r>
        <w:rPr/>
        <w:t>various</w:t>
      </w:r>
      <w:r>
        <w:rPr>
          <w:spacing w:val="-6"/>
        </w:rPr>
        <w:t> </w:t>
      </w:r>
      <w:r>
        <w:rPr/>
        <w:t>planning</w:t>
      </w:r>
      <w:r>
        <w:rPr>
          <w:spacing w:val="-6"/>
        </w:rPr>
        <w:t> </w:t>
      </w:r>
      <w:r>
        <w:rPr/>
        <w:t>and</w:t>
      </w:r>
      <w:r>
        <w:rPr>
          <w:spacing w:val="-6"/>
        </w:rPr>
        <w:t> </w:t>
      </w:r>
      <w:r>
        <w:rPr/>
        <w:t>massing</w:t>
      </w:r>
      <w:r>
        <w:rPr>
          <w:spacing w:val="-7"/>
        </w:rPr>
        <w:t> </w:t>
      </w:r>
      <w:r>
        <w:rPr>
          <w:spacing w:val="-2"/>
        </w:rPr>
        <w:t>strategies.</w:t>
      </w:r>
    </w:p>
    <w:p>
      <w:pPr>
        <w:pStyle w:val="BodyText"/>
        <w:ind w:left="1159" w:right="712"/>
      </w:pPr>
      <w:r>
        <w:rPr/>
        <w:t>To</w:t>
      </w:r>
      <w:r>
        <w:rPr>
          <w:spacing w:val="-5"/>
        </w:rPr>
        <w:t> </w:t>
      </w:r>
      <w:r>
        <w:rPr/>
        <w:t>develop</w:t>
      </w:r>
      <w:r>
        <w:rPr>
          <w:spacing w:val="-4"/>
        </w:rPr>
        <w:t> </w:t>
      </w:r>
      <w:r>
        <w:rPr/>
        <w:t>greater</w:t>
      </w:r>
      <w:r>
        <w:rPr>
          <w:spacing w:val="-4"/>
        </w:rPr>
        <w:t> </w:t>
      </w:r>
      <w:r>
        <w:rPr/>
        <w:t>understanding</w:t>
      </w:r>
      <w:r>
        <w:rPr>
          <w:spacing w:val="-4"/>
        </w:rPr>
        <w:t> </w:t>
      </w:r>
      <w:r>
        <w:rPr/>
        <w:t>of</w:t>
      </w:r>
      <w:r>
        <w:rPr>
          <w:spacing w:val="-4"/>
        </w:rPr>
        <w:t> </w:t>
      </w:r>
      <w:r>
        <w:rPr/>
        <w:t>structure</w:t>
      </w:r>
      <w:r>
        <w:rPr>
          <w:spacing w:val="-5"/>
        </w:rPr>
        <w:t> </w:t>
      </w:r>
      <w:r>
        <w:rPr/>
        <w:t>and</w:t>
      </w:r>
      <w:r>
        <w:rPr>
          <w:spacing w:val="-4"/>
        </w:rPr>
        <w:t> </w:t>
      </w:r>
      <w:r>
        <w:rPr/>
        <w:t>environmental</w:t>
      </w:r>
      <w:r>
        <w:rPr>
          <w:spacing w:val="-6"/>
        </w:rPr>
        <w:t> </w:t>
      </w:r>
      <w:r>
        <w:rPr/>
        <w:t>systems</w:t>
      </w:r>
      <w:r>
        <w:rPr>
          <w:spacing w:val="-4"/>
        </w:rPr>
        <w:t> </w:t>
      </w:r>
      <w:r>
        <w:rPr/>
        <w:t>as</w:t>
      </w:r>
      <w:r>
        <w:rPr>
          <w:spacing w:val="-4"/>
        </w:rPr>
        <w:t> </w:t>
      </w:r>
      <w:r>
        <w:rPr/>
        <w:t>design </w:t>
      </w:r>
      <w:r>
        <w:rPr>
          <w:spacing w:val="-2"/>
        </w:rPr>
        <w:t>determinates.</w:t>
      </w:r>
    </w:p>
    <w:p>
      <w:pPr>
        <w:pStyle w:val="BodyText"/>
        <w:ind w:left="1159"/>
      </w:pPr>
      <w:r>
        <w:rPr/>
        <w:t>To</w:t>
      </w:r>
      <w:r>
        <w:rPr>
          <w:spacing w:val="-6"/>
        </w:rPr>
        <w:t> </w:t>
      </w:r>
      <w:r>
        <w:rPr/>
        <w:t>foster</w:t>
      </w:r>
      <w:r>
        <w:rPr>
          <w:spacing w:val="-5"/>
        </w:rPr>
        <w:t> </w:t>
      </w:r>
      <w:r>
        <w:rPr/>
        <w:t>individual</w:t>
      </w:r>
      <w:r>
        <w:rPr>
          <w:spacing w:val="-5"/>
        </w:rPr>
        <w:t> </w:t>
      </w:r>
      <w:r>
        <w:rPr/>
        <w:t>commitment</w:t>
      </w:r>
      <w:r>
        <w:rPr>
          <w:spacing w:val="-6"/>
        </w:rPr>
        <w:t> </w:t>
      </w:r>
      <w:r>
        <w:rPr/>
        <w:t>and</w:t>
      </w:r>
      <w:r>
        <w:rPr>
          <w:spacing w:val="-6"/>
        </w:rPr>
        <w:t> </w:t>
      </w:r>
      <w:r>
        <w:rPr/>
        <w:t>excitement</w:t>
      </w:r>
      <w:r>
        <w:rPr>
          <w:spacing w:val="-5"/>
        </w:rPr>
        <w:t> </w:t>
      </w:r>
      <w:r>
        <w:rPr/>
        <w:t>for</w:t>
      </w:r>
      <w:r>
        <w:rPr>
          <w:spacing w:val="-5"/>
        </w:rPr>
        <w:t> </w:t>
      </w:r>
      <w:r>
        <w:rPr/>
        <w:t>the</w:t>
      </w:r>
      <w:r>
        <w:rPr>
          <w:spacing w:val="-6"/>
        </w:rPr>
        <w:t> </w:t>
      </w:r>
      <w:r>
        <w:rPr/>
        <w:t>search</w:t>
      </w:r>
      <w:r>
        <w:rPr>
          <w:spacing w:val="-6"/>
        </w:rPr>
        <w:t> </w:t>
      </w:r>
      <w:r>
        <w:rPr/>
        <w:t>for</w:t>
      </w:r>
      <w:r>
        <w:rPr>
          <w:spacing w:val="-5"/>
        </w:rPr>
        <w:t> </w:t>
      </w:r>
      <w:r>
        <w:rPr/>
        <w:t>a</w:t>
      </w:r>
      <w:r>
        <w:rPr>
          <w:spacing w:val="-6"/>
        </w:rPr>
        <w:t> </w:t>
      </w:r>
      <w:r>
        <w:rPr>
          <w:spacing w:val="-2"/>
        </w:rPr>
        <w:t>solution.</w:t>
      </w:r>
    </w:p>
    <w:p>
      <w:pPr>
        <w:pStyle w:val="BodyText"/>
        <w:spacing w:before="1"/>
        <w:ind w:left="1159" w:right="642"/>
      </w:pPr>
      <w:r>
        <w:rPr/>
        <w:t>To</w:t>
      </w:r>
      <w:r>
        <w:rPr>
          <w:spacing w:val="-5"/>
        </w:rPr>
        <w:t> </w:t>
      </w:r>
      <w:r>
        <w:rPr/>
        <w:t>continue</w:t>
      </w:r>
      <w:r>
        <w:rPr>
          <w:spacing w:val="-3"/>
        </w:rPr>
        <w:t> </w:t>
      </w:r>
      <w:r>
        <w:rPr/>
        <w:t>to</w:t>
      </w:r>
      <w:r>
        <w:rPr>
          <w:spacing w:val="-3"/>
        </w:rPr>
        <w:t> </w:t>
      </w:r>
      <w:r>
        <w:rPr/>
        <w:t>develop</w:t>
      </w:r>
      <w:r>
        <w:rPr>
          <w:spacing w:val="-3"/>
        </w:rPr>
        <w:t> </w:t>
      </w:r>
      <w:r>
        <w:rPr/>
        <w:t>the</w:t>
      </w:r>
      <w:r>
        <w:rPr>
          <w:spacing w:val="-3"/>
        </w:rPr>
        <w:t> </w:t>
      </w:r>
      <w:r>
        <w:rPr/>
        <w:t>understanding</w:t>
      </w:r>
      <w:r>
        <w:rPr>
          <w:spacing w:val="-3"/>
        </w:rPr>
        <w:t> </w:t>
      </w:r>
      <w:r>
        <w:rPr/>
        <w:t>of</w:t>
      </w:r>
      <w:r>
        <w:rPr>
          <w:spacing w:val="-3"/>
        </w:rPr>
        <w:t> </w:t>
      </w:r>
      <w:r>
        <w:rPr/>
        <w:t>“Architectural</w:t>
      </w:r>
      <w:r>
        <w:rPr>
          <w:spacing w:val="-4"/>
        </w:rPr>
        <w:t> </w:t>
      </w:r>
      <w:r>
        <w:rPr/>
        <w:t>Education,”</w:t>
      </w:r>
      <w:r>
        <w:rPr>
          <w:spacing w:val="-4"/>
        </w:rPr>
        <w:t> </w:t>
      </w:r>
      <w:r>
        <w:rPr/>
        <w:t>studio</w:t>
      </w:r>
      <w:r>
        <w:rPr>
          <w:spacing w:val="-5"/>
        </w:rPr>
        <w:t> </w:t>
      </w:r>
      <w:r>
        <w:rPr/>
        <w:t>culture</w:t>
      </w:r>
      <w:r>
        <w:rPr>
          <w:spacing w:val="-5"/>
        </w:rPr>
        <w:t> </w:t>
      </w:r>
      <w:r>
        <w:rPr/>
        <w:t>and</w:t>
      </w:r>
      <w:r>
        <w:rPr>
          <w:spacing w:val="-5"/>
        </w:rPr>
        <w:t> </w:t>
      </w:r>
      <w:r>
        <w:rPr/>
        <w:t>the</w:t>
      </w:r>
      <w:r>
        <w:rPr>
          <w:spacing w:val="-5"/>
        </w:rPr>
        <w:t> </w:t>
      </w:r>
      <w:r>
        <w:rPr/>
        <w:t>part that the design studio plays in education and design.</w:t>
      </w:r>
    </w:p>
    <w:p>
      <w:pPr>
        <w:spacing w:before="116"/>
        <w:ind w:left="439" w:right="0" w:firstLine="0"/>
        <w:jc w:val="left"/>
        <w:rPr>
          <w:b/>
          <w:sz w:val="20"/>
        </w:rPr>
      </w:pPr>
      <w:r>
        <w:rPr>
          <w:b/>
          <w:sz w:val="20"/>
        </w:rPr>
        <w:t>Student</w:t>
      </w:r>
      <w:r>
        <w:rPr>
          <w:b/>
          <w:spacing w:val="-9"/>
          <w:sz w:val="20"/>
        </w:rPr>
        <w:t> </w:t>
      </w:r>
      <w:r>
        <w:rPr>
          <w:b/>
          <w:sz w:val="20"/>
        </w:rPr>
        <w:t>Performance</w:t>
      </w:r>
      <w:r>
        <w:rPr>
          <w:b/>
          <w:spacing w:val="-9"/>
          <w:sz w:val="20"/>
        </w:rPr>
        <w:t> </w:t>
      </w:r>
      <w:r>
        <w:rPr>
          <w:b/>
          <w:sz w:val="20"/>
        </w:rPr>
        <w:t>Criteria</w:t>
      </w:r>
      <w:r>
        <w:rPr>
          <w:b/>
          <w:spacing w:val="-5"/>
          <w:sz w:val="20"/>
        </w:rPr>
        <w:t> </w:t>
      </w:r>
      <w:r>
        <w:rPr>
          <w:b/>
          <w:sz w:val="20"/>
        </w:rPr>
        <w:t>Addressed</w:t>
      </w:r>
      <w:r>
        <w:rPr>
          <w:b/>
          <w:spacing w:val="-8"/>
          <w:sz w:val="20"/>
        </w:rPr>
        <w:t> </w:t>
      </w:r>
      <w:r>
        <w:rPr>
          <w:b/>
          <w:sz w:val="20"/>
        </w:rPr>
        <w:t>(name</w:t>
      </w:r>
      <w:r>
        <w:rPr>
          <w:b/>
          <w:spacing w:val="-9"/>
          <w:sz w:val="20"/>
        </w:rPr>
        <w:t> </w:t>
      </w:r>
      <w:r>
        <w:rPr>
          <w:b/>
          <w:sz w:val="20"/>
        </w:rPr>
        <w:t>and</w:t>
      </w:r>
      <w:r>
        <w:rPr>
          <w:b/>
          <w:spacing w:val="-8"/>
          <w:sz w:val="20"/>
        </w:rPr>
        <w:t> </w:t>
      </w:r>
      <w:r>
        <w:rPr>
          <w:b/>
          <w:spacing w:val="-2"/>
          <w:sz w:val="20"/>
        </w:rPr>
        <w:t>number)</w:t>
      </w:r>
    </w:p>
    <w:p>
      <w:pPr>
        <w:pStyle w:val="ListParagraph"/>
        <w:numPr>
          <w:ilvl w:val="1"/>
          <w:numId w:val="44"/>
        </w:numPr>
        <w:tabs>
          <w:tab w:pos="1520" w:val="left" w:leader="none"/>
        </w:tabs>
        <w:spacing w:line="240" w:lineRule="auto" w:before="122" w:after="0"/>
        <w:ind w:left="1159" w:right="6386" w:firstLine="0"/>
        <w:jc w:val="left"/>
        <w:rPr>
          <w:sz w:val="20"/>
        </w:rPr>
      </w:pPr>
      <w:r>
        <w:rPr>
          <w:sz w:val="20"/>
        </w:rPr>
        <w:t>Visual</w:t>
      </w:r>
      <w:r>
        <w:rPr>
          <w:spacing w:val="-14"/>
          <w:sz w:val="20"/>
        </w:rPr>
        <w:t> </w:t>
      </w:r>
      <w:r>
        <w:rPr>
          <w:sz w:val="20"/>
        </w:rPr>
        <w:t>Communication</w:t>
      </w:r>
      <w:r>
        <w:rPr>
          <w:spacing w:val="-14"/>
          <w:sz w:val="20"/>
        </w:rPr>
        <w:t> </w:t>
      </w:r>
      <w:r>
        <w:rPr>
          <w:sz w:val="20"/>
        </w:rPr>
        <w:t>Skills A-6 Fundamental Design Skills A-8 Ordering System Skills</w:t>
      </w:r>
    </w:p>
    <w:p>
      <w:pPr>
        <w:spacing w:before="119"/>
        <w:ind w:left="439" w:right="0" w:firstLine="0"/>
        <w:jc w:val="left"/>
        <w:rPr>
          <w:b/>
          <w:sz w:val="20"/>
        </w:rPr>
      </w:pPr>
      <w:r>
        <w:rPr>
          <w:b/>
          <w:sz w:val="20"/>
        </w:rPr>
        <w:t>Topical</w:t>
      </w:r>
      <w:r>
        <w:rPr>
          <w:b/>
          <w:spacing w:val="-7"/>
          <w:sz w:val="20"/>
        </w:rPr>
        <w:t> </w:t>
      </w:r>
      <w:r>
        <w:rPr>
          <w:b/>
          <w:sz w:val="20"/>
        </w:rPr>
        <w:t>Outline</w:t>
      </w:r>
      <w:r>
        <w:rPr>
          <w:b/>
          <w:spacing w:val="-7"/>
          <w:sz w:val="20"/>
        </w:rPr>
        <w:t> </w:t>
      </w:r>
      <w:r>
        <w:rPr>
          <w:b/>
          <w:sz w:val="20"/>
        </w:rPr>
        <w:t>and</w:t>
      </w:r>
      <w:r>
        <w:rPr>
          <w:b/>
          <w:spacing w:val="-6"/>
          <w:sz w:val="20"/>
        </w:rPr>
        <w:t> </w:t>
      </w:r>
      <w:r>
        <w:rPr>
          <w:b/>
          <w:sz w:val="20"/>
        </w:rPr>
        <w:t>percentage</w:t>
      </w:r>
      <w:r>
        <w:rPr>
          <w:b/>
          <w:spacing w:val="-6"/>
          <w:sz w:val="20"/>
        </w:rPr>
        <w:t> </w:t>
      </w:r>
      <w:r>
        <w:rPr>
          <w:b/>
          <w:sz w:val="20"/>
        </w:rPr>
        <w:t>of</w:t>
      </w:r>
      <w:r>
        <w:rPr>
          <w:b/>
          <w:spacing w:val="-6"/>
          <w:sz w:val="20"/>
        </w:rPr>
        <w:t> </w:t>
      </w:r>
      <w:r>
        <w:rPr>
          <w:b/>
          <w:sz w:val="20"/>
        </w:rPr>
        <w:t>time</w:t>
      </w:r>
      <w:r>
        <w:rPr>
          <w:b/>
          <w:spacing w:val="-7"/>
          <w:sz w:val="20"/>
        </w:rPr>
        <w:t> </w:t>
      </w:r>
      <w:r>
        <w:rPr>
          <w:b/>
          <w:sz w:val="20"/>
        </w:rPr>
        <w:t>spent</w:t>
      </w:r>
      <w:r>
        <w:rPr>
          <w:b/>
          <w:spacing w:val="-6"/>
          <w:sz w:val="20"/>
        </w:rPr>
        <w:t> </w:t>
      </w:r>
      <w:r>
        <w:rPr>
          <w:b/>
          <w:sz w:val="20"/>
        </w:rPr>
        <w:t>on</w:t>
      </w:r>
      <w:r>
        <w:rPr>
          <w:b/>
          <w:spacing w:val="-5"/>
          <w:sz w:val="20"/>
        </w:rPr>
        <w:t> </w:t>
      </w:r>
      <w:r>
        <w:rPr>
          <w:b/>
          <w:spacing w:val="-4"/>
          <w:sz w:val="20"/>
        </w:rPr>
        <w:t>each</w:t>
      </w:r>
    </w:p>
    <w:p>
      <w:pPr>
        <w:pStyle w:val="BodyText"/>
        <w:tabs>
          <w:tab w:pos="3679" w:val="left" w:leader="none"/>
        </w:tabs>
        <w:spacing w:before="121"/>
        <w:ind w:left="799"/>
      </w:pPr>
      <w:r>
        <w:rPr/>
        <w:t>Project</w:t>
      </w:r>
      <w:r>
        <w:rPr>
          <w:spacing w:val="-8"/>
        </w:rPr>
        <w:t> </w:t>
      </w:r>
      <w:r>
        <w:rPr/>
        <w:t>Assignments</w:t>
      </w:r>
      <w:r>
        <w:rPr>
          <w:spacing w:val="-6"/>
        </w:rPr>
        <w:t> </w:t>
      </w:r>
      <w:r>
        <w:rPr/>
        <w:t>–</w:t>
      </w:r>
      <w:r>
        <w:rPr>
          <w:spacing w:val="-7"/>
        </w:rPr>
        <w:t> </w:t>
      </w:r>
      <w:r>
        <w:rPr>
          <w:spacing w:val="-4"/>
        </w:rPr>
        <w:t>90%,</w:t>
      </w:r>
      <w:r>
        <w:rPr/>
        <w:tab/>
        <w:t>Class</w:t>
      </w:r>
      <w:r>
        <w:rPr>
          <w:spacing w:val="-7"/>
        </w:rPr>
        <w:t> </w:t>
      </w:r>
      <w:r>
        <w:rPr/>
        <w:t>Partipation</w:t>
      </w:r>
      <w:r>
        <w:rPr>
          <w:spacing w:val="-7"/>
        </w:rPr>
        <w:t> </w:t>
      </w:r>
      <w:r>
        <w:rPr/>
        <w:t>–</w:t>
      </w:r>
      <w:r>
        <w:rPr>
          <w:spacing w:val="-5"/>
        </w:rPr>
        <w:t> 10%</w:t>
      </w:r>
    </w:p>
    <w:p>
      <w:pPr>
        <w:spacing w:before="118"/>
        <w:ind w:left="439" w:right="0" w:firstLine="0"/>
        <w:jc w:val="left"/>
        <w:rPr>
          <w:b/>
          <w:sz w:val="20"/>
        </w:rPr>
      </w:pPr>
      <w:r>
        <w:rPr>
          <w:b/>
          <w:w w:val="95"/>
          <w:sz w:val="20"/>
        </w:rPr>
        <w:t>Pre-</w:t>
      </w:r>
      <w:r>
        <w:rPr>
          <w:b/>
          <w:spacing w:val="-2"/>
          <w:sz w:val="20"/>
        </w:rPr>
        <w:t>requisites</w:t>
      </w:r>
    </w:p>
    <w:p>
      <w:pPr>
        <w:pStyle w:val="BodyText"/>
        <w:spacing w:before="123"/>
        <w:ind w:left="1159"/>
      </w:pPr>
      <w:r>
        <w:rPr/>
        <w:t>ARC</w:t>
      </w:r>
      <w:r>
        <w:rPr>
          <w:spacing w:val="-5"/>
        </w:rPr>
        <w:t> </w:t>
      </w:r>
      <w:r>
        <w:rPr/>
        <w:t>102</w:t>
      </w:r>
      <w:r>
        <w:rPr>
          <w:spacing w:val="-5"/>
        </w:rPr>
        <w:t> </w:t>
      </w:r>
      <w:r>
        <w:rPr/>
        <w:t>for</w:t>
      </w:r>
      <w:r>
        <w:rPr>
          <w:spacing w:val="-3"/>
        </w:rPr>
        <w:t> </w:t>
      </w:r>
      <w:r>
        <w:rPr/>
        <w:t>ARC</w:t>
      </w:r>
      <w:r>
        <w:rPr>
          <w:spacing w:val="-5"/>
        </w:rPr>
        <w:t> </w:t>
      </w:r>
      <w:r>
        <w:rPr/>
        <w:t>201,</w:t>
      </w:r>
      <w:r>
        <w:rPr>
          <w:spacing w:val="-3"/>
        </w:rPr>
        <w:t> </w:t>
      </w:r>
      <w:r>
        <w:rPr/>
        <w:t>ARC</w:t>
      </w:r>
      <w:r>
        <w:rPr>
          <w:spacing w:val="-4"/>
        </w:rPr>
        <w:t> </w:t>
      </w:r>
      <w:r>
        <w:rPr/>
        <w:t>200</w:t>
      </w:r>
      <w:r>
        <w:rPr>
          <w:spacing w:val="-3"/>
        </w:rPr>
        <w:t> </w:t>
      </w:r>
      <w:r>
        <w:rPr/>
        <w:t>and</w:t>
      </w:r>
      <w:r>
        <w:rPr>
          <w:spacing w:val="-5"/>
        </w:rPr>
        <w:t> </w:t>
      </w:r>
      <w:r>
        <w:rPr/>
        <w:t>201</w:t>
      </w:r>
      <w:r>
        <w:rPr>
          <w:spacing w:val="-5"/>
        </w:rPr>
        <w:t> </w:t>
      </w:r>
      <w:r>
        <w:rPr/>
        <w:t>for</w:t>
      </w:r>
      <w:r>
        <w:rPr>
          <w:spacing w:val="-3"/>
        </w:rPr>
        <w:t> </w:t>
      </w:r>
      <w:r>
        <w:rPr/>
        <w:t>ARC</w:t>
      </w:r>
      <w:r>
        <w:rPr>
          <w:spacing w:val="-2"/>
        </w:rPr>
        <w:t> </w:t>
      </w:r>
      <w:r>
        <w:rPr/>
        <w:t>202</w:t>
      </w:r>
      <w:r>
        <w:rPr>
          <w:spacing w:val="-5"/>
        </w:rPr>
        <w:t> </w:t>
      </w:r>
      <w:r>
        <w:rPr/>
        <w:t>or</w:t>
      </w:r>
      <w:r>
        <w:rPr>
          <w:spacing w:val="-3"/>
        </w:rPr>
        <w:t> </w:t>
      </w:r>
      <w:r>
        <w:rPr/>
        <w:t>permission</w:t>
      </w:r>
      <w:r>
        <w:rPr>
          <w:spacing w:val="-5"/>
        </w:rPr>
        <w:t> </w:t>
      </w:r>
      <w:r>
        <w:rPr/>
        <w:t>of</w:t>
      </w:r>
      <w:r>
        <w:rPr>
          <w:spacing w:val="-3"/>
        </w:rPr>
        <w:t> </w:t>
      </w:r>
      <w:r>
        <w:rPr/>
        <w:t>the</w:t>
      </w:r>
      <w:r>
        <w:rPr>
          <w:spacing w:val="-3"/>
        </w:rPr>
        <w:t> </w:t>
      </w:r>
      <w:r>
        <w:rPr>
          <w:spacing w:val="-2"/>
        </w:rPr>
        <w:t>faculty.</w:t>
      </w:r>
    </w:p>
    <w:p>
      <w:pPr>
        <w:spacing w:before="118"/>
        <w:ind w:left="439" w:right="0" w:firstLine="0"/>
        <w:jc w:val="left"/>
        <w:rPr>
          <w:b/>
          <w:sz w:val="20"/>
        </w:rPr>
      </w:pPr>
      <w:r>
        <w:rPr>
          <w:b/>
          <w:sz w:val="20"/>
        </w:rPr>
        <w:t>Textbooks</w:t>
      </w:r>
      <w:r>
        <w:rPr>
          <w:b/>
          <w:spacing w:val="-11"/>
          <w:sz w:val="20"/>
        </w:rPr>
        <w:t> </w:t>
      </w:r>
      <w:r>
        <w:rPr>
          <w:b/>
          <w:sz w:val="20"/>
        </w:rPr>
        <w:t>/</w:t>
      </w:r>
      <w:r>
        <w:rPr>
          <w:b/>
          <w:spacing w:val="-9"/>
          <w:sz w:val="20"/>
        </w:rPr>
        <w:t> </w:t>
      </w:r>
      <w:r>
        <w:rPr>
          <w:b/>
          <w:sz w:val="20"/>
        </w:rPr>
        <w:t>Learning</w:t>
      </w:r>
      <w:r>
        <w:rPr>
          <w:b/>
          <w:spacing w:val="-7"/>
          <w:sz w:val="20"/>
        </w:rPr>
        <w:t> </w:t>
      </w:r>
      <w:r>
        <w:rPr>
          <w:b/>
          <w:spacing w:val="-2"/>
          <w:sz w:val="20"/>
        </w:rPr>
        <w:t>Resources</w:t>
      </w:r>
    </w:p>
    <w:p>
      <w:pPr>
        <w:spacing w:line="240" w:lineRule="auto" w:before="120"/>
        <w:ind w:left="1160" w:right="701" w:hanging="1"/>
        <w:jc w:val="left"/>
        <w:rPr>
          <w:sz w:val="20"/>
        </w:rPr>
      </w:pPr>
      <w:r>
        <w:rPr>
          <w:b/>
          <w:sz w:val="20"/>
        </w:rPr>
        <w:t>Sun,</w:t>
      </w:r>
      <w:r>
        <w:rPr>
          <w:b/>
          <w:spacing w:val="-2"/>
          <w:sz w:val="20"/>
        </w:rPr>
        <w:t> </w:t>
      </w:r>
      <w:r>
        <w:rPr>
          <w:b/>
          <w:sz w:val="20"/>
        </w:rPr>
        <w:t>Wind</w:t>
      </w:r>
      <w:r>
        <w:rPr>
          <w:b/>
          <w:spacing w:val="-1"/>
          <w:sz w:val="20"/>
        </w:rPr>
        <w:t> </w:t>
      </w:r>
      <w:r>
        <w:rPr>
          <w:b/>
          <w:sz w:val="20"/>
        </w:rPr>
        <w:t>&amp;</w:t>
      </w:r>
      <w:r>
        <w:rPr>
          <w:b/>
          <w:spacing w:val="-2"/>
          <w:sz w:val="20"/>
        </w:rPr>
        <w:t> </w:t>
      </w:r>
      <w:r>
        <w:rPr>
          <w:b/>
          <w:sz w:val="20"/>
        </w:rPr>
        <w:t>Light: Architectural Design Strategies </w:t>
      </w:r>
      <w:r>
        <w:rPr>
          <w:sz w:val="20"/>
        </w:rPr>
        <w:t>(</w:t>
      </w:r>
      <w:hyperlink r:id="rId187">
        <w:r>
          <w:rPr>
            <w:color w:val="0000FF"/>
            <w:sz w:val="20"/>
            <w:u w:val="single" w:color="0000FF"/>
          </w:rPr>
          <w:t>http://www.amazon.com/Sun-Wind-Light</w:t>
        </w:r>
      </w:hyperlink>
      <w:r>
        <w:rPr>
          <w:color w:val="0000FF"/>
          <w:sz w:val="20"/>
        </w:rPr>
        <w:t> </w:t>
      </w:r>
      <w:r>
        <w:rPr>
          <w:spacing w:val="-2"/>
          <w:sz w:val="20"/>
        </w:rPr>
        <w:t>Architectural-Strategies/dp/0471348775/ref=sr_1_1?ie=UTF8&amp;qid=1326214414&amp;sr=8-1) </w:t>
      </w:r>
      <w:r>
        <w:rPr>
          <w:b/>
          <w:sz w:val="20"/>
        </w:rPr>
        <w:t>Precedents in Architecture: Analytic Diagrams, Formative Ideas, and Partis </w:t>
      </w:r>
      <w:r>
        <w:rPr>
          <w:spacing w:val="-2"/>
          <w:sz w:val="20"/>
        </w:rPr>
        <w:t>(</w:t>
      </w:r>
      <w:hyperlink r:id="rId188">
        <w:r>
          <w:rPr>
            <w:spacing w:val="-2"/>
            <w:sz w:val="20"/>
          </w:rPr>
          <w:t>http://www.amazon.com/Precedents-Architecture-Analytic-Diagrams-Formative/dp/0471479748)</w:t>
        </w:r>
      </w:hyperlink>
    </w:p>
    <w:p>
      <w:pPr>
        <w:pStyle w:val="BodyText"/>
        <w:spacing w:before="121"/>
        <w:ind w:left="439"/>
      </w:pPr>
      <w:r>
        <w:rPr/>
        <w:t>We</w:t>
      </w:r>
      <w:r>
        <w:rPr>
          <w:spacing w:val="-8"/>
        </w:rPr>
        <w:t> </w:t>
      </w:r>
      <w:r>
        <w:rPr/>
        <w:t>will</w:t>
      </w:r>
      <w:r>
        <w:rPr>
          <w:spacing w:val="-6"/>
        </w:rPr>
        <w:t> </w:t>
      </w:r>
      <w:r>
        <w:rPr/>
        <w:t>also</w:t>
      </w:r>
      <w:r>
        <w:rPr>
          <w:spacing w:val="-5"/>
        </w:rPr>
        <w:t> </w:t>
      </w:r>
      <w:r>
        <w:rPr/>
        <w:t>reference</w:t>
      </w:r>
      <w:r>
        <w:rPr>
          <w:spacing w:val="-5"/>
        </w:rPr>
        <w:t> </w:t>
      </w:r>
      <w:r>
        <w:rPr/>
        <w:t>the</w:t>
      </w:r>
      <w:r>
        <w:rPr>
          <w:spacing w:val="-3"/>
        </w:rPr>
        <w:t> </w:t>
      </w:r>
      <w:r>
        <w:rPr/>
        <w:t>books</w:t>
      </w:r>
      <w:r>
        <w:rPr>
          <w:spacing w:val="-4"/>
        </w:rPr>
        <w:t> </w:t>
      </w:r>
      <w:r>
        <w:rPr/>
        <w:t>used</w:t>
      </w:r>
      <w:r>
        <w:rPr>
          <w:spacing w:val="-5"/>
        </w:rPr>
        <w:t> </w:t>
      </w:r>
      <w:r>
        <w:rPr/>
        <w:t>in</w:t>
      </w:r>
      <w:r>
        <w:rPr>
          <w:spacing w:val="-3"/>
        </w:rPr>
        <w:t> </w:t>
      </w:r>
      <w:r>
        <w:rPr>
          <w:spacing w:val="-2"/>
        </w:rPr>
        <w:t>ARC200:</w:t>
      </w:r>
    </w:p>
    <w:p>
      <w:pPr>
        <w:spacing w:before="118"/>
        <w:ind w:left="1159" w:right="0" w:firstLine="0"/>
        <w:jc w:val="left"/>
        <w:rPr>
          <w:sz w:val="20"/>
        </w:rPr>
      </w:pPr>
      <w:r>
        <w:rPr>
          <w:sz w:val="20"/>
        </w:rPr>
        <w:t>McDonough,</w:t>
      </w:r>
      <w:r>
        <w:rPr>
          <w:spacing w:val="-11"/>
          <w:sz w:val="20"/>
        </w:rPr>
        <w:t> </w:t>
      </w:r>
      <w:r>
        <w:rPr>
          <w:sz w:val="20"/>
        </w:rPr>
        <w:t>W.</w:t>
      </w:r>
      <w:r>
        <w:rPr>
          <w:spacing w:val="-5"/>
          <w:sz w:val="20"/>
        </w:rPr>
        <w:t> </w:t>
      </w:r>
      <w:r>
        <w:rPr>
          <w:sz w:val="20"/>
        </w:rPr>
        <w:t>&amp;</w:t>
      </w:r>
      <w:r>
        <w:rPr>
          <w:spacing w:val="-6"/>
          <w:sz w:val="20"/>
        </w:rPr>
        <w:t> </w:t>
      </w:r>
      <w:r>
        <w:rPr>
          <w:sz w:val="20"/>
        </w:rPr>
        <w:t>Braungart,</w:t>
      </w:r>
      <w:r>
        <w:rPr>
          <w:spacing w:val="-6"/>
          <w:sz w:val="20"/>
        </w:rPr>
        <w:t> </w:t>
      </w:r>
      <w:r>
        <w:rPr>
          <w:sz w:val="20"/>
        </w:rPr>
        <w:t>M.</w:t>
      </w:r>
      <w:r>
        <w:rPr>
          <w:spacing w:val="-5"/>
          <w:sz w:val="20"/>
        </w:rPr>
        <w:t> </w:t>
      </w:r>
      <w:r>
        <w:rPr>
          <w:sz w:val="20"/>
        </w:rPr>
        <w:t>(2002).</w:t>
      </w:r>
      <w:r>
        <w:rPr>
          <w:spacing w:val="-5"/>
          <w:sz w:val="20"/>
        </w:rPr>
        <w:t> </w:t>
      </w:r>
      <w:r>
        <w:rPr>
          <w:i/>
          <w:sz w:val="20"/>
        </w:rPr>
        <w:t>Cradle</w:t>
      </w:r>
      <w:r>
        <w:rPr>
          <w:i/>
          <w:spacing w:val="-5"/>
          <w:sz w:val="20"/>
        </w:rPr>
        <w:t> </w:t>
      </w:r>
      <w:r>
        <w:rPr>
          <w:i/>
          <w:sz w:val="20"/>
        </w:rPr>
        <w:t>to</w:t>
      </w:r>
      <w:r>
        <w:rPr>
          <w:i/>
          <w:spacing w:val="-6"/>
          <w:sz w:val="20"/>
        </w:rPr>
        <w:t> </w:t>
      </w:r>
      <w:r>
        <w:rPr>
          <w:i/>
          <w:sz w:val="20"/>
        </w:rPr>
        <w:t>cradle:</w:t>
      </w:r>
      <w:r>
        <w:rPr>
          <w:i/>
          <w:spacing w:val="-3"/>
          <w:sz w:val="20"/>
        </w:rPr>
        <w:t> </w:t>
      </w:r>
      <w:r>
        <w:rPr>
          <w:i/>
          <w:sz w:val="20"/>
        </w:rPr>
        <w:t>Remaking</w:t>
      </w:r>
      <w:r>
        <w:rPr>
          <w:i/>
          <w:spacing w:val="-6"/>
          <w:sz w:val="20"/>
        </w:rPr>
        <w:t> </w:t>
      </w:r>
      <w:r>
        <w:rPr>
          <w:i/>
          <w:sz w:val="20"/>
        </w:rPr>
        <w:t>the</w:t>
      </w:r>
      <w:r>
        <w:rPr>
          <w:i/>
          <w:spacing w:val="-5"/>
          <w:sz w:val="20"/>
        </w:rPr>
        <w:t> </w:t>
      </w:r>
      <w:r>
        <w:rPr>
          <w:i/>
          <w:sz w:val="20"/>
        </w:rPr>
        <w:t>way</w:t>
      </w:r>
      <w:r>
        <w:rPr>
          <w:i/>
          <w:spacing w:val="-5"/>
          <w:sz w:val="20"/>
        </w:rPr>
        <w:t> </w:t>
      </w:r>
      <w:r>
        <w:rPr>
          <w:i/>
          <w:sz w:val="20"/>
        </w:rPr>
        <w:t>we</w:t>
      </w:r>
      <w:r>
        <w:rPr>
          <w:i/>
          <w:spacing w:val="-3"/>
          <w:sz w:val="20"/>
        </w:rPr>
        <w:t> </w:t>
      </w:r>
      <w:r>
        <w:rPr>
          <w:i/>
          <w:sz w:val="20"/>
        </w:rPr>
        <w:t>make</w:t>
      </w:r>
      <w:r>
        <w:rPr>
          <w:i/>
          <w:spacing w:val="-6"/>
          <w:sz w:val="20"/>
        </w:rPr>
        <w:t> </w:t>
      </w:r>
      <w:r>
        <w:rPr>
          <w:i/>
          <w:spacing w:val="-2"/>
          <w:sz w:val="20"/>
        </w:rPr>
        <w:t>things</w:t>
      </w:r>
      <w:r>
        <w:rPr>
          <w:spacing w:val="-2"/>
          <w:sz w:val="20"/>
        </w:rPr>
        <w:t>.</w:t>
      </w:r>
    </w:p>
    <w:p>
      <w:pPr>
        <w:pStyle w:val="BodyText"/>
        <w:spacing w:line="228" w:lineRule="exact" w:before="3"/>
        <w:ind w:left="1519"/>
      </w:pPr>
      <w:r>
        <w:rPr/>
        <w:t>New</w:t>
      </w:r>
      <w:r>
        <w:rPr>
          <w:spacing w:val="-6"/>
        </w:rPr>
        <w:t> </w:t>
      </w:r>
      <w:r>
        <w:rPr/>
        <w:t>York:</w:t>
      </w:r>
      <w:r>
        <w:rPr>
          <w:spacing w:val="-6"/>
        </w:rPr>
        <w:t> </w:t>
      </w:r>
      <w:r>
        <w:rPr/>
        <w:t>North</w:t>
      </w:r>
      <w:r>
        <w:rPr>
          <w:spacing w:val="-6"/>
        </w:rPr>
        <w:t> </w:t>
      </w:r>
      <w:r>
        <w:rPr/>
        <w:t>Point</w:t>
      </w:r>
      <w:r>
        <w:rPr>
          <w:spacing w:val="-4"/>
        </w:rPr>
        <w:t> </w:t>
      </w:r>
      <w:r>
        <w:rPr>
          <w:spacing w:val="-2"/>
        </w:rPr>
        <w:t>Press.</w:t>
      </w:r>
    </w:p>
    <w:p>
      <w:pPr>
        <w:spacing w:line="240" w:lineRule="auto" w:before="0"/>
        <w:ind w:left="1159" w:right="642" w:firstLine="0"/>
        <w:jc w:val="left"/>
        <w:rPr>
          <w:sz w:val="20"/>
        </w:rPr>
      </w:pPr>
      <w:r>
        <w:rPr>
          <w:sz w:val="20"/>
        </w:rPr>
        <w:t>Shiller,</w:t>
      </w:r>
      <w:r>
        <w:rPr>
          <w:spacing w:val="-5"/>
          <w:sz w:val="20"/>
        </w:rPr>
        <w:t> </w:t>
      </w:r>
      <w:r>
        <w:rPr>
          <w:sz w:val="20"/>
        </w:rPr>
        <w:t>M.</w:t>
      </w:r>
      <w:r>
        <w:rPr>
          <w:spacing w:val="-3"/>
          <w:sz w:val="20"/>
        </w:rPr>
        <w:t> </w:t>
      </w:r>
      <w:r>
        <w:rPr>
          <w:sz w:val="20"/>
        </w:rPr>
        <w:t>(2004).</w:t>
      </w:r>
      <w:r>
        <w:rPr>
          <w:spacing w:val="-2"/>
          <w:sz w:val="20"/>
        </w:rPr>
        <w:t> </w:t>
      </w:r>
      <w:r>
        <w:rPr>
          <w:i/>
          <w:sz w:val="20"/>
        </w:rPr>
        <w:t>Mechanical</w:t>
      </w:r>
      <w:r>
        <w:rPr>
          <w:i/>
          <w:spacing w:val="-6"/>
          <w:sz w:val="20"/>
        </w:rPr>
        <w:t> </w:t>
      </w:r>
      <w:r>
        <w:rPr>
          <w:i/>
          <w:sz w:val="20"/>
        </w:rPr>
        <w:t>and</w:t>
      </w:r>
      <w:r>
        <w:rPr>
          <w:i/>
          <w:spacing w:val="-5"/>
          <w:sz w:val="20"/>
        </w:rPr>
        <w:t> </w:t>
      </w:r>
      <w:r>
        <w:rPr>
          <w:i/>
          <w:sz w:val="20"/>
        </w:rPr>
        <w:t>electrical</w:t>
      </w:r>
      <w:r>
        <w:rPr>
          <w:i/>
          <w:spacing w:val="-6"/>
          <w:sz w:val="20"/>
        </w:rPr>
        <w:t> </w:t>
      </w:r>
      <w:r>
        <w:rPr>
          <w:i/>
          <w:sz w:val="20"/>
        </w:rPr>
        <w:t>systems</w:t>
      </w:r>
      <w:r>
        <w:rPr>
          <w:sz w:val="20"/>
        </w:rPr>
        <w:t>.</w:t>
      </w:r>
      <w:r>
        <w:rPr>
          <w:spacing w:val="-3"/>
          <w:sz w:val="20"/>
        </w:rPr>
        <w:t> </w:t>
      </w:r>
      <w:r>
        <w:rPr>
          <w:sz w:val="20"/>
        </w:rPr>
        <w:t>Chicago:</w:t>
      </w:r>
      <w:r>
        <w:rPr>
          <w:spacing w:val="-5"/>
          <w:sz w:val="20"/>
        </w:rPr>
        <w:t> </w:t>
      </w:r>
      <w:r>
        <w:rPr>
          <w:sz w:val="20"/>
        </w:rPr>
        <w:t>Dearborn</w:t>
      </w:r>
      <w:r>
        <w:rPr>
          <w:spacing w:val="-5"/>
          <w:sz w:val="20"/>
        </w:rPr>
        <w:t> </w:t>
      </w:r>
      <w:r>
        <w:rPr>
          <w:sz w:val="20"/>
        </w:rPr>
        <w:t>Financial</w:t>
      </w:r>
      <w:r>
        <w:rPr>
          <w:spacing w:val="-4"/>
          <w:sz w:val="20"/>
        </w:rPr>
        <w:t> </w:t>
      </w:r>
      <w:r>
        <w:rPr>
          <w:sz w:val="20"/>
        </w:rPr>
        <w:t>Publishing. Steffen, A. (Ed.). (2004). </w:t>
      </w:r>
      <w:r>
        <w:rPr>
          <w:i/>
          <w:sz w:val="20"/>
        </w:rPr>
        <w:t>Worldchanging: A User's Guide for the 21st Century</w:t>
      </w:r>
      <w:r>
        <w:rPr>
          <w:sz w:val="20"/>
        </w:rPr>
        <w:t>. New York:</w:t>
      </w:r>
    </w:p>
    <w:p>
      <w:pPr>
        <w:pStyle w:val="BodyText"/>
        <w:ind w:left="1519"/>
      </w:pPr>
      <w:r>
        <w:rPr/>
        <w:t>AbramsWood,</w:t>
      </w:r>
      <w:r>
        <w:rPr>
          <w:spacing w:val="-9"/>
        </w:rPr>
        <w:t> </w:t>
      </w:r>
      <w:r>
        <w:rPr/>
        <w:t>Paul</w:t>
      </w:r>
      <w:r>
        <w:rPr>
          <w:spacing w:val="-9"/>
        </w:rPr>
        <w:t> </w:t>
      </w:r>
      <w:r>
        <w:rPr/>
        <w:t>H.</w:t>
      </w:r>
      <w:r>
        <w:rPr>
          <w:spacing w:val="-6"/>
        </w:rPr>
        <w:t> </w:t>
      </w:r>
      <w:r>
        <w:rPr>
          <w:i/>
        </w:rPr>
        <w:t>Site</w:t>
      </w:r>
      <w:r>
        <w:rPr>
          <w:i/>
          <w:spacing w:val="-6"/>
        </w:rPr>
        <w:t> </w:t>
      </w:r>
      <w:r>
        <w:rPr>
          <w:i/>
        </w:rPr>
        <w:t>Design</w:t>
      </w:r>
      <w:r>
        <w:rPr/>
        <w:t>.</w:t>
      </w:r>
      <w:r>
        <w:rPr>
          <w:spacing w:val="-8"/>
        </w:rPr>
        <w:t> </w:t>
      </w:r>
      <w:r>
        <w:rPr/>
        <w:t>Chicago:</w:t>
      </w:r>
      <w:r>
        <w:rPr>
          <w:spacing w:val="-8"/>
        </w:rPr>
        <w:t> </w:t>
      </w:r>
      <w:r>
        <w:rPr/>
        <w:t>Dearborn</w:t>
      </w:r>
      <w:r>
        <w:rPr>
          <w:spacing w:val="-7"/>
        </w:rPr>
        <w:t> </w:t>
      </w:r>
      <w:r>
        <w:rPr/>
        <w:t>Financial</w:t>
      </w:r>
      <w:r>
        <w:rPr>
          <w:spacing w:val="-9"/>
        </w:rPr>
        <w:t> </w:t>
      </w:r>
      <w:r>
        <w:rPr>
          <w:spacing w:val="-2"/>
        </w:rPr>
        <w:t>Publishing.</w:t>
      </w:r>
    </w:p>
    <w:p>
      <w:pPr>
        <w:spacing w:before="0"/>
        <w:ind w:left="1159" w:right="0" w:firstLine="0"/>
        <w:jc w:val="left"/>
        <w:rPr>
          <w:sz w:val="20"/>
        </w:rPr>
      </w:pPr>
      <w:r>
        <w:rPr>
          <w:sz w:val="20"/>
        </w:rPr>
        <w:t>Stein,</w:t>
      </w:r>
      <w:r>
        <w:rPr>
          <w:spacing w:val="-8"/>
          <w:sz w:val="20"/>
        </w:rPr>
        <w:t> </w:t>
      </w:r>
      <w:r>
        <w:rPr>
          <w:sz w:val="20"/>
        </w:rPr>
        <w:t>J.</w:t>
      </w:r>
      <w:r>
        <w:rPr>
          <w:spacing w:val="-6"/>
          <w:sz w:val="20"/>
        </w:rPr>
        <w:t> </w:t>
      </w:r>
      <w:r>
        <w:rPr>
          <w:sz w:val="20"/>
        </w:rPr>
        <w:t>M.</w:t>
      </w:r>
      <w:r>
        <w:rPr>
          <w:spacing w:val="-6"/>
          <w:sz w:val="20"/>
        </w:rPr>
        <w:t> </w:t>
      </w:r>
      <w:r>
        <w:rPr>
          <w:sz w:val="20"/>
        </w:rPr>
        <w:t>&amp;</w:t>
      </w:r>
      <w:r>
        <w:rPr>
          <w:spacing w:val="-8"/>
          <w:sz w:val="20"/>
        </w:rPr>
        <w:t> </w:t>
      </w:r>
      <w:r>
        <w:rPr>
          <w:sz w:val="20"/>
        </w:rPr>
        <w:t>Sprecklemeyer,</w:t>
      </w:r>
      <w:r>
        <w:rPr>
          <w:spacing w:val="-7"/>
          <w:sz w:val="20"/>
        </w:rPr>
        <w:t> </w:t>
      </w:r>
      <w:r>
        <w:rPr>
          <w:sz w:val="20"/>
        </w:rPr>
        <w:t>K.</w:t>
      </w:r>
      <w:r>
        <w:rPr>
          <w:spacing w:val="-8"/>
          <w:sz w:val="20"/>
        </w:rPr>
        <w:t> </w:t>
      </w:r>
      <w:r>
        <w:rPr>
          <w:sz w:val="20"/>
        </w:rPr>
        <w:t>F.</w:t>
      </w:r>
      <w:r>
        <w:rPr>
          <w:spacing w:val="-6"/>
          <w:sz w:val="20"/>
        </w:rPr>
        <w:t> </w:t>
      </w:r>
      <w:r>
        <w:rPr>
          <w:sz w:val="20"/>
        </w:rPr>
        <w:t>(Eds.).</w:t>
      </w:r>
      <w:r>
        <w:rPr>
          <w:spacing w:val="-7"/>
          <w:sz w:val="20"/>
        </w:rPr>
        <w:t> </w:t>
      </w:r>
      <w:r>
        <w:rPr>
          <w:sz w:val="20"/>
        </w:rPr>
        <w:t>(1999).</w:t>
      </w:r>
      <w:r>
        <w:rPr>
          <w:spacing w:val="-8"/>
          <w:sz w:val="20"/>
        </w:rPr>
        <w:t> </w:t>
      </w:r>
      <w:r>
        <w:rPr>
          <w:i/>
          <w:sz w:val="20"/>
        </w:rPr>
        <w:t>Classic</w:t>
      </w:r>
      <w:r>
        <w:rPr>
          <w:i/>
          <w:spacing w:val="-6"/>
          <w:sz w:val="20"/>
        </w:rPr>
        <w:t> </w:t>
      </w:r>
      <w:r>
        <w:rPr>
          <w:i/>
          <w:sz w:val="20"/>
        </w:rPr>
        <w:t>readings</w:t>
      </w:r>
      <w:r>
        <w:rPr>
          <w:i/>
          <w:spacing w:val="-7"/>
          <w:sz w:val="20"/>
        </w:rPr>
        <w:t> </w:t>
      </w:r>
      <w:r>
        <w:rPr>
          <w:i/>
          <w:sz w:val="20"/>
        </w:rPr>
        <w:t>in</w:t>
      </w:r>
      <w:r>
        <w:rPr>
          <w:i/>
          <w:spacing w:val="-6"/>
          <w:sz w:val="20"/>
        </w:rPr>
        <w:t> </w:t>
      </w:r>
      <w:r>
        <w:rPr>
          <w:i/>
          <w:sz w:val="20"/>
        </w:rPr>
        <w:t>architecture</w:t>
      </w:r>
      <w:r>
        <w:rPr>
          <w:sz w:val="20"/>
        </w:rPr>
        <w:t>.</w:t>
      </w:r>
      <w:r>
        <w:rPr>
          <w:spacing w:val="-7"/>
          <w:sz w:val="20"/>
        </w:rPr>
        <w:t> </w:t>
      </w:r>
      <w:r>
        <w:rPr>
          <w:sz w:val="20"/>
        </w:rPr>
        <w:t>McGraw-</w:t>
      </w:r>
      <w:r>
        <w:rPr>
          <w:spacing w:val="-2"/>
          <w:sz w:val="20"/>
        </w:rPr>
        <w:t>Hill.</w:t>
      </w:r>
    </w:p>
    <w:p>
      <w:pPr>
        <w:pStyle w:val="BodyText"/>
        <w:spacing w:line="229" w:lineRule="exact" w:before="2"/>
        <w:ind w:left="1519"/>
      </w:pPr>
      <w:r>
        <w:rPr/>
        <w:t>New</w:t>
      </w:r>
      <w:r>
        <w:rPr>
          <w:spacing w:val="-4"/>
        </w:rPr>
        <w:t> </w:t>
      </w:r>
      <w:r>
        <w:rPr/>
        <w:t>York,</w:t>
      </w:r>
      <w:r>
        <w:rPr>
          <w:spacing w:val="-4"/>
        </w:rPr>
        <w:t> </w:t>
      </w:r>
      <w:r>
        <w:rPr>
          <w:spacing w:val="-5"/>
        </w:rPr>
        <w:t>NY.</w:t>
      </w:r>
    </w:p>
    <w:p>
      <w:pPr>
        <w:spacing w:before="0"/>
        <w:ind w:left="1519" w:right="642" w:hanging="361"/>
        <w:jc w:val="left"/>
        <w:rPr>
          <w:sz w:val="20"/>
        </w:rPr>
      </w:pPr>
      <w:r>
        <w:rPr>
          <w:sz w:val="20"/>
        </w:rPr>
        <w:t>Wackernagel,</w:t>
      </w:r>
      <w:r>
        <w:rPr>
          <w:spacing w:val="-4"/>
          <w:sz w:val="20"/>
        </w:rPr>
        <w:t> </w:t>
      </w:r>
      <w:r>
        <w:rPr>
          <w:sz w:val="20"/>
        </w:rPr>
        <w:t>M.</w:t>
      </w:r>
      <w:r>
        <w:rPr>
          <w:spacing w:val="-2"/>
          <w:sz w:val="20"/>
        </w:rPr>
        <w:t> </w:t>
      </w:r>
      <w:r>
        <w:rPr>
          <w:sz w:val="20"/>
        </w:rPr>
        <w:t>&amp;</w:t>
      </w:r>
      <w:r>
        <w:rPr>
          <w:spacing w:val="-5"/>
          <w:sz w:val="20"/>
        </w:rPr>
        <w:t> </w:t>
      </w:r>
      <w:r>
        <w:rPr>
          <w:sz w:val="20"/>
        </w:rPr>
        <w:t>Rees,</w:t>
      </w:r>
      <w:r>
        <w:rPr>
          <w:spacing w:val="-2"/>
          <w:sz w:val="20"/>
        </w:rPr>
        <w:t> </w:t>
      </w:r>
      <w:r>
        <w:rPr>
          <w:sz w:val="20"/>
        </w:rPr>
        <w:t>W.</w:t>
      </w:r>
      <w:r>
        <w:rPr>
          <w:spacing w:val="-6"/>
          <w:sz w:val="20"/>
        </w:rPr>
        <w:t> </w:t>
      </w:r>
      <w:r>
        <w:rPr>
          <w:sz w:val="20"/>
        </w:rPr>
        <w:t>(1996).</w:t>
      </w:r>
      <w:r>
        <w:rPr>
          <w:spacing w:val="-4"/>
          <w:sz w:val="20"/>
        </w:rPr>
        <w:t> </w:t>
      </w:r>
      <w:r>
        <w:rPr>
          <w:i/>
          <w:sz w:val="20"/>
        </w:rPr>
        <w:t>Our</w:t>
      </w:r>
      <w:r>
        <w:rPr>
          <w:i/>
          <w:spacing w:val="-3"/>
          <w:sz w:val="20"/>
        </w:rPr>
        <w:t> </w:t>
      </w:r>
      <w:r>
        <w:rPr>
          <w:i/>
          <w:sz w:val="20"/>
        </w:rPr>
        <w:t>ecological</w:t>
      </w:r>
      <w:r>
        <w:rPr>
          <w:i/>
          <w:spacing w:val="-5"/>
          <w:sz w:val="20"/>
        </w:rPr>
        <w:t> </w:t>
      </w:r>
      <w:r>
        <w:rPr>
          <w:i/>
          <w:sz w:val="20"/>
        </w:rPr>
        <w:t>footprint:</w:t>
      </w:r>
      <w:r>
        <w:rPr>
          <w:i/>
          <w:spacing w:val="-4"/>
          <w:sz w:val="20"/>
        </w:rPr>
        <w:t> </w:t>
      </w:r>
      <w:r>
        <w:rPr>
          <w:i/>
          <w:sz w:val="20"/>
        </w:rPr>
        <w:t>Reducing</w:t>
      </w:r>
      <w:r>
        <w:rPr>
          <w:i/>
          <w:spacing w:val="-2"/>
          <w:sz w:val="20"/>
        </w:rPr>
        <w:t> </w:t>
      </w:r>
      <w:r>
        <w:rPr>
          <w:i/>
          <w:sz w:val="20"/>
        </w:rPr>
        <w:t>human</w:t>
      </w:r>
      <w:r>
        <w:rPr>
          <w:i/>
          <w:spacing w:val="-2"/>
          <w:sz w:val="20"/>
        </w:rPr>
        <w:t> </w:t>
      </w:r>
      <w:r>
        <w:rPr>
          <w:i/>
          <w:sz w:val="20"/>
        </w:rPr>
        <w:t>impact</w:t>
      </w:r>
      <w:r>
        <w:rPr>
          <w:i/>
          <w:spacing w:val="-4"/>
          <w:sz w:val="20"/>
        </w:rPr>
        <w:t> </w:t>
      </w:r>
      <w:r>
        <w:rPr>
          <w:i/>
          <w:sz w:val="20"/>
        </w:rPr>
        <w:t>on</w:t>
      </w:r>
      <w:r>
        <w:rPr>
          <w:i/>
          <w:spacing w:val="-4"/>
          <w:sz w:val="20"/>
        </w:rPr>
        <w:t> </w:t>
      </w:r>
      <w:r>
        <w:rPr>
          <w:i/>
          <w:sz w:val="20"/>
        </w:rPr>
        <w:t>the earth</w:t>
      </w:r>
      <w:r>
        <w:rPr>
          <w:sz w:val="20"/>
        </w:rPr>
        <w:t>. Gabriola Island, British Columbia: New Society Publishers.</w:t>
      </w:r>
    </w:p>
    <w:p>
      <w:pPr>
        <w:pStyle w:val="BodyText"/>
        <w:spacing w:line="229" w:lineRule="exact"/>
        <w:ind w:left="1159"/>
      </w:pPr>
      <w:r>
        <w:rPr/>
        <w:t>Wood,</w:t>
      </w:r>
      <w:r>
        <w:rPr>
          <w:spacing w:val="-7"/>
        </w:rPr>
        <w:t> </w:t>
      </w:r>
      <w:r>
        <w:rPr/>
        <w:t>P.</w:t>
      </w:r>
      <w:r>
        <w:rPr>
          <w:spacing w:val="-7"/>
        </w:rPr>
        <w:t> </w:t>
      </w:r>
      <w:r>
        <w:rPr/>
        <w:t>H.</w:t>
      </w:r>
      <w:r>
        <w:rPr>
          <w:spacing w:val="-7"/>
        </w:rPr>
        <w:t> </w:t>
      </w:r>
      <w:r>
        <w:rPr/>
        <w:t>(2004).</w:t>
      </w:r>
      <w:r>
        <w:rPr>
          <w:spacing w:val="-7"/>
        </w:rPr>
        <w:t> </w:t>
      </w:r>
      <w:r>
        <w:rPr>
          <w:i/>
        </w:rPr>
        <w:t>Site</w:t>
      </w:r>
      <w:r>
        <w:rPr>
          <w:i/>
          <w:spacing w:val="-4"/>
        </w:rPr>
        <w:t> </w:t>
      </w:r>
      <w:r>
        <w:rPr>
          <w:i/>
        </w:rPr>
        <w:t>design</w:t>
      </w:r>
      <w:r>
        <w:rPr/>
        <w:t>.</w:t>
      </w:r>
      <w:r>
        <w:rPr>
          <w:spacing w:val="-7"/>
        </w:rPr>
        <w:t> </w:t>
      </w:r>
      <w:r>
        <w:rPr/>
        <w:t>Chicago:</w:t>
      </w:r>
      <w:r>
        <w:rPr>
          <w:spacing w:val="-7"/>
        </w:rPr>
        <w:t> </w:t>
      </w:r>
      <w:r>
        <w:rPr/>
        <w:t>Dearborn</w:t>
      </w:r>
      <w:r>
        <w:rPr>
          <w:spacing w:val="-7"/>
        </w:rPr>
        <w:t> </w:t>
      </w:r>
      <w:r>
        <w:rPr/>
        <w:t>Financial</w:t>
      </w:r>
      <w:r>
        <w:rPr>
          <w:spacing w:val="-6"/>
        </w:rPr>
        <w:t> </w:t>
      </w:r>
      <w:r>
        <w:rPr>
          <w:spacing w:val="-2"/>
        </w:rPr>
        <w:t>Publishing.</w:t>
      </w:r>
    </w:p>
    <w:p>
      <w:pPr>
        <w:spacing w:before="120"/>
        <w:ind w:left="439" w:right="0" w:firstLine="0"/>
        <w:jc w:val="left"/>
        <w:rPr>
          <w:b/>
          <w:sz w:val="20"/>
        </w:rPr>
      </w:pPr>
      <w:r>
        <w:rPr>
          <w:b/>
          <w:sz w:val="20"/>
        </w:rPr>
        <w:t>Offered</w:t>
      </w:r>
      <w:r>
        <w:rPr>
          <w:b/>
          <w:spacing w:val="-10"/>
          <w:sz w:val="20"/>
        </w:rPr>
        <w:t> </w:t>
      </w:r>
      <w:r>
        <w:rPr>
          <w:b/>
          <w:spacing w:val="-2"/>
          <w:sz w:val="20"/>
        </w:rPr>
        <w:t>(terms):</w:t>
      </w:r>
    </w:p>
    <w:p>
      <w:pPr>
        <w:pStyle w:val="BodyText"/>
        <w:spacing w:before="123"/>
        <w:ind w:left="799"/>
      </w:pPr>
      <w:r>
        <w:rPr/>
        <w:t>Spring</w:t>
      </w:r>
      <w:r>
        <w:rPr>
          <w:spacing w:val="-8"/>
        </w:rPr>
        <w:t> </w:t>
      </w:r>
      <w:r>
        <w:rPr/>
        <w:t>Semester</w:t>
      </w:r>
      <w:r>
        <w:rPr>
          <w:spacing w:val="-8"/>
        </w:rPr>
        <w:t> </w:t>
      </w:r>
      <w:r>
        <w:rPr>
          <w:spacing w:val="-4"/>
        </w:rPr>
        <w:t>only</w:t>
      </w:r>
    </w:p>
    <w:p>
      <w:pPr>
        <w:spacing w:before="118"/>
        <w:ind w:left="439" w:right="0" w:firstLine="0"/>
        <w:jc w:val="left"/>
        <w:rPr>
          <w:b/>
          <w:sz w:val="20"/>
        </w:rPr>
      </w:pPr>
      <w:r>
        <w:rPr>
          <w:b/>
          <w:sz w:val="20"/>
        </w:rPr>
        <w:t>Faculty</w:t>
      </w:r>
      <w:r>
        <w:rPr>
          <w:b/>
          <w:spacing w:val="-8"/>
          <w:sz w:val="20"/>
        </w:rPr>
        <w:t> </w:t>
      </w:r>
      <w:r>
        <w:rPr>
          <w:b/>
          <w:spacing w:val="-2"/>
          <w:sz w:val="20"/>
        </w:rPr>
        <w:t>Assigned</w:t>
      </w:r>
    </w:p>
    <w:p>
      <w:pPr>
        <w:pStyle w:val="BodyText"/>
        <w:spacing w:before="122"/>
        <w:ind w:left="1159" w:right="5495"/>
      </w:pPr>
      <w:r>
        <w:rPr/>
        <w:t>2014</w:t>
      </w:r>
      <w:r>
        <w:rPr>
          <w:spacing w:val="-5"/>
        </w:rPr>
        <w:t> </w:t>
      </w:r>
      <w:r>
        <w:rPr/>
        <w:t>–</w:t>
      </w:r>
      <w:r>
        <w:rPr>
          <w:spacing w:val="-7"/>
        </w:rPr>
        <w:t> </w:t>
      </w:r>
      <w:r>
        <w:rPr/>
        <w:t>Chance</w:t>
      </w:r>
      <w:r>
        <w:rPr>
          <w:spacing w:val="-7"/>
        </w:rPr>
        <w:t> </w:t>
      </w:r>
      <w:r>
        <w:rPr/>
        <w:t>(F/T),</w:t>
      </w:r>
      <w:r>
        <w:rPr>
          <w:spacing w:val="-7"/>
        </w:rPr>
        <w:t> </w:t>
      </w:r>
      <w:r>
        <w:rPr/>
        <w:t>D.</w:t>
      </w:r>
      <w:r>
        <w:rPr>
          <w:spacing w:val="-7"/>
        </w:rPr>
        <w:t> </w:t>
      </w:r>
      <w:r>
        <w:rPr/>
        <w:t>Henderson</w:t>
      </w:r>
      <w:r>
        <w:rPr>
          <w:spacing w:val="-7"/>
        </w:rPr>
        <w:t> </w:t>
      </w:r>
      <w:r>
        <w:rPr/>
        <w:t>(F/T) 2013 – Turner (F/T), Okiomah (F/T)</w:t>
      </w:r>
    </w:p>
    <w:p>
      <w:pPr>
        <w:spacing w:after="0"/>
        <w:sectPr>
          <w:headerReference w:type="default" r:id="rId185"/>
          <w:footerReference w:type="default" r:id="rId186"/>
          <w:pgSz w:w="12240" w:h="15840"/>
          <w:pgMar w:header="993" w:footer="974" w:top="1240" w:bottom="1160" w:left="1000" w:right="820"/>
        </w:sectPr>
      </w:pPr>
    </w:p>
    <w:p>
      <w:pPr>
        <w:spacing w:before="115"/>
        <w:ind w:left="440" w:right="0" w:firstLine="0"/>
        <w:jc w:val="left"/>
        <w:rPr>
          <w:b/>
          <w:sz w:val="20"/>
        </w:rPr>
      </w:pPr>
      <w:r>
        <w:rPr>
          <w:b/>
          <w:sz w:val="20"/>
        </w:rPr>
        <w:t>Course</w:t>
      </w:r>
      <w:r>
        <w:rPr>
          <w:b/>
          <w:spacing w:val="-9"/>
          <w:sz w:val="20"/>
        </w:rPr>
        <w:t> </w:t>
      </w:r>
      <w:r>
        <w:rPr>
          <w:b/>
          <w:sz w:val="20"/>
        </w:rPr>
        <w:t>Description</w:t>
      </w:r>
      <w:r>
        <w:rPr>
          <w:b/>
          <w:spacing w:val="-8"/>
          <w:sz w:val="20"/>
        </w:rPr>
        <w:t> </w:t>
      </w:r>
      <w:r>
        <w:rPr>
          <w:b/>
          <w:sz w:val="20"/>
        </w:rPr>
        <w:t>(limit</w:t>
      </w:r>
      <w:r>
        <w:rPr>
          <w:b/>
          <w:spacing w:val="-7"/>
          <w:sz w:val="20"/>
        </w:rPr>
        <w:t> </w:t>
      </w:r>
      <w:r>
        <w:rPr>
          <w:b/>
          <w:sz w:val="20"/>
        </w:rPr>
        <w:t>25</w:t>
      </w:r>
      <w:r>
        <w:rPr>
          <w:b/>
          <w:spacing w:val="-8"/>
          <w:sz w:val="20"/>
        </w:rPr>
        <w:t> </w:t>
      </w:r>
      <w:r>
        <w:rPr>
          <w:b/>
          <w:spacing w:val="-2"/>
          <w:sz w:val="20"/>
        </w:rPr>
        <w:t>words):</w:t>
      </w:r>
    </w:p>
    <w:p>
      <w:pPr>
        <w:pStyle w:val="BodyText"/>
        <w:spacing w:before="122"/>
        <w:ind w:left="1159" w:right="642"/>
      </w:pPr>
      <w:r>
        <w:rPr/>
        <w:t>The focus on urban theory, buildings, and building patterns through physical documentation, drawings,</w:t>
      </w:r>
      <w:r>
        <w:rPr>
          <w:spacing w:val="-4"/>
        </w:rPr>
        <w:t> </w:t>
      </w:r>
      <w:r>
        <w:rPr/>
        <w:t>models,</w:t>
      </w:r>
      <w:r>
        <w:rPr>
          <w:spacing w:val="-4"/>
        </w:rPr>
        <w:t> </w:t>
      </w:r>
      <w:r>
        <w:rPr/>
        <w:t>and</w:t>
      </w:r>
      <w:r>
        <w:rPr>
          <w:spacing w:val="-4"/>
        </w:rPr>
        <w:t> </w:t>
      </w:r>
      <w:r>
        <w:rPr/>
        <w:t>urban</w:t>
      </w:r>
      <w:r>
        <w:rPr>
          <w:spacing w:val="-4"/>
        </w:rPr>
        <w:t> </w:t>
      </w:r>
      <w:r>
        <w:rPr/>
        <w:t>theory</w:t>
      </w:r>
      <w:r>
        <w:rPr>
          <w:spacing w:val="-7"/>
        </w:rPr>
        <w:t> </w:t>
      </w:r>
      <w:r>
        <w:rPr/>
        <w:t>readings.</w:t>
      </w:r>
      <w:r>
        <w:rPr>
          <w:spacing w:val="-4"/>
        </w:rPr>
        <w:t> </w:t>
      </w:r>
      <w:r>
        <w:rPr/>
        <w:t>Architectural</w:t>
      </w:r>
      <w:r>
        <w:rPr>
          <w:spacing w:val="-5"/>
        </w:rPr>
        <w:t> </w:t>
      </w:r>
      <w:r>
        <w:rPr/>
        <w:t>design</w:t>
      </w:r>
      <w:r>
        <w:rPr>
          <w:spacing w:val="-4"/>
        </w:rPr>
        <w:t> </w:t>
      </w:r>
      <w:r>
        <w:rPr/>
        <w:t>projects</w:t>
      </w:r>
      <w:r>
        <w:rPr>
          <w:spacing w:val="-3"/>
        </w:rPr>
        <w:t> </w:t>
      </w:r>
      <w:r>
        <w:rPr/>
        <w:t>involving</w:t>
      </w:r>
      <w:r>
        <w:rPr>
          <w:spacing w:val="-4"/>
        </w:rPr>
        <w:t> </w:t>
      </w:r>
      <w:r>
        <w:rPr/>
        <w:t>a</w:t>
      </w:r>
      <w:r>
        <w:rPr>
          <w:spacing w:val="-2"/>
        </w:rPr>
        <w:t> </w:t>
      </w:r>
      <w:r>
        <w:rPr/>
        <w:t>variety</w:t>
      </w:r>
      <w:r>
        <w:rPr>
          <w:spacing w:val="-5"/>
        </w:rPr>
        <w:t> </w:t>
      </w:r>
      <w:r>
        <w:rPr/>
        <w:t>of urban conditions. The course begins with small-scale structures that introduce basic tectonic issues and include site analysis and basic programming. ARC 202 projects increase in scale, complexity and level of detail. Studios include required field trips to various local, regional and national sites.</w:t>
      </w:r>
    </w:p>
    <w:p>
      <w:pPr>
        <w:spacing w:before="118"/>
        <w:ind w:left="439" w:right="0" w:firstLine="0"/>
        <w:jc w:val="left"/>
        <w:rPr>
          <w:b/>
          <w:sz w:val="20"/>
        </w:rPr>
      </w:pPr>
      <w:r>
        <w:rPr>
          <w:b/>
          <w:sz w:val="20"/>
        </w:rPr>
        <w:t>Course</w:t>
      </w:r>
      <w:r>
        <w:rPr>
          <w:b/>
          <w:spacing w:val="-9"/>
          <w:sz w:val="20"/>
        </w:rPr>
        <w:t> </w:t>
      </w:r>
      <w:r>
        <w:rPr>
          <w:b/>
          <w:sz w:val="20"/>
        </w:rPr>
        <w:t>Goals</w:t>
      </w:r>
      <w:r>
        <w:rPr>
          <w:b/>
          <w:spacing w:val="-7"/>
          <w:sz w:val="20"/>
        </w:rPr>
        <w:t> </w:t>
      </w:r>
      <w:r>
        <w:rPr>
          <w:b/>
          <w:sz w:val="20"/>
        </w:rPr>
        <w:t>and</w:t>
      </w:r>
      <w:r>
        <w:rPr>
          <w:b/>
          <w:spacing w:val="-5"/>
          <w:sz w:val="20"/>
        </w:rPr>
        <w:t> </w:t>
      </w:r>
      <w:r>
        <w:rPr>
          <w:b/>
          <w:spacing w:val="-2"/>
          <w:sz w:val="20"/>
        </w:rPr>
        <w:t>Objectives;</w:t>
      </w:r>
    </w:p>
    <w:p>
      <w:pPr>
        <w:pStyle w:val="BodyText"/>
        <w:spacing w:line="276" w:lineRule="auto" w:before="126"/>
        <w:ind w:left="1159" w:right="642"/>
      </w:pPr>
      <w:r>
        <w:rPr/>
        <w:t>To</w:t>
      </w:r>
      <w:r>
        <w:rPr>
          <w:spacing w:val="-5"/>
        </w:rPr>
        <w:t> </w:t>
      </w:r>
      <w:r>
        <w:rPr/>
        <w:t>enhance</w:t>
      </w:r>
      <w:r>
        <w:rPr>
          <w:spacing w:val="-5"/>
        </w:rPr>
        <w:t> </w:t>
      </w:r>
      <w:r>
        <w:rPr/>
        <w:t>the</w:t>
      </w:r>
      <w:r>
        <w:rPr>
          <w:spacing w:val="-5"/>
        </w:rPr>
        <w:t> </w:t>
      </w:r>
      <w:r>
        <w:rPr/>
        <w:t>concepts</w:t>
      </w:r>
      <w:r>
        <w:rPr>
          <w:spacing w:val="-4"/>
        </w:rPr>
        <w:t> </w:t>
      </w:r>
      <w:r>
        <w:rPr/>
        <w:t>of</w:t>
      </w:r>
      <w:r>
        <w:rPr>
          <w:spacing w:val="-3"/>
        </w:rPr>
        <w:t> </w:t>
      </w:r>
      <w:r>
        <w:rPr/>
        <w:t>quality</w:t>
      </w:r>
      <w:r>
        <w:rPr>
          <w:spacing w:val="-5"/>
        </w:rPr>
        <w:t> </w:t>
      </w:r>
      <w:r>
        <w:rPr/>
        <w:t>of</w:t>
      </w:r>
      <w:r>
        <w:rPr>
          <w:spacing w:val="-3"/>
        </w:rPr>
        <w:t> </w:t>
      </w:r>
      <w:r>
        <w:rPr/>
        <w:t>spaces,</w:t>
      </w:r>
      <w:r>
        <w:rPr>
          <w:spacing w:val="-5"/>
        </w:rPr>
        <w:t> </w:t>
      </w:r>
      <w:r>
        <w:rPr/>
        <w:t>materials,</w:t>
      </w:r>
      <w:r>
        <w:rPr>
          <w:spacing w:val="-5"/>
        </w:rPr>
        <w:t> </w:t>
      </w:r>
      <w:r>
        <w:rPr/>
        <w:t>function,</w:t>
      </w:r>
      <w:r>
        <w:rPr>
          <w:spacing w:val="-5"/>
        </w:rPr>
        <w:t> </w:t>
      </w:r>
      <w:r>
        <w:rPr/>
        <w:t>circulation,</w:t>
      </w:r>
      <w:r>
        <w:rPr>
          <w:spacing w:val="-5"/>
        </w:rPr>
        <w:t> </w:t>
      </w:r>
      <w:r>
        <w:rPr/>
        <w:t>and</w:t>
      </w:r>
      <w:r>
        <w:rPr>
          <w:spacing w:val="-3"/>
        </w:rPr>
        <w:t> </w:t>
      </w:r>
      <w:r>
        <w:rPr/>
        <w:t>interior/exterior relationships as design determinates.</w:t>
      </w:r>
    </w:p>
    <w:p>
      <w:pPr>
        <w:pStyle w:val="BodyText"/>
        <w:spacing w:line="276" w:lineRule="auto"/>
        <w:ind w:left="1159" w:right="4400"/>
      </w:pPr>
      <w:r>
        <w:rPr/>
        <w:t>To</w:t>
      </w:r>
      <w:r>
        <w:rPr>
          <w:spacing w:val="-9"/>
        </w:rPr>
        <w:t> </w:t>
      </w:r>
      <w:r>
        <w:rPr/>
        <w:t>further</w:t>
      </w:r>
      <w:r>
        <w:rPr>
          <w:spacing w:val="-8"/>
        </w:rPr>
        <w:t> </w:t>
      </w:r>
      <w:r>
        <w:rPr/>
        <w:t>develop</w:t>
      </w:r>
      <w:r>
        <w:rPr>
          <w:spacing w:val="-7"/>
        </w:rPr>
        <w:t> </w:t>
      </w:r>
      <w:r>
        <w:rPr/>
        <w:t>the</w:t>
      </w:r>
      <w:r>
        <w:rPr>
          <w:spacing w:val="-7"/>
        </w:rPr>
        <w:t> </w:t>
      </w:r>
      <w:r>
        <w:rPr/>
        <w:t>understanding</w:t>
      </w:r>
      <w:r>
        <w:rPr>
          <w:spacing w:val="-7"/>
        </w:rPr>
        <w:t> </w:t>
      </w:r>
      <w:r>
        <w:rPr/>
        <w:t>of</w:t>
      </w:r>
      <w:r>
        <w:rPr>
          <w:spacing w:val="-7"/>
        </w:rPr>
        <w:t> </w:t>
      </w:r>
      <w:r>
        <w:rPr/>
        <w:t>organization. To build skills in site analysis and design.</w:t>
      </w:r>
    </w:p>
    <w:p>
      <w:pPr>
        <w:pStyle w:val="BodyText"/>
        <w:spacing w:line="193" w:lineRule="exact"/>
        <w:ind w:left="1159"/>
      </w:pPr>
      <w:r>
        <w:rPr/>
        <w:t>To</w:t>
      </w:r>
      <w:r>
        <w:rPr>
          <w:spacing w:val="-8"/>
        </w:rPr>
        <w:t> </w:t>
      </w:r>
      <w:r>
        <w:rPr/>
        <w:t>understand</w:t>
      </w:r>
      <w:r>
        <w:rPr>
          <w:spacing w:val="-6"/>
        </w:rPr>
        <w:t> </w:t>
      </w:r>
      <w:r>
        <w:rPr/>
        <w:t>and</w:t>
      </w:r>
      <w:r>
        <w:rPr>
          <w:spacing w:val="-7"/>
        </w:rPr>
        <w:t> </w:t>
      </w:r>
      <w:r>
        <w:rPr/>
        <w:t>utilize</w:t>
      </w:r>
      <w:r>
        <w:rPr>
          <w:spacing w:val="-6"/>
        </w:rPr>
        <w:t> </w:t>
      </w:r>
      <w:r>
        <w:rPr/>
        <w:t>various</w:t>
      </w:r>
      <w:r>
        <w:rPr>
          <w:spacing w:val="-6"/>
        </w:rPr>
        <w:t> </w:t>
      </w:r>
      <w:r>
        <w:rPr/>
        <w:t>planning</w:t>
      </w:r>
      <w:r>
        <w:rPr>
          <w:spacing w:val="-6"/>
        </w:rPr>
        <w:t> </w:t>
      </w:r>
      <w:r>
        <w:rPr/>
        <w:t>and</w:t>
      </w:r>
      <w:r>
        <w:rPr>
          <w:spacing w:val="-6"/>
        </w:rPr>
        <w:t> </w:t>
      </w:r>
      <w:r>
        <w:rPr/>
        <w:t>massing</w:t>
      </w:r>
      <w:r>
        <w:rPr>
          <w:spacing w:val="-7"/>
        </w:rPr>
        <w:t> </w:t>
      </w:r>
      <w:r>
        <w:rPr>
          <w:spacing w:val="-2"/>
        </w:rPr>
        <w:t>strategies.</w:t>
      </w:r>
    </w:p>
    <w:p>
      <w:pPr>
        <w:pStyle w:val="BodyText"/>
        <w:ind w:left="1159" w:right="712"/>
      </w:pPr>
      <w:r>
        <w:rPr/>
        <w:t>To</w:t>
      </w:r>
      <w:r>
        <w:rPr>
          <w:spacing w:val="-5"/>
        </w:rPr>
        <w:t> </w:t>
      </w:r>
      <w:r>
        <w:rPr/>
        <w:t>develop</w:t>
      </w:r>
      <w:r>
        <w:rPr>
          <w:spacing w:val="-4"/>
        </w:rPr>
        <w:t> </w:t>
      </w:r>
      <w:r>
        <w:rPr/>
        <w:t>greater</w:t>
      </w:r>
      <w:r>
        <w:rPr>
          <w:spacing w:val="-4"/>
        </w:rPr>
        <w:t> </w:t>
      </w:r>
      <w:r>
        <w:rPr/>
        <w:t>understanding</w:t>
      </w:r>
      <w:r>
        <w:rPr>
          <w:spacing w:val="-4"/>
        </w:rPr>
        <w:t> </w:t>
      </w:r>
      <w:r>
        <w:rPr/>
        <w:t>of</w:t>
      </w:r>
      <w:r>
        <w:rPr>
          <w:spacing w:val="-4"/>
        </w:rPr>
        <w:t> </w:t>
      </w:r>
      <w:r>
        <w:rPr/>
        <w:t>structure</w:t>
      </w:r>
      <w:r>
        <w:rPr>
          <w:spacing w:val="-5"/>
        </w:rPr>
        <w:t> </w:t>
      </w:r>
      <w:r>
        <w:rPr/>
        <w:t>and</w:t>
      </w:r>
      <w:r>
        <w:rPr>
          <w:spacing w:val="-4"/>
        </w:rPr>
        <w:t> </w:t>
      </w:r>
      <w:r>
        <w:rPr/>
        <w:t>environmental</w:t>
      </w:r>
      <w:r>
        <w:rPr>
          <w:spacing w:val="-6"/>
        </w:rPr>
        <w:t> </w:t>
      </w:r>
      <w:r>
        <w:rPr/>
        <w:t>systems</w:t>
      </w:r>
      <w:r>
        <w:rPr>
          <w:spacing w:val="-4"/>
        </w:rPr>
        <w:t> </w:t>
      </w:r>
      <w:r>
        <w:rPr/>
        <w:t>as</w:t>
      </w:r>
      <w:r>
        <w:rPr>
          <w:spacing w:val="-4"/>
        </w:rPr>
        <w:t> </w:t>
      </w:r>
      <w:r>
        <w:rPr/>
        <w:t>design </w:t>
      </w:r>
      <w:r>
        <w:rPr>
          <w:spacing w:val="-2"/>
        </w:rPr>
        <w:t>determinates.</w:t>
      </w:r>
    </w:p>
    <w:p>
      <w:pPr>
        <w:pStyle w:val="BodyText"/>
        <w:ind w:left="1159"/>
      </w:pPr>
      <w:r>
        <w:rPr/>
        <w:t>To</w:t>
      </w:r>
      <w:r>
        <w:rPr>
          <w:spacing w:val="-6"/>
        </w:rPr>
        <w:t> </w:t>
      </w:r>
      <w:r>
        <w:rPr/>
        <w:t>foster</w:t>
      </w:r>
      <w:r>
        <w:rPr>
          <w:spacing w:val="-6"/>
        </w:rPr>
        <w:t> </w:t>
      </w:r>
      <w:r>
        <w:rPr/>
        <w:t>individual</w:t>
      </w:r>
      <w:r>
        <w:rPr>
          <w:spacing w:val="-5"/>
        </w:rPr>
        <w:t> </w:t>
      </w:r>
      <w:r>
        <w:rPr/>
        <w:t>commitment</w:t>
      </w:r>
      <w:r>
        <w:rPr>
          <w:spacing w:val="-6"/>
        </w:rPr>
        <w:t> </w:t>
      </w:r>
      <w:r>
        <w:rPr/>
        <w:t>and</w:t>
      </w:r>
      <w:r>
        <w:rPr>
          <w:spacing w:val="-6"/>
        </w:rPr>
        <w:t> </w:t>
      </w:r>
      <w:r>
        <w:rPr/>
        <w:t>excitement</w:t>
      </w:r>
      <w:r>
        <w:rPr>
          <w:spacing w:val="-6"/>
        </w:rPr>
        <w:t> </w:t>
      </w:r>
      <w:r>
        <w:rPr/>
        <w:t>for</w:t>
      </w:r>
      <w:r>
        <w:rPr>
          <w:spacing w:val="-5"/>
        </w:rPr>
        <w:t> </w:t>
      </w:r>
      <w:r>
        <w:rPr/>
        <w:t>the</w:t>
      </w:r>
      <w:r>
        <w:rPr>
          <w:spacing w:val="-6"/>
        </w:rPr>
        <w:t> </w:t>
      </w:r>
      <w:r>
        <w:rPr/>
        <w:t>search</w:t>
      </w:r>
      <w:r>
        <w:rPr>
          <w:spacing w:val="-6"/>
        </w:rPr>
        <w:t> </w:t>
      </w:r>
      <w:r>
        <w:rPr/>
        <w:t>for</w:t>
      </w:r>
      <w:r>
        <w:rPr>
          <w:spacing w:val="-5"/>
        </w:rPr>
        <w:t> </w:t>
      </w:r>
      <w:r>
        <w:rPr/>
        <w:t>a</w:t>
      </w:r>
      <w:r>
        <w:rPr>
          <w:spacing w:val="-6"/>
        </w:rPr>
        <w:t> </w:t>
      </w:r>
      <w:r>
        <w:rPr>
          <w:spacing w:val="-2"/>
        </w:rPr>
        <w:t>solution.</w:t>
      </w:r>
    </w:p>
    <w:p>
      <w:pPr>
        <w:pStyle w:val="BodyText"/>
        <w:spacing w:before="1"/>
        <w:ind w:left="1159" w:right="642"/>
      </w:pPr>
      <w:r>
        <w:rPr/>
        <w:t>To</w:t>
      </w:r>
      <w:r>
        <w:rPr>
          <w:spacing w:val="-5"/>
        </w:rPr>
        <w:t> </w:t>
      </w:r>
      <w:r>
        <w:rPr/>
        <w:t>continue</w:t>
      </w:r>
      <w:r>
        <w:rPr>
          <w:spacing w:val="-3"/>
        </w:rPr>
        <w:t> </w:t>
      </w:r>
      <w:r>
        <w:rPr/>
        <w:t>to</w:t>
      </w:r>
      <w:r>
        <w:rPr>
          <w:spacing w:val="-3"/>
        </w:rPr>
        <w:t> </w:t>
      </w:r>
      <w:r>
        <w:rPr/>
        <w:t>develop</w:t>
      </w:r>
      <w:r>
        <w:rPr>
          <w:spacing w:val="-3"/>
        </w:rPr>
        <w:t> </w:t>
      </w:r>
      <w:r>
        <w:rPr/>
        <w:t>the</w:t>
      </w:r>
      <w:r>
        <w:rPr>
          <w:spacing w:val="-3"/>
        </w:rPr>
        <w:t> </w:t>
      </w:r>
      <w:r>
        <w:rPr/>
        <w:t>understanding</w:t>
      </w:r>
      <w:r>
        <w:rPr>
          <w:spacing w:val="-3"/>
        </w:rPr>
        <w:t> </w:t>
      </w:r>
      <w:r>
        <w:rPr/>
        <w:t>of</w:t>
      </w:r>
      <w:r>
        <w:rPr>
          <w:spacing w:val="-3"/>
        </w:rPr>
        <w:t> </w:t>
      </w:r>
      <w:r>
        <w:rPr/>
        <w:t>“Architectural</w:t>
      </w:r>
      <w:r>
        <w:rPr>
          <w:spacing w:val="-4"/>
        </w:rPr>
        <w:t> </w:t>
      </w:r>
      <w:r>
        <w:rPr/>
        <w:t>Education,”</w:t>
      </w:r>
      <w:r>
        <w:rPr>
          <w:spacing w:val="-4"/>
        </w:rPr>
        <w:t> </w:t>
      </w:r>
      <w:r>
        <w:rPr/>
        <w:t>studio</w:t>
      </w:r>
      <w:r>
        <w:rPr>
          <w:spacing w:val="-3"/>
        </w:rPr>
        <w:t> </w:t>
      </w:r>
      <w:r>
        <w:rPr/>
        <w:t>culture</w:t>
      </w:r>
      <w:r>
        <w:rPr>
          <w:spacing w:val="-5"/>
        </w:rPr>
        <w:t> </w:t>
      </w:r>
      <w:r>
        <w:rPr/>
        <w:t>and</w:t>
      </w:r>
      <w:r>
        <w:rPr>
          <w:spacing w:val="-5"/>
        </w:rPr>
        <w:t> </w:t>
      </w:r>
      <w:r>
        <w:rPr/>
        <w:t>the</w:t>
      </w:r>
      <w:r>
        <w:rPr>
          <w:spacing w:val="-5"/>
        </w:rPr>
        <w:t> </w:t>
      </w:r>
      <w:r>
        <w:rPr/>
        <w:t>part that the design studio plays in education and design.</w:t>
      </w:r>
    </w:p>
    <w:p>
      <w:pPr>
        <w:spacing w:before="116"/>
        <w:ind w:left="439" w:right="0" w:firstLine="0"/>
        <w:jc w:val="left"/>
        <w:rPr>
          <w:b/>
          <w:sz w:val="20"/>
        </w:rPr>
      </w:pPr>
      <w:r>
        <w:rPr>
          <w:b/>
          <w:sz w:val="20"/>
        </w:rPr>
        <w:t>Student</w:t>
      </w:r>
      <w:r>
        <w:rPr>
          <w:b/>
          <w:spacing w:val="-9"/>
          <w:sz w:val="20"/>
        </w:rPr>
        <w:t> </w:t>
      </w:r>
      <w:r>
        <w:rPr>
          <w:b/>
          <w:sz w:val="20"/>
        </w:rPr>
        <w:t>Performance</w:t>
      </w:r>
      <w:r>
        <w:rPr>
          <w:b/>
          <w:spacing w:val="-9"/>
          <w:sz w:val="20"/>
        </w:rPr>
        <w:t> </w:t>
      </w:r>
      <w:r>
        <w:rPr>
          <w:b/>
          <w:sz w:val="20"/>
        </w:rPr>
        <w:t>Criteria</w:t>
      </w:r>
      <w:r>
        <w:rPr>
          <w:b/>
          <w:spacing w:val="-5"/>
          <w:sz w:val="20"/>
        </w:rPr>
        <w:t> </w:t>
      </w:r>
      <w:r>
        <w:rPr>
          <w:b/>
          <w:sz w:val="20"/>
        </w:rPr>
        <w:t>Addressed</w:t>
      </w:r>
      <w:r>
        <w:rPr>
          <w:b/>
          <w:spacing w:val="-8"/>
          <w:sz w:val="20"/>
        </w:rPr>
        <w:t> </w:t>
      </w:r>
      <w:r>
        <w:rPr>
          <w:b/>
          <w:sz w:val="20"/>
        </w:rPr>
        <w:t>(name</w:t>
      </w:r>
      <w:r>
        <w:rPr>
          <w:b/>
          <w:spacing w:val="-9"/>
          <w:sz w:val="20"/>
        </w:rPr>
        <w:t> </w:t>
      </w:r>
      <w:r>
        <w:rPr>
          <w:b/>
          <w:sz w:val="20"/>
        </w:rPr>
        <w:t>and</w:t>
      </w:r>
      <w:r>
        <w:rPr>
          <w:b/>
          <w:spacing w:val="-8"/>
          <w:sz w:val="20"/>
        </w:rPr>
        <w:t> </w:t>
      </w:r>
      <w:r>
        <w:rPr>
          <w:b/>
          <w:spacing w:val="-2"/>
          <w:sz w:val="20"/>
        </w:rPr>
        <w:t>number)</w:t>
      </w:r>
    </w:p>
    <w:p>
      <w:pPr>
        <w:pStyle w:val="ListParagraph"/>
        <w:numPr>
          <w:ilvl w:val="1"/>
          <w:numId w:val="45"/>
        </w:numPr>
        <w:tabs>
          <w:tab w:pos="1520" w:val="left" w:leader="none"/>
        </w:tabs>
        <w:spacing w:line="240" w:lineRule="auto" w:before="122" w:after="0"/>
        <w:ind w:left="1159" w:right="6387" w:firstLine="0"/>
        <w:jc w:val="left"/>
        <w:rPr>
          <w:sz w:val="20"/>
        </w:rPr>
      </w:pPr>
      <w:r>
        <w:rPr>
          <w:sz w:val="20"/>
        </w:rPr>
        <w:t>Visual</w:t>
      </w:r>
      <w:r>
        <w:rPr>
          <w:spacing w:val="-14"/>
          <w:sz w:val="20"/>
        </w:rPr>
        <w:t> </w:t>
      </w:r>
      <w:r>
        <w:rPr>
          <w:sz w:val="20"/>
        </w:rPr>
        <w:t>Communication</w:t>
      </w:r>
      <w:r>
        <w:rPr>
          <w:spacing w:val="-14"/>
          <w:sz w:val="20"/>
        </w:rPr>
        <w:t> </w:t>
      </w:r>
      <w:r>
        <w:rPr>
          <w:sz w:val="20"/>
        </w:rPr>
        <w:t>Skills A-6 Fundamental Design Skills A-8 Ordering System Skills</w:t>
      </w:r>
    </w:p>
    <w:p>
      <w:pPr>
        <w:spacing w:before="119"/>
        <w:ind w:left="439" w:right="0" w:firstLine="0"/>
        <w:jc w:val="left"/>
        <w:rPr>
          <w:b/>
          <w:sz w:val="20"/>
        </w:rPr>
      </w:pPr>
      <w:r>
        <w:rPr>
          <w:b/>
          <w:sz w:val="20"/>
        </w:rPr>
        <w:t>Topical</w:t>
      </w:r>
      <w:r>
        <w:rPr>
          <w:b/>
          <w:spacing w:val="-7"/>
          <w:sz w:val="20"/>
        </w:rPr>
        <w:t> </w:t>
      </w:r>
      <w:r>
        <w:rPr>
          <w:b/>
          <w:sz w:val="20"/>
        </w:rPr>
        <w:t>Outline</w:t>
      </w:r>
      <w:r>
        <w:rPr>
          <w:b/>
          <w:spacing w:val="-7"/>
          <w:sz w:val="20"/>
        </w:rPr>
        <w:t> </w:t>
      </w:r>
      <w:r>
        <w:rPr>
          <w:b/>
          <w:sz w:val="20"/>
        </w:rPr>
        <w:t>and</w:t>
      </w:r>
      <w:r>
        <w:rPr>
          <w:b/>
          <w:spacing w:val="-6"/>
          <w:sz w:val="20"/>
        </w:rPr>
        <w:t> </w:t>
      </w:r>
      <w:r>
        <w:rPr>
          <w:b/>
          <w:sz w:val="20"/>
        </w:rPr>
        <w:t>percentage</w:t>
      </w:r>
      <w:r>
        <w:rPr>
          <w:b/>
          <w:spacing w:val="-6"/>
          <w:sz w:val="20"/>
        </w:rPr>
        <w:t> </w:t>
      </w:r>
      <w:r>
        <w:rPr>
          <w:b/>
          <w:sz w:val="20"/>
        </w:rPr>
        <w:t>of</w:t>
      </w:r>
      <w:r>
        <w:rPr>
          <w:b/>
          <w:spacing w:val="-6"/>
          <w:sz w:val="20"/>
        </w:rPr>
        <w:t> </w:t>
      </w:r>
      <w:r>
        <w:rPr>
          <w:b/>
          <w:sz w:val="20"/>
        </w:rPr>
        <w:t>time</w:t>
      </w:r>
      <w:r>
        <w:rPr>
          <w:b/>
          <w:spacing w:val="-7"/>
          <w:sz w:val="20"/>
        </w:rPr>
        <w:t> </w:t>
      </w:r>
      <w:r>
        <w:rPr>
          <w:b/>
          <w:sz w:val="20"/>
        </w:rPr>
        <w:t>spent</w:t>
      </w:r>
      <w:r>
        <w:rPr>
          <w:b/>
          <w:spacing w:val="-6"/>
          <w:sz w:val="20"/>
        </w:rPr>
        <w:t> </w:t>
      </w:r>
      <w:r>
        <w:rPr>
          <w:b/>
          <w:sz w:val="20"/>
        </w:rPr>
        <w:t>on</w:t>
      </w:r>
      <w:r>
        <w:rPr>
          <w:b/>
          <w:spacing w:val="-5"/>
          <w:sz w:val="20"/>
        </w:rPr>
        <w:t> </w:t>
      </w:r>
      <w:r>
        <w:rPr>
          <w:b/>
          <w:spacing w:val="-4"/>
          <w:sz w:val="20"/>
        </w:rPr>
        <w:t>each</w:t>
      </w:r>
    </w:p>
    <w:p>
      <w:pPr>
        <w:pStyle w:val="BodyText"/>
        <w:tabs>
          <w:tab w:pos="3679" w:val="left" w:leader="none"/>
        </w:tabs>
        <w:spacing w:before="121"/>
        <w:ind w:left="799"/>
      </w:pPr>
      <w:r>
        <w:rPr/>
        <w:t>Project</w:t>
      </w:r>
      <w:r>
        <w:rPr>
          <w:spacing w:val="-8"/>
        </w:rPr>
        <w:t> </w:t>
      </w:r>
      <w:r>
        <w:rPr/>
        <w:t>Assignments</w:t>
      </w:r>
      <w:r>
        <w:rPr>
          <w:spacing w:val="-6"/>
        </w:rPr>
        <w:t> </w:t>
      </w:r>
      <w:r>
        <w:rPr/>
        <w:t>–</w:t>
      </w:r>
      <w:r>
        <w:rPr>
          <w:spacing w:val="-7"/>
        </w:rPr>
        <w:t> </w:t>
      </w:r>
      <w:r>
        <w:rPr>
          <w:spacing w:val="-4"/>
        </w:rPr>
        <w:t>90%,</w:t>
      </w:r>
      <w:r>
        <w:rPr/>
        <w:tab/>
        <w:t>Class</w:t>
      </w:r>
      <w:r>
        <w:rPr>
          <w:spacing w:val="-7"/>
        </w:rPr>
        <w:t> </w:t>
      </w:r>
      <w:r>
        <w:rPr/>
        <w:t>Partipation</w:t>
      </w:r>
      <w:r>
        <w:rPr>
          <w:spacing w:val="-7"/>
        </w:rPr>
        <w:t> </w:t>
      </w:r>
      <w:r>
        <w:rPr/>
        <w:t>–</w:t>
      </w:r>
      <w:r>
        <w:rPr>
          <w:spacing w:val="-5"/>
        </w:rPr>
        <w:t> 10%</w:t>
      </w:r>
    </w:p>
    <w:p>
      <w:pPr>
        <w:spacing w:before="118"/>
        <w:ind w:left="439" w:right="0" w:firstLine="0"/>
        <w:jc w:val="left"/>
        <w:rPr>
          <w:b/>
          <w:sz w:val="20"/>
        </w:rPr>
      </w:pPr>
      <w:r>
        <w:rPr>
          <w:b/>
          <w:w w:val="95"/>
          <w:sz w:val="20"/>
        </w:rPr>
        <w:t>Pre-</w:t>
      </w:r>
      <w:r>
        <w:rPr>
          <w:b/>
          <w:spacing w:val="-2"/>
          <w:sz w:val="20"/>
        </w:rPr>
        <w:t>requisites</w:t>
      </w:r>
    </w:p>
    <w:p>
      <w:pPr>
        <w:pStyle w:val="BodyText"/>
        <w:spacing w:before="123"/>
        <w:ind w:left="1159"/>
      </w:pPr>
      <w:r>
        <w:rPr/>
        <w:t>ARC</w:t>
      </w:r>
      <w:r>
        <w:rPr>
          <w:spacing w:val="-5"/>
        </w:rPr>
        <w:t> </w:t>
      </w:r>
      <w:r>
        <w:rPr/>
        <w:t>102</w:t>
      </w:r>
      <w:r>
        <w:rPr>
          <w:spacing w:val="-5"/>
        </w:rPr>
        <w:t> </w:t>
      </w:r>
      <w:r>
        <w:rPr/>
        <w:t>for</w:t>
      </w:r>
      <w:r>
        <w:rPr>
          <w:spacing w:val="-3"/>
        </w:rPr>
        <w:t> </w:t>
      </w:r>
      <w:r>
        <w:rPr/>
        <w:t>ARC</w:t>
      </w:r>
      <w:r>
        <w:rPr>
          <w:spacing w:val="-5"/>
        </w:rPr>
        <w:t> </w:t>
      </w:r>
      <w:r>
        <w:rPr/>
        <w:t>201,</w:t>
      </w:r>
      <w:r>
        <w:rPr>
          <w:spacing w:val="-3"/>
        </w:rPr>
        <w:t> </w:t>
      </w:r>
      <w:r>
        <w:rPr/>
        <w:t>ARC</w:t>
      </w:r>
      <w:r>
        <w:rPr>
          <w:spacing w:val="-4"/>
        </w:rPr>
        <w:t> </w:t>
      </w:r>
      <w:r>
        <w:rPr/>
        <w:t>200</w:t>
      </w:r>
      <w:r>
        <w:rPr>
          <w:spacing w:val="-3"/>
        </w:rPr>
        <w:t> </w:t>
      </w:r>
      <w:r>
        <w:rPr/>
        <w:t>and</w:t>
      </w:r>
      <w:r>
        <w:rPr>
          <w:spacing w:val="-5"/>
        </w:rPr>
        <w:t> </w:t>
      </w:r>
      <w:r>
        <w:rPr/>
        <w:t>201</w:t>
      </w:r>
      <w:r>
        <w:rPr>
          <w:spacing w:val="-5"/>
        </w:rPr>
        <w:t> </w:t>
      </w:r>
      <w:r>
        <w:rPr/>
        <w:t>for</w:t>
      </w:r>
      <w:r>
        <w:rPr>
          <w:spacing w:val="-3"/>
        </w:rPr>
        <w:t> </w:t>
      </w:r>
      <w:r>
        <w:rPr/>
        <w:t>ARC</w:t>
      </w:r>
      <w:r>
        <w:rPr>
          <w:spacing w:val="-2"/>
        </w:rPr>
        <w:t> </w:t>
      </w:r>
      <w:r>
        <w:rPr/>
        <w:t>202</w:t>
      </w:r>
      <w:r>
        <w:rPr>
          <w:spacing w:val="-5"/>
        </w:rPr>
        <w:t> </w:t>
      </w:r>
      <w:r>
        <w:rPr/>
        <w:t>or</w:t>
      </w:r>
      <w:r>
        <w:rPr>
          <w:spacing w:val="-3"/>
        </w:rPr>
        <w:t> </w:t>
      </w:r>
      <w:r>
        <w:rPr/>
        <w:t>permission</w:t>
      </w:r>
      <w:r>
        <w:rPr>
          <w:spacing w:val="-5"/>
        </w:rPr>
        <w:t> </w:t>
      </w:r>
      <w:r>
        <w:rPr/>
        <w:t>of</w:t>
      </w:r>
      <w:r>
        <w:rPr>
          <w:spacing w:val="-3"/>
        </w:rPr>
        <w:t> </w:t>
      </w:r>
      <w:r>
        <w:rPr/>
        <w:t>the</w:t>
      </w:r>
      <w:r>
        <w:rPr>
          <w:spacing w:val="-3"/>
        </w:rPr>
        <w:t> </w:t>
      </w:r>
      <w:r>
        <w:rPr>
          <w:spacing w:val="-2"/>
        </w:rPr>
        <w:t>faculty.</w:t>
      </w:r>
    </w:p>
    <w:p>
      <w:pPr>
        <w:spacing w:before="118"/>
        <w:ind w:left="439" w:right="0" w:firstLine="0"/>
        <w:jc w:val="left"/>
        <w:rPr>
          <w:b/>
          <w:sz w:val="20"/>
        </w:rPr>
      </w:pPr>
      <w:r>
        <w:rPr>
          <w:b/>
          <w:sz w:val="20"/>
        </w:rPr>
        <w:t>Textbooks</w:t>
      </w:r>
      <w:r>
        <w:rPr>
          <w:b/>
          <w:spacing w:val="-11"/>
          <w:sz w:val="20"/>
        </w:rPr>
        <w:t> </w:t>
      </w:r>
      <w:r>
        <w:rPr>
          <w:b/>
          <w:sz w:val="20"/>
        </w:rPr>
        <w:t>/</w:t>
      </w:r>
      <w:r>
        <w:rPr>
          <w:b/>
          <w:spacing w:val="-9"/>
          <w:sz w:val="20"/>
        </w:rPr>
        <w:t> </w:t>
      </w:r>
      <w:r>
        <w:rPr>
          <w:b/>
          <w:sz w:val="20"/>
        </w:rPr>
        <w:t>Learning</w:t>
      </w:r>
      <w:r>
        <w:rPr>
          <w:b/>
          <w:spacing w:val="-7"/>
          <w:sz w:val="20"/>
        </w:rPr>
        <w:t> </w:t>
      </w:r>
      <w:r>
        <w:rPr>
          <w:b/>
          <w:spacing w:val="-2"/>
          <w:sz w:val="20"/>
        </w:rPr>
        <w:t>Resources</w:t>
      </w:r>
    </w:p>
    <w:p>
      <w:pPr>
        <w:spacing w:line="240" w:lineRule="auto" w:before="120"/>
        <w:ind w:left="1160" w:right="701" w:hanging="1"/>
        <w:jc w:val="left"/>
        <w:rPr>
          <w:sz w:val="20"/>
        </w:rPr>
      </w:pPr>
      <w:r>
        <w:rPr>
          <w:b/>
          <w:sz w:val="20"/>
        </w:rPr>
        <w:t>Sun,</w:t>
      </w:r>
      <w:r>
        <w:rPr>
          <w:b/>
          <w:spacing w:val="-2"/>
          <w:sz w:val="20"/>
        </w:rPr>
        <w:t> </w:t>
      </w:r>
      <w:r>
        <w:rPr>
          <w:b/>
          <w:sz w:val="20"/>
        </w:rPr>
        <w:t>Wind</w:t>
      </w:r>
      <w:r>
        <w:rPr>
          <w:b/>
          <w:spacing w:val="-1"/>
          <w:sz w:val="20"/>
        </w:rPr>
        <w:t> </w:t>
      </w:r>
      <w:r>
        <w:rPr>
          <w:b/>
          <w:sz w:val="20"/>
        </w:rPr>
        <w:t>&amp;</w:t>
      </w:r>
      <w:r>
        <w:rPr>
          <w:b/>
          <w:spacing w:val="-2"/>
          <w:sz w:val="20"/>
        </w:rPr>
        <w:t> </w:t>
      </w:r>
      <w:r>
        <w:rPr>
          <w:b/>
          <w:sz w:val="20"/>
        </w:rPr>
        <w:t>Light: Architectural Design Strategies </w:t>
      </w:r>
      <w:r>
        <w:rPr>
          <w:sz w:val="20"/>
        </w:rPr>
        <w:t>(</w:t>
      </w:r>
      <w:hyperlink r:id="rId187">
        <w:r>
          <w:rPr>
            <w:color w:val="0000FF"/>
            <w:sz w:val="20"/>
            <w:u w:val="single" w:color="0000FF"/>
          </w:rPr>
          <w:t>http://www.amazon.com/Sun-Wind-Light</w:t>
        </w:r>
      </w:hyperlink>
      <w:r>
        <w:rPr>
          <w:color w:val="0000FF"/>
          <w:sz w:val="20"/>
        </w:rPr>
        <w:t> </w:t>
      </w:r>
      <w:r>
        <w:rPr>
          <w:spacing w:val="-2"/>
          <w:sz w:val="20"/>
        </w:rPr>
        <w:t>Architectural-Strategies/dp/0471348775/ref=sr_1_1?ie=UTF8&amp;qid=1326214414&amp;sr=8-1) </w:t>
      </w:r>
      <w:r>
        <w:rPr>
          <w:b/>
          <w:sz w:val="20"/>
        </w:rPr>
        <w:t>Precedents in Architecture: Analytic Diagrams, Formative Ideas, and Partis </w:t>
      </w:r>
      <w:r>
        <w:rPr>
          <w:spacing w:val="-2"/>
          <w:sz w:val="20"/>
        </w:rPr>
        <w:t>(</w:t>
      </w:r>
      <w:hyperlink r:id="rId188">
        <w:r>
          <w:rPr>
            <w:spacing w:val="-2"/>
            <w:sz w:val="20"/>
          </w:rPr>
          <w:t>http://www.amazon.com/Precedents-Architecture-Analytic-Diagrams-Formative/dp/0471479748)</w:t>
        </w:r>
      </w:hyperlink>
    </w:p>
    <w:p>
      <w:pPr>
        <w:pStyle w:val="BodyText"/>
        <w:spacing w:before="121"/>
        <w:ind w:left="439"/>
      </w:pPr>
      <w:r>
        <w:rPr/>
        <w:t>We</w:t>
      </w:r>
      <w:r>
        <w:rPr>
          <w:spacing w:val="-8"/>
        </w:rPr>
        <w:t> </w:t>
      </w:r>
      <w:r>
        <w:rPr/>
        <w:t>will</w:t>
      </w:r>
      <w:r>
        <w:rPr>
          <w:spacing w:val="-6"/>
        </w:rPr>
        <w:t> </w:t>
      </w:r>
      <w:r>
        <w:rPr/>
        <w:t>also</w:t>
      </w:r>
      <w:r>
        <w:rPr>
          <w:spacing w:val="-5"/>
        </w:rPr>
        <w:t> </w:t>
      </w:r>
      <w:r>
        <w:rPr/>
        <w:t>reference</w:t>
      </w:r>
      <w:r>
        <w:rPr>
          <w:spacing w:val="-5"/>
        </w:rPr>
        <w:t> </w:t>
      </w:r>
      <w:r>
        <w:rPr/>
        <w:t>the</w:t>
      </w:r>
      <w:r>
        <w:rPr>
          <w:spacing w:val="-3"/>
        </w:rPr>
        <w:t> </w:t>
      </w:r>
      <w:r>
        <w:rPr/>
        <w:t>books</w:t>
      </w:r>
      <w:r>
        <w:rPr>
          <w:spacing w:val="-4"/>
        </w:rPr>
        <w:t> </w:t>
      </w:r>
      <w:r>
        <w:rPr/>
        <w:t>used</w:t>
      </w:r>
      <w:r>
        <w:rPr>
          <w:spacing w:val="-5"/>
        </w:rPr>
        <w:t> </w:t>
      </w:r>
      <w:r>
        <w:rPr/>
        <w:t>in</w:t>
      </w:r>
      <w:r>
        <w:rPr>
          <w:spacing w:val="-3"/>
        </w:rPr>
        <w:t> </w:t>
      </w:r>
      <w:r>
        <w:rPr>
          <w:spacing w:val="-2"/>
        </w:rPr>
        <w:t>ARC200:</w:t>
      </w:r>
    </w:p>
    <w:p>
      <w:pPr>
        <w:spacing w:before="118"/>
        <w:ind w:left="1159" w:right="0" w:firstLine="0"/>
        <w:jc w:val="left"/>
        <w:rPr>
          <w:sz w:val="20"/>
        </w:rPr>
      </w:pPr>
      <w:r>
        <w:rPr>
          <w:sz w:val="20"/>
        </w:rPr>
        <w:t>McDonough,</w:t>
      </w:r>
      <w:r>
        <w:rPr>
          <w:spacing w:val="-11"/>
          <w:sz w:val="20"/>
        </w:rPr>
        <w:t> </w:t>
      </w:r>
      <w:r>
        <w:rPr>
          <w:sz w:val="20"/>
        </w:rPr>
        <w:t>W.</w:t>
      </w:r>
      <w:r>
        <w:rPr>
          <w:spacing w:val="-5"/>
          <w:sz w:val="20"/>
        </w:rPr>
        <w:t> </w:t>
      </w:r>
      <w:r>
        <w:rPr>
          <w:sz w:val="20"/>
        </w:rPr>
        <w:t>&amp;</w:t>
      </w:r>
      <w:r>
        <w:rPr>
          <w:spacing w:val="-6"/>
          <w:sz w:val="20"/>
        </w:rPr>
        <w:t> </w:t>
      </w:r>
      <w:r>
        <w:rPr>
          <w:sz w:val="20"/>
        </w:rPr>
        <w:t>Braungart,</w:t>
      </w:r>
      <w:r>
        <w:rPr>
          <w:spacing w:val="-6"/>
          <w:sz w:val="20"/>
        </w:rPr>
        <w:t> </w:t>
      </w:r>
      <w:r>
        <w:rPr>
          <w:sz w:val="20"/>
        </w:rPr>
        <w:t>M.</w:t>
      </w:r>
      <w:r>
        <w:rPr>
          <w:spacing w:val="-5"/>
          <w:sz w:val="20"/>
        </w:rPr>
        <w:t> </w:t>
      </w:r>
      <w:r>
        <w:rPr>
          <w:sz w:val="20"/>
        </w:rPr>
        <w:t>(2002).</w:t>
      </w:r>
      <w:r>
        <w:rPr>
          <w:spacing w:val="-6"/>
          <w:sz w:val="20"/>
        </w:rPr>
        <w:t> </w:t>
      </w:r>
      <w:r>
        <w:rPr>
          <w:i/>
          <w:sz w:val="20"/>
        </w:rPr>
        <w:t>Cradle</w:t>
      </w:r>
      <w:r>
        <w:rPr>
          <w:i/>
          <w:spacing w:val="-5"/>
          <w:sz w:val="20"/>
        </w:rPr>
        <w:t> </w:t>
      </w:r>
      <w:r>
        <w:rPr>
          <w:i/>
          <w:sz w:val="20"/>
        </w:rPr>
        <w:t>to</w:t>
      </w:r>
      <w:r>
        <w:rPr>
          <w:i/>
          <w:spacing w:val="-6"/>
          <w:sz w:val="20"/>
        </w:rPr>
        <w:t> </w:t>
      </w:r>
      <w:r>
        <w:rPr>
          <w:i/>
          <w:sz w:val="20"/>
        </w:rPr>
        <w:t>cradle:</w:t>
      </w:r>
      <w:r>
        <w:rPr>
          <w:i/>
          <w:spacing w:val="-3"/>
          <w:sz w:val="20"/>
        </w:rPr>
        <w:t> </w:t>
      </w:r>
      <w:r>
        <w:rPr>
          <w:i/>
          <w:sz w:val="20"/>
        </w:rPr>
        <w:t>Remaking</w:t>
      </w:r>
      <w:r>
        <w:rPr>
          <w:i/>
          <w:spacing w:val="-6"/>
          <w:sz w:val="20"/>
        </w:rPr>
        <w:t> </w:t>
      </w:r>
      <w:r>
        <w:rPr>
          <w:i/>
          <w:sz w:val="20"/>
        </w:rPr>
        <w:t>the</w:t>
      </w:r>
      <w:r>
        <w:rPr>
          <w:i/>
          <w:spacing w:val="-5"/>
          <w:sz w:val="20"/>
        </w:rPr>
        <w:t> </w:t>
      </w:r>
      <w:r>
        <w:rPr>
          <w:i/>
          <w:sz w:val="20"/>
        </w:rPr>
        <w:t>way</w:t>
      </w:r>
      <w:r>
        <w:rPr>
          <w:i/>
          <w:spacing w:val="-5"/>
          <w:sz w:val="20"/>
        </w:rPr>
        <w:t> </w:t>
      </w:r>
      <w:r>
        <w:rPr>
          <w:i/>
          <w:sz w:val="20"/>
        </w:rPr>
        <w:t>we</w:t>
      </w:r>
      <w:r>
        <w:rPr>
          <w:i/>
          <w:spacing w:val="-3"/>
          <w:sz w:val="20"/>
        </w:rPr>
        <w:t> </w:t>
      </w:r>
      <w:r>
        <w:rPr>
          <w:i/>
          <w:sz w:val="20"/>
        </w:rPr>
        <w:t>make</w:t>
      </w:r>
      <w:r>
        <w:rPr>
          <w:i/>
          <w:spacing w:val="-6"/>
          <w:sz w:val="20"/>
        </w:rPr>
        <w:t> </w:t>
      </w:r>
      <w:r>
        <w:rPr>
          <w:i/>
          <w:spacing w:val="-2"/>
          <w:sz w:val="20"/>
        </w:rPr>
        <w:t>things</w:t>
      </w:r>
      <w:r>
        <w:rPr>
          <w:spacing w:val="-2"/>
          <w:sz w:val="20"/>
        </w:rPr>
        <w:t>.</w:t>
      </w:r>
    </w:p>
    <w:p>
      <w:pPr>
        <w:pStyle w:val="BodyText"/>
        <w:spacing w:line="228" w:lineRule="exact" w:before="3"/>
        <w:ind w:left="1519"/>
      </w:pPr>
      <w:r>
        <w:rPr/>
        <w:t>New</w:t>
      </w:r>
      <w:r>
        <w:rPr>
          <w:spacing w:val="-6"/>
        </w:rPr>
        <w:t> </w:t>
      </w:r>
      <w:r>
        <w:rPr/>
        <w:t>York:</w:t>
      </w:r>
      <w:r>
        <w:rPr>
          <w:spacing w:val="-6"/>
        </w:rPr>
        <w:t> </w:t>
      </w:r>
      <w:r>
        <w:rPr/>
        <w:t>North</w:t>
      </w:r>
      <w:r>
        <w:rPr>
          <w:spacing w:val="-6"/>
        </w:rPr>
        <w:t> </w:t>
      </w:r>
      <w:r>
        <w:rPr/>
        <w:t>Point</w:t>
      </w:r>
      <w:r>
        <w:rPr>
          <w:spacing w:val="-4"/>
        </w:rPr>
        <w:t> </w:t>
      </w:r>
      <w:r>
        <w:rPr>
          <w:spacing w:val="-2"/>
        </w:rPr>
        <w:t>Press.</w:t>
      </w:r>
    </w:p>
    <w:p>
      <w:pPr>
        <w:spacing w:line="240" w:lineRule="auto" w:before="0"/>
        <w:ind w:left="1159" w:right="642" w:firstLine="0"/>
        <w:jc w:val="left"/>
        <w:rPr>
          <w:sz w:val="20"/>
        </w:rPr>
      </w:pPr>
      <w:r>
        <w:rPr>
          <w:sz w:val="20"/>
        </w:rPr>
        <w:t>Shiller,</w:t>
      </w:r>
      <w:r>
        <w:rPr>
          <w:spacing w:val="-5"/>
          <w:sz w:val="20"/>
        </w:rPr>
        <w:t> </w:t>
      </w:r>
      <w:r>
        <w:rPr>
          <w:sz w:val="20"/>
        </w:rPr>
        <w:t>M.</w:t>
      </w:r>
      <w:r>
        <w:rPr>
          <w:spacing w:val="-3"/>
          <w:sz w:val="20"/>
        </w:rPr>
        <w:t> </w:t>
      </w:r>
      <w:r>
        <w:rPr>
          <w:sz w:val="20"/>
        </w:rPr>
        <w:t>(2004).</w:t>
      </w:r>
      <w:r>
        <w:rPr>
          <w:spacing w:val="-2"/>
          <w:sz w:val="20"/>
        </w:rPr>
        <w:t> </w:t>
      </w:r>
      <w:r>
        <w:rPr>
          <w:i/>
          <w:sz w:val="20"/>
        </w:rPr>
        <w:t>Mechanical</w:t>
      </w:r>
      <w:r>
        <w:rPr>
          <w:i/>
          <w:spacing w:val="-6"/>
          <w:sz w:val="20"/>
        </w:rPr>
        <w:t> </w:t>
      </w:r>
      <w:r>
        <w:rPr>
          <w:i/>
          <w:sz w:val="20"/>
        </w:rPr>
        <w:t>and</w:t>
      </w:r>
      <w:r>
        <w:rPr>
          <w:i/>
          <w:spacing w:val="-5"/>
          <w:sz w:val="20"/>
        </w:rPr>
        <w:t> </w:t>
      </w:r>
      <w:r>
        <w:rPr>
          <w:i/>
          <w:sz w:val="20"/>
        </w:rPr>
        <w:t>electrical</w:t>
      </w:r>
      <w:r>
        <w:rPr>
          <w:i/>
          <w:spacing w:val="-6"/>
          <w:sz w:val="20"/>
        </w:rPr>
        <w:t> </w:t>
      </w:r>
      <w:r>
        <w:rPr>
          <w:i/>
          <w:sz w:val="20"/>
        </w:rPr>
        <w:t>systems</w:t>
      </w:r>
      <w:r>
        <w:rPr>
          <w:sz w:val="20"/>
        </w:rPr>
        <w:t>.</w:t>
      </w:r>
      <w:r>
        <w:rPr>
          <w:spacing w:val="-3"/>
          <w:sz w:val="20"/>
        </w:rPr>
        <w:t> </w:t>
      </w:r>
      <w:r>
        <w:rPr>
          <w:sz w:val="20"/>
        </w:rPr>
        <w:t>Chicago:</w:t>
      </w:r>
      <w:r>
        <w:rPr>
          <w:spacing w:val="-5"/>
          <w:sz w:val="20"/>
        </w:rPr>
        <w:t> </w:t>
      </w:r>
      <w:r>
        <w:rPr>
          <w:sz w:val="20"/>
        </w:rPr>
        <w:t>Dearborn</w:t>
      </w:r>
      <w:r>
        <w:rPr>
          <w:spacing w:val="-5"/>
          <w:sz w:val="20"/>
        </w:rPr>
        <w:t> </w:t>
      </w:r>
      <w:r>
        <w:rPr>
          <w:sz w:val="20"/>
        </w:rPr>
        <w:t>Financial</w:t>
      </w:r>
      <w:r>
        <w:rPr>
          <w:spacing w:val="-4"/>
          <w:sz w:val="20"/>
        </w:rPr>
        <w:t> </w:t>
      </w:r>
      <w:r>
        <w:rPr>
          <w:sz w:val="20"/>
        </w:rPr>
        <w:t>Publishing. Steffen, A. (Ed.). (2004). </w:t>
      </w:r>
      <w:r>
        <w:rPr>
          <w:i/>
          <w:sz w:val="20"/>
        </w:rPr>
        <w:t>Worldchanging: A User's Guide for the 21st Century</w:t>
      </w:r>
      <w:r>
        <w:rPr>
          <w:sz w:val="20"/>
        </w:rPr>
        <w:t>. New York:</w:t>
      </w:r>
    </w:p>
    <w:p>
      <w:pPr>
        <w:pStyle w:val="BodyText"/>
        <w:ind w:left="1519"/>
      </w:pPr>
      <w:r>
        <w:rPr/>
        <w:t>AbramsWood,</w:t>
      </w:r>
      <w:r>
        <w:rPr>
          <w:spacing w:val="-9"/>
        </w:rPr>
        <w:t> </w:t>
      </w:r>
      <w:r>
        <w:rPr/>
        <w:t>Paul</w:t>
      </w:r>
      <w:r>
        <w:rPr>
          <w:spacing w:val="-9"/>
        </w:rPr>
        <w:t> </w:t>
      </w:r>
      <w:r>
        <w:rPr/>
        <w:t>H.</w:t>
      </w:r>
      <w:r>
        <w:rPr>
          <w:spacing w:val="-6"/>
        </w:rPr>
        <w:t> </w:t>
      </w:r>
      <w:r>
        <w:rPr>
          <w:i/>
        </w:rPr>
        <w:t>Site</w:t>
      </w:r>
      <w:r>
        <w:rPr>
          <w:i/>
          <w:spacing w:val="-6"/>
        </w:rPr>
        <w:t> </w:t>
      </w:r>
      <w:r>
        <w:rPr>
          <w:i/>
        </w:rPr>
        <w:t>Design</w:t>
      </w:r>
      <w:r>
        <w:rPr/>
        <w:t>.</w:t>
      </w:r>
      <w:r>
        <w:rPr>
          <w:spacing w:val="-8"/>
        </w:rPr>
        <w:t> </w:t>
      </w:r>
      <w:r>
        <w:rPr/>
        <w:t>Chicago:</w:t>
      </w:r>
      <w:r>
        <w:rPr>
          <w:spacing w:val="-8"/>
        </w:rPr>
        <w:t> </w:t>
      </w:r>
      <w:r>
        <w:rPr/>
        <w:t>Dearborn</w:t>
      </w:r>
      <w:r>
        <w:rPr>
          <w:spacing w:val="-7"/>
        </w:rPr>
        <w:t> </w:t>
      </w:r>
      <w:r>
        <w:rPr/>
        <w:t>Financial</w:t>
      </w:r>
      <w:r>
        <w:rPr>
          <w:spacing w:val="-9"/>
        </w:rPr>
        <w:t> </w:t>
      </w:r>
      <w:r>
        <w:rPr>
          <w:spacing w:val="-2"/>
        </w:rPr>
        <w:t>Publishing.</w:t>
      </w:r>
    </w:p>
    <w:p>
      <w:pPr>
        <w:spacing w:before="0"/>
        <w:ind w:left="1159" w:right="0" w:firstLine="0"/>
        <w:jc w:val="left"/>
        <w:rPr>
          <w:sz w:val="20"/>
        </w:rPr>
      </w:pPr>
      <w:r>
        <w:rPr>
          <w:sz w:val="20"/>
        </w:rPr>
        <w:t>Stein,</w:t>
      </w:r>
      <w:r>
        <w:rPr>
          <w:spacing w:val="-8"/>
          <w:sz w:val="20"/>
        </w:rPr>
        <w:t> </w:t>
      </w:r>
      <w:r>
        <w:rPr>
          <w:sz w:val="20"/>
        </w:rPr>
        <w:t>J.</w:t>
      </w:r>
      <w:r>
        <w:rPr>
          <w:spacing w:val="-6"/>
          <w:sz w:val="20"/>
        </w:rPr>
        <w:t> </w:t>
      </w:r>
      <w:r>
        <w:rPr>
          <w:sz w:val="20"/>
        </w:rPr>
        <w:t>M.</w:t>
      </w:r>
      <w:r>
        <w:rPr>
          <w:spacing w:val="-6"/>
          <w:sz w:val="20"/>
        </w:rPr>
        <w:t> </w:t>
      </w:r>
      <w:r>
        <w:rPr>
          <w:sz w:val="20"/>
        </w:rPr>
        <w:t>&amp;</w:t>
      </w:r>
      <w:r>
        <w:rPr>
          <w:spacing w:val="-8"/>
          <w:sz w:val="20"/>
        </w:rPr>
        <w:t> </w:t>
      </w:r>
      <w:r>
        <w:rPr>
          <w:sz w:val="20"/>
        </w:rPr>
        <w:t>Sprecklemeyer,</w:t>
      </w:r>
      <w:r>
        <w:rPr>
          <w:spacing w:val="-8"/>
          <w:sz w:val="20"/>
        </w:rPr>
        <w:t> </w:t>
      </w:r>
      <w:r>
        <w:rPr>
          <w:sz w:val="20"/>
        </w:rPr>
        <w:t>K.</w:t>
      </w:r>
      <w:r>
        <w:rPr>
          <w:spacing w:val="-7"/>
          <w:sz w:val="20"/>
        </w:rPr>
        <w:t> </w:t>
      </w:r>
      <w:r>
        <w:rPr>
          <w:sz w:val="20"/>
        </w:rPr>
        <w:t>F.</w:t>
      </w:r>
      <w:r>
        <w:rPr>
          <w:spacing w:val="-6"/>
          <w:sz w:val="20"/>
        </w:rPr>
        <w:t> </w:t>
      </w:r>
      <w:r>
        <w:rPr>
          <w:sz w:val="20"/>
        </w:rPr>
        <w:t>(Eds.).</w:t>
      </w:r>
      <w:r>
        <w:rPr>
          <w:spacing w:val="-8"/>
          <w:sz w:val="20"/>
        </w:rPr>
        <w:t> </w:t>
      </w:r>
      <w:r>
        <w:rPr>
          <w:sz w:val="20"/>
        </w:rPr>
        <w:t>(1999).</w:t>
      </w:r>
      <w:r>
        <w:rPr>
          <w:spacing w:val="-7"/>
          <w:sz w:val="20"/>
        </w:rPr>
        <w:t> </w:t>
      </w:r>
      <w:r>
        <w:rPr>
          <w:i/>
          <w:sz w:val="20"/>
        </w:rPr>
        <w:t>Classic</w:t>
      </w:r>
      <w:r>
        <w:rPr>
          <w:i/>
          <w:spacing w:val="-7"/>
          <w:sz w:val="20"/>
        </w:rPr>
        <w:t> </w:t>
      </w:r>
      <w:r>
        <w:rPr>
          <w:i/>
          <w:sz w:val="20"/>
        </w:rPr>
        <w:t>readings</w:t>
      </w:r>
      <w:r>
        <w:rPr>
          <w:i/>
          <w:spacing w:val="-7"/>
          <w:sz w:val="20"/>
        </w:rPr>
        <w:t> </w:t>
      </w:r>
      <w:r>
        <w:rPr>
          <w:i/>
          <w:sz w:val="20"/>
        </w:rPr>
        <w:t>in</w:t>
      </w:r>
      <w:r>
        <w:rPr>
          <w:i/>
          <w:spacing w:val="-6"/>
          <w:sz w:val="20"/>
        </w:rPr>
        <w:t> </w:t>
      </w:r>
      <w:r>
        <w:rPr>
          <w:i/>
          <w:sz w:val="20"/>
        </w:rPr>
        <w:t>architecture</w:t>
      </w:r>
      <w:r>
        <w:rPr>
          <w:sz w:val="20"/>
        </w:rPr>
        <w:t>.</w:t>
      </w:r>
      <w:r>
        <w:rPr>
          <w:spacing w:val="-7"/>
          <w:sz w:val="20"/>
        </w:rPr>
        <w:t> </w:t>
      </w:r>
      <w:r>
        <w:rPr>
          <w:sz w:val="20"/>
        </w:rPr>
        <w:t>McGraw-</w:t>
      </w:r>
      <w:r>
        <w:rPr>
          <w:spacing w:val="-2"/>
          <w:sz w:val="20"/>
        </w:rPr>
        <w:t>Hill.</w:t>
      </w:r>
    </w:p>
    <w:p>
      <w:pPr>
        <w:pStyle w:val="BodyText"/>
        <w:spacing w:line="229" w:lineRule="exact" w:before="2"/>
        <w:ind w:left="1519"/>
      </w:pPr>
      <w:r>
        <w:rPr/>
        <w:t>New</w:t>
      </w:r>
      <w:r>
        <w:rPr>
          <w:spacing w:val="-4"/>
        </w:rPr>
        <w:t> </w:t>
      </w:r>
      <w:r>
        <w:rPr/>
        <w:t>York,</w:t>
      </w:r>
      <w:r>
        <w:rPr>
          <w:spacing w:val="-4"/>
        </w:rPr>
        <w:t> </w:t>
      </w:r>
      <w:r>
        <w:rPr>
          <w:spacing w:val="-5"/>
        </w:rPr>
        <w:t>NY.</w:t>
      </w:r>
    </w:p>
    <w:p>
      <w:pPr>
        <w:spacing w:before="0"/>
        <w:ind w:left="1519" w:right="642" w:hanging="360"/>
        <w:jc w:val="left"/>
        <w:rPr>
          <w:sz w:val="20"/>
        </w:rPr>
      </w:pPr>
      <w:r>
        <w:rPr>
          <w:sz w:val="20"/>
        </w:rPr>
        <w:t>Wackernagel,</w:t>
      </w:r>
      <w:r>
        <w:rPr>
          <w:spacing w:val="-4"/>
          <w:sz w:val="20"/>
        </w:rPr>
        <w:t> </w:t>
      </w:r>
      <w:r>
        <w:rPr>
          <w:sz w:val="20"/>
        </w:rPr>
        <w:t>M.</w:t>
      </w:r>
      <w:r>
        <w:rPr>
          <w:spacing w:val="-2"/>
          <w:sz w:val="20"/>
        </w:rPr>
        <w:t> </w:t>
      </w:r>
      <w:r>
        <w:rPr>
          <w:sz w:val="20"/>
        </w:rPr>
        <w:t>&amp;</w:t>
      </w:r>
      <w:r>
        <w:rPr>
          <w:spacing w:val="-5"/>
          <w:sz w:val="20"/>
        </w:rPr>
        <w:t> </w:t>
      </w:r>
      <w:r>
        <w:rPr>
          <w:sz w:val="20"/>
        </w:rPr>
        <w:t>Rees,</w:t>
      </w:r>
      <w:r>
        <w:rPr>
          <w:spacing w:val="-2"/>
          <w:sz w:val="20"/>
        </w:rPr>
        <w:t> </w:t>
      </w:r>
      <w:r>
        <w:rPr>
          <w:sz w:val="20"/>
        </w:rPr>
        <w:t>W.</w:t>
      </w:r>
      <w:r>
        <w:rPr>
          <w:spacing w:val="-6"/>
          <w:sz w:val="20"/>
        </w:rPr>
        <w:t> </w:t>
      </w:r>
      <w:r>
        <w:rPr>
          <w:sz w:val="20"/>
        </w:rPr>
        <w:t>(1996).</w:t>
      </w:r>
      <w:r>
        <w:rPr>
          <w:spacing w:val="-4"/>
          <w:sz w:val="20"/>
        </w:rPr>
        <w:t> </w:t>
      </w:r>
      <w:r>
        <w:rPr>
          <w:i/>
          <w:sz w:val="20"/>
        </w:rPr>
        <w:t>Our</w:t>
      </w:r>
      <w:r>
        <w:rPr>
          <w:i/>
          <w:spacing w:val="-3"/>
          <w:sz w:val="20"/>
        </w:rPr>
        <w:t> </w:t>
      </w:r>
      <w:r>
        <w:rPr>
          <w:i/>
          <w:sz w:val="20"/>
        </w:rPr>
        <w:t>ecological</w:t>
      </w:r>
      <w:r>
        <w:rPr>
          <w:i/>
          <w:spacing w:val="-5"/>
          <w:sz w:val="20"/>
        </w:rPr>
        <w:t> </w:t>
      </w:r>
      <w:r>
        <w:rPr>
          <w:i/>
          <w:sz w:val="20"/>
        </w:rPr>
        <w:t>footprint:</w:t>
      </w:r>
      <w:r>
        <w:rPr>
          <w:i/>
          <w:spacing w:val="-4"/>
          <w:sz w:val="20"/>
        </w:rPr>
        <w:t> </w:t>
      </w:r>
      <w:r>
        <w:rPr>
          <w:i/>
          <w:sz w:val="20"/>
        </w:rPr>
        <w:t>Reducing</w:t>
      </w:r>
      <w:r>
        <w:rPr>
          <w:i/>
          <w:spacing w:val="-2"/>
          <w:sz w:val="20"/>
        </w:rPr>
        <w:t> </w:t>
      </w:r>
      <w:r>
        <w:rPr>
          <w:i/>
          <w:sz w:val="20"/>
        </w:rPr>
        <w:t>human</w:t>
      </w:r>
      <w:r>
        <w:rPr>
          <w:i/>
          <w:spacing w:val="-2"/>
          <w:sz w:val="20"/>
        </w:rPr>
        <w:t> </w:t>
      </w:r>
      <w:r>
        <w:rPr>
          <w:i/>
          <w:sz w:val="20"/>
        </w:rPr>
        <w:t>impact</w:t>
      </w:r>
      <w:r>
        <w:rPr>
          <w:i/>
          <w:spacing w:val="-4"/>
          <w:sz w:val="20"/>
        </w:rPr>
        <w:t> </w:t>
      </w:r>
      <w:r>
        <w:rPr>
          <w:i/>
          <w:sz w:val="20"/>
        </w:rPr>
        <w:t>on</w:t>
      </w:r>
      <w:r>
        <w:rPr>
          <w:i/>
          <w:spacing w:val="-4"/>
          <w:sz w:val="20"/>
        </w:rPr>
        <w:t> </w:t>
      </w:r>
      <w:r>
        <w:rPr>
          <w:i/>
          <w:sz w:val="20"/>
        </w:rPr>
        <w:t>the earth</w:t>
      </w:r>
      <w:r>
        <w:rPr>
          <w:sz w:val="20"/>
        </w:rPr>
        <w:t>. Gabriola Island, British Columbia: New Society Publishers.</w:t>
      </w:r>
    </w:p>
    <w:p>
      <w:pPr>
        <w:pStyle w:val="BodyText"/>
        <w:spacing w:line="229" w:lineRule="exact"/>
        <w:ind w:left="1159"/>
      </w:pPr>
      <w:r>
        <w:rPr/>
        <w:t>Wood,</w:t>
      </w:r>
      <w:r>
        <w:rPr>
          <w:spacing w:val="-7"/>
        </w:rPr>
        <w:t> </w:t>
      </w:r>
      <w:r>
        <w:rPr/>
        <w:t>P.</w:t>
      </w:r>
      <w:r>
        <w:rPr>
          <w:spacing w:val="-7"/>
        </w:rPr>
        <w:t> </w:t>
      </w:r>
      <w:r>
        <w:rPr/>
        <w:t>H.</w:t>
      </w:r>
      <w:r>
        <w:rPr>
          <w:spacing w:val="-7"/>
        </w:rPr>
        <w:t> </w:t>
      </w:r>
      <w:r>
        <w:rPr/>
        <w:t>(2004).</w:t>
      </w:r>
      <w:r>
        <w:rPr>
          <w:spacing w:val="-7"/>
        </w:rPr>
        <w:t> </w:t>
      </w:r>
      <w:r>
        <w:rPr>
          <w:i/>
        </w:rPr>
        <w:t>Site</w:t>
      </w:r>
      <w:r>
        <w:rPr>
          <w:i/>
          <w:spacing w:val="-4"/>
        </w:rPr>
        <w:t> </w:t>
      </w:r>
      <w:r>
        <w:rPr>
          <w:i/>
        </w:rPr>
        <w:t>design</w:t>
      </w:r>
      <w:r>
        <w:rPr/>
        <w:t>.</w:t>
      </w:r>
      <w:r>
        <w:rPr>
          <w:spacing w:val="-7"/>
        </w:rPr>
        <w:t> </w:t>
      </w:r>
      <w:r>
        <w:rPr/>
        <w:t>Chicago:</w:t>
      </w:r>
      <w:r>
        <w:rPr>
          <w:spacing w:val="-7"/>
        </w:rPr>
        <w:t> </w:t>
      </w:r>
      <w:r>
        <w:rPr/>
        <w:t>Dearborn</w:t>
      </w:r>
      <w:r>
        <w:rPr>
          <w:spacing w:val="-7"/>
        </w:rPr>
        <w:t> </w:t>
      </w:r>
      <w:r>
        <w:rPr/>
        <w:t>Financial</w:t>
      </w:r>
      <w:r>
        <w:rPr>
          <w:spacing w:val="-6"/>
        </w:rPr>
        <w:t> </w:t>
      </w:r>
      <w:r>
        <w:rPr>
          <w:spacing w:val="-2"/>
        </w:rPr>
        <w:t>Publishing.</w:t>
      </w:r>
    </w:p>
    <w:p>
      <w:pPr>
        <w:spacing w:before="120"/>
        <w:ind w:left="439" w:right="0" w:firstLine="0"/>
        <w:jc w:val="left"/>
        <w:rPr>
          <w:b/>
          <w:sz w:val="20"/>
        </w:rPr>
      </w:pPr>
      <w:r>
        <w:rPr>
          <w:b/>
          <w:sz w:val="20"/>
        </w:rPr>
        <w:t>Offered</w:t>
      </w:r>
      <w:r>
        <w:rPr>
          <w:b/>
          <w:spacing w:val="-10"/>
          <w:sz w:val="20"/>
        </w:rPr>
        <w:t> </w:t>
      </w:r>
      <w:r>
        <w:rPr>
          <w:b/>
          <w:spacing w:val="-2"/>
          <w:sz w:val="20"/>
        </w:rPr>
        <w:t>(terms):</w:t>
      </w:r>
    </w:p>
    <w:p>
      <w:pPr>
        <w:pStyle w:val="BodyText"/>
        <w:spacing w:before="123"/>
        <w:ind w:left="799"/>
      </w:pPr>
      <w:r>
        <w:rPr/>
        <w:t>Spring</w:t>
      </w:r>
      <w:r>
        <w:rPr>
          <w:spacing w:val="-8"/>
        </w:rPr>
        <w:t> </w:t>
      </w:r>
      <w:r>
        <w:rPr/>
        <w:t>Semester</w:t>
      </w:r>
      <w:r>
        <w:rPr>
          <w:spacing w:val="-8"/>
        </w:rPr>
        <w:t> </w:t>
      </w:r>
      <w:r>
        <w:rPr>
          <w:spacing w:val="-4"/>
        </w:rPr>
        <w:t>only</w:t>
      </w:r>
    </w:p>
    <w:p>
      <w:pPr>
        <w:spacing w:before="118"/>
        <w:ind w:left="439" w:right="0" w:firstLine="0"/>
        <w:jc w:val="left"/>
        <w:rPr>
          <w:b/>
          <w:sz w:val="20"/>
        </w:rPr>
      </w:pPr>
      <w:r>
        <w:rPr>
          <w:b/>
          <w:sz w:val="20"/>
        </w:rPr>
        <w:t>Faculty</w:t>
      </w:r>
      <w:r>
        <w:rPr>
          <w:b/>
          <w:spacing w:val="-8"/>
          <w:sz w:val="20"/>
        </w:rPr>
        <w:t> </w:t>
      </w:r>
      <w:r>
        <w:rPr>
          <w:b/>
          <w:spacing w:val="-2"/>
          <w:sz w:val="20"/>
        </w:rPr>
        <w:t>Assigned</w:t>
      </w:r>
    </w:p>
    <w:p>
      <w:pPr>
        <w:pStyle w:val="BodyText"/>
        <w:spacing w:before="122"/>
        <w:ind w:left="1159" w:right="5495"/>
      </w:pPr>
      <w:r>
        <w:rPr/>
        <w:t>2014</w:t>
      </w:r>
      <w:r>
        <w:rPr>
          <w:spacing w:val="-5"/>
        </w:rPr>
        <w:t> </w:t>
      </w:r>
      <w:r>
        <w:rPr/>
        <w:t>–</w:t>
      </w:r>
      <w:r>
        <w:rPr>
          <w:spacing w:val="-7"/>
        </w:rPr>
        <w:t> </w:t>
      </w:r>
      <w:r>
        <w:rPr/>
        <w:t>Chance</w:t>
      </w:r>
      <w:r>
        <w:rPr>
          <w:spacing w:val="-7"/>
        </w:rPr>
        <w:t> </w:t>
      </w:r>
      <w:r>
        <w:rPr/>
        <w:t>(F/T),</w:t>
      </w:r>
      <w:r>
        <w:rPr>
          <w:spacing w:val="-7"/>
        </w:rPr>
        <w:t> </w:t>
      </w:r>
      <w:r>
        <w:rPr/>
        <w:t>D.</w:t>
      </w:r>
      <w:r>
        <w:rPr>
          <w:spacing w:val="-7"/>
        </w:rPr>
        <w:t> </w:t>
      </w:r>
      <w:r>
        <w:rPr/>
        <w:t>Henderson</w:t>
      </w:r>
      <w:r>
        <w:rPr>
          <w:spacing w:val="-7"/>
        </w:rPr>
        <w:t> </w:t>
      </w:r>
      <w:r>
        <w:rPr/>
        <w:t>(F/T) 2013 – Turner (F/T), Okiomah (F/T)</w:t>
      </w:r>
    </w:p>
    <w:p>
      <w:pPr>
        <w:spacing w:after="0"/>
        <w:sectPr>
          <w:headerReference w:type="default" r:id="rId189"/>
          <w:footerReference w:type="default" r:id="rId190"/>
          <w:pgSz w:w="12240" w:h="15840"/>
          <w:pgMar w:header="993" w:footer="974" w:top="1240" w:bottom="1160" w:left="1000" w:right="820"/>
        </w:sectPr>
      </w:pPr>
    </w:p>
    <w:p>
      <w:pPr>
        <w:spacing w:before="115"/>
        <w:ind w:left="440" w:right="0" w:firstLine="0"/>
        <w:jc w:val="left"/>
        <w:rPr>
          <w:b/>
          <w:sz w:val="20"/>
        </w:rPr>
      </w:pPr>
      <w:r>
        <w:rPr>
          <w:b/>
          <w:sz w:val="20"/>
        </w:rPr>
        <w:t>Course</w:t>
      </w:r>
      <w:r>
        <w:rPr>
          <w:b/>
          <w:spacing w:val="-9"/>
          <w:sz w:val="20"/>
        </w:rPr>
        <w:t> </w:t>
      </w:r>
      <w:r>
        <w:rPr>
          <w:b/>
          <w:sz w:val="20"/>
        </w:rPr>
        <w:t>Description</w:t>
      </w:r>
      <w:r>
        <w:rPr>
          <w:b/>
          <w:spacing w:val="-8"/>
          <w:sz w:val="20"/>
        </w:rPr>
        <w:t> </w:t>
      </w:r>
      <w:r>
        <w:rPr>
          <w:b/>
          <w:sz w:val="20"/>
        </w:rPr>
        <w:t>(limit</w:t>
      </w:r>
      <w:r>
        <w:rPr>
          <w:b/>
          <w:spacing w:val="-7"/>
          <w:sz w:val="20"/>
        </w:rPr>
        <w:t> </w:t>
      </w:r>
      <w:r>
        <w:rPr>
          <w:b/>
          <w:sz w:val="20"/>
        </w:rPr>
        <w:t>25</w:t>
      </w:r>
      <w:r>
        <w:rPr>
          <w:b/>
          <w:spacing w:val="-8"/>
          <w:sz w:val="20"/>
        </w:rPr>
        <w:t> </w:t>
      </w:r>
      <w:r>
        <w:rPr>
          <w:b/>
          <w:spacing w:val="-2"/>
          <w:sz w:val="20"/>
        </w:rPr>
        <w:t>words):</w:t>
      </w:r>
    </w:p>
    <w:p>
      <w:pPr>
        <w:pStyle w:val="BodyText"/>
        <w:spacing w:before="122"/>
        <w:ind w:left="1159" w:right="642"/>
      </w:pPr>
      <w:r>
        <w:rPr/>
        <w:t>Overview of architectural representation media (theories, methods, and materials) used for documentation, analysis, visualization and presentation. Requires hands-on engagement for mastery</w:t>
      </w:r>
      <w:r>
        <w:rPr>
          <w:spacing w:val="-6"/>
        </w:rPr>
        <w:t> </w:t>
      </w:r>
      <w:r>
        <w:rPr/>
        <w:t>of</w:t>
      </w:r>
      <w:r>
        <w:rPr>
          <w:spacing w:val="-1"/>
        </w:rPr>
        <w:t> </w:t>
      </w:r>
      <w:r>
        <w:rPr/>
        <w:t>basic</w:t>
      </w:r>
      <w:r>
        <w:rPr>
          <w:spacing w:val="-2"/>
        </w:rPr>
        <w:t> </w:t>
      </w:r>
      <w:r>
        <w:rPr/>
        <w:t>skills</w:t>
      </w:r>
      <w:r>
        <w:rPr>
          <w:spacing w:val="-2"/>
        </w:rPr>
        <w:t> </w:t>
      </w:r>
      <w:r>
        <w:rPr/>
        <w:t>both</w:t>
      </w:r>
      <w:r>
        <w:rPr>
          <w:spacing w:val="-1"/>
        </w:rPr>
        <w:t> </w:t>
      </w:r>
      <w:r>
        <w:rPr/>
        <w:t>in</w:t>
      </w:r>
      <w:r>
        <w:rPr>
          <w:spacing w:val="-3"/>
        </w:rPr>
        <w:t> </w:t>
      </w:r>
      <w:r>
        <w:rPr/>
        <w:t>2D</w:t>
      </w:r>
      <w:r>
        <w:rPr>
          <w:spacing w:val="-3"/>
        </w:rPr>
        <w:t> </w:t>
      </w:r>
      <w:r>
        <w:rPr/>
        <w:t>and</w:t>
      </w:r>
      <w:r>
        <w:rPr>
          <w:spacing w:val="-3"/>
        </w:rPr>
        <w:t> </w:t>
      </w:r>
      <w:r>
        <w:rPr/>
        <w:t>3D with</w:t>
      </w:r>
      <w:r>
        <w:rPr>
          <w:spacing w:val="-3"/>
        </w:rPr>
        <w:t> </w:t>
      </w:r>
      <w:r>
        <w:rPr/>
        <w:t>emphasis</w:t>
      </w:r>
      <w:r>
        <w:rPr>
          <w:spacing w:val="-2"/>
        </w:rPr>
        <w:t> </w:t>
      </w:r>
      <w:r>
        <w:rPr/>
        <w:t>on</w:t>
      </w:r>
      <w:r>
        <w:rPr>
          <w:spacing w:val="-3"/>
        </w:rPr>
        <w:t> </w:t>
      </w:r>
      <w:r>
        <w:rPr/>
        <w:t>the</w:t>
      </w:r>
      <w:r>
        <w:rPr>
          <w:spacing w:val="-3"/>
        </w:rPr>
        <w:t> </w:t>
      </w:r>
      <w:r>
        <w:rPr/>
        <w:t>digital,</w:t>
      </w:r>
      <w:r>
        <w:rPr>
          <w:spacing w:val="-3"/>
        </w:rPr>
        <w:t> </w:t>
      </w:r>
      <w:r>
        <w:rPr/>
        <w:t>and</w:t>
      </w:r>
      <w:r>
        <w:rPr>
          <w:spacing w:val="-3"/>
        </w:rPr>
        <w:t> </w:t>
      </w:r>
      <w:r>
        <w:rPr/>
        <w:t>building</w:t>
      </w:r>
      <w:r>
        <w:rPr>
          <w:spacing w:val="-3"/>
        </w:rPr>
        <w:t> </w:t>
      </w:r>
      <w:r>
        <w:rPr/>
        <w:t>a</w:t>
      </w:r>
      <w:r>
        <w:rPr>
          <w:spacing w:val="-3"/>
        </w:rPr>
        <w:t> </w:t>
      </w:r>
      <w:r>
        <w:rPr/>
        <w:t>theoretical </w:t>
      </w:r>
      <w:r>
        <w:rPr>
          <w:spacing w:val="-2"/>
        </w:rPr>
        <w:t>foundation.</w:t>
      </w:r>
    </w:p>
    <w:p>
      <w:pPr>
        <w:spacing w:before="117"/>
        <w:ind w:left="440" w:right="0" w:firstLine="0"/>
        <w:jc w:val="left"/>
        <w:rPr>
          <w:b/>
          <w:sz w:val="20"/>
        </w:rPr>
      </w:pPr>
      <w:r>
        <w:rPr>
          <w:b/>
          <w:sz w:val="20"/>
        </w:rPr>
        <w:t>Course</w:t>
      </w:r>
      <w:r>
        <w:rPr>
          <w:b/>
          <w:spacing w:val="-9"/>
          <w:sz w:val="20"/>
        </w:rPr>
        <w:t> </w:t>
      </w:r>
      <w:r>
        <w:rPr>
          <w:b/>
          <w:sz w:val="20"/>
        </w:rPr>
        <w:t>Goals</w:t>
      </w:r>
      <w:r>
        <w:rPr>
          <w:b/>
          <w:spacing w:val="-7"/>
          <w:sz w:val="20"/>
        </w:rPr>
        <w:t> </w:t>
      </w:r>
      <w:r>
        <w:rPr>
          <w:b/>
          <w:sz w:val="20"/>
        </w:rPr>
        <w:t>and</w:t>
      </w:r>
      <w:r>
        <w:rPr>
          <w:b/>
          <w:spacing w:val="-5"/>
          <w:sz w:val="20"/>
        </w:rPr>
        <w:t> </w:t>
      </w:r>
      <w:r>
        <w:rPr>
          <w:b/>
          <w:spacing w:val="-2"/>
          <w:sz w:val="20"/>
        </w:rPr>
        <w:t>Objectives;</w:t>
      </w:r>
    </w:p>
    <w:p>
      <w:pPr>
        <w:pStyle w:val="BodyText"/>
        <w:spacing w:before="123"/>
        <w:ind w:left="1159" w:right="676"/>
      </w:pPr>
      <w:r>
        <w:rPr/>
        <w:t>To define fundamental concepts related to representation in architecture as they are applied in the digital environment, such a geometry, object, layer, composition, attribute, operation, projection,</w:t>
      </w:r>
      <w:r>
        <w:rPr>
          <w:spacing w:val="-5"/>
        </w:rPr>
        <w:t> </w:t>
      </w:r>
      <w:r>
        <w:rPr/>
        <w:t>mass,</w:t>
      </w:r>
      <w:r>
        <w:rPr>
          <w:spacing w:val="-5"/>
        </w:rPr>
        <w:t> </w:t>
      </w:r>
      <w:r>
        <w:rPr/>
        <w:t>depth,</w:t>
      </w:r>
      <w:r>
        <w:rPr>
          <w:spacing w:val="-5"/>
        </w:rPr>
        <w:t> </w:t>
      </w:r>
      <w:r>
        <w:rPr/>
        <w:t>light,</w:t>
      </w:r>
      <w:r>
        <w:rPr>
          <w:spacing w:val="-5"/>
        </w:rPr>
        <w:t> </w:t>
      </w:r>
      <w:r>
        <w:rPr/>
        <w:t>sequence,</w:t>
      </w:r>
      <w:r>
        <w:rPr>
          <w:spacing w:val="-3"/>
        </w:rPr>
        <w:t> </w:t>
      </w:r>
      <w:r>
        <w:rPr/>
        <w:t>grid,</w:t>
      </w:r>
      <w:r>
        <w:rPr>
          <w:spacing w:val="-5"/>
        </w:rPr>
        <w:t> </w:t>
      </w:r>
      <w:r>
        <w:rPr/>
        <w:t>atmosphere,</w:t>
      </w:r>
      <w:r>
        <w:rPr>
          <w:spacing w:val="-5"/>
        </w:rPr>
        <w:t> </w:t>
      </w:r>
      <w:r>
        <w:rPr/>
        <w:t>scale,</w:t>
      </w:r>
      <w:r>
        <w:rPr>
          <w:spacing w:val="-5"/>
        </w:rPr>
        <w:t> </w:t>
      </w:r>
      <w:r>
        <w:rPr/>
        <w:t>texture,</w:t>
      </w:r>
      <w:r>
        <w:rPr>
          <w:spacing w:val="-5"/>
        </w:rPr>
        <w:t> </w:t>
      </w:r>
      <w:r>
        <w:rPr/>
        <w:t>color,</w:t>
      </w:r>
      <w:r>
        <w:rPr>
          <w:spacing w:val="-3"/>
        </w:rPr>
        <w:t> </w:t>
      </w:r>
      <w:r>
        <w:rPr/>
        <w:t>vector</w:t>
      </w:r>
      <w:r>
        <w:rPr>
          <w:spacing w:val="-2"/>
        </w:rPr>
        <w:t> </w:t>
      </w:r>
      <w:r>
        <w:rPr/>
        <w:t>vs.</w:t>
      </w:r>
      <w:r>
        <w:rPr>
          <w:spacing w:val="-5"/>
        </w:rPr>
        <w:t> </w:t>
      </w:r>
      <w:r>
        <w:rPr/>
        <w:t>raster, traditional vs. digital</w:t>
      </w:r>
    </w:p>
    <w:p>
      <w:pPr>
        <w:pStyle w:val="BodyText"/>
        <w:spacing w:line="229" w:lineRule="exact" w:before="2"/>
        <w:ind w:left="1159"/>
      </w:pPr>
      <w:r>
        <w:rPr/>
        <w:t>To</w:t>
      </w:r>
      <w:r>
        <w:rPr>
          <w:spacing w:val="-10"/>
        </w:rPr>
        <w:t> </w:t>
      </w:r>
      <w:r>
        <w:rPr/>
        <w:t>document,</w:t>
      </w:r>
      <w:r>
        <w:rPr>
          <w:spacing w:val="-10"/>
        </w:rPr>
        <w:t> </w:t>
      </w:r>
      <w:r>
        <w:rPr/>
        <w:t>analyze,</w:t>
      </w:r>
      <w:r>
        <w:rPr>
          <w:spacing w:val="-8"/>
        </w:rPr>
        <w:t> </w:t>
      </w:r>
      <w:r>
        <w:rPr/>
        <w:t>and</w:t>
      </w:r>
      <w:r>
        <w:rPr>
          <w:spacing w:val="-8"/>
        </w:rPr>
        <w:t> </w:t>
      </w:r>
      <w:r>
        <w:rPr/>
        <w:t>evaluate</w:t>
      </w:r>
      <w:r>
        <w:rPr>
          <w:spacing w:val="-8"/>
        </w:rPr>
        <w:t> </w:t>
      </w:r>
      <w:r>
        <w:rPr/>
        <w:t>architectural</w:t>
      </w:r>
      <w:r>
        <w:rPr>
          <w:spacing w:val="-8"/>
        </w:rPr>
        <w:t> </w:t>
      </w:r>
      <w:r>
        <w:rPr>
          <w:spacing w:val="-4"/>
        </w:rPr>
        <w:t>work</w:t>
      </w:r>
    </w:p>
    <w:p>
      <w:pPr>
        <w:pStyle w:val="BodyText"/>
        <w:ind w:left="1159" w:right="642"/>
      </w:pPr>
      <w:r>
        <w:rPr/>
        <w:t>To develop design thinking/process, documentation/description, analysis and visualization/communication</w:t>
      </w:r>
      <w:r>
        <w:rPr>
          <w:spacing w:val="-7"/>
        </w:rPr>
        <w:t> </w:t>
      </w:r>
      <w:r>
        <w:rPr/>
        <w:t>skills</w:t>
      </w:r>
      <w:r>
        <w:rPr>
          <w:spacing w:val="-6"/>
        </w:rPr>
        <w:t> </w:t>
      </w:r>
      <w:r>
        <w:rPr/>
        <w:t>through</w:t>
      </w:r>
      <w:r>
        <w:rPr>
          <w:spacing w:val="-7"/>
        </w:rPr>
        <w:t> </w:t>
      </w:r>
      <w:r>
        <w:rPr/>
        <w:t>the</w:t>
      </w:r>
      <w:r>
        <w:rPr>
          <w:spacing w:val="-7"/>
        </w:rPr>
        <w:t> </w:t>
      </w:r>
      <w:r>
        <w:rPr/>
        <w:t>purposeful</w:t>
      </w:r>
      <w:r>
        <w:rPr>
          <w:spacing w:val="-8"/>
        </w:rPr>
        <w:t> </w:t>
      </w:r>
      <w:r>
        <w:rPr/>
        <w:t>generation,</w:t>
      </w:r>
      <w:r>
        <w:rPr>
          <w:spacing w:val="-5"/>
        </w:rPr>
        <w:t> </w:t>
      </w:r>
      <w:r>
        <w:rPr/>
        <w:t>development,</w:t>
      </w:r>
      <w:r>
        <w:rPr>
          <w:spacing w:val="-7"/>
        </w:rPr>
        <w:t> </w:t>
      </w:r>
      <w:r>
        <w:rPr/>
        <w:t>and manipulation of digital images using appropriate software</w:t>
      </w:r>
    </w:p>
    <w:p>
      <w:pPr>
        <w:pStyle w:val="BodyText"/>
        <w:spacing w:before="1"/>
        <w:ind w:left="1159"/>
      </w:pPr>
      <w:r>
        <w:rPr/>
        <w:t>To</w:t>
      </w:r>
      <w:r>
        <w:rPr>
          <w:spacing w:val="-8"/>
        </w:rPr>
        <w:t> </w:t>
      </w:r>
      <w:r>
        <w:rPr/>
        <w:t>build</w:t>
      </w:r>
      <w:r>
        <w:rPr>
          <w:spacing w:val="-6"/>
        </w:rPr>
        <w:t> </w:t>
      </w:r>
      <w:r>
        <w:rPr/>
        <w:t>experience</w:t>
      </w:r>
      <w:r>
        <w:rPr>
          <w:spacing w:val="-6"/>
        </w:rPr>
        <w:t> </w:t>
      </w:r>
      <w:r>
        <w:rPr/>
        <w:t>dealing</w:t>
      </w:r>
      <w:r>
        <w:rPr>
          <w:spacing w:val="-6"/>
        </w:rPr>
        <w:t> </w:t>
      </w:r>
      <w:r>
        <w:rPr/>
        <w:t>with</w:t>
      </w:r>
      <w:r>
        <w:rPr>
          <w:spacing w:val="-5"/>
        </w:rPr>
        <w:t> </w:t>
      </w:r>
      <w:r>
        <w:rPr/>
        <w:t>input/output</w:t>
      </w:r>
      <w:r>
        <w:rPr>
          <w:spacing w:val="-6"/>
        </w:rPr>
        <w:t> </w:t>
      </w:r>
      <w:r>
        <w:rPr/>
        <w:t>processes,</w:t>
      </w:r>
      <w:r>
        <w:rPr>
          <w:spacing w:val="-8"/>
        </w:rPr>
        <w:t> </w:t>
      </w:r>
      <w:r>
        <w:rPr/>
        <w:t>to</w:t>
      </w:r>
      <w:r>
        <w:rPr>
          <w:spacing w:val="-7"/>
        </w:rPr>
        <w:t> </w:t>
      </w:r>
      <w:r>
        <w:rPr/>
        <w:t>be</w:t>
      </w:r>
      <w:r>
        <w:rPr>
          <w:spacing w:val="-6"/>
        </w:rPr>
        <w:t> </w:t>
      </w:r>
      <w:r>
        <w:rPr/>
        <w:t>transferred</w:t>
      </w:r>
      <w:r>
        <w:rPr>
          <w:spacing w:val="-8"/>
        </w:rPr>
        <w:t> </w:t>
      </w:r>
      <w:r>
        <w:rPr/>
        <w:t>to</w:t>
      </w:r>
      <w:r>
        <w:rPr>
          <w:spacing w:val="-7"/>
        </w:rPr>
        <w:t> </w:t>
      </w:r>
      <w:r>
        <w:rPr/>
        <w:t>the</w:t>
      </w:r>
      <w:r>
        <w:rPr>
          <w:spacing w:val="-6"/>
        </w:rPr>
        <w:t> </w:t>
      </w:r>
      <w:r>
        <w:rPr/>
        <w:t>design</w:t>
      </w:r>
      <w:r>
        <w:rPr>
          <w:spacing w:val="-8"/>
        </w:rPr>
        <w:t> </w:t>
      </w:r>
      <w:r>
        <w:rPr>
          <w:spacing w:val="-2"/>
        </w:rPr>
        <w:t>studio</w:t>
      </w:r>
    </w:p>
    <w:p>
      <w:pPr>
        <w:spacing w:before="118"/>
        <w:ind w:left="439" w:right="0" w:firstLine="0"/>
        <w:jc w:val="left"/>
        <w:rPr>
          <w:b/>
          <w:sz w:val="20"/>
        </w:rPr>
      </w:pPr>
      <w:r>
        <w:rPr>
          <w:b/>
          <w:sz w:val="20"/>
        </w:rPr>
        <w:t>Student</w:t>
      </w:r>
      <w:r>
        <w:rPr>
          <w:b/>
          <w:spacing w:val="-9"/>
          <w:sz w:val="20"/>
        </w:rPr>
        <w:t> </w:t>
      </w:r>
      <w:r>
        <w:rPr>
          <w:b/>
          <w:sz w:val="20"/>
        </w:rPr>
        <w:t>Performance</w:t>
      </w:r>
      <w:r>
        <w:rPr>
          <w:b/>
          <w:spacing w:val="-9"/>
          <w:sz w:val="20"/>
        </w:rPr>
        <w:t> </w:t>
      </w:r>
      <w:r>
        <w:rPr>
          <w:b/>
          <w:sz w:val="20"/>
        </w:rPr>
        <w:t>Criteria</w:t>
      </w:r>
      <w:r>
        <w:rPr>
          <w:b/>
          <w:spacing w:val="-5"/>
          <w:sz w:val="20"/>
        </w:rPr>
        <w:t> </w:t>
      </w:r>
      <w:r>
        <w:rPr>
          <w:b/>
          <w:sz w:val="20"/>
        </w:rPr>
        <w:t>Addressed</w:t>
      </w:r>
      <w:r>
        <w:rPr>
          <w:b/>
          <w:spacing w:val="-8"/>
          <w:sz w:val="20"/>
        </w:rPr>
        <w:t> </w:t>
      </w:r>
      <w:r>
        <w:rPr>
          <w:b/>
          <w:sz w:val="20"/>
        </w:rPr>
        <w:t>(name</w:t>
      </w:r>
      <w:r>
        <w:rPr>
          <w:b/>
          <w:spacing w:val="-9"/>
          <w:sz w:val="20"/>
        </w:rPr>
        <w:t> </w:t>
      </w:r>
      <w:r>
        <w:rPr>
          <w:b/>
          <w:sz w:val="20"/>
        </w:rPr>
        <w:t>and</w:t>
      </w:r>
      <w:r>
        <w:rPr>
          <w:b/>
          <w:spacing w:val="-8"/>
          <w:sz w:val="20"/>
        </w:rPr>
        <w:t> </w:t>
      </w:r>
      <w:r>
        <w:rPr>
          <w:b/>
          <w:spacing w:val="-2"/>
          <w:sz w:val="20"/>
        </w:rPr>
        <w:t>number)</w:t>
      </w:r>
    </w:p>
    <w:p>
      <w:pPr>
        <w:pStyle w:val="ListParagraph"/>
        <w:numPr>
          <w:ilvl w:val="1"/>
          <w:numId w:val="46"/>
        </w:numPr>
        <w:tabs>
          <w:tab w:pos="1879" w:val="left" w:leader="none"/>
          <w:tab w:pos="1880" w:val="left" w:leader="none"/>
        </w:tabs>
        <w:spacing w:line="240" w:lineRule="auto" w:before="123" w:after="0"/>
        <w:ind w:left="1159" w:right="6027" w:firstLine="0"/>
        <w:jc w:val="left"/>
        <w:rPr>
          <w:sz w:val="20"/>
        </w:rPr>
      </w:pPr>
      <w:r>
        <w:rPr>
          <w:sz w:val="20"/>
        </w:rPr>
        <w:t>Visual</w:t>
      </w:r>
      <w:r>
        <w:rPr>
          <w:spacing w:val="-14"/>
          <w:sz w:val="20"/>
        </w:rPr>
        <w:t> </w:t>
      </w:r>
      <w:r>
        <w:rPr>
          <w:sz w:val="20"/>
        </w:rPr>
        <w:t>Communication</w:t>
      </w:r>
      <w:r>
        <w:rPr>
          <w:spacing w:val="-14"/>
          <w:sz w:val="20"/>
        </w:rPr>
        <w:t> </w:t>
      </w:r>
      <w:r>
        <w:rPr>
          <w:sz w:val="20"/>
        </w:rPr>
        <w:t>Skills </w:t>
      </w:r>
      <w:r>
        <w:rPr>
          <w:spacing w:val="-4"/>
          <w:sz w:val="20"/>
        </w:rPr>
        <w:t>A-4</w:t>
      </w:r>
      <w:r>
        <w:rPr>
          <w:sz w:val="20"/>
        </w:rPr>
        <w:tab/>
        <w:t>Technical Documentation</w:t>
      </w:r>
    </w:p>
    <w:p>
      <w:pPr>
        <w:pStyle w:val="BodyText"/>
        <w:tabs>
          <w:tab w:pos="1879" w:val="left" w:leader="none"/>
        </w:tabs>
        <w:spacing w:line="229" w:lineRule="exact"/>
        <w:ind w:left="1159"/>
      </w:pPr>
      <w:r>
        <w:rPr>
          <w:w w:val="95"/>
        </w:rPr>
        <w:t>C-</w:t>
      </w:r>
      <w:r>
        <w:rPr>
          <w:spacing w:val="-10"/>
        </w:rPr>
        <w:t>7</w:t>
      </w:r>
      <w:r>
        <w:rPr/>
        <w:tab/>
        <w:t>Legal</w:t>
      </w:r>
      <w:r>
        <w:rPr>
          <w:spacing w:val="-8"/>
        </w:rPr>
        <w:t> </w:t>
      </w:r>
      <w:r>
        <w:rPr>
          <w:spacing w:val="-2"/>
        </w:rPr>
        <w:t>Responsibilities</w:t>
      </w:r>
    </w:p>
    <w:p>
      <w:pPr>
        <w:spacing w:before="118"/>
        <w:ind w:left="439" w:right="0" w:firstLine="0"/>
        <w:jc w:val="left"/>
        <w:rPr>
          <w:b/>
          <w:sz w:val="20"/>
        </w:rPr>
      </w:pPr>
      <w:r>
        <w:rPr>
          <w:b/>
          <w:sz w:val="20"/>
        </w:rPr>
        <w:t>Topical</w:t>
      </w:r>
      <w:r>
        <w:rPr>
          <w:b/>
          <w:spacing w:val="-7"/>
          <w:sz w:val="20"/>
        </w:rPr>
        <w:t> </w:t>
      </w:r>
      <w:r>
        <w:rPr>
          <w:b/>
          <w:sz w:val="20"/>
        </w:rPr>
        <w:t>Outline</w:t>
      </w:r>
      <w:r>
        <w:rPr>
          <w:b/>
          <w:spacing w:val="-7"/>
          <w:sz w:val="20"/>
        </w:rPr>
        <w:t> </w:t>
      </w:r>
      <w:r>
        <w:rPr>
          <w:b/>
          <w:sz w:val="20"/>
        </w:rPr>
        <w:t>and</w:t>
      </w:r>
      <w:r>
        <w:rPr>
          <w:b/>
          <w:spacing w:val="-6"/>
          <w:sz w:val="20"/>
        </w:rPr>
        <w:t> </w:t>
      </w:r>
      <w:r>
        <w:rPr>
          <w:b/>
          <w:sz w:val="20"/>
        </w:rPr>
        <w:t>percentage</w:t>
      </w:r>
      <w:r>
        <w:rPr>
          <w:b/>
          <w:spacing w:val="-6"/>
          <w:sz w:val="20"/>
        </w:rPr>
        <w:t> </w:t>
      </w:r>
      <w:r>
        <w:rPr>
          <w:b/>
          <w:sz w:val="20"/>
        </w:rPr>
        <w:t>of</w:t>
      </w:r>
      <w:r>
        <w:rPr>
          <w:b/>
          <w:spacing w:val="-6"/>
          <w:sz w:val="20"/>
        </w:rPr>
        <w:t> </w:t>
      </w:r>
      <w:r>
        <w:rPr>
          <w:b/>
          <w:sz w:val="20"/>
        </w:rPr>
        <w:t>time</w:t>
      </w:r>
      <w:r>
        <w:rPr>
          <w:b/>
          <w:spacing w:val="-7"/>
          <w:sz w:val="20"/>
        </w:rPr>
        <w:t> </w:t>
      </w:r>
      <w:r>
        <w:rPr>
          <w:b/>
          <w:sz w:val="20"/>
        </w:rPr>
        <w:t>spent</w:t>
      </w:r>
      <w:r>
        <w:rPr>
          <w:b/>
          <w:spacing w:val="-6"/>
          <w:sz w:val="20"/>
        </w:rPr>
        <w:t> </w:t>
      </w:r>
      <w:r>
        <w:rPr>
          <w:b/>
          <w:sz w:val="20"/>
        </w:rPr>
        <w:t>on</w:t>
      </w:r>
      <w:r>
        <w:rPr>
          <w:b/>
          <w:spacing w:val="-5"/>
          <w:sz w:val="20"/>
        </w:rPr>
        <w:t> </w:t>
      </w:r>
      <w:r>
        <w:rPr>
          <w:b/>
          <w:spacing w:val="-4"/>
          <w:sz w:val="20"/>
        </w:rPr>
        <w:t>each</w:t>
      </w:r>
    </w:p>
    <w:p>
      <w:pPr>
        <w:pStyle w:val="BodyText"/>
        <w:spacing w:before="122"/>
        <w:ind w:left="1159" w:right="6024"/>
      </w:pPr>
      <w:r>
        <w:rPr/>
        <w:t>Lectures</w:t>
      </w:r>
      <w:r>
        <w:rPr>
          <w:spacing w:val="-14"/>
        </w:rPr>
        <w:t> </w:t>
      </w:r>
      <w:r>
        <w:rPr/>
        <w:t>and</w:t>
      </w:r>
      <w:r>
        <w:rPr>
          <w:spacing w:val="-14"/>
        </w:rPr>
        <w:t> </w:t>
      </w:r>
      <w:r>
        <w:rPr/>
        <w:t>Demonstrations</w:t>
      </w:r>
      <w:r>
        <w:rPr>
          <w:spacing w:val="-13"/>
        </w:rPr>
        <w:t> </w:t>
      </w:r>
      <w:r>
        <w:rPr/>
        <w:t>(60%) Student Projects (40%)</w:t>
      </w:r>
    </w:p>
    <w:p>
      <w:pPr>
        <w:pStyle w:val="BodyText"/>
        <w:spacing w:line="229" w:lineRule="exact"/>
        <w:ind w:left="1159"/>
      </w:pPr>
      <w:r>
        <w:rPr/>
        <w:t>Test</w:t>
      </w:r>
      <w:r>
        <w:rPr>
          <w:spacing w:val="-7"/>
        </w:rPr>
        <w:t> </w:t>
      </w:r>
      <w:r>
        <w:rPr/>
        <w:t>and</w:t>
      </w:r>
      <w:r>
        <w:rPr>
          <w:spacing w:val="-7"/>
        </w:rPr>
        <w:t> </w:t>
      </w:r>
      <w:r>
        <w:rPr/>
        <w:t>Quizzes</w:t>
      </w:r>
      <w:r>
        <w:rPr>
          <w:spacing w:val="-3"/>
        </w:rPr>
        <w:t> </w:t>
      </w:r>
      <w:r>
        <w:rPr>
          <w:spacing w:val="-4"/>
        </w:rPr>
        <w:t>(10%)</w:t>
      </w:r>
    </w:p>
    <w:p>
      <w:pPr>
        <w:spacing w:before="118"/>
        <w:ind w:left="439" w:right="0" w:firstLine="0"/>
        <w:jc w:val="left"/>
        <w:rPr>
          <w:b/>
          <w:sz w:val="20"/>
        </w:rPr>
      </w:pPr>
      <w:r>
        <w:rPr>
          <w:b/>
          <w:w w:val="95"/>
          <w:sz w:val="20"/>
        </w:rPr>
        <w:t>Pre-</w:t>
      </w:r>
      <w:r>
        <w:rPr>
          <w:b/>
          <w:spacing w:val="-2"/>
          <w:sz w:val="20"/>
        </w:rPr>
        <w:t>requisites</w:t>
      </w:r>
    </w:p>
    <w:p>
      <w:pPr>
        <w:pStyle w:val="BodyText"/>
        <w:spacing w:before="123"/>
        <w:ind w:left="1158"/>
      </w:pPr>
      <w:r>
        <w:rPr/>
        <w:t>ARC</w:t>
      </w:r>
      <w:r>
        <w:rPr>
          <w:spacing w:val="-6"/>
        </w:rPr>
        <w:t> </w:t>
      </w:r>
      <w:r>
        <w:rPr/>
        <w:t>101</w:t>
      </w:r>
      <w:r>
        <w:rPr>
          <w:spacing w:val="-3"/>
        </w:rPr>
        <w:t> </w:t>
      </w:r>
      <w:r>
        <w:rPr/>
        <w:t>and</w:t>
      </w:r>
      <w:r>
        <w:rPr>
          <w:spacing w:val="-4"/>
        </w:rPr>
        <w:t> </w:t>
      </w:r>
      <w:r>
        <w:rPr/>
        <w:t>102</w:t>
      </w:r>
      <w:r>
        <w:rPr>
          <w:spacing w:val="-5"/>
        </w:rPr>
        <w:t> </w:t>
      </w:r>
      <w:r>
        <w:rPr/>
        <w:t>or</w:t>
      </w:r>
      <w:r>
        <w:rPr>
          <w:spacing w:val="-4"/>
        </w:rPr>
        <w:t> </w:t>
      </w:r>
      <w:r>
        <w:rPr/>
        <w:t>permission</w:t>
      </w:r>
      <w:r>
        <w:rPr>
          <w:spacing w:val="-6"/>
        </w:rPr>
        <w:t> </w:t>
      </w:r>
      <w:r>
        <w:rPr/>
        <w:t>of</w:t>
      </w:r>
      <w:r>
        <w:rPr>
          <w:spacing w:val="-3"/>
        </w:rPr>
        <w:t> </w:t>
      </w:r>
      <w:r>
        <w:rPr/>
        <w:t>the</w:t>
      </w:r>
      <w:r>
        <w:rPr>
          <w:spacing w:val="-6"/>
        </w:rPr>
        <w:t> </w:t>
      </w:r>
      <w:r>
        <w:rPr>
          <w:spacing w:val="-2"/>
        </w:rPr>
        <w:t>faculty</w:t>
      </w:r>
    </w:p>
    <w:p>
      <w:pPr>
        <w:spacing w:before="118"/>
        <w:ind w:left="439" w:right="0" w:firstLine="0"/>
        <w:jc w:val="left"/>
        <w:rPr>
          <w:b/>
          <w:sz w:val="20"/>
        </w:rPr>
      </w:pPr>
      <w:r>
        <w:rPr>
          <w:b/>
          <w:sz w:val="20"/>
        </w:rPr>
        <w:t>Textbooks</w:t>
      </w:r>
      <w:r>
        <w:rPr>
          <w:b/>
          <w:spacing w:val="-11"/>
          <w:sz w:val="20"/>
        </w:rPr>
        <w:t> </w:t>
      </w:r>
      <w:r>
        <w:rPr>
          <w:b/>
          <w:sz w:val="20"/>
        </w:rPr>
        <w:t>/</w:t>
      </w:r>
      <w:r>
        <w:rPr>
          <w:b/>
          <w:spacing w:val="-9"/>
          <w:sz w:val="20"/>
        </w:rPr>
        <w:t> </w:t>
      </w:r>
      <w:r>
        <w:rPr>
          <w:b/>
          <w:sz w:val="20"/>
        </w:rPr>
        <w:t>Learning</w:t>
      </w:r>
      <w:r>
        <w:rPr>
          <w:b/>
          <w:spacing w:val="-7"/>
          <w:sz w:val="20"/>
        </w:rPr>
        <w:t> </w:t>
      </w:r>
      <w:r>
        <w:rPr>
          <w:b/>
          <w:spacing w:val="-2"/>
          <w:sz w:val="20"/>
        </w:rPr>
        <w:t>Resources</w:t>
      </w:r>
    </w:p>
    <w:p>
      <w:pPr>
        <w:spacing w:line="242" w:lineRule="auto" w:before="121"/>
        <w:ind w:left="1158" w:right="642" w:firstLine="0"/>
        <w:jc w:val="left"/>
        <w:rPr>
          <w:sz w:val="20"/>
        </w:rPr>
      </w:pPr>
      <w:r>
        <w:rPr>
          <w:i/>
          <w:sz w:val="20"/>
        </w:rPr>
        <w:t>Basic</w:t>
      </w:r>
      <w:r>
        <w:rPr>
          <w:i/>
          <w:spacing w:val="-1"/>
          <w:sz w:val="20"/>
        </w:rPr>
        <w:t> </w:t>
      </w:r>
      <w:r>
        <w:rPr>
          <w:i/>
          <w:sz w:val="20"/>
        </w:rPr>
        <w:t>Architecture</w:t>
      </w:r>
      <w:r>
        <w:rPr>
          <w:i/>
          <w:spacing w:val="-5"/>
          <w:sz w:val="20"/>
        </w:rPr>
        <w:t> </w:t>
      </w:r>
      <w:r>
        <w:rPr>
          <w:i/>
          <w:sz w:val="20"/>
        </w:rPr>
        <w:t>01,</w:t>
      </w:r>
      <w:r>
        <w:rPr>
          <w:i/>
          <w:spacing w:val="-5"/>
          <w:sz w:val="20"/>
        </w:rPr>
        <w:t> </w:t>
      </w:r>
      <w:r>
        <w:rPr>
          <w:i/>
          <w:sz w:val="20"/>
        </w:rPr>
        <w:t>Representational</w:t>
      </w:r>
      <w:r>
        <w:rPr>
          <w:i/>
          <w:spacing w:val="-4"/>
          <w:sz w:val="20"/>
        </w:rPr>
        <w:t> </w:t>
      </w:r>
      <w:r>
        <w:rPr>
          <w:i/>
          <w:sz w:val="20"/>
        </w:rPr>
        <w:t>Techniques</w:t>
      </w:r>
      <w:r>
        <w:rPr>
          <w:sz w:val="20"/>
        </w:rPr>
        <w:t>,</w:t>
      </w:r>
      <w:r>
        <w:rPr>
          <w:spacing w:val="-5"/>
          <w:sz w:val="20"/>
        </w:rPr>
        <w:t> </w:t>
      </w:r>
      <w:r>
        <w:rPr>
          <w:sz w:val="20"/>
        </w:rPr>
        <w:t>by</w:t>
      </w:r>
      <w:r>
        <w:rPr>
          <w:spacing w:val="-6"/>
          <w:sz w:val="20"/>
        </w:rPr>
        <w:t> </w:t>
      </w:r>
      <w:r>
        <w:rPr>
          <w:sz w:val="20"/>
        </w:rPr>
        <w:t>Lorraine</w:t>
      </w:r>
      <w:r>
        <w:rPr>
          <w:spacing w:val="-5"/>
          <w:sz w:val="20"/>
        </w:rPr>
        <w:t> </w:t>
      </w:r>
      <w:r>
        <w:rPr>
          <w:sz w:val="20"/>
        </w:rPr>
        <w:t>Farrelly,</w:t>
      </w:r>
      <w:r>
        <w:rPr>
          <w:spacing w:val="-5"/>
          <w:sz w:val="20"/>
        </w:rPr>
        <w:t> </w:t>
      </w:r>
      <w:r>
        <w:rPr>
          <w:sz w:val="20"/>
        </w:rPr>
        <w:t>ISBN</w:t>
      </w:r>
      <w:r>
        <w:rPr>
          <w:spacing w:val="-2"/>
          <w:sz w:val="20"/>
        </w:rPr>
        <w:t> </w:t>
      </w:r>
      <w:r>
        <w:rPr>
          <w:sz w:val="20"/>
        </w:rPr>
        <w:t>–</w:t>
      </w:r>
      <w:r>
        <w:rPr>
          <w:spacing w:val="-3"/>
          <w:sz w:val="20"/>
        </w:rPr>
        <w:t> </w:t>
      </w:r>
      <w:r>
        <w:rPr>
          <w:sz w:val="20"/>
        </w:rPr>
        <w:t>13:</w:t>
      </w:r>
      <w:r>
        <w:rPr>
          <w:spacing w:val="-5"/>
          <w:sz w:val="20"/>
        </w:rPr>
        <w:t> </w:t>
      </w:r>
      <w:r>
        <w:rPr>
          <w:sz w:val="20"/>
        </w:rPr>
        <w:t>978- </w:t>
      </w:r>
      <w:r>
        <w:rPr>
          <w:spacing w:val="-2"/>
          <w:sz w:val="20"/>
        </w:rPr>
        <w:t>2940373628</w:t>
      </w:r>
    </w:p>
    <w:p>
      <w:pPr>
        <w:pStyle w:val="BodyText"/>
        <w:ind w:left="1158" w:right="642"/>
      </w:pPr>
      <w:r>
        <w:rPr/>
        <w:t>Students</w:t>
      </w:r>
      <w:r>
        <w:rPr>
          <w:spacing w:val="-4"/>
        </w:rPr>
        <w:t> </w:t>
      </w:r>
      <w:r>
        <w:rPr/>
        <w:t>are</w:t>
      </w:r>
      <w:r>
        <w:rPr>
          <w:spacing w:val="-5"/>
        </w:rPr>
        <w:t> </w:t>
      </w:r>
      <w:r>
        <w:rPr/>
        <w:t>required</w:t>
      </w:r>
      <w:r>
        <w:rPr>
          <w:spacing w:val="-4"/>
        </w:rPr>
        <w:t> </w:t>
      </w:r>
      <w:r>
        <w:rPr/>
        <w:t>to</w:t>
      </w:r>
      <w:r>
        <w:rPr>
          <w:spacing w:val="-4"/>
        </w:rPr>
        <w:t> </w:t>
      </w:r>
      <w:r>
        <w:rPr/>
        <w:t>have</w:t>
      </w:r>
      <w:r>
        <w:rPr>
          <w:spacing w:val="-4"/>
        </w:rPr>
        <w:t> </w:t>
      </w:r>
      <w:r>
        <w:rPr/>
        <w:t>laptops</w:t>
      </w:r>
      <w:r>
        <w:rPr>
          <w:spacing w:val="-2"/>
        </w:rPr>
        <w:t> </w:t>
      </w:r>
      <w:r>
        <w:rPr/>
        <w:t>with</w:t>
      </w:r>
      <w:r>
        <w:rPr>
          <w:spacing w:val="-4"/>
        </w:rPr>
        <w:t> </w:t>
      </w:r>
      <w:r>
        <w:rPr/>
        <w:t>Adobe</w:t>
      </w:r>
      <w:r>
        <w:rPr>
          <w:spacing w:val="-4"/>
        </w:rPr>
        <w:t> </w:t>
      </w:r>
      <w:r>
        <w:rPr/>
        <w:t>Creative</w:t>
      </w:r>
      <w:r>
        <w:rPr>
          <w:spacing w:val="-5"/>
        </w:rPr>
        <w:t> </w:t>
      </w:r>
      <w:r>
        <w:rPr/>
        <w:t>Suites,</w:t>
      </w:r>
      <w:r>
        <w:rPr>
          <w:spacing w:val="-5"/>
        </w:rPr>
        <w:t> </w:t>
      </w:r>
      <w:r>
        <w:rPr/>
        <w:t>AutoCAD</w:t>
      </w:r>
      <w:r>
        <w:rPr>
          <w:spacing w:val="-3"/>
        </w:rPr>
        <w:t> </w:t>
      </w:r>
      <w:r>
        <w:rPr/>
        <w:t>Revit,</w:t>
      </w:r>
      <w:r>
        <w:rPr>
          <w:spacing w:val="-4"/>
        </w:rPr>
        <w:t> </w:t>
      </w:r>
      <w:r>
        <w:rPr/>
        <w:t>Microsoft Office, and SketchUp.</w:t>
      </w:r>
    </w:p>
    <w:p>
      <w:pPr>
        <w:pStyle w:val="BodyText"/>
        <w:ind w:left="1158"/>
      </w:pPr>
      <w:r>
        <w:rPr/>
        <w:t>Students</w:t>
      </w:r>
      <w:r>
        <w:rPr>
          <w:spacing w:val="-6"/>
        </w:rPr>
        <w:t> </w:t>
      </w:r>
      <w:r>
        <w:rPr/>
        <w:t>are</w:t>
      </w:r>
      <w:r>
        <w:rPr>
          <w:spacing w:val="-7"/>
        </w:rPr>
        <w:t> </w:t>
      </w:r>
      <w:r>
        <w:rPr/>
        <w:t>required</w:t>
      </w:r>
      <w:r>
        <w:rPr>
          <w:spacing w:val="-5"/>
        </w:rPr>
        <w:t> </w:t>
      </w:r>
      <w:r>
        <w:rPr/>
        <w:t>to</w:t>
      </w:r>
      <w:r>
        <w:rPr>
          <w:spacing w:val="-5"/>
        </w:rPr>
        <w:t> </w:t>
      </w:r>
      <w:r>
        <w:rPr/>
        <w:t>become</w:t>
      </w:r>
      <w:r>
        <w:rPr>
          <w:spacing w:val="42"/>
        </w:rPr>
        <w:t> </w:t>
      </w:r>
      <w:r>
        <w:rPr/>
        <w:t>members</w:t>
      </w:r>
      <w:r>
        <w:rPr>
          <w:spacing w:val="-6"/>
        </w:rPr>
        <w:t> </w:t>
      </w:r>
      <w:r>
        <w:rPr/>
        <w:t>of</w:t>
      </w:r>
      <w:r>
        <w:rPr>
          <w:spacing w:val="-5"/>
        </w:rPr>
        <w:t> </w:t>
      </w:r>
      <w:r>
        <w:rPr/>
        <w:t>Yahoo</w:t>
      </w:r>
      <w:r>
        <w:rPr>
          <w:spacing w:val="-5"/>
        </w:rPr>
        <w:t> </w:t>
      </w:r>
      <w:r>
        <w:rPr/>
        <w:t>Group:</w:t>
      </w:r>
      <w:r>
        <w:rPr>
          <w:spacing w:val="-6"/>
        </w:rPr>
        <w:t> </w:t>
      </w:r>
      <w:r>
        <w:rPr>
          <w:spacing w:val="-2"/>
        </w:rPr>
        <w:t>HUARCREP</w:t>
      </w:r>
    </w:p>
    <w:p>
      <w:pPr>
        <w:spacing w:before="115"/>
        <w:ind w:left="438" w:right="0" w:firstLine="0"/>
        <w:jc w:val="left"/>
        <w:rPr>
          <w:b/>
          <w:sz w:val="20"/>
        </w:rPr>
      </w:pPr>
      <w:r>
        <w:rPr>
          <w:b/>
          <w:sz w:val="20"/>
        </w:rPr>
        <w:t>Offered</w:t>
      </w:r>
      <w:r>
        <w:rPr>
          <w:b/>
          <w:spacing w:val="-10"/>
          <w:sz w:val="20"/>
        </w:rPr>
        <w:t> </w:t>
      </w:r>
      <w:r>
        <w:rPr>
          <w:b/>
          <w:spacing w:val="-2"/>
          <w:sz w:val="20"/>
        </w:rPr>
        <w:t>(terms):</w:t>
      </w:r>
    </w:p>
    <w:p>
      <w:pPr>
        <w:pStyle w:val="BodyText"/>
        <w:spacing w:before="123"/>
        <w:ind w:left="1158"/>
      </w:pPr>
      <w:r>
        <w:rPr/>
        <w:t>Fall</w:t>
      </w:r>
      <w:r>
        <w:rPr>
          <w:spacing w:val="-7"/>
        </w:rPr>
        <w:t> </w:t>
      </w:r>
      <w:r>
        <w:rPr/>
        <w:t>Semester</w:t>
      </w:r>
      <w:r>
        <w:rPr>
          <w:spacing w:val="-7"/>
        </w:rPr>
        <w:t> </w:t>
      </w:r>
      <w:r>
        <w:rPr>
          <w:spacing w:val="-4"/>
        </w:rPr>
        <w:t>only</w:t>
      </w:r>
    </w:p>
    <w:p>
      <w:pPr>
        <w:spacing w:before="118"/>
        <w:ind w:left="438" w:right="0" w:firstLine="0"/>
        <w:jc w:val="left"/>
        <w:rPr>
          <w:b/>
          <w:sz w:val="20"/>
        </w:rPr>
      </w:pPr>
      <w:r>
        <w:rPr>
          <w:b/>
          <w:sz w:val="20"/>
        </w:rPr>
        <w:t>Faculty</w:t>
      </w:r>
      <w:r>
        <w:rPr>
          <w:b/>
          <w:spacing w:val="-8"/>
          <w:sz w:val="20"/>
        </w:rPr>
        <w:t> </w:t>
      </w:r>
      <w:r>
        <w:rPr>
          <w:b/>
          <w:spacing w:val="-2"/>
          <w:sz w:val="20"/>
        </w:rPr>
        <w:t>Assigned</w:t>
      </w:r>
    </w:p>
    <w:p>
      <w:pPr>
        <w:pStyle w:val="BodyText"/>
        <w:spacing w:before="120"/>
        <w:ind w:left="1158" w:right="7005"/>
      </w:pPr>
      <w:r>
        <w:rPr/>
        <w:t>2014</w:t>
      </w:r>
      <w:r>
        <w:rPr>
          <w:spacing w:val="-13"/>
        </w:rPr>
        <w:t> </w:t>
      </w:r>
      <w:r>
        <w:rPr/>
        <w:t>–</w:t>
      </w:r>
      <w:r>
        <w:rPr>
          <w:spacing w:val="-14"/>
        </w:rPr>
        <w:t> </w:t>
      </w:r>
      <w:r>
        <w:rPr/>
        <w:t>Turner</w:t>
      </w:r>
      <w:r>
        <w:rPr>
          <w:spacing w:val="-13"/>
        </w:rPr>
        <w:t> </w:t>
      </w:r>
      <w:r>
        <w:rPr/>
        <w:t>(Adjunct) 2013 – Turner (F/T)</w:t>
      </w:r>
    </w:p>
    <w:p>
      <w:pPr>
        <w:spacing w:after="0"/>
        <w:sectPr>
          <w:headerReference w:type="default" r:id="rId191"/>
          <w:footerReference w:type="default" r:id="rId192"/>
          <w:pgSz w:w="12240" w:h="15840"/>
          <w:pgMar w:header="993" w:footer="974" w:top="1240" w:bottom="1160" w:left="1000" w:right="820"/>
        </w:sectPr>
      </w:pPr>
    </w:p>
    <w:p>
      <w:pPr>
        <w:spacing w:before="115"/>
        <w:ind w:left="440" w:right="0" w:firstLine="0"/>
        <w:jc w:val="left"/>
        <w:rPr>
          <w:b/>
          <w:sz w:val="20"/>
        </w:rPr>
      </w:pPr>
      <w:r>
        <w:rPr>
          <w:b/>
          <w:sz w:val="20"/>
        </w:rPr>
        <w:t>Course</w:t>
      </w:r>
      <w:r>
        <w:rPr>
          <w:b/>
          <w:spacing w:val="-9"/>
          <w:sz w:val="20"/>
        </w:rPr>
        <w:t> </w:t>
      </w:r>
      <w:r>
        <w:rPr>
          <w:b/>
          <w:sz w:val="20"/>
        </w:rPr>
        <w:t>Description</w:t>
      </w:r>
      <w:r>
        <w:rPr>
          <w:b/>
          <w:spacing w:val="-8"/>
          <w:sz w:val="20"/>
        </w:rPr>
        <w:t> </w:t>
      </w:r>
      <w:r>
        <w:rPr>
          <w:b/>
          <w:sz w:val="20"/>
        </w:rPr>
        <w:t>(limit</w:t>
      </w:r>
      <w:r>
        <w:rPr>
          <w:b/>
          <w:spacing w:val="-7"/>
          <w:sz w:val="20"/>
        </w:rPr>
        <w:t> </w:t>
      </w:r>
      <w:r>
        <w:rPr>
          <w:b/>
          <w:sz w:val="20"/>
        </w:rPr>
        <w:t>25</w:t>
      </w:r>
      <w:r>
        <w:rPr>
          <w:b/>
          <w:spacing w:val="-8"/>
          <w:sz w:val="20"/>
        </w:rPr>
        <w:t> </w:t>
      </w:r>
      <w:r>
        <w:rPr>
          <w:b/>
          <w:spacing w:val="-2"/>
          <w:sz w:val="20"/>
        </w:rPr>
        <w:t>words):</w:t>
      </w:r>
    </w:p>
    <w:p>
      <w:pPr>
        <w:pStyle w:val="BodyText"/>
        <w:spacing w:before="122"/>
        <w:ind w:left="1159" w:right="642"/>
      </w:pPr>
      <w:r>
        <w:rPr/>
        <w:t>Further development of architectural representational skills focusing on digital 3D modeling, parametric</w:t>
      </w:r>
      <w:r>
        <w:rPr>
          <w:spacing w:val="-6"/>
        </w:rPr>
        <w:t> </w:t>
      </w:r>
      <w:r>
        <w:rPr/>
        <w:t>modeling,</w:t>
      </w:r>
      <w:r>
        <w:rPr>
          <w:spacing w:val="-3"/>
        </w:rPr>
        <w:t> </w:t>
      </w:r>
      <w:r>
        <w:rPr/>
        <w:t>and</w:t>
      </w:r>
      <w:r>
        <w:rPr>
          <w:spacing w:val="-3"/>
        </w:rPr>
        <w:t> </w:t>
      </w:r>
      <w:r>
        <w:rPr/>
        <w:t>building</w:t>
      </w:r>
      <w:r>
        <w:rPr>
          <w:spacing w:val="-3"/>
        </w:rPr>
        <w:t> </w:t>
      </w:r>
      <w:r>
        <w:rPr/>
        <w:t>information</w:t>
      </w:r>
      <w:r>
        <w:rPr>
          <w:spacing w:val="-5"/>
        </w:rPr>
        <w:t> </w:t>
      </w:r>
      <w:r>
        <w:rPr/>
        <w:t>modeling.</w:t>
      </w:r>
      <w:r>
        <w:rPr>
          <w:spacing w:val="-10"/>
        </w:rPr>
        <w:t> </w:t>
      </w:r>
      <w:r>
        <w:rPr/>
        <w:t>Work</w:t>
      </w:r>
      <w:r>
        <w:rPr>
          <w:spacing w:val="-1"/>
        </w:rPr>
        <w:t> </w:t>
      </w:r>
      <w:r>
        <w:rPr/>
        <w:t>generated</w:t>
      </w:r>
      <w:r>
        <w:rPr>
          <w:spacing w:val="-3"/>
        </w:rPr>
        <w:t> </w:t>
      </w:r>
      <w:r>
        <w:rPr/>
        <w:t>will</w:t>
      </w:r>
      <w:r>
        <w:rPr>
          <w:spacing w:val="-4"/>
        </w:rPr>
        <w:t> </w:t>
      </w:r>
      <w:r>
        <w:rPr/>
        <w:t>be</w:t>
      </w:r>
      <w:r>
        <w:rPr>
          <w:spacing w:val="-3"/>
        </w:rPr>
        <w:t> </w:t>
      </w:r>
      <w:r>
        <w:rPr/>
        <w:t>of</w:t>
      </w:r>
      <w:r>
        <w:rPr>
          <w:spacing w:val="-5"/>
        </w:rPr>
        <w:t> </w:t>
      </w:r>
      <w:r>
        <w:rPr/>
        <w:t>moderate complexity, at various scales and levels of resolution.</w:t>
      </w:r>
      <w:r>
        <w:rPr>
          <w:spacing w:val="40"/>
        </w:rPr>
        <w:t> </w:t>
      </w:r>
      <w:r>
        <w:rPr/>
        <w:t>:</w:t>
      </w:r>
    </w:p>
    <w:p>
      <w:pPr>
        <w:spacing w:before="119"/>
        <w:ind w:left="440" w:right="0" w:firstLine="0"/>
        <w:jc w:val="left"/>
        <w:rPr>
          <w:b/>
          <w:sz w:val="20"/>
        </w:rPr>
      </w:pPr>
      <w:r>
        <w:rPr>
          <w:b/>
          <w:sz w:val="20"/>
        </w:rPr>
        <w:t>Course</w:t>
      </w:r>
      <w:r>
        <w:rPr>
          <w:b/>
          <w:spacing w:val="-9"/>
          <w:sz w:val="20"/>
        </w:rPr>
        <w:t> </w:t>
      </w:r>
      <w:r>
        <w:rPr>
          <w:b/>
          <w:sz w:val="20"/>
        </w:rPr>
        <w:t>Goals</w:t>
      </w:r>
      <w:r>
        <w:rPr>
          <w:b/>
          <w:spacing w:val="-7"/>
          <w:sz w:val="20"/>
        </w:rPr>
        <w:t> </w:t>
      </w:r>
      <w:r>
        <w:rPr>
          <w:b/>
          <w:sz w:val="20"/>
        </w:rPr>
        <w:t>and</w:t>
      </w:r>
      <w:r>
        <w:rPr>
          <w:b/>
          <w:spacing w:val="-5"/>
          <w:sz w:val="20"/>
        </w:rPr>
        <w:t> </w:t>
      </w:r>
      <w:r>
        <w:rPr>
          <w:b/>
          <w:spacing w:val="-2"/>
          <w:sz w:val="20"/>
        </w:rPr>
        <w:t>Objectives;</w:t>
      </w:r>
    </w:p>
    <w:p>
      <w:pPr>
        <w:pStyle w:val="BodyText"/>
        <w:spacing w:before="121"/>
        <w:ind w:left="1159" w:right="676"/>
      </w:pPr>
      <w:r>
        <w:rPr/>
        <w:t>To define fundamental concepts related to representation in architecture as they are applied in the digital environment, such as geometry, object, layer, composition, attribute, operation, projection,</w:t>
      </w:r>
      <w:r>
        <w:rPr>
          <w:spacing w:val="-5"/>
        </w:rPr>
        <w:t> </w:t>
      </w:r>
      <w:r>
        <w:rPr/>
        <w:t>mass,</w:t>
      </w:r>
      <w:r>
        <w:rPr>
          <w:spacing w:val="-5"/>
        </w:rPr>
        <w:t> </w:t>
      </w:r>
      <w:r>
        <w:rPr/>
        <w:t>depth,</w:t>
      </w:r>
      <w:r>
        <w:rPr>
          <w:spacing w:val="-5"/>
        </w:rPr>
        <w:t> </w:t>
      </w:r>
      <w:r>
        <w:rPr/>
        <w:t>light,</w:t>
      </w:r>
      <w:r>
        <w:rPr>
          <w:spacing w:val="-5"/>
        </w:rPr>
        <w:t> </w:t>
      </w:r>
      <w:r>
        <w:rPr/>
        <w:t>sequence,</w:t>
      </w:r>
      <w:r>
        <w:rPr>
          <w:spacing w:val="-3"/>
        </w:rPr>
        <w:t> </w:t>
      </w:r>
      <w:r>
        <w:rPr/>
        <w:t>grid,</w:t>
      </w:r>
      <w:r>
        <w:rPr>
          <w:spacing w:val="-5"/>
        </w:rPr>
        <w:t> </w:t>
      </w:r>
      <w:r>
        <w:rPr/>
        <w:t>atmosphere,</w:t>
      </w:r>
      <w:r>
        <w:rPr>
          <w:spacing w:val="-5"/>
        </w:rPr>
        <w:t> </w:t>
      </w:r>
      <w:r>
        <w:rPr/>
        <w:t>scale,</w:t>
      </w:r>
      <w:r>
        <w:rPr>
          <w:spacing w:val="-5"/>
        </w:rPr>
        <w:t> </w:t>
      </w:r>
      <w:r>
        <w:rPr/>
        <w:t>texture,</w:t>
      </w:r>
      <w:r>
        <w:rPr>
          <w:spacing w:val="-5"/>
        </w:rPr>
        <w:t> </w:t>
      </w:r>
      <w:r>
        <w:rPr/>
        <w:t>color,</w:t>
      </w:r>
      <w:r>
        <w:rPr>
          <w:spacing w:val="-3"/>
        </w:rPr>
        <w:t> </w:t>
      </w:r>
      <w:r>
        <w:rPr/>
        <w:t>vector</w:t>
      </w:r>
      <w:r>
        <w:rPr>
          <w:spacing w:val="-2"/>
        </w:rPr>
        <w:t> </w:t>
      </w:r>
      <w:r>
        <w:rPr/>
        <w:t>vs.</w:t>
      </w:r>
      <w:r>
        <w:rPr>
          <w:spacing w:val="-5"/>
        </w:rPr>
        <w:t> </w:t>
      </w:r>
      <w:r>
        <w:rPr/>
        <w:t>raster, traditional vs. digital.</w:t>
      </w:r>
    </w:p>
    <w:p>
      <w:pPr>
        <w:pStyle w:val="BodyText"/>
        <w:spacing w:before="2"/>
        <w:ind w:left="1159"/>
      </w:pPr>
      <w:r>
        <w:rPr/>
        <w:t>To</w:t>
      </w:r>
      <w:r>
        <w:rPr>
          <w:spacing w:val="-10"/>
        </w:rPr>
        <w:t> </w:t>
      </w:r>
      <w:r>
        <w:rPr/>
        <w:t>document,</w:t>
      </w:r>
      <w:r>
        <w:rPr>
          <w:spacing w:val="-10"/>
        </w:rPr>
        <w:t> </w:t>
      </w:r>
      <w:r>
        <w:rPr/>
        <w:t>analyze,</w:t>
      </w:r>
      <w:r>
        <w:rPr>
          <w:spacing w:val="-8"/>
        </w:rPr>
        <w:t> </w:t>
      </w:r>
      <w:r>
        <w:rPr/>
        <w:t>and</w:t>
      </w:r>
      <w:r>
        <w:rPr>
          <w:spacing w:val="-8"/>
        </w:rPr>
        <w:t> </w:t>
      </w:r>
      <w:r>
        <w:rPr/>
        <w:t>evaluate</w:t>
      </w:r>
      <w:r>
        <w:rPr>
          <w:spacing w:val="-7"/>
        </w:rPr>
        <w:t> </w:t>
      </w:r>
      <w:r>
        <w:rPr/>
        <w:t>architectural</w:t>
      </w:r>
      <w:r>
        <w:rPr>
          <w:spacing w:val="-8"/>
        </w:rPr>
        <w:t> </w:t>
      </w:r>
      <w:r>
        <w:rPr>
          <w:spacing w:val="-4"/>
        </w:rPr>
        <w:t>work.</w:t>
      </w:r>
    </w:p>
    <w:p>
      <w:pPr>
        <w:pStyle w:val="BodyText"/>
        <w:ind w:left="1160" w:right="642"/>
      </w:pPr>
      <w:r>
        <w:rPr/>
        <w:t>To develop design thinking/process, documentation/description, analysis, and visualization/communication</w:t>
      </w:r>
      <w:r>
        <w:rPr>
          <w:spacing w:val="-7"/>
        </w:rPr>
        <w:t> </w:t>
      </w:r>
      <w:r>
        <w:rPr/>
        <w:t>skills</w:t>
      </w:r>
      <w:r>
        <w:rPr>
          <w:spacing w:val="-6"/>
        </w:rPr>
        <w:t> </w:t>
      </w:r>
      <w:r>
        <w:rPr/>
        <w:t>through</w:t>
      </w:r>
      <w:r>
        <w:rPr>
          <w:spacing w:val="-7"/>
        </w:rPr>
        <w:t> </w:t>
      </w:r>
      <w:r>
        <w:rPr/>
        <w:t>the</w:t>
      </w:r>
      <w:r>
        <w:rPr>
          <w:spacing w:val="-7"/>
        </w:rPr>
        <w:t> </w:t>
      </w:r>
      <w:r>
        <w:rPr/>
        <w:t>purposeful</w:t>
      </w:r>
      <w:r>
        <w:rPr>
          <w:spacing w:val="-8"/>
        </w:rPr>
        <w:t> </w:t>
      </w:r>
      <w:r>
        <w:rPr/>
        <w:t>generation,</w:t>
      </w:r>
      <w:r>
        <w:rPr>
          <w:spacing w:val="-5"/>
        </w:rPr>
        <w:t> </w:t>
      </w:r>
      <w:r>
        <w:rPr/>
        <w:t>development,</w:t>
      </w:r>
      <w:r>
        <w:rPr>
          <w:spacing w:val="-7"/>
        </w:rPr>
        <w:t> </w:t>
      </w:r>
      <w:r>
        <w:rPr/>
        <w:t>and manipulation of digital images using appropriate software</w:t>
      </w:r>
    </w:p>
    <w:p>
      <w:pPr>
        <w:pStyle w:val="BodyText"/>
        <w:spacing w:line="229" w:lineRule="exact"/>
        <w:ind w:left="1160"/>
      </w:pPr>
      <w:r>
        <w:rPr/>
        <w:t>To</w:t>
      </w:r>
      <w:r>
        <w:rPr>
          <w:spacing w:val="-8"/>
        </w:rPr>
        <w:t> </w:t>
      </w:r>
      <w:r>
        <w:rPr/>
        <w:t>build</w:t>
      </w:r>
      <w:r>
        <w:rPr>
          <w:spacing w:val="-6"/>
        </w:rPr>
        <w:t> </w:t>
      </w:r>
      <w:r>
        <w:rPr/>
        <w:t>experience</w:t>
      </w:r>
      <w:r>
        <w:rPr>
          <w:spacing w:val="-6"/>
        </w:rPr>
        <w:t> </w:t>
      </w:r>
      <w:r>
        <w:rPr/>
        <w:t>dealing</w:t>
      </w:r>
      <w:r>
        <w:rPr>
          <w:spacing w:val="-6"/>
        </w:rPr>
        <w:t> </w:t>
      </w:r>
      <w:r>
        <w:rPr/>
        <w:t>with</w:t>
      </w:r>
      <w:r>
        <w:rPr>
          <w:spacing w:val="-6"/>
        </w:rPr>
        <w:t> </w:t>
      </w:r>
      <w:r>
        <w:rPr/>
        <w:t>input/output</w:t>
      </w:r>
      <w:r>
        <w:rPr>
          <w:spacing w:val="-6"/>
        </w:rPr>
        <w:t> </w:t>
      </w:r>
      <w:r>
        <w:rPr/>
        <w:t>processes,</w:t>
      </w:r>
      <w:r>
        <w:rPr>
          <w:spacing w:val="-7"/>
        </w:rPr>
        <w:t> </w:t>
      </w:r>
      <w:r>
        <w:rPr/>
        <w:t>to</w:t>
      </w:r>
      <w:r>
        <w:rPr>
          <w:spacing w:val="-8"/>
        </w:rPr>
        <w:t> </w:t>
      </w:r>
      <w:r>
        <w:rPr/>
        <w:t>be</w:t>
      </w:r>
      <w:r>
        <w:rPr>
          <w:spacing w:val="-6"/>
        </w:rPr>
        <w:t> </w:t>
      </w:r>
      <w:r>
        <w:rPr/>
        <w:t>transferred</w:t>
      </w:r>
      <w:r>
        <w:rPr>
          <w:spacing w:val="-8"/>
        </w:rPr>
        <w:t> </w:t>
      </w:r>
      <w:r>
        <w:rPr/>
        <w:t>to</w:t>
      </w:r>
      <w:r>
        <w:rPr>
          <w:spacing w:val="-7"/>
        </w:rPr>
        <w:t> </w:t>
      </w:r>
      <w:r>
        <w:rPr/>
        <w:t>the</w:t>
      </w:r>
      <w:r>
        <w:rPr>
          <w:spacing w:val="-6"/>
        </w:rPr>
        <w:t> </w:t>
      </w:r>
      <w:r>
        <w:rPr/>
        <w:t>design</w:t>
      </w:r>
      <w:r>
        <w:rPr>
          <w:spacing w:val="-8"/>
        </w:rPr>
        <w:t> </w:t>
      </w:r>
      <w:r>
        <w:rPr>
          <w:spacing w:val="-2"/>
        </w:rPr>
        <w:t>studio.</w:t>
      </w:r>
    </w:p>
    <w:p>
      <w:pPr>
        <w:spacing w:before="118"/>
        <w:ind w:left="440" w:right="0" w:firstLine="0"/>
        <w:jc w:val="left"/>
        <w:rPr>
          <w:b/>
          <w:sz w:val="20"/>
        </w:rPr>
      </w:pPr>
      <w:r>
        <w:rPr>
          <w:b/>
          <w:sz w:val="20"/>
        </w:rPr>
        <w:t>Student</w:t>
      </w:r>
      <w:r>
        <w:rPr>
          <w:b/>
          <w:spacing w:val="-9"/>
          <w:sz w:val="20"/>
        </w:rPr>
        <w:t> </w:t>
      </w:r>
      <w:r>
        <w:rPr>
          <w:b/>
          <w:sz w:val="20"/>
        </w:rPr>
        <w:t>Performance</w:t>
      </w:r>
      <w:r>
        <w:rPr>
          <w:b/>
          <w:spacing w:val="-9"/>
          <w:sz w:val="20"/>
        </w:rPr>
        <w:t> </w:t>
      </w:r>
      <w:r>
        <w:rPr>
          <w:b/>
          <w:sz w:val="20"/>
        </w:rPr>
        <w:t>Criteria</w:t>
      </w:r>
      <w:r>
        <w:rPr>
          <w:b/>
          <w:spacing w:val="-5"/>
          <w:sz w:val="20"/>
        </w:rPr>
        <w:t> </w:t>
      </w:r>
      <w:r>
        <w:rPr>
          <w:b/>
          <w:sz w:val="20"/>
        </w:rPr>
        <w:t>Addressed</w:t>
      </w:r>
      <w:r>
        <w:rPr>
          <w:b/>
          <w:spacing w:val="-8"/>
          <w:sz w:val="20"/>
        </w:rPr>
        <w:t> </w:t>
      </w:r>
      <w:r>
        <w:rPr>
          <w:b/>
          <w:sz w:val="20"/>
        </w:rPr>
        <w:t>(name</w:t>
      </w:r>
      <w:r>
        <w:rPr>
          <w:b/>
          <w:spacing w:val="-9"/>
          <w:sz w:val="20"/>
        </w:rPr>
        <w:t> </w:t>
      </w:r>
      <w:r>
        <w:rPr>
          <w:b/>
          <w:sz w:val="20"/>
        </w:rPr>
        <w:t>and</w:t>
      </w:r>
      <w:r>
        <w:rPr>
          <w:b/>
          <w:spacing w:val="-8"/>
          <w:sz w:val="20"/>
        </w:rPr>
        <w:t> </w:t>
      </w:r>
      <w:r>
        <w:rPr>
          <w:b/>
          <w:spacing w:val="-2"/>
          <w:sz w:val="20"/>
        </w:rPr>
        <w:t>number)</w:t>
      </w:r>
    </w:p>
    <w:p>
      <w:pPr>
        <w:pStyle w:val="ListParagraph"/>
        <w:numPr>
          <w:ilvl w:val="1"/>
          <w:numId w:val="47"/>
        </w:numPr>
        <w:tabs>
          <w:tab w:pos="1879" w:val="left" w:leader="none"/>
          <w:tab w:pos="1881" w:val="left" w:leader="none"/>
        </w:tabs>
        <w:spacing w:line="240" w:lineRule="auto" w:before="123" w:after="0"/>
        <w:ind w:left="1159" w:right="6026" w:firstLine="0"/>
        <w:jc w:val="left"/>
        <w:rPr>
          <w:sz w:val="20"/>
        </w:rPr>
      </w:pPr>
      <w:r>
        <w:rPr>
          <w:sz w:val="20"/>
        </w:rPr>
        <w:t>Visual</w:t>
      </w:r>
      <w:r>
        <w:rPr>
          <w:spacing w:val="-14"/>
          <w:sz w:val="20"/>
        </w:rPr>
        <w:t> </w:t>
      </w:r>
      <w:r>
        <w:rPr>
          <w:sz w:val="20"/>
        </w:rPr>
        <w:t>Communication</w:t>
      </w:r>
      <w:r>
        <w:rPr>
          <w:spacing w:val="-14"/>
          <w:sz w:val="20"/>
        </w:rPr>
        <w:t> </w:t>
      </w:r>
      <w:r>
        <w:rPr>
          <w:sz w:val="20"/>
        </w:rPr>
        <w:t>Skills </w:t>
      </w:r>
      <w:r>
        <w:rPr>
          <w:spacing w:val="-4"/>
          <w:sz w:val="20"/>
        </w:rPr>
        <w:t>A-4</w:t>
      </w:r>
      <w:r>
        <w:rPr>
          <w:sz w:val="20"/>
        </w:rPr>
        <w:tab/>
        <w:t>Technical Documentation</w:t>
      </w:r>
    </w:p>
    <w:p>
      <w:pPr>
        <w:pStyle w:val="BodyText"/>
        <w:tabs>
          <w:tab w:pos="1879" w:val="left" w:leader="none"/>
        </w:tabs>
        <w:spacing w:line="229" w:lineRule="exact"/>
        <w:ind w:left="1159"/>
      </w:pPr>
      <w:r>
        <w:rPr>
          <w:w w:val="95"/>
        </w:rPr>
        <w:t>C-</w:t>
      </w:r>
      <w:r>
        <w:rPr>
          <w:spacing w:val="-10"/>
        </w:rPr>
        <w:t>7</w:t>
      </w:r>
      <w:r>
        <w:rPr/>
        <w:tab/>
        <w:t>Legal</w:t>
      </w:r>
      <w:r>
        <w:rPr>
          <w:spacing w:val="-8"/>
        </w:rPr>
        <w:t> </w:t>
      </w:r>
      <w:r>
        <w:rPr>
          <w:spacing w:val="-2"/>
        </w:rPr>
        <w:t>Responsibilities</w:t>
      </w:r>
    </w:p>
    <w:p>
      <w:pPr>
        <w:spacing w:before="118"/>
        <w:ind w:left="439" w:right="0" w:firstLine="0"/>
        <w:jc w:val="left"/>
        <w:rPr>
          <w:b/>
          <w:sz w:val="20"/>
        </w:rPr>
      </w:pPr>
      <w:r>
        <w:rPr>
          <w:b/>
          <w:sz w:val="20"/>
        </w:rPr>
        <w:t>Topical</w:t>
      </w:r>
      <w:r>
        <w:rPr>
          <w:b/>
          <w:spacing w:val="-7"/>
          <w:sz w:val="20"/>
        </w:rPr>
        <w:t> </w:t>
      </w:r>
      <w:r>
        <w:rPr>
          <w:b/>
          <w:sz w:val="20"/>
        </w:rPr>
        <w:t>Outline</w:t>
      </w:r>
      <w:r>
        <w:rPr>
          <w:b/>
          <w:spacing w:val="-7"/>
          <w:sz w:val="20"/>
        </w:rPr>
        <w:t> </w:t>
      </w:r>
      <w:r>
        <w:rPr>
          <w:b/>
          <w:sz w:val="20"/>
        </w:rPr>
        <w:t>and</w:t>
      </w:r>
      <w:r>
        <w:rPr>
          <w:b/>
          <w:spacing w:val="-6"/>
          <w:sz w:val="20"/>
        </w:rPr>
        <w:t> </w:t>
      </w:r>
      <w:r>
        <w:rPr>
          <w:b/>
          <w:sz w:val="20"/>
        </w:rPr>
        <w:t>percentage</w:t>
      </w:r>
      <w:r>
        <w:rPr>
          <w:b/>
          <w:spacing w:val="-6"/>
          <w:sz w:val="20"/>
        </w:rPr>
        <w:t> </w:t>
      </w:r>
      <w:r>
        <w:rPr>
          <w:b/>
          <w:sz w:val="20"/>
        </w:rPr>
        <w:t>of</w:t>
      </w:r>
      <w:r>
        <w:rPr>
          <w:b/>
          <w:spacing w:val="-6"/>
          <w:sz w:val="20"/>
        </w:rPr>
        <w:t> </w:t>
      </w:r>
      <w:r>
        <w:rPr>
          <w:b/>
          <w:sz w:val="20"/>
        </w:rPr>
        <w:t>time</w:t>
      </w:r>
      <w:r>
        <w:rPr>
          <w:b/>
          <w:spacing w:val="-7"/>
          <w:sz w:val="20"/>
        </w:rPr>
        <w:t> </w:t>
      </w:r>
      <w:r>
        <w:rPr>
          <w:b/>
          <w:sz w:val="20"/>
        </w:rPr>
        <w:t>spent</w:t>
      </w:r>
      <w:r>
        <w:rPr>
          <w:b/>
          <w:spacing w:val="-6"/>
          <w:sz w:val="20"/>
        </w:rPr>
        <w:t> </w:t>
      </w:r>
      <w:r>
        <w:rPr>
          <w:b/>
          <w:sz w:val="20"/>
        </w:rPr>
        <w:t>on</w:t>
      </w:r>
      <w:r>
        <w:rPr>
          <w:b/>
          <w:spacing w:val="-5"/>
          <w:sz w:val="20"/>
        </w:rPr>
        <w:t> </w:t>
      </w:r>
      <w:r>
        <w:rPr>
          <w:b/>
          <w:spacing w:val="-4"/>
          <w:sz w:val="20"/>
        </w:rPr>
        <w:t>each</w:t>
      </w:r>
    </w:p>
    <w:p>
      <w:pPr>
        <w:pStyle w:val="BodyText"/>
        <w:spacing w:before="123"/>
        <w:ind w:left="1159" w:right="6024"/>
      </w:pPr>
      <w:r>
        <w:rPr/>
        <w:t>Lectures</w:t>
      </w:r>
      <w:r>
        <w:rPr>
          <w:spacing w:val="-13"/>
        </w:rPr>
        <w:t> </w:t>
      </w:r>
      <w:r>
        <w:rPr/>
        <w:t>and</w:t>
      </w:r>
      <w:r>
        <w:rPr>
          <w:spacing w:val="-14"/>
        </w:rPr>
        <w:t> </w:t>
      </w:r>
      <w:r>
        <w:rPr/>
        <w:t>Demonstrations</w:t>
      </w:r>
      <w:r>
        <w:rPr>
          <w:spacing w:val="-13"/>
        </w:rPr>
        <w:t> </w:t>
      </w:r>
      <w:r>
        <w:rPr/>
        <w:t>(60%) Student Projects (40%)</w:t>
      </w:r>
    </w:p>
    <w:p>
      <w:pPr>
        <w:pStyle w:val="BodyText"/>
        <w:spacing w:before="1"/>
        <w:ind w:left="1159"/>
      </w:pPr>
      <w:r>
        <w:rPr/>
        <w:t>Test</w:t>
      </w:r>
      <w:r>
        <w:rPr>
          <w:spacing w:val="-7"/>
        </w:rPr>
        <w:t> </w:t>
      </w:r>
      <w:r>
        <w:rPr/>
        <w:t>and</w:t>
      </w:r>
      <w:r>
        <w:rPr>
          <w:spacing w:val="-7"/>
        </w:rPr>
        <w:t> </w:t>
      </w:r>
      <w:r>
        <w:rPr/>
        <w:t>Quizzes</w:t>
      </w:r>
      <w:r>
        <w:rPr>
          <w:spacing w:val="-3"/>
        </w:rPr>
        <w:t> </w:t>
      </w:r>
      <w:r>
        <w:rPr>
          <w:spacing w:val="-4"/>
        </w:rPr>
        <w:t>(10%)</w:t>
      </w:r>
    </w:p>
    <w:p>
      <w:pPr>
        <w:spacing w:before="115"/>
        <w:ind w:left="439" w:right="0" w:firstLine="0"/>
        <w:jc w:val="left"/>
        <w:rPr>
          <w:b/>
          <w:sz w:val="20"/>
        </w:rPr>
      </w:pPr>
      <w:r>
        <w:rPr>
          <w:b/>
          <w:w w:val="95"/>
          <w:sz w:val="20"/>
        </w:rPr>
        <w:t>Pre-</w:t>
      </w:r>
      <w:r>
        <w:rPr>
          <w:b/>
          <w:spacing w:val="-2"/>
          <w:sz w:val="20"/>
        </w:rPr>
        <w:t>requisites</w:t>
      </w:r>
    </w:p>
    <w:p>
      <w:pPr>
        <w:pStyle w:val="BodyText"/>
        <w:spacing w:before="123"/>
        <w:ind w:left="1159"/>
      </w:pPr>
      <w:r>
        <w:rPr/>
        <w:t>ARC</w:t>
      </w:r>
      <w:r>
        <w:rPr>
          <w:spacing w:val="-5"/>
        </w:rPr>
        <w:t> </w:t>
      </w:r>
      <w:r>
        <w:rPr/>
        <w:t>101,</w:t>
      </w:r>
      <w:r>
        <w:rPr>
          <w:spacing w:val="-2"/>
        </w:rPr>
        <w:t> </w:t>
      </w:r>
      <w:r>
        <w:rPr/>
        <w:t>102</w:t>
      </w:r>
      <w:r>
        <w:rPr>
          <w:spacing w:val="-5"/>
        </w:rPr>
        <w:t> </w:t>
      </w:r>
      <w:r>
        <w:rPr/>
        <w:t>and</w:t>
      </w:r>
      <w:r>
        <w:rPr>
          <w:spacing w:val="-4"/>
        </w:rPr>
        <w:t> 203.</w:t>
      </w:r>
    </w:p>
    <w:p>
      <w:pPr>
        <w:spacing w:before="118"/>
        <w:ind w:left="439" w:right="0" w:firstLine="0"/>
        <w:jc w:val="left"/>
        <w:rPr>
          <w:b/>
          <w:sz w:val="20"/>
        </w:rPr>
      </w:pPr>
      <w:r>
        <w:rPr>
          <w:b/>
          <w:sz w:val="20"/>
        </w:rPr>
        <w:t>Textbooks</w:t>
      </w:r>
      <w:r>
        <w:rPr>
          <w:b/>
          <w:spacing w:val="-11"/>
          <w:sz w:val="20"/>
        </w:rPr>
        <w:t> </w:t>
      </w:r>
      <w:r>
        <w:rPr>
          <w:b/>
          <w:sz w:val="20"/>
        </w:rPr>
        <w:t>/</w:t>
      </w:r>
      <w:r>
        <w:rPr>
          <w:b/>
          <w:spacing w:val="-9"/>
          <w:sz w:val="20"/>
        </w:rPr>
        <w:t> </w:t>
      </w:r>
      <w:r>
        <w:rPr>
          <w:b/>
          <w:sz w:val="20"/>
        </w:rPr>
        <w:t>Learning</w:t>
      </w:r>
      <w:r>
        <w:rPr>
          <w:b/>
          <w:spacing w:val="-7"/>
          <w:sz w:val="20"/>
        </w:rPr>
        <w:t> </w:t>
      </w:r>
      <w:r>
        <w:rPr>
          <w:b/>
          <w:spacing w:val="-2"/>
          <w:sz w:val="20"/>
        </w:rPr>
        <w:t>Resources</w:t>
      </w:r>
    </w:p>
    <w:p>
      <w:pPr>
        <w:spacing w:line="242" w:lineRule="auto" w:before="121"/>
        <w:ind w:left="1159" w:right="642" w:firstLine="0"/>
        <w:jc w:val="left"/>
        <w:rPr>
          <w:sz w:val="20"/>
        </w:rPr>
      </w:pPr>
      <w:r>
        <w:rPr>
          <w:i/>
          <w:sz w:val="20"/>
        </w:rPr>
        <w:t>Basic</w:t>
      </w:r>
      <w:r>
        <w:rPr>
          <w:i/>
          <w:spacing w:val="-1"/>
          <w:sz w:val="20"/>
        </w:rPr>
        <w:t> </w:t>
      </w:r>
      <w:r>
        <w:rPr>
          <w:i/>
          <w:sz w:val="20"/>
        </w:rPr>
        <w:t>Architecture</w:t>
      </w:r>
      <w:r>
        <w:rPr>
          <w:i/>
          <w:spacing w:val="-5"/>
          <w:sz w:val="20"/>
        </w:rPr>
        <w:t> </w:t>
      </w:r>
      <w:r>
        <w:rPr>
          <w:i/>
          <w:sz w:val="20"/>
        </w:rPr>
        <w:t>01,</w:t>
      </w:r>
      <w:r>
        <w:rPr>
          <w:i/>
          <w:spacing w:val="-5"/>
          <w:sz w:val="20"/>
        </w:rPr>
        <w:t> </w:t>
      </w:r>
      <w:r>
        <w:rPr>
          <w:i/>
          <w:sz w:val="20"/>
        </w:rPr>
        <w:t>Representational</w:t>
      </w:r>
      <w:r>
        <w:rPr>
          <w:i/>
          <w:spacing w:val="-4"/>
          <w:sz w:val="20"/>
        </w:rPr>
        <w:t> </w:t>
      </w:r>
      <w:r>
        <w:rPr>
          <w:i/>
          <w:sz w:val="20"/>
        </w:rPr>
        <w:t>Techniques</w:t>
      </w:r>
      <w:r>
        <w:rPr>
          <w:sz w:val="20"/>
        </w:rPr>
        <w:t>,</w:t>
      </w:r>
      <w:r>
        <w:rPr>
          <w:spacing w:val="-5"/>
          <w:sz w:val="20"/>
        </w:rPr>
        <w:t> </w:t>
      </w:r>
      <w:r>
        <w:rPr>
          <w:sz w:val="20"/>
        </w:rPr>
        <w:t>by</w:t>
      </w:r>
      <w:r>
        <w:rPr>
          <w:spacing w:val="-6"/>
          <w:sz w:val="20"/>
        </w:rPr>
        <w:t> </w:t>
      </w:r>
      <w:r>
        <w:rPr>
          <w:sz w:val="20"/>
        </w:rPr>
        <w:t>Lorraine</w:t>
      </w:r>
      <w:r>
        <w:rPr>
          <w:spacing w:val="-5"/>
          <w:sz w:val="20"/>
        </w:rPr>
        <w:t> </w:t>
      </w:r>
      <w:r>
        <w:rPr>
          <w:sz w:val="20"/>
        </w:rPr>
        <w:t>Farrelly,</w:t>
      </w:r>
      <w:r>
        <w:rPr>
          <w:spacing w:val="-5"/>
          <w:sz w:val="20"/>
        </w:rPr>
        <w:t> </w:t>
      </w:r>
      <w:r>
        <w:rPr>
          <w:sz w:val="20"/>
        </w:rPr>
        <w:t>ISBN</w:t>
      </w:r>
      <w:r>
        <w:rPr>
          <w:spacing w:val="-2"/>
          <w:sz w:val="20"/>
        </w:rPr>
        <w:t> </w:t>
      </w:r>
      <w:r>
        <w:rPr>
          <w:sz w:val="20"/>
        </w:rPr>
        <w:t>–</w:t>
      </w:r>
      <w:r>
        <w:rPr>
          <w:spacing w:val="-3"/>
          <w:sz w:val="20"/>
        </w:rPr>
        <w:t> </w:t>
      </w:r>
      <w:r>
        <w:rPr>
          <w:sz w:val="20"/>
        </w:rPr>
        <w:t>13:</w:t>
      </w:r>
      <w:r>
        <w:rPr>
          <w:spacing w:val="-5"/>
          <w:sz w:val="20"/>
        </w:rPr>
        <w:t> </w:t>
      </w:r>
      <w:r>
        <w:rPr>
          <w:sz w:val="20"/>
        </w:rPr>
        <w:t>978- </w:t>
      </w:r>
      <w:r>
        <w:rPr>
          <w:spacing w:val="-2"/>
          <w:sz w:val="20"/>
        </w:rPr>
        <w:t>2940373628</w:t>
      </w:r>
    </w:p>
    <w:p>
      <w:pPr>
        <w:pStyle w:val="BodyText"/>
        <w:ind w:left="1159" w:right="642"/>
      </w:pPr>
      <w:r>
        <w:rPr/>
        <w:t>Students</w:t>
      </w:r>
      <w:r>
        <w:rPr>
          <w:spacing w:val="-4"/>
        </w:rPr>
        <w:t> </w:t>
      </w:r>
      <w:r>
        <w:rPr/>
        <w:t>are</w:t>
      </w:r>
      <w:r>
        <w:rPr>
          <w:spacing w:val="-5"/>
        </w:rPr>
        <w:t> </w:t>
      </w:r>
      <w:r>
        <w:rPr/>
        <w:t>required</w:t>
      </w:r>
      <w:r>
        <w:rPr>
          <w:spacing w:val="-4"/>
        </w:rPr>
        <w:t> </w:t>
      </w:r>
      <w:r>
        <w:rPr/>
        <w:t>to</w:t>
      </w:r>
      <w:r>
        <w:rPr>
          <w:spacing w:val="-4"/>
        </w:rPr>
        <w:t> </w:t>
      </w:r>
      <w:r>
        <w:rPr/>
        <w:t>have</w:t>
      </w:r>
      <w:r>
        <w:rPr>
          <w:spacing w:val="-4"/>
        </w:rPr>
        <w:t> </w:t>
      </w:r>
      <w:r>
        <w:rPr/>
        <w:t>laptops</w:t>
      </w:r>
      <w:r>
        <w:rPr>
          <w:spacing w:val="-2"/>
        </w:rPr>
        <w:t> </w:t>
      </w:r>
      <w:r>
        <w:rPr/>
        <w:t>with</w:t>
      </w:r>
      <w:r>
        <w:rPr>
          <w:spacing w:val="-4"/>
        </w:rPr>
        <w:t> </w:t>
      </w:r>
      <w:r>
        <w:rPr/>
        <w:t>Adobe</w:t>
      </w:r>
      <w:r>
        <w:rPr>
          <w:spacing w:val="-4"/>
        </w:rPr>
        <w:t> </w:t>
      </w:r>
      <w:r>
        <w:rPr/>
        <w:t>Creative</w:t>
      </w:r>
      <w:r>
        <w:rPr>
          <w:spacing w:val="-5"/>
        </w:rPr>
        <w:t> </w:t>
      </w:r>
      <w:r>
        <w:rPr/>
        <w:t>Suites,</w:t>
      </w:r>
      <w:r>
        <w:rPr>
          <w:spacing w:val="-5"/>
        </w:rPr>
        <w:t> </w:t>
      </w:r>
      <w:r>
        <w:rPr/>
        <w:t>AutoCAD</w:t>
      </w:r>
      <w:r>
        <w:rPr>
          <w:spacing w:val="-3"/>
        </w:rPr>
        <w:t> </w:t>
      </w:r>
      <w:r>
        <w:rPr/>
        <w:t>Revit,</w:t>
      </w:r>
      <w:r>
        <w:rPr>
          <w:spacing w:val="-4"/>
        </w:rPr>
        <w:t> </w:t>
      </w:r>
      <w:r>
        <w:rPr/>
        <w:t>Microsoft Office, and SketchUp.</w:t>
      </w:r>
    </w:p>
    <w:p>
      <w:pPr>
        <w:spacing w:before="115"/>
        <w:ind w:left="439" w:right="0" w:firstLine="0"/>
        <w:jc w:val="left"/>
        <w:rPr>
          <w:b/>
          <w:sz w:val="20"/>
        </w:rPr>
      </w:pPr>
      <w:r>
        <w:rPr>
          <w:b/>
          <w:sz w:val="20"/>
        </w:rPr>
        <w:t>Offered</w:t>
      </w:r>
      <w:r>
        <w:rPr>
          <w:b/>
          <w:spacing w:val="-10"/>
          <w:sz w:val="20"/>
        </w:rPr>
        <w:t> </w:t>
      </w:r>
      <w:r>
        <w:rPr>
          <w:b/>
          <w:spacing w:val="-2"/>
          <w:sz w:val="20"/>
        </w:rPr>
        <w:t>(terms):</w:t>
      </w:r>
    </w:p>
    <w:p>
      <w:pPr>
        <w:pStyle w:val="BodyText"/>
        <w:spacing w:before="122"/>
        <w:ind w:left="798"/>
      </w:pPr>
      <w:r>
        <w:rPr/>
        <w:t>Spring</w:t>
      </w:r>
      <w:r>
        <w:rPr>
          <w:spacing w:val="-8"/>
        </w:rPr>
        <w:t> </w:t>
      </w:r>
      <w:r>
        <w:rPr/>
        <w:t>Semester</w:t>
      </w:r>
      <w:r>
        <w:rPr>
          <w:spacing w:val="-8"/>
        </w:rPr>
        <w:t> </w:t>
      </w:r>
      <w:r>
        <w:rPr>
          <w:spacing w:val="-4"/>
        </w:rPr>
        <w:t>only</w:t>
      </w:r>
    </w:p>
    <w:p>
      <w:pPr>
        <w:spacing w:before="118"/>
        <w:ind w:left="438" w:right="0" w:firstLine="0"/>
        <w:jc w:val="left"/>
        <w:rPr>
          <w:b/>
          <w:sz w:val="20"/>
        </w:rPr>
      </w:pPr>
      <w:r>
        <w:rPr>
          <w:b/>
          <w:sz w:val="20"/>
        </w:rPr>
        <w:t>Faculty</w:t>
      </w:r>
      <w:r>
        <w:rPr>
          <w:b/>
          <w:spacing w:val="-8"/>
          <w:sz w:val="20"/>
        </w:rPr>
        <w:t> </w:t>
      </w:r>
      <w:r>
        <w:rPr>
          <w:b/>
          <w:spacing w:val="-2"/>
          <w:sz w:val="20"/>
        </w:rPr>
        <w:t>Assigned</w:t>
      </w:r>
    </w:p>
    <w:p>
      <w:pPr>
        <w:pStyle w:val="BodyText"/>
        <w:spacing w:before="123"/>
        <w:ind w:left="1158" w:right="7005"/>
      </w:pPr>
      <w:r>
        <w:rPr/>
        <w:t>2014</w:t>
      </w:r>
      <w:r>
        <w:rPr>
          <w:spacing w:val="-13"/>
        </w:rPr>
        <w:t> </w:t>
      </w:r>
      <w:r>
        <w:rPr/>
        <w:t>–</w:t>
      </w:r>
      <w:r>
        <w:rPr>
          <w:spacing w:val="-14"/>
        </w:rPr>
        <w:t> </w:t>
      </w:r>
      <w:r>
        <w:rPr/>
        <w:t>Turner</w:t>
      </w:r>
      <w:r>
        <w:rPr>
          <w:spacing w:val="-13"/>
        </w:rPr>
        <w:t> </w:t>
      </w:r>
      <w:r>
        <w:rPr/>
        <w:t>(Adjunct) 2013 – Turner (F/T)</w:t>
      </w:r>
    </w:p>
    <w:p>
      <w:pPr>
        <w:spacing w:after="0"/>
        <w:sectPr>
          <w:headerReference w:type="default" r:id="rId193"/>
          <w:footerReference w:type="default" r:id="rId194"/>
          <w:pgSz w:w="12240" w:h="15840"/>
          <w:pgMar w:header="993" w:footer="974" w:top="1240" w:bottom="1160" w:left="1000" w:right="820"/>
        </w:sectPr>
      </w:pPr>
    </w:p>
    <w:p>
      <w:pPr>
        <w:spacing w:before="115"/>
        <w:ind w:left="440" w:right="0" w:firstLine="0"/>
        <w:jc w:val="left"/>
        <w:rPr>
          <w:b/>
          <w:sz w:val="20"/>
        </w:rPr>
      </w:pPr>
      <w:r>
        <w:rPr>
          <w:b/>
          <w:sz w:val="20"/>
        </w:rPr>
        <w:t>Course</w:t>
      </w:r>
      <w:r>
        <w:rPr>
          <w:b/>
          <w:spacing w:val="-9"/>
          <w:sz w:val="20"/>
        </w:rPr>
        <w:t> </w:t>
      </w:r>
      <w:r>
        <w:rPr>
          <w:b/>
          <w:sz w:val="20"/>
        </w:rPr>
        <w:t>Description</w:t>
      </w:r>
      <w:r>
        <w:rPr>
          <w:b/>
          <w:spacing w:val="-8"/>
          <w:sz w:val="20"/>
        </w:rPr>
        <w:t> </w:t>
      </w:r>
      <w:r>
        <w:rPr>
          <w:b/>
          <w:sz w:val="20"/>
        </w:rPr>
        <w:t>(limit</w:t>
      </w:r>
      <w:r>
        <w:rPr>
          <w:b/>
          <w:spacing w:val="-7"/>
          <w:sz w:val="20"/>
        </w:rPr>
        <w:t> </w:t>
      </w:r>
      <w:r>
        <w:rPr>
          <w:b/>
          <w:sz w:val="20"/>
        </w:rPr>
        <w:t>25</w:t>
      </w:r>
      <w:r>
        <w:rPr>
          <w:b/>
          <w:spacing w:val="-8"/>
          <w:sz w:val="20"/>
        </w:rPr>
        <w:t> </w:t>
      </w:r>
      <w:r>
        <w:rPr>
          <w:b/>
          <w:spacing w:val="-2"/>
          <w:sz w:val="20"/>
        </w:rPr>
        <w:t>words):</w:t>
      </w:r>
    </w:p>
    <w:p>
      <w:pPr>
        <w:pStyle w:val="BodyText"/>
        <w:spacing w:before="122"/>
        <w:ind w:left="1159" w:right="712"/>
      </w:pPr>
      <w:r>
        <w:rPr/>
        <w:t>The</w:t>
      </w:r>
      <w:r>
        <w:rPr>
          <w:spacing w:val="-5"/>
        </w:rPr>
        <w:t> </w:t>
      </w:r>
      <w:r>
        <w:rPr/>
        <w:t>history</w:t>
      </w:r>
      <w:r>
        <w:rPr>
          <w:spacing w:val="-6"/>
        </w:rPr>
        <w:t> </w:t>
      </w:r>
      <w:r>
        <w:rPr/>
        <w:t>and</w:t>
      </w:r>
      <w:r>
        <w:rPr>
          <w:spacing w:val="-3"/>
        </w:rPr>
        <w:t> </w:t>
      </w:r>
      <w:r>
        <w:rPr/>
        <w:t>development</w:t>
      </w:r>
      <w:r>
        <w:rPr>
          <w:spacing w:val="-5"/>
        </w:rPr>
        <w:t> </w:t>
      </w:r>
      <w:r>
        <w:rPr/>
        <w:t>of</w:t>
      </w:r>
      <w:r>
        <w:rPr>
          <w:spacing w:val="-3"/>
        </w:rPr>
        <w:t> </w:t>
      </w:r>
      <w:r>
        <w:rPr/>
        <w:t>architecture</w:t>
      </w:r>
      <w:r>
        <w:rPr>
          <w:spacing w:val="-5"/>
        </w:rPr>
        <w:t> </w:t>
      </w:r>
      <w:r>
        <w:rPr/>
        <w:t>considered</w:t>
      </w:r>
      <w:r>
        <w:rPr>
          <w:spacing w:val="-5"/>
        </w:rPr>
        <w:t> </w:t>
      </w:r>
      <w:r>
        <w:rPr/>
        <w:t>as</w:t>
      </w:r>
      <w:r>
        <w:rPr>
          <w:spacing w:val="-4"/>
        </w:rPr>
        <w:t> </w:t>
      </w:r>
      <w:r>
        <w:rPr/>
        <w:t>a</w:t>
      </w:r>
      <w:r>
        <w:rPr>
          <w:spacing w:val="-5"/>
        </w:rPr>
        <w:t> </w:t>
      </w:r>
      <w:r>
        <w:rPr/>
        <w:t>social,</w:t>
      </w:r>
      <w:r>
        <w:rPr>
          <w:spacing w:val="-3"/>
        </w:rPr>
        <w:t> </w:t>
      </w:r>
      <w:r>
        <w:rPr/>
        <w:t>cultural</w:t>
      </w:r>
      <w:r>
        <w:rPr>
          <w:spacing w:val="-4"/>
        </w:rPr>
        <w:t> </w:t>
      </w:r>
      <w:r>
        <w:rPr/>
        <w:t>and</w:t>
      </w:r>
      <w:r>
        <w:rPr>
          <w:spacing w:val="-3"/>
        </w:rPr>
        <w:t> </w:t>
      </w:r>
      <w:r>
        <w:rPr/>
        <w:t>spatial expression from Prehistory to the Renaissance.</w:t>
      </w:r>
    </w:p>
    <w:p>
      <w:pPr>
        <w:spacing w:before="128"/>
        <w:ind w:left="439" w:right="0" w:firstLine="0"/>
        <w:jc w:val="left"/>
        <w:rPr>
          <w:b/>
          <w:sz w:val="20"/>
        </w:rPr>
      </w:pPr>
      <w:r>
        <w:rPr>
          <w:b/>
          <w:sz w:val="20"/>
        </w:rPr>
        <w:t>Course</w:t>
      </w:r>
      <w:r>
        <w:rPr>
          <w:b/>
          <w:spacing w:val="-9"/>
          <w:sz w:val="20"/>
        </w:rPr>
        <w:t> </w:t>
      </w:r>
      <w:r>
        <w:rPr>
          <w:b/>
          <w:sz w:val="20"/>
        </w:rPr>
        <w:t>Goals</w:t>
      </w:r>
      <w:r>
        <w:rPr>
          <w:b/>
          <w:spacing w:val="-7"/>
          <w:sz w:val="20"/>
        </w:rPr>
        <w:t> </w:t>
      </w:r>
      <w:r>
        <w:rPr>
          <w:b/>
          <w:sz w:val="20"/>
        </w:rPr>
        <w:t>and</w:t>
      </w:r>
      <w:r>
        <w:rPr>
          <w:b/>
          <w:spacing w:val="-5"/>
          <w:sz w:val="20"/>
        </w:rPr>
        <w:t> </w:t>
      </w:r>
      <w:r>
        <w:rPr>
          <w:b/>
          <w:spacing w:val="-2"/>
          <w:sz w:val="20"/>
        </w:rPr>
        <w:t>Objectives;</w:t>
      </w:r>
    </w:p>
    <w:p>
      <w:pPr>
        <w:pStyle w:val="BodyText"/>
        <w:spacing w:before="123"/>
        <w:ind w:left="1159" w:right="642"/>
      </w:pPr>
      <w:r>
        <w:rPr/>
        <w:t>The objective of this course is for students to explore and understand the chronological study of the social, political, technical, and cultural influence on architectural movements, to analyze the creativity</w:t>
      </w:r>
      <w:r>
        <w:rPr>
          <w:spacing w:val="-7"/>
        </w:rPr>
        <w:t> </w:t>
      </w:r>
      <w:r>
        <w:rPr/>
        <w:t>and</w:t>
      </w:r>
      <w:r>
        <w:rPr>
          <w:spacing w:val="-2"/>
        </w:rPr>
        <w:t> </w:t>
      </w:r>
      <w:r>
        <w:rPr/>
        <w:t>individuality</w:t>
      </w:r>
      <w:r>
        <w:rPr>
          <w:spacing w:val="-5"/>
        </w:rPr>
        <w:t> </w:t>
      </w:r>
      <w:r>
        <w:rPr/>
        <w:t>within</w:t>
      </w:r>
      <w:r>
        <w:rPr>
          <w:spacing w:val="-2"/>
        </w:rPr>
        <w:t> </w:t>
      </w:r>
      <w:r>
        <w:rPr/>
        <w:t>various</w:t>
      </w:r>
      <w:r>
        <w:rPr>
          <w:spacing w:val="-3"/>
        </w:rPr>
        <w:t> </w:t>
      </w:r>
      <w:r>
        <w:rPr/>
        <w:t>styles,</w:t>
      </w:r>
      <w:r>
        <w:rPr>
          <w:spacing w:val="-2"/>
        </w:rPr>
        <w:t> </w:t>
      </w:r>
      <w:r>
        <w:rPr/>
        <w:t>as well</w:t>
      </w:r>
      <w:r>
        <w:rPr>
          <w:spacing w:val="-3"/>
        </w:rPr>
        <w:t> </w:t>
      </w:r>
      <w:r>
        <w:rPr/>
        <w:t>as</w:t>
      </w:r>
      <w:r>
        <w:rPr>
          <w:spacing w:val="-3"/>
        </w:rPr>
        <w:t> </w:t>
      </w:r>
      <w:r>
        <w:rPr/>
        <w:t>the</w:t>
      </w:r>
      <w:r>
        <w:rPr>
          <w:spacing w:val="-4"/>
        </w:rPr>
        <w:t> </w:t>
      </w:r>
      <w:r>
        <w:rPr/>
        <w:t>community</w:t>
      </w:r>
      <w:r>
        <w:rPr>
          <w:spacing w:val="-5"/>
        </w:rPr>
        <w:t> </w:t>
      </w:r>
      <w:r>
        <w:rPr/>
        <w:t>or</w:t>
      </w:r>
      <w:r>
        <w:rPr>
          <w:spacing w:val="-3"/>
        </w:rPr>
        <w:t> </w:t>
      </w:r>
      <w:r>
        <w:rPr/>
        <w:t>urban</w:t>
      </w:r>
      <w:r>
        <w:rPr>
          <w:spacing w:val="-4"/>
        </w:rPr>
        <w:t> </w:t>
      </w:r>
      <w:r>
        <w:rPr/>
        <w:t>context,</w:t>
      </w:r>
      <w:r>
        <w:rPr>
          <w:spacing w:val="-2"/>
        </w:rPr>
        <w:t> </w:t>
      </w:r>
      <w:r>
        <w:rPr/>
        <w:t>and</w:t>
      </w:r>
      <w:r>
        <w:rPr>
          <w:spacing w:val="-4"/>
        </w:rPr>
        <w:t> </w:t>
      </w:r>
      <w:r>
        <w:rPr/>
        <w:t>to appreciate</w:t>
      </w:r>
      <w:r>
        <w:rPr>
          <w:spacing w:val="-4"/>
        </w:rPr>
        <w:t> </w:t>
      </w:r>
      <w:r>
        <w:rPr/>
        <w:t>the</w:t>
      </w:r>
      <w:r>
        <w:rPr>
          <w:spacing w:val="-2"/>
        </w:rPr>
        <w:t> </w:t>
      </w:r>
      <w:r>
        <w:rPr/>
        <w:t>aesthetic values</w:t>
      </w:r>
      <w:r>
        <w:rPr>
          <w:spacing w:val="-3"/>
        </w:rPr>
        <w:t> </w:t>
      </w:r>
      <w:r>
        <w:rPr/>
        <w:t>and</w:t>
      </w:r>
      <w:r>
        <w:rPr>
          <w:spacing w:val="-4"/>
        </w:rPr>
        <w:t> </w:t>
      </w:r>
      <w:r>
        <w:rPr/>
        <w:t>the</w:t>
      </w:r>
      <w:r>
        <w:rPr>
          <w:spacing w:val="-4"/>
        </w:rPr>
        <w:t> </w:t>
      </w:r>
      <w:r>
        <w:rPr/>
        <w:t>excellence</w:t>
      </w:r>
      <w:r>
        <w:rPr>
          <w:spacing w:val="-4"/>
        </w:rPr>
        <w:t> </w:t>
      </w:r>
      <w:r>
        <w:rPr/>
        <w:t>inherent</w:t>
      </w:r>
      <w:r>
        <w:rPr>
          <w:spacing w:val="-2"/>
        </w:rPr>
        <w:t> </w:t>
      </w:r>
      <w:r>
        <w:rPr/>
        <w:t>in</w:t>
      </w:r>
      <w:r>
        <w:rPr>
          <w:spacing w:val="-4"/>
        </w:rPr>
        <w:t> </w:t>
      </w:r>
      <w:r>
        <w:rPr/>
        <w:t>artistic</w:t>
      </w:r>
      <w:r>
        <w:rPr>
          <w:spacing w:val="-3"/>
        </w:rPr>
        <w:t> </w:t>
      </w:r>
      <w:r>
        <w:rPr/>
        <w:t>expression.</w:t>
      </w:r>
      <w:r>
        <w:rPr>
          <w:spacing w:val="80"/>
        </w:rPr>
        <w:t> </w:t>
      </w:r>
      <w:r>
        <w:rPr/>
        <w:t>The</w:t>
      </w:r>
      <w:r>
        <w:rPr>
          <w:spacing w:val="-4"/>
        </w:rPr>
        <w:t> </w:t>
      </w:r>
      <w:r>
        <w:rPr/>
        <w:t>student</w:t>
      </w:r>
      <w:r>
        <w:rPr>
          <w:spacing w:val="-2"/>
        </w:rPr>
        <w:t> </w:t>
      </w:r>
      <w:r>
        <w:rPr/>
        <w:t>is expected to evaluate his or her own approach to design methodology based upon a historical </w:t>
      </w:r>
      <w:r>
        <w:rPr>
          <w:spacing w:val="-2"/>
        </w:rPr>
        <w:t>perspective.</w:t>
      </w:r>
    </w:p>
    <w:p>
      <w:pPr>
        <w:spacing w:before="118"/>
        <w:ind w:left="439" w:right="0" w:firstLine="0"/>
        <w:jc w:val="left"/>
        <w:rPr>
          <w:b/>
          <w:sz w:val="20"/>
        </w:rPr>
      </w:pPr>
      <w:r>
        <w:rPr>
          <w:b/>
          <w:sz w:val="20"/>
        </w:rPr>
        <w:t>Student</w:t>
      </w:r>
      <w:r>
        <w:rPr>
          <w:b/>
          <w:spacing w:val="-9"/>
          <w:sz w:val="20"/>
        </w:rPr>
        <w:t> </w:t>
      </w:r>
      <w:r>
        <w:rPr>
          <w:b/>
          <w:sz w:val="20"/>
        </w:rPr>
        <w:t>Performance</w:t>
      </w:r>
      <w:r>
        <w:rPr>
          <w:b/>
          <w:spacing w:val="-8"/>
          <w:sz w:val="20"/>
        </w:rPr>
        <w:t> </w:t>
      </w:r>
      <w:r>
        <w:rPr>
          <w:b/>
          <w:sz w:val="20"/>
        </w:rPr>
        <w:t>Criteria</w:t>
      </w:r>
      <w:r>
        <w:rPr>
          <w:b/>
          <w:spacing w:val="-6"/>
          <w:sz w:val="20"/>
        </w:rPr>
        <w:t> </w:t>
      </w:r>
      <w:r>
        <w:rPr>
          <w:b/>
          <w:sz w:val="20"/>
        </w:rPr>
        <w:t>Addressed</w:t>
      </w:r>
      <w:r>
        <w:rPr>
          <w:b/>
          <w:spacing w:val="-8"/>
          <w:sz w:val="20"/>
        </w:rPr>
        <w:t> </w:t>
      </w:r>
      <w:r>
        <w:rPr>
          <w:b/>
          <w:sz w:val="20"/>
        </w:rPr>
        <w:t>(name</w:t>
      </w:r>
      <w:r>
        <w:rPr>
          <w:b/>
          <w:spacing w:val="-9"/>
          <w:sz w:val="20"/>
        </w:rPr>
        <w:t> </w:t>
      </w:r>
      <w:r>
        <w:rPr>
          <w:b/>
          <w:sz w:val="20"/>
        </w:rPr>
        <w:t>and</w:t>
      </w:r>
      <w:r>
        <w:rPr>
          <w:b/>
          <w:spacing w:val="-8"/>
          <w:sz w:val="20"/>
        </w:rPr>
        <w:t> </w:t>
      </w:r>
      <w:r>
        <w:rPr>
          <w:b/>
          <w:spacing w:val="-2"/>
          <w:sz w:val="20"/>
        </w:rPr>
        <w:t>number)</w:t>
      </w:r>
    </w:p>
    <w:p>
      <w:pPr>
        <w:pStyle w:val="BodyText"/>
        <w:spacing w:line="229" w:lineRule="exact" w:before="123"/>
        <w:ind w:left="1159"/>
      </w:pPr>
      <w:r>
        <w:rPr/>
        <w:t>A1</w:t>
      </w:r>
      <w:r>
        <w:rPr>
          <w:spacing w:val="48"/>
        </w:rPr>
        <w:t> </w:t>
      </w:r>
      <w:r>
        <w:rPr/>
        <w:t>Communication</w:t>
      </w:r>
      <w:r>
        <w:rPr>
          <w:spacing w:val="-4"/>
        </w:rPr>
        <w:t> </w:t>
      </w:r>
      <w:r>
        <w:rPr/>
        <w:t>Skills:</w:t>
      </w:r>
      <w:r>
        <w:rPr>
          <w:spacing w:val="-5"/>
        </w:rPr>
        <w:t> </w:t>
      </w:r>
      <w:r>
        <w:rPr/>
        <w:t>Ability</w:t>
      </w:r>
      <w:r>
        <w:rPr>
          <w:spacing w:val="-10"/>
        </w:rPr>
        <w:t> </w:t>
      </w:r>
      <w:r>
        <w:rPr/>
        <w:t>to</w:t>
      </w:r>
      <w:r>
        <w:rPr>
          <w:spacing w:val="-5"/>
        </w:rPr>
        <w:t> </w:t>
      </w:r>
      <w:r>
        <w:rPr/>
        <w:t>read,</w:t>
      </w:r>
      <w:r>
        <w:rPr>
          <w:spacing w:val="-4"/>
        </w:rPr>
        <w:t> </w:t>
      </w:r>
      <w:r>
        <w:rPr/>
        <w:t>write,</w:t>
      </w:r>
      <w:r>
        <w:rPr>
          <w:spacing w:val="-7"/>
        </w:rPr>
        <w:t> </w:t>
      </w:r>
      <w:r>
        <w:rPr/>
        <w:t>speak,</w:t>
      </w:r>
      <w:r>
        <w:rPr>
          <w:spacing w:val="-7"/>
        </w:rPr>
        <w:t> </w:t>
      </w:r>
      <w:r>
        <w:rPr/>
        <w:t>and</w:t>
      </w:r>
      <w:r>
        <w:rPr>
          <w:spacing w:val="-6"/>
        </w:rPr>
        <w:t> </w:t>
      </w:r>
      <w:r>
        <w:rPr/>
        <w:t>listen</w:t>
      </w:r>
      <w:r>
        <w:rPr>
          <w:spacing w:val="-5"/>
        </w:rPr>
        <w:t> </w:t>
      </w:r>
      <w:r>
        <w:rPr>
          <w:spacing w:val="-2"/>
        </w:rPr>
        <w:t>effectively</w:t>
      </w:r>
    </w:p>
    <w:p>
      <w:pPr>
        <w:pStyle w:val="BodyText"/>
        <w:tabs>
          <w:tab w:pos="1879" w:val="left" w:leader="none"/>
        </w:tabs>
        <w:ind w:left="1879" w:right="1003" w:hanging="720"/>
      </w:pPr>
      <w:r>
        <w:rPr>
          <w:spacing w:val="-6"/>
        </w:rPr>
        <w:t>A5</w:t>
      </w:r>
      <w:r>
        <w:rPr/>
        <w:tab/>
        <w:t>Investigative</w:t>
      </w:r>
      <w:r>
        <w:rPr>
          <w:spacing w:val="-2"/>
        </w:rPr>
        <w:t> </w:t>
      </w:r>
      <w:r>
        <w:rPr/>
        <w:t>Skills:</w:t>
      </w:r>
      <w:r>
        <w:rPr>
          <w:spacing w:val="-2"/>
        </w:rPr>
        <w:t> </w:t>
      </w:r>
      <w:r>
        <w:rPr/>
        <w:t>Ability</w:t>
      </w:r>
      <w:r>
        <w:rPr>
          <w:spacing w:val="-5"/>
        </w:rPr>
        <w:t> </w:t>
      </w:r>
      <w:r>
        <w:rPr/>
        <w:t>to</w:t>
      </w:r>
      <w:r>
        <w:rPr>
          <w:spacing w:val="-4"/>
        </w:rPr>
        <w:t> </w:t>
      </w:r>
      <w:r>
        <w:rPr/>
        <w:t>gather,</w:t>
      </w:r>
      <w:r>
        <w:rPr>
          <w:spacing w:val="-4"/>
        </w:rPr>
        <w:t> </w:t>
      </w:r>
      <w:r>
        <w:rPr/>
        <w:t>assess,</w:t>
      </w:r>
      <w:r>
        <w:rPr>
          <w:spacing w:val="-3"/>
        </w:rPr>
        <w:t> </w:t>
      </w:r>
      <w:r>
        <w:rPr/>
        <w:t>record,</w:t>
      </w:r>
      <w:r>
        <w:rPr>
          <w:spacing w:val="-2"/>
        </w:rPr>
        <w:t> </w:t>
      </w:r>
      <w:r>
        <w:rPr/>
        <w:t>and</w:t>
      </w:r>
      <w:r>
        <w:rPr>
          <w:spacing w:val="-4"/>
        </w:rPr>
        <w:t> </w:t>
      </w:r>
      <w:r>
        <w:rPr/>
        <w:t>apply</w:t>
      </w:r>
      <w:r>
        <w:rPr>
          <w:spacing w:val="-7"/>
        </w:rPr>
        <w:t> </w:t>
      </w:r>
      <w:r>
        <w:rPr/>
        <w:t>relevant</w:t>
      </w:r>
      <w:r>
        <w:rPr>
          <w:spacing w:val="-4"/>
        </w:rPr>
        <w:t> </w:t>
      </w:r>
      <w:r>
        <w:rPr/>
        <w:t>information</w:t>
      </w:r>
      <w:r>
        <w:rPr>
          <w:spacing w:val="-4"/>
        </w:rPr>
        <w:t> </w:t>
      </w:r>
      <w:r>
        <w:rPr/>
        <w:t>in architectural coursework.</w:t>
      </w:r>
    </w:p>
    <w:p>
      <w:pPr>
        <w:pStyle w:val="BodyText"/>
        <w:tabs>
          <w:tab w:pos="1879" w:val="left" w:leader="none"/>
        </w:tabs>
        <w:ind w:left="1879" w:right="726" w:hanging="721"/>
      </w:pPr>
      <w:r>
        <w:rPr>
          <w:spacing w:val="-6"/>
        </w:rPr>
        <w:t>A7</w:t>
      </w:r>
      <w:r>
        <w:rPr/>
        <w:tab/>
        <w:t>Use</w:t>
      </w:r>
      <w:r>
        <w:rPr>
          <w:spacing w:val="-5"/>
        </w:rPr>
        <w:t> </w:t>
      </w:r>
      <w:r>
        <w:rPr/>
        <w:t>of</w:t>
      </w:r>
      <w:r>
        <w:rPr>
          <w:spacing w:val="-3"/>
        </w:rPr>
        <w:t> </w:t>
      </w:r>
      <w:r>
        <w:rPr/>
        <w:t>Precedents:</w:t>
      </w:r>
      <w:r>
        <w:rPr>
          <w:spacing w:val="-5"/>
        </w:rPr>
        <w:t> </w:t>
      </w:r>
      <w:r>
        <w:rPr/>
        <w:t>Ability</w:t>
      </w:r>
      <w:r>
        <w:rPr>
          <w:spacing w:val="-6"/>
        </w:rPr>
        <w:t> </w:t>
      </w:r>
      <w:r>
        <w:rPr/>
        <w:t>to</w:t>
      </w:r>
      <w:r>
        <w:rPr>
          <w:spacing w:val="-5"/>
        </w:rPr>
        <w:t> </w:t>
      </w:r>
      <w:r>
        <w:rPr/>
        <w:t>incorporate</w:t>
      </w:r>
      <w:r>
        <w:rPr>
          <w:spacing w:val="-3"/>
        </w:rPr>
        <w:t> </w:t>
      </w:r>
      <w:r>
        <w:rPr/>
        <w:t>relevant</w:t>
      </w:r>
      <w:r>
        <w:rPr>
          <w:spacing w:val="-2"/>
        </w:rPr>
        <w:t> </w:t>
      </w:r>
      <w:r>
        <w:rPr/>
        <w:t>precedents</w:t>
      </w:r>
      <w:r>
        <w:rPr>
          <w:spacing w:val="-4"/>
        </w:rPr>
        <w:t> </w:t>
      </w:r>
      <w:r>
        <w:rPr/>
        <w:t>into</w:t>
      </w:r>
      <w:r>
        <w:rPr>
          <w:spacing w:val="-5"/>
        </w:rPr>
        <w:t> </w:t>
      </w:r>
      <w:r>
        <w:rPr/>
        <w:t>architecture</w:t>
      </w:r>
      <w:r>
        <w:rPr>
          <w:spacing w:val="-2"/>
        </w:rPr>
        <w:t> </w:t>
      </w:r>
      <w:r>
        <w:rPr/>
        <w:t>and</w:t>
      </w:r>
      <w:r>
        <w:rPr>
          <w:spacing w:val="-5"/>
        </w:rPr>
        <w:t> </w:t>
      </w:r>
      <w:r>
        <w:rPr/>
        <w:t>urban design projects.</w:t>
      </w:r>
    </w:p>
    <w:p>
      <w:pPr>
        <w:pStyle w:val="BodyText"/>
        <w:tabs>
          <w:tab w:pos="1879" w:val="left" w:leader="none"/>
        </w:tabs>
        <w:spacing w:before="1"/>
        <w:ind w:left="1879" w:right="684" w:hanging="721"/>
      </w:pPr>
      <w:r>
        <w:rPr>
          <w:spacing w:val="-6"/>
        </w:rPr>
        <w:t>A9</w:t>
      </w:r>
      <w:r>
        <w:rPr/>
        <w:tab/>
        <w:t>Historic</w:t>
      </w:r>
      <w:r>
        <w:rPr>
          <w:spacing w:val="-4"/>
        </w:rPr>
        <w:t> </w:t>
      </w:r>
      <w:r>
        <w:rPr/>
        <w:t>Traditions</w:t>
      </w:r>
      <w:r>
        <w:rPr>
          <w:spacing w:val="-1"/>
        </w:rPr>
        <w:t> </w:t>
      </w:r>
      <w:r>
        <w:rPr/>
        <w:t>&amp;</w:t>
      </w:r>
      <w:r>
        <w:rPr>
          <w:spacing w:val="-6"/>
        </w:rPr>
        <w:t> </w:t>
      </w:r>
      <w:r>
        <w:rPr/>
        <w:t>Global</w:t>
      </w:r>
      <w:r>
        <w:rPr>
          <w:spacing w:val="-4"/>
        </w:rPr>
        <w:t> </w:t>
      </w:r>
      <w:r>
        <w:rPr/>
        <w:t>Culture::</w:t>
      </w:r>
      <w:r>
        <w:rPr>
          <w:spacing w:val="-5"/>
        </w:rPr>
        <w:t> </w:t>
      </w:r>
      <w:r>
        <w:rPr/>
        <w:t>Understanding</w:t>
      </w:r>
      <w:r>
        <w:rPr>
          <w:spacing w:val="-3"/>
        </w:rPr>
        <w:t> </w:t>
      </w:r>
      <w:r>
        <w:rPr/>
        <w:t>of</w:t>
      </w:r>
      <w:r>
        <w:rPr>
          <w:spacing w:val="-3"/>
        </w:rPr>
        <w:t> </w:t>
      </w:r>
      <w:r>
        <w:rPr/>
        <w:t>the</w:t>
      </w:r>
      <w:r>
        <w:rPr>
          <w:spacing w:val="-8"/>
        </w:rPr>
        <w:t> </w:t>
      </w:r>
      <w:r>
        <w:rPr/>
        <w:t>Western</w:t>
      </w:r>
      <w:r>
        <w:rPr>
          <w:spacing w:val="-5"/>
        </w:rPr>
        <w:t> </w:t>
      </w:r>
      <w:r>
        <w:rPr/>
        <w:t>Architectural</w:t>
      </w:r>
      <w:r>
        <w:rPr>
          <w:spacing w:val="-6"/>
        </w:rPr>
        <w:t> </w:t>
      </w:r>
      <w:r>
        <w:rPr/>
        <w:t>Canons and traditions in architecture.</w:t>
      </w:r>
    </w:p>
    <w:p>
      <w:pPr>
        <w:pStyle w:val="BodyText"/>
        <w:tabs>
          <w:tab w:pos="1879" w:val="left" w:leader="none"/>
        </w:tabs>
        <w:ind w:left="1879" w:right="1277" w:hanging="720"/>
      </w:pPr>
      <w:r>
        <w:rPr>
          <w:spacing w:val="-4"/>
        </w:rPr>
        <w:t>A10</w:t>
      </w:r>
      <w:r>
        <w:rPr/>
        <w:tab/>
        <w:t>Cultural</w:t>
      </w:r>
      <w:r>
        <w:rPr>
          <w:spacing w:val="-4"/>
        </w:rPr>
        <w:t> </w:t>
      </w:r>
      <w:r>
        <w:rPr/>
        <w:t>Diversity:</w:t>
      </w:r>
      <w:r>
        <w:rPr>
          <w:spacing w:val="-5"/>
        </w:rPr>
        <w:t> </w:t>
      </w:r>
      <w:r>
        <w:rPr/>
        <w:t>understanding</w:t>
      </w:r>
      <w:r>
        <w:rPr>
          <w:spacing w:val="-5"/>
        </w:rPr>
        <w:t> </w:t>
      </w:r>
      <w:r>
        <w:rPr/>
        <w:t>of</w:t>
      </w:r>
      <w:r>
        <w:rPr>
          <w:spacing w:val="-3"/>
        </w:rPr>
        <w:t> </w:t>
      </w:r>
      <w:r>
        <w:rPr/>
        <w:t>parallel</w:t>
      </w:r>
      <w:r>
        <w:rPr>
          <w:spacing w:val="-4"/>
        </w:rPr>
        <w:t> </w:t>
      </w:r>
      <w:r>
        <w:rPr/>
        <w:t>and</w:t>
      </w:r>
      <w:r>
        <w:rPr>
          <w:spacing w:val="-5"/>
        </w:rPr>
        <w:t> </w:t>
      </w:r>
      <w:r>
        <w:rPr/>
        <w:t>divergent</w:t>
      </w:r>
      <w:r>
        <w:rPr>
          <w:spacing w:val="-5"/>
        </w:rPr>
        <w:t> </w:t>
      </w:r>
      <w:r>
        <w:rPr/>
        <w:t>canons</w:t>
      </w:r>
      <w:r>
        <w:rPr>
          <w:spacing w:val="-4"/>
        </w:rPr>
        <w:t> </w:t>
      </w:r>
      <w:r>
        <w:rPr/>
        <w:t>and</w:t>
      </w:r>
      <w:r>
        <w:rPr>
          <w:spacing w:val="-5"/>
        </w:rPr>
        <w:t> </w:t>
      </w:r>
      <w:r>
        <w:rPr/>
        <w:t>traditions</w:t>
      </w:r>
      <w:r>
        <w:rPr>
          <w:spacing w:val="-4"/>
        </w:rPr>
        <w:t> </w:t>
      </w:r>
      <w:r>
        <w:rPr/>
        <w:t>of architecture and urban design in the non-western world.</w:t>
      </w:r>
    </w:p>
    <w:p>
      <w:pPr>
        <w:spacing w:before="117"/>
        <w:ind w:left="439" w:right="0" w:firstLine="0"/>
        <w:jc w:val="left"/>
        <w:rPr>
          <w:b/>
          <w:sz w:val="20"/>
        </w:rPr>
      </w:pPr>
      <w:r>
        <w:rPr>
          <w:b/>
          <w:sz w:val="20"/>
        </w:rPr>
        <w:t>Topical</w:t>
      </w:r>
      <w:r>
        <w:rPr>
          <w:b/>
          <w:spacing w:val="-7"/>
          <w:sz w:val="20"/>
        </w:rPr>
        <w:t> </w:t>
      </w:r>
      <w:r>
        <w:rPr>
          <w:b/>
          <w:sz w:val="20"/>
        </w:rPr>
        <w:t>Outline</w:t>
      </w:r>
      <w:r>
        <w:rPr>
          <w:b/>
          <w:spacing w:val="-7"/>
          <w:sz w:val="20"/>
        </w:rPr>
        <w:t> </w:t>
      </w:r>
      <w:r>
        <w:rPr>
          <w:b/>
          <w:sz w:val="20"/>
        </w:rPr>
        <w:t>and</w:t>
      </w:r>
      <w:r>
        <w:rPr>
          <w:b/>
          <w:spacing w:val="-6"/>
          <w:sz w:val="20"/>
        </w:rPr>
        <w:t> </w:t>
      </w:r>
      <w:r>
        <w:rPr>
          <w:b/>
          <w:sz w:val="20"/>
        </w:rPr>
        <w:t>percentage</w:t>
      </w:r>
      <w:r>
        <w:rPr>
          <w:b/>
          <w:spacing w:val="-6"/>
          <w:sz w:val="20"/>
        </w:rPr>
        <w:t> </w:t>
      </w:r>
      <w:r>
        <w:rPr>
          <w:b/>
          <w:sz w:val="20"/>
        </w:rPr>
        <w:t>of</w:t>
      </w:r>
      <w:r>
        <w:rPr>
          <w:b/>
          <w:spacing w:val="-6"/>
          <w:sz w:val="20"/>
        </w:rPr>
        <w:t> </w:t>
      </w:r>
      <w:r>
        <w:rPr>
          <w:b/>
          <w:sz w:val="20"/>
        </w:rPr>
        <w:t>time</w:t>
      </w:r>
      <w:r>
        <w:rPr>
          <w:b/>
          <w:spacing w:val="-7"/>
          <w:sz w:val="20"/>
        </w:rPr>
        <w:t> </w:t>
      </w:r>
      <w:r>
        <w:rPr>
          <w:b/>
          <w:sz w:val="20"/>
        </w:rPr>
        <w:t>spent</w:t>
      </w:r>
      <w:r>
        <w:rPr>
          <w:b/>
          <w:spacing w:val="-6"/>
          <w:sz w:val="20"/>
        </w:rPr>
        <w:t> </w:t>
      </w:r>
      <w:r>
        <w:rPr>
          <w:b/>
          <w:sz w:val="20"/>
        </w:rPr>
        <w:t>on</w:t>
      </w:r>
      <w:r>
        <w:rPr>
          <w:b/>
          <w:spacing w:val="-5"/>
          <w:sz w:val="20"/>
        </w:rPr>
        <w:t> </w:t>
      </w:r>
      <w:r>
        <w:rPr>
          <w:b/>
          <w:spacing w:val="-4"/>
          <w:sz w:val="20"/>
        </w:rPr>
        <w:t>each</w:t>
      </w:r>
    </w:p>
    <w:p>
      <w:pPr>
        <w:pStyle w:val="BodyText"/>
        <w:spacing w:before="123"/>
        <w:ind w:left="1159"/>
      </w:pPr>
      <w:r>
        <w:rPr/>
        <w:t>Knowledge</w:t>
      </w:r>
      <w:r>
        <w:rPr>
          <w:spacing w:val="-11"/>
        </w:rPr>
        <w:t> </w:t>
      </w:r>
      <w:r>
        <w:rPr>
          <w:spacing w:val="-5"/>
        </w:rPr>
        <w:t>50%</w:t>
      </w:r>
    </w:p>
    <w:p>
      <w:pPr>
        <w:pStyle w:val="BodyText"/>
        <w:spacing w:line="229" w:lineRule="exact" w:before="1"/>
        <w:ind w:left="1159"/>
      </w:pPr>
      <w:r>
        <w:rPr/>
        <w:t>Research</w:t>
      </w:r>
      <w:r>
        <w:rPr>
          <w:spacing w:val="-11"/>
        </w:rPr>
        <w:t> </w:t>
      </w:r>
      <w:r>
        <w:rPr>
          <w:spacing w:val="-5"/>
        </w:rPr>
        <w:t>25%</w:t>
      </w:r>
    </w:p>
    <w:p>
      <w:pPr>
        <w:pStyle w:val="BodyText"/>
        <w:spacing w:line="229" w:lineRule="exact"/>
        <w:ind w:left="1159"/>
      </w:pPr>
      <w:r>
        <w:rPr>
          <w:w w:val="95"/>
        </w:rPr>
        <w:t>Communication</w:t>
      </w:r>
      <w:r>
        <w:rPr>
          <w:spacing w:val="51"/>
        </w:rPr>
        <w:t> </w:t>
      </w:r>
      <w:r>
        <w:rPr>
          <w:spacing w:val="-5"/>
        </w:rPr>
        <w:t>25%</w:t>
      </w:r>
    </w:p>
    <w:p>
      <w:pPr>
        <w:spacing w:before="118"/>
        <w:ind w:left="439" w:right="0" w:firstLine="0"/>
        <w:jc w:val="left"/>
        <w:rPr>
          <w:b/>
          <w:sz w:val="20"/>
        </w:rPr>
      </w:pPr>
      <w:r>
        <w:rPr>
          <w:b/>
          <w:w w:val="95"/>
          <w:sz w:val="20"/>
        </w:rPr>
        <w:t>Pre-</w:t>
      </w:r>
      <w:r>
        <w:rPr>
          <w:b/>
          <w:spacing w:val="-2"/>
          <w:sz w:val="20"/>
        </w:rPr>
        <w:t>requisites</w:t>
      </w:r>
    </w:p>
    <w:p>
      <w:pPr>
        <w:pStyle w:val="BodyText"/>
        <w:spacing w:before="122"/>
        <w:ind w:left="1159"/>
      </w:pPr>
      <w:r>
        <w:rPr/>
        <w:t>No</w:t>
      </w:r>
      <w:r>
        <w:rPr>
          <w:spacing w:val="-4"/>
        </w:rPr>
        <w:t> </w:t>
      </w:r>
      <w:r>
        <w:rPr>
          <w:spacing w:val="-2"/>
        </w:rPr>
        <w:t>Prerequisites.</w:t>
      </w:r>
    </w:p>
    <w:p>
      <w:pPr>
        <w:spacing w:before="118"/>
        <w:ind w:left="439" w:right="0" w:firstLine="0"/>
        <w:jc w:val="left"/>
        <w:rPr>
          <w:b/>
          <w:sz w:val="20"/>
        </w:rPr>
      </w:pPr>
      <w:r>
        <w:rPr>
          <w:b/>
          <w:sz w:val="20"/>
        </w:rPr>
        <w:t>Textbooks</w:t>
      </w:r>
      <w:r>
        <w:rPr>
          <w:b/>
          <w:spacing w:val="-11"/>
          <w:sz w:val="20"/>
        </w:rPr>
        <w:t> </w:t>
      </w:r>
      <w:r>
        <w:rPr>
          <w:b/>
          <w:sz w:val="20"/>
        </w:rPr>
        <w:t>/</w:t>
      </w:r>
      <w:r>
        <w:rPr>
          <w:b/>
          <w:spacing w:val="-9"/>
          <w:sz w:val="20"/>
        </w:rPr>
        <w:t> </w:t>
      </w:r>
      <w:r>
        <w:rPr>
          <w:b/>
          <w:sz w:val="20"/>
        </w:rPr>
        <w:t>Learning</w:t>
      </w:r>
      <w:r>
        <w:rPr>
          <w:b/>
          <w:spacing w:val="-7"/>
          <w:sz w:val="20"/>
        </w:rPr>
        <w:t> </w:t>
      </w:r>
      <w:r>
        <w:rPr>
          <w:b/>
          <w:spacing w:val="-2"/>
          <w:sz w:val="20"/>
        </w:rPr>
        <w:t>Resources</w:t>
      </w:r>
    </w:p>
    <w:p>
      <w:pPr>
        <w:spacing w:line="242" w:lineRule="auto" w:before="121"/>
        <w:ind w:left="1159" w:right="642" w:firstLine="0"/>
        <w:jc w:val="left"/>
        <w:rPr>
          <w:sz w:val="20"/>
        </w:rPr>
      </w:pPr>
      <w:r>
        <w:rPr>
          <w:i/>
          <w:sz w:val="20"/>
        </w:rPr>
        <w:t>Buildings</w:t>
      </w:r>
      <w:r>
        <w:rPr>
          <w:i/>
          <w:spacing w:val="-3"/>
          <w:sz w:val="20"/>
        </w:rPr>
        <w:t> </w:t>
      </w:r>
      <w:r>
        <w:rPr>
          <w:i/>
          <w:sz w:val="20"/>
        </w:rPr>
        <w:t>Across</w:t>
      </w:r>
      <w:r>
        <w:rPr>
          <w:i/>
          <w:spacing w:val="-3"/>
          <w:sz w:val="20"/>
        </w:rPr>
        <w:t> </w:t>
      </w:r>
      <w:r>
        <w:rPr>
          <w:i/>
          <w:sz w:val="20"/>
        </w:rPr>
        <w:t>Time:</w:t>
      </w:r>
      <w:r>
        <w:rPr>
          <w:i/>
          <w:spacing w:val="-4"/>
          <w:sz w:val="20"/>
        </w:rPr>
        <w:t> </w:t>
      </w:r>
      <w:r>
        <w:rPr>
          <w:i/>
          <w:sz w:val="20"/>
        </w:rPr>
        <w:t>An</w:t>
      </w:r>
      <w:r>
        <w:rPr>
          <w:i/>
          <w:spacing w:val="-4"/>
          <w:sz w:val="20"/>
        </w:rPr>
        <w:t> </w:t>
      </w:r>
      <w:r>
        <w:rPr>
          <w:i/>
          <w:sz w:val="20"/>
        </w:rPr>
        <w:t>Introduction</w:t>
      </w:r>
      <w:r>
        <w:rPr>
          <w:i/>
          <w:spacing w:val="-2"/>
          <w:sz w:val="20"/>
        </w:rPr>
        <w:t> </w:t>
      </w:r>
      <w:r>
        <w:rPr>
          <w:i/>
          <w:sz w:val="20"/>
        </w:rPr>
        <w:t>to</w:t>
      </w:r>
      <w:r>
        <w:rPr>
          <w:i/>
          <w:spacing w:val="-4"/>
          <w:sz w:val="20"/>
        </w:rPr>
        <w:t> </w:t>
      </w:r>
      <w:r>
        <w:rPr>
          <w:i/>
          <w:sz w:val="20"/>
        </w:rPr>
        <w:t>World</w:t>
      </w:r>
      <w:r>
        <w:rPr>
          <w:i/>
          <w:spacing w:val="-2"/>
          <w:sz w:val="20"/>
        </w:rPr>
        <w:t> </w:t>
      </w:r>
      <w:r>
        <w:rPr>
          <w:i/>
          <w:sz w:val="20"/>
        </w:rPr>
        <w:t>Architecture</w:t>
      </w:r>
      <w:r>
        <w:rPr>
          <w:i/>
          <w:spacing w:val="40"/>
          <w:sz w:val="20"/>
        </w:rPr>
        <w:t> </w:t>
      </w:r>
      <w:r>
        <w:rPr>
          <w:sz w:val="20"/>
        </w:rPr>
        <w:t>by</w:t>
      </w:r>
      <w:r>
        <w:rPr>
          <w:spacing w:val="-4"/>
          <w:sz w:val="20"/>
        </w:rPr>
        <w:t> </w:t>
      </w:r>
      <w:r>
        <w:rPr>
          <w:sz w:val="20"/>
        </w:rPr>
        <w:t>Marian</w:t>
      </w:r>
      <w:r>
        <w:rPr>
          <w:spacing w:val="-4"/>
          <w:sz w:val="20"/>
        </w:rPr>
        <w:t> </w:t>
      </w:r>
      <w:r>
        <w:rPr>
          <w:sz w:val="20"/>
        </w:rPr>
        <w:t>Moffett,</w:t>
      </w:r>
      <w:r>
        <w:rPr>
          <w:spacing w:val="-4"/>
          <w:sz w:val="20"/>
        </w:rPr>
        <w:t> </w:t>
      </w:r>
      <w:r>
        <w:rPr>
          <w:sz w:val="20"/>
        </w:rPr>
        <w:t>Michael</w:t>
      </w:r>
      <w:r>
        <w:rPr>
          <w:spacing w:val="-5"/>
          <w:sz w:val="20"/>
        </w:rPr>
        <w:t> </w:t>
      </w:r>
      <w:r>
        <w:rPr>
          <w:sz w:val="20"/>
        </w:rPr>
        <w:t>Fazio, and Lawrence Wodehouse; 3rd edition</w:t>
      </w:r>
    </w:p>
    <w:p>
      <w:pPr>
        <w:spacing w:before="114"/>
        <w:ind w:left="439" w:right="0" w:firstLine="0"/>
        <w:jc w:val="left"/>
        <w:rPr>
          <w:b/>
          <w:sz w:val="20"/>
        </w:rPr>
      </w:pPr>
      <w:r>
        <w:rPr>
          <w:b/>
          <w:sz w:val="20"/>
        </w:rPr>
        <w:t>Offered</w:t>
      </w:r>
      <w:r>
        <w:rPr>
          <w:b/>
          <w:spacing w:val="-10"/>
          <w:sz w:val="20"/>
        </w:rPr>
        <w:t> </w:t>
      </w:r>
      <w:r>
        <w:rPr>
          <w:b/>
          <w:spacing w:val="-2"/>
          <w:sz w:val="20"/>
        </w:rPr>
        <w:t>(terms):</w:t>
      </w:r>
    </w:p>
    <w:p>
      <w:pPr>
        <w:pStyle w:val="BodyText"/>
        <w:spacing w:before="123"/>
        <w:ind w:left="799"/>
      </w:pPr>
      <w:r>
        <w:rPr/>
        <w:t>Fall</w:t>
      </w:r>
      <w:r>
        <w:rPr>
          <w:spacing w:val="-6"/>
        </w:rPr>
        <w:t> </w:t>
      </w:r>
      <w:r>
        <w:rPr/>
        <w:t>Semester</w:t>
      </w:r>
      <w:r>
        <w:rPr>
          <w:spacing w:val="-7"/>
        </w:rPr>
        <w:t> </w:t>
      </w:r>
      <w:r>
        <w:rPr/>
        <w:t>(sometimes</w:t>
      </w:r>
      <w:r>
        <w:rPr>
          <w:spacing w:val="-8"/>
        </w:rPr>
        <w:t> </w:t>
      </w:r>
      <w:r>
        <w:rPr/>
        <w:t>offered</w:t>
      </w:r>
      <w:r>
        <w:rPr>
          <w:spacing w:val="-8"/>
        </w:rPr>
        <w:t> </w:t>
      </w:r>
      <w:r>
        <w:rPr/>
        <w:t>in</w:t>
      </w:r>
      <w:r>
        <w:rPr>
          <w:spacing w:val="-7"/>
        </w:rPr>
        <w:t> </w:t>
      </w:r>
      <w:r>
        <w:rPr>
          <w:spacing w:val="-2"/>
        </w:rPr>
        <w:t>Spring)</w:t>
      </w:r>
    </w:p>
    <w:p>
      <w:pPr>
        <w:spacing w:before="118"/>
        <w:ind w:left="494" w:right="0" w:firstLine="0"/>
        <w:jc w:val="left"/>
        <w:rPr>
          <w:b/>
          <w:sz w:val="20"/>
        </w:rPr>
      </w:pPr>
      <w:r>
        <w:rPr>
          <w:b/>
          <w:sz w:val="20"/>
        </w:rPr>
        <w:t>Faculty</w:t>
      </w:r>
      <w:r>
        <w:rPr>
          <w:b/>
          <w:spacing w:val="-8"/>
          <w:sz w:val="20"/>
        </w:rPr>
        <w:t> </w:t>
      </w:r>
      <w:r>
        <w:rPr>
          <w:b/>
          <w:spacing w:val="-2"/>
          <w:sz w:val="20"/>
        </w:rPr>
        <w:t>Assigned</w:t>
      </w:r>
    </w:p>
    <w:p>
      <w:pPr>
        <w:pStyle w:val="BodyText"/>
        <w:spacing w:before="122"/>
        <w:ind w:left="1159" w:right="6812"/>
      </w:pPr>
      <w:r>
        <w:rPr/>
        <w:t>2014</w:t>
      </w:r>
      <w:r>
        <w:rPr>
          <w:spacing w:val="-8"/>
        </w:rPr>
        <w:t> </w:t>
      </w:r>
      <w:r>
        <w:rPr/>
        <w:t>–</w:t>
      </w:r>
      <w:r>
        <w:rPr>
          <w:spacing w:val="-12"/>
        </w:rPr>
        <w:t> </w:t>
      </w:r>
      <w:r>
        <w:rPr/>
        <w:t>W.</w:t>
      </w:r>
      <w:r>
        <w:rPr>
          <w:spacing w:val="-9"/>
        </w:rPr>
        <w:t> </w:t>
      </w:r>
      <w:r>
        <w:rPr/>
        <w:t>Henderson</w:t>
      </w:r>
      <w:r>
        <w:rPr>
          <w:spacing w:val="-9"/>
        </w:rPr>
        <w:t> </w:t>
      </w:r>
      <w:r>
        <w:rPr/>
        <w:t>(F/T) 2013</w:t>
      </w:r>
      <w:r>
        <w:rPr>
          <w:spacing w:val="-4"/>
        </w:rPr>
        <w:t> </w:t>
      </w:r>
      <w:r>
        <w:rPr/>
        <w:t>–</w:t>
      </w:r>
      <w:r>
        <w:rPr>
          <w:spacing w:val="-8"/>
        </w:rPr>
        <w:t> </w:t>
      </w:r>
      <w:r>
        <w:rPr/>
        <w:t>W.</w:t>
      </w:r>
      <w:r>
        <w:rPr>
          <w:spacing w:val="-5"/>
        </w:rPr>
        <w:t> </w:t>
      </w:r>
      <w:r>
        <w:rPr/>
        <w:t>Henderson</w:t>
      </w:r>
      <w:r>
        <w:rPr>
          <w:spacing w:val="-5"/>
        </w:rPr>
        <w:t> </w:t>
      </w:r>
      <w:r>
        <w:rPr>
          <w:spacing w:val="-4"/>
        </w:rPr>
        <w:t>(F/T)</w:t>
      </w:r>
    </w:p>
    <w:p>
      <w:pPr>
        <w:spacing w:after="0"/>
        <w:sectPr>
          <w:headerReference w:type="default" r:id="rId195"/>
          <w:footerReference w:type="default" r:id="rId196"/>
          <w:pgSz w:w="12240" w:h="15840"/>
          <w:pgMar w:header="993" w:footer="974" w:top="1240" w:bottom="1160" w:left="1000" w:right="820"/>
        </w:sectPr>
      </w:pPr>
    </w:p>
    <w:p>
      <w:pPr>
        <w:spacing w:before="115"/>
        <w:ind w:left="440" w:right="0" w:firstLine="0"/>
        <w:jc w:val="left"/>
        <w:rPr>
          <w:b/>
          <w:sz w:val="20"/>
        </w:rPr>
      </w:pPr>
      <w:r>
        <w:rPr>
          <w:b/>
          <w:sz w:val="20"/>
        </w:rPr>
        <w:t>Course</w:t>
      </w:r>
      <w:r>
        <w:rPr>
          <w:b/>
          <w:spacing w:val="-9"/>
          <w:sz w:val="20"/>
        </w:rPr>
        <w:t> </w:t>
      </w:r>
      <w:r>
        <w:rPr>
          <w:b/>
          <w:sz w:val="20"/>
        </w:rPr>
        <w:t>Description</w:t>
      </w:r>
      <w:r>
        <w:rPr>
          <w:b/>
          <w:spacing w:val="-8"/>
          <w:sz w:val="20"/>
        </w:rPr>
        <w:t> </w:t>
      </w:r>
      <w:r>
        <w:rPr>
          <w:b/>
          <w:sz w:val="20"/>
        </w:rPr>
        <w:t>(limit</w:t>
      </w:r>
      <w:r>
        <w:rPr>
          <w:b/>
          <w:spacing w:val="-7"/>
          <w:sz w:val="20"/>
        </w:rPr>
        <w:t> </w:t>
      </w:r>
      <w:r>
        <w:rPr>
          <w:b/>
          <w:sz w:val="20"/>
        </w:rPr>
        <w:t>25</w:t>
      </w:r>
      <w:r>
        <w:rPr>
          <w:b/>
          <w:spacing w:val="-8"/>
          <w:sz w:val="20"/>
        </w:rPr>
        <w:t> </w:t>
      </w:r>
      <w:r>
        <w:rPr>
          <w:b/>
          <w:spacing w:val="-2"/>
          <w:sz w:val="20"/>
        </w:rPr>
        <w:t>words):</w:t>
      </w:r>
    </w:p>
    <w:p>
      <w:pPr>
        <w:pStyle w:val="BodyText"/>
        <w:spacing w:before="122"/>
        <w:ind w:left="1159" w:right="642"/>
      </w:pPr>
      <w:r>
        <w:rPr/>
        <w:t>The</w:t>
      </w:r>
      <w:r>
        <w:rPr>
          <w:spacing w:val="-4"/>
        </w:rPr>
        <w:t> </w:t>
      </w:r>
      <w:r>
        <w:rPr/>
        <w:t>survey</w:t>
      </w:r>
      <w:r>
        <w:rPr>
          <w:spacing w:val="-5"/>
        </w:rPr>
        <w:t> </w:t>
      </w:r>
      <w:r>
        <w:rPr/>
        <w:t>of</w:t>
      </w:r>
      <w:r>
        <w:rPr>
          <w:spacing w:val="-2"/>
        </w:rPr>
        <w:t> </w:t>
      </w:r>
      <w:r>
        <w:rPr/>
        <w:t>the</w:t>
      </w:r>
      <w:r>
        <w:rPr>
          <w:spacing w:val="-4"/>
        </w:rPr>
        <w:t> </w:t>
      </w:r>
      <w:r>
        <w:rPr/>
        <w:t>architecture</w:t>
      </w:r>
      <w:r>
        <w:rPr>
          <w:spacing w:val="-4"/>
        </w:rPr>
        <w:t> </w:t>
      </w:r>
      <w:r>
        <w:rPr/>
        <w:t>history,</w:t>
      </w:r>
      <w:r>
        <w:rPr>
          <w:spacing w:val="-4"/>
        </w:rPr>
        <w:t> </w:t>
      </w:r>
      <w:r>
        <w:rPr/>
        <w:t>considered</w:t>
      </w:r>
      <w:r>
        <w:rPr>
          <w:spacing w:val="-2"/>
        </w:rPr>
        <w:t> </w:t>
      </w:r>
      <w:r>
        <w:rPr/>
        <w:t>as</w:t>
      </w:r>
      <w:r>
        <w:rPr>
          <w:spacing w:val="-3"/>
        </w:rPr>
        <w:t> </w:t>
      </w:r>
      <w:r>
        <w:rPr/>
        <w:t>a</w:t>
      </w:r>
      <w:r>
        <w:rPr>
          <w:spacing w:val="-4"/>
        </w:rPr>
        <w:t> </w:t>
      </w:r>
      <w:r>
        <w:rPr/>
        <w:t>social,</w:t>
      </w:r>
      <w:r>
        <w:rPr>
          <w:spacing w:val="-4"/>
        </w:rPr>
        <w:t> </w:t>
      </w:r>
      <w:r>
        <w:rPr/>
        <w:t>cultural</w:t>
      </w:r>
      <w:r>
        <w:rPr>
          <w:spacing w:val="-5"/>
        </w:rPr>
        <w:t> </w:t>
      </w:r>
      <w:r>
        <w:rPr/>
        <w:t>and</w:t>
      </w:r>
      <w:r>
        <w:rPr>
          <w:spacing w:val="-4"/>
        </w:rPr>
        <w:t> </w:t>
      </w:r>
      <w:r>
        <w:rPr/>
        <w:t>spatial</w:t>
      </w:r>
      <w:r>
        <w:rPr>
          <w:spacing w:val="-5"/>
        </w:rPr>
        <w:t> </w:t>
      </w:r>
      <w:r>
        <w:rPr/>
        <w:t>expression</w:t>
      </w:r>
      <w:r>
        <w:rPr>
          <w:spacing w:val="-4"/>
        </w:rPr>
        <w:t> </w:t>
      </w:r>
      <w:r>
        <w:rPr/>
        <w:t>of civilization from Renaissance through the 21st century.</w:t>
      </w:r>
    </w:p>
    <w:p>
      <w:pPr>
        <w:spacing w:before="119"/>
        <w:ind w:left="440" w:right="0" w:firstLine="0"/>
        <w:jc w:val="left"/>
        <w:rPr>
          <w:b/>
          <w:sz w:val="20"/>
        </w:rPr>
      </w:pPr>
      <w:r>
        <w:rPr>
          <w:b/>
          <w:sz w:val="20"/>
        </w:rPr>
        <w:t>Course</w:t>
      </w:r>
      <w:r>
        <w:rPr>
          <w:b/>
          <w:spacing w:val="-9"/>
          <w:sz w:val="20"/>
        </w:rPr>
        <w:t> </w:t>
      </w:r>
      <w:r>
        <w:rPr>
          <w:b/>
          <w:sz w:val="20"/>
        </w:rPr>
        <w:t>Goals</w:t>
      </w:r>
      <w:r>
        <w:rPr>
          <w:b/>
          <w:spacing w:val="-7"/>
          <w:sz w:val="20"/>
        </w:rPr>
        <w:t> </w:t>
      </w:r>
      <w:r>
        <w:rPr>
          <w:b/>
          <w:sz w:val="20"/>
        </w:rPr>
        <w:t>and</w:t>
      </w:r>
      <w:r>
        <w:rPr>
          <w:b/>
          <w:spacing w:val="-5"/>
          <w:sz w:val="20"/>
        </w:rPr>
        <w:t> </w:t>
      </w:r>
      <w:r>
        <w:rPr>
          <w:b/>
          <w:spacing w:val="-2"/>
          <w:sz w:val="20"/>
        </w:rPr>
        <w:t>Objectives;</w:t>
      </w:r>
    </w:p>
    <w:p>
      <w:pPr>
        <w:pStyle w:val="BodyText"/>
        <w:spacing w:before="123"/>
        <w:ind w:left="1159" w:right="642"/>
      </w:pPr>
      <w:r>
        <w:rPr/>
        <w:t>The objective of this course is for students to explore and understand the chronological study of the social, political, technical, and cultural influence on architectural movements, to analyze the creativity</w:t>
      </w:r>
      <w:r>
        <w:rPr>
          <w:spacing w:val="-7"/>
        </w:rPr>
        <w:t> </w:t>
      </w:r>
      <w:r>
        <w:rPr/>
        <w:t>and</w:t>
      </w:r>
      <w:r>
        <w:rPr>
          <w:spacing w:val="-2"/>
        </w:rPr>
        <w:t> </w:t>
      </w:r>
      <w:r>
        <w:rPr/>
        <w:t>individuality</w:t>
      </w:r>
      <w:r>
        <w:rPr>
          <w:spacing w:val="-5"/>
        </w:rPr>
        <w:t> </w:t>
      </w:r>
      <w:r>
        <w:rPr/>
        <w:t>within</w:t>
      </w:r>
      <w:r>
        <w:rPr>
          <w:spacing w:val="-2"/>
        </w:rPr>
        <w:t> </w:t>
      </w:r>
      <w:r>
        <w:rPr/>
        <w:t>various</w:t>
      </w:r>
      <w:r>
        <w:rPr>
          <w:spacing w:val="-3"/>
        </w:rPr>
        <w:t> </w:t>
      </w:r>
      <w:r>
        <w:rPr/>
        <w:t>styles,</w:t>
      </w:r>
      <w:r>
        <w:rPr>
          <w:spacing w:val="-2"/>
        </w:rPr>
        <w:t> </w:t>
      </w:r>
      <w:r>
        <w:rPr/>
        <w:t>as well</w:t>
      </w:r>
      <w:r>
        <w:rPr>
          <w:spacing w:val="-2"/>
        </w:rPr>
        <w:t> </w:t>
      </w:r>
      <w:r>
        <w:rPr/>
        <w:t>as</w:t>
      </w:r>
      <w:r>
        <w:rPr>
          <w:spacing w:val="-3"/>
        </w:rPr>
        <w:t> </w:t>
      </w:r>
      <w:r>
        <w:rPr/>
        <w:t>the</w:t>
      </w:r>
      <w:r>
        <w:rPr>
          <w:spacing w:val="-4"/>
        </w:rPr>
        <w:t> </w:t>
      </w:r>
      <w:r>
        <w:rPr/>
        <w:t>community</w:t>
      </w:r>
      <w:r>
        <w:rPr>
          <w:spacing w:val="-5"/>
        </w:rPr>
        <w:t> </w:t>
      </w:r>
      <w:r>
        <w:rPr/>
        <w:t>or</w:t>
      </w:r>
      <w:r>
        <w:rPr>
          <w:spacing w:val="-3"/>
        </w:rPr>
        <w:t> </w:t>
      </w:r>
      <w:r>
        <w:rPr/>
        <w:t>urban</w:t>
      </w:r>
      <w:r>
        <w:rPr>
          <w:spacing w:val="-4"/>
        </w:rPr>
        <w:t> </w:t>
      </w:r>
      <w:r>
        <w:rPr/>
        <w:t>context,</w:t>
      </w:r>
      <w:r>
        <w:rPr>
          <w:spacing w:val="-2"/>
        </w:rPr>
        <w:t> </w:t>
      </w:r>
      <w:r>
        <w:rPr/>
        <w:t>and</w:t>
      </w:r>
      <w:r>
        <w:rPr>
          <w:spacing w:val="-4"/>
        </w:rPr>
        <w:t> </w:t>
      </w:r>
      <w:r>
        <w:rPr/>
        <w:t>to appreciate</w:t>
      </w:r>
      <w:r>
        <w:rPr>
          <w:spacing w:val="-4"/>
        </w:rPr>
        <w:t> </w:t>
      </w:r>
      <w:r>
        <w:rPr/>
        <w:t>the</w:t>
      </w:r>
      <w:r>
        <w:rPr>
          <w:spacing w:val="-2"/>
        </w:rPr>
        <w:t> </w:t>
      </w:r>
      <w:r>
        <w:rPr/>
        <w:t>aesthetic values</w:t>
      </w:r>
      <w:r>
        <w:rPr>
          <w:spacing w:val="-3"/>
        </w:rPr>
        <w:t> </w:t>
      </w:r>
      <w:r>
        <w:rPr/>
        <w:t>and</w:t>
      </w:r>
      <w:r>
        <w:rPr>
          <w:spacing w:val="-4"/>
        </w:rPr>
        <w:t> </w:t>
      </w:r>
      <w:r>
        <w:rPr/>
        <w:t>the</w:t>
      </w:r>
      <w:r>
        <w:rPr>
          <w:spacing w:val="-4"/>
        </w:rPr>
        <w:t> </w:t>
      </w:r>
      <w:r>
        <w:rPr/>
        <w:t>excellence</w:t>
      </w:r>
      <w:r>
        <w:rPr>
          <w:spacing w:val="-4"/>
        </w:rPr>
        <w:t> </w:t>
      </w:r>
      <w:r>
        <w:rPr/>
        <w:t>inherent</w:t>
      </w:r>
      <w:r>
        <w:rPr>
          <w:spacing w:val="-2"/>
        </w:rPr>
        <w:t> </w:t>
      </w:r>
      <w:r>
        <w:rPr/>
        <w:t>in</w:t>
      </w:r>
      <w:r>
        <w:rPr>
          <w:spacing w:val="-4"/>
        </w:rPr>
        <w:t> </w:t>
      </w:r>
      <w:r>
        <w:rPr/>
        <w:t>artistic</w:t>
      </w:r>
      <w:r>
        <w:rPr>
          <w:spacing w:val="-3"/>
        </w:rPr>
        <w:t> </w:t>
      </w:r>
      <w:r>
        <w:rPr/>
        <w:t>expression.</w:t>
      </w:r>
      <w:r>
        <w:rPr>
          <w:spacing w:val="80"/>
        </w:rPr>
        <w:t> </w:t>
      </w:r>
      <w:r>
        <w:rPr/>
        <w:t>The</w:t>
      </w:r>
      <w:r>
        <w:rPr>
          <w:spacing w:val="-4"/>
        </w:rPr>
        <w:t> </w:t>
      </w:r>
      <w:r>
        <w:rPr/>
        <w:t>student</w:t>
      </w:r>
      <w:r>
        <w:rPr>
          <w:spacing w:val="-2"/>
        </w:rPr>
        <w:t> </w:t>
      </w:r>
      <w:r>
        <w:rPr/>
        <w:t>is expected to evaluate his or her own approach to design methodology based upon a historical </w:t>
      </w:r>
      <w:r>
        <w:rPr>
          <w:spacing w:val="-2"/>
        </w:rPr>
        <w:t>perspective.</w:t>
      </w:r>
    </w:p>
    <w:p>
      <w:pPr>
        <w:spacing w:before="118"/>
        <w:ind w:left="440" w:right="0" w:firstLine="0"/>
        <w:jc w:val="left"/>
        <w:rPr>
          <w:b/>
          <w:sz w:val="20"/>
        </w:rPr>
      </w:pPr>
      <w:r>
        <w:rPr>
          <w:b/>
          <w:sz w:val="20"/>
        </w:rPr>
        <w:t>Student</w:t>
      </w:r>
      <w:r>
        <w:rPr>
          <w:b/>
          <w:spacing w:val="-9"/>
          <w:sz w:val="20"/>
        </w:rPr>
        <w:t> </w:t>
      </w:r>
      <w:r>
        <w:rPr>
          <w:b/>
          <w:sz w:val="20"/>
        </w:rPr>
        <w:t>Performance</w:t>
      </w:r>
      <w:r>
        <w:rPr>
          <w:b/>
          <w:spacing w:val="-9"/>
          <w:sz w:val="20"/>
        </w:rPr>
        <w:t> </w:t>
      </w:r>
      <w:r>
        <w:rPr>
          <w:b/>
          <w:sz w:val="20"/>
        </w:rPr>
        <w:t>Criteria</w:t>
      </w:r>
      <w:r>
        <w:rPr>
          <w:b/>
          <w:spacing w:val="-5"/>
          <w:sz w:val="20"/>
        </w:rPr>
        <w:t> </w:t>
      </w:r>
      <w:r>
        <w:rPr>
          <w:b/>
          <w:sz w:val="20"/>
        </w:rPr>
        <w:t>Addressed</w:t>
      </w:r>
      <w:r>
        <w:rPr>
          <w:b/>
          <w:spacing w:val="-8"/>
          <w:sz w:val="20"/>
        </w:rPr>
        <w:t> </w:t>
      </w:r>
      <w:r>
        <w:rPr>
          <w:b/>
          <w:sz w:val="20"/>
        </w:rPr>
        <w:t>(name</w:t>
      </w:r>
      <w:r>
        <w:rPr>
          <w:b/>
          <w:spacing w:val="-9"/>
          <w:sz w:val="20"/>
        </w:rPr>
        <w:t> </w:t>
      </w:r>
      <w:r>
        <w:rPr>
          <w:b/>
          <w:sz w:val="20"/>
        </w:rPr>
        <w:t>and</w:t>
      </w:r>
      <w:r>
        <w:rPr>
          <w:b/>
          <w:spacing w:val="-8"/>
          <w:sz w:val="20"/>
        </w:rPr>
        <w:t> </w:t>
      </w:r>
      <w:r>
        <w:rPr>
          <w:b/>
          <w:spacing w:val="-2"/>
          <w:sz w:val="20"/>
        </w:rPr>
        <w:t>number)</w:t>
      </w:r>
    </w:p>
    <w:p>
      <w:pPr>
        <w:pStyle w:val="BodyText"/>
        <w:spacing w:before="120"/>
        <w:ind w:left="1159"/>
      </w:pPr>
      <w:r>
        <w:rPr/>
        <w:t>A1.</w:t>
      </w:r>
      <w:r>
        <w:rPr>
          <w:spacing w:val="-2"/>
        </w:rPr>
        <w:t> </w:t>
      </w:r>
      <w:r>
        <w:rPr/>
        <w:t>Communication</w:t>
      </w:r>
      <w:r>
        <w:rPr>
          <w:spacing w:val="-5"/>
        </w:rPr>
        <w:t> </w:t>
      </w:r>
      <w:r>
        <w:rPr/>
        <w:t>Skills:</w:t>
      </w:r>
      <w:r>
        <w:rPr>
          <w:spacing w:val="-6"/>
        </w:rPr>
        <w:t> </w:t>
      </w:r>
      <w:r>
        <w:rPr/>
        <w:t>Ability</w:t>
      </w:r>
      <w:r>
        <w:rPr>
          <w:spacing w:val="-10"/>
        </w:rPr>
        <w:t> </w:t>
      </w:r>
      <w:r>
        <w:rPr/>
        <w:t>to</w:t>
      </w:r>
      <w:r>
        <w:rPr>
          <w:spacing w:val="-5"/>
        </w:rPr>
        <w:t> </w:t>
      </w:r>
      <w:r>
        <w:rPr/>
        <w:t>read,</w:t>
      </w:r>
      <w:r>
        <w:rPr>
          <w:spacing w:val="-6"/>
        </w:rPr>
        <w:t> </w:t>
      </w:r>
      <w:r>
        <w:rPr/>
        <w:t>write,</w:t>
      </w:r>
      <w:r>
        <w:rPr>
          <w:spacing w:val="-7"/>
        </w:rPr>
        <w:t> </w:t>
      </w:r>
      <w:r>
        <w:rPr/>
        <w:t>speak,</w:t>
      </w:r>
      <w:r>
        <w:rPr>
          <w:spacing w:val="-7"/>
        </w:rPr>
        <w:t> </w:t>
      </w:r>
      <w:r>
        <w:rPr/>
        <w:t>and</w:t>
      </w:r>
      <w:r>
        <w:rPr>
          <w:spacing w:val="-7"/>
        </w:rPr>
        <w:t> </w:t>
      </w:r>
      <w:r>
        <w:rPr/>
        <w:t>listen</w:t>
      </w:r>
      <w:r>
        <w:rPr>
          <w:spacing w:val="-6"/>
        </w:rPr>
        <w:t> </w:t>
      </w:r>
      <w:r>
        <w:rPr>
          <w:spacing w:val="-2"/>
        </w:rPr>
        <w:t>effectively</w:t>
      </w:r>
    </w:p>
    <w:p>
      <w:pPr>
        <w:pStyle w:val="BodyText"/>
        <w:tabs>
          <w:tab w:pos="1879" w:val="left" w:leader="none"/>
        </w:tabs>
        <w:spacing w:before="1"/>
        <w:ind w:left="1879" w:right="1003" w:hanging="720"/>
      </w:pPr>
      <w:r>
        <w:rPr>
          <w:spacing w:val="-4"/>
        </w:rPr>
        <w:t>A5.</w:t>
      </w:r>
      <w:r>
        <w:rPr/>
        <w:tab/>
        <w:t>Investigative</w:t>
      </w:r>
      <w:r>
        <w:rPr>
          <w:spacing w:val="-2"/>
        </w:rPr>
        <w:t> </w:t>
      </w:r>
      <w:r>
        <w:rPr/>
        <w:t>Skills:</w:t>
      </w:r>
      <w:r>
        <w:rPr>
          <w:spacing w:val="-2"/>
        </w:rPr>
        <w:t> </w:t>
      </w:r>
      <w:r>
        <w:rPr/>
        <w:t>Ability</w:t>
      </w:r>
      <w:r>
        <w:rPr>
          <w:spacing w:val="-5"/>
        </w:rPr>
        <w:t> </w:t>
      </w:r>
      <w:r>
        <w:rPr/>
        <w:t>to</w:t>
      </w:r>
      <w:r>
        <w:rPr>
          <w:spacing w:val="-4"/>
        </w:rPr>
        <w:t> </w:t>
      </w:r>
      <w:r>
        <w:rPr/>
        <w:t>gather,</w:t>
      </w:r>
      <w:r>
        <w:rPr>
          <w:spacing w:val="-4"/>
        </w:rPr>
        <w:t> </w:t>
      </w:r>
      <w:r>
        <w:rPr/>
        <w:t>assess,</w:t>
      </w:r>
      <w:r>
        <w:rPr>
          <w:spacing w:val="-3"/>
        </w:rPr>
        <w:t> </w:t>
      </w:r>
      <w:r>
        <w:rPr/>
        <w:t>record,</w:t>
      </w:r>
      <w:r>
        <w:rPr>
          <w:spacing w:val="-2"/>
        </w:rPr>
        <w:t> </w:t>
      </w:r>
      <w:r>
        <w:rPr/>
        <w:t>and</w:t>
      </w:r>
      <w:r>
        <w:rPr>
          <w:spacing w:val="-4"/>
        </w:rPr>
        <w:t> </w:t>
      </w:r>
      <w:r>
        <w:rPr/>
        <w:t>apply</w:t>
      </w:r>
      <w:r>
        <w:rPr>
          <w:spacing w:val="-7"/>
        </w:rPr>
        <w:t> </w:t>
      </w:r>
      <w:r>
        <w:rPr/>
        <w:t>relevant</w:t>
      </w:r>
      <w:r>
        <w:rPr>
          <w:spacing w:val="-4"/>
        </w:rPr>
        <w:t> </w:t>
      </w:r>
      <w:r>
        <w:rPr/>
        <w:t>information</w:t>
      </w:r>
      <w:r>
        <w:rPr>
          <w:spacing w:val="-4"/>
        </w:rPr>
        <w:t> </w:t>
      </w:r>
      <w:r>
        <w:rPr/>
        <w:t>in architectural coursework.</w:t>
      </w:r>
    </w:p>
    <w:p>
      <w:pPr>
        <w:pStyle w:val="BodyText"/>
        <w:tabs>
          <w:tab w:pos="1879" w:val="left" w:leader="none"/>
        </w:tabs>
        <w:spacing w:before="1"/>
        <w:ind w:left="1879" w:right="726" w:hanging="720"/>
      </w:pPr>
      <w:r>
        <w:rPr>
          <w:spacing w:val="-4"/>
        </w:rPr>
        <w:t>A7.</w:t>
      </w:r>
      <w:r>
        <w:rPr/>
        <w:tab/>
        <w:t>Use</w:t>
      </w:r>
      <w:r>
        <w:rPr>
          <w:spacing w:val="-5"/>
        </w:rPr>
        <w:t> </w:t>
      </w:r>
      <w:r>
        <w:rPr/>
        <w:t>of</w:t>
      </w:r>
      <w:r>
        <w:rPr>
          <w:spacing w:val="-3"/>
        </w:rPr>
        <w:t> </w:t>
      </w:r>
      <w:r>
        <w:rPr/>
        <w:t>Precedents:</w:t>
      </w:r>
      <w:r>
        <w:rPr>
          <w:spacing w:val="-5"/>
        </w:rPr>
        <w:t> </w:t>
      </w:r>
      <w:r>
        <w:rPr/>
        <w:t>Ability</w:t>
      </w:r>
      <w:r>
        <w:rPr>
          <w:spacing w:val="-6"/>
        </w:rPr>
        <w:t> </w:t>
      </w:r>
      <w:r>
        <w:rPr/>
        <w:t>to</w:t>
      </w:r>
      <w:r>
        <w:rPr>
          <w:spacing w:val="-5"/>
        </w:rPr>
        <w:t> </w:t>
      </w:r>
      <w:r>
        <w:rPr/>
        <w:t>incorporate</w:t>
      </w:r>
      <w:r>
        <w:rPr>
          <w:spacing w:val="-3"/>
        </w:rPr>
        <w:t> </w:t>
      </w:r>
      <w:r>
        <w:rPr/>
        <w:t>relevant</w:t>
      </w:r>
      <w:r>
        <w:rPr>
          <w:spacing w:val="-1"/>
        </w:rPr>
        <w:t> </w:t>
      </w:r>
      <w:r>
        <w:rPr/>
        <w:t>precedents</w:t>
      </w:r>
      <w:r>
        <w:rPr>
          <w:spacing w:val="-4"/>
        </w:rPr>
        <w:t> </w:t>
      </w:r>
      <w:r>
        <w:rPr/>
        <w:t>into</w:t>
      </w:r>
      <w:r>
        <w:rPr>
          <w:spacing w:val="-5"/>
        </w:rPr>
        <w:t> </w:t>
      </w:r>
      <w:r>
        <w:rPr/>
        <w:t>architecture</w:t>
      </w:r>
      <w:r>
        <w:rPr>
          <w:spacing w:val="-3"/>
        </w:rPr>
        <w:t> </w:t>
      </w:r>
      <w:r>
        <w:rPr/>
        <w:t>and</w:t>
      </w:r>
      <w:r>
        <w:rPr>
          <w:spacing w:val="-5"/>
        </w:rPr>
        <w:t> </w:t>
      </w:r>
      <w:r>
        <w:rPr/>
        <w:t>urban design projects.</w:t>
      </w:r>
    </w:p>
    <w:p>
      <w:pPr>
        <w:pStyle w:val="BodyText"/>
        <w:tabs>
          <w:tab w:pos="1879" w:val="left" w:leader="none"/>
        </w:tabs>
        <w:spacing w:before="1"/>
        <w:ind w:left="1879" w:right="684" w:hanging="720"/>
      </w:pPr>
      <w:r>
        <w:rPr>
          <w:spacing w:val="-4"/>
        </w:rPr>
        <w:t>A9.</w:t>
      </w:r>
      <w:r>
        <w:rPr/>
        <w:tab/>
        <w:t>Historic</w:t>
      </w:r>
      <w:r>
        <w:rPr>
          <w:spacing w:val="-4"/>
        </w:rPr>
        <w:t> </w:t>
      </w:r>
      <w:r>
        <w:rPr/>
        <w:t>Traditions</w:t>
      </w:r>
      <w:r>
        <w:rPr>
          <w:spacing w:val="-1"/>
        </w:rPr>
        <w:t> </w:t>
      </w:r>
      <w:r>
        <w:rPr/>
        <w:t>&amp;</w:t>
      </w:r>
      <w:r>
        <w:rPr>
          <w:spacing w:val="-6"/>
        </w:rPr>
        <w:t> </w:t>
      </w:r>
      <w:r>
        <w:rPr/>
        <w:t>Global</w:t>
      </w:r>
      <w:r>
        <w:rPr>
          <w:spacing w:val="-4"/>
        </w:rPr>
        <w:t> </w:t>
      </w:r>
      <w:r>
        <w:rPr/>
        <w:t>Culture::</w:t>
      </w:r>
      <w:r>
        <w:rPr>
          <w:spacing w:val="-5"/>
        </w:rPr>
        <w:t> </w:t>
      </w:r>
      <w:r>
        <w:rPr/>
        <w:t>Understanding</w:t>
      </w:r>
      <w:r>
        <w:rPr>
          <w:spacing w:val="-3"/>
        </w:rPr>
        <w:t> </w:t>
      </w:r>
      <w:r>
        <w:rPr/>
        <w:t>of</w:t>
      </w:r>
      <w:r>
        <w:rPr>
          <w:spacing w:val="-3"/>
        </w:rPr>
        <w:t> </w:t>
      </w:r>
      <w:r>
        <w:rPr/>
        <w:t>the</w:t>
      </w:r>
      <w:r>
        <w:rPr>
          <w:spacing w:val="-8"/>
        </w:rPr>
        <w:t> </w:t>
      </w:r>
      <w:r>
        <w:rPr/>
        <w:t>Western</w:t>
      </w:r>
      <w:r>
        <w:rPr>
          <w:spacing w:val="-5"/>
        </w:rPr>
        <w:t> </w:t>
      </w:r>
      <w:r>
        <w:rPr/>
        <w:t>Architectural</w:t>
      </w:r>
      <w:r>
        <w:rPr>
          <w:spacing w:val="-6"/>
        </w:rPr>
        <w:t> </w:t>
      </w:r>
      <w:r>
        <w:rPr/>
        <w:t>Canons and traditions in architecture.</w:t>
      </w:r>
    </w:p>
    <w:p>
      <w:pPr>
        <w:pStyle w:val="BodyText"/>
        <w:tabs>
          <w:tab w:pos="1879" w:val="left" w:leader="none"/>
        </w:tabs>
        <w:ind w:left="1879" w:right="1277" w:hanging="720"/>
      </w:pPr>
      <w:r>
        <w:rPr>
          <w:spacing w:val="-4"/>
        </w:rPr>
        <w:t>A10</w:t>
      </w:r>
      <w:r>
        <w:rPr/>
        <w:tab/>
        <w:t>Cultural</w:t>
      </w:r>
      <w:r>
        <w:rPr>
          <w:spacing w:val="-4"/>
        </w:rPr>
        <w:t> </w:t>
      </w:r>
      <w:r>
        <w:rPr/>
        <w:t>Diversity:</w:t>
      </w:r>
      <w:r>
        <w:rPr>
          <w:spacing w:val="-5"/>
        </w:rPr>
        <w:t> </w:t>
      </w:r>
      <w:r>
        <w:rPr/>
        <w:t>understanding</w:t>
      </w:r>
      <w:r>
        <w:rPr>
          <w:spacing w:val="-5"/>
        </w:rPr>
        <w:t> </w:t>
      </w:r>
      <w:r>
        <w:rPr/>
        <w:t>of</w:t>
      </w:r>
      <w:r>
        <w:rPr>
          <w:spacing w:val="-3"/>
        </w:rPr>
        <w:t> </w:t>
      </w:r>
      <w:r>
        <w:rPr/>
        <w:t>parallel</w:t>
      </w:r>
      <w:r>
        <w:rPr>
          <w:spacing w:val="-4"/>
        </w:rPr>
        <w:t> </w:t>
      </w:r>
      <w:r>
        <w:rPr/>
        <w:t>and</w:t>
      </w:r>
      <w:r>
        <w:rPr>
          <w:spacing w:val="-5"/>
        </w:rPr>
        <w:t> </w:t>
      </w:r>
      <w:r>
        <w:rPr/>
        <w:t>divergent</w:t>
      </w:r>
      <w:r>
        <w:rPr>
          <w:spacing w:val="-5"/>
        </w:rPr>
        <w:t> </w:t>
      </w:r>
      <w:r>
        <w:rPr/>
        <w:t>canons</w:t>
      </w:r>
      <w:r>
        <w:rPr>
          <w:spacing w:val="-4"/>
        </w:rPr>
        <w:t> </w:t>
      </w:r>
      <w:r>
        <w:rPr/>
        <w:t>and</w:t>
      </w:r>
      <w:r>
        <w:rPr>
          <w:spacing w:val="-5"/>
        </w:rPr>
        <w:t> </w:t>
      </w:r>
      <w:r>
        <w:rPr/>
        <w:t>traditions</w:t>
      </w:r>
      <w:r>
        <w:rPr>
          <w:spacing w:val="-4"/>
        </w:rPr>
        <w:t> </w:t>
      </w:r>
      <w:r>
        <w:rPr/>
        <w:t>of architecture and urban design in the non-western world.</w:t>
      </w:r>
    </w:p>
    <w:p>
      <w:pPr>
        <w:spacing w:before="117"/>
        <w:ind w:left="439" w:right="0" w:firstLine="0"/>
        <w:jc w:val="left"/>
        <w:rPr>
          <w:b/>
          <w:sz w:val="20"/>
        </w:rPr>
      </w:pPr>
      <w:r>
        <w:rPr>
          <w:b/>
          <w:sz w:val="20"/>
        </w:rPr>
        <w:t>Topical</w:t>
      </w:r>
      <w:r>
        <w:rPr>
          <w:b/>
          <w:spacing w:val="-7"/>
          <w:sz w:val="20"/>
        </w:rPr>
        <w:t> </w:t>
      </w:r>
      <w:r>
        <w:rPr>
          <w:b/>
          <w:sz w:val="20"/>
        </w:rPr>
        <w:t>Outline</w:t>
      </w:r>
      <w:r>
        <w:rPr>
          <w:b/>
          <w:spacing w:val="-7"/>
          <w:sz w:val="20"/>
        </w:rPr>
        <w:t> </w:t>
      </w:r>
      <w:r>
        <w:rPr>
          <w:b/>
          <w:sz w:val="20"/>
        </w:rPr>
        <w:t>and</w:t>
      </w:r>
      <w:r>
        <w:rPr>
          <w:b/>
          <w:spacing w:val="-6"/>
          <w:sz w:val="20"/>
        </w:rPr>
        <w:t> </w:t>
      </w:r>
      <w:r>
        <w:rPr>
          <w:b/>
          <w:sz w:val="20"/>
        </w:rPr>
        <w:t>percentage</w:t>
      </w:r>
      <w:r>
        <w:rPr>
          <w:b/>
          <w:spacing w:val="-6"/>
          <w:sz w:val="20"/>
        </w:rPr>
        <w:t> </w:t>
      </w:r>
      <w:r>
        <w:rPr>
          <w:b/>
          <w:sz w:val="20"/>
        </w:rPr>
        <w:t>of</w:t>
      </w:r>
      <w:r>
        <w:rPr>
          <w:b/>
          <w:spacing w:val="-6"/>
          <w:sz w:val="20"/>
        </w:rPr>
        <w:t> </w:t>
      </w:r>
      <w:r>
        <w:rPr>
          <w:b/>
          <w:sz w:val="20"/>
        </w:rPr>
        <w:t>time</w:t>
      </w:r>
      <w:r>
        <w:rPr>
          <w:b/>
          <w:spacing w:val="-7"/>
          <w:sz w:val="20"/>
        </w:rPr>
        <w:t> </w:t>
      </w:r>
      <w:r>
        <w:rPr>
          <w:b/>
          <w:sz w:val="20"/>
        </w:rPr>
        <w:t>spent</w:t>
      </w:r>
      <w:r>
        <w:rPr>
          <w:b/>
          <w:spacing w:val="-6"/>
          <w:sz w:val="20"/>
        </w:rPr>
        <w:t> </w:t>
      </w:r>
      <w:r>
        <w:rPr>
          <w:b/>
          <w:sz w:val="20"/>
        </w:rPr>
        <w:t>on</w:t>
      </w:r>
      <w:r>
        <w:rPr>
          <w:b/>
          <w:spacing w:val="-5"/>
          <w:sz w:val="20"/>
        </w:rPr>
        <w:t> </w:t>
      </w:r>
      <w:r>
        <w:rPr>
          <w:b/>
          <w:spacing w:val="-4"/>
          <w:sz w:val="20"/>
        </w:rPr>
        <w:t>each</w:t>
      </w:r>
    </w:p>
    <w:p>
      <w:pPr>
        <w:pStyle w:val="BodyText"/>
        <w:spacing w:line="229" w:lineRule="exact" w:before="123"/>
        <w:ind w:left="1159"/>
      </w:pPr>
      <w:r>
        <w:rPr/>
        <w:t>Knowledge</w:t>
      </w:r>
      <w:r>
        <w:rPr>
          <w:spacing w:val="-11"/>
        </w:rPr>
        <w:t> </w:t>
      </w:r>
      <w:r>
        <w:rPr>
          <w:spacing w:val="-5"/>
        </w:rPr>
        <w:t>50%</w:t>
      </w:r>
    </w:p>
    <w:p>
      <w:pPr>
        <w:pStyle w:val="BodyText"/>
        <w:spacing w:line="229" w:lineRule="exact"/>
        <w:ind w:left="1159"/>
      </w:pPr>
      <w:r>
        <w:rPr/>
        <w:t>Research</w:t>
      </w:r>
      <w:r>
        <w:rPr>
          <w:spacing w:val="-11"/>
        </w:rPr>
        <w:t> </w:t>
      </w:r>
      <w:r>
        <w:rPr>
          <w:spacing w:val="-5"/>
        </w:rPr>
        <w:t>25%</w:t>
      </w:r>
    </w:p>
    <w:p>
      <w:pPr>
        <w:pStyle w:val="BodyText"/>
        <w:ind w:left="1159"/>
      </w:pPr>
      <w:r>
        <w:rPr>
          <w:w w:val="95"/>
        </w:rPr>
        <w:t>Communication</w:t>
      </w:r>
      <w:r>
        <w:rPr>
          <w:spacing w:val="51"/>
        </w:rPr>
        <w:t> </w:t>
      </w:r>
      <w:r>
        <w:rPr>
          <w:spacing w:val="-5"/>
        </w:rPr>
        <w:t>25%</w:t>
      </w:r>
    </w:p>
    <w:p>
      <w:pPr>
        <w:spacing w:before="118"/>
        <w:ind w:left="439" w:right="0" w:firstLine="0"/>
        <w:jc w:val="left"/>
        <w:rPr>
          <w:b/>
          <w:sz w:val="20"/>
        </w:rPr>
      </w:pPr>
      <w:r>
        <w:rPr>
          <w:b/>
          <w:w w:val="95"/>
          <w:sz w:val="20"/>
        </w:rPr>
        <w:t>Pre-</w:t>
      </w:r>
      <w:r>
        <w:rPr>
          <w:b/>
          <w:spacing w:val="-2"/>
          <w:sz w:val="20"/>
        </w:rPr>
        <w:t>requisites</w:t>
      </w:r>
    </w:p>
    <w:p>
      <w:pPr>
        <w:pStyle w:val="BodyText"/>
        <w:spacing w:before="123"/>
        <w:ind w:left="1159"/>
      </w:pPr>
      <w:r>
        <w:rPr/>
        <w:t>No</w:t>
      </w:r>
      <w:r>
        <w:rPr>
          <w:spacing w:val="-4"/>
        </w:rPr>
        <w:t> </w:t>
      </w:r>
      <w:r>
        <w:rPr>
          <w:spacing w:val="-2"/>
        </w:rPr>
        <w:t>Prerequisite.</w:t>
      </w:r>
    </w:p>
    <w:p>
      <w:pPr>
        <w:spacing w:before="118"/>
        <w:ind w:left="439" w:right="0" w:firstLine="0"/>
        <w:jc w:val="left"/>
        <w:rPr>
          <w:b/>
          <w:sz w:val="20"/>
        </w:rPr>
      </w:pPr>
      <w:r>
        <w:rPr>
          <w:b/>
          <w:sz w:val="20"/>
        </w:rPr>
        <w:t>Textbooks</w:t>
      </w:r>
      <w:r>
        <w:rPr>
          <w:b/>
          <w:spacing w:val="-11"/>
          <w:sz w:val="20"/>
        </w:rPr>
        <w:t> </w:t>
      </w:r>
      <w:r>
        <w:rPr>
          <w:b/>
          <w:sz w:val="20"/>
        </w:rPr>
        <w:t>/</w:t>
      </w:r>
      <w:r>
        <w:rPr>
          <w:b/>
          <w:spacing w:val="-9"/>
          <w:sz w:val="20"/>
        </w:rPr>
        <w:t> </w:t>
      </w:r>
      <w:r>
        <w:rPr>
          <w:b/>
          <w:sz w:val="20"/>
        </w:rPr>
        <w:t>Learning</w:t>
      </w:r>
      <w:r>
        <w:rPr>
          <w:b/>
          <w:spacing w:val="-7"/>
          <w:sz w:val="20"/>
        </w:rPr>
        <w:t> </w:t>
      </w:r>
      <w:r>
        <w:rPr>
          <w:b/>
          <w:spacing w:val="-2"/>
          <w:sz w:val="20"/>
        </w:rPr>
        <w:t>Resources</w:t>
      </w:r>
    </w:p>
    <w:p>
      <w:pPr>
        <w:spacing w:before="120"/>
        <w:ind w:left="1159" w:right="642" w:firstLine="0"/>
        <w:jc w:val="left"/>
        <w:rPr>
          <w:sz w:val="20"/>
        </w:rPr>
      </w:pPr>
      <w:r>
        <w:rPr>
          <w:i/>
          <w:sz w:val="20"/>
        </w:rPr>
        <w:t>Buildings</w:t>
      </w:r>
      <w:r>
        <w:rPr>
          <w:i/>
          <w:spacing w:val="-3"/>
          <w:sz w:val="20"/>
        </w:rPr>
        <w:t> </w:t>
      </w:r>
      <w:r>
        <w:rPr>
          <w:i/>
          <w:sz w:val="20"/>
        </w:rPr>
        <w:t>Across</w:t>
      </w:r>
      <w:r>
        <w:rPr>
          <w:i/>
          <w:spacing w:val="-3"/>
          <w:sz w:val="20"/>
        </w:rPr>
        <w:t> </w:t>
      </w:r>
      <w:r>
        <w:rPr>
          <w:i/>
          <w:sz w:val="20"/>
        </w:rPr>
        <w:t>Time:</w:t>
      </w:r>
      <w:r>
        <w:rPr>
          <w:i/>
          <w:spacing w:val="-4"/>
          <w:sz w:val="20"/>
        </w:rPr>
        <w:t> </w:t>
      </w:r>
      <w:r>
        <w:rPr>
          <w:i/>
          <w:sz w:val="20"/>
        </w:rPr>
        <w:t>An</w:t>
      </w:r>
      <w:r>
        <w:rPr>
          <w:i/>
          <w:spacing w:val="-4"/>
          <w:sz w:val="20"/>
        </w:rPr>
        <w:t> </w:t>
      </w:r>
      <w:r>
        <w:rPr>
          <w:i/>
          <w:sz w:val="20"/>
        </w:rPr>
        <w:t>Introduction</w:t>
      </w:r>
      <w:r>
        <w:rPr>
          <w:i/>
          <w:spacing w:val="-1"/>
          <w:sz w:val="20"/>
        </w:rPr>
        <w:t> </w:t>
      </w:r>
      <w:r>
        <w:rPr>
          <w:i/>
          <w:sz w:val="20"/>
        </w:rPr>
        <w:t>to</w:t>
      </w:r>
      <w:r>
        <w:rPr>
          <w:i/>
          <w:spacing w:val="-4"/>
          <w:sz w:val="20"/>
        </w:rPr>
        <w:t> </w:t>
      </w:r>
      <w:r>
        <w:rPr>
          <w:i/>
          <w:sz w:val="20"/>
        </w:rPr>
        <w:t>World</w:t>
      </w:r>
      <w:r>
        <w:rPr>
          <w:i/>
          <w:spacing w:val="-2"/>
          <w:sz w:val="20"/>
        </w:rPr>
        <w:t> </w:t>
      </w:r>
      <w:r>
        <w:rPr>
          <w:i/>
          <w:sz w:val="20"/>
        </w:rPr>
        <w:t>Architecture</w:t>
      </w:r>
      <w:r>
        <w:rPr>
          <w:i/>
          <w:spacing w:val="-4"/>
          <w:sz w:val="20"/>
        </w:rPr>
        <w:t> </w:t>
      </w:r>
      <w:r>
        <w:rPr>
          <w:sz w:val="20"/>
        </w:rPr>
        <w:t>by</w:t>
      </w:r>
      <w:r>
        <w:rPr>
          <w:spacing w:val="-7"/>
          <w:sz w:val="20"/>
        </w:rPr>
        <w:t> </w:t>
      </w:r>
      <w:r>
        <w:rPr>
          <w:sz w:val="20"/>
        </w:rPr>
        <w:t>Marian</w:t>
      </w:r>
      <w:r>
        <w:rPr>
          <w:spacing w:val="-4"/>
          <w:sz w:val="20"/>
        </w:rPr>
        <w:t> </w:t>
      </w:r>
      <w:r>
        <w:rPr>
          <w:sz w:val="20"/>
        </w:rPr>
        <w:t>Moffett,</w:t>
      </w:r>
      <w:r>
        <w:rPr>
          <w:spacing w:val="-4"/>
          <w:sz w:val="20"/>
        </w:rPr>
        <w:t> </w:t>
      </w:r>
      <w:r>
        <w:rPr>
          <w:sz w:val="20"/>
        </w:rPr>
        <w:t>Michael</w:t>
      </w:r>
      <w:r>
        <w:rPr>
          <w:spacing w:val="-5"/>
          <w:sz w:val="20"/>
        </w:rPr>
        <w:t> </w:t>
      </w:r>
      <w:r>
        <w:rPr>
          <w:sz w:val="20"/>
        </w:rPr>
        <w:t>Fazio, and Lawrence Wodehouse; 3rd edition</w:t>
      </w:r>
    </w:p>
    <w:p>
      <w:pPr>
        <w:spacing w:before="119"/>
        <w:ind w:left="439" w:right="0" w:firstLine="0"/>
        <w:jc w:val="left"/>
        <w:rPr>
          <w:b/>
          <w:sz w:val="20"/>
        </w:rPr>
      </w:pPr>
      <w:r>
        <w:rPr>
          <w:b/>
          <w:sz w:val="20"/>
        </w:rPr>
        <w:t>Offered</w:t>
      </w:r>
      <w:r>
        <w:rPr>
          <w:b/>
          <w:spacing w:val="-10"/>
          <w:sz w:val="20"/>
        </w:rPr>
        <w:t> </w:t>
      </w:r>
      <w:r>
        <w:rPr>
          <w:b/>
          <w:spacing w:val="-2"/>
          <w:sz w:val="20"/>
        </w:rPr>
        <w:t>(terms):</w:t>
      </w:r>
    </w:p>
    <w:p>
      <w:pPr>
        <w:pStyle w:val="BodyText"/>
        <w:spacing w:before="123"/>
        <w:ind w:left="799"/>
      </w:pPr>
      <w:r>
        <w:rPr/>
        <w:t>Spring</w:t>
      </w:r>
      <w:r>
        <w:rPr>
          <w:spacing w:val="-7"/>
        </w:rPr>
        <w:t> </w:t>
      </w:r>
      <w:r>
        <w:rPr/>
        <w:t>Semester</w:t>
      </w:r>
      <w:r>
        <w:rPr>
          <w:spacing w:val="-8"/>
        </w:rPr>
        <w:t> </w:t>
      </w:r>
      <w:r>
        <w:rPr/>
        <w:t>(sometimes</w:t>
      </w:r>
      <w:r>
        <w:rPr>
          <w:spacing w:val="-8"/>
        </w:rPr>
        <w:t> </w:t>
      </w:r>
      <w:r>
        <w:rPr/>
        <w:t>offered</w:t>
      </w:r>
      <w:r>
        <w:rPr>
          <w:spacing w:val="-8"/>
        </w:rPr>
        <w:t> </w:t>
      </w:r>
      <w:r>
        <w:rPr/>
        <w:t>in</w:t>
      </w:r>
      <w:r>
        <w:rPr>
          <w:spacing w:val="-9"/>
        </w:rPr>
        <w:t> </w:t>
      </w:r>
      <w:r>
        <w:rPr>
          <w:spacing w:val="-4"/>
        </w:rPr>
        <w:t>Fall)</w:t>
      </w:r>
    </w:p>
    <w:p>
      <w:pPr>
        <w:spacing w:before="118"/>
        <w:ind w:left="494" w:right="0" w:firstLine="0"/>
        <w:jc w:val="left"/>
        <w:rPr>
          <w:b/>
          <w:sz w:val="20"/>
        </w:rPr>
      </w:pPr>
      <w:r>
        <w:rPr>
          <w:b/>
          <w:sz w:val="20"/>
        </w:rPr>
        <w:t>Faculty</w:t>
      </w:r>
      <w:r>
        <w:rPr>
          <w:b/>
          <w:spacing w:val="-8"/>
          <w:sz w:val="20"/>
        </w:rPr>
        <w:t> </w:t>
      </w:r>
      <w:r>
        <w:rPr>
          <w:b/>
          <w:spacing w:val="-2"/>
          <w:sz w:val="20"/>
        </w:rPr>
        <w:t>Assigned</w:t>
      </w:r>
    </w:p>
    <w:p>
      <w:pPr>
        <w:pStyle w:val="BodyText"/>
        <w:spacing w:before="122"/>
        <w:ind w:left="1159" w:right="6812"/>
      </w:pPr>
      <w:r>
        <w:rPr/>
        <w:t>2014</w:t>
      </w:r>
      <w:r>
        <w:rPr>
          <w:spacing w:val="-8"/>
        </w:rPr>
        <w:t> </w:t>
      </w:r>
      <w:r>
        <w:rPr/>
        <w:t>–</w:t>
      </w:r>
      <w:r>
        <w:rPr>
          <w:spacing w:val="-12"/>
        </w:rPr>
        <w:t> </w:t>
      </w:r>
      <w:r>
        <w:rPr/>
        <w:t>W.</w:t>
      </w:r>
      <w:r>
        <w:rPr>
          <w:spacing w:val="-10"/>
        </w:rPr>
        <w:t> </w:t>
      </w:r>
      <w:r>
        <w:rPr/>
        <w:t>Henderson</w:t>
      </w:r>
      <w:r>
        <w:rPr>
          <w:spacing w:val="-10"/>
        </w:rPr>
        <w:t> </w:t>
      </w:r>
      <w:r>
        <w:rPr/>
        <w:t>(F/T) 2013</w:t>
      </w:r>
      <w:r>
        <w:rPr>
          <w:spacing w:val="-4"/>
        </w:rPr>
        <w:t> </w:t>
      </w:r>
      <w:r>
        <w:rPr/>
        <w:t>–</w:t>
      </w:r>
      <w:r>
        <w:rPr>
          <w:spacing w:val="-8"/>
        </w:rPr>
        <w:t> </w:t>
      </w:r>
      <w:r>
        <w:rPr/>
        <w:t>W.</w:t>
      </w:r>
      <w:r>
        <w:rPr>
          <w:spacing w:val="-5"/>
        </w:rPr>
        <w:t> </w:t>
      </w:r>
      <w:r>
        <w:rPr/>
        <w:t>Henderson</w:t>
      </w:r>
      <w:r>
        <w:rPr>
          <w:spacing w:val="-5"/>
        </w:rPr>
        <w:t> </w:t>
      </w:r>
      <w:r>
        <w:rPr>
          <w:spacing w:val="-4"/>
        </w:rPr>
        <w:t>(F/T)</w:t>
      </w:r>
    </w:p>
    <w:p>
      <w:pPr>
        <w:spacing w:after="0"/>
        <w:sectPr>
          <w:headerReference w:type="default" r:id="rId197"/>
          <w:footerReference w:type="default" r:id="rId198"/>
          <w:pgSz w:w="12240" w:h="15840"/>
          <w:pgMar w:header="993" w:footer="974" w:top="1240" w:bottom="1160" w:left="1000" w:right="820"/>
        </w:sectPr>
      </w:pPr>
    </w:p>
    <w:p>
      <w:pPr>
        <w:spacing w:before="115"/>
        <w:ind w:left="440" w:right="0" w:firstLine="0"/>
        <w:jc w:val="left"/>
        <w:rPr>
          <w:b/>
          <w:sz w:val="20"/>
        </w:rPr>
      </w:pPr>
      <w:r>
        <w:rPr>
          <w:b/>
          <w:sz w:val="20"/>
        </w:rPr>
        <w:t>Course</w:t>
      </w:r>
      <w:r>
        <w:rPr>
          <w:b/>
          <w:spacing w:val="-9"/>
          <w:sz w:val="20"/>
        </w:rPr>
        <w:t> </w:t>
      </w:r>
      <w:r>
        <w:rPr>
          <w:b/>
          <w:sz w:val="20"/>
        </w:rPr>
        <w:t>Description</w:t>
      </w:r>
      <w:r>
        <w:rPr>
          <w:b/>
          <w:spacing w:val="-8"/>
          <w:sz w:val="20"/>
        </w:rPr>
        <w:t> </w:t>
      </w:r>
      <w:r>
        <w:rPr>
          <w:b/>
          <w:sz w:val="20"/>
        </w:rPr>
        <w:t>(limit</w:t>
      </w:r>
      <w:r>
        <w:rPr>
          <w:b/>
          <w:spacing w:val="-7"/>
          <w:sz w:val="20"/>
        </w:rPr>
        <w:t> </w:t>
      </w:r>
      <w:r>
        <w:rPr>
          <w:b/>
          <w:sz w:val="20"/>
        </w:rPr>
        <w:t>25</w:t>
      </w:r>
      <w:r>
        <w:rPr>
          <w:b/>
          <w:spacing w:val="-8"/>
          <w:sz w:val="20"/>
        </w:rPr>
        <w:t> </w:t>
      </w:r>
      <w:r>
        <w:rPr>
          <w:b/>
          <w:spacing w:val="-2"/>
          <w:sz w:val="20"/>
        </w:rPr>
        <w:t>words):</w:t>
      </w:r>
    </w:p>
    <w:p>
      <w:pPr>
        <w:pStyle w:val="BodyText"/>
        <w:spacing w:before="122"/>
        <w:ind w:left="1159" w:right="642"/>
      </w:pPr>
      <w:r>
        <w:rPr/>
        <w:t>An</w:t>
      </w:r>
      <w:r>
        <w:rPr>
          <w:spacing w:val="-4"/>
        </w:rPr>
        <w:t> </w:t>
      </w:r>
      <w:r>
        <w:rPr/>
        <w:t>exploration</w:t>
      </w:r>
      <w:r>
        <w:rPr>
          <w:spacing w:val="-4"/>
        </w:rPr>
        <w:t> </w:t>
      </w:r>
      <w:r>
        <w:rPr/>
        <w:t>into</w:t>
      </w:r>
      <w:r>
        <w:rPr>
          <w:spacing w:val="-2"/>
        </w:rPr>
        <w:t> </w:t>
      </w:r>
      <w:r>
        <w:rPr/>
        <w:t>the</w:t>
      </w:r>
      <w:r>
        <w:rPr>
          <w:spacing w:val="-4"/>
        </w:rPr>
        <w:t> </w:t>
      </w:r>
      <w:r>
        <w:rPr/>
        <w:t>substance</w:t>
      </w:r>
      <w:r>
        <w:rPr>
          <w:spacing w:val="-4"/>
        </w:rPr>
        <w:t> </w:t>
      </w:r>
      <w:r>
        <w:rPr/>
        <w:t>of</w:t>
      </w:r>
      <w:r>
        <w:rPr>
          <w:spacing w:val="-2"/>
        </w:rPr>
        <w:t> </w:t>
      </w:r>
      <w:r>
        <w:rPr/>
        <w:t>buildings</w:t>
      </w:r>
      <w:r>
        <w:rPr>
          <w:spacing w:val="-3"/>
        </w:rPr>
        <w:t> </w:t>
      </w:r>
      <w:r>
        <w:rPr/>
        <w:t>and</w:t>
      </w:r>
      <w:r>
        <w:rPr>
          <w:spacing w:val="-4"/>
        </w:rPr>
        <w:t> </w:t>
      </w:r>
      <w:r>
        <w:rPr/>
        <w:t>the</w:t>
      </w:r>
      <w:r>
        <w:rPr>
          <w:spacing w:val="-2"/>
        </w:rPr>
        <w:t> </w:t>
      </w:r>
      <w:r>
        <w:rPr/>
        <w:t>manufactured</w:t>
      </w:r>
      <w:r>
        <w:rPr>
          <w:spacing w:val="-4"/>
        </w:rPr>
        <w:t> </w:t>
      </w:r>
      <w:r>
        <w:rPr/>
        <w:t>scales</w:t>
      </w:r>
      <w:r>
        <w:rPr>
          <w:spacing w:val="-3"/>
        </w:rPr>
        <w:t> </w:t>
      </w:r>
      <w:r>
        <w:rPr/>
        <w:t>of</w:t>
      </w:r>
      <w:r>
        <w:rPr>
          <w:spacing w:val="-4"/>
        </w:rPr>
        <w:t> </w:t>
      </w:r>
      <w:r>
        <w:rPr/>
        <w:t>matter</w:t>
      </w:r>
      <w:r>
        <w:rPr>
          <w:spacing w:val="-3"/>
        </w:rPr>
        <w:t> </w:t>
      </w:r>
      <w:r>
        <w:rPr/>
        <w:t>that</w:t>
      </w:r>
      <w:r>
        <w:rPr>
          <w:spacing w:val="-4"/>
        </w:rPr>
        <w:t> </w:t>
      </w:r>
      <w:r>
        <w:rPr/>
        <w:t>affect architecture.</w:t>
      </w:r>
      <w:r>
        <w:rPr>
          <w:spacing w:val="40"/>
        </w:rPr>
        <w:t> </w:t>
      </w:r>
      <w:r>
        <w:rPr/>
        <w:t>The nature of common products for building are reviewed to reveal design requirements for the construction process.</w:t>
      </w:r>
    </w:p>
    <w:p>
      <w:pPr>
        <w:spacing w:before="119"/>
        <w:ind w:left="439" w:right="0" w:firstLine="0"/>
        <w:jc w:val="left"/>
        <w:rPr>
          <w:b/>
          <w:sz w:val="20"/>
        </w:rPr>
      </w:pPr>
      <w:r>
        <w:rPr>
          <w:b/>
          <w:sz w:val="20"/>
        </w:rPr>
        <w:t>Course</w:t>
      </w:r>
      <w:r>
        <w:rPr>
          <w:b/>
          <w:spacing w:val="-9"/>
          <w:sz w:val="20"/>
        </w:rPr>
        <w:t> </w:t>
      </w:r>
      <w:r>
        <w:rPr>
          <w:b/>
          <w:sz w:val="20"/>
        </w:rPr>
        <w:t>Goals</w:t>
      </w:r>
      <w:r>
        <w:rPr>
          <w:b/>
          <w:spacing w:val="-7"/>
          <w:sz w:val="20"/>
        </w:rPr>
        <w:t> </w:t>
      </w:r>
      <w:r>
        <w:rPr>
          <w:b/>
          <w:sz w:val="20"/>
        </w:rPr>
        <w:t>and</w:t>
      </w:r>
      <w:r>
        <w:rPr>
          <w:b/>
          <w:spacing w:val="-5"/>
          <w:sz w:val="20"/>
        </w:rPr>
        <w:t> </w:t>
      </w:r>
      <w:r>
        <w:rPr>
          <w:b/>
          <w:spacing w:val="-2"/>
          <w:sz w:val="20"/>
        </w:rPr>
        <w:t>Objectives;</w:t>
      </w:r>
    </w:p>
    <w:p>
      <w:pPr>
        <w:pStyle w:val="ListParagraph"/>
        <w:numPr>
          <w:ilvl w:val="0"/>
          <w:numId w:val="48"/>
        </w:numPr>
        <w:tabs>
          <w:tab w:pos="1519" w:val="left" w:leader="none"/>
          <w:tab w:pos="1520" w:val="left" w:leader="none"/>
        </w:tabs>
        <w:spacing w:line="240" w:lineRule="auto" w:before="135" w:after="0"/>
        <w:ind w:left="1519" w:right="0" w:hanging="361"/>
        <w:jc w:val="left"/>
        <w:rPr>
          <w:sz w:val="20"/>
        </w:rPr>
      </w:pPr>
      <w:r>
        <w:rPr>
          <w:sz w:val="20"/>
        </w:rPr>
        <w:t>A</w:t>
      </w:r>
      <w:r>
        <w:rPr>
          <w:spacing w:val="-6"/>
          <w:sz w:val="20"/>
        </w:rPr>
        <w:t> </w:t>
      </w:r>
      <w:r>
        <w:rPr>
          <w:sz w:val="20"/>
        </w:rPr>
        <w:t>working</w:t>
      </w:r>
      <w:r>
        <w:rPr>
          <w:spacing w:val="-6"/>
          <w:sz w:val="20"/>
        </w:rPr>
        <w:t> </w:t>
      </w:r>
      <w:r>
        <w:rPr>
          <w:sz w:val="20"/>
        </w:rPr>
        <w:t>vocabulary</w:t>
      </w:r>
      <w:r>
        <w:rPr>
          <w:spacing w:val="-9"/>
          <w:sz w:val="20"/>
        </w:rPr>
        <w:t> </w:t>
      </w:r>
      <w:r>
        <w:rPr>
          <w:sz w:val="20"/>
        </w:rPr>
        <w:t>of</w:t>
      </w:r>
      <w:r>
        <w:rPr>
          <w:spacing w:val="-5"/>
          <w:sz w:val="20"/>
        </w:rPr>
        <w:t> </w:t>
      </w:r>
      <w:r>
        <w:rPr>
          <w:sz w:val="20"/>
        </w:rPr>
        <w:t>construction</w:t>
      </w:r>
      <w:r>
        <w:rPr>
          <w:spacing w:val="-6"/>
          <w:sz w:val="20"/>
        </w:rPr>
        <w:t> </w:t>
      </w:r>
      <w:r>
        <w:rPr>
          <w:sz w:val="20"/>
        </w:rPr>
        <w:t>terms</w:t>
      </w:r>
      <w:r>
        <w:rPr>
          <w:spacing w:val="-7"/>
          <w:sz w:val="20"/>
        </w:rPr>
        <w:t> </w:t>
      </w:r>
      <w:r>
        <w:rPr>
          <w:sz w:val="20"/>
        </w:rPr>
        <w:t>and</w:t>
      </w:r>
      <w:r>
        <w:rPr>
          <w:spacing w:val="-7"/>
          <w:sz w:val="20"/>
        </w:rPr>
        <w:t> </w:t>
      </w:r>
      <w:r>
        <w:rPr>
          <w:sz w:val="20"/>
        </w:rPr>
        <w:t>processes</w:t>
      </w:r>
      <w:r>
        <w:rPr>
          <w:spacing w:val="-7"/>
          <w:sz w:val="20"/>
        </w:rPr>
        <w:t> </w:t>
      </w:r>
      <w:r>
        <w:rPr>
          <w:sz w:val="20"/>
        </w:rPr>
        <w:t>particular</w:t>
      </w:r>
      <w:r>
        <w:rPr>
          <w:spacing w:val="-7"/>
          <w:sz w:val="20"/>
        </w:rPr>
        <w:t> </w:t>
      </w:r>
      <w:r>
        <w:rPr>
          <w:sz w:val="20"/>
        </w:rPr>
        <w:t>to</w:t>
      </w:r>
      <w:r>
        <w:rPr>
          <w:spacing w:val="-7"/>
          <w:sz w:val="20"/>
        </w:rPr>
        <w:t> </w:t>
      </w:r>
      <w:r>
        <w:rPr>
          <w:sz w:val="20"/>
        </w:rPr>
        <w:t>common</w:t>
      </w:r>
      <w:r>
        <w:rPr>
          <w:spacing w:val="-8"/>
          <w:sz w:val="20"/>
        </w:rPr>
        <w:t> </w:t>
      </w:r>
      <w:r>
        <w:rPr>
          <w:spacing w:val="-2"/>
          <w:sz w:val="20"/>
        </w:rPr>
        <w:t>materials.</w:t>
      </w:r>
    </w:p>
    <w:p>
      <w:pPr>
        <w:pStyle w:val="ListParagraph"/>
        <w:numPr>
          <w:ilvl w:val="0"/>
          <w:numId w:val="48"/>
        </w:numPr>
        <w:tabs>
          <w:tab w:pos="1519" w:val="left" w:leader="none"/>
          <w:tab w:pos="1520" w:val="left" w:leader="none"/>
        </w:tabs>
        <w:spacing w:line="240" w:lineRule="auto" w:before="15" w:after="0"/>
        <w:ind w:left="1519" w:right="0" w:hanging="361"/>
        <w:jc w:val="left"/>
        <w:rPr>
          <w:sz w:val="20"/>
        </w:rPr>
      </w:pPr>
      <w:r>
        <w:rPr>
          <w:sz w:val="20"/>
        </w:rPr>
        <w:t>An</w:t>
      </w:r>
      <w:r>
        <w:rPr>
          <w:spacing w:val="-6"/>
          <w:sz w:val="20"/>
        </w:rPr>
        <w:t> </w:t>
      </w:r>
      <w:r>
        <w:rPr>
          <w:sz w:val="20"/>
        </w:rPr>
        <w:t>ability</w:t>
      </w:r>
      <w:r>
        <w:rPr>
          <w:spacing w:val="-8"/>
          <w:sz w:val="20"/>
        </w:rPr>
        <w:t> </w:t>
      </w:r>
      <w:r>
        <w:rPr>
          <w:sz w:val="20"/>
        </w:rPr>
        <w:t>to</w:t>
      </w:r>
      <w:r>
        <w:rPr>
          <w:spacing w:val="-5"/>
          <w:sz w:val="20"/>
        </w:rPr>
        <w:t> </w:t>
      </w:r>
      <w:r>
        <w:rPr>
          <w:sz w:val="20"/>
        </w:rPr>
        <w:t>safely</w:t>
      </w:r>
      <w:r>
        <w:rPr>
          <w:spacing w:val="-8"/>
          <w:sz w:val="20"/>
        </w:rPr>
        <w:t> </w:t>
      </w:r>
      <w:r>
        <w:rPr>
          <w:sz w:val="20"/>
        </w:rPr>
        <w:t>use</w:t>
      </w:r>
      <w:r>
        <w:rPr>
          <w:spacing w:val="-5"/>
          <w:sz w:val="20"/>
        </w:rPr>
        <w:t> </w:t>
      </w:r>
      <w:r>
        <w:rPr>
          <w:sz w:val="20"/>
        </w:rPr>
        <w:t>standard</w:t>
      </w:r>
      <w:r>
        <w:rPr>
          <w:spacing w:val="-5"/>
          <w:sz w:val="20"/>
        </w:rPr>
        <w:t> </w:t>
      </w:r>
      <w:r>
        <w:rPr>
          <w:sz w:val="20"/>
        </w:rPr>
        <w:t>building</w:t>
      </w:r>
      <w:r>
        <w:rPr>
          <w:spacing w:val="-3"/>
          <w:sz w:val="20"/>
        </w:rPr>
        <w:t> </w:t>
      </w:r>
      <w:r>
        <w:rPr>
          <w:sz w:val="20"/>
        </w:rPr>
        <w:t>tools</w:t>
      </w:r>
      <w:r>
        <w:rPr>
          <w:spacing w:val="-5"/>
          <w:sz w:val="20"/>
        </w:rPr>
        <w:t> </w:t>
      </w:r>
      <w:r>
        <w:rPr>
          <w:sz w:val="20"/>
        </w:rPr>
        <w:t>and</w:t>
      </w:r>
      <w:r>
        <w:rPr>
          <w:spacing w:val="-5"/>
          <w:sz w:val="20"/>
        </w:rPr>
        <w:t> </w:t>
      </w:r>
      <w:r>
        <w:rPr>
          <w:sz w:val="20"/>
        </w:rPr>
        <w:t>manipulate</w:t>
      </w:r>
      <w:r>
        <w:rPr>
          <w:spacing w:val="-5"/>
          <w:sz w:val="20"/>
        </w:rPr>
        <w:t> </w:t>
      </w:r>
      <w:r>
        <w:rPr>
          <w:sz w:val="20"/>
        </w:rPr>
        <w:t>common</w:t>
      </w:r>
      <w:r>
        <w:rPr>
          <w:spacing w:val="-8"/>
          <w:sz w:val="20"/>
        </w:rPr>
        <w:t> </w:t>
      </w:r>
      <w:r>
        <w:rPr>
          <w:spacing w:val="-2"/>
          <w:sz w:val="20"/>
        </w:rPr>
        <w:t>materials.</w:t>
      </w:r>
    </w:p>
    <w:p>
      <w:pPr>
        <w:pStyle w:val="ListParagraph"/>
        <w:numPr>
          <w:ilvl w:val="0"/>
          <w:numId w:val="48"/>
        </w:numPr>
        <w:tabs>
          <w:tab w:pos="1519" w:val="left" w:leader="none"/>
          <w:tab w:pos="1520" w:val="left" w:leader="none"/>
        </w:tabs>
        <w:spacing w:line="240" w:lineRule="auto" w:before="12" w:after="0"/>
        <w:ind w:left="1519" w:right="0" w:hanging="361"/>
        <w:jc w:val="left"/>
        <w:rPr>
          <w:sz w:val="20"/>
        </w:rPr>
      </w:pPr>
      <w:r>
        <w:rPr>
          <w:sz w:val="20"/>
        </w:rPr>
        <w:t>An</w:t>
      </w:r>
      <w:r>
        <w:rPr>
          <w:spacing w:val="-7"/>
          <w:sz w:val="20"/>
        </w:rPr>
        <w:t> </w:t>
      </w:r>
      <w:r>
        <w:rPr>
          <w:sz w:val="20"/>
        </w:rPr>
        <w:t>ability</w:t>
      </w:r>
      <w:r>
        <w:rPr>
          <w:spacing w:val="-9"/>
          <w:sz w:val="20"/>
        </w:rPr>
        <w:t> </w:t>
      </w:r>
      <w:r>
        <w:rPr>
          <w:sz w:val="20"/>
        </w:rPr>
        <w:t>to</w:t>
      </w:r>
      <w:r>
        <w:rPr>
          <w:spacing w:val="-7"/>
          <w:sz w:val="20"/>
        </w:rPr>
        <w:t> </w:t>
      </w:r>
      <w:r>
        <w:rPr>
          <w:sz w:val="20"/>
        </w:rPr>
        <w:t>translate</w:t>
      </w:r>
      <w:r>
        <w:rPr>
          <w:spacing w:val="-7"/>
          <w:sz w:val="20"/>
        </w:rPr>
        <w:t> </w:t>
      </w:r>
      <w:r>
        <w:rPr>
          <w:sz w:val="20"/>
        </w:rPr>
        <w:t>abstract</w:t>
      </w:r>
      <w:r>
        <w:rPr>
          <w:spacing w:val="-6"/>
          <w:sz w:val="20"/>
        </w:rPr>
        <w:t> </w:t>
      </w:r>
      <w:r>
        <w:rPr>
          <w:sz w:val="20"/>
        </w:rPr>
        <w:t>graphic</w:t>
      </w:r>
      <w:r>
        <w:rPr>
          <w:spacing w:val="-6"/>
          <w:sz w:val="20"/>
        </w:rPr>
        <w:t> </w:t>
      </w:r>
      <w:r>
        <w:rPr>
          <w:sz w:val="20"/>
        </w:rPr>
        <w:t>information</w:t>
      </w:r>
      <w:r>
        <w:rPr>
          <w:spacing w:val="-5"/>
          <w:sz w:val="20"/>
        </w:rPr>
        <w:t> </w:t>
      </w:r>
      <w:r>
        <w:rPr>
          <w:sz w:val="20"/>
        </w:rPr>
        <w:t>into</w:t>
      </w:r>
      <w:r>
        <w:rPr>
          <w:spacing w:val="-5"/>
          <w:sz w:val="20"/>
        </w:rPr>
        <w:t> </w:t>
      </w:r>
      <w:r>
        <w:rPr>
          <w:sz w:val="20"/>
        </w:rPr>
        <w:t>a</w:t>
      </w:r>
      <w:r>
        <w:rPr>
          <w:spacing w:val="-6"/>
          <w:sz w:val="20"/>
        </w:rPr>
        <w:t> </w:t>
      </w:r>
      <w:r>
        <w:rPr>
          <w:sz w:val="20"/>
        </w:rPr>
        <w:t>fabricated</w:t>
      </w:r>
      <w:r>
        <w:rPr>
          <w:spacing w:val="-7"/>
          <w:sz w:val="20"/>
        </w:rPr>
        <w:t> </w:t>
      </w:r>
      <w:r>
        <w:rPr>
          <w:spacing w:val="-4"/>
          <w:sz w:val="20"/>
        </w:rPr>
        <w:t>form</w:t>
      </w:r>
    </w:p>
    <w:p>
      <w:pPr>
        <w:pStyle w:val="ListParagraph"/>
        <w:numPr>
          <w:ilvl w:val="0"/>
          <w:numId w:val="48"/>
        </w:numPr>
        <w:tabs>
          <w:tab w:pos="1519" w:val="left" w:leader="none"/>
          <w:tab w:pos="1520" w:val="left" w:leader="none"/>
        </w:tabs>
        <w:spacing w:line="240" w:lineRule="auto" w:before="15" w:after="0"/>
        <w:ind w:left="1519" w:right="0" w:hanging="361"/>
        <w:jc w:val="left"/>
        <w:rPr>
          <w:sz w:val="20"/>
        </w:rPr>
      </w:pPr>
      <w:r>
        <w:rPr>
          <w:sz w:val="20"/>
        </w:rPr>
        <w:t>An</w:t>
      </w:r>
      <w:r>
        <w:rPr>
          <w:spacing w:val="-6"/>
          <w:sz w:val="20"/>
        </w:rPr>
        <w:t> </w:t>
      </w:r>
      <w:r>
        <w:rPr>
          <w:sz w:val="20"/>
        </w:rPr>
        <w:t>ability</w:t>
      </w:r>
      <w:r>
        <w:rPr>
          <w:spacing w:val="-8"/>
          <w:sz w:val="20"/>
        </w:rPr>
        <w:t> </w:t>
      </w:r>
      <w:r>
        <w:rPr>
          <w:sz w:val="20"/>
        </w:rPr>
        <w:t>to</w:t>
      </w:r>
      <w:r>
        <w:rPr>
          <w:spacing w:val="-6"/>
          <w:sz w:val="20"/>
        </w:rPr>
        <w:t> </w:t>
      </w:r>
      <w:r>
        <w:rPr>
          <w:sz w:val="20"/>
        </w:rPr>
        <w:t>identify,</w:t>
      </w:r>
      <w:r>
        <w:rPr>
          <w:spacing w:val="-3"/>
          <w:sz w:val="20"/>
        </w:rPr>
        <w:t> </w:t>
      </w:r>
      <w:r>
        <w:rPr>
          <w:sz w:val="20"/>
        </w:rPr>
        <w:t>in</w:t>
      </w:r>
      <w:r>
        <w:rPr>
          <w:spacing w:val="-4"/>
          <w:sz w:val="20"/>
        </w:rPr>
        <w:t> </w:t>
      </w:r>
      <w:r>
        <w:rPr>
          <w:sz w:val="20"/>
        </w:rPr>
        <w:t>general</w:t>
      </w:r>
      <w:r>
        <w:rPr>
          <w:spacing w:val="-7"/>
          <w:sz w:val="20"/>
        </w:rPr>
        <w:t> </w:t>
      </w:r>
      <w:r>
        <w:rPr>
          <w:sz w:val="20"/>
        </w:rPr>
        <w:t>terms,</w:t>
      </w:r>
      <w:r>
        <w:rPr>
          <w:spacing w:val="-5"/>
          <w:sz w:val="20"/>
        </w:rPr>
        <w:t> </w:t>
      </w:r>
      <w:r>
        <w:rPr>
          <w:sz w:val="20"/>
        </w:rPr>
        <w:t>the</w:t>
      </w:r>
      <w:r>
        <w:rPr>
          <w:spacing w:val="-6"/>
          <w:sz w:val="20"/>
        </w:rPr>
        <w:t> </w:t>
      </w:r>
      <w:r>
        <w:rPr>
          <w:sz w:val="20"/>
        </w:rPr>
        <w:t>proper</w:t>
      </w:r>
      <w:r>
        <w:rPr>
          <w:spacing w:val="-4"/>
          <w:sz w:val="20"/>
        </w:rPr>
        <w:t> </w:t>
      </w:r>
      <w:r>
        <w:rPr>
          <w:sz w:val="20"/>
        </w:rPr>
        <w:t>types</w:t>
      </w:r>
      <w:r>
        <w:rPr>
          <w:spacing w:val="-2"/>
          <w:sz w:val="20"/>
        </w:rPr>
        <w:t> </w:t>
      </w:r>
      <w:r>
        <w:rPr>
          <w:sz w:val="20"/>
        </w:rPr>
        <w:t>of</w:t>
      </w:r>
      <w:r>
        <w:rPr>
          <w:spacing w:val="-6"/>
          <w:sz w:val="20"/>
        </w:rPr>
        <w:t> </w:t>
      </w:r>
      <w:r>
        <w:rPr>
          <w:sz w:val="20"/>
        </w:rPr>
        <w:t>materials</w:t>
      </w:r>
      <w:r>
        <w:rPr>
          <w:spacing w:val="-1"/>
          <w:sz w:val="20"/>
        </w:rPr>
        <w:t> </w:t>
      </w:r>
      <w:r>
        <w:rPr>
          <w:sz w:val="20"/>
        </w:rPr>
        <w:t>in</w:t>
      </w:r>
      <w:r>
        <w:rPr>
          <w:spacing w:val="-6"/>
          <w:sz w:val="20"/>
        </w:rPr>
        <w:t> </w:t>
      </w:r>
      <w:r>
        <w:rPr>
          <w:sz w:val="20"/>
        </w:rPr>
        <w:t>a</w:t>
      </w:r>
      <w:r>
        <w:rPr>
          <w:spacing w:val="-4"/>
          <w:sz w:val="20"/>
        </w:rPr>
        <w:t> </w:t>
      </w:r>
      <w:r>
        <w:rPr>
          <w:sz w:val="20"/>
        </w:rPr>
        <w:t>variety</w:t>
      </w:r>
      <w:r>
        <w:rPr>
          <w:spacing w:val="-6"/>
          <w:sz w:val="20"/>
        </w:rPr>
        <w:t> </w:t>
      </w:r>
      <w:r>
        <w:rPr>
          <w:sz w:val="20"/>
        </w:rPr>
        <w:t>of</w:t>
      </w:r>
      <w:r>
        <w:rPr>
          <w:spacing w:val="-4"/>
          <w:sz w:val="20"/>
        </w:rPr>
        <w:t> uses</w:t>
      </w:r>
    </w:p>
    <w:p>
      <w:pPr>
        <w:pStyle w:val="ListParagraph"/>
        <w:numPr>
          <w:ilvl w:val="0"/>
          <w:numId w:val="48"/>
        </w:numPr>
        <w:tabs>
          <w:tab w:pos="1519" w:val="left" w:leader="none"/>
          <w:tab w:pos="1520" w:val="left" w:leader="none"/>
        </w:tabs>
        <w:spacing w:line="240" w:lineRule="auto" w:before="13" w:after="0"/>
        <w:ind w:left="1519" w:right="0" w:hanging="361"/>
        <w:jc w:val="left"/>
        <w:rPr>
          <w:sz w:val="20"/>
        </w:rPr>
      </w:pPr>
      <w:r>
        <w:rPr>
          <w:sz w:val="20"/>
        </w:rPr>
        <w:t>An</w:t>
      </w:r>
      <w:r>
        <w:rPr>
          <w:spacing w:val="-8"/>
          <w:sz w:val="20"/>
        </w:rPr>
        <w:t> </w:t>
      </w:r>
      <w:r>
        <w:rPr>
          <w:sz w:val="20"/>
        </w:rPr>
        <w:t>understanding</w:t>
      </w:r>
      <w:r>
        <w:rPr>
          <w:spacing w:val="-5"/>
          <w:sz w:val="20"/>
        </w:rPr>
        <w:t> </w:t>
      </w:r>
      <w:r>
        <w:rPr>
          <w:sz w:val="20"/>
        </w:rPr>
        <w:t>of</w:t>
      </w:r>
      <w:r>
        <w:rPr>
          <w:spacing w:val="-5"/>
          <w:sz w:val="20"/>
        </w:rPr>
        <w:t> </w:t>
      </w:r>
      <w:r>
        <w:rPr>
          <w:sz w:val="20"/>
        </w:rPr>
        <w:t>material</w:t>
      </w:r>
      <w:r>
        <w:rPr>
          <w:spacing w:val="-8"/>
          <w:sz w:val="20"/>
        </w:rPr>
        <w:t> </w:t>
      </w:r>
      <w:r>
        <w:rPr>
          <w:sz w:val="20"/>
        </w:rPr>
        <w:t>properties</w:t>
      </w:r>
      <w:r>
        <w:rPr>
          <w:spacing w:val="-7"/>
          <w:sz w:val="20"/>
        </w:rPr>
        <w:t> </w:t>
      </w:r>
      <w:r>
        <w:rPr>
          <w:sz w:val="20"/>
        </w:rPr>
        <w:t>and</w:t>
      </w:r>
      <w:r>
        <w:rPr>
          <w:spacing w:val="-7"/>
          <w:sz w:val="20"/>
        </w:rPr>
        <w:t> </w:t>
      </w:r>
      <w:r>
        <w:rPr>
          <w:sz w:val="20"/>
        </w:rPr>
        <w:t>the</w:t>
      </w:r>
      <w:r>
        <w:rPr>
          <w:spacing w:val="-7"/>
          <w:sz w:val="20"/>
        </w:rPr>
        <w:t> </w:t>
      </w:r>
      <w:r>
        <w:rPr>
          <w:sz w:val="20"/>
        </w:rPr>
        <w:t>nature</w:t>
      </w:r>
      <w:r>
        <w:rPr>
          <w:spacing w:val="-5"/>
          <w:sz w:val="20"/>
        </w:rPr>
        <w:t> </w:t>
      </w:r>
      <w:r>
        <w:rPr>
          <w:sz w:val="20"/>
        </w:rPr>
        <w:t>of</w:t>
      </w:r>
      <w:r>
        <w:rPr>
          <w:spacing w:val="-5"/>
          <w:sz w:val="20"/>
        </w:rPr>
        <w:t> </w:t>
      </w:r>
      <w:r>
        <w:rPr>
          <w:sz w:val="20"/>
        </w:rPr>
        <w:t>their</w:t>
      </w:r>
      <w:r>
        <w:rPr>
          <w:spacing w:val="-7"/>
          <w:sz w:val="20"/>
        </w:rPr>
        <w:t> </w:t>
      </w:r>
      <w:r>
        <w:rPr>
          <w:spacing w:val="-4"/>
          <w:sz w:val="20"/>
        </w:rPr>
        <w:t>use.</w:t>
      </w:r>
    </w:p>
    <w:p>
      <w:pPr>
        <w:pStyle w:val="ListParagraph"/>
        <w:numPr>
          <w:ilvl w:val="0"/>
          <w:numId w:val="48"/>
        </w:numPr>
        <w:tabs>
          <w:tab w:pos="1519" w:val="left" w:leader="none"/>
          <w:tab w:pos="1520" w:val="left" w:leader="none"/>
        </w:tabs>
        <w:spacing w:line="240" w:lineRule="auto" w:before="14" w:after="0"/>
        <w:ind w:left="1519" w:right="0" w:hanging="361"/>
        <w:jc w:val="left"/>
        <w:rPr>
          <w:sz w:val="20"/>
        </w:rPr>
      </w:pPr>
      <w:r>
        <w:rPr>
          <w:sz w:val="20"/>
        </w:rPr>
        <w:t>An</w:t>
      </w:r>
      <w:r>
        <w:rPr>
          <w:spacing w:val="-7"/>
          <w:sz w:val="20"/>
        </w:rPr>
        <w:t> </w:t>
      </w:r>
      <w:r>
        <w:rPr>
          <w:sz w:val="20"/>
        </w:rPr>
        <w:t>introductory</w:t>
      </w:r>
      <w:r>
        <w:rPr>
          <w:spacing w:val="-11"/>
          <w:sz w:val="20"/>
        </w:rPr>
        <w:t> </w:t>
      </w:r>
      <w:r>
        <w:rPr>
          <w:sz w:val="20"/>
        </w:rPr>
        <w:t>understanding</w:t>
      </w:r>
      <w:r>
        <w:rPr>
          <w:spacing w:val="-9"/>
          <w:sz w:val="20"/>
        </w:rPr>
        <w:t> </w:t>
      </w:r>
      <w:r>
        <w:rPr>
          <w:sz w:val="20"/>
        </w:rPr>
        <w:t>of</w:t>
      </w:r>
      <w:r>
        <w:rPr>
          <w:spacing w:val="-6"/>
          <w:sz w:val="20"/>
        </w:rPr>
        <w:t> </w:t>
      </w:r>
      <w:r>
        <w:rPr>
          <w:sz w:val="20"/>
        </w:rPr>
        <w:t>the</w:t>
      </w:r>
      <w:r>
        <w:rPr>
          <w:spacing w:val="-7"/>
          <w:sz w:val="20"/>
        </w:rPr>
        <w:t> </w:t>
      </w:r>
      <w:r>
        <w:rPr>
          <w:sz w:val="20"/>
        </w:rPr>
        <w:t>difference</w:t>
      </w:r>
      <w:r>
        <w:rPr>
          <w:spacing w:val="-9"/>
          <w:sz w:val="20"/>
        </w:rPr>
        <w:t> </w:t>
      </w:r>
      <w:r>
        <w:rPr>
          <w:sz w:val="20"/>
        </w:rPr>
        <w:t>between</w:t>
      </w:r>
      <w:r>
        <w:rPr>
          <w:spacing w:val="-8"/>
          <w:sz w:val="20"/>
        </w:rPr>
        <w:t> </w:t>
      </w:r>
      <w:r>
        <w:rPr>
          <w:sz w:val="20"/>
        </w:rPr>
        <w:t>Structure,</w:t>
      </w:r>
      <w:r>
        <w:rPr>
          <w:spacing w:val="-7"/>
          <w:sz w:val="20"/>
        </w:rPr>
        <w:t> </w:t>
      </w:r>
      <w:r>
        <w:rPr>
          <w:sz w:val="20"/>
        </w:rPr>
        <w:t>Envelope</w:t>
      </w:r>
      <w:r>
        <w:rPr>
          <w:spacing w:val="-6"/>
          <w:sz w:val="20"/>
        </w:rPr>
        <w:t> </w:t>
      </w:r>
      <w:r>
        <w:rPr>
          <w:sz w:val="20"/>
        </w:rPr>
        <w:t>and</w:t>
      </w:r>
      <w:r>
        <w:rPr>
          <w:spacing w:val="-7"/>
          <w:sz w:val="20"/>
        </w:rPr>
        <w:t> </w:t>
      </w:r>
      <w:r>
        <w:rPr>
          <w:spacing w:val="-2"/>
          <w:sz w:val="20"/>
        </w:rPr>
        <w:t>Ornament</w:t>
      </w:r>
    </w:p>
    <w:p>
      <w:pPr>
        <w:pStyle w:val="ListParagraph"/>
        <w:numPr>
          <w:ilvl w:val="0"/>
          <w:numId w:val="48"/>
        </w:numPr>
        <w:tabs>
          <w:tab w:pos="1519" w:val="left" w:leader="none"/>
          <w:tab w:pos="1520" w:val="left" w:leader="none"/>
        </w:tabs>
        <w:spacing w:line="240" w:lineRule="auto" w:before="13" w:after="0"/>
        <w:ind w:left="1519" w:right="0" w:hanging="361"/>
        <w:jc w:val="left"/>
        <w:rPr>
          <w:sz w:val="20"/>
        </w:rPr>
      </w:pPr>
      <w:r>
        <w:rPr>
          <w:sz w:val="20"/>
        </w:rPr>
        <w:t>An</w:t>
      </w:r>
      <w:r>
        <w:rPr>
          <w:spacing w:val="-8"/>
          <w:sz w:val="20"/>
        </w:rPr>
        <w:t> </w:t>
      </w:r>
      <w:r>
        <w:rPr>
          <w:sz w:val="20"/>
        </w:rPr>
        <w:t>understanding</w:t>
      </w:r>
      <w:r>
        <w:rPr>
          <w:spacing w:val="-6"/>
          <w:sz w:val="20"/>
        </w:rPr>
        <w:t> </w:t>
      </w:r>
      <w:r>
        <w:rPr>
          <w:sz w:val="20"/>
        </w:rPr>
        <w:t>of</w:t>
      </w:r>
      <w:r>
        <w:rPr>
          <w:spacing w:val="-5"/>
          <w:sz w:val="20"/>
        </w:rPr>
        <w:t> </w:t>
      </w:r>
      <w:r>
        <w:rPr>
          <w:sz w:val="20"/>
        </w:rPr>
        <w:t>finish</w:t>
      </w:r>
      <w:r>
        <w:rPr>
          <w:spacing w:val="-6"/>
          <w:sz w:val="20"/>
        </w:rPr>
        <w:t> </w:t>
      </w:r>
      <w:r>
        <w:rPr>
          <w:spacing w:val="-2"/>
          <w:sz w:val="20"/>
        </w:rPr>
        <w:t>materials</w:t>
      </w:r>
    </w:p>
    <w:p>
      <w:pPr>
        <w:pStyle w:val="ListParagraph"/>
        <w:numPr>
          <w:ilvl w:val="0"/>
          <w:numId w:val="48"/>
        </w:numPr>
        <w:tabs>
          <w:tab w:pos="1519" w:val="left" w:leader="none"/>
          <w:tab w:pos="1520" w:val="left" w:leader="none"/>
        </w:tabs>
        <w:spacing w:line="240" w:lineRule="auto" w:before="15" w:after="0"/>
        <w:ind w:left="1519" w:right="798" w:hanging="360"/>
        <w:jc w:val="left"/>
        <w:rPr>
          <w:sz w:val="20"/>
        </w:rPr>
      </w:pPr>
      <w:r>
        <w:rPr>
          <w:sz w:val="20"/>
        </w:rPr>
        <w:t>The</w:t>
      </w:r>
      <w:r>
        <w:rPr>
          <w:spacing w:val="-7"/>
          <w:sz w:val="20"/>
        </w:rPr>
        <w:t> </w:t>
      </w:r>
      <w:r>
        <w:rPr>
          <w:sz w:val="20"/>
        </w:rPr>
        <w:t>knowledge</w:t>
      </w:r>
      <w:r>
        <w:rPr>
          <w:spacing w:val="-2"/>
          <w:sz w:val="20"/>
        </w:rPr>
        <w:t> </w:t>
      </w:r>
      <w:r>
        <w:rPr>
          <w:sz w:val="20"/>
        </w:rPr>
        <w:t>of</w:t>
      </w:r>
      <w:r>
        <w:rPr>
          <w:spacing w:val="-2"/>
          <w:sz w:val="20"/>
        </w:rPr>
        <w:t> </w:t>
      </w:r>
      <w:r>
        <w:rPr>
          <w:sz w:val="20"/>
        </w:rPr>
        <w:t>a</w:t>
      </w:r>
      <w:r>
        <w:rPr>
          <w:spacing w:val="-4"/>
          <w:sz w:val="20"/>
        </w:rPr>
        <w:t> </w:t>
      </w:r>
      <w:r>
        <w:rPr>
          <w:sz w:val="20"/>
        </w:rPr>
        <w:t>broad</w:t>
      </w:r>
      <w:r>
        <w:rPr>
          <w:spacing w:val="-2"/>
          <w:sz w:val="20"/>
        </w:rPr>
        <w:t> </w:t>
      </w:r>
      <w:r>
        <w:rPr>
          <w:sz w:val="20"/>
        </w:rPr>
        <w:t>based</w:t>
      </w:r>
      <w:r>
        <w:rPr>
          <w:spacing w:val="-4"/>
          <w:sz w:val="20"/>
        </w:rPr>
        <w:t> </w:t>
      </w:r>
      <w:r>
        <w:rPr>
          <w:sz w:val="20"/>
        </w:rPr>
        <w:t>survey</w:t>
      </w:r>
      <w:r>
        <w:rPr>
          <w:spacing w:val="-7"/>
          <w:sz w:val="20"/>
        </w:rPr>
        <w:t> </w:t>
      </w:r>
      <w:r>
        <w:rPr>
          <w:sz w:val="20"/>
        </w:rPr>
        <w:t>of</w:t>
      </w:r>
      <w:r>
        <w:rPr>
          <w:spacing w:val="-2"/>
          <w:sz w:val="20"/>
        </w:rPr>
        <w:t> </w:t>
      </w:r>
      <w:r>
        <w:rPr>
          <w:sz w:val="20"/>
        </w:rPr>
        <w:t>the</w:t>
      </w:r>
      <w:r>
        <w:rPr>
          <w:spacing w:val="-2"/>
          <w:sz w:val="20"/>
        </w:rPr>
        <w:t> </w:t>
      </w:r>
      <w:r>
        <w:rPr>
          <w:sz w:val="20"/>
        </w:rPr>
        <w:t>variety</w:t>
      </w:r>
      <w:r>
        <w:rPr>
          <w:spacing w:val="-5"/>
          <w:sz w:val="20"/>
        </w:rPr>
        <w:t> </w:t>
      </w:r>
      <w:r>
        <w:rPr>
          <w:sz w:val="20"/>
        </w:rPr>
        <w:t>of</w:t>
      </w:r>
      <w:r>
        <w:rPr>
          <w:spacing w:val="-2"/>
          <w:sz w:val="20"/>
        </w:rPr>
        <w:t> </w:t>
      </w:r>
      <w:r>
        <w:rPr>
          <w:sz w:val="20"/>
        </w:rPr>
        <w:t>building</w:t>
      </w:r>
      <w:r>
        <w:rPr>
          <w:spacing w:val="-4"/>
          <w:sz w:val="20"/>
        </w:rPr>
        <w:t> </w:t>
      </w:r>
      <w:r>
        <w:rPr>
          <w:sz w:val="20"/>
        </w:rPr>
        <w:t>materials</w:t>
      </w:r>
      <w:r>
        <w:rPr>
          <w:spacing w:val="-3"/>
          <w:sz w:val="20"/>
        </w:rPr>
        <w:t> </w:t>
      </w:r>
      <w:r>
        <w:rPr>
          <w:sz w:val="20"/>
        </w:rPr>
        <w:t>available</w:t>
      </w:r>
      <w:r>
        <w:rPr>
          <w:spacing w:val="-4"/>
          <w:sz w:val="20"/>
        </w:rPr>
        <w:t> </w:t>
      </w:r>
      <w:r>
        <w:rPr>
          <w:sz w:val="20"/>
        </w:rPr>
        <w:t>for</w:t>
      </w:r>
      <w:r>
        <w:rPr>
          <w:spacing w:val="-3"/>
          <w:sz w:val="20"/>
        </w:rPr>
        <w:t> </w:t>
      </w:r>
      <w:r>
        <w:rPr>
          <w:sz w:val="20"/>
        </w:rPr>
        <w:t>use in the design of structures</w:t>
      </w:r>
    </w:p>
    <w:p>
      <w:pPr>
        <w:spacing w:before="116"/>
        <w:ind w:left="439" w:right="0" w:firstLine="0"/>
        <w:jc w:val="left"/>
        <w:rPr>
          <w:b/>
          <w:sz w:val="20"/>
        </w:rPr>
      </w:pPr>
      <w:r>
        <w:rPr>
          <w:b/>
          <w:sz w:val="20"/>
        </w:rPr>
        <w:t>Student</w:t>
      </w:r>
      <w:r>
        <w:rPr>
          <w:b/>
          <w:spacing w:val="-9"/>
          <w:sz w:val="20"/>
        </w:rPr>
        <w:t> </w:t>
      </w:r>
      <w:r>
        <w:rPr>
          <w:b/>
          <w:sz w:val="20"/>
        </w:rPr>
        <w:t>Performance</w:t>
      </w:r>
      <w:r>
        <w:rPr>
          <w:b/>
          <w:spacing w:val="-9"/>
          <w:sz w:val="20"/>
        </w:rPr>
        <w:t> </w:t>
      </w:r>
      <w:r>
        <w:rPr>
          <w:b/>
          <w:sz w:val="20"/>
        </w:rPr>
        <w:t>Criteria</w:t>
      </w:r>
      <w:r>
        <w:rPr>
          <w:b/>
          <w:spacing w:val="-5"/>
          <w:sz w:val="20"/>
        </w:rPr>
        <w:t> </w:t>
      </w:r>
      <w:r>
        <w:rPr>
          <w:b/>
          <w:sz w:val="20"/>
        </w:rPr>
        <w:t>Addressed</w:t>
      </w:r>
      <w:r>
        <w:rPr>
          <w:b/>
          <w:spacing w:val="-8"/>
          <w:sz w:val="20"/>
        </w:rPr>
        <w:t> </w:t>
      </w:r>
      <w:r>
        <w:rPr>
          <w:b/>
          <w:sz w:val="20"/>
        </w:rPr>
        <w:t>(name</w:t>
      </w:r>
      <w:r>
        <w:rPr>
          <w:b/>
          <w:spacing w:val="-9"/>
          <w:sz w:val="20"/>
        </w:rPr>
        <w:t> </w:t>
      </w:r>
      <w:r>
        <w:rPr>
          <w:b/>
          <w:sz w:val="20"/>
        </w:rPr>
        <w:t>and</w:t>
      </w:r>
      <w:r>
        <w:rPr>
          <w:b/>
          <w:spacing w:val="-8"/>
          <w:sz w:val="20"/>
        </w:rPr>
        <w:t> </w:t>
      </w:r>
      <w:r>
        <w:rPr>
          <w:b/>
          <w:spacing w:val="-2"/>
          <w:sz w:val="20"/>
        </w:rPr>
        <w:t>number)</w:t>
      </w:r>
    </w:p>
    <w:p>
      <w:pPr>
        <w:pStyle w:val="BodyText"/>
        <w:tabs>
          <w:tab w:pos="1878" w:val="left" w:leader="none"/>
        </w:tabs>
        <w:spacing w:line="229" w:lineRule="exact" w:before="123"/>
        <w:ind w:left="1159"/>
      </w:pPr>
      <w:r>
        <w:rPr>
          <w:w w:val="95"/>
        </w:rPr>
        <w:t>A-</w:t>
      </w:r>
      <w:r>
        <w:rPr>
          <w:spacing w:val="-5"/>
        </w:rPr>
        <w:t>11</w:t>
      </w:r>
      <w:r>
        <w:rPr/>
        <w:tab/>
        <w:t>Applied</w:t>
      </w:r>
      <w:r>
        <w:rPr>
          <w:spacing w:val="-10"/>
        </w:rPr>
        <w:t> </w:t>
      </w:r>
      <w:r>
        <w:rPr>
          <w:spacing w:val="-2"/>
        </w:rPr>
        <w:t>Research</w:t>
      </w:r>
    </w:p>
    <w:p>
      <w:pPr>
        <w:pStyle w:val="ListParagraph"/>
        <w:numPr>
          <w:ilvl w:val="1"/>
          <w:numId w:val="49"/>
        </w:numPr>
        <w:tabs>
          <w:tab w:pos="1878" w:val="left" w:leader="none"/>
          <w:tab w:pos="1880" w:val="left" w:leader="none"/>
        </w:tabs>
        <w:spacing w:line="229" w:lineRule="exact" w:before="0" w:after="0"/>
        <w:ind w:left="1879" w:right="0" w:hanging="721"/>
        <w:jc w:val="left"/>
        <w:rPr>
          <w:sz w:val="20"/>
        </w:rPr>
      </w:pPr>
      <w:r>
        <w:rPr>
          <w:sz w:val="20"/>
        </w:rPr>
        <w:t>Financial</w:t>
      </w:r>
      <w:r>
        <w:rPr>
          <w:spacing w:val="-14"/>
          <w:sz w:val="20"/>
        </w:rPr>
        <w:t> </w:t>
      </w:r>
      <w:r>
        <w:rPr>
          <w:spacing w:val="-2"/>
          <w:sz w:val="20"/>
        </w:rPr>
        <w:t>Considerations</w:t>
      </w:r>
    </w:p>
    <w:p>
      <w:pPr>
        <w:pStyle w:val="BodyText"/>
        <w:tabs>
          <w:tab w:pos="1878" w:val="left" w:leader="none"/>
        </w:tabs>
        <w:ind w:left="1158" w:right="5495"/>
      </w:pPr>
      <w:r>
        <w:rPr>
          <w:spacing w:val="-4"/>
        </w:rPr>
        <w:t>B-12</w:t>
      </w:r>
      <w:r>
        <w:rPr/>
        <w:tab/>
        <w:t>Building</w:t>
      </w:r>
      <w:r>
        <w:rPr>
          <w:spacing w:val="-14"/>
        </w:rPr>
        <w:t> </w:t>
      </w:r>
      <w:r>
        <w:rPr/>
        <w:t>Materials</w:t>
      </w:r>
      <w:r>
        <w:rPr>
          <w:spacing w:val="-13"/>
        </w:rPr>
        <w:t> </w:t>
      </w:r>
      <w:r>
        <w:rPr/>
        <w:t>and</w:t>
      </w:r>
      <w:r>
        <w:rPr>
          <w:spacing w:val="-13"/>
        </w:rPr>
        <w:t> </w:t>
      </w:r>
      <w:r>
        <w:rPr/>
        <w:t>Assemblies </w:t>
      </w:r>
      <w:r>
        <w:rPr>
          <w:spacing w:val="-4"/>
        </w:rPr>
        <w:t>C-1</w:t>
      </w:r>
      <w:r>
        <w:rPr/>
        <w:tab/>
      </w:r>
      <w:r>
        <w:rPr>
          <w:spacing w:val="-2"/>
        </w:rPr>
        <w:t>Collaboration</w:t>
      </w:r>
    </w:p>
    <w:p>
      <w:pPr>
        <w:spacing w:before="119"/>
        <w:ind w:left="438" w:right="0" w:firstLine="0"/>
        <w:jc w:val="left"/>
        <w:rPr>
          <w:b/>
          <w:sz w:val="20"/>
        </w:rPr>
      </w:pPr>
      <w:r>
        <w:rPr>
          <w:b/>
          <w:sz w:val="20"/>
        </w:rPr>
        <w:t>Topical</w:t>
      </w:r>
      <w:r>
        <w:rPr>
          <w:b/>
          <w:spacing w:val="-7"/>
          <w:sz w:val="20"/>
        </w:rPr>
        <w:t> </w:t>
      </w:r>
      <w:r>
        <w:rPr>
          <w:b/>
          <w:sz w:val="20"/>
        </w:rPr>
        <w:t>Outline</w:t>
      </w:r>
      <w:r>
        <w:rPr>
          <w:b/>
          <w:spacing w:val="-7"/>
          <w:sz w:val="20"/>
        </w:rPr>
        <w:t> </w:t>
      </w:r>
      <w:r>
        <w:rPr>
          <w:b/>
          <w:sz w:val="20"/>
        </w:rPr>
        <w:t>and</w:t>
      </w:r>
      <w:r>
        <w:rPr>
          <w:b/>
          <w:spacing w:val="-6"/>
          <w:sz w:val="20"/>
        </w:rPr>
        <w:t> </w:t>
      </w:r>
      <w:r>
        <w:rPr>
          <w:b/>
          <w:sz w:val="20"/>
        </w:rPr>
        <w:t>percentage</w:t>
      </w:r>
      <w:r>
        <w:rPr>
          <w:b/>
          <w:spacing w:val="-6"/>
          <w:sz w:val="20"/>
        </w:rPr>
        <w:t> </w:t>
      </w:r>
      <w:r>
        <w:rPr>
          <w:b/>
          <w:sz w:val="20"/>
        </w:rPr>
        <w:t>of</w:t>
      </w:r>
      <w:r>
        <w:rPr>
          <w:b/>
          <w:spacing w:val="-6"/>
          <w:sz w:val="20"/>
        </w:rPr>
        <w:t> </w:t>
      </w:r>
      <w:r>
        <w:rPr>
          <w:b/>
          <w:sz w:val="20"/>
        </w:rPr>
        <w:t>time</w:t>
      </w:r>
      <w:r>
        <w:rPr>
          <w:b/>
          <w:spacing w:val="-7"/>
          <w:sz w:val="20"/>
        </w:rPr>
        <w:t> </w:t>
      </w:r>
      <w:r>
        <w:rPr>
          <w:b/>
          <w:sz w:val="20"/>
        </w:rPr>
        <w:t>spent</w:t>
      </w:r>
      <w:r>
        <w:rPr>
          <w:b/>
          <w:spacing w:val="-6"/>
          <w:sz w:val="20"/>
        </w:rPr>
        <w:t> </w:t>
      </w:r>
      <w:r>
        <w:rPr>
          <w:b/>
          <w:sz w:val="20"/>
        </w:rPr>
        <w:t>on</w:t>
      </w:r>
      <w:r>
        <w:rPr>
          <w:b/>
          <w:spacing w:val="-5"/>
          <w:sz w:val="20"/>
        </w:rPr>
        <w:t> </w:t>
      </w:r>
      <w:r>
        <w:rPr>
          <w:b/>
          <w:spacing w:val="-4"/>
          <w:sz w:val="20"/>
        </w:rPr>
        <w:t>each</w:t>
      </w:r>
    </w:p>
    <w:p>
      <w:pPr>
        <w:pStyle w:val="BodyText"/>
        <w:spacing w:before="125"/>
        <w:ind w:left="1158"/>
      </w:pPr>
      <w:r>
        <w:rPr/>
        <w:t>Technical</w:t>
      </w:r>
      <w:r>
        <w:rPr>
          <w:spacing w:val="-13"/>
        </w:rPr>
        <w:t> </w:t>
      </w:r>
      <w:r>
        <w:rPr/>
        <w:t>Knowledge</w:t>
      </w:r>
      <w:r>
        <w:rPr>
          <w:spacing w:val="-10"/>
        </w:rPr>
        <w:t> </w:t>
      </w:r>
      <w:r>
        <w:rPr/>
        <w:t>60%,</w:t>
      </w:r>
      <w:r>
        <w:rPr>
          <w:spacing w:val="-10"/>
        </w:rPr>
        <w:t> </w:t>
      </w:r>
      <w:r>
        <w:rPr/>
        <w:t>Construction</w:t>
      </w:r>
      <w:r>
        <w:rPr>
          <w:spacing w:val="-10"/>
        </w:rPr>
        <w:t> </w:t>
      </w:r>
      <w:r>
        <w:rPr/>
        <w:t>Site/Process</w:t>
      </w:r>
      <w:r>
        <w:rPr>
          <w:spacing w:val="-11"/>
        </w:rPr>
        <w:t> </w:t>
      </w:r>
      <w:r>
        <w:rPr/>
        <w:t>20%,</w:t>
      </w:r>
      <w:r>
        <w:rPr>
          <w:spacing w:val="-11"/>
        </w:rPr>
        <w:t> </w:t>
      </w:r>
      <w:r>
        <w:rPr/>
        <w:t>Design/Representation</w:t>
      </w:r>
      <w:r>
        <w:rPr>
          <w:spacing w:val="-12"/>
        </w:rPr>
        <w:t> </w:t>
      </w:r>
      <w:r>
        <w:rPr/>
        <w:t>Skills</w:t>
      </w:r>
      <w:r>
        <w:rPr>
          <w:spacing w:val="-11"/>
        </w:rPr>
        <w:t> </w:t>
      </w:r>
      <w:r>
        <w:rPr>
          <w:spacing w:val="-4"/>
        </w:rPr>
        <w:t>10%,</w:t>
      </w:r>
    </w:p>
    <w:p>
      <w:pPr>
        <w:pStyle w:val="BodyText"/>
        <w:spacing w:before="34"/>
        <w:ind w:left="1158"/>
      </w:pPr>
      <w:r>
        <w:rPr/>
        <w:t>Collaborative</w:t>
      </w:r>
      <w:r>
        <w:rPr>
          <w:spacing w:val="-12"/>
        </w:rPr>
        <w:t> </w:t>
      </w:r>
      <w:r>
        <w:rPr/>
        <w:t>Skills</w:t>
      </w:r>
      <w:r>
        <w:rPr>
          <w:spacing w:val="-10"/>
        </w:rPr>
        <w:t> </w:t>
      </w:r>
      <w:r>
        <w:rPr>
          <w:spacing w:val="-5"/>
        </w:rPr>
        <w:t>10%</w:t>
      </w:r>
    </w:p>
    <w:p>
      <w:pPr>
        <w:spacing w:before="149"/>
        <w:ind w:left="438" w:right="0" w:firstLine="0"/>
        <w:jc w:val="left"/>
        <w:rPr>
          <w:b/>
          <w:sz w:val="20"/>
        </w:rPr>
      </w:pPr>
      <w:r>
        <w:rPr>
          <w:b/>
          <w:w w:val="95"/>
          <w:sz w:val="20"/>
        </w:rPr>
        <w:t>Pre-</w:t>
      </w:r>
      <w:r>
        <w:rPr>
          <w:b/>
          <w:spacing w:val="-2"/>
          <w:sz w:val="20"/>
        </w:rPr>
        <w:t>requisites</w:t>
      </w:r>
    </w:p>
    <w:p>
      <w:pPr>
        <w:pStyle w:val="BodyText"/>
        <w:spacing w:before="123"/>
        <w:ind w:left="1158"/>
      </w:pPr>
      <w:r>
        <w:rPr/>
        <w:t>No</w:t>
      </w:r>
      <w:r>
        <w:rPr>
          <w:spacing w:val="-4"/>
        </w:rPr>
        <w:t> </w:t>
      </w:r>
      <w:r>
        <w:rPr>
          <w:spacing w:val="-2"/>
        </w:rPr>
        <w:t>Prerequisite.</w:t>
      </w:r>
    </w:p>
    <w:p>
      <w:pPr>
        <w:spacing w:before="118"/>
        <w:ind w:left="438" w:right="0" w:firstLine="0"/>
        <w:jc w:val="left"/>
        <w:rPr>
          <w:b/>
          <w:sz w:val="20"/>
        </w:rPr>
      </w:pPr>
      <w:r>
        <w:rPr>
          <w:b/>
          <w:sz w:val="20"/>
        </w:rPr>
        <w:t>Textbooks</w:t>
      </w:r>
      <w:r>
        <w:rPr>
          <w:b/>
          <w:spacing w:val="-11"/>
          <w:sz w:val="20"/>
        </w:rPr>
        <w:t> </w:t>
      </w:r>
      <w:r>
        <w:rPr>
          <w:b/>
          <w:sz w:val="20"/>
        </w:rPr>
        <w:t>/</w:t>
      </w:r>
      <w:r>
        <w:rPr>
          <w:b/>
          <w:spacing w:val="-9"/>
          <w:sz w:val="20"/>
        </w:rPr>
        <w:t> </w:t>
      </w:r>
      <w:r>
        <w:rPr>
          <w:b/>
          <w:sz w:val="20"/>
        </w:rPr>
        <w:t>Learning</w:t>
      </w:r>
      <w:r>
        <w:rPr>
          <w:b/>
          <w:spacing w:val="-7"/>
          <w:sz w:val="20"/>
        </w:rPr>
        <w:t> </w:t>
      </w:r>
      <w:r>
        <w:rPr>
          <w:b/>
          <w:spacing w:val="-2"/>
          <w:sz w:val="20"/>
        </w:rPr>
        <w:t>Resources</w:t>
      </w:r>
    </w:p>
    <w:p>
      <w:pPr>
        <w:spacing w:before="120"/>
        <w:ind w:left="798" w:right="0" w:firstLine="0"/>
        <w:jc w:val="left"/>
        <w:rPr>
          <w:i/>
          <w:sz w:val="20"/>
        </w:rPr>
      </w:pPr>
      <w:r>
        <w:rPr>
          <w:sz w:val="20"/>
        </w:rPr>
        <w:t>Edward</w:t>
      </w:r>
      <w:r>
        <w:rPr>
          <w:spacing w:val="-8"/>
          <w:sz w:val="20"/>
        </w:rPr>
        <w:t> </w:t>
      </w:r>
      <w:r>
        <w:rPr>
          <w:sz w:val="20"/>
        </w:rPr>
        <w:t>Allen,</w:t>
      </w:r>
      <w:r>
        <w:rPr>
          <w:spacing w:val="-7"/>
          <w:sz w:val="20"/>
        </w:rPr>
        <w:t> </w:t>
      </w:r>
      <w:r>
        <w:rPr>
          <w:sz w:val="20"/>
        </w:rPr>
        <w:t>Joseph</w:t>
      </w:r>
      <w:r>
        <w:rPr>
          <w:spacing w:val="-8"/>
          <w:sz w:val="20"/>
        </w:rPr>
        <w:t> </w:t>
      </w:r>
      <w:r>
        <w:rPr>
          <w:sz w:val="20"/>
        </w:rPr>
        <w:t>Iano,</w:t>
      </w:r>
      <w:r>
        <w:rPr>
          <w:spacing w:val="-6"/>
          <w:sz w:val="20"/>
        </w:rPr>
        <w:t> </w:t>
      </w:r>
      <w:r>
        <w:rPr>
          <w:i/>
          <w:sz w:val="20"/>
        </w:rPr>
        <w:t>Fundamentals</w:t>
      </w:r>
      <w:r>
        <w:rPr>
          <w:i/>
          <w:spacing w:val="-6"/>
          <w:sz w:val="20"/>
        </w:rPr>
        <w:t> </w:t>
      </w:r>
      <w:r>
        <w:rPr>
          <w:i/>
          <w:sz w:val="20"/>
        </w:rPr>
        <w:t>of</w:t>
      </w:r>
      <w:r>
        <w:rPr>
          <w:i/>
          <w:spacing w:val="-6"/>
          <w:sz w:val="20"/>
        </w:rPr>
        <w:t> </w:t>
      </w:r>
      <w:r>
        <w:rPr>
          <w:i/>
          <w:sz w:val="20"/>
        </w:rPr>
        <w:t>Building</w:t>
      </w:r>
      <w:r>
        <w:rPr>
          <w:i/>
          <w:spacing w:val="-6"/>
          <w:sz w:val="20"/>
        </w:rPr>
        <w:t> </w:t>
      </w:r>
      <w:r>
        <w:rPr>
          <w:i/>
          <w:spacing w:val="-2"/>
          <w:sz w:val="20"/>
        </w:rPr>
        <w:t>Construction</w:t>
      </w:r>
    </w:p>
    <w:p>
      <w:pPr>
        <w:spacing w:before="118"/>
        <w:ind w:left="438" w:right="0" w:firstLine="0"/>
        <w:jc w:val="left"/>
        <w:rPr>
          <w:b/>
          <w:sz w:val="20"/>
        </w:rPr>
      </w:pPr>
      <w:r>
        <w:rPr>
          <w:b/>
          <w:sz w:val="20"/>
        </w:rPr>
        <w:t>Offered</w:t>
      </w:r>
      <w:r>
        <w:rPr>
          <w:b/>
          <w:spacing w:val="-10"/>
          <w:sz w:val="20"/>
        </w:rPr>
        <w:t> </w:t>
      </w:r>
      <w:r>
        <w:rPr>
          <w:b/>
          <w:spacing w:val="-2"/>
          <w:sz w:val="20"/>
        </w:rPr>
        <w:t>(terms):</w:t>
      </w:r>
    </w:p>
    <w:p>
      <w:pPr>
        <w:pStyle w:val="BodyText"/>
        <w:spacing w:before="123"/>
        <w:ind w:left="798"/>
      </w:pPr>
      <w:r>
        <w:rPr/>
        <w:t>Spring</w:t>
      </w:r>
      <w:r>
        <w:rPr>
          <w:spacing w:val="-8"/>
        </w:rPr>
        <w:t> </w:t>
      </w:r>
      <w:r>
        <w:rPr/>
        <w:t>Semester</w:t>
      </w:r>
      <w:r>
        <w:rPr>
          <w:spacing w:val="-8"/>
        </w:rPr>
        <w:t> </w:t>
      </w:r>
      <w:r>
        <w:rPr>
          <w:spacing w:val="-4"/>
        </w:rPr>
        <w:t>only</w:t>
      </w:r>
    </w:p>
    <w:p>
      <w:pPr>
        <w:spacing w:before="118"/>
        <w:ind w:left="438" w:right="0" w:firstLine="0"/>
        <w:jc w:val="left"/>
        <w:rPr>
          <w:b/>
          <w:sz w:val="20"/>
        </w:rPr>
      </w:pPr>
      <w:r>
        <w:rPr>
          <w:b/>
          <w:sz w:val="20"/>
        </w:rPr>
        <w:t>Faculty</w:t>
      </w:r>
      <w:r>
        <w:rPr>
          <w:b/>
          <w:spacing w:val="-8"/>
          <w:sz w:val="20"/>
        </w:rPr>
        <w:t> </w:t>
      </w:r>
      <w:r>
        <w:rPr>
          <w:b/>
          <w:spacing w:val="-2"/>
          <w:sz w:val="20"/>
        </w:rPr>
        <w:t>Assigned</w:t>
      </w:r>
    </w:p>
    <w:p>
      <w:pPr>
        <w:pStyle w:val="BodyText"/>
        <w:spacing w:before="123"/>
        <w:ind w:left="1158"/>
      </w:pPr>
      <w:r>
        <w:rPr/>
        <w:t>2014</w:t>
      </w:r>
      <w:r>
        <w:rPr>
          <w:spacing w:val="-2"/>
        </w:rPr>
        <w:t> </w:t>
      </w:r>
      <w:r>
        <w:rPr/>
        <w:t>–</w:t>
      </w:r>
      <w:r>
        <w:rPr>
          <w:spacing w:val="47"/>
        </w:rPr>
        <w:t> </w:t>
      </w:r>
      <w:r>
        <w:rPr>
          <w:spacing w:val="-2"/>
        </w:rPr>
        <w:t>Peronnet</w:t>
      </w:r>
    </w:p>
    <w:p>
      <w:pPr>
        <w:pStyle w:val="BodyText"/>
        <w:spacing w:before="1"/>
        <w:ind w:left="1158"/>
      </w:pPr>
      <w:r>
        <w:rPr/>
        <w:t>2013</w:t>
      </w:r>
      <w:r>
        <w:rPr>
          <w:spacing w:val="-2"/>
        </w:rPr>
        <w:t> </w:t>
      </w:r>
      <w:r>
        <w:rPr/>
        <w:t>–</w:t>
      </w:r>
      <w:r>
        <w:rPr>
          <w:spacing w:val="47"/>
        </w:rPr>
        <w:t> </w:t>
      </w:r>
      <w:r>
        <w:rPr>
          <w:spacing w:val="-2"/>
        </w:rPr>
        <w:t>Peronnet</w:t>
      </w:r>
    </w:p>
    <w:p>
      <w:pPr>
        <w:spacing w:after="0"/>
        <w:sectPr>
          <w:headerReference w:type="default" r:id="rId199"/>
          <w:footerReference w:type="default" r:id="rId200"/>
          <w:pgSz w:w="12240" w:h="15840"/>
          <w:pgMar w:header="993" w:footer="974" w:top="1240" w:bottom="1160" w:left="1000" w:right="820"/>
        </w:sectPr>
      </w:pPr>
    </w:p>
    <w:p>
      <w:pPr>
        <w:spacing w:before="115"/>
        <w:ind w:left="440" w:right="0" w:firstLine="0"/>
        <w:jc w:val="left"/>
        <w:rPr>
          <w:b/>
          <w:sz w:val="20"/>
        </w:rPr>
      </w:pPr>
      <w:r>
        <w:rPr>
          <w:b/>
          <w:sz w:val="20"/>
        </w:rPr>
        <w:t>Course</w:t>
      </w:r>
      <w:r>
        <w:rPr>
          <w:b/>
          <w:spacing w:val="-9"/>
          <w:sz w:val="20"/>
        </w:rPr>
        <w:t> </w:t>
      </w:r>
      <w:r>
        <w:rPr>
          <w:b/>
          <w:sz w:val="20"/>
        </w:rPr>
        <w:t>Description</w:t>
      </w:r>
      <w:r>
        <w:rPr>
          <w:b/>
          <w:spacing w:val="-8"/>
          <w:sz w:val="20"/>
        </w:rPr>
        <w:t> </w:t>
      </w:r>
      <w:r>
        <w:rPr>
          <w:b/>
          <w:sz w:val="20"/>
        </w:rPr>
        <w:t>(limit</w:t>
      </w:r>
      <w:r>
        <w:rPr>
          <w:b/>
          <w:spacing w:val="-7"/>
          <w:sz w:val="20"/>
        </w:rPr>
        <w:t> </w:t>
      </w:r>
      <w:r>
        <w:rPr>
          <w:b/>
          <w:sz w:val="20"/>
        </w:rPr>
        <w:t>25</w:t>
      </w:r>
      <w:r>
        <w:rPr>
          <w:b/>
          <w:spacing w:val="-8"/>
          <w:sz w:val="20"/>
        </w:rPr>
        <w:t> </w:t>
      </w:r>
      <w:r>
        <w:rPr>
          <w:b/>
          <w:spacing w:val="-2"/>
          <w:sz w:val="20"/>
        </w:rPr>
        <w:t>words):</w:t>
      </w:r>
    </w:p>
    <w:p>
      <w:pPr>
        <w:pStyle w:val="BodyText"/>
        <w:spacing w:before="122"/>
        <w:ind w:left="1159" w:right="642"/>
      </w:pPr>
      <w:r>
        <w:rPr/>
        <w:t>Presents</w:t>
      </w:r>
      <w:r>
        <w:rPr>
          <w:spacing w:val="-3"/>
        </w:rPr>
        <w:t> </w:t>
      </w:r>
      <w:r>
        <w:rPr/>
        <w:t>an</w:t>
      </w:r>
      <w:r>
        <w:rPr>
          <w:spacing w:val="-4"/>
        </w:rPr>
        <w:t> </w:t>
      </w:r>
      <w:r>
        <w:rPr/>
        <w:t>overview</w:t>
      </w:r>
      <w:r>
        <w:rPr>
          <w:spacing w:val="-6"/>
        </w:rPr>
        <w:t> </w:t>
      </w:r>
      <w:r>
        <w:rPr/>
        <w:t>of</w:t>
      </w:r>
      <w:r>
        <w:rPr>
          <w:spacing w:val="-2"/>
        </w:rPr>
        <w:t> </w:t>
      </w:r>
      <w:r>
        <w:rPr/>
        <w:t>the</w:t>
      </w:r>
      <w:r>
        <w:rPr>
          <w:spacing w:val="-4"/>
        </w:rPr>
        <w:t> </w:t>
      </w:r>
      <w:r>
        <w:rPr/>
        <w:t>history</w:t>
      </w:r>
      <w:r>
        <w:rPr>
          <w:spacing w:val="-7"/>
        </w:rPr>
        <w:t> </w:t>
      </w:r>
      <w:r>
        <w:rPr/>
        <w:t>(political,</w:t>
      </w:r>
      <w:r>
        <w:rPr>
          <w:spacing w:val="-4"/>
        </w:rPr>
        <w:t> </w:t>
      </w:r>
      <w:r>
        <w:rPr/>
        <w:t>architectural,</w:t>
      </w:r>
      <w:r>
        <w:rPr>
          <w:spacing w:val="-2"/>
        </w:rPr>
        <w:t> </w:t>
      </w:r>
      <w:r>
        <w:rPr/>
        <w:t>artistic and</w:t>
      </w:r>
      <w:r>
        <w:rPr>
          <w:spacing w:val="-2"/>
        </w:rPr>
        <w:t> </w:t>
      </w:r>
      <w:r>
        <w:rPr/>
        <w:t>urban)</w:t>
      </w:r>
      <w:r>
        <w:rPr>
          <w:spacing w:val="-3"/>
        </w:rPr>
        <w:t> </w:t>
      </w:r>
      <w:r>
        <w:rPr/>
        <w:t>and</w:t>
      </w:r>
      <w:r>
        <w:rPr>
          <w:spacing w:val="-2"/>
        </w:rPr>
        <w:t> </w:t>
      </w:r>
      <w:r>
        <w:rPr/>
        <w:t>culture</w:t>
      </w:r>
      <w:r>
        <w:rPr>
          <w:spacing w:val="-2"/>
        </w:rPr>
        <w:t> </w:t>
      </w:r>
      <w:r>
        <w:rPr/>
        <w:t>of</w:t>
      </w:r>
      <w:r>
        <w:rPr>
          <w:spacing w:val="-2"/>
        </w:rPr>
        <w:t> </w:t>
      </w:r>
      <w:r>
        <w:rPr/>
        <w:t>the country to be visited in ARC 305.</w:t>
      </w:r>
      <w:r>
        <w:rPr>
          <w:spacing w:val="40"/>
        </w:rPr>
        <w:t> </w:t>
      </w:r>
      <w:r>
        <w:rPr/>
        <w:t>Course also includes some instruction in the language and customs of the country to be visited, urban analysis of cities to be visited, guidance on</w:t>
      </w:r>
    </w:p>
    <w:p>
      <w:pPr>
        <w:pStyle w:val="BodyText"/>
        <w:spacing w:before="2"/>
        <w:ind w:left="1159"/>
      </w:pPr>
      <w:r>
        <w:rPr/>
        <w:t>packing,</w:t>
      </w:r>
      <w:r>
        <w:rPr>
          <w:spacing w:val="42"/>
        </w:rPr>
        <w:t> </w:t>
      </w:r>
      <w:r>
        <w:rPr/>
        <w:t>documentation,</w:t>
      </w:r>
      <w:r>
        <w:rPr>
          <w:spacing w:val="-7"/>
        </w:rPr>
        <w:t> </w:t>
      </w:r>
      <w:r>
        <w:rPr/>
        <w:t>and</w:t>
      </w:r>
      <w:r>
        <w:rPr>
          <w:spacing w:val="-7"/>
        </w:rPr>
        <w:t> </w:t>
      </w:r>
      <w:r>
        <w:rPr/>
        <w:t>equipment</w:t>
      </w:r>
      <w:r>
        <w:rPr>
          <w:spacing w:val="-7"/>
        </w:rPr>
        <w:t> </w:t>
      </w:r>
      <w:r>
        <w:rPr/>
        <w:t>for</w:t>
      </w:r>
      <w:r>
        <w:rPr>
          <w:spacing w:val="-6"/>
        </w:rPr>
        <w:t> </w:t>
      </w:r>
      <w:r>
        <w:rPr>
          <w:spacing w:val="-2"/>
        </w:rPr>
        <w:t>travel.</w:t>
      </w:r>
    </w:p>
    <w:p>
      <w:pPr>
        <w:spacing w:before="115"/>
        <w:ind w:left="439" w:right="0" w:firstLine="0"/>
        <w:jc w:val="left"/>
        <w:rPr>
          <w:b/>
          <w:sz w:val="20"/>
        </w:rPr>
      </w:pPr>
      <w:r>
        <w:rPr>
          <w:b/>
          <w:sz w:val="20"/>
        </w:rPr>
        <w:t>Course</w:t>
      </w:r>
      <w:r>
        <w:rPr>
          <w:b/>
          <w:spacing w:val="-9"/>
          <w:sz w:val="20"/>
        </w:rPr>
        <w:t> </w:t>
      </w:r>
      <w:r>
        <w:rPr>
          <w:b/>
          <w:sz w:val="20"/>
        </w:rPr>
        <w:t>Goals</w:t>
      </w:r>
      <w:r>
        <w:rPr>
          <w:b/>
          <w:spacing w:val="-7"/>
          <w:sz w:val="20"/>
        </w:rPr>
        <w:t> </w:t>
      </w:r>
      <w:r>
        <w:rPr>
          <w:b/>
          <w:sz w:val="20"/>
        </w:rPr>
        <w:t>and</w:t>
      </w:r>
      <w:r>
        <w:rPr>
          <w:b/>
          <w:spacing w:val="-5"/>
          <w:sz w:val="20"/>
        </w:rPr>
        <w:t> </w:t>
      </w:r>
      <w:r>
        <w:rPr>
          <w:b/>
          <w:spacing w:val="-2"/>
          <w:sz w:val="20"/>
        </w:rPr>
        <w:t>Objectives;</w:t>
      </w:r>
    </w:p>
    <w:p>
      <w:pPr>
        <w:pStyle w:val="BodyText"/>
        <w:spacing w:before="123"/>
        <w:ind w:left="799"/>
      </w:pPr>
      <w:r>
        <w:rPr/>
        <w:t>This</w:t>
      </w:r>
      <w:r>
        <w:rPr>
          <w:spacing w:val="-5"/>
        </w:rPr>
        <w:t> </w:t>
      </w:r>
      <w:r>
        <w:rPr/>
        <w:t>course</w:t>
      </w:r>
      <w:r>
        <w:rPr>
          <w:spacing w:val="-5"/>
        </w:rPr>
        <w:t> </w:t>
      </w:r>
      <w:r>
        <w:rPr/>
        <w:t>is</w:t>
      </w:r>
      <w:r>
        <w:rPr>
          <w:spacing w:val="-4"/>
        </w:rPr>
        <w:t> </w:t>
      </w:r>
      <w:r>
        <w:rPr/>
        <w:t>being</w:t>
      </w:r>
      <w:r>
        <w:rPr>
          <w:spacing w:val="-3"/>
        </w:rPr>
        <w:t> </w:t>
      </w:r>
      <w:r>
        <w:rPr/>
        <w:t>designed</w:t>
      </w:r>
      <w:r>
        <w:rPr>
          <w:spacing w:val="-6"/>
        </w:rPr>
        <w:t> </w:t>
      </w:r>
      <w:r>
        <w:rPr/>
        <w:t>and</w:t>
      </w:r>
      <w:r>
        <w:rPr>
          <w:spacing w:val="-3"/>
        </w:rPr>
        <w:t> </w:t>
      </w:r>
      <w:r>
        <w:rPr/>
        <w:t>will</w:t>
      </w:r>
      <w:r>
        <w:rPr>
          <w:spacing w:val="-6"/>
        </w:rPr>
        <w:t> </w:t>
      </w:r>
      <w:r>
        <w:rPr/>
        <w:t>be</w:t>
      </w:r>
      <w:r>
        <w:rPr>
          <w:spacing w:val="-5"/>
        </w:rPr>
        <w:t> </w:t>
      </w:r>
      <w:r>
        <w:rPr/>
        <w:t>taught</w:t>
      </w:r>
      <w:r>
        <w:rPr>
          <w:spacing w:val="-5"/>
        </w:rPr>
        <w:t> </w:t>
      </w:r>
      <w:r>
        <w:rPr/>
        <w:t>in</w:t>
      </w:r>
      <w:r>
        <w:rPr>
          <w:spacing w:val="-5"/>
        </w:rPr>
        <w:t> </w:t>
      </w:r>
      <w:r>
        <w:rPr/>
        <w:t>Spring,</w:t>
      </w:r>
      <w:r>
        <w:rPr>
          <w:spacing w:val="-4"/>
        </w:rPr>
        <w:t> </w:t>
      </w:r>
      <w:r>
        <w:rPr/>
        <w:t>2015</w:t>
      </w:r>
      <w:r>
        <w:rPr>
          <w:spacing w:val="-5"/>
        </w:rPr>
        <w:t> </w:t>
      </w:r>
      <w:r>
        <w:rPr/>
        <w:t>for</w:t>
      </w:r>
      <w:r>
        <w:rPr>
          <w:spacing w:val="-4"/>
        </w:rPr>
        <w:t> </w:t>
      </w:r>
      <w:r>
        <w:rPr/>
        <w:t>the</w:t>
      </w:r>
      <w:r>
        <w:rPr>
          <w:spacing w:val="-5"/>
        </w:rPr>
        <w:t> </w:t>
      </w:r>
      <w:r>
        <w:rPr/>
        <w:t>first</w:t>
      </w:r>
      <w:r>
        <w:rPr>
          <w:spacing w:val="-5"/>
        </w:rPr>
        <w:t> </w:t>
      </w:r>
      <w:r>
        <w:rPr>
          <w:spacing w:val="-2"/>
        </w:rPr>
        <w:t>time.</w:t>
      </w:r>
    </w:p>
    <w:p>
      <w:pPr>
        <w:spacing w:before="118"/>
        <w:ind w:left="439" w:right="0" w:firstLine="0"/>
        <w:jc w:val="left"/>
        <w:rPr>
          <w:b/>
          <w:sz w:val="20"/>
        </w:rPr>
      </w:pPr>
      <w:r>
        <w:rPr>
          <w:b/>
          <w:sz w:val="20"/>
        </w:rPr>
        <w:t>Student</w:t>
      </w:r>
      <w:r>
        <w:rPr>
          <w:b/>
          <w:spacing w:val="-9"/>
          <w:sz w:val="20"/>
        </w:rPr>
        <w:t> </w:t>
      </w:r>
      <w:r>
        <w:rPr>
          <w:b/>
          <w:sz w:val="20"/>
        </w:rPr>
        <w:t>Performance</w:t>
      </w:r>
      <w:r>
        <w:rPr>
          <w:b/>
          <w:spacing w:val="-9"/>
          <w:sz w:val="20"/>
        </w:rPr>
        <w:t> </w:t>
      </w:r>
      <w:r>
        <w:rPr>
          <w:b/>
          <w:sz w:val="20"/>
        </w:rPr>
        <w:t>Criteria</w:t>
      </w:r>
      <w:r>
        <w:rPr>
          <w:b/>
          <w:spacing w:val="-5"/>
          <w:sz w:val="20"/>
        </w:rPr>
        <w:t> </w:t>
      </w:r>
      <w:r>
        <w:rPr>
          <w:b/>
          <w:sz w:val="20"/>
        </w:rPr>
        <w:t>Addressed</w:t>
      </w:r>
      <w:r>
        <w:rPr>
          <w:b/>
          <w:spacing w:val="-9"/>
          <w:sz w:val="20"/>
        </w:rPr>
        <w:t> </w:t>
      </w:r>
      <w:r>
        <w:rPr>
          <w:b/>
          <w:sz w:val="20"/>
        </w:rPr>
        <w:t>(name</w:t>
      </w:r>
      <w:r>
        <w:rPr>
          <w:b/>
          <w:spacing w:val="-9"/>
          <w:sz w:val="20"/>
        </w:rPr>
        <w:t> </w:t>
      </w:r>
      <w:r>
        <w:rPr>
          <w:b/>
          <w:sz w:val="20"/>
        </w:rPr>
        <w:t>and</w:t>
      </w:r>
      <w:r>
        <w:rPr>
          <w:b/>
          <w:spacing w:val="-8"/>
          <w:sz w:val="20"/>
        </w:rPr>
        <w:t> </w:t>
      </w:r>
      <w:r>
        <w:rPr>
          <w:b/>
          <w:spacing w:val="-2"/>
          <w:sz w:val="20"/>
        </w:rPr>
        <w:t>number)</w:t>
      </w:r>
    </w:p>
    <w:p>
      <w:pPr>
        <w:pStyle w:val="BodyText"/>
        <w:rPr>
          <w:b/>
          <w:sz w:val="22"/>
        </w:rPr>
      </w:pPr>
    </w:p>
    <w:p>
      <w:pPr>
        <w:pStyle w:val="BodyText"/>
        <w:spacing w:before="11"/>
        <w:rPr>
          <w:b/>
          <w:sz w:val="18"/>
        </w:rPr>
      </w:pPr>
    </w:p>
    <w:p>
      <w:pPr>
        <w:spacing w:before="0"/>
        <w:ind w:left="439" w:right="0" w:firstLine="0"/>
        <w:jc w:val="left"/>
        <w:rPr>
          <w:b/>
          <w:sz w:val="20"/>
        </w:rPr>
      </w:pPr>
      <w:r>
        <w:rPr>
          <w:b/>
          <w:sz w:val="20"/>
        </w:rPr>
        <w:t>Topical</w:t>
      </w:r>
      <w:r>
        <w:rPr>
          <w:b/>
          <w:spacing w:val="-7"/>
          <w:sz w:val="20"/>
        </w:rPr>
        <w:t> </w:t>
      </w:r>
      <w:r>
        <w:rPr>
          <w:b/>
          <w:sz w:val="20"/>
        </w:rPr>
        <w:t>Outline</w:t>
      </w:r>
      <w:r>
        <w:rPr>
          <w:b/>
          <w:spacing w:val="-7"/>
          <w:sz w:val="20"/>
        </w:rPr>
        <w:t> </w:t>
      </w:r>
      <w:r>
        <w:rPr>
          <w:b/>
          <w:sz w:val="20"/>
        </w:rPr>
        <w:t>and</w:t>
      </w:r>
      <w:r>
        <w:rPr>
          <w:b/>
          <w:spacing w:val="-6"/>
          <w:sz w:val="20"/>
        </w:rPr>
        <w:t> </w:t>
      </w:r>
      <w:r>
        <w:rPr>
          <w:b/>
          <w:sz w:val="20"/>
        </w:rPr>
        <w:t>percentage</w:t>
      </w:r>
      <w:r>
        <w:rPr>
          <w:b/>
          <w:spacing w:val="-6"/>
          <w:sz w:val="20"/>
        </w:rPr>
        <w:t> </w:t>
      </w:r>
      <w:r>
        <w:rPr>
          <w:b/>
          <w:sz w:val="20"/>
        </w:rPr>
        <w:t>of</w:t>
      </w:r>
      <w:r>
        <w:rPr>
          <w:b/>
          <w:spacing w:val="-6"/>
          <w:sz w:val="20"/>
        </w:rPr>
        <w:t> </w:t>
      </w:r>
      <w:r>
        <w:rPr>
          <w:b/>
          <w:sz w:val="20"/>
        </w:rPr>
        <w:t>time</w:t>
      </w:r>
      <w:r>
        <w:rPr>
          <w:b/>
          <w:spacing w:val="-7"/>
          <w:sz w:val="20"/>
        </w:rPr>
        <w:t> </w:t>
      </w:r>
      <w:r>
        <w:rPr>
          <w:b/>
          <w:sz w:val="20"/>
        </w:rPr>
        <w:t>spent</w:t>
      </w:r>
      <w:r>
        <w:rPr>
          <w:b/>
          <w:spacing w:val="-6"/>
          <w:sz w:val="20"/>
        </w:rPr>
        <w:t> </w:t>
      </w:r>
      <w:r>
        <w:rPr>
          <w:b/>
          <w:sz w:val="20"/>
        </w:rPr>
        <w:t>on</w:t>
      </w:r>
      <w:r>
        <w:rPr>
          <w:b/>
          <w:spacing w:val="-5"/>
          <w:sz w:val="20"/>
        </w:rPr>
        <w:t> </w:t>
      </w:r>
      <w:r>
        <w:rPr>
          <w:b/>
          <w:spacing w:val="-4"/>
          <w:sz w:val="20"/>
        </w:rPr>
        <w:t>each</w:t>
      </w:r>
    </w:p>
    <w:p>
      <w:pPr>
        <w:pStyle w:val="BodyText"/>
        <w:rPr>
          <w:b/>
          <w:sz w:val="22"/>
        </w:rPr>
      </w:pPr>
    </w:p>
    <w:p>
      <w:pPr>
        <w:pStyle w:val="BodyText"/>
        <w:spacing w:before="8"/>
        <w:rPr>
          <w:b/>
          <w:sz w:val="18"/>
        </w:rPr>
      </w:pPr>
    </w:p>
    <w:p>
      <w:pPr>
        <w:spacing w:before="1"/>
        <w:ind w:left="439" w:right="0" w:firstLine="0"/>
        <w:jc w:val="left"/>
        <w:rPr>
          <w:b/>
          <w:sz w:val="20"/>
        </w:rPr>
      </w:pPr>
      <w:r>
        <w:rPr>
          <w:b/>
          <w:w w:val="95"/>
          <w:sz w:val="20"/>
        </w:rPr>
        <w:t>Pre-</w:t>
      </w:r>
      <w:r>
        <w:rPr>
          <w:b/>
          <w:spacing w:val="-2"/>
          <w:sz w:val="20"/>
        </w:rPr>
        <w:t>requisites</w:t>
      </w:r>
    </w:p>
    <w:p>
      <w:pPr>
        <w:pStyle w:val="BodyText"/>
        <w:spacing w:before="122"/>
        <w:ind w:left="1159"/>
      </w:pPr>
      <w:r>
        <w:rPr/>
        <w:t>No</w:t>
      </w:r>
      <w:r>
        <w:rPr>
          <w:spacing w:val="-10"/>
        </w:rPr>
        <w:t> </w:t>
      </w:r>
      <w:r>
        <w:rPr/>
        <w:t>Pre-</w:t>
      </w:r>
      <w:r>
        <w:rPr>
          <w:spacing w:val="-2"/>
        </w:rPr>
        <w:t>requisites</w:t>
      </w:r>
    </w:p>
    <w:p>
      <w:pPr>
        <w:spacing w:before="118"/>
        <w:ind w:left="439" w:right="0" w:firstLine="0"/>
        <w:jc w:val="left"/>
        <w:rPr>
          <w:b/>
          <w:sz w:val="20"/>
        </w:rPr>
      </w:pPr>
      <w:r>
        <w:rPr>
          <w:b/>
          <w:sz w:val="20"/>
        </w:rPr>
        <w:t>Textbooks</w:t>
      </w:r>
      <w:r>
        <w:rPr>
          <w:b/>
          <w:spacing w:val="-11"/>
          <w:sz w:val="20"/>
        </w:rPr>
        <w:t> </w:t>
      </w:r>
      <w:r>
        <w:rPr>
          <w:b/>
          <w:sz w:val="20"/>
        </w:rPr>
        <w:t>/</w:t>
      </w:r>
      <w:r>
        <w:rPr>
          <w:b/>
          <w:spacing w:val="-9"/>
          <w:sz w:val="20"/>
        </w:rPr>
        <w:t> </w:t>
      </w:r>
      <w:r>
        <w:rPr>
          <w:b/>
          <w:sz w:val="20"/>
        </w:rPr>
        <w:t>Learning</w:t>
      </w:r>
      <w:r>
        <w:rPr>
          <w:b/>
          <w:spacing w:val="-7"/>
          <w:sz w:val="20"/>
        </w:rPr>
        <w:t> </w:t>
      </w:r>
      <w:r>
        <w:rPr>
          <w:b/>
          <w:spacing w:val="-2"/>
          <w:sz w:val="20"/>
        </w:rPr>
        <w:t>Resources</w:t>
      </w:r>
    </w:p>
    <w:p>
      <w:pPr>
        <w:pStyle w:val="BodyText"/>
        <w:rPr>
          <w:b/>
          <w:sz w:val="22"/>
        </w:rPr>
      </w:pPr>
    </w:p>
    <w:p>
      <w:pPr>
        <w:pStyle w:val="BodyText"/>
        <w:rPr>
          <w:b/>
          <w:sz w:val="19"/>
        </w:rPr>
      </w:pPr>
    </w:p>
    <w:p>
      <w:pPr>
        <w:spacing w:before="0"/>
        <w:ind w:left="439" w:right="0" w:firstLine="0"/>
        <w:jc w:val="left"/>
        <w:rPr>
          <w:b/>
          <w:sz w:val="20"/>
        </w:rPr>
      </w:pPr>
      <w:r>
        <w:rPr>
          <w:b/>
          <w:sz w:val="20"/>
        </w:rPr>
        <w:t>Offered</w:t>
      </w:r>
      <w:r>
        <w:rPr>
          <w:b/>
          <w:spacing w:val="-10"/>
          <w:sz w:val="20"/>
        </w:rPr>
        <w:t> </w:t>
      </w:r>
      <w:r>
        <w:rPr>
          <w:b/>
          <w:spacing w:val="-2"/>
          <w:sz w:val="20"/>
        </w:rPr>
        <w:t>(terms):</w:t>
      </w:r>
    </w:p>
    <w:p>
      <w:pPr>
        <w:pStyle w:val="BodyText"/>
        <w:spacing w:before="123"/>
        <w:ind w:left="799"/>
      </w:pPr>
      <w:r>
        <w:rPr/>
        <w:t>Spring</w:t>
      </w:r>
      <w:r>
        <w:rPr>
          <w:spacing w:val="-8"/>
        </w:rPr>
        <w:t> </w:t>
      </w:r>
      <w:r>
        <w:rPr/>
        <w:t>Semester</w:t>
      </w:r>
      <w:r>
        <w:rPr>
          <w:spacing w:val="-8"/>
        </w:rPr>
        <w:t> </w:t>
      </w:r>
      <w:r>
        <w:rPr>
          <w:spacing w:val="-4"/>
        </w:rPr>
        <w:t>only</w:t>
      </w:r>
    </w:p>
    <w:p>
      <w:pPr>
        <w:spacing w:before="115"/>
        <w:ind w:left="439" w:right="0" w:firstLine="0"/>
        <w:jc w:val="left"/>
        <w:rPr>
          <w:b/>
          <w:sz w:val="20"/>
        </w:rPr>
      </w:pPr>
      <w:r>
        <w:rPr>
          <w:b/>
          <w:sz w:val="20"/>
        </w:rPr>
        <w:t>Faculty</w:t>
      </w:r>
      <w:r>
        <w:rPr>
          <w:b/>
          <w:spacing w:val="-8"/>
          <w:sz w:val="20"/>
        </w:rPr>
        <w:t> </w:t>
      </w:r>
      <w:r>
        <w:rPr>
          <w:b/>
          <w:spacing w:val="-2"/>
          <w:sz w:val="20"/>
        </w:rPr>
        <w:t>Assigned</w:t>
      </w:r>
    </w:p>
    <w:p>
      <w:pPr>
        <w:pStyle w:val="BodyText"/>
        <w:spacing w:before="123"/>
        <w:ind w:left="1159"/>
      </w:pPr>
      <w:r>
        <w:rPr/>
        <w:t>2014</w:t>
      </w:r>
      <w:r>
        <w:rPr>
          <w:spacing w:val="-6"/>
        </w:rPr>
        <w:t> </w:t>
      </w:r>
      <w:r>
        <w:rPr/>
        <w:t>–</w:t>
      </w:r>
      <w:r>
        <w:rPr>
          <w:spacing w:val="-6"/>
        </w:rPr>
        <w:t> </w:t>
      </w:r>
      <w:r>
        <w:rPr/>
        <w:t>Andrews</w:t>
      </w:r>
      <w:r>
        <w:rPr>
          <w:spacing w:val="-7"/>
        </w:rPr>
        <w:t> </w:t>
      </w:r>
      <w:r>
        <w:rPr>
          <w:spacing w:val="-4"/>
        </w:rPr>
        <w:t>(F/T)</w:t>
      </w:r>
    </w:p>
    <w:p>
      <w:pPr>
        <w:spacing w:after="0"/>
        <w:sectPr>
          <w:headerReference w:type="default" r:id="rId201"/>
          <w:footerReference w:type="default" r:id="rId202"/>
          <w:pgSz w:w="12240" w:h="15840"/>
          <w:pgMar w:header="993" w:footer="974" w:top="1240" w:bottom="1160" w:left="1000" w:right="820"/>
        </w:sectPr>
      </w:pPr>
    </w:p>
    <w:p>
      <w:pPr>
        <w:spacing w:before="115"/>
        <w:ind w:left="440" w:right="0" w:firstLine="0"/>
        <w:jc w:val="left"/>
        <w:rPr>
          <w:b/>
          <w:sz w:val="20"/>
        </w:rPr>
      </w:pPr>
      <w:r>
        <w:rPr>
          <w:b/>
          <w:sz w:val="20"/>
        </w:rPr>
        <w:t>Course</w:t>
      </w:r>
      <w:r>
        <w:rPr>
          <w:b/>
          <w:spacing w:val="-9"/>
          <w:sz w:val="20"/>
        </w:rPr>
        <w:t> </w:t>
      </w:r>
      <w:r>
        <w:rPr>
          <w:b/>
          <w:sz w:val="20"/>
        </w:rPr>
        <w:t>Description</w:t>
      </w:r>
      <w:r>
        <w:rPr>
          <w:b/>
          <w:spacing w:val="-8"/>
          <w:sz w:val="20"/>
        </w:rPr>
        <w:t> </w:t>
      </w:r>
      <w:r>
        <w:rPr>
          <w:b/>
          <w:sz w:val="20"/>
        </w:rPr>
        <w:t>(limit</w:t>
      </w:r>
      <w:r>
        <w:rPr>
          <w:b/>
          <w:spacing w:val="-7"/>
          <w:sz w:val="20"/>
        </w:rPr>
        <w:t> </w:t>
      </w:r>
      <w:r>
        <w:rPr>
          <w:b/>
          <w:sz w:val="20"/>
        </w:rPr>
        <w:t>25</w:t>
      </w:r>
      <w:r>
        <w:rPr>
          <w:b/>
          <w:spacing w:val="-8"/>
          <w:sz w:val="20"/>
        </w:rPr>
        <w:t> </w:t>
      </w:r>
      <w:r>
        <w:rPr>
          <w:b/>
          <w:spacing w:val="-2"/>
          <w:sz w:val="20"/>
        </w:rPr>
        <w:t>words):</w:t>
      </w:r>
    </w:p>
    <w:p>
      <w:pPr>
        <w:pStyle w:val="BodyText"/>
        <w:spacing w:before="122"/>
        <w:ind w:left="1159" w:right="642"/>
      </w:pPr>
      <w:r>
        <w:rPr/>
        <w:t>Integration of material, systems and spatial elements of architectural design through projects of varying</w:t>
      </w:r>
      <w:r>
        <w:rPr>
          <w:spacing w:val="-5"/>
        </w:rPr>
        <w:t> </w:t>
      </w:r>
      <w:r>
        <w:rPr/>
        <w:t>scales</w:t>
      </w:r>
      <w:r>
        <w:rPr>
          <w:spacing w:val="-1"/>
        </w:rPr>
        <w:t> </w:t>
      </w:r>
      <w:r>
        <w:rPr/>
        <w:t>in</w:t>
      </w:r>
      <w:r>
        <w:rPr>
          <w:spacing w:val="-5"/>
        </w:rPr>
        <w:t> </w:t>
      </w:r>
      <w:r>
        <w:rPr/>
        <w:t>the</w:t>
      </w:r>
      <w:r>
        <w:rPr>
          <w:spacing w:val="-5"/>
        </w:rPr>
        <w:t> </w:t>
      </w:r>
      <w:r>
        <w:rPr/>
        <w:t>community</w:t>
      </w:r>
      <w:r>
        <w:rPr>
          <w:spacing w:val="-7"/>
        </w:rPr>
        <w:t> </w:t>
      </w:r>
      <w:r>
        <w:rPr/>
        <w:t>context.</w:t>
      </w:r>
      <w:r>
        <w:rPr>
          <w:spacing w:val="-5"/>
        </w:rPr>
        <w:t> </w:t>
      </w:r>
      <w:r>
        <w:rPr/>
        <w:t>Deepening</w:t>
      </w:r>
      <w:r>
        <w:rPr>
          <w:spacing w:val="-3"/>
        </w:rPr>
        <w:t> </w:t>
      </w:r>
      <w:r>
        <w:rPr/>
        <w:t>understanding</w:t>
      </w:r>
      <w:r>
        <w:rPr>
          <w:spacing w:val="-5"/>
        </w:rPr>
        <w:t> </w:t>
      </w:r>
      <w:r>
        <w:rPr/>
        <w:t>of</w:t>
      </w:r>
      <w:r>
        <w:rPr>
          <w:spacing w:val="-3"/>
        </w:rPr>
        <w:t> </w:t>
      </w:r>
      <w:r>
        <w:rPr/>
        <w:t>site</w:t>
      </w:r>
      <w:r>
        <w:rPr>
          <w:spacing w:val="-3"/>
        </w:rPr>
        <w:t> </w:t>
      </w:r>
      <w:r>
        <w:rPr/>
        <w:t>planning</w:t>
      </w:r>
      <w:r>
        <w:rPr>
          <w:spacing w:val="-5"/>
        </w:rPr>
        <w:t> </w:t>
      </w:r>
      <w:r>
        <w:rPr/>
        <w:t>and</w:t>
      </w:r>
      <w:r>
        <w:rPr>
          <w:spacing w:val="-5"/>
        </w:rPr>
        <w:t> </w:t>
      </w:r>
      <w:r>
        <w:rPr/>
        <w:t>tectonic </w:t>
      </w:r>
      <w:r>
        <w:rPr>
          <w:spacing w:val="-2"/>
        </w:rPr>
        <w:t>issues.</w:t>
      </w:r>
    </w:p>
    <w:p>
      <w:pPr>
        <w:spacing w:before="119"/>
        <w:ind w:left="440" w:right="0" w:firstLine="0"/>
        <w:jc w:val="left"/>
        <w:rPr>
          <w:b/>
          <w:sz w:val="20"/>
        </w:rPr>
      </w:pPr>
      <w:r>
        <w:rPr>
          <w:b/>
          <w:sz w:val="20"/>
        </w:rPr>
        <w:t>Course</w:t>
      </w:r>
      <w:r>
        <w:rPr>
          <w:b/>
          <w:spacing w:val="-9"/>
          <w:sz w:val="20"/>
        </w:rPr>
        <w:t> </w:t>
      </w:r>
      <w:r>
        <w:rPr>
          <w:b/>
          <w:sz w:val="20"/>
        </w:rPr>
        <w:t>Goals</w:t>
      </w:r>
      <w:r>
        <w:rPr>
          <w:b/>
          <w:spacing w:val="-7"/>
          <w:sz w:val="20"/>
        </w:rPr>
        <w:t> </w:t>
      </w:r>
      <w:r>
        <w:rPr>
          <w:b/>
          <w:sz w:val="20"/>
        </w:rPr>
        <w:t>and</w:t>
      </w:r>
      <w:r>
        <w:rPr>
          <w:b/>
          <w:spacing w:val="-5"/>
          <w:sz w:val="20"/>
        </w:rPr>
        <w:t> </w:t>
      </w:r>
      <w:r>
        <w:rPr>
          <w:b/>
          <w:spacing w:val="-2"/>
          <w:sz w:val="20"/>
        </w:rPr>
        <w:t>Objectives;</w:t>
      </w:r>
    </w:p>
    <w:p>
      <w:pPr>
        <w:pStyle w:val="ListParagraph"/>
        <w:numPr>
          <w:ilvl w:val="0"/>
          <w:numId w:val="50"/>
        </w:numPr>
        <w:tabs>
          <w:tab w:pos="1520" w:val="left" w:leader="none"/>
        </w:tabs>
        <w:spacing w:line="240" w:lineRule="auto" w:before="121" w:after="0"/>
        <w:ind w:left="1519" w:right="0" w:hanging="361"/>
        <w:jc w:val="left"/>
        <w:rPr>
          <w:sz w:val="20"/>
        </w:rPr>
      </w:pPr>
      <w:r>
        <w:rPr>
          <w:sz w:val="20"/>
        </w:rPr>
        <w:t>The</w:t>
      </w:r>
      <w:r>
        <w:rPr>
          <w:spacing w:val="-7"/>
          <w:sz w:val="20"/>
        </w:rPr>
        <w:t> </w:t>
      </w:r>
      <w:r>
        <w:rPr>
          <w:sz w:val="20"/>
        </w:rPr>
        <w:t>ability</w:t>
      </w:r>
      <w:r>
        <w:rPr>
          <w:spacing w:val="-10"/>
          <w:sz w:val="20"/>
        </w:rPr>
        <w:t> </w:t>
      </w:r>
      <w:r>
        <w:rPr>
          <w:sz w:val="20"/>
        </w:rPr>
        <w:t>to</w:t>
      </w:r>
      <w:r>
        <w:rPr>
          <w:spacing w:val="-5"/>
          <w:sz w:val="20"/>
        </w:rPr>
        <w:t> </w:t>
      </w:r>
      <w:r>
        <w:rPr>
          <w:sz w:val="20"/>
        </w:rPr>
        <w:t>gather</w:t>
      </w:r>
      <w:r>
        <w:rPr>
          <w:spacing w:val="-6"/>
          <w:sz w:val="20"/>
        </w:rPr>
        <w:t> </w:t>
      </w:r>
      <w:r>
        <w:rPr>
          <w:sz w:val="20"/>
        </w:rPr>
        <w:t>and</w:t>
      </w:r>
      <w:r>
        <w:rPr>
          <w:spacing w:val="-5"/>
          <w:sz w:val="20"/>
        </w:rPr>
        <w:t> </w:t>
      </w:r>
      <w:r>
        <w:rPr>
          <w:sz w:val="20"/>
        </w:rPr>
        <w:t>assess</w:t>
      </w:r>
      <w:r>
        <w:rPr>
          <w:spacing w:val="-6"/>
          <w:sz w:val="20"/>
        </w:rPr>
        <w:t> </w:t>
      </w:r>
      <w:r>
        <w:rPr>
          <w:sz w:val="20"/>
        </w:rPr>
        <w:t>information</w:t>
      </w:r>
      <w:r>
        <w:rPr>
          <w:spacing w:val="-6"/>
          <w:sz w:val="20"/>
        </w:rPr>
        <w:t> </w:t>
      </w:r>
      <w:r>
        <w:rPr>
          <w:sz w:val="20"/>
        </w:rPr>
        <w:t>relevant</w:t>
      </w:r>
      <w:r>
        <w:rPr>
          <w:spacing w:val="-5"/>
          <w:sz w:val="20"/>
        </w:rPr>
        <w:t> </w:t>
      </w:r>
      <w:r>
        <w:rPr>
          <w:sz w:val="20"/>
        </w:rPr>
        <w:t>to</w:t>
      </w:r>
      <w:r>
        <w:rPr>
          <w:spacing w:val="-5"/>
          <w:sz w:val="20"/>
        </w:rPr>
        <w:t> </w:t>
      </w:r>
      <w:r>
        <w:rPr>
          <w:sz w:val="20"/>
        </w:rPr>
        <w:t>a</w:t>
      </w:r>
      <w:r>
        <w:rPr>
          <w:spacing w:val="-7"/>
          <w:sz w:val="20"/>
        </w:rPr>
        <w:t> </w:t>
      </w:r>
      <w:r>
        <w:rPr>
          <w:sz w:val="20"/>
        </w:rPr>
        <w:t>proposed</w:t>
      </w:r>
      <w:r>
        <w:rPr>
          <w:spacing w:val="-5"/>
          <w:sz w:val="20"/>
        </w:rPr>
        <w:t> </w:t>
      </w:r>
      <w:r>
        <w:rPr>
          <w:sz w:val="20"/>
        </w:rPr>
        <w:t>building</w:t>
      </w:r>
      <w:r>
        <w:rPr>
          <w:spacing w:val="-7"/>
          <w:sz w:val="20"/>
        </w:rPr>
        <w:t> </w:t>
      </w:r>
      <w:r>
        <w:rPr>
          <w:spacing w:val="-2"/>
          <w:sz w:val="20"/>
        </w:rPr>
        <w:t>project.</w:t>
      </w:r>
    </w:p>
    <w:p>
      <w:pPr>
        <w:pStyle w:val="ListParagraph"/>
        <w:numPr>
          <w:ilvl w:val="0"/>
          <w:numId w:val="50"/>
        </w:numPr>
        <w:tabs>
          <w:tab w:pos="1520" w:val="left" w:leader="none"/>
        </w:tabs>
        <w:spacing w:line="240" w:lineRule="auto" w:before="0" w:after="0"/>
        <w:ind w:left="1519" w:right="639" w:hanging="360"/>
        <w:jc w:val="left"/>
        <w:rPr>
          <w:sz w:val="20"/>
        </w:rPr>
      </w:pPr>
      <w:r>
        <w:rPr>
          <w:sz w:val="20"/>
        </w:rPr>
        <w:t>The</w:t>
      </w:r>
      <w:r>
        <w:rPr>
          <w:spacing w:val="-4"/>
          <w:sz w:val="20"/>
        </w:rPr>
        <w:t> </w:t>
      </w:r>
      <w:r>
        <w:rPr>
          <w:sz w:val="20"/>
        </w:rPr>
        <w:t>development</w:t>
      </w:r>
      <w:r>
        <w:rPr>
          <w:spacing w:val="-4"/>
          <w:sz w:val="20"/>
        </w:rPr>
        <w:t> </w:t>
      </w:r>
      <w:r>
        <w:rPr>
          <w:sz w:val="20"/>
        </w:rPr>
        <w:t>of</w:t>
      </w:r>
      <w:r>
        <w:rPr>
          <w:spacing w:val="-2"/>
          <w:sz w:val="20"/>
        </w:rPr>
        <w:t> </w:t>
      </w:r>
      <w:r>
        <w:rPr>
          <w:sz w:val="20"/>
        </w:rPr>
        <w:t>the</w:t>
      </w:r>
      <w:r>
        <w:rPr>
          <w:spacing w:val="-4"/>
          <w:sz w:val="20"/>
        </w:rPr>
        <w:t> </w:t>
      </w:r>
      <w:r>
        <w:rPr>
          <w:sz w:val="20"/>
        </w:rPr>
        <w:t>capability</w:t>
      </w:r>
      <w:r>
        <w:rPr>
          <w:spacing w:val="-5"/>
          <w:sz w:val="20"/>
        </w:rPr>
        <w:t> </w:t>
      </w:r>
      <w:r>
        <w:rPr>
          <w:sz w:val="20"/>
        </w:rPr>
        <w:t>to</w:t>
      </w:r>
      <w:r>
        <w:rPr>
          <w:spacing w:val="-2"/>
          <w:sz w:val="20"/>
        </w:rPr>
        <w:t> </w:t>
      </w:r>
      <w:r>
        <w:rPr>
          <w:sz w:val="20"/>
        </w:rPr>
        <w:t>develop</w:t>
      </w:r>
      <w:r>
        <w:rPr>
          <w:spacing w:val="-2"/>
          <w:sz w:val="20"/>
        </w:rPr>
        <w:t> </w:t>
      </w:r>
      <w:r>
        <w:rPr>
          <w:sz w:val="20"/>
        </w:rPr>
        <w:t>an</w:t>
      </w:r>
      <w:r>
        <w:rPr>
          <w:spacing w:val="-2"/>
          <w:sz w:val="20"/>
        </w:rPr>
        <w:t> </w:t>
      </w:r>
      <w:r>
        <w:rPr>
          <w:sz w:val="20"/>
        </w:rPr>
        <w:t>architectural</w:t>
      </w:r>
      <w:r>
        <w:rPr>
          <w:spacing w:val="-3"/>
          <w:sz w:val="20"/>
        </w:rPr>
        <w:t> </w:t>
      </w:r>
      <w:r>
        <w:rPr>
          <w:sz w:val="20"/>
        </w:rPr>
        <w:t>idea,</w:t>
      </w:r>
      <w:r>
        <w:rPr>
          <w:spacing w:val="-4"/>
          <w:sz w:val="20"/>
        </w:rPr>
        <w:t> </w:t>
      </w:r>
      <w:r>
        <w:rPr>
          <w:sz w:val="20"/>
        </w:rPr>
        <w:t>to</w:t>
      </w:r>
      <w:r>
        <w:rPr>
          <w:spacing w:val="-4"/>
          <w:sz w:val="20"/>
        </w:rPr>
        <w:t> </w:t>
      </w:r>
      <w:r>
        <w:rPr>
          <w:sz w:val="20"/>
        </w:rPr>
        <w:t>accept</w:t>
      </w:r>
      <w:r>
        <w:rPr>
          <w:spacing w:val="-2"/>
          <w:sz w:val="20"/>
        </w:rPr>
        <w:t> </w:t>
      </w:r>
      <w:r>
        <w:rPr>
          <w:sz w:val="20"/>
        </w:rPr>
        <w:t>that</w:t>
      </w:r>
      <w:r>
        <w:rPr>
          <w:spacing w:val="-2"/>
          <w:sz w:val="20"/>
        </w:rPr>
        <w:t> </w:t>
      </w:r>
      <w:r>
        <w:rPr>
          <w:sz w:val="20"/>
        </w:rPr>
        <w:t>modification of an</w:t>
      </w:r>
      <w:r>
        <w:rPr>
          <w:spacing w:val="40"/>
          <w:sz w:val="20"/>
        </w:rPr>
        <w:t> </w:t>
      </w:r>
      <w:r>
        <w:rPr>
          <w:sz w:val="20"/>
        </w:rPr>
        <w:t>initial schematic design strategy is inevitable and even welcome.</w:t>
      </w:r>
    </w:p>
    <w:p>
      <w:pPr>
        <w:pStyle w:val="ListParagraph"/>
        <w:numPr>
          <w:ilvl w:val="0"/>
          <w:numId w:val="50"/>
        </w:numPr>
        <w:tabs>
          <w:tab w:pos="1520" w:val="left" w:leader="none"/>
        </w:tabs>
        <w:spacing w:line="240" w:lineRule="auto" w:before="1" w:after="0"/>
        <w:ind w:left="1519" w:right="0" w:hanging="361"/>
        <w:jc w:val="left"/>
        <w:rPr>
          <w:sz w:val="20"/>
        </w:rPr>
      </w:pPr>
      <w:r>
        <w:rPr>
          <w:sz w:val="20"/>
        </w:rPr>
        <w:t>The</w:t>
      </w:r>
      <w:r>
        <w:rPr>
          <w:spacing w:val="-6"/>
          <w:sz w:val="20"/>
        </w:rPr>
        <w:t> </w:t>
      </w:r>
      <w:r>
        <w:rPr>
          <w:sz w:val="20"/>
        </w:rPr>
        <w:t>development</w:t>
      </w:r>
      <w:r>
        <w:rPr>
          <w:spacing w:val="-5"/>
          <w:sz w:val="20"/>
        </w:rPr>
        <w:t> </w:t>
      </w:r>
      <w:r>
        <w:rPr>
          <w:sz w:val="20"/>
        </w:rPr>
        <w:t>of</w:t>
      </w:r>
      <w:r>
        <w:rPr>
          <w:spacing w:val="-3"/>
          <w:sz w:val="20"/>
        </w:rPr>
        <w:t> </w:t>
      </w:r>
      <w:r>
        <w:rPr>
          <w:sz w:val="20"/>
        </w:rPr>
        <w:t>the</w:t>
      </w:r>
      <w:r>
        <w:rPr>
          <w:spacing w:val="-5"/>
          <w:sz w:val="20"/>
        </w:rPr>
        <w:t> </w:t>
      </w:r>
      <w:r>
        <w:rPr>
          <w:sz w:val="20"/>
        </w:rPr>
        <w:t>ability</w:t>
      </w:r>
      <w:r>
        <w:rPr>
          <w:spacing w:val="-8"/>
          <w:sz w:val="20"/>
        </w:rPr>
        <w:t> </w:t>
      </w:r>
      <w:r>
        <w:rPr>
          <w:sz w:val="20"/>
        </w:rPr>
        <w:t>to</w:t>
      </w:r>
      <w:r>
        <w:rPr>
          <w:spacing w:val="-6"/>
          <w:sz w:val="20"/>
        </w:rPr>
        <w:t> </w:t>
      </w:r>
      <w:r>
        <w:rPr>
          <w:sz w:val="20"/>
        </w:rPr>
        <w:t>be</w:t>
      </w:r>
      <w:r>
        <w:rPr>
          <w:spacing w:val="-3"/>
          <w:sz w:val="20"/>
        </w:rPr>
        <w:t> </w:t>
      </w:r>
      <w:r>
        <w:rPr>
          <w:sz w:val="20"/>
        </w:rPr>
        <w:t>an</w:t>
      </w:r>
      <w:r>
        <w:rPr>
          <w:spacing w:val="-3"/>
          <w:sz w:val="20"/>
        </w:rPr>
        <w:t> </w:t>
      </w:r>
      <w:r>
        <w:rPr>
          <w:sz w:val="20"/>
        </w:rPr>
        <w:t>effective</w:t>
      </w:r>
      <w:r>
        <w:rPr>
          <w:spacing w:val="-6"/>
          <w:sz w:val="20"/>
        </w:rPr>
        <w:t> </w:t>
      </w:r>
      <w:r>
        <w:rPr>
          <w:spacing w:val="-2"/>
          <w:sz w:val="20"/>
        </w:rPr>
        <w:t>collaborator.</w:t>
      </w:r>
    </w:p>
    <w:p>
      <w:pPr>
        <w:pStyle w:val="ListParagraph"/>
        <w:numPr>
          <w:ilvl w:val="0"/>
          <w:numId w:val="50"/>
        </w:numPr>
        <w:tabs>
          <w:tab w:pos="1520" w:val="left" w:leader="none"/>
        </w:tabs>
        <w:spacing w:line="240" w:lineRule="auto" w:before="1" w:after="0"/>
        <w:ind w:left="1519" w:right="0" w:hanging="361"/>
        <w:jc w:val="left"/>
        <w:rPr>
          <w:sz w:val="20"/>
        </w:rPr>
      </w:pPr>
      <w:r>
        <w:rPr>
          <w:sz w:val="20"/>
        </w:rPr>
        <w:t>The</w:t>
      </w:r>
      <w:r>
        <w:rPr>
          <w:spacing w:val="-7"/>
          <w:sz w:val="20"/>
        </w:rPr>
        <w:t> </w:t>
      </w:r>
      <w:r>
        <w:rPr>
          <w:sz w:val="20"/>
        </w:rPr>
        <w:t>recognition</w:t>
      </w:r>
      <w:r>
        <w:rPr>
          <w:spacing w:val="-5"/>
          <w:sz w:val="20"/>
        </w:rPr>
        <w:t> </w:t>
      </w:r>
      <w:r>
        <w:rPr>
          <w:sz w:val="20"/>
        </w:rPr>
        <w:t>that</w:t>
      </w:r>
      <w:r>
        <w:rPr>
          <w:spacing w:val="-6"/>
          <w:sz w:val="20"/>
        </w:rPr>
        <w:t> </w:t>
      </w:r>
      <w:r>
        <w:rPr>
          <w:sz w:val="20"/>
        </w:rPr>
        <w:t>architecture</w:t>
      </w:r>
      <w:r>
        <w:rPr>
          <w:spacing w:val="-7"/>
          <w:sz w:val="20"/>
        </w:rPr>
        <w:t> </w:t>
      </w:r>
      <w:r>
        <w:rPr>
          <w:sz w:val="20"/>
        </w:rPr>
        <w:t>has</w:t>
      </w:r>
      <w:r>
        <w:rPr>
          <w:spacing w:val="-6"/>
          <w:sz w:val="20"/>
        </w:rPr>
        <w:t> </w:t>
      </w:r>
      <w:r>
        <w:rPr>
          <w:sz w:val="20"/>
        </w:rPr>
        <w:t>a</w:t>
      </w:r>
      <w:r>
        <w:rPr>
          <w:spacing w:val="-6"/>
          <w:sz w:val="20"/>
        </w:rPr>
        <w:t> </w:t>
      </w:r>
      <w:r>
        <w:rPr>
          <w:sz w:val="20"/>
        </w:rPr>
        <w:t>far-reaching</w:t>
      </w:r>
      <w:r>
        <w:rPr>
          <w:spacing w:val="-5"/>
          <w:sz w:val="20"/>
        </w:rPr>
        <w:t> </w:t>
      </w:r>
      <w:r>
        <w:rPr>
          <w:sz w:val="20"/>
        </w:rPr>
        <w:t>and</w:t>
      </w:r>
      <w:r>
        <w:rPr>
          <w:spacing w:val="-6"/>
          <w:sz w:val="20"/>
        </w:rPr>
        <w:t> </w:t>
      </w:r>
      <w:r>
        <w:rPr>
          <w:sz w:val="20"/>
        </w:rPr>
        <w:t>complex</w:t>
      </w:r>
      <w:r>
        <w:rPr>
          <w:spacing w:val="-6"/>
          <w:sz w:val="20"/>
        </w:rPr>
        <w:t> </w:t>
      </w:r>
      <w:r>
        <w:rPr>
          <w:sz w:val="20"/>
        </w:rPr>
        <w:t>role</w:t>
      </w:r>
      <w:r>
        <w:rPr>
          <w:spacing w:val="-5"/>
          <w:sz w:val="20"/>
        </w:rPr>
        <w:t> </w:t>
      </w:r>
      <w:r>
        <w:rPr>
          <w:sz w:val="20"/>
        </w:rPr>
        <w:t>in</w:t>
      </w:r>
      <w:r>
        <w:rPr>
          <w:spacing w:val="-6"/>
          <w:sz w:val="20"/>
        </w:rPr>
        <w:t> </w:t>
      </w:r>
      <w:r>
        <w:rPr>
          <w:sz w:val="20"/>
        </w:rPr>
        <w:t>the</w:t>
      </w:r>
      <w:r>
        <w:rPr>
          <w:spacing w:val="-5"/>
          <w:sz w:val="20"/>
        </w:rPr>
        <w:t> </w:t>
      </w:r>
      <w:r>
        <w:rPr>
          <w:sz w:val="20"/>
        </w:rPr>
        <w:t>world</w:t>
      </w:r>
      <w:r>
        <w:rPr>
          <w:spacing w:val="-5"/>
          <w:sz w:val="20"/>
        </w:rPr>
        <w:t> </w:t>
      </w:r>
      <w:r>
        <w:rPr>
          <w:sz w:val="20"/>
        </w:rPr>
        <w:t>at</w:t>
      </w:r>
      <w:r>
        <w:rPr>
          <w:spacing w:val="-6"/>
          <w:sz w:val="20"/>
        </w:rPr>
        <w:t> </w:t>
      </w:r>
      <w:r>
        <w:rPr>
          <w:spacing w:val="-2"/>
          <w:sz w:val="20"/>
        </w:rPr>
        <w:t>large.</w:t>
      </w:r>
    </w:p>
    <w:p>
      <w:pPr>
        <w:pStyle w:val="ListParagraph"/>
        <w:numPr>
          <w:ilvl w:val="0"/>
          <w:numId w:val="50"/>
        </w:numPr>
        <w:tabs>
          <w:tab w:pos="1520" w:val="left" w:leader="none"/>
        </w:tabs>
        <w:spacing w:line="229" w:lineRule="exact" w:before="0" w:after="0"/>
        <w:ind w:left="1519" w:right="0" w:hanging="361"/>
        <w:jc w:val="left"/>
        <w:rPr>
          <w:sz w:val="20"/>
        </w:rPr>
      </w:pPr>
      <w:r>
        <w:rPr>
          <w:sz w:val="20"/>
        </w:rPr>
        <w:t>Mastery</w:t>
      </w:r>
      <w:r>
        <w:rPr>
          <w:spacing w:val="-10"/>
          <w:sz w:val="20"/>
        </w:rPr>
        <w:t> </w:t>
      </w:r>
      <w:r>
        <w:rPr>
          <w:sz w:val="20"/>
        </w:rPr>
        <w:t>of</w:t>
      </w:r>
      <w:r>
        <w:rPr>
          <w:spacing w:val="-7"/>
          <w:sz w:val="20"/>
        </w:rPr>
        <w:t> </w:t>
      </w:r>
      <w:r>
        <w:rPr>
          <w:sz w:val="20"/>
        </w:rPr>
        <w:t>presentation</w:t>
      </w:r>
      <w:r>
        <w:rPr>
          <w:spacing w:val="-9"/>
          <w:sz w:val="20"/>
        </w:rPr>
        <w:t> </w:t>
      </w:r>
      <w:r>
        <w:rPr>
          <w:spacing w:val="-2"/>
          <w:sz w:val="20"/>
        </w:rPr>
        <w:t>skills.</w:t>
      </w:r>
    </w:p>
    <w:p>
      <w:pPr>
        <w:pStyle w:val="ListParagraph"/>
        <w:numPr>
          <w:ilvl w:val="0"/>
          <w:numId w:val="50"/>
        </w:numPr>
        <w:tabs>
          <w:tab w:pos="1520" w:val="left" w:leader="none"/>
        </w:tabs>
        <w:spacing w:line="229" w:lineRule="exact" w:before="0" w:after="0"/>
        <w:ind w:left="1519" w:right="0" w:hanging="361"/>
        <w:jc w:val="left"/>
        <w:rPr>
          <w:sz w:val="20"/>
        </w:rPr>
      </w:pPr>
      <w:r>
        <w:rPr>
          <w:sz w:val="20"/>
        </w:rPr>
        <w:t>Application</w:t>
      </w:r>
      <w:r>
        <w:rPr>
          <w:spacing w:val="-8"/>
          <w:sz w:val="20"/>
        </w:rPr>
        <w:t> </w:t>
      </w:r>
      <w:r>
        <w:rPr>
          <w:sz w:val="20"/>
        </w:rPr>
        <w:t>of</w:t>
      </w:r>
      <w:r>
        <w:rPr>
          <w:spacing w:val="-5"/>
          <w:sz w:val="20"/>
        </w:rPr>
        <w:t> </w:t>
      </w:r>
      <w:r>
        <w:rPr>
          <w:sz w:val="20"/>
        </w:rPr>
        <w:t>new</w:t>
      </w:r>
      <w:r>
        <w:rPr>
          <w:spacing w:val="-7"/>
          <w:sz w:val="20"/>
        </w:rPr>
        <w:t> </w:t>
      </w:r>
      <w:r>
        <w:rPr>
          <w:sz w:val="20"/>
        </w:rPr>
        <w:t>knowledge</w:t>
      </w:r>
      <w:r>
        <w:rPr>
          <w:spacing w:val="-7"/>
          <w:sz w:val="20"/>
        </w:rPr>
        <w:t> </w:t>
      </w:r>
      <w:r>
        <w:rPr>
          <w:sz w:val="20"/>
        </w:rPr>
        <w:t>to</w:t>
      </w:r>
      <w:r>
        <w:rPr>
          <w:spacing w:val="-5"/>
          <w:sz w:val="20"/>
        </w:rPr>
        <w:t> </w:t>
      </w:r>
      <w:r>
        <w:rPr>
          <w:sz w:val="20"/>
        </w:rPr>
        <w:t>design</w:t>
      </w:r>
      <w:r>
        <w:rPr>
          <w:spacing w:val="-6"/>
          <w:sz w:val="20"/>
        </w:rPr>
        <w:t> </w:t>
      </w:r>
      <w:r>
        <w:rPr>
          <w:spacing w:val="-4"/>
          <w:sz w:val="20"/>
        </w:rPr>
        <w:t>work.</w:t>
      </w:r>
    </w:p>
    <w:p>
      <w:pPr>
        <w:spacing w:before="118"/>
        <w:ind w:left="439" w:right="0" w:firstLine="0"/>
        <w:jc w:val="left"/>
        <w:rPr>
          <w:b/>
          <w:sz w:val="20"/>
        </w:rPr>
      </w:pPr>
      <w:r>
        <w:rPr>
          <w:b/>
          <w:sz w:val="20"/>
        </w:rPr>
        <w:t>Student</w:t>
      </w:r>
      <w:r>
        <w:rPr>
          <w:b/>
          <w:spacing w:val="-9"/>
          <w:sz w:val="20"/>
        </w:rPr>
        <w:t> </w:t>
      </w:r>
      <w:r>
        <w:rPr>
          <w:b/>
          <w:sz w:val="20"/>
        </w:rPr>
        <w:t>Performance</w:t>
      </w:r>
      <w:r>
        <w:rPr>
          <w:b/>
          <w:spacing w:val="-9"/>
          <w:sz w:val="20"/>
        </w:rPr>
        <w:t> </w:t>
      </w:r>
      <w:r>
        <w:rPr>
          <w:b/>
          <w:sz w:val="20"/>
        </w:rPr>
        <w:t>Criteria</w:t>
      </w:r>
      <w:r>
        <w:rPr>
          <w:b/>
          <w:spacing w:val="-5"/>
          <w:sz w:val="20"/>
        </w:rPr>
        <w:t> </w:t>
      </w:r>
      <w:r>
        <w:rPr>
          <w:b/>
          <w:sz w:val="20"/>
        </w:rPr>
        <w:t>Addressed</w:t>
      </w:r>
      <w:r>
        <w:rPr>
          <w:b/>
          <w:spacing w:val="-8"/>
          <w:sz w:val="20"/>
        </w:rPr>
        <w:t> </w:t>
      </w:r>
      <w:r>
        <w:rPr>
          <w:b/>
          <w:sz w:val="20"/>
        </w:rPr>
        <w:t>(name</w:t>
      </w:r>
      <w:r>
        <w:rPr>
          <w:b/>
          <w:spacing w:val="-9"/>
          <w:sz w:val="20"/>
        </w:rPr>
        <w:t> </w:t>
      </w:r>
      <w:r>
        <w:rPr>
          <w:b/>
          <w:sz w:val="20"/>
        </w:rPr>
        <w:t>and</w:t>
      </w:r>
      <w:r>
        <w:rPr>
          <w:b/>
          <w:spacing w:val="-8"/>
          <w:sz w:val="20"/>
        </w:rPr>
        <w:t> </w:t>
      </w:r>
      <w:r>
        <w:rPr>
          <w:b/>
          <w:spacing w:val="-2"/>
          <w:sz w:val="20"/>
        </w:rPr>
        <w:t>number)</w:t>
      </w:r>
    </w:p>
    <w:p>
      <w:pPr>
        <w:pStyle w:val="BodyText"/>
        <w:spacing w:before="3"/>
        <w:rPr>
          <w:b/>
          <w:sz w:val="11"/>
        </w:rPr>
      </w:pPr>
    </w:p>
    <w:tbl>
      <w:tblPr>
        <w:tblW w:w="0" w:type="auto"/>
        <w:jc w:val="left"/>
        <w:tblInd w:w="1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72"/>
        <w:gridCol w:w="3140"/>
        <w:gridCol w:w="3175"/>
      </w:tblGrid>
      <w:tr>
        <w:trPr>
          <w:trHeight w:val="226" w:hRule="atLeast"/>
        </w:trPr>
        <w:tc>
          <w:tcPr>
            <w:tcW w:w="972" w:type="dxa"/>
          </w:tcPr>
          <w:p>
            <w:pPr>
              <w:pStyle w:val="TableParagraph"/>
              <w:spacing w:line="207" w:lineRule="exact"/>
              <w:ind w:left="50"/>
              <w:rPr>
                <w:sz w:val="20"/>
              </w:rPr>
            </w:pPr>
            <w:r>
              <w:rPr>
                <w:spacing w:val="-2"/>
                <w:sz w:val="20"/>
              </w:rPr>
              <w:t>Mastery:</w:t>
            </w:r>
          </w:p>
        </w:tc>
        <w:tc>
          <w:tcPr>
            <w:tcW w:w="3140" w:type="dxa"/>
          </w:tcPr>
          <w:p>
            <w:pPr>
              <w:pStyle w:val="TableParagraph"/>
              <w:spacing w:line="207" w:lineRule="exact"/>
              <w:ind w:left="158"/>
              <w:rPr>
                <w:sz w:val="20"/>
              </w:rPr>
            </w:pPr>
            <w:r>
              <w:rPr>
                <w:sz w:val="20"/>
              </w:rPr>
              <w:t>A2</w:t>
            </w:r>
            <w:r>
              <w:rPr>
                <w:spacing w:val="-7"/>
                <w:sz w:val="20"/>
              </w:rPr>
              <w:t> </w:t>
            </w:r>
            <w:r>
              <w:rPr>
                <w:sz w:val="20"/>
              </w:rPr>
              <w:t>Digital</w:t>
            </w:r>
            <w:r>
              <w:rPr>
                <w:spacing w:val="-7"/>
                <w:sz w:val="20"/>
              </w:rPr>
              <w:t> </w:t>
            </w:r>
            <w:r>
              <w:rPr>
                <w:sz w:val="20"/>
              </w:rPr>
              <w:t>Thinking</w:t>
            </w:r>
            <w:r>
              <w:rPr>
                <w:spacing w:val="-5"/>
                <w:sz w:val="20"/>
              </w:rPr>
              <w:t> </w:t>
            </w:r>
            <w:r>
              <w:rPr>
                <w:spacing w:val="-2"/>
                <w:sz w:val="20"/>
              </w:rPr>
              <w:t>Skills</w:t>
            </w:r>
          </w:p>
        </w:tc>
        <w:tc>
          <w:tcPr>
            <w:tcW w:w="3175" w:type="dxa"/>
          </w:tcPr>
          <w:p>
            <w:pPr>
              <w:pStyle w:val="TableParagraph"/>
              <w:spacing w:line="207" w:lineRule="exact"/>
              <w:ind w:left="258"/>
              <w:rPr>
                <w:sz w:val="20"/>
              </w:rPr>
            </w:pPr>
            <w:r>
              <w:rPr>
                <w:sz w:val="20"/>
              </w:rPr>
              <w:t>A3:</w:t>
            </w:r>
            <w:r>
              <w:rPr>
                <w:spacing w:val="-9"/>
                <w:sz w:val="20"/>
              </w:rPr>
              <w:t> </w:t>
            </w:r>
            <w:r>
              <w:rPr>
                <w:sz w:val="20"/>
              </w:rPr>
              <w:t>Visual</w:t>
            </w:r>
            <w:r>
              <w:rPr>
                <w:spacing w:val="-9"/>
                <w:sz w:val="20"/>
              </w:rPr>
              <w:t> </w:t>
            </w:r>
            <w:r>
              <w:rPr>
                <w:sz w:val="20"/>
              </w:rPr>
              <w:t>Communication</w:t>
            </w:r>
            <w:r>
              <w:rPr>
                <w:spacing w:val="-6"/>
                <w:sz w:val="20"/>
              </w:rPr>
              <w:t> </w:t>
            </w:r>
            <w:r>
              <w:rPr>
                <w:spacing w:val="-2"/>
                <w:sz w:val="20"/>
              </w:rPr>
              <w:t>Skills</w:t>
            </w:r>
          </w:p>
        </w:tc>
      </w:tr>
      <w:tr>
        <w:trPr>
          <w:trHeight w:val="230" w:hRule="atLeast"/>
        </w:trPr>
        <w:tc>
          <w:tcPr>
            <w:tcW w:w="972" w:type="dxa"/>
          </w:tcPr>
          <w:p>
            <w:pPr>
              <w:pStyle w:val="TableParagraph"/>
              <w:rPr>
                <w:rFonts w:ascii="Times New Roman"/>
                <w:sz w:val="16"/>
              </w:rPr>
            </w:pPr>
          </w:p>
        </w:tc>
        <w:tc>
          <w:tcPr>
            <w:tcW w:w="3140" w:type="dxa"/>
          </w:tcPr>
          <w:p>
            <w:pPr>
              <w:pStyle w:val="TableParagraph"/>
              <w:spacing w:line="210" w:lineRule="exact"/>
              <w:ind w:left="158"/>
              <w:rPr>
                <w:sz w:val="20"/>
              </w:rPr>
            </w:pPr>
            <w:r>
              <w:rPr>
                <w:sz w:val="20"/>
              </w:rPr>
              <w:t>A4.</w:t>
            </w:r>
            <w:r>
              <w:rPr>
                <w:spacing w:val="-9"/>
                <w:sz w:val="20"/>
              </w:rPr>
              <w:t> </w:t>
            </w:r>
            <w:r>
              <w:rPr>
                <w:sz w:val="20"/>
              </w:rPr>
              <w:t>Fundamental</w:t>
            </w:r>
            <w:r>
              <w:rPr>
                <w:spacing w:val="-9"/>
                <w:sz w:val="20"/>
              </w:rPr>
              <w:t> </w:t>
            </w:r>
            <w:r>
              <w:rPr>
                <w:sz w:val="20"/>
              </w:rPr>
              <w:t>Design</w:t>
            </w:r>
            <w:r>
              <w:rPr>
                <w:spacing w:val="-6"/>
                <w:sz w:val="20"/>
              </w:rPr>
              <w:t> </w:t>
            </w:r>
            <w:r>
              <w:rPr>
                <w:spacing w:val="-2"/>
                <w:sz w:val="20"/>
              </w:rPr>
              <w:t>Skills</w:t>
            </w:r>
          </w:p>
        </w:tc>
        <w:tc>
          <w:tcPr>
            <w:tcW w:w="3175" w:type="dxa"/>
          </w:tcPr>
          <w:p>
            <w:pPr>
              <w:pStyle w:val="TableParagraph"/>
              <w:spacing w:line="210" w:lineRule="exact"/>
              <w:ind w:left="258"/>
              <w:rPr>
                <w:sz w:val="20"/>
              </w:rPr>
            </w:pPr>
            <w:r>
              <w:rPr>
                <w:sz w:val="20"/>
              </w:rPr>
              <w:t>A</w:t>
            </w:r>
            <w:r>
              <w:rPr>
                <w:spacing w:val="-8"/>
                <w:sz w:val="20"/>
              </w:rPr>
              <w:t> </w:t>
            </w:r>
            <w:r>
              <w:rPr>
                <w:sz w:val="20"/>
              </w:rPr>
              <w:t>10.</w:t>
            </w:r>
            <w:r>
              <w:rPr>
                <w:spacing w:val="-4"/>
                <w:sz w:val="20"/>
              </w:rPr>
              <w:t> </w:t>
            </w:r>
            <w:r>
              <w:rPr>
                <w:sz w:val="20"/>
              </w:rPr>
              <w:t>Cultural</w:t>
            </w:r>
            <w:r>
              <w:rPr>
                <w:spacing w:val="-5"/>
                <w:sz w:val="20"/>
              </w:rPr>
              <w:t> </w:t>
            </w:r>
            <w:r>
              <w:rPr>
                <w:spacing w:val="-2"/>
                <w:sz w:val="20"/>
              </w:rPr>
              <w:t>Diversity</w:t>
            </w:r>
          </w:p>
        </w:tc>
      </w:tr>
      <w:tr>
        <w:trPr>
          <w:trHeight w:val="230" w:hRule="atLeast"/>
        </w:trPr>
        <w:tc>
          <w:tcPr>
            <w:tcW w:w="972" w:type="dxa"/>
          </w:tcPr>
          <w:p>
            <w:pPr>
              <w:pStyle w:val="TableParagraph"/>
              <w:rPr>
                <w:rFonts w:ascii="Times New Roman"/>
                <w:sz w:val="16"/>
              </w:rPr>
            </w:pPr>
          </w:p>
        </w:tc>
        <w:tc>
          <w:tcPr>
            <w:tcW w:w="3140" w:type="dxa"/>
          </w:tcPr>
          <w:p>
            <w:pPr>
              <w:pStyle w:val="TableParagraph"/>
              <w:spacing w:line="210" w:lineRule="exact"/>
              <w:ind w:left="158"/>
              <w:rPr>
                <w:sz w:val="20"/>
              </w:rPr>
            </w:pPr>
            <w:r>
              <w:rPr>
                <w:spacing w:val="-2"/>
                <w:sz w:val="20"/>
              </w:rPr>
              <w:t>B.1Predesign</w:t>
            </w:r>
          </w:p>
        </w:tc>
        <w:tc>
          <w:tcPr>
            <w:tcW w:w="3175" w:type="dxa"/>
          </w:tcPr>
          <w:p>
            <w:pPr>
              <w:pStyle w:val="TableParagraph"/>
              <w:spacing w:line="210" w:lineRule="exact"/>
              <w:ind w:left="258"/>
              <w:rPr>
                <w:sz w:val="20"/>
              </w:rPr>
            </w:pPr>
            <w:r>
              <w:rPr>
                <w:sz w:val="20"/>
              </w:rPr>
              <w:t>B4.</w:t>
            </w:r>
            <w:r>
              <w:rPr>
                <w:spacing w:val="-4"/>
                <w:sz w:val="20"/>
              </w:rPr>
              <w:t> </w:t>
            </w:r>
            <w:r>
              <w:rPr>
                <w:sz w:val="20"/>
              </w:rPr>
              <w:t>Site</w:t>
            </w:r>
            <w:r>
              <w:rPr>
                <w:spacing w:val="-6"/>
                <w:sz w:val="20"/>
              </w:rPr>
              <w:t> </w:t>
            </w:r>
            <w:r>
              <w:rPr>
                <w:spacing w:val="-2"/>
                <w:sz w:val="20"/>
              </w:rPr>
              <w:t>Design</w:t>
            </w:r>
          </w:p>
        </w:tc>
      </w:tr>
      <w:tr>
        <w:trPr>
          <w:trHeight w:val="229" w:hRule="atLeast"/>
        </w:trPr>
        <w:tc>
          <w:tcPr>
            <w:tcW w:w="972" w:type="dxa"/>
          </w:tcPr>
          <w:p>
            <w:pPr>
              <w:pStyle w:val="TableParagraph"/>
              <w:rPr>
                <w:rFonts w:ascii="Times New Roman"/>
                <w:sz w:val="16"/>
              </w:rPr>
            </w:pPr>
          </w:p>
        </w:tc>
        <w:tc>
          <w:tcPr>
            <w:tcW w:w="3140" w:type="dxa"/>
          </w:tcPr>
          <w:p>
            <w:pPr>
              <w:pStyle w:val="TableParagraph"/>
              <w:spacing w:line="209" w:lineRule="exact"/>
              <w:ind w:left="158"/>
              <w:rPr>
                <w:sz w:val="20"/>
              </w:rPr>
            </w:pPr>
            <w:r>
              <w:rPr>
                <w:sz w:val="20"/>
              </w:rPr>
              <w:t>B5.</w:t>
            </w:r>
            <w:r>
              <w:rPr>
                <w:spacing w:val="-4"/>
                <w:sz w:val="20"/>
              </w:rPr>
              <w:t> </w:t>
            </w:r>
            <w:r>
              <w:rPr>
                <w:sz w:val="20"/>
              </w:rPr>
              <w:t>Life</w:t>
            </w:r>
            <w:r>
              <w:rPr>
                <w:spacing w:val="-6"/>
                <w:sz w:val="20"/>
              </w:rPr>
              <w:t> </w:t>
            </w:r>
            <w:r>
              <w:rPr>
                <w:spacing w:val="-2"/>
                <w:sz w:val="20"/>
              </w:rPr>
              <w:t>Safety</w:t>
            </w:r>
          </w:p>
        </w:tc>
        <w:tc>
          <w:tcPr>
            <w:tcW w:w="3175" w:type="dxa"/>
          </w:tcPr>
          <w:p>
            <w:pPr>
              <w:pStyle w:val="TableParagraph"/>
              <w:rPr>
                <w:rFonts w:ascii="Times New Roman"/>
                <w:sz w:val="16"/>
              </w:rPr>
            </w:pPr>
          </w:p>
        </w:tc>
      </w:tr>
      <w:tr>
        <w:trPr>
          <w:trHeight w:val="229" w:hRule="atLeast"/>
        </w:trPr>
        <w:tc>
          <w:tcPr>
            <w:tcW w:w="972" w:type="dxa"/>
          </w:tcPr>
          <w:p>
            <w:pPr>
              <w:pStyle w:val="TableParagraph"/>
              <w:spacing w:line="209" w:lineRule="exact"/>
              <w:ind w:left="50"/>
              <w:rPr>
                <w:sz w:val="20"/>
              </w:rPr>
            </w:pPr>
            <w:r>
              <w:rPr>
                <w:spacing w:val="-2"/>
                <w:sz w:val="20"/>
              </w:rPr>
              <w:t>Strength</w:t>
            </w:r>
          </w:p>
        </w:tc>
        <w:tc>
          <w:tcPr>
            <w:tcW w:w="3140" w:type="dxa"/>
          </w:tcPr>
          <w:p>
            <w:pPr>
              <w:pStyle w:val="TableParagraph"/>
              <w:spacing w:line="209" w:lineRule="exact"/>
              <w:ind w:left="158"/>
              <w:rPr>
                <w:sz w:val="20"/>
              </w:rPr>
            </w:pPr>
            <w:r>
              <w:rPr>
                <w:sz w:val="20"/>
              </w:rPr>
              <w:t>A7</w:t>
            </w:r>
            <w:r>
              <w:rPr>
                <w:spacing w:val="-4"/>
                <w:sz w:val="20"/>
              </w:rPr>
              <w:t> </w:t>
            </w:r>
            <w:r>
              <w:rPr>
                <w:sz w:val="20"/>
              </w:rPr>
              <w:t>Use</w:t>
            </w:r>
            <w:r>
              <w:rPr>
                <w:spacing w:val="-2"/>
                <w:sz w:val="20"/>
              </w:rPr>
              <w:t> </w:t>
            </w:r>
            <w:r>
              <w:rPr>
                <w:sz w:val="20"/>
              </w:rPr>
              <w:t>of</w:t>
            </w:r>
            <w:r>
              <w:rPr>
                <w:spacing w:val="-2"/>
                <w:sz w:val="20"/>
              </w:rPr>
              <w:t> Precedents</w:t>
            </w:r>
          </w:p>
        </w:tc>
        <w:tc>
          <w:tcPr>
            <w:tcW w:w="3175" w:type="dxa"/>
          </w:tcPr>
          <w:p>
            <w:pPr>
              <w:pStyle w:val="TableParagraph"/>
              <w:spacing w:line="209" w:lineRule="exact"/>
              <w:ind w:left="258"/>
              <w:rPr>
                <w:sz w:val="20"/>
              </w:rPr>
            </w:pPr>
            <w:r>
              <w:rPr>
                <w:sz w:val="20"/>
              </w:rPr>
              <w:t>B6.</w:t>
            </w:r>
            <w:r>
              <w:rPr>
                <w:spacing w:val="-13"/>
                <w:sz w:val="20"/>
              </w:rPr>
              <w:t> </w:t>
            </w:r>
            <w:r>
              <w:rPr>
                <w:sz w:val="20"/>
              </w:rPr>
              <w:t>Comprehensive</w:t>
            </w:r>
            <w:r>
              <w:rPr>
                <w:spacing w:val="-10"/>
                <w:sz w:val="20"/>
              </w:rPr>
              <w:t> </w:t>
            </w:r>
            <w:r>
              <w:rPr>
                <w:spacing w:val="-2"/>
                <w:sz w:val="20"/>
              </w:rPr>
              <w:t>Design</w:t>
            </w:r>
          </w:p>
        </w:tc>
      </w:tr>
      <w:tr>
        <w:trPr>
          <w:trHeight w:val="230" w:hRule="atLeast"/>
        </w:trPr>
        <w:tc>
          <w:tcPr>
            <w:tcW w:w="972" w:type="dxa"/>
          </w:tcPr>
          <w:p>
            <w:pPr>
              <w:pStyle w:val="TableParagraph"/>
              <w:rPr>
                <w:rFonts w:ascii="Times New Roman"/>
                <w:sz w:val="16"/>
              </w:rPr>
            </w:pPr>
          </w:p>
        </w:tc>
        <w:tc>
          <w:tcPr>
            <w:tcW w:w="3140" w:type="dxa"/>
          </w:tcPr>
          <w:p>
            <w:pPr>
              <w:pStyle w:val="TableParagraph"/>
              <w:spacing w:line="210" w:lineRule="exact"/>
              <w:ind w:left="158"/>
              <w:rPr>
                <w:sz w:val="20"/>
              </w:rPr>
            </w:pPr>
            <w:r>
              <w:rPr>
                <w:sz w:val="20"/>
              </w:rPr>
              <w:t>B9</w:t>
            </w:r>
            <w:r>
              <w:rPr>
                <w:spacing w:val="-9"/>
                <w:sz w:val="20"/>
              </w:rPr>
              <w:t> </w:t>
            </w:r>
            <w:r>
              <w:rPr>
                <w:sz w:val="20"/>
              </w:rPr>
              <w:t>Structural</w:t>
            </w:r>
            <w:r>
              <w:rPr>
                <w:spacing w:val="-8"/>
                <w:sz w:val="20"/>
              </w:rPr>
              <w:t> </w:t>
            </w:r>
            <w:r>
              <w:rPr>
                <w:spacing w:val="-2"/>
                <w:sz w:val="20"/>
              </w:rPr>
              <w:t>Systems</w:t>
            </w:r>
          </w:p>
        </w:tc>
        <w:tc>
          <w:tcPr>
            <w:tcW w:w="3175" w:type="dxa"/>
          </w:tcPr>
          <w:p>
            <w:pPr>
              <w:pStyle w:val="TableParagraph"/>
              <w:spacing w:line="210" w:lineRule="exact"/>
              <w:ind w:left="258"/>
              <w:rPr>
                <w:sz w:val="20"/>
              </w:rPr>
            </w:pPr>
            <w:r>
              <w:rPr>
                <w:sz w:val="20"/>
              </w:rPr>
              <w:t>B10.</w:t>
            </w:r>
            <w:r>
              <w:rPr>
                <w:spacing w:val="-7"/>
                <w:sz w:val="20"/>
              </w:rPr>
              <w:t> </w:t>
            </w:r>
            <w:r>
              <w:rPr>
                <w:sz w:val="20"/>
              </w:rPr>
              <w:t>Bldg.</w:t>
            </w:r>
            <w:r>
              <w:rPr>
                <w:spacing w:val="-7"/>
                <w:sz w:val="20"/>
              </w:rPr>
              <w:t> </w:t>
            </w:r>
            <w:r>
              <w:rPr>
                <w:sz w:val="20"/>
              </w:rPr>
              <w:t>Envelope</w:t>
            </w:r>
            <w:r>
              <w:rPr>
                <w:spacing w:val="-7"/>
                <w:sz w:val="20"/>
              </w:rPr>
              <w:t> </w:t>
            </w:r>
            <w:r>
              <w:rPr>
                <w:spacing w:val="-2"/>
                <w:sz w:val="20"/>
              </w:rPr>
              <w:t>Systems</w:t>
            </w:r>
          </w:p>
        </w:tc>
      </w:tr>
      <w:tr>
        <w:trPr>
          <w:trHeight w:val="230" w:hRule="atLeast"/>
        </w:trPr>
        <w:tc>
          <w:tcPr>
            <w:tcW w:w="972" w:type="dxa"/>
          </w:tcPr>
          <w:p>
            <w:pPr>
              <w:pStyle w:val="TableParagraph"/>
              <w:rPr>
                <w:rFonts w:ascii="Times New Roman"/>
                <w:sz w:val="16"/>
              </w:rPr>
            </w:pPr>
          </w:p>
        </w:tc>
        <w:tc>
          <w:tcPr>
            <w:tcW w:w="3140" w:type="dxa"/>
          </w:tcPr>
          <w:p>
            <w:pPr>
              <w:pStyle w:val="TableParagraph"/>
              <w:spacing w:line="210" w:lineRule="exact"/>
              <w:ind w:left="158"/>
              <w:rPr>
                <w:sz w:val="20"/>
              </w:rPr>
            </w:pPr>
            <w:r>
              <w:rPr>
                <w:spacing w:val="-2"/>
                <w:sz w:val="20"/>
              </w:rPr>
              <w:t>C1.Collaboration</w:t>
            </w:r>
          </w:p>
        </w:tc>
        <w:tc>
          <w:tcPr>
            <w:tcW w:w="3175" w:type="dxa"/>
          </w:tcPr>
          <w:p>
            <w:pPr>
              <w:pStyle w:val="TableParagraph"/>
              <w:spacing w:line="210" w:lineRule="exact"/>
              <w:ind w:left="258"/>
              <w:rPr>
                <w:sz w:val="20"/>
              </w:rPr>
            </w:pPr>
            <w:r>
              <w:rPr>
                <w:sz w:val="20"/>
              </w:rPr>
              <w:t>C2.</w:t>
            </w:r>
            <w:r>
              <w:rPr>
                <w:spacing w:val="-6"/>
                <w:sz w:val="20"/>
              </w:rPr>
              <w:t> </w:t>
            </w:r>
            <w:r>
              <w:rPr>
                <w:sz w:val="20"/>
              </w:rPr>
              <w:t>Human</w:t>
            </w:r>
            <w:r>
              <w:rPr>
                <w:spacing w:val="-5"/>
                <w:sz w:val="20"/>
              </w:rPr>
              <w:t> </w:t>
            </w:r>
            <w:r>
              <w:rPr>
                <w:spacing w:val="-2"/>
                <w:sz w:val="20"/>
              </w:rPr>
              <w:t>Behavior</w:t>
            </w:r>
          </w:p>
        </w:tc>
      </w:tr>
      <w:tr>
        <w:trPr>
          <w:trHeight w:val="230" w:hRule="atLeast"/>
        </w:trPr>
        <w:tc>
          <w:tcPr>
            <w:tcW w:w="972" w:type="dxa"/>
          </w:tcPr>
          <w:p>
            <w:pPr>
              <w:pStyle w:val="TableParagraph"/>
              <w:rPr>
                <w:rFonts w:ascii="Times New Roman"/>
                <w:sz w:val="16"/>
              </w:rPr>
            </w:pPr>
          </w:p>
        </w:tc>
        <w:tc>
          <w:tcPr>
            <w:tcW w:w="3140" w:type="dxa"/>
          </w:tcPr>
          <w:p>
            <w:pPr>
              <w:pStyle w:val="TableParagraph"/>
              <w:spacing w:line="210" w:lineRule="exact"/>
              <w:ind w:left="158"/>
              <w:rPr>
                <w:sz w:val="20"/>
              </w:rPr>
            </w:pPr>
            <w:r>
              <w:rPr>
                <w:sz w:val="20"/>
              </w:rPr>
              <w:t>C3</w:t>
            </w:r>
            <w:r>
              <w:rPr>
                <w:spacing w:val="-5"/>
                <w:sz w:val="20"/>
              </w:rPr>
              <w:t> </w:t>
            </w:r>
            <w:r>
              <w:rPr>
                <w:sz w:val="20"/>
              </w:rPr>
              <w:t>Client</w:t>
            </w:r>
            <w:r>
              <w:rPr>
                <w:spacing w:val="-5"/>
                <w:sz w:val="20"/>
              </w:rPr>
              <w:t> </w:t>
            </w:r>
            <w:r>
              <w:rPr>
                <w:sz w:val="20"/>
              </w:rPr>
              <w:t>Role</w:t>
            </w:r>
            <w:r>
              <w:rPr>
                <w:spacing w:val="-3"/>
                <w:sz w:val="20"/>
              </w:rPr>
              <w:t> </w:t>
            </w:r>
            <w:r>
              <w:rPr>
                <w:sz w:val="20"/>
              </w:rPr>
              <w:t>in</w:t>
            </w:r>
            <w:r>
              <w:rPr>
                <w:spacing w:val="-3"/>
                <w:sz w:val="20"/>
              </w:rPr>
              <w:t> </w:t>
            </w:r>
            <w:r>
              <w:rPr>
                <w:spacing w:val="-2"/>
                <w:sz w:val="20"/>
              </w:rPr>
              <w:t>Architecture</w:t>
            </w:r>
          </w:p>
        </w:tc>
        <w:tc>
          <w:tcPr>
            <w:tcW w:w="3175" w:type="dxa"/>
          </w:tcPr>
          <w:p>
            <w:pPr>
              <w:pStyle w:val="TableParagraph"/>
              <w:rPr>
                <w:rFonts w:ascii="Times New Roman"/>
                <w:sz w:val="16"/>
              </w:rPr>
            </w:pPr>
          </w:p>
        </w:tc>
      </w:tr>
      <w:tr>
        <w:trPr>
          <w:trHeight w:val="229" w:hRule="atLeast"/>
        </w:trPr>
        <w:tc>
          <w:tcPr>
            <w:tcW w:w="972" w:type="dxa"/>
          </w:tcPr>
          <w:p>
            <w:pPr>
              <w:pStyle w:val="TableParagraph"/>
              <w:spacing w:line="209" w:lineRule="exact"/>
              <w:ind w:left="50"/>
              <w:rPr>
                <w:sz w:val="20"/>
              </w:rPr>
            </w:pPr>
            <w:r>
              <w:rPr>
                <w:spacing w:val="-2"/>
                <w:sz w:val="20"/>
              </w:rPr>
              <w:t>Intro</w:t>
            </w:r>
          </w:p>
        </w:tc>
        <w:tc>
          <w:tcPr>
            <w:tcW w:w="3140" w:type="dxa"/>
          </w:tcPr>
          <w:p>
            <w:pPr>
              <w:pStyle w:val="TableParagraph"/>
              <w:spacing w:line="209" w:lineRule="exact"/>
              <w:ind w:left="158"/>
              <w:rPr>
                <w:sz w:val="20"/>
              </w:rPr>
            </w:pPr>
            <w:r>
              <w:rPr>
                <w:sz w:val="20"/>
              </w:rPr>
              <w:t>A4.</w:t>
            </w:r>
            <w:r>
              <w:rPr>
                <w:spacing w:val="-7"/>
                <w:sz w:val="20"/>
              </w:rPr>
              <w:t> </w:t>
            </w:r>
            <w:r>
              <w:rPr>
                <w:sz w:val="20"/>
              </w:rPr>
              <w:t>Technical</w:t>
            </w:r>
            <w:r>
              <w:rPr>
                <w:spacing w:val="-8"/>
                <w:sz w:val="20"/>
              </w:rPr>
              <w:t> </w:t>
            </w:r>
            <w:r>
              <w:rPr>
                <w:spacing w:val="-2"/>
                <w:sz w:val="20"/>
              </w:rPr>
              <w:t>Documentation</w:t>
            </w:r>
          </w:p>
        </w:tc>
        <w:tc>
          <w:tcPr>
            <w:tcW w:w="3175" w:type="dxa"/>
          </w:tcPr>
          <w:p>
            <w:pPr>
              <w:pStyle w:val="TableParagraph"/>
              <w:spacing w:line="209" w:lineRule="exact"/>
              <w:ind w:left="258"/>
              <w:rPr>
                <w:sz w:val="20"/>
              </w:rPr>
            </w:pPr>
            <w:r>
              <w:rPr>
                <w:sz w:val="20"/>
              </w:rPr>
              <w:t>A5.</w:t>
            </w:r>
            <w:r>
              <w:rPr>
                <w:spacing w:val="-10"/>
                <w:sz w:val="20"/>
              </w:rPr>
              <w:t> </w:t>
            </w:r>
            <w:r>
              <w:rPr>
                <w:sz w:val="20"/>
              </w:rPr>
              <w:t>Investigative</w:t>
            </w:r>
            <w:r>
              <w:rPr>
                <w:spacing w:val="-9"/>
                <w:sz w:val="20"/>
              </w:rPr>
              <w:t> </w:t>
            </w:r>
            <w:r>
              <w:rPr>
                <w:spacing w:val="-2"/>
                <w:sz w:val="20"/>
              </w:rPr>
              <w:t>Skills</w:t>
            </w:r>
          </w:p>
        </w:tc>
      </w:tr>
      <w:tr>
        <w:trPr>
          <w:trHeight w:val="229" w:hRule="atLeast"/>
        </w:trPr>
        <w:tc>
          <w:tcPr>
            <w:tcW w:w="972" w:type="dxa"/>
          </w:tcPr>
          <w:p>
            <w:pPr>
              <w:pStyle w:val="TableParagraph"/>
              <w:rPr>
                <w:rFonts w:ascii="Times New Roman"/>
                <w:sz w:val="16"/>
              </w:rPr>
            </w:pPr>
          </w:p>
        </w:tc>
        <w:tc>
          <w:tcPr>
            <w:tcW w:w="3140" w:type="dxa"/>
          </w:tcPr>
          <w:p>
            <w:pPr>
              <w:pStyle w:val="TableParagraph"/>
              <w:spacing w:line="209" w:lineRule="exact"/>
              <w:ind w:left="158"/>
              <w:rPr>
                <w:sz w:val="20"/>
              </w:rPr>
            </w:pPr>
            <w:r>
              <w:rPr>
                <w:sz w:val="20"/>
              </w:rPr>
              <w:t>B8</w:t>
            </w:r>
            <w:r>
              <w:rPr>
                <w:spacing w:val="-9"/>
                <w:sz w:val="20"/>
              </w:rPr>
              <w:t> </w:t>
            </w:r>
            <w:r>
              <w:rPr>
                <w:sz w:val="20"/>
              </w:rPr>
              <w:t>Environmental</w:t>
            </w:r>
            <w:r>
              <w:rPr>
                <w:spacing w:val="-9"/>
                <w:sz w:val="20"/>
              </w:rPr>
              <w:t> </w:t>
            </w:r>
            <w:r>
              <w:rPr>
                <w:spacing w:val="-2"/>
                <w:sz w:val="20"/>
              </w:rPr>
              <w:t>Systems</w:t>
            </w:r>
          </w:p>
        </w:tc>
        <w:tc>
          <w:tcPr>
            <w:tcW w:w="3175" w:type="dxa"/>
          </w:tcPr>
          <w:p>
            <w:pPr>
              <w:pStyle w:val="TableParagraph"/>
              <w:spacing w:line="209" w:lineRule="exact"/>
              <w:ind w:left="258"/>
              <w:rPr>
                <w:sz w:val="20"/>
              </w:rPr>
            </w:pPr>
            <w:r>
              <w:rPr>
                <w:sz w:val="20"/>
              </w:rPr>
              <w:t>B11.</w:t>
            </w:r>
            <w:r>
              <w:rPr>
                <w:spacing w:val="-8"/>
                <w:sz w:val="20"/>
              </w:rPr>
              <w:t> </w:t>
            </w:r>
            <w:r>
              <w:rPr>
                <w:sz w:val="20"/>
              </w:rPr>
              <w:t>Building</w:t>
            </w:r>
            <w:r>
              <w:rPr>
                <w:spacing w:val="-7"/>
                <w:sz w:val="20"/>
              </w:rPr>
              <w:t> </w:t>
            </w:r>
            <w:r>
              <w:rPr>
                <w:sz w:val="20"/>
              </w:rPr>
              <w:t>Service</w:t>
            </w:r>
            <w:r>
              <w:rPr>
                <w:spacing w:val="-7"/>
                <w:sz w:val="20"/>
              </w:rPr>
              <w:t> </w:t>
            </w:r>
            <w:r>
              <w:rPr>
                <w:spacing w:val="-2"/>
                <w:sz w:val="20"/>
              </w:rPr>
              <w:t>Systems</w:t>
            </w:r>
          </w:p>
        </w:tc>
      </w:tr>
      <w:tr>
        <w:trPr>
          <w:trHeight w:val="226" w:hRule="atLeast"/>
        </w:trPr>
        <w:tc>
          <w:tcPr>
            <w:tcW w:w="972" w:type="dxa"/>
          </w:tcPr>
          <w:p>
            <w:pPr>
              <w:pStyle w:val="TableParagraph"/>
              <w:rPr>
                <w:rFonts w:ascii="Times New Roman"/>
                <w:sz w:val="16"/>
              </w:rPr>
            </w:pPr>
          </w:p>
        </w:tc>
        <w:tc>
          <w:tcPr>
            <w:tcW w:w="3140" w:type="dxa"/>
          </w:tcPr>
          <w:p>
            <w:pPr>
              <w:pStyle w:val="TableParagraph"/>
              <w:spacing w:line="207" w:lineRule="exact"/>
              <w:ind w:left="158"/>
              <w:rPr>
                <w:sz w:val="20"/>
              </w:rPr>
            </w:pPr>
            <w:r>
              <w:rPr>
                <w:sz w:val="20"/>
              </w:rPr>
              <w:t>C6.</w:t>
            </w:r>
            <w:r>
              <w:rPr>
                <w:spacing w:val="-6"/>
                <w:sz w:val="20"/>
              </w:rPr>
              <w:t> </w:t>
            </w:r>
            <w:r>
              <w:rPr>
                <w:spacing w:val="-2"/>
                <w:sz w:val="20"/>
              </w:rPr>
              <w:t>Leadership</w:t>
            </w:r>
          </w:p>
        </w:tc>
        <w:tc>
          <w:tcPr>
            <w:tcW w:w="3175" w:type="dxa"/>
          </w:tcPr>
          <w:p>
            <w:pPr>
              <w:pStyle w:val="TableParagraph"/>
              <w:spacing w:line="207" w:lineRule="exact"/>
              <w:ind w:left="258"/>
              <w:rPr>
                <w:sz w:val="20"/>
              </w:rPr>
            </w:pPr>
            <w:r>
              <w:rPr>
                <w:sz w:val="20"/>
              </w:rPr>
              <w:t>C7.</w:t>
            </w:r>
            <w:r>
              <w:rPr>
                <w:spacing w:val="-7"/>
                <w:sz w:val="20"/>
              </w:rPr>
              <w:t> </w:t>
            </w:r>
            <w:r>
              <w:rPr>
                <w:sz w:val="20"/>
              </w:rPr>
              <w:t>Legal</w:t>
            </w:r>
            <w:r>
              <w:rPr>
                <w:spacing w:val="-5"/>
                <w:sz w:val="20"/>
              </w:rPr>
              <w:t> </w:t>
            </w:r>
            <w:r>
              <w:rPr>
                <w:spacing w:val="-2"/>
                <w:sz w:val="20"/>
              </w:rPr>
              <w:t>Responsibilities</w:t>
            </w:r>
          </w:p>
        </w:tc>
      </w:tr>
    </w:tbl>
    <w:p>
      <w:pPr>
        <w:pStyle w:val="BodyText"/>
        <w:tabs>
          <w:tab w:pos="5839" w:val="left" w:leader="none"/>
        </w:tabs>
        <w:spacing w:before="5"/>
        <w:ind w:left="2239"/>
      </w:pPr>
      <w:r>
        <w:rPr/>
        <w:t>C8</w:t>
      </w:r>
      <w:r>
        <w:rPr>
          <w:spacing w:val="-7"/>
        </w:rPr>
        <w:t> </w:t>
      </w:r>
      <w:r>
        <w:rPr/>
        <w:t>Ethics</w:t>
      </w:r>
      <w:r>
        <w:rPr>
          <w:spacing w:val="-6"/>
        </w:rPr>
        <w:t> </w:t>
      </w:r>
      <w:r>
        <w:rPr/>
        <w:t>and</w:t>
      </w:r>
      <w:r>
        <w:rPr>
          <w:spacing w:val="-5"/>
        </w:rPr>
        <w:t> </w:t>
      </w:r>
      <w:r>
        <w:rPr/>
        <w:t>Professional</w:t>
      </w:r>
      <w:r>
        <w:rPr>
          <w:spacing w:val="-6"/>
        </w:rPr>
        <w:t> </w:t>
      </w:r>
      <w:r>
        <w:rPr>
          <w:spacing w:val="-2"/>
        </w:rPr>
        <w:t>Judgment</w:t>
      </w:r>
      <w:r>
        <w:rPr/>
        <w:tab/>
        <w:t>C9.</w:t>
      </w:r>
      <w:r>
        <w:rPr>
          <w:spacing w:val="-9"/>
        </w:rPr>
        <w:t> </w:t>
      </w:r>
      <w:r>
        <w:rPr/>
        <w:t>Community</w:t>
      </w:r>
      <w:r>
        <w:rPr>
          <w:spacing w:val="-7"/>
        </w:rPr>
        <w:t> </w:t>
      </w:r>
      <w:r>
        <w:rPr/>
        <w:t>and</w:t>
      </w:r>
      <w:r>
        <w:rPr>
          <w:spacing w:val="-4"/>
        </w:rPr>
        <w:t> </w:t>
      </w:r>
      <w:r>
        <w:rPr/>
        <w:t>Social</w:t>
      </w:r>
      <w:r>
        <w:rPr>
          <w:spacing w:val="-5"/>
        </w:rPr>
        <w:t> </w:t>
      </w:r>
      <w:r>
        <w:rPr>
          <w:spacing w:val="-2"/>
        </w:rPr>
        <w:t>Responsibilities</w:t>
      </w:r>
    </w:p>
    <w:p>
      <w:pPr>
        <w:spacing w:before="118"/>
        <w:ind w:left="439" w:right="0" w:firstLine="0"/>
        <w:jc w:val="left"/>
        <w:rPr>
          <w:b/>
          <w:sz w:val="20"/>
        </w:rPr>
      </w:pPr>
      <w:r>
        <w:rPr>
          <w:b/>
          <w:sz w:val="20"/>
        </w:rPr>
        <w:t>Topical</w:t>
      </w:r>
      <w:r>
        <w:rPr>
          <w:b/>
          <w:spacing w:val="-7"/>
          <w:sz w:val="20"/>
        </w:rPr>
        <w:t> </w:t>
      </w:r>
      <w:r>
        <w:rPr>
          <w:b/>
          <w:sz w:val="20"/>
        </w:rPr>
        <w:t>Outline</w:t>
      </w:r>
      <w:r>
        <w:rPr>
          <w:b/>
          <w:spacing w:val="-7"/>
          <w:sz w:val="20"/>
        </w:rPr>
        <w:t> </w:t>
      </w:r>
      <w:r>
        <w:rPr>
          <w:b/>
          <w:sz w:val="20"/>
        </w:rPr>
        <w:t>and</w:t>
      </w:r>
      <w:r>
        <w:rPr>
          <w:b/>
          <w:spacing w:val="-6"/>
          <w:sz w:val="20"/>
        </w:rPr>
        <w:t> </w:t>
      </w:r>
      <w:r>
        <w:rPr>
          <w:b/>
          <w:sz w:val="20"/>
        </w:rPr>
        <w:t>percentage</w:t>
      </w:r>
      <w:r>
        <w:rPr>
          <w:b/>
          <w:spacing w:val="-6"/>
          <w:sz w:val="20"/>
        </w:rPr>
        <w:t> </w:t>
      </w:r>
      <w:r>
        <w:rPr>
          <w:b/>
          <w:sz w:val="20"/>
        </w:rPr>
        <w:t>of</w:t>
      </w:r>
      <w:r>
        <w:rPr>
          <w:b/>
          <w:spacing w:val="-6"/>
          <w:sz w:val="20"/>
        </w:rPr>
        <w:t> </w:t>
      </w:r>
      <w:r>
        <w:rPr>
          <w:b/>
          <w:sz w:val="20"/>
        </w:rPr>
        <w:t>time</w:t>
      </w:r>
      <w:r>
        <w:rPr>
          <w:b/>
          <w:spacing w:val="-7"/>
          <w:sz w:val="20"/>
        </w:rPr>
        <w:t> </w:t>
      </w:r>
      <w:r>
        <w:rPr>
          <w:b/>
          <w:sz w:val="20"/>
        </w:rPr>
        <w:t>spent</w:t>
      </w:r>
      <w:r>
        <w:rPr>
          <w:b/>
          <w:spacing w:val="-6"/>
          <w:sz w:val="20"/>
        </w:rPr>
        <w:t> </w:t>
      </w:r>
      <w:r>
        <w:rPr>
          <w:b/>
          <w:sz w:val="20"/>
        </w:rPr>
        <w:t>on</w:t>
      </w:r>
      <w:r>
        <w:rPr>
          <w:b/>
          <w:spacing w:val="-5"/>
          <w:sz w:val="20"/>
        </w:rPr>
        <w:t> </w:t>
      </w:r>
      <w:r>
        <w:rPr>
          <w:b/>
          <w:spacing w:val="-4"/>
          <w:sz w:val="20"/>
        </w:rPr>
        <w:t>each</w:t>
      </w:r>
    </w:p>
    <w:p>
      <w:pPr>
        <w:pStyle w:val="BodyText"/>
        <w:spacing w:before="123"/>
        <w:ind w:left="1159" w:right="712"/>
      </w:pPr>
      <w:r>
        <w:rPr/>
        <w:t>Composition/perspective</w:t>
      </w:r>
      <w:r>
        <w:rPr>
          <w:spacing w:val="-6"/>
        </w:rPr>
        <w:t> </w:t>
      </w:r>
      <w:r>
        <w:rPr/>
        <w:t>(20%),</w:t>
      </w:r>
      <w:r>
        <w:rPr>
          <w:spacing w:val="-6"/>
        </w:rPr>
        <w:t> </w:t>
      </w:r>
      <w:r>
        <w:rPr/>
        <w:t>observational</w:t>
      </w:r>
      <w:r>
        <w:rPr>
          <w:spacing w:val="-5"/>
        </w:rPr>
        <w:t> </w:t>
      </w:r>
      <w:r>
        <w:rPr/>
        <w:t>drawing</w:t>
      </w:r>
      <w:r>
        <w:rPr>
          <w:spacing w:val="-4"/>
        </w:rPr>
        <w:t> </w:t>
      </w:r>
      <w:r>
        <w:rPr/>
        <w:t>(5%),</w:t>
      </w:r>
      <w:r>
        <w:rPr>
          <w:spacing w:val="-6"/>
        </w:rPr>
        <w:t> </w:t>
      </w:r>
      <w:r>
        <w:rPr/>
        <w:t>digital</w:t>
      </w:r>
      <w:r>
        <w:rPr>
          <w:spacing w:val="-5"/>
        </w:rPr>
        <w:t> </w:t>
      </w:r>
      <w:r>
        <w:rPr/>
        <w:t>and</w:t>
      </w:r>
      <w:r>
        <w:rPr>
          <w:spacing w:val="-4"/>
        </w:rPr>
        <w:t> </w:t>
      </w:r>
      <w:r>
        <w:rPr/>
        <w:t>physical</w:t>
      </w:r>
      <w:r>
        <w:rPr>
          <w:spacing w:val="-4"/>
        </w:rPr>
        <w:t> </w:t>
      </w:r>
      <w:r>
        <w:rPr/>
        <w:t>modeling</w:t>
      </w:r>
      <w:r>
        <w:rPr>
          <w:spacing w:val="-4"/>
        </w:rPr>
        <w:t> </w:t>
      </w:r>
      <w:r>
        <w:rPr/>
        <w:t>urban sites (5%), site planning (10%), architectural design projects individual (50%), collaborative design (10%0</w:t>
      </w:r>
    </w:p>
    <w:p>
      <w:pPr>
        <w:spacing w:before="116"/>
        <w:ind w:left="439" w:right="0" w:firstLine="0"/>
        <w:jc w:val="left"/>
        <w:rPr>
          <w:b/>
          <w:sz w:val="20"/>
        </w:rPr>
      </w:pPr>
      <w:r>
        <w:rPr>
          <w:b/>
          <w:w w:val="95"/>
          <w:sz w:val="20"/>
        </w:rPr>
        <w:t>Pre-</w:t>
      </w:r>
      <w:r>
        <w:rPr>
          <w:b/>
          <w:spacing w:val="-2"/>
          <w:sz w:val="20"/>
        </w:rPr>
        <w:t>requisites</w:t>
      </w:r>
    </w:p>
    <w:p>
      <w:pPr>
        <w:pStyle w:val="BodyText"/>
        <w:spacing w:before="123"/>
        <w:ind w:left="1159"/>
      </w:pPr>
      <w:r>
        <w:rPr/>
        <w:t>ARC</w:t>
      </w:r>
      <w:r>
        <w:rPr>
          <w:spacing w:val="-6"/>
        </w:rPr>
        <w:t> </w:t>
      </w:r>
      <w:r>
        <w:rPr/>
        <w:t>101,</w:t>
      </w:r>
      <w:r>
        <w:rPr>
          <w:spacing w:val="-3"/>
        </w:rPr>
        <w:t> </w:t>
      </w:r>
      <w:r>
        <w:rPr/>
        <w:t>102,</w:t>
      </w:r>
      <w:r>
        <w:rPr>
          <w:spacing w:val="-5"/>
        </w:rPr>
        <w:t> </w:t>
      </w:r>
      <w:r>
        <w:rPr/>
        <w:t>200,</w:t>
      </w:r>
      <w:r>
        <w:rPr>
          <w:spacing w:val="-4"/>
        </w:rPr>
        <w:t> </w:t>
      </w:r>
      <w:r>
        <w:rPr/>
        <w:t>201,</w:t>
      </w:r>
      <w:r>
        <w:rPr>
          <w:spacing w:val="-3"/>
        </w:rPr>
        <w:t> </w:t>
      </w:r>
      <w:r>
        <w:rPr/>
        <w:t>202,</w:t>
      </w:r>
      <w:r>
        <w:rPr>
          <w:spacing w:val="-6"/>
        </w:rPr>
        <w:t> </w:t>
      </w:r>
      <w:r>
        <w:rPr/>
        <w:t>203,</w:t>
      </w:r>
      <w:r>
        <w:rPr>
          <w:spacing w:val="-3"/>
        </w:rPr>
        <w:t> </w:t>
      </w:r>
      <w:r>
        <w:rPr/>
        <w:t>204,</w:t>
      </w:r>
      <w:r>
        <w:rPr>
          <w:spacing w:val="-5"/>
        </w:rPr>
        <w:t> </w:t>
      </w:r>
      <w:r>
        <w:rPr/>
        <w:t>207,</w:t>
      </w:r>
      <w:r>
        <w:rPr>
          <w:spacing w:val="-5"/>
        </w:rPr>
        <w:t> </w:t>
      </w:r>
      <w:r>
        <w:rPr/>
        <w:t>208</w:t>
      </w:r>
      <w:r>
        <w:rPr>
          <w:spacing w:val="-4"/>
        </w:rPr>
        <w:t> </w:t>
      </w:r>
      <w:r>
        <w:rPr/>
        <w:t>and</w:t>
      </w:r>
      <w:r>
        <w:rPr>
          <w:spacing w:val="-3"/>
        </w:rPr>
        <w:t> </w:t>
      </w:r>
      <w:r>
        <w:rPr/>
        <w:t>213;</w:t>
      </w:r>
      <w:r>
        <w:rPr>
          <w:spacing w:val="-4"/>
        </w:rPr>
        <w:t> </w:t>
      </w:r>
      <w:r>
        <w:rPr/>
        <w:t>MAT</w:t>
      </w:r>
      <w:r>
        <w:rPr>
          <w:spacing w:val="-2"/>
        </w:rPr>
        <w:t> </w:t>
      </w:r>
      <w:r>
        <w:rPr/>
        <w:t>118;</w:t>
      </w:r>
      <w:r>
        <w:rPr>
          <w:spacing w:val="-5"/>
        </w:rPr>
        <w:t> </w:t>
      </w:r>
      <w:r>
        <w:rPr/>
        <w:t>PHY</w:t>
      </w:r>
      <w:r>
        <w:rPr>
          <w:spacing w:val="-7"/>
        </w:rPr>
        <w:t> </w:t>
      </w:r>
      <w:r>
        <w:rPr>
          <w:spacing w:val="-4"/>
        </w:rPr>
        <w:t>201.</w:t>
      </w:r>
    </w:p>
    <w:p>
      <w:pPr>
        <w:pStyle w:val="BodyText"/>
        <w:spacing w:before="1"/>
        <w:ind w:left="1159"/>
      </w:pPr>
      <w:r>
        <w:rPr/>
        <w:t>Cumulative</w:t>
      </w:r>
      <w:r>
        <w:rPr>
          <w:spacing w:val="-7"/>
        </w:rPr>
        <w:t> </w:t>
      </w:r>
      <w:r>
        <w:rPr/>
        <w:t>GPA</w:t>
      </w:r>
      <w:r>
        <w:rPr>
          <w:spacing w:val="-5"/>
        </w:rPr>
        <w:t> </w:t>
      </w:r>
      <w:r>
        <w:rPr/>
        <w:t>of</w:t>
      </w:r>
      <w:r>
        <w:rPr>
          <w:spacing w:val="-5"/>
        </w:rPr>
        <w:t> </w:t>
      </w:r>
      <w:r>
        <w:rPr>
          <w:spacing w:val="-4"/>
        </w:rPr>
        <w:t>2.3.</w:t>
      </w:r>
    </w:p>
    <w:p>
      <w:pPr>
        <w:spacing w:before="118"/>
        <w:ind w:left="439" w:right="0" w:firstLine="0"/>
        <w:jc w:val="left"/>
        <w:rPr>
          <w:b/>
          <w:sz w:val="20"/>
        </w:rPr>
      </w:pPr>
      <w:r>
        <w:rPr>
          <w:b/>
          <w:sz w:val="20"/>
        </w:rPr>
        <w:t>Textbooks</w:t>
      </w:r>
      <w:r>
        <w:rPr>
          <w:b/>
          <w:spacing w:val="-11"/>
          <w:sz w:val="20"/>
        </w:rPr>
        <w:t> </w:t>
      </w:r>
      <w:r>
        <w:rPr>
          <w:b/>
          <w:sz w:val="20"/>
        </w:rPr>
        <w:t>/</w:t>
      </w:r>
      <w:r>
        <w:rPr>
          <w:b/>
          <w:spacing w:val="-9"/>
          <w:sz w:val="20"/>
        </w:rPr>
        <w:t> </w:t>
      </w:r>
      <w:r>
        <w:rPr>
          <w:b/>
          <w:sz w:val="20"/>
        </w:rPr>
        <w:t>Learning</w:t>
      </w:r>
      <w:r>
        <w:rPr>
          <w:b/>
          <w:spacing w:val="-7"/>
          <w:sz w:val="20"/>
        </w:rPr>
        <w:t> </w:t>
      </w:r>
      <w:r>
        <w:rPr>
          <w:b/>
          <w:spacing w:val="-2"/>
          <w:sz w:val="20"/>
        </w:rPr>
        <w:t>Resources</w:t>
      </w:r>
    </w:p>
    <w:p>
      <w:pPr>
        <w:pStyle w:val="BodyText"/>
        <w:spacing w:before="122"/>
        <w:ind w:left="1159" w:right="2408"/>
      </w:pPr>
      <w:r>
        <w:rPr/>
        <w:t>Allen,</w:t>
      </w:r>
      <w:r>
        <w:rPr>
          <w:spacing w:val="-3"/>
        </w:rPr>
        <w:t> </w:t>
      </w:r>
      <w:r>
        <w:rPr/>
        <w:t>E</w:t>
      </w:r>
      <w:r>
        <w:rPr>
          <w:spacing w:val="-3"/>
        </w:rPr>
        <w:t> </w:t>
      </w:r>
      <w:r>
        <w:rPr/>
        <w:t>and</w:t>
      </w:r>
      <w:r>
        <w:rPr>
          <w:spacing w:val="-3"/>
        </w:rPr>
        <w:t> </w:t>
      </w:r>
      <w:r>
        <w:rPr/>
        <w:t>Iano.</w:t>
      </w:r>
      <w:r>
        <w:rPr>
          <w:spacing w:val="-5"/>
        </w:rPr>
        <w:t> </w:t>
      </w:r>
      <w:r>
        <w:rPr/>
        <w:t>The</w:t>
      </w:r>
      <w:r>
        <w:rPr>
          <w:spacing w:val="-5"/>
        </w:rPr>
        <w:t> </w:t>
      </w:r>
      <w:r>
        <w:rPr/>
        <w:t>Architect’s</w:t>
      </w:r>
      <w:r>
        <w:rPr>
          <w:spacing w:val="-2"/>
        </w:rPr>
        <w:t> </w:t>
      </w:r>
      <w:r>
        <w:rPr/>
        <w:t>Studio</w:t>
      </w:r>
      <w:r>
        <w:rPr>
          <w:spacing w:val="-3"/>
        </w:rPr>
        <w:t> </w:t>
      </w:r>
      <w:r>
        <w:rPr/>
        <w:t>Companion.</w:t>
      </w:r>
      <w:r>
        <w:rPr>
          <w:spacing w:val="-3"/>
        </w:rPr>
        <w:t> </w:t>
      </w:r>
      <w:r>
        <w:rPr/>
        <w:t>Wiley</w:t>
      </w:r>
      <w:r>
        <w:rPr>
          <w:spacing w:val="-11"/>
        </w:rPr>
        <w:t> </w:t>
      </w:r>
      <w:r>
        <w:rPr/>
        <w:t>(Hoboken)</w:t>
      </w:r>
      <w:r>
        <w:rPr>
          <w:spacing w:val="-4"/>
        </w:rPr>
        <w:t> </w:t>
      </w:r>
      <w:r>
        <w:rPr/>
        <w:t>2012 In class lectures and interviews with “clients” and public officials.</w:t>
      </w:r>
    </w:p>
    <w:p>
      <w:pPr>
        <w:spacing w:before="117"/>
        <w:ind w:left="439" w:right="0" w:firstLine="0"/>
        <w:jc w:val="left"/>
        <w:rPr>
          <w:b/>
          <w:sz w:val="20"/>
        </w:rPr>
      </w:pPr>
      <w:r>
        <w:rPr>
          <w:b/>
          <w:sz w:val="20"/>
        </w:rPr>
        <w:t>Offered</w:t>
      </w:r>
      <w:r>
        <w:rPr>
          <w:b/>
          <w:spacing w:val="-10"/>
          <w:sz w:val="20"/>
        </w:rPr>
        <w:t> </w:t>
      </w:r>
      <w:r>
        <w:rPr>
          <w:b/>
          <w:spacing w:val="-2"/>
          <w:sz w:val="20"/>
        </w:rPr>
        <w:t>(terms):</w:t>
      </w:r>
    </w:p>
    <w:p>
      <w:pPr>
        <w:pStyle w:val="BodyText"/>
        <w:spacing w:before="122"/>
        <w:ind w:left="1159"/>
      </w:pPr>
      <w:r>
        <w:rPr/>
        <w:t>Fall</w:t>
      </w:r>
      <w:r>
        <w:rPr>
          <w:spacing w:val="-7"/>
        </w:rPr>
        <w:t> </w:t>
      </w:r>
      <w:r>
        <w:rPr/>
        <w:t>Semester</w:t>
      </w:r>
      <w:r>
        <w:rPr>
          <w:spacing w:val="-7"/>
        </w:rPr>
        <w:t> </w:t>
      </w:r>
      <w:r>
        <w:rPr>
          <w:spacing w:val="-4"/>
        </w:rPr>
        <w:t>only</w:t>
      </w:r>
    </w:p>
    <w:p>
      <w:pPr>
        <w:spacing w:before="118"/>
        <w:ind w:left="439" w:right="0" w:firstLine="0"/>
        <w:jc w:val="left"/>
        <w:rPr>
          <w:b/>
          <w:sz w:val="20"/>
        </w:rPr>
      </w:pPr>
      <w:r>
        <w:rPr>
          <w:b/>
          <w:sz w:val="20"/>
        </w:rPr>
        <w:t>Faculty</w:t>
      </w:r>
      <w:r>
        <w:rPr>
          <w:b/>
          <w:spacing w:val="-8"/>
          <w:sz w:val="20"/>
        </w:rPr>
        <w:t> </w:t>
      </w:r>
      <w:r>
        <w:rPr>
          <w:b/>
          <w:spacing w:val="-2"/>
          <w:sz w:val="20"/>
        </w:rPr>
        <w:t>Assigned</w:t>
      </w:r>
    </w:p>
    <w:p>
      <w:pPr>
        <w:pStyle w:val="BodyText"/>
        <w:spacing w:before="123"/>
        <w:ind w:left="1159" w:right="5845"/>
      </w:pPr>
      <w:r>
        <w:rPr/>
        <w:t>2014 – Andrews (F/T), Gindroz (F/T) 2013</w:t>
      </w:r>
      <w:r>
        <w:rPr>
          <w:spacing w:val="-7"/>
        </w:rPr>
        <w:t> </w:t>
      </w:r>
      <w:r>
        <w:rPr/>
        <w:t>–</w:t>
      </w:r>
      <w:r>
        <w:rPr>
          <w:spacing w:val="-7"/>
        </w:rPr>
        <w:t> </w:t>
      </w:r>
      <w:r>
        <w:rPr/>
        <w:t>Andrews</w:t>
      </w:r>
      <w:r>
        <w:rPr>
          <w:spacing w:val="-8"/>
        </w:rPr>
        <w:t> </w:t>
      </w:r>
      <w:r>
        <w:rPr/>
        <w:t>(F/T),</w:t>
      </w:r>
      <w:r>
        <w:rPr>
          <w:spacing w:val="-9"/>
        </w:rPr>
        <w:t> </w:t>
      </w:r>
      <w:r>
        <w:rPr/>
        <w:t>Okiomah</w:t>
      </w:r>
      <w:r>
        <w:rPr>
          <w:spacing w:val="-9"/>
        </w:rPr>
        <w:t> </w:t>
      </w:r>
      <w:r>
        <w:rPr/>
        <w:t>(F/T)</w:t>
      </w:r>
    </w:p>
    <w:p>
      <w:pPr>
        <w:spacing w:after="0"/>
        <w:sectPr>
          <w:headerReference w:type="default" r:id="rId203"/>
          <w:footerReference w:type="default" r:id="rId204"/>
          <w:pgSz w:w="12240" w:h="15840"/>
          <w:pgMar w:header="993" w:footer="974" w:top="1240" w:bottom="1160" w:left="1000" w:right="820"/>
        </w:sectPr>
      </w:pPr>
    </w:p>
    <w:p>
      <w:pPr>
        <w:spacing w:before="115"/>
        <w:ind w:left="440" w:right="0" w:firstLine="0"/>
        <w:jc w:val="left"/>
        <w:rPr>
          <w:b/>
          <w:sz w:val="20"/>
        </w:rPr>
      </w:pPr>
      <w:r>
        <w:rPr>
          <w:b/>
          <w:sz w:val="20"/>
        </w:rPr>
        <w:t>Course</w:t>
      </w:r>
      <w:r>
        <w:rPr>
          <w:b/>
          <w:spacing w:val="-9"/>
          <w:sz w:val="20"/>
        </w:rPr>
        <w:t> </w:t>
      </w:r>
      <w:r>
        <w:rPr>
          <w:b/>
          <w:sz w:val="20"/>
        </w:rPr>
        <w:t>Description</w:t>
      </w:r>
      <w:r>
        <w:rPr>
          <w:b/>
          <w:spacing w:val="-8"/>
          <w:sz w:val="20"/>
        </w:rPr>
        <w:t> </w:t>
      </w:r>
      <w:r>
        <w:rPr>
          <w:b/>
          <w:sz w:val="20"/>
        </w:rPr>
        <w:t>(limit</w:t>
      </w:r>
      <w:r>
        <w:rPr>
          <w:b/>
          <w:spacing w:val="-7"/>
          <w:sz w:val="20"/>
        </w:rPr>
        <w:t> </w:t>
      </w:r>
      <w:r>
        <w:rPr>
          <w:b/>
          <w:sz w:val="20"/>
        </w:rPr>
        <w:t>25</w:t>
      </w:r>
      <w:r>
        <w:rPr>
          <w:b/>
          <w:spacing w:val="-8"/>
          <w:sz w:val="20"/>
        </w:rPr>
        <w:t> </w:t>
      </w:r>
      <w:r>
        <w:rPr>
          <w:b/>
          <w:spacing w:val="-2"/>
          <w:sz w:val="20"/>
        </w:rPr>
        <w:t>words):</w:t>
      </w:r>
    </w:p>
    <w:p>
      <w:pPr>
        <w:pStyle w:val="BodyText"/>
        <w:spacing w:before="122"/>
        <w:ind w:left="1159" w:right="642"/>
      </w:pPr>
      <w:r>
        <w:rPr/>
        <w:t>Integration of material, systems and spatial elements of architectural design through projects of varying</w:t>
      </w:r>
      <w:r>
        <w:rPr>
          <w:spacing w:val="-5"/>
        </w:rPr>
        <w:t> </w:t>
      </w:r>
      <w:r>
        <w:rPr/>
        <w:t>scales</w:t>
      </w:r>
      <w:r>
        <w:rPr>
          <w:spacing w:val="-1"/>
        </w:rPr>
        <w:t> </w:t>
      </w:r>
      <w:r>
        <w:rPr/>
        <w:t>in</w:t>
      </w:r>
      <w:r>
        <w:rPr>
          <w:spacing w:val="-5"/>
        </w:rPr>
        <w:t> </w:t>
      </w:r>
      <w:r>
        <w:rPr/>
        <w:t>the</w:t>
      </w:r>
      <w:r>
        <w:rPr>
          <w:spacing w:val="-5"/>
        </w:rPr>
        <w:t> </w:t>
      </w:r>
      <w:r>
        <w:rPr/>
        <w:t>community</w:t>
      </w:r>
      <w:r>
        <w:rPr>
          <w:spacing w:val="-7"/>
        </w:rPr>
        <w:t> </w:t>
      </w:r>
      <w:r>
        <w:rPr/>
        <w:t>context.</w:t>
      </w:r>
      <w:r>
        <w:rPr>
          <w:spacing w:val="-5"/>
        </w:rPr>
        <w:t> </w:t>
      </w:r>
      <w:r>
        <w:rPr/>
        <w:t>Deepening</w:t>
      </w:r>
      <w:r>
        <w:rPr>
          <w:spacing w:val="-3"/>
        </w:rPr>
        <w:t> </w:t>
      </w:r>
      <w:r>
        <w:rPr/>
        <w:t>understanding</w:t>
      </w:r>
      <w:r>
        <w:rPr>
          <w:spacing w:val="-5"/>
        </w:rPr>
        <w:t> </w:t>
      </w:r>
      <w:r>
        <w:rPr/>
        <w:t>of</w:t>
      </w:r>
      <w:r>
        <w:rPr>
          <w:spacing w:val="-3"/>
        </w:rPr>
        <w:t> </w:t>
      </w:r>
      <w:r>
        <w:rPr/>
        <w:t>site</w:t>
      </w:r>
      <w:r>
        <w:rPr>
          <w:spacing w:val="-3"/>
        </w:rPr>
        <w:t> </w:t>
      </w:r>
      <w:r>
        <w:rPr/>
        <w:t>planning</w:t>
      </w:r>
      <w:r>
        <w:rPr>
          <w:spacing w:val="-5"/>
        </w:rPr>
        <w:t> </w:t>
      </w:r>
      <w:r>
        <w:rPr/>
        <w:t>and</w:t>
      </w:r>
      <w:r>
        <w:rPr>
          <w:spacing w:val="-5"/>
        </w:rPr>
        <w:t> </w:t>
      </w:r>
      <w:r>
        <w:rPr/>
        <w:t>tectonic </w:t>
      </w:r>
      <w:r>
        <w:rPr>
          <w:spacing w:val="-2"/>
        </w:rPr>
        <w:t>issues.</w:t>
      </w:r>
    </w:p>
    <w:p>
      <w:pPr>
        <w:spacing w:before="119"/>
        <w:ind w:left="440" w:right="0" w:firstLine="0"/>
        <w:jc w:val="left"/>
        <w:rPr>
          <w:b/>
          <w:sz w:val="20"/>
        </w:rPr>
      </w:pPr>
      <w:r>
        <w:rPr>
          <w:b/>
          <w:sz w:val="20"/>
        </w:rPr>
        <w:t>Course</w:t>
      </w:r>
      <w:r>
        <w:rPr>
          <w:b/>
          <w:spacing w:val="-9"/>
          <w:sz w:val="20"/>
        </w:rPr>
        <w:t> </w:t>
      </w:r>
      <w:r>
        <w:rPr>
          <w:b/>
          <w:sz w:val="20"/>
        </w:rPr>
        <w:t>Goals</w:t>
      </w:r>
      <w:r>
        <w:rPr>
          <w:b/>
          <w:spacing w:val="-7"/>
          <w:sz w:val="20"/>
        </w:rPr>
        <w:t> </w:t>
      </w:r>
      <w:r>
        <w:rPr>
          <w:b/>
          <w:sz w:val="20"/>
        </w:rPr>
        <w:t>and</w:t>
      </w:r>
      <w:r>
        <w:rPr>
          <w:b/>
          <w:spacing w:val="-5"/>
          <w:sz w:val="20"/>
        </w:rPr>
        <w:t> </w:t>
      </w:r>
      <w:r>
        <w:rPr>
          <w:b/>
          <w:spacing w:val="-2"/>
          <w:sz w:val="20"/>
        </w:rPr>
        <w:t>Objectives;</w:t>
      </w:r>
    </w:p>
    <w:p>
      <w:pPr>
        <w:pStyle w:val="ListParagraph"/>
        <w:numPr>
          <w:ilvl w:val="0"/>
          <w:numId w:val="51"/>
        </w:numPr>
        <w:tabs>
          <w:tab w:pos="1519" w:val="left" w:leader="none"/>
          <w:tab w:pos="1520" w:val="left" w:leader="none"/>
        </w:tabs>
        <w:spacing w:line="240" w:lineRule="auto" w:before="135" w:after="0"/>
        <w:ind w:left="1519" w:right="963" w:hanging="360"/>
        <w:jc w:val="left"/>
        <w:rPr>
          <w:sz w:val="20"/>
        </w:rPr>
      </w:pPr>
      <w:r>
        <w:rPr>
          <w:sz w:val="20"/>
        </w:rPr>
        <w:t>Knowledge/Critical Thinking Skills: Site documentation and analysis for sites at several scales;</w:t>
      </w:r>
      <w:r>
        <w:rPr>
          <w:spacing w:val="-5"/>
          <w:sz w:val="20"/>
        </w:rPr>
        <w:t> </w:t>
      </w:r>
      <w:r>
        <w:rPr>
          <w:sz w:val="20"/>
        </w:rPr>
        <w:t>research</w:t>
      </w:r>
      <w:r>
        <w:rPr>
          <w:spacing w:val="-3"/>
          <w:sz w:val="20"/>
        </w:rPr>
        <w:t> </w:t>
      </w:r>
      <w:r>
        <w:rPr>
          <w:sz w:val="20"/>
        </w:rPr>
        <w:t>&amp;</w:t>
      </w:r>
      <w:r>
        <w:rPr>
          <w:spacing w:val="-6"/>
          <w:sz w:val="20"/>
        </w:rPr>
        <w:t> </w:t>
      </w:r>
      <w:r>
        <w:rPr>
          <w:sz w:val="20"/>
        </w:rPr>
        <w:t>client</w:t>
      </w:r>
      <w:r>
        <w:rPr>
          <w:spacing w:val="-3"/>
          <w:sz w:val="20"/>
        </w:rPr>
        <w:t> </w:t>
      </w:r>
      <w:r>
        <w:rPr>
          <w:sz w:val="20"/>
        </w:rPr>
        <w:t>interview</w:t>
      </w:r>
      <w:r>
        <w:rPr>
          <w:spacing w:val="-6"/>
          <w:sz w:val="20"/>
        </w:rPr>
        <w:t> </w:t>
      </w:r>
      <w:r>
        <w:rPr>
          <w:sz w:val="20"/>
        </w:rPr>
        <w:t>to</w:t>
      </w:r>
      <w:r>
        <w:rPr>
          <w:spacing w:val="-3"/>
          <w:sz w:val="20"/>
        </w:rPr>
        <w:t> </w:t>
      </w:r>
      <w:r>
        <w:rPr>
          <w:sz w:val="20"/>
        </w:rPr>
        <w:t>develop</w:t>
      </w:r>
      <w:r>
        <w:rPr>
          <w:spacing w:val="-5"/>
          <w:sz w:val="20"/>
        </w:rPr>
        <w:t> </w:t>
      </w:r>
      <w:r>
        <w:rPr>
          <w:sz w:val="20"/>
        </w:rPr>
        <w:t>moderately</w:t>
      </w:r>
      <w:r>
        <w:rPr>
          <w:spacing w:val="-7"/>
          <w:sz w:val="20"/>
        </w:rPr>
        <w:t> </w:t>
      </w:r>
      <w:r>
        <w:rPr>
          <w:sz w:val="20"/>
        </w:rPr>
        <w:t>complex</w:t>
      </w:r>
      <w:r>
        <w:rPr>
          <w:spacing w:val="-4"/>
          <w:sz w:val="20"/>
        </w:rPr>
        <w:t> </w:t>
      </w:r>
      <w:r>
        <w:rPr>
          <w:sz w:val="20"/>
        </w:rPr>
        <w:t>architectural</w:t>
      </w:r>
      <w:r>
        <w:rPr>
          <w:spacing w:val="-4"/>
          <w:sz w:val="20"/>
        </w:rPr>
        <w:t> </w:t>
      </w:r>
      <w:r>
        <w:rPr>
          <w:sz w:val="20"/>
        </w:rPr>
        <w:t>programs; research to select structural and materials systems; Extend knowledge of appropriate </w:t>
      </w:r>
      <w:r>
        <w:rPr>
          <w:spacing w:val="-2"/>
          <w:sz w:val="20"/>
        </w:rPr>
        <w:t>vocabulary.</w:t>
      </w:r>
    </w:p>
    <w:p>
      <w:pPr>
        <w:pStyle w:val="ListParagraph"/>
        <w:numPr>
          <w:ilvl w:val="0"/>
          <w:numId w:val="51"/>
        </w:numPr>
        <w:tabs>
          <w:tab w:pos="1519" w:val="left" w:leader="none"/>
          <w:tab w:pos="1520" w:val="left" w:leader="none"/>
        </w:tabs>
        <w:spacing w:line="240" w:lineRule="auto" w:before="14" w:after="0"/>
        <w:ind w:left="1520" w:right="682" w:hanging="361"/>
        <w:jc w:val="left"/>
        <w:rPr>
          <w:sz w:val="20"/>
        </w:rPr>
      </w:pPr>
      <w:r>
        <w:rPr>
          <w:sz w:val="20"/>
        </w:rPr>
        <w:t>Design Skills: Generate architectural and site design for urban projects at different scales as an</w:t>
      </w:r>
      <w:r>
        <w:rPr>
          <w:spacing w:val="-4"/>
          <w:sz w:val="20"/>
        </w:rPr>
        <w:t> </w:t>
      </w:r>
      <w:r>
        <w:rPr>
          <w:sz w:val="20"/>
        </w:rPr>
        <w:t>iterative</w:t>
      </w:r>
      <w:r>
        <w:rPr>
          <w:spacing w:val="-4"/>
          <w:sz w:val="20"/>
        </w:rPr>
        <w:t> </w:t>
      </w:r>
      <w:r>
        <w:rPr>
          <w:sz w:val="20"/>
        </w:rPr>
        <w:t>process.</w:t>
      </w:r>
      <w:r>
        <w:rPr>
          <w:spacing w:val="-2"/>
          <w:sz w:val="20"/>
        </w:rPr>
        <w:t> </w:t>
      </w:r>
      <w:r>
        <w:rPr>
          <w:sz w:val="20"/>
        </w:rPr>
        <w:t>Plan</w:t>
      </w:r>
      <w:r>
        <w:rPr>
          <w:spacing w:val="-4"/>
          <w:sz w:val="20"/>
        </w:rPr>
        <w:t> </w:t>
      </w:r>
      <w:r>
        <w:rPr>
          <w:sz w:val="20"/>
        </w:rPr>
        <w:t>basic</w:t>
      </w:r>
      <w:r>
        <w:rPr>
          <w:spacing w:val="-3"/>
          <w:sz w:val="20"/>
        </w:rPr>
        <w:t> </w:t>
      </w:r>
      <w:r>
        <w:rPr>
          <w:sz w:val="20"/>
        </w:rPr>
        <w:t>building</w:t>
      </w:r>
      <w:r>
        <w:rPr>
          <w:spacing w:val="-4"/>
          <w:sz w:val="20"/>
        </w:rPr>
        <w:t> </w:t>
      </w:r>
      <w:r>
        <w:rPr>
          <w:sz w:val="20"/>
        </w:rPr>
        <w:t>systems,</w:t>
      </w:r>
      <w:r>
        <w:rPr>
          <w:spacing w:val="-4"/>
          <w:sz w:val="20"/>
        </w:rPr>
        <w:t> </w:t>
      </w:r>
      <w:r>
        <w:rPr>
          <w:sz w:val="20"/>
        </w:rPr>
        <w:t>passive</w:t>
      </w:r>
      <w:r>
        <w:rPr>
          <w:spacing w:val="-4"/>
          <w:sz w:val="20"/>
        </w:rPr>
        <w:t> </w:t>
      </w:r>
      <w:r>
        <w:rPr>
          <w:sz w:val="20"/>
        </w:rPr>
        <w:t>and</w:t>
      </w:r>
      <w:r>
        <w:rPr>
          <w:spacing w:val="-4"/>
          <w:sz w:val="20"/>
        </w:rPr>
        <w:t> </w:t>
      </w:r>
      <w:r>
        <w:rPr>
          <w:sz w:val="20"/>
        </w:rPr>
        <w:t>active</w:t>
      </w:r>
      <w:r>
        <w:rPr>
          <w:spacing w:val="-4"/>
          <w:sz w:val="20"/>
        </w:rPr>
        <w:t> </w:t>
      </w:r>
      <w:r>
        <w:rPr>
          <w:sz w:val="20"/>
        </w:rPr>
        <w:t>environmental</w:t>
      </w:r>
      <w:r>
        <w:rPr>
          <w:spacing w:val="-5"/>
          <w:sz w:val="20"/>
        </w:rPr>
        <w:t> </w:t>
      </w:r>
      <w:r>
        <w:rPr>
          <w:sz w:val="20"/>
        </w:rPr>
        <w:t>systems. Integrate resolution of life safety and ADA issues.</w:t>
      </w:r>
    </w:p>
    <w:p>
      <w:pPr>
        <w:pStyle w:val="ListParagraph"/>
        <w:numPr>
          <w:ilvl w:val="0"/>
          <w:numId w:val="51"/>
        </w:numPr>
        <w:tabs>
          <w:tab w:pos="1519" w:val="left" w:leader="none"/>
          <w:tab w:pos="1520" w:val="left" w:leader="none"/>
        </w:tabs>
        <w:spacing w:line="240" w:lineRule="auto" w:before="13" w:after="0"/>
        <w:ind w:left="1519" w:right="1029" w:hanging="360"/>
        <w:jc w:val="left"/>
        <w:rPr>
          <w:sz w:val="20"/>
        </w:rPr>
      </w:pPr>
      <w:r>
        <w:rPr>
          <w:sz w:val="20"/>
        </w:rPr>
        <w:t>Representation</w:t>
      </w:r>
      <w:r>
        <w:rPr>
          <w:spacing w:val="-3"/>
          <w:sz w:val="20"/>
        </w:rPr>
        <w:t> </w:t>
      </w:r>
      <w:r>
        <w:rPr>
          <w:sz w:val="20"/>
        </w:rPr>
        <w:t>Skills:</w:t>
      </w:r>
      <w:r>
        <w:rPr>
          <w:spacing w:val="-3"/>
          <w:sz w:val="20"/>
        </w:rPr>
        <w:t> </w:t>
      </w:r>
      <w:r>
        <w:rPr>
          <w:sz w:val="20"/>
        </w:rPr>
        <w:t>Physical</w:t>
      </w:r>
      <w:r>
        <w:rPr>
          <w:spacing w:val="-4"/>
          <w:sz w:val="20"/>
        </w:rPr>
        <w:t> </w:t>
      </w:r>
      <w:r>
        <w:rPr>
          <w:sz w:val="20"/>
        </w:rPr>
        <w:t>and</w:t>
      </w:r>
      <w:r>
        <w:rPr>
          <w:spacing w:val="-3"/>
          <w:sz w:val="20"/>
        </w:rPr>
        <w:t> </w:t>
      </w:r>
      <w:r>
        <w:rPr>
          <w:sz w:val="20"/>
        </w:rPr>
        <w:t>digital</w:t>
      </w:r>
      <w:r>
        <w:rPr>
          <w:spacing w:val="-6"/>
          <w:sz w:val="20"/>
        </w:rPr>
        <w:t> </w:t>
      </w:r>
      <w:r>
        <w:rPr>
          <w:sz w:val="20"/>
        </w:rPr>
        <w:t>models</w:t>
      </w:r>
      <w:r>
        <w:rPr>
          <w:spacing w:val="-4"/>
          <w:sz w:val="20"/>
        </w:rPr>
        <w:t> </w:t>
      </w:r>
      <w:r>
        <w:rPr>
          <w:sz w:val="20"/>
        </w:rPr>
        <w:t>to</w:t>
      </w:r>
      <w:r>
        <w:rPr>
          <w:spacing w:val="-5"/>
          <w:sz w:val="20"/>
        </w:rPr>
        <w:t> </w:t>
      </w:r>
      <w:r>
        <w:rPr>
          <w:sz w:val="20"/>
        </w:rPr>
        <w:t>analyze</w:t>
      </w:r>
      <w:r>
        <w:rPr>
          <w:spacing w:val="-5"/>
          <w:sz w:val="20"/>
        </w:rPr>
        <w:t> </w:t>
      </w:r>
      <w:r>
        <w:rPr>
          <w:sz w:val="20"/>
        </w:rPr>
        <w:t>and</w:t>
      </w:r>
      <w:r>
        <w:rPr>
          <w:spacing w:val="-5"/>
          <w:sz w:val="20"/>
        </w:rPr>
        <w:t> </w:t>
      </w:r>
      <w:r>
        <w:rPr>
          <w:sz w:val="20"/>
        </w:rPr>
        <w:t>represent</w:t>
      </w:r>
      <w:r>
        <w:rPr>
          <w:spacing w:val="-3"/>
          <w:sz w:val="20"/>
        </w:rPr>
        <w:t> </w:t>
      </w:r>
      <w:r>
        <w:rPr>
          <w:sz w:val="20"/>
        </w:rPr>
        <w:t>urban</w:t>
      </w:r>
      <w:r>
        <w:rPr>
          <w:spacing w:val="-3"/>
          <w:sz w:val="20"/>
        </w:rPr>
        <w:t> </w:t>
      </w:r>
      <w:r>
        <w:rPr>
          <w:sz w:val="20"/>
        </w:rPr>
        <w:t>design sites; design in plan, section, and elevation, beginning with esquisse following parti; Diagramming and freehand sketching leading to drawing sets following architectural conventions of practice as well as presentation drawings.</w:t>
      </w:r>
    </w:p>
    <w:p>
      <w:pPr>
        <w:pStyle w:val="ListParagraph"/>
        <w:numPr>
          <w:ilvl w:val="0"/>
          <w:numId w:val="51"/>
        </w:numPr>
        <w:tabs>
          <w:tab w:pos="1519" w:val="left" w:leader="none"/>
          <w:tab w:pos="1520" w:val="left" w:leader="none"/>
        </w:tabs>
        <w:spacing w:line="240" w:lineRule="auto" w:before="14" w:after="0"/>
        <w:ind w:left="1519" w:right="952" w:hanging="360"/>
        <w:jc w:val="left"/>
        <w:rPr>
          <w:sz w:val="20"/>
        </w:rPr>
      </w:pPr>
      <w:r>
        <w:rPr>
          <w:sz w:val="20"/>
        </w:rPr>
        <w:t>Communication</w:t>
      </w:r>
      <w:r>
        <w:rPr>
          <w:spacing w:val="-2"/>
          <w:sz w:val="20"/>
        </w:rPr>
        <w:t> </w:t>
      </w:r>
      <w:r>
        <w:rPr>
          <w:sz w:val="20"/>
        </w:rPr>
        <w:t>Skills:</w:t>
      </w:r>
      <w:r>
        <w:rPr>
          <w:spacing w:val="-4"/>
          <w:sz w:val="20"/>
        </w:rPr>
        <w:t> </w:t>
      </w:r>
      <w:r>
        <w:rPr>
          <w:sz w:val="20"/>
        </w:rPr>
        <w:t>Develop</w:t>
      </w:r>
      <w:r>
        <w:rPr>
          <w:spacing w:val="-4"/>
          <w:sz w:val="20"/>
        </w:rPr>
        <w:t> </w:t>
      </w:r>
      <w:r>
        <w:rPr>
          <w:sz w:val="20"/>
        </w:rPr>
        <w:t>project</w:t>
      </w:r>
      <w:r>
        <w:rPr>
          <w:spacing w:val="-4"/>
          <w:sz w:val="20"/>
        </w:rPr>
        <w:t> </w:t>
      </w:r>
      <w:r>
        <w:rPr>
          <w:sz w:val="20"/>
        </w:rPr>
        <w:t>briefs,</w:t>
      </w:r>
      <w:r>
        <w:rPr>
          <w:spacing w:val="-4"/>
          <w:sz w:val="20"/>
        </w:rPr>
        <w:t> </w:t>
      </w:r>
      <w:r>
        <w:rPr>
          <w:sz w:val="20"/>
        </w:rPr>
        <w:t>Orally</w:t>
      </w:r>
      <w:r>
        <w:rPr>
          <w:spacing w:val="-7"/>
          <w:sz w:val="20"/>
        </w:rPr>
        <w:t> </w:t>
      </w:r>
      <w:r>
        <w:rPr>
          <w:sz w:val="20"/>
        </w:rPr>
        <w:t>and</w:t>
      </w:r>
      <w:r>
        <w:rPr>
          <w:spacing w:val="-4"/>
          <w:sz w:val="20"/>
        </w:rPr>
        <w:t> </w:t>
      </w:r>
      <w:r>
        <w:rPr>
          <w:sz w:val="20"/>
        </w:rPr>
        <w:t>in</w:t>
      </w:r>
      <w:r>
        <w:rPr>
          <w:spacing w:val="-2"/>
          <w:sz w:val="20"/>
        </w:rPr>
        <w:t> </w:t>
      </w:r>
      <w:r>
        <w:rPr>
          <w:sz w:val="20"/>
        </w:rPr>
        <w:t>writing</w:t>
      </w:r>
      <w:r>
        <w:rPr>
          <w:spacing w:val="-4"/>
          <w:sz w:val="20"/>
        </w:rPr>
        <w:t> </w:t>
      </w:r>
      <w:r>
        <w:rPr>
          <w:sz w:val="20"/>
        </w:rPr>
        <w:t>present</w:t>
      </w:r>
      <w:r>
        <w:rPr>
          <w:spacing w:val="-4"/>
          <w:sz w:val="20"/>
        </w:rPr>
        <w:t> </w:t>
      </w:r>
      <w:r>
        <w:rPr>
          <w:sz w:val="20"/>
        </w:rPr>
        <w:t>design</w:t>
      </w:r>
      <w:r>
        <w:rPr>
          <w:spacing w:val="-2"/>
          <w:sz w:val="20"/>
        </w:rPr>
        <w:t> </w:t>
      </w:r>
      <w:r>
        <w:rPr>
          <w:sz w:val="20"/>
        </w:rPr>
        <w:t>projects clearly and concisely</w:t>
      </w:r>
    </w:p>
    <w:p>
      <w:pPr>
        <w:spacing w:before="119"/>
        <w:ind w:left="494" w:right="0" w:firstLine="0"/>
        <w:jc w:val="left"/>
        <w:rPr>
          <w:b/>
          <w:sz w:val="20"/>
        </w:rPr>
      </w:pPr>
      <w:r>
        <w:rPr>
          <w:b/>
          <w:sz w:val="20"/>
        </w:rPr>
        <w:t>Student</w:t>
      </w:r>
      <w:r>
        <w:rPr>
          <w:b/>
          <w:spacing w:val="-9"/>
          <w:sz w:val="20"/>
        </w:rPr>
        <w:t> </w:t>
      </w:r>
      <w:r>
        <w:rPr>
          <w:b/>
          <w:sz w:val="20"/>
        </w:rPr>
        <w:t>Performance</w:t>
      </w:r>
      <w:r>
        <w:rPr>
          <w:b/>
          <w:spacing w:val="-9"/>
          <w:sz w:val="20"/>
        </w:rPr>
        <w:t> </w:t>
      </w:r>
      <w:r>
        <w:rPr>
          <w:b/>
          <w:sz w:val="20"/>
        </w:rPr>
        <w:t>Criteria</w:t>
      </w:r>
      <w:r>
        <w:rPr>
          <w:b/>
          <w:spacing w:val="-5"/>
          <w:sz w:val="20"/>
        </w:rPr>
        <w:t> </w:t>
      </w:r>
      <w:r>
        <w:rPr>
          <w:b/>
          <w:sz w:val="20"/>
        </w:rPr>
        <w:t>Addressed</w:t>
      </w:r>
      <w:r>
        <w:rPr>
          <w:b/>
          <w:spacing w:val="-9"/>
          <w:sz w:val="20"/>
        </w:rPr>
        <w:t> </w:t>
      </w:r>
      <w:r>
        <w:rPr>
          <w:b/>
          <w:sz w:val="20"/>
        </w:rPr>
        <w:t>(name</w:t>
      </w:r>
      <w:r>
        <w:rPr>
          <w:b/>
          <w:spacing w:val="-7"/>
          <w:sz w:val="20"/>
        </w:rPr>
        <w:t> </w:t>
      </w:r>
      <w:r>
        <w:rPr>
          <w:b/>
          <w:sz w:val="20"/>
        </w:rPr>
        <w:t>and</w:t>
      </w:r>
      <w:r>
        <w:rPr>
          <w:b/>
          <w:spacing w:val="-9"/>
          <w:sz w:val="20"/>
        </w:rPr>
        <w:t> </w:t>
      </w:r>
      <w:r>
        <w:rPr>
          <w:b/>
          <w:spacing w:val="-2"/>
          <w:sz w:val="20"/>
        </w:rPr>
        <w:t>number)</w:t>
      </w:r>
    </w:p>
    <w:p>
      <w:pPr>
        <w:pStyle w:val="BodyText"/>
        <w:spacing w:before="120"/>
        <w:ind w:left="1159" w:right="642"/>
      </w:pPr>
      <w:r>
        <w:rPr/>
        <w:t>Mastery</w:t>
      </w:r>
      <w:r>
        <w:rPr>
          <w:spacing w:val="-5"/>
        </w:rPr>
        <w:t> </w:t>
      </w:r>
      <w:r>
        <w:rPr/>
        <w:t>of:</w:t>
      </w:r>
      <w:r>
        <w:rPr>
          <w:spacing w:val="-4"/>
        </w:rPr>
        <w:t> </w:t>
      </w:r>
      <w:r>
        <w:rPr/>
        <w:t>A2)</w:t>
      </w:r>
      <w:r>
        <w:rPr>
          <w:spacing w:val="-3"/>
        </w:rPr>
        <w:t> </w:t>
      </w:r>
      <w:r>
        <w:rPr/>
        <w:t>Design</w:t>
      </w:r>
      <w:r>
        <w:rPr>
          <w:spacing w:val="-4"/>
        </w:rPr>
        <w:t> </w:t>
      </w:r>
      <w:r>
        <w:rPr/>
        <w:t>Thinking</w:t>
      </w:r>
      <w:r>
        <w:rPr>
          <w:spacing w:val="-4"/>
        </w:rPr>
        <w:t> </w:t>
      </w:r>
      <w:r>
        <w:rPr/>
        <w:t>Sills,</w:t>
      </w:r>
      <w:r>
        <w:rPr>
          <w:spacing w:val="-4"/>
        </w:rPr>
        <w:t> </w:t>
      </w:r>
      <w:r>
        <w:rPr/>
        <w:t>!#</w:t>
      </w:r>
      <w:r>
        <w:rPr>
          <w:spacing w:val="-4"/>
        </w:rPr>
        <w:t> </w:t>
      </w:r>
      <w:r>
        <w:rPr/>
        <w:t>Visual</w:t>
      </w:r>
      <w:r>
        <w:rPr>
          <w:spacing w:val="-5"/>
        </w:rPr>
        <w:t> </w:t>
      </w:r>
      <w:r>
        <w:rPr/>
        <w:t>Communication</w:t>
      </w:r>
      <w:r>
        <w:rPr>
          <w:spacing w:val="-4"/>
        </w:rPr>
        <w:t> </w:t>
      </w:r>
      <w:r>
        <w:rPr/>
        <w:t>Skills,</w:t>
      </w:r>
      <w:r>
        <w:rPr>
          <w:spacing w:val="-4"/>
        </w:rPr>
        <w:t> </w:t>
      </w:r>
      <w:r>
        <w:rPr/>
        <w:t>A7</w:t>
      </w:r>
      <w:r>
        <w:rPr>
          <w:spacing w:val="-2"/>
        </w:rPr>
        <w:t> </w:t>
      </w:r>
      <w:r>
        <w:rPr/>
        <w:t>Use</w:t>
      </w:r>
      <w:r>
        <w:rPr>
          <w:spacing w:val="-4"/>
        </w:rPr>
        <w:t> </w:t>
      </w:r>
      <w:r>
        <w:rPr/>
        <w:t>of Precedents,</w:t>
      </w:r>
      <w:r>
        <w:rPr>
          <w:spacing w:val="-4"/>
        </w:rPr>
        <w:t> </w:t>
      </w:r>
      <w:r>
        <w:rPr/>
        <w:t>B1) Predesign, B2) Accessibility, B3 Sustainability, B4, Site Design, B5, Live Safety.</w:t>
      </w:r>
      <w:r>
        <w:rPr>
          <w:spacing w:val="40"/>
        </w:rPr>
        <w:t> </w:t>
      </w:r>
      <w:r>
        <w:rPr/>
        <w:t>In addition this studio in general proposes students exit with mastery of B10? Building Envelope Systems, B12, Building Materials and Assemblies; i</w:t>
      </w:r>
    </w:p>
    <w:p>
      <w:pPr>
        <w:pStyle w:val="BodyText"/>
        <w:spacing w:before="2"/>
        <w:ind w:left="1159" w:right="642"/>
      </w:pPr>
      <w:r>
        <w:rPr/>
        <w:t>Deepening</w:t>
      </w:r>
      <w:r>
        <w:rPr>
          <w:spacing w:val="-4"/>
        </w:rPr>
        <w:t> </w:t>
      </w:r>
      <w:r>
        <w:rPr/>
        <w:t>understanding</w:t>
      </w:r>
      <w:r>
        <w:rPr>
          <w:spacing w:val="-4"/>
        </w:rPr>
        <w:t> </w:t>
      </w:r>
      <w:r>
        <w:rPr/>
        <w:t>of</w:t>
      </w:r>
      <w:r>
        <w:rPr>
          <w:spacing w:val="-4"/>
        </w:rPr>
        <w:t> </w:t>
      </w:r>
      <w:r>
        <w:rPr/>
        <w:t>and</w:t>
      </w:r>
      <w:r>
        <w:rPr>
          <w:spacing w:val="-5"/>
        </w:rPr>
        <w:t> </w:t>
      </w:r>
      <w:r>
        <w:rPr/>
        <w:t>facility</w:t>
      </w:r>
      <w:r>
        <w:rPr>
          <w:spacing w:val="-6"/>
        </w:rPr>
        <w:t> </w:t>
      </w:r>
      <w:r>
        <w:rPr/>
        <w:t>with:</w:t>
      </w:r>
      <w:r>
        <w:rPr>
          <w:spacing w:val="-4"/>
        </w:rPr>
        <w:t> </w:t>
      </w:r>
      <w:r>
        <w:rPr/>
        <w:t>A11</w:t>
      </w:r>
      <w:r>
        <w:rPr>
          <w:spacing w:val="-4"/>
        </w:rPr>
        <w:t> </w:t>
      </w:r>
      <w:r>
        <w:rPr/>
        <w:t>Applied</w:t>
      </w:r>
      <w:r>
        <w:rPr>
          <w:spacing w:val="-5"/>
        </w:rPr>
        <w:t> </w:t>
      </w:r>
      <w:r>
        <w:rPr/>
        <w:t>Research,</w:t>
      </w:r>
      <w:r>
        <w:rPr>
          <w:spacing w:val="-4"/>
        </w:rPr>
        <w:t> </w:t>
      </w:r>
      <w:r>
        <w:rPr/>
        <w:t>B6)</w:t>
      </w:r>
      <w:r>
        <w:rPr>
          <w:spacing w:val="-5"/>
        </w:rPr>
        <w:t> </w:t>
      </w:r>
      <w:r>
        <w:rPr/>
        <w:t>Comprehensive</w:t>
      </w:r>
      <w:r>
        <w:rPr>
          <w:spacing w:val="-5"/>
        </w:rPr>
        <w:t> </w:t>
      </w:r>
      <w:r>
        <w:rPr/>
        <w:t>design, B8 Environmental Considerations, B9) Structural Systems, C1) Collaboration, C2) Human Behavior, C3) Client Role.</w:t>
      </w:r>
      <w:r>
        <w:rPr>
          <w:spacing w:val="40"/>
        </w:rPr>
        <w:t> </w:t>
      </w:r>
      <w:r>
        <w:rPr/>
        <w:t>Finally, NAAB expects students in ARC 304 to be exposed to, and begin to develop an understanding of A4) Technical Documentation, A5) Investigative Skills, C6) Leadership, C7) Legal Responsibilities, C8) Ethics and Professional Judgment and and C9) community and Social Responsibility.</w:t>
      </w:r>
    </w:p>
    <w:p>
      <w:pPr>
        <w:spacing w:before="118"/>
        <w:ind w:left="439" w:right="0" w:firstLine="0"/>
        <w:jc w:val="left"/>
        <w:rPr>
          <w:b/>
          <w:sz w:val="20"/>
        </w:rPr>
      </w:pPr>
      <w:r>
        <w:rPr>
          <w:b/>
          <w:sz w:val="20"/>
        </w:rPr>
        <w:t>Topical</w:t>
      </w:r>
      <w:r>
        <w:rPr>
          <w:b/>
          <w:spacing w:val="-7"/>
          <w:sz w:val="20"/>
        </w:rPr>
        <w:t> </w:t>
      </w:r>
      <w:r>
        <w:rPr>
          <w:b/>
          <w:sz w:val="20"/>
        </w:rPr>
        <w:t>Outline</w:t>
      </w:r>
      <w:r>
        <w:rPr>
          <w:b/>
          <w:spacing w:val="-7"/>
          <w:sz w:val="20"/>
        </w:rPr>
        <w:t> </w:t>
      </w:r>
      <w:r>
        <w:rPr>
          <w:b/>
          <w:sz w:val="20"/>
        </w:rPr>
        <w:t>and</w:t>
      </w:r>
      <w:r>
        <w:rPr>
          <w:b/>
          <w:spacing w:val="-6"/>
          <w:sz w:val="20"/>
        </w:rPr>
        <w:t> </w:t>
      </w:r>
      <w:r>
        <w:rPr>
          <w:b/>
          <w:sz w:val="20"/>
        </w:rPr>
        <w:t>percentage</w:t>
      </w:r>
      <w:r>
        <w:rPr>
          <w:b/>
          <w:spacing w:val="-7"/>
          <w:sz w:val="20"/>
        </w:rPr>
        <w:t> </w:t>
      </w:r>
      <w:r>
        <w:rPr>
          <w:b/>
          <w:sz w:val="20"/>
        </w:rPr>
        <w:t>of</w:t>
      </w:r>
      <w:r>
        <w:rPr>
          <w:b/>
          <w:spacing w:val="-6"/>
          <w:sz w:val="20"/>
        </w:rPr>
        <w:t> </w:t>
      </w:r>
      <w:r>
        <w:rPr>
          <w:b/>
          <w:sz w:val="20"/>
        </w:rPr>
        <w:t>time</w:t>
      </w:r>
      <w:r>
        <w:rPr>
          <w:b/>
          <w:spacing w:val="-6"/>
          <w:sz w:val="20"/>
        </w:rPr>
        <w:t> </w:t>
      </w:r>
      <w:r>
        <w:rPr>
          <w:b/>
          <w:sz w:val="20"/>
        </w:rPr>
        <w:t>spent</w:t>
      </w:r>
      <w:r>
        <w:rPr>
          <w:b/>
          <w:spacing w:val="-6"/>
          <w:sz w:val="20"/>
        </w:rPr>
        <w:t> </w:t>
      </w:r>
      <w:r>
        <w:rPr>
          <w:b/>
          <w:sz w:val="20"/>
        </w:rPr>
        <w:t>on</w:t>
      </w:r>
      <w:r>
        <w:rPr>
          <w:b/>
          <w:spacing w:val="-4"/>
          <w:sz w:val="20"/>
        </w:rPr>
        <w:t> each</w:t>
      </w:r>
    </w:p>
    <w:p>
      <w:pPr>
        <w:pStyle w:val="BodyText"/>
        <w:spacing w:before="123"/>
        <w:ind w:left="1159" w:right="642"/>
      </w:pPr>
      <w:r>
        <w:rPr/>
        <w:t>Meetings/interviews research with “clients,” stakeholders, and civic officials (5%), Three architectural design projects in urban settings in Norfolk, VA (70&amp;), Precedent analysis (5%), observational drawing/documentation at sites (5%), Mini reviews of building systems and materials</w:t>
      </w:r>
      <w:r>
        <w:rPr>
          <w:spacing w:val="-3"/>
        </w:rPr>
        <w:t> </w:t>
      </w:r>
      <w:r>
        <w:rPr/>
        <w:t>as</w:t>
      </w:r>
      <w:r>
        <w:rPr>
          <w:spacing w:val="-3"/>
        </w:rPr>
        <w:t> </w:t>
      </w:r>
      <w:r>
        <w:rPr/>
        <w:t>part</w:t>
      </w:r>
      <w:r>
        <w:rPr>
          <w:spacing w:val="-3"/>
        </w:rPr>
        <w:t> </w:t>
      </w:r>
      <w:r>
        <w:rPr/>
        <w:t>of</w:t>
      </w:r>
      <w:r>
        <w:rPr>
          <w:spacing w:val="-3"/>
        </w:rPr>
        <w:t> </w:t>
      </w:r>
      <w:r>
        <w:rPr/>
        <w:t>design process</w:t>
      </w:r>
      <w:r>
        <w:rPr>
          <w:spacing w:val="-3"/>
        </w:rPr>
        <w:t> </w:t>
      </w:r>
      <w:r>
        <w:rPr/>
        <w:t>(5%),</w:t>
      </w:r>
      <w:r>
        <w:rPr>
          <w:spacing w:val="-4"/>
        </w:rPr>
        <w:t> </w:t>
      </w:r>
      <w:r>
        <w:rPr/>
        <w:t>physical</w:t>
      </w:r>
      <w:r>
        <w:rPr>
          <w:spacing w:val="-3"/>
        </w:rPr>
        <w:t> </w:t>
      </w:r>
      <w:r>
        <w:rPr/>
        <w:t>and</w:t>
      </w:r>
      <w:r>
        <w:rPr>
          <w:spacing w:val="-3"/>
        </w:rPr>
        <w:t> </w:t>
      </w:r>
      <w:r>
        <w:rPr/>
        <w:t>digital</w:t>
      </w:r>
      <w:r>
        <w:rPr>
          <w:spacing w:val="-5"/>
        </w:rPr>
        <w:t> </w:t>
      </w:r>
      <w:r>
        <w:rPr/>
        <w:t>model</w:t>
      </w:r>
      <w:r>
        <w:rPr>
          <w:spacing w:val="-3"/>
        </w:rPr>
        <w:t> </w:t>
      </w:r>
      <w:r>
        <w:rPr/>
        <w:t>building</w:t>
      </w:r>
      <w:r>
        <w:rPr>
          <w:spacing w:val="-3"/>
        </w:rPr>
        <w:t> </w:t>
      </w:r>
      <w:r>
        <w:rPr/>
        <w:t>(5%),</w:t>
      </w:r>
      <w:r>
        <w:rPr>
          <w:spacing w:val="-4"/>
        </w:rPr>
        <w:t> </w:t>
      </w:r>
      <w:r>
        <w:rPr/>
        <w:t>analytic</w:t>
      </w:r>
      <w:r>
        <w:rPr>
          <w:spacing w:val="-3"/>
        </w:rPr>
        <w:t> </w:t>
      </w:r>
      <w:r>
        <w:rPr/>
        <w:t>and presentation drawing (5%).</w:t>
      </w:r>
    </w:p>
    <w:p>
      <w:pPr>
        <w:spacing w:before="118"/>
        <w:ind w:left="439" w:right="0" w:firstLine="0"/>
        <w:jc w:val="left"/>
        <w:rPr>
          <w:b/>
          <w:sz w:val="20"/>
        </w:rPr>
      </w:pPr>
      <w:r>
        <w:rPr>
          <w:b/>
          <w:w w:val="95"/>
          <w:sz w:val="20"/>
        </w:rPr>
        <w:t>Pre-</w:t>
      </w:r>
      <w:r>
        <w:rPr>
          <w:b/>
          <w:spacing w:val="-2"/>
          <w:sz w:val="20"/>
        </w:rPr>
        <w:t>requisites</w:t>
      </w:r>
    </w:p>
    <w:p>
      <w:pPr>
        <w:pStyle w:val="BodyText"/>
        <w:spacing w:before="120"/>
        <w:ind w:left="1159"/>
      </w:pPr>
      <w:r>
        <w:rPr/>
        <w:t>ARC</w:t>
      </w:r>
      <w:r>
        <w:rPr>
          <w:spacing w:val="-6"/>
        </w:rPr>
        <w:t> </w:t>
      </w:r>
      <w:r>
        <w:rPr/>
        <w:t>101,</w:t>
      </w:r>
      <w:r>
        <w:rPr>
          <w:spacing w:val="-3"/>
        </w:rPr>
        <w:t> </w:t>
      </w:r>
      <w:r>
        <w:rPr/>
        <w:t>102,</w:t>
      </w:r>
      <w:r>
        <w:rPr>
          <w:spacing w:val="-5"/>
        </w:rPr>
        <w:t> </w:t>
      </w:r>
      <w:r>
        <w:rPr/>
        <w:t>200,</w:t>
      </w:r>
      <w:r>
        <w:rPr>
          <w:spacing w:val="-4"/>
        </w:rPr>
        <w:t> </w:t>
      </w:r>
      <w:r>
        <w:rPr/>
        <w:t>201,</w:t>
      </w:r>
      <w:r>
        <w:rPr>
          <w:spacing w:val="-3"/>
        </w:rPr>
        <w:t> </w:t>
      </w:r>
      <w:r>
        <w:rPr/>
        <w:t>202,</w:t>
      </w:r>
      <w:r>
        <w:rPr>
          <w:spacing w:val="-6"/>
        </w:rPr>
        <w:t> </w:t>
      </w:r>
      <w:r>
        <w:rPr/>
        <w:t>203,</w:t>
      </w:r>
      <w:r>
        <w:rPr>
          <w:spacing w:val="-3"/>
        </w:rPr>
        <w:t> </w:t>
      </w:r>
      <w:r>
        <w:rPr/>
        <w:t>204,</w:t>
      </w:r>
      <w:r>
        <w:rPr>
          <w:spacing w:val="-5"/>
        </w:rPr>
        <w:t> </w:t>
      </w:r>
      <w:r>
        <w:rPr/>
        <w:t>207,</w:t>
      </w:r>
      <w:r>
        <w:rPr>
          <w:spacing w:val="-6"/>
        </w:rPr>
        <w:t> </w:t>
      </w:r>
      <w:r>
        <w:rPr/>
        <w:t>208,</w:t>
      </w:r>
      <w:r>
        <w:rPr>
          <w:spacing w:val="-3"/>
        </w:rPr>
        <w:t> </w:t>
      </w:r>
      <w:r>
        <w:rPr/>
        <w:t>213,</w:t>
      </w:r>
      <w:r>
        <w:rPr>
          <w:spacing w:val="-5"/>
        </w:rPr>
        <w:t> </w:t>
      </w:r>
      <w:r>
        <w:rPr/>
        <w:t>and</w:t>
      </w:r>
      <w:r>
        <w:rPr>
          <w:spacing w:val="-4"/>
        </w:rPr>
        <w:t> </w:t>
      </w:r>
      <w:r>
        <w:rPr/>
        <w:t>303;</w:t>
      </w:r>
      <w:r>
        <w:rPr>
          <w:spacing w:val="-5"/>
        </w:rPr>
        <w:t> </w:t>
      </w:r>
      <w:r>
        <w:rPr/>
        <w:t>MAT</w:t>
      </w:r>
      <w:r>
        <w:rPr>
          <w:spacing w:val="-2"/>
        </w:rPr>
        <w:t> </w:t>
      </w:r>
      <w:r>
        <w:rPr/>
        <w:t>118;</w:t>
      </w:r>
      <w:r>
        <w:rPr>
          <w:spacing w:val="-4"/>
        </w:rPr>
        <w:t> </w:t>
      </w:r>
      <w:r>
        <w:rPr/>
        <w:t>PHY</w:t>
      </w:r>
      <w:r>
        <w:rPr>
          <w:spacing w:val="-6"/>
        </w:rPr>
        <w:t> </w:t>
      </w:r>
      <w:r>
        <w:rPr>
          <w:spacing w:val="-4"/>
        </w:rPr>
        <w:t>201.</w:t>
      </w:r>
    </w:p>
    <w:p>
      <w:pPr>
        <w:spacing w:before="118"/>
        <w:ind w:left="439" w:right="0" w:firstLine="0"/>
        <w:jc w:val="left"/>
        <w:rPr>
          <w:b/>
          <w:sz w:val="20"/>
        </w:rPr>
      </w:pPr>
      <w:r>
        <w:rPr>
          <w:b/>
          <w:sz w:val="20"/>
        </w:rPr>
        <w:t>Textbooks</w:t>
      </w:r>
      <w:r>
        <w:rPr>
          <w:b/>
          <w:spacing w:val="-11"/>
          <w:sz w:val="20"/>
        </w:rPr>
        <w:t> </w:t>
      </w:r>
      <w:r>
        <w:rPr>
          <w:b/>
          <w:sz w:val="20"/>
        </w:rPr>
        <w:t>/</w:t>
      </w:r>
      <w:r>
        <w:rPr>
          <w:b/>
          <w:spacing w:val="-9"/>
          <w:sz w:val="20"/>
        </w:rPr>
        <w:t> </w:t>
      </w:r>
      <w:r>
        <w:rPr>
          <w:b/>
          <w:sz w:val="20"/>
        </w:rPr>
        <w:t>Learning</w:t>
      </w:r>
      <w:r>
        <w:rPr>
          <w:b/>
          <w:spacing w:val="-5"/>
          <w:sz w:val="20"/>
        </w:rPr>
        <w:t> </w:t>
      </w:r>
      <w:r>
        <w:rPr>
          <w:b/>
          <w:spacing w:val="-2"/>
          <w:sz w:val="20"/>
        </w:rPr>
        <w:t>Resources</w:t>
      </w:r>
    </w:p>
    <w:p>
      <w:pPr>
        <w:spacing w:before="121"/>
        <w:ind w:left="1159" w:right="0" w:firstLine="0"/>
        <w:jc w:val="left"/>
        <w:rPr>
          <w:sz w:val="20"/>
        </w:rPr>
      </w:pPr>
      <w:r>
        <w:rPr>
          <w:sz w:val="20"/>
        </w:rPr>
        <w:t>Allen,</w:t>
      </w:r>
      <w:r>
        <w:rPr>
          <w:spacing w:val="-5"/>
          <w:sz w:val="20"/>
        </w:rPr>
        <w:t> </w:t>
      </w:r>
      <w:r>
        <w:rPr>
          <w:sz w:val="20"/>
        </w:rPr>
        <w:t>E</w:t>
      </w:r>
      <w:r>
        <w:rPr>
          <w:spacing w:val="-4"/>
          <w:sz w:val="20"/>
        </w:rPr>
        <w:t> </w:t>
      </w:r>
      <w:r>
        <w:rPr>
          <w:sz w:val="20"/>
        </w:rPr>
        <w:t>and</w:t>
      </w:r>
      <w:r>
        <w:rPr>
          <w:spacing w:val="-5"/>
          <w:sz w:val="20"/>
        </w:rPr>
        <w:t> </w:t>
      </w:r>
      <w:r>
        <w:rPr>
          <w:sz w:val="20"/>
        </w:rPr>
        <w:t>J.</w:t>
      </w:r>
      <w:r>
        <w:rPr>
          <w:spacing w:val="-6"/>
          <w:sz w:val="20"/>
        </w:rPr>
        <w:t> </w:t>
      </w:r>
      <w:r>
        <w:rPr>
          <w:sz w:val="20"/>
        </w:rPr>
        <w:t>Iano,</w:t>
      </w:r>
      <w:r>
        <w:rPr>
          <w:spacing w:val="-6"/>
          <w:sz w:val="20"/>
        </w:rPr>
        <w:t> </w:t>
      </w:r>
      <w:r>
        <w:rPr>
          <w:i/>
          <w:sz w:val="20"/>
        </w:rPr>
        <w:t>The</w:t>
      </w:r>
      <w:r>
        <w:rPr>
          <w:i/>
          <w:spacing w:val="-6"/>
          <w:sz w:val="20"/>
        </w:rPr>
        <w:t> </w:t>
      </w:r>
      <w:r>
        <w:rPr>
          <w:i/>
          <w:sz w:val="20"/>
        </w:rPr>
        <w:t>Architect’s</w:t>
      </w:r>
      <w:r>
        <w:rPr>
          <w:i/>
          <w:spacing w:val="-3"/>
          <w:sz w:val="20"/>
        </w:rPr>
        <w:t> </w:t>
      </w:r>
      <w:r>
        <w:rPr>
          <w:i/>
          <w:sz w:val="20"/>
        </w:rPr>
        <w:t>Studio</w:t>
      </w:r>
      <w:r>
        <w:rPr>
          <w:i/>
          <w:spacing w:val="-4"/>
          <w:sz w:val="20"/>
        </w:rPr>
        <w:t> </w:t>
      </w:r>
      <w:r>
        <w:rPr>
          <w:i/>
          <w:sz w:val="20"/>
        </w:rPr>
        <w:t>Companion</w:t>
      </w:r>
      <w:r>
        <w:rPr>
          <w:i/>
          <w:spacing w:val="-4"/>
          <w:sz w:val="20"/>
        </w:rPr>
        <w:t> </w:t>
      </w:r>
      <w:r>
        <w:rPr>
          <w:sz w:val="20"/>
        </w:rPr>
        <w:t>John</w:t>
      </w:r>
      <w:r>
        <w:rPr>
          <w:spacing w:val="-9"/>
          <w:sz w:val="20"/>
        </w:rPr>
        <w:t> </w:t>
      </w:r>
      <w:r>
        <w:rPr>
          <w:sz w:val="20"/>
        </w:rPr>
        <w:t>Wiley</w:t>
      </w:r>
      <w:r>
        <w:rPr>
          <w:spacing w:val="-9"/>
          <w:sz w:val="20"/>
        </w:rPr>
        <w:t> </w:t>
      </w:r>
      <w:r>
        <w:rPr>
          <w:sz w:val="20"/>
        </w:rPr>
        <w:t>and</w:t>
      </w:r>
      <w:r>
        <w:rPr>
          <w:spacing w:val="-5"/>
          <w:sz w:val="20"/>
        </w:rPr>
        <w:t> </w:t>
      </w:r>
      <w:r>
        <w:rPr>
          <w:sz w:val="20"/>
        </w:rPr>
        <w:t>Son</w:t>
      </w:r>
      <w:r>
        <w:rPr>
          <w:spacing w:val="-4"/>
          <w:sz w:val="20"/>
        </w:rPr>
        <w:t> </w:t>
      </w:r>
      <w:r>
        <w:rPr>
          <w:sz w:val="20"/>
        </w:rPr>
        <w:t>(Hobolken):</w:t>
      </w:r>
      <w:r>
        <w:rPr>
          <w:spacing w:val="-6"/>
          <w:sz w:val="20"/>
        </w:rPr>
        <w:t> </w:t>
      </w:r>
      <w:r>
        <w:rPr>
          <w:spacing w:val="-2"/>
          <w:sz w:val="20"/>
        </w:rPr>
        <w:t>2012.</w:t>
      </w:r>
    </w:p>
    <w:p>
      <w:pPr>
        <w:spacing w:before="120"/>
        <w:ind w:left="439" w:right="0" w:firstLine="0"/>
        <w:jc w:val="left"/>
        <w:rPr>
          <w:b/>
          <w:sz w:val="20"/>
        </w:rPr>
      </w:pPr>
      <w:r>
        <w:rPr>
          <w:b/>
          <w:sz w:val="20"/>
        </w:rPr>
        <w:t>Offered</w:t>
      </w:r>
      <w:r>
        <w:rPr>
          <w:b/>
          <w:spacing w:val="-10"/>
          <w:sz w:val="20"/>
        </w:rPr>
        <w:t> </w:t>
      </w:r>
      <w:r>
        <w:rPr>
          <w:b/>
          <w:spacing w:val="-2"/>
          <w:sz w:val="20"/>
        </w:rPr>
        <w:t>(terms):</w:t>
      </w:r>
    </w:p>
    <w:p>
      <w:pPr>
        <w:pStyle w:val="BodyText"/>
        <w:spacing w:before="123"/>
        <w:ind w:left="799"/>
      </w:pPr>
      <w:r>
        <w:rPr/>
        <w:t>Spring</w:t>
      </w:r>
      <w:r>
        <w:rPr>
          <w:spacing w:val="-8"/>
        </w:rPr>
        <w:t> </w:t>
      </w:r>
      <w:r>
        <w:rPr/>
        <w:t>Semester</w:t>
      </w:r>
      <w:r>
        <w:rPr>
          <w:spacing w:val="-8"/>
        </w:rPr>
        <w:t> </w:t>
      </w:r>
      <w:r>
        <w:rPr>
          <w:spacing w:val="-4"/>
        </w:rPr>
        <w:t>only</w:t>
      </w:r>
    </w:p>
    <w:p>
      <w:pPr>
        <w:spacing w:before="118"/>
        <w:ind w:left="439" w:right="0" w:firstLine="0"/>
        <w:jc w:val="left"/>
        <w:rPr>
          <w:b/>
          <w:sz w:val="20"/>
        </w:rPr>
      </w:pPr>
      <w:r>
        <w:rPr>
          <w:b/>
          <w:sz w:val="20"/>
        </w:rPr>
        <w:t>Faculty</w:t>
      </w:r>
      <w:r>
        <w:rPr>
          <w:b/>
          <w:spacing w:val="-8"/>
          <w:sz w:val="20"/>
        </w:rPr>
        <w:t> </w:t>
      </w:r>
      <w:r>
        <w:rPr>
          <w:b/>
          <w:spacing w:val="-2"/>
          <w:sz w:val="20"/>
        </w:rPr>
        <w:t>Assigned</w:t>
      </w:r>
    </w:p>
    <w:p>
      <w:pPr>
        <w:pStyle w:val="BodyText"/>
        <w:spacing w:before="120"/>
        <w:ind w:left="1159" w:right="5495"/>
      </w:pPr>
      <w:r>
        <w:rPr/>
        <w:t>2014</w:t>
      </w:r>
      <w:r>
        <w:rPr>
          <w:spacing w:val="-7"/>
        </w:rPr>
        <w:t> </w:t>
      </w:r>
      <w:r>
        <w:rPr/>
        <w:t>–</w:t>
      </w:r>
      <w:r>
        <w:rPr>
          <w:spacing w:val="-7"/>
        </w:rPr>
        <w:t> </w:t>
      </w:r>
      <w:r>
        <w:rPr/>
        <w:t>Andrews</w:t>
      </w:r>
      <w:r>
        <w:rPr>
          <w:spacing w:val="-8"/>
        </w:rPr>
        <w:t> </w:t>
      </w:r>
      <w:r>
        <w:rPr/>
        <w:t>(F/T),</w:t>
      </w:r>
      <w:r>
        <w:rPr>
          <w:spacing w:val="-9"/>
        </w:rPr>
        <w:t> </w:t>
      </w:r>
      <w:r>
        <w:rPr/>
        <w:t>Gindroz</w:t>
      </w:r>
      <w:r>
        <w:rPr>
          <w:spacing w:val="-11"/>
        </w:rPr>
        <w:t> </w:t>
      </w:r>
      <w:r>
        <w:rPr/>
        <w:t>(adjunct) 2013 – Andrews (F/T)</w:t>
      </w:r>
    </w:p>
    <w:p>
      <w:pPr>
        <w:spacing w:after="0"/>
        <w:sectPr>
          <w:headerReference w:type="default" r:id="rId205"/>
          <w:footerReference w:type="default" r:id="rId206"/>
          <w:pgSz w:w="12240" w:h="15840"/>
          <w:pgMar w:header="993" w:footer="974" w:top="1240" w:bottom="1160" w:left="1000" w:right="820"/>
        </w:sectPr>
      </w:pPr>
    </w:p>
    <w:p>
      <w:pPr>
        <w:spacing w:before="115"/>
        <w:ind w:left="440" w:right="0" w:firstLine="0"/>
        <w:jc w:val="left"/>
        <w:rPr>
          <w:b/>
          <w:sz w:val="20"/>
        </w:rPr>
      </w:pPr>
      <w:r>
        <w:rPr>
          <w:b/>
          <w:sz w:val="20"/>
        </w:rPr>
        <w:t>Course</w:t>
      </w:r>
      <w:r>
        <w:rPr>
          <w:b/>
          <w:spacing w:val="-9"/>
          <w:sz w:val="20"/>
        </w:rPr>
        <w:t> </w:t>
      </w:r>
      <w:r>
        <w:rPr>
          <w:b/>
          <w:sz w:val="20"/>
        </w:rPr>
        <w:t>Description</w:t>
      </w:r>
      <w:r>
        <w:rPr>
          <w:b/>
          <w:spacing w:val="-8"/>
          <w:sz w:val="20"/>
        </w:rPr>
        <w:t> </w:t>
      </w:r>
      <w:r>
        <w:rPr>
          <w:b/>
          <w:sz w:val="20"/>
        </w:rPr>
        <w:t>(limit</w:t>
      </w:r>
      <w:r>
        <w:rPr>
          <w:b/>
          <w:spacing w:val="-7"/>
          <w:sz w:val="20"/>
        </w:rPr>
        <w:t> </w:t>
      </w:r>
      <w:r>
        <w:rPr>
          <w:b/>
          <w:sz w:val="20"/>
        </w:rPr>
        <w:t>25</w:t>
      </w:r>
      <w:r>
        <w:rPr>
          <w:b/>
          <w:spacing w:val="-8"/>
          <w:sz w:val="20"/>
        </w:rPr>
        <w:t> </w:t>
      </w:r>
      <w:r>
        <w:rPr>
          <w:b/>
          <w:spacing w:val="-2"/>
          <w:sz w:val="20"/>
        </w:rPr>
        <w:t>words):</w:t>
      </w:r>
    </w:p>
    <w:p>
      <w:pPr>
        <w:pStyle w:val="BodyText"/>
        <w:spacing w:before="122"/>
        <w:ind w:left="1159" w:right="642"/>
      </w:pPr>
      <w:r>
        <w:rPr/>
        <w:t>Integration of material, systems and spatial elements of architectural design through projects of varying</w:t>
      </w:r>
      <w:r>
        <w:rPr>
          <w:spacing w:val="-5"/>
        </w:rPr>
        <w:t> </w:t>
      </w:r>
      <w:r>
        <w:rPr/>
        <w:t>scales</w:t>
      </w:r>
      <w:r>
        <w:rPr>
          <w:spacing w:val="-1"/>
        </w:rPr>
        <w:t> </w:t>
      </w:r>
      <w:r>
        <w:rPr/>
        <w:t>in</w:t>
      </w:r>
      <w:r>
        <w:rPr>
          <w:spacing w:val="-5"/>
        </w:rPr>
        <w:t> </w:t>
      </w:r>
      <w:r>
        <w:rPr/>
        <w:t>the</w:t>
      </w:r>
      <w:r>
        <w:rPr>
          <w:spacing w:val="-5"/>
        </w:rPr>
        <w:t> </w:t>
      </w:r>
      <w:r>
        <w:rPr/>
        <w:t>community</w:t>
      </w:r>
      <w:r>
        <w:rPr>
          <w:spacing w:val="-7"/>
        </w:rPr>
        <w:t> </w:t>
      </w:r>
      <w:r>
        <w:rPr/>
        <w:t>context.</w:t>
      </w:r>
      <w:r>
        <w:rPr>
          <w:spacing w:val="-5"/>
        </w:rPr>
        <w:t> </w:t>
      </w:r>
      <w:r>
        <w:rPr/>
        <w:t>Deepening</w:t>
      </w:r>
      <w:r>
        <w:rPr>
          <w:spacing w:val="-3"/>
        </w:rPr>
        <w:t> </w:t>
      </w:r>
      <w:r>
        <w:rPr/>
        <w:t>understanding</w:t>
      </w:r>
      <w:r>
        <w:rPr>
          <w:spacing w:val="-5"/>
        </w:rPr>
        <w:t> </w:t>
      </w:r>
      <w:r>
        <w:rPr/>
        <w:t>of</w:t>
      </w:r>
      <w:r>
        <w:rPr>
          <w:spacing w:val="-3"/>
        </w:rPr>
        <w:t> </w:t>
      </w:r>
      <w:r>
        <w:rPr/>
        <w:t>site</w:t>
      </w:r>
      <w:r>
        <w:rPr>
          <w:spacing w:val="-3"/>
        </w:rPr>
        <w:t> </w:t>
      </w:r>
      <w:r>
        <w:rPr/>
        <w:t>planning</w:t>
      </w:r>
      <w:r>
        <w:rPr>
          <w:spacing w:val="-5"/>
        </w:rPr>
        <w:t> </w:t>
      </w:r>
      <w:r>
        <w:rPr/>
        <w:t>and</w:t>
      </w:r>
      <w:r>
        <w:rPr>
          <w:spacing w:val="-5"/>
        </w:rPr>
        <w:t> </w:t>
      </w:r>
      <w:r>
        <w:rPr/>
        <w:t>tectonic </w:t>
      </w:r>
      <w:r>
        <w:rPr>
          <w:spacing w:val="-2"/>
        </w:rPr>
        <w:t>issues.</w:t>
      </w:r>
    </w:p>
    <w:p>
      <w:pPr>
        <w:spacing w:before="119"/>
        <w:ind w:left="440" w:right="0" w:firstLine="0"/>
        <w:jc w:val="left"/>
        <w:rPr>
          <w:b/>
          <w:sz w:val="20"/>
        </w:rPr>
      </w:pPr>
      <w:r>
        <w:rPr>
          <w:b/>
          <w:sz w:val="20"/>
        </w:rPr>
        <w:t>Course</w:t>
      </w:r>
      <w:r>
        <w:rPr>
          <w:b/>
          <w:spacing w:val="-9"/>
          <w:sz w:val="20"/>
        </w:rPr>
        <w:t> </w:t>
      </w:r>
      <w:r>
        <w:rPr>
          <w:b/>
          <w:sz w:val="20"/>
        </w:rPr>
        <w:t>Goals</w:t>
      </w:r>
      <w:r>
        <w:rPr>
          <w:b/>
          <w:spacing w:val="-7"/>
          <w:sz w:val="20"/>
        </w:rPr>
        <w:t> </w:t>
      </w:r>
      <w:r>
        <w:rPr>
          <w:b/>
          <w:sz w:val="20"/>
        </w:rPr>
        <w:t>and</w:t>
      </w:r>
      <w:r>
        <w:rPr>
          <w:b/>
          <w:spacing w:val="-5"/>
          <w:sz w:val="20"/>
        </w:rPr>
        <w:t> </w:t>
      </w:r>
      <w:r>
        <w:rPr>
          <w:b/>
          <w:spacing w:val="-2"/>
          <w:sz w:val="20"/>
        </w:rPr>
        <w:t>Objectives</w:t>
      </w:r>
    </w:p>
    <w:p>
      <w:pPr>
        <w:pStyle w:val="ListParagraph"/>
        <w:numPr>
          <w:ilvl w:val="0"/>
          <w:numId w:val="52"/>
        </w:numPr>
        <w:tabs>
          <w:tab w:pos="1400" w:val="left" w:leader="none"/>
        </w:tabs>
        <w:spacing w:line="240" w:lineRule="auto" w:before="121" w:after="0"/>
        <w:ind w:left="1399" w:right="1083" w:hanging="240"/>
        <w:jc w:val="left"/>
        <w:rPr>
          <w:sz w:val="20"/>
        </w:rPr>
      </w:pPr>
      <w:r>
        <w:rPr>
          <w:sz w:val="20"/>
        </w:rPr>
        <w:t>Knowledge/Critical Thinkings Skills: Site documentation and analysis for sites at several scales;</w:t>
      </w:r>
      <w:r>
        <w:rPr>
          <w:spacing w:val="-5"/>
          <w:sz w:val="20"/>
        </w:rPr>
        <w:t> </w:t>
      </w:r>
      <w:r>
        <w:rPr>
          <w:sz w:val="20"/>
        </w:rPr>
        <w:t>research</w:t>
      </w:r>
      <w:r>
        <w:rPr>
          <w:spacing w:val="-3"/>
          <w:sz w:val="20"/>
        </w:rPr>
        <w:t> </w:t>
      </w:r>
      <w:r>
        <w:rPr>
          <w:sz w:val="20"/>
        </w:rPr>
        <w:t>&amp;</w:t>
      </w:r>
      <w:r>
        <w:rPr>
          <w:spacing w:val="-6"/>
          <w:sz w:val="20"/>
        </w:rPr>
        <w:t> </w:t>
      </w:r>
      <w:r>
        <w:rPr>
          <w:sz w:val="20"/>
        </w:rPr>
        <w:t>client</w:t>
      </w:r>
      <w:r>
        <w:rPr>
          <w:spacing w:val="-3"/>
          <w:sz w:val="20"/>
        </w:rPr>
        <w:t> </w:t>
      </w:r>
      <w:r>
        <w:rPr>
          <w:sz w:val="20"/>
        </w:rPr>
        <w:t>interview</w:t>
      </w:r>
      <w:r>
        <w:rPr>
          <w:spacing w:val="-6"/>
          <w:sz w:val="20"/>
        </w:rPr>
        <w:t> </w:t>
      </w:r>
      <w:r>
        <w:rPr>
          <w:sz w:val="20"/>
        </w:rPr>
        <w:t>to</w:t>
      </w:r>
      <w:r>
        <w:rPr>
          <w:spacing w:val="-3"/>
          <w:sz w:val="20"/>
        </w:rPr>
        <w:t> </w:t>
      </w:r>
      <w:r>
        <w:rPr>
          <w:sz w:val="20"/>
        </w:rPr>
        <w:t>develop</w:t>
      </w:r>
      <w:r>
        <w:rPr>
          <w:spacing w:val="-5"/>
          <w:sz w:val="20"/>
        </w:rPr>
        <w:t> </w:t>
      </w:r>
      <w:r>
        <w:rPr>
          <w:sz w:val="20"/>
        </w:rPr>
        <w:t>moderately</w:t>
      </w:r>
      <w:r>
        <w:rPr>
          <w:spacing w:val="-7"/>
          <w:sz w:val="20"/>
        </w:rPr>
        <w:t> </w:t>
      </w:r>
      <w:r>
        <w:rPr>
          <w:sz w:val="20"/>
        </w:rPr>
        <w:t>complex</w:t>
      </w:r>
      <w:r>
        <w:rPr>
          <w:spacing w:val="-4"/>
          <w:sz w:val="20"/>
        </w:rPr>
        <w:t> </w:t>
      </w:r>
      <w:r>
        <w:rPr>
          <w:sz w:val="20"/>
        </w:rPr>
        <w:t>architectural</w:t>
      </w:r>
      <w:r>
        <w:rPr>
          <w:spacing w:val="-4"/>
          <w:sz w:val="20"/>
        </w:rPr>
        <w:t> </w:t>
      </w:r>
      <w:r>
        <w:rPr>
          <w:sz w:val="20"/>
        </w:rPr>
        <w:t>programs; research to select structural and materials systems; Extend knowledge of appropriate </w:t>
      </w:r>
      <w:r>
        <w:rPr>
          <w:spacing w:val="-2"/>
          <w:sz w:val="20"/>
        </w:rPr>
        <w:t>vocabulary.</w:t>
      </w:r>
    </w:p>
    <w:p>
      <w:pPr>
        <w:pStyle w:val="ListParagraph"/>
        <w:numPr>
          <w:ilvl w:val="0"/>
          <w:numId w:val="52"/>
        </w:numPr>
        <w:tabs>
          <w:tab w:pos="1400" w:val="left" w:leader="none"/>
        </w:tabs>
        <w:spacing w:line="240" w:lineRule="auto" w:before="122" w:after="0"/>
        <w:ind w:left="1399" w:right="694" w:hanging="240"/>
        <w:jc w:val="left"/>
        <w:rPr>
          <w:sz w:val="20"/>
        </w:rPr>
      </w:pPr>
      <w:r>
        <w:rPr>
          <w:sz w:val="20"/>
        </w:rPr>
        <w:t>Design</w:t>
      </w:r>
      <w:r>
        <w:rPr>
          <w:spacing w:val="-2"/>
          <w:sz w:val="20"/>
        </w:rPr>
        <w:t> </w:t>
      </w:r>
      <w:r>
        <w:rPr>
          <w:sz w:val="20"/>
        </w:rPr>
        <w:t>skills:Generate</w:t>
      </w:r>
      <w:r>
        <w:rPr>
          <w:spacing w:val="-4"/>
          <w:sz w:val="20"/>
        </w:rPr>
        <w:t> </w:t>
      </w:r>
      <w:r>
        <w:rPr>
          <w:sz w:val="20"/>
        </w:rPr>
        <w:t>architectural</w:t>
      </w:r>
      <w:r>
        <w:rPr>
          <w:spacing w:val="-5"/>
          <w:sz w:val="20"/>
        </w:rPr>
        <w:t> </w:t>
      </w:r>
      <w:r>
        <w:rPr>
          <w:sz w:val="20"/>
        </w:rPr>
        <w:t>and</w:t>
      </w:r>
      <w:r>
        <w:rPr>
          <w:spacing w:val="-4"/>
          <w:sz w:val="20"/>
        </w:rPr>
        <w:t> </w:t>
      </w:r>
      <w:r>
        <w:rPr>
          <w:sz w:val="20"/>
        </w:rPr>
        <w:t>site</w:t>
      </w:r>
      <w:r>
        <w:rPr>
          <w:spacing w:val="-4"/>
          <w:sz w:val="20"/>
        </w:rPr>
        <w:t> </w:t>
      </w:r>
      <w:r>
        <w:rPr>
          <w:sz w:val="20"/>
        </w:rPr>
        <w:t>design</w:t>
      </w:r>
      <w:r>
        <w:rPr>
          <w:spacing w:val="-4"/>
          <w:sz w:val="20"/>
        </w:rPr>
        <w:t> </w:t>
      </w:r>
      <w:r>
        <w:rPr>
          <w:sz w:val="20"/>
        </w:rPr>
        <w:t>for</w:t>
      </w:r>
      <w:r>
        <w:rPr>
          <w:spacing w:val="-3"/>
          <w:sz w:val="20"/>
        </w:rPr>
        <w:t> </w:t>
      </w:r>
      <w:r>
        <w:rPr>
          <w:sz w:val="20"/>
        </w:rPr>
        <w:t>urban</w:t>
      </w:r>
      <w:r>
        <w:rPr>
          <w:spacing w:val="-2"/>
          <w:sz w:val="20"/>
        </w:rPr>
        <w:t> </w:t>
      </w:r>
      <w:r>
        <w:rPr>
          <w:sz w:val="20"/>
        </w:rPr>
        <w:t>projects</w:t>
      </w:r>
      <w:r>
        <w:rPr>
          <w:spacing w:val="-3"/>
          <w:sz w:val="20"/>
        </w:rPr>
        <w:t> </w:t>
      </w:r>
      <w:r>
        <w:rPr>
          <w:sz w:val="20"/>
        </w:rPr>
        <w:t>at</w:t>
      </w:r>
      <w:r>
        <w:rPr>
          <w:spacing w:val="-4"/>
          <w:sz w:val="20"/>
        </w:rPr>
        <w:t> </w:t>
      </w:r>
      <w:r>
        <w:rPr>
          <w:sz w:val="20"/>
        </w:rPr>
        <w:t>different</w:t>
      </w:r>
      <w:r>
        <w:rPr>
          <w:spacing w:val="-4"/>
          <w:sz w:val="20"/>
        </w:rPr>
        <w:t> </w:t>
      </w:r>
      <w:r>
        <w:rPr>
          <w:sz w:val="20"/>
        </w:rPr>
        <w:t>scales</w:t>
      </w:r>
      <w:r>
        <w:rPr>
          <w:spacing w:val="-3"/>
          <w:sz w:val="20"/>
        </w:rPr>
        <w:t> </w:t>
      </w:r>
      <w:r>
        <w:rPr>
          <w:sz w:val="20"/>
        </w:rPr>
        <w:t>as</w:t>
      </w:r>
      <w:r>
        <w:rPr>
          <w:spacing w:val="-3"/>
          <w:sz w:val="20"/>
        </w:rPr>
        <w:t> </w:t>
      </w:r>
      <w:r>
        <w:rPr>
          <w:sz w:val="20"/>
        </w:rPr>
        <w:t>an iterative process. Plan basic building systems, passive and active environmental systems. Integrate resolution of life safety and ADA issues.</w:t>
      </w:r>
    </w:p>
    <w:p>
      <w:pPr>
        <w:pStyle w:val="ListParagraph"/>
        <w:numPr>
          <w:ilvl w:val="0"/>
          <w:numId w:val="52"/>
        </w:numPr>
        <w:tabs>
          <w:tab w:pos="1400" w:val="left" w:leader="none"/>
        </w:tabs>
        <w:spacing w:line="240" w:lineRule="auto" w:before="119" w:after="0"/>
        <w:ind w:left="1399" w:right="663" w:hanging="240"/>
        <w:jc w:val="left"/>
        <w:rPr>
          <w:sz w:val="20"/>
        </w:rPr>
      </w:pPr>
      <w:r>
        <w:rPr>
          <w:sz w:val="20"/>
        </w:rPr>
        <w:t>Representation</w:t>
      </w:r>
      <w:r>
        <w:rPr>
          <w:spacing w:val="-5"/>
          <w:sz w:val="20"/>
        </w:rPr>
        <w:t> </w:t>
      </w:r>
      <w:r>
        <w:rPr>
          <w:sz w:val="20"/>
        </w:rPr>
        <w:t>skills:</w:t>
      </w:r>
      <w:r>
        <w:rPr>
          <w:spacing w:val="-3"/>
          <w:sz w:val="20"/>
        </w:rPr>
        <w:t> </w:t>
      </w:r>
      <w:r>
        <w:rPr>
          <w:sz w:val="20"/>
        </w:rPr>
        <w:t>Physical</w:t>
      </w:r>
      <w:r>
        <w:rPr>
          <w:spacing w:val="-6"/>
          <w:sz w:val="20"/>
        </w:rPr>
        <w:t> </w:t>
      </w:r>
      <w:r>
        <w:rPr>
          <w:sz w:val="20"/>
        </w:rPr>
        <w:t>and</w:t>
      </w:r>
      <w:r>
        <w:rPr>
          <w:spacing w:val="-5"/>
          <w:sz w:val="20"/>
        </w:rPr>
        <w:t> </w:t>
      </w:r>
      <w:r>
        <w:rPr>
          <w:sz w:val="20"/>
        </w:rPr>
        <w:t>digital</w:t>
      </w:r>
      <w:r>
        <w:rPr>
          <w:spacing w:val="-6"/>
          <w:sz w:val="20"/>
        </w:rPr>
        <w:t> </w:t>
      </w:r>
      <w:r>
        <w:rPr>
          <w:sz w:val="20"/>
        </w:rPr>
        <w:t>models</w:t>
      </w:r>
      <w:r>
        <w:rPr>
          <w:spacing w:val="-4"/>
          <w:sz w:val="20"/>
        </w:rPr>
        <w:t> </w:t>
      </w:r>
      <w:r>
        <w:rPr>
          <w:sz w:val="20"/>
        </w:rPr>
        <w:t>to</w:t>
      </w:r>
      <w:r>
        <w:rPr>
          <w:spacing w:val="-3"/>
          <w:sz w:val="20"/>
        </w:rPr>
        <w:t> </w:t>
      </w:r>
      <w:r>
        <w:rPr>
          <w:sz w:val="20"/>
        </w:rPr>
        <w:t>analyze</w:t>
      </w:r>
      <w:r>
        <w:rPr>
          <w:spacing w:val="-3"/>
          <w:sz w:val="20"/>
        </w:rPr>
        <w:t> </w:t>
      </w:r>
      <w:r>
        <w:rPr>
          <w:sz w:val="20"/>
        </w:rPr>
        <w:t>and</w:t>
      </w:r>
      <w:r>
        <w:rPr>
          <w:spacing w:val="-5"/>
          <w:sz w:val="20"/>
        </w:rPr>
        <w:t> </w:t>
      </w:r>
      <w:r>
        <w:rPr>
          <w:sz w:val="20"/>
        </w:rPr>
        <w:t>represent</w:t>
      </w:r>
      <w:r>
        <w:rPr>
          <w:spacing w:val="-5"/>
          <w:sz w:val="20"/>
        </w:rPr>
        <w:t> </w:t>
      </w:r>
      <w:r>
        <w:rPr>
          <w:sz w:val="20"/>
        </w:rPr>
        <w:t>urban</w:t>
      </w:r>
      <w:r>
        <w:rPr>
          <w:spacing w:val="-3"/>
          <w:sz w:val="20"/>
        </w:rPr>
        <w:t> </w:t>
      </w:r>
      <w:r>
        <w:rPr>
          <w:sz w:val="20"/>
        </w:rPr>
        <w:t>design</w:t>
      </w:r>
      <w:r>
        <w:rPr>
          <w:spacing w:val="-5"/>
          <w:sz w:val="20"/>
        </w:rPr>
        <w:t> </w:t>
      </w:r>
      <w:r>
        <w:rPr>
          <w:sz w:val="20"/>
        </w:rPr>
        <w:t>sites; design in plan, section, and elevation, beginning with esquisse following parti; Diagramming and freehand sketching leading to drawing sets following architectural conventions of practice as well as presentation drawings.</w:t>
      </w:r>
    </w:p>
    <w:p>
      <w:pPr>
        <w:pStyle w:val="ListParagraph"/>
        <w:numPr>
          <w:ilvl w:val="0"/>
          <w:numId w:val="52"/>
        </w:numPr>
        <w:tabs>
          <w:tab w:pos="1400" w:val="left" w:leader="none"/>
        </w:tabs>
        <w:spacing w:line="240" w:lineRule="auto" w:before="122" w:after="0"/>
        <w:ind w:left="1399" w:right="1073" w:hanging="240"/>
        <w:jc w:val="left"/>
        <w:rPr>
          <w:sz w:val="20"/>
        </w:rPr>
      </w:pPr>
      <w:r>
        <w:rPr>
          <w:sz w:val="20"/>
        </w:rPr>
        <w:t>Communication</w:t>
      </w:r>
      <w:r>
        <w:rPr>
          <w:spacing w:val="-3"/>
          <w:sz w:val="20"/>
        </w:rPr>
        <w:t> </w:t>
      </w:r>
      <w:r>
        <w:rPr>
          <w:sz w:val="20"/>
        </w:rPr>
        <w:t>Skills:</w:t>
      </w:r>
      <w:r>
        <w:rPr>
          <w:spacing w:val="-4"/>
          <w:sz w:val="20"/>
        </w:rPr>
        <w:t> </w:t>
      </w:r>
      <w:r>
        <w:rPr>
          <w:sz w:val="20"/>
        </w:rPr>
        <w:t>Develop</w:t>
      </w:r>
      <w:r>
        <w:rPr>
          <w:spacing w:val="-4"/>
          <w:sz w:val="20"/>
        </w:rPr>
        <w:t> </w:t>
      </w:r>
      <w:r>
        <w:rPr>
          <w:sz w:val="20"/>
        </w:rPr>
        <w:t>project</w:t>
      </w:r>
      <w:r>
        <w:rPr>
          <w:spacing w:val="-4"/>
          <w:sz w:val="20"/>
        </w:rPr>
        <w:t> </w:t>
      </w:r>
      <w:r>
        <w:rPr>
          <w:sz w:val="20"/>
        </w:rPr>
        <w:t>briefs,</w:t>
      </w:r>
      <w:r>
        <w:rPr>
          <w:spacing w:val="-4"/>
          <w:sz w:val="20"/>
        </w:rPr>
        <w:t> </w:t>
      </w:r>
      <w:r>
        <w:rPr>
          <w:sz w:val="20"/>
        </w:rPr>
        <w:t>Orally</w:t>
      </w:r>
      <w:r>
        <w:rPr>
          <w:spacing w:val="-7"/>
          <w:sz w:val="20"/>
        </w:rPr>
        <w:t> </w:t>
      </w:r>
      <w:r>
        <w:rPr>
          <w:sz w:val="20"/>
        </w:rPr>
        <w:t>and</w:t>
      </w:r>
      <w:r>
        <w:rPr>
          <w:spacing w:val="-4"/>
          <w:sz w:val="20"/>
        </w:rPr>
        <w:t> </w:t>
      </w:r>
      <w:r>
        <w:rPr>
          <w:sz w:val="20"/>
        </w:rPr>
        <w:t>in</w:t>
      </w:r>
      <w:r>
        <w:rPr>
          <w:spacing w:val="-3"/>
          <w:sz w:val="20"/>
        </w:rPr>
        <w:t> </w:t>
      </w:r>
      <w:r>
        <w:rPr>
          <w:sz w:val="20"/>
        </w:rPr>
        <w:t>writing</w:t>
      </w:r>
      <w:r>
        <w:rPr>
          <w:spacing w:val="-4"/>
          <w:sz w:val="20"/>
        </w:rPr>
        <w:t> </w:t>
      </w:r>
      <w:r>
        <w:rPr>
          <w:sz w:val="20"/>
        </w:rPr>
        <w:t>present</w:t>
      </w:r>
      <w:r>
        <w:rPr>
          <w:spacing w:val="-4"/>
          <w:sz w:val="20"/>
        </w:rPr>
        <w:t> </w:t>
      </w:r>
      <w:r>
        <w:rPr>
          <w:sz w:val="20"/>
        </w:rPr>
        <w:t>design</w:t>
      </w:r>
      <w:r>
        <w:rPr>
          <w:spacing w:val="-3"/>
          <w:sz w:val="20"/>
        </w:rPr>
        <w:t> </w:t>
      </w:r>
      <w:r>
        <w:rPr>
          <w:sz w:val="20"/>
        </w:rPr>
        <w:t>projects clearly and concisely</w:t>
      </w:r>
    </w:p>
    <w:p>
      <w:pPr>
        <w:spacing w:before="116"/>
        <w:ind w:left="494" w:right="0" w:firstLine="0"/>
        <w:jc w:val="left"/>
        <w:rPr>
          <w:b/>
          <w:sz w:val="20"/>
        </w:rPr>
      </w:pPr>
      <w:r>
        <w:rPr>
          <w:b/>
          <w:sz w:val="20"/>
        </w:rPr>
        <w:t>Student</w:t>
      </w:r>
      <w:r>
        <w:rPr>
          <w:b/>
          <w:spacing w:val="-9"/>
          <w:sz w:val="20"/>
        </w:rPr>
        <w:t> </w:t>
      </w:r>
      <w:r>
        <w:rPr>
          <w:b/>
          <w:sz w:val="20"/>
        </w:rPr>
        <w:t>Performance</w:t>
      </w:r>
      <w:r>
        <w:rPr>
          <w:b/>
          <w:spacing w:val="-9"/>
          <w:sz w:val="20"/>
        </w:rPr>
        <w:t> </w:t>
      </w:r>
      <w:r>
        <w:rPr>
          <w:b/>
          <w:sz w:val="20"/>
        </w:rPr>
        <w:t>Criteria</w:t>
      </w:r>
      <w:r>
        <w:rPr>
          <w:b/>
          <w:spacing w:val="-5"/>
          <w:sz w:val="20"/>
        </w:rPr>
        <w:t> </w:t>
      </w:r>
      <w:r>
        <w:rPr>
          <w:b/>
          <w:sz w:val="20"/>
        </w:rPr>
        <w:t>Addressed</w:t>
      </w:r>
      <w:r>
        <w:rPr>
          <w:b/>
          <w:spacing w:val="-9"/>
          <w:sz w:val="20"/>
        </w:rPr>
        <w:t> </w:t>
      </w:r>
      <w:r>
        <w:rPr>
          <w:b/>
          <w:sz w:val="20"/>
        </w:rPr>
        <w:t>(name</w:t>
      </w:r>
      <w:r>
        <w:rPr>
          <w:b/>
          <w:spacing w:val="-7"/>
          <w:sz w:val="20"/>
        </w:rPr>
        <w:t> </w:t>
      </w:r>
      <w:r>
        <w:rPr>
          <w:b/>
          <w:sz w:val="20"/>
        </w:rPr>
        <w:t>and</w:t>
      </w:r>
      <w:r>
        <w:rPr>
          <w:b/>
          <w:spacing w:val="-9"/>
          <w:sz w:val="20"/>
        </w:rPr>
        <w:t> </w:t>
      </w:r>
      <w:r>
        <w:rPr>
          <w:b/>
          <w:spacing w:val="-2"/>
          <w:sz w:val="20"/>
        </w:rPr>
        <w:t>number)</w:t>
      </w:r>
    </w:p>
    <w:p>
      <w:pPr>
        <w:pStyle w:val="BodyText"/>
        <w:spacing w:before="1"/>
        <w:rPr>
          <w:b/>
          <w:sz w:val="21"/>
        </w:rPr>
      </w:pPr>
    </w:p>
    <w:p>
      <w:pPr>
        <w:pStyle w:val="BodyText"/>
        <w:ind w:left="1159" w:right="712"/>
      </w:pPr>
      <w:r>
        <w:rPr/>
        <w:t>Mastery of : A2) Design Thinking Sills, !# Visual Communication Skills, A7 Use of Precedents, B1)</w:t>
      </w:r>
      <w:r>
        <w:rPr>
          <w:spacing w:val="-4"/>
        </w:rPr>
        <w:t> </w:t>
      </w:r>
      <w:r>
        <w:rPr/>
        <w:t>Predesign,</w:t>
      </w:r>
      <w:r>
        <w:rPr>
          <w:spacing w:val="-3"/>
        </w:rPr>
        <w:t> </w:t>
      </w:r>
      <w:r>
        <w:rPr/>
        <w:t>B2)</w:t>
      </w:r>
      <w:r>
        <w:rPr>
          <w:spacing w:val="-2"/>
        </w:rPr>
        <w:t> </w:t>
      </w:r>
      <w:r>
        <w:rPr/>
        <w:t>Accessibility,</w:t>
      </w:r>
      <w:r>
        <w:rPr>
          <w:spacing w:val="-3"/>
        </w:rPr>
        <w:t> </w:t>
      </w:r>
      <w:r>
        <w:rPr/>
        <w:t>B3</w:t>
      </w:r>
      <w:r>
        <w:rPr>
          <w:spacing w:val="-3"/>
        </w:rPr>
        <w:t> </w:t>
      </w:r>
      <w:r>
        <w:rPr/>
        <w:t>Sustainability,</w:t>
      </w:r>
      <w:r>
        <w:rPr>
          <w:spacing w:val="-3"/>
        </w:rPr>
        <w:t> </w:t>
      </w:r>
      <w:r>
        <w:rPr/>
        <w:t>B4,</w:t>
      </w:r>
      <w:r>
        <w:rPr>
          <w:spacing w:val="-3"/>
        </w:rPr>
        <w:t> </w:t>
      </w:r>
      <w:r>
        <w:rPr/>
        <w:t>Site</w:t>
      </w:r>
      <w:r>
        <w:rPr>
          <w:spacing w:val="-5"/>
        </w:rPr>
        <w:t> </w:t>
      </w:r>
      <w:r>
        <w:rPr/>
        <w:t>Design,</w:t>
      </w:r>
      <w:r>
        <w:rPr>
          <w:spacing w:val="-3"/>
        </w:rPr>
        <w:t> </w:t>
      </w:r>
      <w:r>
        <w:rPr/>
        <w:t>B5,</w:t>
      </w:r>
      <w:r>
        <w:rPr>
          <w:spacing w:val="-5"/>
        </w:rPr>
        <w:t> </w:t>
      </w:r>
      <w:r>
        <w:rPr/>
        <w:t>Live</w:t>
      </w:r>
      <w:r>
        <w:rPr>
          <w:spacing w:val="-3"/>
        </w:rPr>
        <w:t> </w:t>
      </w:r>
      <w:r>
        <w:rPr/>
        <w:t>Safety.</w:t>
      </w:r>
      <w:r>
        <w:rPr>
          <w:spacing w:val="40"/>
        </w:rPr>
        <w:t> </w:t>
      </w:r>
      <w:r>
        <w:rPr/>
        <w:t>In</w:t>
      </w:r>
      <w:r>
        <w:rPr>
          <w:spacing w:val="-5"/>
        </w:rPr>
        <w:t> </w:t>
      </w:r>
      <w:r>
        <w:rPr/>
        <w:t>addition this studio in general proposes students exit with mastery of B10? Building Envelope Systems, B12, Building Materials and Assemblies; i</w:t>
      </w:r>
    </w:p>
    <w:p>
      <w:pPr>
        <w:pStyle w:val="BodyText"/>
        <w:spacing w:before="119"/>
        <w:ind w:left="1159" w:right="642"/>
      </w:pPr>
      <w:r>
        <w:rPr/>
        <w:t>Deepening</w:t>
      </w:r>
      <w:r>
        <w:rPr>
          <w:spacing w:val="-4"/>
        </w:rPr>
        <w:t> </w:t>
      </w:r>
      <w:r>
        <w:rPr/>
        <w:t>understanding</w:t>
      </w:r>
      <w:r>
        <w:rPr>
          <w:spacing w:val="-4"/>
        </w:rPr>
        <w:t> </w:t>
      </w:r>
      <w:r>
        <w:rPr/>
        <w:t>of</w:t>
      </w:r>
      <w:r>
        <w:rPr>
          <w:spacing w:val="-4"/>
        </w:rPr>
        <w:t> </w:t>
      </w:r>
      <w:r>
        <w:rPr/>
        <w:t>and</w:t>
      </w:r>
      <w:r>
        <w:rPr>
          <w:spacing w:val="-6"/>
        </w:rPr>
        <w:t> </w:t>
      </w:r>
      <w:r>
        <w:rPr/>
        <w:t>facility</w:t>
      </w:r>
      <w:r>
        <w:rPr>
          <w:spacing w:val="-6"/>
        </w:rPr>
        <w:t> </w:t>
      </w:r>
      <w:r>
        <w:rPr/>
        <w:t>with:</w:t>
      </w:r>
      <w:r>
        <w:rPr>
          <w:spacing w:val="-4"/>
        </w:rPr>
        <w:t> </w:t>
      </w:r>
      <w:r>
        <w:rPr/>
        <w:t>A11</w:t>
      </w:r>
      <w:r>
        <w:rPr>
          <w:spacing w:val="-4"/>
        </w:rPr>
        <w:t> </w:t>
      </w:r>
      <w:r>
        <w:rPr/>
        <w:t>Applied</w:t>
      </w:r>
      <w:r>
        <w:rPr>
          <w:spacing w:val="-6"/>
        </w:rPr>
        <w:t> </w:t>
      </w:r>
      <w:r>
        <w:rPr/>
        <w:t>Research,</w:t>
      </w:r>
      <w:r>
        <w:rPr>
          <w:spacing w:val="-4"/>
        </w:rPr>
        <w:t> </w:t>
      </w:r>
      <w:r>
        <w:rPr/>
        <w:t>B6)</w:t>
      </w:r>
      <w:r>
        <w:rPr>
          <w:spacing w:val="-5"/>
        </w:rPr>
        <w:t> </w:t>
      </w:r>
      <w:r>
        <w:rPr/>
        <w:t>Comprehensive</w:t>
      </w:r>
      <w:r>
        <w:rPr>
          <w:spacing w:val="-6"/>
        </w:rPr>
        <w:t> </w:t>
      </w:r>
      <w:r>
        <w:rPr/>
        <w:t>design, B8 Environmental Considerations, B9) Structural Systems, C1) Collaboration, C2) Human Behavior, C3) Client Role.</w:t>
      </w:r>
      <w:r>
        <w:rPr>
          <w:spacing w:val="40"/>
        </w:rPr>
        <w:t> </w:t>
      </w:r>
      <w:r>
        <w:rPr/>
        <w:t>Finally, NAAB expects students in ARC 304 to be exposed to, and begin to develop an understanding of A4) Technical Documentation, A5) Investigative Skills, C6) Leadership, C7) Legal Responsibilities, C8) Ethics and Professional Judgment and and C9) community and Social Responsibility.</w:t>
      </w:r>
    </w:p>
    <w:p>
      <w:pPr>
        <w:spacing w:before="118"/>
        <w:ind w:left="439" w:right="0" w:firstLine="0"/>
        <w:jc w:val="left"/>
        <w:rPr>
          <w:b/>
          <w:sz w:val="20"/>
        </w:rPr>
      </w:pPr>
      <w:r>
        <w:rPr>
          <w:b/>
          <w:sz w:val="20"/>
        </w:rPr>
        <w:t>Topical</w:t>
      </w:r>
      <w:r>
        <w:rPr>
          <w:b/>
          <w:spacing w:val="-7"/>
          <w:sz w:val="20"/>
        </w:rPr>
        <w:t> </w:t>
      </w:r>
      <w:r>
        <w:rPr>
          <w:b/>
          <w:sz w:val="20"/>
        </w:rPr>
        <w:t>Outline</w:t>
      </w:r>
      <w:r>
        <w:rPr>
          <w:b/>
          <w:spacing w:val="-7"/>
          <w:sz w:val="20"/>
        </w:rPr>
        <w:t> </w:t>
      </w:r>
      <w:r>
        <w:rPr>
          <w:b/>
          <w:sz w:val="20"/>
        </w:rPr>
        <w:t>and</w:t>
      </w:r>
      <w:r>
        <w:rPr>
          <w:b/>
          <w:spacing w:val="-6"/>
          <w:sz w:val="20"/>
        </w:rPr>
        <w:t> </w:t>
      </w:r>
      <w:r>
        <w:rPr>
          <w:b/>
          <w:sz w:val="20"/>
        </w:rPr>
        <w:t>percentage</w:t>
      </w:r>
      <w:r>
        <w:rPr>
          <w:b/>
          <w:spacing w:val="-7"/>
          <w:sz w:val="20"/>
        </w:rPr>
        <w:t> </w:t>
      </w:r>
      <w:r>
        <w:rPr>
          <w:b/>
          <w:sz w:val="20"/>
        </w:rPr>
        <w:t>of</w:t>
      </w:r>
      <w:r>
        <w:rPr>
          <w:b/>
          <w:spacing w:val="-6"/>
          <w:sz w:val="20"/>
        </w:rPr>
        <w:t> </w:t>
      </w:r>
      <w:r>
        <w:rPr>
          <w:b/>
          <w:sz w:val="20"/>
        </w:rPr>
        <w:t>time</w:t>
      </w:r>
      <w:r>
        <w:rPr>
          <w:b/>
          <w:spacing w:val="-6"/>
          <w:sz w:val="20"/>
        </w:rPr>
        <w:t> </w:t>
      </w:r>
      <w:r>
        <w:rPr>
          <w:b/>
          <w:sz w:val="20"/>
        </w:rPr>
        <w:t>spent</w:t>
      </w:r>
      <w:r>
        <w:rPr>
          <w:b/>
          <w:spacing w:val="-6"/>
          <w:sz w:val="20"/>
        </w:rPr>
        <w:t> </w:t>
      </w:r>
      <w:r>
        <w:rPr>
          <w:b/>
          <w:sz w:val="20"/>
        </w:rPr>
        <w:t>on</w:t>
      </w:r>
      <w:r>
        <w:rPr>
          <w:b/>
          <w:spacing w:val="-4"/>
          <w:sz w:val="20"/>
        </w:rPr>
        <w:t> each</w:t>
      </w:r>
    </w:p>
    <w:p>
      <w:pPr>
        <w:pStyle w:val="BodyText"/>
        <w:spacing w:before="2"/>
        <w:rPr>
          <w:b/>
          <w:sz w:val="21"/>
        </w:rPr>
      </w:pPr>
    </w:p>
    <w:p>
      <w:pPr>
        <w:pStyle w:val="BodyText"/>
        <w:ind w:left="1158" w:right="642"/>
      </w:pPr>
      <w:r>
        <w:rPr/>
        <w:t>Meetings/interviews research with “clients,” stakeholders, and civic officials (5%), Three architectural design projects in urban settings in Norfolk, VA (70&amp;), Precedent analysis (5%), observational drawing/documentation at sites (5%), Mini reviews of building systems and materials</w:t>
      </w:r>
      <w:r>
        <w:rPr>
          <w:spacing w:val="-3"/>
        </w:rPr>
        <w:t> </w:t>
      </w:r>
      <w:r>
        <w:rPr/>
        <w:t>as</w:t>
      </w:r>
      <w:r>
        <w:rPr>
          <w:spacing w:val="-3"/>
        </w:rPr>
        <w:t> </w:t>
      </w:r>
      <w:r>
        <w:rPr/>
        <w:t>part</w:t>
      </w:r>
      <w:r>
        <w:rPr>
          <w:spacing w:val="-2"/>
        </w:rPr>
        <w:t> </w:t>
      </w:r>
      <w:r>
        <w:rPr/>
        <w:t>of</w:t>
      </w:r>
      <w:r>
        <w:rPr>
          <w:spacing w:val="-2"/>
        </w:rPr>
        <w:t> </w:t>
      </w:r>
      <w:r>
        <w:rPr/>
        <w:t>design process</w:t>
      </w:r>
      <w:r>
        <w:rPr>
          <w:spacing w:val="-3"/>
        </w:rPr>
        <w:t> </w:t>
      </w:r>
      <w:r>
        <w:rPr/>
        <w:t>(5%),</w:t>
      </w:r>
      <w:r>
        <w:rPr>
          <w:spacing w:val="-4"/>
        </w:rPr>
        <w:t> </w:t>
      </w:r>
      <w:r>
        <w:rPr/>
        <w:t>physical</w:t>
      </w:r>
      <w:r>
        <w:rPr>
          <w:spacing w:val="-3"/>
        </w:rPr>
        <w:t> </w:t>
      </w:r>
      <w:r>
        <w:rPr/>
        <w:t>and</w:t>
      </w:r>
      <w:r>
        <w:rPr>
          <w:spacing w:val="-2"/>
        </w:rPr>
        <w:t> </w:t>
      </w:r>
      <w:r>
        <w:rPr/>
        <w:t>digital</w:t>
      </w:r>
      <w:r>
        <w:rPr>
          <w:spacing w:val="-5"/>
        </w:rPr>
        <w:t> </w:t>
      </w:r>
      <w:r>
        <w:rPr/>
        <w:t>model</w:t>
      </w:r>
      <w:r>
        <w:rPr>
          <w:spacing w:val="-3"/>
        </w:rPr>
        <w:t> </w:t>
      </w:r>
      <w:r>
        <w:rPr/>
        <w:t>building</w:t>
      </w:r>
      <w:r>
        <w:rPr>
          <w:spacing w:val="-2"/>
        </w:rPr>
        <w:t> </w:t>
      </w:r>
      <w:r>
        <w:rPr/>
        <w:t>(5%),</w:t>
      </w:r>
      <w:r>
        <w:rPr>
          <w:spacing w:val="-4"/>
        </w:rPr>
        <w:t> </w:t>
      </w:r>
      <w:r>
        <w:rPr/>
        <w:t>analytic</w:t>
      </w:r>
      <w:r>
        <w:rPr>
          <w:spacing w:val="-3"/>
        </w:rPr>
        <w:t> </w:t>
      </w:r>
      <w:r>
        <w:rPr/>
        <w:t>and presentation drawing (5%).</w:t>
      </w:r>
    </w:p>
    <w:p>
      <w:pPr>
        <w:spacing w:before="117"/>
        <w:ind w:left="439" w:right="0" w:firstLine="0"/>
        <w:jc w:val="left"/>
        <w:rPr>
          <w:b/>
          <w:sz w:val="20"/>
        </w:rPr>
      </w:pPr>
      <w:r>
        <w:rPr>
          <w:b/>
          <w:w w:val="95"/>
          <w:sz w:val="20"/>
        </w:rPr>
        <w:t>Pre-</w:t>
      </w:r>
      <w:r>
        <w:rPr>
          <w:b/>
          <w:spacing w:val="-2"/>
          <w:sz w:val="20"/>
        </w:rPr>
        <w:t>requisites</w:t>
      </w:r>
    </w:p>
    <w:p>
      <w:pPr>
        <w:pStyle w:val="BodyText"/>
        <w:spacing w:before="3"/>
        <w:ind w:left="1158"/>
      </w:pPr>
      <w:r>
        <w:rPr/>
        <w:t>ARC</w:t>
      </w:r>
      <w:r>
        <w:rPr>
          <w:spacing w:val="-6"/>
        </w:rPr>
        <w:t> </w:t>
      </w:r>
      <w:r>
        <w:rPr/>
        <w:t>101,</w:t>
      </w:r>
      <w:r>
        <w:rPr>
          <w:spacing w:val="-3"/>
        </w:rPr>
        <w:t> </w:t>
      </w:r>
      <w:r>
        <w:rPr/>
        <w:t>102,</w:t>
      </w:r>
      <w:r>
        <w:rPr>
          <w:spacing w:val="-5"/>
        </w:rPr>
        <w:t> </w:t>
      </w:r>
      <w:r>
        <w:rPr/>
        <w:t>200,</w:t>
      </w:r>
      <w:r>
        <w:rPr>
          <w:spacing w:val="-4"/>
        </w:rPr>
        <w:t> </w:t>
      </w:r>
      <w:r>
        <w:rPr/>
        <w:t>201,</w:t>
      </w:r>
      <w:r>
        <w:rPr>
          <w:spacing w:val="-3"/>
        </w:rPr>
        <w:t> </w:t>
      </w:r>
      <w:r>
        <w:rPr/>
        <w:t>202,</w:t>
      </w:r>
      <w:r>
        <w:rPr>
          <w:spacing w:val="-6"/>
        </w:rPr>
        <w:t> </w:t>
      </w:r>
      <w:r>
        <w:rPr/>
        <w:t>203,</w:t>
      </w:r>
      <w:r>
        <w:rPr>
          <w:spacing w:val="-3"/>
        </w:rPr>
        <w:t> </w:t>
      </w:r>
      <w:r>
        <w:rPr/>
        <w:t>204,</w:t>
      </w:r>
      <w:r>
        <w:rPr>
          <w:spacing w:val="-5"/>
        </w:rPr>
        <w:t> </w:t>
      </w:r>
      <w:r>
        <w:rPr/>
        <w:t>207,</w:t>
      </w:r>
      <w:r>
        <w:rPr>
          <w:spacing w:val="-6"/>
        </w:rPr>
        <w:t> </w:t>
      </w:r>
      <w:r>
        <w:rPr/>
        <w:t>208,</w:t>
      </w:r>
      <w:r>
        <w:rPr>
          <w:spacing w:val="-3"/>
        </w:rPr>
        <w:t> </w:t>
      </w:r>
      <w:r>
        <w:rPr/>
        <w:t>213,</w:t>
      </w:r>
      <w:r>
        <w:rPr>
          <w:spacing w:val="-5"/>
        </w:rPr>
        <w:t> </w:t>
      </w:r>
      <w:r>
        <w:rPr/>
        <w:t>and</w:t>
      </w:r>
      <w:r>
        <w:rPr>
          <w:spacing w:val="-4"/>
        </w:rPr>
        <w:t> </w:t>
      </w:r>
      <w:r>
        <w:rPr/>
        <w:t>303;</w:t>
      </w:r>
      <w:r>
        <w:rPr>
          <w:spacing w:val="-5"/>
        </w:rPr>
        <w:t> </w:t>
      </w:r>
      <w:r>
        <w:rPr/>
        <w:t>MAT</w:t>
      </w:r>
      <w:r>
        <w:rPr>
          <w:spacing w:val="-2"/>
        </w:rPr>
        <w:t> </w:t>
      </w:r>
      <w:r>
        <w:rPr/>
        <w:t>118;</w:t>
      </w:r>
      <w:r>
        <w:rPr>
          <w:spacing w:val="-4"/>
        </w:rPr>
        <w:t> </w:t>
      </w:r>
      <w:r>
        <w:rPr/>
        <w:t>PHY</w:t>
      </w:r>
      <w:r>
        <w:rPr>
          <w:spacing w:val="-6"/>
        </w:rPr>
        <w:t> </w:t>
      </w:r>
      <w:r>
        <w:rPr>
          <w:spacing w:val="-4"/>
        </w:rPr>
        <w:t>201.</w:t>
      </w:r>
    </w:p>
    <w:p>
      <w:pPr>
        <w:spacing w:before="118"/>
        <w:ind w:left="439" w:right="0" w:firstLine="0"/>
        <w:jc w:val="left"/>
        <w:rPr>
          <w:b/>
          <w:sz w:val="20"/>
        </w:rPr>
      </w:pPr>
      <w:r>
        <w:rPr>
          <w:b/>
          <w:sz w:val="20"/>
        </w:rPr>
        <w:t>Textbooks</w:t>
      </w:r>
      <w:r>
        <w:rPr>
          <w:b/>
          <w:spacing w:val="-11"/>
          <w:sz w:val="20"/>
        </w:rPr>
        <w:t> </w:t>
      </w:r>
      <w:r>
        <w:rPr>
          <w:b/>
          <w:sz w:val="20"/>
        </w:rPr>
        <w:t>/</w:t>
      </w:r>
      <w:r>
        <w:rPr>
          <w:b/>
          <w:spacing w:val="-9"/>
          <w:sz w:val="20"/>
        </w:rPr>
        <w:t> </w:t>
      </w:r>
      <w:r>
        <w:rPr>
          <w:b/>
          <w:sz w:val="20"/>
        </w:rPr>
        <w:t>Learning</w:t>
      </w:r>
      <w:r>
        <w:rPr>
          <w:b/>
          <w:spacing w:val="-5"/>
          <w:sz w:val="20"/>
        </w:rPr>
        <w:t> </w:t>
      </w:r>
      <w:r>
        <w:rPr>
          <w:b/>
          <w:spacing w:val="-2"/>
          <w:sz w:val="20"/>
        </w:rPr>
        <w:t>Resources</w:t>
      </w:r>
    </w:p>
    <w:p>
      <w:pPr>
        <w:spacing w:before="1"/>
        <w:ind w:left="494" w:right="0" w:firstLine="0"/>
        <w:jc w:val="left"/>
        <w:rPr>
          <w:sz w:val="20"/>
        </w:rPr>
      </w:pPr>
      <w:r>
        <w:rPr>
          <w:sz w:val="20"/>
        </w:rPr>
        <w:t>Allen,</w:t>
      </w:r>
      <w:r>
        <w:rPr>
          <w:spacing w:val="-6"/>
          <w:sz w:val="20"/>
        </w:rPr>
        <w:t> </w:t>
      </w:r>
      <w:r>
        <w:rPr>
          <w:sz w:val="20"/>
        </w:rPr>
        <w:t>E</w:t>
      </w:r>
      <w:r>
        <w:rPr>
          <w:spacing w:val="-4"/>
          <w:sz w:val="20"/>
        </w:rPr>
        <w:t> </w:t>
      </w:r>
      <w:r>
        <w:rPr>
          <w:sz w:val="20"/>
        </w:rPr>
        <w:t>and</w:t>
      </w:r>
      <w:r>
        <w:rPr>
          <w:spacing w:val="-6"/>
          <w:sz w:val="20"/>
        </w:rPr>
        <w:t> </w:t>
      </w:r>
      <w:r>
        <w:rPr>
          <w:sz w:val="20"/>
        </w:rPr>
        <w:t>J.</w:t>
      </w:r>
      <w:r>
        <w:rPr>
          <w:spacing w:val="-5"/>
          <w:sz w:val="20"/>
        </w:rPr>
        <w:t> </w:t>
      </w:r>
      <w:r>
        <w:rPr>
          <w:sz w:val="20"/>
        </w:rPr>
        <w:t>Iano,</w:t>
      </w:r>
      <w:r>
        <w:rPr>
          <w:spacing w:val="-6"/>
          <w:sz w:val="20"/>
        </w:rPr>
        <w:t> </w:t>
      </w:r>
      <w:r>
        <w:rPr>
          <w:i/>
          <w:sz w:val="20"/>
        </w:rPr>
        <w:t>The</w:t>
      </w:r>
      <w:r>
        <w:rPr>
          <w:i/>
          <w:spacing w:val="-4"/>
          <w:sz w:val="20"/>
        </w:rPr>
        <w:t> </w:t>
      </w:r>
      <w:r>
        <w:rPr>
          <w:i/>
          <w:sz w:val="20"/>
        </w:rPr>
        <w:t>Architect’s</w:t>
      </w:r>
      <w:r>
        <w:rPr>
          <w:i/>
          <w:spacing w:val="-2"/>
          <w:sz w:val="20"/>
        </w:rPr>
        <w:t> </w:t>
      </w:r>
      <w:r>
        <w:rPr>
          <w:i/>
          <w:sz w:val="20"/>
        </w:rPr>
        <w:t>Studio</w:t>
      </w:r>
      <w:r>
        <w:rPr>
          <w:i/>
          <w:spacing w:val="-4"/>
          <w:sz w:val="20"/>
        </w:rPr>
        <w:t> </w:t>
      </w:r>
      <w:r>
        <w:rPr>
          <w:i/>
          <w:sz w:val="20"/>
        </w:rPr>
        <w:t>Companion</w:t>
      </w:r>
      <w:r>
        <w:rPr>
          <w:i/>
          <w:spacing w:val="-4"/>
          <w:sz w:val="20"/>
        </w:rPr>
        <w:t> </w:t>
      </w:r>
      <w:r>
        <w:rPr>
          <w:sz w:val="20"/>
        </w:rPr>
        <w:t>John</w:t>
      </w:r>
      <w:r>
        <w:rPr>
          <w:spacing w:val="-9"/>
          <w:sz w:val="20"/>
        </w:rPr>
        <w:t> </w:t>
      </w:r>
      <w:r>
        <w:rPr>
          <w:sz w:val="20"/>
        </w:rPr>
        <w:t>Wiley</w:t>
      </w:r>
      <w:r>
        <w:rPr>
          <w:spacing w:val="-8"/>
          <w:sz w:val="20"/>
        </w:rPr>
        <w:t> </w:t>
      </w:r>
      <w:r>
        <w:rPr>
          <w:sz w:val="20"/>
        </w:rPr>
        <w:t>and</w:t>
      </w:r>
      <w:r>
        <w:rPr>
          <w:spacing w:val="-4"/>
          <w:sz w:val="20"/>
        </w:rPr>
        <w:t> </w:t>
      </w:r>
      <w:r>
        <w:rPr>
          <w:sz w:val="20"/>
        </w:rPr>
        <w:t>Son</w:t>
      </w:r>
      <w:r>
        <w:rPr>
          <w:spacing w:val="-6"/>
          <w:sz w:val="20"/>
        </w:rPr>
        <w:t> </w:t>
      </w:r>
      <w:r>
        <w:rPr>
          <w:sz w:val="20"/>
        </w:rPr>
        <w:t>(Hobolken):</w:t>
      </w:r>
      <w:r>
        <w:rPr>
          <w:spacing w:val="-5"/>
          <w:sz w:val="20"/>
        </w:rPr>
        <w:t> </w:t>
      </w:r>
      <w:r>
        <w:rPr>
          <w:spacing w:val="-2"/>
          <w:sz w:val="20"/>
        </w:rPr>
        <w:t>2012.</w:t>
      </w:r>
    </w:p>
    <w:p>
      <w:pPr>
        <w:spacing w:before="120"/>
        <w:ind w:left="439" w:right="0" w:firstLine="0"/>
        <w:jc w:val="left"/>
        <w:rPr>
          <w:b/>
          <w:sz w:val="20"/>
        </w:rPr>
      </w:pPr>
      <w:r>
        <w:rPr>
          <w:b/>
          <w:sz w:val="20"/>
        </w:rPr>
        <w:t>Offered</w:t>
      </w:r>
      <w:r>
        <w:rPr>
          <w:b/>
          <w:spacing w:val="-10"/>
          <w:sz w:val="20"/>
        </w:rPr>
        <w:t> </w:t>
      </w:r>
      <w:r>
        <w:rPr>
          <w:b/>
          <w:spacing w:val="-2"/>
          <w:sz w:val="20"/>
        </w:rPr>
        <w:t>(terms):</w:t>
      </w:r>
    </w:p>
    <w:p>
      <w:pPr>
        <w:pStyle w:val="BodyText"/>
        <w:spacing w:before="1"/>
        <w:ind w:left="798"/>
      </w:pPr>
      <w:r>
        <w:rPr/>
        <w:t>Spring</w:t>
      </w:r>
      <w:r>
        <w:rPr>
          <w:spacing w:val="-8"/>
        </w:rPr>
        <w:t> </w:t>
      </w:r>
      <w:r>
        <w:rPr/>
        <w:t>Semester</w:t>
      </w:r>
      <w:r>
        <w:rPr>
          <w:spacing w:val="-8"/>
        </w:rPr>
        <w:t> </w:t>
      </w:r>
      <w:r>
        <w:rPr>
          <w:spacing w:val="-4"/>
        </w:rPr>
        <w:t>only</w:t>
      </w:r>
    </w:p>
    <w:p>
      <w:pPr>
        <w:spacing w:before="118"/>
        <w:ind w:left="438" w:right="0" w:firstLine="0"/>
        <w:jc w:val="left"/>
        <w:rPr>
          <w:b/>
          <w:sz w:val="20"/>
        </w:rPr>
      </w:pPr>
      <w:r>
        <w:rPr>
          <w:b/>
          <w:sz w:val="20"/>
        </w:rPr>
        <w:t>Faculty</w:t>
      </w:r>
      <w:r>
        <w:rPr>
          <w:b/>
          <w:spacing w:val="-8"/>
          <w:sz w:val="20"/>
        </w:rPr>
        <w:t> </w:t>
      </w:r>
      <w:r>
        <w:rPr>
          <w:b/>
          <w:spacing w:val="-2"/>
          <w:sz w:val="20"/>
        </w:rPr>
        <w:t>Assigned</w:t>
      </w:r>
    </w:p>
    <w:p>
      <w:pPr>
        <w:pStyle w:val="BodyText"/>
        <w:tabs>
          <w:tab w:pos="5118" w:val="left" w:leader="none"/>
        </w:tabs>
        <w:spacing w:before="3"/>
        <w:ind w:left="1158"/>
      </w:pPr>
      <w:r>
        <w:rPr/>
        <w:t>2014</w:t>
      </w:r>
      <w:r>
        <w:rPr>
          <w:spacing w:val="-5"/>
        </w:rPr>
        <w:t> </w:t>
      </w:r>
      <w:r>
        <w:rPr/>
        <w:t>–</w:t>
      </w:r>
      <w:r>
        <w:rPr>
          <w:spacing w:val="-5"/>
        </w:rPr>
        <w:t> </w:t>
      </w:r>
      <w:r>
        <w:rPr/>
        <w:t>Andrews</w:t>
      </w:r>
      <w:r>
        <w:rPr>
          <w:spacing w:val="-6"/>
        </w:rPr>
        <w:t> </w:t>
      </w:r>
      <w:r>
        <w:rPr/>
        <w:t>(F/T),</w:t>
      </w:r>
      <w:r>
        <w:rPr>
          <w:spacing w:val="-6"/>
        </w:rPr>
        <w:t> </w:t>
      </w:r>
      <w:r>
        <w:rPr/>
        <w:t>Gindroz</w:t>
      </w:r>
      <w:r>
        <w:rPr>
          <w:spacing w:val="-10"/>
        </w:rPr>
        <w:t> </w:t>
      </w:r>
      <w:r>
        <w:rPr>
          <w:spacing w:val="-2"/>
        </w:rPr>
        <w:t>(adjunct)</w:t>
      </w:r>
      <w:r>
        <w:rPr/>
        <w:tab/>
        <w:t>2013</w:t>
      </w:r>
      <w:r>
        <w:rPr>
          <w:spacing w:val="-4"/>
        </w:rPr>
        <w:t> </w:t>
      </w:r>
      <w:r>
        <w:rPr/>
        <w:t>–</w:t>
      </w:r>
      <w:r>
        <w:rPr>
          <w:spacing w:val="-3"/>
        </w:rPr>
        <w:t> </w:t>
      </w:r>
      <w:r>
        <w:rPr>
          <w:spacing w:val="-2"/>
        </w:rPr>
        <w:t>Andrews(F/T)</w:t>
      </w:r>
    </w:p>
    <w:p>
      <w:pPr>
        <w:spacing w:after="0"/>
        <w:sectPr>
          <w:headerReference w:type="default" r:id="rId207"/>
          <w:footerReference w:type="default" r:id="rId208"/>
          <w:pgSz w:w="12240" w:h="15840"/>
          <w:pgMar w:header="993" w:footer="974" w:top="1240" w:bottom="1160" w:left="1000" w:right="820"/>
        </w:sectPr>
      </w:pPr>
    </w:p>
    <w:p>
      <w:pPr>
        <w:spacing w:before="115"/>
        <w:ind w:left="440" w:right="0" w:firstLine="0"/>
        <w:jc w:val="left"/>
        <w:rPr>
          <w:b/>
          <w:sz w:val="20"/>
        </w:rPr>
      </w:pPr>
      <w:r>
        <w:rPr>
          <w:b/>
          <w:sz w:val="20"/>
        </w:rPr>
        <w:t>Course</w:t>
      </w:r>
      <w:r>
        <w:rPr>
          <w:b/>
          <w:spacing w:val="-9"/>
          <w:sz w:val="20"/>
        </w:rPr>
        <w:t> </w:t>
      </w:r>
      <w:r>
        <w:rPr>
          <w:b/>
          <w:sz w:val="20"/>
        </w:rPr>
        <w:t>Description</w:t>
      </w:r>
      <w:r>
        <w:rPr>
          <w:b/>
          <w:spacing w:val="-8"/>
          <w:sz w:val="20"/>
        </w:rPr>
        <w:t> </w:t>
      </w:r>
      <w:r>
        <w:rPr>
          <w:b/>
          <w:sz w:val="20"/>
        </w:rPr>
        <w:t>(limit</w:t>
      </w:r>
      <w:r>
        <w:rPr>
          <w:b/>
          <w:spacing w:val="-7"/>
          <w:sz w:val="20"/>
        </w:rPr>
        <w:t> </w:t>
      </w:r>
      <w:r>
        <w:rPr>
          <w:b/>
          <w:sz w:val="20"/>
        </w:rPr>
        <w:t>25</w:t>
      </w:r>
      <w:r>
        <w:rPr>
          <w:b/>
          <w:spacing w:val="-8"/>
          <w:sz w:val="20"/>
        </w:rPr>
        <w:t> </w:t>
      </w:r>
      <w:r>
        <w:rPr>
          <w:b/>
          <w:spacing w:val="-2"/>
          <w:sz w:val="20"/>
        </w:rPr>
        <w:t>words):</w:t>
      </w:r>
    </w:p>
    <w:p>
      <w:pPr>
        <w:pStyle w:val="BodyText"/>
        <w:spacing w:before="122"/>
        <w:ind w:left="1159" w:right="642"/>
      </w:pPr>
      <w:r>
        <w:rPr/>
        <w:t>Urban</w:t>
      </w:r>
      <w:r>
        <w:rPr>
          <w:spacing w:val="-4"/>
        </w:rPr>
        <w:t> </w:t>
      </w:r>
      <w:r>
        <w:rPr/>
        <w:t>design</w:t>
      </w:r>
      <w:r>
        <w:rPr>
          <w:spacing w:val="-4"/>
        </w:rPr>
        <w:t> </w:t>
      </w:r>
      <w:r>
        <w:rPr/>
        <w:t>studio</w:t>
      </w:r>
      <w:r>
        <w:rPr>
          <w:spacing w:val="-4"/>
        </w:rPr>
        <w:t> </w:t>
      </w:r>
      <w:r>
        <w:rPr/>
        <w:t>for</w:t>
      </w:r>
      <w:r>
        <w:rPr>
          <w:spacing w:val="-3"/>
        </w:rPr>
        <w:t> </w:t>
      </w:r>
      <w:r>
        <w:rPr/>
        <w:t>a</w:t>
      </w:r>
      <w:r>
        <w:rPr>
          <w:spacing w:val="-2"/>
        </w:rPr>
        <w:t> </w:t>
      </w:r>
      <w:r>
        <w:rPr/>
        <w:t>project</w:t>
      </w:r>
      <w:r>
        <w:rPr>
          <w:spacing w:val="-4"/>
        </w:rPr>
        <w:t> </w:t>
      </w:r>
      <w:r>
        <w:rPr/>
        <w:t>studied</w:t>
      </w:r>
      <w:r>
        <w:rPr>
          <w:spacing w:val="-2"/>
        </w:rPr>
        <w:t> </w:t>
      </w:r>
      <w:r>
        <w:rPr/>
        <w:t>while</w:t>
      </w:r>
      <w:r>
        <w:rPr>
          <w:spacing w:val="-4"/>
        </w:rPr>
        <w:t> </w:t>
      </w:r>
      <w:r>
        <w:rPr/>
        <w:t>traveling.</w:t>
      </w:r>
      <w:r>
        <w:rPr>
          <w:spacing w:val="40"/>
        </w:rPr>
        <w:t> </w:t>
      </w:r>
      <w:r>
        <w:rPr/>
        <w:t>Students will</w:t>
      </w:r>
      <w:r>
        <w:rPr>
          <w:spacing w:val="-3"/>
        </w:rPr>
        <w:t> </w:t>
      </w:r>
      <w:r>
        <w:rPr/>
        <w:t>work in</w:t>
      </w:r>
      <w:r>
        <w:rPr>
          <w:spacing w:val="-4"/>
        </w:rPr>
        <w:t> </w:t>
      </w:r>
      <w:r>
        <w:rPr/>
        <w:t>collaboration</w:t>
      </w:r>
      <w:r>
        <w:rPr>
          <w:spacing w:val="-4"/>
        </w:rPr>
        <w:t> </w:t>
      </w:r>
      <w:r>
        <w:rPr/>
        <w:t>to develop a proposal for a quarter of a city visited in ARC 305.</w:t>
      </w:r>
    </w:p>
    <w:p>
      <w:pPr>
        <w:spacing w:before="119"/>
        <w:ind w:left="439" w:right="0" w:firstLine="0"/>
        <w:jc w:val="left"/>
        <w:rPr>
          <w:b/>
          <w:sz w:val="20"/>
        </w:rPr>
      </w:pPr>
      <w:r>
        <w:rPr>
          <w:b/>
          <w:sz w:val="20"/>
        </w:rPr>
        <w:t>Course</w:t>
      </w:r>
      <w:r>
        <w:rPr>
          <w:b/>
          <w:spacing w:val="-9"/>
          <w:sz w:val="20"/>
        </w:rPr>
        <w:t> </w:t>
      </w:r>
      <w:r>
        <w:rPr>
          <w:b/>
          <w:sz w:val="20"/>
        </w:rPr>
        <w:t>Goals</w:t>
      </w:r>
      <w:r>
        <w:rPr>
          <w:b/>
          <w:spacing w:val="-7"/>
          <w:sz w:val="20"/>
        </w:rPr>
        <w:t> </w:t>
      </w:r>
      <w:r>
        <w:rPr>
          <w:b/>
          <w:sz w:val="20"/>
        </w:rPr>
        <w:t>and</w:t>
      </w:r>
      <w:r>
        <w:rPr>
          <w:b/>
          <w:spacing w:val="-5"/>
          <w:sz w:val="20"/>
        </w:rPr>
        <w:t> </w:t>
      </w:r>
      <w:r>
        <w:rPr>
          <w:b/>
          <w:spacing w:val="-2"/>
          <w:sz w:val="20"/>
        </w:rPr>
        <w:t>Objectives;</w:t>
      </w:r>
    </w:p>
    <w:p>
      <w:pPr>
        <w:pStyle w:val="BodyText"/>
        <w:spacing w:line="229" w:lineRule="exact" w:before="123"/>
        <w:ind w:left="799"/>
      </w:pPr>
      <w:r>
        <w:rPr/>
        <w:t>1.</w:t>
      </w:r>
      <w:r>
        <w:rPr>
          <w:spacing w:val="-8"/>
        </w:rPr>
        <w:t> </w:t>
      </w:r>
      <w:r>
        <w:rPr/>
        <w:t>To</w:t>
      </w:r>
      <w:r>
        <w:rPr>
          <w:spacing w:val="-7"/>
        </w:rPr>
        <w:t> </w:t>
      </w:r>
      <w:r>
        <w:rPr/>
        <w:t>implement</w:t>
      </w:r>
      <w:r>
        <w:rPr>
          <w:spacing w:val="-7"/>
        </w:rPr>
        <w:t> </w:t>
      </w:r>
      <w:r>
        <w:rPr/>
        <w:t>design</w:t>
      </w:r>
      <w:r>
        <w:rPr>
          <w:spacing w:val="-8"/>
        </w:rPr>
        <w:t> </w:t>
      </w:r>
      <w:r>
        <w:rPr/>
        <w:t>criteria,</w:t>
      </w:r>
      <w:r>
        <w:rPr>
          <w:spacing w:val="-5"/>
        </w:rPr>
        <w:t> </w:t>
      </w:r>
      <w:r>
        <w:rPr/>
        <w:t>insights,</w:t>
      </w:r>
      <w:r>
        <w:rPr>
          <w:spacing w:val="-5"/>
        </w:rPr>
        <w:t> </w:t>
      </w:r>
      <w:r>
        <w:rPr/>
        <w:t>and</w:t>
      </w:r>
      <w:r>
        <w:rPr>
          <w:spacing w:val="-6"/>
        </w:rPr>
        <w:t> </w:t>
      </w:r>
      <w:r>
        <w:rPr/>
        <w:t>opportunities</w:t>
      </w:r>
      <w:r>
        <w:rPr>
          <w:spacing w:val="-6"/>
        </w:rPr>
        <w:t> </w:t>
      </w:r>
      <w:r>
        <w:rPr/>
        <w:t>growing</w:t>
      </w:r>
      <w:r>
        <w:rPr>
          <w:spacing w:val="-6"/>
        </w:rPr>
        <w:t> </w:t>
      </w:r>
      <w:r>
        <w:rPr/>
        <w:t>out</w:t>
      </w:r>
      <w:r>
        <w:rPr>
          <w:spacing w:val="-5"/>
        </w:rPr>
        <w:t> </w:t>
      </w:r>
      <w:r>
        <w:rPr/>
        <w:t>of</w:t>
      </w:r>
      <w:r>
        <w:rPr>
          <w:spacing w:val="-6"/>
        </w:rPr>
        <w:t> </w:t>
      </w:r>
      <w:r>
        <w:rPr/>
        <w:t>ARC</w:t>
      </w:r>
      <w:r>
        <w:rPr>
          <w:spacing w:val="-7"/>
        </w:rPr>
        <w:t> </w:t>
      </w:r>
      <w:r>
        <w:rPr/>
        <w:t>305</w:t>
      </w:r>
      <w:r>
        <w:rPr>
          <w:spacing w:val="-7"/>
        </w:rPr>
        <w:t> </w:t>
      </w:r>
      <w:r>
        <w:rPr>
          <w:spacing w:val="-2"/>
        </w:rPr>
        <w:t>analysis.</w:t>
      </w:r>
    </w:p>
    <w:p>
      <w:pPr>
        <w:pStyle w:val="ListParagraph"/>
        <w:numPr>
          <w:ilvl w:val="2"/>
          <w:numId w:val="53"/>
        </w:numPr>
        <w:tabs>
          <w:tab w:pos="2079" w:val="left" w:leader="none"/>
          <w:tab w:pos="2080" w:val="left" w:leader="none"/>
        </w:tabs>
        <w:spacing w:line="235" w:lineRule="auto" w:before="3" w:after="0"/>
        <w:ind w:left="2079" w:right="1282" w:hanging="920"/>
        <w:jc w:val="left"/>
        <w:rPr>
          <w:sz w:val="20"/>
        </w:rPr>
      </w:pPr>
      <w:r>
        <w:rPr>
          <w:sz w:val="20"/>
        </w:rPr>
        <w:t>To</w:t>
      </w:r>
      <w:r>
        <w:rPr>
          <w:spacing w:val="-4"/>
          <w:sz w:val="20"/>
        </w:rPr>
        <w:t> </w:t>
      </w:r>
      <w:r>
        <w:rPr>
          <w:sz w:val="20"/>
        </w:rPr>
        <w:t>undertake</w:t>
      </w:r>
      <w:r>
        <w:rPr>
          <w:spacing w:val="-4"/>
          <w:sz w:val="20"/>
        </w:rPr>
        <w:t> </w:t>
      </w:r>
      <w:r>
        <w:rPr>
          <w:sz w:val="20"/>
        </w:rPr>
        <w:t>and</w:t>
      </w:r>
      <w:r>
        <w:rPr>
          <w:spacing w:val="-2"/>
          <w:sz w:val="20"/>
        </w:rPr>
        <w:t> </w:t>
      </w:r>
      <w:r>
        <w:rPr>
          <w:sz w:val="20"/>
        </w:rPr>
        <w:t>execute</w:t>
      </w:r>
      <w:r>
        <w:rPr>
          <w:spacing w:val="-2"/>
          <w:sz w:val="20"/>
        </w:rPr>
        <w:t> </w:t>
      </w:r>
      <w:r>
        <w:rPr>
          <w:sz w:val="20"/>
        </w:rPr>
        <w:t>a</w:t>
      </w:r>
      <w:r>
        <w:rPr>
          <w:spacing w:val="-4"/>
          <w:sz w:val="20"/>
        </w:rPr>
        <w:t> </w:t>
      </w:r>
      <w:r>
        <w:rPr>
          <w:sz w:val="20"/>
        </w:rPr>
        <w:t>design</w:t>
      </w:r>
      <w:r>
        <w:rPr>
          <w:spacing w:val="-2"/>
          <w:sz w:val="20"/>
        </w:rPr>
        <w:t> </w:t>
      </w:r>
      <w:r>
        <w:rPr>
          <w:sz w:val="20"/>
        </w:rPr>
        <w:t>proposal</w:t>
      </w:r>
      <w:r>
        <w:rPr>
          <w:spacing w:val="-5"/>
          <w:sz w:val="20"/>
        </w:rPr>
        <w:t> </w:t>
      </w:r>
      <w:r>
        <w:rPr>
          <w:sz w:val="20"/>
        </w:rPr>
        <w:t>for</w:t>
      </w:r>
      <w:r>
        <w:rPr>
          <w:spacing w:val="-3"/>
          <w:sz w:val="20"/>
        </w:rPr>
        <w:t> </w:t>
      </w:r>
      <w:r>
        <w:rPr>
          <w:sz w:val="20"/>
        </w:rPr>
        <w:t>the</w:t>
      </w:r>
      <w:r>
        <w:rPr>
          <w:spacing w:val="-2"/>
          <w:sz w:val="20"/>
        </w:rPr>
        <w:t> </w:t>
      </w:r>
      <w:r>
        <w:rPr>
          <w:sz w:val="20"/>
        </w:rPr>
        <w:t>city</w:t>
      </w:r>
      <w:r>
        <w:rPr>
          <w:spacing w:val="-7"/>
          <w:sz w:val="20"/>
        </w:rPr>
        <w:t> </w:t>
      </w:r>
      <w:r>
        <w:rPr>
          <w:sz w:val="20"/>
        </w:rPr>
        <w:t>of</w:t>
      </w:r>
      <w:r>
        <w:rPr>
          <w:spacing w:val="-2"/>
          <w:sz w:val="20"/>
        </w:rPr>
        <w:t> </w:t>
      </w:r>
      <w:r>
        <w:rPr>
          <w:sz w:val="20"/>
        </w:rPr>
        <w:t>Toulon,</w:t>
      </w:r>
      <w:r>
        <w:rPr>
          <w:spacing w:val="-2"/>
          <w:sz w:val="20"/>
        </w:rPr>
        <w:t> </w:t>
      </w:r>
      <w:r>
        <w:rPr>
          <w:sz w:val="20"/>
        </w:rPr>
        <w:t>working</w:t>
      </w:r>
      <w:r>
        <w:rPr>
          <w:spacing w:val="-4"/>
          <w:sz w:val="20"/>
        </w:rPr>
        <w:t> </w:t>
      </w:r>
      <w:r>
        <w:rPr>
          <w:sz w:val="20"/>
        </w:rPr>
        <w:t>as</w:t>
      </w:r>
      <w:r>
        <w:rPr>
          <w:spacing w:val="-1"/>
          <w:sz w:val="20"/>
        </w:rPr>
        <w:t> </w:t>
      </w:r>
      <w:r>
        <w:rPr>
          <w:sz w:val="20"/>
        </w:rPr>
        <w:t>a collaborative team.</w:t>
      </w:r>
    </w:p>
    <w:p>
      <w:pPr>
        <w:pStyle w:val="ListParagraph"/>
        <w:numPr>
          <w:ilvl w:val="2"/>
          <w:numId w:val="53"/>
        </w:numPr>
        <w:tabs>
          <w:tab w:pos="2079" w:val="left" w:leader="none"/>
          <w:tab w:pos="2080" w:val="left" w:leader="none"/>
        </w:tabs>
        <w:spacing w:line="235" w:lineRule="auto" w:before="7" w:after="0"/>
        <w:ind w:left="2079" w:right="692" w:hanging="920"/>
        <w:jc w:val="left"/>
        <w:rPr>
          <w:sz w:val="20"/>
        </w:rPr>
      </w:pPr>
      <w:r>
        <w:rPr>
          <w:sz w:val="20"/>
        </w:rPr>
        <w:t>To</w:t>
      </w:r>
      <w:r>
        <w:rPr>
          <w:spacing w:val="-5"/>
          <w:sz w:val="20"/>
        </w:rPr>
        <w:t> </w:t>
      </w:r>
      <w:r>
        <w:rPr>
          <w:sz w:val="20"/>
        </w:rPr>
        <w:t>produce</w:t>
      </w:r>
      <w:r>
        <w:rPr>
          <w:spacing w:val="-5"/>
          <w:sz w:val="20"/>
        </w:rPr>
        <w:t> </w:t>
      </w:r>
      <w:r>
        <w:rPr>
          <w:sz w:val="20"/>
        </w:rPr>
        <w:t>full</w:t>
      </w:r>
      <w:r>
        <w:rPr>
          <w:spacing w:val="-6"/>
          <w:sz w:val="20"/>
        </w:rPr>
        <w:t> </w:t>
      </w:r>
      <w:r>
        <w:rPr>
          <w:sz w:val="20"/>
        </w:rPr>
        <w:t>schematic</w:t>
      </w:r>
      <w:r>
        <w:rPr>
          <w:spacing w:val="-4"/>
          <w:sz w:val="20"/>
        </w:rPr>
        <w:t> </w:t>
      </w:r>
      <w:r>
        <w:rPr>
          <w:sz w:val="20"/>
        </w:rPr>
        <w:t>design</w:t>
      </w:r>
      <w:r>
        <w:rPr>
          <w:spacing w:val="-3"/>
          <w:sz w:val="20"/>
        </w:rPr>
        <w:t> </w:t>
      </w:r>
      <w:r>
        <w:rPr>
          <w:sz w:val="20"/>
        </w:rPr>
        <w:t>documentation</w:t>
      </w:r>
      <w:r>
        <w:rPr>
          <w:spacing w:val="-3"/>
          <w:sz w:val="20"/>
        </w:rPr>
        <w:t> </w:t>
      </w:r>
      <w:r>
        <w:rPr>
          <w:sz w:val="20"/>
        </w:rPr>
        <w:t>of</w:t>
      </w:r>
      <w:r>
        <w:rPr>
          <w:spacing w:val="-3"/>
          <w:sz w:val="20"/>
        </w:rPr>
        <w:t> </w:t>
      </w:r>
      <w:r>
        <w:rPr>
          <w:sz w:val="20"/>
        </w:rPr>
        <w:t>the</w:t>
      </w:r>
      <w:r>
        <w:rPr>
          <w:spacing w:val="-3"/>
          <w:sz w:val="20"/>
        </w:rPr>
        <w:t> </w:t>
      </w:r>
      <w:r>
        <w:rPr>
          <w:sz w:val="20"/>
        </w:rPr>
        <w:t>design</w:t>
      </w:r>
      <w:r>
        <w:rPr>
          <w:spacing w:val="-5"/>
          <w:sz w:val="20"/>
        </w:rPr>
        <w:t> </w:t>
      </w:r>
      <w:r>
        <w:rPr>
          <w:sz w:val="20"/>
        </w:rPr>
        <w:t>proposal,</w:t>
      </w:r>
      <w:r>
        <w:rPr>
          <w:spacing w:val="-5"/>
          <w:sz w:val="20"/>
        </w:rPr>
        <w:t> </w:t>
      </w:r>
      <w:r>
        <w:rPr>
          <w:sz w:val="20"/>
        </w:rPr>
        <w:t>culminating</w:t>
      </w:r>
      <w:r>
        <w:rPr>
          <w:spacing w:val="-5"/>
          <w:sz w:val="20"/>
        </w:rPr>
        <w:t> </w:t>
      </w:r>
      <w:r>
        <w:rPr>
          <w:sz w:val="20"/>
        </w:rPr>
        <w:t>in an illustrated report to the city.</w:t>
      </w:r>
    </w:p>
    <w:p>
      <w:pPr>
        <w:pStyle w:val="ListParagraph"/>
        <w:numPr>
          <w:ilvl w:val="0"/>
          <w:numId w:val="54"/>
        </w:numPr>
        <w:tabs>
          <w:tab w:pos="1381" w:val="left" w:leader="none"/>
        </w:tabs>
        <w:spacing w:line="240" w:lineRule="auto" w:before="0" w:after="0"/>
        <w:ind w:left="1159" w:right="1510" w:firstLine="0"/>
        <w:jc w:val="left"/>
        <w:rPr>
          <w:sz w:val="20"/>
        </w:rPr>
      </w:pPr>
      <w:r>
        <w:rPr>
          <w:sz w:val="20"/>
        </w:rPr>
        <w:t>To</w:t>
      </w:r>
      <w:r>
        <w:rPr>
          <w:spacing w:val="-5"/>
          <w:sz w:val="20"/>
        </w:rPr>
        <w:t> </w:t>
      </w:r>
      <w:r>
        <w:rPr>
          <w:sz w:val="20"/>
        </w:rPr>
        <w:t>apply</w:t>
      </w:r>
      <w:r>
        <w:rPr>
          <w:spacing w:val="-6"/>
          <w:sz w:val="20"/>
        </w:rPr>
        <w:t> </w:t>
      </w:r>
      <w:r>
        <w:rPr>
          <w:sz w:val="20"/>
        </w:rPr>
        <w:t>existing</w:t>
      </w:r>
      <w:r>
        <w:rPr>
          <w:spacing w:val="-5"/>
          <w:sz w:val="20"/>
        </w:rPr>
        <w:t> </w:t>
      </w:r>
      <w:r>
        <w:rPr>
          <w:sz w:val="20"/>
        </w:rPr>
        <w:t>theories</w:t>
      </w:r>
      <w:r>
        <w:rPr>
          <w:spacing w:val="-4"/>
          <w:sz w:val="20"/>
        </w:rPr>
        <w:t> </w:t>
      </w:r>
      <w:r>
        <w:rPr>
          <w:sz w:val="20"/>
        </w:rPr>
        <w:t>of</w:t>
      </w:r>
      <w:r>
        <w:rPr>
          <w:spacing w:val="-3"/>
          <w:sz w:val="20"/>
        </w:rPr>
        <w:t> </w:t>
      </w:r>
      <w:r>
        <w:rPr>
          <w:sz w:val="20"/>
        </w:rPr>
        <w:t>human</w:t>
      </w:r>
      <w:r>
        <w:rPr>
          <w:spacing w:val="-5"/>
          <w:sz w:val="20"/>
        </w:rPr>
        <w:t> </w:t>
      </w:r>
      <w:r>
        <w:rPr>
          <w:sz w:val="20"/>
        </w:rPr>
        <w:t>behavior,</w:t>
      </w:r>
      <w:r>
        <w:rPr>
          <w:spacing w:val="-3"/>
          <w:sz w:val="20"/>
        </w:rPr>
        <w:t> </w:t>
      </w:r>
      <w:r>
        <w:rPr>
          <w:sz w:val="20"/>
        </w:rPr>
        <w:t>urban</w:t>
      </w:r>
      <w:r>
        <w:rPr>
          <w:spacing w:val="-3"/>
          <w:sz w:val="20"/>
        </w:rPr>
        <w:t> </w:t>
      </w:r>
      <w:r>
        <w:rPr>
          <w:sz w:val="20"/>
        </w:rPr>
        <w:t>design,</w:t>
      </w:r>
      <w:r>
        <w:rPr>
          <w:spacing w:val="-5"/>
          <w:sz w:val="20"/>
        </w:rPr>
        <w:t> </w:t>
      </w:r>
      <w:r>
        <w:rPr>
          <w:sz w:val="20"/>
        </w:rPr>
        <w:t>and</w:t>
      </w:r>
      <w:r>
        <w:rPr>
          <w:spacing w:val="-3"/>
          <w:sz w:val="20"/>
        </w:rPr>
        <w:t> </w:t>
      </w:r>
      <w:r>
        <w:rPr>
          <w:sz w:val="20"/>
        </w:rPr>
        <w:t>basic</w:t>
      </w:r>
      <w:r>
        <w:rPr>
          <w:spacing w:val="-4"/>
          <w:sz w:val="20"/>
        </w:rPr>
        <w:t> </w:t>
      </w:r>
      <w:r>
        <w:rPr>
          <w:sz w:val="20"/>
        </w:rPr>
        <w:t>environmental sustainability in the design proposal..</w:t>
      </w:r>
    </w:p>
    <w:p>
      <w:pPr>
        <w:pStyle w:val="ListParagraph"/>
        <w:numPr>
          <w:ilvl w:val="0"/>
          <w:numId w:val="54"/>
        </w:numPr>
        <w:tabs>
          <w:tab w:pos="1381" w:val="left" w:leader="none"/>
        </w:tabs>
        <w:spacing w:line="240" w:lineRule="auto" w:before="1" w:after="0"/>
        <w:ind w:left="1380" w:right="0" w:hanging="222"/>
        <w:jc w:val="left"/>
        <w:rPr>
          <w:sz w:val="20"/>
        </w:rPr>
      </w:pPr>
      <w:r>
        <w:rPr>
          <w:sz w:val="20"/>
        </w:rPr>
        <w:t>To</w:t>
      </w:r>
      <w:r>
        <w:rPr>
          <w:spacing w:val="-6"/>
          <w:sz w:val="20"/>
        </w:rPr>
        <w:t> </w:t>
      </w:r>
      <w:r>
        <w:rPr>
          <w:sz w:val="20"/>
        </w:rPr>
        <w:t>produce</w:t>
      </w:r>
      <w:r>
        <w:rPr>
          <w:spacing w:val="-3"/>
          <w:sz w:val="20"/>
        </w:rPr>
        <w:t> </w:t>
      </w:r>
      <w:r>
        <w:rPr>
          <w:sz w:val="20"/>
        </w:rPr>
        <w:t>a</w:t>
      </w:r>
      <w:r>
        <w:rPr>
          <w:spacing w:val="-5"/>
          <w:sz w:val="20"/>
        </w:rPr>
        <w:t> </w:t>
      </w:r>
      <w:r>
        <w:rPr>
          <w:sz w:val="20"/>
        </w:rPr>
        <w:t>design</w:t>
      </w:r>
      <w:r>
        <w:rPr>
          <w:spacing w:val="-3"/>
          <w:sz w:val="20"/>
        </w:rPr>
        <w:t> </w:t>
      </w:r>
      <w:r>
        <w:rPr>
          <w:sz w:val="20"/>
        </w:rPr>
        <w:t>project</w:t>
      </w:r>
      <w:r>
        <w:rPr>
          <w:spacing w:val="-5"/>
          <w:sz w:val="20"/>
        </w:rPr>
        <w:t> </w:t>
      </w:r>
      <w:r>
        <w:rPr>
          <w:sz w:val="20"/>
        </w:rPr>
        <w:t>as</w:t>
      </w:r>
      <w:r>
        <w:rPr>
          <w:spacing w:val="-5"/>
          <w:sz w:val="20"/>
        </w:rPr>
        <w:t> </w:t>
      </w:r>
      <w:r>
        <w:rPr>
          <w:sz w:val="20"/>
        </w:rPr>
        <w:t>a</w:t>
      </w:r>
      <w:r>
        <w:rPr>
          <w:spacing w:val="-5"/>
          <w:sz w:val="20"/>
        </w:rPr>
        <w:t> </w:t>
      </w:r>
      <w:r>
        <w:rPr>
          <w:sz w:val="20"/>
        </w:rPr>
        <w:t>productive</w:t>
      </w:r>
      <w:r>
        <w:rPr>
          <w:spacing w:val="-5"/>
          <w:sz w:val="20"/>
        </w:rPr>
        <w:t> </w:t>
      </w:r>
      <w:r>
        <w:rPr>
          <w:sz w:val="20"/>
        </w:rPr>
        <w:t>member</w:t>
      </w:r>
      <w:r>
        <w:rPr>
          <w:spacing w:val="-4"/>
          <w:sz w:val="20"/>
        </w:rPr>
        <w:t> </w:t>
      </w:r>
      <w:r>
        <w:rPr>
          <w:sz w:val="20"/>
        </w:rPr>
        <w:t>of</w:t>
      </w:r>
      <w:r>
        <w:rPr>
          <w:spacing w:val="-3"/>
          <w:sz w:val="20"/>
        </w:rPr>
        <w:t> </w:t>
      </w:r>
      <w:r>
        <w:rPr>
          <w:sz w:val="20"/>
        </w:rPr>
        <w:t>a</w:t>
      </w:r>
      <w:r>
        <w:rPr>
          <w:spacing w:val="-5"/>
          <w:sz w:val="20"/>
        </w:rPr>
        <w:t> </w:t>
      </w:r>
      <w:r>
        <w:rPr>
          <w:sz w:val="20"/>
        </w:rPr>
        <w:t>design</w:t>
      </w:r>
      <w:r>
        <w:rPr>
          <w:spacing w:val="-6"/>
          <w:sz w:val="20"/>
        </w:rPr>
        <w:t> </w:t>
      </w:r>
      <w:r>
        <w:rPr>
          <w:spacing w:val="-2"/>
          <w:sz w:val="20"/>
        </w:rPr>
        <w:t>team.</w:t>
      </w:r>
    </w:p>
    <w:p>
      <w:pPr>
        <w:spacing w:before="117"/>
        <w:ind w:left="440" w:right="0" w:firstLine="0"/>
        <w:jc w:val="left"/>
        <w:rPr>
          <w:b/>
          <w:sz w:val="20"/>
        </w:rPr>
      </w:pPr>
      <w:r>
        <w:rPr>
          <w:b/>
          <w:sz w:val="20"/>
        </w:rPr>
        <w:t>Student</w:t>
      </w:r>
      <w:r>
        <w:rPr>
          <w:b/>
          <w:spacing w:val="-9"/>
          <w:sz w:val="20"/>
        </w:rPr>
        <w:t> </w:t>
      </w:r>
      <w:r>
        <w:rPr>
          <w:b/>
          <w:sz w:val="20"/>
        </w:rPr>
        <w:t>Performance</w:t>
      </w:r>
      <w:r>
        <w:rPr>
          <w:b/>
          <w:spacing w:val="-10"/>
          <w:sz w:val="20"/>
        </w:rPr>
        <w:t> </w:t>
      </w:r>
      <w:r>
        <w:rPr>
          <w:b/>
          <w:sz w:val="20"/>
        </w:rPr>
        <w:t>Criteria</w:t>
      </w:r>
      <w:r>
        <w:rPr>
          <w:b/>
          <w:spacing w:val="-5"/>
          <w:sz w:val="20"/>
        </w:rPr>
        <w:t> </w:t>
      </w:r>
      <w:r>
        <w:rPr>
          <w:b/>
          <w:sz w:val="20"/>
        </w:rPr>
        <w:t>Addressed</w:t>
      </w:r>
      <w:r>
        <w:rPr>
          <w:b/>
          <w:spacing w:val="-9"/>
          <w:sz w:val="20"/>
        </w:rPr>
        <w:t> </w:t>
      </w:r>
      <w:r>
        <w:rPr>
          <w:b/>
          <w:sz w:val="20"/>
        </w:rPr>
        <w:t>(name</w:t>
      </w:r>
      <w:r>
        <w:rPr>
          <w:b/>
          <w:spacing w:val="-9"/>
          <w:sz w:val="20"/>
        </w:rPr>
        <w:t> </w:t>
      </w:r>
      <w:r>
        <w:rPr>
          <w:b/>
          <w:sz w:val="20"/>
        </w:rPr>
        <w:t>and</w:t>
      </w:r>
      <w:r>
        <w:rPr>
          <w:b/>
          <w:spacing w:val="-9"/>
          <w:sz w:val="20"/>
        </w:rPr>
        <w:t> </w:t>
      </w:r>
      <w:r>
        <w:rPr>
          <w:b/>
          <w:spacing w:val="-2"/>
          <w:sz w:val="20"/>
        </w:rPr>
        <w:t>number)</w:t>
      </w:r>
    </w:p>
    <w:p>
      <w:pPr>
        <w:pStyle w:val="ListParagraph"/>
        <w:numPr>
          <w:ilvl w:val="1"/>
          <w:numId w:val="55"/>
        </w:numPr>
        <w:tabs>
          <w:tab w:pos="1520" w:val="left" w:leader="none"/>
        </w:tabs>
        <w:spacing w:line="240" w:lineRule="auto" w:before="123" w:after="0"/>
        <w:ind w:left="1519" w:right="0" w:hanging="361"/>
        <w:jc w:val="left"/>
        <w:rPr>
          <w:sz w:val="20"/>
        </w:rPr>
      </w:pPr>
      <w:r>
        <w:rPr>
          <w:spacing w:val="-2"/>
          <w:sz w:val="20"/>
        </w:rPr>
        <w:t>Communication</w:t>
      </w:r>
      <w:r>
        <w:rPr>
          <w:spacing w:val="10"/>
          <w:sz w:val="20"/>
        </w:rPr>
        <w:t> </w:t>
      </w:r>
      <w:r>
        <w:rPr>
          <w:spacing w:val="-2"/>
          <w:sz w:val="20"/>
        </w:rPr>
        <w:t>Skills</w:t>
      </w:r>
    </w:p>
    <w:p>
      <w:pPr>
        <w:pStyle w:val="ListParagraph"/>
        <w:numPr>
          <w:ilvl w:val="1"/>
          <w:numId w:val="55"/>
        </w:numPr>
        <w:tabs>
          <w:tab w:pos="1520" w:val="left" w:leader="none"/>
        </w:tabs>
        <w:spacing w:line="229" w:lineRule="exact" w:before="1" w:after="0"/>
        <w:ind w:left="1519" w:right="0" w:hanging="361"/>
        <w:jc w:val="left"/>
        <w:rPr>
          <w:sz w:val="20"/>
        </w:rPr>
      </w:pPr>
      <w:r>
        <w:rPr>
          <w:sz w:val="20"/>
        </w:rPr>
        <w:t>Design</w:t>
      </w:r>
      <w:r>
        <w:rPr>
          <w:spacing w:val="-9"/>
          <w:sz w:val="20"/>
        </w:rPr>
        <w:t> </w:t>
      </w:r>
      <w:r>
        <w:rPr>
          <w:sz w:val="20"/>
        </w:rPr>
        <w:t>Thinking</w:t>
      </w:r>
      <w:r>
        <w:rPr>
          <w:spacing w:val="-9"/>
          <w:sz w:val="20"/>
        </w:rPr>
        <w:t> </w:t>
      </w:r>
      <w:r>
        <w:rPr>
          <w:spacing w:val="-2"/>
          <w:sz w:val="20"/>
        </w:rPr>
        <w:t>Skills,</w:t>
      </w:r>
    </w:p>
    <w:p>
      <w:pPr>
        <w:pStyle w:val="ListParagraph"/>
        <w:numPr>
          <w:ilvl w:val="1"/>
          <w:numId w:val="32"/>
        </w:numPr>
        <w:tabs>
          <w:tab w:pos="1879" w:val="left" w:leader="none"/>
          <w:tab w:pos="1880" w:val="left" w:leader="none"/>
        </w:tabs>
        <w:spacing w:line="229" w:lineRule="exact" w:before="0" w:after="0"/>
        <w:ind w:left="1879" w:right="0" w:hanging="721"/>
        <w:jc w:val="left"/>
        <w:rPr>
          <w:sz w:val="20"/>
        </w:rPr>
      </w:pPr>
      <w:r>
        <w:rPr>
          <w:sz w:val="20"/>
        </w:rPr>
        <w:t>Visual</w:t>
      </w:r>
      <w:r>
        <w:rPr>
          <w:spacing w:val="-14"/>
          <w:sz w:val="20"/>
        </w:rPr>
        <w:t> </w:t>
      </w:r>
      <w:r>
        <w:rPr>
          <w:sz w:val="20"/>
        </w:rPr>
        <w:t>Communications</w:t>
      </w:r>
      <w:r>
        <w:rPr>
          <w:spacing w:val="-9"/>
          <w:sz w:val="20"/>
        </w:rPr>
        <w:t> </w:t>
      </w:r>
      <w:r>
        <w:rPr>
          <w:spacing w:val="-2"/>
          <w:sz w:val="20"/>
        </w:rPr>
        <w:t>Skills</w:t>
      </w:r>
    </w:p>
    <w:p>
      <w:pPr>
        <w:pStyle w:val="BodyText"/>
        <w:tabs>
          <w:tab w:pos="1879" w:val="left" w:leader="none"/>
        </w:tabs>
        <w:ind w:left="1159" w:right="5366"/>
      </w:pPr>
      <w:r>
        <w:rPr/>
        <w:t>A9</w:t>
      </w:r>
      <w:r>
        <w:rPr>
          <w:spacing w:val="40"/>
        </w:rPr>
        <w:t> </w:t>
      </w:r>
      <w:r>
        <w:rPr/>
        <w:t>Historical</w:t>
      </w:r>
      <w:r>
        <w:rPr>
          <w:spacing w:val="-8"/>
        </w:rPr>
        <w:t> </w:t>
      </w:r>
      <w:r>
        <w:rPr/>
        <w:t>Traditions</w:t>
      </w:r>
      <w:r>
        <w:rPr>
          <w:spacing w:val="-7"/>
        </w:rPr>
        <w:t> </w:t>
      </w:r>
      <w:r>
        <w:rPr/>
        <w:t>and</w:t>
      </w:r>
      <w:r>
        <w:rPr>
          <w:spacing w:val="-7"/>
        </w:rPr>
        <w:t> </w:t>
      </w:r>
      <w:r>
        <w:rPr/>
        <w:t>Global</w:t>
      </w:r>
      <w:r>
        <w:rPr>
          <w:spacing w:val="-8"/>
        </w:rPr>
        <w:t> </w:t>
      </w:r>
      <w:r>
        <w:rPr/>
        <w:t>Culture, </w:t>
      </w:r>
      <w:r>
        <w:rPr>
          <w:spacing w:val="-4"/>
        </w:rPr>
        <w:t>A10</w:t>
      </w:r>
      <w:r>
        <w:rPr/>
        <w:tab/>
        <w:t>Cultural Diversity,</w:t>
      </w:r>
    </w:p>
    <w:p>
      <w:pPr>
        <w:pStyle w:val="BodyText"/>
        <w:spacing w:before="1"/>
        <w:ind w:left="1159" w:right="7408"/>
      </w:pPr>
      <w:r>
        <w:rPr/>
        <w:t>B4</w:t>
      </w:r>
      <w:r>
        <w:rPr>
          <w:spacing w:val="40"/>
        </w:rPr>
        <w:t> </w:t>
      </w:r>
      <w:r>
        <w:rPr/>
        <w:t>Site</w:t>
      </w:r>
      <w:r>
        <w:rPr>
          <w:spacing w:val="-11"/>
        </w:rPr>
        <w:t> </w:t>
      </w:r>
      <w:r>
        <w:rPr/>
        <w:t>Design,</w:t>
      </w:r>
      <w:r>
        <w:rPr>
          <w:spacing w:val="-9"/>
        </w:rPr>
        <w:t> </w:t>
      </w:r>
      <w:r>
        <w:rPr/>
        <w:t>and C1</w:t>
      </w:r>
      <w:r>
        <w:rPr>
          <w:spacing w:val="40"/>
        </w:rPr>
        <w:t> </w:t>
      </w:r>
      <w:r>
        <w:rPr/>
        <w:t>Collaboration.</w:t>
      </w:r>
    </w:p>
    <w:p>
      <w:pPr>
        <w:spacing w:before="116"/>
        <w:ind w:left="439" w:right="0" w:firstLine="0"/>
        <w:jc w:val="left"/>
        <w:rPr>
          <w:b/>
          <w:sz w:val="20"/>
        </w:rPr>
      </w:pPr>
      <w:r>
        <w:rPr>
          <w:b/>
          <w:sz w:val="20"/>
        </w:rPr>
        <w:t>Topical</w:t>
      </w:r>
      <w:r>
        <w:rPr>
          <w:b/>
          <w:spacing w:val="-7"/>
          <w:sz w:val="20"/>
        </w:rPr>
        <w:t> </w:t>
      </w:r>
      <w:r>
        <w:rPr>
          <w:b/>
          <w:sz w:val="20"/>
        </w:rPr>
        <w:t>Outline</w:t>
      </w:r>
      <w:r>
        <w:rPr>
          <w:b/>
          <w:spacing w:val="-7"/>
          <w:sz w:val="20"/>
        </w:rPr>
        <w:t> </w:t>
      </w:r>
      <w:r>
        <w:rPr>
          <w:b/>
          <w:sz w:val="20"/>
        </w:rPr>
        <w:t>and</w:t>
      </w:r>
      <w:r>
        <w:rPr>
          <w:b/>
          <w:spacing w:val="-6"/>
          <w:sz w:val="20"/>
        </w:rPr>
        <w:t> </w:t>
      </w:r>
      <w:r>
        <w:rPr>
          <w:b/>
          <w:sz w:val="20"/>
        </w:rPr>
        <w:t>percentage</w:t>
      </w:r>
      <w:r>
        <w:rPr>
          <w:b/>
          <w:spacing w:val="-7"/>
          <w:sz w:val="20"/>
        </w:rPr>
        <w:t> </w:t>
      </w:r>
      <w:r>
        <w:rPr>
          <w:b/>
          <w:sz w:val="20"/>
        </w:rPr>
        <w:t>of</w:t>
      </w:r>
      <w:r>
        <w:rPr>
          <w:b/>
          <w:spacing w:val="-6"/>
          <w:sz w:val="20"/>
        </w:rPr>
        <w:t> </w:t>
      </w:r>
      <w:r>
        <w:rPr>
          <w:b/>
          <w:sz w:val="20"/>
        </w:rPr>
        <w:t>time</w:t>
      </w:r>
      <w:r>
        <w:rPr>
          <w:b/>
          <w:spacing w:val="-6"/>
          <w:sz w:val="20"/>
        </w:rPr>
        <w:t> </w:t>
      </w:r>
      <w:r>
        <w:rPr>
          <w:b/>
          <w:sz w:val="20"/>
        </w:rPr>
        <w:t>spent</w:t>
      </w:r>
      <w:r>
        <w:rPr>
          <w:b/>
          <w:spacing w:val="-6"/>
          <w:sz w:val="20"/>
        </w:rPr>
        <w:t> </w:t>
      </w:r>
      <w:r>
        <w:rPr>
          <w:b/>
          <w:sz w:val="20"/>
        </w:rPr>
        <w:t>on</w:t>
      </w:r>
      <w:r>
        <w:rPr>
          <w:b/>
          <w:spacing w:val="-4"/>
          <w:sz w:val="20"/>
        </w:rPr>
        <w:t> each</w:t>
      </w:r>
    </w:p>
    <w:p>
      <w:pPr>
        <w:pStyle w:val="BodyText"/>
        <w:spacing w:before="123"/>
        <w:ind w:left="1159" w:right="642"/>
      </w:pPr>
      <w:r>
        <w:rPr/>
        <w:t>Small</w:t>
      </w:r>
      <w:r>
        <w:rPr>
          <w:spacing w:val="-6"/>
        </w:rPr>
        <w:t> </w:t>
      </w:r>
      <w:r>
        <w:rPr/>
        <w:t>team design</w:t>
      </w:r>
      <w:r>
        <w:rPr>
          <w:spacing w:val="-5"/>
        </w:rPr>
        <w:t> </w:t>
      </w:r>
      <w:r>
        <w:rPr/>
        <w:t>proposals</w:t>
      </w:r>
      <w:r>
        <w:rPr>
          <w:spacing w:val="-4"/>
        </w:rPr>
        <w:t> </w:t>
      </w:r>
      <w:r>
        <w:rPr/>
        <w:t>(20%),</w:t>
      </w:r>
      <w:r>
        <w:rPr>
          <w:spacing w:val="-5"/>
        </w:rPr>
        <w:t> </w:t>
      </w:r>
      <w:r>
        <w:rPr/>
        <w:t>design</w:t>
      </w:r>
      <w:r>
        <w:rPr>
          <w:spacing w:val="-5"/>
        </w:rPr>
        <w:t> </w:t>
      </w:r>
      <w:r>
        <w:rPr/>
        <w:t>selection</w:t>
      </w:r>
      <w:r>
        <w:rPr>
          <w:spacing w:val="-5"/>
        </w:rPr>
        <w:t> </w:t>
      </w:r>
      <w:r>
        <w:rPr/>
        <w:t>and</w:t>
      </w:r>
      <w:r>
        <w:rPr>
          <w:spacing w:val="-5"/>
        </w:rPr>
        <w:t> </w:t>
      </w:r>
      <w:r>
        <w:rPr/>
        <w:t>development</w:t>
      </w:r>
      <w:r>
        <w:rPr>
          <w:spacing w:val="-5"/>
        </w:rPr>
        <w:t> </w:t>
      </w:r>
      <w:r>
        <w:rPr/>
        <w:t>(20%),</w:t>
      </w:r>
      <w:r>
        <w:rPr>
          <w:spacing w:val="-5"/>
        </w:rPr>
        <w:t> </w:t>
      </w:r>
      <w:r>
        <w:rPr/>
        <w:t>architectural development (30%), digital modeling and rendering (20%), report production (10%).</w:t>
      </w:r>
    </w:p>
    <w:p>
      <w:pPr>
        <w:spacing w:before="118"/>
        <w:ind w:left="439" w:right="0" w:firstLine="0"/>
        <w:jc w:val="left"/>
        <w:rPr>
          <w:b/>
          <w:sz w:val="20"/>
        </w:rPr>
      </w:pPr>
      <w:r>
        <w:rPr>
          <w:b/>
          <w:w w:val="95"/>
          <w:sz w:val="20"/>
        </w:rPr>
        <w:t>Pre-</w:t>
      </w:r>
      <w:r>
        <w:rPr>
          <w:b/>
          <w:spacing w:val="-2"/>
          <w:sz w:val="20"/>
        </w:rPr>
        <w:t>requisites</w:t>
      </w:r>
    </w:p>
    <w:p>
      <w:pPr>
        <w:pStyle w:val="BodyText"/>
        <w:spacing w:before="123"/>
        <w:ind w:left="1159"/>
      </w:pPr>
      <w:r>
        <w:rPr/>
        <w:t>ARC</w:t>
      </w:r>
      <w:r>
        <w:rPr>
          <w:spacing w:val="-5"/>
        </w:rPr>
        <w:t> </w:t>
      </w:r>
      <w:r>
        <w:rPr/>
        <w:t>101,</w:t>
      </w:r>
      <w:r>
        <w:rPr>
          <w:spacing w:val="-3"/>
        </w:rPr>
        <w:t> </w:t>
      </w:r>
      <w:r>
        <w:rPr/>
        <w:t>102,</w:t>
      </w:r>
      <w:r>
        <w:rPr>
          <w:spacing w:val="-5"/>
        </w:rPr>
        <w:t> </w:t>
      </w:r>
      <w:r>
        <w:rPr/>
        <w:t>200,</w:t>
      </w:r>
      <w:r>
        <w:rPr>
          <w:spacing w:val="-3"/>
        </w:rPr>
        <w:t> </w:t>
      </w:r>
      <w:r>
        <w:rPr/>
        <w:t>201,</w:t>
      </w:r>
      <w:r>
        <w:rPr>
          <w:spacing w:val="-3"/>
        </w:rPr>
        <w:t> </w:t>
      </w:r>
      <w:r>
        <w:rPr/>
        <w:t>202,</w:t>
      </w:r>
      <w:r>
        <w:rPr>
          <w:spacing w:val="-5"/>
        </w:rPr>
        <w:t> </w:t>
      </w:r>
      <w:r>
        <w:rPr/>
        <w:t>203,</w:t>
      </w:r>
      <w:r>
        <w:rPr>
          <w:spacing w:val="-2"/>
        </w:rPr>
        <w:t> </w:t>
      </w:r>
      <w:r>
        <w:rPr/>
        <w:t>204,</w:t>
      </w:r>
      <w:r>
        <w:rPr>
          <w:spacing w:val="-5"/>
        </w:rPr>
        <w:t> </w:t>
      </w:r>
      <w:r>
        <w:rPr/>
        <w:t>207,</w:t>
      </w:r>
      <w:r>
        <w:rPr>
          <w:spacing w:val="-5"/>
        </w:rPr>
        <w:t> </w:t>
      </w:r>
      <w:r>
        <w:rPr/>
        <w:t>208,</w:t>
      </w:r>
      <w:r>
        <w:rPr>
          <w:spacing w:val="-3"/>
        </w:rPr>
        <w:t> </w:t>
      </w:r>
      <w:r>
        <w:rPr/>
        <w:t>213,</w:t>
      </w:r>
      <w:r>
        <w:rPr>
          <w:spacing w:val="-5"/>
        </w:rPr>
        <w:t> </w:t>
      </w:r>
      <w:r>
        <w:rPr/>
        <w:t>303,</w:t>
      </w:r>
      <w:r>
        <w:rPr>
          <w:spacing w:val="-4"/>
        </w:rPr>
        <w:t> </w:t>
      </w:r>
      <w:r>
        <w:rPr/>
        <w:t>304</w:t>
      </w:r>
      <w:r>
        <w:rPr>
          <w:spacing w:val="-5"/>
        </w:rPr>
        <w:t> </w:t>
      </w:r>
      <w:r>
        <w:rPr/>
        <w:t>and</w:t>
      </w:r>
      <w:r>
        <w:rPr>
          <w:spacing w:val="-5"/>
        </w:rPr>
        <w:t> </w:t>
      </w:r>
      <w:r>
        <w:rPr/>
        <w:t>305;</w:t>
      </w:r>
      <w:r>
        <w:rPr>
          <w:spacing w:val="-3"/>
        </w:rPr>
        <w:t> </w:t>
      </w:r>
      <w:r>
        <w:rPr/>
        <w:t>MAT</w:t>
      </w:r>
      <w:r>
        <w:rPr>
          <w:spacing w:val="-2"/>
        </w:rPr>
        <w:t> </w:t>
      </w:r>
      <w:r>
        <w:rPr/>
        <w:t>118;</w:t>
      </w:r>
      <w:r>
        <w:rPr>
          <w:spacing w:val="48"/>
        </w:rPr>
        <w:t> </w:t>
      </w:r>
      <w:r>
        <w:rPr/>
        <w:t>PHY</w:t>
      </w:r>
      <w:r>
        <w:rPr>
          <w:spacing w:val="-5"/>
        </w:rPr>
        <w:t> </w:t>
      </w:r>
      <w:r>
        <w:rPr>
          <w:spacing w:val="-4"/>
        </w:rPr>
        <w:t>201.</w:t>
      </w:r>
    </w:p>
    <w:p>
      <w:pPr>
        <w:spacing w:before="118"/>
        <w:ind w:left="439" w:right="0" w:firstLine="0"/>
        <w:jc w:val="left"/>
        <w:rPr>
          <w:b/>
          <w:sz w:val="20"/>
        </w:rPr>
      </w:pPr>
      <w:r>
        <w:rPr>
          <w:b/>
          <w:sz w:val="20"/>
        </w:rPr>
        <w:t>Textbooks</w:t>
      </w:r>
      <w:r>
        <w:rPr>
          <w:b/>
          <w:spacing w:val="-11"/>
          <w:sz w:val="20"/>
        </w:rPr>
        <w:t> </w:t>
      </w:r>
      <w:r>
        <w:rPr>
          <w:b/>
          <w:sz w:val="20"/>
        </w:rPr>
        <w:t>/</w:t>
      </w:r>
      <w:r>
        <w:rPr>
          <w:b/>
          <w:spacing w:val="-9"/>
          <w:sz w:val="20"/>
        </w:rPr>
        <w:t> </w:t>
      </w:r>
      <w:r>
        <w:rPr>
          <w:b/>
          <w:sz w:val="20"/>
        </w:rPr>
        <w:t>Learning</w:t>
      </w:r>
      <w:r>
        <w:rPr>
          <w:b/>
          <w:spacing w:val="-5"/>
          <w:sz w:val="20"/>
        </w:rPr>
        <w:t> </w:t>
      </w:r>
      <w:r>
        <w:rPr>
          <w:b/>
          <w:spacing w:val="-2"/>
          <w:sz w:val="20"/>
        </w:rPr>
        <w:t>Resources</w:t>
      </w:r>
    </w:p>
    <w:p>
      <w:pPr>
        <w:pStyle w:val="BodyText"/>
        <w:spacing w:before="121"/>
        <w:ind w:left="799"/>
      </w:pPr>
      <w:r>
        <w:rPr/>
        <w:t>Materials</w:t>
      </w:r>
      <w:r>
        <w:rPr>
          <w:spacing w:val="-8"/>
        </w:rPr>
        <w:t> </w:t>
      </w:r>
      <w:r>
        <w:rPr/>
        <w:t>assembled</w:t>
      </w:r>
      <w:r>
        <w:rPr>
          <w:spacing w:val="-11"/>
        </w:rPr>
        <w:t> </w:t>
      </w:r>
      <w:r>
        <w:rPr/>
        <w:t>during</w:t>
      </w:r>
      <w:r>
        <w:rPr>
          <w:spacing w:val="-10"/>
        </w:rPr>
        <w:t> </w:t>
      </w:r>
      <w:r>
        <w:rPr>
          <w:spacing w:val="-2"/>
        </w:rPr>
        <w:t>travel.</w:t>
      </w:r>
    </w:p>
    <w:p>
      <w:pPr>
        <w:spacing w:before="118"/>
        <w:ind w:left="439" w:right="0" w:firstLine="0"/>
        <w:jc w:val="left"/>
        <w:rPr>
          <w:b/>
          <w:sz w:val="20"/>
        </w:rPr>
      </w:pPr>
      <w:r>
        <w:rPr>
          <w:b/>
          <w:sz w:val="20"/>
        </w:rPr>
        <w:t>Offered</w:t>
      </w:r>
      <w:r>
        <w:rPr>
          <w:b/>
          <w:spacing w:val="-10"/>
          <w:sz w:val="20"/>
        </w:rPr>
        <w:t> </w:t>
      </w:r>
      <w:r>
        <w:rPr>
          <w:b/>
          <w:spacing w:val="-2"/>
          <w:sz w:val="20"/>
        </w:rPr>
        <w:t>(terms):</w:t>
      </w:r>
    </w:p>
    <w:p>
      <w:pPr>
        <w:pStyle w:val="BodyText"/>
        <w:spacing w:before="123"/>
        <w:ind w:left="799"/>
      </w:pPr>
      <w:r>
        <w:rPr/>
        <w:t>Summer</w:t>
      </w:r>
      <w:r>
        <w:rPr>
          <w:spacing w:val="-8"/>
        </w:rPr>
        <w:t> </w:t>
      </w:r>
      <w:r>
        <w:rPr/>
        <w:t>session</w:t>
      </w:r>
      <w:r>
        <w:rPr>
          <w:spacing w:val="-9"/>
        </w:rPr>
        <w:t> </w:t>
      </w:r>
      <w:r>
        <w:rPr>
          <w:spacing w:val="-4"/>
        </w:rPr>
        <w:t>only</w:t>
      </w:r>
    </w:p>
    <w:p>
      <w:pPr>
        <w:spacing w:before="118"/>
        <w:ind w:left="439" w:right="0" w:firstLine="0"/>
        <w:jc w:val="left"/>
        <w:rPr>
          <w:b/>
          <w:sz w:val="20"/>
        </w:rPr>
      </w:pPr>
      <w:r>
        <w:rPr>
          <w:b/>
          <w:sz w:val="20"/>
        </w:rPr>
        <w:t>Faculty</w:t>
      </w:r>
      <w:r>
        <w:rPr>
          <w:b/>
          <w:spacing w:val="-8"/>
          <w:sz w:val="20"/>
        </w:rPr>
        <w:t> </w:t>
      </w:r>
      <w:r>
        <w:rPr>
          <w:b/>
          <w:spacing w:val="-2"/>
          <w:sz w:val="20"/>
        </w:rPr>
        <w:t>Assigned</w:t>
      </w:r>
    </w:p>
    <w:p>
      <w:pPr>
        <w:pStyle w:val="BodyText"/>
        <w:spacing w:before="122"/>
        <w:ind w:left="1159" w:right="5495"/>
      </w:pPr>
      <w:r>
        <w:rPr/>
        <w:t>2014</w:t>
      </w:r>
      <w:r>
        <w:rPr>
          <w:spacing w:val="-7"/>
        </w:rPr>
        <w:t> </w:t>
      </w:r>
      <w:r>
        <w:rPr/>
        <w:t>–</w:t>
      </w:r>
      <w:r>
        <w:rPr>
          <w:spacing w:val="-7"/>
        </w:rPr>
        <w:t> </w:t>
      </w:r>
      <w:r>
        <w:rPr/>
        <w:t>Andrews</w:t>
      </w:r>
      <w:r>
        <w:rPr>
          <w:spacing w:val="-8"/>
        </w:rPr>
        <w:t> </w:t>
      </w:r>
      <w:r>
        <w:rPr/>
        <w:t>(F/T)</w:t>
      </w:r>
      <w:r>
        <w:rPr>
          <w:spacing w:val="-8"/>
        </w:rPr>
        <w:t> </w:t>
      </w:r>
      <w:r>
        <w:rPr/>
        <w:t>Gindroz</w:t>
      </w:r>
      <w:r>
        <w:rPr>
          <w:spacing w:val="-12"/>
        </w:rPr>
        <w:t> </w:t>
      </w:r>
      <w:r>
        <w:rPr/>
        <w:t>(Adjunct) 2013 – Andrews (F/T)</w:t>
      </w:r>
    </w:p>
    <w:p>
      <w:pPr>
        <w:spacing w:after="0"/>
        <w:sectPr>
          <w:headerReference w:type="default" r:id="rId209"/>
          <w:footerReference w:type="default" r:id="rId210"/>
          <w:pgSz w:w="12240" w:h="15840"/>
          <w:pgMar w:header="993" w:footer="974" w:top="1240" w:bottom="1160" w:left="1000" w:right="820"/>
        </w:sectPr>
      </w:pPr>
    </w:p>
    <w:p>
      <w:pPr>
        <w:spacing w:before="115"/>
        <w:ind w:left="440" w:right="0" w:firstLine="0"/>
        <w:jc w:val="left"/>
        <w:rPr>
          <w:b/>
          <w:sz w:val="20"/>
        </w:rPr>
      </w:pPr>
      <w:r>
        <w:rPr>
          <w:b/>
          <w:sz w:val="20"/>
        </w:rPr>
        <w:t>Course</w:t>
      </w:r>
      <w:r>
        <w:rPr>
          <w:b/>
          <w:spacing w:val="-9"/>
          <w:sz w:val="20"/>
        </w:rPr>
        <w:t> </w:t>
      </w:r>
      <w:r>
        <w:rPr>
          <w:b/>
          <w:sz w:val="20"/>
        </w:rPr>
        <w:t>Description</w:t>
      </w:r>
      <w:r>
        <w:rPr>
          <w:b/>
          <w:spacing w:val="-8"/>
          <w:sz w:val="20"/>
        </w:rPr>
        <w:t> </w:t>
      </w:r>
      <w:r>
        <w:rPr>
          <w:b/>
          <w:sz w:val="20"/>
        </w:rPr>
        <w:t>(limit</w:t>
      </w:r>
      <w:r>
        <w:rPr>
          <w:b/>
          <w:spacing w:val="-7"/>
          <w:sz w:val="20"/>
        </w:rPr>
        <w:t> </w:t>
      </w:r>
      <w:r>
        <w:rPr>
          <w:b/>
          <w:sz w:val="20"/>
        </w:rPr>
        <w:t>25</w:t>
      </w:r>
      <w:r>
        <w:rPr>
          <w:b/>
          <w:spacing w:val="-8"/>
          <w:sz w:val="20"/>
        </w:rPr>
        <w:t> </w:t>
      </w:r>
      <w:r>
        <w:rPr>
          <w:b/>
          <w:spacing w:val="-2"/>
          <w:sz w:val="20"/>
        </w:rPr>
        <w:t>words):</w:t>
      </w:r>
    </w:p>
    <w:p>
      <w:pPr>
        <w:pStyle w:val="BodyText"/>
        <w:spacing w:before="122"/>
        <w:ind w:left="1159" w:right="1003"/>
      </w:pPr>
      <w:r>
        <w:rPr/>
        <w:t>A</w:t>
      </w:r>
      <w:r>
        <w:rPr>
          <w:spacing w:val="-6"/>
        </w:rPr>
        <w:t> </w:t>
      </w:r>
      <w:r>
        <w:rPr/>
        <w:t>fundamental</w:t>
      </w:r>
      <w:r>
        <w:rPr>
          <w:spacing w:val="-4"/>
        </w:rPr>
        <w:t> </w:t>
      </w:r>
      <w:r>
        <w:rPr/>
        <w:t>introduction to</w:t>
      </w:r>
      <w:r>
        <w:rPr>
          <w:spacing w:val="-5"/>
        </w:rPr>
        <w:t> </w:t>
      </w:r>
      <w:r>
        <w:rPr/>
        <w:t>statics</w:t>
      </w:r>
      <w:r>
        <w:rPr>
          <w:spacing w:val="-4"/>
        </w:rPr>
        <w:t> </w:t>
      </w:r>
      <w:r>
        <w:rPr/>
        <w:t>and</w:t>
      </w:r>
      <w:r>
        <w:rPr>
          <w:spacing w:val="-5"/>
        </w:rPr>
        <w:t> </w:t>
      </w:r>
      <w:r>
        <w:rPr/>
        <w:t>strengths</w:t>
      </w:r>
      <w:r>
        <w:rPr>
          <w:spacing w:val="-1"/>
        </w:rPr>
        <w:t> </w:t>
      </w:r>
      <w:r>
        <w:rPr/>
        <w:t>of</w:t>
      </w:r>
      <w:r>
        <w:rPr>
          <w:spacing w:val="-3"/>
        </w:rPr>
        <w:t> </w:t>
      </w:r>
      <w:r>
        <w:rPr/>
        <w:t>material</w:t>
      </w:r>
      <w:r>
        <w:rPr>
          <w:spacing w:val="-6"/>
        </w:rPr>
        <w:t> </w:t>
      </w:r>
      <w:r>
        <w:rPr/>
        <w:t>elements</w:t>
      </w:r>
      <w:r>
        <w:rPr>
          <w:spacing w:val="-4"/>
        </w:rPr>
        <w:t> </w:t>
      </w:r>
      <w:r>
        <w:rPr/>
        <w:t>in</w:t>
      </w:r>
      <w:r>
        <w:rPr>
          <w:spacing w:val="-5"/>
        </w:rPr>
        <w:t> </w:t>
      </w:r>
      <w:r>
        <w:rPr/>
        <w:t>architectural </w:t>
      </w:r>
      <w:r>
        <w:rPr>
          <w:spacing w:val="-2"/>
        </w:rPr>
        <w:t>scenarios.</w:t>
      </w:r>
    </w:p>
    <w:p>
      <w:pPr>
        <w:spacing w:before="119"/>
        <w:ind w:left="439" w:right="0" w:firstLine="0"/>
        <w:jc w:val="left"/>
        <w:rPr>
          <w:b/>
          <w:sz w:val="20"/>
        </w:rPr>
      </w:pPr>
      <w:r>
        <w:rPr>
          <w:b/>
          <w:sz w:val="20"/>
        </w:rPr>
        <w:t>Course</w:t>
      </w:r>
      <w:r>
        <w:rPr>
          <w:b/>
          <w:spacing w:val="-9"/>
          <w:sz w:val="20"/>
        </w:rPr>
        <w:t> </w:t>
      </w:r>
      <w:r>
        <w:rPr>
          <w:b/>
          <w:sz w:val="20"/>
        </w:rPr>
        <w:t>Goals</w:t>
      </w:r>
      <w:r>
        <w:rPr>
          <w:b/>
          <w:spacing w:val="-7"/>
          <w:sz w:val="20"/>
        </w:rPr>
        <w:t> </w:t>
      </w:r>
      <w:r>
        <w:rPr>
          <w:b/>
          <w:sz w:val="20"/>
        </w:rPr>
        <w:t>and</w:t>
      </w:r>
      <w:r>
        <w:rPr>
          <w:b/>
          <w:spacing w:val="-5"/>
          <w:sz w:val="20"/>
        </w:rPr>
        <w:t> </w:t>
      </w:r>
      <w:r>
        <w:rPr>
          <w:b/>
          <w:spacing w:val="-2"/>
          <w:sz w:val="20"/>
        </w:rPr>
        <w:t>Objectives;</w:t>
      </w:r>
    </w:p>
    <w:p>
      <w:pPr>
        <w:pStyle w:val="BodyText"/>
        <w:spacing w:line="229" w:lineRule="exact" w:before="123"/>
        <w:ind w:left="1159"/>
      </w:pPr>
      <w:r>
        <w:rPr/>
        <w:t>Students</w:t>
      </w:r>
      <w:r>
        <w:rPr>
          <w:spacing w:val="-4"/>
        </w:rPr>
        <w:t> </w:t>
      </w:r>
      <w:r>
        <w:rPr/>
        <w:t>will</w:t>
      </w:r>
      <w:r>
        <w:rPr>
          <w:spacing w:val="-8"/>
        </w:rPr>
        <w:t> </w:t>
      </w:r>
      <w:r>
        <w:rPr/>
        <w:t>understand</w:t>
      </w:r>
      <w:r>
        <w:rPr>
          <w:spacing w:val="-8"/>
        </w:rPr>
        <w:t> </w:t>
      </w:r>
      <w:r>
        <w:rPr/>
        <w:t>the</w:t>
      </w:r>
      <w:r>
        <w:rPr>
          <w:spacing w:val="-7"/>
        </w:rPr>
        <w:t> </w:t>
      </w:r>
      <w:r>
        <w:rPr/>
        <w:t>principles</w:t>
      </w:r>
      <w:r>
        <w:rPr>
          <w:spacing w:val="-7"/>
        </w:rPr>
        <w:t> </w:t>
      </w:r>
      <w:r>
        <w:rPr/>
        <w:t>of</w:t>
      </w:r>
      <w:r>
        <w:rPr>
          <w:spacing w:val="-5"/>
        </w:rPr>
        <w:t> </w:t>
      </w:r>
      <w:r>
        <w:rPr/>
        <w:t>statics</w:t>
      </w:r>
      <w:r>
        <w:rPr>
          <w:spacing w:val="-7"/>
        </w:rPr>
        <w:t> </w:t>
      </w:r>
      <w:r>
        <w:rPr/>
        <w:t>and</w:t>
      </w:r>
      <w:r>
        <w:rPr>
          <w:spacing w:val="-7"/>
        </w:rPr>
        <w:t> </w:t>
      </w:r>
      <w:r>
        <w:rPr/>
        <w:t>strengths</w:t>
      </w:r>
      <w:r>
        <w:rPr>
          <w:spacing w:val="-4"/>
        </w:rPr>
        <w:t> </w:t>
      </w:r>
      <w:r>
        <w:rPr/>
        <w:t>of</w:t>
      </w:r>
      <w:r>
        <w:rPr>
          <w:spacing w:val="-7"/>
        </w:rPr>
        <w:t> </w:t>
      </w:r>
      <w:r>
        <w:rPr>
          <w:spacing w:val="-2"/>
        </w:rPr>
        <w:t>materials.</w:t>
      </w:r>
    </w:p>
    <w:p>
      <w:pPr>
        <w:pStyle w:val="BodyText"/>
        <w:ind w:left="1519" w:right="642" w:hanging="360"/>
      </w:pPr>
      <w:r>
        <w:rPr/>
        <w:t>The</w:t>
      </w:r>
      <w:r>
        <w:rPr>
          <w:spacing w:val="-7"/>
        </w:rPr>
        <w:t> </w:t>
      </w:r>
      <w:r>
        <w:rPr/>
        <w:t>knowledge</w:t>
      </w:r>
      <w:r>
        <w:rPr>
          <w:spacing w:val="-2"/>
        </w:rPr>
        <w:t> </w:t>
      </w:r>
      <w:r>
        <w:rPr/>
        <w:t>of</w:t>
      </w:r>
      <w:r>
        <w:rPr>
          <w:spacing w:val="-2"/>
        </w:rPr>
        <w:t> </w:t>
      </w:r>
      <w:r>
        <w:rPr/>
        <w:t>the</w:t>
      </w:r>
      <w:r>
        <w:rPr>
          <w:spacing w:val="-4"/>
        </w:rPr>
        <w:t> </w:t>
      </w:r>
      <w:r>
        <w:rPr/>
        <w:t>mechanics</w:t>
      </w:r>
      <w:r>
        <w:rPr>
          <w:spacing w:val="-3"/>
        </w:rPr>
        <w:t> </w:t>
      </w:r>
      <w:r>
        <w:rPr/>
        <w:t>of</w:t>
      </w:r>
      <w:r>
        <w:rPr>
          <w:spacing w:val="-2"/>
        </w:rPr>
        <w:t> </w:t>
      </w:r>
      <w:r>
        <w:rPr/>
        <w:t>timber,</w:t>
      </w:r>
      <w:r>
        <w:rPr>
          <w:spacing w:val="-4"/>
        </w:rPr>
        <w:t> </w:t>
      </w:r>
      <w:r>
        <w:rPr/>
        <w:t>steel</w:t>
      </w:r>
      <w:r>
        <w:rPr>
          <w:spacing w:val="-5"/>
        </w:rPr>
        <w:t> </w:t>
      </w:r>
      <w:r>
        <w:rPr/>
        <w:t>(309),</w:t>
      </w:r>
      <w:r>
        <w:rPr>
          <w:spacing w:val="-4"/>
        </w:rPr>
        <w:t> </w:t>
      </w:r>
      <w:r>
        <w:rPr/>
        <w:t>concrete</w:t>
      </w:r>
      <w:r>
        <w:rPr>
          <w:spacing w:val="-4"/>
        </w:rPr>
        <w:t> </w:t>
      </w:r>
      <w:r>
        <w:rPr/>
        <w:t>and</w:t>
      </w:r>
      <w:r>
        <w:rPr>
          <w:spacing w:val="-4"/>
        </w:rPr>
        <w:t> </w:t>
      </w:r>
      <w:r>
        <w:rPr/>
        <w:t>hybrid</w:t>
      </w:r>
      <w:r>
        <w:rPr>
          <w:spacing w:val="-4"/>
        </w:rPr>
        <w:t> </w:t>
      </w:r>
      <w:r>
        <w:rPr/>
        <w:t>systems</w:t>
      </w:r>
      <w:r>
        <w:rPr>
          <w:spacing w:val="-3"/>
        </w:rPr>
        <w:t> </w:t>
      </w:r>
      <w:r>
        <w:rPr/>
        <w:t>(how</w:t>
      </w:r>
      <w:r>
        <w:rPr>
          <w:spacing w:val="-1"/>
        </w:rPr>
        <w:t> </w:t>
      </w:r>
      <w:r>
        <w:rPr/>
        <w:t>to</w:t>
      </w:r>
      <w:r>
        <w:rPr>
          <w:spacing w:val="-4"/>
        </w:rPr>
        <w:t> </w:t>
      </w:r>
      <w:r>
        <w:rPr/>
        <w:t>find information about and select systems using charts and diagrams).</w:t>
      </w:r>
    </w:p>
    <w:p>
      <w:pPr>
        <w:pStyle w:val="BodyText"/>
        <w:ind w:left="1159" w:right="642"/>
      </w:pPr>
      <w:r>
        <w:rPr/>
        <w:t>Students</w:t>
      </w:r>
      <w:r>
        <w:rPr>
          <w:spacing w:val="-1"/>
        </w:rPr>
        <w:t> </w:t>
      </w:r>
      <w:r>
        <w:rPr/>
        <w:t>will</w:t>
      </w:r>
      <w:r>
        <w:rPr>
          <w:spacing w:val="-5"/>
        </w:rPr>
        <w:t> </w:t>
      </w:r>
      <w:r>
        <w:rPr/>
        <w:t>understand</w:t>
      </w:r>
      <w:r>
        <w:rPr>
          <w:spacing w:val="-4"/>
        </w:rPr>
        <w:t> </w:t>
      </w:r>
      <w:r>
        <w:rPr/>
        <w:t>the</w:t>
      </w:r>
      <w:r>
        <w:rPr>
          <w:spacing w:val="-4"/>
        </w:rPr>
        <w:t> </w:t>
      </w:r>
      <w:r>
        <w:rPr/>
        <w:t>process</w:t>
      </w:r>
      <w:r>
        <w:rPr>
          <w:spacing w:val="-3"/>
        </w:rPr>
        <w:t> </w:t>
      </w:r>
      <w:r>
        <w:rPr/>
        <w:t>for</w:t>
      </w:r>
      <w:r>
        <w:rPr>
          <w:spacing w:val="-3"/>
        </w:rPr>
        <w:t> </w:t>
      </w:r>
      <w:r>
        <w:rPr/>
        <w:t>selecting</w:t>
      </w:r>
      <w:r>
        <w:rPr>
          <w:spacing w:val="-4"/>
        </w:rPr>
        <w:t> </w:t>
      </w:r>
      <w:r>
        <w:rPr/>
        <w:t>structural</w:t>
      </w:r>
      <w:r>
        <w:rPr>
          <w:spacing w:val="-5"/>
        </w:rPr>
        <w:t> </w:t>
      </w:r>
      <w:r>
        <w:rPr/>
        <w:t>systems</w:t>
      </w:r>
      <w:r>
        <w:rPr>
          <w:spacing w:val="-3"/>
        </w:rPr>
        <w:t> </w:t>
      </w:r>
      <w:r>
        <w:rPr/>
        <w:t>to</w:t>
      </w:r>
      <w:r>
        <w:rPr>
          <w:spacing w:val="-4"/>
        </w:rPr>
        <w:t> </w:t>
      </w:r>
      <w:r>
        <w:rPr/>
        <w:t>support</w:t>
      </w:r>
      <w:r>
        <w:rPr>
          <w:spacing w:val="-2"/>
        </w:rPr>
        <w:t> </w:t>
      </w:r>
      <w:r>
        <w:rPr/>
        <w:t>building</w:t>
      </w:r>
      <w:r>
        <w:rPr>
          <w:spacing w:val="-4"/>
        </w:rPr>
        <w:t> </w:t>
      </w:r>
      <w:r>
        <w:rPr/>
        <w:t>design. Students will demonstrate understanding through technical application via model-making.</w:t>
      </w:r>
    </w:p>
    <w:p>
      <w:pPr>
        <w:spacing w:before="118"/>
        <w:ind w:left="439" w:right="0" w:firstLine="0"/>
        <w:jc w:val="left"/>
        <w:rPr>
          <w:b/>
          <w:sz w:val="20"/>
        </w:rPr>
      </w:pPr>
      <w:r>
        <w:rPr>
          <w:b/>
          <w:sz w:val="20"/>
        </w:rPr>
        <w:t>Student</w:t>
      </w:r>
      <w:r>
        <w:rPr>
          <w:b/>
          <w:spacing w:val="-9"/>
          <w:sz w:val="20"/>
        </w:rPr>
        <w:t> </w:t>
      </w:r>
      <w:r>
        <w:rPr>
          <w:b/>
          <w:sz w:val="20"/>
        </w:rPr>
        <w:t>Performance</w:t>
      </w:r>
      <w:r>
        <w:rPr>
          <w:b/>
          <w:spacing w:val="-9"/>
          <w:sz w:val="20"/>
        </w:rPr>
        <w:t> </w:t>
      </w:r>
      <w:r>
        <w:rPr>
          <w:b/>
          <w:sz w:val="20"/>
        </w:rPr>
        <w:t>Criteria</w:t>
      </w:r>
      <w:r>
        <w:rPr>
          <w:b/>
          <w:spacing w:val="-5"/>
          <w:sz w:val="20"/>
        </w:rPr>
        <w:t> </w:t>
      </w:r>
      <w:r>
        <w:rPr>
          <w:b/>
          <w:sz w:val="20"/>
        </w:rPr>
        <w:t>Addressed</w:t>
      </w:r>
      <w:r>
        <w:rPr>
          <w:b/>
          <w:spacing w:val="-8"/>
          <w:sz w:val="20"/>
        </w:rPr>
        <w:t> </w:t>
      </w:r>
      <w:r>
        <w:rPr>
          <w:b/>
          <w:sz w:val="20"/>
        </w:rPr>
        <w:t>(name</w:t>
      </w:r>
      <w:r>
        <w:rPr>
          <w:b/>
          <w:spacing w:val="-9"/>
          <w:sz w:val="20"/>
        </w:rPr>
        <w:t> </w:t>
      </w:r>
      <w:r>
        <w:rPr>
          <w:b/>
          <w:sz w:val="20"/>
        </w:rPr>
        <w:t>and</w:t>
      </w:r>
      <w:r>
        <w:rPr>
          <w:b/>
          <w:spacing w:val="-8"/>
          <w:sz w:val="20"/>
        </w:rPr>
        <w:t> </w:t>
      </w:r>
      <w:r>
        <w:rPr>
          <w:b/>
          <w:spacing w:val="-2"/>
          <w:sz w:val="20"/>
        </w:rPr>
        <w:t>number)</w:t>
      </w:r>
    </w:p>
    <w:p>
      <w:pPr>
        <w:pStyle w:val="BodyText"/>
        <w:spacing w:before="123"/>
        <w:ind w:left="1159"/>
      </w:pPr>
      <w:r>
        <w:rPr/>
        <w:t>B-9</w:t>
      </w:r>
      <w:r>
        <w:rPr>
          <w:spacing w:val="-7"/>
        </w:rPr>
        <w:t> </w:t>
      </w:r>
      <w:r>
        <w:rPr/>
        <w:t>-</w:t>
      </w:r>
      <w:r>
        <w:rPr>
          <w:spacing w:val="-5"/>
        </w:rPr>
        <w:t> </w:t>
      </w:r>
      <w:r>
        <w:rPr/>
        <w:t>Structural</w:t>
      </w:r>
      <w:r>
        <w:rPr>
          <w:spacing w:val="-5"/>
        </w:rPr>
        <w:t> </w:t>
      </w:r>
      <w:r>
        <w:rPr>
          <w:spacing w:val="-2"/>
        </w:rPr>
        <w:t>Systems</w:t>
      </w:r>
    </w:p>
    <w:p>
      <w:pPr>
        <w:spacing w:before="116"/>
        <w:ind w:left="439" w:right="0" w:firstLine="0"/>
        <w:jc w:val="left"/>
        <w:rPr>
          <w:b/>
          <w:sz w:val="20"/>
        </w:rPr>
      </w:pPr>
      <w:r>
        <w:rPr>
          <w:b/>
          <w:sz w:val="20"/>
        </w:rPr>
        <w:t>Topical</w:t>
      </w:r>
      <w:r>
        <w:rPr>
          <w:b/>
          <w:spacing w:val="-7"/>
          <w:sz w:val="20"/>
        </w:rPr>
        <w:t> </w:t>
      </w:r>
      <w:r>
        <w:rPr>
          <w:b/>
          <w:sz w:val="20"/>
        </w:rPr>
        <w:t>Outline</w:t>
      </w:r>
      <w:r>
        <w:rPr>
          <w:b/>
          <w:spacing w:val="-7"/>
          <w:sz w:val="20"/>
        </w:rPr>
        <w:t> </w:t>
      </w:r>
      <w:r>
        <w:rPr>
          <w:b/>
          <w:sz w:val="20"/>
        </w:rPr>
        <w:t>and</w:t>
      </w:r>
      <w:r>
        <w:rPr>
          <w:b/>
          <w:spacing w:val="-6"/>
          <w:sz w:val="20"/>
        </w:rPr>
        <w:t> </w:t>
      </w:r>
      <w:r>
        <w:rPr>
          <w:b/>
          <w:sz w:val="20"/>
        </w:rPr>
        <w:t>percentage</w:t>
      </w:r>
      <w:r>
        <w:rPr>
          <w:b/>
          <w:spacing w:val="-6"/>
          <w:sz w:val="20"/>
        </w:rPr>
        <w:t> </w:t>
      </w:r>
      <w:r>
        <w:rPr>
          <w:b/>
          <w:sz w:val="20"/>
        </w:rPr>
        <w:t>of</w:t>
      </w:r>
      <w:r>
        <w:rPr>
          <w:b/>
          <w:spacing w:val="-6"/>
          <w:sz w:val="20"/>
        </w:rPr>
        <w:t> </w:t>
      </w:r>
      <w:r>
        <w:rPr>
          <w:b/>
          <w:sz w:val="20"/>
        </w:rPr>
        <w:t>time</w:t>
      </w:r>
      <w:r>
        <w:rPr>
          <w:b/>
          <w:spacing w:val="-7"/>
          <w:sz w:val="20"/>
        </w:rPr>
        <w:t> </w:t>
      </w:r>
      <w:r>
        <w:rPr>
          <w:b/>
          <w:sz w:val="20"/>
        </w:rPr>
        <w:t>spent</w:t>
      </w:r>
      <w:r>
        <w:rPr>
          <w:b/>
          <w:spacing w:val="-6"/>
          <w:sz w:val="20"/>
        </w:rPr>
        <w:t> </w:t>
      </w:r>
      <w:r>
        <w:rPr>
          <w:b/>
          <w:sz w:val="20"/>
        </w:rPr>
        <w:t>on</w:t>
      </w:r>
      <w:r>
        <w:rPr>
          <w:b/>
          <w:spacing w:val="-5"/>
          <w:sz w:val="20"/>
        </w:rPr>
        <w:t> </w:t>
      </w:r>
      <w:r>
        <w:rPr>
          <w:b/>
          <w:spacing w:val="-4"/>
          <w:sz w:val="20"/>
        </w:rPr>
        <w:t>each</w:t>
      </w:r>
    </w:p>
    <w:p>
      <w:pPr>
        <w:pStyle w:val="BodyText"/>
        <w:spacing w:before="122"/>
        <w:ind w:left="1159" w:right="6024"/>
      </w:pPr>
      <w:r>
        <w:rPr/>
        <w:t>Lectures</w:t>
      </w:r>
      <w:r>
        <w:rPr>
          <w:spacing w:val="-10"/>
        </w:rPr>
        <w:t> </w:t>
      </w:r>
      <w:r>
        <w:rPr/>
        <w:t>and</w:t>
      </w:r>
      <w:r>
        <w:rPr>
          <w:spacing w:val="-11"/>
        </w:rPr>
        <w:t> </w:t>
      </w:r>
      <w:r>
        <w:rPr/>
        <w:t>Demonstrations</w:t>
      </w:r>
      <w:r>
        <w:rPr>
          <w:spacing w:val="-10"/>
        </w:rPr>
        <w:t> </w:t>
      </w:r>
      <w:r>
        <w:rPr/>
        <w:t>–</w:t>
      </w:r>
      <w:r>
        <w:rPr>
          <w:spacing w:val="-10"/>
        </w:rPr>
        <w:t> </w:t>
      </w:r>
      <w:r>
        <w:rPr/>
        <w:t>75% Tests and Quizzes – 25%</w:t>
      </w:r>
    </w:p>
    <w:p>
      <w:pPr>
        <w:spacing w:before="119"/>
        <w:ind w:left="439" w:right="0" w:firstLine="0"/>
        <w:jc w:val="left"/>
        <w:rPr>
          <w:b/>
          <w:sz w:val="20"/>
        </w:rPr>
      </w:pPr>
      <w:r>
        <w:rPr>
          <w:b/>
          <w:w w:val="95"/>
          <w:sz w:val="20"/>
        </w:rPr>
        <w:t>Pre-</w:t>
      </w:r>
      <w:r>
        <w:rPr>
          <w:b/>
          <w:spacing w:val="-2"/>
          <w:sz w:val="20"/>
        </w:rPr>
        <w:t>requisites</w:t>
      </w:r>
    </w:p>
    <w:p>
      <w:pPr>
        <w:pStyle w:val="BodyText"/>
        <w:spacing w:before="123"/>
        <w:ind w:left="1159"/>
      </w:pPr>
      <w:r>
        <w:rPr/>
        <w:t>MAT</w:t>
      </w:r>
      <w:r>
        <w:rPr>
          <w:spacing w:val="-6"/>
        </w:rPr>
        <w:t> </w:t>
      </w:r>
      <w:r>
        <w:rPr/>
        <w:t>118</w:t>
      </w:r>
      <w:r>
        <w:rPr>
          <w:spacing w:val="-4"/>
        </w:rPr>
        <w:t> </w:t>
      </w:r>
      <w:r>
        <w:rPr/>
        <w:t>and</w:t>
      </w:r>
      <w:r>
        <w:rPr>
          <w:spacing w:val="-4"/>
        </w:rPr>
        <w:t> </w:t>
      </w:r>
      <w:r>
        <w:rPr/>
        <w:t>PHY</w:t>
      </w:r>
      <w:r>
        <w:rPr>
          <w:spacing w:val="-6"/>
        </w:rPr>
        <w:t> </w:t>
      </w:r>
      <w:r>
        <w:rPr>
          <w:spacing w:val="-4"/>
        </w:rPr>
        <w:t>201.</w:t>
      </w:r>
    </w:p>
    <w:p>
      <w:pPr>
        <w:spacing w:before="118"/>
        <w:ind w:left="439" w:right="0" w:firstLine="0"/>
        <w:jc w:val="left"/>
        <w:rPr>
          <w:b/>
          <w:sz w:val="20"/>
        </w:rPr>
      </w:pPr>
      <w:r>
        <w:rPr>
          <w:b/>
          <w:sz w:val="20"/>
        </w:rPr>
        <w:t>Textbooks</w:t>
      </w:r>
      <w:r>
        <w:rPr>
          <w:b/>
          <w:spacing w:val="-11"/>
          <w:sz w:val="20"/>
        </w:rPr>
        <w:t> </w:t>
      </w:r>
      <w:r>
        <w:rPr>
          <w:b/>
          <w:sz w:val="20"/>
        </w:rPr>
        <w:t>/</w:t>
      </w:r>
      <w:r>
        <w:rPr>
          <w:b/>
          <w:spacing w:val="-9"/>
          <w:sz w:val="20"/>
        </w:rPr>
        <w:t> </w:t>
      </w:r>
      <w:r>
        <w:rPr>
          <w:b/>
          <w:sz w:val="20"/>
        </w:rPr>
        <w:t>Learning</w:t>
      </w:r>
      <w:r>
        <w:rPr>
          <w:b/>
          <w:spacing w:val="-7"/>
          <w:sz w:val="20"/>
        </w:rPr>
        <w:t> </w:t>
      </w:r>
      <w:r>
        <w:rPr>
          <w:b/>
          <w:spacing w:val="-2"/>
          <w:sz w:val="20"/>
        </w:rPr>
        <w:t>Resources</w:t>
      </w:r>
    </w:p>
    <w:p>
      <w:pPr>
        <w:pStyle w:val="BodyText"/>
        <w:spacing w:before="120"/>
        <w:ind w:left="1158" w:right="642"/>
      </w:pPr>
      <w:r>
        <w:rPr/>
        <w:t>David</w:t>
      </w:r>
      <w:r>
        <w:rPr>
          <w:spacing w:val="-2"/>
        </w:rPr>
        <w:t> </w:t>
      </w:r>
      <w:r>
        <w:rPr/>
        <w:t>Berg,</w:t>
      </w:r>
      <w:r>
        <w:rPr>
          <w:spacing w:val="-2"/>
        </w:rPr>
        <w:t> </w:t>
      </w:r>
      <w:r>
        <w:rPr/>
        <w:t>Robert</w:t>
      </w:r>
      <w:r>
        <w:rPr>
          <w:spacing w:val="-4"/>
        </w:rPr>
        <w:t> </w:t>
      </w:r>
      <w:r>
        <w:rPr/>
        <w:t>Marks</w:t>
      </w:r>
      <w:r>
        <w:rPr>
          <w:spacing w:val="-5"/>
        </w:rPr>
        <w:t> </w:t>
      </w:r>
      <w:r>
        <w:rPr/>
        <w:t>&amp;</w:t>
      </w:r>
      <w:r>
        <w:rPr>
          <w:spacing w:val="-5"/>
        </w:rPr>
        <w:t> </w:t>
      </w:r>
      <w:r>
        <w:rPr/>
        <w:t>Lester</w:t>
      </w:r>
      <w:r>
        <w:rPr>
          <w:spacing w:val="-7"/>
        </w:rPr>
        <w:t> </w:t>
      </w:r>
      <w:r>
        <w:rPr/>
        <w:t>Wertheimer,</w:t>
      </w:r>
      <w:r>
        <w:rPr>
          <w:spacing w:val="-4"/>
        </w:rPr>
        <w:t> </w:t>
      </w:r>
      <w:r>
        <w:rPr/>
        <w:t>Structural</w:t>
      </w:r>
      <w:r>
        <w:rPr>
          <w:spacing w:val="-2"/>
        </w:rPr>
        <w:t> </w:t>
      </w:r>
      <w:r>
        <w:rPr/>
        <w:t>Systems</w:t>
      </w:r>
      <w:r>
        <w:rPr>
          <w:spacing w:val="-3"/>
        </w:rPr>
        <w:t> </w:t>
      </w:r>
      <w:r>
        <w:rPr/>
        <w:t>Study</w:t>
      </w:r>
      <w:r>
        <w:rPr>
          <w:spacing w:val="-6"/>
        </w:rPr>
        <w:t> </w:t>
      </w:r>
      <w:r>
        <w:rPr/>
        <w:t>Guide:</w:t>
      </w:r>
      <w:r>
        <w:rPr>
          <w:spacing w:val="40"/>
        </w:rPr>
        <w:t> </w:t>
      </w:r>
      <w:r>
        <w:rPr/>
        <w:t>2012</w:t>
      </w:r>
      <w:r>
        <w:rPr>
          <w:spacing w:val="-4"/>
        </w:rPr>
        <w:t> </w:t>
      </w:r>
      <w:r>
        <w:rPr/>
        <w:t>Edition, Kaplan Architecture Education; ISBN:</w:t>
      </w:r>
      <w:r>
        <w:rPr>
          <w:spacing w:val="40"/>
        </w:rPr>
        <w:t> </w:t>
      </w:r>
      <w:r>
        <w:rPr/>
        <w:t>978-1-4277-3709-0/1-4277-3709-6</w:t>
      </w:r>
    </w:p>
    <w:p>
      <w:pPr>
        <w:spacing w:before="119"/>
        <w:ind w:left="438" w:right="0" w:firstLine="0"/>
        <w:jc w:val="left"/>
        <w:rPr>
          <w:b/>
          <w:sz w:val="20"/>
        </w:rPr>
      </w:pPr>
      <w:r>
        <w:rPr>
          <w:b/>
          <w:sz w:val="20"/>
        </w:rPr>
        <w:t>Offered</w:t>
      </w:r>
      <w:r>
        <w:rPr>
          <w:b/>
          <w:spacing w:val="-10"/>
          <w:sz w:val="20"/>
        </w:rPr>
        <w:t> </w:t>
      </w:r>
      <w:r>
        <w:rPr>
          <w:b/>
          <w:spacing w:val="-2"/>
          <w:sz w:val="20"/>
        </w:rPr>
        <w:t>(terms):</w:t>
      </w:r>
    </w:p>
    <w:p>
      <w:pPr>
        <w:pStyle w:val="BodyText"/>
        <w:spacing w:before="122"/>
        <w:ind w:left="1158"/>
      </w:pPr>
      <w:r>
        <w:rPr/>
        <w:t>Spring</w:t>
      </w:r>
      <w:r>
        <w:rPr>
          <w:spacing w:val="-7"/>
        </w:rPr>
        <w:t> </w:t>
      </w:r>
      <w:r>
        <w:rPr/>
        <w:t>Semester</w:t>
      </w:r>
      <w:r>
        <w:rPr>
          <w:spacing w:val="-7"/>
        </w:rPr>
        <w:t> </w:t>
      </w:r>
      <w:r>
        <w:rPr/>
        <w:t>and</w:t>
      </w:r>
      <w:r>
        <w:rPr>
          <w:spacing w:val="-7"/>
        </w:rPr>
        <w:t> </w:t>
      </w:r>
      <w:r>
        <w:rPr/>
        <w:t>Summer</w:t>
      </w:r>
      <w:r>
        <w:rPr>
          <w:spacing w:val="-7"/>
        </w:rPr>
        <w:t> </w:t>
      </w:r>
      <w:r>
        <w:rPr/>
        <w:t>Session</w:t>
      </w:r>
      <w:r>
        <w:rPr>
          <w:spacing w:val="-8"/>
        </w:rPr>
        <w:t> </w:t>
      </w:r>
      <w:r>
        <w:rPr/>
        <w:t>(when</w:t>
      </w:r>
      <w:r>
        <w:rPr>
          <w:spacing w:val="-6"/>
        </w:rPr>
        <w:t> </w:t>
      </w:r>
      <w:r>
        <w:rPr>
          <w:spacing w:val="-2"/>
        </w:rPr>
        <w:t>needed)</w:t>
      </w:r>
    </w:p>
    <w:p>
      <w:pPr>
        <w:spacing w:before="119"/>
        <w:ind w:left="438" w:right="0" w:firstLine="0"/>
        <w:jc w:val="left"/>
        <w:rPr>
          <w:b/>
          <w:sz w:val="20"/>
        </w:rPr>
      </w:pPr>
      <w:r>
        <w:rPr>
          <w:b/>
          <w:sz w:val="20"/>
        </w:rPr>
        <w:t>Faculty</w:t>
      </w:r>
      <w:r>
        <w:rPr>
          <w:b/>
          <w:spacing w:val="-8"/>
          <w:sz w:val="20"/>
        </w:rPr>
        <w:t> </w:t>
      </w:r>
      <w:r>
        <w:rPr>
          <w:b/>
          <w:spacing w:val="-2"/>
          <w:sz w:val="20"/>
        </w:rPr>
        <w:t>Assigned</w:t>
      </w:r>
    </w:p>
    <w:p>
      <w:pPr>
        <w:pStyle w:val="BodyText"/>
        <w:spacing w:before="120"/>
        <w:ind w:left="1158" w:right="7005"/>
      </w:pPr>
      <w:r>
        <w:rPr/>
        <w:t>2014</w:t>
      </w:r>
      <w:r>
        <w:rPr>
          <w:spacing w:val="-14"/>
        </w:rPr>
        <w:t> </w:t>
      </w:r>
      <w:r>
        <w:rPr/>
        <w:t>–</w:t>
      </w:r>
      <w:r>
        <w:rPr>
          <w:spacing w:val="-13"/>
        </w:rPr>
        <w:t> </w:t>
      </w:r>
      <w:r>
        <w:rPr/>
        <w:t>Brown</w:t>
      </w:r>
      <w:r>
        <w:rPr>
          <w:spacing w:val="-14"/>
        </w:rPr>
        <w:t> </w:t>
      </w:r>
      <w:r>
        <w:rPr/>
        <w:t>(Adjunct) 2013</w:t>
      </w:r>
      <w:r>
        <w:rPr>
          <w:spacing w:val="-5"/>
        </w:rPr>
        <w:t> </w:t>
      </w:r>
      <w:r>
        <w:rPr/>
        <w:t>–</w:t>
      </w:r>
      <w:r>
        <w:rPr>
          <w:spacing w:val="-4"/>
        </w:rPr>
        <w:t> </w:t>
      </w:r>
      <w:r>
        <w:rPr/>
        <w:t>Brown</w:t>
      </w:r>
      <w:r>
        <w:rPr>
          <w:spacing w:val="-7"/>
        </w:rPr>
        <w:t> </w:t>
      </w:r>
      <w:r>
        <w:rPr>
          <w:spacing w:val="-2"/>
        </w:rPr>
        <w:t>(Adjunct)</w:t>
      </w:r>
    </w:p>
    <w:p>
      <w:pPr>
        <w:spacing w:after="0"/>
        <w:sectPr>
          <w:headerReference w:type="default" r:id="rId211"/>
          <w:footerReference w:type="default" r:id="rId212"/>
          <w:pgSz w:w="12240" w:h="15840"/>
          <w:pgMar w:header="993" w:footer="974" w:top="1240" w:bottom="1160" w:left="1000" w:right="820"/>
        </w:sectPr>
      </w:pPr>
    </w:p>
    <w:p>
      <w:pPr>
        <w:pStyle w:val="BodyText"/>
        <w:spacing w:before="10"/>
        <w:rPr>
          <w:sz w:val="15"/>
        </w:rPr>
      </w:pPr>
    </w:p>
    <w:p>
      <w:pPr>
        <w:spacing w:before="93"/>
        <w:ind w:left="440" w:right="0" w:firstLine="0"/>
        <w:jc w:val="left"/>
        <w:rPr>
          <w:b/>
          <w:sz w:val="20"/>
        </w:rPr>
      </w:pPr>
      <w:r>
        <w:rPr>
          <w:b/>
          <w:sz w:val="20"/>
        </w:rPr>
        <w:t>Course</w:t>
      </w:r>
      <w:r>
        <w:rPr>
          <w:b/>
          <w:spacing w:val="-9"/>
          <w:sz w:val="20"/>
        </w:rPr>
        <w:t> </w:t>
      </w:r>
      <w:r>
        <w:rPr>
          <w:b/>
          <w:sz w:val="20"/>
        </w:rPr>
        <w:t>Description</w:t>
      </w:r>
      <w:r>
        <w:rPr>
          <w:b/>
          <w:spacing w:val="-8"/>
          <w:sz w:val="20"/>
        </w:rPr>
        <w:t> </w:t>
      </w:r>
      <w:r>
        <w:rPr>
          <w:b/>
          <w:sz w:val="20"/>
        </w:rPr>
        <w:t>(limit</w:t>
      </w:r>
      <w:r>
        <w:rPr>
          <w:b/>
          <w:spacing w:val="-7"/>
          <w:sz w:val="20"/>
        </w:rPr>
        <w:t> </w:t>
      </w:r>
      <w:r>
        <w:rPr>
          <w:b/>
          <w:sz w:val="20"/>
        </w:rPr>
        <w:t>25</w:t>
      </w:r>
      <w:r>
        <w:rPr>
          <w:b/>
          <w:spacing w:val="-8"/>
          <w:sz w:val="20"/>
        </w:rPr>
        <w:t> </w:t>
      </w:r>
      <w:r>
        <w:rPr>
          <w:b/>
          <w:spacing w:val="-2"/>
          <w:sz w:val="20"/>
        </w:rPr>
        <w:t>words):</w:t>
      </w:r>
    </w:p>
    <w:p>
      <w:pPr>
        <w:pStyle w:val="BodyText"/>
        <w:spacing w:before="5"/>
        <w:rPr>
          <w:b/>
          <w:sz w:val="24"/>
        </w:rPr>
      </w:pPr>
    </w:p>
    <w:p>
      <w:pPr>
        <w:pStyle w:val="BodyText"/>
        <w:ind w:left="1159" w:right="642"/>
      </w:pPr>
      <w:r>
        <w:rPr/>
        <w:t>An</w:t>
      </w:r>
      <w:r>
        <w:rPr>
          <w:spacing w:val="-4"/>
        </w:rPr>
        <w:t> </w:t>
      </w:r>
      <w:r>
        <w:rPr/>
        <w:t>applied</w:t>
      </w:r>
      <w:r>
        <w:rPr>
          <w:spacing w:val="-4"/>
        </w:rPr>
        <w:t> </w:t>
      </w:r>
      <w:r>
        <w:rPr/>
        <w:t>study</w:t>
      </w:r>
      <w:r>
        <w:rPr>
          <w:spacing w:val="-5"/>
        </w:rPr>
        <w:t> </w:t>
      </w:r>
      <w:r>
        <w:rPr/>
        <w:t>of</w:t>
      </w:r>
      <w:r>
        <w:rPr>
          <w:spacing w:val="-2"/>
        </w:rPr>
        <w:t> </w:t>
      </w:r>
      <w:r>
        <w:rPr/>
        <w:t>natural</w:t>
      </w:r>
      <w:r>
        <w:rPr>
          <w:spacing w:val="-3"/>
        </w:rPr>
        <w:t> </w:t>
      </w:r>
      <w:r>
        <w:rPr/>
        <w:t>and</w:t>
      </w:r>
      <w:r>
        <w:rPr>
          <w:spacing w:val="-2"/>
        </w:rPr>
        <w:t> </w:t>
      </w:r>
      <w:r>
        <w:rPr/>
        <w:t>engineered</w:t>
      </w:r>
      <w:r>
        <w:rPr>
          <w:spacing w:val="-2"/>
        </w:rPr>
        <w:t> </w:t>
      </w:r>
      <w:r>
        <w:rPr/>
        <w:t>wood</w:t>
      </w:r>
      <w:r>
        <w:rPr>
          <w:spacing w:val="-4"/>
        </w:rPr>
        <w:t> </w:t>
      </w:r>
      <w:r>
        <w:rPr/>
        <w:t>products</w:t>
      </w:r>
      <w:r>
        <w:rPr>
          <w:spacing w:val="-3"/>
        </w:rPr>
        <w:t> </w:t>
      </w:r>
      <w:r>
        <w:rPr/>
        <w:t>in</w:t>
      </w:r>
      <w:r>
        <w:rPr>
          <w:spacing w:val="-4"/>
        </w:rPr>
        <w:t> </w:t>
      </w:r>
      <w:r>
        <w:rPr/>
        <w:t>framing</w:t>
      </w:r>
      <w:r>
        <w:rPr>
          <w:spacing w:val="-4"/>
        </w:rPr>
        <w:t> </w:t>
      </w:r>
      <w:r>
        <w:rPr/>
        <w:t>systems</w:t>
      </w:r>
      <w:r>
        <w:rPr>
          <w:spacing w:val="-5"/>
        </w:rPr>
        <w:t> </w:t>
      </w:r>
      <w:r>
        <w:rPr/>
        <w:t>for</w:t>
      </w:r>
      <w:r>
        <w:rPr>
          <w:spacing w:val="-5"/>
        </w:rPr>
        <w:t> </w:t>
      </w:r>
      <w:r>
        <w:rPr/>
        <w:t>buildings (beams, columns, trusses and connections).</w:t>
      </w:r>
    </w:p>
    <w:p>
      <w:pPr>
        <w:pStyle w:val="BodyText"/>
        <w:spacing w:before="3"/>
        <w:rPr>
          <w:sz w:val="24"/>
        </w:rPr>
      </w:pPr>
    </w:p>
    <w:p>
      <w:pPr>
        <w:spacing w:before="0"/>
        <w:ind w:left="440" w:right="0" w:firstLine="0"/>
        <w:jc w:val="left"/>
        <w:rPr>
          <w:b/>
          <w:sz w:val="20"/>
        </w:rPr>
      </w:pPr>
      <w:r>
        <w:rPr>
          <w:b/>
          <w:sz w:val="20"/>
        </w:rPr>
        <w:t>Course</w:t>
      </w:r>
      <w:r>
        <w:rPr>
          <w:b/>
          <w:spacing w:val="-9"/>
          <w:sz w:val="20"/>
        </w:rPr>
        <w:t> </w:t>
      </w:r>
      <w:r>
        <w:rPr>
          <w:b/>
          <w:sz w:val="20"/>
        </w:rPr>
        <w:t>Goals</w:t>
      </w:r>
      <w:r>
        <w:rPr>
          <w:b/>
          <w:spacing w:val="-7"/>
          <w:sz w:val="20"/>
        </w:rPr>
        <w:t> </w:t>
      </w:r>
      <w:r>
        <w:rPr>
          <w:b/>
          <w:sz w:val="20"/>
        </w:rPr>
        <w:t>and</w:t>
      </w:r>
      <w:r>
        <w:rPr>
          <w:b/>
          <w:spacing w:val="-5"/>
          <w:sz w:val="20"/>
        </w:rPr>
        <w:t> </w:t>
      </w:r>
      <w:r>
        <w:rPr>
          <w:b/>
          <w:spacing w:val="-2"/>
          <w:sz w:val="20"/>
        </w:rPr>
        <w:t>Objectives;</w:t>
      </w:r>
    </w:p>
    <w:p>
      <w:pPr>
        <w:pStyle w:val="BodyText"/>
        <w:spacing w:before="5"/>
        <w:rPr>
          <w:b/>
          <w:sz w:val="24"/>
        </w:rPr>
      </w:pPr>
    </w:p>
    <w:p>
      <w:pPr>
        <w:pStyle w:val="BodyText"/>
        <w:ind w:left="1159" w:right="642"/>
      </w:pPr>
      <w:r>
        <w:rPr/>
        <w:t>Students</w:t>
      </w:r>
      <w:r>
        <w:rPr>
          <w:spacing w:val="-1"/>
        </w:rPr>
        <w:t> </w:t>
      </w:r>
      <w:r>
        <w:rPr/>
        <w:t>will</w:t>
      </w:r>
      <w:r>
        <w:rPr>
          <w:spacing w:val="-5"/>
        </w:rPr>
        <w:t> </w:t>
      </w:r>
      <w:r>
        <w:rPr/>
        <w:t>understand</w:t>
      </w:r>
      <w:r>
        <w:rPr>
          <w:spacing w:val="-4"/>
        </w:rPr>
        <w:t> </w:t>
      </w:r>
      <w:r>
        <w:rPr/>
        <w:t>the</w:t>
      </w:r>
      <w:r>
        <w:rPr>
          <w:spacing w:val="-4"/>
        </w:rPr>
        <w:t> </w:t>
      </w:r>
      <w:r>
        <w:rPr/>
        <w:t>process</w:t>
      </w:r>
      <w:r>
        <w:rPr>
          <w:spacing w:val="-3"/>
        </w:rPr>
        <w:t> </w:t>
      </w:r>
      <w:r>
        <w:rPr/>
        <w:t>for</w:t>
      </w:r>
      <w:r>
        <w:rPr>
          <w:spacing w:val="-3"/>
        </w:rPr>
        <w:t> </w:t>
      </w:r>
      <w:r>
        <w:rPr/>
        <w:t>selecting</w:t>
      </w:r>
      <w:r>
        <w:rPr>
          <w:spacing w:val="-4"/>
        </w:rPr>
        <w:t> </w:t>
      </w:r>
      <w:r>
        <w:rPr/>
        <w:t>structural</w:t>
      </w:r>
      <w:r>
        <w:rPr>
          <w:spacing w:val="-5"/>
        </w:rPr>
        <w:t> </w:t>
      </w:r>
      <w:r>
        <w:rPr/>
        <w:t>systems</w:t>
      </w:r>
      <w:r>
        <w:rPr>
          <w:spacing w:val="-3"/>
        </w:rPr>
        <w:t> </w:t>
      </w:r>
      <w:r>
        <w:rPr/>
        <w:t>to</w:t>
      </w:r>
      <w:r>
        <w:rPr>
          <w:spacing w:val="-4"/>
        </w:rPr>
        <w:t> </w:t>
      </w:r>
      <w:r>
        <w:rPr/>
        <w:t>support</w:t>
      </w:r>
      <w:r>
        <w:rPr>
          <w:spacing w:val="-2"/>
        </w:rPr>
        <w:t> </w:t>
      </w:r>
      <w:r>
        <w:rPr/>
        <w:t>building</w:t>
      </w:r>
      <w:r>
        <w:rPr>
          <w:spacing w:val="-4"/>
        </w:rPr>
        <w:t> </w:t>
      </w:r>
      <w:r>
        <w:rPr/>
        <w:t>design. Students will demonstrate understanding through technical applications via model-making.</w:t>
      </w:r>
    </w:p>
    <w:p>
      <w:pPr>
        <w:pStyle w:val="BodyText"/>
        <w:spacing w:before="4"/>
        <w:rPr>
          <w:sz w:val="24"/>
        </w:rPr>
      </w:pPr>
    </w:p>
    <w:p>
      <w:pPr>
        <w:spacing w:before="0"/>
        <w:ind w:left="494" w:right="0" w:firstLine="0"/>
        <w:jc w:val="left"/>
        <w:rPr>
          <w:b/>
          <w:sz w:val="20"/>
        </w:rPr>
      </w:pPr>
      <w:r>
        <w:rPr>
          <w:b/>
          <w:sz w:val="20"/>
        </w:rPr>
        <w:t>Student</w:t>
      </w:r>
      <w:r>
        <w:rPr>
          <w:b/>
          <w:spacing w:val="-9"/>
          <w:sz w:val="20"/>
        </w:rPr>
        <w:t> </w:t>
      </w:r>
      <w:r>
        <w:rPr>
          <w:b/>
          <w:sz w:val="20"/>
        </w:rPr>
        <w:t>Performance</w:t>
      </w:r>
      <w:r>
        <w:rPr>
          <w:b/>
          <w:spacing w:val="-9"/>
          <w:sz w:val="20"/>
        </w:rPr>
        <w:t> </w:t>
      </w:r>
      <w:r>
        <w:rPr>
          <w:b/>
          <w:sz w:val="20"/>
        </w:rPr>
        <w:t>Criteria</w:t>
      </w:r>
      <w:r>
        <w:rPr>
          <w:b/>
          <w:spacing w:val="-5"/>
          <w:sz w:val="20"/>
        </w:rPr>
        <w:t> </w:t>
      </w:r>
      <w:r>
        <w:rPr>
          <w:b/>
          <w:sz w:val="20"/>
        </w:rPr>
        <w:t>Addressed</w:t>
      </w:r>
      <w:r>
        <w:rPr>
          <w:b/>
          <w:spacing w:val="-8"/>
          <w:sz w:val="20"/>
        </w:rPr>
        <w:t> </w:t>
      </w:r>
      <w:r>
        <w:rPr>
          <w:b/>
          <w:sz w:val="20"/>
        </w:rPr>
        <w:t>(name</w:t>
      </w:r>
      <w:r>
        <w:rPr>
          <w:b/>
          <w:spacing w:val="-9"/>
          <w:sz w:val="20"/>
        </w:rPr>
        <w:t> </w:t>
      </w:r>
      <w:r>
        <w:rPr>
          <w:b/>
          <w:sz w:val="20"/>
        </w:rPr>
        <w:t>and</w:t>
      </w:r>
      <w:r>
        <w:rPr>
          <w:b/>
          <w:spacing w:val="-8"/>
          <w:sz w:val="20"/>
        </w:rPr>
        <w:t> </w:t>
      </w:r>
      <w:r>
        <w:rPr>
          <w:b/>
          <w:spacing w:val="-2"/>
          <w:sz w:val="20"/>
        </w:rPr>
        <w:t>number)</w:t>
      </w:r>
    </w:p>
    <w:p>
      <w:pPr>
        <w:pStyle w:val="BodyText"/>
        <w:spacing w:before="5"/>
        <w:rPr>
          <w:b/>
          <w:sz w:val="24"/>
        </w:rPr>
      </w:pPr>
    </w:p>
    <w:p>
      <w:pPr>
        <w:pStyle w:val="ListParagraph"/>
        <w:numPr>
          <w:ilvl w:val="1"/>
          <w:numId w:val="56"/>
        </w:numPr>
        <w:tabs>
          <w:tab w:pos="1525" w:val="left" w:leader="none"/>
        </w:tabs>
        <w:spacing w:line="240" w:lineRule="auto" w:before="0" w:after="0"/>
        <w:ind w:left="1524" w:right="0" w:hanging="366"/>
        <w:jc w:val="left"/>
        <w:rPr>
          <w:sz w:val="20"/>
        </w:rPr>
      </w:pPr>
      <w:r>
        <w:rPr>
          <w:sz w:val="20"/>
        </w:rPr>
        <w:t>-</w:t>
      </w:r>
      <w:r>
        <w:rPr>
          <w:spacing w:val="-6"/>
          <w:sz w:val="20"/>
        </w:rPr>
        <w:t> </w:t>
      </w:r>
      <w:r>
        <w:rPr>
          <w:sz w:val="20"/>
        </w:rPr>
        <w:t>Structural</w:t>
      </w:r>
      <w:r>
        <w:rPr>
          <w:spacing w:val="-6"/>
          <w:sz w:val="20"/>
        </w:rPr>
        <w:t> </w:t>
      </w:r>
      <w:r>
        <w:rPr>
          <w:spacing w:val="-2"/>
          <w:sz w:val="20"/>
        </w:rPr>
        <w:t>Systems</w:t>
      </w:r>
    </w:p>
    <w:p>
      <w:pPr>
        <w:pStyle w:val="BodyText"/>
        <w:spacing w:before="3"/>
        <w:rPr>
          <w:sz w:val="24"/>
        </w:rPr>
      </w:pPr>
    </w:p>
    <w:p>
      <w:pPr>
        <w:spacing w:before="0"/>
        <w:ind w:left="439" w:right="0" w:firstLine="0"/>
        <w:jc w:val="left"/>
        <w:rPr>
          <w:b/>
          <w:sz w:val="20"/>
        </w:rPr>
      </w:pPr>
      <w:r>
        <w:rPr>
          <w:b/>
          <w:sz w:val="20"/>
        </w:rPr>
        <w:t>Topical</w:t>
      </w:r>
      <w:r>
        <w:rPr>
          <w:b/>
          <w:spacing w:val="-7"/>
          <w:sz w:val="20"/>
        </w:rPr>
        <w:t> </w:t>
      </w:r>
      <w:r>
        <w:rPr>
          <w:b/>
          <w:sz w:val="20"/>
        </w:rPr>
        <w:t>Outline</w:t>
      </w:r>
      <w:r>
        <w:rPr>
          <w:b/>
          <w:spacing w:val="-7"/>
          <w:sz w:val="20"/>
        </w:rPr>
        <w:t> </w:t>
      </w:r>
      <w:r>
        <w:rPr>
          <w:b/>
          <w:sz w:val="20"/>
        </w:rPr>
        <w:t>and</w:t>
      </w:r>
      <w:r>
        <w:rPr>
          <w:b/>
          <w:spacing w:val="-6"/>
          <w:sz w:val="20"/>
        </w:rPr>
        <w:t> </w:t>
      </w:r>
      <w:r>
        <w:rPr>
          <w:b/>
          <w:sz w:val="20"/>
        </w:rPr>
        <w:t>percentage</w:t>
      </w:r>
      <w:r>
        <w:rPr>
          <w:b/>
          <w:spacing w:val="-6"/>
          <w:sz w:val="20"/>
        </w:rPr>
        <w:t> </w:t>
      </w:r>
      <w:r>
        <w:rPr>
          <w:b/>
          <w:sz w:val="20"/>
        </w:rPr>
        <w:t>of</w:t>
      </w:r>
      <w:r>
        <w:rPr>
          <w:b/>
          <w:spacing w:val="-6"/>
          <w:sz w:val="20"/>
        </w:rPr>
        <w:t> </w:t>
      </w:r>
      <w:r>
        <w:rPr>
          <w:b/>
          <w:sz w:val="20"/>
        </w:rPr>
        <w:t>time</w:t>
      </w:r>
      <w:r>
        <w:rPr>
          <w:b/>
          <w:spacing w:val="-7"/>
          <w:sz w:val="20"/>
        </w:rPr>
        <w:t> </w:t>
      </w:r>
      <w:r>
        <w:rPr>
          <w:b/>
          <w:sz w:val="20"/>
        </w:rPr>
        <w:t>spent</w:t>
      </w:r>
      <w:r>
        <w:rPr>
          <w:b/>
          <w:spacing w:val="-6"/>
          <w:sz w:val="20"/>
        </w:rPr>
        <w:t> </w:t>
      </w:r>
      <w:r>
        <w:rPr>
          <w:b/>
          <w:sz w:val="20"/>
        </w:rPr>
        <w:t>on</w:t>
      </w:r>
      <w:r>
        <w:rPr>
          <w:b/>
          <w:spacing w:val="-5"/>
          <w:sz w:val="20"/>
        </w:rPr>
        <w:t> </w:t>
      </w:r>
      <w:r>
        <w:rPr>
          <w:b/>
          <w:spacing w:val="-4"/>
          <w:sz w:val="20"/>
        </w:rPr>
        <w:t>each</w:t>
      </w:r>
    </w:p>
    <w:p>
      <w:pPr>
        <w:pStyle w:val="BodyText"/>
        <w:spacing w:before="5"/>
        <w:rPr>
          <w:b/>
          <w:sz w:val="24"/>
        </w:rPr>
      </w:pPr>
    </w:p>
    <w:p>
      <w:pPr>
        <w:pStyle w:val="BodyText"/>
        <w:ind w:left="1159" w:right="6024"/>
      </w:pPr>
      <w:r>
        <w:rPr/>
        <w:t>Lectures</w:t>
      </w:r>
      <w:r>
        <w:rPr>
          <w:spacing w:val="-10"/>
        </w:rPr>
        <w:t> </w:t>
      </w:r>
      <w:r>
        <w:rPr/>
        <w:t>and</w:t>
      </w:r>
      <w:r>
        <w:rPr>
          <w:spacing w:val="-11"/>
        </w:rPr>
        <w:t> </w:t>
      </w:r>
      <w:r>
        <w:rPr/>
        <w:t>Demonstrations</w:t>
      </w:r>
      <w:r>
        <w:rPr>
          <w:spacing w:val="-10"/>
        </w:rPr>
        <w:t> </w:t>
      </w:r>
      <w:r>
        <w:rPr/>
        <w:t>–</w:t>
      </w:r>
      <w:r>
        <w:rPr>
          <w:spacing w:val="-11"/>
        </w:rPr>
        <w:t> </w:t>
      </w:r>
      <w:r>
        <w:rPr/>
        <w:t>75% Tests and Quizzes – 25%</w:t>
      </w:r>
    </w:p>
    <w:p>
      <w:pPr>
        <w:pStyle w:val="BodyText"/>
        <w:spacing w:before="3"/>
        <w:rPr>
          <w:sz w:val="24"/>
        </w:rPr>
      </w:pPr>
    </w:p>
    <w:p>
      <w:pPr>
        <w:spacing w:before="0"/>
        <w:ind w:left="439" w:right="0" w:firstLine="0"/>
        <w:jc w:val="left"/>
        <w:rPr>
          <w:b/>
          <w:sz w:val="20"/>
        </w:rPr>
      </w:pPr>
      <w:r>
        <w:rPr>
          <w:b/>
          <w:w w:val="95"/>
          <w:sz w:val="20"/>
        </w:rPr>
        <w:t>Pre-</w:t>
      </w:r>
      <w:r>
        <w:rPr>
          <w:b/>
          <w:spacing w:val="-2"/>
          <w:sz w:val="20"/>
        </w:rPr>
        <w:t>requisites</w:t>
      </w:r>
    </w:p>
    <w:p>
      <w:pPr>
        <w:pStyle w:val="BodyText"/>
        <w:spacing w:before="5"/>
        <w:rPr>
          <w:b/>
          <w:sz w:val="24"/>
        </w:rPr>
      </w:pPr>
    </w:p>
    <w:p>
      <w:pPr>
        <w:pStyle w:val="BodyText"/>
        <w:ind w:left="1159"/>
      </w:pPr>
      <w:r>
        <w:rPr/>
        <w:t>ARC</w:t>
      </w:r>
      <w:r>
        <w:rPr>
          <w:spacing w:val="-5"/>
        </w:rPr>
        <w:t> </w:t>
      </w:r>
      <w:r>
        <w:rPr/>
        <w:t>309,</w:t>
      </w:r>
      <w:r>
        <w:rPr>
          <w:spacing w:val="-3"/>
        </w:rPr>
        <w:t> </w:t>
      </w:r>
      <w:r>
        <w:rPr/>
        <w:t>MAT</w:t>
      </w:r>
      <w:r>
        <w:rPr>
          <w:spacing w:val="-1"/>
        </w:rPr>
        <w:t> </w:t>
      </w:r>
      <w:r>
        <w:rPr/>
        <w:t>118</w:t>
      </w:r>
      <w:r>
        <w:rPr>
          <w:spacing w:val="-5"/>
        </w:rPr>
        <w:t> </w:t>
      </w:r>
      <w:r>
        <w:rPr/>
        <w:t>and</w:t>
      </w:r>
      <w:r>
        <w:rPr>
          <w:spacing w:val="-2"/>
        </w:rPr>
        <w:t> </w:t>
      </w:r>
      <w:r>
        <w:rPr/>
        <w:t>PHY</w:t>
      </w:r>
      <w:r>
        <w:rPr>
          <w:spacing w:val="-8"/>
        </w:rPr>
        <w:t> </w:t>
      </w:r>
      <w:r>
        <w:rPr>
          <w:spacing w:val="-4"/>
        </w:rPr>
        <w:t>201.</w:t>
      </w:r>
    </w:p>
    <w:p>
      <w:pPr>
        <w:pStyle w:val="BodyText"/>
        <w:spacing w:before="1"/>
        <w:rPr>
          <w:sz w:val="24"/>
        </w:rPr>
      </w:pPr>
    </w:p>
    <w:p>
      <w:pPr>
        <w:spacing w:before="0"/>
        <w:ind w:left="439" w:right="0" w:firstLine="0"/>
        <w:jc w:val="left"/>
        <w:rPr>
          <w:b/>
          <w:sz w:val="20"/>
        </w:rPr>
      </w:pPr>
      <w:r>
        <w:rPr>
          <w:b/>
          <w:sz w:val="20"/>
        </w:rPr>
        <w:t>Textbooks</w:t>
      </w:r>
      <w:r>
        <w:rPr>
          <w:b/>
          <w:spacing w:val="-11"/>
          <w:sz w:val="20"/>
        </w:rPr>
        <w:t> </w:t>
      </w:r>
      <w:r>
        <w:rPr>
          <w:b/>
          <w:sz w:val="20"/>
        </w:rPr>
        <w:t>/</w:t>
      </w:r>
      <w:r>
        <w:rPr>
          <w:b/>
          <w:spacing w:val="-9"/>
          <w:sz w:val="20"/>
        </w:rPr>
        <w:t> </w:t>
      </w:r>
      <w:r>
        <w:rPr>
          <w:b/>
          <w:sz w:val="20"/>
        </w:rPr>
        <w:t>Learning</w:t>
      </w:r>
      <w:r>
        <w:rPr>
          <w:b/>
          <w:spacing w:val="-7"/>
          <w:sz w:val="20"/>
        </w:rPr>
        <w:t> </w:t>
      </w:r>
      <w:r>
        <w:rPr>
          <w:b/>
          <w:spacing w:val="-2"/>
          <w:sz w:val="20"/>
        </w:rPr>
        <w:t>Resources</w:t>
      </w:r>
    </w:p>
    <w:p>
      <w:pPr>
        <w:pStyle w:val="BodyText"/>
        <w:spacing w:before="7"/>
        <w:rPr>
          <w:b/>
          <w:sz w:val="24"/>
        </w:rPr>
      </w:pPr>
    </w:p>
    <w:p>
      <w:pPr>
        <w:pStyle w:val="BodyText"/>
        <w:ind w:left="1158" w:right="642"/>
      </w:pPr>
      <w:r>
        <w:rPr/>
        <w:t>David</w:t>
      </w:r>
      <w:r>
        <w:rPr>
          <w:spacing w:val="-2"/>
        </w:rPr>
        <w:t> </w:t>
      </w:r>
      <w:r>
        <w:rPr/>
        <w:t>Berg,</w:t>
      </w:r>
      <w:r>
        <w:rPr>
          <w:spacing w:val="-2"/>
        </w:rPr>
        <w:t> </w:t>
      </w:r>
      <w:r>
        <w:rPr/>
        <w:t>Robert</w:t>
      </w:r>
      <w:r>
        <w:rPr>
          <w:spacing w:val="-3"/>
        </w:rPr>
        <w:t> </w:t>
      </w:r>
      <w:r>
        <w:rPr/>
        <w:t>Marks</w:t>
      </w:r>
      <w:r>
        <w:rPr>
          <w:spacing w:val="-4"/>
        </w:rPr>
        <w:t> </w:t>
      </w:r>
      <w:r>
        <w:rPr/>
        <w:t>&amp;</w:t>
      </w:r>
      <w:r>
        <w:rPr>
          <w:spacing w:val="-4"/>
        </w:rPr>
        <w:t> </w:t>
      </w:r>
      <w:r>
        <w:rPr/>
        <w:t>Lester</w:t>
      </w:r>
      <w:r>
        <w:rPr>
          <w:spacing w:val="-7"/>
        </w:rPr>
        <w:t> </w:t>
      </w:r>
      <w:r>
        <w:rPr/>
        <w:t>Wertheimer,</w:t>
      </w:r>
      <w:r>
        <w:rPr>
          <w:spacing w:val="-3"/>
        </w:rPr>
        <w:t> </w:t>
      </w:r>
      <w:r>
        <w:rPr/>
        <w:t>Structural</w:t>
      </w:r>
      <w:r>
        <w:rPr>
          <w:spacing w:val="-2"/>
        </w:rPr>
        <w:t> </w:t>
      </w:r>
      <w:r>
        <w:rPr/>
        <w:t>Systems</w:t>
      </w:r>
      <w:r>
        <w:rPr>
          <w:spacing w:val="-3"/>
        </w:rPr>
        <w:t> </w:t>
      </w:r>
      <w:r>
        <w:rPr/>
        <w:t>Study</w:t>
      </w:r>
      <w:r>
        <w:rPr>
          <w:spacing w:val="-6"/>
        </w:rPr>
        <w:t> </w:t>
      </w:r>
      <w:r>
        <w:rPr/>
        <w:t>Guide:</w:t>
      </w:r>
      <w:r>
        <w:rPr>
          <w:spacing w:val="40"/>
        </w:rPr>
        <w:t> </w:t>
      </w:r>
      <w:r>
        <w:rPr/>
        <w:t>2012</w:t>
      </w:r>
      <w:r>
        <w:rPr>
          <w:spacing w:val="-3"/>
        </w:rPr>
        <w:t> </w:t>
      </w:r>
      <w:r>
        <w:rPr/>
        <w:t>Edition, Kaplan Architecture Education; ISBN:</w:t>
      </w:r>
      <w:r>
        <w:rPr>
          <w:spacing w:val="40"/>
        </w:rPr>
        <w:t> </w:t>
      </w:r>
      <w:r>
        <w:rPr/>
        <w:t>978-1-4277-3709-0/1-4277-3709-6</w:t>
      </w:r>
    </w:p>
    <w:p>
      <w:pPr>
        <w:pStyle w:val="BodyText"/>
        <w:spacing w:before="4"/>
        <w:rPr>
          <w:sz w:val="24"/>
        </w:rPr>
      </w:pPr>
    </w:p>
    <w:p>
      <w:pPr>
        <w:spacing w:before="0"/>
        <w:ind w:left="438" w:right="0" w:firstLine="0"/>
        <w:jc w:val="left"/>
        <w:rPr>
          <w:b/>
          <w:sz w:val="20"/>
        </w:rPr>
      </w:pPr>
      <w:r>
        <w:rPr>
          <w:b/>
          <w:sz w:val="20"/>
        </w:rPr>
        <w:t>Offered</w:t>
      </w:r>
      <w:r>
        <w:rPr>
          <w:b/>
          <w:spacing w:val="-10"/>
          <w:sz w:val="20"/>
        </w:rPr>
        <w:t> </w:t>
      </w:r>
      <w:r>
        <w:rPr>
          <w:b/>
          <w:spacing w:val="-2"/>
          <w:sz w:val="20"/>
        </w:rPr>
        <w:t>(terms):</w:t>
      </w:r>
    </w:p>
    <w:p>
      <w:pPr>
        <w:pStyle w:val="BodyText"/>
        <w:spacing w:before="5"/>
        <w:rPr>
          <w:b/>
          <w:sz w:val="24"/>
        </w:rPr>
      </w:pPr>
    </w:p>
    <w:p>
      <w:pPr>
        <w:pStyle w:val="BodyText"/>
        <w:ind w:left="798"/>
      </w:pPr>
      <w:r>
        <w:rPr/>
        <w:t>Fall</w:t>
      </w:r>
      <w:r>
        <w:rPr>
          <w:spacing w:val="-9"/>
        </w:rPr>
        <w:t> </w:t>
      </w:r>
      <w:r>
        <w:rPr/>
        <w:t>Semester</w:t>
      </w:r>
      <w:r>
        <w:rPr>
          <w:spacing w:val="-8"/>
        </w:rPr>
        <w:t> </w:t>
      </w:r>
      <w:r>
        <w:rPr/>
        <w:t>(Spring</w:t>
      </w:r>
      <w:r>
        <w:rPr>
          <w:spacing w:val="-7"/>
        </w:rPr>
        <w:t> </w:t>
      </w:r>
      <w:r>
        <w:rPr/>
        <w:t>Semester</w:t>
      </w:r>
      <w:r>
        <w:rPr>
          <w:spacing w:val="-6"/>
        </w:rPr>
        <w:t> </w:t>
      </w:r>
      <w:r>
        <w:rPr/>
        <w:t>when</w:t>
      </w:r>
      <w:r>
        <w:rPr>
          <w:spacing w:val="-9"/>
        </w:rPr>
        <w:t> </w:t>
      </w:r>
      <w:r>
        <w:rPr>
          <w:spacing w:val="-2"/>
        </w:rPr>
        <w:t>needed)</w:t>
      </w:r>
    </w:p>
    <w:p>
      <w:pPr>
        <w:pStyle w:val="BodyText"/>
        <w:rPr>
          <w:sz w:val="24"/>
        </w:rPr>
      </w:pPr>
    </w:p>
    <w:p>
      <w:pPr>
        <w:spacing w:before="0"/>
        <w:ind w:left="493" w:right="0" w:firstLine="0"/>
        <w:jc w:val="left"/>
        <w:rPr>
          <w:b/>
          <w:sz w:val="20"/>
        </w:rPr>
      </w:pPr>
      <w:r>
        <w:rPr>
          <w:b/>
          <w:sz w:val="20"/>
        </w:rPr>
        <w:t>Faculty</w:t>
      </w:r>
      <w:r>
        <w:rPr>
          <w:b/>
          <w:spacing w:val="-8"/>
          <w:sz w:val="20"/>
        </w:rPr>
        <w:t> </w:t>
      </w:r>
      <w:r>
        <w:rPr>
          <w:b/>
          <w:spacing w:val="-2"/>
          <w:sz w:val="20"/>
        </w:rPr>
        <w:t>Assigned</w:t>
      </w:r>
    </w:p>
    <w:p>
      <w:pPr>
        <w:pStyle w:val="BodyText"/>
        <w:spacing w:before="8"/>
        <w:rPr>
          <w:b/>
          <w:sz w:val="24"/>
        </w:rPr>
      </w:pPr>
    </w:p>
    <w:p>
      <w:pPr>
        <w:pStyle w:val="BodyText"/>
        <w:ind w:left="1158" w:right="7005"/>
      </w:pPr>
      <w:r>
        <w:rPr/>
        <w:t>2014</w:t>
      </w:r>
      <w:r>
        <w:rPr>
          <w:spacing w:val="-14"/>
        </w:rPr>
        <w:t> </w:t>
      </w:r>
      <w:r>
        <w:rPr/>
        <w:t>–</w:t>
      </w:r>
      <w:r>
        <w:rPr>
          <w:spacing w:val="-13"/>
        </w:rPr>
        <w:t> </w:t>
      </w:r>
      <w:r>
        <w:rPr/>
        <w:t>Brown</w:t>
      </w:r>
      <w:r>
        <w:rPr>
          <w:spacing w:val="-14"/>
        </w:rPr>
        <w:t> </w:t>
      </w:r>
      <w:r>
        <w:rPr/>
        <w:t>(Adjunct) 2013</w:t>
      </w:r>
      <w:r>
        <w:rPr>
          <w:spacing w:val="-5"/>
        </w:rPr>
        <w:t> </w:t>
      </w:r>
      <w:r>
        <w:rPr/>
        <w:t>–</w:t>
      </w:r>
      <w:r>
        <w:rPr>
          <w:spacing w:val="-4"/>
        </w:rPr>
        <w:t> </w:t>
      </w:r>
      <w:r>
        <w:rPr/>
        <w:t>Brown</w:t>
      </w:r>
      <w:r>
        <w:rPr>
          <w:spacing w:val="-7"/>
        </w:rPr>
        <w:t> </w:t>
      </w:r>
      <w:r>
        <w:rPr>
          <w:spacing w:val="-2"/>
        </w:rPr>
        <w:t>(Adjunct)</w:t>
      </w:r>
    </w:p>
    <w:p>
      <w:pPr>
        <w:spacing w:after="0"/>
        <w:sectPr>
          <w:headerReference w:type="default" r:id="rId213"/>
          <w:footerReference w:type="default" r:id="rId214"/>
          <w:pgSz w:w="12240" w:h="15840"/>
          <w:pgMar w:header="993" w:footer="974" w:top="1240" w:bottom="1160" w:left="1000" w:right="820"/>
        </w:sectPr>
      </w:pPr>
    </w:p>
    <w:p>
      <w:pPr>
        <w:spacing w:before="115"/>
        <w:ind w:left="440" w:right="0" w:firstLine="0"/>
        <w:jc w:val="left"/>
        <w:rPr>
          <w:b/>
          <w:sz w:val="20"/>
        </w:rPr>
      </w:pPr>
      <w:r>
        <w:rPr>
          <w:b/>
          <w:sz w:val="20"/>
        </w:rPr>
        <w:t>Course</w:t>
      </w:r>
      <w:r>
        <w:rPr>
          <w:b/>
          <w:spacing w:val="-9"/>
          <w:sz w:val="20"/>
        </w:rPr>
        <w:t> </w:t>
      </w:r>
      <w:r>
        <w:rPr>
          <w:b/>
          <w:sz w:val="20"/>
        </w:rPr>
        <w:t>Description</w:t>
      </w:r>
      <w:r>
        <w:rPr>
          <w:b/>
          <w:spacing w:val="-8"/>
          <w:sz w:val="20"/>
        </w:rPr>
        <w:t> </w:t>
      </w:r>
      <w:r>
        <w:rPr>
          <w:b/>
          <w:sz w:val="20"/>
        </w:rPr>
        <w:t>(limit</w:t>
      </w:r>
      <w:r>
        <w:rPr>
          <w:b/>
          <w:spacing w:val="-7"/>
          <w:sz w:val="20"/>
        </w:rPr>
        <w:t> </w:t>
      </w:r>
      <w:r>
        <w:rPr>
          <w:b/>
          <w:sz w:val="20"/>
        </w:rPr>
        <w:t>25</w:t>
      </w:r>
      <w:r>
        <w:rPr>
          <w:b/>
          <w:spacing w:val="-8"/>
          <w:sz w:val="20"/>
        </w:rPr>
        <w:t> </w:t>
      </w:r>
      <w:r>
        <w:rPr>
          <w:b/>
          <w:spacing w:val="-2"/>
          <w:sz w:val="20"/>
        </w:rPr>
        <w:t>words):</w:t>
      </w:r>
    </w:p>
    <w:p>
      <w:pPr>
        <w:pStyle w:val="BodyText"/>
        <w:spacing w:before="122"/>
        <w:ind w:left="1159" w:right="642"/>
      </w:pPr>
      <w:r>
        <w:rPr/>
        <w:t>An</w:t>
      </w:r>
      <w:r>
        <w:rPr>
          <w:spacing w:val="-3"/>
        </w:rPr>
        <w:t> </w:t>
      </w:r>
      <w:r>
        <w:rPr/>
        <w:t>investigation</w:t>
      </w:r>
      <w:r>
        <w:rPr>
          <w:spacing w:val="-3"/>
        </w:rPr>
        <w:t> </w:t>
      </w:r>
      <w:r>
        <w:rPr/>
        <w:t>of</w:t>
      </w:r>
      <w:r>
        <w:rPr>
          <w:spacing w:val="-3"/>
        </w:rPr>
        <w:t> </w:t>
      </w:r>
      <w:r>
        <w:rPr/>
        <w:t>the</w:t>
      </w:r>
      <w:r>
        <w:rPr>
          <w:spacing w:val="-3"/>
        </w:rPr>
        <w:t> </w:t>
      </w:r>
      <w:r>
        <w:rPr/>
        <w:t>diverse</w:t>
      </w:r>
      <w:r>
        <w:rPr>
          <w:spacing w:val="-5"/>
        </w:rPr>
        <w:t> </w:t>
      </w:r>
      <w:r>
        <w:rPr/>
        <w:t>systems</w:t>
      </w:r>
      <w:r>
        <w:rPr>
          <w:spacing w:val="-4"/>
        </w:rPr>
        <w:t> </w:t>
      </w:r>
      <w:r>
        <w:rPr/>
        <w:t>used</w:t>
      </w:r>
      <w:r>
        <w:rPr>
          <w:spacing w:val="-5"/>
        </w:rPr>
        <w:t> </w:t>
      </w:r>
      <w:r>
        <w:rPr/>
        <w:t>to</w:t>
      </w:r>
      <w:r>
        <w:rPr>
          <w:spacing w:val="-5"/>
        </w:rPr>
        <w:t> </w:t>
      </w:r>
      <w:r>
        <w:rPr/>
        <w:t>construct</w:t>
      </w:r>
      <w:r>
        <w:rPr>
          <w:spacing w:val="-5"/>
        </w:rPr>
        <w:t> </w:t>
      </w:r>
      <w:r>
        <w:rPr/>
        <w:t>buildings</w:t>
      </w:r>
      <w:r>
        <w:rPr>
          <w:spacing w:val="-1"/>
        </w:rPr>
        <w:t> </w:t>
      </w:r>
      <w:r>
        <w:rPr/>
        <w:t>with</w:t>
      </w:r>
      <w:r>
        <w:rPr>
          <w:spacing w:val="-5"/>
        </w:rPr>
        <w:t> </w:t>
      </w:r>
      <w:r>
        <w:rPr/>
        <w:t>concentration</w:t>
      </w:r>
      <w:r>
        <w:rPr>
          <w:spacing w:val="-5"/>
        </w:rPr>
        <w:t> </w:t>
      </w:r>
      <w:r>
        <w:rPr/>
        <w:t>on</w:t>
      </w:r>
      <w:r>
        <w:rPr>
          <w:spacing w:val="-5"/>
        </w:rPr>
        <w:t> </w:t>
      </w:r>
      <w:r>
        <w:rPr/>
        <w:t>exterior envelopes for thermal, moisture and air control.</w:t>
      </w:r>
      <w:r>
        <w:rPr>
          <w:spacing w:val="40"/>
        </w:rPr>
        <w:t> </w:t>
      </w:r>
      <w:r>
        <w:rPr/>
        <w:t>Details and techniques are explored and represented with drawing conventions used for construction.</w:t>
      </w:r>
    </w:p>
    <w:p>
      <w:pPr>
        <w:spacing w:before="119"/>
        <w:ind w:left="439" w:right="0" w:firstLine="0"/>
        <w:jc w:val="left"/>
        <w:rPr>
          <w:b/>
          <w:sz w:val="20"/>
        </w:rPr>
      </w:pPr>
      <w:r>
        <w:rPr>
          <w:b/>
          <w:sz w:val="20"/>
        </w:rPr>
        <w:t>Course</w:t>
      </w:r>
      <w:r>
        <w:rPr>
          <w:b/>
          <w:spacing w:val="-9"/>
          <w:sz w:val="20"/>
        </w:rPr>
        <w:t> </w:t>
      </w:r>
      <w:r>
        <w:rPr>
          <w:b/>
          <w:sz w:val="20"/>
        </w:rPr>
        <w:t>Goals</w:t>
      </w:r>
      <w:r>
        <w:rPr>
          <w:b/>
          <w:spacing w:val="-7"/>
          <w:sz w:val="20"/>
        </w:rPr>
        <w:t> </w:t>
      </w:r>
      <w:r>
        <w:rPr>
          <w:b/>
          <w:sz w:val="20"/>
        </w:rPr>
        <w:t>and</w:t>
      </w:r>
      <w:r>
        <w:rPr>
          <w:b/>
          <w:spacing w:val="-5"/>
          <w:sz w:val="20"/>
        </w:rPr>
        <w:t> </w:t>
      </w:r>
      <w:r>
        <w:rPr>
          <w:b/>
          <w:spacing w:val="-2"/>
          <w:sz w:val="20"/>
        </w:rPr>
        <w:t>Objectives;</w:t>
      </w:r>
    </w:p>
    <w:p>
      <w:pPr>
        <w:pStyle w:val="BodyText"/>
        <w:spacing w:before="121"/>
        <w:ind w:left="1520" w:right="712" w:hanging="361"/>
      </w:pPr>
      <w:r>
        <w:rPr/>
        <w:t>A</w:t>
      </w:r>
      <w:r>
        <w:rPr>
          <w:spacing w:val="-5"/>
        </w:rPr>
        <w:t> </w:t>
      </w:r>
      <w:r>
        <w:rPr/>
        <w:t>successful</w:t>
      </w:r>
      <w:r>
        <w:rPr>
          <w:spacing w:val="-5"/>
        </w:rPr>
        <w:t> </w:t>
      </w:r>
      <w:r>
        <w:rPr/>
        <w:t>student</w:t>
      </w:r>
      <w:r>
        <w:rPr>
          <w:spacing w:val="-2"/>
        </w:rPr>
        <w:t> </w:t>
      </w:r>
      <w:r>
        <w:rPr/>
        <w:t>of</w:t>
      </w:r>
      <w:r>
        <w:rPr>
          <w:spacing w:val="-2"/>
        </w:rPr>
        <w:t> </w:t>
      </w:r>
      <w:r>
        <w:rPr/>
        <w:t>this course</w:t>
      </w:r>
      <w:r>
        <w:rPr>
          <w:spacing w:val="-2"/>
        </w:rPr>
        <w:t> </w:t>
      </w:r>
      <w:r>
        <w:rPr/>
        <w:t>will</w:t>
      </w:r>
      <w:r>
        <w:rPr>
          <w:spacing w:val="-3"/>
        </w:rPr>
        <w:t> </w:t>
      </w:r>
      <w:r>
        <w:rPr/>
        <w:t>be</w:t>
      </w:r>
      <w:r>
        <w:rPr>
          <w:spacing w:val="-2"/>
        </w:rPr>
        <w:t> </w:t>
      </w:r>
      <w:r>
        <w:rPr/>
        <w:t>able</w:t>
      </w:r>
      <w:r>
        <w:rPr>
          <w:spacing w:val="-4"/>
        </w:rPr>
        <w:t> </w:t>
      </w:r>
      <w:r>
        <w:rPr/>
        <w:t>to</w:t>
      </w:r>
      <w:r>
        <w:rPr>
          <w:spacing w:val="-2"/>
        </w:rPr>
        <w:t> </w:t>
      </w:r>
      <w:r>
        <w:rPr/>
        <w:t>produce</w:t>
      </w:r>
      <w:r>
        <w:rPr>
          <w:spacing w:val="-4"/>
        </w:rPr>
        <w:t> </w:t>
      </w:r>
      <w:r>
        <w:rPr/>
        <w:t>the</w:t>
      </w:r>
      <w:r>
        <w:rPr>
          <w:spacing w:val="-2"/>
        </w:rPr>
        <w:t> </w:t>
      </w:r>
      <w:r>
        <w:rPr/>
        <w:t>following</w:t>
      </w:r>
      <w:r>
        <w:rPr>
          <w:spacing w:val="-4"/>
        </w:rPr>
        <w:t> </w:t>
      </w:r>
      <w:r>
        <w:rPr/>
        <w:t>evidence</w:t>
      </w:r>
      <w:r>
        <w:rPr>
          <w:spacing w:val="-2"/>
        </w:rPr>
        <w:t> </w:t>
      </w:r>
      <w:r>
        <w:rPr/>
        <w:t>at</w:t>
      </w:r>
      <w:r>
        <w:rPr>
          <w:spacing w:val="-4"/>
        </w:rPr>
        <w:t> </w:t>
      </w:r>
      <w:r>
        <w:rPr/>
        <w:t>the conclusion of the semester.</w:t>
      </w:r>
    </w:p>
    <w:p>
      <w:pPr>
        <w:pStyle w:val="BodyText"/>
        <w:spacing w:before="1"/>
        <w:ind w:left="1160" w:right="1089"/>
      </w:pPr>
      <w:r>
        <w:rPr/>
        <w:t>A</w:t>
      </w:r>
      <w:r>
        <w:rPr>
          <w:spacing w:val="-3"/>
        </w:rPr>
        <w:t> </w:t>
      </w:r>
      <w:r>
        <w:rPr/>
        <w:t>working</w:t>
      </w:r>
      <w:r>
        <w:rPr>
          <w:spacing w:val="-3"/>
        </w:rPr>
        <w:t> </w:t>
      </w:r>
      <w:r>
        <w:rPr/>
        <w:t>vocabulary</w:t>
      </w:r>
      <w:r>
        <w:rPr>
          <w:spacing w:val="-6"/>
        </w:rPr>
        <w:t> </w:t>
      </w:r>
      <w:r>
        <w:rPr/>
        <w:t>of</w:t>
      </w:r>
      <w:r>
        <w:rPr>
          <w:spacing w:val="-3"/>
        </w:rPr>
        <w:t> </w:t>
      </w:r>
      <w:r>
        <w:rPr/>
        <w:t>construction</w:t>
      </w:r>
      <w:r>
        <w:rPr>
          <w:spacing w:val="-3"/>
        </w:rPr>
        <w:t> </w:t>
      </w:r>
      <w:r>
        <w:rPr/>
        <w:t>terms</w:t>
      </w:r>
      <w:r>
        <w:rPr>
          <w:spacing w:val="-4"/>
        </w:rPr>
        <w:t> </w:t>
      </w:r>
      <w:r>
        <w:rPr/>
        <w:t>and</w:t>
      </w:r>
      <w:r>
        <w:rPr>
          <w:spacing w:val="-5"/>
        </w:rPr>
        <w:t> </w:t>
      </w:r>
      <w:r>
        <w:rPr/>
        <w:t>processes</w:t>
      </w:r>
      <w:r>
        <w:rPr>
          <w:spacing w:val="-4"/>
        </w:rPr>
        <w:t> </w:t>
      </w:r>
      <w:r>
        <w:rPr/>
        <w:t>particular</w:t>
      </w:r>
      <w:r>
        <w:rPr>
          <w:spacing w:val="-4"/>
        </w:rPr>
        <w:t> </w:t>
      </w:r>
      <w:r>
        <w:rPr/>
        <w:t>to</w:t>
      </w:r>
      <w:r>
        <w:rPr>
          <w:spacing w:val="-5"/>
        </w:rPr>
        <w:t> </w:t>
      </w:r>
      <w:r>
        <w:rPr/>
        <w:t>common</w:t>
      </w:r>
      <w:r>
        <w:rPr>
          <w:spacing w:val="-5"/>
        </w:rPr>
        <w:t> </w:t>
      </w:r>
      <w:r>
        <w:rPr/>
        <w:t>materials. An ability to safely use standard building tools and manipulate common materials.</w:t>
      </w:r>
    </w:p>
    <w:p>
      <w:pPr>
        <w:pStyle w:val="BodyText"/>
        <w:spacing w:before="1"/>
        <w:ind w:left="1160"/>
      </w:pPr>
      <w:r>
        <w:rPr/>
        <w:t>An</w:t>
      </w:r>
      <w:r>
        <w:rPr>
          <w:spacing w:val="-7"/>
        </w:rPr>
        <w:t> </w:t>
      </w:r>
      <w:r>
        <w:rPr/>
        <w:t>ability</w:t>
      </w:r>
      <w:r>
        <w:rPr>
          <w:spacing w:val="-9"/>
        </w:rPr>
        <w:t> </w:t>
      </w:r>
      <w:r>
        <w:rPr/>
        <w:t>to</w:t>
      </w:r>
      <w:r>
        <w:rPr>
          <w:spacing w:val="-7"/>
        </w:rPr>
        <w:t> </w:t>
      </w:r>
      <w:r>
        <w:rPr/>
        <w:t>translate</w:t>
      </w:r>
      <w:r>
        <w:rPr>
          <w:spacing w:val="-7"/>
        </w:rPr>
        <w:t> </w:t>
      </w:r>
      <w:r>
        <w:rPr/>
        <w:t>abstract</w:t>
      </w:r>
      <w:r>
        <w:rPr>
          <w:spacing w:val="-6"/>
        </w:rPr>
        <w:t> </w:t>
      </w:r>
      <w:r>
        <w:rPr/>
        <w:t>graphic</w:t>
      </w:r>
      <w:r>
        <w:rPr>
          <w:spacing w:val="-6"/>
        </w:rPr>
        <w:t> </w:t>
      </w:r>
      <w:r>
        <w:rPr/>
        <w:t>information</w:t>
      </w:r>
      <w:r>
        <w:rPr>
          <w:spacing w:val="-5"/>
        </w:rPr>
        <w:t> </w:t>
      </w:r>
      <w:r>
        <w:rPr/>
        <w:t>into</w:t>
      </w:r>
      <w:r>
        <w:rPr>
          <w:spacing w:val="-5"/>
        </w:rPr>
        <w:t> </w:t>
      </w:r>
      <w:r>
        <w:rPr/>
        <w:t>a</w:t>
      </w:r>
      <w:r>
        <w:rPr>
          <w:spacing w:val="-6"/>
        </w:rPr>
        <w:t> </w:t>
      </w:r>
      <w:r>
        <w:rPr/>
        <w:t>fabricated</w:t>
      </w:r>
      <w:r>
        <w:rPr>
          <w:spacing w:val="-7"/>
        </w:rPr>
        <w:t> </w:t>
      </w:r>
      <w:r>
        <w:rPr>
          <w:spacing w:val="-2"/>
        </w:rPr>
        <w:t>form.</w:t>
      </w:r>
    </w:p>
    <w:p>
      <w:pPr>
        <w:pStyle w:val="BodyText"/>
        <w:ind w:left="1160" w:right="1770"/>
      </w:pPr>
      <w:r>
        <w:rPr/>
        <w:t>An</w:t>
      </w:r>
      <w:r>
        <w:rPr>
          <w:spacing w:val="-5"/>
        </w:rPr>
        <w:t> </w:t>
      </w:r>
      <w:r>
        <w:rPr/>
        <w:t>understanding</w:t>
      </w:r>
      <w:r>
        <w:rPr>
          <w:spacing w:val="-3"/>
        </w:rPr>
        <w:t> </w:t>
      </w:r>
      <w:r>
        <w:rPr/>
        <w:t>of</w:t>
      </w:r>
      <w:r>
        <w:rPr>
          <w:spacing w:val="-3"/>
        </w:rPr>
        <w:t> </w:t>
      </w:r>
      <w:r>
        <w:rPr/>
        <w:t>the</w:t>
      </w:r>
      <w:r>
        <w:rPr>
          <w:spacing w:val="-3"/>
        </w:rPr>
        <w:t> </w:t>
      </w:r>
      <w:r>
        <w:rPr/>
        <w:t>assemblies</w:t>
      </w:r>
      <w:r>
        <w:rPr>
          <w:spacing w:val="-4"/>
        </w:rPr>
        <w:t> </w:t>
      </w:r>
      <w:r>
        <w:rPr/>
        <w:t>required</w:t>
      </w:r>
      <w:r>
        <w:rPr>
          <w:spacing w:val="-5"/>
        </w:rPr>
        <w:t> </w:t>
      </w:r>
      <w:r>
        <w:rPr/>
        <w:t>for</w:t>
      </w:r>
      <w:r>
        <w:rPr>
          <w:spacing w:val="-4"/>
        </w:rPr>
        <w:t> </w:t>
      </w:r>
      <w:r>
        <w:rPr/>
        <w:t>various</w:t>
      </w:r>
      <w:r>
        <w:rPr>
          <w:spacing w:val="-4"/>
        </w:rPr>
        <w:t> </w:t>
      </w:r>
      <w:r>
        <w:rPr/>
        <w:t>floor,</w:t>
      </w:r>
      <w:r>
        <w:rPr>
          <w:spacing w:val="-3"/>
        </w:rPr>
        <w:t> </w:t>
      </w:r>
      <w:r>
        <w:rPr/>
        <w:t>wall</w:t>
      </w:r>
      <w:r>
        <w:rPr>
          <w:spacing w:val="-4"/>
        </w:rPr>
        <w:t> </w:t>
      </w:r>
      <w:r>
        <w:rPr/>
        <w:t>and</w:t>
      </w:r>
      <w:r>
        <w:rPr>
          <w:spacing w:val="-3"/>
        </w:rPr>
        <w:t> </w:t>
      </w:r>
      <w:r>
        <w:rPr/>
        <w:t>roof</w:t>
      </w:r>
      <w:r>
        <w:rPr>
          <w:spacing w:val="-3"/>
        </w:rPr>
        <w:t> </w:t>
      </w:r>
      <w:r>
        <w:rPr/>
        <w:t>systems. An understanding of construction scheduling.</w:t>
      </w:r>
    </w:p>
    <w:p>
      <w:pPr>
        <w:pStyle w:val="BodyText"/>
        <w:spacing w:line="229" w:lineRule="exact"/>
        <w:ind w:left="1160"/>
      </w:pPr>
      <w:r>
        <w:rPr/>
        <w:t>An</w:t>
      </w:r>
      <w:r>
        <w:rPr>
          <w:spacing w:val="-7"/>
        </w:rPr>
        <w:t> </w:t>
      </w:r>
      <w:r>
        <w:rPr/>
        <w:t>understanding</w:t>
      </w:r>
      <w:r>
        <w:rPr>
          <w:spacing w:val="-6"/>
        </w:rPr>
        <w:t> </w:t>
      </w:r>
      <w:r>
        <w:rPr/>
        <w:t>of</w:t>
      </w:r>
      <w:r>
        <w:rPr>
          <w:spacing w:val="-5"/>
        </w:rPr>
        <w:t> </w:t>
      </w:r>
      <w:r>
        <w:rPr/>
        <w:t>material</w:t>
      </w:r>
      <w:r>
        <w:rPr>
          <w:spacing w:val="-8"/>
        </w:rPr>
        <w:t> </w:t>
      </w:r>
      <w:r>
        <w:rPr/>
        <w:t>costs</w:t>
      </w:r>
      <w:r>
        <w:rPr>
          <w:spacing w:val="-6"/>
        </w:rPr>
        <w:t> </w:t>
      </w:r>
      <w:r>
        <w:rPr/>
        <w:t>and</w:t>
      </w:r>
      <w:r>
        <w:rPr>
          <w:spacing w:val="-7"/>
        </w:rPr>
        <w:t> </w:t>
      </w:r>
      <w:r>
        <w:rPr/>
        <w:t>labor</w:t>
      </w:r>
      <w:r>
        <w:rPr>
          <w:spacing w:val="-4"/>
        </w:rPr>
        <w:t> </w:t>
      </w:r>
      <w:r>
        <w:rPr/>
        <w:t>time</w:t>
      </w:r>
      <w:r>
        <w:rPr>
          <w:spacing w:val="-7"/>
        </w:rPr>
        <w:t> </w:t>
      </w:r>
      <w:r>
        <w:rPr/>
        <w:t>in</w:t>
      </w:r>
      <w:r>
        <w:rPr>
          <w:spacing w:val="-7"/>
        </w:rPr>
        <w:t> </w:t>
      </w:r>
      <w:r>
        <w:rPr/>
        <w:t>basic</w:t>
      </w:r>
      <w:r>
        <w:rPr>
          <w:spacing w:val="-6"/>
        </w:rPr>
        <w:t> </w:t>
      </w:r>
      <w:r>
        <w:rPr/>
        <w:t>construction</w:t>
      </w:r>
      <w:r>
        <w:rPr>
          <w:spacing w:val="-7"/>
        </w:rPr>
        <w:t> </w:t>
      </w:r>
      <w:r>
        <w:rPr>
          <w:spacing w:val="-2"/>
        </w:rPr>
        <w:t>technology.</w:t>
      </w:r>
    </w:p>
    <w:p>
      <w:pPr>
        <w:spacing w:before="118"/>
        <w:ind w:left="440" w:right="0" w:firstLine="0"/>
        <w:jc w:val="left"/>
        <w:rPr>
          <w:b/>
          <w:sz w:val="20"/>
        </w:rPr>
      </w:pPr>
      <w:r>
        <w:rPr>
          <w:b/>
          <w:sz w:val="20"/>
        </w:rPr>
        <w:t>Student</w:t>
      </w:r>
      <w:r>
        <w:rPr>
          <w:b/>
          <w:spacing w:val="-9"/>
          <w:sz w:val="20"/>
        </w:rPr>
        <w:t> </w:t>
      </w:r>
      <w:r>
        <w:rPr>
          <w:b/>
          <w:sz w:val="20"/>
        </w:rPr>
        <w:t>Performance</w:t>
      </w:r>
      <w:r>
        <w:rPr>
          <w:b/>
          <w:spacing w:val="-9"/>
          <w:sz w:val="20"/>
        </w:rPr>
        <w:t> </w:t>
      </w:r>
      <w:r>
        <w:rPr>
          <w:b/>
          <w:sz w:val="20"/>
        </w:rPr>
        <w:t>Criteria</w:t>
      </w:r>
      <w:r>
        <w:rPr>
          <w:b/>
          <w:spacing w:val="-5"/>
          <w:sz w:val="20"/>
        </w:rPr>
        <w:t> </w:t>
      </w:r>
      <w:r>
        <w:rPr>
          <w:b/>
          <w:sz w:val="20"/>
        </w:rPr>
        <w:t>Addressed</w:t>
      </w:r>
      <w:r>
        <w:rPr>
          <w:b/>
          <w:spacing w:val="-8"/>
          <w:sz w:val="20"/>
        </w:rPr>
        <w:t> </w:t>
      </w:r>
      <w:r>
        <w:rPr>
          <w:b/>
          <w:sz w:val="20"/>
        </w:rPr>
        <w:t>(name</w:t>
      </w:r>
      <w:r>
        <w:rPr>
          <w:b/>
          <w:spacing w:val="-9"/>
          <w:sz w:val="20"/>
        </w:rPr>
        <w:t> </w:t>
      </w:r>
      <w:r>
        <w:rPr>
          <w:b/>
          <w:sz w:val="20"/>
        </w:rPr>
        <w:t>and</w:t>
      </w:r>
      <w:r>
        <w:rPr>
          <w:b/>
          <w:spacing w:val="-8"/>
          <w:sz w:val="20"/>
        </w:rPr>
        <w:t> </w:t>
      </w:r>
      <w:r>
        <w:rPr>
          <w:b/>
          <w:spacing w:val="-2"/>
          <w:sz w:val="20"/>
        </w:rPr>
        <w:t>number)</w:t>
      </w:r>
    </w:p>
    <w:p>
      <w:pPr>
        <w:pStyle w:val="BodyText"/>
        <w:spacing w:before="123"/>
        <w:ind w:left="1160"/>
      </w:pPr>
      <w:r>
        <w:rPr/>
        <w:t>B10</w:t>
      </w:r>
      <w:r>
        <w:rPr>
          <w:spacing w:val="-6"/>
        </w:rPr>
        <w:t> </w:t>
      </w:r>
      <w:r>
        <w:rPr/>
        <w:t>Building</w:t>
      </w:r>
      <w:r>
        <w:rPr>
          <w:spacing w:val="-6"/>
        </w:rPr>
        <w:t> </w:t>
      </w:r>
      <w:r>
        <w:rPr/>
        <w:t>Envelope</w:t>
      </w:r>
      <w:r>
        <w:rPr>
          <w:spacing w:val="-7"/>
        </w:rPr>
        <w:t> </w:t>
      </w:r>
      <w:r>
        <w:rPr/>
        <w:t>Systems,</w:t>
      </w:r>
      <w:r>
        <w:rPr>
          <w:spacing w:val="-8"/>
        </w:rPr>
        <w:t> </w:t>
      </w:r>
      <w:r>
        <w:rPr/>
        <w:t>B12</w:t>
      </w:r>
      <w:r>
        <w:rPr>
          <w:spacing w:val="-7"/>
        </w:rPr>
        <w:t> </w:t>
      </w:r>
      <w:r>
        <w:rPr/>
        <w:t>Building</w:t>
      </w:r>
      <w:r>
        <w:rPr>
          <w:spacing w:val="-8"/>
        </w:rPr>
        <w:t> </w:t>
      </w:r>
      <w:r>
        <w:rPr/>
        <w:t>Materials</w:t>
      </w:r>
      <w:r>
        <w:rPr>
          <w:spacing w:val="-6"/>
        </w:rPr>
        <w:t> </w:t>
      </w:r>
      <w:r>
        <w:rPr/>
        <w:t>and</w:t>
      </w:r>
      <w:r>
        <w:rPr>
          <w:spacing w:val="-6"/>
        </w:rPr>
        <w:t> </w:t>
      </w:r>
      <w:r>
        <w:rPr>
          <w:spacing w:val="-2"/>
        </w:rPr>
        <w:t>Assemblies,</w:t>
      </w:r>
    </w:p>
    <w:p>
      <w:pPr>
        <w:spacing w:before="118"/>
        <w:ind w:left="440" w:right="0" w:firstLine="0"/>
        <w:jc w:val="left"/>
        <w:rPr>
          <w:b/>
          <w:sz w:val="20"/>
        </w:rPr>
      </w:pPr>
      <w:r>
        <w:rPr>
          <w:b/>
          <w:sz w:val="20"/>
        </w:rPr>
        <w:t>Topical</w:t>
      </w:r>
      <w:r>
        <w:rPr>
          <w:b/>
          <w:spacing w:val="-7"/>
          <w:sz w:val="20"/>
        </w:rPr>
        <w:t> </w:t>
      </w:r>
      <w:r>
        <w:rPr>
          <w:b/>
          <w:sz w:val="20"/>
        </w:rPr>
        <w:t>Outline</w:t>
      </w:r>
      <w:r>
        <w:rPr>
          <w:b/>
          <w:spacing w:val="-7"/>
          <w:sz w:val="20"/>
        </w:rPr>
        <w:t> </w:t>
      </w:r>
      <w:r>
        <w:rPr>
          <w:b/>
          <w:sz w:val="20"/>
        </w:rPr>
        <w:t>and</w:t>
      </w:r>
      <w:r>
        <w:rPr>
          <w:b/>
          <w:spacing w:val="-6"/>
          <w:sz w:val="20"/>
        </w:rPr>
        <w:t> </w:t>
      </w:r>
      <w:r>
        <w:rPr>
          <w:b/>
          <w:sz w:val="20"/>
        </w:rPr>
        <w:t>percentage</w:t>
      </w:r>
      <w:r>
        <w:rPr>
          <w:b/>
          <w:spacing w:val="-6"/>
          <w:sz w:val="20"/>
        </w:rPr>
        <w:t> </w:t>
      </w:r>
      <w:r>
        <w:rPr>
          <w:b/>
          <w:sz w:val="20"/>
        </w:rPr>
        <w:t>of</w:t>
      </w:r>
      <w:r>
        <w:rPr>
          <w:b/>
          <w:spacing w:val="-6"/>
          <w:sz w:val="20"/>
        </w:rPr>
        <w:t> </w:t>
      </w:r>
      <w:r>
        <w:rPr>
          <w:b/>
          <w:sz w:val="20"/>
        </w:rPr>
        <w:t>time</w:t>
      </w:r>
      <w:r>
        <w:rPr>
          <w:b/>
          <w:spacing w:val="-7"/>
          <w:sz w:val="20"/>
        </w:rPr>
        <w:t> </w:t>
      </w:r>
      <w:r>
        <w:rPr>
          <w:b/>
          <w:sz w:val="20"/>
        </w:rPr>
        <w:t>spent</w:t>
      </w:r>
      <w:r>
        <w:rPr>
          <w:b/>
          <w:spacing w:val="-6"/>
          <w:sz w:val="20"/>
        </w:rPr>
        <w:t> </w:t>
      </w:r>
      <w:r>
        <w:rPr>
          <w:b/>
          <w:sz w:val="20"/>
        </w:rPr>
        <w:t>on</w:t>
      </w:r>
      <w:r>
        <w:rPr>
          <w:b/>
          <w:spacing w:val="-5"/>
          <w:sz w:val="20"/>
        </w:rPr>
        <w:t> </w:t>
      </w:r>
      <w:r>
        <w:rPr>
          <w:b/>
          <w:spacing w:val="-4"/>
          <w:sz w:val="20"/>
        </w:rPr>
        <w:t>each</w:t>
      </w:r>
    </w:p>
    <w:p>
      <w:pPr>
        <w:pStyle w:val="BodyText"/>
        <w:tabs>
          <w:tab w:pos="1879" w:val="left" w:leader="none"/>
        </w:tabs>
        <w:spacing w:before="123"/>
        <w:ind w:left="1160" w:right="1089"/>
      </w:pPr>
      <w:r>
        <w:rPr/>
        <w:t>Identification</w:t>
      </w:r>
      <w:r>
        <w:rPr>
          <w:spacing w:val="-4"/>
        </w:rPr>
        <w:t> </w:t>
      </w:r>
      <w:r>
        <w:rPr/>
        <w:t>of</w:t>
      </w:r>
      <w:r>
        <w:rPr>
          <w:spacing w:val="-2"/>
        </w:rPr>
        <w:t> </w:t>
      </w:r>
      <w:r>
        <w:rPr/>
        <w:t>Building</w:t>
      </w:r>
      <w:r>
        <w:rPr>
          <w:spacing w:val="-2"/>
        </w:rPr>
        <w:t> </w:t>
      </w:r>
      <w:r>
        <w:rPr/>
        <w:t>Envelope</w:t>
      </w:r>
      <w:r>
        <w:rPr>
          <w:spacing w:val="-4"/>
        </w:rPr>
        <w:t> </w:t>
      </w:r>
      <w:r>
        <w:rPr/>
        <w:t>Systems</w:t>
      </w:r>
      <w:r>
        <w:rPr>
          <w:spacing w:val="-3"/>
        </w:rPr>
        <w:t> </w:t>
      </w:r>
      <w:r>
        <w:rPr/>
        <w:t>20%,</w:t>
      </w:r>
      <w:r>
        <w:rPr>
          <w:spacing w:val="-4"/>
        </w:rPr>
        <w:t> </w:t>
      </w:r>
      <w:r>
        <w:rPr/>
        <w:t>Tectonics</w:t>
      </w:r>
      <w:r>
        <w:rPr>
          <w:spacing w:val="-3"/>
        </w:rPr>
        <w:t> </w:t>
      </w:r>
      <w:r>
        <w:rPr/>
        <w:t>of</w:t>
      </w:r>
      <w:r>
        <w:rPr>
          <w:spacing w:val="-2"/>
        </w:rPr>
        <w:t> </w:t>
      </w:r>
      <w:r>
        <w:rPr/>
        <w:t>Floor,</w:t>
      </w:r>
      <w:r>
        <w:rPr>
          <w:spacing w:val="-6"/>
        </w:rPr>
        <w:t> </w:t>
      </w:r>
      <w:r>
        <w:rPr/>
        <w:t>Wall</w:t>
      </w:r>
      <w:r>
        <w:rPr>
          <w:spacing w:val="-5"/>
        </w:rPr>
        <w:t> </w:t>
      </w:r>
      <w:r>
        <w:rPr/>
        <w:t>and</w:t>
      </w:r>
      <w:r>
        <w:rPr>
          <w:spacing w:val="-4"/>
        </w:rPr>
        <w:t> </w:t>
      </w:r>
      <w:r>
        <w:rPr/>
        <w:t>Roof</w:t>
      </w:r>
      <w:r>
        <w:rPr>
          <w:spacing w:val="-2"/>
        </w:rPr>
        <w:t> </w:t>
      </w:r>
      <w:r>
        <w:rPr/>
        <w:t>Systems </w:t>
      </w:r>
      <w:r>
        <w:rPr>
          <w:spacing w:val="-4"/>
        </w:rPr>
        <w:t>65%,</w:t>
      </w:r>
      <w:r>
        <w:rPr/>
        <w:tab/>
        <w:t>Lab / Project application of knowledge 15%</w:t>
      </w:r>
    </w:p>
    <w:p>
      <w:pPr>
        <w:spacing w:before="116"/>
        <w:ind w:left="439" w:right="0" w:firstLine="0"/>
        <w:jc w:val="left"/>
        <w:rPr>
          <w:b/>
          <w:sz w:val="20"/>
        </w:rPr>
      </w:pPr>
      <w:r>
        <w:rPr>
          <w:b/>
          <w:w w:val="95"/>
          <w:sz w:val="20"/>
        </w:rPr>
        <w:t>Pre-</w:t>
      </w:r>
      <w:r>
        <w:rPr>
          <w:b/>
          <w:spacing w:val="-2"/>
          <w:sz w:val="20"/>
        </w:rPr>
        <w:t>requisites</w:t>
      </w:r>
    </w:p>
    <w:p>
      <w:pPr>
        <w:pStyle w:val="BodyText"/>
        <w:spacing w:before="123"/>
        <w:ind w:left="799"/>
      </w:pPr>
      <w:r>
        <w:rPr/>
        <w:t>ARC</w:t>
      </w:r>
      <w:r>
        <w:rPr>
          <w:spacing w:val="-7"/>
        </w:rPr>
        <w:t> </w:t>
      </w:r>
      <w:r>
        <w:rPr>
          <w:spacing w:val="-4"/>
        </w:rPr>
        <w:t>213.</w:t>
      </w:r>
    </w:p>
    <w:p>
      <w:pPr>
        <w:spacing w:before="118"/>
        <w:ind w:left="439" w:right="0" w:firstLine="0"/>
        <w:jc w:val="left"/>
        <w:rPr>
          <w:b/>
          <w:sz w:val="20"/>
        </w:rPr>
      </w:pPr>
      <w:r>
        <w:rPr>
          <w:b/>
          <w:sz w:val="20"/>
        </w:rPr>
        <w:t>Textbooks</w:t>
      </w:r>
      <w:r>
        <w:rPr>
          <w:b/>
          <w:spacing w:val="-11"/>
          <w:sz w:val="20"/>
        </w:rPr>
        <w:t> </w:t>
      </w:r>
      <w:r>
        <w:rPr>
          <w:b/>
          <w:sz w:val="20"/>
        </w:rPr>
        <w:t>/</w:t>
      </w:r>
      <w:r>
        <w:rPr>
          <w:b/>
          <w:spacing w:val="-9"/>
          <w:sz w:val="20"/>
        </w:rPr>
        <w:t> </w:t>
      </w:r>
      <w:r>
        <w:rPr>
          <w:b/>
          <w:sz w:val="20"/>
        </w:rPr>
        <w:t>Learning</w:t>
      </w:r>
      <w:r>
        <w:rPr>
          <w:b/>
          <w:spacing w:val="-7"/>
          <w:sz w:val="20"/>
        </w:rPr>
        <w:t> </w:t>
      </w:r>
      <w:r>
        <w:rPr>
          <w:b/>
          <w:spacing w:val="-2"/>
          <w:sz w:val="20"/>
        </w:rPr>
        <w:t>Resources</w:t>
      </w:r>
    </w:p>
    <w:p>
      <w:pPr>
        <w:pStyle w:val="BodyText"/>
        <w:spacing w:before="123"/>
        <w:ind w:left="799"/>
      </w:pPr>
      <w:r>
        <w:rPr/>
        <w:t>Architectural</w:t>
      </w:r>
      <w:r>
        <w:rPr>
          <w:spacing w:val="-9"/>
        </w:rPr>
        <w:t> </w:t>
      </w:r>
      <w:r>
        <w:rPr/>
        <w:t>Detailing</w:t>
      </w:r>
      <w:r>
        <w:rPr>
          <w:spacing w:val="-9"/>
        </w:rPr>
        <w:t> </w:t>
      </w:r>
      <w:r>
        <w:rPr/>
        <w:t>(Allen</w:t>
      </w:r>
      <w:r>
        <w:rPr>
          <w:spacing w:val="-10"/>
        </w:rPr>
        <w:t> </w:t>
      </w:r>
      <w:r>
        <w:rPr/>
        <w:t>&amp;</w:t>
      </w:r>
      <w:r>
        <w:rPr>
          <w:spacing w:val="-10"/>
        </w:rPr>
        <w:t> </w:t>
      </w:r>
      <w:r>
        <w:rPr/>
        <w:t>Rand),</w:t>
      </w:r>
      <w:r>
        <w:rPr>
          <w:spacing w:val="-8"/>
        </w:rPr>
        <w:t> </w:t>
      </w:r>
      <w:r>
        <w:rPr/>
        <w:t>Fundamentals</w:t>
      </w:r>
      <w:r>
        <w:rPr>
          <w:spacing w:val="-8"/>
        </w:rPr>
        <w:t> </w:t>
      </w:r>
      <w:r>
        <w:rPr/>
        <w:t>of</w:t>
      </w:r>
      <w:r>
        <w:rPr>
          <w:spacing w:val="-8"/>
        </w:rPr>
        <w:t> </w:t>
      </w:r>
      <w:r>
        <w:rPr/>
        <w:t>Building</w:t>
      </w:r>
      <w:r>
        <w:rPr>
          <w:spacing w:val="-9"/>
        </w:rPr>
        <w:t> </w:t>
      </w:r>
      <w:r>
        <w:rPr/>
        <w:t>Construction</w:t>
      </w:r>
      <w:r>
        <w:rPr>
          <w:spacing w:val="-10"/>
        </w:rPr>
        <w:t> </w:t>
      </w:r>
      <w:r>
        <w:rPr>
          <w:spacing w:val="-2"/>
        </w:rPr>
        <w:t>(Allen)</w:t>
      </w:r>
    </w:p>
    <w:p>
      <w:pPr>
        <w:spacing w:before="115"/>
        <w:ind w:left="439" w:right="0" w:firstLine="0"/>
        <w:jc w:val="left"/>
        <w:rPr>
          <w:b/>
          <w:sz w:val="20"/>
        </w:rPr>
      </w:pPr>
      <w:r>
        <w:rPr>
          <w:b/>
          <w:sz w:val="20"/>
        </w:rPr>
        <w:t>Offered</w:t>
      </w:r>
      <w:r>
        <w:rPr>
          <w:b/>
          <w:spacing w:val="-10"/>
          <w:sz w:val="20"/>
        </w:rPr>
        <w:t> </w:t>
      </w:r>
      <w:r>
        <w:rPr>
          <w:b/>
          <w:spacing w:val="-2"/>
          <w:sz w:val="20"/>
        </w:rPr>
        <w:t>(terms):</w:t>
      </w:r>
    </w:p>
    <w:p>
      <w:pPr>
        <w:pStyle w:val="BodyText"/>
        <w:spacing w:before="123"/>
        <w:ind w:left="799"/>
      </w:pPr>
      <w:r>
        <w:rPr/>
        <w:t>Fall</w:t>
      </w:r>
      <w:r>
        <w:rPr>
          <w:spacing w:val="-8"/>
        </w:rPr>
        <w:t> </w:t>
      </w:r>
      <w:r>
        <w:rPr/>
        <w:t>Semester</w:t>
      </w:r>
      <w:r>
        <w:rPr>
          <w:spacing w:val="-7"/>
        </w:rPr>
        <w:t> </w:t>
      </w:r>
      <w:r>
        <w:rPr>
          <w:spacing w:val="-4"/>
        </w:rPr>
        <w:t>only</w:t>
      </w:r>
    </w:p>
    <w:p>
      <w:pPr>
        <w:spacing w:before="118"/>
        <w:ind w:left="439" w:right="0" w:firstLine="0"/>
        <w:jc w:val="left"/>
        <w:rPr>
          <w:b/>
          <w:sz w:val="20"/>
        </w:rPr>
      </w:pPr>
      <w:r>
        <w:rPr>
          <w:b/>
          <w:sz w:val="20"/>
        </w:rPr>
        <w:t>Faculty</w:t>
      </w:r>
      <w:r>
        <w:rPr>
          <w:b/>
          <w:spacing w:val="-8"/>
          <w:sz w:val="20"/>
        </w:rPr>
        <w:t> </w:t>
      </w:r>
      <w:r>
        <w:rPr>
          <w:b/>
          <w:spacing w:val="-2"/>
          <w:sz w:val="20"/>
        </w:rPr>
        <w:t>Assigned</w:t>
      </w:r>
    </w:p>
    <w:p>
      <w:pPr>
        <w:pStyle w:val="BodyText"/>
        <w:spacing w:before="123"/>
        <w:ind w:left="1159" w:right="7005"/>
      </w:pPr>
      <w:r>
        <w:rPr/>
        <w:t>2014</w:t>
      </w:r>
      <w:r>
        <w:rPr>
          <w:spacing w:val="-13"/>
        </w:rPr>
        <w:t> </w:t>
      </w:r>
      <w:r>
        <w:rPr/>
        <w:t>–</w:t>
      </w:r>
      <w:r>
        <w:rPr>
          <w:spacing w:val="-13"/>
        </w:rPr>
        <w:t> </w:t>
      </w:r>
      <w:r>
        <w:rPr/>
        <w:t>Peronnet</w:t>
      </w:r>
      <w:r>
        <w:rPr>
          <w:spacing w:val="-14"/>
        </w:rPr>
        <w:t> </w:t>
      </w:r>
      <w:r>
        <w:rPr/>
        <w:t>(F/T) 2013 – Kloster (F/T)</w:t>
      </w:r>
    </w:p>
    <w:p>
      <w:pPr>
        <w:spacing w:after="0"/>
        <w:sectPr>
          <w:headerReference w:type="default" r:id="rId215"/>
          <w:footerReference w:type="default" r:id="rId216"/>
          <w:pgSz w:w="12240" w:h="15840"/>
          <w:pgMar w:header="993" w:footer="974" w:top="1240" w:bottom="1160" w:left="1000" w:right="820"/>
        </w:sectPr>
      </w:pPr>
    </w:p>
    <w:p>
      <w:pPr>
        <w:pStyle w:val="BodyText"/>
        <w:spacing w:before="4"/>
        <w:rPr>
          <w:sz w:val="12"/>
        </w:rPr>
      </w:pPr>
    </w:p>
    <w:p>
      <w:pPr>
        <w:spacing w:before="93"/>
        <w:ind w:left="440" w:right="0" w:firstLine="0"/>
        <w:jc w:val="left"/>
        <w:rPr>
          <w:b/>
          <w:sz w:val="20"/>
        </w:rPr>
      </w:pPr>
      <w:r>
        <w:rPr>
          <w:b/>
          <w:sz w:val="20"/>
        </w:rPr>
        <w:t>Course</w:t>
      </w:r>
      <w:r>
        <w:rPr>
          <w:b/>
          <w:spacing w:val="-9"/>
          <w:sz w:val="20"/>
        </w:rPr>
        <w:t> </w:t>
      </w:r>
      <w:r>
        <w:rPr>
          <w:b/>
          <w:sz w:val="20"/>
        </w:rPr>
        <w:t>Description</w:t>
      </w:r>
      <w:r>
        <w:rPr>
          <w:b/>
          <w:spacing w:val="-8"/>
          <w:sz w:val="20"/>
        </w:rPr>
        <w:t> </w:t>
      </w:r>
      <w:r>
        <w:rPr>
          <w:b/>
          <w:sz w:val="20"/>
        </w:rPr>
        <w:t>(limit</w:t>
      </w:r>
      <w:r>
        <w:rPr>
          <w:b/>
          <w:spacing w:val="-7"/>
          <w:sz w:val="20"/>
        </w:rPr>
        <w:t> </w:t>
      </w:r>
      <w:r>
        <w:rPr>
          <w:b/>
          <w:sz w:val="20"/>
        </w:rPr>
        <w:t>25</w:t>
      </w:r>
      <w:r>
        <w:rPr>
          <w:b/>
          <w:spacing w:val="-8"/>
          <w:sz w:val="20"/>
        </w:rPr>
        <w:t> </w:t>
      </w:r>
      <w:r>
        <w:rPr>
          <w:b/>
          <w:spacing w:val="-2"/>
          <w:sz w:val="20"/>
        </w:rPr>
        <w:t>words):</w:t>
      </w:r>
    </w:p>
    <w:p>
      <w:pPr>
        <w:pStyle w:val="BodyText"/>
        <w:spacing w:before="1"/>
        <w:rPr>
          <w:b/>
          <w:sz w:val="21"/>
        </w:rPr>
      </w:pPr>
    </w:p>
    <w:p>
      <w:pPr>
        <w:pStyle w:val="BodyText"/>
        <w:ind w:left="1159" w:right="642"/>
      </w:pPr>
      <w:r>
        <w:rPr/>
        <w:t>A</w:t>
      </w:r>
      <w:r>
        <w:rPr>
          <w:spacing w:val="-6"/>
        </w:rPr>
        <w:t> </w:t>
      </w:r>
      <w:r>
        <w:rPr/>
        <w:t>fundamental</w:t>
      </w:r>
      <w:r>
        <w:rPr>
          <w:spacing w:val="-4"/>
        </w:rPr>
        <w:t> </w:t>
      </w:r>
      <w:r>
        <w:rPr/>
        <w:t>introduction to</w:t>
      </w:r>
      <w:r>
        <w:rPr>
          <w:spacing w:val="-5"/>
        </w:rPr>
        <w:t> </w:t>
      </w:r>
      <w:r>
        <w:rPr/>
        <w:t>the</w:t>
      </w:r>
      <w:r>
        <w:rPr>
          <w:spacing w:val="-5"/>
        </w:rPr>
        <w:t> </w:t>
      </w:r>
      <w:r>
        <w:rPr/>
        <w:t>equipment</w:t>
      </w:r>
      <w:r>
        <w:rPr>
          <w:spacing w:val="-5"/>
        </w:rPr>
        <w:t> </w:t>
      </w:r>
      <w:r>
        <w:rPr/>
        <w:t>and</w:t>
      </w:r>
      <w:r>
        <w:rPr>
          <w:spacing w:val="-5"/>
        </w:rPr>
        <w:t> </w:t>
      </w:r>
      <w:r>
        <w:rPr/>
        <w:t>services</w:t>
      </w:r>
      <w:r>
        <w:rPr>
          <w:spacing w:val="-4"/>
        </w:rPr>
        <w:t> </w:t>
      </w:r>
      <w:r>
        <w:rPr/>
        <w:t>required</w:t>
      </w:r>
      <w:r>
        <w:rPr>
          <w:spacing w:val="-5"/>
        </w:rPr>
        <w:t> </w:t>
      </w:r>
      <w:r>
        <w:rPr/>
        <w:t>for</w:t>
      </w:r>
      <w:r>
        <w:rPr>
          <w:spacing w:val="-4"/>
        </w:rPr>
        <w:t> </w:t>
      </w:r>
      <w:r>
        <w:rPr/>
        <w:t>interior</w:t>
      </w:r>
      <w:r>
        <w:rPr>
          <w:spacing w:val="-4"/>
        </w:rPr>
        <w:t> </w:t>
      </w:r>
      <w:r>
        <w:rPr/>
        <w:t>environmental control and comfort.</w:t>
      </w:r>
      <w:r>
        <w:rPr>
          <w:spacing w:val="40"/>
        </w:rPr>
        <w:t> </w:t>
      </w:r>
      <w:r>
        <w:rPr/>
        <w:t>Basic requirements for HVAC, electricity, illumination, plumbing and acoustics in building design are examined.</w:t>
      </w:r>
    </w:p>
    <w:p>
      <w:pPr>
        <w:spacing w:before="119"/>
        <w:ind w:left="440" w:right="0" w:firstLine="0"/>
        <w:jc w:val="left"/>
        <w:rPr>
          <w:b/>
          <w:sz w:val="20"/>
        </w:rPr>
      </w:pPr>
      <w:r>
        <w:rPr>
          <w:b/>
          <w:sz w:val="20"/>
        </w:rPr>
        <w:t>Course</w:t>
      </w:r>
      <w:r>
        <w:rPr>
          <w:b/>
          <w:spacing w:val="-9"/>
          <w:sz w:val="20"/>
        </w:rPr>
        <w:t> </w:t>
      </w:r>
      <w:r>
        <w:rPr>
          <w:b/>
          <w:sz w:val="20"/>
        </w:rPr>
        <w:t>Goals</w:t>
      </w:r>
      <w:r>
        <w:rPr>
          <w:b/>
          <w:spacing w:val="-7"/>
          <w:sz w:val="20"/>
        </w:rPr>
        <w:t> </w:t>
      </w:r>
      <w:r>
        <w:rPr>
          <w:b/>
          <w:sz w:val="20"/>
        </w:rPr>
        <w:t>and</w:t>
      </w:r>
      <w:r>
        <w:rPr>
          <w:b/>
          <w:spacing w:val="-5"/>
          <w:sz w:val="20"/>
        </w:rPr>
        <w:t> </w:t>
      </w:r>
      <w:r>
        <w:rPr>
          <w:b/>
          <w:spacing w:val="-2"/>
          <w:sz w:val="20"/>
        </w:rPr>
        <w:t>Objectives;</w:t>
      </w:r>
    </w:p>
    <w:p>
      <w:pPr>
        <w:pStyle w:val="BodyText"/>
        <w:tabs>
          <w:tab w:pos="8719" w:val="left" w:leader="none"/>
        </w:tabs>
        <w:spacing w:before="120"/>
        <w:ind w:left="440" w:right="754" w:firstLine="359"/>
      </w:pPr>
      <w:r>
        <w:rPr/>
        <w:t>A successful student of this course will be able to produce the following evidence at the</w:t>
        <w:tab/>
      </w:r>
      <w:r>
        <w:rPr>
          <w:spacing w:val="-2"/>
        </w:rPr>
        <w:t>conclusion </w:t>
      </w:r>
      <w:r>
        <w:rPr/>
        <w:t>of the semester.</w:t>
      </w:r>
    </w:p>
    <w:p>
      <w:pPr>
        <w:pStyle w:val="BodyText"/>
        <w:spacing w:before="121"/>
        <w:ind w:left="1880" w:hanging="360"/>
      </w:pPr>
      <w:r>
        <w:rPr/>
        <w:t>A</w:t>
      </w:r>
      <w:r>
        <w:rPr>
          <w:spacing w:val="32"/>
        </w:rPr>
        <w:t> </w:t>
      </w:r>
      <w:r>
        <w:rPr/>
        <w:t>working</w:t>
      </w:r>
      <w:r>
        <w:rPr>
          <w:spacing w:val="33"/>
        </w:rPr>
        <w:t> </w:t>
      </w:r>
      <w:r>
        <w:rPr/>
        <w:t>vocabulary</w:t>
      </w:r>
      <w:r>
        <w:rPr>
          <w:spacing w:val="30"/>
        </w:rPr>
        <w:t> </w:t>
      </w:r>
      <w:r>
        <w:rPr/>
        <w:t>of</w:t>
      </w:r>
      <w:r>
        <w:rPr>
          <w:spacing w:val="35"/>
        </w:rPr>
        <w:t> </w:t>
      </w:r>
      <w:r>
        <w:rPr/>
        <w:t>Plumbing,</w:t>
      </w:r>
      <w:r>
        <w:rPr>
          <w:spacing w:val="33"/>
        </w:rPr>
        <w:t> </w:t>
      </w:r>
      <w:r>
        <w:rPr/>
        <w:t>HVAC,</w:t>
      </w:r>
      <w:r>
        <w:rPr>
          <w:spacing w:val="33"/>
        </w:rPr>
        <w:t> </w:t>
      </w:r>
      <w:r>
        <w:rPr/>
        <w:t>Electrical</w:t>
      </w:r>
      <w:r>
        <w:rPr>
          <w:spacing w:val="32"/>
        </w:rPr>
        <w:t> </w:t>
      </w:r>
      <w:r>
        <w:rPr/>
        <w:t>and</w:t>
      </w:r>
      <w:r>
        <w:rPr>
          <w:spacing w:val="35"/>
        </w:rPr>
        <w:t> </w:t>
      </w:r>
      <w:r>
        <w:rPr/>
        <w:t>Acoustical</w:t>
      </w:r>
      <w:r>
        <w:rPr>
          <w:spacing w:val="32"/>
        </w:rPr>
        <w:t> </w:t>
      </w:r>
      <w:r>
        <w:rPr/>
        <w:t>terms</w:t>
      </w:r>
      <w:r>
        <w:rPr>
          <w:spacing w:val="32"/>
        </w:rPr>
        <w:t> </w:t>
      </w:r>
      <w:r>
        <w:rPr/>
        <w:t>and</w:t>
      </w:r>
      <w:r>
        <w:rPr>
          <w:spacing w:val="33"/>
        </w:rPr>
        <w:t> </w:t>
      </w:r>
      <w:r>
        <w:rPr/>
        <w:t>processes particular to building design in the United States.</w:t>
      </w:r>
    </w:p>
    <w:p>
      <w:pPr>
        <w:pStyle w:val="BodyText"/>
        <w:spacing w:before="1"/>
        <w:ind w:left="1880" w:right="642" w:hanging="360"/>
      </w:pPr>
      <w:r>
        <w:rPr/>
        <w:t>An</w:t>
      </w:r>
      <w:r>
        <w:rPr>
          <w:spacing w:val="72"/>
        </w:rPr>
        <w:t> </w:t>
      </w:r>
      <w:r>
        <w:rPr/>
        <w:t>ability</w:t>
      </w:r>
      <w:r>
        <w:rPr>
          <w:spacing w:val="40"/>
        </w:rPr>
        <w:t> </w:t>
      </w:r>
      <w:r>
        <w:rPr/>
        <w:t>to</w:t>
      </w:r>
      <w:r>
        <w:rPr>
          <w:spacing w:val="70"/>
        </w:rPr>
        <w:t> </w:t>
      </w:r>
      <w:r>
        <w:rPr/>
        <w:t>calculate</w:t>
      </w:r>
      <w:r>
        <w:rPr>
          <w:spacing w:val="72"/>
        </w:rPr>
        <w:t> </w:t>
      </w:r>
      <w:r>
        <w:rPr/>
        <w:t>basic</w:t>
      </w:r>
      <w:r>
        <w:rPr>
          <w:spacing w:val="71"/>
        </w:rPr>
        <w:t> </w:t>
      </w:r>
      <w:r>
        <w:rPr/>
        <w:t>environmental</w:t>
      </w:r>
      <w:r>
        <w:rPr>
          <w:spacing w:val="71"/>
        </w:rPr>
        <w:t> </w:t>
      </w:r>
      <w:r>
        <w:rPr/>
        <w:t>load</w:t>
      </w:r>
      <w:r>
        <w:rPr>
          <w:spacing w:val="72"/>
        </w:rPr>
        <w:t> </w:t>
      </w:r>
      <w:r>
        <w:rPr/>
        <w:t>requirements</w:t>
      </w:r>
      <w:r>
        <w:rPr>
          <w:spacing w:val="71"/>
        </w:rPr>
        <w:t> </w:t>
      </w:r>
      <w:r>
        <w:rPr/>
        <w:t>for</w:t>
      </w:r>
      <w:r>
        <w:rPr>
          <w:spacing w:val="71"/>
        </w:rPr>
        <w:t> </w:t>
      </w:r>
      <w:r>
        <w:rPr/>
        <w:t>specific</w:t>
      </w:r>
      <w:r>
        <w:rPr>
          <w:spacing w:val="71"/>
        </w:rPr>
        <w:t> </w:t>
      </w:r>
      <w:r>
        <w:rPr/>
        <w:t>architectural </w:t>
      </w:r>
      <w:r>
        <w:rPr>
          <w:spacing w:val="-2"/>
        </w:rPr>
        <w:t>programs.</w:t>
      </w:r>
    </w:p>
    <w:p>
      <w:pPr>
        <w:pStyle w:val="BodyText"/>
        <w:spacing w:line="229" w:lineRule="exact"/>
        <w:ind w:left="1520"/>
      </w:pPr>
      <w:r>
        <w:rPr/>
        <w:t>An</w:t>
      </w:r>
      <w:r>
        <w:rPr>
          <w:spacing w:val="-8"/>
        </w:rPr>
        <w:t> </w:t>
      </w:r>
      <w:r>
        <w:rPr/>
        <w:t>ability</w:t>
      </w:r>
      <w:r>
        <w:rPr>
          <w:spacing w:val="-10"/>
        </w:rPr>
        <w:t> </w:t>
      </w:r>
      <w:r>
        <w:rPr/>
        <w:t>to</w:t>
      </w:r>
      <w:r>
        <w:rPr>
          <w:spacing w:val="-8"/>
        </w:rPr>
        <w:t> </w:t>
      </w:r>
      <w:r>
        <w:rPr/>
        <w:t>identify</w:t>
      </w:r>
      <w:r>
        <w:rPr>
          <w:spacing w:val="-8"/>
        </w:rPr>
        <w:t> </w:t>
      </w:r>
      <w:r>
        <w:rPr/>
        <w:t>and</w:t>
      </w:r>
      <w:r>
        <w:rPr>
          <w:spacing w:val="-8"/>
        </w:rPr>
        <w:t> </w:t>
      </w:r>
      <w:r>
        <w:rPr/>
        <w:t>select</w:t>
      </w:r>
      <w:r>
        <w:rPr>
          <w:spacing w:val="-7"/>
        </w:rPr>
        <w:t> </w:t>
      </w:r>
      <w:r>
        <w:rPr/>
        <w:t>environmental</w:t>
      </w:r>
      <w:r>
        <w:rPr>
          <w:spacing w:val="-9"/>
        </w:rPr>
        <w:t> </w:t>
      </w:r>
      <w:r>
        <w:rPr/>
        <w:t>solutions</w:t>
      </w:r>
      <w:r>
        <w:rPr>
          <w:spacing w:val="-3"/>
        </w:rPr>
        <w:t> </w:t>
      </w:r>
      <w:r>
        <w:rPr/>
        <w:t>applicable</w:t>
      </w:r>
      <w:r>
        <w:rPr>
          <w:spacing w:val="-6"/>
        </w:rPr>
        <w:t> </w:t>
      </w:r>
      <w:r>
        <w:rPr/>
        <w:t>to</w:t>
      </w:r>
      <w:r>
        <w:rPr>
          <w:spacing w:val="-6"/>
        </w:rPr>
        <w:t> </w:t>
      </w:r>
      <w:r>
        <w:rPr/>
        <w:t>architectural</w:t>
      </w:r>
      <w:r>
        <w:rPr>
          <w:spacing w:val="-7"/>
        </w:rPr>
        <w:t> </w:t>
      </w:r>
      <w:r>
        <w:rPr>
          <w:spacing w:val="-2"/>
        </w:rPr>
        <w:t>design.</w:t>
      </w:r>
    </w:p>
    <w:p>
      <w:pPr>
        <w:pStyle w:val="BodyText"/>
        <w:spacing w:before="1"/>
        <w:ind w:left="1880" w:right="642" w:hanging="360"/>
      </w:pPr>
      <w:r>
        <w:rPr/>
        <w:t>An understanding of the extensive information and data required by engineers to execute an entire environmental system for a building.</w:t>
      </w:r>
    </w:p>
    <w:p>
      <w:pPr>
        <w:spacing w:before="118"/>
        <w:ind w:left="495" w:right="0" w:firstLine="0"/>
        <w:jc w:val="left"/>
        <w:rPr>
          <w:b/>
          <w:sz w:val="20"/>
        </w:rPr>
      </w:pPr>
      <w:r>
        <w:rPr>
          <w:b/>
          <w:sz w:val="20"/>
        </w:rPr>
        <w:t>Student</w:t>
      </w:r>
      <w:r>
        <w:rPr>
          <w:b/>
          <w:spacing w:val="-9"/>
          <w:sz w:val="20"/>
        </w:rPr>
        <w:t> </w:t>
      </w:r>
      <w:r>
        <w:rPr>
          <w:b/>
          <w:sz w:val="20"/>
        </w:rPr>
        <w:t>Performance</w:t>
      </w:r>
      <w:r>
        <w:rPr>
          <w:b/>
          <w:spacing w:val="-9"/>
          <w:sz w:val="20"/>
        </w:rPr>
        <w:t> </w:t>
      </w:r>
      <w:r>
        <w:rPr>
          <w:b/>
          <w:sz w:val="20"/>
        </w:rPr>
        <w:t>Criteria</w:t>
      </w:r>
      <w:r>
        <w:rPr>
          <w:b/>
          <w:spacing w:val="-5"/>
          <w:sz w:val="20"/>
        </w:rPr>
        <w:t> </w:t>
      </w:r>
      <w:r>
        <w:rPr>
          <w:b/>
          <w:sz w:val="20"/>
        </w:rPr>
        <w:t>Addressed</w:t>
      </w:r>
      <w:r>
        <w:rPr>
          <w:b/>
          <w:spacing w:val="-8"/>
          <w:sz w:val="20"/>
        </w:rPr>
        <w:t> </w:t>
      </w:r>
      <w:r>
        <w:rPr>
          <w:b/>
          <w:sz w:val="20"/>
        </w:rPr>
        <w:t>(name</w:t>
      </w:r>
      <w:r>
        <w:rPr>
          <w:b/>
          <w:spacing w:val="-9"/>
          <w:sz w:val="20"/>
        </w:rPr>
        <w:t> </w:t>
      </w:r>
      <w:r>
        <w:rPr>
          <w:b/>
          <w:sz w:val="20"/>
        </w:rPr>
        <w:t>and</w:t>
      </w:r>
      <w:r>
        <w:rPr>
          <w:b/>
          <w:spacing w:val="-8"/>
          <w:sz w:val="20"/>
        </w:rPr>
        <w:t> </w:t>
      </w:r>
      <w:r>
        <w:rPr>
          <w:b/>
          <w:spacing w:val="-2"/>
          <w:sz w:val="20"/>
        </w:rPr>
        <w:t>number)</w:t>
      </w:r>
    </w:p>
    <w:p>
      <w:pPr>
        <w:pStyle w:val="ListParagraph"/>
        <w:numPr>
          <w:ilvl w:val="1"/>
          <w:numId w:val="47"/>
        </w:numPr>
        <w:tabs>
          <w:tab w:pos="1520" w:val="left" w:leader="none"/>
          <w:tab w:pos="1879" w:val="left" w:leader="none"/>
        </w:tabs>
        <w:spacing w:line="240" w:lineRule="auto" w:before="123" w:after="0"/>
        <w:ind w:left="1159" w:right="6645" w:firstLine="0"/>
        <w:jc w:val="left"/>
        <w:rPr>
          <w:sz w:val="20"/>
        </w:rPr>
      </w:pPr>
      <w:r>
        <w:rPr>
          <w:sz w:val="20"/>
        </w:rPr>
        <w:t>Technical</w:t>
      </w:r>
      <w:r>
        <w:rPr>
          <w:spacing w:val="-14"/>
          <w:sz w:val="20"/>
        </w:rPr>
        <w:t> </w:t>
      </w:r>
      <w:r>
        <w:rPr>
          <w:sz w:val="20"/>
        </w:rPr>
        <w:t>Documentation </w:t>
      </w:r>
      <w:r>
        <w:rPr>
          <w:spacing w:val="-4"/>
          <w:sz w:val="20"/>
        </w:rPr>
        <w:t>A-11</w:t>
      </w:r>
      <w:r>
        <w:rPr>
          <w:sz w:val="20"/>
        </w:rPr>
        <w:tab/>
        <w:t>Applied Research</w:t>
      </w:r>
    </w:p>
    <w:p>
      <w:pPr>
        <w:pStyle w:val="ListParagraph"/>
        <w:numPr>
          <w:ilvl w:val="1"/>
          <w:numId w:val="49"/>
        </w:numPr>
        <w:tabs>
          <w:tab w:pos="1520" w:val="left" w:leader="none"/>
        </w:tabs>
        <w:spacing w:line="229" w:lineRule="exact" w:before="0" w:after="0"/>
        <w:ind w:left="1519" w:right="0" w:hanging="361"/>
        <w:jc w:val="left"/>
        <w:rPr>
          <w:sz w:val="20"/>
        </w:rPr>
      </w:pPr>
      <w:r>
        <w:rPr>
          <w:sz w:val="20"/>
        </w:rPr>
        <w:t>Ordering</w:t>
      </w:r>
      <w:r>
        <w:rPr>
          <w:spacing w:val="-9"/>
          <w:sz w:val="20"/>
        </w:rPr>
        <w:t> </w:t>
      </w:r>
      <w:r>
        <w:rPr>
          <w:sz w:val="20"/>
        </w:rPr>
        <w:t>System</w:t>
      </w:r>
      <w:r>
        <w:rPr>
          <w:spacing w:val="-6"/>
          <w:sz w:val="20"/>
        </w:rPr>
        <w:t> </w:t>
      </w:r>
      <w:r>
        <w:rPr>
          <w:spacing w:val="-2"/>
          <w:sz w:val="20"/>
        </w:rPr>
        <w:t>Skills</w:t>
      </w:r>
    </w:p>
    <w:p>
      <w:pPr>
        <w:pStyle w:val="ListParagraph"/>
        <w:numPr>
          <w:ilvl w:val="1"/>
          <w:numId w:val="56"/>
        </w:numPr>
        <w:tabs>
          <w:tab w:pos="1879" w:val="left" w:leader="none"/>
          <w:tab w:pos="1880" w:val="left" w:leader="none"/>
        </w:tabs>
        <w:spacing w:line="240" w:lineRule="auto" w:before="0" w:after="0"/>
        <w:ind w:left="1159" w:right="6226" w:firstLine="0"/>
        <w:jc w:val="left"/>
        <w:rPr>
          <w:sz w:val="20"/>
        </w:rPr>
      </w:pPr>
      <w:r>
        <w:rPr>
          <w:sz w:val="20"/>
        </w:rPr>
        <w:t>Building</w:t>
      </w:r>
      <w:r>
        <w:rPr>
          <w:spacing w:val="-14"/>
          <w:sz w:val="20"/>
        </w:rPr>
        <w:t> </w:t>
      </w:r>
      <w:r>
        <w:rPr>
          <w:sz w:val="20"/>
        </w:rPr>
        <w:t>Envelop</w:t>
      </w:r>
      <w:r>
        <w:rPr>
          <w:spacing w:val="-14"/>
          <w:sz w:val="20"/>
        </w:rPr>
        <w:t> </w:t>
      </w:r>
      <w:r>
        <w:rPr>
          <w:sz w:val="20"/>
        </w:rPr>
        <w:t>Systems </w:t>
      </w:r>
      <w:r>
        <w:rPr>
          <w:spacing w:val="-4"/>
          <w:sz w:val="20"/>
        </w:rPr>
        <w:t>B-11</w:t>
      </w:r>
      <w:r>
        <w:rPr>
          <w:sz w:val="20"/>
        </w:rPr>
        <w:tab/>
        <w:t>Building Service Systems</w:t>
      </w:r>
    </w:p>
    <w:p>
      <w:pPr>
        <w:pStyle w:val="BodyText"/>
        <w:tabs>
          <w:tab w:pos="1879" w:val="left" w:leader="none"/>
        </w:tabs>
        <w:spacing w:before="1"/>
        <w:ind w:left="1159"/>
      </w:pPr>
      <w:r>
        <w:rPr>
          <w:w w:val="95"/>
        </w:rPr>
        <w:t>B-</w:t>
      </w:r>
      <w:r>
        <w:rPr>
          <w:spacing w:val="-5"/>
        </w:rPr>
        <w:t>12</w:t>
      </w:r>
      <w:r>
        <w:rPr/>
        <w:tab/>
        <w:t>Building</w:t>
      </w:r>
      <w:r>
        <w:rPr>
          <w:spacing w:val="-7"/>
        </w:rPr>
        <w:t> </w:t>
      </w:r>
      <w:r>
        <w:rPr/>
        <w:t>Assembly</w:t>
      </w:r>
      <w:r>
        <w:rPr>
          <w:spacing w:val="-8"/>
        </w:rPr>
        <w:t> </w:t>
      </w:r>
      <w:r>
        <w:rPr/>
        <w:t>and</w:t>
      </w:r>
      <w:r>
        <w:rPr>
          <w:spacing w:val="-5"/>
        </w:rPr>
        <w:t> </w:t>
      </w:r>
      <w:r>
        <w:rPr>
          <w:spacing w:val="-2"/>
        </w:rPr>
        <w:t>Materials</w:t>
      </w:r>
    </w:p>
    <w:p>
      <w:pPr>
        <w:spacing w:before="118"/>
        <w:ind w:left="439" w:right="0" w:firstLine="0"/>
        <w:jc w:val="left"/>
        <w:rPr>
          <w:b/>
          <w:sz w:val="20"/>
        </w:rPr>
      </w:pPr>
      <w:r>
        <w:rPr>
          <w:b/>
          <w:sz w:val="20"/>
        </w:rPr>
        <w:t>Topical</w:t>
      </w:r>
      <w:r>
        <w:rPr>
          <w:b/>
          <w:spacing w:val="-7"/>
          <w:sz w:val="20"/>
        </w:rPr>
        <w:t> </w:t>
      </w:r>
      <w:r>
        <w:rPr>
          <w:b/>
          <w:sz w:val="20"/>
        </w:rPr>
        <w:t>Outline</w:t>
      </w:r>
      <w:r>
        <w:rPr>
          <w:b/>
          <w:spacing w:val="-7"/>
          <w:sz w:val="20"/>
        </w:rPr>
        <w:t> </w:t>
      </w:r>
      <w:r>
        <w:rPr>
          <w:b/>
          <w:sz w:val="20"/>
        </w:rPr>
        <w:t>and</w:t>
      </w:r>
      <w:r>
        <w:rPr>
          <w:b/>
          <w:spacing w:val="-6"/>
          <w:sz w:val="20"/>
        </w:rPr>
        <w:t> </w:t>
      </w:r>
      <w:r>
        <w:rPr>
          <w:b/>
          <w:sz w:val="20"/>
        </w:rPr>
        <w:t>percentage</w:t>
      </w:r>
      <w:r>
        <w:rPr>
          <w:b/>
          <w:spacing w:val="-6"/>
          <w:sz w:val="20"/>
        </w:rPr>
        <w:t> </w:t>
      </w:r>
      <w:r>
        <w:rPr>
          <w:b/>
          <w:sz w:val="20"/>
        </w:rPr>
        <w:t>of</w:t>
      </w:r>
      <w:r>
        <w:rPr>
          <w:b/>
          <w:spacing w:val="-6"/>
          <w:sz w:val="20"/>
        </w:rPr>
        <w:t> </w:t>
      </w:r>
      <w:r>
        <w:rPr>
          <w:b/>
          <w:sz w:val="20"/>
        </w:rPr>
        <w:t>time</w:t>
      </w:r>
      <w:r>
        <w:rPr>
          <w:b/>
          <w:spacing w:val="-7"/>
          <w:sz w:val="20"/>
        </w:rPr>
        <w:t> </w:t>
      </w:r>
      <w:r>
        <w:rPr>
          <w:b/>
          <w:sz w:val="20"/>
        </w:rPr>
        <w:t>spent</w:t>
      </w:r>
      <w:r>
        <w:rPr>
          <w:b/>
          <w:spacing w:val="-6"/>
          <w:sz w:val="20"/>
        </w:rPr>
        <w:t> </w:t>
      </w:r>
      <w:r>
        <w:rPr>
          <w:b/>
          <w:sz w:val="20"/>
        </w:rPr>
        <w:t>on</w:t>
      </w:r>
      <w:r>
        <w:rPr>
          <w:b/>
          <w:spacing w:val="-5"/>
          <w:sz w:val="20"/>
        </w:rPr>
        <w:t> </w:t>
      </w:r>
      <w:r>
        <w:rPr>
          <w:b/>
          <w:spacing w:val="-4"/>
          <w:sz w:val="20"/>
        </w:rPr>
        <w:t>each</w:t>
      </w:r>
    </w:p>
    <w:p>
      <w:pPr>
        <w:pStyle w:val="BodyText"/>
        <w:spacing w:before="121"/>
        <w:ind w:left="799"/>
      </w:pPr>
      <w:r>
        <w:rPr/>
        <w:t>50%</w:t>
      </w:r>
      <w:r>
        <w:rPr>
          <w:spacing w:val="-7"/>
        </w:rPr>
        <w:t> </w:t>
      </w:r>
      <w:r>
        <w:rPr/>
        <w:t>Lecture,</w:t>
      </w:r>
      <w:r>
        <w:rPr>
          <w:spacing w:val="-6"/>
        </w:rPr>
        <w:t> </w:t>
      </w:r>
      <w:r>
        <w:rPr/>
        <w:t>50%</w:t>
      </w:r>
      <w:r>
        <w:rPr>
          <w:spacing w:val="-5"/>
        </w:rPr>
        <w:t> </w:t>
      </w:r>
      <w:r>
        <w:rPr>
          <w:spacing w:val="-2"/>
        </w:rPr>
        <w:t>Projects,</w:t>
      </w:r>
    </w:p>
    <w:p>
      <w:pPr>
        <w:spacing w:before="118"/>
        <w:ind w:left="439" w:right="0" w:firstLine="0"/>
        <w:jc w:val="left"/>
        <w:rPr>
          <w:b/>
          <w:sz w:val="20"/>
        </w:rPr>
      </w:pPr>
      <w:r>
        <w:rPr>
          <w:b/>
          <w:w w:val="95"/>
          <w:sz w:val="20"/>
        </w:rPr>
        <w:t>Pre-</w:t>
      </w:r>
      <w:r>
        <w:rPr>
          <w:b/>
          <w:spacing w:val="-2"/>
          <w:sz w:val="20"/>
        </w:rPr>
        <w:t>requisites</w:t>
      </w:r>
    </w:p>
    <w:p>
      <w:pPr>
        <w:pStyle w:val="BodyText"/>
        <w:spacing w:before="123"/>
        <w:ind w:left="1159"/>
      </w:pPr>
      <w:r>
        <w:rPr/>
        <w:t>ARC</w:t>
      </w:r>
      <w:r>
        <w:rPr>
          <w:spacing w:val="-6"/>
        </w:rPr>
        <w:t> </w:t>
      </w:r>
      <w:r>
        <w:rPr/>
        <w:t>200,</w:t>
      </w:r>
      <w:r>
        <w:rPr>
          <w:spacing w:val="-4"/>
        </w:rPr>
        <w:t> </w:t>
      </w:r>
      <w:r>
        <w:rPr/>
        <w:t>ARC</w:t>
      </w:r>
      <w:r>
        <w:rPr>
          <w:spacing w:val="-3"/>
        </w:rPr>
        <w:t> </w:t>
      </w:r>
      <w:r>
        <w:rPr>
          <w:spacing w:val="-4"/>
        </w:rPr>
        <w:t>213.</w:t>
      </w:r>
    </w:p>
    <w:p>
      <w:pPr>
        <w:spacing w:before="118"/>
        <w:ind w:left="439" w:right="0" w:firstLine="0"/>
        <w:jc w:val="left"/>
        <w:rPr>
          <w:b/>
          <w:sz w:val="20"/>
        </w:rPr>
      </w:pPr>
      <w:r>
        <w:rPr>
          <w:b/>
          <w:sz w:val="20"/>
        </w:rPr>
        <w:t>Textbooks</w:t>
      </w:r>
      <w:r>
        <w:rPr>
          <w:b/>
          <w:spacing w:val="-11"/>
          <w:sz w:val="20"/>
        </w:rPr>
        <w:t> </w:t>
      </w:r>
      <w:r>
        <w:rPr>
          <w:b/>
          <w:sz w:val="20"/>
        </w:rPr>
        <w:t>/</w:t>
      </w:r>
      <w:r>
        <w:rPr>
          <w:b/>
          <w:spacing w:val="-9"/>
          <w:sz w:val="20"/>
        </w:rPr>
        <w:t> </w:t>
      </w:r>
      <w:r>
        <w:rPr>
          <w:b/>
          <w:sz w:val="20"/>
        </w:rPr>
        <w:t>Learning</w:t>
      </w:r>
      <w:r>
        <w:rPr>
          <w:b/>
          <w:spacing w:val="-7"/>
          <w:sz w:val="20"/>
        </w:rPr>
        <w:t> </w:t>
      </w:r>
      <w:r>
        <w:rPr>
          <w:b/>
          <w:spacing w:val="-2"/>
          <w:sz w:val="20"/>
        </w:rPr>
        <w:t>Resources</w:t>
      </w:r>
    </w:p>
    <w:p>
      <w:pPr>
        <w:spacing w:line="242" w:lineRule="auto" w:before="120"/>
        <w:ind w:left="1159" w:right="632" w:firstLine="0"/>
        <w:jc w:val="left"/>
        <w:rPr>
          <w:sz w:val="20"/>
        </w:rPr>
      </w:pPr>
      <w:r>
        <w:rPr>
          <w:sz w:val="20"/>
        </w:rPr>
        <w:t>Grondzik,</w:t>
      </w:r>
      <w:r>
        <w:rPr>
          <w:spacing w:val="-5"/>
          <w:sz w:val="20"/>
        </w:rPr>
        <w:t> </w:t>
      </w:r>
      <w:r>
        <w:rPr>
          <w:sz w:val="20"/>
        </w:rPr>
        <w:t>Kwok,</w:t>
      </w:r>
      <w:r>
        <w:rPr>
          <w:spacing w:val="-5"/>
          <w:sz w:val="20"/>
        </w:rPr>
        <w:t> </w:t>
      </w:r>
      <w:r>
        <w:rPr>
          <w:sz w:val="20"/>
        </w:rPr>
        <w:t>Stein,</w:t>
      </w:r>
      <w:r>
        <w:rPr>
          <w:spacing w:val="-5"/>
          <w:sz w:val="20"/>
        </w:rPr>
        <w:t> </w:t>
      </w:r>
      <w:r>
        <w:rPr>
          <w:sz w:val="20"/>
        </w:rPr>
        <w:t>Reynolds:</w:t>
      </w:r>
      <w:r>
        <w:rPr>
          <w:spacing w:val="-2"/>
          <w:sz w:val="20"/>
        </w:rPr>
        <w:t> </w:t>
      </w:r>
      <w:r>
        <w:rPr>
          <w:i/>
          <w:sz w:val="20"/>
        </w:rPr>
        <w:t>Mechanical</w:t>
      </w:r>
      <w:r>
        <w:rPr>
          <w:i/>
          <w:spacing w:val="-4"/>
          <w:sz w:val="20"/>
        </w:rPr>
        <w:t> </w:t>
      </w:r>
      <w:r>
        <w:rPr>
          <w:i/>
          <w:sz w:val="20"/>
        </w:rPr>
        <w:t>and</w:t>
      </w:r>
      <w:r>
        <w:rPr>
          <w:i/>
          <w:spacing w:val="-3"/>
          <w:sz w:val="20"/>
        </w:rPr>
        <w:t> </w:t>
      </w:r>
      <w:r>
        <w:rPr>
          <w:i/>
          <w:sz w:val="20"/>
        </w:rPr>
        <w:t>Electrical</w:t>
      </w:r>
      <w:r>
        <w:rPr>
          <w:i/>
          <w:spacing w:val="-4"/>
          <w:sz w:val="20"/>
        </w:rPr>
        <w:t> </w:t>
      </w:r>
      <w:r>
        <w:rPr>
          <w:i/>
          <w:sz w:val="20"/>
        </w:rPr>
        <w:t>Equipment</w:t>
      </w:r>
      <w:r>
        <w:rPr>
          <w:i/>
          <w:spacing w:val="-5"/>
          <w:sz w:val="20"/>
        </w:rPr>
        <w:t> </w:t>
      </w:r>
      <w:r>
        <w:rPr>
          <w:i/>
          <w:sz w:val="20"/>
        </w:rPr>
        <w:t>for</w:t>
      </w:r>
      <w:r>
        <w:rPr>
          <w:i/>
          <w:spacing w:val="-2"/>
          <w:sz w:val="20"/>
        </w:rPr>
        <w:t> </w:t>
      </w:r>
      <w:r>
        <w:rPr>
          <w:i/>
          <w:sz w:val="20"/>
        </w:rPr>
        <w:t>Buildings</w:t>
      </w:r>
      <w:r>
        <w:rPr>
          <w:i/>
          <w:spacing w:val="-3"/>
          <w:sz w:val="20"/>
        </w:rPr>
        <w:t> </w:t>
      </w:r>
      <w:r>
        <w:rPr>
          <w:sz w:val="20"/>
        </w:rPr>
        <w:t>11th</w:t>
      </w:r>
      <w:r>
        <w:rPr>
          <w:spacing w:val="-3"/>
          <w:sz w:val="20"/>
        </w:rPr>
        <w:t> </w:t>
      </w:r>
      <w:r>
        <w:rPr>
          <w:sz w:val="20"/>
        </w:rPr>
        <w:t>Edition, (New York, NY, John Wiley &amp; Sons 2009)</w:t>
      </w:r>
    </w:p>
    <w:p>
      <w:pPr>
        <w:spacing w:before="114"/>
        <w:ind w:left="439" w:right="0" w:firstLine="0"/>
        <w:jc w:val="left"/>
        <w:rPr>
          <w:b/>
          <w:sz w:val="20"/>
        </w:rPr>
      </w:pPr>
      <w:r>
        <w:rPr>
          <w:b/>
          <w:sz w:val="20"/>
        </w:rPr>
        <w:t>Offered</w:t>
      </w:r>
      <w:r>
        <w:rPr>
          <w:b/>
          <w:spacing w:val="-10"/>
          <w:sz w:val="20"/>
        </w:rPr>
        <w:t> </w:t>
      </w:r>
      <w:r>
        <w:rPr>
          <w:b/>
          <w:spacing w:val="-2"/>
          <w:sz w:val="20"/>
        </w:rPr>
        <w:t>(terms):</w:t>
      </w:r>
    </w:p>
    <w:p>
      <w:pPr>
        <w:pStyle w:val="BodyText"/>
        <w:spacing w:before="123"/>
        <w:ind w:left="799"/>
      </w:pPr>
      <w:r>
        <w:rPr/>
        <w:t>Spring</w:t>
      </w:r>
      <w:r>
        <w:rPr>
          <w:spacing w:val="-8"/>
        </w:rPr>
        <w:t> </w:t>
      </w:r>
      <w:r>
        <w:rPr/>
        <w:t>Semester</w:t>
      </w:r>
      <w:r>
        <w:rPr>
          <w:spacing w:val="-7"/>
        </w:rPr>
        <w:t> </w:t>
      </w:r>
      <w:r>
        <w:rPr/>
        <w:t>only</w:t>
      </w:r>
      <w:r>
        <w:rPr>
          <w:spacing w:val="-9"/>
        </w:rPr>
        <w:t> </w:t>
      </w:r>
      <w:r>
        <w:rPr>
          <w:spacing w:val="-2"/>
        </w:rPr>
        <w:t>(annually)</w:t>
      </w:r>
    </w:p>
    <w:p>
      <w:pPr>
        <w:spacing w:before="118"/>
        <w:ind w:left="494" w:right="0" w:firstLine="0"/>
        <w:jc w:val="left"/>
        <w:rPr>
          <w:b/>
          <w:sz w:val="20"/>
        </w:rPr>
      </w:pPr>
      <w:r>
        <w:rPr>
          <w:b/>
          <w:sz w:val="20"/>
        </w:rPr>
        <w:t>Faculty</w:t>
      </w:r>
      <w:r>
        <w:rPr>
          <w:b/>
          <w:spacing w:val="-8"/>
          <w:sz w:val="20"/>
        </w:rPr>
        <w:t> </w:t>
      </w:r>
      <w:r>
        <w:rPr>
          <w:b/>
          <w:spacing w:val="-2"/>
          <w:sz w:val="20"/>
        </w:rPr>
        <w:t>Assigned</w:t>
      </w:r>
    </w:p>
    <w:p>
      <w:pPr>
        <w:pStyle w:val="BodyText"/>
        <w:spacing w:before="123"/>
        <w:ind w:left="1159" w:right="7005"/>
      </w:pPr>
      <w:r>
        <w:rPr/>
        <w:t>2014 – Peronnet (F/T) 2013</w:t>
      </w:r>
      <w:r>
        <w:rPr>
          <w:spacing w:val="-14"/>
        </w:rPr>
        <w:t> </w:t>
      </w:r>
      <w:r>
        <w:rPr/>
        <w:t>–</w:t>
      </w:r>
      <w:r>
        <w:rPr>
          <w:spacing w:val="-14"/>
        </w:rPr>
        <w:t> </w:t>
      </w:r>
      <w:r>
        <w:rPr/>
        <w:t>Brown</w:t>
      </w:r>
      <w:r>
        <w:rPr>
          <w:spacing w:val="-14"/>
        </w:rPr>
        <w:t> </w:t>
      </w:r>
      <w:r>
        <w:rPr/>
        <w:t>(Adjunct)</w:t>
      </w:r>
    </w:p>
    <w:p>
      <w:pPr>
        <w:spacing w:after="0"/>
        <w:sectPr>
          <w:headerReference w:type="default" r:id="rId217"/>
          <w:footerReference w:type="default" r:id="rId218"/>
          <w:pgSz w:w="12240" w:h="15840"/>
          <w:pgMar w:header="993" w:footer="974" w:top="1240" w:bottom="1160" w:left="1000" w:right="820"/>
        </w:sectPr>
      </w:pPr>
    </w:p>
    <w:p>
      <w:pPr>
        <w:spacing w:before="115"/>
        <w:ind w:left="440" w:right="0" w:firstLine="0"/>
        <w:jc w:val="left"/>
        <w:rPr>
          <w:b/>
          <w:sz w:val="20"/>
        </w:rPr>
      </w:pPr>
      <w:r>
        <w:rPr>
          <w:b/>
          <w:sz w:val="20"/>
        </w:rPr>
        <w:t>Course</w:t>
      </w:r>
      <w:r>
        <w:rPr>
          <w:b/>
          <w:spacing w:val="-9"/>
          <w:sz w:val="20"/>
        </w:rPr>
        <w:t> </w:t>
      </w:r>
      <w:r>
        <w:rPr>
          <w:b/>
          <w:sz w:val="20"/>
        </w:rPr>
        <w:t>Description</w:t>
      </w:r>
      <w:r>
        <w:rPr>
          <w:b/>
          <w:spacing w:val="-8"/>
          <w:sz w:val="20"/>
        </w:rPr>
        <w:t> </w:t>
      </w:r>
      <w:r>
        <w:rPr>
          <w:b/>
          <w:sz w:val="20"/>
        </w:rPr>
        <w:t>(limit</w:t>
      </w:r>
      <w:r>
        <w:rPr>
          <w:b/>
          <w:spacing w:val="-7"/>
          <w:sz w:val="20"/>
        </w:rPr>
        <w:t> </w:t>
      </w:r>
      <w:r>
        <w:rPr>
          <w:b/>
          <w:sz w:val="20"/>
        </w:rPr>
        <w:t>25</w:t>
      </w:r>
      <w:r>
        <w:rPr>
          <w:b/>
          <w:spacing w:val="-8"/>
          <w:sz w:val="20"/>
        </w:rPr>
        <w:t> </w:t>
      </w:r>
      <w:r>
        <w:rPr>
          <w:b/>
          <w:spacing w:val="-2"/>
          <w:sz w:val="20"/>
        </w:rPr>
        <w:t>words):</w:t>
      </w:r>
    </w:p>
    <w:p>
      <w:pPr>
        <w:pStyle w:val="BodyText"/>
        <w:spacing w:before="122"/>
        <w:ind w:left="1159" w:right="1198"/>
        <w:jc w:val="both"/>
      </w:pPr>
      <w:r>
        <w:rPr/>
        <w:t>Overview</w:t>
      </w:r>
      <w:r>
        <w:rPr>
          <w:spacing w:val="-2"/>
        </w:rPr>
        <w:t> </w:t>
      </w:r>
      <w:r>
        <w:rPr/>
        <w:t>of the</w:t>
      </w:r>
      <w:r>
        <w:rPr>
          <w:spacing w:val="-2"/>
        </w:rPr>
        <w:t> </w:t>
      </w:r>
      <w:r>
        <w:rPr/>
        <w:t>history</w:t>
      </w:r>
      <w:r>
        <w:rPr>
          <w:spacing w:val="-5"/>
        </w:rPr>
        <w:t> </w:t>
      </w:r>
      <w:r>
        <w:rPr/>
        <w:t>of urban</w:t>
      </w:r>
      <w:r>
        <w:rPr>
          <w:spacing w:val="-2"/>
        </w:rPr>
        <w:t> </w:t>
      </w:r>
      <w:r>
        <w:rPr/>
        <w:t>design,</w:t>
      </w:r>
      <w:r>
        <w:rPr>
          <w:spacing w:val="-2"/>
        </w:rPr>
        <w:t> </w:t>
      </w:r>
      <w:r>
        <w:rPr/>
        <w:t>the</w:t>
      </w:r>
      <w:r>
        <w:rPr>
          <w:spacing w:val="-2"/>
        </w:rPr>
        <w:t> </w:t>
      </w:r>
      <w:r>
        <w:rPr/>
        <w:t>social, political, and</w:t>
      </w:r>
      <w:r>
        <w:rPr>
          <w:spacing w:val="-2"/>
        </w:rPr>
        <w:t> </w:t>
      </w:r>
      <w:r>
        <w:rPr/>
        <w:t>economic</w:t>
      </w:r>
      <w:r>
        <w:rPr>
          <w:spacing w:val="-1"/>
        </w:rPr>
        <w:t> </w:t>
      </w:r>
      <w:r>
        <w:rPr/>
        <w:t>forces</w:t>
      </w:r>
      <w:r>
        <w:rPr>
          <w:spacing w:val="-1"/>
        </w:rPr>
        <w:t> </w:t>
      </w:r>
      <w:r>
        <w:rPr/>
        <w:t>that</w:t>
      </w:r>
      <w:r>
        <w:rPr>
          <w:spacing w:val="-2"/>
        </w:rPr>
        <w:t> </w:t>
      </w:r>
      <w:r>
        <w:rPr/>
        <w:t>have shaped</w:t>
      </w:r>
      <w:r>
        <w:rPr>
          <w:spacing w:val="-2"/>
        </w:rPr>
        <w:t> </w:t>
      </w:r>
      <w:r>
        <w:rPr/>
        <w:t>the</w:t>
      </w:r>
      <w:r>
        <w:rPr>
          <w:spacing w:val="-2"/>
        </w:rPr>
        <w:t> </w:t>
      </w:r>
      <w:r>
        <w:rPr/>
        <w:t>growth</w:t>
      </w:r>
      <w:r>
        <w:rPr>
          <w:spacing w:val="-4"/>
        </w:rPr>
        <w:t> </w:t>
      </w:r>
      <w:r>
        <w:rPr/>
        <w:t>of</w:t>
      </w:r>
      <w:r>
        <w:rPr>
          <w:spacing w:val="-2"/>
        </w:rPr>
        <w:t> </w:t>
      </w:r>
      <w:r>
        <w:rPr/>
        <w:t>cities in</w:t>
      </w:r>
      <w:r>
        <w:rPr>
          <w:spacing w:val="-4"/>
        </w:rPr>
        <w:t> </w:t>
      </w:r>
      <w:r>
        <w:rPr/>
        <w:t>different</w:t>
      </w:r>
      <w:r>
        <w:rPr>
          <w:spacing w:val="-4"/>
        </w:rPr>
        <w:t> </w:t>
      </w:r>
      <w:r>
        <w:rPr/>
        <w:t>eras</w:t>
      </w:r>
      <w:r>
        <w:rPr>
          <w:spacing w:val="-3"/>
        </w:rPr>
        <w:t> </w:t>
      </w:r>
      <w:r>
        <w:rPr/>
        <w:t>and</w:t>
      </w:r>
      <w:r>
        <w:rPr>
          <w:spacing w:val="-4"/>
        </w:rPr>
        <w:t> </w:t>
      </w:r>
      <w:r>
        <w:rPr/>
        <w:t>cultures,</w:t>
      </w:r>
      <w:r>
        <w:rPr>
          <w:spacing w:val="-4"/>
        </w:rPr>
        <w:t> </w:t>
      </w:r>
      <w:r>
        <w:rPr/>
        <w:t>and</w:t>
      </w:r>
      <w:r>
        <w:rPr>
          <w:spacing w:val="-4"/>
        </w:rPr>
        <w:t> </w:t>
      </w:r>
      <w:r>
        <w:rPr/>
        <w:t>the</w:t>
      </w:r>
      <w:r>
        <w:rPr>
          <w:spacing w:val="-2"/>
        </w:rPr>
        <w:t> </w:t>
      </w:r>
      <w:r>
        <w:rPr/>
        <w:t>practice</w:t>
      </w:r>
      <w:r>
        <w:rPr>
          <w:spacing w:val="-2"/>
        </w:rPr>
        <w:t> </w:t>
      </w:r>
      <w:r>
        <w:rPr/>
        <w:t>of</w:t>
      </w:r>
      <w:r>
        <w:rPr>
          <w:spacing w:val="-2"/>
        </w:rPr>
        <w:t> </w:t>
      </w:r>
      <w:r>
        <w:rPr/>
        <w:t>applying</w:t>
      </w:r>
      <w:r>
        <w:rPr>
          <w:spacing w:val="-4"/>
        </w:rPr>
        <w:t> </w:t>
      </w:r>
      <w:r>
        <w:rPr/>
        <w:t>these design parameters to contemporary design challenges.</w:t>
      </w:r>
    </w:p>
    <w:p>
      <w:pPr>
        <w:spacing w:before="119"/>
        <w:ind w:left="440" w:right="0" w:firstLine="0"/>
        <w:jc w:val="left"/>
        <w:rPr>
          <w:b/>
          <w:sz w:val="20"/>
        </w:rPr>
      </w:pPr>
      <w:r>
        <w:rPr>
          <w:b/>
          <w:sz w:val="20"/>
        </w:rPr>
        <w:t>Course</w:t>
      </w:r>
      <w:r>
        <w:rPr>
          <w:b/>
          <w:spacing w:val="-9"/>
          <w:sz w:val="20"/>
        </w:rPr>
        <w:t> </w:t>
      </w:r>
      <w:r>
        <w:rPr>
          <w:b/>
          <w:sz w:val="20"/>
        </w:rPr>
        <w:t>Goals</w:t>
      </w:r>
      <w:r>
        <w:rPr>
          <w:b/>
          <w:spacing w:val="-7"/>
          <w:sz w:val="20"/>
        </w:rPr>
        <w:t> </w:t>
      </w:r>
      <w:r>
        <w:rPr>
          <w:b/>
          <w:sz w:val="20"/>
        </w:rPr>
        <w:t>and</w:t>
      </w:r>
      <w:r>
        <w:rPr>
          <w:b/>
          <w:spacing w:val="-5"/>
          <w:sz w:val="20"/>
        </w:rPr>
        <w:t> </w:t>
      </w:r>
      <w:r>
        <w:rPr>
          <w:b/>
          <w:spacing w:val="-2"/>
          <w:sz w:val="20"/>
        </w:rPr>
        <w:t>Objectives;</w:t>
      </w:r>
    </w:p>
    <w:p>
      <w:pPr>
        <w:pStyle w:val="BodyText"/>
        <w:spacing w:before="121"/>
        <w:ind w:left="1159"/>
      </w:pPr>
      <w:r>
        <w:rPr/>
        <w:t>Ability</w:t>
      </w:r>
      <w:r>
        <w:rPr>
          <w:spacing w:val="-9"/>
        </w:rPr>
        <w:t> </w:t>
      </w:r>
      <w:r>
        <w:rPr/>
        <w:t>to</w:t>
      </w:r>
      <w:r>
        <w:rPr>
          <w:spacing w:val="-8"/>
        </w:rPr>
        <w:t> </w:t>
      </w:r>
      <w:r>
        <w:rPr/>
        <w:t>analyze</w:t>
      </w:r>
      <w:r>
        <w:rPr>
          <w:spacing w:val="-7"/>
        </w:rPr>
        <w:t> </w:t>
      </w:r>
      <w:r>
        <w:rPr/>
        <w:t>existing</w:t>
      </w:r>
      <w:r>
        <w:rPr>
          <w:spacing w:val="-6"/>
        </w:rPr>
        <w:t> </w:t>
      </w:r>
      <w:r>
        <w:rPr/>
        <w:t>places</w:t>
      </w:r>
      <w:r>
        <w:rPr>
          <w:spacing w:val="-7"/>
        </w:rPr>
        <w:t> </w:t>
      </w:r>
      <w:r>
        <w:rPr/>
        <w:t>through</w:t>
      </w:r>
      <w:r>
        <w:rPr>
          <w:spacing w:val="-8"/>
        </w:rPr>
        <w:t> </w:t>
      </w:r>
      <w:r>
        <w:rPr/>
        <w:t>diagramming</w:t>
      </w:r>
      <w:r>
        <w:rPr>
          <w:spacing w:val="-8"/>
        </w:rPr>
        <w:t> </w:t>
      </w:r>
      <w:r>
        <w:rPr/>
        <w:t>and</w:t>
      </w:r>
      <w:r>
        <w:rPr>
          <w:spacing w:val="-6"/>
        </w:rPr>
        <w:t> </w:t>
      </w:r>
      <w:r>
        <w:rPr/>
        <w:t>other</w:t>
      </w:r>
      <w:r>
        <w:rPr>
          <w:spacing w:val="-6"/>
        </w:rPr>
        <w:t> </w:t>
      </w:r>
      <w:r>
        <w:rPr/>
        <w:t>graphic</w:t>
      </w:r>
      <w:r>
        <w:rPr>
          <w:spacing w:val="-7"/>
        </w:rPr>
        <w:t> </w:t>
      </w:r>
      <w:r>
        <w:rPr>
          <w:spacing w:val="-2"/>
        </w:rPr>
        <w:t>representation.</w:t>
      </w:r>
    </w:p>
    <w:p>
      <w:pPr>
        <w:pStyle w:val="BodyText"/>
        <w:ind w:left="1519" w:right="642" w:hanging="360"/>
      </w:pPr>
      <w:r>
        <w:rPr/>
        <w:t>Ability</w:t>
      </w:r>
      <w:r>
        <w:rPr>
          <w:spacing w:val="-6"/>
        </w:rPr>
        <w:t> </w:t>
      </w:r>
      <w:r>
        <w:rPr/>
        <w:t>to</w:t>
      </w:r>
      <w:r>
        <w:rPr>
          <w:spacing w:val="-5"/>
        </w:rPr>
        <w:t> </w:t>
      </w:r>
      <w:r>
        <w:rPr/>
        <w:t>articulate</w:t>
      </w:r>
      <w:r>
        <w:rPr>
          <w:spacing w:val="-5"/>
        </w:rPr>
        <w:t> </w:t>
      </w:r>
      <w:r>
        <w:rPr/>
        <w:t>meaningful</w:t>
      </w:r>
      <w:r>
        <w:rPr>
          <w:spacing w:val="-6"/>
        </w:rPr>
        <w:t> </w:t>
      </w:r>
      <w:r>
        <w:rPr/>
        <w:t>responses</w:t>
      </w:r>
      <w:r>
        <w:rPr>
          <w:spacing w:val="-4"/>
        </w:rPr>
        <w:t> </w:t>
      </w:r>
      <w:r>
        <w:rPr/>
        <w:t>to</w:t>
      </w:r>
      <w:r>
        <w:rPr>
          <w:spacing w:val="-5"/>
        </w:rPr>
        <w:t> </w:t>
      </w:r>
      <w:r>
        <w:rPr/>
        <w:t>reading</w:t>
      </w:r>
      <w:r>
        <w:rPr>
          <w:spacing w:val="-5"/>
        </w:rPr>
        <w:t> </w:t>
      </w:r>
      <w:r>
        <w:rPr/>
        <w:t>assignments</w:t>
      </w:r>
      <w:r>
        <w:rPr>
          <w:spacing w:val="-4"/>
        </w:rPr>
        <w:t> </w:t>
      </w:r>
      <w:r>
        <w:rPr/>
        <w:t>through</w:t>
      </w:r>
      <w:r>
        <w:rPr>
          <w:spacing w:val="-3"/>
        </w:rPr>
        <w:t> </w:t>
      </w:r>
      <w:r>
        <w:rPr/>
        <w:t>written</w:t>
      </w:r>
      <w:r>
        <w:rPr>
          <w:spacing w:val="-3"/>
        </w:rPr>
        <w:t> </w:t>
      </w:r>
      <w:r>
        <w:rPr/>
        <w:t>and</w:t>
      </w:r>
      <w:r>
        <w:rPr>
          <w:spacing w:val="-3"/>
        </w:rPr>
        <w:t> </w:t>
      </w:r>
      <w:r>
        <w:rPr/>
        <w:t>graphic </w:t>
      </w:r>
      <w:r>
        <w:rPr>
          <w:spacing w:val="-2"/>
        </w:rPr>
        <w:t>means.</w:t>
      </w:r>
    </w:p>
    <w:p>
      <w:pPr>
        <w:pStyle w:val="BodyText"/>
        <w:spacing w:before="1"/>
        <w:ind w:left="1159" w:right="2408"/>
      </w:pPr>
      <w:r>
        <w:rPr/>
        <w:t>Understanding of urban design theories and their evolution through time. Ability</w:t>
      </w:r>
      <w:r>
        <w:rPr>
          <w:spacing w:val="-7"/>
        </w:rPr>
        <w:t> </w:t>
      </w:r>
      <w:r>
        <w:rPr/>
        <w:t>to</w:t>
      </w:r>
      <w:r>
        <w:rPr>
          <w:spacing w:val="-6"/>
        </w:rPr>
        <w:t> </w:t>
      </w:r>
      <w:r>
        <w:rPr/>
        <w:t>generate</w:t>
      </w:r>
      <w:r>
        <w:rPr>
          <w:spacing w:val="-4"/>
        </w:rPr>
        <w:t> </w:t>
      </w:r>
      <w:r>
        <w:rPr/>
        <w:t>analyses</w:t>
      </w:r>
      <w:r>
        <w:rPr>
          <w:spacing w:val="-5"/>
        </w:rPr>
        <w:t> </w:t>
      </w:r>
      <w:r>
        <w:rPr/>
        <w:t>and</w:t>
      </w:r>
      <w:r>
        <w:rPr>
          <w:spacing w:val="-4"/>
        </w:rPr>
        <w:t> </w:t>
      </w:r>
      <w:r>
        <w:rPr/>
        <w:t>documentation</w:t>
      </w:r>
      <w:r>
        <w:rPr>
          <w:spacing w:val="-4"/>
        </w:rPr>
        <w:t> </w:t>
      </w:r>
      <w:r>
        <w:rPr/>
        <w:t>in</w:t>
      </w:r>
      <w:r>
        <w:rPr>
          <w:spacing w:val="-6"/>
        </w:rPr>
        <w:t> </w:t>
      </w:r>
      <w:r>
        <w:rPr/>
        <w:t>collaboration</w:t>
      </w:r>
      <w:r>
        <w:rPr>
          <w:spacing w:val="-4"/>
        </w:rPr>
        <w:t> </w:t>
      </w:r>
      <w:r>
        <w:rPr/>
        <w:t>with</w:t>
      </w:r>
      <w:r>
        <w:rPr>
          <w:spacing w:val="-6"/>
        </w:rPr>
        <w:t> </w:t>
      </w:r>
      <w:r>
        <w:rPr/>
        <w:t>others.</w:t>
      </w:r>
    </w:p>
    <w:p>
      <w:pPr>
        <w:pStyle w:val="BodyText"/>
        <w:spacing w:before="1"/>
        <w:ind w:left="1519" w:right="642" w:hanging="360"/>
      </w:pPr>
      <w:r>
        <w:rPr/>
        <w:t>Ability</w:t>
      </w:r>
      <w:r>
        <w:rPr>
          <w:spacing w:val="-5"/>
        </w:rPr>
        <w:t> </w:t>
      </w:r>
      <w:r>
        <w:rPr/>
        <w:t>to</w:t>
      </w:r>
      <w:r>
        <w:rPr>
          <w:spacing w:val="-4"/>
        </w:rPr>
        <w:t> </w:t>
      </w:r>
      <w:r>
        <w:rPr/>
        <w:t>apply</w:t>
      </w:r>
      <w:r>
        <w:rPr>
          <w:spacing w:val="-5"/>
        </w:rPr>
        <w:t> </w:t>
      </w:r>
      <w:r>
        <w:rPr/>
        <w:t>historical</w:t>
      </w:r>
      <w:r>
        <w:rPr>
          <w:spacing w:val="-3"/>
        </w:rPr>
        <w:t> </w:t>
      </w:r>
      <w:r>
        <w:rPr/>
        <w:t>design</w:t>
      </w:r>
      <w:r>
        <w:rPr>
          <w:spacing w:val="-4"/>
        </w:rPr>
        <w:t> </w:t>
      </w:r>
      <w:r>
        <w:rPr/>
        <w:t>theories</w:t>
      </w:r>
      <w:r>
        <w:rPr>
          <w:spacing w:val="-3"/>
        </w:rPr>
        <w:t> </w:t>
      </w:r>
      <w:r>
        <w:rPr/>
        <w:t>and</w:t>
      </w:r>
      <w:r>
        <w:rPr>
          <w:spacing w:val="-4"/>
        </w:rPr>
        <w:t> </w:t>
      </w:r>
      <w:r>
        <w:rPr/>
        <w:t>practices to</w:t>
      </w:r>
      <w:r>
        <w:rPr>
          <w:spacing w:val="-4"/>
        </w:rPr>
        <w:t> </w:t>
      </w:r>
      <w:r>
        <w:rPr/>
        <w:t>contemporary</w:t>
      </w:r>
      <w:r>
        <w:rPr>
          <w:spacing w:val="-7"/>
        </w:rPr>
        <w:t> </w:t>
      </w:r>
      <w:r>
        <w:rPr/>
        <w:t>design</w:t>
      </w:r>
      <w:r>
        <w:rPr>
          <w:spacing w:val="-4"/>
        </w:rPr>
        <w:t> </w:t>
      </w:r>
      <w:r>
        <w:rPr/>
        <w:t>challenges</w:t>
      </w:r>
      <w:r>
        <w:rPr>
          <w:spacing w:val="-3"/>
        </w:rPr>
        <w:t> </w:t>
      </w:r>
      <w:r>
        <w:rPr/>
        <w:t>and evaluate the success and failures in so doing.</w:t>
      </w:r>
    </w:p>
    <w:p>
      <w:pPr>
        <w:spacing w:before="116"/>
        <w:ind w:left="439" w:right="0" w:firstLine="0"/>
        <w:jc w:val="left"/>
        <w:rPr>
          <w:b/>
          <w:sz w:val="20"/>
        </w:rPr>
      </w:pPr>
      <w:r>
        <w:rPr>
          <w:b/>
          <w:sz w:val="20"/>
        </w:rPr>
        <w:t>Student</w:t>
      </w:r>
      <w:r>
        <w:rPr>
          <w:b/>
          <w:spacing w:val="-9"/>
          <w:sz w:val="20"/>
        </w:rPr>
        <w:t> </w:t>
      </w:r>
      <w:r>
        <w:rPr>
          <w:b/>
          <w:sz w:val="20"/>
        </w:rPr>
        <w:t>Performance</w:t>
      </w:r>
      <w:r>
        <w:rPr>
          <w:b/>
          <w:spacing w:val="-10"/>
          <w:sz w:val="20"/>
        </w:rPr>
        <w:t> </w:t>
      </w:r>
      <w:r>
        <w:rPr>
          <w:b/>
          <w:sz w:val="20"/>
        </w:rPr>
        <w:t>Criteria</w:t>
      </w:r>
      <w:r>
        <w:rPr>
          <w:b/>
          <w:spacing w:val="-5"/>
          <w:sz w:val="20"/>
        </w:rPr>
        <w:t> </w:t>
      </w:r>
      <w:r>
        <w:rPr>
          <w:b/>
          <w:sz w:val="20"/>
        </w:rPr>
        <w:t>Addressed</w:t>
      </w:r>
      <w:r>
        <w:rPr>
          <w:b/>
          <w:spacing w:val="-9"/>
          <w:sz w:val="20"/>
        </w:rPr>
        <w:t> </w:t>
      </w:r>
      <w:r>
        <w:rPr>
          <w:b/>
          <w:sz w:val="20"/>
        </w:rPr>
        <w:t>(name</w:t>
      </w:r>
      <w:r>
        <w:rPr>
          <w:b/>
          <w:spacing w:val="-9"/>
          <w:sz w:val="20"/>
        </w:rPr>
        <w:t> </w:t>
      </w:r>
      <w:r>
        <w:rPr>
          <w:b/>
          <w:sz w:val="20"/>
        </w:rPr>
        <w:t>and</w:t>
      </w:r>
      <w:r>
        <w:rPr>
          <w:b/>
          <w:spacing w:val="-9"/>
          <w:sz w:val="20"/>
        </w:rPr>
        <w:t> </w:t>
      </w:r>
      <w:r>
        <w:rPr>
          <w:b/>
          <w:spacing w:val="-2"/>
          <w:sz w:val="20"/>
        </w:rPr>
        <w:t>number)</w:t>
      </w:r>
    </w:p>
    <w:p>
      <w:pPr>
        <w:pStyle w:val="BodyText"/>
        <w:spacing w:before="123"/>
        <w:ind w:left="799"/>
      </w:pPr>
      <w:r>
        <w:rPr/>
        <w:t>A.1</w:t>
      </w:r>
      <w:r>
        <w:rPr>
          <w:spacing w:val="-6"/>
        </w:rPr>
        <w:t> </w:t>
      </w:r>
      <w:r>
        <w:rPr/>
        <w:t>Communication</w:t>
      </w:r>
      <w:r>
        <w:rPr>
          <w:spacing w:val="-9"/>
        </w:rPr>
        <w:t> </w:t>
      </w:r>
      <w:r>
        <w:rPr>
          <w:spacing w:val="-2"/>
        </w:rPr>
        <w:t>Skills</w:t>
      </w:r>
    </w:p>
    <w:p>
      <w:pPr>
        <w:pStyle w:val="BodyText"/>
        <w:spacing w:before="1"/>
        <w:ind w:left="799"/>
      </w:pPr>
      <w:r>
        <w:rPr/>
        <w:t>A.9</w:t>
      </w:r>
      <w:r>
        <w:rPr>
          <w:spacing w:val="47"/>
        </w:rPr>
        <w:t> </w:t>
      </w:r>
      <w:r>
        <w:rPr/>
        <w:t>Historical</w:t>
      </w:r>
      <w:r>
        <w:rPr>
          <w:spacing w:val="-9"/>
        </w:rPr>
        <w:t> </w:t>
      </w:r>
      <w:r>
        <w:rPr/>
        <w:t>traditions</w:t>
      </w:r>
      <w:r>
        <w:rPr>
          <w:spacing w:val="-3"/>
        </w:rPr>
        <w:t> </w:t>
      </w:r>
      <w:r>
        <w:rPr/>
        <w:t>and</w:t>
      </w:r>
      <w:r>
        <w:rPr>
          <w:spacing w:val="-5"/>
        </w:rPr>
        <w:t> </w:t>
      </w:r>
      <w:r>
        <w:rPr/>
        <w:t>global</w:t>
      </w:r>
      <w:r>
        <w:rPr>
          <w:spacing w:val="-9"/>
        </w:rPr>
        <w:t> </w:t>
      </w:r>
      <w:r>
        <w:rPr>
          <w:spacing w:val="-2"/>
        </w:rPr>
        <w:t>culture.</w:t>
      </w:r>
    </w:p>
    <w:p>
      <w:pPr>
        <w:pStyle w:val="BodyText"/>
        <w:ind w:left="799"/>
      </w:pPr>
      <w:r>
        <w:rPr/>
        <w:t>A.5.</w:t>
      </w:r>
      <w:r>
        <w:rPr>
          <w:spacing w:val="-6"/>
        </w:rPr>
        <w:t> </w:t>
      </w:r>
      <w:r>
        <w:rPr/>
        <w:t>Investigative</w:t>
      </w:r>
      <w:r>
        <w:rPr>
          <w:spacing w:val="-10"/>
        </w:rPr>
        <w:t> </w:t>
      </w:r>
      <w:r>
        <w:rPr>
          <w:spacing w:val="-2"/>
        </w:rPr>
        <w:t>Skills</w:t>
      </w:r>
    </w:p>
    <w:p>
      <w:pPr>
        <w:pStyle w:val="BodyText"/>
        <w:tabs>
          <w:tab w:pos="1519" w:val="left" w:leader="none"/>
        </w:tabs>
        <w:spacing w:line="229" w:lineRule="exact" w:before="1"/>
        <w:ind w:left="799"/>
      </w:pPr>
      <w:r>
        <w:rPr>
          <w:spacing w:val="-4"/>
        </w:rPr>
        <w:t>C.2.</w:t>
      </w:r>
      <w:r>
        <w:rPr/>
        <w:tab/>
        <w:t>Human</w:t>
      </w:r>
      <w:r>
        <w:rPr>
          <w:spacing w:val="-6"/>
        </w:rPr>
        <w:t> </w:t>
      </w:r>
      <w:r>
        <w:rPr>
          <w:spacing w:val="-2"/>
        </w:rPr>
        <w:t>Behavior</w:t>
      </w:r>
    </w:p>
    <w:p>
      <w:pPr>
        <w:pStyle w:val="BodyText"/>
        <w:tabs>
          <w:tab w:pos="1519" w:val="left" w:leader="none"/>
        </w:tabs>
        <w:spacing w:line="229" w:lineRule="exact"/>
        <w:ind w:left="799"/>
      </w:pPr>
      <w:r>
        <w:rPr>
          <w:spacing w:val="-4"/>
        </w:rPr>
        <w:t>C.6.</w:t>
      </w:r>
      <w:r>
        <w:rPr/>
        <w:tab/>
      </w:r>
      <w:r>
        <w:rPr>
          <w:spacing w:val="-2"/>
        </w:rPr>
        <w:t>Leadership</w:t>
      </w:r>
    </w:p>
    <w:p>
      <w:pPr>
        <w:pStyle w:val="BodyText"/>
        <w:tabs>
          <w:tab w:pos="1518" w:val="left" w:leader="none"/>
        </w:tabs>
        <w:ind w:left="799"/>
      </w:pPr>
      <w:r>
        <w:rPr>
          <w:spacing w:val="-4"/>
        </w:rPr>
        <w:t>C.8.</w:t>
      </w:r>
      <w:r>
        <w:rPr/>
        <w:tab/>
        <w:t>Ethics</w:t>
      </w:r>
      <w:r>
        <w:rPr>
          <w:spacing w:val="-8"/>
        </w:rPr>
        <w:t> </w:t>
      </w:r>
      <w:r>
        <w:rPr/>
        <w:t>and</w:t>
      </w:r>
      <w:r>
        <w:rPr>
          <w:spacing w:val="-8"/>
        </w:rPr>
        <w:t> </w:t>
      </w:r>
      <w:r>
        <w:rPr/>
        <w:t>Professional</w:t>
      </w:r>
      <w:r>
        <w:rPr>
          <w:spacing w:val="-9"/>
        </w:rPr>
        <w:t> </w:t>
      </w:r>
      <w:r>
        <w:rPr>
          <w:spacing w:val="-2"/>
        </w:rPr>
        <w:t>Judgment</w:t>
      </w:r>
    </w:p>
    <w:p>
      <w:pPr>
        <w:spacing w:before="118"/>
        <w:ind w:left="439" w:right="0" w:firstLine="0"/>
        <w:jc w:val="left"/>
        <w:rPr>
          <w:b/>
          <w:sz w:val="20"/>
        </w:rPr>
      </w:pPr>
      <w:r>
        <w:rPr>
          <w:b/>
          <w:sz w:val="20"/>
        </w:rPr>
        <w:t>Topical</w:t>
      </w:r>
      <w:r>
        <w:rPr>
          <w:b/>
          <w:spacing w:val="-7"/>
          <w:sz w:val="20"/>
        </w:rPr>
        <w:t> </w:t>
      </w:r>
      <w:r>
        <w:rPr>
          <w:b/>
          <w:sz w:val="20"/>
        </w:rPr>
        <w:t>Outline</w:t>
      </w:r>
      <w:r>
        <w:rPr>
          <w:b/>
          <w:spacing w:val="-7"/>
          <w:sz w:val="20"/>
        </w:rPr>
        <w:t> </w:t>
      </w:r>
      <w:r>
        <w:rPr>
          <w:b/>
          <w:sz w:val="20"/>
        </w:rPr>
        <w:t>and</w:t>
      </w:r>
      <w:r>
        <w:rPr>
          <w:b/>
          <w:spacing w:val="-6"/>
          <w:sz w:val="20"/>
        </w:rPr>
        <w:t> </w:t>
      </w:r>
      <w:r>
        <w:rPr>
          <w:b/>
          <w:sz w:val="20"/>
        </w:rPr>
        <w:t>percentage</w:t>
      </w:r>
      <w:r>
        <w:rPr>
          <w:b/>
          <w:spacing w:val="-7"/>
          <w:sz w:val="20"/>
        </w:rPr>
        <w:t> </w:t>
      </w:r>
      <w:r>
        <w:rPr>
          <w:b/>
          <w:sz w:val="20"/>
        </w:rPr>
        <w:t>of</w:t>
      </w:r>
      <w:r>
        <w:rPr>
          <w:b/>
          <w:spacing w:val="-6"/>
          <w:sz w:val="20"/>
        </w:rPr>
        <w:t> </w:t>
      </w:r>
      <w:r>
        <w:rPr>
          <w:b/>
          <w:sz w:val="20"/>
        </w:rPr>
        <w:t>time</w:t>
      </w:r>
      <w:r>
        <w:rPr>
          <w:b/>
          <w:spacing w:val="-6"/>
          <w:sz w:val="20"/>
        </w:rPr>
        <w:t> </w:t>
      </w:r>
      <w:r>
        <w:rPr>
          <w:b/>
          <w:sz w:val="20"/>
        </w:rPr>
        <w:t>spent</w:t>
      </w:r>
      <w:r>
        <w:rPr>
          <w:b/>
          <w:spacing w:val="-6"/>
          <w:sz w:val="20"/>
        </w:rPr>
        <w:t> </w:t>
      </w:r>
      <w:r>
        <w:rPr>
          <w:b/>
          <w:sz w:val="20"/>
        </w:rPr>
        <w:t>on</w:t>
      </w:r>
      <w:r>
        <w:rPr>
          <w:b/>
          <w:spacing w:val="-4"/>
          <w:sz w:val="20"/>
        </w:rPr>
        <w:t> each</w:t>
      </w:r>
    </w:p>
    <w:p>
      <w:pPr>
        <w:pStyle w:val="BodyText"/>
        <w:spacing w:before="123"/>
        <w:ind w:left="1159" w:right="632"/>
      </w:pPr>
      <w:r>
        <w:rPr/>
        <w:t>Presentation of design strategies (30%), application of principles learned (30%), reading support material</w:t>
      </w:r>
      <w:r>
        <w:rPr>
          <w:spacing w:val="-5"/>
        </w:rPr>
        <w:t> </w:t>
      </w:r>
      <w:r>
        <w:rPr/>
        <w:t>and</w:t>
      </w:r>
      <w:r>
        <w:rPr>
          <w:spacing w:val="-4"/>
        </w:rPr>
        <w:t> </w:t>
      </w:r>
      <w:r>
        <w:rPr/>
        <w:t>re-presentation</w:t>
      </w:r>
      <w:r>
        <w:rPr>
          <w:spacing w:val="-4"/>
        </w:rPr>
        <w:t> </w:t>
      </w:r>
      <w:r>
        <w:rPr/>
        <w:t>to</w:t>
      </w:r>
      <w:r>
        <w:rPr>
          <w:spacing w:val="-4"/>
        </w:rPr>
        <w:t> </w:t>
      </w:r>
      <w:r>
        <w:rPr/>
        <w:t>class</w:t>
      </w:r>
      <w:r>
        <w:rPr>
          <w:spacing w:val="-3"/>
        </w:rPr>
        <w:t> </w:t>
      </w:r>
      <w:r>
        <w:rPr/>
        <w:t>(10%),</w:t>
      </w:r>
      <w:r>
        <w:rPr>
          <w:spacing w:val="-4"/>
        </w:rPr>
        <w:t> </w:t>
      </w:r>
      <w:r>
        <w:rPr/>
        <w:t>full</w:t>
      </w:r>
      <w:r>
        <w:rPr>
          <w:spacing w:val="-5"/>
        </w:rPr>
        <w:t> </w:t>
      </w:r>
      <w:r>
        <w:rPr/>
        <w:t>semester</w:t>
      </w:r>
      <w:r>
        <w:rPr>
          <w:spacing w:val="-3"/>
        </w:rPr>
        <w:t> </w:t>
      </w:r>
      <w:r>
        <w:rPr/>
        <w:t>analysis</w:t>
      </w:r>
      <w:r>
        <w:rPr>
          <w:spacing w:val="-3"/>
        </w:rPr>
        <w:t> </w:t>
      </w:r>
      <w:r>
        <w:rPr/>
        <w:t>of</w:t>
      </w:r>
      <w:r>
        <w:rPr>
          <w:spacing w:val="-2"/>
        </w:rPr>
        <w:t> </w:t>
      </w:r>
      <w:r>
        <w:rPr/>
        <w:t>a</w:t>
      </w:r>
      <w:r>
        <w:rPr>
          <w:spacing w:val="-4"/>
        </w:rPr>
        <w:t> </w:t>
      </w:r>
      <w:r>
        <w:rPr/>
        <w:t>seminal</w:t>
      </w:r>
      <w:r>
        <w:rPr>
          <w:spacing w:val="-2"/>
        </w:rPr>
        <w:t> </w:t>
      </w:r>
      <w:r>
        <w:rPr/>
        <w:t>work of</w:t>
      </w:r>
      <w:r>
        <w:rPr>
          <w:spacing w:val="-2"/>
        </w:rPr>
        <w:t> </w:t>
      </w:r>
      <w:r>
        <w:rPr/>
        <w:t>theory</w:t>
      </w:r>
      <w:r>
        <w:rPr>
          <w:spacing w:val="-5"/>
        </w:rPr>
        <w:t> </w:t>
      </w:r>
      <w:r>
        <w:rPr/>
        <w:t>per student team and the application of that theory to the redesign of a specific urban area (30%)</w:t>
      </w:r>
    </w:p>
    <w:p>
      <w:pPr>
        <w:spacing w:before="117"/>
        <w:ind w:left="439" w:right="0" w:firstLine="0"/>
        <w:jc w:val="left"/>
        <w:rPr>
          <w:b/>
          <w:sz w:val="20"/>
        </w:rPr>
      </w:pPr>
      <w:r>
        <w:rPr>
          <w:b/>
          <w:w w:val="95"/>
          <w:sz w:val="20"/>
        </w:rPr>
        <w:t>Pre-</w:t>
      </w:r>
      <w:r>
        <w:rPr>
          <w:b/>
          <w:spacing w:val="-2"/>
          <w:sz w:val="20"/>
        </w:rPr>
        <w:t>requisites</w:t>
      </w:r>
    </w:p>
    <w:p>
      <w:pPr>
        <w:pStyle w:val="BodyText"/>
        <w:spacing w:before="122"/>
        <w:ind w:left="1159"/>
      </w:pPr>
      <w:r>
        <w:rPr/>
        <w:t>ARC</w:t>
      </w:r>
      <w:r>
        <w:rPr>
          <w:spacing w:val="-5"/>
        </w:rPr>
        <w:t> </w:t>
      </w:r>
      <w:r>
        <w:rPr/>
        <w:t>207</w:t>
      </w:r>
      <w:r>
        <w:rPr>
          <w:spacing w:val="-2"/>
        </w:rPr>
        <w:t> </w:t>
      </w:r>
      <w:r>
        <w:rPr/>
        <w:t>or</w:t>
      </w:r>
      <w:r>
        <w:rPr>
          <w:spacing w:val="-4"/>
        </w:rPr>
        <w:t> 208.</w:t>
      </w:r>
    </w:p>
    <w:p>
      <w:pPr>
        <w:spacing w:before="118"/>
        <w:ind w:left="439" w:right="0" w:firstLine="0"/>
        <w:jc w:val="left"/>
        <w:rPr>
          <w:b/>
          <w:sz w:val="20"/>
        </w:rPr>
      </w:pPr>
      <w:r>
        <w:rPr>
          <w:b/>
          <w:sz w:val="20"/>
        </w:rPr>
        <w:t>Textbooks</w:t>
      </w:r>
      <w:r>
        <w:rPr>
          <w:b/>
          <w:spacing w:val="-11"/>
          <w:sz w:val="20"/>
        </w:rPr>
        <w:t> </w:t>
      </w:r>
      <w:r>
        <w:rPr>
          <w:b/>
          <w:sz w:val="20"/>
        </w:rPr>
        <w:t>/</w:t>
      </w:r>
      <w:r>
        <w:rPr>
          <w:b/>
          <w:spacing w:val="-9"/>
          <w:sz w:val="20"/>
        </w:rPr>
        <w:t> </w:t>
      </w:r>
      <w:r>
        <w:rPr>
          <w:b/>
          <w:sz w:val="20"/>
        </w:rPr>
        <w:t>Learning</w:t>
      </w:r>
      <w:r>
        <w:rPr>
          <w:b/>
          <w:spacing w:val="-5"/>
          <w:sz w:val="20"/>
        </w:rPr>
        <w:t> </w:t>
      </w:r>
      <w:r>
        <w:rPr>
          <w:b/>
          <w:spacing w:val="-2"/>
          <w:sz w:val="20"/>
        </w:rPr>
        <w:t>Resources</w:t>
      </w:r>
    </w:p>
    <w:p>
      <w:pPr>
        <w:spacing w:before="121"/>
        <w:ind w:left="1159" w:right="0" w:firstLine="0"/>
        <w:jc w:val="left"/>
        <w:rPr>
          <w:sz w:val="20"/>
        </w:rPr>
      </w:pPr>
      <w:r>
        <w:rPr>
          <w:sz w:val="20"/>
        </w:rPr>
        <w:t>Bacon,</w:t>
      </w:r>
      <w:r>
        <w:rPr>
          <w:spacing w:val="-5"/>
          <w:sz w:val="20"/>
        </w:rPr>
        <w:t> </w:t>
      </w:r>
      <w:r>
        <w:rPr>
          <w:sz w:val="20"/>
        </w:rPr>
        <w:t>Edmund</w:t>
      </w:r>
      <w:r>
        <w:rPr>
          <w:spacing w:val="-6"/>
          <w:sz w:val="20"/>
        </w:rPr>
        <w:t> </w:t>
      </w:r>
      <w:r>
        <w:rPr>
          <w:i/>
          <w:sz w:val="20"/>
        </w:rPr>
        <w:t>The</w:t>
      </w:r>
      <w:r>
        <w:rPr>
          <w:i/>
          <w:spacing w:val="-6"/>
          <w:sz w:val="20"/>
        </w:rPr>
        <w:t> </w:t>
      </w:r>
      <w:r>
        <w:rPr>
          <w:i/>
          <w:sz w:val="20"/>
        </w:rPr>
        <w:t>Design</w:t>
      </w:r>
      <w:r>
        <w:rPr>
          <w:i/>
          <w:spacing w:val="-6"/>
          <w:sz w:val="20"/>
        </w:rPr>
        <w:t> </w:t>
      </w:r>
      <w:r>
        <w:rPr>
          <w:i/>
          <w:sz w:val="20"/>
        </w:rPr>
        <w:t>of</w:t>
      </w:r>
      <w:r>
        <w:rPr>
          <w:i/>
          <w:spacing w:val="-6"/>
          <w:sz w:val="20"/>
        </w:rPr>
        <w:t> </w:t>
      </w:r>
      <w:r>
        <w:rPr>
          <w:i/>
          <w:sz w:val="20"/>
        </w:rPr>
        <w:t>Cities</w:t>
      </w:r>
      <w:r>
        <w:rPr>
          <w:i/>
          <w:spacing w:val="-5"/>
          <w:sz w:val="20"/>
        </w:rPr>
        <w:t> </w:t>
      </w:r>
      <w:r>
        <w:rPr>
          <w:sz w:val="20"/>
        </w:rPr>
        <w:t>Penguin:</w:t>
      </w:r>
      <w:r>
        <w:rPr>
          <w:spacing w:val="-6"/>
          <w:sz w:val="20"/>
        </w:rPr>
        <w:t> </w:t>
      </w:r>
      <w:r>
        <w:rPr>
          <w:sz w:val="20"/>
        </w:rPr>
        <w:t>New</w:t>
      </w:r>
      <w:r>
        <w:rPr>
          <w:spacing w:val="-3"/>
          <w:sz w:val="20"/>
        </w:rPr>
        <w:t> </w:t>
      </w:r>
      <w:r>
        <w:rPr>
          <w:sz w:val="20"/>
        </w:rPr>
        <w:t>York,</w:t>
      </w:r>
      <w:r>
        <w:rPr>
          <w:spacing w:val="-6"/>
          <w:sz w:val="20"/>
        </w:rPr>
        <w:t> </w:t>
      </w:r>
      <w:r>
        <w:rPr>
          <w:spacing w:val="-2"/>
          <w:sz w:val="20"/>
        </w:rPr>
        <w:t>1974.</w:t>
      </w:r>
    </w:p>
    <w:p>
      <w:pPr>
        <w:spacing w:before="120"/>
        <w:ind w:left="439" w:right="0" w:firstLine="0"/>
        <w:jc w:val="left"/>
        <w:rPr>
          <w:b/>
          <w:sz w:val="20"/>
        </w:rPr>
      </w:pPr>
      <w:r>
        <w:rPr>
          <w:b/>
          <w:sz w:val="20"/>
        </w:rPr>
        <w:t>Offered</w:t>
      </w:r>
      <w:r>
        <w:rPr>
          <w:b/>
          <w:spacing w:val="-10"/>
          <w:sz w:val="20"/>
        </w:rPr>
        <w:t> </w:t>
      </w:r>
      <w:r>
        <w:rPr>
          <w:b/>
          <w:spacing w:val="-2"/>
          <w:sz w:val="20"/>
        </w:rPr>
        <w:t>(terms):</w:t>
      </w:r>
    </w:p>
    <w:p>
      <w:pPr>
        <w:pStyle w:val="BodyText"/>
        <w:spacing w:before="121"/>
        <w:ind w:left="1159"/>
      </w:pPr>
      <w:r>
        <w:rPr/>
        <w:t>Spring</w:t>
      </w:r>
      <w:r>
        <w:rPr>
          <w:spacing w:val="-8"/>
        </w:rPr>
        <w:t> </w:t>
      </w:r>
      <w:r>
        <w:rPr/>
        <w:t>Semester</w:t>
      </w:r>
      <w:r>
        <w:rPr>
          <w:spacing w:val="-8"/>
        </w:rPr>
        <w:t> </w:t>
      </w:r>
      <w:r>
        <w:rPr>
          <w:spacing w:val="-4"/>
        </w:rPr>
        <w:t>only</w:t>
      </w:r>
    </w:p>
    <w:p>
      <w:pPr>
        <w:spacing w:before="118"/>
        <w:ind w:left="439" w:right="0" w:firstLine="0"/>
        <w:jc w:val="left"/>
        <w:rPr>
          <w:b/>
          <w:sz w:val="20"/>
        </w:rPr>
      </w:pPr>
      <w:r>
        <w:rPr>
          <w:b/>
          <w:sz w:val="20"/>
        </w:rPr>
        <w:t>Faculty</w:t>
      </w:r>
      <w:r>
        <w:rPr>
          <w:b/>
          <w:spacing w:val="-8"/>
          <w:sz w:val="20"/>
        </w:rPr>
        <w:t> </w:t>
      </w:r>
      <w:r>
        <w:rPr>
          <w:b/>
          <w:spacing w:val="-2"/>
          <w:sz w:val="20"/>
        </w:rPr>
        <w:t>Assigned</w:t>
      </w:r>
    </w:p>
    <w:p>
      <w:pPr>
        <w:pStyle w:val="BodyText"/>
        <w:spacing w:before="122"/>
        <w:ind w:left="1159" w:right="5495"/>
      </w:pPr>
      <w:r>
        <w:rPr/>
        <w:t>2014</w:t>
      </w:r>
      <w:r>
        <w:rPr>
          <w:spacing w:val="-7"/>
        </w:rPr>
        <w:t> </w:t>
      </w:r>
      <w:r>
        <w:rPr/>
        <w:t>–</w:t>
      </w:r>
      <w:r>
        <w:rPr>
          <w:spacing w:val="-7"/>
        </w:rPr>
        <w:t> </w:t>
      </w:r>
      <w:r>
        <w:rPr/>
        <w:t>Andrews</w:t>
      </w:r>
      <w:r>
        <w:rPr>
          <w:spacing w:val="-7"/>
        </w:rPr>
        <w:t> </w:t>
      </w:r>
      <w:r>
        <w:rPr/>
        <w:t>(F/T)</w:t>
      </w:r>
      <w:r>
        <w:rPr>
          <w:spacing w:val="-8"/>
        </w:rPr>
        <w:t> </w:t>
      </w:r>
      <w:r>
        <w:rPr/>
        <w:t>Gindroz</w:t>
      </w:r>
      <w:r>
        <w:rPr>
          <w:spacing w:val="-12"/>
        </w:rPr>
        <w:t> </w:t>
      </w:r>
      <w:r>
        <w:rPr/>
        <w:t>(Adjunct) 2013 – Andrews (F/T)</w:t>
      </w:r>
    </w:p>
    <w:p>
      <w:pPr>
        <w:spacing w:after="0"/>
        <w:sectPr>
          <w:headerReference w:type="default" r:id="rId219"/>
          <w:footerReference w:type="default" r:id="rId220"/>
          <w:pgSz w:w="12240" w:h="15840"/>
          <w:pgMar w:header="993" w:footer="974" w:top="1240" w:bottom="1160" w:left="1000" w:right="820"/>
        </w:sectPr>
      </w:pPr>
    </w:p>
    <w:p>
      <w:pPr>
        <w:spacing w:before="115"/>
        <w:ind w:left="440" w:right="0" w:firstLine="0"/>
        <w:jc w:val="left"/>
        <w:rPr>
          <w:b/>
          <w:sz w:val="20"/>
        </w:rPr>
      </w:pPr>
      <w:r>
        <w:rPr>
          <w:b/>
          <w:sz w:val="20"/>
        </w:rPr>
        <w:t>Course</w:t>
      </w:r>
      <w:r>
        <w:rPr>
          <w:b/>
          <w:spacing w:val="-9"/>
          <w:sz w:val="20"/>
        </w:rPr>
        <w:t> </w:t>
      </w:r>
      <w:r>
        <w:rPr>
          <w:b/>
          <w:sz w:val="20"/>
        </w:rPr>
        <w:t>Description</w:t>
      </w:r>
      <w:r>
        <w:rPr>
          <w:b/>
          <w:spacing w:val="-8"/>
          <w:sz w:val="20"/>
        </w:rPr>
        <w:t> </w:t>
      </w:r>
      <w:r>
        <w:rPr>
          <w:b/>
          <w:sz w:val="20"/>
        </w:rPr>
        <w:t>(limit</w:t>
      </w:r>
      <w:r>
        <w:rPr>
          <w:b/>
          <w:spacing w:val="-7"/>
          <w:sz w:val="20"/>
        </w:rPr>
        <w:t> </w:t>
      </w:r>
      <w:r>
        <w:rPr>
          <w:b/>
          <w:sz w:val="20"/>
        </w:rPr>
        <w:t>25</w:t>
      </w:r>
      <w:r>
        <w:rPr>
          <w:b/>
          <w:spacing w:val="-8"/>
          <w:sz w:val="20"/>
        </w:rPr>
        <w:t> </w:t>
      </w:r>
      <w:r>
        <w:rPr>
          <w:b/>
          <w:spacing w:val="-2"/>
          <w:sz w:val="20"/>
        </w:rPr>
        <w:t>words):</w:t>
      </w:r>
    </w:p>
    <w:p>
      <w:pPr>
        <w:pStyle w:val="BodyText"/>
        <w:spacing w:before="122"/>
        <w:ind w:left="1159" w:right="1323"/>
        <w:jc w:val="both"/>
      </w:pPr>
      <w:r>
        <w:rPr/>
        <w:t>Complex</w:t>
      </w:r>
      <w:r>
        <w:rPr>
          <w:spacing w:val="-4"/>
        </w:rPr>
        <w:t> </w:t>
      </w:r>
      <w:r>
        <w:rPr/>
        <w:t>and</w:t>
      </w:r>
      <w:r>
        <w:rPr>
          <w:spacing w:val="-5"/>
        </w:rPr>
        <w:t> </w:t>
      </w:r>
      <w:r>
        <w:rPr/>
        <w:t>contextual</w:t>
      </w:r>
      <w:r>
        <w:rPr>
          <w:spacing w:val="-4"/>
        </w:rPr>
        <w:t> </w:t>
      </w:r>
      <w:r>
        <w:rPr/>
        <w:t>issues</w:t>
      </w:r>
      <w:r>
        <w:rPr>
          <w:spacing w:val="-4"/>
        </w:rPr>
        <w:t> </w:t>
      </w:r>
      <w:r>
        <w:rPr/>
        <w:t>of</w:t>
      </w:r>
      <w:r>
        <w:rPr>
          <w:spacing w:val="-3"/>
        </w:rPr>
        <w:t> </w:t>
      </w:r>
      <w:r>
        <w:rPr/>
        <w:t>a</w:t>
      </w:r>
      <w:r>
        <w:rPr>
          <w:spacing w:val="-5"/>
        </w:rPr>
        <w:t> </w:t>
      </w:r>
      <w:r>
        <w:rPr/>
        <w:t>complete</w:t>
      </w:r>
      <w:r>
        <w:rPr>
          <w:spacing w:val="-5"/>
        </w:rPr>
        <w:t> </w:t>
      </w:r>
      <w:r>
        <w:rPr/>
        <w:t>architecture</w:t>
      </w:r>
      <w:r>
        <w:rPr>
          <w:spacing w:val="-5"/>
        </w:rPr>
        <w:t> </w:t>
      </w:r>
      <w:r>
        <w:rPr/>
        <w:t>design</w:t>
      </w:r>
      <w:r>
        <w:rPr>
          <w:spacing w:val="-3"/>
        </w:rPr>
        <w:t> </w:t>
      </w:r>
      <w:r>
        <w:rPr/>
        <w:t>in</w:t>
      </w:r>
      <w:r>
        <w:rPr>
          <w:spacing w:val="-3"/>
        </w:rPr>
        <w:t> </w:t>
      </w:r>
      <w:r>
        <w:rPr/>
        <w:t>the</w:t>
      </w:r>
      <w:r>
        <w:rPr>
          <w:spacing w:val="-3"/>
        </w:rPr>
        <w:t> </w:t>
      </w:r>
      <w:r>
        <w:rPr/>
        <w:t>urban</w:t>
      </w:r>
      <w:r>
        <w:rPr>
          <w:spacing w:val="-5"/>
        </w:rPr>
        <w:t> </w:t>
      </w:r>
      <w:r>
        <w:rPr/>
        <w:t>setting</w:t>
      </w:r>
      <w:r>
        <w:rPr>
          <w:spacing w:val="-3"/>
        </w:rPr>
        <w:t> </w:t>
      </w:r>
      <w:r>
        <w:rPr/>
        <w:t>with comprehensive</w:t>
      </w:r>
      <w:r>
        <w:rPr>
          <w:spacing w:val="-3"/>
        </w:rPr>
        <w:t> </w:t>
      </w:r>
      <w:r>
        <w:rPr/>
        <w:t>consideration</w:t>
      </w:r>
      <w:r>
        <w:rPr>
          <w:spacing w:val="-3"/>
        </w:rPr>
        <w:t> </w:t>
      </w:r>
      <w:r>
        <w:rPr/>
        <w:t>of</w:t>
      </w:r>
      <w:r>
        <w:rPr>
          <w:spacing w:val="-2"/>
        </w:rPr>
        <w:t> </w:t>
      </w:r>
      <w:r>
        <w:rPr/>
        <w:t>site,</w:t>
      </w:r>
      <w:r>
        <w:rPr>
          <w:spacing w:val="-2"/>
        </w:rPr>
        <w:t> </w:t>
      </w:r>
      <w:r>
        <w:rPr/>
        <w:t>orientation,</w:t>
      </w:r>
      <w:r>
        <w:rPr>
          <w:spacing w:val="-3"/>
        </w:rPr>
        <w:t> </w:t>
      </w:r>
      <w:r>
        <w:rPr/>
        <w:t>environmental</w:t>
      </w:r>
      <w:r>
        <w:rPr>
          <w:spacing w:val="-4"/>
        </w:rPr>
        <w:t> </w:t>
      </w:r>
      <w:r>
        <w:rPr/>
        <w:t>relationships</w:t>
      </w:r>
      <w:r>
        <w:rPr>
          <w:spacing w:val="-3"/>
        </w:rPr>
        <w:t> </w:t>
      </w:r>
      <w:r>
        <w:rPr/>
        <w:t>and</w:t>
      </w:r>
      <w:r>
        <w:rPr>
          <w:spacing w:val="-2"/>
        </w:rPr>
        <w:t> </w:t>
      </w:r>
      <w:r>
        <w:rPr/>
        <w:t>building </w:t>
      </w:r>
      <w:r>
        <w:rPr>
          <w:spacing w:val="-2"/>
        </w:rPr>
        <w:t>systems.</w:t>
      </w:r>
    </w:p>
    <w:p>
      <w:pPr>
        <w:spacing w:before="119"/>
        <w:ind w:left="439" w:right="0" w:firstLine="0"/>
        <w:jc w:val="left"/>
        <w:rPr>
          <w:b/>
          <w:sz w:val="20"/>
        </w:rPr>
      </w:pPr>
      <w:r>
        <w:rPr>
          <w:b/>
          <w:sz w:val="20"/>
        </w:rPr>
        <w:t>Course</w:t>
      </w:r>
      <w:r>
        <w:rPr>
          <w:b/>
          <w:spacing w:val="-9"/>
          <w:sz w:val="20"/>
        </w:rPr>
        <w:t> </w:t>
      </w:r>
      <w:r>
        <w:rPr>
          <w:b/>
          <w:sz w:val="20"/>
        </w:rPr>
        <w:t>Goals</w:t>
      </w:r>
      <w:r>
        <w:rPr>
          <w:b/>
          <w:spacing w:val="-7"/>
          <w:sz w:val="20"/>
        </w:rPr>
        <w:t> </w:t>
      </w:r>
      <w:r>
        <w:rPr>
          <w:b/>
          <w:sz w:val="20"/>
        </w:rPr>
        <w:t>&amp;</w:t>
      </w:r>
      <w:r>
        <w:rPr>
          <w:b/>
          <w:spacing w:val="-7"/>
          <w:sz w:val="20"/>
        </w:rPr>
        <w:t> </w:t>
      </w:r>
      <w:r>
        <w:rPr>
          <w:b/>
          <w:sz w:val="20"/>
        </w:rPr>
        <w:t>Objectives</w:t>
      </w:r>
      <w:r>
        <w:rPr>
          <w:b/>
          <w:spacing w:val="-6"/>
          <w:sz w:val="20"/>
        </w:rPr>
        <w:t> </w:t>
      </w:r>
      <w:r>
        <w:rPr>
          <w:b/>
          <w:spacing w:val="-2"/>
          <w:sz w:val="20"/>
        </w:rPr>
        <w:t>(list):</w:t>
      </w:r>
    </w:p>
    <w:p>
      <w:pPr>
        <w:pStyle w:val="ListParagraph"/>
        <w:numPr>
          <w:ilvl w:val="0"/>
          <w:numId w:val="57"/>
        </w:numPr>
        <w:tabs>
          <w:tab w:pos="1519" w:val="left" w:leader="none"/>
          <w:tab w:pos="1520" w:val="left" w:leader="none"/>
        </w:tabs>
        <w:spacing w:line="240" w:lineRule="auto" w:before="121" w:after="0"/>
        <w:ind w:left="1519" w:right="0" w:hanging="361"/>
        <w:jc w:val="left"/>
        <w:rPr>
          <w:sz w:val="20"/>
        </w:rPr>
      </w:pPr>
      <w:r>
        <w:rPr>
          <w:sz w:val="20"/>
        </w:rPr>
        <w:t>To</w:t>
      </w:r>
      <w:r>
        <w:rPr>
          <w:spacing w:val="-8"/>
          <w:sz w:val="20"/>
        </w:rPr>
        <w:t> </w:t>
      </w:r>
      <w:r>
        <w:rPr>
          <w:sz w:val="20"/>
        </w:rPr>
        <w:t>develop</w:t>
      </w:r>
      <w:r>
        <w:rPr>
          <w:spacing w:val="-8"/>
          <w:sz w:val="20"/>
        </w:rPr>
        <w:t> </w:t>
      </w:r>
      <w:r>
        <w:rPr>
          <w:sz w:val="20"/>
        </w:rPr>
        <w:t>student</w:t>
      </w:r>
      <w:r>
        <w:rPr>
          <w:spacing w:val="-7"/>
          <w:sz w:val="20"/>
        </w:rPr>
        <w:t> </w:t>
      </w:r>
      <w:r>
        <w:rPr>
          <w:sz w:val="20"/>
        </w:rPr>
        <w:t>understanding</w:t>
      </w:r>
      <w:r>
        <w:rPr>
          <w:spacing w:val="-6"/>
          <w:sz w:val="20"/>
        </w:rPr>
        <w:t> </w:t>
      </w:r>
      <w:r>
        <w:rPr>
          <w:sz w:val="20"/>
        </w:rPr>
        <w:t>of</w:t>
      </w:r>
      <w:r>
        <w:rPr>
          <w:spacing w:val="-6"/>
          <w:sz w:val="20"/>
        </w:rPr>
        <w:t> </w:t>
      </w:r>
      <w:r>
        <w:rPr>
          <w:sz w:val="20"/>
        </w:rPr>
        <w:t>design</w:t>
      </w:r>
      <w:r>
        <w:rPr>
          <w:spacing w:val="-7"/>
          <w:sz w:val="20"/>
        </w:rPr>
        <w:t> </w:t>
      </w:r>
      <w:r>
        <w:rPr>
          <w:sz w:val="20"/>
        </w:rPr>
        <w:t>solutions</w:t>
      </w:r>
      <w:r>
        <w:rPr>
          <w:spacing w:val="-4"/>
          <w:sz w:val="20"/>
        </w:rPr>
        <w:t> </w:t>
      </w:r>
      <w:r>
        <w:rPr>
          <w:sz w:val="20"/>
        </w:rPr>
        <w:t>as</w:t>
      </w:r>
      <w:r>
        <w:rPr>
          <w:spacing w:val="-7"/>
          <w:sz w:val="20"/>
        </w:rPr>
        <w:t> </w:t>
      </w:r>
      <w:r>
        <w:rPr>
          <w:sz w:val="20"/>
        </w:rPr>
        <w:t>a</w:t>
      </w:r>
      <w:r>
        <w:rPr>
          <w:spacing w:val="-7"/>
          <w:sz w:val="20"/>
        </w:rPr>
        <w:t> </w:t>
      </w:r>
      <w:r>
        <w:rPr>
          <w:sz w:val="20"/>
        </w:rPr>
        <w:t>rational,</w:t>
      </w:r>
      <w:r>
        <w:rPr>
          <w:spacing w:val="-6"/>
          <w:sz w:val="20"/>
        </w:rPr>
        <w:t> </w:t>
      </w:r>
      <w:r>
        <w:rPr>
          <w:sz w:val="20"/>
        </w:rPr>
        <w:t>iterative</w:t>
      </w:r>
      <w:r>
        <w:rPr>
          <w:spacing w:val="-6"/>
          <w:sz w:val="20"/>
        </w:rPr>
        <w:t> </w:t>
      </w:r>
      <w:r>
        <w:rPr>
          <w:spacing w:val="-2"/>
          <w:sz w:val="20"/>
        </w:rPr>
        <w:t>process.</w:t>
      </w:r>
    </w:p>
    <w:p>
      <w:pPr>
        <w:pStyle w:val="ListParagraph"/>
        <w:numPr>
          <w:ilvl w:val="0"/>
          <w:numId w:val="57"/>
        </w:numPr>
        <w:tabs>
          <w:tab w:pos="1519" w:val="left" w:leader="none"/>
          <w:tab w:pos="1520" w:val="left" w:leader="none"/>
        </w:tabs>
        <w:spacing w:line="240" w:lineRule="auto" w:before="0" w:after="0"/>
        <w:ind w:left="1519" w:right="851" w:hanging="360"/>
        <w:jc w:val="left"/>
        <w:rPr>
          <w:sz w:val="20"/>
        </w:rPr>
      </w:pPr>
      <w:r>
        <w:rPr>
          <w:sz w:val="20"/>
        </w:rPr>
        <w:t>To</w:t>
      </w:r>
      <w:r>
        <w:rPr>
          <w:spacing w:val="-5"/>
          <w:sz w:val="20"/>
        </w:rPr>
        <w:t> </w:t>
      </w:r>
      <w:r>
        <w:rPr>
          <w:sz w:val="20"/>
        </w:rPr>
        <w:t>develop</w:t>
      </w:r>
      <w:r>
        <w:rPr>
          <w:spacing w:val="-5"/>
          <w:sz w:val="20"/>
        </w:rPr>
        <w:t> </w:t>
      </w:r>
      <w:r>
        <w:rPr>
          <w:sz w:val="20"/>
        </w:rPr>
        <w:t>student</w:t>
      </w:r>
      <w:r>
        <w:rPr>
          <w:spacing w:val="-5"/>
          <w:sz w:val="20"/>
        </w:rPr>
        <w:t> </w:t>
      </w:r>
      <w:r>
        <w:rPr>
          <w:sz w:val="20"/>
        </w:rPr>
        <w:t>understanding</w:t>
      </w:r>
      <w:r>
        <w:rPr>
          <w:spacing w:val="-3"/>
          <w:sz w:val="20"/>
        </w:rPr>
        <w:t> </w:t>
      </w:r>
      <w:r>
        <w:rPr>
          <w:sz w:val="20"/>
        </w:rPr>
        <w:t>of</w:t>
      </w:r>
      <w:r>
        <w:rPr>
          <w:spacing w:val="-3"/>
          <w:sz w:val="20"/>
        </w:rPr>
        <w:t> </w:t>
      </w:r>
      <w:r>
        <w:rPr>
          <w:sz w:val="20"/>
        </w:rPr>
        <w:t>inter-relationship</w:t>
      </w:r>
      <w:r>
        <w:rPr>
          <w:spacing w:val="-3"/>
          <w:sz w:val="20"/>
        </w:rPr>
        <w:t> </w:t>
      </w:r>
      <w:r>
        <w:rPr>
          <w:sz w:val="20"/>
        </w:rPr>
        <w:t>between</w:t>
      </w:r>
      <w:r>
        <w:rPr>
          <w:spacing w:val="-5"/>
          <w:sz w:val="20"/>
        </w:rPr>
        <w:t> </w:t>
      </w:r>
      <w:r>
        <w:rPr>
          <w:sz w:val="20"/>
        </w:rPr>
        <w:t>the</w:t>
      </w:r>
      <w:r>
        <w:rPr>
          <w:spacing w:val="-3"/>
          <w:sz w:val="20"/>
        </w:rPr>
        <w:t> </w:t>
      </w:r>
      <w:r>
        <w:rPr>
          <w:sz w:val="20"/>
        </w:rPr>
        <w:t>building,</w:t>
      </w:r>
      <w:r>
        <w:rPr>
          <w:spacing w:val="-5"/>
          <w:sz w:val="20"/>
        </w:rPr>
        <w:t> </w:t>
      </w:r>
      <w:r>
        <w:rPr>
          <w:sz w:val="20"/>
        </w:rPr>
        <w:t>its</w:t>
      </w:r>
      <w:r>
        <w:rPr>
          <w:spacing w:val="-4"/>
          <w:sz w:val="20"/>
        </w:rPr>
        <w:t> </w:t>
      </w:r>
      <w:r>
        <w:rPr>
          <w:sz w:val="20"/>
        </w:rPr>
        <w:t>site,</w:t>
      </w:r>
      <w:r>
        <w:rPr>
          <w:spacing w:val="-5"/>
          <w:sz w:val="20"/>
        </w:rPr>
        <w:t> </w:t>
      </w:r>
      <w:r>
        <w:rPr>
          <w:sz w:val="20"/>
        </w:rPr>
        <w:t>and</w:t>
      </w:r>
      <w:r>
        <w:rPr>
          <w:spacing w:val="-5"/>
          <w:sz w:val="20"/>
        </w:rPr>
        <w:t> </w:t>
      </w:r>
      <w:r>
        <w:rPr>
          <w:sz w:val="20"/>
        </w:rPr>
        <w:t>its larger context.</w:t>
      </w:r>
    </w:p>
    <w:p>
      <w:pPr>
        <w:pStyle w:val="ListParagraph"/>
        <w:numPr>
          <w:ilvl w:val="0"/>
          <w:numId w:val="57"/>
        </w:numPr>
        <w:tabs>
          <w:tab w:pos="1519" w:val="left" w:leader="none"/>
          <w:tab w:pos="1520" w:val="left" w:leader="none"/>
        </w:tabs>
        <w:spacing w:line="240" w:lineRule="auto" w:before="1" w:after="0"/>
        <w:ind w:left="1519" w:right="697" w:hanging="360"/>
        <w:jc w:val="left"/>
        <w:rPr>
          <w:sz w:val="20"/>
        </w:rPr>
      </w:pPr>
      <w:r>
        <w:rPr>
          <w:sz w:val="20"/>
        </w:rPr>
        <w:t>To</w:t>
      </w:r>
      <w:r>
        <w:rPr>
          <w:spacing w:val="-5"/>
          <w:sz w:val="20"/>
        </w:rPr>
        <w:t> </w:t>
      </w:r>
      <w:r>
        <w:rPr>
          <w:sz w:val="20"/>
        </w:rPr>
        <w:t>undertake</w:t>
      </w:r>
      <w:r>
        <w:rPr>
          <w:spacing w:val="-5"/>
          <w:sz w:val="20"/>
        </w:rPr>
        <w:t> </w:t>
      </w:r>
      <w:r>
        <w:rPr>
          <w:sz w:val="20"/>
        </w:rPr>
        <w:t>complex</w:t>
      </w:r>
      <w:r>
        <w:rPr>
          <w:spacing w:val="-4"/>
          <w:sz w:val="20"/>
        </w:rPr>
        <w:t> </w:t>
      </w:r>
      <w:r>
        <w:rPr>
          <w:sz w:val="20"/>
        </w:rPr>
        <w:t>building</w:t>
      </w:r>
      <w:r>
        <w:rPr>
          <w:spacing w:val="-5"/>
          <w:sz w:val="20"/>
        </w:rPr>
        <w:t> </w:t>
      </w:r>
      <w:r>
        <w:rPr>
          <w:sz w:val="20"/>
        </w:rPr>
        <w:t>project(s)</w:t>
      </w:r>
      <w:r>
        <w:rPr>
          <w:spacing w:val="-4"/>
          <w:sz w:val="20"/>
        </w:rPr>
        <w:t> </w:t>
      </w:r>
      <w:r>
        <w:rPr>
          <w:sz w:val="20"/>
        </w:rPr>
        <w:t>in</w:t>
      </w:r>
      <w:r>
        <w:rPr>
          <w:spacing w:val="-3"/>
          <w:sz w:val="20"/>
        </w:rPr>
        <w:t> </w:t>
      </w:r>
      <w:r>
        <w:rPr>
          <w:sz w:val="20"/>
        </w:rPr>
        <w:t>urban</w:t>
      </w:r>
      <w:r>
        <w:rPr>
          <w:spacing w:val="-3"/>
          <w:sz w:val="20"/>
        </w:rPr>
        <w:t> </w:t>
      </w:r>
      <w:r>
        <w:rPr>
          <w:sz w:val="20"/>
        </w:rPr>
        <w:t>locations</w:t>
      </w:r>
      <w:r>
        <w:rPr>
          <w:spacing w:val="-4"/>
          <w:sz w:val="20"/>
        </w:rPr>
        <w:t> </w:t>
      </w:r>
      <w:r>
        <w:rPr>
          <w:sz w:val="20"/>
        </w:rPr>
        <w:t>and</w:t>
      </w:r>
      <w:r>
        <w:rPr>
          <w:spacing w:val="-5"/>
          <w:sz w:val="20"/>
        </w:rPr>
        <w:t> </w:t>
      </w:r>
      <w:r>
        <w:rPr>
          <w:sz w:val="20"/>
        </w:rPr>
        <w:t>explore</w:t>
      </w:r>
      <w:r>
        <w:rPr>
          <w:spacing w:val="-5"/>
          <w:sz w:val="20"/>
        </w:rPr>
        <w:t> </w:t>
      </w:r>
      <w:r>
        <w:rPr>
          <w:sz w:val="20"/>
        </w:rPr>
        <w:t>the</w:t>
      </w:r>
      <w:r>
        <w:rPr>
          <w:spacing w:val="-3"/>
          <w:sz w:val="20"/>
        </w:rPr>
        <w:t> </w:t>
      </w:r>
      <w:r>
        <w:rPr>
          <w:sz w:val="20"/>
        </w:rPr>
        <w:t>inter-relationship among various components and functions.</w:t>
      </w:r>
    </w:p>
    <w:p>
      <w:pPr>
        <w:pStyle w:val="ListParagraph"/>
        <w:numPr>
          <w:ilvl w:val="0"/>
          <w:numId w:val="57"/>
        </w:numPr>
        <w:tabs>
          <w:tab w:pos="1519" w:val="left" w:leader="none"/>
          <w:tab w:pos="1520" w:val="left" w:leader="none"/>
        </w:tabs>
        <w:spacing w:line="229" w:lineRule="exact" w:before="1" w:after="0"/>
        <w:ind w:left="1519" w:right="0" w:hanging="361"/>
        <w:jc w:val="left"/>
        <w:rPr>
          <w:sz w:val="20"/>
        </w:rPr>
      </w:pPr>
      <w:r>
        <w:rPr>
          <w:sz w:val="20"/>
        </w:rPr>
        <w:t>To</w:t>
      </w:r>
      <w:r>
        <w:rPr>
          <w:spacing w:val="-9"/>
          <w:sz w:val="20"/>
        </w:rPr>
        <w:t> </w:t>
      </w:r>
      <w:r>
        <w:rPr>
          <w:sz w:val="20"/>
        </w:rPr>
        <w:t>develop</w:t>
      </w:r>
      <w:r>
        <w:rPr>
          <w:spacing w:val="-8"/>
          <w:sz w:val="20"/>
        </w:rPr>
        <w:t> </w:t>
      </w:r>
      <w:r>
        <w:rPr>
          <w:sz w:val="20"/>
        </w:rPr>
        <w:t>multi-disciplinary</w:t>
      </w:r>
      <w:r>
        <w:rPr>
          <w:spacing w:val="-9"/>
          <w:sz w:val="20"/>
        </w:rPr>
        <w:t> </w:t>
      </w:r>
      <w:r>
        <w:rPr>
          <w:sz w:val="20"/>
        </w:rPr>
        <w:t>approach</w:t>
      </w:r>
      <w:r>
        <w:rPr>
          <w:spacing w:val="-7"/>
          <w:sz w:val="20"/>
        </w:rPr>
        <w:t> </w:t>
      </w:r>
      <w:r>
        <w:rPr>
          <w:sz w:val="20"/>
        </w:rPr>
        <w:t>to</w:t>
      </w:r>
      <w:r>
        <w:rPr>
          <w:spacing w:val="-6"/>
          <w:sz w:val="20"/>
        </w:rPr>
        <w:t> </w:t>
      </w:r>
      <w:r>
        <w:rPr>
          <w:sz w:val="20"/>
        </w:rPr>
        <w:t>design</w:t>
      </w:r>
      <w:r>
        <w:rPr>
          <w:spacing w:val="-9"/>
          <w:sz w:val="20"/>
        </w:rPr>
        <w:t> </w:t>
      </w:r>
      <w:r>
        <w:rPr>
          <w:spacing w:val="-2"/>
          <w:sz w:val="20"/>
        </w:rPr>
        <w:t>process.</w:t>
      </w:r>
    </w:p>
    <w:p>
      <w:pPr>
        <w:pStyle w:val="ListParagraph"/>
        <w:numPr>
          <w:ilvl w:val="0"/>
          <w:numId w:val="57"/>
        </w:numPr>
        <w:tabs>
          <w:tab w:pos="1518" w:val="left" w:leader="none"/>
          <w:tab w:pos="1520" w:val="left" w:leader="none"/>
        </w:tabs>
        <w:spacing w:line="229" w:lineRule="exact" w:before="0" w:after="0"/>
        <w:ind w:left="1519" w:right="0" w:hanging="361"/>
        <w:jc w:val="left"/>
        <w:rPr>
          <w:sz w:val="20"/>
        </w:rPr>
      </w:pPr>
      <w:r>
        <w:rPr>
          <w:sz w:val="20"/>
        </w:rPr>
        <w:t>To</w:t>
      </w:r>
      <w:r>
        <w:rPr>
          <w:spacing w:val="-7"/>
          <w:sz w:val="20"/>
        </w:rPr>
        <w:t> </w:t>
      </w:r>
      <w:r>
        <w:rPr>
          <w:sz w:val="20"/>
        </w:rPr>
        <w:t>integrate</w:t>
      </w:r>
      <w:r>
        <w:rPr>
          <w:spacing w:val="-6"/>
          <w:sz w:val="20"/>
        </w:rPr>
        <w:t> </w:t>
      </w:r>
      <w:r>
        <w:rPr>
          <w:sz w:val="20"/>
        </w:rPr>
        <w:t>technical</w:t>
      </w:r>
      <w:r>
        <w:rPr>
          <w:spacing w:val="-8"/>
          <w:sz w:val="20"/>
        </w:rPr>
        <w:t> </w:t>
      </w:r>
      <w:r>
        <w:rPr>
          <w:sz w:val="20"/>
        </w:rPr>
        <w:t>aspects</w:t>
      </w:r>
      <w:r>
        <w:rPr>
          <w:spacing w:val="-5"/>
          <w:sz w:val="20"/>
        </w:rPr>
        <w:t> </w:t>
      </w:r>
      <w:r>
        <w:rPr>
          <w:sz w:val="20"/>
        </w:rPr>
        <w:t>of</w:t>
      </w:r>
      <w:r>
        <w:rPr>
          <w:spacing w:val="-5"/>
          <w:sz w:val="20"/>
        </w:rPr>
        <w:t> </w:t>
      </w:r>
      <w:r>
        <w:rPr>
          <w:sz w:val="20"/>
        </w:rPr>
        <w:t>architecture</w:t>
      </w:r>
      <w:r>
        <w:rPr>
          <w:spacing w:val="-6"/>
          <w:sz w:val="20"/>
        </w:rPr>
        <w:t> </w:t>
      </w:r>
      <w:r>
        <w:rPr>
          <w:sz w:val="20"/>
        </w:rPr>
        <w:t>as</w:t>
      </w:r>
      <w:r>
        <w:rPr>
          <w:spacing w:val="-6"/>
          <w:sz w:val="20"/>
        </w:rPr>
        <w:t> </w:t>
      </w:r>
      <w:r>
        <w:rPr>
          <w:sz w:val="20"/>
        </w:rPr>
        <w:t>an</w:t>
      </w:r>
      <w:r>
        <w:rPr>
          <w:spacing w:val="-6"/>
          <w:sz w:val="20"/>
        </w:rPr>
        <w:t> </w:t>
      </w:r>
      <w:r>
        <w:rPr>
          <w:sz w:val="20"/>
        </w:rPr>
        <w:t>integral</w:t>
      </w:r>
      <w:r>
        <w:rPr>
          <w:spacing w:val="-6"/>
          <w:sz w:val="20"/>
        </w:rPr>
        <w:t> </w:t>
      </w:r>
      <w:r>
        <w:rPr>
          <w:sz w:val="20"/>
        </w:rPr>
        <w:t>part</w:t>
      </w:r>
      <w:r>
        <w:rPr>
          <w:spacing w:val="-4"/>
          <w:sz w:val="20"/>
        </w:rPr>
        <w:t> </w:t>
      </w:r>
      <w:r>
        <w:rPr>
          <w:sz w:val="20"/>
        </w:rPr>
        <w:t>of</w:t>
      </w:r>
      <w:r>
        <w:rPr>
          <w:spacing w:val="-5"/>
          <w:sz w:val="20"/>
        </w:rPr>
        <w:t> </w:t>
      </w:r>
      <w:r>
        <w:rPr>
          <w:sz w:val="20"/>
        </w:rPr>
        <w:t>the</w:t>
      </w:r>
      <w:r>
        <w:rPr>
          <w:spacing w:val="-6"/>
          <w:sz w:val="20"/>
        </w:rPr>
        <w:t> </w:t>
      </w:r>
      <w:r>
        <w:rPr>
          <w:sz w:val="20"/>
        </w:rPr>
        <w:t>“total”</w:t>
      </w:r>
      <w:r>
        <w:rPr>
          <w:spacing w:val="-6"/>
          <w:sz w:val="20"/>
        </w:rPr>
        <w:t> </w:t>
      </w:r>
      <w:r>
        <w:rPr>
          <w:sz w:val="20"/>
        </w:rPr>
        <w:t>design</w:t>
      </w:r>
      <w:r>
        <w:rPr>
          <w:spacing w:val="-6"/>
          <w:sz w:val="20"/>
        </w:rPr>
        <w:t> </w:t>
      </w:r>
      <w:r>
        <w:rPr>
          <w:spacing w:val="-2"/>
          <w:sz w:val="20"/>
        </w:rPr>
        <w:t>solution.</w:t>
      </w:r>
    </w:p>
    <w:p>
      <w:pPr>
        <w:pStyle w:val="ListParagraph"/>
        <w:numPr>
          <w:ilvl w:val="0"/>
          <w:numId w:val="57"/>
        </w:numPr>
        <w:tabs>
          <w:tab w:pos="1518" w:val="left" w:leader="none"/>
          <w:tab w:pos="1520" w:val="left" w:leader="none"/>
        </w:tabs>
        <w:spacing w:line="240" w:lineRule="auto" w:before="1" w:after="0"/>
        <w:ind w:left="1519" w:right="0" w:hanging="361"/>
        <w:jc w:val="left"/>
        <w:rPr>
          <w:sz w:val="20"/>
        </w:rPr>
      </w:pPr>
      <w:r>
        <w:rPr>
          <w:sz w:val="20"/>
        </w:rPr>
        <w:t>To</w:t>
      </w:r>
      <w:r>
        <w:rPr>
          <w:spacing w:val="-7"/>
          <w:sz w:val="20"/>
        </w:rPr>
        <w:t> </w:t>
      </w:r>
      <w:r>
        <w:rPr>
          <w:sz w:val="20"/>
        </w:rPr>
        <w:t>study</w:t>
      </w:r>
      <w:r>
        <w:rPr>
          <w:spacing w:val="-10"/>
          <w:sz w:val="20"/>
        </w:rPr>
        <w:t> </w:t>
      </w:r>
      <w:r>
        <w:rPr>
          <w:sz w:val="20"/>
        </w:rPr>
        <w:t>various</w:t>
      </w:r>
      <w:r>
        <w:rPr>
          <w:spacing w:val="-6"/>
          <w:sz w:val="20"/>
        </w:rPr>
        <w:t> </w:t>
      </w:r>
      <w:r>
        <w:rPr>
          <w:sz w:val="20"/>
        </w:rPr>
        <w:t>materials</w:t>
      </w:r>
      <w:r>
        <w:rPr>
          <w:spacing w:val="-4"/>
          <w:sz w:val="20"/>
        </w:rPr>
        <w:t> </w:t>
      </w:r>
      <w:r>
        <w:rPr>
          <w:sz w:val="20"/>
        </w:rPr>
        <w:t>and</w:t>
      </w:r>
      <w:r>
        <w:rPr>
          <w:spacing w:val="-6"/>
          <w:sz w:val="20"/>
        </w:rPr>
        <w:t> </w:t>
      </w:r>
      <w:r>
        <w:rPr>
          <w:sz w:val="20"/>
        </w:rPr>
        <w:t>construction</w:t>
      </w:r>
      <w:r>
        <w:rPr>
          <w:spacing w:val="-7"/>
          <w:sz w:val="20"/>
        </w:rPr>
        <w:t> </w:t>
      </w:r>
      <w:r>
        <w:rPr>
          <w:sz w:val="20"/>
        </w:rPr>
        <w:t>techniques</w:t>
      </w:r>
      <w:r>
        <w:rPr>
          <w:spacing w:val="-7"/>
          <w:sz w:val="20"/>
        </w:rPr>
        <w:t> </w:t>
      </w:r>
      <w:r>
        <w:rPr>
          <w:sz w:val="20"/>
        </w:rPr>
        <w:t>and</w:t>
      </w:r>
      <w:r>
        <w:rPr>
          <w:spacing w:val="-6"/>
          <w:sz w:val="20"/>
        </w:rPr>
        <w:t> </w:t>
      </w:r>
      <w:r>
        <w:rPr>
          <w:sz w:val="20"/>
        </w:rPr>
        <w:t>employ</w:t>
      </w:r>
      <w:r>
        <w:rPr>
          <w:spacing w:val="-10"/>
          <w:sz w:val="20"/>
        </w:rPr>
        <w:t> </w:t>
      </w:r>
      <w:r>
        <w:rPr>
          <w:sz w:val="20"/>
        </w:rPr>
        <w:t>them</w:t>
      </w:r>
      <w:r>
        <w:rPr>
          <w:spacing w:val="-3"/>
          <w:sz w:val="20"/>
        </w:rPr>
        <w:t> </w:t>
      </w:r>
      <w:r>
        <w:rPr>
          <w:sz w:val="20"/>
        </w:rPr>
        <w:t>in</w:t>
      </w:r>
      <w:r>
        <w:rPr>
          <w:spacing w:val="-7"/>
          <w:sz w:val="20"/>
        </w:rPr>
        <w:t> </w:t>
      </w:r>
      <w:r>
        <w:rPr>
          <w:sz w:val="20"/>
        </w:rPr>
        <w:t>innovative</w:t>
      </w:r>
      <w:r>
        <w:rPr>
          <w:spacing w:val="-5"/>
          <w:sz w:val="20"/>
        </w:rPr>
        <w:t> </w:t>
      </w:r>
      <w:r>
        <w:rPr>
          <w:spacing w:val="-2"/>
          <w:sz w:val="20"/>
        </w:rPr>
        <w:t>ways.</w:t>
      </w:r>
    </w:p>
    <w:p>
      <w:pPr>
        <w:spacing w:before="118"/>
        <w:ind w:left="439" w:right="0" w:firstLine="0"/>
        <w:jc w:val="left"/>
        <w:rPr>
          <w:b/>
          <w:sz w:val="20"/>
        </w:rPr>
      </w:pPr>
      <w:r>
        <w:rPr>
          <w:b/>
          <w:sz w:val="20"/>
        </w:rPr>
        <w:t>Student</w:t>
      </w:r>
      <w:r>
        <w:rPr>
          <w:b/>
          <w:spacing w:val="-11"/>
          <w:sz w:val="20"/>
        </w:rPr>
        <w:t> </w:t>
      </w:r>
      <w:r>
        <w:rPr>
          <w:b/>
          <w:sz w:val="20"/>
        </w:rPr>
        <w:t>Performance</w:t>
      </w:r>
      <w:r>
        <w:rPr>
          <w:b/>
          <w:spacing w:val="-12"/>
          <w:sz w:val="20"/>
        </w:rPr>
        <w:t> </w:t>
      </w:r>
      <w:r>
        <w:rPr>
          <w:b/>
          <w:spacing w:val="-2"/>
          <w:sz w:val="20"/>
        </w:rPr>
        <w:t>Criterion/addressed:</w:t>
      </w:r>
    </w:p>
    <w:p>
      <w:pPr>
        <w:pStyle w:val="BodyText"/>
        <w:spacing w:before="3"/>
        <w:rPr>
          <w:b/>
          <w:sz w:val="11"/>
        </w:rPr>
      </w:pPr>
    </w:p>
    <w:tbl>
      <w:tblPr>
        <w:tblW w:w="0" w:type="auto"/>
        <w:jc w:val="left"/>
        <w:tblInd w:w="7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0"/>
        <w:gridCol w:w="3913"/>
        <w:gridCol w:w="858"/>
        <w:gridCol w:w="3491"/>
      </w:tblGrid>
      <w:tr>
        <w:trPr>
          <w:trHeight w:val="226" w:hRule="atLeast"/>
        </w:trPr>
        <w:tc>
          <w:tcPr>
            <w:tcW w:w="620" w:type="dxa"/>
          </w:tcPr>
          <w:p>
            <w:pPr>
              <w:pStyle w:val="TableParagraph"/>
              <w:spacing w:line="207" w:lineRule="exact"/>
              <w:ind w:left="50"/>
              <w:rPr>
                <w:sz w:val="20"/>
              </w:rPr>
            </w:pPr>
            <w:r>
              <w:rPr>
                <w:w w:val="95"/>
                <w:sz w:val="20"/>
              </w:rPr>
              <w:t>A-</w:t>
            </w:r>
            <w:r>
              <w:rPr>
                <w:spacing w:val="-10"/>
                <w:sz w:val="20"/>
              </w:rPr>
              <w:t>2</w:t>
            </w:r>
          </w:p>
        </w:tc>
        <w:tc>
          <w:tcPr>
            <w:tcW w:w="3913" w:type="dxa"/>
          </w:tcPr>
          <w:p>
            <w:pPr>
              <w:pStyle w:val="TableParagraph"/>
              <w:spacing w:line="207" w:lineRule="exact"/>
              <w:ind w:left="150"/>
              <w:rPr>
                <w:sz w:val="20"/>
              </w:rPr>
            </w:pPr>
            <w:r>
              <w:rPr>
                <w:sz w:val="20"/>
              </w:rPr>
              <w:t>Design</w:t>
            </w:r>
            <w:r>
              <w:rPr>
                <w:spacing w:val="-9"/>
                <w:sz w:val="20"/>
              </w:rPr>
              <w:t> </w:t>
            </w:r>
            <w:r>
              <w:rPr>
                <w:spacing w:val="-2"/>
                <w:sz w:val="20"/>
              </w:rPr>
              <w:t>Thinking</w:t>
            </w:r>
          </w:p>
        </w:tc>
        <w:tc>
          <w:tcPr>
            <w:tcW w:w="858" w:type="dxa"/>
          </w:tcPr>
          <w:p>
            <w:pPr>
              <w:pStyle w:val="TableParagraph"/>
              <w:spacing w:line="207" w:lineRule="exact"/>
              <w:ind w:left="288"/>
              <w:rPr>
                <w:sz w:val="20"/>
              </w:rPr>
            </w:pPr>
            <w:r>
              <w:rPr>
                <w:w w:val="95"/>
                <w:sz w:val="20"/>
              </w:rPr>
              <w:t>B-</w:t>
            </w:r>
            <w:r>
              <w:rPr>
                <w:spacing w:val="-10"/>
                <w:sz w:val="20"/>
              </w:rPr>
              <w:t>6</w:t>
            </w:r>
          </w:p>
        </w:tc>
        <w:tc>
          <w:tcPr>
            <w:tcW w:w="3491" w:type="dxa"/>
          </w:tcPr>
          <w:p>
            <w:pPr>
              <w:pStyle w:val="TableParagraph"/>
              <w:spacing w:line="207" w:lineRule="exact"/>
              <w:ind w:left="149"/>
              <w:rPr>
                <w:sz w:val="20"/>
              </w:rPr>
            </w:pPr>
            <w:r>
              <w:rPr>
                <w:w w:val="95"/>
                <w:sz w:val="20"/>
              </w:rPr>
              <w:t>Comprehensive</w:t>
            </w:r>
            <w:r>
              <w:rPr>
                <w:spacing w:val="53"/>
                <w:sz w:val="20"/>
              </w:rPr>
              <w:t> </w:t>
            </w:r>
            <w:r>
              <w:rPr>
                <w:spacing w:val="-2"/>
                <w:sz w:val="20"/>
              </w:rPr>
              <w:t>Design</w:t>
            </w:r>
          </w:p>
        </w:tc>
      </w:tr>
      <w:tr>
        <w:trPr>
          <w:trHeight w:val="230" w:hRule="atLeast"/>
        </w:trPr>
        <w:tc>
          <w:tcPr>
            <w:tcW w:w="620" w:type="dxa"/>
          </w:tcPr>
          <w:p>
            <w:pPr>
              <w:pStyle w:val="TableParagraph"/>
              <w:spacing w:line="210" w:lineRule="exact"/>
              <w:ind w:left="50"/>
              <w:rPr>
                <w:sz w:val="20"/>
              </w:rPr>
            </w:pPr>
            <w:r>
              <w:rPr>
                <w:w w:val="95"/>
                <w:sz w:val="20"/>
              </w:rPr>
              <w:t>A-</w:t>
            </w:r>
            <w:r>
              <w:rPr>
                <w:spacing w:val="-10"/>
                <w:sz w:val="20"/>
              </w:rPr>
              <w:t>4</w:t>
            </w:r>
          </w:p>
        </w:tc>
        <w:tc>
          <w:tcPr>
            <w:tcW w:w="3913" w:type="dxa"/>
          </w:tcPr>
          <w:p>
            <w:pPr>
              <w:pStyle w:val="TableParagraph"/>
              <w:spacing w:line="210" w:lineRule="exact"/>
              <w:ind w:left="150"/>
              <w:rPr>
                <w:sz w:val="20"/>
              </w:rPr>
            </w:pPr>
            <w:r>
              <w:rPr>
                <w:sz w:val="20"/>
              </w:rPr>
              <w:t>Technical</w:t>
            </w:r>
            <w:r>
              <w:rPr>
                <w:spacing w:val="-12"/>
                <w:sz w:val="20"/>
              </w:rPr>
              <w:t> </w:t>
            </w:r>
            <w:r>
              <w:rPr>
                <w:spacing w:val="-2"/>
                <w:sz w:val="20"/>
              </w:rPr>
              <w:t>Documentation</w:t>
            </w:r>
          </w:p>
        </w:tc>
        <w:tc>
          <w:tcPr>
            <w:tcW w:w="858" w:type="dxa"/>
          </w:tcPr>
          <w:p>
            <w:pPr>
              <w:pStyle w:val="TableParagraph"/>
              <w:spacing w:line="210" w:lineRule="exact"/>
              <w:ind w:left="288"/>
              <w:rPr>
                <w:sz w:val="20"/>
              </w:rPr>
            </w:pPr>
            <w:r>
              <w:rPr>
                <w:w w:val="95"/>
                <w:sz w:val="20"/>
              </w:rPr>
              <w:t>B-</w:t>
            </w:r>
            <w:r>
              <w:rPr>
                <w:spacing w:val="-10"/>
                <w:sz w:val="20"/>
              </w:rPr>
              <w:t>7</w:t>
            </w:r>
          </w:p>
        </w:tc>
        <w:tc>
          <w:tcPr>
            <w:tcW w:w="3491" w:type="dxa"/>
          </w:tcPr>
          <w:p>
            <w:pPr>
              <w:pStyle w:val="TableParagraph"/>
              <w:spacing w:line="210" w:lineRule="exact"/>
              <w:ind w:left="149"/>
              <w:rPr>
                <w:sz w:val="20"/>
              </w:rPr>
            </w:pPr>
            <w:r>
              <w:rPr>
                <w:sz w:val="20"/>
              </w:rPr>
              <w:t>Financial</w:t>
            </w:r>
            <w:r>
              <w:rPr>
                <w:spacing w:val="-14"/>
                <w:sz w:val="20"/>
              </w:rPr>
              <w:t> </w:t>
            </w:r>
            <w:r>
              <w:rPr>
                <w:spacing w:val="-2"/>
                <w:sz w:val="20"/>
              </w:rPr>
              <w:t>Considerations</w:t>
            </w:r>
          </w:p>
        </w:tc>
      </w:tr>
      <w:tr>
        <w:trPr>
          <w:trHeight w:val="229" w:hRule="atLeast"/>
        </w:trPr>
        <w:tc>
          <w:tcPr>
            <w:tcW w:w="620" w:type="dxa"/>
          </w:tcPr>
          <w:p>
            <w:pPr>
              <w:pStyle w:val="TableParagraph"/>
              <w:spacing w:line="209" w:lineRule="exact"/>
              <w:ind w:left="50"/>
              <w:rPr>
                <w:sz w:val="20"/>
              </w:rPr>
            </w:pPr>
            <w:r>
              <w:rPr>
                <w:w w:val="95"/>
                <w:sz w:val="20"/>
              </w:rPr>
              <w:t>A-</w:t>
            </w:r>
            <w:r>
              <w:rPr>
                <w:spacing w:val="-10"/>
                <w:sz w:val="20"/>
              </w:rPr>
              <w:t>5</w:t>
            </w:r>
          </w:p>
        </w:tc>
        <w:tc>
          <w:tcPr>
            <w:tcW w:w="3913" w:type="dxa"/>
          </w:tcPr>
          <w:p>
            <w:pPr>
              <w:pStyle w:val="TableParagraph"/>
              <w:spacing w:line="209" w:lineRule="exact"/>
              <w:ind w:left="150"/>
              <w:rPr>
                <w:sz w:val="20"/>
              </w:rPr>
            </w:pPr>
            <w:r>
              <w:rPr>
                <w:spacing w:val="-2"/>
                <w:sz w:val="20"/>
              </w:rPr>
              <w:t>Investigative</w:t>
            </w:r>
            <w:r>
              <w:rPr>
                <w:spacing w:val="10"/>
                <w:sz w:val="20"/>
              </w:rPr>
              <w:t> </w:t>
            </w:r>
            <w:r>
              <w:rPr>
                <w:spacing w:val="-2"/>
                <w:sz w:val="20"/>
              </w:rPr>
              <w:t>Skills</w:t>
            </w:r>
          </w:p>
        </w:tc>
        <w:tc>
          <w:tcPr>
            <w:tcW w:w="858" w:type="dxa"/>
          </w:tcPr>
          <w:p>
            <w:pPr>
              <w:pStyle w:val="TableParagraph"/>
              <w:spacing w:line="209" w:lineRule="exact"/>
              <w:ind w:left="288"/>
              <w:rPr>
                <w:sz w:val="20"/>
              </w:rPr>
            </w:pPr>
            <w:r>
              <w:rPr>
                <w:w w:val="95"/>
                <w:sz w:val="20"/>
              </w:rPr>
              <w:t>B-</w:t>
            </w:r>
            <w:r>
              <w:rPr>
                <w:spacing w:val="-10"/>
                <w:sz w:val="20"/>
              </w:rPr>
              <w:t>8</w:t>
            </w:r>
          </w:p>
        </w:tc>
        <w:tc>
          <w:tcPr>
            <w:tcW w:w="3491" w:type="dxa"/>
          </w:tcPr>
          <w:p>
            <w:pPr>
              <w:pStyle w:val="TableParagraph"/>
              <w:spacing w:line="209" w:lineRule="exact"/>
              <w:ind w:left="149"/>
              <w:rPr>
                <w:sz w:val="20"/>
              </w:rPr>
            </w:pPr>
            <w:r>
              <w:rPr>
                <w:w w:val="95"/>
                <w:sz w:val="20"/>
              </w:rPr>
              <w:t>Environmental</w:t>
            </w:r>
            <w:r>
              <w:rPr>
                <w:spacing w:val="47"/>
                <w:sz w:val="20"/>
              </w:rPr>
              <w:t> </w:t>
            </w:r>
            <w:r>
              <w:rPr>
                <w:spacing w:val="-2"/>
                <w:sz w:val="20"/>
              </w:rPr>
              <w:t>Systems</w:t>
            </w:r>
          </w:p>
        </w:tc>
      </w:tr>
      <w:tr>
        <w:trPr>
          <w:trHeight w:val="229" w:hRule="atLeast"/>
        </w:trPr>
        <w:tc>
          <w:tcPr>
            <w:tcW w:w="620" w:type="dxa"/>
          </w:tcPr>
          <w:p>
            <w:pPr>
              <w:pStyle w:val="TableParagraph"/>
              <w:spacing w:line="209" w:lineRule="exact"/>
              <w:ind w:left="50"/>
              <w:rPr>
                <w:sz w:val="20"/>
              </w:rPr>
            </w:pPr>
            <w:r>
              <w:rPr>
                <w:w w:val="95"/>
                <w:sz w:val="20"/>
              </w:rPr>
              <w:t>A-</w:t>
            </w:r>
            <w:r>
              <w:rPr>
                <w:spacing w:val="-10"/>
                <w:sz w:val="20"/>
              </w:rPr>
              <w:t>8</w:t>
            </w:r>
          </w:p>
        </w:tc>
        <w:tc>
          <w:tcPr>
            <w:tcW w:w="3913" w:type="dxa"/>
          </w:tcPr>
          <w:p>
            <w:pPr>
              <w:pStyle w:val="TableParagraph"/>
              <w:spacing w:line="209" w:lineRule="exact"/>
              <w:ind w:left="150"/>
              <w:rPr>
                <w:sz w:val="20"/>
              </w:rPr>
            </w:pPr>
            <w:r>
              <w:rPr>
                <w:sz w:val="20"/>
              </w:rPr>
              <w:t>Ordering</w:t>
            </w:r>
            <w:r>
              <w:rPr>
                <w:spacing w:val="-8"/>
                <w:sz w:val="20"/>
              </w:rPr>
              <w:t> </w:t>
            </w:r>
            <w:r>
              <w:rPr>
                <w:sz w:val="20"/>
              </w:rPr>
              <w:t>Systems</w:t>
            </w:r>
            <w:r>
              <w:rPr>
                <w:spacing w:val="-8"/>
                <w:sz w:val="20"/>
              </w:rPr>
              <w:t> </w:t>
            </w:r>
            <w:r>
              <w:rPr>
                <w:spacing w:val="-2"/>
                <w:sz w:val="20"/>
              </w:rPr>
              <w:t>Skills</w:t>
            </w:r>
          </w:p>
        </w:tc>
        <w:tc>
          <w:tcPr>
            <w:tcW w:w="858" w:type="dxa"/>
          </w:tcPr>
          <w:p>
            <w:pPr>
              <w:pStyle w:val="TableParagraph"/>
              <w:spacing w:line="209" w:lineRule="exact"/>
              <w:ind w:left="287"/>
              <w:rPr>
                <w:sz w:val="20"/>
              </w:rPr>
            </w:pPr>
            <w:r>
              <w:rPr>
                <w:w w:val="95"/>
                <w:sz w:val="20"/>
              </w:rPr>
              <w:t>B-</w:t>
            </w:r>
            <w:r>
              <w:rPr>
                <w:spacing w:val="-10"/>
                <w:sz w:val="20"/>
              </w:rPr>
              <w:t>9</w:t>
            </w:r>
          </w:p>
        </w:tc>
        <w:tc>
          <w:tcPr>
            <w:tcW w:w="3491" w:type="dxa"/>
          </w:tcPr>
          <w:p>
            <w:pPr>
              <w:pStyle w:val="TableParagraph"/>
              <w:spacing w:line="209" w:lineRule="exact"/>
              <w:ind w:left="149"/>
              <w:rPr>
                <w:sz w:val="20"/>
              </w:rPr>
            </w:pPr>
            <w:r>
              <w:rPr>
                <w:sz w:val="20"/>
              </w:rPr>
              <w:t>Structural</w:t>
            </w:r>
            <w:r>
              <w:rPr>
                <w:spacing w:val="-13"/>
                <w:sz w:val="20"/>
              </w:rPr>
              <w:t> </w:t>
            </w:r>
            <w:r>
              <w:rPr>
                <w:spacing w:val="-2"/>
                <w:sz w:val="20"/>
              </w:rPr>
              <w:t>Systems</w:t>
            </w:r>
          </w:p>
        </w:tc>
      </w:tr>
      <w:tr>
        <w:trPr>
          <w:trHeight w:val="230" w:hRule="atLeast"/>
        </w:trPr>
        <w:tc>
          <w:tcPr>
            <w:tcW w:w="620" w:type="dxa"/>
          </w:tcPr>
          <w:p>
            <w:pPr>
              <w:pStyle w:val="TableParagraph"/>
              <w:spacing w:line="210" w:lineRule="exact"/>
              <w:ind w:left="50"/>
              <w:rPr>
                <w:sz w:val="20"/>
              </w:rPr>
            </w:pPr>
            <w:r>
              <w:rPr>
                <w:w w:val="95"/>
                <w:sz w:val="20"/>
              </w:rPr>
              <w:t>A-</w:t>
            </w:r>
            <w:r>
              <w:rPr>
                <w:spacing w:val="-10"/>
                <w:sz w:val="20"/>
              </w:rPr>
              <w:t>9</w:t>
            </w:r>
          </w:p>
        </w:tc>
        <w:tc>
          <w:tcPr>
            <w:tcW w:w="3913" w:type="dxa"/>
          </w:tcPr>
          <w:p>
            <w:pPr>
              <w:pStyle w:val="TableParagraph"/>
              <w:spacing w:line="210" w:lineRule="exact"/>
              <w:ind w:left="150"/>
              <w:rPr>
                <w:sz w:val="20"/>
              </w:rPr>
            </w:pPr>
            <w:r>
              <w:rPr>
                <w:sz w:val="20"/>
              </w:rPr>
              <w:t>Historical</w:t>
            </w:r>
            <w:r>
              <w:rPr>
                <w:spacing w:val="-9"/>
                <w:sz w:val="20"/>
              </w:rPr>
              <w:t> </w:t>
            </w:r>
            <w:r>
              <w:rPr>
                <w:sz w:val="20"/>
              </w:rPr>
              <w:t>Traditions</w:t>
            </w:r>
            <w:r>
              <w:rPr>
                <w:spacing w:val="-8"/>
                <w:sz w:val="20"/>
              </w:rPr>
              <w:t> </w:t>
            </w:r>
            <w:r>
              <w:rPr>
                <w:sz w:val="20"/>
              </w:rPr>
              <w:t>and</w:t>
            </w:r>
            <w:r>
              <w:rPr>
                <w:spacing w:val="-8"/>
                <w:sz w:val="20"/>
              </w:rPr>
              <w:t> </w:t>
            </w:r>
            <w:r>
              <w:rPr>
                <w:sz w:val="20"/>
              </w:rPr>
              <w:t>Global</w:t>
            </w:r>
            <w:r>
              <w:rPr>
                <w:spacing w:val="-9"/>
                <w:sz w:val="20"/>
              </w:rPr>
              <w:t> </w:t>
            </w:r>
            <w:r>
              <w:rPr>
                <w:spacing w:val="-2"/>
                <w:sz w:val="20"/>
              </w:rPr>
              <w:t>Culture</w:t>
            </w:r>
          </w:p>
        </w:tc>
        <w:tc>
          <w:tcPr>
            <w:tcW w:w="858" w:type="dxa"/>
          </w:tcPr>
          <w:p>
            <w:pPr>
              <w:pStyle w:val="TableParagraph"/>
              <w:spacing w:line="210" w:lineRule="exact"/>
              <w:ind w:left="287"/>
              <w:rPr>
                <w:sz w:val="20"/>
              </w:rPr>
            </w:pPr>
            <w:r>
              <w:rPr>
                <w:w w:val="95"/>
                <w:sz w:val="20"/>
              </w:rPr>
              <w:t>B-</w:t>
            </w:r>
            <w:r>
              <w:rPr>
                <w:spacing w:val="-5"/>
                <w:sz w:val="20"/>
              </w:rPr>
              <w:t>10</w:t>
            </w:r>
          </w:p>
        </w:tc>
        <w:tc>
          <w:tcPr>
            <w:tcW w:w="3491" w:type="dxa"/>
          </w:tcPr>
          <w:p>
            <w:pPr>
              <w:pStyle w:val="TableParagraph"/>
              <w:spacing w:line="210" w:lineRule="exact"/>
              <w:ind w:left="149"/>
              <w:rPr>
                <w:sz w:val="20"/>
              </w:rPr>
            </w:pPr>
            <w:r>
              <w:rPr>
                <w:sz w:val="20"/>
              </w:rPr>
              <w:t>Building</w:t>
            </w:r>
            <w:r>
              <w:rPr>
                <w:spacing w:val="-9"/>
                <w:sz w:val="20"/>
              </w:rPr>
              <w:t> </w:t>
            </w:r>
            <w:r>
              <w:rPr>
                <w:sz w:val="20"/>
              </w:rPr>
              <w:t>Envelop</w:t>
            </w:r>
            <w:r>
              <w:rPr>
                <w:spacing w:val="-7"/>
                <w:sz w:val="20"/>
              </w:rPr>
              <w:t> </w:t>
            </w:r>
            <w:r>
              <w:rPr>
                <w:spacing w:val="-2"/>
                <w:sz w:val="20"/>
              </w:rPr>
              <w:t>Systems</w:t>
            </w:r>
          </w:p>
        </w:tc>
      </w:tr>
      <w:tr>
        <w:trPr>
          <w:trHeight w:val="230" w:hRule="atLeast"/>
        </w:trPr>
        <w:tc>
          <w:tcPr>
            <w:tcW w:w="620" w:type="dxa"/>
          </w:tcPr>
          <w:p>
            <w:pPr>
              <w:pStyle w:val="TableParagraph"/>
              <w:spacing w:line="210" w:lineRule="exact"/>
              <w:ind w:left="50"/>
              <w:rPr>
                <w:sz w:val="20"/>
              </w:rPr>
            </w:pPr>
            <w:r>
              <w:rPr>
                <w:w w:val="95"/>
                <w:sz w:val="20"/>
              </w:rPr>
              <w:t>A-</w:t>
            </w:r>
            <w:r>
              <w:rPr>
                <w:spacing w:val="-5"/>
                <w:sz w:val="20"/>
              </w:rPr>
              <w:t>11</w:t>
            </w:r>
          </w:p>
        </w:tc>
        <w:tc>
          <w:tcPr>
            <w:tcW w:w="3913" w:type="dxa"/>
          </w:tcPr>
          <w:p>
            <w:pPr>
              <w:pStyle w:val="TableParagraph"/>
              <w:spacing w:line="210" w:lineRule="exact"/>
              <w:ind w:left="150"/>
              <w:rPr>
                <w:sz w:val="20"/>
              </w:rPr>
            </w:pPr>
            <w:r>
              <w:rPr>
                <w:sz w:val="20"/>
              </w:rPr>
              <w:t>Applied</w:t>
            </w:r>
            <w:r>
              <w:rPr>
                <w:spacing w:val="-10"/>
                <w:sz w:val="20"/>
              </w:rPr>
              <w:t> </w:t>
            </w:r>
            <w:r>
              <w:rPr>
                <w:spacing w:val="-2"/>
                <w:sz w:val="20"/>
              </w:rPr>
              <w:t>Research</w:t>
            </w:r>
          </w:p>
        </w:tc>
        <w:tc>
          <w:tcPr>
            <w:tcW w:w="858" w:type="dxa"/>
          </w:tcPr>
          <w:p>
            <w:pPr>
              <w:pStyle w:val="TableParagraph"/>
              <w:spacing w:line="210" w:lineRule="exact"/>
              <w:ind w:left="287"/>
              <w:rPr>
                <w:sz w:val="20"/>
              </w:rPr>
            </w:pPr>
            <w:r>
              <w:rPr>
                <w:w w:val="95"/>
                <w:sz w:val="20"/>
              </w:rPr>
              <w:t>B-</w:t>
            </w:r>
            <w:r>
              <w:rPr>
                <w:spacing w:val="-5"/>
                <w:sz w:val="20"/>
              </w:rPr>
              <w:t>11</w:t>
            </w:r>
          </w:p>
        </w:tc>
        <w:tc>
          <w:tcPr>
            <w:tcW w:w="3491" w:type="dxa"/>
          </w:tcPr>
          <w:p>
            <w:pPr>
              <w:pStyle w:val="TableParagraph"/>
              <w:spacing w:line="210" w:lineRule="exact"/>
              <w:ind w:left="149"/>
              <w:rPr>
                <w:sz w:val="20"/>
              </w:rPr>
            </w:pPr>
            <w:r>
              <w:rPr>
                <w:sz w:val="20"/>
              </w:rPr>
              <w:t>Building</w:t>
            </w:r>
            <w:r>
              <w:rPr>
                <w:spacing w:val="-9"/>
                <w:sz w:val="20"/>
              </w:rPr>
              <w:t> </w:t>
            </w:r>
            <w:r>
              <w:rPr>
                <w:sz w:val="20"/>
              </w:rPr>
              <w:t>Service</w:t>
            </w:r>
            <w:r>
              <w:rPr>
                <w:spacing w:val="-8"/>
                <w:sz w:val="20"/>
              </w:rPr>
              <w:t> </w:t>
            </w:r>
            <w:r>
              <w:rPr>
                <w:spacing w:val="-2"/>
                <w:sz w:val="20"/>
              </w:rPr>
              <w:t>Systems</w:t>
            </w:r>
          </w:p>
        </w:tc>
      </w:tr>
      <w:tr>
        <w:trPr>
          <w:trHeight w:val="230" w:hRule="atLeast"/>
        </w:trPr>
        <w:tc>
          <w:tcPr>
            <w:tcW w:w="620" w:type="dxa"/>
          </w:tcPr>
          <w:p>
            <w:pPr>
              <w:pStyle w:val="TableParagraph"/>
              <w:spacing w:line="210" w:lineRule="exact"/>
              <w:ind w:left="50"/>
              <w:rPr>
                <w:sz w:val="20"/>
              </w:rPr>
            </w:pPr>
            <w:r>
              <w:rPr>
                <w:w w:val="95"/>
                <w:sz w:val="20"/>
              </w:rPr>
              <w:t>B-</w:t>
            </w:r>
            <w:r>
              <w:rPr>
                <w:spacing w:val="-10"/>
                <w:sz w:val="20"/>
              </w:rPr>
              <w:t>1</w:t>
            </w:r>
          </w:p>
        </w:tc>
        <w:tc>
          <w:tcPr>
            <w:tcW w:w="3913" w:type="dxa"/>
          </w:tcPr>
          <w:p>
            <w:pPr>
              <w:pStyle w:val="TableParagraph"/>
              <w:spacing w:line="210" w:lineRule="exact"/>
              <w:ind w:left="150"/>
              <w:rPr>
                <w:sz w:val="20"/>
              </w:rPr>
            </w:pPr>
            <w:r>
              <w:rPr>
                <w:w w:val="95"/>
                <w:sz w:val="20"/>
              </w:rPr>
              <w:t>Pre-</w:t>
            </w:r>
            <w:r>
              <w:rPr>
                <w:spacing w:val="-2"/>
                <w:sz w:val="20"/>
              </w:rPr>
              <w:t>Design</w:t>
            </w:r>
          </w:p>
        </w:tc>
        <w:tc>
          <w:tcPr>
            <w:tcW w:w="858" w:type="dxa"/>
          </w:tcPr>
          <w:p>
            <w:pPr>
              <w:pStyle w:val="TableParagraph"/>
              <w:spacing w:line="210" w:lineRule="exact"/>
              <w:ind w:left="287"/>
              <w:rPr>
                <w:sz w:val="20"/>
              </w:rPr>
            </w:pPr>
            <w:r>
              <w:rPr>
                <w:w w:val="95"/>
                <w:sz w:val="20"/>
              </w:rPr>
              <w:t>B-</w:t>
            </w:r>
            <w:r>
              <w:rPr>
                <w:spacing w:val="-5"/>
                <w:sz w:val="20"/>
              </w:rPr>
              <w:t>12</w:t>
            </w:r>
          </w:p>
        </w:tc>
        <w:tc>
          <w:tcPr>
            <w:tcW w:w="3491" w:type="dxa"/>
          </w:tcPr>
          <w:p>
            <w:pPr>
              <w:pStyle w:val="TableParagraph"/>
              <w:spacing w:line="210" w:lineRule="exact"/>
              <w:ind w:left="149"/>
              <w:rPr>
                <w:sz w:val="20"/>
              </w:rPr>
            </w:pPr>
            <w:r>
              <w:rPr>
                <w:sz w:val="20"/>
              </w:rPr>
              <w:t>Building</w:t>
            </w:r>
            <w:r>
              <w:rPr>
                <w:spacing w:val="-9"/>
                <w:sz w:val="20"/>
              </w:rPr>
              <w:t> </w:t>
            </w:r>
            <w:r>
              <w:rPr>
                <w:sz w:val="20"/>
              </w:rPr>
              <w:t>Materials</w:t>
            </w:r>
            <w:r>
              <w:rPr>
                <w:spacing w:val="-7"/>
                <w:sz w:val="20"/>
              </w:rPr>
              <w:t> </w:t>
            </w:r>
            <w:r>
              <w:rPr>
                <w:sz w:val="20"/>
              </w:rPr>
              <w:t>and</w:t>
            </w:r>
            <w:r>
              <w:rPr>
                <w:spacing w:val="-6"/>
                <w:sz w:val="20"/>
              </w:rPr>
              <w:t> </w:t>
            </w:r>
            <w:r>
              <w:rPr>
                <w:spacing w:val="-2"/>
                <w:sz w:val="20"/>
              </w:rPr>
              <w:t>Assemblies</w:t>
            </w:r>
          </w:p>
        </w:tc>
      </w:tr>
      <w:tr>
        <w:trPr>
          <w:trHeight w:val="229" w:hRule="atLeast"/>
        </w:trPr>
        <w:tc>
          <w:tcPr>
            <w:tcW w:w="620" w:type="dxa"/>
          </w:tcPr>
          <w:p>
            <w:pPr>
              <w:pStyle w:val="TableParagraph"/>
              <w:spacing w:line="209" w:lineRule="exact"/>
              <w:ind w:left="50"/>
              <w:rPr>
                <w:sz w:val="20"/>
              </w:rPr>
            </w:pPr>
            <w:r>
              <w:rPr>
                <w:w w:val="95"/>
                <w:sz w:val="20"/>
              </w:rPr>
              <w:t>B-</w:t>
            </w:r>
            <w:r>
              <w:rPr>
                <w:spacing w:val="-10"/>
                <w:sz w:val="20"/>
              </w:rPr>
              <w:t>2</w:t>
            </w:r>
          </w:p>
        </w:tc>
        <w:tc>
          <w:tcPr>
            <w:tcW w:w="3913" w:type="dxa"/>
          </w:tcPr>
          <w:p>
            <w:pPr>
              <w:pStyle w:val="TableParagraph"/>
              <w:spacing w:line="209" w:lineRule="exact"/>
              <w:ind w:left="149"/>
              <w:rPr>
                <w:sz w:val="20"/>
              </w:rPr>
            </w:pPr>
            <w:r>
              <w:rPr>
                <w:spacing w:val="-2"/>
                <w:sz w:val="20"/>
              </w:rPr>
              <w:t>Accessibility</w:t>
            </w:r>
          </w:p>
        </w:tc>
        <w:tc>
          <w:tcPr>
            <w:tcW w:w="858" w:type="dxa"/>
          </w:tcPr>
          <w:p>
            <w:pPr>
              <w:pStyle w:val="TableParagraph"/>
              <w:spacing w:line="209" w:lineRule="exact"/>
              <w:ind w:left="287"/>
              <w:rPr>
                <w:sz w:val="20"/>
              </w:rPr>
            </w:pPr>
            <w:r>
              <w:rPr>
                <w:w w:val="95"/>
                <w:sz w:val="20"/>
              </w:rPr>
              <w:t>C-</w:t>
            </w:r>
            <w:r>
              <w:rPr>
                <w:spacing w:val="-10"/>
                <w:sz w:val="20"/>
              </w:rPr>
              <w:t>1</w:t>
            </w:r>
          </w:p>
        </w:tc>
        <w:tc>
          <w:tcPr>
            <w:tcW w:w="3491" w:type="dxa"/>
          </w:tcPr>
          <w:p>
            <w:pPr>
              <w:pStyle w:val="TableParagraph"/>
              <w:spacing w:line="209" w:lineRule="exact"/>
              <w:ind w:left="149"/>
              <w:rPr>
                <w:sz w:val="20"/>
              </w:rPr>
            </w:pPr>
            <w:r>
              <w:rPr>
                <w:spacing w:val="-2"/>
                <w:sz w:val="20"/>
              </w:rPr>
              <w:t>Collaboration</w:t>
            </w:r>
          </w:p>
        </w:tc>
      </w:tr>
      <w:tr>
        <w:trPr>
          <w:trHeight w:val="229" w:hRule="atLeast"/>
        </w:trPr>
        <w:tc>
          <w:tcPr>
            <w:tcW w:w="620" w:type="dxa"/>
          </w:tcPr>
          <w:p>
            <w:pPr>
              <w:pStyle w:val="TableParagraph"/>
              <w:spacing w:line="209" w:lineRule="exact"/>
              <w:ind w:left="50"/>
              <w:rPr>
                <w:sz w:val="20"/>
              </w:rPr>
            </w:pPr>
            <w:r>
              <w:rPr>
                <w:w w:val="95"/>
                <w:sz w:val="20"/>
              </w:rPr>
              <w:t>B-</w:t>
            </w:r>
            <w:r>
              <w:rPr>
                <w:spacing w:val="-10"/>
                <w:sz w:val="20"/>
              </w:rPr>
              <w:t>3</w:t>
            </w:r>
          </w:p>
        </w:tc>
        <w:tc>
          <w:tcPr>
            <w:tcW w:w="3913" w:type="dxa"/>
          </w:tcPr>
          <w:p>
            <w:pPr>
              <w:pStyle w:val="TableParagraph"/>
              <w:spacing w:line="209" w:lineRule="exact"/>
              <w:ind w:left="149"/>
              <w:rPr>
                <w:sz w:val="20"/>
              </w:rPr>
            </w:pPr>
            <w:r>
              <w:rPr>
                <w:spacing w:val="-2"/>
                <w:sz w:val="20"/>
              </w:rPr>
              <w:t>Sustainability</w:t>
            </w:r>
          </w:p>
        </w:tc>
        <w:tc>
          <w:tcPr>
            <w:tcW w:w="858" w:type="dxa"/>
          </w:tcPr>
          <w:p>
            <w:pPr>
              <w:pStyle w:val="TableParagraph"/>
              <w:spacing w:line="209" w:lineRule="exact"/>
              <w:ind w:left="287"/>
              <w:rPr>
                <w:sz w:val="20"/>
              </w:rPr>
            </w:pPr>
            <w:r>
              <w:rPr>
                <w:w w:val="95"/>
                <w:sz w:val="20"/>
              </w:rPr>
              <w:t>C-</w:t>
            </w:r>
            <w:r>
              <w:rPr>
                <w:spacing w:val="-10"/>
                <w:sz w:val="20"/>
              </w:rPr>
              <w:t>3</w:t>
            </w:r>
          </w:p>
        </w:tc>
        <w:tc>
          <w:tcPr>
            <w:tcW w:w="3491" w:type="dxa"/>
          </w:tcPr>
          <w:p>
            <w:pPr>
              <w:pStyle w:val="TableParagraph"/>
              <w:spacing w:line="209" w:lineRule="exact"/>
              <w:ind w:left="149"/>
              <w:rPr>
                <w:sz w:val="20"/>
              </w:rPr>
            </w:pPr>
            <w:r>
              <w:rPr>
                <w:sz w:val="20"/>
              </w:rPr>
              <w:t>Client</w:t>
            </w:r>
            <w:r>
              <w:rPr>
                <w:spacing w:val="-5"/>
                <w:sz w:val="20"/>
              </w:rPr>
              <w:t> </w:t>
            </w:r>
            <w:r>
              <w:rPr>
                <w:sz w:val="20"/>
              </w:rPr>
              <w:t>Role</w:t>
            </w:r>
            <w:r>
              <w:rPr>
                <w:spacing w:val="-5"/>
                <w:sz w:val="20"/>
              </w:rPr>
              <w:t> </w:t>
            </w:r>
            <w:r>
              <w:rPr>
                <w:sz w:val="20"/>
              </w:rPr>
              <w:t>in</w:t>
            </w:r>
            <w:r>
              <w:rPr>
                <w:spacing w:val="-4"/>
                <w:sz w:val="20"/>
              </w:rPr>
              <w:t> </w:t>
            </w:r>
            <w:r>
              <w:rPr>
                <w:spacing w:val="-2"/>
                <w:sz w:val="20"/>
              </w:rPr>
              <w:t>Architecture</w:t>
            </w:r>
          </w:p>
        </w:tc>
      </w:tr>
      <w:tr>
        <w:trPr>
          <w:trHeight w:val="230" w:hRule="atLeast"/>
        </w:trPr>
        <w:tc>
          <w:tcPr>
            <w:tcW w:w="620" w:type="dxa"/>
          </w:tcPr>
          <w:p>
            <w:pPr>
              <w:pStyle w:val="TableParagraph"/>
              <w:spacing w:line="210" w:lineRule="exact"/>
              <w:ind w:left="50"/>
              <w:rPr>
                <w:sz w:val="20"/>
              </w:rPr>
            </w:pPr>
            <w:r>
              <w:rPr>
                <w:w w:val="95"/>
                <w:sz w:val="20"/>
              </w:rPr>
              <w:t>B-</w:t>
            </w:r>
            <w:r>
              <w:rPr>
                <w:spacing w:val="-10"/>
                <w:sz w:val="20"/>
              </w:rPr>
              <w:t>4</w:t>
            </w:r>
          </w:p>
        </w:tc>
        <w:tc>
          <w:tcPr>
            <w:tcW w:w="3913" w:type="dxa"/>
          </w:tcPr>
          <w:p>
            <w:pPr>
              <w:pStyle w:val="TableParagraph"/>
              <w:spacing w:line="210" w:lineRule="exact"/>
              <w:ind w:left="149"/>
              <w:rPr>
                <w:sz w:val="20"/>
              </w:rPr>
            </w:pPr>
            <w:r>
              <w:rPr>
                <w:sz w:val="20"/>
              </w:rPr>
              <w:t>Site</w:t>
            </w:r>
            <w:r>
              <w:rPr>
                <w:spacing w:val="-6"/>
                <w:sz w:val="20"/>
              </w:rPr>
              <w:t> </w:t>
            </w:r>
            <w:r>
              <w:rPr>
                <w:spacing w:val="-2"/>
                <w:sz w:val="20"/>
              </w:rPr>
              <w:t>Design</w:t>
            </w:r>
          </w:p>
        </w:tc>
        <w:tc>
          <w:tcPr>
            <w:tcW w:w="858" w:type="dxa"/>
          </w:tcPr>
          <w:p>
            <w:pPr>
              <w:pStyle w:val="TableParagraph"/>
              <w:spacing w:line="210" w:lineRule="exact"/>
              <w:ind w:left="287"/>
              <w:rPr>
                <w:sz w:val="20"/>
              </w:rPr>
            </w:pPr>
            <w:r>
              <w:rPr>
                <w:w w:val="95"/>
                <w:sz w:val="20"/>
              </w:rPr>
              <w:t>C-</w:t>
            </w:r>
            <w:r>
              <w:rPr>
                <w:spacing w:val="-10"/>
                <w:sz w:val="20"/>
              </w:rPr>
              <w:t>6</w:t>
            </w:r>
          </w:p>
        </w:tc>
        <w:tc>
          <w:tcPr>
            <w:tcW w:w="3491" w:type="dxa"/>
          </w:tcPr>
          <w:p>
            <w:pPr>
              <w:pStyle w:val="TableParagraph"/>
              <w:spacing w:line="210" w:lineRule="exact"/>
              <w:ind w:left="149"/>
              <w:rPr>
                <w:sz w:val="20"/>
              </w:rPr>
            </w:pPr>
            <w:r>
              <w:rPr>
                <w:spacing w:val="-2"/>
                <w:sz w:val="20"/>
              </w:rPr>
              <w:t>Leadership</w:t>
            </w:r>
          </w:p>
        </w:tc>
      </w:tr>
      <w:tr>
        <w:trPr>
          <w:trHeight w:val="226" w:hRule="atLeast"/>
        </w:trPr>
        <w:tc>
          <w:tcPr>
            <w:tcW w:w="620" w:type="dxa"/>
          </w:tcPr>
          <w:p>
            <w:pPr>
              <w:pStyle w:val="TableParagraph"/>
              <w:spacing w:line="207" w:lineRule="exact"/>
              <w:ind w:left="50"/>
              <w:rPr>
                <w:sz w:val="20"/>
              </w:rPr>
            </w:pPr>
            <w:r>
              <w:rPr>
                <w:w w:val="95"/>
                <w:sz w:val="20"/>
              </w:rPr>
              <w:t>B-</w:t>
            </w:r>
            <w:r>
              <w:rPr>
                <w:spacing w:val="-10"/>
                <w:sz w:val="20"/>
              </w:rPr>
              <w:t>5</w:t>
            </w:r>
          </w:p>
        </w:tc>
        <w:tc>
          <w:tcPr>
            <w:tcW w:w="3913" w:type="dxa"/>
          </w:tcPr>
          <w:p>
            <w:pPr>
              <w:pStyle w:val="TableParagraph"/>
              <w:spacing w:line="207" w:lineRule="exact"/>
              <w:ind w:left="149"/>
              <w:rPr>
                <w:sz w:val="20"/>
              </w:rPr>
            </w:pPr>
            <w:r>
              <w:rPr>
                <w:sz w:val="20"/>
              </w:rPr>
              <w:t>Life</w:t>
            </w:r>
            <w:r>
              <w:rPr>
                <w:spacing w:val="-6"/>
                <w:sz w:val="20"/>
              </w:rPr>
              <w:t> </w:t>
            </w:r>
            <w:r>
              <w:rPr>
                <w:spacing w:val="-2"/>
                <w:sz w:val="20"/>
              </w:rPr>
              <w:t>Safety</w:t>
            </w:r>
          </w:p>
        </w:tc>
        <w:tc>
          <w:tcPr>
            <w:tcW w:w="858" w:type="dxa"/>
          </w:tcPr>
          <w:p>
            <w:pPr>
              <w:pStyle w:val="TableParagraph"/>
              <w:spacing w:line="207" w:lineRule="exact"/>
              <w:ind w:left="287"/>
              <w:rPr>
                <w:sz w:val="20"/>
              </w:rPr>
            </w:pPr>
            <w:r>
              <w:rPr>
                <w:w w:val="95"/>
                <w:sz w:val="20"/>
              </w:rPr>
              <w:t>C-</w:t>
            </w:r>
            <w:r>
              <w:rPr>
                <w:spacing w:val="-10"/>
                <w:sz w:val="20"/>
              </w:rPr>
              <w:t>9</w:t>
            </w:r>
          </w:p>
        </w:tc>
        <w:tc>
          <w:tcPr>
            <w:tcW w:w="3491" w:type="dxa"/>
          </w:tcPr>
          <w:p>
            <w:pPr>
              <w:pStyle w:val="TableParagraph"/>
              <w:spacing w:line="207" w:lineRule="exact"/>
              <w:ind w:left="149"/>
              <w:rPr>
                <w:sz w:val="20"/>
              </w:rPr>
            </w:pPr>
            <w:r>
              <w:rPr>
                <w:sz w:val="20"/>
              </w:rPr>
              <w:t>Community</w:t>
            </w:r>
            <w:r>
              <w:rPr>
                <w:spacing w:val="-9"/>
                <w:sz w:val="20"/>
              </w:rPr>
              <w:t> </w:t>
            </w:r>
            <w:r>
              <w:rPr>
                <w:sz w:val="20"/>
              </w:rPr>
              <w:t>and</w:t>
            </w:r>
            <w:r>
              <w:rPr>
                <w:spacing w:val="-6"/>
                <w:sz w:val="20"/>
              </w:rPr>
              <w:t> </w:t>
            </w:r>
            <w:r>
              <w:rPr>
                <w:sz w:val="20"/>
              </w:rPr>
              <w:t>Social</w:t>
            </w:r>
            <w:r>
              <w:rPr>
                <w:spacing w:val="-6"/>
                <w:sz w:val="20"/>
              </w:rPr>
              <w:t> </w:t>
            </w:r>
            <w:r>
              <w:rPr>
                <w:spacing w:val="-2"/>
                <w:sz w:val="20"/>
              </w:rPr>
              <w:t>Responsibility</w:t>
            </w:r>
          </w:p>
        </w:tc>
      </w:tr>
    </w:tbl>
    <w:p>
      <w:pPr>
        <w:spacing w:before="123"/>
        <w:ind w:left="437" w:right="0" w:firstLine="0"/>
        <w:jc w:val="left"/>
        <w:rPr>
          <w:b/>
          <w:sz w:val="20"/>
        </w:rPr>
      </w:pPr>
      <w:r>
        <w:rPr>
          <w:b/>
          <w:sz w:val="20"/>
        </w:rPr>
        <w:t>Topical</w:t>
      </w:r>
      <w:r>
        <w:rPr>
          <w:b/>
          <w:spacing w:val="-10"/>
          <w:sz w:val="20"/>
        </w:rPr>
        <w:t> </w:t>
      </w:r>
      <w:r>
        <w:rPr>
          <w:b/>
          <w:spacing w:val="-2"/>
          <w:sz w:val="20"/>
        </w:rPr>
        <w:t>Outline</w:t>
      </w:r>
    </w:p>
    <w:p>
      <w:pPr>
        <w:pStyle w:val="BodyText"/>
        <w:spacing w:before="123"/>
        <w:ind w:left="1157" w:right="642"/>
      </w:pPr>
      <w:r>
        <w:rPr/>
        <w:t>Argument</w:t>
      </w:r>
      <w:r>
        <w:rPr>
          <w:spacing w:val="-5"/>
        </w:rPr>
        <w:t> </w:t>
      </w:r>
      <w:r>
        <w:rPr/>
        <w:t>exploration</w:t>
      </w:r>
      <w:r>
        <w:rPr>
          <w:spacing w:val="-3"/>
        </w:rPr>
        <w:t> </w:t>
      </w:r>
      <w:r>
        <w:rPr/>
        <w:t>and</w:t>
      </w:r>
      <w:r>
        <w:rPr>
          <w:spacing w:val="-1"/>
        </w:rPr>
        <w:t> </w:t>
      </w:r>
      <w:r>
        <w:rPr/>
        <w:t>definition</w:t>
      </w:r>
      <w:r>
        <w:rPr>
          <w:spacing w:val="-5"/>
        </w:rPr>
        <w:t> </w:t>
      </w:r>
      <w:r>
        <w:rPr/>
        <w:t>via</w:t>
      </w:r>
      <w:r>
        <w:rPr>
          <w:spacing w:val="-5"/>
        </w:rPr>
        <w:t> </w:t>
      </w:r>
      <w:r>
        <w:rPr/>
        <w:t>case</w:t>
      </w:r>
      <w:r>
        <w:rPr>
          <w:spacing w:val="-3"/>
        </w:rPr>
        <w:t> </w:t>
      </w:r>
      <w:r>
        <w:rPr/>
        <w:t>studies,</w:t>
      </w:r>
      <w:r>
        <w:rPr>
          <w:spacing w:val="-1"/>
        </w:rPr>
        <w:t> </w:t>
      </w:r>
      <w:r>
        <w:rPr/>
        <w:t>writing,</w:t>
      </w:r>
      <w:r>
        <w:rPr>
          <w:spacing w:val="-5"/>
        </w:rPr>
        <w:t> </w:t>
      </w:r>
      <w:r>
        <w:rPr/>
        <w:t>and</w:t>
      </w:r>
      <w:r>
        <w:rPr>
          <w:spacing w:val="-3"/>
        </w:rPr>
        <w:t> </w:t>
      </w:r>
      <w:r>
        <w:rPr/>
        <w:t>visual</w:t>
      </w:r>
      <w:r>
        <w:rPr>
          <w:spacing w:val="-4"/>
        </w:rPr>
        <w:t> </w:t>
      </w:r>
      <w:r>
        <w:rPr/>
        <w:t>diagramming</w:t>
      </w:r>
      <w:r>
        <w:rPr>
          <w:spacing w:val="-5"/>
        </w:rPr>
        <w:t> </w:t>
      </w:r>
      <w:r>
        <w:rPr/>
        <w:t>(70%) Research plan and test via writing and charrette (30%)</w:t>
      </w:r>
    </w:p>
    <w:p>
      <w:pPr>
        <w:spacing w:before="116"/>
        <w:ind w:left="437" w:right="0" w:firstLine="0"/>
        <w:jc w:val="left"/>
        <w:rPr>
          <w:b/>
          <w:sz w:val="20"/>
        </w:rPr>
      </w:pPr>
      <w:r>
        <w:rPr>
          <w:b/>
          <w:spacing w:val="-2"/>
          <w:sz w:val="20"/>
        </w:rPr>
        <w:t>Prerequisites:</w:t>
      </w:r>
    </w:p>
    <w:p>
      <w:pPr>
        <w:pStyle w:val="BodyText"/>
        <w:spacing w:before="123"/>
        <w:ind w:left="1157"/>
      </w:pPr>
      <w:r>
        <w:rPr/>
        <w:t>ARC</w:t>
      </w:r>
      <w:r>
        <w:rPr>
          <w:spacing w:val="-5"/>
        </w:rPr>
        <w:t> </w:t>
      </w:r>
      <w:r>
        <w:rPr/>
        <w:t>101,</w:t>
      </w:r>
      <w:r>
        <w:rPr>
          <w:spacing w:val="-3"/>
        </w:rPr>
        <w:t> </w:t>
      </w:r>
      <w:r>
        <w:rPr/>
        <w:t>102,</w:t>
      </w:r>
      <w:r>
        <w:rPr>
          <w:spacing w:val="-5"/>
        </w:rPr>
        <w:t> </w:t>
      </w:r>
      <w:r>
        <w:rPr/>
        <w:t>200,</w:t>
      </w:r>
      <w:r>
        <w:rPr>
          <w:spacing w:val="-3"/>
        </w:rPr>
        <w:t> </w:t>
      </w:r>
      <w:r>
        <w:rPr/>
        <w:t>201,</w:t>
      </w:r>
      <w:r>
        <w:rPr>
          <w:spacing w:val="-3"/>
        </w:rPr>
        <w:t> </w:t>
      </w:r>
      <w:r>
        <w:rPr/>
        <w:t>202,</w:t>
      </w:r>
      <w:r>
        <w:rPr>
          <w:spacing w:val="-5"/>
        </w:rPr>
        <w:t> </w:t>
      </w:r>
      <w:r>
        <w:rPr/>
        <w:t>203,</w:t>
      </w:r>
      <w:r>
        <w:rPr>
          <w:spacing w:val="-3"/>
        </w:rPr>
        <w:t> </w:t>
      </w:r>
      <w:r>
        <w:rPr/>
        <w:t>204,</w:t>
      </w:r>
      <w:r>
        <w:rPr>
          <w:spacing w:val="-5"/>
        </w:rPr>
        <w:t> </w:t>
      </w:r>
      <w:r>
        <w:rPr/>
        <w:t>207,</w:t>
      </w:r>
      <w:r>
        <w:rPr>
          <w:spacing w:val="-5"/>
        </w:rPr>
        <w:t> </w:t>
      </w:r>
      <w:r>
        <w:rPr/>
        <w:t>208,</w:t>
      </w:r>
      <w:r>
        <w:rPr>
          <w:spacing w:val="-3"/>
        </w:rPr>
        <w:t> </w:t>
      </w:r>
      <w:r>
        <w:rPr/>
        <w:t>213,</w:t>
      </w:r>
      <w:r>
        <w:rPr>
          <w:spacing w:val="-5"/>
        </w:rPr>
        <w:t> </w:t>
      </w:r>
      <w:r>
        <w:rPr/>
        <w:t>303,</w:t>
      </w:r>
      <w:r>
        <w:rPr>
          <w:spacing w:val="-5"/>
        </w:rPr>
        <w:t> </w:t>
      </w:r>
      <w:r>
        <w:rPr/>
        <w:t>304,</w:t>
      </w:r>
      <w:r>
        <w:rPr>
          <w:spacing w:val="-5"/>
        </w:rPr>
        <w:t> </w:t>
      </w:r>
      <w:r>
        <w:rPr/>
        <w:t>305,</w:t>
      </w:r>
      <w:r>
        <w:rPr>
          <w:spacing w:val="-3"/>
        </w:rPr>
        <w:t> </w:t>
      </w:r>
      <w:r>
        <w:rPr/>
        <w:t>306,</w:t>
      </w:r>
      <w:r>
        <w:rPr>
          <w:spacing w:val="-5"/>
        </w:rPr>
        <w:t> </w:t>
      </w:r>
      <w:r>
        <w:rPr/>
        <w:t>309</w:t>
      </w:r>
      <w:r>
        <w:rPr>
          <w:spacing w:val="-5"/>
        </w:rPr>
        <w:t> </w:t>
      </w:r>
      <w:r>
        <w:rPr/>
        <w:t>and</w:t>
      </w:r>
      <w:r>
        <w:rPr>
          <w:spacing w:val="-5"/>
        </w:rPr>
        <w:t> </w:t>
      </w:r>
      <w:r>
        <w:rPr/>
        <w:t>317;</w:t>
      </w:r>
      <w:r>
        <w:rPr>
          <w:spacing w:val="-3"/>
        </w:rPr>
        <w:t> </w:t>
      </w:r>
      <w:r>
        <w:rPr>
          <w:spacing w:val="-5"/>
        </w:rPr>
        <w:t>MAT</w:t>
      </w:r>
    </w:p>
    <w:p>
      <w:pPr>
        <w:pStyle w:val="BodyText"/>
        <w:ind w:left="1157" w:right="642"/>
      </w:pPr>
      <w:r>
        <w:rPr/>
        <w:t>118;</w:t>
      </w:r>
      <w:r>
        <w:rPr>
          <w:spacing w:val="-2"/>
        </w:rPr>
        <w:t> </w:t>
      </w:r>
      <w:r>
        <w:rPr/>
        <w:t>PHY</w:t>
      </w:r>
      <w:r>
        <w:rPr>
          <w:spacing w:val="-5"/>
        </w:rPr>
        <w:t> </w:t>
      </w:r>
      <w:r>
        <w:rPr/>
        <w:t>201.</w:t>
      </w:r>
      <w:r>
        <w:rPr>
          <w:spacing w:val="-4"/>
        </w:rPr>
        <w:t> </w:t>
      </w:r>
      <w:r>
        <w:rPr/>
        <w:t>This</w:t>
      </w:r>
      <w:r>
        <w:rPr>
          <w:spacing w:val="-3"/>
        </w:rPr>
        <w:t> </w:t>
      </w:r>
      <w:r>
        <w:rPr/>
        <w:t>studio, ARC</w:t>
      </w:r>
      <w:r>
        <w:rPr>
          <w:spacing w:val="-4"/>
        </w:rPr>
        <w:t> </w:t>
      </w:r>
      <w:r>
        <w:rPr/>
        <w:t>405,</w:t>
      </w:r>
      <w:r>
        <w:rPr>
          <w:spacing w:val="-2"/>
        </w:rPr>
        <w:t> </w:t>
      </w:r>
      <w:r>
        <w:rPr/>
        <w:t>is</w:t>
      </w:r>
      <w:r>
        <w:rPr>
          <w:spacing w:val="-3"/>
        </w:rPr>
        <w:t> </w:t>
      </w:r>
      <w:r>
        <w:rPr/>
        <w:t>a</w:t>
      </w:r>
      <w:r>
        <w:rPr>
          <w:spacing w:val="-2"/>
        </w:rPr>
        <w:t> </w:t>
      </w:r>
      <w:r>
        <w:rPr/>
        <w:t>prerequisite</w:t>
      </w:r>
      <w:r>
        <w:rPr>
          <w:spacing w:val="-4"/>
        </w:rPr>
        <w:t> </w:t>
      </w:r>
      <w:r>
        <w:rPr/>
        <w:t>for</w:t>
      </w:r>
      <w:r>
        <w:rPr>
          <w:spacing w:val="-3"/>
        </w:rPr>
        <w:t> </w:t>
      </w:r>
      <w:r>
        <w:rPr/>
        <w:t>ARC</w:t>
      </w:r>
      <w:r>
        <w:rPr>
          <w:spacing w:val="-1"/>
        </w:rPr>
        <w:t> </w:t>
      </w:r>
      <w:r>
        <w:rPr/>
        <w:t>406.</w:t>
      </w:r>
      <w:r>
        <w:rPr>
          <w:spacing w:val="-4"/>
        </w:rPr>
        <w:t> </w:t>
      </w:r>
      <w:r>
        <w:rPr/>
        <w:t>The</w:t>
      </w:r>
      <w:r>
        <w:rPr>
          <w:spacing w:val="-4"/>
        </w:rPr>
        <w:t> </w:t>
      </w:r>
      <w:r>
        <w:rPr/>
        <w:t>university</w:t>
      </w:r>
      <w:r>
        <w:rPr>
          <w:spacing w:val="-5"/>
        </w:rPr>
        <w:t> </w:t>
      </w:r>
      <w:r>
        <w:rPr/>
        <w:t>catalog</w:t>
      </w:r>
      <w:r>
        <w:rPr>
          <w:spacing w:val="-4"/>
        </w:rPr>
        <w:t> </w:t>
      </w:r>
      <w:r>
        <w:rPr/>
        <w:t>states: “Architecture students must have completed all studio and related prerequisites before being admitted to the fourth-year design studio at Hampton University. Students admitted to the fourth- year design studio must have earned a 2.0 GPA in the major courses</w:t>
      </w:r>
    </w:p>
    <w:p>
      <w:pPr>
        <w:spacing w:before="118"/>
        <w:ind w:left="437" w:right="0" w:firstLine="0"/>
        <w:jc w:val="left"/>
        <w:rPr>
          <w:b/>
          <w:sz w:val="20"/>
        </w:rPr>
      </w:pPr>
      <w:r>
        <w:rPr>
          <w:b/>
          <w:w w:val="95"/>
          <w:sz w:val="20"/>
        </w:rPr>
        <w:t>Textbooks/Learning</w:t>
      </w:r>
      <w:r>
        <w:rPr>
          <w:b/>
          <w:spacing w:val="70"/>
          <w:sz w:val="20"/>
        </w:rPr>
        <w:t> </w:t>
      </w:r>
      <w:r>
        <w:rPr>
          <w:b/>
          <w:spacing w:val="-2"/>
          <w:sz w:val="20"/>
        </w:rPr>
        <w:t>Resources:</w:t>
      </w:r>
    </w:p>
    <w:p>
      <w:pPr>
        <w:pStyle w:val="BodyText"/>
        <w:spacing w:before="122"/>
        <w:ind w:left="1157" w:right="1348"/>
        <w:jc w:val="both"/>
      </w:pPr>
      <w:r>
        <w:rPr/>
        <w:t>Students</w:t>
      </w:r>
      <w:r>
        <w:rPr>
          <w:spacing w:val="-2"/>
        </w:rPr>
        <w:t> </w:t>
      </w:r>
      <w:r>
        <w:rPr/>
        <w:t>are</w:t>
      </w:r>
      <w:r>
        <w:rPr>
          <w:spacing w:val="-3"/>
        </w:rPr>
        <w:t> </w:t>
      </w:r>
      <w:r>
        <w:rPr/>
        <w:t>required</w:t>
      </w:r>
      <w:r>
        <w:rPr>
          <w:spacing w:val="-1"/>
        </w:rPr>
        <w:t> </w:t>
      </w:r>
      <w:r>
        <w:rPr/>
        <w:t>to</w:t>
      </w:r>
      <w:r>
        <w:rPr>
          <w:spacing w:val="-1"/>
        </w:rPr>
        <w:t> </w:t>
      </w:r>
      <w:r>
        <w:rPr/>
        <w:t>obtain</w:t>
      </w:r>
      <w:r>
        <w:rPr>
          <w:spacing w:val="-1"/>
        </w:rPr>
        <w:t> </w:t>
      </w:r>
      <w:r>
        <w:rPr/>
        <w:t>a</w:t>
      </w:r>
      <w:r>
        <w:rPr>
          <w:spacing w:val="-3"/>
        </w:rPr>
        <w:t> </w:t>
      </w:r>
      <w:r>
        <w:rPr/>
        <w:t>copy</w:t>
      </w:r>
      <w:r>
        <w:rPr>
          <w:spacing w:val="-6"/>
        </w:rPr>
        <w:t> </w:t>
      </w:r>
      <w:r>
        <w:rPr/>
        <w:t>(digital</w:t>
      </w:r>
      <w:r>
        <w:rPr>
          <w:spacing w:val="-4"/>
        </w:rPr>
        <w:t> </w:t>
      </w:r>
      <w:r>
        <w:rPr/>
        <w:t>or</w:t>
      </w:r>
      <w:r>
        <w:rPr>
          <w:spacing w:val="-2"/>
        </w:rPr>
        <w:t> </w:t>
      </w:r>
      <w:r>
        <w:rPr/>
        <w:t>hardcopy) of</w:t>
      </w:r>
      <w:r>
        <w:rPr>
          <w:spacing w:val="-1"/>
        </w:rPr>
        <w:t> </w:t>
      </w:r>
      <w:r>
        <w:rPr/>
        <w:t>the</w:t>
      </w:r>
      <w:r>
        <w:rPr>
          <w:spacing w:val="-3"/>
        </w:rPr>
        <w:t> </w:t>
      </w:r>
      <w:r>
        <w:rPr/>
        <w:t>ICC/ANSI</w:t>
      </w:r>
      <w:r>
        <w:rPr>
          <w:spacing w:val="-1"/>
        </w:rPr>
        <w:t> </w:t>
      </w:r>
      <w:r>
        <w:rPr/>
        <w:t>A117.1-2003 Standard</w:t>
      </w:r>
      <w:r>
        <w:rPr>
          <w:spacing w:val="-3"/>
        </w:rPr>
        <w:t> </w:t>
      </w:r>
      <w:r>
        <w:rPr/>
        <w:t>on</w:t>
      </w:r>
      <w:r>
        <w:rPr>
          <w:spacing w:val="-3"/>
        </w:rPr>
        <w:t> </w:t>
      </w:r>
      <w:r>
        <w:rPr/>
        <w:t>Accessible</w:t>
      </w:r>
      <w:r>
        <w:rPr>
          <w:spacing w:val="-5"/>
        </w:rPr>
        <w:t> </w:t>
      </w:r>
      <w:r>
        <w:rPr/>
        <w:t>and</w:t>
      </w:r>
      <w:r>
        <w:rPr>
          <w:spacing w:val="-5"/>
        </w:rPr>
        <w:t> </w:t>
      </w:r>
      <w:r>
        <w:rPr/>
        <w:t>Usable</w:t>
      </w:r>
      <w:r>
        <w:rPr>
          <w:spacing w:val="-3"/>
        </w:rPr>
        <w:t> </w:t>
      </w:r>
      <w:r>
        <w:rPr/>
        <w:t>Buildings</w:t>
      </w:r>
      <w:r>
        <w:rPr>
          <w:spacing w:val="-4"/>
        </w:rPr>
        <w:t> </w:t>
      </w:r>
      <w:r>
        <w:rPr/>
        <w:t>and</w:t>
      </w:r>
      <w:r>
        <w:rPr>
          <w:spacing w:val="-3"/>
        </w:rPr>
        <w:t> </w:t>
      </w:r>
      <w:r>
        <w:rPr/>
        <w:t>Facilities</w:t>
      </w:r>
      <w:r>
        <w:rPr>
          <w:spacing w:val="-4"/>
        </w:rPr>
        <w:t> </w:t>
      </w:r>
      <w:r>
        <w:rPr/>
        <w:t>codebook</w:t>
      </w:r>
      <w:r>
        <w:rPr>
          <w:spacing w:val="-1"/>
        </w:rPr>
        <w:t> </w:t>
      </w:r>
      <w:r>
        <w:rPr/>
        <w:t>for</w:t>
      </w:r>
      <w:r>
        <w:rPr>
          <w:spacing w:val="-4"/>
        </w:rPr>
        <w:t> </w:t>
      </w:r>
      <w:r>
        <w:rPr/>
        <w:t>this</w:t>
      </w:r>
      <w:r>
        <w:rPr>
          <w:spacing w:val="-4"/>
        </w:rPr>
        <w:t> </w:t>
      </w:r>
      <w:r>
        <w:rPr/>
        <w:t>course.</w:t>
      </w:r>
      <w:r>
        <w:rPr>
          <w:spacing w:val="-5"/>
        </w:rPr>
        <w:t> </w:t>
      </w:r>
      <w:r>
        <w:rPr/>
        <w:t>It</w:t>
      </w:r>
      <w:r>
        <w:rPr>
          <w:spacing w:val="-5"/>
        </w:rPr>
        <w:t> </w:t>
      </w:r>
      <w:r>
        <w:rPr/>
        <w:t>is available for purchase (for approx. $40):</w:t>
      </w:r>
    </w:p>
    <w:p>
      <w:pPr>
        <w:pStyle w:val="BodyText"/>
        <w:spacing w:before="2"/>
        <w:ind w:left="1156" w:right="744"/>
      </w:pPr>
      <w:hyperlink r:id="rId223">
        <w:r>
          <w:rPr>
            <w:spacing w:val="-2"/>
          </w:rPr>
          <w:t>http://www.constructionbook.com/icc-ansi-a1171-2003-standard-on-accessible-usable-buildings-</w:t>
        </w:r>
      </w:hyperlink>
      <w:r>
        <w:rPr>
          <w:spacing w:val="-2"/>
        </w:rPr>
        <w:t> facilities-9033s03/ansi/</w:t>
      </w:r>
    </w:p>
    <w:p>
      <w:pPr>
        <w:spacing w:before="116"/>
        <w:ind w:left="436" w:right="0" w:firstLine="0"/>
        <w:jc w:val="left"/>
        <w:rPr>
          <w:b/>
          <w:sz w:val="20"/>
        </w:rPr>
      </w:pPr>
      <w:r>
        <w:rPr>
          <w:b/>
          <w:sz w:val="20"/>
        </w:rPr>
        <w:t>Offered</w:t>
      </w:r>
      <w:r>
        <w:rPr>
          <w:b/>
          <w:spacing w:val="-9"/>
          <w:sz w:val="20"/>
        </w:rPr>
        <w:t> </w:t>
      </w:r>
      <w:r>
        <w:rPr>
          <w:b/>
          <w:sz w:val="20"/>
        </w:rPr>
        <w:t>(semester</w:t>
      </w:r>
      <w:r>
        <w:rPr>
          <w:b/>
          <w:spacing w:val="-7"/>
          <w:sz w:val="20"/>
        </w:rPr>
        <w:t> </w:t>
      </w:r>
      <w:r>
        <w:rPr>
          <w:b/>
          <w:sz w:val="20"/>
        </w:rPr>
        <w:t>and</w:t>
      </w:r>
      <w:r>
        <w:rPr>
          <w:b/>
          <w:spacing w:val="-7"/>
          <w:sz w:val="20"/>
        </w:rPr>
        <w:t> </w:t>
      </w:r>
      <w:r>
        <w:rPr>
          <w:b/>
          <w:spacing w:val="-2"/>
          <w:sz w:val="20"/>
        </w:rPr>
        <w:t>year):</w:t>
      </w:r>
    </w:p>
    <w:p>
      <w:pPr>
        <w:pStyle w:val="BodyText"/>
        <w:spacing w:before="123"/>
        <w:ind w:left="1156"/>
      </w:pPr>
      <w:r>
        <w:rPr/>
        <w:t>Fall</w:t>
      </w:r>
      <w:r>
        <w:rPr>
          <w:spacing w:val="-7"/>
        </w:rPr>
        <w:t> </w:t>
      </w:r>
      <w:r>
        <w:rPr/>
        <w:t>only;</w:t>
      </w:r>
      <w:r>
        <w:rPr>
          <w:spacing w:val="-5"/>
        </w:rPr>
        <w:t> </w:t>
      </w:r>
      <w:r>
        <w:rPr>
          <w:spacing w:val="-2"/>
        </w:rPr>
        <w:t>annually</w:t>
      </w:r>
    </w:p>
    <w:p>
      <w:pPr>
        <w:spacing w:before="118"/>
        <w:ind w:left="436" w:right="0" w:firstLine="0"/>
        <w:jc w:val="left"/>
        <w:rPr>
          <w:b/>
          <w:sz w:val="20"/>
        </w:rPr>
      </w:pPr>
      <w:r>
        <w:rPr>
          <w:b/>
          <w:sz w:val="20"/>
        </w:rPr>
        <w:t>Faculty</w:t>
      </w:r>
      <w:r>
        <w:rPr>
          <w:b/>
          <w:spacing w:val="-9"/>
          <w:sz w:val="20"/>
        </w:rPr>
        <w:t> </w:t>
      </w:r>
      <w:r>
        <w:rPr>
          <w:b/>
          <w:sz w:val="20"/>
        </w:rPr>
        <w:t>assigned</w:t>
      </w:r>
      <w:r>
        <w:rPr>
          <w:b/>
          <w:spacing w:val="-6"/>
          <w:sz w:val="20"/>
        </w:rPr>
        <w:t> </w:t>
      </w:r>
      <w:r>
        <w:rPr>
          <w:b/>
          <w:sz w:val="20"/>
        </w:rPr>
        <w:t>(list</w:t>
      </w:r>
      <w:r>
        <w:rPr>
          <w:b/>
          <w:spacing w:val="-5"/>
          <w:sz w:val="20"/>
        </w:rPr>
        <w:t> </w:t>
      </w:r>
      <w:r>
        <w:rPr>
          <w:b/>
          <w:sz w:val="20"/>
        </w:rPr>
        <w:t>all</w:t>
      </w:r>
      <w:r>
        <w:rPr>
          <w:b/>
          <w:spacing w:val="-7"/>
          <w:sz w:val="20"/>
        </w:rPr>
        <w:t> </w:t>
      </w:r>
      <w:r>
        <w:rPr>
          <w:b/>
          <w:sz w:val="20"/>
        </w:rPr>
        <w:t>faculty</w:t>
      </w:r>
      <w:r>
        <w:rPr>
          <w:b/>
          <w:spacing w:val="-9"/>
          <w:sz w:val="20"/>
        </w:rPr>
        <w:t> </w:t>
      </w:r>
      <w:r>
        <w:rPr>
          <w:b/>
          <w:sz w:val="20"/>
        </w:rPr>
        <w:t>assigned</w:t>
      </w:r>
      <w:r>
        <w:rPr>
          <w:b/>
          <w:spacing w:val="-5"/>
          <w:sz w:val="20"/>
        </w:rPr>
        <w:t> </w:t>
      </w:r>
      <w:r>
        <w:rPr>
          <w:b/>
          <w:sz w:val="20"/>
        </w:rPr>
        <w:t>during</w:t>
      </w:r>
      <w:r>
        <w:rPr>
          <w:b/>
          <w:spacing w:val="-5"/>
          <w:sz w:val="20"/>
        </w:rPr>
        <w:t> </w:t>
      </w:r>
      <w:r>
        <w:rPr>
          <w:b/>
          <w:sz w:val="20"/>
        </w:rPr>
        <w:t>the</w:t>
      </w:r>
      <w:r>
        <w:rPr>
          <w:b/>
          <w:spacing w:val="-7"/>
          <w:sz w:val="20"/>
        </w:rPr>
        <w:t> </w:t>
      </w:r>
      <w:r>
        <w:rPr>
          <w:b/>
          <w:sz w:val="20"/>
        </w:rPr>
        <w:t>two</w:t>
      </w:r>
      <w:r>
        <w:rPr>
          <w:b/>
          <w:spacing w:val="-5"/>
          <w:sz w:val="20"/>
        </w:rPr>
        <w:t> </w:t>
      </w:r>
      <w:r>
        <w:rPr>
          <w:b/>
          <w:sz w:val="20"/>
        </w:rPr>
        <w:t>academic</w:t>
      </w:r>
      <w:r>
        <w:rPr>
          <w:b/>
          <w:spacing w:val="-4"/>
          <w:sz w:val="20"/>
        </w:rPr>
        <w:t> </w:t>
      </w:r>
      <w:r>
        <w:rPr>
          <w:b/>
          <w:sz w:val="20"/>
        </w:rPr>
        <w:t>years</w:t>
      </w:r>
      <w:r>
        <w:rPr>
          <w:b/>
          <w:spacing w:val="-7"/>
          <w:sz w:val="20"/>
        </w:rPr>
        <w:t> </w:t>
      </w:r>
      <w:r>
        <w:rPr>
          <w:b/>
          <w:sz w:val="20"/>
        </w:rPr>
        <w:t>prior</w:t>
      </w:r>
      <w:r>
        <w:rPr>
          <w:b/>
          <w:spacing w:val="-7"/>
          <w:sz w:val="20"/>
        </w:rPr>
        <w:t> </w:t>
      </w:r>
      <w:r>
        <w:rPr>
          <w:b/>
          <w:sz w:val="20"/>
        </w:rPr>
        <w:t>to</w:t>
      </w:r>
      <w:r>
        <w:rPr>
          <w:b/>
          <w:spacing w:val="-5"/>
          <w:sz w:val="20"/>
        </w:rPr>
        <w:t> </w:t>
      </w:r>
      <w:r>
        <w:rPr>
          <w:b/>
          <w:sz w:val="20"/>
        </w:rPr>
        <w:t>the</w:t>
      </w:r>
      <w:r>
        <w:rPr>
          <w:b/>
          <w:spacing w:val="-7"/>
          <w:sz w:val="20"/>
        </w:rPr>
        <w:t> </w:t>
      </w:r>
      <w:r>
        <w:rPr>
          <w:b/>
          <w:spacing w:val="-2"/>
          <w:sz w:val="20"/>
        </w:rPr>
        <w:t>visit):</w:t>
      </w:r>
    </w:p>
    <w:p>
      <w:pPr>
        <w:pStyle w:val="BodyText"/>
        <w:tabs>
          <w:tab w:pos="1876" w:val="left" w:leader="none"/>
        </w:tabs>
        <w:spacing w:before="123"/>
        <w:ind w:left="1157" w:right="5582" w:hanging="1"/>
      </w:pPr>
      <w:r>
        <w:rPr>
          <w:spacing w:val="-4"/>
        </w:rPr>
        <w:t>2012</w:t>
      </w:r>
      <w:r>
        <w:rPr/>
        <w:tab/>
        <w:t>Easter,</w:t>
      </w:r>
      <w:r>
        <w:rPr>
          <w:spacing w:val="-2"/>
        </w:rPr>
        <w:t> </w:t>
      </w:r>
      <w:r>
        <w:rPr/>
        <w:t>(F/T),</w:t>
      </w:r>
      <w:r>
        <w:rPr>
          <w:spacing w:val="-2"/>
        </w:rPr>
        <w:t> </w:t>
      </w:r>
      <w:r>
        <w:rPr/>
        <w:t>Battaglia, (Adjunct) </w:t>
      </w:r>
      <w:r>
        <w:rPr>
          <w:spacing w:val="-4"/>
        </w:rPr>
        <w:t>2013</w:t>
      </w:r>
      <w:r>
        <w:rPr/>
        <w:tab/>
        <w:t>Easter,</w:t>
      </w:r>
      <w:r>
        <w:rPr>
          <w:spacing w:val="-9"/>
        </w:rPr>
        <w:t> </w:t>
      </w:r>
      <w:r>
        <w:rPr/>
        <w:t>(F/T),</w:t>
      </w:r>
      <w:r>
        <w:rPr>
          <w:spacing w:val="-7"/>
        </w:rPr>
        <w:t> </w:t>
      </w:r>
      <w:r>
        <w:rPr/>
        <w:t>D</w:t>
      </w:r>
      <w:r>
        <w:rPr>
          <w:spacing w:val="-7"/>
        </w:rPr>
        <w:t> </w:t>
      </w:r>
      <w:r>
        <w:rPr/>
        <w:t>Henderson,</w:t>
      </w:r>
      <w:r>
        <w:rPr>
          <w:spacing w:val="-6"/>
        </w:rPr>
        <w:t> </w:t>
      </w:r>
      <w:r>
        <w:rPr>
          <w:spacing w:val="-4"/>
        </w:rPr>
        <w:t>(F/T)</w:t>
      </w:r>
    </w:p>
    <w:p>
      <w:pPr>
        <w:spacing w:after="0"/>
        <w:sectPr>
          <w:headerReference w:type="default" r:id="rId221"/>
          <w:footerReference w:type="default" r:id="rId222"/>
          <w:pgSz w:w="12240" w:h="15840"/>
          <w:pgMar w:header="993" w:footer="974" w:top="1240" w:bottom="1160" w:left="1000" w:right="820"/>
        </w:sectPr>
      </w:pPr>
    </w:p>
    <w:p>
      <w:pPr>
        <w:spacing w:before="115"/>
        <w:ind w:left="440" w:right="0" w:firstLine="0"/>
        <w:jc w:val="left"/>
        <w:rPr>
          <w:b/>
          <w:sz w:val="20"/>
        </w:rPr>
      </w:pPr>
      <w:r>
        <w:rPr>
          <w:b/>
          <w:sz w:val="20"/>
        </w:rPr>
        <w:t>Course</w:t>
      </w:r>
      <w:r>
        <w:rPr>
          <w:b/>
          <w:spacing w:val="-9"/>
          <w:sz w:val="20"/>
        </w:rPr>
        <w:t> </w:t>
      </w:r>
      <w:r>
        <w:rPr>
          <w:b/>
          <w:sz w:val="20"/>
        </w:rPr>
        <w:t>Description</w:t>
      </w:r>
      <w:r>
        <w:rPr>
          <w:b/>
          <w:spacing w:val="-8"/>
          <w:sz w:val="20"/>
        </w:rPr>
        <w:t> </w:t>
      </w:r>
      <w:r>
        <w:rPr>
          <w:b/>
          <w:sz w:val="20"/>
        </w:rPr>
        <w:t>(limit</w:t>
      </w:r>
      <w:r>
        <w:rPr>
          <w:b/>
          <w:spacing w:val="-7"/>
          <w:sz w:val="20"/>
        </w:rPr>
        <w:t> </w:t>
      </w:r>
      <w:r>
        <w:rPr>
          <w:b/>
          <w:sz w:val="20"/>
        </w:rPr>
        <w:t>25</w:t>
      </w:r>
      <w:r>
        <w:rPr>
          <w:b/>
          <w:spacing w:val="-8"/>
          <w:sz w:val="20"/>
        </w:rPr>
        <w:t> </w:t>
      </w:r>
      <w:r>
        <w:rPr>
          <w:b/>
          <w:spacing w:val="-2"/>
          <w:sz w:val="20"/>
        </w:rPr>
        <w:t>words):</w:t>
      </w:r>
    </w:p>
    <w:p>
      <w:pPr>
        <w:pStyle w:val="BodyText"/>
        <w:spacing w:before="122"/>
        <w:ind w:left="1159" w:right="642"/>
      </w:pPr>
      <w:r>
        <w:rPr/>
        <w:t>Continuation</w:t>
      </w:r>
      <w:r>
        <w:rPr>
          <w:spacing w:val="-5"/>
        </w:rPr>
        <w:t> </w:t>
      </w:r>
      <w:r>
        <w:rPr/>
        <w:t>of</w:t>
      </w:r>
      <w:r>
        <w:rPr>
          <w:spacing w:val="-3"/>
        </w:rPr>
        <w:t> </w:t>
      </w:r>
      <w:r>
        <w:rPr/>
        <w:t>ARC</w:t>
      </w:r>
      <w:r>
        <w:rPr>
          <w:spacing w:val="-5"/>
        </w:rPr>
        <w:t> </w:t>
      </w:r>
      <w:r>
        <w:rPr/>
        <w:t>405</w:t>
      </w:r>
      <w:r>
        <w:rPr>
          <w:spacing w:val="-5"/>
        </w:rPr>
        <w:t> </w:t>
      </w:r>
      <w:r>
        <w:rPr/>
        <w:t>project</w:t>
      </w:r>
      <w:r>
        <w:rPr>
          <w:spacing w:val="-5"/>
        </w:rPr>
        <w:t> </w:t>
      </w:r>
      <w:r>
        <w:rPr/>
        <w:t>into</w:t>
      </w:r>
      <w:r>
        <w:rPr>
          <w:spacing w:val="-5"/>
        </w:rPr>
        <w:t> </w:t>
      </w:r>
      <w:r>
        <w:rPr/>
        <w:t>construction</w:t>
      </w:r>
      <w:r>
        <w:rPr>
          <w:spacing w:val="-3"/>
        </w:rPr>
        <w:t> </w:t>
      </w:r>
      <w:r>
        <w:rPr/>
        <w:t>documents</w:t>
      </w:r>
      <w:r>
        <w:rPr>
          <w:spacing w:val="-4"/>
        </w:rPr>
        <w:t> </w:t>
      </w:r>
      <w:r>
        <w:rPr/>
        <w:t>including</w:t>
      </w:r>
      <w:r>
        <w:rPr>
          <w:spacing w:val="-3"/>
        </w:rPr>
        <w:t> </w:t>
      </w:r>
      <w:r>
        <w:rPr/>
        <w:t>outline</w:t>
      </w:r>
      <w:r>
        <w:rPr>
          <w:spacing w:val="-5"/>
        </w:rPr>
        <w:t> </w:t>
      </w:r>
      <w:r>
        <w:rPr/>
        <w:t>specifications</w:t>
      </w:r>
      <w:r>
        <w:rPr>
          <w:spacing w:val="-4"/>
        </w:rPr>
        <w:t> </w:t>
      </w:r>
      <w:r>
        <w:rPr/>
        <w:t>and the design of structural and mechanical building systems, the use of building codes, an understanding of zoning and the principles of building programming.</w:t>
      </w:r>
    </w:p>
    <w:p>
      <w:pPr>
        <w:spacing w:before="119"/>
        <w:ind w:left="439" w:right="0" w:firstLine="0"/>
        <w:jc w:val="left"/>
        <w:rPr>
          <w:b/>
          <w:sz w:val="20"/>
        </w:rPr>
      </w:pPr>
      <w:r>
        <w:rPr>
          <w:b/>
          <w:sz w:val="20"/>
        </w:rPr>
        <w:t>Course</w:t>
      </w:r>
      <w:r>
        <w:rPr>
          <w:b/>
          <w:spacing w:val="-9"/>
          <w:sz w:val="20"/>
        </w:rPr>
        <w:t> </w:t>
      </w:r>
      <w:r>
        <w:rPr>
          <w:b/>
          <w:sz w:val="20"/>
        </w:rPr>
        <w:t>Goals</w:t>
      </w:r>
      <w:r>
        <w:rPr>
          <w:b/>
          <w:spacing w:val="-7"/>
          <w:sz w:val="20"/>
        </w:rPr>
        <w:t> </w:t>
      </w:r>
      <w:r>
        <w:rPr>
          <w:b/>
          <w:sz w:val="20"/>
        </w:rPr>
        <w:t>&amp;</w:t>
      </w:r>
      <w:r>
        <w:rPr>
          <w:b/>
          <w:spacing w:val="-7"/>
          <w:sz w:val="20"/>
        </w:rPr>
        <w:t> </w:t>
      </w:r>
      <w:r>
        <w:rPr>
          <w:b/>
          <w:sz w:val="20"/>
        </w:rPr>
        <w:t>Objectives</w:t>
      </w:r>
      <w:r>
        <w:rPr>
          <w:b/>
          <w:spacing w:val="-6"/>
          <w:sz w:val="20"/>
        </w:rPr>
        <w:t> </w:t>
      </w:r>
      <w:r>
        <w:rPr>
          <w:b/>
          <w:spacing w:val="-2"/>
          <w:sz w:val="20"/>
        </w:rPr>
        <w:t>(list):</w:t>
      </w:r>
    </w:p>
    <w:p>
      <w:pPr>
        <w:pStyle w:val="ListParagraph"/>
        <w:numPr>
          <w:ilvl w:val="0"/>
          <w:numId w:val="57"/>
        </w:numPr>
        <w:tabs>
          <w:tab w:pos="1519" w:val="left" w:leader="none"/>
          <w:tab w:pos="1520" w:val="left" w:leader="none"/>
        </w:tabs>
        <w:spacing w:line="240" w:lineRule="auto" w:before="121" w:after="0"/>
        <w:ind w:left="1519" w:right="0" w:hanging="361"/>
        <w:jc w:val="left"/>
        <w:rPr>
          <w:sz w:val="20"/>
        </w:rPr>
      </w:pPr>
      <w:r>
        <w:rPr>
          <w:sz w:val="20"/>
        </w:rPr>
        <w:t>To</w:t>
      </w:r>
      <w:r>
        <w:rPr>
          <w:spacing w:val="-8"/>
          <w:sz w:val="20"/>
        </w:rPr>
        <w:t> </w:t>
      </w:r>
      <w:r>
        <w:rPr>
          <w:sz w:val="20"/>
        </w:rPr>
        <w:t>develop</w:t>
      </w:r>
      <w:r>
        <w:rPr>
          <w:spacing w:val="-8"/>
          <w:sz w:val="20"/>
        </w:rPr>
        <w:t> </w:t>
      </w:r>
      <w:r>
        <w:rPr>
          <w:sz w:val="20"/>
        </w:rPr>
        <w:t>student</w:t>
      </w:r>
      <w:r>
        <w:rPr>
          <w:spacing w:val="-7"/>
          <w:sz w:val="20"/>
        </w:rPr>
        <w:t> </w:t>
      </w:r>
      <w:r>
        <w:rPr>
          <w:sz w:val="20"/>
        </w:rPr>
        <w:t>understanding</w:t>
      </w:r>
      <w:r>
        <w:rPr>
          <w:spacing w:val="-6"/>
          <w:sz w:val="20"/>
        </w:rPr>
        <w:t> </w:t>
      </w:r>
      <w:r>
        <w:rPr>
          <w:sz w:val="20"/>
        </w:rPr>
        <w:t>of</w:t>
      </w:r>
      <w:r>
        <w:rPr>
          <w:spacing w:val="-6"/>
          <w:sz w:val="20"/>
        </w:rPr>
        <w:t> </w:t>
      </w:r>
      <w:r>
        <w:rPr>
          <w:sz w:val="20"/>
        </w:rPr>
        <w:t>design</w:t>
      </w:r>
      <w:r>
        <w:rPr>
          <w:spacing w:val="-8"/>
          <w:sz w:val="20"/>
        </w:rPr>
        <w:t> </w:t>
      </w:r>
      <w:r>
        <w:rPr>
          <w:sz w:val="20"/>
        </w:rPr>
        <w:t>solutions</w:t>
      </w:r>
      <w:r>
        <w:rPr>
          <w:spacing w:val="-3"/>
          <w:sz w:val="20"/>
        </w:rPr>
        <w:t> </w:t>
      </w:r>
      <w:r>
        <w:rPr>
          <w:sz w:val="20"/>
        </w:rPr>
        <w:t>as</w:t>
      </w:r>
      <w:r>
        <w:rPr>
          <w:spacing w:val="-7"/>
          <w:sz w:val="20"/>
        </w:rPr>
        <w:t> </w:t>
      </w:r>
      <w:r>
        <w:rPr>
          <w:sz w:val="20"/>
        </w:rPr>
        <w:t>a</w:t>
      </w:r>
      <w:r>
        <w:rPr>
          <w:spacing w:val="-7"/>
          <w:sz w:val="20"/>
        </w:rPr>
        <w:t> </w:t>
      </w:r>
      <w:r>
        <w:rPr>
          <w:sz w:val="20"/>
        </w:rPr>
        <w:t>rational,</w:t>
      </w:r>
      <w:r>
        <w:rPr>
          <w:spacing w:val="-6"/>
          <w:sz w:val="20"/>
        </w:rPr>
        <w:t> </w:t>
      </w:r>
      <w:r>
        <w:rPr>
          <w:sz w:val="20"/>
        </w:rPr>
        <w:t>iterative</w:t>
      </w:r>
      <w:r>
        <w:rPr>
          <w:spacing w:val="-6"/>
          <w:sz w:val="20"/>
        </w:rPr>
        <w:t> </w:t>
      </w:r>
      <w:r>
        <w:rPr>
          <w:spacing w:val="-2"/>
          <w:sz w:val="20"/>
        </w:rPr>
        <w:t>process.</w:t>
      </w:r>
    </w:p>
    <w:p>
      <w:pPr>
        <w:pStyle w:val="ListParagraph"/>
        <w:numPr>
          <w:ilvl w:val="0"/>
          <w:numId w:val="57"/>
        </w:numPr>
        <w:tabs>
          <w:tab w:pos="1519" w:val="left" w:leader="none"/>
          <w:tab w:pos="1520" w:val="left" w:leader="none"/>
        </w:tabs>
        <w:spacing w:line="240" w:lineRule="auto" w:before="0" w:after="0"/>
        <w:ind w:left="1519" w:right="851" w:hanging="360"/>
        <w:jc w:val="left"/>
        <w:rPr>
          <w:sz w:val="20"/>
        </w:rPr>
      </w:pPr>
      <w:r>
        <w:rPr>
          <w:sz w:val="20"/>
        </w:rPr>
        <w:t>To</w:t>
      </w:r>
      <w:r>
        <w:rPr>
          <w:spacing w:val="-5"/>
          <w:sz w:val="20"/>
        </w:rPr>
        <w:t> </w:t>
      </w:r>
      <w:r>
        <w:rPr>
          <w:sz w:val="20"/>
        </w:rPr>
        <w:t>develop</w:t>
      </w:r>
      <w:r>
        <w:rPr>
          <w:spacing w:val="-5"/>
          <w:sz w:val="20"/>
        </w:rPr>
        <w:t> </w:t>
      </w:r>
      <w:r>
        <w:rPr>
          <w:sz w:val="20"/>
        </w:rPr>
        <w:t>student</w:t>
      </w:r>
      <w:r>
        <w:rPr>
          <w:spacing w:val="-5"/>
          <w:sz w:val="20"/>
        </w:rPr>
        <w:t> </w:t>
      </w:r>
      <w:r>
        <w:rPr>
          <w:sz w:val="20"/>
        </w:rPr>
        <w:t>understanding</w:t>
      </w:r>
      <w:r>
        <w:rPr>
          <w:spacing w:val="-3"/>
          <w:sz w:val="20"/>
        </w:rPr>
        <w:t> </w:t>
      </w:r>
      <w:r>
        <w:rPr>
          <w:sz w:val="20"/>
        </w:rPr>
        <w:t>of</w:t>
      </w:r>
      <w:r>
        <w:rPr>
          <w:spacing w:val="-3"/>
          <w:sz w:val="20"/>
        </w:rPr>
        <w:t> </w:t>
      </w:r>
      <w:r>
        <w:rPr>
          <w:sz w:val="20"/>
        </w:rPr>
        <w:t>inter-relationship</w:t>
      </w:r>
      <w:r>
        <w:rPr>
          <w:spacing w:val="-3"/>
          <w:sz w:val="20"/>
        </w:rPr>
        <w:t> </w:t>
      </w:r>
      <w:r>
        <w:rPr>
          <w:sz w:val="20"/>
        </w:rPr>
        <w:t>between</w:t>
      </w:r>
      <w:r>
        <w:rPr>
          <w:spacing w:val="-5"/>
          <w:sz w:val="20"/>
        </w:rPr>
        <w:t> </w:t>
      </w:r>
      <w:r>
        <w:rPr>
          <w:sz w:val="20"/>
        </w:rPr>
        <w:t>the</w:t>
      </w:r>
      <w:r>
        <w:rPr>
          <w:spacing w:val="-3"/>
          <w:sz w:val="20"/>
        </w:rPr>
        <w:t> </w:t>
      </w:r>
      <w:r>
        <w:rPr>
          <w:sz w:val="20"/>
        </w:rPr>
        <w:t>building,</w:t>
      </w:r>
      <w:r>
        <w:rPr>
          <w:spacing w:val="-5"/>
          <w:sz w:val="20"/>
        </w:rPr>
        <w:t> </w:t>
      </w:r>
      <w:r>
        <w:rPr>
          <w:sz w:val="20"/>
        </w:rPr>
        <w:t>its</w:t>
      </w:r>
      <w:r>
        <w:rPr>
          <w:spacing w:val="-4"/>
          <w:sz w:val="20"/>
        </w:rPr>
        <w:t> </w:t>
      </w:r>
      <w:r>
        <w:rPr>
          <w:sz w:val="20"/>
        </w:rPr>
        <w:t>site,</w:t>
      </w:r>
      <w:r>
        <w:rPr>
          <w:spacing w:val="-5"/>
          <w:sz w:val="20"/>
        </w:rPr>
        <w:t> </w:t>
      </w:r>
      <w:r>
        <w:rPr>
          <w:sz w:val="20"/>
        </w:rPr>
        <w:t>and</w:t>
      </w:r>
      <w:r>
        <w:rPr>
          <w:spacing w:val="-5"/>
          <w:sz w:val="20"/>
        </w:rPr>
        <w:t> </w:t>
      </w:r>
      <w:r>
        <w:rPr>
          <w:sz w:val="20"/>
        </w:rPr>
        <w:t>its larger context.</w:t>
      </w:r>
    </w:p>
    <w:p>
      <w:pPr>
        <w:pStyle w:val="ListParagraph"/>
        <w:numPr>
          <w:ilvl w:val="0"/>
          <w:numId w:val="57"/>
        </w:numPr>
        <w:tabs>
          <w:tab w:pos="1519" w:val="left" w:leader="none"/>
          <w:tab w:pos="1520" w:val="left" w:leader="none"/>
        </w:tabs>
        <w:spacing w:line="240" w:lineRule="auto" w:before="1" w:after="0"/>
        <w:ind w:left="1519" w:right="697" w:hanging="360"/>
        <w:jc w:val="left"/>
        <w:rPr>
          <w:sz w:val="20"/>
        </w:rPr>
      </w:pPr>
      <w:r>
        <w:rPr>
          <w:sz w:val="20"/>
        </w:rPr>
        <w:t>To</w:t>
      </w:r>
      <w:r>
        <w:rPr>
          <w:spacing w:val="-5"/>
          <w:sz w:val="20"/>
        </w:rPr>
        <w:t> </w:t>
      </w:r>
      <w:r>
        <w:rPr>
          <w:sz w:val="20"/>
        </w:rPr>
        <w:t>undertake</w:t>
      </w:r>
      <w:r>
        <w:rPr>
          <w:spacing w:val="-5"/>
          <w:sz w:val="20"/>
        </w:rPr>
        <w:t> </w:t>
      </w:r>
      <w:r>
        <w:rPr>
          <w:sz w:val="20"/>
        </w:rPr>
        <w:t>complex</w:t>
      </w:r>
      <w:r>
        <w:rPr>
          <w:spacing w:val="-4"/>
          <w:sz w:val="20"/>
        </w:rPr>
        <w:t> </w:t>
      </w:r>
      <w:r>
        <w:rPr>
          <w:sz w:val="20"/>
        </w:rPr>
        <w:t>building</w:t>
      </w:r>
      <w:r>
        <w:rPr>
          <w:spacing w:val="-5"/>
          <w:sz w:val="20"/>
        </w:rPr>
        <w:t> </w:t>
      </w:r>
      <w:r>
        <w:rPr>
          <w:sz w:val="20"/>
        </w:rPr>
        <w:t>project(s)</w:t>
      </w:r>
      <w:r>
        <w:rPr>
          <w:spacing w:val="-4"/>
          <w:sz w:val="20"/>
        </w:rPr>
        <w:t> </w:t>
      </w:r>
      <w:r>
        <w:rPr>
          <w:sz w:val="20"/>
        </w:rPr>
        <w:t>in</w:t>
      </w:r>
      <w:r>
        <w:rPr>
          <w:spacing w:val="-2"/>
          <w:sz w:val="20"/>
        </w:rPr>
        <w:t> </w:t>
      </w:r>
      <w:r>
        <w:rPr>
          <w:sz w:val="20"/>
        </w:rPr>
        <w:t>urban</w:t>
      </w:r>
      <w:r>
        <w:rPr>
          <w:spacing w:val="-3"/>
          <w:sz w:val="20"/>
        </w:rPr>
        <w:t> </w:t>
      </w:r>
      <w:r>
        <w:rPr>
          <w:sz w:val="20"/>
        </w:rPr>
        <w:t>locations</w:t>
      </w:r>
      <w:r>
        <w:rPr>
          <w:spacing w:val="-4"/>
          <w:sz w:val="20"/>
        </w:rPr>
        <w:t> </w:t>
      </w:r>
      <w:r>
        <w:rPr>
          <w:sz w:val="20"/>
        </w:rPr>
        <w:t>and</w:t>
      </w:r>
      <w:r>
        <w:rPr>
          <w:spacing w:val="-5"/>
          <w:sz w:val="20"/>
        </w:rPr>
        <w:t> </w:t>
      </w:r>
      <w:r>
        <w:rPr>
          <w:sz w:val="20"/>
        </w:rPr>
        <w:t>explore</w:t>
      </w:r>
      <w:r>
        <w:rPr>
          <w:spacing w:val="-5"/>
          <w:sz w:val="20"/>
        </w:rPr>
        <w:t> </w:t>
      </w:r>
      <w:r>
        <w:rPr>
          <w:sz w:val="20"/>
        </w:rPr>
        <w:t>the</w:t>
      </w:r>
      <w:r>
        <w:rPr>
          <w:spacing w:val="-3"/>
          <w:sz w:val="20"/>
        </w:rPr>
        <w:t> </w:t>
      </w:r>
      <w:r>
        <w:rPr>
          <w:sz w:val="20"/>
        </w:rPr>
        <w:t>inter-relationship among various components and functions.</w:t>
      </w:r>
    </w:p>
    <w:p>
      <w:pPr>
        <w:pStyle w:val="ListParagraph"/>
        <w:numPr>
          <w:ilvl w:val="0"/>
          <w:numId w:val="57"/>
        </w:numPr>
        <w:tabs>
          <w:tab w:pos="1519" w:val="left" w:leader="none"/>
          <w:tab w:pos="1520" w:val="left" w:leader="none"/>
        </w:tabs>
        <w:spacing w:line="229" w:lineRule="exact" w:before="1" w:after="0"/>
        <w:ind w:left="1519" w:right="0" w:hanging="361"/>
        <w:jc w:val="left"/>
        <w:rPr>
          <w:sz w:val="20"/>
        </w:rPr>
      </w:pPr>
      <w:r>
        <w:rPr>
          <w:sz w:val="20"/>
        </w:rPr>
        <w:t>To</w:t>
      </w:r>
      <w:r>
        <w:rPr>
          <w:spacing w:val="-9"/>
          <w:sz w:val="20"/>
        </w:rPr>
        <w:t> </w:t>
      </w:r>
      <w:r>
        <w:rPr>
          <w:sz w:val="20"/>
        </w:rPr>
        <w:t>develop</w:t>
      </w:r>
      <w:r>
        <w:rPr>
          <w:spacing w:val="-8"/>
          <w:sz w:val="20"/>
        </w:rPr>
        <w:t> </w:t>
      </w:r>
      <w:r>
        <w:rPr>
          <w:sz w:val="20"/>
        </w:rPr>
        <w:t>multi-disciplinary</w:t>
      </w:r>
      <w:r>
        <w:rPr>
          <w:spacing w:val="-9"/>
          <w:sz w:val="20"/>
        </w:rPr>
        <w:t> </w:t>
      </w:r>
      <w:r>
        <w:rPr>
          <w:sz w:val="20"/>
        </w:rPr>
        <w:t>approach</w:t>
      </w:r>
      <w:r>
        <w:rPr>
          <w:spacing w:val="-7"/>
          <w:sz w:val="20"/>
        </w:rPr>
        <w:t> </w:t>
      </w:r>
      <w:r>
        <w:rPr>
          <w:sz w:val="20"/>
        </w:rPr>
        <w:t>to</w:t>
      </w:r>
      <w:r>
        <w:rPr>
          <w:spacing w:val="-6"/>
          <w:sz w:val="20"/>
        </w:rPr>
        <w:t> </w:t>
      </w:r>
      <w:r>
        <w:rPr>
          <w:sz w:val="20"/>
        </w:rPr>
        <w:t>design</w:t>
      </w:r>
      <w:r>
        <w:rPr>
          <w:spacing w:val="-9"/>
          <w:sz w:val="20"/>
        </w:rPr>
        <w:t> </w:t>
      </w:r>
      <w:r>
        <w:rPr>
          <w:spacing w:val="-2"/>
          <w:sz w:val="20"/>
        </w:rPr>
        <w:t>process.</w:t>
      </w:r>
    </w:p>
    <w:p>
      <w:pPr>
        <w:pStyle w:val="ListParagraph"/>
        <w:numPr>
          <w:ilvl w:val="0"/>
          <w:numId w:val="57"/>
        </w:numPr>
        <w:tabs>
          <w:tab w:pos="1518" w:val="left" w:leader="none"/>
          <w:tab w:pos="1520" w:val="left" w:leader="none"/>
        </w:tabs>
        <w:spacing w:line="229" w:lineRule="exact" w:before="0" w:after="0"/>
        <w:ind w:left="1519" w:right="0" w:hanging="361"/>
        <w:jc w:val="left"/>
        <w:rPr>
          <w:sz w:val="20"/>
        </w:rPr>
      </w:pPr>
      <w:r>
        <w:rPr>
          <w:sz w:val="20"/>
        </w:rPr>
        <w:t>To</w:t>
      </w:r>
      <w:r>
        <w:rPr>
          <w:spacing w:val="-7"/>
          <w:sz w:val="20"/>
        </w:rPr>
        <w:t> </w:t>
      </w:r>
      <w:r>
        <w:rPr>
          <w:sz w:val="20"/>
        </w:rPr>
        <w:t>integrate</w:t>
      </w:r>
      <w:r>
        <w:rPr>
          <w:spacing w:val="-6"/>
          <w:sz w:val="20"/>
        </w:rPr>
        <w:t> </w:t>
      </w:r>
      <w:r>
        <w:rPr>
          <w:sz w:val="20"/>
        </w:rPr>
        <w:t>technical</w:t>
      </w:r>
      <w:r>
        <w:rPr>
          <w:spacing w:val="-8"/>
          <w:sz w:val="20"/>
        </w:rPr>
        <w:t> </w:t>
      </w:r>
      <w:r>
        <w:rPr>
          <w:sz w:val="20"/>
        </w:rPr>
        <w:t>aspects</w:t>
      </w:r>
      <w:r>
        <w:rPr>
          <w:spacing w:val="-5"/>
          <w:sz w:val="20"/>
        </w:rPr>
        <w:t> </w:t>
      </w:r>
      <w:r>
        <w:rPr>
          <w:sz w:val="20"/>
        </w:rPr>
        <w:t>of</w:t>
      </w:r>
      <w:r>
        <w:rPr>
          <w:spacing w:val="-5"/>
          <w:sz w:val="20"/>
        </w:rPr>
        <w:t> </w:t>
      </w:r>
      <w:r>
        <w:rPr>
          <w:sz w:val="20"/>
        </w:rPr>
        <w:t>architecture</w:t>
      </w:r>
      <w:r>
        <w:rPr>
          <w:spacing w:val="-6"/>
          <w:sz w:val="20"/>
        </w:rPr>
        <w:t> </w:t>
      </w:r>
      <w:r>
        <w:rPr>
          <w:sz w:val="20"/>
        </w:rPr>
        <w:t>as</w:t>
      </w:r>
      <w:r>
        <w:rPr>
          <w:spacing w:val="-6"/>
          <w:sz w:val="20"/>
        </w:rPr>
        <w:t> </w:t>
      </w:r>
      <w:r>
        <w:rPr>
          <w:sz w:val="20"/>
        </w:rPr>
        <w:t>an</w:t>
      </w:r>
      <w:r>
        <w:rPr>
          <w:spacing w:val="-6"/>
          <w:sz w:val="20"/>
        </w:rPr>
        <w:t> </w:t>
      </w:r>
      <w:r>
        <w:rPr>
          <w:sz w:val="20"/>
        </w:rPr>
        <w:t>integral</w:t>
      </w:r>
      <w:r>
        <w:rPr>
          <w:spacing w:val="-6"/>
          <w:sz w:val="20"/>
        </w:rPr>
        <w:t> </w:t>
      </w:r>
      <w:r>
        <w:rPr>
          <w:sz w:val="20"/>
        </w:rPr>
        <w:t>part</w:t>
      </w:r>
      <w:r>
        <w:rPr>
          <w:spacing w:val="-4"/>
          <w:sz w:val="20"/>
        </w:rPr>
        <w:t> </w:t>
      </w:r>
      <w:r>
        <w:rPr>
          <w:sz w:val="20"/>
        </w:rPr>
        <w:t>of</w:t>
      </w:r>
      <w:r>
        <w:rPr>
          <w:spacing w:val="-5"/>
          <w:sz w:val="20"/>
        </w:rPr>
        <w:t> </w:t>
      </w:r>
      <w:r>
        <w:rPr>
          <w:sz w:val="20"/>
        </w:rPr>
        <w:t>the</w:t>
      </w:r>
      <w:r>
        <w:rPr>
          <w:spacing w:val="-6"/>
          <w:sz w:val="20"/>
        </w:rPr>
        <w:t> </w:t>
      </w:r>
      <w:r>
        <w:rPr>
          <w:sz w:val="20"/>
        </w:rPr>
        <w:t>“total”</w:t>
      </w:r>
      <w:r>
        <w:rPr>
          <w:spacing w:val="-6"/>
          <w:sz w:val="20"/>
        </w:rPr>
        <w:t> </w:t>
      </w:r>
      <w:r>
        <w:rPr>
          <w:sz w:val="20"/>
        </w:rPr>
        <w:t>design</w:t>
      </w:r>
      <w:r>
        <w:rPr>
          <w:spacing w:val="-6"/>
          <w:sz w:val="20"/>
        </w:rPr>
        <w:t> </w:t>
      </w:r>
      <w:r>
        <w:rPr>
          <w:spacing w:val="-2"/>
          <w:sz w:val="20"/>
        </w:rPr>
        <w:t>solution.</w:t>
      </w:r>
    </w:p>
    <w:p>
      <w:pPr>
        <w:pStyle w:val="ListParagraph"/>
        <w:numPr>
          <w:ilvl w:val="0"/>
          <w:numId w:val="57"/>
        </w:numPr>
        <w:tabs>
          <w:tab w:pos="1518" w:val="left" w:leader="none"/>
          <w:tab w:pos="1520" w:val="left" w:leader="none"/>
        </w:tabs>
        <w:spacing w:line="240" w:lineRule="auto" w:before="1" w:after="0"/>
        <w:ind w:left="1519" w:right="0" w:hanging="361"/>
        <w:jc w:val="left"/>
        <w:rPr>
          <w:sz w:val="20"/>
        </w:rPr>
      </w:pPr>
      <w:r>
        <w:rPr>
          <w:sz w:val="20"/>
        </w:rPr>
        <w:t>To</w:t>
      </w:r>
      <w:r>
        <w:rPr>
          <w:spacing w:val="-7"/>
          <w:sz w:val="20"/>
        </w:rPr>
        <w:t> </w:t>
      </w:r>
      <w:r>
        <w:rPr>
          <w:sz w:val="20"/>
        </w:rPr>
        <w:t>study</w:t>
      </w:r>
      <w:r>
        <w:rPr>
          <w:spacing w:val="-10"/>
          <w:sz w:val="20"/>
        </w:rPr>
        <w:t> </w:t>
      </w:r>
      <w:r>
        <w:rPr>
          <w:sz w:val="20"/>
        </w:rPr>
        <w:t>various</w:t>
      </w:r>
      <w:r>
        <w:rPr>
          <w:spacing w:val="-6"/>
          <w:sz w:val="20"/>
        </w:rPr>
        <w:t> </w:t>
      </w:r>
      <w:r>
        <w:rPr>
          <w:sz w:val="20"/>
        </w:rPr>
        <w:t>materials</w:t>
      </w:r>
      <w:r>
        <w:rPr>
          <w:spacing w:val="-3"/>
          <w:sz w:val="20"/>
        </w:rPr>
        <w:t> </w:t>
      </w:r>
      <w:r>
        <w:rPr>
          <w:sz w:val="20"/>
        </w:rPr>
        <w:t>and</w:t>
      </w:r>
      <w:r>
        <w:rPr>
          <w:spacing w:val="-7"/>
          <w:sz w:val="20"/>
        </w:rPr>
        <w:t> </w:t>
      </w:r>
      <w:r>
        <w:rPr>
          <w:sz w:val="20"/>
        </w:rPr>
        <w:t>construction</w:t>
      </w:r>
      <w:r>
        <w:rPr>
          <w:spacing w:val="-7"/>
          <w:sz w:val="20"/>
        </w:rPr>
        <w:t> </w:t>
      </w:r>
      <w:r>
        <w:rPr>
          <w:sz w:val="20"/>
        </w:rPr>
        <w:t>techniques</w:t>
      </w:r>
      <w:r>
        <w:rPr>
          <w:spacing w:val="-6"/>
          <w:sz w:val="20"/>
        </w:rPr>
        <w:t> </w:t>
      </w:r>
      <w:r>
        <w:rPr>
          <w:sz w:val="20"/>
        </w:rPr>
        <w:t>and</w:t>
      </w:r>
      <w:r>
        <w:rPr>
          <w:spacing w:val="-7"/>
          <w:sz w:val="20"/>
        </w:rPr>
        <w:t> </w:t>
      </w:r>
      <w:r>
        <w:rPr>
          <w:sz w:val="20"/>
        </w:rPr>
        <w:t>employ</w:t>
      </w:r>
      <w:r>
        <w:rPr>
          <w:spacing w:val="-10"/>
          <w:sz w:val="20"/>
        </w:rPr>
        <w:t> </w:t>
      </w:r>
      <w:r>
        <w:rPr>
          <w:sz w:val="20"/>
        </w:rPr>
        <w:t>them</w:t>
      </w:r>
      <w:r>
        <w:rPr>
          <w:spacing w:val="-2"/>
          <w:sz w:val="20"/>
        </w:rPr>
        <w:t> </w:t>
      </w:r>
      <w:r>
        <w:rPr>
          <w:sz w:val="20"/>
        </w:rPr>
        <w:t>in</w:t>
      </w:r>
      <w:r>
        <w:rPr>
          <w:spacing w:val="-7"/>
          <w:sz w:val="20"/>
        </w:rPr>
        <w:t> </w:t>
      </w:r>
      <w:r>
        <w:rPr>
          <w:sz w:val="20"/>
        </w:rPr>
        <w:t>innovative</w:t>
      </w:r>
      <w:r>
        <w:rPr>
          <w:spacing w:val="-4"/>
          <w:sz w:val="20"/>
        </w:rPr>
        <w:t> </w:t>
      </w:r>
      <w:r>
        <w:rPr>
          <w:spacing w:val="-2"/>
          <w:sz w:val="20"/>
        </w:rPr>
        <w:t>ways.</w:t>
      </w:r>
    </w:p>
    <w:p>
      <w:pPr>
        <w:spacing w:before="118"/>
        <w:ind w:left="439" w:right="0" w:firstLine="0"/>
        <w:jc w:val="left"/>
        <w:rPr>
          <w:b/>
          <w:sz w:val="20"/>
        </w:rPr>
      </w:pPr>
      <w:r>
        <w:rPr>
          <w:b/>
          <w:sz w:val="20"/>
        </w:rPr>
        <w:t>Student</w:t>
      </w:r>
      <w:r>
        <w:rPr>
          <w:b/>
          <w:spacing w:val="-11"/>
          <w:sz w:val="20"/>
        </w:rPr>
        <w:t> </w:t>
      </w:r>
      <w:r>
        <w:rPr>
          <w:b/>
          <w:sz w:val="20"/>
        </w:rPr>
        <w:t>Performance</w:t>
      </w:r>
      <w:r>
        <w:rPr>
          <w:b/>
          <w:spacing w:val="-12"/>
          <w:sz w:val="20"/>
        </w:rPr>
        <w:t> </w:t>
      </w:r>
      <w:r>
        <w:rPr>
          <w:b/>
          <w:spacing w:val="-2"/>
          <w:sz w:val="20"/>
        </w:rPr>
        <w:t>Criterion/addressed:</w:t>
      </w:r>
    </w:p>
    <w:p>
      <w:pPr>
        <w:pStyle w:val="BodyText"/>
        <w:spacing w:before="3"/>
        <w:rPr>
          <w:b/>
          <w:sz w:val="11"/>
        </w:rPr>
      </w:pPr>
    </w:p>
    <w:tbl>
      <w:tblPr>
        <w:tblW w:w="0" w:type="auto"/>
        <w:jc w:val="left"/>
        <w:tblInd w:w="8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0"/>
        <w:gridCol w:w="3957"/>
        <w:gridCol w:w="902"/>
        <w:gridCol w:w="3400"/>
      </w:tblGrid>
      <w:tr>
        <w:trPr>
          <w:trHeight w:val="226" w:hRule="atLeast"/>
        </w:trPr>
        <w:tc>
          <w:tcPr>
            <w:tcW w:w="530" w:type="dxa"/>
          </w:tcPr>
          <w:p>
            <w:pPr>
              <w:pStyle w:val="TableParagraph"/>
              <w:spacing w:line="207" w:lineRule="exact"/>
              <w:ind w:left="40" w:right="156"/>
              <w:jc w:val="center"/>
              <w:rPr>
                <w:sz w:val="20"/>
              </w:rPr>
            </w:pPr>
            <w:r>
              <w:rPr>
                <w:w w:val="95"/>
                <w:sz w:val="20"/>
              </w:rPr>
              <w:t>A-</w:t>
            </w:r>
            <w:r>
              <w:rPr>
                <w:spacing w:val="-10"/>
                <w:sz w:val="20"/>
              </w:rPr>
              <w:t>2</w:t>
            </w:r>
          </w:p>
        </w:tc>
        <w:tc>
          <w:tcPr>
            <w:tcW w:w="3957" w:type="dxa"/>
          </w:tcPr>
          <w:p>
            <w:pPr>
              <w:pStyle w:val="TableParagraph"/>
              <w:spacing w:line="207" w:lineRule="exact"/>
              <w:ind w:left="60"/>
              <w:rPr>
                <w:sz w:val="20"/>
              </w:rPr>
            </w:pPr>
            <w:r>
              <w:rPr>
                <w:sz w:val="20"/>
              </w:rPr>
              <w:t>Design</w:t>
            </w:r>
            <w:r>
              <w:rPr>
                <w:spacing w:val="-9"/>
                <w:sz w:val="20"/>
              </w:rPr>
              <w:t> </w:t>
            </w:r>
            <w:r>
              <w:rPr>
                <w:spacing w:val="-2"/>
                <w:sz w:val="20"/>
              </w:rPr>
              <w:t>Thinking</w:t>
            </w:r>
          </w:p>
        </w:tc>
        <w:tc>
          <w:tcPr>
            <w:tcW w:w="902" w:type="dxa"/>
          </w:tcPr>
          <w:p>
            <w:pPr>
              <w:pStyle w:val="TableParagraph"/>
              <w:spacing w:line="207" w:lineRule="exact"/>
              <w:ind w:left="423"/>
              <w:rPr>
                <w:sz w:val="20"/>
              </w:rPr>
            </w:pPr>
            <w:r>
              <w:rPr>
                <w:w w:val="95"/>
                <w:sz w:val="20"/>
              </w:rPr>
              <w:t>B-</w:t>
            </w:r>
            <w:r>
              <w:rPr>
                <w:spacing w:val="-10"/>
                <w:sz w:val="20"/>
              </w:rPr>
              <w:t>6</w:t>
            </w:r>
          </w:p>
        </w:tc>
        <w:tc>
          <w:tcPr>
            <w:tcW w:w="3400" w:type="dxa"/>
          </w:tcPr>
          <w:p>
            <w:pPr>
              <w:pStyle w:val="TableParagraph"/>
              <w:spacing w:line="207" w:lineRule="exact"/>
              <w:ind w:left="61"/>
              <w:rPr>
                <w:sz w:val="20"/>
              </w:rPr>
            </w:pPr>
            <w:r>
              <w:rPr>
                <w:w w:val="95"/>
                <w:sz w:val="20"/>
              </w:rPr>
              <w:t>Comprehensive</w:t>
            </w:r>
            <w:r>
              <w:rPr>
                <w:spacing w:val="53"/>
                <w:sz w:val="20"/>
              </w:rPr>
              <w:t> </w:t>
            </w:r>
            <w:r>
              <w:rPr>
                <w:spacing w:val="-2"/>
                <w:sz w:val="20"/>
              </w:rPr>
              <w:t>Design</w:t>
            </w:r>
          </w:p>
        </w:tc>
      </w:tr>
      <w:tr>
        <w:trPr>
          <w:trHeight w:val="230" w:hRule="atLeast"/>
        </w:trPr>
        <w:tc>
          <w:tcPr>
            <w:tcW w:w="530" w:type="dxa"/>
          </w:tcPr>
          <w:p>
            <w:pPr>
              <w:pStyle w:val="TableParagraph"/>
              <w:spacing w:line="210" w:lineRule="exact"/>
              <w:ind w:left="40" w:right="156"/>
              <w:jc w:val="center"/>
              <w:rPr>
                <w:sz w:val="20"/>
              </w:rPr>
            </w:pPr>
            <w:r>
              <w:rPr>
                <w:w w:val="95"/>
                <w:sz w:val="20"/>
              </w:rPr>
              <w:t>A-</w:t>
            </w:r>
            <w:r>
              <w:rPr>
                <w:spacing w:val="-10"/>
                <w:sz w:val="20"/>
              </w:rPr>
              <w:t>4</w:t>
            </w:r>
          </w:p>
        </w:tc>
        <w:tc>
          <w:tcPr>
            <w:tcW w:w="3957" w:type="dxa"/>
          </w:tcPr>
          <w:p>
            <w:pPr>
              <w:pStyle w:val="TableParagraph"/>
              <w:spacing w:line="210" w:lineRule="exact"/>
              <w:ind w:left="60"/>
              <w:rPr>
                <w:sz w:val="20"/>
              </w:rPr>
            </w:pPr>
            <w:r>
              <w:rPr>
                <w:sz w:val="20"/>
              </w:rPr>
              <w:t>Technical</w:t>
            </w:r>
            <w:r>
              <w:rPr>
                <w:spacing w:val="-12"/>
                <w:sz w:val="20"/>
              </w:rPr>
              <w:t> </w:t>
            </w:r>
            <w:r>
              <w:rPr>
                <w:spacing w:val="-2"/>
                <w:sz w:val="20"/>
              </w:rPr>
              <w:t>Documentation</w:t>
            </w:r>
          </w:p>
        </w:tc>
        <w:tc>
          <w:tcPr>
            <w:tcW w:w="902" w:type="dxa"/>
          </w:tcPr>
          <w:p>
            <w:pPr>
              <w:pStyle w:val="TableParagraph"/>
              <w:spacing w:line="210" w:lineRule="exact"/>
              <w:ind w:left="423"/>
              <w:rPr>
                <w:sz w:val="20"/>
              </w:rPr>
            </w:pPr>
            <w:r>
              <w:rPr>
                <w:w w:val="95"/>
                <w:sz w:val="20"/>
              </w:rPr>
              <w:t>B-</w:t>
            </w:r>
            <w:r>
              <w:rPr>
                <w:spacing w:val="-10"/>
                <w:sz w:val="20"/>
              </w:rPr>
              <w:t>7</w:t>
            </w:r>
          </w:p>
        </w:tc>
        <w:tc>
          <w:tcPr>
            <w:tcW w:w="3400" w:type="dxa"/>
          </w:tcPr>
          <w:p>
            <w:pPr>
              <w:pStyle w:val="TableParagraph"/>
              <w:spacing w:line="210" w:lineRule="exact"/>
              <w:ind w:left="61"/>
              <w:rPr>
                <w:sz w:val="20"/>
              </w:rPr>
            </w:pPr>
            <w:r>
              <w:rPr>
                <w:sz w:val="20"/>
              </w:rPr>
              <w:t>Financial</w:t>
            </w:r>
            <w:r>
              <w:rPr>
                <w:spacing w:val="-14"/>
                <w:sz w:val="20"/>
              </w:rPr>
              <w:t> </w:t>
            </w:r>
            <w:r>
              <w:rPr>
                <w:spacing w:val="-2"/>
                <w:sz w:val="20"/>
              </w:rPr>
              <w:t>Considerations</w:t>
            </w:r>
          </w:p>
        </w:tc>
      </w:tr>
      <w:tr>
        <w:trPr>
          <w:trHeight w:val="229" w:hRule="atLeast"/>
        </w:trPr>
        <w:tc>
          <w:tcPr>
            <w:tcW w:w="530" w:type="dxa"/>
          </w:tcPr>
          <w:p>
            <w:pPr>
              <w:pStyle w:val="TableParagraph"/>
              <w:spacing w:line="209" w:lineRule="exact"/>
              <w:ind w:left="40" w:right="157"/>
              <w:jc w:val="center"/>
              <w:rPr>
                <w:sz w:val="20"/>
              </w:rPr>
            </w:pPr>
            <w:r>
              <w:rPr>
                <w:w w:val="95"/>
                <w:sz w:val="20"/>
              </w:rPr>
              <w:t>A-</w:t>
            </w:r>
            <w:r>
              <w:rPr>
                <w:spacing w:val="-10"/>
                <w:sz w:val="20"/>
              </w:rPr>
              <w:t>5</w:t>
            </w:r>
          </w:p>
        </w:tc>
        <w:tc>
          <w:tcPr>
            <w:tcW w:w="3957" w:type="dxa"/>
          </w:tcPr>
          <w:p>
            <w:pPr>
              <w:pStyle w:val="TableParagraph"/>
              <w:spacing w:line="209" w:lineRule="exact"/>
              <w:ind w:left="60"/>
              <w:rPr>
                <w:sz w:val="20"/>
              </w:rPr>
            </w:pPr>
            <w:r>
              <w:rPr>
                <w:spacing w:val="-2"/>
                <w:sz w:val="20"/>
              </w:rPr>
              <w:t>Investigative</w:t>
            </w:r>
            <w:r>
              <w:rPr>
                <w:spacing w:val="10"/>
                <w:sz w:val="20"/>
              </w:rPr>
              <w:t> </w:t>
            </w:r>
            <w:r>
              <w:rPr>
                <w:spacing w:val="-2"/>
                <w:sz w:val="20"/>
              </w:rPr>
              <w:t>Skills</w:t>
            </w:r>
          </w:p>
        </w:tc>
        <w:tc>
          <w:tcPr>
            <w:tcW w:w="902" w:type="dxa"/>
          </w:tcPr>
          <w:p>
            <w:pPr>
              <w:pStyle w:val="TableParagraph"/>
              <w:spacing w:line="209" w:lineRule="exact"/>
              <w:ind w:left="423"/>
              <w:rPr>
                <w:sz w:val="20"/>
              </w:rPr>
            </w:pPr>
            <w:r>
              <w:rPr>
                <w:w w:val="95"/>
                <w:sz w:val="20"/>
              </w:rPr>
              <w:t>B-</w:t>
            </w:r>
            <w:r>
              <w:rPr>
                <w:spacing w:val="-10"/>
                <w:sz w:val="20"/>
              </w:rPr>
              <w:t>8</w:t>
            </w:r>
          </w:p>
        </w:tc>
        <w:tc>
          <w:tcPr>
            <w:tcW w:w="3400" w:type="dxa"/>
          </w:tcPr>
          <w:p>
            <w:pPr>
              <w:pStyle w:val="TableParagraph"/>
              <w:spacing w:line="209" w:lineRule="exact"/>
              <w:ind w:left="61"/>
              <w:rPr>
                <w:sz w:val="20"/>
              </w:rPr>
            </w:pPr>
            <w:r>
              <w:rPr>
                <w:w w:val="95"/>
                <w:sz w:val="20"/>
              </w:rPr>
              <w:t>Environmental</w:t>
            </w:r>
            <w:r>
              <w:rPr>
                <w:spacing w:val="47"/>
                <w:sz w:val="20"/>
              </w:rPr>
              <w:t> </w:t>
            </w:r>
            <w:r>
              <w:rPr>
                <w:spacing w:val="-2"/>
                <w:sz w:val="20"/>
              </w:rPr>
              <w:t>Systems</w:t>
            </w:r>
          </w:p>
        </w:tc>
      </w:tr>
      <w:tr>
        <w:trPr>
          <w:trHeight w:val="229" w:hRule="atLeast"/>
        </w:trPr>
        <w:tc>
          <w:tcPr>
            <w:tcW w:w="530" w:type="dxa"/>
          </w:tcPr>
          <w:p>
            <w:pPr>
              <w:pStyle w:val="TableParagraph"/>
              <w:spacing w:line="209" w:lineRule="exact"/>
              <w:ind w:left="40" w:right="157"/>
              <w:jc w:val="center"/>
              <w:rPr>
                <w:sz w:val="20"/>
              </w:rPr>
            </w:pPr>
            <w:r>
              <w:rPr>
                <w:w w:val="95"/>
                <w:sz w:val="20"/>
              </w:rPr>
              <w:t>A-</w:t>
            </w:r>
            <w:r>
              <w:rPr>
                <w:spacing w:val="-10"/>
                <w:sz w:val="20"/>
              </w:rPr>
              <w:t>8</w:t>
            </w:r>
          </w:p>
        </w:tc>
        <w:tc>
          <w:tcPr>
            <w:tcW w:w="3957" w:type="dxa"/>
          </w:tcPr>
          <w:p>
            <w:pPr>
              <w:pStyle w:val="TableParagraph"/>
              <w:spacing w:line="209" w:lineRule="exact"/>
              <w:ind w:left="60"/>
              <w:rPr>
                <w:sz w:val="20"/>
              </w:rPr>
            </w:pPr>
            <w:r>
              <w:rPr>
                <w:sz w:val="20"/>
              </w:rPr>
              <w:t>Ordering</w:t>
            </w:r>
            <w:r>
              <w:rPr>
                <w:spacing w:val="-8"/>
                <w:sz w:val="20"/>
              </w:rPr>
              <w:t> </w:t>
            </w:r>
            <w:r>
              <w:rPr>
                <w:sz w:val="20"/>
              </w:rPr>
              <w:t>Systems</w:t>
            </w:r>
            <w:r>
              <w:rPr>
                <w:spacing w:val="-8"/>
                <w:sz w:val="20"/>
              </w:rPr>
              <w:t> </w:t>
            </w:r>
            <w:r>
              <w:rPr>
                <w:spacing w:val="-2"/>
                <w:sz w:val="20"/>
              </w:rPr>
              <w:t>Skills</w:t>
            </w:r>
          </w:p>
        </w:tc>
        <w:tc>
          <w:tcPr>
            <w:tcW w:w="902" w:type="dxa"/>
          </w:tcPr>
          <w:p>
            <w:pPr>
              <w:pStyle w:val="TableParagraph"/>
              <w:spacing w:line="209" w:lineRule="exact"/>
              <w:ind w:left="423"/>
              <w:rPr>
                <w:sz w:val="20"/>
              </w:rPr>
            </w:pPr>
            <w:r>
              <w:rPr>
                <w:w w:val="95"/>
                <w:sz w:val="20"/>
              </w:rPr>
              <w:t>B-</w:t>
            </w:r>
            <w:r>
              <w:rPr>
                <w:spacing w:val="-10"/>
                <w:sz w:val="20"/>
              </w:rPr>
              <w:t>9</w:t>
            </w:r>
          </w:p>
        </w:tc>
        <w:tc>
          <w:tcPr>
            <w:tcW w:w="3400" w:type="dxa"/>
          </w:tcPr>
          <w:p>
            <w:pPr>
              <w:pStyle w:val="TableParagraph"/>
              <w:spacing w:line="209" w:lineRule="exact"/>
              <w:ind w:left="61"/>
              <w:rPr>
                <w:sz w:val="20"/>
              </w:rPr>
            </w:pPr>
            <w:r>
              <w:rPr>
                <w:sz w:val="20"/>
              </w:rPr>
              <w:t>Structural</w:t>
            </w:r>
            <w:r>
              <w:rPr>
                <w:spacing w:val="-13"/>
                <w:sz w:val="20"/>
              </w:rPr>
              <w:t> </w:t>
            </w:r>
            <w:r>
              <w:rPr>
                <w:spacing w:val="-2"/>
                <w:sz w:val="20"/>
              </w:rPr>
              <w:t>Systems</w:t>
            </w:r>
          </w:p>
        </w:tc>
      </w:tr>
      <w:tr>
        <w:trPr>
          <w:trHeight w:val="230" w:hRule="atLeast"/>
        </w:trPr>
        <w:tc>
          <w:tcPr>
            <w:tcW w:w="530" w:type="dxa"/>
          </w:tcPr>
          <w:p>
            <w:pPr>
              <w:pStyle w:val="TableParagraph"/>
              <w:spacing w:line="210" w:lineRule="exact"/>
              <w:ind w:left="40" w:right="157"/>
              <w:jc w:val="center"/>
              <w:rPr>
                <w:sz w:val="20"/>
              </w:rPr>
            </w:pPr>
            <w:r>
              <w:rPr>
                <w:w w:val="95"/>
                <w:sz w:val="20"/>
              </w:rPr>
              <w:t>A-</w:t>
            </w:r>
            <w:r>
              <w:rPr>
                <w:spacing w:val="-10"/>
                <w:sz w:val="20"/>
              </w:rPr>
              <w:t>9</w:t>
            </w:r>
          </w:p>
        </w:tc>
        <w:tc>
          <w:tcPr>
            <w:tcW w:w="3957" w:type="dxa"/>
          </w:tcPr>
          <w:p>
            <w:pPr>
              <w:pStyle w:val="TableParagraph"/>
              <w:spacing w:line="210" w:lineRule="exact"/>
              <w:ind w:left="60"/>
              <w:rPr>
                <w:sz w:val="20"/>
              </w:rPr>
            </w:pPr>
            <w:r>
              <w:rPr>
                <w:sz w:val="20"/>
              </w:rPr>
              <w:t>Historical</w:t>
            </w:r>
            <w:r>
              <w:rPr>
                <w:spacing w:val="-9"/>
                <w:sz w:val="20"/>
              </w:rPr>
              <w:t> </w:t>
            </w:r>
            <w:r>
              <w:rPr>
                <w:sz w:val="20"/>
              </w:rPr>
              <w:t>Traditions</w:t>
            </w:r>
            <w:r>
              <w:rPr>
                <w:spacing w:val="-8"/>
                <w:sz w:val="20"/>
              </w:rPr>
              <w:t> </w:t>
            </w:r>
            <w:r>
              <w:rPr>
                <w:sz w:val="20"/>
              </w:rPr>
              <w:t>and</w:t>
            </w:r>
            <w:r>
              <w:rPr>
                <w:spacing w:val="-8"/>
                <w:sz w:val="20"/>
              </w:rPr>
              <w:t> </w:t>
            </w:r>
            <w:r>
              <w:rPr>
                <w:sz w:val="20"/>
              </w:rPr>
              <w:t>Global</w:t>
            </w:r>
            <w:r>
              <w:rPr>
                <w:spacing w:val="-9"/>
                <w:sz w:val="20"/>
              </w:rPr>
              <w:t> </w:t>
            </w:r>
            <w:r>
              <w:rPr>
                <w:spacing w:val="-2"/>
                <w:sz w:val="20"/>
              </w:rPr>
              <w:t>Culture</w:t>
            </w:r>
          </w:p>
        </w:tc>
        <w:tc>
          <w:tcPr>
            <w:tcW w:w="902" w:type="dxa"/>
          </w:tcPr>
          <w:p>
            <w:pPr>
              <w:pStyle w:val="TableParagraph"/>
              <w:spacing w:line="210" w:lineRule="exact"/>
              <w:ind w:left="423"/>
              <w:rPr>
                <w:sz w:val="20"/>
              </w:rPr>
            </w:pPr>
            <w:r>
              <w:rPr>
                <w:w w:val="95"/>
                <w:sz w:val="20"/>
              </w:rPr>
              <w:t>B-</w:t>
            </w:r>
            <w:r>
              <w:rPr>
                <w:spacing w:val="-5"/>
                <w:sz w:val="20"/>
              </w:rPr>
              <w:t>10</w:t>
            </w:r>
          </w:p>
        </w:tc>
        <w:tc>
          <w:tcPr>
            <w:tcW w:w="3400" w:type="dxa"/>
          </w:tcPr>
          <w:p>
            <w:pPr>
              <w:pStyle w:val="TableParagraph"/>
              <w:spacing w:line="210" w:lineRule="exact"/>
              <w:ind w:left="61"/>
              <w:rPr>
                <w:sz w:val="20"/>
              </w:rPr>
            </w:pPr>
            <w:r>
              <w:rPr>
                <w:sz w:val="20"/>
              </w:rPr>
              <w:t>Building</w:t>
            </w:r>
            <w:r>
              <w:rPr>
                <w:spacing w:val="-9"/>
                <w:sz w:val="20"/>
              </w:rPr>
              <w:t> </w:t>
            </w:r>
            <w:r>
              <w:rPr>
                <w:sz w:val="20"/>
              </w:rPr>
              <w:t>Envelop</w:t>
            </w:r>
            <w:r>
              <w:rPr>
                <w:spacing w:val="-7"/>
                <w:sz w:val="20"/>
              </w:rPr>
              <w:t> </w:t>
            </w:r>
            <w:r>
              <w:rPr>
                <w:spacing w:val="-2"/>
                <w:sz w:val="20"/>
              </w:rPr>
              <w:t>Systems</w:t>
            </w:r>
          </w:p>
        </w:tc>
      </w:tr>
      <w:tr>
        <w:trPr>
          <w:trHeight w:val="230" w:hRule="atLeast"/>
        </w:trPr>
        <w:tc>
          <w:tcPr>
            <w:tcW w:w="530" w:type="dxa"/>
          </w:tcPr>
          <w:p>
            <w:pPr>
              <w:pStyle w:val="TableParagraph"/>
              <w:spacing w:line="210" w:lineRule="exact"/>
              <w:ind w:left="40" w:right="47"/>
              <w:jc w:val="center"/>
              <w:rPr>
                <w:sz w:val="20"/>
              </w:rPr>
            </w:pPr>
            <w:r>
              <w:rPr>
                <w:w w:val="95"/>
                <w:sz w:val="20"/>
              </w:rPr>
              <w:t>A-</w:t>
            </w:r>
            <w:r>
              <w:rPr>
                <w:spacing w:val="-5"/>
                <w:sz w:val="20"/>
              </w:rPr>
              <w:t>11</w:t>
            </w:r>
          </w:p>
        </w:tc>
        <w:tc>
          <w:tcPr>
            <w:tcW w:w="3957" w:type="dxa"/>
          </w:tcPr>
          <w:p>
            <w:pPr>
              <w:pStyle w:val="TableParagraph"/>
              <w:spacing w:line="210" w:lineRule="exact"/>
              <w:ind w:left="60"/>
              <w:rPr>
                <w:sz w:val="20"/>
              </w:rPr>
            </w:pPr>
            <w:r>
              <w:rPr>
                <w:sz w:val="20"/>
              </w:rPr>
              <w:t>Applied</w:t>
            </w:r>
            <w:r>
              <w:rPr>
                <w:spacing w:val="-10"/>
                <w:sz w:val="20"/>
              </w:rPr>
              <w:t> </w:t>
            </w:r>
            <w:r>
              <w:rPr>
                <w:spacing w:val="-2"/>
                <w:sz w:val="20"/>
              </w:rPr>
              <w:t>Research</w:t>
            </w:r>
          </w:p>
        </w:tc>
        <w:tc>
          <w:tcPr>
            <w:tcW w:w="902" w:type="dxa"/>
          </w:tcPr>
          <w:p>
            <w:pPr>
              <w:pStyle w:val="TableParagraph"/>
              <w:spacing w:line="210" w:lineRule="exact"/>
              <w:ind w:left="423"/>
              <w:rPr>
                <w:sz w:val="20"/>
              </w:rPr>
            </w:pPr>
            <w:r>
              <w:rPr>
                <w:w w:val="95"/>
                <w:sz w:val="20"/>
              </w:rPr>
              <w:t>B-</w:t>
            </w:r>
            <w:r>
              <w:rPr>
                <w:spacing w:val="-5"/>
                <w:sz w:val="20"/>
              </w:rPr>
              <w:t>11</w:t>
            </w:r>
          </w:p>
        </w:tc>
        <w:tc>
          <w:tcPr>
            <w:tcW w:w="3400" w:type="dxa"/>
          </w:tcPr>
          <w:p>
            <w:pPr>
              <w:pStyle w:val="TableParagraph"/>
              <w:spacing w:line="210" w:lineRule="exact"/>
              <w:ind w:left="61"/>
              <w:rPr>
                <w:sz w:val="20"/>
              </w:rPr>
            </w:pPr>
            <w:r>
              <w:rPr>
                <w:sz w:val="20"/>
              </w:rPr>
              <w:t>Building</w:t>
            </w:r>
            <w:r>
              <w:rPr>
                <w:spacing w:val="-9"/>
                <w:sz w:val="20"/>
              </w:rPr>
              <w:t> </w:t>
            </w:r>
            <w:r>
              <w:rPr>
                <w:sz w:val="20"/>
              </w:rPr>
              <w:t>Service</w:t>
            </w:r>
            <w:r>
              <w:rPr>
                <w:spacing w:val="-8"/>
                <w:sz w:val="20"/>
              </w:rPr>
              <w:t> </w:t>
            </w:r>
            <w:r>
              <w:rPr>
                <w:spacing w:val="-2"/>
                <w:sz w:val="20"/>
              </w:rPr>
              <w:t>Systems</w:t>
            </w:r>
          </w:p>
        </w:tc>
      </w:tr>
      <w:tr>
        <w:trPr>
          <w:trHeight w:val="230" w:hRule="atLeast"/>
        </w:trPr>
        <w:tc>
          <w:tcPr>
            <w:tcW w:w="530" w:type="dxa"/>
          </w:tcPr>
          <w:p>
            <w:pPr>
              <w:pStyle w:val="TableParagraph"/>
              <w:spacing w:line="210" w:lineRule="exact"/>
              <w:ind w:left="39" w:right="157"/>
              <w:jc w:val="center"/>
              <w:rPr>
                <w:sz w:val="20"/>
              </w:rPr>
            </w:pPr>
            <w:r>
              <w:rPr>
                <w:w w:val="95"/>
                <w:sz w:val="20"/>
              </w:rPr>
              <w:t>B-</w:t>
            </w:r>
            <w:r>
              <w:rPr>
                <w:spacing w:val="-10"/>
                <w:sz w:val="20"/>
              </w:rPr>
              <w:t>1</w:t>
            </w:r>
          </w:p>
        </w:tc>
        <w:tc>
          <w:tcPr>
            <w:tcW w:w="3957" w:type="dxa"/>
          </w:tcPr>
          <w:p>
            <w:pPr>
              <w:pStyle w:val="TableParagraph"/>
              <w:spacing w:line="210" w:lineRule="exact"/>
              <w:ind w:left="60"/>
              <w:rPr>
                <w:sz w:val="20"/>
              </w:rPr>
            </w:pPr>
            <w:r>
              <w:rPr>
                <w:w w:val="95"/>
                <w:sz w:val="20"/>
              </w:rPr>
              <w:t>Pre-</w:t>
            </w:r>
            <w:r>
              <w:rPr>
                <w:spacing w:val="-2"/>
                <w:sz w:val="20"/>
              </w:rPr>
              <w:t>Design</w:t>
            </w:r>
          </w:p>
        </w:tc>
        <w:tc>
          <w:tcPr>
            <w:tcW w:w="902" w:type="dxa"/>
          </w:tcPr>
          <w:p>
            <w:pPr>
              <w:pStyle w:val="TableParagraph"/>
              <w:spacing w:line="210" w:lineRule="exact"/>
              <w:ind w:left="423"/>
              <w:rPr>
                <w:sz w:val="20"/>
              </w:rPr>
            </w:pPr>
            <w:r>
              <w:rPr>
                <w:w w:val="95"/>
                <w:sz w:val="20"/>
              </w:rPr>
              <w:t>B-</w:t>
            </w:r>
            <w:r>
              <w:rPr>
                <w:spacing w:val="-5"/>
                <w:sz w:val="20"/>
              </w:rPr>
              <w:t>12</w:t>
            </w:r>
          </w:p>
        </w:tc>
        <w:tc>
          <w:tcPr>
            <w:tcW w:w="3400" w:type="dxa"/>
          </w:tcPr>
          <w:p>
            <w:pPr>
              <w:pStyle w:val="TableParagraph"/>
              <w:spacing w:line="210" w:lineRule="exact"/>
              <w:ind w:left="60"/>
              <w:rPr>
                <w:sz w:val="20"/>
              </w:rPr>
            </w:pPr>
            <w:r>
              <w:rPr>
                <w:sz w:val="20"/>
              </w:rPr>
              <w:t>Building</w:t>
            </w:r>
            <w:r>
              <w:rPr>
                <w:spacing w:val="-9"/>
                <w:sz w:val="20"/>
              </w:rPr>
              <w:t> </w:t>
            </w:r>
            <w:r>
              <w:rPr>
                <w:sz w:val="20"/>
              </w:rPr>
              <w:t>Materials</w:t>
            </w:r>
            <w:r>
              <w:rPr>
                <w:spacing w:val="-7"/>
                <w:sz w:val="20"/>
              </w:rPr>
              <w:t> </w:t>
            </w:r>
            <w:r>
              <w:rPr>
                <w:sz w:val="20"/>
              </w:rPr>
              <w:t>and</w:t>
            </w:r>
            <w:r>
              <w:rPr>
                <w:spacing w:val="-6"/>
                <w:sz w:val="20"/>
              </w:rPr>
              <w:t> </w:t>
            </w:r>
            <w:r>
              <w:rPr>
                <w:spacing w:val="-2"/>
                <w:sz w:val="20"/>
              </w:rPr>
              <w:t>Assemblies</w:t>
            </w:r>
          </w:p>
        </w:tc>
      </w:tr>
      <w:tr>
        <w:trPr>
          <w:trHeight w:val="229" w:hRule="atLeast"/>
        </w:trPr>
        <w:tc>
          <w:tcPr>
            <w:tcW w:w="530" w:type="dxa"/>
          </w:tcPr>
          <w:p>
            <w:pPr>
              <w:pStyle w:val="TableParagraph"/>
              <w:spacing w:line="209" w:lineRule="exact"/>
              <w:ind w:left="39" w:right="157"/>
              <w:jc w:val="center"/>
              <w:rPr>
                <w:sz w:val="20"/>
              </w:rPr>
            </w:pPr>
            <w:r>
              <w:rPr>
                <w:w w:val="95"/>
                <w:sz w:val="20"/>
              </w:rPr>
              <w:t>B-</w:t>
            </w:r>
            <w:r>
              <w:rPr>
                <w:spacing w:val="-10"/>
                <w:sz w:val="20"/>
              </w:rPr>
              <w:t>2</w:t>
            </w:r>
          </w:p>
        </w:tc>
        <w:tc>
          <w:tcPr>
            <w:tcW w:w="3957" w:type="dxa"/>
          </w:tcPr>
          <w:p>
            <w:pPr>
              <w:pStyle w:val="TableParagraph"/>
              <w:spacing w:line="209" w:lineRule="exact"/>
              <w:ind w:left="60"/>
              <w:rPr>
                <w:sz w:val="20"/>
              </w:rPr>
            </w:pPr>
            <w:r>
              <w:rPr>
                <w:spacing w:val="-2"/>
                <w:sz w:val="20"/>
              </w:rPr>
              <w:t>Accessibility</w:t>
            </w:r>
          </w:p>
        </w:tc>
        <w:tc>
          <w:tcPr>
            <w:tcW w:w="902" w:type="dxa"/>
          </w:tcPr>
          <w:p>
            <w:pPr>
              <w:pStyle w:val="TableParagraph"/>
              <w:spacing w:line="209" w:lineRule="exact"/>
              <w:ind w:left="422"/>
              <w:rPr>
                <w:sz w:val="20"/>
              </w:rPr>
            </w:pPr>
            <w:r>
              <w:rPr>
                <w:w w:val="95"/>
                <w:sz w:val="20"/>
              </w:rPr>
              <w:t>C-</w:t>
            </w:r>
            <w:r>
              <w:rPr>
                <w:spacing w:val="-10"/>
                <w:sz w:val="20"/>
              </w:rPr>
              <w:t>1</w:t>
            </w:r>
          </w:p>
        </w:tc>
        <w:tc>
          <w:tcPr>
            <w:tcW w:w="3400" w:type="dxa"/>
          </w:tcPr>
          <w:p>
            <w:pPr>
              <w:pStyle w:val="TableParagraph"/>
              <w:spacing w:line="209" w:lineRule="exact"/>
              <w:ind w:left="60"/>
              <w:rPr>
                <w:sz w:val="20"/>
              </w:rPr>
            </w:pPr>
            <w:r>
              <w:rPr>
                <w:spacing w:val="-2"/>
                <w:sz w:val="20"/>
              </w:rPr>
              <w:t>Collaboration</w:t>
            </w:r>
          </w:p>
        </w:tc>
      </w:tr>
      <w:tr>
        <w:trPr>
          <w:trHeight w:val="229" w:hRule="atLeast"/>
        </w:trPr>
        <w:tc>
          <w:tcPr>
            <w:tcW w:w="530" w:type="dxa"/>
          </w:tcPr>
          <w:p>
            <w:pPr>
              <w:pStyle w:val="TableParagraph"/>
              <w:spacing w:line="209" w:lineRule="exact"/>
              <w:ind w:left="39" w:right="157"/>
              <w:jc w:val="center"/>
              <w:rPr>
                <w:sz w:val="20"/>
              </w:rPr>
            </w:pPr>
            <w:r>
              <w:rPr>
                <w:w w:val="95"/>
                <w:sz w:val="20"/>
              </w:rPr>
              <w:t>B-</w:t>
            </w:r>
            <w:r>
              <w:rPr>
                <w:spacing w:val="-10"/>
                <w:sz w:val="20"/>
              </w:rPr>
              <w:t>3</w:t>
            </w:r>
          </w:p>
        </w:tc>
        <w:tc>
          <w:tcPr>
            <w:tcW w:w="3957" w:type="dxa"/>
          </w:tcPr>
          <w:p>
            <w:pPr>
              <w:pStyle w:val="TableParagraph"/>
              <w:spacing w:line="209" w:lineRule="exact"/>
              <w:ind w:left="60"/>
              <w:rPr>
                <w:sz w:val="20"/>
              </w:rPr>
            </w:pPr>
            <w:r>
              <w:rPr>
                <w:spacing w:val="-2"/>
                <w:sz w:val="20"/>
              </w:rPr>
              <w:t>Sustainability</w:t>
            </w:r>
          </w:p>
        </w:tc>
        <w:tc>
          <w:tcPr>
            <w:tcW w:w="902" w:type="dxa"/>
          </w:tcPr>
          <w:p>
            <w:pPr>
              <w:pStyle w:val="TableParagraph"/>
              <w:spacing w:line="209" w:lineRule="exact"/>
              <w:ind w:left="422"/>
              <w:rPr>
                <w:sz w:val="20"/>
              </w:rPr>
            </w:pPr>
            <w:r>
              <w:rPr>
                <w:w w:val="95"/>
                <w:sz w:val="20"/>
              </w:rPr>
              <w:t>C-</w:t>
            </w:r>
            <w:r>
              <w:rPr>
                <w:spacing w:val="-10"/>
                <w:sz w:val="20"/>
              </w:rPr>
              <w:t>3</w:t>
            </w:r>
          </w:p>
        </w:tc>
        <w:tc>
          <w:tcPr>
            <w:tcW w:w="3400" w:type="dxa"/>
          </w:tcPr>
          <w:p>
            <w:pPr>
              <w:pStyle w:val="TableParagraph"/>
              <w:spacing w:line="209" w:lineRule="exact"/>
              <w:ind w:left="60"/>
              <w:rPr>
                <w:sz w:val="20"/>
              </w:rPr>
            </w:pPr>
            <w:r>
              <w:rPr>
                <w:sz w:val="20"/>
              </w:rPr>
              <w:t>Client</w:t>
            </w:r>
            <w:r>
              <w:rPr>
                <w:spacing w:val="-5"/>
                <w:sz w:val="20"/>
              </w:rPr>
              <w:t> </w:t>
            </w:r>
            <w:r>
              <w:rPr>
                <w:sz w:val="20"/>
              </w:rPr>
              <w:t>Role</w:t>
            </w:r>
            <w:r>
              <w:rPr>
                <w:spacing w:val="-5"/>
                <w:sz w:val="20"/>
              </w:rPr>
              <w:t> </w:t>
            </w:r>
            <w:r>
              <w:rPr>
                <w:sz w:val="20"/>
              </w:rPr>
              <w:t>in</w:t>
            </w:r>
            <w:r>
              <w:rPr>
                <w:spacing w:val="-4"/>
                <w:sz w:val="20"/>
              </w:rPr>
              <w:t> </w:t>
            </w:r>
            <w:r>
              <w:rPr>
                <w:spacing w:val="-2"/>
                <w:sz w:val="20"/>
              </w:rPr>
              <w:t>Architecture</w:t>
            </w:r>
          </w:p>
        </w:tc>
      </w:tr>
      <w:tr>
        <w:trPr>
          <w:trHeight w:val="230" w:hRule="atLeast"/>
        </w:trPr>
        <w:tc>
          <w:tcPr>
            <w:tcW w:w="530" w:type="dxa"/>
          </w:tcPr>
          <w:p>
            <w:pPr>
              <w:pStyle w:val="TableParagraph"/>
              <w:spacing w:line="210" w:lineRule="exact"/>
              <w:ind w:left="39" w:right="157"/>
              <w:jc w:val="center"/>
              <w:rPr>
                <w:sz w:val="20"/>
              </w:rPr>
            </w:pPr>
            <w:r>
              <w:rPr>
                <w:w w:val="95"/>
                <w:sz w:val="20"/>
              </w:rPr>
              <w:t>B-</w:t>
            </w:r>
            <w:r>
              <w:rPr>
                <w:spacing w:val="-10"/>
                <w:sz w:val="20"/>
              </w:rPr>
              <w:t>4</w:t>
            </w:r>
          </w:p>
        </w:tc>
        <w:tc>
          <w:tcPr>
            <w:tcW w:w="3957" w:type="dxa"/>
          </w:tcPr>
          <w:p>
            <w:pPr>
              <w:pStyle w:val="TableParagraph"/>
              <w:spacing w:line="210" w:lineRule="exact"/>
              <w:ind w:left="60"/>
              <w:rPr>
                <w:sz w:val="20"/>
              </w:rPr>
            </w:pPr>
            <w:r>
              <w:rPr>
                <w:sz w:val="20"/>
              </w:rPr>
              <w:t>Site</w:t>
            </w:r>
            <w:r>
              <w:rPr>
                <w:spacing w:val="-6"/>
                <w:sz w:val="20"/>
              </w:rPr>
              <w:t> </w:t>
            </w:r>
            <w:r>
              <w:rPr>
                <w:spacing w:val="-2"/>
                <w:sz w:val="20"/>
              </w:rPr>
              <w:t>Design</w:t>
            </w:r>
          </w:p>
        </w:tc>
        <w:tc>
          <w:tcPr>
            <w:tcW w:w="902" w:type="dxa"/>
          </w:tcPr>
          <w:p>
            <w:pPr>
              <w:pStyle w:val="TableParagraph"/>
              <w:spacing w:line="210" w:lineRule="exact"/>
              <w:ind w:left="422"/>
              <w:rPr>
                <w:sz w:val="20"/>
              </w:rPr>
            </w:pPr>
            <w:r>
              <w:rPr>
                <w:w w:val="95"/>
                <w:sz w:val="20"/>
              </w:rPr>
              <w:t>C-</w:t>
            </w:r>
            <w:r>
              <w:rPr>
                <w:spacing w:val="-10"/>
                <w:sz w:val="20"/>
              </w:rPr>
              <w:t>6</w:t>
            </w:r>
          </w:p>
        </w:tc>
        <w:tc>
          <w:tcPr>
            <w:tcW w:w="3400" w:type="dxa"/>
          </w:tcPr>
          <w:p>
            <w:pPr>
              <w:pStyle w:val="TableParagraph"/>
              <w:spacing w:line="210" w:lineRule="exact"/>
              <w:ind w:left="60"/>
              <w:rPr>
                <w:sz w:val="20"/>
              </w:rPr>
            </w:pPr>
            <w:r>
              <w:rPr>
                <w:spacing w:val="-2"/>
                <w:sz w:val="20"/>
              </w:rPr>
              <w:t>Leadership</w:t>
            </w:r>
          </w:p>
        </w:tc>
      </w:tr>
      <w:tr>
        <w:trPr>
          <w:trHeight w:val="226" w:hRule="atLeast"/>
        </w:trPr>
        <w:tc>
          <w:tcPr>
            <w:tcW w:w="530" w:type="dxa"/>
          </w:tcPr>
          <w:p>
            <w:pPr>
              <w:pStyle w:val="TableParagraph"/>
              <w:spacing w:line="207" w:lineRule="exact"/>
              <w:ind w:left="40" w:right="157"/>
              <w:jc w:val="center"/>
              <w:rPr>
                <w:sz w:val="20"/>
              </w:rPr>
            </w:pPr>
            <w:r>
              <w:rPr>
                <w:w w:val="95"/>
                <w:sz w:val="20"/>
              </w:rPr>
              <w:t>B-</w:t>
            </w:r>
            <w:r>
              <w:rPr>
                <w:spacing w:val="-10"/>
                <w:sz w:val="20"/>
              </w:rPr>
              <w:t>5</w:t>
            </w:r>
          </w:p>
        </w:tc>
        <w:tc>
          <w:tcPr>
            <w:tcW w:w="3957" w:type="dxa"/>
          </w:tcPr>
          <w:p>
            <w:pPr>
              <w:pStyle w:val="TableParagraph"/>
              <w:spacing w:line="207" w:lineRule="exact"/>
              <w:ind w:left="60"/>
              <w:rPr>
                <w:sz w:val="20"/>
              </w:rPr>
            </w:pPr>
            <w:r>
              <w:rPr>
                <w:sz w:val="20"/>
              </w:rPr>
              <w:t>Life</w:t>
            </w:r>
            <w:r>
              <w:rPr>
                <w:spacing w:val="-6"/>
                <w:sz w:val="20"/>
              </w:rPr>
              <w:t> </w:t>
            </w:r>
            <w:r>
              <w:rPr>
                <w:spacing w:val="-2"/>
                <w:sz w:val="20"/>
              </w:rPr>
              <w:t>Safety</w:t>
            </w:r>
          </w:p>
        </w:tc>
        <w:tc>
          <w:tcPr>
            <w:tcW w:w="902" w:type="dxa"/>
          </w:tcPr>
          <w:p>
            <w:pPr>
              <w:pStyle w:val="TableParagraph"/>
              <w:spacing w:line="207" w:lineRule="exact"/>
              <w:ind w:left="422"/>
              <w:rPr>
                <w:sz w:val="20"/>
              </w:rPr>
            </w:pPr>
            <w:r>
              <w:rPr>
                <w:w w:val="95"/>
                <w:sz w:val="20"/>
              </w:rPr>
              <w:t>C-</w:t>
            </w:r>
            <w:r>
              <w:rPr>
                <w:spacing w:val="-10"/>
                <w:sz w:val="20"/>
              </w:rPr>
              <w:t>9</w:t>
            </w:r>
          </w:p>
        </w:tc>
        <w:tc>
          <w:tcPr>
            <w:tcW w:w="3400" w:type="dxa"/>
          </w:tcPr>
          <w:p>
            <w:pPr>
              <w:pStyle w:val="TableParagraph"/>
              <w:spacing w:line="207" w:lineRule="exact"/>
              <w:ind w:left="60"/>
              <w:rPr>
                <w:sz w:val="20"/>
              </w:rPr>
            </w:pPr>
            <w:r>
              <w:rPr>
                <w:sz w:val="20"/>
              </w:rPr>
              <w:t>Community</w:t>
            </w:r>
            <w:r>
              <w:rPr>
                <w:spacing w:val="-9"/>
                <w:sz w:val="20"/>
              </w:rPr>
              <w:t> </w:t>
            </w:r>
            <w:r>
              <w:rPr>
                <w:sz w:val="20"/>
              </w:rPr>
              <w:t>and</w:t>
            </w:r>
            <w:r>
              <w:rPr>
                <w:spacing w:val="-6"/>
                <w:sz w:val="20"/>
              </w:rPr>
              <w:t> </w:t>
            </w:r>
            <w:r>
              <w:rPr>
                <w:sz w:val="20"/>
              </w:rPr>
              <w:t>Social</w:t>
            </w:r>
            <w:r>
              <w:rPr>
                <w:spacing w:val="-6"/>
                <w:sz w:val="20"/>
              </w:rPr>
              <w:t> </w:t>
            </w:r>
            <w:r>
              <w:rPr>
                <w:spacing w:val="-2"/>
                <w:sz w:val="20"/>
              </w:rPr>
              <w:t>Responsibility</w:t>
            </w:r>
          </w:p>
        </w:tc>
      </w:tr>
    </w:tbl>
    <w:p>
      <w:pPr>
        <w:spacing w:before="123"/>
        <w:ind w:left="437" w:right="0" w:firstLine="0"/>
        <w:jc w:val="left"/>
        <w:rPr>
          <w:b/>
          <w:sz w:val="20"/>
        </w:rPr>
      </w:pPr>
      <w:r>
        <w:rPr>
          <w:b/>
          <w:sz w:val="20"/>
        </w:rPr>
        <w:t>Topical</w:t>
      </w:r>
      <w:r>
        <w:rPr>
          <w:b/>
          <w:spacing w:val="-10"/>
          <w:sz w:val="20"/>
        </w:rPr>
        <w:t> </w:t>
      </w:r>
      <w:r>
        <w:rPr>
          <w:b/>
          <w:spacing w:val="-2"/>
          <w:sz w:val="20"/>
        </w:rPr>
        <w:t>Outline</w:t>
      </w:r>
    </w:p>
    <w:p>
      <w:pPr>
        <w:pStyle w:val="BodyText"/>
        <w:spacing w:before="6"/>
        <w:rPr>
          <w:b/>
          <w:sz w:val="11"/>
        </w:rPr>
      </w:pPr>
    </w:p>
    <w:tbl>
      <w:tblPr>
        <w:tblW w:w="0" w:type="auto"/>
        <w:jc w:val="left"/>
        <w:tblInd w:w="9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1"/>
        <w:gridCol w:w="7659"/>
      </w:tblGrid>
      <w:tr>
        <w:trPr>
          <w:trHeight w:val="243" w:hRule="atLeast"/>
        </w:trPr>
        <w:tc>
          <w:tcPr>
            <w:tcW w:w="501" w:type="dxa"/>
          </w:tcPr>
          <w:p>
            <w:pPr>
              <w:pStyle w:val="TableParagraph"/>
              <w:spacing w:line="223" w:lineRule="exact"/>
              <w:ind w:left="50"/>
              <w:rPr>
                <w:sz w:val="20"/>
              </w:rPr>
            </w:pPr>
            <w:r>
              <w:rPr>
                <w:spacing w:val="-5"/>
                <w:sz w:val="20"/>
              </w:rPr>
              <w:t>10%</w:t>
            </w:r>
          </w:p>
        </w:tc>
        <w:tc>
          <w:tcPr>
            <w:tcW w:w="7659" w:type="dxa"/>
          </w:tcPr>
          <w:p>
            <w:pPr>
              <w:pStyle w:val="TableParagraph"/>
              <w:spacing w:line="223" w:lineRule="exact"/>
              <w:ind w:left="53"/>
              <w:rPr>
                <w:sz w:val="20"/>
              </w:rPr>
            </w:pPr>
            <w:r>
              <w:rPr>
                <w:sz w:val="20"/>
              </w:rPr>
              <w:t>Design</w:t>
            </w:r>
            <w:r>
              <w:rPr>
                <w:spacing w:val="-7"/>
                <w:sz w:val="20"/>
              </w:rPr>
              <w:t> </w:t>
            </w:r>
            <w:r>
              <w:rPr>
                <w:sz w:val="20"/>
              </w:rPr>
              <w:t>Project</w:t>
            </w:r>
            <w:r>
              <w:rPr>
                <w:spacing w:val="-5"/>
                <w:sz w:val="20"/>
              </w:rPr>
              <w:t> </w:t>
            </w:r>
            <w:r>
              <w:rPr>
                <w:sz w:val="20"/>
              </w:rPr>
              <w:t>Assignment</w:t>
            </w:r>
            <w:r>
              <w:rPr>
                <w:spacing w:val="-6"/>
                <w:sz w:val="20"/>
              </w:rPr>
              <w:t> </w:t>
            </w:r>
            <w:r>
              <w:rPr>
                <w:sz w:val="20"/>
              </w:rPr>
              <w:t>–</w:t>
            </w:r>
            <w:r>
              <w:rPr>
                <w:spacing w:val="-8"/>
                <w:sz w:val="20"/>
              </w:rPr>
              <w:t> </w:t>
            </w:r>
            <w:r>
              <w:rPr>
                <w:spacing w:val="-10"/>
                <w:sz w:val="20"/>
              </w:rPr>
              <w:t>1</w:t>
            </w:r>
          </w:p>
        </w:tc>
      </w:tr>
      <w:tr>
        <w:trPr>
          <w:trHeight w:val="263" w:hRule="atLeast"/>
        </w:trPr>
        <w:tc>
          <w:tcPr>
            <w:tcW w:w="501" w:type="dxa"/>
          </w:tcPr>
          <w:p>
            <w:pPr>
              <w:pStyle w:val="TableParagraph"/>
              <w:spacing w:before="13"/>
              <w:ind w:left="50"/>
              <w:rPr>
                <w:sz w:val="20"/>
              </w:rPr>
            </w:pPr>
            <w:r>
              <w:rPr>
                <w:spacing w:val="-5"/>
                <w:sz w:val="20"/>
              </w:rPr>
              <w:t>40%</w:t>
            </w:r>
          </w:p>
        </w:tc>
        <w:tc>
          <w:tcPr>
            <w:tcW w:w="7659" w:type="dxa"/>
          </w:tcPr>
          <w:p>
            <w:pPr>
              <w:pStyle w:val="TableParagraph"/>
              <w:spacing w:before="13"/>
              <w:ind w:left="52"/>
              <w:rPr>
                <w:sz w:val="20"/>
              </w:rPr>
            </w:pPr>
            <w:r>
              <w:rPr>
                <w:sz w:val="20"/>
              </w:rPr>
              <w:t>Design</w:t>
            </w:r>
            <w:r>
              <w:rPr>
                <w:spacing w:val="-7"/>
                <w:sz w:val="20"/>
              </w:rPr>
              <w:t> </w:t>
            </w:r>
            <w:r>
              <w:rPr>
                <w:sz w:val="20"/>
              </w:rPr>
              <w:t>Project</w:t>
            </w:r>
            <w:r>
              <w:rPr>
                <w:spacing w:val="-6"/>
                <w:sz w:val="20"/>
              </w:rPr>
              <w:t> </w:t>
            </w:r>
            <w:r>
              <w:rPr>
                <w:sz w:val="20"/>
              </w:rPr>
              <w:t>Assignment</w:t>
            </w:r>
            <w:r>
              <w:rPr>
                <w:spacing w:val="-6"/>
                <w:sz w:val="20"/>
              </w:rPr>
              <w:t> </w:t>
            </w:r>
            <w:r>
              <w:rPr>
                <w:sz w:val="20"/>
              </w:rPr>
              <w:t>–</w:t>
            </w:r>
            <w:r>
              <w:rPr>
                <w:spacing w:val="-9"/>
                <w:sz w:val="20"/>
              </w:rPr>
              <w:t> </w:t>
            </w:r>
            <w:r>
              <w:rPr>
                <w:spacing w:val="-10"/>
                <w:sz w:val="20"/>
              </w:rPr>
              <w:t>2</w:t>
            </w:r>
          </w:p>
        </w:tc>
      </w:tr>
      <w:tr>
        <w:trPr>
          <w:trHeight w:val="262" w:hRule="atLeast"/>
        </w:trPr>
        <w:tc>
          <w:tcPr>
            <w:tcW w:w="501" w:type="dxa"/>
          </w:tcPr>
          <w:p>
            <w:pPr>
              <w:pStyle w:val="TableParagraph"/>
              <w:spacing w:line="229" w:lineRule="exact" w:before="13"/>
              <w:ind w:left="50"/>
              <w:rPr>
                <w:sz w:val="20"/>
              </w:rPr>
            </w:pPr>
            <w:r>
              <w:rPr>
                <w:spacing w:val="-5"/>
                <w:sz w:val="20"/>
              </w:rPr>
              <w:t>40%</w:t>
            </w:r>
          </w:p>
        </w:tc>
        <w:tc>
          <w:tcPr>
            <w:tcW w:w="7659" w:type="dxa"/>
          </w:tcPr>
          <w:p>
            <w:pPr>
              <w:pStyle w:val="TableParagraph"/>
              <w:spacing w:line="229" w:lineRule="exact" w:before="13"/>
              <w:ind w:left="52"/>
              <w:rPr>
                <w:sz w:val="20"/>
              </w:rPr>
            </w:pPr>
            <w:r>
              <w:rPr>
                <w:sz w:val="20"/>
              </w:rPr>
              <w:t>Urban</w:t>
            </w:r>
            <w:r>
              <w:rPr>
                <w:spacing w:val="-9"/>
                <w:sz w:val="20"/>
              </w:rPr>
              <w:t> </w:t>
            </w:r>
            <w:r>
              <w:rPr>
                <w:spacing w:val="-2"/>
                <w:sz w:val="20"/>
              </w:rPr>
              <w:t>Design</w:t>
            </w:r>
          </w:p>
        </w:tc>
      </w:tr>
      <w:tr>
        <w:trPr>
          <w:trHeight w:val="242" w:hRule="atLeast"/>
        </w:trPr>
        <w:tc>
          <w:tcPr>
            <w:tcW w:w="501" w:type="dxa"/>
          </w:tcPr>
          <w:p>
            <w:pPr>
              <w:pStyle w:val="TableParagraph"/>
              <w:spacing w:line="210" w:lineRule="exact" w:before="12"/>
              <w:ind w:left="50"/>
              <w:rPr>
                <w:sz w:val="20"/>
              </w:rPr>
            </w:pPr>
            <w:r>
              <w:rPr>
                <w:spacing w:val="-5"/>
                <w:sz w:val="20"/>
              </w:rPr>
              <w:t>10%</w:t>
            </w:r>
          </w:p>
        </w:tc>
        <w:tc>
          <w:tcPr>
            <w:tcW w:w="7659" w:type="dxa"/>
          </w:tcPr>
          <w:p>
            <w:pPr>
              <w:pStyle w:val="TableParagraph"/>
              <w:spacing w:line="210" w:lineRule="exact" w:before="12"/>
              <w:ind w:left="52"/>
              <w:rPr>
                <w:sz w:val="20"/>
              </w:rPr>
            </w:pPr>
            <w:r>
              <w:rPr>
                <w:sz w:val="20"/>
              </w:rPr>
              <w:t>Professional</w:t>
            </w:r>
            <w:r>
              <w:rPr>
                <w:spacing w:val="-10"/>
                <w:sz w:val="20"/>
              </w:rPr>
              <w:t> </w:t>
            </w:r>
            <w:r>
              <w:rPr>
                <w:sz w:val="20"/>
              </w:rPr>
              <w:t>Design</w:t>
            </w:r>
            <w:r>
              <w:rPr>
                <w:spacing w:val="-6"/>
                <w:sz w:val="20"/>
              </w:rPr>
              <w:t> </w:t>
            </w:r>
            <w:r>
              <w:rPr>
                <w:sz w:val="20"/>
              </w:rPr>
              <w:t>Practice,</w:t>
            </w:r>
            <w:r>
              <w:rPr>
                <w:spacing w:val="-9"/>
                <w:sz w:val="20"/>
              </w:rPr>
              <w:t> </w:t>
            </w:r>
            <w:r>
              <w:rPr>
                <w:sz w:val="20"/>
              </w:rPr>
              <w:t>including</w:t>
            </w:r>
            <w:r>
              <w:rPr>
                <w:spacing w:val="-8"/>
                <w:sz w:val="20"/>
              </w:rPr>
              <w:t> </w:t>
            </w:r>
            <w:r>
              <w:rPr>
                <w:sz w:val="20"/>
              </w:rPr>
              <w:t>Leadership,</w:t>
            </w:r>
            <w:r>
              <w:rPr>
                <w:spacing w:val="-7"/>
                <w:sz w:val="20"/>
              </w:rPr>
              <w:t> </w:t>
            </w:r>
            <w:r>
              <w:rPr>
                <w:sz w:val="20"/>
              </w:rPr>
              <w:t>attendance,</w:t>
            </w:r>
            <w:r>
              <w:rPr>
                <w:spacing w:val="-8"/>
                <w:sz w:val="20"/>
              </w:rPr>
              <w:t> </w:t>
            </w:r>
            <w:r>
              <w:rPr>
                <w:sz w:val="20"/>
              </w:rPr>
              <w:t>as</w:t>
            </w:r>
            <w:r>
              <w:rPr>
                <w:spacing w:val="-5"/>
                <w:sz w:val="20"/>
              </w:rPr>
              <w:t> </w:t>
            </w:r>
            <w:r>
              <w:rPr>
                <w:sz w:val="20"/>
              </w:rPr>
              <w:t>well</w:t>
            </w:r>
            <w:r>
              <w:rPr>
                <w:spacing w:val="-9"/>
                <w:sz w:val="20"/>
              </w:rPr>
              <w:t> </w:t>
            </w:r>
            <w:r>
              <w:rPr>
                <w:sz w:val="20"/>
              </w:rPr>
              <w:t>as</w:t>
            </w:r>
            <w:r>
              <w:rPr>
                <w:spacing w:val="-8"/>
                <w:sz w:val="20"/>
              </w:rPr>
              <w:t> </w:t>
            </w:r>
            <w:r>
              <w:rPr>
                <w:sz w:val="20"/>
              </w:rPr>
              <w:t>active</w:t>
            </w:r>
            <w:r>
              <w:rPr>
                <w:spacing w:val="-6"/>
                <w:sz w:val="20"/>
              </w:rPr>
              <w:t> </w:t>
            </w:r>
            <w:r>
              <w:rPr>
                <w:spacing w:val="-5"/>
                <w:sz w:val="20"/>
              </w:rPr>
              <w:t>and</w:t>
            </w:r>
          </w:p>
        </w:tc>
      </w:tr>
    </w:tbl>
    <w:p>
      <w:pPr>
        <w:pStyle w:val="BodyText"/>
        <w:spacing w:before="2"/>
        <w:ind w:right="6459"/>
        <w:jc w:val="center"/>
      </w:pPr>
      <w:r>
        <w:rPr/>
        <w:t>engaged</w:t>
      </w:r>
      <w:r>
        <w:rPr>
          <w:spacing w:val="-10"/>
        </w:rPr>
        <w:t> </w:t>
      </w:r>
      <w:r>
        <w:rPr>
          <w:spacing w:val="-2"/>
        </w:rPr>
        <w:t>Participation</w:t>
      </w:r>
    </w:p>
    <w:p>
      <w:pPr>
        <w:spacing w:before="118"/>
        <w:ind w:left="437" w:right="0" w:firstLine="0"/>
        <w:jc w:val="left"/>
        <w:rPr>
          <w:b/>
          <w:sz w:val="20"/>
        </w:rPr>
      </w:pPr>
      <w:r>
        <w:rPr>
          <w:b/>
          <w:spacing w:val="-2"/>
          <w:sz w:val="20"/>
        </w:rPr>
        <w:t>Prerequisites:</w:t>
      </w:r>
    </w:p>
    <w:p>
      <w:pPr>
        <w:pStyle w:val="BodyText"/>
        <w:spacing w:before="123"/>
        <w:ind w:left="1157"/>
      </w:pPr>
      <w:r>
        <w:rPr/>
        <w:t>ARC</w:t>
      </w:r>
      <w:r>
        <w:rPr>
          <w:spacing w:val="-5"/>
        </w:rPr>
        <w:t> </w:t>
      </w:r>
      <w:r>
        <w:rPr/>
        <w:t>304,</w:t>
      </w:r>
      <w:r>
        <w:rPr>
          <w:spacing w:val="-3"/>
        </w:rPr>
        <w:t> </w:t>
      </w:r>
      <w:r>
        <w:rPr/>
        <w:t>ARC</w:t>
      </w:r>
      <w:r>
        <w:rPr>
          <w:spacing w:val="-2"/>
        </w:rPr>
        <w:t> </w:t>
      </w:r>
      <w:r>
        <w:rPr/>
        <w:t>207,</w:t>
      </w:r>
      <w:r>
        <w:rPr>
          <w:spacing w:val="-3"/>
        </w:rPr>
        <w:t> </w:t>
      </w:r>
      <w:r>
        <w:rPr/>
        <w:t>ARC</w:t>
      </w:r>
      <w:r>
        <w:rPr>
          <w:spacing w:val="-4"/>
        </w:rPr>
        <w:t> </w:t>
      </w:r>
      <w:r>
        <w:rPr/>
        <w:t>208,</w:t>
      </w:r>
      <w:r>
        <w:rPr>
          <w:spacing w:val="-3"/>
        </w:rPr>
        <w:t> </w:t>
      </w:r>
      <w:r>
        <w:rPr/>
        <w:t>ARC</w:t>
      </w:r>
      <w:r>
        <w:rPr>
          <w:spacing w:val="-5"/>
        </w:rPr>
        <w:t> </w:t>
      </w:r>
      <w:r>
        <w:rPr/>
        <w:t>310</w:t>
      </w:r>
      <w:r>
        <w:rPr>
          <w:spacing w:val="-3"/>
        </w:rPr>
        <w:t> </w:t>
      </w:r>
      <w:r>
        <w:rPr/>
        <w:t>ARC</w:t>
      </w:r>
      <w:r>
        <w:rPr>
          <w:spacing w:val="-2"/>
        </w:rPr>
        <w:t> </w:t>
      </w:r>
      <w:r>
        <w:rPr/>
        <w:t>314,</w:t>
      </w:r>
      <w:r>
        <w:rPr>
          <w:spacing w:val="-4"/>
        </w:rPr>
        <w:t> </w:t>
      </w:r>
      <w:r>
        <w:rPr/>
        <w:t>ARC</w:t>
      </w:r>
      <w:r>
        <w:rPr>
          <w:spacing w:val="-5"/>
        </w:rPr>
        <w:t> </w:t>
      </w:r>
      <w:r>
        <w:rPr/>
        <w:t>315,</w:t>
      </w:r>
      <w:r>
        <w:rPr>
          <w:spacing w:val="-5"/>
        </w:rPr>
        <w:t> </w:t>
      </w:r>
      <w:r>
        <w:rPr/>
        <w:t>and</w:t>
      </w:r>
      <w:r>
        <w:rPr>
          <w:spacing w:val="-4"/>
        </w:rPr>
        <w:t> </w:t>
      </w:r>
      <w:r>
        <w:rPr/>
        <w:t>ARC</w:t>
      </w:r>
      <w:r>
        <w:rPr>
          <w:spacing w:val="-5"/>
        </w:rPr>
        <w:t> </w:t>
      </w:r>
      <w:r>
        <w:rPr/>
        <w:t>405.</w:t>
      </w:r>
      <w:r>
        <w:rPr>
          <w:spacing w:val="-4"/>
        </w:rPr>
        <w:t> </w:t>
      </w:r>
      <w:r>
        <w:rPr/>
        <w:t>The</w:t>
      </w:r>
      <w:r>
        <w:rPr>
          <w:spacing w:val="-3"/>
        </w:rPr>
        <w:t> </w:t>
      </w:r>
      <w:r>
        <w:rPr>
          <w:spacing w:val="-2"/>
        </w:rPr>
        <w:t>university</w:t>
      </w:r>
    </w:p>
    <w:p>
      <w:pPr>
        <w:pStyle w:val="BodyText"/>
        <w:spacing w:before="1"/>
        <w:ind w:left="1157" w:right="642"/>
      </w:pPr>
      <w:r>
        <w:rPr/>
        <w:t>catalog</w:t>
      </w:r>
      <w:r>
        <w:rPr>
          <w:spacing w:val="-5"/>
        </w:rPr>
        <w:t> </w:t>
      </w:r>
      <w:r>
        <w:rPr/>
        <w:t>states:</w:t>
      </w:r>
      <w:r>
        <w:rPr>
          <w:spacing w:val="-5"/>
        </w:rPr>
        <w:t> </w:t>
      </w:r>
      <w:r>
        <w:rPr/>
        <w:t>“Architecture</w:t>
      </w:r>
      <w:r>
        <w:rPr>
          <w:spacing w:val="-5"/>
        </w:rPr>
        <w:t> </w:t>
      </w:r>
      <w:r>
        <w:rPr/>
        <w:t>students</w:t>
      </w:r>
      <w:r>
        <w:rPr>
          <w:spacing w:val="-4"/>
        </w:rPr>
        <w:t> </w:t>
      </w:r>
      <w:r>
        <w:rPr/>
        <w:t>must</w:t>
      </w:r>
      <w:r>
        <w:rPr>
          <w:spacing w:val="-5"/>
        </w:rPr>
        <w:t> </w:t>
      </w:r>
      <w:r>
        <w:rPr/>
        <w:t>have</w:t>
      </w:r>
      <w:r>
        <w:rPr>
          <w:spacing w:val="-5"/>
        </w:rPr>
        <w:t> </w:t>
      </w:r>
      <w:r>
        <w:rPr/>
        <w:t>completed</w:t>
      </w:r>
      <w:r>
        <w:rPr>
          <w:spacing w:val="-5"/>
        </w:rPr>
        <w:t> </w:t>
      </w:r>
      <w:r>
        <w:rPr/>
        <w:t>all</w:t>
      </w:r>
      <w:r>
        <w:rPr>
          <w:spacing w:val="-6"/>
        </w:rPr>
        <w:t> </w:t>
      </w:r>
      <w:r>
        <w:rPr/>
        <w:t>studio</w:t>
      </w:r>
      <w:r>
        <w:rPr>
          <w:spacing w:val="-5"/>
        </w:rPr>
        <w:t> </w:t>
      </w:r>
      <w:r>
        <w:rPr/>
        <w:t>and</w:t>
      </w:r>
      <w:r>
        <w:rPr>
          <w:spacing w:val="-5"/>
        </w:rPr>
        <w:t> </w:t>
      </w:r>
      <w:r>
        <w:rPr/>
        <w:t>related</w:t>
      </w:r>
      <w:r>
        <w:rPr>
          <w:spacing w:val="-3"/>
        </w:rPr>
        <w:t> </w:t>
      </w:r>
      <w:r>
        <w:rPr/>
        <w:t>prerequisites before being admitted to the fourth-year design studio at Hampton University.</w:t>
      </w:r>
    </w:p>
    <w:p>
      <w:pPr>
        <w:spacing w:before="116"/>
        <w:ind w:left="0" w:right="6501" w:firstLine="0"/>
        <w:jc w:val="center"/>
        <w:rPr>
          <w:b/>
          <w:sz w:val="20"/>
        </w:rPr>
      </w:pPr>
      <w:r>
        <w:rPr>
          <w:b/>
          <w:w w:val="95"/>
          <w:sz w:val="20"/>
        </w:rPr>
        <w:t>Textbooks/Learning</w:t>
      </w:r>
      <w:r>
        <w:rPr>
          <w:b/>
          <w:spacing w:val="70"/>
          <w:sz w:val="20"/>
        </w:rPr>
        <w:t> </w:t>
      </w:r>
      <w:r>
        <w:rPr>
          <w:b/>
          <w:spacing w:val="-2"/>
          <w:sz w:val="20"/>
        </w:rPr>
        <w:t>Resources:</w:t>
      </w:r>
    </w:p>
    <w:p>
      <w:pPr>
        <w:pStyle w:val="BodyText"/>
        <w:spacing w:before="123"/>
        <w:ind w:left="1157" w:right="1348"/>
        <w:jc w:val="both"/>
      </w:pPr>
      <w:r>
        <w:rPr/>
        <w:t>Students</w:t>
      </w:r>
      <w:r>
        <w:rPr>
          <w:spacing w:val="-2"/>
        </w:rPr>
        <w:t> </w:t>
      </w:r>
      <w:r>
        <w:rPr/>
        <w:t>are</w:t>
      </w:r>
      <w:r>
        <w:rPr>
          <w:spacing w:val="-3"/>
        </w:rPr>
        <w:t> </w:t>
      </w:r>
      <w:r>
        <w:rPr/>
        <w:t>required</w:t>
      </w:r>
      <w:r>
        <w:rPr>
          <w:spacing w:val="-1"/>
        </w:rPr>
        <w:t> </w:t>
      </w:r>
      <w:r>
        <w:rPr/>
        <w:t>to</w:t>
      </w:r>
      <w:r>
        <w:rPr>
          <w:spacing w:val="-1"/>
        </w:rPr>
        <w:t> </w:t>
      </w:r>
      <w:r>
        <w:rPr/>
        <w:t>obtain</w:t>
      </w:r>
      <w:r>
        <w:rPr>
          <w:spacing w:val="-1"/>
        </w:rPr>
        <w:t> </w:t>
      </w:r>
      <w:r>
        <w:rPr/>
        <w:t>a</w:t>
      </w:r>
      <w:r>
        <w:rPr>
          <w:spacing w:val="-3"/>
        </w:rPr>
        <w:t> </w:t>
      </w:r>
      <w:r>
        <w:rPr/>
        <w:t>copy</w:t>
      </w:r>
      <w:r>
        <w:rPr>
          <w:spacing w:val="-6"/>
        </w:rPr>
        <w:t> </w:t>
      </w:r>
      <w:r>
        <w:rPr/>
        <w:t>(digital</w:t>
      </w:r>
      <w:r>
        <w:rPr>
          <w:spacing w:val="-4"/>
        </w:rPr>
        <w:t> </w:t>
      </w:r>
      <w:r>
        <w:rPr/>
        <w:t>or</w:t>
      </w:r>
      <w:r>
        <w:rPr>
          <w:spacing w:val="-2"/>
        </w:rPr>
        <w:t> </w:t>
      </w:r>
      <w:r>
        <w:rPr/>
        <w:t>hardcopy) of</w:t>
      </w:r>
      <w:r>
        <w:rPr>
          <w:spacing w:val="-1"/>
        </w:rPr>
        <w:t> </w:t>
      </w:r>
      <w:r>
        <w:rPr/>
        <w:t>the</w:t>
      </w:r>
      <w:r>
        <w:rPr>
          <w:spacing w:val="-3"/>
        </w:rPr>
        <w:t> </w:t>
      </w:r>
      <w:r>
        <w:rPr/>
        <w:t>ICC/ANSI</w:t>
      </w:r>
      <w:r>
        <w:rPr>
          <w:spacing w:val="-1"/>
        </w:rPr>
        <w:t> </w:t>
      </w:r>
      <w:r>
        <w:rPr/>
        <w:t>A117.1-2003 Standard</w:t>
      </w:r>
      <w:r>
        <w:rPr>
          <w:spacing w:val="-3"/>
        </w:rPr>
        <w:t> </w:t>
      </w:r>
      <w:r>
        <w:rPr/>
        <w:t>on</w:t>
      </w:r>
      <w:r>
        <w:rPr>
          <w:spacing w:val="-3"/>
        </w:rPr>
        <w:t> </w:t>
      </w:r>
      <w:r>
        <w:rPr/>
        <w:t>Accessible</w:t>
      </w:r>
      <w:r>
        <w:rPr>
          <w:spacing w:val="-5"/>
        </w:rPr>
        <w:t> </w:t>
      </w:r>
      <w:r>
        <w:rPr/>
        <w:t>and</w:t>
      </w:r>
      <w:r>
        <w:rPr>
          <w:spacing w:val="-5"/>
        </w:rPr>
        <w:t> </w:t>
      </w:r>
      <w:r>
        <w:rPr/>
        <w:t>Usable</w:t>
      </w:r>
      <w:r>
        <w:rPr>
          <w:spacing w:val="-3"/>
        </w:rPr>
        <w:t> </w:t>
      </w:r>
      <w:r>
        <w:rPr/>
        <w:t>Buildings</w:t>
      </w:r>
      <w:r>
        <w:rPr>
          <w:spacing w:val="-4"/>
        </w:rPr>
        <w:t> </w:t>
      </w:r>
      <w:r>
        <w:rPr/>
        <w:t>and</w:t>
      </w:r>
      <w:r>
        <w:rPr>
          <w:spacing w:val="-3"/>
        </w:rPr>
        <w:t> </w:t>
      </w:r>
      <w:r>
        <w:rPr/>
        <w:t>Facilities</w:t>
      </w:r>
      <w:r>
        <w:rPr>
          <w:spacing w:val="-4"/>
        </w:rPr>
        <w:t> </w:t>
      </w:r>
      <w:r>
        <w:rPr/>
        <w:t>codebook</w:t>
      </w:r>
      <w:r>
        <w:rPr>
          <w:spacing w:val="-1"/>
        </w:rPr>
        <w:t> </w:t>
      </w:r>
      <w:r>
        <w:rPr/>
        <w:t>for</w:t>
      </w:r>
      <w:r>
        <w:rPr>
          <w:spacing w:val="-4"/>
        </w:rPr>
        <w:t> </w:t>
      </w:r>
      <w:r>
        <w:rPr/>
        <w:t>this</w:t>
      </w:r>
      <w:r>
        <w:rPr>
          <w:spacing w:val="-4"/>
        </w:rPr>
        <w:t> </w:t>
      </w:r>
      <w:r>
        <w:rPr/>
        <w:t>course.</w:t>
      </w:r>
      <w:r>
        <w:rPr>
          <w:spacing w:val="-5"/>
        </w:rPr>
        <w:t> </w:t>
      </w:r>
      <w:r>
        <w:rPr/>
        <w:t>It</w:t>
      </w:r>
      <w:r>
        <w:rPr>
          <w:spacing w:val="-5"/>
        </w:rPr>
        <w:t> </w:t>
      </w:r>
      <w:r>
        <w:rPr/>
        <w:t>is available for purchase (for approx. $40):</w:t>
      </w:r>
    </w:p>
    <w:p>
      <w:pPr>
        <w:pStyle w:val="BodyText"/>
        <w:spacing w:before="1"/>
        <w:ind w:left="1156" w:right="744"/>
      </w:pPr>
      <w:hyperlink r:id="rId223">
        <w:r>
          <w:rPr>
            <w:spacing w:val="-2"/>
          </w:rPr>
          <w:t>http://www.constructionbook.com/icc-ansi-a1171-2003-standard-on-accessible-usable-buildings-</w:t>
        </w:r>
      </w:hyperlink>
      <w:r>
        <w:rPr>
          <w:spacing w:val="-2"/>
        </w:rPr>
        <w:t> facilities-9033s03/ansi/</w:t>
      </w:r>
    </w:p>
    <w:p>
      <w:pPr>
        <w:spacing w:before="116"/>
        <w:ind w:left="436" w:right="0" w:firstLine="0"/>
        <w:jc w:val="left"/>
        <w:rPr>
          <w:b/>
          <w:sz w:val="20"/>
        </w:rPr>
      </w:pPr>
      <w:r>
        <w:rPr>
          <w:b/>
          <w:sz w:val="20"/>
        </w:rPr>
        <w:t>Offered</w:t>
      </w:r>
      <w:r>
        <w:rPr>
          <w:b/>
          <w:spacing w:val="-9"/>
          <w:sz w:val="20"/>
        </w:rPr>
        <w:t> </w:t>
      </w:r>
      <w:r>
        <w:rPr>
          <w:b/>
          <w:sz w:val="20"/>
        </w:rPr>
        <w:t>(semester</w:t>
      </w:r>
      <w:r>
        <w:rPr>
          <w:b/>
          <w:spacing w:val="-7"/>
          <w:sz w:val="20"/>
        </w:rPr>
        <w:t> </w:t>
      </w:r>
      <w:r>
        <w:rPr>
          <w:b/>
          <w:sz w:val="20"/>
        </w:rPr>
        <w:t>and</w:t>
      </w:r>
      <w:r>
        <w:rPr>
          <w:b/>
          <w:spacing w:val="-7"/>
          <w:sz w:val="20"/>
        </w:rPr>
        <w:t> </w:t>
      </w:r>
      <w:r>
        <w:rPr>
          <w:b/>
          <w:spacing w:val="-2"/>
          <w:sz w:val="20"/>
        </w:rPr>
        <w:t>year):</w:t>
      </w:r>
    </w:p>
    <w:p>
      <w:pPr>
        <w:pStyle w:val="BodyText"/>
        <w:spacing w:before="123"/>
        <w:ind w:left="1156"/>
        <w:jc w:val="both"/>
      </w:pPr>
      <w:r>
        <w:rPr/>
        <w:t>Spring</w:t>
      </w:r>
      <w:r>
        <w:rPr>
          <w:spacing w:val="-9"/>
        </w:rPr>
        <w:t> </w:t>
      </w:r>
      <w:r>
        <w:rPr/>
        <w:t>only;</w:t>
      </w:r>
      <w:r>
        <w:rPr>
          <w:spacing w:val="-5"/>
        </w:rPr>
        <w:t> </w:t>
      </w:r>
      <w:r>
        <w:rPr>
          <w:spacing w:val="-2"/>
        </w:rPr>
        <w:t>annually</w:t>
      </w:r>
    </w:p>
    <w:p>
      <w:pPr>
        <w:spacing w:before="118"/>
        <w:ind w:left="436" w:right="0" w:firstLine="0"/>
        <w:jc w:val="left"/>
        <w:rPr>
          <w:b/>
          <w:sz w:val="20"/>
        </w:rPr>
      </w:pPr>
      <w:r>
        <w:rPr>
          <w:b/>
          <w:sz w:val="20"/>
        </w:rPr>
        <w:t>Faculty</w:t>
      </w:r>
      <w:r>
        <w:rPr>
          <w:b/>
          <w:spacing w:val="-9"/>
          <w:sz w:val="20"/>
        </w:rPr>
        <w:t> </w:t>
      </w:r>
      <w:r>
        <w:rPr>
          <w:b/>
          <w:sz w:val="20"/>
        </w:rPr>
        <w:t>assigned</w:t>
      </w:r>
      <w:r>
        <w:rPr>
          <w:b/>
          <w:spacing w:val="-6"/>
          <w:sz w:val="20"/>
        </w:rPr>
        <w:t> </w:t>
      </w:r>
      <w:r>
        <w:rPr>
          <w:b/>
          <w:sz w:val="20"/>
        </w:rPr>
        <w:t>(list</w:t>
      </w:r>
      <w:r>
        <w:rPr>
          <w:b/>
          <w:spacing w:val="-5"/>
          <w:sz w:val="20"/>
        </w:rPr>
        <w:t> </w:t>
      </w:r>
      <w:r>
        <w:rPr>
          <w:b/>
          <w:sz w:val="20"/>
        </w:rPr>
        <w:t>all</w:t>
      </w:r>
      <w:r>
        <w:rPr>
          <w:b/>
          <w:spacing w:val="-7"/>
          <w:sz w:val="20"/>
        </w:rPr>
        <w:t> </w:t>
      </w:r>
      <w:r>
        <w:rPr>
          <w:b/>
          <w:sz w:val="20"/>
        </w:rPr>
        <w:t>faculty</w:t>
      </w:r>
      <w:r>
        <w:rPr>
          <w:b/>
          <w:spacing w:val="-9"/>
          <w:sz w:val="20"/>
        </w:rPr>
        <w:t> </w:t>
      </w:r>
      <w:r>
        <w:rPr>
          <w:b/>
          <w:sz w:val="20"/>
        </w:rPr>
        <w:t>assigned</w:t>
      </w:r>
      <w:r>
        <w:rPr>
          <w:b/>
          <w:spacing w:val="-5"/>
          <w:sz w:val="20"/>
        </w:rPr>
        <w:t> </w:t>
      </w:r>
      <w:r>
        <w:rPr>
          <w:b/>
          <w:sz w:val="20"/>
        </w:rPr>
        <w:t>during</w:t>
      </w:r>
      <w:r>
        <w:rPr>
          <w:b/>
          <w:spacing w:val="-5"/>
          <w:sz w:val="20"/>
        </w:rPr>
        <w:t> </w:t>
      </w:r>
      <w:r>
        <w:rPr>
          <w:b/>
          <w:sz w:val="20"/>
        </w:rPr>
        <w:t>the</w:t>
      </w:r>
      <w:r>
        <w:rPr>
          <w:b/>
          <w:spacing w:val="-7"/>
          <w:sz w:val="20"/>
        </w:rPr>
        <w:t> </w:t>
      </w:r>
      <w:r>
        <w:rPr>
          <w:b/>
          <w:sz w:val="20"/>
        </w:rPr>
        <w:t>two</w:t>
      </w:r>
      <w:r>
        <w:rPr>
          <w:b/>
          <w:spacing w:val="-5"/>
          <w:sz w:val="20"/>
        </w:rPr>
        <w:t> </w:t>
      </w:r>
      <w:r>
        <w:rPr>
          <w:b/>
          <w:sz w:val="20"/>
        </w:rPr>
        <w:t>academic</w:t>
      </w:r>
      <w:r>
        <w:rPr>
          <w:b/>
          <w:spacing w:val="-4"/>
          <w:sz w:val="20"/>
        </w:rPr>
        <w:t> </w:t>
      </w:r>
      <w:r>
        <w:rPr>
          <w:b/>
          <w:sz w:val="20"/>
        </w:rPr>
        <w:t>years</w:t>
      </w:r>
      <w:r>
        <w:rPr>
          <w:b/>
          <w:spacing w:val="-7"/>
          <w:sz w:val="20"/>
        </w:rPr>
        <w:t> </w:t>
      </w:r>
      <w:r>
        <w:rPr>
          <w:b/>
          <w:sz w:val="20"/>
        </w:rPr>
        <w:t>prior</w:t>
      </w:r>
      <w:r>
        <w:rPr>
          <w:b/>
          <w:spacing w:val="-7"/>
          <w:sz w:val="20"/>
        </w:rPr>
        <w:t> </w:t>
      </w:r>
      <w:r>
        <w:rPr>
          <w:b/>
          <w:sz w:val="20"/>
        </w:rPr>
        <w:t>to</w:t>
      </w:r>
      <w:r>
        <w:rPr>
          <w:b/>
          <w:spacing w:val="-5"/>
          <w:sz w:val="20"/>
        </w:rPr>
        <w:t> </w:t>
      </w:r>
      <w:r>
        <w:rPr>
          <w:b/>
          <w:sz w:val="20"/>
        </w:rPr>
        <w:t>the</w:t>
      </w:r>
      <w:r>
        <w:rPr>
          <w:b/>
          <w:spacing w:val="-7"/>
          <w:sz w:val="20"/>
        </w:rPr>
        <w:t> </w:t>
      </w:r>
      <w:r>
        <w:rPr>
          <w:b/>
          <w:spacing w:val="-2"/>
          <w:sz w:val="20"/>
        </w:rPr>
        <w:t>visit):</w:t>
      </w:r>
    </w:p>
    <w:p>
      <w:pPr>
        <w:pStyle w:val="BodyText"/>
        <w:tabs>
          <w:tab w:pos="1876" w:val="left" w:leader="none"/>
        </w:tabs>
        <w:spacing w:before="123"/>
        <w:ind w:left="1156" w:right="5582" w:hanging="1"/>
      </w:pPr>
      <w:r>
        <w:rPr>
          <w:spacing w:val="-4"/>
        </w:rPr>
        <w:t>2013</w:t>
      </w:r>
      <w:r>
        <w:rPr/>
        <w:tab/>
        <w:t>Easter,</w:t>
      </w:r>
      <w:r>
        <w:rPr>
          <w:spacing w:val="-2"/>
        </w:rPr>
        <w:t> </w:t>
      </w:r>
      <w:r>
        <w:rPr/>
        <w:t>(F/T),</w:t>
      </w:r>
      <w:r>
        <w:rPr>
          <w:spacing w:val="-2"/>
        </w:rPr>
        <w:t> </w:t>
      </w:r>
      <w:r>
        <w:rPr/>
        <w:t>Battaglia, (Adjunct) </w:t>
      </w:r>
      <w:r>
        <w:rPr>
          <w:spacing w:val="-4"/>
        </w:rPr>
        <w:t>2014</w:t>
      </w:r>
      <w:r>
        <w:rPr/>
        <w:tab/>
        <w:t>Easter,</w:t>
      </w:r>
      <w:r>
        <w:rPr>
          <w:spacing w:val="-9"/>
        </w:rPr>
        <w:t> </w:t>
      </w:r>
      <w:r>
        <w:rPr/>
        <w:t>(F/T),</w:t>
      </w:r>
      <w:r>
        <w:rPr>
          <w:spacing w:val="-7"/>
        </w:rPr>
        <w:t> </w:t>
      </w:r>
      <w:r>
        <w:rPr/>
        <w:t>D</w:t>
      </w:r>
      <w:r>
        <w:rPr>
          <w:spacing w:val="-7"/>
        </w:rPr>
        <w:t> </w:t>
      </w:r>
      <w:r>
        <w:rPr/>
        <w:t>Henderson,</w:t>
      </w:r>
      <w:r>
        <w:rPr>
          <w:spacing w:val="-6"/>
        </w:rPr>
        <w:t> </w:t>
      </w:r>
      <w:r>
        <w:rPr>
          <w:spacing w:val="-4"/>
        </w:rPr>
        <w:t>(F/T)</w:t>
      </w:r>
    </w:p>
    <w:p>
      <w:pPr>
        <w:spacing w:after="0"/>
        <w:sectPr>
          <w:headerReference w:type="default" r:id="rId224"/>
          <w:footerReference w:type="default" r:id="rId225"/>
          <w:pgSz w:w="12240" w:h="15840"/>
          <w:pgMar w:header="993" w:footer="974" w:top="1240" w:bottom="1160" w:left="1000" w:right="820"/>
        </w:sectPr>
      </w:pPr>
    </w:p>
    <w:p>
      <w:pPr>
        <w:spacing w:before="115"/>
        <w:ind w:left="440" w:right="0" w:firstLine="0"/>
        <w:jc w:val="left"/>
        <w:rPr>
          <w:b/>
          <w:sz w:val="20"/>
        </w:rPr>
      </w:pPr>
      <w:r>
        <w:rPr>
          <w:b/>
          <w:sz w:val="20"/>
        </w:rPr>
        <w:t>Course</w:t>
      </w:r>
      <w:r>
        <w:rPr>
          <w:b/>
          <w:spacing w:val="-9"/>
          <w:sz w:val="20"/>
        </w:rPr>
        <w:t> </w:t>
      </w:r>
      <w:r>
        <w:rPr>
          <w:b/>
          <w:sz w:val="20"/>
        </w:rPr>
        <w:t>Description</w:t>
      </w:r>
      <w:r>
        <w:rPr>
          <w:b/>
          <w:spacing w:val="-8"/>
          <w:sz w:val="20"/>
        </w:rPr>
        <w:t> </w:t>
      </w:r>
      <w:r>
        <w:rPr>
          <w:b/>
          <w:sz w:val="20"/>
        </w:rPr>
        <w:t>(limit</w:t>
      </w:r>
      <w:r>
        <w:rPr>
          <w:b/>
          <w:spacing w:val="-7"/>
          <w:sz w:val="20"/>
        </w:rPr>
        <w:t> </w:t>
      </w:r>
      <w:r>
        <w:rPr>
          <w:b/>
          <w:sz w:val="20"/>
        </w:rPr>
        <w:t>25</w:t>
      </w:r>
      <w:r>
        <w:rPr>
          <w:b/>
          <w:spacing w:val="-8"/>
          <w:sz w:val="20"/>
        </w:rPr>
        <w:t> </w:t>
      </w:r>
      <w:r>
        <w:rPr>
          <w:b/>
          <w:spacing w:val="-2"/>
          <w:sz w:val="20"/>
        </w:rPr>
        <w:t>words):</w:t>
      </w:r>
    </w:p>
    <w:p>
      <w:pPr>
        <w:pStyle w:val="BodyText"/>
        <w:spacing w:before="122"/>
        <w:ind w:left="1159" w:right="642"/>
      </w:pPr>
      <w:r>
        <w:rPr/>
        <w:t>Overview</w:t>
      </w:r>
      <w:r>
        <w:rPr>
          <w:spacing w:val="-4"/>
        </w:rPr>
        <w:t> </w:t>
      </w:r>
      <w:r>
        <w:rPr/>
        <w:t>of</w:t>
      </w:r>
      <w:r>
        <w:rPr>
          <w:spacing w:val="-2"/>
        </w:rPr>
        <w:t> </w:t>
      </w:r>
      <w:r>
        <w:rPr/>
        <w:t>the</w:t>
      </w:r>
      <w:r>
        <w:rPr>
          <w:spacing w:val="-4"/>
        </w:rPr>
        <w:t> </w:t>
      </w:r>
      <w:r>
        <w:rPr/>
        <w:t>history</w:t>
      </w:r>
      <w:r>
        <w:rPr>
          <w:spacing w:val="-6"/>
        </w:rPr>
        <w:t> </w:t>
      </w:r>
      <w:r>
        <w:rPr/>
        <w:t>of</w:t>
      </w:r>
      <w:r>
        <w:rPr>
          <w:spacing w:val="-2"/>
        </w:rPr>
        <w:t> </w:t>
      </w:r>
      <w:r>
        <w:rPr/>
        <w:t>architectural</w:t>
      </w:r>
      <w:r>
        <w:rPr>
          <w:spacing w:val="-5"/>
        </w:rPr>
        <w:t> </w:t>
      </w:r>
      <w:r>
        <w:rPr/>
        <w:t>thought</w:t>
      </w:r>
      <w:r>
        <w:rPr>
          <w:spacing w:val="-4"/>
        </w:rPr>
        <w:t> </w:t>
      </w:r>
      <w:r>
        <w:rPr/>
        <w:t>and</w:t>
      </w:r>
      <w:r>
        <w:rPr>
          <w:spacing w:val="-4"/>
        </w:rPr>
        <w:t> </w:t>
      </w:r>
      <w:r>
        <w:rPr/>
        <w:t>theories</w:t>
      </w:r>
      <w:r>
        <w:rPr>
          <w:spacing w:val="-3"/>
        </w:rPr>
        <w:t> </w:t>
      </w:r>
      <w:r>
        <w:rPr/>
        <w:t>by</w:t>
      </w:r>
      <w:r>
        <w:rPr>
          <w:spacing w:val="-6"/>
        </w:rPr>
        <w:t> </w:t>
      </w:r>
      <w:r>
        <w:rPr/>
        <w:t>looking</w:t>
      </w:r>
      <w:r>
        <w:rPr>
          <w:spacing w:val="-2"/>
        </w:rPr>
        <w:t> </w:t>
      </w:r>
      <w:r>
        <w:rPr/>
        <w:t>at</w:t>
      </w:r>
      <w:r>
        <w:rPr>
          <w:spacing w:val="-4"/>
        </w:rPr>
        <w:t> </w:t>
      </w:r>
      <w:r>
        <w:rPr/>
        <w:t>ideologies,</w:t>
      </w:r>
      <w:r>
        <w:rPr>
          <w:spacing w:val="-4"/>
        </w:rPr>
        <w:t> </w:t>
      </w:r>
      <w:r>
        <w:rPr/>
        <w:t>process</w:t>
      </w:r>
      <w:r>
        <w:rPr>
          <w:spacing w:val="-3"/>
        </w:rPr>
        <w:t> </w:t>
      </w:r>
      <w:r>
        <w:rPr/>
        <w:t>and synthesis in preparation for thesis research and design.</w:t>
      </w:r>
    </w:p>
    <w:p>
      <w:pPr>
        <w:pStyle w:val="BodyText"/>
        <w:spacing w:before="4"/>
        <w:rPr>
          <w:sz w:val="30"/>
        </w:rPr>
      </w:pPr>
    </w:p>
    <w:p>
      <w:pPr>
        <w:spacing w:before="0"/>
        <w:ind w:left="440" w:right="0" w:firstLine="0"/>
        <w:jc w:val="left"/>
        <w:rPr>
          <w:b/>
          <w:sz w:val="20"/>
        </w:rPr>
      </w:pPr>
      <w:r>
        <w:rPr>
          <w:b/>
          <w:sz w:val="20"/>
        </w:rPr>
        <w:t>Course</w:t>
      </w:r>
      <w:r>
        <w:rPr>
          <w:b/>
          <w:spacing w:val="-9"/>
          <w:sz w:val="20"/>
        </w:rPr>
        <w:t> </w:t>
      </w:r>
      <w:r>
        <w:rPr>
          <w:b/>
          <w:sz w:val="20"/>
        </w:rPr>
        <w:t>Goals</w:t>
      </w:r>
      <w:r>
        <w:rPr>
          <w:b/>
          <w:spacing w:val="-7"/>
          <w:sz w:val="20"/>
        </w:rPr>
        <w:t> </w:t>
      </w:r>
      <w:r>
        <w:rPr>
          <w:b/>
          <w:sz w:val="20"/>
        </w:rPr>
        <w:t>and</w:t>
      </w:r>
      <w:r>
        <w:rPr>
          <w:b/>
          <w:spacing w:val="-5"/>
          <w:sz w:val="20"/>
        </w:rPr>
        <w:t> </w:t>
      </w:r>
      <w:r>
        <w:rPr>
          <w:b/>
          <w:spacing w:val="-2"/>
          <w:sz w:val="20"/>
        </w:rPr>
        <w:t>Objectives;</w:t>
      </w:r>
    </w:p>
    <w:p>
      <w:pPr>
        <w:pStyle w:val="BodyText"/>
        <w:rPr>
          <w:b/>
          <w:sz w:val="22"/>
        </w:rPr>
      </w:pPr>
    </w:p>
    <w:p>
      <w:pPr>
        <w:pStyle w:val="BodyText"/>
        <w:spacing w:before="9"/>
        <w:rPr>
          <w:b/>
          <w:sz w:val="18"/>
        </w:rPr>
      </w:pPr>
    </w:p>
    <w:p>
      <w:pPr>
        <w:spacing w:before="0"/>
        <w:ind w:left="440" w:right="0" w:firstLine="0"/>
        <w:jc w:val="left"/>
        <w:rPr>
          <w:b/>
          <w:sz w:val="20"/>
        </w:rPr>
      </w:pPr>
      <w:r>
        <w:rPr>
          <w:b/>
          <w:sz w:val="20"/>
        </w:rPr>
        <w:t>Student</w:t>
      </w:r>
      <w:r>
        <w:rPr>
          <w:b/>
          <w:spacing w:val="-9"/>
          <w:sz w:val="20"/>
        </w:rPr>
        <w:t> </w:t>
      </w:r>
      <w:r>
        <w:rPr>
          <w:b/>
          <w:sz w:val="20"/>
        </w:rPr>
        <w:t>Performance</w:t>
      </w:r>
      <w:r>
        <w:rPr>
          <w:b/>
          <w:spacing w:val="-9"/>
          <w:sz w:val="20"/>
        </w:rPr>
        <w:t> </w:t>
      </w:r>
      <w:r>
        <w:rPr>
          <w:b/>
          <w:sz w:val="20"/>
        </w:rPr>
        <w:t>Criteria</w:t>
      </w:r>
      <w:r>
        <w:rPr>
          <w:b/>
          <w:spacing w:val="-5"/>
          <w:sz w:val="20"/>
        </w:rPr>
        <w:t> </w:t>
      </w:r>
      <w:r>
        <w:rPr>
          <w:b/>
          <w:sz w:val="20"/>
        </w:rPr>
        <w:t>Addressed</w:t>
      </w:r>
      <w:r>
        <w:rPr>
          <w:b/>
          <w:spacing w:val="-8"/>
          <w:sz w:val="20"/>
        </w:rPr>
        <w:t> </w:t>
      </w:r>
      <w:r>
        <w:rPr>
          <w:b/>
          <w:sz w:val="20"/>
        </w:rPr>
        <w:t>(name</w:t>
      </w:r>
      <w:r>
        <w:rPr>
          <w:b/>
          <w:spacing w:val="-9"/>
          <w:sz w:val="20"/>
        </w:rPr>
        <w:t> </w:t>
      </w:r>
      <w:r>
        <w:rPr>
          <w:b/>
          <w:sz w:val="20"/>
        </w:rPr>
        <w:t>and</w:t>
      </w:r>
      <w:r>
        <w:rPr>
          <w:b/>
          <w:spacing w:val="-8"/>
          <w:sz w:val="20"/>
        </w:rPr>
        <w:t> </w:t>
      </w:r>
      <w:r>
        <w:rPr>
          <w:b/>
          <w:spacing w:val="-2"/>
          <w:sz w:val="20"/>
        </w:rPr>
        <w:t>number)</w:t>
      </w:r>
    </w:p>
    <w:p>
      <w:pPr>
        <w:pStyle w:val="BodyText"/>
        <w:spacing w:before="123"/>
        <w:ind w:left="1159" w:right="642" w:firstLine="55"/>
      </w:pPr>
      <w:r>
        <w:rPr/>
        <w:t>1.</w:t>
      </w:r>
      <w:r>
        <w:rPr>
          <w:spacing w:val="40"/>
        </w:rPr>
        <w:t> </w:t>
      </w:r>
      <w:r>
        <w:rPr/>
        <w:t>Speaking and Writing Skills; 2. Critical Thinking Skills; 4. Research Skills; 8. Western Traditions;</w:t>
      </w:r>
      <w:r>
        <w:rPr>
          <w:spacing w:val="-7"/>
        </w:rPr>
        <w:t> </w:t>
      </w:r>
      <w:r>
        <w:rPr/>
        <w:t>9.</w:t>
      </w:r>
      <w:r>
        <w:rPr>
          <w:spacing w:val="-9"/>
        </w:rPr>
        <w:t> </w:t>
      </w:r>
      <w:r>
        <w:rPr/>
        <w:t>Non-Western</w:t>
      </w:r>
      <w:r>
        <w:rPr>
          <w:spacing w:val="-8"/>
        </w:rPr>
        <w:t> </w:t>
      </w:r>
      <w:r>
        <w:rPr/>
        <w:t>traditions;</w:t>
      </w:r>
      <w:r>
        <w:rPr>
          <w:spacing w:val="-7"/>
        </w:rPr>
        <w:t> </w:t>
      </w:r>
      <w:r>
        <w:rPr/>
        <w:t>10.</w:t>
      </w:r>
      <w:r>
        <w:rPr>
          <w:spacing w:val="-7"/>
        </w:rPr>
        <w:t> </w:t>
      </w:r>
      <w:r>
        <w:rPr/>
        <w:t>National</w:t>
      </w:r>
      <w:r>
        <w:rPr>
          <w:spacing w:val="-7"/>
        </w:rPr>
        <w:t> </w:t>
      </w:r>
      <w:r>
        <w:rPr/>
        <w:t>and</w:t>
      </w:r>
      <w:r>
        <w:rPr>
          <w:spacing w:val="-5"/>
        </w:rPr>
        <w:t> </w:t>
      </w:r>
      <w:r>
        <w:rPr/>
        <w:t>Regional</w:t>
      </w:r>
      <w:r>
        <w:rPr>
          <w:spacing w:val="-9"/>
        </w:rPr>
        <w:t> </w:t>
      </w:r>
      <w:r>
        <w:rPr/>
        <w:t>Traditions;</w:t>
      </w:r>
      <w:r>
        <w:rPr>
          <w:spacing w:val="-7"/>
        </w:rPr>
        <w:t> </w:t>
      </w:r>
      <w:r>
        <w:rPr/>
        <w:t>12.</w:t>
      </w:r>
      <w:r>
        <w:rPr>
          <w:spacing w:val="-6"/>
        </w:rPr>
        <w:t> </w:t>
      </w:r>
      <w:r>
        <w:rPr/>
        <w:t>Human</w:t>
      </w:r>
      <w:r>
        <w:rPr>
          <w:spacing w:val="-9"/>
        </w:rPr>
        <w:t> </w:t>
      </w:r>
      <w:r>
        <w:rPr>
          <w:spacing w:val="-2"/>
        </w:rPr>
        <w:t>Behavior;</w:t>
      </w:r>
    </w:p>
    <w:p>
      <w:pPr>
        <w:pStyle w:val="BodyText"/>
        <w:spacing w:before="1"/>
        <w:ind w:left="1159" w:right="642"/>
      </w:pPr>
      <w:r>
        <w:rPr/>
        <w:t>13.</w:t>
      </w:r>
      <w:r>
        <w:rPr>
          <w:spacing w:val="-4"/>
        </w:rPr>
        <w:t> </w:t>
      </w:r>
      <w:r>
        <w:rPr/>
        <w:t>Human</w:t>
      </w:r>
      <w:r>
        <w:rPr>
          <w:spacing w:val="-4"/>
        </w:rPr>
        <w:t> </w:t>
      </w:r>
      <w:r>
        <w:rPr/>
        <w:t>Diversity;</w:t>
      </w:r>
      <w:r>
        <w:rPr>
          <w:spacing w:val="-2"/>
        </w:rPr>
        <w:t> </w:t>
      </w:r>
      <w:r>
        <w:rPr/>
        <w:t>32.</w:t>
      </w:r>
      <w:r>
        <w:rPr>
          <w:spacing w:val="-2"/>
        </w:rPr>
        <w:t> </w:t>
      </w:r>
      <w:r>
        <w:rPr/>
        <w:t>Leadership.</w:t>
      </w:r>
      <w:r>
        <w:rPr>
          <w:spacing w:val="40"/>
        </w:rPr>
        <w:t> </w:t>
      </w:r>
      <w:r>
        <w:rPr/>
        <w:t>The</w:t>
      </w:r>
      <w:r>
        <w:rPr>
          <w:spacing w:val="-4"/>
        </w:rPr>
        <w:t> </w:t>
      </w:r>
      <w:r>
        <w:rPr/>
        <w:t>fuller</w:t>
      </w:r>
      <w:r>
        <w:rPr>
          <w:spacing w:val="-3"/>
        </w:rPr>
        <w:t> </w:t>
      </w:r>
      <w:r>
        <w:rPr/>
        <w:t>explanation</w:t>
      </w:r>
      <w:r>
        <w:rPr>
          <w:spacing w:val="-2"/>
        </w:rPr>
        <w:t> </w:t>
      </w:r>
      <w:r>
        <w:rPr/>
        <w:t>of</w:t>
      </w:r>
      <w:r>
        <w:rPr>
          <w:spacing w:val="-2"/>
        </w:rPr>
        <w:t> </w:t>
      </w:r>
      <w:r>
        <w:rPr/>
        <w:t>each</w:t>
      </w:r>
      <w:r>
        <w:rPr>
          <w:spacing w:val="-4"/>
        </w:rPr>
        <w:t> </w:t>
      </w:r>
      <w:r>
        <w:rPr/>
        <w:t>of</w:t>
      </w:r>
      <w:r>
        <w:rPr>
          <w:spacing w:val="-2"/>
        </w:rPr>
        <w:t> </w:t>
      </w:r>
      <w:r>
        <w:rPr/>
        <w:t>the</w:t>
      </w:r>
      <w:r>
        <w:rPr>
          <w:spacing w:val="-2"/>
        </w:rPr>
        <w:t> </w:t>
      </w:r>
      <w:r>
        <w:rPr/>
        <w:t>above</w:t>
      </w:r>
      <w:r>
        <w:rPr>
          <w:spacing w:val="-2"/>
        </w:rPr>
        <w:t> </w:t>
      </w:r>
      <w:r>
        <w:rPr/>
        <w:t>may</w:t>
      </w:r>
      <w:r>
        <w:rPr>
          <w:spacing w:val="-10"/>
        </w:rPr>
        <w:t> </w:t>
      </w:r>
      <w:r>
        <w:rPr/>
        <w:t>be</w:t>
      </w:r>
      <w:r>
        <w:rPr>
          <w:spacing w:val="-2"/>
        </w:rPr>
        <w:t> </w:t>
      </w:r>
      <w:r>
        <w:rPr/>
        <w:t>viewed at </w:t>
      </w:r>
      <w:hyperlink r:id="rId228">
        <w:r>
          <w:rPr/>
          <w:t>www.NAAB.org.</w:t>
        </w:r>
      </w:hyperlink>
    </w:p>
    <w:p>
      <w:pPr>
        <w:pStyle w:val="BodyText"/>
        <w:spacing w:before="1"/>
        <w:rPr>
          <w:sz w:val="30"/>
        </w:rPr>
      </w:pPr>
    </w:p>
    <w:p>
      <w:pPr>
        <w:spacing w:before="0"/>
        <w:ind w:left="439" w:right="0" w:firstLine="0"/>
        <w:jc w:val="left"/>
        <w:rPr>
          <w:b/>
          <w:sz w:val="20"/>
        </w:rPr>
      </w:pPr>
      <w:r>
        <w:rPr>
          <w:b/>
          <w:sz w:val="20"/>
        </w:rPr>
        <w:t>Topical</w:t>
      </w:r>
      <w:r>
        <w:rPr>
          <w:b/>
          <w:spacing w:val="-7"/>
          <w:sz w:val="20"/>
        </w:rPr>
        <w:t> </w:t>
      </w:r>
      <w:r>
        <w:rPr>
          <w:b/>
          <w:sz w:val="20"/>
        </w:rPr>
        <w:t>Outline</w:t>
      </w:r>
      <w:r>
        <w:rPr>
          <w:b/>
          <w:spacing w:val="-7"/>
          <w:sz w:val="20"/>
        </w:rPr>
        <w:t> </w:t>
      </w:r>
      <w:r>
        <w:rPr>
          <w:b/>
          <w:sz w:val="20"/>
        </w:rPr>
        <w:t>and</w:t>
      </w:r>
      <w:r>
        <w:rPr>
          <w:b/>
          <w:spacing w:val="-6"/>
          <w:sz w:val="20"/>
        </w:rPr>
        <w:t> </w:t>
      </w:r>
      <w:r>
        <w:rPr>
          <w:b/>
          <w:sz w:val="20"/>
        </w:rPr>
        <w:t>percentage</w:t>
      </w:r>
      <w:r>
        <w:rPr>
          <w:b/>
          <w:spacing w:val="-6"/>
          <w:sz w:val="20"/>
        </w:rPr>
        <w:t> </w:t>
      </w:r>
      <w:r>
        <w:rPr>
          <w:b/>
          <w:sz w:val="20"/>
        </w:rPr>
        <w:t>of</w:t>
      </w:r>
      <w:r>
        <w:rPr>
          <w:b/>
          <w:spacing w:val="-6"/>
          <w:sz w:val="20"/>
        </w:rPr>
        <w:t> </w:t>
      </w:r>
      <w:r>
        <w:rPr>
          <w:b/>
          <w:sz w:val="20"/>
        </w:rPr>
        <w:t>time</w:t>
      </w:r>
      <w:r>
        <w:rPr>
          <w:b/>
          <w:spacing w:val="-7"/>
          <w:sz w:val="20"/>
        </w:rPr>
        <w:t> </w:t>
      </w:r>
      <w:r>
        <w:rPr>
          <w:b/>
          <w:sz w:val="20"/>
        </w:rPr>
        <w:t>spent</w:t>
      </w:r>
      <w:r>
        <w:rPr>
          <w:b/>
          <w:spacing w:val="-6"/>
          <w:sz w:val="20"/>
        </w:rPr>
        <w:t> </w:t>
      </w:r>
      <w:r>
        <w:rPr>
          <w:b/>
          <w:sz w:val="20"/>
        </w:rPr>
        <w:t>on</w:t>
      </w:r>
      <w:r>
        <w:rPr>
          <w:b/>
          <w:spacing w:val="-5"/>
          <w:sz w:val="20"/>
        </w:rPr>
        <w:t> </w:t>
      </w:r>
      <w:r>
        <w:rPr>
          <w:b/>
          <w:spacing w:val="-4"/>
          <w:sz w:val="20"/>
        </w:rPr>
        <w:t>each</w:t>
      </w:r>
    </w:p>
    <w:p>
      <w:pPr>
        <w:pStyle w:val="BodyText"/>
        <w:spacing w:before="123"/>
        <w:ind w:left="1159" w:right="632"/>
      </w:pPr>
      <w:r>
        <w:rPr/>
        <w:t>In class quizzes 10%, Midterm Exam 20%, Final Exam 20%, Midterm Project 20%, Final Project 20%.</w:t>
      </w:r>
      <w:r>
        <w:rPr>
          <w:spacing w:val="40"/>
        </w:rPr>
        <w:t> </w:t>
      </w:r>
      <w:r>
        <w:rPr/>
        <w:t>Class</w:t>
      </w:r>
      <w:r>
        <w:rPr>
          <w:spacing w:val="-4"/>
        </w:rPr>
        <w:t> </w:t>
      </w:r>
      <w:r>
        <w:rPr/>
        <w:t>presentations</w:t>
      </w:r>
      <w:r>
        <w:rPr>
          <w:spacing w:val="-4"/>
        </w:rPr>
        <w:t> </w:t>
      </w:r>
      <w:r>
        <w:rPr/>
        <w:t>and</w:t>
      </w:r>
      <w:r>
        <w:rPr>
          <w:spacing w:val="-3"/>
        </w:rPr>
        <w:t> </w:t>
      </w:r>
      <w:r>
        <w:rPr/>
        <w:t>discussions</w:t>
      </w:r>
      <w:r>
        <w:rPr>
          <w:spacing w:val="-1"/>
        </w:rPr>
        <w:t> </w:t>
      </w:r>
      <w:r>
        <w:rPr/>
        <w:t>leadership</w:t>
      </w:r>
      <w:r>
        <w:rPr>
          <w:spacing w:val="-3"/>
        </w:rPr>
        <w:t> </w:t>
      </w:r>
      <w:r>
        <w:rPr/>
        <w:t>when</w:t>
      </w:r>
      <w:r>
        <w:rPr>
          <w:spacing w:val="-3"/>
        </w:rPr>
        <w:t> </w:t>
      </w:r>
      <w:r>
        <w:rPr/>
        <w:t>assigned</w:t>
      </w:r>
      <w:r>
        <w:rPr>
          <w:spacing w:val="-3"/>
        </w:rPr>
        <w:t> </w:t>
      </w:r>
      <w:r>
        <w:rPr/>
        <w:t>20%,</w:t>
      </w:r>
      <w:r>
        <w:rPr>
          <w:spacing w:val="-5"/>
        </w:rPr>
        <w:t> </w:t>
      </w:r>
      <w:r>
        <w:rPr/>
        <w:t>Glossaries</w:t>
      </w:r>
      <w:r>
        <w:rPr>
          <w:spacing w:val="-4"/>
        </w:rPr>
        <w:t> </w:t>
      </w:r>
      <w:r>
        <w:rPr/>
        <w:t>5%,</w:t>
      </w:r>
      <w:r>
        <w:rPr>
          <w:spacing w:val="-5"/>
        </w:rPr>
        <w:t> </w:t>
      </w:r>
      <w:r>
        <w:rPr/>
        <w:t>Class participation 5%.</w:t>
      </w:r>
    </w:p>
    <w:p>
      <w:pPr>
        <w:spacing w:before="119"/>
        <w:ind w:left="439" w:right="0" w:firstLine="0"/>
        <w:jc w:val="left"/>
        <w:rPr>
          <w:b/>
          <w:sz w:val="20"/>
        </w:rPr>
      </w:pPr>
      <w:r>
        <w:rPr>
          <w:b/>
          <w:w w:val="95"/>
          <w:sz w:val="20"/>
        </w:rPr>
        <w:t>Pre-</w:t>
      </w:r>
      <w:r>
        <w:rPr>
          <w:b/>
          <w:spacing w:val="-2"/>
          <w:sz w:val="20"/>
        </w:rPr>
        <w:t>requisites</w:t>
      </w:r>
    </w:p>
    <w:p>
      <w:pPr>
        <w:pStyle w:val="BodyText"/>
        <w:spacing w:before="120"/>
        <w:ind w:left="1159"/>
      </w:pPr>
      <w:r>
        <w:rPr/>
        <w:t>ARC</w:t>
      </w:r>
      <w:r>
        <w:rPr>
          <w:spacing w:val="-8"/>
        </w:rPr>
        <w:t> </w:t>
      </w:r>
      <w:r>
        <w:rPr/>
        <w:t>207,</w:t>
      </w:r>
      <w:r>
        <w:rPr>
          <w:spacing w:val="-3"/>
        </w:rPr>
        <w:t> </w:t>
      </w:r>
      <w:r>
        <w:rPr/>
        <w:t>208,</w:t>
      </w:r>
      <w:r>
        <w:rPr>
          <w:spacing w:val="-5"/>
        </w:rPr>
        <w:t> </w:t>
      </w:r>
      <w:r>
        <w:rPr>
          <w:spacing w:val="-4"/>
        </w:rPr>
        <w:t>317.</w:t>
      </w:r>
    </w:p>
    <w:p>
      <w:pPr>
        <w:spacing w:before="118"/>
        <w:ind w:left="439" w:right="0" w:firstLine="0"/>
        <w:jc w:val="left"/>
        <w:rPr>
          <w:b/>
          <w:sz w:val="20"/>
        </w:rPr>
      </w:pPr>
      <w:r>
        <w:rPr>
          <w:b/>
          <w:sz w:val="20"/>
        </w:rPr>
        <w:t>Textbooks</w:t>
      </w:r>
      <w:r>
        <w:rPr>
          <w:b/>
          <w:spacing w:val="-11"/>
          <w:sz w:val="20"/>
        </w:rPr>
        <w:t> </w:t>
      </w:r>
      <w:r>
        <w:rPr>
          <w:b/>
          <w:sz w:val="20"/>
        </w:rPr>
        <w:t>/</w:t>
      </w:r>
      <w:r>
        <w:rPr>
          <w:b/>
          <w:spacing w:val="-9"/>
          <w:sz w:val="20"/>
        </w:rPr>
        <w:t> </w:t>
      </w:r>
      <w:r>
        <w:rPr>
          <w:b/>
          <w:sz w:val="20"/>
        </w:rPr>
        <w:t>Learning</w:t>
      </w:r>
      <w:r>
        <w:rPr>
          <w:b/>
          <w:spacing w:val="-7"/>
          <w:sz w:val="20"/>
        </w:rPr>
        <w:t> </w:t>
      </w:r>
      <w:r>
        <w:rPr>
          <w:b/>
          <w:spacing w:val="-2"/>
          <w:sz w:val="20"/>
        </w:rPr>
        <w:t>Resources</w:t>
      </w:r>
    </w:p>
    <w:p>
      <w:pPr>
        <w:spacing w:line="242" w:lineRule="auto" w:before="121"/>
        <w:ind w:left="1159" w:right="1381" w:firstLine="0"/>
        <w:jc w:val="left"/>
        <w:rPr>
          <w:sz w:val="20"/>
        </w:rPr>
      </w:pPr>
      <w:r>
        <w:rPr>
          <w:sz w:val="20"/>
        </w:rPr>
        <w:t>Sykes, A. Krista. Ed.</w:t>
      </w:r>
      <w:r>
        <w:rPr>
          <w:spacing w:val="40"/>
          <w:sz w:val="20"/>
        </w:rPr>
        <w:t> </w:t>
      </w:r>
      <w:r>
        <w:rPr>
          <w:i/>
          <w:sz w:val="20"/>
        </w:rPr>
        <w:t>The Architectural Reader</w:t>
      </w:r>
      <w:r>
        <w:rPr>
          <w:sz w:val="20"/>
        </w:rPr>
        <w:t>.</w:t>
      </w:r>
      <w:r>
        <w:rPr>
          <w:spacing w:val="40"/>
          <w:sz w:val="20"/>
        </w:rPr>
        <w:t> </w:t>
      </w:r>
      <w:r>
        <w:rPr>
          <w:sz w:val="20"/>
        </w:rPr>
        <w:t>George Braziller (New York) 2007. Nesbit,</w:t>
      </w:r>
      <w:r>
        <w:rPr>
          <w:spacing w:val="-3"/>
          <w:sz w:val="20"/>
        </w:rPr>
        <w:t> </w:t>
      </w:r>
      <w:r>
        <w:rPr>
          <w:sz w:val="20"/>
        </w:rPr>
        <w:t>Kate,</w:t>
      </w:r>
      <w:r>
        <w:rPr>
          <w:spacing w:val="-3"/>
          <w:sz w:val="20"/>
        </w:rPr>
        <w:t> </w:t>
      </w:r>
      <w:r>
        <w:rPr>
          <w:sz w:val="20"/>
        </w:rPr>
        <w:t>ed.</w:t>
      </w:r>
      <w:r>
        <w:rPr>
          <w:spacing w:val="-5"/>
          <w:sz w:val="20"/>
        </w:rPr>
        <w:t> </w:t>
      </w:r>
      <w:r>
        <w:rPr>
          <w:i/>
          <w:sz w:val="20"/>
        </w:rPr>
        <w:t>Theorizing</w:t>
      </w:r>
      <w:r>
        <w:rPr>
          <w:i/>
          <w:spacing w:val="-5"/>
          <w:sz w:val="20"/>
        </w:rPr>
        <w:t> </w:t>
      </w:r>
      <w:r>
        <w:rPr>
          <w:i/>
          <w:sz w:val="20"/>
        </w:rPr>
        <w:t>a</w:t>
      </w:r>
      <w:r>
        <w:rPr>
          <w:i/>
          <w:spacing w:val="-5"/>
          <w:sz w:val="20"/>
        </w:rPr>
        <w:t> </w:t>
      </w:r>
      <w:r>
        <w:rPr>
          <w:i/>
          <w:sz w:val="20"/>
        </w:rPr>
        <w:t>New</w:t>
      </w:r>
      <w:r>
        <w:rPr>
          <w:i/>
          <w:spacing w:val="-5"/>
          <w:sz w:val="20"/>
        </w:rPr>
        <w:t> </w:t>
      </w:r>
      <w:r>
        <w:rPr>
          <w:i/>
          <w:sz w:val="20"/>
        </w:rPr>
        <w:t>Agenda</w:t>
      </w:r>
      <w:r>
        <w:rPr>
          <w:i/>
          <w:spacing w:val="-3"/>
          <w:sz w:val="20"/>
        </w:rPr>
        <w:t> </w:t>
      </w:r>
      <w:r>
        <w:rPr>
          <w:i/>
          <w:sz w:val="20"/>
        </w:rPr>
        <w:t>for</w:t>
      </w:r>
      <w:r>
        <w:rPr>
          <w:i/>
          <w:spacing w:val="-4"/>
          <w:sz w:val="20"/>
        </w:rPr>
        <w:t> </w:t>
      </w:r>
      <w:r>
        <w:rPr>
          <w:i/>
          <w:sz w:val="20"/>
        </w:rPr>
        <w:t>Architecture</w:t>
      </w:r>
      <w:r>
        <w:rPr>
          <w:i/>
          <w:spacing w:val="-5"/>
          <w:sz w:val="20"/>
        </w:rPr>
        <w:t> </w:t>
      </w:r>
      <w:r>
        <w:rPr>
          <w:i/>
          <w:sz w:val="20"/>
        </w:rPr>
        <w:t>Princeton</w:t>
      </w:r>
      <w:r>
        <w:rPr>
          <w:i/>
          <w:spacing w:val="-5"/>
          <w:sz w:val="20"/>
        </w:rPr>
        <w:t> </w:t>
      </w:r>
      <w:r>
        <w:rPr>
          <w:i/>
          <w:sz w:val="20"/>
        </w:rPr>
        <w:t>Architectural</w:t>
      </w:r>
      <w:r>
        <w:rPr>
          <w:i/>
          <w:spacing w:val="-2"/>
          <w:sz w:val="20"/>
        </w:rPr>
        <w:t> </w:t>
      </w:r>
      <w:r>
        <w:rPr>
          <w:sz w:val="20"/>
        </w:rPr>
        <w:t>Press (Princeton): 1996</w:t>
      </w:r>
    </w:p>
    <w:p>
      <w:pPr>
        <w:pStyle w:val="BodyText"/>
        <w:spacing w:line="225" w:lineRule="exact"/>
        <w:ind w:left="1159"/>
      </w:pPr>
      <w:r>
        <w:rPr/>
        <w:t>Additional</w:t>
      </w:r>
      <w:r>
        <w:rPr>
          <w:spacing w:val="-8"/>
        </w:rPr>
        <w:t> </w:t>
      </w:r>
      <w:r>
        <w:rPr/>
        <w:t>texts</w:t>
      </w:r>
      <w:r>
        <w:rPr>
          <w:spacing w:val="-3"/>
        </w:rPr>
        <w:t> </w:t>
      </w:r>
      <w:r>
        <w:rPr/>
        <w:t>will</w:t>
      </w:r>
      <w:r>
        <w:rPr>
          <w:spacing w:val="-5"/>
        </w:rPr>
        <w:t> </w:t>
      </w:r>
      <w:r>
        <w:rPr/>
        <w:t>be</w:t>
      </w:r>
      <w:r>
        <w:rPr>
          <w:spacing w:val="-7"/>
        </w:rPr>
        <w:t> </w:t>
      </w:r>
      <w:r>
        <w:rPr/>
        <w:t>kept</w:t>
      </w:r>
      <w:r>
        <w:rPr>
          <w:spacing w:val="-4"/>
        </w:rPr>
        <w:t> </w:t>
      </w:r>
      <w:r>
        <w:rPr/>
        <w:t>on</w:t>
      </w:r>
      <w:r>
        <w:rPr>
          <w:spacing w:val="-7"/>
        </w:rPr>
        <w:t> </w:t>
      </w:r>
      <w:r>
        <w:rPr/>
        <w:t>reserve</w:t>
      </w:r>
      <w:r>
        <w:rPr>
          <w:spacing w:val="-6"/>
        </w:rPr>
        <w:t> </w:t>
      </w:r>
      <w:r>
        <w:rPr/>
        <w:t>and,</w:t>
      </w:r>
      <w:r>
        <w:rPr>
          <w:spacing w:val="-5"/>
        </w:rPr>
        <w:t> </w:t>
      </w:r>
      <w:r>
        <w:rPr/>
        <w:t>it</w:t>
      </w:r>
      <w:r>
        <w:rPr>
          <w:spacing w:val="-5"/>
        </w:rPr>
        <w:t> </w:t>
      </w:r>
      <w:r>
        <w:rPr/>
        <w:t>is</w:t>
      </w:r>
      <w:r>
        <w:rPr>
          <w:spacing w:val="-5"/>
        </w:rPr>
        <w:t> </w:t>
      </w:r>
      <w:r>
        <w:rPr/>
        <w:t>to</w:t>
      </w:r>
      <w:r>
        <w:rPr>
          <w:spacing w:val="-5"/>
        </w:rPr>
        <w:t> </w:t>
      </w:r>
      <w:r>
        <w:rPr/>
        <w:t>be</w:t>
      </w:r>
      <w:r>
        <w:rPr>
          <w:spacing w:val="-4"/>
        </w:rPr>
        <w:t> </w:t>
      </w:r>
      <w:r>
        <w:rPr/>
        <w:t>hoped,</w:t>
      </w:r>
      <w:r>
        <w:rPr>
          <w:spacing w:val="-5"/>
        </w:rPr>
        <w:t> </w:t>
      </w:r>
      <w:r>
        <w:rPr/>
        <w:t>BlackBoard.2013</w:t>
      </w:r>
      <w:r>
        <w:rPr>
          <w:spacing w:val="-6"/>
        </w:rPr>
        <w:t> </w:t>
      </w:r>
      <w:r>
        <w:rPr/>
        <w:t>–</w:t>
      </w:r>
      <w:r>
        <w:rPr>
          <w:spacing w:val="-5"/>
        </w:rPr>
        <w:t> </w:t>
      </w:r>
      <w:r>
        <w:rPr/>
        <w:t>Andrews</w:t>
      </w:r>
      <w:r>
        <w:rPr>
          <w:spacing w:val="-6"/>
        </w:rPr>
        <w:t> </w:t>
      </w:r>
      <w:r>
        <w:rPr>
          <w:spacing w:val="-2"/>
        </w:rPr>
        <w:t>(F/T)</w:t>
      </w:r>
    </w:p>
    <w:p>
      <w:pPr>
        <w:spacing w:before="118"/>
        <w:ind w:left="439" w:right="0" w:firstLine="0"/>
        <w:jc w:val="left"/>
        <w:rPr>
          <w:b/>
          <w:sz w:val="20"/>
        </w:rPr>
      </w:pPr>
      <w:r>
        <w:rPr>
          <w:b/>
          <w:sz w:val="20"/>
        </w:rPr>
        <w:t>Offered</w:t>
      </w:r>
      <w:r>
        <w:rPr>
          <w:b/>
          <w:spacing w:val="-10"/>
          <w:sz w:val="20"/>
        </w:rPr>
        <w:t> </w:t>
      </w:r>
      <w:r>
        <w:rPr>
          <w:b/>
          <w:spacing w:val="-2"/>
          <w:sz w:val="20"/>
        </w:rPr>
        <w:t>(terms):</w:t>
      </w:r>
    </w:p>
    <w:p>
      <w:pPr>
        <w:pStyle w:val="BodyText"/>
        <w:spacing w:before="123"/>
        <w:ind w:left="799"/>
      </w:pPr>
      <w:r>
        <w:rPr/>
        <w:t>Spring</w:t>
      </w:r>
      <w:r>
        <w:rPr>
          <w:spacing w:val="-8"/>
        </w:rPr>
        <w:t> </w:t>
      </w:r>
      <w:r>
        <w:rPr/>
        <w:t>Semester</w:t>
      </w:r>
      <w:r>
        <w:rPr>
          <w:spacing w:val="-8"/>
        </w:rPr>
        <w:t> </w:t>
      </w:r>
      <w:r>
        <w:rPr>
          <w:spacing w:val="-4"/>
        </w:rPr>
        <w:t>only</w:t>
      </w:r>
    </w:p>
    <w:p>
      <w:pPr>
        <w:pStyle w:val="BodyText"/>
        <w:spacing w:before="3"/>
        <w:rPr>
          <w:sz w:val="30"/>
        </w:rPr>
      </w:pPr>
    </w:p>
    <w:p>
      <w:pPr>
        <w:spacing w:before="0"/>
        <w:ind w:left="439" w:right="0" w:firstLine="0"/>
        <w:jc w:val="left"/>
        <w:rPr>
          <w:b/>
          <w:sz w:val="20"/>
        </w:rPr>
      </w:pPr>
      <w:r>
        <w:rPr>
          <w:b/>
          <w:sz w:val="20"/>
        </w:rPr>
        <w:t>Faculty</w:t>
      </w:r>
      <w:r>
        <w:rPr>
          <w:b/>
          <w:spacing w:val="-8"/>
          <w:sz w:val="20"/>
        </w:rPr>
        <w:t> </w:t>
      </w:r>
      <w:r>
        <w:rPr>
          <w:b/>
          <w:spacing w:val="-2"/>
          <w:sz w:val="20"/>
        </w:rPr>
        <w:t>Assigned</w:t>
      </w:r>
    </w:p>
    <w:p>
      <w:pPr>
        <w:pStyle w:val="BodyText"/>
        <w:spacing w:before="123"/>
        <w:ind w:left="1159" w:right="7005"/>
      </w:pPr>
      <w:r>
        <w:rPr/>
        <w:t>2013</w:t>
      </w:r>
      <w:r>
        <w:rPr>
          <w:spacing w:val="-13"/>
        </w:rPr>
        <w:t> </w:t>
      </w:r>
      <w:r>
        <w:rPr/>
        <w:t>–</w:t>
      </w:r>
      <w:r>
        <w:rPr>
          <w:spacing w:val="-13"/>
        </w:rPr>
        <w:t> </w:t>
      </w:r>
      <w:r>
        <w:rPr/>
        <w:t>Andrews</w:t>
      </w:r>
      <w:r>
        <w:rPr>
          <w:spacing w:val="-14"/>
        </w:rPr>
        <w:t> </w:t>
      </w:r>
      <w:r>
        <w:rPr/>
        <w:t>(F/T) 2014 – Chance (F/T)</w:t>
      </w:r>
    </w:p>
    <w:p>
      <w:pPr>
        <w:spacing w:after="0"/>
        <w:sectPr>
          <w:headerReference w:type="default" r:id="rId226"/>
          <w:footerReference w:type="default" r:id="rId227"/>
          <w:pgSz w:w="12240" w:h="15840"/>
          <w:pgMar w:header="993" w:footer="974" w:top="1240" w:bottom="1160" w:left="1000" w:right="820"/>
        </w:sectPr>
      </w:pPr>
    </w:p>
    <w:p>
      <w:pPr>
        <w:pStyle w:val="BodyText"/>
        <w:spacing w:before="10"/>
        <w:rPr>
          <w:sz w:val="15"/>
        </w:rPr>
      </w:pPr>
    </w:p>
    <w:p>
      <w:pPr>
        <w:spacing w:before="93"/>
        <w:ind w:left="440" w:right="0" w:firstLine="0"/>
        <w:jc w:val="left"/>
        <w:rPr>
          <w:b/>
          <w:sz w:val="20"/>
        </w:rPr>
      </w:pPr>
      <w:r>
        <w:rPr>
          <w:b/>
          <w:sz w:val="20"/>
        </w:rPr>
        <w:t>Course</w:t>
      </w:r>
      <w:r>
        <w:rPr>
          <w:b/>
          <w:spacing w:val="-9"/>
          <w:sz w:val="20"/>
        </w:rPr>
        <w:t> </w:t>
      </w:r>
      <w:r>
        <w:rPr>
          <w:b/>
          <w:sz w:val="20"/>
        </w:rPr>
        <w:t>Description</w:t>
      </w:r>
      <w:r>
        <w:rPr>
          <w:b/>
          <w:spacing w:val="-8"/>
          <w:sz w:val="20"/>
        </w:rPr>
        <w:t> </w:t>
      </w:r>
      <w:r>
        <w:rPr>
          <w:b/>
          <w:sz w:val="20"/>
        </w:rPr>
        <w:t>(limit</w:t>
      </w:r>
      <w:r>
        <w:rPr>
          <w:b/>
          <w:spacing w:val="-7"/>
          <w:sz w:val="20"/>
        </w:rPr>
        <w:t> </w:t>
      </w:r>
      <w:r>
        <w:rPr>
          <w:b/>
          <w:sz w:val="20"/>
        </w:rPr>
        <w:t>25</w:t>
      </w:r>
      <w:r>
        <w:rPr>
          <w:b/>
          <w:spacing w:val="-8"/>
          <w:sz w:val="20"/>
        </w:rPr>
        <w:t> </w:t>
      </w:r>
      <w:r>
        <w:rPr>
          <w:b/>
          <w:spacing w:val="-2"/>
          <w:sz w:val="20"/>
        </w:rPr>
        <w:t>words):</w:t>
      </w:r>
    </w:p>
    <w:p>
      <w:pPr>
        <w:pStyle w:val="BodyText"/>
        <w:spacing w:before="5"/>
        <w:rPr>
          <w:b/>
          <w:sz w:val="24"/>
        </w:rPr>
      </w:pPr>
    </w:p>
    <w:p>
      <w:pPr>
        <w:pStyle w:val="BodyText"/>
        <w:ind w:left="1159" w:right="711"/>
        <w:jc w:val="both"/>
      </w:pPr>
      <w:r>
        <w:rPr/>
        <w:t>An</w:t>
      </w:r>
      <w:r>
        <w:rPr>
          <w:spacing w:val="-4"/>
        </w:rPr>
        <w:t> </w:t>
      </w:r>
      <w:r>
        <w:rPr/>
        <w:t>applied</w:t>
      </w:r>
      <w:r>
        <w:rPr>
          <w:spacing w:val="-4"/>
        </w:rPr>
        <w:t> </w:t>
      </w:r>
      <w:r>
        <w:rPr/>
        <w:t>study</w:t>
      </w:r>
      <w:r>
        <w:rPr>
          <w:spacing w:val="-5"/>
        </w:rPr>
        <w:t> </w:t>
      </w:r>
      <w:r>
        <w:rPr/>
        <w:t>of</w:t>
      </w:r>
      <w:r>
        <w:rPr>
          <w:spacing w:val="-2"/>
        </w:rPr>
        <w:t> </w:t>
      </w:r>
      <w:r>
        <w:rPr/>
        <w:t>steel</w:t>
      </w:r>
      <w:r>
        <w:rPr>
          <w:spacing w:val="-3"/>
        </w:rPr>
        <w:t> </w:t>
      </w:r>
      <w:r>
        <w:rPr/>
        <w:t>and</w:t>
      </w:r>
      <w:r>
        <w:rPr>
          <w:spacing w:val="-4"/>
        </w:rPr>
        <w:t> </w:t>
      </w:r>
      <w:r>
        <w:rPr/>
        <w:t>reinforced</w:t>
      </w:r>
      <w:r>
        <w:rPr>
          <w:spacing w:val="-4"/>
        </w:rPr>
        <w:t> </w:t>
      </w:r>
      <w:r>
        <w:rPr/>
        <w:t>concrete</w:t>
      </w:r>
      <w:r>
        <w:rPr>
          <w:spacing w:val="-2"/>
        </w:rPr>
        <w:t> </w:t>
      </w:r>
      <w:r>
        <w:rPr/>
        <w:t>behavior</w:t>
      </w:r>
      <w:r>
        <w:rPr>
          <w:spacing w:val="-3"/>
        </w:rPr>
        <w:t> </w:t>
      </w:r>
      <w:r>
        <w:rPr/>
        <w:t>in</w:t>
      </w:r>
      <w:r>
        <w:rPr>
          <w:spacing w:val="-4"/>
        </w:rPr>
        <w:t> </w:t>
      </w:r>
      <w:r>
        <w:rPr/>
        <w:t>structural</w:t>
      </w:r>
      <w:r>
        <w:rPr>
          <w:spacing w:val="-5"/>
        </w:rPr>
        <w:t> </w:t>
      </w:r>
      <w:r>
        <w:rPr/>
        <w:t>applications</w:t>
      </w:r>
      <w:r>
        <w:rPr>
          <w:spacing w:val="-3"/>
        </w:rPr>
        <w:t> </w:t>
      </w:r>
      <w:r>
        <w:rPr/>
        <w:t>for</w:t>
      </w:r>
      <w:r>
        <w:rPr>
          <w:spacing w:val="-3"/>
        </w:rPr>
        <w:t> </w:t>
      </w:r>
      <w:r>
        <w:rPr/>
        <w:t>buildings. The</w:t>
      </w:r>
      <w:r>
        <w:rPr>
          <w:spacing w:val="-3"/>
        </w:rPr>
        <w:t> </w:t>
      </w:r>
      <w:r>
        <w:rPr/>
        <w:t>influence</w:t>
      </w:r>
      <w:r>
        <w:rPr>
          <w:spacing w:val="-1"/>
        </w:rPr>
        <w:t> </w:t>
      </w:r>
      <w:r>
        <w:rPr/>
        <w:t>of</w:t>
      </w:r>
      <w:r>
        <w:rPr>
          <w:spacing w:val="-1"/>
        </w:rPr>
        <w:t> </w:t>
      </w:r>
      <w:r>
        <w:rPr/>
        <w:t>wind</w:t>
      </w:r>
      <w:r>
        <w:rPr>
          <w:spacing w:val="-3"/>
        </w:rPr>
        <w:t> </w:t>
      </w:r>
      <w:r>
        <w:rPr/>
        <w:t>and</w:t>
      </w:r>
      <w:r>
        <w:rPr>
          <w:spacing w:val="-3"/>
        </w:rPr>
        <w:t> </w:t>
      </w:r>
      <w:r>
        <w:rPr/>
        <w:t>seismic</w:t>
      </w:r>
      <w:r>
        <w:rPr>
          <w:spacing w:val="-2"/>
        </w:rPr>
        <w:t> </w:t>
      </w:r>
      <w:r>
        <w:rPr/>
        <w:t>activity</w:t>
      </w:r>
      <w:r>
        <w:rPr>
          <w:spacing w:val="-4"/>
        </w:rPr>
        <w:t> </w:t>
      </w:r>
      <w:r>
        <w:rPr/>
        <w:t>are</w:t>
      </w:r>
      <w:r>
        <w:rPr>
          <w:spacing w:val="-3"/>
        </w:rPr>
        <w:t> </w:t>
      </w:r>
      <w:r>
        <w:rPr/>
        <w:t>examined</w:t>
      </w:r>
      <w:r>
        <w:rPr>
          <w:spacing w:val="-3"/>
        </w:rPr>
        <w:t> </w:t>
      </w:r>
      <w:r>
        <w:rPr/>
        <w:t>and</w:t>
      </w:r>
      <w:r>
        <w:rPr>
          <w:spacing w:val="-3"/>
        </w:rPr>
        <w:t> </w:t>
      </w:r>
      <w:r>
        <w:rPr/>
        <w:t>regulated</w:t>
      </w:r>
      <w:r>
        <w:rPr>
          <w:spacing w:val="-1"/>
        </w:rPr>
        <w:t> </w:t>
      </w:r>
      <w:r>
        <w:rPr/>
        <w:t>applications</w:t>
      </w:r>
      <w:r>
        <w:rPr>
          <w:spacing w:val="-2"/>
        </w:rPr>
        <w:t> </w:t>
      </w:r>
      <w:r>
        <w:rPr/>
        <w:t>from building </w:t>
      </w:r>
      <w:r>
        <w:rPr>
          <w:spacing w:val="-2"/>
        </w:rPr>
        <w:t>codes.</w:t>
      </w:r>
    </w:p>
    <w:p>
      <w:pPr>
        <w:pStyle w:val="BodyText"/>
        <w:spacing w:before="4"/>
        <w:rPr>
          <w:sz w:val="24"/>
        </w:rPr>
      </w:pPr>
    </w:p>
    <w:p>
      <w:pPr>
        <w:spacing w:before="0"/>
        <w:ind w:left="440" w:right="0" w:firstLine="0"/>
        <w:jc w:val="left"/>
        <w:rPr>
          <w:b/>
          <w:sz w:val="20"/>
        </w:rPr>
      </w:pPr>
      <w:r>
        <w:rPr>
          <w:b/>
          <w:sz w:val="20"/>
        </w:rPr>
        <w:t>Course</w:t>
      </w:r>
      <w:r>
        <w:rPr>
          <w:b/>
          <w:spacing w:val="-9"/>
          <w:sz w:val="20"/>
        </w:rPr>
        <w:t> </w:t>
      </w:r>
      <w:r>
        <w:rPr>
          <w:b/>
          <w:sz w:val="20"/>
        </w:rPr>
        <w:t>Goals</w:t>
      </w:r>
      <w:r>
        <w:rPr>
          <w:b/>
          <w:spacing w:val="-7"/>
          <w:sz w:val="20"/>
        </w:rPr>
        <w:t> </w:t>
      </w:r>
      <w:r>
        <w:rPr>
          <w:b/>
          <w:sz w:val="20"/>
        </w:rPr>
        <w:t>and</w:t>
      </w:r>
      <w:r>
        <w:rPr>
          <w:b/>
          <w:spacing w:val="-5"/>
          <w:sz w:val="20"/>
        </w:rPr>
        <w:t> </w:t>
      </w:r>
      <w:r>
        <w:rPr>
          <w:b/>
          <w:spacing w:val="-2"/>
          <w:sz w:val="20"/>
        </w:rPr>
        <w:t>Objectives;</w:t>
      </w:r>
    </w:p>
    <w:p>
      <w:pPr>
        <w:pStyle w:val="BodyText"/>
        <w:spacing w:before="5"/>
        <w:rPr>
          <w:b/>
          <w:sz w:val="24"/>
        </w:rPr>
      </w:pPr>
    </w:p>
    <w:p>
      <w:pPr>
        <w:pStyle w:val="BodyText"/>
        <w:ind w:left="1159" w:right="800"/>
        <w:jc w:val="both"/>
      </w:pPr>
      <w:r>
        <w:rPr/>
        <w:t>Students</w:t>
      </w:r>
      <w:r>
        <w:rPr>
          <w:spacing w:val="-1"/>
        </w:rPr>
        <w:t> </w:t>
      </w:r>
      <w:r>
        <w:rPr/>
        <w:t>will</w:t>
      </w:r>
      <w:r>
        <w:rPr>
          <w:spacing w:val="-5"/>
        </w:rPr>
        <w:t> </w:t>
      </w:r>
      <w:r>
        <w:rPr/>
        <w:t>understand</w:t>
      </w:r>
      <w:r>
        <w:rPr>
          <w:spacing w:val="-4"/>
        </w:rPr>
        <w:t> </w:t>
      </w:r>
      <w:r>
        <w:rPr/>
        <w:t>the</w:t>
      </w:r>
      <w:r>
        <w:rPr>
          <w:spacing w:val="-4"/>
        </w:rPr>
        <w:t> </w:t>
      </w:r>
      <w:r>
        <w:rPr/>
        <w:t>process</w:t>
      </w:r>
      <w:r>
        <w:rPr>
          <w:spacing w:val="-3"/>
        </w:rPr>
        <w:t> </w:t>
      </w:r>
      <w:r>
        <w:rPr/>
        <w:t>for</w:t>
      </w:r>
      <w:r>
        <w:rPr>
          <w:spacing w:val="-3"/>
        </w:rPr>
        <w:t> </w:t>
      </w:r>
      <w:r>
        <w:rPr/>
        <w:t>selecting</w:t>
      </w:r>
      <w:r>
        <w:rPr>
          <w:spacing w:val="-4"/>
        </w:rPr>
        <w:t> </w:t>
      </w:r>
      <w:r>
        <w:rPr/>
        <w:t>structural</w:t>
      </w:r>
      <w:r>
        <w:rPr>
          <w:spacing w:val="-5"/>
        </w:rPr>
        <w:t> </w:t>
      </w:r>
      <w:r>
        <w:rPr/>
        <w:t>systems</w:t>
      </w:r>
      <w:r>
        <w:rPr>
          <w:spacing w:val="-3"/>
        </w:rPr>
        <w:t> </w:t>
      </w:r>
      <w:r>
        <w:rPr/>
        <w:t>to</w:t>
      </w:r>
      <w:r>
        <w:rPr>
          <w:spacing w:val="-4"/>
        </w:rPr>
        <w:t> </w:t>
      </w:r>
      <w:r>
        <w:rPr/>
        <w:t>support</w:t>
      </w:r>
      <w:r>
        <w:rPr>
          <w:spacing w:val="-2"/>
        </w:rPr>
        <w:t> </w:t>
      </w:r>
      <w:r>
        <w:rPr/>
        <w:t>building</w:t>
      </w:r>
      <w:r>
        <w:rPr>
          <w:spacing w:val="-4"/>
        </w:rPr>
        <w:t> </w:t>
      </w:r>
      <w:r>
        <w:rPr/>
        <w:t>design. Students will demonstrate understanding through technical applications via model-making.</w:t>
      </w:r>
    </w:p>
    <w:p>
      <w:pPr>
        <w:pStyle w:val="BodyText"/>
        <w:spacing w:before="3"/>
        <w:rPr>
          <w:sz w:val="24"/>
        </w:rPr>
      </w:pPr>
    </w:p>
    <w:p>
      <w:pPr>
        <w:spacing w:before="0"/>
        <w:ind w:left="439" w:right="0" w:firstLine="0"/>
        <w:jc w:val="left"/>
        <w:rPr>
          <w:b/>
          <w:sz w:val="20"/>
        </w:rPr>
      </w:pPr>
      <w:r>
        <w:rPr>
          <w:b/>
          <w:sz w:val="20"/>
        </w:rPr>
        <w:t>Student</w:t>
      </w:r>
      <w:r>
        <w:rPr>
          <w:b/>
          <w:spacing w:val="-9"/>
          <w:sz w:val="20"/>
        </w:rPr>
        <w:t> </w:t>
      </w:r>
      <w:r>
        <w:rPr>
          <w:b/>
          <w:sz w:val="20"/>
        </w:rPr>
        <w:t>Performance</w:t>
      </w:r>
      <w:r>
        <w:rPr>
          <w:b/>
          <w:spacing w:val="-9"/>
          <w:sz w:val="20"/>
        </w:rPr>
        <w:t> </w:t>
      </w:r>
      <w:r>
        <w:rPr>
          <w:b/>
          <w:sz w:val="20"/>
        </w:rPr>
        <w:t>Criteria</w:t>
      </w:r>
      <w:r>
        <w:rPr>
          <w:b/>
          <w:spacing w:val="-5"/>
          <w:sz w:val="20"/>
        </w:rPr>
        <w:t> </w:t>
      </w:r>
      <w:r>
        <w:rPr>
          <w:b/>
          <w:sz w:val="20"/>
        </w:rPr>
        <w:t>Addressed</w:t>
      </w:r>
      <w:r>
        <w:rPr>
          <w:b/>
          <w:spacing w:val="-8"/>
          <w:sz w:val="20"/>
        </w:rPr>
        <w:t> </w:t>
      </w:r>
      <w:r>
        <w:rPr>
          <w:b/>
          <w:sz w:val="20"/>
        </w:rPr>
        <w:t>(name</w:t>
      </w:r>
      <w:r>
        <w:rPr>
          <w:b/>
          <w:spacing w:val="-9"/>
          <w:sz w:val="20"/>
        </w:rPr>
        <w:t> </w:t>
      </w:r>
      <w:r>
        <w:rPr>
          <w:b/>
          <w:sz w:val="20"/>
        </w:rPr>
        <w:t>and</w:t>
      </w:r>
      <w:r>
        <w:rPr>
          <w:b/>
          <w:spacing w:val="-8"/>
          <w:sz w:val="20"/>
        </w:rPr>
        <w:t> </w:t>
      </w:r>
      <w:r>
        <w:rPr>
          <w:b/>
          <w:spacing w:val="-2"/>
          <w:sz w:val="20"/>
        </w:rPr>
        <w:t>number)</w:t>
      </w:r>
    </w:p>
    <w:p>
      <w:pPr>
        <w:pStyle w:val="BodyText"/>
        <w:spacing w:before="5"/>
        <w:rPr>
          <w:b/>
          <w:sz w:val="24"/>
        </w:rPr>
      </w:pPr>
    </w:p>
    <w:p>
      <w:pPr>
        <w:pStyle w:val="ListParagraph"/>
        <w:numPr>
          <w:ilvl w:val="1"/>
          <w:numId w:val="49"/>
        </w:numPr>
        <w:tabs>
          <w:tab w:pos="1525" w:val="left" w:leader="none"/>
        </w:tabs>
        <w:spacing w:line="240" w:lineRule="auto" w:before="0" w:after="0"/>
        <w:ind w:left="1524" w:right="0" w:hanging="366"/>
        <w:jc w:val="both"/>
        <w:rPr>
          <w:sz w:val="20"/>
        </w:rPr>
      </w:pPr>
      <w:r>
        <w:rPr>
          <w:sz w:val="20"/>
        </w:rPr>
        <w:t>-</w:t>
      </w:r>
      <w:r>
        <w:rPr>
          <w:spacing w:val="-6"/>
          <w:sz w:val="20"/>
        </w:rPr>
        <w:t> </w:t>
      </w:r>
      <w:r>
        <w:rPr>
          <w:sz w:val="20"/>
        </w:rPr>
        <w:t>Structural</w:t>
      </w:r>
      <w:r>
        <w:rPr>
          <w:spacing w:val="-6"/>
          <w:sz w:val="20"/>
        </w:rPr>
        <w:t> </w:t>
      </w:r>
      <w:r>
        <w:rPr>
          <w:spacing w:val="-2"/>
          <w:sz w:val="20"/>
        </w:rPr>
        <w:t>Systems</w:t>
      </w:r>
    </w:p>
    <w:p>
      <w:pPr>
        <w:pStyle w:val="BodyText"/>
        <w:spacing w:before="3"/>
        <w:rPr>
          <w:sz w:val="24"/>
        </w:rPr>
      </w:pPr>
    </w:p>
    <w:p>
      <w:pPr>
        <w:spacing w:before="0"/>
        <w:ind w:left="439" w:right="0" w:firstLine="0"/>
        <w:jc w:val="left"/>
        <w:rPr>
          <w:b/>
          <w:sz w:val="20"/>
        </w:rPr>
      </w:pPr>
      <w:r>
        <w:rPr>
          <w:b/>
          <w:sz w:val="20"/>
        </w:rPr>
        <w:t>Topical</w:t>
      </w:r>
      <w:r>
        <w:rPr>
          <w:b/>
          <w:spacing w:val="-7"/>
          <w:sz w:val="20"/>
        </w:rPr>
        <w:t> </w:t>
      </w:r>
      <w:r>
        <w:rPr>
          <w:b/>
          <w:sz w:val="20"/>
        </w:rPr>
        <w:t>Outline</w:t>
      </w:r>
      <w:r>
        <w:rPr>
          <w:b/>
          <w:spacing w:val="-7"/>
          <w:sz w:val="20"/>
        </w:rPr>
        <w:t> </w:t>
      </w:r>
      <w:r>
        <w:rPr>
          <w:b/>
          <w:sz w:val="20"/>
        </w:rPr>
        <w:t>and</w:t>
      </w:r>
      <w:r>
        <w:rPr>
          <w:b/>
          <w:spacing w:val="-6"/>
          <w:sz w:val="20"/>
        </w:rPr>
        <w:t> </w:t>
      </w:r>
      <w:r>
        <w:rPr>
          <w:b/>
          <w:sz w:val="20"/>
        </w:rPr>
        <w:t>percentage</w:t>
      </w:r>
      <w:r>
        <w:rPr>
          <w:b/>
          <w:spacing w:val="-6"/>
          <w:sz w:val="20"/>
        </w:rPr>
        <w:t> </w:t>
      </w:r>
      <w:r>
        <w:rPr>
          <w:b/>
          <w:sz w:val="20"/>
        </w:rPr>
        <w:t>of</w:t>
      </w:r>
      <w:r>
        <w:rPr>
          <w:b/>
          <w:spacing w:val="-6"/>
          <w:sz w:val="20"/>
        </w:rPr>
        <w:t> </w:t>
      </w:r>
      <w:r>
        <w:rPr>
          <w:b/>
          <w:sz w:val="20"/>
        </w:rPr>
        <w:t>time</w:t>
      </w:r>
      <w:r>
        <w:rPr>
          <w:b/>
          <w:spacing w:val="-7"/>
          <w:sz w:val="20"/>
        </w:rPr>
        <w:t> </w:t>
      </w:r>
      <w:r>
        <w:rPr>
          <w:b/>
          <w:sz w:val="20"/>
        </w:rPr>
        <w:t>spent</w:t>
      </w:r>
      <w:r>
        <w:rPr>
          <w:b/>
          <w:spacing w:val="-6"/>
          <w:sz w:val="20"/>
        </w:rPr>
        <w:t> </w:t>
      </w:r>
      <w:r>
        <w:rPr>
          <w:b/>
          <w:sz w:val="20"/>
        </w:rPr>
        <w:t>on</w:t>
      </w:r>
      <w:r>
        <w:rPr>
          <w:b/>
          <w:spacing w:val="-5"/>
          <w:sz w:val="20"/>
        </w:rPr>
        <w:t> </w:t>
      </w:r>
      <w:r>
        <w:rPr>
          <w:b/>
          <w:spacing w:val="-4"/>
          <w:sz w:val="20"/>
        </w:rPr>
        <w:t>each</w:t>
      </w:r>
    </w:p>
    <w:p>
      <w:pPr>
        <w:pStyle w:val="BodyText"/>
        <w:spacing w:before="5"/>
        <w:rPr>
          <w:b/>
          <w:sz w:val="24"/>
        </w:rPr>
      </w:pPr>
    </w:p>
    <w:p>
      <w:pPr>
        <w:pStyle w:val="BodyText"/>
        <w:ind w:left="1159" w:right="6024"/>
      </w:pPr>
      <w:r>
        <w:rPr/>
        <w:t>Lectures</w:t>
      </w:r>
      <w:r>
        <w:rPr>
          <w:spacing w:val="-10"/>
        </w:rPr>
        <w:t> </w:t>
      </w:r>
      <w:r>
        <w:rPr/>
        <w:t>and</w:t>
      </w:r>
      <w:r>
        <w:rPr>
          <w:spacing w:val="-11"/>
        </w:rPr>
        <w:t> </w:t>
      </w:r>
      <w:r>
        <w:rPr/>
        <w:t>Demonstrations</w:t>
      </w:r>
      <w:r>
        <w:rPr>
          <w:spacing w:val="-10"/>
        </w:rPr>
        <w:t> </w:t>
      </w:r>
      <w:r>
        <w:rPr/>
        <w:t>–</w:t>
      </w:r>
      <w:r>
        <w:rPr>
          <w:spacing w:val="-10"/>
        </w:rPr>
        <w:t> </w:t>
      </w:r>
      <w:r>
        <w:rPr/>
        <w:t>75% Tests and Quizzes – 25%</w:t>
      </w:r>
    </w:p>
    <w:p>
      <w:pPr>
        <w:pStyle w:val="BodyText"/>
        <w:spacing w:before="4"/>
        <w:rPr>
          <w:sz w:val="24"/>
        </w:rPr>
      </w:pPr>
    </w:p>
    <w:p>
      <w:pPr>
        <w:spacing w:before="0"/>
        <w:ind w:left="439" w:right="0" w:firstLine="0"/>
        <w:jc w:val="left"/>
        <w:rPr>
          <w:b/>
          <w:sz w:val="20"/>
        </w:rPr>
      </w:pPr>
      <w:r>
        <w:rPr>
          <w:b/>
          <w:w w:val="95"/>
          <w:sz w:val="20"/>
        </w:rPr>
        <w:t>Pre-</w:t>
      </w:r>
      <w:r>
        <w:rPr>
          <w:b/>
          <w:spacing w:val="-2"/>
          <w:sz w:val="20"/>
        </w:rPr>
        <w:t>requisites</w:t>
      </w:r>
    </w:p>
    <w:p>
      <w:pPr>
        <w:pStyle w:val="BodyText"/>
        <w:spacing w:before="5"/>
        <w:rPr>
          <w:b/>
          <w:sz w:val="24"/>
        </w:rPr>
      </w:pPr>
    </w:p>
    <w:p>
      <w:pPr>
        <w:pStyle w:val="BodyText"/>
        <w:ind w:left="1159"/>
      </w:pPr>
      <w:r>
        <w:rPr/>
        <w:t>ARC</w:t>
      </w:r>
      <w:r>
        <w:rPr>
          <w:spacing w:val="-6"/>
        </w:rPr>
        <w:t> </w:t>
      </w:r>
      <w:r>
        <w:rPr/>
        <w:t>213,</w:t>
      </w:r>
      <w:r>
        <w:rPr>
          <w:spacing w:val="-3"/>
        </w:rPr>
        <w:t> </w:t>
      </w:r>
      <w:r>
        <w:rPr/>
        <w:t>309,</w:t>
      </w:r>
      <w:r>
        <w:rPr>
          <w:spacing w:val="-5"/>
        </w:rPr>
        <w:t> </w:t>
      </w:r>
      <w:r>
        <w:rPr/>
        <w:t>310,</w:t>
      </w:r>
      <w:r>
        <w:rPr>
          <w:spacing w:val="-3"/>
        </w:rPr>
        <w:t> </w:t>
      </w:r>
      <w:r>
        <w:rPr/>
        <w:t>314,</w:t>
      </w:r>
      <w:r>
        <w:rPr>
          <w:spacing w:val="-3"/>
        </w:rPr>
        <w:t> </w:t>
      </w:r>
      <w:r>
        <w:rPr/>
        <w:t>315</w:t>
      </w:r>
      <w:r>
        <w:rPr>
          <w:spacing w:val="-6"/>
        </w:rPr>
        <w:t> </w:t>
      </w:r>
      <w:r>
        <w:rPr/>
        <w:t>and</w:t>
      </w:r>
      <w:r>
        <w:rPr>
          <w:spacing w:val="-5"/>
        </w:rPr>
        <w:t> </w:t>
      </w:r>
      <w:r>
        <w:rPr/>
        <w:t>MAT</w:t>
      </w:r>
      <w:r>
        <w:rPr>
          <w:spacing w:val="-2"/>
        </w:rPr>
        <w:t> </w:t>
      </w:r>
      <w:r>
        <w:rPr/>
        <w:t>118,</w:t>
      </w:r>
      <w:r>
        <w:rPr>
          <w:spacing w:val="-3"/>
        </w:rPr>
        <w:t> </w:t>
      </w:r>
      <w:r>
        <w:rPr/>
        <w:t>PHY</w:t>
      </w:r>
      <w:r>
        <w:rPr>
          <w:spacing w:val="-6"/>
        </w:rPr>
        <w:t> </w:t>
      </w:r>
      <w:r>
        <w:rPr>
          <w:spacing w:val="-4"/>
        </w:rPr>
        <w:t>201.</w:t>
      </w:r>
    </w:p>
    <w:p>
      <w:pPr>
        <w:pStyle w:val="BodyText"/>
        <w:rPr>
          <w:sz w:val="24"/>
        </w:rPr>
      </w:pPr>
    </w:p>
    <w:p>
      <w:pPr>
        <w:spacing w:before="0"/>
        <w:ind w:left="439" w:right="0" w:firstLine="0"/>
        <w:jc w:val="left"/>
        <w:rPr>
          <w:b/>
          <w:sz w:val="20"/>
        </w:rPr>
      </w:pPr>
      <w:r>
        <w:rPr>
          <w:b/>
          <w:sz w:val="20"/>
        </w:rPr>
        <w:t>Textbooks</w:t>
      </w:r>
      <w:r>
        <w:rPr>
          <w:b/>
          <w:spacing w:val="-11"/>
          <w:sz w:val="20"/>
        </w:rPr>
        <w:t> </w:t>
      </w:r>
      <w:r>
        <w:rPr>
          <w:b/>
          <w:sz w:val="20"/>
        </w:rPr>
        <w:t>/</w:t>
      </w:r>
      <w:r>
        <w:rPr>
          <w:b/>
          <w:spacing w:val="-9"/>
          <w:sz w:val="20"/>
        </w:rPr>
        <w:t> </w:t>
      </w:r>
      <w:r>
        <w:rPr>
          <w:b/>
          <w:sz w:val="20"/>
        </w:rPr>
        <w:t>Learning</w:t>
      </w:r>
      <w:r>
        <w:rPr>
          <w:b/>
          <w:spacing w:val="-7"/>
          <w:sz w:val="20"/>
        </w:rPr>
        <w:t> </w:t>
      </w:r>
      <w:r>
        <w:rPr>
          <w:b/>
          <w:spacing w:val="-2"/>
          <w:sz w:val="20"/>
        </w:rPr>
        <w:t>Resources</w:t>
      </w:r>
    </w:p>
    <w:p>
      <w:pPr>
        <w:pStyle w:val="BodyText"/>
        <w:spacing w:before="8"/>
        <w:rPr>
          <w:b/>
          <w:sz w:val="24"/>
        </w:rPr>
      </w:pPr>
    </w:p>
    <w:p>
      <w:pPr>
        <w:pStyle w:val="BodyText"/>
        <w:ind w:left="1159" w:right="642"/>
      </w:pPr>
      <w:r>
        <w:rPr/>
        <w:t>David</w:t>
      </w:r>
      <w:r>
        <w:rPr>
          <w:spacing w:val="-2"/>
        </w:rPr>
        <w:t> </w:t>
      </w:r>
      <w:r>
        <w:rPr/>
        <w:t>Berg,</w:t>
      </w:r>
      <w:r>
        <w:rPr>
          <w:spacing w:val="-2"/>
        </w:rPr>
        <w:t> </w:t>
      </w:r>
      <w:r>
        <w:rPr/>
        <w:t>Robert</w:t>
      </w:r>
      <w:r>
        <w:rPr>
          <w:spacing w:val="-4"/>
        </w:rPr>
        <w:t> </w:t>
      </w:r>
      <w:r>
        <w:rPr/>
        <w:t>Marks</w:t>
      </w:r>
      <w:r>
        <w:rPr>
          <w:spacing w:val="-5"/>
        </w:rPr>
        <w:t> </w:t>
      </w:r>
      <w:r>
        <w:rPr/>
        <w:t>&amp;</w:t>
      </w:r>
      <w:r>
        <w:rPr>
          <w:spacing w:val="-5"/>
        </w:rPr>
        <w:t> </w:t>
      </w:r>
      <w:r>
        <w:rPr/>
        <w:t>Lester</w:t>
      </w:r>
      <w:r>
        <w:rPr>
          <w:spacing w:val="-7"/>
        </w:rPr>
        <w:t> </w:t>
      </w:r>
      <w:r>
        <w:rPr/>
        <w:t>Wertheimer,</w:t>
      </w:r>
      <w:r>
        <w:rPr>
          <w:spacing w:val="-4"/>
        </w:rPr>
        <w:t> </w:t>
      </w:r>
      <w:r>
        <w:rPr/>
        <w:t>Structural</w:t>
      </w:r>
      <w:r>
        <w:rPr>
          <w:spacing w:val="-1"/>
        </w:rPr>
        <w:t> </w:t>
      </w:r>
      <w:r>
        <w:rPr/>
        <w:t>Systems</w:t>
      </w:r>
      <w:r>
        <w:rPr>
          <w:spacing w:val="-3"/>
        </w:rPr>
        <w:t> </w:t>
      </w:r>
      <w:r>
        <w:rPr/>
        <w:t>Study</w:t>
      </w:r>
      <w:r>
        <w:rPr>
          <w:spacing w:val="-6"/>
        </w:rPr>
        <w:t> </w:t>
      </w:r>
      <w:r>
        <w:rPr/>
        <w:t>Guide:</w:t>
      </w:r>
      <w:r>
        <w:rPr>
          <w:spacing w:val="40"/>
        </w:rPr>
        <w:t> </w:t>
      </w:r>
      <w:r>
        <w:rPr/>
        <w:t>2012</w:t>
      </w:r>
      <w:r>
        <w:rPr>
          <w:spacing w:val="-4"/>
        </w:rPr>
        <w:t> </w:t>
      </w:r>
      <w:r>
        <w:rPr/>
        <w:t>Edition, Kaplan Architecture Education; ISBN:</w:t>
      </w:r>
      <w:r>
        <w:rPr>
          <w:spacing w:val="40"/>
        </w:rPr>
        <w:t> </w:t>
      </w:r>
      <w:r>
        <w:rPr/>
        <w:t>978-1-4277-3709-0/1-4277-3709-6</w:t>
      </w:r>
    </w:p>
    <w:p>
      <w:pPr>
        <w:pStyle w:val="BodyText"/>
        <w:spacing w:before="1"/>
        <w:rPr>
          <w:sz w:val="24"/>
        </w:rPr>
      </w:pPr>
    </w:p>
    <w:p>
      <w:pPr>
        <w:spacing w:before="0"/>
        <w:ind w:left="439" w:right="0" w:firstLine="0"/>
        <w:jc w:val="left"/>
        <w:rPr>
          <w:b/>
          <w:sz w:val="20"/>
        </w:rPr>
      </w:pPr>
      <w:r>
        <w:rPr>
          <w:b/>
          <w:sz w:val="20"/>
        </w:rPr>
        <w:t>Offered</w:t>
      </w:r>
      <w:r>
        <w:rPr>
          <w:b/>
          <w:spacing w:val="-10"/>
          <w:sz w:val="20"/>
        </w:rPr>
        <w:t> </w:t>
      </w:r>
      <w:r>
        <w:rPr>
          <w:b/>
          <w:spacing w:val="-2"/>
          <w:sz w:val="20"/>
        </w:rPr>
        <w:t>(terms):</w:t>
      </w:r>
    </w:p>
    <w:p>
      <w:pPr>
        <w:pStyle w:val="BodyText"/>
        <w:spacing w:before="5"/>
        <w:rPr>
          <w:b/>
          <w:sz w:val="24"/>
        </w:rPr>
      </w:pPr>
    </w:p>
    <w:p>
      <w:pPr>
        <w:pStyle w:val="BodyText"/>
        <w:ind w:left="1158"/>
      </w:pPr>
      <w:r>
        <w:rPr/>
        <w:t>Fall</w:t>
      </w:r>
      <w:r>
        <w:rPr>
          <w:spacing w:val="-8"/>
        </w:rPr>
        <w:t> </w:t>
      </w:r>
      <w:r>
        <w:rPr/>
        <w:t>Semester</w:t>
      </w:r>
      <w:r>
        <w:rPr>
          <w:spacing w:val="-7"/>
        </w:rPr>
        <w:t> </w:t>
      </w:r>
      <w:r>
        <w:rPr>
          <w:spacing w:val="-4"/>
        </w:rPr>
        <w:t>only</w:t>
      </w:r>
    </w:p>
    <w:p>
      <w:pPr>
        <w:pStyle w:val="BodyText"/>
        <w:spacing w:before="3"/>
        <w:rPr>
          <w:sz w:val="24"/>
        </w:rPr>
      </w:pPr>
    </w:p>
    <w:p>
      <w:pPr>
        <w:spacing w:before="0"/>
        <w:ind w:left="493" w:right="0" w:firstLine="0"/>
        <w:jc w:val="left"/>
        <w:rPr>
          <w:b/>
          <w:sz w:val="20"/>
        </w:rPr>
      </w:pPr>
      <w:r>
        <w:rPr>
          <w:b/>
          <w:sz w:val="20"/>
        </w:rPr>
        <w:t>Faculty</w:t>
      </w:r>
      <w:r>
        <w:rPr>
          <w:b/>
          <w:spacing w:val="-8"/>
          <w:sz w:val="20"/>
        </w:rPr>
        <w:t> </w:t>
      </w:r>
      <w:r>
        <w:rPr>
          <w:b/>
          <w:spacing w:val="-2"/>
          <w:sz w:val="20"/>
        </w:rPr>
        <w:t>Assigned</w:t>
      </w:r>
    </w:p>
    <w:p>
      <w:pPr>
        <w:pStyle w:val="BodyText"/>
        <w:spacing w:before="5"/>
        <w:rPr>
          <w:b/>
          <w:sz w:val="24"/>
        </w:rPr>
      </w:pPr>
    </w:p>
    <w:p>
      <w:pPr>
        <w:pStyle w:val="BodyText"/>
        <w:ind w:left="1158" w:right="7005"/>
      </w:pPr>
      <w:r>
        <w:rPr/>
        <w:t>2014</w:t>
      </w:r>
      <w:r>
        <w:rPr>
          <w:spacing w:val="-14"/>
        </w:rPr>
        <w:t> </w:t>
      </w:r>
      <w:r>
        <w:rPr/>
        <w:t>–</w:t>
      </w:r>
      <w:r>
        <w:rPr>
          <w:spacing w:val="-13"/>
        </w:rPr>
        <w:t> </w:t>
      </w:r>
      <w:r>
        <w:rPr/>
        <w:t>Brown</w:t>
      </w:r>
      <w:r>
        <w:rPr>
          <w:spacing w:val="-14"/>
        </w:rPr>
        <w:t> </w:t>
      </w:r>
      <w:r>
        <w:rPr/>
        <w:t>(Adjunct) 2013</w:t>
      </w:r>
      <w:r>
        <w:rPr>
          <w:spacing w:val="-5"/>
        </w:rPr>
        <w:t> </w:t>
      </w:r>
      <w:r>
        <w:rPr/>
        <w:t>–</w:t>
      </w:r>
      <w:r>
        <w:rPr>
          <w:spacing w:val="-4"/>
        </w:rPr>
        <w:t> </w:t>
      </w:r>
      <w:r>
        <w:rPr/>
        <w:t>Brown</w:t>
      </w:r>
      <w:r>
        <w:rPr>
          <w:spacing w:val="-7"/>
        </w:rPr>
        <w:t> </w:t>
      </w:r>
      <w:r>
        <w:rPr>
          <w:spacing w:val="-2"/>
        </w:rPr>
        <w:t>(Adjunct)</w:t>
      </w:r>
    </w:p>
    <w:p>
      <w:pPr>
        <w:spacing w:after="0"/>
        <w:sectPr>
          <w:headerReference w:type="default" r:id="rId229"/>
          <w:footerReference w:type="default" r:id="rId230"/>
          <w:pgSz w:w="12240" w:h="15840"/>
          <w:pgMar w:header="993" w:footer="974" w:top="1240" w:bottom="1160" w:left="1000" w:right="820"/>
        </w:sectPr>
      </w:pPr>
    </w:p>
    <w:p>
      <w:pPr>
        <w:spacing w:before="115"/>
        <w:ind w:left="440" w:right="0" w:firstLine="0"/>
        <w:jc w:val="left"/>
        <w:rPr>
          <w:b/>
          <w:sz w:val="20"/>
        </w:rPr>
      </w:pPr>
      <w:r>
        <w:rPr>
          <w:b/>
          <w:sz w:val="20"/>
        </w:rPr>
        <w:t>Course</w:t>
      </w:r>
      <w:r>
        <w:rPr>
          <w:b/>
          <w:spacing w:val="-9"/>
          <w:sz w:val="20"/>
        </w:rPr>
        <w:t> </w:t>
      </w:r>
      <w:r>
        <w:rPr>
          <w:b/>
          <w:sz w:val="20"/>
        </w:rPr>
        <w:t>Description</w:t>
      </w:r>
      <w:r>
        <w:rPr>
          <w:b/>
          <w:spacing w:val="-8"/>
          <w:sz w:val="20"/>
        </w:rPr>
        <w:t> </w:t>
      </w:r>
      <w:r>
        <w:rPr>
          <w:b/>
          <w:sz w:val="20"/>
        </w:rPr>
        <w:t>(limit</w:t>
      </w:r>
      <w:r>
        <w:rPr>
          <w:b/>
          <w:spacing w:val="-7"/>
          <w:sz w:val="20"/>
        </w:rPr>
        <w:t> </w:t>
      </w:r>
      <w:r>
        <w:rPr>
          <w:b/>
          <w:sz w:val="20"/>
        </w:rPr>
        <w:t>25</w:t>
      </w:r>
      <w:r>
        <w:rPr>
          <w:b/>
          <w:spacing w:val="-8"/>
          <w:sz w:val="20"/>
        </w:rPr>
        <w:t> </w:t>
      </w:r>
      <w:r>
        <w:rPr>
          <w:b/>
          <w:spacing w:val="-2"/>
          <w:sz w:val="20"/>
        </w:rPr>
        <w:t>words):</w:t>
      </w:r>
    </w:p>
    <w:p>
      <w:pPr>
        <w:pStyle w:val="BodyText"/>
        <w:spacing w:before="122"/>
        <w:ind w:left="1159" w:right="1003"/>
      </w:pPr>
      <w:r>
        <w:rPr/>
        <w:t>A</w:t>
      </w:r>
      <w:r>
        <w:rPr>
          <w:spacing w:val="-2"/>
        </w:rPr>
        <w:t> </w:t>
      </w:r>
      <w:r>
        <w:rPr/>
        <w:t>workshop</w:t>
      </w:r>
      <w:r>
        <w:rPr>
          <w:spacing w:val="-4"/>
        </w:rPr>
        <w:t> </w:t>
      </w:r>
      <w:r>
        <w:rPr/>
        <w:t>to</w:t>
      </w:r>
      <w:r>
        <w:rPr>
          <w:spacing w:val="-2"/>
        </w:rPr>
        <w:t> </w:t>
      </w:r>
      <w:r>
        <w:rPr/>
        <w:t>exercise</w:t>
      </w:r>
      <w:r>
        <w:rPr>
          <w:spacing w:val="-4"/>
        </w:rPr>
        <w:t> </w:t>
      </w:r>
      <w:r>
        <w:rPr/>
        <w:t>the</w:t>
      </w:r>
      <w:r>
        <w:rPr>
          <w:spacing w:val="-2"/>
        </w:rPr>
        <w:t> </w:t>
      </w:r>
      <w:r>
        <w:rPr/>
        <w:t>order</w:t>
      </w:r>
      <w:r>
        <w:rPr>
          <w:spacing w:val="-3"/>
        </w:rPr>
        <w:t> </w:t>
      </w:r>
      <w:r>
        <w:rPr/>
        <w:t>of</w:t>
      </w:r>
      <w:r>
        <w:rPr>
          <w:spacing w:val="-2"/>
        </w:rPr>
        <w:t> </w:t>
      </w:r>
      <w:r>
        <w:rPr/>
        <w:t>building</w:t>
      </w:r>
      <w:r>
        <w:rPr>
          <w:spacing w:val="-4"/>
        </w:rPr>
        <w:t> </w:t>
      </w:r>
      <w:r>
        <w:rPr/>
        <w:t>technology</w:t>
      </w:r>
      <w:r>
        <w:rPr>
          <w:spacing w:val="-5"/>
        </w:rPr>
        <w:t> </w:t>
      </w:r>
      <w:r>
        <w:rPr/>
        <w:t>in</w:t>
      </w:r>
      <w:r>
        <w:rPr>
          <w:spacing w:val="-4"/>
        </w:rPr>
        <w:t> </w:t>
      </w:r>
      <w:r>
        <w:rPr/>
        <w:t>architectural</w:t>
      </w:r>
      <w:r>
        <w:rPr>
          <w:spacing w:val="-5"/>
        </w:rPr>
        <w:t> </w:t>
      </w:r>
      <w:r>
        <w:rPr/>
        <w:t>design.</w:t>
      </w:r>
      <w:r>
        <w:rPr>
          <w:spacing w:val="40"/>
        </w:rPr>
        <w:t> </w:t>
      </w:r>
      <w:r>
        <w:rPr/>
        <w:t>Applied scenarios are used to discover the cause and effects of form, comfort and safety.</w:t>
      </w:r>
    </w:p>
    <w:p>
      <w:pPr>
        <w:spacing w:before="119"/>
        <w:ind w:left="439" w:right="0" w:firstLine="0"/>
        <w:jc w:val="left"/>
        <w:rPr>
          <w:b/>
          <w:sz w:val="20"/>
        </w:rPr>
      </w:pPr>
      <w:r>
        <w:rPr>
          <w:b/>
          <w:sz w:val="20"/>
        </w:rPr>
        <w:t>Course</w:t>
      </w:r>
      <w:r>
        <w:rPr>
          <w:b/>
          <w:spacing w:val="-9"/>
          <w:sz w:val="20"/>
        </w:rPr>
        <w:t> </w:t>
      </w:r>
      <w:r>
        <w:rPr>
          <w:b/>
          <w:sz w:val="20"/>
        </w:rPr>
        <w:t>Goals</w:t>
      </w:r>
      <w:r>
        <w:rPr>
          <w:b/>
          <w:spacing w:val="-7"/>
          <w:sz w:val="20"/>
        </w:rPr>
        <w:t> </w:t>
      </w:r>
      <w:r>
        <w:rPr>
          <w:b/>
          <w:sz w:val="20"/>
        </w:rPr>
        <w:t>and</w:t>
      </w:r>
      <w:r>
        <w:rPr>
          <w:b/>
          <w:spacing w:val="-5"/>
          <w:sz w:val="20"/>
        </w:rPr>
        <w:t> </w:t>
      </w:r>
      <w:r>
        <w:rPr>
          <w:b/>
          <w:spacing w:val="-2"/>
          <w:sz w:val="20"/>
        </w:rPr>
        <w:t>Objectives;</w:t>
      </w:r>
    </w:p>
    <w:p>
      <w:pPr>
        <w:pStyle w:val="BodyText"/>
        <w:spacing w:before="123"/>
        <w:ind w:left="1159" w:right="712"/>
      </w:pPr>
      <w:r>
        <w:rPr/>
        <w:t>This</w:t>
      </w:r>
      <w:r>
        <w:rPr>
          <w:spacing w:val="-3"/>
        </w:rPr>
        <w:t> </w:t>
      </w:r>
      <w:r>
        <w:rPr/>
        <w:t>will</w:t>
      </w:r>
      <w:r>
        <w:rPr>
          <w:spacing w:val="-3"/>
        </w:rPr>
        <w:t> </w:t>
      </w:r>
      <w:r>
        <w:rPr/>
        <w:t>be</w:t>
      </w:r>
      <w:r>
        <w:rPr>
          <w:spacing w:val="-2"/>
        </w:rPr>
        <w:t> </w:t>
      </w:r>
      <w:r>
        <w:rPr/>
        <w:t>a</w:t>
      </w:r>
      <w:r>
        <w:rPr>
          <w:spacing w:val="-4"/>
        </w:rPr>
        <w:t> </w:t>
      </w:r>
      <w:r>
        <w:rPr/>
        <w:t>new</w:t>
      </w:r>
      <w:r>
        <w:rPr>
          <w:spacing w:val="-5"/>
        </w:rPr>
        <w:t> </w:t>
      </w:r>
      <w:r>
        <w:rPr/>
        <w:t>course</w:t>
      </w:r>
      <w:r>
        <w:rPr>
          <w:spacing w:val="-2"/>
        </w:rPr>
        <w:t> </w:t>
      </w:r>
      <w:r>
        <w:rPr/>
        <w:t>and</w:t>
      </w:r>
      <w:r>
        <w:rPr>
          <w:spacing w:val="-4"/>
        </w:rPr>
        <w:t> </w:t>
      </w:r>
      <w:r>
        <w:rPr/>
        <w:t>is being</w:t>
      </w:r>
      <w:r>
        <w:rPr>
          <w:spacing w:val="-2"/>
        </w:rPr>
        <w:t> </w:t>
      </w:r>
      <w:r>
        <w:rPr/>
        <w:t>designed</w:t>
      </w:r>
      <w:r>
        <w:rPr>
          <w:spacing w:val="-4"/>
        </w:rPr>
        <w:t> </w:t>
      </w:r>
      <w:r>
        <w:rPr/>
        <w:t>for</w:t>
      </w:r>
      <w:r>
        <w:rPr>
          <w:spacing w:val="-3"/>
        </w:rPr>
        <w:t> </w:t>
      </w:r>
      <w:r>
        <w:rPr/>
        <w:t>implementation</w:t>
      </w:r>
      <w:r>
        <w:rPr>
          <w:spacing w:val="-2"/>
        </w:rPr>
        <w:t> </w:t>
      </w:r>
      <w:r>
        <w:rPr/>
        <w:t>in</w:t>
      </w:r>
      <w:r>
        <w:rPr>
          <w:spacing w:val="-2"/>
        </w:rPr>
        <w:t> </w:t>
      </w:r>
      <w:r>
        <w:rPr/>
        <w:t>the</w:t>
      </w:r>
      <w:r>
        <w:rPr>
          <w:spacing w:val="-4"/>
        </w:rPr>
        <w:t> </w:t>
      </w:r>
      <w:r>
        <w:rPr/>
        <w:t>Fall</w:t>
      </w:r>
      <w:r>
        <w:rPr>
          <w:spacing w:val="-4"/>
        </w:rPr>
        <w:t> </w:t>
      </w:r>
      <w:r>
        <w:rPr/>
        <w:t>2017.</w:t>
      </w:r>
      <w:r>
        <w:rPr>
          <w:spacing w:val="40"/>
        </w:rPr>
        <w:t> </w:t>
      </w:r>
      <w:r>
        <w:rPr/>
        <w:t>Its</w:t>
      </w:r>
      <w:r>
        <w:rPr>
          <w:spacing w:val="-3"/>
        </w:rPr>
        <w:t> </w:t>
      </w:r>
      <w:r>
        <w:rPr/>
        <w:t>Goals and Objectives are being evaluated.</w:t>
      </w:r>
    </w:p>
    <w:p>
      <w:pPr>
        <w:spacing w:before="116"/>
        <w:ind w:left="439" w:right="0" w:firstLine="0"/>
        <w:jc w:val="left"/>
        <w:rPr>
          <w:b/>
          <w:sz w:val="20"/>
        </w:rPr>
      </w:pPr>
      <w:r>
        <w:rPr>
          <w:b/>
          <w:sz w:val="20"/>
        </w:rPr>
        <w:t>Student</w:t>
      </w:r>
      <w:r>
        <w:rPr>
          <w:b/>
          <w:spacing w:val="-9"/>
          <w:sz w:val="20"/>
        </w:rPr>
        <w:t> </w:t>
      </w:r>
      <w:r>
        <w:rPr>
          <w:b/>
          <w:sz w:val="20"/>
        </w:rPr>
        <w:t>Performance</w:t>
      </w:r>
      <w:r>
        <w:rPr>
          <w:b/>
          <w:spacing w:val="-9"/>
          <w:sz w:val="20"/>
        </w:rPr>
        <w:t> </w:t>
      </w:r>
      <w:r>
        <w:rPr>
          <w:b/>
          <w:sz w:val="20"/>
        </w:rPr>
        <w:t>Criteria</w:t>
      </w:r>
      <w:r>
        <w:rPr>
          <w:b/>
          <w:spacing w:val="-5"/>
          <w:sz w:val="20"/>
        </w:rPr>
        <w:t> </w:t>
      </w:r>
      <w:r>
        <w:rPr>
          <w:b/>
          <w:sz w:val="20"/>
        </w:rPr>
        <w:t>Addressed</w:t>
      </w:r>
      <w:r>
        <w:rPr>
          <w:b/>
          <w:spacing w:val="-8"/>
          <w:sz w:val="20"/>
        </w:rPr>
        <w:t> </w:t>
      </w:r>
      <w:r>
        <w:rPr>
          <w:b/>
          <w:sz w:val="20"/>
        </w:rPr>
        <w:t>(name</w:t>
      </w:r>
      <w:r>
        <w:rPr>
          <w:b/>
          <w:spacing w:val="-9"/>
          <w:sz w:val="20"/>
        </w:rPr>
        <w:t> </w:t>
      </w:r>
      <w:r>
        <w:rPr>
          <w:b/>
          <w:sz w:val="20"/>
        </w:rPr>
        <w:t>and</w:t>
      </w:r>
      <w:r>
        <w:rPr>
          <w:b/>
          <w:spacing w:val="-8"/>
          <w:sz w:val="20"/>
        </w:rPr>
        <w:t> </w:t>
      </w:r>
      <w:r>
        <w:rPr>
          <w:b/>
          <w:spacing w:val="-2"/>
          <w:sz w:val="20"/>
        </w:rPr>
        <w:t>number)</w:t>
      </w:r>
    </w:p>
    <w:p>
      <w:pPr>
        <w:pStyle w:val="BodyText"/>
        <w:spacing w:before="123"/>
        <w:ind w:left="1159" w:right="642"/>
      </w:pPr>
      <w:r>
        <w:rPr/>
        <w:t>The</w:t>
      </w:r>
      <w:r>
        <w:rPr>
          <w:spacing w:val="-4"/>
        </w:rPr>
        <w:t> </w:t>
      </w:r>
      <w:r>
        <w:rPr/>
        <w:t>course</w:t>
      </w:r>
      <w:r>
        <w:rPr>
          <w:spacing w:val="-4"/>
        </w:rPr>
        <w:t> </w:t>
      </w:r>
      <w:r>
        <w:rPr/>
        <w:t>will</w:t>
      </w:r>
      <w:r>
        <w:rPr>
          <w:spacing w:val="-5"/>
        </w:rPr>
        <w:t> </w:t>
      </w:r>
      <w:r>
        <w:rPr/>
        <w:t>address</w:t>
      </w:r>
      <w:r>
        <w:rPr>
          <w:spacing w:val="-3"/>
        </w:rPr>
        <w:t> </w:t>
      </w:r>
      <w:r>
        <w:rPr/>
        <w:t>a</w:t>
      </w:r>
      <w:r>
        <w:rPr>
          <w:spacing w:val="-4"/>
        </w:rPr>
        <w:t> </w:t>
      </w:r>
      <w:r>
        <w:rPr/>
        <w:t>range</w:t>
      </w:r>
      <w:r>
        <w:rPr>
          <w:spacing w:val="-2"/>
        </w:rPr>
        <w:t> </w:t>
      </w:r>
      <w:r>
        <w:rPr/>
        <w:t>of</w:t>
      </w:r>
      <w:r>
        <w:rPr>
          <w:spacing w:val="-2"/>
        </w:rPr>
        <w:t> </w:t>
      </w:r>
      <w:r>
        <w:rPr/>
        <w:t>Student</w:t>
      </w:r>
      <w:r>
        <w:rPr>
          <w:spacing w:val="-4"/>
        </w:rPr>
        <w:t> </w:t>
      </w:r>
      <w:r>
        <w:rPr/>
        <w:t>Performance</w:t>
      </w:r>
      <w:r>
        <w:rPr>
          <w:spacing w:val="-4"/>
        </w:rPr>
        <w:t> </w:t>
      </w:r>
      <w:r>
        <w:rPr/>
        <w:t>Criteria</w:t>
      </w:r>
      <w:r>
        <w:rPr>
          <w:spacing w:val="-4"/>
        </w:rPr>
        <w:t> </w:t>
      </w:r>
      <w:r>
        <w:rPr/>
        <w:t>associated</w:t>
      </w:r>
      <w:r>
        <w:rPr>
          <w:spacing w:val="-2"/>
        </w:rPr>
        <w:t> </w:t>
      </w:r>
      <w:r>
        <w:rPr/>
        <w:t>with</w:t>
      </w:r>
      <w:r>
        <w:rPr>
          <w:spacing w:val="-4"/>
        </w:rPr>
        <w:t> </w:t>
      </w:r>
      <w:r>
        <w:rPr/>
        <w:t>technical</w:t>
      </w:r>
      <w:r>
        <w:rPr>
          <w:spacing w:val="-5"/>
        </w:rPr>
        <w:t> </w:t>
      </w:r>
      <w:r>
        <w:rPr/>
        <w:t>skills, production and problem solving.</w:t>
      </w:r>
    </w:p>
    <w:p>
      <w:pPr>
        <w:spacing w:before="118"/>
        <w:ind w:left="439" w:right="0" w:firstLine="0"/>
        <w:jc w:val="left"/>
        <w:rPr>
          <w:b/>
          <w:sz w:val="20"/>
        </w:rPr>
      </w:pPr>
      <w:r>
        <w:rPr>
          <w:b/>
          <w:sz w:val="20"/>
        </w:rPr>
        <w:t>Topical</w:t>
      </w:r>
      <w:r>
        <w:rPr>
          <w:b/>
          <w:spacing w:val="-7"/>
          <w:sz w:val="20"/>
        </w:rPr>
        <w:t> </w:t>
      </w:r>
      <w:r>
        <w:rPr>
          <w:b/>
          <w:sz w:val="20"/>
        </w:rPr>
        <w:t>Outline</w:t>
      </w:r>
      <w:r>
        <w:rPr>
          <w:b/>
          <w:spacing w:val="-7"/>
          <w:sz w:val="20"/>
        </w:rPr>
        <w:t> </w:t>
      </w:r>
      <w:r>
        <w:rPr>
          <w:b/>
          <w:sz w:val="20"/>
        </w:rPr>
        <w:t>and</w:t>
      </w:r>
      <w:r>
        <w:rPr>
          <w:b/>
          <w:spacing w:val="-6"/>
          <w:sz w:val="20"/>
        </w:rPr>
        <w:t> </w:t>
      </w:r>
      <w:r>
        <w:rPr>
          <w:b/>
          <w:sz w:val="20"/>
        </w:rPr>
        <w:t>percentage</w:t>
      </w:r>
      <w:r>
        <w:rPr>
          <w:b/>
          <w:spacing w:val="-6"/>
          <w:sz w:val="20"/>
        </w:rPr>
        <w:t> </w:t>
      </w:r>
      <w:r>
        <w:rPr>
          <w:b/>
          <w:sz w:val="20"/>
        </w:rPr>
        <w:t>of</w:t>
      </w:r>
      <w:r>
        <w:rPr>
          <w:b/>
          <w:spacing w:val="-6"/>
          <w:sz w:val="20"/>
        </w:rPr>
        <w:t> </w:t>
      </w:r>
      <w:r>
        <w:rPr>
          <w:b/>
          <w:sz w:val="20"/>
        </w:rPr>
        <w:t>time</w:t>
      </w:r>
      <w:r>
        <w:rPr>
          <w:b/>
          <w:spacing w:val="-7"/>
          <w:sz w:val="20"/>
        </w:rPr>
        <w:t> </w:t>
      </w:r>
      <w:r>
        <w:rPr>
          <w:b/>
          <w:sz w:val="20"/>
        </w:rPr>
        <w:t>spent</w:t>
      </w:r>
      <w:r>
        <w:rPr>
          <w:b/>
          <w:spacing w:val="-6"/>
          <w:sz w:val="20"/>
        </w:rPr>
        <w:t> </w:t>
      </w:r>
      <w:r>
        <w:rPr>
          <w:b/>
          <w:sz w:val="20"/>
        </w:rPr>
        <w:t>on</w:t>
      </w:r>
      <w:r>
        <w:rPr>
          <w:b/>
          <w:spacing w:val="-5"/>
          <w:sz w:val="20"/>
        </w:rPr>
        <w:t> </w:t>
      </w:r>
      <w:r>
        <w:rPr>
          <w:b/>
          <w:spacing w:val="-4"/>
          <w:sz w:val="20"/>
        </w:rPr>
        <w:t>each</w:t>
      </w:r>
    </w:p>
    <w:p>
      <w:pPr>
        <w:pStyle w:val="BodyText"/>
        <w:spacing w:before="123"/>
        <w:ind w:left="1159" w:right="642"/>
      </w:pPr>
      <w:r>
        <w:rPr/>
        <w:t>This</w:t>
      </w:r>
      <w:r>
        <w:rPr>
          <w:spacing w:val="-3"/>
        </w:rPr>
        <w:t> </w:t>
      </w:r>
      <w:r>
        <w:rPr/>
        <w:t>will</w:t>
      </w:r>
      <w:r>
        <w:rPr>
          <w:spacing w:val="-3"/>
        </w:rPr>
        <w:t> </w:t>
      </w:r>
      <w:r>
        <w:rPr/>
        <w:t>be</w:t>
      </w:r>
      <w:r>
        <w:rPr>
          <w:spacing w:val="-2"/>
        </w:rPr>
        <w:t> </w:t>
      </w:r>
      <w:r>
        <w:rPr/>
        <w:t>a</w:t>
      </w:r>
      <w:r>
        <w:rPr>
          <w:spacing w:val="-3"/>
        </w:rPr>
        <w:t> </w:t>
      </w:r>
      <w:r>
        <w:rPr/>
        <w:t>new</w:t>
      </w:r>
      <w:r>
        <w:rPr>
          <w:spacing w:val="-5"/>
        </w:rPr>
        <w:t> </w:t>
      </w:r>
      <w:r>
        <w:rPr/>
        <w:t>course</w:t>
      </w:r>
      <w:r>
        <w:rPr>
          <w:spacing w:val="-2"/>
        </w:rPr>
        <w:t> </w:t>
      </w:r>
      <w:r>
        <w:rPr/>
        <w:t>and</w:t>
      </w:r>
      <w:r>
        <w:rPr>
          <w:spacing w:val="-3"/>
        </w:rPr>
        <w:t> </w:t>
      </w:r>
      <w:r>
        <w:rPr/>
        <w:t>is being</w:t>
      </w:r>
      <w:r>
        <w:rPr>
          <w:spacing w:val="-2"/>
        </w:rPr>
        <w:t> </w:t>
      </w:r>
      <w:r>
        <w:rPr/>
        <w:t>designed</w:t>
      </w:r>
      <w:r>
        <w:rPr>
          <w:spacing w:val="-3"/>
        </w:rPr>
        <w:t> </w:t>
      </w:r>
      <w:r>
        <w:rPr/>
        <w:t>for</w:t>
      </w:r>
      <w:r>
        <w:rPr>
          <w:spacing w:val="-3"/>
        </w:rPr>
        <w:t> </w:t>
      </w:r>
      <w:r>
        <w:rPr/>
        <w:t>implementation</w:t>
      </w:r>
      <w:r>
        <w:rPr>
          <w:spacing w:val="-2"/>
        </w:rPr>
        <w:t> </w:t>
      </w:r>
      <w:r>
        <w:rPr/>
        <w:t>in</w:t>
      </w:r>
      <w:r>
        <w:rPr>
          <w:spacing w:val="-2"/>
        </w:rPr>
        <w:t> </w:t>
      </w:r>
      <w:r>
        <w:rPr/>
        <w:t>the</w:t>
      </w:r>
      <w:r>
        <w:rPr>
          <w:spacing w:val="-3"/>
        </w:rPr>
        <w:t> </w:t>
      </w:r>
      <w:r>
        <w:rPr/>
        <w:t>Fall</w:t>
      </w:r>
      <w:r>
        <w:rPr>
          <w:spacing w:val="-4"/>
        </w:rPr>
        <w:t> </w:t>
      </w:r>
      <w:r>
        <w:rPr/>
        <w:t>2017.</w:t>
      </w:r>
      <w:r>
        <w:rPr>
          <w:spacing w:val="40"/>
        </w:rPr>
        <w:t> </w:t>
      </w:r>
      <w:r>
        <w:rPr/>
        <w:t>Its</w:t>
      </w:r>
      <w:r>
        <w:rPr>
          <w:spacing w:val="-3"/>
        </w:rPr>
        <w:t> </w:t>
      </w:r>
      <w:r>
        <w:rPr/>
        <w:t>Outline</w:t>
      </w:r>
      <w:r>
        <w:rPr>
          <w:spacing w:val="-2"/>
        </w:rPr>
        <w:t> </w:t>
      </w:r>
      <w:r>
        <w:rPr/>
        <w:t>is being evaluated.</w:t>
      </w:r>
    </w:p>
    <w:p>
      <w:pPr>
        <w:spacing w:before="116"/>
        <w:ind w:left="439" w:right="0" w:firstLine="0"/>
        <w:jc w:val="left"/>
        <w:rPr>
          <w:b/>
          <w:sz w:val="20"/>
        </w:rPr>
      </w:pPr>
      <w:r>
        <w:rPr>
          <w:b/>
          <w:w w:val="95"/>
          <w:sz w:val="20"/>
        </w:rPr>
        <w:t>Pre-</w:t>
      </w:r>
      <w:r>
        <w:rPr>
          <w:b/>
          <w:spacing w:val="-2"/>
          <w:sz w:val="20"/>
        </w:rPr>
        <w:t>requisites</w:t>
      </w:r>
    </w:p>
    <w:p>
      <w:pPr>
        <w:pStyle w:val="BodyText"/>
        <w:spacing w:before="123"/>
        <w:ind w:left="1159"/>
      </w:pPr>
      <w:r>
        <w:rPr/>
        <w:t>ARC</w:t>
      </w:r>
      <w:r>
        <w:rPr>
          <w:spacing w:val="-5"/>
        </w:rPr>
        <w:t> </w:t>
      </w:r>
      <w:r>
        <w:rPr/>
        <w:t>213,</w:t>
      </w:r>
      <w:r>
        <w:rPr>
          <w:spacing w:val="-3"/>
        </w:rPr>
        <w:t> </w:t>
      </w:r>
      <w:r>
        <w:rPr/>
        <w:t>ARC</w:t>
      </w:r>
      <w:r>
        <w:rPr>
          <w:spacing w:val="-2"/>
        </w:rPr>
        <w:t> </w:t>
      </w:r>
      <w:r>
        <w:rPr/>
        <w:t>314</w:t>
      </w:r>
      <w:r>
        <w:rPr>
          <w:spacing w:val="-5"/>
        </w:rPr>
        <w:t> </w:t>
      </w:r>
      <w:r>
        <w:rPr/>
        <w:t>&amp;</w:t>
      </w:r>
      <w:r>
        <w:rPr>
          <w:spacing w:val="-3"/>
        </w:rPr>
        <w:t> </w:t>
      </w:r>
      <w:r>
        <w:rPr/>
        <w:t>ARC</w:t>
      </w:r>
      <w:r>
        <w:rPr>
          <w:spacing w:val="-2"/>
        </w:rPr>
        <w:t> </w:t>
      </w:r>
      <w:r>
        <w:rPr>
          <w:spacing w:val="-5"/>
        </w:rPr>
        <w:t>315</w:t>
      </w:r>
    </w:p>
    <w:p>
      <w:pPr>
        <w:pStyle w:val="BodyText"/>
        <w:ind w:left="1159"/>
      </w:pPr>
      <w:r>
        <w:rPr/>
        <w:t>Co-requisite,</w:t>
      </w:r>
      <w:r>
        <w:rPr>
          <w:spacing w:val="-10"/>
        </w:rPr>
        <w:t> </w:t>
      </w:r>
      <w:r>
        <w:rPr/>
        <w:t>ARC</w:t>
      </w:r>
      <w:r>
        <w:rPr>
          <w:spacing w:val="-11"/>
        </w:rPr>
        <w:t> </w:t>
      </w:r>
      <w:r>
        <w:rPr>
          <w:spacing w:val="-5"/>
        </w:rPr>
        <w:t>405</w:t>
      </w:r>
    </w:p>
    <w:p>
      <w:pPr>
        <w:spacing w:before="118"/>
        <w:ind w:left="439" w:right="0" w:firstLine="0"/>
        <w:jc w:val="left"/>
        <w:rPr>
          <w:b/>
          <w:sz w:val="20"/>
        </w:rPr>
      </w:pPr>
      <w:r>
        <w:rPr>
          <w:b/>
          <w:sz w:val="20"/>
        </w:rPr>
        <w:t>Textbooks</w:t>
      </w:r>
      <w:r>
        <w:rPr>
          <w:b/>
          <w:spacing w:val="-11"/>
          <w:sz w:val="20"/>
        </w:rPr>
        <w:t> </w:t>
      </w:r>
      <w:r>
        <w:rPr>
          <w:b/>
          <w:sz w:val="20"/>
        </w:rPr>
        <w:t>/</w:t>
      </w:r>
      <w:r>
        <w:rPr>
          <w:b/>
          <w:spacing w:val="-9"/>
          <w:sz w:val="20"/>
        </w:rPr>
        <w:t> </w:t>
      </w:r>
      <w:r>
        <w:rPr>
          <w:b/>
          <w:sz w:val="20"/>
        </w:rPr>
        <w:t>Learning</w:t>
      </w:r>
      <w:r>
        <w:rPr>
          <w:b/>
          <w:spacing w:val="-7"/>
          <w:sz w:val="20"/>
        </w:rPr>
        <w:t> </w:t>
      </w:r>
      <w:r>
        <w:rPr>
          <w:b/>
          <w:spacing w:val="-2"/>
          <w:sz w:val="20"/>
        </w:rPr>
        <w:t>Resources</w:t>
      </w:r>
    </w:p>
    <w:p>
      <w:pPr>
        <w:pStyle w:val="BodyText"/>
        <w:spacing w:before="123"/>
        <w:ind w:left="1158" w:right="1003"/>
      </w:pPr>
      <w:r>
        <w:rPr/>
        <w:t>This</w:t>
      </w:r>
      <w:r>
        <w:rPr>
          <w:spacing w:val="-3"/>
        </w:rPr>
        <w:t> </w:t>
      </w:r>
      <w:r>
        <w:rPr/>
        <w:t>will</w:t>
      </w:r>
      <w:r>
        <w:rPr>
          <w:spacing w:val="-3"/>
        </w:rPr>
        <w:t> </w:t>
      </w:r>
      <w:r>
        <w:rPr/>
        <w:t>be</w:t>
      </w:r>
      <w:r>
        <w:rPr>
          <w:spacing w:val="-2"/>
        </w:rPr>
        <w:t> </w:t>
      </w:r>
      <w:r>
        <w:rPr/>
        <w:t>a</w:t>
      </w:r>
      <w:r>
        <w:rPr>
          <w:spacing w:val="-4"/>
        </w:rPr>
        <w:t> </w:t>
      </w:r>
      <w:r>
        <w:rPr/>
        <w:t>new</w:t>
      </w:r>
      <w:r>
        <w:rPr>
          <w:spacing w:val="-5"/>
        </w:rPr>
        <w:t> </w:t>
      </w:r>
      <w:r>
        <w:rPr/>
        <w:t>course</w:t>
      </w:r>
      <w:r>
        <w:rPr>
          <w:spacing w:val="-2"/>
        </w:rPr>
        <w:t> </w:t>
      </w:r>
      <w:r>
        <w:rPr/>
        <w:t>and</w:t>
      </w:r>
      <w:r>
        <w:rPr>
          <w:spacing w:val="-4"/>
        </w:rPr>
        <w:t> </w:t>
      </w:r>
      <w:r>
        <w:rPr/>
        <w:t>is being</w:t>
      </w:r>
      <w:r>
        <w:rPr>
          <w:spacing w:val="-2"/>
        </w:rPr>
        <w:t> </w:t>
      </w:r>
      <w:r>
        <w:rPr/>
        <w:t>designed</w:t>
      </w:r>
      <w:r>
        <w:rPr>
          <w:spacing w:val="-4"/>
        </w:rPr>
        <w:t> </w:t>
      </w:r>
      <w:r>
        <w:rPr/>
        <w:t>for</w:t>
      </w:r>
      <w:r>
        <w:rPr>
          <w:spacing w:val="-3"/>
        </w:rPr>
        <w:t> </w:t>
      </w:r>
      <w:r>
        <w:rPr/>
        <w:t>implementation</w:t>
      </w:r>
      <w:r>
        <w:rPr>
          <w:spacing w:val="-2"/>
        </w:rPr>
        <w:t> </w:t>
      </w:r>
      <w:r>
        <w:rPr/>
        <w:t>in</w:t>
      </w:r>
      <w:r>
        <w:rPr>
          <w:spacing w:val="-2"/>
        </w:rPr>
        <w:t> </w:t>
      </w:r>
      <w:r>
        <w:rPr/>
        <w:t>the</w:t>
      </w:r>
      <w:r>
        <w:rPr>
          <w:spacing w:val="-4"/>
        </w:rPr>
        <w:t> </w:t>
      </w:r>
      <w:r>
        <w:rPr/>
        <w:t>Fall</w:t>
      </w:r>
      <w:r>
        <w:rPr>
          <w:spacing w:val="-5"/>
        </w:rPr>
        <w:t> </w:t>
      </w:r>
      <w:r>
        <w:rPr/>
        <w:t>2017.</w:t>
      </w:r>
      <w:r>
        <w:rPr>
          <w:spacing w:val="40"/>
        </w:rPr>
        <w:t> </w:t>
      </w:r>
      <w:r>
        <w:rPr/>
        <w:t>The possible Textbooks and Learning Resources are being evaluated</w:t>
      </w:r>
    </w:p>
    <w:p>
      <w:pPr>
        <w:spacing w:before="116"/>
        <w:ind w:left="439" w:right="0" w:firstLine="0"/>
        <w:jc w:val="left"/>
        <w:rPr>
          <w:b/>
          <w:sz w:val="20"/>
        </w:rPr>
      </w:pPr>
      <w:r>
        <w:rPr>
          <w:b/>
          <w:sz w:val="20"/>
        </w:rPr>
        <w:t>Offered</w:t>
      </w:r>
      <w:r>
        <w:rPr>
          <w:b/>
          <w:spacing w:val="-10"/>
          <w:sz w:val="20"/>
        </w:rPr>
        <w:t> </w:t>
      </w:r>
      <w:r>
        <w:rPr>
          <w:b/>
          <w:spacing w:val="-2"/>
          <w:sz w:val="20"/>
        </w:rPr>
        <w:t>(terms):</w:t>
      </w:r>
    </w:p>
    <w:p>
      <w:pPr>
        <w:pStyle w:val="BodyText"/>
        <w:spacing w:before="123"/>
        <w:ind w:left="1158"/>
      </w:pPr>
      <w:r>
        <w:rPr/>
        <w:t>Fall</w:t>
      </w:r>
      <w:r>
        <w:rPr>
          <w:spacing w:val="-7"/>
        </w:rPr>
        <w:t> </w:t>
      </w:r>
      <w:r>
        <w:rPr/>
        <w:t>Semester</w:t>
      </w:r>
      <w:r>
        <w:rPr>
          <w:spacing w:val="-7"/>
        </w:rPr>
        <w:t> </w:t>
      </w:r>
      <w:r>
        <w:rPr/>
        <w:t>(and</w:t>
      </w:r>
      <w:r>
        <w:rPr>
          <w:spacing w:val="-7"/>
        </w:rPr>
        <w:t> </w:t>
      </w:r>
      <w:r>
        <w:rPr/>
        <w:t>Spring</w:t>
      </w:r>
      <w:r>
        <w:rPr>
          <w:spacing w:val="-6"/>
        </w:rPr>
        <w:t> </w:t>
      </w:r>
      <w:r>
        <w:rPr/>
        <w:t>when</w:t>
      </w:r>
      <w:r>
        <w:rPr>
          <w:spacing w:val="-6"/>
        </w:rPr>
        <w:t> </w:t>
      </w:r>
      <w:r>
        <w:rPr>
          <w:spacing w:val="-2"/>
        </w:rPr>
        <w:t>needed)</w:t>
      </w:r>
    </w:p>
    <w:p>
      <w:pPr>
        <w:spacing w:before="118"/>
        <w:ind w:left="438" w:right="0" w:firstLine="0"/>
        <w:jc w:val="left"/>
        <w:rPr>
          <w:b/>
          <w:sz w:val="20"/>
        </w:rPr>
      </w:pPr>
      <w:r>
        <w:rPr>
          <w:b/>
          <w:sz w:val="20"/>
        </w:rPr>
        <w:t>Faculty</w:t>
      </w:r>
      <w:r>
        <w:rPr>
          <w:b/>
          <w:spacing w:val="-8"/>
          <w:sz w:val="20"/>
        </w:rPr>
        <w:t> </w:t>
      </w:r>
      <w:r>
        <w:rPr>
          <w:b/>
          <w:spacing w:val="-2"/>
          <w:sz w:val="20"/>
        </w:rPr>
        <w:t>Assigned</w:t>
      </w:r>
    </w:p>
    <w:p>
      <w:pPr>
        <w:pStyle w:val="BodyText"/>
        <w:spacing w:before="123"/>
        <w:ind w:left="1158" w:right="1003"/>
      </w:pPr>
      <w:r>
        <w:rPr/>
        <w:t>This</w:t>
      </w:r>
      <w:r>
        <w:rPr>
          <w:spacing w:val="-3"/>
        </w:rPr>
        <w:t> </w:t>
      </w:r>
      <w:r>
        <w:rPr/>
        <w:t>is</w:t>
      </w:r>
      <w:r>
        <w:rPr>
          <w:spacing w:val="-3"/>
        </w:rPr>
        <w:t> </w:t>
      </w:r>
      <w:r>
        <w:rPr/>
        <w:t>a</w:t>
      </w:r>
      <w:r>
        <w:rPr>
          <w:spacing w:val="-4"/>
        </w:rPr>
        <w:t> </w:t>
      </w:r>
      <w:r>
        <w:rPr/>
        <w:t>new</w:t>
      </w:r>
      <w:r>
        <w:rPr>
          <w:spacing w:val="-5"/>
        </w:rPr>
        <w:t> </w:t>
      </w:r>
      <w:r>
        <w:rPr/>
        <w:t>class</w:t>
      </w:r>
      <w:r>
        <w:rPr>
          <w:spacing w:val="-3"/>
        </w:rPr>
        <w:t> </w:t>
      </w:r>
      <w:r>
        <w:rPr/>
        <w:t>that</w:t>
      </w:r>
      <w:r>
        <w:rPr>
          <w:spacing w:val="-2"/>
        </w:rPr>
        <w:t> </w:t>
      </w:r>
      <w:r>
        <w:rPr/>
        <w:t>was</w:t>
      </w:r>
      <w:r>
        <w:rPr>
          <w:spacing w:val="-3"/>
        </w:rPr>
        <w:t> </w:t>
      </w:r>
      <w:r>
        <w:rPr/>
        <w:t>recently</w:t>
      </w:r>
      <w:r>
        <w:rPr>
          <w:spacing w:val="-6"/>
        </w:rPr>
        <w:t> </w:t>
      </w:r>
      <w:r>
        <w:rPr/>
        <w:t>added</w:t>
      </w:r>
      <w:r>
        <w:rPr>
          <w:spacing w:val="-4"/>
        </w:rPr>
        <w:t> </w:t>
      </w:r>
      <w:r>
        <w:rPr/>
        <w:t>to</w:t>
      </w:r>
      <w:r>
        <w:rPr>
          <w:spacing w:val="-2"/>
        </w:rPr>
        <w:t> </w:t>
      </w:r>
      <w:r>
        <w:rPr/>
        <w:t>the</w:t>
      </w:r>
      <w:r>
        <w:rPr>
          <w:spacing w:val="-4"/>
        </w:rPr>
        <w:t> </w:t>
      </w:r>
      <w:r>
        <w:rPr/>
        <w:t>curriculum and</w:t>
      </w:r>
      <w:r>
        <w:rPr>
          <w:spacing w:val="-2"/>
        </w:rPr>
        <w:t> </w:t>
      </w:r>
      <w:r>
        <w:rPr/>
        <w:t>has</w:t>
      </w:r>
      <w:r>
        <w:rPr>
          <w:spacing w:val="-3"/>
        </w:rPr>
        <w:t> </w:t>
      </w:r>
      <w:r>
        <w:rPr/>
        <w:t>not</w:t>
      </w:r>
      <w:r>
        <w:rPr>
          <w:spacing w:val="-2"/>
        </w:rPr>
        <w:t> </w:t>
      </w:r>
      <w:r>
        <w:rPr/>
        <w:t>yet</w:t>
      </w:r>
      <w:r>
        <w:rPr>
          <w:spacing w:val="-4"/>
        </w:rPr>
        <w:t> </w:t>
      </w:r>
      <w:r>
        <w:rPr/>
        <w:t>been</w:t>
      </w:r>
      <w:r>
        <w:rPr>
          <w:spacing w:val="-4"/>
        </w:rPr>
        <w:t> </w:t>
      </w:r>
      <w:r>
        <w:rPr/>
        <w:t>offered. David Peronnet is currently assigned to design and deliver this course</w:t>
      </w:r>
    </w:p>
    <w:p>
      <w:pPr>
        <w:spacing w:after="0"/>
        <w:sectPr>
          <w:headerReference w:type="default" r:id="rId231"/>
          <w:footerReference w:type="default" r:id="rId232"/>
          <w:pgSz w:w="12240" w:h="15840"/>
          <w:pgMar w:header="993" w:footer="974" w:top="1240" w:bottom="1160" w:left="1000" w:right="820"/>
        </w:sectPr>
      </w:pPr>
    </w:p>
    <w:p>
      <w:pPr>
        <w:spacing w:before="115"/>
        <w:ind w:left="440" w:right="0" w:firstLine="0"/>
        <w:jc w:val="left"/>
        <w:rPr>
          <w:b/>
          <w:sz w:val="20"/>
        </w:rPr>
      </w:pPr>
      <w:r>
        <w:rPr>
          <w:b/>
          <w:sz w:val="20"/>
        </w:rPr>
        <w:t>Course</w:t>
      </w:r>
      <w:r>
        <w:rPr>
          <w:b/>
          <w:spacing w:val="-9"/>
          <w:sz w:val="20"/>
        </w:rPr>
        <w:t> </w:t>
      </w:r>
      <w:r>
        <w:rPr>
          <w:b/>
          <w:sz w:val="20"/>
        </w:rPr>
        <w:t>Description</w:t>
      </w:r>
      <w:r>
        <w:rPr>
          <w:b/>
          <w:spacing w:val="-8"/>
          <w:sz w:val="20"/>
        </w:rPr>
        <w:t> </w:t>
      </w:r>
      <w:r>
        <w:rPr>
          <w:b/>
          <w:sz w:val="20"/>
        </w:rPr>
        <w:t>(limit</w:t>
      </w:r>
      <w:r>
        <w:rPr>
          <w:b/>
          <w:spacing w:val="-7"/>
          <w:sz w:val="20"/>
        </w:rPr>
        <w:t> </w:t>
      </w:r>
      <w:r>
        <w:rPr>
          <w:b/>
          <w:sz w:val="20"/>
        </w:rPr>
        <w:t>25</w:t>
      </w:r>
      <w:r>
        <w:rPr>
          <w:b/>
          <w:spacing w:val="-8"/>
          <w:sz w:val="20"/>
        </w:rPr>
        <w:t> </w:t>
      </w:r>
      <w:r>
        <w:rPr>
          <w:b/>
          <w:spacing w:val="-2"/>
          <w:sz w:val="20"/>
        </w:rPr>
        <w:t>words):</w:t>
      </w:r>
    </w:p>
    <w:p>
      <w:pPr>
        <w:pStyle w:val="BodyText"/>
        <w:spacing w:before="122"/>
        <w:ind w:left="1159" w:right="642"/>
      </w:pPr>
      <w:r>
        <w:rPr/>
        <w:t>Principles of professional conduct, architect-client contractor relationships, construction contract documentation related to practice and procedures of an architectural office, as well as relationships</w:t>
      </w:r>
      <w:r>
        <w:rPr>
          <w:spacing w:val="-3"/>
        </w:rPr>
        <w:t> </w:t>
      </w:r>
      <w:r>
        <w:rPr/>
        <w:t>to</w:t>
      </w:r>
      <w:r>
        <w:rPr>
          <w:spacing w:val="-4"/>
        </w:rPr>
        <w:t> </w:t>
      </w:r>
      <w:r>
        <w:rPr/>
        <w:t>disciplines</w:t>
      </w:r>
      <w:r>
        <w:rPr>
          <w:spacing w:val="-3"/>
        </w:rPr>
        <w:t> </w:t>
      </w:r>
      <w:r>
        <w:rPr/>
        <w:t>of</w:t>
      </w:r>
      <w:r>
        <w:rPr>
          <w:spacing w:val="-2"/>
        </w:rPr>
        <w:t> </w:t>
      </w:r>
      <w:r>
        <w:rPr/>
        <w:t>engineering,</w:t>
      </w:r>
      <w:r>
        <w:rPr>
          <w:spacing w:val="-2"/>
        </w:rPr>
        <w:t> </w:t>
      </w:r>
      <w:r>
        <w:rPr/>
        <w:t>planning</w:t>
      </w:r>
      <w:r>
        <w:rPr>
          <w:spacing w:val="-4"/>
        </w:rPr>
        <w:t> </w:t>
      </w:r>
      <w:r>
        <w:rPr/>
        <w:t>and</w:t>
      </w:r>
      <w:r>
        <w:rPr>
          <w:spacing w:val="-4"/>
        </w:rPr>
        <w:t> </w:t>
      </w:r>
      <w:r>
        <w:rPr/>
        <w:t>urban</w:t>
      </w:r>
      <w:r>
        <w:rPr>
          <w:spacing w:val="-4"/>
        </w:rPr>
        <w:t> </w:t>
      </w:r>
      <w:r>
        <w:rPr/>
        <w:t>design,</w:t>
      </w:r>
      <w:r>
        <w:rPr>
          <w:spacing w:val="-4"/>
        </w:rPr>
        <w:t> </w:t>
      </w:r>
      <w:r>
        <w:rPr/>
        <w:t>contemporary</w:t>
      </w:r>
      <w:r>
        <w:rPr>
          <w:spacing w:val="-7"/>
        </w:rPr>
        <w:t> </w:t>
      </w:r>
      <w:r>
        <w:rPr/>
        <w:t>problems</w:t>
      </w:r>
      <w:r>
        <w:rPr>
          <w:spacing w:val="-3"/>
        </w:rPr>
        <w:t> </w:t>
      </w:r>
      <w:r>
        <w:rPr/>
        <w:t>in architecture theory, ethics, emerging technological changes and professional responsibilities in field of architecture and community design. The second semester’s work is concerned with the development of Construction Documents, including Specifications, Construction Drawings and Cost Estimates, and is closely related to the design studio work in ARC 406.</w:t>
      </w:r>
    </w:p>
    <w:p>
      <w:pPr>
        <w:spacing w:before="119"/>
        <w:ind w:left="439" w:right="0" w:firstLine="0"/>
        <w:jc w:val="left"/>
        <w:rPr>
          <w:b/>
          <w:sz w:val="20"/>
        </w:rPr>
      </w:pPr>
      <w:r>
        <w:rPr>
          <w:b/>
          <w:sz w:val="20"/>
        </w:rPr>
        <w:t>Course</w:t>
      </w:r>
      <w:r>
        <w:rPr>
          <w:b/>
          <w:spacing w:val="-9"/>
          <w:sz w:val="20"/>
        </w:rPr>
        <w:t> </w:t>
      </w:r>
      <w:r>
        <w:rPr>
          <w:b/>
          <w:sz w:val="20"/>
        </w:rPr>
        <w:t>Goals</w:t>
      </w:r>
      <w:r>
        <w:rPr>
          <w:b/>
          <w:spacing w:val="-7"/>
          <w:sz w:val="20"/>
        </w:rPr>
        <w:t> </w:t>
      </w:r>
      <w:r>
        <w:rPr>
          <w:b/>
          <w:sz w:val="20"/>
        </w:rPr>
        <w:t>and</w:t>
      </w:r>
      <w:r>
        <w:rPr>
          <w:b/>
          <w:spacing w:val="-5"/>
          <w:sz w:val="20"/>
        </w:rPr>
        <w:t> </w:t>
      </w:r>
      <w:r>
        <w:rPr>
          <w:b/>
          <w:spacing w:val="-2"/>
          <w:sz w:val="20"/>
        </w:rPr>
        <w:t>Objectives;</w:t>
      </w:r>
    </w:p>
    <w:p>
      <w:pPr>
        <w:pStyle w:val="BodyText"/>
        <w:spacing w:before="125"/>
        <w:ind w:left="1159"/>
      </w:pPr>
      <w:r>
        <w:rPr/>
        <w:t>General</w:t>
      </w:r>
      <w:r>
        <w:rPr>
          <w:spacing w:val="-9"/>
        </w:rPr>
        <w:t> </w:t>
      </w:r>
      <w:r>
        <w:rPr/>
        <w:t>course</w:t>
      </w:r>
      <w:r>
        <w:rPr>
          <w:spacing w:val="-9"/>
        </w:rPr>
        <w:t> </w:t>
      </w:r>
      <w:r>
        <w:rPr/>
        <w:t>objectives</w:t>
      </w:r>
      <w:r>
        <w:rPr>
          <w:spacing w:val="-7"/>
        </w:rPr>
        <w:t> </w:t>
      </w:r>
      <w:r>
        <w:rPr>
          <w:spacing w:val="-4"/>
        </w:rPr>
        <w:t>are:</w:t>
      </w:r>
    </w:p>
    <w:p>
      <w:pPr>
        <w:pStyle w:val="ListParagraph"/>
        <w:numPr>
          <w:ilvl w:val="0"/>
          <w:numId w:val="58"/>
        </w:numPr>
        <w:tabs>
          <w:tab w:pos="1663" w:val="left" w:leader="none"/>
          <w:tab w:pos="1664" w:val="left" w:leader="none"/>
        </w:tabs>
        <w:spacing w:line="240" w:lineRule="auto" w:before="46" w:after="0"/>
        <w:ind w:left="1663" w:right="0" w:hanging="361"/>
        <w:jc w:val="left"/>
        <w:rPr>
          <w:sz w:val="20"/>
        </w:rPr>
      </w:pPr>
      <w:r>
        <w:rPr>
          <w:sz w:val="20"/>
        </w:rPr>
        <w:t>To</w:t>
      </w:r>
      <w:r>
        <w:rPr>
          <w:spacing w:val="-6"/>
          <w:sz w:val="20"/>
        </w:rPr>
        <w:t> </w:t>
      </w:r>
      <w:r>
        <w:rPr>
          <w:sz w:val="20"/>
        </w:rPr>
        <w:t>expand</w:t>
      </w:r>
      <w:r>
        <w:rPr>
          <w:spacing w:val="-6"/>
          <w:sz w:val="20"/>
        </w:rPr>
        <w:t> </w:t>
      </w:r>
      <w:r>
        <w:rPr>
          <w:sz w:val="20"/>
        </w:rPr>
        <w:t>the</w:t>
      </w:r>
      <w:r>
        <w:rPr>
          <w:spacing w:val="-6"/>
          <w:sz w:val="20"/>
        </w:rPr>
        <w:t> </w:t>
      </w:r>
      <w:r>
        <w:rPr>
          <w:sz w:val="20"/>
        </w:rPr>
        <w:t>student’s</w:t>
      </w:r>
      <w:r>
        <w:rPr>
          <w:spacing w:val="-5"/>
          <w:sz w:val="20"/>
        </w:rPr>
        <w:t> </w:t>
      </w:r>
      <w:r>
        <w:rPr>
          <w:sz w:val="20"/>
        </w:rPr>
        <w:t>knowledge</w:t>
      </w:r>
      <w:r>
        <w:rPr>
          <w:spacing w:val="-3"/>
          <w:sz w:val="20"/>
        </w:rPr>
        <w:t> </w:t>
      </w:r>
      <w:r>
        <w:rPr>
          <w:sz w:val="20"/>
        </w:rPr>
        <w:t>of</w:t>
      </w:r>
      <w:r>
        <w:rPr>
          <w:spacing w:val="-4"/>
          <w:sz w:val="20"/>
        </w:rPr>
        <w:t> </w:t>
      </w:r>
      <w:r>
        <w:rPr>
          <w:sz w:val="20"/>
        </w:rPr>
        <w:t>the</w:t>
      </w:r>
      <w:r>
        <w:rPr>
          <w:spacing w:val="-6"/>
          <w:sz w:val="20"/>
        </w:rPr>
        <w:t> </w:t>
      </w:r>
      <w:r>
        <w:rPr>
          <w:sz w:val="20"/>
        </w:rPr>
        <w:t>role</w:t>
      </w:r>
      <w:r>
        <w:rPr>
          <w:spacing w:val="-4"/>
          <w:sz w:val="20"/>
        </w:rPr>
        <w:t> </w:t>
      </w:r>
      <w:r>
        <w:rPr>
          <w:sz w:val="20"/>
        </w:rPr>
        <w:t>of</w:t>
      </w:r>
      <w:r>
        <w:rPr>
          <w:spacing w:val="-4"/>
          <w:sz w:val="20"/>
        </w:rPr>
        <w:t> </w:t>
      </w:r>
      <w:r>
        <w:rPr>
          <w:sz w:val="20"/>
        </w:rPr>
        <w:t>the</w:t>
      </w:r>
      <w:r>
        <w:rPr>
          <w:spacing w:val="-6"/>
          <w:sz w:val="20"/>
        </w:rPr>
        <w:t> </w:t>
      </w:r>
      <w:r>
        <w:rPr>
          <w:sz w:val="20"/>
        </w:rPr>
        <w:t>architect</w:t>
      </w:r>
      <w:r>
        <w:rPr>
          <w:spacing w:val="-5"/>
          <w:sz w:val="20"/>
        </w:rPr>
        <w:t> </w:t>
      </w:r>
      <w:r>
        <w:rPr>
          <w:sz w:val="20"/>
        </w:rPr>
        <w:t>in</w:t>
      </w:r>
      <w:r>
        <w:rPr>
          <w:spacing w:val="-6"/>
          <w:sz w:val="20"/>
        </w:rPr>
        <w:t> </w:t>
      </w:r>
      <w:r>
        <w:rPr>
          <w:spacing w:val="-2"/>
          <w:sz w:val="20"/>
        </w:rPr>
        <w:t>society.</w:t>
      </w:r>
    </w:p>
    <w:p>
      <w:pPr>
        <w:pStyle w:val="ListParagraph"/>
        <w:numPr>
          <w:ilvl w:val="0"/>
          <w:numId w:val="58"/>
        </w:numPr>
        <w:tabs>
          <w:tab w:pos="1663" w:val="left" w:leader="none"/>
          <w:tab w:pos="1664" w:val="left" w:leader="none"/>
        </w:tabs>
        <w:spacing w:line="240" w:lineRule="auto" w:before="13" w:after="0"/>
        <w:ind w:left="1663" w:right="0" w:hanging="361"/>
        <w:jc w:val="left"/>
        <w:rPr>
          <w:sz w:val="20"/>
        </w:rPr>
      </w:pPr>
      <w:r>
        <w:rPr>
          <w:sz w:val="20"/>
        </w:rPr>
        <w:t>To</w:t>
      </w:r>
      <w:r>
        <w:rPr>
          <w:spacing w:val="-8"/>
          <w:sz w:val="20"/>
        </w:rPr>
        <w:t> </w:t>
      </w:r>
      <w:r>
        <w:rPr>
          <w:sz w:val="20"/>
        </w:rPr>
        <w:t>introduce</w:t>
      </w:r>
      <w:r>
        <w:rPr>
          <w:spacing w:val="-6"/>
          <w:sz w:val="20"/>
        </w:rPr>
        <w:t> </w:t>
      </w:r>
      <w:r>
        <w:rPr>
          <w:sz w:val="20"/>
        </w:rPr>
        <w:t>the</w:t>
      </w:r>
      <w:r>
        <w:rPr>
          <w:spacing w:val="-8"/>
          <w:sz w:val="20"/>
        </w:rPr>
        <w:t> </w:t>
      </w:r>
      <w:r>
        <w:rPr>
          <w:sz w:val="20"/>
        </w:rPr>
        <w:t>student</w:t>
      </w:r>
      <w:r>
        <w:rPr>
          <w:spacing w:val="-7"/>
          <w:sz w:val="20"/>
        </w:rPr>
        <w:t> </w:t>
      </w:r>
      <w:r>
        <w:rPr>
          <w:sz w:val="20"/>
        </w:rPr>
        <w:t>to</w:t>
      </w:r>
      <w:r>
        <w:rPr>
          <w:spacing w:val="-3"/>
          <w:sz w:val="20"/>
        </w:rPr>
        <w:t> </w:t>
      </w:r>
      <w:r>
        <w:rPr>
          <w:sz w:val="20"/>
        </w:rPr>
        <w:t>the</w:t>
      </w:r>
      <w:r>
        <w:rPr>
          <w:spacing w:val="-8"/>
          <w:sz w:val="20"/>
        </w:rPr>
        <w:t> </w:t>
      </w:r>
      <w:r>
        <w:rPr>
          <w:sz w:val="20"/>
        </w:rPr>
        <w:t>concepts</w:t>
      </w:r>
      <w:r>
        <w:rPr>
          <w:spacing w:val="-7"/>
          <w:sz w:val="20"/>
        </w:rPr>
        <w:t> </w:t>
      </w:r>
      <w:r>
        <w:rPr>
          <w:sz w:val="20"/>
        </w:rPr>
        <w:t>of</w:t>
      </w:r>
      <w:r>
        <w:rPr>
          <w:spacing w:val="-5"/>
          <w:sz w:val="20"/>
        </w:rPr>
        <w:t> </w:t>
      </w:r>
      <w:r>
        <w:rPr>
          <w:sz w:val="20"/>
        </w:rPr>
        <w:t>environmental</w:t>
      </w:r>
      <w:r>
        <w:rPr>
          <w:spacing w:val="-7"/>
          <w:sz w:val="20"/>
        </w:rPr>
        <w:t> </w:t>
      </w:r>
      <w:r>
        <w:rPr>
          <w:sz w:val="20"/>
        </w:rPr>
        <w:t>ethics</w:t>
      </w:r>
      <w:r>
        <w:rPr>
          <w:spacing w:val="-7"/>
          <w:sz w:val="20"/>
        </w:rPr>
        <w:t> </w:t>
      </w:r>
      <w:r>
        <w:rPr>
          <w:sz w:val="20"/>
        </w:rPr>
        <w:t>and</w:t>
      </w:r>
      <w:r>
        <w:rPr>
          <w:spacing w:val="-6"/>
          <w:sz w:val="20"/>
        </w:rPr>
        <w:t> </w:t>
      </w:r>
      <w:r>
        <w:rPr>
          <w:sz w:val="20"/>
        </w:rPr>
        <w:t>professional</w:t>
      </w:r>
      <w:r>
        <w:rPr>
          <w:spacing w:val="-6"/>
          <w:sz w:val="20"/>
        </w:rPr>
        <w:t> </w:t>
      </w:r>
      <w:r>
        <w:rPr>
          <w:spacing w:val="-2"/>
          <w:sz w:val="20"/>
        </w:rPr>
        <w:t>practice.</w:t>
      </w:r>
    </w:p>
    <w:p>
      <w:pPr>
        <w:pStyle w:val="ListParagraph"/>
        <w:numPr>
          <w:ilvl w:val="0"/>
          <w:numId w:val="58"/>
        </w:numPr>
        <w:tabs>
          <w:tab w:pos="1663" w:val="left" w:leader="none"/>
          <w:tab w:pos="1664" w:val="left" w:leader="none"/>
        </w:tabs>
        <w:spacing w:line="240" w:lineRule="auto" w:before="14" w:after="0"/>
        <w:ind w:left="1663" w:right="1129" w:hanging="360"/>
        <w:jc w:val="left"/>
        <w:rPr>
          <w:sz w:val="20"/>
        </w:rPr>
      </w:pPr>
      <w:r>
        <w:rPr>
          <w:sz w:val="20"/>
        </w:rPr>
        <w:t>To</w:t>
      </w:r>
      <w:r>
        <w:rPr>
          <w:spacing w:val="-5"/>
          <w:sz w:val="20"/>
        </w:rPr>
        <w:t> </w:t>
      </w:r>
      <w:r>
        <w:rPr>
          <w:sz w:val="20"/>
        </w:rPr>
        <w:t>introduce</w:t>
      </w:r>
      <w:r>
        <w:rPr>
          <w:spacing w:val="-3"/>
          <w:sz w:val="20"/>
        </w:rPr>
        <w:t> </w:t>
      </w:r>
      <w:r>
        <w:rPr>
          <w:sz w:val="20"/>
        </w:rPr>
        <w:t>the</w:t>
      </w:r>
      <w:r>
        <w:rPr>
          <w:spacing w:val="-5"/>
          <w:sz w:val="20"/>
        </w:rPr>
        <w:t> </w:t>
      </w:r>
      <w:r>
        <w:rPr>
          <w:sz w:val="20"/>
        </w:rPr>
        <w:t>student</w:t>
      </w:r>
      <w:r>
        <w:rPr>
          <w:spacing w:val="-5"/>
          <w:sz w:val="20"/>
        </w:rPr>
        <w:t> </w:t>
      </w:r>
      <w:r>
        <w:rPr>
          <w:sz w:val="20"/>
        </w:rPr>
        <w:t>to the</w:t>
      </w:r>
      <w:r>
        <w:rPr>
          <w:spacing w:val="-5"/>
          <w:sz w:val="20"/>
        </w:rPr>
        <w:t> </w:t>
      </w:r>
      <w:r>
        <w:rPr>
          <w:sz w:val="20"/>
        </w:rPr>
        <w:t>management</w:t>
      </w:r>
      <w:r>
        <w:rPr>
          <w:spacing w:val="-5"/>
          <w:sz w:val="20"/>
        </w:rPr>
        <w:t> </w:t>
      </w:r>
      <w:r>
        <w:rPr>
          <w:sz w:val="20"/>
        </w:rPr>
        <w:t>and</w:t>
      </w:r>
      <w:r>
        <w:rPr>
          <w:spacing w:val="-5"/>
          <w:sz w:val="20"/>
        </w:rPr>
        <w:t> </w:t>
      </w:r>
      <w:r>
        <w:rPr>
          <w:sz w:val="20"/>
        </w:rPr>
        <w:t>leadership</w:t>
      </w:r>
      <w:r>
        <w:rPr>
          <w:spacing w:val="-5"/>
          <w:sz w:val="20"/>
        </w:rPr>
        <w:t> </w:t>
      </w:r>
      <w:r>
        <w:rPr>
          <w:sz w:val="20"/>
        </w:rPr>
        <w:t>problems</w:t>
      </w:r>
      <w:r>
        <w:rPr>
          <w:spacing w:val="-4"/>
          <w:sz w:val="20"/>
        </w:rPr>
        <w:t> </w:t>
      </w:r>
      <w:r>
        <w:rPr>
          <w:sz w:val="20"/>
        </w:rPr>
        <w:t>surrounding</w:t>
      </w:r>
      <w:r>
        <w:rPr>
          <w:spacing w:val="-3"/>
          <w:sz w:val="20"/>
        </w:rPr>
        <w:t> </w:t>
      </w:r>
      <w:r>
        <w:rPr>
          <w:sz w:val="20"/>
        </w:rPr>
        <w:t>the practice of architecture.</w:t>
      </w:r>
    </w:p>
    <w:p>
      <w:pPr>
        <w:pStyle w:val="ListParagraph"/>
        <w:numPr>
          <w:ilvl w:val="0"/>
          <w:numId w:val="58"/>
        </w:numPr>
        <w:tabs>
          <w:tab w:pos="1663" w:val="left" w:leader="none"/>
          <w:tab w:pos="1664" w:val="left" w:leader="none"/>
        </w:tabs>
        <w:spacing w:line="240" w:lineRule="auto" w:before="13" w:after="0"/>
        <w:ind w:left="1663" w:right="0" w:hanging="361"/>
        <w:jc w:val="left"/>
        <w:rPr>
          <w:sz w:val="20"/>
        </w:rPr>
      </w:pPr>
      <w:r>
        <w:rPr>
          <w:sz w:val="20"/>
        </w:rPr>
        <w:t>To</w:t>
      </w:r>
      <w:r>
        <w:rPr>
          <w:spacing w:val="-7"/>
          <w:sz w:val="20"/>
        </w:rPr>
        <w:t> </w:t>
      </w:r>
      <w:r>
        <w:rPr>
          <w:sz w:val="20"/>
        </w:rPr>
        <w:t>introduce</w:t>
      </w:r>
      <w:r>
        <w:rPr>
          <w:spacing w:val="-4"/>
          <w:sz w:val="20"/>
        </w:rPr>
        <w:t> </w:t>
      </w:r>
      <w:r>
        <w:rPr>
          <w:sz w:val="20"/>
        </w:rPr>
        <w:t>the</w:t>
      </w:r>
      <w:r>
        <w:rPr>
          <w:spacing w:val="-6"/>
          <w:sz w:val="20"/>
        </w:rPr>
        <w:t> </w:t>
      </w:r>
      <w:r>
        <w:rPr>
          <w:sz w:val="20"/>
        </w:rPr>
        <w:t>student</w:t>
      </w:r>
      <w:r>
        <w:rPr>
          <w:spacing w:val="-6"/>
          <w:sz w:val="20"/>
        </w:rPr>
        <w:t> </w:t>
      </w:r>
      <w:r>
        <w:rPr>
          <w:sz w:val="20"/>
        </w:rPr>
        <w:t>to</w:t>
      </w:r>
      <w:r>
        <w:rPr>
          <w:spacing w:val="-2"/>
          <w:sz w:val="20"/>
        </w:rPr>
        <w:t> </w:t>
      </w:r>
      <w:r>
        <w:rPr>
          <w:sz w:val="20"/>
        </w:rPr>
        <w:t>cost</w:t>
      </w:r>
      <w:r>
        <w:rPr>
          <w:spacing w:val="-6"/>
          <w:sz w:val="20"/>
        </w:rPr>
        <w:t> </w:t>
      </w:r>
      <w:r>
        <w:rPr>
          <w:sz w:val="20"/>
        </w:rPr>
        <w:t>estimating</w:t>
      </w:r>
      <w:r>
        <w:rPr>
          <w:spacing w:val="-6"/>
          <w:sz w:val="20"/>
        </w:rPr>
        <w:t> </w:t>
      </w:r>
      <w:r>
        <w:rPr>
          <w:sz w:val="20"/>
        </w:rPr>
        <w:t>and</w:t>
      </w:r>
      <w:r>
        <w:rPr>
          <w:spacing w:val="-6"/>
          <w:sz w:val="20"/>
        </w:rPr>
        <w:t> </w:t>
      </w:r>
      <w:r>
        <w:rPr>
          <w:sz w:val="20"/>
        </w:rPr>
        <w:t>cost</w:t>
      </w:r>
      <w:r>
        <w:rPr>
          <w:spacing w:val="-6"/>
          <w:sz w:val="20"/>
        </w:rPr>
        <w:t> </w:t>
      </w:r>
      <w:r>
        <w:rPr>
          <w:spacing w:val="-2"/>
          <w:sz w:val="20"/>
        </w:rPr>
        <w:t>controls.</w:t>
      </w:r>
    </w:p>
    <w:p>
      <w:pPr>
        <w:pStyle w:val="ListParagraph"/>
        <w:numPr>
          <w:ilvl w:val="0"/>
          <w:numId w:val="58"/>
        </w:numPr>
        <w:tabs>
          <w:tab w:pos="1663" w:val="left" w:leader="none"/>
          <w:tab w:pos="1664" w:val="left" w:leader="none"/>
        </w:tabs>
        <w:spacing w:line="240" w:lineRule="auto" w:before="15" w:after="0"/>
        <w:ind w:left="1663" w:right="0" w:hanging="361"/>
        <w:jc w:val="left"/>
        <w:rPr>
          <w:sz w:val="20"/>
        </w:rPr>
      </w:pPr>
      <w:r>
        <w:rPr>
          <w:sz w:val="20"/>
        </w:rPr>
        <w:t>To</w:t>
      </w:r>
      <w:r>
        <w:rPr>
          <w:spacing w:val="-7"/>
          <w:sz w:val="20"/>
        </w:rPr>
        <w:t> </w:t>
      </w:r>
      <w:r>
        <w:rPr>
          <w:sz w:val="20"/>
        </w:rPr>
        <w:t>introduce</w:t>
      </w:r>
      <w:r>
        <w:rPr>
          <w:spacing w:val="-5"/>
          <w:sz w:val="20"/>
        </w:rPr>
        <w:t> </w:t>
      </w:r>
      <w:r>
        <w:rPr>
          <w:sz w:val="20"/>
        </w:rPr>
        <w:t>the</w:t>
      </w:r>
      <w:r>
        <w:rPr>
          <w:spacing w:val="-7"/>
          <w:sz w:val="20"/>
        </w:rPr>
        <w:t> </w:t>
      </w:r>
      <w:r>
        <w:rPr>
          <w:sz w:val="20"/>
        </w:rPr>
        <w:t>student</w:t>
      </w:r>
      <w:r>
        <w:rPr>
          <w:spacing w:val="-7"/>
          <w:sz w:val="20"/>
        </w:rPr>
        <w:t> </w:t>
      </w:r>
      <w:r>
        <w:rPr>
          <w:sz w:val="20"/>
        </w:rPr>
        <w:t>to</w:t>
      </w:r>
      <w:r>
        <w:rPr>
          <w:spacing w:val="-2"/>
          <w:sz w:val="20"/>
        </w:rPr>
        <w:t> </w:t>
      </w:r>
      <w:r>
        <w:rPr>
          <w:sz w:val="20"/>
        </w:rPr>
        <w:t>laws</w:t>
      </w:r>
      <w:r>
        <w:rPr>
          <w:spacing w:val="-6"/>
          <w:sz w:val="20"/>
        </w:rPr>
        <w:t> </w:t>
      </w:r>
      <w:r>
        <w:rPr>
          <w:sz w:val="20"/>
        </w:rPr>
        <w:t>and</w:t>
      </w:r>
      <w:r>
        <w:rPr>
          <w:spacing w:val="-7"/>
          <w:sz w:val="20"/>
        </w:rPr>
        <w:t> </w:t>
      </w:r>
      <w:r>
        <w:rPr>
          <w:sz w:val="20"/>
        </w:rPr>
        <w:t>regulations</w:t>
      </w:r>
      <w:r>
        <w:rPr>
          <w:spacing w:val="-6"/>
          <w:sz w:val="20"/>
        </w:rPr>
        <w:t> </w:t>
      </w:r>
      <w:r>
        <w:rPr>
          <w:sz w:val="20"/>
        </w:rPr>
        <w:t>as</w:t>
      </w:r>
      <w:r>
        <w:rPr>
          <w:spacing w:val="-6"/>
          <w:sz w:val="20"/>
        </w:rPr>
        <w:t> </w:t>
      </w:r>
      <w:r>
        <w:rPr>
          <w:sz w:val="20"/>
        </w:rPr>
        <w:t>related</w:t>
      </w:r>
      <w:r>
        <w:rPr>
          <w:spacing w:val="-5"/>
          <w:sz w:val="20"/>
        </w:rPr>
        <w:t> </w:t>
      </w:r>
      <w:r>
        <w:rPr>
          <w:sz w:val="20"/>
        </w:rPr>
        <w:t>to</w:t>
      </w:r>
      <w:r>
        <w:rPr>
          <w:spacing w:val="-6"/>
          <w:sz w:val="20"/>
        </w:rPr>
        <w:t> </w:t>
      </w:r>
      <w:r>
        <w:rPr>
          <w:sz w:val="20"/>
        </w:rPr>
        <w:t>architectural</w:t>
      </w:r>
      <w:r>
        <w:rPr>
          <w:spacing w:val="-8"/>
          <w:sz w:val="20"/>
        </w:rPr>
        <w:t> </w:t>
      </w:r>
      <w:r>
        <w:rPr>
          <w:spacing w:val="-2"/>
          <w:sz w:val="20"/>
        </w:rPr>
        <w:t>practice.</w:t>
      </w:r>
    </w:p>
    <w:p>
      <w:pPr>
        <w:pStyle w:val="ListParagraph"/>
        <w:numPr>
          <w:ilvl w:val="0"/>
          <w:numId w:val="58"/>
        </w:numPr>
        <w:tabs>
          <w:tab w:pos="1663" w:val="left" w:leader="none"/>
          <w:tab w:pos="1664" w:val="left" w:leader="none"/>
        </w:tabs>
        <w:spacing w:line="240" w:lineRule="auto" w:before="13" w:after="0"/>
        <w:ind w:left="1663" w:right="1029" w:hanging="360"/>
        <w:jc w:val="left"/>
        <w:rPr>
          <w:sz w:val="20"/>
        </w:rPr>
      </w:pPr>
      <w:r>
        <w:rPr>
          <w:sz w:val="20"/>
        </w:rPr>
        <w:t>To</w:t>
      </w:r>
      <w:r>
        <w:rPr>
          <w:spacing w:val="-7"/>
          <w:sz w:val="20"/>
        </w:rPr>
        <w:t> </w:t>
      </w:r>
      <w:r>
        <w:rPr>
          <w:sz w:val="20"/>
        </w:rPr>
        <w:t>make</w:t>
      </w:r>
      <w:r>
        <w:rPr>
          <w:spacing w:val="-4"/>
          <w:sz w:val="20"/>
        </w:rPr>
        <w:t> </w:t>
      </w:r>
      <w:r>
        <w:rPr>
          <w:sz w:val="20"/>
        </w:rPr>
        <w:t>the</w:t>
      </w:r>
      <w:r>
        <w:rPr>
          <w:spacing w:val="-4"/>
          <w:sz w:val="20"/>
        </w:rPr>
        <w:t> </w:t>
      </w:r>
      <w:r>
        <w:rPr>
          <w:sz w:val="20"/>
        </w:rPr>
        <w:t>student</w:t>
      </w:r>
      <w:r>
        <w:rPr>
          <w:spacing w:val="-4"/>
          <w:sz w:val="20"/>
        </w:rPr>
        <w:t> </w:t>
      </w:r>
      <w:r>
        <w:rPr>
          <w:sz w:val="20"/>
        </w:rPr>
        <w:t>aware</w:t>
      </w:r>
      <w:r>
        <w:rPr>
          <w:spacing w:val="-2"/>
          <w:sz w:val="20"/>
        </w:rPr>
        <w:t> </w:t>
      </w:r>
      <w:r>
        <w:rPr>
          <w:sz w:val="20"/>
        </w:rPr>
        <w:t>of</w:t>
      </w:r>
      <w:r>
        <w:rPr>
          <w:spacing w:val="-2"/>
          <w:sz w:val="20"/>
        </w:rPr>
        <w:t> </w:t>
      </w:r>
      <w:r>
        <w:rPr>
          <w:sz w:val="20"/>
        </w:rPr>
        <w:t>the</w:t>
      </w:r>
      <w:r>
        <w:rPr>
          <w:spacing w:val="-4"/>
          <w:sz w:val="20"/>
        </w:rPr>
        <w:t> </w:t>
      </w:r>
      <w:r>
        <w:rPr>
          <w:sz w:val="20"/>
        </w:rPr>
        <w:t>various</w:t>
      </w:r>
      <w:r>
        <w:rPr>
          <w:spacing w:val="-3"/>
          <w:sz w:val="20"/>
        </w:rPr>
        <w:t> </w:t>
      </w:r>
      <w:r>
        <w:rPr>
          <w:sz w:val="20"/>
        </w:rPr>
        <w:t>groups</w:t>
      </w:r>
      <w:r>
        <w:rPr>
          <w:spacing w:val="-3"/>
          <w:sz w:val="20"/>
        </w:rPr>
        <w:t> </w:t>
      </w:r>
      <w:r>
        <w:rPr>
          <w:sz w:val="20"/>
        </w:rPr>
        <w:t>and</w:t>
      </w:r>
      <w:r>
        <w:rPr>
          <w:spacing w:val="-4"/>
          <w:sz w:val="20"/>
        </w:rPr>
        <w:t> </w:t>
      </w:r>
      <w:r>
        <w:rPr>
          <w:sz w:val="20"/>
        </w:rPr>
        <w:t>resources which</w:t>
      </w:r>
      <w:r>
        <w:rPr>
          <w:spacing w:val="-2"/>
          <w:sz w:val="20"/>
        </w:rPr>
        <w:t> </w:t>
      </w:r>
      <w:r>
        <w:rPr>
          <w:sz w:val="20"/>
        </w:rPr>
        <w:t>contribute</w:t>
      </w:r>
      <w:r>
        <w:rPr>
          <w:spacing w:val="-4"/>
          <w:sz w:val="20"/>
        </w:rPr>
        <w:t> </w:t>
      </w:r>
      <w:r>
        <w:rPr>
          <w:sz w:val="20"/>
        </w:rPr>
        <w:t>to</w:t>
      </w:r>
      <w:r>
        <w:rPr>
          <w:spacing w:val="-4"/>
          <w:sz w:val="20"/>
        </w:rPr>
        <w:t> </w:t>
      </w:r>
      <w:r>
        <w:rPr>
          <w:sz w:val="20"/>
        </w:rPr>
        <w:t>the total body of knowledge necessary to carry out the architectural practice process.</w:t>
      </w:r>
    </w:p>
    <w:p>
      <w:pPr>
        <w:spacing w:before="116"/>
        <w:ind w:left="439" w:right="0" w:firstLine="0"/>
        <w:jc w:val="left"/>
        <w:rPr>
          <w:b/>
          <w:sz w:val="20"/>
        </w:rPr>
      </w:pPr>
      <w:r>
        <w:rPr>
          <w:b/>
          <w:sz w:val="20"/>
        </w:rPr>
        <w:t>Student</w:t>
      </w:r>
      <w:r>
        <w:rPr>
          <w:b/>
          <w:spacing w:val="-9"/>
          <w:sz w:val="20"/>
        </w:rPr>
        <w:t> </w:t>
      </w:r>
      <w:r>
        <w:rPr>
          <w:b/>
          <w:sz w:val="20"/>
        </w:rPr>
        <w:t>Performance</w:t>
      </w:r>
      <w:r>
        <w:rPr>
          <w:b/>
          <w:spacing w:val="-9"/>
          <w:sz w:val="20"/>
        </w:rPr>
        <w:t> </w:t>
      </w:r>
      <w:r>
        <w:rPr>
          <w:b/>
          <w:sz w:val="20"/>
        </w:rPr>
        <w:t>Criteria</w:t>
      </w:r>
      <w:r>
        <w:rPr>
          <w:b/>
          <w:spacing w:val="-5"/>
          <w:sz w:val="20"/>
        </w:rPr>
        <w:t> </w:t>
      </w:r>
      <w:r>
        <w:rPr>
          <w:b/>
          <w:sz w:val="20"/>
        </w:rPr>
        <w:t>Addressed</w:t>
      </w:r>
      <w:r>
        <w:rPr>
          <w:b/>
          <w:spacing w:val="-8"/>
          <w:sz w:val="20"/>
        </w:rPr>
        <w:t> </w:t>
      </w:r>
      <w:r>
        <w:rPr>
          <w:b/>
          <w:sz w:val="20"/>
        </w:rPr>
        <w:t>(name</w:t>
      </w:r>
      <w:r>
        <w:rPr>
          <w:b/>
          <w:spacing w:val="-9"/>
          <w:sz w:val="20"/>
        </w:rPr>
        <w:t> </w:t>
      </w:r>
      <w:r>
        <w:rPr>
          <w:b/>
          <w:sz w:val="20"/>
        </w:rPr>
        <w:t>and</w:t>
      </w:r>
      <w:r>
        <w:rPr>
          <w:b/>
          <w:spacing w:val="-8"/>
          <w:sz w:val="20"/>
        </w:rPr>
        <w:t> </w:t>
      </w:r>
      <w:r>
        <w:rPr>
          <w:b/>
          <w:spacing w:val="-2"/>
          <w:sz w:val="20"/>
        </w:rPr>
        <w:t>number)</w:t>
      </w:r>
    </w:p>
    <w:p>
      <w:pPr>
        <w:pStyle w:val="ListParagraph"/>
        <w:numPr>
          <w:ilvl w:val="0"/>
          <w:numId w:val="58"/>
        </w:numPr>
        <w:tabs>
          <w:tab w:pos="1718" w:val="left" w:leader="none"/>
          <w:tab w:pos="1719" w:val="left" w:leader="none"/>
        </w:tabs>
        <w:spacing w:line="240" w:lineRule="auto" w:before="137" w:after="0"/>
        <w:ind w:left="1718" w:right="0" w:hanging="416"/>
        <w:jc w:val="left"/>
        <w:rPr>
          <w:sz w:val="20"/>
        </w:rPr>
      </w:pPr>
      <w:r>
        <w:rPr>
          <w:sz w:val="20"/>
        </w:rPr>
        <w:t>B5</w:t>
      </w:r>
      <w:r>
        <w:rPr>
          <w:spacing w:val="-3"/>
          <w:sz w:val="20"/>
        </w:rPr>
        <w:t> </w:t>
      </w:r>
      <w:r>
        <w:rPr>
          <w:sz w:val="20"/>
        </w:rPr>
        <w:t>Life</w:t>
      </w:r>
      <w:r>
        <w:rPr>
          <w:spacing w:val="-5"/>
          <w:sz w:val="20"/>
        </w:rPr>
        <w:t> </w:t>
      </w:r>
      <w:r>
        <w:rPr>
          <w:spacing w:val="-2"/>
          <w:sz w:val="20"/>
        </w:rPr>
        <w:t>Safety</w:t>
      </w:r>
    </w:p>
    <w:p>
      <w:pPr>
        <w:pStyle w:val="ListParagraph"/>
        <w:numPr>
          <w:ilvl w:val="0"/>
          <w:numId w:val="58"/>
        </w:numPr>
        <w:tabs>
          <w:tab w:pos="1662" w:val="left" w:leader="none"/>
          <w:tab w:pos="1664" w:val="left" w:leader="none"/>
        </w:tabs>
        <w:spacing w:line="240" w:lineRule="auto" w:before="12" w:after="0"/>
        <w:ind w:left="1663" w:right="0" w:hanging="361"/>
        <w:jc w:val="left"/>
        <w:rPr>
          <w:sz w:val="20"/>
        </w:rPr>
      </w:pPr>
      <w:r>
        <w:rPr>
          <w:sz w:val="20"/>
        </w:rPr>
        <w:t>C1</w:t>
      </w:r>
      <w:r>
        <w:rPr>
          <w:spacing w:val="-4"/>
          <w:sz w:val="20"/>
        </w:rPr>
        <w:t> </w:t>
      </w:r>
      <w:r>
        <w:rPr>
          <w:spacing w:val="-2"/>
          <w:sz w:val="20"/>
        </w:rPr>
        <w:t>Collaboration</w:t>
      </w:r>
    </w:p>
    <w:p>
      <w:pPr>
        <w:pStyle w:val="ListParagraph"/>
        <w:numPr>
          <w:ilvl w:val="0"/>
          <w:numId w:val="58"/>
        </w:numPr>
        <w:tabs>
          <w:tab w:pos="1662" w:val="left" w:leader="none"/>
          <w:tab w:pos="1664" w:val="left" w:leader="none"/>
        </w:tabs>
        <w:spacing w:line="240" w:lineRule="auto" w:before="15" w:after="0"/>
        <w:ind w:left="1663" w:right="0" w:hanging="361"/>
        <w:jc w:val="left"/>
        <w:rPr>
          <w:sz w:val="20"/>
        </w:rPr>
      </w:pPr>
      <w:r>
        <w:rPr>
          <w:sz w:val="20"/>
        </w:rPr>
        <w:t>C3</w:t>
      </w:r>
      <w:r>
        <w:rPr>
          <w:spacing w:val="-5"/>
          <w:sz w:val="20"/>
        </w:rPr>
        <w:t> </w:t>
      </w:r>
      <w:r>
        <w:rPr>
          <w:sz w:val="20"/>
        </w:rPr>
        <w:t>Client</w:t>
      </w:r>
      <w:r>
        <w:rPr>
          <w:spacing w:val="-5"/>
          <w:sz w:val="20"/>
        </w:rPr>
        <w:t> </w:t>
      </w:r>
      <w:r>
        <w:rPr>
          <w:sz w:val="20"/>
        </w:rPr>
        <w:t>Role</w:t>
      </w:r>
      <w:r>
        <w:rPr>
          <w:spacing w:val="-3"/>
          <w:sz w:val="20"/>
        </w:rPr>
        <w:t> </w:t>
      </w:r>
      <w:r>
        <w:rPr>
          <w:sz w:val="20"/>
        </w:rPr>
        <w:t>in</w:t>
      </w:r>
      <w:r>
        <w:rPr>
          <w:spacing w:val="-3"/>
          <w:sz w:val="20"/>
        </w:rPr>
        <w:t> </w:t>
      </w:r>
      <w:r>
        <w:rPr>
          <w:spacing w:val="-2"/>
          <w:sz w:val="20"/>
        </w:rPr>
        <w:t>Architecture</w:t>
      </w:r>
    </w:p>
    <w:p>
      <w:pPr>
        <w:pStyle w:val="ListParagraph"/>
        <w:numPr>
          <w:ilvl w:val="0"/>
          <w:numId w:val="58"/>
        </w:numPr>
        <w:tabs>
          <w:tab w:pos="1662" w:val="left" w:leader="none"/>
          <w:tab w:pos="1664" w:val="left" w:leader="none"/>
        </w:tabs>
        <w:spacing w:line="240" w:lineRule="auto" w:before="13" w:after="0"/>
        <w:ind w:left="1663" w:right="0" w:hanging="361"/>
        <w:jc w:val="left"/>
        <w:rPr>
          <w:sz w:val="20"/>
        </w:rPr>
      </w:pPr>
      <w:r>
        <w:rPr>
          <w:sz w:val="20"/>
        </w:rPr>
        <w:t>C5</w:t>
      </w:r>
      <w:r>
        <w:rPr>
          <w:spacing w:val="-6"/>
          <w:sz w:val="20"/>
        </w:rPr>
        <w:t> </w:t>
      </w:r>
      <w:r>
        <w:rPr>
          <w:sz w:val="20"/>
        </w:rPr>
        <w:t>Practice</w:t>
      </w:r>
      <w:r>
        <w:rPr>
          <w:spacing w:val="-6"/>
          <w:sz w:val="20"/>
        </w:rPr>
        <w:t> </w:t>
      </w:r>
      <w:r>
        <w:rPr>
          <w:spacing w:val="-2"/>
          <w:sz w:val="20"/>
        </w:rPr>
        <w:t>Management</w:t>
      </w:r>
    </w:p>
    <w:p>
      <w:pPr>
        <w:pStyle w:val="ListParagraph"/>
        <w:numPr>
          <w:ilvl w:val="0"/>
          <w:numId w:val="58"/>
        </w:numPr>
        <w:tabs>
          <w:tab w:pos="1662" w:val="left" w:leader="none"/>
          <w:tab w:pos="1663" w:val="left" w:leader="none"/>
        </w:tabs>
        <w:spacing w:line="240" w:lineRule="auto" w:before="15" w:after="0"/>
        <w:ind w:left="1662" w:right="0" w:hanging="361"/>
        <w:jc w:val="left"/>
        <w:rPr>
          <w:sz w:val="20"/>
        </w:rPr>
      </w:pPr>
      <w:r>
        <w:rPr>
          <w:sz w:val="20"/>
        </w:rPr>
        <w:t>C6</w:t>
      </w:r>
      <w:r>
        <w:rPr>
          <w:spacing w:val="-4"/>
          <w:sz w:val="20"/>
        </w:rPr>
        <w:t> </w:t>
      </w:r>
      <w:r>
        <w:rPr>
          <w:spacing w:val="-2"/>
          <w:sz w:val="20"/>
        </w:rPr>
        <w:t>Leadership</w:t>
      </w:r>
    </w:p>
    <w:p>
      <w:pPr>
        <w:pStyle w:val="ListParagraph"/>
        <w:numPr>
          <w:ilvl w:val="0"/>
          <w:numId w:val="58"/>
        </w:numPr>
        <w:tabs>
          <w:tab w:pos="1662" w:val="left" w:leader="none"/>
          <w:tab w:pos="1663" w:val="left" w:leader="none"/>
        </w:tabs>
        <w:spacing w:line="240" w:lineRule="auto" w:before="12" w:after="0"/>
        <w:ind w:left="1662" w:right="0" w:hanging="361"/>
        <w:jc w:val="left"/>
        <w:rPr>
          <w:sz w:val="20"/>
        </w:rPr>
      </w:pPr>
      <w:r>
        <w:rPr>
          <w:sz w:val="20"/>
        </w:rPr>
        <w:t>C7</w:t>
      </w:r>
      <w:r>
        <w:rPr>
          <w:spacing w:val="-4"/>
          <w:sz w:val="20"/>
        </w:rPr>
        <w:t> </w:t>
      </w:r>
      <w:r>
        <w:rPr>
          <w:sz w:val="20"/>
        </w:rPr>
        <w:t>Legal</w:t>
      </w:r>
      <w:r>
        <w:rPr>
          <w:spacing w:val="-5"/>
          <w:sz w:val="20"/>
        </w:rPr>
        <w:t> </w:t>
      </w:r>
      <w:r>
        <w:rPr>
          <w:spacing w:val="-2"/>
          <w:sz w:val="20"/>
        </w:rPr>
        <w:t>Responsibilities</w:t>
      </w:r>
    </w:p>
    <w:p>
      <w:pPr>
        <w:pStyle w:val="ListParagraph"/>
        <w:numPr>
          <w:ilvl w:val="0"/>
          <w:numId w:val="58"/>
        </w:numPr>
        <w:tabs>
          <w:tab w:pos="1662" w:val="left" w:leader="none"/>
          <w:tab w:pos="1663" w:val="left" w:leader="none"/>
        </w:tabs>
        <w:spacing w:line="240" w:lineRule="auto" w:before="15" w:after="0"/>
        <w:ind w:left="1662" w:right="0" w:hanging="361"/>
        <w:jc w:val="left"/>
        <w:rPr>
          <w:sz w:val="20"/>
        </w:rPr>
      </w:pPr>
      <w:r>
        <w:rPr>
          <w:sz w:val="20"/>
        </w:rPr>
        <w:t>C8</w:t>
      </w:r>
      <w:r>
        <w:rPr>
          <w:spacing w:val="-5"/>
          <w:sz w:val="20"/>
        </w:rPr>
        <w:t> </w:t>
      </w:r>
      <w:r>
        <w:rPr>
          <w:sz w:val="20"/>
        </w:rPr>
        <w:t>Ethics</w:t>
      </w:r>
      <w:r>
        <w:rPr>
          <w:spacing w:val="-4"/>
          <w:sz w:val="20"/>
        </w:rPr>
        <w:t> </w:t>
      </w:r>
      <w:r>
        <w:rPr>
          <w:sz w:val="20"/>
        </w:rPr>
        <w:t>and</w:t>
      </w:r>
      <w:r>
        <w:rPr>
          <w:spacing w:val="-5"/>
          <w:sz w:val="20"/>
        </w:rPr>
        <w:t> </w:t>
      </w:r>
      <w:r>
        <w:rPr>
          <w:spacing w:val="-2"/>
          <w:sz w:val="20"/>
        </w:rPr>
        <w:t>Judgment</w:t>
      </w:r>
    </w:p>
    <w:p>
      <w:pPr>
        <w:spacing w:before="115"/>
        <w:ind w:left="438" w:right="0" w:firstLine="0"/>
        <w:jc w:val="left"/>
        <w:rPr>
          <w:b/>
          <w:sz w:val="20"/>
        </w:rPr>
      </w:pPr>
      <w:r>
        <w:rPr>
          <w:b/>
          <w:sz w:val="20"/>
        </w:rPr>
        <w:t>Topical</w:t>
      </w:r>
      <w:r>
        <w:rPr>
          <w:b/>
          <w:spacing w:val="-7"/>
          <w:sz w:val="20"/>
        </w:rPr>
        <w:t> </w:t>
      </w:r>
      <w:r>
        <w:rPr>
          <w:b/>
          <w:sz w:val="20"/>
        </w:rPr>
        <w:t>Outline</w:t>
      </w:r>
      <w:r>
        <w:rPr>
          <w:b/>
          <w:spacing w:val="-7"/>
          <w:sz w:val="20"/>
        </w:rPr>
        <w:t> </w:t>
      </w:r>
      <w:r>
        <w:rPr>
          <w:b/>
          <w:sz w:val="20"/>
        </w:rPr>
        <w:t>and</w:t>
      </w:r>
      <w:r>
        <w:rPr>
          <w:b/>
          <w:spacing w:val="-6"/>
          <w:sz w:val="20"/>
        </w:rPr>
        <w:t> </w:t>
      </w:r>
      <w:r>
        <w:rPr>
          <w:b/>
          <w:sz w:val="20"/>
        </w:rPr>
        <w:t>percentage</w:t>
      </w:r>
      <w:r>
        <w:rPr>
          <w:b/>
          <w:spacing w:val="-6"/>
          <w:sz w:val="20"/>
        </w:rPr>
        <w:t> </w:t>
      </w:r>
      <w:r>
        <w:rPr>
          <w:b/>
          <w:sz w:val="20"/>
        </w:rPr>
        <w:t>of</w:t>
      </w:r>
      <w:r>
        <w:rPr>
          <w:b/>
          <w:spacing w:val="-6"/>
          <w:sz w:val="20"/>
        </w:rPr>
        <w:t> </w:t>
      </w:r>
      <w:r>
        <w:rPr>
          <w:b/>
          <w:sz w:val="20"/>
        </w:rPr>
        <w:t>time</w:t>
      </w:r>
      <w:r>
        <w:rPr>
          <w:b/>
          <w:spacing w:val="-7"/>
          <w:sz w:val="20"/>
        </w:rPr>
        <w:t> </w:t>
      </w:r>
      <w:r>
        <w:rPr>
          <w:b/>
          <w:sz w:val="20"/>
        </w:rPr>
        <w:t>spent</w:t>
      </w:r>
      <w:r>
        <w:rPr>
          <w:b/>
          <w:spacing w:val="-6"/>
          <w:sz w:val="20"/>
        </w:rPr>
        <w:t> </w:t>
      </w:r>
      <w:r>
        <w:rPr>
          <w:b/>
          <w:sz w:val="20"/>
        </w:rPr>
        <w:t>on</w:t>
      </w:r>
      <w:r>
        <w:rPr>
          <w:b/>
          <w:spacing w:val="-5"/>
          <w:sz w:val="20"/>
        </w:rPr>
        <w:t> </w:t>
      </w:r>
      <w:r>
        <w:rPr>
          <w:b/>
          <w:spacing w:val="-4"/>
          <w:sz w:val="20"/>
        </w:rPr>
        <w:t>each</w:t>
      </w:r>
    </w:p>
    <w:p>
      <w:pPr>
        <w:pStyle w:val="ListParagraph"/>
        <w:numPr>
          <w:ilvl w:val="0"/>
          <w:numId w:val="58"/>
        </w:numPr>
        <w:tabs>
          <w:tab w:pos="1712" w:val="left" w:leader="none"/>
          <w:tab w:pos="1714" w:val="left" w:leader="none"/>
          <w:tab w:pos="7278" w:val="left" w:leader="none"/>
        </w:tabs>
        <w:spacing w:line="240" w:lineRule="auto" w:before="138" w:after="0"/>
        <w:ind w:left="1713" w:right="0" w:hanging="412"/>
        <w:jc w:val="left"/>
        <w:rPr>
          <w:sz w:val="20"/>
        </w:rPr>
      </w:pPr>
      <w:r>
        <w:rPr>
          <w:sz w:val="20"/>
        </w:rPr>
        <w:t>Written</w:t>
      </w:r>
      <w:r>
        <w:rPr>
          <w:spacing w:val="-9"/>
          <w:sz w:val="20"/>
        </w:rPr>
        <w:t> </w:t>
      </w:r>
      <w:r>
        <w:rPr>
          <w:sz w:val="20"/>
        </w:rPr>
        <w:t>reports,</w:t>
      </w:r>
      <w:r>
        <w:rPr>
          <w:spacing w:val="-8"/>
          <w:sz w:val="20"/>
        </w:rPr>
        <w:t> </w:t>
      </w:r>
      <w:r>
        <w:rPr>
          <w:sz w:val="20"/>
        </w:rPr>
        <w:t>readings,</w:t>
      </w:r>
      <w:r>
        <w:rPr>
          <w:spacing w:val="-6"/>
          <w:sz w:val="20"/>
        </w:rPr>
        <w:t> </w:t>
      </w:r>
      <w:r>
        <w:rPr>
          <w:sz w:val="20"/>
        </w:rPr>
        <w:t>homework,</w:t>
      </w:r>
      <w:r>
        <w:rPr>
          <w:spacing w:val="-8"/>
          <w:sz w:val="20"/>
        </w:rPr>
        <w:t> </w:t>
      </w:r>
      <w:r>
        <w:rPr>
          <w:sz w:val="20"/>
        </w:rPr>
        <w:t>quizes</w:t>
      </w:r>
      <w:r>
        <w:rPr>
          <w:spacing w:val="-8"/>
          <w:sz w:val="20"/>
        </w:rPr>
        <w:t> </w:t>
      </w:r>
      <w:r>
        <w:rPr>
          <w:sz w:val="20"/>
        </w:rPr>
        <w:t>and</w:t>
      </w:r>
      <w:r>
        <w:rPr>
          <w:spacing w:val="-8"/>
          <w:sz w:val="20"/>
        </w:rPr>
        <w:t> </w:t>
      </w:r>
      <w:r>
        <w:rPr>
          <w:spacing w:val="-2"/>
          <w:sz w:val="20"/>
        </w:rPr>
        <w:t>exercises</w:t>
      </w:r>
      <w:r>
        <w:rPr>
          <w:sz w:val="20"/>
        </w:rPr>
        <w:tab/>
      </w:r>
      <w:r>
        <w:rPr>
          <w:spacing w:val="-5"/>
          <w:sz w:val="20"/>
        </w:rPr>
        <w:t>20%</w:t>
      </w:r>
    </w:p>
    <w:p>
      <w:pPr>
        <w:pStyle w:val="ListParagraph"/>
        <w:numPr>
          <w:ilvl w:val="0"/>
          <w:numId w:val="58"/>
        </w:numPr>
        <w:tabs>
          <w:tab w:pos="1662" w:val="left" w:leader="none"/>
          <w:tab w:pos="1663" w:val="left" w:leader="none"/>
        </w:tabs>
        <w:spacing w:line="240" w:lineRule="auto" w:before="12" w:after="0"/>
        <w:ind w:left="1662" w:right="0" w:hanging="361"/>
        <w:jc w:val="left"/>
        <w:rPr>
          <w:sz w:val="20"/>
        </w:rPr>
      </w:pPr>
      <w:r>
        <w:rPr>
          <w:sz w:val="20"/>
        </w:rPr>
        <w:t>Group</w:t>
      </w:r>
      <w:r>
        <w:rPr>
          <w:spacing w:val="-8"/>
          <w:sz w:val="20"/>
        </w:rPr>
        <w:t> </w:t>
      </w:r>
      <w:r>
        <w:rPr>
          <w:sz w:val="20"/>
        </w:rPr>
        <w:t>Project</w:t>
      </w:r>
      <w:r>
        <w:rPr>
          <w:spacing w:val="2"/>
          <w:sz w:val="20"/>
        </w:rPr>
        <w:t> </w:t>
      </w:r>
      <w:r>
        <w:rPr>
          <w:spacing w:val="-5"/>
          <w:sz w:val="20"/>
        </w:rPr>
        <w:t>20%</w:t>
      </w:r>
    </w:p>
    <w:p>
      <w:pPr>
        <w:pStyle w:val="ListParagraph"/>
        <w:numPr>
          <w:ilvl w:val="0"/>
          <w:numId w:val="58"/>
        </w:numPr>
        <w:tabs>
          <w:tab w:pos="1662" w:val="left" w:leader="none"/>
          <w:tab w:pos="1663" w:val="left" w:leader="none"/>
          <w:tab w:pos="6198" w:val="left" w:leader="none"/>
        </w:tabs>
        <w:spacing w:line="240" w:lineRule="auto" w:before="15" w:after="0"/>
        <w:ind w:left="1662" w:right="0" w:hanging="361"/>
        <w:jc w:val="left"/>
        <w:rPr>
          <w:sz w:val="20"/>
        </w:rPr>
      </w:pPr>
      <w:r>
        <w:rPr>
          <w:sz w:val="20"/>
        </w:rPr>
        <w:t>Class</w:t>
      </w:r>
      <w:r>
        <w:rPr>
          <w:spacing w:val="-9"/>
          <w:sz w:val="20"/>
        </w:rPr>
        <w:t> </w:t>
      </w:r>
      <w:r>
        <w:rPr>
          <w:sz w:val="20"/>
        </w:rPr>
        <w:t>discussions,</w:t>
      </w:r>
      <w:r>
        <w:rPr>
          <w:spacing w:val="-10"/>
          <w:sz w:val="20"/>
        </w:rPr>
        <w:t> </w:t>
      </w:r>
      <w:r>
        <w:rPr>
          <w:sz w:val="20"/>
        </w:rPr>
        <w:t>participation,</w:t>
      </w:r>
      <w:r>
        <w:rPr>
          <w:spacing w:val="-10"/>
          <w:sz w:val="20"/>
        </w:rPr>
        <w:t> </w:t>
      </w:r>
      <w:r>
        <w:rPr>
          <w:sz w:val="20"/>
        </w:rPr>
        <w:t>and</w:t>
      </w:r>
      <w:r>
        <w:rPr>
          <w:spacing w:val="-8"/>
          <w:sz w:val="20"/>
        </w:rPr>
        <w:t> </w:t>
      </w:r>
      <w:r>
        <w:rPr>
          <w:spacing w:val="-2"/>
          <w:sz w:val="20"/>
        </w:rPr>
        <w:t>attendance</w:t>
      </w:r>
      <w:r>
        <w:rPr>
          <w:sz w:val="20"/>
        </w:rPr>
        <w:tab/>
      </w:r>
      <w:r>
        <w:rPr>
          <w:spacing w:val="-5"/>
          <w:sz w:val="20"/>
        </w:rPr>
        <w:t>20%</w:t>
      </w:r>
    </w:p>
    <w:p>
      <w:pPr>
        <w:pStyle w:val="ListParagraph"/>
        <w:numPr>
          <w:ilvl w:val="0"/>
          <w:numId w:val="58"/>
        </w:numPr>
        <w:tabs>
          <w:tab w:pos="1662" w:val="left" w:leader="none"/>
          <w:tab w:pos="1663" w:val="left" w:leader="none"/>
          <w:tab w:pos="3318" w:val="left" w:leader="none"/>
        </w:tabs>
        <w:spacing w:line="240" w:lineRule="auto" w:before="12" w:after="0"/>
        <w:ind w:left="1662" w:right="0" w:hanging="361"/>
        <w:jc w:val="left"/>
        <w:rPr>
          <w:sz w:val="20"/>
        </w:rPr>
      </w:pPr>
      <w:r>
        <w:rPr>
          <w:sz w:val="20"/>
        </w:rPr>
        <w:t>Mid-term</w:t>
      </w:r>
      <w:r>
        <w:rPr>
          <w:spacing w:val="-7"/>
          <w:sz w:val="20"/>
        </w:rPr>
        <w:t> </w:t>
      </w:r>
      <w:r>
        <w:rPr>
          <w:spacing w:val="-4"/>
          <w:sz w:val="20"/>
        </w:rPr>
        <w:t>exam</w:t>
      </w:r>
      <w:r>
        <w:rPr>
          <w:sz w:val="20"/>
        </w:rPr>
        <w:tab/>
      </w:r>
      <w:r>
        <w:rPr>
          <w:spacing w:val="-5"/>
          <w:sz w:val="20"/>
        </w:rPr>
        <w:t>20%</w:t>
      </w:r>
    </w:p>
    <w:p>
      <w:pPr>
        <w:pStyle w:val="ListParagraph"/>
        <w:numPr>
          <w:ilvl w:val="0"/>
          <w:numId w:val="58"/>
        </w:numPr>
        <w:tabs>
          <w:tab w:pos="1662" w:val="left" w:leader="none"/>
          <w:tab w:pos="1663" w:val="left" w:leader="none"/>
          <w:tab w:pos="2958" w:val="left" w:leader="none"/>
        </w:tabs>
        <w:spacing w:line="240" w:lineRule="auto" w:before="15" w:after="0"/>
        <w:ind w:left="1662" w:right="0" w:hanging="361"/>
        <w:jc w:val="left"/>
        <w:rPr>
          <w:sz w:val="20"/>
        </w:rPr>
      </w:pPr>
      <w:r>
        <w:rPr>
          <w:sz w:val="20"/>
        </w:rPr>
        <w:t>Final</w:t>
      </w:r>
      <w:r>
        <w:rPr>
          <w:spacing w:val="-8"/>
          <w:sz w:val="20"/>
        </w:rPr>
        <w:t> </w:t>
      </w:r>
      <w:r>
        <w:rPr>
          <w:spacing w:val="-4"/>
          <w:sz w:val="20"/>
        </w:rPr>
        <w:t>exam</w:t>
      </w:r>
      <w:r>
        <w:rPr>
          <w:sz w:val="20"/>
        </w:rPr>
        <w:tab/>
      </w:r>
      <w:r>
        <w:rPr>
          <w:spacing w:val="-5"/>
          <w:sz w:val="20"/>
        </w:rPr>
        <w:t>20%</w:t>
      </w:r>
    </w:p>
    <w:p>
      <w:pPr>
        <w:spacing w:before="116"/>
        <w:ind w:left="438" w:right="0" w:firstLine="0"/>
        <w:jc w:val="left"/>
        <w:rPr>
          <w:b/>
          <w:sz w:val="20"/>
        </w:rPr>
      </w:pPr>
      <w:r>
        <w:rPr>
          <w:b/>
          <w:w w:val="95"/>
          <w:sz w:val="20"/>
        </w:rPr>
        <w:t>Pre-</w:t>
      </w:r>
      <w:r>
        <w:rPr>
          <w:b/>
          <w:spacing w:val="-2"/>
          <w:sz w:val="20"/>
        </w:rPr>
        <w:t>requisites</w:t>
      </w:r>
    </w:p>
    <w:p>
      <w:pPr>
        <w:pStyle w:val="BodyText"/>
        <w:spacing w:before="125"/>
        <w:ind w:left="1158"/>
      </w:pPr>
      <w:r>
        <w:rPr/>
        <w:t>Co-Requisites:</w:t>
      </w:r>
      <w:r>
        <w:rPr>
          <w:spacing w:val="58"/>
        </w:rPr>
        <w:t> </w:t>
      </w:r>
      <w:r>
        <w:rPr/>
        <w:t>ARC</w:t>
      </w:r>
      <w:r>
        <w:rPr>
          <w:spacing w:val="-7"/>
        </w:rPr>
        <w:t> </w:t>
      </w:r>
      <w:r>
        <w:rPr>
          <w:spacing w:val="-5"/>
        </w:rPr>
        <w:t>405</w:t>
      </w:r>
    </w:p>
    <w:p>
      <w:pPr>
        <w:spacing w:before="149"/>
        <w:ind w:left="438" w:right="0" w:firstLine="0"/>
        <w:jc w:val="left"/>
        <w:rPr>
          <w:b/>
          <w:sz w:val="20"/>
        </w:rPr>
      </w:pPr>
      <w:r>
        <w:rPr>
          <w:b/>
          <w:sz w:val="20"/>
        </w:rPr>
        <w:t>Textbooks</w:t>
      </w:r>
      <w:r>
        <w:rPr>
          <w:b/>
          <w:spacing w:val="-11"/>
          <w:sz w:val="20"/>
        </w:rPr>
        <w:t> </w:t>
      </w:r>
      <w:r>
        <w:rPr>
          <w:b/>
          <w:sz w:val="20"/>
        </w:rPr>
        <w:t>/</w:t>
      </w:r>
      <w:r>
        <w:rPr>
          <w:b/>
          <w:spacing w:val="-9"/>
          <w:sz w:val="20"/>
        </w:rPr>
        <w:t> </w:t>
      </w:r>
      <w:r>
        <w:rPr>
          <w:b/>
          <w:sz w:val="20"/>
        </w:rPr>
        <w:t>Learning</w:t>
      </w:r>
      <w:r>
        <w:rPr>
          <w:b/>
          <w:spacing w:val="-7"/>
          <w:sz w:val="20"/>
        </w:rPr>
        <w:t> </w:t>
      </w:r>
      <w:r>
        <w:rPr>
          <w:b/>
          <w:spacing w:val="-2"/>
          <w:sz w:val="20"/>
        </w:rPr>
        <w:t>Resources</w:t>
      </w:r>
    </w:p>
    <w:p>
      <w:pPr>
        <w:pStyle w:val="ListParagraph"/>
        <w:numPr>
          <w:ilvl w:val="0"/>
          <w:numId w:val="58"/>
        </w:numPr>
        <w:tabs>
          <w:tab w:pos="1716" w:val="left" w:leader="none"/>
          <w:tab w:pos="1718" w:val="left" w:leader="none"/>
        </w:tabs>
        <w:spacing w:line="240" w:lineRule="auto" w:before="137" w:after="0"/>
        <w:ind w:left="1661" w:right="763" w:hanging="360"/>
        <w:jc w:val="left"/>
        <w:rPr>
          <w:sz w:val="20"/>
        </w:rPr>
      </w:pPr>
      <w:r>
        <w:rPr/>
        <w:tab/>
      </w:r>
      <w:r>
        <w:rPr>
          <w:sz w:val="20"/>
        </w:rPr>
        <w:t>The</w:t>
      </w:r>
      <w:r>
        <w:rPr>
          <w:spacing w:val="-5"/>
          <w:sz w:val="20"/>
        </w:rPr>
        <w:t> </w:t>
      </w:r>
      <w:r>
        <w:rPr>
          <w:sz w:val="20"/>
        </w:rPr>
        <w:t>Architecture</w:t>
      </w:r>
      <w:r>
        <w:rPr>
          <w:spacing w:val="-5"/>
          <w:sz w:val="20"/>
        </w:rPr>
        <w:t> </w:t>
      </w:r>
      <w:r>
        <w:rPr>
          <w:sz w:val="20"/>
        </w:rPr>
        <w:t>Student’s</w:t>
      </w:r>
      <w:r>
        <w:rPr>
          <w:spacing w:val="-4"/>
          <w:sz w:val="20"/>
        </w:rPr>
        <w:t> </w:t>
      </w:r>
      <w:r>
        <w:rPr>
          <w:sz w:val="20"/>
        </w:rPr>
        <w:t>Handbook</w:t>
      </w:r>
      <w:r>
        <w:rPr>
          <w:spacing w:val="-2"/>
          <w:sz w:val="20"/>
        </w:rPr>
        <w:t> </w:t>
      </w:r>
      <w:r>
        <w:rPr>
          <w:sz w:val="20"/>
        </w:rPr>
        <w:t>of</w:t>
      </w:r>
      <w:r>
        <w:rPr>
          <w:spacing w:val="-3"/>
          <w:sz w:val="20"/>
        </w:rPr>
        <w:t> </w:t>
      </w:r>
      <w:r>
        <w:rPr>
          <w:sz w:val="20"/>
        </w:rPr>
        <w:t>Professional</w:t>
      </w:r>
      <w:r>
        <w:rPr>
          <w:spacing w:val="-4"/>
          <w:sz w:val="20"/>
        </w:rPr>
        <w:t> </w:t>
      </w:r>
      <w:r>
        <w:rPr>
          <w:sz w:val="20"/>
        </w:rPr>
        <w:t>Practice,</w:t>
      </w:r>
      <w:r>
        <w:rPr>
          <w:spacing w:val="-3"/>
          <w:sz w:val="20"/>
        </w:rPr>
        <w:t> </w:t>
      </w:r>
      <w:r>
        <w:rPr>
          <w:sz w:val="20"/>
        </w:rPr>
        <w:t>14th</w:t>
      </w:r>
      <w:r>
        <w:rPr>
          <w:spacing w:val="-5"/>
          <w:sz w:val="20"/>
        </w:rPr>
        <w:t> </w:t>
      </w:r>
      <w:r>
        <w:rPr>
          <w:sz w:val="20"/>
        </w:rPr>
        <w:t>Edition,</w:t>
      </w:r>
      <w:r>
        <w:rPr>
          <w:spacing w:val="-5"/>
          <w:sz w:val="20"/>
        </w:rPr>
        <w:t> </w:t>
      </w:r>
      <w:r>
        <w:rPr>
          <w:sz w:val="20"/>
        </w:rPr>
        <w:t>the</w:t>
      </w:r>
      <w:r>
        <w:rPr>
          <w:spacing w:val="-3"/>
          <w:sz w:val="20"/>
        </w:rPr>
        <w:t> </w:t>
      </w:r>
      <w:r>
        <w:rPr>
          <w:sz w:val="20"/>
        </w:rPr>
        <w:t>American Institute of Architects, ISBN 978-0-470-08869-2</w:t>
      </w:r>
    </w:p>
    <w:p>
      <w:pPr>
        <w:pStyle w:val="ListParagraph"/>
        <w:numPr>
          <w:ilvl w:val="0"/>
          <w:numId w:val="58"/>
        </w:numPr>
        <w:tabs>
          <w:tab w:pos="1661" w:val="left" w:leader="none"/>
          <w:tab w:pos="1662" w:val="left" w:leader="none"/>
        </w:tabs>
        <w:spacing w:line="240" w:lineRule="auto" w:before="13" w:after="0"/>
        <w:ind w:left="1661" w:right="866" w:hanging="360"/>
        <w:jc w:val="left"/>
        <w:rPr>
          <w:sz w:val="20"/>
        </w:rPr>
      </w:pPr>
      <w:r>
        <w:rPr>
          <w:sz w:val="20"/>
        </w:rPr>
        <w:t>Francis</w:t>
      </w:r>
      <w:r>
        <w:rPr>
          <w:spacing w:val="-4"/>
          <w:sz w:val="20"/>
        </w:rPr>
        <w:t> </w:t>
      </w:r>
      <w:r>
        <w:rPr>
          <w:sz w:val="20"/>
        </w:rPr>
        <w:t>D.</w:t>
      </w:r>
      <w:r>
        <w:rPr>
          <w:spacing w:val="-5"/>
          <w:sz w:val="20"/>
        </w:rPr>
        <w:t> </w:t>
      </w:r>
      <w:r>
        <w:rPr>
          <w:sz w:val="20"/>
        </w:rPr>
        <w:t>K.</w:t>
      </w:r>
      <w:r>
        <w:rPr>
          <w:spacing w:val="-5"/>
          <w:sz w:val="20"/>
        </w:rPr>
        <w:t> </w:t>
      </w:r>
      <w:r>
        <w:rPr>
          <w:sz w:val="20"/>
        </w:rPr>
        <w:t>Ching,</w:t>
      </w:r>
      <w:r>
        <w:rPr>
          <w:spacing w:val="-5"/>
          <w:sz w:val="20"/>
        </w:rPr>
        <w:t> </w:t>
      </w:r>
      <w:r>
        <w:rPr>
          <w:sz w:val="20"/>
        </w:rPr>
        <w:t>Building</w:t>
      </w:r>
      <w:r>
        <w:rPr>
          <w:spacing w:val="-5"/>
          <w:sz w:val="20"/>
        </w:rPr>
        <w:t> </w:t>
      </w:r>
      <w:r>
        <w:rPr>
          <w:sz w:val="20"/>
        </w:rPr>
        <w:t>Construction</w:t>
      </w:r>
      <w:r>
        <w:rPr>
          <w:spacing w:val="-3"/>
          <w:sz w:val="20"/>
        </w:rPr>
        <w:t> </w:t>
      </w:r>
      <w:r>
        <w:rPr>
          <w:sz w:val="20"/>
        </w:rPr>
        <w:t>Illustrated,</w:t>
      </w:r>
      <w:r>
        <w:rPr>
          <w:spacing w:val="-5"/>
          <w:sz w:val="20"/>
        </w:rPr>
        <w:t> </w:t>
      </w:r>
      <w:r>
        <w:rPr>
          <w:sz w:val="20"/>
        </w:rPr>
        <w:t>4th</w:t>
      </w:r>
      <w:r>
        <w:rPr>
          <w:spacing w:val="-5"/>
          <w:sz w:val="20"/>
        </w:rPr>
        <w:t> </w:t>
      </w:r>
      <w:r>
        <w:rPr>
          <w:sz w:val="20"/>
        </w:rPr>
        <w:t>Edition,</w:t>
      </w:r>
      <w:r>
        <w:rPr>
          <w:spacing w:val="-5"/>
          <w:sz w:val="20"/>
        </w:rPr>
        <w:t> </w:t>
      </w:r>
      <w:r>
        <w:rPr>
          <w:sz w:val="20"/>
        </w:rPr>
        <w:t>Van</w:t>
      </w:r>
      <w:r>
        <w:rPr>
          <w:spacing w:val="-5"/>
          <w:sz w:val="20"/>
        </w:rPr>
        <w:t> </w:t>
      </w:r>
      <w:r>
        <w:rPr>
          <w:sz w:val="20"/>
        </w:rPr>
        <w:t>Nostrand</w:t>
      </w:r>
      <w:r>
        <w:rPr>
          <w:spacing w:val="-3"/>
          <w:sz w:val="20"/>
        </w:rPr>
        <w:t> </w:t>
      </w:r>
      <w:r>
        <w:rPr>
          <w:sz w:val="20"/>
        </w:rPr>
        <w:t>Reinhold Company, NY, 2008. (ISBN-13: 9780470087817)</w:t>
      </w:r>
    </w:p>
    <w:p>
      <w:pPr>
        <w:spacing w:before="119"/>
        <w:ind w:left="437" w:right="0" w:firstLine="0"/>
        <w:jc w:val="left"/>
        <w:rPr>
          <w:b/>
          <w:sz w:val="20"/>
        </w:rPr>
      </w:pPr>
      <w:r>
        <w:rPr>
          <w:b/>
          <w:sz w:val="20"/>
        </w:rPr>
        <w:t>Offered</w:t>
      </w:r>
      <w:r>
        <w:rPr>
          <w:b/>
          <w:spacing w:val="-10"/>
          <w:sz w:val="20"/>
        </w:rPr>
        <w:t> </w:t>
      </w:r>
      <w:r>
        <w:rPr>
          <w:b/>
          <w:spacing w:val="-2"/>
          <w:sz w:val="20"/>
        </w:rPr>
        <w:t>(terms):</w:t>
      </w:r>
    </w:p>
    <w:p>
      <w:pPr>
        <w:pStyle w:val="BodyText"/>
        <w:spacing w:before="120"/>
        <w:ind w:left="797"/>
      </w:pPr>
      <w:r>
        <w:rPr/>
        <w:t>Fall</w:t>
      </w:r>
      <w:r>
        <w:rPr>
          <w:spacing w:val="-8"/>
        </w:rPr>
        <w:t> </w:t>
      </w:r>
      <w:r>
        <w:rPr/>
        <w:t>Semester</w:t>
      </w:r>
      <w:r>
        <w:rPr>
          <w:spacing w:val="-7"/>
        </w:rPr>
        <w:t> </w:t>
      </w:r>
      <w:r>
        <w:rPr>
          <w:spacing w:val="-4"/>
        </w:rPr>
        <w:t>only</w:t>
      </w:r>
    </w:p>
    <w:p>
      <w:pPr>
        <w:spacing w:before="118"/>
        <w:ind w:left="492" w:right="0" w:firstLine="0"/>
        <w:jc w:val="left"/>
        <w:rPr>
          <w:b/>
          <w:sz w:val="20"/>
        </w:rPr>
      </w:pPr>
      <w:r>
        <w:rPr>
          <w:b/>
          <w:sz w:val="20"/>
        </w:rPr>
        <w:t>Faculty</w:t>
      </w:r>
      <w:r>
        <w:rPr>
          <w:b/>
          <w:spacing w:val="-8"/>
          <w:sz w:val="20"/>
        </w:rPr>
        <w:t> </w:t>
      </w:r>
      <w:r>
        <w:rPr>
          <w:b/>
          <w:spacing w:val="-2"/>
          <w:sz w:val="20"/>
        </w:rPr>
        <w:t>Assigned:</w:t>
      </w:r>
    </w:p>
    <w:p>
      <w:pPr>
        <w:pStyle w:val="BodyText"/>
        <w:spacing w:before="123"/>
        <w:ind w:left="1157"/>
      </w:pPr>
      <w:r>
        <w:rPr/>
        <w:t>Robert</w:t>
      </w:r>
      <w:r>
        <w:rPr>
          <w:spacing w:val="-9"/>
        </w:rPr>
        <w:t> </w:t>
      </w:r>
      <w:r>
        <w:rPr/>
        <w:t>Easter,</w:t>
      </w:r>
      <w:r>
        <w:rPr>
          <w:spacing w:val="-10"/>
        </w:rPr>
        <w:t> </w:t>
      </w:r>
      <w:r>
        <w:rPr>
          <w:spacing w:val="-4"/>
        </w:rPr>
        <w:t>(F/T)</w:t>
      </w:r>
    </w:p>
    <w:p>
      <w:pPr>
        <w:spacing w:after="0"/>
        <w:sectPr>
          <w:headerReference w:type="default" r:id="rId233"/>
          <w:footerReference w:type="default" r:id="rId234"/>
          <w:pgSz w:w="12240" w:h="15840"/>
          <w:pgMar w:header="993" w:footer="974" w:top="1240" w:bottom="1160" w:left="1000" w:right="820"/>
        </w:sectPr>
      </w:pPr>
    </w:p>
    <w:p>
      <w:pPr>
        <w:spacing w:before="115"/>
        <w:ind w:left="440" w:right="0" w:firstLine="0"/>
        <w:jc w:val="left"/>
        <w:rPr>
          <w:b/>
          <w:sz w:val="20"/>
        </w:rPr>
      </w:pPr>
      <w:r>
        <w:rPr>
          <w:b/>
          <w:sz w:val="20"/>
        </w:rPr>
        <w:t>Course</w:t>
      </w:r>
      <w:r>
        <w:rPr>
          <w:b/>
          <w:spacing w:val="-9"/>
          <w:sz w:val="20"/>
        </w:rPr>
        <w:t> </w:t>
      </w:r>
      <w:r>
        <w:rPr>
          <w:b/>
          <w:sz w:val="20"/>
        </w:rPr>
        <w:t>Description</w:t>
      </w:r>
      <w:r>
        <w:rPr>
          <w:b/>
          <w:spacing w:val="-8"/>
          <w:sz w:val="20"/>
        </w:rPr>
        <w:t> </w:t>
      </w:r>
      <w:r>
        <w:rPr>
          <w:b/>
          <w:sz w:val="20"/>
        </w:rPr>
        <w:t>(limit</w:t>
      </w:r>
      <w:r>
        <w:rPr>
          <w:b/>
          <w:spacing w:val="-7"/>
          <w:sz w:val="20"/>
        </w:rPr>
        <w:t> </w:t>
      </w:r>
      <w:r>
        <w:rPr>
          <w:b/>
          <w:sz w:val="20"/>
        </w:rPr>
        <w:t>25</w:t>
      </w:r>
      <w:r>
        <w:rPr>
          <w:b/>
          <w:spacing w:val="-8"/>
          <w:sz w:val="20"/>
        </w:rPr>
        <w:t> </w:t>
      </w:r>
      <w:r>
        <w:rPr>
          <w:b/>
          <w:spacing w:val="-2"/>
          <w:sz w:val="20"/>
        </w:rPr>
        <w:t>words):</w:t>
      </w:r>
    </w:p>
    <w:p>
      <w:pPr>
        <w:pStyle w:val="BodyText"/>
        <w:spacing w:before="122"/>
        <w:ind w:left="1159" w:right="642"/>
      </w:pPr>
      <w:r>
        <w:rPr/>
        <w:t>Principles of professional conduct, architect-client contractor relationships, contractual documentation related to practice and office procedures, relationships to disciplines of engineering,</w:t>
      </w:r>
      <w:r>
        <w:rPr>
          <w:spacing w:val="-5"/>
        </w:rPr>
        <w:t> </w:t>
      </w:r>
      <w:r>
        <w:rPr/>
        <w:t>planning</w:t>
      </w:r>
      <w:r>
        <w:rPr>
          <w:spacing w:val="-4"/>
        </w:rPr>
        <w:t> </w:t>
      </w:r>
      <w:r>
        <w:rPr/>
        <w:t>and</w:t>
      </w:r>
      <w:r>
        <w:rPr>
          <w:spacing w:val="-4"/>
        </w:rPr>
        <w:t> </w:t>
      </w:r>
      <w:r>
        <w:rPr/>
        <w:t>urban</w:t>
      </w:r>
      <w:r>
        <w:rPr>
          <w:spacing w:val="-4"/>
        </w:rPr>
        <w:t> </w:t>
      </w:r>
      <w:r>
        <w:rPr/>
        <w:t>design.</w:t>
      </w:r>
      <w:r>
        <w:rPr>
          <w:spacing w:val="-5"/>
        </w:rPr>
        <w:t> </w:t>
      </w:r>
      <w:r>
        <w:rPr/>
        <w:t>The</w:t>
      </w:r>
      <w:r>
        <w:rPr>
          <w:spacing w:val="-5"/>
        </w:rPr>
        <w:t> </w:t>
      </w:r>
      <w:r>
        <w:rPr/>
        <w:t>second</w:t>
      </w:r>
      <w:r>
        <w:rPr>
          <w:spacing w:val="-4"/>
        </w:rPr>
        <w:t> </w:t>
      </w:r>
      <w:r>
        <w:rPr/>
        <w:t>semester’s</w:t>
      </w:r>
      <w:r>
        <w:rPr>
          <w:spacing w:val="-5"/>
        </w:rPr>
        <w:t> </w:t>
      </w:r>
      <w:r>
        <w:rPr/>
        <w:t>covers,</w:t>
      </w:r>
      <w:r>
        <w:rPr>
          <w:spacing w:val="-5"/>
        </w:rPr>
        <w:t> </w:t>
      </w:r>
      <w:r>
        <w:rPr/>
        <w:t>ethics,</w:t>
      </w:r>
      <w:r>
        <w:rPr>
          <w:spacing w:val="-4"/>
        </w:rPr>
        <w:t> </w:t>
      </w:r>
      <w:r>
        <w:rPr/>
        <w:t>professional responsibilities in field of architecture and community design.</w:t>
      </w:r>
    </w:p>
    <w:p>
      <w:pPr>
        <w:spacing w:before="117"/>
        <w:ind w:left="439" w:right="0" w:firstLine="0"/>
        <w:jc w:val="left"/>
        <w:rPr>
          <w:b/>
          <w:sz w:val="20"/>
        </w:rPr>
      </w:pPr>
      <w:r>
        <w:rPr>
          <w:b/>
          <w:sz w:val="20"/>
        </w:rPr>
        <w:t>Course</w:t>
      </w:r>
      <w:r>
        <w:rPr>
          <w:b/>
          <w:spacing w:val="-9"/>
          <w:sz w:val="20"/>
        </w:rPr>
        <w:t> </w:t>
      </w:r>
      <w:r>
        <w:rPr>
          <w:b/>
          <w:sz w:val="20"/>
        </w:rPr>
        <w:t>Goals</w:t>
      </w:r>
      <w:r>
        <w:rPr>
          <w:b/>
          <w:spacing w:val="-7"/>
          <w:sz w:val="20"/>
        </w:rPr>
        <w:t> </w:t>
      </w:r>
      <w:r>
        <w:rPr>
          <w:b/>
          <w:sz w:val="20"/>
        </w:rPr>
        <w:t>and</w:t>
      </w:r>
      <w:r>
        <w:rPr>
          <w:b/>
          <w:spacing w:val="-5"/>
          <w:sz w:val="20"/>
        </w:rPr>
        <w:t> </w:t>
      </w:r>
      <w:r>
        <w:rPr>
          <w:b/>
          <w:spacing w:val="-2"/>
          <w:sz w:val="20"/>
        </w:rPr>
        <w:t>Objectives;</w:t>
      </w:r>
    </w:p>
    <w:p>
      <w:pPr>
        <w:pStyle w:val="BodyText"/>
        <w:spacing w:before="123"/>
        <w:ind w:left="1159"/>
      </w:pPr>
      <w:r>
        <w:rPr/>
        <w:t>General</w:t>
      </w:r>
      <w:r>
        <w:rPr>
          <w:spacing w:val="-9"/>
        </w:rPr>
        <w:t> </w:t>
      </w:r>
      <w:r>
        <w:rPr/>
        <w:t>course</w:t>
      </w:r>
      <w:r>
        <w:rPr>
          <w:spacing w:val="-9"/>
        </w:rPr>
        <w:t> </w:t>
      </w:r>
      <w:r>
        <w:rPr/>
        <w:t>objectives</w:t>
      </w:r>
      <w:r>
        <w:rPr>
          <w:spacing w:val="-7"/>
        </w:rPr>
        <w:t> </w:t>
      </w:r>
      <w:r>
        <w:rPr>
          <w:spacing w:val="-4"/>
        </w:rPr>
        <w:t>are:</w:t>
      </w:r>
    </w:p>
    <w:p>
      <w:pPr>
        <w:pStyle w:val="ListParagraph"/>
        <w:numPr>
          <w:ilvl w:val="0"/>
          <w:numId w:val="59"/>
        </w:numPr>
        <w:tabs>
          <w:tab w:pos="1519" w:val="left" w:leader="none"/>
          <w:tab w:pos="1520" w:val="left" w:leader="none"/>
        </w:tabs>
        <w:spacing w:line="240" w:lineRule="auto" w:before="15" w:after="0"/>
        <w:ind w:left="1519" w:right="0" w:hanging="361"/>
        <w:jc w:val="left"/>
        <w:rPr>
          <w:sz w:val="20"/>
        </w:rPr>
      </w:pPr>
      <w:r>
        <w:rPr>
          <w:sz w:val="20"/>
        </w:rPr>
        <w:t>To</w:t>
      </w:r>
      <w:r>
        <w:rPr>
          <w:spacing w:val="-6"/>
          <w:sz w:val="20"/>
        </w:rPr>
        <w:t> </w:t>
      </w:r>
      <w:r>
        <w:rPr>
          <w:sz w:val="20"/>
        </w:rPr>
        <w:t>expand</w:t>
      </w:r>
      <w:r>
        <w:rPr>
          <w:spacing w:val="-6"/>
          <w:sz w:val="20"/>
        </w:rPr>
        <w:t> </w:t>
      </w:r>
      <w:r>
        <w:rPr>
          <w:sz w:val="20"/>
        </w:rPr>
        <w:t>the</w:t>
      </w:r>
      <w:r>
        <w:rPr>
          <w:spacing w:val="-6"/>
          <w:sz w:val="20"/>
        </w:rPr>
        <w:t> </w:t>
      </w:r>
      <w:r>
        <w:rPr>
          <w:sz w:val="20"/>
        </w:rPr>
        <w:t>student’s</w:t>
      </w:r>
      <w:r>
        <w:rPr>
          <w:spacing w:val="-5"/>
          <w:sz w:val="20"/>
        </w:rPr>
        <w:t> </w:t>
      </w:r>
      <w:r>
        <w:rPr>
          <w:sz w:val="20"/>
        </w:rPr>
        <w:t>knowledge</w:t>
      </w:r>
      <w:r>
        <w:rPr>
          <w:spacing w:val="-3"/>
          <w:sz w:val="20"/>
        </w:rPr>
        <w:t> </w:t>
      </w:r>
      <w:r>
        <w:rPr>
          <w:sz w:val="20"/>
        </w:rPr>
        <w:t>of</w:t>
      </w:r>
      <w:r>
        <w:rPr>
          <w:spacing w:val="-4"/>
          <w:sz w:val="20"/>
        </w:rPr>
        <w:t> </w:t>
      </w:r>
      <w:r>
        <w:rPr>
          <w:sz w:val="20"/>
        </w:rPr>
        <w:t>the</w:t>
      </w:r>
      <w:r>
        <w:rPr>
          <w:spacing w:val="-6"/>
          <w:sz w:val="20"/>
        </w:rPr>
        <w:t> </w:t>
      </w:r>
      <w:r>
        <w:rPr>
          <w:sz w:val="20"/>
        </w:rPr>
        <w:t>role</w:t>
      </w:r>
      <w:r>
        <w:rPr>
          <w:spacing w:val="-4"/>
          <w:sz w:val="20"/>
        </w:rPr>
        <w:t> </w:t>
      </w:r>
      <w:r>
        <w:rPr>
          <w:sz w:val="20"/>
        </w:rPr>
        <w:t>of</w:t>
      </w:r>
      <w:r>
        <w:rPr>
          <w:spacing w:val="-4"/>
          <w:sz w:val="20"/>
        </w:rPr>
        <w:t> </w:t>
      </w:r>
      <w:r>
        <w:rPr>
          <w:sz w:val="20"/>
        </w:rPr>
        <w:t>the</w:t>
      </w:r>
      <w:r>
        <w:rPr>
          <w:spacing w:val="-6"/>
          <w:sz w:val="20"/>
        </w:rPr>
        <w:t> </w:t>
      </w:r>
      <w:r>
        <w:rPr>
          <w:sz w:val="20"/>
        </w:rPr>
        <w:t>architect</w:t>
      </w:r>
      <w:r>
        <w:rPr>
          <w:spacing w:val="-5"/>
          <w:sz w:val="20"/>
        </w:rPr>
        <w:t> </w:t>
      </w:r>
      <w:r>
        <w:rPr>
          <w:sz w:val="20"/>
        </w:rPr>
        <w:t>in</w:t>
      </w:r>
      <w:r>
        <w:rPr>
          <w:spacing w:val="-6"/>
          <w:sz w:val="20"/>
        </w:rPr>
        <w:t> </w:t>
      </w:r>
      <w:r>
        <w:rPr>
          <w:spacing w:val="-2"/>
          <w:sz w:val="20"/>
        </w:rPr>
        <w:t>society.</w:t>
      </w:r>
    </w:p>
    <w:p>
      <w:pPr>
        <w:pStyle w:val="ListParagraph"/>
        <w:numPr>
          <w:ilvl w:val="0"/>
          <w:numId w:val="59"/>
        </w:numPr>
        <w:tabs>
          <w:tab w:pos="1519" w:val="left" w:leader="none"/>
          <w:tab w:pos="1520" w:val="left" w:leader="none"/>
        </w:tabs>
        <w:spacing w:line="240" w:lineRule="auto" w:before="15" w:after="0"/>
        <w:ind w:left="1519" w:right="0" w:hanging="361"/>
        <w:jc w:val="left"/>
        <w:rPr>
          <w:sz w:val="20"/>
        </w:rPr>
      </w:pPr>
      <w:r>
        <w:rPr>
          <w:sz w:val="20"/>
        </w:rPr>
        <w:t>To</w:t>
      </w:r>
      <w:r>
        <w:rPr>
          <w:spacing w:val="-8"/>
          <w:sz w:val="20"/>
        </w:rPr>
        <w:t> </w:t>
      </w:r>
      <w:r>
        <w:rPr>
          <w:sz w:val="20"/>
        </w:rPr>
        <w:t>introduce</w:t>
      </w:r>
      <w:r>
        <w:rPr>
          <w:spacing w:val="-6"/>
          <w:sz w:val="20"/>
        </w:rPr>
        <w:t> </w:t>
      </w:r>
      <w:r>
        <w:rPr>
          <w:sz w:val="20"/>
        </w:rPr>
        <w:t>the</w:t>
      </w:r>
      <w:r>
        <w:rPr>
          <w:spacing w:val="-8"/>
          <w:sz w:val="20"/>
        </w:rPr>
        <w:t> </w:t>
      </w:r>
      <w:r>
        <w:rPr>
          <w:sz w:val="20"/>
        </w:rPr>
        <w:t>student</w:t>
      </w:r>
      <w:r>
        <w:rPr>
          <w:spacing w:val="-7"/>
          <w:sz w:val="20"/>
        </w:rPr>
        <w:t> </w:t>
      </w:r>
      <w:r>
        <w:rPr>
          <w:sz w:val="20"/>
        </w:rPr>
        <w:t>to</w:t>
      </w:r>
      <w:r>
        <w:rPr>
          <w:spacing w:val="-3"/>
          <w:sz w:val="20"/>
        </w:rPr>
        <w:t> </w:t>
      </w:r>
      <w:r>
        <w:rPr>
          <w:sz w:val="20"/>
        </w:rPr>
        <w:t>the</w:t>
      </w:r>
      <w:r>
        <w:rPr>
          <w:spacing w:val="-8"/>
          <w:sz w:val="20"/>
        </w:rPr>
        <w:t> </w:t>
      </w:r>
      <w:r>
        <w:rPr>
          <w:sz w:val="20"/>
        </w:rPr>
        <w:t>concepts</w:t>
      </w:r>
      <w:r>
        <w:rPr>
          <w:spacing w:val="-7"/>
          <w:sz w:val="20"/>
        </w:rPr>
        <w:t> </w:t>
      </w:r>
      <w:r>
        <w:rPr>
          <w:sz w:val="20"/>
        </w:rPr>
        <w:t>of</w:t>
      </w:r>
      <w:r>
        <w:rPr>
          <w:spacing w:val="-5"/>
          <w:sz w:val="20"/>
        </w:rPr>
        <w:t> </w:t>
      </w:r>
      <w:r>
        <w:rPr>
          <w:sz w:val="20"/>
        </w:rPr>
        <w:t>environmental</w:t>
      </w:r>
      <w:r>
        <w:rPr>
          <w:spacing w:val="-7"/>
          <w:sz w:val="20"/>
        </w:rPr>
        <w:t> </w:t>
      </w:r>
      <w:r>
        <w:rPr>
          <w:sz w:val="20"/>
        </w:rPr>
        <w:t>ethics</w:t>
      </w:r>
      <w:r>
        <w:rPr>
          <w:spacing w:val="-7"/>
          <w:sz w:val="20"/>
        </w:rPr>
        <w:t> </w:t>
      </w:r>
      <w:r>
        <w:rPr>
          <w:sz w:val="20"/>
        </w:rPr>
        <w:t>and</w:t>
      </w:r>
      <w:r>
        <w:rPr>
          <w:spacing w:val="-6"/>
          <w:sz w:val="20"/>
        </w:rPr>
        <w:t> </w:t>
      </w:r>
      <w:r>
        <w:rPr>
          <w:sz w:val="20"/>
        </w:rPr>
        <w:t>professional</w:t>
      </w:r>
      <w:r>
        <w:rPr>
          <w:spacing w:val="-6"/>
          <w:sz w:val="20"/>
        </w:rPr>
        <w:t> </w:t>
      </w:r>
      <w:r>
        <w:rPr>
          <w:spacing w:val="-2"/>
          <w:sz w:val="20"/>
        </w:rPr>
        <w:t>practice.</w:t>
      </w:r>
    </w:p>
    <w:p>
      <w:pPr>
        <w:pStyle w:val="ListParagraph"/>
        <w:numPr>
          <w:ilvl w:val="0"/>
          <w:numId w:val="59"/>
        </w:numPr>
        <w:tabs>
          <w:tab w:pos="1519" w:val="left" w:leader="none"/>
          <w:tab w:pos="1520" w:val="left" w:leader="none"/>
        </w:tabs>
        <w:spacing w:line="240" w:lineRule="auto" w:before="12" w:after="0"/>
        <w:ind w:left="1519" w:right="1273" w:hanging="360"/>
        <w:jc w:val="left"/>
        <w:rPr>
          <w:sz w:val="20"/>
        </w:rPr>
      </w:pPr>
      <w:r>
        <w:rPr>
          <w:sz w:val="20"/>
        </w:rPr>
        <w:t>To</w:t>
      </w:r>
      <w:r>
        <w:rPr>
          <w:spacing w:val="-5"/>
          <w:sz w:val="20"/>
        </w:rPr>
        <w:t> </w:t>
      </w:r>
      <w:r>
        <w:rPr>
          <w:sz w:val="20"/>
        </w:rPr>
        <w:t>introduce</w:t>
      </w:r>
      <w:r>
        <w:rPr>
          <w:spacing w:val="-3"/>
          <w:sz w:val="20"/>
        </w:rPr>
        <w:t> </w:t>
      </w:r>
      <w:r>
        <w:rPr>
          <w:sz w:val="20"/>
        </w:rPr>
        <w:t>the</w:t>
      </w:r>
      <w:r>
        <w:rPr>
          <w:spacing w:val="-5"/>
          <w:sz w:val="20"/>
        </w:rPr>
        <w:t> </w:t>
      </w:r>
      <w:r>
        <w:rPr>
          <w:sz w:val="20"/>
        </w:rPr>
        <w:t>student</w:t>
      </w:r>
      <w:r>
        <w:rPr>
          <w:spacing w:val="-5"/>
          <w:sz w:val="20"/>
        </w:rPr>
        <w:t> </w:t>
      </w:r>
      <w:r>
        <w:rPr>
          <w:sz w:val="20"/>
        </w:rPr>
        <w:t>to the</w:t>
      </w:r>
      <w:r>
        <w:rPr>
          <w:spacing w:val="-5"/>
          <w:sz w:val="20"/>
        </w:rPr>
        <w:t> </w:t>
      </w:r>
      <w:r>
        <w:rPr>
          <w:sz w:val="20"/>
        </w:rPr>
        <w:t>management</w:t>
      </w:r>
      <w:r>
        <w:rPr>
          <w:spacing w:val="-5"/>
          <w:sz w:val="20"/>
        </w:rPr>
        <w:t> </w:t>
      </w:r>
      <w:r>
        <w:rPr>
          <w:sz w:val="20"/>
        </w:rPr>
        <w:t>and</w:t>
      </w:r>
      <w:r>
        <w:rPr>
          <w:spacing w:val="-5"/>
          <w:sz w:val="20"/>
        </w:rPr>
        <w:t> </w:t>
      </w:r>
      <w:r>
        <w:rPr>
          <w:sz w:val="20"/>
        </w:rPr>
        <w:t>leadership</w:t>
      </w:r>
      <w:r>
        <w:rPr>
          <w:spacing w:val="-5"/>
          <w:sz w:val="20"/>
        </w:rPr>
        <w:t> </w:t>
      </w:r>
      <w:r>
        <w:rPr>
          <w:sz w:val="20"/>
        </w:rPr>
        <w:t>problems</w:t>
      </w:r>
      <w:r>
        <w:rPr>
          <w:spacing w:val="-4"/>
          <w:sz w:val="20"/>
        </w:rPr>
        <w:t> </w:t>
      </w:r>
      <w:r>
        <w:rPr>
          <w:sz w:val="20"/>
        </w:rPr>
        <w:t>surrounding</w:t>
      </w:r>
      <w:r>
        <w:rPr>
          <w:spacing w:val="-3"/>
          <w:sz w:val="20"/>
        </w:rPr>
        <w:t> </w:t>
      </w:r>
      <w:r>
        <w:rPr>
          <w:sz w:val="20"/>
        </w:rPr>
        <w:t>the practice of architecture.</w:t>
      </w:r>
    </w:p>
    <w:p>
      <w:pPr>
        <w:pStyle w:val="ListParagraph"/>
        <w:numPr>
          <w:ilvl w:val="0"/>
          <w:numId w:val="59"/>
        </w:numPr>
        <w:tabs>
          <w:tab w:pos="1519" w:val="left" w:leader="none"/>
          <w:tab w:pos="1520" w:val="left" w:leader="none"/>
        </w:tabs>
        <w:spacing w:line="240" w:lineRule="auto" w:before="13" w:after="0"/>
        <w:ind w:left="1519" w:right="0" w:hanging="361"/>
        <w:jc w:val="left"/>
        <w:rPr>
          <w:sz w:val="20"/>
        </w:rPr>
      </w:pPr>
      <w:r>
        <w:rPr>
          <w:sz w:val="20"/>
        </w:rPr>
        <w:t>To</w:t>
      </w:r>
      <w:r>
        <w:rPr>
          <w:spacing w:val="-7"/>
          <w:sz w:val="20"/>
        </w:rPr>
        <w:t> </w:t>
      </w:r>
      <w:r>
        <w:rPr>
          <w:sz w:val="20"/>
        </w:rPr>
        <w:t>introduce</w:t>
      </w:r>
      <w:r>
        <w:rPr>
          <w:spacing w:val="-4"/>
          <w:sz w:val="20"/>
        </w:rPr>
        <w:t> </w:t>
      </w:r>
      <w:r>
        <w:rPr>
          <w:sz w:val="20"/>
        </w:rPr>
        <w:t>the</w:t>
      </w:r>
      <w:r>
        <w:rPr>
          <w:spacing w:val="-6"/>
          <w:sz w:val="20"/>
        </w:rPr>
        <w:t> </w:t>
      </w:r>
      <w:r>
        <w:rPr>
          <w:sz w:val="20"/>
        </w:rPr>
        <w:t>student</w:t>
      </w:r>
      <w:r>
        <w:rPr>
          <w:spacing w:val="-6"/>
          <w:sz w:val="20"/>
        </w:rPr>
        <w:t> </w:t>
      </w:r>
      <w:r>
        <w:rPr>
          <w:sz w:val="20"/>
        </w:rPr>
        <w:t>to</w:t>
      </w:r>
      <w:r>
        <w:rPr>
          <w:spacing w:val="-2"/>
          <w:sz w:val="20"/>
        </w:rPr>
        <w:t> </w:t>
      </w:r>
      <w:r>
        <w:rPr>
          <w:sz w:val="20"/>
        </w:rPr>
        <w:t>cost</w:t>
      </w:r>
      <w:r>
        <w:rPr>
          <w:spacing w:val="-6"/>
          <w:sz w:val="20"/>
        </w:rPr>
        <w:t> </w:t>
      </w:r>
      <w:r>
        <w:rPr>
          <w:sz w:val="20"/>
        </w:rPr>
        <w:t>estimating</w:t>
      </w:r>
      <w:r>
        <w:rPr>
          <w:spacing w:val="-6"/>
          <w:sz w:val="20"/>
        </w:rPr>
        <w:t> </w:t>
      </w:r>
      <w:r>
        <w:rPr>
          <w:sz w:val="20"/>
        </w:rPr>
        <w:t>and</w:t>
      </w:r>
      <w:r>
        <w:rPr>
          <w:spacing w:val="-6"/>
          <w:sz w:val="20"/>
        </w:rPr>
        <w:t> </w:t>
      </w:r>
      <w:r>
        <w:rPr>
          <w:sz w:val="20"/>
        </w:rPr>
        <w:t>cost</w:t>
      </w:r>
      <w:r>
        <w:rPr>
          <w:spacing w:val="-6"/>
          <w:sz w:val="20"/>
        </w:rPr>
        <w:t> </w:t>
      </w:r>
      <w:r>
        <w:rPr>
          <w:spacing w:val="-2"/>
          <w:sz w:val="20"/>
        </w:rPr>
        <w:t>controls.</w:t>
      </w:r>
    </w:p>
    <w:p>
      <w:pPr>
        <w:pStyle w:val="ListParagraph"/>
        <w:numPr>
          <w:ilvl w:val="0"/>
          <w:numId w:val="59"/>
        </w:numPr>
        <w:tabs>
          <w:tab w:pos="1519" w:val="left" w:leader="none"/>
          <w:tab w:pos="1520" w:val="left" w:leader="none"/>
        </w:tabs>
        <w:spacing w:line="240" w:lineRule="auto" w:before="15" w:after="0"/>
        <w:ind w:left="1519" w:right="0" w:hanging="361"/>
        <w:jc w:val="left"/>
        <w:rPr>
          <w:sz w:val="20"/>
        </w:rPr>
      </w:pPr>
      <w:r>
        <w:rPr>
          <w:sz w:val="20"/>
        </w:rPr>
        <w:t>To</w:t>
      </w:r>
      <w:r>
        <w:rPr>
          <w:spacing w:val="-7"/>
          <w:sz w:val="20"/>
        </w:rPr>
        <w:t> </w:t>
      </w:r>
      <w:r>
        <w:rPr>
          <w:sz w:val="20"/>
        </w:rPr>
        <w:t>introduce</w:t>
      </w:r>
      <w:r>
        <w:rPr>
          <w:spacing w:val="-5"/>
          <w:sz w:val="20"/>
        </w:rPr>
        <w:t> </w:t>
      </w:r>
      <w:r>
        <w:rPr>
          <w:sz w:val="20"/>
        </w:rPr>
        <w:t>the</w:t>
      </w:r>
      <w:r>
        <w:rPr>
          <w:spacing w:val="-7"/>
          <w:sz w:val="20"/>
        </w:rPr>
        <w:t> </w:t>
      </w:r>
      <w:r>
        <w:rPr>
          <w:sz w:val="20"/>
        </w:rPr>
        <w:t>student</w:t>
      </w:r>
      <w:r>
        <w:rPr>
          <w:spacing w:val="-7"/>
          <w:sz w:val="20"/>
        </w:rPr>
        <w:t> </w:t>
      </w:r>
      <w:r>
        <w:rPr>
          <w:sz w:val="20"/>
        </w:rPr>
        <w:t>to</w:t>
      </w:r>
      <w:r>
        <w:rPr>
          <w:spacing w:val="-2"/>
          <w:sz w:val="20"/>
        </w:rPr>
        <w:t> </w:t>
      </w:r>
      <w:r>
        <w:rPr>
          <w:sz w:val="20"/>
        </w:rPr>
        <w:t>laws</w:t>
      </w:r>
      <w:r>
        <w:rPr>
          <w:spacing w:val="-6"/>
          <w:sz w:val="20"/>
        </w:rPr>
        <w:t> </w:t>
      </w:r>
      <w:r>
        <w:rPr>
          <w:sz w:val="20"/>
        </w:rPr>
        <w:t>and</w:t>
      </w:r>
      <w:r>
        <w:rPr>
          <w:spacing w:val="-7"/>
          <w:sz w:val="20"/>
        </w:rPr>
        <w:t> </w:t>
      </w:r>
      <w:r>
        <w:rPr>
          <w:sz w:val="20"/>
        </w:rPr>
        <w:t>regulations</w:t>
      </w:r>
      <w:r>
        <w:rPr>
          <w:spacing w:val="-6"/>
          <w:sz w:val="20"/>
        </w:rPr>
        <w:t> </w:t>
      </w:r>
      <w:r>
        <w:rPr>
          <w:sz w:val="20"/>
        </w:rPr>
        <w:t>as</w:t>
      </w:r>
      <w:r>
        <w:rPr>
          <w:spacing w:val="-6"/>
          <w:sz w:val="20"/>
        </w:rPr>
        <w:t> </w:t>
      </w:r>
      <w:r>
        <w:rPr>
          <w:sz w:val="20"/>
        </w:rPr>
        <w:t>related</w:t>
      </w:r>
      <w:r>
        <w:rPr>
          <w:spacing w:val="-5"/>
          <w:sz w:val="20"/>
        </w:rPr>
        <w:t> </w:t>
      </w:r>
      <w:r>
        <w:rPr>
          <w:sz w:val="20"/>
        </w:rPr>
        <w:t>to</w:t>
      </w:r>
      <w:r>
        <w:rPr>
          <w:spacing w:val="-6"/>
          <w:sz w:val="20"/>
        </w:rPr>
        <w:t> </w:t>
      </w:r>
      <w:r>
        <w:rPr>
          <w:sz w:val="20"/>
        </w:rPr>
        <w:t>architectural</w:t>
      </w:r>
      <w:r>
        <w:rPr>
          <w:spacing w:val="-8"/>
          <w:sz w:val="20"/>
        </w:rPr>
        <w:t> </w:t>
      </w:r>
      <w:r>
        <w:rPr>
          <w:spacing w:val="-2"/>
          <w:sz w:val="20"/>
        </w:rPr>
        <w:t>practice.</w:t>
      </w:r>
    </w:p>
    <w:p>
      <w:pPr>
        <w:pStyle w:val="ListParagraph"/>
        <w:numPr>
          <w:ilvl w:val="0"/>
          <w:numId w:val="59"/>
        </w:numPr>
        <w:tabs>
          <w:tab w:pos="1519" w:val="left" w:leader="none"/>
          <w:tab w:pos="1520" w:val="left" w:leader="none"/>
        </w:tabs>
        <w:spacing w:line="240" w:lineRule="auto" w:before="13" w:after="0"/>
        <w:ind w:left="1519" w:right="740" w:hanging="360"/>
        <w:jc w:val="left"/>
        <w:rPr>
          <w:sz w:val="20"/>
        </w:rPr>
      </w:pPr>
      <w:r>
        <w:rPr>
          <w:sz w:val="20"/>
        </w:rPr>
        <w:t>To</w:t>
      </w:r>
      <w:r>
        <w:rPr>
          <w:spacing w:val="-7"/>
          <w:sz w:val="20"/>
        </w:rPr>
        <w:t> </w:t>
      </w:r>
      <w:r>
        <w:rPr>
          <w:sz w:val="20"/>
        </w:rPr>
        <w:t>make</w:t>
      </w:r>
      <w:r>
        <w:rPr>
          <w:spacing w:val="-4"/>
          <w:sz w:val="20"/>
        </w:rPr>
        <w:t> </w:t>
      </w:r>
      <w:r>
        <w:rPr>
          <w:sz w:val="20"/>
        </w:rPr>
        <w:t>the</w:t>
      </w:r>
      <w:r>
        <w:rPr>
          <w:spacing w:val="-4"/>
          <w:sz w:val="20"/>
        </w:rPr>
        <w:t> </w:t>
      </w:r>
      <w:r>
        <w:rPr>
          <w:sz w:val="20"/>
        </w:rPr>
        <w:t>student</w:t>
      </w:r>
      <w:r>
        <w:rPr>
          <w:spacing w:val="-4"/>
          <w:sz w:val="20"/>
        </w:rPr>
        <w:t> </w:t>
      </w:r>
      <w:r>
        <w:rPr>
          <w:sz w:val="20"/>
        </w:rPr>
        <w:t>aware</w:t>
      </w:r>
      <w:r>
        <w:rPr>
          <w:spacing w:val="-2"/>
          <w:sz w:val="20"/>
        </w:rPr>
        <w:t> </w:t>
      </w:r>
      <w:r>
        <w:rPr>
          <w:sz w:val="20"/>
        </w:rPr>
        <w:t>of</w:t>
      </w:r>
      <w:r>
        <w:rPr>
          <w:spacing w:val="-2"/>
          <w:sz w:val="20"/>
        </w:rPr>
        <w:t> </w:t>
      </w:r>
      <w:r>
        <w:rPr>
          <w:sz w:val="20"/>
        </w:rPr>
        <w:t>the</w:t>
      </w:r>
      <w:r>
        <w:rPr>
          <w:spacing w:val="-4"/>
          <w:sz w:val="20"/>
        </w:rPr>
        <w:t> </w:t>
      </w:r>
      <w:r>
        <w:rPr>
          <w:sz w:val="20"/>
        </w:rPr>
        <w:t>various</w:t>
      </w:r>
      <w:r>
        <w:rPr>
          <w:spacing w:val="-3"/>
          <w:sz w:val="20"/>
        </w:rPr>
        <w:t> </w:t>
      </w:r>
      <w:r>
        <w:rPr>
          <w:sz w:val="20"/>
        </w:rPr>
        <w:t>groups</w:t>
      </w:r>
      <w:r>
        <w:rPr>
          <w:spacing w:val="-3"/>
          <w:sz w:val="20"/>
        </w:rPr>
        <w:t> </w:t>
      </w:r>
      <w:r>
        <w:rPr>
          <w:sz w:val="20"/>
        </w:rPr>
        <w:t>and</w:t>
      </w:r>
      <w:r>
        <w:rPr>
          <w:spacing w:val="-4"/>
          <w:sz w:val="20"/>
        </w:rPr>
        <w:t> </w:t>
      </w:r>
      <w:r>
        <w:rPr>
          <w:sz w:val="20"/>
        </w:rPr>
        <w:t>resources which</w:t>
      </w:r>
      <w:r>
        <w:rPr>
          <w:spacing w:val="-2"/>
          <w:sz w:val="20"/>
        </w:rPr>
        <w:t> </w:t>
      </w:r>
      <w:r>
        <w:rPr>
          <w:sz w:val="20"/>
        </w:rPr>
        <w:t>contribute</w:t>
      </w:r>
      <w:r>
        <w:rPr>
          <w:spacing w:val="-4"/>
          <w:sz w:val="20"/>
        </w:rPr>
        <w:t> </w:t>
      </w:r>
      <w:r>
        <w:rPr>
          <w:sz w:val="20"/>
        </w:rPr>
        <w:t>to</w:t>
      </w:r>
      <w:r>
        <w:rPr>
          <w:spacing w:val="-4"/>
          <w:sz w:val="20"/>
        </w:rPr>
        <w:t> </w:t>
      </w:r>
      <w:r>
        <w:rPr>
          <w:sz w:val="20"/>
        </w:rPr>
        <w:t>the</w:t>
      </w:r>
      <w:r>
        <w:rPr>
          <w:spacing w:val="-2"/>
          <w:sz w:val="20"/>
        </w:rPr>
        <w:t> </w:t>
      </w:r>
      <w:r>
        <w:rPr>
          <w:sz w:val="20"/>
        </w:rPr>
        <w:t>total body of knowledge necessary to carry out the architectural process.</w:t>
      </w:r>
    </w:p>
    <w:p>
      <w:pPr>
        <w:spacing w:before="116"/>
        <w:ind w:left="439" w:right="0" w:firstLine="0"/>
        <w:jc w:val="left"/>
        <w:rPr>
          <w:b/>
          <w:sz w:val="20"/>
        </w:rPr>
      </w:pPr>
      <w:r>
        <w:rPr>
          <w:b/>
          <w:sz w:val="20"/>
        </w:rPr>
        <w:t>Student</w:t>
      </w:r>
      <w:r>
        <w:rPr>
          <w:b/>
          <w:spacing w:val="-9"/>
          <w:sz w:val="20"/>
        </w:rPr>
        <w:t> </w:t>
      </w:r>
      <w:r>
        <w:rPr>
          <w:b/>
          <w:sz w:val="20"/>
        </w:rPr>
        <w:t>Performance</w:t>
      </w:r>
      <w:r>
        <w:rPr>
          <w:b/>
          <w:spacing w:val="-9"/>
          <w:sz w:val="20"/>
        </w:rPr>
        <w:t> </w:t>
      </w:r>
      <w:r>
        <w:rPr>
          <w:b/>
          <w:sz w:val="20"/>
        </w:rPr>
        <w:t>Criteria</w:t>
      </w:r>
      <w:r>
        <w:rPr>
          <w:b/>
          <w:spacing w:val="-5"/>
          <w:sz w:val="20"/>
        </w:rPr>
        <w:t> </w:t>
      </w:r>
      <w:r>
        <w:rPr>
          <w:b/>
          <w:sz w:val="20"/>
        </w:rPr>
        <w:t>Addressed</w:t>
      </w:r>
      <w:r>
        <w:rPr>
          <w:b/>
          <w:spacing w:val="-8"/>
          <w:sz w:val="20"/>
        </w:rPr>
        <w:t> </w:t>
      </w:r>
      <w:r>
        <w:rPr>
          <w:b/>
          <w:sz w:val="20"/>
        </w:rPr>
        <w:t>(name</w:t>
      </w:r>
      <w:r>
        <w:rPr>
          <w:b/>
          <w:spacing w:val="-9"/>
          <w:sz w:val="20"/>
        </w:rPr>
        <w:t> </w:t>
      </w:r>
      <w:r>
        <w:rPr>
          <w:b/>
          <w:sz w:val="20"/>
        </w:rPr>
        <w:t>and</w:t>
      </w:r>
      <w:r>
        <w:rPr>
          <w:b/>
          <w:spacing w:val="-8"/>
          <w:sz w:val="20"/>
        </w:rPr>
        <w:t> </w:t>
      </w:r>
      <w:r>
        <w:rPr>
          <w:b/>
          <w:spacing w:val="-2"/>
          <w:sz w:val="20"/>
        </w:rPr>
        <w:t>number)</w:t>
      </w:r>
    </w:p>
    <w:p>
      <w:pPr>
        <w:pStyle w:val="ListParagraph"/>
        <w:numPr>
          <w:ilvl w:val="0"/>
          <w:numId w:val="59"/>
        </w:numPr>
        <w:tabs>
          <w:tab w:pos="1574" w:val="left" w:leader="none"/>
          <w:tab w:pos="1575" w:val="left" w:leader="none"/>
        </w:tabs>
        <w:spacing w:line="240" w:lineRule="auto" w:before="137" w:after="0"/>
        <w:ind w:left="1574" w:right="0" w:hanging="416"/>
        <w:jc w:val="left"/>
        <w:rPr>
          <w:sz w:val="20"/>
        </w:rPr>
      </w:pPr>
      <w:r>
        <w:rPr>
          <w:sz w:val="20"/>
        </w:rPr>
        <w:t>A4</w:t>
      </w:r>
      <w:r>
        <w:rPr>
          <w:spacing w:val="-3"/>
          <w:sz w:val="20"/>
        </w:rPr>
        <w:t> </w:t>
      </w:r>
      <w:r>
        <w:rPr>
          <w:sz w:val="20"/>
        </w:rPr>
        <w:t>Technical</w:t>
      </w:r>
      <w:r>
        <w:rPr>
          <w:spacing w:val="-8"/>
          <w:sz w:val="20"/>
        </w:rPr>
        <w:t> </w:t>
      </w:r>
      <w:r>
        <w:rPr>
          <w:spacing w:val="-2"/>
          <w:sz w:val="20"/>
        </w:rPr>
        <w:t>Documentation</w:t>
      </w:r>
    </w:p>
    <w:p>
      <w:pPr>
        <w:pStyle w:val="ListParagraph"/>
        <w:numPr>
          <w:ilvl w:val="0"/>
          <w:numId w:val="59"/>
        </w:numPr>
        <w:tabs>
          <w:tab w:pos="1518" w:val="left" w:leader="none"/>
          <w:tab w:pos="1520" w:val="left" w:leader="none"/>
        </w:tabs>
        <w:spacing w:line="240" w:lineRule="auto" w:before="15" w:after="0"/>
        <w:ind w:left="1519" w:right="0" w:hanging="361"/>
        <w:jc w:val="left"/>
        <w:rPr>
          <w:sz w:val="20"/>
        </w:rPr>
      </w:pPr>
      <w:r>
        <w:rPr>
          <w:sz w:val="20"/>
        </w:rPr>
        <w:t>B2</w:t>
      </w:r>
      <w:r>
        <w:rPr>
          <w:spacing w:val="57"/>
          <w:sz w:val="20"/>
        </w:rPr>
        <w:t> </w:t>
      </w:r>
      <w:r>
        <w:rPr>
          <w:spacing w:val="-2"/>
          <w:sz w:val="20"/>
        </w:rPr>
        <w:t>Accessibility</w:t>
      </w:r>
    </w:p>
    <w:p>
      <w:pPr>
        <w:pStyle w:val="ListParagraph"/>
        <w:numPr>
          <w:ilvl w:val="0"/>
          <w:numId w:val="59"/>
        </w:numPr>
        <w:tabs>
          <w:tab w:pos="1518" w:val="left" w:leader="none"/>
          <w:tab w:pos="1520" w:val="left" w:leader="none"/>
        </w:tabs>
        <w:spacing w:line="240" w:lineRule="auto" w:before="12" w:after="0"/>
        <w:ind w:left="1519" w:right="0" w:hanging="361"/>
        <w:jc w:val="left"/>
        <w:rPr>
          <w:sz w:val="20"/>
        </w:rPr>
      </w:pPr>
      <w:r>
        <w:rPr>
          <w:sz w:val="20"/>
        </w:rPr>
        <w:t>B5</w:t>
      </w:r>
      <w:r>
        <w:rPr>
          <w:spacing w:val="55"/>
          <w:sz w:val="20"/>
        </w:rPr>
        <w:t> </w:t>
      </w:r>
      <w:r>
        <w:rPr>
          <w:sz w:val="20"/>
        </w:rPr>
        <w:t>Life</w:t>
      </w:r>
      <w:r>
        <w:rPr>
          <w:spacing w:val="-3"/>
          <w:sz w:val="20"/>
        </w:rPr>
        <w:t> </w:t>
      </w:r>
      <w:r>
        <w:rPr>
          <w:spacing w:val="-2"/>
          <w:sz w:val="20"/>
        </w:rPr>
        <w:t>Safety</w:t>
      </w:r>
    </w:p>
    <w:p>
      <w:pPr>
        <w:pStyle w:val="ListParagraph"/>
        <w:numPr>
          <w:ilvl w:val="0"/>
          <w:numId w:val="59"/>
        </w:numPr>
        <w:tabs>
          <w:tab w:pos="1518" w:val="left" w:leader="none"/>
          <w:tab w:pos="1520" w:val="left" w:leader="none"/>
        </w:tabs>
        <w:spacing w:line="240" w:lineRule="auto" w:before="15" w:after="0"/>
        <w:ind w:left="1519" w:right="0" w:hanging="361"/>
        <w:jc w:val="left"/>
        <w:rPr>
          <w:sz w:val="20"/>
        </w:rPr>
      </w:pPr>
      <w:r>
        <w:rPr>
          <w:sz w:val="20"/>
        </w:rPr>
        <w:t>B7</w:t>
      </w:r>
      <w:r>
        <w:rPr>
          <w:spacing w:val="51"/>
          <w:sz w:val="20"/>
        </w:rPr>
        <w:t> </w:t>
      </w:r>
      <w:r>
        <w:rPr>
          <w:sz w:val="20"/>
        </w:rPr>
        <w:t>Financial</w:t>
      </w:r>
      <w:r>
        <w:rPr>
          <w:spacing w:val="-6"/>
          <w:sz w:val="20"/>
        </w:rPr>
        <w:t> </w:t>
      </w:r>
      <w:r>
        <w:rPr>
          <w:spacing w:val="-2"/>
          <w:sz w:val="20"/>
        </w:rPr>
        <w:t>Considerations</w:t>
      </w:r>
    </w:p>
    <w:p>
      <w:pPr>
        <w:pStyle w:val="ListParagraph"/>
        <w:numPr>
          <w:ilvl w:val="0"/>
          <w:numId w:val="59"/>
        </w:numPr>
        <w:tabs>
          <w:tab w:pos="1518" w:val="left" w:leader="none"/>
          <w:tab w:pos="1519" w:val="left" w:leader="none"/>
        </w:tabs>
        <w:spacing w:line="240" w:lineRule="auto" w:before="12" w:after="0"/>
        <w:ind w:left="1518" w:right="0" w:hanging="361"/>
        <w:jc w:val="left"/>
        <w:rPr>
          <w:sz w:val="20"/>
        </w:rPr>
      </w:pPr>
      <w:r>
        <w:rPr>
          <w:sz w:val="20"/>
        </w:rPr>
        <w:t>C3</w:t>
      </w:r>
      <w:r>
        <w:rPr>
          <w:spacing w:val="43"/>
          <w:sz w:val="20"/>
        </w:rPr>
        <w:t> </w:t>
      </w:r>
      <w:r>
        <w:rPr>
          <w:sz w:val="20"/>
        </w:rPr>
        <w:t>Client</w:t>
      </w:r>
      <w:r>
        <w:rPr>
          <w:spacing w:val="-3"/>
          <w:sz w:val="20"/>
        </w:rPr>
        <w:t> </w:t>
      </w:r>
      <w:r>
        <w:rPr>
          <w:sz w:val="20"/>
        </w:rPr>
        <w:t>Role</w:t>
      </w:r>
      <w:r>
        <w:rPr>
          <w:spacing w:val="-4"/>
          <w:sz w:val="20"/>
        </w:rPr>
        <w:t> </w:t>
      </w:r>
      <w:r>
        <w:rPr>
          <w:sz w:val="20"/>
        </w:rPr>
        <w:t>in</w:t>
      </w:r>
      <w:r>
        <w:rPr>
          <w:spacing w:val="-4"/>
          <w:sz w:val="20"/>
        </w:rPr>
        <w:t> </w:t>
      </w:r>
      <w:r>
        <w:rPr>
          <w:spacing w:val="-2"/>
          <w:sz w:val="20"/>
        </w:rPr>
        <w:t>Architecture</w:t>
      </w:r>
    </w:p>
    <w:p>
      <w:pPr>
        <w:pStyle w:val="ListParagraph"/>
        <w:numPr>
          <w:ilvl w:val="0"/>
          <w:numId w:val="59"/>
        </w:numPr>
        <w:tabs>
          <w:tab w:pos="1518" w:val="left" w:leader="none"/>
          <w:tab w:pos="1519" w:val="left" w:leader="none"/>
        </w:tabs>
        <w:spacing w:line="240" w:lineRule="auto" w:before="13" w:after="0"/>
        <w:ind w:left="1518" w:right="0" w:hanging="361"/>
        <w:jc w:val="left"/>
        <w:rPr>
          <w:sz w:val="20"/>
        </w:rPr>
      </w:pPr>
      <w:r>
        <w:rPr>
          <w:sz w:val="20"/>
        </w:rPr>
        <w:t>C4</w:t>
      </w:r>
      <w:r>
        <w:rPr>
          <w:spacing w:val="42"/>
          <w:sz w:val="20"/>
        </w:rPr>
        <w:t> </w:t>
      </w:r>
      <w:r>
        <w:rPr>
          <w:sz w:val="20"/>
        </w:rPr>
        <w:t>Project</w:t>
      </w:r>
      <w:r>
        <w:rPr>
          <w:spacing w:val="-4"/>
          <w:sz w:val="20"/>
        </w:rPr>
        <w:t> </w:t>
      </w:r>
      <w:r>
        <w:rPr>
          <w:spacing w:val="-2"/>
          <w:sz w:val="20"/>
        </w:rPr>
        <w:t>Management</w:t>
      </w:r>
    </w:p>
    <w:p>
      <w:pPr>
        <w:pStyle w:val="ListParagraph"/>
        <w:numPr>
          <w:ilvl w:val="0"/>
          <w:numId w:val="59"/>
        </w:numPr>
        <w:tabs>
          <w:tab w:pos="1518" w:val="left" w:leader="none"/>
          <w:tab w:pos="1519" w:val="left" w:leader="none"/>
        </w:tabs>
        <w:spacing w:line="240" w:lineRule="auto" w:before="15" w:after="0"/>
        <w:ind w:left="1518" w:right="0" w:hanging="361"/>
        <w:jc w:val="left"/>
        <w:rPr>
          <w:sz w:val="20"/>
        </w:rPr>
      </w:pPr>
      <w:r>
        <w:rPr>
          <w:sz w:val="20"/>
        </w:rPr>
        <w:t>C7</w:t>
      </w:r>
      <w:r>
        <w:rPr>
          <w:spacing w:val="43"/>
          <w:sz w:val="20"/>
        </w:rPr>
        <w:t> </w:t>
      </w:r>
      <w:r>
        <w:rPr>
          <w:sz w:val="20"/>
        </w:rPr>
        <w:t>Legal</w:t>
      </w:r>
      <w:r>
        <w:rPr>
          <w:spacing w:val="-5"/>
          <w:sz w:val="20"/>
        </w:rPr>
        <w:t> </w:t>
      </w:r>
      <w:r>
        <w:rPr>
          <w:spacing w:val="-2"/>
          <w:sz w:val="20"/>
        </w:rPr>
        <w:t>Responsibilities</w:t>
      </w:r>
    </w:p>
    <w:p>
      <w:pPr>
        <w:pStyle w:val="ListParagraph"/>
        <w:numPr>
          <w:ilvl w:val="0"/>
          <w:numId w:val="59"/>
        </w:numPr>
        <w:tabs>
          <w:tab w:pos="1518" w:val="left" w:leader="none"/>
          <w:tab w:pos="1519" w:val="left" w:leader="none"/>
        </w:tabs>
        <w:spacing w:line="240" w:lineRule="auto" w:before="12" w:after="0"/>
        <w:ind w:left="1518" w:right="0" w:hanging="361"/>
        <w:jc w:val="left"/>
        <w:rPr>
          <w:sz w:val="20"/>
        </w:rPr>
      </w:pPr>
      <w:r>
        <w:rPr>
          <w:sz w:val="20"/>
        </w:rPr>
        <w:t>C8</w:t>
      </w:r>
      <w:r>
        <w:rPr>
          <w:spacing w:val="38"/>
          <w:sz w:val="20"/>
        </w:rPr>
        <w:t> </w:t>
      </w:r>
      <w:r>
        <w:rPr>
          <w:sz w:val="20"/>
        </w:rPr>
        <w:t>Ethics</w:t>
      </w:r>
      <w:r>
        <w:rPr>
          <w:spacing w:val="-5"/>
          <w:sz w:val="20"/>
        </w:rPr>
        <w:t> </w:t>
      </w:r>
      <w:r>
        <w:rPr>
          <w:sz w:val="20"/>
        </w:rPr>
        <w:t>and</w:t>
      </w:r>
      <w:r>
        <w:rPr>
          <w:spacing w:val="-5"/>
          <w:sz w:val="20"/>
        </w:rPr>
        <w:t> </w:t>
      </w:r>
      <w:r>
        <w:rPr>
          <w:sz w:val="20"/>
        </w:rPr>
        <w:t>Professional</w:t>
      </w:r>
      <w:r>
        <w:rPr>
          <w:spacing w:val="-7"/>
          <w:sz w:val="20"/>
        </w:rPr>
        <w:t> </w:t>
      </w:r>
      <w:r>
        <w:rPr>
          <w:spacing w:val="-2"/>
          <w:sz w:val="20"/>
        </w:rPr>
        <w:t>Judgment</w:t>
      </w:r>
    </w:p>
    <w:p>
      <w:pPr>
        <w:spacing w:before="118"/>
        <w:ind w:left="438" w:right="0" w:firstLine="0"/>
        <w:jc w:val="left"/>
        <w:rPr>
          <w:b/>
          <w:sz w:val="20"/>
        </w:rPr>
      </w:pPr>
      <w:r>
        <w:rPr>
          <w:b/>
          <w:sz w:val="20"/>
        </w:rPr>
        <w:t>Topical</w:t>
      </w:r>
      <w:r>
        <w:rPr>
          <w:b/>
          <w:spacing w:val="-7"/>
          <w:sz w:val="20"/>
        </w:rPr>
        <w:t> </w:t>
      </w:r>
      <w:r>
        <w:rPr>
          <w:b/>
          <w:sz w:val="20"/>
        </w:rPr>
        <w:t>Outline</w:t>
      </w:r>
      <w:r>
        <w:rPr>
          <w:b/>
          <w:spacing w:val="-7"/>
          <w:sz w:val="20"/>
        </w:rPr>
        <w:t> </w:t>
      </w:r>
      <w:r>
        <w:rPr>
          <w:b/>
          <w:sz w:val="20"/>
        </w:rPr>
        <w:t>and</w:t>
      </w:r>
      <w:r>
        <w:rPr>
          <w:b/>
          <w:spacing w:val="-6"/>
          <w:sz w:val="20"/>
        </w:rPr>
        <w:t> </w:t>
      </w:r>
      <w:r>
        <w:rPr>
          <w:b/>
          <w:sz w:val="20"/>
        </w:rPr>
        <w:t>percentage</w:t>
      </w:r>
      <w:r>
        <w:rPr>
          <w:b/>
          <w:spacing w:val="-6"/>
          <w:sz w:val="20"/>
        </w:rPr>
        <w:t> </w:t>
      </w:r>
      <w:r>
        <w:rPr>
          <w:b/>
          <w:sz w:val="20"/>
        </w:rPr>
        <w:t>of</w:t>
      </w:r>
      <w:r>
        <w:rPr>
          <w:b/>
          <w:spacing w:val="-6"/>
          <w:sz w:val="20"/>
        </w:rPr>
        <w:t> </w:t>
      </w:r>
      <w:r>
        <w:rPr>
          <w:b/>
          <w:sz w:val="20"/>
        </w:rPr>
        <w:t>time</w:t>
      </w:r>
      <w:r>
        <w:rPr>
          <w:b/>
          <w:spacing w:val="-7"/>
          <w:sz w:val="20"/>
        </w:rPr>
        <w:t> </w:t>
      </w:r>
      <w:r>
        <w:rPr>
          <w:b/>
          <w:sz w:val="20"/>
        </w:rPr>
        <w:t>spent</w:t>
      </w:r>
      <w:r>
        <w:rPr>
          <w:b/>
          <w:spacing w:val="-6"/>
          <w:sz w:val="20"/>
        </w:rPr>
        <w:t> </w:t>
      </w:r>
      <w:r>
        <w:rPr>
          <w:b/>
          <w:sz w:val="20"/>
        </w:rPr>
        <w:t>on</w:t>
      </w:r>
      <w:r>
        <w:rPr>
          <w:b/>
          <w:spacing w:val="-5"/>
          <w:sz w:val="20"/>
        </w:rPr>
        <w:t> </w:t>
      </w:r>
      <w:r>
        <w:rPr>
          <w:b/>
          <w:spacing w:val="-4"/>
          <w:sz w:val="20"/>
        </w:rPr>
        <w:t>each</w:t>
      </w:r>
    </w:p>
    <w:p>
      <w:pPr>
        <w:pStyle w:val="ListParagraph"/>
        <w:numPr>
          <w:ilvl w:val="0"/>
          <w:numId w:val="59"/>
        </w:numPr>
        <w:tabs>
          <w:tab w:pos="1518" w:val="left" w:leader="none"/>
          <w:tab w:pos="1519" w:val="left" w:leader="none"/>
          <w:tab w:pos="5118" w:val="left" w:leader="none"/>
        </w:tabs>
        <w:spacing w:line="240" w:lineRule="auto" w:before="137" w:after="0"/>
        <w:ind w:left="1518" w:right="0" w:hanging="361"/>
        <w:jc w:val="left"/>
        <w:rPr>
          <w:sz w:val="20"/>
        </w:rPr>
      </w:pPr>
      <w:r>
        <w:rPr>
          <w:sz w:val="20"/>
        </w:rPr>
        <w:t>Construction</w:t>
      </w:r>
      <w:r>
        <w:rPr>
          <w:spacing w:val="-9"/>
          <w:sz w:val="20"/>
        </w:rPr>
        <w:t> </w:t>
      </w:r>
      <w:r>
        <w:rPr>
          <w:sz w:val="20"/>
        </w:rPr>
        <w:t>Documents</w:t>
      </w:r>
      <w:r>
        <w:rPr>
          <w:spacing w:val="-8"/>
          <w:sz w:val="20"/>
        </w:rPr>
        <w:t> </w:t>
      </w:r>
      <w:r>
        <w:rPr>
          <w:sz w:val="20"/>
        </w:rPr>
        <w:t>–</w:t>
      </w:r>
      <w:r>
        <w:rPr>
          <w:spacing w:val="-9"/>
          <w:sz w:val="20"/>
        </w:rPr>
        <w:t> </w:t>
      </w:r>
      <w:r>
        <w:rPr>
          <w:spacing w:val="-2"/>
          <w:sz w:val="20"/>
        </w:rPr>
        <w:t>Drawings</w:t>
      </w:r>
      <w:r>
        <w:rPr>
          <w:sz w:val="20"/>
        </w:rPr>
        <w:tab/>
      </w:r>
      <w:r>
        <w:rPr>
          <w:spacing w:val="-5"/>
          <w:sz w:val="20"/>
        </w:rPr>
        <w:t>20%</w:t>
      </w:r>
    </w:p>
    <w:p>
      <w:pPr>
        <w:pStyle w:val="ListParagraph"/>
        <w:numPr>
          <w:ilvl w:val="0"/>
          <w:numId w:val="59"/>
        </w:numPr>
        <w:tabs>
          <w:tab w:pos="1517" w:val="left" w:leader="none"/>
          <w:tab w:pos="1519" w:val="left" w:leader="none"/>
          <w:tab w:pos="5477" w:val="left" w:leader="none"/>
        </w:tabs>
        <w:spacing w:line="240" w:lineRule="auto" w:before="13" w:after="0"/>
        <w:ind w:left="1518" w:right="0" w:hanging="361"/>
        <w:jc w:val="left"/>
        <w:rPr>
          <w:sz w:val="20"/>
        </w:rPr>
      </w:pPr>
      <w:r>
        <w:rPr>
          <w:sz w:val="20"/>
        </w:rPr>
        <w:t>Construction</w:t>
      </w:r>
      <w:r>
        <w:rPr>
          <w:spacing w:val="-9"/>
          <w:sz w:val="20"/>
        </w:rPr>
        <w:t> </w:t>
      </w:r>
      <w:r>
        <w:rPr>
          <w:sz w:val="20"/>
        </w:rPr>
        <w:t>Documents</w:t>
      </w:r>
      <w:r>
        <w:rPr>
          <w:spacing w:val="-8"/>
          <w:sz w:val="20"/>
        </w:rPr>
        <w:t> </w:t>
      </w:r>
      <w:r>
        <w:rPr>
          <w:sz w:val="20"/>
        </w:rPr>
        <w:t>–</w:t>
      </w:r>
      <w:r>
        <w:rPr>
          <w:spacing w:val="-9"/>
          <w:sz w:val="20"/>
        </w:rPr>
        <w:t> </w:t>
      </w:r>
      <w:r>
        <w:rPr>
          <w:sz w:val="20"/>
        </w:rPr>
        <w:t>Project</w:t>
      </w:r>
      <w:r>
        <w:rPr>
          <w:spacing w:val="-8"/>
          <w:sz w:val="20"/>
        </w:rPr>
        <w:t> </w:t>
      </w:r>
      <w:r>
        <w:rPr>
          <w:spacing w:val="-2"/>
          <w:sz w:val="20"/>
        </w:rPr>
        <w:t>Manual</w:t>
      </w:r>
      <w:r>
        <w:rPr>
          <w:sz w:val="20"/>
        </w:rPr>
        <w:tab/>
      </w:r>
      <w:r>
        <w:rPr>
          <w:spacing w:val="-5"/>
          <w:sz w:val="20"/>
        </w:rPr>
        <w:t>20%</w:t>
      </w:r>
    </w:p>
    <w:p>
      <w:pPr>
        <w:pStyle w:val="ListParagraph"/>
        <w:numPr>
          <w:ilvl w:val="0"/>
          <w:numId w:val="59"/>
        </w:numPr>
        <w:tabs>
          <w:tab w:pos="1517" w:val="left" w:leader="none"/>
          <w:tab w:pos="1518" w:val="left" w:leader="none"/>
        </w:tabs>
        <w:spacing w:line="240" w:lineRule="auto" w:before="12" w:after="0"/>
        <w:ind w:left="1517" w:right="0" w:hanging="361"/>
        <w:jc w:val="left"/>
        <w:rPr>
          <w:sz w:val="20"/>
        </w:rPr>
      </w:pPr>
      <w:r>
        <w:rPr>
          <w:sz w:val="20"/>
        </w:rPr>
        <w:t>Class</w:t>
      </w:r>
      <w:r>
        <w:rPr>
          <w:spacing w:val="-10"/>
          <w:sz w:val="20"/>
        </w:rPr>
        <w:t> </w:t>
      </w:r>
      <w:r>
        <w:rPr>
          <w:sz w:val="20"/>
        </w:rPr>
        <w:t>discussions,</w:t>
      </w:r>
      <w:r>
        <w:rPr>
          <w:spacing w:val="-10"/>
          <w:sz w:val="20"/>
        </w:rPr>
        <w:t> </w:t>
      </w:r>
      <w:r>
        <w:rPr>
          <w:sz w:val="20"/>
        </w:rPr>
        <w:t>participation,</w:t>
      </w:r>
      <w:r>
        <w:rPr>
          <w:spacing w:val="-10"/>
          <w:sz w:val="20"/>
        </w:rPr>
        <w:t> </w:t>
      </w:r>
      <w:r>
        <w:rPr>
          <w:sz w:val="20"/>
        </w:rPr>
        <w:t>and</w:t>
      </w:r>
      <w:r>
        <w:rPr>
          <w:spacing w:val="-9"/>
          <w:sz w:val="20"/>
        </w:rPr>
        <w:t> </w:t>
      </w:r>
      <w:r>
        <w:rPr>
          <w:sz w:val="20"/>
        </w:rPr>
        <w:t>attendance</w:t>
      </w:r>
      <w:r>
        <w:rPr>
          <w:spacing w:val="-12"/>
          <w:sz w:val="20"/>
        </w:rPr>
        <w:t> </w:t>
      </w:r>
      <w:r>
        <w:rPr>
          <w:spacing w:val="-5"/>
          <w:sz w:val="20"/>
        </w:rPr>
        <w:t>15%</w:t>
      </w:r>
    </w:p>
    <w:p>
      <w:pPr>
        <w:pStyle w:val="ListParagraph"/>
        <w:numPr>
          <w:ilvl w:val="0"/>
          <w:numId w:val="59"/>
        </w:numPr>
        <w:tabs>
          <w:tab w:pos="1517" w:val="left" w:leader="none"/>
          <w:tab w:pos="1518" w:val="left" w:leader="none"/>
          <w:tab w:pos="2597" w:val="left" w:leader="none"/>
        </w:tabs>
        <w:spacing w:line="240" w:lineRule="auto" w:before="15" w:after="0"/>
        <w:ind w:left="1517" w:right="0" w:hanging="361"/>
        <w:jc w:val="left"/>
        <w:rPr>
          <w:sz w:val="20"/>
        </w:rPr>
      </w:pPr>
      <w:r>
        <w:rPr>
          <w:w w:val="95"/>
          <w:sz w:val="20"/>
        </w:rPr>
        <w:t>Mid-</w:t>
      </w:r>
      <w:r>
        <w:rPr>
          <w:spacing w:val="-4"/>
          <w:sz w:val="20"/>
        </w:rPr>
        <w:t>term</w:t>
      </w:r>
      <w:r>
        <w:rPr>
          <w:sz w:val="20"/>
        </w:rPr>
        <w:tab/>
      </w:r>
      <w:r>
        <w:rPr>
          <w:spacing w:val="-5"/>
          <w:sz w:val="20"/>
        </w:rPr>
        <w:t>15%</w:t>
      </w:r>
    </w:p>
    <w:p>
      <w:pPr>
        <w:pStyle w:val="ListParagraph"/>
        <w:numPr>
          <w:ilvl w:val="0"/>
          <w:numId w:val="59"/>
        </w:numPr>
        <w:tabs>
          <w:tab w:pos="1517" w:val="left" w:leader="none"/>
          <w:tab w:pos="1518" w:val="left" w:leader="none"/>
        </w:tabs>
        <w:spacing w:line="240" w:lineRule="auto" w:before="12" w:after="0"/>
        <w:ind w:left="1517" w:right="0" w:hanging="361"/>
        <w:jc w:val="left"/>
        <w:rPr>
          <w:sz w:val="20"/>
        </w:rPr>
      </w:pPr>
      <w:r>
        <w:rPr>
          <w:sz w:val="20"/>
        </w:rPr>
        <w:t>final</w:t>
      </w:r>
      <w:r>
        <w:rPr>
          <w:spacing w:val="-5"/>
          <w:sz w:val="20"/>
        </w:rPr>
        <w:t> </w:t>
      </w:r>
      <w:r>
        <w:rPr>
          <w:sz w:val="20"/>
        </w:rPr>
        <w:t>exam</w:t>
      </w:r>
      <w:r>
        <w:rPr>
          <w:spacing w:val="79"/>
          <w:w w:val="150"/>
          <w:sz w:val="20"/>
        </w:rPr>
        <w:t> </w:t>
      </w:r>
      <w:r>
        <w:rPr>
          <w:spacing w:val="-5"/>
          <w:sz w:val="20"/>
        </w:rPr>
        <w:t>15%</w:t>
      </w:r>
    </w:p>
    <w:p>
      <w:pPr>
        <w:pStyle w:val="ListParagraph"/>
        <w:numPr>
          <w:ilvl w:val="0"/>
          <w:numId w:val="59"/>
        </w:numPr>
        <w:tabs>
          <w:tab w:pos="1517" w:val="left" w:leader="none"/>
          <w:tab w:pos="1518" w:val="left" w:leader="none"/>
        </w:tabs>
        <w:spacing w:line="240" w:lineRule="auto" w:before="15" w:after="0"/>
        <w:ind w:left="1517" w:right="0" w:hanging="361"/>
        <w:jc w:val="left"/>
        <w:rPr>
          <w:sz w:val="20"/>
        </w:rPr>
      </w:pPr>
      <w:r>
        <w:rPr>
          <w:sz w:val="20"/>
        </w:rPr>
        <w:t>Quizzes</w:t>
      </w:r>
      <w:r>
        <w:rPr>
          <w:spacing w:val="-6"/>
          <w:sz w:val="20"/>
        </w:rPr>
        <w:t> </w:t>
      </w:r>
      <w:r>
        <w:rPr>
          <w:sz w:val="20"/>
        </w:rPr>
        <w:t>and</w:t>
      </w:r>
      <w:r>
        <w:rPr>
          <w:spacing w:val="-7"/>
          <w:sz w:val="20"/>
        </w:rPr>
        <w:t> </w:t>
      </w:r>
      <w:r>
        <w:rPr>
          <w:sz w:val="20"/>
        </w:rPr>
        <w:t>other</w:t>
      </w:r>
      <w:r>
        <w:rPr>
          <w:spacing w:val="-8"/>
          <w:sz w:val="20"/>
        </w:rPr>
        <w:t> </w:t>
      </w:r>
      <w:r>
        <w:rPr>
          <w:sz w:val="20"/>
        </w:rPr>
        <w:t>in-class</w:t>
      </w:r>
      <w:r>
        <w:rPr>
          <w:spacing w:val="-8"/>
          <w:sz w:val="20"/>
        </w:rPr>
        <w:t> </w:t>
      </w:r>
      <w:r>
        <w:rPr>
          <w:sz w:val="20"/>
        </w:rPr>
        <w:t>assignments </w:t>
      </w:r>
      <w:r>
        <w:rPr>
          <w:spacing w:val="-5"/>
          <w:sz w:val="20"/>
        </w:rPr>
        <w:t>15%</w:t>
      </w:r>
    </w:p>
    <w:p>
      <w:pPr>
        <w:spacing w:before="116"/>
        <w:ind w:left="437" w:right="0" w:firstLine="0"/>
        <w:jc w:val="left"/>
        <w:rPr>
          <w:b/>
          <w:sz w:val="20"/>
        </w:rPr>
      </w:pPr>
      <w:r>
        <w:rPr>
          <w:b/>
          <w:w w:val="95"/>
          <w:sz w:val="20"/>
        </w:rPr>
        <w:t>Pre-</w:t>
      </w:r>
      <w:r>
        <w:rPr>
          <w:b/>
          <w:spacing w:val="-2"/>
          <w:sz w:val="20"/>
        </w:rPr>
        <w:t>requisites</w:t>
      </w:r>
    </w:p>
    <w:p>
      <w:pPr>
        <w:pStyle w:val="BodyText"/>
        <w:spacing w:before="123"/>
        <w:ind w:left="1157"/>
      </w:pPr>
      <w:r>
        <w:rPr/>
        <w:t>ARC</w:t>
      </w:r>
      <w:r>
        <w:rPr>
          <w:spacing w:val="-7"/>
        </w:rPr>
        <w:t> </w:t>
      </w:r>
      <w:r>
        <w:rPr>
          <w:spacing w:val="-5"/>
        </w:rPr>
        <w:t>517</w:t>
      </w:r>
    </w:p>
    <w:p>
      <w:pPr>
        <w:spacing w:before="118"/>
        <w:ind w:left="437" w:right="0" w:firstLine="0"/>
        <w:jc w:val="left"/>
        <w:rPr>
          <w:b/>
          <w:sz w:val="20"/>
        </w:rPr>
      </w:pPr>
      <w:r>
        <w:rPr>
          <w:b/>
          <w:sz w:val="20"/>
        </w:rPr>
        <w:t>Textbooks</w:t>
      </w:r>
      <w:r>
        <w:rPr>
          <w:b/>
          <w:spacing w:val="-11"/>
          <w:sz w:val="20"/>
        </w:rPr>
        <w:t> </w:t>
      </w:r>
      <w:r>
        <w:rPr>
          <w:b/>
          <w:sz w:val="20"/>
        </w:rPr>
        <w:t>/</w:t>
      </w:r>
      <w:r>
        <w:rPr>
          <w:b/>
          <w:spacing w:val="-9"/>
          <w:sz w:val="20"/>
        </w:rPr>
        <w:t> </w:t>
      </w:r>
      <w:r>
        <w:rPr>
          <w:b/>
          <w:sz w:val="20"/>
        </w:rPr>
        <w:t>Learning</w:t>
      </w:r>
      <w:r>
        <w:rPr>
          <w:b/>
          <w:spacing w:val="-7"/>
          <w:sz w:val="20"/>
        </w:rPr>
        <w:t> </w:t>
      </w:r>
      <w:r>
        <w:rPr>
          <w:b/>
          <w:spacing w:val="-2"/>
          <w:sz w:val="20"/>
        </w:rPr>
        <w:t>Resources</w:t>
      </w:r>
    </w:p>
    <w:p>
      <w:pPr>
        <w:pStyle w:val="ListParagraph"/>
        <w:numPr>
          <w:ilvl w:val="0"/>
          <w:numId w:val="59"/>
        </w:numPr>
        <w:tabs>
          <w:tab w:pos="1572" w:val="left" w:leader="none"/>
          <w:tab w:pos="1573" w:val="left" w:leader="none"/>
        </w:tabs>
        <w:spacing w:line="240" w:lineRule="auto" w:before="137" w:after="0"/>
        <w:ind w:left="1517" w:right="908" w:hanging="360"/>
        <w:jc w:val="left"/>
        <w:rPr>
          <w:sz w:val="20"/>
        </w:rPr>
      </w:pPr>
      <w:r>
        <w:rPr/>
        <w:tab/>
      </w:r>
      <w:r>
        <w:rPr>
          <w:sz w:val="20"/>
        </w:rPr>
        <w:t>The</w:t>
      </w:r>
      <w:r>
        <w:rPr>
          <w:spacing w:val="-5"/>
          <w:sz w:val="20"/>
        </w:rPr>
        <w:t> </w:t>
      </w:r>
      <w:r>
        <w:rPr>
          <w:sz w:val="20"/>
        </w:rPr>
        <w:t>Architecture</w:t>
      </w:r>
      <w:r>
        <w:rPr>
          <w:spacing w:val="-5"/>
          <w:sz w:val="20"/>
        </w:rPr>
        <w:t> </w:t>
      </w:r>
      <w:r>
        <w:rPr>
          <w:sz w:val="20"/>
        </w:rPr>
        <w:t>Student’s</w:t>
      </w:r>
      <w:r>
        <w:rPr>
          <w:spacing w:val="-4"/>
          <w:sz w:val="20"/>
        </w:rPr>
        <w:t> </w:t>
      </w:r>
      <w:r>
        <w:rPr>
          <w:sz w:val="20"/>
        </w:rPr>
        <w:t>Handbook</w:t>
      </w:r>
      <w:r>
        <w:rPr>
          <w:spacing w:val="-2"/>
          <w:sz w:val="20"/>
        </w:rPr>
        <w:t> </w:t>
      </w:r>
      <w:r>
        <w:rPr>
          <w:sz w:val="20"/>
        </w:rPr>
        <w:t>of</w:t>
      </w:r>
      <w:r>
        <w:rPr>
          <w:spacing w:val="-4"/>
          <w:sz w:val="20"/>
        </w:rPr>
        <w:t> </w:t>
      </w:r>
      <w:r>
        <w:rPr>
          <w:sz w:val="20"/>
        </w:rPr>
        <w:t>Professional</w:t>
      </w:r>
      <w:r>
        <w:rPr>
          <w:spacing w:val="-4"/>
          <w:sz w:val="20"/>
        </w:rPr>
        <w:t> </w:t>
      </w:r>
      <w:r>
        <w:rPr>
          <w:sz w:val="20"/>
        </w:rPr>
        <w:t>Practice,</w:t>
      </w:r>
      <w:r>
        <w:rPr>
          <w:spacing w:val="-4"/>
          <w:sz w:val="20"/>
        </w:rPr>
        <w:t> </w:t>
      </w:r>
      <w:r>
        <w:rPr>
          <w:sz w:val="20"/>
        </w:rPr>
        <w:t>14th</w:t>
      </w:r>
      <w:r>
        <w:rPr>
          <w:spacing w:val="-5"/>
          <w:sz w:val="20"/>
        </w:rPr>
        <w:t> </w:t>
      </w:r>
      <w:r>
        <w:rPr>
          <w:sz w:val="20"/>
        </w:rPr>
        <w:t>Edition,</w:t>
      </w:r>
      <w:r>
        <w:rPr>
          <w:spacing w:val="-5"/>
          <w:sz w:val="20"/>
        </w:rPr>
        <w:t> </w:t>
      </w:r>
      <w:r>
        <w:rPr>
          <w:sz w:val="20"/>
        </w:rPr>
        <w:t>the</w:t>
      </w:r>
      <w:r>
        <w:rPr>
          <w:spacing w:val="-4"/>
          <w:sz w:val="20"/>
        </w:rPr>
        <w:t> </w:t>
      </w:r>
      <w:r>
        <w:rPr>
          <w:sz w:val="20"/>
        </w:rPr>
        <w:t>American Institute of Architects, ISBN 978-0-470-08869-2</w:t>
      </w:r>
    </w:p>
    <w:p>
      <w:pPr>
        <w:pStyle w:val="ListParagraph"/>
        <w:numPr>
          <w:ilvl w:val="0"/>
          <w:numId w:val="59"/>
        </w:numPr>
        <w:tabs>
          <w:tab w:pos="1516" w:val="left" w:leader="none"/>
          <w:tab w:pos="1517" w:val="left" w:leader="none"/>
        </w:tabs>
        <w:spacing w:line="240" w:lineRule="auto" w:before="13" w:after="0"/>
        <w:ind w:left="1516" w:right="1665" w:hanging="360"/>
        <w:jc w:val="left"/>
        <w:rPr>
          <w:sz w:val="20"/>
        </w:rPr>
      </w:pPr>
      <w:r>
        <w:rPr>
          <w:sz w:val="20"/>
        </w:rPr>
        <w:t>Harold</w:t>
      </w:r>
      <w:r>
        <w:rPr>
          <w:spacing w:val="-5"/>
          <w:sz w:val="20"/>
        </w:rPr>
        <w:t> </w:t>
      </w:r>
      <w:r>
        <w:rPr>
          <w:sz w:val="20"/>
        </w:rPr>
        <w:t>Rosen</w:t>
      </w:r>
      <w:r>
        <w:rPr>
          <w:spacing w:val="-5"/>
          <w:sz w:val="20"/>
        </w:rPr>
        <w:t> </w:t>
      </w:r>
      <w:r>
        <w:rPr>
          <w:sz w:val="20"/>
        </w:rPr>
        <w:t>and</w:t>
      </w:r>
      <w:r>
        <w:rPr>
          <w:spacing w:val="-5"/>
          <w:sz w:val="20"/>
        </w:rPr>
        <w:t> </w:t>
      </w:r>
      <w:r>
        <w:rPr>
          <w:sz w:val="20"/>
        </w:rPr>
        <w:t>John</w:t>
      </w:r>
      <w:r>
        <w:rPr>
          <w:spacing w:val="-5"/>
          <w:sz w:val="20"/>
        </w:rPr>
        <w:t> </w:t>
      </w:r>
      <w:r>
        <w:rPr>
          <w:sz w:val="20"/>
        </w:rPr>
        <w:t>Regener,</w:t>
      </w:r>
      <w:r>
        <w:rPr>
          <w:spacing w:val="-4"/>
          <w:sz w:val="20"/>
        </w:rPr>
        <w:t> </w:t>
      </w:r>
      <w:r>
        <w:rPr>
          <w:sz w:val="20"/>
        </w:rPr>
        <w:t>Construction</w:t>
      </w:r>
      <w:r>
        <w:rPr>
          <w:spacing w:val="-4"/>
          <w:sz w:val="20"/>
        </w:rPr>
        <w:t> </w:t>
      </w:r>
      <w:r>
        <w:rPr>
          <w:sz w:val="20"/>
        </w:rPr>
        <w:t>Specifications</w:t>
      </w:r>
      <w:r>
        <w:rPr>
          <w:spacing w:val="-6"/>
          <w:sz w:val="20"/>
        </w:rPr>
        <w:t> </w:t>
      </w:r>
      <w:r>
        <w:rPr>
          <w:sz w:val="20"/>
        </w:rPr>
        <w:t>Writing</w:t>
      </w:r>
      <w:r>
        <w:rPr>
          <w:spacing w:val="-5"/>
          <w:sz w:val="20"/>
        </w:rPr>
        <w:t> </w:t>
      </w:r>
      <w:r>
        <w:rPr>
          <w:sz w:val="20"/>
        </w:rPr>
        <w:t>Principals</w:t>
      </w:r>
      <w:r>
        <w:rPr>
          <w:spacing w:val="-2"/>
          <w:sz w:val="20"/>
        </w:rPr>
        <w:t> </w:t>
      </w:r>
      <w:r>
        <w:rPr>
          <w:sz w:val="20"/>
        </w:rPr>
        <w:t>&amp; Procedures, 5th Edition or later, John Wiley &amp; Sons, Inc., NY, 2004 (ISBN-13: </w:t>
      </w:r>
      <w:r>
        <w:rPr>
          <w:spacing w:val="-2"/>
          <w:sz w:val="20"/>
        </w:rPr>
        <w:t>9780471432043).</w:t>
      </w:r>
    </w:p>
    <w:p>
      <w:pPr>
        <w:pStyle w:val="ListParagraph"/>
        <w:numPr>
          <w:ilvl w:val="0"/>
          <w:numId w:val="59"/>
        </w:numPr>
        <w:tabs>
          <w:tab w:pos="1516" w:val="left" w:leader="none"/>
          <w:tab w:pos="1517" w:val="left" w:leader="none"/>
        </w:tabs>
        <w:spacing w:line="240" w:lineRule="auto" w:before="13" w:after="0"/>
        <w:ind w:left="1516" w:right="1011" w:hanging="360"/>
        <w:jc w:val="left"/>
        <w:rPr>
          <w:sz w:val="20"/>
        </w:rPr>
      </w:pPr>
      <w:r>
        <w:rPr>
          <w:sz w:val="20"/>
        </w:rPr>
        <w:t>Francis</w:t>
      </w:r>
      <w:r>
        <w:rPr>
          <w:spacing w:val="-4"/>
          <w:sz w:val="20"/>
        </w:rPr>
        <w:t> </w:t>
      </w:r>
      <w:r>
        <w:rPr>
          <w:sz w:val="20"/>
        </w:rPr>
        <w:t>D.</w:t>
      </w:r>
      <w:r>
        <w:rPr>
          <w:spacing w:val="-5"/>
          <w:sz w:val="20"/>
        </w:rPr>
        <w:t> </w:t>
      </w:r>
      <w:r>
        <w:rPr>
          <w:sz w:val="20"/>
        </w:rPr>
        <w:t>K.</w:t>
      </w:r>
      <w:r>
        <w:rPr>
          <w:spacing w:val="-5"/>
          <w:sz w:val="20"/>
        </w:rPr>
        <w:t> </w:t>
      </w:r>
      <w:r>
        <w:rPr>
          <w:sz w:val="20"/>
        </w:rPr>
        <w:t>Ching,</w:t>
      </w:r>
      <w:r>
        <w:rPr>
          <w:spacing w:val="-5"/>
          <w:sz w:val="20"/>
        </w:rPr>
        <w:t> </w:t>
      </w:r>
      <w:r>
        <w:rPr>
          <w:sz w:val="20"/>
        </w:rPr>
        <w:t>Building</w:t>
      </w:r>
      <w:r>
        <w:rPr>
          <w:spacing w:val="-5"/>
          <w:sz w:val="20"/>
        </w:rPr>
        <w:t> </w:t>
      </w:r>
      <w:r>
        <w:rPr>
          <w:sz w:val="20"/>
        </w:rPr>
        <w:t>Construction</w:t>
      </w:r>
      <w:r>
        <w:rPr>
          <w:spacing w:val="-3"/>
          <w:sz w:val="20"/>
        </w:rPr>
        <w:t> </w:t>
      </w:r>
      <w:r>
        <w:rPr>
          <w:sz w:val="20"/>
        </w:rPr>
        <w:t>Illustrated,</w:t>
      </w:r>
      <w:r>
        <w:rPr>
          <w:spacing w:val="-5"/>
          <w:sz w:val="20"/>
        </w:rPr>
        <w:t> </w:t>
      </w:r>
      <w:r>
        <w:rPr>
          <w:sz w:val="20"/>
        </w:rPr>
        <w:t>4th</w:t>
      </w:r>
      <w:r>
        <w:rPr>
          <w:spacing w:val="-5"/>
          <w:sz w:val="20"/>
        </w:rPr>
        <w:t> </w:t>
      </w:r>
      <w:r>
        <w:rPr>
          <w:sz w:val="20"/>
        </w:rPr>
        <w:t>Edition,</w:t>
      </w:r>
      <w:r>
        <w:rPr>
          <w:spacing w:val="-5"/>
          <w:sz w:val="20"/>
        </w:rPr>
        <w:t> </w:t>
      </w:r>
      <w:r>
        <w:rPr>
          <w:sz w:val="20"/>
        </w:rPr>
        <w:t>Van</w:t>
      </w:r>
      <w:r>
        <w:rPr>
          <w:spacing w:val="-5"/>
          <w:sz w:val="20"/>
        </w:rPr>
        <w:t> </w:t>
      </w:r>
      <w:r>
        <w:rPr>
          <w:sz w:val="20"/>
        </w:rPr>
        <w:t>Nostrand</w:t>
      </w:r>
      <w:r>
        <w:rPr>
          <w:spacing w:val="-3"/>
          <w:sz w:val="20"/>
        </w:rPr>
        <w:t> </w:t>
      </w:r>
      <w:r>
        <w:rPr>
          <w:sz w:val="20"/>
        </w:rPr>
        <w:t>Reinhold Company, NY, 2008. (ISBN-13: 9780470087817)</w:t>
      </w:r>
    </w:p>
    <w:p>
      <w:pPr>
        <w:pStyle w:val="ListParagraph"/>
        <w:numPr>
          <w:ilvl w:val="0"/>
          <w:numId w:val="59"/>
        </w:numPr>
        <w:tabs>
          <w:tab w:pos="1516" w:val="left" w:leader="none"/>
          <w:tab w:pos="1517" w:val="left" w:leader="none"/>
        </w:tabs>
        <w:spacing w:line="240" w:lineRule="auto" w:before="13" w:after="0"/>
        <w:ind w:left="1516" w:right="722" w:hanging="360"/>
        <w:jc w:val="left"/>
        <w:rPr>
          <w:sz w:val="20"/>
        </w:rPr>
      </w:pPr>
      <w:r>
        <w:rPr>
          <w:sz w:val="20"/>
        </w:rPr>
        <w:t>Barry</w:t>
      </w:r>
      <w:r>
        <w:rPr>
          <w:spacing w:val="-7"/>
          <w:sz w:val="20"/>
        </w:rPr>
        <w:t> </w:t>
      </w:r>
      <w:r>
        <w:rPr>
          <w:sz w:val="20"/>
        </w:rPr>
        <w:t>D.</w:t>
      </w:r>
      <w:r>
        <w:rPr>
          <w:spacing w:val="-2"/>
          <w:sz w:val="20"/>
        </w:rPr>
        <w:t> </w:t>
      </w:r>
      <w:r>
        <w:rPr>
          <w:sz w:val="20"/>
        </w:rPr>
        <w:t>Yatt,</w:t>
      </w:r>
      <w:r>
        <w:rPr>
          <w:spacing w:val="-2"/>
          <w:sz w:val="20"/>
        </w:rPr>
        <w:t> </w:t>
      </w:r>
      <w:r>
        <w:rPr>
          <w:sz w:val="20"/>
        </w:rPr>
        <w:t>Cracking</w:t>
      </w:r>
      <w:r>
        <w:rPr>
          <w:spacing w:val="-4"/>
          <w:sz w:val="20"/>
        </w:rPr>
        <w:t> </w:t>
      </w:r>
      <w:r>
        <w:rPr>
          <w:sz w:val="20"/>
        </w:rPr>
        <w:t>the</w:t>
      </w:r>
      <w:r>
        <w:rPr>
          <w:spacing w:val="-2"/>
          <w:sz w:val="20"/>
        </w:rPr>
        <w:t> </w:t>
      </w:r>
      <w:r>
        <w:rPr>
          <w:sz w:val="20"/>
        </w:rPr>
        <w:t>Code- An</w:t>
      </w:r>
      <w:r>
        <w:rPr>
          <w:spacing w:val="-2"/>
          <w:sz w:val="20"/>
        </w:rPr>
        <w:t> </w:t>
      </w:r>
      <w:r>
        <w:rPr>
          <w:sz w:val="20"/>
        </w:rPr>
        <w:t>Architects</w:t>
      </w:r>
      <w:r>
        <w:rPr>
          <w:spacing w:val="-3"/>
          <w:sz w:val="20"/>
        </w:rPr>
        <w:t> </w:t>
      </w:r>
      <w:r>
        <w:rPr>
          <w:sz w:val="20"/>
        </w:rPr>
        <w:t>Guide</w:t>
      </w:r>
      <w:r>
        <w:rPr>
          <w:spacing w:val="-2"/>
          <w:sz w:val="20"/>
        </w:rPr>
        <w:t> </w:t>
      </w:r>
      <w:r>
        <w:rPr>
          <w:sz w:val="20"/>
        </w:rPr>
        <w:t>to</w:t>
      </w:r>
      <w:r>
        <w:rPr>
          <w:spacing w:val="-4"/>
          <w:sz w:val="20"/>
        </w:rPr>
        <w:t> </w:t>
      </w:r>
      <w:r>
        <w:rPr>
          <w:sz w:val="20"/>
        </w:rPr>
        <w:t>Building</w:t>
      </w:r>
      <w:r>
        <w:rPr>
          <w:spacing w:val="-2"/>
          <w:sz w:val="20"/>
        </w:rPr>
        <w:t> </w:t>
      </w:r>
      <w:r>
        <w:rPr>
          <w:sz w:val="20"/>
        </w:rPr>
        <w:t>Regulations,</w:t>
      </w:r>
      <w:r>
        <w:rPr>
          <w:spacing w:val="-4"/>
          <w:sz w:val="20"/>
        </w:rPr>
        <w:t> </w:t>
      </w:r>
      <w:r>
        <w:rPr>
          <w:sz w:val="20"/>
        </w:rPr>
        <w:t>John</w:t>
      </w:r>
      <w:r>
        <w:rPr>
          <w:spacing w:val="-7"/>
          <w:sz w:val="20"/>
        </w:rPr>
        <w:t> </w:t>
      </w:r>
      <w:r>
        <w:rPr>
          <w:sz w:val="20"/>
        </w:rPr>
        <w:t>Wiley</w:t>
      </w:r>
      <w:r>
        <w:rPr>
          <w:spacing w:val="-7"/>
          <w:sz w:val="20"/>
        </w:rPr>
        <w:t> </w:t>
      </w:r>
      <w:r>
        <w:rPr>
          <w:sz w:val="20"/>
        </w:rPr>
        <w:t>&amp; Sons, Inc., NY, 1998. (ISBN 0471169676)</w:t>
      </w:r>
    </w:p>
    <w:p>
      <w:pPr>
        <w:spacing w:before="119"/>
        <w:ind w:left="436" w:right="0" w:firstLine="0"/>
        <w:jc w:val="left"/>
        <w:rPr>
          <w:b/>
          <w:sz w:val="20"/>
        </w:rPr>
      </w:pPr>
      <w:r>
        <w:rPr>
          <w:b/>
          <w:sz w:val="20"/>
        </w:rPr>
        <w:t>Offered</w:t>
      </w:r>
      <w:r>
        <w:rPr>
          <w:b/>
          <w:spacing w:val="-10"/>
          <w:sz w:val="20"/>
        </w:rPr>
        <w:t> </w:t>
      </w:r>
      <w:r>
        <w:rPr>
          <w:b/>
          <w:spacing w:val="-2"/>
          <w:sz w:val="20"/>
        </w:rPr>
        <w:t>(terms):</w:t>
      </w:r>
    </w:p>
    <w:p>
      <w:pPr>
        <w:pStyle w:val="BodyText"/>
        <w:spacing w:before="120"/>
        <w:ind w:left="1156"/>
      </w:pPr>
      <w:r>
        <w:rPr/>
        <w:t>Spring</w:t>
      </w:r>
      <w:r>
        <w:rPr>
          <w:spacing w:val="-8"/>
        </w:rPr>
        <w:t> </w:t>
      </w:r>
      <w:r>
        <w:rPr/>
        <w:t>Semester</w:t>
      </w:r>
      <w:r>
        <w:rPr>
          <w:spacing w:val="-8"/>
        </w:rPr>
        <w:t> </w:t>
      </w:r>
      <w:r>
        <w:rPr>
          <w:spacing w:val="-4"/>
        </w:rPr>
        <w:t>only</w:t>
      </w:r>
    </w:p>
    <w:p>
      <w:pPr>
        <w:spacing w:before="118"/>
        <w:ind w:left="436" w:right="0" w:firstLine="0"/>
        <w:jc w:val="left"/>
        <w:rPr>
          <w:b/>
          <w:sz w:val="20"/>
        </w:rPr>
      </w:pPr>
      <w:r>
        <w:rPr>
          <w:b/>
          <w:sz w:val="20"/>
        </w:rPr>
        <w:t>Faculty</w:t>
      </w:r>
      <w:r>
        <w:rPr>
          <w:b/>
          <w:spacing w:val="-8"/>
          <w:sz w:val="20"/>
        </w:rPr>
        <w:t> </w:t>
      </w:r>
      <w:r>
        <w:rPr>
          <w:b/>
          <w:spacing w:val="-2"/>
          <w:sz w:val="20"/>
        </w:rPr>
        <w:t>Assigned</w:t>
      </w:r>
    </w:p>
    <w:p>
      <w:pPr>
        <w:pStyle w:val="BodyText"/>
        <w:tabs>
          <w:tab w:pos="4036" w:val="left" w:leader="none"/>
        </w:tabs>
        <w:spacing w:before="123"/>
        <w:ind w:left="1156"/>
      </w:pPr>
      <w:r>
        <w:rPr/>
        <w:t>2014</w:t>
      </w:r>
      <w:r>
        <w:rPr>
          <w:spacing w:val="-5"/>
        </w:rPr>
        <w:t> </w:t>
      </w:r>
      <w:r>
        <w:rPr/>
        <w:t>–</w:t>
      </w:r>
      <w:r>
        <w:rPr>
          <w:spacing w:val="-5"/>
        </w:rPr>
        <w:t> </w:t>
      </w:r>
      <w:r>
        <w:rPr/>
        <w:t>Easter</w:t>
      </w:r>
      <w:r>
        <w:rPr>
          <w:spacing w:val="-6"/>
        </w:rPr>
        <w:t> </w:t>
      </w:r>
      <w:r>
        <w:rPr>
          <w:spacing w:val="-2"/>
        </w:rPr>
        <w:t>(F/T),</w:t>
      </w:r>
      <w:r>
        <w:rPr/>
        <w:tab/>
        <w:t>2013</w:t>
      </w:r>
      <w:r>
        <w:rPr>
          <w:spacing w:val="-6"/>
        </w:rPr>
        <w:t> </w:t>
      </w:r>
      <w:r>
        <w:rPr/>
        <w:t>–</w:t>
      </w:r>
      <w:r>
        <w:rPr>
          <w:spacing w:val="-7"/>
        </w:rPr>
        <w:t> </w:t>
      </w:r>
      <w:r>
        <w:rPr/>
        <w:t>Henderson,</w:t>
      </w:r>
      <w:r>
        <w:rPr>
          <w:spacing w:val="-7"/>
        </w:rPr>
        <w:t> </w:t>
      </w:r>
      <w:r>
        <w:rPr/>
        <w:t>Darryl</w:t>
      </w:r>
      <w:r>
        <w:rPr>
          <w:spacing w:val="-8"/>
        </w:rPr>
        <w:t> </w:t>
      </w:r>
      <w:r>
        <w:rPr>
          <w:spacing w:val="-2"/>
        </w:rPr>
        <w:t>(Adjunct)</w:t>
      </w:r>
    </w:p>
    <w:p>
      <w:pPr>
        <w:spacing w:after="0"/>
        <w:sectPr>
          <w:headerReference w:type="default" r:id="rId235"/>
          <w:footerReference w:type="default" r:id="rId236"/>
          <w:pgSz w:w="12240" w:h="15840"/>
          <w:pgMar w:header="993" w:footer="974" w:top="1240" w:bottom="1160" w:left="1000" w:right="820"/>
        </w:sectPr>
      </w:pPr>
    </w:p>
    <w:p>
      <w:pPr>
        <w:spacing w:before="115"/>
        <w:ind w:left="440" w:right="0" w:firstLine="0"/>
        <w:jc w:val="left"/>
        <w:rPr>
          <w:b/>
          <w:sz w:val="20"/>
        </w:rPr>
      </w:pPr>
      <w:r>
        <w:rPr>
          <w:b/>
          <w:sz w:val="20"/>
        </w:rPr>
        <w:t>Course</w:t>
      </w:r>
      <w:r>
        <w:rPr>
          <w:b/>
          <w:spacing w:val="-9"/>
          <w:sz w:val="20"/>
        </w:rPr>
        <w:t> </w:t>
      </w:r>
      <w:r>
        <w:rPr>
          <w:b/>
          <w:sz w:val="20"/>
        </w:rPr>
        <w:t>Description</w:t>
      </w:r>
      <w:r>
        <w:rPr>
          <w:b/>
          <w:spacing w:val="-8"/>
          <w:sz w:val="20"/>
        </w:rPr>
        <w:t> </w:t>
      </w:r>
      <w:r>
        <w:rPr>
          <w:b/>
          <w:sz w:val="20"/>
        </w:rPr>
        <w:t>(limit</w:t>
      </w:r>
      <w:r>
        <w:rPr>
          <w:b/>
          <w:spacing w:val="-7"/>
          <w:sz w:val="20"/>
        </w:rPr>
        <w:t> </w:t>
      </w:r>
      <w:r>
        <w:rPr>
          <w:b/>
          <w:sz w:val="20"/>
        </w:rPr>
        <w:t>25</w:t>
      </w:r>
      <w:r>
        <w:rPr>
          <w:b/>
          <w:spacing w:val="-8"/>
          <w:sz w:val="20"/>
        </w:rPr>
        <w:t> </w:t>
      </w:r>
      <w:r>
        <w:rPr>
          <w:b/>
          <w:spacing w:val="-2"/>
          <w:sz w:val="20"/>
        </w:rPr>
        <w:t>words):</w:t>
      </w:r>
    </w:p>
    <w:p>
      <w:pPr>
        <w:pStyle w:val="BodyText"/>
        <w:spacing w:before="122"/>
        <w:ind w:left="1159" w:right="642"/>
      </w:pPr>
      <w:r>
        <w:rPr/>
        <w:t>Self-directed inquiry articulated by the student around a specific claim, question, and position having</w:t>
      </w:r>
      <w:r>
        <w:rPr>
          <w:spacing w:val="-4"/>
        </w:rPr>
        <w:t> </w:t>
      </w:r>
      <w:r>
        <w:rPr/>
        <w:t>clear</w:t>
      </w:r>
      <w:r>
        <w:rPr>
          <w:spacing w:val="-3"/>
        </w:rPr>
        <w:t> </w:t>
      </w:r>
      <w:r>
        <w:rPr/>
        <w:t>architectural</w:t>
      </w:r>
      <w:r>
        <w:rPr>
          <w:spacing w:val="-3"/>
        </w:rPr>
        <w:t> </w:t>
      </w:r>
      <w:r>
        <w:rPr/>
        <w:t>implications.</w:t>
      </w:r>
      <w:r>
        <w:rPr>
          <w:spacing w:val="-4"/>
        </w:rPr>
        <w:t> </w:t>
      </w:r>
      <w:r>
        <w:rPr/>
        <w:t>The</w:t>
      </w:r>
      <w:r>
        <w:rPr>
          <w:spacing w:val="-4"/>
        </w:rPr>
        <w:t> </w:t>
      </w:r>
      <w:r>
        <w:rPr/>
        <w:t>thesis</w:t>
      </w:r>
      <w:r>
        <w:rPr>
          <w:spacing w:val="-3"/>
        </w:rPr>
        <w:t> </w:t>
      </w:r>
      <w:r>
        <w:rPr/>
        <w:t>research</w:t>
      </w:r>
      <w:r>
        <w:rPr>
          <w:spacing w:val="-4"/>
        </w:rPr>
        <w:t> </w:t>
      </w:r>
      <w:r>
        <w:rPr/>
        <w:t>and</w:t>
      </w:r>
      <w:r>
        <w:rPr>
          <w:spacing w:val="-4"/>
        </w:rPr>
        <w:t> </w:t>
      </w:r>
      <w:r>
        <w:rPr/>
        <w:t>proposal</w:t>
      </w:r>
      <w:r>
        <w:rPr>
          <w:spacing w:val="-5"/>
        </w:rPr>
        <w:t> </w:t>
      </w:r>
      <w:r>
        <w:rPr/>
        <w:t>resulting</w:t>
      </w:r>
      <w:r>
        <w:rPr>
          <w:spacing w:val="-4"/>
        </w:rPr>
        <w:t> </w:t>
      </w:r>
      <w:r>
        <w:rPr/>
        <w:t>from this</w:t>
      </w:r>
      <w:r>
        <w:rPr>
          <w:spacing w:val="-3"/>
        </w:rPr>
        <w:t> </w:t>
      </w:r>
      <w:r>
        <w:rPr/>
        <w:t>effort is further elaborated in ARC 602.</w:t>
      </w:r>
    </w:p>
    <w:p>
      <w:pPr>
        <w:spacing w:before="119"/>
        <w:ind w:left="440" w:right="0" w:firstLine="0"/>
        <w:jc w:val="left"/>
        <w:rPr>
          <w:b/>
          <w:sz w:val="20"/>
        </w:rPr>
      </w:pPr>
      <w:r>
        <w:rPr>
          <w:b/>
          <w:sz w:val="20"/>
        </w:rPr>
        <w:t>Course</w:t>
      </w:r>
      <w:r>
        <w:rPr>
          <w:b/>
          <w:spacing w:val="-9"/>
          <w:sz w:val="20"/>
        </w:rPr>
        <w:t> </w:t>
      </w:r>
      <w:r>
        <w:rPr>
          <w:b/>
          <w:sz w:val="20"/>
        </w:rPr>
        <w:t>Goals</w:t>
      </w:r>
      <w:r>
        <w:rPr>
          <w:b/>
          <w:spacing w:val="-7"/>
          <w:sz w:val="20"/>
        </w:rPr>
        <w:t> </w:t>
      </w:r>
      <w:r>
        <w:rPr>
          <w:b/>
          <w:sz w:val="20"/>
        </w:rPr>
        <w:t>&amp;</w:t>
      </w:r>
      <w:r>
        <w:rPr>
          <w:b/>
          <w:spacing w:val="-7"/>
          <w:sz w:val="20"/>
        </w:rPr>
        <w:t> </w:t>
      </w:r>
      <w:r>
        <w:rPr>
          <w:b/>
          <w:sz w:val="20"/>
        </w:rPr>
        <w:t>Objectives</w:t>
      </w:r>
      <w:r>
        <w:rPr>
          <w:b/>
          <w:spacing w:val="-6"/>
          <w:sz w:val="20"/>
        </w:rPr>
        <w:t> </w:t>
      </w:r>
      <w:r>
        <w:rPr>
          <w:b/>
          <w:spacing w:val="-2"/>
          <w:sz w:val="20"/>
        </w:rPr>
        <w:t>(list):</w:t>
      </w:r>
    </w:p>
    <w:p>
      <w:pPr>
        <w:pStyle w:val="BodyText"/>
        <w:spacing w:before="121"/>
        <w:ind w:left="1160" w:right="642"/>
      </w:pPr>
      <w:r>
        <w:rPr/>
        <w:t>Develop ability to apply critical thinking skills to examine and resolve environmental challenges through</w:t>
      </w:r>
      <w:r>
        <w:rPr>
          <w:spacing w:val="-3"/>
        </w:rPr>
        <w:t> </w:t>
      </w:r>
      <w:r>
        <w:rPr/>
        <w:t>design</w:t>
      </w:r>
      <w:r>
        <w:rPr>
          <w:spacing w:val="-1"/>
        </w:rPr>
        <w:t> </w:t>
      </w:r>
      <w:r>
        <w:rPr/>
        <w:t>in</w:t>
      </w:r>
      <w:r>
        <w:rPr>
          <w:spacing w:val="-1"/>
        </w:rPr>
        <w:t> </w:t>
      </w:r>
      <w:r>
        <w:rPr/>
        <w:t>an</w:t>
      </w:r>
      <w:r>
        <w:rPr>
          <w:spacing w:val="-1"/>
        </w:rPr>
        <w:t> </w:t>
      </w:r>
      <w:r>
        <w:rPr/>
        <w:t>architectural</w:t>
      </w:r>
      <w:r>
        <w:rPr>
          <w:spacing w:val="-3"/>
        </w:rPr>
        <w:t> </w:t>
      </w:r>
      <w:r>
        <w:rPr/>
        <w:t>setting.</w:t>
      </w:r>
      <w:r>
        <w:rPr>
          <w:spacing w:val="40"/>
        </w:rPr>
        <w:t> </w:t>
      </w:r>
      <w:r>
        <w:rPr/>
        <w:t>Demonstrate</w:t>
      </w:r>
      <w:r>
        <w:rPr>
          <w:spacing w:val="-3"/>
        </w:rPr>
        <w:t> </w:t>
      </w:r>
      <w:r>
        <w:rPr/>
        <w:t>oral,</w:t>
      </w:r>
      <w:r>
        <w:rPr>
          <w:spacing w:val="-1"/>
        </w:rPr>
        <w:t> </w:t>
      </w:r>
      <w:r>
        <w:rPr/>
        <w:t>written,</w:t>
      </w:r>
      <w:r>
        <w:rPr>
          <w:spacing w:val="-1"/>
        </w:rPr>
        <w:t> </w:t>
      </w:r>
      <w:r>
        <w:rPr/>
        <w:t>graphic</w:t>
      </w:r>
      <w:r>
        <w:rPr>
          <w:spacing w:val="-2"/>
        </w:rPr>
        <w:t> </w:t>
      </w:r>
      <w:r>
        <w:rPr/>
        <w:t>and</w:t>
      </w:r>
      <w:r>
        <w:rPr>
          <w:spacing w:val="-1"/>
        </w:rPr>
        <w:t> </w:t>
      </w:r>
      <w:r>
        <w:rPr/>
        <w:t>modeling</w:t>
      </w:r>
      <w:r>
        <w:rPr>
          <w:spacing w:val="-3"/>
        </w:rPr>
        <w:t> </w:t>
      </w:r>
      <w:r>
        <w:rPr/>
        <w:t>skills expected</w:t>
      </w:r>
      <w:r>
        <w:rPr>
          <w:spacing w:val="-3"/>
        </w:rPr>
        <w:t> </w:t>
      </w:r>
      <w:r>
        <w:rPr/>
        <w:t>in</w:t>
      </w:r>
      <w:r>
        <w:rPr>
          <w:spacing w:val="-3"/>
        </w:rPr>
        <w:t> </w:t>
      </w:r>
      <w:r>
        <w:rPr/>
        <w:t>an</w:t>
      </w:r>
      <w:r>
        <w:rPr>
          <w:spacing w:val="-3"/>
        </w:rPr>
        <w:t> </w:t>
      </w:r>
      <w:r>
        <w:rPr/>
        <w:t>architectural</w:t>
      </w:r>
      <w:r>
        <w:rPr>
          <w:spacing w:val="-4"/>
        </w:rPr>
        <w:t> </w:t>
      </w:r>
      <w:r>
        <w:rPr/>
        <w:t>professional</w:t>
      </w:r>
      <w:r>
        <w:rPr>
          <w:spacing w:val="-6"/>
        </w:rPr>
        <w:t> </w:t>
      </w:r>
      <w:r>
        <w:rPr/>
        <w:t>setting.</w:t>
      </w:r>
      <w:r>
        <w:rPr>
          <w:spacing w:val="-3"/>
        </w:rPr>
        <w:t> </w:t>
      </w:r>
      <w:r>
        <w:rPr/>
        <w:t>Demonstrate</w:t>
      </w:r>
      <w:r>
        <w:rPr>
          <w:spacing w:val="-5"/>
        </w:rPr>
        <w:t> </w:t>
      </w:r>
      <w:r>
        <w:rPr/>
        <w:t>ability</w:t>
      </w:r>
      <w:r>
        <w:rPr>
          <w:spacing w:val="-8"/>
        </w:rPr>
        <w:t> </w:t>
      </w:r>
      <w:r>
        <w:rPr/>
        <w:t>to</w:t>
      </w:r>
      <w:r>
        <w:rPr>
          <w:spacing w:val="-5"/>
        </w:rPr>
        <w:t> </w:t>
      </w:r>
      <w:r>
        <w:rPr/>
        <w:t>generate</w:t>
      </w:r>
      <w:r>
        <w:rPr>
          <w:spacing w:val="-5"/>
        </w:rPr>
        <w:t> </w:t>
      </w:r>
      <w:r>
        <w:rPr/>
        <w:t>an</w:t>
      </w:r>
      <w:r>
        <w:rPr>
          <w:spacing w:val="-5"/>
        </w:rPr>
        <w:t> </w:t>
      </w:r>
      <w:r>
        <w:rPr/>
        <w:t>architectural </w:t>
      </w:r>
      <w:r>
        <w:rPr>
          <w:i/>
        </w:rPr>
        <w:t>proposal argument </w:t>
      </w:r>
      <w:r>
        <w:rPr/>
        <w:t>using design as research methodology: research through design.</w:t>
      </w:r>
    </w:p>
    <w:p>
      <w:pPr>
        <w:pStyle w:val="BodyText"/>
        <w:spacing w:before="2"/>
        <w:ind w:left="1160"/>
      </w:pPr>
      <w:r>
        <w:rPr/>
        <w:t>Ability</w:t>
      </w:r>
      <w:r>
        <w:rPr>
          <w:spacing w:val="-8"/>
        </w:rPr>
        <w:t> </w:t>
      </w:r>
      <w:r>
        <w:rPr/>
        <w:t>to</w:t>
      </w:r>
      <w:r>
        <w:rPr>
          <w:spacing w:val="-6"/>
        </w:rPr>
        <w:t> </w:t>
      </w:r>
      <w:r>
        <w:rPr/>
        <w:t>use</w:t>
      </w:r>
      <w:r>
        <w:rPr>
          <w:spacing w:val="-4"/>
        </w:rPr>
        <w:t> </w:t>
      </w:r>
      <w:r>
        <w:rPr/>
        <w:t>a</w:t>
      </w:r>
      <w:r>
        <w:rPr>
          <w:spacing w:val="-5"/>
        </w:rPr>
        <w:t> </w:t>
      </w:r>
      <w:r>
        <w:rPr/>
        <w:t>variety</w:t>
      </w:r>
      <w:r>
        <w:rPr>
          <w:spacing w:val="-9"/>
        </w:rPr>
        <w:t> </w:t>
      </w:r>
      <w:r>
        <w:rPr/>
        <w:t>of</w:t>
      </w:r>
      <w:r>
        <w:rPr>
          <w:spacing w:val="-4"/>
        </w:rPr>
        <w:t> </w:t>
      </w:r>
      <w:r>
        <w:rPr/>
        <w:t>sources</w:t>
      </w:r>
      <w:r>
        <w:rPr>
          <w:spacing w:val="-6"/>
        </w:rPr>
        <w:t> </w:t>
      </w:r>
      <w:r>
        <w:rPr/>
        <w:t>to</w:t>
      </w:r>
      <w:r>
        <w:rPr>
          <w:spacing w:val="-6"/>
        </w:rPr>
        <w:t> </w:t>
      </w:r>
      <w:r>
        <w:rPr/>
        <w:t>research</w:t>
      </w:r>
      <w:r>
        <w:rPr>
          <w:spacing w:val="-6"/>
        </w:rPr>
        <w:t> </w:t>
      </w:r>
      <w:r>
        <w:rPr/>
        <w:t>and</w:t>
      </w:r>
      <w:r>
        <w:rPr>
          <w:spacing w:val="-5"/>
        </w:rPr>
        <w:t> </w:t>
      </w:r>
      <w:r>
        <w:rPr/>
        <w:t>define</w:t>
      </w:r>
      <w:r>
        <w:rPr>
          <w:spacing w:val="-6"/>
        </w:rPr>
        <w:t> </w:t>
      </w:r>
      <w:r>
        <w:rPr/>
        <w:t>an</w:t>
      </w:r>
      <w:r>
        <w:rPr>
          <w:spacing w:val="-4"/>
        </w:rPr>
        <w:t> </w:t>
      </w:r>
      <w:r>
        <w:rPr/>
        <w:t>architectural</w:t>
      </w:r>
      <w:r>
        <w:rPr>
          <w:spacing w:val="-6"/>
        </w:rPr>
        <w:t> </w:t>
      </w:r>
      <w:r>
        <w:rPr/>
        <w:t>problem</w:t>
      </w:r>
      <w:r>
        <w:rPr>
          <w:spacing w:val="-1"/>
        </w:rPr>
        <w:t> </w:t>
      </w:r>
      <w:r>
        <w:rPr/>
        <w:t>and</w:t>
      </w:r>
      <w:r>
        <w:rPr>
          <w:spacing w:val="-5"/>
        </w:rPr>
        <w:t> </w:t>
      </w:r>
      <w:r>
        <w:rPr/>
        <w:t>its</w:t>
      </w:r>
      <w:r>
        <w:rPr>
          <w:spacing w:val="-5"/>
        </w:rPr>
        <w:t> </w:t>
      </w:r>
      <w:r>
        <w:rPr>
          <w:spacing w:val="-2"/>
        </w:rPr>
        <w:t>context;</w:t>
      </w:r>
    </w:p>
    <w:p>
      <w:pPr>
        <w:pStyle w:val="ListParagraph"/>
        <w:numPr>
          <w:ilvl w:val="0"/>
          <w:numId w:val="60"/>
        </w:numPr>
        <w:tabs>
          <w:tab w:pos="1519" w:val="left" w:leader="none"/>
          <w:tab w:pos="1521" w:val="left" w:leader="none"/>
        </w:tabs>
        <w:spacing w:line="240" w:lineRule="auto" w:before="0" w:after="0"/>
        <w:ind w:left="1520" w:right="864" w:hanging="360"/>
        <w:jc w:val="left"/>
        <w:rPr>
          <w:sz w:val="20"/>
        </w:rPr>
      </w:pPr>
      <w:r>
        <w:rPr>
          <w:sz w:val="20"/>
        </w:rPr>
        <w:t>to</w:t>
      </w:r>
      <w:r>
        <w:rPr>
          <w:spacing w:val="-5"/>
          <w:sz w:val="20"/>
        </w:rPr>
        <w:t> </w:t>
      </w:r>
      <w:r>
        <w:rPr>
          <w:sz w:val="20"/>
        </w:rPr>
        <w:t>select,</w:t>
      </w:r>
      <w:r>
        <w:rPr>
          <w:spacing w:val="-5"/>
          <w:sz w:val="20"/>
        </w:rPr>
        <w:t> </w:t>
      </w:r>
      <w:r>
        <w:rPr>
          <w:sz w:val="20"/>
        </w:rPr>
        <w:t>analyze</w:t>
      </w:r>
      <w:r>
        <w:rPr>
          <w:spacing w:val="-5"/>
          <w:sz w:val="20"/>
        </w:rPr>
        <w:t> </w:t>
      </w:r>
      <w:r>
        <w:rPr>
          <w:sz w:val="20"/>
        </w:rPr>
        <w:t>and</w:t>
      </w:r>
      <w:r>
        <w:rPr>
          <w:spacing w:val="-3"/>
          <w:sz w:val="20"/>
        </w:rPr>
        <w:t> </w:t>
      </w:r>
      <w:r>
        <w:rPr>
          <w:sz w:val="20"/>
        </w:rPr>
        <w:t>evaluate</w:t>
      </w:r>
      <w:r>
        <w:rPr>
          <w:spacing w:val="-3"/>
          <w:sz w:val="20"/>
        </w:rPr>
        <w:t> </w:t>
      </w:r>
      <w:r>
        <w:rPr>
          <w:sz w:val="20"/>
        </w:rPr>
        <w:t>information</w:t>
      </w:r>
      <w:r>
        <w:rPr>
          <w:spacing w:val="-5"/>
          <w:sz w:val="20"/>
        </w:rPr>
        <w:t> </w:t>
      </w:r>
      <w:r>
        <w:rPr>
          <w:sz w:val="20"/>
        </w:rPr>
        <w:t>to</w:t>
      </w:r>
      <w:r>
        <w:rPr>
          <w:spacing w:val="-3"/>
          <w:sz w:val="20"/>
        </w:rPr>
        <w:t> </w:t>
      </w:r>
      <w:r>
        <w:rPr>
          <w:sz w:val="20"/>
        </w:rPr>
        <w:t>develop</w:t>
      </w:r>
      <w:r>
        <w:rPr>
          <w:spacing w:val="-3"/>
          <w:sz w:val="20"/>
        </w:rPr>
        <w:t> </w:t>
      </w:r>
      <w:r>
        <w:rPr>
          <w:sz w:val="20"/>
        </w:rPr>
        <w:t>evidence</w:t>
      </w:r>
      <w:r>
        <w:rPr>
          <w:spacing w:val="-5"/>
          <w:sz w:val="20"/>
        </w:rPr>
        <w:t> </w:t>
      </w:r>
      <w:r>
        <w:rPr>
          <w:sz w:val="20"/>
        </w:rPr>
        <w:t>supporting</w:t>
      </w:r>
      <w:r>
        <w:rPr>
          <w:spacing w:val="-3"/>
          <w:sz w:val="20"/>
        </w:rPr>
        <w:t> </w:t>
      </w:r>
      <w:r>
        <w:rPr>
          <w:sz w:val="20"/>
        </w:rPr>
        <w:t>an</w:t>
      </w:r>
      <w:r>
        <w:rPr>
          <w:spacing w:val="-5"/>
          <w:sz w:val="20"/>
        </w:rPr>
        <w:t> </w:t>
      </w:r>
      <w:r>
        <w:rPr>
          <w:sz w:val="20"/>
        </w:rPr>
        <w:t>architectural proposal argument for design as research;</w:t>
      </w:r>
    </w:p>
    <w:p>
      <w:pPr>
        <w:pStyle w:val="ListParagraph"/>
        <w:numPr>
          <w:ilvl w:val="0"/>
          <w:numId w:val="60"/>
        </w:numPr>
        <w:tabs>
          <w:tab w:pos="1519" w:val="left" w:leader="none"/>
          <w:tab w:pos="1521" w:val="left" w:leader="none"/>
        </w:tabs>
        <w:spacing w:line="240" w:lineRule="auto" w:before="0" w:after="0"/>
        <w:ind w:left="1520" w:right="1085" w:hanging="360"/>
        <w:jc w:val="left"/>
        <w:rPr>
          <w:sz w:val="20"/>
        </w:rPr>
      </w:pPr>
      <w:r>
        <w:rPr>
          <w:sz w:val="20"/>
        </w:rPr>
        <w:t>to</w:t>
      </w:r>
      <w:r>
        <w:rPr>
          <w:spacing w:val="-5"/>
          <w:sz w:val="20"/>
        </w:rPr>
        <w:t> </w:t>
      </w:r>
      <w:r>
        <w:rPr>
          <w:sz w:val="20"/>
        </w:rPr>
        <w:t>generate</w:t>
      </w:r>
      <w:r>
        <w:rPr>
          <w:spacing w:val="-5"/>
          <w:sz w:val="20"/>
        </w:rPr>
        <w:t> </w:t>
      </w:r>
      <w:r>
        <w:rPr>
          <w:sz w:val="20"/>
        </w:rPr>
        <w:t>clear,</w:t>
      </w:r>
      <w:r>
        <w:rPr>
          <w:spacing w:val="-5"/>
          <w:sz w:val="20"/>
        </w:rPr>
        <w:t> </w:t>
      </w:r>
      <w:r>
        <w:rPr>
          <w:sz w:val="20"/>
        </w:rPr>
        <w:t>accurate,</w:t>
      </w:r>
      <w:r>
        <w:rPr>
          <w:spacing w:val="-3"/>
          <w:sz w:val="20"/>
        </w:rPr>
        <w:t> </w:t>
      </w:r>
      <w:r>
        <w:rPr>
          <w:sz w:val="20"/>
        </w:rPr>
        <w:t>detailed</w:t>
      </w:r>
      <w:r>
        <w:rPr>
          <w:spacing w:val="-5"/>
          <w:sz w:val="20"/>
        </w:rPr>
        <w:t> </w:t>
      </w:r>
      <w:r>
        <w:rPr>
          <w:sz w:val="20"/>
        </w:rPr>
        <w:t>technical</w:t>
      </w:r>
      <w:r>
        <w:rPr>
          <w:spacing w:val="-3"/>
          <w:sz w:val="20"/>
        </w:rPr>
        <w:t> </w:t>
      </w:r>
      <w:r>
        <w:rPr>
          <w:sz w:val="20"/>
        </w:rPr>
        <w:t>documentation,</w:t>
      </w:r>
      <w:r>
        <w:rPr>
          <w:spacing w:val="-3"/>
          <w:sz w:val="20"/>
        </w:rPr>
        <w:t> </w:t>
      </w:r>
      <w:r>
        <w:rPr>
          <w:sz w:val="20"/>
        </w:rPr>
        <w:t>analysis</w:t>
      </w:r>
      <w:r>
        <w:rPr>
          <w:spacing w:val="-4"/>
          <w:sz w:val="20"/>
        </w:rPr>
        <w:t> </w:t>
      </w:r>
      <w:r>
        <w:rPr>
          <w:sz w:val="20"/>
        </w:rPr>
        <w:t>and</w:t>
      </w:r>
      <w:r>
        <w:rPr>
          <w:spacing w:val="-5"/>
          <w:sz w:val="20"/>
        </w:rPr>
        <w:t> </w:t>
      </w:r>
      <w:r>
        <w:rPr>
          <w:sz w:val="20"/>
        </w:rPr>
        <w:t>evaluation</w:t>
      </w:r>
      <w:r>
        <w:rPr>
          <w:spacing w:val="-5"/>
          <w:sz w:val="20"/>
        </w:rPr>
        <w:t> </w:t>
      </w:r>
      <w:r>
        <w:rPr>
          <w:sz w:val="20"/>
        </w:rPr>
        <w:t>of works of architecture and design following architectural conventions;</w:t>
      </w:r>
    </w:p>
    <w:p>
      <w:pPr>
        <w:pStyle w:val="ListParagraph"/>
        <w:numPr>
          <w:ilvl w:val="0"/>
          <w:numId w:val="60"/>
        </w:numPr>
        <w:tabs>
          <w:tab w:pos="1520" w:val="left" w:leader="none"/>
        </w:tabs>
        <w:spacing w:line="240" w:lineRule="auto" w:before="0" w:after="0"/>
        <w:ind w:left="1519" w:right="744" w:hanging="360"/>
        <w:jc w:val="both"/>
        <w:rPr>
          <w:sz w:val="20"/>
        </w:rPr>
      </w:pPr>
      <w:r>
        <w:rPr>
          <w:sz w:val="20"/>
        </w:rPr>
        <w:t>to</w:t>
      </w:r>
      <w:r>
        <w:rPr>
          <w:spacing w:val="-1"/>
          <w:sz w:val="20"/>
        </w:rPr>
        <w:t> </w:t>
      </w:r>
      <w:r>
        <w:rPr>
          <w:sz w:val="20"/>
        </w:rPr>
        <w:t>synthesize ideas to articulate</w:t>
      </w:r>
      <w:r>
        <w:rPr>
          <w:spacing w:val="-1"/>
          <w:sz w:val="20"/>
        </w:rPr>
        <w:t> </w:t>
      </w:r>
      <w:r>
        <w:rPr>
          <w:sz w:val="20"/>
        </w:rPr>
        <w:t>an</w:t>
      </w:r>
      <w:r>
        <w:rPr>
          <w:spacing w:val="-1"/>
          <w:sz w:val="20"/>
        </w:rPr>
        <w:t> </w:t>
      </w:r>
      <w:r>
        <w:rPr>
          <w:sz w:val="20"/>
        </w:rPr>
        <w:t>argument,</w:t>
      </w:r>
      <w:r>
        <w:rPr>
          <w:spacing w:val="-1"/>
          <w:sz w:val="20"/>
        </w:rPr>
        <w:t> </w:t>
      </w:r>
      <w:r>
        <w:rPr>
          <w:sz w:val="20"/>
        </w:rPr>
        <w:t>and</w:t>
      </w:r>
      <w:r>
        <w:rPr>
          <w:spacing w:val="-1"/>
          <w:sz w:val="20"/>
        </w:rPr>
        <w:t> </w:t>
      </w:r>
      <w:r>
        <w:rPr>
          <w:sz w:val="20"/>
        </w:rPr>
        <w:t>to</w:t>
      </w:r>
      <w:r>
        <w:rPr>
          <w:spacing w:val="-1"/>
          <w:sz w:val="20"/>
        </w:rPr>
        <w:t> </w:t>
      </w:r>
      <w:r>
        <w:rPr>
          <w:sz w:val="20"/>
        </w:rPr>
        <w:t>develop</w:t>
      </w:r>
      <w:r>
        <w:rPr>
          <w:spacing w:val="-1"/>
          <w:sz w:val="20"/>
        </w:rPr>
        <w:t> </w:t>
      </w:r>
      <w:r>
        <w:rPr>
          <w:sz w:val="20"/>
        </w:rPr>
        <w:t>the</w:t>
      </w:r>
      <w:r>
        <w:rPr>
          <w:spacing w:val="-1"/>
          <w:sz w:val="20"/>
        </w:rPr>
        <w:t> </w:t>
      </w:r>
      <w:r>
        <w:rPr>
          <w:sz w:val="20"/>
        </w:rPr>
        <w:t>rationale for it;</w:t>
      </w:r>
      <w:r>
        <w:rPr>
          <w:spacing w:val="-1"/>
          <w:sz w:val="20"/>
        </w:rPr>
        <w:t> </w:t>
      </w:r>
      <w:r>
        <w:rPr>
          <w:sz w:val="20"/>
        </w:rPr>
        <w:t>to</w:t>
      </w:r>
      <w:r>
        <w:rPr>
          <w:spacing w:val="-1"/>
          <w:sz w:val="20"/>
        </w:rPr>
        <w:t> </w:t>
      </w:r>
      <w:r>
        <w:rPr>
          <w:sz w:val="20"/>
        </w:rPr>
        <w:t>generate clear</w:t>
      </w:r>
      <w:r>
        <w:rPr>
          <w:spacing w:val="-4"/>
          <w:sz w:val="20"/>
        </w:rPr>
        <w:t> </w:t>
      </w:r>
      <w:r>
        <w:rPr>
          <w:sz w:val="20"/>
        </w:rPr>
        <w:t>and</w:t>
      </w:r>
      <w:r>
        <w:rPr>
          <w:spacing w:val="-5"/>
          <w:sz w:val="20"/>
        </w:rPr>
        <w:t> </w:t>
      </w:r>
      <w:r>
        <w:rPr>
          <w:sz w:val="20"/>
        </w:rPr>
        <w:t>complete</w:t>
      </w:r>
      <w:r>
        <w:rPr>
          <w:spacing w:val="-5"/>
          <w:sz w:val="20"/>
        </w:rPr>
        <w:t> </w:t>
      </w:r>
      <w:r>
        <w:rPr>
          <w:sz w:val="20"/>
        </w:rPr>
        <w:t>comprehensive</w:t>
      </w:r>
      <w:r>
        <w:rPr>
          <w:spacing w:val="-3"/>
          <w:sz w:val="20"/>
        </w:rPr>
        <w:t> </w:t>
      </w:r>
      <w:r>
        <w:rPr>
          <w:sz w:val="20"/>
        </w:rPr>
        <w:t>graphic</w:t>
      </w:r>
      <w:r>
        <w:rPr>
          <w:spacing w:val="-4"/>
          <w:sz w:val="20"/>
        </w:rPr>
        <w:t> </w:t>
      </w:r>
      <w:r>
        <w:rPr>
          <w:sz w:val="20"/>
        </w:rPr>
        <w:t>and</w:t>
      </w:r>
      <w:r>
        <w:rPr>
          <w:spacing w:val="-5"/>
          <w:sz w:val="20"/>
        </w:rPr>
        <w:t> </w:t>
      </w:r>
      <w:r>
        <w:rPr>
          <w:sz w:val="20"/>
        </w:rPr>
        <w:t>model</w:t>
      </w:r>
      <w:r>
        <w:rPr>
          <w:spacing w:val="-4"/>
          <w:sz w:val="20"/>
        </w:rPr>
        <w:t> </w:t>
      </w:r>
      <w:r>
        <w:rPr>
          <w:sz w:val="20"/>
        </w:rPr>
        <w:t>presentations</w:t>
      </w:r>
      <w:r>
        <w:rPr>
          <w:spacing w:val="-4"/>
          <w:sz w:val="20"/>
        </w:rPr>
        <w:t> </w:t>
      </w:r>
      <w:r>
        <w:rPr>
          <w:sz w:val="20"/>
        </w:rPr>
        <w:t>of</w:t>
      </w:r>
      <w:r>
        <w:rPr>
          <w:spacing w:val="-3"/>
          <w:sz w:val="20"/>
        </w:rPr>
        <w:t> </w:t>
      </w:r>
      <w:r>
        <w:rPr>
          <w:sz w:val="20"/>
        </w:rPr>
        <w:t>the</w:t>
      </w:r>
      <w:r>
        <w:rPr>
          <w:spacing w:val="-3"/>
          <w:sz w:val="20"/>
        </w:rPr>
        <w:t> </w:t>
      </w:r>
      <w:r>
        <w:rPr>
          <w:sz w:val="20"/>
        </w:rPr>
        <w:t>argument</w:t>
      </w:r>
      <w:r>
        <w:rPr>
          <w:spacing w:val="-5"/>
          <w:sz w:val="20"/>
        </w:rPr>
        <w:t> </w:t>
      </w:r>
      <w:r>
        <w:rPr>
          <w:sz w:val="20"/>
        </w:rPr>
        <w:t>and</w:t>
      </w:r>
      <w:r>
        <w:rPr>
          <w:spacing w:val="-3"/>
          <w:sz w:val="20"/>
        </w:rPr>
        <w:t> </w:t>
      </w:r>
      <w:r>
        <w:rPr>
          <w:sz w:val="20"/>
        </w:rPr>
        <w:t>its </w:t>
      </w:r>
      <w:r>
        <w:rPr>
          <w:spacing w:val="-2"/>
          <w:sz w:val="20"/>
        </w:rPr>
        <w:t>evidence;</w:t>
      </w:r>
    </w:p>
    <w:p>
      <w:pPr>
        <w:pStyle w:val="ListParagraph"/>
        <w:numPr>
          <w:ilvl w:val="0"/>
          <w:numId w:val="60"/>
        </w:numPr>
        <w:tabs>
          <w:tab w:pos="1519" w:val="left" w:leader="none"/>
          <w:tab w:pos="1520" w:val="left" w:leader="none"/>
        </w:tabs>
        <w:spacing w:line="240" w:lineRule="auto" w:before="0" w:after="0"/>
        <w:ind w:left="1519" w:right="907" w:hanging="360"/>
        <w:jc w:val="left"/>
        <w:rPr>
          <w:sz w:val="20"/>
        </w:rPr>
      </w:pPr>
      <w:r>
        <w:rPr>
          <w:sz w:val="20"/>
        </w:rPr>
        <w:t>to clearly and completely articulate the argument in essay form applying Chicago Style including</w:t>
      </w:r>
      <w:r>
        <w:rPr>
          <w:spacing w:val="-4"/>
          <w:sz w:val="20"/>
        </w:rPr>
        <w:t> </w:t>
      </w:r>
      <w:r>
        <w:rPr>
          <w:sz w:val="20"/>
        </w:rPr>
        <w:t>using</w:t>
      </w:r>
      <w:r>
        <w:rPr>
          <w:spacing w:val="-2"/>
          <w:sz w:val="20"/>
        </w:rPr>
        <w:t> </w:t>
      </w:r>
      <w:r>
        <w:rPr>
          <w:sz w:val="20"/>
        </w:rPr>
        <w:t>appropriate</w:t>
      </w:r>
      <w:r>
        <w:rPr>
          <w:spacing w:val="-2"/>
          <w:sz w:val="20"/>
        </w:rPr>
        <w:t> </w:t>
      </w:r>
      <w:r>
        <w:rPr>
          <w:sz w:val="20"/>
        </w:rPr>
        <w:t>citation;</w:t>
      </w:r>
      <w:r>
        <w:rPr>
          <w:spacing w:val="-2"/>
          <w:sz w:val="20"/>
        </w:rPr>
        <w:t> </w:t>
      </w:r>
      <w:r>
        <w:rPr>
          <w:sz w:val="20"/>
        </w:rPr>
        <w:t>to</w:t>
      </w:r>
      <w:r>
        <w:rPr>
          <w:spacing w:val="-4"/>
          <w:sz w:val="20"/>
        </w:rPr>
        <w:t> </w:t>
      </w:r>
      <w:r>
        <w:rPr>
          <w:sz w:val="20"/>
        </w:rPr>
        <w:t>clearly</w:t>
      </w:r>
      <w:r>
        <w:rPr>
          <w:spacing w:val="-7"/>
          <w:sz w:val="20"/>
        </w:rPr>
        <w:t> </w:t>
      </w:r>
      <w:r>
        <w:rPr>
          <w:sz w:val="20"/>
        </w:rPr>
        <w:t>and</w:t>
      </w:r>
      <w:r>
        <w:rPr>
          <w:spacing w:val="-4"/>
          <w:sz w:val="20"/>
        </w:rPr>
        <w:t> </w:t>
      </w:r>
      <w:r>
        <w:rPr>
          <w:sz w:val="20"/>
        </w:rPr>
        <w:t>completely</w:t>
      </w:r>
      <w:r>
        <w:rPr>
          <w:spacing w:val="-7"/>
          <w:sz w:val="20"/>
        </w:rPr>
        <w:t> </w:t>
      </w:r>
      <w:r>
        <w:rPr>
          <w:sz w:val="20"/>
        </w:rPr>
        <w:t>present</w:t>
      </w:r>
      <w:r>
        <w:rPr>
          <w:spacing w:val="-4"/>
          <w:sz w:val="20"/>
        </w:rPr>
        <w:t> </w:t>
      </w:r>
      <w:r>
        <w:rPr>
          <w:sz w:val="20"/>
        </w:rPr>
        <w:t>the</w:t>
      </w:r>
      <w:r>
        <w:rPr>
          <w:spacing w:val="-2"/>
          <w:sz w:val="20"/>
        </w:rPr>
        <w:t> </w:t>
      </w:r>
      <w:r>
        <w:rPr>
          <w:sz w:val="20"/>
        </w:rPr>
        <w:t>argument</w:t>
      </w:r>
      <w:r>
        <w:rPr>
          <w:spacing w:val="-4"/>
          <w:sz w:val="20"/>
        </w:rPr>
        <w:t> </w:t>
      </w:r>
      <w:r>
        <w:rPr>
          <w:sz w:val="20"/>
        </w:rPr>
        <w:t>and</w:t>
      </w:r>
      <w:r>
        <w:rPr>
          <w:spacing w:val="-4"/>
          <w:sz w:val="20"/>
        </w:rPr>
        <w:t> </w:t>
      </w:r>
      <w:r>
        <w:rPr>
          <w:sz w:val="20"/>
        </w:rPr>
        <w:t>its products orally;</w:t>
      </w:r>
    </w:p>
    <w:p>
      <w:pPr>
        <w:pStyle w:val="ListParagraph"/>
        <w:numPr>
          <w:ilvl w:val="0"/>
          <w:numId w:val="60"/>
        </w:numPr>
        <w:tabs>
          <w:tab w:pos="1519" w:val="left" w:leader="none"/>
          <w:tab w:pos="1520" w:val="left" w:leader="none"/>
        </w:tabs>
        <w:spacing w:line="240" w:lineRule="auto" w:before="0" w:after="0"/>
        <w:ind w:left="1519" w:right="830" w:hanging="360"/>
        <w:jc w:val="left"/>
        <w:rPr>
          <w:sz w:val="20"/>
        </w:rPr>
      </w:pPr>
      <w:r>
        <w:rPr>
          <w:sz w:val="20"/>
        </w:rPr>
        <w:t>to apply this understanding to form a plan for investigation through design which defines agenda,</w:t>
      </w:r>
      <w:r>
        <w:rPr>
          <w:spacing w:val="-5"/>
          <w:sz w:val="20"/>
        </w:rPr>
        <w:t> </w:t>
      </w:r>
      <w:r>
        <w:rPr>
          <w:sz w:val="20"/>
        </w:rPr>
        <w:t>context</w:t>
      </w:r>
      <w:r>
        <w:rPr>
          <w:spacing w:val="-3"/>
          <w:sz w:val="20"/>
        </w:rPr>
        <w:t> </w:t>
      </w:r>
      <w:r>
        <w:rPr>
          <w:sz w:val="20"/>
        </w:rPr>
        <w:t>and</w:t>
      </w:r>
      <w:r>
        <w:rPr>
          <w:spacing w:val="-3"/>
          <w:sz w:val="20"/>
        </w:rPr>
        <w:t> </w:t>
      </w:r>
      <w:r>
        <w:rPr>
          <w:sz w:val="20"/>
        </w:rPr>
        <w:t>principles,</w:t>
      </w:r>
      <w:r>
        <w:rPr>
          <w:spacing w:val="-5"/>
          <w:sz w:val="20"/>
        </w:rPr>
        <w:t> </w:t>
      </w:r>
      <w:r>
        <w:rPr>
          <w:sz w:val="20"/>
        </w:rPr>
        <w:t>representational</w:t>
      </w:r>
      <w:r>
        <w:rPr>
          <w:spacing w:val="-6"/>
          <w:sz w:val="20"/>
        </w:rPr>
        <w:t> </w:t>
      </w:r>
      <w:r>
        <w:rPr>
          <w:sz w:val="20"/>
        </w:rPr>
        <w:t>modes,</w:t>
      </w:r>
      <w:r>
        <w:rPr>
          <w:spacing w:val="-5"/>
          <w:sz w:val="20"/>
        </w:rPr>
        <w:t> </w:t>
      </w:r>
      <w:r>
        <w:rPr>
          <w:sz w:val="20"/>
        </w:rPr>
        <w:t>and</w:t>
      </w:r>
      <w:r>
        <w:rPr>
          <w:spacing w:val="-3"/>
          <w:sz w:val="20"/>
        </w:rPr>
        <w:t> </w:t>
      </w:r>
      <w:r>
        <w:rPr>
          <w:sz w:val="20"/>
        </w:rPr>
        <w:t>criteria</w:t>
      </w:r>
      <w:r>
        <w:rPr>
          <w:spacing w:val="-5"/>
          <w:sz w:val="20"/>
        </w:rPr>
        <w:t> </w:t>
      </w:r>
      <w:r>
        <w:rPr>
          <w:sz w:val="20"/>
        </w:rPr>
        <w:t>for</w:t>
      </w:r>
      <w:r>
        <w:rPr>
          <w:spacing w:val="-4"/>
          <w:sz w:val="20"/>
        </w:rPr>
        <w:t> </w:t>
      </w:r>
      <w:r>
        <w:rPr>
          <w:sz w:val="20"/>
        </w:rPr>
        <w:t>assessing</w:t>
      </w:r>
      <w:r>
        <w:rPr>
          <w:spacing w:val="-5"/>
          <w:sz w:val="20"/>
        </w:rPr>
        <w:t> </w:t>
      </w:r>
      <w:r>
        <w:rPr>
          <w:sz w:val="20"/>
        </w:rPr>
        <w:t>products</w:t>
      </w:r>
    </w:p>
    <w:p>
      <w:pPr>
        <w:spacing w:before="116"/>
        <w:ind w:left="439" w:right="0" w:firstLine="0"/>
        <w:jc w:val="left"/>
        <w:rPr>
          <w:b/>
          <w:sz w:val="20"/>
        </w:rPr>
      </w:pPr>
      <w:r>
        <w:rPr>
          <w:b/>
          <w:sz w:val="20"/>
        </w:rPr>
        <w:t>Student</w:t>
      </w:r>
      <w:r>
        <w:rPr>
          <w:b/>
          <w:spacing w:val="-11"/>
          <w:sz w:val="20"/>
        </w:rPr>
        <w:t> </w:t>
      </w:r>
      <w:r>
        <w:rPr>
          <w:b/>
          <w:sz w:val="20"/>
        </w:rPr>
        <w:t>Performance</w:t>
      </w:r>
      <w:r>
        <w:rPr>
          <w:b/>
          <w:spacing w:val="-12"/>
          <w:sz w:val="20"/>
        </w:rPr>
        <w:t> </w:t>
      </w:r>
      <w:r>
        <w:rPr>
          <w:b/>
          <w:spacing w:val="-2"/>
          <w:sz w:val="20"/>
        </w:rPr>
        <w:t>Criterion/addressed:</w:t>
      </w:r>
    </w:p>
    <w:p>
      <w:pPr>
        <w:pStyle w:val="BodyText"/>
        <w:spacing w:before="123"/>
        <w:ind w:left="1159"/>
      </w:pPr>
      <w:r>
        <w:rPr/>
        <w:t>A.1:</w:t>
      </w:r>
      <w:r>
        <w:rPr>
          <w:spacing w:val="-11"/>
        </w:rPr>
        <w:t> </w:t>
      </w:r>
      <w:r>
        <w:rPr/>
        <w:t>Communication</w:t>
      </w:r>
      <w:r>
        <w:rPr>
          <w:spacing w:val="-11"/>
        </w:rPr>
        <w:t> </w:t>
      </w:r>
      <w:r>
        <w:rPr>
          <w:spacing w:val="-2"/>
        </w:rPr>
        <w:t>Skills</w:t>
      </w:r>
    </w:p>
    <w:p>
      <w:pPr>
        <w:pStyle w:val="BodyText"/>
        <w:spacing w:before="1"/>
        <w:ind w:left="1159"/>
      </w:pPr>
      <w:r>
        <w:rPr/>
        <w:t>A.2</w:t>
      </w:r>
      <w:r>
        <w:rPr>
          <w:spacing w:val="-7"/>
        </w:rPr>
        <w:t> </w:t>
      </w:r>
      <w:r>
        <w:rPr/>
        <w:t>Design</w:t>
      </w:r>
      <w:r>
        <w:rPr>
          <w:spacing w:val="-7"/>
        </w:rPr>
        <w:t> </w:t>
      </w:r>
      <w:r>
        <w:rPr/>
        <w:t>Thinking</w:t>
      </w:r>
      <w:r>
        <w:rPr>
          <w:spacing w:val="-5"/>
        </w:rPr>
        <w:t> </w:t>
      </w:r>
      <w:r>
        <w:rPr>
          <w:spacing w:val="-2"/>
        </w:rPr>
        <w:t>Skills</w:t>
      </w:r>
    </w:p>
    <w:p>
      <w:pPr>
        <w:pStyle w:val="BodyText"/>
        <w:ind w:left="1159"/>
      </w:pPr>
      <w:r>
        <w:rPr/>
        <w:t>A.5</w:t>
      </w:r>
      <w:r>
        <w:rPr>
          <w:spacing w:val="-10"/>
        </w:rPr>
        <w:t> </w:t>
      </w:r>
      <w:r>
        <w:rPr/>
        <w:t>Investigative</w:t>
      </w:r>
      <w:r>
        <w:rPr>
          <w:spacing w:val="-9"/>
        </w:rPr>
        <w:t> </w:t>
      </w:r>
      <w:r>
        <w:rPr>
          <w:spacing w:val="-2"/>
        </w:rPr>
        <w:t>Skills</w:t>
      </w:r>
    </w:p>
    <w:p>
      <w:pPr>
        <w:pStyle w:val="BodyText"/>
        <w:spacing w:before="1"/>
        <w:ind w:left="1159"/>
      </w:pPr>
      <w:r>
        <w:rPr/>
        <w:t>A.11</w:t>
      </w:r>
      <w:r>
        <w:rPr>
          <w:spacing w:val="-7"/>
        </w:rPr>
        <w:t> </w:t>
      </w:r>
      <w:r>
        <w:rPr/>
        <w:t>Applied</w:t>
      </w:r>
      <w:r>
        <w:rPr>
          <w:spacing w:val="-7"/>
        </w:rPr>
        <w:t> </w:t>
      </w:r>
      <w:r>
        <w:rPr>
          <w:spacing w:val="-2"/>
        </w:rPr>
        <w:t>Research</w:t>
      </w:r>
    </w:p>
    <w:p>
      <w:pPr>
        <w:pStyle w:val="BodyText"/>
        <w:spacing w:line="229" w:lineRule="exact"/>
        <w:ind w:left="1159"/>
      </w:pPr>
      <w:r>
        <w:rPr/>
        <w:t>C.2</w:t>
      </w:r>
      <w:r>
        <w:rPr>
          <w:spacing w:val="-6"/>
        </w:rPr>
        <w:t> </w:t>
      </w:r>
      <w:r>
        <w:rPr/>
        <w:t>Human</w:t>
      </w:r>
      <w:r>
        <w:rPr>
          <w:spacing w:val="-5"/>
        </w:rPr>
        <w:t> </w:t>
      </w:r>
      <w:r>
        <w:rPr>
          <w:spacing w:val="-2"/>
        </w:rPr>
        <w:t>Behavior</w:t>
      </w:r>
    </w:p>
    <w:p>
      <w:pPr>
        <w:pStyle w:val="BodyText"/>
        <w:spacing w:line="229" w:lineRule="exact"/>
        <w:ind w:left="1159"/>
      </w:pPr>
      <w:r>
        <w:rPr/>
        <w:t>C.6</w:t>
      </w:r>
      <w:r>
        <w:rPr>
          <w:spacing w:val="-6"/>
        </w:rPr>
        <w:t> </w:t>
      </w:r>
      <w:r>
        <w:rPr>
          <w:spacing w:val="-2"/>
        </w:rPr>
        <w:t>Leadership</w:t>
      </w:r>
    </w:p>
    <w:p>
      <w:pPr>
        <w:pStyle w:val="BodyText"/>
        <w:spacing w:before="1"/>
        <w:ind w:left="1159"/>
      </w:pPr>
      <w:r>
        <w:rPr/>
        <w:t>C.8</w:t>
      </w:r>
      <w:r>
        <w:rPr>
          <w:spacing w:val="-8"/>
        </w:rPr>
        <w:t> </w:t>
      </w:r>
      <w:r>
        <w:rPr/>
        <w:t>Ethics</w:t>
      </w:r>
      <w:r>
        <w:rPr>
          <w:spacing w:val="-6"/>
        </w:rPr>
        <w:t> </w:t>
      </w:r>
      <w:r>
        <w:rPr/>
        <w:t>and</w:t>
      </w:r>
      <w:r>
        <w:rPr>
          <w:spacing w:val="-6"/>
        </w:rPr>
        <w:t> </w:t>
      </w:r>
      <w:r>
        <w:rPr/>
        <w:t>Professional</w:t>
      </w:r>
      <w:r>
        <w:rPr>
          <w:spacing w:val="-8"/>
        </w:rPr>
        <w:t> </w:t>
      </w:r>
      <w:r>
        <w:rPr>
          <w:spacing w:val="-2"/>
        </w:rPr>
        <w:t>Judgment</w:t>
      </w:r>
    </w:p>
    <w:p>
      <w:pPr>
        <w:pStyle w:val="BodyText"/>
        <w:ind w:left="1159"/>
      </w:pPr>
      <w:r>
        <w:rPr/>
        <w:t>C.9</w:t>
      </w:r>
      <w:r>
        <w:rPr>
          <w:spacing w:val="-9"/>
        </w:rPr>
        <w:t> </w:t>
      </w:r>
      <w:r>
        <w:rPr/>
        <w:t>Community</w:t>
      </w:r>
      <w:r>
        <w:rPr>
          <w:spacing w:val="-7"/>
        </w:rPr>
        <w:t> </w:t>
      </w:r>
      <w:r>
        <w:rPr/>
        <w:t>and</w:t>
      </w:r>
      <w:r>
        <w:rPr>
          <w:spacing w:val="-4"/>
        </w:rPr>
        <w:t> </w:t>
      </w:r>
      <w:r>
        <w:rPr/>
        <w:t>Social</w:t>
      </w:r>
      <w:r>
        <w:rPr>
          <w:spacing w:val="-5"/>
        </w:rPr>
        <w:t> </w:t>
      </w:r>
      <w:r>
        <w:rPr>
          <w:spacing w:val="-2"/>
        </w:rPr>
        <w:t>Responsibility</w:t>
      </w:r>
    </w:p>
    <w:p>
      <w:pPr>
        <w:spacing w:before="118"/>
        <w:ind w:left="439" w:right="0" w:firstLine="0"/>
        <w:jc w:val="left"/>
        <w:rPr>
          <w:b/>
          <w:sz w:val="20"/>
        </w:rPr>
      </w:pPr>
      <w:r>
        <w:rPr>
          <w:b/>
          <w:sz w:val="20"/>
        </w:rPr>
        <w:t>Topical</w:t>
      </w:r>
      <w:r>
        <w:rPr>
          <w:b/>
          <w:spacing w:val="-10"/>
          <w:sz w:val="20"/>
        </w:rPr>
        <w:t> </w:t>
      </w:r>
      <w:r>
        <w:rPr>
          <w:b/>
          <w:spacing w:val="-2"/>
          <w:sz w:val="20"/>
        </w:rPr>
        <w:t>Outline</w:t>
      </w:r>
    </w:p>
    <w:p>
      <w:pPr>
        <w:pStyle w:val="BodyText"/>
        <w:spacing w:before="123"/>
        <w:ind w:left="1159" w:right="642"/>
      </w:pPr>
      <w:r>
        <w:rPr/>
        <w:t>Argument</w:t>
      </w:r>
      <w:r>
        <w:rPr>
          <w:spacing w:val="-5"/>
        </w:rPr>
        <w:t> </w:t>
      </w:r>
      <w:r>
        <w:rPr/>
        <w:t>exploration</w:t>
      </w:r>
      <w:r>
        <w:rPr>
          <w:spacing w:val="-3"/>
        </w:rPr>
        <w:t> </w:t>
      </w:r>
      <w:r>
        <w:rPr/>
        <w:t>and definition</w:t>
      </w:r>
      <w:r>
        <w:rPr>
          <w:spacing w:val="-5"/>
        </w:rPr>
        <w:t> </w:t>
      </w:r>
      <w:r>
        <w:rPr/>
        <w:t>via</w:t>
      </w:r>
      <w:r>
        <w:rPr>
          <w:spacing w:val="-5"/>
        </w:rPr>
        <w:t> </w:t>
      </w:r>
      <w:r>
        <w:rPr/>
        <w:t>case</w:t>
      </w:r>
      <w:r>
        <w:rPr>
          <w:spacing w:val="-3"/>
        </w:rPr>
        <w:t> </w:t>
      </w:r>
      <w:r>
        <w:rPr/>
        <w:t>studies,</w:t>
      </w:r>
      <w:r>
        <w:rPr>
          <w:spacing w:val="-3"/>
        </w:rPr>
        <w:t> </w:t>
      </w:r>
      <w:r>
        <w:rPr/>
        <w:t>writing,</w:t>
      </w:r>
      <w:r>
        <w:rPr>
          <w:spacing w:val="-5"/>
        </w:rPr>
        <w:t> </w:t>
      </w:r>
      <w:r>
        <w:rPr/>
        <w:t>and</w:t>
      </w:r>
      <w:r>
        <w:rPr>
          <w:spacing w:val="-3"/>
        </w:rPr>
        <w:t> </w:t>
      </w:r>
      <w:r>
        <w:rPr/>
        <w:t>visual</w:t>
      </w:r>
      <w:r>
        <w:rPr>
          <w:spacing w:val="-4"/>
        </w:rPr>
        <w:t> </w:t>
      </w:r>
      <w:r>
        <w:rPr/>
        <w:t>diagramming</w:t>
      </w:r>
      <w:r>
        <w:rPr>
          <w:spacing w:val="-5"/>
        </w:rPr>
        <w:t> </w:t>
      </w:r>
      <w:r>
        <w:rPr/>
        <w:t>(70%) Research plan and test via writing and charrette (30%)</w:t>
      </w:r>
    </w:p>
    <w:p>
      <w:pPr>
        <w:spacing w:before="116"/>
        <w:ind w:left="439" w:right="0" w:firstLine="0"/>
        <w:jc w:val="left"/>
        <w:rPr>
          <w:b/>
          <w:sz w:val="20"/>
        </w:rPr>
      </w:pPr>
      <w:r>
        <w:rPr>
          <w:b/>
          <w:spacing w:val="-2"/>
          <w:sz w:val="20"/>
        </w:rPr>
        <w:t>Prerequisites:</w:t>
      </w:r>
    </w:p>
    <w:p>
      <w:pPr>
        <w:pStyle w:val="BodyText"/>
        <w:spacing w:before="123"/>
        <w:ind w:left="1160" w:right="712" w:hanging="1"/>
      </w:pPr>
      <w:r>
        <w:rPr/>
        <w:t>Completion</w:t>
      </w:r>
      <w:r>
        <w:rPr>
          <w:spacing w:val="-5"/>
        </w:rPr>
        <w:t> </w:t>
      </w:r>
      <w:r>
        <w:rPr/>
        <w:t>of</w:t>
      </w:r>
      <w:r>
        <w:rPr>
          <w:spacing w:val="-3"/>
        </w:rPr>
        <w:t> </w:t>
      </w:r>
      <w:r>
        <w:rPr/>
        <w:t>all</w:t>
      </w:r>
      <w:r>
        <w:rPr>
          <w:spacing w:val="-6"/>
        </w:rPr>
        <w:t> </w:t>
      </w:r>
      <w:r>
        <w:rPr/>
        <w:t>major</w:t>
      </w:r>
      <w:r>
        <w:rPr>
          <w:spacing w:val="-4"/>
        </w:rPr>
        <w:t> </w:t>
      </w:r>
      <w:r>
        <w:rPr/>
        <w:t>requirements</w:t>
      </w:r>
      <w:r>
        <w:rPr>
          <w:spacing w:val="-4"/>
        </w:rPr>
        <w:t> </w:t>
      </w:r>
      <w:r>
        <w:rPr/>
        <w:t>up</w:t>
      </w:r>
      <w:r>
        <w:rPr>
          <w:spacing w:val="-5"/>
        </w:rPr>
        <w:t> </w:t>
      </w:r>
      <w:r>
        <w:rPr/>
        <w:t>to</w:t>
      </w:r>
      <w:r>
        <w:rPr>
          <w:spacing w:val="-3"/>
        </w:rPr>
        <w:t> </w:t>
      </w:r>
      <w:r>
        <w:rPr/>
        <w:t>5</w:t>
      </w:r>
      <w:r>
        <w:rPr>
          <w:vertAlign w:val="superscript"/>
        </w:rPr>
        <w:t>th</w:t>
      </w:r>
      <w:r>
        <w:rPr>
          <w:spacing w:val="-3"/>
          <w:vertAlign w:val="baseline"/>
        </w:rPr>
        <w:t> </w:t>
      </w:r>
      <w:r>
        <w:rPr>
          <w:vertAlign w:val="baseline"/>
        </w:rPr>
        <w:t>year,</w:t>
      </w:r>
      <w:r>
        <w:rPr>
          <w:spacing w:val="-5"/>
          <w:vertAlign w:val="baseline"/>
        </w:rPr>
        <w:t> </w:t>
      </w:r>
      <w:r>
        <w:rPr>
          <w:vertAlign w:val="baseline"/>
        </w:rPr>
        <w:t>and</w:t>
      </w:r>
      <w:r>
        <w:rPr>
          <w:spacing w:val="-5"/>
          <w:vertAlign w:val="baseline"/>
        </w:rPr>
        <w:t> </w:t>
      </w:r>
      <w:r>
        <w:rPr>
          <w:vertAlign w:val="baseline"/>
        </w:rPr>
        <w:t>professional</w:t>
      </w:r>
      <w:r>
        <w:rPr>
          <w:spacing w:val="-6"/>
          <w:vertAlign w:val="baseline"/>
        </w:rPr>
        <w:t> </w:t>
      </w:r>
      <w:r>
        <w:rPr>
          <w:vertAlign w:val="baseline"/>
        </w:rPr>
        <w:t>architecture student standing (AP).</w:t>
      </w:r>
    </w:p>
    <w:p>
      <w:pPr>
        <w:spacing w:before="117"/>
        <w:ind w:left="439" w:right="0" w:firstLine="0"/>
        <w:jc w:val="left"/>
        <w:rPr>
          <w:b/>
          <w:sz w:val="20"/>
        </w:rPr>
      </w:pPr>
      <w:r>
        <w:rPr>
          <w:b/>
          <w:w w:val="95"/>
          <w:sz w:val="20"/>
        </w:rPr>
        <w:t>Textbooks/Learning</w:t>
      </w:r>
      <w:r>
        <w:rPr>
          <w:b/>
          <w:spacing w:val="70"/>
          <w:sz w:val="20"/>
        </w:rPr>
        <w:t> </w:t>
      </w:r>
      <w:r>
        <w:rPr>
          <w:b/>
          <w:spacing w:val="-2"/>
          <w:sz w:val="20"/>
        </w:rPr>
        <w:t>Resources:</w:t>
      </w:r>
    </w:p>
    <w:p>
      <w:pPr>
        <w:pStyle w:val="BodyText"/>
        <w:spacing w:before="122"/>
        <w:ind w:left="1159" w:right="642"/>
      </w:pPr>
      <w:r>
        <w:rPr/>
        <w:t>Reader</w:t>
      </w:r>
      <w:r>
        <w:rPr>
          <w:spacing w:val="-4"/>
        </w:rPr>
        <w:t> </w:t>
      </w:r>
      <w:r>
        <w:rPr/>
        <w:t>provided</w:t>
      </w:r>
      <w:r>
        <w:rPr>
          <w:spacing w:val="-4"/>
        </w:rPr>
        <w:t> </w:t>
      </w:r>
      <w:r>
        <w:rPr/>
        <w:t>including</w:t>
      </w:r>
      <w:r>
        <w:rPr>
          <w:spacing w:val="-4"/>
        </w:rPr>
        <w:t> </w:t>
      </w:r>
      <w:r>
        <w:rPr/>
        <w:t>articles</w:t>
      </w:r>
      <w:r>
        <w:rPr>
          <w:spacing w:val="-4"/>
        </w:rPr>
        <w:t> </w:t>
      </w:r>
      <w:r>
        <w:rPr/>
        <w:t>from</w:t>
      </w:r>
      <w:r>
        <w:rPr>
          <w:spacing w:val="-4"/>
        </w:rPr>
        <w:t> </w:t>
      </w:r>
      <w:r>
        <w:rPr/>
        <w:t>multiple</w:t>
      </w:r>
      <w:r>
        <w:rPr>
          <w:spacing w:val="-5"/>
        </w:rPr>
        <w:t> </w:t>
      </w:r>
      <w:r>
        <w:rPr/>
        <w:t>sources</w:t>
      </w:r>
      <w:r>
        <w:rPr>
          <w:spacing w:val="-4"/>
        </w:rPr>
        <w:t> </w:t>
      </w:r>
      <w:r>
        <w:rPr/>
        <w:t>on</w:t>
      </w:r>
      <w:r>
        <w:rPr>
          <w:spacing w:val="-5"/>
        </w:rPr>
        <w:t> </w:t>
      </w:r>
      <w:r>
        <w:rPr/>
        <w:t>research,</w:t>
      </w:r>
      <w:r>
        <w:rPr>
          <w:spacing w:val="-4"/>
        </w:rPr>
        <w:t> </w:t>
      </w:r>
      <w:r>
        <w:rPr/>
        <w:t>argument</w:t>
      </w:r>
      <w:r>
        <w:rPr>
          <w:spacing w:val="-5"/>
        </w:rPr>
        <w:t> </w:t>
      </w:r>
      <w:r>
        <w:rPr/>
        <w:t>construction,</w:t>
      </w:r>
      <w:r>
        <w:rPr>
          <w:spacing w:val="-5"/>
        </w:rPr>
        <w:t> </w:t>
      </w:r>
      <w:r>
        <w:rPr/>
        <w:t>and design research.</w:t>
      </w:r>
    </w:p>
    <w:p>
      <w:pPr>
        <w:spacing w:before="117"/>
        <w:ind w:left="439" w:right="0" w:firstLine="0"/>
        <w:jc w:val="left"/>
        <w:rPr>
          <w:b/>
          <w:sz w:val="20"/>
        </w:rPr>
      </w:pPr>
      <w:r>
        <w:rPr>
          <w:b/>
          <w:sz w:val="20"/>
        </w:rPr>
        <w:t>Offered</w:t>
      </w:r>
      <w:r>
        <w:rPr>
          <w:b/>
          <w:spacing w:val="-9"/>
          <w:sz w:val="20"/>
        </w:rPr>
        <w:t> </w:t>
      </w:r>
      <w:r>
        <w:rPr>
          <w:b/>
          <w:sz w:val="20"/>
        </w:rPr>
        <w:t>(semester</w:t>
      </w:r>
      <w:r>
        <w:rPr>
          <w:b/>
          <w:spacing w:val="-7"/>
          <w:sz w:val="20"/>
        </w:rPr>
        <w:t> </w:t>
      </w:r>
      <w:r>
        <w:rPr>
          <w:b/>
          <w:sz w:val="20"/>
        </w:rPr>
        <w:t>and</w:t>
      </w:r>
      <w:r>
        <w:rPr>
          <w:b/>
          <w:spacing w:val="-7"/>
          <w:sz w:val="20"/>
        </w:rPr>
        <w:t> </w:t>
      </w:r>
      <w:r>
        <w:rPr>
          <w:b/>
          <w:spacing w:val="-2"/>
          <w:sz w:val="20"/>
        </w:rPr>
        <w:t>year):</w:t>
      </w:r>
    </w:p>
    <w:p>
      <w:pPr>
        <w:pStyle w:val="BodyText"/>
        <w:spacing w:before="122"/>
        <w:ind w:left="1160"/>
      </w:pPr>
      <w:r>
        <w:rPr/>
        <w:t>Fall</w:t>
      </w:r>
      <w:r>
        <w:rPr>
          <w:spacing w:val="-7"/>
        </w:rPr>
        <w:t> </w:t>
      </w:r>
      <w:r>
        <w:rPr/>
        <w:t>only;</w:t>
      </w:r>
      <w:r>
        <w:rPr>
          <w:spacing w:val="-5"/>
        </w:rPr>
        <w:t> </w:t>
      </w:r>
      <w:r>
        <w:rPr>
          <w:spacing w:val="-2"/>
        </w:rPr>
        <w:t>annually</w:t>
      </w:r>
    </w:p>
    <w:p>
      <w:pPr>
        <w:spacing w:before="118"/>
        <w:ind w:left="439" w:right="0" w:firstLine="0"/>
        <w:jc w:val="left"/>
        <w:rPr>
          <w:b/>
          <w:sz w:val="20"/>
        </w:rPr>
      </w:pPr>
      <w:r>
        <w:rPr>
          <w:b/>
          <w:sz w:val="20"/>
        </w:rPr>
        <w:t>Faculty</w:t>
      </w:r>
      <w:r>
        <w:rPr>
          <w:b/>
          <w:spacing w:val="-9"/>
          <w:sz w:val="20"/>
        </w:rPr>
        <w:t> </w:t>
      </w:r>
      <w:r>
        <w:rPr>
          <w:b/>
          <w:sz w:val="20"/>
        </w:rPr>
        <w:t>assigned</w:t>
      </w:r>
      <w:r>
        <w:rPr>
          <w:b/>
          <w:spacing w:val="-6"/>
          <w:sz w:val="20"/>
        </w:rPr>
        <w:t> </w:t>
      </w:r>
      <w:r>
        <w:rPr>
          <w:b/>
          <w:sz w:val="20"/>
        </w:rPr>
        <w:t>(list</w:t>
      </w:r>
      <w:r>
        <w:rPr>
          <w:b/>
          <w:spacing w:val="-5"/>
          <w:sz w:val="20"/>
        </w:rPr>
        <w:t> </w:t>
      </w:r>
      <w:r>
        <w:rPr>
          <w:b/>
          <w:sz w:val="20"/>
        </w:rPr>
        <w:t>all</w:t>
      </w:r>
      <w:r>
        <w:rPr>
          <w:b/>
          <w:spacing w:val="-6"/>
          <w:sz w:val="20"/>
        </w:rPr>
        <w:t> </w:t>
      </w:r>
      <w:r>
        <w:rPr>
          <w:b/>
          <w:sz w:val="20"/>
        </w:rPr>
        <w:t>faculty</w:t>
      </w:r>
      <w:r>
        <w:rPr>
          <w:b/>
          <w:spacing w:val="-9"/>
          <w:sz w:val="20"/>
        </w:rPr>
        <w:t> </w:t>
      </w:r>
      <w:r>
        <w:rPr>
          <w:b/>
          <w:sz w:val="20"/>
        </w:rPr>
        <w:t>assigned</w:t>
      </w:r>
      <w:r>
        <w:rPr>
          <w:b/>
          <w:spacing w:val="-6"/>
          <w:sz w:val="20"/>
        </w:rPr>
        <w:t> </w:t>
      </w:r>
      <w:r>
        <w:rPr>
          <w:b/>
          <w:sz w:val="20"/>
        </w:rPr>
        <w:t>during</w:t>
      </w:r>
      <w:r>
        <w:rPr>
          <w:b/>
          <w:spacing w:val="-5"/>
          <w:sz w:val="20"/>
        </w:rPr>
        <w:t> </w:t>
      </w:r>
      <w:r>
        <w:rPr>
          <w:b/>
          <w:sz w:val="20"/>
        </w:rPr>
        <w:t>the</w:t>
      </w:r>
      <w:r>
        <w:rPr>
          <w:b/>
          <w:spacing w:val="-6"/>
          <w:sz w:val="20"/>
        </w:rPr>
        <w:t> </w:t>
      </w:r>
      <w:r>
        <w:rPr>
          <w:b/>
          <w:sz w:val="20"/>
        </w:rPr>
        <w:t>two</w:t>
      </w:r>
      <w:r>
        <w:rPr>
          <w:b/>
          <w:spacing w:val="-6"/>
          <w:sz w:val="20"/>
        </w:rPr>
        <w:t> </w:t>
      </w:r>
      <w:r>
        <w:rPr>
          <w:b/>
          <w:sz w:val="20"/>
        </w:rPr>
        <w:t>academic</w:t>
      </w:r>
      <w:r>
        <w:rPr>
          <w:b/>
          <w:spacing w:val="-4"/>
          <w:sz w:val="20"/>
        </w:rPr>
        <w:t> </w:t>
      </w:r>
      <w:r>
        <w:rPr>
          <w:b/>
          <w:sz w:val="20"/>
        </w:rPr>
        <w:t>years</w:t>
      </w:r>
      <w:r>
        <w:rPr>
          <w:b/>
          <w:spacing w:val="-7"/>
          <w:sz w:val="20"/>
        </w:rPr>
        <w:t> </w:t>
      </w:r>
      <w:r>
        <w:rPr>
          <w:b/>
          <w:sz w:val="20"/>
        </w:rPr>
        <w:t>prior</w:t>
      </w:r>
      <w:r>
        <w:rPr>
          <w:b/>
          <w:spacing w:val="-7"/>
          <w:sz w:val="20"/>
        </w:rPr>
        <w:t> </w:t>
      </w:r>
      <w:r>
        <w:rPr>
          <w:b/>
          <w:sz w:val="20"/>
        </w:rPr>
        <w:t>to</w:t>
      </w:r>
      <w:r>
        <w:rPr>
          <w:b/>
          <w:spacing w:val="-3"/>
          <w:sz w:val="20"/>
        </w:rPr>
        <w:t> </w:t>
      </w:r>
      <w:r>
        <w:rPr>
          <w:b/>
          <w:sz w:val="20"/>
        </w:rPr>
        <w:t>the</w:t>
      </w:r>
      <w:r>
        <w:rPr>
          <w:b/>
          <w:spacing w:val="-7"/>
          <w:sz w:val="20"/>
        </w:rPr>
        <w:t> </w:t>
      </w:r>
      <w:r>
        <w:rPr>
          <w:b/>
          <w:spacing w:val="-2"/>
          <w:sz w:val="20"/>
        </w:rPr>
        <w:t>visit):</w:t>
      </w:r>
    </w:p>
    <w:p>
      <w:pPr>
        <w:pStyle w:val="BodyText"/>
        <w:spacing w:before="123"/>
        <w:ind w:left="1159"/>
      </w:pPr>
      <w:r>
        <w:rPr/>
        <w:t>2012</w:t>
      </w:r>
      <w:r>
        <w:rPr>
          <w:spacing w:val="-5"/>
        </w:rPr>
        <w:t> </w:t>
      </w:r>
      <w:r>
        <w:rPr/>
        <w:t>and</w:t>
      </w:r>
      <w:r>
        <w:rPr>
          <w:spacing w:val="-6"/>
        </w:rPr>
        <w:t> </w:t>
      </w:r>
      <w:r>
        <w:rPr/>
        <w:t>2013</w:t>
      </w:r>
      <w:r>
        <w:rPr>
          <w:spacing w:val="-7"/>
        </w:rPr>
        <w:t> </w:t>
      </w:r>
      <w:r>
        <w:rPr/>
        <w:t>-</w:t>
      </w:r>
      <w:r>
        <w:rPr>
          <w:spacing w:val="-5"/>
        </w:rPr>
        <w:t> </w:t>
      </w:r>
      <w:r>
        <w:rPr/>
        <w:t>Dr.</w:t>
      </w:r>
      <w:r>
        <w:rPr>
          <w:spacing w:val="-9"/>
        </w:rPr>
        <w:t> </w:t>
      </w:r>
      <w:r>
        <w:rPr/>
        <w:t>Wesley</w:t>
      </w:r>
      <w:r>
        <w:rPr>
          <w:spacing w:val="-7"/>
        </w:rPr>
        <w:t> </w:t>
      </w:r>
      <w:r>
        <w:rPr/>
        <w:t>Henderson</w:t>
      </w:r>
      <w:r>
        <w:rPr>
          <w:spacing w:val="-6"/>
        </w:rPr>
        <w:t> </w:t>
      </w:r>
      <w:r>
        <w:rPr/>
        <w:t>(F/T),</w:t>
      </w:r>
      <w:r>
        <w:rPr>
          <w:spacing w:val="-7"/>
        </w:rPr>
        <w:t> </w:t>
      </w:r>
      <w:r>
        <w:rPr/>
        <w:t>Dr.</w:t>
      </w:r>
      <w:r>
        <w:rPr>
          <w:spacing w:val="-6"/>
        </w:rPr>
        <w:t> </w:t>
      </w:r>
      <w:r>
        <w:rPr/>
        <w:t>Carmina</w:t>
      </w:r>
      <w:r>
        <w:rPr>
          <w:spacing w:val="-6"/>
        </w:rPr>
        <w:t> </w:t>
      </w:r>
      <w:r>
        <w:rPr/>
        <w:t>Sánchez-del-Valle</w:t>
      </w:r>
      <w:r>
        <w:rPr>
          <w:spacing w:val="-7"/>
        </w:rPr>
        <w:t> </w:t>
      </w:r>
      <w:r>
        <w:rPr>
          <w:spacing w:val="-2"/>
        </w:rPr>
        <w:t>(F/T)</w:t>
      </w:r>
    </w:p>
    <w:p>
      <w:pPr>
        <w:spacing w:after="0"/>
        <w:sectPr>
          <w:headerReference w:type="default" r:id="rId237"/>
          <w:footerReference w:type="default" r:id="rId238"/>
          <w:pgSz w:w="12240" w:h="15840"/>
          <w:pgMar w:header="993" w:footer="974" w:top="1240" w:bottom="1160" w:left="1000" w:right="820"/>
        </w:sectPr>
      </w:pPr>
    </w:p>
    <w:p>
      <w:pPr>
        <w:spacing w:before="115"/>
        <w:ind w:left="440" w:right="0" w:firstLine="0"/>
        <w:jc w:val="left"/>
        <w:rPr>
          <w:b/>
          <w:sz w:val="20"/>
        </w:rPr>
      </w:pPr>
      <w:r>
        <w:rPr>
          <w:b/>
          <w:sz w:val="20"/>
        </w:rPr>
        <w:t>Course</w:t>
      </w:r>
      <w:r>
        <w:rPr>
          <w:b/>
          <w:spacing w:val="-10"/>
          <w:sz w:val="20"/>
        </w:rPr>
        <w:t> </w:t>
      </w:r>
      <w:r>
        <w:rPr>
          <w:b/>
          <w:spacing w:val="-2"/>
          <w:sz w:val="20"/>
        </w:rPr>
        <w:t>Description:</w:t>
      </w:r>
    </w:p>
    <w:p>
      <w:pPr>
        <w:pStyle w:val="BodyText"/>
        <w:spacing w:before="122"/>
        <w:ind w:left="1160" w:right="642"/>
      </w:pPr>
      <w:r>
        <w:rPr/>
        <w:t>Self-directed</w:t>
      </w:r>
      <w:r>
        <w:rPr>
          <w:spacing w:val="-2"/>
        </w:rPr>
        <w:t> </w:t>
      </w:r>
      <w:r>
        <w:rPr/>
        <w:t>inquiry</w:t>
      </w:r>
      <w:r>
        <w:rPr>
          <w:spacing w:val="-7"/>
        </w:rPr>
        <w:t> </w:t>
      </w:r>
      <w:r>
        <w:rPr/>
        <w:t>based</w:t>
      </w:r>
      <w:r>
        <w:rPr>
          <w:spacing w:val="-2"/>
        </w:rPr>
        <w:t> </w:t>
      </w:r>
      <w:r>
        <w:rPr/>
        <w:t>on</w:t>
      </w:r>
      <w:r>
        <w:rPr>
          <w:spacing w:val="-4"/>
        </w:rPr>
        <w:t> </w:t>
      </w:r>
      <w:r>
        <w:rPr/>
        <w:t>the</w:t>
      </w:r>
      <w:r>
        <w:rPr>
          <w:spacing w:val="-4"/>
        </w:rPr>
        <w:t> </w:t>
      </w:r>
      <w:r>
        <w:rPr/>
        <w:t>thesis</w:t>
      </w:r>
      <w:r>
        <w:rPr>
          <w:spacing w:val="-3"/>
        </w:rPr>
        <w:t> </w:t>
      </w:r>
      <w:r>
        <w:rPr/>
        <w:t>argument</w:t>
      </w:r>
      <w:r>
        <w:rPr>
          <w:spacing w:val="-4"/>
        </w:rPr>
        <w:t> </w:t>
      </w:r>
      <w:r>
        <w:rPr/>
        <w:t>and</w:t>
      </w:r>
      <w:r>
        <w:rPr>
          <w:spacing w:val="-2"/>
        </w:rPr>
        <w:t> </w:t>
      </w:r>
      <w:r>
        <w:rPr/>
        <w:t>research</w:t>
      </w:r>
      <w:r>
        <w:rPr>
          <w:spacing w:val="-4"/>
        </w:rPr>
        <w:t> </w:t>
      </w:r>
      <w:r>
        <w:rPr/>
        <w:t>proposal</w:t>
      </w:r>
      <w:r>
        <w:rPr>
          <w:spacing w:val="-3"/>
        </w:rPr>
        <w:t> </w:t>
      </w:r>
      <w:r>
        <w:rPr/>
        <w:t>articulated</w:t>
      </w:r>
      <w:r>
        <w:rPr>
          <w:spacing w:val="-4"/>
        </w:rPr>
        <w:t> </w:t>
      </w:r>
      <w:r>
        <w:rPr/>
        <w:t>in</w:t>
      </w:r>
      <w:r>
        <w:rPr>
          <w:spacing w:val="-4"/>
        </w:rPr>
        <w:t> </w:t>
      </w:r>
      <w:r>
        <w:rPr/>
        <w:t>ARC</w:t>
      </w:r>
      <w:r>
        <w:rPr>
          <w:spacing w:val="-4"/>
        </w:rPr>
        <w:t> </w:t>
      </w:r>
      <w:r>
        <w:rPr/>
        <w:t>601. Studio directed towards generating a personal and visionary interpretation of architecture.</w:t>
      </w:r>
    </w:p>
    <w:p>
      <w:pPr>
        <w:spacing w:before="119"/>
        <w:ind w:left="439" w:right="0" w:firstLine="0"/>
        <w:jc w:val="left"/>
        <w:rPr>
          <w:b/>
          <w:sz w:val="20"/>
        </w:rPr>
      </w:pPr>
      <w:r>
        <w:rPr>
          <w:b/>
          <w:sz w:val="20"/>
        </w:rPr>
        <w:t>Course</w:t>
      </w:r>
      <w:r>
        <w:rPr>
          <w:b/>
          <w:spacing w:val="-6"/>
          <w:sz w:val="20"/>
        </w:rPr>
        <w:t> </w:t>
      </w:r>
      <w:r>
        <w:rPr>
          <w:b/>
          <w:sz w:val="20"/>
        </w:rPr>
        <w:t>Goals</w:t>
      </w:r>
      <w:r>
        <w:rPr>
          <w:b/>
          <w:spacing w:val="-6"/>
          <w:sz w:val="20"/>
        </w:rPr>
        <w:t> </w:t>
      </w:r>
      <w:r>
        <w:rPr>
          <w:b/>
          <w:sz w:val="20"/>
        </w:rPr>
        <w:t>&amp;</w:t>
      </w:r>
      <w:r>
        <w:rPr>
          <w:b/>
          <w:spacing w:val="-5"/>
          <w:sz w:val="20"/>
        </w:rPr>
        <w:t> </w:t>
      </w:r>
      <w:r>
        <w:rPr>
          <w:b/>
          <w:spacing w:val="-2"/>
          <w:sz w:val="20"/>
        </w:rPr>
        <w:t>Objectives:</w:t>
      </w:r>
    </w:p>
    <w:p>
      <w:pPr>
        <w:pStyle w:val="BodyText"/>
        <w:spacing w:before="123"/>
        <w:ind w:left="1160" w:right="642" w:hanging="1"/>
      </w:pPr>
      <w:r>
        <w:rPr/>
        <w:t>Develop ability to apply critical thinking skills to examine and resolve environmental challenges through design in an architectural setting. Demonstrate oral, written, graphic and modeling skills expected</w:t>
      </w:r>
      <w:r>
        <w:rPr>
          <w:spacing w:val="-3"/>
        </w:rPr>
        <w:t> </w:t>
      </w:r>
      <w:r>
        <w:rPr/>
        <w:t>in</w:t>
      </w:r>
      <w:r>
        <w:rPr>
          <w:spacing w:val="-3"/>
        </w:rPr>
        <w:t> </w:t>
      </w:r>
      <w:r>
        <w:rPr/>
        <w:t>an</w:t>
      </w:r>
      <w:r>
        <w:rPr>
          <w:spacing w:val="-3"/>
        </w:rPr>
        <w:t> </w:t>
      </w:r>
      <w:r>
        <w:rPr/>
        <w:t>architectural</w:t>
      </w:r>
      <w:r>
        <w:rPr>
          <w:spacing w:val="-4"/>
        </w:rPr>
        <w:t> </w:t>
      </w:r>
      <w:r>
        <w:rPr/>
        <w:t>professional</w:t>
      </w:r>
      <w:r>
        <w:rPr>
          <w:spacing w:val="-6"/>
        </w:rPr>
        <w:t> </w:t>
      </w:r>
      <w:r>
        <w:rPr/>
        <w:t>setting.</w:t>
      </w:r>
      <w:r>
        <w:rPr>
          <w:spacing w:val="-3"/>
        </w:rPr>
        <w:t> </w:t>
      </w:r>
      <w:r>
        <w:rPr/>
        <w:t>Demonstrate</w:t>
      </w:r>
      <w:r>
        <w:rPr>
          <w:spacing w:val="-5"/>
        </w:rPr>
        <w:t> </w:t>
      </w:r>
      <w:r>
        <w:rPr/>
        <w:t>ability</w:t>
      </w:r>
      <w:r>
        <w:rPr>
          <w:spacing w:val="-8"/>
        </w:rPr>
        <w:t> </w:t>
      </w:r>
      <w:r>
        <w:rPr/>
        <w:t>to</w:t>
      </w:r>
      <w:r>
        <w:rPr>
          <w:spacing w:val="-5"/>
        </w:rPr>
        <w:t> </w:t>
      </w:r>
      <w:r>
        <w:rPr/>
        <w:t>generate</w:t>
      </w:r>
      <w:r>
        <w:rPr>
          <w:spacing w:val="-5"/>
        </w:rPr>
        <w:t> </w:t>
      </w:r>
      <w:r>
        <w:rPr/>
        <w:t>an</w:t>
      </w:r>
      <w:r>
        <w:rPr>
          <w:spacing w:val="-5"/>
        </w:rPr>
        <w:t> </w:t>
      </w:r>
      <w:r>
        <w:rPr/>
        <w:t>architectural </w:t>
      </w:r>
      <w:r>
        <w:rPr>
          <w:rFonts w:ascii="Arial-BoldItalicMT"/>
          <w:b/>
          <w:i/>
        </w:rPr>
        <w:t>proposal argument </w:t>
      </w:r>
      <w:r>
        <w:rPr/>
        <w:t>using design as research methodology: research through design.</w:t>
      </w:r>
    </w:p>
    <w:p>
      <w:pPr>
        <w:pStyle w:val="ListParagraph"/>
        <w:numPr>
          <w:ilvl w:val="0"/>
          <w:numId w:val="61"/>
        </w:numPr>
        <w:tabs>
          <w:tab w:pos="1520" w:val="left" w:leader="none"/>
          <w:tab w:pos="1521" w:val="left" w:leader="none"/>
        </w:tabs>
        <w:spacing w:line="240" w:lineRule="auto" w:before="14" w:after="0"/>
        <w:ind w:left="1520" w:right="1475" w:hanging="360"/>
        <w:jc w:val="left"/>
        <w:rPr>
          <w:sz w:val="20"/>
        </w:rPr>
      </w:pPr>
      <w:r>
        <w:rPr>
          <w:sz w:val="20"/>
        </w:rPr>
        <w:t>To</w:t>
      </w:r>
      <w:r>
        <w:rPr>
          <w:spacing w:val="-5"/>
          <w:sz w:val="20"/>
        </w:rPr>
        <w:t> </w:t>
      </w:r>
      <w:r>
        <w:rPr>
          <w:sz w:val="20"/>
        </w:rPr>
        <w:t>further</w:t>
      </w:r>
      <w:r>
        <w:rPr>
          <w:spacing w:val="-4"/>
          <w:sz w:val="20"/>
        </w:rPr>
        <w:t> </w:t>
      </w:r>
      <w:r>
        <w:rPr>
          <w:sz w:val="20"/>
        </w:rPr>
        <w:t>develop</w:t>
      </w:r>
      <w:r>
        <w:rPr>
          <w:spacing w:val="-3"/>
          <w:sz w:val="20"/>
        </w:rPr>
        <w:t> </w:t>
      </w:r>
      <w:r>
        <w:rPr>
          <w:sz w:val="20"/>
        </w:rPr>
        <w:t>creative</w:t>
      </w:r>
      <w:r>
        <w:rPr>
          <w:spacing w:val="-3"/>
          <w:sz w:val="20"/>
        </w:rPr>
        <w:t> </w:t>
      </w:r>
      <w:r>
        <w:rPr>
          <w:sz w:val="20"/>
        </w:rPr>
        <w:t>critical</w:t>
      </w:r>
      <w:r>
        <w:rPr>
          <w:spacing w:val="-6"/>
          <w:sz w:val="20"/>
        </w:rPr>
        <w:t> </w:t>
      </w:r>
      <w:r>
        <w:rPr>
          <w:sz w:val="20"/>
        </w:rPr>
        <w:t>thinking</w:t>
      </w:r>
      <w:r>
        <w:rPr>
          <w:spacing w:val="-5"/>
          <w:sz w:val="20"/>
        </w:rPr>
        <w:t> </w:t>
      </w:r>
      <w:r>
        <w:rPr>
          <w:sz w:val="20"/>
        </w:rPr>
        <w:t>skills</w:t>
      </w:r>
      <w:r>
        <w:rPr>
          <w:spacing w:val="-4"/>
          <w:sz w:val="20"/>
        </w:rPr>
        <w:t> </w:t>
      </w:r>
      <w:r>
        <w:rPr>
          <w:sz w:val="20"/>
        </w:rPr>
        <w:t>alongside</w:t>
      </w:r>
      <w:r>
        <w:rPr>
          <w:spacing w:val="-3"/>
          <w:sz w:val="20"/>
        </w:rPr>
        <w:t> </w:t>
      </w:r>
      <w:r>
        <w:rPr>
          <w:sz w:val="20"/>
        </w:rPr>
        <w:t>design</w:t>
      </w:r>
      <w:r>
        <w:rPr>
          <w:spacing w:val="-5"/>
          <w:sz w:val="20"/>
        </w:rPr>
        <w:t> </w:t>
      </w:r>
      <w:r>
        <w:rPr>
          <w:sz w:val="20"/>
        </w:rPr>
        <w:t>skills,</w:t>
      </w:r>
      <w:r>
        <w:rPr>
          <w:spacing w:val="-5"/>
          <w:sz w:val="20"/>
        </w:rPr>
        <w:t> </w:t>
      </w:r>
      <w:r>
        <w:rPr>
          <w:sz w:val="20"/>
        </w:rPr>
        <w:t>in</w:t>
      </w:r>
      <w:r>
        <w:rPr>
          <w:spacing w:val="-5"/>
          <w:sz w:val="20"/>
        </w:rPr>
        <w:t> </w:t>
      </w:r>
      <w:r>
        <w:rPr>
          <w:sz w:val="20"/>
        </w:rPr>
        <w:t>particular synthesis and evaluation in the generation of architectural work.</w:t>
      </w:r>
    </w:p>
    <w:p>
      <w:pPr>
        <w:pStyle w:val="ListParagraph"/>
        <w:numPr>
          <w:ilvl w:val="0"/>
          <w:numId w:val="61"/>
        </w:numPr>
        <w:tabs>
          <w:tab w:pos="1519" w:val="left" w:leader="none"/>
          <w:tab w:pos="1521" w:val="left" w:leader="none"/>
        </w:tabs>
        <w:spacing w:line="240" w:lineRule="auto" w:before="10" w:after="0"/>
        <w:ind w:left="1520" w:right="1028" w:hanging="360"/>
        <w:jc w:val="left"/>
        <w:rPr>
          <w:sz w:val="20"/>
        </w:rPr>
      </w:pPr>
      <w:r>
        <w:rPr>
          <w:sz w:val="20"/>
        </w:rPr>
        <w:t>To</w:t>
      </w:r>
      <w:r>
        <w:rPr>
          <w:spacing w:val="-4"/>
          <w:sz w:val="20"/>
        </w:rPr>
        <w:t> </w:t>
      </w:r>
      <w:r>
        <w:rPr>
          <w:sz w:val="20"/>
        </w:rPr>
        <w:t>construct</w:t>
      </w:r>
      <w:r>
        <w:rPr>
          <w:spacing w:val="-4"/>
          <w:sz w:val="20"/>
        </w:rPr>
        <w:t> </w:t>
      </w:r>
      <w:r>
        <w:rPr>
          <w:sz w:val="20"/>
        </w:rPr>
        <w:t>a</w:t>
      </w:r>
      <w:r>
        <w:rPr>
          <w:spacing w:val="-4"/>
          <w:sz w:val="20"/>
        </w:rPr>
        <w:t> </w:t>
      </w:r>
      <w:r>
        <w:rPr>
          <w:sz w:val="20"/>
        </w:rPr>
        <w:t>personal</w:t>
      </w:r>
      <w:r>
        <w:rPr>
          <w:spacing w:val="-5"/>
          <w:sz w:val="20"/>
        </w:rPr>
        <w:t> </w:t>
      </w:r>
      <w:r>
        <w:rPr>
          <w:sz w:val="20"/>
        </w:rPr>
        <w:t>and</w:t>
      </w:r>
      <w:r>
        <w:rPr>
          <w:spacing w:val="-4"/>
          <w:sz w:val="20"/>
        </w:rPr>
        <w:t> </w:t>
      </w:r>
      <w:r>
        <w:rPr>
          <w:sz w:val="20"/>
        </w:rPr>
        <w:t>visionary</w:t>
      </w:r>
      <w:r>
        <w:rPr>
          <w:spacing w:val="-5"/>
          <w:sz w:val="20"/>
        </w:rPr>
        <w:t> </w:t>
      </w:r>
      <w:r>
        <w:rPr>
          <w:i/>
          <w:sz w:val="20"/>
        </w:rPr>
        <w:t>interpretation</w:t>
      </w:r>
      <w:r>
        <w:rPr>
          <w:i/>
          <w:spacing w:val="-4"/>
          <w:sz w:val="20"/>
        </w:rPr>
        <w:t> </w:t>
      </w:r>
      <w:r>
        <w:rPr>
          <w:i/>
          <w:sz w:val="20"/>
        </w:rPr>
        <w:t>of</w:t>
      </w:r>
      <w:r>
        <w:rPr>
          <w:i/>
          <w:spacing w:val="-2"/>
          <w:sz w:val="20"/>
        </w:rPr>
        <w:t> </w:t>
      </w:r>
      <w:r>
        <w:rPr>
          <w:i/>
          <w:sz w:val="20"/>
        </w:rPr>
        <w:t>architecture</w:t>
      </w:r>
      <w:r>
        <w:rPr>
          <w:sz w:val="20"/>
        </w:rPr>
        <w:t>,</w:t>
      </w:r>
      <w:r>
        <w:rPr>
          <w:spacing w:val="-4"/>
          <w:sz w:val="20"/>
        </w:rPr>
        <w:t> </w:t>
      </w:r>
      <w:r>
        <w:rPr>
          <w:sz w:val="20"/>
        </w:rPr>
        <w:t>exploring</w:t>
      </w:r>
      <w:r>
        <w:rPr>
          <w:spacing w:val="-1"/>
          <w:sz w:val="20"/>
        </w:rPr>
        <w:t> </w:t>
      </w:r>
      <w:r>
        <w:rPr>
          <w:i/>
          <w:sz w:val="20"/>
        </w:rPr>
        <w:t>design</w:t>
      </w:r>
      <w:r>
        <w:rPr>
          <w:i/>
          <w:spacing w:val="-4"/>
          <w:sz w:val="20"/>
        </w:rPr>
        <w:t> </w:t>
      </w:r>
      <w:r>
        <w:rPr>
          <w:i/>
          <w:sz w:val="20"/>
        </w:rPr>
        <w:t>as</w:t>
      </w:r>
      <w:r>
        <w:rPr>
          <w:i/>
          <w:spacing w:val="-3"/>
          <w:sz w:val="20"/>
        </w:rPr>
        <w:t> </w:t>
      </w:r>
      <w:r>
        <w:rPr>
          <w:i/>
          <w:sz w:val="20"/>
        </w:rPr>
        <w:t>a form of research</w:t>
      </w:r>
      <w:r>
        <w:rPr>
          <w:sz w:val="20"/>
        </w:rPr>
        <w:t>. This involves following a student-defined process that is systematic, replicable, iterative, and verifiable.</w:t>
      </w:r>
    </w:p>
    <w:p>
      <w:pPr>
        <w:pStyle w:val="ListParagraph"/>
        <w:numPr>
          <w:ilvl w:val="0"/>
          <w:numId w:val="61"/>
        </w:numPr>
        <w:tabs>
          <w:tab w:pos="1519" w:val="left" w:leader="none"/>
          <w:tab w:pos="1520" w:val="left" w:leader="none"/>
        </w:tabs>
        <w:spacing w:line="240" w:lineRule="auto" w:before="15" w:after="0"/>
        <w:ind w:left="1520" w:right="1084" w:hanging="360"/>
        <w:jc w:val="left"/>
        <w:rPr>
          <w:sz w:val="20"/>
        </w:rPr>
      </w:pPr>
      <w:r>
        <w:rPr>
          <w:sz w:val="20"/>
        </w:rPr>
        <w:t>To</w:t>
      </w:r>
      <w:r>
        <w:rPr>
          <w:spacing w:val="-4"/>
          <w:sz w:val="20"/>
        </w:rPr>
        <w:t> </w:t>
      </w:r>
      <w:r>
        <w:rPr>
          <w:sz w:val="20"/>
        </w:rPr>
        <w:t>investigate</w:t>
      </w:r>
      <w:r>
        <w:rPr>
          <w:spacing w:val="-4"/>
          <w:sz w:val="20"/>
        </w:rPr>
        <w:t> </w:t>
      </w:r>
      <w:r>
        <w:rPr>
          <w:sz w:val="20"/>
        </w:rPr>
        <w:t>the</w:t>
      </w:r>
      <w:r>
        <w:rPr>
          <w:spacing w:val="-4"/>
          <w:sz w:val="20"/>
        </w:rPr>
        <w:t> </w:t>
      </w:r>
      <w:r>
        <w:rPr>
          <w:sz w:val="20"/>
        </w:rPr>
        <w:t>use</w:t>
      </w:r>
      <w:r>
        <w:rPr>
          <w:spacing w:val="-2"/>
          <w:sz w:val="20"/>
        </w:rPr>
        <w:t> </w:t>
      </w:r>
      <w:r>
        <w:rPr>
          <w:sz w:val="20"/>
        </w:rPr>
        <w:t>of</w:t>
      </w:r>
      <w:r>
        <w:rPr>
          <w:spacing w:val="-2"/>
          <w:sz w:val="20"/>
        </w:rPr>
        <w:t> </w:t>
      </w:r>
      <w:r>
        <w:rPr>
          <w:sz w:val="20"/>
        </w:rPr>
        <w:t>the</w:t>
      </w:r>
      <w:r>
        <w:rPr>
          <w:spacing w:val="-4"/>
          <w:sz w:val="20"/>
        </w:rPr>
        <w:t> </w:t>
      </w:r>
      <w:r>
        <w:rPr>
          <w:sz w:val="20"/>
        </w:rPr>
        <w:t>process</w:t>
      </w:r>
      <w:r>
        <w:rPr>
          <w:spacing w:val="-3"/>
          <w:sz w:val="20"/>
        </w:rPr>
        <w:t> </w:t>
      </w:r>
      <w:r>
        <w:rPr>
          <w:sz w:val="20"/>
        </w:rPr>
        <w:t>of</w:t>
      </w:r>
      <w:r>
        <w:rPr>
          <w:spacing w:val="-2"/>
          <w:sz w:val="20"/>
        </w:rPr>
        <w:t> </w:t>
      </w:r>
      <w:r>
        <w:rPr>
          <w:sz w:val="20"/>
        </w:rPr>
        <w:t>design</w:t>
      </w:r>
      <w:r>
        <w:rPr>
          <w:spacing w:val="-4"/>
          <w:sz w:val="20"/>
        </w:rPr>
        <w:t> </w:t>
      </w:r>
      <w:r>
        <w:rPr>
          <w:sz w:val="20"/>
        </w:rPr>
        <w:t>as</w:t>
      </w:r>
      <w:r>
        <w:rPr>
          <w:spacing w:val="-1"/>
          <w:sz w:val="20"/>
        </w:rPr>
        <w:t> </w:t>
      </w:r>
      <w:r>
        <w:rPr>
          <w:sz w:val="20"/>
        </w:rPr>
        <w:t>thinking</w:t>
      </w:r>
      <w:r>
        <w:rPr>
          <w:spacing w:val="-4"/>
          <w:sz w:val="20"/>
        </w:rPr>
        <w:t> </w:t>
      </w:r>
      <w:r>
        <w:rPr>
          <w:sz w:val="20"/>
        </w:rPr>
        <w:t>in</w:t>
      </w:r>
      <w:r>
        <w:rPr>
          <w:spacing w:val="-4"/>
          <w:sz w:val="20"/>
        </w:rPr>
        <w:t> </w:t>
      </w:r>
      <w:r>
        <w:rPr>
          <w:sz w:val="20"/>
        </w:rPr>
        <w:t>action:</w:t>
      </w:r>
      <w:r>
        <w:rPr>
          <w:spacing w:val="-4"/>
          <w:sz w:val="20"/>
        </w:rPr>
        <w:t> </w:t>
      </w:r>
      <w:r>
        <w:rPr>
          <w:sz w:val="20"/>
          <w:u w:val="single"/>
        </w:rPr>
        <w:t>making</w:t>
      </w:r>
      <w:r>
        <w:rPr>
          <w:spacing w:val="-4"/>
          <w:sz w:val="20"/>
          <w:u w:val="single"/>
        </w:rPr>
        <w:t> </w:t>
      </w:r>
      <w:r>
        <w:rPr>
          <w:sz w:val="20"/>
          <w:u w:val="single"/>
        </w:rPr>
        <w:t>as</w:t>
      </w:r>
      <w:r>
        <w:rPr>
          <w:spacing w:val="-3"/>
          <w:sz w:val="20"/>
          <w:u w:val="single"/>
        </w:rPr>
        <w:t> </w:t>
      </w:r>
      <w:r>
        <w:rPr>
          <w:sz w:val="20"/>
          <w:u w:val="single"/>
        </w:rPr>
        <w:t>a</w:t>
      </w:r>
      <w:r>
        <w:rPr>
          <w:spacing w:val="-2"/>
          <w:sz w:val="20"/>
          <w:u w:val="single"/>
        </w:rPr>
        <w:t> </w:t>
      </w:r>
      <w:r>
        <w:rPr>
          <w:sz w:val="20"/>
          <w:u w:val="single"/>
        </w:rPr>
        <w:t>form of</w:t>
      </w:r>
      <w:r>
        <w:rPr>
          <w:sz w:val="20"/>
        </w:rPr>
        <w:t> </w:t>
      </w:r>
      <w:r>
        <w:rPr>
          <w:spacing w:val="-2"/>
          <w:sz w:val="20"/>
          <w:u w:val="single"/>
        </w:rPr>
        <w:t>thinking</w:t>
      </w:r>
      <w:r>
        <w:rPr>
          <w:spacing w:val="-2"/>
          <w:sz w:val="20"/>
        </w:rPr>
        <w:t>.</w:t>
      </w:r>
    </w:p>
    <w:p>
      <w:pPr>
        <w:pStyle w:val="ListParagraph"/>
        <w:numPr>
          <w:ilvl w:val="0"/>
          <w:numId w:val="61"/>
        </w:numPr>
        <w:tabs>
          <w:tab w:pos="1519" w:val="left" w:leader="none"/>
          <w:tab w:pos="1520" w:val="left" w:leader="none"/>
        </w:tabs>
        <w:spacing w:line="240" w:lineRule="auto" w:before="16" w:after="0"/>
        <w:ind w:left="1519" w:right="765" w:hanging="360"/>
        <w:jc w:val="left"/>
        <w:rPr>
          <w:sz w:val="20"/>
        </w:rPr>
      </w:pPr>
      <w:r>
        <w:rPr>
          <w:sz w:val="20"/>
        </w:rPr>
        <w:t>To</w:t>
      </w:r>
      <w:r>
        <w:rPr>
          <w:spacing w:val="-3"/>
          <w:sz w:val="20"/>
        </w:rPr>
        <w:t> </w:t>
      </w:r>
      <w:r>
        <w:rPr>
          <w:sz w:val="20"/>
        </w:rPr>
        <w:t>document</w:t>
      </w:r>
      <w:r>
        <w:rPr>
          <w:spacing w:val="-3"/>
          <w:sz w:val="20"/>
        </w:rPr>
        <w:t> </w:t>
      </w:r>
      <w:r>
        <w:rPr>
          <w:sz w:val="20"/>
        </w:rPr>
        <w:t>the</w:t>
      </w:r>
      <w:r>
        <w:rPr>
          <w:spacing w:val="-3"/>
          <w:sz w:val="20"/>
        </w:rPr>
        <w:t> </w:t>
      </w:r>
      <w:r>
        <w:rPr>
          <w:sz w:val="20"/>
        </w:rPr>
        <w:t>research</w:t>
      </w:r>
      <w:r>
        <w:rPr>
          <w:spacing w:val="-1"/>
          <w:sz w:val="20"/>
        </w:rPr>
        <w:t> </w:t>
      </w:r>
      <w:r>
        <w:rPr>
          <w:sz w:val="20"/>
        </w:rPr>
        <w:t>process,</w:t>
      </w:r>
      <w:r>
        <w:rPr>
          <w:spacing w:val="-3"/>
          <w:sz w:val="20"/>
        </w:rPr>
        <w:t> </w:t>
      </w:r>
      <w:r>
        <w:rPr>
          <w:sz w:val="20"/>
        </w:rPr>
        <w:t>reflect</w:t>
      </w:r>
      <w:r>
        <w:rPr>
          <w:spacing w:val="-3"/>
          <w:sz w:val="20"/>
        </w:rPr>
        <w:t> </w:t>
      </w:r>
      <w:r>
        <w:rPr>
          <w:sz w:val="20"/>
        </w:rPr>
        <w:t>on</w:t>
      </w:r>
      <w:r>
        <w:rPr>
          <w:spacing w:val="-1"/>
          <w:sz w:val="20"/>
        </w:rPr>
        <w:t> </w:t>
      </w:r>
      <w:r>
        <w:rPr>
          <w:sz w:val="20"/>
        </w:rPr>
        <w:t>its</w:t>
      </w:r>
      <w:r>
        <w:rPr>
          <w:spacing w:val="-2"/>
          <w:sz w:val="20"/>
        </w:rPr>
        <w:t> </w:t>
      </w:r>
      <w:r>
        <w:rPr>
          <w:sz w:val="20"/>
        </w:rPr>
        <w:t>preliminary</w:t>
      </w:r>
      <w:r>
        <w:rPr>
          <w:spacing w:val="-9"/>
          <w:sz w:val="20"/>
        </w:rPr>
        <w:t> </w:t>
      </w:r>
      <w:r>
        <w:rPr>
          <w:sz w:val="20"/>
        </w:rPr>
        <w:t>results,</w:t>
      </w:r>
      <w:r>
        <w:rPr>
          <w:spacing w:val="-3"/>
          <w:sz w:val="20"/>
        </w:rPr>
        <w:t> </w:t>
      </w:r>
      <w:r>
        <w:rPr>
          <w:sz w:val="20"/>
        </w:rPr>
        <w:t>and</w:t>
      </w:r>
      <w:r>
        <w:rPr>
          <w:spacing w:val="-3"/>
          <w:sz w:val="20"/>
        </w:rPr>
        <w:t> </w:t>
      </w:r>
      <w:r>
        <w:rPr>
          <w:sz w:val="20"/>
        </w:rPr>
        <w:t>modify</w:t>
      </w:r>
      <w:r>
        <w:rPr>
          <w:spacing w:val="-6"/>
          <w:sz w:val="20"/>
        </w:rPr>
        <w:t> </w:t>
      </w:r>
      <w:r>
        <w:rPr>
          <w:sz w:val="20"/>
        </w:rPr>
        <w:t>the</w:t>
      </w:r>
      <w:r>
        <w:rPr>
          <w:spacing w:val="-3"/>
          <w:sz w:val="20"/>
        </w:rPr>
        <w:t> </w:t>
      </w:r>
      <w:r>
        <w:rPr>
          <w:sz w:val="20"/>
        </w:rPr>
        <w:t>process as necessary.</w:t>
      </w:r>
    </w:p>
    <w:p>
      <w:pPr>
        <w:pStyle w:val="ListParagraph"/>
        <w:numPr>
          <w:ilvl w:val="0"/>
          <w:numId w:val="61"/>
        </w:numPr>
        <w:tabs>
          <w:tab w:pos="1519" w:val="left" w:leader="none"/>
          <w:tab w:pos="1520" w:val="left" w:leader="none"/>
        </w:tabs>
        <w:spacing w:line="240" w:lineRule="auto" w:before="13" w:after="0"/>
        <w:ind w:left="1519" w:right="975" w:hanging="360"/>
        <w:jc w:val="left"/>
        <w:rPr>
          <w:sz w:val="20"/>
        </w:rPr>
      </w:pPr>
      <w:r>
        <w:rPr>
          <w:sz w:val="20"/>
        </w:rPr>
        <w:t>To</w:t>
      </w:r>
      <w:r>
        <w:rPr>
          <w:spacing w:val="-4"/>
          <w:sz w:val="20"/>
        </w:rPr>
        <w:t> </w:t>
      </w:r>
      <w:r>
        <w:rPr>
          <w:sz w:val="20"/>
        </w:rPr>
        <w:t>examine</w:t>
      </w:r>
      <w:r>
        <w:rPr>
          <w:spacing w:val="-4"/>
          <w:sz w:val="20"/>
        </w:rPr>
        <w:t> </w:t>
      </w:r>
      <w:r>
        <w:rPr>
          <w:sz w:val="20"/>
        </w:rPr>
        <w:t>the</w:t>
      </w:r>
      <w:r>
        <w:rPr>
          <w:spacing w:val="-2"/>
          <w:sz w:val="20"/>
        </w:rPr>
        <w:t> </w:t>
      </w:r>
      <w:r>
        <w:rPr>
          <w:sz w:val="20"/>
        </w:rPr>
        <w:t>design</w:t>
      </w:r>
      <w:r>
        <w:rPr>
          <w:spacing w:val="-2"/>
          <w:sz w:val="20"/>
        </w:rPr>
        <w:t> </w:t>
      </w:r>
      <w:r>
        <w:rPr>
          <w:sz w:val="20"/>
        </w:rPr>
        <w:t>inquiry</w:t>
      </w:r>
      <w:r>
        <w:rPr>
          <w:spacing w:val="-5"/>
          <w:sz w:val="20"/>
        </w:rPr>
        <w:t> </w:t>
      </w:r>
      <w:r>
        <w:rPr>
          <w:sz w:val="20"/>
        </w:rPr>
        <w:t>against</w:t>
      </w:r>
      <w:r>
        <w:rPr>
          <w:spacing w:val="-2"/>
          <w:sz w:val="20"/>
        </w:rPr>
        <w:t> </w:t>
      </w:r>
      <w:r>
        <w:rPr>
          <w:sz w:val="20"/>
        </w:rPr>
        <w:t>work generated</w:t>
      </w:r>
      <w:r>
        <w:rPr>
          <w:spacing w:val="-4"/>
          <w:sz w:val="20"/>
        </w:rPr>
        <w:t> </w:t>
      </w:r>
      <w:r>
        <w:rPr>
          <w:sz w:val="20"/>
        </w:rPr>
        <w:t>by</w:t>
      </w:r>
      <w:r>
        <w:rPr>
          <w:spacing w:val="-7"/>
          <w:sz w:val="20"/>
        </w:rPr>
        <w:t> </w:t>
      </w:r>
      <w:r>
        <w:rPr>
          <w:sz w:val="20"/>
        </w:rPr>
        <w:t>contemporary</w:t>
      </w:r>
      <w:r>
        <w:rPr>
          <w:spacing w:val="-7"/>
          <w:sz w:val="20"/>
        </w:rPr>
        <w:t> </w:t>
      </w:r>
      <w:r>
        <w:rPr>
          <w:sz w:val="20"/>
        </w:rPr>
        <w:t>architects,</w:t>
      </w:r>
      <w:r>
        <w:rPr>
          <w:spacing w:val="-4"/>
          <w:sz w:val="20"/>
        </w:rPr>
        <w:t> </w:t>
      </w:r>
      <w:r>
        <w:rPr>
          <w:sz w:val="20"/>
        </w:rPr>
        <w:t>and</w:t>
      </w:r>
      <w:r>
        <w:rPr>
          <w:spacing w:val="-4"/>
          <w:sz w:val="20"/>
        </w:rPr>
        <w:t> </w:t>
      </w:r>
      <w:r>
        <w:rPr>
          <w:sz w:val="20"/>
        </w:rPr>
        <w:t>to discuss findings in light of the established body of work.</w:t>
      </w:r>
    </w:p>
    <w:p>
      <w:pPr>
        <w:pStyle w:val="ListParagraph"/>
        <w:numPr>
          <w:ilvl w:val="0"/>
          <w:numId w:val="61"/>
        </w:numPr>
        <w:tabs>
          <w:tab w:pos="1519" w:val="left" w:leader="none"/>
          <w:tab w:pos="1520" w:val="left" w:leader="none"/>
        </w:tabs>
        <w:spacing w:line="240" w:lineRule="auto" w:before="12" w:after="0"/>
        <w:ind w:left="1519" w:right="0" w:hanging="360"/>
        <w:jc w:val="left"/>
        <w:rPr>
          <w:sz w:val="20"/>
        </w:rPr>
      </w:pPr>
      <w:r>
        <w:rPr>
          <w:sz w:val="20"/>
        </w:rPr>
        <w:t>To</w:t>
      </w:r>
      <w:r>
        <w:rPr>
          <w:spacing w:val="-7"/>
          <w:sz w:val="20"/>
        </w:rPr>
        <w:t> </w:t>
      </w:r>
      <w:r>
        <w:rPr>
          <w:sz w:val="20"/>
        </w:rPr>
        <w:t>demonstrate</w:t>
      </w:r>
      <w:r>
        <w:rPr>
          <w:spacing w:val="-7"/>
          <w:sz w:val="20"/>
        </w:rPr>
        <w:t> </w:t>
      </w:r>
      <w:r>
        <w:rPr>
          <w:sz w:val="20"/>
        </w:rPr>
        <w:t>ability</w:t>
      </w:r>
      <w:r>
        <w:rPr>
          <w:spacing w:val="-9"/>
          <w:sz w:val="20"/>
        </w:rPr>
        <w:t> </w:t>
      </w:r>
      <w:r>
        <w:rPr>
          <w:sz w:val="20"/>
        </w:rPr>
        <w:t>to</w:t>
      </w:r>
      <w:r>
        <w:rPr>
          <w:spacing w:val="-7"/>
          <w:sz w:val="20"/>
        </w:rPr>
        <w:t> </w:t>
      </w:r>
      <w:r>
        <w:rPr>
          <w:sz w:val="20"/>
        </w:rPr>
        <w:t>apply</w:t>
      </w:r>
      <w:r>
        <w:rPr>
          <w:spacing w:val="-9"/>
          <w:sz w:val="20"/>
        </w:rPr>
        <w:t> </w:t>
      </w:r>
      <w:r>
        <w:rPr>
          <w:sz w:val="20"/>
        </w:rPr>
        <w:t>and</w:t>
      </w:r>
      <w:r>
        <w:rPr>
          <w:spacing w:val="-6"/>
          <w:sz w:val="20"/>
        </w:rPr>
        <w:t> </w:t>
      </w:r>
      <w:r>
        <w:rPr>
          <w:sz w:val="20"/>
        </w:rPr>
        <w:t>manipulate</w:t>
      </w:r>
      <w:r>
        <w:rPr>
          <w:spacing w:val="-7"/>
          <w:sz w:val="20"/>
        </w:rPr>
        <w:t> </w:t>
      </w:r>
      <w:r>
        <w:rPr>
          <w:sz w:val="20"/>
        </w:rPr>
        <w:t>basic</w:t>
      </w:r>
      <w:r>
        <w:rPr>
          <w:spacing w:val="-3"/>
          <w:sz w:val="20"/>
        </w:rPr>
        <w:t> </w:t>
      </w:r>
      <w:r>
        <w:rPr>
          <w:sz w:val="20"/>
        </w:rPr>
        <w:t>architectural</w:t>
      </w:r>
      <w:r>
        <w:rPr>
          <w:spacing w:val="-7"/>
          <w:sz w:val="20"/>
        </w:rPr>
        <w:t> </w:t>
      </w:r>
      <w:r>
        <w:rPr>
          <w:sz w:val="20"/>
        </w:rPr>
        <w:t>design</w:t>
      </w:r>
      <w:r>
        <w:rPr>
          <w:spacing w:val="-7"/>
          <w:sz w:val="20"/>
        </w:rPr>
        <w:t> </w:t>
      </w:r>
      <w:r>
        <w:rPr>
          <w:spacing w:val="-2"/>
          <w:sz w:val="20"/>
        </w:rPr>
        <w:t>principles.</w:t>
      </w:r>
    </w:p>
    <w:p>
      <w:pPr>
        <w:pStyle w:val="ListParagraph"/>
        <w:numPr>
          <w:ilvl w:val="0"/>
          <w:numId w:val="61"/>
        </w:numPr>
        <w:tabs>
          <w:tab w:pos="1519" w:val="left" w:leader="none"/>
          <w:tab w:pos="1520" w:val="left" w:leader="none"/>
        </w:tabs>
        <w:spacing w:line="240" w:lineRule="auto" w:before="15" w:after="0"/>
        <w:ind w:left="1519" w:right="1318" w:hanging="360"/>
        <w:jc w:val="left"/>
        <w:rPr>
          <w:sz w:val="20"/>
        </w:rPr>
      </w:pPr>
      <w:r>
        <w:rPr>
          <w:sz w:val="20"/>
        </w:rPr>
        <w:t>To</w:t>
      </w:r>
      <w:r>
        <w:rPr>
          <w:spacing w:val="-4"/>
          <w:sz w:val="20"/>
        </w:rPr>
        <w:t> </w:t>
      </w:r>
      <w:r>
        <w:rPr>
          <w:sz w:val="20"/>
        </w:rPr>
        <w:t>demonstrate</w:t>
      </w:r>
      <w:r>
        <w:rPr>
          <w:spacing w:val="-4"/>
          <w:sz w:val="20"/>
        </w:rPr>
        <w:t> </w:t>
      </w:r>
      <w:r>
        <w:rPr>
          <w:sz w:val="20"/>
        </w:rPr>
        <w:t>ability</w:t>
      </w:r>
      <w:r>
        <w:rPr>
          <w:spacing w:val="-7"/>
          <w:sz w:val="20"/>
        </w:rPr>
        <w:t> </w:t>
      </w:r>
      <w:r>
        <w:rPr>
          <w:sz w:val="20"/>
        </w:rPr>
        <w:t>to</w:t>
      </w:r>
      <w:r>
        <w:rPr>
          <w:spacing w:val="-4"/>
          <w:sz w:val="20"/>
        </w:rPr>
        <w:t> </w:t>
      </w:r>
      <w:r>
        <w:rPr>
          <w:sz w:val="20"/>
        </w:rPr>
        <w:t>design</w:t>
      </w:r>
      <w:r>
        <w:rPr>
          <w:spacing w:val="-4"/>
          <w:sz w:val="20"/>
        </w:rPr>
        <w:t> </w:t>
      </w:r>
      <w:r>
        <w:rPr>
          <w:sz w:val="20"/>
        </w:rPr>
        <w:t>considering</w:t>
      </w:r>
      <w:r>
        <w:rPr>
          <w:spacing w:val="-4"/>
          <w:sz w:val="20"/>
        </w:rPr>
        <w:t> </w:t>
      </w:r>
      <w:r>
        <w:rPr>
          <w:sz w:val="20"/>
        </w:rPr>
        <w:t>fundamental</w:t>
      </w:r>
      <w:r>
        <w:rPr>
          <w:spacing w:val="-3"/>
          <w:sz w:val="20"/>
        </w:rPr>
        <w:t> </w:t>
      </w:r>
      <w:r>
        <w:rPr>
          <w:sz w:val="20"/>
        </w:rPr>
        <w:t>realities</w:t>
      </w:r>
      <w:r>
        <w:rPr>
          <w:spacing w:val="-3"/>
          <w:sz w:val="20"/>
        </w:rPr>
        <w:t> </w:t>
      </w:r>
      <w:r>
        <w:rPr>
          <w:sz w:val="20"/>
        </w:rPr>
        <w:t>of</w:t>
      </w:r>
      <w:r>
        <w:rPr>
          <w:spacing w:val="-2"/>
          <w:sz w:val="20"/>
        </w:rPr>
        <w:t> </w:t>
      </w:r>
      <w:r>
        <w:rPr>
          <w:sz w:val="20"/>
        </w:rPr>
        <w:t>building</w:t>
      </w:r>
      <w:r>
        <w:rPr>
          <w:spacing w:val="-4"/>
          <w:sz w:val="20"/>
        </w:rPr>
        <w:t> </w:t>
      </w:r>
      <w:r>
        <w:rPr>
          <w:sz w:val="20"/>
        </w:rPr>
        <w:t>such</w:t>
      </w:r>
      <w:r>
        <w:rPr>
          <w:spacing w:val="-4"/>
          <w:sz w:val="20"/>
        </w:rPr>
        <w:t> </w:t>
      </w:r>
      <w:r>
        <w:rPr>
          <w:sz w:val="20"/>
        </w:rPr>
        <w:t>as: ergonomics, life-safety, construction, environment, program, context, etc.</w:t>
      </w:r>
    </w:p>
    <w:p>
      <w:pPr>
        <w:pStyle w:val="ListParagraph"/>
        <w:numPr>
          <w:ilvl w:val="0"/>
          <w:numId w:val="61"/>
        </w:numPr>
        <w:tabs>
          <w:tab w:pos="1519" w:val="left" w:leader="none"/>
          <w:tab w:pos="1520" w:val="left" w:leader="none"/>
        </w:tabs>
        <w:spacing w:line="240" w:lineRule="auto" w:before="13" w:after="0"/>
        <w:ind w:left="1519" w:right="849" w:hanging="360"/>
        <w:jc w:val="left"/>
        <w:rPr>
          <w:sz w:val="20"/>
        </w:rPr>
      </w:pPr>
      <w:r>
        <w:rPr>
          <w:sz w:val="20"/>
        </w:rPr>
        <w:t>To</w:t>
      </w:r>
      <w:r>
        <w:rPr>
          <w:spacing w:val="-5"/>
          <w:sz w:val="20"/>
        </w:rPr>
        <w:t> </w:t>
      </w:r>
      <w:r>
        <w:rPr>
          <w:sz w:val="20"/>
        </w:rPr>
        <w:t>demonstrate</w:t>
      </w:r>
      <w:r>
        <w:rPr>
          <w:spacing w:val="-5"/>
          <w:sz w:val="20"/>
        </w:rPr>
        <w:t> </w:t>
      </w:r>
      <w:r>
        <w:rPr>
          <w:sz w:val="20"/>
        </w:rPr>
        <w:t>understanding</w:t>
      </w:r>
      <w:r>
        <w:rPr>
          <w:spacing w:val="-5"/>
          <w:sz w:val="20"/>
        </w:rPr>
        <w:t> </w:t>
      </w:r>
      <w:r>
        <w:rPr>
          <w:sz w:val="20"/>
        </w:rPr>
        <w:t>the</w:t>
      </w:r>
      <w:r>
        <w:rPr>
          <w:spacing w:val="-5"/>
          <w:sz w:val="20"/>
        </w:rPr>
        <w:t> </w:t>
      </w:r>
      <w:r>
        <w:rPr>
          <w:sz w:val="20"/>
        </w:rPr>
        <w:t>implications</w:t>
      </w:r>
      <w:r>
        <w:rPr>
          <w:spacing w:val="-1"/>
          <w:sz w:val="20"/>
        </w:rPr>
        <w:t> </w:t>
      </w:r>
      <w:r>
        <w:rPr>
          <w:sz w:val="20"/>
        </w:rPr>
        <w:t>of</w:t>
      </w:r>
      <w:r>
        <w:rPr>
          <w:spacing w:val="-3"/>
          <w:sz w:val="20"/>
        </w:rPr>
        <w:t> </w:t>
      </w:r>
      <w:r>
        <w:rPr>
          <w:sz w:val="20"/>
        </w:rPr>
        <w:t>architectural</w:t>
      </w:r>
      <w:r>
        <w:rPr>
          <w:spacing w:val="-4"/>
          <w:sz w:val="20"/>
        </w:rPr>
        <w:t> </w:t>
      </w:r>
      <w:r>
        <w:rPr>
          <w:sz w:val="20"/>
        </w:rPr>
        <w:t>work,</w:t>
      </w:r>
      <w:r>
        <w:rPr>
          <w:spacing w:val="-5"/>
          <w:sz w:val="20"/>
        </w:rPr>
        <w:t> </w:t>
      </w:r>
      <w:r>
        <w:rPr>
          <w:sz w:val="20"/>
        </w:rPr>
        <w:t>particularly</w:t>
      </w:r>
      <w:r>
        <w:rPr>
          <w:spacing w:val="-6"/>
          <w:sz w:val="20"/>
        </w:rPr>
        <w:t> </w:t>
      </w:r>
      <w:r>
        <w:rPr>
          <w:sz w:val="20"/>
        </w:rPr>
        <w:t>the</w:t>
      </w:r>
      <w:r>
        <w:rPr>
          <w:spacing w:val="-5"/>
          <w:sz w:val="20"/>
        </w:rPr>
        <w:t> </w:t>
      </w:r>
      <w:r>
        <w:rPr>
          <w:sz w:val="20"/>
        </w:rPr>
        <w:t>ethical </w:t>
      </w:r>
      <w:r>
        <w:rPr>
          <w:spacing w:val="-2"/>
          <w:sz w:val="20"/>
        </w:rPr>
        <w:t>dimensions.</w:t>
      </w:r>
    </w:p>
    <w:p>
      <w:pPr>
        <w:pStyle w:val="ListParagraph"/>
        <w:numPr>
          <w:ilvl w:val="0"/>
          <w:numId w:val="61"/>
        </w:numPr>
        <w:tabs>
          <w:tab w:pos="1519" w:val="left" w:leader="none"/>
          <w:tab w:pos="1520" w:val="left" w:leader="none"/>
        </w:tabs>
        <w:spacing w:line="240" w:lineRule="auto" w:before="13" w:after="0"/>
        <w:ind w:left="1519" w:right="0" w:hanging="361"/>
        <w:jc w:val="left"/>
        <w:rPr>
          <w:sz w:val="20"/>
        </w:rPr>
      </w:pPr>
      <w:r>
        <w:rPr>
          <w:sz w:val="20"/>
        </w:rPr>
        <w:t>To</w:t>
      </w:r>
      <w:r>
        <w:rPr>
          <w:spacing w:val="-9"/>
          <w:sz w:val="20"/>
        </w:rPr>
        <w:t> </w:t>
      </w:r>
      <w:r>
        <w:rPr>
          <w:sz w:val="20"/>
        </w:rPr>
        <w:t>demonstrate</w:t>
      </w:r>
      <w:r>
        <w:rPr>
          <w:spacing w:val="-11"/>
          <w:sz w:val="20"/>
        </w:rPr>
        <w:t> </w:t>
      </w:r>
      <w:r>
        <w:rPr>
          <w:sz w:val="20"/>
        </w:rPr>
        <w:t>mastery</w:t>
      </w:r>
      <w:r>
        <w:rPr>
          <w:spacing w:val="-11"/>
          <w:sz w:val="20"/>
        </w:rPr>
        <w:t> </w:t>
      </w:r>
      <w:r>
        <w:rPr>
          <w:sz w:val="20"/>
        </w:rPr>
        <w:t>in</w:t>
      </w:r>
      <w:r>
        <w:rPr>
          <w:spacing w:val="-6"/>
          <w:sz w:val="20"/>
        </w:rPr>
        <w:t> </w:t>
      </w:r>
      <w:r>
        <w:rPr>
          <w:sz w:val="20"/>
        </w:rPr>
        <w:t>the</w:t>
      </w:r>
      <w:r>
        <w:rPr>
          <w:spacing w:val="-9"/>
          <w:sz w:val="20"/>
        </w:rPr>
        <w:t> </w:t>
      </w:r>
      <w:r>
        <w:rPr>
          <w:sz w:val="20"/>
        </w:rPr>
        <w:t>application</w:t>
      </w:r>
      <w:r>
        <w:rPr>
          <w:spacing w:val="-6"/>
          <w:sz w:val="20"/>
        </w:rPr>
        <w:t> </w:t>
      </w:r>
      <w:r>
        <w:rPr>
          <w:sz w:val="20"/>
        </w:rPr>
        <w:t>of</w:t>
      </w:r>
      <w:r>
        <w:rPr>
          <w:spacing w:val="-7"/>
          <w:sz w:val="20"/>
        </w:rPr>
        <w:t> </w:t>
      </w:r>
      <w:r>
        <w:rPr>
          <w:sz w:val="20"/>
        </w:rPr>
        <w:t>architectural</w:t>
      </w:r>
      <w:r>
        <w:rPr>
          <w:spacing w:val="-9"/>
          <w:sz w:val="20"/>
        </w:rPr>
        <w:t> </w:t>
      </w:r>
      <w:r>
        <w:rPr>
          <w:sz w:val="20"/>
        </w:rPr>
        <w:t>representational</w:t>
      </w:r>
      <w:r>
        <w:rPr>
          <w:spacing w:val="-8"/>
          <w:sz w:val="20"/>
        </w:rPr>
        <w:t> </w:t>
      </w:r>
      <w:r>
        <w:rPr>
          <w:spacing w:val="-2"/>
          <w:sz w:val="20"/>
        </w:rPr>
        <w:t>devices.</w:t>
      </w:r>
    </w:p>
    <w:p>
      <w:pPr>
        <w:spacing w:before="116"/>
        <w:ind w:left="439" w:right="0" w:firstLine="0"/>
        <w:jc w:val="left"/>
        <w:rPr>
          <w:b/>
          <w:sz w:val="20"/>
        </w:rPr>
      </w:pPr>
      <w:r>
        <w:rPr>
          <w:b/>
          <w:sz w:val="20"/>
        </w:rPr>
        <w:t>Student</w:t>
      </w:r>
      <w:r>
        <w:rPr>
          <w:b/>
          <w:spacing w:val="-11"/>
          <w:sz w:val="20"/>
        </w:rPr>
        <w:t> </w:t>
      </w:r>
      <w:r>
        <w:rPr>
          <w:b/>
          <w:sz w:val="20"/>
        </w:rPr>
        <w:t>Performance</w:t>
      </w:r>
      <w:r>
        <w:rPr>
          <w:b/>
          <w:spacing w:val="-12"/>
          <w:sz w:val="20"/>
        </w:rPr>
        <w:t> </w:t>
      </w:r>
      <w:r>
        <w:rPr>
          <w:b/>
          <w:spacing w:val="-2"/>
          <w:sz w:val="20"/>
        </w:rPr>
        <w:t>Criterion/addressed:</w:t>
      </w:r>
    </w:p>
    <w:p>
      <w:pPr>
        <w:pStyle w:val="BodyText"/>
        <w:spacing w:before="123"/>
        <w:ind w:left="1159" w:right="6812"/>
      </w:pPr>
      <w:r>
        <w:rPr/>
        <w:t>A.1: Communication Skills A.2:</w:t>
      </w:r>
      <w:r>
        <w:rPr>
          <w:spacing w:val="-14"/>
        </w:rPr>
        <w:t> </w:t>
      </w:r>
      <w:r>
        <w:rPr/>
        <w:t>Design</w:t>
      </w:r>
      <w:r>
        <w:rPr>
          <w:spacing w:val="-14"/>
        </w:rPr>
        <w:t> </w:t>
      </w:r>
      <w:r>
        <w:rPr/>
        <w:t>Thinking</w:t>
      </w:r>
      <w:r>
        <w:rPr>
          <w:spacing w:val="-13"/>
        </w:rPr>
        <w:t> </w:t>
      </w:r>
      <w:r>
        <w:rPr/>
        <w:t>Skills A.5: Investigative Skills A.11: Applied Research C.2: Human Behavior</w:t>
      </w:r>
    </w:p>
    <w:p>
      <w:pPr>
        <w:pStyle w:val="BodyText"/>
        <w:ind w:left="1159"/>
      </w:pPr>
      <w:r>
        <w:rPr/>
        <w:t>C.6:</w:t>
      </w:r>
      <w:r>
        <w:rPr>
          <w:spacing w:val="-7"/>
        </w:rPr>
        <w:t> </w:t>
      </w:r>
      <w:r>
        <w:rPr>
          <w:spacing w:val="-2"/>
        </w:rPr>
        <w:t>Leadership</w:t>
      </w:r>
    </w:p>
    <w:p>
      <w:pPr>
        <w:pStyle w:val="BodyText"/>
        <w:ind w:left="1159" w:right="5582"/>
      </w:pPr>
      <w:r>
        <w:rPr/>
        <w:t>C8: Ethics and Professional Judgment C9:</w:t>
      </w:r>
      <w:r>
        <w:rPr>
          <w:spacing w:val="-10"/>
        </w:rPr>
        <w:t> </w:t>
      </w:r>
      <w:r>
        <w:rPr/>
        <w:t>Community</w:t>
      </w:r>
      <w:r>
        <w:rPr>
          <w:spacing w:val="-11"/>
        </w:rPr>
        <w:t> </w:t>
      </w:r>
      <w:r>
        <w:rPr/>
        <w:t>and</w:t>
      </w:r>
      <w:r>
        <w:rPr>
          <w:spacing w:val="-8"/>
        </w:rPr>
        <w:t> </w:t>
      </w:r>
      <w:r>
        <w:rPr/>
        <w:t>Social</w:t>
      </w:r>
      <w:r>
        <w:rPr>
          <w:spacing w:val="-9"/>
        </w:rPr>
        <w:t> </w:t>
      </w:r>
      <w:r>
        <w:rPr/>
        <w:t>Responsibility</w:t>
      </w:r>
    </w:p>
    <w:p>
      <w:pPr>
        <w:spacing w:before="119"/>
        <w:ind w:left="439" w:right="0" w:firstLine="0"/>
        <w:jc w:val="left"/>
        <w:rPr>
          <w:b/>
          <w:sz w:val="20"/>
        </w:rPr>
      </w:pPr>
      <w:r>
        <w:rPr>
          <w:b/>
          <w:sz w:val="20"/>
        </w:rPr>
        <w:t>Topical</w:t>
      </w:r>
      <w:r>
        <w:rPr>
          <w:b/>
          <w:spacing w:val="-10"/>
          <w:sz w:val="20"/>
        </w:rPr>
        <w:t> </w:t>
      </w:r>
      <w:r>
        <w:rPr>
          <w:b/>
          <w:spacing w:val="-2"/>
          <w:sz w:val="20"/>
        </w:rPr>
        <w:t>Outline:</w:t>
      </w:r>
    </w:p>
    <w:p>
      <w:pPr>
        <w:pStyle w:val="BodyText"/>
        <w:spacing w:before="123"/>
        <w:ind w:left="1159" w:right="642"/>
      </w:pPr>
      <w:r>
        <w:rPr/>
        <w:t>Research</w:t>
      </w:r>
      <w:r>
        <w:rPr>
          <w:spacing w:val="-6"/>
        </w:rPr>
        <w:t> </w:t>
      </w:r>
      <w:r>
        <w:rPr/>
        <w:t>through</w:t>
      </w:r>
      <w:r>
        <w:rPr>
          <w:spacing w:val="-4"/>
        </w:rPr>
        <w:t> </w:t>
      </w:r>
      <w:r>
        <w:rPr/>
        <w:t>design</w:t>
      </w:r>
      <w:r>
        <w:rPr>
          <w:spacing w:val="-4"/>
        </w:rPr>
        <w:t> </w:t>
      </w:r>
      <w:r>
        <w:rPr/>
        <w:t>including</w:t>
      </w:r>
      <w:r>
        <w:rPr>
          <w:spacing w:val="-4"/>
        </w:rPr>
        <w:t> </w:t>
      </w:r>
      <w:r>
        <w:rPr/>
        <w:t>analysis</w:t>
      </w:r>
      <w:r>
        <w:rPr>
          <w:spacing w:val="-5"/>
        </w:rPr>
        <w:t> </w:t>
      </w:r>
      <w:r>
        <w:rPr/>
        <w:t>and</w:t>
      </w:r>
      <w:r>
        <w:rPr>
          <w:spacing w:val="-6"/>
        </w:rPr>
        <w:t> </w:t>
      </w:r>
      <w:r>
        <w:rPr/>
        <w:t>interpretation</w:t>
      </w:r>
      <w:r>
        <w:rPr>
          <w:spacing w:val="-4"/>
        </w:rPr>
        <w:t> </w:t>
      </w:r>
      <w:r>
        <w:rPr/>
        <w:t>of</w:t>
      </w:r>
      <w:r>
        <w:rPr>
          <w:spacing w:val="-4"/>
        </w:rPr>
        <w:t> </w:t>
      </w:r>
      <w:r>
        <w:rPr/>
        <w:t>products,</w:t>
      </w:r>
      <w:r>
        <w:rPr>
          <w:spacing w:val="-6"/>
        </w:rPr>
        <w:t> </w:t>
      </w:r>
      <w:r>
        <w:rPr/>
        <w:t>documentation</w:t>
      </w:r>
      <w:r>
        <w:rPr>
          <w:spacing w:val="-6"/>
        </w:rPr>
        <w:t> </w:t>
      </w:r>
      <w:r>
        <w:rPr/>
        <w:t>and presentation (100%)</w:t>
      </w:r>
    </w:p>
    <w:p>
      <w:pPr>
        <w:spacing w:before="116"/>
        <w:ind w:left="439" w:right="0" w:firstLine="0"/>
        <w:jc w:val="left"/>
        <w:rPr>
          <w:b/>
          <w:sz w:val="20"/>
        </w:rPr>
      </w:pPr>
      <w:r>
        <w:rPr>
          <w:b/>
          <w:spacing w:val="-2"/>
          <w:sz w:val="20"/>
        </w:rPr>
        <w:t>Prerequisites:</w:t>
      </w:r>
    </w:p>
    <w:p>
      <w:pPr>
        <w:pStyle w:val="BodyText"/>
        <w:spacing w:before="122"/>
        <w:ind w:left="1159"/>
      </w:pPr>
      <w:r>
        <w:rPr/>
        <w:t>Satisfactory</w:t>
      </w:r>
      <w:r>
        <w:rPr>
          <w:spacing w:val="-11"/>
        </w:rPr>
        <w:t> </w:t>
      </w:r>
      <w:r>
        <w:rPr/>
        <w:t>completion</w:t>
      </w:r>
      <w:r>
        <w:rPr>
          <w:spacing w:val="-8"/>
        </w:rPr>
        <w:t> </w:t>
      </w:r>
      <w:r>
        <w:rPr/>
        <w:t>of</w:t>
      </w:r>
      <w:r>
        <w:rPr>
          <w:spacing w:val="-6"/>
        </w:rPr>
        <w:t> </w:t>
      </w:r>
      <w:r>
        <w:rPr/>
        <w:t>ARC</w:t>
      </w:r>
      <w:r>
        <w:rPr>
          <w:spacing w:val="-8"/>
        </w:rPr>
        <w:t> </w:t>
      </w:r>
      <w:r>
        <w:rPr>
          <w:spacing w:val="-5"/>
        </w:rPr>
        <w:t>601</w:t>
      </w:r>
    </w:p>
    <w:p>
      <w:pPr>
        <w:spacing w:before="118"/>
        <w:ind w:left="439" w:right="0" w:firstLine="0"/>
        <w:jc w:val="left"/>
        <w:rPr>
          <w:b/>
          <w:sz w:val="20"/>
        </w:rPr>
      </w:pPr>
      <w:r>
        <w:rPr>
          <w:b/>
          <w:w w:val="95"/>
          <w:sz w:val="20"/>
        </w:rPr>
        <w:t>Textbooks/Learning</w:t>
      </w:r>
      <w:r>
        <w:rPr>
          <w:b/>
          <w:spacing w:val="70"/>
          <w:sz w:val="20"/>
        </w:rPr>
        <w:t> </w:t>
      </w:r>
      <w:r>
        <w:rPr>
          <w:b/>
          <w:spacing w:val="-2"/>
          <w:sz w:val="20"/>
        </w:rPr>
        <w:t>Resources:</w:t>
      </w:r>
    </w:p>
    <w:p>
      <w:pPr>
        <w:pStyle w:val="BodyText"/>
        <w:spacing w:before="123"/>
        <w:ind w:left="1159"/>
      </w:pPr>
      <w:r>
        <w:rPr/>
        <w:t>Student</w:t>
      </w:r>
      <w:r>
        <w:rPr>
          <w:spacing w:val="-9"/>
        </w:rPr>
        <w:t> </w:t>
      </w:r>
      <w:r>
        <w:rPr>
          <w:spacing w:val="-2"/>
        </w:rPr>
        <w:t>defined.</w:t>
      </w:r>
    </w:p>
    <w:p>
      <w:pPr>
        <w:spacing w:before="118"/>
        <w:ind w:left="438" w:right="0" w:firstLine="0"/>
        <w:jc w:val="left"/>
        <w:rPr>
          <w:b/>
          <w:sz w:val="20"/>
        </w:rPr>
      </w:pPr>
      <w:r>
        <w:rPr>
          <w:b/>
          <w:spacing w:val="-2"/>
          <w:sz w:val="20"/>
        </w:rPr>
        <w:t>Offered:</w:t>
      </w:r>
    </w:p>
    <w:p>
      <w:pPr>
        <w:pStyle w:val="BodyText"/>
        <w:spacing w:before="123"/>
        <w:ind w:left="1158"/>
      </w:pPr>
      <w:r>
        <w:rPr/>
        <w:t>Spring</w:t>
      </w:r>
      <w:r>
        <w:rPr>
          <w:spacing w:val="-9"/>
        </w:rPr>
        <w:t> </w:t>
      </w:r>
      <w:r>
        <w:rPr/>
        <w:t>only;</w:t>
      </w:r>
      <w:r>
        <w:rPr>
          <w:spacing w:val="-5"/>
        </w:rPr>
        <w:t> </w:t>
      </w:r>
      <w:r>
        <w:rPr>
          <w:spacing w:val="-2"/>
        </w:rPr>
        <w:t>annually</w:t>
      </w:r>
    </w:p>
    <w:p>
      <w:pPr>
        <w:spacing w:before="116"/>
        <w:ind w:left="438" w:right="0" w:firstLine="0"/>
        <w:jc w:val="left"/>
        <w:rPr>
          <w:b/>
          <w:sz w:val="20"/>
        </w:rPr>
      </w:pPr>
      <w:r>
        <w:rPr>
          <w:b/>
          <w:sz w:val="20"/>
        </w:rPr>
        <w:t>Faculty</w:t>
      </w:r>
      <w:r>
        <w:rPr>
          <w:b/>
          <w:spacing w:val="-13"/>
          <w:sz w:val="20"/>
        </w:rPr>
        <w:t> </w:t>
      </w:r>
      <w:r>
        <w:rPr>
          <w:b/>
          <w:spacing w:val="-2"/>
          <w:sz w:val="20"/>
        </w:rPr>
        <w:t>assigned:</w:t>
      </w:r>
    </w:p>
    <w:p>
      <w:pPr>
        <w:pStyle w:val="BodyText"/>
        <w:spacing w:before="123"/>
        <w:ind w:left="1158"/>
      </w:pPr>
      <w:r>
        <w:rPr/>
        <w:t>2013</w:t>
      </w:r>
      <w:r>
        <w:rPr>
          <w:spacing w:val="-5"/>
        </w:rPr>
        <w:t> </w:t>
      </w:r>
      <w:r>
        <w:rPr/>
        <w:t>and</w:t>
      </w:r>
      <w:r>
        <w:rPr>
          <w:spacing w:val="-7"/>
        </w:rPr>
        <w:t> </w:t>
      </w:r>
      <w:r>
        <w:rPr/>
        <w:t>2014,</w:t>
      </w:r>
      <w:r>
        <w:rPr>
          <w:spacing w:val="-4"/>
        </w:rPr>
        <w:t> </w:t>
      </w:r>
      <w:r>
        <w:rPr/>
        <w:t>Dr.</w:t>
      </w:r>
      <w:r>
        <w:rPr>
          <w:spacing w:val="-11"/>
        </w:rPr>
        <w:t> </w:t>
      </w:r>
      <w:r>
        <w:rPr/>
        <w:t>Wesley</w:t>
      </w:r>
      <w:r>
        <w:rPr>
          <w:spacing w:val="-8"/>
        </w:rPr>
        <w:t> </w:t>
      </w:r>
      <w:r>
        <w:rPr/>
        <w:t>Henderson</w:t>
      </w:r>
      <w:r>
        <w:rPr>
          <w:spacing w:val="-6"/>
        </w:rPr>
        <w:t> </w:t>
      </w:r>
      <w:r>
        <w:rPr/>
        <w:t>(F/T)</w:t>
      </w:r>
      <w:r>
        <w:rPr>
          <w:spacing w:val="-6"/>
        </w:rPr>
        <w:t> </w:t>
      </w:r>
      <w:r>
        <w:rPr/>
        <w:t>and</w:t>
      </w:r>
      <w:r>
        <w:rPr>
          <w:spacing w:val="-7"/>
        </w:rPr>
        <w:t> </w:t>
      </w:r>
      <w:r>
        <w:rPr/>
        <w:t>Dr.</w:t>
      </w:r>
      <w:r>
        <w:rPr>
          <w:spacing w:val="-6"/>
        </w:rPr>
        <w:t> </w:t>
      </w:r>
      <w:r>
        <w:rPr/>
        <w:t>Carmina</w:t>
      </w:r>
      <w:r>
        <w:rPr>
          <w:spacing w:val="-7"/>
        </w:rPr>
        <w:t> </w:t>
      </w:r>
      <w:r>
        <w:rPr/>
        <w:t>Sánchez-del-Valle</w:t>
      </w:r>
      <w:r>
        <w:rPr>
          <w:spacing w:val="-6"/>
        </w:rPr>
        <w:t> </w:t>
      </w:r>
      <w:r>
        <w:rPr>
          <w:spacing w:val="-2"/>
        </w:rPr>
        <w:t>(F/T)</w:t>
      </w:r>
    </w:p>
    <w:p>
      <w:pPr>
        <w:spacing w:after="0"/>
        <w:sectPr>
          <w:headerReference w:type="default" r:id="rId239"/>
          <w:footerReference w:type="default" r:id="rId240"/>
          <w:pgSz w:w="12240" w:h="15840"/>
          <w:pgMar w:header="993" w:footer="974" w:top="1240" w:bottom="1160" w:left="1000" w:right="820"/>
        </w:sectPr>
      </w:pPr>
    </w:p>
    <w:p>
      <w:pPr>
        <w:spacing w:before="115"/>
        <w:ind w:left="440" w:right="0" w:firstLine="0"/>
        <w:jc w:val="left"/>
        <w:rPr>
          <w:b/>
          <w:sz w:val="20"/>
        </w:rPr>
      </w:pPr>
      <w:r>
        <w:rPr>
          <w:b/>
          <w:sz w:val="20"/>
        </w:rPr>
        <w:t>Course</w:t>
      </w:r>
      <w:r>
        <w:rPr>
          <w:b/>
          <w:spacing w:val="-10"/>
          <w:sz w:val="20"/>
        </w:rPr>
        <w:t> </w:t>
      </w:r>
      <w:r>
        <w:rPr>
          <w:b/>
          <w:spacing w:val="-2"/>
          <w:sz w:val="20"/>
        </w:rPr>
        <w:t>Description:</w:t>
      </w:r>
    </w:p>
    <w:p>
      <w:pPr>
        <w:pStyle w:val="BodyText"/>
        <w:spacing w:line="276" w:lineRule="auto" w:before="125"/>
        <w:ind w:left="1159" w:right="642"/>
      </w:pPr>
      <w:r>
        <w:rPr/>
        <w:t>Explores</w:t>
      </w:r>
      <w:r>
        <w:rPr>
          <w:spacing w:val="-4"/>
        </w:rPr>
        <w:t> </w:t>
      </w:r>
      <w:r>
        <w:rPr/>
        <w:t>contemporary</w:t>
      </w:r>
      <w:r>
        <w:rPr>
          <w:spacing w:val="-6"/>
        </w:rPr>
        <w:t> </w:t>
      </w:r>
      <w:r>
        <w:rPr/>
        <w:t>issues</w:t>
      </w:r>
      <w:r>
        <w:rPr>
          <w:spacing w:val="-4"/>
        </w:rPr>
        <w:t> </w:t>
      </w:r>
      <w:r>
        <w:rPr/>
        <w:t>in</w:t>
      </w:r>
      <w:r>
        <w:rPr>
          <w:spacing w:val="-3"/>
        </w:rPr>
        <w:t> </w:t>
      </w:r>
      <w:r>
        <w:rPr/>
        <w:t>environmental</w:t>
      </w:r>
      <w:r>
        <w:rPr>
          <w:spacing w:val="-4"/>
        </w:rPr>
        <w:t> </w:t>
      </w:r>
      <w:r>
        <w:rPr/>
        <w:t>and</w:t>
      </w:r>
      <w:r>
        <w:rPr>
          <w:spacing w:val="-5"/>
        </w:rPr>
        <w:t> </w:t>
      </w:r>
      <w:r>
        <w:rPr/>
        <w:t>community</w:t>
      </w:r>
      <w:r>
        <w:rPr>
          <w:spacing w:val="-8"/>
        </w:rPr>
        <w:t> </w:t>
      </w:r>
      <w:r>
        <w:rPr/>
        <w:t>design</w:t>
      </w:r>
      <w:r>
        <w:rPr>
          <w:spacing w:val="-5"/>
        </w:rPr>
        <w:t> </w:t>
      </w:r>
      <w:r>
        <w:rPr/>
        <w:t>from a</w:t>
      </w:r>
      <w:r>
        <w:rPr>
          <w:spacing w:val="-5"/>
        </w:rPr>
        <w:t> </w:t>
      </w:r>
      <w:r>
        <w:rPr/>
        <w:t>theoretical perspective with emphasis on sustainability.</w:t>
      </w:r>
    </w:p>
    <w:p>
      <w:pPr>
        <w:spacing w:before="116"/>
        <w:ind w:left="439" w:right="0" w:firstLine="0"/>
        <w:jc w:val="left"/>
        <w:rPr>
          <w:b/>
          <w:sz w:val="20"/>
        </w:rPr>
      </w:pPr>
      <w:r>
        <w:rPr>
          <w:b/>
          <w:sz w:val="20"/>
        </w:rPr>
        <w:t>Course</w:t>
      </w:r>
      <w:r>
        <w:rPr>
          <w:b/>
          <w:spacing w:val="-6"/>
          <w:sz w:val="20"/>
        </w:rPr>
        <w:t> </w:t>
      </w:r>
      <w:r>
        <w:rPr>
          <w:b/>
          <w:sz w:val="20"/>
        </w:rPr>
        <w:t>Goals</w:t>
      </w:r>
      <w:r>
        <w:rPr>
          <w:b/>
          <w:spacing w:val="-6"/>
          <w:sz w:val="20"/>
        </w:rPr>
        <w:t> </w:t>
      </w:r>
      <w:r>
        <w:rPr>
          <w:b/>
          <w:sz w:val="20"/>
        </w:rPr>
        <w:t>&amp;</w:t>
      </w:r>
      <w:r>
        <w:rPr>
          <w:b/>
          <w:spacing w:val="-5"/>
          <w:sz w:val="20"/>
        </w:rPr>
        <w:t> </w:t>
      </w:r>
      <w:r>
        <w:rPr>
          <w:b/>
          <w:spacing w:val="-2"/>
          <w:sz w:val="20"/>
        </w:rPr>
        <w:t>Objectives:</w:t>
      </w:r>
    </w:p>
    <w:p>
      <w:pPr>
        <w:pStyle w:val="ListParagraph"/>
        <w:numPr>
          <w:ilvl w:val="0"/>
          <w:numId w:val="62"/>
        </w:numPr>
        <w:tabs>
          <w:tab w:pos="1159" w:val="left" w:leader="none"/>
          <w:tab w:pos="1160" w:val="left" w:leader="none"/>
        </w:tabs>
        <w:spacing w:line="240" w:lineRule="auto" w:before="135" w:after="0"/>
        <w:ind w:left="1159" w:right="834" w:hanging="360"/>
        <w:jc w:val="left"/>
        <w:rPr>
          <w:sz w:val="20"/>
        </w:rPr>
      </w:pPr>
      <w:r>
        <w:rPr>
          <w:sz w:val="20"/>
        </w:rPr>
        <w:t>Provide</w:t>
      </w:r>
      <w:r>
        <w:rPr>
          <w:spacing w:val="-4"/>
          <w:sz w:val="20"/>
        </w:rPr>
        <w:t> </w:t>
      </w:r>
      <w:r>
        <w:rPr>
          <w:sz w:val="20"/>
        </w:rPr>
        <w:t>material</w:t>
      </w:r>
      <w:r>
        <w:rPr>
          <w:spacing w:val="-5"/>
          <w:sz w:val="20"/>
        </w:rPr>
        <w:t> </w:t>
      </w:r>
      <w:r>
        <w:rPr>
          <w:sz w:val="20"/>
        </w:rPr>
        <w:t>to</w:t>
      </w:r>
      <w:r>
        <w:rPr>
          <w:spacing w:val="-4"/>
          <w:sz w:val="20"/>
        </w:rPr>
        <w:t> </w:t>
      </w:r>
      <w:r>
        <w:rPr>
          <w:sz w:val="20"/>
        </w:rPr>
        <w:t>advance</w:t>
      </w:r>
      <w:r>
        <w:rPr>
          <w:spacing w:val="-4"/>
          <w:sz w:val="20"/>
        </w:rPr>
        <w:t> </w:t>
      </w:r>
      <w:r>
        <w:rPr>
          <w:sz w:val="20"/>
        </w:rPr>
        <w:t>discussions</w:t>
      </w:r>
      <w:r>
        <w:rPr>
          <w:spacing w:val="-3"/>
          <w:sz w:val="20"/>
        </w:rPr>
        <w:t> </w:t>
      </w:r>
      <w:r>
        <w:rPr>
          <w:sz w:val="20"/>
        </w:rPr>
        <w:t>initiated</w:t>
      </w:r>
      <w:r>
        <w:rPr>
          <w:spacing w:val="-4"/>
          <w:sz w:val="20"/>
        </w:rPr>
        <w:t> </w:t>
      </w:r>
      <w:r>
        <w:rPr>
          <w:sz w:val="20"/>
        </w:rPr>
        <w:t>in</w:t>
      </w:r>
      <w:r>
        <w:rPr>
          <w:spacing w:val="-4"/>
          <w:sz w:val="20"/>
        </w:rPr>
        <w:t> </w:t>
      </w:r>
      <w:r>
        <w:rPr>
          <w:sz w:val="20"/>
        </w:rPr>
        <w:t>the</w:t>
      </w:r>
      <w:r>
        <w:rPr>
          <w:spacing w:val="-4"/>
          <w:sz w:val="20"/>
        </w:rPr>
        <w:t> </w:t>
      </w:r>
      <w:r>
        <w:rPr>
          <w:sz w:val="20"/>
        </w:rPr>
        <w:t>Arc</w:t>
      </w:r>
      <w:r>
        <w:rPr>
          <w:spacing w:val="-3"/>
          <w:sz w:val="20"/>
        </w:rPr>
        <w:t> </w:t>
      </w:r>
      <w:r>
        <w:rPr>
          <w:sz w:val="20"/>
        </w:rPr>
        <w:t>317</w:t>
      </w:r>
      <w:r>
        <w:rPr>
          <w:spacing w:val="-4"/>
          <w:sz w:val="20"/>
        </w:rPr>
        <w:t> </w:t>
      </w:r>
      <w:r>
        <w:rPr>
          <w:sz w:val="20"/>
        </w:rPr>
        <w:t>Urban</w:t>
      </w:r>
      <w:r>
        <w:rPr>
          <w:spacing w:val="-4"/>
          <w:sz w:val="20"/>
        </w:rPr>
        <w:t> </w:t>
      </w:r>
      <w:r>
        <w:rPr>
          <w:sz w:val="20"/>
        </w:rPr>
        <w:t>Design</w:t>
      </w:r>
      <w:r>
        <w:rPr>
          <w:spacing w:val="-2"/>
          <w:sz w:val="20"/>
        </w:rPr>
        <w:t> </w:t>
      </w:r>
      <w:r>
        <w:rPr>
          <w:sz w:val="20"/>
        </w:rPr>
        <w:t>Theory,</w:t>
      </w:r>
      <w:r>
        <w:rPr>
          <w:spacing w:val="-2"/>
          <w:sz w:val="20"/>
        </w:rPr>
        <w:t> </w:t>
      </w:r>
      <w:r>
        <w:rPr>
          <w:sz w:val="20"/>
        </w:rPr>
        <w:t>Arc</w:t>
      </w:r>
      <w:r>
        <w:rPr>
          <w:spacing w:val="-3"/>
          <w:sz w:val="20"/>
        </w:rPr>
        <w:t> </w:t>
      </w:r>
      <w:r>
        <w:rPr>
          <w:sz w:val="20"/>
        </w:rPr>
        <w:t>305- 306 Urban Study Abroad, and Arc 405-406: 4</w:t>
      </w:r>
      <w:r>
        <w:rPr>
          <w:sz w:val="20"/>
          <w:vertAlign w:val="superscript"/>
        </w:rPr>
        <w:t>t</w:t>
      </w:r>
      <w:r>
        <w:rPr>
          <w:sz w:val="20"/>
          <w:vertAlign w:val="superscript"/>
        </w:rPr>
        <w:t>h</w:t>
      </w:r>
      <w:r>
        <w:rPr>
          <w:sz w:val="20"/>
          <w:vertAlign w:val="baseline"/>
        </w:rPr>
        <w:t> year studio.</w:t>
      </w:r>
    </w:p>
    <w:p>
      <w:pPr>
        <w:pStyle w:val="ListParagraph"/>
        <w:numPr>
          <w:ilvl w:val="0"/>
          <w:numId w:val="62"/>
        </w:numPr>
        <w:tabs>
          <w:tab w:pos="1159" w:val="left" w:leader="none"/>
          <w:tab w:pos="1160" w:val="left" w:leader="none"/>
        </w:tabs>
        <w:spacing w:line="240" w:lineRule="auto" w:before="15" w:after="0"/>
        <w:ind w:left="1159" w:right="678" w:hanging="360"/>
        <w:jc w:val="left"/>
        <w:rPr>
          <w:sz w:val="20"/>
        </w:rPr>
      </w:pPr>
      <w:r>
        <w:rPr>
          <w:sz w:val="20"/>
        </w:rPr>
        <w:t>Encourage critical inquiry exploring the definitions of community and sustainability, community participation,</w:t>
      </w:r>
      <w:r>
        <w:rPr>
          <w:spacing w:val="-5"/>
          <w:sz w:val="20"/>
        </w:rPr>
        <w:t> </w:t>
      </w:r>
      <w:r>
        <w:rPr>
          <w:sz w:val="20"/>
        </w:rPr>
        <w:t>planning</w:t>
      </w:r>
      <w:r>
        <w:rPr>
          <w:spacing w:val="-5"/>
          <w:sz w:val="20"/>
        </w:rPr>
        <w:t> </w:t>
      </w:r>
      <w:r>
        <w:rPr>
          <w:sz w:val="20"/>
        </w:rPr>
        <w:t>and</w:t>
      </w:r>
      <w:r>
        <w:rPr>
          <w:spacing w:val="-3"/>
          <w:sz w:val="20"/>
        </w:rPr>
        <w:t> </w:t>
      </w:r>
      <w:r>
        <w:rPr>
          <w:sz w:val="20"/>
        </w:rPr>
        <w:t>design</w:t>
      </w:r>
      <w:r>
        <w:rPr>
          <w:spacing w:val="-5"/>
          <w:sz w:val="20"/>
        </w:rPr>
        <w:t> </w:t>
      </w:r>
      <w:r>
        <w:rPr>
          <w:sz w:val="20"/>
        </w:rPr>
        <w:t>through written</w:t>
      </w:r>
      <w:r>
        <w:rPr>
          <w:spacing w:val="-3"/>
          <w:sz w:val="20"/>
        </w:rPr>
        <w:t> </w:t>
      </w:r>
      <w:r>
        <w:rPr>
          <w:sz w:val="20"/>
        </w:rPr>
        <w:t>and</w:t>
      </w:r>
      <w:r>
        <w:rPr>
          <w:spacing w:val="-3"/>
          <w:sz w:val="20"/>
        </w:rPr>
        <w:t> </w:t>
      </w:r>
      <w:r>
        <w:rPr>
          <w:sz w:val="20"/>
        </w:rPr>
        <w:t>verbal</w:t>
      </w:r>
      <w:r>
        <w:rPr>
          <w:spacing w:val="-6"/>
          <w:sz w:val="20"/>
        </w:rPr>
        <w:t> </w:t>
      </w:r>
      <w:r>
        <w:rPr>
          <w:sz w:val="20"/>
        </w:rPr>
        <w:t>discussion</w:t>
      </w:r>
      <w:r>
        <w:rPr>
          <w:spacing w:val="-3"/>
          <w:sz w:val="20"/>
        </w:rPr>
        <w:t> </w:t>
      </w:r>
      <w:r>
        <w:rPr>
          <w:sz w:val="20"/>
        </w:rPr>
        <w:t>and</w:t>
      </w:r>
      <w:r>
        <w:rPr>
          <w:spacing w:val="-3"/>
          <w:sz w:val="20"/>
        </w:rPr>
        <w:t> </w:t>
      </w:r>
      <w:r>
        <w:rPr>
          <w:sz w:val="20"/>
        </w:rPr>
        <w:t>reflective</w:t>
      </w:r>
      <w:r>
        <w:rPr>
          <w:spacing w:val="-3"/>
          <w:sz w:val="20"/>
        </w:rPr>
        <w:t> </w:t>
      </w:r>
      <w:r>
        <w:rPr>
          <w:sz w:val="20"/>
        </w:rPr>
        <w:t>analysis</w:t>
      </w:r>
      <w:r>
        <w:rPr>
          <w:spacing w:val="-4"/>
          <w:sz w:val="20"/>
        </w:rPr>
        <w:t> </w:t>
      </w:r>
      <w:r>
        <w:rPr>
          <w:sz w:val="20"/>
        </w:rPr>
        <w:t>of current cases. Students will be able to:</w:t>
      </w:r>
    </w:p>
    <w:p>
      <w:pPr>
        <w:pStyle w:val="ListParagraph"/>
        <w:numPr>
          <w:ilvl w:val="0"/>
          <w:numId w:val="62"/>
        </w:numPr>
        <w:tabs>
          <w:tab w:pos="1159" w:val="left" w:leader="none"/>
          <w:tab w:pos="1160" w:val="left" w:leader="none"/>
        </w:tabs>
        <w:spacing w:line="240" w:lineRule="auto" w:before="14" w:after="0"/>
        <w:ind w:left="1159" w:right="1080" w:hanging="360"/>
        <w:jc w:val="left"/>
        <w:rPr>
          <w:sz w:val="20"/>
        </w:rPr>
      </w:pPr>
      <w:r>
        <w:rPr>
          <w:sz w:val="20"/>
        </w:rPr>
        <w:t>Define</w:t>
      </w:r>
      <w:r>
        <w:rPr>
          <w:spacing w:val="-5"/>
          <w:sz w:val="20"/>
        </w:rPr>
        <w:t> </w:t>
      </w:r>
      <w:r>
        <w:rPr>
          <w:sz w:val="20"/>
        </w:rPr>
        <w:t>and</w:t>
      </w:r>
      <w:r>
        <w:rPr>
          <w:spacing w:val="-5"/>
          <w:sz w:val="20"/>
        </w:rPr>
        <w:t> </w:t>
      </w:r>
      <w:r>
        <w:rPr>
          <w:sz w:val="20"/>
        </w:rPr>
        <w:t>critically</w:t>
      </w:r>
      <w:r>
        <w:rPr>
          <w:spacing w:val="-7"/>
          <w:sz w:val="20"/>
        </w:rPr>
        <w:t> </w:t>
      </w:r>
      <w:r>
        <w:rPr>
          <w:sz w:val="20"/>
        </w:rPr>
        <w:t>discuss</w:t>
      </w:r>
      <w:r>
        <w:rPr>
          <w:spacing w:val="-4"/>
          <w:sz w:val="20"/>
        </w:rPr>
        <w:t> </w:t>
      </w:r>
      <w:r>
        <w:rPr>
          <w:sz w:val="20"/>
        </w:rPr>
        <w:t>community,</w:t>
      </w:r>
      <w:r>
        <w:rPr>
          <w:spacing w:val="-5"/>
          <w:sz w:val="20"/>
        </w:rPr>
        <w:t> </w:t>
      </w:r>
      <w:r>
        <w:rPr>
          <w:sz w:val="20"/>
        </w:rPr>
        <w:t>participatory</w:t>
      </w:r>
      <w:r>
        <w:rPr>
          <w:spacing w:val="-6"/>
          <w:sz w:val="20"/>
        </w:rPr>
        <w:t> </w:t>
      </w:r>
      <w:r>
        <w:rPr>
          <w:sz w:val="20"/>
        </w:rPr>
        <w:t>design</w:t>
      </w:r>
      <w:r>
        <w:rPr>
          <w:spacing w:val="-5"/>
          <w:sz w:val="20"/>
        </w:rPr>
        <w:t> </w:t>
      </w:r>
      <w:r>
        <w:rPr>
          <w:sz w:val="20"/>
        </w:rPr>
        <w:t>processes,</w:t>
      </w:r>
      <w:r>
        <w:rPr>
          <w:spacing w:val="-5"/>
          <w:sz w:val="20"/>
        </w:rPr>
        <w:t> </w:t>
      </w:r>
      <w:r>
        <w:rPr>
          <w:sz w:val="20"/>
        </w:rPr>
        <w:t>community</w:t>
      </w:r>
      <w:r>
        <w:rPr>
          <w:spacing w:val="-6"/>
          <w:sz w:val="20"/>
        </w:rPr>
        <w:t> </w:t>
      </w:r>
      <w:r>
        <w:rPr>
          <w:sz w:val="20"/>
        </w:rPr>
        <w:t>planning practices, community plans and comprehensive plans.</w:t>
      </w:r>
    </w:p>
    <w:p>
      <w:pPr>
        <w:pStyle w:val="ListParagraph"/>
        <w:numPr>
          <w:ilvl w:val="0"/>
          <w:numId w:val="62"/>
        </w:numPr>
        <w:tabs>
          <w:tab w:pos="1159" w:val="left" w:leader="none"/>
          <w:tab w:pos="1160" w:val="left" w:leader="none"/>
        </w:tabs>
        <w:spacing w:line="240" w:lineRule="auto" w:before="13" w:after="0"/>
        <w:ind w:left="1159" w:right="0" w:hanging="361"/>
        <w:jc w:val="left"/>
        <w:rPr>
          <w:sz w:val="20"/>
        </w:rPr>
      </w:pPr>
      <w:r>
        <w:rPr>
          <w:sz w:val="20"/>
        </w:rPr>
        <w:t>Describe</w:t>
      </w:r>
      <w:r>
        <w:rPr>
          <w:spacing w:val="-9"/>
          <w:sz w:val="20"/>
        </w:rPr>
        <w:t> </w:t>
      </w:r>
      <w:r>
        <w:rPr>
          <w:sz w:val="20"/>
        </w:rPr>
        <w:t>relationship</w:t>
      </w:r>
      <w:r>
        <w:rPr>
          <w:spacing w:val="-8"/>
          <w:sz w:val="20"/>
        </w:rPr>
        <w:t> </w:t>
      </w:r>
      <w:r>
        <w:rPr>
          <w:sz w:val="20"/>
        </w:rPr>
        <w:t>between</w:t>
      </w:r>
      <w:r>
        <w:rPr>
          <w:spacing w:val="-7"/>
          <w:sz w:val="20"/>
        </w:rPr>
        <w:t> </w:t>
      </w:r>
      <w:r>
        <w:rPr>
          <w:sz w:val="20"/>
        </w:rPr>
        <w:t>participants</w:t>
      </w:r>
      <w:r>
        <w:rPr>
          <w:spacing w:val="-8"/>
          <w:sz w:val="20"/>
        </w:rPr>
        <w:t> </w:t>
      </w:r>
      <w:r>
        <w:rPr>
          <w:sz w:val="20"/>
        </w:rPr>
        <w:t>in</w:t>
      </w:r>
      <w:r>
        <w:rPr>
          <w:spacing w:val="-7"/>
          <w:sz w:val="20"/>
        </w:rPr>
        <w:t> </w:t>
      </w:r>
      <w:r>
        <w:rPr>
          <w:sz w:val="20"/>
        </w:rPr>
        <w:t>a</w:t>
      </w:r>
      <w:r>
        <w:rPr>
          <w:spacing w:val="-9"/>
          <w:sz w:val="20"/>
        </w:rPr>
        <w:t> </w:t>
      </w:r>
      <w:r>
        <w:rPr>
          <w:sz w:val="20"/>
        </w:rPr>
        <w:t>community</w:t>
      </w:r>
      <w:r>
        <w:rPr>
          <w:spacing w:val="-9"/>
          <w:sz w:val="20"/>
        </w:rPr>
        <w:t> </w:t>
      </w:r>
      <w:r>
        <w:rPr>
          <w:sz w:val="20"/>
        </w:rPr>
        <w:t>driven</w:t>
      </w:r>
      <w:r>
        <w:rPr>
          <w:spacing w:val="-7"/>
          <w:sz w:val="20"/>
        </w:rPr>
        <w:t> </w:t>
      </w:r>
      <w:r>
        <w:rPr>
          <w:sz w:val="20"/>
        </w:rPr>
        <w:t>design</w:t>
      </w:r>
      <w:r>
        <w:rPr>
          <w:spacing w:val="-9"/>
          <w:sz w:val="20"/>
        </w:rPr>
        <w:t> </w:t>
      </w:r>
      <w:r>
        <w:rPr>
          <w:spacing w:val="-2"/>
          <w:sz w:val="20"/>
        </w:rPr>
        <w:t>process.</w:t>
      </w:r>
    </w:p>
    <w:p>
      <w:pPr>
        <w:pStyle w:val="ListParagraph"/>
        <w:numPr>
          <w:ilvl w:val="0"/>
          <w:numId w:val="62"/>
        </w:numPr>
        <w:tabs>
          <w:tab w:pos="1159" w:val="left" w:leader="none"/>
          <w:tab w:pos="1160" w:val="left" w:leader="none"/>
        </w:tabs>
        <w:spacing w:line="240" w:lineRule="auto" w:before="12" w:after="0"/>
        <w:ind w:left="1159" w:right="0" w:hanging="361"/>
        <w:jc w:val="left"/>
        <w:rPr>
          <w:sz w:val="20"/>
        </w:rPr>
      </w:pPr>
      <w:r>
        <w:rPr>
          <w:sz w:val="20"/>
        </w:rPr>
        <w:t>Explain</w:t>
      </w:r>
      <w:r>
        <w:rPr>
          <w:spacing w:val="-6"/>
          <w:sz w:val="20"/>
        </w:rPr>
        <w:t> </w:t>
      </w:r>
      <w:r>
        <w:rPr>
          <w:sz w:val="20"/>
        </w:rPr>
        <w:t>practices</w:t>
      </w:r>
      <w:r>
        <w:rPr>
          <w:spacing w:val="-6"/>
          <w:sz w:val="20"/>
        </w:rPr>
        <w:t> </w:t>
      </w:r>
      <w:r>
        <w:rPr>
          <w:sz w:val="20"/>
        </w:rPr>
        <w:t>and</w:t>
      </w:r>
      <w:r>
        <w:rPr>
          <w:spacing w:val="-6"/>
          <w:sz w:val="20"/>
        </w:rPr>
        <w:t> </w:t>
      </w:r>
      <w:r>
        <w:rPr>
          <w:sz w:val="20"/>
        </w:rPr>
        <w:t>tools</w:t>
      </w:r>
      <w:r>
        <w:rPr>
          <w:spacing w:val="-4"/>
          <w:sz w:val="20"/>
        </w:rPr>
        <w:t> </w:t>
      </w:r>
      <w:r>
        <w:rPr>
          <w:sz w:val="20"/>
        </w:rPr>
        <w:t>used</w:t>
      </w:r>
      <w:r>
        <w:rPr>
          <w:spacing w:val="-7"/>
          <w:sz w:val="20"/>
        </w:rPr>
        <w:t> </w:t>
      </w:r>
      <w:r>
        <w:rPr>
          <w:sz w:val="20"/>
        </w:rPr>
        <w:t>to</w:t>
      </w:r>
      <w:r>
        <w:rPr>
          <w:spacing w:val="-5"/>
          <w:sz w:val="20"/>
        </w:rPr>
        <w:t> </w:t>
      </w:r>
      <w:r>
        <w:rPr>
          <w:sz w:val="20"/>
        </w:rPr>
        <w:t>guide</w:t>
      </w:r>
      <w:r>
        <w:rPr>
          <w:spacing w:val="-5"/>
          <w:sz w:val="20"/>
        </w:rPr>
        <w:t> </w:t>
      </w:r>
      <w:r>
        <w:rPr>
          <w:sz w:val="20"/>
        </w:rPr>
        <w:t>community</w:t>
      </w:r>
      <w:r>
        <w:rPr>
          <w:spacing w:val="-9"/>
          <w:sz w:val="20"/>
        </w:rPr>
        <w:t> </w:t>
      </w:r>
      <w:r>
        <w:rPr>
          <w:sz w:val="20"/>
        </w:rPr>
        <w:t>design</w:t>
      </w:r>
      <w:r>
        <w:rPr>
          <w:spacing w:val="-5"/>
          <w:sz w:val="20"/>
        </w:rPr>
        <w:t> </w:t>
      </w:r>
      <w:r>
        <w:rPr>
          <w:sz w:val="20"/>
        </w:rPr>
        <w:t>and</w:t>
      </w:r>
      <w:r>
        <w:rPr>
          <w:spacing w:val="-5"/>
          <w:sz w:val="20"/>
        </w:rPr>
        <w:t> </w:t>
      </w:r>
      <w:r>
        <w:rPr>
          <w:spacing w:val="-2"/>
          <w:sz w:val="20"/>
        </w:rPr>
        <w:t>development.</w:t>
      </w:r>
    </w:p>
    <w:p>
      <w:pPr>
        <w:pStyle w:val="ListParagraph"/>
        <w:numPr>
          <w:ilvl w:val="0"/>
          <w:numId w:val="62"/>
        </w:numPr>
        <w:tabs>
          <w:tab w:pos="1159" w:val="left" w:leader="none"/>
          <w:tab w:pos="1160" w:val="left" w:leader="none"/>
        </w:tabs>
        <w:spacing w:line="240" w:lineRule="auto" w:before="15" w:after="0"/>
        <w:ind w:left="1159" w:right="688" w:hanging="360"/>
        <w:jc w:val="left"/>
        <w:rPr>
          <w:sz w:val="20"/>
        </w:rPr>
      </w:pPr>
      <w:r>
        <w:rPr>
          <w:sz w:val="20"/>
        </w:rPr>
        <w:t>Analyze</w:t>
      </w:r>
      <w:r>
        <w:rPr>
          <w:spacing w:val="-3"/>
          <w:sz w:val="20"/>
        </w:rPr>
        <w:t> </w:t>
      </w:r>
      <w:r>
        <w:rPr>
          <w:sz w:val="20"/>
        </w:rPr>
        <w:t>and</w:t>
      </w:r>
      <w:r>
        <w:rPr>
          <w:spacing w:val="-5"/>
          <w:sz w:val="20"/>
        </w:rPr>
        <w:t> </w:t>
      </w:r>
      <w:r>
        <w:rPr>
          <w:sz w:val="20"/>
        </w:rPr>
        <w:t>evaluate</w:t>
      </w:r>
      <w:r>
        <w:rPr>
          <w:spacing w:val="-5"/>
          <w:sz w:val="20"/>
        </w:rPr>
        <w:t> </w:t>
      </w:r>
      <w:r>
        <w:rPr>
          <w:sz w:val="20"/>
        </w:rPr>
        <w:t>existing</w:t>
      </w:r>
      <w:r>
        <w:rPr>
          <w:spacing w:val="-5"/>
          <w:sz w:val="20"/>
        </w:rPr>
        <w:t> </w:t>
      </w:r>
      <w:r>
        <w:rPr>
          <w:sz w:val="20"/>
        </w:rPr>
        <w:t>and</w:t>
      </w:r>
      <w:r>
        <w:rPr>
          <w:spacing w:val="-5"/>
          <w:sz w:val="20"/>
        </w:rPr>
        <w:t> </w:t>
      </w:r>
      <w:r>
        <w:rPr>
          <w:sz w:val="20"/>
        </w:rPr>
        <w:t>proposed</w:t>
      </w:r>
      <w:r>
        <w:rPr>
          <w:spacing w:val="-5"/>
          <w:sz w:val="20"/>
        </w:rPr>
        <w:t> </w:t>
      </w:r>
      <w:r>
        <w:rPr>
          <w:sz w:val="20"/>
        </w:rPr>
        <w:t>community</w:t>
      </w:r>
      <w:r>
        <w:rPr>
          <w:spacing w:val="-6"/>
          <w:sz w:val="20"/>
        </w:rPr>
        <w:t> </w:t>
      </w:r>
      <w:r>
        <w:rPr>
          <w:sz w:val="20"/>
        </w:rPr>
        <w:t>designs</w:t>
      </w:r>
      <w:r>
        <w:rPr>
          <w:spacing w:val="-1"/>
          <w:sz w:val="20"/>
        </w:rPr>
        <w:t> </w:t>
      </w:r>
      <w:r>
        <w:rPr>
          <w:sz w:val="20"/>
        </w:rPr>
        <w:t>using</w:t>
      </w:r>
      <w:r>
        <w:rPr>
          <w:spacing w:val="-3"/>
          <w:sz w:val="20"/>
        </w:rPr>
        <w:t> </w:t>
      </w:r>
      <w:r>
        <w:rPr>
          <w:sz w:val="20"/>
        </w:rPr>
        <w:t>guidelines</w:t>
      </w:r>
      <w:r>
        <w:rPr>
          <w:spacing w:val="-1"/>
          <w:sz w:val="20"/>
        </w:rPr>
        <w:t> </w:t>
      </w:r>
      <w:r>
        <w:rPr>
          <w:sz w:val="20"/>
        </w:rPr>
        <w:t>such</w:t>
      </w:r>
      <w:r>
        <w:rPr>
          <w:spacing w:val="-5"/>
          <w:sz w:val="20"/>
        </w:rPr>
        <w:t> </w:t>
      </w:r>
      <w:r>
        <w:rPr>
          <w:sz w:val="20"/>
        </w:rPr>
        <w:t>as</w:t>
      </w:r>
      <w:r>
        <w:rPr>
          <w:spacing w:val="-4"/>
          <w:sz w:val="20"/>
        </w:rPr>
        <w:t> </w:t>
      </w:r>
      <w:r>
        <w:rPr>
          <w:sz w:val="20"/>
        </w:rPr>
        <w:t>LEED- ND and Smartcode.</w:t>
      </w:r>
    </w:p>
    <w:p>
      <w:pPr>
        <w:pStyle w:val="ListParagraph"/>
        <w:numPr>
          <w:ilvl w:val="0"/>
          <w:numId w:val="62"/>
        </w:numPr>
        <w:tabs>
          <w:tab w:pos="1159" w:val="left" w:leader="none"/>
          <w:tab w:pos="1160" w:val="left" w:leader="none"/>
        </w:tabs>
        <w:spacing w:line="240" w:lineRule="auto" w:before="13" w:after="0"/>
        <w:ind w:left="1159" w:right="0" w:hanging="361"/>
        <w:jc w:val="left"/>
        <w:rPr>
          <w:sz w:val="20"/>
        </w:rPr>
      </w:pPr>
      <w:r>
        <w:rPr>
          <w:sz w:val="20"/>
        </w:rPr>
        <w:t>Discuss</w:t>
      </w:r>
      <w:r>
        <w:rPr>
          <w:spacing w:val="-7"/>
          <w:sz w:val="20"/>
        </w:rPr>
        <w:t> </w:t>
      </w:r>
      <w:r>
        <w:rPr>
          <w:sz w:val="20"/>
        </w:rPr>
        <w:t>the</w:t>
      </w:r>
      <w:r>
        <w:rPr>
          <w:spacing w:val="-8"/>
          <w:sz w:val="20"/>
        </w:rPr>
        <w:t> </w:t>
      </w:r>
      <w:r>
        <w:rPr>
          <w:sz w:val="20"/>
        </w:rPr>
        <w:t>ethical</w:t>
      </w:r>
      <w:r>
        <w:rPr>
          <w:spacing w:val="-9"/>
          <w:sz w:val="20"/>
        </w:rPr>
        <w:t> </w:t>
      </w:r>
      <w:r>
        <w:rPr>
          <w:sz w:val="20"/>
        </w:rPr>
        <w:t>responsibilities</w:t>
      </w:r>
      <w:r>
        <w:rPr>
          <w:spacing w:val="-4"/>
          <w:sz w:val="20"/>
        </w:rPr>
        <w:t> </w:t>
      </w:r>
      <w:r>
        <w:rPr>
          <w:sz w:val="20"/>
        </w:rPr>
        <w:t>of</w:t>
      </w:r>
      <w:r>
        <w:rPr>
          <w:spacing w:val="-6"/>
          <w:sz w:val="20"/>
        </w:rPr>
        <w:t> </w:t>
      </w:r>
      <w:r>
        <w:rPr>
          <w:sz w:val="20"/>
        </w:rPr>
        <w:t>architects</w:t>
      </w:r>
      <w:r>
        <w:rPr>
          <w:spacing w:val="-7"/>
          <w:sz w:val="20"/>
        </w:rPr>
        <w:t> </w:t>
      </w:r>
      <w:r>
        <w:rPr>
          <w:sz w:val="20"/>
        </w:rPr>
        <w:t>involved</w:t>
      </w:r>
      <w:r>
        <w:rPr>
          <w:spacing w:val="-7"/>
          <w:sz w:val="20"/>
        </w:rPr>
        <w:t> </w:t>
      </w:r>
      <w:r>
        <w:rPr>
          <w:sz w:val="20"/>
        </w:rPr>
        <w:t>in</w:t>
      </w:r>
      <w:r>
        <w:rPr>
          <w:spacing w:val="-6"/>
          <w:sz w:val="20"/>
        </w:rPr>
        <w:t> </w:t>
      </w:r>
      <w:r>
        <w:rPr>
          <w:sz w:val="20"/>
        </w:rPr>
        <w:t>urban</w:t>
      </w:r>
      <w:r>
        <w:rPr>
          <w:spacing w:val="-8"/>
          <w:sz w:val="20"/>
        </w:rPr>
        <w:t> </w:t>
      </w:r>
      <w:r>
        <w:rPr>
          <w:sz w:val="20"/>
        </w:rPr>
        <w:t>and</w:t>
      </w:r>
      <w:r>
        <w:rPr>
          <w:spacing w:val="-8"/>
          <w:sz w:val="20"/>
        </w:rPr>
        <w:t> </w:t>
      </w:r>
      <w:r>
        <w:rPr>
          <w:sz w:val="20"/>
        </w:rPr>
        <w:t>community</w:t>
      </w:r>
      <w:r>
        <w:rPr>
          <w:spacing w:val="-8"/>
          <w:sz w:val="20"/>
        </w:rPr>
        <w:t> </w:t>
      </w:r>
      <w:r>
        <w:rPr>
          <w:spacing w:val="-2"/>
          <w:sz w:val="20"/>
        </w:rPr>
        <w:t>designs.</w:t>
      </w:r>
    </w:p>
    <w:p>
      <w:pPr>
        <w:pStyle w:val="ListParagraph"/>
        <w:numPr>
          <w:ilvl w:val="0"/>
          <w:numId w:val="62"/>
        </w:numPr>
        <w:tabs>
          <w:tab w:pos="1159" w:val="left" w:leader="none"/>
          <w:tab w:pos="1160" w:val="left" w:leader="none"/>
        </w:tabs>
        <w:spacing w:line="240" w:lineRule="auto" w:before="15" w:after="0"/>
        <w:ind w:left="1159" w:right="757" w:hanging="360"/>
        <w:jc w:val="left"/>
        <w:rPr>
          <w:sz w:val="20"/>
        </w:rPr>
      </w:pPr>
      <w:r>
        <w:rPr>
          <w:sz w:val="20"/>
        </w:rPr>
        <w:t>Discuss</w:t>
      </w:r>
      <w:r>
        <w:rPr>
          <w:spacing w:val="-3"/>
          <w:sz w:val="20"/>
        </w:rPr>
        <w:t> </w:t>
      </w:r>
      <w:r>
        <w:rPr>
          <w:sz w:val="20"/>
        </w:rPr>
        <w:t>contemporary</w:t>
      </w:r>
      <w:r>
        <w:rPr>
          <w:spacing w:val="-7"/>
          <w:sz w:val="20"/>
        </w:rPr>
        <w:t> </w:t>
      </w:r>
      <w:r>
        <w:rPr>
          <w:sz w:val="20"/>
        </w:rPr>
        <w:t>demands</w:t>
      </w:r>
      <w:r>
        <w:rPr>
          <w:spacing w:val="-3"/>
          <w:sz w:val="20"/>
        </w:rPr>
        <w:t> </w:t>
      </w:r>
      <w:r>
        <w:rPr>
          <w:sz w:val="20"/>
        </w:rPr>
        <w:t>that</w:t>
      </w:r>
      <w:r>
        <w:rPr>
          <w:spacing w:val="-4"/>
          <w:sz w:val="20"/>
        </w:rPr>
        <w:t> </w:t>
      </w:r>
      <w:r>
        <w:rPr>
          <w:sz w:val="20"/>
        </w:rPr>
        <w:t>have</w:t>
      </w:r>
      <w:r>
        <w:rPr>
          <w:spacing w:val="-4"/>
          <w:sz w:val="20"/>
        </w:rPr>
        <w:t> </w:t>
      </w:r>
      <w:r>
        <w:rPr>
          <w:sz w:val="20"/>
        </w:rPr>
        <w:t>forced</w:t>
      </w:r>
      <w:r>
        <w:rPr>
          <w:spacing w:val="-4"/>
          <w:sz w:val="20"/>
        </w:rPr>
        <w:t> </w:t>
      </w:r>
      <w:r>
        <w:rPr>
          <w:sz w:val="20"/>
        </w:rPr>
        <w:t>reframing</w:t>
      </w:r>
      <w:r>
        <w:rPr>
          <w:spacing w:val="-4"/>
          <w:sz w:val="20"/>
        </w:rPr>
        <w:t> </w:t>
      </w:r>
      <w:r>
        <w:rPr>
          <w:sz w:val="20"/>
        </w:rPr>
        <w:t>approaches</w:t>
      </w:r>
      <w:r>
        <w:rPr>
          <w:spacing w:val="-3"/>
          <w:sz w:val="20"/>
        </w:rPr>
        <w:t> </w:t>
      </w:r>
      <w:r>
        <w:rPr>
          <w:sz w:val="20"/>
        </w:rPr>
        <w:t>to</w:t>
      </w:r>
      <w:r>
        <w:rPr>
          <w:spacing w:val="-4"/>
          <w:sz w:val="20"/>
        </w:rPr>
        <w:t> </w:t>
      </w:r>
      <w:r>
        <w:rPr>
          <w:sz w:val="20"/>
        </w:rPr>
        <w:t>community</w:t>
      </w:r>
      <w:r>
        <w:rPr>
          <w:spacing w:val="-5"/>
          <w:sz w:val="20"/>
        </w:rPr>
        <w:t> </w:t>
      </w:r>
      <w:r>
        <w:rPr>
          <w:sz w:val="20"/>
        </w:rPr>
        <w:t>design,</w:t>
      </w:r>
      <w:r>
        <w:rPr>
          <w:spacing w:val="-2"/>
          <w:sz w:val="20"/>
        </w:rPr>
        <w:t> </w:t>
      </w:r>
      <w:r>
        <w:rPr>
          <w:sz w:val="20"/>
        </w:rPr>
        <w:t>in particular the social, cultural and ecological imperatives subsumed under the concept of </w:t>
      </w:r>
      <w:r>
        <w:rPr>
          <w:spacing w:val="-2"/>
          <w:sz w:val="20"/>
        </w:rPr>
        <w:t>sustainability.</w:t>
      </w:r>
    </w:p>
    <w:p>
      <w:pPr>
        <w:pStyle w:val="ListParagraph"/>
        <w:numPr>
          <w:ilvl w:val="0"/>
          <w:numId w:val="62"/>
        </w:numPr>
        <w:tabs>
          <w:tab w:pos="1159" w:val="left" w:leader="none"/>
          <w:tab w:pos="1160" w:val="left" w:leader="none"/>
        </w:tabs>
        <w:spacing w:line="240" w:lineRule="auto" w:before="13" w:after="0"/>
        <w:ind w:left="1159" w:right="836" w:hanging="360"/>
        <w:jc w:val="left"/>
        <w:rPr>
          <w:sz w:val="20"/>
        </w:rPr>
      </w:pPr>
      <w:r>
        <w:rPr>
          <w:sz w:val="20"/>
        </w:rPr>
        <w:t>Identify</w:t>
      </w:r>
      <w:r>
        <w:rPr>
          <w:spacing w:val="-7"/>
          <w:sz w:val="20"/>
        </w:rPr>
        <w:t> </w:t>
      </w:r>
      <w:r>
        <w:rPr>
          <w:sz w:val="20"/>
        </w:rPr>
        <w:t>and</w:t>
      </w:r>
      <w:r>
        <w:rPr>
          <w:spacing w:val="-4"/>
          <w:sz w:val="20"/>
        </w:rPr>
        <w:t> </w:t>
      </w:r>
      <w:r>
        <w:rPr>
          <w:sz w:val="20"/>
        </w:rPr>
        <w:t>explain</w:t>
      </w:r>
      <w:r>
        <w:rPr>
          <w:spacing w:val="-4"/>
          <w:sz w:val="20"/>
        </w:rPr>
        <w:t> </w:t>
      </w:r>
      <w:r>
        <w:rPr>
          <w:sz w:val="20"/>
        </w:rPr>
        <w:t>challenges</w:t>
      </w:r>
      <w:r>
        <w:rPr>
          <w:spacing w:val="-3"/>
          <w:sz w:val="20"/>
        </w:rPr>
        <w:t> </w:t>
      </w:r>
      <w:r>
        <w:rPr>
          <w:sz w:val="20"/>
        </w:rPr>
        <w:t>currently</w:t>
      </w:r>
      <w:r>
        <w:rPr>
          <w:spacing w:val="-5"/>
          <w:sz w:val="20"/>
        </w:rPr>
        <w:t> </w:t>
      </w:r>
      <w:r>
        <w:rPr>
          <w:sz w:val="20"/>
        </w:rPr>
        <w:t>affecting</w:t>
      </w:r>
      <w:r>
        <w:rPr>
          <w:spacing w:val="-4"/>
          <w:sz w:val="20"/>
        </w:rPr>
        <w:t> </w:t>
      </w:r>
      <w:r>
        <w:rPr>
          <w:sz w:val="20"/>
        </w:rPr>
        <w:t>communities</w:t>
      </w:r>
      <w:r>
        <w:rPr>
          <w:spacing w:val="-3"/>
          <w:sz w:val="20"/>
        </w:rPr>
        <w:t> </w:t>
      </w:r>
      <w:r>
        <w:rPr>
          <w:sz w:val="20"/>
        </w:rPr>
        <w:t>in</w:t>
      </w:r>
      <w:r>
        <w:rPr>
          <w:spacing w:val="-2"/>
          <w:sz w:val="20"/>
        </w:rPr>
        <w:t> </w:t>
      </w:r>
      <w:r>
        <w:rPr>
          <w:sz w:val="20"/>
        </w:rPr>
        <w:t>the</w:t>
      </w:r>
      <w:r>
        <w:rPr>
          <w:spacing w:val="-2"/>
          <w:sz w:val="20"/>
        </w:rPr>
        <w:t> </w:t>
      </w:r>
      <w:r>
        <w:rPr>
          <w:sz w:val="20"/>
        </w:rPr>
        <w:t>U.S.</w:t>
      </w:r>
      <w:r>
        <w:rPr>
          <w:spacing w:val="-4"/>
          <w:sz w:val="20"/>
        </w:rPr>
        <w:t> </w:t>
      </w:r>
      <w:r>
        <w:rPr>
          <w:sz w:val="20"/>
        </w:rPr>
        <w:t>and</w:t>
      </w:r>
      <w:r>
        <w:rPr>
          <w:spacing w:val="-4"/>
          <w:sz w:val="20"/>
        </w:rPr>
        <w:t> </w:t>
      </w:r>
      <w:r>
        <w:rPr>
          <w:sz w:val="20"/>
        </w:rPr>
        <w:t>in</w:t>
      </w:r>
      <w:r>
        <w:rPr>
          <w:spacing w:val="-2"/>
          <w:sz w:val="20"/>
        </w:rPr>
        <w:t> </w:t>
      </w:r>
      <w:r>
        <w:rPr>
          <w:sz w:val="20"/>
        </w:rPr>
        <w:t>other</w:t>
      </w:r>
      <w:r>
        <w:rPr>
          <w:spacing w:val="-3"/>
          <w:sz w:val="20"/>
        </w:rPr>
        <w:t> </w:t>
      </w:r>
      <w:r>
        <w:rPr>
          <w:sz w:val="20"/>
        </w:rPr>
        <w:t>areas</w:t>
      </w:r>
      <w:r>
        <w:rPr>
          <w:spacing w:val="-3"/>
          <w:sz w:val="20"/>
        </w:rPr>
        <w:t> </w:t>
      </w:r>
      <w:r>
        <w:rPr>
          <w:sz w:val="20"/>
        </w:rPr>
        <w:t>of the world.</w:t>
      </w:r>
    </w:p>
    <w:p>
      <w:pPr>
        <w:spacing w:before="116"/>
        <w:ind w:left="439" w:right="0" w:firstLine="0"/>
        <w:jc w:val="left"/>
        <w:rPr>
          <w:b/>
          <w:sz w:val="20"/>
        </w:rPr>
      </w:pPr>
      <w:r>
        <w:rPr>
          <w:b/>
          <w:sz w:val="20"/>
        </w:rPr>
        <w:t>Student</w:t>
      </w:r>
      <w:r>
        <w:rPr>
          <w:b/>
          <w:spacing w:val="-11"/>
          <w:sz w:val="20"/>
        </w:rPr>
        <w:t> </w:t>
      </w:r>
      <w:r>
        <w:rPr>
          <w:b/>
          <w:sz w:val="20"/>
        </w:rPr>
        <w:t>Performance</w:t>
      </w:r>
      <w:r>
        <w:rPr>
          <w:b/>
          <w:spacing w:val="-11"/>
          <w:sz w:val="20"/>
        </w:rPr>
        <w:t> </w:t>
      </w:r>
      <w:r>
        <w:rPr>
          <w:b/>
          <w:sz w:val="20"/>
        </w:rPr>
        <w:t>Criterion/</w:t>
      </w:r>
      <w:r>
        <w:rPr>
          <w:b/>
          <w:spacing w:val="-11"/>
          <w:sz w:val="20"/>
        </w:rPr>
        <w:t> </w:t>
      </w:r>
      <w:r>
        <w:rPr>
          <w:b/>
          <w:spacing w:val="-2"/>
          <w:sz w:val="20"/>
        </w:rPr>
        <w:t>addressed:</w:t>
      </w:r>
    </w:p>
    <w:p>
      <w:pPr>
        <w:spacing w:after="0"/>
        <w:jc w:val="left"/>
        <w:rPr>
          <w:sz w:val="20"/>
        </w:rPr>
        <w:sectPr>
          <w:headerReference w:type="default" r:id="rId241"/>
          <w:footerReference w:type="default" r:id="rId242"/>
          <w:pgSz w:w="12240" w:h="15840"/>
          <w:pgMar w:header="993" w:footer="974" w:top="1240" w:bottom="1160" w:left="1000" w:right="820"/>
        </w:sectPr>
      </w:pPr>
    </w:p>
    <w:p>
      <w:pPr>
        <w:pStyle w:val="BodyText"/>
        <w:spacing w:before="123"/>
        <w:ind w:left="890" w:right="775"/>
      </w:pPr>
      <w:r>
        <w:rPr/>
        <w:t>A.9:</w:t>
      </w:r>
      <w:r>
        <w:rPr>
          <w:spacing w:val="-8"/>
        </w:rPr>
        <w:t> </w:t>
      </w:r>
      <w:r>
        <w:rPr/>
        <w:t>Historical</w:t>
      </w:r>
      <w:r>
        <w:rPr>
          <w:spacing w:val="-11"/>
        </w:rPr>
        <w:t> </w:t>
      </w:r>
      <w:r>
        <w:rPr/>
        <w:t>Traditions</w:t>
      </w:r>
      <w:r>
        <w:rPr>
          <w:spacing w:val="-6"/>
        </w:rPr>
        <w:t> </w:t>
      </w:r>
      <w:r>
        <w:rPr/>
        <w:t>and</w:t>
      </w:r>
      <w:r>
        <w:rPr>
          <w:spacing w:val="-10"/>
        </w:rPr>
        <w:t> </w:t>
      </w:r>
      <w:r>
        <w:rPr/>
        <w:t>Global</w:t>
      </w:r>
      <w:r>
        <w:rPr>
          <w:spacing w:val="-9"/>
        </w:rPr>
        <w:t> </w:t>
      </w:r>
      <w:r>
        <w:rPr/>
        <w:t>Culture, A.10: Cultural Diversity</w:t>
      </w:r>
    </w:p>
    <w:p>
      <w:pPr>
        <w:pStyle w:val="BodyText"/>
        <w:spacing w:line="229" w:lineRule="exact"/>
        <w:ind w:left="890"/>
      </w:pPr>
      <w:r>
        <w:rPr/>
        <w:t>C.2:</w:t>
      </w:r>
      <w:r>
        <w:rPr>
          <w:spacing w:val="-6"/>
        </w:rPr>
        <w:t> </w:t>
      </w:r>
      <w:r>
        <w:rPr/>
        <w:t>Human</w:t>
      </w:r>
      <w:r>
        <w:rPr>
          <w:spacing w:val="-5"/>
        </w:rPr>
        <w:t> </w:t>
      </w:r>
      <w:r>
        <w:rPr>
          <w:spacing w:val="-2"/>
        </w:rPr>
        <w:t>Behavior,</w:t>
      </w:r>
    </w:p>
    <w:p>
      <w:pPr>
        <w:spacing w:before="118"/>
        <w:ind w:left="439" w:right="0" w:firstLine="0"/>
        <w:jc w:val="left"/>
        <w:rPr>
          <w:b/>
          <w:sz w:val="20"/>
        </w:rPr>
      </w:pPr>
      <w:r>
        <w:rPr>
          <w:b/>
          <w:sz w:val="20"/>
        </w:rPr>
        <w:t>Topical</w:t>
      </w:r>
      <w:r>
        <w:rPr>
          <w:b/>
          <w:spacing w:val="-10"/>
          <w:sz w:val="20"/>
        </w:rPr>
        <w:t> </w:t>
      </w:r>
      <w:r>
        <w:rPr>
          <w:b/>
          <w:spacing w:val="-2"/>
          <w:sz w:val="20"/>
        </w:rPr>
        <w:t>Outline:</w:t>
      </w:r>
    </w:p>
    <w:p>
      <w:pPr>
        <w:pStyle w:val="BodyText"/>
        <w:spacing w:before="123"/>
        <w:ind w:left="1159"/>
      </w:pPr>
      <w:r>
        <w:rPr/>
        <w:t>Defining</w:t>
      </w:r>
      <w:r>
        <w:rPr>
          <w:spacing w:val="-7"/>
        </w:rPr>
        <w:t> </w:t>
      </w:r>
      <w:r>
        <w:rPr/>
        <w:t>Culture</w:t>
      </w:r>
      <w:r>
        <w:rPr>
          <w:spacing w:val="-7"/>
        </w:rPr>
        <w:t> </w:t>
      </w:r>
      <w:r>
        <w:rPr/>
        <w:t>and</w:t>
      </w:r>
      <w:r>
        <w:rPr>
          <w:spacing w:val="-6"/>
        </w:rPr>
        <w:t> </w:t>
      </w:r>
      <w:r>
        <w:rPr/>
        <w:t>Community</w:t>
      </w:r>
      <w:r>
        <w:rPr>
          <w:spacing w:val="-10"/>
        </w:rPr>
        <w:t> </w:t>
      </w:r>
      <w:r>
        <w:rPr>
          <w:spacing w:val="-4"/>
        </w:rPr>
        <w:t>(15%)</w:t>
      </w:r>
    </w:p>
    <w:p>
      <w:pPr>
        <w:pStyle w:val="BodyText"/>
        <w:spacing w:before="1"/>
        <w:ind w:left="1159"/>
      </w:pPr>
      <w:r>
        <w:rPr/>
        <w:t>Community</w:t>
      </w:r>
      <w:r>
        <w:rPr>
          <w:spacing w:val="-11"/>
        </w:rPr>
        <w:t> </w:t>
      </w:r>
      <w:r>
        <w:rPr/>
        <w:t>Participation</w:t>
      </w:r>
      <w:r>
        <w:rPr>
          <w:spacing w:val="-9"/>
        </w:rPr>
        <w:t> </w:t>
      </w:r>
      <w:r>
        <w:rPr/>
        <w:t>Theories</w:t>
      </w:r>
      <w:r>
        <w:rPr>
          <w:spacing w:val="-8"/>
        </w:rPr>
        <w:t> </w:t>
      </w:r>
      <w:r>
        <w:rPr/>
        <w:t>and</w:t>
      </w:r>
      <w:r>
        <w:rPr>
          <w:spacing w:val="-9"/>
        </w:rPr>
        <w:t> </w:t>
      </w:r>
      <w:r>
        <w:rPr/>
        <w:t>Practices</w:t>
      </w:r>
      <w:r>
        <w:rPr>
          <w:spacing w:val="-8"/>
        </w:rPr>
        <w:t> </w:t>
      </w:r>
      <w:r>
        <w:rPr/>
        <w:t>(15%) Housing and Community (15%)</w:t>
      </w:r>
    </w:p>
    <w:p>
      <w:pPr>
        <w:pStyle w:val="BodyText"/>
        <w:spacing w:before="1"/>
        <w:ind w:left="1159" w:right="775"/>
      </w:pPr>
      <w:r>
        <w:rPr/>
        <w:t>Established Urban Practices (15%) Communities</w:t>
      </w:r>
      <w:r>
        <w:rPr>
          <w:spacing w:val="-8"/>
        </w:rPr>
        <w:t> </w:t>
      </w:r>
      <w:r>
        <w:rPr/>
        <w:t>in</w:t>
      </w:r>
      <w:r>
        <w:rPr>
          <w:spacing w:val="-9"/>
        </w:rPr>
        <w:t> </w:t>
      </w:r>
      <w:r>
        <w:rPr/>
        <w:t>Tension:</w:t>
      </w:r>
      <w:r>
        <w:rPr>
          <w:spacing w:val="-9"/>
        </w:rPr>
        <w:t> </w:t>
      </w:r>
      <w:r>
        <w:rPr/>
        <w:t>Case</w:t>
      </w:r>
      <w:r>
        <w:rPr>
          <w:spacing w:val="-9"/>
        </w:rPr>
        <w:t> </w:t>
      </w:r>
      <w:r>
        <w:rPr/>
        <w:t>Studies</w:t>
      </w:r>
      <w:r>
        <w:rPr>
          <w:spacing w:val="-8"/>
        </w:rPr>
        <w:t> </w:t>
      </w:r>
      <w:r>
        <w:rPr/>
        <w:t>(20%) Community Design Practices Now (20%)</w:t>
      </w:r>
    </w:p>
    <w:p>
      <w:pPr>
        <w:spacing w:before="116"/>
        <w:ind w:left="439" w:right="0" w:firstLine="0"/>
        <w:jc w:val="left"/>
        <w:rPr>
          <w:b/>
          <w:sz w:val="20"/>
        </w:rPr>
      </w:pPr>
      <w:r>
        <w:rPr>
          <w:b/>
          <w:spacing w:val="-2"/>
          <w:sz w:val="20"/>
        </w:rPr>
        <w:t>Prerequisites:</w:t>
      </w:r>
    </w:p>
    <w:p>
      <w:pPr>
        <w:pStyle w:val="BodyText"/>
        <w:spacing w:before="123"/>
        <w:ind w:left="1159"/>
      </w:pPr>
      <w:r>
        <w:rPr/>
        <w:t>Completion</w:t>
      </w:r>
      <w:r>
        <w:rPr>
          <w:spacing w:val="-6"/>
        </w:rPr>
        <w:t> </w:t>
      </w:r>
      <w:r>
        <w:rPr/>
        <w:t>of</w:t>
      </w:r>
      <w:r>
        <w:rPr>
          <w:spacing w:val="-3"/>
        </w:rPr>
        <w:t> </w:t>
      </w:r>
      <w:r>
        <w:rPr/>
        <w:t>all</w:t>
      </w:r>
      <w:r>
        <w:rPr>
          <w:spacing w:val="-6"/>
        </w:rPr>
        <w:t> </w:t>
      </w:r>
      <w:r>
        <w:rPr/>
        <w:t>major</w:t>
      </w:r>
      <w:r>
        <w:rPr>
          <w:spacing w:val="-5"/>
        </w:rPr>
        <w:t> </w:t>
      </w:r>
      <w:r>
        <w:rPr/>
        <w:t>courses</w:t>
      </w:r>
      <w:r>
        <w:rPr>
          <w:spacing w:val="-4"/>
        </w:rPr>
        <w:t> </w:t>
      </w:r>
      <w:r>
        <w:rPr/>
        <w:t>prior</w:t>
      </w:r>
      <w:r>
        <w:rPr>
          <w:spacing w:val="-5"/>
        </w:rPr>
        <w:t> </w:t>
      </w:r>
      <w:r>
        <w:rPr/>
        <w:t>to</w:t>
      </w:r>
      <w:r>
        <w:rPr>
          <w:spacing w:val="-5"/>
        </w:rPr>
        <w:t> </w:t>
      </w:r>
      <w:r>
        <w:rPr/>
        <w:t>5</w:t>
      </w:r>
      <w:r>
        <w:rPr>
          <w:vertAlign w:val="superscript"/>
        </w:rPr>
        <w:t>th</w:t>
      </w:r>
      <w:r>
        <w:rPr>
          <w:spacing w:val="-5"/>
          <w:vertAlign w:val="baseline"/>
        </w:rPr>
        <w:t> </w:t>
      </w:r>
      <w:r>
        <w:rPr>
          <w:spacing w:val="-4"/>
          <w:vertAlign w:val="baseline"/>
        </w:rPr>
        <w:t>year.</w:t>
      </w:r>
    </w:p>
    <w:p>
      <w:pPr>
        <w:spacing w:before="117"/>
        <w:ind w:left="439" w:right="0" w:firstLine="0"/>
        <w:jc w:val="left"/>
        <w:rPr>
          <w:b/>
          <w:sz w:val="20"/>
        </w:rPr>
      </w:pPr>
      <w:r>
        <w:rPr>
          <w:b/>
          <w:w w:val="95"/>
          <w:sz w:val="20"/>
        </w:rPr>
        <w:t>Textbooks/Learning</w:t>
      </w:r>
      <w:r>
        <w:rPr>
          <w:b/>
          <w:spacing w:val="70"/>
          <w:sz w:val="20"/>
        </w:rPr>
        <w:t> </w:t>
      </w:r>
      <w:r>
        <w:rPr>
          <w:b/>
          <w:spacing w:val="-2"/>
          <w:sz w:val="20"/>
        </w:rPr>
        <w:t>Resources:</w:t>
      </w:r>
    </w:p>
    <w:p>
      <w:pPr>
        <w:pStyle w:val="BodyText"/>
        <w:spacing w:before="120"/>
        <w:ind w:left="1159"/>
      </w:pPr>
      <w:r>
        <w:rPr/>
        <w:t>Reader</w:t>
      </w:r>
      <w:r>
        <w:rPr>
          <w:spacing w:val="-9"/>
        </w:rPr>
        <w:t> </w:t>
      </w:r>
      <w:r>
        <w:rPr/>
        <w:t>provided.</w:t>
      </w:r>
      <w:r>
        <w:rPr>
          <w:spacing w:val="-7"/>
        </w:rPr>
        <w:t> </w:t>
      </w:r>
      <w:r>
        <w:rPr/>
        <w:t>Among</w:t>
      </w:r>
      <w:r>
        <w:rPr>
          <w:spacing w:val="-9"/>
        </w:rPr>
        <w:t> </w:t>
      </w:r>
      <w:r>
        <w:rPr/>
        <w:t>selected</w:t>
      </w:r>
      <w:r>
        <w:rPr>
          <w:spacing w:val="-9"/>
        </w:rPr>
        <w:t> </w:t>
      </w:r>
      <w:r>
        <w:rPr>
          <w:spacing w:val="-2"/>
        </w:rPr>
        <w:t>texts:</w:t>
      </w:r>
    </w:p>
    <w:p>
      <w:pPr>
        <w:pStyle w:val="BodyText"/>
        <w:spacing w:before="123"/>
        <w:ind w:left="-36"/>
      </w:pPr>
      <w:r>
        <w:rPr/>
        <w:br w:type="column"/>
      </w:r>
      <w:r>
        <w:rPr/>
        <w:t>C.6:</w:t>
      </w:r>
      <w:r>
        <w:rPr>
          <w:spacing w:val="-7"/>
        </w:rPr>
        <w:t> </w:t>
      </w:r>
      <w:r>
        <w:rPr>
          <w:spacing w:val="-2"/>
        </w:rPr>
        <w:t>Leadership,</w:t>
      </w:r>
    </w:p>
    <w:p>
      <w:pPr>
        <w:pStyle w:val="BodyText"/>
        <w:spacing w:before="1"/>
        <w:ind w:left="-36" w:right="552"/>
      </w:pPr>
      <w:r>
        <w:rPr/>
        <w:t>C.8: Ethics and Professional Judgment, C.9:</w:t>
      </w:r>
      <w:r>
        <w:rPr>
          <w:spacing w:val="-10"/>
        </w:rPr>
        <w:t> </w:t>
      </w:r>
      <w:r>
        <w:rPr/>
        <w:t>Community</w:t>
      </w:r>
      <w:r>
        <w:rPr>
          <w:spacing w:val="-13"/>
        </w:rPr>
        <w:t> </w:t>
      </w:r>
      <w:r>
        <w:rPr/>
        <w:t>and</w:t>
      </w:r>
      <w:r>
        <w:rPr>
          <w:spacing w:val="-10"/>
        </w:rPr>
        <w:t> </w:t>
      </w:r>
      <w:r>
        <w:rPr/>
        <w:t>Social</w:t>
      </w:r>
      <w:r>
        <w:rPr>
          <w:spacing w:val="-9"/>
        </w:rPr>
        <w:t> </w:t>
      </w:r>
      <w:r>
        <w:rPr/>
        <w:t>Responsibility.</w:t>
      </w:r>
    </w:p>
    <w:p>
      <w:pPr>
        <w:spacing w:after="0"/>
        <w:sectPr>
          <w:type w:val="continuous"/>
          <w:pgSz w:w="12240" w:h="15840"/>
          <w:pgMar w:header="993" w:footer="974" w:top="1360" w:bottom="280" w:left="1000" w:right="820"/>
          <w:cols w:num="2" w:equalWidth="0">
            <w:col w:w="6015" w:space="40"/>
            <w:col w:w="4365"/>
          </w:cols>
        </w:sectPr>
      </w:pPr>
    </w:p>
    <w:p>
      <w:pPr>
        <w:spacing w:before="1"/>
        <w:ind w:left="1159" w:right="642" w:firstLine="0"/>
        <w:jc w:val="left"/>
        <w:rPr>
          <w:sz w:val="20"/>
        </w:rPr>
      </w:pPr>
      <w:r>
        <w:rPr>
          <w:sz w:val="20"/>
        </w:rPr>
        <w:t>Awan,</w:t>
      </w:r>
      <w:r>
        <w:rPr>
          <w:spacing w:val="-4"/>
          <w:sz w:val="20"/>
        </w:rPr>
        <w:t> </w:t>
      </w:r>
      <w:r>
        <w:rPr>
          <w:sz w:val="20"/>
        </w:rPr>
        <w:t>Schneider,</w:t>
      </w:r>
      <w:r>
        <w:rPr>
          <w:spacing w:val="-4"/>
          <w:sz w:val="20"/>
        </w:rPr>
        <w:t> </w:t>
      </w:r>
      <w:r>
        <w:rPr>
          <w:sz w:val="20"/>
        </w:rPr>
        <w:t>Till.</w:t>
      </w:r>
      <w:r>
        <w:rPr>
          <w:spacing w:val="-2"/>
          <w:sz w:val="20"/>
        </w:rPr>
        <w:t> </w:t>
      </w:r>
      <w:r>
        <w:rPr>
          <w:sz w:val="20"/>
        </w:rPr>
        <w:t>Spatial</w:t>
      </w:r>
      <w:r>
        <w:rPr>
          <w:spacing w:val="-3"/>
          <w:sz w:val="20"/>
        </w:rPr>
        <w:t> </w:t>
      </w:r>
      <w:r>
        <w:rPr>
          <w:sz w:val="20"/>
        </w:rPr>
        <w:t>Agency:</w:t>
      </w:r>
      <w:r>
        <w:rPr>
          <w:spacing w:val="-4"/>
          <w:sz w:val="20"/>
        </w:rPr>
        <w:t> </w:t>
      </w:r>
      <w:r>
        <w:rPr>
          <w:sz w:val="20"/>
        </w:rPr>
        <w:t>Other</w:t>
      </w:r>
      <w:r>
        <w:rPr>
          <w:spacing w:val="-5"/>
          <w:sz w:val="20"/>
        </w:rPr>
        <w:t> </w:t>
      </w:r>
      <w:r>
        <w:rPr>
          <w:sz w:val="20"/>
        </w:rPr>
        <w:t>Ways</w:t>
      </w:r>
      <w:r>
        <w:rPr>
          <w:spacing w:val="-3"/>
          <w:sz w:val="20"/>
        </w:rPr>
        <w:t> </w:t>
      </w:r>
      <w:r>
        <w:rPr>
          <w:sz w:val="20"/>
        </w:rPr>
        <w:t>of</w:t>
      </w:r>
      <w:r>
        <w:rPr>
          <w:spacing w:val="-2"/>
          <w:sz w:val="20"/>
        </w:rPr>
        <w:t> </w:t>
      </w:r>
      <w:r>
        <w:rPr>
          <w:sz w:val="20"/>
        </w:rPr>
        <w:t>Doing</w:t>
      </w:r>
      <w:r>
        <w:rPr>
          <w:spacing w:val="-4"/>
          <w:sz w:val="20"/>
        </w:rPr>
        <w:t> </w:t>
      </w:r>
      <w:r>
        <w:rPr>
          <w:sz w:val="20"/>
        </w:rPr>
        <w:t>Architecture;</w:t>
      </w:r>
      <w:r>
        <w:rPr>
          <w:spacing w:val="-4"/>
          <w:sz w:val="20"/>
        </w:rPr>
        <w:t> </w:t>
      </w:r>
      <w:r>
        <w:rPr>
          <w:sz w:val="20"/>
        </w:rPr>
        <w:t>Barton,</w:t>
      </w:r>
      <w:r>
        <w:rPr>
          <w:spacing w:val="-2"/>
          <w:sz w:val="20"/>
        </w:rPr>
        <w:t> </w:t>
      </w:r>
      <w:r>
        <w:rPr>
          <w:sz w:val="20"/>
        </w:rPr>
        <w:t>Craig.</w:t>
      </w:r>
      <w:r>
        <w:rPr>
          <w:spacing w:val="-2"/>
          <w:sz w:val="20"/>
        </w:rPr>
        <w:t> </w:t>
      </w:r>
      <w:r>
        <w:rPr>
          <w:sz w:val="20"/>
        </w:rPr>
        <w:t>Sites</w:t>
      </w:r>
      <w:r>
        <w:rPr>
          <w:spacing w:val="-3"/>
          <w:sz w:val="20"/>
        </w:rPr>
        <w:t> </w:t>
      </w:r>
      <w:r>
        <w:rPr>
          <w:sz w:val="20"/>
        </w:rPr>
        <w:t>of Memory; Jacobs, Jane. (2004) </w:t>
      </w:r>
      <w:r>
        <w:rPr>
          <w:b/>
          <w:sz w:val="20"/>
        </w:rPr>
        <w:t>Dark Age Ahead</w:t>
      </w:r>
      <w:r>
        <w:rPr>
          <w:sz w:val="20"/>
        </w:rPr>
        <w:t>; Sanoff, Henry. (2000). </w:t>
      </w:r>
      <w:r>
        <w:rPr>
          <w:b/>
          <w:sz w:val="20"/>
        </w:rPr>
        <w:t>Community Participation Methods in Design and Planning</w:t>
      </w:r>
      <w:r>
        <w:rPr>
          <w:sz w:val="20"/>
        </w:rPr>
        <w:t>.</w:t>
      </w:r>
    </w:p>
    <w:p>
      <w:pPr>
        <w:spacing w:line="240" w:lineRule="auto" w:before="119"/>
        <w:ind w:left="1159" w:right="712" w:hanging="720"/>
        <w:jc w:val="left"/>
        <w:rPr>
          <w:sz w:val="20"/>
        </w:rPr>
      </w:pPr>
      <w:r>
        <w:rPr>
          <w:rFonts w:ascii="Arial-BoldItalicMT"/>
          <w:b/>
          <w:i/>
          <w:sz w:val="20"/>
        </w:rPr>
        <w:t>Documents: </w:t>
      </w:r>
      <w:r>
        <w:rPr>
          <w:i/>
          <w:sz w:val="20"/>
        </w:rPr>
        <w:t>LEED ND </w:t>
      </w:r>
      <w:r>
        <w:rPr>
          <w:rFonts w:ascii="Arial-BoldItalicMT"/>
          <w:b/>
          <w:i/>
          <w:sz w:val="20"/>
        </w:rPr>
        <w:t>- </w:t>
      </w:r>
      <w:r>
        <w:rPr>
          <w:sz w:val="20"/>
        </w:rPr>
        <w:t>Guidelines for the design of new neighborhoods, </w:t>
      </w:r>
      <w:r>
        <w:rPr>
          <w:i/>
          <w:sz w:val="20"/>
        </w:rPr>
        <w:t>Smartcode, RIBA Silver Linings Report; </w:t>
      </w:r>
      <w:r>
        <w:rPr>
          <w:rFonts w:ascii="Arial-BoldItalicMT"/>
          <w:b/>
          <w:i/>
          <w:sz w:val="20"/>
        </w:rPr>
        <w:t>Web sites: </w:t>
      </w:r>
      <w:r>
        <w:rPr>
          <w:i/>
          <w:sz w:val="20"/>
        </w:rPr>
        <w:t>Cleveland Urban Design Collaborative and other CDC, Spatial Agency,</w:t>
      </w:r>
      <w:r>
        <w:rPr>
          <w:i/>
          <w:spacing w:val="-5"/>
          <w:sz w:val="20"/>
        </w:rPr>
        <w:t> </w:t>
      </w:r>
      <w:r>
        <w:rPr>
          <w:i/>
          <w:sz w:val="20"/>
        </w:rPr>
        <w:t>Building</w:t>
      </w:r>
      <w:r>
        <w:rPr>
          <w:i/>
          <w:spacing w:val="-5"/>
          <w:sz w:val="20"/>
        </w:rPr>
        <w:t> </w:t>
      </w:r>
      <w:r>
        <w:rPr>
          <w:i/>
          <w:sz w:val="20"/>
        </w:rPr>
        <w:t>Futures,</w:t>
      </w:r>
      <w:r>
        <w:rPr>
          <w:i/>
          <w:spacing w:val="-3"/>
          <w:sz w:val="20"/>
        </w:rPr>
        <w:t> </w:t>
      </w:r>
      <w:r>
        <w:rPr>
          <w:i/>
          <w:sz w:val="20"/>
        </w:rPr>
        <w:t>MOMA</w:t>
      </w:r>
      <w:r>
        <w:rPr>
          <w:i/>
          <w:spacing w:val="-3"/>
          <w:sz w:val="20"/>
        </w:rPr>
        <w:t> </w:t>
      </w:r>
      <w:r>
        <w:rPr>
          <w:i/>
          <w:sz w:val="20"/>
        </w:rPr>
        <w:t>Rising</w:t>
      </w:r>
      <w:r>
        <w:rPr>
          <w:i/>
          <w:spacing w:val="-5"/>
          <w:sz w:val="20"/>
        </w:rPr>
        <w:t> </w:t>
      </w:r>
      <w:r>
        <w:rPr>
          <w:i/>
          <w:sz w:val="20"/>
        </w:rPr>
        <w:t>Currents,</w:t>
      </w:r>
      <w:r>
        <w:rPr>
          <w:i/>
          <w:spacing w:val="-4"/>
          <w:sz w:val="20"/>
        </w:rPr>
        <w:t> </w:t>
      </w:r>
      <w:r>
        <w:rPr>
          <w:sz w:val="20"/>
        </w:rPr>
        <w:t>TED</w:t>
      </w:r>
      <w:r>
        <w:rPr>
          <w:spacing w:val="-5"/>
          <w:sz w:val="20"/>
        </w:rPr>
        <w:t> </w:t>
      </w:r>
      <w:r>
        <w:rPr>
          <w:sz w:val="20"/>
        </w:rPr>
        <w:t>Talks.</w:t>
      </w:r>
      <w:r>
        <w:rPr>
          <w:spacing w:val="-5"/>
          <w:sz w:val="20"/>
        </w:rPr>
        <w:t> </w:t>
      </w:r>
      <w:r>
        <w:rPr>
          <w:sz w:val="20"/>
        </w:rPr>
        <w:t>Videos</w:t>
      </w:r>
      <w:r>
        <w:rPr>
          <w:spacing w:val="-4"/>
          <w:sz w:val="20"/>
        </w:rPr>
        <w:t> </w:t>
      </w:r>
      <w:r>
        <w:rPr>
          <w:sz w:val="20"/>
        </w:rPr>
        <w:t>from Independent</w:t>
      </w:r>
      <w:r>
        <w:rPr>
          <w:spacing w:val="-5"/>
          <w:sz w:val="20"/>
        </w:rPr>
        <w:t> </w:t>
      </w:r>
      <w:r>
        <w:rPr>
          <w:sz w:val="20"/>
        </w:rPr>
        <w:t>Lens, Global Voices, America Reframed</w:t>
      </w:r>
    </w:p>
    <w:p>
      <w:pPr>
        <w:spacing w:before="119"/>
        <w:ind w:left="439" w:right="0" w:firstLine="0"/>
        <w:jc w:val="left"/>
        <w:rPr>
          <w:b/>
          <w:sz w:val="20"/>
        </w:rPr>
      </w:pPr>
      <w:r>
        <w:rPr>
          <w:b/>
          <w:sz w:val="20"/>
        </w:rPr>
        <w:t>Offered</w:t>
      </w:r>
      <w:r>
        <w:rPr>
          <w:b/>
          <w:spacing w:val="-9"/>
          <w:sz w:val="20"/>
        </w:rPr>
        <w:t> </w:t>
      </w:r>
      <w:r>
        <w:rPr>
          <w:b/>
          <w:sz w:val="20"/>
        </w:rPr>
        <w:t>(semester</w:t>
      </w:r>
      <w:r>
        <w:rPr>
          <w:b/>
          <w:spacing w:val="-7"/>
          <w:sz w:val="20"/>
        </w:rPr>
        <w:t> </w:t>
      </w:r>
      <w:r>
        <w:rPr>
          <w:b/>
          <w:sz w:val="20"/>
        </w:rPr>
        <w:t>and</w:t>
      </w:r>
      <w:r>
        <w:rPr>
          <w:b/>
          <w:spacing w:val="-7"/>
          <w:sz w:val="20"/>
        </w:rPr>
        <w:t> </w:t>
      </w:r>
      <w:r>
        <w:rPr>
          <w:b/>
          <w:spacing w:val="-2"/>
          <w:sz w:val="20"/>
        </w:rPr>
        <w:t>year):</w:t>
      </w:r>
    </w:p>
    <w:p>
      <w:pPr>
        <w:pStyle w:val="BodyText"/>
        <w:spacing w:before="123"/>
        <w:ind w:left="1159"/>
      </w:pPr>
      <w:r>
        <w:rPr/>
        <w:t>Spring</w:t>
      </w:r>
      <w:r>
        <w:rPr>
          <w:spacing w:val="-9"/>
        </w:rPr>
        <w:t> </w:t>
      </w:r>
      <w:r>
        <w:rPr/>
        <w:t>only;</w:t>
      </w:r>
      <w:r>
        <w:rPr>
          <w:spacing w:val="-5"/>
        </w:rPr>
        <w:t> </w:t>
      </w:r>
      <w:r>
        <w:rPr>
          <w:spacing w:val="-2"/>
        </w:rPr>
        <w:t>annually</w:t>
      </w:r>
    </w:p>
    <w:p>
      <w:pPr>
        <w:spacing w:before="118"/>
        <w:ind w:left="439" w:right="0" w:firstLine="0"/>
        <w:jc w:val="left"/>
        <w:rPr>
          <w:b/>
          <w:sz w:val="20"/>
        </w:rPr>
      </w:pPr>
      <w:r>
        <w:rPr>
          <w:b/>
          <w:sz w:val="20"/>
        </w:rPr>
        <w:t>Faculty</w:t>
      </w:r>
      <w:r>
        <w:rPr>
          <w:b/>
          <w:spacing w:val="-9"/>
          <w:sz w:val="20"/>
        </w:rPr>
        <w:t> </w:t>
      </w:r>
      <w:r>
        <w:rPr>
          <w:b/>
          <w:sz w:val="20"/>
        </w:rPr>
        <w:t>assigned</w:t>
      </w:r>
      <w:r>
        <w:rPr>
          <w:b/>
          <w:spacing w:val="-6"/>
          <w:sz w:val="20"/>
        </w:rPr>
        <w:t> </w:t>
      </w:r>
      <w:r>
        <w:rPr>
          <w:b/>
          <w:sz w:val="20"/>
        </w:rPr>
        <w:t>(list</w:t>
      </w:r>
      <w:r>
        <w:rPr>
          <w:b/>
          <w:spacing w:val="-5"/>
          <w:sz w:val="20"/>
        </w:rPr>
        <w:t> </w:t>
      </w:r>
      <w:r>
        <w:rPr>
          <w:b/>
          <w:sz w:val="20"/>
        </w:rPr>
        <w:t>all</w:t>
      </w:r>
      <w:r>
        <w:rPr>
          <w:b/>
          <w:spacing w:val="-7"/>
          <w:sz w:val="20"/>
        </w:rPr>
        <w:t> </w:t>
      </w:r>
      <w:r>
        <w:rPr>
          <w:b/>
          <w:sz w:val="20"/>
        </w:rPr>
        <w:t>faculty</w:t>
      </w:r>
      <w:r>
        <w:rPr>
          <w:b/>
          <w:spacing w:val="-9"/>
          <w:sz w:val="20"/>
        </w:rPr>
        <w:t> </w:t>
      </w:r>
      <w:r>
        <w:rPr>
          <w:b/>
          <w:sz w:val="20"/>
        </w:rPr>
        <w:t>assigned</w:t>
      </w:r>
      <w:r>
        <w:rPr>
          <w:b/>
          <w:spacing w:val="-5"/>
          <w:sz w:val="20"/>
        </w:rPr>
        <w:t> </w:t>
      </w:r>
      <w:r>
        <w:rPr>
          <w:b/>
          <w:sz w:val="20"/>
        </w:rPr>
        <w:t>during</w:t>
      </w:r>
      <w:r>
        <w:rPr>
          <w:b/>
          <w:spacing w:val="-5"/>
          <w:sz w:val="20"/>
        </w:rPr>
        <w:t> </w:t>
      </w:r>
      <w:r>
        <w:rPr>
          <w:b/>
          <w:sz w:val="20"/>
        </w:rPr>
        <w:t>the</w:t>
      </w:r>
      <w:r>
        <w:rPr>
          <w:b/>
          <w:spacing w:val="-7"/>
          <w:sz w:val="20"/>
        </w:rPr>
        <w:t> </w:t>
      </w:r>
      <w:r>
        <w:rPr>
          <w:b/>
          <w:sz w:val="20"/>
        </w:rPr>
        <w:t>two</w:t>
      </w:r>
      <w:r>
        <w:rPr>
          <w:b/>
          <w:spacing w:val="-5"/>
          <w:sz w:val="20"/>
        </w:rPr>
        <w:t> </w:t>
      </w:r>
      <w:r>
        <w:rPr>
          <w:b/>
          <w:sz w:val="20"/>
        </w:rPr>
        <w:t>academic</w:t>
      </w:r>
      <w:r>
        <w:rPr>
          <w:b/>
          <w:spacing w:val="-4"/>
          <w:sz w:val="20"/>
        </w:rPr>
        <w:t> </w:t>
      </w:r>
      <w:r>
        <w:rPr>
          <w:b/>
          <w:sz w:val="20"/>
        </w:rPr>
        <w:t>years</w:t>
      </w:r>
      <w:r>
        <w:rPr>
          <w:b/>
          <w:spacing w:val="-7"/>
          <w:sz w:val="20"/>
        </w:rPr>
        <w:t> </w:t>
      </w:r>
      <w:r>
        <w:rPr>
          <w:b/>
          <w:sz w:val="20"/>
        </w:rPr>
        <w:t>prior</w:t>
      </w:r>
      <w:r>
        <w:rPr>
          <w:b/>
          <w:spacing w:val="-7"/>
          <w:sz w:val="20"/>
        </w:rPr>
        <w:t> </w:t>
      </w:r>
      <w:r>
        <w:rPr>
          <w:b/>
          <w:sz w:val="20"/>
        </w:rPr>
        <w:t>to</w:t>
      </w:r>
      <w:r>
        <w:rPr>
          <w:b/>
          <w:spacing w:val="-5"/>
          <w:sz w:val="20"/>
        </w:rPr>
        <w:t> </w:t>
      </w:r>
      <w:r>
        <w:rPr>
          <w:b/>
          <w:sz w:val="20"/>
        </w:rPr>
        <w:t>the</w:t>
      </w:r>
      <w:r>
        <w:rPr>
          <w:b/>
          <w:spacing w:val="-7"/>
          <w:sz w:val="20"/>
        </w:rPr>
        <w:t> </w:t>
      </w:r>
      <w:r>
        <w:rPr>
          <w:b/>
          <w:spacing w:val="-2"/>
          <w:sz w:val="20"/>
        </w:rPr>
        <w:t>visit):</w:t>
      </w:r>
    </w:p>
    <w:p>
      <w:pPr>
        <w:pStyle w:val="BodyText"/>
        <w:spacing w:before="123"/>
        <w:ind w:left="1159"/>
      </w:pPr>
      <w:r>
        <w:rPr/>
        <w:t>2013</w:t>
      </w:r>
      <w:r>
        <w:rPr>
          <w:spacing w:val="-7"/>
        </w:rPr>
        <w:t> </w:t>
      </w:r>
      <w:r>
        <w:rPr/>
        <w:t>and</w:t>
      </w:r>
      <w:r>
        <w:rPr>
          <w:spacing w:val="-8"/>
        </w:rPr>
        <w:t> </w:t>
      </w:r>
      <w:r>
        <w:rPr/>
        <w:t>20144,</w:t>
      </w:r>
      <w:r>
        <w:rPr>
          <w:spacing w:val="-8"/>
        </w:rPr>
        <w:t> </w:t>
      </w:r>
      <w:r>
        <w:rPr/>
        <w:t>Dr.</w:t>
      </w:r>
      <w:r>
        <w:rPr>
          <w:spacing w:val="-8"/>
        </w:rPr>
        <w:t> </w:t>
      </w:r>
      <w:r>
        <w:rPr/>
        <w:t>Carmina</w:t>
      </w:r>
      <w:r>
        <w:rPr>
          <w:spacing w:val="-8"/>
        </w:rPr>
        <w:t> </w:t>
      </w:r>
      <w:r>
        <w:rPr/>
        <w:t>Sánchez-del-Valle</w:t>
      </w:r>
      <w:r>
        <w:rPr>
          <w:spacing w:val="-8"/>
        </w:rPr>
        <w:t> </w:t>
      </w:r>
      <w:r>
        <w:rPr>
          <w:spacing w:val="-4"/>
        </w:rPr>
        <w:t>(F/T)</w:t>
      </w:r>
    </w:p>
    <w:p>
      <w:pPr>
        <w:spacing w:after="0"/>
        <w:sectPr>
          <w:type w:val="continuous"/>
          <w:pgSz w:w="12240" w:h="15840"/>
          <w:pgMar w:header="993" w:footer="974" w:top="1360" w:bottom="280" w:left="1000" w:right="820"/>
        </w:sectPr>
      </w:pPr>
    </w:p>
    <w:p>
      <w:pPr>
        <w:spacing w:before="115"/>
        <w:ind w:left="440" w:right="0" w:firstLine="0"/>
        <w:jc w:val="left"/>
        <w:rPr>
          <w:b/>
          <w:sz w:val="20"/>
        </w:rPr>
      </w:pPr>
      <w:r>
        <w:rPr>
          <w:b/>
          <w:sz w:val="20"/>
        </w:rPr>
        <w:t>Course</w:t>
      </w:r>
      <w:r>
        <w:rPr>
          <w:b/>
          <w:spacing w:val="-10"/>
          <w:sz w:val="20"/>
        </w:rPr>
        <w:t> </w:t>
      </w:r>
      <w:r>
        <w:rPr>
          <w:b/>
          <w:spacing w:val="-2"/>
          <w:sz w:val="20"/>
        </w:rPr>
        <w:t>Description:</w:t>
      </w:r>
    </w:p>
    <w:p>
      <w:pPr>
        <w:pStyle w:val="BodyText"/>
        <w:spacing w:line="276" w:lineRule="auto" w:before="125"/>
        <w:ind w:left="1160" w:right="646"/>
      </w:pPr>
      <w:r>
        <w:rPr/>
        <w:t>Examination of theories, concepts and mechanics of emerging technology in architecture</w:t>
      </w:r>
      <w:r>
        <w:rPr>
          <w:spacing w:val="40"/>
        </w:rPr>
        <w:t> </w:t>
      </w:r>
      <w:r>
        <w:rPr/>
        <w:t>focusing on materials, construction and building systems [including green building, sustainable systems,</w:t>
      </w:r>
      <w:r>
        <w:rPr>
          <w:spacing w:val="-5"/>
        </w:rPr>
        <w:t> </w:t>
      </w:r>
      <w:r>
        <w:rPr/>
        <w:t>and</w:t>
      </w:r>
      <w:r>
        <w:rPr>
          <w:spacing w:val="-5"/>
        </w:rPr>
        <w:t> </w:t>
      </w:r>
      <w:r>
        <w:rPr/>
        <w:t>historical</w:t>
      </w:r>
      <w:r>
        <w:rPr>
          <w:spacing w:val="-6"/>
        </w:rPr>
        <w:t> </w:t>
      </w:r>
      <w:r>
        <w:rPr/>
        <w:t>preservation</w:t>
      </w:r>
      <w:r>
        <w:rPr>
          <w:spacing w:val="-3"/>
        </w:rPr>
        <w:t> </w:t>
      </w:r>
      <w:r>
        <w:rPr/>
        <w:t>and</w:t>
      </w:r>
      <w:r>
        <w:rPr>
          <w:spacing w:val="-3"/>
        </w:rPr>
        <w:t> </w:t>
      </w:r>
      <w:r>
        <w:rPr/>
        <w:t>rehab].</w:t>
      </w:r>
      <w:r>
        <w:rPr>
          <w:spacing w:val="-5"/>
        </w:rPr>
        <w:t> </w:t>
      </w:r>
      <w:r>
        <w:rPr/>
        <w:t>Intensive</w:t>
      </w:r>
      <w:r>
        <w:rPr>
          <w:spacing w:val="-5"/>
        </w:rPr>
        <w:t> </w:t>
      </w:r>
      <w:r>
        <w:rPr/>
        <w:t>reading,</w:t>
      </w:r>
      <w:r>
        <w:rPr>
          <w:spacing w:val="-5"/>
        </w:rPr>
        <w:t> </w:t>
      </w:r>
      <w:r>
        <w:rPr/>
        <w:t>speculative</w:t>
      </w:r>
      <w:r>
        <w:rPr>
          <w:spacing w:val="-5"/>
        </w:rPr>
        <w:t> </w:t>
      </w:r>
      <w:r>
        <w:rPr/>
        <w:t>and</w:t>
      </w:r>
      <w:r>
        <w:rPr>
          <w:spacing w:val="-5"/>
        </w:rPr>
        <w:t> </w:t>
      </w:r>
      <w:r>
        <w:rPr/>
        <w:t>critical</w:t>
      </w:r>
      <w:r>
        <w:rPr>
          <w:spacing w:val="-4"/>
        </w:rPr>
        <w:t> </w:t>
      </w:r>
      <w:r>
        <w:rPr/>
        <w:t>writing, research,</w:t>
      </w:r>
      <w:r>
        <w:rPr>
          <w:spacing w:val="-9"/>
        </w:rPr>
        <w:t> </w:t>
      </w:r>
      <w:r>
        <w:rPr/>
        <w:t>drawing</w:t>
      </w:r>
      <w:r>
        <w:rPr>
          <w:spacing w:val="-8"/>
        </w:rPr>
        <w:t> </w:t>
      </w:r>
      <w:r>
        <w:rPr/>
        <w:t>and</w:t>
      </w:r>
      <w:r>
        <w:rPr>
          <w:spacing w:val="-8"/>
        </w:rPr>
        <w:t> </w:t>
      </w:r>
      <w:r>
        <w:rPr/>
        <w:t>diagramming</w:t>
      </w:r>
      <w:r>
        <w:rPr>
          <w:spacing w:val="-9"/>
        </w:rPr>
        <w:t> </w:t>
      </w:r>
      <w:r>
        <w:rPr/>
        <w:t>required</w:t>
      </w:r>
      <w:r>
        <w:rPr>
          <w:spacing w:val="-9"/>
        </w:rPr>
        <w:t> </w:t>
      </w:r>
      <w:r>
        <w:rPr/>
        <w:t>for</w:t>
      </w:r>
      <w:r>
        <w:rPr>
          <w:spacing w:val="-8"/>
        </w:rPr>
        <w:t> </w:t>
      </w:r>
      <w:r>
        <w:rPr/>
        <w:t>description,</w:t>
      </w:r>
      <w:r>
        <w:rPr>
          <w:spacing w:val="-9"/>
        </w:rPr>
        <w:t> </w:t>
      </w:r>
      <w:r>
        <w:rPr/>
        <w:t>analysis,</w:t>
      </w:r>
      <w:r>
        <w:rPr>
          <w:spacing w:val="-7"/>
        </w:rPr>
        <w:t> </w:t>
      </w:r>
      <w:r>
        <w:rPr/>
        <w:t>evaluation,</w:t>
      </w:r>
      <w:r>
        <w:rPr>
          <w:spacing w:val="-7"/>
        </w:rPr>
        <w:t> </w:t>
      </w:r>
      <w:r>
        <w:rPr/>
        <w:t>and</w:t>
      </w:r>
      <w:r>
        <w:rPr>
          <w:spacing w:val="-7"/>
        </w:rPr>
        <w:t> </w:t>
      </w:r>
      <w:r>
        <w:rPr>
          <w:spacing w:val="-2"/>
        </w:rPr>
        <w:t>discussion.</w:t>
      </w:r>
    </w:p>
    <w:p>
      <w:pPr>
        <w:spacing w:before="115"/>
        <w:ind w:left="440" w:right="0" w:firstLine="0"/>
        <w:jc w:val="left"/>
        <w:rPr>
          <w:b/>
          <w:sz w:val="20"/>
        </w:rPr>
      </w:pPr>
      <w:r>
        <w:rPr>
          <w:b/>
          <w:sz w:val="20"/>
        </w:rPr>
        <w:t>Course</w:t>
      </w:r>
      <w:r>
        <w:rPr>
          <w:b/>
          <w:spacing w:val="-6"/>
          <w:sz w:val="20"/>
        </w:rPr>
        <w:t> </w:t>
      </w:r>
      <w:r>
        <w:rPr>
          <w:b/>
          <w:sz w:val="20"/>
        </w:rPr>
        <w:t>Goals</w:t>
      </w:r>
      <w:r>
        <w:rPr>
          <w:b/>
          <w:spacing w:val="-6"/>
          <w:sz w:val="20"/>
        </w:rPr>
        <w:t> </w:t>
      </w:r>
      <w:r>
        <w:rPr>
          <w:b/>
          <w:sz w:val="20"/>
        </w:rPr>
        <w:t>&amp;</w:t>
      </w:r>
      <w:r>
        <w:rPr>
          <w:b/>
          <w:spacing w:val="-5"/>
          <w:sz w:val="20"/>
        </w:rPr>
        <w:t> </w:t>
      </w:r>
      <w:r>
        <w:rPr>
          <w:b/>
          <w:spacing w:val="-2"/>
          <w:sz w:val="20"/>
        </w:rPr>
        <w:t>Objectives:</w:t>
      </w:r>
    </w:p>
    <w:p>
      <w:pPr>
        <w:pStyle w:val="ListParagraph"/>
        <w:numPr>
          <w:ilvl w:val="0"/>
          <w:numId w:val="63"/>
        </w:numPr>
        <w:tabs>
          <w:tab w:pos="1382" w:val="left" w:leader="none"/>
        </w:tabs>
        <w:spacing w:line="240" w:lineRule="auto" w:before="123" w:after="0"/>
        <w:ind w:left="1160" w:right="1069" w:firstLine="0"/>
        <w:jc w:val="both"/>
        <w:rPr>
          <w:sz w:val="20"/>
        </w:rPr>
      </w:pPr>
      <w:r>
        <w:rPr>
          <w:sz w:val="20"/>
        </w:rPr>
        <w:t>The</w:t>
      </w:r>
      <w:r>
        <w:rPr>
          <w:spacing w:val="-4"/>
          <w:sz w:val="20"/>
        </w:rPr>
        <w:t> </w:t>
      </w:r>
      <w:r>
        <w:rPr>
          <w:sz w:val="20"/>
        </w:rPr>
        <w:t>course</w:t>
      </w:r>
      <w:r>
        <w:rPr>
          <w:spacing w:val="-4"/>
          <w:sz w:val="20"/>
        </w:rPr>
        <w:t> </w:t>
      </w:r>
      <w:r>
        <w:rPr>
          <w:sz w:val="20"/>
        </w:rPr>
        <w:t>is intended</w:t>
      </w:r>
      <w:r>
        <w:rPr>
          <w:spacing w:val="-4"/>
          <w:sz w:val="20"/>
        </w:rPr>
        <w:t> </w:t>
      </w:r>
      <w:r>
        <w:rPr>
          <w:sz w:val="20"/>
        </w:rPr>
        <w:t>to</w:t>
      </w:r>
      <w:r>
        <w:rPr>
          <w:spacing w:val="-4"/>
          <w:sz w:val="20"/>
        </w:rPr>
        <w:t> </w:t>
      </w:r>
      <w:r>
        <w:rPr>
          <w:sz w:val="20"/>
        </w:rPr>
        <w:t>offer</w:t>
      </w:r>
      <w:r>
        <w:rPr>
          <w:spacing w:val="-3"/>
          <w:sz w:val="20"/>
        </w:rPr>
        <w:t> </w:t>
      </w:r>
      <w:r>
        <w:rPr>
          <w:sz w:val="20"/>
        </w:rPr>
        <w:t>a</w:t>
      </w:r>
      <w:r>
        <w:rPr>
          <w:spacing w:val="-4"/>
          <w:sz w:val="20"/>
        </w:rPr>
        <w:t> </w:t>
      </w:r>
      <w:r>
        <w:rPr>
          <w:sz w:val="20"/>
        </w:rPr>
        <w:t>forum to</w:t>
      </w:r>
      <w:r>
        <w:rPr>
          <w:spacing w:val="-4"/>
          <w:sz w:val="20"/>
        </w:rPr>
        <w:t> </w:t>
      </w:r>
      <w:r>
        <w:rPr>
          <w:sz w:val="20"/>
        </w:rPr>
        <w:t>discuss</w:t>
      </w:r>
      <w:r>
        <w:rPr>
          <w:spacing w:val="-3"/>
          <w:sz w:val="20"/>
        </w:rPr>
        <w:t> </w:t>
      </w:r>
      <w:r>
        <w:rPr>
          <w:sz w:val="20"/>
        </w:rPr>
        <w:t>contemporary</w:t>
      </w:r>
      <w:r>
        <w:rPr>
          <w:spacing w:val="-3"/>
          <w:sz w:val="20"/>
        </w:rPr>
        <w:t> </w:t>
      </w:r>
      <w:r>
        <w:rPr>
          <w:sz w:val="20"/>
        </w:rPr>
        <w:t>issues</w:t>
      </w:r>
      <w:r>
        <w:rPr>
          <w:spacing w:val="-3"/>
          <w:sz w:val="20"/>
        </w:rPr>
        <w:t> </w:t>
      </w:r>
      <w:r>
        <w:rPr>
          <w:sz w:val="20"/>
        </w:rPr>
        <w:t>in</w:t>
      </w:r>
      <w:r>
        <w:rPr>
          <w:spacing w:val="-2"/>
          <w:sz w:val="20"/>
        </w:rPr>
        <w:t> </w:t>
      </w:r>
      <w:r>
        <w:rPr>
          <w:sz w:val="20"/>
        </w:rPr>
        <w:t>architecture</w:t>
      </w:r>
      <w:r>
        <w:rPr>
          <w:spacing w:val="-4"/>
          <w:sz w:val="20"/>
        </w:rPr>
        <w:t> </w:t>
      </w:r>
      <w:r>
        <w:rPr>
          <w:sz w:val="20"/>
        </w:rPr>
        <w:t>in</w:t>
      </w:r>
      <w:r>
        <w:rPr>
          <w:spacing w:val="-4"/>
          <w:sz w:val="20"/>
        </w:rPr>
        <w:t> </w:t>
      </w:r>
      <w:r>
        <w:rPr>
          <w:sz w:val="20"/>
        </w:rPr>
        <w:t>a focused</w:t>
      </w:r>
      <w:r>
        <w:rPr>
          <w:spacing w:val="-4"/>
          <w:sz w:val="20"/>
        </w:rPr>
        <w:t> </w:t>
      </w:r>
      <w:r>
        <w:rPr>
          <w:sz w:val="20"/>
        </w:rPr>
        <w:t>manner and</w:t>
      </w:r>
      <w:r>
        <w:rPr>
          <w:spacing w:val="-1"/>
          <w:sz w:val="20"/>
        </w:rPr>
        <w:t> </w:t>
      </w:r>
      <w:r>
        <w:rPr>
          <w:sz w:val="20"/>
        </w:rPr>
        <w:t>from diverse</w:t>
      </w:r>
      <w:r>
        <w:rPr>
          <w:spacing w:val="-1"/>
          <w:sz w:val="20"/>
        </w:rPr>
        <w:t> </w:t>
      </w:r>
      <w:r>
        <w:rPr>
          <w:sz w:val="20"/>
        </w:rPr>
        <w:t>perspectives.</w:t>
      </w:r>
      <w:r>
        <w:rPr>
          <w:spacing w:val="-1"/>
          <w:sz w:val="20"/>
        </w:rPr>
        <w:t> </w:t>
      </w:r>
      <w:r>
        <w:rPr>
          <w:sz w:val="20"/>
        </w:rPr>
        <w:t>It</w:t>
      </w:r>
      <w:r>
        <w:rPr>
          <w:spacing w:val="-1"/>
          <w:sz w:val="20"/>
        </w:rPr>
        <w:t> </w:t>
      </w:r>
      <w:r>
        <w:rPr>
          <w:sz w:val="20"/>
        </w:rPr>
        <w:t>aims</w:t>
      </w:r>
      <w:r>
        <w:rPr>
          <w:spacing w:val="-2"/>
          <w:sz w:val="20"/>
        </w:rPr>
        <w:t> </w:t>
      </w:r>
      <w:r>
        <w:rPr>
          <w:sz w:val="20"/>
        </w:rPr>
        <w:t>to</w:t>
      </w:r>
      <w:r>
        <w:rPr>
          <w:spacing w:val="-1"/>
          <w:sz w:val="20"/>
        </w:rPr>
        <w:t> </w:t>
      </w:r>
      <w:r>
        <w:rPr>
          <w:sz w:val="20"/>
        </w:rPr>
        <w:t>support</w:t>
      </w:r>
      <w:r>
        <w:rPr>
          <w:spacing w:val="-1"/>
          <w:sz w:val="20"/>
        </w:rPr>
        <w:t> </w:t>
      </w:r>
      <w:r>
        <w:rPr>
          <w:sz w:val="20"/>
        </w:rPr>
        <w:t>the</w:t>
      </w:r>
      <w:r>
        <w:rPr>
          <w:spacing w:val="-1"/>
          <w:sz w:val="20"/>
        </w:rPr>
        <w:t> </w:t>
      </w:r>
      <w:r>
        <w:rPr>
          <w:sz w:val="20"/>
        </w:rPr>
        <w:t>students’</w:t>
      </w:r>
      <w:r>
        <w:rPr>
          <w:spacing w:val="-2"/>
          <w:sz w:val="20"/>
        </w:rPr>
        <w:t> </w:t>
      </w:r>
      <w:r>
        <w:rPr>
          <w:sz w:val="20"/>
        </w:rPr>
        <w:t>thesis studio work. Students will be able to identify architects, practices, and projects worldwide that are:</w:t>
      </w:r>
    </w:p>
    <w:p>
      <w:pPr>
        <w:pStyle w:val="ListParagraph"/>
        <w:numPr>
          <w:ilvl w:val="1"/>
          <w:numId w:val="63"/>
        </w:numPr>
        <w:tabs>
          <w:tab w:pos="1520" w:val="left" w:leader="none"/>
          <w:tab w:pos="1521" w:val="left" w:leader="none"/>
        </w:tabs>
        <w:spacing w:line="240" w:lineRule="auto" w:before="14" w:after="0"/>
        <w:ind w:left="1520" w:right="1560" w:hanging="360"/>
        <w:jc w:val="left"/>
        <w:rPr>
          <w:sz w:val="20"/>
        </w:rPr>
      </w:pPr>
      <w:r>
        <w:rPr>
          <w:sz w:val="20"/>
        </w:rPr>
        <w:t>Implementing</w:t>
      </w:r>
      <w:r>
        <w:rPr>
          <w:spacing w:val="-3"/>
          <w:sz w:val="20"/>
        </w:rPr>
        <w:t> </w:t>
      </w:r>
      <w:r>
        <w:rPr>
          <w:sz w:val="20"/>
        </w:rPr>
        <w:t>new</w:t>
      </w:r>
      <w:r>
        <w:rPr>
          <w:spacing w:val="-5"/>
          <w:sz w:val="20"/>
        </w:rPr>
        <w:t> </w:t>
      </w:r>
      <w:r>
        <w:rPr>
          <w:sz w:val="20"/>
        </w:rPr>
        <w:t>approaches</w:t>
      </w:r>
      <w:r>
        <w:rPr>
          <w:spacing w:val="-4"/>
          <w:sz w:val="20"/>
        </w:rPr>
        <w:t> </w:t>
      </w:r>
      <w:r>
        <w:rPr>
          <w:sz w:val="20"/>
        </w:rPr>
        <w:t>to</w:t>
      </w:r>
      <w:r>
        <w:rPr>
          <w:spacing w:val="-3"/>
          <w:sz w:val="20"/>
        </w:rPr>
        <w:t> </w:t>
      </w:r>
      <w:r>
        <w:rPr>
          <w:sz w:val="20"/>
        </w:rPr>
        <w:t>design</w:t>
      </w:r>
      <w:r>
        <w:rPr>
          <w:spacing w:val="-5"/>
          <w:sz w:val="20"/>
        </w:rPr>
        <w:t> </w:t>
      </w:r>
      <w:r>
        <w:rPr>
          <w:sz w:val="20"/>
        </w:rPr>
        <w:t>production</w:t>
      </w:r>
      <w:r>
        <w:rPr>
          <w:spacing w:val="-5"/>
          <w:sz w:val="20"/>
        </w:rPr>
        <w:t> </w:t>
      </w:r>
      <w:r>
        <w:rPr>
          <w:sz w:val="20"/>
        </w:rPr>
        <w:t>(such</w:t>
      </w:r>
      <w:r>
        <w:rPr>
          <w:spacing w:val="-5"/>
          <w:sz w:val="20"/>
        </w:rPr>
        <w:t> </w:t>
      </w:r>
      <w:r>
        <w:rPr>
          <w:sz w:val="20"/>
        </w:rPr>
        <w:t>as</w:t>
      </w:r>
      <w:r>
        <w:rPr>
          <w:spacing w:val="-4"/>
          <w:sz w:val="20"/>
        </w:rPr>
        <w:t> </w:t>
      </w:r>
      <w:r>
        <w:rPr>
          <w:sz w:val="20"/>
        </w:rPr>
        <w:t>digital</w:t>
      </w:r>
      <w:r>
        <w:rPr>
          <w:spacing w:val="-4"/>
          <w:sz w:val="20"/>
        </w:rPr>
        <w:t> </w:t>
      </w:r>
      <w:r>
        <w:rPr>
          <w:sz w:val="20"/>
        </w:rPr>
        <w:t>fabrication</w:t>
      </w:r>
      <w:r>
        <w:rPr>
          <w:spacing w:val="-3"/>
          <w:sz w:val="20"/>
        </w:rPr>
        <w:t> </w:t>
      </w:r>
      <w:r>
        <w:rPr>
          <w:sz w:val="20"/>
        </w:rPr>
        <w:t>and prototyping), and to explain their innovations.</w:t>
      </w:r>
    </w:p>
    <w:p>
      <w:pPr>
        <w:pStyle w:val="ListParagraph"/>
        <w:numPr>
          <w:ilvl w:val="1"/>
          <w:numId w:val="63"/>
        </w:numPr>
        <w:tabs>
          <w:tab w:pos="1520" w:val="left" w:leader="none"/>
          <w:tab w:pos="1521" w:val="left" w:leader="none"/>
        </w:tabs>
        <w:spacing w:line="240" w:lineRule="auto" w:before="12" w:after="0"/>
        <w:ind w:left="1520" w:right="728" w:hanging="360"/>
        <w:jc w:val="left"/>
        <w:rPr>
          <w:sz w:val="20"/>
        </w:rPr>
      </w:pPr>
      <w:r>
        <w:rPr>
          <w:sz w:val="20"/>
        </w:rPr>
        <w:t>Implementing</w:t>
      </w:r>
      <w:r>
        <w:rPr>
          <w:spacing w:val="-4"/>
          <w:sz w:val="20"/>
        </w:rPr>
        <w:t> </w:t>
      </w:r>
      <w:r>
        <w:rPr>
          <w:sz w:val="20"/>
        </w:rPr>
        <w:t>new</w:t>
      </w:r>
      <w:r>
        <w:rPr>
          <w:spacing w:val="-6"/>
          <w:sz w:val="20"/>
        </w:rPr>
        <w:t> </w:t>
      </w:r>
      <w:r>
        <w:rPr>
          <w:sz w:val="20"/>
        </w:rPr>
        <w:t>approaches</w:t>
      </w:r>
      <w:r>
        <w:rPr>
          <w:spacing w:val="-5"/>
          <w:sz w:val="20"/>
        </w:rPr>
        <w:t> </w:t>
      </w:r>
      <w:r>
        <w:rPr>
          <w:sz w:val="20"/>
        </w:rPr>
        <w:t>to</w:t>
      </w:r>
      <w:r>
        <w:rPr>
          <w:spacing w:val="-4"/>
          <w:sz w:val="20"/>
        </w:rPr>
        <w:t> </w:t>
      </w:r>
      <w:r>
        <w:rPr>
          <w:sz w:val="20"/>
        </w:rPr>
        <w:t>assess</w:t>
      </w:r>
      <w:r>
        <w:rPr>
          <w:spacing w:val="-5"/>
          <w:sz w:val="20"/>
        </w:rPr>
        <w:t> </w:t>
      </w:r>
      <w:r>
        <w:rPr>
          <w:sz w:val="20"/>
        </w:rPr>
        <w:t>building</w:t>
      </w:r>
      <w:r>
        <w:rPr>
          <w:spacing w:val="-4"/>
          <w:sz w:val="20"/>
        </w:rPr>
        <w:t> </w:t>
      </w:r>
      <w:r>
        <w:rPr>
          <w:sz w:val="20"/>
        </w:rPr>
        <w:t>performance</w:t>
      </w:r>
      <w:r>
        <w:rPr>
          <w:spacing w:val="-6"/>
          <w:sz w:val="20"/>
        </w:rPr>
        <w:t> </w:t>
      </w:r>
      <w:r>
        <w:rPr>
          <w:sz w:val="20"/>
        </w:rPr>
        <w:t>(performance-based</w:t>
      </w:r>
      <w:r>
        <w:rPr>
          <w:spacing w:val="-6"/>
          <w:sz w:val="20"/>
        </w:rPr>
        <w:t> </w:t>
      </w:r>
      <w:r>
        <w:rPr>
          <w:sz w:val="20"/>
        </w:rPr>
        <w:t>design), and to explain their design implications.</w:t>
      </w:r>
    </w:p>
    <w:p>
      <w:pPr>
        <w:pStyle w:val="ListParagraph"/>
        <w:numPr>
          <w:ilvl w:val="1"/>
          <w:numId w:val="63"/>
        </w:numPr>
        <w:tabs>
          <w:tab w:pos="1520" w:val="left" w:leader="none"/>
          <w:tab w:pos="1521" w:val="left" w:leader="none"/>
        </w:tabs>
        <w:spacing w:line="240" w:lineRule="auto" w:before="16" w:after="0"/>
        <w:ind w:left="1520" w:right="1064" w:hanging="360"/>
        <w:jc w:val="left"/>
        <w:rPr>
          <w:sz w:val="20"/>
        </w:rPr>
      </w:pPr>
      <w:r>
        <w:rPr>
          <w:sz w:val="20"/>
        </w:rPr>
        <w:t>Developing</w:t>
      </w:r>
      <w:r>
        <w:rPr>
          <w:spacing w:val="-5"/>
          <w:sz w:val="20"/>
        </w:rPr>
        <w:t> </w:t>
      </w:r>
      <w:r>
        <w:rPr>
          <w:sz w:val="20"/>
        </w:rPr>
        <w:t>new</w:t>
      </w:r>
      <w:r>
        <w:rPr>
          <w:spacing w:val="-7"/>
          <w:sz w:val="20"/>
        </w:rPr>
        <w:t> </w:t>
      </w:r>
      <w:r>
        <w:rPr>
          <w:sz w:val="20"/>
        </w:rPr>
        <w:t>materials</w:t>
      </w:r>
      <w:r>
        <w:rPr>
          <w:spacing w:val="-4"/>
          <w:sz w:val="20"/>
        </w:rPr>
        <w:t> </w:t>
      </w:r>
      <w:r>
        <w:rPr>
          <w:sz w:val="20"/>
        </w:rPr>
        <w:t>and</w:t>
      </w:r>
      <w:r>
        <w:rPr>
          <w:spacing w:val="-5"/>
          <w:sz w:val="20"/>
        </w:rPr>
        <w:t> </w:t>
      </w:r>
      <w:r>
        <w:rPr>
          <w:sz w:val="20"/>
        </w:rPr>
        <w:t>systems</w:t>
      </w:r>
      <w:r>
        <w:rPr>
          <w:spacing w:val="-3"/>
          <w:sz w:val="20"/>
        </w:rPr>
        <w:t> </w:t>
      </w:r>
      <w:r>
        <w:rPr>
          <w:sz w:val="20"/>
        </w:rPr>
        <w:t>in</w:t>
      </w:r>
      <w:r>
        <w:rPr>
          <w:spacing w:val="-5"/>
          <w:sz w:val="20"/>
        </w:rPr>
        <w:t> </w:t>
      </w:r>
      <w:r>
        <w:rPr>
          <w:sz w:val="20"/>
        </w:rPr>
        <w:t>partnership</w:t>
      </w:r>
      <w:r>
        <w:rPr>
          <w:spacing w:val="-3"/>
          <w:sz w:val="20"/>
        </w:rPr>
        <w:t> </w:t>
      </w:r>
      <w:r>
        <w:rPr>
          <w:sz w:val="20"/>
        </w:rPr>
        <w:t>with</w:t>
      </w:r>
      <w:r>
        <w:rPr>
          <w:spacing w:val="-5"/>
          <w:sz w:val="20"/>
        </w:rPr>
        <w:t> </w:t>
      </w:r>
      <w:r>
        <w:rPr>
          <w:sz w:val="20"/>
        </w:rPr>
        <w:t>manufacturers,</w:t>
      </w:r>
      <w:r>
        <w:rPr>
          <w:spacing w:val="-5"/>
          <w:sz w:val="20"/>
        </w:rPr>
        <w:t> </w:t>
      </w:r>
      <w:r>
        <w:rPr>
          <w:sz w:val="20"/>
        </w:rPr>
        <w:t>and</w:t>
      </w:r>
      <w:r>
        <w:rPr>
          <w:spacing w:val="-3"/>
          <w:sz w:val="20"/>
        </w:rPr>
        <w:t> </w:t>
      </w:r>
      <w:r>
        <w:rPr>
          <w:sz w:val="20"/>
        </w:rPr>
        <w:t>to</w:t>
      </w:r>
      <w:r>
        <w:rPr>
          <w:spacing w:val="-3"/>
          <w:sz w:val="20"/>
        </w:rPr>
        <w:t> </w:t>
      </w:r>
      <w:r>
        <w:rPr>
          <w:sz w:val="20"/>
        </w:rPr>
        <w:t>explain verbally and through diagrams their application.</w:t>
      </w:r>
    </w:p>
    <w:p>
      <w:pPr>
        <w:pStyle w:val="ListParagraph"/>
        <w:numPr>
          <w:ilvl w:val="1"/>
          <w:numId w:val="63"/>
        </w:numPr>
        <w:tabs>
          <w:tab w:pos="1520" w:val="left" w:leader="none"/>
          <w:tab w:pos="1521" w:val="left" w:leader="none"/>
        </w:tabs>
        <w:spacing w:line="240" w:lineRule="auto" w:before="13" w:after="0"/>
        <w:ind w:left="1520" w:right="781" w:hanging="360"/>
        <w:jc w:val="left"/>
        <w:rPr>
          <w:sz w:val="20"/>
        </w:rPr>
      </w:pPr>
      <w:r>
        <w:rPr>
          <w:sz w:val="20"/>
        </w:rPr>
        <w:t>Developing</w:t>
      </w:r>
      <w:r>
        <w:rPr>
          <w:spacing w:val="-4"/>
          <w:sz w:val="20"/>
        </w:rPr>
        <w:t> </w:t>
      </w:r>
      <w:r>
        <w:rPr>
          <w:sz w:val="20"/>
        </w:rPr>
        <w:t>new</w:t>
      </w:r>
      <w:r>
        <w:rPr>
          <w:spacing w:val="-4"/>
          <w:sz w:val="20"/>
        </w:rPr>
        <w:t> </w:t>
      </w:r>
      <w:r>
        <w:rPr>
          <w:sz w:val="20"/>
        </w:rPr>
        <w:t>uses</w:t>
      </w:r>
      <w:r>
        <w:rPr>
          <w:spacing w:val="-3"/>
          <w:sz w:val="20"/>
        </w:rPr>
        <w:t> </w:t>
      </w:r>
      <w:r>
        <w:rPr>
          <w:sz w:val="20"/>
        </w:rPr>
        <w:t>for</w:t>
      </w:r>
      <w:r>
        <w:rPr>
          <w:spacing w:val="-3"/>
          <w:sz w:val="20"/>
        </w:rPr>
        <w:t> </w:t>
      </w:r>
      <w:r>
        <w:rPr>
          <w:sz w:val="20"/>
        </w:rPr>
        <w:t>old</w:t>
      </w:r>
      <w:r>
        <w:rPr>
          <w:spacing w:val="-4"/>
          <w:sz w:val="20"/>
        </w:rPr>
        <w:t> </w:t>
      </w:r>
      <w:r>
        <w:rPr>
          <w:sz w:val="20"/>
        </w:rPr>
        <w:t>materials</w:t>
      </w:r>
      <w:r>
        <w:rPr>
          <w:spacing w:val="-3"/>
          <w:sz w:val="20"/>
        </w:rPr>
        <w:t> </w:t>
      </w:r>
      <w:r>
        <w:rPr>
          <w:sz w:val="20"/>
        </w:rPr>
        <w:t>and</w:t>
      </w:r>
      <w:r>
        <w:rPr>
          <w:spacing w:val="-4"/>
          <w:sz w:val="20"/>
        </w:rPr>
        <w:t> </w:t>
      </w:r>
      <w:r>
        <w:rPr>
          <w:sz w:val="20"/>
        </w:rPr>
        <w:t>systems,</w:t>
      </w:r>
      <w:r>
        <w:rPr>
          <w:spacing w:val="-4"/>
          <w:sz w:val="20"/>
        </w:rPr>
        <w:t> </w:t>
      </w:r>
      <w:r>
        <w:rPr>
          <w:sz w:val="20"/>
        </w:rPr>
        <w:t>and</w:t>
      </w:r>
      <w:r>
        <w:rPr>
          <w:spacing w:val="-4"/>
          <w:sz w:val="20"/>
        </w:rPr>
        <w:t> </w:t>
      </w:r>
      <w:r>
        <w:rPr>
          <w:sz w:val="20"/>
        </w:rPr>
        <w:t>to</w:t>
      </w:r>
      <w:r>
        <w:rPr>
          <w:spacing w:val="-2"/>
          <w:sz w:val="20"/>
        </w:rPr>
        <w:t> </w:t>
      </w:r>
      <w:r>
        <w:rPr>
          <w:sz w:val="20"/>
        </w:rPr>
        <w:t>explain</w:t>
      </w:r>
      <w:r>
        <w:rPr>
          <w:spacing w:val="-4"/>
          <w:sz w:val="20"/>
        </w:rPr>
        <w:t> </w:t>
      </w:r>
      <w:r>
        <w:rPr>
          <w:sz w:val="20"/>
        </w:rPr>
        <w:t>their</w:t>
      </w:r>
      <w:r>
        <w:rPr>
          <w:spacing w:val="-3"/>
          <w:sz w:val="20"/>
        </w:rPr>
        <w:t> </w:t>
      </w:r>
      <w:r>
        <w:rPr>
          <w:sz w:val="20"/>
        </w:rPr>
        <w:t>application</w:t>
      </w:r>
      <w:r>
        <w:rPr>
          <w:spacing w:val="-2"/>
          <w:sz w:val="20"/>
        </w:rPr>
        <w:t> </w:t>
      </w:r>
      <w:r>
        <w:rPr>
          <w:sz w:val="20"/>
        </w:rPr>
        <w:t>verbally and through diagrams.</w:t>
      </w:r>
    </w:p>
    <w:p>
      <w:pPr>
        <w:pStyle w:val="ListParagraph"/>
        <w:numPr>
          <w:ilvl w:val="1"/>
          <w:numId w:val="63"/>
        </w:numPr>
        <w:tabs>
          <w:tab w:pos="1520" w:val="left" w:leader="none"/>
          <w:tab w:pos="1521" w:val="left" w:leader="none"/>
        </w:tabs>
        <w:spacing w:line="240" w:lineRule="auto" w:before="13" w:after="0"/>
        <w:ind w:left="1520" w:right="0" w:hanging="361"/>
        <w:jc w:val="left"/>
        <w:rPr>
          <w:sz w:val="20"/>
        </w:rPr>
      </w:pPr>
      <w:r>
        <w:rPr>
          <w:sz w:val="20"/>
        </w:rPr>
        <w:t>Using</w:t>
      </w:r>
      <w:r>
        <w:rPr>
          <w:spacing w:val="-7"/>
          <w:sz w:val="20"/>
        </w:rPr>
        <w:t> </w:t>
      </w:r>
      <w:r>
        <w:rPr>
          <w:sz w:val="20"/>
        </w:rPr>
        <w:t>innovative</w:t>
      </w:r>
      <w:r>
        <w:rPr>
          <w:spacing w:val="-7"/>
          <w:sz w:val="20"/>
        </w:rPr>
        <w:t> </w:t>
      </w:r>
      <w:r>
        <w:rPr>
          <w:sz w:val="20"/>
        </w:rPr>
        <w:t>approaches</w:t>
      </w:r>
      <w:r>
        <w:rPr>
          <w:spacing w:val="-7"/>
          <w:sz w:val="20"/>
        </w:rPr>
        <w:t> </w:t>
      </w:r>
      <w:r>
        <w:rPr>
          <w:sz w:val="20"/>
        </w:rPr>
        <w:t>to</w:t>
      </w:r>
      <w:r>
        <w:rPr>
          <w:spacing w:val="-9"/>
          <w:sz w:val="20"/>
        </w:rPr>
        <w:t> </w:t>
      </w:r>
      <w:r>
        <w:rPr>
          <w:sz w:val="20"/>
        </w:rPr>
        <w:t>environmental</w:t>
      </w:r>
      <w:r>
        <w:rPr>
          <w:spacing w:val="-9"/>
          <w:sz w:val="20"/>
        </w:rPr>
        <w:t> </w:t>
      </w:r>
      <w:r>
        <w:rPr>
          <w:sz w:val="20"/>
        </w:rPr>
        <w:t>control,</w:t>
      </w:r>
      <w:r>
        <w:rPr>
          <w:spacing w:val="-8"/>
          <w:sz w:val="20"/>
        </w:rPr>
        <w:t> </w:t>
      </w:r>
      <w:r>
        <w:rPr>
          <w:sz w:val="20"/>
        </w:rPr>
        <w:t>particularly</w:t>
      </w:r>
      <w:r>
        <w:rPr>
          <w:spacing w:val="-11"/>
          <w:sz w:val="20"/>
        </w:rPr>
        <w:t> </w:t>
      </w:r>
      <w:r>
        <w:rPr>
          <w:sz w:val="20"/>
        </w:rPr>
        <w:t>focusing</w:t>
      </w:r>
      <w:r>
        <w:rPr>
          <w:spacing w:val="-9"/>
          <w:sz w:val="20"/>
        </w:rPr>
        <w:t> </w:t>
      </w:r>
      <w:r>
        <w:rPr>
          <w:sz w:val="20"/>
        </w:rPr>
        <w:t>on</w:t>
      </w:r>
      <w:r>
        <w:rPr>
          <w:spacing w:val="-8"/>
          <w:sz w:val="20"/>
        </w:rPr>
        <w:t> </w:t>
      </w:r>
      <w:r>
        <w:rPr>
          <w:spacing w:val="-2"/>
          <w:sz w:val="20"/>
        </w:rPr>
        <w:t>sustainability.</w:t>
      </w:r>
    </w:p>
    <w:p>
      <w:pPr>
        <w:pStyle w:val="ListParagraph"/>
        <w:numPr>
          <w:ilvl w:val="1"/>
          <w:numId w:val="63"/>
        </w:numPr>
        <w:tabs>
          <w:tab w:pos="1520" w:val="left" w:leader="none"/>
          <w:tab w:pos="1521" w:val="left" w:leader="none"/>
        </w:tabs>
        <w:spacing w:line="229" w:lineRule="exact" w:before="14" w:after="0"/>
        <w:ind w:left="1520" w:right="0" w:hanging="361"/>
        <w:jc w:val="left"/>
        <w:rPr>
          <w:sz w:val="20"/>
        </w:rPr>
      </w:pPr>
      <w:r>
        <w:rPr>
          <w:sz w:val="20"/>
        </w:rPr>
        <w:t>Adopting</w:t>
      </w:r>
      <w:r>
        <w:rPr>
          <w:spacing w:val="-8"/>
          <w:sz w:val="20"/>
        </w:rPr>
        <w:t> </w:t>
      </w:r>
      <w:r>
        <w:rPr>
          <w:sz w:val="20"/>
        </w:rPr>
        <w:t>approaches</w:t>
      </w:r>
      <w:r>
        <w:rPr>
          <w:spacing w:val="-9"/>
          <w:sz w:val="20"/>
        </w:rPr>
        <w:t> </w:t>
      </w:r>
      <w:r>
        <w:rPr>
          <w:sz w:val="20"/>
        </w:rPr>
        <w:t>to</w:t>
      </w:r>
      <w:r>
        <w:rPr>
          <w:spacing w:val="-8"/>
          <w:sz w:val="20"/>
        </w:rPr>
        <w:t> </w:t>
      </w:r>
      <w:r>
        <w:rPr>
          <w:sz w:val="20"/>
        </w:rPr>
        <w:t>recycling,</w:t>
      </w:r>
      <w:r>
        <w:rPr>
          <w:spacing w:val="-8"/>
          <w:sz w:val="20"/>
        </w:rPr>
        <w:t> </w:t>
      </w:r>
      <w:r>
        <w:rPr>
          <w:sz w:val="20"/>
        </w:rPr>
        <w:t>and</w:t>
      </w:r>
      <w:r>
        <w:rPr>
          <w:spacing w:val="-8"/>
          <w:sz w:val="20"/>
        </w:rPr>
        <w:t> </w:t>
      </w:r>
      <w:r>
        <w:rPr>
          <w:sz w:val="20"/>
        </w:rPr>
        <w:t>reusing,</w:t>
      </w:r>
      <w:r>
        <w:rPr>
          <w:spacing w:val="-8"/>
          <w:sz w:val="20"/>
        </w:rPr>
        <w:t> </w:t>
      </w:r>
      <w:r>
        <w:rPr>
          <w:sz w:val="20"/>
        </w:rPr>
        <w:t>and</w:t>
      </w:r>
      <w:r>
        <w:rPr>
          <w:spacing w:val="-8"/>
          <w:sz w:val="20"/>
        </w:rPr>
        <w:t> </w:t>
      </w:r>
      <w:r>
        <w:rPr>
          <w:sz w:val="20"/>
        </w:rPr>
        <w:t>preserving</w:t>
      </w:r>
      <w:r>
        <w:rPr>
          <w:spacing w:val="-8"/>
          <w:sz w:val="20"/>
        </w:rPr>
        <w:t> </w:t>
      </w:r>
      <w:r>
        <w:rPr>
          <w:sz w:val="20"/>
        </w:rPr>
        <w:t>historical</w:t>
      </w:r>
      <w:r>
        <w:rPr>
          <w:spacing w:val="-10"/>
          <w:sz w:val="20"/>
        </w:rPr>
        <w:t> </w:t>
      </w:r>
      <w:r>
        <w:rPr>
          <w:spacing w:val="-2"/>
          <w:sz w:val="20"/>
        </w:rPr>
        <w:t>structures.</w:t>
      </w:r>
    </w:p>
    <w:p>
      <w:pPr>
        <w:pStyle w:val="ListParagraph"/>
        <w:numPr>
          <w:ilvl w:val="0"/>
          <w:numId w:val="63"/>
        </w:numPr>
        <w:tabs>
          <w:tab w:pos="1382" w:val="left" w:leader="none"/>
        </w:tabs>
        <w:spacing w:line="240" w:lineRule="auto" w:before="0" w:after="0"/>
        <w:ind w:left="1160" w:right="955" w:firstLine="0"/>
        <w:jc w:val="left"/>
        <w:rPr>
          <w:sz w:val="20"/>
        </w:rPr>
      </w:pPr>
      <w:r>
        <w:rPr>
          <w:sz w:val="20"/>
        </w:rPr>
        <w:t>Students will</w:t>
      </w:r>
      <w:r>
        <w:rPr>
          <w:spacing w:val="-5"/>
          <w:sz w:val="20"/>
        </w:rPr>
        <w:t> </w:t>
      </w:r>
      <w:r>
        <w:rPr>
          <w:sz w:val="20"/>
        </w:rPr>
        <w:t>be</w:t>
      </w:r>
      <w:r>
        <w:rPr>
          <w:spacing w:val="-2"/>
          <w:sz w:val="20"/>
        </w:rPr>
        <w:t> </w:t>
      </w:r>
      <w:r>
        <w:rPr>
          <w:sz w:val="20"/>
        </w:rPr>
        <w:t>able</w:t>
      </w:r>
      <w:r>
        <w:rPr>
          <w:spacing w:val="-4"/>
          <w:sz w:val="20"/>
        </w:rPr>
        <w:t> </w:t>
      </w:r>
      <w:r>
        <w:rPr>
          <w:sz w:val="20"/>
        </w:rPr>
        <w:t>to</w:t>
      </w:r>
      <w:r>
        <w:rPr>
          <w:spacing w:val="-4"/>
          <w:sz w:val="20"/>
        </w:rPr>
        <w:t> </w:t>
      </w:r>
      <w:r>
        <w:rPr>
          <w:sz w:val="20"/>
        </w:rPr>
        <w:t>discuss</w:t>
      </w:r>
      <w:r>
        <w:rPr>
          <w:spacing w:val="-3"/>
          <w:sz w:val="20"/>
        </w:rPr>
        <w:t> </w:t>
      </w:r>
      <w:r>
        <w:rPr>
          <w:sz w:val="20"/>
        </w:rPr>
        <w:t>in</w:t>
      </w:r>
      <w:r>
        <w:rPr>
          <w:spacing w:val="-4"/>
          <w:sz w:val="20"/>
        </w:rPr>
        <w:t> </w:t>
      </w:r>
      <w:r>
        <w:rPr>
          <w:sz w:val="20"/>
        </w:rPr>
        <w:t>detail</w:t>
      </w:r>
      <w:r>
        <w:rPr>
          <w:spacing w:val="-5"/>
          <w:sz w:val="20"/>
        </w:rPr>
        <w:t> </w:t>
      </w:r>
      <w:r>
        <w:rPr>
          <w:sz w:val="20"/>
        </w:rPr>
        <w:t>projects</w:t>
      </w:r>
      <w:r>
        <w:rPr>
          <w:spacing w:val="-3"/>
          <w:sz w:val="20"/>
        </w:rPr>
        <w:t> </w:t>
      </w:r>
      <w:r>
        <w:rPr>
          <w:sz w:val="20"/>
        </w:rPr>
        <w:t>where</w:t>
      </w:r>
      <w:r>
        <w:rPr>
          <w:spacing w:val="-4"/>
          <w:sz w:val="20"/>
        </w:rPr>
        <w:t> </w:t>
      </w:r>
      <w:r>
        <w:rPr>
          <w:sz w:val="20"/>
        </w:rPr>
        <w:t>new</w:t>
      </w:r>
      <w:r>
        <w:rPr>
          <w:spacing w:val="-4"/>
          <w:sz w:val="20"/>
        </w:rPr>
        <w:t> </w:t>
      </w:r>
      <w:r>
        <w:rPr>
          <w:sz w:val="20"/>
        </w:rPr>
        <w:t>materials</w:t>
      </w:r>
      <w:r>
        <w:rPr>
          <w:spacing w:val="-3"/>
          <w:sz w:val="20"/>
        </w:rPr>
        <w:t> </w:t>
      </w:r>
      <w:r>
        <w:rPr>
          <w:sz w:val="20"/>
        </w:rPr>
        <w:t>or</w:t>
      </w:r>
      <w:r>
        <w:rPr>
          <w:spacing w:val="-3"/>
          <w:sz w:val="20"/>
        </w:rPr>
        <w:t> </w:t>
      </w:r>
      <w:r>
        <w:rPr>
          <w:sz w:val="20"/>
        </w:rPr>
        <w:t>systems</w:t>
      </w:r>
      <w:r>
        <w:rPr>
          <w:spacing w:val="-3"/>
          <w:sz w:val="20"/>
        </w:rPr>
        <w:t> </w:t>
      </w:r>
      <w:r>
        <w:rPr>
          <w:sz w:val="20"/>
        </w:rPr>
        <w:t>are</w:t>
      </w:r>
      <w:r>
        <w:rPr>
          <w:spacing w:val="-4"/>
          <w:sz w:val="20"/>
        </w:rPr>
        <w:t> </w:t>
      </w:r>
      <w:r>
        <w:rPr>
          <w:sz w:val="20"/>
        </w:rPr>
        <w:t>being </w:t>
      </w:r>
      <w:r>
        <w:rPr>
          <w:spacing w:val="-2"/>
          <w:sz w:val="20"/>
        </w:rPr>
        <w:t>tested.</w:t>
      </w:r>
    </w:p>
    <w:p>
      <w:pPr>
        <w:pStyle w:val="ListParagraph"/>
        <w:numPr>
          <w:ilvl w:val="0"/>
          <w:numId w:val="63"/>
        </w:numPr>
        <w:tabs>
          <w:tab w:pos="1382" w:val="left" w:leader="none"/>
        </w:tabs>
        <w:spacing w:line="240" w:lineRule="auto" w:before="1" w:after="0"/>
        <w:ind w:left="1381" w:right="0" w:hanging="222"/>
        <w:jc w:val="left"/>
        <w:rPr>
          <w:sz w:val="20"/>
        </w:rPr>
      </w:pPr>
      <w:r>
        <w:rPr>
          <w:sz w:val="20"/>
        </w:rPr>
        <w:t>Students</w:t>
      </w:r>
      <w:r>
        <w:rPr>
          <w:spacing w:val="-3"/>
          <w:sz w:val="20"/>
        </w:rPr>
        <w:t> </w:t>
      </w:r>
      <w:r>
        <w:rPr>
          <w:sz w:val="20"/>
        </w:rPr>
        <w:t>will</w:t>
      </w:r>
      <w:r>
        <w:rPr>
          <w:spacing w:val="-8"/>
          <w:sz w:val="20"/>
        </w:rPr>
        <w:t> </w:t>
      </w:r>
      <w:r>
        <w:rPr>
          <w:sz w:val="20"/>
        </w:rPr>
        <w:t>be</w:t>
      </w:r>
      <w:r>
        <w:rPr>
          <w:spacing w:val="-4"/>
          <w:sz w:val="20"/>
        </w:rPr>
        <w:t> </w:t>
      </w:r>
      <w:r>
        <w:rPr>
          <w:sz w:val="20"/>
        </w:rPr>
        <w:t>able</w:t>
      </w:r>
      <w:r>
        <w:rPr>
          <w:spacing w:val="-7"/>
          <w:sz w:val="20"/>
        </w:rPr>
        <w:t> </w:t>
      </w:r>
      <w:r>
        <w:rPr>
          <w:sz w:val="20"/>
        </w:rPr>
        <w:t>to</w:t>
      </w:r>
      <w:r>
        <w:rPr>
          <w:spacing w:val="-6"/>
          <w:sz w:val="20"/>
        </w:rPr>
        <w:t> </w:t>
      </w:r>
      <w:r>
        <w:rPr>
          <w:sz w:val="20"/>
        </w:rPr>
        <w:t>diagram</w:t>
      </w:r>
      <w:r>
        <w:rPr>
          <w:spacing w:val="-2"/>
          <w:sz w:val="20"/>
        </w:rPr>
        <w:t> </w:t>
      </w:r>
      <w:r>
        <w:rPr>
          <w:sz w:val="20"/>
        </w:rPr>
        <w:t>projects</w:t>
      </w:r>
      <w:r>
        <w:rPr>
          <w:spacing w:val="-6"/>
          <w:sz w:val="20"/>
        </w:rPr>
        <w:t> </w:t>
      </w:r>
      <w:r>
        <w:rPr>
          <w:sz w:val="20"/>
        </w:rPr>
        <w:t>where</w:t>
      </w:r>
      <w:r>
        <w:rPr>
          <w:spacing w:val="-6"/>
          <w:sz w:val="20"/>
        </w:rPr>
        <w:t> </w:t>
      </w:r>
      <w:r>
        <w:rPr>
          <w:sz w:val="20"/>
        </w:rPr>
        <w:t>new</w:t>
      </w:r>
      <w:r>
        <w:rPr>
          <w:spacing w:val="-7"/>
          <w:sz w:val="20"/>
        </w:rPr>
        <w:t> </w:t>
      </w:r>
      <w:r>
        <w:rPr>
          <w:sz w:val="20"/>
        </w:rPr>
        <w:t>materials</w:t>
      </w:r>
      <w:r>
        <w:rPr>
          <w:spacing w:val="-5"/>
          <w:sz w:val="20"/>
        </w:rPr>
        <w:t> </w:t>
      </w:r>
      <w:r>
        <w:rPr>
          <w:sz w:val="20"/>
        </w:rPr>
        <w:t>or</w:t>
      </w:r>
      <w:r>
        <w:rPr>
          <w:spacing w:val="-6"/>
          <w:sz w:val="20"/>
        </w:rPr>
        <w:t> </w:t>
      </w:r>
      <w:r>
        <w:rPr>
          <w:sz w:val="20"/>
        </w:rPr>
        <w:t>systems</w:t>
      </w:r>
      <w:r>
        <w:rPr>
          <w:spacing w:val="-5"/>
          <w:sz w:val="20"/>
        </w:rPr>
        <w:t> </w:t>
      </w:r>
      <w:r>
        <w:rPr>
          <w:sz w:val="20"/>
        </w:rPr>
        <w:t>are</w:t>
      </w:r>
      <w:r>
        <w:rPr>
          <w:spacing w:val="-7"/>
          <w:sz w:val="20"/>
        </w:rPr>
        <w:t> </w:t>
      </w:r>
      <w:r>
        <w:rPr>
          <w:sz w:val="20"/>
        </w:rPr>
        <w:t>being</w:t>
      </w:r>
      <w:r>
        <w:rPr>
          <w:spacing w:val="-6"/>
          <w:sz w:val="20"/>
        </w:rPr>
        <w:t> </w:t>
      </w:r>
      <w:r>
        <w:rPr>
          <w:spacing w:val="-2"/>
          <w:sz w:val="20"/>
        </w:rPr>
        <w:t>tested.</w:t>
      </w:r>
    </w:p>
    <w:p>
      <w:pPr>
        <w:pStyle w:val="ListParagraph"/>
        <w:numPr>
          <w:ilvl w:val="0"/>
          <w:numId w:val="63"/>
        </w:numPr>
        <w:tabs>
          <w:tab w:pos="1382" w:val="left" w:leader="none"/>
        </w:tabs>
        <w:spacing w:line="240" w:lineRule="auto" w:before="0" w:after="0"/>
        <w:ind w:left="1160" w:right="1323" w:firstLine="0"/>
        <w:jc w:val="left"/>
        <w:rPr>
          <w:sz w:val="20"/>
        </w:rPr>
      </w:pPr>
      <w:r>
        <w:rPr>
          <w:sz w:val="20"/>
        </w:rPr>
        <w:t>Students will</w:t>
      </w:r>
      <w:r>
        <w:rPr>
          <w:spacing w:val="-5"/>
          <w:sz w:val="20"/>
        </w:rPr>
        <w:t> </w:t>
      </w:r>
      <w:r>
        <w:rPr>
          <w:sz w:val="20"/>
        </w:rPr>
        <w:t>be</w:t>
      </w:r>
      <w:r>
        <w:rPr>
          <w:spacing w:val="-2"/>
          <w:sz w:val="20"/>
        </w:rPr>
        <w:t> </w:t>
      </w:r>
      <w:r>
        <w:rPr>
          <w:sz w:val="20"/>
        </w:rPr>
        <w:t>able</w:t>
      </w:r>
      <w:r>
        <w:rPr>
          <w:spacing w:val="-4"/>
          <w:sz w:val="20"/>
        </w:rPr>
        <w:t> </w:t>
      </w:r>
      <w:r>
        <w:rPr>
          <w:sz w:val="20"/>
        </w:rPr>
        <w:t>to</w:t>
      </w:r>
      <w:r>
        <w:rPr>
          <w:spacing w:val="-4"/>
          <w:sz w:val="20"/>
        </w:rPr>
        <w:t> </w:t>
      </w:r>
      <w:r>
        <w:rPr>
          <w:sz w:val="20"/>
        </w:rPr>
        <w:t>speculate</w:t>
      </w:r>
      <w:r>
        <w:rPr>
          <w:spacing w:val="-2"/>
          <w:sz w:val="20"/>
        </w:rPr>
        <w:t> </w:t>
      </w:r>
      <w:r>
        <w:rPr>
          <w:sz w:val="20"/>
        </w:rPr>
        <w:t>on</w:t>
      </w:r>
      <w:r>
        <w:rPr>
          <w:spacing w:val="-4"/>
          <w:sz w:val="20"/>
        </w:rPr>
        <w:t> </w:t>
      </w:r>
      <w:r>
        <w:rPr>
          <w:sz w:val="20"/>
        </w:rPr>
        <w:t>the</w:t>
      </w:r>
      <w:r>
        <w:rPr>
          <w:spacing w:val="-4"/>
          <w:sz w:val="20"/>
        </w:rPr>
        <w:t> </w:t>
      </w:r>
      <w:r>
        <w:rPr>
          <w:sz w:val="20"/>
        </w:rPr>
        <w:t>relationship</w:t>
      </w:r>
      <w:r>
        <w:rPr>
          <w:spacing w:val="-2"/>
          <w:sz w:val="20"/>
        </w:rPr>
        <w:t> </w:t>
      </w:r>
      <w:r>
        <w:rPr>
          <w:sz w:val="20"/>
        </w:rPr>
        <w:t>between</w:t>
      </w:r>
      <w:r>
        <w:rPr>
          <w:spacing w:val="-4"/>
          <w:sz w:val="20"/>
        </w:rPr>
        <w:t> </w:t>
      </w:r>
      <w:r>
        <w:rPr>
          <w:sz w:val="20"/>
        </w:rPr>
        <w:t>site,</w:t>
      </w:r>
      <w:r>
        <w:rPr>
          <w:spacing w:val="-4"/>
          <w:sz w:val="20"/>
        </w:rPr>
        <w:t> </w:t>
      </w:r>
      <w:r>
        <w:rPr>
          <w:sz w:val="20"/>
        </w:rPr>
        <w:t>form,</w:t>
      </w:r>
      <w:r>
        <w:rPr>
          <w:spacing w:val="-6"/>
          <w:sz w:val="20"/>
        </w:rPr>
        <w:t> </w:t>
      </w:r>
      <w:r>
        <w:rPr>
          <w:sz w:val="20"/>
        </w:rPr>
        <w:t>materials,</w:t>
      </w:r>
      <w:r>
        <w:rPr>
          <w:spacing w:val="-4"/>
          <w:sz w:val="20"/>
        </w:rPr>
        <w:t> </w:t>
      </w:r>
      <w:r>
        <w:rPr>
          <w:sz w:val="20"/>
        </w:rPr>
        <w:t>and </w:t>
      </w:r>
      <w:r>
        <w:rPr>
          <w:spacing w:val="-2"/>
          <w:sz w:val="20"/>
        </w:rPr>
        <w:t>construction.</w:t>
      </w:r>
    </w:p>
    <w:p>
      <w:pPr>
        <w:pStyle w:val="ListParagraph"/>
        <w:numPr>
          <w:ilvl w:val="0"/>
          <w:numId w:val="63"/>
        </w:numPr>
        <w:tabs>
          <w:tab w:pos="1382" w:val="left" w:leader="none"/>
        </w:tabs>
        <w:spacing w:line="226" w:lineRule="exact" w:before="0" w:after="0"/>
        <w:ind w:left="1381" w:right="0" w:hanging="222"/>
        <w:jc w:val="left"/>
        <w:rPr>
          <w:sz w:val="20"/>
        </w:rPr>
      </w:pPr>
      <w:r>
        <w:rPr>
          <w:sz w:val="20"/>
        </w:rPr>
        <w:t>Students</w:t>
      </w:r>
      <w:r>
        <w:rPr>
          <w:spacing w:val="-4"/>
          <w:sz w:val="20"/>
        </w:rPr>
        <w:t> </w:t>
      </w:r>
      <w:r>
        <w:rPr>
          <w:sz w:val="20"/>
        </w:rPr>
        <w:t>will</w:t>
      </w:r>
      <w:r>
        <w:rPr>
          <w:spacing w:val="-8"/>
          <w:sz w:val="20"/>
        </w:rPr>
        <w:t> </w:t>
      </w:r>
      <w:r>
        <w:rPr>
          <w:sz w:val="20"/>
        </w:rPr>
        <w:t>be</w:t>
      </w:r>
      <w:r>
        <w:rPr>
          <w:spacing w:val="-5"/>
          <w:sz w:val="20"/>
        </w:rPr>
        <w:t> </w:t>
      </w:r>
      <w:r>
        <w:rPr>
          <w:sz w:val="20"/>
        </w:rPr>
        <w:t>able</w:t>
      </w:r>
      <w:r>
        <w:rPr>
          <w:spacing w:val="-8"/>
          <w:sz w:val="20"/>
        </w:rPr>
        <w:t> </w:t>
      </w:r>
      <w:r>
        <w:rPr>
          <w:sz w:val="20"/>
        </w:rPr>
        <w:t>to</w:t>
      </w:r>
      <w:r>
        <w:rPr>
          <w:spacing w:val="-7"/>
          <w:sz w:val="20"/>
        </w:rPr>
        <w:t> </w:t>
      </w:r>
      <w:r>
        <w:rPr>
          <w:sz w:val="20"/>
        </w:rPr>
        <w:t>theorize</w:t>
      </w:r>
      <w:r>
        <w:rPr>
          <w:spacing w:val="-5"/>
          <w:sz w:val="20"/>
        </w:rPr>
        <w:t> </w:t>
      </w:r>
      <w:r>
        <w:rPr>
          <w:sz w:val="20"/>
        </w:rPr>
        <w:t>on</w:t>
      </w:r>
      <w:r>
        <w:rPr>
          <w:spacing w:val="-7"/>
          <w:sz w:val="20"/>
        </w:rPr>
        <w:t> </w:t>
      </w:r>
      <w:r>
        <w:rPr>
          <w:sz w:val="20"/>
        </w:rPr>
        <w:t>the</w:t>
      </w:r>
      <w:r>
        <w:rPr>
          <w:spacing w:val="-7"/>
          <w:sz w:val="20"/>
        </w:rPr>
        <w:t> </w:t>
      </w:r>
      <w:r>
        <w:rPr>
          <w:sz w:val="20"/>
        </w:rPr>
        <w:t>future</w:t>
      </w:r>
      <w:r>
        <w:rPr>
          <w:spacing w:val="-6"/>
          <w:sz w:val="20"/>
        </w:rPr>
        <w:t> </w:t>
      </w:r>
      <w:r>
        <w:rPr>
          <w:sz w:val="20"/>
        </w:rPr>
        <w:t>of</w:t>
      </w:r>
      <w:r>
        <w:rPr>
          <w:spacing w:val="-5"/>
          <w:sz w:val="20"/>
        </w:rPr>
        <w:t> </w:t>
      </w:r>
      <w:r>
        <w:rPr>
          <w:sz w:val="20"/>
        </w:rPr>
        <w:t>architecture’s</w:t>
      </w:r>
      <w:r>
        <w:rPr>
          <w:spacing w:val="-5"/>
          <w:sz w:val="20"/>
        </w:rPr>
        <w:t> </w:t>
      </w:r>
      <w:r>
        <w:rPr>
          <w:i/>
          <w:sz w:val="20"/>
        </w:rPr>
        <w:t>constructability</w:t>
      </w:r>
      <w:r>
        <w:rPr>
          <w:i/>
          <w:spacing w:val="-5"/>
          <w:sz w:val="20"/>
        </w:rPr>
        <w:t> </w:t>
      </w:r>
      <w:r>
        <w:rPr>
          <w:sz w:val="20"/>
        </w:rPr>
        <w:t>and</w:t>
      </w:r>
      <w:r>
        <w:rPr>
          <w:spacing w:val="-7"/>
          <w:sz w:val="20"/>
        </w:rPr>
        <w:t> </w:t>
      </w:r>
      <w:r>
        <w:rPr>
          <w:spacing w:val="-2"/>
          <w:sz w:val="20"/>
        </w:rPr>
        <w:t>materiality.</w:t>
      </w:r>
    </w:p>
    <w:p>
      <w:pPr>
        <w:spacing w:before="120"/>
        <w:ind w:left="440" w:right="0" w:firstLine="0"/>
        <w:jc w:val="left"/>
        <w:rPr>
          <w:b/>
          <w:sz w:val="20"/>
        </w:rPr>
      </w:pPr>
      <w:r>
        <w:rPr>
          <w:b/>
          <w:sz w:val="20"/>
        </w:rPr>
        <w:t>Student</w:t>
      </w:r>
      <w:r>
        <w:rPr>
          <w:b/>
          <w:spacing w:val="-11"/>
          <w:sz w:val="20"/>
        </w:rPr>
        <w:t> </w:t>
      </w:r>
      <w:r>
        <w:rPr>
          <w:b/>
          <w:sz w:val="20"/>
        </w:rPr>
        <w:t>Performance</w:t>
      </w:r>
      <w:r>
        <w:rPr>
          <w:b/>
          <w:spacing w:val="-12"/>
          <w:sz w:val="20"/>
        </w:rPr>
        <w:t> </w:t>
      </w:r>
      <w:r>
        <w:rPr>
          <w:b/>
          <w:spacing w:val="-2"/>
          <w:sz w:val="20"/>
        </w:rPr>
        <w:t>Criterion/addressed:</w:t>
      </w:r>
    </w:p>
    <w:p>
      <w:pPr>
        <w:pStyle w:val="BodyText"/>
        <w:spacing w:before="121"/>
        <w:ind w:left="1160"/>
      </w:pPr>
      <w:r>
        <w:rPr>
          <w:b/>
        </w:rPr>
        <w:t>A.</w:t>
      </w:r>
      <w:r>
        <w:rPr>
          <w:b/>
          <w:spacing w:val="-7"/>
        </w:rPr>
        <w:t> </w:t>
      </w:r>
      <w:r>
        <w:rPr>
          <w:b/>
        </w:rPr>
        <w:t>1</w:t>
      </w:r>
      <w:r>
        <w:rPr>
          <w:b/>
          <w:spacing w:val="-8"/>
        </w:rPr>
        <w:t> </w:t>
      </w:r>
      <w:r>
        <w:rPr/>
        <w:t>Communication</w:t>
      </w:r>
      <w:r>
        <w:rPr>
          <w:spacing w:val="-6"/>
        </w:rPr>
        <w:t> </w:t>
      </w:r>
      <w:r>
        <w:rPr>
          <w:spacing w:val="-2"/>
        </w:rPr>
        <w:t>Skills,</w:t>
      </w:r>
    </w:p>
    <w:p>
      <w:pPr>
        <w:pStyle w:val="BodyText"/>
        <w:ind w:left="1160"/>
      </w:pPr>
      <w:r>
        <w:rPr>
          <w:b/>
        </w:rPr>
        <w:t>A.5</w:t>
      </w:r>
      <w:r>
        <w:rPr>
          <w:b/>
          <w:spacing w:val="-9"/>
        </w:rPr>
        <w:t> </w:t>
      </w:r>
      <w:r>
        <w:rPr/>
        <w:t>Investigative</w:t>
      </w:r>
      <w:r>
        <w:rPr>
          <w:spacing w:val="-9"/>
        </w:rPr>
        <w:t> </w:t>
      </w:r>
      <w:r>
        <w:rPr>
          <w:spacing w:val="-2"/>
        </w:rPr>
        <w:t>Skills,</w:t>
      </w:r>
    </w:p>
    <w:p>
      <w:pPr>
        <w:spacing w:line="229" w:lineRule="exact" w:before="1"/>
        <w:ind w:left="1160" w:right="0" w:firstLine="0"/>
        <w:jc w:val="left"/>
        <w:rPr>
          <w:sz w:val="20"/>
        </w:rPr>
      </w:pPr>
      <w:r>
        <w:rPr>
          <w:b/>
          <w:sz w:val="20"/>
        </w:rPr>
        <w:t>A.11</w:t>
      </w:r>
      <w:r>
        <w:rPr>
          <w:b/>
          <w:spacing w:val="-6"/>
          <w:sz w:val="20"/>
        </w:rPr>
        <w:t> </w:t>
      </w:r>
      <w:r>
        <w:rPr>
          <w:sz w:val="20"/>
        </w:rPr>
        <w:t>Applied</w:t>
      </w:r>
      <w:r>
        <w:rPr>
          <w:spacing w:val="-6"/>
          <w:sz w:val="20"/>
        </w:rPr>
        <w:t> </w:t>
      </w:r>
      <w:r>
        <w:rPr>
          <w:spacing w:val="-2"/>
          <w:sz w:val="20"/>
        </w:rPr>
        <w:t>Research,</w:t>
      </w:r>
    </w:p>
    <w:p>
      <w:pPr>
        <w:pStyle w:val="BodyText"/>
        <w:spacing w:line="229" w:lineRule="exact"/>
        <w:ind w:left="1159"/>
      </w:pPr>
      <w:r>
        <w:rPr>
          <w:b/>
        </w:rPr>
        <w:t>B.10</w:t>
      </w:r>
      <w:r>
        <w:rPr>
          <w:b/>
          <w:spacing w:val="-7"/>
        </w:rPr>
        <w:t> </w:t>
      </w:r>
      <w:r>
        <w:rPr/>
        <w:t>Building</w:t>
      </w:r>
      <w:r>
        <w:rPr>
          <w:spacing w:val="-9"/>
        </w:rPr>
        <w:t> </w:t>
      </w:r>
      <w:r>
        <w:rPr/>
        <w:t>Envelope</w:t>
      </w:r>
      <w:r>
        <w:rPr>
          <w:spacing w:val="-7"/>
        </w:rPr>
        <w:t> </w:t>
      </w:r>
      <w:r>
        <w:rPr>
          <w:spacing w:val="-2"/>
        </w:rPr>
        <w:t>Systems</w:t>
      </w:r>
    </w:p>
    <w:p>
      <w:pPr>
        <w:pStyle w:val="BodyText"/>
        <w:ind w:left="1160"/>
      </w:pPr>
      <w:r>
        <w:rPr>
          <w:b/>
        </w:rPr>
        <w:t>B.12</w:t>
      </w:r>
      <w:r>
        <w:rPr>
          <w:b/>
          <w:spacing w:val="-6"/>
        </w:rPr>
        <w:t> </w:t>
      </w:r>
      <w:r>
        <w:rPr/>
        <w:t>Building</w:t>
      </w:r>
      <w:r>
        <w:rPr>
          <w:spacing w:val="-8"/>
        </w:rPr>
        <w:t> </w:t>
      </w:r>
      <w:r>
        <w:rPr/>
        <w:t>Materials</w:t>
      </w:r>
      <w:r>
        <w:rPr>
          <w:spacing w:val="-4"/>
        </w:rPr>
        <w:t> </w:t>
      </w:r>
      <w:r>
        <w:rPr/>
        <w:t>&amp;</w:t>
      </w:r>
      <w:r>
        <w:rPr>
          <w:spacing w:val="-8"/>
        </w:rPr>
        <w:t> </w:t>
      </w:r>
      <w:r>
        <w:rPr>
          <w:spacing w:val="-2"/>
        </w:rPr>
        <w:t>Assemblies</w:t>
      </w:r>
    </w:p>
    <w:p>
      <w:pPr>
        <w:spacing w:before="121"/>
        <w:ind w:left="440" w:right="0" w:firstLine="0"/>
        <w:jc w:val="left"/>
        <w:rPr>
          <w:b/>
          <w:sz w:val="20"/>
        </w:rPr>
      </w:pPr>
      <w:r>
        <w:rPr>
          <w:b/>
          <w:sz w:val="20"/>
        </w:rPr>
        <w:t>Topical</w:t>
      </w:r>
      <w:r>
        <w:rPr>
          <w:b/>
          <w:spacing w:val="-10"/>
          <w:sz w:val="20"/>
        </w:rPr>
        <w:t> </w:t>
      </w:r>
      <w:r>
        <w:rPr>
          <w:b/>
          <w:spacing w:val="-2"/>
          <w:sz w:val="20"/>
        </w:rPr>
        <w:t>Outline:</w:t>
      </w:r>
    </w:p>
    <w:p>
      <w:pPr>
        <w:pStyle w:val="BodyText"/>
        <w:spacing w:before="123"/>
        <w:ind w:left="1160"/>
      </w:pPr>
      <w:r>
        <w:rPr/>
        <w:t>Case</w:t>
      </w:r>
      <w:r>
        <w:rPr>
          <w:spacing w:val="-6"/>
        </w:rPr>
        <w:t> </w:t>
      </w:r>
      <w:r>
        <w:rPr/>
        <w:t>Studies</w:t>
      </w:r>
      <w:r>
        <w:rPr>
          <w:spacing w:val="-5"/>
        </w:rPr>
        <w:t> </w:t>
      </w:r>
      <w:r>
        <w:rPr/>
        <w:t>of</w:t>
      </w:r>
      <w:r>
        <w:rPr>
          <w:spacing w:val="-4"/>
        </w:rPr>
        <w:t> </w:t>
      </w:r>
      <w:r>
        <w:rPr/>
        <w:t>recent</w:t>
      </w:r>
      <w:r>
        <w:rPr>
          <w:spacing w:val="-4"/>
        </w:rPr>
        <w:t> </w:t>
      </w:r>
      <w:r>
        <w:rPr/>
        <w:t>work</w:t>
      </w:r>
      <w:r>
        <w:rPr>
          <w:spacing w:val="-3"/>
        </w:rPr>
        <w:t> </w:t>
      </w:r>
      <w:r>
        <w:rPr/>
        <w:t>–</w:t>
      </w:r>
      <w:r>
        <w:rPr>
          <w:spacing w:val="-5"/>
        </w:rPr>
        <w:t> </w:t>
      </w:r>
      <w:r>
        <w:rPr/>
        <w:t>global</w:t>
      </w:r>
      <w:r>
        <w:rPr>
          <w:spacing w:val="-7"/>
        </w:rPr>
        <w:t> </w:t>
      </w:r>
      <w:r>
        <w:rPr/>
        <w:t>scope</w:t>
      </w:r>
      <w:r>
        <w:rPr>
          <w:spacing w:val="-6"/>
        </w:rPr>
        <w:t> </w:t>
      </w:r>
      <w:r>
        <w:rPr>
          <w:spacing w:val="-4"/>
        </w:rPr>
        <w:t>(55%)</w:t>
      </w:r>
    </w:p>
    <w:p>
      <w:pPr>
        <w:pStyle w:val="BodyText"/>
        <w:ind w:left="1159"/>
      </w:pPr>
      <w:r>
        <w:rPr/>
        <w:t>Water</w:t>
      </w:r>
      <w:r>
        <w:rPr>
          <w:spacing w:val="-6"/>
        </w:rPr>
        <w:t> </w:t>
      </w:r>
      <w:r>
        <w:rPr/>
        <w:t>and</w:t>
      </w:r>
      <w:r>
        <w:rPr>
          <w:spacing w:val="-7"/>
        </w:rPr>
        <w:t> </w:t>
      </w:r>
      <w:r>
        <w:rPr/>
        <w:t>Energy</w:t>
      </w:r>
      <w:r>
        <w:rPr>
          <w:spacing w:val="-9"/>
        </w:rPr>
        <w:t> </w:t>
      </w:r>
      <w:r>
        <w:rPr/>
        <w:t>Cycle</w:t>
      </w:r>
      <w:r>
        <w:rPr>
          <w:spacing w:val="-6"/>
        </w:rPr>
        <w:t> </w:t>
      </w:r>
      <w:r>
        <w:rPr/>
        <w:t>research</w:t>
      </w:r>
      <w:r>
        <w:rPr>
          <w:spacing w:val="-7"/>
        </w:rPr>
        <w:t> </w:t>
      </w:r>
      <w:r>
        <w:rPr/>
        <w:t>based</w:t>
      </w:r>
      <w:r>
        <w:rPr>
          <w:spacing w:val="-5"/>
        </w:rPr>
        <w:t> </w:t>
      </w:r>
      <w:r>
        <w:rPr/>
        <w:t>on</w:t>
      </w:r>
      <w:r>
        <w:rPr>
          <w:spacing w:val="-4"/>
        </w:rPr>
        <w:t> </w:t>
      </w:r>
      <w:r>
        <w:rPr/>
        <w:t>projects</w:t>
      </w:r>
      <w:r>
        <w:rPr>
          <w:spacing w:val="-6"/>
        </w:rPr>
        <w:t> </w:t>
      </w:r>
      <w:r>
        <w:rPr>
          <w:spacing w:val="-2"/>
        </w:rPr>
        <w:t>(10%)</w:t>
      </w:r>
    </w:p>
    <w:p>
      <w:pPr>
        <w:pStyle w:val="BodyText"/>
        <w:spacing w:before="1"/>
        <w:ind w:left="1159" w:right="642"/>
      </w:pPr>
      <w:r>
        <w:rPr/>
        <w:t>New</w:t>
      </w:r>
      <w:r>
        <w:rPr>
          <w:spacing w:val="-6"/>
        </w:rPr>
        <w:t> </w:t>
      </w:r>
      <w:r>
        <w:rPr/>
        <w:t>construction</w:t>
      </w:r>
      <w:r>
        <w:rPr>
          <w:spacing w:val="-3"/>
        </w:rPr>
        <w:t> </w:t>
      </w:r>
      <w:r>
        <w:rPr/>
        <w:t>Products,</w:t>
      </w:r>
      <w:r>
        <w:rPr>
          <w:spacing w:val="-5"/>
        </w:rPr>
        <w:t> </w:t>
      </w:r>
      <w:r>
        <w:rPr/>
        <w:t>construction</w:t>
      </w:r>
      <w:r>
        <w:rPr>
          <w:spacing w:val="-3"/>
        </w:rPr>
        <w:t> </w:t>
      </w:r>
      <w:r>
        <w:rPr/>
        <w:t>methods,</w:t>
      </w:r>
      <w:r>
        <w:rPr>
          <w:spacing w:val="-5"/>
        </w:rPr>
        <w:t> </w:t>
      </w:r>
      <w:r>
        <w:rPr/>
        <w:t>and</w:t>
      </w:r>
      <w:r>
        <w:rPr>
          <w:spacing w:val="-3"/>
        </w:rPr>
        <w:t> </w:t>
      </w:r>
      <w:r>
        <w:rPr/>
        <w:t>assemblies</w:t>
      </w:r>
      <w:r>
        <w:rPr>
          <w:spacing w:val="-4"/>
        </w:rPr>
        <w:t> </w:t>
      </w:r>
      <w:r>
        <w:rPr/>
        <w:t>-</w:t>
      </w:r>
      <w:r>
        <w:rPr>
          <w:spacing w:val="-3"/>
        </w:rPr>
        <w:t> </w:t>
      </w:r>
      <w:r>
        <w:rPr/>
        <w:t>research</w:t>
      </w:r>
      <w:r>
        <w:rPr>
          <w:spacing w:val="-5"/>
        </w:rPr>
        <w:t> </w:t>
      </w:r>
      <w:r>
        <w:rPr/>
        <w:t>and</w:t>
      </w:r>
      <w:r>
        <w:rPr>
          <w:spacing w:val="-3"/>
        </w:rPr>
        <w:t> </w:t>
      </w:r>
      <w:r>
        <w:rPr/>
        <w:t>review</w:t>
      </w:r>
      <w:r>
        <w:rPr>
          <w:spacing w:val="-6"/>
        </w:rPr>
        <w:t> </w:t>
      </w:r>
      <w:r>
        <w:rPr/>
        <w:t>(25%) Speculation on future of housing, tall buildings based on target research (10%)</w:t>
      </w:r>
    </w:p>
    <w:p>
      <w:pPr>
        <w:spacing w:before="116"/>
        <w:ind w:left="440" w:right="0" w:firstLine="0"/>
        <w:jc w:val="left"/>
        <w:rPr>
          <w:b/>
          <w:sz w:val="20"/>
        </w:rPr>
      </w:pPr>
      <w:r>
        <w:rPr>
          <w:b/>
          <w:spacing w:val="-2"/>
          <w:sz w:val="20"/>
        </w:rPr>
        <w:t>Prerequisites:</w:t>
      </w:r>
    </w:p>
    <w:p>
      <w:pPr>
        <w:pStyle w:val="BodyText"/>
        <w:spacing w:before="122"/>
        <w:ind w:left="1160"/>
      </w:pPr>
      <w:r>
        <w:rPr/>
        <w:t>Completion</w:t>
      </w:r>
      <w:r>
        <w:rPr>
          <w:spacing w:val="-6"/>
        </w:rPr>
        <w:t> </w:t>
      </w:r>
      <w:r>
        <w:rPr/>
        <w:t>of</w:t>
      </w:r>
      <w:r>
        <w:rPr>
          <w:spacing w:val="-4"/>
        </w:rPr>
        <w:t> </w:t>
      </w:r>
      <w:r>
        <w:rPr/>
        <w:t>all</w:t>
      </w:r>
      <w:r>
        <w:rPr>
          <w:spacing w:val="-6"/>
        </w:rPr>
        <w:t> </w:t>
      </w:r>
      <w:r>
        <w:rPr/>
        <w:t>majors</w:t>
      </w:r>
      <w:r>
        <w:rPr>
          <w:spacing w:val="-4"/>
        </w:rPr>
        <w:t> </w:t>
      </w:r>
      <w:r>
        <w:rPr/>
        <w:t>courses</w:t>
      </w:r>
      <w:r>
        <w:rPr>
          <w:spacing w:val="-5"/>
        </w:rPr>
        <w:t> </w:t>
      </w:r>
      <w:r>
        <w:rPr/>
        <w:t>up</w:t>
      </w:r>
      <w:r>
        <w:rPr>
          <w:spacing w:val="-5"/>
        </w:rPr>
        <w:t> </w:t>
      </w:r>
      <w:r>
        <w:rPr/>
        <w:t>to</w:t>
      </w:r>
      <w:r>
        <w:rPr>
          <w:spacing w:val="-4"/>
        </w:rPr>
        <w:t> </w:t>
      </w:r>
      <w:r>
        <w:rPr/>
        <w:t>the</w:t>
      </w:r>
      <w:r>
        <w:rPr>
          <w:spacing w:val="-4"/>
        </w:rPr>
        <w:t> </w:t>
      </w:r>
      <w:r>
        <w:rPr/>
        <w:t>5</w:t>
      </w:r>
      <w:r>
        <w:rPr>
          <w:vertAlign w:val="superscript"/>
        </w:rPr>
        <w:t>th</w:t>
      </w:r>
      <w:r>
        <w:rPr>
          <w:spacing w:val="-3"/>
          <w:vertAlign w:val="baseline"/>
        </w:rPr>
        <w:t> </w:t>
      </w:r>
      <w:r>
        <w:rPr>
          <w:spacing w:val="-4"/>
          <w:vertAlign w:val="baseline"/>
        </w:rPr>
        <w:t>year.</w:t>
      </w:r>
    </w:p>
    <w:p>
      <w:pPr>
        <w:spacing w:before="117"/>
        <w:ind w:left="439" w:right="0" w:firstLine="0"/>
        <w:jc w:val="left"/>
        <w:rPr>
          <w:b/>
          <w:sz w:val="20"/>
        </w:rPr>
      </w:pPr>
      <w:r>
        <w:rPr>
          <w:b/>
          <w:w w:val="95"/>
          <w:sz w:val="20"/>
        </w:rPr>
        <w:t>Textbooks/Learning</w:t>
      </w:r>
      <w:r>
        <w:rPr>
          <w:b/>
          <w:spacing w:val="70"/>
          <w:sz w:val="20"/>
        </w:rPr>
        <w:t> </w:t>
      </w:r>
      <w:r>
        <w:rPr>
          <w:b/>
          <w:spacing w:val="-2"/>
          <w:sz w:val="20"/>
        </w:rPr>
        <w:t>Resources:</w:t>
      </w:r>
    </w:p>
    <w:p>
      <w:pPr>
        <w:pStyle w:val="BodyText"/>
        <w:spacing w:before="123"/>
        <w:ind w:left="1159"/>
      </w:pPr>
      <w:r>
        <w:rPr/>
        <w:t>Multiple</w:t>
      </w:r>
      <w:r>
        <w:rPr>
          <w:spacing w:val="-4"/>
        </w:rPr>
        <w:t> </w:t>
      </w:r>
      <w:r>
        <w:rPr/>
        <w:t>–</w:t>
      </w:r>
      <w:r>
        <w:rPr>
          <w:spacing w:val="-6"/>
        </w:rPr>
        <w:t> </w:t>
      </w:r>
      <w:r>
        <w:rPr/>
        <w:t>based</w:t>
      </w:r>
      <w:r>
        <w:rPr>
          <w:spacing w:val="-6"/>
        </w:rPr>
        <w:t> </w:t>
      </w:r>
      <w:r>
        <w:rPr/>
        <w:t>on</w:t>
      </w:r>
      <w:r>
        <w:rPr>
          <w:spacing w:val="-5"/>
        </w:rPr>
        <w:t> </w:t>
      </w:r>
      <w:r>
        <w:rPr/>
        <w:t>in-class</w:t>
      </w:r>
      <w:r>
        <w:rPr>
          <w:spacing w:val="-5"/>
        </w:rPr>
        <w:t> </w:t>
      </w:r>
      <w:r>
        <w:rPr/>
        <w:t>and</w:t>
      </w:r>
      <w:r>
        <w:rPr>
          <w:spacing w:val="-5"/>
        </w:rPr>
        <w:t> </w:t>
      </w:r>
      <w:r>
        <w:rPr/>
        <w:t>assigned</w:t>
      </w:r>
      <w:r>
        <w:rPr>
          <w:spacing w:val="-4"/>
        </w:rPr>
        <w:t> work.</w:t>
      </w:r>
    </w:p>
    <w:p>
      <w:pPr>
        <w:spacing w:before="118"/>
        <w:ind w:left="439" w:right="0" w:firstLine="0"/>
        <w:jc w:val="left"/>
        <w:rPr>
          <w:b/>
          <w:sz w:val="20"/>
        </w:rPr>
      </w:pPr>
      <w:r>
        <w:rPr>
          <w:b/>
          <w:sz w:val="20"/>
        </w:rPr>
        <w:t>Offered</w:t>
      </w:r>
      <w:r>
        <w:rPr>
          <w:b/>
          <w:spacing w:val="-10"/>
          <w:sz w:val="20"/>
        </w:rPr>
        <w:t> :</w:t>
      </w:r>
    </w:p>
    <w:p>
      <w:pPr>
        <w:pStyle w:val="BodyText"/>
        <w:spacing w:before="120"/>
        <w:ind w:left="1159"/>
      </w:pPr>
      <w:r>
        <w:rPr/>
        <w:t>Fall</w:t>
      </w:r>
      <w:r>
        <w:rPr>
          <w:spacing w:val="-6"/>
        </w:rPr>
        <w:t> </w:t>
      </w:r>
      <w:r>
        <w:rPr/>
        <w:t>only;</w:t>
      </w:r>
      <w:r>
        <w:rPr>
          <w:spacing w:val="-5"/>
        </w:rPr>
        <w:t> </w:t>
      </w:r>
      <w:r>
        <w:rPr>
          <w:spacing w:val="-2"/>
        </w:rPr>
        <w:t>annually</w:t>
      </w:r>
    </w:p>
    <w:p>
      <w:pPr>
        <w:spacing w:before="118"/>
        <w:ind w:left="439" w:right="0" w:firstLine="0"/>
        <w:jc w:val="left"/>
        <w:rPr>
          <w:b/>
          <w:sz w:val="20"/>
        </w:rPr>
      </w:pPr>
      <w:r>
        <w:rPr>
          <w:b/>
          <w:sz w:val="20"/>
        </w:rPr>
        <w:t>Faculty</w:t>
      </w:r>
      <w:r>
        <w:rPr>
          <w:b/>
          <w:spacing w:val="-13"/>
          <w:sz w:val="20"/>
        </w:rPr>
        <w:t> </w:t>
      </w:r>
      <w:r>
        <w:rPr>
          <w:b/>
          <w:sz w:val="20"/>
        </w:rPr>
        <w:t>assigned</w:t>
      </w:r>
      <w:r>
        <w:rPr>
          <w:b/>
          <w:spacing w:val="-9"/>
          <w:sz w:val="20"/>
        </w:rPr>
        <w:t> </w:t>
      </w:r>
      <w:r>
        <w:rPr>
          <w:b/>
          <w:spacing w:val="-10"/>
          <w:sz w:val="20"/>
        </w:rPr>
        <w:t>:</w:t>
      </w:r>
    </w:p>
    <w:p>
      <w:pPr>
        <w:pStyle w:val="BodyText"/>
        <w:spacing w:before="123"/>
        <w:ind w:left="1159"/>
      </w:pPr>
      <w:r>
        <w:rPr/>
        <w:t>2012</w:t>
      </w:r>
      <w:r>
        <w:rPr>
          <w:spacing w:val="-6"/>
        </w:rPr>
        <w:t> </w:t>
      </w:r>
      <w:r>
        <w:rPr/>
        <w:t>and</w:t>
      </w:r>
      <w:r>
        <w:rPr>
          <w:spacing w:val="-7"/>
        </w:rPr>
        <w:t> </w:t>
      </w:r>
      <w:r>
        <w:rPr/>
        <w:t>2013</w:t>
      </w:r>
      <w:r>
        <w:rPr>
          <w:spacing w:val="-7"/>
        </w:rPr>
        <w:t> </w:t>
      </w:r>
      <w:r>
        <w:rPr/>
        <w:t>-</w:t>
      </w:r>
      <w:r>
        <w:rPr>
          <w:spacing w:val="-6"/>
        </w:rPr>
        <w:t> </w:t>
      </w:r>
      <w:r>
        <w:rPr/>
        <w:t>Dr.</w:t>
      </w:r>
      <w:r>
        <w:rPr>
          <w:spacing w:val="-6"/>
        </w:rPr>
        <w:t> </w:t>
      </w:r>
      <w:r>
        <w:rPr/>
        <w:t>Carmina</w:t>
      </w:r>
      <w:r>
        <w:rPr>
          <w:spacing w:val="-7"/>
        </w:rPr>
        <w:t> </w:t>
      </w:r>
      <w:r>
        <w:rPr/>
        <w:t>Sánchez-del-Valle</w:t>
      </w:r>
      <w:r>
        <w:rPr>
          <w:spacing w:val="-7"/>
        </w:rPr>
        <w:t> </w:t>
      </w:r>
      <w:r>
        <w:rPr>
          <w:spacing w:val="-4"/>
        </w:rPr>
        <w:t>(F/T)</w:t>
      </w:r>
    </w:p>
    <w:p>
      <w:pPr>
        <w:spacing w:after="0"/>
        <w:sectPr>
          <w:headerReference w:type="default" r:id="rId243"/>
          <w:footerReference w:type="default" r:id="rId244"/>
          <w:pgSz w:w="12240" w:h="15840"/>
          <w:pgMar w:header="993" w:footer="974" w:top="1240" w:bottom="1160" w:left="1000" w:right="820"/>
        </w:sectPr>
      </w:pPr>
    </w:p>
    <w:p>
      <w:pPr>
        <w:pStyle w:val="ListParagraph"/>
        <w:numPr>
          <w:ilvl w:val="1"/>
          <w:numId w:val="64"/>
        </w:numPr>
        <w:tabs>
          <w:tab w:pos="1233" w:val="left" w:leader="none"/>
        </w:tabs>
        <w:spacing w:line="240" w:lineRule="auto" w:before="77" w:after="0"/>
        <w:ind w:left="1232" w:right="0" w:hanging="433"/>
        <w:jc w:val="left"/>
        <w:rPr>
          <w:sz w:val="20"/>
        </w:rPr>
      </w:pPr>
      <w:r>
        <w:rPr>
          <w:sz w:val="20"/>
        </w:rPr>
        <w:t>Faculty</w:t>
      </w:r>
      <w:r>
        <w:rPr>
          <w:spacing w:val="-10"/>
          <w:sz w:val="20"/>
        </w:rPr>
        <w:t> </w:t>
      </w:r>
      <w:r>
        <w:rPr>
          <w:sz w:val="20"/>
        </w:rPr>
        <w:t>Resumes:</w:t>
      </w:r>
      <w:r>
        <w:rPr>
          <w:spacing w:val="-7"/>
          <w:sz w:val="20"/>
        </w:rPr>
        <w:t> </w:t>
      </w:r>
      <w:r>
        <w:rPr>
          <w:sz w:val="20"/>
        </w:rPr>
        <w:t>Attached</w:t>
      </w:r>
      <w:r>
        <w:rPr>
          <w:spacing w:val="-5"/>
          <w:sz w:val="20"/>
        </w:rPr>
        <w:t> </w:t>
      </w:r>
      <w:r>
        <w:rPr>
          <w:sz w:val="20"/>
        </w:rPr>
        <w:t>are</w:t>
      </w:r>
      <w:r>
        <w:rPr>
          <w:spacing w:val="-6"/>
          <w:sz w:val="20"/>
        </w:rPr>
        <w:t> </w:t>
      </w:r>
      <w:r>
        <w:rPr>
          <w:sz w:val="20"/>
        </w:rPr>
        <w:t>resumes</w:t>
      </w:r>
      <w:r>
        <w:rPr>
          <w:spacing w:val="-6"/>
          <w:sz w:val="20"/>
        </w:rPr>
        <w:t> </w:t>
      </w:r>
      <w:r>
        <w:rPr>
          <w:sz w:val="20"/>
        </w:rPr>
        <w:t>for</w:t>
      </w:r>
      <w:r>
        <w:rPr>
          <w:spacing w:val="-6"/>
          <w:sz w:val="20"/>
        </w:rPr>
        <w:t> </w:t>
      </w:r>
      <w:r>
        <w:rPr>
          <w:sz w:val="20"/>
        </w:rPr>
        <w:t>the</w:t>
      </w:r>
      <w:r>
        <w:rPr>
          <w:spacing w:val="-7"/>
          <w:sz w:val="20"/>
        </w:rPr>
        <w:t> </w:t>
      </w:r>
      <w:r>
        <w:rPr>
          <w:sz w:val="20"/>
        </w:rPr>
        <w:t>following</w:t>
      </w:r>
      <w:r>
        <w:rPr>
          <w:spacing w:val="-7"/>
          <w:sz w:val="20"/>
        </w:rPr>
        <w:t> </w:t>
      </w:r>
      <w:r>
        <w:rPr>
          <w:sz w:val="20"/>
        </w:rPr>
        <w:t>faculty</w:t>
      </w:r>
      <w:r>
        <w:rPr>
          <w:spacing w:val="-9"/>
          <w:sz w:val="20"/>
        </w:rPr>
        <w:t> </w:t>
      </w:r>
      <w:r>
        <w:rPr>
          <w:spacing w:val="-2"/>
          <w:sz w:val="20"/>
        </w:rPr>
        <w:t>members</w:t>
      </w:r>
    </w:p>
    <w:p>
      <w:pPr>
        <w:pStyle w:val="BodyText"/>
        <w:rPr>
          <w:sz w:val="22"/>
        </w:rPr>
      </w:pPr>
    </w:p>
    <w:p>
      <w:pPr>
        <w:pStyle w:val="BodyText"/>
        <w:rPr>
          <w:sz w:val="22"/>
        </w:rPr>
      </w:pPr>
    </w:p>
    <w:p>
      <w:pPr>
        <w:pStyle w:val="BodyText"/>
        <w:spacing w:before="9"/>
        <w:rPr>
          <w:sz w:val="17"/>
        </w:rPr>
      </w:pPr>
    </w:p>
    <w:p>
      <w:pPr>
        <w:pStyle w:val="BodyText"/>
        <w:ind w:left="440"/>
      </w:pPr>
      <w:r>
        <w:rPr/>
        <w:t>Full-time</w:t>
      </w:r>
      <w:r>
        <w:rPr>
          <w:spacing w:val="-10"/>
        </w:rPr>
        <w:t> </w:t>
      </w:r>
      <w:r>
        <w:rPr>
          <w:spacing w:val="-2"/>
        </w:rPr>
        <w:t>Faculty</w:t>
      </w:r>
    </w:p>
    <w:p>
      <w:pPr>
        <w:pStyle w:val="BodyText"/>
        <w:spacing w:before="8"/>
      </w:pPr>
    </w:p>
    <w:p>
      <w:pPr>
        <w:pStyle w:val="BodyText"/>
        <w:tabs>
          <w:tab w:pos="4383" w:val="left" w:leader="none"/>
          <w:tab w:pos="6327" w:val="left" w:leader="none"/>
          <w:tab w:pos="7954" w:val="left" w:leader="none"/>
        </w:tabs>
        <w:ind w:left="2333"/>
      </w:pPr>
      <w:r>
        <w:rPr>
          <w:spacing w:val="-4"/>
        </w:rPr>
        <w:t>Name</w:t>
      </w:r>
      <w:r>
        <w:rPr/>
        <w:tab/>
      </w:r>
      <w:r>
        <w:rPr>
          <w:spacing w:val="-2"/>
        </w:rPr>
        <w:t>Duration</w:t>
      </w:r>
      <w:r>
        <w:rPr/>
        <w:tab/>
      </w:r>
      <w:r>
        <w:rPr>
          <w:spacing w:val="-4"/>
        </w:rPr>
        <w:t>Rank</w:t>
      </w:r>
      <w:r>
        <w:rPr/>
        <w:tab/>
        <w:t>Tenure</w:t>
      </w:r>
      <w:r>
        <w:rPr>
          <w:spacing w:val="-6"/>
        </w:rPr>
        <w:t> </w:t>
      </w:r>
      <w:r>
        <w:rPr/>
        <w:t>/</w:t>
      </w:r>
      <w:r>
        <w:rPr>
          <w:spacing w:val="-5"/>
        </w:rPr>
        <w:t> </w:t>
      </w:r>
      <w:r>
        <w:rPr/>
        <w:t>Tenure</w:t>
      </w:r>
      <w:r>
        <w:rPr>
          <w:spacing w:val="-6"/>
        </w:rPr>
        <w:t> </w:t>
      </w:r>
      <w:r>
        <w:rPr>
          <w:spacing w:val="-2"/>
        </w:rPr>
        <w:t>Track</w:t>
      </w:r>
    </w:p>
    <w:p>
      <w:pPr>
        <w:pStyle w:val="BodyText"/>
        <w:spacing w:before="6"/>
        <w:rPr>
          <w:sz w:val="21"/>
        </w:rPr>
      </w:pPr>
    </w:p>
    <w:tbl>
      <w:tblPr>
        <w:tblW w:w="0" w:type="auto"/>
        <w:jc w:val="left"/>
        <w:tblInd w:w="7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18"/>
        <w:gridCol w:w="2798"/>
        <w:gridCol w:w="1983"/>
        <w:gridCol w:w="1003"/>
      </w:tblGrid>
      <w:tr>
        <w:trPr>
          <w:trHeight w:val="226" w:hRule="atLeast"/>
        </w:trPr>
        <w:tc>
          <w:tcPr>
            <w:tcW w:w="3318" w:type="dxa"/>
          </w:tcPr>
          <w:p>
            <w:pPr>
              <w:pStyle w:val="TableParagraph"/>
              <w:spacing w:line="207" w:lineRule="exact"/>
              <w:ind w:left="51"/>
              <w:rPr>
                <w:sz w:val="20"/>
              </w:rPr>
            </w:pPr>
            <w:r>
              <w:rPr>
                <w:sz w:val="20"/>
              </w:rPr>
              <w:t>1.</w:t>
            </w:r>
            <w:r>
              <w:rPr>
                <w:spacing w:val="37"/>
                <w:sz w:val="20"/>
              </w:rPr>
              <w:t>  </w:t>
            </w:r>
            <w:r>
              <w:rPr>
                <w:sz w:val="20"/>
              </w:rPr>
              <w:t>Mason</w:t>
            </w:r>
            <w:r>
              <w:rPr>
                <w:spacing w:val="-2"/>
                <w:sz w:val="20"/>
              </w:rPr>
              <w:t> Andrews</w:t>
            </w:r>
          </w:p>
        </w:tc>
        <w:tc>
          <w:tcPr>
            <w:tcW w:w="2798" w:type="dxa"/>
          </w:tcPr>
          <w:p>
            <w:pPr>
              <w:pStyle w:val="TableParagraph"/>
              <w:spacing w:line="207" w:lineRule="exact"/>
              <w:ind w:left="153"/>
              <w:rPr>
                <w:sz w:val="20"/>
              </w:rPr>
            </w:pPr>
            <w:r>
              <w:rPr>
                <w:sz w:val="20"/>
              </w:rPr>
              <w:t>2009</w:t>
            </w:r>
            <w:r>
              <w:rPr>
                <w:spacing w:val="-4"/>
                <w:sz w:val="20"/>
              </w:rPr>
              <w:t> </w:t>
            </w:r>
            <w:r>
              <w:rPr>
                <w:sz w:val="20"/>
              </w:rPr>
              <w:t>–</w:t>
            </w:r>
            <w:r>
              <w:rPr>
                <w:spacing w:val="-5"/>
                <w:sz w:val="20"/>
              </w:rPr>
              <w:t> </w:t>
            </w:r>
            <w:r>
              <w:rPr>
                <w:spacing w:val="-2"/>
                <w:sz w:val="20"/>
              </w:rPr>
              <w:t>present</w:t>
            </w:r>
          </w:p>
        </w:tc>
        <w:tc>
          <w:tcPr>
            <w:tcW w:w="1983" w:type="dxa"/>
          </w:tcPr>
          <w:p>
            <w:pPr>
              <w:pStyle w:val="TableParagraph"/>
              <w:spacing w:line="207" w:lineRule="exact"/>
              <w:ind w:left="55"/>
              <w:rPr>
                <w:sz w:val="20"/>
              </w:rPr>
            </w:pPr>
            <w:r>
              <w:rPr>
                <w:spacing w:val="-2"/>
                <w:sz w:val="20"/>
              </w:rPr>
              <w:t>Associate</w:t>
            </w:r>
          </w:p>
        </w:tc>
        <w:tc>
          <w:tcPr>
            <w:tcW w:w="1003" w:type="dxa"/>
          </w:tcPr>
          <w:p>
            <w:pPr>
              <w:pStyle w:val="TableParagraph"/>
              <w:spacing w:line="207" w:lineRule="exact"/>
              <w:ind w:right="51"/>
              <w:jc w:val="right"/>
              <w:rPr>
                <w:sz w:val="20"/>
              </w:rPr>
            </w:pPr>
            <w:r>
              <w:rPr>
                <w:spacing w:val="-4"/>
                <w:sz w:val="20"/>
              </w:rPr>
              <w:t>Prof</w:t>
            </w:r>
          </w:p>
        </w:tc>
      </w:tr>
      <w:tr>
        <w:trPr>
          <w:trHeight w:val="230" w:hRule="atLeast"/>
        </w:trPr>
        <w:tc>
          <w:tcPr>
            <w:tcW w:w="3318" w:type="dxa"/>
          </w:tcPr>
          <w:p>
            <w:pPr>
              <w:pStyle w:val="TableParagraph"/>
              <w:spacing w:line="210" w:lineRule="exact"/>
              <w:ind w:left="50"/>
              <w:rPr>
                <w:sz w:val="20"/>
              </w:rPr>
            </w:pPr>
            <w:r>
              <w:rPr>
                <w:sz w:val="20"/>
              </w:rPr>
              <w:t>2.</w:t>
            </w:r>
            <w:r>
              <w:rPr>
                <w:spacing w:val="36"/>
                <w:sz w:val="20"/>
              </w:rPr>
              <w:t>  </w:t>
            </w:r>
            <w:r>
              <w:rPr>
                <w:sz w:val="20"/>
              </w:rPr>
              <w:t>Dr.</w:t>
            </w:r>
            <w:r>
              <w:rPr>
                <w:spacing w:val="-2"/>
                <w:sz w:val="20"/>
              </w:rPr>
              <w:t> </w:t>
            </w:r>
            <w:r>
              <w:rPr>
                <w:sz w:val="20"/>
              </w:rPr>
              <w:t>Shannon</w:t>
            </w:r>
            <w:r>
              <w:rPr>
                <w:spacing w:val="-3"/>
                <w:sz w:val="20"/>
              </w:rPr>
              <w:t> </w:t>
            </w:r>
            <w:r>
              <w:rPr>
                <w:spacing w:val="-2"/>
                <w:sz w:val="20"/>
              </w:rPr>
              <w:t>Chance</w:t>
            </w:r>
          </w:p>
        </w:tc>
        <w:tc>
          <w:tcPr>
            <w:tcW w:w="2798" w:type="dxa"/>
          </w:tcPr>
          <w:p>
            <w:pPr>
              <w:pStyle w:val="TableParagraph"/>
              <w:spacing w:line="210" w:lineRule="exact"/>
              <w:ind w:left="153"/>
              <w:rPr>
                <w:sz w:val="20"/>
              </w:rPr>
            </w:pPr>
            <w:r>
              <w:rPr>
                <w:sz w:val="20"/>
              </w:rPr>
              <w:t>1999</w:t>
            </w:r>
            <w:r>
              <w:rPr>
                <w:spacing w:val="-4"/>
                <w:sz w:val="20"/>
              </w:rPr>
              <w:t> </w:t>
            </w:r>
            <w:r>
              <w:rPr>
                <w:sz w:val="20"/>
              </w:rPr>
              <w:t>–</w:t>
            </w:r>
            <w:r>
              <w:rPr>
                <w:spacing w:val="-5"/>
                <w:sz w:val="20"/>
              </w:rPr>
              <w:t> </w:t>
            </w:r>
            <w:r>
              <w:rPr>
                <w:spacing w:val="-4"/>
                <w:sz w:val="20"/>
              </w:rPr>
              <w:t>2014</w:t>
            </w:r>
          </w:p>
        </w:tc>
        <w:tc>
          <w:tcPr>
            <w:tcW w:w="1983" w:type="dxa"/>
          </w:tcPr>
          <w:p>
            <w:pPr>
              <w:pStyle w:val="TableParagraph"/>
              <w:spacing w:line="210" w:lineRule="exact"/>
              <w:ind w:left="55"/>
              <w:rPr>
                <w:sz w:val="20"/>
              </w:rPr>
            </w:pPr>
            <w:r>
              <w:rPr>
                <w:spacing w:val="-2"/>
                <w:sz w:val="20"/>
              </w:rPr>
              <w:t>Professor</w:t>
            </w:r>
          </w:p>
        </w:tc>
        <w:tc>
          <w:tcPr>
            <w:tcW w:w="1003" w:type="dxa"/>
          </w:tcPr>
          <w:p>
            <w:pPr>
              <w:pStyle w:val="TableParagraph"/>
              <w:spacing w:line="210" w:lineRule="exact"/>
              <w:ind w:right="49"/>
              <w:jc w:val="right"/>
              <w:rPr>
                <w:sz w:val="20"/>
              </w:rPr>
            </w:pPr>
            <w:r>
              <w:rPr>
                <w:spacing w:val="-2"/>
                <w:sz w:val="20"/>
              </w:rPr>
              <w:t>Tenured</w:t>
            </w:r>
          </w:p>
        </w:tc>
      </w:tr>
      <w:tr>
        <w:trPr>
          <w:trHeight w:val="230" w:hRule="atLeast"/>
        </w:trPr>
        <w:tc>
          <w:tcPr>
            <w:tcW w:w="3318" w:type="dxa"/>
          </w:tcPr>
          <w:p>
            <w:pPr>
              <w:pStyle w:val="TableParagraph"/>
              <w:spacing w:line="210" w:lineRule="exact"/>
              <w:ind w:left="50"/>
              <w:rPr>
                <w:sz w:val="20"/>
              </w:rPr>
            </w:pPr>
            <w:r>
              <w:rPr>
                <w:sz w:val="20"/>
              </w:rPr>
              <w:t>3.</w:t>
            </w:r>
            <w:r>
              <w:rPr>
                <w:spacing w:val="34"/>
                <w:sz w:val="20"/>
              </w:rPr>
              <w:t>  </w:t>
            </w:r>
            <w:r>
              <w:rPr>
                <w:sz w:val="20"/>
              </w:rPr>
              <w:t>Robert</w:t>
            </w:r>
            <w:r>
              <w:rPr>
                <w:spacing w:val="-2"/>
                <w:sz w:val="20"/>
              </w:rPr>
              <w:t> </w:t>
            </w:r>
            <w:r>
              <w:rPr>
                <w:sz w:val="20"/>
              </w:rPr>
              <w:t>Easter</w:t>
            </w:r>
            <w:r>
              <w:rPr>
                <w:spacing w:val="-4"/>
                <w:sz w:val="20"/>
              </w:rPr>
              <w:t> </w:t>
            </w:r>
            <w:r>
              <w:rPr>
                <w:spacing w:val="-2"/>
                <w:sz w:val="20"/>
              </w:rPr>
              <w:t>(current)</w:t>
            </w:r>
          </w:p>
        </w:tc>
        <w:tc>
          <w:tcPr>
            <w:tcW w:w="2798" w:type="dxa"/>
          </w:tcPr>
          <w:p>
            <w:pPr>
              <w:pStyle w:val="TableParagraph"/>
              <w:spacing w:line="210" w:lineRule="exact"/>
              <w:ind w:left="152"/>
              <w:rPr>
                <w:sz w:val="20"/>
              </w:rPr>
            </w:pPr>
            <w:r>
              <w:rPr>
                <w:sz w:val="20"/>
              </w:rPr>
              <w:t>2008</w:t>
            </w:r>
            <w:r>
              <w:rPr>
                <w:spacing w:val="-4"/>
                <w:sz w:val="20"/>
              </w:rPr>
              <w:t> </w:t>
            </w:r>
            <w:r>
              <w:rPr>
                <w:sz w:val="20"/>
              </w:rPr>
              <w:t>–</w:t>
            </w:r>
            <w:r>
              <w:rPr>
                <w:spacing w:val="-5"/>
                <w:sz w:val="20"/>
              </w:rPr>
              <w:t> </w:t>
            </w:r>
            <w:r>
              <w:rPr>
                <w:spacing w:val="-2"/>
                <w:sz w:val="20"/>
              </w:rPr>
              <w:t>present</w:t>
            </w:r>
          </w:p>
        </w:tc>
        <w:tc>
          <w:tcPr>
            <w:tcW w:w="1983" w:type="dxa"/>
          </w:tcPr>
          <w:p>
            <w:pPr>
              <w:pStyle w:val="TableParagraph"/>
              <w:spacing w:line="210" w:lineRule="exact"/>
              <w:ind w:left="54"/>
              <w:rPr>
                <w:sz w:val="20"/>
              </w:rPr>
            </w:pPr>
            <w:r>
              <w:rPr>
                <w:sz w:val="20"/>
              </w:rPr>
              <w:t>Associate</w:t>
            </w:r>
            <w:r>
              <w:rPr>
                <w:spacing w:val="-11"/>
                <w:sz w:val="20"/>
              </w:rPr>
              <w:t> </w:t>
            </w:r>
            <w:r>
              <w:rPr>
                <w:spacing w:val="-4"/>
                <w:sz w:val="20"/>
              </w:rPr>
              <w:t>Prof</w:t>
            </w:r>
          </w:p>
        </w:tc>
        <w:tc>
          <w:tcPr>
            <w:tcW w:w="1003" w:type="dxa"/>
          </w:tcPr>
          <w:p>
            <w:pPr>
              <w:pStyle w:val="TableParagraph"/>
              <w:spacing w:line="210" w:lineRule="exact"/>
              <w:ind w:right="49"/>
              <w:jc w:val="right"/>
              <w:rPr>
                <w:sz w:val="20"/>
              </w:rPr>
            </w:pPr>
            <w:r>
              <w:rPr>
                <w:spacing w:val="-2"/>
                <w:sz w:val="20"/>
              </w:rPr>
              <w:t>Tenured</w:t>
            </w:r>
          </w:p>
        </w:tc>
      </w:tr>
      <w:tr>
        <w:trPr>
          <w:trHeight w:val="230" w:hRule="atLeast"/>
        </w:trPr>
        <w:tc>
          <w:tcPr>
            <w:tcW w:w="3318" w:type="dxa"/>
          </w:tcPr>
          <w:p>
            <w:pPr>
              <w:pStyle w:val="TableParagraph"/>
              <w:spacing w:line="210" w:lineRule="exact"/>
              <w:ind w:left="50"/>
              <w:rPr>
                <w:sz w:val="20"/>
              </w:rPr>
            </w:pPr>
            <w:r>
              <w:rPr>
                <w:sz w:val="20"/>
              </w:rPr>
              <w:t>4.</w:t>
            </w:r>
            <w:r>
              <w:rPr>
                <w:spacing w:val="37"/>
                <w:sz w:val="20"/>
              </w:rPr>
              <w:t>  </w:t>
            </w:r>
            <w:r>
              <w:rPr>
                <w:sz w:val="20"/>
              </w:rPr>
              <w:t>Darryl</w:t>
            </w:r>
            <w:r>
              <w:rPr>
                <w:spacing w:val="-2"/>
                <w:sz w:val="20"/>
              </w:rPr>
              <w:t> Henderson</w:t>
            </w:r>
          </w:p>
        </w:tc>
        <w:tc>
          <w:tcPr>
            <w:tcW w:w="2798" w:type="dxa"/>
          </w:tcPr>
          <w:p>
            <w:pPr>
              <w:pStyle w:val="TableParagraph"/>
              <w:spacing w:line="210" w:lineRule="exact"/>
              <w:ind w:left="152"/>
              <w:rPr>
                <w:sz w:val="20"/>
              </w:rPr>
            </w:pPr>
            <w:r>
              <w:rPr>
                <w:sz w:val="20"/>
              </w:rPr>
              <w:t>2013</w:t>
            </w:r>
            <w:r>
              <w:rPr>
                <w:spacing w:val="-4"/>
                <w:sz w:val="20"/>
              </w:rPr>
              <w:t> </w:t>
            </w:r>
            <w:r>
              <w:rPr>
                <w:sz w:val="20"/>
              </w:rPr>
              <w:t>–</w:t>
            </w:r>
            <w:r>
              <w:rPr>
                <w:spacing w:val="-6"/>
                <w:sz w:val="20"/>
              </w:rPr>
              <w:t> </w:t>
            </w:r>
            <w:r>
              <w:rPr>
                <w:sz w:val="20"/>
              </w:rPr>
              <w:t>present</w:t>
            </w:r>
            <w:r>
              <w:rPr>
                <w:spacing w:val="-5"/>
                <w:sz w:val="20"/>
              </w:rPr>
              <w:t> </w:t>
            </w:r>
            <w:r>
              <w:rPr>
                <w:sz w:val="20"/>
              </w:rPr>
              <w:t>(also</w:t>
            </w:r>
            <w:r>
              <w:rPr>
                <w:spacing w:val="-6"/>
                <w:sz w:val="20"/>
              </w:rPr>
              <w:t> </w:t>
            </w:r>
            <w:r>
              <w:rPr>
                <w:spacing w:val="-2"/>
                <w:sz w:val="20"/>
              </w:rPr>
              <w:t>adjunct)</w:t>
            </w:r>
          </w:p>
        </w:tc>
        <w:tc>
          <w:tcPr>
            <w:tcW w:w="1983" w:type="dxa"/>
          </w:tcPr>
          <w:p>
            <w:pPr>
              <w:pStyle w:val="TableParagraph"/>
              <w:spacing w:line="210" w:lineRule="exact"/>
              <w:ind w:left="54"/>
              <w:rPr>
                <w:sz w:val="20"/>
              </w:rPr>
            </w:pPr>
            <w:r>
              <w:rPr>
                <w:sz w:val="20"/>
              </w:rPr>
              <w:t>Assistant</w:t>
            </w:r>
            <w:r>
              <w:rPr>
                <w:spacing w:val="-11"/>
                <w:sz w:val="20"/>
              </w:rPr>
              <w:t> </w:t>
            </w:r>
            <w:r>
              <w:rPr>
                <w:spacing w:val="-4"/>
                <w:sz w:val="20"/>
              </w:rPr>
              <w:t>Prof</w:t>
            </w:r>
          </w:p>
        </w:tc>
        <w:tc>
          <w:tcPr>
            <w:tcW w:w="1003" w:type="dxa"/>
          </w:tcPr>
          <w:p>
            <w:pPr>
              <w:pStyle w:val="TableParagraph"/>
              <w:spacing w:line="210" w:lineRule="exact"/>
              <w:ind w:right="50"/>
              <w:jc w:val="right"/>
              <w:rPr>
                <w:sz w:val="20"/>
              </w:rPr>
            </w:pPr>
            <w:r>
              <w:rPr>
                <w:spacing w:val="-2"/>
                <w:sz w:val="20"/>
              </w:rPr>
              <w:t>Annual</w:t>
            </w:r>
          </w:p>
        </w:tc>
      </w:tr>
      <w:tr>
        <w:trPr>
          <w:trHeight w:val="229" w:hRule="atLeast"/>
        </w:trPr>
        <w:tc>
          <w:tcPr>
            <w:tcW w:w="3318" w:type="dxa"/>
          </w:tcPr>
          <w:p>
            <w:pPr>
              <w:pStyle w:val="TableParagraph"/>
              <w:spacing w:line="209" w:lineRule="exact"/>
              <w:ind w:left="50"/>
              <w:rPr>
                <w:sz w:val="20"/>
              </w:rPr>
            </w:pPr>
            <w:r>
              <w:rPr>
                <w:sz w:val="20"/>
              </w:rPr>
              <w:t>5.</w:t>
            </w:r>
            <w:r>
              <w:rPr>
                <w:spacing w:val="39"/>
                <w:sz w:val="20"/>
              </w:rPr>
              <w:t>  </w:t>
            </w:r>
            <w:r>
              <w:rPr>
                <w:sz w:val="20"/>
              </w:rPr>
              <w:t>Dr.</w:t>
            </w:r>
            <w:r>
              <w:rPr>
                <w:spacing w:val="-5"/>
                <w:sz w:val="20"/>
              </w:rPr>
              <w:t> </w:t>
            </w:r>
            <w:r>
              <w:rPr>
                <w:sz w:val="20"/>
              </w:rPr>
              <w:t>Wesley</w:t>
            </w:r>
            <w:r>
              <w:rPr>
                <w:spacing w:val="-5"/>
                <w:sz w:val="20"/>
              </w:rPr>
              <w:t> </w:t>
            </w:r>
            <w:r>
              <w:rPr>
                <w:spacing w:val="-2"/>
                <w:sz w:val="20"/>
              </w:rPr>
              <w:t>Henderson</w:t>
            </w:r>
          </w:p>
        </w:tc>
        <w:tc>
          <w:tcPr>
            <w:tcW w:w="2798" w:type="dxa"/>
          </w:tcPr>
          <w:p>
            <w:pPr>
              <w:pStyle w:val="TableParagraph"/>
              <w:spacing w:line="209" w:lineRule="exact"/>
              <w:ind w:left="152"/>
              <w:rPr>
                <w:sz w:val="20"/>
              </w:rPr>
            </w:pPr>
            <w:r>
              <w:rPr>
                <w:sz w:val="20"/>
              </w:rPr>
              <w:t>2009</w:t>
            </w:r>
            <w:r>
              <w:rPr>
                <w:spacing w:val="-4"/>
                <w:sz w:val="20"/>
              </w:rPr>
              <w:t> </w:t>
            </w:r>
            <w:r>
              <w:rPr>
                <w:sz w:val="20"/>
              </w:rPr>
              <w:t>–</w:t>
            </w:r>
            <w:r>
              <w:rPr>
                <w:spacing w:val="-5"/>
                <w:sz w:val="20"/>
              </w:rPr>
              <w:t> </w:t>
            </w:r>
            <w:r>
              <w:rPr>
                <w:spacing w:val="-2"/>
                <w:sz w:val="20"/>
              </w:rPr>
              <w:t>present</w:t>
            </w:r>
          </w:p>
        </w:tc>
        <w:tc>
          <w:tcPr>
            <w:tcW w:w="1983" w:type="dxa"/>
          </w:tcPr>
          <w:p>
            <w:pPr>
              <w:pStyle w:val="TableParagraph"/>
              <w:spacing w:line="209" w:lineRule="exact"/>
              <w:ind w:left="54"/>
              <w:rPr>
                <w:sz w:val="20"/>
              </w:rPr>
            </w:pPr>
            <w:r>
              <w:rPr>
                <w:sz w:val="20"/>
              </w:rPr>
              <w:t>Associate</w:t>
            </w:r>
            <w:r>
              <w:rPr>
                <w:spacing w:val="-11"/>
                <w:sz w:val="20"/>
              </w:rPr>
              <w:t> </w:t>
            </w:r>
            <w:r>
              <w:rPr>
                <w:spacing w:val="-4"/>
                <w:sz w:val="20"/>
              </w:rPr>
              <w:t>Prof</w:t>
            </w:r>
          </w:p>
        </w:tc>
        <w:tc>
          <w:tcPr>
            <w:tcW w:w="1003" w:type="dxa"/>
          </w:tcPr>
          <w:p>
            <w:pPr>
              <w:pStyle w:val="TableParagraph"/>
              <w:spacing w:line="209" w:lineRule="exact"/>
              <w:ind w:right="48"/>
              <w:jc w:val="right"/>
              <w:rPr>
                <w:sz w:val="20"/>
              </w:rPr>
            </w:pPr>
            <w:r>
              <w:rPr>
                <w:spacing w:val="-2"/>
                <w:sz w:val="20"/>
              </w:rPr>
              <w:t>Annual</w:t>
            </w:r>
          </w:p>
        </w:tc>
      </w:tr>
      <w:tr>
        <w:trPr>
          <w:trHeight w:val="229" w:hRule="atLeast"/>
        </w:trPr>
        <w:tc>
          <w:tcPr>
            <w:tcW w:w="3318" w:type="dxa"/>
          </w:tcPr>
          <w:p>
            <w:pPr>
              <w:pStyle w:val="TableParagraph"/>
              <w:spacing w:line="209" w:lineRule="exact"/>
              <w:ind w:left="50"/>
              <w:rPr>
                <w:sz w:val="20"/>
              </w:rPr>
            </w:pPr>
            <w:r>
              <w:rPr>
                <w:sz w:val="20"/>
              </w:rPr>
              <w:t>6.</w:t>
            </w:r>
            <w:r>
              <w:rPr>
                <w:spacing w:val="38"/>
                <w:sz w:val="20"/>
              </w:rPr>
              <w:t>  </w:t>
            </w:r>
            <w:r>
              <w:rPr>
                <w:sz w:val="20"/>
              </w:rPr>
              <w:t>Ron </w:t>
            </w:r>
            <w:r>
              <w:rPr>
                <w:spacing w:val="-2"/>
                <w:sz w:val="20"/>
              </w:rPr>
              <w:t>Kloster</w:t>
            </w:r>
          </w:p>
        </w:tc>
        <w:tc>
          <w:tcPr>
            <w:tcW w:w="2798" w:type="dxa"/>
          </w:tcPr>
          <w:p>
            <w:pPr>
              <w:pStyle w:val="TableParagraph"/>
              <w:spacing w:line="209" w:lineRule="exact"/>
              <w:ind w:left="152"/>
              <w:rPr>
                <w:sz w:val="20"/>
              </w:rPr>
            </w:pPr>
            <w:r>
              <w:rPr>
                <w:sz w:val="20"/>
              </w:rPr>
              <w:t>1992</w:t>
            </w:r>
            <w:r>
              <w:rPr>
                <w:spacing w:val="-4"/>
                <w:sz w:val="20"/>
              </w:rPr>
              <w:t> </w:t>
            </w:r>
            <w:r>
              <w:rPr>
                <w:sz w:val="20"/>
              </w:rPr>
              <w:t>–</w:t>
            </w:r>
            <w:r>
              <w:rPr>
                <w:spacing w:val="-5"/>
                <w:sz w:val="20"/>
              </w:rPr>
              <w:t> </w:t>
            </w:r>
            <w:r>
              <w:rPr>
                <w:spacing w:val="-2"/>
                <w:sz w:val="20"/>
              </w:rPr>
              <w:t>present</w:t>
            </w:r>
          </w:p>
        </w:tc>
        <w:tc>
          <w:tcPr>
            <w:tcW w:w="1983" w:type="dxa"/>
          </w:tcPr>
          <w:p>
            <w:pPr>
              <w:pStyle w:val="TableParagraph"/>
              <w:spacing w:line="209" w:lineRule="exact"/>
              <w:ind w:left="54"/>
              <w:rPr>
                <w:sz w:val="20"/>
              </w:rPr>
            </w:pPr>
            <w:r>
              <w:rPr>
                <w:sz w:val="20"/>
              </w:rPr>
              <w:t>Assistant</w:t>
            </w:r>
            <w:r>
              <w:rPr>
                <w:spacing w:val="-11"/>
                <w:sz w:val="20"/>
              </w:rPr>
              <w:t> </w:t>
            </w:r>
            <w:r>
              <w:rPr>
                <w:spacing w:val="-4"/>
                <w:sz w:val="20"/>
              </w:rPr>
              <w:t>Prof</w:t>
            </w:r>
          </w:p>
        </w:tc>
        <w:tc>
          <w:tcPr>
            <w:tcW w:w="1003" w:type="dxa"/>
          </w:tcPr>
          <w:p>
            <w:pPr>
              <w:pStyle w:val="TableParagraph"/>
              <w:spacing w:line="209" w:lineRule="exact"/>
              <w:ind w:right="49"/>
              <w:jc w:val="right"/>
              <w:rPr>
                <w:sz w:val="20"/>
              </w:rPr>
            </w:pPr>
            <w:r>
              <w:rPr>
                <w:spacing w:val="-2"/>
                <w:sz w:val="20"/>
              </w:rPr>
              <w:t>Tenured</w:t>
            </w:r>
          </w:p>
        </w:tc>
      </w:tr>
      <w:tr>
        <w:trPr>
          <w:trHeight w:val="230" w:hRule="atLeast"/>
        </w:trPr>
        <w:tc>
          <w:tcPr>
            <w:tcW w:w="3318" w:type="dxa"/>
          </w:tcPr>
          <w:p>
            <w:pPr>
              <w:pStyle w:val="TableParagraph"/>
              <w:spacing w:line="210" w:lineRule="exact"/>
              <w:ind w:left="50"/>
              <w:rPr>
                <w:sz w:val="20"/>
              </w:rPr>
            </w:pPr>
            <w:r>
              <w:rPr>
                <w:sz w:val="20"/>
              </w:rPr>
              <w:t>7.</w:t>
            </w:r>
            <w:r>
              <w:rPr>
                <w:spacing w:val="39"/>
                <w:sz w:val="20"/>
              </w:rPr>
              <w:t>  </w:t>
            </w:r>
            <w:r>
              <w:rPr>
                <w:spacing w:val="-2"/>
                <w:sz w:val="20"/>
              </w:rPr>
              <w:t>Okiomah,</w:t>
            </w:r>
          </w:p>
        </w:tc>
        <w:tc>
          <w:tcPr>
            <w:tcW w:w="2798" w:type="dxa"/>
          </w:tcPr>
          <w:p>
            <w:pPr>
              <w:pStyle w:val="TableParagraph"/>
              <w:spacing w:line="210" w:lineRule="exact"/>
              <w:ind w:left="152"/>
              <w:rPr>
                <w:sz w:val="20"/>
              </w:rPr>
            </w:pPr>
            <w:r>
              <w:rPr>
                <w:sz w:val="20"/>
              </w:rPr>
              <w:t>2012</w:t>
            </w:r>
            <w:r>
              <w:rPr>
                <w:spacing w:val="-4"/>
                <w:sz w:val="20"/>
              </w:rPr>
              <w:t> </w:t>
            </w:r>
            <w:r>
              <w:rPr>
                <w:sz w:val="20"/>
              </w:rPr>
              <w:t>–</w:t>
            </w:r>
            <w:r>
              <w:rPr>
                <w:spacing w:val="-5"/>
                <w:sz w:val="20"/>
              </w:rPr>
              <w:t> </w:t>
            </w:r>
            <w:r>
              <w:rPr>
                <w:spacing w:val="-4"/>
                <w:sz w:val="20"/>
              </w:rPr>
              <w:t>2013</w:t>
            </w:r>
          </w:p>
        </w:tc>
        <w:tc>
          <w:tcPr>
            <w:tcW w:w="1983" w:type="dxa"/>
          </w:tcPr>
          <w:p>
            <w:pPr>
              <w:pStyle w:val="TableParagraph"/>
              <w:spacing w:line="210" w:lineRule="exact"/>
              <w:ind w:left="54"/>
              <w:rPr>
                <w:sz w:val="20"/>
              </w:rPr>
            </w:pPr>
            <w:r>
              <w:rPr>
                <w:sz w:val="20"/>
              </w:rPr>
              <w:t>Assistant</w:t>
            </w:r>
            <w:r>
              <w:rPr>
                <w:spacing w:val="-11"/>
                <w:sz w:val="20"/>
              </w:rPr>
              <w:t> </w:t>
            </w:r>
            <w:r>
              <w:rPr>
                <w:spacing w:val="-4"/>
                <w:sz w:val="20"/>
              </w:rPr>
              <w:t>Prof</w:t>
            </w:r>
          </w:p>
        </w:tc>
        <w:tc>
          <w:tcPr>
            <w:tcW w:w="1003" w:type="dxa"/>
          </w:tcPr>
          <w:p>
            <w:pPr>
              <w:pStyle w:val="TableParagraph"/>
              <w:spacing w:line="210" w:lineRule="exact"/>
              <w:ind w:right="51"/>
              <w:jc w:val="right"/>
              <w:rPr>
                <w:sz w:val="20"/>
              </w:rPr>
            </w:pPr>
            <w:r>
              <w:rPr>
                <w:spacing w:val="-2"/>
                <w:sz w:val="20"/>
              </w:rPr>
              <w:t>Annual</w:t>
            </w:r>
          </w:p>
        </w:tc>
      </w:tr>
      <w:tr>
        <w:trPr>
          <w:trHeight w:val="230" w:hRule="atLeast"/>
        </w:trPr>
        <w:tc>
          <w:tcPr>
            <w:tcW w:w="3318" w:type="dxa"/>
          </w:tcPr>
          <w:p>
            <w:pPr>
              <w:pStyle w:val="TableParagraph"/>
              <w:spacing w:line="210" w:lineRule="exact"/>
              <w:ind w:left="50"/>
              <w:rPr>
                <w:sz w:val="20"/>
              </w:rPr>
            </w:pPr>
            <w:r>
              <w:rPr>
                <w:sz w:val="20"/>
              </w:rPr>
              <w:t>8.</w:t>
            </w:r>
            <w:r>
              <w:rPr>
                <w:spacing w:val="33"/>
                <w:sz w:val="20"/>
              </w:rPr>
              <w:t>  </w:t>
            </w:r>
            <w:r>
              <w:rPr>
                <w:sz w:val="20"/>
              </w:rPr>
              <w:t>Dr.</w:t>
            </w:r>
            <w:r>
              <w:rPr>
                <w:spacing w:val="-5"/>
                <w:sz w:val="20"/>
              </w:rPr>
              <w:t> </w:t>
            </w:r>
            <w:r>
              <w:rPr>
                <w:sz w:val="20"/>
              </w:rPr>
              <w:t>Carmina</w:t>
            </w:r>
            <w:r>
              <w:rPr>
                <w:spacing w:val="-6"/>
                <w:sz w:val="20"/>
              </w:rPr>
              <w:t> </w:t>
            </w:r>
            <w:r>
              <w:rPr>
                <w:sz w:val="20"/>
              </w:rPr>
              <w:t>Sánchez-del-</w:t>
            </w:r>
            <w:r>
              <w:rPr>
                <w:spacing w:val="-4"/>
                <w:sz w:val="20"/>
              </w:rPr>
              <w:t>Valle</w:t>
            </w:r>
          </w:p>
        </w:tc>
        <w:tc>
          <w:tcPr>
            <w:tcW w:w="2798" w:type="dxa"/>
          </w:tcPr>
          <w:p>
            <w:pPr>
              <w:pStyle w:val="TableParagraph"/>
              <w:spacing w:line="210" w:lineRule="exact"/>
              <w:ind w:left="152"/>
              <w:rPr>
                <w:sz w:val="20"/>
              </w:rPr>
            </w:pPr>
            <w:r>
              <w:rPr>
                <w:sz w:val="20"/>
              </w:rPr>
              <w:t>1990</w:t>
            </w:r>
            <w:r>
              <w:rPr>
                <w:spacing w:val="-4"/>
                <w:sz w:val="20"/>
              </w:rPr>
              <w:t> </w:t>
            </w:r>
            <w:r>
              <w:rPr>
                <w:sz w:val="20"/>
              </w:rPr>
              <w:t>–</w:t>
            </w:r>
            <w:r>
              <w:rPr>
                <w:spacing w:val="-5"/>
                <w:sz w:val="20"/>
              </w:rPr>
              <w:t> </w:t>
            </w:r>
            <w:r>
              <w:rPr>
                <w:spacing w:val="-2"/>
                <w:sz w:val="20"/>
              </w:rPr>
              <w:t>present</w:t>
            </w:r>
          </w:p>
        </w:tc>
        <w:tc>
          <w:tcPr>
            <w:tcW w:w="1983" w:type="dxa"/>
          </w:tcPr>
          <w:p>
            <w:pPr>
              <w:pStyle w:val="TableParagraph"/>
              <w:spacing w:line="210" w:lineRule="exact"/>
              <w:ind w:left="54"/>
              <w:rPr>
                <w:sz w:val="20"/>
              </w:rPr>
            </w:pPr>
            <w:r>
              <w:rPr>
                <w:spacing w:val="-2"/>
                <w:sz w:val="20"/>
              </w:rPr>
              <w:t>Professor</w:t>
            </w:r>
          </w:p>
        </w:tc>
        <w:tc>
          <w:tcPr>
            <w:tcW w:w="1003" w:type="dxa"/>
          </w:tcPr>
          <w:p>
            <w:pPr>
              <w:pStyle w:val="TableParagraph"/>
              <w:spacing w:line="210" w:lineRule="exact"/>
              <w:ind w:right="50"/>
              <w:jc w:val="right"/>
              <w:rPr>
                <w:sz w:val="20"/>
              </w:rPr>
            </w:pPr>
            <w:r>
              <w:rPr>
                <w:spacing w:val="-2"/>
                <w:sz w:val="20"/>
              </w:rPr>
              <w:t>Tenured</w:t>
            </w:r>
          </w:p>
        </w:tc>
      </w:tr>
      <w:tr>
        <w:trPr>
          <w:trHeight w:val="226" w:hRule="atLeast"/>
        </w:trPr>
        <w:tc>
          <w:tcPr>
            <w:tcW w:w="3318" w:type="dxa"/>
          </w:tcPr>
          <w:p>
            <w:pPr>
              <w:pStyle w:val="TableParagraph"/>
              <w:spacing w:line="207" w:lineRule="exact"/>
              <w:ind w:left="50"/>
              <w:rPr>
                <w:sz w:val="20"/>
              </w:rPr>
            </w:pPr>
            <w:r>
              <w:rPr>
                <w:sz w:val="20"/>
              </w:rPr>
              <w:t>9.</w:t>
            </w:r>
            <w:r>
              <w:rPr>
                <w:spacing w:val="37"/>
                <w:sz w:val="20"/>
              </w:rPr>
              <w:t>  </w:t>
            </w:r>
            <w:r>
              <w:rPr>
                <w:sz w:val="20"/>
              </w:rPr>
              <w:t>Marci</w:t>
            </w:r>
            <w:r>
              <w:rPr>
                <w:spacing w:val="-3"/>
                <w:sz w:val="20"/>
              </w:rPr>
              <w:t> </w:t>
            </w:r>
            <w:r>
              <w:rPr>
                <w:spacing w:val="-2"/>
                <w:sz w:val="20"/>
              </w:rPr>
              <w:t>Turner</w:t>
            </w:r>
          </w:p>
        </w:tc>
        <w:tc>
          <w:tcPr>
            <w:tcW w:w="2798" w:type="dxa"/>
          </w:tcPr>
          <w:p>
            <w:pPr>
              <w:pStyle w:val="TableParagraph"/>
              <w:spacing w:line="207" w:lineRule="exact"/>
              <w:ind w:left="151"/>
              <w:rPr>
                <w:sz w:val="20"/>
              </w:rPr>
            </w:pPr>
            <w:r>
              <w:rPr>
                <w:sz w:val="20"/>
              </w:rPr>
              <w:t>2012</w:t>
            </w:r>
            <w:r>
              <w:rPr>
                <w:spacing w:val="-4"/>
                <w:sz w:val="20"/>
              </w:rPr>
              <w:t> </w:t>
            </w:r>
            <w:r>
              <w:rPr>
                <w:sz w:val="20"/>
              </w:rPr>
              <w:t>–</w:t>
            </w:r>
            <w:r>
              <w:rPr>
                <w:spacing w:val="-6"/>
                <w:sz w:val="20"/>
              </w:rPr>
              <w:t> </w:t>
            </w:r>
            <w:r>
              <w:rPr>
                <w:sz w:val="20"/>
              </w:rPr>
              <w:t>present</w:t>
            </w:r>
            <w:r>
              <w:rPr>
                <w:spacing w:val="-5"/>
                <w:sz w:val="20"/>
              </w:rPr>
              <w:t> </w:t>
            </w:r>
            <w:r>
              <w:rPr>
                <w:sz w:val="20"/>
              </w:rPr>
              <w:t>(also</w:t>
            </w:r>
            <w:r>
              <w:rPr>
                <w:spacing w:val="-6"/>
                <w:sz w:val="20"/>
              </w:rPr>
              <w:t> </w:t>
            </w:r>
            <w:r>
              <w:rPr>
                <w:spacing w:val="-2"/>
                <w:sz w:val="20"/>
              </w:rPr>
              <w:t>adjunct)</w:t>
            </w:r>
          </w:p>
        </w:tc>
        <w:tc>
          <w:tcPr>
            <w:tcW w:w="1983" w:type="dxa"/>
          </w:tcPr>
          <w:p>
            <w:pPr>
              <w:pStyle w:val="TableParagraph"/>
              <w:spacing w:line="207" w:lineRule="exact"/>
              <w:ind w:left="53"/>
              <w:rPr>
                <w:sz w:val="20"/>
              </w:rPr>
            </w:pPr>
            <w:r>
              <w:rPr>
                <w:sz w:val="20"/>
              </w:rPr>
              <w:t>Assistant</w:t>
            </w:r>
            <w:r>
              <w:rPr>
                <w:spacing w:val="-11"/>
                <w:sz w:val="20"/>
              </w:rPr>
              <w:t> </w:t>
            </w:r>
            <w:r>
              <w:rPr>
                <w:spacing w:val="-2"/>
                <w:sz w:val="20"/>
              </w:rPr>
              <w:t>Professor</w:t>
            </w:r>
          </w:p>
        </w:tc>
        <w:tc>
          <w:tcPr>
            <w:tcW w:w="1003" w:type="dxa"/>
          </w:tcPr>
          <w:p>
            <w:pPr>
              <w:pStyle w:val="TableParagraph"/>
              <w:spacing w:line="207" w:lineRule="exact"/>
              <w:ind w:right="51"/>
              <w:jc w:val="right"/>
              <w:rPr>
                <w:sz w:val="20"/>
              </w:rPr>
            </w:pPr>
            <w:r>
              <w:rPr>
                <w:spacing w:val="-2"/>
                <w:sz w:val="20"/>
              </w:rPr>
              <w:t>Annual</w:t>
            </w:r>
          </w:p>
        </w:tc>
      </w:tr>
    </w:tbl>
    <w:p>
      <w:pPr>
        <w:pStyle w:val="BodyText"/>
        <w:spacing w:before="2"/>
        <w:rPr>
          <w:sz w:val="21"/>
        </w:rPr>
      </w:pPr>
    </w:p>
    <w:p>
      <w:pPr>
        <w:pStyle w:val="BodyText"/>
        <w:spacing w:before="1"/>
        <w:ind w:left="438"/>
      </w:pPr>
      <w:r>
        <w:rPr>
          <w:spacing w:val="-2"/>
        </w:rPr>
        <w:t>Adjunct</w:t>
      </w:r>
    </w:p>
    <w:p>
      <w:pPr>
        <w:pStyle w:val="BodyText"/>
        <w:spacing w:before="10"/>
      </w:pPr>
    </w:p>
    <w:p>
      <w:pPr>
        <w:pStyle w:val="ListParagraph"/>
        <w:numPr>
          <w:ilvl w:val="0"/>
          <w:numId w:val="65"/>
        </w:numPr>
        <w:tabs>
          <w:tab w:pos="1159" w:val="left" w:leader="none"/>
        </w:tabs>
        <w:spacing w:line="229" w:lineRule="exact" w:before="0" w:after="0"/>
        <w:ind w:left="1158" w:right="0" w:hanging="361"/>
        <w:jc w:val="left"/>
        <w:rPr>
          <w:sz w:val="20"/>
        </w:rPr>
      </w:pPr>
      <w:r>
        <w:rPr>
          <w:sz w:val="20"/>
        </w:rPr>
        <w:t>Paul</w:t>
      </w:r>
      <w:r>
        <w:rPr>
          <w:spacing w:val="-10"/>
          <w:sz w:val="20"/>
        </w:rPr>
        <w:t> </w:t>
      </w:r>
      <w:r>
        <w:rPr>
          <w:sz w:val="20"/>
        </w:rPr>
        <w:t>Battaglia</w:t>
      </w:r>
      <w:r>
        <w:rPr>
          <w:spacing w:val="-10"/>
          <w:sz w:val="20"/>
        </w:rPr>
        <w:t> </w:t>
      </w:r>
      <w:r>
        <w:rPr>
          <w:sz w:val="20"/>
        </w:rPr>
        <w:t>(2011-</w:t>
      </w:r>
      <w:r>
        <w:rPr>
          <w:spacing w:val="-2"/>
          <w:sz w:val="20"/>
        </w:rPr>
        <w:t>2013)</w:t>
      </w:r>
    </w:p>
    <w:p>
      <w:pPr>
        <w:pStyle w:val="ListParagraph"/>
        <w:numPr>
          <w:ilvl w:val="0"/>
          <w:numId w:val="65"/>
        </w:numPr>
        <w:tabs>
          <w:tab w:pos="1159" w:val="left" w:leader="none"/>
        </w:tabs>
        <w:spacing w:line="229" w:lineRule="exact" w:before="0" w:after="0"/>
        <w:ind w:left="1158" w:right="0" w:hanging="361"/>
        <w:jc w:val="left"/>
        <w:rPr>
          <w:sz w:val="20"/>
        </w:rPr>
      </w:pPr>
      <w:r>
        <w:rPr>
          <w:sz w:val="20"/>
        </w:rPr>
        <w:t>Sherman</w:t>
      </w:r>
      <w:r>
        <w:rPr>
          <w:spacing w:val="-8"/>
          <w:sz w:val="20"/>
        </w:rPr>
        <w:t> </w:t>
      </w:r>
      <w:r>
        <w:rPr>
          <w:sz w:val="20"/>
        </w:rPr>
        <w:t>Brown</w:t>
      </w:r>
      <w:r>
        <w:rPr>
          <w:spacing w:val="-7"/>
          <w:sz w:val="20"/>
        </w:rPr>
        <w:t> </w:t>
      </w:r>
      <w:r>
        <w:rPr>
          <w:spacing w:val="-2"/>
          <w:sz w:val="20"/>
        </w:rPr>
        <w:t>(current)</w:t>
      </w:r>
    </w:p>
    <w:p>
      <w:pPr>
        <w:pStyle w:val="ListParagraph"/>
        <w:numPr>
          <w:ilvl w:val="0"/>
          <w:numId w:val="65"/>
        </w:numPr>
        <w:tabs>
          <w:tab w:pos="1159" w:val="left" w:leader="none"/>
        </w:tabs>
        <w:spacing w:line="240" w:lineRule="auto" w:before="1" w:after="0"/>
        <w:ind w:left="1158" w:right="0" w:hanging="361"/>
        <w:jc w:val="left"/>
        <w:rPr>
          <w:sz w:val="20"/>
        </w:rPr>
      </w:pPr>
      <w:r>
        <w:rPr>
          <w:sz w:val="20"/>
        </w:rPr>
        <w:t>Ray</w:t>
      </w:r>
      <w:r>
        <w:rPr>
          <w:spacing w:val="-6"/>
          <w:sz w:val="20"/>
        </w:rPr>
        <w:t> </w:t>
      </w:r>
      <w:r>
        <w:rPr>
          <w:spacing w:val="-2"/>
          <w:sz w:val="20"/>
        </w:rPr>
        <w:t>Gindroz</w:t>
      </w:r>
    </w:p>
    <w:p>
      <w:pPr>
        <w:pStyle w:val="ListParagraph"/>
        <w:numPr>
          <w:ilvl w:val="0"/>
          <w:numId w:val="65"/>
        </w:numPr>
        <w:tabs>
          <w:tab w:pos="965" w:val="left" w:leader="none"/>
        </w:tabs>
        <w:spacing w:line="240" w:lineRule="auto" w:before="0" w:after="0"/>
        <w:ind w:left="964" w:right="0" w:hanging="167"/>
        <w:jc w:val="left"/>
        <w:rPr>
          <w:sz w:val="20"/>
        </w:rPr>
      </w:pPr>
    </w:p>
    <w:p>
      <w:pPr>
        <w:spacing w:after="0" w:line="240" w:lineRule="auto"/>
        <w:jc w:val="left"/>
        <w:rPr>
          <w:sz w:val="20"/>
        </w:rPr>
        <w:sectPr>
          <w:headerReference w:type="default" r:id="rId245"/>
          <w:footerReference w:type="default" r:id="rId246"/>
          <w:pgSz w:w="12240" w:h="15840"/>
          <w:pgMar w:header="0" w:footer="974" w:top="1360" w:bottom="1160" w:left="1000" w:right="820"/>
        </w:sectPr>
      </w:pPr>
    </w:p>
    <w:p>
      <w:pPr>
        <w:spacing w:before="63"/>
        <w:ind w:left="440" w:right="0" w:firstLine="0"/>
        <w:jc w:val="left"/>
        <w:rPr>
          <w:b/>
          <w:sz w:val="20"/>
        </w:rPr>
      </w:pPr>
      <w:r>
        <w:rPr>
          <w:b/>
          <w:sz w:val="20"/>
        </w:rPr>
        <w:t>Andrews,</w:t>
      </w:r>
      <w:r>
        <w:rPr>
          <w:b/>
          <w:spacing w:val="-10"/>
          <w:sz w:val="20"/>
        </w:rPr>
        <w:t> </w:t>
      </w:r>
      <w:r>
        <w:rPr>
          <w:b/>
          <w:sz w:val="20"/>
        </w:rPr>
        <w:t>Mason,</w:t>
      </w:r>
      <w:r>
        <w:rPr>
          <w:b/>
          <w:spacing w:val="-8"/>
          <w:sz w:val="20"/>
        </w:rPr>
        <w:t> </w:t>
      </w:r>
      <w:r>
        <w:rPr>
          <w:b/>
          <w:sz w:val="20"/>
        </w:rPr>
        <w:t>Associate</w:t>
      </w:r>
      <w:r>
        <w:rPr>
          <w:b/>
          <w:spacing w:val="-10"/>
          <w:sz w:val="20"/>
        </w:rPr>
        <w:t> </w:t>
      </w:r>
      <w:r>
        <w:rPr>
          <w:b/>
          <w:spacing w:val="-2"/>
          <w:sz w:val="20"/>
        </w:rPr>
        <w:t>Professor</w:t>
      </w:r>
    </w:p>
    <w:p>
      <w:pPr>
        <w:pStyle w:val="BodyText"/>
        <w:spacing w:before="7"/>
        <w:rPr>
          <w:b/>
          <w:sz w:val="17"/>
        </w:rPr>
      </w:pPr>
    </w:p>
    <w:p>
      <w:pPr>
        <w:spacing w:before="0"/>
        <w:ind w:left="439" w:right="0" w:firstLine="0"/>
        <w:jc w:val="left"/>
        <w:rPr>
          <w:b/>
          <w:sz w:val="20"/>
        </w:rPr>
      </w:pPr>
      <w:r>
        <w:rPr>
          <w:b/>
          <w:sz w:val="20"/>
        </w:rPr>
        <w:t>Courses</w:t>
      </w:r>
      <w:r>
        <w:rPr>
          <w:b/>
          <w:spacing w:val="-7"/>
          <w:sz w:val="20"/>
        </w:rPr>
        <w:t> </w:t>
      </w:r>
      <w:r>
        <w:rPr>
          <w:b/>
          <w:sz w:val="20"/>
        </w:rPr>
        <w:t>Taught</w:t>
      </w:r>
      <w:r>
        <w:rPr>
          <w:b/>
          <w:spacing w:val="-7"/>
          <w:sz w:val="20"/>
        </w:rPr>
        <w:t> </w:t>
      </w:r>
      <w:r>
        <w:rPr>
          <w:b/>
          <w:sz w:val="20"/>
        </w:rPr>
        <w:t>(during</w:t>
      </w:r>
      <w:r>
        <w:rPr>
          <w:b/>
          <w:spacing w:val="-7"/>
          <w:sz w:val="20"/>
        </w:rPr>
        <w:t> </w:t>
      </w:r>
      <w:r>
        <w:rPr>
          <w:b/>
          <w:sz w:val="20"/>
        </w:rPr>
        <w:t>the</w:t>
      </w:r>
      <w:r>
        <w:rPr>
          <w:b/>
          <w:spacing w:val="-8"/>
          <w:sz w:val="20"/>
        </w:rPr>
        <w:t> </w:t>
      </w:r>
      <w:r>
        <w:rPr>
          <w:b/>
          <w:sz w:val="20"/>
        </w:rPr>
        <w:t>past</w:t>
      </w:r>
      <w:r>
        <w:rPr>
          <w:b/>
          <w:spacing w:val="-7"/>
          <w:sz w:val="20"/>
        </w:rPr>
        <w:t> </w:t>
      </w:r>
      <w:r>
        <w:rPr>
          <w:b/>
          <w:sz w:val="20"/>
        </w:rPr>
        <w:t>two</w:t>
      </w:r>
      <w:r>
        <w:rPr>
          <w:b/>
          <w:spacing w:val="-7"/>
          <w:sz w:val="20"/>
        </w:rPr>
        <w:t> </w:t>
      </w:r>
      <w:r>
        <w:rPr>
          <w:b/>
          <w:sz w:val="20"/>
        </w:rPr>
        <w:t>academic</w:t>
      </w:r>
      <w:r>
        <w:rPr>
          <w:b/>
          <w:spacing w:val="-4"/>
          <w:sz w:val="20"/>
        </w:rPr>
        <w:t> </w:t>
      </w:r>
      <w:r>
        <w:rPr>
          <w:b/>
          <w:spacing w:val="-2"/>
          <w:sz w:val="20"/>
        </w:rPr>
        <w:t>years):</w:t>
      </w:r>
    </w:p>
    <w:p>
      <w:pPr>
        <w:pStyle w:val="BodyText"/>
        <w:spacing w:line="276" w:lineRule="auto" w:before="3"/>
        <w:ind w:left="1160" w:right="1449"/>
      </w:pPr>
      <w:r>
        <w:rPr/>
        <w:t>Fall 2013: ARC 303, ARC 530 – Arch Electives (Arch. Writing &amp; Tucker’s Landing) Spring 2013: ARC 317; ARC 304; ARC 430 – Arch Elective (France Travel Prep) Summer</w:t>
      </w:r>
      <w:r>
        <w:rPr>
          <w:spacing w:val="-3"/>
        </w:rPr>
        <w:t> </w:t>
      </w:r>
      <w:r>
        <w:rPr/>
        <w:t>2013:</w:t>
      </w:r>
      <w:r>
        <w:rPr>
          <w:spacing w:val="40"/>
        </w:rPr>
        <w:t> </w:t>
      </w:r>
      <w:r>
        <w:rPr/>
        <w:t>ARC</w:t>
      </w:r>
      <w:r>
        <w:rPr>
          <w:spacing w:val="-4"/>
        </w:rPr>
        <w:t> </w:t>
      </w:r>
      <w:r>
        <w:rPr/>
        <w:t>306</w:t>
      </w:r>
      <w:r>
        <w:rPr>
          <w:spacing w:val="-1"/>
        </w:rPr>
        <w:t> </w:t>
      </w:r>
      <w:r>
        <w:rPr/>
        <w:t>–</w:t>
      </w:r>
      <w:r>
        <w:rPr>
          <w:spacing w:val="-2"/>
        </w:rPr>
        <w:t> </w:t>
      </w:r>
      <w:r>
        <w:rPr/>
        <w:t>Methods</w:t>
      </w:r>
      <w:r>
        <w:rPr>
          <w:spacing w:val="-3"/>
        </w:rPr>
        <w:t> </w:t>
      </w:r>
      <w:r>
        <w:rPr/>
        <w:t>and</w:t>
      </w:r>
      <w:r>
        <w:rPr>
          <w:spacing w:val="-4"/>
        </w:rPr>
        <w:t> </w:t>
      </w:r>
      <w:r>
        <w:rPr/>
        <w:t>Techniques;</w:t>
      </w:r>
      <w:r>
        <w:rPr>
          <w:spacing w:val="-2"/>
        </w:rPr>
        <w:t> </w:t>
      </w:r>
      <w:r>
        <w:rPr/>
        <w:t>ARC</w:t>
      </w:r>
      <w:r>
        <w:rPr>
          <w:spacing w:val="-4"/>
        </w:rPr>
        <w:t> </w:t>
      </w:r>
      <w:r>
        <w:rPr/>
        <w:t>305</w:t>
      </w:r>
      <w:r>
        <w:rPr>
          <w:spacing w:val="-1"/>
        </w:rPr>
        <w:t> </w:t>
      </w:r>
      <w:r>
        <w:rPr/>
        <w:t>–</w:t>
      </w:r>
      <w:r>
        <w:rPr>
          <w:spacing w:val="-4"/>
        </w:rPr>
        <w:t> </w:t>
      </w:r>
      <w:r>
        <w:rPr/>
        <w:t>Urban</w:t>
      </w:r>
      <w:r>
        <w:rPr>
          <w:spacing w:val="-4"/>
        </w:rPr>
        <w:t> </w:t>
      </w:r>
      <w:r>
        <w:rPr/>
        <w:t>Design</w:t>
      </w:r>
      <w:r>
        <w:rPr>
          <w:spacing w:val="-2"/>
        </w:rPr>
        <w:t> </w:t>
      </w:r>
      <w:r>
        <w:rPr/>
        <w:t>Studio Fall 2014: ARC 303 – Interm Arch Des I; ARC 530 – Arch Elective (Arch. Writing)</w:t>
      </w:r>
    </w:p>
    <w:p>
      <w:pPr>
        <w:pStyle w:val="BodyText"/>
        <w:spacing w:line="276" w:lineRule="auto"/>
        <w:ind w:left="1159" w:right="642"/>
      </w:pPr>
      <w:r>
        <w:rPr/>
        <w:t>Spring</w:t>
      </w:r>
      <w:r>
        <w:rPr>
          <w:spacing w:val="-4"/>
        </w:rPr>
        <w:t> </w:t>
      </w:r>
      <w:r>
        <w:rPr/>
        <w:t>2014:</w:t>
      </w:r>
      <w:r>
        <w:rPr>
          <w:spacing w:val="-4"/>
        </w:rPr>
        <w:t> </w:t>
      </w:r>
      <w:r>
        <w:rPr/>
        <w:t>ARC</w:t>
      </w:r>
      <w:r>
        <w:rPr>
          <w:spacing w:val="-4"/>
        </w:rPr>
        <w:t> </w:t>
      </w:r>
      <w:r>
        <w:rPr/>
        <w:t>317;</w:t>
      </w:r>
      <w:r>
        <w:rPr>
          <w:spacing w:val="-2"/>
        </w:rPr>
        <w:t> </w:t>
      </w:r>
      <w:r>
        <w:rPr/>
        <w:t>ARC</w:t>
      </w:r>
      <w:r>
        <w:rPr>
          <w:spacing w:val="-4"/>
        </w:rPr>
        <w:t> </w:t>
      </w:r>
      <w:r>
        <w:rPr/>
        <w:t>304;</w:t>
      </w:r>
      <w:r>
        <w:rPr>
          <w:spacing w:val="-4"/>
        </w:rPr>
        <w:t> </w:t>
      </w:r>
      <w:r>
        <w:rPr/>
        <w:t>ARC</w:t>
      </w:r>
      <w:r>
        <w:rPr>
          <w:spacing w:val="-4"/>
        </w:rPr>
        <w:t> </w:t>
      </w:r>
      <w:r>
        <w:rPr/>
        <w:t>430</w:t>
      </w:r>
      <w:r>
        <w:rPr>
          <w:spacing w:val="-4"/>
        </w:rPr>
        <w:t> </w:t>
      </w:r>
      <w:r>
        <w:rPr/>
        <w:t>–</w:t>
      </w:r>
      <w:r>
        <w:rPr>
          <w:spacing w:val="-1"/>
        </w:rPr>
        <w:t> </w:t>
      </w:r>
      <w:r>
        <w:rPr/>
        <w:t>Arch</w:t>
      </w:r>
      <w:r>
        <w:rPr>
          <w:spacing w:val="-2"/>
        </w:rPr>
        <w:t> </w:t>
      </w:r>
      <w:r>
        <w:rPr/>
        <w:t>Electives</w:t>
      </w:r>
      <w:r>
        <w:rPr>
          <w:spacing w:val="-3"/>
        </w:rPr>
        <w:t> </w:t>
      </w:r>
      <w:r>
        <w:rPr/>
        <w:t>(France</w:t>
      </w:r>
      <w:r>
        <w:rPr>
          <w:spacing w:val="-4"/>
        </w:rPr>
        <w:t> </w:t>
      </w:r>
      <w:r>
        <w:rPr/>
        <w:t>Travel</w:t>
      </w:r>
      <w:r>
        <w:rPr>
          <w:spacing w:val="-3"/>
        </w:rPr>
        <w:t> </w:t>
      </w:r>
      <w:r>
        <w:rPr/>
        <w:t>Prep,</w:t>
      </w:r>
      <w:r>
        <w:rPr>
          <w:spacing w:val="-2"/>
        </w:rPr>
        <w:t> </w:t>
      </w:r>
      <w:r>
        <w:rPr/>
        <w:t>Seaside, Tucker’s Landing)</w:t>
      </w:r>
    </w:p>
    <w:p>
      <w:pPr>
        <w:pStyle w:val="BodyText"/>
        <w:spacing w:line="229" w:lineRule="exact"/>
        <w:ind w:left="1159"/>
      </w:pPr>
      <w:r>
        <w:rPr/>
        <w:t>Summer</w:t>
      </w:r>
      <w:r>
        <w:rPr>
          <w:spacing w:val="-5"/>
        </w:rPr>
        <w:t> </w:t>
      </w:r>
      <w:r>
        <w:rPr/>
        <w:t>2014:</w:t>
      </w:r>
      <w:r>
        <w:rPr>
          <w:spacing w:val="44"/>
        </w:rPr>
        <w:t> </w:t>
      </w:r>
      <w:r>
        <w:rPr/>
        <w:t>ARC</w:t>
      </w:r>
      <w:r>
        <w:rPr>
          <w:spacing w:val="-5"/>
        </w:rPr>
        <w:t> </w:t>
      </w:r>
      <w:r>
        <w:rPr/>
        <w:t>305</w:t>
      </w:r>
      <w:r>
        <w:rPr>
          <w:spacing w:val="-3"/>
        </w:rPr>
        <w:t> </w:t>
      </w:r>
      <w:r>
        <w:rPr/>
        <w:t>–</w:t>
      </w:r>
      <w:r>
        <w:rPr>
          <w:spacing w:val="-4"/>
        </w:rPr>
        <w:t> </w:t>
      </w:r>
      <w:r>
        <w:rPr/>
        <w:t>Urban</w:t>
      </w:r>
      <w:r>
        <w:rPr>
          <w:spacing w:val="-6"/>
        </w:rPr>
        <w:t> </w:t>
      </w:r>
      <w:r>
        <w:rPr/>
        <w:t>Design</w:t>
      </w:r>
      <w:r>
        <w:rPr>
          <w:spacing w:val="-5"/>
        </w:rPr>
        <w:t> </w:t>
      </w:r>
      <w:r>
        <w:rPr/>
        <w:t>Studio;</w:t>
      </w:r>
      <w:r>
        <w:rPr>
          <w:spacing w:val="-4"/>
        </w:rPr>
        <w:t> </w:t>
      </w:r>
      <w:r>
        <w:rPr/>
        <w:t>ARC</w:t>
      </w:r>
      <w:r>
        <w:rPr>
          <w:spacing w:val="-3"/>
        </w:rPr>
        <w:t> </w:t>
      </w:r>
      <w:r>
        <w:rPr/>
        <w:t>306</w:t>
      </w:r>
      <w:r>
        <w:rPr>
          <w:spacing w:val="-4"/>
        </w:rPr>
        <w:t> </w:t>
      </w:r>
      <w:r>
        <w:rPr/>
        <w:t>Int’l</w:t>
      </w:r>
      <w:r>
        <w:rPr>
          <w:spacing w:val="-6"/>
        </w:rPr>
        <w:t> </w:t>
      </w:r>
      <w:r>
        <w:rPr/>
        <w:t>Urban</w:t>
      </w:r>
      <w:r>
        <w:rPr>
          <w:spacing w:val="-4"/>
        </w:rPr>
        <w:t> </w:t>
      </w:r>
      <w:r>
        <w:rPr/>
        <w:t>Design</w:t>
      </w:r>
      <w:r>
        <w:rPr>
          <w:spacing w:val="-4"/>
        </w:rPr>
        <w:t> </w:t>
      </w:r>
      <w:r>
        <w:rPr>
          <w:spacing w:val="-2"/>
        </w:rPr>
        <w:t>Studio</w:t>
      </w:r>
    </w:p>
    <w:p>
      <w:pPr>
        <w:pStyle w:val="BodyText"/>
        <w:spacing w:before="1"/>
      </w:pPr>
    </w:p>
    <w:p>
      <w:pPr>
        <w:spacing w:before="0" w:after="10"/>
        <w:ind w:left="439" w:right="0" w:firstLine="0"/>
        <w:jc w:val="left"/>
        <w:rPr>
          <w:b/>
          <w:sz w:val="20"/>
        </w:rPr>
      </w:pPr>
      <w:r>
        <w:rPr>
          <w:b/>
          <w:spacing w:val="-2"/>
          <w:sz w:val="20"/>
        </w:rPr>
        <w:t>Educational</w:t>
      </w:r>
      <w:r>
        <w:rPr>
          <w:b/>
          <w:spacing w:val="6"/>
          <w:sz w:val="20"/>
        </w:rPr>
        <w:t> </w:t>
      </w:r>
      <w:r>
        <w:rPr>
          <w:b/>
          <w:spacing w:val="-2"/>
          <w:sz w:val="20"/>
        </w:rPr>
        <w:t>Credentials:</w:t>
      </w:r>
    </w:p>
    <w:tbl>
      <w:tblPr>
        <w:tblW w:w="0" w:type="auto"/>
        <w:jc w:val="left"/>
        <w:tblInd w:w="1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11"/>
        <w:gridCol w:w="7337"/>
      </w:tblGrid>
      <w:tr>
        <w:trPr>
          <w:trHeight w:val="244" w:hRule="atLeast"/>
        </w:trPr>
        <w:tc>
          <w:tcPr>
            <w:tcW w:w="811" w:type="dxa"/>
          </w:tcPr>
          <w:p>
            <w:pPr>
              <w:pStyle w:val="TableParagraph"/>
              <w:spacing w:line="223" w:lineRule="exact"/>
              <w:ind w:left="50"/>
              <w:rPr>
                <w:sz w:val="20"/>
              </w:rPr>
            </w:pPr>
            <w:r>
              <w:rPr>
                <w:spacing w:val="-4"/>
                <w:sz w:val="20"/>
              </w:rPr>
              <w:t>1982</w:t>
            </w:r>
          </w:p>
        </w:tc>
        <w:tc>
          <w:tcPr>
            <w:tcW w:w="7337" w:type="dxa"/>
          </w:tcPr>
          <w:p>
            <w:pPr>
              <w:pStyle w:val="TableParagraph"/>
              <w:spacing w:line="223" w:lineRule="exact"/>
              <w:ind w:left="319"/>
              <w:rPr>
                <w:sz w:val="20"/>
              </w:rPr>
            </w:pPr>
            <w:r>
              <w:rPr>
                <w:sz w:val="20"/>
              </w:rPr>
              <w:t>Master’s</w:t>
            </w:r>
            <w:r>
              <w:rPr>
                <w:spacing w:val="-10"/>
                <w:sz w:val="20"/>
              </w:rPr>
              <w:t> </w:t>
            </w:r>
            <w:r>
              <w:rPr>
                <w:sz w:val="20"/>
              </w:rPr>
              <w:t>of</w:t>
            </w:r>
            <w:r>
              <w:rPr>
                <w:spacing w:val="-8"/>
                <w:sz w:val="20"/>
              </w:rPr>
              <w:t> </w:t>
            </w:r>
            <w:r>
              <w:rPr>
                <w:sz w:val="20"/>
              </w:rPr>
              <w:t>Architecture,</w:t>
            </w:r>
            <w:r>
              <w:rPr>
                <w:spacing w:val="-10"/>
                <w:sz w:val="20"/>
              </w:rPr>
              <w:t> </w:t>
            </w:r>
            <w:r>
              <w:rPr>
                <w:sz w:val="20"/>
              </w:rPr>
              <w:t>Princeton</w:t>
            </w:r>
            <w:r>
              <w:rPr>
                <w:spacing w:val="-9"/>
                <w:sz w:val="20"/>
              </w:rPr>
              <w:t> </w:t>
            </w:r>
            <w:r>
              <w:rPr>
                <w:spacing w:val="-2"/>
                <w:sz w:val="20"/>
              </w:rPr>
              <w:t>University</w:t>
            </w:r>
          </w:p>
        </w:tc>
      </w:tr>
      <w:tr>
        <w:trPr>
          <w:trHeight w:val="265" w:hRule="atLeast"/>
        </w:trPr>
        <w:tc>
          <w:tcPr>
            <w:tcW w:w="811" w:type="dxa"/>
          </w:tcPr>
          <w:p>
            <w:pPr>
              <w:pStyle w:val="TableParagraph"/>
              <w:spacing w:before="14"/>
              <w:ind w:left="50"/>
              <w:rPr>
                <w:sz w:val="20"/>
              </w:rPr>
            </w:pPr>
            <w:r>
              <w:rPr>
                <w:spacing w:val="-4"/>
                <w:sz w:val="20"/>
              </w:rPr>
              <w:t>1980</w:t>
            </w:r>
          </w:p>
        </w:tc>
        <w:tc>
          <w:tcPr>
            <w:tcW w:w="7337" w:type="dxa"/>
          </w:tcPr>
          <w:p>
            <w:pPr>
              <w:pStyle w:val="TableParagraph"/>
              <w:spacing w:before="14"/>
              <w:ind w:left="319"/>
              <w:rPr>
                <w:sz w:val="20"/>
              </w:rPr>
            </w:pPr>
            <w:r>
              <w:rPr>
                <w:sz w:val="20"/>
              </w:rPr>
              <w:t>Howard</w:t>
            </w:r>
            <w:r>
              <w:rPr>
                <w:spacing w:val="-5"/>
                <w:sz w:val="20"/>
              </w:rPr>
              <w:t> </w:t>
            </w:r>
            <w:r>
              <w:rPr>
                <w:sz w:val="20"/>
              </w:rPr>
              <w:t>Crosby</w:t>
            </w:r>
            <w:r>
              <w:rPr>
                <w:spacing w:val="-8"/>
                <w:sz w:val="20"/>
              </w:rPr>
              <w:t> </w:t>
            </w:r>
            <w:r>
              <w:rPr>
                <w:sz w:val="20"/>
              </w:rPr>
              <w:t>Butler</w:t>
            </w:r>
            <w:r>
              <w:rPr>
                <w:spacing w:val="-5"/>
                <w:sz w:val="20"/>
              </w:rPr>
              <w:t> </w:t>
            </w:r>
            <w:r>
              <w:rPr>
                <w:sz w:val="20"/>
              </w:rPr>
              <w:t>Fellowship</w:t>
            </w:r>
            <w:r>
              <w:rPr>
                <w:spacing w:val="-7"/>
                <w:sz w:val="20"/>
              </w:rPr>
              <w:t> </w:t>
            </w:r>
            <w:r>
              <w:rPr>
                <w:sz w:val="20"/>
              </w:rPr>
              <w:t>for</w:t>
            </w:r>
            <w:r>
              <w:rPr>
                <w:spacing w:val="-5"/>
                <w:sz w:val="20"/>
              </w:rPr>
              <w:t> </w:t>
            </w:r>
            <w:r>
              <w:rPr>
                <w:sz w:val="20"/>
              </w:rPr>
              <w:t>Travel</w:t>
            </w:r>
            <w:r>
              <w:rPr>
                <w:spacing w:val="-5"/>
                <w:sz w:val="20"/>
              </w:rPr>
              <w:t> </w:t>
            </w:r>
            <w:r>
              <w:rPr>
                <w:sz w:val="20"/>
              </w:rPr>
              <w:t>and</w:t>
            </w:r>
            <w:r>
              <w:rPr>
                <w:spacing w:val="-4"/>
                <w:sz w:val="20"/>
              </w:rPr>
              <w:t> </w:t>
            </w:r>
            <w:r>
              <w:rPr>
                <w:sz w:val="20"/>
              </w:rPr>
              <w:t>Study</w:t>
            </w:r>
            <w:r>
              <w:rPr>
                <w:spacing w:val="-8"/>
                <w:sz w:val="20"/>
              </w:rPr>
              <w:t> </w:t>
            </w:r>
            <w:r>
              <w:rPr>
                <w:spacing w:val="-2"/>
                <w:sz w:val="20"/>
              </w:rPr>
              <w:t>Abroad</w:t>
            </w:r>
          </w:p>
        </w:tc>
      </w:tr>
      <w:tr>
        <w:trPr>
          <w:trHeight w:val="243" w:hRule="atLeast"/>
        </w:trPr>
        <w:tc>
          <w:tcPr>
            <w:tcW w:w="811" w:type="dxa"/>
          </w:tcPr>
          <w:p>
            <w:pPr>
              <w:pStyle w:val="TableParagraph"/>
              <w:spacing w:line="210" w:lineRule="exact" w:before="13"/>
              <w:ind w:left="50"/>
              <w:rPr>
                <w:sz w:val="20"/>
              </w:rPr>
            </w:pPr>
            <w:r>
              <w:rPr>
                <w:spacing w:val="-4"/>
                <w:sz w:val="20"/>
              </w:rPr>
              <w:t>1976</w:t>
            </w:r>
          </w:p>
        </w:tc>
        <w:tc>
          <w:tcPr>
            <w:tcW w:w="7337" w:type="dxa"/>
          </w:tcPr>
          <w:p>
            <w:pPr>
              <w:pStyle w:val="TableParagraph"/>
              <w:spacing w:line="210" w:lineRule="exact" w:before="13"/>
              <w:ind w:left="319"/>
              <w:rPr>
                <w:sz w:val="20"/>
              </w:rPr>
            </w:pPr>
            <w:r>
              <w:rPr>
                <w:sz w:val="20"/>
              </w:rPr>
              <w:t>Bachelor</w:t>
            </w:r>
            <w:r>
              <w:rPr>
                <w:spacing w:val="-7"/>
                <w:sz w:val="20"/>
              </w:rPr>
              <w:t> </w:t>
            </w:r>
            <w:r>
              <w:rPr>
                <w:sz w:val="20"/>
              </w:rPr>
              <w:t>of</w:t>
            </w:r>
            <w:r>
              <w:rPr>
                <w:spacing w:val="-6"/>
                <w:sz w:val="20"/>
              </w:rPr>
              <w:t> </w:t>
            </w:r>
            <w:r>
              <w:rPr>
                <w:sz w:val="20"/>
              </w:rPr>
              <w:t>Arts</w:t>
            </w:r>
            <w:r>
              <w:rPr>
                <w:spacing w:val="-7"/>
                <w:sz w:val="20"/>
              </w:rPr>
              <w:t> </w:t>
            </w:r>
            <w:r>
              <w:rPr>
                <w:sz w:val="20"/>
              </w:rPr>
              <w:t>(English</w:t>
            </w:r>
            <w:r>
              <w:rPr>
                <w:spacing w:val="-6"/>
                <w:sz w:val="20"/>
              </w:rPr>
              <w:t> </w:t>
            </w:r>
            <w:r>
              <w:rPr>
                <w:sz w:val="20"/>
              </w:rPr>
              <w:t>Language</w:t>
            </w:r>
            <w:r>
              <w:rPr>
                <w:spacing w:val="-6"/>
                <w:sz w:val="20"/>
              </w:rPr>
              <w:t> </w:t>
            </w:r>
            <w:r>
              <w:rPr>
                <w:sz w:val="20"/>
              </w:rPr>
              <w:t>&amp;</w:t>
            </w:r>
            <w:r>
              <w:rPr>
                <w:spacing w:val="-6"/>
                <w:sz w:val="20"/>
              </w:rPr>
              <w:t> </w:t>
            </w:r>
            <w:r>
              <w:rPr>
                <w:sz w:val="20"/>
              </w:rPr>
              <w:t>Literature;</w:t>
            </w:r>
            <w:r>
              <w:rPr>
                <w:spacing w:val="-8"/>
                <w:sz w:val="20"/>
              </w:rPr>
              <w:t> </w:t>
            </w:r>
            <w:r>
              <w:rPr>
                <w:sz w:val="20"/>
              </w:rPr>
              <w:t>History),</w:t>
            </w:r>
            <w:r>
              <w:rPr>
                <w:spacing w:val="-5"/>
                <w:sz w:val="20"/>
              </w:rPr>
              <w:t> </w:t>
            </w:r>
            <w:r>
              <w:rPr>
                <w:sz w:val="20"/>
              </w:rPr>
              <w:t>University</w:t>
            </w:r>
            <w:r>
              <w:rPr>
                <w:spacing w:val="-9"/>
                <w:sz w:val="20"/>
              </w:rPr>
              <w:t> </w:t>
            </w:r>
            <w:r>
              <w:rPr>
                <w:sz w:val="20"/>
              </w:rPr>
              <w:t>of</w:t>
            </w:r>
            <w:r>
              <w:rPr>
                <w:spacing w:val="-6"/>
                <w:sz w:val="20"/>
              </w:rPr>
              <w:t> </w:t>
            </w:r>
            <w:r>
              <w:rPr>
                <w:spacing w:val="-2"/>
                <w:sz w:val="20"/>
              </w:rPr>
              <w:t>Virginia</w:t>
            </w:r>
          </w:p>
        </w:tc>
      </w:tr>
    </w:tbl>
    <w:p>
      <w:pPr>
        <w:pStyle w:val="BodyText"/>
        <w:spacing w:before="1"/>
        <w:rPr>
          <w:b/>
        </w:rPr>
      </w:pPr>
    </w:p>
    <w:p>
      <w:pPr>
        <w:spacing w:before="0"/>
        <w:ind w:left="439" w:right="0" w:firstLine="0"/>
        <w:jc w:val="left"/>
        <w:rPr>
          <w:b/>
          <w:sz w:val="20"/>
        </w:rPr>
      </w:pPr>
      <w:r>
        <w:rPr>
          <w:b/>
          <w:sz w:val="20"/>
        </w:rPr>
        <w:t>Teaching</w:t>
      </w:r>
      <w:r>
        <w:rPr>
          <w:b/>
          <w:spacing w:val="-10"/>
          <w:sz w:val="20"/>
        </w:rPr>
        <w:t> </w:t>
      </w:r>
      <w:r>
        <w:rPr>
          <w:b/>
          <w:spacing w:val="-2"/>
          <w:sz w:val="20"/>
        </w:rPr>
        <w:t>Experience</w:t>
      </w:r>
    </w:p>
    <w:p>
      <w:pPr>
        <w:pStyle w:val="BodyText"/>
        <w:tabs>
          <w:tab w:pos="2599" w:val="left" w:leader="none"/>
        </w:tabs>
        <w:spacing w:before="3"/>
        <w:ind w:left="1159"/>
      </w:pPr>
      <w:r>
        <w:rPr>
          <w:w w:val="95"/>
        </w:rPr>
        <w:t>2009-</w:t>
      </w:r>
      <w:r>
        <w:rPr>
          <w:spacing w:val="-2"/>
        </w:rPr>
        <w:t>present</w:t>
      </w:r>
      <w:r>
        <w:rPr/>
        <w:tab/>
        <w:t>Hampton</w:t>
      </w:r>
      <w:r>
        <w:rPr>
          <w:spacing w:val="-10"/>
        </w:rPr>
        <w:t> </w:t>
      </w:r>
      <w:r>
        <w:rPr>
          <w:spacing w:val="-2"/>
        </w:rPr>
        <w:t>University</w:t>
      </w:r>
    </w:p>
    <w:p>
      <w:pPr>
        <w:pStyle w:val="BodyText"/>
        <w:spacing w:before="1"/>
      </w:pPr>
    </w:p>
    <w:p>
      <w:pPr>
        <w:spacing w:before="0"/>
        <w:ind w:left="439" w:right="0" w:firstLine="0"/>
        <w:jc w:val="left"/>
        <w:rPr>
          <w:b/>
          <w:sz w:val="20"/>
        </w:rPr>
      </w:pPr>
      <w:r>
        <w:rPr>
          <w:b/>
          <w:spacing w:val="-2"/>
          <w:sz w:val="20"/>
        </w:rPr>
        <w:t>Professional</w:t>
      </w:r>
      <w:r>
        <w:rPr>
          <w:b/>
          <w:spacing w:val="7"/>
          <w:sz w:val="20"/>
        </w:rPr>
        <w:t> </w:t>
      </w:r>
      <w:r>
        <w:rPr>
          <w:b/>
          <w:spacing w:val="-2"/>
          <w:sz w:val="20"/>
        </w:rPr>
        <w:t>Experience</w:t>
      </w:r>
    </w:p>
    <w:p>
      <w:pPr>
        <w:pStyle w:val="BodyText"/>
        <w:tabs>
          <w:tab w:pos="2599" w:val="left" w:leader="none"/>
        </w:tabs>
        <w:spacing w:line="276" w:lineRule="auto" w:before="5"/>
        <w:ind w:left="1159" w:right="3297"/>
      </w:pPr>
      <w:r>
        <w:rPr/>
        <w:t>1990-2009</w:t>
      </w:r>
      <w:r>
        <w:rPr>
          <w:spacing w:val="40"/>
        </w:rPr>
        <w:t> </w:t>
      </w:r>
      <w:r>
        <w:rPr/>
        <w:t>Archipelago,</w:t>
      </w:r>
      <w:r>
        <w:rPr>
          <w:spacing w:val="-5"/>
        </w:rPr>
        <w:t> </w:t>
      </w:r>
      <w:r>
        <w:rPr/>
        <w:t>Virginia,</w:t>
      </w:r>
      <w:r>
        <w:rPr>
          <w:spacing w:val="-7"/>
        </w:rPr>
        <w:t> </w:t>
      </w:r>
      <w:r>
        <w:rPr/>
        <w:t>Solo</w:t>
      </w:r>
      <w:r>
        <w:rPr>
          <w:spacing w:val="-2"/>
        </w:rPr>
        <w:t> </w:t>
      </w:r>
      <w:r>
        <w:rPr/>
        <w:t>general</w:t>
      </w:r>
      <w:r>
        <w:rPr>
          <w:spacing w:val="-6"/>
        </w:rPr>
        <w:t> </w:t>
      </w:r>
      <w:r>
        <w:rPr/>
        <w:t>design</w:t>
      </w:r>
      <w:r>
        <w:rPr>
          <w:spacing w:val="-7"/>
        </w:rPr>
        <w:t> </w:t>
      </w:r>
      <w:r>
        <w:rPr/>
        <w:t>consultancy. </w:t>
      </w:r>
      <w:r>
        <w:rPr>
          <w:spacing w:val="-2"/>
        </w:rPr>
        <w:t>1989-present</w:t>
      </w:r>
      <w:r>
        <w:rPr/>
        <w:tab/>
        <w:t>Sweetwater Corporation, President</w:t>
      </w:r>
    </w:p>
    <w:p>
      <w:pPr>
        <w:pStyle w:val="BodyText"/>
        <w:spacing w:line="276" w:lineRule="auto"/>
        <w:ind w:left="1159" w:right="642"/>
      </w:pPr>
      <w:r>
        <w:rPr/>
        <w:t>2004-2007</w:t>
      </w:r>
      <w:r>
        <w:rPr>
          <w:spacing w:val="40"/>
        </w:rPr>
        <w:t> </w:t>
      </w:r>
      <w:r>
        <w:rPr/>
        <w:t>Burkhart</w:t>
      </w:r>
      <w:r>
        <w:rPr>
          <w:spacing w:val="-6"/>
        </w:rPr>
        <w:t> </w:t>
      </w:r>
      <w:r>
        <w:rPr/>
        <w:t>Thomas</w:t>
      </w:r>
      <w:r>
        <w:rPr>
          <w:spacing w:val="-5"/>
        </w:rPr>
        <w:t> </w:t>
      </w:r>
      <w:r>
        <w:rPr/>
        <w:t>Reed,</w:t>
      </w:r>
      <w:r>
        <w:rPr>
          <w:spacing w:val="-6"/>
        </w:rPr>
        <w:t> </w:t>
      </w:r>
      <w:r>
        <w:rPr/>
        <w:t>Professional</w:t>
      </w:r>
      <w:r>
        <w:rPr>
          <w:spacing w:val="-5"/>
        </w:rPr>
        <w:t> </w:t>
      </w:r>
      <w:r>
        <w:rPr/>
        <w:t>association</w:t>
      </w:r>
      <w:r>
        <w:rPr>
          <w:spacing w:val="-2"/>
        </w:rPr>
        <w:t> </w:t>
      </w:r>
      <w:r>
        <w:rPr/>
        <w:t>with</w:t>
      </w:r>
      <w:r>
        <w:rPr>
          <w:spacing w:val="-4"/>
        </w:rPr>
        <w:t> </w:t>
      </w:r>
      <w:r>
        <w:rPr/>
        <w:t>Archipelago.</w:t>
      </w:r>
      <w:r>
        <w:rPr>
          <w:spacing w:val="-4"/>
        </w:rPr>
        <w:t> </w:t>
      </w:r>
      <w:r>
        <w:rPr/>
        <w:t>Business development, Norfolk, VA</w:t>
      </w:r>
    </w:p>
    <w:p>
      <w:pPr>
        <w:pStyle w:val="BodyText"/>
        <w:spacing w:line="229" w:lineRule="exact"/>
        <w:ind w:left="1159"/>
      </w:pPr>
      <w:r>
        <w:rPr/>
        <w:t>1988-2006</w:t>
      </w:r>
      <w:r>
        <w:rPr>
          <w:spacing w:val="48"/>
        </w:rPr>
        <w:t> </w:t>
      </w:r>
      <w:r>
        <w:rPr/>
        <w:t>Sturgeon</w:t>
      </w:r>
      <w:r>
        <w:rPr>
          <w:spacing w:val="-8"/>
        </w:rPr>
        <w:t> </w:t>
      </w:r>
      <w:r>
        <w:rPr/>
        <w:t>Creek</w:t>
      </w:r>
      <w:r>
        <w:rPr>
          <w:spacing w:val="-6"/>
        </w:rPr>
        <w:t> </w:t>
      </w:r>
      <w:r>
        <w:rPr/>
        <w:t>Development</w:t>
      </w:r>
      <w:r>
        <w:rPr>
          <w:spacing w:val="-10"/>
        </w:rPr>
        <w:t> </w:t>
      </w:r>
      <w:r>
        <w:rPr/>
        <w:t>Corporation,</w:t>
      </w:r>
      <w:r>
        <w:rPr>
          <w:spacing w:val="-9"/>
        </w:rPr>
        <w:t> </w:t>
      </w:r>
      <w:r>
        <w:rPr>
          <w:spacing w:val="-2"/>
        </w:rPr>
        <w:t>President.</w:t>
      </w:r>
    </w:p>
    <w:p>
      <w:pPr>
        <w:pStyle w:val="BodyText"/>
        <w:spacing w:line="276" w:lineRule="auto" w:before="36"/>
        <w:ind w:left="1159" w:right="1119"/>
      </w:pPr>
      <w:r>
        <w:rPr/>
        <w:t>1983-1990</w:t>
      </w:r>
      <w:r>
        <w:rPr>
          <w:spacing w:val="40"/>
        </w:rPr>
        <w:t> </w:t>
      </w:r>
      <w:r>
        <w:rPr/>
        <w:t>Archipelago,</w:t>
      </w:r>
      <w:r>
        <w:rPr>
          <w:spacing w:val="-3"/>
        </w:rPr>
        <w:t> </w:t>
      </w:r>
      <w:r>
        <w:rPr/>
        <w:t>New</w:t>
      </w:r>
      <w:r>
        <w:rPr>
          <w:spacing w:val="-4"/>
        </w:rPr>
        <w:t> </w:t>
      </w:r>
      <w:r>
        <w:rPr/>
        <w:t>York,</w:t>
      </w:r>
      <w:r>
        <w:rPr>
          <w:spacing w:val="-4"/>
        </w:rPr>
        <w:t> </w:t>
      </w:r>
      <w:r>
        <w:rPr/>
        <w:t>NY,</w:t>
      </w:r>
      <w:r>
        <w:rPr>
          <w:spacing w:val="-4"/>
        </w:rPr>
        <w:t> </w:t>
      </w:r>
      <w:r>
        <w:rPr/>
        <w:t>Founding</w:t>
      </w:r>
      <w:r>
        <w:rPr>
          <w:spacing w:val="-4"/>
        </w:rPr>
        <w:t> </w:t>
      </w:r>
      <w:r>
        <w:rPr/>
        <w:t>partner,</w:t>
      </w:r>
      <w:r>
        <w:rPr>
          <w:spacing w:val="-3"/>
        </w:rPr>
        <w:t> </w:t>
      </w:r>
      <w:r>
        <w:rPr/>
        <w:t>architectural</w:t>
      </w:r>
      <w:r>
        <w:rPr>
          <w:spacing w:val="-3"/>
        </w:rPr>
        <w:t> </w:t>
      </w:r>
      <w:r>
        <w:rPr/>
        <w:t>and</w:t>
      </w:r>
      <w:r>
        <w:rPr>
          <w:spacing w:val="-3"/>
        </w:rPr>
        <w:t> </w:t>
      </w:r>
      <w:r>
        <w:rPr/>
        <w:t>int.</w:t>
      </w:r>
      <w:r>
        <w:rPr>
          <w:spacing w:val="-4"/>
        </w:rPr>
        <w:t> </w:t>
      </w:r>
      <w:r>
        <w:rPr/>
        <w:t>design</w:t>
      </w:r>
      <w:r>
        <w:rPr>
          <w:spacing w:val="-3"/>
        </w:rPr>
        <w:t> </w:t>
      </w:r>
      <w:r>
        <w:rPr/>
        <w:t>firm. 1982-1984</w:t>
      </w:r>
      <w:r>
        <w:rPr>
          <w:spacing w:val="40"/>
        </w:rPr>
        <w:t> </w:t>
      </w:r>
      <w:r>
        <w:rPr/>
        <w:t>John Carl Warneke, Architects and Planners, New York, NY,</w:t>
      </w:r>
    </w:p>
    <w:p>
      <w:pPr>
        <w:spacing w:before="195"/>
        <w:ind w:left="439" w:right="0" w:firstLine="0"/>
        <w:jc w:val="left"/>
        <w:rPr>
          <w:sz w:val="20"/>
        </w:rPr>
      </w:pPr>
      <w:r>
        <w:rPr>
          <w:b/>
          <w:sz w:val="20"/>
        </w:rPr>
        <w:t>Licenses</w:t>
      </w:r>
      <w:r>
        <w:rPr>
          <w:b/>
          <w:spacing w:val="-10"/>
          <w:sz w:val="20"/>
        </w:rPr>
        <w:t> </w:t>
      </w:r>
      <w:r>
        <w:rPr>
          <w:b/>
          <w:sz w:val="20"/>
        </w:rPr>
        <w:t>/</w:t>
      </w:r>
      <w:r>
        <w:rPr>
          <w:b/>
          <w:spacing w:val="-9"/>
          <w:sz w:val="20"/>
        </w:rPr>
        <w:t> </w:t>
      </w:r>
      <w:r>
        <w:rPr>
          <w:b/>
          <w:sz w:val="20"/>
        </w:rPr>
        <w:t>Registrations:</w:t>
      </w:r>
      <w:r>
        <w:rPr>
          <w:b/>
          <w:spacing w:val="-6"/>
          <w:sz w:val="20"/>
        </w:rPr>
        <w:t> </w:t>
      </w:r>
      <w:r>
        <w:rPr>
          <w:sz w:val="20"/>
        </w:rPr>
        <w:t>None</w:t>
      </w:r>
      <w:r>
        <w:rPr>
          <w:spacing w:val="-8"/>
          <w:sz w:val="20"/>
        </w:rPr>
        <w:t> </w:t>
      </w:r>
      <w:r>
        <w:rPr>
          <w:spacing w:val="-2"/>
          <w:sz w:val="20"/>
        </w:rPr>
        <w:t>active</w:t>
      </w:r>
    </w:p>
    <w:p>
      <w:pPr>
        <w:pStyle w:val="BodyText"/>
        <w:spacing w:before="4"/>
        <w:rPr>
          <w:sz w:val="17"/>
        </w:rPr>
      </w:pPr>
    </w:p>
    <w:p>
      <w:pPr>
        <w:spacing w:before="1"/>
        <w:ind w:left="439" w:right="0" w:firstLine="0"/>
        <w:jc w:val="left"/>
        <w:rPr>
          <w:b/>
          <w:sz w:val="20"/>
        </w:rPr>
      </w:pPr>
      <w:r>
        <w:rPr>
          <w:b/>
          <w:spacing w:val="-2"/>
          <w:sz w:val="20"/>
        </w:rPr>
        <w:t>Professional</w:t>
      </w:r>
      <w:r>
        <w:rPr>
          <w:b/>
          <w:spacing w:val="5"/>
          <w:sz w:val="20"/>
        </w:rPr>
        <w:t> </w:t>
      </w:r>
      <w:r>
        <w:rPr>
          <w:b/>
          <w:spacing w:val="-2"/>
          <w:sz w:val="20"/>
        </w:rPr>
        <w:t>Memberships:</w:t>
      </w:r>
    </w:p>
    <w:p>
      <w:pPr>
        <w:pStyle w:val="BodyText"/>
        <w:spacing w:before="3"/>
        <w:ind w:left="1158"/>
      </w:pPr>
      <w:r>
        <w:rPr/>
        <w:t>Chair,</w:t>
      </w:r>
      <w:r>
        <w:rPr>
          <w:spacing w:val="-5"/>
        </w:rPr>
        <w:t> </w:t>
      </w:r>
      <w:r>
        <w:rPr/>
        <w:t>City</w:t>
      </w:r>
      <w:r>
        <w:rPr>
          <w:spacing w:val="-10"/>
        </w:rPr>
        <w:t> </w:t>
      </w:r>
      <w:r>
        <w:rPr/>
        <w:t>of</w:t>
      </w:r>
      <w:r>
        <w:rPr>
          <w:spacing w:val="-5"/>
        </w:rPr>
        <w:t> </w:t>
      </w:r>
      <w:r>
        <w:rPr/>
        <w:t>Norfolk’s</w:t>
      </w:r>
      <w:r>
        <w:rPr>
          <w:spacing w:val="-5"/>
        </w:rPr>
        <w:t> </w:t>
      </w:r>
      <w:r>
        <w:rPr/>
        <w:t>Design</w:t>
      </w:r>
      <w:r>
        <w:rPr>
          <w:spacing w:val="-7"/>
        </w:rPr>
        <w:t> </w:t>
      </w:r>
      <w:r>
        <w:rPr/>
        <w:t>Review</w:t>
      </w:r>
      <w:r>
        <w:rPr>
          <w:spacing w:val="-9"/>
        </w:rPr>
        <w:t> </w:t>
      </w:r>
      <w:r>
        <w:rPr/>
        <w:t>Committee;</w:t>
      </w:r>
      <w:r>
        <w:rPr>
          <w:spacing w:val="-6"/>
        </w:rPr>
        <w:t> </w:t>
      </w:r>
      <w:r>
        <w:rPr/>
        <w:t>Member</w:t>
      </w:r>
      <w:r>
        <w:rPr>
          <w:spacing w:val="-6"/>
        </w:rPr>
        <w:t> </w:t>
      </w:r>
      <w:r>
        <w:rPr/>
        <w:t>since</w:t>
      </w:r>
      <w:r>
        <w:rPr>
          <w:spacing w:val="-7"/>
        </w:rPr>
        <w:t> </w:t>
      </w:r>
      <w:r>
        <w:rPr>
          <w:spacing w:val="-4"/>
        </w:rPr>
        <w:t>2003</w:t>
      </w:r>
    </w:p>
    <w:p>
      <w:pPr>
        <w:pStyle w:val="BodyText"/>
        <w:spacing w:line="278" w:lineRule="auto" w:before="33"/>
        <w:ind w:left="1158" w:right="642"/>
      </w:pPr>
      <w:r>
        <w:rPr/>
        <w:t>Chair,</w:t>
      </w:r>
      <w:r>
        <w:rPr>
          <w:spacing w:val="-3"/>
        </w:rPr>
        <w:t> </w:t>
      </w:r>
      <w:r>
        <w:rPr/>
        <w:t>Hampton</w:t>
      </w:r>
      <w:r>
        <w:rPr>
          <w:spacing w:val="-5"/>
        </w:rPr>
        <w:t> </w:t>
      </w:r>
      <w:r>
        <w:rPr/>
        <w:t>Roads</w:t>
      </w:r>
      <w:r>
        <w:rPr>
          <w:spacing w:val="-4"/>
        </w:rPr>
        <w:t> </w:t>
      </w:r>
      <w:r>
        <w:rPr/>
        <w:t>Chamber</w:t>
      </w:r>
      <w:r>
        <w:rPr>
          <w:spacing w:val="-4"/>
        </w:rPr>
        <w:t> </w:t>
      </w:r>
      <w:r>
        <w:rPr/>
        <w:t>of</w:t>
      </w:r>
      <w:r>
        <w:rPr>
          <w:spacing w:val="-3"/>
        </w:rPr>
        <w:t> </w:t>
      </w:r>
      <w:r>
        <w:rPr/>
        <w:t>Commerce,</w:t>
      </w:r>
      <w:r>
        <w:rPr>
          <w:spacing w:val="-5"/>
        </w:rPr>
        <w:t> </w:t>
      </w:r>
      <w:r>
        <w:rPr/>
        <w:t>Norfolk</w:t>
      </w:r>
      <w:r>
        <w:rPr>
          <w:spacing w:val="-1"/>
        </w:rPr>
        <w:t> </w:t>
      </w:r>
      <w:r>
        <w:rPr/>
        <w:t>Division,</w:t>
      </w:r>
      <w:r>
        <w:rPr>
          <w:spacing w:val="-3"/>
        </w:rPr>
        <w:t> </w:t>
      </w:r>
      <w:r>
        <w:rPr/>
        <w:t>Board</w:t>
      </w:r>
      <w:r>
        <w:rPr>
          <w:spacing w:val="-5"/>
        </w:rPr>
        <w:t> </w:t>
      </w:r>
      <w:r>
        <w:rPr/>
        <w:t>member</w:t>
      </w:r>
      <w:r>
        <w:rPr>
          <w:spacing w:val="-4"/>
        </w:rPr>
        <w:t> </w:t>
      </w:r>
      <w:r>
        <w:rPr/>
        <w:t>since</w:t>
      </w:r>
      <w:r>
        <w:rPr>
          <w:spacing w:val="-4"/>
        </w:rPr>
        <w:t> </w:t>
      </w:r>
      <w:r>
        <w:rPr/>
        <w:t>2004 Director, United Way Foundation, Five Points Community Farm Market,</w:t>
      </w:r>
    </w:p>
    <w:p>
      <w:pPr>
        <w:pStyle w:val="BodyText"/>
        <w:spacing w:line="227" w:lineRule="exact"/>
        <w:ind w:left="1158"/>
      </w:pPr>
      <w:r>
        <w:rPr/>
        <w:t>Marilyn</w:t>
      </w:r>
      <w:r>
        <w:rPr>
          <w:spacing w:val="-6"/>
        </w:rPr>
        <w:t> </w:t>
      </w:r>
      <w:r>
        <w:rPr/>
        <w:t>and</w:t>
      </w:r>
      <w:r>
        <w:rPr>
          <w:spacing w:val="-6"/>
        </w:rPr>
        <w:t> </w:t>
      </w:r>
      <w:r>
        <w:rPr/>
        <w:t>Ray</w:t>
      </w:r>
      <w:r>
        <w:rPr>
          <w:spacing w:val="-10"/>
        </w:rPr>
        <w:t> </w:t>
      </w:r>
      <w:r>
        <w:rPr/>
        <w:t>Gindroz</w:t>
      </w:r>
      <w:r>
        <w:rPr>
          <w:spacing w:val="-8"/>
        </w:rPr>
        <w:t> </w:t>
      </w:r>
      <w:r>
        <w:rPr/>
        <w:t>Foundation,</w:t>
      </w:r>
      <w:r>
        <w:rPr>
          <w:spacing w:val="-7"/>
        </w:rPr>
        <w:t> </w:t>
      </w:r>
      <w:r>
        <w:rPr/>
        <w:t>current</w:t>
      </w:r>
      <w:r>
        <w:rPr>
          <w:spacing w:val="-5"/>
        </w:rPr>
        <w:t> </w:t>
      </w:r>
      <w:r>
        <w:rPr>
          <w:spacing w:val="-2"/>
        </w:rPr>
        <w:t>President,</w:t>
      </w:r>
    </w:p>
    <w:p>
      <w:pPr>
        <w:pStyle w:val="BodyText"/>
        <w:spacing w:before="1"/>
      </w:pPr>
    </w:p>
    <w:p>
      <w:pPr>
        <w:spacing w:before="0"/>
        <w:ind w:left="438" w:right="0" w:firstLine="0"/>
        <w:jc w:val="left"/>
        <w:rPr>
          <w:b/>
          <w:sz w:val="20"/>
        </w:rPr>
      </w:pPr>
      <w:r>
        <w:rPr>
          <w:b/>
          <w:sz w:val="20"/>
        </w:rPr>
        <w:t>Professional</w:t>
      </w:r>
      <w:r>
        <w:rPr>
          <w:b/>
          <w:spacing w:val="-10"/>
          <w:sz w:val="20"/>
        </w:rPr>
        <w:t> </w:t>
      </w:r>
      <w:r>
        <w:rPr>
          <w:b/>
          <w:sz w:val="20"/>
        </w:rPr>
        <w:t>Development</w:t>
      </w:r>
      <w:r>
        <w:rPr>
          <w:b/>
          <w:spacing w:val="-11"/>
          <w:sz w:val="20"/>
        </w:rPr>
        <w:t> </w:t>
      </w:r>
      <w:r>
        <w:rPr>
          <w:b/>
          <w:sz w:val="20"/>
        </w:rPr>
        <w:t>&amp;</w:t>
      </w:r>
      <w:r>
        <w:rPr>
          <w:b/>
          <w:spacing w:val="-11"/>
          <w:sz w:val="20"/>
        </w:rPr>
        <w:t> </w:t>
      </w:r>
      <w:r>
        <w:rPr>
          <w:b/>
          <w:sz w:val="20"/>
        </w:rPr>
        <w:t>Research</w:t>
      </w:r>
      <w:r>
        <w:rPr>
          <w:b/>
          <w:spacing w:val="-11"/>
          <w:sz w:val="20"/>
        </w:rPr>
        <w:t> </w:t>
      </w:r>
      <w:r>
        <w:rPr>
          <w:b/>
          <w:sz w:val="20"/>
        </w:rPr>
        <w:t>Publications,</w:t>
      </w:r>
      <w:r>
        <w:rPr>
          <w:b/>
          <w:spacing w:val="-11"/>
          <w:sz w:val="20"/>
        </w:rPr>
        <w:t> </w:t>
      </w:r>
      <w:r>
        <w:rPr>
          <w:b/>
          <w:spacing w:val="-2"/>
          <w:sz w:val="20"/>
        </w:rPr>
        <w:t>selected</w:t>
      </w:r>
    </w:p>
    <w:p>
      <w:pPr>
        <w:spacing w:line="278" w:lineRule="auto" w:before="1"/>
        <w:ind w:left="1158" w:right="642" w:hanging="1"/>
        <w:jc w:val="left"/>
        <w:rPr>
          <w:sz w:val="20"/>
        </w:rPr>
      </w:pPr>
      <w:r>
        <w:rPr>
          <w:sz w:val="20"/>
        </w:rPr>
        <w:t>Steinfeld,</w:t>
      </w:r>
      <w:r>
        <w:rPr>
          <w:spacing w:val="-1"/>
          <w:sz w:val="20"/>
        </w:rPr>
        <w:t> </w:t>
      </w:r>
      <w:r>
        <w:rPr>
          <w:sz w:val="20"/>
        </w:rPr>
        <w:t>Edward,</w:t>
      </w:r>
      <w:r>
        <w:rPr>
          <w:spacing w:val="-1"/>
          <w:sz w:val="20"/>
        </w:rPr>
        <w:t> </w:t>
      </w:r>
      <w:r>
        <w:rPr>
          <w:sz w:val="20"/>
        </w:rPr>
        <w:t>and</w:t>
      </w:r>
      <w:r>
        <w:rPr>
          <w:spacing w:val="-3"/>
          <w:sz w:val="20"/>
        </w:rPr>
        <w:t> </w:t>
      </w:r>
      <w:r>
        <w:rPr>
          <w:sz w:val="20"/>
        </w:rPr>
        <w:t>Jonathan</w:t>
      </w:r>
      <w:r>
        <w:rPr>
          <w:spacing w:val="-7"/>
          <w:sz w:val="20"/>
        </w:rPr>
        <w:t> </w:t>
      </w:r>
      <w:r>
        <w:rPr>
          <w:sz w:val="20"/>
        </w:rPr>
        <w:t>White</w:t>
      </w:r>
      <w:r>
        <w:rPr>
          <w:i/>
          <w:sz w:val="20"/>
        </w:rPr>
        <w:t>.</w:t>
      </w:r>
      <w:r>
        <w:rPr>
          <w:i/>
          <w:spacing w:val="-2"/>
          <w:sz w:val="20"/>
        </w:rPr>
        <w:t> </w:t>
      </w:r>
      <w:r>
        <w:rPr>
          <w:i/>
          <w:sz w:val="20"/>
        </w:rPr>
        <w:t>Inclusive</w:t>
      </w:r>
      <w:r>
        <w:rPr>
          <w:i/>
          <w:spacing w:val="-1"/>
          <w:sz w:val="20"/>
        </w:rPr>
        <w:t> </w:t>
      </w:r>
      <w:r>
        <w:rPr>
          <w:i/>
          <w:sz w:val="20"/>
        </w:rPr>
        <w:t>Housing:</w:t>
      </w:r>
      <w:r>
        <w:rPr>
          <w:i/>
          <w:spacing w:val="-1"/>
          <w:sz w:val="20"/>
        </w:rPr>
        <w:t> </w:t>
      </w:r>
      <w:r>
        <w:rPr>
          <w:i/>
          <w:sz w:val="20"/>
        </w:rPr>
        <w:t>A</w:t>
      </w:r>
      <w:r>
        <w:rPr>
          <w:i/>
          <w:spacing w:val="-1"/>
          <w:sz w:val="20"/>
        </w:rPr>
        <w:t> </w:t>
      </w:r>
      <w:r>
        <w:rPr>
          <w:i/>
          <w:sz w:val="20"/>
        </w:rPr>
        <w:t>Pattern</w:t>
      </w:r>
      <w:r>
        <w:rPr>
          <w:i/>
          <w:spacing w:val="-2"/>
          <w:sz w:val="20"/>
        </w:rPr>
        <w:t> </w:t>
      </w:r>
      <w:r>
        <w:rPr>
          <w:i/>
          <w:sz w:val="20"/>
        </w:rPr>
        <w:t>Book</w:t>
      </w:r>
      <w:r>
        <w:rPr>
          <w:sz w:val="20"/>
        </w:rPr>
        <w:t>.</w:t>
      </w:r>
      <w:r>
        <w:rPr>
          <w:spacing w:val="-3"/>
          <w:sz w:val="20"/>
        </w:rPr>
        <w:t> </w:t>
      </w:r>
      <w:r>
        <w:rPr>
          <w:sz w:val="20"/>
        </w:rPr>
        <w:t>New</w:t>
      </w:r>
      <w:r>
        <w:rPr>
          <w:spacing w:val="-3"/>
          <w:sz w:val="20"/>
        </w:rPr>
        <w:t> </w:t>
      </w:r>
      <w:r>
        <w:rPr>
          <w:sz w:val="20"/>
        </w:rPr>
        <w:t>York:</w:t>
      </w:r>
      <w:r>
        <w:rPr>
          <w:spacing w:val="-7"/>
          <w:sz w:val="20"/>
        </w:rPr>
        <w:t> </w:t>
      </w:r>
      <w:r>
        <w:rPr>
          <w:sz w:val="20"/>
        </w:rPr>
        <w:t>W.</w:t>
      </w:r>
      <w:r>
        <w:rPr>
          <w:spacing w:val="-9"/>
          <w:sz w:val="20"/>
        </w:rPr>
        <w:t> </w:t>
      </w:r>
      <w:r>
        <w:rPr>
          <w:sz w:val="20"/>
        </w:rPr>
        <w:t>W. Norton &amp; Co. 2010. (design work used as prototype)</w:t>
      </w:r>
    </w:p>
    <w:p>
      <w:pPr>
        <w:spacing w:line="278" w:lineRule="auto" w:before="0"/>
        <w:ind w:left="1158" w:right="642" w:firstLine="0"/>
        <w:jc w:val="left"/>
        <w:rPr>
          <w:sz w:val="20"/>
        </w:rPr>
      </w:pPr>
      <w:r>
        <w:rPr>
          <w:sz w:val="20"/>
        </w:rPr>
        <w:t>Institute</w:t>
      </w:r>
      <w:r>
        <w:rPr>
          <w:spacing w:val="-4"/>
          <w:sz w:val="20"/>
        </w:rPr>
        <w:t> </w:t>
      </w:r>
      <w:r>
        <w:rPr>
          <w:sz w:val="20"/>
        </w:rPr>
        <w:t>for</w:t>
      </w:r>
      <w:r>
        <w:rPr>
          <w:spacing w:val="-3"/>
          <w:sz w:val="20"/>
        </w:rPr>
        <w:t> </w:t>
      </w:r>
      <w:r>
        <w:rPr>
          <w:sz w:val="20"/>
        </w:rPr>
        <w:t>Classical</w:t>
      </w:r>
      <w:r>
        <w:rPr>
          <w:spacing w:val="-3"/>
          <w:sz w:val="20"/>
        </w:rPr>
        <w:t> </w:t>
      </w:r>
      <w:r>
        <w:rPr>
          <w:sz w:val="20"/>
        </w:rPr>
        <w:t>Architecture,</w:t>
      </w:r>
      <w:r>
        <w:rPr>
          <w:spacing w:val="40"/>
          <w:sz w:val="20"/>
        </w:rPr>
        <w:t> </w:t>
      </w:r>
      <w:r>
        <w:rPr>
          <w:i/>
          <w:sz w:val="20"/>
        </w:rPr>
        <w:t>A</w:t>
      </w:r>
      <w:r>
        <w:rPr>
          <w:i/>
          <w:spacing w:val="-5"/>
          <w:sz w:val="20"/>
        </w:rPr>
        <w:t> </w:t>
      </w:r>
      <w:r>
        <w:rPr>
          <w:i/>
          <w:sz w:val="20"/>
        </w:rPr>
        <w:t>Pattern</w:t>
      </w:r>
      <w:r>
        <w:rPr>
          <w:i/>
          <w:spacing w:val="-4"/>
          <w:sz w:val="20"/>
        </w:rPr>
        <w:t> </w:t>
      </w:r>
      <w:r>
        <w:rPr>
          <w:i/>
          <w:sz w:val="20"/>
        </w:rPr>
        <w:t>Book</w:t>
      </w:r>
      <w:r>
        <w:rPr>
          <w:i/>
          <w:spacing w:val="-3"/>
          <w:sz w:val="20"/>
        </w:rPr>
        <w:t> </w:t>
      </w:r>
      <w:r>
        <w:rPr>
          <w:i/>
          <w:sz w:val="20"/>
        </w:rPr>
        <w:t>for</w:t>
      </w:r>
      <w:r>
        <w:rPr>
          <w:i/>
          <w:spacing w:val="-2"/>
          <w:sz w:val="20"/>
        </w:rPr>
        <w:t> </w:t>
      </w:r>
      <w:r>
        <w:rPr>
          <w:i/>
          <w:sz w:val="20"/>
        </w:rPr>
        <w:t>Neighborly</w:t>
      </w:r>
      <w:r>
        <w:rPr>
          <w:i/>
          <w:spacing w:val="-3"/>
          <w:sz w:val="20"/>
        </w:rPr>
        <w:t> </w:t>
      </w:r>
      <w:r>
        <w:rPr>
          <w:i/>
          <w:sz w:val="20"/>
        </w:rPr>
        <w:t>Houses</w:t>
      </w:r>
      <w:r>
        <w:rPr>
          <w:i/>
          <w:spacing w:val="-2"/>
          <w:sz w:val="20"/>
        </w:rPr>
        <w:t> </w:t>
      </w:r>
      <w:r>
        <w:rPr>
          <w:sz w:val="20"/>
        </w:rPr>
        <w:t>(New</w:t>
      </w:r>
      <w:r>
        <w:rPr>
          <w:spacing w:val="-4"/>
          <w:sz w:val="20"/>
        </w:rPr>
        <w:t> </w:t>
      </w:r>
      <w:r>
        <w:rPr>
          <w:sz w:val="20"/>
        </w:rPr>
        <w:t>York)</w:t>
      </w:r>
      <w:r>
        <w:rPr>
          <w:spacing w:val="-3"/>
          <w:sz w:val="20"/>
        </w:rPr>
        <w:t> </w:t>
      </w:r>
      <w:r>
        <w:rPr>
          <w:sz w:val="20"/>
        </w:rPr>
        <w:t>2007 (design work featured).</w:t>
      </w:r>
    </w:p>
    <w:p>
      <w:pPr>
        <w:spacing w:line="224" w:lineRule="exact" w:before="0"/>
        <w:ind w:left="1158" w:right="0" w:firstLine="0"/>
        <w:jc w:val="left"/>
        <w:rPr>
          <w:sz w:val="20"/>
        </w:rPr>
      </w:pPr>
      <w:r>
        <w:rPr>
          <w:sz w:val="20"/>
        </w:rPr>
        <w:t>Gartner,</w:t>
      </w:r>
      <w:r>
        <w:rPr>
          <w:spacing w:val="-8"/>
          <w:sz w:val="20"/>
        </w:rPr>
        <w:t> </w:t>
      </w:r>
      <w:r>
        <w:rPr>
          <w:sz w:val="20"/>
        </w:rPr>
        <w:t>M.C.,</w:t>
      </w:r>
      <w:r>
        <w:rPr>
          <w:spacing w:val="-7"/>
          <w:sz w:val="20"/>
        </w:rPr>
        <w:t> </w:t>
      </w:r>
      <w:r>
        <w:rPr>
          <w:sz w:val="20"/>
        </w:rPr>
        <w:t>“</w:t>
      </w:r>
      <w:r>
        <w:rPr>
          <w:i/>
          <w:sz w:val="20"/>
        </w:rPr>
        <w:t>Classicism</w:t>
      </w:r>
      <w:r>
        <w:rPr>
          <w:i/>
          <w:spacing w:val="-7"/>
          <w:sz w:val="20"/>
        </w:rPr>
        <w:t> </w:t>
      </w:r>
      <w:r>
        <w:rPr>
          <w:i/>
          <w:sz w:val="20"/>
        </w:rPr>
        <w:t>for</w:t>
      </w:r>
      <w:r>
        <w:rPr>
          <w:i/>
          <w:spacing w:val="-6"/>
          <w:sz w:val="20"/>
        </w:rPr>
        <w:t> </w:t>
      </w:r>
      <w:r>
        <w:rPr>
          <w:i/>
          <w:sz w:val="20"/>
        </w:rPr>
        <w:t>Humanity</w:t>
      </w:r>
      <w:r>
        <w:rPr>
          <w:sz w:val="20"/>
        </w:rPr>
        <w:t>,”</w:t>
      </w:r>
      <w:r>
        <w:rPr>
          <w:spacing w:val="-6"/>
          <w:sz w:val="20"/>
        </w:rPr>
        <w:t> </w:t>
      </w:r>
      <w:r>
        <w:rPr>
          <w:sz w:val="20"/>
        </w:rPr>
        <w:t>Period</w:t>
      </w:r>
      <w:r>
        <w:rPr>
          <w:spacing w:val="-6"/>
          <w:sz w:val="20"/>
        </w:rPr>
        <w:t> </w:t>
      </w:r>
      <w:r>
        <w:rPr>
          <w:sz w:val="20"/>
        </w:rPr>
        <w:t>Homes</w:t>
      </w:r>
      <w:r>
        <w:rPr>
          <w:spacing w:val="-6"/>
          <w:sz w:val="20"/>
        </w:rPr>
        <w:t> </w:t>
      </w:r>
      <w:r>
        <w:rPr>
          <w:sz w:val="20"/>
        </w:rPr>
        <w:t>Jan</w:t>
      </w:r>
      <w:r>
        <w:rPr>
          <w:spacing w:val="-7"/>
          <w:sz w:val="20"/>
        </w:rPr>
        <w:t> </w:t>
      </w:r>
      <w:r>
        <w:rPr>
          <w:sz w:val="20"/>
        </w:rPr>
        <w:t>uary</w:t>
      </w:r>
      <w:r>
        <w:rPr>
          <w:spacing w:val="-8"/>
          <w:sz w:val="20"/>
        </w:rPr>
        <w:t> </w:t>
      </w:r>
      <w:r>
        <w:rPr>
          <w:spacing w:val="-2"/>
          <w:sz w:val="20"/>
        </w:rPr>
        <w:t>2006.</w:t>
      </w:r>
    </w:p>
    <w:p>
      <w:pPr>
        <w:spacing w:line="276" w:lineRule="auto" w:before="30"/>
        <w:ind w:left="1158" w:right="642" w:firstLine="0"/>
        <w:jc w:val="left"/>
        <w:rPr>
          <w:sz w:val="20"/>
        </w:rPr>
      </w:pPr>
      <w:r>
        <w:rPr>
          <w:i/>
          <w:sz w:val="20"/>
        </w:rPr>
        <w:t>Norfolk</w:t>
      </w:r>
      <w:r>
        <w:rPr>
          <w:i/>
          <w:spacing w:val="-4"/>
          <w:sz w:val="20"/>
        </w:rPr>
        <w:t> </w:t>
      </w:r>
      <w:r>
        <w:rPr>
          <w:i/>
          <w:sz w:val="20"/>
        </w:rPr>
        <w:t>Redevelopment</w:t>
      </w:r>
      <w:r>
        <w:rPr>
          <w:i/>
          <w:spacing w:val="-5"/>
          <w:sz w:val="20"/>
        </w:rPr>
        <w:t> </w:t>
      </w:r>
      <w:r>
        <w:rPr>
          <w:i/>
          <w:sz w:val="20"/>
        </w:rPr>
        <w:t>and</w:t>
      </w:r>
      <w:r>
        <w:rPr>
          <w:i/>
          <w:spacing w:val="-5"/>
          <w:sz w:val="20"/>
        </w:rPr>
        <w:t> </w:t>
      </w:r>
      <w:r>
        <w:rPr>
          <w:i/>
          <w:sz w:val="20"/>
        </w:rPr>
        <w:t>Housing</w:t>
      </w:r>
      <w:r>
        <w:rPr>
          <w:i/>
          <w:spacing w:val="-3"/>
          <w:sz w:val="20"/>
        </w:rPr>
        <w:t> </w:t>
      </w:r>
      <w:r>
        <w:rPr>
          <w:i/>
          <w:sz w:val="20"/>
        </w:rPr>
        <w:t>Authority,</w:t>
      </w:r>
      <w:r>
        <w:rPr>
          <w:i/>
          <w:spacing w:val="-5"/>
          <w:sz w:val="20"/>
        </w:rPr>
        <w:t> </w:t>
      </w:r>
      <w:r>
        <w:rPr>
          <w:i/>
          <w:sz w:val="20"/>
        </w:rPr>
        <w:t>Ocean</w:t>
      </w:r>
      <w:r>
        <w:rPr>
          <w:i/>
          <w:spacing w:val="-3"/>
          <w:sz w:val="20"/>
        </w:rPr>
        <w:t> </w:t>
      </w:r>
      <w:r>
        <w:rPr>
          <w:i/>
          <w:sz w:val="20"/>
        </w:rPr>
        <w:t>View</w:t>
      </w:r>
      <w:r>
        <w:rPr>
          <w:i/>
          <w:spacing w:val="-5"/>
          <w:sz w:val="20"/>
        </w:rPr>
        <w:t> </w:t>
      </w:r>
      <w:r>
        <w:rPr>
          <w:i/>
          <w:sz w:val="20"/>
        </w:rPr>
        <w:t>Design</w:t>
      </w:r>
      <w:r>
        <w:rPr>
          <w:i/>
          <w:spacing w:val="-3"/>
          <w:sz w:val="20"/>
        </w:rPr>
        <w:t> </w:t>
      </w:r>
      <w:r>
        <w:rPr>
          <w:i/>
          <w:sz w:val="20"/>
        </w:rPr>
        <w:t>Standards</w:t>
      </w:r>
      <w:r>
        <w:rPr>
          <w:i/>
          <w:spacing w:val="-4"/>
          <w:sz w:val="20"/>
        </w:rPr>
        <w:t> </w:t>
      </w:r>
      <w:r>
        <w:rPr>
          <w:i/>
          <w:sz w:val="20"/>
        </w:rPr>
        <w:t>and</w:t>
      </w:r>
      <w:r>
        <w:rPr>
          <w:i/>
          <w:spacing w:val="-5"/>
          <w:sz w:val="20"/>
        </w:rPr>
        <w:t> </w:t>
      </w:r>
      <w:r>
        <w:rPr>
          <w:i/>
          <w:sz w:val="20"/>
        </w:rPr>
        <w:t>Architectural Patterns </w:t>
      </w:r>
      <w:r>
        <w:rPr>
          <w:sz w:val="20"/>
        </w:rPr>
        <w:t>(Norfolk) 2003. Author, Definitions and Descriptions.</w:t>
      </w:r>
    </w:p>
    <w:p>
      <w:pPr>
        <w:spacing w:line="278" w:lineRule="auto" w:before="2"/>
        <w:ind w:left="1158" w:right="642" w:firstLine="0"/>
        <w:jc w:val="left"/>
        <w:rPr>
          <w:sz w:val="20"/>
        </w:rPr>
      </w:pPr>
      <w:r>
        <w:rPr>
          <w:sz w:val="20"/>
        </w:rPr>
        <w:t>Stern,</w:t>
      </w:r>
      <w:r>
        <w:rPr>
          <w:spacing w:val="-2"/>
          <w:sz w:val="20"/>
        </w:rPr>
        <w:t> </w:t>
      </w:r>
      <w:r>
        <w:rPr>
          <w:sz w:val="20"/>
        </w:rPr>
        <w:t>R.A.M.,</w:t>
      </w:r>
      <w:r>
        <w:rPr>
          <w:spacing w:val="40"/>
          <w:sz w:val="20"/>
        </w:rPr>
        <w:t> </w:t>
      </w:r>
      <w:r>
        <w:rPr>
          <w:i/>
          <w:sz w:val="20"/>
        </w:rPr>
        <w:t>Pride</w:t>
      </w:r>
      <w:r>
        <w:rPr>
          <w:i/>
          <w:spacing w:val="-2"/>
          <w:sz w:val="20"/>
        </w:rPr>
        <w:t> </w:t>
      </w:r>
      <w:r>
        <w:rPr>
          <w:i/>
          <w:sz w:val="20"/>
        </w:rPr>
        <w:t>of</w:t>
      </w:r>
      <w:r>
        <w:rPr>
          <w:i/>
          <w:spacing w:val="-2"/>
          <w:sz w:val="20"/>
        </w:rPr>
        <w:t> </w:t>
      </w:r>
      <w:r>
        <w:rPr>
          <w:i/>
          <w:sz w:val="20"/>
        </w:rPr>
        <w:t>Place:</w:t>
      </w:r>
      <w:r>
        <w:rPr>
          <w:i/>
          <w:spacing w:val="-4"/>
          <w:sz w:val="20"/>
        </w:rPr>
        <w:t> </w:t>
      </w:r>
      <w:r>
        <w:rPr>
          <w:i/>
          <w:sz w:val="20"/>
        </w:rPr>
        <w:t>Building</w:t>
      </w:r>
      <w:r>
        <w:rPr>
          <w:i/>
          <w:spacing w:val="-4"/>
          <w:sz w:val="20"/>
        </w:rPr>
        <w:t> </w:t>
      </w:r>
      <w:r>
        <w:rPr>
          <w:i/>
          <w:sz w:val="20"/>
        </w:rPr>
        <w:t>the</w:t>
      </w:r>
      <w:r>
        <w:rPr>
          <w:i/>
          <w:spacing w:val="-2"/>
          <w:sz w:val="20"/>
        </w:rPr>
        <w:t> </w:t>
      </w:r>
      <w:r>
        <w:rPr>
          <w:i/>
          <w:sz w:val="20"/>
        </w:rPr>
        <w:t>American</w:t>
      </w:r>
      <w:r>
        <w:rPr>
          <w:i/>
          <w:spacing w:val="-2"/>
          <w:sz w:val="20"/>
        </w:rPr>
        <w:t> </w:t>
      </w:r>
      <w:r>
        <w:rPr>
          <w:i/>
          <w:sz w:val="20"/>
        </w:rPr>
        <w:t>Dream</w:t>
      </w:r>
      <w:r>
        <w:rPr>
          <w:i/>
          <w:spacing w:val="-3"/>
          <w:sz w:val="20"/>
        </w:rPr>
        <w:t> </w:t>
      </w:r>
      <w:r>
        <w:rPr>
          <w:sz w:val="20"/>
        </w:rPr>
        <w:t>Houghton</w:t>
      </w:r>
      <w:r>
        <w:rPr>
          <w:spacing w:val="-4"/>
          <w:sz w:val="20"/>
        </w:rPr>
        <w:t> </w:t>
      </w:r>
      <w:r>
        <w:rPr>
          <w:sz w:val="20"/>
        </w:rPr>
        <w:t>Mifflin</w:t>
      </w:r>
      <w:r>
        <w:rPr>
          <w:spacing w:val="-4"/>
          <w:sz w:val="20"/>
        </w:rPr>
        <w:t> </w:t>
      </w:r>
      <w:r>
        <w:rPr>
          <w:sz w:val="20"/>
        </w:rPr>
        <w:t>(New</w:t>
      </w:r>
      <w:r>
        <w:rPr>
          <w:spacing w:val="-4"/>
          <w:sz w:val="20"/>
        </w:rPr>
        <w:t> </w:t>
      </w:r>
      <w:r>
        <w:rPr>
          <w:sz w:val="20"/>
        </w:rPr>
        <w:t>York):</w:t>
      </w:r>
      <w:r>
        <w:rPr>
          <w:spacing w:val="-4"/>
          <w:sz w:val="20"/>
        </w:rPr>
        <w:t> </w:t>
      </w:r>
      <w:r>
        <w:rPr>
          <w:sz w:val="20"/>
        </w:rPr>
        <w:t>1987. Technical Revisions Editor.</w:t>
      </w:r>
    </w:p>
    <w:p>
      <w:pPr>
        <w:spacing w:line="224" w:lineRule="exact" w:before="0"/>
        <w:ind w:left="1159" w:right="0" w:firstLine="0"/>
        <w:jc w:val="left"/>
        <w:rPr>
          <w:sz w:val="20"/>
        </w:rPr>
      </w:pPr>
      <w:r>
        <w:rPr>
          <w:sz w:val="20"/>
        </w:rPr>
        <w:t>Andrews,</w:t>
      </w:r>
      <w:r>
        <w:rPr>
          <w:spacing w:val="-6"/>
          <w:sz w:val="20"/>
        </w:rPr>
        <w:t> </w:t>
      </w:r>
      <w:r>
        <w:rPr>
          <w:sz w:val="20"/>
        </w:rPr>
        <w:t>M.</w:t>
      </w:r>
      <w:r>
        <w:rPr>
          <w:spacing w:val="-7"/>
          <w:sz w:val="20"/>
        </w:rPr>
        <w:t> </w:t>
      </w:r>
      <w:r>
        <w:rPr>
          <w:sz w:val="20"/>
        </w:rPr>
        <w:t>Frank</w:t>
      </w:r>
      <w:r>
        <w:rPr>
          <w:spacing w:val="-4"/>
          <w:sz w:val="20"/>
        </w:rPr>
        <w:t> </w:t>
      </w:r>
      <w:r>
        <w:rPr>
          <w:sz w:val="20"/>
        </w:rPr>
        <w:t>Gehry,</w:t>
      </w:r>
      <w:r>
        <w:rPr>
          <w:spacing w:val="-5"/>
          <w:sz w:val="20"/>
        </w:rPr>
        <w:t> </w:t>
      </w:r>
      <w:r>
        <w:rPr>
          <w:i/>
          <w:sz w:val="20"/>
        </w:rPr>
        <w:t>Buildings</w:t>
      </w:r>
      <w:r>
        <w:rPr>
          <w:i/>
          <w:spacing w:val="-6"/>
          <w:sz w:val="20"/>
        </w:rPr>
        <w:t> </w:t>
      </w:r>
      <w:r>
        <w:rPr>
          <w:i/>
          <w:sz w:val="20"/>
        </w:rPr>
        <w:t>and</w:t>
      </w:r>
      <w:r>
        <w:rPr>
          <w:i/>
          <w:spacing w:val="-6"/>
          <w:sz w:val="20"/>
        </w:rPr>
        <w:t> </w:t>
      </w:r>
      <w:r>
        <w:rPr>
          <w:i/>
          <w:sz w:val="20"/>
        </w:rPr>
        <w:t>Projects</w:t>
      </w:r>
      <w:r>
        <w:rPr>
          <w:sz w:val="20"/>
        </w:rPr>
        <w:t>,</w:t>
      </w:r>
      <w:r>
        <w:rPr>
          <w:spacing w:val="-7"/>
          <w:sz w:val="20"/>
        </w:rPr>
        <w:t> </w:t>
      </w:r>
      <w:r>
        <w:rPr>
          <w:sz w:val="20"/>
        </w:rPr>
        <w:t>Rizzolli</w:t>
      </w:r>
      <w:r>
        <w:rPr>
          <w:spacing w:val="-8"/>
          <w:sz w:val="20"/>
        </w:rPr>
        <w:t> </w:t>
      </w:r>
      <w:r>
        <w:rPr>
          <w:sz w:val="20"/>
        </w:rPr>
        <w:t>(New</w:t>
      </w:r>
      <w:r>
        <w:rPr>
          <w:spacing w:val="-7"/>
          <w:sz w:val="20"/>
        </w:rPr>
        <w:t> </w:t>
      </w:r>
      <w:r>
        <w:rPr>
          <w:sz w:val="20"/>
        </w:rPr>
        <w:t>York):</w:t>
      </w:r>
      <w:r>
        <w:rPr>
          <w:spacing w:val="-8"/>
          <w:sz w:val="20"/>
        </w:rPr>
        <w:t> </w:t>
      </w:r>
      <w:r>
        <w:rPr>
          <w:spacing w:val="-4"/>
          <w:sz w:val="20"/>
        </w:rPr>
        <w:t>1985</w:t>
      </w:r>
    </w:p>
    <w:p>
      <w:pPr>
        <w:spacing w:line="278" w:lineRule="auto" w:before="34"/>
        <w:ind w:left="1159" w:right="642" w:firstLine="0"/>
        <w:jc w:val="left"/>
        <w:rPr>
          <w:sz w:val="20"/>
        </w:rPr>
      </w:pPr>
      <w:r>
        <w:rPr>
          <w:sz w:val="20"/>
        </w:rPr>
        <w:t>Gutman, R., </w:t>
      </w:r>
      <w:r>
        <w:rPr>
          <w:i/>
          <w:sz w:val="20"/>
        </w:rPr>
        <w:t>Design of American Housing: A Reappraisal of the Architect’s Role. Center for Cultural</w:t>
      </w:r>
      <w:r>
        <w:rPr>
          <w:i/>
          <w:spacing w:val="-4"/>
          <w:sz w:val="20"/>
        </w:rPr>
        <w:t> </w:t>
      </w:r>
      <w:r>
        <w:rPr>
          <w:i/>
          <w:sz w:val="20"/>
        </w:rPr>
        <w:t>Resources</w:t>
      </w:r>
      <w:r>
        <w:rPr>
          <w:i/>
          <w:spacing w:val="-3"/>
          <w:sz w:val="20"/>
        </w:rPr>
        <w:t> </w:t>
      </w:r>
      <w:r>
        <w:rPr>
          <w:sz w:val="20"/>
        </w:rPr>
        <w:t>(New</w:t>
      </w:r>
      <w:r>
        <w:rPr>
          <w:spacing w:val="-5"/>
          <w:sz w:val="20"/>
        </w:rPr>
        <w:t> </w:t>
      </w:r>
      <w:r>
        <w:rPr>
          <w:sz w:val="20"/>
        </w:rPr>
        <w:t>York):</w:t>
      </w:r>
      <w:r>
        <w:rPr>
          <w:spacing w:val="-5"/>
          <w:sz w:val="20"/>
        </w:rPr>
        <w:t> </w:t>
      </w:r>
      <w:r>
        <w:rPr>
          <w:sz w:val="20"/>
        </w:rPr>
        <w:t>1985.</w:t>
      </w:r>
      <w:r>
        <w:rPr>
          <w:spacing w:val="40"/>
          <w:sz w:val="20"/>
        </w:rPr>
        <w:t> </w:t>
      </w:r>
      <w:r>
        <w:rPr>
          <w:sz w:val="20"/>
        </w:rPr>
        <w:t>(Research</w:t>
      </w:r>
      <w:r>
        <w:rPr>
          <w:spacing w:val="-3"/>
          <w:sz w:val="20"/>
        </w:rPr>
        <w:t> </w:t>
      </w:r>
      <w:r>
        <w:rPr>
          <w:sz w:val="20"/>
        </w:rPr>
        <w:t>Assistant</w:t>
      </w:r>
      <w:r>
        <w:rPr>
          <w:spacing w:val="-5"/>
          <w:sz w:val="20"/>
        </w:rPr>
        <w:t> </w:t>
      </w:r>
      <w:r>
        <w:rPr>
          <w:sz w:val="20"/>
        </w:rPr>
        <w:t>for</w:t>
      </w:r>
      <w:r>
        <w:rPr>
          <w:spacing w:val="-4"/>
          <w:sz w:val="20"/>
        </w:rPr>
        <w:t> </w:t>
      </w:r>
      <w:r>
        <w:rPr>
          <w:sz w:val="20"/>
        </w:rPr>
        <w:t>generating</w:t>
      </w:r>
      <w:r>
        <w:rPr>
          <w:spacing w:val="-5"/>
          <w:sz w:val="20"/>
        </w:rPr>
        <w:t> </w:t>
      </w:r>
      <w:r>
        <w:rPr>
          <w:sz w:val="20"/>
        </w:rPr>
        <w:t>National</w:t>
      </w:r>
      <w:r>
        <w:rPr>
          <w:spacing w:val="-4"/>
          <w:sz w:val="20"/>
        </w:rPr>
        <w:t> </w:t>
      </w:r>
      <w:r>
        <w:rPr>
          <w:sz w:val="20"/>
        </w:rPr>
        <w:t>Endowment for the Humanities study).</w:t>
      </w:r>
    </w:p>
    <w:p>
      <w:pPr>
        <w:spacing w:line="224" w:lineRule="exact" w:before="0"/>
        <w:ind w:left="1159" w:right="0" w:firstLine="0"/>
        <w:jc w:val="left"/>
        <w:rPr>
          <w:sz w:val="20"/>
        </w:rPr>
      </w:pPr>
      <w:r>
        <w:rPr>
          <w:sz w:val="20"/>
        </w:rPr>
        <w:t>Andrews,</w:t>
      </w:r>
      <w:r>
        <w:rPr>
          <w:spacing w:val="-6"/>
          <w:sz w:val="20"/>
        </w:rPr>
        <w:t> </w:t>
      </w:r>
      <w:r>
        <w:rPr>
          <w:sz w:val="20"/>
        </w:rPr>
        <w:t>M.</w:t>
      </w:r>
      <w:r>
        <w:rPr>
          <w:spacing w:val="-6"/>
          <w:sz w:val="20"/>
        </w:rPr>
        <w:t> </w:t>
      </w:r>
      <w:r>
        <w:rPr>
          <w:sz w:val="20"/>
        </w:rPr>
        <w:t>Swid</w:t>
      </w:r>
      <w:r>
        <w:rPr>
          <w:spacing w:val="-6"/>
          <w:sz w:val="20"/>
        </w:rPr>
        <w:t> </w:t>
      </w:r>
      <w:r>
        <w:rPr>
          <w:sz w:val="20"/>
        </w:rPr>
        <w:t>Powell:</w:t>
      </w:r>
      <w:r>
        <w:rPr>
          <w:spacing w:val="-6"/>
          <w:sz w:val="20"/>
        </w:rPr>
        <w:t> </w:t>
      </w:r>
      <w:r>
        <w:rPr>
          <w:i/>
          <w:sz w:val="20"/>
        </w:rPr>
        <w:t>Objects</w:t>
      </w:r>
      <w:r>
        <w:rPr>
          <w:i/>
          <w:spacing w:val="-6"/>
          <w:sz w:val="20"/>
        </w:rPr>
        <w:t> </w:t>
      </w:r>
      <w:r>
        <w:rPr>
          <w:i/>
          <w:sz w:val="20"/>
        </w:rPr>
        <w:t>by</w:t>
      </w:r>
      <w:r>
        <w:rPr>
          <w:i/>
          <w:spacing w:val="-7"/>
          <w:sz w:val="20"/>
        </w:rPr>
        <w:t> </w:t>
      </w:r>
      <w:r>
        <w:rPr>
          <w:i/>
          <w:sz w:val="20"/>
        </w:rPr>
        <w:t>Architects</w:t>
      </w:r>
      <w:r>
        <w:rPr>
          <w:i/>
          <w:spacing w:val="-6"/>
          <w:sz w:val="20"/>
        </w:rPr>
        <w:t> </w:t>
      </w:r>
      <w:r>
        <w:rPr>
          <w:sz w:val="20"/>
        </w:rPr>
        <w:t>(New</w:t>
      </w:r>
      <w:r>
        <w:rPr>
          <w:spacing w:val="-5"/>
          <w:sz w:val="20"/>
        </w:rPr>
        <w:t> </w:t>
      </w:r>
      <w:r>
        <w:rPr>
          <w:sz w:val="20"/>
        </w:rPr>
        <w:t>York):</w:t>
      </w:r>
      <w:r>
        <w:rPr>
          <w:spacing w:val="-8"/>
          <w:sz w:val="20"/>
        </w:rPr>
        <w:t> </w:t>
      </w:r>
      <w:r>
        <w:rPr>
          <w:spacing w:val="-4"/>
          <w:sz w:val="20"/>
        </w:rPr>
        <w:t>1983</w:t>
      </w:r>
    </w:p>
    <w:p>
      <w:pPr>
        <w:pStyle w:val="BodyText"/>
        <w:spacing w:line="276" w:lineRule="auto" w:before="36"/>
        <w:ind w:left="1159" w:right="1003"/>
      </w:pPr>
      <w:r>
        <w:rPr/>
        <w:t>Andrews,</w:t>
      </w:r>
      <w:r>
        <w:rPr>
          <w:spacing w:val="-4"/>
        </w:rPr>
        <w:t> </w:t>
      </w:r>
      <w:r>
        <w:rPr/>
        <w:t>M.</w:t>
      </w:r>
      <w:r>
        <w:rPr>
          <w:spacing w:val="-4"/>
        </w:rPr>
        <w:t> </w:t>
      </w:r>
      <w:r>
        <w:rPr/>
        <w:t>Lafayette</w:t>
      </w:r>
      <w:r>
        <w:rPr>
          <w:spacing w:val="-4"/>
        </w:rPr>
        <w:t> </w:t>
      </w:r>
      <w:r>
        <w:rPr/>
        <w:t>Square:</w:t>
      </w:r>
      <w:r>
        <w:rPr>
          <w:spacing w:val="-6"/>
        </w:rPr>
        <w:t> </w:t>
      </w:r>
      <w:r>
        <w:rPr/>
        <w:t>The</w:t>
      </w:r>
      <w:r>
        <w:rPr>
          <w:spacing w:val="-6"/>
        </w:rPr>
        <w:t> </w:t>
      </w:r>
      <w:r>
        <w:rPr/>
        <w:t>Past,</w:t>
      </w:r>
      <w:r>
        <w:rPr>
          <w:spacing w:val="-4"/>
        </w:rPr>
        <w:t> </w:t>
      </w:r>
      <w:r>
        <w:rPr/>
        <w:t>Presevation</w:t>
      </w:r>
      <w:r>
        <w:rPr>
          <w:spacing w:val="-4"/>
        </w:rPr>
        <w:t> </w:t>
      </w:r>
      <w:r>
        <w:rPr/>
        <w:t>and</w:t>
      </w:r>
      <w:r>
        <w:rPr>
          <w:spacing w:val="-6"/>
        </w:rPr>
        <w:t> </w:t>
      </w:r>
      <w:r>
        <w:rPr/>
        <w:t>the</w:t>
      </w:r>
      <w:r>
        <w:rPr>
          <w:spacing w:val="-4"/>
        </w:rPr>
        <w:t> </w:t>
      </w:r>
      <w:r>
        <w:rPr/>
        <w:t>Presidency.</w:t>
      </w:r>
      <w:r>
        <w:rPr>
          <w:spacing w:val="-4"/>
        </w:rPr>
        <w:t> </w:t>
      </w:r>
      <w:r>
        <w:rPr/>
        <w:t>Smithsonian Institution (Washington, D.C.) 1983</w:t>
      </w:r>
    </w:p>
    <w:p>
      <w:pPr>
        <w:spacing w:after="0" w:line="276" w:lineRule="auto"/>
        <w:sectPr>
          <w:headerReference w:type="default" r:id="rId247"/>
          <w:footerReference w:type="default" r:id="rId248"/>
          <w:pgSz w:w="12240" w:h="15840"/>
          <w:pgMar w:header="0" w:footer="974" w:top="920" w:bottom="1160" w:left="1000" w:right="820"/>
        </w:sectPr>
      </w:pPr>
    </w:p>
    <w:p>
      <w:pPr>
        <w:spacing w:before="63"/>
        <w:ind w:left="440" w:right="0" w:firstLine="0"/>
        <w:jc w:val="left"/>
        <w:rPr>
          <w:b/>
          <w:sz w:val="20"/>
        </w:rPr>
      </w:pPr>
      <w:r>
        <w:rPr>
          <w:b/>
          <w:sz w:val="20"/>
        </w:rPr>
        <w:t>Battaglia,</w:t>
      </w:r>
      <w:r>
        <w:rPr>
          <w:b/>
          <w:spacing w:val="-12"/>
          <w:sz w:val="20"/>
        </w:rPr>
        <w:t> </w:t>
      </w:r>
      <w:r>
        <w:rPr>
          <w:b/>
          <w:sz w:val="20"/>
        </w:rPr>
        <w:t>Paul</w:t>
      </w:r>
      <w:r>
        <w:rPr>
          <w:b/>
          <w:spacing w:val="-11"/>
          <w:sz w:val="20"/>
        </w:rPr>
        <w:t> </w:t>
      </w:r>
      <w:r>
        <w:rPr>
          <w:b/>
          <w:sz w:val="20"/>
        </w:rPr>
        <w:t>(Adjunct),</w:t>
      </w:r>
      <w:r>
        <w:rPr>
          <w:b/>
          <w:spacing w:val="-11"/>
          <w:sz w:val="20"/>
        </w:rPr>
        <w:t> </w:t>
      </w:r>
      <w:r>
        <w:rPr>
          <w:b/>
          <w:sz w:val="20"/>
        </w:rPr>
        <w:t>Associate</w:t>
      </w:r>
      <w:r>
        <w:rPr>
          <w:b/>
          <w:spacing w:val="-10"/>
          <w:sz w:val="20"/>
        </w:rPr>
        <w:t> </w:t>
      </w:r>
      <w:r>
        <w:rPr>
          <w:b/>
          <w:spacing w:val="-2"/>
          <w:sz w:val="20"/>
        </w:rPr>
        <w:t>Professor</w:t>
      </w:r>
    </w:p>
    <w:p>
      <w:pPr>
        <w:pStyle w:val="BodyText"/>
        <w:spacing w:before="7"/>
        <w:rPr>
          <w:b/>
          <w:sz w:val="17"/>
        </w:rPr>
      </w:pPr>
    </w:p>
    <w:p>
      <w:pPr>
        <w:spacing w:before="0"/>
        <w:ind w:left="440" w:right="0" w:firstLine="0"/>
        <w:jc w:val="left"/>
        <w:rPr>
          <w:b/>
          <w:sz w:val="20"/>
        </w:rPr>
      </w:pPr>
      <w:r>
        <w:rPr>
          <w:b/>
          <w:sz w:val="20"/>
        </w:rPr>
        <w:t>Courses</w:t>
      </w:r>
      <w:r>
        <w:rPr>
          <w:b/>
          <w:spacing w:val="-7"/>
          <w:sz w:val="20"/>
        </w:rPr>
        <w:t> </w:t>
      </w:r>
      <w:r>
        <w:rPr>
          <w:b/>
          <w:sz w:val="20"/>
        </w:rPr>
        <w:t>Taught</w:t>
      </w:r>
      <w:r>
        <w:rPr>
          <w:b/>
          <w:spacing w:val="-7"/>
          <w:sz w:val="20"/>
        </w:rPr>
        <w:t> </w:t>
      </w:r>
      <w:r>
        <w:rPr>
          <w:b/>
          <w:sz w:val="20"/>
        </w:rPr>
        <w:t>(during</w:t>
      </w:r>
      <w:r>
        <w:rPr>
          <w:b/>
          <w:spacing w:val="-7"/>
          <w:sz w:val="20"/>
        </w:rPr>
        <w:t> </w:t>
      </w:r>
      <w:r>
        <w:rPr>
          <w:b/>
          <w:sz w:val="20"/>
        </w:rPr>
        <w:t>the</w:t>
      </w:r>
      <w:r>
        <w:rPr>
          <w:b/>
          <w:spacing w:val="-8"/>
          <w:sz w:val="20"/>
        </w:rPr>
        <w:t> </w:t>
      </w:r>
      <w:r>
        <w:rPr>
          <w:b/>
          <w:sz w:val="20"/>
        </w:rPr>
        <w:t>past</w:t>
      </w:r>
      <w:r>
        <w:rPr>
          <w:b/>
          <w:spacing w:val="-7"/>
          <w:sz w:val="20"/>
        </w:rPr>
        <w:t> </w:t>
      </w:r>
      <w:r>
        <w:rPr>
          <w:b/>
          <w:sz w:val="20"/>
        </w:rPr>
        <w:t>two</w:t>
      </w:r>
      <w:r>
        <w:rPr>
          <w:b/>
          <w:spacing w:val="-7"/>
          <w:sz w:val="20"/>
        </w:rPr>
        <w:t> </w:t>
      </w:r>
      <w:r>
        <w:rPr>
          <w:b/>
          <w:sz w:val="20"/>
        </w:rPr>
        <w:t>academic</w:t>
      </w:r>
      <w:r>
        <w:rPr>
          <w:b/>
          <w:spacing w:val="-4"/>
          <w:sz w:val="20"/>
        </w:rPr>
        <w:t> </w:t>
      </w:r>
      <w:r>
        <w:rPr>
          <w:b/>
          <w:spacing w:val="-2"/>
          <w:sz w:val="20"/>
        </w:rPr>
        <w:t>years):</w:t>
      </w:r>
    </w:p>
    <w:p>
      <w:pPr>
        <w:pStyle w:val="BodyText"/>
        <w:ind w:left="1159" w:right="5366"/>
      </w:pPr>
      <w:r>
        <w:rPr/>
        <w:t>Fall 2013:</w:t>
      </w:r>
      <w:r>
        <w:rPr>
          <w:spacing w:val="40"/>
        </w:rPr>
        <w:t> </w:t>
      </w:r>
      <w:r>
        <w:rPr/>
        <w:t>ARC 405 – Adv Arch Design I Spring</w:t>
      </w:r>
      <w:r>
        <w:rPr>
          <w:spacing w:val="-6"/>
        </w:rPr>
        <w:t> </w:t>
      </w:r>
      <w:r>
        <w:rPr/>
        <w:t>2013:</w:t>
      </w:r>
      <w:r>
        <w:rPr>
          <w:spacing w:val="-6"/>
        </w:rPr>
        <w:t> </w:t>
      </w:r>
      <w:r>
        <w:rPr/>
        <w:t>ARC</w:t>
      </w:r>
      <w:r>
        <w:rPr>
          <w:spacing w:val="-6"/>
        </w:rPr>
        <w:t> </w:t>
      </w:r>
      <w:r>
        <w:rPr/>
        <w:t>406</w:t>
      </w:r>
      <w:r>
        <w:rPr>
          <w:spacing w:val="-6"/>
        </w:rPr>
        <w:t> </w:t>
      </w:r>
      <w:r>
        <w:rPr/>
        <w:t>–</w:t>
      </w:r>
      <w:r>
        <w:rPr>
          <w:spacing w:val="-3"/>
        </w:rPr>
        <w:t> </w:t>
      </w:r>
      <w:r>
        <w:rPr/>
        <w:t>Adv</w:t>
      </w:r>
      <w:r>
        <w:rPr>
          <w:spacing w:val="-5"/>
        </w:rPr>
        <w:t> </w:t>
      </w:r>
      <w:r>
        <w:rPr/>
        <w:t>Arch</w:t>
      </w:r>
      <w:r>
        <w:rPr>
          <w:spacing w:val="-6"/>
        </w:rPr>
        <w:t> </w:t>
      </w:r>
      <w:r>
        <w:rPr/>
        <w:t>Design</w:t>
      </w:r>
      <w:r>
        <w:rPr>
          <w:spacing w:val="-6"/>
        </w:rPr>
        <w:t> </w:t>
      </w:r>
      <w:r>
        <w:rPr/>
        <w:t>II</w:t>
      </w:r>
    </w:p>
    <w:p>
      <w:pPr>
        <w:pStyle w:val="BodyText"/>
        <w:spacing w:before="5"/>
        <w:rPr>
          <w:sz w:val="17"/>
        </w:rPr>
      </w:pPr>
    </w:p>
    <w:p>
      <w:pPr>
        <w:spacing w:before="0"/>
        <w:ind w:left="440" w:right="0" w:firstLine="0"/>
        <w:jc w:val="left"/>
        <w:rPr>
          <w:b/>
          <w:sz w:val="20"/>
        </w:rPr>
      </w:pPr>
      <w:r>
        <w:rPr>
          <w:b/>
          <w:spacing w:val="-2"/>
          <w:sz w:val="20"/>
        </w:rPr>
        <w:t>Educational</w:t>
      </w:r>
      <w:r>
        <w:rPr>
          <w:b/>
          <w:spacing w:val="6"/>
          <w:sz w:val="20"/>
        </w:rPr>
        <w:t> </w:t>
      </w:r>
      <w:r>
        <w:rPr>
          <w:b/>
          <w:spacing w:val="-2"/>
          <w:sz w:val="20"/>
        </w:rPr>
        <w:t>Credentials:</w:t>
      </w:r>
    </w:p>
    <w:p>
      <w:pPr>
        <w:pStyle w:val="BodyText"/>
        <w:tabs>
          <w:tab w:pos="1879" w:val="left" w:leader="none"/>
        </w:tabs>
        <w:spacing w:before="1"/>
        <w:ind w:left="1160" w:right="1945" w:hanging="1"/>
      </w:pPr>
      <w:r>
        <w:rPr>
          <w:spacing w:val="-4"/>
        </w:rPr>
        <w:t>1996</w:t>
      </w:r>
      <w:r>
        <w:rPr/>
        <w:tab/>
        <w:t>Master of Architecture, Virginia Polytechnic Institute and State University </w:t>
      </w:r>
      <w:r>
        <w:rPr>
          <w:spacing w:val="-4"/>
        </w:rPr>
        <w:t>1992</w:t>
      </w:r>
      <w:r>
        <w:rPr/>
        <w:tab/>
      </w:r>
      <w:r>
        <w:rPr>
          <w:spacing w:val="-56"/>
        </w:rPr>
        <w:t> </w:t>
      </w:r>
      <w:r>
        <w:rPr/>
        <w:t>Bachelor</w:t>
      </w:r>
      <w:r>
        <w:rPr>
          <w:spacing w:val="-5"/>
        </w:rPr>
        <w:t> </w:t>
      </w:r>
      <w:r>
        <w:rPr/>
        <w:t>of</w:t>
      </w:r>
      <w:r>
        <w:rPr>
          <w:spacing w:val="-4"/>
        </w:rPr>
        <w:t> </w:t>
      </w:r>
      <w:r>
        <w:rPr/>
        <w:t>Architecture,</w:t>
      </w:r>
      <w:r>
        <w:rPr>
          <w:spacing w:val="-6"/>
        </w:rPr>
        <w:t> </w:t>
      </w:r>
      <w:r>
        <w:rPr/>
        <w:t>Virginia</w:t>
      </w:r>
      <w:r>
        <w:rPr>
          <w:spacing w:val="-4"/>
        </w:rPr>
        <w:t> </w:t>
      </w:r>
      <w:r>
        <w:rPr/>
        <w:t>Polytechnic</w:t>
      </w:r>
      <w:r>
        <w:rPr>
          <w:spacing w:val="-5"/>
        </w:rPr>
        <w:t> </w:t>
      </w:r>
      <w:r>
        <w:rPr/>
        <w:t>Institute</w:t>
      </w:r>
      <w:r>
        <w:rPr>
          <w:spacing w:val="-4"/>
        </w:rPr>
        <w:t> </w:t>
      </w:r>
      <w:r>
        <w:rPr/>
        <w:t>and</w:t>
      </w:r>
      <w:r>
        <w:rPr>
          <w:spacing w:val="-4"/>
        </w:rPr>
        <w:t> </w:t>
      </w:r>
      <w:r>
        <w:rPr/>
        <w:t>State</w:t>
      </w:r>
      <w:r>
        <w:rPr>
          <w:spacing w:val="-6"/>
        </w:rPr>
        <w:t> </w:t>
      </w:r>
      <w:r>
        <w:rPr/>
        <w:t>University</w:t>
      </w:r>
    </w:p>
    <w:p>
      <w:pPr>
        <w:pStyle w:val="BodyText"/>
        <w:spacing w:before="8"/>
        <w:rPr>
          <w:sz w:val="19"/>
        </w:rPr>
      </w:pPr>
    </w:p>
    <w:p>
      <w:pPr>
        <w:spacing w:before="0"/>
        <w:ind w:left="440" w:right="0" w:firstLine="0"/>
        <w:jc w:val="left"/>
        <w:rPr>
          <w:b/>
          <w:sz w:val="20"/>
        </w:rPr>
      </w:pPr>
      <w:r>
        <w:rPr>
          <w:b/>
          <w:sz w:val="20"/>
        </w:rPr>
        <w:t>Teaching</w:t>
      </w:r>
      <w:r>
        <w:rPr>
          <w:b/>
          <w:spacing w:val="-10"/>
          <w:sz w:val="20"/>
        </w:rPr>
        <w:t> </w:t>
      </w:r>
      <w:r>
        <w:rPr>
          <w:b/>
          <w:spacing w:val="-2"/>
          <w:sz w:val="20"/>
        </w:rPr>
        <w:t>Experience</w:t>
      </w:r>
    </w:p>
    <w:p>
      <w:pPr>
        <w:pStyle w:val="BodyText"/>
        <w:spacing w:before="3"/>
        <w:ind w:left="799"/>
      </w:pPr>
      <w:r>
        <w:rPr/>
        <w:t>Virginia</w:t>
      </w:r>
      <w:r>
        <w:rPr>
          <w:spacing w:val="-8"/>
        </w:rPr>
        <w:t> </w:t>
      </w:r>
      <w:r>
        <w:rPr/>
        <w:t>Polytechnic</w:t>
      </w:r>
      <w:r>
        <w:rPr>
          <w:spacing w:val="-9"/>
        </w:rPr>
        <w:t> </w:t>
      </w:r>
      <w:r>
        <w:rPr/>
        <w:t>Institute</w:t>
      </w:r>
      <w:r>
        <w:rPr>
          <w:spacing w:val="-9"/>
        </w:rPr>
        <w:t> </w:t>
      </w:r>
      <w:r>
        <w:rPr/>
        <w:t>and</w:t>
      </w:r>
      <w:r>
        <w:rPr>
          <w:spacing w:val="-9"/>
        </w:rPr>
        <w:t> </w:t>
      </w:r>
      <w:r>
        <w:rPr/>
        <w:t>State</w:t>
      </w:r>
      <w:r>
        <w:rPr>
          <w:spacing w:val="-8"/>
        </w:rPr>
        <w:t> </w:t>
      </w:r>
      <w:r>
        <w:rPr/>
        <w:t>University,</w:t>
      </w:r>
      <w:r>
        <w:rPr>
          <w:spacing w:val="-8"/>
        </w:rPr>
        <w:t> </w:t>
      </w:r>
      <w:r>
        <w:rPr/>
        <w:t>2005-</w:t>
      </w:r>
      <w:r>
        <w:rPr>
          <w:spacing w:val="-4"/>
        </w:rPr>
        <w:t>2006</w:t>
      </w:r>
    </w:p>
    <w:p>
      <w:pPr>
        <w:pStyle w:val="BodyText"/>
        <w:tabs>
          <w:tab w:pos="2600" w:val="left" w:leader="none"/>
        </w:tabs>
        <w:ind w:left="2600" w:right="1381" w:hanging="1441"/>
      </w:pPr>
      <w:r>
        <w:rPr>
          <w:spacing w:val="-4"/>
        </w:rPr>
        <w:t>1996</w:t>
      </w:r>
      <w:r>
        <w:rPr/>
        <w:tab/>
        <w:t>Faculty,</w:t>
      </w:r>
      <w:r>
        <w:rPr>
          <w:spacing w:val="-5"/>
        </w:rPr>
        <w:t> </w:t>
      </w:r>
      <w:r>
        <w:rPr/>
        <w:t>European</w:t>
      </w:r>
      <w:r>
        <w:rPr>
          <w:spacing w:val="-5"/>
        </w:rPr>
        <w:t> </w:t>
      </w:r>
      <w:r>
        <w:rPr/>
        <w:t>Travel</w:t>
      </w:r>
      <w:r>
        <w:rPr>
          <w:spacing w:val="-6"/>
        </w:rPr>
        <w:t> </w:t>
      </w:r>
      <w:r>
        <w:rPr/>
        <w:t>Abroad</w:t>
      </w:r>
      <w:r>
        <w:rPr>
          <w:spacing w:val="-5"/>
        </w:rPr>
        <w:t> </w:t>
      </w:r>
      <w:r>
        <w:rPr/>
        <w:t>Program</w:t>
      </w:r>
      <w:r>
        <w:rPr>
          <w:spacing w:val="-1"/>
        </w:rPr>
        <w:t> </w:t>
      </w:r>
      <w:r>
        <w:rPr/>
        <w:t>–</w:t>
      </w:r>
      <w:r>
        <w:rPr>
          <w:spacing w:val="-7"/>
        </w:rPr>
        <w:t> </w:t>
      </w:r>
      <w:r>
        <w:rPr/>
        <w:t>England,</w:t>
      </w:r>
      <w:r>
        <w:rPr>
          <w:spacing w:val="-5"/>
        </w:rPr>
        <w:t> </w:t>
      </w:r>
      <w:r>
        <w:rPr/>
        <w:t>France,</w:t>
      </w:r>
      <w:r>
        <w:rPr>
          <w:spacing w:val="-7"/>
        </w:rPr>
        <w:t> </w:t>
      </w:r>
      <w:r>
        <w:rPr/>
        <w:t>Germany, Switzerland, Italy</w:t>
      </w:r>
    </w:p>
    <w:p>
      <w:pPr>
        <w:pStyle w:val="BodyText"/>
        <w:spacing w:before="11"/>
        <w:rPr>
          <w:sz w:val="19"/>
        </w:rPr>
      </w:pPr>
    </w:p>
    <w:p>
      <w:pPr>
        <w:pStyle w:val="BodyText"/>
        <w:ind w:left="1160"/>
      </w:pPr>
      <w:r>
        <w:rPr/>
        <w:t>North</w:t>
      </w:r>
      <w:r>
        <w:rPr>
          <w:spacing w:val="-10"/>
        </w:rPr>
        <w:t> </w:t>
      </w:r>
      <w:r>
        <w:rPr/>
        <w:t>Carolina</w:t>
      </w:r>
      <w:r>
        <w:rPr>
          <w:spacing w:val="-9"/>
        </w:rPr>
        <w:t> </w:t>
      </w:r>
      <w:r>
        <w:rPr/>
        <w:t>State</w:t>
      </w:r>
      <w:r>
        <w:rPr>
          <w:spacing w:val="-10"/>
        </w:rPr>
        <w:t> </w:t>
      </w:r>
      <w:r>
        <w:rPr/>
        <w:t>University,</w:t>
      </w:r>
      <w:r>
        <w:rPr>
          <w:spacing w:val="-8"/>
        </w:rPr>
        <w:t> </w:t>
      </w:r>
      <w:r>
        <w:rPr/>
        <w:t>1998-</w:t>
      </w:r>
      <w:r>
        <w:rPr>
          <w:spacing w:val="-4"/>
        </w:rPr>
        <w:t>2011</w:t>
      </w:r>
    </w:p>
    <w:p>
      <w:pPr>
        <w:pStyle w:val="BodyText"/>
        <w:spacing w:before="10"/>
        <w:rPr>
          <w:sz w:val="19"/>
        </w:rPr>
      </w:pPr>
    </w:p>
    <w:p>
      <w:pPr>
        <w:spacing w:before="0"/>
        <w:ind w:left="440" w:right="0" w:firstLine="0"/>
        <w:jc w:val="left"/>
        <w:rPr>
          <w:b/>
          <w:sz w:val="20"/>
        </w:rPr>
      </w:pPr>
      <w:r>
        <w:rPr>
          <w:b/>
          <w:spacing w:val="-2"/>
          <w:sz w:val="20"/>
        </w:rPr>
        <w:t>Professional</w:t>
      </w:r>
      <w:r>
        <w:rPr>
          <w:b/>
          <w:spacing w:val="7"/>
          <w:sz w:val="20"/>
        </w:rPr>
        <w:t> </w:t>
      </w:r>
      <w:r>
        <w:rPr>
          <w:b/>
          <w:spacing w:val="-2"/>
          <w:sz w:val="20"/>
        </w:rPr>
        <w:t>Experience</w:t>
      </w:r>
    </w:p>
    <w:p>
      <w:pPr>
        <w:pStyle w:val="BodyText"/>
        <w:spacing w:before="3" w:after="8"/>
        <w:ind w:left="1160"/>
      </w:pPr>
      <w:r>
        <w:rPr/>
        <w:t>June</w:t>
      </w:r>
      <w:r>
        <w:rPr>
          <w:spacing w:val="-9"/>
        </w:rPr>
        <w:t> </w:t>
      </w:r>
      <w:r>
        <w:rPr/>
        <w:t>2011-present</w:t>
      </w:r>
      <w:r>
        <w:rPr>
          <w:spacing w:val="61"/>
        </w:rPr>
        <w:t> </w:t>
      </w:r>
      <w:r>
        <w:rPr/>
        <w:t>Clark/Nexen,</w:t>
      </w:r>
      <w:r>
        <w:rPr>
          <w:spacing w:val="-8"/>
        </w:rPr>
        <w:t> </w:t>
      </w:r>
      <w:r>
        <w:rPr/>
        <w:t>Senior</w:t>
      </w:r>
      <w:r>
        <w:rPr>
          <w:spacing w:val="-7"/>
        </w:rPr>
        <w:t> </w:t>
      </w:r>
      <w:r>
        <w:rPr>
          <w:spacing w:val="-2"/>
        </w:rPr>
        <w:t>Architect</w:t>
      </w:r>
    </w:p>
    <w:tbl>
      <w:tblPr>
        <w:tblW w:w="0" w:type="auto"/>
        <w:jc w:val="left"/>
        <w:tblInd w:w="1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8"/>
        <w:gridCol w:w="5298"/>
      </w:tblGrid>
      <w:tr>
        <w:trPr>
          <w:trHeight w:val="225" w:hRule="atLeast"/>
        </w:trPr>
        <w:tc>
          <w:tcPr>
            <w:tcW w:w="1248" w:type="dxa"/>
          </w:tcPr>
          <w:p>
            <w:pPr>
              <w:pStyle w:val="TableParagraph"/>
              <w:spacing w:line="205" w:lineRule="exact"/>
              <w:ind w:left="50"/>
              <w:rPr>
                <w:sz w:val="20"/>
              </w:rPr>
            </w:pPr>
            <w:r>
              <w:rPr>
                <w:spacing w:val="-4"/>
                <w:sz w:val="20"/>
              </w:rPr>
              <w:t>2006</w:t>
            </w:r>
          </w:p>
        </w:tc>
        <w:tc>
          <w:tcPr>
            <w:tcW w:w="5298" w:type="dxa"/>
          </w:tcPr>
          <w:p>
            <w:pPr>
              <w:pStyle w:val="TableParagraph"/>
              <w:spacing w:line="205" w:lineRule="exact"/>
              <w:ind w:left="242"/>
              <w:rPr>
                <w:sz w:val="20"/>
              </w:rPr>
            </w:pPr>
            <w:r>
              <w:rPr>
                <w:sz w:val="20"/>
              </w:rPr>
              <w:t>Thompson</w:t>
            </w:r>
            <w:r>
              <w:rPr>
                <w:spacing w:val="-8"/>
                <w:sz w:val="20"/>
              </w:rPr>
              <w:t> </w:t>
            </w:r>
            <w:r>
              <w:rPr>
                <w:sz w:val="20"/>
              </w:rPr>
              <w:t>and</w:t>
            </w:r>
            <w:r>
              <w:rPr>
                <w:spacing w:val="-7"/>
                <w:sz w:val="20"/>
              </w:rPr>
              <w:t> </w:t>
            </w:r>
            <w:r>
              <w:rPr>
                <w:sz w:val="20"/>
              </w:rPr>
              <w:t>Litton,</w:t>
            </w:r>
            <w:r>
              <w:rPr>
                <w:spacing w:val="-6"/>
                <w:sz w:val="20"/>
              </w:rPr>
              <w:t> </w:t>
            </w:r>
            <w:r>
              <w:rPr>
                <w:spacing w:val="-2"/>
                <w:sz w:val="20"/>
              </w:rPr>
              <w:t>Architect</w:t>
            </w:r>
          </w:p>
        </w:tc>
      </w:tr>
      <w:tr>
        <w:trPr>
          <w:trHeight w:val="229" w:hRule="atLeast"/>
        </w:trPr>
        <w:tc>
          <w:tcPr>
            <w:tcW w:w="1248" w:type="dxa"/>
          </w:tcPr>
          <w:p>
            <w:pPr>
              <w:pStyle w:val="TableParagraph"/>
              <w:spacing w:line="209" w:lineRule="exact"/>
              <w:ind w:left="50"/>
              <w:rPr>
                <w:sz w:val="20"/>
              </w:rPr>
            </w:pPr>
            <w:r>
              <w:rPr>
                <w:w w:val="95"/>
                <w:sz w:val="20"/>
              </w:rPr>
              <w:t>1999-</w:t>
            </w:r>
            <w:r>
              <w:rPr>
                <w:spacing w:val="-4"/>
                <w:sz w:val="20"/>
              </w:rPr>
              <w:t>2005</w:t>
            </w:r>
          </w:p>
        </w:tc>
        <w:tc>
          <w:tcPr>
            <w:tcW w:w="5298" w:type="dxa"/>
          </w:tcPr>
          <w:p>
            <w:pPr>
              <w:pStyle w:val="TableParagraph"/>
              <w:spacing w:line="209" w:lineRule="exact"/>
              <w:ind w:left="242"/>
              <w:rPr>
                <w:sz w:val="20"/>
              </w:rPr>
            </w:pPr>
            <w:r>
              <w:rPr>
                <w:sz w:val="20"/>
              </w:rPr>
              <w:t>Gresham</w:t>
            </w:r>
            <w:r>
              <w:rPr>
                <w:spacing w:val="-4"/>
                <w:sz w:val="20"/>
              </w:rPr>
              <w:t> </w:t>
            </w:r>
            <w:r>
              <w:rPr>
                <w:sz w:val="20"/>
              </w:rPr>
              <w:t>Smith</w:t>
            </w:r>
            <w:r>
              <w:rPr>
                <w:spacing w:val="-8"/>
                <w:sz w:val="20"/>
              </w:rPr>
              <w:t> </w:t>
            </w:r>
            <w:r>
              <w:rPr>
                <w:sz w:val="20"/>
              </w:rPr>
              <w:t>and</w:t>
            </w:r>
            <w:r>
              <w:rPr>
                <w:spacing w:val="-6"/>
                <w:sz w:val="20"/>
              </w:rPr>
              <w:t> </w:t>
            </w:r>
            <w:r>
              <w:rPr>
                <w:sz w:val="20"/>
              </w:rPr>
              <w:t>Partners,</w:t>
            </w:r>
            <w:r>
              <w:rPr>
                <w:spacing w:val="-8"/>
                <w:sz w:val="20"/>
              </w:rPr>
              <w:t> </w:t>
            </w:r>
            <w:r>
              <w:rPr>
                <w:sz w:val="20"/>
              </w:rPr>
              <w:t>Project</w:t>
            </w:r>
            <w:r>
              <w:rPr>
                <w:spacing w:val="-9"/>
                <w:sz w:val="20"/>
              </w:rPr>
              <w:t> </w:t>
            </w:r>
            <w:r>
              <w:rPr>
                <w:spacing w:val="-2"/>
                <w:sz w:val="20"/>
              </w:rPr>
              <w:t>Manager/Architect</w:t>
            </w:r>
          </w:p>
        </w:tc>
      </w:tr>
      <w:tr>
        <w:trPr>
          <w:trHeight w:val="230" w:hRule="atLeast"/>
        </w:trPr>
        <w:tc>
          <w:tcPr>
            <w:tcW w:w="1248" w:type="dxa"/>
          </w:tcPr>
          <w:p>
            <w:pPr>
              <w:pStyle w:val="TableParagraph"/>
              <w:spacing w:line="210" w:lineRule="exact"/>
              <w:ind w:left="50"/>
              <w:rPr>
                <w:sz w:val="20"/>
              </w:rPr>
            </w:pPr>
            <w:r>
              <w:rPr>
                <w:w w:val="95"/>
                <w:sz w:val="20"/>
              </w:rPr>
              <w:t>1998-</w:t>
            </w:r>
            <w:r>
              <w:rPr>
                <w:spacing w:val="-4"/>
                <w:sz w:val="20"/>
              </w:rPr>
              <w:t>1999</w:t>
            </w:r>
          </w:p>
        </w:tc>
        <w:tc>
          <w:tcPr>
            <w:tcW w:w="5298" w:type="dxa"/>
          </w:tcPr>
          <w:p>
            <w:pPr>
              <w:pStyle w:val="TableParagraph"/>
              <w:spacing w:line="210" w:lineRule="exact"/>
              <w:ind w:left="242"/>
              <w:rPr>
                <w:sz w:val="20"/>
              </w:rPr>
            </w:pPr>
            <w:r>
              <w:rPr>
                <w:sz w:val="20"/>
              </w:rPr>
              <w:t>SMBW</w:t>
            </w:r>
            <w:r>
              <w:rPr>
                <w:spacing w:val="-6"/>
                <w:sz w:val="20"/>
              </w:rPr>
              <w:t> </w:t>
            </w:r>
            <w:r>
              <w:rPr>
                <w:sz w:val="20"/>
              </w:rPr>
              <w:t>Architects,</w:t>
            </w:r>
            <w:r>
              <w:rPr>
                <w:spacing w:val="-12"/>
                <w:sz w:val="20"/>
              </w:rPr>
              <w:t> </w:t>
            </w:r>
            <w:r>
              <w:rPr>
                <w:spacing w:val="-2"/>
                <w:sz w:val="20"/>
              </w:rPr>
              <w:t>Intern</w:t>
            </w:r>
          </w:p>
        </w:tc>
      </w:tr>
      <w:tr>
        <w:trPr>
          <w:trHeight w:val="230" w:hRule="atLeast"/>
        </w:trPr>
        <w:tc>
          <w:tcPr>
            <w:tcW w:w="1248" w:type="dxa"/>
          </w:tcPr>
          <w:p>
            <w:pPr>
              <w:pStyle w:val="TableParagraph"/>
              <w:spacing w:line="210" w:lineRule="exact"/>
              <w:ind w:left="50"/>
              <w:rPr>
                <w:sz w:val="20"/>
              </w:rPr>
            </w:pPr>
            <w:r>
              <w:rPr>
                <w:w w:val="95"/>
                <w:sz w:val="20"/>
              </w:rPr>
              <w:t>1997-</w:t>
            </w:r>
            <w:r>
              <w:rPr>
                <w:spacing w:val="-4"/>
                <w:sz w:val="20"/>
              </w:rPr>
              <w:t>1998</w:t>
            </w:r>
          </w:p>
        </w:tc>
        <w:tc>
          <w:tcPr>
            <w:tcW w:w="5298" w:type="dxa"/>
          </w:tcPr>
          <w:p>
            <w:pPr>
              <w:pStyle w:val="TableParagraph"/>
              <w:spacing w:line="210" w:lineRule="exact"/>
              <w:ind w:left="242"/>
              <w:rPr>
                <w:sz w:val="20"/>
              </w:rPr>
            </w:pPr>
            <w:r>
              <w:rPr>
                <w:sz w:val="20"/>
              </w:rPr>
              <w:t>Hugo+Farley</w:t>
            </w:r>
            <w:r>
              <w:rPr>
                <w:spacing w:val="-13"/>
                <w:sz w:val="20"/>
              </w:rPr>
              <w:t> </w:t>
            </w:r>
            <w:r>
              <w:rPr>
                <w:sz w:val="20"/>
              </w:rPr>
              <w:t>Architects,</w:t>
            </w:r>
            <w:r>
              <w:rPr>
                <w:spacing w:val="-12"/>
                <w:sz w:val="20"/>
              </w:rPr>
              <w:t> </w:t>
            </w:r>
            <w:r>
              <w:rPr>
                <w:spacing w:val="-2"/>
                <w:sz w:val="20"/>
              </w:rPr>
              <w:t>Intern</w:t>
            </w:r>
          </w:p>
        </w:tc>
      </w:tr>
      <w:tr>
        <w:trPr>
          <w:trHeight w:val="226" w:hRule="atLeast"/>
        </w:trPr>
        <w:tc>
          <w:tcPr>
            <w:tcW w:w="1248" w:type="dxa"/>
          </w:tcPr>
          <w:p>
            <w:pPr>
              <w:pStyle w:val="TableParagraph"/>
              <w:spacing w:line="207" w:lineRule="exact"/>
              <w:ind w:left="50"/>
              <w:rPr>
                <w:sz w:val="20"/>
              </w:rPr>
            </w:pPr>
            <w:r>
              <w:rPr>
                <w:w w:val="95"/>
                <w:sz w:val="20"/>
              </w:rPr>
              <w:t>1996-</w:t>
            </w:r>
            <w:r>
              <w:rPr>
                <w:spacing w:val="-4"/>
                <w:sz w:val="20"/>
              </w:rPr>
              <w:t>1997</w:t>
            </w:r>
          </w:p>
        </w:tc>
        <w:tc>
          <w:tcPr>
            <w:tcW w:w="5298" w:type="dxa"/>
          </w:tcPr>
          <w:p>
            <w:pPr>
              <w:pStyle w:val="TableParagraph"/>
              <w:spacing w:line="207" w:lineRule="exact"/>
              <w:ind w:left="241"/>
              <w:rPr>
                <w:sz w:val="20"/>
              </w:rPr>
            </w:pPr>
            <w:r>
              <w:rPr>
                <w:sz w:val="20"/>
              </w:rPr>
              <w:t>Franko,</w:t>
            </w:r>
            <w:r>
              <w:rPr>
                <w:spacing w:val="-10"/>
                <w:sz w:val="20"/>
              </w:rPr>
              <w:t> </w:t>
            </w:r>
            <w:r>
              <w:rPr>
                <w:sz w:val="20"/>
              </w:rPr>
              <w:t>LaFratta</w:t>
            </w:r>
            <w:r>
              <w:rPr>
                <w:spacing w:val="-9"/>
                <w:sz w:val="20"/>
              </w:rPr>
              <w:t> </w:t>
            </w:r>
            <w:r>
              <w:rPr>
                <w:sz w:val="20"/>
              </w:rPr>
              <w:t>&amp;</w:t>
            </w:r>
            <w:r>
              <w:rPr>
                <w:spacing w:val="-10"/>
                <w:sz w:val="20"/>
              </w:rPr>
              <w:t> </w:t>
            </w:r>
            <w:r>
              <w:rPr>
                <w:sz w:val="20"/>
              </w:rPr>
              <w:t>Farinholt,</w:t>
            </w:r>
            <w:r>
              <w:rPr>
                <w:spacing w:val="-10"/>
                <w:sz w:val="20"/>
              </w:rPr>
              <w:t> </w:t>
            </w:r>
            <w:r>
              <w:rPr>
                <w:sz w:val="20"/>
              </w:rPr>
              <w:t>Designer/Project</w:t>
            </w:r>
            <w:r>
              <w:rPr>
                <w:spacing w:val="-10"/>
                <w:sz w:val="20"/>
              </w:rPr>
              <w:t> </w:t>
            </w:r>
            <w:r>
              <w:rPr>
                <w:spacing w:val="-2"/>
                <w:sz w:val="20"/>
              </w:rPr>
              <w:t>Manager</w:t>
            </w:r>
          </w:p>
        </w:tc>
      </w:tr>
    </w:tbl>
    <w:p>
      <w:pPr>
        <w:pStyle w:val="BodyText"/>
        <w:spacing w:before="6"/>
        <w:rPr>
          <w:sz w:val="17"/>
        </w:rPr>
      </w:pPr>
    </w:p>
    <w:p>
      <w:pPr>
        <w:spacing w:before="0"/>
        <w:ind w:left="439" w:right="0" w:firstLine="0"/>
        <w:jc w:val="left"/>
        <w:rPr>
          <w:b/>
          <w:sz w:val="20"/>
        </w:rPr>
      </w:pPr>
      <w:r>
        <w:rPr>
          <w:b/>
          <w:sz w:val="20"/>
        </w:rPr>
        <w:t>Licenses</w:t>
      </w:r>
      <w:r>
        <w:rPr>
          <w:b/>
          <w:spacing w:val="-7"/>
          <w:sz w:val="20"/>
        </w:rPr>
        <w:t> </w:t>
      </w:r>
      <w:r>
        <w:rPr>
          <w:b/>
          <w:sz w:val="20"/>
        </w:rPr>
        <w:t>/</w:t>
      </w:r>
      <w:r>
        <w:rPr>
          <w:b/>
          <w:spacing w:val="-7"/>
          <w:sz w:val="20"/>
        </w:rPr>
        <w:t> </w:t>
      </w:r>
      <w:r>
        <w:rPr>
          <w:b/>
          <w:spacing w:val="-2"/>
          <w:sz w:val="20"/>
        </w:rPr>
        <w:t>Registrations:</w:t>
      </w:r>
    </w:p>
    <w:p>
      <w:pPr>
        <w:pStyle w:val="BodyText"/>
        <w:spacing w:before="1"/>
        <w:ind w:left="1160"/>
      </w:pPr>
      <w:r>
        <w:rPr/>
        <w:t>Virginia,</w:t>
      </w:r>
      <w:r>
        <w:rPr>
          <w:spacing w:val="-10"/>
        </w:rPr>
        <w:t> </w:t>
      </w:r>
      <w:r>
        <w:rPr/>
        <w:t>North</w:t>
      </w:r>
      <w:r>
        <w:rPr>
          <w:spacing w:val="-10"/>
        </w:rPr>
        <w:t> </w:t>
      </w:r>
      <w:r>
        <w:rPr/>
        <w:t>Carolina,</w:t>
      </w:r>
      <w:r>
        <w:rPr>
          <w:spacing w:val="-9"/>
        </w:rPr>
        <w:t> </w:t>
      </w:r>
      <w:r>
        <w:rPr/>
        <w:t>National</w:t>
      </w:r>
      <w:r>
        <w:rPr>
          <w:spacing w:val="-9"/>
        </w:rPr>
        <w:t> </w:t>
      </w:r>
      <w:r>
        <w:rPr/>
        <w:t>Council</w:t>
      </w:r>
      <w:r>
        <w:rPr>
          <w:spacing w:val="-9"/>
        </w:rPr>
        <w:t> </w:t>
      </w:r>
      <w:r>
        <w:rPr/>
        <w:t>of</w:t>
      </w:r>
      <w:r>
        <w:rPr>
          <w:spacing w:val="-8"/>
        </w:rPr>
        <w:t> </w:t>
      </w:r>
      <w:r>
        <w:rPr/>
        <w:t>Architecture</w:t>
      </w:r>
      <w:r>
        <w:rPr>
          <w:spacing w:val="-10"/>
        </w:rPr>
        <w:t> </w:t>
      </w:r>
      <w:r>
        <w:rPr/>
        <w:t>Registration</w:t>
      </w:r>
      <w:r>
        <w:rPr>
          <w:spacing w:val="-8"/>
        </w:rPr>
        <w:t> </w:t>
      </w:r>
      <w:r>
        <w:rPr>
          <w:spacing w:val="-2"/>
        </w:rPr>
        <w:t>Boards</w:t>
      </w:r>
    </w:p>
    <w:p>
      <w:pPr>
        <w:pStyle w:val="BodyText"/>
        <w:spacing w:before="4"/>
        <w:rPr>
          <w:sz w:val="17"/>
        </w:rPr>
      </w:pPr>
    </w:p>
    <w:p>
      <w:pPr>
        <w:spacing w:before="0"/>
        <w:ind w:left="440" w:right="0" w:firstLine="0"/>
        <w:jc w:val="left"/>
        <w:rPr>
          <w:b/>
          <w:sz w:val="20"/>
        </w:rPr>
      </w:pPr>
      <w:r>
        <w:rPr>
          <w:b/>
          <w:spacing w:val="-2"/>
          <w:sz w:val="20"/>
        </w:rPr>
        <w:t>Professional</w:t>
      </w:r>
      <w:r>
        <w:rPr>
          <w:b/>
          <w:spacing w:val="5"/>
          <w:sz w:val="20"/>
        </w:rPr>
        <w:t> </w:t>
      </w:r>
      <w:r>
        <w:rPr>
          <w:b/>
          <w:spacing w:val="-2"/>
          <w:sz w:val="20"/>
        </w:rPr>
        <w:t>Memberships:</w:t>
      </w:r>
    </w:p>
    <w:p>
      <w:pPr>
        <w:pStyle w:val="BodyText"/>
        <w:ind w:left="1159"/>
      </w:pPr>
      <w:r>
        <w:rPr/>
        <w:t>American</w:t>
      </w:r>
      <w:r>
        <w:rPr>
          <w:spacing w:val="-9"/>
        </w:rPr>
        <w:t> </w:t>
      </w:r>
      <w:r>
        <w:rPr/>
        <w:t>Institute</w:t>
      </w:r>
      <w:r>
        <w:rPr>
          <w:spacing w:val="-8"/>
        </w:rPr>
        <w:t> </w:t>
      </w:r>
      <w:r>
        <w:rPr/>
        <w:t>of</w:t>
      </w:r>
      <w:r>
        <w:rPr>
          <w:spacing w:val="-7"/>
        </w:rPr>
        <w:t> </w:t>
      </w:r>
      <w:r>
        <w:rPr/>
        <w:t>Architects,</w:t>
      </w:r>
      <w:r>
        <w:rPr>
          <w:spacing w:val="-9"/>
        </w:rPr>
        <w:t> </w:t>
      </w:r>
      <w:r>
        <w:rPr>
          <w:spacing w:val="-2"/>
        </w:rPr>
        <w:t>Member</w:t>
      </w:r>
    </w:p>
    <w:p>
      <w:pPr>
        <w:pStyle w:val="BodyText"/>
        <w:spacing w:before="1"/>
        <w:ind w:left="1159"/>
      </w:pPr>
      <w:r>
        <w:rPr/>
        <w:t>National</w:t>
      </w:r>
      <w:r>
        <w:rPr>
          <w:spacing w:val="-10"/>
        </w:rPr>
        <w:t> </w:t>
      </w:r>
      <w:r>
        <w:rPr/>
        <w:t>Council</w:t>
      </w:r>
      <w:r>
        <w:rPr>
          <w:spacing w:val="-10"/>
        </w:rPr>
        <w:t> </w:t>
      </w:r>
      <w:r>
        <w:rPr/>
        <w:t>of</w:t>
      </w:r>
      <w:r>
        <w:rPr>
          <w:spacing w:val="-7"/>
        </w:rPr>
        <w:t> </w:t>
      </w:r>
      <w:r>
        <w:rPr/>
        <w:t>Architectural</w:t>
      </w:r>
      <w:r>
        <w:rPr>
          <w:spacing w:val="-9"/>
        </w:rPr>
        <w:t> </w:t>
      </w:r>
      <w:r>
        <w:rPr/>
        <w:t>Registration</w:t>
      </w:r>
      <w:r>
        <w:rPr>
          <w:spacing w:val="-9"/>
        </w:rPr>
        <w:t> </w:t>
      </w:r>
      <w:r>
        <w:rPr/>
        <w:t>Boards,</w:t>
      </w:r>
      <w:r>
        <w:rPr>
          <w:spacing w:val="-7"/>
        </w:rPr>
        <w:t> </w:t>
      </w:r>
      <w:r>
        <w:rPr>
          <w:spacing w:val="-2"/>
        </w:rPr>
        <w:t>Member</w:t>
      </w:r>
    </w:p>
    <w:p>
      <w:pPr>
        <w:pStyle w:val="BodyText"/>
        <w:ind w:left="2599" w:right="642" w:hanging="1441"/>
      </w:pPr>
      <w:r>
        <w:rPr/>
        <w:t>Design</w:t>
      </w:r>
      <w:r>
        <w:rPr>
          <w:spacing w:val="-3"/>
        </w:rPr>
        <w:t> </w:t>
      </w:r>
      <w:r>
        <w:rPr/>
        <w:t>Committee,</w:t>
      </w:r>
      <w:r>
        <w:rPr>
          <w:spacing w:val="-5"/>
        </w:rPr>
        <w:t> </w:t>
      </w:r>
      <w:r>
        <w:rPr/>
        <w:t>Virginia</w:t>
      </w:r>
      <w:r>
        <w:rPr>
          <w:spacing w:val="-3"/>
        </w:rPr>
        <w:t> </w:t>
      </w:r>
      <w:r>
        <w:rPr/>
        <w:t>Society</w:t>
      </w:r>
      <w:r>
        <w:rPr>
          <w:spacing w:val="-6"/>
        </w:rPr>
        <w:t> </w:t>
      </w:r>
      <w:r>
        <w:rPr/>
        <w:t>of</w:t>
      </w:r>
      <w:r>
        <w:rPr>
          <w:spacing w:val="-3"/>
        </w:rPr>
        <w:t> </w:t>
      </w:r>
      <w:r>
        <w:rPr/>
        <w:t>the</w:t>
      </w:r>
      <w:r>
        <w:rPr>
          <w:spacing w:val="-3"/>
        </w:rPr>
        <w:t> </w:t>
      </w:r>
      <w:r>
        <w:rPr/>
        <w:t>American</w:t>
      </w:r>
      <w:r>
        <w:rPr>
          <w:spacing w:val="-5"/>
        </w:rPr>
        <w:t> </w:t>
      </w:r>
      <w:r>
        <w:rPr/>
        <w:t>Institute</w:t>
      </w:r>
      <w:r>
        <w:rPr>
          <w:spacing w:val="-3"/>
        </w:rPr>
        <w:t> </w:t>
      </w:r>
      <w:r>
        <w:rPr/>
        <w:t>of</w:t>
      </w:r>
      <w:r>
        <w:rPr>
          <w:spacing w:val="-3"/>
        </w:rPr>
        <w:t> </w:t>
      </w:r>
      <w:r>
        <w:rPr/>
        <w:t>Architects,</w:t>
      </w:r>
      <w:r>
        <w:rPr>
          <w:spacing w:val="-5"/>
        </w:rPr>
        <w:t> </w:t>
      </w:r>
      <w:r>
        <w:rPr/>
        <w:t>Former</w:t>
      </w:r>
      <w:r>
        <w:rPr>
          <w:spacing w:val="-6"/>
        </w:rPr>
        <w:t> </w:t>
      </w:r>
      <w:r>
        <w:rPr/>
        <w:t>Chair, Committee Member</w:t>
      </w:r>
    </w:p>
    <w:p>
      <w:pPr>
        <w:pStyle w:val="BodyText"/>
        <w:spacing w:line="229" w:lineRule="exact"/>
        <w:ind w:left="1159"/>
      </w:pPr>
      <w:r>
        <w:rPr/>
        <w:t>Phi</w:t>
      </w:r>
      <w:r>
        <w:rPr>
          <w:spacing w:val="-7"/>
        </w:rPr>
        <w:t> </w:t>
      </w:r>
      <w:r>
        <w:rPr/>
        <w:t>Beta</w:t>
      </w:r>
      <w:r>
        <w:rPr>
          <w:spacing w:val="-7"/>
        </w:rPr>
        <w:t> </w:t>
      </w:r>
      <w:r>
        <w:rPr/>
        <w:t>Delta</w:t>
      </w:r>
      <w:r>
        <w:rPr>
          <w:spacing w:val="-7"/>
        </w:rPr>
        <w:t> </w:t>
      </w:r>
      <w:r>
        <w:rPr/>
        <w:t>International</w:t>
      </w:r>
      <w:r>
        <w:rPr>
          <w:spacing w:val="-6"/>
        </w:rPr>
        <w:t> </w:t>
      </w:r>
      <w:r>
        <w:rPr/>
        <w:t>Honor</w:t>
      </w:r>
      <w:r>
        <w:rPr>
          <w:spacing w:val="-5"/>
        </w:rPr>
        <w:t> </w:t>
      </w:r>
      <w:r>
        <w:rPr/>
        <w:t>Society,</w:t>
      </w:r>
      <w:r>
        <w:rPr>
          <w:spacing w:val="-7"/>
        </w:rPr>
        <w:t> </w:t>
      </w:r>
      <w:r>
        <w:rPr/>
        <w:t>Gamma</w:t>
      </w:r>
      <w:r>
        <w:rPr>
          <w:spacing w:val="-7"/>
        </w:rPr>
        <w:t> </w:t>
      </w:r>
      <w:r>
        <w:rPr/>
        <w:t>Omega</w:t>
      </w:r>
      <w:r>
        <w:rPr>
          <w:spacing w:val="-8"/>
        </w:rPr>
        <w:t> </w:t>
      </w:r>
      <w:r>
        <w:rPr/>
        <w:t>Chapter</w:t>
      </w:r>
      <w:r>
        <w:rPr>
          <w:spacing w:val="-4"/>
        </w:rPr>
        <w:t> </w:t>
      </w:r>
      <w:r>
        <w:rPr/>
        <w:t>of</w:t>
      </w:r>
      <w:r>
        <w:rPr>
          <w:spacing w:val="-5"/>
        </w:rPr>
        <w:t> </w:t>
      </w:r>
      <w:r>
        <w:rPr/>
        <w:t>Virginia</w:t>
      </w:r>
      <w:r>
        <w:rPr>
          <w:spacing w:val="-8"/>
        </w:rPr>
        <w:t> </w:t>
      </w:r>
      <w:r>
        <w:rPr/>
        <w:t>Tech,</w:t>
      </w:r>
      <w:r>
        <w:rPr>
          <w:spacing w:val="-7"/>
        </w:rPr>
        <w:t> </w:t>
      </w:r>
      <w:r>
        <w:rPr>
          <w:spacing w:val="-2"/>
        </w:rPr>
        <w:t>Member</w:t>
      </w:r>
    </w:p>
    <w:p>
      <w:pPr>
        <w:pStyle w:val="BodyText"/>
        <w:spacing w:before="10"/>
        <w:rPr>
          <w:sz w:val="19"/>
        </w:rPr>
      </w:pPr>
    </w:p>
    <w:p>
      <w:pPr>
        <w:spacing w:before="0"/>
        <w:ind w:left="440" w:right="0" w:firstLine="0"/>
        <w:jc w:val="left"/>
        <w:rPr>
          <w:b/>
          <w:sz w:val="20"/>
        </w:rPr>
      </w:pPr>
      <w:r>
        <w:rPr>
          <w:b/>
          <w:sz w:val="20"/>
        </w:rPr>
        <w:t>Professional</w:t>
      </w:r>
      <w:r>
        <w:rPr>
          <w:b/>
          <w:spacing w:val="-11"/>
          <w:sz w:val="20"/>
        </w:rPr>
        <w:t> </w:t>
      </w:r>
      <w:r>
        <w:rPr>
          <w:b/>
          <w:sz w:val="20"/>
        </w:rPr>
        <w:t>Development</w:t>
      </w:r>
      <w:r>
        <w:rPr>
          <w:b/>
          <w:spacing w:val="-10"/>
          <w:sz w:val="20"/>
        </w:rPr>
        <w:t> </w:t>
      </w:r>
      <w:r>
        <w:rPr>
          <w:b/>
          <w:sz w:val="20"/>
        </w:rPr>
        <w:t>&amp;</w:t>
      </w:r>
      <w:r>
        <w:rPr>
          <w:b/>
          <w:spacing w:val="-10"/>
          <w:sz w:val="20"/>
        </w:rPr>
        <w:t> </w:t>
      </w:r>
      <w:r>
        <w:rPr>
          <w:b/>
          <w:spacing w:val="-2"/>
          <w:sz w:val="20"/>
        </w:rPr>
        <w:t>Research</w:t>
      </w:r>
    </w:p>
    <w:p>
      <w:pPr>
        <w:pStyle w:val="BodyText"/>
        <w:spacing w:before="3"/>
        <w:ind w:left="799" w:right="3224"/>
      </w:pPr>
      <w:r>
        <w:rPr/>
        <w:t>2007-2011</w:t>
      </w:r>
      <w:r>
        <w:rPr>
          <w:spacing w:val="40"/>
        </w:rPr>
        <w:t> </w:t>
      </w:r>
      <w:r>
        <w:rPr/>
        <w:t>ACSA Faculty Counselor, North Carolina State University 2007-2010</w:t>
      </w:r>
      <w:r>
        <w:rPr>
          <w:spacing w:val="40"/>
        </w:rPr>
        <w:t> </w:t>
      </w:r>
      <w:r>
        <w:rPr/>
        <w:t>Chair,</w:t>
      </w:r>
      <w:r>
        <w:rPr>
          <w:spacing w:val="-4"/>
        </w:rPr>
        <w:t> </w:t>
      </w:r>
      <w:r>
        <w:rPr/>
        <w:t>Speakers</w:t>
      </w:r>
      <w:r>
        <w:rPr>
          <w:spacing w:val="-5"/>
        </w:rPr>
        <w:t> </w:t>
      </w:r>
      <w:r>
        <w:rPr/>
        <w:t>Committee,</w:t>
      </w:r>
      <w:r>
        <w:rPr>
          <w:spacing w:val="-6"/>
        </w:rPr>
        <w:t> </w:t>
      </w:r>
      <w:r>
        <w:rPr/>
        <w:t>North</w:t>
      </w:r>
      <w:r>
        <w:rPr>
          <w:spacing w:val="-4"/>
        </w:rPr>
        <w:t> </w:t>
      </w:r>
      <w:r>
        <w:rPr/>
        <w:t>Carolina</w:t>
      </w:r>
      <w:r>
        <w:rPr>
          <w:spacing w:val="-4"/>
        </w:rPr>
        <w:t> </w:t>
      </w:r>
      <w:r>
        <w:rPr/>
        <w:t>State</w:t>
      </w:r>
      <w:r>
        <w:rPr>
          <w:spacing w:val="-6"/>
        </w:rPr>
        <w:t> </w:t>
      </w:r>
      <w:r>
        <w:rPr/>
        <w:t>University</w:t>
      </w:r>
    </w:p>
    <w:p>
      <w:pPr>
        <w:pStyle w:val="BodyText"/>
        <w:tabs>
          <w:tab w:pos="1879" w:val="left" w:leader="none"/>
        </w:tabs>
        <w:ind w:left="799" w:right="1449" w:hanging="1"/>
      </w:pPr>
      <w:r>
        <w:rPr>
          <w:spacing w:val="-4"/>
        </w:rPr>
        <w:t>2008</w:t>
      </w:r>
      <w:r>
        <w:rPr/>
        <w:tab/>
        <w:t>Reviewer, 2008 ACSA West Fall Conference, University of Southern California </w:t>
      </w:r>
      <w:r>
        <w:rPr>
          <w:spacing w:val="-4"/>
        </w:rPr>
        <w:t>2006</w:t>
      </w:r>
      <w:r>
        <w:rPr/>
        <w:tab/>
        <w:t>Chair,</w:t>
      </w:r>
      <w:r>
        <w:rPr>
          <w:spacing w:val="-3"/>
        </w:rPr>
        <w:t> </w:t>
      </w:r>
      <w:r>
        <w:rPr/>
        <w:t>Design</w:t>
      </w:r>
      <w:r>
        <w:rPr>
          <w:spacing w:val="-5"/>
        </w:rPr>
        <w:t> </w:t>
      </w:r>
      <w:r>
        <w:rPr/>
        <w:t>Committee,</w:t>
      </w:r>
      <w:r>
        <w:rPr>
          <w:spacing w:val="-5"/>
        </w:rPr>
        <w:t> </w:t>
      </w:r>
      <w:r>
        <w:rPr/>
        <w:t>Virginia</w:t>
      </w:r>
      <w:r>
        <w:rPr>
          <w:spacing w:val="-3"/>
        </w:rPr>
        <w:t> </w:t>
      </w:r>
      <w:r>
        <w:rPr/>
        <w:t>Society</w:t>
      </w:r>
      <w:r>
        <w:rPr>
          <w:spacing w:val="-6"/>
        </w:rPr>
        <w:t> </w:t>
      </w:r>
      <w:r>
        <w:rPr/>
        <w:t>of</w:t>
      </w:r>
      <w:r>
        <w:rPr>
          <w:spacing w:val="-3"/>
        </w:rPr>
        <w:t> </w:t>
      </w:r>
      <w:r>
        <w:rPr/>
        <w:t>the</w:t>
      </w:r>
      <w:r>
        <w:rPr>
          <w:spacing w:val="-3"/>
        </w:rPr>
        <w:t> </w:t>
      </w:r>
      <w:r>
        <w:rPr/>
        <w:t>American</w:t>
      </w:r>
      <w:r>
        <w:rPr>
          <w:spacing w:val="-5"/>
        </w:rPr>
        <w:t> </w:t>
      </w:r>
      <w:r>
        <w:rPr/>
        <w:t>Institute</w:t>
      </w:r>
      <w:r>
        <w:rPr>
          <w:spacing w:val="-5"/>
        </w:rPr>
        <w:t> </w:t>
      </w:r>
      <w:r>
        <w:rPr/>
        <w:t>of</w:t>
      </w:r>
      <w:r>
        <w:rPr>
          <w:spacing w:val="-3"/>
        </w:rPr>
        <w:t> </w:t>
      </w:r>
      <w:r>
        <w:rPr/>
        <w:t>Architects </w:t>
      </w:r>
      <w:r>
        <w:rPr>
          <w:spacing w:val="-4"/>
        </w:rPr>
        <w:t>2004</w:t>
      </w:r>
      <w:r>
        <w:rPr/>
        <w:tab/>
        <w:t>Chair,</w:t>
      </w:r>
      <w:r>
        <w:rPr>
          <w:spacing w:val="-3"/>
        </w:rPr>
        <w:t> </w:t>
      </w:r>
      <w:r>
        <w:rPr/>
        <w:t>Design</w:t>
      </w:r>
      <w:r>
        <w:rPr>
          <w:spacing w:val="-5"/>
        </w:rPr>
        <w:t> </w:t>
      </w:r>
      <w:r>
        <w:rPr/>
        <w:t>Committee,</w:t>
      </w:r>
      <w:r>
        <w:rPr>
          <w:spacing w:val="-5"/>
        </w:rPr>
        <w:t> </w:t>
      </w:r>
      <w:r>
        <w:rPr/>
        <w:t>Virginia</w:t>
      </w:r>
      <w:r>
        <w:rPr>
          <w:spacing w:val="-3"/>
        </w:rPr>
        <w:t> </w:t>
      </w:r>
      <w:r>
        <w:rPr/>
        <w:t>Society</w:t>
      </w:r>
      <w:r>
        <w:rPr>
          <w:spacing w:val="-6"/>
        </w:rPr>
        <w:t> </w:t>
      </w:r>
      <w:r>
        <w:rPr/>
        <w:t>of</w:t>
      </w:r>
      <w:r>
        <w:rPr>
          <w:spacing w:val="-3"/>
        </w:rPr>
        <w:t> </w:t>
      </w:r>
      <w:r>
        <w:rPr/>
        <w:t>the</w:t>
      </w:r>
      <w:r>
        <w:rPr>
          <w:spacing w:val="-3"/>
        </w:rPr>
        <w:t> </w:t>
      </w:r>
      <w:r>
        <w:rPr/>
        <w:t>American</w:t>
      </w:r>
      <w:r>
        <w:rPr>
          <w:spacing w:val="-5"/>
        </w:rPr>
        <w:t> </w:t>
      </w:r>
      <w:r>
        <w:rPr/>
        <w:t>Institute</w:t>
      </w:r>
      <w:r>
        <w:rPr>
          <w:spacing w:val="-5"/>
        </w:rPr>
        <w:t> </w:t>
      </w:r>
      <w:r>
        <w:rPr/>
        <w:t>of</w:t>
      </w:r>
      <w:r>
        <w:rPr>
          <w:spacing w:val="-3"/>
        </w:rPr>
        <w:t> </w:t>
      </w:r>
      <w:r>
        <w:rPr/>
        <w:t>Architects 2001-2004</w:t>
      </w:r>
      <w:r>
        <w:rPr>
          <w:spacing w:val="40"/>
        </w:rPr>
        <w:t> </w:t>
      </w:r>
      <w:r>
        <w:rPr/>
        <w:t>Founder/Organizer, Richmond Architects’ Forum, Richmond, Viriginia</w:t>
      </w:r>
    </w:p>
    <w:p>
      <w:pPr>
        <w:pStyle w:val="BodyText"/>
        <w:spacing w:line="229" w:lineRule="exact" w:before="1"/>
        <w:ind w:left="439"/>
      </w:pPr>
      <w:r>
        <w:rPr>
          <w:spacing w:val="-2"/>
        </w:rPr>
        <w:t>Service:</w:t>
      </w:r>
    </w:p>
    <w:p>
      <w:pPr>
        <w:pStyle w:val="BodyText"/>
        <w:spacing w:line="229" w:lineRule="exact" w:after="8"/>
        <w:ind w:left="799"/>
      </w:pPr>
      <w:r>
        <w:rPr/>
        <w:t>June</w:t>
      </w:r>
      <w:r>
        <w:rPr>
          <w:spacing w:val="-9"/>
        </w:rPr>
        <w:t> </w:t>
      </w:r>
      <w:r>
        <w:rPr/>
        <w:t>2011-pres</w:t>
      </w:r>
      <w:r>
        <w:rPr>
          <w:spacing w:val="-9"/>
        </w:rPr>
        <w:t> </w:t>
      </w:r>
      <w:r>
        <w:rPr/>
        <w:t>NCARB</w:t>
      </w:r>
      <w:r>
        <w:rPr>
          <w:spacing w:val="-10"/>
        </w:rPr>
        <w:t> </w:t>
      </w:r>
      <w:r>
        <w:rPr/>
        <w:t>IDP</w:t>
      </w:r>
      <w:r>
        <w:rPr>
          <w:spacing w:val="-6"/>
        </w:rPr>
        <w:t> </w:t>
      </w:r>
      <w:r>
        <w:rPr/>
        <w:t>Auxillary</w:t>
      </w:r>
      <w:r>
        <w:rPr>
          <w:spacing w:val="-11"/>
        </w:rPr>
        <w:t> </w:t>
      </w:r>
      <w:r>
        <w:rPr/>
        <w:t>Coordinator,</w:t>
      </w:r>
      <w:r>
        <w:rPr>
          <w:spacing w:val="-9"/>
        </w:rPr>
        <w:t> </w:t>
      </w:r>
      <w:r>
        <w:rPr>
          <w:spacing w:val="-2"/>
        </w:rPr>
        <w:t>Clark/Nexen</w:t>
      </w:r>
    </w:p>
    <w:tbl>
      <w:tblPr>
        <w:tblW w:w="0" w:type="auto"/>
        <w:jc w:val="left"/>
        <w:tblInd w:w="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68"/>
        <w:gridCol w:w="7116"/>
      </w:tblGrid>
      <w:tr>
        <w:trPr>
          <w:trHeight w:val="206" w:hRule="atLeast"/>
        </w:trPr>
        <w:tc>
          <w:tcPr>
            <w:tcW w:w="1068" w:type="dxa"/>
          </w:tcPr>
          <w:p>
            <w:pPr>
              <w:pStyle w:val="TableParagraph"/>
              <w:spacing w:line="186" w:lineRule="exact"/>
              <w:ind w:left="50"/>
              <w:rPr>
                <w:sz w:val="20"/>
              </w:rPr>
            </w:pPr>
            <w:r>
              <w:rPr>
                <w:w w:val="95"/>
                <w:sz w:val="20"/>
              </w:rPr>
              <w:t>2010-</w:t>
            </w:r>
            <w:r>
              <w:rPr>
                <w:spacing w:val="-4"/>
                <w:sz w:val="20"/>
              </w:rPr>
              <w:t>2011</w:t>
            </w:r>
          </w:p>
        </w:tc>
        <w:tc>
          <w:tcPr>
            <w:tcW w:w="7116" w:type="dxa"/>
          </w:tcPr>
          <w:p>
            <w:pPr>
              <w:pStyle w:val="TableParagraph"/>
              <w:spacing w:line="186" w:lineRule="exact"/>
              <w:ind w:left="61"/>
              <w:rPr>
                <w:sz w:val="20"/>
              </w:rPr>
            </w:pPr>
            <w:r>
              <w:rPr>
                <w:sz w:val="20"/>
              </w:rPr>
              <w:t>NCARB</w:t>
            </w:r>
            <w:r>
              <w:rPr>
                <w:spacing w:val="-9"/>
                <w:sz w:val="20"/>
              </w:rPr>
              <w:t> </w:t>
            </w:r>
            <w:r>
              <w:rPr>
                <w:sz w:val="20"/>
              </w:rPr>
              <w:t>IDP</w:t>
            </w:r>
            <w:r>
              <w:rPr>
                <w:spacing w:val="-7"/>
                <w:sz w:val="20"/>
              </w:rPr>
              <w:t> </w:t>
            </w:r>
            <w:r>
              <w:rPr>
                <w:sz w:val="20"/>
              </w:rPr>
              <w:t>Educator</w:t>
            </w:r>
            <w:r>
              <w:rPr>
                <w:spacing w:val="-7"/>
                <w:sz w:val="20"/>
              </w:rPr>
              <w:t> </w:t>
            </w:r>
            <w:r>
              <w:rPr>
                <w:sz w:val="20"/>
              </w:rPr>
              <w:t>Coordinator,</w:t>
            </w:r>
            <w:r>
              <w:rPr>
                <w:spacing w:val="-8"/>
                <w:sz w:val="20"/>
              </w:rPr>
              <w:t> </w:t>
            </w:r>
            <w:r>
              <w:rPr>
                <w:sz w:val="20"/>
              </w:rPr>
              <w:t>North</w:t>
            </w:r>
            <w:r>
              <w:rPr>
                <w:spacing w:val="-8"/>
                <w:sz w:val="20"/>
              </w:rPr>
              <w:t> </w:t>
            </w:r>
            <w:r>
              <w:rPr>
                <w:sz w:val="20"/>
              </w:rPr>
              <w:t>Carolina</w:t>
            </w:r>
            <w:r>
              <w:rPr>
                <w:spacing w:val="-6"/>
                <w:sz w:val="20"/>
              </w:rPr>
              <w:t> </w:t>
            </w:r>
            <w:r>
              <w:rPr>
                <w:sz w:val="20"/>
              </w:rPr>
              <w:t>State</w:t>
            </w:r>
            <w:r>
              <w:rPr>
                <w:spacing w:val="-8"/>
                <w:sz w:val="20"/>
              </w:rPr>
              <w:t> </w:t>
            </w:r>
            <w:r>
              <w:rPr>
                <w:spacing w:val="-2"/>
                <w:sz w:val="20"/>
              </w:rPr>
              <w:t>University</w:t>
            </w:r>
          </w:p>
        </w:tc>
      </w:tr>
      <w:tr>
        <w:trPr>
          <w:trHeight w:val="249" w:hRule="atLeast"/>
        </w:trPr>
        <w:tc>
          <w:tcPr>
            <w:tcW w:w="1068" w:type="dxa"/>
          </w:tcPr>
          <w:p>
            <w:pPr>
              <w:pStyle w:val="TableParagraph"/>
              <w:spacing w:line="212" w:lineRule="exact" w:before="17"/>
              <w:ind w:left="50"/>
              <w:rPr>
                <w:sz w:val="20"/>
              </w:rPr>
            </w:pPr>
            <w:r>
              <w:rPr>
                <w:spacing w:val="-4"/>
                <w:sz w:val="20"/>
              </w:rPr>
              <w:t>2011</w:t>
            </w:r>
          </w:p>
        </w:tc>
        <w:tc>
          <w:tcPr>
            <w:tcW w:w="7116" w:type="dxa"/>
          </w:tcPr>
          <w:p>
            <w:pPr>
              <w:pStyle w:val="TableParagraph"/>
              <w:spacing w:line="212" w:lineRule="exact" w:before="17"/>
              <w:ind w:left="62"/>
              <w:rPr>
                <w:sz w:val="20"/>
              </w:rPr>
            </w:pPr>
            <w:r>
              <w:rPr>
                <w:sz w:val="20"/>
              </w:rPr>
              <w:t>Reviewer,</w:t>
            </w:r>
            <w:r>
              <w:rPr>
                <w:spacing w:val="-6"/>
                <w:sz w:val="20"/>
              </w:rPr>
              <w:t> </w:t>
            </w:r>
            <w:r>
              <w:rPr>
                <w:sz w:val="20"/>
              </w:rPr>
              <w:t>99</w:t>
            </w:r>
            <w:r>
              <w:rPr>
                <w:sz w:val="20"/>
                <w:vertAlign w:val="superscript"/>
              </w:rPr>
              <w:t>th</w:t>
            </w:r>
            <w:r>
              <w:rPr>
                <w:spacing w:val="-5"/>
                <w:sz w:val="20"/>
                <w:vertAlign w:val="baseline"/>
              </w:rPr>
              <w:t> </w:t>
            </w:r>
            <w:r>
              <w:rPr>
                <w:sz w:val="20"/>
                <w:vertAlign w:val="baseline"/>
              </w:rPr>
              <w:t>ACSA</w:t>
            </w:r>
            <w:r>
              <w:rPr>
                <w:spacing w:val="-6"/>
                <w:sz w:val="20"/>
                <w:vertAlign w:val="baseline"/>
              </w:rPr>
              <w:t> </w:t>
            </w:r>
            <w:r>
              <w:rPr>
                <w:sz w:val="20"/>
                <w:vertAlign w:val="baseline"/>
              </w:rPr>
              <w:t>Annual</w:t>
            </w:r>
            <w:r>
              <w:rPr>
                <w:spacing w:val="-5"/>
                <w:sz w:val="20"/>
                <w:vertAlign w:val="baseline"/>
              </w:rPr>
              <w:t> </w:t>
            </w:r>
            <w:r>
              <w:rPr>
                <w:sz w:val="20"/>
                <w:vertAlign w:val="baseline"/>
              </w:rPr>
              <w:t>Meeting</w:t>
            </w:r>
            <w:r>
              <w:rPr>
                <w:spacing w:val="-6"/>
                <w:sz w:val="20"/>
                <w:vertAlign w:val="baseline"/>
              </w:rPr>
              <w:t> </w:t>
            </w:r>
            <w:r>
              <w:rPr>
                <w:sz w:val="20"/>
                <w:vertAlign w:val="baseline"/>
              </w:rPr>
              <w:t>–</w:t>
            </w:r>
            <w:r>
              <w:rPr>
                <w:spacing w:val="-7"/>
                <w:sz w:val="20"/>
                <w:vertAlign w:val="baseline"/>
              </w:rPr>
              <w:t> </w:t>
            </w:r>
            <w:r>
              <w:rPr>
                <w:sz w:val="20"/>
                <w:vertAlign w:val="baseline"/>
              </w:rPr>
              <w:t>Where</w:t>
            </w:r>
            <w:r>
              <w:rPr>
                <w:spacing w:val="-5"/>
                <w:sz w:val="20"/>
                <w:vertAlign w:val="baseline"/>
              </w:rPr>
              <w:t> </w:t>
            </w:r>
            <w:r>
              <w:rPr>
                <w:sz w:val="20"/>
                <w:vertAlign w:val="baseline"/>
              </w:rPr>
              <w:t>Do</w:t>
            </w:r>
            <w:r>
              <w:rPr>
                <w:spacing w:val="-4"/>
                <w:sz w:val="20"/>
                <w:vertAlign w:val="baseline"/>
              </w:rPr>
              <w:t> </w:t>
            </w:r>
            <w:r>
              <w:rPr>
                <w:sz w:val="20"/>
                <w:vertAlign w:val="baseline"/>
              </w:rPr>
              <w:t>You</w:t>
            </w:r>
            <w:r>
              <w:rPr>
                <w:spacing w:val="-5"/>
                <w:sz w:val="20"/>
                <w:vertAlign w:val="baseline"/>
              </w:rPr>
              <w:t> </w:t>
            </w:r>
            <w:r>
              <w:rPr>
                <w:spacing w:val="-2"/>
                <w:sz w:val="20"/>
                <w:vertAlign w:val="baseline"/>
              </w:rPr>
              <w:t>Stand</w:t>
            </w:r>
          </w:p>
        </w:tc>
      </w:tr>
      <w:tr>
        <w:trPr>
          <w:trHeight w:val="228" w:hRule="atLeast"/>
        </w:trPr>
        <w:tc>
          <w:tcPr>
            <w:tcW w:w="1068" w:type="dxa"/>
          </w:tcPr>
          <w:p>
            <w:pPr>
              <w:pStyle w:val="TableParagraph"/>
              <w:spacing w:line="209" w:lineRule="exact"/>
              <w:ind w:left="50"/>
              <w:rPr>
                <w:sz w:val="20"/>
              </w:rPr>
            </w:pPr>
            <w:r>
              <w:rPr>
                <w:spacing w:val="-4"/>
                <w:sz w:val="20"/>
              </w:rPr>
              <w:t>2010</w:t>
            </w:r>
          </w:p>
        </w:tc>
        <w:tc>
          <w:tcPr>
            <w:tcW w:w="7116" w:type="dxa"/>
          </w:tcPr>
          <w:p>
            <w:pPr>
              <w:pStyle w:val="TableParagraph"/>
              <w:spacing w:line="209" w:lineRule="exact"/>
              <w:ind w:left="62"/>
              <w:rPr>
                <w:sz w:val="20"/>
              </w:rPr>
            </w:pPr>
            <w:r>
              <w:rPr>
                <w:sz w:val="20"/>
              </w:rPr>
              <w:t>Faculty</w:t>
            </w:r>
            <w:r>
              <w:rPr>
                <w:spacing w:val="-11"/>
                <w:sz w:val="20"/>
              </w:rPr>
              <w:t> </w:t>
            </w:r>
            <w:r>
              <w:rPr>
                <w:sz w:val="20"/>
              </w:rPr>
              <w:t>Sponsor,</w:t>
            </w:r>
            <w:r>
              <w:rPr>
                <w:spacing w:val="-7"/>
                <w:sz w:val="20"/>
              </w:rPr>
              <w:t> </w:t>
            </w:r>
            <w:r>
              <w:rPr>
                <w:sz w:val="20"/>
              </w:rPr>
              <w:t>North</w:t>
            </w:r>
            <w:r>
              <w:rPr>
                <w:spacing w:val="-6"/>
                <w:sz w:val="20"/>
              </w:rPr>
              <w:t> </w:t>
            </w:r>
            <w:r>
              <w:rPr>
                <w:sz w:val="20"/>
              </w:rPr>
              <w:t>Carolina</w:t>
            </w:r>
            <w:r>
              <w:rPr>
                <w:spacing w:val="-7"/>
                <w:sz w:val="20"/>
              </w:rPr>
              <w:t> </w:t>
            </w:r>
            <w:r>
              <w:rPr>
                <w:sz w:val="20"/>
              </w:rPr>
              <w:t>State</w:t>
            </w:r>
            <w:r>
              <w:rPr>
                <w:spacing w:val="-8"/>
                <w:sz w:val="20"/>
              </w:rPr>
              <w:t> </w:t>
            </w:r>
            <w:r>
              <w:rPr>
                <w:spacing w:val="-2"/>
                <w:sz w:val="20"/>
              </w:rPr>
              <w:t>University</w:t>
            </w:r>
          </w:p>
        </w:tc>
      </w:tr>
      <w:tr>
        <w:trPr>
          <w:trHeight w:val="230" w:hRule="atLeast"/>
        </w:trPr>
        <w:tc>
          <w:tcPr>
            <w:tcW w:w="1068" w:type="dxa"/>
          </w:tcPr>
          <w:p>
            <w:pPr>
              <w:pStyle w:val="TableParagraph"/>
              <w:spacing w:line="210" w:lineRule="exact"/>
              <w:ind w:left="50"/>
              <w:rPr>
                <w:sz w:val="20"/>
              </w:rPr>
            </w:pPr>
            <w:r>
              <w:rPr>
                <w:spacing w:val="-4"/>
                <w:sz w:val="20"/>
              </w:rPr>
              <w:t>2010</w:t>
            </w:r>
          </w:p>
        </w:tc>
        <w:tc>
          <w:tcPr>
            <w:tcW w:w="7116" w:type="dxa"/>
          </w:tcPr>
          <w:p>
            <w:pPr>
              <w:pStyle w:val="TableParagraph"/>
              <w:spacing w:line="210" w:lineRule="exact"/>
              <w:ind w:left="62"/>
              <w:rPr>
                <w:sz w:val="20"/>
              </w:rPr>
            </w:pPr>
            <w:r>
              <w:rPr>
                <w:sz w:val="20"/>
              </w:rPr>
              <w:t>Referee/Associate</w:t>
            </w:r>
            <w:r>
              <w:rPr>
                <w:spacing w:val="-10"/>
                <w:sz w:val="20"/>
              </w:rPr>
              <w:t> </w:t>
            </w:r>
            <w:r>
              <w:rPr>
                <w:sz w:val="20"/>
              </w:rPr>
              <w:t>Editor,</w:t>
            </w:r>
            <w:r>
              <w:rPr>
                <w:spacing w:val="-9"/>
                <w:sz w:val="20"/>
              </w:rPr>
              <w:t> </w:t>
            </w:r>
            <w:r>
              <w:rPr>
                <w:sz w:val="20"/>
              </w:rPr>
              <w:t>Design</w:t>
            </w:r>
            <w:r>
              <w:rPr>
                <w:spacing w:val="-9"/>
                <w:sz w:val="20"/>
              </w:rPr>
              <w:t> </w:t>
            </w:r>
            <w:r>
              <w:rPr>
                <w:sz w:val="20"/>
              </w:rPr>
              <w:t>Principles</w:t>
            </w:r>
            <w:r>
              <w:rPr>
                <w:spacing w:val="-11"/>
                <w:sz w:val="20"/>
              </w:rPr>
              <w:t> </w:t>
            </w:r>
            <w:r>
              <w:rPr>
                <w:sz w:val="20"/>
              </w:rPr>
              <w:t>and</w:t>
            </w:r>
            <w:r>
              <w:rPr>
                <w:spacing w:val="-9"/>
                <w:sz w:val="20"/>
              </w:rPr>
              <w:t> </w:t>
            </w:r>
            <w:r>
              <w:rPr>
                <w:spacing w:val="-2"/>
                <w:sz w:val="20"/>
              </w:rPr>
              <w:t>Practices</w:t>
            </w:r>
          </w:p>
        </w:tc>
      </w:tr>
      <w:tr>
        <w:trPr>
          <w:trHeight w:val="229" w:hRule="atLeast"/>
        </w:trPr>
        <w:tc>
          <w:tcPr>
            <w:tcW w:w="1068" w:type="dxa"/>
          </w:tcPr>
          <w:p>
            <w:pPr>
              <w:pStyle w:val="TableParagraph"/>
              <w:spacing w:line="209" w:lineRule="exact"/>
              <w:ind w:left="50"/>
              <w:rPr>
                <w:sz w:val="20"/>
              </w:rPr>
            </w:pPr>
            <w:r>
              <w:rPr>
                <w:spacing w:val="-4"/>
                <w:sz w:val="20"/>
              </w:rPr>
              <w:t>2009</w:t>
            </w:r>
          </w:p>
        </w:tc>
        <w:tc>
          <w:tcPr>
            <w:tcW w:w="7116" w:type="dxa"/>
          </w:tcPr>
          <w:p>
            <w:pPr>
              <w:pStyle w:val="TableParagraph"/>
              <w:spacing w:line="209" w:lineRule="exact"/>
              <w:ind w:left="62"/>
              <w:rPr>
                <w:sz w:val="20"/>
              </w:rPr>
            </w:pPr>
            <w:r>
              <w:rPr>
                <w:sz w:val="20"/>
              </w:rPr>
              <w:t>Book</w:t>
            </w:r>
            <w:r>
              <w:rPr>
                <w:spacing w:val="-7"/>
                <w:sz w:val="20"/>
              </w:rPr>
              <w:t> </w:t>
            </w:r>
            <w:r>
              <w:rPr>
                <w:sz w:val="20"/>
              </w:rPr>
              <w:t>Reviewer,</w:t>
            </w:r>
            <w:r>
              <w:rPr>
                <w:spacing w:val="-9"/>
                <w:sz w:val="20"/>
              </w:rPr>
              <w:t> </w:t>
            </w:r>
            <w:r>
              <w:rPr>
                <w:sz w:val="20"/>
              </w:rPr>
              <w:t>Pearson</w:t>
            </w:r>
            <w:r>
              <w:rPr>
                <w:spacing w:val="-8"/>
                <w:sz w:val="20"/>
              </w:rPr>
              <w:t> </w:t>
            </w:r>
            <w:r>
              <w:rPr>
                <w:sz w:val="20"/>
              </w:rPr>
              <w:t>Higher</w:t>
            </w:r>
            <w:r>
              <w:rPr>
                <w:spacing w:val="-7"/>
                <w:sz w:val="20"/>
              </w:rPr>
              <w:t> </w:t>
            </w:r>
            <w:r>
              <w:rPr>
                <w:sz w:val="20"/>
              </w:rPr>
              <w:t>Education,</w:t>
            </w:r>
            <w:r>
              <w:rPr>
                <w:spacing w:val="-10"/>
                <w:sz w:val="20"/>
              </w:rPr>
              <w:t> </w:t>
            </w:r>
            <w:r>
              <w:rPr>
                <w:sz w:val="20"/>
              </w:rPr>
              <w:t>Columbus,</w:t>
            </w:r>
            <w:r>
              <w:rPr>
                <w:spacing w:val="-9"/>
                <w:sz w:val="20"/>
              </w:rPr>
              <w:t> </w:t>
            </w:r>
            <w:r>
              <w:rPr>
                <w:spacing w:val="-5"/>
                <w:sz w:val="20"/>
              </w:rPr>
              <w:t>OH</w:t>
            </w:r>
          </w:p>
        </w:tc>
      </w:tr>
      <w:tr>
        <w:trPr>
          <w:trHeight w:val="229" w:hRule="atLeast"/>
        </w:trPr>
        <w:tc>
          <w:tcPr>
            <w:tcW w:w="1068" w:type="dxa"/>
          </w:tcPr>
          <w:p>
            <w:pPr>
              <w:pStyle w:val="TableParagraph"/>
              <w:spacing w:line="209" w:lineRule="exact"/>
              <w:ind w:left="50"/>
              <w:rPr>
                <w:sz w:val="20"/>
              </w:rPr>
            </w:pPr>
            <w:r>
              <w:rPr>
                <w:w w:val="95"/>
                <w:sz w:val="20"/>
              </w:rPr>
              <w:t>2008-</w:t>
            </w:r>
            <w:r>
              <w:rPr>
                <w:spacing w:val="-4"/>
                <w:sz w:val="20"/>
              </w:rPr>
              <w:t>2010</w:t>
            </w:r>
          </w:p>
        </w:tc>
        <w:tc>
          <w:tcPr>
            <w:tcW w:w="7116" w:type="dxa"/>
          </w:tcPr>
          <w:p>
            <w:pPr>
              <w:pStyle w:val="TableParagraph"/>
              <w:spacing w:line="209" w:lineRule="exact"/>
              <w:ind w:left="62"/>
              <w:rPr>
                <w:sz w:val="20"/>
              </w:rPr>
            </w:pPr>
            <w:r>
              <w:rPr>
                <w:sz w:val="20"/>
              </w:rPr>
              <w:t>Administrator,</w:t>
            </w:r>
            <w:r>
              <w:rPr>
                <w:spacing w:val="-9"/>
                <w:sz w:val="20"/>
              </w:rPr>
              <w:t> </w:t>
            </w:r>
            <w:r>
              <w:rPr>
                <w:sz w:val="20"/>
              </w:rPr>
              <w:t>Louis</w:t>
            </w:r>
            <w:r>
              <w:rPr>
                <w:spacing w:val="-9"/>
                <w:sz w:val="20"/>
              </w:rPr>
              <w:t> </w:t>
            </w:r>
            <w:r>
              <w:rPr>
                <w:sz w:val="20"/>
              </w:rPr>
              <w:t>Sullivan</w:t>
            </w:r>
            <w:r>
              <w:rPr>
                <w:spacing w:val="-10"/>
                <w:sz w:val="20"/>
              </w:rPr>
              <w:t> </w:t>
            </w:r>
            <w:r>
              <w:rPr>
                <w:sz w:val="20"/>
              </w:rPr>
              <w:t>Brick</w:t>
            </w:r>
            <w:r>
              <w:rPr>
                <w:spacing w:val="-7"/>
                <w:sz w:val="20"/>
              </w:rPr>
              <w:t> </w:t>
            </w:r>
            <w:r>
              <w:rPr>
                <w:sz w:val="20"/>
              </w:rPr>
              <w:t>Competition,</w:t>
            </w:r>
            <w:r>
              <w:rPr>
                <w:spacing w:val="-10"/>
                <w:sz w:val="20"/>
              </w:rPr>
              <w:t> </w:t>
            </w:r>
            <w:r>
              <w:rPr>
                <w:sz w:val="20"/>
              </w:rPr>
              <w:t>North</w:t>
            </w:r>
            <w:r>
              <w:rPr>
                <w:spacing w:val="-9"/>
                <w:sz w:val="20"/>
              </w:rPr>
              <w:t> </w:t>
            </w:r>
            <w:r>
              <w:rPr>
                <w:sz w:val="20"/>
              </w:rPr>
              <w:t>Carolina</w:t>
            </w:r>
            <w:r>
              <w:rPr>
                <w:spacing w:val="-8"/>
                <w:sz w:val="20"/>
              </w:rPr>
              <w:t> </w:t>
            </w:r>
            <w:r>
              <w:rPr>
                <w:sz w:val="20"/>
              </w:rPr>
              <w:t>State</w:t>
            </w:r>
            <w:r>
              <w:rPr>
                <w:spacing w:val="-10"/>
                <w:sz w:val="20"/>
              </w:rPr>
              <w:t> </w:t>
            </w:r>
            <w:r>
              <w:rPr>
                <w:spacing w:val="-2"/>
                <w:sz w:val="20"/>
              </w:rPr>
              <w:t>University</w:t>
            </w:r>
          </w:p>
        </w:tc>
      </w:tr>
      <w:tr>
        <w:trPr>
          <w:trHeight w:val="230" w:hRule="atLeast"/>
        </w:trPr>
        <w:tc>
          <w:tcPr>
            <w:tcW w:w="1068" w:type="dxa"/>
          </w:tcPr>
          <w:p>
            <w:pPr>
              <w:pStyle w:val="TableParagraph"/>
              <w:spacing w:line="210" w:lineRule="exact"/>
              <w:ind w:left="50"/>
              <w:rPr>
                <w:sz w:val="20"/>
              </w:rPr>
            </w:pPr>
            <w:r>
              <w:rPr>
                <w:spacing w:val="-4"/>
                <w:sz w:val="20"/>
              </w:rPr>
              <w:t>2008</w:t>
            </w:r>
          </w:p>
        </w:tc>
        <w:tc>
          <w:tcPr>
            <w:tcW w:w="7116" w:type="dxa"/>
          </w:tcPr>
          <w:p>
            <w:pPr>
              <w:pStyle w:val="TableParagraph"/>
              <w:spacing w:line="210" w:lineRule="exact"/>
              <w:ind w:left="62"/>
              <w:rPr>
                <w:sz w:val="20"/>
              </w:rPr>
            </w:pPr>
            <w:r>
              <w:rPr>
                <w:sz w:val="20"/>
              </w:rPr>
              <w:t>Juror,</w:t>
            </w:r>
            <w:r>
              <w:rPr>
                <w:spacing w:val="-8"/>
                <w:sz w:val="20"/>
              </w:rPr>
              <w:t> </w:t>
            </w:r>
            <w:r>
              <w:rPr>
                <w:sz w:val="20"/>
              </w:rPr>
              <w:t>Studio</w:t>
            </w:r>
            <w:r>
              <w:rPr>
                <w:spacing w:val="-7"/>
                <w:sz w:val="20"/>
              </w:rPr>
              <w:t> </w:t>
            </w:r>
            <w:r>
              <w:rPr>
                <w:sz w:val="20"/>
              </w:rPr>
              <w:t>Collective,</w:t>
            </w:r>
            <w:r>
              <w:rPr>
                <w:spacing w:val="-7"/>
                <w:sz w:val="20"/>
              </w:rPr>
              <w:t> </w:t>
            </w:r>
            <w:r>
              <w:rPr>
                <w:sz w:val="20"/>
              </w:rPr>
              <w:t>North</w:t>
            </w:r>
            <w:r>
              <w:rPr>
                <w:spacing w:val="-8"/>
                <w:sz w:val="20"/>
              </w:rPr>
              <w:t> </w:t>
            </w:r>
            <w:r>
              <w:rPr>
                <w:sz w:val="20"/>
              </w:rPr>
              <w:t>Carolina</w:t>
            </w:r>
            <w:r>
              <w:rPr>
                <w:spacing w:val="-7"/>
                <w:sz w:val="20"/>
              </w:rPr>
              <w:t> </w:t>
            </w:r>
            <w:r>
              <w:rPr>
                <w:sz w:val="20"/>
              </w:rPr>
              <w:t>State</w:t>
            </w:r>
            <w:r>
              <w:rPr>
                <w:spacing w:val="-8"/>
                <w:sz w:val="20"/>
              </w:rPr>
              <w:t> </w:t>
            </w:r>
            <w:r>
              <w:rPr>
                <w:spacing w:val="-2"/>
                <w:sz w:val="20"/>
              </w:rPr>
              <w:t>University</w:t>
            </w:r>
          </w:p>
        </w:tc>
      </w:tr>
      <w:tr>
        <w:trPr>
          <w:trHeight w:val="230" w:hRule="atLeast"/>
        </w:trPr>
        <w:tc>
          <w:tcPr>
            <w:tcW w:w="1068" w:type="dxa"/>
          </w:tcPr>
          <w:p>
            <w:pPr>
              <w:pStyle w:val="TableParagraph"/>
              <w:spacing w:line="210" w:lineRule="exact"/>
              <w:ind w:left="50"/>
              <w:rPr>
                <w:sz w:val="20"/>
              </w:rPr>
            </w:pPr>
            <w:r>
              <w:rPr>
                <w:spacing w:val="-4"/>
                <w:sz w:val="20"/>
              </w:rPr>
              <w:t>2006</w:t>
            </w:r>
          </w:p>
        </w:tc>
        <w:tc>
          <w:tcPr>
            <w:tcW w:w="7116" w:type="dxa"/>
          </w:tcPr>
          <w:p>
            <w:pPr>
              <w:pStyle w:val="TableParagraph"/>
              <w:spacing w:line="210" w:lineRule="exact"/>
              <w:ind w:left="62"/>
              <w:rPr>
                <w:sz w:val="20"/>
              </w:rPr>
            </w:pPr>
            <w:r>
              <w:rPr>
                <w:sz w:val="20"/>
              </w:rPr>
              <w:t>Juror,</w:t>
            </w:r>
            <w:r>
              <w:rPr>
                <w:spacing w:val="-9"/>
                <w:sz w:val="20"/>
              </w:rPr>
              <w:t> </w:t>
            </w:r>
            <w:r>
              <w:rPr>
                <w:sz w:val="20"/>
              </w:rPr>
              <w:t>Masonry</w:t>
            </w:r>
            <w:r>
              <w:rPr>
                <w:spacing w:val="-11"/>
                <w:sz w:val="20"/>
              </w:rPr>
              <w:t> </w:t>
            </w:r>
            <w:r>
              <w:rPr>
                <w:sz w:val="20"/>
              </w:rPr>
              <w:t>Competition,</w:t>
            </w:r>
            <w:r>
              <w:rPr>
                <w:spacing w:val="-9"/>
                <w:sz w:val="20"/>
              </w:rPr>
              <w:t> </w:t>
            </w:r>
            <w:r>
              <w:rPr>
                <w:sz w:val="20"/>
              </w:rPr>
              <w:t>Virginia</w:t>
            </w:r>
            <w:r>
              <w:rPr>
                <w:spacing w:val="-8"/>
                <w:sz w:val="20"/>
              </w:rPr>
              <w:t> </w:t>
            </w:r>
            <w:r>
              <w:rPr>
                <w:sz w:val="20"/>
              </w:rPr>
              <w:t>Polytechic</w:t>
            </w:r>
            <w:r>
              <w:rPr>
                <w:spacing w:val="-8"/>
                <w:sz w:val="20"/>
              </w:rPr>
              <w:t> </w:t>
            </w:r>
            <w:r>
              <w:rPr>
                <w:sz w:val="20"/>
              </w:rPr>
              <w:t>Institute</w:t>
            </w:r>
            <w:r>
              <w:rPr>
                <w:spacing w:val="-8"/>
                <w:sz w:val="20"/>
              </w:rPr>
              <w:t> </w:t>
            </w:r>
            <w:r>
              <w:rPr>
                <w:sz w:val="20"/>
              </w:rPr>
              <w:t>and</w:t>
            </w:r>
            <w:r>
              <w:rPr>
                <w:spacing w:val="-9"/>
                <w:sz w:val="20"/>
              </w:rPr>
              <w:t> </w:t>
            </w:r>
            <w:r>
              <w:rPr>
                <w:sz w:val="20"/>
              </w:rPr>
              <w:t>State</w:t>
            </w:r>
            <w:r>
              <w:rPr>
                <w:spacing w:val="-6"/>
                <w:sz w:val="20"/>
              </w:rPr>
              <w:t> </w:t>
            </w:r>
            <w:r>
              <w:rPr>
                <w:spacing w:val="-2"/>
                <w:sz w:val="20"/>
              </w:rPr>
              <w:t>University</w:t>
            </w:r>
          </w:p>
        </w:tc>
      </w:tr>
      <w:tr>
        <w:trPr>
          <w:trHeight w:val="226" w:hRule="atLeast"/>
        </w:trPr>
        <w:tc>
          <w:tcPr>
            <w:tcW w:w="1068" w:type="dxa"/>
          </w:tcPr>
          <w:p>
            <w:pPr>
              <w:pStyle w:val="TableParagraph"/>
              <w:spacing w:line="207" w:lineRule="exact"/>
              <w:ind w:left="50"/>
              <w:rPr>
                <w:sz w:val="20"/>
              </w:rPr>
            </w:pPr>
            <w:r>
              <w:rPr>
                <w:spacing w:val="-4"/>
                <w:sz w:val="20"/>
              </w:rPr>
              <w:t>2006</w:t>
            </w:r>
          </w:p>
        </w:tc>
        <w:tc>
          <w:tcPr>
            <w:tcW w:w="7116" w:type="dxa"/>
          </w:tcPr>
          <w:p>
            <w:pPr>
              <w:pStyle w:val="TableParagraph"/>
              <w:spacing w:line="207" w:lineRule="exact"/>
              <w:ind w:left="62"/>
              <w:rPr>
                <w:sz w:val="20"/>
              </w:rPr>
            </w:pPr>
            <w:r>
              <w:rPr>
                <w:sz w:val="20"/>
              </w:rPr>
              <w:t>Juror,</w:t>
            </w:r>
            <w:r>
              <w:rPr>
                <w:spacing w:val="-8"/>
                <w:sz w:val="20"/>
              </w:rPr>
              <w:t> </w:t>
            </w:r>
            <w:r>
              <w:rPr>
                <w:sz w:val="20"/>
              </w:rPr>
              <w:t>Virginia</w:t>
            </w:r>
            <w:r>
              <w:rPr>
                <w:spacing w:val="-6"/>
                <w:sz w:val="20"/>
              </w:rPr>
              <w:t> </w:t>
            </w:r>
            <w:r>
              <w:rPr>
                <w:sz w:val="20"/>
              </w:rPr>
              <w:t>Society</w:t>
            </w:r>
            <w:r>
              <w:rPr>
                <w:spacing w:val="-10"/>
                <w:sz w:val="20"/>
              </w:rPr>
              <w:t> </w:t>
            </w:r>
            <w:r>
              <w:rPr>
                <w:sz w:val="20"/>
              </w:rPr>
              <w:t>Prize,</w:t>
            </w:r>
            <w:r>
              <w:rPr>
                <w:spacing w:val="-8"/>
                <w:sz w:val="20"/>
              </w:rPr>
              <w:t> </w:t>
            </w:r>
            <w:r>
              <w:rPr>
                <w:sz w:val="20"/>
              </w:rPr>
              <w:t>Virginia</w:t>
            </w:r>
            <w:r>
              <w:rPr>
                <w:spacing w:val="-7"/>
                <w:sz w:val="20"/>
              </w:rPr>
              <w:t> </w:t>
            </w:r>
            <w:r>
              <w:rPr>
                <w:sz w:val="20"/>
              </w:rPr>
              <w:t>Polytechnic</w:t>
            </w:r>
            <w:r>
              <w:rPr>
                <w:spacing w:val="-7"/>
                <w:sz w:val="20"/>
              </w:rPr>
              <w:t> </w:t>
            </w:r>
            <w:r>
              <w:rPr>
                <w:sz w:val="20"/>
              </w:rPr>
              <w:t>Institute</w:t>
            </w:r>
            <w:r>
              <w:rPr>
                <w:spacing w:val="-8"/>
                <w:sz w:val="20"/>
              </w:rPr>
              <w:t> </w:t>
            </w:r>
            <w:r>
              <w:rPr>
                <w:sz w:val="20"/>
              </w:rPr>
              <w:t>and</w:t>
            </w:r>
            <w:r>
              <w:rPr>
                <w:spacing w:val="-6"/>
                <w:sz w:val="20"/>
              </w:rPr>
              <w:t> </w:t>
            </w:r>
            <w:r>
              <w:rPr>
                <w:sz w:val="20"/>
              </w:rPr>
              <w:t>Sate</w:t>
            </w:r>
            <w:r>
              <w:rPr>
                <w:spacing w:val="-7"/>
                <w:sz w:val="20"/>
              </w:rPr>
              <w:t> </w:t>
            </w:r>
            <w:r>
              <w:rPr>
                <w:spacing w:val="-2"/>
                <w:sz w:val="20"/>
              </w:rPr>
              <w:t>University</w:t>
            </w:r>
          </w:p>
        </w:tc>
      </w:tr>
    </w:tbl>
    <w:p>
      <w:pPr>
        <w:spacing w:after="0" w:line="207" w:lineRule="exact"/>
        <w:rPr>
          <w:sz w:val="20"/>
        </w:rPr>
        <w:sectPr>
          <w:headerReference w:type="default" r:id="rId249"/>
          <w:footerReference w:type="default" r:id="rId250"/>
          <w:pgSz w:w="12240" w:h="15840"/>
          <w:pgMar w:header="0" w:footer="974" w:top="920" w:bottom="1160" w:left="1000" w:right="820"/>
        </w:sectPr>
      </w:pPr>
    </w:p>
    <w:p>
      <w:pPr>
        <w:spacing w:before="63"/>
        <w:ind w:left="440" w:right="0" w:firstLine="0"/>
        <w:jc w:val="left"/>
        <w:rPr>
          <w:b/>
          <w:sz w:val="20"/>
        </w:rPr>
      </w:pPr>
      <w:r>
        <w:rPr>
          <w:b/>
          <w:sz w:val="20"/>
        </w:rPr>
        <w:t>Brown,</w:t>
      </w:r>
      <w:r>
        <w:rPr>
          <w:b/>
          <w:spacing w:val="-11"/>
          <w:sz w:val="20"/>
        </w:rPr>
        <w:t> </w:t>
      </w:r>
      <w:r>
        <w:rPr>
          <w:b/>
          <w:sz w:val="20"/>
        </w:rPr>
        <w:t>Sherman</w:t>
      </w:r>
      <w:r>
        <w:rPr>
          <w:b/>
          <w:spacing w:val="-10"/>
          <w:sz w:val="20"/>
        </w:rPr>
        <w:t> </w:t>
      </w:r>
      <w:r>
        <w:rPr>
          <w:b/>
          <w:sz w:val="20"/>
        </w:rPr>
        <w:t>(Adjunct),</w:t>
      </w:r>
      <w:r>
        <w:rPr>
          <w:b/>
          <w:spacing w:val="-8"/>
          <w:sz w:val="20"/>
        </w:rPr>
        <w:t> </w:t>
      </w:r>
      <w:r>
        <w:rPr>
          <w:b/>
          <w:sz w:val="20"/>
        </w:rPr>
        <w:t>Assistant</w:t>
      </w:r>
      <w:r>
        <w:rPr>
          <w:b/>
          <w:spacing w:val="-10"/>
          <w:sz w:val="20"/>
        </w:rPr>
        <w:t> </w:t>
      </w:r>
      <w:r>
        <w:rPr>
          <w:b/>
          <w:spacing w:val="-2"/>
          <w:sz w:val="20"/>
        </w:rPr>
        <w:t>Professor</w:t>
      </w:r>
    </w:p>
    <w:p>
      <w:pPr>
        <w:pStyle w:val="BodyText"/>
        <w:spacing w:before="7"/>
        <w:rPr>
          <w:b/>
          <w:sz w:val="17"/>
        </w:rPr>
      </w:pPr>
    </w:p>
    <w:p>
      <w:pPr>
        <w:spacing w:before="0"/>
        <w:ind w:left="439" w:right="0" w:firstLine="0"/>
        <w:jc w:val="left"/>
        <w:rPr>
          <w:b/>
          <w:sz w:val="20"/>
        </w:rPr>
      </w:pPr>
      <w:r>
        <w:rPr>
          <w:b/>
          <w:sz w:val="20"/>
        </w:rPr>
        <w:t>Courses</w:t>
      </w:r>
      <w:r>
        <w:rPr>
          <w:b/>
          <w:spacing w:val="-7"/>
          <w:sz w:val="20"/>
        </w:rPr>
        <w:t> </w:t>
      </w:r>
      <w:r>
        <w:rPr>
          <w:b/>
          <w:sz w:val="20"/>
        </w:rPr>
        <w:t>Taught</w:t>
      </w:r>
      <w:r>
        <w:rPr>
          <w:b/>
          <w:spacing w:val="-7"/>
          <w:sz w:val="20"/>
        </w:rPr>
        <w:t> </w:t>
      </w:r>
      <w:r>
        <w:rPr>
          <w:b/>
          <w:sz w:val="20"/>
        </w:rPr>
        <w:t>(during</w:t>
      </w:r>
      <w:r>
        <w:rPr>
          <w:b/>
          <w:spacing w:val="-7"/>
          <w:sz w:val="20"/>
        </w:rPr>
        <w:t> </w:t>
      </w:r>
      <w:r>
        <w:rPr>
          <w:b/>
          <w:sz w:val="20"/>
        </w:rPr>
        <w:t>the</w:t>
      </w:r>
      <w:r>
        <w:rPr>
          <w:b/>
          <w:spacing w:val="-8"/>
          <w:sz w:val="20"/>
        </w:rPr>
        <w:t> </w:t>
      </w:r>
      <w:r>
        <w:rPr>
          <w:b/>
          <w:sz w:val="20"/>
        </w:rPr>
        <w:t>past</w:t>
      </w:r>
      <w:r>
        <w:rPr>
          <w:b/>
          <w:spacing w:val="-7"/>
          <w:sz w:val="20"/>
        </w:rPr>
        <w:t> </w:t>
      </w:r>
      <w:r>
        <w:rPr>
          <w:b/>
          <w:sz w:val="20"/>
        </w:rPr>
        <w:t>two</w:t>
      </w:r>
      <w:r>
        <w:rPr>
          <w:b/>
          <w:spacing w:val="-7"/>
          <w:sz w:val="20"/>
        </w:rPr>
        <w:t> </w:t>
      </w:r>
      <w:r>
        <w:rPr>
          <w:b/>
          <w:sz w:val="20"/>
        </w:rPr>
        <w:t>academic</w:t>
      </w:r>
      <w:r>
        <w:rPr>
          <w:b/>
          <w:spacing w:val="-4"/>
          <w:sz w:val="20"/>
        </w:rPr>
        <w:t> </w:t>
      </w:r>
      <w:r>
        <w:rPr>
          <w:b/>
          <w:spacing w:val="-2"/>
          <w:sz w:val="20"/>
        </w:rPr>
        <w:t>years):</w:t>
      </w:r>
    </w:p>
    <w:p>
      <w:pPr>
        <w:pStyle w:val="BodyText"/>
        <w:ind w:left="1159" w:right="642"/>
      </w:pPr>
      <w:r>
        <w:rPr/>
        <w:t>Fall</w:t>
      </w:r>
      <w:r>
        <w:rPr>
          <w:spacing w:val="-3"/>
        </w:rPr>
        <w:t> </w:t>
      </w:r>
      <w:r>
        <w:rPr/>
        <w:t>2013:</w:t>
      </w:r>
      <w:r>
        <w:rPr>
          <w:spacing w:val="-2"/>
        </w:rPr>
        <w:t> </w:t>
      </w:r>
      <w:r>
        <w:rPr/>
        <w:t>ARC</w:t>
      </w:r>
      <w:r>
        <w:rPr>
          <w:spacing w:val="-1"/>
        </w:rPr>
        <w:t> </w:t>
      </w:r>
      <w:r>
        <w:rPr/>
        <w:t>101</w:t>
      </w:r>
      <w:r>
        <w:rPr>
          <w:spacing w:val="-2"/>
        </w:rPr>
        <w:t> </w:t>
      </w:r>
      <w:r>
        <w:rPr/>
        <w:t>–</w:t>
      </w:r>
      <w:r>
        <w:rPr>
          <w:spacing w:val="-4"/>
        </w:rPr>
        <w:t> </w:t>
      </w:r>
      <w:r>
        <w:rPr/>
        <w:t>Grph</w:t>
      </w:r>
      <w:r>
        <w:rPr>
          <w:spacing w:val="-2"/>
        </w:rPr>
        <w:t> </w:t>
      </w:r>
      <w:r>
        <w:rPr/>
        <w:t>Comm Basic</w:t>
      </w:r>
      <w:r>
        <w:rPr>
          <w:spacing w:val="-3"/>
        </w:rPr>
        <w:t> </w:t>
      </w:r>
      <w:r>
        <w:rPr/>
        <w:t>Des</w:t>
      </w:r>
      <w:r>
        <w:rPr>
          <w:spacing w:val="-3"/>
        </w:rPr>
        <w:t> </w:t>
      </w:r>
      <w:r>
        <w:rPr/>
        <w:t>I;</w:t>
      </w:r>
      <w:r>
        <w:rPr>
          <w:spacing w:val="-4"/>
        </w:rPr>
        <w:t> </w:t>
      </w:r>
      <w:r>
        <w:rPr/>
        <w:t>ARC</w:t>
      </w:r>
      <w:r>
        <w:rPr>
          <w:spacing w:val="-1"/>
        </w:rPr>
        <w:t> </w:t>
      </w:r>
      <w:r>
        <w:rPr/>
        <w:t>309</w:t>
      </w:r>
      <w:r>
        <w:rPr>
          <w:spacing w:val="-4"/>
        </w:rPr>
        <w:t> </w:t>
      </w:r>
      <w:r>
        <w:rPr/>
        <w:t>–</w:t>
      </w:r>
      <w:r>
        <w:rPr>
          <w:spacing w:val="-1"/>
        </w:rPr>
        <w:t> </w:t>
      </w:r>
      <w:r>
        <w:rPr/>
        <w:t>Structures</w:t>
      </w:r>
      <w:r>
        <w:rPr>
          <w:spacing w:val="-3"/>
        </w:rPr>
        <w:t> </w:t>
      </w:r>
      <w:r>
        <w:rPr/>
        <w:t>I;</w:t>
      </w:r>
      <w:r>
        <w:rPr>
          <w:spacing w:val="-4"/>
        </w:rPr>
        <w:t> </w:t>
      </w:r>
      <w:r>
        <w:rPr/>
        <w:t>ARC</w:t>
      </w:r>
      <w:r>
        <w:rPr>
          <w:spacing w:val="-4"/>
        </w:rPr>
        <w:t> </w:t>
      </w:r>
      <w:r>
        <w:rPr/>
        <w:t>414</w:t>
      </w:r>
      <w:r>
        <w:rPr>
          <w:spacing w:val="-2"/>
        </w:rPr>
        <w:t> </w:t>
      </w:r>
      <w:r>
        <w:rPr/>
        <w:t>–</w:t>
      </w:r>
      <w:r>
        <w:rPr>
          <w:spacing w:val="-4"/>
        </w:rPr>
        <w:t> </w:t>
      </w:r>
      <w:r>
        <w:rPr/>
        <w:t>Adv</w:t>
      </w:r>
      <w:r>
        <w:rPr>
          <w:spacing w:val="-3"/>
        </w:rPr>
        <w:t> </w:t>
      </w:r>
      <w:r>
        <w:rPr/>
        <w:t>Struc &amp; Bldg Sys III</w:t>
      </w:r>
    </w:p>
    <w:p>
      <w:pPr>
        <w:pStyle w:val="BodyText"/>
        <w:spacing w:before="1"/>
        <w:ind w:left="1159" w:right="712"/>
      </w:pPr>
      <w:r>
        <w:rPr/>
        <w:t>Spring</w:t>
      </w:r>
      <w:r>
        <w:rPr>
          <w:spacing w:val="-4"/>
        </w:rPr>
        <w:t> </w:t>
      </w:r>
      <w:r>
        <w:rPr/>
        <w:t>2013:</w:t>
      </w:r>
      <w:r>
        <w:rPr>
          <w:spacing w:val="-4"/>
        </w:rPr>
        <w:t> </w:t>
      </w:r>
      <w:r>
        <w:rPr/>
        <w:t>ARC</w:t>
      </w:r>
      <w:r>
        <w:rPr>
          <w:spacing w:val="-4"/>
        </w:rPr>
        <w:t> </w:t>
      </w:r>
      <w:r>
        <w:rPr/>
        <w:t>309</w:t>
      </w:r>
      <w:r>
        <w:rPr>
          <w:spacing w:val="-4"/>
        </w:rPr>
        <w:t> </w:t>
      </w:r>
      <w:r>
        <w:rPr/>
        <w:t>–</w:t>
      </w:r>
      <w:r>
        <w:rPr>
          <w:spacing w:val="-1"/>
        </w:rPr>
        <w:t> </w:t>
      </w:r>
      <w:r>
        <w:rPr/>
        <w:t>Structures</w:t>
      </w:r>
      <w:r>
        <w:rPr>
          <w:spacing w:val="-3"/>
        </w:rPr>
        <w:t> </w:t>
      </w:r>
      <w:r>
        <w:rPr/>
        <w:t>I;</w:t>
      </w:r>
      <w:r>
        <w:rPr>
          <w:spacing w:val="-4"/>
        </w:rPr>
        <w:t> </w:t>
      </w:r>
      <w:r>
        <w:rPr/>
        <w:t>ARC</w:t>
      </w:r>
      <w:r>
        <w:rPr>
          <w:spacing w:val="-4"/>
        </w:rPr>
        <w:t> </w:t>
      </w:r>
      <w:r>
        <w:rPr/>
        <w:t>310</w:t>
      </w:r>
      <w:r>
        <w:rPr>
          <w:spacing w:val="-4"/>
        </w:rPr>
        <w:t> </w:t>
      </w:r>
      <w:r>
        <w:rPr/>
        <w:t>–</w:t>
      </w:r>
      <w:r>
        <w:rPr>
          <w:spacing w:val="-2"/>
        </w:rPr>
        <w:t> </w:t>
      </w:r>
      <w:r>
        <w:rPr/>
        <w:t>Structures</w:t>
      </w:r>
      <w:r>
        <w:rPr>
          <w:spacing w:val="-3"/>
        </w:rPr>
        <w:t> </w:t>
      </w:r>
      <w:r>
        <w:rPr/>
        <w:t>II;</w:t>
      </w:r>
      <w:r>
        <w:rPr>
          <w:spacing w:val="-2"/>
        </w:rPr>
        <w:t> </w:t>
      </w:r>
      <w:r>
        <w:rPr/>
        <w:t>ARC</w:t>
      </w:r>
      <w:r>
        <w:rPr>
          <w:spacing w:val="-1"/>
        </w:rPr>
        <w:t> </w:t>
      </w:r>
      <w:r>
        <w:rPr/>
        <w:t>315</w:t>
      </w:r>
      <w:r>
        <w:rPr>
          <w:spacing w:val="-2"/>
        </w:rPr>
        <w:t> </w:t>
      </w:r>
      <w:r>
        <w:rPr/>
        <w:t>–</w:t>
      </w:r>
      <w:r>
        <w:rPr>
          <w:spacing w:val="-4"/>
        </w:rPr>
        <w:t> </w:t>
      </w:r>
      <w:r>
        <w:rPr/>
        <w:t>Env</w:t>
      </w:r>
      <w:r>
        <w:rPr>
          <w:spacing w:val="-3"/>
        </w:rPr>
        <w:t> </w:t>
      </w:r>
      <w:r>
        <w:rPr/>
        <w:t>Systems;</w:t>
      </w:r>
      <w:r>
        <w:rPr>
          <w:spacing w:val="-4"/>
        </w:rPr>
        <w:t> </w:t>
      </w:r>
      <w:r>
        <w:rPr/>
        <w:t>ARC 405 – Adv Arch Des I</w:t>
      </w:r>
    </w:p>
    <w:p>
      <w:pPr>
        <w:pStyle w:val="BodyText"/>
        <w:ind w:left="1159" w:right="642"/>
      </w:pPr>
      <w:r>
        <w:rPr/>
        <w:t>Summer 2013:</w:t>
      </w:r>
      <w:r>
        <w:rPr>
          <w:spacing w:val="40"/>
        </w:rPr>
        <w:t> </w:t>
      </w:r>
      <w:r>
        <w:rPr/>
        <w:t>ARC 310 – Structures II; ARC 414 – Structures III; ARC 406 – Adv Arch Des II Fall</w:t>
      </w:r>
      <w:r>
        <w:rPr>
          <w:spacing w:val="-3"/>
        </w:rPr>
        <w:t> </w:t>
      </w:r>
      <w:r>
        <w:rPr/>
        <w:t>2014:</w:t>
      </w:r>
      <w:r>
        <w:rPr>
          <w:spacing w:val="-2"/>
        </w:rPr>
        <w:t> </w:t>
      </w:r>
      <w:r>
        <w:rPr/>
        <w:t>ARC</w:t>
      </w:r>
      <w:r>
        <w:rPr>
          <w:spacing w:val="-1"/>
        </w:rPr>
        <w:t> </w:t>
      </w:r>
      <w:r>
        <w:rPr/>
        <w:t>101</w:t>
      </w:r>
      <w:r>
        <w:rPr>
          <w:spacing w:val="-2"/>
        </w:rPr>
        <w:t> </w:t>
      </w:r>
      <w:r>
        <w:rPr/>
        <w:t>–</w:t>
      </w:r>
      <w:r>
        <w:rPr>
          <w:spacing w:val="-4"/>
        </w:rPr>
        <w:t> </w:t>
      </w:r>
      <w:r>
        <w:rPr/>
        <w:t>Grph</w:t>
      </w:r>
      <w:r>
        <w:rPr>
          <w:spacing w:val="-2"/>
        </w:rPr>
        <w:t> </w:t>
      </w:r>
      <w:r>
        <w:rPr/>
        <w:t>Comm Basic</w:t>
      </w:r>
      <w:r>
        <w:rPr>
          <w:spacing w:val="-3"/>
        </w:rPr>
        <w:t> </w:t>
      </w:r>
      <w:r>
        <w:rPr/>
        <w:t>Des</w:t>
      </w:r>
      <w:r>
        <w:rPr>
          <w:spacing w:val="-3"/>
        </w:rPr>
        <w:t> </w:t>
      </w:r>
      <w:r>
        <w:rPr/>
        <w:t>I;</w:t>
      </w:r>
      <w:r>
        <w:rPr>
          <w:spacing w:val="-4"/>
        </w:rPr>
        <w:t> </w:t>
      </w:r>
      <w:r>
        <w:rPr/>
        <w:t>ARC</w:t>
      </w:r>
      <w:r>
        <w:rPr>
          <w:spacing w:val="-1"/>
        </w:rPr>
        <w:t> </w:t>
      </w:r>
      <w:r>
        <w:rPr/>
        <w:t>309</w:t>
      </w:r>
      <w:r>
        <w:rPr>
          <w:spacing w:val="-4"/>
        </w:rPr>
        <w:t> </w:t>
      </w:r>
      <w:r>
        <w:rPr/>
        <w:t>–</w:t>
      </w:r>
      <w:r>
        <w:rPr>
          <w:spacing w:val="-1"/>
        </w:rPr>
        <w:t> </w:t>
      </w:r>
      <w:r>
        <w:rPr/>
        <w:t>Structures</w:t>
      </w:r>
      <w:r>
        <w:rPr>
          <w:spacing w:val="-3"/>
        </w:rPr>
        <w:t> </w:t>
      </w:r>
      <w:r>
        <w:rPr/>
        <w:t>I;</w:t>
      </w:r>
      <w:r>
        <w:rPr>
          <w:spacing w:val="-4"/>
        </w:rPr>
        <w:t> </w:t>
      </w:r>
      <w:r>
        <w:rPr/>
        <w:t>ARC</w:t>
      </w:r>
      <w:r>
        <w:rPr>
          <w:spacing w:val="-4"/>
        </w:rPr>
        <w:t> </w:t>
      </w:r>
      <w:r>
        <w:rPr/>
        <w:t>414</w:t>
      </w:r>
      <w:r>
        <w:rPr>
          <w:spacing w:val="-1"/>
        </w:rPr>
        <w:t> </w:t>
      </w:r>
      <w:r>
        <w:rPr/>
        <w:t>–</w:t>
      </w:r>
      <w:r>
        <w:rPr>
          <w:spacing w:val="-4"/>
        </w:rPr>
        <w:t> </w:t>
      </w:r>
      <w:r>
        <w:rPr/>
        <w:t>Adv</w:t>
      </w:r>
      <w:r>
        <w:rPr>
          <w:spacing w:val="-3"/>
        </w:rPr>
        <w:t> </w:t>
      </w:r>
      <w:r>
        <w:rPr/>
        <w:t>Struc &amp; Bldg Systems III</w:t>
      </w:r>
    </w:p>
    <w:p>
      <w:pPr>
        <w:pStyle w:val="BodyText"/>
        <w:ind w:left="1159" w:right="726"/>
      </w:pPr>
      <w:r>
        <w:rPr/>
        <w:t>Spring</w:t>
      </w:r>
      <w:r>
        <w:rPr>
          <w:spacing w:val="-4"/>
        </w:rPr>
        <w:t> </w:t>
      </w:r>
      <w:r>
        <w:rPr/>
        <w:t>2014:</w:t>
      </w:r>
      <w:r>
        <w:rPr>
          <w:spacing w:val="-4"/>
        </w:rPr>
        <w:t> </w:t>
      </w:r>
      <w:r>
        <w:rPr/>
        <w:t>ARC</w:t>
      </w:r>
      <w:r>
        <w:rPr>
          <w:spacing w:val="-4"/>
        </w:rPr>
        <w:t> </w:t>
      </w:r>
      <w:r>
        <w:rPr/>
        <w:t>102</w:t>
      </w:r>
      <w:r>
        <w:rPr>
          <w:spacing w:val="-4"/>
        </w:rPr>
        <w:t> </w:t>
      </w:r>
      <w:r>
        <w:rPr/>
        <w:t>–</w:t>
      </w:r>
      <w:r>
        <w:rPr>
          <w:spacing w:val="-1"/>
        </w:rPr>
        <w:t> </w:t>
      </w:r>
      <w:r>
        <w:rPr/>
        <w:t>Grph</w:t>
      </w:r>
      <w:r>
        <w:rPr>
          <w:spacing w:val="-4"/>
        </w:rPr>
        <w:t> </w:t>
      </w:r>
      <w:r>
        <w:rPr/>
        <w:t>Comm Bsc</w:t>
      </w:r>
      <w:r>
        <w:rPr>
          <w:spacing w:val="-3"/>
        </w:rPr>
        <w:t> </w:t>
      </w:r>
      <w:r>
        <w:rPr/>
        <w:t>Des</w:t>
      </w:r>
      <w:r>
        <w:rPr>
          <w:spacing w:val="-3"/>
        </w:rPr>
        <w:t> </w:t>
      </w:r>
      <w:r>
        <w:rPr/>
        <w:t>II;</w:t>
      </w:r>
      <w:r>
        <w:rPr>
          <w:spacing w:val="-4"/>
        </w:rPr>
        <w:t> </w:t>
      </w:r>
      <w:r>
        <w:rPr/>
        <w:t>ARC 309</w:t>
      </w:r>
      <w:r>
        <w:rPr>
          <w:spacing w:val="-1"/>
        </w:rPr>
        <w:t> </w:t>
      </w:r>
      <w:r>
        <w:rPr/>
        <w:t>–</w:t>
      </w:r>
      <w:r>
        <w:rPr>
          <w:spacing w:val="-4"/>
        </w:rPr>
        <w:t> </w:t>
      </w:r>
      <w:r>
        <w:rPr/>
        <w:t>Structures</w:t>
      </w:r>
      <w:r>
        <w:rPr>
          <w:spacing w:val="-3"/>
        </w:rPr>
        <w:t> </w:t>
      </w:r>
      <w:r>
        <w:rPr/>
        <w:t>I;</w:t>
      </w:r>
      <w:r>
        <w:rPr>
          <w:spacing w:val="-2"/>
        </w:rPr>
        <w:t> </w:t>
      </w:r>
      <w:r>
        <w:rPr/>
        <w:t>ARC</w:t>
      </w:r>
      <w:r>
        <w:rPr>
          <w:spacing w:val="-1"/>
        </w:rPr>
        <w:t> </w:t>
      </w:r>
      <w:r>
        <w:rPr/>
        <w:t>310</w:t>
      </w:r>
      <w:r>
        <w:rPr>
          <w:spacing w:val="-4"/>
        </w:rPr>
        <w:t> </w:t>
      </w:r>
      <w:r>
        <w:rPr/>
        <w:t>–</w:t>
      </w:r>
      <w:r>
        <w:rPr>
          <w:spacing w:val="-2"/>
        </w:rPr>
        <w:t> </w:t>
      </w:r>
      <w:r>
        <w:rPr/>
        <w:t>Structures </w:t>
      </w:r>
      <w:r>
        <w:rPr>
          <w:spacing w:val="-6"/>
        </w:rPr>
        <w:t>II</w:t>
      </w:r>
    </w:p>
    <w:p>
      <w:pPr>
        <w:pStyle w:val="BodyText"/>
        <w:spacing w:line="229" w:lineRule="exact"/>
        <w:ind w:left="1159"/>
      </w:pPr>
      <w:r>
        <w:rPr/>
        <w:t>Summer</w:t>
      </w:r>
      <w:r>
        <w:rPr>
          <w:spacing w:val="-5"/>
        </w:rPr>
        <w:t> </w:t>
      </w:r>
      <w:r>
        <w:rPr/>
        <w:t>2014:</w:t>
      </w:r>
      <w:r>
        <w:rPr>
          <w:spacing w:val="44"/>
        </w:rPr>
        <w:t> </w:t>
      </w:r>
      <w:r>
        <w:rPr/>
        <w:t>ARC</w:t>
      </w:r>
      <w:r>
        <w:rPr>
          <w:spacing w:val="-5"/>
        </w:rPr>
        <w:t> </w:t>
      </w:r>
      <w:r>
        <w:rPr/>
        <w:t>310</w:t>
      </w:r>
      <w:r>
        <w:rPr>
          <w:spacing w:val="-3"/>
        </w:rPr>
        <w:t> </w:t>
      </w:r>
      <w:r>
        <w:rPr/>
        <w:t>–</w:t>
      </w:r>
      <w:r>
        <w:rPr>
          <w:spacing w:val="-4"/>
        </w:rPr>
        <w:t> </w:t>
      </w:r>
      <w:r>
        <w:rPr/>
        <w:t>Structures</w:t>
      </w:r>
      <w:r>
        <w:rPr>
          <w:spacing w:val="-5"/>
        </w:rPr>
        <w:t> </w:t>
      </w:r>
      <w:r>
        <w:rPr/>
        <w:t>II;</w:t>
      </w:r>
      <w:r>
        <w:rPr>
          <w:spacing w:val="-6"/>
        </w:rPr>
        <w:t> </w:t>
      </w:r>
      <w:r>
        <w:rPr/>
        <w:t>ARC</w:t>
      </w:r>
      <w:r>
        <w:rPr>
          <w:spacing w:val="-5"/>
        </w:rPr>
        <w:t> </w:t>
      </w:r>
      <w:r>
        <w:rPr/>
        <w:t>315</w:t>
      </w:r>
      <w:r>
        <w:rPr>
          <w:spacing w:val="-6"/>
        </w:rPr>
        <w:t> </w:t>
      </w:r>
      <w:r>
        <w:rPr/>
        <w:t>–</w:t>
      </w:r>
      <w:r>
        <w:rPr>
          <w:spacing w:val="-3"/>
        </w:rPr>
        <w:t> </w:t>
      </w:r>
      <w:r>
        <w:rPr/>
        <w:t>Environmental</w:t>
      </w:r>
      <w:r>
        <w:rPr>
          <w:spacing w:val="-5"/>
        </w:rPr>
        <w:t> </w:t>
      </w:r>
      <w:r>
        <w:rPr>
          <w:spacing w:val="-2"/>
        </w:rPr>
        <w:t>Systems</w:t>
      </w:r>
    </w:p>
    <w:p>
      <w:pPr>
        <w:pStyle w:val="BodyText"/>
        <w:spacing w:before="4"/>
        <w:rPr>
          <w:sz w:val="17"/>
        </w:rPr>
      </w:pPr>
    </w:p>
    <w:p>
      <w:pPr>
        <w:spacing w:before="1"/>
        <w:ind w:left="439" w:right="0" w:firstLine="0"/>
        <w:jc w:val="left"/>
        <w:rPr>
          <w:b/>
          <w:sz w:val="20"/>
        </w:rPr>
      </w:pPr>
      <w:r>
        <w:rPr>
          <w:b/>
          <w:spacing w:val="-2"/>
          <w:sz w:val="20"/>
        </w:rPr>
        <w:t>Educational</w:t>
      </w:r>
      <w:r>
        <w:rPr>
          <w:b/>
          <w:spacing w:val="6"/>
          <w:sz w:val="20"/>
        </w:rPr>
        <w:t> </w:t>
      </w:r>
      <w:r>
        <w:rPr>
          <w:b/>
          <w:spacing w:val="-2"/>
          <w:sz w:val="20"/>
        </w:rPr>
        <w:t>Credentials:</w:t>
      </w:r>
    </w:p>
    <w:p>
      <w:pPr>
        <w:pStyle w:val="BodyText"/>
        <w:ind w:left="1159"/>
      </w:pPr>
      <w:r>
        <w:rPr/>
        <w:t>Bachelor</w:t>
      </w:r>
      <w:r>
        <w:rPr>
          <w:spacing w:val="-7"/>
        </w:rPr>
        <w:t> </w:t>
      </w:r>
      <w:r>
        <w:rPr/>
        <w:t>of</w:t>
      </w:r>
      <w:r>
        <w:rPr>
          <w:spacing w:val="-6"/>
        </w:rPr>
        <w:t> </w:t>
      </w:r>
      <w:r>
        <w:rPr/>
        <w:t>Architecture,</w:t>
      </w:r>
      <w:r>
        <w:rPr>
          <w:spacing w:val="-8"/>
        </w:rPr>
        <w:t> </w:t>
      </w:r>
      <w:r>
        <w:rPr/>
        <w:t>Hampton</w:t>
      </w:r>
      <w:r>
        <w:rPr>
          <w:spacing w:val="-8"/>
        </w:rPr>
        <w:t> </w:t>
      </w:r>
      <w:r>
        <w:rPr/>
        <w:t>University</w:t>
      </w:r>
      <w:r>
        <w:rPr>
          <w:spacing w:val="-10"/>
        </w:rPr>
        <w:t> </w:t>
      </w:r>
      <w:r>
        <w:rPr/>
        <w:t>(May</w:t>
      </w:r>
      <w:r>
        <w:rPr>
          <w:spacing w:val="-9"/>
        </w:rPr>
        <w:t> </w:t>
      </w:r>
      <w:r>
        <w:rPr>
          <w:spacing w:val="-2"/>
        </w:rPr>
        <w:t>1974)</w:t>
      </w:r>
    </w:p>
    <w:p>
      <w:pPr>
        <w:pStyle w:val="BodyText"/>
        <w:spacing w:before="4"/>
        <w:rPr>
          <w:sz w:val="17"/>
        </w:rPr>
      </w:pPr>
    </w:p>
    <w:p>
      <w:pPr>
        <w:spacing w:before="0"/>
        <w:ind w:left="439" w:right="0" w:firstLine="0"/>
        <w:jc w:val="left"/>
        <w:rPr>
          <w:b/>
          <w:sz w:val="20"/>
        </w:rPr>
      </w:pPr>
      <w:r>
        <w:rPr>
          <w:b/>
          <w:sz w:val="20"/>
        </w:rPr>
        <w:t>Teaching</w:t>
      </w:r>
      <w:r>
        <w:rPr>
          <w:b/>
          <w:spacing w:val="-10"/>
          <w:sz w:val="20"/>
        </w:rPr>
        <w:t> </w:t>
      </w:r>
      <w:r>
        <w:rPr>
          <w:b/>
          <w:spacing w:val="-2"/>
          <w:sz w:val="20"/>
        </w:rPr>
        <w:t>Experience</w:t>
      </w:r>
    </w:p>
    <w:p>
      <w:pPr>
        <w:pStyle w:val="BodyText"/>
        <w:spacing w:before="1"/>
        <w:ind w:left="1159"/>
      </w:pPr>
      <w:r>
        <w:rPr/>
        <w:t>2010</w:t>
      </w:r>
      <w:r>
        <w:rPr>
          <w:spacing w:val="-8"/>
        </w:rPr>
        <w:t> </w:t>
      </w:r>
      <w:r>
        <w:rPr/>
        <w:t>–</w:t>
      </w:r>
      <w:r>
        <w:rPr>
          <w:spacing w:val="-8"/>
        </w:rPr>
        <w:t> </w:t>
      </w:r>
      <w:r>
        <w:rPr/>
        <w:t>Present,</w:t>
      </w:r>
      <w:r>
        <w:rPr>
          <w:spacing w:val="-7"/>
        </w:rPr>
        <w:t> </w:t>
      </w:r>
      <w:r>
        <w:rPr/>
        <w:t>Hampton</w:t>
      </w:r>
      <w:r>
        <w:rPr>
          <w:spacing w:val="-8"/>
        </w:rPr>
        <w:t> </w:t>
      </w:r>
      <w:r>
        <w:rPr/>
        <w:t>University,</w:t>
      </w:r>
      <w:r>
        <w:rPr>
          <w:spacing w:val="-9"/>
        </w:rPr>
        <w:t> </w:t>
      </w:r>
      <w:r>
        <w:rPr/>
        <w:t>Department</w:t>
      </w:r>
      <w:r>
        <w:rPr>
          <w:spacing w:val="-9"/>
        </w:rPr>
        <w:t> </w:t>
      </w:r>
      <w:r>
        <w:rPr/>
        <w:t>of</w:t>
      </w:r>
      <w:r>
        <w:rPr>
          <w:spacing w:val="-8"/>
        </w:rPr>
        <w:t> </w:t>
      </w:r>
      <w:r>
        <w:rPr/>
        <w:t>Architecture,</w:t>
      </w:r>
      <w:r>
        <w:rPr>
          <w:spacing w:val="-8"/>
        </w:rPr>
        <w:t> </w:t>
      </w:r>
      <w:r>
        <w:rPr/>
        <w:t>Adjunct</w:t>
      </w:r>
      <w:r>
        <w:rPr>
          <w:spacing w:val="-9"/>
        </w:rPr>
        <w:t> </w:t>
      </w:r>
      <w:r>
        <w:rPr>
          <w:spacing w:val="-2"/>
        </w:rPr>
        <w:t>Professor</w:t>
      </w:r>
    </w:p>
    <w:p>
      <w:pPr>
        <w:pStyle w:val="BodyText"/>
        <w:spacing w:before="4"/>
        <w:rPr>
          <w:sz w:val="17"/>
        </w:rPr>
      </w:pPr>
    </w:p>
    <w:p>
      <w:pPr>
        <w:spacing w:before="0"/>
        <w:ind w:left="439" w:right="0" w:firstLine="0"/>
        <w:jc w:val="left"/>
        <w:rPr>
          <w:b/>
          <w:sz w:val="20"/>
        </w:rPr>
      </w:pPr>
      <w:r>
        <w:rPr>
          <w:b/>
          <w:spacing w:val="-2"/>
          <w:sz w:val="20"/>
        </w:rPr>
        <w:t>Professional</w:t>
      </w:r>
      <w:r>
        <w:rPr>
          <w:b/>
          <w:spacing w:val="7"/>
          <w:sz w:val="20"/>
        </w:rPr>
        <w:t> </w:t>
      </w:r>
      <w:r>
        <w:rPr>
          <w:b/>
          <w:spacing w:val="-2"/>
          <w:sz w:val="20"/>
        </w:rPr>
        <w:t>Experience</w:t>
      </w:r>
    </w:p>
    <w:p>
      <w:pPr>
        <w:pStyle w:val="BodyText"/>
        <w:tabs>
          <w:tab w:pos="2599" w:val="left" w:leader="none"/>
        </w:tabs>
        <w:spacing w:before="1"/>
        <w:ind w:left="1159"/>
      </w:pPr>
      <w:r>
        <w:rPr/>
        <w:t>2005</w:t>
      </w:r>
      <w:r>
        <w:rPr>
          <w:spacing w:val="-4"/>
        </w:rPr>
        <w:t> </w:t>
      </w:r>
      <w:r>
        <w:rPr/>
        <w:t>–</w:t>
      </w:r>
      <w:r>
        <w:rPr>
          <w:spacing w:val="-5"/>
        </w:rPr>
        <w:t> </w:t>
      </w:r>
      <w:r>
        <w:rPr>
          <w:spacing w:val="-4"/>
        </w:rPr>
        <w:t>2010</w:t>
      </w:r>
      <w:r>
        <w:rPr/>
        <w:tab/>
        <w:t>RRMM</w:t>
      </w:r>
      <w:r>
        <w:rPr>
          <w:spacing w:val="-7"/>
        </w:rPr>
        <w:t> </w:t>
      </w:r>
      <w:r>
        <w:rPr>
          <w:spacing w:val="-2"/>
        </w:rPr>
        <w:t>Architects</w:t>
      </w:r>
    </w:p>
    <w:p>
      <w:pPr>
        <w:pStyle w:val="BodyText"/>
        <w:ind w:left="1159" w:right="642"/>
      </w:pPr>
      <w:r>
        <w:rPr/>
        <w:t>Project</w:t>
      </w:r>
      <w:r>
        <w:rPr>
          <w:spacing w:val="-5"/>
        </w:rPr>
        <w:t> </w:t>
      </w:r>
      <w:r>
        <w:rPr/>
        <w:t>Manager</w:t>
      </w:r>
      <w:r>
        <w:rPr>
          <w:spacing w:val="-4"/>
        </w:rPr>
        <w:t> </w:t>
      </w:r>
      <w:r>
        <w:rPr/>
        <w:t>–</w:t>
      </w:r>
      <w:r>
        <w:rPr>
          <w:spacing w:val="-2"/>
        </w:rPr>
        <w:t> </w:t>
      </w:r>
      <w:r>
        <w:rPr/>
        <w:t>Architectural</w:t>
      </w:r>
      <w:r>
        <w:rPr>
          <w:spacing w:val="-5"/>
        </w:rPr>
        <w:t> </w:t>
      </w:r>
      <w:r>
        <w:rPr/>
        <w:t>Design,</w:t>
      </w:r>
      <w:r>
        <w:rPr>
          <w:spacing w:val="-5"/>
        </w:rPr>
        <w:t> </w:t>
      </w:r>
      <w:r>
        <w:rPr/>
        <w:t>Interior</w:t>
      </w:r>
      <w:r>
        <w:rPr>
          <w:spacing w:val="-4"/>
        </w:rPr>
        <w:t> </w:t>
      </w:r>
      <w:r>
        <w:rPr/>
        <w:t>Design,</w:t>
      </w:r>
      <w:r>
        <w:rPr>
          <w:spacing w:val="-5"/>
        </w:rPr>
        <w:t> </w:t>
      </w:r>
      <w:r>
        <w:rPr/>
        <w:t>Planning,</w:t>
      </w:r>
      <w:r>
        <w:rPr>
          <w:spacing w:val="-3"/>
        </w:rPr>
        <w:t> </w:t>
      </w:r>
      <w:r>
        <w:rPr/>
        <w:t>Design</w:t>
      </w:r>
      <w:r>
        <w:rPr>
          <w:spacing w:val="-5"/>
        </w:rPr>
        <w:t> </w:t>
      </w:r>
      <w:r>
        <w:rPr/>
        <w:t>Build</w:t>
      </w:r>
      <w:r>
        <w:rPr>
          <w:spacing w:val="-3"/>
        </w:rPr>
        <w:t> </w:t>
      </w:r>
      <w:r>
        <w:rPr/>
        <w:t>and</w:t>
      </w:r>
      <w:r>
        <w:rPr>
          <w:spacing w:val="-5"/>
        </w:rPr>
        <w:t> </w:t>
      </w:r>
      <w:r>
        <w:rPr/>
        <w:t>Government Construction Contracts</w:t>
      </w:r>
    </w:p>
    <w:p>
      <w:pPr>
        <w:pStyle w:val="BodyText"/>
        <w:spacing w:before="1"/>
      </w:pPr>
    </w:p>
    <w:p>
      <w:pPr>
        <w:pStyle w:val="BodyText"/>
        <w:tabs>
          <w:tab w:pos="2599" w:val="left" w:leader="none"/>
        </w:tabs>
        <w:spacing w:line="229" w:lineRule="exact" w:before="1"/>
        <w:ind w:left="1159"/>
      </w:pPr>
      <w:r>
        <w:rPr/>
        <w:t>1982</w:t>
      </w:r>
      <w:r>
        <w:rPr>
          <w:spacing w:val="-4"/>
        </w:rPr>
        <w:t> </w:t>
      </w:r>
      <w:r>
        <w:rPr/>
        <w:t>–</w:t>
      </w:r>
      <w:r>
        <w:rPr>
          <w:spacing w:val="-5"/>
        </w:rPr>
        <w:t> </w:t>
      </w:r>
      <w:r>
        <w:rPr>
          <w:spacing w:val="-4"/>
        </w:rPr>
        <w:t>2005</w:t>
      </w:r>
      <w:r>
        <w:rPr/>
        <w:tab/>
        <w:t>MMM</w:t>
      </w:r>
      <w:r>
        <w:rPr>
          <w:spacing w:val="-6"/>
        </w:rPr>
        <w:t> </w:t>
      </w:r>
      <w:r>
        <w:rPr/>
        <w:t>Design</w:t>
      </w:r>
      <w:r>
        <w:rPr>
          <w:spacing w:val="-8"/>
        </w:rPr>
        <w:t> </w:t>
      </w:r>
      <w:r>
        <w:rPr>
          <w:spacing w:val="-4"/>
        </w:rPr>
        <w:t>Group</w:t>
      </w:r>
    </w:p>
    <w:p>
      <w:pPr>
        <w:pStyle w:val="BodyText"/>
        <w:ind w:left="1159" w:right="642"/>
      </w:pPr>
      <w:r>
        <w:rPr/>
        <w:t>Project</w:t>
      </w:r>
      <w:r>
        <w:rPr>
          <w:spacing w:val="-6"/>
        </w:rPr>
        <w:t> </w:t>
      </w:r>
      <w:r>
        <w:rPr/>
        <w:t>Manager</w:t>
      </w:r>
      <w:r>
        <w:rPr>
          <w:spacing w:val="-6"/>
        </w:rPr>
        <w:t> </w:t>
      </w:r>
      <w:r>
        <w:rPr/>
        <w:t>–</w:t>
      </w:r>
      <w:r>
        <w:rPr>
          <w:spacing w:val="-4"/>
        </w:rPr>
        <w:t> </w:t>
      </w:r>
      <w:r>
        <w:rPr/>
        <w:t>Architectural</w:t>
      </w:r>
      <w:r>
        <w:rPr>
          <w:spacing w:val="-6"/>
        </w:rPr>
        <w:t> </w:t>
      </w:r>
      <w:r>
        <w:rPr/>
        <w:t>Services,</w:t>
      </w:r>
      <w:r>
        <w:rPr>
          <w:spacing w:val="-5"/>
        </w:rPr>
        <w:t> </w:t>
      </w:r>
      <w:r>
        <w:rPr/>
        <w:t>Engineering,</w:t>
      </w:r>
      <w:r>
        <w:rPr>
          <w:spacing w:val="-5"/>
        </w:rPr>
        <w:t> </w:t>
      </w:r>
      <w:r>
        <w:rPr/>
        <w:t>Design</w:t>
      </w:r>
      <w:r>
        <w:rPr>
          <w:spacing w:val="-6"/>
        </w:rPr>
        <w:t> </w:t>
      </w:r>
      <w:r>
        <w:rPr/>
        <w:t>Planning</w:t>
      </w:r>
      <w:r>
        <w:rPr>
          <w:spacing w:val="-5"/>
        </w:rPr>
        <w:t> </w:t>
      </w:r>
      <w:r>
        <w:rPr/>
        <w:t>and</w:t>
      </w:r>
      <w:r>
        <w:rPr>
          <w:spacing w:val="-5"/>
        </w:rPr>
        <w:t> </w:t>
      </w:r>
      <w:r>
        <w:rPr/>
        <w:t>Construction </w:t>
      </w:r>
      <w:r>
        <w:rPr>
          <w:spacing w:val="-2"/>
        </w:rPr>
        <w:t>Management</w:t>
      </w:r>
    </w:p>
    <w:p>
      <w:pPr>
        <w:pStyle w:val="BodyText"/>
        <w:spacing w:before="3"/>
        <w:rPr>
          <w:sz w:val="17"/>
        </w:rPr>
      </w:pPr>
    </w:p>
    <w:p>
      <w:pPr>
        <w:spacing w:before="0"/>
        <w:ind w:left="439" w:right="0" w:firstLine="0"/>
        <w:jc w:val="left"/>
        <w:rPr>
          <w:b/>
          <w:sz w:val="20"/>
        </w:rPr>
      </w:pPr>
      <w:r>
        <w:rPr>
          <w:b/>
          <w:sz w:val="20"/>
        </w:rPr>
        <w:t>Licenses</w:t>
      </w:r>
      <w:r>
        <w:rPr>
          <w:b/>
          <w:spacing w:val="-7"/>
          <w:sz w:val="20"/>
        </w:rPr>
        <w:t> </w:t>
      </w:r>
      <w:r>
        <w:rPr>
          <w:b/>
          <w:sz w:val="20"/>
        </w:rPr>
        <w:t>/</w:t>
      </w:r>
      <w:r>
        <w:rPr>
          <w:b/>
          <w:spacing w:val="-7"/>
          <w:sz w:val="20"/>
        </w:rPr>
        <w:t> </w:t>
      </w:r>
      <w:r>
        <w:rPr>
          <w:b/>
          <w:spacing w:val="-2"/>
          <w:sz w:val="20"/>
        </w:rPr>
        <w:t>Registrations:</w:t>
      </w:r>
    </w:p>
    <w:p>
      <w:pPr>
        <w:pStyle w:val="BodyText"/>
        <w:spacing w:before="1"/>
        <w:ind w:left="1159"/>
      </w:pPr>
      <w:r>
        <w:rPr>
          <w:spacing w:val="-4"/>
        </w:rPr>
        <w:t>None</w:t>
      </w:r>
    </w:p>
    <w:p>
      <w:pPr>
        <w:pStyle w:val="BodyText"/>
        <w:spacing w:before="4"/>
        <w:rPr>
          <w:sz w:val="17"/>
        </w:rPr>
      </w:pPr>
    </w:p>
    <w:p>
      <w:pPr>
        <w:spacing w:before="0"/>
        <w:ind w:left="439" w:right="0" w:firstLine="0"/>
        <w:jc w:val="left"/>
        <w:rPr>
          <w:b/>
          <w:sz w:val="20"/>
        </w:rPr>
      </w:pPr>
      <w:r>
        <w:rPr>
          <w:b/>
          <w:spacing w:val="-2"/>
          <w:sz w:val="20"/>
        </w:rPr>
        <w:t>Professional</w:t>
      </w:r>
      <w:r>
        <w:rPr>
          <w:b/>
          <w:spacing w:val="5"/>
          <w:sz w:val="20"/>
        </w:rPr>
        <w:t> </w:t>
      </w:r>
      <w:r>
        <w:rPr>
          <w:b/>
          <w:spacing w:val="-2"/>
          <w:sz w:val="20"/>
        </w:rPr>
        <w:t>Memberships:</w:t>
      </w:r>
    </w:p>
    <w:p>
      <w:pPr>
        <w:pStyle w:val="BodyText"/>
        <w:spacing w:before="1"/>
        <w:ind w:left="1159" w:right="2408" w:hanging="1"/>
      </w:pPr>
      <w:r>
        <w:rPr/>
        <w:t>Associate</w:t>
      </w:r>
      <w:r>
        <w:rPr>
          <w:spacing w:val="-4"/>
        </w:rPr>
        <w:t> </w:t>
      </w:r>
      <w:r>
        <w:rPr/>
        <w:t>Member</w:t>
      </w:r>
      <w:r>
        <w:rPr>
          <w:spacing w:val="-5"/>
        </w:rPr>
        <w:t> </w:t>
      </w:r>
      <w:r>
        <w:rPr/>
        <w:t>of</w:t>
      </w:r>
      <w:r>
        <w:rPr>
          <w:spacing w:val="-4"/>
        </w:rPr>
        <w:t> </w:t>
      </w:r>
      <w:r>
        <w:rPr/>
        <w:t>the</w:t>
      </w:r>
      <w:r>
        <w:rPr>
          <w:spacing w:val="-4"/>
        </w:rPr>
        <w:t> </w:t>
      </w:r>
      <w:r>
        <w:rPr/>
        <w:t>American</w:t>
      </w:r>
      <w:r>
        <w:rPr>
          <w:spacing w:val="-6"/>
        </w:rPr>
        <w:t> </w:t>
      </w:r>
      <w:r>
        <w:rPr/>
        <w:t>Institute</w:t>
      </w:r>
      <w:r>
        <w:rPr>
          <w:spacing w:val="-4"/>
        </w:rPr>
        <w:t> </w:t>
      </w:r>
      <w:r>
        <w:rPr/>
        <w:t>of</w:t>
      </w:r>
      <w:r>
        <w:rPr>
          <w:spacing w:val="-4"/>
        </w:rPr>
        <w:t> </w:t>
      </w:r>
      <w:r>
        <w:rPr/>
        <w:t>Architects,</w:t>
      </w:r>
      <w:r>
        <w:rPr>
          <w:spacing w:val="-6"/>
        </w:rPr>
        <w:t> </w:t>
      </w:r>
      <w:r>
        <w:rPr/>
        <w:t>Associate</w:t>
      </w:r>
      <w:r>
        <w:rPr>
          <w:spacing w:val="-4"/>
        </w:rPr>
        <w:t> </w:t>
      </w:r>
      <w:r>
        <w:rPr/>
        <w:t>Member Construction Specifications Institute, Member</w:t>
      </w:r>
    </w:p>
    <w:p>
      <w:pPr>
        <w:pStyle w:val="BodyText"/>
        <w:spacing w:before="4"/>
        <w:rPr>
          <w:sz w:val="17"/>
        </w:rPr>
      </w:pPr>
    </w:p>
    <w:p>
      <w:pPr>
        <w:spacing w:before="0"/>
        <w:ind w:left="439" w:right="0" w:firstLine="0"/>
        <w:jc w:val="left"/>
        <w:rPr>
          <w:b/>
          <w:sz w:val="20"/>
        </w:rPr>
      </w:pPr>
      <w:r>
        <w:rPr>
          <w:b/>
          <w:sz w:val="20"/>
        </w:rPr>
        <w:t>Professional</w:t>
      </w:r>
      <w:r>
        <w:rPr>
          <w:b/>
          <w:spacing w:val="-11"/>
          <w:sz w:val="20"/>
        </w:rPr>
        <w:t> </w:t>
      </w:r>
      <w:r>
        <w:rPr>
          <w:b/>
          <w:sz w:val="20"/>
        </w:rPr>
        <w:t>Development</w:t>
      </w:r>
      <w:r>
        <w:rPr>
          <w:b/>
          <w:spacing w:val="-10"/>
          <w:sz w:val="20"/>
        </w:rPr>
        <w:t> </w:t>
      </w:r>
      <w:r>
        <w:rPr>
          <w:b/>
          <w:sz w:val="20"/>
        </w:rPr>
        <w:t>&amp;</w:t>
      </w:r>
      <w:r>
        <w:rPr>
          <w:b/>
          <w:spacing w:val="-10"/>
          <w:sz w:val="20"/>
        </w:rPr>
        <w:t> </w:t>
      </w:r>
      <w:r>
        <w:rPr>
          <w:b/>
          <w:spacing w:val="-2"/>
          <w:sz w:val="20"/>
        </w:rPr>
        <w:t>Research</w:t>
      </w:r>
    </w:p>
    <w:p>
      <w:pPr>
        <w:pStyle w:val="BodyText"/>
        <w:spacing w:before="1"/>
        <w:ind w:left="1159" w:right="4400"/>
      </w:pPr>
      <w:r>
        <w:rPr/>
        <w:t>The</w:t>
      </w:r>
      <w:r>
        <w:rPr>
          <w:spacing w:val="-7"/>
        </w:rPr>
        <w:t> </w:t>
      </w:r>
      <w:r>
        <w:rPr/>
        <w:t>American</w:t>
      </w:r>
      <w:r>
        <w:rPr>
          <w:spacing w:val="-7"/>
        </w:rPr>
        <w:t> </w:t>
      </w:r>
      <w:r>
        <w:rPr/>
        <w:t>Institute</w:t>
      </w:r>
      <w:r>
        <w:rPr>
          <w:spacing w:val="-7"/>
        </w:rPr>
        <w:t> </w:t>
      </w:r>
      <w:r>
        <w:rPr/>
        <w:t>of</w:t>
      </w:r>
      <w:r>
        <w:rPr>
          <w:spacing w:val="-6"/>
        </w:rPr>
        <w:t> </w:t>
      </w:r>
      <w:r>
        <w:rPr/>
        <w:t>Architects,</w:t>
      </w:r>
      <w:r>
        <w:rPr>
          <w:spacing w:val="-7"/>
        </w:rPr>
        <w:t> </w:t>
      </w:r>
      <w:r>
        <w:rPr/>
        <w:t>Scholastic</w:t>
      </w:r>
      <w:r>
        <w:rPr>
          <w:spacing w:val="-7"/>
        </w:rPr>
        <w:t> </w:t>
      </w:r>
      <w:r>
        <w:rPr/>
        <w:t>Award The American Institute of Architects, School Medal</w:t>
      </w:r>
    </w:p>
    <w:p>
      <w:pPr>
        <w:pStyle w:val="BodyText"/>
        <w:spacing w:before="1"/>
        <w:ind w:left="1159" w:right="642"/>
      </w:pPr>
      <w:r>
        <w:rPr/>
        <w:t>Henry</w:t>
      </w:r>
      <w:r>
        <w:rPr>
          <w:spacing w:val="-5"/>
        </w:rPr>
        <w:t> </w:t>
      </w:r>
      <w:r>
        <w:rPr/>
        <w:t>Adams</w:t>
      </w:r>
      <w:r>
        <w:rPr>
          <w:spacing w:val="-4"/>
        </w:rPr>
        <w:t> </w:t>
      </w:r>
      <w:r>
        <w:rPr/>
        <w:t>Fund</w:t>
      </w:r>
      <w:r>
        <w:rPr>
          <w:spacing w:val="-4"/>
        </w:rPr>
        <w:t> </w:t>
      </w:r>
      <w:r>
        <w:rPr/>
        <w:t>for</w:t>
      </w:r>
      <w:r>
        <w:rPr>
          <w:spacing w:val="-4"/>
        </w:rPr>
        <w:t> </w:t>
      </w:r>
      <w:r>
        <w:rPr/>
        <w:t>Excellence</w:t>
      </w:r>
      <w:r>
        <w:rPr>
          <w:spacing w:val="-3"/>
        </w:rPr>
        <w:t> </w:t>
      </w:r>
      <w:r>
        <w:rPr/>
        <w:t>in</w:t>
      </w:r>
      <w:r>
        <w:rPr>
          <w:spacing w:val="-4"/>
        </w:rPr>
        <w:t> </w:t>
      </w:r>
      <w:r>
        <w:rPr/>
        <w:t>the</w:t>
      </w:r>
      <w:r>
        <w:rPr>
          <w:spacing w:val="-3"/>
        </w:rPr>
        <w:t> </w:t>
      </w:r>
      <w:r>
        <w:rPr/>
        <w:t>Study</w:t>
      </w:r>
      <w:r>
        <w:rPr>
          <w:spacing w:val="-5"/>
        </w:rPr>
        <w:t> </w:t>
      </w:r>
      <w:r>
        <w:rPr/>
        <w:t>of</w:t>
      </w:r>
      <w:r>
        <w:rPr>
          <w:spacing w:val="-3"/>
        </w:rPr>
        <w:t> </w:t>
      </w:r>
      <w:r>
        <w:rPr/>
        <w:t>Architecture,</w:t>
      </w:r>
      <w:r>
        <w:rPr>
          <w:spacing w:val="-3"/>
        </w:rPr>
        <w:t> </w:t>
      </w:r>
      <w:r>
        <w:rPr/>
        <w:t>Hampton</w:t>
      </w:r>
      <w:r>
        <w:rPr>
          <w:spacing w:val="-4"/>
        </w:rPr>
        <w:t> </w:t>
      </w:r>
      <w:r>
        <w:rPr/>
        <w:t>University,</w:t>
      </w:r>
      <w:r>
        <w:rPr>
          <w:spacing w:val="-3"/>
        </w:rPr>
        <w:t> </w:t>
      </w:r>
      <w:r>
        <w:rPr/>
        <w:t>Certificate</w:t>
      </w:r>
      <w:r>
        <w:rPr>
          <w:spacing w:val="-3"/>
        </w:rPr>
        <w:t> </w:t>
      </w:r>
      <w:r>
        <w:rPr/>
        <w:t>of </w:t>
      </w:r>
      <w:r>
        <w:rPr>
          <w:spacing w:val="-2"/>
        </w:rPr>
        <w:t>Merit</w:t>
      </w:r>
    </w:p>
    <w:p>
      <w:pPr>
        <w:spacing w:after="0"/>
        <w:sectPr>
          <w:headerReference w:type="default" r:id="rId251"/>
          <w:footerReference w:type="default" r:id="rId252"/>
          <w:pgSz w:w="12240" w:h="15840"/>
          <w:pgMar w:header="0" w:footer="974" w:top="920" w:bottom="1160" w:left="1000" w:right="820"/>
        </w:sectPr>
      </w:pPr>
    </w:p>
    <w:p>
      <w:pPr>
        <w:spacing w:before="63"/>
        <w:ind w:left="440" w:right="0" w:firstLine="0"/>
        <w:jc w:val="left"/>
        <w:rPr>
          <w:b/>
          <w:sz w:val="20"/>
        </w:rPr>
      </w:pPr>
      <w:r>
        <w:rPr>
          <w:b/>
          <w:sz w:val="20"/>
        </w:rPr>
        <w:t>Chance,</w:t>
      </w:r>
      <w:r>
        <w:rPr>
          <w:b/>
          <w:spacing w:val="-10"/>
          <w:sz w:val="20"/>
        </w:rPr>
        <w:t> </w:t>
      </w:r>
      <w:r>
        <w:rPr>
          <w:b/>
          <w:sz w:val="20"/>
        </w:rPr>
        <w:t>Shannon,</w:t>
      </w:r>
      <w:r>
        <w:rPr>
          <w:b/>
          <w:spacing w:val="-10"/>
          <w:sz w:val="20"/>
        </w:rPr>
        <w:t> </w:t>
      </w:r>
      <w:r>
        <w:rPr>
          <w:b/>
          <w:sz w:val="20"/>
        </w:rPr>
        <w:t>Professor,</w:t>
      </w:r>
      <w:r>
        <w:rPr>
          <w:b/>
          <w:spacing w:val="-11"/>
          <w:sz w:val="20"/>
        </w:rPr>
        <w:t> </w:t>
      </w:r>
      <w:r>
        <w:rPr>
          <w:b/>
          <w:spacing w:val="-2"/>
          <w:sz w:val="20"/>
        </w:rPr>
        <w:t>Tenured</w:t>
      </w:r>
    </w:p>
    <w:p>
      <w:pPr>
        <w:pStyle w:val="BodyText"/>
        <w:spacing w:before="7"/>
        <w:rPr>
          <w:b/>
          <w:sz w:val="17"/>
        </w:rPr>
      </w:pPr>
    </w:p>
    <w:p>
      <w:pPr>
        <w:spacing w:before="0"/>
        <w:ind w:left="439" w:right="0" w:firstLine="0"/>
        <w:jc w:val="left"/>
        <w:rPr>
          <w:b/>
          <w:sz w:val="20"/>
        </w:rPr>
      </w:pPr>
      <w:r>
        <w:rPr>
          <w:b/>
          <w:sz w:val="20"/>
        </w:rPr>
        <w:t>Courses</w:t>
      </w:r>
      <w:r>
        <w:rPr>
          <w:b/>
          <w:spacing w:val="-7"/>
          <w:sz w:val="20"/>
        </w:rPr>
        <w:t> </w:t>
      </w:r>
      <w:r>
        <w:rPr>
          <w:b/>
          <w:sz w:val="20"/>
        </w:rPr>
        <w:t>Taught</w:t>
      </w:r>
      <w:r>
        <w:rPr>
          <w:b/>
          <w:spacing w:val="-7"/>
          <w:sz w:val="20"/>
        </w:rPr>
        <w:t> </w:t>
      </w:r>
      <w:r>
        <w:rPr>
          <w:b/>
          <w:sz w:val="20"/>
        </w:rPr>
        <w:t>(during</w:t>
      </w:r>
      <w:r>
        <w:rPr>
          <w:b/>
          <w:spacing w:val="-7"/>
          <w:sz w:val="20"/>
        </w:rPr>
        <w:t> </w:t>
      </w:r>
      <w:r>
        <w:rPr>
          <w:b/>
          <w:sz w:val="20"/>
        </w:rPr>
        <w:t>the</w:t>
      </w:r>
      <w:r>
        <w:rPr>
          <w:b/>
          <w:spacing w:val="-8"/>
          <w:sz w:val="20"/>
        </w:rPr>
        <w:t> </w:t>
      </w:r>
      <w:r>
        <w:rPr>
          <w:b/>
          <w:sz w:val="20"/>
        </w:rPr>
        <w:t>past</w:t>
      </w:r>
      <w:r>
        <w:rPr>
          <w:b/>
          <w:spacing w:val="-7"/>
          <w:sz w:val="20"/>
        </w:rPr>
        <w:t> </w:t>
      </w:r>
      <w:r>
        <w:rPr>
          <w:b/>
          <w:sz w:val="20"/>
        </w:rPr>
        <w:t>two</w:t>
      </w:r>
      <w:r>
        <w:rPr>
          <w:b/>
          <w:spacing w:val="-7"/>
          <w:sz w:val="20"/>
        </w:rPr>
        <w:t> </w:t>
      </w:r>
      <w:r>
        <w:rPr>
          <w:b/>
          <w:sz w:val="20"/>
        </w:rPr>
        <w:t>academic</w:t>
      </w:r>
      <w:r>
        <w:rPr>
          <w:b/>
          <w:spacing w:val="-4"/>
          <w:sz w:val="20"/>
        </w:rPr>
        <w:t> </w:t>
      </w:r>
      <w:r>
        <w:rPr>
          <w:b/>
          <w:spacing w:val="-2"/>
          <w:sz w:val="20"/>
        </w:rPr>
        <w:t>years):</w:t>
      </w:r>
    </w:p>
    <w:p>
      <w:pPr>
        <w:pStyle w:val="BodyText"/>
        <w:ind w:left="1160" w:right="3297"/>
      </w:pPr>
      <w:r>
        <w:rPr/>
        <w:t>Fall 2013: ARC 200 – Arch Ecology; ARC 201 Design Studio III Spring</w:t>
      </w:r>
      <w:r>
        <w:rPr>
          <w:spacing w:val="-4"/>
        </w:rPr>
        <w:t> </w:t>
      </w:r>
      <w:r>
        <w:rPr/>
        <w:t>2014:</w:t>
      </w:r>
      <w:r>
        <w:rPr>
          <w:spacing w:val="-4"/>
        </w:rPr>
        <w:t> </w:t>
      </w:r>
      <w:r>
        <w:rPr/>
        <w:t>ARC</w:t>
      </w:r>
      <w:r>
        <w:rPr>
          <w:spacing w:val="-4"/>
        </w:rPr>
        <w:t> </w:t>
      </w:r>
      <w:r>
        <w:rPr/>
        <w:t>202</w:t>
      </w:r>
      <w:r>
        <w:rPr>
          <w:spacing w:val="-4"/>
        </w:rPr>
        <w:t> </w:t>
      </w:r>
      <w:r>
        <w:rPr/>
        <w:t>–</w:t>
      </w:r>
      <w:r>
        <w:rPr>
          <w:spacing w:val="-1"/>
        </w:rPr>
        <w:t> </w:t>
      </w:r>
      <w:r>
        <w:rPr/>
        <w:t>Basic</w:t>
      </w:r>
      <w:r>
        <w:rPr>
          <w:spacing w:val="-3"/>
        </w:rPr>
        <w:t> </w:t>
      </w:r>
      <w:r>
        <w:rPr/>
        <w:t>Arch</w:t>
      </w:r>
      <w:r>
        <w:rPr>
          <w:spacing w:val="-4"/>
        </w:rPr>
        <w:t> </w:t>
      </w:r>
      <w:r>
        <w:rPr/>
        <w:t>Des</w:t>
      </w:r>
      <w:r>
        <w:rPr>
          <w:spacing w:val="-3"/>
        </w:rPr>
        <w:t> </w:t>
      </w:r>
      <w:r>
        <w:rPr/>
        <w:t>II;</w:t>
      </w:r>
      <w:r>
        <w:rPr>
          <w:spacing w:val="-4"/>
        </w:rPr>
        <w:t> </w:t>
      </w:r>
      <w:r>
        <w:rPr/>
        <w:t>ARC</w:t>
      </w:r>
      <w:r>
        <w:rPr>
          <w:spacing w:val="-4"/>
        </w:rPr>
        <w:t> </w:t>
      </w:r>
      <w:r>
        <w:rPr/>
        <w:t>411</w:t>
      </w:r>
      <w:r>
        <w:rPr>
          <w:spacing w:val="-2"/>
        </w:rPr>
        <w:t> </w:t>
      </w:r>
      <w:r>
        <w:rPr/>
        <w:t>–</w:t>
      </w:r>
      <w:r>
        <w:rPr>
          <w:spacing w:val="-4"/>
        </w:rPr>
        <w:t> </w:t>
      </w:r>
      <w:r>
        <w:rPr/>
        <w:t>Theory</w:t>
      </w:r>
      <w:r>
        <w:rPr>
          <w:spacing w:val="-7"/>
        </w:rPr>
        <w:t> </w:t>
      </w:r>
      <w:r>
        <w:rPr/>
        <w:t>II</w:t>
      </w:r>
    </w:p>
    <w:p>
      <w:pPr>
        <w:pStyle w:val="BodyText"/>
        <w:spacing w:before="5"/>
        <w:rPr>
          <w:sz w:val="17"/>
        </w:rPr>
      </w:pPr>
    </w:p>
    <w:p>
      <w:pPr>
        <w:spacing w:before="0"/>
        <w:ind w:left="440" w:right="0" w:firstLine="0"/>
        <w:jc w:val="left"/>
        <w:rPr>
          <w:b/>
          <w:sz w:val="20"/>
        </w:rPr>
      </w:pPr>
      <w:r>
        <w:rPr>
          <w:b/>
          <w:spacing w:val="-2"/>
          <w:sz w:val="20"/>
        </w:rPr>
        <w:t>Educational</w:t>
      </w:r>
      <w:r>
        <w:rPr>
          <w:b/>
          <w:spacing w:val="6"/>
          <w:sz w:val="20"/>
        </w:rPr>
        <w:t> </w:t>
      </w:r>
      <w:r>
        <w:rPr>
          <w:b/>
          <w:spacing w:val="-2"/>
          <w:sz w:val="20"/>
        </w:rPr>
        <w:t>Credentials:</w:t>
      </w:r>
    </w:p>
    <w:p>
      <w:pPr>
        <w:pStyle w:val="BodyText"/>
        <w:spacing w:before="1"/>
        <w:ind w:left="1159" w:right="642"/>
      </w:pPr>
      <w:r>
        <w:rPr/>
        <w:t>PhD</w:t>
      </w:r>
      <w:r>
        <w:rPr>
          <w:spacing w:val="-3"/>
        </w:rPr>
        <w:t> </w:t>
      </w:r>
      <w:r>
        <w:rPr/>
        <w:t>in</w:t>
      </w:r>
      <w:r>
        <w:rPr>
          <w:spacing w:val="-4"/>
        </w:rPr>
        <w:t> </w:t>
      </w:r>
      <w:r>
        <w:rPr/>
        <w:t>Educational</w:t>
      </w:r>
      <w:r>
        <w:rPr>
          <w:spacing w:val="-5"/>
        </w:rPr>
        <w:t> </w:t>
      </w:r>
      <w:r>
        <w:rPr/>
        <w:t>Policy,</w:t>
      </w:r>
      <w:r>
        <w:rPr>
          <w:spacing w:val="-1"/>
        </w:rPr>
        <w:t> </w:t>
      </w:r>
      <w:r>
        <w:rPr/>
        <w:t>Planning</w:t>
      </w:r>
      <w:r>
        <w:rPr>
          <w:spacing w:val="-4"/>
        </w:rPr>
        <w:t> </w:t>
      </w:r>
      <w:r>
        <w:rPr/>
        <w:t>and</w:t>
      </w:r>
      <w:r>
        <w:rPr>
          <w:spacing w:val="-6"/>
        </w:rPr>
        <w:t> </w:t>
      </w:r>
      <w:r>
        <w:rPr/>
        <w:t>Leadership</w:t>
      </w:r>
      <w:r>
        <w:rPr>
          <w:spacing w:val="-6"/>
        </w:rPr>
        <w:t> </w:t>
      </w:r>
      <w:r>
        <w:rPr/>
        <w:t>(Higher</w:t>
      </w:r>
      <w:r>
        <w:rPr>
          <w:spacing w:val="-5"/>
        </w:rPr>
        <w:t> </w:t>
      </w:r>
      <w:r>
        <w:rPr/>
        <w:t>Education</w:t>
      </w:r>
      <w:r>
        <w:rPr>
          <w:spacing w:val="-4"/>
        </w:rPr>
        <w:t> </w:t>
      </w:r>
      <w:r>
        <w:rPr/>
        <w:t>Administration),</w:t>
      </w:r>
      <w:r>
        <w:rPr>
          <w:spacing w:val="-6"/>
        </w:rPr>
        <w:t> </w:t>
      </w:r>
      <w:r>
        <w:rPr/>
        <w:t>The College of William and Mary, 2010</w:t>
      </w:r>
    </w:p>
    <w:p>
      <w:pPr>
        <w:pStyle w:val="BodyText"/>
        <w:ind w:left="1159" w:right="1770"/>
      </w:pPr>
      <w:r>
        <w:rPr/>
        <w:t>Master of Architecture, Virginia Polytechnic Institute &amp; State University, 1996 Bachelor</w:t>
      </w:r>
      <w:r>
        <w:rPr>
          <w:spacing w:val="-5"/>
        </w:rPr>
        <w:t> </w:t>
      </w:r>
      <w:r>
        <w:rPr/>
        <w:t>of</w:t>
      </w:r>
      <w:r>
        <w:rPr>
          <w:spacing w:val="-4"/>
        </w:rPr>
        <w:t> </w:t>
      </w:r>
      <w:r>
        <w:rPr/>
        <w:t>Architecture,</w:t>
      </w:r>
      <w:r>
        <w:rPr>
          <w:spacing w:val="-6"/>
        </w:rPr>
        <w:t> </w:t>
      </w:r>
      <w:r>
        <w:rPr/>
        <w:t>Virginia</w:t>
      </w:r>
      <w:r>
        <w:rPr>
          <w:spacing w:val="-4"/>
        </w:rPr>
        <w:t> </w:t>
      </w:r>
      <w:r>
        <w:rPr/>
        <w:t>Polytechnic</w:t>
      </w:r>
      <w:r>
        <w:rPr>
          <w:spacing w:val="-5"/>
        </w:rPr>
        <w:t> </w:t>
      </w:r>
      <w:r>
        <w:rPr/>
        <w:t>Institute</w:t>
      </w:r>
      <w:r>
        <w:rPr>
          <w:spacing w:val="-4"/>
        </w:rPr>
        <w:t> </w:t>
      </w:r>
      <w:r>
        <w:rPr/>
        <w:t>&amp;</w:t>
      </w:r>
      <w:r>
        <w:rPr>
          <w:spacing w:val="-7"/>
        </w:rPr>
        <w:t> </w:t>
      </w:r>
      <w:r>
        <w:rPr/>
        <w:t>State</w:t>
      </w:r>
      <w:r>
        <w:rPr>
          <w:spacing w:val="-4"/>
        </w:rPr>
        <w:t> </w:t>
      </w:r>
      <w:r>
        <w:rPr/>
        <w:t>University,</w:t>
      </w:r>
      <w:r>
        <w:rPr>
          <w:spacing w:val="-4"/>
        </w:rPr>
        <w:t> </w:t>
      </w:r>
      <w:r>
        <w:rPr/>
        <w:t>1993</w:t>
      </w:r>
    </w:p>
    <w:p>
      <w:pPr>
        <w:pStyle w:val="BodyText"/>
        <w:spacing w:before="3"/>
        <w:rPr>
          <w:sz w:val="17"/>
        </w:rPr>
      </w:pPr>
    </w:p>
    <w:p>
      <w:pPr>
        <w:spacing w:before="0"/>
        <w:ind w:left="440" w:right="0" w:firstLine="0"/>
        <w:jc w:val="left"/>
        <w:rPr>
          <w:b/>
          <w:sz w:val="20"/>
        </w:rPr>
      </w:pPr>
      <w:r>
        <w:rPr>
          <w:b/>
          <w:sz w:val="20"/>
        </w:rPr>
        <w:t>Teaching</w:t>
      </w:r>
      <w:r>
        <w:rPr>
          <w:b/>
          <w:spacing w:val="-10"/>
          <w:sz w:val="20"/>
        </w:rPr>
        <w:t> </w:t>
      </w:r>
      <w:r>
        <w:rPr>
          <w:b/>
          <w:spacing w:val="-2"/>
          <w:sz w:val="20"/>
        </w:rPr>
        <w:t>Experience</w:t>
      </w:r>
    </w:p>
    <w:p>
      <w:pPr>
        <w:pStyle w:val="BodyText"/>
        <w:tabs>
          <w:tab w:pos="2599" w:val="left" w:leader="none"/>
        </w:tabs>
        <w:ind w:left="1159" w:right="2838"/>
      </w:pPr>
      <w:r>
        <w:rPr>
          <w:spacing w:val="-2"/>
        </w:rPr>
        <w:t>1999-present</w:t>
      </w:r>
      <w:r>
        <w:rPr/>
        <w:tab/>
        <w:t>Hampton</w:t>
      </w:r>
      <w:r>
        <w:rPr>
          <w:spacing w:val="-9"/>
        </w:rPr>
        <w:t> </w:t>
      </w:r>
      <w:r>
        <w:rPr/>
        <w:t>University,</w:t>
      </w:r>
      <w:r>
        <w:rPr>
          <w:spacing w:val="-7"/>
        </w:rPr>
        <w:t> </w:t>
      </w:r>
      <w:r>
        <w:rPr/>
        <w:t>Associate</w:t>
      </w:r>
      <w:r>
        <w:rPr>
          <w:spacing w:val="-8"/>
        </w:rPr>
        <w:t> </w:t>
      </w:r>
      <w:r>
        <w:rPr/>
        <w:t>Professor</w:t>
      </w:r>
      <w:r>
        <w:rPr>
          <w:spacing w:val="-8"/>
        </w:rPr>
        <w:t> </w:t>
      </w:r>
      <w:r>
        <w:rPr/>
        <w:t>of</w:t>
      </w:r>
      <w:r>
        <w:rPr>
          <w:spacing w:val="-8"/>
        </w:rPr>
        <w:t> </w:t>
      </w:r>
      <w:r>
        <w:rPr/>
        <w:t>Architecture 1994-1995</w:t>
      </w:r>
      <w:r>
        <w:rPr>
          <w:spacing w:val="40"/>
        </w:rPr>
        <w:t> </w:t>
      </w:r>
      <w:r>
        <w:rPr/>
        <w:t>Lecturer at Virginia Tech</w:t>
      </w:r>
    </w:p>
    <w:p>
      <w:pPr>
        <w:pStyle w:val="BodyText"/>
        <w:tabs>
          <w:tab w:pos="2599" w:val="left" w:leader="none"/>
        </w:tabs>
        <w:spacing w:before="1"/>
        <w:ind w:left="2599" w:right="1381" w:hanging="1441"/>
      </w:pPr>
      <w:r>
        <w:rPr>
          <w:spacing w:val="-2"/>
        </w:rPr>
        <w:t>1996-1997</w:t>
      </w:r>
      <w:r>
        <w:rPr/>
        <w:tab/>
        <w:t>Teaching</w:t>
      </w:r>
      <w:r>
        <w:rPr>
          <w:spacing w:val="-6"/>
        </w:rPr>
        <w:t> </w:t>
      </w:r>
      <w:r>
        <w:rPr/>
        <w:t>and</w:t>
      </w:r>
      <w:r>
        <w:rPr>
          <w:spacing w:val="-6"/>
        </w:rPr>
        <w:t> </w:t>
      </w:r>
      <w:r>
        <w:rPr/>
        <w:t>Research</w:t>
      </w:r>
      <w:r>
        <w:rPr>
          <w:spacing w:val="-4"/>
        </w:rPr>
        <w:t> </w:t>
      </w:r>
      <w:r>
        <w:rPr/>
        <w:t>Assistanceships</w:t>
      </w:r>
      <w:r>
        <w:rPr>
          <w:spacing w:val="-5"/>
        </w:rPr>
        <w:t> </w:t>
      </w:r>
      <w:r>
        <w:rPr/>
        <w:t>at</w:t>
      </w:r>
      <w:r>
        <w:rPr>
          <w:spacing w:val="-4"/>
        </w:rPr>
        <w:t> </w:t>
      </w:r>
      <w:r>
        <w:rPr/>
        <w:t>Virginia</w:t>
      </w:r>
      <w:r>
        <w:rPr>
          <w:spacing w:val="-6"/>
        </w:rPr>
        <w:t> </w:t>
      </w:r>
      <w:r>
        <w:rPr/>
        <w:t>Tech</w:t>
      </w:r>
      <w:r>
        <w:rPr>
          <w:spacing w:val="-6"/>
        </w:rPr>
        <w:t> </w:t>
      </w:r>
      <w:r>
        <w:rPr/>
        <w:t>and</w:t>
      </w:r>
      <w:r>
        <w:rPr>
          <w:spacing w:val="-4"/>
        </w:rPr>
        <w:t> </w:t>
      </w:r>
      <w:r>
        <w:rPr/>
        <w:t>the</w:t>
      </w:r>
      <w:r>
        <w:rPr>
          <w:spacing w:val="-4"/>
        </w:rPr>
        <w:t> </w:t>
      </w:r>
      <w:r>
        <w:rPr/>
        <w:t>at</w:t>
      </w:r>
      <w:r>
        <w:rPr>
          <w:spacing w:val="-4"/>
        </w:rPr>
        <w:t> </w:t>
      </w:r>
      <w:r>
        <w:rPr/>
        <w:t>Vico Morcote center of the Southern California Institute of Architecture</w:t>
      </w:r>
    </w:p>
    <w:p>
      <w:pPr>
        <w:pStyle w:val="BodyText"/>
        <w:spacing w:before="3"/>
        <w:rPr>
          <w:sz w:val="17"/>
        </w:rPr>
      </w:pPr>
    </w:p>
    <w:p>
      <w:pPr>
        <w:spacing w:before="0"/>
        <w:ind w:left="439" w:right="0" w:firstLine="0"/>
        <w:jc w:val="left"/>
        <w:rPr>
          <w:b/>
          <w:sz w:val="20"/>
        </w:rPr>
      </w:pPr>
      <w:r>
        <w:rPr>
          <w:b/>
          <w:spacing w:val="-2"/>
          <w:sz w:val="20"/>
        </w:rPr>
        <w:t>Professional</w:t>
      </w:r>
      <w:r>
        <w:rPr>
          <w:b/>
          <w:spacing w:val="7"/>
          <w:sz w:val="20"/>
        </w:rPr>
        <w:t> </w:t>
      </w:r>
      <w:r>
        <w:rPr>
          <w:b/>
          <w:spacing w:val="-2"/>
          <w:sz w:val="20"/>
        </w:rPr>
        <w:t>Experience</w:t>
      </w:r>
    </w:p>
    <w:p>
      <w:pPr>
        <w:pStyle w:val="BodyText"/>
        <w:tabs>
          <w:tab w:pos="2599" w:val="left" w:leader="none"/>
        </w:tabs>
        <w:spacing w:before="3"/>
        <w:ind w:left="1159" w:right="3495"/>
      </w:pPr>
      <w:r>
        <w:rPr>
          <w:spacing w:val="-2"/>
        </w:rPr>
        <w:t>2007-present</w:t>
      </w:r>
      <w:r>
        <w:rPr/>
        <w:tab/>
        <w:t>East</w:t>
      </w:r>
      <w:r>
        <w:rPr>
          <w:spacing w:val="-8"/>
        </w:rPr>
        <w:t> </w:t>
      </w:r>
      <w:r>
        <w:rPr/>
        <w:t>Beach</w:t>
      </w:r>
      <w:r>
        <w:rPr>
          <w:spacing w:val="-8"/>
        </w:rPr>
        <w:t> </w:t>
      </w:r>
      <w:r>
        <w:rPr/>
        <w:t>Design</w:t>
      </w:r>
      <w:r>
        <w:rPr>
          <w:spacing w:val="-8"/>
        </w:rPr>
        <w:t> </w:t>
      </w:r>
      <w:r>
        <w:rPr/>
        <w:t>Professionals</w:t>
      </w:r>
      <w:r>
        <w:rPr>
          <w:spacing w:val="-9"/>
        </w:rPr>
        <w:t> </w:t>
      </w:r>
      <w:r>
        <w:rPr/>
        <w:t>Guild,</w:t>
      </w:r>
      <w:r>
        <w:rPr>
          <w:spacing w:val="-9"/>
        </w:rPr>
        <w:t> </w:t>
      </w:r>
      <w:r>
        <w:rPr/>
        <w:t>Member </w:t>
      </w:r>
      <w:r>
        <w:rPr>
          <w:spacing w:val="-2"/>
        </w:rPr>
        <w:t>2006-present</w:t>
      </w:r>
      <w:r>
        <w:rPr/>
        <w:tab/>
        <w:t>American Institute of Architects, Member</w:t>
      </w:r>
    </w:p>
    <w:p>
      <w:pPr>
        <w:spacing w:before="197"/>
        <w:ind w:left="439" w:right="0" w:firstLine="0"/>
        <w:jc w:val="left"/>
        <w:rPr>
          <w:b/>
          <w:sz w:val="20"/>
        </w:rPr>
      </w:pPr>
      <w:r>
        <w:rPr>
          <w:b/>
          <w:sz w:val="20"/>
        </w:rPr>
        <w:t>Licenses</w:t>
      </w:r>
      <w:r>
        <w:rPr>
          <w:b/>
          <w:spacing w:val="-7"/>
          <w:sz w:val="20"/>
        </w:rPr>
        <w:t> </w:t>
      </w:r>
      <w:r>
        <w:rPr>
          <w:b/>
          <w:sz w:val="20"/>
        </w:rPr>
        <w:t>/</w:t>
      </w:r>
      <w:r>
        <w:rPr>
          <w:b/>
          <w:spacing w:val="-7"/>
          <w:sz w:val="20"/>
        </w:rPr>
        <w:t> </w:t>
      </w:r>
      <w:r>
        <w:rPr>
          <w:b/>
          <w:spacing w:val="-2"/>
          <w:sz w:val="20"/>
        </w:rPr>
        <w:t>Registrations:</w:t>
      </w:r>
    </w:p>
    <w:p>
      <w:pPr>
        <w:pStyle w:val="BodyText"/>
        <w:tabs>
          <w:tab w:pos="2599" w:val="left" w:leader="none"/>
        </w:tabs>
        <w:spacing w:before="1"/>
        <w:ind w:left="1159" w:right="740"/>
      </w:pPr>
      <w:r>
        <w:rPr>
          <w:spacing w:val="-2"/>
        </w:rPr>
        <w:t>2009-present</w:t>
      </w:r>
      <w:r>
        <w:rPr/>
        <w:tab/>
        <w:t>LEED</w:t>
      </w:r>
      <w:r>
        <w:rPr>
          <w:spacing w:val="-6"/>
        </w:rPr>
        <w:t> </w:t>
      </w:r>
      <w:r>
        <w:rPr/>
        <w:t>Accredited</w:t>
      </w:r>
      <w:r>
        <w:rPr>
          <w:spacing w:val="-6"/>
        </w:rPr>
        <w:t> </w:t>
      </w:r>
      <w:r>
        <w:rPr/>
        <w:t>Professional,</w:t>
      </w:r>
      <w:r>
        <w:rPr>
          <w:spacing w:val="-4"/>
        </w:rPr>
        <w:t> </w:t>
      </w:r>
      <w:r>
        <w:rPr/>
        <w:t>Leadership</w:t>
      </w:r>
      <w:r>
        <w:rPr>
          <w:spacing w:val="-4"/>
        </w:rPr>
        <w:t> </w:t>
      </w:r>
      <w:r>
        <w:rPr/>
        <w:t>in</w:t>
      </w:r>
      <w:r>
        <w:rPr>
          <w:spacing w:val="-4"/>
        </w:rPr>
        <w:t> </w:t>
      </w:r>
      <w:r>
        <w:rPr/>
        <w:t>Energy</w:t>
      </w:r>
      <w:r>
        <w:rPr>
          <w:spacing w:val="-7"/>
        </w:rPr>
        <w:t> </w:t>
      </w:r>
      <w:r>
        <w:rPr/>
        <w:t>and</w:t>
      </w:r>
      <w:r>
        <w:rPr>
          <w:spacing w:val="-6"/>
        </w:rPr>
        <w:t> </w:t>
      </w:r>
      <w:r>
        <w:rPr/>
        <w:t>Environmental</w:t>
      </w:r>
      <w:r>
        <w:rPr>
          <w:spacing w:val="-7"/>
        </w:rPr>
        <w:t> </w:t>
      </w:r>
      <w:r>
        <w:rPr/>
        <w:t>Design </w:t>
      </w:r>
      <w:r>
        <w:rPr>
          <w:spacing w:val="-2"/>
        </w:rPr>
        <w:t>2005-present</w:t>
      </w:r>
      <w:r>
        <w:rPr/>
        <w:tab/>
        <w:t>National Council of Architectural Registration Boards, Certified Member</w:t>
      </w:r>
    </w:p>
    <w:p>
      <w:pPr>
        <w:pStyle w:val="BodyText"/>
        <w:tabs>
          <w:tab w:pos="2599" w:val="left" w:leader="none"/>
        </w:tabs>
        <w:spacing w:before="1"/>
        <w:ind w:left="1159" w:right="2774"/>
      </w:pPr>
      <w:r>
        <w:rPr>
          <w:spacing w:val="-2"/>
        </w:rPr>
        <w:t>2005-present</w:t>
      </w:r>
      <w:r>
        <w:rPr/>
        <w:tab/>
        <w:t>Registered</w:t>
      </w:r>
      <w:r>
        <w:rPr>
          <w:spacing w:val="-8"/>
        </w:rPr>
        <w:t> </w:t>
      </w:r>
      <w:r>
        <w:rPr/>
        <w:t>Architect,</w:t>
      </w:r>
      <w:r>
        <w:rPr>
          <w:spacing w:val="-9"/>
        </w:rPr>
        <w:t> </w:t>
      </w:r>
      <w:r>
        <w:rPr/>
        <w:t>Commonwealth</w:t>
      </w:r>
      <w:r>
        <w:rPr>
          <w:spacing w:val="-8"/>
        </w:rPr>
        <w:t> </w:t>
      </w:r>
      <w:r>
        <w:rPr/>
        <w:t>of</w:t>
      </w:r>
      <w:r>
        <w:rPr>
          <w:spacing w:val="-8"/>
        </w:rPr>
        <w:t> </w:t>
      </w:r>
      <w:r>
        <w:rPr/>
        <w:t>Virginia</w:t>
      </w:r>
      <w:r>
        <w:rPr>
          <w:spacing w:val="-9"/>
        </w:rPr>
        <w:t> </w:t>
      </w:r>
      <w:r>
        <w:rPr/>
        <w:t>program </w:t>
      </w:r>
      <w:r>
        <w:rPr>
          <w:spacing w:val="-2"/>
        </w:rPr>
        <w:t>Maryland</w:t>
      </w:r>
    </w:p>
    <w:p>
      <w:pPr>
        <w:pStyle w:val="BodyText"/>
        <w:spacing w:before="4"/>
        <w:rPr>
          <w:sz w:val="17"/>
        </w:rPr>
      </w:pPr>
    </w:p>
    <w:p>
      <w:pPr>
        <w:spacing w:before="1"/>
        <w:ind w:left="439" w:right="0" w:firstLine="0"/>
        <w:jc w:val="left"/>
        <w:rPr>
          <w:b/>
          <w:sz w:val="20"/>
        </w:rPr>
      </w:pPr>
      <w:r>
        <w:rPr>
          <w:b/>
          <w:spacing w:val="-2"/>
          <w:sz w:val="20"/>
        </w:rPr>
        <w:t>Professional</w:t>
      </w:r>
      <w:r>
        <w:rPr>
          <w:b/>
          <w:spacing w:val="5"/>
          <w:sz w:val="20"/>
        </w:rPr>
        <w:t> </w:t>
      </w:r>
      <w:r>
        <w:rPr>
          <w:b/>
          <w:spacing w:val="-2"/>
          <w:sz w:val="20"/>
        </w:rPr>
        <w:t>Memberships:</w:t>
      </w:r>
    </w:p>
    <w:p>
      <w:pPr>
        <w:pStyle w:val="BodyText"/>
        <w:ind w:left="1159" w:right="1770"/>
      </w:pPr>
      <w:r>
        <w:rPr/>
        <w:t>American</w:t>
      </w:r>
      <w:r>
        <w:rPr>
          <w:spacing w:val="-6"/>
        </w:rPr>
        <w:t> </w:t>
      </w:r>
      <w:r>
        <w:rPr/>
        <w:t>Institute</w:t>
      </w:r>
      <w:r>
        <w:rPr>
          <w:spacing w:val="-4"/>
        </w:rPr>
        <w:t> </w:t>
      </w:r>
      <w:r>
        <w:rPr/>
        <w:t>of</w:t>
      </w:r>
      <w:r>
        <w:rPr>
          <w:spacing w:val="-4"/>
        </w:rPr>
        <w:t> </w:t>
      </w:r>
      <w:r>
        <w:rPr/>
        <w:t>Architects,</w:t>
      </w:r>
      <w:r>
        <w:rPr>
          <w:spacing w:val="-6"/>
        </w:rPr>
        <w:t> </w:t>
      </w:r>
      <w:r>
        <w:rPr/>
        <w:t>member</w:t>
      </w:r>
      <w:r>
        <w:rPr>
          <w:spacing w:val="-5"/>
        </w:rPr>
        <w:t> </w:t>
      </w:r>
      <w:r>
        <w:rPr/>
        <w:t>of</w:t>
      </w:r>
      <w:r>
        <w:rPr>
          <w:spacing w:val="-4"/>
        </w:rPr>
        <w:t> </w:t>
      </w:r>
      <w:r>
        <w:rPr/>
        <w:t>Board</w:t>
      </w:r>
      <w:r>
        <w:rPr>
          <w:spacing w:val="-4"/>
        </w:rPr>
        <w:t> </w:t>
      </w:r>
      <w:r>
        <w:rPr/>
        <w:t>of</w:t>
      </w:r>
      <w:r>
        <w:rPr>
          <w:spacing w:val="-4"/>
        </w:rPr>
        <w:t> </w:t>
      </w:r>
      <w:r>
        <w:rPr/>
        <w:t>Directors,</w:t>
      </w:r>
      <w:r>
        <w:rPr>
          <w:spacing w:val="-6"/>
        </w:rPr>
        <w:t> </w:t>
      </w:r>
      <w:r>
        <w:rPr/>
        <w:t>Virginia</w:t>
      </w:r>
      <w:r>
        <w:rPr>
          <w:spacing w:val="-4"/>
        </w:rPr>
        <w:t> </w:t>
      </w:r>
      <w:r>
        <w:rPr/>
        <w:t>Society, United States Green Building Council</w:t>
      </w:r>
    </w:p>
    <w:p>
      <w:pPr>
        <w:pStyle w:val="BodyText"/>
        <w:tabs>
          <w:tab w:pos="2599" w:val="left" w:leader="none"/>
        </w:tabs>
        <w:spacing w:before="1"/>
        <w:ind w:left="1159" w:right="1385"/>
      </w:pPr>
      <w:r>
        <w:rPr>
          <w:spacing w:val="-2"/>
        </w:rPr>
        <w:t>2003-present</w:t>
      </w:r>
      <w:r>
        <w:rPr/>
        <w:tab/>
        <w:t>Visiting</w:t>
      </w:r>
      <w:r>
        <w:rPr>
          <w:spacing w:val="-7"/>
        </w:rPr>
        <w:t> </w:t>
      </w:r>
      <w:r>
        <w:rPr/>
        <w:t>Team</w:t>
      </w:r>
      <w:r>
        <w:rPr>
          <w:spacing w:val="-3"/>
        </w:rPr>
        <w:t> </w:t>
      </w:r>
      <w:r>
        <w:rPr/>
        <w:t>Member,</w:t>
      </w:r>
      <w:r>
        <w:rPr>
          <w:spacing w:val="-7"/>
        </w:rPr>
        <w:t> </w:t>
      </w:r>
      <w:r>
        <w:rPr/>
        <w:t>National</w:t>
      </w:r>
      <w:r>
        <w:rPr>
          <w:spacing w:val="-5"/>
        </w:rPr>
        <w:t> </w:t>
      </w:r>
      <w:r>
        <w:rPr/>
        <w:t>Architectural</w:t>
      </w:r>
      <w:r>
        <w:rPr>
          <w:spacing w:val="-6"/>
        </w:rPr>
        <w:t> </w:t>
      </w:r>
      <w:r>
        <w:rPr/>
        <w:t>Accrediting</w:t>
      </w:r>
      <w:r>
        <w:rPr>
          <w:spacing w:val="-7"/>
        </w:rPr>
        <w:t> </w:t>
      </w:r>
      <w:r>
        <w:rPr/>
        <w:t>Board</w:t>
      </w:r>
      <w:r>
        <w:rPr>
          <w:spacing w:val="-7"/>
        </w:rPr>
        <w:t> </w:t>
      </w:r>
      <w:r>
        <w:rPr/>
        <w:t>(NAAB), Appointed by Association of Collegiate Schools of Architecture (ACSA)</w:t>
      </w:r>
    </w:p>
    <w:p>
      <w:pPr>
        <w:pStyle w:val="BodyText"/>
        <w:tabs>
          <w:tab w:pos="2598" w:val="left" w:leader="none"/>
        </w:tabs>
        <w:spacing w:line="229" w:lineRule="exact"/>
        <w:ind w:left="1159"/>
      </w:pPr>
      <w:r>
        <w:rPr>
          <w:w w:val="95"/>
        </w:rPr>
        <w:t>2005-</w:t>
      </w:r>
      <w:r>
        <w:rPr>
          <w:spacing w:val="-2"/>
        </w:rPr>
        <w:t>present</w:t>
      </w:r>
      <w:r>
        <w:rPr/>
        <w:tab/>
        <w:t>Congress</w:t>
      </w:r>
      <w:r>
        <w:rPr>
          <w:spacing w:val="-5"/>
        </w:rPr>
        <w:t> </w:t>
      </w:r>
      <w:r>
        <w:rPr/>
        <w:t>on</w:t>
      </w:r>
      <w:r>
        <w:rPr>
          <w:spacing w:val="-5"/>
        </w:rPr>
        <w:t> </w:t>
      </w:r>
      <w:r>
        <w:rPr/>
        <w:t>the</w:t>
      </w:r>
      <w:r>
        <w:rPr>
          <w:spacing w:val="-5"/>
        </w:rPr>
        <w:t> </w:t>
      </w:r>
      <w:r>
        <w:rPr/>
        <w:t>New</w:t>
      </w:r>
      <w:r>
        <w:rPr>
          <w:spacing w:val="-5"/>
        </w:rPr>
        <w:t> </w:t>
      </w:r>
      <w:r>
        <w:rPr/>
        <w:t>Urbanism,</w:t>
      </w:r>
      <w:r>
        <w:rPr>
          <w:spacing w:val="-5"/>
        </w:rPr>
        <w:t> </w:t>
      </w:r>
      <w:r>
        <w:rPr>
          <w:spacing w:val="-2"/>
        </w:rPr>
        <w:t>Member</w:t>
      </w:r>
    </w:p>
    <w:p>
      <w:pPr>
        <w:pStyle w:val="BodyText"/>
        <w:spacing w:before="1"/>
        <w:ind w:left="1158"/>
      </w:pPr>
      <w:r>
        <w:rPr/>
        <w:t>2002-2005</w:t>
      </w:r>
      <w:r>
        <w:rPr>
          <w:spacing w:val="52"/>
        </w:rPr>
        <w:t> </w:t>
      </w:r>
      <w:r>
        <w:rPr/>
        <w:t>Commissioner</w:t>
      </w:r>
      <w:r>
        <w:rPr>
          <w:spacing w:val="-7"/>
        </w:rPr>
        <w:t> </w:t>
      </w:r>
      <w:r>
        <w:rPr/>
        <w:t>of</w:t>
      </w:r>
      <w:r>
        <w:rPr>
          <w:spacing w:val="-6"/>
        </w:rPr>
        <w:t> </w:t>
      </w:r>
      <w:r>
        <w:rPr/>
        <w:t>Architectural</w:t>
      </w:r>
      <w:r>
        <w:rPr>
          <w:spacing w:val="-9"/>
        </w:rPr>
        <w:t> </w:t>
      </w:r>
      <w:r>
        <w:rPr/>
        <w:t>Review,</w:t>
      </w:r>
      <w:r>
        <w:rPr>
          <w:spacing w:val="-6"/>
        </w:rPr>
        <w:t> </w:t>
      </w:r>
      <w:r>
        <w:rPr/>
        <w:t>City</w:t>
      </w:r>
      <w:r>
        <w:rPr>
          <w:spacing w:val="-10"/>
        </w:rPr>
        <w:t> </w:t>
      </w:r>
      <w:r>
        <w:rPr/>
        <w:t>of</w:t>
      </w:r>
      <w:r>
        <w:rPr>
          <w:spacing w:val="-7"/>
        </w:rPr>
        <w:t> </w:t>
      </w:r>
      <w:r>
        <w:rPr/>
        <w:t>Portsmouth,</w:t>
      </w:r>
      <w:r>
        <w:rPr>
          <w:spacing w:val="-6"/>
        </w:rPr>
        <w:t> </w:t>
      </w:r>
      <w:r>
        <w:rPr>
          <w:spacing w:val="-2"/>
        </w:rPr>
        <w:t>Virginia</w:t>
      </w:r>
    </w:p>
    <w:p>
      <w:pPr>
        <w:pStyle w:val="BodyText"/>
        <w:tabs>
          <w:tab w:pos="2598" w:val="left" w:leader="none"/>
        </w:tabs>
        <w:ind w:left="1158"/>
      </w:pPr>
      <w:r>
        <w:rPr>
          <w:w w:val="95"/>
        </w:rPr>
        <w:t>2005-</w:t>
      </w:r>
      <w:r>
        <w:rPr>
          <w:spacing w:val="-2"/>
        </w:rPr>
        <w:t>present</w:t>
      </w:r>
      <w:r>
        <w:rPr/>
        <w:tab/>
        <w:t>Congress</w:t>
      </w:r>
      <w:r>
        <w:rPr>
          <w:spacing w:val="-5"/>
        </w:rPr>
        <w:t> </w:t>
      </w:r>
      <w:r>
        <w:rPr/>
        <w:t>on</w:t>
      </w:r>
      <w:r>
        <w:rPr>
          <w:spacing w:val="-6"/>
        </w:rPr>
        <w:t> </w:t>
      </w:r>
      <w:r>
        <w:rPr/>
        <w:t>the</w:t>
      </w:r>
      <w:r>
        <w:rPr>
          <w:spacing w:val="-6"/>
        </w:rPr>
        <w:t> </w:t>
      </w:r>
      <w:r>
        <w:rPr/>
        <w:t>New</w:t>
      </w:r>
      <w:r>
        <w:rPr>
          <w:spacing w:val="-5"/>
        </w:rPr>
        <w:t> </w:t>
      </w:r>
      <w:r>
        <w:rPr/>
        <w:t>Urbanism,</w:t>
      </w:r>
      <w:r>
        <w:rPr>
          <w:spacing w:val="-6"/>
        </w:rPr>
        <w:t> </w:t>
      </w:r>
      <w:r>
        <w:rPr/>
        <w:t>Member</w:t>
      </w:r>
      <w:r>
        <w:rPr>
          <w:spacing w:val="-5"/>
        </w:rPr>
        <w:t> </w:t>
      </w:r>
      <w:r>
        <w:rPr/>
        <w:t>&amp;</w:t>
      </w:r>
      <w:r>
        <w:rPr>
          <w:spacing w:val="-6"/>
        </w:rPr>
        <w:t> </w:t>
      </w:r>
      <w:r>
        <w:rPr/>
        <w:t>Task</w:t>
      </w:r>
      <w:r>
        <w:rPr>
          <w:spacing w:val="-2"/>
        </w:rPr>
        <w:t> </w:t>
      </w:r>
      <w:r>
        <w:rPr/>
        <w:t>Force</w:t>
      </w:r>
      <w:r>
        <w:rPr>
          <w:spacing w:val="-6"/>
        </w:rPr>
        <w:t> </w:t>
      </w:r>
      <w:r>
        <w:rPr/>
        <w:t>Chair</w:t>
      </w:r>
      <w:r>
        <w:rPr>
          <w:spacing w:val="-5"/>
        </w:rPr>
        <w:t> </w:t>
      </w:r>
      <w:r>
        <w:rPr/>
        <w:t>for</w:t>
      </w:r>
      <w:r>
        <w:rPr>
          <w:spacing w:val="-4"/>
        </w:rPr>
        <w:t> </w:t>
      </w:r>
      <w:r>
        <w:rPr>
          <w:spacing w:val="-2"/>
        </w:rPr>
        <w:t>Accessibility</w:t>
      </w:r>
    </w:p>
    <w:p>
      <w:pPr>
        <w:pStyle w:val="BodyText"/>
        <w:spacing w:before="4"/>
        <w:rPr>
          <w:sz w:val="17"/>
        </w:rPr>
      </w:pPr>
    </w:p>
    <w:p>
      <w:pPr>
        <w:spacing w:before="0"/>
        <w:ind w:left="438" w:right="0" w:firstLine="0"/>
        <w:jc w:val="left"/>
        <w:rPr>
          <w:b/>
          <w:sz w:val="20"/>
        </w:rPr>
      </w:pPr>
      <w:r>
        <w:rPr>
          <w:b/>
          <w:sz w:val="20"/>
        </w:rPr>
        <w:t>Professional</w:t>
      </w:r>
      <w:r>
        <w:rPr>
          <w:b/>
          <w:spacing w:val="-9"/>
          <w:sz w:val="20"/>
        </w:rPr>
        <w:t> </w:t>
      </w:r>
      <w:r>
        <w:rPr>
          <w:b/>
          <w:sz w:val="20"/>
        </w:rPr>
        <w:t>Development</w:t>
      </w:r>
      <w:r>
        <w:rPr>
          <w:b/>
          <w:spacing w:val="-10"/>
          <w:sz w:val="20"/>
        </w:rPr>
        <w:t> </w:t>
      </w:r>
      <w:r>
        <w:rPr>
          <w:b/>
          <w:sz w:val="20"/>
        </w:rPr>
        <w:t>&amp;</w:t>
      </w:r>
      <w:r>
        <w:rPr>
          <w:b/>
          <w:spacing w:val="-11"/>
          <w:sz w:val="20"/>
        </w:rPr>
        <w:t> </w:t>
      </w:r>
      <w:r>
        <w:rPr>
          <w:b/>
          <w:sz w:val="20"/>
        </w:rPr>
        <w:t>Research</w:t>
      </w:r>
      <w:r>
        <w:rPr>
          <w:b/>
          <w:spacing w:val="-9"/>
          <w:sz w:val="20"/>
        </w:rPr>
        <w:t> </w:t>
      </w:r>
      <w:r>
        <w:rPr>
          <w:b/>
          <w:spacing w:val="-2"/>
          <w:sz w:val="20"/>
        </w:rPr>
        <w:t>(selected)</w:t>
      </w:r>
    </w:p>
    <w:p>
      <w:pPr>
        <w:pStyle w:val="BodyText"/>
        <w:tabs>
          <w:tab w:pos="1878" w:val="left" w:leader="none"/>
        </w:tabs>
        <w:spacing w:line="276" w:lineRule="auto" w:before="3"/>
        <w:ind w:left="1878" w:right="928" w:hanging="721"/>
      </w:pPr>
      <w:r>
        <w:rPr>
          <w:spacing w:val="-4"/>
        </w:rPr>
        <w:t>2008</w:t>
      </w:r>
      <w:r>
        <w:rPr/>
        <w:tab/>
        <w:t>National</w:t>
      </w:r>
      <w:r>
        <w:rPr>
          <w:spacing w:val="-4"/>
        </w:rPr>
        <w:t> </w:t>
      </w:r>
      <w:r>
        <w:rPr/>
        <w:t>Science</w:t>
      </w:r>
      <w:r>
        <w:rPr>
          <w:spacing w:val="-3"/>
        </w:rPr>
        <w:t> </w:t>
      </w:r>
      <w:r>
        <w:rPr/>
        <w:t>Foundation</w:t>
      </w:r>
      <w:r>
        <w:rPr>
          <w:spacing w:val="-5"/>
        </w:rPr>
        <w:t> </w:t>
      </w:r>
      <w:r>
        <w:rPr/>
        <w:t>grant</w:t>
      </w:r>
      <w:r>
        <w:rPr>
          <w:spacing w:val="-3"/>
        </w:rPr>
        <w:t> </w:t>
      </w:r>
      <w:r>
        <w:rPr/>
        <w:t>of</w:t>
      </w:r>
      <w:r>
        <w:rPr>
          <w:spacing w:val="-3"/>
        </w:rPr>
        <w:t> </w:t>
      </w:r>
      <w:r>
        <w:rPr/>
        <w:t>$8000</w:t>
      </w:r>
      <w:r>
        <w:rPr>
          <w:spacing w:val="-5"/>
        </w:rPr>
        <w:t> </w:t>
      </w:r>
      <w:r>
        <w:rPr/>
        <w:t>for</w:t>
      </w:r>
      <w:r>
        <w:rPr>
          <w:spacing w:val="-4"/>
        </w:rPr>
        <w:t> </w:t>
      </w:r>
      <w:r>
        <w:rPr/>
        <w:t>testing</w:t>
      </w:r>
      <w:r>
        <w:rPr>
          <w:spacing w:val="-3"/>
        </w:rPr>
        <w:t> </w:t>
      </w:r>
      <w:r>
        <w:rPr/>
        <w:t>software</w:t>
      </w:r>
      <w:r>
        <w:rPr>
          <w:spacing w:val="-5"/>
        </w:rPr>
        <w:t> </w:t>
      </w:r>
      <w:r>
        <w:rPr/>
        <w:t>developed</w:t>
      </w:r>
      <w:r>
        <w:rPr>
          <w:spacing w:val="-5"/>
        </w:rPr>
        <w:t> </w:t>
      </w:r>
      <w:r>
        <w:rPr/>
        <w:t>by</w:t>
      </w:r>
      <w:r>
        <w:rPr>
          <w:spacing w:val="-6"/>
        </w:rPr>
        <w:t> </w:t>
      </w:r>
      <w:r>
        <w:rPr/>
        <w:t>Virginia Tech (PI)</w:t>
      </w:r>
    </w:p>
    <w:p>
      <w:pPr>
        <w:pStyle w:val="BodyText"/>
        <w:tabs>
          <w:tab w:pos="1878" w:val="left" w:leader="none"/>
        </w:tabs>
        <w:spacing w:line="229" w:lineRule="exact"/>
        <w:ind w:left="1158"/>
      </w:pPr>
      <w:r>
        <w:rPr>
          <w:spacing w:val="-4"/>
        </w:rPr>
        <w:t>2008</w:t>
      </w:r>
      <w:r>
        <w:rPr/>
        <w:tab/>
        <w:t>Helen</w:t>
      </w:r>
      <w:r>
        <w:rPr>
          <w:spacing w:val="-7"/>
        </w:rPr>
        <w:t> </w:t>
      </w:r>
      <w:r>
        <w:rPr/>
        <w:t>Ridgly</w:t>
      </w:r>
      <w:r>
        <w:rPr>
          <w:spacing w:val="-7"/>
        </w:rPr>
        <w:t> </w:t>
      </w:r>
      <w:r>
        <w:rPr/>
        <w:t>Kennedy</w:t>
      </w:r>
      <w:r>
        <w:rPr>
          <w:spacing w:val="-8"/>
        </w:rPr>
        <w:t> </w:t>
      </w:r>
      <w:r>
        <w:rPr/>
        <w:t>Travel</w:t>
      </w:r>
      <w:r>
        <w:rPr>
          <w:spacing w:val="-5"/>
        </w:rPr>
        <w:t> </w:t>
      </w:r>
      <w:r>
        <w:rPr>
          <w:spacing w:val="-2"/>
        </w:rPr>
        <w:t>Scholarship</w:t>
      </w:r>
    </w:p>
    <w:p>
      <w:pPr>
        <w:pStyle w:val="BodyText"/>
        <w:tabs>
          <w:tab w:pos="1878" w:val="left" w:leader="none"/>
        </w:tabs>
        <w:spacing w:line="278" w:lineRule="auto" w:before="34"/>
        <w:ind w:left="1158" w:right="2382"/>
      </w:pPr>
      <w:r>
        <w:rPr>
          <w:spacing w:val="-4"/>
        </w:rPr>
        <w:t>2007</w:t>
      </w:r>
      <w:r>
        <w:rPr/>
        <w:tab/>
        <w:t>Honorable</w:t>
      </w:r>
      <w:r>
        <w:rPr>
          <w:spacing w:val="-7"/>
        </w:rPr>
        <w:t> </w:t>
      </w:r>
      <w:r>
        <w:rPr/>
        <w:t>Mention,</w:t>
      </w:r>
      <w:r>
        <w:rPr>
          <w:spacing w:val="-5"/>
        </w:rPr>
        <w:t> </w:t>
      </w:r>
      <w:r>
        <w:rPr/>
        <w:t>Saint</w:t>
      </w:r>
      <w:r>
        <w:rPr>
          <w:spacing w:val="-5"/>
        </w:rPr>
        <w:t> </w:t>
      </w:r>
      <w:r>
        <w:rPr/>
        <w:t>Louis</w:t>
      </w:r>
      <w:r>
        <w:rPr>
          <w:spacing w:val="-4"/>
        </w:rPr>
        <w:t> </w:t>
      </w:r>
      <w:r>
        <w:rPr/>
        <w:t>AIA</w:t>
      </w:r>
      <w:r>
        <w:rPr>
          <w:spacing w:val="-5"/>
        </w:rPr>
        <w:t> </w:t>
      </w:r>
      <w:r>
        <w:rPr/>
        <w:t>Annual</w:t>
      </w:r>
      <w:r>
        <w:rPr>
          <w:spacing w:val="-6"/>
        </w:rPr>
        <w:t> </w:t>
      </w:r>
      <w:r>
        <w:rPr/>
        <w:t>Photography</w:t>
      </w:r>
      <w:r>
        <w:rPr>
          <w:spacing w:val="-10"/>
        </w:rPr>
        <w:t> </w:t>
      </w:r>
      <w:r>
        <w:rPr/>
        <w:t>Competition </w:t>
      </w:r>
      <w:r>
        <w:rPr>
          <w:spacing w:val="-4"/>
        </w:rPr>
        <w:t>2007</w:t>
      </w:r>
      <w:r>
        <w:rPr/>
        <w:tab/>
        <w:t>Christopher Wren Association Scholarship</w:t>
      </w:r>
    </w:p>
    <w:p>
      <w:pPr>
        <w:pStyle w:val="BodyText"/>
        <w:tabs>
          <w:tab w:pos="1878" w:val="left" w:leader="none"/>
        </w:tabs>
        <w:spacing w:line="276" w:lineRule="auto"/>
        <w:ind w:left="1159" w:right="3318" w:hanging="1"/>
      </w:pPr>
      <w:r>
        <w:rPr>
          <w:spacing w:val="-4"/>
        </w:rPr>
        <w:t>2004</w:t>
      </w:r>
      <w:r>
        <w:rPr/>
        <w:tab/>
        <w:t>Fulbright-Hays</w:t>
      </w:r>
      <w:r>
        <w:rPr>
          <w:spacing w:val="-8"/>
        </w:rPr>
        <w:t> </w:t>
      </w:r>
      <w:r>
        <w:rPr/>
        <w:t>Group</w:t>
      </w:r>
      <w:r>
        <w:rPr>
          <w:spacing w:val="-8"/>
        </w:rPr>
        <w:t> </w:t>
      </w:r>
      <w:r>
        <w:rPr/>
        <w:t>Projects</w:t>
      </w:r>
      <w:r>
        <w:rPr>
          <w:spacing w:val="-8"/>
        </w:rPr>
        <w:t> </w:t>
      </w:r>
      <w:r>
        <w:rPr/>
        <w:t>Abroad</w:t>
      </w:r>
      <w:r>
        <w:rPr>
          <w:spacing w:val="-7"/>
        </w:rPr>
        <w:t> </w:t>
      </w:r>
      <w:r>
        <w:rPr/>
        <w:t>grant</w:t>
      </w:r>
      <w:r>
        <w:rPr>
          <w:spacing w:val="-7"/>
        </w:rPr>
        <w:t> </w:t>
      </w:r>
      <w:r>
        <w:rPr/>
        <w:t>of</w:t>
      </w:r>
      <w:r>
        <w:rPr>
          <w:spacing w:val="-7"/>
        </w:rPr>
        <w:t> </w:t>
      </w:r>
      <w:r>
        <w:rPr/>
        <w:t>$75,000(PI) </w:t>
      </w:r>
      <w:r>
        <w:rPr>
          <w:spacing w:val="-4"/>
        </w:rPr>
        <w:t>2004</w:t>
      </w:r>
      <w:r>
        <w:rPr/>
        <w:tab/>
      </w:r>
      <w:r>
        <w:rPr>
          <w:spacing w:val="-55"/>
        </w:rPr>
        <w:t> </w:t>
      </w:r>
      <w:r>
        <w:rPr/>
        <w:t>Semi-Finalist, ArchVoices Essay Competition</w:t>
      </w:r>
    </w:p>
    <w:p>
      <w:pPr>
        <w:pStyle w:val="BodyText"/>
        <w:tabs>
          <w:tab w:pos="1879" w:val="left" w:leader="none"/>
        </w:tabs>
        <w:spacing w:line="276" w:lineRule="auto"/>
        <w:ind w:left="1159" w:right="3669" w:hanging="1"/>
      </w:pPr>
      <w:r>
        <w:rPr>
          <w:spacing w:val="-4"/>
        </w:rPr>
        <w:t>2003</w:t>
      </w:r>
      <w:r>
        <w:rPr/>
        <w:tab/>
        <w:t>The</w:t>
      </w:r>
      <w:r>
        <w:rPr>
          <w:spacing w:val="-6"/>
        </w:rPr>
        <w:t> </w:t>
      </w:r>
      <w:r>
        <w:rPr/>
        <w:t>Graham</w:t>
      </w:r>
      <w:r>
        <w:rPr>
          <w:spacing w:val="-2"/>
        </w:rPr>
        <w:t> </w:t>
      </w:r>
      <w:r>
        <w:rPr/>
        <w:t>Foundation</w:t>
      </w:r>
      <w:r>
        <w:rPr>
          <w:spacing w:val="-6"/>
        </w:rPr>
        <w:t> </w:t>
      </w:r>
      <w:r>
        <w:rPr/>
        <w:t>for</w:t>
      </w:r>
      <w:r>
        <w:rPr>
          <w:spacing w:val="-5"/>
        </w:rPr>
        <w:t> </w:t>
      </w:r>
      <w:r>
        <w:rPr/>
        <w:t>the</w:t>
      </w:r>
      <w:r>
        <w:rPr>
          <w:spacing w:val="-6"/>
        </w:rPr>
        <w:t> </w:t>
      </w:r>
      <w:r>
        <w:rPr/>
        <w:t>Fine</w:t>
      </w:r>
      <w:r>
        <w:rPr>
          <w:spacing w:val="-5"/>
        </w:rPr>
        <w:t> </w:t>
      </w:r>
      <w:r>
        <w:rPr/>
        <w:t>Arts</w:t>
      </w:r>
      <w:r>
        <w:rPr>
          <w:spacing w:val="-5"/>
        </w:rPr>
        <w:t> </w:t>
      </w:r>
      <w:r>
        <w:rPr/>
        <w:t>grant</w:t>
      </w:r>
      <w:r>
        <w:rPr>
          <w:spacing w:val="-5"/>
        </w:rPr>
        <w:t> </w:t>
      </w:r>
      <w:r>
        <w:rPr/>
        <w:t>(Co-PI) </w:t>
      </w:r>
      <w:r>
        <w:rPr>
          <w:spacing w:val="-4"/>
        </w:rPr>
        <w:t>2002</w:t>
      </w:r>
      <w:r>
        <w:rPr/>
        <w:tab/>
        <w:t>ROTCH Traveling Studio grant of $20,000 (PI)</w:t>
      </w:r>
    </w:p>
    <w:p>
      <w:pPr>
        <w:pStyle w:val="BodyText"/>
        <w:tabs>
          <w:tab w:pos="1879" w:val="left" w:leader="none"/>
        </w:tabs>
        <w:ind w:left="1159"/>
      </w:pPr>
      <w:r>
        <w:rPr>
          <w:spacing w:val="-4"/>
        </w:rPr>
        <w:t>2002</w:t>
      </w:r>
      <w:r>
        <w:rPr/>
        <w:tab/>
        <w:t>Virginia</w:t>
      </w:r>
      <w:r>
        <w:rPr>
          <w:spacing w:val="-10"/>
        </w:rPr>
        <w:t> </w:t>
      </w:r>
      <w:r>
        <w:rPr/>
        <w:t>Tidewater</w:t>
      </w:r>
      <w:r>
        <w:rPr>
          <w:spacing w:val="-8"/>
        </w:rPr>
        <w:t> </w:t>
      </w:r>
      <w:r>
        <w:rPr/>
        <w:t>Regional</w:t>
      </w:r>
      <w:r>
        <w:rPr>
          <w:spacing w:val="-8"/>
        </w:rPr>
        <w:t> </w:t>
      </w:r>
      <w:r>
        <w:rPr/>
        <w:t>International</w:t>
      </w:r>
      <w:r>
        <w:rPr>
          <w:spacing w:val="-8"/>
        </w:rPr>
        <w:t> </w:t>
      </w:r>
      <w:r>
        <w:rPr/>
        <w:t>Project</w:t>
      </w:r>
      <w:r>
        <w:rPr>
          <w:spacing w:val="-9"/>
        </w:rPr>
        <w:t> </w:t>
      </w:r>
      <w:r>
        <w:rPr/>
        <w:t>grant</w:t>
      </w:r>
      <w:r>
        <w:rPr>
          <w:spacing w:val="-5"/>
        </w:rPr>
        <w:t> </w:t>
      </w:r>
      <w:r>
        <w:rPr/>
        <w:t>of</w:t>
      </w:r>
      <w:r>
        <w:rPr>
          <w:spacing w:val="-7"/>
        </w:rPr>
        <w:t> </w:t>
      </w:r>
      <w:r>
        <w:rPr/>
        <w:t>$1000</w:t>
      </w:r>
      <w:r>
        <w:rPr>
          <w:spacing w:val="-8"/>
        </w:rPr>
        <w:t> </w:t>
      </w:r>
      <w:r>
        <w:rPr>
          <w:spacing w:val="-4"/>
        </w:rPr>
        <w:t>(PI)</w:t>
      </w:r>
    </w:p>
    <w:p>
      <w:pPr>
        <w:pStyle w:val="BodyText"/>
        <w:tabs>
          <w:tab w:pos="1879" w:val="left" w:leader="none"/>
        </w:tabs>
        <w:spacing w:line="276" w:lineRule="auto" w:before="31"/>
        <w:ind w:left="1879" w:right="869" w:hanging="720"/>
      </w:pPr>
      <w:r>
        <w:rPr>
          <w:spacing w:val="-2"/>
        </w:rPr>
        <w:t>02-02</w:t>
      </w:r>
      <w:r>
        <w:rPr/>
        <w:tab/>
        <w:t>HUD:</w:t>
      </w:r>
      <w:r>
        <w:rPr>
          <w:spacing w:val="-5"/>
        </w:rPr>
        <w:t> </w:t>
      </w:r>
      <w:r>
        <w:rPr/>
        <w:t>HBCU</w:t>
      </w:r>
      <w:r>
        <w:rPr>
          <w:spacing w:val="-2"/>
        </w:rPr>
        <w:t> </w:t>
      </w:r>
      <w:r>
        <w:rPr/>
        <w:t>grants</w:t>
      </w:r>
      <w:r>
        <w:rPr>
          <w:spacing w:val="-4"/>
        </w:rPr>
        <w:t> </w:t>
      </w:r>
      <w:r>
        <w:rPr/>
        <w:t>of</w:t>
      </w:r>
      <w:r>
        <w:rPr>
          <w:spacing w:val="-3"/>
        </w:rPr>
        <w:t> </w:t>
      </w:r>
      <w:r>
        <w:rPr/>
        <w:t>$450,000</w:t>
      </w:r>
      <w:r>
        <w:rPr>
          <w:spacing w:val="-5"/>
        </w:rPr>
        <w:t> </w:t>
      </w:r>
      <w:r>
        <w:rPr/>
        <w:t>(Co-Investigator).</w:t>
      </w:r>
      <w:r>
        <w:rPr>
          <w:spacing w:val="-3"/>
        </w:rPr>
        <w:t> </w:t>
      </w:r>
      <w:r>
        <w:rPr/>
        <w:t>Assisted</w:t>
      </w:r>
      <w:r>
        <w:rPr>
          <w:spacing w:val="-5"/>
        </w:rPr>
        <w:t> </w:t>
      </w:r>
      <w:r>
        <w:rPr/>
        <w:t>in</w:t>
      </w:r>
      <w:r>
        <w:rPr>
          <w:spacing w:val="-5"/>
        </w:rPr>
        <w:t> </w:t>
      </w:r>
      <w:r>
        <w:rPr/>
        <w:t>conducting</w:t>
      </w:r>
      <w:r>
        <w:rPr>
          <w:spacing w:val="-5"/>
        </w:rPr>
        <w:t> </w:t>
      </w:r>
      <w:r>
        <w:rPr/>
        <w:t>grants</w:t>
      </w:r>
      <w:r>
        <w:rPr>
          <w:spacing w:val="-3"/>
        </w:rPr>
        <w:t> </w:t>
      </w:r>
      <w:r>
        <w:rPr/>
        <w:t>in</w:t>
      </w:r>
      <w:r>
        <w:rPr>
          <w:spacing w:val="-3"/>
        </w:rPr>
        <w:t> </w:t>
      </w:r>
      <w:r>
        <w:rPr/>
        <w:t>two cycles by conducted Projects in Fair Housing education, student travel, urban and housing design.</w:t>
      </w:r>
    </w:p>
    <w:p>
      <w:pPr>
        <w:pStyle w:val="BodyText"/>
        <w:spacing w:line="278" w:lineRule="auto"/>
        <w:ind w:left="1663" w:right="642" w:hanging="504"/>
      </w:pPr>
      <w:r>
        <w:rPr/>
        <w:t>2001 Fannie</w:t>
      </w:r>
      <w:r>
        <w:rPr>
          <w:spacing w:val="-5"/>
        </w:rPr>
        <w:t> </w:t>
      </w:r>
      <w:r>
        <w:rPr/>
        <w:t>Mae</w:t>
      </w:r>
      <w:r>
        <w:rPr>
          <w:spacing w:val="-5"/>
        </w:rPr>
        <w:t> </w:t>
      </w:r>
      <w:r>
        <w:rPr/>
        <w:t>Foundation</w:t>
      </w:r>
      <w:r>
        <w:rPr>
          <w:spacing w:val="-3"/>
        </w:rPr>
        <w:t> </w:t>
      </w:r>
      <w:r>
        <w:rPr/>
        <w:t>grant</w:t>
      </w:r>
      <w:r>
        <w:rPr>
          <w:spacing w:val="-5"/>
        </w:rPr>
        <w:t> </w:t>
      </w:r>
      <w:r>
        <w:rPr/>
        <w:t>of</w:t>
      </w:r>
      <w:r>
        <w:rPr>
          <w:spacing w:val="-3"/>
        </w:rPr>
        <w:t> </w:t>
      </w:r>
      <w:r>
        <w:rPr/>
        <w:t>$25,000</w:t>
      </w:r>
      <w:r>
        <w:rPr>
          <w:spacing w:val="-5"/>
        </w:rPr>
        <w:t> </w:t>
      </w:r>
      <w:r>
        <w:rPr/>
        <w:t>(Co-Investigator).</w:t>
      </w:r>
      <w:r>
        <w:rPr>
          <w:spacing w:val="-5"/>
        </w:rPr>
        <w:t> </w:t>
      </w:r>
      <w:r>
        <w:rPr/>
        <w:t>Directed</w:t>
      </w:r>
      <w:r>
        <w:rPr>
          <w:spacing w:val="-5"/>
        </w:rPr>
        <w:t> </w:t>
      </w:r>
      <w:r>
        <w:rPr/>
        <w:t>the</w:t>
      </w:r>
      <w:r>
        <w:rPr>
          <w:spacing w:val="-3"/>
        </w:rPr>
        <w:t> </w:t>
      </w:r>
      <w:r>
        <w:rPr/>
        <w:t>Park</w:t>
      </w:r>
      <w:r>
        <w:rPr>
          <w:spacing w:val="-1"/>
        </w:rPr>
        <w:t> </w:t>
      </w:r>
      <w:r>
        <w:rPr/>
        <w:t>Place Affordable Housing Design project, also conducted student travel programs.</w:t>
      </w:r>
    </w:p>
    <w:p>
      <w:pPr>
        <w:spacing w:after="0" w:line="278" w:lineRule="auto"/>
        <w:sectPr>
          <w:headerReference w:type="default" r:id="rId253"/>
          <w:footerReference w:type="default" r:id="rId254"/>
          <w:pgSz w:w="12240" w:h="15840"/>
          <w:pgMar w:header="0" w:footer="974" w:top="920" w:bottom="1160" w:left="1000" w:right="820"/>
        </w:sectPr>
      </w:pPr>
    </w:p>
    <w:p>
      <w:pPr>
        <w:spacing w:before="63"/>
        <w:ind w:left="440" w:right="0" w:firstLine="0"/>
        <w:jc w:val="left"/>
        <w:rPr>
          <w:b/>
          <w:sz w:val="20"/>
        </w:rPr>
      </w:pPr>
      <w:r>
        <w:rPr>
          <w:b/>
          <w:sz w:val="20"/>
        </w:rPr>
        <w:t>Easter,</w:t>
      </w:r>
      <w:r>
        <w:rPr>
          <w:b/>
          <w:spacing w:val="-11"/>
          <w:sz w:val="20"/>
        </w:rPr>
        <w:t> </w:t>
      </w:r>
      <w:r>
        <w:rPr>
          <w:b/>
          <w:sz w:val="20"/>
        </w:rPr>
        <w:t>Robert</w:t>
      </w:r>
      <w:r>
        <w:rPr>
          <w:b/>
          <w:spacing w:val="-10"/>
          <w:sz w:val="20"/>
        </w:rPr>
        <w:t> </w:t>
      </w:r>
      <w:r>
        <w:rPr>
          <w:b/>
          <w:sz w:val="20"/>
        </w:rPr>
        <w:t>(Chair),</w:t>
      </w:r>
      <w:r>
        <w:rPr>
          <w:b/>
          <w:spacing w:val="-7"/>
          <w:sz w:val="20"/>
        </w:rPr>
        <w:t> </w:t>
      </w:r>
      <w:r>
        <w:rPr>
          <w:b/>
          <w:sz w:val="20"/>
        </w:rPr>
        <w:t>Associate</w:t>
      </w:r>
      <w:r>
        <w:rPr>
          <w:b/>
          <w:spacing w:val="-9"/>
          <w:sz w:val="20"/>
        </w:rPr>
        <w:t> </w:t>
      </w:r>
      <w:r>
        <w:rPr>
          <w:b/>
          <w:sz w:val="20"/>
        </w:rPr>
        <w:t>Professor</w:t>
      </w:r>
      <w:r>
        <w:rPr>
          <w:b/>
          <w:spacing w:val="-10"/>
          <w:sz w:val="20"/>
        </w:rPr>
        <w:t> </w:t>
      </w:r>
      <w:r>
        <w:rPr>
          <w:b/>
          <w:sz w:val="20"/>
        </w:rPr>
        <w:t>of</w:t>
      </w:r>
      <w:r>
        <w:rPr>
          <w:b/>
          <w:spacing w:val="-6"/>
          <w:sz w:val="20"/>
        </w:rPr>
        <w:t> </w:t>
      </w:r>
      <w:r>
        <w:rPr>
          <w:b/>
          <w:sz w:val="20"/>
        </w:rPr>
        <w:t>Architecture,</w:t>
      </w:r>
      <w:r>
        <w:rPr>
          <w:b/>
          <w:spacing w:val="-11"/>
          <w:sz w:val="20"/>
        </w:rPr>
        <w:t> </w:t>
      </w:r>
      <w:r>
        <w:rPr>
          <w:b/>
          <w:spacing w:val="-2"/>
          <w:sz w:val="20"/>
        </w:rPr>
        <w:t>Tenured</w:t>
      </w:r>
    </w:p>
    <w:p>
      <w:pPr>
        <w:pStyle w:val="BodyText"/>
        <w:spacing w:before="7"/>
        <w:rPr>
          <w:b/>
          <w:sz w:val="17"/>
        </w:rPr>
      </w:pPr>
    </w:p>
    <w:p>
      <w:pPr>
        <w:spacing w:before="0"/>
        <w:ind w:left="440" w:right="0" w:firstLine="0"/>
        <w:jc w:val="left"/>
        <w:rPr>
          <w:b/>
          <w:sz w:val="20"/>
        </w:rPr>
      </w:pPr>
      <w:r>
        <w:rPr>
          <w:b/>
          <w:sz w:val="20"/>
        </w:rPr>
        <w:t>Courses</w:t>
      </w:r>
      <w:r>
        <w:rPr>
          <w:b/>
          <w:spacing w:val="-7"/>
          <w:sz w:val="20"/>
        </w:rPr>
        <w:t> </w:t>
      </w:r>
      <w:r>
        <w:rPr>
          <w:b/>
          <w:sz w:val="20"/>
        </w:rPr>
        <w:t>Taught</w:t>
      </w:r>
      <w:r>
        <w:rPr>
          <w:b/>
          <w:spacing w:val="-7"/>
          <w:sz w:val="20"/>
        </w:rPr>
        <w:t> </w:t>
      </w:r>
      <w:r>
        <w:rPr>
          <w:b/>
          <w:sz w:val="20"/>
        </w:rPr>
        <w:t>(during</w:t>
      </w:r>
      <w:r>
        <w:rPr>
          <w:b/>
          <w:spacing w:val="-7"/>
          <w:sz w:val="20"/>
        </w:rPr>
        <w:t> </w:t>
      </w:r>
      <w:r>
        <w:rPr>
          <w:b/>
          <w:sz w:val="20"/>
        </w:rPr>
        <w:t>the</w:t>
      </w:r>
      <w:r>
        <w:rPr>
          <w:b/>
          <w:spacing w:val="-8"/>
          <w:sz w:val="20"/>
        </w:rPr>
        <w:t> </w:t>
      </w:r>
      <w:r>
        <w:rPr>
          <w:b/>
          <w:sz w:val="20"/>
        </w:rPr>
        <w:t>past</w:t>
      </w:r>
      <w:r>
        <w:rPr>
          <w:b/>
          <w:spacing w:val="-7"/>
          <w:sz w:val="20"/>
        </w:rPr>
        <w:t> </w:t>
      </w:r>
      <w:r>
        <w:rPr>
          <w:b/>
          <w:sz w:val="20"/>
        </w:rPr>
        <w:t>two</w:t>
      </w:r>
      <w:r>
        <w:rPr>
          <w:b/>
          <w:spacing w:val="-7"/>
          <w:sz w:val="20"/>
        </w:rPr>
        <w:t> </w:t>
      </w:r>
      <w:r>
        <w:rPr>
          <w:b/>
          <w:sz w:val="20"/>
        </w:rPr>
        <w:t>academic</w:t>
      </w:r>
      <w:r>
        <w:rPr>
          <w:b/>
          <w:spacing w:val="-4"/>
          <w:sz w:val="20"/>
        </w:rPr>
        <w:t> </w:t>
      </w:r>
      <w:r>
        <w:rPr>
          <w:b/>
          <w:spacing w:val="-2"/>
          <w:sz w:val="20"/>
        </w:rPr>
        <w:t>years):</w:t>
      </w:r>
    </w:p>
    <w:p>
      <w:pPr>
        <w:pStyle w:val="BodyText"/>
        <w:ind w:left="1159" w:right="1742"/>
      </w:pPr>
      <w:r>
        <w:rPr/>
        <w:t>Fall 2013: ARC 405 – Comp Design Studio I, ARC 417 – Professional Practice</w:t>
      </w:r>
      <w:r>
        <w:rPr/>
        <w:t> Spring</w:t>
      </w:r>
      <w:r>
        <w:rPr>
          <w:spacing w:val="-4"/>
        </w:rPr>
        <w:t> </w:t>
      </w:r>
      <w:r>
        <w:rPr/>
        <w:t>2014:</w:t>
      </w:r>
      <w:r>
        <w:rPr>
          <w:spacing w:val="-4"/>
        </w:rPr>
        <w:t> </w:t>
      </w:r>
      <w:r>
        <w:rPr/>
        <w:t>ARC</w:t>
      </w:r>
      <w:r>
        <w:rPr>
          <w:spacing w:val="-4"/>
        </w:rPr>
        <w:t> </w:t>
      </w:r>
      <w:r>
        <w:rPr/>
        <w:t>406</w:t>
      </w:r>
      <w:r>
        <w:rPr>
          <w:spacing w:val="-4"/>
        </w:rPr>
        <w:t> </w:t>
      </w:r>
      <w:r>
        <w:rPr/>
        <w:t>–</w:t>
      </w:r>
      <w:r>
        <w:rPr>
          <w:spacing w:val="-2"/>
        </w:rPr>
        <w:t> </w:t>
      </w:r>
      <w:r>
        <w:rPr/>
        <w:t>Comp</w:t>
      </w:r>
      <w:r>
        <w:rPr>
          <w:spacing w:val="-4"/>
        </w:rPr>
        <w:t> </w:t>
      </w:r>
      <w:r>
        <w:rPr/>
        <w:t>Design</w:t>
      </w:r>
      <w:r>
        <w:rPr>
          <w:spacing w:val="-4"/>
        </w:rPr>
        <w:t> </w:t>
      </w:r>
      <w:r>
        <w:rPr/>
        <w:t>Studio</w:t>
      </w:r>
      <w:r>
        <w:rPr>
          <w:spacing w:val="-4"/>
        </w:rPr>
        <w:t> </w:t>
      </w:r>
      <w:r>
        <w:rPr/>
        <w:t>II,</w:t>
      </w:r>
      <w:r>
        <w:rPr>
          <w:spacing w:val="-2"/>
        </w:rPr>
        <w:t> </w:t>
      </w:r>
      <w:r>
        <w:rPr/>
        <w:t>ARC</w:t>
      </w:r>
      <w:r>
        <w:rPr>
          <w:spacing w:val="-1"/>
        </w:rPr>
        <w:t> </w:t>
      </w:r>
      <w:r>
        <w:rPr/>
        <w:t>430</w:t>
      </w:r>
      <w:r>
        <w:rPr>
          <w:spacing w:val="-2"/>
        </w:rPr>
        <w:t> </w:t>
      </w:r>
      <w:r>
        <w:rPr/>
        <w:t>–</w:t>
      </w:r>
      <w:r>
        <w:rPr>
          <w:spacing w:val="-4"/>
        </w:rPr>
        <w:t> </w:t>
      </w:r>
      <w:r>
        <w:rPr/>
        <w:t>Elective</w:t>
      </w:r>
      <w:r>
        <w:rPr>
          <w:spacing w:val="-4"/>
        </w:rPr>
        <w:t> </w:t>
      </w:r>
      <w:r>
        <w:rPr/>
        <w:t>(Airport</w:t>
      </w:r>
      <w:r>
        <w:rPr>
          <w:spacing w:val="-4"/>
        </w:rPr>
        <w:t> </w:t>
      </w:r>
      <w:r>
        <w:rPr/>
        <w:t>Design) Fall 2014: ARC 405 – Comp Design Studio I, ARC 517 – Professional Practice Spring 2014: ARC 406 – Comp Design Studio II, ARC 518 – Professional Practice</w:t>
      </w:r>
    </w:p>
    <w:p>
      <w:pPr>
        <w:pStyle w:val="BodyText"/>
        <w:spacing w:before="4"/>
        <w:rPr>
          <w:sz w:val="17"/>
        </w:rPr>
      </w:pPr>
    </w:p>
    <w:p>
      <w:pPr>
        <w:spacing w:before="0"/>
        <w:ind w:left="439" w:right="0" w:firstLine="0"/>
        <w:jc w:val="left"/>
        <w:rPr>
          <w:b/>
          <w:sz w:val="20"/>
        </w:rPr>
      </w:pPr>
      <w:r>
        <w:rPr>
          <w:b/>
          <w:spacing w:val="-2"/>
          <w:sz w:val="20"/>
        </w:rPr>
        <w:t>Educational</w:t>
      </w:r>
      <w:r>
        <w:rPr>
          <w:b/>
          <w:spacing w:val="6"/>
          <w:sz w:val="20"/>
        </w:rPr>
        <w:t> </w:t>
      </w:r>
      <w:r>
        <w:rPr>
          <w:b/>
          <w:spacing w:val="-2"/>
          <w:sz w:val="20"/>
        </w:rPr>
        <w:t>Credentials:</w:t>
      </w:r>
    </w:p>
    <w:p>
      <w:pPr>
        <w:pStyle w:val="BodyText"/>
        <w:ind w:left="1159" w:right="2838"/>
      </w:pPr>
      <w:r>
        <w:rPr/>
        <w:t>M</w:t>
      </w:r>
      <w:r>
        <w:rPr>
          <w:spacing w:val="-5"/>
        </w:rPr>
        <w:t> </w:t>
      </w:r>
      <w:r>
        <w:rPr/>
        <w:t>Arch,</w:t>
      </w:r>
      <w:r>
        <w:rPr>
          <w:spacing w:val="-4"/>
        </w:rPr>
        <w:t> </w:t>
      </w:r>
      <w:r>
        <w:rPr/>
        <w:t>Architecture</w:t>
      </w:r>
      <w:r>
        <w:rPr>
          <w:spacing w:val="-5"/>
        </w:rPr>
        <w:t> </w:t>
      </w:r>
      <w:r>
        <w:rPr/>
        <w:t>and</w:t>
      </w:r>
      <w:r>
        <w:rPr>
          <w:spacing w:val="-5"/>
        </w:rPr>
        <w:t> </w:t>
      </w:r>
      <w:r>
        <w:rPr/>
        <w:t>Urban</w:t>
      </w:r>
      <w:r>
        <w:rPr>
          <w:spacing w:val="-5"/>
        </w:rPr>
        <w:t> </w:t>
      </w:r>
      <w:r>
        <w:rPr/>
        <w:t>Design,</w:t>
      </w:r>
      <w:r>
        <w:rPr>
          <w:spacing w:val="-5"/>
        </w:rPr>
        <w:t> </w:t>
      </w:r>
      <w:r>
        <w:rPr/>
        <w:t>1979,</w:t>
      </w:r>
      <w:r>
        <w:rPr>
          <w:spacing w:val="-4"/>
        </w:rPr>
        <w:t> </w:t>
      </w:r>
      <w:r>
        <w:rPr/>
        <w:t>VPI&amp;SU,</w:t>
      </w:r>
      <w:r>
        <w:rPr>
          <w:spacing w:val="-5"/>
        </w:rPr>
        <w:t> </w:t>
      </w:r>
      <w:r>
        <w:rPr/>
        <w:t>Blacksburg,</w:t>
      </w:r>
      <w:r>
        <w:rPr>
          <w:spacing w:val="-5"/>
        </w:rPr>
        <w:t> </w:t>
      </w:r>
      <w:r>
        <w:rPr/>
        <w:t>VA B Arch, Architecture, 1977, Hampton University, Hampton, VA</w:t>
      </w:r>
    </w:p>
    <w:p>
      <w:pPr>
        <w:pStyle w:val="BodyText"/>
        <w:spacing w:before="1"/>
        <w:ind w:left="1159"/>
      </w:pPr>
      <w:r>
        <w:rPr/>
        <w:t>Competed</w:t>
      </w:r>
      <w:r>
        <w:rPr>
          <w:spacing w:val="-8"/>
        </w:rPr>
        <w:t> </w:t>
      </w:r>
      <w:r>
        <w:rPr/>
        <w:t>64</w:t>
      </w:r>
      <w:r>
        <w:rPr>
          <w:spacing w:val="-6"/>
        </w:rPr>
        <w:t> </w:t>
      </w:r>
      <w:r>
        <w:rPr/>
        <w:t>of</w:t>
      </w:r>
      <w:r>
        <w:rPr>
          <w:spacing w:val="-7"/>
        </w:rPr>
        <w:t> </w:t>
      </w:r>
      <w:r>
        <w:rPr/>
        <w:t>90</w:t>
      </w:r>
      <w:r>
        <w:rPr>
          <w:spacing w:val="-7"/>
        </w:rPr>
        <w:t> </w:t>
      </w:r>
      <w:r>
        <w:rPr/>
        <w:t>credits</w:t>
      </w:r>
      <w:r>
        <w:rPr>
          <w:spacing w:val="-5"/>
        </w:rPr>
        <w:t> </w:t>
      </w:r>
      <w:r>
        <w:rPr/>
        <w:t>toward</w:t>
      </w:r>
      <w:r>
        <w:rPr>
          <w:spacing w:val="-6"/>
        </w:rPr>
        <w:t> </w:t>
      </w:r>
      <w:r>
        <w:rPr/>
        <w:t>M</w:t>
      </w:r>
      <w:r>
        <w:rPr>
          <w:spacing w:val="-8"/>
        </w:rPr>
        <w:t> </w:t>
      </w:r>
      <w:r>
        <w:rPr/>
        <w:t>Divinity,</w:t>
      </w:r>
      <w:r>
        <w:rPr>
          <w:spacing w:val="-6"/>
        </w:rPr>
        <w:t> </w:t>
      </w:r>
      <w:r>
        <w:rPr/>
        <w:t>Howard</w:t>
      </w:r>
      <w:r>
        <w:rPr>
          <w:spacing w:val="-6"/>
        </w:rPr>
        <w:t> </w:t>
      </w:r>
      <w:r>
        <w:rPr/>
        <w:t>University,</w:t>
      </w:r>
      <w:r>
        <w:rPr>
          <w:spacing w:val="-10"/>
        </w:rPr>
        <w:t> </w:t>
      </w:r>
      <w:r>
        <w:rPr/>
        <w:t>Washington,</w:t>
      </w:r>
      <w:r>
        <w:rPr>
          <w:spacing w:val="-6"/>
        </w:rPr>
        <w:t> </w:t>
      </w:r>
      <w:r>
        <w:rPr>
          <w:spacing w:val="-5"/>
        </w:rPr>
        <w:t>DC</w:t>
      </w:r>
    </w:p>
    <w:p>
      <w:pPr>
        <w:pStyle w:val="BodyText"/>
        <w:spacing w:before="4"/>
        <w:rPr>
          <w:sz w:val="17"/>
        </w:rPr>
      </w:pPr>
    </w:p>
    <w:p>
      <w:pPr>
        <w:spacing w:before="0"/>
        <w:ind w:left="439" w:right="0" w:firstLine="0"/>
        <w:jc w:val="left"/>
        <w:rPr>
          <w:b/>
          <w:sz w:val="20"/>
        </w:rPr>
      </w:pPr>
      <w:r>
        <w:rPr>
          <w:b/>
          <w:sz w:val="20"/>
        </w:rPr>
        <w:t>Teaching</w:t>
      </w:r>
      <w:r>
        <w:rPr>
          <w:b/>
          <w:spacing w:val="-10"/>
          <w:sz w:val="20"/>
        </w:rPr>
        <w:t> </w:t>
      </w:r>
      <w:r>
        <w:rPr>
          <w:b/>
          <w:spacing w:val="-2"/>
          <w:sz w:val="20"/>
        </w:rPr>
        <w:t>Experience</w:t>
      </w:r>
    </w:p>
    <w:p>
      <w:pPr>
        <w:pStyle w:val="BodyText"/>
        <w:spacing w:before="1"/>
        <w:ind w:left="1159" w:right="642"/>
      </w:pPr>
      <w:r>
        <w:rPr/>
        <w:t>Associate</w:t>
      </w:r>
      <w:r>
        <w:rPr>
          <w:spacing w:val="-3"/>
        </w:rPr>
        <w:t> </w:t>
      </w:r>
      <w:r>
        <w:rPr/>
        <w:t>Professor</w:t>
      </w:r>
      <w:r>
        <w:rPr>
          <w:spacing w:val="-4"/>
        </w:rPr>
        <w:t> </w:t>
      </w:r>
      <w:r>
        <w:rPr/>
        <w:t>of</w:t>
      </w:r>
      <w:r>
        <w:rPr>
          <w:spacing w:val="-3"/>
        </w:rPr>
        <w:t> </w:t>
      </w:r>
      <w:r>
        <w:rPr/>
        <w:t>Architecture</w:t>
      </w:r>
      <w:r>
        <w:rPr>
          <w:spacing w:val="-4"/>
        </w:rPr>
        <w:t> </w:t>
      </w:r>
      <w:r>
        <w:rPr/>
        <w:t>and</w:t>
      </w:r>
      <w:r>
        <w:rPr>
          <w:spacing w:val="-5"/>
        </w:rPr>
        <w:t> </w:t>
      </w:r>
      <w:r>
        <w:rPr/>
        <w:t>Chair,</w:t>
      </w:r>
      <w:r>
        <w:rPr>
          <w:spacing w:val="-3"/>
        </w:rPr>
        <w:t> </w:t>
      </w:r>
      <w:r>
        <w:rPr/>
        <w:t>Hampton</w:t>
      </w:r>
      <w:r>
        <w:rPr>
          <w:spacing w:val="-5"/>
        </w:rPr>
        <w:t> </w:t>
      </w:r>
      <w:r>
        <w:rPr/>
        <w:t>University</w:t>
      </w:r>
      <w:r>
        <w:rPr>
          <w:spacing w:val="-8"/>
        </w:rPr>
        <w:t> </w:t>
      </w:r>
      <w:r>
        <w:rPr/>
        <w:t>Department</w:t>
      </w:r>
      <w:r>
        <w:rPr>
          <w:spacing w:val="-5"/>
        </w:rPr>
        <w:t> </w:t>
      </w:r>
      <w:r>
        <w:rPr/>
        <w:t>of</w:t>
      </w:r>
      <w:r>
        <w:rPr>
          <w:spacing w:val="-3"/>
        </w:rPr>
        <w:t> </w:t>
      </w:r>
      <w:r>
        <w:rPr/>
        <w:t>Architecture Hampton, VA, August 2008 to Present</w:t>
      </w:r>
    </w:p>
    <w:p>
      <w:pPr>
        <w:pStyle w:val="BodyText"/>
        <w:spacing w:before="1"/>
        <w:ind w:left="1159" w:right="712"/>
      </w:pPr>
      <w:r>
        <w:rPr/>
        <w:t>Assistant</w:t>
      </w:r>
      <w:r>
        <w:rPr>
          <w:spacing w:val="-4"/>
        </w:rPr>
        <w:t> </w:t>
      </w:r>
      <w:r>
        <w:rPr/>
        <w:t>Professor</w:t>
      </w:r>
      <w:r>
        <w:rPr>
          <w:spacing w:val="-5"/>
        </w:rPr>
        <w:t> </w:t>
      </w:r>
      <w:r>
        <w:rPr/>
        <w:t>of</w:t>
      </w:r>
      <w:r>
        <w:rPr>
          <w:spacing w:val="-4"/>
        </w:rPr>
        <w:t> </w:t>
      </w:r>
      <w:r>
        <w:rPr/>
        <w:t>Architecture,</w:t>
      </w:r>
      <w:r>
        <w:rPr>
          <w:spacing w:val="-4"/>
        </w:rPr>
        <w:t> </w:t>
      </w:r>
      <w:r>
        <w:rPr/>
        <w:t>Northern</w:t>
      </w:r>
      <w:r>
        <w:rPr>
          <w:spacing w:val="-4"/>
        </w:rPr>
        <w:t> </w:t>
      </w:r>
      <w:r>
        <w:rPr/>
        <w:t>Virginia</w:t>
      </w:r>
      <w:r>
        <w:rPr>
          <w:spacing w:val="-4"/>
        </w:rPr>
        <w:t> </w:t>
      </w:r>
      <w:r>
        <w:rPr/>
        <w:t>Community</w:t>
      </w:r>
      <w:r>
        <w:rPr>
          <w:spacing w:val="-8"/>
        </w:rPr>
        <w:t> </w:t>
      </w:r>
      <w:r>
        <w:rPr/>
        <w:t>College,</w:t>
      </w:r>
      <w:r>
        <w:rPr>
          <w:spacing w:val="-2"/>
        </w:rPr>
        <w:t> </w:t>
      </w:r>
      <w:r>
        <w:rPr/>
        <w:t>December</w:t>
      </w:r>
      <w:r>
        <w:rPr>
          <w:spacing w:val="-5"/>
        </w:rPr>
        <w:t> </w:t>
      </w:r>
      <w:r>
        <w:rPr/>
        <w:t>1982</w:t>
      </w:r>
      <w:r>
        <w:rPr>
          <w:spacing w:val="-6"/>
        </w:rPr>
        <w:t> </w:t>
      </w:r>
      <w:r>
        <w:rPr/>
        <w:t>– June 1984</w:t>
      </w:r>
    </w:p>
    <w:p>
      <w:pPr>
        <w:pStyle w:val="BodyText"/>
        <w:ind w:left="1159" w:right="1770"/>
      </w:pPr>
      <w:r>
        <w:rPr/>
        <w:t>Senior</w:t>
      </w:r>
      <w:r>
        <w:rPr>
          <w:spacing w:val="-4"/>
        </w:rPr>
        <w:t> </w:t>
      </w:r>
      <w:r>
        <w:rPr/>
        <w:t>Instructor,</w:t>
      </w:r>
      <w:r>
        <w:rPr>
          <w:spacing w:val="-5"/>
        </w:rPr>
        <w:t> </w:t>
      </w:r>
      <w:r>
        <w:rPr/>
        <w:t>US</w:t>
      </w:r>
      <w:r>
        <w:rPr>
          <w:spacing w:val="-3"/>
        </w:rPr>
        <w:t> </w:t>
      </w:r>
      <w:r>
        <w:rPr/>
        <w:t>Army</w:t>
      </w:r>
      <w:r>
        <w:rPr>
          <w:spacing w:val="-7"/>
        </w:rPr>
        <w:t> </w:t>
      </w:r>
      <w:r>
        <w:rPr/>
        <w:t>Corps</w:t>
      </w:r>
      <w:r>
        <w:rPr>
          <w:spacing w:val="-4"/>
        </w:rPr>
        <w:t> </w:t>
      </w:r>
      <w:r>
        <w:rPr/>
        <w:t>of</w:t>
      </w:r>
      <w:r>
        <w:rPr>
          <w:spacing w:val="-3"/>
        </w:rPr>
        <w:t> </w:t>
      </w:r>
      <w:r>
        <w:rPr/>
        <w:t>Engineers</w:t>
      </w:r>
      <w:r>
        <w:rPr>
          <w:spacing w:val="-4"/>
        </w:rPr>
        <w:t> </w:t>
      </w:r>
      <w:r>
        <w:rPr/>
        <w:t>Basic</w:t>
      </w:r>
      <w:r>
        <w:rPr>
          <w:spacing w:val="-4"/>
        </w:rPr>
        <w:t> </w:t>
      </w:r>
      <w:r>
        <w:rPr/>
        <w:t>and</w:t>
      </w:r>
      <w:r>
        <w:rPr>
          <w:spacing w:val="-5"/>
        </w:rPr>
        <w:t> </w:t>
      </w:r>
      <w:r>
        <w:rPr/>
        <w:t>Advanced</w:t>
      </w:r>
      <w:r>
        <w:rPr>
          <w:spacing w:val="-5"/>
        </w:rPr>
        <w:t> </w:t>
      </w:r>
      <w:r>
        <w:rPr/>
        <w:t>Officer</w:t>
      </w:r>
      <w:r>
        <w:rPr>
          <w:spacing w:val="-4"/>
        </w:rPr>
        <w:t> </w:t>
      </w:r>
      <w:r>
        <w:rPr/>
        <w:t>Schools Fort Belvoir, VA, December 1980 – June 1983, Alexandria, VA,</w:t>
      </w:r>
    </w:p>
    <w:p>
      <w:pPr>
        <w:pStyle w:val="BodyText"/>
        <w:ind w:left="1159"/>
      </w:pPr>
      <w:r>
        <w:rPr/>
        <w:t>Teaching</w:t>
      </w:r>
      <w:r>
        <w:rPr>
          <w:spacing w:val="-6"/>
        </w:rPr>
        <w:t> </w:t>
      </w:r>
      <w:r>
        <w:rPr/>
        <w:t>Assistant,</w:t>
      </w:r>
      <w:r>
        <w:rPr>
          <w:spacing w:val="-6"/>
        </w:rPr>
        <w:t> </w:t>
      </w:r>
      <w:r>
        <w:rPr/>
        <w:t>College</w:t>
      </w:r>
      <w:r>
        <w:rPr>
          <w:spacing w:val="-8"/>
        </w:rPr>
        <w:t> </w:t>
      </w:r>
      <w:r>
        <w:rPr/>
        <w:t>of</w:t>
      </w:r>
      <w:r>
        <w:rPr>
          <w:spacing w:val="-6"/>
        </w:rPr>
        <w:t> </w:t>
      </w:r>
      <w:r>
        <w:rPr/>
        <w:t>Architecture</w:t>
      </w:r>
      <w:r>
        <w:rPr>
          <w:spacing w:val="-6"/>
        </w:rPr>
        <w:t> </w:t>
      </w:r>
      <w:r>
        <w:rPr/>
        <w:t>&amp;</w:t>
      </w:r>
      <w:r>
        <w:rPr>
          <w:spacing w:val="-8"/>
        </w:rPr>
        <w:t> </w:t>
      </w:r>
      <w:r>
        <w:rPr/>
        <w:t>Urban</w:t>
      </w:r>
      <w:r>
        <w:rPr>
          <w:spacing w:val="-8"/>
        </w:rPr>
        <w:t> </w:t>
      </w:r>
      <w:r>
        <w:rPr/>
        <w:t>Studies</w:t>
      </w:r>
      <w:r>
        <w:rPr>
          <w:spacing w:val="-7"/>
        </w:rPr>
        <w:t> </w:t>
      </w:r>
      <w:r>
        <w:rPr/>
        <w:t>–</w:t>
      </w:r>
      <w:r>
        <w:rPr>
          <w:spacing w:val="-5"/>
        </w:rPr>
        <w:t> </w:t>
      </w:r>
      <w:r>
        <w:rPr/>
        <w:t>Virginia</w:t>
      </w:r>
      <w:r>
        <w:rPr>
          <w:spacing w:val="-7"/>
        </w:rPr>
        <w:t> </w:t>
      </w:r>
      <w:r>
        <w:rPr/>
        <w:t>Tech,</w:t>
      </w:r>
      <w:r>
        <w:rPr>
          <w:spacing w:val="-8"/>
        </w:rPr>
        <w:t> </w:t>
      </w:r>
      <w:r>
        <w:rPr/>
        <w:t>1977-</w:t>
      </w:r>
      <w:r>
        <w:rPr>
          <w:spacing w:val="-5"/>
        </w:rPr>
        <w:t>78</w:t>
      </w:r>
    </w:p>
    <w:p>
      <w:pPr>
        <w:pStyle w:val="BodyText"/>
        <w:spacing w:before="3"/>
        <w:rPr>
          <w:sz w:val="17"/>
        </w:rPr>
      </w:pPr>
    </w:p>
    <w:p>
      <w:pPr>
        <w:spacing w:before="1"/>
        <w:ind w:left="439" w:right="0" w:firstLine="0"/>
        <w:jc w:val="left"/>
        <w:rPr>
          <w:b/>
          <w:sz w:val="20"/>
        </w:rPr>
      </w:pPr>
      <w:r>
        <w:rPr>
          <w:b/>
          <w:spacing w:val="-2"/>
          <w:sz w:val="20"/>
        </w:rPr>
        <w:t>Professional</w:t>
      </w:r>
      <w:r>
        <w:rPr>
          <w:b/>
          <w:spacing w:val="7"/>
          <w:sz w:val="20"/>
        </w:rPr>
        <w:t> </w:t>
      </w:r>
      <w:r>
        <w:rPr>
          <w:b/>
          <w:spacing w:val="-2"/>
          <w:sz w:val="20"/>
        </w:rPr>
        <w:t>Experience</w:t>
      </w:r>
    </w:p>
    <w:p>
      <w:pPr>
        <w:pStyle w:val="BodyText"/>
        <w:ind w:left="1159"/>
      </w:pPr>
      <w:r>
        <w:rPr/>
        <w:t>Owner,</w:t>
      </w:r>
      <w:r>
        <w:rPr>
          <w:spacing w:val="-10"/>
        </w:rPr>
        <w:t> </w:t>
      </w:r>
      <w:r>
        <w:rPr/>
        <w:t>Easter</w:t>
      </w:r>
      <w:r>
        <w:rPr>
          <w:spacing w:val="-8"/>
        </w:rPr>
        <w:t> </w:t>
      </w:r>
      <w:r>
        <w:rPr/>
        <w:t>Design</w:t>
      </w:r>
      <w:r>
        <w:rPr>
          <w:spacing w:val="-8"/>
        </w:rPr>
        <w:t> </w:t>
      </w:r>
      <w:r>
        <w:rPr/>
        <w:t>Center,</w:t>
      </w:r>
      <w:r>
        <w:rPr>
          <w:spacing w:val="-10"/>
        </w:rPr>
        <w:t> </w:t>
      </w:r>
      <w:r>
        <w:rPr/>
        <w:t>1982-</w:t>
      </w:r>
      <w:r>
        <w:rPr>
          <w:spacing w:val="-4"/>
        </w:rPr>
        <w:t>1984</w:t>
      </w:r>
    </w:p>
    <w:p>
      <w:pPr>
        <w:pStyle w:val="BodyText"/>
        <w:spacing w:before="1"/>
        <w:ind w:left="1159"/>
      </w:pPr>
      <w:r>
        <w:rPr/>
        <w:t>Klauder</w:t>
      </w:r>
      <w:r>
        <w:rPr>
          <w:spacing w:val="-7"/>
        </w:rPr>
        <w:t> </w:t>
      </w:r>
      <w:r>
        <w:rPr/>
        <w:t>&amp;</w:t>
      </w:r>
      <w:r>
        <w:rPr>
          <w:spacing w:val="-7"/>
        </w:rPr>
        <w:t> </w:t>
      </w:r>
      <w:r>
        <w:rPr/>
        <w:t>Nunno,</w:t>
      </w:r>
      <w:r>
        <w:rPr>
          <w:spacing w:val="-7"/>
        </w:rPr>
        <w:t> </w:t>
      </w:r>
      <w:r>
        <w:rPr/>
        <w:t>Design</w:t>
      </w:r>
      <w:r>
        <w:rPr>
          <w:spacing w:val="-5"/>
        </w:rPr>
        <w:t> </w:t>
      </w:r>
      <w:r>
        <w:rPr/>
        <w:t>Build,</w:t>
      </w:r>
      <w:r>
        <w:rPr>
          <w:spacing w:val="-6"/>
        </w:rPr>
        <w:t> </w:t>
      </w:r>
      <w:r>
        <w:rPr/>
        <w:t>Alexandria,</w:t>
      </w:r>
      <w:r>
        <w:rPr>
          <w:spacing w:val="-5"/>
        </w:rPr>
        <w:t> </w:t>
      </w:r>
      <w:r>
        <w:rPr/>
        <w:t>VA,</w:t>
      </w:r>
      <w:r>
        <w:rPr>
          <w:spacing w:val="-4"/>
        </w:rPr>
        <w:t> </w:t>
      </w:r>
      <w:r>
        <w:rPr/>
        <w:t>June</w:t>
      </w:r>
      <w:r>
        <w:rPr>
          <w:spacing w:val="-5"/>
        </w:rPr>
        <w:t> </w:t>
      </w:r>
      <w:r>
        <w:rPr/>
        <w:t>1983</w:t>
      </w:r>
      <w:r>
        <w:rPr>
          <w:spacing w:val="-5"/>
        </w:rPr>
        <w:t> </w:t>
      </w:r>
      <w:r>
        <w:rPr/>
        <w:t>–</w:t>
      </w:r>
      <w:r>
        <w:rPr>
          <w:spacing w:val="-5"/>
        </w:rPr>
        <w:t> </w:t>
      </w:r>
      <w:r>
        <w:rPr/>
        <w:t>April</w:t>
      </w:r>
      <w:r>
        <w:rPr>
          <w:spacing w:val="-8"/>
        </w:rPr>
        <w:t> </w:t>
      </w:r>
      <w:r>
        <w:rPr>
          <w:spacing w:val="-4"/>
        </w:rPr>
        <w:t>1984</w:t>
      </w:r>
    </w:p>
    <w:p>
      <w:pPr>
        <w:pStyle w:val="BodyText"/>
        <w:ind w:left="1159"/>
      </w:pPr>
      <w:r>
        <w:rPr/>
        <w:t>Kelso</w:t>
      </w:r>
      <w:r>
        <w:rPr>
          <w:spacing w:val="-6"/>
        </w:rPr>
        <w:t> </w:t>
      </w:r>
      <w:r>
        <w:rPr/>
        <w:t>&amp;</w:t>
      </w:r>
      <w:r>
        <w:rPr>
          <w:spacing w:val="-5"/>
        </w:rPr>
        <w:t> </w:t>
      </w:r>
      <w:r>
        <w:rPr/>
        <w:t>Easter,</w:t>
      </w:r>
      <w:r>
        <w:rPr>
          <w:spacing w:val="-6"/>
        </w:rPr>
        <w:t> </w:t>
      </w:r>
      <w:r>
        <w:rPr/>
        <w:t>Incorporated,</w:t>
      </w:r>
      <w:r>
        <w:rPr>
          <w:spacing w:val="-7"/>
        </w:rPr>
        <w:t> </w:t>
      </w:r>
      <w:r>
        <w:rPr/>
        <w:t>Alexandria</w:t>
      </w:r>
      <w:r>
        <w:rPr>
          <w:spacing w:val="-6"/>
        </w:rPr>
        <w:t> </w:t>
      </w:r>
      <w:r>
        <w:rPr/>
        <w:t>and</w:t>
      </w:r>
      <w:r>
        <w:rPr>
          <w:spacing w:val="-7"/>
        </w:rPr>
        <w:t> </w:t>
      </w:r>
      <w:r>
        <w:rPr/>
        <w:t>Richmond,</w:t>
      </w:r>
      <w:r>
        <w:rPr>
          <w:spacing w:val="-7"/>
        </w:rPr>
        <w:t> </w:t>
      </w:r>
      <w:r>
        <w:rPr/>
        <w:t>VA,</w:t>
      </w:r>
      <w:r>
        <w:rPr>
          <w:spacing w:val="-6"/>
        </w:rPr>
        <w:t> </w:t>
      </w:r>
      <w:r>
        <w:rPr/>
        <w:t>April</w:t>
      </w:r>
      <w:r>
        <w:rPr>
          <w:spacing w:val="-8"/>
        </w:rPr>
        <w:t> </w:t>
      </w:r>
      <w:r>
        <w:rPr/>
        <w:t>1984</w:t>
      </w:r>
      <w:r>
        <w:rPr>
          <w:spacing w:val="-5"/>
        </w:rPr>
        <w:t> </w:t>
      </w:r>
      <w:r>
        <w:rPr/>
        <w:t>to</w:t>
      </w:r>
      <w:r>
        <w:rPr>
          <w:spacing w:val="-6"/>
        </w:rPr>
        <w:t> </w:t>
      </w:r>
      <w:r>
        <w:rPr>
          <w:spacing w:val="-2"/>
        </w:rPr>
        <w:t>present</w:t>
      </w:r>
    </w:p>
    <w:p>
      <w:pPr>
        <w:spacing w:before="197"/>
        <w:ind w:left="439" w:right="0" w:firstLine="0"/>
        <w:jc w:val="left"/>
        <w:rPr>
          <w:b/>
          <w:sz w:val="20"/>
        </w:rPr>
      </w:pPr>
      <w:r>
        <w:rPr>
          <w:b/>
          <w:sz w:val="20"/>
        </w:rPr>
        <w:t>Licenses</w:t>
      </w:r>
      <w:r>
        <w:rPr>
          <w:b/>
          <w:spacing w:val="-7"/>
          <w:sz w:val="20"/>
        </w:rPr>
        <w:t> </w:t>
      </w:r>
      <w:r>
        <w:rPr>
          <w:b/>
          <w:sz w:val="20"/>
        </w:rPr>
        <w:t>/</w:t>
      </w:r>
      <w:r>
        <w:rPr>
          <w:b/>
          <w:spacing w:val="-7"/>
          <w:sz w:val="20"/>
        </w:rPr>
        <w:t> </w:t>
      </w:r>
      <w:r>
        <w:rPr>
          <w:b/>
          <w:spacing w:val="-2"/>
          <w:sz w:val="20"/>
        </w:rPr>
        <w:t>Registrations:</w:t>
      </w:r>
    </w:p>
    <w:p>
      <w:pPr>
        <w:pStyle w:val="BodyText"/>
        <w:spacing w:line="229" w:lineRule="exact" w:before="3"/>
        <w:ind w:left="1159"/>
      </w:pPr>
      <w:r>
        <w:rPr/>
        <w:t>Maryland,</w:t>
      </w:r>
      <w:r>
        <w:rPr>
          <w:spacing w:val="-8"/>
        </w:rPr>
        <w:t> </w:t>
      </w:r>
      <w:r>
        <w:rPr/>
        <w:t>1982,</w:t>
      </w:r>
      <w:r>
        <w:rPr>
          <w:spacing w:val="-12"/>
        </w:rPr>
        <w:t> </w:t>
      </w:r>
      <w:r>
        <w:rPr/>
        <w:t>Washington,</w:t>
      </w:r>
      <w:r>
        <w:rPr>
          <w:spacing w:val="-7"/>
        </w:rPr>
        <w:t> </w:t>
      </w:r>
      <w:r>
        <w:rPr/>
        <w:t>DC,</w:t>
      </w:r>
      <w:r>
        <w:rPr>
          <w:spacing w:val="-6"/>
        </w:rPr>
        <w:t> </w:t>
      </w:r>
      <w:r>
        <w:rPr/>
        <w:t>1984,</w:t>
      </w:r>
      <w:r>
        <w:rPr>
          <w:spacing w:val="-5"/>
        </w:rPr>
        <w:t> </w:t>
      </w:r>
      <w:r>
        <w:rPr/>
        <w:t>Virginia,</w:t>
      </w:r>
      <w:r>
        <w:rPr>
          <w:spacing w:val="-6"/>
        </w:rPr>
        <w:t> </w:t>
      </w:r>
      <w:r>
        <w:rPr>
          <w:spacing w:val="-4"/>
        </w:rPr>
        <w:t>1985</w:t>
      </w:r>
    </w:p>
    <w:p>
      <w:pPr>
        <w:pStyle w:val="BodyText"/>
        <w:spacing w:line="229" w:lineRule="exact"/>
        <w:ind w:left="1159"/>
      </w:pPr>
      <w:r>
        <w:rPr/>
        <w:t>NCARB,</w:t>
      </w:r>
      <w:r>
        <w:rPr>
          <w:spacing w:val="-9"/>
        </w:rPr>
        <w:t> </w:t>
      </w:r>
      <w:r>
        <w:rPr>
          <w:spacing w:val="-4"/>
        </w:rPr>
        <w:t>1985</w:t>
      </w:r>
    </w:p>
    <w:p>
      <w:pPr>
        <w:pStyle w:val="BodyText"/>
        <w:spacing w:before="4"/>
        <w:rPr>
          <w:sz w:val="17"/>
        </w:rPr>
      </w:pPr>
    </w:p>
    <w:p>
      <w:pPr>
        <w:spacing w:before="1"/>
        <w:ind w:left="439" w:right="0" w:firstLine="0"/>
        <w:jc w:val="left"/>
        <w:rPr>
          <w:b/>
          <w:sz w:val="20"/>
        </w:rPr>
      </w:pPr>
      <w:r>
        <w:rPr>
          <w:b/>
          <w:spacing w:val="-2"/>
          <w:sz w:val="20"/>
        </w:rPr>
        <w:t>Professional</w:t>
      </w:r>
      <w:r>
        <w:rPr>
          <w:b/>
          <w:spacing w:val="5"/>
          <w:sz w:val="20"/>
        </w:rPr>
        <w:t> </w:t>
      </w:r>
      <w:r>
        <w:rPr>
          <w:b/>
          <w:spacing w:val="-2"/>
          <w:sz w:val="20"/>
        </w:rPr>
        <w:t>Memberships:</w:t>
      </w:r>
    </w:p>
    <w:p>
      <w:pPr>
        <w:pStyle w:val="BodyText"/>
        <w:ind w:left="1159" w:right="1770"/>
      </w:pPr>
      <w:r>
        <w:rPr/>
        <w:t>American Institute of Architects, member of Board of Directors, Virginia Society National Organization of Minority Architects, National President, 1992-1994 Metropolitan</w:t>
      </w:r>
      <w:r>
        <w:rPr>
          <w:spacing w:val="-8"/>
        </w:rPr>
        <w:t> </w:t>
      </w:r>
      <w:r>
        <w:rPr/>
        <w:t>Business</w:t>
      </w:r>
      <w:r>
        <w:rPr>
          <w:spacing w:val="-7"/>
        </w:rPr>
        <w:t> </w:t>
      </w:r>
      <w:r>
        <w:rPr/>
        <w:t>League,</w:t>
      </w:r>
      <w:r>
        <w:rPr>
          <w:spacing w:val="-6"/>
        </w:rPr>
        <w:t> </w:t>
      </w:r>
      <w:r>
        <w:rPr/>
        <w:t>1994-present</w:t>
      </w:r>
      <w:r>
        <w:rPr>
          <w:spacing w:val="-6"/>
        </w:rPr>
        <w:t> </w:t>
      </w:r>
      <w:r>
        <w:rPr/>
        <w:t>(Board</w:t>
      </w:r>
      <w:r>
        <w:rPr>
          <w:spacing w:val="-6"/>
        </w:rPr>
        <w:t> </w:t>
      </w:r>
      <w:r>
        <w:rPr/>
        <w:t>Chair,</w:t>
      </w:r>
      <w:r>
        <w:rPr>
          <w:spacing w:val="-6"/>
        </w:rPr>
        <w:t> </w:t>
      </w:r>
      <w:r>
        <w:rPr/>
        <w:t>1997-1999,</w:t>
      </w:r>
      <w:r>
        <w:rPr>
          <w:spacing w:val="-6"/>
        </w:rPr>
        <w:t> </w:t>
      </w:r>
      <w:r>
        <w:rPr/>
        <w:t>2003-2005)</w:t>
      </w:r>
    </w:p>
    <w:p>
      <w:pPr>
        <w:pStyle w:val="BodyText"/>
        <w:spacing w:before="5"/>
        <w:rPr>
          <w:sz w:val="17"/>
        </w:rPr>
      </w:pPr>
    </w:p>
    <w:p>
      <w:pPr>
        <w:spacing w:before="0"/>
        <w:ind w:left="439" w:right="0" w:firstLine="0"/>
        <w:jc w:val="left"/>
        <w:rPr>
          <w:b/>
          <w:sz w:val="20"/>
        </w:rPr>
      </w:pPr>
      <w:r>
        <w:rPr>
          <w:b/>
          <w:sz w:val="20"/>
        </w:rPr>
        <w:t>Professional</w:t>
      </w:r>
      <w:r>
        <w:rPr>
          <w:b/>
          <w:spacing w:val="-11"/>
          <w:sz w:val="20"/>
        </w:rPr>
        <w:t> </w:t>
      </w:r>
      <w:r>
        <w:rPr>
          <w:b/>
          <w:sz w:val="20"/>
        </w:rPr>
        <w:t>Development</w:t>
      </w:r>
      <w:r>
        <w:rPr>
          <w:b/>
          <w:spacing w:val="-10"/>
          <w:sz w:val="20"/>
        </w:rPr>
        <w:t> </w:t>
      </w:r>
      <w:r>
        <w:rPr>
          <w:b/>
          <w:sz w:val="20"/>
        </w:rPr>
        <w:t>&amp;</w:t>
      </w:r>
      <w:r>
        <w:rPr>
          <w:b/>
          <w:spacing w:val="-10"/>
          <w:sz w:val="20"/>
        </w:rPr>
        <w:t> </w:t>
      </w:r>
      <w:r>
        <w:rPr>
          <w:b/>
          <w:spacing w:val="-2"/>
          <w:sz w:val="20"/>
        </w:rPr>
        <w:t>Research</w:t>
      </w:r>
    </w:p>
    <w:p>
      <w:pPr>
        <w:pStyle w:val="BodyText"/>
        <w:spacing w:before="1"/>
        <w:ind w:left="1159"/>
      </w:pPr>
      <w:r>
        <w:rPr/>
        <w:t>Member,</w:t>
      </w:r>
      <w:r>
        <w:rPr>
          <w:spacing w:val="-8"/>
        </w:rPr>
        <w:t> </w:t>
      </w:r>
      <w:r>
        <w:rPr/>
        <w:t>City</w:t>
      </w:r>
      <w:r>
        <w:rPr>
          <w:spacing w:val="-9"/>
        </w:rPr>
        <w:t> </w:t>
      </w:r>
      <w:r>
        <w:rPr/>
        <w:t>of</w:t>
      </w:r>
      <w:r>
        <w:rPr>
          <w:spacing w:val="-6"/>
        </w:rPr>
        <w:t> </w:t>
      </w:r>
      <w:r>
        <w:rPr/>
        <w:t>Richmond</w:t>
      </w:r>
      <w:r>
        <w:rPr>
          <w:spacing w:val="-6"/>
        </w:rPr>
        <w:t> </w:t>
      </w:r>
      <w:r>
        <w:rPr/>
        <w:t>Board</w:t>
      </w:r>
      <w:r>
        <w:rPr>
          <w:spacing w:val="-7"/>
        </w:rPr>
        <w:t> </w:t>
      </w:r>
      <w:r>
        <w:rPr/>
        <w:t>of</w:t>
      </w:r>
      <w:r>
        <w:rPr>
          <w:spacing w:val="-6"/>
        </w:rPr>
        <w:t> </w:t>
      </w:r>
      <w:r>
        <w:rPr/>
        <w:t>Code</w:t>
      </w:r>
      <w:r>
        <w:rPr>
          <w:spacing w:val="-6"/>
        </w:rPr>
        <w:t> </w:t>
      </w:r>
      <w:r>
        <w:rPr/>
        <w:t>Appeals,</w:t>
      </w:r>
      <w:r>
        <w:rPr>
          <w:spacing w:val="-8"/>
        </w:rPr>
        <w:t> </w:t>
      </w:r>
      <w:r>
        <w:rPr/>
        <w:t>1995-present</w:t>
      </w:r>
      <w:r>
        <w:rPr>
          <w:spacing w:val="-6"/>
        </w:rPr>
        <w:t> </w:t>
      </w:r>
      <w:r>
        <w:rPr/>
        <w:t>(chair</w:t>
      </w:r>
      <w:r>
        <w:rPr>
          <w:spacing w:val="-7"/>
        </w:rPr>
        <w:t> </w:t>
      </w:r>
      <w:r>
        <w:rPr/>
        <w:t>1998-</w:t>
      </w:r>
      <w:r>
        <w:rPr>
          <w:spacing w:val="-2"/>
        </w:rPr>
        <w:t>2012)</w:t>
      </w:r>
    </w:p>
    <w:p>
      <w:pPr>
        <w:pStyle w:val="BodyText"/>
        <w:ind w:left="1159" w:right="642" w:hanging="1"/>
      </w:pPr>
      <w:r>
        <w:rPr/>
        <w:t>The</w:t>
      </w:r>
      <w:r>
        <w:rPr>
          <w:spacing w:val="-5"/>
        </w:rPr>
        <w:t> </w:t>
      </w:r>
      <w:r>
        <w:rPr/>
        <w:t>nearly</w:t>
      </w:r>
      <w:r>
        <w:rPr>
          <w:spacing w:val="-8"/>
        </w:rPr>
        <w:t> </w:t>
      </w:r>
      <w:r>
        <w:rPr/>
        <w:t>1,000</w:t>
      </w:r>
      <w:r>
        <w:rPr>
          <w:spacing w:val="-3"/>
        </w:rPr>
        <w:t> </w:t>
      </w:r>
      <w:r>
        <w:rPr/>
        <w:t>Projects</w:t>
      </w:r>
      <w:r>
        <w:rPr>
          <w:spacing w:val="-4"/>
        </w:rPr>
        <w:t> </w:t>
      </w:r>
      <w:r>
        <w:rPr/>
        <w:t>conducted</w:t>
      </w:r>
      <w:r>
        <w:rPr>
          <w:spacing w:val="-5"/>
        </w:rPr>
        <w:t> </w:t>
      </w:r>
      <w:r>
        <w:rPr/>
        <w:t>under</w:t>
      </w:r>
      <w:r>
        <w:rPr>
          <w:spacing w:val="-1"/>
        </w:rPr>
        <w:t> </w:t>
      </w:r>
      <w:r>
        <w:rPr/>
        <w:t>Easter’s</w:t>
      </w:r>
      <w:r>
        <w:rPr>
          <w:spacing w:val="-3"/>
        </w:rPr>
        <w:t> </w:t>
      </w:r>
      <w:r>
        <w:rPr/>
        <w:t>direction</w:t>
      </w:r>
      <w:r>
        <w:rPr>
          <w:spacing w:val="-3"/>
        </w:rPr>
        <w:t> </w:t>
      </w:r>
      <w:r>
        <w:rPr/>
        <w:t>ranged</w:t>
      </w:r>
      <w:r>
        <w:rPr>
          <w:spacing w:val="-5"/>
        </w:rPr>
        <w:t> </w:t>
      </w:r>
      <w:r>
        <w:rPr/>
        <w:t>from</w:t>
      </w:r>
      <w:r>
        <w:rPr>
          <w:spacing w:val="-1"/>
        </w:rPr>
        <w:t> </w:t>
      </w:r>
      <w:r>
        <w:rPr/>
        <w:t>individual</w:t>
      </w:r>
      <w:r>
        <w:rPr>
          <w:spacing w:val="-6"/>
        </w:rPr>
        <w:t> </w:t>
      </w:r>
      <w:r>
        <w:rPr/>
        <w:t>building designs, including</w:t>
      </w:r>
    </w:p>
    <w:p>
      <w:pPr>
        <w:pStyle w:val="BodyText"/>
        <w:ind w:left="1519" w:right="642"/>
      </w:pPr>
      <w:r>
        <w:rPr/>
        <w:t>Principal</w:t>
      </w:r>
      <w:r>
        <w:rPr>
          <w:spacing w:val="-6"/>
        </w:rPr>
        <w:t> </w:t>
      </w:r>
      <w:r>
        <w:rPr/>
        <w:t>Architect</w:t>
      </w:r>
      <w:r>
        <w:rPr>
          <w:spacing w:val="-5"/>
        </w:rPr>
        <w:t> </w:t>
      </w:r>
      <w:r>
        <w:rPr/>
        <w:t>/</w:t>
      </w:r>
      <w:r>
        <w:rPr>
          <w:spacing w:val="-3"/>
        </w:rPr>
        <w:t> </w:t>
      </w:r>
      <w:r>
        <w:rPr/>
        <w:t>Architect</w:t>
      </w:r>
      <w:r>
        <w:rPr>
          <w:spacing w:val="-5"/>
        </w:rPr>
        <w:t> </w:t>
      </w:r>
      <w:r>
        <w:rPr/>
        <w:t>of</w:t>
      </w:r>
      <w:r>
        <w:rPr>
          <w:spacing w:val="-3"/>
        </w:rPr>
        <w:t> </w:t>
      </w:r>
      <w:r>
        <w:rPr/>
        <w:t>Record:</w:t>
      </w:r>
      <w:r>
        <w:rPr>
          <w:spacing w:val="-5"/>
        </w:rPr>
        <w:t> </w:t>
      </w:r>
      <w:r>
        <w:rPr/>
        <w:t>GRTC</w:t>
      </w:r>
      <w:r>
        <w:rPr>
          <w:spacing w:val="-5"/>
        </w:rPr>
        <w:t> </w:t>
      </w:r>
      <w:r>
        <w:rPr/>
        <w:t>Maintenance</w:t>
      </w:r>
      <w:r>
        <w:rPr>
          <w:spacing w:val="-3"/>
        </w:rPr>
        <w:t> </w:t>
      </w:r>
      <w:r>
        <w:rPr/>
        <w:t>Building</w:t>
      </w:r>
      <w:r>
        <w:rPr>
          <w:spacing w:val="-5"/>
        </w:rPr>
        <w:t> </w:t>
      </w:r>
      <w:r>
        <w:rPr/>
        <w:t>and</w:t>
      </w:r>
      <w:r>
        <w:rPr>
          <w:spacing w:val="-2"/>
        </w:rPr>
        <w:t> </w:t>
      </w:r>
      <w:r>
        <w:rPr/>
        <w:t>Administration Building (winner of four design awards)</w:t>
      </w:r>
    </w:p>
    <w:p>
      <w:pPr>
        <w:pStyle w:val="BodyText"/>
        <w:ind w:left="1519" w:right="642"/>
      </w:pPr>
      <w:r>
        <w:rPr/>
        <w:t>Principal</w:t>
      </w:r>
      <w:r>
        <w:rPr>
          <w:spacing w:val="-5"/>
        </w:rPr>
        <w:t> </w:t>
      </w:r>
      <w:r>
        <w:rPr/>
        <w:t>Architect</w:t>
      </w:r>
      <w:r>
        <w:rPr>
          <w:spacing w:val="-4"/>
        </w:rPr>
        <w:t> </w:t>
      </w:r>
      <w:r>
        <w:rPr/>
        <w:t>/</w:t>
      </w:r>
      <w:r>
        <w:rPr>
          <w:spacing w:val="-2"/>
        </w:rPr>
        <w:t> </w:t>
      </w:r>
      <w:r>
        <w:rPr/>
        <w:t>Architect</w:t>
      </w:r>
      <w:r>
        <w:rPr>
          <w:spacing w:val="-4"/>
        </w:rPr>
        <w:t> </w:t>
      </w:r>
      <w:r>
        <w:rPr/>
        <w:t>of</w:t>
      </w:r>
      <w:r>
        <w:rPr>
          <w:spacing w:val="-2"/>
        </w:rPr>
        <w:t> </w:t>
      </w:r>
      <w:r>
        <w:rPr/>
        <w:t>Record:</w:t>
      </w:r>
      <w:r>
        <w:rPr>
          <w:spacing w:val="-4"/>
        </w:rPr>
        <w:t> </w:t>
      </w:r>
      <w:r>
        <w:rPr/>
        <w:t>RJ</w:t>
      </w:r>
      <w:r>
        <w:rPr>
          <w:spacing w:val="-3"/>
        </w:rPr>
        <w:t> </w:t>
      </w:r>
      <w:r>
        <w:rPr/>
        <w:t>Brown</w:t>
      </w:r>
      <w:r>
        <w:rPr>
          <w:spacing w:val="-4"/>
        </w:rPr>
        <w:t> </w:t>
      </w:r>
      <w:r>
        <w:rPr/>
        <w:t>Living</w:t>
      </w:r>
      <w:r>
        <w:rPr>
          <w:spacing w:val="-4"/>
        </w:rPr>
        <w:t> </w:t>
      </w:r>
      <w:r>
        <w:rPr/>
        <w:t>/</w:t>
      </w:r>
      <w:r>
        <w:rPr>
          <w:spacing w:val="-2"/>
        </w:rPr>
        <w:t> </w:t>
      </w:r>
      <w:r>
        <w:rPr/>
        <w:t>Learning</w:t>
      </w:r>
      <w:r>
        <w:rPr>
          <w:spacing w:val="-4"/>
        </w:rPr>
        <w:t> </w:t>
      </w:r>
      <w:r>
        <w:rPr/>
        <w:t>Center,</w:t>
      </w:r>
      <w:r>
        <w:rPr>
          <w:spacing w:val="-2"/>
        </w:rPr>
        <w:t> </w:t>
      </w:r>
      <w:r>
        <w:rPr/>
        <w:t>VA</w:t>
      </w:r>
      <w:r>
        <w:rPr>
          <w:spacing w:val="-2"/>
        </w:rPr>
        <w:t> </w:t>
      </w:r>
      <w:r>
        <w:rPr/>
        <w:t>Union </w:t>
      </w:r>
      <w:r>
        <w:rPr>
          <w:spacing w:val="-2"/>
        </w:rPr>
        <w:t>University</w:t>
      </w:r>
    </w:p>
    <w:p>
      <w:pPr>
        <w:pStyle w:val="BodyText"/>
        <w:spacing w:before="1"/>
        <w:ind w:left="1519" w:right="642"/>
      </w:pPr>
      <w:r>
        <w:rPr/>
        <w:t>Principal Architect / Architect of Record: Rising Mount Zion Baptist Church, Richmond, VA Principal</w:t>
      </w:r>
      <w:r>
        <w:rPr>
          <w:spacing w:val="-4"/>
        </w:rPr>
        <w:t> </w:t>
      </w:r>
      <w:r>
        <w:rPr/>
        <w:t>Architect</w:t>
      </w:r>
      <w:r>
        <w:rPr>
          <w:spacing w:val="-3"/>
        </w:rPr>
        <w:t> </w:t>
      </w:r>
      <w:r>
        <w:rPr/>
        <w:t>/</w:t>
      </w:r>
      <w:r>
        <w:rPr>
          <w:spacing w:val="-1"/>
        </w:rPr>
        <w:t> </w:t>
      </w:r>
      <w:r>
        <w:rPr/>
        <w:t>Architect</w:t>
      </w:r>
      <w:r>
        <w:rPr>
          <w:spacing w:val="-3"/>
        </w:rPr>
        <w:t> </w:t>
      </w:r>
      <w:r>
        <w:rPr/>
        <w:t>of</w:t>
      </w:r>
      <w:r>
        <w:rPr>
          <w:spacing w:val="-1"/>
        </w:rPr>
        <w:t> </w:t>
      </w:r>
      <w:r>
        <w:rPr/>
        <w:t>Record:</w:t>
      </w:r>
      <w:r>
        <w:rPr>
          <w:spacing w:val="-3"/>
        </w:rPr>
        <w:t> </w:t>
      </w:r>
      <w:r>
        <w:rPr/>
        <w:t>JS</w:t>
      </w:r>
      <w:r>
        <w:rPr>
          <w:spacing w:val="-4"/>
        </w:rPr>
        <w:t> </w:t>
      </w:r>
      <w:r>
        <w:rPr/>
        <w:t>Reynolds CC</w:t>
      </w:r>
      <w:r>
        <w:rPr>
          <w:spacing w:val="-3"/>
        </w:rPr>
        <w:t> </w:t>
      </w:r>
      <w:r>
        <w:rPr/>
        <w:t>Downtown</w:t>
      </w:r>
      <w:r>
        <w:rPr>
          <w:spacing w:val="-3"/>
        </w:rPr>
        <w:t> </w:t>
      </w:r>
      <w:r>
        <w:rPr/>
        <w:t>Campus</w:t>
      </w:r>
      <w:r>
        <w:rPr>
          <w:spacing w:val="-2"/>
        </w:rPr>
        <w:t> </w:t>
      </w:r>
      <w:r>
        <w:rPr/>
        <w:t>Parking</w:t>
      </w:r>
      <w:r>
        <w:rPr>
          <w:spacing w:val="-3"/>
        </w:rPr>
        <w:t> </w:t>
      </w:r>
      <w:r>
        <w:rPr/>
        <w:t>Deck Principal</w:t>
      </w:r>
      <w:r>
        <w:rPr>
          <w:spacing w:val="-6"/>
        </w:rPr>
        <w:t> </w:t>
      </w:r>
      <w:r>
        <w:rPr/>
        <w:t>Architect</w:t>
      </w:r>
      <w:r>
        <w:rPr>
          <w:spacing w:val="-5"/>
        </w:rPr>
        <w:t> </w:t>
      </w:r>
      <w:r>
        <w:rPr/>
        <w:t>/</w:t>
      </w:r>
      <w:r>
        <w:rPr>
          <w:spacing w:val="-3"/>
        </w:rPr>
        <w:t> </w:t>
      </w:r>
      <w:r>
        <w:rPr/>
        <w:t>Architect</w:t>
      </w:r>
      <w:r>
        <w:rPr>
          <w:spacing w:val="-5"/>
        </w:rPr>
        <w:t> </w:t>
      </w:r>
      <w:r>
        <w:rPr/>
        <w:t>of</w:t>
      </w:r>
      <w:r>
        <w:rPr>
          <w:spacing w:val="-3"/>
        </w:rPr>
        <w:t> </w:t>
      </w:r>
      <w:r>
        <w:rPr/>
        <w:t>Record:</w:t>
      </w:r>
      <w:r>
        <w:rPr>
          <w:spacing w:val="-5"/>
        </w:rPr>
        <w:t> </w:t>
      </w:r>
      <w:r>
        <w:rPr/>
        <w:t>Suntrust</w:t>
      </w:r>
      <w:r>
        <w:rPr>
          <w:spacing w:val="-3"/>
        </w:rPr>
        <w:t> </w:t>
      </w:r>
      <w:r>
        <w:rPr/>
        <w:t>Bank</w:t>
      </w:r>
      <w:r>
        <w:rPr>
          <w:spacing w:val="-1"/>
        </w:rPr>
        <w:t> </w:t>
      </w:r>
      <w:r>
        <w:rPr/>
        <w:t>Employee</w:t>
      </w:r>
      <w:r>
        <w:rPr>
          <w:spacing w:val="-5"/>
        </w:rPr>
        <w:t> </w:t>
      </w:r>
      <w:r>
        <w:rPr/>
        <w:t>Parking</w:t>
      </w:r>
      <w:r>
        <w:rPr>
          <w:spacing w:val="-5"/>
        </w:rPr>
        <w:t> </w:t>
      </w:r>
      <w:r>
        <w:rPr/>
        <w:t>Deck,</w:t>
      </w:r>
      <w:r>
        <w:rPr>
          <w:spacing w:val="-5"/>
        </w:rPr>
        <w:t> </w:t>
      </w:r>
      <w:r>
        <w:rPr/>
        <w:t>Richmond, </w:t>
      </w:r>
      <w:r>
        <w:rPr>
          <w:spacing w:val="-6"/>
        </w:rPr>
        <w:t>VA</w:t>
      </w:r>
    </w:p>
    <w:p>
      <w:pPr>
        <w:pStyle w:val="BodyText"/>
        <w:ind w:left="1519" w:right="642" w:hanging="1"/>
      </w:pPr>
      <w:r>
        <w:rPr/>
        <w:t>Principal</w:t>
      </w:r>
      <w:r>
        <w:rPr>
          <w:spacing w:val="-5"/>
        </w:rPr>
        <w:t> </w:t>
      </w:r>
      <w:r>
        <w:rPr/>
        <w:t>Architect</w:t>
      </w:r>
      <w:r>
        <w:rPr>
          <w:spacing w:val="-4"/>
        </w:rPr>
        <w:t> </w:t>
      </w:r>
      <w:r>
        <w:rPr/>
        <w:t>/</w:t>
      </w:r>
      <w:r>
        <w:rPr>
          <w:spacing w:val="-2"/>
        </w:rPr>
        <w:t> </w:t>
      </w:r>
      <w:r>
        <w:rPr/>
        <w:t>Architect</w:t>
      </w:r>
      <w:r>
        <w:rPr>
          <w:spacing w:val="-4"/>
        </w:rPr>
        <w:t> </w:t>
      </w:r>
      <w:r>
        <w:rPr/>
        <w:t>of</w:t>
      </w:r>
      <w:r>
        <w:rPr>
          <w:spacing w:val="-2"/>
        </w:rPr>
        <w:t> </w:t>
      </w:r>
      <w:r>
        <w:rPr/>
        <w:t>Record:</w:t>
      </w:r>
      <w:r>
        <w:rPr>
          <w:spacing w:val="-4"/>
        </w:rPr>
        <w:t> </w:t>
      </w:r>
      <w:r>
        <w:rPr/>
        <w:t>VCU</w:t>
      </w:r>
      <w:r>
        <w:rPr>
          <w:spacing w:val="-4"/>
        </w:rPr>
        <w:t> </w:t>
      </w:r>
      <w:r>
        <w:rPr/>
        <w:t>Health</w:t>
      </w:r>
      <w:r>
        <w:rPr>
          <w:spacing w:val="-4"/>
        </w:rPr>
        <w:t> </w:t>
      </w:r>
      <w:r>
        <w:rPr/>
        <w:t>Sys.</w:t>
      </w:r>
      <w:r>
        <w:rPr>
          <w:spacing w:val="-2"/>
        </w:rPr>
        <w:t> </w:t>
      </w:r>
      <w:r>
        <w:rPr/>
        <w:t>Emergency</w:t>
      </w:r>
      <w:r>
        <w:rPr>
          <w:spacing w:val="-7"/>
        </w:rPr>
        <w:t> </w:t>
      </w:r>
      <w:r>
        <w:rPr/>
        <w:t>Dept.</w:t>
      </w:r>
      <w:r>
        <w:rPr>
          <w:spacing w:val="-2"/>
        </w:rPr>
        <w:t> </w:t>
      </w:r>
      <w:r>
        <w:rPr/>
        <w:t>Expansion</w:t>
      </w:r>
      <w:r>
        <w:rPr>
          <w:spacing w:val="-2"/>
        </w:rPr>
        <w:t> </w:t>
      </w:r>
      <w:r>
        <w:rPr/>
        <w:t>Study Principal Architect / Architect of Record: Pine Camp Cultural Arts and Community Center, Richmond, VA</w:t>
      </w:r>
    </w:p>
    <w:p>
      <w:pPr>
        <w:pStyle w:val="BodyText"/>
        <w:spacing w:before="1"/>
        <w:ind w:left="1519" w:right="642"/>
      </w:pPr>
      <w:r>
        <w:rPr/>
        <w:t>Associate</w:t>
      </w:r>
      <w:r>
        <w:rPr>
          <w:spacing w:val="-4"/>
        </w:rPr>
        <w:t> </w:t>
      </w:r>
      <w:r>
        <w:rPr/>
        <w:t>Architect:</w:t>
      </w:r>
      <w:r>
        <w:rPr>
          <w:spacing w:val="-6"/>
        </w:rPr>
        <w:t> </w:t>
      </w:r>
      <w:r>
        <w:rPr/>
        <w:t>Richmond</w:t>
      </w:r>
      <w:r>
        <w:rPr>
          <w:spacing w:val="-6"/>
        </w:rPr>
        <w:t> </w:t>
      </w:r>
      <w:r>
        <w:rPr/>
        <w:t>International</w:t>
      </w:r>
      <w:r>
        <w:rPr>
          <w:spacing w:val="-5"/>
        </w:rPr>
        <w:t> </w:t>
      </w:r>
      <w:r>
        <w:rPr/>
        <w:t>Airport</w:t>
      </w:r>
      <w:r>
        <w:rPr>
          <w:spacing w:val="-6"/>
        </w:rPr>
        <w:t> </w:t>
      </w:r>
      <w:r>
        <w:rPr/>
        <w:t>Expansion,</w:t>
      </w:r>
      <w:r>
        <w:rPr>
          <w:spacing w:val="-6"/>
        </w:rPr>
        <w:t> </w:t>
      </w:r>
      <w:r>
        <w:rPr/>
        <w:t>Concourse</w:t>
      </w:r>
      <w:r>
        <w:rPr>
          <w:spacing w:val="-4"/>
        </w:rPr>
        <w:t> </w:t>
      </w:r>
      <w:r>
        <w:rPr/>
        <w:t>C,</w:t>
      </w:r>
      <w:r>
        <w:rPr>
          <w:spacing w:val="-4"/>
        </w:rPr>
        <w:t> </w:t>
      </w:r>
      <w:r>
        <w:rPr/>
        <w:t>Baggage</w:t>
      </w:r>
      <w:r>
        <w:rPr>
          <w:spacing w:val="-4"/>
        </w:rPr>
        <w:t> </w:t>
      </w:r>
      <w:r>
        <w:rPr/>
        <w:t>Claim and Passenger Parking Decks</w:t>
      </w:r>
    </w:p>
    <w:p>
      <w:pPr>
        <w:pStyle w:val="BodyText"/>
        <w:spacing w:line="229" w:lineRule="exact"/>
        <w:ind w:left="1519"/>
      </w:pPr>
      <w:r>
        <w:rPr/>
        <w:t>Associate</w:t>
      </w:r>
      <w:r>
        <w:rPr>
          <w:spacing w:val="-9"/>
        </w:rPr>
        <w:t> </w:t>
      </w:r>
      <w:r>
        <w:rPr/>
        <w:t>Architect:</w:t>
      </w:r>
      <w:r>
        <w:rPr>
          <w:spacing w:val="-9"/>
        </w:rPr>
        <w:t> </w:t>
      </w:r>
      <w:r>
        <w:rPr/>
        <w:t>Richmond</w:t>
      </w:r>
      <w:r>
        <w:rPr>
          <w:spacing w:val="-10"/>
        </w:rPr>
        <w:t> </w:t>
      </w:r>
      <w:r>
        <w:rPr/>
        <w:t>Justice</w:t>
      </w:r>
      <w:r>
        <w:rPr>
          <w:spacing w:val="-10"/>
        </w:rPr>
        <w:t> </w:t>
      </w:r>
      <w:r>
        <w:rPr/>
        <w:t>Center,</w:t>
      </w:r>
      <w:r>
        <w:rPr>
          <w:spacing w:val="-10"/>
        </w:rPr>
        <w:t> </w:t>
      </w:r>
      <w:r>
        <w:rPr/>
        <w:t>Richmond,</w:t>
      </w:r>
      <w:r>
        <w:rPr>
          <w:spacing w:val="-8"/>
        </w:rPr>
        <w:t> </w:t>
      </w:r>
      <w:r>
        <w:rPr>
          <w:spacing w:val="-5"/>
        </w:rPr>
        <w:t>VA</w:t>
      </w:r>
    </w:p>
    <w:p>
      <w:pPr>
        <w:pStyle w:val="BodyText"/>
        <w:ind w:left="1519" w:right="642"/>
      </w:pPr>
      <w:r>
        <w:rPr/>
        <w:t>Associate</w:t>
      </w:r>
      <w:r>
        <w:rPr>
          <w:spacing w:val="-3"/>
        </w:rPr>
        <w:t> </w:t>
      </w:r>
      <w:r>
        <w:rPr/>
        <w:t>Architect</w:t>
      </w:r>
      <w:r>
        <w:rPr>
          <w:spacing w:val="-5"/>
        </w:rPr>
        <w:t> </w:t>
      </w:r>
      <w:r>
        <w:rPr/>
        <w:t>/</w:t>
      </w:r>
      <w:r>
        <w:rPr>
          <w:spacing w:val="-3"/>
        </w:rPr>
        <w:t> </w:t>
      </w:r>
      <w:r>
        <w:rPr/>
        <w:t>Architect</w:t>
      </w:r>
      <w:r>
        <w:rPr>
          <w:spacing w:val="-5"/>
        </w:rPr>
        <w:t> </w:t>
      </w:r>
      <w:r>
        <w:rPr/>
        <w:t>of</w:t>
      </w:r>
      <w:r>
        <w:rPr>
          <w:spacing w:val="-3"/>
        </w:rPr>
        <w:t> </w:t>
      </w:r>
      <w:r>
        <w:rPr/>
        <w:t>Record:</w:t>
      </w:r>
      <w:r>
        <w:rPr>
          <w:spacing w:val="-5"/>
        </w:rPr>
        <w:t> </w:t>
      </w:r>
      <w:r>
        <w:rPr/>
        <w:t>Rental</w:t>
      </w:r>
      <w:r>
        <w:rPr>
          <w:spacing w:val="-6"/>
        </w:rPr>
        <w:t> </w:t>
      </w:r>
      <w:r>
        <w:rPr/>
        <w:t>Car</w:t>
      </w:r>
      <w:r>
        <w:rPr>
          <w:spacing w:val="-4"/>
        </w:rPr>
        <w:t> </w:t>
      </w:r>
      <w:r>
        <w:rPr/>
        <w:t>Garage,</w:t>
      </w:r>
      <w:r>
        <w:rPr>
          <w:spacing w:val="-5"/>
        </w:rPr>
        <w:t> </w:t>
      </w:r>
      <w:r>
        <w:rPr/>
        <w:t>Richmond</w:t>
      </w:r>
      <w:r>
        <w:rPr>
          <w:spacing w:val="-5"/>
        </w:rPr>
        <w:t> </w:t>
      </w:r>
      <w:r>
        <w:rPr/>
        <w:t>International</w:t>
      </w:r>
      <w:r>
        <w:rPr>
          <w:spacing w:val="-4"/>
        </w:rPr>
        <w:t> </w:t>
      </w:r>
      <w:r>
        <w:rPr/>
        <w:t>Airport Associate Architect: ML King Middle School, Richmond, VA</w:t>
      </w:r>
    </w:p>
    <w:p>
      <w:pPr>
        <w:spacing w:after="0"/>
        <w:sectPr>
          <w:headerReference w:type="default" r:id="rId255"/>
          <w:footerReference w:type="default" r:id="rId256"/>
          <w:pgSz w:w="12240" w:h="15840"/>
          <w:pgMar w:header="0" w:footer="974" w:top="920" w:bottom="1160" w:left="1000" w:right="820"/>
        </w:sectPr>
      </w:pPr>
    </w:p>
    <w:p>
      <w:pPr>
        <w:spacing w:before="63"/>
        <w:ind w:left="440" w:right="0" w:firstLine="0"/>
        <w:jc w:val="left"/>
        <w:rPr>
          <w:b/>
          <w:sz w:val="20"/>
        </w:rPr>
      </w:pPr>
      <w:r>
        <w:rPr>
          <w:b/>
          <w:sz w:val="20"/>
        </w:rPr>
        <w:t>Gindroz,</w:t>
      </w:r>
      <w:r>
        <w:rPr>
          <w:b/>
          <w:spacing w:val="-8"/>
          <w:sz w:val="20"/>
        </w:rPr>
        <w:t> </w:t>
      </w:r>
      <w:r>
        <w:rPr>
          <w:b/>
          <w:sz w:val="20"/>
        </w:rPr>
        <w:t>Raymond</w:t>
      </w:r>
      <w:r>
        <w:rPr>
          <w:b/>
          <w:spacing w:val="-7"/>
          <w:sz w:val="20"/>
        </w:rPr>
        <w:t> </w:t>
      </w:r>
      <w:r>
        <w:rPr>
          <w:b/>
          <w:sz w:val="20"/>
        </w:rPr>
        <w:t>FAIA</w:t>
      </w:r>
      <w:r>
        <w:rPr>
          <w:b/>
          <w:spacing w:val="-11"/>
          <w:sz w:val="20"/>
        </w:rPr>
        <w:t> </w:t>
      </w:r>
      <w:r>
        <w:rPr>
          <w:b/>
          <w:spacing w:val="-2"/>
          <w:sz w:val="20"/>
        </w:rPr>
        <w:t>(Adjunct)</w:t>
      </w:r>
    </w:p>
    <w:p>
      <w:pPr>
        <w:pStyle w:val="BodyText"/>
        <w:spacing w:before="7"/>
        <w:rPr>
          <w:b/>
          <w:sz w:val="17"/>
        </w:rPr>
      </w:pPr>
    </w:p>
    <w:p>
      <w:pPr>
        <w:spacing w:before="0"/>
        <w:ind w:left="439" w:right="0" w:firstLine="0"/>
        <w:jc w:val="left"/>
        <w:rPr>
          <w:b/>
          <w:sz w:val="20"/>
        </w:rPr>
      </w:pPr>
      <w:r>
        <w:rPr>
          <w:b/>
          <w:sz w:val="20"/>
        </w:rPr>
        <w:t>Courses</w:t>
      </w:r>
      <w:r>
        <w:rPr>
          <w:b/>
          <w:spacing w:val="-7"/>
          <w:sz w:val="20"/>
        </w:rPr>
        <w:t> </w:t>
      </w:r>
      <w:r>
        <w:rPr>
          <w:b/>
          <w:sz w:val="20"/>
        </w:rPr>
        <w:t>Taught</w:t>
      </w:r>
      <w:r>
        <w:rPr>
          <w:b/>
          <w:spacing w:val="-7"/>
          <w:sz w:val="20"/>
        </w:rPr>
        <w:t> </w:t>
      </w:r>
      <w:r>
        <w:rPr>
          <w:b/>
          <w:sz w:val="20"/>
        </w:rPr>
        <w:t>(during</w:t>
      </w:r>
      <w:r>
        <w:rPr>
          <w:b/>
          <w:spacing w:val="-7"/>
          <w:sz w:val="20"/>
        </w:rPr>
        <w:t> </w:t>
      </w:r>
      <w:r>
        <w:rPr>
          <w:b/>
          <w:sz w:val="20"/>
        </w:rPr>
        <w:t>the</w:t>
      </w:r>
      <w:r>
        <w:rPr>
          <w:b/>
          <w:spacing w:val="-8"/>
          <w:sz w:val="20"/>
        </w:rPr>
        <w:t> </w:t>
      </w:r>
      <w:r>
        <w:rPr>
          <w:b/>
          <w:sz w:val="20"/>
        </w:rPr>
        <w:t>past</w:t>
      </w:r>
      <w:r>
        <w:rPr>
          <w:b/>
          <w:spacing w:val="-7"/>
          <w:sz w:val="20"/>
        </w:rPr>
        <w:t> </w:t>
      </w:r>
      <w:r>
        <w:rPr>
          <w:b/>
          <w:sz w:val="20"/>
        </w:rPr>
        <w:t>two</w:t>
      </w:r>
      <w:r>
        <w:rPr>
          <w:b/>
          <w:spacing w:val="-7"/>
          <w:sz w:val="20"/>
        </w:rPr>
        <w:t> </w:t>
      </w:r>
      <w:r>
        <w:rPr>
          <w:b/>
          <w:sz w:val="20"/>
        </w:rPr>
        <w:t>academic</w:t>
      </w:r>
      <w:r>
        <w:rPr>
          <w:b/>
          <w:spacing w:val="-4"/>
          <w:sz w:val="20"/>
        </w:rPr>
        <w:t> </w:t>
      </w:r>
      <w:r>
        <w:rPr>
          <w:b/>
          <w:spacing w:val="-2"/>
          <w:sz w:val="20"/>
        </w:rPr>
        <w:t>years):</w:t>
      </w:r>
    </w:p>
    <w:p>
      <w:pPr>
        <w:pStyle w:val="BodyText"/>
        <w:tabs>
          <w:tab w:pos="2599" w:val="left" w:leader="none"/>
        </w:tabs>
        <w:ind w:left="1160"/>
      </w:pPr>
      <w:r>
        <w:rPr/>
        <w:t>Fall</w:t>
      </w:r>
      <w:r>
        <w:rPr>
          <w:spacing w:val="-7"/>
        </w:rPr>
        <w:t> </w:t>
      </w:r>
      <w:r>
        <w:rPr>
          <w:spacing w:val="-2"/>
        </w:rPr>
        <w:t>2012:</w:t>
      </w:r>
      <w:r>
        <w:rPr/>
        <w:tab/>
        <w:t>ARC</w:t>
      </w:r>
      <w:r>
        <w:rPr>
          <w:spacing w:val="-7"/>
        </w:rPr>
        <w:t> </w:t>
      </w:r>
      <w:r>
        <w:rPr>
          <w:spacing w:val="-5"/>
        </w:rPr>
        <w:t>303</w:t>
      </w:r>
    </w:p>
    <w:p>
      <w:pPr>
        <w:pStyle w:val="BodyText"/>
        <w:tabs>
          <w:tab w:pos="2599" w:val="left" w:leader="none"/>
        </w:tabs>
        <w:spacing w:before="1"/>
        <w:ind w:left="1159"/>
      </w:pPr>
      <w:r>
        <w:rPr/>
        <w:t>Spring</w:t>
      </w:r>
      <w:r>
        <w:rPr>
          <w:spacing w:val="-9"/>
        </w:rPr>
        <w:t> </w:t>
      </w:r>
      <w:r>
        <w:rPr>
          <w:spacing w:val="-2"/>
        </w:rPr>
        <w:t>2013:</w:t>
      </w:r>
      <w:r>
        <w:rPr/>
        <w:tab/>
        <w:t>ARC</w:t>
      </w:r>
      <w:r>
        <w:rPr>
          <w:spacing w:val="-7"/>
        </w:rPr>
        <w:t> </w:t>
      </w:r>
      <w:r>
        <w:rPr>
          <w:spacing w:val="-5"/>
        </w:rPr>
        <w:t>304</w:t>
      </w:r>
    </w:p>
    <w:p>
      <w:pPr>
        <w:pStyle w:val="BodyText"/>
        <w:spacing w:line="229" w:lineRule="exact"/>
        <w:ind w:left="1159"/>
      </w:pPr>
      <w:r>
        <w:rPr/>
        <w:t>Summer</w:t>
      </w:r>
      <w:r>
        <w:rPr>
          <w:spacing w:val="-5"/>
        </w:rPr>
        <w:t> </w:t>
      </w:r>
      <w:r>
        <w:rPr/>
        <w:t>2013:</w:t>
      </w:r>
      <w:r>
        <w:rPr>
          <w:spacing w:val="63"/>
        </w:rPr>
        <w:t> </w:t>
      </w:r>
      <w:r>
        <w:rPr/>
        <w:t>ARC</w:t>
      </w:r>
      <w:r>
        <w:rPr>
          <w:spacing w:val="-5"/>
        </w:rPr>
        <w:t> </w:t>
      </w:r>
      <w:r>
        <w:rPr/>
        <w:t>305,</w:t>
      </w:r>
      <w:r>
        <w:rPr>
          <w:spacing w:val="-3"/>
        </w:rPr>
        <w:t> </w:t>
      </w:r>
      <w:r>
        <w:rPr>
          <w:spacing w:val="-5"/>
        </w:rPr>
        <w:t>306</w:t>
      </w:r>
    </w:p>
    <w:p>
      <w:pPr>
        <w:pStyle w:val="BodyText"/>
        <w:tabs>
          <w:tab w:pos="2599" w:val="left" w:leader="none"/>
        </w:tabs>
        <w:spacing w:line="229" w:lineRule="exact"/>
        <w:ind w:left="1159"/>
      </w:pPr>
      <w:r>
        <w:rPr/>
        <w:t>Fall</w:t>
      </w:r>
      <w:r>
        <w:rPr>
          <w:spacing w:val="-7"/>
        </w:rPr>
        <w:t> </w:t>
      </w:r>
      <w:r>
        <w:rPr>
          <w:spacing w:val="-2"/>
        </w:rPr>
        <w:t>2014:</w:t>
      </w:r>
      <w:r>
        <w:rPr/>
        <w:tab/>
        <w:t>ARC</w:t>
      </w:r>
      <w:r>
        <w:rPr>
          <w:spacing w:val="-7"/>
        </w:rPr>
        <w:t> </w:t>
      </w:r>
      <w:r>
        <w:rPr>
          <w:spacing w:val="-5"/>
        </w:rPr>
        <w:t>303</w:t>
      </w:r>
    </w:p>
    <w:p>
      <w:pPr>
        <w:pStyle w:val="BodyText"/>
        <w:tabs>
          <w:tab w:pos="2599" w:val="left" w:leader="none"/>
        </w:tabs>
        <w:spacing w:before="1"/>
        <w:ind w:left="1159"/>
      </w:pPr>
      <w:r>
        <w:rPr/>
        <w:t>Spring</w:t>
      </w:r>
      <w:r>
        <w:rPr>
          <w:spacing w:val="-9"/>
        </w:rPr>
        <w:t> </w:t>
      </w:r>
      <w:r>
        <w:rPr>
          <w:spacing w:val="-2"/>
        </w:rPr>
        <w:t>2014:</w:t>
      </w:r>
      <w:r>
        <w:rPr/>
        <w:tab/>
        <w:t>ARC</w:t>
      </w:r>
      <w:r>
        <w:rPr>
          <w:spacing w:val="-6"/>
        </w:rPr>
        <w:t> </w:t>
      </w:r>
      <w:r>
        <w:rPr/>
        <w:t>304,</w:t>
      </w:r>
      <w:r>
        <w:rPr>
          <w:spacing w:val="-4"/>
        </w:rPr>
        <w:t> </w:t>
      </w:r>
      <w:r>
        <w:rPr/>
        <w:t>ARC</w:t>
      </w:r>
      <w:r>
        <w:rPr>
          <w:spacing w:val="-3"/>
        </w:rPr>
        <w:t> </w:t>
      </w:r>
      <w:r>
        <w:rPr>
          <w:spacing w:val="-5"/>
        </w:rPr>
        <w:t>317</w:t>
      </w:r>
    </w:p>
    <w:p>
      <w:pPr>
        <w:pStyle w:val="BodyText"/>
        <w:ind w:left="1159"/>
      </w:pPr>
      <w:r>
        <w:rPr/>
        <w:t>SUMMER</w:t>
      </w:r>
      <w:r>
        <w:rPr>
          <w:spacing w:val="-5"/>
        </w:rPr>
        <w:t> </w:t>
      </w:r>
      <w:r>
        <w:rPr/>
        <w:t>2014</w:t>
      </w:r>
      <w:r>
        <w:rPr>
          <w:spacing w:val="-10"/>
        </w:rPr>
        <w:t> </w:t>
      </w:r>
      <w:r>
        <w:rPr/>
        <w:t>ARC</w:t>
      </w:r>
      <w:r>
        <w:rPr>
          <w:spacing w:val="-7"/>
        </w:rPr>
        <w:t> </w:t>
      </w:r>
      <w:r>
        <w:rPr>
          <w:spacing w:val="-5"/>
        </w:rPr>
        <w:t>305</w:t>
      </w:r>
    </w:p>
    <w:p>
      <w:pPr>
        <w:pStyle w:val="BodyText"/>
        <w:spacing w:before="4"/>
        <w:rPr>
          <w:sz w:val="17"/>
        </w:rPr>
      </w:pPr>
    </w:p>
    <w:p>
      <w:pPr>
        <w:spacing w:before="1"/>
        <w:ind w:left="439" w:right="0" w:firstLine="0"/>
        <w:jc w:val="left"/>
        <w:rPr>
          <w:b/>
          <w:sz w:val="20"/>
        </w:rPr>
      </w:pPr>
      <w:r>
        <w:rPr>
          <w:b/>
          <w:spacing w:val="-2"/>
          <w:sz w:val="20"/>
        </w:rPr>
        <w:t>Educational</w:t>
      </w:r>
      <w:r>
        <w:rPr>
          <w:b/>
          <w:spacing w:val="6"/>
          <w:sz w:val="20"/>
        </w:rPr>
        <w:t> </w:t>
      </w:r>
      <w:r>
        <w:rPr>
          <w:b/>
          <w:spacing w:val="-2"/>
          <w:sz w:val="20"/>
        </w:rPr>
        <w:t>Credentials:</w:t>
      </w:r>
    </w:p>
    <w:p>
      <w:pPr>
        <w:pStyle w:val="BodyText"/>
        <w:ind w:left="1159" w:right="1587"/>
      </w:pPr>
      <w:r>
        <w:rPr/>
        <w:t>Carnegie</w:t>
      </w:r>
      <w:r>
        <w:rPr>
          <w:spacing w:val="-4"/>
        </w:rPr>
        <w:t> </w:t>
      </w:r>
      <w:r>
        <w:rPr/>
        <w:t>Mellon</w:t>
      </w:r>
      <w:r>
        <w:rPr>
          <w:spacing w:val="-6"/>
        </w:rPr>
        <w:t> </w:t>
      </w:r>
      <w:r>
        <w:rPr/>
        <w:t>University:</w:t>
      </w:r>
      <w:r>
        <w:rPr>
          <w:spacing w:val="40"/>
        </w:rPr>
        <w:t> </w:t>
      </w:r>
      <w:r>
        <w:rPr/>
        <w:t>Master</w:t>
      </w:r>
      <w:r>
        <w:rPr>
          <w:spacing w:val="-3"/>
        </w:rPr>
        <w:t> </w:t>
      </w:r>
      <w:r>
        <w:rPr/>
        <w:t>of</w:t>
      </w:r>
      <w:r>
        <w:rPr>
          <w:spacing w:val="-4"/>
        </w:rPr>
        <w:t> </w:t>
      </w:r>
      <w:r>
        <w:rPr/>
        <w:t>Architecture</w:t>
      </w:r>
      <w:r>
        <w:rPr>
          <w:spacing w:val="-4"/>
        </w:rPr>
        <w:t> </w:t>
      </w:r>
      <w:r>
        <w:rPr/>
        <w:t>in</w:t>
      </w:r>
      <w:r>
        <w:rPr>
          <w:spacing w:val="-1"/>
        </w:rPr>
        <w:t> </w:t>
      </w:r>
      <w:r>
        <w:rPr/>
        <w:t>Urban</w:t>
      </w:r>
      <w:r>
        <w:rPr>
          <w:spacing w:val="-6"/>
        </w:rPr>
        <w:t> </w:t>
      </w:r>
      <w:r>
        <w:rPr/>
        <w:t>Design</w:t>
      </w:r>
      <w:r>
        <w:rPr>
          <w:spacing w:val="-4"/>
        </w:rPr>
        <w:t> </w:t>
      </w:r>
      <w:r>
        <w:rPr/>
        <w:t>with</w:t>
      </w:r>
      <w:r>
        <w:rPr>
          <w:spacing w:val="-6"/>
        </w:rPr>
        <w:t> </w:t>
      </w:r>
      <w:r>
        <w:rPr/>
        <w:t>Honors,</w:t>
      </w:r>
      <w:r>
        <w:rPr>
          <w:spacing w:val="-4"/>
        </w:rPr>
        <w:t> </w:t>
      </w:r>
      <w:r>
        <w:rPr/>
        <w:t>1965 Centro Per Gli Studi Di Architettura:</w:t>
      </w:r>
      <w:r>
        <w:rPr>
          <w:spacing w:val="40"/>
        </w:rPr>
        <w:t> </w:t>
      </w:r>
      <w:r>
        <w:rPr/>
        <w:t>A. Palladio, Vicenza, Italy, Diploma, 1963 Carnegie Mellon University, Bachelor of Architecture with Honors, 1963</w:t>
      </w:r>
    </w:p>
    <w:p>
      <w:pPr>
        <w:pStyle w:val="BodyText"/>
        <w:spacing w:before="3"/>
        <w:rPr>
          <w:sz w:val="17"/>
        </w:rPr>
      </w:pPr>
    </w:p>
    <w:p>
      <w:pPr>
        <w:spacing w:before="0"/>
        <w:ind w:left="439" w:right="0" w:firstLine="0"/>
        <w:jc w:val="left"/>
        <w:rPr>
          <w:b/>
          <w:sz w:val="20"/>
        </w:rPr>
      </w:pPr>
      <w:r>
        <w:rPr>
          <w:b/>
          <w:sz w:val="20"/>
        </w:rPr>
        <w:t>Teaching</w:t>
      </w:r>
      <w:r>
        <w:rPr>
          <w:b/>
          <w:spacing w:val="-10"/>
          <w:sz w:val="20"/>
        </w:rPr>
        <w:t> </w:t>
      </w:r>
      <w:r>
        <w:rPr>
          <w:b/>
          <w:spacing w:val="-2"/>
          <w:sz w:val="20"/>
        </w:rPr>
        <w:t>Experience</w:t>
      </w:r>
    </w:p>
    <w:p>
      <w:pPr>
        <w:pStyle w:val="BodyText"/>
        <w:spacing w:line="229" w:lineRule="exact" w:before="3"/>
        <w:ind w:left="1159"/>
      </w:pPr>
      <w:r>
        <w:rPr/>
        <w:t>Associate</w:t>
      </w:r>
      <w:r>
        <w:rPr>
          <w:spacing w:val="-7"/>
        </w:rPr>
        <w:t> </w:t>
      </w:r>
      <w:r>
        <w:rPr/>
        <w:t>Professor</w:t>
      </w:r>
      <w:r>
        <w:rPr>
          <w:spacing w:val="-8"/>
        </w:rPr>
        <w:t> </w:t>
      </w:r>
      <w:r>
        <w:rPr/>
        <w:t>of</w:t>
      </w:r>
      <w:r>
        <w:rPr>
          <w:spacing w:val="-7"/>
        </w:rPr>
        <w:t> </w:t>
      </w:r>
      <w:r>
        <w:rPr/>
        <w:t>Architecture,</w:t>
      </w:r>
      <w:r>
        <w:rPr>
          <w:spacing w:val="-9"/>
        </w:rPr>
        <w:t> </w:t>
      </w:r>
      <w:r>
        <w:rPr/>
        <w:t>HU</w:t>
      </w:r>
      <w:r>
        <w:rPr>
          <w:spacing w:val="-6"/>
        </w:rPr>
        <w:t> </w:t>
      </w:r>
      <w:r>
        <w:rPr/>
        <w:t>Department</w:t>
      </w:r>
      <w:r>
        <w:rPr>
          <w:spacing w:val="-9"/>
        </w:rPr>
        <w:t> </w:t>
      </w:r>
      <w:r>
        <w:rPr/>
        <w:t>of</w:t>
      </w:r>
      <w:r>
        <w:rPr>
          <w:spacing w:val="-6"/>
        </w:rPr>
        <w:t> </w:t>
      </w:r>
      <w:r>
        <w:rPr/>
        <w:t>Architecture,</w:t>
      </w:r>
      <w:r>
        <w:rPr>
          <w:spacing w:val="-7"/>
        </w:rPr>
        <w:t> </w:t>
      </w:r>
      <w:r>
        <w:rPr/>
        <w:t>2008</w:t>
      </w:r>
      <w:r>
        <w:rPr>
          <w:spacing w:val="-9"/>
        </w:rPr>
        <w:t> </w:t>
      </w:r>
      <w:r>
        <w:rPr/>
        <w:t>to</w:t>
      </w:r>
      <w:r>
        <w:rPr>
          <w:spacing w:val="-7"/>
        </w:rPr>
        <w:t> </w:t>
      </w:r>
      <w:r>
        <w:rPr>
          <w:spacing w:val="-2"/>
        </w:rPr>
        <w:t>Present</w:t>
      </w:r>
    </w:p>
    <w:p>
      <w:pPr>
        <w:pStyle w:val="BodyText"/>
        <w:ind w:left="1159" w:right="642"/>
      </w:pPr>
      <w:r>
        <w:rPr/>
        <w:t>Hampton</w:t>
      </w:r>
      <w:r>
        <w:rPr>
          <w:spacing w:val="-6"/>
        </w:rPr>
        <w:t> </w:t>
      </w:r>
      <w:r>
        <w:rPr/>
        <w:t>University</w:t>
      </w:r>
      <w:r>
        <w:rPr>
          <w:spacing w:val="-9"/>
        </w:rPr>
        <w:t> </w:t>
      </w:r>
      <w:r>
        <w:rPr/>
        <w:t>Department</w:t>
      </w:r>
      <w:r>
        <w:rPr>
          <w:spacing w:val="-6"/>
        </w:rPr>
        <w:t> </w:t>
      </w:r>
      <w:r>
        <w:rPr/>
        <w:t>of</w:t>
      </w:r>
      <w:r>
        <w:rPr>
          <w:spacing w:val="-5"/>
        </w:rPr>
        <w:t> </w:t>
      </w:r>
      <w:r>
        <w:rPr/>
        <w:t>Architecture:</w:t>
      </w:r>
      <w:r>
        <w:rPr>
          <w:spacing w:val="-5"/>
        </w:rPr>
        <w:t> </w:t>
      </w:r>
      <w:r>
        <w:rPr/>
        <w:t>Volunteer</w:t>
      </w:r>
      <w:r>
        <w:rPr>
          <w:spacing w:val="-5"/>
        </w:rPr>
        <w:t> </w:t>
      </w:r>
      <w:r>
        <w:rPr/>
        <w:t>Lecturer,</w:t>
      </w:r>
      <w:r>
        <w:rPr>
          <w:spacing w:val="-6"/>
        </w:rPr>
        <w:t> </w:t>
      </w:r>
      <w:r>
        <w:rPr/>
        <w:t>Curriculum</w:t>
      </w:r>
      <w:r>
        <w:rPr>
          <w:spacing w:val="-2"/>
        </w:rPr>
        <w:t> </w:t>
      </w:r>
      <w:r>
        <w:rPr/>
        <w:t>consultant</w:t>
      </w:r>
      <w:r>
        <w:rPr>
          <w:spacing w:val="-5"/>
        </w:rPr>
        <w:t> </w:t>
      </w:r>
      <w:r>
        <w:rPr/>
        <w:t>and Critic for the Study Abroad Program and Third Year Design Studio: 2008-present</w:t>
      </w:r>
    </w:p>
    <w:p>
      <w:pPr>
        <w:pStyle w:val="BodyText"/>
        <w:ind w:left="1159" w:right="642"/>
      </w:pPr>
      <w:r>
        <w:rPr/>
        <w:t>McGill</w:t>
      </w:r>
      <w:r>
        <w:rPr>
          <w:spacing w:val="-4"/>
        </w:rPr>
        <w:t> </w:t>
      </w:r>
      <w:r>
        <w:rPr/>
        <w:t>University,</w:t>
      </w:r>
      <w:r>
        <w:rPr>
          <w:spacing w:val="-3"/>
        </w:rPr>
        <w:t> </w:t>
      </w:r>
      <w:r>
        <w:rPr/>
        <w:t>School</w:t>
      </w:r>
      <w:r>
        <w:rPr>
          <w:spacing w:val="-5"/>
        </w:rPr>
        <w:t> </w:t>
      </w:r>
      <w:r>
        <w:rPr/>
        <w:t>of</w:t>
      </w:r>
      <w:r>
        <w:rPr>
          <w:spacing w:val="-3"/>
        </w:rPr>
        <w:t> </w:t>
      </w:r>
      <w:r>
        <w:rPr/>
        <w:t>Urban</w:t>
      </w:r>
      <w:r>
        <w:rPr>
          <w:spacing w:val="-3"/>
        </w:rPr>
        <w:t> </w:t>
      </w:r>
      <w:r>
        <w:rPr/>
        <w:t>Planning:</w:t>
      </w:r>
      <w:r>
        <w:rPr>
          <w:spacing w:val="40"/>
        </w:rPr>
        <w:t> </w:t>
      </w:r>
      <w:r>
        <w:rPr/>
        <w:t>Lecturer</w:t>
      </w:r>
      <w:r>
        <w:rPr>
          <w:spacing w:val="-2"/>
        </w:rPr>
        <w:t> </w:t>
      </w:r>
      <w:r>
        <w:rPr/>
        <w:t>and</w:t>
      </w:r>
      <w:r>
        <w:rPr>
          <w:spacing w:val="-3"/>
        </w:rPr>
        <w:t> </w:t>
      </w:r>
      <w:r>
        <w:rPr/>
        <w:t>Visiting</w:t>
      </w:r>
      <w:r>
        <w:rPr>
          <w:spacing w:val="-5"/>
        </w:rPr>
        <w:t> </w:t>
      </w:r>
      <w:r>
        <w:rPr/>
        <w:t>Critic,</w:t>
      </w:r>
      <w:r>
        <w:rPr>
          <w:spacing w:val="-5"/>
        </w:rPr>
        <w:t> </w:t>
      </w:r>
      <w:r>
        <w:rPr/>
        <w:t>Design</w:t>
      </w:r>
      <w:r>
        <w:rPr>
          <w:spacing w:val="-3"/>
        </w:rPr>
        <w:t> </w:t>
      </w:r>
      <w:r>
        <w:rPr/>
        <w:t>Studio</w:t>
      </w:r>
      <w:r>
        <w:rPr>
          <w:spacing w:val="-5"/>
        </w:rPr>
        <w:t> </w:t>
      </w:r>
      <w:r>
        <w:rPr/>
        <w:t>for Gateways to Old Montreal, Montreal, Canada: 2009</w:t>
      </w:r>
    </w:p>
    <w:p>
      <w:pPr>
        <w:pStyle w:val="BodyText"/>
        <w:spacing w:before="1"/>
        <w:ind w:left="1159" w:right="642"/>
      </w:pPr>
      <w:r>
        <w:rPr/>
        <w:t>The Princes Foundation For The Built Environment: Lecturer and Leader of Professional Seminars,</w:t>
      </w:r>
      <w:r>
        <w:rPr>
          <w:spacing w:val="-5"/>
        </w:rPr>
        <w:t> </w:t>
      </w:r>
      <w:r>
        <w:rPr/>
        <w:t>London</w:t>
      </w:r>
      <w:r>
        <w:rPr>
          <w:spacing w:val="-3"/>
        </w:rPr>
        <w:t> </w:t>
      </w:r>
      <w:r>
        <w:rPr/>
        <w:t>2003</w:t>
      </w:r>
      <w:r>
        <w:rPr>
          <w:spacing w:val="-5"/>
        </w:rPr>
        <w:t> </w:t>
      </w:r>
      <w:r>
        <w:rPr/>
        <w:t>and</w:t>
      </w:r>
      <w:r>
        <w:rPr>
          <w:spacing w:val="-5"/>
        </w:rPr>
        <w:t> </w:t>
      </w:r>
      <w:r>
        <w:rPr/>
        <w:t>2006;</w:t>
      </w:r>
      <w:r>
        <w:rPr>
          <w:spacing w:val="-5"/>
        </w:rPr>
        <w:t> </w:t>
      </w:r>
      <w:r>
        <w:rPr/>
        <w:t>Urban</w:t>
      </w:r>
      <w:r>
        <w:rPr>
          <w:spacing w:val="-3"/>
        </w:rPr>
        <w:t> </w:t>
      </w:r>
      <w:r>
        <w:rPr/>
        <w:t>Design</w:t>
      </w:r>
      <w:r>
        <w:rPr>
          <w:spacing w:val="-3"/>
        </w:rPr>
        <w:t> </w:t>
      </w:r>
      <w:r>
        <w:rPr/>
        <w:t>Summer</w:t>
      </w:r>
      <w:r>
        <w:rPr>
          <w:spacing w:val="-4"/>
        </w:rPr>
        <w:t> </w:t>
      </w:r>
      <w:r>
        <w:rPr/>
        <w:t>Program at</w:t>
      </w:r>
      <w:r>
        <w:rPr>
          <w:spacing w:val="-5"/>
        </w:rPr>
        <w:t> </w:t>
      </w:r>
      <w:r>
        <w:rPr/>
        <w:t>Robert</w:t>
      </w:r>
      <w:r>
        <w:rPr>
          <w:spacing w:val="-5"/>
        </w:rPr>
        <w:t> </w:t>
      </w:r>
      <w:r>
        <w:rPr/>
        <w:t>Gordon</w:t>
      </w:r>
      <w:r>
        <w:rPr>
          <w:spacing w:val="-5"/>
        </w:rPr>
        <w:t> </w:t>
      </w:r>
      <w:r>
        <w:rPr/>
        <w:t>University, Aberdeen, Scotland, 2007; Workshops for the Building Crafts Program, New Orleans, LA, 2008 The Seaside Institute: Lecturer and Teacher for Short Courses on Pattern Books and Urban Housing: Seaside, Florida and Norfolk, Virginia 2004 and 2006; Seaside Pienza Institute International Symposia: Pienza, Italy: 2002, 2003, 2004, 2007, 2010; London/Highgrove,</w:t>
      </w:r>
    </w:p>
    <w:p>
      <w:pPr>
        <w:pStyle w:val="BodyText"/>
        <w:ind w:left="1159"/>
      </w:pPr>
      <w:r>
        <w:rPr/>
        <w:t>England:</w:t>
      </w:r>
      <w:r>
        <w:rPr>
          <w:spacing w:val="-7"/>
        </w:rPr>
        <w:t> </w:t>
      </w:r>
      <w:r>
        <w:rPr/>
        <w:t>2006;</w:t>
      </w:r>
      <w:r>
        <w:rPr>
          <w:spacing w:val="-8"/>
        </w:rPr>
        <w:t> </w:t>
      </w:r>
      <w:r>
        <w:rPr/>
        <w:t>Paris,</w:t>
      </w:r>
      <w:r>
        <w:rPr>
          <w:spacing w:val="-8"/>
        </w:rPr>
        <w:t> </w:t>
      </w:r>
      <w:r>
        <w:rPr/>
        <w:t>France:</w:t>
      </w:r>
      <w:r>
        <w:rPr>
          <w:spacing w:val="-8"/>
        </w:rPr>
        <w:t> </w:t>
      </w:r>
      <w:r>
        <w:rPr/>
        <w:t>2007;</w:t>
      </w:r>
      <w:r>
        <w:rPr>
          <w:spacing w:val="-7"/>
        </w:rPr>
        <w:t> </w:t>
      </w:r>
      <w:r>
        <w:rPr/>
        <w:t>Barcelona,</w:t>
      </w:r>
      <w:r>
        <w:rPr>
          <w:spacing w:val="-6"/>
        </w:rPr>
        <w:t> </w:t>
      </w:r>
      <w:r>
        <w:rPr/>
        <w:t>Spain:</w:t>
      </w:r>
      <w:r>
        <w:rPr>
          <w:spacing w:val="-9"/>
        </w:rPr>
        <w:t> </w:t>
      </w:r>
      <w:r>
        <w:rPr>
          <w:spacing w:val="-4"/>
        </w:rPr>
        <w:t>2008</w:t>
      </w:r>
    </w:p>
    <w:p>
      <w:pPr>
        <w:pStyle w:val="BodyText"/>
        <w:spacing w:before="1"/>
        <w:ind w:left="1159" w:right="632"/>
      </w:pPr>
      <w:r>
        <w:rPr/>
        <w:t>HUD;</w:t>
      </w:r>
      <w:r>
        <w:rPr>
          <w:spacing w:val="-5"/>
        </w:rPr>
        <w:t> </w:t>
      </w:r>
      <w:r>
        <w:rPr/>
        <w:t>Developed</w:t>
      </w:r>
      <w:r>
        <w:rPr>
          <w:spacing w:val="-3"/>
        </w:rPr>
        <w:t> </w:t>
      </w:r>
      <w:r>
        <w:rPr/>
        <w:t>Curriculum</w:t>
      </w:r>
      <w:r>
        <w:rPr>
          <w:spacing w:val="-3"/>
        </w:rPr>
        <w:t> </w:t>
      </w:r>
      <w:r>
        <w:rPr/>
        <w:t>for</w:t>
      </w:r>
      <w:r>
        <w:rPr>
          <w:spacing w:val="-4"/>
        </w:rPr>
        <w:t> </w:t>
      </w:r>
      <w:r>
        <w:rPr/>
        <w:t>training</w:t>
      </w:r>
      <w:r>
        <w:rPr>
          <w:spacing w:val="-3"/>
        </w:rPr>
        <w:t> </w:t>
      </w:r>
      <w:r>
        <w:rPr/>
        <w:t>Program</w:t>
      </w:r>
      <w:r>
        <w:rPr>
          <w:spacing w:val="-3"/>
        </w:rPr>
        <w:t> </w:t>
      </w:r>
      <w:r>
        <w:rPr/>
        <w:t>for</w:t>
      </w:r>
      <w:r>
        <w:rPr>
          <w:spacing w:val="-4"/>
        </w:rPr>
        <w:t> </w:t>
      </w:r>
      <w:r>
        <w:rPr/>
        <w:t>the</w:t>
      </w:r>
      <w:r>
        <w:rPr>
          <w:spacing w:val="-5"/>
        </w:rPr>
        <w:t> </w:t>
      </w:r>
      <w:r>
        <w:rPr/>
        <w:t>HOPE</w:t>
      </w:r>
      <w:r>
        <w:rPr>
          <w:spacing w:val="-3"/>
        </w:rPr>
        <w:t> </w:t>
      </w:r>
      <w:r>
        <w:rPr/>
        <w:t>VI</w:t>
      </w:r>
      <w:r>
        <w:rPr>
          <w:spacing w:val="-3"/>
        </w:rPr>
        <w:t> </w:t>
      </w:r>
      <w:r>
        <w:rPr/>
        <w:t>Program:</w:t>
      </w:r>
      <w:r>
        <w:rPr>
          <w:spacing w:val="-5"/>
        </w:rPr>
        <w:t> </w:t>
      </w:r>
      <w:r>
        <w:rPr/>
        <w:t>Harvard,</w:t>
      </w:r>
      <w:r>
        <w:rPr>
          <w:spacing w:val="-5"/>
        </w:rPr>
        <w:t> </w:t>
      </w:r>
      <w:r>
        <w:rPr/>
        <w:t>Cambridge, MA; Denver, CO, HUD, Washington, DC: 1994-1996</w:t>
      </w:r>
    </w:p>
    <w:p>
      <w:pPr>
        <w:pStyle w:val="BodyText"/>
        <w:ind w:left="1159" w:right="712"/>
      </w:pPr>
      <w:r>
        <w:rPr/>
        <w:t>Lincoln</w:t>
      </w:r>
      <w:r>
        <w:rPr>
          <w:spacing w:val="-4"/>
        </w:rPr>
        <w:t> </w:t>
      </w:r>
      <w:r>
        <w:rPr/>
        <w:t>Institute</w:t>
      </w:r>
      <w:r>
        <w:rPr>
          <w:spacing w:val="-3"/>
        </w:rPr>
        <w:t> </w:t>
      </w:r>
      <w:r>
        <w:rPr/>
        <w:t>of</w:t>
      </w:r>
      <w:r>
        <w:rPr>
          <w:spacing w:val="-3"/>
        </w:rPr>
        <w:t> </w:t>
      </w:r>
      <w:r>
        <w:rPr/>
        <w:t>Land</w:t>
      </w:r>
      <w:r>
        <w:rPr>
          <w:spacing w:val="-3"/>
        </w:rPr>
        <w:t> </w:t>
      </w:r>
      <w:r>
        <w:rPr/>
        <w:t>Planning:</w:t>
      </w:r>
      <w:r>
        <w:rPr>
          <w:spacing w:val="40"/>
        </w:rPr>
        <w:t> </w:t>
      </w:r>
      <w:r>
        <w:rPr/>
        <w:t>Instructor</w:t>
      </w:r>
      <w:r>
        <w:rPr>
          <w:spacing w:val="-2"/>
        </w:rPr>
        <w:t> </w:t>
      </w:r>
      <w:r>
        <w:rPr/>
        <w:t>of</w:t>
      </w:r>
      <w:r>
        <w:rPr>
          <w:spacing w:val="-3"/>
        </w:rPr>
        <w:t> </w:t>
      </w:r>
      <w:r>
        <w:rPr/>
        <w:t>Intensive</w:t>
      </w:r>
      <w:r>
        <w:rPr>
          <w:spacing w:val="-4"/>
        </w:rPr>
        <w:t> </w:t>
      </w:r>
      <w:r>
        <w:rPr/>
        <w:t>short</w:t>
      </w:r>
      <w:r>
        <w:rPr>
          <w:spacing w:val="-4"/>
        </w:rPr>
        <w:t> </w:t>
      </w:r>
      <w:r>
        <w:rPr/>
        <w:t>courses:</w:t>
      </w:r>
      <w:r>
        <w:rPr>
          <w:spacing w:val="-4"/>
        </w:rPr>
        <w:t> </w:t>
      </w:r>
      <w:r>
        <w:rPr/>
        <w:t>Hemet,</w:t>
      </w:r>
      <w:r>
        <w:rPr>
          <w:spacing w:val="-4"/>
        </w:rPr>
        <w:t> </w:t>
      </w:r>
      <w:r>
        <w:rPr/>
        <w:t>CA</w:t>
      </w:r>
      <w:r>
        <w:rPr>
          <w:spacing w:val="-5"/>
        </w:rPr>
        <w:t> </w:t>
      </w:r>
      <w:r>
        <w:rPr/>
        <w:t>and Lexington, KY, 1991-1992</w:t>
      </w:r>
    </w:p>
    <w:p>
      <w:pPr>
        <w:pStyle w:val="BodyText"/>
        <w:ind w:left="1159" w:right="712"/>
      </w:pPr>
      <w:r>
        <w:rPr/>
        <w:t>City University of New York Graduate Center: Visiting Professor of Urban Design, 1988-1989 Yale University Graduate School of Architecture: Visiting critic, ¾ time professor and adjunct professor,</w:t>
      </w:r>
      <w:r>
        <w:rPr>
          <w:spacing w:val="-4"/>
        </w:rPr>
        <w:t> </w:t>
      </w:r>
      <w:r>
        <w:rPr/>
        <w:t>196801998.</w:t>
      </w:r>
      <w:r>
        <w:rPr>
          <w:spacing w:val="40"/>
        </w:rPr>
        <w:t> </w:t>
      </w:r>
      <w:r>
        <w:rPr/>
        <w:t>Responsible</w:t>
      </w:r>
      <w:r>
        <w:rPr>
          <w:spacing w:val="-4"/>
        </w:rPr>
        <w:t> </w:t>
      </w:r>
      <w:r>
        <w:rPr/>
        <w:t>for</w:t>
      </w:r>
      <w:r>
        <w:rPr>
          <w:spacing w:val="-3"/>
        </w:rPr>
        <w:t> </w:t>
      </w:r>
      <w:r>
        <w:rPr/>
        <w:t>Urban</w:t>
      </w:r>
      <w:r>
        <w:rPr>
          <w:spacing w:val="-4"/>
        </w:rPr>
        <w:t> </w:t>
      </w:r>
      <w:r>
        <w:rPr/>
        <w:t>Design</w:t>
      </w:r>
      <w:r>
        <w:rPr>
          <w:spacing w:val="-2"/>
        </w:rPr>
        <w:t> </w:t>
      </w:r>
      <w:r>
        <w:rPr/>
        <w:t>in</w:t>
      </w:r>
      <w:r>
        <w:rPr>
          <w:spacing w:val="-4"/>
        </w:rPr>
        <w:t> </w:t>
      </w:r>
      <w:r>
        <w:rPr/>
        <w:t>team teaching</w:t>
      </w:r>
      <w:r>
        <w:rPr>
          <w:spacing w:val="-2"/>
        </w:rPr>
        <w:t> </w:t>
      </w:r>
      <w:r>
        <w:rPr/>
        <w:t>with</w:t>
      </w:r>
      <w:r>
        <w:rPr>
          <w:spacing w:val="-4"/>
        </w:rPr>
        <w:t> </w:t>
      </w:r>
      <w:r>
        <w:rPr/>
        <w:t>Charles</w:t>
      </w:r>
      <w:r>
        <w:rPr>
          <w:spacing w:val="-7"/>
        </w:rPr>
        <w:t> </w:t>
      </w:r>
      <w:r>
        <w:rPr/>
        <w:t>W.</w:t>
      </w:r>
      <w:r>
        <w:rPr>
          <w:spacing w:val="-4"/>
        </w:rPr>
        <w:t> </w:t>
      </w:r>
      <w:r>
        <w:rPr/>
        <w:t>Moore, Herbert Newman, Kent Bloomer and others.</w:t>
      </w:r>
    </w:p>
    <w:p>
      <w:pPr>
        <w:pStyle w:val="BodyText"/>
        <w:ind w:left="1159" w:right="642"/>
      </w:pPr>
      <w:r>
        <w:rPr/>
        <w:t>Carnegie</w:t>
      </w:r>
      <w:r>
        <w:rPr>
          <w:spacing w:val="-3"/>
        </w:rPr>
        <w:t> </w:t>
      </w:r>
      <w:r>
        <w:rPr/>
        <w:t>Mellon</w:t>
      </w:r>
      <w:r>
        <w:rPr>
          <w:spacing w:val="-5"/>
        </w:rPr>
        <w:t> </w:t>
      </w:r>
      <w:r>
        <w:rPr/>
        <w:t>University:</w:t>
      </w:r>
      <w:r>
        <w:rPr>
          <w:spacing w:val="-3"/>
        </w:rPr>
        <w:t> </w:t>
      </w:r>
      <w:r>
        <w:rPr/>
        <w:t>Lecturer,</w:t>
      </w:r>
      <w:r>
        <w:rPr>
          <w:spacing w:val="-5"/>
        </w:rPr>
        <w:t> </w:t>
      </w:r>
      <w:r>
        <w:rPr/>
        <w:t>critic,</w:t>
      </w:r>
      <w:r>
        <w:rPr>
          <w:spacing w:val="-4"/>
        </w:rPr>
        <w:t> </w:t>
      </w:r>
      <w:r>
        <w:rPr/>
        <w:t>visiting</w:t>
      </w:r>
      <w:r>
        <w:rPr>
          <w:spacing w:val="-5"/>
        </w:rPr>
        <w:t> </w:t>
      </w:r>
      <w:r>
        <w:rPr/>
        <w:t>adjunct</w:t>
      </w:r>
      <w:r>
        <w:rPr>
          <w:spacing w:val="-5"/>
        </w:rPr>
        <w:t> </w:t>
      </w:r>
      <w:r>
        <w:rPr/>
        <w:t>professor</w:t>
      </w:r>
      <w:r>
        <w:rPr>
          <w:spacing w:val="-4"/>
        </w:rPr>
        <w:t> </w:t>
      </w:r>
      <w:r>
        <w:rPr/>
        <w:t>in</w:t>
      </w:r>
      <w:r>
        <w:rPr>
          <w:spacing w:val="-3"/>
        </w:rPr>
        <w:t> </w:t>
      </w:r>
      <w:r>
        <w:rPr/>
        <w:t>design</w:t>
      </w:r>
      <w:r>
        <w:rPr>
          <w:spacing w:val="-5"/>
        </w:rPr>
        <w:t> </w:t>
      </w:r>
      <w:r>
        <w:rPr/>
        <w:t>and</w:t>
      </w:r>
      <w:r>
        <w:rPr>
          <w:spacing w:val="-5"/>
        </w:rPr>
        <w:t> </w:t>
      </w:r>
      <w:r>
        <w:rPr/>
        <w:t>theory:</w:t>
      </w:r>
      <w:r>
        <w:rPr>
          <w:spacing w:val="-3"/>
        </w:rPr>
        <w:t> </w:t>
      </w:r>
      <w:r>
        <w:rPr/>
        <w:t>1967- 1968; 1977-1988.</w:t>
      </w:r>
    </w:p>
    <w:p>
      <w:pPr>
        <w:pStyle w:val="BodyText"/>
        <w:spacing w:before="4"/>
        <w:rPr>
          <w:sz w:val="17"/>
        </w:rPr>
      </w:pPr>
    </w:p>
    <w:p>
      <w:pPr>
        <w:spacing w:before="0"/>
        <w:ind w:left="439" w:right="0" w:firstLine="0"/>
        <w:jc w:val="left"/>
        <w:rPr>
          <w:b/>
          <w:sz w:val="20"/>
        </w:rPr>
      </w:pPr>
      <w:r>
        <w:rPr>
          <w:b/>
          <w:spacing w:val="-2"/>
          <w:sz w:val="20"/>
        </w:rPr>
        <w:t>Professional</w:t>
      </w:r>
      <w:r>
        <w:rPr>
          <w:b/>
          <w:spacing w:val="7"/>
          <w:sz w:val="20"/>
        </w:rPr>
        <w:t> </w:t>
      </w:r>
      <w:r>
        <w:rPr>
          <w:b/>
          <w:spacing w:val="-2"/>
          <w:sz w:val="20"/>
        </w:rPr>
        <w:t>Experience</w:t>
      </w:r>
    </w:p>
    <w:p>
      <w:pPr>
        <w:pStyle w:val="BodyText"/>
        <w:ind w:left="1159" w:right="642"/>
      </w:pPr>
      <w:r>
        <w:rPr/>
        <w:t>Owner,</w:t>
      </w:r>
      <w:r>
        <w:rPr>
          <w:spacing w:val="-5"/>
        </w:rPr>
        <w:t> </w:t>
      </w:r>
      <w:r>
        <w:rPr/>
        <w:t>Urban</w:t>
      </w:r>
      <w:r>
        <w:rPr>
          <w:spacing w:val="-5"/>
        </w:rPr>
        <w:t> </w:t>
      </w:r>
      <w:r>
        <w:rPr/>
        <w:t>Design</w:t>
      </w:r>
      <w:r>
        <w:rPr>
          <w:spacing w:val="-3"/>
        </w:rPr>
        <w:t> </w:t>
      </w:r>
      <w:r>
        <w:rPr/>
        <w:t>Associates,</w:t>
      </w:r>
      <w:r>
        <w:rPr>
          <w:spacing w:val="-3"/>
        </w:rPr>
        <w:t> </w:t>
      </w:r>
      <w:r>
        <w:rPr/>
        <w:t>Principal</w:t>
      </w:r>
      <w:r>
        <w:rPr>
          <w:spacing w:val="-6"/>
        </w:rPr>
        <w:t> </w:t>
      </w:r>
      <w:r>
        <w:rPr/>
        <w:t>Emeritus</w:t>
      </w:r>
      <w:r>
        <w:rPr>
          <w:spacing w:val="-4"/>
        </w:rPr>
        <w:t> </w:t>
      </w:r>
      <w:r>
        <w:rPr/>
        <w:t>and</w:t>
      </w:r>
      <w:r>
        <w:rPr>
          <w:spacing w:val="-5"/>
        </w:rPr>
        <w:t> </w:t>
      </w:r>
      <w:r>
        <w:rPr/>
        <w:t>Senior</w:t>
      </w:r>
      <w:r>
        <w:rPr>
          <w:spacing w:val="-4"/>
        </w:rPr>
        <w:t> </w:t>
      </w:r>
      <w:r>
        <w:rPr/>
        <w:t>Consultant,</w:t>
      </w:r>
      <w:r>
        <w:rPr>
          <w:spacing w:val="-3"/>
        </w:rPr>
        <w:t> </w:t>
      </w:r>
      <w:r>
        <w:rPr/>
        <w:t>2007</w:t>
      </w:r>
      <w:r>
        <w:rPr>
          <w:spacing w:val="-3"/>
        </w:rPr>
        <w:t> </w:t>
      </w:r>
      <w:r>
        <w:rPr/>
        <w:t>–</w:t>
      </w:r>
      <w:r>
        <w:rPr>
          <w:spacing w:val="-4"/>
        </w:rPr>
        <w:t> </w:t>
      </w:r>
      <w:r>
        <w:rPr/>
        <w:t>present Urban Design Associates, Chairman, 1988 – 2007</w:t>
      </w:r>
    </w:p>
    <w:p>
      <w:pPr>
        <w:pStyle w:val="BodyText"/>
        <w:spacing w:line="229" w:lineRule="exact" w:before="1"/>
        <w:ind w:left="1159"/>
      </w:pPr>
      <w:r>
        <w:rPr/>
        <w:t>Urban</w:t>
      </w:r>
      <w:r>
        <w:rPr>
          <w:spacing w:val="-11"/>
        </w:rPr>
        <w:t> </w:t>
      </w:r>
      <w:r>
        <w:rPr/>
        <w:t>Design</w:t>
      </w:r>
      <w:r>
        <w:rPr>
          <w:spacing w:val="-10"/>
        </w:rPr>
        <w:t> </w:t>
      </w:r>
      <w:r>
        <w:rPr/>
        <w:t>Associates,</w:t>
      </w:r>
      <w:r>
        <w:rPr>
          <w:spacing w:val="-7"/>
        </w:rPr>
        <w:t> </w:t>
      </w:r>
      <w:r>
        <w:rPr/>
        <w:t>Co-founder</w:t>
      </w:r>
      <w:r>
        <w:rPr>
          <w:spacing w:val="-10"/>
        </w:rPr>
        <w:t> </w:t>
      </w:r>
      <w:r>
        <w:rPr/>
        <w:t>and</w:t>
      </w:r>
      <w:r>
        <w:rPr>
          <w:spacing w:val="-8"/>
        </w:rPr>
        <w:t> </w:t>
      </w:r>
      <w:r>
        <w:rPr/>
        <w:t>Managing</w:t>
      </w:r>
      <w:r>
        <w:rPr>
          <w:spacing w:val="-9"/>
        </w:rPr>
        <w:t> </w:t>
      </w:r>
      <w:r>
        <w:rPr/>
        <w:t>Principal,</w:t>
      </w:r>
      <w:r>
        <w:rPr>
          <w:spacing w:val="-10"/>
        </w:rPr>
        <w:t> </w:t>
      </w:r>
      <w:r>
        <w:rPr/>
        <w:t>1964-</w:t>
      </w:r>
      <w:r>
        <w:rPr>
          <w:spacing w:val="-4"/>
        </w:rPr>
        <w:t>1987</w:t>
      </w:r>
    </w:p>
    <w:p>
      <w:pPr>
        <w:pStyle w:val="BodyText"/>
        <w:ind w:left="1158" w:right="642"/>
      </w:pPr>
      <w:r>
        <w:rPr/>
        <w:t>The nearly 1,000 Projects conducted under Ray Gindroz’s direction ranged from individual building</w:t>
      </w:r>
      <w:r>
        <w:rPr>
          <w:spacing w:val="-3"/>
        </w:rPr>
        <w:t> </w:t>
      </w:r>
      <w:r>
        <w:rPr/>
        <w:t>designs,</w:t>
      </w:r>
      <w:r>
        <w:rPr>
          <w:spacing w:val="-5"/>
        </w:rPr>
        <w:t> </w:t>
      </w:r>
      <w:r>
        <w:rPr/>
        <w:t>to</w:t>
      </w:r>
      <w:r>
        <w:rPr>
          <w:spacing w:val="-5"/>
        </w:rPr>
        <w:t> </w:t>
      </w:r>
      <w:r>
        <w:rPr/>
        <w:t>neighborhood</w:t>
      </w:r>
      <w:r>
        <w:rPr>
          <w:spacing w:val="-5"/>
        </w:rPr>
        <w:t> </w:t>
      </w:r>
      <w:r>
        <w:rPr/>
        <w:t>and</w:t>
      </w:r>
      <w:r>
        <w:rPr>
          <w:spacing w:val="-5"/>
        </w:rPr>
        <w:t> </w:t>
      </w:r>
      <w:r>
        <w:rPr/>
        <w:t>Downtown</w:t>
      </w:r>
      <w:r>
        <w:rPr>
          <w:spacing w:val="-3"/>
        </w:rPr>
        <w:t> </w:t>
      </w:r>
      <w:r>
        <w:rPr/>
        <w:t>Master</w:t>
      </w:r>
      <w:r>
        <w:rPr>
          <w:spacing w:val="-4"/>
        </w:rPr>
        <w:t> </w:t>
      </w:r>
      <w:r>
        <w:rPr/>
        <w:t>Plans,</w:t>
      </w:r>
      <w:r>
        <w:rPr>
          <w:spacing w:val="-5"/>
        </w:rPr>
        <w:t> </w:t>
      </w:r>
      <w:r>
        <w:rPr/>
        <w:t>Regional</w:t>
      </w:r>
      <w:r>
        <w:rPr>
          <w:spacing w:val="-4"/>
        </w:rPr>
        <w:t> </w:t>
      </w:r>
      <w:r>
        <w:rPr/>
        <w:t>Visions,</w:t>
      </w:r>
      <w:r>
        <w:rPr>
          <w:spacing w:val="-3"/>
        </w:rPr>
        <w:t> </w:t>
      </w:r>
      <w:r>
        <w:rPr/>
        <w:t>Pattern</w:t>
      </w:r>
      <w:r>
        <w:rPr>
          <w:spacing w:val="-3"/>
        </w:rPr>
        <w:t> </w:t>
      </w:r>
      <w:r>
        <w:rPr/>
        <w:t>Books, Design Guidelines and Campus Master Plans.</w:t>
      </w:r>
    </w:p>
    <w:p>
      <w:pPr>
        <w:pStyle w:val="BodyText"/>
        <w:spacing w:before="4"/>
        <w:rPr>
          <w:sz w:val="17"/>
        </w:rPr>
      </w:pPr>
    </w:p>
    <w:p>
      <w:pPr>
        <w:spacing w:before="0"/>
        <w:ind w:left="438" w:right="0" w:firstLine="0"/>
        <w:jc w:val="left"/>
        <w:rPr>
          <w:b/>
          <w:sz w:val="20"/>
        </w:rPr>
      </w:pPr>
      <w:r>
        <w:rPr>
          <w:b/>
          <w:sz w:val="20"/>
        </w:rPr>
        <w:t>Licenses</w:t>
      </w:r>
      <w:r>
        <w:rPr>
          <w:b/>
          <w:spacing w:val="-7"/>
          <w:sz w:val="20"/>
        </w:rPr>
        <w:t> </w:t>
      </w:r>
      <w:r>
        <w:rPr>
          <w:b/>
          <w:sz w:val="20"/>
        </w:rPr>
        <w:t>/</w:t>
      </w:r>
      <w:r>
        <w:rPr>
          <w:b/>
          <w:spacing w:val="-7"/>
          <w:sz w:val="20"/>
        </w:rPr>
        <w:t> </w:t>
      </w:r>
      <w:r>
        <w:rPr>
          <w:b/>
          <w:spacing w:val="-2"/>
          <w:sz w:val="20"/>
        </w:rPr>
        <w:t>Registrations:</w:t>
      </w:r>
    </w:p>
    <w:p>
      <w:pPr>
        <w:pStyle w:val="BodyText"/>
        <w:spacing w:before="1"/>
        <w:ind w:left="1158"/>
      </w:pPr>
      <w:r>
        <w:rPr/>
        <w:t>Pennsylvania,</w:t>
      </w:r>
      <w:r>
        <w:rPr>
          <w:spacing w:val="-14"/>
        </w:rPr>
        <w:t> </w:t>
      </w:r>
      <w:r>
        <w:rPr>
          <w:spacing w:val="-2"/>
        </w:rPr>
        <w:t>Virgnia</w:t>
      </w:r>
    </w:p>
    <w:p>
      <w:pPr>
        <w:pStyle w:val="BodyText"/>
        <w:spacing w:before="4"/>
        <w:rPr>
          <w:sz w:val="17"/>
        </w:rPr>
      </w:pPr>
    </w:p>
    <w:p>
      <w:pPr>
        <w:spacing w:before="0"/>
        <w:ind w:left="439" w:right="0" w:firstLine="0"/>
        <w:jc w:val="left"/>
        <w:rPr>
          <w:b/>
          <w:sz w:val="20"/>
        </w:rPr>
      </w:pPr>
      <w:r>
        <w:rPr>
          <w:b/>
          <w:spacing w:val="-2"/>
          <w:sz w:val="20"/>
        </w:rPr>
        <w:t>Professional</w:t>
      </w:r>
      <w:r>
        <w:rPr>
          <w:b/>
          <w:spacing w:val="5"/>
          <w:sz w:val="20"/>
        </w:rPr>
        <w:t> </w:t>
      </w:r>
      <w:r>
        <w:rPr>
          <w:b/>
          <w:spacing w:val="-2"/>
          <w:sz w:val="20"/>
        </w:rPr>
        <w:t>Memberships:</w:t>
      </w:r>
    </w:p>
    <w:p>
      <w:pPr>
        <w:pStyle w:val="BodyText"/>
        <w:spacing w:before="1"/>
        <w:ind w:left="1158" w:right="642"/>
      </w:pPr>
      <w:r>
        <w:rPr/>
        <w:t>American</w:t>
      </w:r>
      <w:r>
        <w:rPr>
          <w:spacing w:val="-4"/>
        </w:rPr>
        <w:t> </w:t>
      </w:r>
      <w:r>
        <w:rPr/>
        <w:t>Institute</w:t>
      </w:r>
      <w:r>
        <w:rPr>
          <w:spacing w:val="-2"/>
        </w:rPr>
        <w:t> </w:t>
      </w:r>
      <w:r>
        <w:rPr/>
        <w:t>of</w:t>
      </w:r>
      <w:r>
        <w:rPr>
          <w:spacing w:val="-2"/>
        </w:rPr>
        <w:t> </w:t>
      </w:r>
      <w:r>
        <w:rPr/>
        <w:t>Architects:</w:t>
      </w:r>
      <w:r>
        <w:rPr>
          <w:spacing w:val="-4"/>
        </w:rPr>
        <w:t> </w:t>
      </w:r>
      <w:r>
        <w:rPr/>
        <w:t>Fellow</w:t>
      </w:r>
      <w:r>
        <w:rPr>
          <w:spacing w:val="-6"/>
        </w:rPr>
        <w:t> </w:t>
      </w:r>
      <w:r>
        <w:rPr/>
        <w:t>and</w:t>
      </w:r>
      <w:r>
        <w:rPr>
          <w:spacing w:val="-4"/>
        </w:rPr>
        <w:t> </w:t>
      </w:r>
      <w:r>
        <w:rPr/>
        <w:t>Former</w:t>
      </w:r>
      <w:r>
        <w:rPr>
          <w:spacing w:val="-3"/>
        </w:rPr>
        <w:t> </w:t>
      </w:r>
      <w:r>
        <w:rPr/>
        <w:t>Chair</w:t>
      </w:r>
      <w:r>
        <w:rPr>
          <w:spacing w:val="-3"/>
        </w:rPr>
        <w:t> </w:t>
      </w:r>
      <w:r>
        <w:rPr/>
        <w:t>of</w:t>
      </w:r>
      <w:r>
        <w:rPr>
          <w:spacing w:val="-2"/>
        </w:rPr>
        <w:t> </w:t>
      </w:r>
      <w:r>
        <w:rPr/>
        <w:t>the</w:t>
      </w:r>
      <w:r>
        <w:rPr>
          <w:spacing w:val="-4"/>
        </w:rPr>
        <w:t> </w:t>
      </w:r>
      <w:r>
        <w:rPr/>
        <w:t>National</w:t>
      </w:r>
      <w:r>
        <w:rPr>
          <w:spacing w:val="-5"/>
        </w:rPr>
        <w:t> </w:t>
      </w:r>
      <w:r>
        <w:rPr/>
        <w:t>Committee</w:t>
      </w:r>
      <w:r>
        <w:rPr>
          <w:spacing w:val="-4"/>
        </w:rPr>
        <w:t> </w:t>
      </w:r>
      <w:r>
        <w:rPr/>
        <w:t>on</w:t>
      </w:r>
      <w:r>
        <w:rPr>
          <w:spacing w:val="-4"/>
        </w:rPr>
        <w:t> </w:t>
      </w:r>
      <w:r>
        <w:rPr/>
        <w:t>Design Congress For The New Urbanism: Chair of the Board of Directors, 2008-2010,</w:t>
      </w:r>
    </w:p>
    <w:p>
      <w:pPr>
        <w:pStyle w:val="BodyText"/>
        <w:spacing w:before="4"/>
        <w:rPr>
          <w:sz w:val="17"/>
        </w:rPr>
      </w:pPr>
    </w:p>
    <w:p>
      <w:pPr>
        <w:spacing w:before="0"/>
        <w:ind w:left="438" w:right="0" w:firstLine="0"/>
        <w:jc w:val="left"/>
        <w:rPr>
          <w:b/>
          <w:sz w:val="20"/>
        </w:rPr>
      </w:pPr>
      <w:r>
        <w:rPr>
          <w:b/>
          <w:sz w:val="20"/>
        </w:rPr>
        <w:t>Professional</w:t>
      </w:r>
      <w:r>
        <w:rPr>
          <w:b/>
          <w:spacing w:val="-8"/>
          <w:sz w:val="20"/>
        </w:rPr>
        <w:t> </w:t>
      </w:r>
      <w:r>
        <w:rPr>
          <w:b/>
          <w:sz w:val="20"/>
        </w:rPr>
        <w:t>Development</w:t>
      </w:r>
      <w:r>
        <w:rPr>
          <w:b/>
          <w:spacing w:val="-9"/>
          <w:sz w:val="20"/>
        </w:rPr>
        <w:t> </w:t>
      </w:r>
      <w:r>
        <w:rPr>
          <w:b/>
          <w:sz w:val="20"/>
        </w:rPr>
        <w:t>&amp;</w:t>
      </w:r>
      <w:r>
        <w:rPr>
          <w:b/>
          <w:spacing w:val="-10"/>
          <w:sz w:val="20"/>
        </w:rPr>
        <w:t> </w:t>
      </w:r>
      <w:r>
        <w:rPr>
          <w:b/>
          <w:sz w:val="20"/>
        </w:rPr>
        <w:t>Research</w:t>
      </w:r>
      <w:r>
        <w:rPr>
          <w:b/>
          <w:spacing w:val="-8"/>
          <w:sz w:val="20"/>
        </w:rPr>
        <w:t> </w:t>
      </w:r>
      <w:r>
        <w:rPr>
          <w:b/>
          <w:sz w:val="20"/>
        </w:rPr>
        <w:t>(include</w:t>
      </w:r>
      <w:r>
        <w:rPr>
          <w:b/>
          <w:spacing w:val="-9"/>
          <w:sz w:val="20"/>
        </w:rPr>
        <w:t> </w:t>
      </w:r>
      <w:r>
        <w:rPr>
          <w:b/>
          <w:sz w:val="20"/>
        </w:rPr>
        <w:t>the</w:t>
      </w:r>
      <w:r>
        <w:rPr>
          <w:b/>
          <w:spacing w:val="-8"/>
          <w:sz w:val="20"/>
        </w:rPr>
        <w:t> </w:t>
      </w:r>
      <w:r>
        <w:rPr>
          <w:b/>
          <w:sz w:val="20"/>
        </w:rPr>
        <w:t>following</w:t>
      </w:r>
      <w:r>
        <w:rPr>
          <w:b/>
          <w:spacing w:val="-9"/>
          <w:sz w:val="20"/>
        </w:rPr>
        <w:t> </w:t>
      </w:r>
      <w:r>
        <w:rPr>
          <w:b/>
          <w:spacing w:val="-2"/>
          <w:sz w:val="20"/>
        </w:rPr>
        <w:t>books)</w:t>
      </w:r>
    </w:p>
    <w:p>
      <w:pPr>
        <w:pStyle w:val="BodyText"/>
        <w:spacing w:before="1"/>
        <w:ind w:left="1158" w:right="1770"/>
      </w:pPr>
      <w:r>
        <w:rPr/>
        <w:t>The</w:t>
      </w:r>
      <w:r>
        <w:rPr>
          <w:spacing w:val="-5"/>
        </w:rPr>
        <w:t> </w:t>
      </w:r>
      <w:r>
        <w:rPr/>
        <w:t>Place</w:t>
      </w:r>
      <w:r>
        <w:rPr>
          <w:spacing w:val="-3"/>
        </w:rPr>
        <w:t> </w:t>
      </w:r>
      <w:r>
        <w:rPr/>
        <w:t>of</w:t>
      </w:r>
      <w:r>
        <w:rPr>
          <w:spacing w:val="-3"/>
        </w:rPr>
        <w:t> </w:t>
      </w:r>
      <w:r>
        <w:rPr/>
        <w:t>Dwelling:</w:t>
      </w:r>
      <w:r>
        <w:rPr>
          <w:spacing w:val="-3"/>
        </w:rPr>
        <w:t> </w:t>
      </w:r>
      <w:r>
        <w:rPr/>
        <w:t>Princes</w:t>
      </w:r>
      <w:r>
        <w:rPr>
          <w:spacing w:val="-4"/>
        </w:rPr>
        <w:t> </w:t>
      </w:r>
      <w:r>
        <w:rPr/>
        <w:t>Foundation</w:t>
      </w:r>
      <w:r>
        <w:rPr>
          <w:spacing w:val="-5"/>
        </w:rPr>
        <w:t> </w:t>
      </w:r>
      <w:r>
        <w:rPr/>
        <w:t>for</w:t>
      </w:r>
      <w:r>
        <w:rPr>
          <w:spacing w:val="-4"/>
        </w:rPr>
        <w:t> </w:t>
      </w:r>
      <w:r>
        <w:rPr/>
        <w:t>the</w:t>
      </w:r>
      <w:r>
        <w:rPr>
          <w:spacing w:val="-3"/>
        </w:rPr>
        <w:t> </w:t>
      </w:r>
      <w:r>
        <w:rPr/>
        <w:t>Built</w:t>
      </w:r>
      <w:r>
        <w:rPr>
          <w:spacing w:val="-3"/>
        </w:rPr>
        <w:t> </w:t>
      </w:r>
      <w:r>
        <w:rPr/>
        <w:t>Environment,</w:t>
      </w:r>
      <w:r>
        <w:rPr>
          <w:spacing w:val="-5"/>
        </w:rPr>
        <w:t> </w:t>
      </w:r>
      <w:r>
        <w:rPr/>
        <w:t>London:</w:t>
      </w:r>
      <w:r>
        <w:rPr>
          <w:spacing w:val="-5"/>
        </w:rPr>
        <w:t> </w:t>
      </w:r>
      <w:r>
        <w:rPr/>
        <w:t>2008 The Architectural Pattern Book, W.W. Norton &amp; Company, 2004</w:t>
      </w:r>
    </w:p>
    <w:p>
      <w:pPr>
        <w:pStyle w:val="BodyText"/>
        <w:spacing w:line="229" w:lineRule="exact"/>
        <w:ind w:left="1158"/>
      </w:pPr>
      <w:r>
        <w:rPr/>
        <w:t>The</w:t>
      </w:r>
      <w:r>
        <w:rPr>
          <w:spacing w:val="-6"/>
        </w:rPr>
        <w:t> </w:t>
      </w:r>
      <w:r>
        <w:rPr/>
        <w:t>Urban</w:t>
      </w:r>
      <w:r>
        <w:rPr>
          <w:spacing w:val="-6"/>
        </w:rPr>
        <w:t> </w:t>
      </w:r>
      <w:r>
        <w:rPr/>
        <w:t>Design</w:t>
      </w:r>
      <w:r>
        <w:rPr>
          <w:spacing w:val="-4"/>
        </w:rPr>
        <w:t> </w:t>
      </w:r>
      <w:r>
        <w:rPr/>
        <w:t>Handbook,</w:t>
      </w:r>
      <w:r>
        <w:rPr>
          <w:spacing w:val="-10"/>
        </w:rPr>
        <w:t> </w:t>
      </w:r>
      <w:r>
        <w:rPr/>
        <w:t>W.W.</w:t>
      </w:r>
      <w:r>
        <w:rPr>
          <w:spacing w:val="-8"/>
        </w:rPr>
        <w:t> </w:t>
      </w:r>
      <w:r>
        <w:rPr/>
        <w:t>Norton</w:t>
      </w:r>
      <w:r>
        <w:rPr>
          <w:spacing w:val="-6"/>
        </w:rPr>
        <w:t> </w:t>
      </w:r>
      <w:r>
        <w:rPr/>
        <w:t>&amp;</w:t>
      </w:r>
      <w:r>
        <w:rPr>
          <w:spacing w:val="-7"/>
        </w:rPr>
        <w:t> </w:t>
      </w:r>
      <w:r>
        <w:rPr/>
        <w:t>Company,</w:t>
      </w:r>
      <w:r>
        <w:rPr>
          <w:spacing w:val="-4"/>
        </w:rPr>
        <w:t> </w:t>
      </w:r>
      <w:r>
        <w:rPr/>
        <w:t>2003;</w:t>
      </w:r>
      <w:r>
        <w:rPr>
          <w:spacing w:val="-5"/>
        </w:rPr>
        <w:t> </w:t>
      </w:r>
      <w:r>
        <w:rPr/>
        <w:t>second</w:t>
      </w:r>
      <w:r>
        <w:rPr>
          <w:spacing w:val="-6"/>
        </w:rPr>
        <w:t> </w:t>
      </w:r>
      <w:r>
        <w:rPr/>
        <w:t>edition</w:t>
      </w:r>
      <w:r>
        <w:rPr>
          <w:spacing w:val="-6"/>
        </w:rPr>
        <w:t> </w:t>
      </w:r>
      <w:r>
        <w:rPr>
          <w:spacing w:val="-4"/>
        </w:rPr>
        <w:t>2013</w:t>
      </w:r>
    </w:p>
    <w:p>
      <w:pPr>
        <w:spacing w:after="0" w:line="229" w:lineRule="exact"/>
        <w:sectPr>
          <w:headerReference w:type="default" r:id="rId257"/>
          <w:footerReference w:type="default" r:id="rId258"/>
          <w:pgSz w:w="12240" w:h="15840"/>
          <w:pgMar w:header="0" w:footer="974" w:top="920" w:bottom="1160" w:left="1000" w:right="820"/>
        </w:sectPr>
      </w:pPr>
    </w:p>
    <w:p>
      <w:pPr>
        <w:spacing w:before="63"/>
        <w:ind w:left="440" w:right="0" w:firstLine="0"/>
        <w:jc w:val="left"/>
        <w:rPr>
          <w:b/>
          <w:sz w:val="20"/>
        </w:rPr>
      </w:pPr>
      <w:r>
        <w:rPr>
          <w:b/>
          <w:sz w:val="20"/>
        </w:rPr>
        <w:t>Henderson,</w:t>
      </w:r>
      <w:r>
        <w:rPr>
          <w:b/>
          <w:spacing w:val="-10"/>
          <w:sz w:val="20"/>
        </w:rPr>
        <w:t> </w:t>
      </w:r>
      <w:r>
        <w:rPr>
          <w:b/>
          <w:sz w:val="20"/>
        </w:rPr>
        <w:t>Darryl,</w:t>
      </w:r>
      <w:r>
        <w:rPr>
          <w:b/>
          <w:spacing w:val="-8"/>
          <w:sz w:val="20"/>
        </w:rPr>
        <w:t> </w:t>
      </w:r>
      <w:r>
        <w:rPr>
          <w:b/>
          <w:sz w:val="20"/>
        </w:rPr>
        <w:t>Assistant</w:t>
      </w:r>
      <w:r>
        <w:rPr>
          <w:b/>
          <w:spacing w:val="-11"/>
          <w:sz w:val="20"/>
        </w:rPr>
        <w:t> </w:t>
      </w:r>
      <w:r>
        <w:rPr>
          <w:b/>
          <w:spacing w:val="-2"/>
          <w:sz w:val="20"/>
        </w:rPr>
        <w:t>Professor</w:t>
      </w:r>
    </w:p>
    <w:p>
      <w:pPr>
        <w:pStyle w:val="BodyText"/>
        <w:spacing w:before="7"/>
        <w:rPr>
          <w:b/>
          <w:sz w:val="17"/>
        </w:rPr>
      </w:pPr>
    </w:p>
    <w:p>
      <w:pPr>
        <w:spacing w:before="0"/>
        <w:ind w:left="440" w:right="0" w:firstLine="0"/>
        <w:jc w:val="left"/>
        <w:rPr>
          <w:b/>
          <w:sz w:val="20"/>
        </w:rPr>
      </w:pPr>
      <w:r>
        <w:rPr>
          <w:b/>
          <w:sz w:val="20"/>
        </w:rPr>
        <w:t>Courses</w:t>
      </w:r>
      <w:r>
        <w:rPr>
          <w:b/>
          <w:spacing w:val="-7"/>
          <w:sz w:val="20"/>
        </w:rPr>
        <w:t> </w:t>
      </w:r>
      <w:r>
        <w:rPr>
          <w:b/>
          <w:sz w:val="20"/>
        </w:rPr>
        <w:t>Taught</w:t>
      </w:r>
      <w:r>
        <w:rPr>
          <w:b/>
          <w:spacing w:val="-7"/>
          <w:sz w:val="20"/>
        </w:rPr>
        <w:t> </w:t>
      </w:r>
      <w:r>
        <w:rPr>
          <w:b/>
          <w:sz w:val="20"/>
        </w:rPr>
        <w:t>(during</w:t>
      </w:r>
      <w:r>
        <w:rPr>
          <w:b/>
          <w:spacing w:val="-7"/>
          <w:sz w:val="20"/>
        </w:rPr>
        <w:t> </w:t>
      </w:r>
      <w:r>
        <w:rPr>
          <w:b/>
          <w:sz w:val="20"/>
        </w:rPr>
        <w:t>the</w:t>
      </w:r>
      <w:r>
        <w:rPr>
          <w:b/>
          <w:spacing w:val="-8"/>
          <w:sz w:val="20"/>
        </w:rPr>
        <w:t> </w:t>
      </w:r>
      <w:r>
        <w:rPr>
          <w:b/>
          <w:sz w:val="20"/>
        </w:rPr>
        <w:t>past</w:t>
      </w:r>
      <w:r>
        <w:rPr>
          <w:b/>
          <w:spacing w:val="-7"/>
          <w:sz w:val="20"/>
        </w:rPr>
        <w:t> </w:t>
      </w:r>
      <w:r>
        <w:rPr>
          <w:b/>
          <w:sz w:val="20"/>
        </w:rPr>
        <w:t>two</w:t>
      </w:r>
      <w:r>
        <w:rPr>
          <w:b/>
          <w:spacing w:val="-7"/>
          <w:sz w:val="20"/>
        </w:rPr>
        <w:t> </w:t>
      </w:r>
      <w:r>
        <w:rPr>
          <w:b/>
          <w:sz w:val="20"/>
        </w:rPr>
        <w:t>academic</w:t>
      </w:r>
      <w:r>
        <w:rPr>
          <w:b/>
          <w:spacing w:val="-4"/>
          <w:sz w:val="20"/>
        </w:rPr>
        <w:t> </w:t>
      </w:r>
      <w:r>
        <w:rPr>
          <w:b/>
          <w:spacing w:val="-2"/>
          <w:sz w:val="20"/>
        </w:rPr>
        <w:t>years):</w:t>
      </w:r>
    </w:p>
    <w:p>
      <w:pPr>
        <w:pStyle w:val="BodyText"/>
        <w:ind w:left="1160"/>
      </w:pPr>
      <w:r>
        <w:rPr/>
        <w:t>Spring</w:t>
      </w:r>
      <w:r>
        <w:rPr>
          <w:spacing w:val="-7"/>
        </w:rPr>
        <w:t> </w:t>
      </w:r>
      <w:r>
        <w:rPr/>
        <w:t>2013:</w:t>
      </w:r>
      <w:r>
        <w:rPr>
          <w:spacing w:val="-6"/>
        </w:rPr>
        <w:t> </w:t>
      </w:r>
      <w:r>
        <w:rPr/>
        <w:t>ARC</w:t>
      </w:r>
      <w:r>
        <w:rPr>
          <w:spacing w:val="-6"/>
        </w:rPr>
        <w:t> </w:t>
      </w:r>
      <w:r>
        <w:rPr/>
        <w:t>418,</w:t>
      </w:r>
      <w:r>
        <w:rPr>
          <w:spacing w:val="-4"/>
        </w:rPr>
        <w:t> </w:t>
      </w:r>
      <w:r>
        <w:rPr/>
        <w:t>Prof</w:t>
      </w:r>
      <w:r>
        <w:rPr>
          <w:spacing w:val="-4"/>
        </w:rPr>
        <w:t> </w:t>
      </w:r>
      <w:r>
        <w:rPr/>
        <w:t>Practice</w:t>
      </w:r>
      <w:r>
        <w:rPr>
          <w:spacing w:val="-6"/>
        </w:rPr>
        <w:t> </w:t>
      </w:r>
      <w:r>
        <w:rPr>
          <w:spacing w:val="-5"/>
        </w:rPr>
        <w:t>II</w:t>
      </w:r>
    </w:p>
    <w:p>
      <w:pPr>
        <w:pStyle w:val="BodyText"/>
        <w:spacing w:before="1"/>
        <w:ind w:left="1159" w:right="642"/>
      </w:pPr>
      <w:r>
        <w:rPr/>
        <w:t>Fall 2013: ARC 201 – Basic Arch Des I; ARC 430 – Arch Elective (HR Comm Health Ctr. Prog.) Fall</w:t>
      </w:r>
      <w:r>
        <w:rPr>
          <w:spacing w:val="-3"/>
        </w:rPr>
        <w:t> </w:t>
      </w:r>
      <w:r>
        <w:rPr/>
        <w:t>2014:</w:t>
      </w:r>
      <w:r>
        <w:rPr>
          <w:spacing w:val="-2"/>
        </w:rPr>
        <w:t> </w:t>
      </w:r>
      <w:r>
        <w:rPr/>
        <w:t>ARC</w:t>
      </w:r>
      <w:r>
        <w:rPr>
          <w:spacing w:val="-1"/>
        </w:rPr>
        <w:t> </w:t>
      </w:r>
      <w:r>
        <w:rPr/>
        <w:t>201</w:t>
      </w:r>
      <w:r>
        <w:rPr>
          <w:spacing w:val="-2"/>
        </w:rPr>
        <w:t> </w:t>
      </w:r>
      <w:r>
        <w:rPr/>
        <w:t>–</w:t>
      </w:r>
      <w:r>
        <w:rPr>
          <w:spacing w:val="-2"/>
        </w:rPr>
        <w:t> </w:t>
      </w:r>
      <w:r>
        <w:rPr/>
        <w:t>Basic</w:t>
      </w:r>
      <w:r>
        <w:rPr>
          <w:spacing w:val="-3"/>
        </w:rPr>
        <w:t> </w:t>
      </w:r>
      <w:r>
        <w:rPr/>
        <w:t>Arch</w:t>
      </w:r>
      <w:r>
        <w:rPr>
          <w:spacing w:val="-4"/>
        </w:rPr>
        <w:t> </w:t>
      </w:r>
      <w:r>
        <w:rPr/>
        <w:t>Des</w:t>
      </w:r>
      <w:r>
        <w:rPr>
          <w:spacing w:val="-3"/>
        </w:rPr>
        <w:t> </w:t>
      </w:r>
      <w:r>
        <w:rPr/>
        <w:t>I;</w:t>
      </w:r>
      <w:r>
        <w:rPr>
          <w:spacing w:val="-2"/>
        </w:rPr>
        <w:t> </w:t>
      </w:r>
      <w:r>
        <w:rPr/>
        <w:t>ARC</w:t>
      </w:r>
      <w:r>
        <w:rPr>
          <w:spacing w:val="-1"/>
        </w:rPr>
        <w:t> </w:t>
      </w:r>
      <w:r>
        <w:rPr/>
        <w:t>517</w:t>
      </w:r>
      <w:r>
        <w:rPr>
          <w:spacing w:val="-1"/>
        </w:rPr>
        <w:t> </w:t>
      </w:r>
      <w:r>
        <w:rPr/>
        <w:t>–</w:t>
      </w:r>
      <w:r>
        <w:rPr>
          <w:spacing w:val="-2"/>
        </w:rPr>
        <w:t> </w:t>
      </w:r>
      <w:r>
        <w:rPr/>
        <w:t>Professional</w:t>
      </w:r>
      <w:r>
        <w:rPr>
          <w:spacing w:val="-3"/>
        </w:rPr>
        <w:t> </w:t>
      </w:r>
      <w:r>
        <w:rPr/>
        <w:t>Practice</w:t>
      </w:r>
      <w:r>
        <w:rPr>
          <w:spacing w:val="-2"/>
        </w:rPr>
        <w:t> </w:t>
      </w:r>
      <w:r>
        <w:rPr/>
        <w:t>Rdng</w:t>
      </w:r>
      <w:r>
        <w:rPr>
          <w:spacing w:val="-2"/>
        </w:rPr>
        <w:t> </w:t>
      </w:r>
      <w:r>
        <w:rPr/>
        <w:t>Arc</w:t>
      </w:r>
      <w:r>
        <w:rPr>
          <w:spacing w:val="-3"/>
        </w:rPr>
        <w:t> </w:t>
      </w:r>
      <w:r>
        <w:rPr/>
        <w:t>I;</w:t>
      </w:r>
      <w:r>
        <w:rPr>
          <w:spacing w:val="-4"/>
        </w:rPr>
        <w:t> </w:t>
      </w:r>
      <w:r>
        <w:rPr/>
        <w:t>ARC</w:t>
      </w:r>
      <w:r>
        <w:rPr>
          <w:spacing w:val="-1"/>
        </w:rPr>
        <w:t> </w:t>
      </w:r>
      <w:r>
        <w:rPr/>
        <w:t>430</w:t>
      </w:r>
      <w:r>
        <w:rPr>
          <w:spacing w:val="-1"/>
        </w:rPr>
        <w:t> </w:t>
      </w:r>
      <w:r>
        <w:rPr/>
        <w:t>– Arch Elective (Hampton Roads Comm Hea Ctr Prog.)</w:t>
      </w:r>
    </w:p>
    <w:p>
      <w:pPr>
        <w:pStyle w:val="BodyText"/>
        <w:ind w:left="1159" w:right="712"/>
      </w:pPr>
      <w:r>
        <w:rPr/>
        <w:t>Spring</w:t>
      </w:r>
      <w:r>
        <w:rPr>
          <w:spacing w:val="-3"/>
        </w:rPr>
        <w:t> </w:t>
      </w:r>
      <w:r>
        <w:rPr/>
        <w:t>2014:</w:t>
      </w:r>
      <w:r>
        <w:rPr>
          <w:spacing w:val="-3"/>
        </w:rPr>
        <w:t> </w:t>
      </w:r>
      <w:r>
        <w:rPr/>
        <w:t>ARC</w:t>
      </w:r>
      <w:r>
        <w:rPr>
          <w:spacing w:val="-3"/>
        </w:rPr>
        <w:t> </w:t>
      </w:r>
      <w:r>
        <w:rPr/>
        <w:t>202</w:t>
      </w:r>
      <w:r>
        <w:rPr>
          <w:spacing w:val="-3"/>
        </w:rPr>
        <w:t> </w:t>
      </w:r>
      <w:r>
        <w:rPr/>
        <w:t>–</w:t>
      </w:r>
      <w:r>
        <w:rPr>
          <w:spacing w:val="-1"/>
        </w:rPr>
        <w:t> </w:t>
      </w:r>
      <w:r>
        <w:rPr/>
        <w:t>Basic</w:t>
      </w:r>
      <w:r>
        <w:rPr>
          <w:spacing w:val="-2"/>
        </w:rPr>
        <w:t> </w:t>
      </w:r>
      <w:r>
        <w:rPr/>
        <w:t>Arch</w:t>
      </w:r>
      <w:r>
        <w:rPr>
          <w:spacing w:val="-3"/>
        </w:rPr>
        <w:t> </w:t>
      </w:r>
      <w:r>
        <w:rPr/>
        <w:t>Des</w:t>
      </w:r>
      <w:r>
        <w:rPr>
          <w:spacing w:val="-2"/>
        </w:rPr>
        <w:t> </w:t>
      </w:r>
      <w:r>
        <w:rPr/>
        <w:t>II;</w:t>
      </w:r>
      <w:r>
        <w:rPr>
          <w:spacing w:val="-3"/>
        </w:rPr>
        <w:t> </w:t>
      </w:r>
      <w:r>
        <w:rPr/>
        <w:t>ARC</w:t>
      </w:r>
      <w:r>
        <w:rPr>
          <w:spacing w:val="-3"/>
        </w:rPr>
        <w:t> </w:t>
      </w:r>
      <w:r>
        <w:rPr/>
        <w:t>213</w:t>
      </w:r>
      <w:r>
        <w:rPr>
          <w:spacing w:val="-1"/>
        </w:rPr>
        <w:t> </w:t>
      </w:r>
      <w:r>
        <w:rPr/>
        <w:t>–</w:t>
      </w:r>
      <w:r>
        <w:rPr>
          <w:spacing w:val="-3"/>
        </w:rPr>
        <w:t> </w:t>
      </w:r>
      <w:r>
        <w:rPr/>
        <w:t>Intro</w:t>
      </w:r>
      <w:r>
        <w:rPr>
          <w:spacing w:val="-1"/>
        </w:rPr>
        <w:t> </w:t>
      </w:r>
      <w:r>
        <w:rPr/>
        <w:t>to</w:t>
      </w:r>
      <w:r>
        <w:rPr>
          <w:spacing w:val="-1"/>
        </w:rPr>
        <w:t> </w:t>
      </w:r>
      <w:r>
        <w:rPr/>
        <w:t>Bldg</w:t>
      </w:r>
      <w:r>
        <w:rPr>
          <w:spacing w:val="-1"/>
        </w:rPr>
        <w:t> </w:t>
      </w:r>
      <w:r>
        <w:rPr/>
        <w:t>Sci;</w:t>
      </w:r>
      <w:r>
        <w:rPr>
          <w:spacing w:val="-1"/>
        </w:rPr>
        <w:t> </w:t>
      </w:r>
      <w:r>
        <w:rPr/>
        <w:t>ARC</w:t>
      </w:r>
      <w:r>
        <w:rPr>
          <w:spacing w:val="-1"/>
        </w:rPr>
        <w:t> </w:t>
      </w:r>
      <w:r>
        <w:rPr/>
        <w:t>406</w:t>
      </w:r>
      <w:r>
        <w:rPr>
          <w:spacing w:val="-3"/>
        </w:rPr>
        <w:t> </w:t>
      </w:r>
      <w:r>
        <w:rPr/>
        <w:t>–</w:t>
      </w:r>
      <w:r>
        <w:rPr>
          <w:spacing w:val="-1"/>
        </w:rPr>
        <w:t> </w:t>
      </w:r>
      <w:r>
        <w:rPr/>
        <w:t>Adv</w:t>
      </w:r>
      <w:r>
        <w:rPr>
          <w:spacing w:val="-4"/>
        </w:rPr>
        <w:t> </w:t>
      </w:r>
      <w:r>
        <w:rPr/>
        <w:t>Arch Des II</w:t>
      </w:r>
    </w:p>
    <w:p>
      <w:pPr>
        <w:pStyle w:val="BodyText"/>
        <w:spacing w:before="3"/>
        <w:rPr>
          <w:sz w:val="17"/>
        </w:rPr>
      </w:pPr>
    </w:p>
    <w:p>
      <w:pPr>
        <w:spacing w:before="1"/>
        <w:ind w:left="439" w:right="0" w:firstLine="0"/>
        <w:jc w:val="left"/>
        <w:rPr>
          <w:b/>
          <w:sz w:val="20"/>
        </w:rPr>
      </w:pPr>
      <w:r>
        <w:rPr>
          <w:b/>
          <w:spacing w:val="-2"/>
          <w:sz w:val="20"/>
        </w:rPr>
        <w:t>Educational</w:t>
      </w:r>
      <w:r>
        <w:rPr>
          <w:b/>
          <w:spacing w:val="6"/>
          <w:sz w:val="20"/>
        </w:rPr>
        <w:t> </w:t>
      </w:r>
      <w:r>
        <w:rPr>
          <w:b/>
          <w:spacing w:val="-2"/>
          <w:sz w:val="20"/>
        </w:rPr>
        <w:t>Credentials:</w:t>
      </w:r>
    </w:p>
    <w:p>
      <w:pPr>
        <w:pStyle w:val="BodyText"/>
        <w:ind w:left="1159"/>
      </w:pPr>
      <w:r>
        <w:rPr/>
        <w:t>Bachelors</w:t>
      </w:r>
      <w:r>
        <w:rPr>
          <w:spacing w:val="-10"/>
        </w:rPr>
        <w:t> </w:t>
      </w:r>
      <w:r>
        <w:rPr/>
        <w:t>of</w:t>
      </w:r>
      <w:r>
        <w:rPr>
          <w:spacing w:val="-9"/>
        </w:rPr>
        <w:t> </w:t>
      </w:r>
      <w:r>
        <w:rPr/>
        <w:t>Architecture,</w:t>
      </w:r>
      <w:r>
        <w:rPr>
          <w:spacing w:val="-8"/>
        </w:rPr>
        <w:t> </w:t>
      </w:r>
      <w:r>
        <w:rPr/>
        <w:t>Howard</w:t>
      </w:r>
      <w:r>
        <w:rPr>
          <w:spacing w:val="-9"/>
        </w:rPr>
        <w:t> </w:t>
      </w:r>
      <w:r>
        <w:rPr>
          <w:spacing w:val="-2"/>
        </w:rPr>
        <w:t>University</w:t>
      </w:r>
    </w:p>
    <w:p>
      <w:pPr>
        <w:pStyle w:val="BodyText"/>
        <w:spacing w:before="4"/>
        <w:rPr>
          <w:sz w:val="17"/>
        </w:rPr>
      </w:pPr>
    </w:p>
    <w:p>
      <w:pPr>
        <w:spacing w:before="0"/>
        <w:ind w:left="439" w:right="0" w:firstLine="0"/>
        <w:jc w:val="left"/>
        <w:rPr>
          <w:b/>
          <w:sz w:val="20"/>
        </w:rPr>
      </w:pPr>
      <w:r>
        <w:rPr>
          <w:b/>
          <w:sz w:val="20"/>
        </w:rPr>
        <w:t>Teaching</w:t>
      </w:r>
      <w:r>
        <w:rPr>
          <w:b/>
          <w:spacing w:val="-10"/>
          <w:sz w:val="20"/>
        </w:rPr>
        <w:t> </w:t>
      </w:r>
      <w:r>
        <w:rPr>
          <w:b/>
          <w:spacing w:val="-2"/>
          <w:sz w:val="20"/>
        </w:rPr>
        <w:t>Experience</w:t>
      </w:r>
    </w:p>
    <w:p>
      <w:pPr>
        <w:pStyle w:val="BodyText"/>
        <w:spacing w:before="1"/>
        <w:ind w:left="1159"/>
      </w:pPr>
      <w:r>
        <w:rPr/>
        <w:t>Associate</w:t>
      </w:r>
      <w:r>
        <w:rPr>
          <w:spacing w:val="-7"/>
        </w:rPr>
        <w:t> </w:t>
      </w:r>
      <w:r>
        <w:rPr/>
        <w:t>Professor</w:t>
      </w:r>
      <w:r>
        <w:rPr>
          <w:spacing w:val="-8"/>
        </w:rPr>
        <w:t> </w:t>
      </w:r>
      <w:r>
        <w:rPr/>
        <w:t>of</w:t>
      </w:r>
      <w:r>
        <w:rPr>
          <w:spacing w:val="-7"/>
        </w:rPr>
        <w:t> </w:t>
      </w:r>
      <w:r>
        <w:rPr/>
        <w:t>Architecture,</w:t>
      </w:r>
      <w:r>
        <w:rPr>
          <w:spacing w:val="-9"/>
        </w:rPr>
        <w:t> </w:t>
      </w:r>
      <w:r>
        <w:rPr/>
        <w:t>HU</w:t>
      </w:r>
      <w:r>
        <w:rPr>
          <w:spacing w:val="-6"/>
        </w:rPr>
        <w:t> </w:t>
      </w:r>
      <w:r>
        <w:rPr/>
        <w:t>Department</w:t>
      </w:r>
      <w:r>
        <w:rPr>
          <w:spacing w:val="-9"/>
        </w:rPr>
        <w:t> </w:t>
      </w:r>
      <w:r>
        <w:rPr/>
        <w:t>of</w:t>
      </w:r>
      <w:r>
        <w:rPr>
          <w:spacing w:val="-6"/>
        </w:rPr>
        <w:t> </w:t>
      </w:r>
      <w:r>
        <w:rPr/>
        <w:t>Architecture,</w:t>
      </w:r>
      <w:r>
        <w:rPr>
          <w:spacing w:val="-7"/>
        </w:rPr>
        <w:t> </w:t>
      </w:r>
      <w:r>
        <w:rPr/>
        <w:t>2012</w:t>
      </w:r>
      <w:r>
        <w:rPr>
          <w:spacing w:val="-9"/>
        </w:rPr>
        <w:t> </w:t>
      </w:r>
      <w:r>
        <w:rPr/>
        <w:t>to</w:t>
      </w:r>
      <w:r>
        <w:rPr>
          <w:spacing w:val="-7"/>
        </w:rPr>
        <w:t> </w:t>
      </w:r>
      <w:r>
        <w:rPr>
          <w:spacing w:val="-2"/>
        </w:rPr>
        <w:t>Present</w:t>
      </w:r>
    </w:p>
    <w:p>
      <w:pPr>
        <w:pStyle w:val="BodyText"/>
        <w:spacing w:before="4"/>
        <w:rPr>
          <w:sz w:val="17"/>
        </w:rPr>
      </w:pPr>
    </w:p>
    <w:p>
      <w:pPr>
        <w:spacing w:before="0"/>
        <w:ind w:left="439" w:right="0" w:firstLine="0"/>
        <w:jc w:val="left"/>
        <w:rPr>
          <w:b/>
          <w:sz w:val="20"/>
        </w:rPr>
      </w:pPr>
      <w:r>
        <w:rPr>
          <w:b/>
          <w:spacing w:val="-2"/>
          <w:sz w:val="20"/>
        </w:rPr>
        <w:t>Professional</w:t>
      </w:r>
      <w:r>
        <w:rPr>
          <w:b/>
          <w:spacing w:val="6"/>
          <w:sz w:val="20"/>
        </w:rPr>
        <w:t> </w:t>
      </w:r>
      <w:r>
        <w:rPr>
          <w:b/>
          <w:spacing w:val="-2"/>
          <w:sz w:val="20"/>
        </w:rPr>
        <w:t>Experience</w:t>
      </w:r>
    </w:p>
    <w:p>
      <w:pPr>
        <w:pStyle w:val="BodyText"/>
        <w:spacing w:before="1"/>
        <w:ind w:left="1158" w:right="3991"/>
      </w:pPr>
      <w:r>
        <w:rPr/>
        <w:t>2011-2012</w:t>
      </w:r>
      <w:r>
        <w:rPr>
          <w:spacing w:val="40"/>
        </w:rPr>
        <w:t> </w:t>
      </w:r>
      <w:r>
        <w:rPr/>
        <w:t>AECOM,</w:t>
      </w:r>
      <w:r>
        <w:rPr>
          <w:spacing w:val="-8"/>
        </w:rPr>
        <w:t> </w:t>
      </w:r>
      <w:r>
        <w:rPr/>
        <w:t>Division</w:t>
      </w:r>
      <w:r>
        <w:rPr>
          <w:spacing w:val="-8"/>
        </w:rPr>
        <w:t> </w:t>
      </w:r>
      <w:r>
        <w:rPr/>
        <w:t>Manager,</w:t>
      </w:r>
      <w:r>
        <w:rPr>
          <w:spacing w:val="-6"/>
        </w:rPr>
        <w:t> </w:t>
      </w:r>
      <w:r>
        <w:rPr/>
        <w:t>Associate</w:t>
      </w:r>
      <w:r>
        <w:rPr>
          <w:spacing w:val="-6"/>
        </w:rPr>
        <w:t> </w:t>
      </w:r>
      <w:r>
        <w:rPr/>
        <w:t>Principal 2010-2011</w:t>
      </w:r>
      <w:r>
        <w:rPr>
          <w:spacing w:val="40"/>
        </w:rPr>
        <w:t> </w:t>
      </w:r>
      <w:r>
        <w:rPr/>
        <w:t>Government Services IPT, Division Manager 2008-2009</w:t>
      </w:r>
      <w:r>
        <w:rPr>
          <w:spacing w:val="40"/>
        </w:rPr>
        <w:t> </w:t>
      </w:r>
      <w:r>
        <w:rPr/>
        <w:t>STV, Incorporated, Division Manager</w:t>
      </w:r>
    </w:p>
    <w:p>
      <w:pPr>
        <w:pStyle w:val="BodyText"/>
        <w:spacing w:line="229" w:lineRule="exact"/>
        <w:ind w:left="1158"/>
      </w:pPr>
      <w:r>
        <w:rPr/>
        <w:t>2007-2008</w:t>
      </w:r>
      <w:r>
        <w:rPr>
          <w:spacing w:val="53"/>
        </w:rPr>
        <w:t> </w:t>
      </w:r>
      <w:r>
        <w:rPr/>
        <w:t>Skidmore,</w:t>
      </w:r>
      <w:r>
        <w:rPr>
          <w:spacing w:val="-7"/>
        </w:rPr>
        <w:t> </w:t>
      </w:r>
      <w:r>
        <w:rPr/>
        <w:t>Owings</w:t>
      </w:r>
      <w:r>
        <w:rPr>
          <w:spacing w:val="-7"/>
        </w:rPr>
        <w:t> </w:t>
      </w:r>
      <w:r>
        <w:rPr/>
        <w:t>and</w:t>
      </w:r>
      <w:r>
        <w:rPr>
          <w:spacing w:val="-5"/>
        </w:rPr>
        <w:t> </w:t>
      </w:r>
      <w:r>
        <w:rPr>
          <w:spacing w:val="-2"/>
        </w:rPr>
        <w:t>Merrill</w:t>
      </w:r>
    </w:p>
    <w:p>
      <w:pPr>
        <w:pStyle w:val="BodyText"/>
        <w:ind w:left="798" w:right="4738" w:firstLine="360"/>
      </w:pPr>
      <w:r>
        <w:rPr/>
        <w:t>2004-2007</w:t>
      </w:r>
      <w:r>
        <w:rPr>
          <w:spacing w:val="40"/>
        </w:rPr>
        <w:t> </w:t>
      </w:r>
      <w:r>
        <w:rPr/>
        <w:t>DMJM</w:t>
      </w:r>
      <w:r>
        <w:rPr>
          <w:spacing w:val="-8"/>
        </w:rPr>
        <w:t> </w:t>
      </w:r>
      <w:r>
        <w:rPr/>
        <w:t>H&amp;N</w:t>
      </w:r>
      <w:r>
        <w:rPr>
          <w:spacing w:val="-8"/>
        </w:rPr>
        <w:t> </w:t>
      </w:r>
      <w:r>
        <w:rPr/>
        <w:t>Rottet,</w:t>
      </w:r>
      <w:r>
        <w:rPr>
          <w:spacing w:val="-6"/>
        </w:rPr>
        <w:t> </w:t>
      </w:r>
      <w:r>
        <w:rPr/>
        <w:t>Associate</w:t>
      </w:r>
      <w:r>
        <w:rPr>
          <w:spacing w:val="-8"/>
        </w:rPr>
        <w:t> </w:t>
      </w:r>
      <w:r>
        <w:rPr/>
        <w:t>Principal 2002-2004</w:t>
      </w:r>
      <w:r>
        <w:rPr>
          <w:spacing w:val="40"/>
        </w:rPr>
        <w:t> </w:t>
      </w:r>
      <w:r>
        <w:rPr/>
        <w:t>DMJM H&amp;N, Associate Principal</w:t>
      </w:r>
    </w:p>
    <w:p>
      <w:pPr>
        <w:pStyle w:val="BodyText"/>
        <w:spacing w:before="1"/>
        <w:ind w:left="797"/>
      </w:pPr>
      <w:r>
        <w:rPr/>
        <w:t>1999-2002</w:t>
      </w:r>
      <w:r>
        <w:rPr>
          <w:spacing w:val="53"/>
        </w:rPr>
        <w:t> </w:t>
      </w:r>
      <w:r>
        <w:rPr/>
        <w:t>Gensler,</w:t>
      </w:r>
      <w:r>
        <w:rPr>
          <w:spacing w:val="-6"/>
        </w:rPr>
        <w:t> </w:t>
      </w:r>
      <w:r>
        <w:rPr>
          <w:spacing w:val="-2"/>
        </w:rPr>
        <w:t>Associate</w:t>
      </w:r>
    </w:p>
    <w:p>
      <w:pPr>
        <w:pStyle w:val="BodyText"/>
        <w:spacing w:before="1"/>
        <w:ind w:left="797" w:right="5275"/>
      </w:pPr>
      <w:r>
        <w:rPr/>
        <w:t>1998-1999</w:t>
      </w:r>
      <w:r>
        <w:rPr>
          <w:spacing w:val="40"/>
        </w:rPr>
        <w:t> </w:t>
      </w:r>
      <w:r>
        <w:rPr/>
        <w:t>DMJM</w:t>
      </w:r>
      <w:r>
        <w:rPr>
          <w:spacing w:val="-8"/>
        </w:rPr>
        <w:t> </w:t>
      </w:r>
      <w:r>
        <w:rPr/>
        <w:t>H&amp;N,</w:t>
      </w:r>
      <w:r>
        <w:rPr>
          <w:spacing w:val="-6"/>
        </w:rPr>
        <w:t> </w:t>
      </w:r>
      <w:r>
        <w:rPr/>
        <w:t>Senior</w:t>
      </w:r>
      <w:r>
        <w:rPr>
          <w:spacing w:val="-6"/>
        </w:rPr>
        <w:t> </w:t>
      </w:r>
      <w:r>
        <w:rPr/>
        <w:t>Project</w:t>
      </w:r>
      <w:r>
        <w:rPr>
          <w:spacing w:val="-6"/>
        </w:rPr>
        <w:t> </w:t>
      </w:r>
      <w:r>
        <w:rPr/>
        <w:t>Manager 1989-1998</w:t>
      </w:r>
      <w:r>
        <w:rPr>
          <w:spacing w:val="40"/>
        </w:rPr>
        <w:t> </w:t>
      </w:r>
      <w:r>
        <w:rPr/>
        <w:t>Heery International, Associate</w:t>
      </w:r>
    </w:p>
    <w:p>
      <w:pPr>
        <w:pStyle w:val="BodyText"/>
        <w:tabs>
          <w:tab w:pos="1877" w:val="left" w:leader="none"/>
        </w:tabs>
        <w:ind w:left="797" w:right="5197"/>
      </w:pPr>
      <w:r>
        <w:rPr/>
        <w:t>1988-1989</w:t>
      </w:r>
      <w:r>
        <w:rPr>
          <w:spacing w:val="40"/>
        </w:rPr>
        <w:t> </w:t>
      </w:r>
      <w:r>
        <w:rPr/>
        <w:t>Chapman,</w:t>
      </w:r>
      <w:r>
        <w:rPr>
          <w:spacing w:val="-9"/>
        </w:rPr>
        <w:t> </w:t>
      </w:r>
      <w:r>
        <w:rPr/>
        <w:t>Coyle</w:t>
      </w:r>
      <w:r>
        <w:rPr>
          <w:spacing w:val="-9"/>
        </w:rPr>
        <w:t> </w:t>
      </w:r>
      <w:r>
        <w:rPr/>
        <w:t>Chapman</w:t>
      </w:r>
      <w:r>
        <w:rPr>
          <w:spacing w:val="-9"/>
        </w:rPr>
        <w:t> </w:t>
      </w:r>
      <w:r>
        <w:rPr/>
        <w:t>Architects </w:t>
      </w:r>
      <w:r>
        <w:rPr>
          <w:spacing w:val="-4"/>
        </w:rPr>
        <w:t>1989</w:t>
      </w:r>
      <w:r>
        <w:rPr/>
        <w:tab/>
        <w:t>John Portman and Associates</w:t>
      </w:r>
    </w:p>
    <w:p>
      <w:pPr>
        <w:pStyle w:val="BodyText"/>
        <w:ind w:left="1517"/>
      </w:pPr>
      <w:r>
        <w:rPr/>
        <w:t>AEPA</w:t>
      </w:r>
      <w:r>
        <w:rPr>
          <w:spacing w:val="-6"/>
        </w:rPr>
        <w:t> </w:t>
      </w:r>
      <w:r>
        <w:rPr>
          <w:spacing w:val="-2"/>
        </w:rPr>
        <w:t>Architects</w:t>
      </w:r>
    </w:p>
    <w:p>
      <w:pPr>
        <w:pStyle w:val="BodyText"/>
        <w:ind w:left="1516" w:right="5845"/>
      </w:pPr>
      <w:r>
        <w:rPr/>
        <w:t>Grimm and Parker Architects Navy,</w:t>
      </w:r>
      <w:r>
        <w:rPr>
          <w:spacing w:val="-13"/>
        </w:rPr>
        <w:t> </w:t>
      </w:r>
      <w:r>
        <w:rPr/>
        <w:t>Marshall,</w:t>
      </w:r>
      <w:r>
        <w:rPr>
          <w:spacing w:val="-14"/>
        </w:rPr>
        <w:t> </w:t>
      </w:r>
      <w:r>
        <w:rPr/>
        <w:t>Gordon</w:t>
      </w:r>
      <w:r>
        <w:rPr>
          <w:spacing w:val="-13"/>
        </w:rPr>
        <w:t> </w:t>
      </w:r>
      <w:r>
        <w:rPr/>
        <w:t>Architects</w:t>
      </w:r>
    </w:p>
    <w:p>
      <w:pPr>
        <w:pStyle w:val="BodyText"/>
        <w:rPr>
          <w:sz w:val="22"/>
        </w:rPr>
      </w:pPr>
    </w:p>
    <w:p>
      <w:pPr>
        <w:spacing w:before="175"/>
        <w:ind w:left="436" w:right="0" w:firstLine="0"/>
        <w:jc w:val="left"/>
        <w:rPr>
          <w:b/>
          <w:sz w:val="20"/>
        </w:rPr>
      </w:pPr>
      <w:r>
        <w:rPr>
          <w:b/>
          <w:sz w:val="20"/>
        </w:rPr>
        <w:t>Licenses</w:t>
      </w:r>
      <w:r>
        <w:rPr>
          <w:b/>
          <w:spacing w:val="-7"/>
          <w:sz w:val="20"/>
        </w:rPr>
        <w:t> </w:t>
      </w:r>
      <w:r>
        <w:rPr>
          <w:b/>
          <w:sz w:val="20"/>
        </w:rPr>
        <w:t>/</w:t>
      </w:r>
      <w:r>
        <w:rPr>
          <w:b/>
          <w:spacing w:val="-7"/>
          <w:sz w:val="20"/>
        </w:rPr>
        <w:t> </w:t>
      </w:r>
      <w:r>
        <w:rPr>
          <w:b/>
          <w:spacing w:val="-2"/>
          <w:sz w:val="20"/>
        </w:rPr>
        <w:t>Registrations:</w:t>
      </w:r>
    </w:p>
    <w:p>
      <w:pPr>
        <w:pStyle w:val="BodyText"/>
        <w:ind w:left="1156"/>
      </w:pPr>
      <w:r>
        <w:rPr>
          <w:spacing w:val="-2"/>
        </w:rPr>
        <w:t>Maryland</w:t>
      </w:r>
    </w:p>
    <w:p>
      <w:pPr>
        <w:pStyle w:val="BodyText"/>
        <w:spacing w:before="4"/>
        <w:rPr>
          <w:sz w:val="17"/>
        </w:rPr>
      </w:pPr>
    </w:p>
    <w:p>
      <w:pPr>
        <w:spacing w:before="1"/>
        <w:ind w:left="437" w:right="0" w:firstLine="0"/>
        <w:jc w:val="left"/>
        <w:rPr>
          <w:b/>
          <w:sz w:val="20"/>
        </w:rPr>
      </w:pPr>
      <w:r>
        <w:rPr>
          <w:b/>
          <w:spacing w:val="-2"/>
          <w:sz w:val="20"/>
        </w:rPr>
        <w:t>Professional</w:t>
      </w:r>
      <w:r>
        <w:rPr>
          <w:b/>
          <w:spacing w:val="5"/>
          <w:sz w:val="20"/>
        </w:rPr>
        <w:t> </w:t>
      </w:r>
      <w:r>
        <w:rPr>
          <w:b/>
          <w:spacing w:val="-2"/>
          <w:sz w:val="20"/>
        </w:rPr>
        <w:t>Memberships:</w:t>
      </w:r>
    </w:p>
    <w:p>
      <w:pPr>
        <w:pStyle w:val="BodyText"/>
        <w:ind w:left="1156"/>
      </w:pPr>
      <w:r>
        <w:rPr/>
        <w:t>American</w:t>
      </w:r>
      <w:r>
        <w:rPr>
          <w:spacing w:val="-9"/>
        </w:rPr>
        <w:t> </w:t>
      </w:r>
      <w:r>
        <w:rPr/>
        <w:t>Institute</w:t>
      </w:r>
      <w:r>
        <w:rPr>
          <w:spacing w:val="-6"/>
        </w:rPr>
        <w:t> </w:t>
      </w:r>
      <w:r>
        <w:rPr/>
        <w:t>of</w:t>
      </w:r>
      <w:r>
        <w:rPr>
          <w:spacing w:val="-7"/>
        </w:rPr>
        <w:t> </w:t>
      </w:r>
      <w:r>
        <w:rPr/>
        <w:t>Architects,</w:t>
      </w:r>
      <w:r>
        <w:rPr>
          <w:spacing w:val="-8"/>
        </w:rPr>
        <w:t> </w:t>
      </w:r>
      <w:r>
        <w:rPr/>
        <w:t>member</w:t>
      </w:r>
      <w:r>
        <w:rPr>
          <w:spacing w:val="-8"/>
        </w:rPr>
        <w:t> </w:t>
      </w:r>
      <w:r>
        <w:rPr/>
        <w:t>of</w:t>
      </w:r>
      <w:r>
        <w:rPr>
          <w:spacing w:val="-6"/>
        </w:rPr>
        <w:t> </w:t>
      </w:r>
      <w:r>
        <w:rPr/>
        <w:t>Board</w:t>
      </w:r>
      <w:r>
        <w:rPr>
          <w:spacing w:val="-7"/>
        </w:rPr>
        <w:t> </w:t>
      </w:r>
      <w:r>
        <w:rPr/>
        <w:t>of</w:t>
      </w:r>
      <w:r>
        <w:rPr>
          <w:spacing w:val="-6"/>
        </w:rPr>
        <w:t> </w:t>
      </w:r>
      <w:r>
        <w:rPr/>
        <w:t>Directors,</w:t>
      </w:r>
      <w:r>
        <w:rPr>
          <w:spacing w:val="-9"/>
        </w:rPr>
        <w:t> </w:t>
      </w:r>
      <w:r>
        <w:rPr/>
        <w:t>Virginia</w:t>
      </w:r>
      <w:r>
        <w:rPr>
          <w:spacing w:val="-6"/>
        </w:rPr>
        <w:t> </w:t>
      </w:r>
      <w:r>
        <w:rPr>
          <w:spacing w:val="-2"/>
        </w:rPr>
        <w:t>Society</w:t>
      </w:r>
    </w:p>
    <w:p>
      <w:pPr>
        <w:pStyle w:val="BodyText"/>
        <w:spacing w:before="4"/>
        <w:rPr>
          <w:sz w:val="17"/>
        </w:rPr>
      </w:pPr>
    </w:p>
    <w:p>
      <w:pPr>
        <w:spacing w:before="0"/>
        <w:ind w:left="436" w:right="0" w:firstLine="0"/>
        <w:jc w:val="left"/>
        <w:rPr>
          <w:b/>
          <w:sz w:val="20"/>
        </w:rPr>
      </w:pPr>
      <w:r>
        <w:rPr>
          <w:b/>
          <w:sz w:val="20"/>
        </w:rPr>
        <w:t>Professional</w:t>
      </w:r>
      <w:r>
        <w:rPr>
          <w:b/>
          <w:spacing w:val="-11"/>
          <w:sz w:val="20"/>
        </w:rPr>
        <w:t> </w:t>
      </w:r>
      <w:r>
        <w:rPr>
          <w:b/>
          <w:sz w:val="20"/>
        </w:rPr>
        <w:t>Development</w:t>
      </w:r>
      <w:r>
        <w:rPr>
          <w:b/>
          <w:spacing w:val="-10"/>
          <w:sz w:val="20"/>
        </w:rPr>
        <w:t> </w:t>
      </w:r>
      <w:r>
        <w:rPr>
          <w:b/>
          <w:sz w:val="20"/>
        </w:rPr>
        <w:t>&amp;</w:t>
      </w:r>
      <w:r>
        <w:rPr>
          <w:b/>
          <w:spacing w:val="-10"/>
          <w:sz w:val="20"/>
        </w:rPr>
        <w:t> </w:t>
      </w:r>
      <w:r>
        <w:rPr>
          <w:b/>
          <w:spacing w:val="-2"/>
          <w:sz w:val="20"/>
        </w:rPr>
        <w:t>Research</w:t>
      </w:r>
    </w:p>
    <w:p>
      <w:pPr>
        <w:spacing w:after="0"/>
        <w:jc w:val="left"/>
        <w:rPr>
          <w:sz w:val="20"/>
        </w:rPr>
        <w:sectPr>
          <w:headerReference w:type="default" r:id="rId259"/>
          <w:footerReference w:type="default" r:id="rId260"/>
          <w:pgSz w:w="12240" w:h="15840"/>
          <w:pgMar w:header="0" w:footer="974" w:top="920" w:bottom="1160" w:left="1000" w:right="820"/>
        </w:sectPr>
      </w:pPr>
    </w:p>
    <w:p>
      <w:pPr>
        <w:spacing w:before="63"/>
        <w:ind w:left="440" w:right="0" w:firstLine="0"/>
        <w:jc w:val="left"/>
        <w:rPr>
          <w:b/>
          <w:sz w:val="20"/>
        </w:rPr>
      </w:pPr>
      <w:r>
        <w:rPr>
          <w:b/>
          <w:sz w:val="20"/>
        </w:rPr>
        <w:t>Henderson,</w:t>
      </w:r>
      <w:r>
        <w:rPr>
          <w:b/>
          <w:spacing w:val="-9"/>
          <w:sz w:val="20"/>
        </w:rPr>
        <w:t> </w:t>
      </w:r>
      <w:r>
        <w:rPr>
          <w:b/>
          <w:sz w:val="20"/>
        </w:rPr>
        <w:t>Wesley;</w:t>
      </w:r>
      <w:r>
        <w:rPr>
          <w:b/>
          <w:spacing w:val="-9"/>
          <w:sz w:val="20"/>
        </w:rPr>
        <w:t> </w:t>
      </w:r>
      <w:r>
        <w:rPr>
          <w:b/>
          <w:sz w:val="20"/>
        </w:rPr>
        <w:t>Rank:</w:t>
      </w:r>
      <w:r>
        <w:rPr>
          <w:b/>
          <w:spacing w:val="-7"/>
          <w:sz w:val="20"/>
        </w:rPr>
        <w:t> </w:t>
      </w:r>
      <w:r>
        <w:rPr>
          <w:b/>
          <w:sz w:val="20"/>
        </w:rPr>
        <w:t>Associate</w:t>
      </w:r>
      <w:r>
        <w:rPr>
          <w:b/>
          <w:spacing w:val="-8"/>
          <w:sz w:val="20"/>
        </w:rPr>
        <w:t> </w:t>
      </w:r>
      <w:r>
        <w:rPr>
          <w:b/>
          <w:sz w:val="20"/>
        </w:rPr>
        <w:t>Professor</w:t>
      </w:r>
      <w:r>
        <w:rPr>
          <w:b/>
          <w:spacing w:val="-11"/>
          <w:sz w:val="20"/>
        </w:rPr>
        <w:t> </w:t>
      </w:r>
      <w:r>
        <w:rPr>
          <w:b/>
          <w:sz w:val="20"/>
        </w:rPr>
        <w:t>of</w:t>
      </w:r>
      <w:r>
        <w:rPr>
          <w:b/>
          <w:spacing w:val="-4"/>
          <w:sz w:val="20"/>
        </w:rPr>
        <w:t> </w:t>
      </w:r>
      <w:r>
        <w:rPr>
          <w:b/>
          <w:spacing w:val="-2"/>
          <w:sz w:val="20"/>
        </w:rPr>
        <w:t>Architecture</w:t>
      </w:r>
    </w:p>
    <w:p>
      <w:pPr>
        <w:pStyle w:val="BodyText"/>
        <w:spacing w:before="7"/>
        <w:rPr>
          <w:b/>
          <w:sz w:val="17"/>
        </w:rPr>
      </w:pPr>
    </w:p>
    <w:p>
      <w:pPr>
        <w:spacing w:before="0"/>
        <w:ind w:left="440" w:right="0" w:firstLine="0"/>
        <w:jc w:val="left"/>
        <w:rPr>
          <w:b/>
          <w:sz w:val="20"/>
        </w:rPr>
      </w:pPr>
      <w:r>
        <w:rPr>
          <w:b/>
          <w:sz w:val="20"/>
        </w:rPr>
        <w:t>Courses</w:t>
      </w:r>
      <w:r>
        <w:rPr>
          <w:b/>
          <w:spacing w:val="-7"/>
          <w:sz w:val="20"/>
        </w:rPr>
        <w:t> </w:t>
      </w:r>
      <w:r>
        <w:rPr>
          <w:b/>
          <w:sz w:val="20"/>
        </w:rPr>
        <w:t>Taught</w:t>
      </w:r>
      <w:r>
        <w:rPr>
          <w:b/>
          <w:spacing w:val="-7"/>
          <w:sz w:val="20"/>
        </w:rPr>
        <w:t> </w:t>
      </w:r>
      <w:r>
        <w:rPr>
          <w:b/>
          <w:sz w:val="20"/>
        </w:rPr>
        <w:t>(during</w:t>
      </w:r>
      <w:r>
        <w:rPr>
          <w:b/>
          <w:spacing w:val="-7"/>
          <w:sz w:val="20"/>
        </w:rPr>
        <w:t> </w:t>
      </w:r>
      <w:r>
        <w:rPr>
          <w:b/>
          <w:sz w:val="20"/>
        </w:rPr>
        <w:t>the</w:t>
      </w:r>
      <w:r>
        <w:rPr>
          <w:b/>
          <w:spacing w:val="-8"/>
          <w:sz w:val="20"/>
        </w:rPr>
        <w:t> </w:t>
      </w:r>
      <w:r>
        <w:rPr>
          <w:b/>
          <w:sz w:val="20"/>
        </w:rPr>
        <w:t>past</w:t>
      </w:r>
      <w:r>
        <w:rPr>
          <w:b/>
          <w:spacing w:val="-7"/>
          <w:sz w:val="20"/>
        </w:rPr>
        <w:t> </w:t>
      </w:r>
      <w:r>
        <w:rPr>
          <w:b/>
          <w:sz w:val="20"/>
        </w:rPr>
        <w:t>two</w:t>
      </w:r>
      <w:r>
        <w:rPr>
          <w:b/>
          <w:spacing w:val="-7"/>
          <w:sz w:val="20"/>
        </w:rPr>
        <w:t> </w:t>
      </w:r>
      <w:r>
        <w:rPr>
          <w:b/>
          <w:sz w:val="20"/>
        </w:rPr>
        <w:t>academic</w:t>
      </w:r>
      <w:r>
        <w:rPr>
          <w:b/>
          <w:spacing w:val="-4"/>
          <w:sz w:val="20"/>
        </w:rPr>
        <w:t> </w:t>
      </w:r>
      <w:r>
        <w:rPr>
          <w:b/>
          <w:spacing w:val="-2"/>
          <w:sz w:val="20"/>
        </w:rPr>
        <w:t>years):</w:t>
      </w:r>
    </w:p>
    <w:p>
      <w:pPr>
        <w:pStyle w:val="BodyText"/>
        <w:ind w:left="1159" w:right="1770"/>
      </w:pPr>
      <w:r>
        <w:rPr/>
        <w:t>Fall 2013: ARC 208 - History II, ARC 601 - Thesis Studio I,</w:t>
      </w:r>
      <w:r>
        <w:rPr>
          <w:spacing w:val="40"/>
        </w:rPr>
        <w:t> </w:t>
      </w:r>
      <w:r>
        <w:rPr/>
        <w:t>ARC 430 – Elective Spring</w:t>
      </w:r>
      <w:r>
        <w:rPr>
          <w:spacing w:val="-4"/>
        </w:rPr>
        <w:t> </w:t>
      </w:r>
      <w:r>
        <w:rPr/>
        <w:t>2014:</w:t>
      </w:r>
      <w:r>
        <w:rPr>
          <w:spacing w:val="-4"/>
        </w:rPr>
        <w:t> </w:t>
      </w:r>
      <w:r>
        <w:rPr/>
        <w:t>ARC</w:t>
      </w:r>
      <w:r>
        <w:rPr>
          <w:spacing w:val="-4"/>
        </w:rPr>
        <w:t> </w:t>
      </w:r>
      <w:r>
        <w:rPr/>
        <w:t>207</w:t>
      </w:r>
      <w:r>
        <w:rPr>
          <w:spacing w:val="-4"/>
        </w:rPr>
        <w:t> </w:t>
      </w:r>
      <w:r>
        <w:rPr/>
        <w:t>-</w:t>
      </w:r>
      <w:r>
        <w:rPr>
          <w:spacing w:val="-2"/>
        </w:rPr>
        <w:t> </w:t>
      </w:r>
      <w:r>
        <w:rPr/>
        <w:t>History</w:t>
      </w:r>
      <w:r>
        <w:rPr>
          <w:spacing w:val="-7"/>
        </w:rPr>
        <w:t> </w:t>
      </w:r>
      <w:r>
        <w:rPr/>
        <w:t>I,</w:t>
      </w:r>
      <w:r>
        <w:rPr>
          <w:spacing w:val="-2"/>
        </w:rPr>
        <w:t> </w:t>
      </w:r>
      <w:r>
        <w:rPr/>
        <w:t>ARC</w:t>
      </w:r>
      <w:r>
        <w:rPr>
          <w:spacing w:val="-1"/>
        </w:rPr>
        <w:t> </w:t>
      </w:r>
      <w:r>
        <w:rPr/>
        <w:t>602</w:t>
      </w:r>
      <w:r>
        <w:rPr>
          <w:spacing w:val="-2"/>
        </w:rPr>
        <w:t> </w:t>
      </w:r>
      <w:r>
        <w:rPr/>
        <w:t>-</w:t>
      </w:r>
      <w:r>
        <w:rPr>
          <w:spacing w:val="-3"/>
        </w:rPr>
        <w:t> </w:t>
      </w:r>
      <w:r>
        <w:rPr/>
        <w:t>Thesis</w:t>
      </w:r>
      <w:r>
        <w:rPr>
          <w:spacing w:val="-3"/>
        </w:rPr>
        <w:t> </w:t>
      </w:r>
      <w:r>
        <w:rPr/>
        <w:t>Studio</w:t>
      </w:r>
      <w:r>
        <w:rPr>
          <w:spacing w:val="-4"/>
        </w:rPr>
        <w:t> </w:t>
      </w:r>
      <w:r>
        <w:rPr/>
        <w:t>II,</w:t>
      </w:r>
      <w:r>
        <w:rPr>
          <w:spacing w:val="-2"/>
        </w:rPr>
        <w:t> </w:t>
      </w:r>
      <w:r>
        <w:rPr/>
        <w:t>ARC</w:t>
      </w:r>
      <w:r>
        <w:rPr>
          <w:spacing w:val="-1"/>
        </w:rPr>
        <w:t> </w:t>
      </w:r>
      <w:r>
        <w:rPr/>
        <w:t>430</w:t>
      </w:r>
      <w:r>
        <w:rPr>
          <w:spacing w:val="-4"/>
        </w:rPr>
        <w:t> </w:t>
      </w:r>
      <w:r>
        <w:rPr/>
        <w:t>–</w:t>
      </w:r>
      <w:r>
        <w:rPr>
          <w:spacing w:val="-1"/>
        </w:rPr>
        <w:t> </w:t>
      </w:r>
      <w:r>
        <w:rPr/>
        <w:t>Elective Fall 2012: ARC 208 - History II, ARC 601 - Thesis Studio I,</w:t>
      </w:r>
      <w:r>
        <w:rPr>
          <w:spacing w:val="40"/>
        </w:rPr>
        <w:t> </w:t>
      </w:r>
      <w:r>
        <w:rPr/>
        <w:t>ARC 430 – Elective Spring</w:t>
      </w:r>
      <w:r>
        <w:rPr>
          <w:spacing w:val="-1"/>
        </w:rPr>
        <w:t> </w:t>
      </w:r>
      <w:r>
        <w:rPr/>
        <w:t>2013:</w:t>
      </w:r>
      <w:r>
        <w:rPr>
          <w:spacing w:val="-1"/>
        </w:rPr>
        <w:t> </w:t>
      </w:r>
      <w:r>
        <w:rPr/>
        <w:t>ARC</w:t>
      </w:r>
      <w:r>
        <w:rPr>
          <w:spacing w:val="-1"/>
        </w:rPr>
        <w:t> </w:t>
      </w:r>
      <w:r>
        <w:rPr/>
        <w:t>207</w:t>
      </w:r>
      <w:r>
        <w:rPr>
          <w:spacing w:val="-1"/>
        </w:rPr>
        <w:t> </w:t>
      </w:r>
      <w:r>
        <w:rPr/>
        <w:t>- History</w:t>
      </w:r>
      <w:r>
        <w:rPr>
          <w:spacing w:val="-4"/>
        </w:rPr>
        <w:t> </w:t>
      </w:r>
      <w:r>
        <w:rPr/>
        <w:t>I, ARC 602 - Thesis Studio</w:t>
      </w:r>
      <w:r>
        <w:rPr>
          <w:spacing w:val="-1"/>
        </w:rPr>
        <w:t> </w:t>
      </w:r>
      <w:r>
        <w:rPr/>
        <w:t>II, ARC 430</w:t>
      </w:r>
      <w:r>
        <w:rPr>
          <w:spacing w:val="-1"/>
        </w:rPr>
        <w:t> </w:t>
      </w:r>
      <w:r>
        <w:rPr/>
        <w:t>- Elective</w:t>
      </w:r>
    </w:p>
    <w:p>
      <w:pPr>
        <w:pStyle w:val="BodyText"/>
        <w:spacing w:before="4"/>
        <w:rPr>
          <w:sz w:val="17"/>
        </w:rPr>
      </w:pPr>
    </w:p>
    <w:p>
      <w:pPr>
        <w:spacing w:before="0"/>
        <w:ind w:left="439" w:right="0" w:firstLine="0"/>
        <w:jc w:val="left"/>
        <w:rPr>
          <w:b/>
          <w:sz w:val="20"/>
        </w:rPr>
      </w:pPr>
      <w:r>
        <w:rPr>
          <w:b/>
          <w:spacing w:val="-2"/>
          <w:sz w:val="20"/>
        </w:rPr>
        <w:t>Educational</w:t>
      </w:r>
      <w:r>
        <w:rPr>
          <w:b/>
          <w:spacing w:val="6"/>
          <w:sz w:val="20"/>
        </w:rPr>
        <w:t> </w:t>
      </w:r>
      <w:r>
        <w:rPr>
          <w:b/>
          <w:spacing w:val="-2"/>
          <w:sz w:val="20"/>
        </w:rPr>
        <w:t>Credentials:</w:t>
      </w:r>
    </w:p>
    <w:p>
      <w:pPr>
        <w:pStyle w:val="BodyText"/>
        <w:ind w:left="1159" w:right="4400"/>
      </w:pPr>
      <w:r>
        <w:rPr/>
        <w:t>Bachelors</w:t>
      </w:r>
      <w:r>
        <w:rPr>
          <w:spacing w:val="-6"/>
        </w:rPr>
        <w:t> </w:t>
      </w:r>
      <w:r>
        <w:rPr/>
        <w:t>of</w:t>
      </w:r>
      <w:r>
        <w:rPr>
          <w:spacing w:val="-5"/>
        </w:rPr>
        <w:t> </w:t>
      </w:r>
      <w:r>
        <w:rPr/>
        <w:t>Science</w:t>
      </w:r>
      <w:r>
        <w:rPr>
          <w:spacing w:val="-5"/>
        </w:rPr>
        <w:t> </w:t>
      </w:r>
      <w:r>
        <w:rPr/>
        <w:t>in</w:t>
      </w:r>
      <w:r>
        <w:rPr>
          <w:spacing w:val="-5"/>
        </w:rPr>
        <w:t> </w:t>
      </w:r>
      <w:r>
        <w:rPr/>
        <w:t>Art</w:t>
      </w:r>
      <w:r>
        <w:rPr>
          <w:spacing w:val="-5"/>
        </w:rPr>
        <w:t> </w:t>
      </w:r>
      <w:r>
        <w:rPr/>
        <w:t>and</w:t>
      </w:r>
      <w:r>
        <w:rPr>
          <w:spacing w:val="-5"/>
        </w:rPr>
        <w:t> </w:t>
      </w:r>
      <w:r>
        <w:rPr/>
        <w:t>Design,</w:t>
      </w:r>
      <w:r>
        <w:rPr>
          <w:spacing w:val="-4"/>
        </w:rPr>
        <w:t> </w:t>
      </w:r>
      <w:r>
        <w:rPr/>
        <w:t>MIT,</w:t>
      </w:r>
      <w:r>
        <w:rPr>
          <w:spacing w:val="-7"/>
        </w:rPr>
        <w:t> </w:t>
      </w:r>
      <w:r>
        <w:rPr/>
        <w:t>1974 Master’s of Architecture, MIT, 1976</w:t>
      </w:r>
    </w:p>
    <w:p>
      <w:pPr>
        <w:pStyle w:val="BodyText"/>
        <w:spacing w:before="1"/>
        <w:ind w:left="1159"/>
      </w:pPr>
      <w:r>
        <w:rPr/>
        <w:t>Doctor</w:t>
      </w:r>
      <w:r>
        <w:rPr>
          <w:spacing w:val="-6"/>
        </w:rPr>
        <w:t> </w:t>
      </w:r>
      <w:r>
        <w:rPr/>
        <w:t>of</w:t>
      </w:r>
      <w:r>
        <w:rPr>
          <w:spacing w:val="-5"/>
        </w:rPr>
        <w:t> </w:t>
      </w:r>
      <w:r>
        <w:rPr/>
        <w:t>Philosophy</w:t>
      </w:r>
      <w:r>
        <w:rPr>
          <w:spacing w:val="-7"/>
        </w:rPr>
        <w:t> </w:t>
      </w:r>
      <w:r>
        <w:rPr/>
        <w:t>in</w:t>
      </w:r>
      <w:r>
        <w:rPr>
          <w:spacing w:val="-6"/>
        </w:rPr>
        <w:t> </w:t>
      </w:r>
      <w:r>
        <w:rPr/>
        <w:t>History</w:t>
      </w:r>
      <w:r>
        <w:rPr>
          <w:spacing w:val="-10"/>
        </w:rPr>
        <w:t> </w:t>
      </w:r>
      <w:r>
        <w:rPr/>
        <w:t>of</w:t>
      </w:r>
      <w:r>
        <w:rPr>
          <w:spacing w:val="-4"/>
        </w:rPr>
        <w:t> </w:t>
      </w:r>
      <w:r>
        <w:rPr/>
        <w:t>Architecture,</w:t>
      </w:r>
      <w:r>
        <w:rPr>
          <w:spacing w:val="-7"/>
        </w:rPr>
        <w:t> </w:t>
      </w:r>
      <w:r>
        <w:rPr/>
        <w:t>UCLA,</w:t>
      </w:r>
      <w:r>
        <w:rPr>
          <w:spacing w:val="-4"/>
        </w:rPr>
        <w:t> 1992</w:t>
      </w:r>
    </w:p>
    <w:p>
      <w:pPr>
        <w:pStyle w:val="BodyText"/>
        <w:spacing w:before="4"/>
        <w:rPr>
          <w:sz w:val="17"/>
        </w:rPr>
      </w:pPr>
    </w:p>
    <w:p>
      <w:pPr>
        <w:spacing w:before="0" w:after="8"/>
        <w:ind w:left="439" w:right="0" w:firstLine="0"/>
        <w:jc w:val="left"/>
        <w:rPr>
          <w:b/>
          <w:sz w:val="20"/>
        </w:rPr>
      </w:pPr>
      <w:r>
        <w:rPr>
          <w:b/>
          <w:sz w:val="20"/>
        </w:rPr>
        <w:t>Teaching</w:t>
      </w:r>
      <w:r>
        <w:rPr>
          <w:b/>
          <w:spacing w:val="-10"/>
          <w:sz w:val="20"/>
        </w:rPr>
        <w:t> </w:t>
      </w:r>
      <w:r>
        <w:rPr>
          <w:b/>
          <w:spacing w:val="-2"/>
          <w:sz w:val="20"/>
        </w:rPr>
        <w:t>Experience</w:t>
      </w:r>
    </w:p>
    <w:tbl>
      <w:tblPr>
        <w:tblW w:w="0" w:type="auto"/>
        <w:jc w:val="left"/>
        <w:tblInd w:w="1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70"/>
        <w:gridCol w:w="1986"/>
      </w:tblGrid>
      <w:tr>
        <w:trPr>
          <w:trHeight w:val="226" w:hRule="atLeast"/>
        </w:trPr>
        <w:tc>
          <w:tcPr>
            <w:tcW w:w="2570" w:type="dxa"/>
          </w:tcPr>
          <w:p>
            <w:pPr>
              <w:pStyle w:val="TableParagraph"/>
              <w:spacing w:line="207" w:lineRule="exact"/>
              <w:ind w:left="50"/>
              <w:rPr>
                <w:sz w:val="20"/>
              </w:rPr>
            </w:pPr>
            <w:r>
              <w:rPr>
                <w:sz w:val="20"/>
              </w:rPr>
              <w:t>Hampton</w:t>
            </w:r>
            <w:r>
              <w:rPr>
                <w:spacing w:val="-10"/>
                <w:sz w:val="20"/>
              </w:rPr>
              <w:t> </w:t>
            </w:r>
            <w:r>
              <w:rPr>
                <w:spacing w:val="-2"/>
                <w:sz w:val="20"/>
              </w:rPr>
              <w:t>University</w:t>
            </w:r>
          </w:p>
        </w:tc>
        <w:tc>
          <w:tcPr>
            <w:tcW w:w="1986" w:type="dxa"/>
          </w:tcPr>
          <w:p>
            <w:pPr>
              <w:pStyle w:val="TableParagraph"/>
              <w:spacing w:line="207" w:lineRule="exact"/>
              <w:rPr>
                <w:sz w:val="20"/>
              </w:rPr>
            </w:pPr>
            <w:r>
              <w:rPr>
                <w:w w:val="95"/>
                <w:sz w:val="20"/>
              </w:rPr>
              <w:t>2009-</w:t>
            </w:r>
            <w:r>
              <w:rPr>
                <w:spacing w:val="-2"/>
                <w:sz w:val="20"/>
              </w:rPr>
              <w:t>present</w:t>
            </w:r>
          </w:p>
        </w:tc>
      </w:tr>
      <w:tr>
        <w:trPr>
          <w:trHeight w:val="230" w:hRule="atLeast"/>
        </w:trPr>
        <w:tc>
          <w:tcPr>
            <w:tcW w:w="2570" w:type="dxa"/>
          </w:tcPr>
          <w:p>
            <w:pPr>
              <w:pStyle w:val="TableParagraph"/>
              <w:spacing w:line="210" w:lineRule="exact"/>
              <w:ind w:left="50"/>
              <w:rPr>
                <w:sz w:val="20"/>
              </w:rPr>
            </w:pPr>
            <w:r>
              <w:rPr>
                <w:sz w:val="20"/>
              </w:rPr>
              <w:t>Florida</w:t>
            </w:r>
            <w:r>
              <w:rPr>
                <w:spacing w:val="-8"/>
                <w:sz w:val="20"/>
              </w:rPr>
              <w:t> </w:t>
            </w:r>
            <w:r>
              <w:rPr>
                <w:sz w:val="20"/>
              </w:rPr>
              <w:t>A&amp;M</w:t>
            </w:r>
            <w:r>
              <w:rPr>
                <w:spacing w:val="-6"/>
                <w:sz w:val="20"/>
              </w:rPr>
              <w:t> </w:t>
            </w:r>
            <w:r>
              <w:rPr>
                <w:spacing w:val="-2"/>
                <w:sz w:val="20"/>
              </w:rPr>
              <w:t>University</w:t>
            </w:r>
          </w:p>
        </w:tc>
        <w:tc>
          <w:tcPr>
            <w:tcW w:w="1986" w:type="dxa"/>
          </w:tcPr>
          <w:p>
            <w:pPr>
              <w:pStyle w:val="TableParagraph"/>
              <w:spacing w:line="210" w:lineRule="exact"/>
              <w:rPr>
                <w:sz w:val="20"/>
              </w:rPr>
            </w:pPr>
            <w:r>
              <w:rPr>
                <w:w w:val="95"/>
                <w:sz w:val="20"/>
              </w:rPr>
              <w:t>2004-</w:t>
            </w:r>
            <w:r>
              <w:rPr>
                <w:spacing w:val="-4"/>
                <w:sz w:val="20"/>
              </w:rPr>
              <w:t>2009</w:t>
            </w:r>
          </w:p>
        </w:tc>
      </w:tr>
      <w:tr>
        <w:trPr>
          <w:trHeight w:val="229" w:hRule="atLeast"/>
        </w:trPr>
        <w:tc>
          <w:tcPr>
            <w:tcW w:w="2570" w:type="dxa"/>
          </w:tcPr>
          <w:p>
            <w:pPr>
              <w:pStyle w:val="TableParagraph"/>
              <w:spacing w:line="209" w:lineRule="exact"/>
              <w:ind w:left="50"/>
              <w:rPr>
                <w:sz w:val="20"/>
              </w:rPr>
            </w:pPr>
            <w:r>
              <w:rPr>
                <w:sz w:val="20"/>
              </w:rPr>
              <w:t>Texas</w:t>
            </w:r>
            <w:r>
              <w:rPr>
                <w:spacing w:val="-5"/>
                <w:sz w:val="20"/>
              </w:rPr>
              <w:t> </w:t>
            </w:r>
            <w:r>
              <w:rPr>
                <w:sz w:val="20"/>
              </w:rPr>
              <w:t>A&amp;M</w:t>
            </w:r>
            <w:r>
              <w:rPr>
                <w:spacing w:val="-6"/>
                <w:sz w:val="20"/>
              </w:rPr>
              <w:t> </w:t>
            </w:r>
            <w:r>
              <w:rPr>
                <w:spacing w:val="-2"/>
                <w:sz w:val="20"/>
              </w:rPr>
              <w:t>University</w:t>
            </w:r>
          </w:p>
        </w:tc>
        <w:tc>
          <w:tcPr>
            <w:tcW w:w="1986" w:type="dxa"/>
          </w:tcPr>
          <w:p>
            <w:pPr>
              <w:pStyle w:val="TableParagraph"/>
              <w:spacing w:line="209" w:lineRule="exact"/>
              <w:rPr>
                <w:sz w:val="20"/>
              </w:rPr>
            </w:pPr>
            <w:r>
              <w:rPr>
                <w:spacing w:val="-2"/>
                <w:sz w:val="20"/>
              </w:rPr>
              <w:t>1997-98,</w:t>
            </w:r>
            <w:r>
              <w:rPr>
                <w:spacing w:val="10"/>
                <w:sz w:val="20"/>
              </w:rPr>
              <w:t> </w:t>
            </w:r>
            <w:r>
              <w:rPr>
                <w:spacing w:val="-2"/>
                <w:sz w:val="20"/>
              </w:rPr>
              <w:t>1999-</w:t>
            </w:r>
            <w:r>
              <w:rPr>
                <w:spacing w:val="-4"/>
                <w:sz w:val="20"/>
              </w:rPr>
              <w:t>2002</w:t>
            </w:r>
          </w:p>
        </w:tc>
      </w:tr>
      <w:tr>
        <w:trPr>
          <w:trHeight w:val="229" w:hRule="atLeast"/>
        </w:trPr>
        <w:tc>
          <w:tcPr>
            <w:tcW w:w="2570" w:type="dxa"/>
          </w:tcPr>
          <w:p>
            <w:pPr>
              <w:pStyle w:val="TableParagraph"/>
              <w:spacing w:line="209" w:lineRule="exact"/>
              <w:ind w:left="50" w:right="-15"/>
              <w:rPr>
                <w:sz w:val="20"/>
              </w:rPr>
            </w:pPr>
            <w:r>
              <w:rPr>
                <w:sz w:val="20"/>
              </w:rPr>
              <w:t>University</w:t>
            </w:r>
            <w:r>
              <w:rPr>
                <w:spacing w:val="-9"/>
                <w:sz w:val="20"/>
              </w:rPr>
              <w:t> </w:t>
            </w:r>
            <w:r>
              <w:rPr>
                <w:sz w:val="20"/>
              </w:rPr>
              <w:t>of</w:t>
            </w:r>
            <w:r>
              <w:rPr>
                <w:spacing w:val="-3"/>
                <w:sz w:val="20"/>
              </w:rPr>
              <w:t> </w:t>
            </w:r>
            <w:r>
              <w:rPr>
                <w:sz w:val="20"/>
              </w:rPr>
              <w:t>Texas</w:t>
            </w:r>
            <w:r>
              <w:rPr>
                <w:spacing w:val="-5"/>
                <w:sz w:val="20"/>
              </w:rPr>
              <w:t> </w:t>
            </w:r>
            <w:r>
              <w:rPr>
                <w:sz w:val="20"/>
              </w:rPr>
              <w:t>at</w:t>
            </w:r>
            <w:r>
              <w:rPr>
                <w:spacing w:val="-5"/>
                <w:sz w:val="20"/>
              </w:rPr>
              <w:t> </w:t>
            </w:r>
            <w:r>
              <w:rPr>
                <w:spacing w:val="-2"/>
                <w:sz w:val="20"/>
              </w:rPr>
              <w:t>Austin</w:t>
            </w:r>
          </w:p>
        </w:tc>
        <w:tc>
          <w:tcPr>
            <w:tcW w:w="1986" w:type="dxa"/>
          </w:tcPr>
          <w:p>
            <w:pPr>
              <w:pStyle w:val="TableParagraph"/>
              <w:spacing w:line="209" w:lineRule="exact"/>
              <w:ind w:right="47"/>
              <w:jc w:val="right"/>
              <w:rPr>
                <w:sz w:val="20"/>
              </w:rPr>
            </w:pPr>
            <w:r>
              <w:rPr>
                <w:spacing w:val="-2"/>
                <w:sz w:val="20"/>
              </w:rPr>
              <w:t>1993-97,</w:t>
            </w:r>
            <w:r>
              <w:rPr>
                <w:spacing w:val="10"/>
                <w:sz w:val="20"/>
              </w:rPr>
              <w:t> </w:t>
            </w:r>
            <w:r>
              <w:rPr>
                <w:spacing w:val="-2"/>
                <w:sz w:val="20"/>
              </w:rPr>
              <w:t>1998-</w:t>
            </w:r>
            <w:r>
              <w:rPr>
                <w:spacing w:val="-5"/>
                <w:sz w:val="20"/>
              </w:rPr>
              <w:t>99</w:t>
            </w:r>
          </w:p>
        </w:tc>
      </w:tr>
      <w:tr>
        <w:trPr>
          <w:trHeight w:val="226" w:hRule="atLeast"/>
        </w:trPr>
        <w:tc>
          <w:tcPr>
            <w:tcW w:w="2570" w:type="dxa"/>
          </w:tcPr>
          <w:p>
            <w:pPr>
              <w:pStyle w:val="TableParagraph"/>
              <w:spacing w:line="207" w:lineRule="exact"/>
              <w:ind w:left="50"/>
              <w:rPr>
                <w:sz w:val="20"/>
              </w:rPr>
            </w:pPr>
            <w:r>
              <w:rPr>
                <w:sz w:val="20"/>
              </w:rPr>
              <w:t>Prairie</w:t>
            </w:r>
            <w:r>
              <w:rPr>
                <w:spacing w:val="-6"/>
                <w:sz w:val="20"/>
              </w:rPr>
              <w:t> </w:t>
            </w:r>
            <w:r>
              <w:rPr>
                <w:sz w:val="20"/>
              </w:rPr>
              <w:t>View</w:t>
            </w:r>
            <w:r>
              <w:rPr>
                <w:spacing w:val="-7"/>
                <w:sz w:val="20"/>
              </w:rPr>
              <w:t> </w:t>
            </w:r>
            <w:r>
              <w:rPr>
                <w:sz w:val="20"/>
              </w:rPr>
              <w:t>A&amp;M</w:t>
            </w:r>
            <w:r>
              <w:rPr>
                <w:spacing w:val="-5"/>
                <w:sz w:val="20"/>
              </w:rPr>
              <w:t> </w:t>
            </w:r>
            <w:r>
              <w:rPr>
                <w:spacing w:val="-2"/>
                <w:sz w:val="20"/>
              </w:rPr>
              <w:t>University</w:t>
            </w:r>
          </w:p>
        </w:tc>
        <w:tc>
          <w:tcPr>
            <w:tcW w:w="1986" w:type="dxa"/>
          </w:tcPr>
          <w:p>
            <w:pPr>
              <w:pStyle w:val="TableParagraph"/>
              <w:spacing w:line="207" w:lineRule="exact"/>
              <w:ind w:right="47"/>
              <w:jc w:val="right"/>
              <w:rPr>
                <w:sz w:val="20"/>
              </w:rPr>
            </w:pPr>
            <w:r>
              <w:rPr>
                <w:spacing w:val="-2"/>
                <w:sz w:val="20"/>
              </w:rPr>
              <w:t>1976-78,</w:t>
            </w:r>
            <w:r>
              <w:rPr>
                <w:spacing w:val="10"/>
                <w:sz w:val="20"/>
              </w:rPr>
              <w:t> </w:t>
            </w:r>
            <w:r>
              <w:rPr>
                <w:spacing w:val="-2"/>
                <w:sz w:val="20"/>
              </w:rPr>
              <w:t>1983-</w:t>
            </w:r>
            <w:r>
              <w:rPr>
                <w:spacing w:val="-5"/>
                <w:sz w:val="20"/>
              </w:rPr>
              <w:t>86</w:t>
            </w:r>
          </w:p>
        </w:tc>
      </w:tr>
    </w:tbl>
    <w:p>
      <w:pPr>
        <w:pStyle w:val="BodyText"/>
        <w:spacing w:before="6"/>
        <w:rPr>
          <w:b/>
          <w:sz w:val="17"/>
        </w:rPr>
      </w:pPr>
    </w:p>
    <w:p>
      <w:pPr>
        <w:spacing w:before="0"/>
        <w:ind w:left="438" w:right="0" w:firstLine="0"/>
        <w:jc w:val="left"/>
        <w:rPr>
          <w:b/>
          <w:sz w:val="20"/>
        </w:rPr>
      </w:pPr>
      <w:r>
        <w:rPr>
          <w:b/>
          <w:spacing w:val="-2"/>
          <w:sz w:val="20"/>
        </w:rPr>
        <w:t>Professional</w:t>
      </w:r>
      <w:r>
        <w:rPr>
          <w:b/>
          <w:spacing w:val="7"/>
          <w:sz w:val="20"/>
        </w:rPr>
        <w:t> </w:t>
      </w:r>
      <w:r>
        <w:rPr>
          <w:b/>
          <w:spacing w:val="-2"/>
          <w:sz w:val="20"/>
        </w:rPr>
        <w:t>Experience</w:t>
      </w:r>
    </w:p>
    <w:p>
      <w:pPr>
        <w:pStyle w:val="BodyText"/>
        <w:spacing w:before="1"/>
        <w:ind w:left="1158" w:right="1003"/>
      </w:pPr>
      <w:r>
        <w:rPr/>
        <w:t>Owner:</w:t>
      </w:r>
      <w:r>
        <w:rPr>
          <w:spacing w:val="-9"/>
        </w:rPr>
        <w:t> </w:t>
      </w:r>
      <w:r>
        <w:rPr/>
        <w:t>Wesley</w:t>
      </w:r>
      <w:r>
        <w:rPr>
          <w:spacing w:val="-7"/>
        </w:rPr>
        <w:t> </w:t>
      </w:r>
      <w:r>
        <w:rPr/>
        <w:t>H.</w:t>
      </w:r>
      <w:r>
        <w:rPr>
          <w:spacing w:val="-2"/>
        </w:rPr>
        <w:t> </w:t>
      </w:r>
      <w:r>
        <w:rPr/>
        <w:t>Henderson,</w:t>
      </w:r>
      <w:r>
        <w:rPr>
          <w:spacing w:val="-2"/>
        </w:rPr>
        <w:t> </w:t>
      </w:r>
      <w:r>
        <w:rPr/>
        <w:t>AIA,</w:t>
      </w:r>
      <w:r>
        <w:rPr>
          <w:spacing w:val="-2"/>
        </w:rPr>
        <w:t> </w:t>
      </w:r>
      <w:r>
        <w:rPr/>
        <w:t>Architectural</w:t>
      </w:r>
      <w:r>
        <w:rPr>
          <w:spacing w:val="-3"/>
        </w:rPr>
        <w:t> </w:t>
      </w:r>
      <w:r>
        <w:rPr/>
        <w:t>Services,</w:t>
      </w:r>
      <w:r>
        <w:rPr>
          <w:spacing w:val="-4"/>
        </w:rPr>
        <w:t> </w:t>
      </w:r>
      <w:r>
        <w:rPr/>
        <w:t>Dallas,</w:t>
      </w:r>
      <w:r>
        <w:rPr>
          <w:spacing w:val="-4"/>
        </w:rPr>
        <w:t> </w:t>
      </w:r>
      <w:r>
        <w:rPr/>
        <w:t>Texas</w:t>
      </w:r>
      <w:r>
        <w:rPr>
          <w:spacing w:val="-3"/>
        </w:rPr>
        <w:t> </w:t>
      </w:r>
      <w:r>
        <w:rPr/>
        <w:t>in</w:t>
      </w:r>
      <w:r>
        <w:rPr>
          <w:spacing w:val="-4"/>
        </w:rPr>
        <w:t> </w:t>
      </w:r>
      <w:r>
        <w:rPr/>
        <w:t>1993 to</w:t>
      </w:r>
      <w:r>
        <w:rPr>
          <w:spacing w:val="-4"/>
        </w:rPr>
        <w:t> </w:t>
      </w:r>
      <w:r>
        <w:rPr/>
        <w:t>2003. RAW Architecture – Los Angeles, CA – January to June, 1993</w:t>
      </w:r>
    </w:p>
    <w:p>
      <w:pPr>
        <w:pStyle w:val="BodyText"/>
        <w:spacing w:before="1"/>
        <w:ind w:left="1158" w:right="642"/>
      </w:pPr>
      <w:r>
        <w:rPr/>
        <w:t>Jeffrey</w:t>
      </w:r>
      <w:r>
        <w:rPr>
          <w:spacing w:val="-7"/>
        </w:rPr>
        <w:t> </w:t>
      </w:r>
      <w:r>
        <w:rPr/>
        <w:t>Sulkin</w:t>
      </w:r>
      <w:r>
        <w:rPr>
          <w:spacing w:val="-4"/>
        </w:rPr>
        <w:t> </w:t>
      </w:r>
      <w:r>
        <w:rPr/>
        <w:t>and</w:t>
      </w:r>
      <w:r>
        <w:rPr>
          <w:spacing w:val="-2"/>
        </w:rPr>
        <w:t> </w:t>
      </w:r>
      <w:r>
        <w:rPr/>
        <w:t>Associates</w:t>
      </w:r>
      <w:r>
        <w:rPr>
          <w:spacing w:val="-3"/>
        </w:rPr>
        <w:t> </w:t>
      </w:r>
      <w:r>
        <w:rPr/>
        <w:t>Architects</w:t>
      </w:r>
      <w:r>
        <w:rPr>
          <w:spacing w:val="-3"/>
        </w:rPr>
        <w:t> </w:t>
      </w:r>
      <w:r>
        <w:rPr/>
        <w:t>–</w:t>
      </w:r>
      <w:r>
        <w:rPr>
          <w:spacing w:val="-4"/>
        </w:rPr>
        <w:t> </w:t>
      </w:r>
      <w:r>
        <w:rPr/>
        <w:t>Santa</w:t>
      </w:r>
      <w:r>
        <w:rPr>
          <w:spacing w:val="-2"/>
        </w:rPr>
        <w:t> </w:t>
      </w:r>
      <w:r>
        <w:rPr/>
        <w:t>Monica,</w:t>
      </w:r>
      <w:r>
        <w:rPr>
          <w:spacing w:val="-4"/>
        </w:rPr>
        <w:t> </w:t>
      </w:r>
      <w:r>
        <w:rPr/>
        <w:t>CA</w:t>
      </w:r>
      <w:r>
        <w:rPr>
          <w:spacing w:val="-2"/>
        </w:rPr>
        <w:t> </w:t>
      </w:r>
      <w:r>
        <w:rPr/>
        <w:t>1992-1993.</w:t>
      </w:r>
      <w:r>
        <w:rPr>
          <w:spacing w:val="-4"/>
        </w:rPr>
        <w:t> </w:t>
      </w:r>
      <w:r>
        <w:rPr/>
        <w:t>(summer</w:t>
      </w:r>
      <w:r>
        <w:rPr>
          <w:spacing w:val="-3"/>
        </w:rPr>
        <w:t> </w:t>
      </w:r>
      <w:r>
        <w:rPr/>
        <w:t>and</w:t>
      </w:r>
      <w:r>
        <w:rPr>
          <w:spacing w:val="-2"/>
        </w:rPr>
        <w:t> </w:t>
      </w:r>
      <w:r>
        <w:rPr/>
        <w:t>P/T) Tumohr Construction Company- Inglewood, CA – Summer of 1991</w:t>
      </w:r>
    </w:p>
    <w:p>
      <w:pPr>
        <w:pStyle w:val="BodyText"/>
        <w:spacing w:before="1"/>
        <w:ind w:left="1157" w:right="3226"/>
      </w:pPr>
      <w:r>
        <w:rPr/>
        <w:t>Robert</w:t>
      </w:r>
      <w:r>
        <w:rPr>
          <w:spacing w:val="-4"/>
        </w:rPr>
        <w:t> </w:t>
      </w:r>
      <w:r>
        <w:rPr/>
        <w:t>S.</w:t>
      </w:r>
      <w:r>
        <w:rPr>
          <w:spacing w:val="-4"/>
        </w:rPr>
        <w:t> </w:t>
      </w:r>
      <w:r>
        <w:rPr/>
        <w:t>Moore,</w:t>
      </w:r>
      <w:r>
        <w:rPr>
          <w:spacing w:val="-6"/>
        </w:rPr>
        <w:t> </w:t>
      </w:r>
      <w:r>
        <w:rPr/>
        <w:t>Architect</w:t>
      </w:r>
      <w:r>
        <w:rPr>
          <w:spacing w:val="-4"/>
        </w:rPr>
        <w:t> </w:t>
      </w:r>
      <w:r>
        <w:rPr/>
        <w:t>–</w:t>
      </w:r>
      <w:r>
        <w:rPr>
          <w:spacing w:val="-6"/>
        </w:rPr>
        <w:t> </w:t>
      </w:r>
      <w:r>
        <w:rPr/>
        <w:t>Inglewood,</w:t>
      </w:r>
      <w:r>
        <w:rPr>
          <w:spacing w:val="-6"/>
        </w:rPr>
        <w:t> </w:t>
      </w:r>
      <w:r>
        <w:rPr/>
        <w:t>CA</w:t>
      </w:r>
      <w:r>
        <w:rPr>
          <w:spacing w:val="-7"/>
        </w:rPr>
        <w:t> </w:t>
      </w:r>
      <w:r>
        <w:rPr/>
        <w:t>–</w:t>
      </w:r>
      <w:r>
        <w:rPr>
          <w:spacing w:val="-4"/>
        </w:rPr>
        <w:t> </w:t>
      </w:r>
      <w:r>
        <w:rPr/>
        <w:t>Summers</w:t>
      </w:r>
      <w:r>
        <w:rPr>
          <w:spacing w:val="-5"/>
        </w:rPr>
        <w:t> </w:t>
      </w:r>
      <w:r>
        <w:rPr/>
        <w:t>1988-89-90 Archi-technics 3 – Houston – 1976-1986 (as a consultant).</w:t>
      </w:r>
    </w:p>
    <w:p>
      <w:pPr>
        <w:pStyle w:val="BodyText"/>
        <w:ind w:left="1157" w:right="3991"/>
      </w:pPr>
      <w:r>
        <w:rPr/>
        <w:t>Lloyd,</w:t>
      </w:r>
      <w:r>
        <w:rPr>
          <w:spacing w:val="-5"/>
        </w:rPr>
        <w:t> </w:t>
      </w:r>
      <w:r>
        <w:rPr/>
        <w:t>Jones,</w:t>
      </w:r>
      <w:r>
        <w:rPr>
          <w:spacing w:val="-5"/>
        </w:rPr>
        <w:t> </w:t>
      </w:r>
      <w:r>
        <w:rPr/>
        <w:t>Brewer</w:t>
      </w:r>
      <w:r>
        <w:rPr>
          <w:spacing w:val="-4"/>
        </w:rPr>
        <w:t> </w:t>
      </w:r>
      <w:r>
        <w:rPr/>
        <w:t>Architects</w:t>
      </w:r>
      <w:r>
        <w:rPr>
          <w:spacing w:val="-5"/>
        </w:rPr>
        <w:t> </w:t>
      </w:r>
      <w:r>
        <w:rPr/>
        <w:t>–</w:t>
      </w:r>
      <w:r>
        <w:rPr>
          <w:spacing w:val="-7"/>
        </w:rPr>
        <w:t> </w:t>
      </w:r>
      <w:r>
        <w:rPr/>
        <w:t>Houston</w:t>
      </w:r>
      <w:r>
        <w:rPr>
          <w:spacing w:val="-7"/>
        </w:rPr>
        <w:t> </w:t>
      </w:r>
      <w:r>
        <w:rPr/>
        <w:t>–</w:t>
      </w:r>
      <w:r>
        <w:rPr>
          <w:spacing w:val="-5"/>
        </w:rPr>
        <w:t> </w:t>
      </w:r>
      <w:r>
        <w:rPr/>
        <w:t>1981-1983 Howard Barnstone, FAIA, Architect – Houston -1981</w:t>
      </w:r>
    </w:p>
    <w:p>
      <w:pPr>
        <w:pStyle w:val="BodyText"/>
        <w:ind w:left="1157"/>
      </w:pPr>
      <w:r>
        <w:rPr/>
        <w:t>Haywood,</w:t>
      </w:r>
      <w:r>
        <w:rPr>
          <w:spacing w:val="-8"/>
        </w:rPr>
        <w:t> </w:t>
      </w:r>
      <w:r>
        <w:rPr/>
        <w:t>Jordan</w:t>
      </w:r>
      <w:r>
        <w:rPr>
          <w:spacing w:val="-7"/>
        </w:rPr>
        <w:t> </w:t>
      </w:r>
      <w:r>
        <w:rPr/>
        <w:t>&amp;</w:t>
      </w:r>
      <w:r>
        <w:rPr>
          <w:spacing w:val="-6"/>
        </w:rPr>
        <w:t> </w:t>
      </w:r>
      <w:r>
        <w:rPr/>
        <w:t>McCowan</w:t>
      </w:r>
      <w:r>
        <w:rPr>
          <w:spacing w:val="-5"/>
        </w:rPr>
        <w:t> </w:t>
      </w:r>
      <w:r>
        <w:rPr/>
        <w:t>Architects</w:t>
      </w:r>
      <w:r>
        <w:rPr>
          <w:spacing w:val="-7"/>
        </w:rPr>
        <w:t> </w:t>
      </w:r>
      <w:r>
        <w:rPr/>
        <w:t>–</w:t>
      </w:r>
      <w:r>
        <w:rPr>
          <w:spacing w:val="-4"/>
        </w:rPr>
        <w:t> </w:t>
      </w:r>
      <w:r>
        <w:rPr/>
        <w:t>Houston</w:t>
      </w:r>
      <w:r>
        <w:rPr>
          <w:spacing w:val="-8"/>
        </w:rPr>
        <w:t> </w:t>
      </w:r>
      <w:r>
        <w:rPr/>
        <w:t>–</w:t>
      </w:r>
      <w:r>
        <w:rPr>
          <w:spacing w:val="-5"/>
        </w:rPr>
        <w:t> </w:t>
      </w:r>
      <w:r>
        <w:rPr/>
        <w:t>1979-</w:t>
      </w:r>
      <w:r>
        <w:rPr>
          <w:spacing w:val="-4"/>
        </w:rPr>
        <w:t>1981</w:t>
      </w:r>
    </w:p>
    <w:p>
      <w:pPr>
        <w:pStyle w:val="BodyText"/>
        <w:ind w:left="1156"/>
      </w:pPr>
      <w:r>
        <w:rPr/>
        <w:t>S.</w:t>
      </w:r>
      <w:r>
        <w:rPr>
          <w:spacing w:val="-9"/>
        </w:rPr>
        <w:t> </w:t>
      </w:r>
      <w:r>
        <w:rPr/>
        <w:t>I.</w:t>
      </w:r>
      <w:r>
        <w:rPr>
          <w:spacing w:val="-6"/>
        </w:rPr>
        <w:t> </w:t>
      </w:r>
      <w:r>
        <w:rPr/>
        <w:t>Morris</w:t>
      </w:r>
      <w:r>
        <w:rPr>
          <w:spacing w:val="-5"/>
        </w:rPr>
        <w:t> </w:t>
      </w:r>
      <w:r>
        <w:rPr/>
        <w:t>Associates</w:t>
      </w:r>
      <w:r>
        <w:rPr>
          <w:spacing w:val="-8"/>
        </w:rPr>
        <w:t> </w:t>
      </w:r>
      <w:r>
        <w:rPr/>
        <w:t>(formerly</w:t>
      </w:r>
      <w:r>
        <w:rPr>
          <w:spacing w:val="-13"/>
        </w:rPr>
        <w:t> </w:t>
      </w:r>
      <w:r>
        <w:rPr/>
        <w:t>Morris+Aubrey)</w:t>
      </w:r>
      <w:r>
        <w:rPr>
          <w:spacing w:val="-8"/>
        </w:rPr>
        <w:t> </w:t>
      </w:r>
      <w:r>
        <w:rPr/>
        <w:t>Houston</w:t>
      </w:r>
      <w:r>
        <w:rPr>
          <w:spacing w:val="-8"/>
        </w:rPr>
        <w:t> </w:t>
      </w:r>
      <w:r>
        <w:rPr/>
        <w:t>-</w:t>
      </w:r>
      <w:r>
        <w:rPr>
          <w:spacing w:val="-7"/>
        </w:rPr>
        <w:t> </w:t>
      </w:r>
      <w:r>
        <w:rPr/>
        <w:t>1978-</w:t>
      </w:r>
      <w:r>
        <w:rPr>
          <w:spacing w:val="-4"/>
        </w:rPr>
        <w:t>1979</w:t>
      </w:r>
    </w:p>
    <w:p>
      <w:pPr>
        <w:pStyle w:val="BodyText"/>
        <w:spacing w:before="4"/>
        <w:rPr>
          <w:sz w:val="17"/>
        </w:rPr>
      </w:pPr>
    </w:p>
    <w:p>
      <w:pPr>
        <w:spacing w:before="0"/>
        <w:ind w:left="436" w:right="0" w:firstLine="0"/>
        <w:jc w:val="left"/>
        <w:rPr>
          <w:b/>
          <w:sz w:val="20"/>
        </w:rPr>
      </w:pPr>
      <w:r>
        <w:rPr>
          <w:b/>
          <w:sz w:val="20"/>
        </w:rPr>
        <w:t>Licenses</w:t>
      </w:r>
      <w:r>
        <w:rPr>
          <w:b/>
          <w:spacing w:val="-7"/>
          <w:sz w:val="20"/>
        </w:rPr>
        <w:t> </w:t>
      </w:r>
      <w:r>
        <w:rPr>
          <w:b/>
          <w:sz w:val="20"/>
        </w:rPr>
        <w:t>/</w:t>
      </w:r>
      <w:r>
        <w:rPr>
          <w:b/>
          <w:spacing w:val="-7"/>
          <w:sz w:val="20"/>
        </w:rPr>
        <w:t> </w:t>
      </w:r>
      <w:r>
        <w:rPr>
          <w:b/>
          <w:spacing w:val="-2"/>
          <w:sz w:val="20"/>
        </w:rPr>
        <w:t>Registrations:</w:t>
      </w:r>
    </w:p>
    <w:p>
      <w:pPr>
        <w:pStyle w:val="BodyText"/>
        <w:spacing w:line="229" w:lineRule="exact"/>
        <w:ind w:left="1156"/>
      </w:pPr>
      <w:r>
        <w:rPr/>
        <w:t>Texas,</w:t>
      </w:r>
      <w:r>
        <w:rPr>
          <w:spacing w:val="-6"/>
        </w:rPr>
        <w:t> </w:t>
      </w:r>
      <w:r>
        <w:rPr>
          <w:spacing w:val="-4"/>
        </w:rPr>
        <w:t>1982</w:t>
      </w:r>
    </w:p>
    <w:p>
      <w:pPr>
        <w:pStyle w:val="BodyText"/>
        <w:spacing w:line="229" w:lineRule="exact"/>
        <w:ind w:left="1156"/>
      </w:pPr>
      <w:r>
        <w:rPr/>
        <w:t>NCARB,</w:t>
      </w:r>
      <w:r>
        <w:rPr>
          <w:spacing w:val="-9"/>
        </w:rPr>
        <w:t> </w:t>
      </w:r>
      <w:r>
        <w:rPr>
          <w:spacing w:val="-4"/>
        </w:rPr>
        <w:t>2013</w:t>
      </w:r>
    </w:p>
    <w:p>
      <w:pPr>
        <w:pStyle w:val="BodyText"/>
        <w:spacing w:before="4"/>
        <w:rPr>
          <w:sz w:val="17"/>
        </w:rPr>
      </w:pPr>
    </w:p>
    <w:p>
      <w:pPr>
        <w:spacing w:before="1"/>
        <w:ind w:left="436" w:right="0" w:firstLine="0"/>
        <w:jc w:val="left"/>
        <w:rPr>
          <w:b/>
          <w:sz w:val="20"/>
        </w:rPr>
      </w:pPr>
      <w:r>
        <w:rPr>
          <w:b/>
          <w:sz w:val="20"/>
        </w:rPr>
        <w:t>Selected</w:t>
      </w:r>
      <w:r>
        <w:rPr>
          <w:b/>
          <w:spacing w:val="-8"/>
          <w:sz w:val="20"/>
        </w:rPr>
        <w:t> </w:t>
      </w:r>
      <w:r>
        <w:rPr>
          <w:b/>
          <w:sz w:val="20"/>
        </w:rPr>
        <w:t>Pulications</w:t>
      </w:r>
      <w:r>
        <w:rPr>
          <w:b/>
          <w:spacing w:val="-11"/>
          <w:sz w:val="20"/>
        </w:rPr>
        <w:t> </w:t>
      </w:r>
      <w:r>
        <w:rPr>
          <w:b/>
          <w:sz w:val="20"/>
        </w:rPr>
        <w:t>and</w:t>
      </w:r>
      <w:r>
        <w:rPr>
          <w:b/>
          <w:spacing w:val="-8"/>
          <w:sz w:val="20"/>
        </w:rPr>
        <w:t> </w:t>
      </w:r>
      <w:r>
        <w:rPr>
          <w:b/>
          <w:sz w:val="20"/>
        </w:rPr>
        <w:t>Recent</w:t>
      </w:r>
      <w:r>
        <w:rPr>
          <w:b/>
          <w:spacing w:val="-10"/>
          <w:sz w:val="20"/>
        </w:rPr>
        <w:t> </w:t>
      </w:r>
      <w:r>
        <w:rPr>
          <w:b/>
          <w:spacing w:val="-2"/>
          <w:sz w:val="20"/>
        </w:rPr>
        <w:t>Research:</w:t>
      </w:r>
    </w:p>
    <w:p>
      <w:pPr>
        <w:pStyle w:val="BodyText"/>
        <w:ind w:left="1156" w:right="712"/>
      </w:pPr>
      <w:r>
        <w:rPr/>
        <w:t>African American Architects Digital Archive for the Robert R. Taylor Network, based at MIT African</w:t>
      </w:r>
      <w:r>
        <w:rPr>
          <w:spacing w:val="-4"/>
        </w:rPr>
        <w:t> </w:t>
      </w:r>
      <w:r>
        <w:rPr/>
        <w:t>American</w:t>
      </w:r>
      <w:r>
        <w:rPr>
          <w:spacing w:val="-4"/>
        </w:rPr>
        <w:t> </w:t>
      </w:r>
      <w:r>
        <w:rPr/>
        <w:t>Architects:</w:t>
      </w:r>
      <w:r>
        <w:rPr>
          <w:spacing w:val="-4"/>
        </w:rPr>
        <w:t> </w:t>
      </w:r>
      <w:r>
        <w:rPr/>
        <w:t>A</w:t>
      </w:r>
      <w:r>
        <w:rPr>
          <w:spacing w:val="-5"/>
        </w:rPr>
        <w:t> </w:t>
      </w:r>
      <w:r>
        <w:rPr/>
        <w:t>Biographical</w:t>
      </w:r>
      <w:r>
        <w:rPr>
          <w:spacing w:val="-3"/>
        </w:rPr>
        <w:t> </w:t>
      </w:r>
      <w:r>
        <w:rPr/>
        <w:t>Dictionary</w:t>
      </w:r>
      <w:r>
        <w:rPr>
          <w:spacing w:val="-5"/>
        </w:rPr>
        <w:t> </w:t>
      </w:r>
      <w:r>
        <w:rPr/>
        <w:t>1865-1945,</w:t>
      </w:r>
      <w:r>
        <w:rPr>
          <w:spacing w:val="-4"/>
        </w:rPr>
        <w:t> </w:t>
      </w:r>
      <w:r>
        <w:rPr/>
        <w:t>New</w:t>
      </w:r>
      <w:r>
        <w:rPr>
          <w:spacing w:val="-4"/>
        </w:rPr>
        <w:t> </w:t>
      </w:r>
      <w:r>
        <w:rPr/>
        <w:t>York:</w:t>
      </w:r>
      <w:r>
        <w:rPr>
          <w:spacing w:val="-4"/>
        </w:rPr>
        <w:t> </w:t>
      </w:r>
      <w:r>
        <w:rPr/>
        <w:t>Routledge</w:t>
      </w:r>
      <w:r>
        <w:rPr>
          <w:spacing w:val="-2"/>
        </w:rPr>
        <w:t> </w:t>
      </w:r>
      <w:r>
        <w:rPr/>
        <w:t>Press, published January 2005).</w:t>
      </w:r>
    </w:p>
    <w:p>
      <w:pPr>
        <w:pStyle w:val="BodyText"/>
        <w:spacing w:before="2"/>
        <w:ind w:left="1156" w:right="642"/>
      </w:pPr>
      <w:r>
        <w:rPr/>
        <w:t>“Contradictions:</w:t>
      </w:r>
      <w:r>
        <w:rPr>
          <w:spacing w:val="-4"/>
        </w:rPr>
        <w:t> </w:t>
      </w:r>
      <w:r>
        <w:rPr/>
        <w:t>An</w:t>
      </w:r>
      <w:r>
        <w:rPr>
          <w:spacing w:val="-4"/>
        </w:rPr>
        <w:t> </w:t>
      </w:r>
      <w:r>
        <w:rPr/>
        <w:t>African-American</w:t>
      </w:r>
      <w:r>
        <w:rPr>
          <w:spacing w:val="-4"/>
        </w:rPr>
        <w:t> </w:t>
      </w:r>
      <w:r>
        <w:rPr/>
        <w:t>View</w:t>
      </w:r>
      <w:r>
        <w:rPr>
          <w:spacing w:val="-6"/>
        </w:rPr>
        <w:t> </w:t>
      </w:r>
      <w:r>
        <w:rPr/>
        <w:t>of</w:t>
      </w:r>
      <w:r>
        <w:rPr>
          <w:spacing w:val="-2"/>
        </w:rPr>
        <w:t> </w:t>
      </w:r>
      <w:r>
        <w:rPr/>
        <w:t>Aggieland”</w:t>
      </w:r>
      <w:r>
        <w:rPr>
          <w:spacing w:val="-3"/>
        </w:rPr>
        <w:t> </w:t>
      </w:r>
      <w:r>
        <w:rPr/>
        <w:t>in</w:t>
      </w:r>
      <w:r>
        <w:rPr>
          <w:spacing w:val="-4"/>
        </w:rPr>
        <w:t> </w:t>
      </w:r>
      <w:r>
        <w:rPr/>
        <w:t>CITE:</w:t>
      </w:r>
      <w:r>
        <w:rPr>
          <w:spacing w:val="-4"/>
        </w:rPr>
        <w:t> </w:t>
      </w:r>
      <w:r>
        <w:rPr/>
        <w:t>The</w:t>
      </w:r>
      <w:r>
        <w:rPr>
          <w:spacing w:val="-4"/>
        </w:rPr>
        <w:t> </w:t>
      </w:r>
      <w:r>
        <w:rPr/>
        <w:t>Architecture</w:t>
      </w:r>
      <w:r>
        <w:rPr>
          <w:spacing w:val="-4"/>
        </w:rPr>
        <w:t> </w:t>
      </w:r>
      <w:r>
        <w:rPr/>
        <w:t>and</w:t>
      </w:r>
      <w:r>
        <w:rPr>
          <w:spacing w:val="-4"/>
        </w:rPr>
        <w:t> </w:t>
      </w:r>
      <w:r>
        <w:rPr/>
        <w:t>Design Review of Houston (#41 Spring 1998), published by Rice Design Alliance, Rice University, Houston, Texas.</w:t>
      </w:r>
    </w:p>
    <w:p>
      <w:pPr>
        <w:pStyle w:val="BodyText"/>
        <w:ind w:left="1156" w:right="1770"/>
      </w:pPr>
      <w:r>
        <w:rPr/>
        <w:t>“Googie:</w:t>
      </w:r>
      <w:r>
        <w:rPr>
          <w:spacing w:val="-3"/>
        </w:rPr>
        <w:t> </w:t>
      </w:r>
      <w:r>
        <w:rPr/>
        <w:t>American</w:t>
      </w:r>
      <w:r>
        <w:rPr>
          <w:spacing w:val="-1"/>
        </w:rPr>
        <w:t> </w:t>
      </w:r>
      <w:r>
        <w:rPr/>
        <w:t>Popular Architecture</w:t>
      </w:r>
      <w:r>
        <w:rPr>
          <w:spacing w:val="-3"/>
        </w:rPr>
        <w:t> </w:t>
      </w:r>
      <w:r>
        <w:rPr/>
        <w:t>in</w:t>
      </w:r>
      <w:r>
        <w:rPr>
          <w:spacing w:val="-3"/>
        </w:rPr>
        <w:t> </w:t>
      </w:r>
      <w:r>
        <w:rPr/>
        <w:t>the</w:t>
      </w:r>
      <w:r>
        <w:rPr>
          <w:spacing w:val="-3"/>
        </w:rPr>
        <w:t> </w:t>
      </w:r>
      <w:r>
        <w:rPr/>
        <w:t>1950s and</w:t>
      </w:r>
      <w:r>
        <w:rPr>
          <w:spacing w:val="-3"/>
        </w:rPr>
        <w:t> </w:t>
      </w:r>
      <w:r>
        <w:rPr/>
        <w:t>‘60s”</w:t>
      </w:r>
      <w:r>
        <w:rPr>
          <w:spacing w:val="-2"/>
        </w:rPr>
        <w:t> </w:t>
      </w:r>
      <w:r>
        <w:rPr/>
        <w:t>in</w:t>
      </w:r>
      <w:r>
        <w:rPr>
          <w:spacing w:val="-3"/>
        </w:rPr>
        <w:t> </w:t>
      </w:r>
      <w:r>
        <w:rPr/>
        <w:t>Platform (Spring 1998),</w:t>
      </w:r>
      <w:r>
        <w:rPr>
          <w:spacing w:val="-5"/>
        </w:rPr>
        <w:t> </w:t>
      </w:r>
      <w:r>
        <w:rPr/>
        <w:t>published</w:t>
      </w:r>
      <w:r>
        <w:rPr>
          <w:spacing w:val="-4"/>
        </w:rPr>
        <w:t> </w:t>
      </w:r>
      <w:r>
        <w:rPr/>
        <w:t>by</w:t>
      </w:r>
      <w:r>
        <w:rPr>
          <w:spacing w:val="-7"/>
        </w:rPr>
        <w:t> </w:t>
      </w:r>
      <w:r>
        <w:rPr/>
        <w:t>the</w:t>
      </w:r>
      <w:r>
        <w:rPr>
          <w:spacing w:val="-4"/>
        </w:rPr>
        <w:t> </w:t>
      </w:r>
      <w:r>
        <w:rPr/>
        <w:t>School</w:t>
      </w:r>
      <w:r>
        <w:rPr>
          <w:spacing w:val="-8"/>
        </w:rPr>
        <w:t> </w:t>
      </w:r>
      <w:r>
        <w:rPr/>
        <w:t>of</w:t>
      </w:r>
      <w:r>
        <w:rPr>
          <w:spacing w:val="-4"/>
        </w:rPr>
        <w:t> </w:t>
      </w:r>
      <w:r>
        <w:rPr/>
        <w:t>Architecture</w:t>
      </w:r>
      <w:r>
        <w:rPr>
          <w:spacing w:val="-4"/>
        </w:rPr>
        <w:t> </w:t>
      </w:r>
      <w:r>
        <w:rPr/>
        <w:t>at</w:t>
      </w:r>
      <w:r>
        <w:rPr>
          <w:spacing w:val="-6"/>
        </w:rPr>
        <w:t> </w:t>
      </w:r>
      <w:r>
        <w:rPr/>
        <w:t>the</w:t>
      </w:r>
      <w:r>
        <w:rPr>
          <w:spacing w:val="-5"/>
        </w:rPr>
        <w:t> </w:t>
      </w:r>
      <w:r>
        <w:rPr/>
        <w:t>University</w:t>
      </w:r>
      <w:r>
        <w:rPr>
          <w:spacing w:val="-8"/>
        </w:rPr>
        <w:t> </w:t>
      </w:r>
      <w:r>
        <w:rPr/>
        <w:t>of</w:t>
      </w:r>
      <w:r>
        <w:rPr>
          <w:spacing w:val="-5"/>
        </w:rPr>
        <w:t> </w:t>
      </w:r>
      <w:r>
        <w:rPr/>
        <w:t>Texas</w:t>
      </w:r>
      <w:r>
        <w:rPr>
          <w:spacing w:val="-5"/>
        </w:rPr>
        <w:t> </w:t>
      </w:r>
      <w:r>
        <w:rPr/>
        <w:t>at</w:t>
      </w:r>
      <w:r>
        <w:rPr>
          <w:spacing w:val="-6"/>
        </w:rPr>
        <w:t> </w:t>
      </w:r>
      <w:r>
        <w:rPr>
          <w:spacing w:val="-2"/>
        </w:rPr>
        <w:t>Austin.</w:t>
      </w:r>
    </w:p>
    <w:p>
      <w:pPr>
        <w:pStyle w:val="BodyText"/>
        <w:ind w:left="1156" w:right="712" w:firstLine="55"/>
      </w:pPr>
      <w:r>
        <w:rPr/>
        <w:t>“Lester</w:t>
      </w:r>
      <w:r>
        <w:rPr>
          <w:spacing w:val="-3"/>
        </w:rPr>
        <w:t> </w:t>
      </w:r>
      <w:r>
        <w:rPr/>
        <w:t>O.</w:t>
      </w:r>
      <w:r>
        <w:rPr>
          <w:spacing w:val="-4"/>
        </w:rPr>
        <w:t> </w:t>
      </w:r>
      <w:r>
        <w:rPr/>
        <w:t>Bankhead</w:t>
      </w:r>
      <w:r>
        <w:rPr>
          <w:spacing w:val="-4"/>
        </w:rPr>
        <w:t> </w:t>
      </w:r>
      <w:r>
        <w:rPr/>
        <w:t>Oral</w:t>
      </w:r>
      <w:r>
        <w:rPr>
          <w:spacing w:val="-3"/>
        </w:rPr>
        <w:t> </w:t>
      </w:r>
      <w:r>
        <w:rPr/>
        <w:t>History”</w:t>
      </w:r>
      <w:r>
        <w:rPr>
          <w:spacing w:val="-1"/>
        </w:rPr>
        <w:t> </w:t>
      </w:r>
      <w:r>
        <w:rPr/>
        <w:t>1992;</w:t>
      </w:r>
      <w:r>
        <w:rPr>
          <w:spacing w:val="-4"/>
        </w:rPr>
        <w:t> </w:t>
      </w:r>
      <w:r>
        <w:rPr/>
        <w:t>“Harold</w:t>
      </w:r>
      <w:r>
        <w:rPr>
          <w:spacing w:val="-2"/>
        </w:rPr>
        <w:t> </w:t>
      </w:r>
      <w:r>
        <w:rPr/>
        <w:t>L.</w:t>
      </w:r>
      <w:r>
        <w:rPr>
          <w:spacing w:val="-6"/>
        </w:rPr>
        <w:t> </w:t>
      </w:r>
      <w:r>
        <w:rPr/>
        <w:t>Williams</w:t>
      </w:r>
      <w:r>
        <w:rPr>
          <w:spacing w:val="-3"/>
        </w:rPr>
        <w:t> </w:t>
      </w:r>
      <w:r>
        <w:rPr/>
        <w:t>Oral</w:t>
      </w:r>
      <w:r>
        <w:rPr>
          <w:spacing w:val="-5"/>
        </w:rPr>
        <w:t> </w:t>
      </w:r>
      <w:r>
        <w:rPr/>
        <w:t>History”</w:t>
      </w:r>
      <w:r>
        <w:rPr>
          <w:spacing w:val="-1"/>
        </w:rPr>
        <w:t> </w:t>
      </w:r>
      <w:r>
        <w:rPr/>
        <w:t>1993;</w:t>
      </w:r>
      <w:r>
        <w:rPr>
          <w:spacing w:val="-2"/>
        </w:rPr>
        <w:t> </w:t>
      </w:r>
      <w:r>
        <w:rPr/>
        <w:t>and</w:t>
      </w:r>
      <w:r>
        <w:rPr>
          <w:spacing w:val="-4"/>
        </w:rPr>
        <w:t> </w:t>
      </w:r>
      <w:r>
        <w:rPr/>
        <w:t>“Robert</w:t>
      </w:r>
      <w:r>
        <w:rPr>
          <w:spacing w:val="-2"/>
        </w:rPr>
        <w:t> </w:t>
      </w:r>
      <w:r>
        <w:rPr/>
        <w:t>A. Kennard Oral History” 1994 University of California at Los Angeles – Oral History Program Special Collections of the UCLA Library.</w:t>
      </w:r>
      <w:r>
        <w:rPr>
          <w:spacing w:val="40"/>
        </w:rPr>
        <w:t> </w:t>
      </w:r>
      <w:r>
        <w:rPr/>
        <w:t>These works are transcripts of interviews conducted with noted African-American architects in Los Angeles.</w:t>
      </w:r>
    </w:p>
    <w:p>
      <w:pPr>
        <w:pStyle w:val="BodyText"/>
        <w:spacing w:before="3"/>
        <w:rPr>
          <w:sz w:val="17"/>
        </w:rPr>
      </w:pPr>
    </w:p>
    <w:p>
      <w:pPr>
        <w:spacing w:before="0"/>
        <w:ind w:left="436" w:right="0" w:firstLine="0"/>
        <w:jc w:val="left"/>
        <w:rPr>
          <w:b/>
          <w:sz w:val="20"/>
        </w:rPr>
      </w:pPr>
      <w:r>
        <w:rPr>
          <w:b/>
          <w:spacing w:val="-2"/>
          <w:sz w:val="20"/>
        </w:rPr>
        <w:t>Professional</w:t>
      </w:r>
      <w:r>
        <w:rPr>
          <w:b/>
          <w:spacing w:val="5"/>
          <w:sz w:val="20"/>
        </w:rPr>
        <w:t> </w:t>
      </w:r>
      <w:r>
        <w:rPr>
          <w:b/>
          <w:spacing w:val="-2"/>
          <w:sz w:val="20"/>
        </w:rPr>
        <w:t>Memberships:</w:t>
      </w:r>
    </w:p>
    <w:p>
      <w:pPr>
        <w:pStyle w:val="BodyText"/>
        <w:spacing w:line="229" w:lineRule="exact" w:before="3"/>
        <w:ind w:left="1155"/>
      </w:pPr>
      <w:r>
        <w:rPr/>
        <w:t>American</w:t>
      </w:r>
      <w:r>
        <w:rPr>
          <w:spacing w:val="-8"/>
        </w:rPr>
        <w:t> </w:t>
      </w:r>
      <w:r>
        <w:rPr/>
        <w:t>Institute</w:t>
      </w:r>
      <w:r>
        <w:rPr>
          <w:spacing w:val="-6"/>
        </w:rPr>
        <w:t> </w:t>
      </w:r>
      <w:r>
        <w:rPr/>
        <w:t>of</w:t>
      </w:r>
      <w:r>
        <w:rPr>
          <w:spacing w:val="-5"/>
        </w:rPr>
        <w:t> </w:t>
      </w:r>
      <w:r>
        <w:rPr/>
        <w:t>Architects</w:t>
      </w:r>
      <w:r>
        <w:rPr>
          <w:spacing w:val="-7"/>
        </w:rPr>
        <w:t> </w:t>
      </w:r>
      <w:r>
        <w:rPr/>
        <w:t>(AIA)</w:t>
      </w:r>
      <w:r>
        <w:rPr>
          <w:spacing w:val="-7"/>
        </w:rPr>
        <w:t> </w:t>
      </w:r>
      <w:r>
        <w:rPr/>
        <w:t>–</w:t>
      </w:r>
      <w:r>
        <w:rPr>
          <w:spacing w:val="-7"/>
        </w:rPr>
        <w:t> </w:t>
      </w:r>
      <w:r>
        <w:rPr/>
        <w:t>Joined</w:t>
      </w:r>
      <w:r>
        <w:rPr>
          <w:spacing w:val="-6"/>
        </w:rPr>
        <w:t> </w:t>
      </w:r>
      <w:r>
        <w:rPr>
          <w:spacing w:val="-4"/>
        </w:rPr>
        <w:t>1983.</w:t>
      </w:r>
    </w:p>
    <w:p>
      <w:pPr>
        <w:pStyle w:val="BodyText"/>
        <w:ind w:left="1155" w:right="3297"/>
      </w:pPr>
      <w:r>
        <w:rPr/>
        <w:t>National</w:t>
      </w:r>
      <w:r>
        <w:rPr>
          <w:spacing w:val="-7"/>
        </w:rPr>
        <w:t> </w:t>
      </w:r>
      <w:r>
        <w:rPr/>
        <w:t>Organization</w:t>
      </w:r>
      <w:r>
        <w:rPr>
          <w:spacing w:val="-4"/>
        </w:rPr>
        <w:t> </w:t>
      </w:r>
      <w:r>
        <w:rPr/>
        <w:t>of</w:t>
      </w:r>
      <w:r>
        <w:rPr>
          <w:spacing w:val="-4"/>
        </w:rPr>
        <w:t> </w:t>
      </w:r>
      <w:r>
        <w:rPr/>
        <w:t>Minority</w:t>
      </w:r>
      <w:r>
        <w:rPr>
          <w:spacing w:val="-7"/>
        </w:rPr>
        <w:t> </w:t>
      </w:r>
      <w:r>
        <w:rPr/>
        <w:t>Architects</w:t>
      </w:r>
      <w:r>
        <w:rPr>
          <w:spacing w:val="-5"/>
        </w:rPr>
        <w:t> </w:t>
      </w:r>
      <w:r>
        <w:rPr/>
        <w:t>(NOMA)</w:t>
      </w:r>
      <w:r>
        <w:rPr>
          <w:spacing w:val="-5"/>
        </w:rPr>
        <w:t> </w:t>
      </w:r>
      <w:r>
        <w:rPr/>
        <w:t>–</w:t>
      </w:r>
      <w:r>
        <w:rPr>
          <w:spacing w:val="-4"/>
        </w:rPr>
        <w:t> </w:t>
      </w:r>
      <w:r>
        <w:rPr/>
        <w:t>Joined</w:t>
      </w:r>
      <w:r>
        <w:rPr>
          <w:spacing w:val="-6"/>
        </w:rPr>
        <w:t> </w:t>
      </w:r>
      <w:r>
        <w:rPr/>
        <w:t>1984 Society of Architectural Historians – 1992 to present</w:t>
      </w:r>
    </w:p>
    <w:p>
      <w:pPr>
        <w:pStyle w:val="BodyText"/>
        <w:ind w:left="1155"/>
      </w:pPr>
      <w:r>
        <w:rPr/>
        <w:t>National</w:t>
      </w:r>
      <w:r>
        <w:rPr>
          <w:spacing w:val="-8"/>
        </w:rPr>
        <w:t> </w:t>
      </w:r>
      <w:r>
        <w:rPr/>
        <w:t>Trust</w:t>
      </w:r>
      <w:r>
        <w:rPr>
          <w:spacing w:val="-7"/>
        </w:rPr>
        <w:t> </w:t>
      </w:r>
      <w:r>
        <w:rPr/>
        <w:t>for</w:t>
      </w:r>
      <w:r>
        <w:rPr>
          <w:spacing w:val="-6"/>
        </w:rPr>
        <w:t> </w:t>
      </w:r>
      <w:r>
        <w:rPr/>
        <w:t>Historic</w:t>
      </w:r>
      <w:r>
        <w:rPr>
          <w:spacing w:val="-5"/>
        </w:rPr>
        <w:t> </w:t>
      </w:r>
      <w:r>
        <w:rPr/>
        <w:t>Preservation</w:t>
      </w:r>
      <w:r>
        <w:rPr>
          <w:spacing w:val="-4"/>
        </w:rPr>
        <w:t> </w:t>
      </w:r>
      <w:r>
        <w:rPr/>
        <w:t>–</w:t>
      </w:r>
      <w:r>
        <w:rPr>
          <w:spacing w:val="-6"/>
        </w:rPr>
        <w:t> </w:t>
      </w:r>
      <w:r>
        <w:rPr/>
        <w:t>1993</w:t>
      </w:r>
      <w:r>
        <w:rPr>
          <w:spacing w:val="-5"/>
        </w:rPr>
        <w:t> </w:t>
      </w:r>
      <w:r>
        <w:rPr/>
        <w:t>to</w:t>
      </w:r>
      <w:r>
        <w:rPr>
          <w:spacing w:val="-7"/>
        </w:rPr>
        <w:t> </w:t>
      </w:r>
      <w:r>
        <w:rPr>
          <w:spacing w:val="-2"/>
        </w:rPr>
        <w:t>present</w:t>
      </w:r>
    </w:p>
    <w:p>
      <w:pPr>
        <w:spacing w:after="0"/>
        <w:sectPr>
          <w:headerReference w:type="default" r:id="rId261"/>
          <w:footerReference w:type="default" r:id="rId262"/>
          <w:pgSz w:w="12240" w:h="15840"/>
          <w:pgMar w:header="0" w:footer="974" w:top="920" w:bottom="1160" w:left="1000" w:right="820"/>
        </w:sectPr>
      </w:pPr>
    </w:p>
    <w:p>
      <w:pPr>
        <w:spacing w:before="63"/>
        <w:ind w:left="440" w:right="0" w:firstLine="0"/>
        <w:jc w:val="both"/>
        <w:rPr>
          <w:b/>
          <w:sz w:val="20"/>
        </w:rPr>
      </w:pPr>
      <w:r>
        <w:rPr>
          <w:b/>
          <w:sz w:val="20"/>
        </w:rPr>
        <w:t>Kloster,</w:t>
      </w:r>
      <w:r>
        <w:rPr>
          <w:b/>
          <w:spacing w:val="-10"/>
          <w:sz w:val="20"/>
        </w:rPr>
        <w:t> </w:t>
      </w:r>
      <w:r>
        <w:rPr>
          <w:b/>
          <w:sz w:val="20"/>
        </w:rPr>
        <w:t>Ronald,</w:t>
      </w:r>
      <w:r>
        <w:rPr>
          <w:b/>
          <w:spacing w:val="-6"/>
          <w:sz w:val="20"/>
        </w:rPr>
        <w:t> </w:t>
      </w:r>
      <w:r>
        <w:rPr>
          <w:b/>
          <w:sz w:val="20"/>
        </w:rPr>
        <w:t>Assistant</w:t>
      </w:r>
      <w:r>
        <w:rPr>
          <w:b/>
          <w:spacing w:val="-10"/>
          <w:sz w:val="20"/>
        </w:rPr>
        <w:t> </w:t>
      </w:r>
      <w:r>
        <w:rPr>
          <w:b/>
          <w:sz w:val="20"/>
        </w:rPr>
        <w:t>Professor</w:t>
      </w:r>
      <w:r>
        <w:rPr>
          <w:b/>
          <w:spacing w:val="-12"/>
          <w:sz w:val="20"/>
        </w:rPr>
        <w:t> </w:t>
      </w:r>
      <w:r>
        <w:rPr>
          <w:b/>
          <w:sz w:val="20"/>
        </w:rPr>
        <w:t>of</w:t>
      </w:r>
      <w:r>
        <w:rPr>
          <w:b/>
          <w:spacing w:val="-6"/>
          <w:sz w:val="20"/>
        </w:rPr>
        <w:t> </w:t>
      </w:r>
      <w:r>
        <w:rPr>
          <w:b/>
          <w:sz w:val="20"/>
        </w:rPr>
        <w:t>Architecture,</w:t>
      </w:r>
      <w:r>
        <w:rPr>
          <w:b/>
          <w:spacing w:val="-11"/>
          <w:sz w:val="20"/>
        </w:rPr>
        <w:t> </w:t>
      </w:r>
      <w:r>
        <w:rPr>
          <w:b/>
          <w:spacing w:val="-2"/>
          <w:sz w:val="20"/>
        </w:rPr>
        <w:t>Tenured</w:t>
      </w:r>
    </w:p>
    <w:p>
      <w:pPr>
        <w:pStyle w:val="BodyText"/>
        <w:spacing w:before="7"/>
        <w:rPr>
          <w:b/>
          <w:sz w:val="17"/>
        </w:rPr>
      </w:pPr>
    </w:p>
    <w:p>
      <w:pPr>
        <w:spacing w:before="0"/>
        <w:ind w:left="440" w:right="0" w:firstLine="0"/>
        <w:jc w:val="both"/>
        <w:rPr>
          <w:b/>
          <w:sz w:val="20"/>
        </w:rPr>
      </w:pPr>
      <w:r>
        <w:rPr>
          <w:b/>
          <w:sz w:val="20"/>
        </w:rPr>
        <w:t>Courses</w:t>
      </w:r>
      <w:r>
        <w:rPr>
          <w:b/>
          <w:spacing w:val="-7"/>
          <w:sz w:val="20"/>
        </w:rPr>
        <w:t> </w:t>
      </w:r>
      <w:r>
        <w:rPr>
          <w:b/>
          <w:sz w:val="20"/>
        </w:rPr>
        <w:t>Taught</w:t>
      </w:r>
      <w:r>
        <w:rPr>
          <w:b/>
          <w:spacing w:val="-7"/>
          <w:sz w:val="20"/>
        </w:rPr>
        <w:t> </w:t>
      </w:r>
      <w:r>
        <w:rPr>
          <w:b/>
          <w:sz w:val="20"/>
        </w:rPr>
        <w:t>(during</w:t>
      </w:r>
      <w:r>
        <w:rPr>
          <w:b/>
          <w:spacing w:val="-7"/>
          <w:sz w:val="20"/>
        </w:rPr>
        <w:t> </w:t>
      </w:r>
      <w:r>
        <w:rPr>
          <w:b/>
          <w:sz w:val="20"/>
        </w:rPr>
        <w:t>the</w:t>
      </w:r>
      <w:r>
        <w:rPr>
          <w:b/>
          <w:spacing w:val="-8"/>
          <w:sz w:val="20"/>
        </w:rPr>
        <w:t> </w:t>
      </w:r>
      <w:r>
        <w:rPr>
          <w:b/>
          <w:sz w:val="20"/>
        </w:rPr>
        <w:t>past</w:t>
      </w:r>
      <w:r>
        <w:rPr>
          <w:b/>
          <w:spacing w:val="-7"/>
          <w:sz w:val="20"/>
        </w:rPr>
        <w:t> </w:t>
      </w:r>
      <w:r>
        <w:rPr>
          <w:b/>
          <w:sz w:val="20"/>
        </w:rPr>
        <w:t>two</w:t>
      </w:r>
      <w:r>
        <w:rPr>
          <w:b/>
          <w:spacing w:val="-7"/>
          <w:sz w:val="20"/>
        </w:rPr>
        <w:t> </w:t>
      </w:r>
      <w:r>
        <w:rPr>
          <w:b/>
          <w:sz w:val="20"/>
        </w:rPr>
        <w:t>academic</w:t>
      </w:r>
      <w:r>
        <w:rPr>
          <w:b/>
          <w:spacing w:val="-4"/>
          <w:sz w:val="20"/>
        </w:rPr>
        <w:t> </w:t>
      </w:r>
      <w:r>
        <w:rPr>
          <w:b/>
          <w:spacing w:val="-2"/>
          <w:sz w:val="20"/>
        </w:rPr>
        <w:t>years):</w:t>
      </w:r>
    </w:p>
    <w:p>
      <w:pPr>
        <w:pStyle w:val="BodyText"/>
        <w:ind w:left="1159" w:right="2559"/>
        <w:jc w:val="both"/>
      </w:pPr>
      <w:r>
        <w:rPr/>
        <w:t>Fall</w:t>
      </w:r>
      <w:r>
        <w:rPr>
          <w:spacing w:val="-4"/>
        </w:rPr>
        <w:t> </w:t>
      </w:r>
      <w:r>
        <w:rPr/>
        <w:t>2013:</w:t>
      </w:r>
      <w:r>
        <w:rPr>
          <w:spacing w:val="-3"/>
        </w:rPr>
        <w:t> </w:t>
      </w:r>
      <w:r>
        <w:rPr/>
        <w:t>ARC</w:t>
      </w:r>
      <w:r>
        <w:rPr>
          <w:spacing w:val="-2"/>
        </w:rPr>
        <w:t> </w:t>
      </w:r>
      <w:r>
        <w:rPr/>
        <w:t>101</w:t>
      </w:r>
      <w:r>
        <w:rPr>
          <w:spacing w:val="-3"/>
        </w:rPr>
        <w:t> </w:t>
      </w:r>
      <w:r>
        <w:rPr/>
        <w:t>–</w:t>
      </w:r>
      <w:r>
        <w:rPr>
          <w:spacing w:val="-4"/>
        </w:rPr>
        <w:t> </w:t>
      </w:r>
      <w:r>
        <w:rPr/>
        <w:t>Grph</w:t>
      </w:r>
      <w:r>
        <w:rPr>
          <w:spacing w:val="-3"/>
        </w:rPr>
        <w:t> </w:t>
      </w:r>
      <w:r>
        <w:rPr/>
        <w:t>Comm Bsc</w:t>
      </w:r>
      <w:r>
        <w:rPr>
          <w:spacing w:val="-4"/>
        </w:rPr>
        <w:t> </w:t>
      </w:r>
      <w:r>
        <w:rPr/>
        <w:t>Des</w:t>
      </w:r>
      <w:r>
        <w:rPr>
          <w:spacing w:val="-4"/>
        </w:rPr>
        <w:t> </w:t>
      </w:r>
      <w:r>
        <w:rPr/>
        <w:t>I;</w:t>
      </w:r>
      <w:r>
        <w:rPr>
          <w:spacing w:val="-4"/>
        </w:rPr>
        <w:t> </w:t>
      </w:r>
      <w:r>
        <w:rPr/>
        <w:t>ARC</w:t>
      </w:r>
      <w:r>
        <w:rPr>
          <w:spacing w:val="-5"/>
        </w:rPr>
        <w:t> </w:t>
      </w:r>
      <w:r>
        <w:rPr/>
        <w:t>314</w:t>
      </w:r>
      <w:r>
        <w:rPr>
          <w:spacing w:val="-4"/>
        </w:rPr>
        <w:t> </w:t>
      </w:r>
      <w:r>
        <w:rPr/>
        <w:t>–</w:t>
      </w:r>
      <w:r>
        <w:rPr>
          <w:spacing w:val="-2"/>
        </w:rPr>
        <w:t> </w:t>
      </w:r>
      <w:r>
        <w:rPr/>
        <w:t>Building</w:t>
      </w:r>
      <w:r>
        <w:rPr>
          <w:spacing w:val="-4"/>
        </w:rPr>
        <w:t> </w:t>
      </w:r>
      <w:r>
        <w:rPr/>
        <w:t>Science</w:t>
      </w:r>
      <w:r>
        <w:rPr>
          <w:spacing w:val="-5"/>
        </w:rPr>
        <w:t> </w:t>
      </w:r>
      <w:r>
        <w:rPr/>
        <w:t>I Spring</w:t>
      </w:r>
      <w:r>
        <w:rPr>
          <w:spacing w:val="-1"/>
        </w:rPr>
        <w:t> </w:t>
      </w:r>
      <w:r>
        <w:rPr/>
        <w:t>2013:</w:t>
      </w:r>
      <w:r>
        <w:rPr>
          <w:spacing w:val="-1"/>
        </w:rPr>
        <w:t> </w:t>
      </w:r>
      <w:r>
        <w:rPr/>
        <w:t>ARC</w:t>
      </w:r>
      <w:r>
        <w:rPr>
          <w:spacing w:val="-1"/>
        </w:rPr>
        <w:t> </w:t>
      </w:r>
      <w:r>
        <w:rPr/>
        <w:t>102</w:t>
      </w:r>
      <w:r>
        <w:rPr>
          <w:spacing w:val="-1"/>
        </w:rPr>
        <w:t> </w:t>
      </w:r>
      <w:r>
        <w:rPr/>
        <w:t>– Grph</w:t>
      </w:r>
      <w:r>
        <w:rPr>
          <w:spacing w:val="-1"/>
        </w:rPr>
        <w:t> </w:t>
      </w:r>
      <w:r>
        <w:rPr/>
        <w:t>Comm Bsc Des II;</w:t>
      </w:r>
      <w:r>
        <w:rPr>
          <w:spacing w:val="-1"/>
        </w:rPr>
        <w:t> </w:t>
      </w:r>
      <w:r>
        <w:rPr/>
        <w:t>Intro to</w:t>
      </w:r>
      <w:r>
        <w:rPr>
          <w:spacing w:val="-1"/>
        </w:rPr>
        <w:t> </w:t>
      </w:r>
      <w:r>
        <w:rPr/>
        <w:t>Building Science</w:t>
      </w:r>
      <w:r>
        <w:rPr>
          <w:spacing w:val="-1"/>
        </w:rPr>
        <w:t> </w:t>
      </w:r>
      <w:r>
        <w:rPr/>
        <w:t>I Summer 2013:</w:t>
      </w:r>
      <w:r>
        <w:rPr>
          <w:spacing w:val="40"/>
        </w:rPr>
        <w:t> </w:t>
      </w:r>
      <w:r>
        <w:rPr/>
        <w:t>ARC 202 – Bas Arch Des II</w:t>
      </w:r>
    </w:p>
    <w:p>
      <w:pPr>
        <w:pStyle w:val="BodyText"/>
        <w:ind w:left="1159" w:right="1277"/>
      </w:pPr>
      <w:r>
        <w:rPr/>
        <w:t>Fall 2014: ARC 101 – Grph Comm Bsc Des I; ARC 530 – Arch Elective (Arch Drawing) Spring</w:t>
      </w:r>
      <w:r>
        <w:rPr>
          <w:spacing w:val="-4"/>
        </w:rPr>
        <w:t> </w:t>
      </w:r>
      <w:r>
        <w:rPr/>
        <w:t>2014:</w:t>
      </w:r>
      <w:r>
        <w:rPr>
          <w:spacing w:val="-4"/>
        </w:rPr>
        <w:t> </w:t>
      </w:r>
      <w:r>
        <w:rPr/>
        <w:t>ARC</w:t>
      </w:r>
      <w:r>
        <w:rPr>
          <w:spacing w:val="-4"/>
        </w:rPr>
        <w:t> </w:t>
      </w:r>
      <w:r>
        <w:rPr/>
        <w:t>102</w:t>
      </w:r>
      <w:r>
        <w:rPr>
          <w:spacing w:val="-4"/>
        </w:rPr>
        <w:t> </w:t>
      </w:r>
      <w:r>
        <w:rPr/>
        <w:t>–</w:t>
      </w:r>
      <w:r>
        <w:rPr>
          <w:spacing w:val="-1"/>
        </w:rPr>
        <w:t> </w:t>
      </w:r>
      <w:r>
        <w:rPr/>
        <w:t>Grph</w:t>
      </w:r>
      <w:r>
        <w:rPr>
          <w:spacing w:val="-4"/>
        </w:rPr>
        <w:t> </w:t>
      </w:r>
      <w:r>
        <w:rPr/>
        <w:t>Comm Bsc</w:t>
      </w:r>
      <w:r>
        <w:rPr>
          <w:spacing w:val="-3"/>
        </w:rPr>
        <w:t> </w:t>
      </w:r>
      <w:r>
        <w:rPr/>
        <w:t>Des</w:t>
      </w:r>
      <w:r>
        <w:rPr>
          <w:spacing w:val="-3"/>
        </w:rPr>
        <w:t> </w:t>
      </w:r>
      <w:r>
        <w:rPr/>
        <w:t>II;</w:t>
      </w:r>
      <w:r>
        <w:rPr>
          <w:spacing w:val="-4"/>
        </w:rPr>
        <w:t> </w:t>
      </w:r>
      <w:r>
        <w:rPr/>
        <w:t>ARC 430</w:t>
      </w:r>
      <w:r>
        <w:rPr>
          <w:spacing w:val="-1"/>
        </w:rPr>
        <w:t> </w:t>
      </w:r>
      <w:r>
        <w:rPr/>
        <w:t>–</w:t>
      </w:r>
      <w:r>
        <w:rPr>
          <w:spacing w:val="-4"/>
        </w:rPr>
        <w:t> </w:t>
      </w:r>
      <w:r>
        <w:rPr/>
        <w:t>Arch</w:t>
      </w:r>
      <w:r>
        <w:rPr>
          <w:spacing w:val="-2"/>
        </w:rPr>
        <w:t> </w:t>
      </w:r>
      <w:r>
        <w:rPr/>
        <w:t>Elective</w:t>
      </w:r>
      <w:r>
        <w:rPr>
          <w:spacing w:val="-4"/>
        </w:rPr>
        <w:t> </w:t>
      </w:r>
      <w:r>
        <w:rPr/>
        <w:t>(Arch</w:t>
      </w:r>
      <w:r>
        <w:rPr>
          <w:spacing w:val="-4"/>
        </w:rPr>
        <w:t> </w:t>
      </w:r>
      <w:r>
        <w:rPr/>
        <w:t>Drawing)</w:t>
      </w:r>
    </w:p>
    <w:p>
      <w:pPr>
        <w:pStyle w:val="BodyText"/>
        <w:ind w:left="1159" w:right="642"/>
      </w:pPr>
      <w:r>
        <w:rPr/>
        <w:t>Summer</w:t>
      </w:r>
      <w:r>
        <w:rPr>
          <w:spacing w:val="-3"/>
        </w:rPr>
        <w:t> </w:t>
      </w:r>
      <w:r>
        <w:rPr/>
        <w:t>2014:</w:t>
      </w:r>
      <w:r>
        <w:rPr>
          <w:spacing w:val="40"/>
        </w:rPr>
        <w:t> </w:t>
      </w:r>
      <w:r>
        <w:rPr/>
        <w:t>ARC</w:t>
      </w:r>
      <w:r>
        <w:rPr>
          <w:spacing w:val="-4"/>
        </w:rPr>
        <w:t> </w:t>
      </w:r>
      <w:r>
        <w:rPr/>
        <w:t>102</w:t>
      </w:r>
      <w:r>
        <w:rPr>
          <w:spacing w:val="-1"/>
        </w:rPr>
        <w:t> </w:t>
      </w:r>
      <w:r>
        <w:rPr/>
        <w:t>–</w:t>
      </w:r>
      <w:r>
        <w:rPr>
          <w:spacing w:val="-2"/>
        </w:rPr>
        <w:t> </w:t>
      </w:r>
      <w:r>
        <w:rPr/>
        <w:t>Basic Arch</w:t>
      </w:r>
      <w:r>
        <w:rPr>
          <w:spacing w:val="-4"/>
        </w:rPr>
        <w:t> </w:t>
      </w:r>
      <w:r>
        <w:rPr/>
        <w:t>Des</w:t>
      </w:r>
      <w:r>
        <w:rPr>
          <w:spacing w:val="-3"/>
        </w:rPr>
        <w:t> </w:t>
      </w:r>
      <w:r>
        <w:rPr/>
        <w:t>I;</w:t>
      </w:r>
      <w:r>
        <w:rPr>
          <w:spacing w:val="-2"/>
        </w:rPr>
        <w:t> </w:t>
      </w:r>
      <w:r>
        <w:rPr/>
        <w:t>ARC</w:t>
      </w:r>
      <w:r>
        <w:rPr>
          <w:spacing w:val="-1"/>
        </w:rPr>
        <w:t> </w:t>
      </w:r>
      <w:r>
        <w:rPr/>
        <w:t>202</w:t>
      </w:r>
      <w:r>
        <w:rPr>
          <w:spacing w:val="-4"/>
        </w:rPr>
        <w:t> </w:t>
      </w:r>
      <w:r>
        <w:rPr/>
        <w:t>–</w:t>
      </w:r>
      <w:r>
        <w:rPr>
          <w:spacing w:val="-1"/>
        </w:rPr>
        <w:t> </w:t>
      </w:r>
      <w:r>
        <w:rPr/>
        <w:t>Basic Arch</w:t>
      </w:r>
      <w:r>
        <w:rPr>
          <w:spacing w:val="-4"/>
        </w:rPr>
        <w:t> </w:t>
      </w:r>
      <w:r>
        <w:rPr/>
        <w:t>Des</w:t>
      </w:r>
      <w:r>
        <w:rPr>
          <w:spacing w:val="-3"/>
        </w:rPr>
        <w:t> </w:t>
      </w:r>
      <w:r>
        <w:rPr/>
        <w:t>II;</w:t>
      </w:r>
      <w:r>
        <w:rPr>
          <w:spacing w:val="-2"/>
        </w:rPr>
        <w:t> </w:t>
      </w:r>
      <w:r>
        <w:rPr/>
        <w:t>ARC</w:t>
      </w:r>
      <w:r>
        <w:rPr>
          <w:spacing w:val="-1"/>
        </w:rPr>
        <w:t> </w:t>
      </w:r>
      <w:r>
        <w:rPr/>
        <w:t>304</w:t>
      </w:r>
      <w:r>
        <w:rPr>
          <w:spacing w:val="-2"/>
        </w:rPr>
        <w:t> </w:t>
      </w:r>
      <w:r>
        <w:rPr/>
        <w:t>–</w:t>
      </w:r>
      <w:r>
        <w:rPr>
          <w:spacing w:val="-4"/>
        </w:rPr>
        <w:t> </w:t>
      </w:r>
      <w:r>
        <w:rPr/>
        <w:t>Interm Arch Des II; ARC 406 – Adv Arch Des II</w:t>
      </w:r>
    </w:p>
    <w:p>
      <w:pPr>
        <w:pStyle w:val="BodyText"/>
        <w:spacing w:before="5"/>
        <w:rPr>
          <w:sz w:val="17"/>
        </w:rPr>
      </w:pPr>
    </w:p>
    <w:p>
      <w:pPr>
        <w:spacing w:before="0"/>
        <w:ind w:left="439" w:right="0" w:firstLine="0"/>
        <w:jc w:val="left"/>
        <w:rPr>
          <w:b/>
          <w:sz w:val="20"/>
        </w:rPr>
      </w:pPr>
      <w:r>
        <w:rPr>
          <w:b/>
          <w:spacing w:val="-2"/>
          <w:sz w:val="20"/>
        </w:rPr>
        <w:t>Educational</w:t>
      </w:r>
      <w:r>
        <w:rPr>
          <w:b/>
          <w:spacing w:val="6"/>
          <w:sz w:val="20"/>
        </w:rPr>
        <w:t> </w:t>
      </w:r>
      <w:r>
        <w:rPr>
          <w:b/>
          <w:spacing w:val="-2"/>
          <w:sz w:val="20"/>
        </w:rPr>
        <w:t>Credentials:</w:t>
      </w:r>
    </w:p>
    <w:p>
      <w:pPr>
        <w:pStyle w:val="BodyText"/>
        <w:spacing w:before="1"/>
        <w:ind w:left="1159"/>
      </w:pPr>
      <w:r>
        <w:rPr/>
        <w:t>Master</w:t>
      </w:r>
      <w:r>
        <w:rPr>
          <w:spacing w:val="-8"/>
        </w:rPr>
        <w:t> </w:t>
      </w:r>
      <w:r>
        <w:rPr/>
        <w:t>of</w:t>
      </w:r>
      <w:r>
        <w:rPr>
          <w:spacing w:val="-7"/>
        </w:rPr>
        <w:t> </w:t>
      </w:r>
      <w:r>
        <w:rPr/>
        <w:t>Architecture,</w:t>
      </w:r>
      <w:r>
        <w:rPr>
          <w:spacing w:val="-6"/>
        </w:rPr>
        <w:t> </w:t>
      </w:r>
      <w:r>
        <w:rPr/>
        <w:t>University</w:t>
      </w:r>
      <w:r>
        <w:rPr>
          <w:spacing w:val="-11"/>
        </w:rPr>
        <w:t> </w:t>
      </w:r>
      <w:r>
        <w:rPr/>
        <w:t>of</w:t>
      </w:r>
      <w:r>
        <w:rPr>
          <w:spacing w:val="-7"/>
        </w:rPr>
        <w:t> </w:t>
      </w:r>
      <w:r>
        <w:rPr/>
        <w:t>Virginia,</w:t>
      </w:r>
      <w:r>
        <w:rPr>
          <w:spacing w:val="-8"/>
        </w:rPr>
        <w:t> </w:t>
      </w:r>
      <w:r>
        <w:rPr>
          <w:spacing w:val="-4"/>
        </w:rPr>
        <w:t>1988</w:t>
      </w:r>
    </w:p>
    <w:p>
      <w:pPr>
        <w:pStyle w:val="BodyText"/>
        <w:ind w:left="1159"/>
      </w:pPr>
      <w:r>
        <w:rPr/>
        <w:t>Bachelor</w:t>
      </w:r>
      <w:r>
        <w:rPr>
          <w:spacing w:val="-11"/>
        </w:rPr>
        <w:t> </w:t>
      </w:r>
      <w:r>
        <w:rPr/>
        <w:t>of</w:t>
      </w:r>
      <w:r>
        <w:rPr>
          <w:spacing w:val="-5"/>
        </w:rPr>
        <w:t> </w:t>
      </w:r>
      <w:r>
        <w:rPr/>
        <w:t>Arts</w:t>
      </w:r>
      <w:r>
        <w:rPr>
          <w:spacing w:val="-3"/>
        </w:rPr>
        <w:t> </w:t>
      </w:r>
      <w:r>
        <w:rPr/>
        <w:t>in</w:t>
      </w:r>
      <w:r>
        <w:rPr>
          <w:spacing w:val="-5"/>
        </w:rPr>
        <w:t> </w:t>
      </w:r>
      <w:r>
        <w:rPr/>
        <w:t>Art</w:t>
      </w:r>
      <w:r>
        <w:rPr>
          <w:spacing w:val="-6"/>
        </w:rPr>
        <w:t> </w:t>
      </w:r>
      <w:r>
        <w:rPr/>
        <w:t>History,</w:t>
      </w:r>
      <w:r>
        <w:rPr>
          <w:spacing w:val="-7"/>
        </w:rPr>
        <w:t> </w:t>
      </w:r>
      <w:r>
        <w:rPr/>
        <w:t>University</w:t>
      </w:r>
      <w:r>
        <w:rPr>
          <w:spacing w:val="-10"/>
        </w:rPr>
        <w:t> </w:t>
      </w:r>
      <w:r>
        <w:rPr/>
        <w:t>of</w:t>
      </w:r>
      <w:r>
        <w:rPr>
          <w:spacing w:val="-8"/>
        </w:rPr>
        <w:t> </w:t>
      </w:r>
      <w:r>
        <w:rPr/>
        <w:t>Washington,</w:t>
      </w:r>
      <w:r>
        <w:rPr>
          <w:spacing w:val="-14"/>
        </w:rPr>
        <w:t> </w:t>
      </w:r>
      <w:r>
        <w:rPr>
          <w:spacing w:val="-4"/>
        </w:rPr>
        <w:t>1976</w:t>
      </w:r>
    </w:p>
    <w:p>
      <w:pPr>
        <w:spacing w:before="197"/>
        <w:ind w:left="439" w:right="0" w:firstLine="0"/>
        <w:jc w:val="left"/>
        <w:rPr>
          <w:b/>
          <w:sz w:val="20"/>
        </w:rPr>
      </w:pPr>
      <w:r>
        <w:rPr>
          <w:b/>
          <w:sz w:val="20"/>
        </w:rPr>
        <w:t>Teaching</w:t>
      </w:r>
      <w:r>
        <w:rPr>
          <w:b/>
          <w:spacing w:val="-10"/>
          <w:sz w:val="20"/>
        </w:rPr>
        <w:t> </w:t>
      </w:r>
      <w:r>
        <w:rPr>
          <w:b/>
          <w:spacing w:val="-2"/>
          <w:sz w:val="20"/>
        </w:rPr>
        <w:t>Experience</w:t>
      </w:r>
    </w:p>
    <w:p>
      <w:pPr>
        <w:pStyle w:val="BodyText"/>
        <w:tabs>
          <w:tab w:pos="2599" w:val="left" w:leader="none"/>
        </w:tabs>
        <w:spacing w:line="229" w:lineRule="exact" w:before="3"/>
        <w:ind w:left="1159"/>
      </w:pPr>
      <w:r>
        <w:rPr>
          <w:w w:val="95"/>
        </w:rPr>
        <w:t>1991-</w:t>
      </w:r>
      <w:r>
        <w:rPr>
          <w:spacing w:val="-2"/>
        </w:rPr>
        <w:t>present</w:t>
      </w:r>
      <w:r>
        <w:rPr/>
        <w:tab/>
        <w:t>Hampton</w:t>
      </w:r>
      <w:r>
        <w:rPr>
          <w:spacing w:val="-10"/>
        </w:rPr>
        <w:t> </w:t>
      </w:r>
      <w:r>
        <w:rPr>
          <w:spacing w:val="-2"/>
        </w:rPr>
        <w:t>University</w:t>
      </w:r>
    </w:p>
    <w:p>
      <w:pPr>
        <w:pStyle w:val="BodyText"/>
        <w:tabs>
          <w:tab w:pos="1879" w:val="left" w:leader="none"/>
        </w:tabs>
        <w:spacing w:line="229" w:lineRule="exact"/>
        <w:ind w:left="1159"/>
      </w:pPr>
      <w:r>
        <w:rPr>
          <w:spacing w:val="-4"/>
        </w:rPr>
        <w:t>2007</w:t>
      </w:r>
      <w:r>
        <w:rPr/>
        <w:tab/>
        <w:t>Served</w:t>
      </w:r>
      <w:r>
        <w:rPr>
          <w:spacing w:val="-7"/>
        </w:rPr>
        <w:t> </w:t>
      </w:r>
      <w:r>
        <w:rPr/>
        <w:t>as</w:t>
      </w:r>
      <w:r>
        <w:rPr>
          <w:spacing w:val="-7"/>
        </w:rPr>
        <w:t> </w:t>
      </w:r>
      <w:r>
        <w:rPr/>
        <w:t>Chair,</w:t>
      </w:r>
      <w:r>
        <w:rPr>
          <w:spacing w:val="-9"/>
        </w:rPr>
        <w:t> </w:t>
      </w:r>
      <w:r>
        <w:rPr/>
        <w:t>Department</w:t>
      </w:r>
      <w:r>
        <w:rPr>
          <w:spacing w:val="-8"/>
        </w:rPr>
        <w:t> </w:t>
      </w:r>
      <w:r>
        <w:rPr/>
        <w:t>of</w:t>
      </w:r>
      <w:r>
        <w:rPr>
          <w:spacing w:val="-6"/>
        </w:rPr>
        <w:t> </w:t>
      </w:r>
      <w:r>
        <w:rPr/>
        <w:t>Architecture,</w:t>
      </w:r>
      <w:r>
        <w:rPr>
          <w:spacing w:val="-9"/>
        </w:rPr>
        <w:t> </w:t>
      </w:r>
      <w:r>
        <w:rPr/>
        <w:t>Hampton</w:t>
      </w:r>
      <w:r>
        <w:rPr>
          <w:spacing w:val="-8"/>
        </w:rPr>
        <w:t> </w:t>
      </w:r>
      <w:r>
        <w:rPr>
          <w:spacing w:val="-2"/>
        </w:rPr>
        <w:t>University</w:t>
      </w:r>
    </w:p>
    <w:p>
      <w:pPr>
        <w:pStyle w:val="BodyText"/>
        <w:spacing w:before="4"/>
        <w:rPr>
          <w:sz w:val="17"/>
        </w:rPr>
      </w:pPr>
    </w:p>
    <w:p>
      <w:pPr>
        <w:spacing w:before="1"/>
        <w:ind w:left="439" w:right="0" w:firstLine="0"/>
        <w:jc w:val="left"/>
        <w:rPr>
          <w:b/>
          <w:sz w:val="20"/>
        </w:rPr>
      </w:pPr>
      <w:r>
        <w:rPr>
          <w:b/>
          <w:spacing w:val="-2"/>
          <w:sz w:val="20"/>
        </w:rPr>
        <w:t>Professional</w:t>
      </w:r>
      <w:r>
        <w:rPr>
          <w:b/>
          <w:spacing w:val="7"/>
          <w:sz w:val="20"/>
        </w:rPr>
        <w:t> </w:t>
      </w:r>
      <w:r>
        <w:rPr>
          <w:b/>
          <w:spacing w:val="-2"/>
          <w:sz w:val="20"/>
        </w:rPr>
        <w:t>Experience</w:t>
      </w:r>
    </w:p>
    <w:p>
      <w:pPr>
        <w:pStyle w:val="BodyText"/>
        <w:ind w:left="1159" w:right="3669"/>
      </w:pPr>
      <w:r>
        <w:rPr/>
        <w:t>Williams</w:t>
      </w:r>
      <w:r>
        <w:rPr>
          <w:spacing w:val="-7"/>
        </w:rPr>
        <w:t> </w:t>
      </w:r>
      <w:r>
        <w:rPr/>
        <w:t>&amp;</w:t>
      </w:r>
      <w:r>
        <w:rPr>
          <w:spacing w:val="-8"/>
        </w:rPr>
        <w:t> </w:t>
      </w:r>
      <w:r>
        <w:rPr/>
        <w:t>Tazewell,</w:t>
      </w:r>
      <w:r>
        <w:rPr>
          <w:spacing w:val="-6"/>
        </w:rPr>
        <w:t> </w:t>
      </w:r>
      <w:r>
        <w:rPr/>
        <w:t>Architects,</w:t>
      </w:r>
      <w:r>
        <w:rPr>
          <w:spacing w:val="-8"/>
        </w:rPr>
        <w:t> </w:t>
      </w:r>
      <w:r>
        <w:rPr/>
        <w:t>Norfolk,</w:t>
      </w:r>
      <w:r>
        <w:rPr>
          <w:spacing w:val="-8"/>
        </w:rPr>
        <w:t> </w:t>
      </w:r>
      <w:r>
        <w:rPr/>
        <w:t>Virginia,</w:t>
      </w:r>
      <w:r>
        <w:rPr>
          <w:spacing w:val="-8"/>
        </w:rPr>
        <w:t> </w:t>
      </w:r>
      <w:r>
        <w:rPr/>
        <w:t>1981-1983 HBA Architects, Virginia Beach, Virginia, 1983-1985</w:t>
      </w:r>
    </w:p>
    <w:p>
      <w:pPr>
        <w:pStyle w:val="BodyText"/>
        <w:spacing w:before="1"/>
        <w:ind w:left="1159" w:right="2838"/>
      </w:pPr>
      <w:r>
        <w:rPr/>
        <w:t>Williams,</w:t>
      </w:r>
      <w:r>
        <w:rPr>
          <w:spacing w:val="-8"/>
        </w:rPr>
        <w:t> </w:t>
      </w:r>
      <w:r>
        <w:rPr/>
        <w:t>Tazewell</w:t>
      </w:r>
      <w:r>
        <w:rPr>
          <w:spacing w:val="-5"/>
        </w:rPr>
        <w:t> </w:t>
      </w:r>
      <w:r>
        <w:rPr/>
        <w:t>and</w:t>
      </w:r>
      <w:r>
        <w:rPr>
          <w:spacing w:val="-6"/>
        </w:rPr>
        <w:t> </w:t>
      </w:r>
      <w:r>
        <w:rPr/>
        <w:t>Cooke</w:t>
      </w:r>
      <w:r>
        <w:rPr>
          <w:spacing w:val="-6"/>
        </w:rPr>
        <w:t> </w:t>
      </w:r>
      <w:r>
        <w:rPr/>
        <w:t>Architects,</w:t>
      </w:r>
      <w:r>
        <w:rPr>
          <w:spacing w:val="-6"/>
        </w:rPr>
        <w:t> </w:t>
      </w:r>
      <w:r>
        <w:rPr/>
        <w:t>Norfolk,</w:t>
      </w:r>
      <w:r>
        <w:rPr>
          <w:spacing w:val="-6"/>
        </w:rPr>
        <w:t> </w:t>
      </w:r>
      <w:r>
        <w:rPr/>
        <w:t>Virginia</w:t>
      </w:r>
      <w:r>
        <w:rPr>
          <w:spacing w:val="-4"/>
        </w:rPr>
        <w:t> </w:t>
      </w:r>
      <w:r>
        <w:rPr/>
        <w:t>1985-1986 Bruce R. Wardell, Architect, Charlottesville, Virginia 1987-1988</w:t>
      </w:r>
    </w:p>
    <w:p>
      <w:pPr>
        <w:pStyle w:val="BodyText"/>
        <w:spacing w:before="1"/>
        <w:ind w:left="1159"/>
      </w:pPr>
      <w:r>
        <w:rPr/>
        <w:t>Real</w:t>
      </w:r>
      <w:r>
        <w:rPr>
          <w:spacing w:val="-7"/>
        </w:rPr>
        <w:t> </w:t>
      </w:r>
      <w:r>
        <w:rPr/>
        <w:t>Escapes</w:t>
      </w:r>
      <w:r>
        <w:rPr>
          <w:spacing w:val="-6"/>
        </w:rPr>
        <w:t> </w:t>
      </w:r>
      <w:r>
        <w:rPr/>
        <w:t>Design,</w:t>
      </w:r>
      <w:r>
        <w:rPr>
          <w:spacing w:val="-8"/>
        </w:rPr>
        <w:t> </w:t>
      </w:r>
      <w:r>
        <w:rPr/>
        <w:t>Ltd.,</w:t>
      </w:r>
      <w:r>
        <w:rPr>
          <w:spacing w:val="-5"/>
        </w:rPr>
        <w:t> </w:t>
      </w:r>
      <w:r>
        <w:rPr/>
        <w:t>Duck,</w:t>
      </w:r>
      <w:r>
        <w:rPr>
          <w:spacing w:val="-8"/>
        </w:rPr>
        <w:t> </w:t>
      </w:r>
      <w:r>
        <w:rPr/>
        <w:t>North</w:t>
      </w:r>
      <w:r>
        <w:rPr>
          <w:spacing w:val="-7"/>
        </w:rPr>
        <w:t> </w:t>
      </w:r>
      <w:r>
        <w:rPr/>
        <w:t>Carolina</w:t>
      </w:r>
      <w:r>
        <w:rPr>
          <w:spacing w:val="-8"/>
        </w:rPr>
        <w:t> </w:t>
      </w:r>
      <w:r>
        <w:rPr/>
        <w:t>1988-</w:t>
      </w:r>
      <w:r>
        <w:rPr>
          <w:spacing w:val="-4"/>
        </w:rPr>
        <w:t>1990</w:t>
      </w:r>
    </w:p>
    <w:p>
      <w:pPr>
        <w:pStyle w:val="BodyText"/>
        <w:spacing w:before="4"/>
        <w:rPr>
          <w:sz w:val="17"/>
        </w:rPr>
      </w:pPr>
    </w:p>
    <w:p>
      <w:pPr>
        <w:spacing w:before="0"/>
        <w:ind w:left="439" w:right="0" w:firstLine="0"/>
        <w:jc w:val="left"/>
        <w:rPr>
          <w:b/>
          <w:sz w:val="20"/>
        </w:rPr>
      </w:pPr>
      <w:r>
        <w:rPr>
          <w:b/>
          <w:sz w:val="20"/>
        </w:rPr>
        <w:t>Licenses</w:t>
      </w:r>
      <w:r>
        <w:rPr>
          <w:b/>
          <w:spacing w:val="-7"/>
          <w:sz w:val="20"/>
        </w:rPr>
        <w:t> </w:t>
      </w:r>
      <w:r>
        <w:rPr>
          <w:b/>
          <w:sz w:val="20"/>
        </w:rPr>
        <w:t>/</w:t>
      </w:r>
      <w:r>
        <w:rPr>
          <w:b/>
          <w:spacing w:val="-7"/>
          <w:sz w:val="20"/>
        </w:rPr>
        <w:t> </w:t>
      </w:r>
      <w:r>
        <w:rPr>
          <w:b/>
          <w:spacing w:val="-2"/>
          <w:sz w:val="20"/>
        </w:rPr>
        <w:t>Registrations:</w:t>
      </w:r>
    </w:p>
    <w:p>
      <w:pPr>
        <w:pStyle w:val="BodyText"/>
        <w:tabs>
          <w:tab w:pos="2599" w:val="left" w:leader="none"/>
        </w:tabs>
        <w:spacing w:before="1"/>
        <w:ind w:left="1159"/>
      </w:pPr>
      <w:r>
        <w:rPr>
          <w:w w:val="95"/>
        </w:rPr>
        <w:t>1989-</w:t>
      </w:r>
      <w:r>
        <w:rPr>
          <w:spacing w:val="-2"/>
        </w:rPr>
        <w:t>present</w:t>
      </w:r>
      <w:r>
        <w:rPr/>
        <w:tab/>
        <w:t>Registered</w:t>
      </w:r>
      <w:r>
        <w:rPr>
          <w:spacing w:val="-7"/>
        </w:rPr>
        <w:t> </w:t>
      </w:r>
      <w:r>
        <w:rPr/>
        <w:t>Architect,</w:t>
      </w:r>
      <w:r>
        <w:rPr>
          <w:spacing w:val="-9"/>
        </w:rPr>
        <w:t> </w:t>
      </w:r>
      <w:r>
        <w:rPr/>
        <w:t>State</w:t>
      </w:r>
      <w:r>
        <w:rPr>
          <w:spacing w:val="-6"/>
        </w:rPr>
        <w:t> </w:t>
      </w:r>
      <w:r>
        <w:rPr/>
        <w:t>of</w:t>
      </w:r>
      <w:r>
        <w:rPr>
          <w:spacing w:val="-7"/>
        </w:rPr>
        <w:t> </w:t>
      </w:r>
      <w:r>
        <w:rPr/>
        <w:t>North</w:t>
      </w:r>
      <w:r>
        <w:rPr>
          <w:spacing w:val="-9"/>
        </w:rPr>
        <w:t> </w:t>
      </w:r>
      <w:r>
        <w:rPr>
          <w:spacing w:val="-2"/>
        </w:rPr>
        <w:t>Carolina</w:t>
      </w:r>
    </w:p>
    <w:p>
      <w:pPr>
        <w:pStyle w:val="BodyText"/>
        <w:spacing w:before="4"/>
        <w:rPr>
          <w:sz w:val="17"/>
        </w:rPr>
      </w:pPr>
    </w:p>
    <w:p>
      <w:pPr>
        <w:spacing w:before="0"/>
        <w:ind w:left="439" w:right="0" w:firstLine="0"/>
        <w:jc w:val="left"/>
        <w:rPr>
          <w:b/>
          <w:sz w:val="20"/>
        </w:rPr>
      </w:pPr>
      <w:r>
        <w:rPr>
          <w:b/>
          <w:spacing w:val="-2"/>
          <w:sz w:val="20"/>
        </w:rPr>
        <w:t>Professional</w:t>
      </w:r>
      <w:r>
        <w:rPr>
          <w:b/>
          <w:spacing w:val="5"/>
          <w:sz w:val="20"/>
        </w:rPr>
        <w:t> </w:t>
      </w:r>
      <w:r>
        <w:rPr>
          <w:b/>
          <w:spacing w:val="-2"/>
          <w:sz w:val="20"/>
        </w:rPr>
        <w:t>Memberships:</w:t>
      </w:r>
    </w:p>
    <w:p>
      <w:pPr>
        <w:pStyle w:val="BodyText"/>
        <w:ind w:left="1159" w:right="642"/>
      </w:pPr>
      <w:r>
        <w:rPr/>
        <w:t>ACSA</w:t>
      </w:r>
      <w:r>
        <w:rPr>
          <w:spacing w:val="-5"/>
        </w:rPr>
        <w:t> </w:t>
      </w:r>
      <w:r>
        <w:rPr/>
        <w:t>Nominee</w:t>
      </w:r>
      <w:r>
        <w:rPr>
          <w:spacing w:val="-5"/>
        </w:rPr>
        <w:t> </w:t>
      </w:r>
      <w:r>
        <w:rPr/>
        <w:t>for</w:t>
      </w:r>
      <w:r>
        <w:rPr>
          <w:spacing w:val="-4"/>
        </w:rPr>
        <w:t> </w:t>
      </w:r>
      <w:r>
        <w:rPr/>
        <w:t>NAAB</w:t>
      </w:r>
      <w:r>
        <w:rPr>
          <w:spacing w:val="-3"/>
        </w:rPr>
        <w:t> </w:t>
      </w:r>
      <w:r>
        <w:rPr/>
        <w:t>School</w:t>
      </w:r>
      <w:r>
        <w:rPr>
          <w:spacing w:val="-4"/>
        </w:rPr>
        <w:t> </w:t>
      </w:r>
      <w:r>
        <w:rPr/>
        <w:t>Visit</w:t>
      </w:r>
      <w:r>
        <w:rPr>
          <w:spacing w:val="-3"/>
        </w:rPr>
        <w:t> </w:t>
      </w:r>
      <w:r>
        <w:rPr/>
        <w:t>Accreditation</w:t>
      </w:r>
      <w:r>
        <w:rPr>
          <w:spacing w:val="-5"/>
        </w:rPr>
        <w:t> </w:t>
      </w:r>
      <w:r>
        <w:rPr/>
        <w:t>Teams,</w:t>
      </w:r>
      <w:r>
        <w:rPr>
          <w:spacing w:val="-5"/>
        </w:rPr>
        <w:t> </w:t>
      </w:r>
      <w:r>
        <w:rPr/>
        <w:t>1996-2001;</w:t>
      </w:r>
      <w:r>
        <w:rPr>
          <w:spacing w:val="-5"/>
        </w:rPr>
        <w:t> </w:t>
      </w:r>
      <w:r>
        <w:rPr/>
        <w:t>Team Visits</w:t>
      </w:r>
      <w:r>
        <w:rPr>
          <w:spacing w:val="-4"/>
        </w:rPr>
        <w:t> </w:t>
      </w:r>
      <w:r>
        <w:rPr/>
        <w:t>to</w:t>
      </w:r>
      <w:r>
        <w:rPr>
          <w:spacing w:val="-5"/>
        </w:rPr>
        <w:t> </w:t>
      </w:r>
      <w:r>
        <w:rPr/>
        <w:t>Temple and Iowa State.</w:t>
      </w:r>
    </w:p>
    <w:p>
      <w:pPr>
        <w:pStyle w:val="BodyText"/>
        <w:ind w:left="1159" w:right="642"/>
      </w:pPr>
      <w:r>
        <w:rPr/>
        <w:t>Co-Chair,</w:t>
      </w:r>
      <w:r>
        <w:rPr>
          <w:spacing w:val="-5"/>
        </w:rPr>
        <w:t> </w:t>
      </w:r>
      <w:r>
        <w:rPr/>
        <w:t>ACSA</w:t>
      </w:r>
      <w:r>
        <w:rPr>
          <w:spacing w:val="-5"/>
        </w:rPr>
        <w:t> </w:t>
      </w:r>
      <w:r>
        <w:rPr/>
        <w:t>SE</w:t>
      </w:r>
      <w:r>
        <w:rPr>
          <w:spacing w:val="-5"/>
        </w:rPr>
        <w:t> </w:t>
      </w:r>
      <w:r>
        <w:rPr/>
        <w:t>Regional</w:t>
      </w:r>
      <w:r>
        <w:rPr>
          <w:spacing w:val="-4"/>
        </w:rPr>
        <w:t> </w:t>
      </w:r>
      <w:r>
        <w:rPr/>
        <w:t>Meeting,</w:t>
      </w:r>
      <w:r>
        <w:rPr>
          <w:spacing w:val="-5"/>
        </w:rPr>
        <w:t> </w:t>
      </w:r>
      <w:r>
        <w:rPr/>
        <w:t>Designing</w:t>
      </w:r>
      <w:r>
        <w:rPr>
          <w:spacing w:val="-5"/>
        </w:rPr>
        <w:t> </w:t>
      </w:r>
      <w:r>
        <w:rPr/>
        <w:t>(in)</w:t>
      </w:r>
      <w:r>
        <w:rPr>
          <w:spacing w:val="-4"/>
        </w:rPr>
        <w:t> </w:t>
      </w:r>
      <w:r>
        <w:rPr/>
        <w:t>the</w:t>
      </w:r>
      <w:r>
        <w:rPr>
          <w:spacing w:val="-5"/>
        </w:rPr>
        <w:t> </w:t>
      </w:r>
      <w:r>
        <w:rPr/>
        <w:t>Democratic</w:t>
      </w:r>
      <w:r>
        <w:rPr>
          <w:spacing w:val="-2"/>
        </w:rPr>
        <w:t> </w:t>
      </w:r>
      <w:r>
        <w:rPr/>
        <w:t>City,</w:t>
      </w:r>
      <w:r>
        <w:rPr>
          <w:spacing w:val="-3"/>
        </w:rPr>
        <w:t> </w:t>
      </w:r>
      <w:r>
        <w:rPr/>
        <w:t>Hampton</w:t>
      </w:r>
      <w:r>
        <w:rPr>
          <w:spacing w:val="-5"/>
        </w:rPr>
        <w:t> </w:t>
      </w:r>
      <w:r>
        <w:rPr/>
        <w:t>University, </w:t>
      </w:r>
      <w:r>
        <w:rPr>
          <w:spacing w:val="-4"/>
        </w:rPr>
        <w:t>1996</w:t>
      </w:r>
    </w:p>
    <w:p>
      <w:pPr>
        <w:pStyle w:val="BodyText"/>
        <w:ind w:left="1159"/>
      </w:pPr>
      <w:r>
        <w:rPr/>
        <w:t>Norfolk</w:t>
      </w:r>
      <w:r>
        <w:rPr>
          <w:spacing w:val="-8"/>
        </w:rPr>
        <w:t> </w:t>
      </w:r>
      <w:r>
        <w:rPr/>
        <w:t>Preservation</w:t>
      </w:r>
      <w:r>
        <w:rPr>
          <w:spacing w:val="-8"/>
        </w:rPr>
        <w:t> </w:t>
      </w:r>
      <w:r>
        <w:rPr/>
        <w:t>Alliance,</w:t>
      </w:r>
      <w:r>
        <w:rPr>
          <w:spacing w:val="-11"/>
        </w:rPr>
        <w:t> </w:t>
      </w:r>
      <w:r>
        <w:rPr/>
        <w:t>Board</w:t>
      </w:r>
      <w:r>
        <w:rPr>
          <w:spacing w:val="-10"/>
        </w:rPr>
        <w:t> </w:t>
      </w:r>
      <w:r>
        <w:rPr>
          <w:spacing w:val="-2"/>
        </w:rPr>
        <w:t>Member</w:t>
      </w:r>
    </w:p>
    <w:p>
      <w:pPr>
        <w:pStyle w:val="BodyText"/>
        <w:spacing w:before="1"/>
        <w:ind w:left="1159" w:right="642"/>
      </w:pPr>
      <w:r>
        <w:rPr/>
        <w:t>Past</w:t>
      </w:r>
      <w:r>
        <w:rPr>
          <w:spacing w:val="-5"/>
        </w:rPr>
        <w:t> </w:t>
      </w:r>
      <w:r>
        <w:rPr/>
        <w:t>service</w:t>
      </w:r>
      <w:r>
        <w:rPr>
          <w:spacing w:val="-5"/>
        </w:rPr>
        <w:t> </w:t>
      </w:r>
      <w:r>
        <w:rPr/>
        <w:t>to</w:t>
      </w:r>
      <w:r>
        <w:rPr>
          <w:spacing w:val="-5"/>
        </w:rPr>
        <w:t> </w:t>
      </w:r>
      <w:r>
        <w:rPr/>
        <w:t>the</w:t>
      </w:r>
      <w:r>
        <w:rPr>
          <w:spacing w:val="-5"/>
        </w:rPr>
        <w:t> </w:t>
      </w:r>
      <w:r>
        <w:rPr/>
        <w:t>American</w:t>
      </w:r>
      <w:r>
        <w:rPr>
          <w:spacing w:val="-5"/>
        </w:rPr>
        <w:t> </w:t>
      </w:r>
      <w:r>
        <w:rPr/>
        <w:t>Institute</w:t>
      </w:r>
      <w:r>
        <w:rPr>
          <w:spacing w:val="-3"/>
        </w:rPr>
        <w:t> </w:t>
      </w:r>
      <w:r>
        <w:rPr/>
        <w:t>of</w:t>
      </w:r>
      <w:r>
        <w:rPr>
          <w:spacing w:val="-3"/>
        </w:rPr>
        <w:t> </w:t>
      </w:r>
      <w:r>
        <w:rPr/>
        <w:t>Architects-Hampton</w:t>
      </w:r>
      <w:r>
        <w:rPr>
          <w:spacing w:val="-5"/>
        </w:rPr>
        <w:t> </w:t>
      </w:r>
      <w:r>
        <w:rPr/>
        <w:t>Roads</w:t>
      </w:r>
      <w:r>
        <w:rPr>
          <w:spacing w:val="-4"/>
        </w:rPr>
        <w:t> </w:t>
      </w:r>
      <w:r>
        <w:rPr/>
        <w:t>Chapter,</w:t>
      </w:r>
      <w:r>
        <w:rPr>
          <w:spacing w:val="-5"/>
        </w:rPr>
        <w:t> </w:t>
      </w:r>
      <w:r>
        <w:rPr/>
        <w:t>as</w:t>
      </w:r>
      <w:r>
        <w:rPr>
          <w:spacing w:val="-1"/>
        </w:rPr>
        <w:t> </w:t>
      </w:r>
      <w:r>
        <w:rPr/>
        <w:t>Vice</w:t>
      </w:r>
      <w:r>
        <w:rPr>
          <w:spacing w:val="-3"/>
        </w:rPr>
        <w:t> </w:t>
      </w:r>
      <w:r>
        <w:rPr/>
        <w:t>President</w:t>
      </w:r>
      <w:r>
        <w:rPr>
          <w:spacing w:val="-3"/>
        </w:rPr>
        <w:t> </w:t>
      </w:r>
      <w:r>
        <w:rPr/>
        <w:t>&amp; Director, Secretary, and Treasurer</w:t>
      </w:r>
    </w:p>
    <w:p>
      <w:pPr>
        <w:pStyle w:val="BodyText"/>
        <w:spacing w:line="229" w:lineRule="exact"/>
        <w:ind w:left="1159"/>
      </w:pPr>
      <w:r>
        <w:rPr/>
        <w:t>Past</w:t>
      </w:r>
      <w:r>
        <w:rPr>
          <w:spacing w:val="-8"/>
        </w:rPr>
        <w:t> </w:t>
      </w:r>
      <w:r>
        <w:rPr/>
        <w:t>service</w:t>
      </w:r>
      <w:r>
        <w:rPr>
          <w:spacing w:val="-7"/>
        </w:rPr>
        <w:t> </w:t>
      </w:r>
      <w:r>
        <w:rPr/>
        <w:t>to</w:t>
      </w:r>
      <w:r>
        <w:rPr>
          <w:spacing w:val="-8"/>
        </w:rPr>
        <w:t> </w:t>
      </w:r>
      <w:r>
        <w:rPr/>
        <w:t>the</w:t>
      </w:r>
      <w:r>
        <w:rPr>
          <w:spacing w:val="-7"/>
        </w:rPr>
        <w:t> </w:t>
      </w:r>
      <w:r>
        <w:rPr/>
        <w:t>Virginia</w:t>
      </w:r>
      <w:r>
        <w:rPr>
          <w:spacing w:val="-6"/>
        </w:rPr>
        <w:t> </w:t>
      </w:r>
      <w:r>
        <w:rPr/>
        <w:t>Society-American</w:t>
      </w:r>
      <w:r>
        <w:rPr>
          <w:spacing w:val="-7"/>
        </w:rPr>
        <w:t> </w:t>
      </w:r>
      <w:r>
        <w:rPr/>
        <w:t>Institute</w:t>
      </w:r>
      <w:r>
        <w:rPr>
          <w:spacing w:val="-6"/>
        </w:rPr>
        <w:t> </w:t>
      </w:r>
      <w:r>
        <w:rPr/>
        <w:t>of</w:t>
      </w:r>
      <w:r>
        <w:rPr>
          <w:spacing w:val="-6"/>
        </w:rPr>
        <w:t> </w:t>
      </w:r>
      <w:r>
        <w:rPr/>
        <w:t>Architects</w:t>
      </w:r>
      <w:r>
        <w:rPr>
          <w:spacing w:val="-6"/>
        </w:rPr>
        <w:t> </w:t>
      </w:r>
      <w:r>
        <w:rPr/>
        <w:t>as</w:t>
      </w:r>
      <w:r>
        <w:rPr>
          <w:spacing w:val="-7"/>
        </w:rPr>
        <w:t> </w:t>
      </w:r>
      <w:r>
        <w:rPr/>
        <w:t>Board</w:t>
      </w:r>
      <w:r>
        <w:rPr>
          <w:spacing w:val="-6"/>
        </w:rPr>
        <w:t> </w:t>
      </w:r>
      <w:r>
        <w:rPr>
          <w:spacing w:val="-2"/>
        </w:rPr>
        <w:t>Member</w:t>
      </w:r>
    </w:p>
    <w:p>
      <w:pPr>
        <w:pStyle w:val="BodyText"/>
        <w:spacing w:before="4"/>
        <w:rPr>
          <w:sz w:val="17"/>
        </w:rPr>
      </w:pPr>
    </w:p>
    <w:p>
      <w:pPr>
        <w:spacing w:before="0" w:after="8"/>
        <w:ind w:left="439" w:right="0" w:firstLine="0"/>
        <w:jc w:val="left"/>
        <w:rPr>
          <w:b/>
          <w:sz w:val="20"/>
        </w:rPr>
      </w:pPr>
      <w:r>
        <w:rPr>
          <w:b/>
          <w:sz w:val="20"/>
        </w:rPr>
        <w:t>Professional</w:t>
      </w:r>
      <w:r>
        <w:rPr>
          <w:b/>
          <w:spacing w:val="-11"/>
          <w:sz w:val="20"/>
        </w:rPr>
        <w:t> </w:t>
      </w:r>
      <w:r>
        <w:rPr>
          <w:b/>
          <w:sz w:val="20"/>
        </w:rPr>
        <w:t>Development</w:t>
      </w:r>
      <w:r>
        <w:rPr>
          <w:b/>
          <w:spacing w:val="-10"/>
          <w:sz w:val="20"/>
        </w:rPr>
        <w:t> </w:t>
      </w:r>
      <w:r>
        <w:rPr>
          <w:b/>
          <w:sz w:val="20"/>
        </w:rPr>
        <w:t>&amp;</w:t>
      </w:r>
      <w:r>
        <w:rPr>
          <w:b/>
          <w:spacing w:val="-10"/>
          <w:sz w:val="20"/>
        </w:rPr>
        <w:t> </w:t>
      </w:r>
      <w:r>
        <w:rPr>
          <w:b/>
          <w:spacing w:val="-2"/>
          <w:sz w:val="20"/>
        </w:rPr>
        <w:t>Research</w:t>
      </w:r>
    </w:p>
    <w:tbl>
      <w:tblPr>
        <w:tblW w:w="0" w:type="auto"/>
        <w:jc w:val="left"/>
        <w:tblInd w:w="1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1"/>
        <w:gridCol w:w="8002"/>
      </w:tblGrid>
      <w:tr>
        <w:trPr>
          <w:trHeight w:val="226" w:hRule="atLeast"/>
        </w:trPr>
        <w:tc>
          <w:tcPr>
            <w:tcW w:w="631" w:type="dxa"/>
          </w:tcPr>
          <w:p>
            <w:pPr>
              <w:pStyle w:val="TableParagraph"/>
              <w:spacing w:line="207" w:lineRule="exact"/>
              <w:ind w:left="37" w:right="124"/>
              <w:jc w:val="center"/>
              <w:rPr>
                <w:sz w:val="20"/>
              </w:rPr>
            </w:pPr>
            <w:r>
              <w:rPr>
                <w:spacing w:val="-4"/>
                <w:sz w:val="20"/>
              </w:rPr>
              <w:t>1998</w:t>
            </w:r>
          </w:p>
        </w:tc>
        <w:tc>
          <w:tcPr>
            <w:tcW w:w="8002" w:type="dxa"/>
          </w:tcPr>
          <w:p>
            <w:pPr>
              <w:pStyle w:val="TableParagraph"/>
              <w:spacing w:line="207" w:lineRule="exact"/>
              <w:ind w:left="139"/>
              <w:rPr>
                <w:sz w:val="20"/>
              </w:rPr>
            </w:pPr>
            <w:r>
              <w:rPr>
                <w:sz w:val="20"/>
              </w:rPr>
              <w:t>Moderator,</w:t>
            </w:r>
            <w:r>
              <w:rPr>
                <w:spacing w:val="-9"/>
                <w:sz w:val="20"/>
              </w:rPr>
              <w:t> </w:t>
            </w:r>
            <w:r>
              <w:rPr>
                <w:sz w:val="20"/>
              </w:rPr>
              <w:t>ACSA</w:t>
            </w:r>
            <w:r>
              <w:rPr>
                <w:spacing w:val="-8"/>
                <w:sz w:val="20"/>
              </w:rPr>
              <w:t> </w:t>
            </w:r>
            <w:r>
              <w:rPr>
                <w:sz w:val="20"/>
              </w:rPr>
              <w:t>Annual</w:t>
            </w:r>
            <w:r>
              <w:rPr>
                <w:spacing w:val="-11"/>
                <w:sz w:val="20"/>
              </w:rPr>
              <w:t> </w:t>
            </w:r>
            <w:r>
              <w:rPr>
                <w:sz w:val="20"/>
              </w:rPr>
              <w:t>Conference,</w:t>
            </w:r>
            <w:r>
              <w:rPr>
                <w:spacing w:val="-10"/>
                <w:sz w:val="20"/>
              </w:rPr>
              <w:t> </w:t>
            </w:r>
            <w:r>
              <w:rPr>
                <w:spacing w:val="-2"/>
                <w:sz w:val="20"/>
              </w:rPr>
              <w:t>Cleveland</w:t>
            </w:r>
          </w:p>
        </w:tc>
      </w:tr>
      <w:tr>
        <w:trPr>
          <w:trHeight w:val="230" w:hRule="atLeast"/>
        </w:trPr>
        <w:tc>
          <w:tcPr>
            <w:tcW w:w="631" w:type="dxa"/>
          </w:tcPr>
          <w:p>
            <w:pPr>
              <w:pStyle w:val="TableParagraph"/>
              <w:spacing w:line="210" w:lineRule="exact"/>
              <w:ind w:left="37" w:right="124"/>
              <w:jc w:val="center"/>
              <w:rPr>
                <w:sz w:val="20"/>
              </w:rPr>
            </w:pPr>
            <w:r>
              <w:rPr>
                <w:spacing w:val="-4"/>
                <w:sz w:val="20"/>
              </w:rPr>
              <w:t>1996</w:t>
            </w:r>
          </w:p>
        </w:tc>
        <w:tc>
          <w:tcPr>
            <w:tcW w:w="8002" w:type="dxa"/>
          </w:tcPr>
          <w:p>
            <w:pPr>
              <w:pStyle w:val="TableParagraph"/>
              <w:spacing w:line="210" w:lineRule="exact"/>
              <w:ind w:left="139"/>
              <w:rPr>
                <w:sz w:val="20"/>
              </w:rPr>
            </w:pPr>
            <w:r>
              <w:rPr>
                <w:sz w:val="20"/>
              </w:rPr>
              <w:t>Presentation,</w:t>
            </w:r>
            <w:r>
              <w:rPr>
                <w:spacing w:val="-8"/>
                <w:sz w:val="20"/>
              </w:rPr>
              <w:t> </w:t>
            </w:r>
            <w:r>
              <w:rPr>
                <w:sz w:val="20"/>
              </w:rPr>
              <w:t>“New</w:t>
            </w:r>
            <w:r>
              <w:rPr>
                <w:spacing w:val="-9"/>
                <w:sz w:val="20"/>
              </w:rPr>
              <w:t> </w:t>
            </w:r>
            <w:r>
              <w:rPr>
                <w:sz w:val="20"/>
              </w:rPr>
              <w:t>Foundations:</w:t>
            </w:r>
            <w:r>
              <w:rPr>
                <w:spacing w:val="-5"/>
                <w:sz w:val="20"/>
              </w:rPr>
              <w:t> </w:t>
            </w:r>
            <w:r>
              <w:rPr>
                <w:sz w:val="20"/>
              </w:rPr>
              <w:t>Searching</w:t>
            </w:r>
            <w:r>
              <w:rPr>
                <w:spacing w:val="-7"/>
                <w:sz w:val="20"/>
              </w:rPr>
              <w:t> </w:t>
            </w:r>
            <w:r>
              <w:rPr>
                <w:sz w:val="20"/>
              </w:rPr>
              <w:t>for</w:t>
            </w:r>
            <w:r>
              <w:rPr>
                <w:spacing w:val="-7"/>
                <w:sz w:val="20"/>
              </w:rPr>
              <w:t> </w:t>
            </w:r>
            <w:r>
              <w:rPr>
                <w:sz w:val="20"/>
              </w:rPr>
              <w:t>Footing</w:t>
            </w:r>
            <w:r>
              <w:rPr>
                <w:spacing w:val="-5"/>
                <w:sz w:val="20"/>
              </w:rPr>
              <w:t> </w:t>
            </w:r>
            <w:r>
              <w:rPr>
                <w:sz w:val="20"/>
              </w:rPr>
              <w:t>in</w:t>
            </w:r>
            <w:r>
              <w:rPr>
                <w:spacing w:val="-8"/>
                <w:sz w:val="20"/>
              </w:rPr>
              <w:t> </w:t>
            </w:r>
            <w:r>
              <w:rPr>
                <w:sz w:val="20"/>
              </w:rPr>
              <w:t>the</w:t>
            </w:r>
            <w:r>
              <w:rPr>
                <w:spacing w:val="-7"/>
                <w:sz w:val="20"/>
              </w:rPr>
              <w:t> </w:t>
            </w:r>
            <w:r>
              <w:rPr>
                <w:sz w:val="20"/>
              </w:rPr>
              <w:t>Great</w:t>
            </w:r>
            <w:r>
              <w:rPr>
                <w:spacing w:val="-7"/>
                <w:sz w:val="20"/>
              </w:rPr>
              <w:t> </w:t>
            </w:r>
            <w:r>
              <w:rPr>
                <w:sz w:val="20"/>
              </w:rPr>
              <w:t>Abyss,”</w:t>
            </w:r>
            <w:r>
              <w:rPr>
                <w:spacing w:val="-5"/>
                <w:sz w:val="20"/>
              </w:rPr>
              <w:t> </w:t>
            </w:r>
            <w:r>
              <w:rPr>
                <w:sz w:val="20"/>
              </w:rPr>
              <w:t>with</w:t>
            </w:r>
            <w:r>
              <w:rPr>
                <w:spacing w:val="-5"/>
                <w:sz w:val="20"/>
              </w:rPr>
              <w:t> </w:t>
            </w:r>
            <w:r>
              <w:rPr>
                <w:spacing w:val="-4"/>
                <w:sz w:val="20"/>
              </w:rPr>
              <w:t>Mark</w:t>
            </w:r>
          </w:p>
        </w:tc>
      </w:tr>
      <w:tr>
        <w:trPr>
          <w:trHeight w:val="230" w:hRule="atLeast"/>
        </w:trPr>
        <w:tc>
          <w:tcPr>
            <w:tcW w:w="631" w:type="dxa"/>
          </w:tcPr>
          <w:p>
            <w:pPr>
              <w:pStyle w:val="TableParagraph"/>
              <w:rPr>
                <w:rFonts w:ascii="Times New Roman"/>
                <w:sz w:val="16"/>
              </w:rPr>
            </w:pPr>
          </w:p>
        </w:tc>
        <w:tc>
          <w:tcPr>
            <w:tcW w:w="8002" w:type="dxa"/>
          </w:tcPr>
          <w:p>
            <w:pPr>
              <w:pStyle w:val="TableParagraph"/>
              <w:spacing w:line="210" w:lineRule="exact"/>
              <w:ind w:left="139"/>
              <w:rPr>
                <w:sz w:val="20"/>
              </w:rPr>
            </w:pPr>
            <w:r>
              <w:rPr>
                <w:sz w:val="20"/>
              </w:rPr>
              <w:t>Moreno</w:t>
            </w:r>
            <w:r>
              <w:rPr>
                <w:spacing w:val="-8"/>
                <w:sz w:val="20"/>
              </w:rPr>
              <w:t> </w:t>
            </w:r>
            <w:r>
              <w:rPr>
                <w:sz w:val="20"/>
              </w:rPr>
              <w:t>ACSA</w:t>
            </w:r>
            <w:r>
              <w:rPr>
                <w:spacing w:val="-8"/>
                <w:sz w:val="20"/>
              </w:rPr>
              <w:t> </w:t>
            </w:r>
            <w:r>
              <w:rPr>
                <w:sz w:val="20"/>
              </w:rPr>
              <w:t>SE</w:t>
            </w:r>
            <w:r>
              <w:rPr>
                <w:spacing w:val="-8"/>
                <w:sz w:val="20"/>
              </w:rPr>
              <w:t> </w:t>
            </w:r>
            <w:r>
              <w:rPr>
                <w:sz w:val="20"/>
              </w:rPr>
              <w:t>Regional</w:t>
            </w:r>
            <w:r>
              <w:rPr>
                <w:spacing w:val="-7"/>
                <w:sz w:val="20"/>
              </w:rPr>
              <w:t> </w:t>
            </w:r>
            <w:r>
              <w:rPr>
                <w:sz w:val="20"/>
              </w:rPr>
              <w:t>Meeting,</w:t>
            </w:r>
            <w:r>
              <w:rPr>
                <w:spacing w:val="-7"/>
                <w:sz w:val="20"/>
              </w:rPr>
              <w:t> </w:t>
            </w:r>
            <w:r>
              <w:rPr>
                <w:sz w:val="20"/>
              </w:rPr>
              <w:t>Hampton</w:t>
            </w:r>
            <w:r>
              <w:rPr>
                <w:spacing w:val="-7"/>
                <w:sz w:val="20"/>
              </w:rPr>
              <w:t> </w:t>
            </w:r>
            <w:r>
              <w:rPr>
                <w:spacing w:val="-2"/>
                <w:sz w:val="20"/>
              </w:rPr>
              <w:t>University</w:t>
            </w:r>
          </w:p>
        </w:tc>
      </w:tr>
      <w:tr>
        <w:trPr>
          <w:trHeight w:val="230" w:hRule="atLeast"/>
        </w:trPr>
        <w:tc>
          <w:tcPr>
            <w:tcW w:w="631" w:type="dxa"/>
          </w:tcPr>
          <w:p>
            <w:pPr>
              <w:pStyle w:val="TableParagraph"/>
              <w:spacing w:line="210" w:lineRule="exact"/>
              <w:ind w:left="37" w:right="124"/>
              <w:jc w:val="center"/>
              <w:rPr>
                <w:sz w:val="20"/>
              </w:rPr>
            </w:pPr>
            <w:r>
              <w:rPr>
                <w:spacing w:val="-4"/>
                <w:sz w:val="20"/>
              </w:rPr>
              <w:t>1995</w:t>
            </w:r>
          </w:p>
        </w:tc>
        <w:tc>
          <w:tcPr>
            <w:tcW w:w="8002" w:type="dxa"/>
          </w:tcPr>
          <w:p>
            <w:pPr>
              <w:pStyle w:val="TableParagraph"/>
              <w:spacing w:line="210" w:lineRule="exact"/>
              <w:ind w:left="139"/>
              <w:rPr>
                <w:sz w:val="20"/>
              </w:rPr>
            </w:pPr>
            <w:r>
              <w:rPr>
                <w:sz w:val="20"/>
              </w:rPr>
              <w:t>Presentation,</w:t>
            </w:r>
            <w:r>
              <w:rPr>
                <w:spacing w:val="-10"/>
                <w:sz w:val="20"/>
              </w:rPr>
              <w:t> </w:t>
            </w:r>
            <w:r>
              <w:rPr>
                <w:sz w:val="20"/>
              </w:rPr>
              <w:t>"Obsolescence</w:t>
            </w:r>
            <w:r>
              <w:rPr>
                <w:spacing w:val="-10"/>
                <w:sz w:val="20"/>
              </w:rPr>
              <w:t> </w:t>
            </w:r>
            <w:r>
              <w:rPr>
                <w:sz w:val="20"/>
              </w:rPr>
              <w:t>of</w:t>
            </w:r>
            <w:r>
              <w:rPr>
                <w:spacing w:val="-9"/>
                <w:sz w:val="20"/>
              </w:rPr>
              <w:t> </w:t>
            </w:r>
            <w:r>
              <w:rPr>
                <w:sz w:val="20"/>
              </w:rPr>
              <w:t>Place,"</w:t>
            </w:r>
            <w:r>
              <w:rPr>
                <w:spacing w:val="-10"/>
                <w:sz w:val="20"/>
              </w:rPr>
              <w:t> </w:t>
            </w:r>
            <w:r>
              <w:rPr>
                <w:sz w:val="20"/>
              </w:rPr>
              <w:t>ACSA</w:t>
            </w:r>
            <w:r>
              <w:rPr>
                <w:spacing w:val="-9"/>
                <w:sz w:val="20"/>
              </w:rPr>
              <w:t> </w:t>
            </w:r>
            <w:r>
              <w:rPr>
                <w:sz w:val="20"/>
              </w:rPr>
              <w:t>SE/SW</w:t>
            </w:r>
            <w:r>
              <w:rPr>
                <w:spacing w:val="-6"/>
                <w:sz w:val="20"/>
              </w:rPr>
              <w:t> </w:t>
            </w:r>
            <w:r>
              <w:rPr>
                <w:sz w:val="20"/>
              </w:rPr>
              <w:t>BiRegional</w:t>
            </w:r>
            <w:r>
              <w:rPr>
                <w:spacing w:val="-8"/>
                <w:sz w:val="20"/>
              </w:rPr>
              <w:t> </w:t>
            </w:r>
            <w:r>
              <w:rPr>
                <w:sz w:val="20"/>
              </w:rPr>
              <w:t>Conference,</w:t>
            </w:r>
            <w:r>
              <w:rPr>
                <w:spacing w:val="-9"/>
                <w:sz w:val="20"/>
              </w:rPr>
              <w:t> </w:t>
            </w:r>
            <w:r>
              <w:rPr>
                <w:spacing w:val="-5"/>
                <w:sz w:val="20"/>
              </w:rPr>
              <w:t>San</w:t>
            </w:r>
          </w:p>
        </w:tc>
      </w:tr>
      <w:tr>
        <w:trPr>
          <w:trHeight w:val="230" w:hRule="atLeast"/>
        </w:trPr>
        <w:tc>
          <w:tcPr>
            <w:tcW w:w="631" w:type="dxa"/>
          </w:tcPr>
          <w:p>
            <w:pPr>
              <w:pStyle w:val="TableParagraph"/>
              <w:rPr>
                <w:rFonts w:ascii="Times New Roman"/>
                <w:sz w:val="16"/>
              </w:rPr>
            </w:pPr>
          </w:p>
        </w:tc>
        <w:tc>
          <w:tcPr>
            <w:tcW w:w="8002" w:type="dxa"/>
          </w:tcPr>
          <w:p>
            <w:pPr>
              <w:pStyle w:val="TableParagraph"/>
              <w:spacing w:line="210" w:lineRule="exact"/>
              <w:ind w:left="139"/>
              <w:rPr>
                <w:sz w:val="20"/>
              </w:rPr>
            </w:pPr>
            <w:r>
              <w:rPr>
                <w:spacing w:val="-2"/>
                <w:sz w:val="20"/>
              </w:rPr>
              <w:t>Antonio</w:t>
            </w:r>
          </w:p>
        </w:tc>
      </w:tr>
      <w:tr>
        <w:trPr>
          <w:trHeight w:val="229" w:hRule="atLeast"/>
        </w:trPr>
        <w:tc>
          <w:tcPr>
            <w:tcW w:w="631" w:type="dxa"/>
          </w:tcPr>
          <w:p>
            <w:pPr>
              <w:pStyle w:val="TableParagraph"/>
              <w:spacing w:line="209" w:lineRule="exact"/>
              <w:ind w:left="37" w:right="123"/>
              <w:jc w:val="center"/>
              <w:rPr>
                <w:sz w:val="20"/>
              </w:rPr>
            </w:pPr>
            <w:r>
              <w:rPr>
                <w:spacing w:val="-4"/>
                <w:sz w:val="20"/>
              </w:rPr>
              <w:t>1995</w:t>
            </w:r>
          </w:p>
        </w:tc>
        <w:tc>
          <w:tcPr>
            <w:tcW w:w="8002" w:type="dxa"/>
          </w:tcPr>
          <w:p>
            <w:pPr>
              <w:pStyle w:val="TableParagraph"/>
              <w:spacing w:line="209" w:lineRule="exact"/>
              <w:ind w:left="139"/>
              <w:rPr>
                <w:sz w:val="20"/>
              </w:rPr>
            </w:pPr>
            <w:r>
              <w:rPr>
                <w:sz w:val="20"/>
              </w:rPr>
              <w:t>Moderator,</w:t>
            </w:r>
            <w:r>
              <w:rPr>
                <w:spacing w:val="-7"/>
                <w:sz w:val="20"/>
              </w:rPr>
              <w:t> </w:t>
            </w:r>
            <w:r>
              <w:rPr>
                <w:sz w:val="20"/>
              </w:rPr>
              <w:t>Annual</w:t>
            </w:r>
            <w:r>
              <w:rPr>
                <w:spacing w:val="-9"/>
                <w:sz w:val="20"/>
              </w:rPr>
              <w:t> </w:t>
            </w:r>
            <w:r>
              <w:rPr>
                <w:sz w:val="20"/>
              </w:rPr>
              <w:t>Conference</w:t>
            </w:r>
            <w:r>
              <w:rPr>
                <w:spacing w:val="-8"/>
                <w:sz w:val="20"/>
              </w:rPr>
              <w:t> </w:t>
            </w:r>
            <w:r>
              <w:rPr>
                <w:sz w:val="20"/>
              </w:rPr>
              <w:t>on</w:t>
            </w:r>
            <w:r>
              <w:rPr>
                <w:spacing w:val="-8"/>
                <w:sz w:val="20"/>
              </w:rPr>
              <w:t> </w:t>
            </w:r>
            <w:r>
              <w:rPr>
                <w:sz w:val="20"/>
              </w:rPr>
              <w:t>Teaching</w:t>
            </w:r>
            <w:r>
              <w:rPr>
                <w:spacing w:val="-7"/>
                <w:sz w:val="20"/>
              </w:rPr>
              <w:t> </w:t>
            </w:r>
            <w:r>
              <w:rPr>
                <w:sz w:val="20"/>
              </w:rPr>
              <w:t>the</w:t>
            </w:r>
            <w:r>
              <w:rPr>
                <w:spacing w:val="-6"/>
                <w:sz w:val="20"/>
              </w:rPr>
              <w:t> </w:t>
            </w:r>
            <w:r>
              <w:rPr>
                <w:sz w:val="20"/>
              </w:rPr>
              <w:t>Beginning</w:t>
            </w:r>
            <w:r>
              <w:rPr>
                <w:spacing w:val="-8"/>
                <w:sz w:val="20"/>
              </w:rPr>
              <w:t> </w:t>
            </w:r>
            <w:r>
              <w:rPr>
                <w:sz w:val="20"/>
              </w:rPr>
              <w:t>Design</w:t>
            </w:r>
            <w:r>
              <w:rPr>
                <w:spacing w:val="-6"/>
                <w:sz w:val="20"/>
              </w:rPr>
              <w:t> </w:t>
            </w:r>
            <w:r>
              <w:rPr>
                <w:sz w:val="20"/>
              </w:rPr>
              <w:t>Student,</w:t>
            </w:r>
            <w:r>
              <w:rPr>
                <w:spacing w:val="-9"/>
                <w:sz w:val="20"/>
              </w:rPr>
              <w:t> </w:t>
            </w:r>
            <w:r>
              <w:rPr>
                <w:spacing w:val="-2"/>
                <w:sz w:val="20"/>
              </w:rPr>
              <w:t>Virginia</w:t>
            </w:r>
          </w:p>
        </w:tc>
      </w:tr>
      <w:tr>
        <w:trPr>
          <w:trHeight w:val="229" w:hRule="atLeast"/>
        </w:trPr>
        <w:tc>
          <w:tcPr>
            <w:tcW w:w="631" w:type="dxa"/>
          </w:tcPr>
          <w:p>
            <w:pPr>
              <w:pStyle w:val="TableParagraph"/>
              <w:rPr>
                <w:rFonts w:ascii="Times New Roman"/>
                <w:sz w:val="16"/>
              </w:rPr>
            </w:pPr>
          </w:p>
        </w:tc>
        <w:tc>
          <w:tcPr>
            <w:tcW w:w="8002" w:type="dxa"/>
          </w:tcPr>
          <w:p>
            <w:pPr>
              <w:pStyle w:val="TableParagraph"/>
              <w:spacing w:line="209" w:lineRule="exact"/>
              <w:ind w:left="139"/>
              <w:rPr>
                <w:sz w:val="20"/>
              </w:rPr>
            </w:pPr>
            <w:r>
              <w:rPr>
                <w:sz w:val="20"/>
              </w:rPr>
              <w:t>Polytechnic</w:t>
            </w:r>
            <w:r>
              <w:rPr>
                <w:spacing w:val="-9"/>
                <w:sz w:val="20"/>
              </w:rPr>
              <w:t> </w:t>
            </w:r>
            <w:r>
              <w:rPr>
                <w:sz w:val="20"/>
              </w:rPr>
              <w:t>Institute</w:t>
            </w:r>
            <w:r>
              <w:rPr>
                <w:spacing w:val="-8"/>
                <w:sz w:val="20"/>
              </w:rPr>
              <w:t> </w:t>
            </w:r>
            <w:r>
              <w:rPr>
                <w:sz w:val="20"/>
              </w:rPr>
              <w:t>and</w:t>
            </w:r>
            <w:r>
              <w:rPr>
                <w:spacing w:val="-7"/>
                <w:sz w:val="20"/>
              </w:rPr>
              <w:t> </w:t>
            </w:r>
            <w:r>
              <w:rPr>
                <w:sz w:val="20"/>
              </w:rPr>
              <w:t>State</w:t>
            </w:r>
            <w:r>
              <w:rPr>
                <w:spacing w:val="-10"/>
                <w:sz w:val="20"/>
              </w:rPr>
              <w:t> </w:t>
            </w:r>
            <w:r>
              <w:rPr>
                <w:spacing w:val="-2"/>
                <w:sz w:val="20"/>
              </w:rPr>
              <w:t>University</w:t>
            </w:r>
          </w:p>
        </w:tc>
      </w:tr>
      <w:tr>
        <w:trPr>
          <w:trHeight w:val="230" w:hRule="atLeast"/>
        </w:trPr>
        <w:tc>
          <w:tcPr>
            <w:tcW w:w="631" w:type="dxa"/>
          </w:tcPr>
          <w:p>
            <w:pPr>
              <w:pStyle w:val="TableParagraph"/>
              <w:spacing w:line="210" w:lineRule="exact"/>
              <w:ind w:left="37" w:right="123"/>
              <w:jc w:val="center"/>
              <w:rPr>
                <w:sz w:val="20"/>
              </w:rPr>
            </w:pPr>
            <w:r>
              <w:rPr>
                <w:spacing w:val="-4"/>
                <w:sz w:val="20"/>
              </w:rPr>
              <w:t>1994</w:t>
            </w:r>
          </w:p>
        </w:tc>
        <w:tc>
          <w:tcPr>
            <w:tcW w:w="8002" w:type="dxa"/>
          </w:tcPr>
          <w:p>
            <w:pPr>
              <w:pStyle w:val="TableParagraph"/>
              <w:spacing w:line="210" w:lineRule="exact"/>
              <w:ind w:left="139"/>
              <w:rPr>
                <w:sz w:val="20"/>
              </w:rPr>
            </w:pPr>
            <w:r>
              <w:rPr>
                <w:sz w:val="20"/>
              </w:rPr>
              <w:t>“Searching</w:t>
            </w:r>
            <w:r>
              <w:rPr>
                <w:spacing w:val="-7"/>
                <w:sz w:val="20"/>
              </w:rPr>
              <w:t> </w:t>
            </w:r>
            <w:r>
              <w:rPr>
                <w:sz w:val="20"/>
              </w:rPr>
              <w:t>for</w:t>
            </w:r>
            <w:r>
              <w:rPr>
                <w:spacing w:val="-5"/>
                <w:sz w:val="20"/>
              </w:rPr>
              <w:t> </w:t>
            </w:r>
            <w:r>
              <w:rPr>
                <w:sz w:val="20"/>
              </w:rPr>
              <w:t>the</w:t>
            </w:r>
            <w:r>
              <w:rPr>
                <w:spacing w:val="-5"/>
                <w:sz w:val="20"/>
              </w:rPr>
              <w:t> </w:t>
            </w:r>
            <w:r>
              <w:rPr>
                <w:sz w:val="20"/>
              </w:rPr>
              <w:t>Spaces</w:t>
            </w:r>
            <w:r>
              <w:rPr>
                <w:spacing w:val="-5"/>
                <w:sz w:val="20"/>
              </w:rPr>
              <w:t> </w:t>
            </w:r>
            <w:r>
              <w:rPr>
                <w:sz w:val="20"/>
              </w:rPr>
              <w:t>in</w:t>
            </w:r>
            <w:r>
              <w:rPr>
                <w:spacing w:val="-6"/>
                <w:sz w:val="20"/>
              </w:rPr>
              <w:t> </w:t>
            </w:r>
            <w:r>
              <w:rPr>
                <w:sz w:val="20"/>
              </w:rPr>
              <w:t>Creation</w:t>
            </w:r>
            <w:r>
              <w:rPr>
                <w:spacing w:val="-6"/>
                <w:sz w:val="20"/>
              </w:rPr>
              <w:t> </w:t>
            </w:r>
            <w:r>
              <w:rPr>
                <w:sz w:val="20"/>
              </w:rPr>
              <w:t>in</w:t>
            </w:r>
            <w:r>
              <w:rPr>
                <w:spacing w:val="-7"/>
                <w:sz w:val="20"/>
              </w:rPr>
              <w:t> </w:t>
            </w:r>
            <w:r>
              <w:rPr>
                <w:sz w:val="20"/>
              </w:rPr>
              <w:t>Space,”</w:t>
            </w:r>
            <w:r>
              <w:rPr>
                <w:spacing w:val="-5"/>
                <w:sz w:val="20"/>
              </w:rPr>
              <w:t> </w:t>
            </w:r>
            <w:r>
              <w:rPr>
                <w:sz w:val="20"/>
              </w:rPr>
              <w:t>Conference</w:t>
            </w:r>
            <w:r>
              <w:rPr>
                <w:spacing w:val="-6"/>
                <w:sz w:val="20"/>
              </w:rPr>
              <w:t> </w:t>
            </w:r>
            <w:r>
              <w:rPr>
                <w:sz w:val="20"/>
              </w:rPr>
              <w:t>on</w:t>
            </w:r>
            <w:r>
              <w:rPr>
                <w:spacing w:val="-7"/>
                <w:sz w:val="20"/>
              </w:rPr>
              <w:t> </w:t>
            </w:r>
            <w:r>
              <w:rPr>
                <w:sz w:val="20"/>
              </w:rPr>
              <w:t>Teaching</w:t>
            </w:r>
            <w:r>
              <w:rPr>
                <w:spacing w:val="-6"/>
                <w:sz w:val="20"/>
              </w:rPr>
              <w:t> </w:t>
            </w:r>
            <w:r>
              <w:rPr>
                <w:sz w:val="20"/>
              </w:rPr>
              <w:t>the</w:t>
            </w:r>
            <w:r>
              <w:rPr>
                <w:spacing w:val="-6"/>
                <w:sz w:val="20"/>
              </w:rPr>
              <w:t> </w:t>
            </w:r>
            <w:r>
              <w:rPr>
                <w:spacing w:val="-2"/>
                <w:sz w:val="20"/>
              </w:rPr>
              <w:t>Beginning</w:t>
            </w:r>
          </w:p>
        </w:tc>
      </w:tr>
      <w:tr>
        <w:trPr>
          <w:trHeight w:val="230" w:hRule="atLeast"/>
        </w:trPr>
        <w:tc>
          <w:tcPr>
            <w:tcW w:w="631" w:type="dxa"/>
          </w:tcPr>
          <w:p>
            <w:pPr>
              <w:pStyle w:val="TableParagraph"/>
              <w:rPr>
                <w:rFonts w:ascii="Times New Roman"/>
                <w:sz w:val="16"/>
              </w:rPr>
            </w:pPr>
          </w:p>
        </w:tc>
        <w:tc>
          <w:tcPr>
            <w:tcW w:w="8002" w:type="dxa"/>
          </w:tcPr>
          <w:p>
            <w:pPr>
              <w:pStyle w:val="TableParagraph"/>
              <w:spacing w:line="210" w:lineRule="exact"/>
              <w:ind w:left="139"/>
              <w:rPr>
                <w:sz w:val="20"/>
              </w:rPr>
            </w:pPr>
            <w:r>
              <w:rPr>
                <w:sz w:val="20"/>
              </w:rPr>
              <w:t>Design</w:t>
            </w:r>
            <w:r>
              <w:rPr>
                <w:spacing w:val="-5"/>
                <w:sz w:val="20"/>
              </w:rPr>
              <w:t> </w:t>
            </w:r>
            <w:r>
              <w:rPr>
                <w:sz w:val="20"/>
              </w:rPr>
              <w:t>Student,</w:t>
            </w:r>
            <w:r>
              <w:rPr>
                <w:spacing w:val="-6"/>
                <w:sz w:val="20"/>
              </w:rPr>
              <w:t> </w:t>
            </w:r>
            <w:r>
              <w:rPr>
                <w:sz w:val="20"/>
              </w:rPr>
              <w:t>University</w:t>
            </w:r>
            <w:r>
              <w:rPr>
                <w:spacing w:val="42"/>
                <w:sz w:val="20"/>
              </w:rPr>
              <w:t> </w:t>
            </w:r>
            <w:r>
              <w:rPr>
                <w:sz w:val="20"/>
              </w:rPr>
              <w:t>of</w:t>
            </w:r>
            <w:r>
              <w:rPr>
                <w:spacing w:val="-5"/>
                <w:sz w:val="20"/>
              </w:rPr>
              <w:t> </w:t>
            </w:r>
            <w:r>
              <w:rPr>
                <w:spacing w:val="-2"/>
                <w:sz w:val="20"/>
              </w:rPr>
              <w:t>Arkansas</w:t>
            </w:r>
          </w:p>
        </w:tc>
      </w:tr>
      <w:tr>
        <w:trPr>
          <w:trHeight w:val="230" w:hRule="atLeast"/>
        </w:trPr>
        <w:tc>
          <w:tcPr>
            <w:tcW w:w="631" w:type="dxa"/>
          </w:tcPr>
          <w:p>
            <w:pPr>
              <w:pStyle w:val="TableParagraph"/>
              <w:spacing w:line="210" w:lineRule="exact"/>
              <w:ind w:left="37" w:right="123"/>
              <w:jc w:val="center"/>
              <w:rPr>
                <w:sz w:val="20"/>
              </w:rPr>
            </w:pPr>
            <w:r>
              <w:rPr>
                <w:spacing w:val="-4"/>
                <w:sz w:val="20"/>
              </w:rPr>
              <w:t>1992</w:t>
            </w:r>
          </w:p>
        </w:tc>
        <w:tc>
          <w:tcPr>
            <w:tcW w:w="8002" w:type="dxa"/>
          </w:tcPr>
          <w:p>
            <w:pPr>
              <w:pStyle w:val="TableParagraph"/>
              <w:spacing w:line="210" w:lineRule="exact"/>
              <w:ind w:left="139"/>
              <w:rPr>
                <w:sz w:val="20"/>
              </w:rPr>
            </w:pPr>
            <w:r>
              <w:rPr>
                <w:sz w:val="20"/>
              </w:rPr>
              <w:t>Presentation,</w:t>
            </w:r>
            <w:r>
              <w:rPr>
                <w:spacing w:val="-9"/>
                <w:sz w:val="20"/>
              </w:rPr>
              <w:t> </w:t>
            </w:r>
            <w:r>
              <w:rPr>
                <w:sz w:val="20"/>
              </w:rPr>
              <w:t>“Inverting</w:t>
            </w:r>
            <w:r>
              <w:rPr>
                <w:spacing w:val="-9"/>
                <w:sz w:val="20"/>
              </w:rPr>
              <w:t> </w:t>
            </w:r>
            <w:r>
              <w:rPr>
                <w:sz w:val="20"/>
              </w:rPr>
              <w:t>the</w:t>
            </w:r>
            <w:r>
              <w:rPr>
                <w:spacing w:val="-7"/>
                <w:sz w:val="20"/>
              </w:rPr>
              <w:t> </w:t>
            </w:r>
            <w:r>
              <w:rPr>
                <w:sz w:val="20"/>
              </w:rPr>
              <w:t>Curriculum:</w:t>
            </w:r>
            <w:r>
              <w:rPr>
                <w:spacing w:val="-9"/>
                <w:sz w:val="20"/>
              </w:rPr>
              <w:t> </w:t>
            </w:r>
            <w:r>
              <w:rPr>
                <w:sz w:val="20"/>
              </w:rPr>
              <w:t>A</w:t>
            </w:r>
            <w:r>
              <w:rPr>
                <w:spacing w:val="-9"/>
                <w:sz w:val="20"/>
              </w:rPr>
              <w:t> </w:t>
            </w:r>
            <w:r>
              <w:rPr>
                <w:sz w:val="20"/>
              </w:rPr>
              <w:t>Polemic</w:t>
            </w:r>
            <w:r>
              <w:rPr>
                <w:spacing w:val="-8"/>
                <w:sz w:val="20"/>
              </w:rPr>
              <w:t> </w:t>
            </w:r>
            <w:r>
              <w:rPr>
                <w:sz w:val="20"/>
              </w:rPr>
              <w:t>on</w:t>
            </w:r>
            <w:r>
              <w:rPr>
                <w:spacing w:val="-9"/>
                <w:sz w:val="20"/>
              </w:rPr>
              <w:t> </w:t>
            </w:r>
            <w:r>
              <w:rPr>
                <w:sz w:val="20"/>
              </w:rPr>
              <w:t>Civil</w:t>
            </w:r>
            <w:r>
              <w:rPr>
                <w:spacing w:val="-8"/>
                <w:sz w:val="20"/>
              </w:rPr>
              <w:t> </w:t>
            </w:r>
            <w:r>
              <w:rPr>
                <w:sz w:val="20"/>
              </w:rPr>
              <w:t>Architecture,”</w:t>
            </w:r>
            <w:r>
              <w:rPr>
                <w:spacing w:val="-8"/>
                <w:sz w:val="20"/>
              </w:rPr>
              <w:t> </w:t>
            </w:r>
            <w:r>
              <w:rPr>
                <w:sz w:val="20"/>
              </w:rPr>
              <w:t>Conference</w:t>
            </w:r>
            <w:r>
              <w:rPr>
                <w:spacing w:val="-8"/>
                <w:sz w:val="20"/>
              </w:rPr>
              <w:t> </w:t>
            </w:r>
            <w:r>
              <w:rPr>
                <w:spacing w:val="-5"/>
                <w:sz w:val="20"/>
              </w:rPr>
              <w:t>on</w:t>
            </w:r>
          </w:p>
        </w:tc>
      </w:tr>
      <w:tr>
        <w:trPr>
          <w:trHeight w:val="230" w:hRule="atLeast"/>
        </w:trPr>
        <w:tc>
          <w:tcPr>
            <w:tcW w:w="631" w:type="dxa"/>
          </w:tcPr>
          <w:p>
            <w:pPr>
              <w:pStyle w:val="TableParagraph"/>
              <w:rPr>
                <w:rFonts w:ascii="Times New Roman"/>
                <w:sz w:val="16"/>
              </w:rPr>
            </w:pPr>
          </w:p>
        </w:tc>
        <w:tc>
          <w:tcPr>
            <w:tcW w:w="8002" w:type="dxa"/>
          </w:tcPr>
          <w:p>
            <w:pPr>
              <w:pStyle w:val="TableParagraph"/>
              <w:spacing w:line="210" w:lineRule="exact"/>
              <w:ind w:left="139"/>
              <w:rPr>
                <w:sz w:val="20"/>
              </w:rPr>
            </w:pPr>
            <w:r>
              <w:rPr>
                <w:sz w:val="20"/>
              </w:rPr>
              <w:t>Teaching</w:t>
            </w:r>
            <w:r>
              <w:rPr>
                <w:spacing w:val="-9"/>
                <w:sz w:val="20"/>
              </w:rPr>
              <w:t> </w:t>
            </w:r>
            <w:r>
              <w:rPr>
                <w:sz w:val="20"/>
              </w:rPr>
              <w:t>the</w:t>
            </w:r>
            <w:r>
              <w:rPr>
                <w:spacing w:val="-6"/>
                <w:sz w:val="20"/>
              </w:rPr>
              <w:t> </w:t>
            </w:r>
            <w:r>
              <w:rPr>
                <w:sz w:val="20"/>
              </w:rPr>
              <w:t>Beginning</w:t>
            </w:r>
            <w:r>
              <w:rPr>
                <w:spacing w:val="-8"/>
                <w:sz w:val="20"/>
              </w:rPr>
              <w:t> </w:t>
            </w:r>
            <w:r>
              <w:rPr>
                <w:sz w:val="20"/>
              </w:rPr>
              <w:t>Design</w:t>
            </w:r>
            <w:r>
              <w:rPr>
                <w:spacing w:val="-7"/>
                <w:sz w:val="20"/>
              </w:rPr>
              <w:t> </w:t>
            </w:r>
            <w:r>
              <w:rPr>
                <w:sz w:val="20"/>
              </w:rPr>
              <w:t>Student,</w:t>
            </w:r>
            <w:r>
              <w:rPr>
                <w:spacing w:val="-6"/>
                <w:sz w:val="20"/>
              </w:rPr>
              <w:t> </w:t>
            </w:r>
            <w:r>
              <w:rPr>
                <w:sz w:val="20"/>
              </w:rPr>
              <w:t>Auburn</w:t>
            </w:r>
            <w:r>
              <w:rPr>
                <w:spacing w:val="-7"/>
                <w:sz w:val="20"/>
              </w:rPr>
              <w:t> </w:t>
            </w:r>
            <w:r>
              <w:rPr>
                <w:sz w:val="20"/>
              </w:rPr>
              <w:t>University,</w:t>
            </w:r>
            <w:r>
              <w:rPr>
                <w:spacing w:val="-8"/>
                <w:sz w:val="20"/>
              </w:rPr>
              <w:t> </w:t>
            </w:r>
            <w:r>
              <w:rPr>
                <w:sz w:val="20"/>
              </w:rPr>
              <w:t>at</w:t>
            </w:r>
            <w:r>
              <w:rPr>
                <w:spacing w:val="-8"/>
                <w:sz w:val="20"/>
              </w:rPr>
              <w:t> </w:t>
            </w:r>
            <w:r>
              <w:rPr>
                <w:sz w:val="20"/>
              </w:rPr>
              <w:t>Seaside,</w:t>
            </w:r>
            <w:r>
              <w:rPr>
                <w:spacing w:val="-8"/>
                <w:sz w:val="20"/>
              </w:rPr>
              <w:t> </w:t>
            </w:r>
            <w:r>
              <w:rPr>
                <w:spacing w:val="-2"/>
                <w:sz w:val="20"/>
              </w:rPr>
              <w:t>Florida</w:t>
            </w:r>
          </w:p>
        </w:tc>
      </w:tr>
      <w:tr>
        <w:trPr>
          <w:trHeight w:val="229" w:hRule="atLeast"/>
        </w:trPr>
        <w:tc>
          <w:tcPr>
            <w:tcW w:w="631" w:type="dxa"/>
          </w:tcPr>
          <w:p>
            <w:pPr>
              <w:pStyle w:val="TableParagraph"/>
              <w:spacing w:line="209" w:lineRule="exact"/>
              <w:ind w:left="37" w:right="123"/>
              <w:jc w:val="center"/>
              <w:rPr>
                <w:sz w:val="20"/>
              </w:rPr>
            </w:pPr>
            <w:r>
              <w:rPr>
                <w:spacing w:val="-4"/>
                <w:sz w:val="20"/>
              </w:rPr>
              <w:t>1979</w:t>
            </w:r>
          </w:p>
        </w:tc>
        <w:tc>
          <w:tcPr>
            <w:tcW w:w="8002" w:type="dxa"/>
          </w:tcPr>
          <w:p>
            <w:pPr>
              <w:pStyle w:val="TableParagraph"/>
              <w:spacing w:line="209" w:lineRule="exact"/>
              <w:ind w:left="139"/>
              <w:rPr>
                <w:sz w:val="20"/>
              </w:rPr>
            </w:pPr>
            <w:r>
              <w:rPr>
                <w:sz w:val="20"/>
              </w:rPr>
              <w:t>Presentation,</w:t>
            </w:r>
            <w:r>
              <w:rPr>
                <w:spacing w:val="-8"/>
                <w:sz w:val="20"/>
              </w:rPr>
              <w:t> </w:t>
            </w:r>
            <w:r>
              <w:rPr>
                <w:sz w:val="20"/>
              </w:rPr>
              <w:t>“Freeway</w:t>
            </w:r>
            <w:r>
              <w:rPr>
                <w:spacing w:val="-10"/>
                <w:sz w:val="20"/>
              </w:rPr>
              <w:t> </w:t>
            </w:r>
            <w:r>
              <w:rPr>
                <w:sz w:val="20"/>
              </w:rPr>
              <w:t>Park,</w:t>
            </w:r>
            <w:r>
              <w:rPr>
                <w:spacing w:val="-7"/>
                <w:sz w:val="20"/>
              </w:rPr>
              <w:t> </w:t>
            </w:r>
            <w:r>
              <w:rPr>
                <w:sz w:val="20"/>
              </w:rPr>
              <w:t>Central</w:t>
            </w:r>
            <w:r>
              <w:rPr>
                <w:spacing w:val="-12"/>
                <w:sz w:val="20"/>
              </w:rPr>
              <w:t> </w:t>
            </w:r>
            <w:r>
              <w:rPr>
                <w:sz w:val="20"/>
              </w:rPr>
              <w:t>Waterfront</w:t>
            </w:r>
            <w:r>
              <w:rPr>
                <w:spacing w:val="-8"/>
                <w:sz w:val="20"/>
              </w:rPr>
              <w:t> </w:t>
            </w:r>
            <w:r>
              <w:rPr>
                <w:sz w:val="20"/>
              </w:rPr>
              <w:t>District</w:t>
            </w:r>
            <w:r>
              <w:rPr>
                <w:spacing w:val="-7"/>
                <w:sz w:val="20"/>
              </w:rPr>
              <w:t> </w:t>
            </w:r>
            <w:r>
              <w:rPr>
                <w:sz w:val="20"/>
              </w:rPr>
              <w:t>and</w:t>
            </w:r>
            <w:r>
              <w:rPr>
                <w:spacing w:val="-5"/>
                <w:sz w:val="20"/>
              </w:rPr>
              <w:t> </w:t>
            </w:r>
            <w:r>
              <w:rPr>
                <w:sz w:val="20"/>
              </w:rPr>
              <w:t>the</w:t>
            </w:r>
            <w:r>
              <w:rPr>
                <w:spacing w:val="-6"/>
                <w:sz w:val="20"/>
              </w:rPr>
              <w:t> </w:t>
            </w:r>
            <w:r>
              <w:rPr>
                <w:sz w:val="20"/>
              </w:rPr>
              <w:t>Denny</w:t>
            </w:r>
            <w:r>
              <w:rPr>
                <w:spacing w:val="-8"/>
                <w:sz w:val="20"/>
              </w:rPr>
              <w:t> </w:t>
            </w:r>
            <w:r>
              <w:rPr>
                <w:spacing w:val="-2"/>
                <w:sz w:val="20"/>
              </w:rPr>
              <w:t>Regrade:</w:t>
            </w:r>
          </w:p>
        </w:tc>
      </w:tr>
      <w:tr>
        <w:trPr>
          <w:trHeight w:val="229" w:hRule="atLeast"/>
        </w:trPr>
        <w:tc>
          <w:tcPr>
            <w:tcW w:w="631" w:type="dxa"/>
          </w:tcPr>
          <w:p>
            <w:pPr>
              <w:pStyle w:val="TableParagraph"/>
              <w:rPr>
                <w:rFonts w:ascii="Times New Roman"/>
                <w:sz w:val="16"/>
              </w:rPr>
            </w:pPr>
          </w:p>
        </w:tc>
        <w:tc>
          <w:tcPr>
            <w:tcW w:w="8002" w:type="dxa"/>
          </w:tcPr>
          <w:p>
            <w:pPr>
              <w:pStyle w:val="TableParagraph"/>
              <w:spacing w:line="209" w:lineRule="exact"/>
              <w:ind w:left="139"/>
              <w:rPr>
                <w:sz w:val="20"/>
              </w:rPr>
            </w:pPr>
            <w:r>
              <w:rPr>
                <w:sz w:val="20"/>
              </w:rPr>
              <w:t>Attempts</w:t>
            </w:r>
            <w:r>
              <w:rPr>
                <w:spacing w:val="-7"/>
                <w:sz w:val="20"/>
              </w:rPr>
              <w:t> </w:t>
            </w:r>
            <w:r>
              <w:rPr>
                <w:sz w:val="20"/>
              </w:rPr>
              <w:t>to</w:t>
            </w:r>
            <w:r>
              <w:rPr>
                <w:spacing w:val="-7"/>
                <w:sz w:val="20"/>
              </w:rPr>
              <w:t> </w:t>
            </w:r>
            <w:r>
              <w:rPr>
                <w:sz w:val="20"/>
              </w:rPr>
              <w:t>Accommodate</w:t>
            </w:r>
            <w:r>
              <w:rPr>
                <w:spacing w:val="-8"/>
                <w:sz w:val="20"/>
              </w:rPr>
              <w:t> </w:t>
            </w:r>
            <w:r>
              <w:rPr>
                <w:sz w:val="20"/>
              </w:rPr>
              <w:t>the</w:t>
            </w:r>
            <w:r>
              <w:rPr>
                <w:spacing w:val="-7"/>
                <w:sz w:val="20"/>
              </w:rPr>
              <w:t> </w:t>
            </w:r>
            <w:r>
              <w:rPr>
                <w:sz w:val="20"/>
              </w:rPr>
              <w:t>New</w:t>
            </w:r>
            <w:r>
              <w:rPr>
                <w:spacing w:val="-9"/>
                <w:sz w:val="20"/>
              </w:rPr>
              <w:t> </w:t>
            </w:r>
            <w:r>
              <w:rPr>
                <w:sz w:val="20"/>
              </w:rPr>
              <w:t>Urban</w:t>
            </w:r>
            <w:r>
              <w:rPr>
                <w:spacing w:val="-6"/>
                <w:sz w:val="20"/>
              </w:rPr>
              <w:t> </w:t>
            </w:r>
            <w:r>
              <w:rPr>
                <w:sz w:val="20"/>
              </w:rPr>
              <w:t>Pioneers,”</w:t>
            </w:r>
            <w:r>
              <w:rPr>
                <w:spacing w:val="-6"/>
                <w:sz w:val="20"/>
              </w:rPr>
              <w:t> </w:t>
            </w:r>
            <w:r>
              <w:rPr>
                <w:sz w:val="20"/>
              </w:rPr>
              <w:t>with</w:t>
            </w:r>
            <w:r>
              <w:rPr>
                <w:spacing w:val="-6"/>
                <w:sz w:val="20"/>
              </w:rPr>
              <w:t> </w:t>
            </w:r>
            <w:r>
              <w:rPr>
                <w:sz w:val="20"/>
              </w:rPr>
              <w:t>Astra</w:t>
            </w:r>
            <w:r>
              <w:rPr>
                <w:spacing w:val="-7"/>
                <w:sz w:val="20"/>
              </w:rPr>
              <w:t> </w:t>
            </w:r>
            <w:r>
              <w:rPr>
                <w:sz w:val="20"/>
              </w:rPr>
              <w:t>Zarina.</w:t>
            </w:r>
            <w:r>
              <w:rPr>
                <w:spacing w:val="-6"/>
                <w:sz w:val="20"/>
              </w:rPr>
              <w:t> </w:t>
            </w:r>
            <w:r>
              <w:rPr>
                <w:sz w:val="20"/>
              </w:rPr>
              <w:t>Programs</w:t>
            </w:r>
            <w:r>
              <w:rPr>
                <w:spacing w:val="-6"/>
                <w:sz w:val="20"/>
              </w:rPr>
              <w:t> </w:t>
            </w:r>
            <w:r>
              <w:rPr>
                <w:spacing w:val="-5"/>
                <w:sz w:val="20"/>
              </w:rPr>
              <w:t>and</w:t>
            </w:r>
          </w:p>
        </w:tc>
      </w:tr>
      <w:tr>
        <w:trPr>
          <w:trHeight w:val="230" w:hRule="atLeast"/>
        </w:trPr>
        <w:tc>
          <w:tcPr>
            <w:tcW w:w="631" w:type="dxa"/>
          </w:tcPr>
          <w:p>
            <w:pPr>
              <w:pStyle w:val="TableParagraph"/>
              <w:rPr>
                <w:rFonts w:ascii="Times New Roman"/>
                <w:sz w:val="16"/>
              </w:rPr>
            </w:pPr>
          </w:p>
        </w:tc>
        <w:tc>
          <w:tcPr>
            <w:tcW w:w="8002" w:type="dxa"/>
          </w:tcPr>
          <w:p>
            <w:pPr>
              <w:pStyle w:val="TableParagraph"/>
              <w:spacing w:line="210" w:lineRule="exact"/>
              <w:ind w:left="139"/>
              <w:rPr>
                <w:sz w:val="20"/>
              </w:rPr>
            </w:pPr>
            <w:r>
              <w:rPr>
                <w:sz w:val="20"/>
              </w:rPr>
              <w:t>Projects</w:t>
            </w:r>
            <w:r>
              <w:rPr>
                <w:spacing w:val="-7"/>
                <w:sz w:val="20"/>
              </w:rPr>
              <w:t> </w:t>
            </w:r>
            <w:r>
              <w:rPr>
                <w:sz w:val="20"/>
              </w:rPr>
              <w:t>to</w:t>
            </w:r>
            <w:r>
              <w:rPr>
                <w:spacing w:val="-8"/>
                <w:sz w:val="20"/>
              </w:rPr>
              <w:t> </w:t>
            </w:r>
            <w:r>
              <w:rPr>
                <w:sz w:val="20"/>
              </w:rPr>
              <w:t>Revitalize</w:t>
            </w:r>
            <w:r>
              <w:rPr>
                <w:spacing w:val="-6"/>
                <w:sz w:val="20"/>
              </w:rPr>
              <w:t> </w:t>
            </w:r>
            <w:r>
              <w:rPr>
                <w:sz w:val="20"/>
              </w:rPr>
              <w:t>Existing</w:t>
            </w:r>
            <w:r>
              <w:rPr>
                <w:spacing w:val="-8"/>
                <w:sz w:val="20"/>
              </w:rPr>
              <w:t> </w:t>
            </w:r>
            <w:r>
              <w:rPr>
                <w:sz w:val="20"/>
              </w:rPr>
              <w:t>Cities,”</w:t>
            </w:r>
            <w:r>
              <w:rPr>
                <w:spacing w:val="-7"/>
                <w:sz w:val="20"/>
              </w:rPr>
              <w:t> </w:t>
            </w:r>
            <w:r>
              <w:rPr>
                <w:sz w:val="20"/>
              </w:rPr>
              <w:t>Rome,</w:t>
            </w:r>
            <w:r>
              <w:rPr>
                <w:spacing w:val="-8"/>
                <w:sz w:val="20"/>
              </w:rPr>
              <w:t> </w:t>
            </w:r>
            <w:r>
              <w:rPr>
                <w:spacing w:val="-4"/>
                <w:sz w:val="20"/>
              </w:rPr>
              <w:t>Italy</w:t>
            </w:r>
          </w:p>
        </w:tc>
      </w:tr>
      <w:tr>
        <w:trPr>
          <w:trHeight w:val="226" w:hRule="atLeast"/>
        </w:trPr>
        <w:tc>
          <w:tcPr>
            <w:tcW w:w="631" w:type="dxa"/>
          </w:tcPr>
          <w:p>
            <w:pPr>
              <w:pStyle w:val="TableParagraph"/>
              <w:spacing w:line="207" w:lineRule="exact"/>
              <w:ind w:left="37" w:right="123"/>
              <w:jc w:val="center"/>
              <w:rPr>
                <w:sz w:val="20"/>
              </w:rPr>
            </w:pPr>
            <w:r>
              <w:rPr>
                <w:spacing w:val="-4"/>
                <w:sz w:val="20"/>
              </w:rPr>
              <w:t>2008</w:t>
            </w:r>
          </w:p>
        </w:tc>
        <w:tc>
          <w:tcPr>
            <w:tcW w:w="8002" w:type="dxa"/>
          </w:tcPr>
          <w:p>
            <w:pPr>
              <w:pStyle w:val="TableParagraph"/>
              <w:spacing w:line="207" w:lineRule="exact"/>
              <w:ind w:left="139"/>
              <w:rPr>
                <w:sz w:val="20"/>
              </w:rPr>
            </w:pPr>
            <w:r>
              <w:rPr>
                <w:sz w:val="20"/>
              </w:rPr>
              <w:t>Served</w:t>
            </w:r>
            <w:r>
              <w:rPr>
                <w:spacing w:val="-5"/>
                <w:sz w:val="20"/>
              </w:rPr>
              <w:t> </w:t>
            </w:r>
            <w:r>
              <w:rPr>
                <w:sz w:val="20"/>
              </w:rPr>
              <w:t>as</w:t>
            </w:r>
            <w:r>
              <w:rPr>
                <w:spacing w:val="-5"/>
                <w:sz w:val="20"/>
              </w:rPr>
              <w:t> </w:t>
            </w:r>
            <w:r>
              <w:rPr>
                <w:sz w:val="20"/>
              </w:rPr>
              <w:t>assistant</w:t>
            </w:r>
            <w:r>
              <w:rPr>
                <w:spacing w:val="-5"/>
                <w:sz w:val="20"/>
              </w:rPr>
              <w:t> </w:t>
            </w:r>
            <w:r>
              <w:rPr>
                <w:sz w:val="20"/>
              </w:rPr>
              <w:t>to</w:t>
            </w:r>
            <w:r>
              <w:rPr>
                <w:spacing w:val="-6"/>
                <w:sz w:val="20"/>
              </w:rPr>
              <w:t> </w:t>
            </w:r>
            <w:r>
              <w:rPr>
                <w:sz w:val="20"/>
              </w:rPr>
              <w:t>the</w:t>
            </w:r>
            <w:r>
              <w:rPr>
                <w:spacing w:val="-4"/>
                <w:sz w:val="20"/>
              </w:rPr>
              <w:t> Dean</w:t>
            </w:r>
          </w:p>
        </w:tc>
      </w:tr>
    </w:tbl>
    <w:p>
      <w:pPr>
        <w:spacing w:after="0" w:line="207" w:lineRule="exact"/>
        <w:rPr>
          <w:sz w:val="20"/>
        </w:rPr>
        <w:sectPr>
          <w:headerReference w:type="default" r:id="rId263"/>
          <w:footerReference w:type="default" r:id="rId264"/>
          <w:pgSz w:w="12240" w:h="15840"/>
          <w:pgMar w:header="0" w:footer="974" w:top="920" w:bottom="1160" w:left="1000" w:right="820"/>
        </w:sectPr>
      </w:pPr>
    </w:p>
    <w:p>
      <w:pPr>
        <w:spacing w:before="63"/>
        <w:ind w:left="440" w:right="0" w:firstLine="0"/>
        <w:jc w:val="left"/>
        <w:rPr>
          <w:b/>
          <w:sz w:val="20"/>
        </w:rPr>
      </w:pPr>
      <w:r>
        <w:rPr>
          <w:b/>
          <w:sz w:val="20"/>
        </w:rPr>
        <w:t>Okiomah,</w:t>
      </w:r>
      <w:r>
        <w:rPr>
          <w:b/>
          <w:spacing w:val="-14"/>
          <w:sz w:val="20"/>
        </w:rPr>
        <w:t> </w:t>
      </w:r>
      <w:r>
        <w:rPr>
          <w:b/>
          <w:sz w:val="20"/>
        </w:rPr>
        <w:t>Ogheneruno,</w:t>
      </w:r>
      <w:r>
        <w:rPr>
          <w:b/>
          <w:spacing w:val="-10"/>
          <w:sz w:val="20"/>
        </w:rPr>
        <w:t> </w:t>
      </w:r>
      <w:r>
        <w:rPr>
          <w:b/>
          <w:sz w:val="20"/>
        </w:rPr>
        <w:t>Assistant</w:t>
      </w:r>
      <w:r>
        <w:rPr>
          <w:b/>
          <w:spacing w:val="-10"/>
          <w:sz w:val="20"/>
        </w:rPr>
        <w:t> </w:t>
      </w:r>
      <w:r>
        <w:rPr>
          <w:b/>
          <w:spacing w:val="-2"/>
          <w:sz w:val="20"/>
        </w:rPr>
        <w:t>Professor</w:t>
      </w:r>
    </w:p>
    <w:p>
      <w:pPr>
        <w:pStyle w:val="BodyText"/>
        <w:spacing w:before="7"/>
        <w:rPr>
          <w:b/>
          <w:sz w:val="17"/>
        </w:rPr>
      </w:pPr>
    </w:p>
    <w:p>
      <w:pPr>
        <w:spacing w:before="0"/>
        <w:ind w:left="440" w:right="0" w:firstLine="0"/>
        <w:jc w:val="left"/>
        <w:rPr>
          <w:b/>
          <w:sz w:val="20"/>
        </w:rPr>
      </w:pPr>
      <w:r>
        <w:rPr>
          <w:b/>
          <w:sz w:val="20"/>
        </w:rPr>
        <w:t>Courses</w:t>
      </w:r>
      <w:r>
        <w:rPr>
          <w:b/>
          <w:spacing w:val="-7"/>
          <w:sz w:val="20"/>
        </w:rPr>
        <w:t> </w:t>
      </w:r>
      <w:r>
        <w:rPr>
          <w:b/>
          <w:sz w:val="20"/>
        </w:rPr>
        <w:t>Taught</w:t>
      </w:r>
      <w:r>
        <w:rPr>
          <w:b/>
          <w:spacing w:val="-7"/>
          <w:sz w:val="20"/>
        </w:rPr>
        <w:t> </w:t>
      </w:r>
      <w:r>
        <w:rPr>
          <w:b/>
          <w:sz w:val="20"/>
        </w:rPr>
        <w:t>(during</w:t>
      </w:r>
      <w:r>
        <w:rPr>
          <w:b/>
          <w:spacing w:val="-7"/>
          <w:sz w:val="20"/>
        </w:rPr>
        <w:t> </w:t>
      </w:r>
      <w:r>
        <w:rPr>
          <w:b/>
          <w:sz w:val="20"/>
        </w:rPr>
        <w:t>the</w:t>
      </w:r>
      <w:r>
        <w:rPr>
          <w:b/>
          <w:spacing w:val="-8"/>
          <w:sz w:val="20"/>
        </w:rPr>
        <w:t> </w:t>
      </w:r>
      <w:r>
        <w:rPr>
          <w:b/>
          <w:sz w:val="20"/>
        </w:rPr>
        <w:t>past</w:t>
      </w:r>
      <w:r>
        <w:rPr>
          <w:b/>
          <w:spacing w:val="-7"/>
          <w:sz w:val="20"/>
        </w:rPr>
        <w:t> </w:t>
      </w:r>
      <w:r>
        <w:rPr>
          <w:b/>
          <w:sz w:val="20"/>
        </w:rPr>
        <w:t>two</w:t>
      </w:r>
      <w:r>
        <w:rPr>
          <w:b/>
          <w:spacing w:val="-7"/>
          <w:sz w:val="20"/>
        </w:rPr>
        <w:t> </w:t>
      </w:r>
      <w:r>
        <w:rPr>
          <w:b/>
          <w:sz w:val="20"/>
        </w:rPr>
        <w:t>academic</w:t>
      </w:r>
      <w:r>
        <w:rPr>
          <w:b/>
          <w:spacing w:val="-4"/>
          <w:sz w:val="20"/>
        </w:rPr>
        <w:t> </w:t>
      </w:r>
      <w:r>
        <w:rPr>
          <w:b/>
          <w:spacing w:val="-2"/>
          <w:sz w:val="20"/>
        </w:rPr>
        <w:t>years):</w:t>
      </w:r>
    </w:p>
    <w:p>
      <w:pPr>
        <w:pStyle w:val="BodyText"/>
        <w:ind w:left="1160"/>
      </w:pPr>
      <w:r>
        <w:rPr/>
        <w:t>Fall</w:t>
      </w:r>
      <w:r>
        <w:rPr>
          <w:spacing w:val="-6"/>
        </w:rPr>
        <w:t> </w:t>
      </w:r>
      <w:r>
        <w:rPr/>
        <w:t>2012:</w:t>
      </w:r>
      <w:r>
        <w:rPr>
          <w:spacing w:val="-4"/>
        </w:rPr>
        <w:t> </w:t>
      </w:r>
      <w:r>
        <w:rPr/>
        <w:t>ARC</w:t>
      </w:r>
      <w:r>
        <w:rPr>
          <w:spacing w:val="-3"/>
        </w:rPr>
        <w:t> </w:t>
      </w:r>
      <w:r>
        <w:rPr/>
        <w:t>405</w:t>
      </w:r>
      <w:r>
        <w:rPr>
          <w:spacing w:val="-4"/>
        </w:rPr>
        <w:t> </w:t>
      </w:r>
      <w:r>
        <w:rPr/>
        <w:t>–</w:t>
      </w:r>
      <w:r>
        <w:rPr>
          <w:spacing w:val="-4"/>
        </w:rPr>
        <w:t> </w:t>
      </w:r>
      <w:r>
        <w:rPr/>
        <w:t>Arch</w:t>
      </w:r>
      <w:r>
        <w:rPr>
          <w:spacing w:val="-6"/>
        </w:rPr>
        <w:t> </w:t>
      </w:r>
      <w:r>
        <w:rPr/>
        <w:t>Design</w:t>
      </w:r>
      <w:r>
        <w:rPr>
          <w:spacing w:val="-4"/>
        </w:rPr>
        <w:t> </w:t>
      </w:r>
      <w:r>
        <w:rPr/>
        <w:t>Studio,</w:t>
      </w:r>
      <w:r>
        <w:rPr>
          <w:spacing w:val="-4"/>
        </w:rPr>
        <w:t> </w:t>
      </w:r>
      <w:r>
        <w:rPr/>
        <w:t>ARC</w:t>
      </w:r>
      <w:r>
        <w:rPr>
          <w:spacing w:val="-3"/>
        </w:rPr>
        <w:t> </w:t>
      </w:r>
      <w:r>
        <w:rPr/>
        <w:t>430,</w:t>
      </w:r>
      <w:r>
        <w:rPr>
          <w:spacing w:val="-6"/>
        </w:rPr>
        <w:t> </w:t>
      </w:r>
      <w:r>
        <w:rPr/>
        <w:t>Arch</w:t>
      </w:r>
      <w:r>
        <w:rPr>
          <w:spacing w:val="-6"/>
        </w:rPr>
        <w:t> </w:t>
      </w:r>
      <w:r>
        <w:rPr>
          <w:spacing w:val="-2"/>
        </w:rPr>
        <w:t>Elective</w:t>
      </w:r>
    </w:p>
    <w:p>
      <w:pPr>
        <w:pStyle w:val="BodyText"/>
        <w:spacing w:before="1"/>
        <w:ind w:left="1160" w:right="642"/>
      </w:pPr>
      <w:r>
        <w:rPr/>
        <w:t>Spring</w:t>
      </w:r>
      <w:r>
        <w:rPr>
          <w:spacing w:val="-4"/>
        </w:rPr>
        <w:t> </w:t>
      </w:r>
      <w:r>
        <w:rPr/>
        <w:t>2013:</w:t>
      </w:r>
      <w:r>
        <w:rPr>
          <w:spacing w:val="-4"/>
        </w:rPr>
        <w:t> </w:t>
      </w:r>
      <w:r>
        <w:rPr/>
        <w:t>ARC</w:t>
      </w:r>
      <w:r>
        <w:rPr>
          <w:spacing w:val="-4"/>
        </w:rPr>
        <w:t> </w:t>
      </w:r>
      <w:r>
        <w:rPr/>
        <w:t>202</w:t>
      </w:r>
      <w:r>
        <w:rPr>
          <w:spacing w:val="-4"/>
        </w:rPr>
        <w:t> </w:t>
      </w:r>
      <w:r>
        <w:rPr/>
        <w:t>–</w:t>
      </w:r>
      <w:r>
        <w:rPr>
          <w:spacing w:val="-1"/>
        </w:rPr>
        <w:t> </w:t>
      </w:r>
      <w:r>
        <w:rPr/>
        <w:t>Bas</w:t>
      </w:r>
      <w:r>
        <w:rPr>
          <w:spacing w:val="-3"/>
        </w:rPr>
        <w:t> </w:t>
      </w:r>
      <w:r>
        <w:rPr/>
        <w:t>Arch</w:t>
      </w:r>
      <w:r>
        <w:rPr>
          <w:spacing w:val="-4"/>
        </w:rPr>
        <w:t> </w:t>
      </w:r>
      <w:r>
        <w:rPr/>
        <w:t>Des</w:t>
      </w:r>
      <w:r>
        <w:rPr>
          <w:spacing w:val="-3"/>
        </w:rPr>
        <w:t> </w:t>
      </w:r>
      <w:r>
        <w:rPr/>
        <w:t>II;</w:t>
      </w:r>
      <w:r>
        <w:rPr>
          <w:spacing w:val="-4"/>
        </w:rPr>
        <w:t> </w:t>
      </w:r>
      <w:r>
        <w:rPr/>
        <w:t>ARC</w:t>
      </w:r>
      <w:r>
        <w:rPr>
          <w:spacing w:val="-4"/>
        </w:rPr>
        <w:t> </w:t>
      </w:r>
      <w:r>
        <w:rPr/>
        <w:t>411</w:t>
      </w:r>
      <w:r>
        <w:rPr>
          <w:spacing w:val="-4"/>
        </w:rPr>
        <w:t> </w:t>
      </w:r>
      <w:r>
        <w:rPr/>
        <w:t>–</w:t>
      </w:r>
      <w:r>
        <w:rPr>
          <w:spacing w:val="-1"/>
        </w:rPr>
        <w:t> </w:t>
      </w:r>
      <w:r>
        <w:rPr/>
        <w:t>Theory</w:t>
      </w:r>
      <w:r>
        <w:rPr>
          <w:spacing w:val="-6"/>
        </w:rPr>
        <w:t> </w:t>
      </w:r>
      <w:r>
        <w:rPr/>
        <w:t>II;</w:t>
      </w:r>
      <w:r>
        <w:rPr>
          <w:spacing w:val="-2"/>
        </w:rPr>
        <w:t> </w:t>
      </w:r>
      <w:r>
        <w:rPr/>
        <w:t>ARC</w:t>
      </w:r>
      <w:r>
        <w:rPr>
          <w:spacing w:val="-1"/>
        </w:rPr>
        <w:t> </w:t>
      </w:r>
      <w:r>
        <w:rPr/>
        <w:t>430</w:t>
      </w:r>
      <w:r>
        <w:rPr>
          <w:spacing w:val="-2"/>
        </w:rPr>
        <w:t> </w:t>
      </w:r>
      <w:r>
        <w:rPr/>
        <w:t>Arch</w:t>
      </w:r>
      <w:r>
        <w:rPr>
          <w:spacing w:val="-2"/>
        </w:rPr>
        <w:t> </w:t>
      </w:r>
      <w:r>
        <w:rPr/>
        <w:t>Elective</w:t>
      </w:r>
      <w:r>
        <w:rPr>
          <w:spacing w:val="-4"/>
        </w:rPr>
        <w:t> </w:t>
      </w:r>
      <w:r>
        <w:rPr/>
        <w:t>(Design and Innovation)</w:t>
      </w:r>
    </w:p>
    <w:p>
      <w:pPr>
        <w:spacing w:before="198"/>
        <w:ind w:left="440" w:right="0" w:firstLine="0"/>
        <w:jc w:val="left"/>
        <w:rPr>
          <w:b/>
          <w:sz w:val="20"/>
        </w:rPr>
      </w:pPr>
      <w:r>
        <w:rPr>
          <w:b/>
          <w:spacing w:val="-2"/>
          <w:sz w:val="20"/>
        </w:rPr>
        <w:t>Educational</w:t>
      </w:r>
      <w:r>
        <w:rPr>
          <w:b/>
          <w:spacing w:val="6"/>
          <w:sz w:val="20"/>
        </w:rPr>
        <w:t> </w:t>
      </w:r>
      <w:r>
        <w:rPr>
          <w:b/>
          <w:spacing w:val="-2"/>
          <w:sz w:val="20"/>
        </w:rPr>
        <w:t>Credentials:</w:t>
      </w:r>
    </w:p>
    <w:p>
      <w:pPr>
        <w:pStyle w:val="BodyText"/>
        <w:tabs>
          <w:tab w:pos="2959" w:val="left" w:leader="none"/>
        </w:tabs>
        <w:spacing w:line="229" w:lineRule="exact" w:before="3"/>
        <w:ind w:left="1160"/>
      </w:pPr>
      <w:r>
        <w:rPr/>
        <w:t>February</w:t>
      </w:r>
      <w:r>
        <w:rPr>
          <w:spacing w:val="-13"/>
        </w:rPr>
        <w:t> </w:t>
      </w:r>
      <w:r>
        <w:rPr>
          <w:spacing w:val="-4"/>
        </w:rPr>
        <w:t>2011</w:t>
      </w:r>
      <w:r>
        <w:rPr/>
        <w:tab/>
        <w:t>Master</w:t>
      </w:r>
      <w:r>
        <w:rPr>
          <w:spacing w:val="-8"/>
        </w:rPr>
        <w:t> </w:t>
      </w:r>
      <w:r>
        <w:rPr/>
        <w:t>in</w:t>
      </w:r>
      <w:r>
        <w:rPr>
          <w:spacing w:val="-8"/>
        </w:rPr>
        <w:t> </w:t>
      </w:r>
      <w:r>
        <w:rPr/>
        <w:t>Architecture,</w:t>
      </w:r>
      <w:r>
        <w:rPr>
          <w:spacing w:val="-8"/>
        </w:rPr>
        <w:t> </w:t>
      </w:r>
      <w:r>
        <w:rPr>
          <w:spacing w:val="-5"/>
        </w:rPr>
        <w:t>MIT</w:t>
      </w:r>
    </w:p>
    <w:p>
      <w:pPr>
        <w:pStyle w:val="BodyText"/>
        <w:tabs>
          <w:tab w:pos="2959" w:val="left" w:leader="none"/>
        </w:tabs>
        <w:spacing w:line="229" w:lineRule="exact"/>
        <w:ind w:left="1160"/>
      </w:pPr>
      <w:r>
        <w:rPr/>
        <w:t>December</w:t>
      </w:r>
      <w:r>
        <w:rPr>
          <w:spacing w:val="-9"/>
        </w:rPr>
        <w:t> </w:t>
      </w:r>
      <w:r>
        <w:rPr>
          <w:spacing w:val="-4"/>
        </w:rPr>
        <w:t>2006</w:t>
      </w:r>
      <w:r>
        <w:rPr/>
        <w:tab/>
        <w:t>BS</w:t>
      </w:r>
      <w:r>
        <w:rPr>
          <w:spacing w:val="-5"/>
        </w:rPr>
        <w:t> </w:t>
      </w:r>
      <w:r>
        <w:rPr/>
        <w:t>in</w:t>
      </w:r>
      <w:r>
        <w:rPr>
          <w:spacing w:val="-4"/>
        </w:rPr>
        <w:t> </w:t>
      </w:r>
      <w:r>
        <w:rPr/>
        <w:t>Architecture,</w:t>
      </w:r>
      <w:r>
        <w:rPr>
          <w:spacing w:val="-7"/>
        </w:rPr>
        <w:t> </w:t>
      </w:r>
      <w:r>
        <w:rPr/>
        <w:t>University</w:t>
      </w:r>
      <w:r>
        <w:rPr>
          <w:spacing w:val="-9"/>
        </w:rPr>
        <w:t> </w:t>
      </w:r>
      <w:r>
        <w:rPr/>
        <w:t>of</w:t>
      </w:r>
      <w:r>
        <w:rPr>
          <w:spacing w:val="-4"/>
        </w:rPr>
        <w:t> </w:t>
      </w:r>
      <w:r>
        <w:rPr/>
        <w:t>Texas</w:t>
      </w:r>
      <w:r>
        <w:rPr>
          <w:spacing w:val="-5"/>
        </w:rPr>
        <w:t> </w:t>
      </w:r>
      <w:r>
        <w:rPr/>
        <w:t>at</w:t>
      </w:r>
      <w:r>
        <w:rPr>
          <w:spacing w:val="-7"/>
        </w:rPr>
        <w:t> </w:t>
      </w:r>
      <w:r>
        <w:rPr>
          <w:spacing w:val="-2"/>
        </w:rPr>
        <w:t>Arlington</w:t>
      </w:r>
    </w:p>
    <w:p>
      <w:pPr>
        <w:pStyle w:val="BodyText"/>
        <w:spacing w:before="4"/>
        <w:rPr>
          <w:sz w:val="17"/>
        </w:rPr>
      </w:pPr>
    </w:p>
    <w:p>
      <w:pPr>
        <w:spacing w:before="0"/>
        <w:ind w:left="440" w:right="0" w:firstLine="0"/>
        <w:jc w:val="left"/>
        <w:rPr>
          <w:b/>
          <w:sz w:val="20"/>
        </w:rPr>
      </w:pPr>
      <w:r>
        <w:rPr>
          <w:b/>
          <w:sz w:val="20"/>
        </w:rPr>
        <w:t>Teaching</w:t>
      </w:r>
      <w:r>
        <w:rPr>
          <w:b/>
          <w:spacing w:val="-10"/>
          <w:sz w:val="20"/>
        </w:rPr>
        <w:t> </w:t>
      </w:r>
      <w:r>
        <w:rPr>
          <w:b/>
          <w:spacing w:val="-2"/>
          <w:sz w:val="20"/>
        </w:rPr>
        <w:t>Experience</w:t>
      </w:r>
    </w:p>
    <w:p>
      <w:pPr>
        <w:pStyle w:val="BodyText"/>
        <w:ind w:left="1159"/>
      </w:pPr>
      <w:r>
        <w:rPr/>
        <w:t>Associate</w:t>
      </w:r>
      <w:r>
        <w:rPr>
          <w:spacing w:val="-7"/>
        </w:rPr>
        <w:t> </w:t>
      </w:r>
      <w:r>
        <w:rPr/>
        <w:t>Professor</w:t>
      </w:r>
      <w:r>
        <w:rPr>
          <w:spacing w:val="-8"/>
        </w:rPr>
        <w:t> </w:t>
      </w:r>
      <w:r>
        <w:rPr/>
        <w:t>of</w:t>
      </w:r>
      <w:r>
        <w:rPr>
          <w:spacing w:val="-7"/>
        </w:rPr>
        <w:t> </w:t>
      </w:r>
      <w:r>
        <w:rPr/>
        <w:t>Architecture,</w:t>
      </w:r>
      <w:r>
        <w:rPr>
          <w:spacing w:val="-9"/>
        </w:rPr>
        <w:t> </w:t>
      </w:r>
      <w:r>
        <w:rPr/>
        <w:t>HU</w:t>
      </w:r>
      <w:r>
        <w:rPr>
          <w:spacing w:val="-6"/>
        </w:rPr>
        <w:t> </w:t>
      </w:r>
      <w:r>
        <w:rPr/>
        <w:t>Department</w:t>
      </w:r>
      <w:r>
        <w:rPr>
          <w:spacing w:val="-9"/>
        </w:rPr>
        <w:t> </w:t>
      </w:r>
      <w:r>
        <w:rPr/>
        <w:t>of</w:t>
      </w:r>
      <w:r>
        <w:rPr>
          <w:spacing w:val="-6"/>
        </w:rPr>
        <w:t> </w:t>
      </w:r>
      <w:r>
        <w:rPr/>
        <w:t>Architecture,</w:t>
      </w:r>
      <w:r>
        <w:rPr>
          <w:spacing w:val="-7"/>
        </w:rPr>
        <w:t> </w:t>
      </w:r>
      <w:r>
        <w:rPr/>
        <w:t>2012</w:t>
      </w:r>
      <w:r>
        <w:rPr>
          <w:spacing w:val="-9"/>
        </w:rPr>
        <w:t> </w:t>
      </w:r>
      <w:r>
        <w:rPr/>
        <w:t>to</w:t>
      </w:r>
      <w:r>
        <w:rPr>
          <w:spacing w:val="-7"/>
        </w:rPr>
        <w:t> </w:t>
      </w:r>
      <w:r>
        <w:rPr>
          <w:spacing w:val="-4"/>
        </w:rPr>
        <w:t>2013</w:t>
      </w:r>
    </w:p>
    <w:p>
      <w:pPr>
        <w:pStyle w:val="BodyText"/>
        <w:spacing w:before="4"/>
        <w:rPr>
          <w:sz w:val="17"/>
        </w:rPr>
      </w:pPr>
    </w:p>
    <w:p>
      <w:pPr>
        <w:spacing w:before="0"/>
        <w:ind w:left="439" w:right="0" w:firstLine="0"/>
        <w:jc w:val="left"/>
        <w:rPr>
          <w:b/>
          <w:sz w:val="20"/>
        </w:rPr>
      </w:pPr>
      <w:r>
        <w:rPr>
          <w:b/>
          <w:spacing w:val="-2"/>
          <w:sz w:val="20"/>
        </w:rPr>
        <w:t>Professional</w:t>
      </w:r>
      <w:r>
        <w:rPr>
          <w:b/>
          <w:spacing w:val="7"/>
          <w:sz w:val="20"/>
        </w:rPr>
        <w:t> </w:t>
      </w:r>
      <w:r>
        <w:rPr>
          <w:b/>
          <w:spacing w:val="-2"/>
          <w:sz w:val="20"/>
        </w:rPr>
        <w:t>Experience</w:t>
      </w:r>
    </w:p>
    <w:p>
      <w:pPr>
        <w:pStyle w:val="BodyText"/>
        <w:tabs>
          <w:tab w:pos="2599" w:val="left" w:leader="none"/>
        </w:tabs>
        <w:spacing w:before="1"/>
        <w:ind w:left="1160"/>
      </w:pPr>
      <w:r>
        <w:rPr>
          <w:w w:val="95"/>
        </w:rPr>
        <w:t>2010-</w:t>
      </w:r>
      <w:r>
        <w:rPr>
          <w:spacing w:val="-2"/>
        </w:rPr>
        <w:t>present</w:t>
      </w:r>
      <w:r>
        <w:rPr/>
        <w:tab/>
        <w:t>Maa-Bara,</w:t>
      </w:r>
      <w:r>
        <w:rPr>
          <w:spacing w:val="-9"/>
        </w:rPr>
        <w:t> </w:t>
      </w:r>
      <w:r>
        <w:rPr/>
        <w:t>Inc.,</w:t>
      </w:r>
      <w:r>
        <w:rPr>
          <w:spacing w:val="-9"/>
        </w:rPr>
        <w:t> </w:t>
      </w:r>
      <w:r>
        <w:rPr/>
        <w:t>Founder,</w:t>
      </w:r>
      <w:r>
        <w:rPr>
          <w:spacing w:val="-9"/>
        </w:rPr>
        <w:t> </w:t>
      </w:r>
      <w:r>
        <w:rPr>
          <w:spacing w:val="-2"/>
        </w:rPr>
        <w:t>President</w:t>
      </w:r>
    </w:p>
    <w:p>
      <w:pPr>
        <w:pStyle w:val="BodyText"/>
        <w:ind w:left="1159" w:right="712"/>
      </w:pPr>
      <w:r>
        <w:rPr/>
        <w:t>Summer</w:t>
      </w:r>
      <w:r>
        <w:rPr>
          <w:spacing w:val="-4"/>
        </w:rPr>
        <w:t> </w:t>
      </w:r>
      <w:r>
        <w:rPr/>
        <w:t>2010</w:t>
      </w:r>
      <w:r>
        <w:rPr>
          <w:spacing w:val="80"/>
        </w:rPr>
        <w:t> </w:t>
      </w:r>
      <w:r>
        <w:rPr/>
        <w:t>Enterprise</w:t>
      </w:r>
      <w:r>
        <w:rPr>
          <w:spacing w:val="-5"/>
        </w:rPr>
        <w:t> </w:t>
      </w:r>
      <w:r>
        <w:rPr/>
        <w:t>for</w:t>
      </w:r>
      <w:r>
        <w:rPr>
          <w:spacing w:val="-4"/>
        </w:rPr>
        <w:t> </w:t>
      </w:r>
      <w:r>
        <w:rPr/>
        <w:t>Development</w:t>
      </w:r>
      <w:r>
        <w:rPr>
          <w:spacing w:val="-5"/>
        </w:rPr>
        <w:t> </w:t>
      </w:r>
      <w:r>
        <w:rPr/>
        <w:t>International,</w:t>
      </w:r>
      <w:r>
        <w:rPr>
          <w:spacing w:val="-5"/>
        </w:rPr>
        <w:t> </w:t>
      </w:r>
      <w:r>
        <w:rPr/>
        <w:t>Community</w:t>
      </w:r>
      <w:r>
        <w:rPr>
          <w:spacing w:val="-6"/>
        </w:rPr>
        <w:t> </w:t>
      </w:r>
      <w:r>
        <w:rPr/>
        <w:t>Development</w:t>
      </w:r>
      <w:r>
        <w:rPr>
          <w:spacing w:val="-5"/>
        </w:rPr>
        <w:t> </w:t>
      </w:r>
      <w:r>
        <w:rPr/>
        <w:t>Intern Summer 2009</w:t>
      </w:r>
      <w:r>
        <w:rPr>
          <w:spacing w:val="80"/>
        </w:rPr>
        <w:t> </w:t>
      </w:r>
      <w:r>
        <w:rPr/>
        <w:t>Takenaka Corporation, Japan, Architect Intern</w:t>
      </w:r>
    </w:p>
    <w:p>
      <w:pPr>
        <w:pStyle w:val="BodyText"/>
        <w:tabs>
          <w:tab w:pos="2599" w:val="left" w:leader="none"/>
        </w:tabs>
        <w:spacing w:before="1"/>
        <w:ind w:left="1159" w:right="3004"/>
      </w:pPr>
      <w:r>
        <w:rPr>
          <w:spacing w:val="-2"/>
        </w:rPr>
        <w:t>2006-2008</w:t>
      </w:r>
      <w:r>
        <w:rPr/>
        <w:tab/>
        <w:t>Corgan Associates, Inc., Schools Designer Level 1 </w:t>
      </w:r>
      <w:r>
        <w:rPr>
          <w:spacing w:val="-2"/>
        </w:rPr>
        <w:t>2004-2005</w:t>
      </w:r>
      <w:r>
        <w:rPr/>
        <w:tab/>
        <w:t>YMCA</w:t>
      </w:r>
      <w:r>
        <w:rPr>
          <w:spacing w:val="-8"/>
        </w:rPr>
        <w:t> </w:t>
      </w:r>
      <w:r>
        <w:rPr/>
        <w:t>of</w:t>
      </w:r>
      <w:r>
        <w:rPr>
          <w:spacing w:val="-6"/>
        </w:rPr>
        <w:t> </w:t>
      </w:r>
      <w:r>
        <w:rPr/>
        <w:t>Arlington,</w:t>
      </w:r>
      <w:r>
        <w:rPr>
          <w:spacing w:val="-7"/>
        </w:rPr>
        <w:t> </w:t>
      </w:r>
      <w:r>
        <w:rPr/>
        <w:t>After</w:t>
      </w:r>
      <w:r>
        <w:rPr>
          <w:spacing w:val="-5"/>
        </w:rPr>
        <w:t> </w:t>
      </w:r>
      <w:r>
        <w:rPr/>
        <w:t>School</w:t>
      </w:r>
      <w:r>
        <w:rPr>
          <w:spacing w:val="-7"/>
        </w:rPr>
        <w:t> </w:t>
      </w:r>
      <w:r>
        <w:rPr/>
        <w:t>Counselor</w:t>
      </w:r>
      <w:r>
        <w:rPr>
          <w:spacing w:val="-7"/>
        </w:rPr>
        <w:t> </w:t>
      </w:r>
      <w:r>
        <w:rPr/>
        <w:t>(Part-time)</w:t>
      </w:r>
    </w:p>
    <w:p>
      <w:pPr>
        <w:pStyle w:val="BodyText"/>
        <w:tabs>
          <w:tab w:pos="2599" w:val="left" w:leader="none"/>
        </w:tabs>
        <w:spacing w:line="229" w:lineRule="exact"/>
        <w:ind w:left="1159"/>
      </w:pPr>
      <w:r>
        <w:rPr>
          <w:w w:val="95"/>
        </w:rPr>
        <w:t>2002-</w:t>
      </w:r>
      <w:r>
        <w:rPr>
          <w:spacing w:val="-4"/>
        </w:rPr>
        <w:t>2004</w:t>
      </w:r>
      <w:r>
        <w:rPr/>
        <w:tab/>
        <w:t>YWCA</w:t>
      </w:r>
      <w:r>
        <w:rPr>
          <w:spacing w:val="-11"/>
        </w:rPr>
        <w:t> </w:t>
      </w:r>
      <w:r>
        <w:rPr/>
        <w:t>Arlington</w:t>
      </w:r>
      <w:r>
        <w:rPr>
          <w:spacing w:val="-9"/>
        </w:rPr>
        <w:t> </w:t>
      </w:r>
      <w:r>
        <w:rPr/>
        <w:t>Child</w:t>
      </w:r>
      <w:r>
        <w:rPr>
          <w:spacing w:val="-8"/>
        </w:rPr>
        <w:t> </w:t>
      </w:r>
      <w:r>
        <w:rPr/>
        <w:t>Development</w:t>
      </w:r>
      <w:r>
        <w:rPr>
          <w:spacing w:val="-10"/>
        </w:rPr>
        <w:t> </w:t>
      </w:r>
      <w:r>
        <w:rPr/>
        <w:t>Center,</w:t>
      </w:r>
      <w:r>
        <w:rPr>
          <w:spacing w:val="-7"/>
        </w:rPr>
        <w:t> </w:t>
      </w:r>
      <w:r>
        <w:rPr/>
        <w:t>Assistant</w:t>
      </w:r>
      <w:r>
        <w:rPr>
          <w:spacing w:val="-8"/>
        </w:rPr>
        <w:t> </w:t>
      </w:r>
      <w:r>
        <w:rPr/>
        <w:t>Teacher</w:t>
      </w:r>
      <w:r>
        <w:rPr>
          <w:spacing w:val="-9"/>
        </w:rPr>
        <w:t> </w:t>
      </w:r>
      <w:r>
        <w:rPr/>
        <w:t>(Part-</w:t>
      </w:r>
      <w:r>
        <w:rPr>
          <w:spacing w:val="-2"/>
        </w:rPr>
        <w:t>time)</w:t>
      </w:r>
    </w:p>
    <w:p>
      <w:pPr>
        <w:pStyle w:val="BodyText"/>
        <w:spacing w:before="4"/>
        <w:rPr>
          <w:sz w:val="17"/>
        </w:rPr>
      </w:pPr>
    </w:p>
    <w:p>
      <w:pPr>
        <w:spacing w:before="1"/>
        <w:ind w:left="439" w:right="0" w:firstLine="0"/>
        <w:jc w:val="left"/>
        <w:rPr>
          <w:b/>
          <w:sz w:val="20"/>
        </w:rPr>
      </w:pPr>
      <w:r>
        <w:rPr>
          <w:b/>
          <w:sz w:val="20"/>
        </w:rPr>
        <w:t>Licenses</w:t>
      </w:r>
      <w:r>
        <w:rPr>
          <w:b/>
          <w:spacing w:val="-7"/>
          <w:sz w:val="20"/>
        </w:rPr>
        <w:t> </w:t>
      </w:r>
      <w:r>
        <w:rPr>
          <w:b/>
          <w:sz w:val="20"/>
        </w:rPr>
        <w:t>/</w:t>
      </w:r>
      <w:r>
        <w:rPr>
          <w:b/>
          <w:spacing w:val="-7"/>
          <w:sz w:val="20"/>
        </w:rPr>
        <w:t> </w:t>
      </w:r>
      <w:r>
        <w:rPr>
          <w:b/>
          <w:spacing w:val="-2"/>
          <w:sz w:val="20"/>
        </w:rPr>
        <w:t>Registrations:</w:t>
      </w:r>
    </w:p>
    <w:p>
      <w:pPr>
        <w:pStyle w:val="BodyText"/>
        <w:ind w:left="1159"/>
      </w:pPr>
      <w:r>
        <w:rPr>
          <w:spacing w:val="-4"/>
        </w:rPr>
        <w:t>None</w:t>
      </w:r>
    </w:p>
    <w:p>
      <w:pPr>
        <w:pStyle w:val="BodyText"/>
        <w:spacing w:before="4"/>
        <w:rPr>
          <w:sz w:val="17"/>
        </w:rPr>
      </w:pPr>
    </w:p>
    <w:p>
      <w:pPr>
        <w:spacing w:before="0" w:after="8"/>
        <w:ind w:left="439" w:right="0" w:firstLine="0"/>
        <w:jc w:val="left"/>
        <w:rPr>
          <w:b/>
          <w:sz w:val="20"/>
        </w:rPr>
      </w:pPr>
      <w:r>
        <w:rPr>
          <w:b/>
          <w:spacing w:val="-2"/>
          <w:sz w:val="20"/>
        </w:rPr>
        <w:t>Professional</w:t>
      </w:r>
      <w:r>
        <w:rPr>
          <w:b/>
          <w:spacing w:val="5"/>
          <w:sz w:val="20"/>
        </w:rPr>
        <w:t> </w:t>
      </w:r>
      <w:r>
        <w:rPr>
          <w:b/>
          <w:spacing w:val="-2"/>
          <w:sz w:val="20"/>
        </w:rPr>
        <w:t>Memberships:</w:t>
      </w:r>
    </w:p>
    <w:tbl>
      <w:tblPr>
        <w:tblW w:w="0" w:type="auto"/>
        <w:jc w:val="left"/>
        <w:tblInd w:w="1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8"/>
        <w:gridCol w:w="7442"/>
      </w:tblGrid>
      <w:tr>
        <w:trPr>
          <w:trHeight w:val="226" w:hRule="atLeast"/>
        </w:trPr>
        <w:tc>
          <w:tcPr>
            <w:tcW w:w="1248" w:type="dxa"/>
          </w:tcPr>
          <w:p>
            <w:pPr>
              <w:pStyle w:val="TableParagraph"/>
              <w:spacing w:line="207" w:lineRule="exact"/>
              <w:ind w:left="50"/>
              <w:rPr>
                <w:sz w:val="20"/>
              </w:rPr>
            </w:pPr>
            <w:r>
              <w:rPr>
                <w:spacing w:val="-4"/>
                <w:sz w:val="20"/>
              </w:rPr>
              <w:t>2007</w:t>
            </w:r>
          </w:p>
        </w:tc>
        <w:tc>
          <w:tcPr>
            <w:tcW w:w="7442" w:type="dxa"/>
          </w:tcPr>
          <w:p>
            <w:pPr>
              <w:pStyle w:val="TableParagraph"/>
              <w:spacing w:line="207" w:lineRule="exact"/>
              <w:ind w:left="242"/>
              <w:rPr>
                <w:sz w:val="20"/>
              </w:rPr>
            </w:pPr>
            <w:r>
              <w:rPr>
                <w:sz w:val="20"/>
              </w:rPr>
              <w:t>Toastmasters</w:t>
            </w:r>
            <w:r>
              <w:rPr>
                <w:spacing w:val="-8"/>
                <w:sz w:val="20"/>
              </w:rPr>
              <w:t> </w:t>
            </w:r>
            <w:r>
              <w:rPr>
                <w:sz w:val="20"/>
              </w:rPr>
              <w:t>International</w:t>
            </w:r>
            <w:r>
              <w:rPr>
                <w:spacing w:val="-7"/>
                <w:sz w:val="20"/>
              </w:rPr>
              <w:t> </w:t>
            </w:r>
            <w:r>
              <w:rPr>
                <w:sz w:val="20"/>
              </w:rPr>
              <w:t>(Speech</w:t>
            </w:r>
            <w:r>
              <w:rPr>
                <w:spacing w:val="-6"/>
                <w:sz w:val="20"/>
              </w:rPr>
              <w:t> </w:t>
            </w:r>
            <w:r>
              <w:rPr>
                <w:sz w:val="20"/>
              </w:rPr>
              <w:t>+</w:t>
            </w:r>
            <w:r>
              <w:rPr>
                <w:spacing w:val="-7"/>
                <w:sz w:val="20"/>
              </w:rPr>
              <w:t> </w:t>
            </w:r>
            <w:r>
              <w:rPr>
                <w:sz w:val="20"/>
              </w:rPr>
              <w:t>Leadership</w:t>
            </w:r>
            <w:r>
              <w:rPr>
                <w:spacing w:val="-8"/>
                <w:sz w:val="20"/>
              </w:rPr>
              <w:t> </w:t>
            </w:r>
            <w:r>
              <w:rPr>
                <w:sz w:val="20"/>
              </w:rPr>
              <w:t>Club)</w:t>
            </w:r>
            <w:r>
              <w:rPr>
                <w:spacing w:val="-6"/>
                <w:sz w:val="20"/>
              </w:rPr>
              <w:t> </w:t>
            </w:r>
            <w:r>
              <w:rPr>
                <w:sz w:val="20"/>
              </w:rPr>
              <w:t>|</w:t>
            </w:r>
            <w:r>
              <w:rPr>
                <w:spacing w:val="-11"/>
                <w:sz w:val="20"/>
              </w:rPr>
              <w:t> </w:t>
            </w:r>
            <w:r>
              <w:rPr>
                <w:sz w:val="20"/>
              </w:rPr>
              <w:t>Secretary</w:t>
            </w:r>
            <w:r>
              <w:rPr>
                <w:spacing w:val="-9"/>
                <w:sz w:val="20"/>
              </w:rPr>
              <w:t> </w:t>
            </w:r>
            <w:r>
              <w:rPr>
                <w:sz w:val="20"/>
              </w:rPr>
              <w:t>+</w:t>
            </w:r>
            <w:r>
              <w:rPr>
                <w:spacing w:val="-9"/>
                <w:sz w:val="20"/>
              </w:rPr>
              <w:t> </w:t>
            </w:r>
            <w:r>
              <w:rPr>
                <w:spacing w:val="-2"/>
                <w:sz w:val="20"/>
              </w:rPr>
              <w:t>Treasurer</w:t>
            </w:r>
          </w:p>
        </w:tc>
      </w:tr>
      <w:tr>
        <w:trPr>
          <w:trHeight w:val="230" w:hRule="atLeast"/>
        </w:trPr>
        <w:tc>
          <w:tcPr>
            <w:tcW w:w="1248" w:type="dxa"/>
          </w:tcPr>
          <w:p>
            <w:pPr>
              <w:pStyle w:val="TableParagraph"/>
              <w:spacing w:line="210" w:lineRule="exact"/>
              <w:ind w:left="50"/>
              <w:rPr>
                <w:sz w:val="20"/>
              </w:rPr>
            </w:pPr>
            <w:r>
              <w:rPr>
                <w:w w:val="95"/>
                <w:sz w:val="20"/>
              </w:rPr>
              <w:t>2004-</w:t>
            </w:r>
            <w:r>
              <w:rPr>
                <w:spacing w:val="-4"/>
                <w:sz w:val="20"/>
              </w:rPr>
              <w:t>2005</w:t>
            </w:r>
          </w:p>
        </w:tc>
        <w:tc>
          <w:tcPr>
            <w:tcW w:w="7442" w:type="dxa"/>
          </w:tcPr>
          <w:p>
            <w:pPr>
              <w:pStyle w:val="TableParagraph"/>
              <w:spacing w:line="210" w:lineRule="exact"/>
              <w:ind w:left="242"/>
              <w:rPr>
                <w:sz w:val="20"/>
              </w:rPr>
            </w:pPr>
            <w:r>
              <w:rPr>
                <w:sz w:val="20"/>
              </w:rPr>
              <w:t>Joint</w:t>
            </w:r>
            <w:r>
              <w:rPr>
                <w:spacing w:val="-8"/>
                <w:sz w:val="20"/>
              </w:rPr>
              <w:t> </w:t>
            </w:r>
            <w:r>
              <w:rPr>
                <w:sz w:val="20"/>
              </w:rPr>
              <w:t>Constituency</w:t>
            </w:r>
            <w:r>
              <w:rPr>
                <w:spacing w:val="-11"/>
                <w:sz w:val="20"/>
              </w:rPr>
              <w:t> </w:t>
            </w:r>
            <w:r>
              <w:rPr>
                <w:sz w:val="20"/>
              </w:rPr>
              <w:t>Council</w:t>
            </w:r>
            <w:r>
              <w:rPr>
                <w:spacing w:val="-6"/>
                <w:sz w:val="20"/>
              </w:rPr>
              <w:t> </w:t>
            </w:r>
            <w:r>
              <w:rPr>
                <w:sz w:val="20"/>
              </w:rPr>
              <w:t>for</w:t>
            </w:r>
            <w:r>
              <w:rPr>
                <w:spacing w:val="-7"/>
                <w:sz w:val="20"/>
              </w:rPr>
              <w:t> </w:t>
            </w:r>
            <w:r>
              <w:rPr>
                <w:sz w:val="20"/>
              </w:rPr>
              <w:t>Architecture</w:t>
            </w:r>
            <w:r>
              <w:rPr>
                <w:spacing w:val="-6"/>
                <w:sz w:val="20"/>
              </w:rPr>
              <w:t> </w:t>
            </w:r>
            <w:r>
              <w:rPr>
                <w:sz w:val="20"/>
              </w:rPr>
              <w:t>Students</w:t>
            </w:r>
            <w:r>
              <w:rPr>
                <w:spacing w:val="-4"/>
                <w:sz w:val="20"/>
              </w:rPr>
              <w:t> </w:t>
            </w:r>
            <w:r>
              <w:rPr>
                <w:sz w:val="20"/>
              </w:rPr>
              <w:t>|</w:t>
            </w:r>
            <w:r>
              <w:rPr>
                <w:spacing w:val="-9"/>
                <w:sz w:val="20"/>
              </w:rPr>
              <w:t> </w:t>
            </w:r>
            <w:r>
              <w:rPr>
                <w:sz w:val="20"/>
              </w:rPr>
              <w:t>Vice</w:t>
            </w:r>
            <w:r>
              <w:rPr>
                <w:spacing w:val="-6"/>
                <w:sz w:val="20"/>
              </w:rPr>
              <w:t> </w:t>
            </w:r>
            <w:r>
              <w:rPr>
                <w:sz w:val="20"/>
              </w:rPr>
              <w:t>President</w:t>
            </w:r>
            <w:r>
              <w:rPr>
                <w:spacing w:val="-6"/>
                <w:sz w:val="20"/>
              </w:rPr>
              <w:t> </w:t>
            </w:r>
            <w:r>
              <w:rPr>
                <w:sz w:val="20"/>
              </w:rPr>
              <w:t>+</w:t>
            </w:r>
            <w:r>
              <w:rPr>
                <w:spacing w:val="-7"/>
                <w:sz w:val="20"/>
              </w:rPr>
              <w:t> </w:t>
            </w:r>
            <w:r>
              <w:rPr>
                <w:spacing w:val="-2"/>
                <w:sz w:val="20"/>
              </w:rPr>
              <w:t>Secretary</w:t>
            </w:r>
          </w:p>
        </w:tc>
      </w:tr>
      <w:tr>
        <w:trPr>
          <w:trHeight w:val="230" w:hRule="atLeast"/>
        </w:trPr>
        <w:tc>
          <w:tcPr>
            <w:tcW w:w="1248" w:type="dxa"/>
          </w:tcPr>
          <w:p>
            <w:pPr>
              <w:pStyle w:val="TableParagraph"/>
              <w:spacing w:line="210" w:lineRule="exact"/>
              <w:ind w:left="50"/>
              <w:rPr>
                <w:sz w:val="20"/>
              </w:rPr>
            </w:pPr>
            <w:r>
              <w:rPr>
                <w:spacing w:val="-4"/>
                <w:sz w:val="20"/>
              </w:rPr>
              <w:t>2005</w:t>
            </w:r>
          </w:p>
        </w:tc>
        <w:tc>
          <w:tcPr>
            <w:tcW w:w="7442" w:type="dxa"/>
          </w:tcPr>
          <w:p>
            <w:pPr>
              <w:pStyle w:val="TableParagraph"/>
              <w:spacing w:line="210" w:lineRule="exact"/>
              <w:ind w:left="242"/>
              <w:rPr>
                <w:sz w:val="20"/>
              </w:rPr>
            </w:pPr>
            <w:r>
              <w:rPr>
                <w:sz w:val="20"/>
              </w:rPr>
              <w:t>Alpha</w:t>
            </w:r>
            <w:r>
              <w:rPr>
                <w:spacing w:val="-8"/>
                <w:sz w:val="20"/>
              </w:rPr>
              <w:t> </w:t>
            </w:r>
            <w:r>
              <w:rPr>
                <w:sz w:val="20"/>
              </w:rPr>
              <w:t>Rho</w:t>
            </w:r>
            <w:r>
              <w:rPr>
                <w:spacing w:val="-6"/>
                <w:sz w:val="20"/>
              </w:rPr>
              <w:t> </w:t>
            </w:r>
            <w:r>
              <w:rPr>
                <w:sz w:val="20"/>
              </w:rPr>
              <w:t>Chi</w:t>
            </w:r>
            <w:r>
              <w:rPr>
                <w:spacing w:val="-6"/>
                <w:sz w:val="20"/>
              </w:rPr>
              <w:t> </w:t>
            </w:r>
            <w:r>
              <w:rPr>
                <w:sz w:val="20"/>
              </w:rPr>
              <w:t>-</w:t>
            </w:r>
            <w:r>
              <w:rPr>
                <w:spacing w:val="-7"/>
                <w:sz w:val="20"/>
              </w:rPr>
              <w:t> </w:t>
            </w:r>
            <w:r>
              <w:rPr>
                <w:sz w:val="20"/>
              </w:rPr>
              <w:t>Architecture</w:t>
            </w:r>
            <w:r>
              <w:rPr>
                <w:spacing w:val="-7"/>
                <w:sz w:val="20"/>
              </w:rPr>
              <w:t> </w:t>
            </w:r>
            <w:r>
              <w:rPr>
                <w:sz w:val="20"/>
              </w:rPr>
              <w:t>Fraternity-</w:t>
            </w:r>
            <w:r>
              <w:rPr>
                <w:spacing w:val="-6"/>
                <w:sz w:val="20"/>
              </w:rPr>
              <w:t> </w:t>
            </w:r>
            <w:r>
              <w:rPr>
                <w:sz w:val="20"/>
              </w:rPr>
              <w:t>Xenocles</w:t>
            </w:r>
            <w:r>
              <w:rPr>
                <w:spacing w:val="-7"/>
                <w:sz w:val="20"/>
              </w:rPr>
              <w:t> </w:t>
            </w:r>
            <w:r>
              <w:rPr>
                <w:spacing w:val="-2"/>
                <w:sz w:val="20"/>
              </w:rPr>
              <w:t>Chapter</w:t>
            </w:r>
          </w:p>
        </w:tc>
      </w:tr>
      <w:tr>
        <w:trPr>
          <w:trHeight w:val="230" w:hRule="atLeast"/>
        </w:trPr>
        <w:tc>
          <w:tcPr>
            <w:tcW w:w="1248" w:type="dxa"/>
          </w:tcPr>
          <w:p>
            <w:pPr>
              <w:pStyle w:val="TableParagraph"/>
              <w:spacing w:line="210" w:lineRule="exact"/>
              <w:ind w:left="50"/>
              <w:rPr>
                <w:sz w:val="20"/>
              </w:rPr>
            </w:pPr>
            <w:r>
              <w:rPr>
                <w:w w:val="95"/>
                <w:sz w:val="20"/>
              </w:rPr>
              <w:t>2002-</w:t>
            </w:r>
            <w:r>
              <w:rPr>
                <w:spacing w:val="-4"/>
                <w:sz w:val="20"/>
              </w:rPr>
              <w:t>2004</w:t>
            </w:r>
          </w:p>
        </w:tc>
        <w:tc>
          <w:tcPr>
            <w:tcW w:w="7442" w:type="dxa"/>
          </w:tcPr>
          <w:p>
            <w:pPr>
              <w:pStyle w:val="TableParagraph"/>
              <w:spacing w:line="210" w:lineRule="exact"/>
              <w:ind w:left="242"/>
              <w:rPr>
                <w:sz w:val="20"/>
              </w:rPr>
            </w:pPr>
            <w:r>
              <w:rPr>
                <w:sz w:val="20"/>
              </w:rPr>
              <w:t>National</w:t>
            </w:r>
            <w:r>
              <w:rPr>
                <w:spacing w:val="-10"/>
                <w:sz w:val="20"/>
              </w:rPr>
              <w:t> </w:t>
            </w:r>
            <w:r>
              <w:rPr>
                <w:sz w:val="20"/>
              </w:rPr>
              <w:t>Organization</w:t>
            </w:r>
            <w:r>
              <w:rPr>
                <w:spacing w:val="-6"/>
                <w:sz w:val="20"/>
              </w:rPr>
              <w:t> </w:t>
            </w:r>
            <w:r>
              <w:rPr>
                <w:sz w:val="20"/>
              </w:rPr>
              <w:t>of</w:t>
            </w:r>
            <w:r>
              <w:rPr>
                <w:spacing w:val="-7"/>
                <w:sz w:val="20"/>
              </w:rPr>
              <w:t> </w:t>
            </w:r>
            <w:r>
              <w:rPr>
                <w:sz w:val="20"/>
              </w:rPr>
              <w:t>Minority</w:t>
            </w:r>
            <w:r>
              <w:rPr>
                <w:spacing w:val="-9"/>
                <w:sz w:val="20"/>
              </w:rPr>
              <w:t> </w:t>
            </w:r>
            <w:r>
              <w:rPr>
                <w:sz w:val="20"/>
              </w:rPr>
              <w:t>Architecture</w:t>
            </w:r>
            <w:r>
              <w:rPr>
                <w:spacing w:val="-8"/>
                <w:sz w:val="20"/>
              </w:rPr>
              <w:t> </w:t>
            </w:r>
            <w:r>
              <w:rPr>
                <w:sz w:val="20"/>
              </w:rPr>
              <w:t>Students</w:t>
            </w:r>
            <w:r>
              <w:rPr>
                <w:spacing w:val="-8"/>
                <w:sz w:val="20"/>
              </w:rPr>
              <w:t> </w:t>
            </w:r>
            <w:r>
              <w:rPr>
                <w:sz w:val="20"/>
              </w:rPr>
              <w:t>|</w:t>
            </w:r>
            <w:r>
              <w:rPr>
                <w:spacing w:val="-9"/>
                <w:sz w:val="20"/>
              </w:rPr>
              <w:t> </w:t>
            </w:r>
            <w:r>
              <w:rPr>
                <w:spacing w:val="-2"/>
                <w:sz w:val="20"/>
              </w:rPr>
              <w:t>Secretary</w:t>
            </w:r>
          </w:p>
        </w:tc>
      </w:tr>
      <w:tr>
        <w:trPr>
          <w:trHeight w:val="230" w:hRule="atLeast"/>
        </w:trPr>
        <w:tc>
          <w:tcPr>
            <w:tcW w:w="1248" w:type="dxa"/>
          </w:tcPr>
          <w:p>
            <w:pPr>
              <w:pStyle w:val="TableParagraph"/>
              <w:spacing w:line="210" w:lineRule="exact"/>
              <w:ind w:left="50"/>
              <w:rPr>
                <w:sz w:val="20"/>
              </w:rPr>
            </w:pPr>
            <w:r>
              <w:rPr>
                <w:spacing w:val="-4"/>
                <w:sz w:val="20"/>
              </w:rPr>
              <w:t>2004</w:t>
            </w:r>
          </w:p>
        </w:tc>
        <w:tc>
          <w:tcPr>
            <w:tcW w:w="7442" w:type="dxa"/>
          </w:tcPr>
          <w:p>
            <w:pPr>
              <w:pStyle w:val="TableParagraph"/>
              <w:spacing w:line="210" w:lineRule="exact"/>
              <w:ind w:left="242"/>
              <w:rPr>
                <w:sz w:val="20"/>
              </w:rPr>
            </w:pPr>
            <w:r>
              <w:rPr>
                <w:sz w:val="20"/>
              </w:rPr>
              <w:t>UTA</w:t>
            </w:r>
            <w:r>
              <w:rPr>
                <w:spacing w:val="-8"/>
                <w:sz w:val="20"/>
              </w:rPr>
              <w:t> </w:t>
            </w:r>
            <w:r>
              <w:rPr>
                <w:sz w:val="20"/>
              </w:rPr>
              <w:t>Honors</w:t>
            </w:r>
            <w:r>
              <w:rPr>
                <w:spacing w:val="-5"/>
                <w:sz w:val="20"/>
              </w:rPr>
              <w:t> </w:t>
            </w:r>
            <w:r>
              <w:rPr>
                <w:spacing w:val="-2"/>
                <w:sz w:val="20"/>
              </w:rPr>
              <w:t>College</w:t>
            </w:r>
          </w:p>
        </w:tc>
      </w:tr>
      <w:tr>
        <w:trPr>
          <w:trHeight w:val="229" w:hRule="atLeast"/>
        </w:trPr>
        <w:tc>
          <w:tcPr>
            <w:tcW w:w="1248" w:type="dxa"/>
          </w:tcPr>
          <w:p>
            <w:pPr>
              <w:pStyle w:val="TableParagraph"/>
              <w:spacing w:line="209" w:lineRule="exact"/>
              <w:ind w:left="50"/>
              <w:rPr>
                <w:sz w:val="20"/>
              </w:rPr>
            </w:pPr>
            <w:r>
              <w:rPr>
                <w:spacing w:val="-4"/>
                <w:sz w:val="20"/>
              </w:rPr>
              <w:t>2004</w:t>
            </w:r>
          </w:p>
        </w:tc>
        <w:tc>
          <w:tcPr>
            <w:tcW w:w="7442" w:type="dxa"/>
          </w:tcPr>
          <w:p>
            <w:pPr>
              <w:pStyle w:val="TableParagraph"/>
              <w:spacing w:line="209" w:lineRule="exact"/>
              <w:ind w:left="242"/>
              <w:rPr>
                <w:sz w:val="20"/>
              </w:rPr>
            </w:pPr>
            <w:r>
              <w:rPr>
                <w:sz w:val="20"/>
              </w:rPr>
              <w:t>African</w:t>
            </w:r>
            <w:r>
              <w:rPr>
                <w:spacing w:val="-9"/>
                <w:sz w:val="20"/>
              </w:rPr>
              <w:t> </w:t>
            </w:r>
            <w:r>
              <w:rPr>
                <w:sz w:val="20"/>
              </w:rPr>
              <w:t>Student</w:t>
            </w:r>
            <w:r>
              <w:rPr>
                <w:spacing w:val="-8"/>
                <w:sz w:val="20"/>
              </w:rPr>
              <w:t> </w:t>
            </w:r>
            <w:r>
              <w:rPr>
                <w:spacing w:val="-2"/>
                <w:sz w:val="20"/>
              </w:rPr>
              <w:t>Organization</w:t>
            </w:r>
          </w:p>
        </w:tc>
      </w:tr>
      <w:tr>
        <w:trPr>
          <w:trHeight w:val="229" w:hRule="atLeast"/>
        </w:trPr>
        <w:tc>
          <w:tcPr>
            <w:tcW w:w="1248" w:type="dxa"/>
          </w:tcPr>
          <w:p>
            <w:pPr>
              <w:pStyle w:val="TableParagraph"/>
              <w:spacing w:line="209" w:lineRule="exact"/>
              <w:ind w:left="50"/>
              <w:rPr>
                <w:sz w:val="20"/>
              </w:rPr>
            </w:pPr>
            <w:r>
              <w:rPr>
                <w:spacing w:val="-4"/>
                <w:sz w:val="20"/>
              </w:rPr>
              <w:t>2003</w:t>
            </w:r>
          </w:p>
        </w:tc>
        <w:tc>
          <w:tcPr>
            <w:tcW w:w="7442" w:type="dxa"/>
          </w:tcPr>
          <w:p>
            <w:pPr>
              <w:pStyle w:val="TableParagraph"/>
              <w:spacing w:line="209" w:lineRule="exact"/>
              <w:ind w:left="242"/>
              <w:rPr>
                <w:sz w:val="20"/>
              </w:rPr>
            </w:pPr>
            <w:r>
              <w:rPr>
                <w:sz w:val="20"/>
              </w:rPr>
              <w:t>National</w:t>
            </w:r>
            <w:r>
              <w:rPr>
                <w:spacing w:val="-6"/>
                <w:sz w:val="20"/>
              </w:rPr>
              <w:t> </w:t>
            </w:r>
            <w:r>
              <w:rPr>
                <w:sz w:val="20"/>
              </w:rPr>
              <w:t>Association</w:t>
            </w:r>
            <w:r>
              <w:rPr>
                <w:spacing w:val="-4"/>
                <w:sz w:val="20"/>
              </w:rPr>
              <w:t> </w:t>
            </w:r>
            <w:r>
              <w:rPr>
                <w:sz w:val="20"/>
              </w:rPr>
              <w:t>of</w:t>
            </w:r>
            <w:r>
              <w:rPr>
                <w:spacing w:val="-9"/>
                <w:sz w:val="20"/>
              </w:rPr>
              <w:t> </w:t>
            </w:r>
            <w:r>
              <w:rPr>
                <w:sz w:val="20"/>
              </w:rPr>
              <w:t>Women</w:t>
            </w:r>
            <w:r>
              <w:rPr>
                <w:spacing w:val="-6"/>
                <w:sz w:val="20"/>
              </w:rPr>
              <w:t> </w:t>
            </w:r>
            <w:r>
              <w:rPr>
                <w:sz w:val="20"/>
              </w:rPr>
              <w:t>in</w:t>
            </w:r>
            <w:r>
              <w:rPr>
                <w:spacing w:val="-6"/>
                <w:sz w:val="20"/>
              </w:rPr>
              <w:t> </w:t>
            </w:r>
            <w:r>
              <w:rPr>
                <w:spacing w:val="-2"/>
                <w:sz w:val="20"/>
              </w:rPr>
              <w:t>Construction</w:t>
            </w:r>
          </w:p>
        </w:tc>
      </w:tr>
      <w:tr>
        <w:trPr>
          <w:trHeight w:val="230" w:hRule="atLeast"/>
        </w:trPr>
        <w:tc>
          <w:tcPr>
            <w:tcW w:w="1248" w:type="dxa"/>
          </w:tcPr>
          <w:p>
            <w:pPr>
              <w:pStyle w:val="TableParagraph"/>
              <w:spacing w:line="210" w:lineRule="exact"/>
              <w:ind w:left="50"/>
              <w:rPr>
                <w:sz w:val="20"/>
              </w:rPr>
            </w:pPr>
            <w:r>
              <w:rPr>
                <w:spacing w:val="-4"/>
                <w:sz w:val="20"/>
              </w:rPr>
              <w:t>2003</w:t>
            </w:r>
          </w:p>
        </w:tc>
        <w:tc>
          <w:tcPr>
            <w:tcW w:w="7442" w:type="dxa"/>
          </w:tcPr>
          <w:p>
            <w:pPr>
              <w:pStyle w:val="TableParagraph"/>
              <w:spacing w:line="210" w:lineRule="exact"/>
              <w:ind w:left="242"/>
              <w:rPr>
                <w:sz w:val="20"/>
              </w:rPr>
            </w:pPr>
            <w:r>
              <w:rPr>
                <w:sz w:val="20"/>
              </w:rPr>
              <w:t>National</w:t>
            </w:r>
            <w:r>
              <w:rPr>
                <w:spacing w:val="-7"/>
                <w:sz w:val="20"/>
              </w:rPr>
              <w:t> </w:t>
            </w:r>
            <w:r>
              <w:rPr>
                <w:sz w:val="20"/>
              </w:rPr>
              <w:t>Society</w:t>
            </w:r>
            <w:r>
              <w:rPr>
                <w:spacing w:val="-9"/>
                <w:sz w:val="20"/>
              </w:rPr>
              <w:t> </w:t>
            </w:r>
            <w:r>
              <w:rPr>
                <w:sz w:val="20"/>
              </w:rPr>
              <w:t>of</w:t>
            </w:r>
            <w:r>
              <w:rPr>
                <w:spacing w:val="-6"/>
                <w:sz w:val="20"/>
              </w:rPr>
              <w:t> </w:t>
            </w:r>
            <w:r>
              <w:rPr>
                <w:sz w:val="20"/>
              </w:rPr>
              <w:t>Collegiate</w:t>
            </w:r>
            <w:r>
              <w:rPr>
                <w:spacing w:val="-8"/>
                <w:sz w:val="20"/>
              </w:rPr>
              <w:t> </w:t>
            </w:r>
            <w:r>
              <w:rPr>
                <w:spacing w:val="-2"/>
                <w:sz w:val="20"/>
              </w:rPr>
              <w:t>Scholars</w:t>
            </w:r>
          </w:p>
        </w:tc>
      </w:tr>
      <w:tr>
        <w:trPr>
          <w:trHeight w:val="226" w:hRule="atLeast"/>
        </w:trPr>
        <w:tc>
          <w:tcPr>
            <w:tcW w:w="1248" w:type="dxa"/>
          </w:tcPr>
          <w:p>
            <w:pPr>
              <w:pStyle w:val="TableParagraph"/>
              <w:spacing w:line="207" w:lineRule="exact"/>
              <w:ind w:left="50"/>
              <w:rPr>
                <w:sz w:val="20"/>
              </w:rPr>
            </w:pPr>
            <w:r>
              <w:rPr>
                <w:spacing w:val="-4"/>
                <w:sz w:val="20"/>
              </w:rPr>
              <w:t>2003</w:t>
            </w:r>
          </w:p>
        </w:tc>
        <w:tc>
          <w:tcPr>
            <w:tcW w:w="7442" w:type="dxa"/>
          </w:tcPr>
          <w:p>
            <w:pPr>
              <w:pStyle w:val="TableParagraph"/>
              <w:spacing w:line="207" w:lineRule="exact"/>
              <w:ind w:left="242"/>
              <w:rPr>
                <w:sz w:val="20"/>
              </w:rPr>
            </w:pPr>
            <w:r>
              <w:rPr>
                <w:sz w:val="20"/>
              </w:rPr>
              <w:t>Student</w:t>
            </w:r>
            <w:r>
              <w:rPr>
                <w:spacing w:val="-9"/>
                <w:sz w:val="20"/>
              </w:rPr>
              <w:t> </w:t>
            </w:r>
            <w:r>
              <w:rPr>
                <w:sz w:val="20"/>
              </w:rPr>
              <w:t>Alumni</w:t>
            </w:r>
            <w:r>
              <w:rPr>
                <w:spacing w:val="-9"/>
                <w:sz w:val="20"/>
              </w:rPr>
              <w:t> </w:t>
            </w:r>
            <w:r>
              <w:rPr>
                <w:spacing w:val="-2"/>
                <w:sz w:val="20"/>
              </w:rPr>
              <w:t>Association</w:t>
            </w:r>
          </w:p>
        </w:tc>
      </w:tr>
    </w:tbl>
    <w:p>
      <w:pPr>
        <w:pStyle w:val="BodyText"/>
        <w:spacing w:before="8"/>
        <w:rPr>
          <w:b/>
          <w:sz w:val="17"/>
        </w:rPr>
      </w:pPr>
    </w:p>
    <w:p>
      <w:pPr>
        <w:spacing w:before="0" w:after="8"/>
        <w:ind w:left="439" w:right="0" w:firstLine="0"/>
        <w:jc w:val="left"/>
        <w:rPr>
          <w:b/>
          <w:sz w:val="20"/>
        </w:rPr>
      </w:pPr>
      <w:r>
        <w:rPr>
          <w:b/>
          <w:sz w:val="20"/>
        </w:rPr>
        <w:t>Professional</w:t>
      </w:r>
      <w:r>
        <w:rPr>
          <w:b/>
          <w:spacing w:val="-11"/>
          <w:sz w:val="20"/>
        </w:rPr>
        <w:t> </w:t>
      </w:r>
      <w:r>
        <w:rPr>
          <w:b/>
          <w:sz w:val="20"/>
        </w:rPr>
        <w:t>Development</w:t>
      </w:r>
      <w:r>
        <w:rPr>
          <w:b/>
          <w:spacing w:val="-10"/>
          <w:sz w:val="20"/>
        </w:rPr>
        <w:t> </w:t>
      </w:r>
      <w:r>
        <w:rPr>
          <w:b/>
          <w:sz w:val="20"/>
        </w:rPr>
        <w:t>&amp;</w:t>
      </w:r>
      <w:r>
        <w:rPr>
          <w:b/>
          <w:spacing w:val="-10"/>
          <w:sz w:val="20"/>
        </w:rPr>
        <w:t> </w:t>
      </w:r>
      <w:r>
        <w:rPr>
          <w:b/>
          <w:spacing w:val="-2"/>
          <w:sz w:val="20"/>
        </w:rPr>
        <w:t>Research</w:t>
      </w:r>
    </w:p>
    <w:tbl>
      <w:tblPr>
        <w:tblW w:w="0" w:type="auto"/>
        <w:jc w:val="left"/>
        <w:tblInd w:w="1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8"/>
        <w:gridCol w:w="7451"/>
      </w:tblGrid>
      <w:tr>
        <w:trPr>
          <w:trHeight w:val="226" w:hRule="atLeast"/>
        </w:trPr>
        <w:tc>
          <w:tcPr>
            <w:tcW w:w="1248" w:type="dxa"/>
          </w:tcPr>
          <w:p>
            <w:pPr>
              <w:pStyle w:val="TableParagraph"/>
              <w:spacing w:line="207" w:lineRule="exact"/>
              <w:ind w:left="50"/>
              <w:rPr>
                <w:sz w:val="20"/>
              </w:rPr>
            </w:pPr>
            <w:r>
              <w:rPr>
                <w:spacing w:val="-4"/>
                <w:sz w:val="20"/>
              </w:rPr>
              <w:t>2006</w:t>
            </w:r>
          </w:p>
        </w:tc>
        <w:tc>
          <w:tcPr>
            <w:tcW w:w="7451" w:type="dxa"/>
          </w:tcPr>
          <w:p>
            <w:pPr>
              <w:pStyle w:val="TableParagraph"/>
              <w:spacing w:line="207" w:lineRule="exact"/>
              <w:ind w:left="242"/>
              <w:rPr>
                <w:sz w:val="20"/>
              </w:rPr>
            </w:pPr>
            <w:r>
              <w:rPr>
                <w:sz w:val="20"/>
              </w:rPr>
              <w:t>Outstanding</w:t>
            </w:r>
            <w:r>
              <w:rPr>
                <w:spacing w:val="-7"/>
                <w:sz w:val="20"/>
              </w:rPr>
              <w:t> </w:t>
            </w:r>
            <w:r>
              <w:rPr>
                <w:sz w:val="20"/>
              </w:rPr>
              <w:t>Graduate</w:t>
            </w:r>
            <w:r>
              <w:rPr>
                <w:spacing w:val="-6"/>
                <w:sz w:val="20"/>
              </w:rPr>
              <w:t> </w:t>
            </w:r>
            <w:r>
              <w:rPr>
                <w:sz w:val="20"/>
              </w:rPr>
              <w:t>of</w:t>
            </w:r>
            <w:r>
              <w:rPr>
                <w:spacing w:val="-6"/>
                <w:sz w:val="20"/>
              </w:rPr>
              <w:t> </w:t>
            </w:r>
            <w:r>
              <w:rPr>
                <w:sz w:val="20"/>
              </w:rPr>
              <w:t>the</w:t>
            </w:r>
            <w:r>
              <w:rPr>
                <w:spacing w:val="-8"/>
                <w:sz w:val="20"/>
              </w:rPr>
              <w:t> </w:t>
            </w:r>
            <w:r>
              <w:rPr>
                <w:sz w:val="20"/>
              </w:rPr>
              <w:t>Program</w:t>
            </w:r>
            <w:r>
              <w:rPr>
                <w:spacing w:val="-4"/>
                <w:sz w:val="20"/>
              </w:rPr>
              <w:t> </w:t>
            </w:r>
            <w:r>
              <w:rPr>
                <w:sz w:val="20"/>
              </w:rPr>
              <w:t>in</w:t>
            </w:r>
            <w:r>
              <w:rPr>
                <w:spacing w:val="-8"/>
                <w:sz w:val="20"/>
              </w:rPr>
              <w:t> </w:t>
            </w:r>
            <w:r>
              <w:rPr>
                <w:sz w:val="20"/>
              </w:rPr>
              <w:t>Architecture</w:t>
            </w:r>
            <w:r>
              <w:rPr>
                <w:spacing w:val="-6"/>
                <w:sz w:val="20"/>
              </w:rPr>
              <w:t> </w:t>
            </w:r>
            <w:r>
              <w:rPr>
                <w:sz w:val="20"/>
              </w:rPr>
              <w:t>|</w:t>
            </w:r>
            <w:r>
              <w:rPr>
                <w:spacing w:val="-7"/>
                <w:sz w:val="20"/>
              </w:rPr>
              <w:t> </w:t>
            </w:r>
            <w:r>
              <w:rPr>
                <w:spacing w:val="-2"/>
                <w:sz w:val="20"/>
              </w:rPr>
              <w:t>Valedictorian</w:t>
            </w:r>
          </w:p>
        </w:tc>
      </w:tr>
      <w:tr>
        <w:trPr>
          <w:trHeight w:val="230" w:hRule="atLeast"/>
        </w:trPr>
        <w:tc>
          <w:tcPr>
            <w:tcW w:w="1248" w:type="dxa"/>
          </w:tcPr>
          <w:p>
            <w:pPr>
              <w:pStyle w:val="TableParagraph"/>
              <w:spacing w:line="210" w:lineRule="exact"/>
              <w:ind w:left="50"/>
              <w:rPr>
                <w:sz w:val="20"/>
              </w:rPr>
            </w:pPr>
            <w:r>
              <w:rPr>
                <w:spacing w:val="-4"/>
                <w:sz w:val="20"/>
              </w:rPr>
              <w:t>2006</w:t>
            </w:r>
          </w:p>
        </w:tc>
        <w:tc>
          <w:tcPr>
            <w:tcW w:w="7451" w:type="dxa"/>
          </w:tcPr>
          <w:p>
            <w:pPr>
              <w:pStyle w:val="TableParagraph"/>
              <w:spacing w:line="210" w:lineRule="exact"/>
              <w:ind w:left="242"/>
              <w:rPr>
                <w:sz w:val="20"/>
              </w:rPr>
            </w:pPr>
            <w:r>
              <w:rPr>
                <w:sz w:val="20"/>
              </w:rPr>
              <w:t>Fort</w:t>
            </w:r>
            <w:r>
              <w:rPr>
                <w:spacing w:val="-11"/>
                <w:sz w:val="20"/>
              </w:rPr>
              <w:t> </w:t>
            </w:r>
            <w:r>
              <w:rPr>
                <w:sz w:val="20"/>
              </w:rPr>
              <w:t>Worth</w:t>
            </w:r>
            <w:r>
              <w:rPr>
                <w:spacing w:val="-6"/>
                <w:sz w:val="20"/>
              </w:rPr>
              <w:t> </w:t>
            </w:r>
            <w:r>
              <w:rPr>
                <w:sz w:val="20"/>
              </w:rPr>
              <w:t>AIA</w:t>
            </w:r>
            <w:r>
              <w:rPr>
                <w:spacing w:val="-4"/>
                <w:sz w:val="20"/>
              </w:rPr>
              <w:t> </w:t>
            </w:r>
            <w:r>
              <w:rPr>
                <w:sz w:val="20"/>
              </w:rPr>
              <w:t>2006</w:t>
            </w:r>
            <w:r>
              <w:rPr>
                <w:spacing w:val="-6"/>
                <w:sz w:val="20"/>
              </w:rPr>
              <w:t> </w:t>
            </w:r>
            <w:r>
              <w:rPr>
                <w:sz w:val="20"/>
              </w:rPr>
              <w:t>Excellence</w:t>
            </w:r>
            <w:r>
              <w:rPr>
                <w:spacing w:val="-6"/>
                <w:sz w:val="20"/>
              </w:rPr>
              <w:t> </w:t>
            </w:r>
            <w:r>
              <w:rPr>
                <w:sz w:val="20"/>
              </w:rPr>
              <w:t>in</w:t>
            </w:r>
            <w:r>
              <w:rPr>
                <w:spacing w:val="-6"/>
                <w:sz w:val="20"/>
              </w:rPr>
              <w:t> </w:t>
            </w:r>
            <w:r>
              <w:rPr>
                <w:sz w:val="20"/>
              </w:rPr>
              <w:t>Architecture</w:t>
            </w:r>
            <w:r>
              <w:rPr>
                <w:spacing w:val="-6"/>
                <w:sz w:val="20"/>
              </w:rPr>
              <w:t> </w:t>
            </w:r>
            <w:r>
              <w:rPr>
                <w:sz w:val="20"/>
              </w:rPr>
              <w:t>Award</w:t>
            </w:r>
            <w:r>
              <w:rPr>
                <w:spacing w:val="-4"/>
                <w:sz w:val="20"/>
              </w:rPr>
              <w:t> </w:t>
            </w:r>
            <w:r>
              <w:rPr>
                <w:sz w:val="20"/>
              </w:rPr>
              <w:t>Recipient|</w:t>
            </w:r>
            <w:r>
              <w:rPr>
                <w:spacing w:val="-5"/>
                <w:sz w:val="20"/>
              </w:rPr>
              <w:t> </w:t>
            </w:r>
            <w:r>
              <w:rPr>
                <w:sz w:val="20"/>
              </w:rPr>
              <w:t>1st</w:t>
            </w:r>
            <w:r>
              <w:rPr>
                <w:spacing w:val="-6"/>
                <w:sz w:val="20"/>
              </w:rPr>
              <w:t> </w:t>
            </w:r>
            <w:r>
              <w:rPr>
                <w:sz w:val="20"/>
              </w:rPr>
              <w:t>+</w:t>
            </w:r>
            <w:r>
              <w:rPr>
                <w:spacing w:val="-5"/>
                <w:sz w:val="20"/>
              </w:rPr>
              <w:t> </w:t>
            </w:r>
            <w:r>
              <w:rPr>
                <w:sz w:val="20"/>
              </w:rPr>
              <w:t>2nd</w:t>
            </w:r>
            <w:r>
              <w:rPr>
                <w:spacing w:val="-4"/>
                <w:sz w:val="20"/>
              </w:rPr>
              <w:t> </w:t>
            </w:r>
            <w:r>
              <w:rPr>
                <w:spacing w:val="-2"/>
                <w:sz w:val="20"/>
              </w:rPr>
              <w:t>place</w:t>
            </w:r>
          </w:p>
        </w:tc>
      </w:tr>
      <w:tr>
        <w:trPr>
          <w:trHeight w:val="229" w:hRule="atLeast"/>
        </w:trPr>
        <w:tc>
          <w:tcPr>
            <w:tcW w:w="1248" w:type="dxa"/>
          </w:tcPr>
          <w:p>
            <w:pPr>
              <w:pStyle w:val="TableParagraph"/>
              <w:spacing w:line="209" w:lineRule="exact"/>
              <w:ind w:left="50"/>
              <w:rPr>
                <w:sz w:val="20"/>
              </w:rPr>
            </w:pPr>
            <w:r>
              <w:rPr>
                <w:spacing w:val="-4"/>
                <w:sz w:val="20"/>
              </w:rPr>
              <w:t>2004</w:t>
            </w:r>
          </w:p>
        </w:tc>
        <w:tc>
          <w:tcPr>
            <w:tcW w:w="7451" w:type="dxa"/>
          </w:tcPr>
          <w:p>
            <w:pPr>
              <w:pStyle w:val="TableParagraph"/>
              <w:spacing w:line="209" w:lineRule="exact"/>
              <w:ind w:left="242"/>
              <w:rPr>
                <w:sz w:val="20"/>
              </w:rPr>
            </w:pPr>
            <w:r>
              <w:rPr>
                <w:sz w:val="20"/>
              </w:rPr>
              <w:t>Alpha</w:t>
            </w:r>
            <w:r>
              <w:rPr>
                <w:spacing w:val="-6"/>
                <w:sz w:val="20"/>
              </w:rPr>
              <w:t> </w:t>
            </w:r>
            <w:r>
              <w:rPr>
                <w:sz w:val="20"/>
              </w:rPr>
              <w:t>Lambda</w:t>
            </w:r>
            <w:r>
              <w:rPr>
                <w:spacing w:val="-8"/>
                <w:sz w:val="20"/>
              </w:rPr>
              <w:t> </w:t>
            </w:r>
            <w:r>
              <w:rPr>
                <w:sz w:val="20"/>
              </w:rPr>
              <w:t>Delta-</w:t>
            </w:r>
            <w:r>
              <w:rPr>
                <w:spacing w:val="-6"/>
                <w:sz w:val="20"/>
              </w:rPr>
              <w:t> </w:t>
            </w:r>
            <w:r>
              <w:rPr>
                <w:sz w:val="20"/>
              </w:rPr>
              <w:t>National</w:t>
            </w:r>
            <w:r>
              <w:rPr>
                <w:spacing w:val="-7"/>
                <w:sz w:val="20"/>
              </w:rPr>
              <w:t> </w:t>
            </w:r>
            <w:r>
              <w:rPr>
                <w:sz w:val="20"/>
              </w:rPr>
              <w:t>Honors</w:t>
            </w:r>
            <w:r>
              <w:rPr>
                <w:spacing w:val="-7"/>
                <w:sz w:val="20"/>
              </w:rPr>
              <w:t> </w:t>
            </w:r>
            <w:r>
              <w:rPr>
                <w:spacing w:val="-2"/>
                <w:sz w:val="20"/>
              </w:rPr>
              <w:t>Society</w:t>
            </w:r>
          </w:p>
        </w:tc>
      </w:tr>
      <w:tr>
        <w:trPr>
          <w:trHeight w:val="229" w:hRule="atLeast"/>
        </w:trPr>
        <w:tc>
          <w:tcPr>
            <w:tcW w:w="1248" w:type="dxa"/>
          </w:tcPr>
          <w:p>
            <w:pPr>
              <w:pStyle w:val="TableParagraph"/>
              <w:spacing w:line="209" w:lineRule="exact"/>
              <w:ind w:left="50"/>
              <w:rPr>
                <w:sz w:val="20"/>
              </w:rPr>
            </w:pPr>
            <w:r>
              <w:rPr>
                <w:w w:val="95"/>
                <w:sz w:val="20"/>
              </w:rPr>
              <w:t>2003-</w:t>
            </w:r>
            <w:r>
              <w:rPr>
                <w:spacing w:val="-4"/>
                <w:sz w:val="20"/>
              </w:rPr>
              <w:t>2004</w:t>
            </w:r>
          </w:p>
        </w:tc>
        <w:tc>
          <w:tcPr>
            <w:tcW w:w="7451" w:type="dxa"/>
          </w:tcPr>
          <w:p>
            <w:pPr>
              <w:pStyle w:val="TableParagraph"/>
              <w:spacing w:line="209" w:lineRule="exact"/>
              <w:ind w:left="242"/>
              <w:rPr>
                <w:sz w:val="20"/>
              </w:rPr>
            </w:pPr>
            <w:r>
              <w:rPr>
                <w:sz w:val="20"/>
              </w:rPr>
              <w:t>National</w:t>
            </w:r>
            <w:r>
              <w:rPr>
                <w:spacing w:val="-9"/>
                <w:sz w:val="20"/>
              </w:rPr>
              <w:t> </w:t>
            </w:r>
            <w:r>
              <w:rPr>
                <w:sz w:val="20"/>
              </w:rPr>
              <w:t>Dean’s</w:t>
            </w:r>
            <w:r>
              <w:rPr>
                <w:spacing w:val="-7"/>
                <w:sz w:val="20"/>
              </w:rPr>
              <w:t> </w:t>
            </w:r>
            <w:r>
              <w:rPr>
                <w:spacing w:val="-4"/>
                <w:sz w:val="20"/>
              </w:rPr>
              <w:t>List</w:t>
            </w:r>
          </w:p>
        </w:tc>
      </w:tr>
      <w:tr>
        <w:trPr>
          <w:trHeight w:val="230" w:hRule="atLeast"/>
        </w:trPr>
        <w:tc>
          <w:tcPr>
            <w:tcW w:w="1248" w:type="dxa"/>
          </w:tcPr>
          <w:p>
            <w:pPr>
              <w:pStyle w:val="TableParagraph"/>
              <w:spacing w:line="210" w:lineRule="exact"/>
              <w:ind w:left="50"/>
              <w:rPr>
                <w:sz w:val="20"/>
              </w:rPr>
            </w:pPr>
            <w:r>
              <w:rPr>
                <w:spacing w:val="-4"/>
                <w:sz w:val="20"/>
              </w:rPr>
              <w:t>2003</w:t>
            </w:r>
          </w:p>
        </w:tc>
        <w:tc>
          <w:tcPr>
            <w:tcW w:w="7451" w:type="dxa"/>
          </w:tcPr>
          <w:p>
            <w:pPr>
              <w:pStyle w:val="TableParagraph"/>
              <w:spacing w:line="210" w:lineRule="exact"/>
              <w:ind w:left="242"/>
              <w:rPr>
                <w:sz w:val="20"/>
              </w:rPr>
            </w:pPr>
            <w:r>
              <w:rPr>
                <w:sz w:val="20"/>
              </w:rPr>
              <w:t>Phi</w:t>
            </w:r>
            <w:r>
              <w:rPr>
                <w:spacing w:val="-7"/>
                <w:sz w:val="20"/>
              </w:rPr>
              <w:t> </w:t>
            </w:r>
            <w:r>
              <w:rPr>
                <w:sz w:val="20"/>
              </w:rPr>
              <w:t>Sigma</w:t>
            </w:r>
            <w:r>
              <w:rPr>
                <w:spacing w:val="-8"/>
                <w:sz w:val="20"/>
              </w:rPr>
              <w:t> </w:t>
            </w:r>
            <w:r>
              <w:rPr>
                <w:sz w:val="20"/>
              </w:rPr>
              <w:t>Theta-</w:t>
            </w:r>
            <w:r>
              <w:rPr>
                <w:spacing w:val="-6"/>
                <w:sz w:val="20"/>
              </w:rPr>
              <w:t> </w:t>
            </w:r>
            <w:r>
              <w:rPr>
                <w:sz w:val="20"/>
              </w:rPr>
              <w:t>National</w:t>
            </w:r>
            <w:r>
              <w:rPr>
                <w:spacing w:val="-7"/>
                <w:sz w:val="20"/>
              </w:rPr>
              <w:t> </w:t>
            </w:r>
            <w:r>
              <w:rPr>
                <w:sz w:val="20"/>
              </w:rPr>
              <w:t>Honors</w:t>
            </w:r>
            <w:r>
              <w:rPr>
                <w:spacing w:val="-7"/>
                <w:sz w:val="20"/>
              </w:rPr>
              <w:t> </w:t>
            </w:r>
            <w:r>
              <w:rPr>
                <w:spacing w:val="-2"/>
                <w:sz w:val="20"/>
              </w:rPr>
              <w:t>Society</w:t>
            </w:r>
          </w:p>
        </w:tc>
      </w:tr>
      <w:tr>
        <w:trPr>
          <w:trHeight w:val="230" w:hRule="atLeast"/>
        </w:trPr>
        <w:tc>
          <w:tcPr>
            <w:tcW w:w="1248" w:type="dxa"/>
          </w:tcPr>
          <w:p>
            <w:pPr>
              <w:pStyle w:val="TableParagraph"/>
              <w:spacing w:line="210" w:lineRule="exact"/>
              <w:ind w:left="50"/>
              <w:rPr>
                <w:sz w:val="20"/>
              </w:rPr>
            </w:pPr>
            <w:r>
              <w:rPr>
                <w:w w:val="95"/>
                <w:sz w:val="20"/>
              </w:rPr>
              <w:t>2002-</w:t>
            </w:r>
            <w:r>
              <w:rPr>
                <w:spacing w:val="-4"/>
                <w:sz w:val="20"/>
              </w:rPr>
              <w:t>2003</w:t>
            </w:r>
          </w:p>
        </w:tc>
        <w:tc>
          <w:tcPr>
            <w:tcW w:w="7451" w:type="dxa"/>
          </w:tcPr>
          <w:p>
            <w:pPr>
              <w:pStyle w:val="TableParagraph"/>
              <w:spacing w:line="210" w:lineRule="exact"/>
              <w:ind w:left="242"/>
              <w:rPr>
                <w:sz w:val="20"/>
              </w:rPr>
            </w:pPr>
            <w:r>
              <w:rPr>
                <w:sz w:val="20"/>
              </w:rPr>
              <w:t>Freshman</w:t>
            </w:r>
            <w:r>
              <w:rPr>
                <w:spacing w:val="-9"/>
                <w:sz w:val="20"/>
              </w:rPr>
              <w:t> </w:t>
            </w:r>
            <w:r>
              <w:rPr>
                <w:sz w:val="20"/>
              </w:rPr>
              <w:t>Honors</w:t>
            </w:r>
            <w:r>
              <w:rPr>
                <w:spacing w:val="-8"/>
                <w:sz w:val="20"/>
              </w:rPr>
              <w:t> </w:t>
            </w:r>
            <w:r>
              <w:rPr>
                <w:spacing w:val="-4"/>
                <w:sz w:val="20"/>
              </w:rPr>
              <w:t>List</w:t>
            </w:r>
          </w:p>
        </w:tc>
      </w:tr>
      <w:tr>
        <w:trPr>
          <w:trHeight w:val="230" w:hRule="atLeast"/>
        </w:trPr>
        <w:tc>
          <w:tcPr>
            <w:tcW w:w="1248" w:type="dxa"/>
          </w:tcPr>
          <w:p>
            <w:pPr>
              <w:pStyle w:val="TableParagraph"/>
              <w:spacing w:line="210" w:lineRule="exact"/>
              <w:ind w:left="50"/>
              <w:rPr>
                <w:sz w:val="20"/>
              </w:rPr>
            </w:pPr>
            <w:r>
              <w:rPr>
                <w:spacing w:val="-4"/>
                <w:sz w:val="20"/>
              </w:rPr>
              <w:t>2011</w:t>
            </w:r>
          </w:p>
        </w:tc>
        <w:tc>
          <w:tcPr>
            <w:tcW w:w="7451" w:type="dxa"/>
          </w:tcPr>
          <w:p>
            <w:pPr>
              <w:pStyle w:val="TableParagraph"/>
              <w:spacing w:line="210" w:lineRule="exact"/>
              <w:ind w:left="242"/>
              <w:rPr>
                <w:sz w:val="20"/>
              </w:rPr>
            </w:pPr>
            <w:r>
              <w:rPr>
                <w:sz w:val="20"/>
              </w:rPr>
              <w:t>Architectural</w:t>
            </w:r>
            <w:r>
              <w:rPr>
                <w:spacing w:val="-7"/>
                <w:sz w:val="20"/>
              </w:rPr>
              <w:t> </w:t>
            </w:r>
            <w:r>
              <w:rPr>
                <w:sz w:val="20"/>
              </w:rPr>
              <w:t>Record</w:t>
            </w:r>
            <w:r>
              <w:rPr>
                <w:spacing w:val="-7"/>
                <w:sz w:val="20"/>
              </w:rPr>
              <w:t> </w:t>
            </w:r>
            <w:r>
              <w:rPr>
                <w:sz w:val="20"/>
              </w:rPr>
              <w:t>Online:</w:t>
            </w:r>
            <w:r>
              <w:rPr>
                <w:spacing w:val="-7"/>
                <w:sz w:val="20"/>
              </w:rPr>
              <w:t> </w:t>
            </w:r>
            <w:r>
              <w:rPr>
                <w:sz w:val="20"/>
              </w:rPr>
              <w:t>Schools</w:t>
            </w:r>
            <w:r>
              <w:rPr>
                <w:spacing w:val="-7"/>
                <w:sz w:val="20"/>
              </w:rPr>
              <w:t> </w:t>
            </w:r>
            <w:r>
              <w:rPr>
                <w:sz w:val="20"/>
              </w:rPr>
              <w:t>of</w:t>
            </w:r>
            <w:r>
              <w:rPr>
                <w:spacing w:val="-5"/>
                <w:sz w:val="20"/>
              </w:rPr>
              <w:t> </w:t>
            </w:r>
            <w:r>
              <w:rPr>
                <w:sz w:val="20"/>
              </w:rPr>
              <w:t>the</w:t>
            </w:r>
            <w:r>
              <w:rPr>
                <w:spacing w:val="-6"/>
                <w:sz w:val="20"/>
              </w:rPr>
              <w:t> </w:t>
            </w:r>
            <w:r>
              <w:rPr>
                <w:sz w:val="20"/>
              </w:rPr>
              <w:t>21st</w:t>
            </w:r>
            <w:r>
              <w:rPr>
                <w:spacing w:val="-7"/>
                <w:sz w:val="20"/>
              </w:rPr>
              <w:t> </w:t>
            </w:r>
            <w:r>
              <w:rPr>
                <w:sz w:val="20"/>
              </w:rPr>
              <w:t>Century-</w:t>
            </w:r>
            <w:r>
              <w:rPr>
                <w:spacing w:val="-4"/>
                <w:sz w:val="20"/>
              </w:rPr>
              <w:t> </w:t>
            </w:r>
            <w:r>
              <w:rPr>
                <w:sz w:val="20"/>
              </w:rPr>
              <w:t>Dubiski</w:t>
            </w:r>
            <w:r>
              <w:rPr>
                <w:spacing w:val="-9"/>
                <w:sz w:val="20"/>
              </w:rPr>
              <w:t> </w:t>
            </w:r>
            <w:r>
              <w:rPr>
                <w:sz w:val="20"/>
              </w:rPr>
              <w:t>High</w:t>
            </w:r>
            <w:r>
              <w:rPr>
                <w:spacing w:val="-5"/>
                <w:sz w:val="20"/>
              </w:rPr>
              <w:t> </w:t>
            </w:r>
            <w:r>
              <w:rPr>
                <w:spacing w:val="-2"/>
                <w:sz w:val="20"/>
              </w:rPr>
              <w:t>School.</w:t>
            </w:r>
          </w:p>
        </w:tc>
      </w:tr>
      <w:tr>
        <w:trPr>
          <w:trHeight w:val="230" w:hRule="atLeast"/>
        </w:trPr>
        <w:tc>
          <w:tcPr>
            <w:tcW w:w="1248" w:type="dxa"/>
          </w:tcPr>
          <w:p>
            <w:pPr>
              <w:pStyle w:val="TableParagraph"/>
              <w:spacing w:line="210" w:lineRule="exact"/>
              <w:ind w:left="50"/>
              <w:rPr>
                <w:sz w:val="20"/>
              </w:rPr>
            </w:pPr>
            <w:r>
              <w:rPr>
                <w:spacing w:val="-4"/>
                <w:sz w:val="20"/>
              </w:rPr>
              <w:t>2007</w:t>
            </w:r>
          </w:p>
        </w:tc>
        <w:tc>
          <w:tcPr>
            <w:tcW w:w="7451" w:type="dxa"/>
          </w:tcPr>
          <w:p>
            <w:pPr>
              <w:pStyle w:val="TableParagraph"/>
              <w:spacing w:line="210" w:lineRule="exact"/>
              <w:ind w:left="242"/>
              <w:rPr>
                <w:sz w:val="20"/>
              </w:rPr>
            </w:pPr>
            <w:r>
              <w:rPr>
                <w:sz w:val="20"/>
              </w:rPr>
              <w:t>Texas</w:t>
            </w:r>
            <w:r>
              <w:rPr>
                <w:spacing w:val="-8"/>
                <w:sz w:val="20"/>
              </w:rPr>
              <w:t> </w:t>
            </w:r>
            <w:r>
              <w:rPr>
                <w:sz w:val="20"/>
              </w:rPr>
              <w:t>Architect:</w:t>
            </w:r>
            <w:r>
              <w:rPr>
                <w:spacing w:val="-9"/>
                <w:sz w:val="20"/>
              </w:rPr>
              <w:t> </w:t>
            </w:r>
            <w:r>
              <w:rPr>
                <w:sz w:val="20"/>
              </w:rPr>
              <w:t>Modular</w:t>
            </w:r>
            <w:r>
              <w:rPr>
                <w:spacing w:val="-8"/>
                <w:sz w:val="20"/>
              </w:rPr>
              <w:t> </w:t>
            </w:r>
            <w:r>
              <w:rPr>
                <w:sz w:val="20"/>
              </w:rPr>
              <w:t>Learning</w:t>
            </w:r>
            <w:r>
              <w:rPr>
                <w:spacing w:val="-8"/>
                <w:sz w:val="20"/>
              </w:rPr>
              <w:t> </w:t>
            </w:r>
            <w:r>
              <w:rPr>
                <w:sz w:val="20"/>
              </w:rPr>
              <w:t>Facility</w:t>
            </w:r>
            <w:r>
              <w:rPr>
                <w:spacing w:val="-10"/>
                <w:sz w:val="20"/>
              </w:rPr>
              <w:t> </w:t>
            </w:r>
            <w:r>
              <w:rPr>
                <w:sz w:val="20"/>
              </w:rPr>
              <w:t>+</w:t>
            </w:r>
            <w:r>
              <w:rPr>
                <w:spacing w:val="-8"/>
                <w:sz w:val="20"/>
              </w:rPr>
              <w:t> </w:t>
            </w:r>
            <w:r>
              <w:rPr>
                <w:sz w:val="20"/>
              </w:rPr>
              <w:t>Dallas</w:t>
            </w:r>
            <w:r>
              <w:rPr>
                <w:spacing w:val="-5"/>
                <w:sz w:val="20"/>
              </w:rPr>
              <w:t> </w:t>
            </w:r>
            <w:r>
              <w:rPr>
                <w:sz w:val="20"/>
              </w:rPr>
              <w:t>Architecture</w:t>
            </w:r>
            <w:r>
              <w:rPr>
                <w:spacing w:val="-7"/>
                <w:sz w:val="20"/>
              </w:rPr>
              <w:t> </w:t>
            </w:r>
            <w:r>
              <w:rPr>
                <w:spacing w:val="-2"/>
                <w:sz w:val="20"/>
              </w:rPr>
              <w:t>Center</w:t>
            </w:r>
          </w:p>
        </w:tc>
      </w:tr>
      <w:tr>
        <w:trPr>
          <w:trHeight w:val="226" w:hRule="atLeast"/>
        </w:trPr>
        <w:tc>
          <w:tcPr>
            <w:tcW w:w="1248" w:type="dxa"/>
          </w:tcPr>
          <w:p>
            <w:pPr>
              <w:pStyle w:val="TableParagraph"/>
              <w:spacing w:line="207" w:lineRule="exact"/>
              <w:ind w:left="50"/>
              <w:rPr>
                <w:sz w:val="20"/>
              </w:rPr>
            </w:pPr>
            <w:r>
              <w:rPr>
                <w:spacing w:val="-4"/>
                <w:sz w:val="20"/>
              </w:rPr>
              <w:t>2009</w:t>
            </w:r>
          </w:p>
        </w:tc>
        <w:tc>
          <w:tcPr>
            <w:tcW w:w="7451" w:type="dxa"/>
          </w:tcPr>
          <w:p>
            <w:pPr>
              <w:pStyle w:val="TableParagraph"/>
              <w:spacing w:line="207" w:lineRule="exact"/>
              <w:ind w:left="242"/>
              <w:rPr>
                <w:sz w:val="20"/>
              </w:rPr>
            </w:pPr>
            <w:r>
              <w:rPr>
                <w:sz w:val="20"/>
              </w:rPr>
              <w:t>“Fal</w:t>
            </w:r>
            <w:r>
              <w:rPr>
                <w:spacing w:val="-10"/>
                <w:sz w:val="20"/>
              </w:rPr>
              <w:t> </w:t>
            </w:r>
            <w:r>
              <w:rPr>
                <w:sz w:val="20"/>
              </w:rPr>
              <w:t>Experience”</w:t>
            </w:r>
            <w:r>
              <w:rPr>
                <w:spacing w:val="-7"/>
                <w:sz w:val="20"/>
              </w:rPr>
              <w:t> </w:t>
            </w:r>
            <w:r>
              <w:rPr>
                <w:sz w:val="20"/>
              </w:rPr>
              <w:t>Art</w:t>
            </w:r>
            <w:r>
              <w:rPr>
                <w:spacing w:val="-6"/>
                <w:sz w:val="20"/>
              </w:rPr>
              <w:t> </w:t>
            </w:r>
            <w:r>
              <w:rPr>
                <w:sz w:val="20"/>
              </w:rPr>
              <w:t>Exhibition</w:t>
            </w:r>
            <w:r>
              <w:rPr>
                <w:spacing w:val="-7"/>
                <w:sz w:val="20"/>
              </w:rPr>
              <w:t> </w:t>
            </w:r>
            <w:r>
              <w:rPr>
                <w:sz w:val="20"/>
              </w:rPr>
              <w:t>with</w:t>
            </w:r>
            <w:r>
              <w:rPr>
                <w:spacing w:val="-8"/>
                <w:sz w:val="20"/>
              </w:rPr>
              <w:t> </w:t>
            </w:r>
            <w:r>
              <w:rPr>
                <w:sz w:val="20"/>
              </w:rPr>
              <w:t>Antoni</w:t>
            </w:r>
            <w:r>
              <w:rPr>
                <w:spacing w:val="-7"/>
                <w:sz w:val="20"/>
              </w:rPr>
              <w:t> </w:t>
            </w:r>
            <w:r>
              <w:rPr>
                <w:sz w:val="20"/>
              </w:rPr>
              <w:t>Muntadas</w:t>
            </w:r>
            <w:r>
              <w:rPr>
                <w:spacing w:val="-7"/>
                <w:sz w:val="20"/>
              </w:rPr>
              <w:t> </w:t>
            </w:r>
            <w:r>
              <w:rPr>
                <w:sz w:val="20"/>
              </w:rPr>
              <w:t>in</w:t>
            </w:r>
            <w:r>
              <w:rPr>
                <w:spacing w:val="-7"/>
                <w:sz w:val="20"/>
              </w:rPr>
              <w:t> </w:t>
            </w:r>
            <w:r>
              <w:rPr>
                <w:sz w:val="20"/>
              </w:rPr>
              <w:t>Istanbul,</w:t>
            </w:r>
            <w:r>
              <w:rPr>
                <w:spacing w:val="-8"/>
                <w:sz w:val="20"/>
              </w:rPr>
              <w:t> </w:t>
            </w:r>
            <w:r>
              <w:rPr>
                <w:spacing w:val="-2"/>
                <w:sz w:val="20"/>
              </w:rPr>
              <w:t>Turkey.</w:t>
            </w:r>
          </w:p>
        </w:tc>
      </w:tr>
    </w:tbl>
    <w:p>
      <w:pPr>
        <w:pStyle w:val="BodyText"/>
        <w:spacing w:before="2"/>
        <w:rPr>
          <w:b/>
        </w:rPr>
      </w:pPr>
    </w:p>
    <w:p>
      <w:pPr>
        <w:pStyle w:val="BodyText"/>
        <w:ind w:left="1159" w:right="1277"/>
      </w:pPr>
      <w:r>
        <w:rPr/>
        <w:t>Design:</w:t>
      </w:r>
      <w:r>
        <w:rPr>
          <w:spacing w:val="-5"/>
        </w:rPr>
        <w:t> </w:t>
      </w:r>
      <w:r>
        <w:rPr/>
        <w:t>AutoCAD,</w:t>
      </w:r>
      <w:r>
        <w:rPr>
          <w:spacing w:val="-3"/>
        </w:rPr>
        <w:t> </w:t>
      </w:r>
      <w:r>
        <w:rPr/>
        <w:t>Adobe Graphic</w:t>
      </w:r>
      <w:r>
        <w:rPr>
          <w:spacing w:val="-1"/>
        </w:rPr>
        <w:t> </w:t>
      </w:r>
      <w:r>
        <w:rPr/>
        <w:t>Suite,</w:t>
      </w:r>
      <w:r>
        <w:rPr>
          <w:spacing w:val="-5"/>
        </w:rPr>
        <w:t> </w:t>
      </w:r>
      <w:r>
        <w:rPr/>
        <w:t>Google</w:t>
      </w:r>
      <w:r>
        <w:rPr>
          <w:spacing w:val="-3"/>
        </w:rPr>
        <w:t> </w:t>
      </w:r>
      <w:r>
        <w:rPr/>
        <w:t>SketchUp,</w:t>
      </w:r>
      <w:r>
        <w:rPr>
          <w:spacing w:val="-5"/>
        </w:rPr>
        <w:t> </w:t>
      </w:r>
      <w:r>
        <w:rPr/>
        <w:t>Rhino,</w:t>
      </w:r>
      <w:r>
        <w:rPr>
          <w:spacing w:val="-5"/>
        </w:rPr>
        <w:t> </w:t>
      </w:r>
      <w:r>
        <w:rPr/>
        <w:t>3d</w:t>
      </w:r>
      <w:r>
        <w:rPr>
          <w:spacing w:val="-5"/>
        </w:rPr>
        <w:t> </w:t>
      </w:r>
      <w:r>
        <w:rPr/>
        <w:t>Max,</w:t>
      </w:r>
      <w:r>
        <w:rPr>
          <w:spacing w:val="-5"/>
        </w:rPr>
        <w:t> </w:t>
      </w:r>
      <w:r>
        <w:rPr/>
        <w:t>Corel</w:t>
      </w:r>
      <w:r>
        <w:rPr>
          <w:spacing w:val="-6"/>
        </w:rPr>
        <w:t> </w:t>
      </w:r>
      <w:r>
        <w:rPr/>
        <w:t>Draw Hand drawing: Graphite, Ink, Colorpencil | Video: Soundtrack Pro, Final Cut</w:t>
      </w:r>
    </w:p>
    <w:p>
      <w:pPr>
        <w:pStyle w:val="BodyText"/>
        <w:spacing w:before="2"/>
      </w:pPr>
    </w:p>
    <w:p>
      <w:pPr>
        <w:pStyle w:val="BodyText"/>
        <w:tabs>
          <w:tab w:pos="7270" w:val="left" w:leader="none"/>
        </w:tabs>
        <w:ind w:left="1159" w:right="1940"/>
      </w:pPr>
      <w:r>
        <w:rPr/>
        <w:t>Other: Woodwork, Digital /Film Photography | General: Microsoft O</w:t>
        <w:tab/>
        <w:t>ce,</w:t>
      </w:r>
      <w:r>
        <w:rPr>
          <w:spacing w:val="-13"/>
        </w:rPr>
        <w:t> </w:t>
      </w:r>
      <w:r>
        <w:rPr/>
        <w:t>Mac</w:t>
      </w:r>
      <w:r>
        <w:rPr>
          <w:spacing w:val="-12"/>
        </w:rPr>
        <w:t> </w:t>
      </w:r>
      <w:r>
        <w:rPr/>
        <w:t>+</w:t>
      </w:r>
      <w:r>
        <w:rPr>
          <w:spacing w:val="-12"/>
        </w:rPr>
        <w:t> </w:t>
      </w:r>
      <w:r>
        <w:rPr/>
        <w:t>PC Community Volunteering: with children ages 2-8 (over 12 yrs experience).</w:t>
      </w:r>
    </w:p>
    <w:p>
      <w:pPr>
        <w:spacing w:after="0"/>
        <w:sectPr>
          <w:headerReference w:type="default" r:id="rId265"/>
          <w:footerReference w:type="default" r:id="rId266"/>
          <w:pgSz w:w="12240" w:h="15840"/>
          <w:pgMar w:header="0" w:footer="974" w:top="920" w:bottom="1160" w:left="1000" w:right="820"/>
        </w:sectPr>
      </w:pPr>
    </w:p>
    <w:p>
      <w:pPr>
        <w:spacing w:before="63"/>
        <w:ind w:left="440" w:right="0" w:firstLine="0"/>
        <w:jc w:val="left"/>
        <w:rPr>
          <w:b/>
          <w:sz w:val="20"/>
        </w:rPr>
      </w:pPr>
      <w:r>
        <w:rPr>
          <w:b/>
          <w:sz w:val="20"/>
        </w:rPr>
        <w:t>Peronnet,</w:t>
      </w:r>
      <w:r>
        <w:rPr>
          <w:b/>
          <w:spacing w:val="-10"/>
          <w:sz w:val="20"/>
        </w:rPr>
        <w:t> </w:t>
      </w:r>
      <w:r>
        <w:rPr>
          <w:b/>
          <w:sz w:val="20"/>
        </w:rPr>
        <w:t>David,</w:t>
      </w:r>
      <w:r>
        <w:rPr>
          <w:b/>
          <w:spacing w:val="-7"/>
          <w:sz w:val="20"/>
        </w:rPr>
        <w:t> </w:t>
      </w:r>
      <w:r>
        <w:rPr>
          <w:b/>
          <w:sz w:val="20"/>
        </w:rPr>
        <w:t>Assistant</w:t>
      </w:r>
      <w:r>
        <w:rPr>
          <w:b/>
          <w:spacing w:val="-11"/>
          <w:sz w:val="20"/>
        </w:rPr>
        <w:t> </w:t>
      </w:r>
      <w:r>
        <w:rPr>
          <w:b/>
          <w:spacing w:val="-2"/>
          <w:sz w:val="20"/>
        </w:rPr>
        <w:t>Professor</w:t>
      </w:r>
    </w:p>
    <w:p>
      <w:pPr>
        <w:pStyle w:val="BodyText"/>
        <w:spacing w:before="7"/>
        <w:rPr>
          <w:b/>
          <w:sz w:val="17"/>
        </w:rPr>
      </w:pPr>
    </w:p>
    <w:p>
      <w:pPr>
        <w:spacing w:before="0"/>
        <w:ind w:left="440" w:right="0" w:firstLine="0"/>
        <w:jc w:val="left"/>
        <w:rPr>
          <w:b/>
          <w:sz w:val="20"/>
        </w:rPr>
      </w:pPr>
      <w:r>
        <w:rPr>
          <w:b/>
          <w:sz w:val="20"/>
        </w:rPr>
        <w:t>Courses</w:t>
      </w:r>
      <w:r>
        <w:rPr>
          <w:b/>
          <w:spacing w:val="-7"/>
          <w:sz w:val="20"/>
        </w:rPr>
        <w:t> </w:t>
      </w:r>
      <w:r>
        <w:rPr>
          <w:b/>
          <w:sz w:val="20"/>
        </w:rPr>
        <w:t>Taught</w:t>
      </w:r>
      <w:r>
        <w:rPr>
          <w:b/>
          <w:spacing w:val="-7"/>
          <w:sz w:val="20"/>
        </w:rPr>
        <w:t> </w:t>
      </w:r>
      <w:r>
        <w:rPr>
          <w:b/>
          <w:sz w:val="20"/>
        </w:rPr>
        <w:t>(during</w:t>
      </w:r>
      <w:r>
        <w:rPr>
          <w:b/>
          <w:spacing w:val="-7"/>
          <w:sz w:val="20"/>
        </w:rPr>
        <w:t> </w:t>
      </w:r>
      <w:r>
        <w:rPr>
          <w:b/>
          <w:sz w:val="20"/>
        </w:rPr>
        <w:t>the</w:t>
      </w:r>
      <w:r>
        <w:rPr>
          <w:b/>
          <w:spacing w:val="-8"/>
          <w:sz w:val="20"/>
        </w:rPr>
        <w:t> </w:t>
      </w:r>
      <w:r>
        <w:rPr>
          <w:b/>
          <w:sz w:val="20"/>
        </w:rPr>
        <w:t>past</w:t>
      </w:r>
      <w:r>
        <w:rPr>
          <w:b/>
          <w:spacing w:val="-7"/>
          <w:sz w:val="20"/>
        </w:rPr>
        <w:t> </w:t>
      </w:r>
      <w:r>
        <w:rPr>
          <w:b/>
          <w:sz w:val="20"/>
        </w:rPr>
        <w:t>two</w:t>
      </w:r>
      <w:r>
        <w:rPr>
          <w:b/>
          <w:spacing w:val="-7"/>
          <w:sz w:val="20"/>
        </w:rPr>
        <w:t> </w:t>
      </w:r>
      <w:r>
        <w:rPr>
          <w:b/>
          <w:sz w:val="20"/>
        </w:rPr>
        <w:t>academic</w:t>
      </w:r>
      <w:r>
        <w:rPr>
          <w:b/>
          <w:spacing w:val="-4"/>
          <w:sz w:val="20"/>
        </w:rPr>
        <w:t> </w:t>
      </w:r>
      <w:r>
        <w:rPr>
          <w:b/>
          <w:spacing w:val="-2"/>
          <w:sz w:val="20"/>
        </w:rPr>
        <w:t>years):</w:t>
      </w:r>
    </w:p>
    <w:p>
      <w:pPr>
        <w:pStyle w:val="BodyText"/>
        <w:ind w:left="1159" w:right="1277"/>
      </w:pPr>
      <w:r>
        <w:rPr/>
        <w:t>Fall</w:t>
      </w:r>
      <w:r>
        <w:rPr>
          <w:spacing w:val="-3"/>
        </w:rPr>
        <w:t> </w:t>
      </w:r>
      <w:r>
        <w:rPr/>
        <w:t>2013:</w:t>
      </w:r>
      <w:r>
        <w:rPr>
          <w:spacing w:val="40"/>
        </w:rPr>
        <w:t> </w:t>
      </w:r>
      <w:r>
        <w:rPr/>
        <w:t>ARC</w:t>
      </w:r>
      <w:r>
        <w:rPr>
          <w:spacing w:val="-2"/>
        </w:rPr>
        <w:t> </w:t>
      </w:r>
      <w:r>
        <w:rPr/>
        <w:t>430-04</w:t>
      </w:r>
      <w:r>
        <w:rPr>
          <w:spacing w:val="-4"/>
        </w:rPr>
        <w:t> </w:t>
      </w:r>
      <w:r>
        <w:rPr/>
        <w:t>Canopy</w:t>
      </w:r>
      <w:r>
        <w:rPr>
          <w:spacing w:val="-7"/>
        </w:rPr>
        <w:t> </w:t>
      </w:r>
      <w:r>
        <w:rPr/>
        <w:t>House</w:t>
      </w:r>
      <w:r>
        <w:rPr>
          <w:spacing w:val="-4"/>
        </w:rPr>
        <w:t> </w:t>
      </w:r>
      <w:r>
        <w:rPr/>
        <w:t>Construction,</w:t>
      </w:r>
      <w:r>
        <w:rPr>
          <w:spacing w:val="-2"/>
        </w:rPr>
        <w:t> </w:t>
      </w:r>
      <w:r>
        <w:rPr/>
        <w:t>ARC</w:t>
      </w:r>
      <w:r>
        <w:rPr>
          <w:spacing w:val="-4"/>
        </w:rPr>
        <w:t> </w:t>
      </w:r>
      <w:r>
        <w:rPr/>
        <w:t>601-H1</w:t>
      </w:r>
      <w:r>
        <w:rPr>
          <w:spacing w:val="-2"/>
        </w:rPr>
        <w:t> </w:t>
      </w:r>
      <w:r>
        <w:rPr/>
        <w:t>Solar</w:t>
      </w:r>
      <w:r>
        <w:rPr>
          <w:spacing w:val="-3"/>
        </w:rPr>
        <w:t> </w:t>
      </w:r>
      <w:r>
        <w:rPr/>
        <w:t>Decathlon</w:t>
      </w:r>
      <w:r>
        <w:rPr>
          <w:spacing w:val="-4"/>
        </w:rPr>
        <w:t> </w:t>
      </w:r>
      <w:r>
        <w:rPr/>
        <w:t>Studio Spring 2014:</w:t>
      </w:r>
      <w:r>
        <w:rPr>
          <w:spacing w:val="40"/>
        </w:rPr>
        <w:t> </w:t>
      </w:r>
      <w:r>
        <w:rPr/>
        <w:t>ARC 315-01 Environmental Systems, ARC 602-01 Solar Decathlon Studio Fall 2014:</w:t>
      </w:r>
      <w:r>
        <w:rPr>
          <w:spacing w:val="40"/>
        </w:rPr>
        <w:t> </w:t>
      </w:r>
      <w:r>
        <w:rPr/>
        <w:t>ARC 405-03 Advanced Architectural Design 1</w:t>
      </w:r>
    </w:p>
    <w:p>
      <w:pPr>
        <w:pStyle w:val="BodyText"/>
        <w:spacing w:line="229" w:lineRule="exact"/>
        <w:ind w:left="1159"/>
      </w:pPr>
      <w:r>
        <w:rPr/>
        <w:t>Spring</w:t>
      </w:r>
      <w:r>
        <w:rPr>
          <w:spacing w:val="-9"/>
        </w:rPr>
        <w:t> </w:t>
      </w:r>
      <w:r>
        <w:rPr>
          <w:spacing w:val="-2"/>
        </w:rPr>
        <w:t>2015:</w:t>
      </w:r>
    </w:p>
    <w:p>
      <w:pPr>
        <w:pStyle w:val="BodyText"/>
        <w:spacing w:before="4"/>
        <w:rPr>
          <w:sz w:val="17"/>
        </w:rPr>
      </w:pPr>
    </w:p>
    <w:p>
      <w:pPr>
        <w:spacing w:before="1"/>
        <w:ind w:left="440" w:right="0" w:firstLine="0"/>
        <w:jc w:val="left"/>
        <w:rPr>
          <w:b/>
          <w:sz w:val="20"/>
        </w:rPr>
      </w:pPr>
      <w:r>
        <w:rPr>
          <w:b/>
          <w:spacing w:val="-2"/>
          <w:sz w:val="20"/>
        </w:rPr>
        <w:t>Educational</w:t>
      </w:r>
      <w:r>
        <w:rPr>
          <w:b/>
          <w:spacing w:val="6"/>
          <w:sz w:val="20"/>
        </w:rPr>
        <w:t> </w:t>
      </w:r>
      <w:r>
        <w:rPr>
          <w:b/>
          <w:spacing w:val="-2"/>
          <w:sz w:val="20"/>
        </w:rPr>
        <w:t>Credentials:</w:t>
      </w:r>
    </w:p>
    <w:p>
      <w:pPr>
        <w:pStyle w:val="BodyText"/>
        <w:ind w:left="1159"/>
      </w:pPr>
      <w:r>
        <w:rPr/>
        <w:t>Master</w:t>
      </w:r>
      <w:r>
        <w:rPr>
          <w:spacing w:val="-8"/>
        </w:rPr>
        <w:t> </w:t>
      </w:r>
      <w:r>
        <w:rPr/>
        <w:t>of</w:t>
      </w:r>
      <w:r>
        <w:rPr>
          <w:spacing w:val="-6"/>
        </w:rPr>
        <w:t> </w:t>
      </w:r>
      <w:r>
        <w:rPr/>
        <w:t>Architecture,</w:t>
      </w:r>
      <w:r>
        <w:rPr>
          <w:spacing w:val="-7"/>
        </w:rPr>
        <w:t> </w:t>
      </w:r>
      <w:r>
        <w:rPr/>
        <w:t>University</w:t>
      </w:r>
      <w:r>
        <w:rPr>
          <w:spacing w:val="-11"/>
        </w:rPr>
        <w:t> </w:t>
      </w:r>
      <w:r>
        <w:rPr/>
        <w:t>of</w:t>
      </w:r>
      <w:r>
        <w:rPr>
          <w:spacing w:val="-6"/>
        </w:rPr>
        <w:t> </w:t>
      </w:r>
      <w:r>
        <w:rPr/>
        <w:t>Houston,</w:t>
      </w:r>
      <w:r>
        <w:rPr>
          <w:spacing w:val="-7"/>
        </w:rPr>
        <w:t> </w:t>
      </w:r>
      <w:r>
        <w:rPr>
          <w:spacing w:val="-4"/>
        </w:rPr>
        <w:t>1994</w:t>
      </w:r>
    </w:p>
    <w:p>
      <w:pPr>
        <w:pStyle w:val="BodyText"/>
        <w:spacing w:before="1"/>
        <w:ind w:left="1159"/>
      </w:pPr>
      <w:r>
        <w:rPr/>
        <w:t>Bachelor</w:t>
      </w:r>
      <w:r>
        <w:rPr>
          <w:spacing w:val="-7"/>
        </w:rPr>
        <w:t> </w:t>
      </w:r>
      <w:r>
        <w:rPr/>
        <w:t>of</w:t>
      </w:r>
      <w:r>
        <w:rPr>
          <w:spacing w:val="-6"/>
        </w:rPr>
        <w:t> </w:t>
      </w:r>
      <w:r>
        <w:rPr/>
        <w:t>Fine</w:t>
      </w:r>
      <w:r>
        <w:rPr>
          <w:spacing w:val="-5"/>
        </w:rPr>
        <w:t> </w:t>
      </w:r>
      <w:r>
        <w:rPr/>
        <w:t>Art,</w:t>
      </w:r>
      <w:r>
        <w:rPr>
          <w:spacing w:val="-8"/>
        </w:rPr>
        <w:t> </w:t>
      </w:r>
      <w:r>
        <w:rPr/>
        <w:t>Graphic</w:t>
      </w:r>
      <w:r>
        <w:rPr>
          <w:spacing w:val="-6"/>
        </w:rPr>
        <w:t> </w:t>
      </w:r>
      <w:r>
        <w:rPr/>
        <w:t>Design,</w:t>
      </w:r>
      <w:r>
        <w:rPr>
          <w:spacing w:val="-8"/>
        </w:rPr>
        <w:t> </w:t>
      </w:r>
      <w:r>
        <w:rPr/>
        <w:t>New</w:t>
      </w:r>
      <w:r>
        <w:rPr>
          <w:spacing w:val="-7"/>
        </w:rPr>
        <w:t> </w:t>
      </w:r>
      <w:r>
        <w:rPr/>
        <w:t>York</w:t>
      </w:r>
      <w:r>
        <w:rPr>
          <w:spacing w:val="-4"/>
        </w:rPr>
        <w:t> </w:t>
      </w:r>
      <w:r>
        <w:rPr/>
        <w:t>Institute</w:t>
      </w:r>
      <w:r>
        <w:rPr>
          <w:spacing w:val="-7"/>
        </w:rPr>
        <w:t> </w:t>
      </w:r>
      <w:r>
        <w:rPr/>
        <w:t>of</w:t>
      </w:r>
      <w:r>
        <w:rPr>
          <w:spacing w:val="-6"/>
        </w:rPr>
        <w:t> </w:t>
      </w:r>
      <w:r>
        <w:rPr/>
        <w:t>Technology,</w:t>
      </w:r>
      <w:r>
        <w:rPr>
          <w:spacing w:val="-6"/>
        </w:rPr>
        <w:t> </w:t>
      </w:r>
      <w:r>
        <w:rPr>
          <w:spacing w:val="-4"/>
        </w:rPr>
        <w:t>1989</w:t>
      </w:r>
    </w:p>
    <w:p>
      <w:pPr>
        <w:pStyle w:val="BodyText"/>
        <w:ind w:left="1159"/>
      </w:pPr>
      <w:r>
        <w:rPr/>
        <w:t>Associate</w:t>
      </w:r>
      <w:r>
        <w:rPr>
          <w:spacing w:val="-6"/>
        </w:rPr>
        <w:t> </w:t>
      </w:r>
      <w:r>
        <w:rPr/>
        <w:t>of</w:t>
      </w:r>
      <w:r>
        <w:rPr>
          <w:spacing w:val="-6"/>
        </w:rPr>
        <w:t> </w:t>
      </w:r>
      <w:r>
        <w:rPr/>
        <w:t>Applied</w:t>
      </w:r>
      <w:r>
        <w:rPr>
          <w:spacing w:val="-5"/>
        </w:rPr>
        <w:t> </w:t>
      </w:r>
      <w:r>
        <w:rPr/>
        <w:t>Science,</w:t>
      </w:r>
      <w:r>
        <w:rPr>
          <w:spacing w:val="-8"/>
        </w:rPr>
        <w:t> </w:t>
      </w:r>
      <w:r>
        <w:rPr/>
        <w:t>Advertising</w:t>
      </w:r>
      <w:r>
        <w:rPr>
          <w:spacing w:val="-7"/>
        </w:rPr>
        <w:t> </w:t>
      </w:r>
      <w:r>
        <w:rPr/>
        <w:t>Art,</w:t>
      </w:r>
      <w:r>
        <w:rPr>
          <w:spacing w:val="-6"/>
        </w:rPr>
        <w:t> </w:t>
      </w:r>
      <w:r>
        <w:rPr/>
        <w:t>State</w:t>
      </w:r>
      <w:r>
        <w:rPr>
          <w:spacing w:val="-7"/>
        </w:rPr>
        <w:t> </w:t>
      </w:r>
      <w:r>
        <w:rPr/>
        <w:t>University</w:t>
      </w:r>
      <w:r>
        <w:rPr>
          <w:spacing w:val="-10"/>
        </w:rPr>
        <w:t> </w:t>
      </w:r>
      <w:r>
        <w:rPr/>
        <w:t>of</w:t>
      </w:r>
      <w:r>
        <w:rPr>
          <w:spacing w:val="-6"/>
        </w:rPr>
        <w:t> </w:t>
      </w:r>
      <w:r>
        <w:rPr/>
        <w:t>New</w:t>
      </w:r>
      <w:r>
        <w:rPr>
          <w:spacing w:val="-7"/>
        </w:rPr>
        <w:t> </w:t>
      </w:r>
      <w:r>
        <w:rPr/>
        <w:t>York</w:t>
      </w:r>
      <w:r>
        <w:rPr>
          <w:spacing w:val="-4"/>
        </w:rPr>
        <w:t> </w:t>
      </w:r>
      <w:r>
        <w:rPr/>
        <w:t>at</w:t>
      </w:r>
      <w:r>
        <w:rPr>
          <w:spacing w:val="-7"/>
        </w:rPr>
        <w:t> </w:t>
      </w:r>
      <w:r>
        <w:rPr/>
        <w:t>Farmingdale,</w:t>
      </w:r>
      <w:r>
        <w:rPr>
          <w:spacing w:val="-6"/>
        </w:rPr>
        <w:t> </w:t>
      </w:r>
      <w:r>
        <w:rPr>
          <w:spacing w:val="-4"/>
        </w:rPr>
        <w:t>1987</w:t>
      </w:r>
    </w:p>
    <w:p>
      <w:pPr>
        <w:pStyle w:val="BodyText"/>
        <w:spacing w:before="4"/>
        <w:rPr>
          <w:sz w:val="17"/>
        </w:rPr>
      </w:pPr>
    </w:p>
    <w:p>
      <w:pPr>
        <w:spacing w:before="0"/>
        <w:ind w:left="439" w:right="0" w:firstLine="0"/>
        <w:jc w:val="left"/>
        <w:rPr>
          <w:b/>
          <w:sz w:val="20"/>
        </w:rPr>
      </w:pPr>
      <w:r>
        <w:rPr>
          <w:b/>
          <w:sz w:val="20"/>
        </w:rPr>
        <w:t>Teaching</w:t>
      </w:r>
      <w:r>
        <w:rPr>
          <w:b/>
          <w:spacing w:val="-10"/>
          <w:sz w:val="20"/>
        </w:rPr>
        <w:t> </w:t>
      </w:r>
      <w:r>
        <w:rPr>
          <w:b/>
          <w:spacing w:val="-2"/>
          <w:sz w:val="20"/>
        </w:rPr>
        <w:t>Experience</w:t>
      </w:r>
    </w:p>
    <w:p>
      <w:pPr>
        <w:pStyle w:val="BodyText"/>
        <w:tabs>
          <w:tab w:pos="2599" w:val="left" w:leader="none"/>
          <w:tab w:pos="2959" w:val="left" w:leader="none"/>
        </w:tabs>
        <w:spacing w:before="1"/>
        <w:ind w:left="1159" w:right="3879"/>
      </w:pPr>
      <w:r>
        <w:rPr/>
        <w:t>2001 - Present</w:t>
        <w:tab/>
        <w:tab/>
        <w:t>Hampton</w:t>
      </w:r>
      <w:r>
        <w:rPr>
          <w:spacing w:val="-14"/>
        </w:rPr>
        <w:t> </w:t>
      </w:r>
      <w:r>
        <w:rPr/>
        <w:t>University,</w:t>
      </w:r>
      <w:r>
        <w:rPr>
          <w:spacing w:val="-12"/>
        </w:rPr>
        <w:t> </w:t>
      </w:r>
      <w:r>
        <w:rPr/>
        <w:t>Assistant</w:t>
      </w:r>
      <w:r>
        <w:rPr>
          <w:spacing w:val="-12"/>
        </w:rPr>
        <w:t> </w:t>
      </w:r>
      <w:r>
        <w:rPr/>
        <w:t>Professor 1992 - 1994</w:t>
        <w:tab/>
        <w:t>University of Houston, Teaching Assistant</w:t>
      </w:r>
    </w:p>
    <w:p>
      <w:pPr>
        <w:pStyle w:val="BodyText"/>
        <w:spacing w:before="3"/>
        <w:rPr>
          <w:sz w:val="17"/>
        </w:rPr>
      </w:pPr>
    </w:p>
    <w:p>
      <w:pPr>
        <w:spacing w:before="1"/>
        <w:ind w:left="440" w:right="0" w:firstLine="0"/>
        <w:jc w:val="left"/>
        <w:rPr>
          <w:b/>
          <w:sz w:val="20"/>
        </w:rPr>
      </w:pPr>
      <w:r>
        <w:rPr>
          <w:b/>
          <w:spacing w:val="-2"/>
          <w:sz w:val="20"/>
        </w:rPr>
        <w:t>Professional</w:t>
      </w:r>
      <w:r>
        <w:rPr>
          <w:b/>
          <w:spacing w:val="7"/>
          <w:sz w:val="20"/>
        </w:rPr>
        <w:t> </w:t>
      </w:r>
      <w:r>
        <w:rPr>
          <w:b/>
          <w:spacing w:val="-2"/>
          <w:sz w:val="20"/>
        </w:rPr>
        <w:t>Experience</w:t>
      </w:r>
    </w:p>
    <w:p>
      <w:pPr>
        <w:pStyle w:val="BodyText"/>
        <w:ind w:left="1160"/>
      </w:pPr>
      <w:r>
        <w:rPr/>
        <w:t>2004</w:t>
      </w:r>
      <w:r>
        <w:rPr>
          <w:spacing w:val="-4"/>
        </w:rPr>
        <w:t> </w:t>
      </w:r>
      <w:r>
        <w:rPr/>
        <w:t>-</w:t>
      </w:r>
      <w:r>
        <w:rPr>
          <w:spacing w:val="-5"/>
        </w:rPr>
        <w:t> </w:t>
      </w:r>
      <w:r>
        <w:rPr/>
        <w:t>Present</w:t>
      </w:r>
      <w:r>
        <w:rPr>
          <w:spacing w:val="61"/>
        </w:rPr>
        <w:t> </w:t>
      </w:r>
      <w:r>
        <w:rPr/>
        <w:t>Shaper</w:t>
      </w:r>
      <w:r>
        <w:rPr>
          <w:spacing w:val="-4"/>
        </w:rPr>
        <w:t> </w:t>
      </w:r>
      <w:r>
        <w:rPr/>
        <w:t>Studio,</w:t>
      </w:r>
      <w:r>
        <w:rPr>
          <w:spacing w:val="-4"/>
        </w:rPr>
        <w:t> </w:t>
      </w:r>
      <w:r>
        <w:rPr/>
        <w:t>Norfolk,</w:t>
      </w:r>
      <w:r>
        <w:rPr>
          <w:spacing w:val="-6"/>
        </w:rPr>
        <w:t> </w:t>
      </w:r>
      <w:r>
        <w:rPr/>
        <w:t>VA;</w:t>
      </w:r>
      <w:r>
        <w:rPr>
          <w:spacing w:val="-4"/>
        </w:rPr>
        <w:t> </w:t>
      </w:r>
      <w:r>
        <w:rPr/>
        <w:t>Owner</w:t>
      </w:r>
      <w:r>
        <w:rPr>
          <w:spacing w:val="-5"/>
        </w:rPr>
        <w:t> </w:t>
      </w:r>
      <w:r>
        <w:rPr/>
        <w:t>/</w:t>
      </w:r>
      <w:r>
        <w:rPr>
          <w:spacing w:val="-6"/>
        </w:rPr>
        <w:t> </w:t>
      </w:r>
      <w:r>
        <w:rPr>
          <w:spacing w:val="-2"/>
        </w:rPr>
        <w:t>Director</w:t>
      </w:r>
    </w:p>
    <w:p>
      <w:pPr>
        <w:pStyle w:val="BodyText"/>
        <w:tabs>
          <w:tab w:pos="2599" w:val="left" w:leader="none"/>
        </w:tabs>
        <w:spacing w:line="229" w:lineRule="exact" w:before="1"/>
        <w:ind w:left="1160"/>
      </w:pPr>
      <w:r>
        <w:rPr/>
        <w:t>2000</w:t>
      </w:r>
      <w:r>
        <w:rPr>
          <w:spacing w:val="-4"/>
        </w:rPr>
        <w:t> </w:t>
      </w:r>
      <w:r>
        <w:rPr/>
        <w:t>-</w:t>
      </w:r>
      <w:r>
        <w:rPr>
          <w:spacing w:val="-4"/>
        </w:rPr>
        <w:t> 2001</w:t>
      </w:r>
      <w:r>
        <w:rPr/>
        <w:tab/>
        <w:t>Via</w:t>
      </w:r>
      <w:r>
        <w:rPr>
          <w:spacing w:val="-7"/>
        </w:rPr>
        <w:t> </w:t>
      </w:r>
      <w:r>
        <w:rPr/>
        <w:t>Design</w:t>
      </w:r>
      <w:r>
        <w:rPr>
          <w:spacing w:val="-6"/>
        </w:rPr>
        <w:t> </w:t>
      </w:r>
      <w:r>
        <w:rPr/>
        <w:t>Architects</w:t>
      </w:r>
      <w:r>
        <w:rPr>
          <w:spacing w:val="-6"/>
        </w:rPr>
        <w:t> </w:t>
      </w:r>
      <w:r>
        <w:rPr/>
        <w:t>P.C.,</w:t>
      </w:r>
      <w:r>
        <w:rPr>
          <w:spacing w:val="-7"/>
        </w:rPr>
        <w:t> </w:t>
      </w:r>
      <w:r>
        <w:rPr/>
        <w:t>Norfolk,</w:t>
      </w:r>
      <w:r>
        <w:rPr>
          <w:spacing w:val="-7"/>
        </w:rPr>
        <w:t> </w:t>
      </w:r>
      <w:r>
        <w:rPr/>
        <w:t>VA;</w:t>
      </w:r>
      <w:r>
        <w:rPr>
          <w:spacing w:val="-6"/>
        </w:rPr>
        <w:t> </w:t>
      </w:r>
      <w:r>
        <w:rPr/>
        <w:t>Project</w:t>
      </w:r>
      <w:r>
        <w:rPr>
          <w:spacing w:val="-8"/>
        </w:rPr>
        <w:t> </w:t>
      </w:r>
      <w:r>
        <w:rPr>
          <w:spacing w:val="-2"/>
        </w:rPr>
        <w:t>Architect</w:t>
      </w:r>
    </w:p>
    <w:p>
      <w:pPr>
        <w:pStyle w:val="BodyText"/>
        <w:tabs>
          <w:tab w:pos="2599" w:val="left" w:leader="none"/>
        </w:tabs>
        <w:ind w:left="1159" w:right="762"/>
      </w:pPr>
      <w:r>
        <w:rPr/>
        <w:t>1994 - 2000</w:t>
        <w:tab/>
        <w:t>Calloway,</w:t>
      </w:r>
      <w:r>
        <w:rPr>
          <w:spacing w:val="-4"/>
        </w:rPr>
        <w:t> </w:t>
      </w:r>
      <w:r>
        <w:rPr/>
        <w:t>Johnson,</w:t>
      </w:r>
      <w:r>
        <w:rPr>
          <w:spacing w:val="-4"/>
        </w:rPr>
        <w:t> </w:t>
      </w:r>
      <w:r>
        <w:rPr/>
        <w:t>Moore</w:t>
      </w:r>
      <w:r>
        <w:rPr>
          <w:spacing w:val="-2"/>
        </w:rPr>
        <w:t> </w:t>
      </w:r>
      <w:r>
        <w:rPr/>
        <w:t>and</w:t>
      </w:r>
      <w:r>
        <w:rPr>
          <w:spacing w:val="-7"/>
        </w:rPr>
        <w:t> </w:t>
      </w:r>
      <w:r>
        <w:rPr/>
        <w:t>West,</w:t>
      </w:r>
      <w:r>
        <w:rPr>
          <w:spacing w:val="-4"/>
        </w:rPr>
        <w:t> </w:t>
      </w:r>
      <w:r>
        <w:rPr/>
        <w:t>P.A.,</w:t>
      </w:r>
      <w:r>
        <w:rPr>
          <w:spacing w:val="-6"/>
        </w:rPr>
        <w:t> </w:t>
      </w:r>
      <w:r>
        <w:rPr/>
        <w:t>Winston</w:t>
      </w:r>
      <w:r>
        <w:rPr>
          <w:spacing w:val="-4"/>
        </w:rPr>
        <w:t> </w:t>
      </w:r>
      <w:r>
        <w:rPr/>
        <w:t>Salem,</w:t>
      </w:r>
      <w:r>
        <w:rPr>
          <w:spacing w:val="-4"/>
        </w:rPr>
        <w:t> </w:t>
      </w:r>
      <w:r>
        <w:rPr/>
        <w:t>NC,</w:t>
      </w:r>
      <w:r>
        <w:rPr>
          <w:spacing w:val="-4"/>
        </w:rPr>
        <w:t> </w:t>
      </w:r>
      <w:r>
        <w:rPr/>
        <w:t>Intern</w:t>
      </w:r>
      <w:r>
        <w:rPr>
          <w:spacing w:val="-4"/>
        </w:rPr>
        <w:t> </w:t>
      </w:r>
      <w:r>
        <w:rPr/>
        <w:t>Architect 1990 - 1991</w:t>
        <w:tab/>
        <w:t>Ink-A-Dinka, Inc., New York, NY; Graphic Designer</w:t>
      </w:r>
    </w:p>
    <w:p>
      <w:pPr>
        <w:pStyle w:val="BodyText"/>
        <w:tabs>
          <w:tab w:pos="2598" w:val="left" w:leader="none"/>
        </w:tabs>
        <w:ind w:left="1159"/>
      </w:pPr>
      <w:r>
        <w:rPr/>
        <w:t>1989</w:t>
      </w:r>
      <w:r>
        <w:rPr>
          <w:spacing w:val="-4"/>
        </w:rPr>
        <w:t> </w:t>
      </w:r>
      <w:r>
        <w:rPr/>
        <w:t>-</w:t>
      </w:r>
      <w:r>
        <w:rPr>
          <w:spacing w:val="-4"/>
        </w:rPr>
        <w:t> 1990</w:t>
      </w:r>
      <w:r>
        <w:rPr/>
        <w:tab/>
        <w:t>Jim</w:t>
      </w:r>
      <w:r>
        <w:rPr>
          <w:spacing w:val="-9"/>
        </w:rPr>
        <w:t> </w:t>
      </w:r>
      <w:r>
        <w:rPr/>
        <w:t>Williams</w:t>
      </w:r>
      <w:r>
        <w:rPr>
          <w:spacing w:val="-5"/>
        </w:rPr>
        <w:t> </w:t>
      </w:r>
      <w:r>
        <w:rPr/>
        <w:t>and</w:t>
      </w:r>
      <w:r>
        <w:rPr>
          <w:spacing w:val="-6"/>
        </w:rPr>
        <w:t> </w:t>
      </w:r>
      <w:r>
        <w:rPr/>
        <w:t>Associates,</w:t>
      </w:r>
      <w:r>
        <w:rPr>
          <w:spacing w:val="-6"/>
        </w:rPr>
        <w:t> </w:t>
      </w:r>
      <w:r>
        <w:rPr/>
        <w:t>New</w:t>
      </w:r>
      <w:r>
        <w:rPr>
          <w:spacing w:val="-6"/>
        </w:rPr>
        <w:t> </w:t>
      </w:r>
      <w:r>
        <w:rPr/>
        <w:t>York,</w:t>
      </w:r>
      <w:r>
        <w:rPr>
          <w:spacing w:val="-6"/>
        </w:rPr>
        <w:t> </w:t>
      </w:r>
      <w:r>
        <w:rPr/>
        <w:t>NY;</w:t>
      </w:r>
      <w:r>
        <w:rPr>
          <w:spacing w:val="-4"/>
        </w:rPr>
        <w:t> </w:t>
      </w:r>
      <w:r>
        <w:rPr/>
        <w:t>Package</w:t>
      </w:r>
      <w:r>
        <w:rPr>
          <w:spacing w:val="-6"/>
        </w:rPr>
        <w:t> </w:t>
      </w:r>
      <w:r>
        <w:rPr>
          <w:spacing w:val="-2"/>
        </w:rPr>
        <w:t>Designer</w:t>
      </w:r>
    </w:p>
    <w:p>
      <w:pPr>
        <w:pStyle w:val="BodyText"/>
        <w:spacing w:before="4"/>
        <w:rPr>
          <w:sz w:val="17"/>
        </w:rPr>
      </w:pPr>
    </w:p>
    <w:p>
      <w:pPr>
        <w:spacing w:before="0"/>
        <w:ind w:left="438" w:right="0" w:firstLine="0"/>
        <w:jc w:val="left"/>
        <w:rPr>
          <w:b/>
          <w:sz w:val="20"/>
        </w:rPr>
      </w:pPr>
      <w:r>
        <w:rPr>
          <w:b/>
          <w:sz w:val="20"/>
        </w:rPr>
        <w:t>Licenses</w:t>
      </w:r>
      <w:r>
        <w:rPr>
          <w:b/>
          <w:spacing w:val="-7"/>
          <w:sz w:val="20"/>
        </w:rPr>
        <w:t> </w:t>
      </w:r>
      <w:r>
        <w:rPr>
          <w:b/>
          <w:sz w:val="20"/>
        </w:rPr>
        <w:t>/</w:t>
      </w:r>
      <w:r>
        <w:rPr>
          <w:b/>
          <w:spacing w:val="-7"/>
          <w:sz w:val="20"/>
        </w:rPr>
        <w:t> </w:t>
      </w:r>
      <w:r>
        <w:rPr>
          <w:b/>
          <w:spacing w:val="-2"/>
          <w:sz w:val="20"/>
        </w:rPr>
        <w:t>Registrations:</w:t>
      </w:r>
    </w:p>
    <w:p>
      <w:pPr>
        <w:pStyle w:val="BodyText"/>
        <w:ind w:left="1158"/>
      </w:pPr>
      <w:r>
        <w:rPr/>
        <w:t>Commonwealth</w:t>
      </w:r>
      <w:r>
        <w:rPr>
          <w:spacing w:val="-11"/>
        </w:rPr>
        <w:t> </w:t>
      </w:r>
      <w:r>
        <w:rPr/>
        <w:t>of</w:t>
      </w:r>
      <w:r>
        <w:rPr>
          <w:spacing w:val="-8"/>
        </w:rPr>
        <w:t> </w:t>
      </w:r>
      <w:r>
        <w:rPr/>
        <w:t>Virginia</w:t>
      </w:r>
      <w:r>
        <w:rPr>
          <w:spacing w:val="-8"/>
        </w:rPr>
        <w:t> </w:t>
      </w:r>
      <w:r>
        <w:rPr/>
        <w:t>Architect,</w:t>
      </w:r>
      <w:r>
        <w:rPr>
          <w:spacing w:val="-9"/>
        </w:rPr>
        <w:t> </w:t>
      </w:r>
      <w:r>
        <w:rPr/>
        <w:t>License</w:t>
      </w:r>
      <w:r>
        <w:rPr>
          <w:spacing w:val="-10"/>
        </w:rPr>
        <w:t> </w:t>
      </w:r>
      <w:r>
        <w:rPr>
          <w:spacing w:val="-2"/>
        </w:rPr>
        <w:t>#0401013199</w:t>
      </w:r>
    </w:p>
    <w:p>
      <w:pPr>
        <w:pStyle w:val="BodyText"/>
        <w:spacing w:before="1"/>
        <w:ind w:left="798"/>
      </w:pPr>
      <w:r>
        <w:rPr/>
        <w:t>National</w:t>
      </w:r>
      <w:r>
        <w:rPr>
          <w:spacing w:val="-11"/>
        </w:rPr>
        <w:t> </w:t>
      </w:r>
      <w:r>
        <w:rPr/>
        <w:t>Council</w:t>
      </w:r>
      <w:r>
        <w:rPr>
          <w:spacing w:val="-11"/>
        </w:rPr>
        <w:t> </w:t>
      </w:r>
      <w:r>
        <w:rPr/>
        <w:t>of</w:t>
      </w:r>
      <w:r>
        <w:rPr>
          <w:spacing w:val="-8"/>
        </w:rPr>
        <w:t> </w:t>
      </w:r>
      <w:r>
        <w:rPr/>
        <w:t>Architectural</w:t>
      </w:r>
      <w:r>
        <w:rPr>
          <w:spacing w:val="-11"/>
        </w:rPr>
        <w:t> </w:t>
      </w:r>
      <w:r>
        <w:rPr/>
        <w:t>Registration</w:t>
      </w:r>
      <w:r>
        <w:rPr>
          <w:spacing w:val="-10"/>
        </w:rPr>
        <w:t> </w:t>
      </w:r>
      <w:r>
        <w:rPr/>
        <w:t>Boards</w:t>
      </w:r>
      <w:r>
        <w:rPr>
          <w:spacing w:val="-6"/>
        </w:rPr>
        <w:t> </w:t>
      </w:r>
      <w:r>
        <w:rPr/>
        <w:t>Certified,</w:t>
      </w:r>
      <w:r>
        <w:rPr>
          <w:spacing w:val="-8"/>
        </w:rPr>
        <w:t> </w:t>
      </w:r>
      <w:r>
        <w:rPr/>
        <w:t>Certificate</w:t>
      </w:r>
      <w:r>
        <w:rPr>
          <w:spacing w:val="-10"/>
        </w:rPr>
        <w:t> </w:t>
      </w:r>
      <w:r>
        <w:rPr>
          <w:spacing w:val="-2"/>
        </w:rPr>
        <w:t>#59675</w:t>
      </w:r>
    </w:p>
    <w:p>
      <w:pPr>
        <w:pStyle w:val="BodyText"/>
        <w:spacing w:before="4"/>
        <w:rPr>
          <w:sz w:val="17"/>
        </w:rPr>
      </w:pPr>
    </w:p>
    <w:p>
      <w:pPr>
        <w:spacing w:before="0"/>
        <w:ind w:left="438" w:right="0" w:firstLine="0"/>
        <w:jc w:val="left"/>
        <w:rPr>
          <w:b/>
          <w:sz w:val="20"/>
        </w:rPr>
      </w:pPr>
      <w:r>
        <w:rPr>
          <w:b/>
          <w:spacing w:val="-2"/>
          <w:sz w:val="20"/>
        </w:rPr>
        <w:t>Professional</w:t>
      </w:r>
      <w:r>
        <w:rPr>
          <w:b/>
          <w:spacing w:val="5"/>
          <w:sz w:val="20"/>
        </w:rPr>
        <w:t> </w:t>
      </w:r>
      <w:r>
        <w:rPr>
          <w:b/>
          <w:spacing w:val="-2"/>
          <w:sz w:val="20"/>
        </w:rPr>
        <w:t>Memberships:</w:t>
      </w:r>
    </w:p>
    <w:p>
      <w:pPr>
        <w:pStyle w:val="BodyText"/>
        <w:ind w:left="1158" w:right="5582"/>
      </w:pPr>
      <w:r>
        <w:rPr/>
        <w:t>Building</w:t>
      </w:r>
      <w:r>
        <w:rPr>
          <w:spacing w:val="-13"/>
        </w:rPr>
        <w:t> </w:t>
      </w:r>
      <w:r>
        <w:rPr/>
        <w:t>Technology</w:t>
      </w:r>
      <w:r>
        <w:rPr>
          <w:spacing w:val="-14"/>
        </w:rPr>
        <w:t> </w:t>
      </w:r>
      <w:r>
        <w:rPr/>
        <w:t>Educators</w:t>
      </w:r>
      <w:r>
        <w:rPr>
          <w:spacing w:val="-11"/>
        </w:rPr>
        <w:t> </w:t>
      </w:r>
      <w:r>
        <w:rPr/>
        <w:t>Society Tau Sigma Delta, Beta Delta Chapter</w:t>
      </w:r>
    </w:p>
    <w:p>
      <w:pPr>
        <w:pStyle w:val="BodyText"/>
        <w:spacing w:before="5"/>
        <w:rPr>
          <w:sz w:val="17"/>
        </w:rPr>
      </w:pPr>
    </w:p>
    <w:p>
      <w:pPr>
        <w:spacing w:before="0"/>
        <w:ind w:left="438" w:right="0" w:firstLine="0"/>
        <w:jc w:val="left"/>
        <w:rPr>
          <w:b/>
          <w:sz w:val="20"/>
        </w:rPr>
      </w:pPr>
      <w:r>
        <w:rPr>
          <w:b/>
          <w:sz w:val="20"/>
        </w:rPr>
        <w:t>Professional</w:t>
      </w:r>
      <w:r>
        <w:rPr>
          <w:b/>
          <w:spacing w:val="-11"/>
          <w:sz w:val="20"/>
        </w:rPr>
        <w:t> </w:t>
      </w:r>
      <w:r>
        <w:rPr>
          <w:b/>
          <w:sz w:val="20"/>
        </w:rPr>
        <w:t>Development</w:t>
      </w:r>
      <w:r>
        <w:rPr>
          <w:b/>
          <w:spacing w:val="-10"/>
          <w:sz w:val="20"/>
        </w:rPr>
        <w:t> </w:t>
      </w:r>
      <w:r>
        <w:rPr>
          <w:b/>
          <w:sz w:val="20"/>
        </w:rPr>
        <w:t>&amp;</w:t>
      </w:r>
      <w:r>
        <w:rPr>
          <w:b/>
          <w:spacing w:val="-10"/>
          <w:sz w:val="20"/>
        </w:rPr>
        <w:t> </w:t>
      </w:r>
      <w:r>
        <w:rPr>
          <w:b/>
          <w:spacing w:val="-2"/>
          <w:sz w:val="20"/>
        </w:rPr>
        <w:t>Research</w:t>
      </w:r>
    </w:p>
    <w:p>
      <w:pPr>
        <w:pStyle w:val="BodyText"/>
        <w:spacing w:before="2" w:after="1"/>
        <w:rPr>
          <w:b/>
          <w:sz w:val="18"/>
        </w:rPr>
      </w:pPr>
    </w:p>
    <w:tbl>
      <w:tblPr>
        <w:tblW w:w="0" w:type="auto"/>
        <w:jc w:val="left"/>
        <w:tblInd w:w="1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1"/>
        <w:gridCol w:w="7901"/>
      </w:tblGrid>
      <w:tr>
        <w:trPr>
          <w:trHeight w:val="225" w:hRule="atLeast"/>
        </w:trPr>
        <w:tc>
          <w:tcPr>
            <w:tcW w:w="631" w:type="dxa"/>
          </w:tcPr>
          <w:p>
            <w:pPr>
              <w:pStyle w:val="TableParagraph"/>
              <w:spacing w:line="205" w:lineRule="exact"/>
              <w:ind w:left="37" w:right="124"/>
              <w:jc w:val="center"/>
              <w:rPr>
                <w:sz w:val="20"/>
              </w:rPr>
            </w:pPr>
            <w:r>
              <w:rPr>
                <w:spacing w:val="-4"/>
                <w:sz w:val="20"/>
              </w:rPr>
              <w:t>2013</w:t>
            </w:r>
          </w:p>
        </w:tc>
        <w:tc>
          <w:tcPr>
            <w:tcW w:w="7901" w:type="dxa"/>
          </w:tcPr>
          <w:p>
            <w:pPr>
              <w:pStyle w:val="TableParagraph"/>
              <w:spacing w:line="205" w:lineRule="exact"/>
              <w:ind w:left="139"/>
              <w:rPr>
                <w:sz w:val="20"/>
              </w:rPr>
            </w:pPr>
            <w:r>
              <w:rPr>
                <w:sz w:val="20"/>
              </w:rPr>
              <w:t>United</w:t>
            </w:r>
            <w:r>
              <w:rPr>
                <w:spacing w:val="-7"/>
                <w:sz w:val="20"/>
              </w:rPr>
              <w:t> </w:t>
            </w:r>
            <w:r>
              <w:rPr>
                <w:sz w:val="20"/>
              </w:rPr>
              <w:t>States</w:t>
            </w:r>
            <w:r>
              <w:rPr>
                <w:spacing w:val="-7"/>
                <w:sz w:val="20"/>
              </w:rPr>
              <w:t> </w:t>
            </w:r>
            <w:r>
              <w:rPr>
                <w:sz w:val="20"/>
              </w:rPr>
              <w:t>Department</w:t>
            </w:r>
            <w:r>
              <w:rPr>
                <w:spacing w:val="-9"/>
                <w:sz w:val="20"/>
              </w:rPr>
              <w:t> </w:t>
            </w:r>
            <w:r>
              <w:rPr>
                <w:sz w:val="20"/>
              </w:rPr>
              <w:t>of</w:t>
            </w:r>
            <w:r>
              <w:rPr>
                <w:spacing w:val="-7"/>
                <w:sz w:val="20"/>
              </w:rPr>
              <w:t> </w:t>
            </w:r>
            <w:r>
              <w:rPr>
                <w:sz w:val="20"/>
              </w:rPr>
              <w:t>Energy,</w:t>
            </w:r>
            <w:r>
              <w:rPr>
                <w:spacing w:val="-6"/>
                <w:sz w:val="20"/>
              </w:rPr>
              <w:t> </w:t>
            </w:r>
            <w:r>
              <w:rPr>
                <w:sz w:val="20"/>
              </w:rPr>
              <w:t>Solar</w:t>
            </w:r>
            <w:r>
              <w:rPr>
                <w:spacing w:val="-8"/>
                <w:sz w:val="20"/>
              </w:rPr>
              <w:t> </w:t>
            </w:r>
            <w:r>
              <w:rPr>
                <w:sz w:val="20"/>
              </w:rPr>
              <w:t>Decathlon</w:t>
            </w:r>
            <w:r>
              <w:rPr>
                <w:spacing w:val="-7"/>
                <w:sz w:val="20"/>
              </w:rPr>
              <w:t> </w:t>
            </w:r>
            <w:r>
              <w:rPr>
                <w:sz w:val="20"/>
              </w:rPr>
              <w:t>2013,</w:t>
            </w:r>
            <w:r>
              <w:rPr>
                <w:spacing w:val="-8"/>
                <w:sz w:val="20"/>
              </w:rPr>
              <w:t> </w:t>
            </w:r>
            <w:r>
              <w:rPr>
                <w:sz w:val="20"/>
              </w:rPr>
              <w:t>“Team</w:t>
            </w:r>
            <w:r>
              <w:rPr>
                <w:spacing w:val="-4"/>
                <w:sz w:val="20"/>
              </w:rPr>
              <w:t> </w:t>
            </w:r>
            <w:r>
              <w:rPr>
                <w:sz w:val="20"/>
              </w:rPr>
              <w:t>Tidewater</w:t>
            </w:r>
            <w:r>
              <w:rPr>
                <w:spacing w:val="-8"/>
                <w:sz w:val="20"/>
              </w:rPr>
              <w:t> </w:t>
            </w:r>
            <w:r>
              <w:rPr>
                <w:sz w:val="20"/>
              </w:rPr>
              <w:t>Virginia</w:t>
            </w:r>
            <w:r>
              <w:rPr>
                <w:spacing w:val="-9"/>
                <w:sz w:val="20"/>
              </w:rPr>
              <w:t> </w:t>
            </w:r>
            <w:r>
              <w:rPr>
                <w:spacing w:val="-10"/>
                <w:sz w:val="20"/>
              </w:rPr>
              <w:t>-</w:t>
            </w:r>
          </w:p>
        </w:tc>
      </w:tr>
      <w:tr>
        <w:trPr>
          <w:trHeight w:val="229" w:hRule="atLeast"/>
        </w:trPr>
        <w:tc>
          <w:tcPr>
            <w:tcW w:w="631" w:type="dxa"/>
          </w:tcPr>
          <w:p>
            <w:pPr>
              <w:pStyle w:val="TableParagraph"/>
              <w:rPr>
                <w:rFonts w:ascii="Times New Roman"/>
                <w:sz w:val="16"/>
              </w:rPr>
            </w:pPr>
          </w:p>
        </w:tc>
        <w:tc>
          <w:tcPr>
            <w:tcW w:w="7901" w:type="dxa"/>
          </w:tcPr>
          <w:p>
            <w:pPr>
              <w:pStyle w:val="TableParagraph"/>
              <w:spacing w:line="209" w:lineRule="exact"/>
              <w:ind w:left="138"/>
              <w:rPr>
                <w:sz w:val="20"/>
              </w:rPr>
            </w:pPr>
            <w:r>
              <w:rPr>
                <w:sz w:val="20"/>
              </w:rPr>
              <w:t>Canopy</w:t>
            </w:r>
            <w:r>
              <w:rPr>
                <w:spacing w:val="-9"/>
                <w:sz w:val="20"/>
              </w:rPr>
              <w:t> </w:t>
            </w:r>
            <w:r>
              <w:rPr>
                <w:sz w:val="20"/>
              </w:rPr>
              <w:t>House”,</w:t>
            </w:r>
            <w:r>
              <w:rPr>
                <w:spacing w:val="-6"/>
                <w:sz w:val="20"/>
              </w:rPr>
              <w:t> </w:t>
            </w:r>
            <w:r>
              <w:rPr>
                <w:spacing w:val="-2"/>
                <w:sz w:val="20"/>
              </w:rPr>
              <w:t>$100,000</w:t>
            </w:r>
          </w:p>
        </w:tc>
      </w:tr>
      <w:tr>
        <w:trPr>
          <w:trHeight w:val="229" w:hRule="atLeast"/>
        </w:trPr>
        <w:tc>
          <w:tcPr>
            <w:tcW w:w="631" w:type="dxa"/>
          </w:tcPr>
          <w:p>
            <w:pPr>
              <w:pStyle w:val="TableParagraph"/>
              <w:spacing w:line="209" w:lineRule="exact"/>
              <w:ind w:left="37" w:right="124"/>
              <w:jc w:val="center"/>
              <w:rPr>
                <w:sz w:val="20"/>
              </w:rPr>
            </w:pPr>
            <w:r>
              <w:rPr>
                <w:spacing w:val="-4"/>
                <w:sz w:val="20"/>
              </w:rPr>
              <w:t>2011</w:t>
            </w:r>
          </w:p>
        </w:tc>
        <w:tc>
          <w:tcPr>
            <w:tcW w:w="7901" w:type="dxa"/>
          </w:tcPr>
          <w:p>
            <w:pPr>
              <w:pStyle w:val="TableParagraph"/>
              <w:spacing w:line="209" w:lineRule="exact"/>
              <w:ind w:left="139"/>
              <w:rPr>
                <w:sz w:val="20"/>
              </w:rPr>
            </w:pPr>
            <w:r>
              <w:rPr>
                <w:sz w:val="20"/>
              </w:rPr>
              <w:t>United</w:t>
            </w:r>
            <w:r>
              <w:rPr>
                <w:spacing w:val="-7"/>
                <w:sz w:val="20"/>
              </w:rPr>
              <w:t> </w:t>
            </w:r>
            <w:r>
              <w:rPr>
                <w:sz w:val="20"/>
              </w:rPr>
              <w:t>States</w:t>
            </w:r>
            <w:r>
              <w:rPr>
                <w:spacing w:val="-8"/>
                <w:sz w:val="20"/>
              </w:rPr>
              <w:t> </w:t>
            </w:r>
            <w:r>
              <w:rPr>
                <w:sz w:val="20"/>
              </w:rPr>
              <w:t>Department</w:t>
            </w:r>
            <w:r>
              <w:rPr>
                <w:spacing w:val="-9"/>
                <w:sz w:val="20"/>
              </w:rPr>
              <w:t> </w:t>
            </w:r>
            <w:r>
              <w:rPr>
                <w:sz w:val="20"/>
              </w:rPr>
              <w:t>of</w:t>
            </w:r>
            <w:r>
              <w:rPr>
                <w:spacing w:val="-6"/>
                <w:sz w:val="20"/>
              </w:rPr>
              <w:t> </w:t>
            </w:r>
            <w:r>
              <w:rPr>
                <w:sz w:val="20"/>
              </w:rPr>
              <w:t>Energy,</w:t>
            </w:r>
            <w:r>
              <w:rPr>
                <w:spacing w:val="-7"/>
                <w:sz w:val="20"/>
              </w:rPr>
              <w:t> </w:t>
            </w:r>
            <w:r>
              <w:rPr>
                <w:sz w:val="20"/>
              </w:rPr>
              <w:t>Solar</w:t>
            </w:r>
            <w:r>
              <w:rPr>
                <w:spacing w:val="-8"/>
                <w:sz w:val="20"/>
              </w:rPr>
              <w:t> </w:t>
            </w:r>
            <w:r>
              <w:rPr>
                <w:sz w:val="20"/>
              </w:rPr>
              <w:t>Decathlon</w:t>
            </w:r>
            <w:r>
              <w:rPr>
                <w:spacing w:val="-7"/>
                <w:sz w:val="20"/>
              </w:rPr>
              <w:t> </w:t>
            </w:r>
            <w:r>
              <w:rPr>
                <w:sz w:val="20"/>
              </w:rPr>
              <w:t>2011,</w:t>
            </w:r>
            <w:r>
              <w:rPr>
                <w:spacing w:val="-8"/>
                <w:sz w:val="20"/>
              </w:rPr>
              <w:t> </w:t>
            </w:r>
            <w:r>
              <w:rPr>
                <w:sz w:val="20"/>
              </w:rPr>
              <w:t>“Team</w:t>
            </w:r>
            <w:r>
              <w:rPr>
                <w:spacing w:val="-5"/>
                <w:sz w:val="20"/>
              </w:rPr>
              <w:t> </w:t>
            </w:r>
            <w:r>
              <w:rPr>
                <w:sz w:val="20"/>
              </w:rPr>
              <w:t>Tidewater</w:t>
            </w:r>
            <w:r>
              <w:rPr>
                <w:spacing w:val="-7"/>
                <w:sz w:val="20"/>
              </w:rPr>
              <w:t> </w:t>
            </w:r>
            <w:r>
              <w:rPr>
                <w:sz w:val="20"/>
              </w:rPr>
              <w:t>Virginia</w:t>
            </w:r>
            <w:r>
              <w:rPr>
                <w:spacing w:val="-9"/>
                <w:sz w:val="20"/>
              </w:rPr>
              <w:t> </w:t>
            </w:r>
            <w:r>
              <w:rPr>
                <w:spacing w:val="-10"/>
                <w:sz w:val="20"/>
              </w:rPr>
              <w:t>-</w:t>
            </w:r>
          </w:p>
        </w:tc>
      </w:tr>
      <w:tr>
        <w:trPr>
          <w:trHeight w:val="229" w:hRule="atLeast"/>
        </w:trPr>
        <w:tc>
          <w:tcPr>
            <w:tcW w:w="631" w:type="dxa"/>
          </w:tcPr>
          <w:p>
            <w:pPr>
              <w:pStyle w:val="TableParagraph"/>
              <w:rPr>
                <w:rFonts w:ascii="Times New Roman"/>
                <w:sz w:val="16"/>
              </w:rPr>
            </w:pPr>
          </w:p>
        </w:tc>
        <w:tc>
          <w:tcPr>
            <w:tcW w:w="7901" w:type="dxa"/>
          </w:tcPr>
          <w:p>
            <w:pPr>
              <w:pStyle w:val="TableParagraph"/>
              <w:spacing w:line="209" w:lineRule="exact"/>
              <w:ind w:left="138"/>
              <w:rPr>
                <w:sz w:val="20"/>
              </w:rPr>
            </w:pPr>
            <w:r>
              <w:rPr>
                <w:sz w:val="20"/>
              </w:rPr>
              <w:t>Unit</w:t>
            </w:r>
            <w:r>
              <w:rPr>
                <w:spacing w:val="-5"/>
                <w:sz w:val="20"/>
              </w:rPr>
              <w:t> </w:t>
            </w:r>
            <w:r>
              <w:rPr>
                <w:sz w:val="20"/>
              </w:rPr>
              <w:t>6”,</w:t>
            </w:r>
            <w:r>
              <w:rPr>
                <w:spacing w:val="-5"/>
                <w:sz w:val="20"/>
              </w:rPr>
              <w:t> </w:t>
            </w:r>
            <w:r>
              <w:rPr>
                <w:spacing w:val="-2"/>
                <w:sz w:val="20"/>
              </w:rPr>
              <w:t>$50,000</w:t>
            </w:r>
          </w:p>
        </w:tc>
      </w:tr>
      <w:tr>
        <w:trPr>
          <w:trHeight w:val="226" w:hRule="atLeast"/>
        </w:trPr>
        <w:tc>
          <w:tcPr>
            <w:tcW w:w="631" w:type="dxa"/>
          </w:tcPr>
          <w:p>
            <w:pPr>
              <w:pStyle w:val="TableParagraph"/>
              <w:spacing w:line="207" w:lineRule="exact"/>
              <w:ind w:left="37" w:right="124"/>
              <w:jc w:val="center"/>
              <w:rPr>
                <w:sz w:val="20"/>
              </w:rPr>
            </w:pPr>
            <w:r>
              <w:rPr>
                <w:spacing w:val="-4"/>
                <w:sz w:val="20"/>
              </w:rPr>
              <w:t>2007</w:t>
            </w:r>
          </w:p>
        </w:tc>
        <w:tc>
          <w:tcPr>
            <w:tcW w:w="7901" w:type="dxa"/>
          </w:tcPr>
          <w:p>
            <w:pPr>
              <w:pStyle w:val="TableParagraph"/>
              <w:spacing w:line="207" w:lineRule="exact"/>
              <w:ind w:left="139"/>
              <w:rPr>
                <w:sz w:val="20"/>
              </w:rPr>
            </w:pPr>
            <w:r>
              <w:rPr>
                <w:sz w:val="20"/>
              </w:rPr>
              <w:t>Hampton</w:t>
            </w:r>
            <w:r>
              <w:rPr>
                <w:spacing w:val="-9"/>
                <w:sz w:val="20"/>
              </w:rPr>
              <w:t> </w:t>
            </w:r>
            <w:r>
              <w:rPr>
                <w:sz w:val="20"/>
              </w:rPr>
              <w:t>University</w:t>
            </w:r>
            <w:r>
              <w:rPr>
                <w:spacing w:val="-12"/>
                <w:sz w:val="20"/>
              </w:rPr>
              <w:t> </w:t>
            </w:r>
            <w:r>
              <w:rPr>
                <w:sz w:val="20"/>
              </w:rPr>
              <w:t>Faculty</w:t>
            </w:r>
            <w:r>
              <w:rPr>
                <w:spacing w:val="-9"/>
                <w:sz w:val="20"/>
              </w:rPr>
              <w:t> </w:t>
            </w:r>
            <w:r>
              <w:rPr>
                <w:sz w:val="20"/>
              </w:rPr>
              <w:t>Research</w:t>
            </w:r>
            <w:r>
              <w:rPr>
                <w:spacing w:val="-9"/>
                <w:sz w:val="20"/>
              </w:rPr>
              <w:t> </w:t>
            </w:r>
            <w:r>
              <w:rPr>
                <w:sz w:val="20"/>
              </w:rPr>
              <w:t>Grant,</w:t>
            </w:r>
            <w:r>
              <w:rPr>
                <w:spacing w:val="-9"/>
                <w:sz w:val="20"/>
              </w:rPr>
              <w:t> </w:t>
            </w:r>
            <w:r>
              <w:rPr>
                <w:sz w:val="20"/>
              </w:rPr>
              <w:t>$5,000,</w:t>
            </w:r>
            <w:r>
              <w:rPr>
                <w:spacing w:val="-7"/>
                <w:sz w:val="20"/>
              </w:rPr>
              <w:t> </w:t>
            </w:r>
            <w:r>
              <w:rPr>
                <w:sz w:val="20"/>
              </w:rPr>
              <w:t>“Revironments,</w:t>
            </w:r>
            <w:r>
              <w:rPr>
                <w:spacing w:val="-9"/>
                <w:sz w:val="20"/>
              </w:rPr>
              <w:t> </w:t>
            </w:r>
            <w:r>
              <w:rPr>
                <w:sz w:val="20"/>
              </w:rPr>
              <w:t>Domains</w:t>
            </w:r>
            <w:r>
              <w:rPr>
                <w:spacing w:val="-8"/>
                <w:sz w:val="20"/>
              </w:rPr>
              <w:t> </w:t>
            </w:r>
            <w:r>
              <w:rPr>
                <w:spacing w:val="-4"/>
                <w:sz w:val="20"/>
              </w:rPr>
              <w:t>from</w:t>
            </w:r>
          </w:p>
        </w:tc>
      </w:tr>
    </w:tbl>
    <w:p>
      <w:pPr>
        <w:pStyle w:val="BodyText"/>
        <w:tabs>
          <w:tab w:pos="6558" w:val="left" w:leader="none"/>
        </w:tabs>
        <w:spacing w:before="2"/>
        <w:ind w:left="1878" w:right="1083"/>
      </w:pPr>
      <w:r>
        <w:rPr/>
        <w:t>Disaster” (Research on the reuse of shipping and</w:t>
        <w:tab/>
        <w:t>packaging</w:t>
      </w:r>
      <w:r>
        <w:rPr>
          <w:spacing w:val="-14"/>
        </w:rPr>
        <w:t> </w:t>
      </w:r>
      <w:r>
        <w:rPr/>
        <w:t>products</w:t>
      </w:r>
      <w:r>
        <w:rPr>
          <w:spacing w:val="-14"/>
        </w:rPr>
        <w:t> </w:t>
      </w:r>
      <w:r>
        <w:rPr/>
        <w:t>for</w:t>
      </w:r>
      <w:r>
        <w:rPr>
          <w:spacing w:val="-13"/>
        </w:rPr>
        <w:t> </w:t>
      </w:r>
      <w:r>
        <w:rPr/>
        <w:t>housing products and community infrastructure)</w:t>
      </w:r>
    </w:p>
    <w:p>
      <w:pPr>
        <w:pStyle w:val="BodyText"/>
        <w:tabs>
          <w:tab w:pos="1878" w:val="left" w:leader="none"/>
        </w:tabs>
        <w:spacing w:before="1"/>
        <w:ind w:left="1879" w:right="914" w:hanging="721"/>
      </w:pPr>
      <w:r>
        <w:rPr>
          <w:spacing w:val="-4"/>
        </w:rPr>
        <w:t>2003</w:t>
      </w:r>
      <w:r>
        <w:rPr/>
        <w:tab/>
        <w:t>Association of Collegiate Schools of Architecture, Southeast Regional Collaborative Project Grant, $1,000, “The Colonial Collaborative,” (research on the influence slaves and</w:t>
      </w:r>
      <w:r>
        <w:rPr>
          <w:spacing w:val="-3"/>
        </w:rPr>
        <w:t> </w:t>
      </w:r>
      <w:r>
        <w:rPr/>
        <w:t>underrepresented</w:t>
      </w:r>
      <w:r>
        <w:rPr>
          <w:spacing w:val="-3"/>
        </w:rPr>
        <w:t> </w:t>
      </w:r>
      <w:r>
        <w:rPr/>
        <w:t>immigrants</w:t>
      </w:r>
      <w:r>
        <w:rPr>
          <w:spacing w:val="-4"/>
        </w:rPr>
        <w:t> </w:t>
      </w:r>
      <w:r>
        <w:rPr/>
        <w:t>had</w:t>
      </w:r>
      <w:r>
        <w:rPr>
          <w:spacing w:val="-5"/>
        </w:rPr>
        <w:t> </w:t>
      </w:r>
      <w:r>
        <w:rPr/>
        <w:t>on</w:t>
      </w:r>
      <w:r>
        <w:rPr>
          <w:spacing w:val="-5"/>
        </w:rPr>
        <w:t> </w:t>
      </w:r>
      <w:r>
        <w:rPr/>
        <w:t>the</w:t>
      </w:r>
      <w:r>
        <w:rPr>
          <w:spacing w:val="-5"/>
        </w:rPr>
        <w:t> </w:t>
      </w:r>
      <w:r>
        <w:rPr/>
        <w:t>development</w:t>
      </w:r>
      <w:r>
        <w:rPr>
          <w:spacing w:val="-5"/>
        </w:rPr>
        <w:t> </w:t>
      </w:r>
      <w:r>
        <w:rPr/>
        <w:t>of</w:t>
      </w:r>
      <w:r>
        <w:rPr>
          <w:spacing w:val="-3"/>
        </w:rPr>
        <w:t> </w:t>
      </w:r>
      <w:r>
        <w:rPr/>
        <w:t>the</w:t>
      </w:r>
      <w:r>
        <w:rPr>
          <w:spacing w:val="-5"/>
        </w:rPr>
        <w:t> </w:t>
      </w:r>
      <w:r>
        <w:rPr/>
        <w:t>respected</w:t>
      </w:r>
      <w:r>
        <w:rPr>
          <w:spacing w:val="-5"/>
        </w:rPr>
        <w:t> </w:t>
      </w:r>
      <w:r>
        <w:rPr/>
        <w:t>countries) Collaboration between Departments of Architecture at Hampton University and Polytechnic University of Puerto Rico</w:t>
      </w:r>
    </w:p>
    <w:p>
      <w:pPr>
        <w:spacing w:after="0"/>
        <w:sectPr>
          <w:headerReference w:type="default" r:id="rId267"/>
          <w:footerReference w:type="default" r:id="rId268"/>
          <w:pgSz w:w="12240" w:h="15840"/>
          <w:pgMar w:header="0" w:footer="974" w:top="920" w:bottom="1160" w:left="1000" w:right="820"/>
        </w:sectPr>
      </w:pPr>
    </w:p>
    <w:p>
      <w:pPr>
        <w:spacing w:before="63"/>
        <w:ind w:left="439" w:right="712" w:firstLine="0"/>
        <w:jc w:val="left"/>
        <w:rPr>
          <w:b/>
          <w:sz w:val="20"/>
        </w:rPr>
      </w:pPr>
      <w:r>
        <w:rPr>
          <w:b/>
          <w:sz w:val="20"/>
        </w:rPr>
        <w:t>SÁNCHEZ-DEL-VALLE,</w:t>
      </w:r>
      <w:r>
        <w:rPr>
          <w:b/>
          <w:spacing w:val="-5"/>
          <w:sz w:val="20"/>
        </w:rPr>
        <w:t> </w:t>
      </w:r>
      <w:r>
        <w:rPr>
          <w:b/>
          <w:sz w:val="20"/>
        </w:rPr>
        <w:t>CARMINA,</w:t>
      </w:r>
      <w:r>
        <w:rPr>
          <w:b/>
          <w:spacing w:val="-1"/>
          <w:sz w:val="20"/>
        </w:rPr>
        <w:t> </w:t>
      </w:r>
      <w:r>
        <w:rPr>
          <w:b/>
          <w:sz w:val="20"/>
        </w:rPr>
        <w:t>Arch</w:t>
      </w:r>
      <w:r>
        <w:rPr>
          <w:b/>
          <w:spacing w:val="-6"/>
          <w:sz w:val="20"/>
        </w:rPr>
        <w:t> </w:t>
      </w:r>
      <w:r>
        <w:rPr>
          <w:b/>
          <w:sz w:val="20"/>
        </w:rPr>
        <w:t>D.,</w:t>
      </w:r>
      <w:r>
        <w:rPr>
          <w:b/>
          <w:spacing w:val="-7"/>
          <w:sz w:val="20"/>
        </w:rPr>
        <w:t> </w:t>
      </w:r>
      <w:r>
        <w:rPr>
          <w:b/>
          <w:sz w:val="20"/>
        </w:rPr>
        <w:t>R.A.,</w:t>
      </w:r>
      <w:r>
        <w:rPr>
          <w:b/>
          <w:spacing w:val="-3"/>
          <w:sz w:val="20"/>
        </w:rPr>
        <w:t> </w:t>
      </w:r>
      <w:r>
        <w:rPr>
          <w:b/>
          <w:sz w:val="20"/>
        </w:rPr>
        <w:t>ACSA</w:t>
      </w:r>
      <w:r>
        <w:rPr>
          <w:b/>
          <w:spacing w:val="-11"/>
          <w:sz w:val="20"/>
        </w:rPr>
        <w:t> </w:t>
      </w:r>
      <w:r>
        <w:rPr>
          <w:b/>
          <w:sz w:val="20"/>
        </w:rPr>
        <w:t>Distinguished</w:t>
      </w:r>
      <w:r>
        <w:rPr>
          <w:b/>
          <w:spacing w:val="-4"/>
          <w:sz w:val="20"/>
        </w:rPr>
        <w:t> </w:t>
      </w:r>
      <w:r>
        <w:rPr>
          <w:b/>
          <w:sz w:val="20"/>
        </w:rPr>
        <w:t>Professor,</w:t>
      </w:r>
      <w:r>
        <w:rPr>
          <w:b/>
          <w:spacing w:val="-5"/>
          <w:sz w:val="20"/>
        </w:rPr>
        <w:t> </w:t>
      </w:r>
      <w:r>
        <w:rPr>
          <w:b/>
          <w:sz w:val="20"/>
        </w:rPr>
        <w:t>Professor, Tenured, E L Hamm Distinguished Professor, Tau Sigma Delta HU Chapter Distinguished </w:t>
      </w:r>
      <w:r>
        <w:rPr>
          <w:b/>
          <w:spacing w:val="-2"/>
          <w:sz w:val="20"/>
        </w:rPr>
        <w:t>Teaching</w:t>
      </w:r>
    </w:p>
    <w:p>
      <w:pPr>
        <w:pStyle w:val="BodyText"/>
        <w:spacing w:before="9"/>
        <w:rPr>
          <w:b/>
        </w:rPr>
      </w:pPr>
    </w:p>
    <w:p>
      <w:pPr>
        <w:spacing w:before="0"/>
        <w:ind w:left="439" w:right="0" w:firstLine="0"/>
        <w:jc w:val="left"/>
        <w:rPr>
          <w:b/>
          <w:sz w:val="20"/>
        </w:rPr>
      </w:pPr>
      <w:r>
        <w:rPr>
          <w:b/>
          <w:sz w:val="20"/>
        </w:rPr>
        <w:t>Courses</w:t>
      </w:r>
      <w:r>
        <w:rPr>
          <w:b/>
          <w:spacing w:val="-12"/>
          <w:sz w:val="20"/>
        </w:rPr>
        <w:t> </w:t>
      </w:r>
      <w:r>
        <w:rPr>
          <w:b/>
          <w:spacing w:val="-2"/>
          <w:sz w:val="20"/>
        </w:rPr>
        <w:t>Taught:</w:t>
      </w:r>
    </w:p>
    <w:p>
      <w:pPr>
        <w:pStyle w:val="BodyText"/>
        <w:spacing w:before="3"/>
        <w:ind w:left="1159" w:right="3416"/>
      </w:pPr>
      <w:r>
        <w:rPr/>
        <w:t>ARC 601: Thesis Design Research Studio I (Fall 2013, 2014)</w:t>
      </w:r>
      <w:r>
        <w:rPr>
          <w:spacing w:val="40"/>
        </w:rPr>
        <w:t> </w:t>
      </w:r>
      <w:r>
        <w:rPr/>
        <w:t>ARC 602: Thesis Design Research Studio II (Spring 2013, 2014) ARC</w:t>
      </w:r>
      <w:r>
        <w:rPr>
          <w:spacing w:val="-6"/>
        </w:rPr>
        <w:t> </w:t>
      </w:r>
      <w:r>
        <w:rPr/>
        <w:t>617:</w:t>
      </w:r>
      <w:r>
        <w:rPr>
          <w:spacing w:val="-4"/>
        </w:rPr>
        <w:t> </w:t>
      </w:r>
      <w:r>
        <w:rPr/>
        <w:t>Community</w:t>
      </w:r>
      <w:r>
        <w:rPr>
          <w:spacing w:val="-9"/>
        </w:rPr>
        <w:t> </w:t>
      </w:r>
      <w:r>
        <w:rPr/>
        <w:t>Design</w:t>
      </w:r>
      <w:r>
        <w:rPr>
          <w:spacing w:val="-6"/>
        </w:rPr>
        <w:t> </w:t>
      </w:r>
      <w:r>
        <w:rPr/>
        <w:t>Issues</w:t>
      </w:r>
      <w:r>
        <w:rPr>
          <w:spacing w:val="-5"/>
        </w:rPr>
        <w:t> </w:t>
      </w:r>
      <w:r>
        <w:rPr/>
        <w:t>Seminar</w:t>
      </w:r>
      <w:r>
        <w:rPr>
          <w:spacing w:val="-5"/>
        </w:rPr>
        <w:t> </w:t>
      </w:r>
      <w:r>
        <w:rPr/>
        <w:t>(Spring</w:t>
      </w:r>
      <w:r>
        <w:rPr>
          <w:spacing w:val="-4"/>
        </w:rPr>
        <w:t> </w:t>
      </w:r>
      <w:r>
        <w:rPr/>
        <w:t>2013,</w:t>
      </w:r>
      <w:r>
        <w:rPr>
          <w:spacing w:val="-6"/>
        </w:rPr>
        <w:t> </w:t>
      </w:r>
      <w:r>
        <w:rPr/>
        <w:t>2014)</w:t>
      </w:r>
    </w:p>
    <w:p>
      <w:pPr>
        <w:pStyle w:val="BodyText"/>
        <w:spacing w:before="2"/>
        <w:ind w:left="1159"/>
      </w:pPr>
      <w:r>
        <w:rPr/>
        <w:t>ARC</w:t>
      </w:r>
      <w:r>
        <w:rPr>
          <w:spacing w:val="-8"/>
        </w:rPr>
        <w:t> </w:t>
      </w:r>
      <w:r>
        <w:rPr/>
        <w:t>618:</w:t>
      </w:r>
      <w:r>
        <w:rPr>
          <w:spacing w:val="-6"/>
        </w:rPr>
        <w:t> </w:t>
      </w:r>
      <w:r>
        <w:rPr/>
        <w:t>Advanced</w:t>
      </w:r>
      <w:r>
        <w:rPr>
          <w:spacing w:val="-5"/>
        </w:rPr>
        <w:t> </w:t>
      </w:r>
      <w:r>
        <w:rPr/>
        <w:t>Building</w:t>
      </w:r>
      <w:r>
        <w:rPr>
          <w:spacing w:val="-8"/>
        </w:rPr>
        <w:t> </w:t>
      </w:r>
      <w:r>
        <w:rPr/>
        <w:t>Technology</w:t>
      </w:r>
      <w:r>
        <w:rPr>
          <w:spacing w:val="-10"/>
        </w:rPr>
        <w:t> </w:t>
      </w:r>
      <w:r>
        <w:rPr/>
        <w:t>Issues</w:t>
      </w:r>
      <w:r>
        <w:rPr>
          <w:spacing w:val="-6"/>
        </w:rPr>
        <w:t> </w:t>
      </w:r>
      <w:r>
        <w:rPr/>
        <w:t>Seminar</w:t>
      </w:r>
      <w:r>
        <w:rPr>
          <w:spacing w:val="-7"/>
        </w:rPr>
        <w:t> </w:t>
      </w:r>
      <w:r>
        <w:rPr/>
        <w:t>(Fall</w:t>
      </w:r>
      <w:r>
        <w:rPr>
          <w:spacing w:val="-7"/>
        </w:rPr>
        <w:t> </w:t>
      </w:r>
      <w:r>
        <w:rPr/>
        <w:t>2013,</w:t>
      </w:r>
      <w:r>
        <w:rPr>
          <w:spacing w:val="-7"/>
        </w:rPr>
        <w:t> </w:t>
      </w:r>
      <w:r>
        <w:rPr>
          <w:spacing w:val="-2"/>
        </w:rPr>
        <w:t>2014)</w:t>
      </w:r>
    </w:p>
    <w:p>
      <w:pPr>
        <w:spacing w:before="115"/>
        <w:ind w:left="440" w:right="0" w:firstLine="0"/>
        <w:jc w:val="left"/>
        <w:rPr>
          <w:b/>
          <w:sz w:val="20"/>
        </w:rPr>
      </w:pPr>
      <w:r>
        <w:rPr>
          <w:b/>
          <w:spacing w:val="-2"/>
          <w:sz w:val="20"/>
        </w:rPr>
        <w:t>Educational</w:t>
      </w:r>
      <w:r>
        <w:rPr>
          <w:b/>
          <w:spacing w:val="6"/>
          <w:sz w:val="20"/>
        </w:rPr>
        <w:t> </w:t>
      </w:r>
      <w:r>
        <w:rPr>
          <w:b/>
          <w:spacing w:val="-2"/>
          <w:sz w:val="20"/>
        </w:rPr>
        <w:t>Credentials:</w:t>
      </w:r>
    </w:p>
    <w:p>
      <w:pPr>
        <w:pStyle w:val="BodyText"/>
        <w:spacing w:before="3"/>
        <w:ind w:left="1159"/>
      </w:pPr>
      <w:r>
        <w:rPr/>
        <w:t>B.</w:t>
      </w:r>
      <w:r>
        <w:rPr>
          <w:spacing w:val="-6"/>
        </w:rPr>
        <w:t> </w:t>
      </w:r>
      <w:r>
        <w:rPr/>
        <w:t>Env.</w:t>
      </w:r>
      <w:r>
        <w:rPr>
          <w:spacing w:val="-5"/>
        </w:rPr>
        <w:t> </w:t>
      </w:r>
      <w:r>
        <w:rPr/>
        <w:t>Dsgn.,</w:t>
      </w:r>
      <w:r>
        <w:rPr>
          <w:spacing w:val="-6"/>
        </w:rPr>
        <w:t> </w:t>
      </w:r>
      <w:r>
        <w:rPr/>
        <w:t>University</w:t>
      </w:r>
      <w:r>
        <w:rPr>
          <w:spacing w:val="-8"/>
        </w:rPr>
        <w:t> </w:t>
      </w:r>
      <w:r>
        <w:rPr/>
        <w:t>of</w:t>
      </w:r>
      <w:r>
        <w:rPr>
          <w:spacing w:val="-3"/>
        </w:rPr>
        <w:t> </w:t>
      </w:r>
      <w:r>
        <w:rPr/>
        <w:t>Puerto</w:t>
      </w:r>
      <w:r>
        <w:rPr>
          <w:spacing w:val="-6"/>
        </w:rPr>
        <w:t> </w:t>
      </w:r>
      <w:r>
        <w:rPr/>
        <w:t>Rico,</w:t>
      </w:r>
      <w:r>
        <w:rPr>
          <w:spacing w:val="-5"/>
        </w:rPr>
        <w:t> </w:t>
      </w:r>
      <w:r>
        <w:rPr>
          <w:spacing w:val="-4"/>
        </w:rPr>
        <w:t>1980</w:t>
      </w:r>
    </w:p>
    <w:p>
      <w:pPr>
        <w:pStyle w:val="BodyText"/>
        <w:spacing w:before="1"/>
        <w:ind w:left="1159" w:right="5495"/>
      </w:pPr>
      <w:r>
        <w:rPr/>
        <w:t>M.</w:t>
      </w:r>
      <w:r>
        <w:rPr>
          <w:spacing w:val="-8"/>
        </w:rPr>
        <w:t> </w:t>
      </w:r>
      <w:r>
        <w:rPr/>
        <w:t>Arch.</w:t>
      </w:r>
      <w:r>
        <w:rPr>
          <w:spacing w:val="-6"/>
        </w:rPr>
        <w:t> </w:t>
      </w:r>
      <w:r>
        <w:rPr/>
        <w:t>University</w:t>
      </w:r>
      <w:r>
        <w:rPr>
          <w:spacing w:val="-9"/>
        </w:rPr>
        <w:t> </w:t>
      </w:r>
      <w:r>
        <w:rPr/>
        <w:t>of</w:t>
      </w:r>
      <w:r>
        <w:rPr>
          <w:spacing w:val="-6"/>
        </w:rPr>
        <w:t> </w:t>
      </w:r>
      <w:r>
        <w:rPr/>
        <w:t>Puerto</w:t>
      </w:r>
      <w:r>
        <w:rPr>
          <w:spacing w:val="-8"/>
        </w:rPr>
        <w:t> </w:t>
      </w:r>
      <w:r>
        <w:rPr/>
        <w:t>Rico,</w:t>
      </w:r>
      <w:r>
        <w:rPr>
          <w:spacing w:val="-6"/>
        </w:rPr>
        <w:t> </w:t>
      </w:r>
      <w:r>
        <w:rPr/>
        <w:t>1983 Arch. D. University of Michigan, 1991</w:t>
      </w:r>
    </w:p>
    <w:p>
      <w:pPr>
        <w:spacing w:before="118"/>
        <w:ind w:left="439" w:right="0" w:firstLine="0"/>
        <w:jc w:val="left"/>
        <w:rPr>
          <w:b/>
          <w:sz w:val="20"/>
        </w:rPr>
      </w:pPr>
      <w:r>
        <w:rPr>
          <w:b/>
          <w:sz w:val="20"/>
        </w:rPr>
        <w:t>Teaching</w:t>
      </w:r>
      <w:r>
        <w:rPr>
          <w:b/>
          <w:spacing w:val="-10"/>
          <w:sz w:val="20"/>
        </w:rPr>
        <w:t> </w:t>
      </w:r>
      <w:r>
        <w:rPr>
          <w:b/>
          <w:spacing w:val="-2"/>
          <w:sz w:val="20"/>
        </w:rPr>
        <w:t>Experience:</w:t>
      </w:r>
    </w:p>
    <w:p>
      <w:pPr>
        <w:pStyle w:val="BodyText"/>
        <w:spacing w:before="3"/>
        <w:ind w:left="1159" w:right="2611"/>
      </w:pPr>
      <w:r>
        <w:rPr/>
        <w:t>Assistant Professor, Kansas University, Lawrence, KS1989 -1994 Associate</w:t>
      </w:r>
      <w:r>
        <w:rPr>
          <w:spacing w:val="-4"/>
        </w:rPr>
        <w:t> </w:t>
      </w:r>
      <w:r>
        <w:rPr/>
        <w:t>Professor,</w:t>
      </w:r>
      <w:r>
        <w:rPr>
          <w:spacing w:val="-6"/>
        </w:rPr>
        <w:t> </w:t>
      </w:r>
      <w:r>
        <w:rPr/>
        <w:t>Florida</w:t>
      </w:r>
      <w:r>
        <w:rPr>
          <w:spacing w:val="-6"/>
        </w:rPr>
        <w:t> </w:t>
      </w:r>
      <w:r>
        <w:rPr/>
        <w:t>A</w:t>
      </w:r>
      <w:r>
        <w:rPr>
          <w:spacing w:val="-4"/>
        </w:rPr>
        <w:t> </w:t>
      </w:r>
      <w:r>
        <w:rPr/>
        <w:t>&amp;M</w:t>
      </w:r>
      <w:r>
        <w:rPr>
          <w:spacing w:val="-4"/>
        </w:rPr>
        <w:t> </w:t>
      </w:r>
      <w:r>
        <w:rPr/>
        <w:t>University,</w:t>
      </w:r>
      <w:r>
        <w:rPr>
          <w:spacing w:val="-4"/>
        </w:rPr>
        <w:t> </w:t>
      </w:r>
      <w:r>
        <w:rPr/>
        <w:t>Tallahassee,</w:t>
      </w:r>
      <w:r>
        <w:rPr>
          <w:spacing w:val="-6"/>
        </w:rPr>
        <w:t> </w:t>
      </w:r>
      <w:r>
        <w:rPr/>
        <w:t>FL</w:t>
      </w:r>
      <w:r>
        <w:rPr>
          <w:spacing w:val="-5"/>
        </w:rPr>
        <w:t> </w:t>
      </w:r>
      <w:r>
        <w:rPr/>
        <w:t>1994</w:t>
      </w:r>
      <w:r>
        <w:rPr>
          <w:spacing w:val="-6"/>
        </w:rPr>
        <w:t> </w:t>
      </w:r>
      <w:r>
        <w:rPr/>
        <w:t>-1997 Professor, Hampton University, Hampton, VA 1997- present</w:t>
      </w:r>
    </w:p>
    <w:p>
      <w:pPr>
        <w:spacing w:before="117"/>
        <w:ind w:left="439" w:right="0" w:firstLine="0"/>
        <w:jc w:val="both"/>
        <w:rPr>
          <w:b/>
          <w:sz w:val="20"/>
        </w:rPr>
      </w:pPr>
      <w:r>
        <w:rPr>
          <w:b/>
          <w:spacing w:val="-2"/>
          <w:sz w:val="20"/>
        </w:rPr>
        <w:t>Professional</w:t>
      </w:r>
      <w:r>
        <w:rPr>
          <w:b/>
          <w:spacing w:val="7"/>
          <w:sz w:val="20"/>
        </w:rPr>
        <w:t> </w:t>
      </w:r>
      <w:r>
        <w:rPr>
          <w:b/>
          <w:spacing w:val="-2"/>
          <w:sz w:val="20"/>
        </w:rPr>
        <w:t>Experience:</w:t>
      </w:r>
    </w:p>
    <w:p>
      <w:pPr>
        <w:pStyle w:val="BodyText"/>
        <w:spacing w:before="3"/>
        <w:ind w:left="1159" w:right="3314"/>
        <w:jc w:val="both"/>
      </w:pPr>
      <w:r>
        <w:rPr/>
        <w:t>Architecture Intern, José G. Baralt Arquitecto, Puerto Rico 1980 Architecture</w:t>
      </w:r>
      <w:r>
        <w:rPr>
          <w:spacing w:val="-9"/>
        </w:rPr>
        <w:t> </w:t>
      </w:r>
      <w:r>
        <w:rPr/>
        <w:t>Intern,</w:t>
      </w:r>
      <w:r>
        <w:rPr>
          <w:spacing w:val="-6"/>
        </w:rPr>
        <w:t> </w:t>
      </w:r>
      <w:r>
        <w:rPr/>
        <w:t>Montilla</w:t>
      </w:r>
      <w:r>
        <w:rPr>
          <w:spacing w:val="-7"/>
        </w:rPr>
        <w:t> </w:t>
      </w:r>
      <w:r>
        <w:rPr/>
        <w:t>Latimer</w:t>
      </w:r>
      <w:r>
        <w:rPr>
          <w:spacing w:val="-6"/>
        </w:rPr>
        <w:t> </w:t>
      </w:r>
      <w:r>
        <w:rPr/>
        <w:t>y</w:t>
      </w:r>
      <w:r>
        <w:rPr>
          <w:spacing w:val="-11"/>
        </w:rPr>
        <w:t> </w:t>
      </w:r>
      <w:r>
        <w:rPr/>
        <w:t>Asociados,</w:t>
      </w:r>
      <w:r>
        <w:rPr>
          <w:spacing w:val="-8"/>
        </w:rPr>
        <w:t> </w:t>
      </w:r>
      <w:r>
        <w:rPr/>
        <w:t>Puerto</w:t>
      </w:r>
      <w:r>
        <w:rPr>
          <w:spacing w:val="-8"/>
        </w:rPr>
        <w:t> </w:t>
      </w:r>
      <w:r>
        <w:rPr/>
        <w:t>Rico</w:t>
      </w:r>
      <w:r>
        <w:rPr>
          <w:spacing w:val="-7"/>
        </w:rPr>
        <w:t> </w:t>
      </w:r>
      <w:r>
        <w:rPr>
          <w:spacing w:val="-4"/>
        </w:rPr>
        <w:t>1979</w:t>
      </w:r>
    </w:p>
    <w:p>
      <w:pPr>
        <w:pStyle w:val="BodyText"/>
        <w:spacing w:before="1"/>
        <w:ind w:left="1159" w:right="904"/>
        <w:jc w:val="both"/>
      </w:pPr>
      <w:r>
        <w:rPr/>
        <w:t>Director,</w:t>
      </w:r>
      <w:r>
        <w:rPr>
          <w:spacing w:val="-5"/>
        </w:rPr>
        <w:t> </w:t>
      </w:r>
      <w:r>
        <w:rPr/>
        <w:t>Computer-Assisted</w:t>
      </w:r>
      <w:r>
        <w:rPr>
          <w:spacing w:val="-5"/>
        </w:rPr>
        <w:t> </w:t>
      </w:r>
      <w:r>
        <w:rPr/>
        <w:t>Learning</w:t>
      </w:r>
      <w:r>
        <w:rPr>
          <w:spacing w:val="-5"/>
        </w:rPr>
        <w:t> </w:t>
      </w:r>
      <w:r>
        <w:rPr/>
        <w:t>Center,</w:t>
      </w:r>
      <w:r>
        <w:rPr>
          <w:spacing w:val="-3"/>
        </w:rPr>
        <w:t> </w:t>
      </w:r>
      <w:r>
        <w:rPr/>
        <w:t>Polytechnic</w:t>
      </w:r>
      <w:r>
        <w:rPr>
          <w:spacing w:val="-4"/>
        </w:rPr>
        <w:t> </w:t>
      </w:r>
      <w:r>
        <w:rPr/>
        <w:t>University</w:t>
      </w:r>
      <w:r>
        <w:rPr>
          <w:spacing w:val="-8"/>
        </w:rPr>
        <w:t> </w:t>
      </w:r>
      <w:r>
        <w:rPr/>
        <w:t>of</w:t>
      </w:r>
      <w:r>
        <w:rPr>
          <w:spacing w:val="-3"/>
        </w:rPr>
        <w:t> </w:t>
      </w:r>
      <w:r>
        <w:rPr/>
        <w:t>Puerto</w:t>
      </w:r>
      <w:r>
        <w:rPr>
          <w:spacing w:val="-3"/>
        </w:rPr>
        <w:t> </w:t>
      </w:r>
      <w:r>
        <w:rPr/>
        <w:t>Rico1983-1984 Summer</w:t>
      </w:r>
      <w:r>
        <w:rPr>
          <w:spacing w:val="-4"/>
        </w:rPr>
        <w:t> </w:t>
      </w:r>
      <w:r>
        <w:rPr/>
        <w:t>Intern,</w:t>
      </w:r>
      <w:r>
        <w:rPr>
          <w:spacing w:val="-5"/>
        </w:rPr>
        <w:t> </w:t>
      </w:r>
      <w:r>
        <w:rPr/>
        <w:t>Assistant</w:t>
      </w:r>
      <w:r>
        <w:rPr>
          <w:spacing w:val="-5"/>
        </w:rPr>
        <w:t> </w:t>
      </w:r>
      <w:r>
        <w:rPr/>
        <w:t>to</w:t>
      </w:r>
      <w:r>
        <w:rPr>
          <w:spacing w:val="-5"/>
        </w:rPr>
        <w:t> </w:t>
      </w:r>
      <w:r>
        <w:rPr/>
        <w:t>the</w:t>
      </w:r>
      <w:r>
        <w:rPr>
          <w:spacing w:val="-3"/>
        </w:rPr>
        <w:t> </w:t>
      </w:r>
      <w:r>
        <w:rPr/>
        <w:t>Director</w:t>
      </w:r>
      <w:r>
        <w:rPr>
          <w:spacing w:val="-2"/>
        </w:rPr>
        <w:t> </w:t>
      </w:r>
      <w:r>
        <w:rPr/>
        <w:t>of</w:t>
      </w:r>
      <w:r>
        <w:rPr>
          <w:spacing w:val="-3"/>
        </w:rPr>
        <w:t> </w:t>
      </w:r>
      <w:r>
        <w:rPr/>
        <w:t>Architecture,</w:t>
      </w:r>
      <w:r>
        <w:rPr>
          <w:spacing w:val="-5"/>
        </w:rPr>
        <w:t> </w:t>
      </w:r>
      <w:r>
        <w:rPr/>
        <w:t>Bureau</w:t>
      </w:r>
      <w:r>
        <w:rPr>
          <w:spacing w:val="-3"/>
        </w:rPr>
        <w:t> </w:t>
      </w:r>
      <w:r>
        <w:rPr/>
        <w:t>of</w:t>
      </w:r>
      <w:r>
        <w:rPr>
          <w:spacing w:val="-3"/>
        </w:rPr>
        <w:t> </w:t>
      </w:r>
      <w:r>
        <w:rPr/>
        <w:t>Architectural</w:t>
      </w:r>
      <w:r>
        <w:rPr>
          <w:spacing w:val="-4"/>
        </w:rPr>
        <w:t> </w:t>
      </w:r>
      <w:r>
        <w:rPr/>
        <w:t>&amp;</w:t>
      </w:r>
      <w:r>
        <w:rPr>
          <w:spacing w:val="-3"/>
        </w:rPr>
        <w:t> </w:t>
      </w:r>
      <w:r>
        <w:rPr/>
        <w:t>Engineering Services, NYC Human Resources Administration, 1986</w:t>
      </w:r>
    </w:p>
    <w:p>
      <w:pPr>
        <w:spacing w:before="116"/>
        <w:ind w:left="439" w:right="0" w:firstLine="0"/>
        <w:jc w:val="left"/>
        <w:rPr>
          <w:b/>
          <w:sz w:val="20"/>
        </w:rPr>
      </w:pPr>
      <w:r>
        <w:rPr>
          <w:b/>
          <w:spacing w:val="-2"/>
          <w:sz w:val="20"/>
        </w:rPr>
        <w:t>Licenses/Registration:</w:t>
      </w:r>
    </w:p>
    <w:p>
      <w:pPr>
        <w:pStyle w:val="BodyText"/>
        <w:spacing w:before="3"/>
        <w:ind w:left="1159"/>
      </w:pPr>
      <w:r>
        <w:rPr/>
        <w:t>Puerto</w:t>
      </w:r>
      <w:r>
        <w:rPr>
          <w:spacing w:val="-8"/>
        </w:rPr>
        <w:t> </w:t>
      </w:r>
      <w:r>
        <w:rPr>
          <w:spacing w:val="-4"/>
        </w:rPr>
        <w:t>Rico</w:t>
      </w:r>
    </w:p>
    <w:p>
      <w:pPr>
        <w:spacing w:before="118"/>
        <w:ind w:left="439" w:right="0" w:firstLine="0"/>
        <w:jc w:val="left"/>
        <w:rPr>
          <w:b/>
          <w:sz w:val="20"/>
        </w:rPr>
      </w:pPr>
      <w:r>
        <w:rPr>
          <w:b/>
          <w:sz w:val="20"/>
        </w:rPr>
        <w:t>Selected</w:t>
      </w:r>
      <w:r>
        <w:rPr>
          <w:b/>
          <w:spacing w:val="-9"/>
          <w:sz w:val="20"/>
        </w:rPr>
        <w:t> </w:t>
      </w:r>
      <w:r>
        <w:rPr>
          <w:b/>
          <w:sz w:val="20"/>
        </w:rPr>
        <w:t>Publications</w:t>
      </w:r>
      <w:r>
        <w:rPr>
          <w:b/>
          <w:spacing w:val="-9"/>
          <w:sz w:val="20"/>
        </w:rPr>
        <w:t> </w:t>
      </w:r>
      <w:r>
        <w:rPr>
          <w:b/>
          <w:sz w:val="20"/>
        </w:rPr>
        <w:t>and</w:t>
      </w:r>
      <w:r>
        <w:rPr>
          <w:b/>
          <w:spacing w:val="-10"/>
          <w:sz w:val="20"/>
        </w:rPr>
        <w:t> </w:t>
      </w:r>
      <w:r>
        <w:rPr>
          <w:b/>
          <w:sz w:val="20"/>
        </w:rPr>
        <w:t>Recent</w:t>
      </w:r>
      <w:r>
        <w:rPr>
          <w:b/>
          <w:spacing w:val="-10"/>
          <w:sz w:val="20"/>
        </w:rPr>
        <w:t> </w:t>
      </w:r>
      <w:r>
        <w:rPr>
          <w:b/>
          <w:spacing w:val="-2"/>
          <w:sz w:val="20"/>
        </w:rPr>
        <w:t>Research:</w:t>
      </w:r>
    </w:p>
    <w:p>
      <w:pPr>
        <w:spacing w:before="4"/>
        <w:ind w:left="1160" w:right="642" w:firstLine="0"/>
        <w:jc w:val="left"/>
        <w:rPr>
          <w:sz w:val="18"/>
        </w:rPr>
      </w:pPr>
      <w:r>
        <w:rPr>
          <w:sz w:val="18"/>
        </w:rPr>
        <w:t>Book Chapter: Design Collaborative Learning in Design Studio Education. In Space Unveiled: Invisible Cultures</w:t>
      </w:r>
      <w:r>
        <w:rPr>
          <w:spacing w:val="-2"/>
          <w:sz w:val="18"/>
        </w:rPr>
        <w:t> </w:t>
      </w:r>
      <w:r>
        <w:rPr>
          <w:sz w:val="18"/>
        </w:rPr>
        <w:t>in</w:t>
      </w:r>
      <w:r>
        <w:rPr>
          <w:spacing w:val="-5"/>
          <w:sz w:val="18"/>
        </w:rPr>
        <w:t> </w:t>
      </w:r>
      <w:r>
        <w:rPr>
          <w:sz w:val="18"/>
        </w:rPr>
        <w:t>the</w:t>
      </w:r>
      <w:r>
        <w:rPr>
          <w:spacing w:val="-5"/>
          <w:sz w:val="18"/>
        </w:rPr>
        <w:t> </w:t>
      </w:r>
      <w:r>
        <w:rPr>
          <w:sz w:val="18"/>
        </w:rPr>
        <w:t>Design</w:t>
      </w:r>
      <w:r>
        <w:rPr>
          <w:spacing w:val="-2"/>
          <w:sz w:val="18"/>
        </w:rPr>
        <w:t> </w:t>
      </w:r>
      <w:r>
        <w:rPr>
          <w:sz w:val="18"/>
        </w:rPr>
        <w:t>Studio.</w:t>
      </w:r>
      <w:r>
        <w:rPr>
          <w:spacing w:val="-5"/>
          <w:sz w:val="18"/>
        </w:rPr>
        <w:t> </w:t>
      </w:r>
      <w:r>
        <w:rPr>
          <w:sz w:val="18"/>
        </w:rPr>
        <w:t>Carla</w:t>
      </w:r>
      <w:r>
        <w:rPr>
          <w:spacing w:val="-2"/>
          <w:sz w:val="18"/>
        </w:rPr>
        <w:t> </w:t>
      </w:r>
      <w:r>
        <w:rPr>
          <w:sz w:val="18"/>
        </w:rPr>
        <w:t>Jackson</w:t>
      </w:r>
      <w:r>
        <w:rPr>
          <w:spacing w:val="-2"/>
          <w:sz w:val="18"/>
        </w:rPr>
        <w:t> </w:t>
      </w:r>
      <w:r>
        <w:rPr>
          <w:sz w:val="18"/>
        </w:rPr>
        <w:t>Bell,</w:t>
      </w:r>
      <w:r>
        <w:rPr>
          <w:spacing w:val="-3"/>
          <w:sz w:val="18"/>
        </w:rPr>
        <w:t> </w:t>
      </w:r>
      <w:r>
        <w:rPr>
          <w:sz w:val="18"/>
        </w:rPr>
        <w:t>ed.</w:t>
      </w:r>
      <w:r>
        <w:rPr>
          <w:spacing w:val="-3"/>
          <w:sz w:val="18"/>
        </w:rPr>
        <w:t> </w:t>
      </w:r>
      <w:r>
        <w:rPr>
          <w:sz w:val="18"/>
        </w:rPr>
        <w:t>England:</w:t>
      </w:r>
      <w:r>
        <w:rPr>
          <w:spacing w:val="-3"/>
          <w:sz w:val="18"/>
        </w:rPr>
        <w:t> </w:t>
      </w:r>
      <w:r>
        <w:rPr>
          <w:sz w:val="18"/>
        </w:rPr>
        <w:t>Informa</w:t>
      </w:r>
      <w:r>
        <w:rPr>
          <w:spacing w:val="-2"/>
          <w:sz w:val="18"/>
        </w:rPr>
        <w:t> </w:t>
      </w:r>
      <w:r>
        <w:rPr>
          <w:sz w:val="18"/>
        </w:rPr>
        <w:t>UK/Taylor</w:t>
      </w:r>
      <w:r>
        <w:rPr>
          <w:spacing w:val="-5"/>
          <w:sz w:val="18"/>
        </w:rPr>
        <w:t> </w:t>
      </w:r>
      <w:r>
        <w:rPr>
          <w:sz w:val="18"/>
        </w:rPr>
        <w:t>and</w:t>
      </w:r>
      <w:r>
        <w:rPr>
          <w:spacing w:val="-2"/>
          <w:sz w:val="18"/>
        </w:rPr>
        <w:t> </w:t>
      </w:r>
      <w:r>
        <w:rPr>
          <w:sz w:val="18"/>
        </w:rPr>
        <w:t>Francis/</w:t>
      </w:r>
      <w:r>
        <w:rPr>
          <w:spacing w:val="-5"/>
          <w:sz w:val="18"/>
        </w:rPr>
        <w:t> </w:t>
      </w:r>
      <w:r>
        <w:rPr>
          <w:sz w:val="18"/>
        </w:rPr>
        <w:t>Routledge. (Forthcoming 2014)</w:t>
      </w:r>
    </w:p>
    <w:p>
      <w:pPr>
        <w:spacing w:before="0"/>
        <w:ind w:left="1160" w:right="642" w:firstLine="0"/>
        <w:jc w:val="left"/>
        <w:rPr>
          <w:sz w:val="18"/>
        </w:rPr>
      </w:pPr>
      <w:r>
        <w:rPr>
          <w:sz w:val="18"/>
        </w:rPr>
        <w:t>“Outing</w:t>
      </w:r>
      <w:r>
        <w:rPr>
          <w:spacing w:val="-3"/>
          <w:sz w:val="18"/>
        </w:rPr>
        <w:t> </w:t>
      </w:r>
      <w:r>
        <w:rPr>
          <w:sz w:val="18"/>
        </w:rPr>
        <w:t>our</w:t>
      </w:r>
      <w:r>
        <w:rPr>
          <w:spacing w:val="-4"/>
          <w:sz w:val="18"/>
        </w:rPr>
        <w:t> </w:t>
      </w:r>
      <w:r>
        <w:rPr>
          <w:sz w:val="18"/>
        </w:rPr>
        <w:t>Optimal</w:t>
      </w:r>
      <w:r>
        <w:rPr>
          <w:spacing w:val="-3"/>
          <w:sz w:val="18"/>
        </w:rPr>
        <w:t> </w:t>
      </w:r>
      <w:r>
        <w:rPr>
          <w:sz w:val="18"/>
        </w:rPr>
        <w:t>and</w:t>
      </w:r>
      <w:r>
        <w:rPr>
          <w:spacing w:val="-3"/>
          <w:sz w:val="18"/>
        </w:rPr>
        <w:t> </w:t>
      </w:r>
      <w:r>
        <w:rPr>
          <w:sz w:val="18"/>
        </w:rPr>
        <w:t>Invincible</w:t>
      </w:r>
      <w:r>
        <w:rPr>
          <w:spacing w:val="-3"/>
          <w:sz w:val="18"/>
        </w:rPr>
        <w:t> </w:t>
      </w:r>
      <w:r>
        <w:rPr>
          <w:sz w:val="18"/>
        </w:rPr>
        <w:t>Architecture</w:t>
      </w:r>
      <w:r>
        <w:rPr>
          <w:spacing w:val="-6"/>
          <w:sz w:val="18"/>
        </w:rPr>
        <w:t> </w:t>
      </w:r>
      <w:r>
        <w:rPr>
          <w:sz w:val="18"/>
        </w:rPr>
        <w:t>in</w:t>
      </w:r>
      <w:r>
        <w:rPr>
          <w:spacing w:val="-3"/>
          <w:sz w:val="18"/>
        </w:rPr>
        <w:t> </w:t>
      </w:r>
      <w:r>
        <w:rPr>
          <w:sz w:val="18"/>
        </w:rPr>
        <w:t>Uncertain</w:t>
      </w:r>
      <w:r>
        <w:rPr>
          <w:spacing w:val="-6"/>
          <w:sz w:val="18"/>
        </w:rPr>
        <w:t> </w:t>
      </w:r>
      <w:r>
        <w:rPr>
          <w:sz w:val="18"/>
        </w:rPr>
        <w:t>Times.”</w:t>
      </w:r>
      <w:r>
        <w:rPr>
          <w:spacing w:val="-4"/>
          <w:sz w:val="18"/>
        </w:rPr>
        <w:t> </w:t>
      </w:r>
      <w:r>
        <w:rPr>
          <w:sz w:val="18"/>
        </w:rPr>
        <w:t>Unconventional</w:t>
      </w:r>
      <w:r>
        <w:rPr>
          <w:spacing w:val="-3"/>
          <w:sz w:val="18"/>
        </w:rPr>
        <w:t> </w:t>
      </w:r>
      <w:r>
        <w:rPr>
          <w:sz w:val="18"/>
        </w:rPr>
        <w:t>Computing.</w:t>
      </w:r>
      <w:r>
        <w:rPr>
          <w:spacing w:val="-4"/>
          <w:sz w:val="18"/>
        </w:rPr>
        <w:t> </w:t>
      </w:r>
      <w:r>
        <w:rPr>
          <w:sz w:val="18"/>
        </w:rPr>
        <w:t>R. Armstrong and S Ferracina eds. ACADIA 2013/RAP, 2013.</w:t>
      </w:r>
    </w:p>
    <w:p>
      <w:pPr>
        <w:spacing w:before="0"/>
        <w:ind w:left="1160" w:right="642" w:firstLine="0"/>
        <w:jc w:val="left"/>
        <w:rPr>
          <w:sz w:val="18"/>
        </w:rPr>
      </w:pPr>
      <w:r>
        <w:rPr>
          <w:sz w:val="18"/>
        </w:rPr>
        <w:t>“Urban</w:t>
      </w:r>
      <w:r>
        <w:rPr>
          <w:spacing w:val="-2"/>
          <w:sz w:val="18"/>
        </w:rPr>
        <w:t> </w:t>
      </w:r>
      <w:r>
        <w:rPr>
          <w:sz w:val="18"/>
        </w:rPr>
        <w:t>Spaces</w:t>
      </w:r>
      <w:r>
        <w:rPr>
          <w:spacing w:val="-2"/>
          <w:sz w:val="18"/>
        </w:rPr>
        <w:t> </w:t>
      </w:r>
      <w:r>
        <w:rPr>
          <w:sz w:val="18"/>
        </w:rPr>
        <w:t>Between:</w:t>
      </w:r>
      <w:r>
        <w:rPr>
          <w:spacing w:val="-3"/>
          <w:sz w:val="18"/>
        </w:rPr>
        <w:t> </w:t>
      </w:r>
      <w:r>
        <w:rPr>
          <w:sz w:val="18"/>
        </w:rPr>
        <w:t>Puerto</w:t>
      </w:r>
      <w:r>
        <w:rPr>
          <w:spacing w:val="-2"/>
          <w:sz w:val="18"/>
        </w:rPr>
        <w:t> </w:t>
      </w:r>
      <w:r>
        <w:rPr>
          <w:sz w:val="18"/>
        </w:rPr>
        <w:t>Ricans</w:t>
      </w:r>
      <w:r>
        <w:rPr>
          <w:spacing w:val="-4"/>
          <w:sz w:val="18"/>
        </w:rPr>
        <w:t> </w:t>
      </w:r>
      <w:r>
        <w:rPr>
          <w:sz w:val="18"/>
        </w:rPr>
        <w:t>in</w:t>
      </w:r>
      <w:r>
        <w:rPr>
          <w:spacing w:val="-2"/>
          <w:sz w:val="18"/>
        </w:rPr>
        <w:t> </w:t>
      </w:r>
      <w:r>
        <w:rPr>
          <w:sz w:val="18"/>
        </w:rPr>
        <w:t>Manhattan.”</w:t>
      </w:r>
      <w:r>
        <w:rPr>
          <w:spacing w:val="-4"/>
          <w:sz w:val="18"/>
        </w:rPr>
        <w:t> </w:t>
      </w:r>
      <w:r>
        <w:rPr>
          <w:sz w:val="18"/>
        </w:rPr>
        <w:t>Proceedings</w:t>
      </w:r>
      <w:r>
        <w:rPr>
          <w:spacing w:val="-5"/>
          <w:sz w:val="18"/>
        </w:rPr>
        <w:t> </w:t>
      </w:r>
      <w:r>
        <w:rPr>
          <w:sz w:val="18"/>
        </w:rPr>
        <w:t>of</w:t>
      </w:r>
      <w:r>
        <w:rPr>
          <w:spacing w:val="-4"/>
          <w:sz w:val="18"/>
        </w:rPr>
        <w:t> </w:t>
      </w:r>
      <w:r>
        <w:rPr>
          <w:sz w:val="18"/>
        </w:rPr>
        <w:t>the</w:t>
      </w:r>
      <w:r>
        <w:rPr>
          <w:spacing w:val="-3"/>
          <w:sz w:val="18"/>
        </w:rPr>
        <w:t> </w:t>
      </w:r>
      <w:r>
        <w:rPr>
          <w:sz w:val="18"/>
        </w:rPr>
        <w:t>96th</w:t>
      </w:r>
      <w:r>
        <w:rPr>
          <w:spacing w:val="-2"/>
          <w:sz w:val="18"/>
        </w:rPr>
        <w:t> </w:t>
      </w:r>
      <w:r>
        <w:rPr>
          <w:sz w:val="18"/>
        </w:rPr>
        <w:t>ACSA</w:t>
      </w:r>
      <w:r>
        <w:rPr>
          <w:spacing w:val="-3"/>
          <w:sz w:val="18"/>
        </w:rPr>
        <w:t> </w:t>
      </w:r>
      <w:r>
        <w:rPr>
          <w:sz w:val="18"/>
        </w:rPr>
        <w:t>Annual</w:t>
      </w:r>
      <w:r>
        <w:rPr>
          <w:spacing w:val="-2"/>
          <w:sz w:val="18"/>
        </w:rPr>
        <w:t> </w:t>
      </w:r>
      <w:r>
        <w:rPr>
          <w:sz w:val="18"/>
        </w:rPr>
        <w:t>Meeting: Seeking the City: Visionaries on the Margins. D. Froelich and M. Pride, eds. Association of Collegiate Schools of Architecture (ACSA), Houston: Texas. 2008.</w:t>
      </w:r>
    </w:p>
    <w:p>
      <w:pPr>
        <w:spacing w:before="0"/>
        <w:ind w:left="1159" w:right="642" w:firstLine="0"/>
        <w:jc w:val="left"/>
        <w:rPr>
          <w:sz w:val="18"/>
        </w:rPr>
      </w:pPr>
      <w:r>
        <w:rPr>
          <w:sz w:val="18"/>
        </w:rPr>
        <w:t>Book Chapter: “An integrative approach to teaching 3D modelling in architecture.” In Enhancing Learning Through</w:t>
      </w:r>
      <w:r>
        <w:rPr>
          <w:spacing w:val="-3"/>
          <w:sz w:val="18"/>
        </w:rPr>
        <w:t> </w:t>
      </w:r>
      <w:r>
        <w:rPr>
          <w:sz w:val="18"/>
        </w:rPr>
        <w:t>Human</w:t>
      </w:r>
      <w:r>
        <w:rPr>
          <w:spacing w:val="-3"/>
          <w:sz w:val="18"/>
        </w:rPr>
        <w:t> </w:t>
      </w:r>
      <w:r>
        <w:rPr>
          <w:sz w:val="18"/>
        </w:rPr>
        <w:t>Computer</w:t>
      </w:r>
      <w:r>
        <w:rPr>
          <w:spacing w:val="-4"/>
          <w:sz w:val="18"/>
        </w:rPr>
        <w:t> </w:t>
      </w:r>
      <w:r>
        <w:rPr>
          <w:sz w:val="18"/>
        </w:rPr>
        <w:t>Interaction,</w:t>
      </w:r>
      <w:r>
        <w:rPr>
          <w:spacing w:val="-4"/>
          <w:sz w:val="18"/>
        </w:rPr>
        <w:t> </w:t>
      </w:r>
      <w:r>
        <w:rPr>
          <w:sz w:val="18"/>
        </w:rPr>
        <w:t>Elspeth</w:t>
      </w:r>
      <w:r>
        <w:rPr>
          <w:spacing w:val="-3"/>
          <w:sz w:val="18"/>
        </w:rPr>
        <w:t> </w:t>
      </w:r>
      <w:r>
        <w:rPr>
          <w:sz w:val="18"/>
        </w:rPr>
        <w:t>McKay</w:t>
      </w:r>
      <w:r>
        <w:rPr>
          <w:spacing w:val="-5"/>
          <w:sz w:val="18"/>
        </w:rPr>
        <w:t> </w:t>
      </w:r>
      <w:r>
        <w:rPr>
          <w:sz w:val="18"/>
        </w:rPr>
        <w:t>(Ed.).</w:t>
      </w:r>
      <w:r>
        <w:rPr>
          <w:spacing w:val="-6"/>
          <w:sz w:val="18"/>
        </w:rPr>
        <w:t> </w:t>
      </w:r>
      <w:r>
        <w:rPr>
          <w:sz w:val="18"/>
        </w:rPr>
        <w:t>Hersey,</w:t>
      </w:r>
      <w:r>
        <w:rPr>
          <w:spacing w:val="-4"/>
          <w:sz w:val="18"/>
        </w:rPr>
        <w:t> </w:t>
      </w:r>
      <w:r>
        <w:rPr>
          <w:sz w:val="18"/>
        </w:rPr>
        <w:t>Pennsylvania:</w:t>
      </w:r>
      <w:r>
        <w:rPr>
          <w:spacing w:val="-4"/>
          <w:sz w:val="18"/>
        </w:rPr>
        <w:t> </w:t>
      </w:r>
      <w:r>
        <w:rPr>
          <w:sz w:val="18"/>
        </w:rPr>
        <w:t>Idea</w:t>
      </w:r>
      <w:r>
        <w:rPr>
          <w:spacing w:val="-3"/>
          <w:sz w:val="18"/>
        </w:rPr>
        <w:t> </w:t>
      </w:r>
      <w:r>
        <w:rPr>
          <w:sz w:val="18"/>
        </w:rPr>
        <w:t>Group</w:t>
      </w:r>
      <w:r>
        <w:rPr>
          <w:spacing w:val="-3"/>
          <w:sz w:val="18"/>
        </w:rPr>
        <w:t> </w:t>
      </w:r>
      <w:r>
        <w:rPr>
          <w:sz w:val="18"/>
        </w:rPr>
        <w:t>Publishing, </w:t>
      </w:r>
      <w:r>
        <w:rPr>
          <w:spacing w:val="-2"/>
          <w:sz w:val="18"/>
        </w:rPr>
        <w:t>2007.</w:t>
      </w:r>
    </w:p>
    <w:p>
      <w:pPr>
        <w:spacing w:before="0"/>
        <w:ind w:left="1159" w:right="701" w:firstLine="0"/>
        <w:jc w:val="left"/>
        <w:rPr>
          <w:sz w:val="18"/>
        </w:rPr>
      </w:pPr>
      <w:r>
        <w:rPr>
          <w:sz w:val="18"/>
        </w:rPr>
        <w:t>“Adaptive</w:t>
      </w:r>
      <w:r>
        <w:rPr>
          <w:spacing w:val="-3"/>
          <w:sz w:val="18"/>
        </w:rPr>
        <w:t> </w:t>
      </w:r>
      <w:r>
        <w:rPr>
          <w:sz w:val="18"/>
        </w:rPr>
        <w:t>Kinetic</w:t>
      </w:r>
      <w:r>
        <w:rPr>
          <w:spacing w:val="-3"/>
          <w:sz w:val="18"/>
        </w:rPr>
        <w:t> </w:t>
      </w:r>
      <w:r>
        <w:rPr>
          <w:sz w:val="18"/>
        </w:rPr>
        <w:t>Structures:</w:t>
      </w:r>
      <w:r>
        <w:rPr>
          <w:spacing w:val="-3"/>
          <w:sz w:val="18"/>
        </w:rPr>
        <w:t> </w:t>
      </w:r>
      <w:r>
        <w:rPr>
          <w:sz w:val="18"/>
        </w:rPr>
        <w:t>A</w:t>
      </w:r>
      <w:r>
        <w:rPr>
          <w:spacing w:val="-6"/>
          <w:sz w:val="18"/>
        </w:rPr>
        <w:t> </w:t>
      </w:r>
      <w:r>
        <w:rPr>
          <w:sz w:val="18"/>
        </w:rPr>
        <w:t>Portal</w:t>
      </w:r>
      <w:r>
        <w:rPr>
          <w:spacing w:val="-5"/>
          <w:sz w:val="18"/>
        </w:rPr>
        <w:t> </w:t>
      </w:r>
      <w:r>
        <w:rPr>
          <w:sz w:val="18"/>
        </w:rPr>
        <w:t>to</w:t>
      </w:r>
      <w:r>
        <w:rPr>
          <w:spacing w:val="-2"/>
          <w:sz w:val="18"/>
        </w:rPr>
        <w:t> </w:t>
      </w:r>
      <w:r>
        <w:rPr>
          <w:sz w:val="18"/>
        </w:rPr>
        <w:t>Digital</w:t>
      </w:r>
      <w:r>
        <w:rPr>
          <w:spacing w:val="-2"/>
          <w:sz w:val="18"/>
        </w:rPr>
        <w:t> </w:t>
      </w:r>
      <w:r>
        <w:rPr>
          <w:sz w:val="18"/>
        </w:rPr>
        <w:t>Prototyping.”</w:t>
      </w:r>
      <w:r>
        <w:rPr>
          <w:spacing w:val="-9"/>
          <w:sz w:val="18"/>
        </w:rPr>
        <w:t> </w:t>
      </w:r>
      <w:r>
        <w:rPr>
          <w:sz w:val="18"/>
        </w:rPr>
        <w:t>Proceedings</w:t>
      </w:r>
      <w:r>
        <w:rPr>
          <w:spacing w:val="-3"/>
          <w:sz w:val="18"/>
        </w:rPr>
        <w:t> </w:t>
      </w:r>
      <w:r>
        <w:rPr>
          <w:sz w:val="18"/>
        </w:rPr>
        <w:t>ACADIA’05:</w:t>
      </w:r>
      <w:r>
        <w:rPr>
          <w:spacing w:val="-3"/>
          <w:sz w:val="18"/>
        </w:rPr>
        <w:t> </w:t>
      </w:r>
      <w:r>
        <w:rPr>
          <w:sz w:val="18"/>
        </w:rPr>
        <w:t>“Smart</w:t>
      </w:r>
      <w:r>
        <w:rPr>
          <w:spacing w:val="-3"/>
          <w:sz w:val="18"/>
        </w:rPr>
        <w:t> </w:t>
      </w:r>
      <w:r>
        <w:rPr>
          <w:sz w:val="18"/>
        </w:rPr>
        <w:t>Architecture”, Association for Computer-Aided Design in Architecture (ACADIA), SCAD, Savannah: Georgia. 2005. “Simulating electronically mediated collaboration: three games for synchronous play.” Proceedings ACSA'02: “Architecture in Communication”, Association of Collegiate Schools of Architecture (ACSA), New Orleans: Louisiana, 2002.</w:t>
      </w:r>
    </w:p>
    <w:p>
      <w:pPr>
        <w:spacing w:before="0"/>
        <w:ind w:left="1159" w:right="642" w:firstLine="0"/>
        <w:jc w:val="left"/>
        <w:rPr>
          <w:sz w:val="18"/>
        </w:rPr>
      </w:pPr>
      <w:r>
        <w:rPr>
          <w:sz w:val="18"/>
        </w:rPr>
        <w:t>Sánchez-del-Valle,</w:t>
      </w:r>
      <w:r>
        <w:rPr>
          <w:spacing w:val="-5"/>
          <w:sz w:val="18"/>
        </w:rPr>
        <w:t> </w:t>
      </w:r>
      <w:r>
        <w:rPr>
          <w:sz w:val="18"/>
        </w:rPr>
        <w:t>C.</w:t>
      </w:r>
      <w:r>
        <w:rPr>
          <w:spacing w:val="-3"/>
          <w:sz w:val="18"/>
        </w:rPr>
        <w:t> </w:t>
      </w:r>
      <w:r>
        <w:rPr>
          <w:sz w:val="18"/>
        </w:rPr>
        <w:t>&amp;</w:t>
      </w:r>
      <w:r>
        <w:rPr>
          <w:spacing w:val="-3"/>
          <w:sz w:val="18"/>
        </w:rPr>
        <w:t> </w:t>
      </w:r>
      <w:r>
        <w:rPr>
          <w:sz w:val="18"/>
        </w:rPr>
        <w:t>Abdel-Kawi,</w:t>
      </w:r>
      <w:r>
        <w:rPr>
          <w:spacing w:val="-3"/>
          <w:sz w:val="18"/>
        </w:rPr>
        <w:t> </w:t>
      </w:r>
      <w:r>
        <w:rPr>
          <w:sz w:val="18"/>
        </w:rPr>
        <w:t>A.</w:t>
      </w:r>
      <w:r>
        <w:rPr>
          <w:spacing w:val="-3"/>
          <w:sz w:val="18"/>
        </w:rPr>
        <w:t> </w:t>
      </w:r>
      <w:r>
        <w:rPr>
          <w:sz w:val="18"/>
        </w:rPr>
        <w:t>"Al-Mu'izz</w:t>
      </w:r>
      <w:r>
        <w:rPr>
          <w:spacing w:val="-4"/>
          <w:sz w:val="18"/>
        </w:rPr>
        <w:t> </w:t>
      </w:r>
      <w:r>
        <w:rPr>
          <w:sz w:val="18"/>
        </w:rPr>
        <w:t>Voyager:</w:t>
      </w:r>
      <w:r>
        <w:rPr>
          <w:spacing w:val="-5"/>
          <w:sz w:val="18"/>
        </w:rPr>
        <w:t> </w:t>
      </w:r>
      <w:r>
        <w:rPr>
          <w:sz w:val="18"/>
        </w:rPr>
        <w:t>City</w:t>
      </w:r>
      <w:r>
        <w:rPr>
          <w:spacing w:val="-4"/>
          <w:sz w:val="18"/>
        </w:rPr>
        <w:t> </w:t>
      </w:r>
      <w:r>
        <w:rPr>
          <w:sz w:val="18"/>
        </w:rPr>
        <w:t>Portrait",</w:t>
      </w:r>
      <w:r>
        <w:rPr>
          <w:spacing w:val="-3"/>
          <w:sz w:val="18"/>
        </w:rPr>
        <w:t> </w:t>
      </w:r>
      <w:r>
        <w:rPr>
          <w:sz w:val="18"/>
        </w:rPr>
        <w:t>in</w:t>
      </w:r>
      <w:r>
        <w:rPr>
          <w:spacing w:val="-2"/>
          <w:sz w:val="18"/>
        </w:rPr>
        <w:t> </w:t>
      </w:r>
      <w:r>
        <w:rPr>
          <w:sz w:val="18"/>
        </w:rPr>
        <w:t>Changing</w:t>
      </w:r>
      <w:r>
        <w:rPr>
          <w:spacing w:val="-2"/>
          <w:sz w:val="18"/>
        </w:rPr>
        <w:t> </w:t>
      </w:r>
      <w:r>
        <w:rPr>
          <w:sz w:val="18"/>
        </w:rPr>
        <w:t>Methodologies</w:t>
      </w:r>
      <w:r>
        <w:rPr>
          <w:spacing w:val="-4"/>
          <w:sz w:val="18"/>
        </w:rPr>
        <w:t> </w:t>
      </w:r>
      <w:r>
        <w:rPr>
          <w:sz w:val="18"/>
        </w:rPr>
        <w:t>in</w:t>
      </w:r>
      <w:r>
        <w:rPr>
          <w:spacing w:val="-2"/>
          <w:sz w:val="18"/>
        </w:rPr>
        <w:t> </w:t>
      </w:r>
      <w:r>
        <w:rPr>
          <w:sz w:val="18"/>
        </w:rPr>
        <w:t>the Field of Traditional-Environmental Research, Traditional Dwellings and Settlements Working Paper Series, Nezar Alsayyad (Ed.), CEDR, vol.61, Berkeley, 1994.</w:t>
      </w:r>
    </w:p>
    <w:p>
      <w:pPr>
        <w:spacing w:before="0"/>
        <w:ind w:left="1159" w:right="642" w:firstLine="0"/>
        <w:jc w:val="left"/>
        <w:rPr>
          <w:sz w:val="18"/>
        </w:rPr>
      </w:pPr>
      <w:r>
        <w:rPr>
          <w:sz w:val="18"/>
        </w:rPr>
        <w:t>Visiting Artist/Workshop for “Ecotone as a Site of Experimentation: The Karl Stirner Arts Trail,” Mapping Meaning</w:t>
      </w:r>
      <w:r>
        <w:rPr>
          <w:spacing w:val="-3"/>
          <w:sz w:val="18"/>
        </w:rPr>
        <w:t> </w:t>
      </w:r>
      <w:r>
        <w:rPr>
          <w:sz w:val="18"/>
        </w:rPr>
        <w:t>exhibition</w:t>
      </w:r>
      <w:r>
        <w:rPr>
          <w:spacing w:val="-3"/>
          <w:sz w:val="18"/>
        </w:rPr>
        <w:t> </w:t>
      </w:r>
      <w:r>
        <w:rPr>
          <w:sz w:val="18"/>
        </w:rPr>
        <w:t>and</w:t>
      </w:r>
      <w:r>
        <w:rPr>
          <w:spacing w:val="-3"/>
          <w:sz w:val="18"/>
        </w:rPr>
        <w:t> </w:t>
      </w:r>
      <w:r>
        <w:rPr>
          <w:sz w:val="18"/>
        </w:rPr>
        <w:t>symposium.</w:t>
      </w:r>
      <w:r>
        <w:rPr>
          <w:spacing w:val="-4"/>
          <w:sz w:val="18"/>
        </w:rPr>
        <w:t> </w:t>
      </w:r>
      <w:r>
        <w:rPr>
          <w:sz w:val="18"/>
        </w:rPr>
        <w:t>Lafayette</w:t>
      </w:r>
      <w:r>
        <w:rPr>
          <w:spacing w:val="-6"/>
          <w:sz w:val="18"/>
        </w:rPr>
        <w:t> </w:t>
      </w:r>
      <w:r>
        <w:rPr>
          <w:sz w:val="18"/>
        </w:rPr>
        <w:t>College</w:t>
      </w:r>
      <w:r>
        <w:rPr>
          <w:spacing w:val="-3"/>
          <w:sz w:val="18"/>
        </w:rPr>
        <w:t> </w:t>
      </w:r>
      <w:r>
        <w:rPr>
          <w:sz w:val="18"/>
        </w:rPr>
        <w:t>Art</w:t>
      </w:r>
      <w:r>
        <w:rPr>
          <w:spacing w:val="-6"/>
          <w:sz w:val="18"/>
        </w:rPr>
        <w:t> </w:t>
      </w:r>
      <w:r>
        <w:rPr>
          <w:sz w:val="18"/>
        </w:rPr>
        <w:t>Department</w:t>
      </w:r>
      <w:r>
        <w:rPr>
          <w:spacing w:val="-4"/>
          <w:sz w:val="18"/>
        </w:rPr>
        <w:t> </w:t>
      </w:r>
      <w:r>
        <w:rPr>
          <w:sz w:val="18"/>
        </w:rPr>
        <w:t>and</w:t>
      </w:r>
      <w:r>
        <w:rPr>
          <w:spacing w:val="-3"/>
          <w:sz w:val="18"/>
        </w:rPr>
        <w:t> </w:t>
      </w:r>
      <w:r>
        <w:rPr>
          <w:sz w:val="18"/>
        </w:rPr>
        <w:t>Galleries,</w:t>
      </w:r>
      <w:r>
        <w:rPr>
          <w:spacing w:val="-6"/>
          <w:sz w:val="18"/>
        </w:rPr>
        <w:t> </w:t>
      </w:r>
      <w:r>
        <w:rPr>
          <w:sz w:val="18"/>
        </w:rPr>
        <w:t>Easton:</w:t>
      </w:r>
      <w:r>
        <w:rPr>
          <w:spacing w:val="-4"/>
          <w:sz w:val="18"/>
        </w:rPr>
        <w:t> </w:t>
      </w:r>
      <w:r>
        <w:rPr>
          <w:sz w:val="18"/>
        </w:rPr>
        <w:t>Pennsylvania. </w:t>
      </w:r>
      <w:r>
        <w:rPr>
          <w:spacing w:val="-2"/>
          <w:sz w:val="18"/>
        </w:rPr>
        <w:t>2013.</w:t>
      </w:r>
    </w:p>
    <w:p>
      <w:pPr>
        <w:spacing w:before="0"/>
        <w:ind w:left="1159" w:right="712" w:firstLine="0"/>
        <w:jc w:val="left"/>
        <w:rPr>
          <w:sz w:val="18"/>
        </w:rPr>
      </w:pPr>
      <w:r>
        <w:rPr>
          <w:sz w:val="18"/>
        </w:rPr>
        <w:t>Presentation and micro-seminar: “Here, I Am, Now in Harlem: Literary Spaces and Physical Places”.</w:t>
      </w:r>
      <w:r>
        <w:rPr>
          <w:spacing w:val="-1"/>
          <w:sz w:val="18"/>
        </w:rPr>
        <w:t> </w:t>
      </w:r>
      <w:r>
        <w:rPr>
          <w:sz w:val="18"/>
        </w:rPr>
        <w:t>With Dr.</w:t>
      </w:r>
      <w:r>
        <w:rPr>
          <w:spacing w:val="-3"/>
          <w:sz w:val="18"/>
        </w:rPr>
        <w:t> </w:t>
      </w:r>
      <w:r>
        <w:rPr>
          <w:sz w:val="18"/>
        </w:rPr>
        <w:t>Karima</w:t>
      </w:r>
      <w:r>
        <w:rPr>
          <w:spacing w:val="-2"/>
          <w:sz w:val="18"/>
        </w:rPr>
        <w:t> </w:t>
      </w:r>
      <w:r>
        <w:rPr>
          <w:sz w:val="18"/>
        </w:rPr>
        <w:t>Jeffrey.</w:t>
      </w:r>
      <w:r>
        <w:rPr>
          <w:spacing w:val="-3"/>
          <w:sz w:val="18"/>
        </w:rPr>
        <w:t> </w:t>
      </w:r>
      <w:r>
        <w:rPr>
          <w:sz w:val="18"/>
        </w:rPr>
        <w:t>UNCF/Mellon</w:t>
      </w:r>
      <w:r>
        <w:rPr>
          <w:spacing w:val="-3"/>
          <w:sz w:val="18"/>
        </w:rPr>
        <w:t> </w:t>
      </w:r>
      <w:r>
        <w:rPr>
          <w:sz w:val="18"/>
        </w:rPr>
        <w:t>Foundation</w:t>
      </w:r>
      <w:r>
        <w:rPr>
          <w:spacing w:val="-5"/>
          <w:sz w:val="18"/>
        </w:rPr>
        <w:t> </w:t>
      </w:r>
      <w:r>
        <w:rPr>
          <w:sz w:val="18"/>
        </w:rPr>
        <w:t>“Expanding</w:t>
      </w:r>
      <w:r>
        <w:rPr>
          <w:spacing w:val="-2"/>
          <w:sz w:val="18"/>
        </w:rPr>
        <w:t> </w:t>
      </w:r>
      <w:r>
        <w:rPr>
          <w:sz w:val="18"/>
        </w:rPr>
        <w:t>the</w:t>
      </w:r>
      <w:r>
        <w:rPr>
          <w:spacing w:val="-5"/>
          <w:sz w:val="18"/>
        </w:rPr>
        <w:t> </w:t>
      </w:r>
      <w:r>
        <w:rPr>
          <w:sz w:val="18"/>
        </w:rPr>
        <w:t>Harlem</w:t>
      </w:r>
      <w:r>
        <w:rPr>
          <w:spacing w:val="-4"/>
          <w:sz w:val="18"/>
        </w:rPr>
        <w:t> </w:t>
      </w:r>
      <w:r>
        <w:rPr>
          <w:sz w:val="18"/>
        </w:rPr>
        <w:t>Renaissance’s</w:t>
      </w:r>
      <w:r>
        <w:rPr>
          <w:spacing w:val="-2"/>
          <w:sz w:val="18"/>
        </w:rPr>
        <w:t> </w:t>
      </w:r>
      <w:r>
        <w:rPr>
          <w:sz w:val="18"/>
        </w:rPr>
        <w:t>Relevance</w:t>
      </w:r>
      <w:r>
        <w:rPr>
          <w:spacing w:val="-5"/>
          <w:sz w:val="18"/>
        </w:rPr>
        <w:t> </w:t>
      </w:r>
      <w:r>
        <w:rPr>
          <w:sz w:val="18"/>
        </w:rPr>
        <w:t>across</w:t>
      </w:r>
      <w:r>
        <w:rPr>
          <w:spacing w:val="-2"/>
          <w:sz w:val="18"/>
        </w:rPr>
        <w:t> </w:t>
      </w:r>
      <w:r>
        <w:rPr>
          <w:sz w:val="18"/>
        </w:rPr>
        <w:t>the HBCU Curriculum” Program. 2013-2014 Paine College’s Teaching and Learning Institute. 2013, Augusta, Georgia. Spring 2014 Hampton University ENG 102 and ARC 617.</w:t>
      </w:r>
    </w:p>
    <w:p>
      <w:pPr>
        <w:spacing w:before="114"/>
        <w:ind w:left="440" w:right="0" w:firstLine="0"/>
        <w:jc w:val="left"/>
        <w:rPr>
          <w:b/>
          <w:sz w:val="20"/>
        </w:rPr>
      </w:pPr>
      <w:r>
        <w:rPr>
          <w:b/>
          <w:spacing w:val="-2"/>
          <w:sz w:val="20"/>
        </w:rPr>
        <w:t>Professional</w:t>
      </w:r>
      <w:r>
        <w:rPr>
          <w:b/>
          <w:spacing w:val="5"/>
          <w:sz w:val="20"/>
        </w:rPr>
        <w:t> </w:t>
      </w:r>
      <w:r>
        <w:rPr>
          <w:b/>
          <w:spacing w:val="-2"/>
          <w:sz w:val="20"/>
        </w:rPr>
        <w:t>Memberships:</w:t>
      </w:r>
    </w:p>
    <w:p>
      <w:pPr>
        <w:pStyle w:val="BodyText"/>
        <w:spacing w:before="3"/>
        <w:ind w:left="1159"/>
      </w:pPr>
      <w:r>
        <w:rPr/>
        <w:t>Colegio</w:t>
      </w:r>
      <w:r>
        <w:rPr>
          <w:spacing w:val="-8"/>
        </w:rPr>
        <w:t> </w:t>
      </w:r>
      <w:r>
        <w:rPr/>
        <w:t>de</w:t>
      </w:r>
      <w:r>
        <w:rPr>
          <w:spacing w:val="-7"/>
        </w:rPr>
        <w:t> </w:t>
      </w:r>
      <w:r>
        <w:rPr/>
        <w:t>Arquitectos</w:t>
      </w:r>
      <w:r>
        <w:rPr>
          <w:spacing w:val="-4"/>
        </w:rPr>
        <w:t> </w:t>
      </w:r>
      <w:r>
        <w:rPr/>
        <w:t>y</w:t>
      </w:r>
      <w:r>
        <w:rPr>
          <w:spacing w:val="-9"/>
        </w:rPr>
        <w:t> </w:t>
      </w:r>
      <w:r>
        <w:rPr/>
        <w:t>Arquitectos</w:t>
      </w:r>
      <w:r>
        <w:rPr>
          <w:spacing w:val="-7"/>
        </w:rPr>
        <w:t> </w:t>
      </w:r>
      <w:r>
        <w:rPr/>
        <w:t>Paisajistas</w:t>
      </w:r>
      <w:r>
        <w:rPr>
          <w:spacing w:val="-5"/>
        </w:rPr>
        <w:t> </w:t>
      </w:r>
      <w:r>
        <w:rPr/>
        <w:t>de</w:t>
      </w:r>
      <w:r>
        <w:rPr>
          <w:spacing w:val="-6"/>
        </w:rPr>
        <w:t> </w:t>
      </w:r>
      <w:r>
        <w:rPr/>
        <w:t>Puerto</w:t>
      </w:r>
      <w:r>
        <w:rPr>
          <w:spacing w:val="-8"/>
        </w:rPr>
        <w:t> </w:t>
      </w:r>
      <w:r>
        <w:rPr/>
        <w:t>Rico</w:t>
      </w:r>
      <w:r>
        <w:rPr>
          <w:spacing w:val="-6"/>
        </w:rPr>
        <w:t> </w:t>
      </w:r>
      <w:r>
        <w:rPr>
          <w:spacing w:val="-2"/>
        </w:rPr>
        <w:t>(CAAPPR)</w:t>
      </w:r>
    </w:p>
    <w:p>
      <w:pPr>
        <w:spacing w:after="0"/>
        <w:sectPr>
          <w:headerReference w:type="default" r:id="rId269"/>
          <w:footerReference w:type="default" r:id="rId270"/>
          <w:pgSz w:w="12240" w:h="15840"/>
          <w:pgMar w:header="0" w:footer="974" w:top="920" w:bottom="1160" w:left="1000" w:right="820"/>
        </w:sectPr>
      </w:pPr>
    </w:p>
    <w:p>
      <w:pPr>
        <w:spacing w:before="63"/>
        <w:ind w:left="440" w:right="0" w:firstLine="0"/>
        <w:jc w:val="left"/>
        <w:rPr>
          <w:b/>
          <w:sz w:val="20"/>
        </w:rPr>
      </w:pPr>
      <w:r>
        <w:rPr>
          <w:b/>
          <w:sz w:val="20"/>
        </w:rPr>
        <w:t>Selman,</w:t>
      </w:r>
      <w:r>
        <w:rPr>
          <w:b/>
          <w:spacing w:val="-11"/>
          <w:sz w:val="20"/>
        </w:rPr>
        <w:t> </w:t>
      </w:r>
      <w:r>
        <w:rPr>
          <w:b/>
          <w:sz w:val="20"/>
        </w:rPr>
        <w:t>Norma</w:t>
      </w:r>
      <w:r>
        <w:rPr>
          <w:b/>
          <w:spacing w:val="-8"/>
          <w:sz w:val="20"/>
        </w:rPr>
        <w:t> </w:t>
      </w:r>
      <w:r>
        <w:rPr>
          <w:b/>
          <w:spacing w:val="-2"/>
          <w:sz w:val="20"/>
        </w:rPr>
        <w:t>(Librarian)</w:t>
      </w:r>
    </w:p>
    <w:p>
      <w:pPr>
        <w:pStyle w:val="BodyText"/>
        <w:spacing w:before="4"/>
        <w:rPr>
          <w:b/>
          <w:sz w:val="21"/>
        </w:rPr>
      </w:pPr>
    </w:p>
    <w:p>
      <w:pPr>
        <w:pStyle w:val="BodyText"/>
        <w:ind w:left="440"/>
      </w:pPr>
      <w:r>
        <w:rPr>
          <w:spacing w:val="-2"/>
        </w:rPr>
        <w:t>Education:</w:t>
      </w:r>
    </w:p>
    <w:p>
      <w:pPr>
        <w:pStyle w:val="BodyText"/>
        <w:spacing w:before="7"/>
        <w:rPr>
          <w:sz w:val="23"/>
        </w:rPr>
      </w:pPr>
    </w:p>
    <w:p>
      <w:pPr>
        <w:pStyle w:val="BodyText"/>
        <w:spacing w:line="276" w:lineRule="auto"/>
        <w:ind w:left="1159" w:right="6668"/>
      </w:pPr>
      <w:r>
        <w:rPr/>
        <w:t>MA,</w:t>
      </w:r>
      <w:r>
        <w:rPr>
          <w:spacing w:val="-14"/>
        </w:rPr>
        <w:t> </w:t>
      </w:r>
      <w:r>
        <w:rPr/>
        <w:t>Museum</w:t>
      </w:r>
      <w:r>
        <w:rPr>
          <w:spacing w:val="-12"/>
        </w:rPr>
        <w:t> </w:t>
      </w:r>
      <w:r>
        <w:rPr/>
        <w:t>Studies,</w:t>
      </w:r>
      <w:r>
        <w:rPr>
          <w:spacing w:val="-14"/>
        </w:rPr>
        <w:t> </w:t>
      </w:r>
      <w:r>
        <w:rPr/>
        <w:t>1996 Hampton University Hampton, VA</w:t>
      </w:r>
    </w:p>
    <w:p>
      <w:pPr>
        <w:pStyle w:val="BodyText"/>
        <w:spacing w:before="2"/>
        <w:rPr>
          <w:sz w:val="21"/>
        </w:rPr>
      </w:pPr>
    </w:p>
    <w:p>
      <w:pPr>
        <w:pStyle w:val="BodyText"/>
        <w:spacing w:line="276" w:lineRule="auto"/>
        <w:ind w:left="1159" w:right="6668"/>
      </w:pPr>
      <w:r>
        <w:rPr/>
        <w:t>MLS,</w:t>
      </w:r>
      <w:r>
        <w:rPr>
          <w:spacing w:val="-14"/>
        </w:rPr>
        <w:t> </w:t>
      </w:r>
      <w:r>
        <w:rPr/>
        <w:t>Library</w:t>
      </w:r>
      <w:r>
        <w:rPr>
          <w:spacing w:val="-14"/>
        </w:rPr>
        <w:t> </w:t>
      </w:r>
      <w:r>
        <w:rPr/>
        <w:t>Science,</w:t>
      </w:r>
      <w:r>
        <w:rPr>
          <w:spacing w:val="-12"/>
        </w:rPr>
        <w:t> </w:t>
      </w:r>
      <w:r>
        <w:rPr/>
        <w:t>1990 Queens College</w:t>
      </w:r>
    </w:p>
    <w:p>
      <w:pPr>
        <w:pStyle w:val="BodyText"/>
        <w:spacing w:line="229" w:lineRule="exact"/>
        <w:ind w:left="1159"/>
      </w:pPr>
      <w:r>
        <w:rPr/>
        <w:t>New</w:t>
      </w:r>
      <w:r>
        <w:rPr>
          <w:spacing w:val="-4"/>
        </w:rPr>
        <w:t> </w:t>
      </w:r>
      <w:r>
        <w:rPr/>
        <w:t>York,</w:t>
      </w:r>
      <w:r>
        <w:rPr>
          <w:spacing w:val="-4"/>
        </w:rPr>
        <w:t> </w:t>
      </w:r>
      <w:r>
        <w:rPr>
          <w:spacing w:val="-5"/>
        </w:rPr>
        <w:t>NY</w:t>
      </w:r>
    </w:p>
    <w:p>
      <w:pPr>
        <w:pStyle w:val="BodyText"/>
        <w:spacing w:before="9"/>
        <w:rPr>
          <w:sz w:val="23"/>
        </w:rPr>
      </w:pPr>
    </w:p>
    <w:p>
      <w:pPr>
        <w:pStyle w:val="BodyText"/>
        <w:spacing w:line="276" w:lineRule="auto" w:before="1"/>
        <w:ind w:left="1159" w:right="7289"/>
        <w:jc w:val="both"/>
      </w:pPr>
      <w:r>
        <w:rPr/>
        <w:t>BA,</w:t>
      </w:r>
      <w:r>
        <w:rPr>
          <w:spacing w:val="-12"/>
        </w:rPr>
        <w:t> </w:t>
      </w:r>
      <w:r>
        <w:rPr/>
        <w:t>Psychology,</w:t>
      </w:r>
      <w:r>
        <w:rPr>
          <w:spacing w:val="-14"/>
        </w:rPr>
        <w:t> </w:t>
      </w:r>
      <w:r>
        <w:rPr/>
        <w:t>1982 Long</w:t>
      </w:r>
      <w:r>
        <w:rPr>
          <w:spacing w:val="-14"/>
        </w:rPr>
        <w:t> </w:t>
      </w:r>
      <w:r>
        <w:rPr/>
        <w:t>Island</w:t>
      </w:r>
      <w:r>
        <w:rPr>
          <w:spacing w:val="-14"/>
        </w:rPr>
        <w:t> </w:t>
      </w:r>
      <w:r>
        <w:rPr/>
        <w:t>University Brooklyn, NY</w:t>
      </w:r>
    </w:p>
    <w:p>
      <w:pPr>
        <w:pStyle w:val="BodyText"/>
        <w:spacing w:before="10"/>
      </w:pPr>
    </w:p>
    <w:p>
      <w:pPr>
        <w:pStyle w:val="BodyText"/>
        <w:ind w:left="439"/>
      </w:pPr>
      <w:r>
        <w:rPr>
          <w:spacing w:val="-2"/>
        </w:rPr>
        <w:t>Experience:</w:t>
      </w:r>
    </w:p>
    <w:p>
      <w:pPr>
        <w:pStyle w:val="BodyText"/>
        <w:spacing w:before="7"/>
        <w:rPr>
          <w:sz w:val="23"/>
        </w:rPr>
      </w:pPr>
    </w:p>
    <w:p>
      <w:pPr>
        <w:pStyle w:val="BodyText"/>
        <w:spacing w:line="278" w:lineRule="auto"/>
        <w:ind w:left="1159" w:right="6024"/>
      </w:pPr>
      <w:r>
        <w:rPr/>
        <w:t>Librarian,</w:t>
      </w:r>
      <w:r>
        <w:rPr>
          <w:spacing w:val="-14"/>
        </w:rPr>
        <w:t> </w:t>
      </w:r>
      <w:r>
        <w:rPr/>
        <w:t>Architecture</w:t>
      </w:r>
      <w:r>
        <w:rPr>
          <w:spacing w:val="-14"/>
        </w:rPr>
        <w:t> </w:t>
      </w:r>
      <w:r>
        <w:rPr/>
        <w:t>Department Hampton University</w:t>
      </w:r>
    </w:p>
    <w:p>
      <w:pPr>
        <w:pStyle w:val="BodyText"/>
        <w:spacing w:line="227" w:lineRule="exact"/>
        <w:ind w:left="1159"/>
        <w:jc w:val="both"/>
      </w:pPr>
      <w:r>
        <w:rPr/>
        <w:t>Hampton,</w:t>
      </w:r>
      <w:r>
        <w:rPr>
          <w:spacing w:val="-11"/>
        </w:rPr>
        <w:t> </w:t>
      </w:r>
      <w:r>
        <w:rPr>
          <w:spacing w:val="-5"/>
        </w:rPr>
        <w:t>VA</w:t>
      </w:r>
    </w:p>
    <w:p>
      <w:pPr>
        <w:pStyle w:val="BodyText"/>
        <w:spacing w:line="525" w:lineRule="auto" w:before="37"/>
        <w:ind w:left="439" w:right="7005" w:firstLine="720"/>
      </w:pPr>
      <w:r>
        <w:rPr/>
        <w:t>October</w:t>
      </w:r>
      <w:r>
        <w:rPr>
          <w:spacing w:val="-14"/>
        </w:rPr>
        <w:t> </w:t>
      </w:r>
      <w:r>
        <w:rPr/>
        <w:t>1991</w:t>
      </w:r>
      <w:r>
        <w:rPr>
          <w:spacing w:val="-14"/>
        </w:rPr>
        <w:t> </w:t>
      </w:r>
      <w:r>
        <w:rPr/>
        <w:t>-</w:t>
      </w:r>
      <w:r>
        <w:rPr>
          <w:spacing w:val="-13"/>
        </w:rPr>
        <w:t> </w:t>
      </w:r>
      <w:r>
        <w:rPr/>
        <w:t>present Professional Memberships:</w:t>
      </w:r>
    </w:p>
    <w:p>
      <w:pPr>
        <w:pStyle w:val="BodyText"/>
        <w:spacing w:line="278" w:lineRule="auto"/>
        <w:ind w:left="1159" w:right="5495"/>
      </w:pPr>
      <w:r>
        <w:rPr/>
        <w:t>American Library Association (ALA) Virginia</w:t>
      </w:r>
      <w:r>
        <w:rPr>
          <w:spacing w:val="-9"/>
        </w:rPr>
        <w:t> </w:t>
      </w:r>
      <w:r>
        <w:rPr/>
        <w:t>State</w:t>
      </w:r>
      <w:r>
        <w:rPr>
          <w:spacing w:val="-10"/>
        </w:rPr>
        <w:t> </w:t>
      </w:r>
      <w:r>
        <w:rPr/>
        <w:t>Library</w:t>
      </w:r>
      <w:r>
        <w:rPr>
          <w:spacing w:val="-13"/>
        </w:rPr>
        <w:t> </w:t>
      </w:r>
      <w:r>
        <w:rPr/>
        <w:t>Association</w:t>
      </w:r>
      <w:r>
        <w:rPr>
          <w:spacing w:val="-10"/>
        </w:rPr>
        <w:t> </w:t>
      </w:r>
      <w:r>
        <w:rPr/>
        <w:t>(VSLA)</w:t>
      </w:r>
    </w:p>
    <w:p>
      <w:pPr>
        <w:pStyle w:val="BodyText"/>
        <w:spacing w:line="528" w:lineRule="auto"/>
        <w:ind w:left="439" w:right="4400" w:firstLine="720"/>
      </w:pPr>
      <w:r>
        <w:rPr/>
        <w:t>Association</w:t>
      </w:r>
      <w:r>
        <w:rPr>
          <w:spacing w:val="-8"/>
        </w:rPr>
        <w:t> </w:t>
      </w:r>
      <w:r>
        <w:rPr/>
        <w:t>of</w:t>
      </w:r>
      <w:r>
        <w:rPr>
          <w:spacing w:val="-8"/>
        </w:rPr>
        <w:t> </w:t>
      </w:r>
      <w:r>
        <w:rPr/>
        <w:t>Architecture</w:t>
      </w:r>
      <w:r>
        <w:rPr>
          <w:spacing w:val="-8"/>
        </w:rPr>
        <w:t> </w:t>
      </w:r>
      <w:r>
        <w:rPr/>
        <w:t>School</w:t>
      </w:r>
      <w:r>
        <w:rPr>
          <w:spacing w:val="-10"/>
        </w:rPr>
        <w:t> </w:t>
      </w:r>
      <w:r>
        <w:rPr/>
        <w:t>Librarians</w:t>
      </w:r>
      <w:r>
        <w:rPr>
          <w:spacing w:val="-9"/>
        </w:rPr>
        <w:t> </w:t>
      </w:r>
      <w:r>
        <w:rPr/>
        <w:t>(AASL) Professional Development &amp; Research</w:t>
      </w:r>
    </w:p>
    <w:p>
      <w:pPr>
        <w:pStyle w:val="BodyText"/>
        <w:spacing w:line="278" w:lineRule="auto"/>
        <w:ind w:left="1159" w:right="642"/>
      </w:pPr>
      <w:r>
        <w:rPr/>
        <w:t>Participation</w:t>
      </w:r>
      <w:r>
        <w:rPr>
          <w:spacing w:val="-5"/>
        </w:rPr>
        <w:t> </w:t>
      </w:r>
      <w:r>
        <w:rPr/>
        <w:t>in</w:t>
      </w:r>
      <w:r>
        <w:rPr>
          <w:spacing w:val="-5"/>
        </w:rPr>
        <w:t> </w:t>
      </w:r>
      <w:r>
        <w:rPr/>
        <w:t>New</w:t>
      </w:r>
      <w:r>
        <w:rPr>
          <w:spacing w:val="-2"/>
        </w:rPr>
        <w:t> </w:t>
      </w:r>
      <w:r>
        <w:rPr/>
        <w:t>York</w:t>
      </w:r>
      <w:r>
        <w:rPr>
          <w:spacing w:val="-1"/>
        </w:rPr>
        <w:t> </w:t>
      </w:r>
      <w:r>
        <w:rPr/>
        <w:t>University</w:t>
      </w:r>
      <w:r>
        <w:rPr>
          <w:spacing w:val="-8"/>
        </w:rPr>
        <w:t> </w:t>
      </w:r>
      <w:r>
        <w:rPr/>
        <w:t>Faculty</w:t>
      </w:r>
      <w:r>
        <w:rPr>
          <w:spacing w:val="-5"/>
        </w:rPr>
        <w:t> </w:t>
      </w:r>
      <w:r>
        <w:rPr/>
        <w:t>Resource</w:t>
      </w:r>
      <w:r>
        <w:rPr>
          <w:spacing w:val="-3"/>
        </w:rPr>
        <w:t> </w:t>
      </w:r>
      <w:r>
        <w:rPr/>
        <w:t>Network</w:t>
      </w:r>
      <w:r>
        <w:rPr>
          <w:spacing w:val="-1"/>
        </w:rPr>
        <w:t> </w:t>
      </w:r>
      <w:r>
        <w:rPr/>
        <w:t>Summer</w:t>
      </w:r>
      <w:r>
        <w:rPr>
          <w:spacing w:val="-4"/>
        </w:rPr>
        <w:t> </w:t>
      </w:r>
      <w:r>
        <w:rPr/>
        <w:t>Seminar,</w:t>
      </w:r>
      <w:r>
        <w:rPr>
          <w:spacing w:val="-5"/>
        </w:rPr>
        <w:t> </w:t>
      </w:r>
      <w:r>
        <w:rPr/>
        <w:t>June</w:t>
      </w:r>
      <w:r>
        <w:rPr>
          <w:spacing w:val="-5"/>
        </w:rPr>
        <w:t> </w:t>
      </w:r>
      <w:r>
        <w:rPr/>
        <w:t>2001</w:t>
      </w:r>
      <w:r>
        <w:rPr>
          <w:spacing w:val="-5"/>
        </w:rPr>
        <w:t> </w:t>
      </w:r>
      <w:r>
        <w:rPr/>
        <w:t>- June 2013</w:t>
      </w:r>
    </w:p>
    <w:p>
      <w:pPr>
        <w:spacing w:after="0" w:line="278" w:lineRule="auto"/>
        <w:sectPr>
          <w:headerReference w:type="default" r:id="rId271"/>
          <w:footerReference w:type="default" r:id="rId272"/>
          <w:pgSz w:w="12240" w:h="15840"/>
          <w:pgMar w:header="0" w:footer="974" w:top="1160" w:bottom="1160" w:left="1000" w:right="820"/>
        </w:sectPr>
      </w:pPr>
    </w:p>
    <w:p>
      <w:pPr>
        <w:spacing w:before="63"/>
        <w:ind w:left="440" w:right="0" w:firstLine="0"/>
        <w:jc w:val="left"/>
        <w:rPr>
          <w:b/>
          <w:sz w:val="20"/>
        </w:rPr>
      </w:pPr>
      <w:r>
        <w:rPr>
          <w:b/>
          <w:sz w:val="20"/>
        </w:rPr>
        <w:t>Turner,</w:t>
      </w:r>
      <w:r>
        <w:rPr>
          <w:b/>
          <w:spacing w:val="-11"/>
          <w:sz w:val="20"/>
        </w:rPr>
        <w:t> </w:t>
      </w:r>
      <w:r>
        <w:rPr>
          <w:b/>
          <w:sz w:val="20"/>
        </w:rPr>
        <w:t>Marci,</w:t>
      </w:r>
      <w:r>
        <w:rPr>
          <w:b/>
          <w:spacing w:val="-8"/>
          <w:sz w:val="20"/>
        </w:rPr>
        <w:t> </w:t>
      </w:r>
      <w:r>
        <w:rPr>
          <w:b/>
          <w:sz w:val="20"/>
        </w:rPr>
        <w:t>Adjunct</w:t>
      </w:r>
      <w:r>
        <w:rPr>
          <w:b/>
          <w:spacing w:val="-6"/>
          <w:sz w:val="20"/>
        </w:rPr>
        <w:t> </w:t>
      </w:r>
      <w:r>
        <w:rPr>
          <w:b/>
          <w:sz w:val="20"/>
        </w:rPr>
        <w:t>Assistant</w:t>
      </w:r>
      <w:r>
        <w:rPr>
          <w:b/>
          <w:spacing w:val="-9"/>
          <w:sz w:val="20"/>
        </w:rPr>
        <w:t> </w:t>
      </w:r>
      <w:r>
        <w:rPr>
          <w:b/>
          <w:sz w:val="20"/>
        </w:rPr>
        <w:t>Professor</w:t>
      </w:r>
      <w:r>
        <w:rPr>
          <w:b/>
          <w:spacing w:val="-11"/>
          <w:sz w:val="20"/>
        </w:rPr>
        <w:t> </w:t>
      </w:r>
      <w:r>
        <w:rPr>
          <w:b/>
          <w:sz w:val="20"/>
        </w:rPr>
        <w:t>(formerly</w:t>
      </w:r>
      <w:r>
        <w:rPr>
          <w:b/>
          <w:spacing w:val="-10"/>
          <w:sz w:val="20"/>
        </w:rPr>
        <w:t> </w:t>
      </w:r>
      <w:r>
        <w:rPr>
          <w:b/>
          <w:sz w:val="20"/>
        </w:rPr>
        <w:t>Full-Time</w:t>
      </w:r>
      <w:r>
        <w:rPr>
          <w:b/>
          <w:spacing w:val="-9"/>
          <w:sz w:val="20"/>
        </w:rPr>
        <w:t> </w:t>
      </w:r>
      <w:r>
        <w:rPr>
          <w:b/>
          <w:sz w:val="20"/>
        </w:rPr>
        <w:t>Assistant</w:t>
      </w:r>
      <w:r>
        <w:rPr>
          <w:b/>
          <w:spacing w:val="-10"/>
          <w:sz w:val="20"/>
        </w:rPr>
        <w:t> </w:t>
      </w:r>
      <w:r>
        <w:rPr>
          <w:b/>
          <w:spacing w:val="-2"/>
          <w:sz w:val="20"/>
        </w:rPr>
        <w:t>Professor)</w:t>
      </w:r>
    </w:p>
    <w:p>
      <w:pPr>
        <w:pStyle w:val="BodyText"/>
        <w:rPr>
          <w:b/>
          <w:sz w:val="22"/>
        </w:rPr>
      </w:pPr>
    </w:p>
    <w:p>
      <w:pPr>
        <w:pStyle w:val="BodyText"/>
        <w:rPr>
          <w:b/>
          <w:sz w:val="22"/>
        </w:rPr>
      </w:pPr>
    </w:p>
    <w:p>
      <w:pPr>
        <w:spacing w:before="167"/>
        <w:ind w:left="439" w:right="0" w:firstLine="0"/>
        <w:jc w:val="left"/>
        <w:rPr>
          <w:b/>
          <w:sz w:val="20"/>
        </w:rPr>
      </w:pPr>
      <w:r>
        <w:rPr>
          <w:b/>
          <w:sz w:val="20"/>
        </w:rPr>
        <w:t>Courses</w:t>
      </w:r>
      <w:r>
        <w:rPr>
          <w:b/>
          <w:spacing w:val="-7"/>
          <w:sz w:val="20"/>
        </w:rPr>
        <w:t> </w:t>
      </w:r>
      <w:r>
        <w:rPr>
          <w:b/>
          <w:sz w:val="20"/>
        </w:rPr>
        <w:t>Taught</w:t>
      </w:r>
      <w:r>
        <w:rPr>
          <w:b/>
          <w:spacing w:val="-7"/>
          <w:sz w:val="20"/>
        </w:rPr>
        <w:t> </w:t>
      </w:r>
      <w:r>
        <w:rPr>
          <w:b/>
          <w:sz w:val="20"/>
        </w:rPr>
        <w:t>(during</w:t>
      </w:r>
      <w:r>
        <w:rPr>
          <w:b/>
          <w:spacing w:val="-7"/>
          <w:sz w:val="20"/>
        </w:rPr>
        <w:t> </w:t>
      </w:r>
      <w:r>
        <w:rPr>
          <w:b/>
          <w:sz w:val="20"/>
        </w:rPr>
        <w:t>the</w:t>
      </w:r>
      <w:r>
        <w:rPr>
          <w:b/>
          <w:spacing w:val="-8"/>
          <w:sz w:val="20"/>
        </w:rPr>
        <w:t> </w:t>
      </w:r>
      <w:r>
        <w:rPr>
          <w:b/>
          <w:sz w:val="20"/>
        </w:rPr>
        <w:t>past</w:t>
      </w:r>
      <w:r>
        <w:rPr>
          <w:b/>
          <w:spacing w:val="-7"/>
          <w:sz w:val="20"/>
        </w:rPr>
        <w:t> </w:t>
      </w:r>
      <w:r>
        <w:rPr>
          <w:b/>
          <w:sz w:val="20"/>
        </w:rPr>
        <w:t>two</w:t>
      </w:r>
      <w:r>
        <w:rPr>
          <w:b/>
          <w:spacing w:val="-7"/>
          <w:sz w:val="20"/>
        </w:rPr>
        <w:t> </w:t>
      </w:r>
      <w:r>
        <w:rPr>
          <w:b/>
          <w:sz w:val="20"/>
        </w:rPr>
        <w:t>academic</w:t>
      </w:r>
      <w:r>
        <w:rPr>
          <w:b/>
          <w:spacing w:val="-4"/>
          <w:sz w:val="20"/>
        </w:rPr>
        <w:t> </w:t>
      </w:r>
      <w:r>
        <w:rPr>
          <w:b/>
          <w:spacing w:val="-2"/>
          <w:sz w:val="20"/>
        </w:rPr>
        <w:t>years):</w:t>
      </w:r>
    </w:p>
    <w:p>
      <w:pPr>
        <w:pStyle w:val="BodyText"/>
        <w:ind w:left="1159"/>
      </w:pPr>
      <w:r>
        <w:rPr/>
        <w:t>Fall</w:t>
      </w:r>
      <w:r>
        <w:rPr>
          <w:spacing w:val="-5"/>
        </w:rPr>
        <w:t> </w:t>
      </w:r>
      <w:r>
        <w:rPr/>
        <w:t>2013:</w:t>
      </w:r>
      <w:r>
        <w:rPr>
          <w:spacing w:val="-4"/>
        </w:rPr>
        <w:t> </w:t>
      </w:r>
      <w:r>
        <w:rPr/>
        <w:t>ARC</w:t>
      </w:r>
      <w:r>
        <w:rPr>
          <w:spacing w:val="-3"/>
        </w:rPr>
        <w:t> </w:t>
      </w:r>
      <w:r>
        <w:rPr/>
        <w:t>203</w:t>
      </w:r>
      <w:r>
        <w:rPr>
          <w:spacing w:val="-3"/>
        </w:rPr>
        <w:t> </w:t>
      </w:r>
      <w:r>
        <w:rPr/>
        <w:t>–</w:t>
      </w:r>
      <w:r>
        <w:rPr>
          <w:spacing w:val="-4"/>
        </w:rPr>
        <w:t> </w:t>
      </w:r>
      <w:r>
        <w:rPr/>
        <w:t>Arch</w:t>
      </w:r>
      <w:r>
        <w:rPr>
          <w:spacing w:val="-6"/>
        </w:rPr>
        <w:t> </w:t>
      </w:r>
      <w:r>
        <w:rPr>
          <w:spacing w:val="-5"/>
        </w:rPr>
        <w:t>Rep</w:t>
      </w:r>
    </w:p>
    <w:p>
      <w:pPr>
        <w:pStyle w:val="BodyText"/>
        <w:spacing w:before="1"/>
        <w:ind w:left="1160" w:right="3879" w:hanging="1"/>
      </w:pPr>
      <w:r>
        <w:rPr/>
        <w:t>Spring</w:t>
      </w:r>
      <w:r>
        <w:rPr>
          <w:spacing w:val="-4"/>
        </w:rPr>
        <w:t> </w:t>
      </w:r>
      <w:r>
        <w:rPr/>
        <w:t>2013:</w:t>
      </w:r>
      <w:r>
        <w:rPr>
          <w:spacing w:val="-4"/>
        </w:rPr>
        <w:t> </w:t>
      </w:r>
      <w:r>
        <w:rPr/>
        <w:t>ARC</w:t>
      </w:r>
      <w:r>
        <w:rPr>
          <w:spacing w:val="-4"/>
        </w:rPr>
        <w:t> </w:t>
      </w:r>
      <w:r>
        <w:rPr/>
        <w:t>202</w:t>
      </w:r>
      <w:r>
        <w:rPr>
          <w:spacing w:val="-4"/>
        </w:rPr>
        <w:t> </w:t>
      </w:r>
      <w:r>
        <w:rPr/>
        <w:t>–</w:t>
      </w:r>
      <w:r>
        <w:rPr>
          <w:spacing w:val="-1"/>
        </w:rPr>
        <w:t> </w:t>
      </w:r>
      <w:r>
        <w:rPr/>
        <w:t>Bas</w:t>
      </w:r>
      <w:r>
        <w:rPr>
          <w:spacing w:val="-3"/>
        </w:rPr>
        <w:t> </w:t>
      </w:r>
      <w:r>
        <w:rPr/>
        <w:t>Arch</w:t>
      </w:r>
      <w:r>
        <w:rPr>
          <w:spacing w:val="-4"/>
        </w:rPr>
        <w:t> </w:t>
      </w:r>
      <w:r>
        <w:rPr/>
        <w:t>Des</w:t>
      </w:r>
      <w:r>
        <w:rPr>
          <w:spacing w:val="-3"/>
        </w:rPr>
        <w:t> </w:t>
      </w:r>
      <w:r>
        <w:rPr/>
        <w:t>II;</w:t>
      </w:r>
      <w:r>
        <w:rPr>
          <w:spacing w:val="-4"/>
        </w:rPr>
        <w:t> </w:t>
      </w:r>
      <w:r>
        <w:rPr/>
        <w:t>ARC</w:t>
      </w:r>
      <w:r>
        <w:rPr>
          <w:spacing w:val="-4"/>
        </w:rPr>
        <w:t> </w:t>
      </w:r>
      <w:r>
        <w:rPr/>
        <w:t>204</w:t>
      </w:r>
      <w:r>
        <w:rPr>
          <w:spacing w:val="-4"/>
        </w:rPr>
        <w:t> </w:t>
      </w:r>
      <w:r>
        <w:rPr/>
        <w:t>–</w:t>
      </w:r>
      <w:r>
        <w:rPr>
          <w:spacing w:val="-1"/>
        </w:rPr>
        <w:t> </w:t>
      </w:r>
      <w:r>
        <w:rPr/>
        <w:t>Rep</w:t>
      </w:r>
      <w:r>
        <w:rPr>
          <w:spacing w:val="-4"/>
        </w:rPr>
        <w:t> </w:t>
      </w:r>
      <w:r>
        <w:rPr/>
        <w:t>II Fall 2014: ARC 203 – Rep I</w:t>
      </w:r>
    </w:p>
    <w:p>
      <w:pPr>
        <w:pStyle w:val="BodyText"/>
        <w:spacing w:line="229" w:lineRule="exact"/>
        <w:ind w:left="1160"/>
      </w:pPr>
      <w:r>
        <w:rPr/>
        <w:t>Spring</w:t>
      </w:r>
      <w:r>
        <w:rPr>
          <w:spacing w:val="-5"/>
        </w:rPr>
        <w:t> </w:t>
      </w:r>
      <w:r>
        <w:rPr/>
        <w:t>2014:</w:t>
      </w:r>
      <w:r>
        <w:rPr>
          <w:spacing w:val="-4"/>
        </w:rPr>
        <w:t> </w:t>
      </w:r>
      <w:r>
        <w:rPr/>
        <w:t>ARC</w:t>
      </w:r>
      <w:r>
        <w:rPr>
          <w:spacing w:val="-4"/>
        </w:rPr>
        <w:t> </w:t>
      </w:r>
      <w:r>
        <w:rPr/>
        <w:t>203</w:t>
      </w:r>
      <w:r>
        <w:rPr>
          <w:spacing w:val="-5"/>
        </w:rPr>
        <w:t> </w:t>
      </w:r>
      <w:r>
        <w:rPr/>
        <w:t>–</w:t>
      </w:r>
      <w:r>
        <w:rPr>
          <w:spacing w:val="-1"/>
        </w:rPr>
        <w:t> </w:t>
      </w:r>
      <w:r>
        <w:rPr/>
        <w:t>Rep</w:t>
      </w:r>
      <w:r>
        <w:rPr>
          <w:spacing w:val="-4"/>
        </w:rPr>
        <w:t> </w:t>
      </w:r>
      <w:r>
        <w:rPr/>
        <w:t>I;</w:t>
      </w:r>
      <w:r>
        <w:rPr>
          <w:spacing w:val="-3"/>
        </w:rPr>
        <w:t> </w:t>
      </w:r>
      <w:r>
        <w:rPr/>
        <w:t>ARC</w:t>
      </w:r>
      <w:r>
        <w:rPr>
          <w:spacing w:val="-1"/>
        </w:rPr>
        <w:t> </w:t>
      </w:r>
      <w:r>
        <w:rPr/>
        <w:t>204</w:t>
      </w:r>
      <w:r>
        <w:rPr>
          <w:spacing w:val="-3"/>
        </w:rPr>
        <w:t> </w:t>
      </w:r>
      <w:r>
        <w:rPr/>
        <w:t>–</w:t>
      </w:r>
      <w:r>
        <w:rPr>
          <w:spacing w:val="-4"/>
        </w:rPr>
        <w:t> </w:t>
      </w:r>
      <w:r>
        <w:rPr/>
        <w:t>Rep</w:t>
      </w:r>
      <w:r>
        <w:rPr>
          <w:spacing w:val="-4"/>
        </w:rPr>
        <w:t> </w:t>
      </w:r>
      <w:r>
        <w:rPr>
          <w:spacing w:val="-5"/>
        </w:rPr>
        <w:t>II</w:t>
      </w:r>
    </w:p>
    <w:p>
      <w:pPr>
        <w:pStyle w:val="BodyText"/>
        <w:ind w:left="1160"/>
      </w:pPr>
      <w:r>
        <w:rPr/>
        <w:t>Summer</w:t>
      </w:r>
      <w:r>
        <w:rPr>
          <w:spacing w:val="-6"/>
        </w:rPr>
        <w:t> </w:t>
      </w:r>
      <w:r>
        <w:rPr/>
        <w:t>2014:</w:t>
      </w:r>
      <w:r>
        <w:rPr>
          <w:spacing w:val="44"/>
        </w:rPr>
        <w:t> </w:t>
      </w:r>
      <w:r>
        <w:rPr/>
        <w:t>ARC</w:t>
      </w:r>
      <w:r>
        <w:rPr>
          <w:spacing w:val="-7"/>
        </w:rPr>
        <w:t> </w:t>
      </w:r>
      <w:r>
        <w:rPr/>
        <w:t>204</w:t>
      </w:r>
      <w:r>
        <w:rPr>
          <w:spacing w:val="-3"/>
        </w:rPr>
        <w:t> </w:t>
      </w:r>
      <w:r>
        <w:rPr/>
        <w:t>–</w:t>
      </w:r>
      <w:r>
        <w:rPr>
          <w:spacing w:val="-5"/>
        </w:rPr>
        <w:t> </w:t>
      </w:r>
      <w:r>
        <w:rPr/>
        <w:t>Representation</w:t>
      </w:r>
      <w:r>
        <w:rPr>
          <w:spacing w:val="-4"/>
        </w:rPr>
        <w:t> </w:t>
      </w:r>
      <w:r>
        <w:rPr>
          <w:spacing w:val="-5"/>
        </w:rPr>
        <w:t>II</w:t>
      </w:r>
    </w:p>
    <w:p>
      <w:pPr>
        <w:pStyle w:val="BodyText"/>
        <w:spacing w:before="4"/>
        <w:rPr>
          <w:sz w:val="17"/>
        </w:rPr>
      </w:pPr>
    </w:p>
    <w:p>
      <w:pPr>
        <w:spacing w:before="1"/>
        <w:ind w:left="440" w:right="0" w:firstLine="0"/>
        <w:jc w:val="left"/>
        <w:rPr>
          <w:b/>
          <w:sz w:val="20"/>
        </w:rPr>
      </w:pPr>
      <w:r>
        <w:rPr>
          <w:b/>
          <w:spacing w:val="-2"/>
          <w:sz w:val="20"/>
        </w:rPr>
        <w:t>Educational</w:t>
      </w:r>
      <w:r>
        <w:rPr>
          <w:b/>
          <w:spacing w:val="6"/>
          <w:sz w:val="20"/>
        </w:rPr>
        <w:t> </w:t>
      </w:r>
      <w:r>
        <w:rPr>
          <w:b/>
          <w:spacing w:val="-2"/>
          <w:sz w:val="20"/>
        </w:rPr>
        <w:t>Credentials:</w:t>
      </w:r>
    </w:p>
    <w:p>
      <w:pPr>
        <w:pStyle w:val="BodyText"/>
        <w:ind w:left="1160" w:right="642"/>
      </w:pPr>
      <w:r>
        <w:rPr/>
        <w:t>Master’s</w:t>
      </w:r>
      <w:r>
        <w:rPr>
          <w:spacing w:val="-6"/>
        </w:rPr>
        <w:t> </w:t>
      </w:r>
      <w:r>
        <w:rPr/>
        <w:t>of</w:t>
      </w:r>
      <w:r>
        <w:rPr>
          <w:spacing w:val="-5"/>
        </w:rPr>
        <w:t> </w:t>
      </w:r>
      <w:r>
        <w:rPr/>
        <w:t>Business</w:t>
      </w:r>
      <w:r>
        <w:rPr>
          <w:spacing w:val="-6"/>
        </w:rPr>
        <w:t> </w:t>
      </w:r>
      <w:r>
        <w:rPr/>
        <w:t>Administration,</w:t>
      </w:r>
      <w:r>
        <w:rPr>
          <w:spacing w:val="-5"/>
        </w:rPr>
        <w:t> </w:t>
      </w:r>
      <w:r>
        <w:rPr/>
        <w:t>Strayer</w:t>
      </w:r>
      <w:r>
        <w:rPr>
          <w:spacing w:val="-6"/>
        </w:rPr>
        <w:t> </w:t>
      </w:r>
      <w:r>
        <w:rPr/>
        <w:t>University,</w:t>
      </w:r>
      <w:r>
        <w:rPr>
          <w:spacing w:val="-4"/>
        </w:rPr>
        <w:t> </w:t>
      </w:r>
      <w:r>
        <w:rPr/>
        <w:t>anticipated</w:t>
      </w:r>
      <w:r>
        <w:rPr>
          <w:spacing w:val="-5"/>
        </w:rPr>
        <w:t> </w:t>
      </w:r>
      <w:r>
        <w:rPr/>
        <w:t>graduation</w:t>
      </w:r>
      <w:r>
        <w:rPr>
          <w:spacing w:val="-6"/>
        </w:rPr>
        <w:t> </w:t>
      </w:r>
      <w:r>
        <w:rPr/>
        <w:t>December</w:t>
      </w:r>
      <w:r>
        <w:rPr>
          <w:spacing w:val="-6"/>
        </w:rPr>
        <w:t> </w:t>
      </w:r>
      <w:r>
        <w:rPr/>
        <w:t>2010 Bachelor’s of Architecture, Hampton University, 2002</w:t>
      </w:r>
    </w:p>
    <w:p>
      <w:pPr>
        <w:pStyle w:val="BodyText"/>
        <w:spacing w:before="5"/>
        <w:rPr>
          <w:sz w:val="17"/>
        </w:rPr>
      </w:pPr>
    </w:p>
    <w:p>
      <w:pPr>
        <w:spacing w:before="0"/>
        <w:ind w:left="439" w:right="0" w:firstLine="0"/>
        <w:jc w:val="left"/>
        <w:rPr>
          <w:b/>
          <w:sz w:val="20"/>
        </w:rPr>
      </w:pPr>
      <w:r>
        <w:rPr>
          <w:b/>
          <w:sz w:val="20"/>
        </w:rPr>
        <w:t>Teaching</w:t>
      </w:r>
      <w:r>
        <w:rPr>
          <w:b/>
          <w:spacing w:val="-10"/>
          <w:sz w:val="20"/>
        </w:rPr>
        <w:t> </w:t>
      </w:r>
      <w:r>
        <w:rPr>
          <w:b/>
          <w:spacing w:val="-2"/>
          <w:sz w:val="20"/>
        </w:rPr>
        <w:t>Experience</w:t>
      </w:r>
    </w:p>
    <w:p>
      <w:pPr>
        <w:pStyle w:val="BodyText"/>
        <w:ind w:left="1159" w:right="1003"/>
      </w:pPr>
      <w:r>
        <w:rPr/>
        <w:t>Assistant</w:t>
      </w:r>
      <w:r>
        <w:rPr>
          <w:spacing w:val="-4"/>
        </w:rPr>
        <w:t> </w:t>
      </w:r>
      <w:r>
        <w:rPr/>
        <w:t>Professor</w:t>
      </w:r>
      <w:r>
        <w:rPr>
          <w:spacing w:val="-5"/>
        </w:rPr>
        <w:t> </w:t>
      </w:r>
      <w:r>
        <w:rPr/>
        <w:t>of</w:t>
      </w:r>
      <w:r>
        <w:rPr>
          <w:spacing w:val="-4"/>
        </w:rPr>
        <w:t> </w:t>
      </w:r>
      <w:r>
        <w:rPr/>
        <w:t>Architecture,</w:t>
      </w:r>
      <w:r>
        <w:rPr>
          <w:spacing w:val="-4"/>
        </w:rPr>
        <w:t> </w:t>
      </w:r>
      <w:r>
        <w:rPr/>
        <w:t>HU</w:t>
      </w:r>
      <w:r>
        <w:rPr>
          <w:spacing w:val="-6"/>
        </w:rPr>
        <w:t> </w:t>
      </w:r>
      <w:r>
        <w:rPr/>
        <w:t>Department</w:t>
      </w:r>
      <w:r>
        <w:rPr>
          <w:spacing w:val="-6"/>
        </w:rPr>
        <w:t> </w:t>
      </w:r>
      <w:r>
        <w:rPr/>
        <w:t>of</w:t>
      </w:r>
      <w:r>
        <w:rPr>
          <w:spacing w:val="-4"/>
        </w:rPr>
        <w:t> </w:t>
      </w:r>
      <w:r>
        <w:rPr/>
        <w:t>Architecture,</w:t>
      </w:r>
      <w:r>
        <w:rPr>
          <w:spacing w:val="-6"/>
        </w:rPr>
        <w:t> </w:t>
      </w:r>
      <w:r>
        <w:rPr/>
        <w:t>2008-2011</w:t>
      </w:r>
      <w:r>
        <w:rPr>
          <w:spacing w:val="-6"/>
        </w:rPr>
        <w:t> </w:t>
      </w:r>
      <w:r>
        <w:rPr/>
        <w:t>(Adjunct) Assistant Professor of Architecture, HU Department of Architecture, 2012-2013 (F/T) Assistant</w:t>
      </w:r>
      <w:r>
        <w:rPr>
          <w:spacing w:val="-4"/>
        </w:rPr>
        <w:t> </w:t>
      </w:r>
      <w:r>
        <w:rPr/>
        <w:t>Professor</w:t>
      </w:r>
      <w:r>
        <w:rPr>
          <w:spacing w:val="-5"/>
        </w:rPr>
        <w:t> </w:t>
      </w:r>
      <w:r>
        <w:rPr/>
        <w:t>of</w:t>
      </w:r>
      <w:r>
        <w:rPr>
          <w:spacing w:val="-4"/>
        </w:rPr>
        <w:t> </w:t>
      </w:r>
      <w:r>
        <w:rPr/>
        <w:t>Architecture,</w:t>
      </w:r>
      <w:r>
        <w:rPr>
          <w:spacing w:val="-4"/>
        </w:rPr>
        <w:t> </w:t>
      </w:r>
      <w:r>
        <w:rPr/>
        <w:t>HU</w:t>
      </w:r>
      <w:r>
        <w:rPr>
          <w:spacing w:val="-6"/>
        </w:rPr>
        <w:t> </w:t>
      </w:r>
      <w:r>
        <w:rPr/>
        <w:t>Department</w:t>
      </w:r>
      <w:r>
        <w:rPr>
          <w:spacing w:val="-6"/>
        </w:rPr>
        <w:t> </w:t>
      </w:r>
      <w:r>
        <w:rPr/>
        <w:t>of</w:t>
      </w:r>
      <w:r>
        <w:rPr>
          <w:spacing w:val="-4"/>
        </w:rPr>
        <w:t> </w:t>
      </w:r>
      <w:r>
        <w:rPr/>
        <w:t>Architecture,</w:t>
      </w:r>
      <w:r>
        <w:rPr>
          <w:spacing w:val="-6"/>
        </w:rPr>
        <w:t> </w:t>
      </w:r>
      <w:r>
        <w:rPr/>
        <w:t>2013-2014</w:t>
      </w:r>
      <w:r>
        <w:rPr>
          <w:spacing w:val="-6"/>
        </w:rPr>
        <w:t> </w:t>
      </w:r>
      <w:r>
        <w:rPr/>
        <w:t>(Adjunct) Assistant</w:t>
      </w:r>
      <w:r>
        <w:rPr>
          <w:spacing w:val="-8"/>
        </w:rPr>
        <w:t> </w:t>
      </w:r>
      <w:r>
        <w:rPr/>
        <w:t>Professor</w:t>
      </w:r>
      <w:r>
        <w:rPr>
          <w:spacing w:val="-9"/>
        </w:rPr>
        <w:t> </w:t>
      </w:r>
      <w:r>
        <w:rPr/>
        <w:t>of</w:t>
      </w:r>
      <w:r>
        <w:rPr>
          <w:spacing w:val="-8"/>
        </w:rPr>
        <w:t> </w:t>
      </w:r>
      <w:r>
        <w:rPr/>
        <w:t>Architecture,</w:t>
      </w:r>
      <w:r>
        <w:rPr>
          <w:spacing w:val="-7"/>
        </w:rPr>
        <w:t> </w:t>
      </w:r>
      <w:r>
        <w:rPr/>
        <w:t>HU</w:t>
      </w:r>
      <w:r>
        <w:rPr>
          <w:spacing w:val="-10"/>
        </w:rPr>
        <w:t> </w:t>
      </w:r>
      <w:r>
        <w:rPr/>
        <w:t>Department</w:t>
      </w:r>
      <w:r>
        <w:rPr>
          <w:spacing w:val="-9"/>
        </w:rPr>
        <w:t> </w:t>
      </w:r>
      <w:r>
        <w:rPr/>
        <w:t>of</w:t>
      </w:r>
      <w:r>
        <w:rPr>
          <w:spacing w:val="-8"/>
        </w:rPr>
        <w:t> </w:t>
      </w:r>
      <w:r>
        <w:rPr/>
        <w:t>Architecture,</w:t>
      </w:r>
      <w:r>
        <w:rPr>
          <w:spacing w:val="-9"/>
        </w:rPr>
        <w:t> </w:t>
      </w:r>
      <w:r>
        <w:rPr/>
        <w:t>2008-2009</w:t>
      </w:r>
      <w:r>
        <w:rPr>
          <w:spacing w:val="-10"/>
        </w:rPr>
        <w:t> </w:t>
      </w:r>
      <w:r>
        <w:rPr>
          <w:spacing w:val="-2"/>
        </w:rPr>
        <w:t>(Adjunct)</w:t>
      </w:r>
    </w:p>
    <w:p>
      <w:pPr>
        <w:pStyle w:val="BodyText"/>
        <w:spacing w:before="3"/>
        <w:rPr>
          <w:sz w:val="17"/>
        </w:rPr>
      </w:pPr>
    </w:p>
    <w:p>
      <w:pPr>
        <w:spacing w:before="1"/>
        <w:ind w:left="439" w:right="0" w:firstLine="0"/>
        <w:jc w:val="left"/>
        <w:rPr>
          <w:b/>
          <w:sz w:val="20"/>
        </w:rPr>
      </w:pPr>
      <w:r>
        <w:rPr>
          <w:b/>
          <w:spacing w:val="-2"/>
          <w:sz w:val="20"/>
        </w:rPr>
        <w:t>Professional</w:t>
      </w:r>
      <w:r>
        <w:rPr>
          <w:b/>
          <w:spacing w:val="7"/>
          <w:sz w:val="20"/>
        </w:rPr>
        <w:t> </w:t>
      </w:r>
      <w:r>
        <w:rPr>
          <w:b/>
          <w:spacing w:val="-2"/>
          <w:sz w:val="20"/>
        </w:rPr>
        <w:t>Experience</w:t>
      </w:r>
    </w:p>
    <w:p>
      <w:pPr>
        <w:pStyle w:val="BodyText"/>
        <w:ind w:left="1159"/>
      </w:pPr>
      <w:r>
        <w:rPr>
          <w:spacing w:val="-2"/>
        </w:rPr>
        <w:t>Owner,</w:t>
      </w:r>
    </w:p>
    <w:p>
      <w:pPr>
        <w:pStyle w:val="BodyText"/>
        <w:rPr>
          <w:sz w:val="22"/>
        </w:rPr>
      </w:pPr>
    </w:p>
    <w:p>
      <w:pPr>
        <w:spacing w:before="177"/>
        <w:ind w:left="439" w:right="0" w:firstLine="0"/>
        <w:jc w:val="left"/>
        <w:rPr>
          <w:b/>
          <w:sz w:val="20"/>
        </w:rPr>
      </w:pPr>
      <w:r>
        <w:rPr>
          <w:b/>
          <w:sz w:val="20"/>
        </w:rPr>
        <w:t>Licenses</w:t>
      </w:r>
      <w:r>
        <w:rPr>
          <w:b/>
          <w:spacing w:val="-7"/>
          <w:sz w:val="20"/>
        </w:rPr>
        <w:t> </w:t>
      </w:r>
      <w:r>
        <w:rPr>
          <w:b/>
          <w:sz w:val="20"/>
        </w:rPr>
        <w:t>/</w:t>
      </w:r>
      <w:r>
        <w:rPr>
          <w:b/>
          <w:spacing w:val="-7"/>
          <w:sz w:val="20"/>
        </w:rPr>
        <w:t> </w:t>
      </w:r>
      <w:r>
        <w:rPr>
          <w:b/>
          <w:spacing w:val="-2"/>
          <w:sz w:val="20"/>
        </w:rPr>
        <w:t>Registrations:</w:t>
      </w:r>
    </w:p>
    <w:p>
      <w:pPr>
        <w:pStyle w:val="BodyText"/>
        <w:spacing w:before="1"/>
        <w:ind w:left="1160"/>
      </w:pPr>
      <w:r>
        <w:rPr>
          <w:spacing w:val="-2"/>
        </w:rPr>
        <w:t>Maryland</w:t>
      </w:r>
    </w:p>
    <w:p>
      <w:pPr>
        <w:pStyle w:val="BodyText"/>
        <w:spacing w:before="4"/>
        <w:rPr>
          <w:sz w:val="17"/>
        </w:rPr>
      </w:pPr>
    </w:p>
    <w:p>
      <w:pPr>
        <w:spacing w:before="0"/>
        <w:ind w:left="440" w:right="0" w:firstLine="0"/>
        <w:jc w:val="left"/>
        <w:rPr>
          <w:b/>
          <w:sz w:val="20"/>
        </w:rPr>
      </w:pPr>
      <w:r>
        <w:rPr>
          <w:b/>
          <w:spacing w:val="-2"/>
          <w:sz w:val="20"/>
        </w:rPr>
        <w:t>Professional</w:t>
      </w:r>
      <w:r>
        <w:rPr>
          <w:b/>
          <w:spacing w:val="5"/>
          <w:sz w:val="20"/>
        </w:rPr>
        <w:t> </w:t>
      </w:r>
      <w:r>
        <w:rPr>
          <w:b/>
          <w:spacing w:val="-2"/>
          <w:sz w:val="20"/>
        </w:rPr>
        <w:t>Memberships:</w:t>
      </w:r>
    </w:p>
    <w:p>
      <w:pPr>
        <w:pStyle w:val="BodyText"/>
        <w:spacing w:before="1"/>
        <w:ind w:left="1160"/>
      </w:pPr>
      <w:r>
        <w:rPr/>
        <w:t>American</w:t>
      </w:r>
      <w:r>
        <w:rPr>
          <w:spacing w:val="-9"/>
        </w:rPr>
        <w:t> </w:t>
      </w:r>
      <w:r>
        <w:rPr/>
        <w:t>Institute</w:t>
      </w:r>
      <w:r>
        <w:rPr>
          <w:spacing w:val="-6"/>
        </w:rPr>
        <w:t> </w:t>
      </w:r>
      <w:r>
        <w:rPr/>
        <w:t>of</w:t>
      </w:r>
      <w:r>
        <w:rPr>
          <w:spacing w:val="-7"/>
        </w:rPr>
        <w:t> </w:t>
      </w:r>
      <w:r>
        <w:rPr/>
        <w:t>Architects,</w:t>
      </w:r>
      <w:r>
        <w:rPr>
          <w:spacing w:val="-8"/>
        </w:rPr>
        <w:t> </w:t>
      </w:r>
      <w:r>
        <w:rPr/>
        <w:t>member</w:t>
      </w:r>
      <w:r>
        <w:rPr>
          <w:spacing w:val="-8"/>
        </w:rPr>
        <w:t> </w:t>
      </w:r>
      <w:r>
        <w:rPr/>
        <w:t>of</w:t>
      </w:r>
      <w:r>
        <w:rPr>
          <w:spacing w:val="-6"/>
        </w:rPr>
        <w:t> </w:t>
      </w:r>
      <w:r>
        <w:rPr/>
        <w:t>Board</w:t>
      </w:r>
      <w:r>
        <w:rPr>
          <w:spacing w:val="-7"/>
        </w:rPr>
        <w:t> </w:t>
      </w:r>
      <w:r>
        <w:rPr/>
        <w:t>of</w:t>
      </w:r>
      <w:r>
        <w:rPr>
          <w:spacing w:val="-6"/>
        </w:rPr>
        <w:t> </w:t>
      </w:r>
      <w:r>
        <w:rPr/>
        <w:t>Directors,</w:t>
      </w:r>
      <w:r>
        <w:rPr>
          <w:spacing w:val="-9"/>
        </w:rPr>
        <w:t> </w:t>
      </w:r>
      <w:r>
        <w:rPr/>
        <w:t>Virginia</w:t>
      </w:r>
      <w:r>
        <w:rPr>
          <w:spacing w:val="-6"/>
        </w:rPr>
        <w:t> </w:t>
      </w:r>
      <w:r>
        <w:rPr>
          <w:spacing w:val="-2"/>
        </w:rPr>
        <w:t>Society</w:t>
      </w:r>
    </w:p>
    <w:p>
      <w:pPr>
        <w:pStyle w:val="BodyText"/>
        <w:spacing w:before="4"/>
        <w:rPr>
          <w:sz w:val="17"/>
        </w:rPr>
      </w:pPr>
    </w:p>
    <w:p>
      <w:pPr>
        <w:spacing w:before="0"/>
        <w:ind w:left="439" w:right="0" w:firstLine="0"/>
        <w:jc w:val="left"/>
        <w:rPr>
          <w:b/>
          <w:sz w:val="20"/>
        </w:rPr>
      </w:pPr>
      <w:r>
        <w:rPr>
          <w:b/>
          <w:sz w:val="20"/>
        </w:rPr>
        <w:t>Professional</w:t>
      </w:r>
      <w:r>
        <w:rPr>
          <w:b/>
          <w:spacing w:val="-11"/>
          <w:sz w:val="20"/>
        </w:rPr>
        <w:t> </w:t>
      </w:r>
      <w:r>
        <w:rPr>
          <w:b/>
          <w:sz w:val="20"/>
        </w:rPr>
        <w:t>Development</w:t>
      </w:r>
      <w:r>
        <w:rPr>
          <w:b/>
          <w:spacing w:val="-10"/>
          <w:sz w:val="20"/>
        </w:rPr>
        <w:t> </w:t>
      </w:r>
      <w:r>
        <w:rPr>
          <w:b/>
          <w:sz w:val="20"/>
        </w:rPr>
        <w:t>&amp;</w:t>
      </w:r>
      <w:r>
        <w:rPr>
          <w:b/>
          <w:spacing w:val="-10"/>
          <w:sz w:val="20"/>
        </w:rPr>
        <w:t> </w:t>
      </w:r>
      <w:r>
        <w:rPr>
          <w:b/>
          <w:spacing w:val="-2"/>
          <w:sz w:val="20"/>
        </w:rPr>
        <w:t>Research</w:t>
      </w:r>
    </w:p>
    <w:p>
      <w:pPr>
        <w:spacing w:after="0"/>
        <w:jc w:val="left"/>
        <w:rPr>
          <w:sz w:val="20"/>
        </w:rPr>
        <w:sectPr>
          <w:headerReference w:type="default" r:id="rId273"/>
          <w:footerReference w:type="default" r:id="rId274"/>
          <w:pgSz w:w="12240" w:h="15840"/>
          <w:pgMar w:header="0" w:footer="974" w:top="920" w:bottom="1160" w:left="1000" w:right="820"/>
        </w:sectPr>
      </w:pPr>
    </w:p>
    <w:p>
      <w:pPr>
        <w:pStyle w:val="ListParagraph"/>
        <w:numPr>
          <w:ilvl w:val="1"/>
          <w:numId w:val="64"/>
        </w:numPr>
        <w:tabs>
          <w:tab w:pos="1233" w:val="left" w:leader="none"/>
        </w:tabs>
        <w:spacing w:line="240" w:lineRule="auto" w:before="75" w:after="0"/>
        <w:ind w:left="1232" w:right="0" w:hanging="433"/>
        <w:jc w:val="left"/>
        <w:rPr>
          <w:b/>
          <w:sz w:val="20"/>
        </w:rPr>
      </w:pPr>
      <w:r>
        <w:rPr>
          <w:b/>
          <w:sz w:val="20"/>
        </w:rPr>
        <w:t>Visiting</w:t>
      </w:r>
      <w:r>
        <w:rPr>
          <w:b/>
          <w:spacing w:val="-9"/>
          <w:sz w:val="20"/>
        </w:rPr>
        <w:t> </w:t>
      </w:r>
      <w:r>
        <w:rPr>
          <w:b/>
          <w:sz w:val="20"/>
        </w:rPr>
        <w:t>Team</w:t>
      </w:r>
      <w:r>
        <w:rPr>
          <w:b/>
          <w:spacing w:val="-6"/>
          <w:sz w:val="20"/>
        </w:rPr>
        <w:t> </w:t>
      </w:r>
      <w:r>
        <w:rPr>
          <w:b/>
          <w:sz w:val="20"/>
        </w:rPr>
        <w:t>Report</w:t>
      </w:r>
      <w:r>
        <w:rPr>
          <w:b/>
          <w:spacing w:val="-6"/>
          <w:sz w:val="20"/>
        </w:rPr>
        <w:t> </w:t>
      </w:r>
      <w:r>
        <w:rPr>
          <w:b/>
          <w:sz w:val="20"/>
        </w:rPr>
        <w:t>(VTR)</w:t>
      </w:r>
      <w:r>
        <w:rPr>
          <w:b/>
          <w:spacing w:val="-7"/>
          <w:sz w:val="20"/>
        </w:rPr>
        <w:t> </w:t>
      </w:r>
      <w:r>
        <w:rPr>
          <w:b/>
          <w:sz w:val="20"/>
        </w:rPr>
        <w:t>from</w:t>
      </w:r>
      <w:r>
        <w:rPr>
          <w:b/>
          <w:spacing w:val="-6"/>
          <w:sz w:val="20"/>
        </w:rPr>
        <w:t> </w:t>
      </w:r>
      <w:r>
        <w:rPr>
          <w:b/>
          <w:sz w:val="20"/>
        </w:rPr>
        <w:t>the</w:t>
      </w:r>
      <w:r>
        <w:rPr>
          <w:b/>
          <w:spacing w:val="-7"/>
          <w:sz w:val="20"/>
        </w:rPr>
        <w:t> </w:t>
      </w:r>
      <w:r>
        <w:rPr>
          <w:b/>
          <w:sz w:val="20"/>
        </w:rPr>
        <w:t>previous</w:t>
      </w:r>
      <w:r>
        <w:rPr>
          <w:b/>
          <w:spacing w:val="-7"/>
          <w:sz w:val="20"/>
        </w:rPr>
        <w:t> </w:t>
      </w:r>
      <w:r>
        <w:rPr>
          <w:b/>
          <w:spacing w:val="-4"/>
          <w:sz w:val="20"/>
        </w:rPr>
        <w:t>visit</w:t>
      </w:r>
    </w:p>
    <w:p>
      <w:pPr>
        <w:pStyle w:val="BodyText"/>
        <w:spacing w:before="1"/>
        <w:rPr>
          <w:b/>
          <w:sz w:val="21"/>
        </w:rPr>
      </w:pPr>
    </w:p>
    <w:p>
      <w:pPr>
        <w:pStyle w:val="ListParagraph"/>
        <w:numPr>
          <w:ilvl w:val="2"/>
          <w:numId w:val="64"/>
        </w:numPr>
        <w:tabs>
          <w:tab w:pos="1664" w:val="left" w:leader="none"/>
        </w:tabs>
        <w:spacing w:line="240" w:lineRule="auto" w:before="0" w:after="0"/>
        <w:ind w:left="1663" w:right="0" w:hanging="505"/>
        <w:jc w:val="left"/>
        <w:rPr>
          <w:sz w:val="20"/>
        </w:rPr>
      </w:pPr>
      <w:r>
        <w:rPr>
          <w:sz w:val="20"/>
        </w:rPr>
        <w:t>Visiting</w:t>
      </w:r>
      <w:r>
        <w:rPr>
          <w:spacing w:val="-8"/>
          <w:sz w:val="20"/>
        </w:rPr>
        <w:t> </w:t>
      </w:r>
      <w:r>
        <w:rPr>
          <w:sz w:val="20"/>
        </w:rPr>
        <w:t>Team</w:t>
      </w:r>
      <w:r>
        <w:rPr>
          <w:spacing w:val="-3"/>
          <w:sz w:val="20"/>
        </w:rPr>
        <w:t> </w:t>
      </w:r>
      <w:r>
        <w:rPr>
          <w:sz w:val="20"/>
        </w:rPr>
        <w:t>Report</w:t>
      </w:r>
      <w:r>
        <w:rPr>
          <w:spacing w:val="-7"/>
          <w:sz w:val="20"/>
        </w:rPr>
        <w:t> </w:t>
      </w:r>
      <w:r>
        <w:rPr>
          <w:sz w:val="20"/>
        </w:rPr>
        <w:t>from</w:t>
      </w:r>
      <w:r>
        <w:rPr>
          <w:spacing w:val="-5"/>
          <w:sz w:val="20"/>
        </w:rPr>
        <w:t> </w:t>
      </w:r>
      <w:r>
        <w:rPr>
          <w:sz w:val="20"/>
        </w:rPr>
        <w:t>April,</w:t>
      </w:r>
      <w:r>
        <w:rPr>
          <w:spacing w:val="-8"/>
          <w:sz w:val="20"/>
        </w:rPr>
        <w:t> </w:t>
      </w:r>
      <w:r>
        <w:rPr>
          <w:sz w:val="20"/>
        </w:rPr>
        <w:t>2009</w:t>
      </w:r>
      <w:r>
        <w:rPr>
          <w:spacing w:val="-5"/>
          <w:sz w:val="20"/>
        </w:rPr>
        <w:t> </w:t>
      </w:r>
      <w:r>
        <w:rPr>
          <w:spacing w:val="-4"/>
          <w:sz w:val="20"/>
        </w:rPr>
        <w:t>Visit</w:t>
      </w:r>
    </w:p>
    <w:p>
      <w:pPr>
        <w:pStyle w:val="BodyText"/>
        <w:spacing w:before="10"/>
      </w:pPr>
    </w:p>
    <w:p>
      <w:pPr>
        <w:pStyle w:val="ListParagraph"/>
        <w:numPr>
          <w:ilvl w:val="2"/>
          <w:numId w:val="64"/>
        </w:numPr>
        <w:tabs>
          <w:tab w:pos="1664" w:val="left" w:leader="none"/>
        </w:tabs>
        <w:spacing w:line="240" w:lineRule="auto" w:before="0" w:after="0"/>
        <w:ind w:left="1663" w:right="0" w:hanging="505"/>
        <w:jc w:val="left"/>
        <w:rPr>
          <w:sz w:val="20"/>
        </w:rPr>
      </w:pPr>
      <w:r>
        <w:rPr>
          <w:sz w:val="20"/>
        </w:rPr>
        <w:t>Visiting</w:t>
      </w:r>
      <w:r>
        <w:rPr>
          <w:spacing w:val="-10"/>
          <w:sz w:val="20"/>
        </w:rPr>
        <w:t> </w:t>
      </w:r>
      <w:r>
        <w:rPr>
          <w:sz w:val="20"/>
        </w:rPr>
        <w:t>Team</w:t>
      </w:r>
      <w:r>
        <w:rPr>
          <w:spacing w:val="-4"/>
          <w:sz w:val="20"/>
        </w:rPr>
        <w:t> </w:t>
      </w:r>
      <w:r>
        <w:rPr>
          <w:sz w:val="20"/>
        </w:rPr>
        <w:t>Report</w:t>
      </w:r>
      <w:r>
        <w:rPr>
          <w:spacing w:val="-9"/>
          <w:sz w:val="20"/>
        </w:rPr>
        <w:t> </w:t>
      </w:r>
      <w:r>
        <w:rPr>
          <w:sz w:val="20"/>
        </w:rPr>
        <w:t>from</w:t>
      </w:r>
      <w:r>
        <w:rPr>
          <w:spacing w:val="-5"/>
          <w:sz w:val="20"/>
        </w:rPr>
        <w:t> </w:t>
      </w:r>
      <w:r>
        <w:rPr>
          <w:sz w:val="20"/>
        </w:rPr>
        <w:t>Interim</w:t>
      </w:r>
      <w:r>
        <w:rPr>
          <w:spacing w:val="-5"/>
          <w:sz w:val="20"/>
        </w:rPr>
        <w:t> </w:t>
      </w:r>
      <w:r>
        <w:rPr>
          <w:sz w:val="20"/>
        </w:rPr>
        <w:t>Review,</w:t>
      </w:r>
      <w:r>
        <w:rPr>
          <w:spacing w:val="-7"/>
          <w:sz w:val="20"/>
        </w:rPr>
        <w:t> </w:t>
      </w:r>
      <w:r>
        <w:rPr>
          <w:spacing w:val="-4"/>
          <w:sz w:val="20"/>
        </w:rPr>
        <w:t>2012</w:t>
      </w:r>
    </w:p>
    <w:p>
      <w:pPr>
        <w:spacing w:after="0" w:line="240" w:lineRule="auto"/>
        <w:jc w:val="left"/>
        <w:rPr>
          <w:sz w:val="20"/>
        </w:rPr>
        <w:sectPr>
          <w:headerReference w:type="default" r:id="rId275"/>
          <w:footerReference w:type="default" r:id="rId276"/>
          <w:pgSz w:w="12240" w:h="15840"/>
          <w:pgMar w:header="0" w:footer="974" w:top="1600" w:bottom="1160" w:left="1000" w:right="820"/>
        </w:sectPr>
      </w:pPr>
    </w:p>
    <w:p>
      <w:pPr>
        <w:numPr>
          <w:ilvl w:val="1"/>
          <w:numId w:val="64"/>
        </w:numPr>
        <w:tabs>
          <w:tab w:pos="1233" w:val="left" w:leader="none"/>
        </w:tabs>
        <w:spacing w:before="75"/>
        <w:ind w:left="1232" w:right="0" w:hanging="433"/>
        <w:jc w:val="left"/>
        <w:rPr>
          <w:b/>
          <w:sz w:val="20"/>
        </w:rPr>
      </w:pPr>
      <w:r>
        <w:rPr>
          <w:b/>
          <w:sz w:val="20"/>
        </w:rPr>
        <w:t>University</w:t>
      </w:r>
      <w:r>
        <w:rPr>
          <w:b/>
          <w:spacing w:val="-14"/>
          <w:sz w:val="20"/>
        </w:rPr>
        <w:t> </w:t>
      </w:r>
      <w:r>
        <w:rPr>
          <w:b/>
          <w:spacing w:val="-2"/>
          <w:sz w:val="20"/>
        </w:rPr>
        <w:t>Catalog</w:t>
      </w:r>
    </w:p>
    <w:p>
      <w:pPr>
        <w:pStyle w:val="BodyText"/>
        <w:spacing w:before="1"/>
        <w:rPr>
          <w:b/>
          <w:sz w:val="21"/>
        </w:rPr>
      </w:pPr>
    </w:p>
    <w:p>
      <w:pPr>
        <w:pStyle w:val="BodyText"/>
        <w:spacing w:line="491" w:lineRule="auto"/>
        <w:ind w:left="1159" w:right="1490"/>
      </w:pPr>
      <w:r>
        <w:rPr/>
        <w:t>University Catalog can be found at the following link: </w:t>
      </w:r>
      <w:hyperlink r:id="rId279">
        <w:r>
          <w:rPr>
            <w:color w:val="0000FF"/>
            <w:spacing w:val="-2"/>
            <w:u w:val="single" w:color="0000FF"/>
          </w:rPr>
          <w:t>http://docs.hamptonu.edu/student/2012-2014_Academic_Catalog_20120921151350.pdf</w:t>
        </w:r>
      </w:hyperlink>
    </w:p>
    <w:p>
      <w:pPr>
        <w:spacing w:after="0" w:line="491" w:lineRule="auto"/>
        <w:sectPr>
          <w:headerReference w:type="default" r:id="rId277"/>
          <w:footerReference w:type="default" r:id="rId278"/>
          <w:pgSz w:w="12240" w:h="15840"/>
          <w:pgMar w:header="0" w:footer="974" w:top="1600" w:bottom="1160" w:left="1000" w:right="820"/>
        </w:sectPr>
      </w:pPr>
    </w:p>
    <w:p>
      <w:pPr>
        <w:pStyle w:val="ListParagraph"/>
        <w:numPr>
          <w:ilvl w:val="1"/>
          <w:numId w:val="64"/>
        </w:numPr>
        <w:tabs>
          <w:tab w:pos="1233" w:val="left" w:leader="none"/>
        </w:tabs>
        <w:spacing w:line="240" w:lineRule="auto" w:before="75" w:after="0"/>
        <w:ind w:left="1232" w:right="0" w:hanging="433"/>
        <w:jc w:val="left"/>
        <w:rPr>
          <w:b/>
          <w:sz w:val="20"/>
        </w:rPr>
      </w:pPr>
      <w:r>
        <w:rPr>
          <w:b/>
          <w:sz w:val="20"/>
        </w:rPr>
        <w:t>Studio</w:t>
      </w:r>
      <w:r>
        <w:rPr>
          <w:b/>
          <w:spacing w:val="-9"/>
          <w:sz w:val="20"/>
        </w:rPr>
        <w:t> </w:t>
      </w:r>
      <w:r>
        <w:rPr>
          <w:b/>
          <w:sz w:val="20"/>
        </w:rPr>
        <w:t>Culture</w:t>
      </w:r>
      <w:r>
        <w:rPr>
          <w:b/>
          <w:spacing w:val="-10"/>
          <w:sz w:val="20"/>
        </w:rPr>
        <w:t> </w:t>
      </w:r>
      <w:r>
        <w:rPr>
          <w:b/>
          <w:spacing w:val="-2"/>
          <w:sz w:val="20"/>
        </w:rPr>
        <w:t>Handbook</w:t>
      </w:r>
    </w:p>
    <w:p>
      <w:pPr>
        <w:spacing w:after="0" w:line="240" w:lineRule="auto"/>
        <w:jc w:val="left"/>
        <w:rPr>
          <w:sz w:val="20"/>
        </w:rPr>
        <w:sectPr>
          <w:headerReference w:type="default" r:id="rId280"/>
          <w:footerReference w:type="default" r:id="rId281"/>
          <w:pgSz w:w="12240" w:h="15840"/>
          <w:pgMar w:header="0" w:footer="974" w:top="1360" w:bottom="1160" w:left="1000" w:right="820"/>
        </w:sectPr>
      </w:pPr>
    </w:p>
    <w:p>
      <w:pPr>
        <w:pStyle w:val="BodyText"/>
        <w:ind w:left="567"/>
      </w:pPr>
      <w:r>
        <w:rPr/>
        <w:drawing>
          <wp:inline distT="0" distB="0" distL="0" distR="0">
            <wp:extent cx="1277916" cy="1295400"/>
            <wp:effectExtent l="0" t="0" r="0" b="0"/>
            <wp:docPr id="7" name="image6.png" descr="http://www.vanealliance.com/images/logo_hu.gif"/>
            <wp:cNvGraphicFramePr>
              <a:graphicFrameLocks noChangeAspect="1"/>
            </wp:cNvGraphicFramePr>
            <a:graphic>
              <a:graphicData uri="http://schemas.openxmlformats.org/drawingml/2006/picture">
                <pic:pic>
                  <pic:nvPicPr>
                    <pic:cNvPr id="8" name="image6.png"/>
                    <pic:cNvPicPr/>
                  </pic:nvPicPr>
                  <pic:blipFill>
                    <a:blip r:embed="rId284" cstate="print"/>
                    <a:stretch>
                      <a:fillRect/>
                    </a:stretch>
                  </pic:blipFill>
                  <pic:spPr>
                    <a:xfrm>
                      <a:off x="0" y="0"/>
                      <a:ext cx="1277916" cy="1295400"/>
                    </a:xfrm>
                    <a:prstGeom prst="rect">
                      <a:avLst/>
                    </a:prstGeom>
                  </pic:spPr>
                </pic:pic>
              </a:graphicData>
            </a:graphic>
          </wp:inline>
        </w:drawing>
      </w:r>
      <w:r>
        <w:rPr/>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3"/>
        <w:rPr>
          <w:b/>
          <w:sz w:val="22"/>
        </w:rPr>
      </w:pPr>
    </w:p>
    <w:p>
      <w:pPr>
        <w:spacing w:before="88"/>
        <w:ind w:left="453" w:right="0" w:firstLine="0"/>
        <w:jc w:val="left"/>
        <w:rPr>
          <w:b/>
          <w:sz w:val="40"/>
        </w:rPr>
      </w:pPr>
      <w:r>
        <w:rPr>
          <w:b/>
          <w:spacing w:val="14"/>
          <w:w w:val="95"/>
          <w:sz w:val="40"/>
        </w:rPr>
        <w:t>Master</w:t>
      </w:r>
      <w:r>
        <w:rPr>
          <w:b/>
          <w:spacing w:val="1"/>
          <w:w w:val="95"/>
          <w:sz w:val="40"/>
        </w:rPr>
        <w:t> </w:t>
      </w:r>
      <w:r>
        <w:rPr>
          <w:b/>
          <w:w w:val="95"/>
          <w:sz w:val="40"/>
        </w:rPr>
        <w:t>of</w:t>
      </w:r>
      <w:r>
        <w:rPr>
          <w:b/>
          <w:spacing w:val="-1"/>
          <w:w w:val="95"/>
          <w:sz w:val="40"/>
        </w:rPr>
        <w:t> </w:t>
      </w:r>
      <w:r>
        <w:rPr>
          <w:b/>
          <w:spacing w:val="-2"/>
          <w:w w:val="95"/>
          <w:sz w:val="40"/>
        </w:rPr>
        <w:t>Architecture</w:t>
      </w:r>
    </w:p>
    <w:p>
      <w:pPr>
        <w:pStyle w:val="BodyText"/>
        <w:spacing w:before="1"/>
        <w:rPr>
          <w:b/>
          <w:sz w:val="58"/>
        </w:rPr>
      </w:pPr>
    </w:p>
    <w:p>
      <w:pPr>
        <w:spacing w:line="295" w:lineRule="auto" w:before="0"/>
        <w:ind w:left="440" w:right="6382" w:hanging="1"/>
        <w:jc w:val="left"/>
        <w:rPr>
          <w:b/>
          <w:sz w:val="40"/>
        </w:rPr>
      </w:pPr>
      <w:r>
        <w:rPr>
          <w:b/>
          <w:w w:val="95"/>
          <w:sz w:val="40"/>
        </w:rPr>
        <w:t>Student </w:t>
      </w:r>
      <w:r>
        <w:rPr>
          <w:b/>
          <w:spacing w:val="11"/>
          <w:w w:val="95"/>
          <w:sz w:val="40"/>
        </w:rPr>
        <w:t>Handbook </w:t>
      </w:r>
      <w:r>
        <w:rPr>
          <w:b/>
          <w:spacing w:val="-2"/>
          <w:sz w:val="40"/>
        </w:rPr>
        <w:t>2014-2015</w:t>
      </w: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pStyle w:val="Heading8"/>
        <w:spacing w:before="365"/>
        <w:ind w:left="440"/>
      </w:pPr>
      <w:r>
        <w:rPr>
          <w:w w:val="85"/>
        </w:rPr>
        <w:t>DEPARTMENT</w:t>
      </w:r>
      <w:r>
        <w:rPr>
          <w:spacing w:val="40"/>
        </w:rPr>
        <w:t> </w:t>
      </w:r>
      <w:r>
        <w:rPr>
          <w:w w:val="85"/>
        </w:rPr>
        <w:t>OF</w:t>
      </w:r>
      <w:r>
        <w:rPr>
          <w:spacing w:val="27"/>
        </w:rPr>
        <w:t> </w:t>
      </w:r>
      <w:r>
        <w:rPr>
          <w:spacing w:val="-2"/>
          <w:w w:val="85"/>
        </w:rPr>
        <w:t>ARCHITECTURE</w:t>
      </w:r>
    </w:p>
    <w:p>
      <w:pPr>
        <w:spacing w:line="295" w:lineRule="auto" w:before="56"/>
        <w:ind w:left="439" w:right="6024" w:firstLine="0"/>
        <w:jc w:val="left"/>
        <w:rPr>
          <w:b/>
          <w:sz w:val="22"/>
        </w:rPr>
      </w:pPr>
      <w:r>
        <w:rPr>
          <w:b/>
          <w:w w:val="95"/>
          <w:sz w:val="22"/>
        </w:rPr>
        <w:t>School of Engineering and Technology </w:t>
      </w:r>
      <w:r>
        <w:rPr>
          <w:b/>
          <w:sz w:val="22"/>
        </w:rPr>
        <w:t>Hampton University</w:t>
      </w:r>
    </w:p>
    <w:p>
      <w:pPr>
        <w:spacing w:after="0" w:line="295" w:lineRule="auto"/>
        <w:jc w:val="left"/>
        <w:rPr>
          <w:sz w:val="22"/>
        </w:rPr>
        <w:sectPr>
          <w:headerReference w:type="default" r:id="rId282"/>
          <w:footerReference w:type="default" r:id="rId283"/>
          <w:pgSz w:w="12240" w:h="15840"/>
          <w:pgMar w:header="0" w:footer="748" w:top="1540" w:bottom="940" w:left="1000" w:right="820"/>
          <w:pgNumType w:start="1"/>
        </w:sectPr>
      </w:pPr>
    </w:p>
    <w:p>
      <w:pPr>
        <w:pStyle w:val="Heading1"/>
        <w:ind w:left="450"/>
      </w:pPr>
      <w:r>
        <w:rPr>
          <w:spacing w:val="-2"/>
          <w:w w:val="95"/>
        </w:rPr>
        <w:t>CONTENTS</w:t>
      </w:r>
    </w:p>
    <w:p>
      <w:pPr>
        <w:pStyle w:val="BodyText"/>
        <w:spacing w:before="3"/>
        <w:rPr>
          <w:b/>
          <w:sz w:val="5"/>
        </w:rPr>
      </w:pPr>
      <w:r>
        <w:rPr/>
        <w:pict>
          <v:rect style="position:absolute;margin-left:70.559998pt;margin-top:4.251758pt;width:470.88pt;height:.72pt;mso-position-horizontal-relative:page;mso-position-vertical-relative:paragraph;z-index:-15715328;mso-wrap-distance-left:0;mso-wrap-distance-right:0" id="docshape555" filled="true" fillcolor="#000000" stroked="false">
            <v:fill type="solid"/>
            <w10:wrap type="topAndBottom"/>
          </v:rect>
        </w:pict>
      </w:r>
    </w:p>
    <w:p>
      <w:pPr>
        <w:pStyle w:val="BodyText"/>
        <w:rPr>
          <w:b/>
        </w:rPr>
      </w:pPr>
    </w:p>
    <w:p>
      <w:pPr>
        <w:pStyle w:val="BodyText"/>
        <w:rPr>
          <w:b/>
          <w:sz w:val="23"/>
        </w:rPr>
      </w:pPr>
    </w:p>
    <w:p>
      <w:pPr>
        <w:pStyle w:val="Heading5"/>
        <w:numPr>
          <w:ilvl w:val="0"/>
          <w:numId w:val="66"/>
        </w:numPr>
        <w:tabs>
          <w:tab w:pos="1160" w:val="left" w:leader="none"/>
          <w:tab w:pos="1161" w:val="left" w:leader="none"/>
        </w:tabs>
        <w:spacing w:line="240" w:lineRule="auto" w:before="92" w:after="0"/>
        <w:ind w:left="1160" w:right="0" w:hanging="517"/>
        <w:jc w:val="left"/>
      </w:pPr>
      <w:r>
        <w:rPr>
          <w:spacing w:val="9"/>
        </w:rPr>
        <w:t>Welcome</w:t>
      </w:r>
    </w:p>
    <w:p>
      <w:pPr>
        <w:pStyle w:val="BodyText"/>
        <w:spacing w:before="3"/>
        <w:rPr>
          <w:b/>
          <w:sz w:val="36"/>
        </w:rPr>
      </w:pPr>
    </w:p>
    <w:p>
      <w:pPr>
        <w:pStyle w:val="ListParagraph"/>
        <w:numPr>
          <w:ilvl w:val="0"/>
          <w:numId w:val="66"/>
        </w:numPr>
        <w:tabs>
          <w:tab w:pos="1160" w:val="left" w:leader="none"/>
          <w:tab w:pos="1161" w:val="left" w:leader="none"/>
        </w:tabs>
        <w:spacing w:line="240" w:lineRule="auto" w:before="0" w:after="0"/>
        <w:ind w:left="1160" w:right="0" w:hanging="596"/>
        <w:jc w:val="left"/>
        <w:rPr>
          <w:b/>
          <w:sz w:val="28"/>
        </w:rPr>
      </w:pPr>
      <w:r>
        <w:rPr>
          <w:b/>
          <w:w w:val="95"/>
          <w:sz w:val="28"/>
        </w:rPr>
        <w:t>Program</w:t>
      </w:r>
      <w:r>
        <w:rPr>
          <w:b/>
          <w:spacing w:val="59"/>
          <w:sz w:val="28"/>
        </w:rPr>
        <w:t> </w:t>
      </w:r>
      <w:r>
        <w:rPr>
          <w:b/>
          <w:spacing w:val="-2"/>
          <w:w w:val="95"/>
          <w:sz w:val="28"/>
        </w:rPr>
        <w:t>Overview</w:t>
      </w:r>
    </w:p>
    <w:p>
      <w:pPr>
        <w:pStyle w:val="ListParagraph"/>
        <w:numPr>
          <w:ilvl w:val="1"/>
          <w:numId w:val="66"/>
        </w:numPr>
        <w:tabs>
          <w:tab w:pos="1884" w:val="left" w:leader="none"/>
        </w:tabs>
        <w:spacing w:line="240" w:lineRule="auto" w:before="21" w:after="0"/>
        <w:ind w:left="1883" w:right="0" w:hanging="347"/>
        <w:jc w:val="left"/>
        <w:rPr>
          <w:sz w:val="28"/>
        </w:rPr>
      </w:pPr>
      <w:r>
        <w:rPr>
          <w:spacing w:val="15"/>
          <w:sz w:val="28"/>
        </w:rPr>
        <w:t>Dep</w:t>
      </w:r>
      <w:r>
        <w:rPr>
          <w:spacing w:val="-42"/>
          <w:sz w:val="28"/>
        </w:rPr>
        <w:t> </w:t>
      </w:r>
      <w:r>
        <w:rPr>
          <w:spacing w:val="16"/>
          <w:sz w:val="28"/>
        </w:rPr>
        <w:t>artmental</w:t>
      </w:r>
      <w:r>
        <w:rPr>
          <w:spacing w:val="2"/>
          <w:sz w:val="28"/>
        </w:rPr>
        <w:t> </w:t>
      </w:r>
      <w:r>
        <w:rPr>
          <w:spacing w:val="-2"/>
          <w:sz w:val="28"/>
        </w:rPr>
        <w:t>Mission</w:t>
      </w:r>
    </w:p>
    <w:p>
      <w:pPr>
        <w:pStyle w:val="ListParagraph"/>
        <w:numPr>
          <w:ilvl w:val="1"/>
          <w:numId w:val="66"/>
        </w:numPr>
        <w:tabs>
          <w:tab w:pos="1881" w:val="left" w:leader="none"/>
        </w:tabs>
        <w:spacing w:line="240" w:lineRule="auto" w:before="22" w:after="0"/>
        <w:ind w:left="1880" w:right="0" w:hanging="344"/>
        <w:jc w:val="left"/>
        <w:rPr>
          <w:sz w:val="28"/>
        </w:rPr>
      </w:pPr>
      <w:r>
        <w:rPr>
          <w:spacing w:val="-2"/>
          <w:sz w:val="28"/>
        </w:rPr>
        <w:t>History</w:t>
      </w:r>
    </w:p>
    <w:p>
      <w:pPr>
        <w:pStyle w:val="ListParagraph"/>
        <w:numPr>
          <w:ilvl w:val="1"/>
          <w:numId w:val="66"/>
        </w:numPr>
        <w:tabs>
          <w:tab w:pos="1881" w:val="left" w:leader="none"/>
        </w:tabs>
        <w:spacing w:line="240" w:lineRule="auto" w:before="21" w:after="0"/>
        <w:ind w:left="1880" w:right="0" w:hanging="341"/>
        <w:jc w:val="left"/>
        <w:rPr>
          <w:sz w:val="28"/>
        </w:rPr>
      </w:pPr>
      <w:r>
        <w:rPr>
          <w:spacing w:val="16"/>
          <w:w w:val="95"/>
          <w:sz w:val="28"/>
        </w:rPr>
        <w:t>People:</w:t>
      </w:r>
      <w:r>
        <w:rPr>
          <w:spacing w:val="4"/>
          <w:w w:val="95"/>
          <w:sz w:val="28"/>
        </w:rPr>
        <w:t> </w:t>
      </w:r>
      <w:r>
        <w:rPr>
          <w:w w:val="95"/>
          <w:sz w:val="28"/>
        </w:rPr>
        <w:t>Fa</w:t>
      </w:r>
      <w:r>
        <w:rPr>
          <w:spacing w:val="-33"/>
          <w:w w:val="95"/>
          <w:sz w:val="28"/>
        </w:rPr>
        <w:t> </w:t>
      </w:r>
      <w:r>
        <w:rPr>
          <w:spacing w:val="10"/>
          <w:w w:val="95"/>
          <w:sz w:val="28"/>
        </w:rPr>
        <w:t>culty,</w:t>
      </w:r>
      <w:r>
        <w:rPr>
          <w:spacing w:val="4"/>
          <w:w w:val="95"/>
          <w:sz w:val="28"/>
        </w:rPr>
        <w:t> </w:t>
      </w:r>
      <w:r>
        <w:rPr>
          <w:spacing w:val="13"/>
          <w:w w:val="95"/>
          <w:sz w:val="28"/>
        </w:rPr>
        <w:t>Students,</w:t>
      </w:r>
      <w:r>
        <w:rPr>
          <w:spacing w:val="8"/>
          <w:w w:val="95"/>
          <w:sz w:val="28"/>
        </w:rPr>
        <w:t> </w:t>
      </w:r>
      <w:r>
        <w:rPr>
          <w:spacing w:val="11"/>
          <w:w w:val="95"/>
          <w:sz w:val="28"/>
        </w:rPr>
        <w:t>Staff</w:t>
      </w:r>
      <w:r>
        <w:rPr>
          <w:spacing w:val="30"/>
          <w:sz w:val="28"/>
        </w:rPr>
        <w:t> </w:t>
      </w:r>
      <w:r>
        <w:rPr>
          <w:spacing w:val="16"/>
          <w:w w:val="95"/>
          <w:sz w:val="28"/>
        </w:rPr>
        <w:t>and</w:t>
      </w:r>
      <w:r>
        <w:rPr>
          <w:spacing w:val="26"/>
          <w:sz w:val="28"/>
        </w:rPr>
        <w:t> </w:t>
      </w:r>
      <w:r>
        <w:rPr>
          <w:spacing w:val="13"/>
          <w:w w:val="95"/>
          <w:sz w:val="28"/>
        </w:rPr>
        <w:t>Beyond</w:t>
      </w:r>
    </w:p>
    <w:p>
      <w:pPr>
        <w:pStyle w:val="ListParagraph"/>
        <w:numPr>
          <w:ilvl w:val="1"/>
          <w:numId w:val="66"/>
        </w:numPr>
        <w:tabs>
          <w:tab w:pos="1881" w:val="left" w:leader="none"/>
        </w:tabs>
        <w:spacing w:line="240" w:lineRule="auto" w:before="21" w:after="0"/>
        <w:ind w:left="1880" w:right="0" w:hanging="343"/>
        <w:jc w:val="left"/>
        <w:rPr>
          <w:sz w:val="28"/>
        </w:rPr>
      </w:pPr>
      <w:r>
        <w:rPr>
          <w:w w:val="95"/>
          <w:sz w:val="28"/>
        </w:rPr>
        <w:t>Physic</w:t>
      </w:r>
      <w:r>
        <w:rPr>
          <w:spacing w:val="-21"/>
          <w:w w:val="95"/>
          <w:sz w:val="28"/>
        </w:rPr>
        <w:t> </w:t>
      </w:r>
      <w:r>
        <w:rPr>
          <w:w w:val="95"/>
          <w:sz w:val="28"/>
        </w:rPr>
        <w:t>al</w:t>
      </w:r>
      <w:r>
        <w:rPr>
          <w:spacing w:val="29"/>
          <w:sz w:val="28"/>
        </w:rPr>
        <w:t> </w:t>
      </w:r>
      <w:r>
        <w:rPr>
          <w:spacing w:val="10"/>
          <w:w w:val="95"/>
          <w:sz w:val="28"/>
        </w:rPr>
        <w:t>Environment</w:t>
      </w:r>
    </w:p>
    <w:p>
      <w:pPr>
        <w:pStyle w:val="BodyText"/>
        <w:spacing w:before="1"/>
        <w:rPr>
          <w:sz w:val="36"/>
        </w:rPr>
      </w:pPr>
    </w:p>
    <w:p>
      <w:pPr>
        <w:pStyle w:val="Heading5"/>
        <w:numPr>
          <w:ilvl w:val="0"/>
          <w:numId w:val="66"/>
        </w:numPr>
        <w:tabs>
          <w:tab w:pos="1162" w:val="left" w:leader="none"/>
          <w:tab w:pos="1163" w:val="left" w:leader="none"/>
        </w:tabs>
        <w:spacing w:line="240" w:lineRule="auto" w:before="0" w:after="0"/>
        <w:ind w:left="1162" w:right="0" w:hanging="678"/>
        <w:jc w:val="left"/>
      </w:pPr>
      <w:r>
        <w:rPr>
          <w:spacing w:val="11"/>
        </w:rPr>
        <w:t>Academics</w:t>
      </w:r>
    </w:p>
    <w:p>
      <w:pPr>
        <w:pStyle w:val="ListParagraph"/>
        <w:numPr>
          <w:ilvl w:val="1"/>
          <w:numId w:val="66"/>
        </w:numPr>
        <w:tabs>
          <w:tab w:pos="1893" w:val="left" w:leader="none"/>
        </w:tabs>
        <w:spacing w:line="240" w:lineRule="auto" w:before="21" w:after="0"/>
        <w:ind w:left="1892" w:right="0" w:hanging="356"/>
        <w:jc w:val="left"/>
        <w:rPr>
          <w:sz w:val="28"/>
        </w:rPr>
      </w:pPr>
      <w:r>
        <w:rPr>
          <w:sz w:val="28"/>
        </w:rPr>
        <w:t>Curric</w:t>
      </w:r>
      <w:r>
        <w:rPr>
          <w:spacing w:val="-41"/>
          <w:sz w:val="28"/>
        </w:rPr>
        <w:t> </w:t>
      </w:r>
      <w:r>
        <w:rPr>
          <w:sz w:val="28"/>
        </w:rPr>
        <w:t>ulum</w:t>
      </w:r>
      <w:r>
        <w:rPr>
          <w:spacing w:val="62"/>
          <w:sz w:val="28"/>
        </w:rPr>
        <w:t> </w:t>
      </w:r>
      <w:r>
        <w:rPr>
          <w:spacing w:val="11"/>
          <w:sz w:val="28"/>
        </w:rPr>
        <w:t>Overview</w:t>
      </w:r>
    </w:p>
    <w:p>
      <w:pPr>
        <w:pStyle w:val="ListParagraph"/>
        <w:numPr>
          <w:ilvl w:val="1"/>
          <w:numId w:val="66"/>
        </w:numPr>
        <w:tabs>
          <w:tab w:pos="1893" w:val="left" w:leader="none"/>
        </w:tabs>
        <w:spacing w:line="240" w:lineRule="auto" w:before="21" w:after="0"/>
        <w:ind w:left="1892" w:right="0" w:hanging="356"/>
        <w:jc w:val="left"/>
        <w:rPr>
          <w:sz w:val="28"/>
        </w:rPr>
      </w:pPr>
      <w:r>
        <w:rPr>
          <w:sz w:val="28"/>
        </w:rPr>
        <w:t>Curric</w:t>
      </w:r>
      <w:r>
        <w:rPr>
          <w:spacing w:val="-42"/>
          <w:sz w:val="28"/>
        </w:rPr>
        <w:t> </w:t>
      </w:r>
      <w:r>
        <w:rPr>
          <w:sz w:val="28"/>
        </w:rPr>
        <w:t>ulum</w:t>
      </w:r>
      <w:r>
        <w:rPr>
          <w:spacing w:val="57"/>
          <w:sz w:val="28"/>
        </w:rPr>
        <w:t> </w:t>
      </w:r>
      <w:r>
        <w:rPr>
          <w:spacing w:val="20"/>
          <w:sz w:val="28"/>
        </w:rPr>
        <w:t>Gatew</w:t>
      </w:r>
      <w:r>
        <w:rPr>
          <w:spacing w:val="-33"/>
          <w:sz w:val="28"/>
        </w:rPr>
        <w:t> </w:t>
      </w:r>
      <w:r>
        <w:rPr>
          <w:spacing w:val="-5"/>
          <w:sz w:val="28"/>
        </w:rPr>
        <w:t>ays</w:t>
      </w:r>
    </w:p>
    <w:p>
      <w:pPr>
        <w:pStyle w:val="ListParagraph"/>
        <w:numPr>
          <w:ilvl w:val="1"/>
          <w:numId w:val="66"/>
        </w:numPr>
        <w:tabs>
          <w:tab w:pos="1893" w:val="left" w:leader="none"/>
        </w:tabs>
        <w:spacing w:line="240" w:lineRule="auto" w:before="21" w:after="0"/>
        <w:ind w:left="1892" w:right="0" w:hanging="353"/>
        <w:jc w:val="left"/>
        <w:rPr>
          <w:sz w:val="28"/>
        </w:rPr>
      </w:pPr>
      <w:r>
        <w:rPr>
          <w:sz w:val="28"/>
        </w:rPr>
        <w:t>Curric</w:t>
      </w:r>
      <w:r>
        <w:rPr>
          <w:spacing w:val="-41"/>
          <w:sz w:val="28"/>
        </w:rPr>
        <w:t> </w:t>
      </w:r>
      <w:r>
        <w:rPr>
          <w:sz w:val="28"/>
        </w:rPr>
        <w:t>ulum</w:t>
      </w:r>
      <w:r>
        <w:rPr>
          <w:spacing w:val="62"/>
          <w:sz w:val="28"/>
        </w:rPr>
        <w:t> </w:t>
      </w:r>
      <w:r>
        <w:rPr>
          <w:spacing w:val="7"/>
          <w:sz w:val="28"/>
        </w:rPr>
        <w:t>Outline</w:t>
      </w:r>
    </w:p>
    <w:p>
      <w:pPr>
        <w:pStyle w:val="ListParagraph"/>
        <w:numPr>
          <w:ilvl w:val="1"/>
          <w:numId w:val="66"/>
        </w:numPr>
        <w:tabs>
          <w:tab w:pos="1881" w:val="left" w:leader="none"/>
        </w:tabs>
        <w:spacing w:line="240" w:lineRule="auto" w:before="22" w:after="0"/>
        <w:ind w:left="1880" w:right="0" w:hanging="343"/>
        <w:jc w:val="left"/>
        <w:rPr>
          <w:sz w:val="28"/>
        </w:rPr>
      </w:pPr>
      <w:r>
        <w:rPr>
          <w:w w:val="95"/>
          <w:sz w:val="28"/>
        </w:rPr>
        <w:t>List</w:t>
      </w:r>
      <w:r>
        <w:rPr>
          <w:spacing w:val="23"/>
          <w:sz w:val="28"/>
        </w:rPr>
        <w:t> </w:t>
      </w:r>
      <w:r>
        <w:rPr>
          <w:spacing w:val="9"/>
          <w:w w:val="95"/>
          <w:sz w:val="28"/>
        </w:rPr>
        <w:t>of</w:t>
      </w:r>
      <w:r>
        <w:rPr>
          <w:spacing w:val="22"/>
          <w:sz w:val="28"/>
        </w:rPr>
        <w:t> </w:t>
      </w:r>
      <w:r>
        <w:rPr>
          <w:spacing w:val="10"/>
          <w:w w:val="95"/>
          <w:sz w:val="28"/>
        </w:rPr>
        <w:t>Course</w:t>
      </w:r>
      <w:r>
        <w:rPr>
          <w:spacing w:val="17"/>
          <w:sz w:val="28"/>
        </w:rPr>
        <w:t> </w:t>
      </w:r>
      <w:r>
        <w:rPr>
          <w:w w:val="95"/>
          <w:sz w:val="28"/>
        </w:rPr>
        <w:t>Pre-re</w:t>
      </w:r>
      <w:r>
        <w:rPr>
          <w:spacing w:val="-43"/>
          <w:w w:val="95"/>
          <w:sz w:val="28"/>
        </w:rPr>
        <w:t> </w:t>
      </w:r>
      <w:r>
        <w:rPr>
          <w:spacing w:val="7"/>
          <w:w w:val="95"/>
          <w:sz w:val="28"/>
        </w:rPr>
        <w:t>quisites</w:t>
      </w:r>
    </w:p>
    <w:p>
      <w:pPr>
        <w:pStyle w:val="ListParagraph"/>
        <w:numPr>
          <w:ilvl w:val="1"/>
          <w:numId w:val="66"/>
        </w:numPr>
        <w:tabs>
          <w:tab w:pos="1891" w:val="left" w:leader="none"/>
        </w:tabs>
        <w:spacing w:line="240" w:lineRule="auto" w:before="23" w:after="0"/>
        <w:ind w:left="1890" w:right="0" w:hanging="358"/>
        <w:jc w:val="left"/>
        <w:rPr>
          <w:sz w:val="28"/>
        </w:rPr>
      </w:pPr>
      <w:r>
        <w:rPr>
          <w:spacing w:val="14"/>
          <w:sz w:val="28"/>
        </w:rPr>
        <w:t>Advisement</w:t>
      </w:r>
    </w:p>
    <w:p>
      <w:pPr>
        <w:pStyle w:val="BodyText"/>
        <w:spacing w:before="1"/>
        <w:rPr>
          <w:sz w:val="36"/>
        </w:rPr>
      </w:pPr>
    </w:p>
    <w:p>
      <w:pPr>
        <w:pStyle w:val="Heading5"/>
        <w:numPr>
          <w:ilvl w:val="0"/>
          <w:numId w:val="66"/>
        </w:numPr>
        <w:tabs>
          <w:tab w:pos="1160" w:val="left" w:leader="none"/>
          <w:tab w:pos="1161" w:val="left" w:leader="none"/>
        </w:tabs>
        <w:spacing w:line="240" w:lineRule="auto" w:before="0" w:after="0"/>
        <w:ind w:left="1160" w:right="0" w:hanging="714"/>
        <w:jc w:val="left"/>
      </w:pPr>
      <w:r>
        <w:rPr>
          <w:spacing w:val="-2"/>
        </w:rPr>
        <w:t>Policies</w:t>
      </w:r>
    </w:p>
    <w:p>
      <w:pPr>
        <w:pStyle w:val="ListParagraph"/>
        <w:numPr>
          <w:ilvl w:val="1"/>
          <w:numId w:val="66"/>
        </w:numPr>
        <w:tabs>
          <w:tab w:pos="1881" w:val="left" w:leader="none"/>
        </w:tabs>
        <w:spacing w:line="240" w:lineRule="auto" w:before="21" w:after="0"/>
        <w:ind w:left="1880" w:right="0" w:hanging="344"/>
        <w:jc w:val="left"/>
        <w:rPr>
          <w:sz w:val="28"/>
        </w:rPr>
      </w:pPr>
      <w:r>
        <w:rPr>
          <w:spacing w:val="13"/>
          <w:w w:val="95"/>
          <w:sz w:val="28"/>
        </w:rPr>
        <w:t>Studio</w:t>
      </w:r>
      <w:r>
        <w:rPr>
          <w:spacing w:val="36"/>
          <w:sz w:val="28"/>
        </w:rPr>
        <w:t> </w:t>
      </w:r>
      <w:r>
        <w:rPr>
          <w:spacing w:val="9"/>
          <w:w w:val="95"/>
          <w:sz w:val="28"/>
        </w:rPr>
        <w:t>Culture</w:t>
      </w:r>
      <w:r>
        <w:rPr>
          <w:spacing w:val="21"/>
          <w:sz w:val="28"/>
        </w:rPr>
        <w:t> </w:t>
      </w:r>
      <w:r>
        <w:rPr>
          <w:spacing w:val="9"/>
          <w:w w:val="95"/>
          <w:sz w:val="28"/>
        </w:rPr>
        <w:t>Policy</w:t>
      </w:r>
    </w:p>
    <w:p>
      <w:pPr>
        <w:pStyle w:val="ListParagraph"/>
        <w:numPr>
          <w:ilvl w:val="1"/>
          <w:numId w:val="66"/>
        </w:numPr>
        <w:tabs>
          <w:tab w:pos="1881" w:val="left" w:leader="none"/>
        </w:tabs>
        <w:spacing w:line="240" w:lineRule="auto" w:before="21" w:after="0"/>
        <w:ind w:left="1880" w:right="0" w:hanging="344"/>
        <w:jc w:val="left"/>
        <w:rPr>
          <w:sz w:val="28"/>
        </w:rPr>
      </w:pPr>
      <w:r>
        <w:rPr>
          <w:spacing w:val="15"/>
          <w:w w:val="95"/>
          <w:sz w:val="28"/>
        </w:rPr>
        <w:t>Student</w:t>
      </w:r>
      <w:r>
        <w:rPr>
          <w:spacing w:val="22"/>
          <w:sz w:val="28"/>
        </w:rPr>
        <w:t> </w:t>
      </w:r>
      <w:r>
        <w:rPr>
          <w:spacing w:val="14"/>
          <w:w w:val="95"/>
          <w:sz w:val="28"/>
        </w:rPr>
        <w:t>Honor</w:t>
      </w:r>
      <w:r>
        <w:rPr>
          <w:spacing w:val="29"/>
          <w:sz w:val="28"/>
        </w:rPr>
        <w:t> </w:t>
      </w:r>
      <w:r>
        <w:rPr>
          <w:spacing w:val="22"/>
          <w:w w:val="95"/>
          <w:sz w:val="28"/>
        </w:rPr>
        <w:t>Code</w:t>
      </w:r>
      <w:r>
        <w:rPr>
          <w:spacing w:val="35"/>
          <w:sz w:val="28"/>
        </w:rPr>
        <w:t> </w:t>
      </w:r>
      <w:r>
        <w:rPr>
          <w:spacing w:val="12"/>
          <w:w w:val="95"/>
          <w:sz w:val="28"/>
        </w:rPr>
        <w:t>Violations</w:t>
      </w:r>
      <w:r>
        <w:rPr>
          <w:spacing w:val="13"/>
          <w:sz w:val="28"/>
        </w:rPr>
        <w:t> </w:t>
      </w:r>
      <w:r>
        <w:rPr>
          <w:spacing w:val="9"/>
          <w:w w:val="95"/>
          <w:sz w:val="28"/>
        </w:rPr>
        <w:t>Policy</w:t>
      </w:r>
    </w:p>
    <w:p>
      <w:pPr>
        <w:pStyle w:val="ListParagraph"/>
        <w:numPr>
          <w:ilvl w:val="1"/>
          <w:numId w:val="66"/>
        </w:numPr>
        <w:tabs>
          <w:tab w:pos="1894" w:val="left" w:leader="none"/>
        </w:tabs>
        <w:spacing w:line="240" w:lineRule="auto" w:before="22" w:after="0"/>
        <w:ind w:left="1893" w:right="0" w:hanging="354"/>
        <w:jc w:val="left"/>
        <w:rPr>
          <w:sz w:val="28"/>
        </w:rPr>
      </w:pPr>
      <w:r>
        <w:rPr>
          <w:spacing w:val="10"/>
          <w:sz w:val="28"/>
        </w:rPr>
        <w:t>Gra</w:t>
      </w:r>
      <w:r>
        <w:rPr>
          <w:spacing w:val="-42"/>
          <w:sz w:val="28"/>
        </w:rPr>
        <w:t> </w:t>
      </w:r>
      <w:r>
        <w:rPr>
          <w:spacing w:val="15"/>
          <w:sz w:val="28"/>
        </w:rPr>
        <w:t>de</w:t>
      </w:r>
      <w:r>
        <w:rPr>
          <w:spacing w:val="10"/>
          <w:sz w:val="28"/>
        </w:rPr>
        <w:t> </w:t>
      </w:r>
      <w:r>
        <w:rPr>
          <w:spacing w:val="23"/>
          <w:sz w:val="28"/>
        </w:rPr>
        <w:t>Appeal</w:t>
      </w:r>
      <w:r>
        <w:rPr>
          <w:spacing w:val="-5"/>
          <w:sz w:val="28"/>
        </w:rPr>
        <w:t> </w:t>
      </w:r>
      <w:r>
        <w:rPr>
          <w:spacing w:val="10"/>
          <w:sz w:val="28"/>
        </w:rPr>
        <w:t>Policy</w:t>
      </w:r>
    </w:p>
    <w:p>
      <w:pPr>
        <w:pStyle w:val="BodyText"/>
        <w:spacing w:before="3"/>
        <w:rPr>
          <w:sz w:val="36"/>
        </w:rPr>
      </w:pPr>
    </w:p>
    <w:p>
      <w:pPr>
        <w:pStyle w:val="Heading5"/>
        <w:numPr>
          <w:ilvl w:val="0"/>
          <w:numId w:val="66"/>
        </w:numPr>
        <w:tabs>
          <w:tab w:pos="1160" w:val="left" w:leader="none"/>
          <w:tab w:pos="1161" w:val="left" w:leader="none"/>
        </w:tabs>
        <w:spacing w:line="240" w:lineRule="auto" w:before="0" w:after="0"/>
        <w:ind w:left="1160" w:right="0" w:hanging="630"/>
        <w:jc w:val="left"/>
      </w:pPr>
      <w:r>
        <w:rPr>
          <w:w w:val="95"/>
        </w:rPr>
        <w:t>Frequently</w:t>
      </w:r>
      <w:r>
        <w:rPr>
          <w:spacing w:val="47"/>
        </w:rPr>
        <w:t> </w:t>
      </w:r>
      <w:r>
        <w:rPr>
          <w:spacing w:val="9"/>
          <w:w w:val="95"/>
        </w:rPr>
        <w:t>asked</w:t>
      </w:r>
      <w:r>
        <w:rPr>
          <w:spacing w:val="36"/>
        </w:rPr>
        <w:t> </w:t>
      </w:r>
      <w:r>
        <w:rPr>
          <w:spacing w:val="-2"/>
          <w:w w:val="95"/>
        </w:rPr>
        <w:t>questions</w:t>
      </w:r>
    </w:p>
    <w:p>
      <w:pPr>
        <w:spacing w:after="0" w:line="240" w:lineRule="auto"/>
        <w:jc w:val="left"/>
        <w:sectPr>
          <w:headerReference w:type="default" r:id="rId285"/>
          <w:footerReference w:type="default" r:id="rId286"/>
          <w:pgSz w:w="12240" w:h="15840"/>
          <w:pgMar w:header="0" w:footer="748" w:top="1400" w:bottom="940" w:left="1000" w:right="820"/>
        </w:sectPr>
      </w:pPr>
    </w:p>
    <w:p>
      <w:pPr>
        <w:spacing w:before="67"/>
        <w:ind w:left="440" w:right="0" w:firstLine="0"/>
        <w:jc w:val="left"/>
        <w:rPr>
          <w:sz w:val="22"/>
        </w:rPr>
      </w:pPr>
      <w:r>
        <w:rPr>
          <w:b/>
          <w:sz w:val="36"/>
        </w:rPr>
        <w:t>W</w:t>
      </w:r>
      <w:r>
        <w:rPr>
          <w:sz w:val="22"/>
        </w:rPr>
        <w:t>elc</w:t>
      </w:r>
      <w:r>
        <w:rPr>
          <w:spacing w:val="-33"/>
          <w:sz w:val="22"/>
        </w:rPr>
        <w:t> </w:t>
      </w:r>
      <w:r>
        <w:rPr>
          <w:spacing w:val="13"/>
          <w:sz w:val="22"/>
        </w:rPr>
        <w:t>ome!</w:t>
      </w:r>
      <w:r>
        <w:rPr>
          <w:spacing w:val="1"/>
          <w:sz w:val="22"/>
        </w:rPr>
        <w:t> </w:t>
      </w:r>
      <w:r>
        <w:rPr>
          <w:sz w:val="22"/>
        </w:rPr>
        <w:t>The</w:t>
      </w:r>
      <w:r>
        <w:rPr>
          <w:spacing w:val="24"/>
          <w:sz w:val="22"/>
        </w:rPr>
        <w:t> </w:t>
      </w:r>
      <w:r>
        <w:rPr>
          <w:sz w:val="22"/>
        </w:rPr>
        <w:t>primary</w:t>
      </w:r>
      <w:r>
        <w:rPr>
          <w:spacing w:val="16"/>
          <w:sz w:val="22"/>
        </w:rPr>
        <w:t> </w:t>
      </w:r>
      <w:r>
        <w:rPr>
          <w:spacing w:val="15"/>
          <w:sz w:val="22"/>
        </w:rPr>
        <w:t>goal</w:t>
      </w:r>
      <w:r>
        <w:rPr>
          <w:spacing w:val="12"/>
          <w:sz w:val="22"/>
        </w:rPr>
        <w:t> </w:t>
      </w:r>
      <w:r>
        <w:rPr>
          <w:sz w:val="22"/>
        </w:rPr>
        <w:t>of</w:t>
      </w:r>
      <w:r>
        <w:rPr>
          <w:spacing w:val="10"/>
          <w:sz w:val="22"/>
        </w:rPr>
        <w:t> </w:t>
      </w:r>
      <w:r>
        <w:rPr>
          <w:spacing w:val="9"/>
          <w:sz w:val="22"/>
        </w:rPr>
        <w:t>the</w:t>
      </w:r>
      <w:r>
        <w:rPr>
          <w:spacing w:val="24"/>
          <w:sz w:val="22"/>
        </w:rPr>
        <w:t> </w:t>
      </w:r>
      <w:r>
        <w:rPr>
          <w:spacing w:val="12"/>
          <w:sz w:val="22"/>
        </w:rPr>
        <w:t>architecture</w:t>
      </w:r>
      <w:r>
        <w:rPr>
          <w:spacing w:val="24"/>
          <w:sz w:val="22"/>
        </w:rPr>
        <w:t> </w:t>
      </w:r>
      <w:r>
        <w:rPr>
          <w:spacing w:val="13"/>
          <w:sz w:val="22"/>
        </w:rPr>
        <w:t>program</w:t>
      </w:r>
      <w:r>
        <w:rPr>
          <w:spacing w:val="10"/>
          <w:sz w:val="22"/>
        </w:rPr>
        <w:t> </w:t>
      </w:r>
      <w:r>
        <w:rPr>
          <w:sz w:val="22"/>
        </w:rPr>
        <w:t>is</w:t>
      </w:r>
      <w:r>
        <w:rPr>
          <w:spacing w:val="7"/>
          <w:sz w:val="22"/>
        </w:rPr>
        <w:t> </w:t>
      </w:r>
      <w:r>
        <w:rPr>
          <w:sz w:val="22"/>
        </w:rPr>
        <w:t>to</w:t>
      </w:r>
      <w:r>
        <w:rPr>
          <w:spacing w:val="24"/>
          <w:sz w:val="22"/>
        </w:rPr>
        <w:t> </w:t>
      </w:r>
      <w:r>
        <w:rPr>
          <w:spacing w:val="11"/>
          <w:sz w:val="22"/>
        </w:rPr>
        <w:t>provide</w:t>
      </w:r>
      <w:r>
        <w:rPr>
          <w:spacing w:val="24"/>
          <w:sz w:val="22"/>
        </w:rPr>
        <w:t> </w:t>
      </w:r>
      <w:r>
        <w:rPr>
          <w:spacing w:val="7"/>
          <w:sz w:val="22"/>
        </w:rPr>
        <w:t>professional</w:t>
      </w:r>
    </w:p>
    <w:p>
      <w:pPr>
        <w:spacing w:line="295" w:lineRule="auto" w:before="82"/>
        <w:ind w:left="440" w:right="794" w:firstLine="10"/>
        <w:jc w:val="left"/>
        <w:rPr>
          <w:sz w:val="22"/>
        </w:rPr>
      </w:pPr>
      <w:r>
        <w:rPr>
          <w:spacing w:val="15"/>
          <w:sz w:val="22"/>
        </w:rPr>
        <w:t>educ</w:t>
      </w:r>
      <w:r>
        <w:rPr>
          <w:spacing w:val="-21"/>
          <w:sz w:val="22"/>
        </w:rPr>
        <w:t> </w:t>
      </w:r>
      <w:r>
        <w:rPr>
          <w:spacing w:val="10"/>
          <w:sz w:val="22"/>
        </w:rPr>
        <w:t>ation </w:t>
      </w:r>
      <w:r>
        <w:rPr>
          <w:sz w:val="22"/>
        </w:rPr>
        <w:t>of</w:t>
      </w:r>
      <w:r>
        <w:rPr>
          <w:spacing w:val="9"/>
          <w:sz w:val="22"/>
        </w:rPr>
        <w:t> the highest</w:t>
      </w:r>
      <w:r>
        <w:rPr>
          <w:spacing w:val="40"/>
          <w:sz w:val="22"/>
        </w:rPr>
        <w:t> </w:t>
      </w:r>
      <w:r>
        <w:rPr>
          <w:sz w:val="22"/>
        </w:rPr>
        <w:t>quality,</w:t>
      </w:r>
      <w:r>
        <w:rPr>
          <w:spacing w:val="11"/>
          <w:sz w:val="22"/>
        </w:rPr>
        <w:t> affording</w:t>
      </w:r>
      <w:r>
        <w:rPr>
          <w:spacing w:val="40"/>
          <w:sz w:val="22"/>
        </w:rPr>
        <w:t> </w:t>
      </w:r>
      <w:r>
        <w:rPr>
          <w:sz w:val="22"/>
        </w:rPr>
        <w:t>an</w:t>
      </w:r>
      <w:r>
        <w:rPr>
          <w:spacing w:val="40"/>
          <w:sz w:val="22"/>
        </w:rPr>
        <w:t> </w:t>
      </w:r>
      <w:r>
        <w:rPr>
          <w:sz w:val="22"/>
        </w:rPr>
        <w:t>a</w:t>
      </w:r>
      <w:r>
        <w:rPr>
          <w:spacing w:val="-25"/>
          <w:sz w:val="22"/>
        </w:rPr>
        <w:t> </w:t>
      </w:r>
      <w:r>
        <w:rPr>
          <w:spacing w:val="15"/>
          <w:sz w:val="22"/>
        </w:rPr>
        <w:t>dvanc</w:t>
      </w:r>
      <w:r>
        <w:rPr>
          <w:spacing w:val="-26"/>
          <w:sz w:val="22"/>
        </w:rPr>
        <w:t> </w:t>
      </w:r>
      <w:r>
        <w:rPr>
          <w:spacing w:val="12"/>
          <w:sz w:val="22"/>
        </w:rPr>
        <w:t>ed </w:t>
      </w:r>
      <w:r>
        <w:rPr>
          <w:spacing w:val="10"/>
          <w:sz w:val="22"/>
        </w:rPr>
        <w:t>level </w:t>
      </w:r>
      <w:r>
        <w:rPr>
          <w:sz w:val="22"/>
        </w:rPr>
        <w:t>of</w:t>
      </w:r>
      <w:r>
        <w:rPr>
          <w:spacing w:val="18"/>
          <w:sz w:val="22"/>
        </w:rPr>
        <w:t> competency </w:t>
      </w:r>
      <w:r>
        <w:rPr>
          <w:sz w:val="22"/>
        </w:rPr>
        <w:t>within </w:t>
      </w:r>
      <w:r>
        <w:rPr>
          <w:spacing w:val="9"/>
          <w:sz w:val="22"/>
        </w:rPr>
        <w:t>the </w:t>
      </w:r>
      <w:r>
        <w:rPr>
          <w:spacing w:val="14"/>
          <w:sz w:val="22"/>
        </w:rPr>
        <w:t>broadest</w:t>
      </w:r>
      <w:r>
        <w:rPr>
          <w:spacing w:val="10"/>
          <w:sz w:val="22"/>
        </w:rPr>
        <w:t> </w:t>
      </w:r>
      <w:r>
        <w:rPr>
          <w:spacing w:val="13"/>
          <w:sz w:val="22"/>
        </w:rPr>
        <w:t>spectrum </w:t>
      </w:r>
      <w:r>
        <w:rPr>
          <w:sz w:val="22"/>
        </w:rPr>
        <w:t>of responsibility to </w:t>
      </w:r>
      <w:r>
        <w:rPr>
          <w:spacing w:val="9"/>
          <w:sz w:val="22"/>
        </w:rPr>
        <w:t>the </w:t>
      </w:r>
      <w:r>
        <w:rPr>
          <w:sz w:val="22"/>
        </w:rPr>
        <w:t>client, </w:t>
      </w:r>
      <w:r>
        <w:rPr>
          <w:spacing w:val="11"/>
          <w:sz w:val="22"/>
        </w:rPr>
        <w:t>society, </w:t>
      </w:r>
      <w:r>
        <w:rPr>
          <w:spacing w:val="13"/>
          <w:sz w:val="22"/>
        </w:rPr>
        <w:t>and </w:t>
      </w:r>
      <w:r>
        <w:rPr>
          <w:spacing w:val="9"/>
          <w:sz w:val="22"/>
        </w:rPr>
        <w:t>the </w:t>
      </w:r>
      <w:r>
        <w:rPr>
          <w:spacing w:val="10"/>
          <w:sz w:val="22"/>
        </w:rPr>
        <w:t>environment.</w:t>
      </w:r>
      <w:r>
        <w:rPr>
          <w:spacing w:val="1"/>
          <w:sz w:val="22"/>
        </w:rPr>
        <w:t> </w:t>
      </w:r>
      <w:r>
        <w:rPr>
          <w:sz w:val="22"/>
        </w:rPr>
        <w:t>The </w:t>
      </w:r>
      <w:r>
        <w:rPr>
          <w:spacing w:val="11"/>
          <w:sz w:val="22"/>
        </w:rPr>
        <w:t>Dep</w:t>
      </w:r>
      <w:r>
        <w:rPr>
          <w:spacing w:val="-29"/>
          <w:sz w:val="22"/>
        </w:rPr>
        <w:t> </w:t>
      </w:r>
      <w:r>
        <w:rPr>
          <w:spacing w:val="12"/>
          <w:sz w:val="22"/>
        </w:rPr>
        <w:t>artment </w:t>
      </w:r>
      <w:r>
        <w:rPr>
          <w:sz w:val="22"/>
        </w:rPr>
        <w:t>is</w:t>
      </w:r>
      <w:r>
        <w:rPr>
          <w:spacing w:val="26"/>
          <w:sz w:val="22"/>
        </w:rPr>
        <w:t> </w:t>
      </w:r>
      <w:r>
        <w:rPr>
          <w:sz w:val="22"/>
        </w:rPr>
        <w:t>c</w:t>
      </w:r>
      <w:r>
        <w:rPr>
          <w:spacing w:val="-29"/>
          <w:sz w:val="22"/>
        </w:rPr>
        <w:t> </w:t>
      </w:r>
      <w:r>
        <w:rPr>
          <w:spacing w:val="14"/>
          <w:sz w:val="22"/>
        </w:rPr>
        <w:t>ommitted </w:t>
      </w:r>
      <w:r>
        <w:rPr>
          <w:sz w:val="22"/>
        </w:rPr>
        <w:t>to</w:t>
      </w:r>
      <w:r>
        <w:rPr>
          <w:spacing w:val="9"/>
          <w:sz w:val="22"/>
        </w:rPr>
        <w:t> the </w:t>
      </w:r>
      <w:r>
        <w:rPr>
          <w:spacing w:val="15"/>
          <w:sz w:val="22"/>
        </w:rPr>
        <w:t>development </w:t>
      </w:r>
      <w:r>
        <w:rPr>
          <w:sz w:val="22"/>
        </w:rPr>
        <w:t>of</w:t>
      </w:r>
      <w:r>
        <w:rPr>
          <w:spacing w:val="31"/>
          <w:sz w:val="22"/>
        </w:rPr>
        <w:t> </w:t>
      </w:r>
      <w:r>
        <w:rPr>
          <w:sz w:val="22"/>
        </w:rPr>
        <w:t>critic</w:t>
      </w:r>
      <w:r>
        <w:rPr>
          <w:spacing w:val="-29"/>
          <w:sz w:val="22"/>
        </w:rPr>
        <w:t> </w:t>
      </w:r>
      <w:r>
        <w:rPr>
          <w:sz w:val="22"/>
        </w:rPr>
        <w:t>al inquiry, </w:t>
      </w:r>
      <w:r>
        <w:rPr>
          <w:spacing w:val="12"/>
          <w:sz w:val="22"/>
        </w:rPr>
        <w:t>creative </w:t>
      </w:r>
      <w:r>
        <w:rPr>
          <w:sz w:val="22"/>
        </w:rPr>
        <w:t>thinking, </w:t>
      </w:r>
      <w:r>
        <w:rPr>
          <w:spacing w:val="13"/>
          <w:sz w:val="22"/>
        </w:rPr>
        <w:t>and </w:t>
      </w:r>
      <w:r>
        <w:rPr>
          <w:sz w:val="22"/>
        </w:rPr>
        <w:t>life-</w:t>
      </w:r>
      <w:r>
        <w:rPr>
          <w:spacing w:val="11"/>
          <w:sz w:val="22"/>
        </w:rPr>
        <w:t>long </w:t>
      </w:r>
      <w:r>
        <w:rPr>
          <w:spacing w:val="10"/>
          <w:sz w:val="22"/>
        </w:rPr>
        <w:t>learning </w:t>
      </w:r>
      <w:r>
        <w:rPr>
          <w:sz w:val="22"/>
        </w:rPr>
        <w:t>essential to</w:t>
      </w:r>
      <w:r>
        <w:rPr>
          <w:spacing w:val="40"/>
          <w:sz w:val="22"/>
        </w:rPr>
        <w:t> </w:t>
      </w:r>
      <w:r>
        <w:rPr>
          <w:sz w:val="22"/>
        </w:rPr>
        <w:t>p</w:t>
      </w:r>
      <w:r>
        <w:rPr>
          <w:spacing w:val="-25"/>
          <w:sz w:val="22"/>
        </w:rPr>
        <w:t> </w:t>
      </w:r>
      <w:r>
        <w:rPr>
          <w:spacing w:val="13"/>
          <w:sz w:val="22"/>
        </w:rPr>
        <w:t>articipate </w:t>
      </w:r>
      <w:r>
        <w:rPr>
          <w:sz w:val="22"/>
        </w:rPr>
        <w:t>in</w:t>
      </w:r>
      <w:r>
        <w:rPr>
          <w:spacing w:val="38"/>
          <w:sz w:val="22"/>
        </w:rPr>
        <w:t> </w:t>
      </w:r>
      <w:r>
        <w:rPr>
          <w:sz w:val="22"/>
        </w:rPr>
        <w:t>our ra</w:t>
      </w:r>
      <w:r>
        <w:rPr>
          <w:spacing w:val="-25"/>
          <w:sz w:val="22"/>
        </w:rPr>
        <w:t> </w:t>
      </w:r>
      <w:r>
        <w:rPr>
          <w:sz w:val="22"/>
        </w:rPr>
        <w:t>pidly</w:t>
      </w:r>
      <w:r>
        <w:rPr>
          <w:spacing w:val="14"/>
          <w:sz w:val="22"/>
        </w:rPr>
        <w:t> changing </w:t>
      </w:r>
      <w:r>
        <w:rPr>
          <w:spacing w:val="11"/>
          <w:sz w:val="22"/>
        </w:rPr>
        <w:t>society.</w:t>
      </w:r>
    </w:p>
    <w:p>
      <w:pPr>
        <w:pStyle w:val="BodyText"/>
        <w:spacing w:before="9"/>
        <w:rPr>
          <w:sz w:val="26"/>
        </w:rPr>
      </w:pPr>
    </w:p>
    <w:p>
      <w:pPr>
        <w:spacing w:line="292" w:lineRule="auto" w:before="0"/>
        <w:ind w:left="440" w:right="730" w:firstLine="0"/>
        <w:jc w:val="both"/>
        <w:rPr>
          <w:sz w:val="22"/>
        </w:rPr>
      </w:pPr>
      <w:r>
        <w:rPr>
          <w:sz w:val="22"/>
        </w:rPr>
        <w:t>The</w:t>
      </w:r>
      <w:r>
        <w:rPr>
          <w:spacing w:val="-6"/>
          <w:sz w:val="22"/>
        </w:rPr>
        <w:t> </w:t>
      </w:r>
      <w:r>
        <w:rPr>
          <w:spacing w:val="14"/>
          <w:sz w:val="22"/>
        </w:rPr>
        <w:t>program</w:t>
      </w:r>
      <w:r>
        <w:rPr>
          <w:spacing w:val="2"/>
          <w:sz w:val="22"/>
        </w:rPr>
        <w:t> </w:t>
      </w:r>
      <w:r>
        <w:rPr>
          <w:sz w:val="22"/>
        </w:rPr>
        <w:t>seeks</w:t>
      </w:r>
      <w:r>
        <w:rPr>
          <w:spacing w:val="-1"/>
          <w:sz w:val="22"/>
        </w:rPr>
        <w:t> </w:t>
      </w:r>
      <w:r>
        <w:rPr>
          <w:sz w:val="22"/>
        </w:rPr>
        <w:t>to </w:t>
      </w:r>
      <w:r>
        <w:rPr>
          <w:spacing w:val="12"/>
          <w:sz w:val="22"/>
        </w:rPr>
        <w:t>heighten</w:t>
      </w:r>
      <w:r>
        <w:rPr>
          <w:spacing w:val="-3"/>
          <w:sz w:val="22"/>
        </w:rPr>
        <w:t> </w:t>
      </w:r>
      <w:r>
        <w:rPr>
          <w:spacing w:val="12"/>
          <w:sz w:val="22"/>
        </w:rPr>
        <w:t>students’ awareness</w:t>
      </w:r>
      <w:r>
        <w:rPr>
          <w:spacing w:val="3"/>
          <w:sz w:val="22"/>
        </w:rPr>
        <w:t> </w:t>
      </w:r>
      <w:r>
        <w:rPr>
          <w:sz w:val="22"/>
        </w:rPr>
        <w:t>of </w:t>
      </w:r>
      <w:r>
        <w:rPr>
          <w:spacing w:val="10"/>
          <w:sz w:val="22"/>
        </w:rPr>
        <w:t>ever</w:t>
      </w:r>
      <w:r>
        <w:rPr>
          <w:spacing w:val="3"/>
          <w:sz w:val="22"/>
        </w:rPr>
        <w:t> </w:t>
      </w:r>
      <w:r>
        <w:rPr>
          <w:spacing w:val="9"/>
          <w:sz w:val="22"/>
        </w:rPr>
        <w:t>evolving </w:t>
      </w:r>
      <w:r>
        <w:rPr>
          <w:spacing w:val="14"/>
          <w:sz w:val="22"/>
        </w:rPr>
        <w:t>global</w:t>
      </w:r>
      <w:r>
        <w:rPr>
          <w:spacing w:val="7"/>
          <w:sz w:val="22"/>
        </w:rPr>
        <w:t> </w:t>
      </w:r>
      <w:r>
        <w:rPr>
          <w:sz w:val="22"/>
        </w:rPr>
        <w:t>c</w:t>
      </w:r>
      <w:r>
        <w:rPr>
          <w:spacing w:val="-16"/>
          <w:sz w:val="22"/>
        </w:rPr>
        <w:t> </w:t>
      </w:r>
      <w:r>
        <w:rPr>
          <w:spacing w:val="10"/>
          <w:sz w:val="22"/>
        </w:rPr>
        <w:t>onditions </w:t>
      </w:r>
      <w:r>
        <w:rPr>
          <w:sz w:val="22"/>
        </w:rPr>
        <w:t>signific</w:t>
      </w:r>
      <w:r>
        <w:rPr>
          <w:spacing w:val="-16"/>
          <w:sz w:val="22"/>
        </w:rPr>
        <w:t> </w:t>
      </w:r>
      <w:r>
        <w:rPr>
          <w:spacing w:val="10"/>
          <w:sz w:val="22"/>
        </w:rPr>
        <w:t>ant</w:t>
      </w:r>
      <w:r>
        <w:rPr>
          <w:spacing w:val="-3"/>
          <w:sz w:val="22"/>
        </w:rPr>
        <w:t> </w:t>
      </w:r>
      <w:r>
        <w:rPr>
          <w:sz w:val="22"/>
        </w:rPr>
        <w:t>to</w:t>
      </w:r>
      <w:r>
        <w:rPr>
          <w:spacing w:val="9"/>
          <w:sz w:val="22"/>
        </w:rPr>
        <w:t> the</w:t>
      </w:r>
      <w:r>
        <w:rPr>
          <w:spacing w:val="33"/>
          <w:sz w:val="22"/>
        </w:rPr>
        <w:t> </w:t>
      </w:r>
      <w:r>
        <w:rPr>
          <w:spacing w:val="14"/>
          <w:sz w:val="22"/>
        </w:rPr>
        <w:t>production </w:t>
      </w:r>
      <w:r>
        <w:rPr>
          <w:sz w:val="22"/>
        </w:rPr>
        <w:t>of</w:t>
      </w:r>
      <w:r>
        <w:rPr>
          <w:spacing w:val="29"/>
          <w:sz w:val="22"/>
        </w:rPr>
        <w:t> </w:t>
      </w:r>
      <w:r>
        <w:rPr>
          <w:sz w:val="22"/>
        </w:rPr>
        <w:t>c</w:t>
      </w:r>
      <w:r>
        <w:rPr>
          <w:spacing w:val="-16"/>
          <w:sz w:val="22"/>
        </w:rPr>
        <w:t> </w:t>
      </w:r>
      <w:r>
        <w:rPr>
          <w:spacing w:val="13"/>
          <w:sz w:val="22"/>
        </w:rPr>
        <w:t>ontemporary </w:t>
      </w:r>
      <w:r>
        <w:rPr>
          <w:spacing w:val="12"/>
          <w:sz w:val="22"/>
        </w:rPr>
        <w:t>architecture, </w:t>
      </w:r>
      <w:r>
        <w:rPr>
          <w:spacing w:val="13"/>
          <w:sz w:val="22"/>
        </w:rPr>
        <w:t>and </w:t>
      </w:r>
      <w:r>
        <w:rPr>
          <w:spacing w:val="9"/>
          <w:sz w:val="22"/>
        </w:rPr>
        <w:t>the</w:t>
      </w:r>
      <w:r>
        <w:rPr>
          <w:spacing w:val="33"/>
          <w:sz w:val="22"/>
        </w:rPr>
        <w:t> </w:t>
      </w:r>
      <w:r>
        <w:rPr>
          <w:sz w:val="22"/>
        </w:rPr>
        <w:t>built</w:t>
      </w:r>
      <w:r>
        <w:rPr>
          <w:spacing w:val="10"/>
          <w:sz w:val="22"/>
        </w:rPr>
        <w:t> environment. </w:t>
      </w:r>
      <w:r>
        <w:rPr>
          <w:sz w:val="22"/>
        </w:rPr>
        <w:t>It</w:t>
      </w:r>
      <w:r>
        <w:rPr>
          <w:spacing w:val="-16"/>
          <w:sz w:val="22"/>
        </w:rPr>
        <w:t> </w:t>
      </w:r>
      <w:r>
        <w:rPr>
          <w:spacing w:val="13"/>
          <w:sz w:val="22"/>
        </w:rPr>
        <w:t>promotes</w:t>
      </w:r>
      <w:r>
        <w:rPr>
          <w:spacing w:val="-8"/>
          <w:sz w:val="22"/>
        </w:rPr>
        <w:t> </w:t>
      </w:r>
      <w:r>
        <w:rPr>
          <w:sz w:val="22"/>
        </w:rPr>
        <w:t>the </w:t>
      </w:r>
      <w:r>
        <w:rPr>
          <w:spacing w:val="11"/>
          <w:sz w:val="22"/>
        </w:rPr>
        <w:t>study</w:t>
      </w:r>
      <w:r>
        <w:rPr>
          <w:spacing w:val="8"/>
          <w:sz w:val="22"/>
        </w:rPr>
        <w:t> </w:t>
      </w:r>
      <w:r>
        <w:rPr>
          <w:sz w:val="22"/>
        </w:rPr>
        <w:t>of </w:t>
      </w:r>
      <w:r>
        <w:rPr>
          <w:spacing w:val="9"/>
          <w:sz w:val="22"/>
        </w:rPr>
        <w:t>transitional</w:t>
      </w:r>
      <w:r>
        <w:rPr>
          <w:spacing w:val="1"/>
          <w:sz w:val="22"/>
        </w:rPr>
        <w:t> </w:t>
      </w:r>
      <w:r>
        <w:rPr>
          <w:spacing w:val="12"/>
          <w:sz w:val="22"/>
        </w:rPr>
        <w:t>urban areas</w:t>
      </w:r>
      <w:r>
        <w:rPr>
          <w:spacing w:val="8"/>
          <w:sz w:val="22"/>
        </w:rPr>
        <w:t> </w:t>
      </w:r>
      <w:r>
        <w:rPr>
          <w:spacing w:val="13"/>
          <w:sz w:val="22"/>
        </w:rPr>
        <w:t>and </w:t>
      </w:r>
      <w:r>
        <w:rPr>
          <w:sz w:val="22"/>
        </w:rPr>
        <w:t>c</w:t>
      </w:r>
      <w:r>
        <w:rPr>
          <w:spacing w:val="-16"/>
          <w:sz w:val="22"/>
        </w:rPr>
        <w:t> </w:t>
      </w:r>
      <w:r>
        <w:rPr>
          <w:spacing w:val="9"/>
          <w:sz w:val="22"/>
        </w:rPr>
        <w:t>ommunities</w:t>
      </w:r>
      <w:r>
        <w:rPr>
          <w:spacing w:val="6"/>
          <w:sz w:val="22"/>
        </w:rPr>
        <w:t> </w:t>
      </w:r>
      <w:r>
        <w:rPr>
          <w:sz w:val="22"/>
        </w:rPr>
        <w:t>of c</w:t>
      </w:r>
      <w:r>
        <w:rPr>
          <w:spacing w:val="-16"/>
          <w:sz w:val="22"/>
        </w:rPr>
        <w:t> </w:t>
      </w:r>
      <w:r>
        <w:rPr>
          <w:sz w:val="22"/>
        </w:rPr>
        <w:t>olor.</w:t>
      </w:r>
      <w:r>
        <w:rPr>
          <w:spacing w:val="-7"/>
          <w:sz w:val="22"/>
        </w:rPr>
        <w:t> </w:t>
      </w:r>
      <w:r>
        <w:rPr>
          <w:sz w:val="22"/>
        </w:rPr>
        <w:t>The diversity of fa</w:t>
      </w:r>
      <w:r>
        <w:rPr>
          <w:spacing w:val="-27"/>
          <w:sz w:val="22"/>
        </w:rPr>
        <w:t> </w:t>
      </w:r>
      <w:r>
        <w:rPr>
          <w:sz w:val="22"/>
        </w:rPr>
        <w:t>culty</w:t>
      </w:r>
      <w:r>
        <w:rPr>
          <w:spacing w:val="13"/>
          <w:sz w:val="22"/>
        </w:rPr>
        <w:t> and </w:t>
      </w:r>
      <w:r>
        <w:rPr>
          <w:spacing w:val="12"/>
          <w:sz w:val="22"/>
        </w:rPr>
        <w:t>student </w:t>
      </w:r>
      <w:r>
        <w:rPr>
          <w:sz w:val="22"/>
        </w:rPr>
        <w:t>b</w:t>
      </w:r>
      <w:r>
        <w:rPr>
          <w:spacing w:val="-30"/>
          <w:sz w:val="22"/>
        </w:rPr>
        <w:t> </w:t>
      </w:r>
      <w:r>
        <w:rPr>
          <w:sz w:val="22"/>
        </w:rPr>
        <w:t>a</w:t>
      </w:r>
      <w:r>
        <w:rPr>
          <w:spacing w:val="-30"/>
          <w:sz w:val="22"/>
        </w:rPr>
        <w:t> </w:t>
      </w:r>
      <w:r>
        <w:rPr>
          <w:spacing w:val="12"/>
          <w:sz w:val="22"/>
        </w:rPr>
        <w:t>ckgrounds </w:t>
      </w:r>
      <w:r>
        <w:rPr>
          <w:spacing w:val="9"/>
          <w:sz w:val="22"/>
        </w:rPr>
        <w:t>allows </w:t>
      </w:r>
      <w:r>
        <w:rPr>
          <w:sz w:val="22"/>
        </w:rPr>
        <w:t>us to</w:t>
      </w:r>
      <w:r>
        <w:rPr>
          <w:spacing w:val="36"/>
          <w:sz w:val="22"/>
        </w:rPr>
        <w:t> </w:t>
      </w:r>
      <w:r>
        <w:rPr>
          <w:sz w:val="22"/>
        </w:rPr>
        <w:t>c</w:t>
      </w:r>
      <w:r>
        <w:rPr>
          <w:spacing w:val="-30"/>
          <w:sz w:val="22"/>
        </w:rPr>
        <w:t> </w:t>
      </w:r>
      <w:r>
        <w:rPr>
          <w:spacing w:val="10"/>
          <w:sz w:val="22"/>
        </w:rPr>
        <w:t>ontribute </w:t>
      </w:r>
      <w:r>
        <w:rPr>
          <w:sz w:val="22"/>
        </w:rPr>
        <w:t>to</w:t>
      </w:r>
      <w:r>
        <w:rPr>
          <w:spacing w:val="10"/>
          <w:sz w:val="22"/>
        </w:rPr>
        <w:t> an </w:t>
      </w:r>
      <w:r>
        <w:rPr>
          <w:spacing w:val="12"/>
          <w:sz w:val="22"/>
        </w:rPr>
        <w:t>awareness </w:t>
      </w:r>
      <w:r>
        <w:rPr>
          <w:sz w:val="22"/>
        </w:rPr>
        <w:t>of, </w:t>
      </w:r>
      <w:r>
        <w:rPr>
          <w:spacing w:val="13"/>
          <w:sz w:val="22"/>
        </w:rPr>
        <w:t>and</w:t>
      </w:r>
    </w:p>
    <w:p>
      <w:pPr>
        <w:spacing w:line="292" w:lineRule="auto" w:before="6"/>
        <w:ind w:left="440" w:right="1100" w:firstLine="14"/>
        <w:jc w:val="both"/>
        <w:rPr>
          <w:sz w:val="22"/>
        </w:rPr>
      </w:pPr>
      <w:r>
        <w:rPr>
          <w:sz w:val="22"/>
        </w:rPr>
        <w:t>ability</w:t>
      </w:r>
      <w:r>
        <w:rPr>
          <w:spacing w:val="-15"/>
          <w:sz w:val="22"/>
        </w:rPr>
        <w:t> </w:t>
      </w:r>
      <w:r>
        <w:rPr>
          <w:sz w:val="22"/>
        </w:rPr>
        <w:t>to work with </w:t>
      </w:r>
      <w:r>
        <w:rPr>
          <w:spacing w:val="11"/>
          <w:sz w:val="22"/>
        </w:rPr>
        <w:t>varied </w:t>
      </w:r>
      <w:r>
        <w:rPr>
          <w:spacing w:val="10"/>
          <w:sz w:val="22"/>
        </w:rPr>
        <w:t>groups.</w:t>
      </w:r>
      <w:r>
        <w:rPr>
          <w:spacing w:val="3"/>
          <w:sz w:val="22"/>
        </w:rPr>
        <w:t> </w:t>
      </w:r>
      <w:r>
        <w:rPr>
          <w:sz w:val="22"/>
        </w:rPr>
        <w:t>The curriculum </w:t>
      </w:r>
      <w:r>
        <w:rPr>
          <w:spacing w:val="10"/>
          <w:sz w:val="22"/>
        </w:rPr>
        <w:t>takes </w:t>
      </w:r>
      <w:r>
        <w:rPr>
          <w:sz w:val="22"/>
        </w:rPr>
        <w:t>a</w:t>
      </w:r>
      <w:r>
        <w:rPr>
          <w:spacing w:val="-16"/>
          <w:sz w:val="22"/>
        </w:rPr>
        <w:t> </w:t>
      </w:r>
      <w:r>
        <w:rPr>
          <w:spacing w:val="17"/>
          <w:sz w:val="22"/>
        </w:rPr>
        <w:t>dvantage </w:t>
      </w:r>
      <w:r>
        <w:rPr>
          <w:sz w:val="22"/>
        </w:rPr>
        <w:t>of </w:t>
      </w:r>
      <w:r>
        <w:rPr>
          <w:spacing w:val="9"/>
          <w:sz w:val="22"/>
        </w:rPr>
        <w:t>the rich </w:t>
      </w:r>
      <w:r>
        <w:rPr>
          <w:sz w:val="22"/>
        </w:rPr>
        <w:t>urb</w:t>
      </w:r>
      <w:r>
        <w:rPr>
          <w:spacing w:val="-16"/>
          <w:sz w:val="22"/>
        </w:rPr>
        <w:t> </w:t>
      </w:r>
      <w:r>
        <w:rPr>
          <w:spacing w:val="10"/>
          <w:sz w:val="22"/>
        </w:rPr>
        <w:t>an setting </w:t>
      </w:r>
      <w:r>
        <w:rPr>
          <w:sz w:val="22"/>
        </w:rPr>
        <w:t>of </w:t>
      </w:r>
      <w:r>
        <w:rPr>
          <w:spacing w:val="9"/>
          <w:sz w:val="22"/>
        </w:rPr>
        <w:t>the </w:t>
      </w:r>
      <w:r>
        <w:rPr>
          <w:spacing w:val="16"/>
          <w:sz w:val="22"/>
        </w:rPr>
        <w:t>Hampton </w:t>
      </w:r>
      <w:r>
        <w:rPr>
          <w:spacing w:val="11"/>
          <w:sz w:val="22"/>
        </w:rPr>
        <w:t>Roa</w:t>
      </w:r>
      <w:r>
        <w:rPr>
          <w:spacing w:val="-26"/>
          <w:sz w:val="22"/>
        </w:rPr>
        <w:t> </w:t>
      </w:r>
      <w:r>
        <w:rPr>
          <w:sz w:val="22"/>
        </w:rPr>
        <w:t>ds </w:t>
      </w:r>
      <w:r>
        <w:rPr>
          <w:spacing w:val="12"/>
          <w:sz w:val="22"/>
        </w:rPr>
        <w:t>area.</w:t>
      </w:r>
    </w:p>
    <w:p>
      <w:pPr>
        <w:pStyle w:val="BodyText"/>
        <w:spacing w:before="1"/>
        <w:rPr>
          <w:sz w:val="27"/>
        </w:rPr>
      </w:pPr>
    </w:p>
    <w:p>
      <w:pPr>
        <w:spacing w:line="295" w:lineRule="auto" w:before="0"/>
        <w:ind w:left="454" w:right="712" w:hanging="14"/>
        <w:jc w:val="left"/>
        <w:rPr>
          <w:sz w:val="22"/>
        </w:rPr>
      </w:pPr>
      <w:r>
        <w:rPr>
          <w:sz w:val="22"/>
        </w:rPr>
        <w:t>In </w:t>
      </w:r>
      <w:r>
        <w:rPr>
          <w:spacing w:val="9"/>
          <w:sz w:val="22"/>
        </w:rPr>
        <w:t>the </w:t>
      </w:r>
      <w:r>
        <w:rPr>
          <w:sz w:val="22"/>
        </w:rPr>
        <w:t>tra</w:t>
      </w:r>
      <w:r>
        <w:rPr>
          <w:spacing w:val="-33"/>
          <w:sz w:val="22"/>
        </w:rPr>
        <w:t> </w:t>
      </w:r>
      <w:r>
        <w:rPr>
          <w:sz w:val="22"/>
        </w:rPr>
        <w:t>dition of </w:t>
      </w:r>
      <w:r>
        <w:rPr>
          <w:spacing w:val="9"/>
          <w:sz w:val="22"/>
        </w:rPr>
        <w:t>the</w:t>
      </w:r>
      <w:r>
        <w:rPr>
          <w:spacing w:val="7"/>
          <w:sz w:val="22"/>
        </w:rPr>
        <w:t> </w:t>
      </w:r>
      <w:r>
        <w:rPr>
          <w:sz w:val="22"/>
        </w:rPr>
        <w:t>HBCU, our </w:t>
      </w:r>
      <w:r>
        <w:rPr>
          <w:spacing w:val="14"/>
          <w:sz w:val="22"/>
        </w:rPr>
        <w:t>program </w:t>
      </w:r>
      <w:r>
        <w:rPr>
          <w:spacing w:val="9"/>
          <w:sz w:val="22"/>
        </w:rPr>
        <w:t>explores questions</w:t>
      </w:r>
      <w:r>
        <w:rPr>
          <w:spacing w:val="8"/>
          <w:sz w:val="22"/>
        </w:rPr>
        <w:t> </w:t>
      </w:r>
      <w:r>
        <w:rPr>
          <w:sz w:val="22"/>
        </w:rPr>
        <w:t>of</w:t>
      </w:r>
      <w:r>
        <w:rPr>
          <w:spacing w:val="-2"/>
          <w:sz w:val="22"/>
        </w:rPr>
        <w:t> </w:t>
      </w:r>
      <w:r>
        <w:rPr>
          <w:spacing w:val="10"/>
          <w:sz w:val="22"/>
        </w:rPr>
        <w:t>identity</w:t>
      </w:r>
      <w:r>
        <w:rPr>
          <w:sz w:val="22"/>
        </w:rPr>
        <w:t> in </w:t>
      </w:r>
      <w:r>
        <w:rPr>
          <w:spacing w:val="10"/>
          <w:sz w:val="22"/>
        </w:rPr>
        <w:t>design </w:t>
      </w:r>
      <w:r>
        <w:rPr>
          <w:sz w:val="22"/>
        </w:rPr>
        <w:t>as well as </w:t>
      </w:r>
      <w:r>
        <w:rPr>
          <w:spacing w:val="11"/>
          <w:sz w:val="22"/>
        </w:rPr>
        <w:t>other </w:t>
      </w:r>
      <w:r>
        <w:rPr>
          <w:sz w:val="22"/>
        </w:rPr>
        <w:t>cultural, </w:t>
      </w:r>
      <w:r>
        <w:rPr>
          <w:spacing w:val="11"/>
          <w:sz w:val="22"/>
        </w:rPr>
        <w:t>social, </w:t>
      </w:r>
      <w:r>
        <w:rPr>
          <w:spacing w:val="13"/>
          <w:sz w:val="22"/>
        </w:rPr>
        <w:t>and technic</w:t>
      </w:r>
      <w:r>
        <w:rPr>
          <w:spacing w:val="-24"/>
          <w:sz w:val="22"/>
        </w:rPr>
        <w:t> </w:t>
      </w:r>
      <w:r>
        <w:rPr>
          <w:sz w:val="22"/>
        </w:rPr>
        <w:t>al issues in </w:t>
      </w:r>
      <w:r>
        <w:rPr>
          <w:spacing w:val="12"/>
          <w:sz w:val="22"/>
        </w:rPr>
        <w:t>architecture.</w:t>
      </w:r>
      <w:r>
        <w:rPr>
          <w:spacing w:val="10"/>
          <w:sz w:val="22"/>
        </w:rPr>
        <w:t> </w:t>
      </w:r>
      <w:r>
        <w:rPr>
          <w:sz w:val="22"/>
        </w:rPr>
        <w:t>We</w:t>
      </w:r>
      <w:r>
        <w:rPr>
          <w:spacing w:val="12"/>
          <w:sz w:val="22"/>
        </w:rPr>
        <w:t> provide </w:t>
      </w:r>
      <w:r>
        <w:rPr>
          <w:sz w:val="22"/>
        </w:rPr>
        <w:t>the</w:t>
      </w:r>
    </w:p>
    <w:p>
      <w:pPr>
        <w:spacing w:line="292" w:lineRule="auto" w:before="0"/>
        <w:ind w:left="454" w:right="642" w:hanging="4"/>
        <w:jc w:val="left"/>
        <w:rPr>
          <w:sz w:val="22"/>
        </w:rPr>
      </w:pPr>
      <w:r>
        <w:rPr>
          <w:spacing w:val="15"/>
          <w:sz w:val="22"/>
        </w:rPr>
        <w:t>educ</w:t>
      </w:r>
      <w:r>
        <w:rPr>
          <w:spacing w:val="-30"/>
          <w:sz w:val="22"/>
        </w:rPr>
        <w:t> </w:t>
      </w:r>
      <w:r>
        <w:rPr>
          <w:spacing w:val="11"/>
          <w:sz w:val="22"/>
        </w:rPr>
        <w:t>ational</w:t>
      </w:r>
      <w:r>
        <w:rPr>
          <w:spacing w:val="4"/>
          <w:sz w:val="22"/>
        </w:rPr>
        <w:t> </w:t>
      </w:r>
      <w:r>
        <w:rPr>
          <w:spacing w:val="12"/>
          <w:sz w:val="22"/>
        </w:rPr>
        <w:t>framework</w:t>
      </w:r>
      <w:r>
        <w:rPr>
          <w:spacing w:val="2"/>
          <w:sz w:val="22"/>
        </w:rPr>
        <w:t> </w:t>
      </w:r>
      <w:r>
        <w:rPr>
          <w:sz w:val="22"/>
        </w:rPr>
        <w:t>for </w:t>
      </w:r>
      <w:r>
        <w:rPr>
          <w:spacing w:val="9"/>
          <w:sz w:val="22"/>
        </w:rPr>
        <w:t>the </w:t>
      </w:r>
      <w:r>
        <w:rPr>
          <w:spacing w:val="12"/>
          <w:sz w:val="22"/>
        </w:rPr>
        <w:t>emerging </w:t>
      </w:r>
      <w:r>
        <w:rPr>
          <w:spacing w:val="11"/>
          <w:sz w:val="22"/>
        </w:rPr>
        <w:t>leadership </w:t>
      </w:r>
      <w:r>
        <w:rPr>
          <w:sz w:val="22"/>
        </w:rPr>
        <w:t>roles of </w:t>
      </w:r>
      <w:r>
        <w:rPr>
          <w:spacing w:val="9"/>
          <w:sz w:val="22"/>
        </w:rPr>
        <w:t>the </w:t>
      </w:r>
      <w:r>
        <w:rPr>
          <w:sz w:val="22"/>
        </w:rPr>
        <w:t>Afric</w:t>
      </w:r>
      <w:r>
        <w:rPr>
          <w:spacing w:val="-30"/>
          <w:sz w:val="22"/>
        </w:rPr>
        <w:t> </w:t>
      </w:r>
      <w:r>
        <w:rPr>
          <w:spacing w:val="10"/>
          <w:sz w:val="22"/>
        </w:rPr>
        <w:t>an Americ</w:t>
      </w:r>
      <w:r>
        <w:rPr>
          <w:spacing w:val="-33"/>
          <w:sz w:val="22"/>
        </w:rPr>
        <w:t> </w:t>
      </w:r>
      <w:r>
        <w:rPr>
          <w:spacing w:val="10"/>
          <w:sz w:val="22"/>
        </w:rPr>
        <w:t>an </w:t>
      </w:r>
      <w:r>
        <w:rPr>
          <w:spacing w:val="14"/>
          <w:sz w:val="22"/>
        </w:rPr>
        <w:t>architect </w:t>
      </w:r>
      <w:r>
        <w:rPr>
          <w:sz w:val="22"/>
        </w:rPr>
        <w:t>in </w:t>
      </w:r>
      <w:r>
        <w:rPr>
          <w:spacing w:val="9"/>
          <w:sz w:val="22"/>
        </w:rPr>
        <w:t>the </w:t>
      </w:r>
      <w:r>
        <w:rPr>
          <w:sz w:val="22"/>
        </w:rPr>
        <w:t>profession </w:t>
      </w:r>
      <w:r>
        <w:rPr>
          <w:spacing w:val="13"/>
          <w:sz w:val="22"/>
        </w:rPr>
        <w:t>and </w:t>
      </w:r>
      <w:r>
        <w:rPr>
          <w:sz w:val="22"/>
        </w:rPr>
        <w:t>in </w:t>
      </w:r>
      <w:r>
        <w:rPr>
          <w:spacing w:val="11"/>
          <w:sz w:val="22"/>
        </w:rPr>
        <w:t>society.</w:t>
      </w:r>
    </w:p>
    <w:p>
      <w:pPr>
        <w:pStyle w:val="BodyText"/>
        <w:rPr>
          <w:sz w:val="24"/>
        </w:rPr>
      </w:pPr>
    </w:p>
    <w:p>
      <w:pPr>
        <w:pStyle w:val="BodyText"/>
        <w:spacing w:before="3"/>
        <w:rPr>
          <w:sz w:val="31"/>
        </w:rPr>
      </w:pPr>
    </w:p>
    <w:p>
      <w:pPr>
        <w:pStyle w:val="Heading1"/>
        <w:spacing w:before="1"/>
        <w:jc w:val="both"/>
      </w:pPr>
      <w:r>
        <w:rPr>
          <w:w w:val="90"/>
        </w:rPr>
        <w:t>PROGRAM</w:t>
      </w:r>
      <w:r>
        <w:rPr>
          <w:spacing w:val="70"/>
          <w:w w:val="150"/>
        </w:rPr>
        <w:t> </w:t>
      </w:r>
      <w:r>
        <w:rPr>
          <w:spacing w:val="-2"/>
        </w:rPr>
        <w:t>OVERVIEW</w:t>
      </w:r>
    </w:p>
    <w:p>
      <w:pPr>
        <w:pStyle w:val="BodyText"/>
        <w:spacing w:before="2"/>
        <w:rPr>
          <w:b/>
          <w:sz w:val="5"/>
        </w:rPr>
      </w:pPr>
      <w:r>
        <w:rPr/>
        <w:pict>
          <v:rect style="position:absolute;margin-left:70.559998pt;margin-top:4.216201pt;width:470.88pt;height:.72pt;mso-position-horizontal-relative:page;mso-position-vertical-relative:paragraph;z-index:-15714816;mso-wrap-distance-left:0;mso-wrap-distance-right:0" id="docshape558" filled="true" fillcolor="#000000" stroked="false">
            <v:fill type="solid"/>
            <w10:wrap type="topAndBottom"/>
          </v:rect>
        </w:pict>
      </w:r>
    </w:p>
    <w:p>
      <w:pPr>
        <w:pStyle w:val="BodyText"/>
        <w:spacing w:before="2"/>
        <w:rPr>
          <w:b/>
        </w:rPr>
      </w:pPr>
    </w:p>
    <w:p>
      <w:pPr>
        <w:spacing w:before="94"/>
        <w:ind w:left="440" w:right="0" w:firstLine="0"/>
        <w:jc w:val="left"/>
        <w:rPr>
          <w:sz w:val="22"/>
        </w:rPr>
      </w:pPr>
      <w:r>
        <w:rPr>
          <w:b/>
          <w:w w:val="95"/>
          <w:sz w:val="22"/>
        </w:rPr>
        <w:t>Statement</w:t>
      </w:r>
      <w:r>
        <w:rPr>
          <w:b/>
          <w:spacing w:val="37"/>
          <w:sz w:val="22"/>
        </w:rPr>
        <w:t> </w:t>
      </w:r>
      <w:r>
        <w:rPr>
          <w:b/>
          <w:w w:val="95"/>
          <w:sz w:val="22"/>
        </w:rPr>
        <w:t>From</w:t>
      </w:r>
      <w:r>
        <w:rPr>
          <w:b/>
          <w:spacing w:val="38"/>
          <w:sz w:val="22"/>
        </w:rPr>
        <w:t> </w:t>
      </w:r>
      <w:r>
        <w:rPr>
          <w:b/>
          <w:w w:val="95"/>
          <w:sz w:val="22"/>
        </w:rPr>
        <w:t>The</w:t>
      </w:r>
      <w:r>
        <w:rPr>
          <w:b/>
          <w:spacing w:val="50"/>
          <w:sz w:val="22"/>
        </w:rPr>
        <w:t> </w:t>
      </w:r>
      <w:r>
        <w:rPr>
          <w:b/>
          <w:w w:val="95"/>
          <w:sz w:val="22"/>
        </w:rPr>
        <w:t>National</w:t>
      </w:r>
      <w:r>
        <w:rPr>
          <w:b/>
          <w:spacing w:val="38"/>
          <w:sz w:val="22"/>
        </w:rPr>
        <w:t> </w:t>
      </w:r>
      <w:r>
        <w:rPr>
          <w:b/>
          <w:w w:val="95"/>
          <w:sz w:val="22"/>
        </w:rPr>
        <w:t>Architectural</w:t>
      </w:r>
      <w:r>
        <w:rPr>
          <w:b/>
          <w:spacing w:val="34"/>
          <w:sz w:val="22"/>
        </w:rPr>
        <w:t> </w:t>
      </w:r>
      <w:r>
        <w:rPr>
          <w:b/>
          <w:w w:val="95"/>
          <w:sz w:val="22"/>
        </w:rPr>
        <w:t>Accrediting</w:t>
      </w:r>
      <w:r>
        <w:rPr>
          <w:b/>
          <w:spacing w:val="45"/>
          <w:sz w:val="22"/>
        </w:rPr>
        <w:t> </w:t>
      </w:r>
      <w:r>
        <w:rPr>
          <w:b/>
          <w:w w:val="95"/>
          <w:sz w:val="22"/>
        </w:rPr>
        <w:t>Board</w:t>
      </w:r>
      <w:r>
        <w:rPr>
          <w:b/>
          <w:spacing w:val="49"/>
          <w:sz w:val="22"/>
        </w:rPr>
        <w:t> </w:t>
      </w:r>
      <w:r>
        <w:rPr>
          <w:b/>
          <w:spacing w:val="-2"/>
          <w:w w:val="95"/>
          <w:sz w:val="22"/>
        </w:rPr>
        <w:t>(NAAB)</w:t>
      </w:r>
      <w:r>
        <w:rPr>
          <w:spacing w:val="-2"/>
          <w:w w:val="95"/>
          <w:sz w:val="22"/>
        </w:rPr>
        <w:t>:</w:t>
      </w:r>
    </w:p>
    <w:p>
      <w:pPr>
        <w:spacing w:line="292" w:lineRule="auto" w:before="59"/>
        <w:ind w:left="448" w:right="642" w:hanging="9"/>
        <w:jc w:val="left"/>
        <w:rPr>
          <w:sz w:val="22"/>
        </w:rPr>
      </w:pPr>
      <w:r>
        <w:rPr>
          <w:sz w:val="22"/>
        </w:rPr>
        <w:t>In</w:t>
      </w:r>
      <w:r>
        <w:rPr>
          <w:spacing w:val="-7"/>
          <w:sz w:val="22"/>
        </w:rPr>
        <w:t> </w:t>
      </w:r>
      <w:r>
        <w:rPr>
          <w:spacing w:val="9"/>
          <w:sz w:val="22"/>
        </w:rPr>
        <w:t>the</w:t>
      </w:r>
      <w:r>
        <w:rPr>
          <w:spacing w:val="-1"/>
          <w:sz w:val="22"/>
        </w:rPr>
        <w:t> </w:t>
      </w:r>
      <w:r>
        <w:rPr>
          <w:spacing w:val="9"/>
          <w:sz w:val="22"/>
        </w:rPr>
        <w:t>United</w:t>
      </w:r>
      <w:r>
        <w:rPr>
          <w:spacing w:val="3"/>
          <w:sz w:val="22"/>
        </w:rPr>
        <w:t> </w:t>
      </w:r>
      <w:r>
        <w:rPr>
          <w:spacing w:val="10"/>
          <w:sz w:val="22"/>
        </w:rPr>
        <w:t>States,</w:t>
      </w:r>
      <w:r>
        <w:rPr>
          <w:spacing w:val="-1"/>
          <w:sz w:val="22"/>
        </w:rPr>
        <w:t> </w:t>
      </w:r>
      <w:r>
        <w:rPr>
          <w:sz w:val="22"/>
        </w:rPr>
        <w:t>most</w:t>
      </w:r>
      <w:r>
        <w:rPr>
          <w:spacing w:val="-4"/>
          <w:sz w:val="22"/>
        </w:rPr>
        <w:t> </w:t>
      </w:r>
      <w:r>
        <w:rPr>
          <w:spacing w:val="12"/>
          <w:sz w:val="22"/>
        </w:rPr>
        <w:t>state</w:t>
      </w:r>
      <w:r>
        <w:rPr>
          <w:spacing w:val="-1"/>
          <w:sz w:val="22"/>
        </w:rPr>
        <w:t> </w:t>
      </w:r>
      <w:r>
        <w:rPr>
          <w:spacing w:val="10"/>
          <w:sz w:val="22"/>
        </w:rPr>
        <w:t>registration</w:t>
      </w:r>
      <w:r>
        <w:rPr>
          <w:spacing w:val="7"/>
          <w:sz w:val="22"/>
        </w:rPr>
        <w:t> </w:t>
      </w:r>
      <w:r>
        <w:rPr>
          <w:spacing w:val="14"/>
          <w:sz w:val="22"/>
        </w:rPr>
        <w:t>boards</w:t>
      </w:r>
      <w:r>
        <w:rPr>
          <w:spacing w:val="-10"/>
          <w:sz w:val="22"/>
        </w:rPr>
        <w:t> </w:t>
      </w:r>
      <w:r>
        <w:rPr>
          <w:spacing w:val="9"/>
          <w:sz w:val="22"/>
        </w:rPr>
        <w:t>require </w:t>
      </w:r>
      <w:r>
        <w:rPr>
          <w:sz w:val="22"/>
        </w:rPr>
        <w:t>a </w:t>
      </w:r>
      <w:r>
        <w:rPr>
          <w:spacing w:val="14"/>
          <w:sz w:val="22"/>
        </w:rPr>
        <w:t>degree</w:t>
      </w:r>
      <w:r>
        <w:rPr>
          <w:spacing w:val="3"/>
          <w:sz w:val="22"/>
        </w:rPr>
        <w:t> </w:t>
      </w:r>
      <w:r>
        <w:rPr>
          <w:sz w:val="22"/>
        </w:rPr>
        <w:t>from </w:t>
      </w:r>
      <w:r>
        <w:rPr>
          <w:spacing w:val="10"/>
          <w:sz w:val="22"/>
        </w:rPr>
        <w:t>an</w:t>
      </w:r>
      <w:r>
        <w:rPr>
          <w:spacing w:val="7"/>
          <w:sz w:val="22"/>
        </w:rPr>
        <w:t> </w:t>
      </w:r>
      <w:r>
        <w:rPr>
          <w:sz w:val="22"/>
        </w:rPr>
        <w:t>a</w:t>
      </w:r>
      <w:r>
        <w:rPr>
          <w:spacing w:val="-31"/>
          <w:sz w:val="22"/>
        </w:rPr>
        <w:t> </w:t>
      </w:r>
      <w:r>
        <w:rPr>
          <w:sz w:val="22"/>
        </w:rPr>
        <w:t>c</w:t>
      </w:r>
      <w:r>
        <w:rPr>
          <w:spacing w:val="-30"/>
          <w:sz w:val="22"/>
        </w:rPr>
        <w:t> </w:t>
      </w:r>
      <w:r>
        <w:rPr>
          <w:spacing w:val="13"/>
          <w:sz w:val="22"/>
        </w:rPr>
        <w:t>credited </w:t>
      </w:r>
      <w:r>
        <w:rPr>
          <w:spacing w:val="9"/>
          <w:sz w:val="22"/>
        </w:rPr>
        <w:t>professional </w:t>
      </w:r>
      <w:r>
        <w:rPr>
          <w:spacing w:val="12"/>
          <w:sz w:val="22"/>
        </w:rPr>
        <w:t>degree </w:t>
      </w:r>
      <w:r>
        <w:rPr>
          <w:spacing w:val="14"/>
          <w:sz w:val="22"/>
        </w:rPr>
        <w:t>program </w:t>
      </w:r>
      <w:r>
        <w:rPr>
          <w:sz w:val="22"/>
        </w:rPr>
        <w:t>as a </w:t>
      </w:r>
      <w:r>
        <w:rPr>
          <w:spacing w:val="9"/>
          <w:sz w:val="22"/>
        </w:rPr>
        <w:t>prerequisite </w:t>
      </w:r>
      <w:r>
        <w:rPr>
          <w:sz w:val="22"/>
        </w:rPr>
        <w:t>for </w:t>
      </w:r>
      <w:r>
        <w:rPr>
          <w:spacing w:val="9"/>
          <w:sz w:val="22"/>
        </w:rPr>
        <w:t>licensure.</w:t>
      </w:r>
      <w:r>
        <w:rPr>
          <w:spacing w:val="-4"/>
          <w:sz w:val="22"/>
        </w:rPr>
        <w:t> </w:t>
      </w:r>
      <w:r>
        <w:rPr>
          <w:sz w:val="22"/>
        </w:rPr>
        <w:t>The </w:t>
      </w:r>
      <w:r>
        <w:rPr>
          <w:spacing w:val="12"/>
          <w:sz w:val="22"/>
        </w:rPr>
        <w:t>National</w:t>
      </w:r>
      <w:r>
        <w:rPr>
          <w:spacing w:val="6"/>
          <w:sz w:val="22"/>
        </w:rPr>
        <w:t> </w:t>
      </w:r>
      <w:r>
        <w:rPr>
          <w:spacing w:val="12"/>
          <w:sz w:val="22"/>
        </w:rPr>
        <w:t>Architectural </w:t>
      </w:r>
      <w:r>
        <w:rPr>
          <w:spacing w:val="9"/>
          <w:sz w:val="22"/>
        </w:rPr>
        <w:t>Ac</w:t>
      </w:r>
      <w:r>
        <w:rPr>
          <w:spacing w:val="-27"/>
          <w:sz w:val="22"/>
        </w:rPr>
        <w:t> </w:t>
      </w:r>
      <w:r>
        <w:rPr>
          <w:spacing w:val="11"/>
          <w:sz w:val="22"/>
        </w:rPr>
        <w:t>crediting </w:t>
      </w:r>
      <w:r>
        <w:rPr>
          <w:spacing w:val="12"/>
          <w:sz w:val="22"/>
        </w:rPr>
        <w:t>Board </w:t>
      </w:r>
      <w:r>
        <w:rPr>
          <w:sz w:val="22"/>
        </w:rPr>
        <w:t>(NAAB), </w:t>
      </w:r>
      <w:r>
        <w:rPr>
          <w:spacing w:val="12"/>
          <w:sz w:val="22"/>
        </w:rPr>
        <w:t>which </w:t>
      </w:r>
      <w:r>
        <w:rPr>
          <w:sz w:val="22"/>
        </w:rPr>
        <w:t>is </w:t>
      </w:r>
      <w:r>
        <w:rPr>
          <w:spacing w:val="9"/>
          <w:sz w:val="22"/>
        </w:rPr>
        <w:t>the </w:t>
      </w:r>
      <w:r>
        <w:rPr>
          <w:sz w:val="22"/>
        </w:rPr>
        <w:t>sole </w:t>
      </w:r>
      <w:r>
        <w:rPr>
          <w:spacing w:val="17"/>
          <w:sz w:val="22"/>
        </w:rPr>
        <w:t>agency </w:t>
      </w:r>
      <w:r>
        <w:rPr>
          <w:spacing w:val="10"/>
          <w:sz w:val="22"/>
        </w:rPr>
        <w:t>authorized </w:t>
      </w:r>
      <w:r>
        <w:rPr>
          <w:sz w:val="22"/>
        </w:rPr>
        <w:t>to a</w:t>
      </w:r>
      <w:r>
        <w:rPr>
          <w:spacing w:val="-32"/>
          <w:sz w:val="22"/>
        </w:rPr>
        <w:t> </w:t>
      </w:r>
      <w:r>
        <w:rPr>
          <w:sz w:val="22"/>
        </w:rPr>
        <w:t>c</w:t>
      </w:r>
      <w:r>
        <w:rPr>
          <w:spacing w:val="-27"/>
          <w:sz w:val="22"/>
        </w:rPr>
        <w:t> </w:t>
      </w:r>
      <w:r>
        <w:rPr>
          <w:spacing w:val="11"/>
          <w:sz w:val="22"/>
        </w:rPr>
        <w:t>credit</w:t>
      </w:r>
      <w:r>
        <w:rPr>
          <w:spacing w:val="8"/>
          <w:sz w:val="22"/>
        </w:rPr>
        <w:t> </w:t>
      </w:r>
      <w:r>
        <w:rPr>
          <w:sz w:val="22"/>
        </w:rPr>
        <w:t>U.S. </w:t>
      </w:r>
      <w:r>
        <w:rPr>
          <w:spacing w:val="9"/>
          <w:sz w:val="22"/>
        </w:rPr>
        <w:t>professional </w:t>
      </w:r>
      <w:r>
        <w:rPr>
          <w:spacing w:val="12"/>
          <w:sz w:val="22"/>
        </w:rPr>
        <w:t>degree</w:t>
      </w:r>
      <w:r>
        <w:rPr>
          <w:spacing w:val="12"/>
          <w:sz w:val="22"/>
        </w:rPr>
        <w:t> </w:t>
      </w:r>
      <w:r>
        <w:rPr>
          <w:spacing w:val="13"/>
          <w:sz w:val="22"/>
        </w:rPr>
        <w:t>programs</w:t>
      </w:r>
      <w:r>
        <w:rPr>
          <w:spacing w:val="-3"/>
          <w:sz w:val="22"/>
        </w:rPr>
        <w:t> </w:t>
      </w:r>
      <w:r>
        <w:rPr>
          <w:sz w:val="22"/>
        </w:rPr>
        <w:t>in </w:t>
      </w:r>
      <w:r>
        <w:rPr>
          <w:spacing w:val="12"/>
          <w:sz w:val="22"/>
        </w:rPr>
        <w:t>architecture,</w:t>
      </w:r>
      <w:r>
        <w:rPr>
          <w:spacing w:val="-5"/>
          <w:sz w:val="22"/>
        </w:rPr>
        <w:t> </w:t>
      </w:r>
      <w:r>
        <w:rPr>
          <w:spacing w:val="12"/>
          <w:sz w:val="22"/>
        </w:rPr>
        <w:t>rec</w:t>
      </w:r>
      <w:r>
        <w:rPr>
          <w:spacing w:val="-33"/>
          <w:sz w:val="22"/>
        </w:rPr>
        <w:t> </w:t>
      </w:r>
      <w:r>
        <w:rPr>
          <w:spacing w:val="9"/>
          <w:sz w:val="22"/>
        </w:rPr>
        <w:t>ognizes</w:t>
      </w:r>
      <w:r>
        <w:rPr>
          <w:spacing w:val="4"/>
          <w:sz w:val="22"/>
        </w:rPr>
        <w:t> </w:t>
      </w:r>
      <w:r>
        <w:rPr>
          <w:spacing w:val="9"/>
          <w:sz w:val="22"/>
        </w:rPr>
        <w:t>three </w:t>
      </w:r>
      <w:r>
        <w:rPr>
          <w:spacing w:val="11"/>
          <w:sz w:val="22"/>
        </w:rPr>
        <w:t>types</w:t>
      </w:r>
      <w:r>
        <w:rPr>
          <w:spacing w:val="8"/>
          <w:sz w:val="22"/>
        </w:rPr>
        <w:t> </w:t>
      </w:r>
      <w:r>
        <w:rPr>
          <w:sz w:val="22"/>
        </w:rPr>
        <w:t>of </w:t>
      </w:r>
      <w:r>
        <w:rPr>
          <w:spacing w:val="11"/>
          <w:sz w:val="22"/>
        </w:rPr>
        <w:t>degrees:</w:t>
      </w:r>
      <w:r>
        <w:rPr>
          <w:spacing w:val="2"/>
          <w:sz w:val="22"/>
        </w:rPr>
        <w:t> </w:t>
      </w:r>
      <w:r>
        <w:rPr>
          <w:spacing w:val="9"/>
          <w:sz w:val="22"/>
        </w:rPr>
        <w:t>the</w:t>
      </w:r>
    </w:p>
    <w:p>
      <w:pPr>
        <w:spacing w:line="292" w:lineRule="auto" w:before="6"/>
        <w:ind w:left="451" w:right="740" w:hanging="12"/>
        <w:jc w:val="both"/>
        <w:rPr>
          <w:sz w:val="22"/>
        </w:rPr>
      </w:pPr>
      <w:r>
        <w:rPr>
          <w:sz w:val="22"/>
        </w:rPr>
        <w:t>Ba</w:t>
      </w:r>
      <w:r>
        <w:rPr>
          <w:spacing w:val="-16"/>
          <w:sz w:val="22"/>
        </w:rPr>
        <w:t> </w:t>
      </w:r>
      <w:r>
        <w:rPr>
          <w:spacing w:val="11"/>
          <w:sz w:val="22"/>
        </w:rPr>
        <w:t>chelor</w:t>
      </w:r>
      <w:r>
        <w:rPr>
          <w:spacing w:val="-8"/>
          <w:sz w:val="22"/>
        </w:rPr>
        <w:t> </w:t>
      </w:r>
      <w:r>
        <w:rPr>
          <w:sz w:val="22"/>
        </w:rPr>
        <w:t>of </w:t>
      </w:r>
      <w:r>
        <w:rPr>
          <w:spacing w:val="11"/>
          <w:sz w:val="22"/>
        </w:rPr>
        <w:t>Architecture,</w:t>
      </w:r>
      <w:r>
        <w:rPr>
          <w:spacing w:val="2"/>
          <w:sz w:val="22"/>
        </w:rPr>
        <w:t> </w:t>
      </w:r>
      <w:r>
        <w:rPr>
          <w:spacing w:val="9"/>
          <w:sz w:val="22"/>
        </w:rPr>
        <w:t>the </w:t>
      </w:r>
      <w:r>
        <w:rPr>
          <w:spacing w:val="11"/>
          <w:sz w:val="22"/>
        </w:rPr>
        <w:t>Master</w:t>
      </w:r>
      <w:r>
        <w:rPr>
          <w:spacing w:val="8"/>
          <w:sz w:val="22"/>
        </w:rPr>
        <w:t> </w:t>
      </w:r>
      <w:r>
        <w:rPr>
          <w:sz w:val="22"/>
        </w:rPr>
        <w:t>of </w:t>
      </w:r>
      <w:r>
        <w:rPr>
          <w:spacing w:val="12"/>
          <w:sz w:val="22"/>
        </w:rPr>
        <w:t>Architecture,</w:t>
      </w:r>
      <w:r>
        <w:rPr>
          <w:spacing w:val="9"/>
          <w:sz w:val="22"/>
        </w:rPr>
        <w:t> </w:t>
      </w:r>
      <w:r>
        <w:rPr>
          <w:spacing w:val="13"/>
          <w:sz w:val="22"/>
        </w:rPr>
        <w:t>and </w:t>
      </w:r>
      <w:r>
        <w:rPr>
          <w:spacing w:val="9"/>
          <w:sz w:val="22"/>
        </w:rPr>
        <w:t>the </w:t>
      </w:r>
      <w:r>
        <w:rPr>
          <w:spacing w:val="14"/>
          <w:sz w:val="22"/>
        </w:rPr>
        <w:t>Doctor</w:t>
      </w:r>
      <w:r>
        <w:rPr>
          <w:spacing w:val="8"/>
          <w:sz w:val="22"/>
        </w:rPr>
        <w:t> </w:t>
      </w:r>
      <w:r>
        <w:rPr>
          <w:sz w:val="22"/>
        </w:rPr>
        <w:t>of </w:t>
      </w:r>
      <w:r>
        <w:rPr>
          <w:spacing w:val="11"/>
          <w:sz w:val="22"/>
        </w:rPr>
        <w:t>Architecture.</w:t>
      </w:r>
      <w:r>
        <w:rPr>
          <w:spacing w:val="6"/>
          <w:sz w:val="22"/>
        </w:rPr>
        <w:t> </w:t>
      </w:r>
      <w:r>
        <w:rPr>
          <w:sz w:val="22"/>
        </w:rPr>
        <w:t>A </w:t>
      </w:r>
      <w:r>
        <w:rPr>
          <w:spacing w:val="14"/>
          <w:sz w:val="22"/>
        </w:rPr>
        <w:t>program</w:t>
      </w:r>
      <w:r>
        <w:rPr>
          <w:spacing w:val="-5"/>
          <w:sz w:val="22"/>
        </w:rPr>
        <w:t> </w:t>
      </w:r>
      <w:r>
        <w:rPr>
          <w:spacing w:val="14"/>
          <w:sz w:val="22"/>
        </w:rPr>
        <w:t>may </w:t>
      </w:r>
      <w:r>
        <w:rPr>
          <w:spacing w:val="12"/>
          <w:sz w:val="22"/>
        </w:rPr>
        <w:t>be </w:t>
      </w:r>
      <w:r>
        <w:rPr>
          <w:spacing w:val="13"/>
          <w:sz w:val="22"/>
        </w:rPr>
        <w:t>granted </w:t>
      </w:r>
      <w:r>
        <w:rPr>
          <w:sz w:val="22"/>
        </w:rPr>
        <w:t>a 6-</w:t>
      </w:r>
      <w:r>
        <w:rPr>
          <w:spacing w:val="9"/>
          <w:sz w:val="22"/>
        </w:rPr>
        <w:t>year,</w:t>
      </w:r>
      <w:r>
        <w:rPr>
          <w:spacing w:val="-2"/>
          <w:sz w:val="22"/>
        </w:rPr>
        <w:t> </w:t>
      </w:r>
      <w:r>
        <w:rPr>
          <w:sz w:val="22"/>
        </w:rPr>
        <w:t>3-</w:t>
      </w:r>
      <w:r>
        <w:rPr>
          <w:spacing w:val="9"/>
          <w:sz w:val="22"/>
        </w:rPr>
        <w:t>year, </w:t>
      </w:r>
      <w:r>
        <w:rPr>
          <w:sz w:val="22"/>
        </w:rPr>
        <w:t>or 2-</w:t>
      </w:r>
      <w:r>
        <w:rPr>
          <w:spacing w:val="12"/>
          <w:sz w:val="22"/>
        </w:rPr>
        <w:t>year</w:t>
      </w:r>
      <w:r>
        <w:rPr>
          <w:spacing w:val="8"/>
          <w:sz w:val="22"/>
        </w:rPr>
        <w:t> </w:t>
      </w:r>
      <w:r>
        <w:rPr>
          <w:spacing w:val="9"/>
          <w:sz w:val="22"/>
        </w:rPr>
        <w:t>term </w:t>
      </w:r>
      <w:r>
        <w:rPr>
          <w:sz w:val="22"/>
        </w:rPr>
        <w:t>of a</w:t>
      </w:r>
      <w:r>
        <w:rPr>
          <w:spacing w:val="-16"/>
          <w:sz w:val="22"/>
        </w:rPr>
        <w:t> </w:t>
      </w:r>
      <w:r>
        <w:rPr>
          <w:sz w:val="22"/>
        </w:rPr>
        <w:t>c</w:t>
      </w:r>
      <w:r>
        <w:rPr>
          <w:spacing w:val="-15"/>
          <w:sz w:val="22"/>
        </w:rPr>
        <w:t> </w:t>
      </w:r>
      <w:r>
        <w:rPr>
          <w:spacing w:val="12"/>
          <w:sz w:val="22"/>
        </w:rPr>
        <w:t>creditation, </w:t>
      </w:r>
      <w:r>
        <w:rPr>
          <w:spacing w:val="15"/>
          <w:sz w:val="22"/>
        </w:rPr>
        <w:t>depending </w:t>
      </w:r>
      <w:r>
        <w:rPr>
          <w:sz w:val="22"/>
        </w:rPr>
        <w:t>on </w:t>
      </w:r>
      <w:r>
        <w:rPr>
          <w:spacing w:val="9"/>
          <w:sz w:val="22"/>
        </w:rPr>
        <w:t>the </w:t>
      </w:r>
      <w:r>
        <w:rPr>
          <w:spacing w:val="10"/>
          <w:sz w:val="22"/>
        </w:rPr>
        <w:t>extent </w:t>
      </w:r>
      <w:r>
        <w:rPr>
          <w:sz w:val="22"/>
        </w:rPr>
        <w:t>of its c</w:t>
      </w:r>
      <w:r>
        <w:rPr>
          <w:spacing w:val="-29"/>
          <w:sz w:val="22"/>
        </w:rPr>
        <w:t> </w:t>
      </w:r>
      <w:r>
        <w:rPr>
          <w:spacing w:val="13"/>
          <w:sz w:val="22"/>
        </w:rPr>
        <w:t>onformanc</w:t>
      </w:r>
      <w:r>
        <w:rPr>
          <w:spacing w:val="-30"/>
          <w:sz w:val="22"/>
        </w:rPr>
        <w:t> </w:t>
      </w:r>
      <w:r>
        <w:rPr>
          <w:sz w:val="22"/>
        </w:rPr>
        <w:t>e with </w:t>
      </w:r>
      <w:r>
        <w:rPr>
          <w:spacing w:val="10"/>
          <w:sz w:val="22"/>
        </w:rPr>
        <w:t>established </w:t>
      </w:r>
      <w:r>
        <w:rPr>
          <w:spacing w:val="15"/>
          <w:sz w:val="22"/>
        </w:rPr>
        <w:t>educ</w:t>
      </w:r>
      <w:r>
        <w:rPr>
          <w:spacing w:val="-26"/>
          <w:sz w:val="22"/>
        </w:rPr>
        <w:t> </w:t>
      </w:r>
      <w:r>
        <w:rPr>
          <w:spacing w:val="11"/>
          <w:sz w:val="22"/>
        </w:rPr>
        <w:t>ational</w:t>
      </w:r>
      <w:r>
        <w:rPr>
          <w:spacing w:val="9"/>
          <w:sz w:val="22"/>
        </w:rPr>
        <w:t> </w:t>
      </w:r>
      <w:r>
        <w:rPr>
          <w:spacing w:val="13"/>
          <w:sz w:val="22"/>
        </w:rPr>
        <w:t>standards.</w:t>
      </w:r>
    </w:p>
    <w:p>
      <w:pPr>
        <w:pStyle w:val="BodyText"/>
        <w:spacing w:before="4"/>
        <w:rPr>
          <w:sz w:val="27"/>
        </w:rPr>
      </w:pPr>
    </w:p>
    <w:p>
      <w:pPr>
        <w:spacing w:line="292" w:lineRule="auto" w:before="1"/>
        <w:ind w:left="454" w:right="927" w:hanging="12"/>
        <w:jc w:val="left"/>
        <w:rPr>
          <w:sz w:val="22"/>
        </w:rPr>
      </w:pPr>
      <w:r>
        <w:rPr>
          <w:spacing w:val="14"/>
          <w:sz w:val="22"/>
        </w:rPr>
        <w:t>Doctor</w:t>
      </w:r>
      <w:r>
        <w:rPr>
          <w:spacing w:val="2"/>
          <w:sz w:val="22"/>
        </w:rPr>
        <w:t> </w:t>
      </w:r>
      <w:r>
        <w:rPr>
          <w:sz w:val="22"/>
        </w:rPr>
        <w:t>of </w:t>
      </w:r>
      <w:r>
        <w:rPr>
          <w:spacing w:val="12"/>
          <w:sz w:val="22"/>
        </w:rPr>
        <w:t>Architecture </w:t>
      </w:r>
      <w:r>
        <w:rPr>
          <w:spacing w:val="13"/>
          <w:sz w:val="22"/>
        </w:rPr>
        <w:t>and </w:t>
      </w:r>
      <w:r>
        <w:rPr>
          <w:spacing w:val="11"/>
          <w:sz w:val="22"/>
        </w:rPr>
        <w:t>Master</w:t>
      </w:r>
      <w:r>
        <w:rPr>
          <w:spacing w:val="4"/>
          <w:sz w:val="22"/>
        </w:rPr>
        <w:t> </w:t>
      </w:r>
      <w:r>
        <w:rPr>
          <w:sz w:val="22"/>
        </w:rPr>
        <w:t>of </w:t>
      </w:r>
      <w:r>
        <w:rPr>
          <w:spacing w:val="12"/>
          <w:sz w:val="22"/>
        </w:rPr>
        <w:t>Architecture </w:t>
      </w:r>
      <w:r>
        <w:rPr>
          <w:spacing w:val="14"/>
          <w:sz w:val="22"/>
        </w:rPr>
        <w:t>degree </w:t>
      </w:r>
      <w:r>
        <w:rPr>
          <w:spacing w:val="13"/>
          <w:sz w:val="22"/>
        </w:rPr>
        <w:t>programs</w:t>
      </w:r>
      <w:r>
        <w:rPr>
          <w:spacing w:val="5"/>
          <w:sz w:val="22"/>
        </w:rPr>
        <w:t> </w:t>
      </w:r>
      <w:r>
        <w:rPr>
          <w:spacing w:val="14"/>
          <w:sz w:val="22"/>
        </w:rPr>
        <w:t>may</w:t>
      </w:r>
      <w:r>
        <w:rPr>
          <w:spacing w:val="11"/>
          <w:sz w:val="22"/>
        </w:rPr>
        <w:t> </w:t>
      </w:r>
      <w:r>
        <w:rPr>
          <w:sz w:val="22"/>
        </w:rPr>
        <w:t>c</w:t>
      </w:r>
      <w:r>
        <w:rPr>
          <w:spacing w:val="-33"/>
          <w:sz w:val="22"/>
        </w:rPr>
        <w:t> </w:t>
      </w:r>
      <w:r>
        <w:rPr>
          <w:sz w:val="22"/>
        </w:rPr>
        <w:t>onsist of a </w:t>
      </w:r>
      <w:r>
        <w:rPr>
          <w:spacing w:val="12"/>
          <w:sz w:val="22"/>
        </w:rPr>
        <w:t>pre-</w:t>
      </w:r>
      <w:r>
        <w:rPr>
          <w:spacing w:val="9"/>
          <w:sz w:val="22"/>
        </w:rPr>
        <w:t>professional </w:t>
      </w:r>
      <w:r>
        <w:rPr>
          <w:spacing w:val="12"/>
          <w:sz w:val="22"/>
        </w:rPr>
        <w:t>undergra</w:t>
      </w:r>
      <w:r>
        <w:rPr>
          <w:spacing w:val="-31"/>
          <w:sz w:val="22"/>
        </w:rPr>
        <w:t> </w:t>
      </w:r>
      <w:r>
        <w:rPr>
          <w:spacing w:val="14"/>
          <w:sz w:val="22"/>
        </w:rPr>
        <w:t>duate </w:t>
      </w:r>
      <w:r>
        <w:rPr>
          <w:spacing w:val="12"/>
          <w:sz w:val="22"/>
        </w:rPr>
        <w:t>degree </w:t>
      </w:r>
      <w:r>
        <w:rPr>
          <w:spacing w:val="13"/>
          <w:sz w:val="22"/>
        </w:rPr>
        <w:t>and </w:t>
      </w:r>
      <w:r>
        <w:rPr>
          <w:sz w:val="22"/>
        </w:rPr>
        <w:t>a</w:t>
      </w:r>
      <w:r>
        <w:rPr>
          <w:spacing w:val="9"/>
          <w:sz w:val="22"/>
        </w:rPr>
        <w:t> professional </w:t>
      </w:r>
      <w:r>
        <w:rPr>
          <w:sz w:val="22"/>
        </w:rPr>
        <w:t>gra</w:t>
      </w:r>
      <w:r>
        <w:rPr>
          <w:spacing w:val="-31"/>
          <w:sz w:val="22"/>
        </w:rPr>
        <w:t> </w:t>
      </w:r>
      <w:r>
        <w:rPr>
          <w:spacing w:val="14"/>
          <w:sz w:val="22"/>
        </w:rPr>
        <w:t>duate </w:t>
      </w:r>
      <w:r>
        <w:rPr>
          <w:spacing w:val="13"/>
          <w:sz w:val="22"/>
        </w:rPr>
        <w:t>degree </w:t>
      </w:r>
      <w:r>
        <w:rPr>
          <w:spacing w:val="11"/>
          <w:sz w:val="22"/>
        </w:rPr>
        <w:t>that,</w:t>
      </w:r>
    </w:p>
    <w:p>
      <w:pPr>
        <w:spacing w:line="292" w:lineRule="auto" w:before="1"/>
        <w:ind w:left="446" w:right="642" w:firstLine="5"/>
        <w:jc w:val="left"/>
        <w:rPr>
          <w:sz w:val="22"/>
        </w:rPr>
      </w:pPr>
      <w:r>
        <w:rPr>
          <w:spacing w:val="12"/>
          <w:sz w:val="22"/>
        </w:rPr>
        <w:t>when</w:t>
      </w:r>
      <w:r>
        <w:rPr>
          <w:spacing w:val="2"/>
          <w:sz w:val="22"/>
        </w:rPr>
        <w:t> </w:t>
      </w:r>
      <w:r>
        <w:rPr>
          <w:spacing w:val="13"/>
          <w:sz w:val="22"/>
        </w:rPr>
        <w:t>earned</w:t>
      </w:r>
      <w:r>
        <w:rPr>
          <w:spacing w:val="8"/>
          <w:sz w:val="22"/>
        </w:rPr>
        <w:t> </w:t>
      </w:r>
      <w:r>
        <w:rPr>
          <w:spacing w:val="10"/>
          <w:sz w:val="22"/>
        </w:rPr>
        <w:t>sequentially,</w:t>
      </w:r>
      <w:r>
        <w:rPr>
          <w:spacing w:val="9"/>
          <w:sz w:val="22"/>
        </w:rPr>
        <w:t> </w:t>
      </w:r>
      <w:r>
        <w:rPr>
          <w:sz w:val="22"/>
        </w:rPr>
        <w:t>c</w:t>
      </w:r>
      <w:r>
        <w:rPr>
          <w:spacing w:val="-33"/>
          <w:sz w:val="22"/>
        </w:rPr>
        <w:t> </w:t>
      </w:r>
      <w:r>
        <w:rPr>
          <w:sz w:val="22"/>
        </w:rPr>
        <w:t>onstitute </w:t>
      </w:r>
      <w:r>
        <w:rPr>
          <w:spacing w:val="10"/>
          <w:sz w:val="22"/>
        </w:rPr>
        <w:t>an </w:t>
      </w:r>
      <w:r>
        <w:rPr>
          <w:sz w:val="22"/>
        </w:rPr>
        <w:t>a</w:t>
      </w:r>
      <w:r>
        <w:rPr>
          <w:spacing w:val="-33"/>
          <w:sz w:val="22"/>
        </w:rPr>
        <w:t> </w:t>
      </w:r>
      <w:r>
        <w:rPr>
          <w:sz w:val="22"/>
        </w:rPr>
        <w:t>c</w:t>
      </w:r>
      <w:r>
        <w:rPr>
          <w:spacing w:val="-30"/>
          <w:sz w:val="22"/>
        </w:rPr>
        <w:t> </w:t>
      </w:r>
      <w:r>
        <w:rPr>
          <w:spacing w:val="13"/>
          <w:sz w:val="22"/>
        </w:rPr>
        <w:t>credited </w:t>
      </w:r>
      <w:r>
        <w:rPr>
          <w:spacing w:val="9"/>
          <w:sz w:val="22"/>
        </w:rPr>
        <w:t>professional</w:t>
      </w:r>
      <w:r>
        <w:rPr>
          <w:spacing w:val="5"/>
          <w:sz w:val="22"/>
        </w:rPr>
        <w:t> </w:t>
      </w:r>
      <w:r>
        <w:rPr>
          <w:spacing w:val="16"/>
          <w:sz w:val="22"/>
        </w:rPr>
        <w:t>educ</w:t>
      </w:r>
      <w:r>
        <w:rPr>
          <w:spacing w:val="-30"/>
          <w:sz w:val="22"/>
        </w:rPr>
        <w:t> </w:t>
      </w:r>
      <w:r>
        <w:rPr>
          <w:spacing w:val="9"/>
          <w:sz w:val="22"/>
        </w:rPr>
        <w:t>ation.</w:t>
      </w:r>
      <w:r>
        <w:rPr>
          <w:spacing w:val="-7"/>
          <w:sz w:val="22"/>
        </w:rPr>
        <w:t> </w:t>
      </w:r>
      <w:r>
        <w:rPr>
          <w:spacing w:val="11"/>
          <w:sz w:val="22"/>
        </w:rPr>
        <w:t>However, </w:t>
      </w:r>
      <w:r>
        <w:rPr>
          <w:spacing w:val="9"/>
          <w:sz w:val="22"/>
        </w:rPr>
        <w:t>the </w:t>
      </w:r>
      <w:r>
        <w:rPr>
          <w:spacing w:val="11"/>
          <w:sz w:val="22"/>
        </w:rPr>
        <w:t>preprofessional </w:t>
      </w:r>
      <w:r>
        <w:rPr>
          <w:spacing w:val="14"/>
          <w:sz w:val="22"/>
        </w:rPr>
        <w:t>degree</w:t>
      </w:r>
      <w:r>
        <w:rPr>
          <w:spacing w:val="13"/>
          <w:sz w:val="22"/>
        </w:rPr>
        <w:t> </w:t>
      </w:r>
      <w:r>
        <w:rPr>
          <w:sz w:val="22"/>
        </w:rPr>
        <w:t>is </w:t>
      </w:r>
      <w:r>
        <w:rPr>
          <w:spacing w:val="9"/>
          <w:sz w:val="22"/>
        </w:rPr>
        <w:t>not, </w:t>
      </w:r>
      <w:r>
        <w:rPr>
          <w:sz w:val="22"/>
        </w:rPr>
        <w:t>by itself, </w:t>
      </w:r>
      <w:r>
        <w:rPr>
          <w:spacing w:val="11"/>
          <w:sz w:val="22"/>
        </w:rPr>
        <w:t>rec</w:t>
      </w:r>
      <w:r>
        <w:rPr>
          <w:spacing w:val="-32"/>
          <w:sz w:val="22"/>
        </w:rPr>
        <w:t> </w:t>
      </w:r>
      <w:r>
        <w:rPr>
          <w:spacing w:val="11"/>
          <w:sz w:val="22"/>
        </w:rPr>
        <w:t>ognized </w:t>
      </w:r>
      <w:r>
        <w:rPr>
          <w:sz w:val="22"/>
        </w:rPr>
        <w:t>as </w:t>
      </w:r>
      <w:r>
        <w:rPr>
          <w:spacing w:val="10"/>
          <w:sz w:val="22"/>
        </w:rPr>
        <w:t>an </w:t>
      </w:r>
      <w:r>
        <w:rPr>
          <w:sz w:val="22"/>
        </w:rPr>
        <w:t>a</w:t>
      </w:r>
      <w:r>
        <w:rPr>
          <w:spacing w:val="-32"/>
          <w:sz w:val="22"/>
        </w:rPr>
        <w:t> </w:t>
      </w:r>
      <w:r>
        <w:rPr>
          <w:sz w:val="22"/>
        </w:rPr>
        <w:t>c</w:t>
      </w:r>
      <w:r>
        <w:rPr>
          <w:spacing w:val="-26"/>
          <w:sz w:val="22"/>
        </w:rPr>
        <w:t> </w:t>
      </w:r>
      <w:r>
        <w:rPr>
          <w:spacing w:val="13"/>
          <w:sz w:val="22"/>
        </w:rPr>
        <w:t>credited </w:t>
      </w:r>
      <w:r>
        <w:rPr>
          <w:spacing w:val="12"/>
          <w:sz w:val="22"/>
        </w:rPr>
        <w:t>degree.</w:t>
      </w:r>
    </w:p>
    <w:p>
      <w:pPr>
        <w:pStyle w:val="BodyText"/>
        <w:spacing w:before="4"/>
        <w:rPr>
          <w:sz w:val="27"/>
        </w:rPr>
      </w:pPr>
    </w:p>
    <w:p>
      <w:pPr>
        <w:spacing w:line="292" w:lineRule="auto" w:before="0"/>
        <w:ind w:left="448" w:right="1003" w:hanging="9"/>
        <w:jc w:val="left"/>
        <w:rPr>
          <w:sz w:val="22"/>
        </w:rPr>
      </w:pPr>
      <w:r>
        <w:rPr>
          <w:spacing w:val="16"/>
          <w:sz w:val="22"/>
        </w:rPr>
        <w:t>Hampton</w:t>
      </w:r>
      <w:r>
        <w:rPr>
          <w:spacing w:val="-11"/>
          <w:sz w:val="22"/>
        </w:rPr>
        <w:t> </w:t>
      </w:r>
      <w:r>
        <w:rPr>
          <w:sz w:val="22"/>
        </w:rPr>
        <w:t>University,</w:t>
      </w:r>
      <w:r>
        <w:rPr>
          <w:spacing w:val="-12"/>
          <w:sz w:val="22"/>
        </w:rPr>
        <w:t> </w:t>
      </w:r>
      <w:r>
        <w:rPr>
          <w:spacing w:val="12"/>
          <w:sz w:val="22"/>
        </w:rPr>
        <w:t>School</w:t>
      </w:r>
      <w:r>
        <w:rPr>
          <w:spacing w:val="-1"/>
          <w:sz w:val="22"/>
        </w:rPr>
        <w:t> </w:t>
      </w:r>
      <w:r>
        <w:rPr>
          <w:sz w:val="22"/>
        </w:rPr>
        <w:t>of</w:t>
      </w:r>
      <w:r>
        <w:rPr>
          <w:spacing w:val="-7"/>
          <w:sz w:val="22"/>
        </w:rPr>
        <w:t> </w:t>
      </w:r>
      <w:r>
        <w:rPr>
          <w:spacing w:val="10"/>
          <w:sz w:val="22"/>
        </w:rPr>
        <w:t>Engineering </w:t>
      </w:r>
      <w:r>
        <w:rPr>
          <w:spacing w:val="11"/>
          <w:sz w:val="22"/>
        </w:rPr>
        <w:t>and</w:t>
      </w:r>
      <w:r>
        <w:rPr>
          <w:spacing w:val="1"/>
          <w:sz w:val="22"/>
        </w:rPr>
        <w:t> </w:t>
      </w:r>
      <w:r>
        <w:rPr>
          <w:spacing w:val="13"/>
          <w:sz w:val="22"/>
        </w:rPr>
        <w:t>Technology,</w:t>
      </w:r>
      <w:r>
        <w:rPr>
          <w:spacing w:val="-10"/>
          <w:sz w:val="22"/>
        </w:rPr>
        <w:t> </w:t>
      </w:r>
      <w:r>
        <w:rPr>
          <w:spacing w:val="11"/>
          <w:sz w:val="22"/>
        </w:rPr>
        <w:t>Dep</w:t>
      </w:r>
      <w:r>
        <w:rPr>
          <w:spacing w:val="-33"/>
          <w:sz w:val="22"/>
        </w:rPr>
        <w:t> </w:t>
      </w:r>
      <w:r>
        <w:rPr>
          <w:spacing w:val="12"/>
          <w:sz w:val="22"/>
        </w:rPr>
        <w:t>artment</w:t>
      </w:r>
      <w:r>
        <w:rPr>
          <w:spacing w:val="4"/>
          <w:sz w:val="22"/>
        </w:rPr>
        <w:t> </w:t>
      </w:r>
      <w:r>
        <w:rPr>
          <w:sz w:val="22"/>
        </w:rPr>
        <w:t>of </w:t>
      </w:r>
      <w:r>
        <w:rPr>
          <w:spacing w:val="12"/>
          <w:sz w:val="22"/>
        </w:rPr>
        <w:t>Architecture </w:t>
      </w:r>
      <w:r>
        <w:rPr>
          <w:sz w:val="22"/>
        </w:rPr>
        <w:t>offers </w:t>
      </w:r>
      <w:r>
        <w:rPr>
          <w:spacing w:val="9"/>
          <w:sz w:val="22"/>
        </w:rPr>
        <w:t>the </w:t>
      </w:r>
      <w:r>
        <w:rPr>
          <w:spacing w:val="10"/>
          <w:sz w:val="22"/>
        </w:rPr>
        <w:t>following </w:t>
      </w:r>
      <w:r>
        <w:rPr>
          <w:sz w:val="22"/>
        </w:rPr>
        <w:t>NAAB-a</w:t>
      </w:r>
      <w:r>
        <w:rPr>
          <w:spacing w:val="-22"/>
          <w:sz w:val="22"/>
        </w:rPr>
        <w:t> </w:t>
      </w:r>
      <w:r>
        <w:rPr>
          <w:sz w:val="22"/>
        </w:rPr>
        <w:t>c</w:t>
      </w:r>
      <w:r>
        <w:rPr>
          <w:spacing w:val="-18"/>
          <w:sz w:val="22"/>
        </w:rPr>
        <w:t> </w:t>
      </w:r>
      <w:r>
        <w:rPr>
          <w:spacing w:val="13"/>
          <w:sz w:val="22"/>
        </w:rPr>
        <w:t>credited </w:t>
      </w:r>
      <w:r>
        <w:rPr>
          <w:spacing w:val="12"/>
          <w:sz w:val="22"/>
        </w:rPr>
        <w:t>degree </w:t>
      </w:r>
      <w:r>
        <w:rPr>
          <w:spacing w:val="14"/>
          <w:sz w:val="22"/>
        </w:rPr>
        <w:t>program:</w:t>
      </w:r>
    </w:p>
    <w:p>
      <w:pPr>
        <w:spacing w:line="590" w:lineRule="auto" w:before="2"/>
        <w:ind w:left="442" w:right="4738" w:firstLine="7"/>
        <w:jc w:val="left"/>
        <w:rPr>
          <w:sz w:val="22"/>
        </w:rPr>
      </w:pPr>
      <w:r>
        <w:rPr>
          <w:sz w:val="22"/>
        </w:rPr>
        <w:t>M.</w:t>
      </w:r>
      <w:r>
        <w:rPr>
          <w:spacing w:val="-14"/>
          <w:sz w:val="22"/>
        </w:rPr>
        <w:t> </w:t>
      </w:r>
      <w:r>
        <w:rPr>
          <w:spacing w:val="9"/>
          <w:sz w:val="22"/>
        </w:rPr>
        <w:t>Arch.</w:t>
      </w:r>
      <w:r>
        <w:rPr>
          <w:spacing w:val="-14"/>
          <w:sz w:val="22"/>
        </w:rPr>
        <w:t> </w:t>
      </w:r>
      <w:r>
        <w:rPr>
          <w:sz w:val="22"/>
        </w:rPr>
        <w:t>(first</w:t>
      </w:r>
      <w:r>
        <w:rPr>
          <w:spacing w:val="-3"/>
          <w:sz w:val="22"/>
        </w:rPr>
        <w:t> </w:t>
      </w:r>
      <w:r>
        <w:rPr>
          <w:spacing w:val="9"/>
          <w:sz w:val="22"/>
        </w:rPr>
        <w:t>professional</w:t>
      </w:r>
      <w:r>
        <w:rPr>
          <w:spacing w:val="-6"/>
          <w:sz w:val="22"/>
        </w:rPr>
        <w:t> </w:t>
      </w:r>
      <w:r>
        <w:rPr>
          <w:spacing w:val="12"/>
          <w:sz w:val="22"/>
        </w:rPr>
        <w:t>degree,</w:t>
      </w:r>
      <w:r>
        <w:rPr>
          <w:spacing w:val="-16"/>
          <w:sz w:val="22"/>
        </w:rPr>
        <w:t> </w:t>
      </w:r>
      <w:r>
        <w:rPr>
          <w:sz w:val="22"/>
        </w:rPr>
        <w:t>173 </w:t>
      </w:r>
      <w:r>
        <w:rPr>
          <w:spacing w:val="9"/>
          <w:sz w:val="22"/>
        </w:rPr>
        <w:t>credits) </w:t>
      </w:r>
      <w:r>
        <w:rPr>
          <w:sz w:val="22"/>
        </w:rPr>
        <w:t>Next a</w:t>
      </w:r>
      <w:r>
        <w:rPr>
          <w:spacing w:val="-27"/>
          <w:sz w:val="22"/>
        </w:rPr>
        <w:t> </w:t>
      </w:r>
      <w:r>
        <w:rPr>
          <w:sz w:val="22"/>
        </w:rPr>
        <w:t>c</w:t>
      </w:r>
      <w:r>
        <w:rPr>
          <w:spacing w:val="-26"/>
          <w:sz w:val="22"/>
        </w:rPr>
        <w:t> </w:t>
      </w:r>
      <w:r>
        <w:rPr>
          <w:spacing w:val="12"/>
          <w:sz w:val="22"/>
        </w:rPr>
        <w:t>creditation </w:t>
      </w:r>
      <w:r>
        <w:rPr>
          <w:sz w:val="22"/>
        </w:rPr>
        <w:t>visit for </w:t>
      </w:r>
      <w:r>
        <w:rPr>
          <w:spacing w:val="9"/>
          <w:sz w:val="22"/>
        </w:rPr>
        <w:t>the </w:t>
      </w:r>
      <w:r>
        <w:rPr>
          <w:spacing w:val="13"/>
          <w:sz w:val="22"/>
        </w:rPr>
        <w:t>program:</w:t>
      </w:r>
      <w:r>
        <w:rPr>
          <w:spacing w:val="6"/>
          <w:sz w:val="22"/>
        </w:rPr>
        <w:t> </w:t>
      </w:r>
      <w:r>
        <w:rPr>
          <w:sz w:val="22"/>
        </w:rPr>
        <w:t>2015</w:t>
      </w:r>
    </w:p>
    <w:p>
      <w:pPr>
        <w:spacing w:after="0" w:line="590" w:lineRule="auto"/>
        <w:jc w:val="left"/>
        <w:rPr>
          <w:sz w:val="22"/>
        </w:rPr>
        <w:sectPr>
          <w:headerReference w:type="default" r:id="rId287"/>
          <w:footerReference w:type="default" r:id="rId288"/>
          <w:pgSz w:w="12240" w:h="15840"/>
          <w:pgMar w:header="0" w:footer="749" w:top="1400" w:bottom="940" w:left="1000" w:right="820"/>
        </w:sectPr>
      </w:pPr>
    </w:p>
    <w:p>
      <w:pPr>
        <w:pStyle w:val="Heading6"/>
        <w:ind w:left="452"/>
      </w:pPr>
      <w:r>
        <w:rPr>
          <w:spacing w:val="-2"/>
          <w:w w:val="95"/>
        </w:rPr>
        <w:t>MISSION</w:t>
      </w:r>
    </w:p>
    <w:p>
      <w:pPr>
        <w:pStyle w:val="BodyText"/>
        <w:spacing w:before="9"/>
        <w:rPr>
          <w:sz w:val="32"/>
        </w:rPr>
      </w:pPr>
    </w:p>
    <w:p>
      <w:pPr>
        <w:spacing w:before="0"/>
        <w:ind w:left="440" w:right="0" w:firstLine="0"/>
        <w:jc w:val="left"/>
        <w:rPr>
          <w:sz w:val="22"/>
        </w:rPr>
      </w:pPr>
      <w:r>
        <w:rPr>
          <w:sz w:val="22"/>
        </w:rPr>
        <w:t>The</w:t>
      </w:r>
      <w:r>
        <w:rPr>
          <w:spacing w:val="-8"/>
          <w:sz w:val="22"/>
        </w:rPr>
        <w:t> </w:t>
      </w:r>
      <w:r>
        <w:rPr>
          <w:spacing w:val="16"/>
          <w:sz w:val="22"/>
        </w:rPr>
        <w:t>Hampton</w:t>
      </w:r>
      <w:r>
        <w:rPr>
          <w:spacing w:val="-2"/>
          <w:sz w:val="22"/>
        </w:rPr>
        <w:t> </w:t>
      </w:r>
      <w:r>
        <w:rPr>
          <w:sz w:val="22"/>
        </w:rPr>
        <w:t>University</w:t>
      </w:r>
      <w:r>
        <w:rPr>
          <w:spacing w:val="-3"/>
          <w:sz w:val="22"/>
        </w:rPr>
        <w:t> </w:t>
      </w:r>
      <w:r>
        <w:rPr>
          <w:spacing w:val="11"/>
          <w:sz w:val="22"/>
        </w:rPr>
        <w:t>Dep</w:t>
      </w:r>
      <w:r>
        <w:rPr>
          <w:spacing w:val="-33"/>
          <w:sz w:val="22"/>
        </w:rPr>
        <w:t> </w:t>
      </w:r>
      <w:r>
        <w:rPr>
          <w:spacing w:val="12"/>
          <w:sz w:val="22"/>
        </w:rPr>
        <w:t>artment</w:t>
      </w:r>
      <w:r>
        <w:rPr>
          <w:spacing w:val="9"/>
          <w:sz w:val="22"/>
        </w:rPr>
        <w:t> </w:t>
      </w:r>
      <w:r>
        <w:rPr>
          <w:sz w:val="22"/>
        </w:rPr>
        <w:t>of</w:t>
      </w:r>
      <w:r>
        <w:rPr>
          <w:spacing w:val="3"/>
          <w:sz w:val="22"/>
        </w:rPr>
        <w:t> </w:t>
      </w:r>
      <w:r>
        <w:rPr>
          <w:spacing w:val="12"/>
          <w:sz w:val="22"/>
        </w:rPr>
        <w:t>Architecture</w:t>
      </w:r>
      <w:r>
        <w:rPr>
          <w:spacing w:val="2"/>
          <w:sz w:val="22"/>
        </w:rPr>
        <w:t> </w:t>
      </w:r>
      <w:r>
        <w:rPr>
          <w:sz w:val="22"/>
        </w:rPr>
        <w:t>is</w:t>
      </w:r>
      <w:r>
        <w:rPr>
          <w:spacing w:val="6"/>
          <w:sz w:val="22"/>
        </w:rPr>
        <w:t> </w:t>
      </w:r>
      <w:r>
        <w:rPr>
          <w:spacing w:val="10"/>
          <w:sz w:val="22"/>
        </w:rPr>
        <w:t>an </w:t>
      </w:r>
      <w:r>
        <w:rPr>
          <w:sz w:val="22"/>
        </w:rPr>
        <w:t>a</w:t>
      </w:r>
      <w:r>
        <w:rPr>
          <w:spacing w:val="-33"/>
          <w:sz w:val="22"/>
        </w:rPr>
        <w:t> </w:t>
      </w:r>
      <w:r>
        <w:rPr>
          <w:sz w:val="22"/>
        </w:rPr>
        <w:t>c</w:t>
      </w:r>
      <w:r>
        <w:rPr>
          <w:spacing w:val="-28"/>
          <w:sz w:val="22"/>
        </w:rPr>
        <w:t> </w:t>
      </w:r>
      <w:r>
        <w:rPr>
          <w:spacing w:val="13"/>
          <w:sz w:val="22"/>
        </w:rPr>
        <w:t>credited</w:t>
      </w:r>
      <w:r>
        <w:rPr>
          <w:spacing w:val="14"/>
          <w:sz w:val="22"/>
        </w:rPr>
        <w:t> </w:t>
      </w:r>
      <w:r>
        <w:rPr>
          <w:spacing w:val="10"/>
          <w:sz w:val="22"/>
        </w:rPr>
        <w:t>Architecture</w:t>
      </w:r>
    </w:p>
    <w:p>
      <w:pPr>
        <w:spacing w:line="292" w:lineRule="auto" w:before="57"/>
        <w:ind w:left="451" w:right="642" w:hanging="11"/>
        <w:jc w:val="left"/>
        <w:rPr>
          <w:sz w:val="22"/>
        </w:rPr>
      </w:pPr>
      <w:r>
        <w:rPr>
          <w:spacing w:val="11"/>
          <w:sz w:val="22"/>
        </w:rPr>
        <w:t>Program,</w:t>
      </w:r>
      <w:r>
        <w:rPr>
          <w:spacing w:val="9"/>
          <w:sz w:val="22"/>
        </w:rPr>
        <w:t> </w:t>
      </w:r>
      <w:r>
        <w:rPr>
          <w:spacing w:val="15"/>
          <w:sz w:val="22"/>
        </w:rPr>
        <w:t>geared towards</w:t>
      </w:r>
      <w:r>
        <w:rPr>
          <w:spacing w:val="5"/>
          <w:sz w:val="22"/>
        </w:rPr>
        <w:t> </w:t>
      </w:r>
      <w:r>
        <w:rPr>
          <w:spacing w:val="9"/>
          <w:sz w:val="22"/>
        </w:rPr>
        <w:t>those </w:t>
      </w:r>
      <w:r>
        <w:rPr>
          <w:spacing w:val="10"/>
          <w:sz w:val="22"/>
        </w:rPr>
        <w:t>who </w:t>
      </w:r>
      <w:r>
        <w:rPr>
          <w:sz w:val="22"/>
        </w:rPr>
        <w:t>desire</w:t>
      </w:r>
      <w:r>
        <w:rPr>
          <w:spacing w:val="11"/>
          <w:sz w:val="22"/>
        </w:rPr>
        <w:t> prep</w:t>
      </w:r>
      <w:r>
        <w:rPr>
          <w:spacing w:val="-33"/>
          <w:sz w:val="22"/>
        </w:rPr>
        <w:t> </w:t>
      </w:r>
      <w:r>
        <w:rPr>
          <w:spacing w:val="11"/>
          <w:sz w:val="22"/>
        </w:rPr>
        <w:t>aration</w:t>
      </w:r>
      <w:r>
        <w:rPr>
          <w:spacing w:val="10"/>
          <w:sz w:val="22"/>
        </w:rPr>
        <w:t> </w:t>
      </w:r>
      <w:r>
        <w:rPr>
          <w:sz w:val="22"/>
        </w:rPr>
        <w:t>to </w:t>
      </w:r>
      <w:r>
        <w:rPr>
          <w:spacing w:val="18"/>
          <w:sz w:val="22"/>
        </w:rPr>
        <w:t>engage</w:t>
      </w:r>
      <w:r>
        <w:rPr>
          <w:spacing w:val="8"/>
          <w:sz w:val="22"/>
        </w:rPr>
        <w:t> </w:t>
      </w:r>
      <w:r>
        <w:rPr>
          <w:sz w:val="22"/>
        </w:rPr>
        <w:t>in a</w:t>
      </w:r>
      <w:r>
        <w:rPr>
          <w:spacing w:val="28"/>
          <w:sz w:val="22"/>
        </w:rPr>
        <w:t> </w:t>
      </w:r>
      <w:r>
        <w:rPr>
          <w:sz w:val="22"/>
        </w:rPr>
        <w:t>critic</w:t>
      </w:r>
      <w:r>
        <w:rPr>
          <w:spacing w:val="-30"/>
          <w:sz w:val="22"/>
        </w:rPr>
        <w:t> </w:t>
      </w:r>
      <w:r>
        <w:rPr>
          <w:sz w:val="22"/>
        </w:rPr>
        <w:t>al pra</w:t>
      </w:r>
      <w:r>
        <w:rPr>
          <w:spacing w:val="-31"/>
          <w:sz w:val="22"/>
        </w:rPr>
        <w:t> </w:t>
      </w:r>
      <w:r>
        <w:rPr>
          <w:spacing w:val="10"/>
          <w:sz w:val="22"/>
        </w:rPr>
        <w:t>ctic</w:t>
      </w:r>
      <w:r>
        <w:rPr>
          <w:spacing w:val="-34"/>
          <w:sz w:val="22"/>
        </w:rPr>
        <w:t> </w:t>
      </w:r>
      <w:r>
        <w:rPr>
          <w:sz w:val="22"/>
        </w:rPr>
        <w:t>e of </w:t>
      </w:r>
      <w:r>
        <w:rPr>
          <w:spacing w:val="12"/>
          <w:sz w:val="22"/>
        </w:rPr>
        <w:t>architecture. </w:t>
      </w:r>
      <w:r>
        <w:rPr>
          <w:sz w:val="22"/>
        </w:rPr>
        <w:t>We</w:t>
      </w:r>
      <w:r>
        <w:rPr>
          <w:spacing w:val="10"/>
          <w:sz w:val="22"/>
        </w:rPr>
        <w:t> believe </w:t>
      </w:r>
      <w:r>
        <w:rPr>
          <w:spacing w:val="13"/>
          <w:sz w:val="22"/>
        </w:rPr>
        <w:t>that </w:t>
      </w:r>
      <w:r>
        <w:rPr>
          <w:spacing w:val="12"/>
          <w:sz w:val="22"/>
        </w:rPr>
        <w:t>architectural </w:t>
      </w:r>
      <w:r>
        <w:rPr>
          <w:spacing w:val="16"/>
          <w:sz w:val="22"/>
        </w:rPr>
        <w:t>educ</w:t>
      </w:r>
      <w:r>
        <w:rPr>
          <w:spacing w:val="-26"/>
          <w:sz w:val="22"/>
        </w:rPr>
        <w:t> </w:t>
      </w:r>
      <w:r>
        <w:rPr>
          <w:spacing w:val="11"/>
          <w:sz w:val="22"/>
        </w:rPr>
        <w:t>ation </w:t>
      </w:r>
      <w:r>
        <w:rPr>
          <w:sz w:val="22"/>
        </w:rPr>
        <w:t>offers </w:t>
      </w:r>
      <w:r>
        <w:rPr>
          <w:spacing w:val="10"/>
          <w:sz w:val="22"/>
        </w:rPr>
        <w:t>unique </w:t>
      </w:r>
      <w:r>
        <w:rPr>
          <w:sz w:val="22"/>
        </w:rPr>
        <w:t>possibilities,</w:t>
      </w:r>
    </w:p>
    <w:p>
      <w:pPr>
        <w:spacing w:line="295" w:lineRule="auto" w:before="2"/>
        <w:ind w:left="444" w:right="642" w:firstLine="8"/>
        <w:jc w:val="left"/>
        <w:rPr>
          <w:sz w:val="22"/>
        </w:rPr>
      </w:pPr>
      <w:r>
        <w:rPr>
          <w:spacing w:val="12"/>
          <w:sz w:val="22"/>
        </w:rPr>
        <w:t>which</w:t>
      </w:r>
      <w:r>
        <w:rPr>
          <w:spacing w:val="9"/>
          <w:sz w:val="22"/>
        </w:rPr>
        <w:t> </w:t>
      </w:r>
      <w:r>
        <w:rPr>
          <w:sz w:val="22"/>
        </w:rPr>
        <w:t>allow our</w:t>
      </w:r>
      <w:r>
        <w:rPr>
          <w:spacing w:val="-4"/>
          <w:sz w:val="22"/>
        </w:rPr>
        <w:t> </w:t>
      </w:r>
      <w:r>
        <w:rPr>
          <w:spacing w:val="11"/>
          <w:sz w:val="22"/>
        </w:rPr>
        <w:t>students</w:t>
      </w:r>
      <w:r>
        <w:rPr>
          <w:spacing w:val="3"/>
          <w:sz w:val="22"/>
        </w:rPr>
        <w:t> </w:t>
      </w:r>
      <w:r>
        <w:rPr>
          <w:sz w:val="22"/>
        </w:rPr>
        <w:t>to fa</w:t>
      </w:r>
      <w:r>
        <w:rPr>
          <w:spacing w:val="-31"/>
          <w:sz w:val="22"/>
        </w:rPr>
        <w:t> </w:t>
      </w:r>
      <w:r>
        <w:rPr>
          <w:sz w:val="22"/>
        </w:rPr>
        <w:t>c</w:t>
      </w:r>
      <w:r>
        <w:rPr>
          <w:spacing w:val="-34"/>
          <w:sz w:val="22"/>
        </w:rPr>
        <w:t> </w:t>
      </w:r>
      <w:r>
        <w:rPr>
          <w:sz w:val="22"/>
        </w:rPr>
        <w:t>e </w:t>
      </w:r>
      <w:r>
        <w:rPr>
          <w:spacing w:val="13"/>
          <w:sz w:val="22"/>
        </w:rPr>
        <w:t>and</w:t>
      </w:r>
      <w:r>
        <w:rPr>
          <w:spacing w:val="7"/>
          <w:sz w:val="22"/>
        </w:rPr>
        <w:t> </w:t>
      </w:r>
      <w:r>
        <w:rPr>
          <w:spacing w:val="11"/>
          <w:sz w:val="22"/>
        </w:rPr>
        <w:t>lea</w:t>
      </w:r>
      <w:r>
        <w:rPr>
          <w:spacing w:val="-33"/>
          <w:sz w:val="22"/>
        </w:rPr>
        <w:t> </w:t>
      </w:r>
      <w:r>
        <w:rPr>
          <w:sz w:val="22"/>
        </w:rPr>
        <w:t>d </w:t>
      </w:r>
      <w:r>
        <w:rPr>
          <w:spacing w:val="9"/>
          <w:sz w:val="22"/>
        </w:rPr>
        <w:t>the </w:t>
      </w:r>
      <w:r>
        <w:rPr>
          <w:spacing w:val="12"/>
          <w:sz w:val="22"/>
        </w:rPr>
        <w:t>broa</w:t>
      </w:r>
      <w:r>
        <w:rPr>
          <w:spacing w:val="-33"/>
          <w:sz w:val="22"/>
        </w:rPr>
        <w:t> </w:t>
      </w:r>
      <w:r>
        <w:rPr>
          <w:sz w:val="22"/>
        </w:rPr>
        <w:t>d</w:t>
      </w:r>
      <w:r>
        <w:rPr>
          <w:spacing w:val="12"/>
          <w:sz w:val="22"/>
        </w:rPr>
        <w:t> challenges</w:t>
      </w:r>
      <w:r>
        <w:rPr>
          <w:spacing w:val="10"/>
          <w:sz w:val="22"/>
        </w:rPr>
        <w:t> </w:t>
      </w:r>
      <w:r>
        <w:rPr>
          <w:sz w:val="22"/>
        </w:rPr>
        <w:t>c</w:t>
      </w:r>
      <w:r>
        <w:rPr>
          <w:spacing w:val="-33"/>
          <w:sz w:val="22"/>
        </w:rPr>
        <w:t> </w:t>
      </w:r>
      <w:r>
        <w:rPr>
          <w:spacing w:val="9"/>
          <w:sz w:val="22"/>
        </w:rPr>
        <w:t>onfronting </w:t>
      </w:r>
      <w:r>
        <w:rPr>
          <w:spacing w:val="10"/>
          <w:sz w:val="22"/>
        </w:rPr>
        <w:t>societies, </w:t>
      </w:r>
      <w:r>
        <w:rPr>
          <w:sz w:val="22"/>
        </w:rPr>
        <w:t>from</w:t>
      </w:r>
      <w:r>
        <w:rPr>
          <w:spacing w:val="9"/>
          <w:sz w:val="22"/>
        </w:rPr>
        <w:t> the level </w:t>
      </w:r>
      <w:r>
        <w:rPr>
          <w:sz w:val="22"/>
        </w:rPr>
        <w:t>of </w:t>
      </w:r>
      <w:r>
        <w:rPr>
          <w:spacing w:val="9"/>
          <w:sz w:val="22"/>
        </w:rPr>
        <w:t>individuals, </w:t>
      </w:r>
      <w:r>
        <w:rPr>
          <w:sz w:val="22"/>
        </w:rPr>
        <w:t>to</w:t>
      </w:r>
      <w:r>
        <w:rPr>
          <w:spacing w:val="13"/>
          <w:sz w:val="22"/>
        </w:rPr>
        <w:t> neighborhoods, and </w:t>
      </w:r>
      <w:r>
        <w:rPr>
          <w:spacing w:val="9"/>
          <w:sz w:val="22"/>
        </w:rPr>
        <w:t>nations. </w:t>
      </w:r>
      <w:r>
        <w:rPr>
          <w:sz w:val="22"/>
        </w:rPr>
        <w:t>We</w:t>
      </w:r>
      <w:r>
        <w:rPr>
          <w:spacing w:val="40"/>
          <w:sz w:val="22"/>
        </w:rPr>
        <w:t> </w:t>
      </w:r>
      <w:r>
        <w:rPr>
          <w:sz w:val="22"/>
        </w:rPr>
        <w:t>are</w:t>
      </w:r>
      <w:r>
        <w:rPr>
          <w:spacing w:val="15"/>
          <w:sz w:val="22"/>
        </w:rPr>
        <w:t> dedic</w:t>
      </w:r>
      <w:r>
        <w:rPr>
          <w:spacing w:val="-28"/>
          <w:sz w:val="22"/>
        </w:rPr>
        <w:t> </w:t>
      </w:r>
      <w:r>
        <w:rPr>
          <w:spacing w:val="15"/>
          <w:sz w:val="22"/>
        </w:rPr>
        <w:t>ated </w:t>
      </w:r>
      <w:r>
        <w:rPr>
          <w:sz w:val="22"/>
        </w:rPr>
        <w:t>to</w:t>
      </w:r>
    </w:p>
    <w:p>
      <w:pPr>
        <w:spacing w:line="292" w:lineRule="auto" w:before="0"/>
        <w:ind w:left="445" w:right="712" w:firstLine="8"/>
        <w:jc w:val="left"/>
        <w:rPr>
          <w:sz w:val="22"/>
        </w:rPr>
      </w:pPr>
      <w:r>
        <w:rPr>
          <w:spacing w:val="12"/>
          <w:sz w:val="22"/>
        </w:rPr>
        <w:t>promoting </w:t>
      </w:r>
      <w:r>
        <w:rPr>
          <w:sz w:val="22"/>
        </w:rPr>
        <w:t>a </w:t>
      </w:r>
      <w:r>
        <w:rPr>
          <w:spacing w:val="11"/>
          <w:sz w:val="22"/>
        </w:rPr>
        <w:t>glob</w:t>
      </w:r>
      <w:r>
        <w:rPr>
          <w:spacing w:val="-33"/>
          <w:sz w:val="22"/>
        </w:rPr>
        <w:t> </w:t>
      </w:r>
      <w:r>
        <w:rPr>
          <w:sz w:val="22"/>
        </w:rPr>
        <w:t>al </w:t>
      </w:r>
      <w:r>
        <w:rPr>
          <w:spacing w:val="11"/>
          <w:sz w:val="22"/>
        </w:rPr>
        <w:t>environmental</w:t>
      </w:r>
      <w:r>
        <w:rPr>
          <w:sz w:val="22"/>
        </w:rPr>
        <w:t> sensitivity, </w:t>
      </w:r>
      <w:r>
        <w:rPr>
          <w:spacing w:val="13"/>
          <w:sz w:val="22"/>
        </w:rPr>
        <w:t>and developing </w:t>
      </w:r>
      <w:r>
        <w:rPr>
          <w:spacing w:val="10"/>
          <w:sz w:val="22"/>
        </w:rPr>
        <w:t>an </w:t>
      </w:r>
      <w:r>
        <w:rPr>
          <w:sz w:val="22"/>
        </w:rPr>
        <w:t>a</w:t>
      </w:r>
      <w:r>
        <w:rPr>
          <w:spacing w:val="-33"/>
          <w:sz w:val="22"/>
        </w:rPr>
        <w:t> </w:t>
      </w:r>
      <w:r>
        <w:rPr>
          <w:sz w:val="22"/>
        </w:rPr>
        <w:t>bility in </w:t>
      </w:r>
      <w:r>
        <w:rPr>
          <w:spacing w:val="11"/>
          <w:sz w:val="22"/>
        </w:rPr>
        <w:t>students</w:t>
      </w:r>
      <w:r>
        <w:rPr>
          <w:spacing w:val="6"/>
          <w:sz w:val="22"/>
        </w:rPr>
        <w:t> </w:t>
      </w:r>
      <w:r>
        <w:rPr>
          <w:sz w:val="22"/>
        </w:rPr>
        <w:t>to bring a</w:t>
      </w:r>
      <w:r>
        <w:rPr>
          <w:spacing w:val="-30"/>
          <w:sz w:val="22"/>
        </w:rPr>
        <w:t> </w:t>
      </w:r>
      <w:r>
        <w:rPr>
          <w:spacing w:val="12"/>
          <w:sz w:val="22"/>
        </w:rPr>
        <w:t>bout </w:t>
      </w:r>
      <w:r>
        <w:rPr>
          <w:spacing w:val="14"/>
          <w:sz w:val="22"/>
        </w:rPr>
        <w:t>important</w:t>
      </w:r>
      <w:r>
        <w:rPr>
          <w:spacing w:val="10"/>
          <w:sz w:val="22"/>
        </w:rPr>
        <w:t> </w:t>
      </w:r>
      <w:r>
        <w:rPr>
          <w:spacing w:val="13"/>
          <w:sz w:val="22"/>
        </w:rPr>
        <w:t>social and </w:t>
      </w:r>
      <w:r>
        <w:rPr>
          <w:spacing w:val="11"/>
          <w:sz w:val="22"/>
        </w:rPr>
        <w:t>environmental </w:t>
      </w:r>
      <w:r>
        <w:rPr>
          <w:spacing w:val="15"/>
          <w:sz w:val="22"/>
        </w:rPr>
        <w:t>change, </w:t>
      </w:r>
      <w:r>
        <w:rPr>
          <w:spacing w:val="11"/>
          <w:sz w:val="22"/>
        </w:rPr>
        <w:t>especially</w:t>
      </w:r>
      <w:r>
        <w:rPr>
          <w:spacing w:val="10"/>
          <w:sz w:val="22"/>
        </w:rPr>
        <w:t> </w:t>
      </w:r>
      <w:r>
        <w:rPr>
          <w:sz w:val="22"/>
        </w:rPr>
        <w:t>in </w:t>
      </w:r>
      <w:r>
        <w:rPr>
          <w:spacing w:val="9"/>
          <w:sz w:val="22"/>
        </w:rPr>
        <w:t>transitional </w:t>
      </w:r>
      <w:r>
        <w:rPr>
          <w:spacing w:val="13"/>
          <w:sz w:val="22"/>
        </w:rPr>
        <w:t>urban </w:t>
      </w:r>
      <w:r>
        <w:rPr>
          <w:spacing w:val="12"/>
          <w:sz w:val="22"/>
        </w:rPr>
        <w:t>areas and </w:t>
      </w:r>
      <w:r>
        <w:rPr>
          <w:sz w:val="22"/>
        </w:rPr>
        <w:t>c</w:t>
      </w:r>
      <w:r>
        <w:rPr>
          <w:spacing w:val="-30"/>
          <w:sz w:val="22"/>
        </w:rPr>
        <w:t> </w:t>
      </w:r>
      <w:r>
        <w:rPr>
          <w:spacing w:val="10"/>
          <w:sz w:val="22"/>
        </w:rPr>
        <w:t>ommunities </w:t>
      </w:r>
      <w:r>
        <w:rPr>
          <w:sz w:val="22"/>
        </w:rPr>
        <w:t>of c</w:t>
      </w:r>
      <w:r>
        <w:rPr>
          <w:spacing w:val="-30"/>
          <w:sz w:val="22"/>
        </w:rPr>
        <w:t> </w:t>
      </w:r>
      <w:r>
        <w:rPr>
          <w:sz w:val="22"/>
        </w:rPr>
        <w:t>olor. The </w:t>
      </w:r>
      <w:r>
        <w:rPr>
          <w:spacing w:val="11"/>
          <w:sz w:val="22"/>
        </w:rPr>
        <w:t>Dep</w:t>
      </w:r>
      <w:r>
        <w:rPr>
          <w:spacing w:val="-30"/>
          <w:sz w:val="22"/>
        </w:rPr>
        <w:t> </w:t>
      </w:r>
      <w:r>
        <w:rPr>
          <w:spacing w:val="12"/>
          <w:sz w:val="22"/>
        </w:rPr>
        <w:t>artment </w:t>
      </w:r>
      <w:r>
        <w:rPr>
          <w:sz w:val="22"/>
        </w:rPr>
        <w:t>sets </w:t>
      </w:r>
      <w:r>
        <w:rPr>
          <w:spacing w:val="9"/>
          <w:sz w:val="22"/>
        </w:rPr>
        <w:t>the </w:t>
      </w:r>
      <w:r>
        <w:rPr>
          <w:spacing w:val="12"/>
          <w:sz w:val="22"/>
        </w:rPr>
        <w:t>framework</w:t>
      </w:r>
      <w:r>
        <w:rPr>
          <w:spacing w:val="10"/>
          <w:sz w:val="22"/>
        </w:rPr>
        <w:t> </w:t>
      </w:r>
      <w:r>
        <w:rPr>
          <w:sz w:val="22"/>
        </w:rPr>
        <w:t>for </w:t>
      </w:r>
      <w:r>
        <w:rPr>
          <w:spacing w:val="9"/>
          <w:sz w:val="22"/>
        </w:rPr>
        <w:t>the</w:t>
      </w:r>
    </w:p>
    <w:p>
      <w:pPr>
        <w:spacing w:line="292" w:lineRule="auto" w:before="4"/>
        <w:ind w:left="454" w:right="928" w:hanging="14"/>
        <w:jc w:val="left"/>
        <w:rPr>
          <w:sz w:val="22"/>
        </w:rPr>
      </w:pPr>
      <w:r>
        <w:rPr>
          <w:spacing w:val="11"/>
          <w:sz w:val="22"/>
        </w:rPr>
        <w:t>investigation </w:t>
      </w:r>
      <w:r>
        <w:rPr>
          <w:sz w:val="22"/>
        </w:rPr>
        <w:t>of </w:t>
      </w:r>
      <w:r>
        <w:rPr>
          <w:spacing w:val="12"/>
          <w:sz w:val="22"/>
        </w:rPr>
        <w:t>architecture </w:t>
      </w:r>
      <w:r>
        <w:rPr>
          <w:sz w:val="22"/>
        </w:rPr>
        <w:t>as a</w:t>
      </w:r>
      <w:r>
        <w:rPr>
          <w:spacing w:val="14"/>
          <w:sz w:val="22"/>
        </w:rPr>
        <w:t> way </w:t>
      </w:r>
      <w:r>
        <w:rPr>
          <w:sz w:val="22"/>
        </w:rPr>
        <w:t>of thinking</w:t>
      </w:r>
      <w:r>
        <w:rPr>
          <w:spacing w:val="13"/>
          <w:sz w:val="22"/>
        </w:rPr>
        <w:t> about </w:t>
      </w:r>
      <w:r>
        <w:rPr>
          <w:sz w:val="22"/>
        </w:rPr>
        <w:t>this </w:t>
      </w:r>
      <w:r>
        <w:rPr>
          <w:spacing w:val="10"/>
          <w:sz w:val="22"/>
        </w:rPr>
        <w:t>world.</w:t>
      </w:r>
      <w:r>
        <w:rPr>
          <w:sz w:val="22"/>
        </w:rPr>
        <w:t> We strive to</w:t>
      </w:r>
      <w:r>
        <w:rPr>
          <w:spacing w:val="11"/>
          <w:sz w:val="22"/>
        </w:rPr>
        <w:t> provide </w:t>
      </w:r>
      <w:r>
        <w:rPr>
          <w:spacing w:val="10"/>
          <w:sz w:val="22"/>
        </w:rPr>
        <w:t>an </w:t>
      </w:r>
      <w:r>
        <w:rPr>
          <w:spacing w:val="12"/>
          <w:sz w:val="22"/>
        </w:rPr>
        <w:t>integration </w:t>
      </w:r>
      <w:r>
        <w:rPr>
          <w:sz w:val="22"/>
        </w:rPr>
        <w:t>of:</w:t>
      </w:r>
    </w:p>
    <w:p>
      <w:pPr>
        <w:pStyle w:val="ListParagraph"/>
        <w:numPr>
          <w:ilvl w:val="0"/>
          <w:numId w:val="67"/>
        </w:numPr>
        <w:tabs>
          <w:tab w:pos="1432" w:val="left" w:leader="none"/>
        </w:tabs>
        <w:spacing w:line="240" w:lineRule="auto" w:before="2" w:after="0"/>
        <w:ind w:left="1431" w:right="0" w:hanging="258"/>
        <w:jc w:val="left"/>
        <w:rPr>
          <w:sz w:val="22"/>
        </w:rPr>
      </w:pPr>
      <w:r>
        <w:rPr>
          <w:spacing w:val="11"/>
          <w:sz w:val="22"/>
        </w:rPr>
        <w:t>individual</w:t>
      </w:r>
      <w:r>
        <w:rPr>
          <w:spacing w:val="-1"/>
          <w:sz w:val="22"/>
        </w:rPr>
        <w:t> </w:t>
      </w:r>
      <w:r>
        <w:rPr>
          <w:spacing w:val="13"/>
          <w:sz w:val="22"/>
        </w:rPr>
        <w:t>imagination</w:t>
      </w:r>
      <w:r>
        <w:rPr>
          <w:spacing w:val="16"/>
          <w:sz w:val="22"/>
        </w:rPr>
        <w:t> </w:t>
      </w:r>
      <w:r>
        <w:rPr>
          <w:sz w:val="22"/>
        </w:rPr>
        <w:t>with</w:t>
      </w:r>
      <w:r>
        <w:rPr>
          <w:spacing w:val="20"/>
          <w:sz w:val="22"/>
        </w:rPr>
        <w:t> </w:t>
      </w:r>
      <w:r>
        <w:rPr>
          <w:sz w:val="22"/>
        </w:rPr>
        <w:t>c</w:t>
      </w:r>
      <w:r>
        <w:rPr>
          <w:spacing w:val="-33"/>
          <w:sz w:val="22"/>
        </w:rPr>
        <w:t> </w:t>
      </w:r>
      <w:r>
        <w:rPr>
          <w:spacing w:val="14"/>
          <w:sz w:val="22"/>
        </w:rPr>
        <w:t>ommunal</w:t>
      </w:r>
      <w:r>
        <w:rPr>
          <w:sz w:val="22"/>
        </w:rPr>
        <w:t> </w:t>
      </w:r>
      <w:r>
        <w:rPr>
          <w:spacing w:val="-2"/>
          <w:sz w:val="22"/>
        </w:rPr>
        <w:t>responsibilities;</w:t>
      </w:r>
    </w:p>
    <w:p>
      <w:pPr>
        <w:pStyle w:val="ListParagraph"/>
        <w:numPr>
          <w:ilvl w:val="0"/>
          <w:numId w:val="67"/>
        </w:numPr>
        <w:tabs>
          <w:tab w:pos="1439" w:val="left" w:leader="none"/>
        </w:tabs>
        <w:spacing w:line="240" w:lineRule="auto" w:before="57" w:after="0"/>
        <w:ind w:left="1438" w:right="0" w:hanging="265"/>
        <w:jc w:val="left"/>
        <w:rPr>
          <w:sz w:val="22"/>
        </w:rPr>
      </w:pPr>
      <w:r>
        <w:rPr>
          <w:spacing w:val="11"/>
          <w:w w:val="95"/>
          <w:sz w:val="22"/>
        </w:rPr>
        <w:t>theoretic</w:t>
      </w:r>
      <w:r>
        <w:rPr>
          <w:spacing w:val="-14"/>
          <w:w w:val="95"/>
          <w:sz w:val="22"/>
        </w:rPr>
        <w:t> </w:t>
      </w:r>
      <w:r>
        <w:rPr>
          <w:w w:val="95"/>
          <w:sz w:val="22"/>
        </w:rPr>
        <w:t>al</w:t>
      </w:r>
      <w:r>
        <w:rPr>
          <w:spacing w:val="30"/>
          <w:sz w:val="22"/>
        </w:rPr>
        <w:t> </w:t>
      </w:r>
      <w:r>
        <w:rPr>
          <w:w w:val="95"/>
          <w:sz w:val="22"/>
        </w:rPr>
        <w:t>insights</w:t>
      </w:r>
      <w:r>
        <w:rPr>
          <w:spacing w:val="50"/>
          <w:sz w:val="22"/>
        </w:rPr>
        <w:t> </w:t>
      </w:r>
      <w:r>
        <w:rPr>
          <w:w w:val="95"/>
          <w:sz w:val="22"/>
        </w:rPr>
        <w:t>with</w:t>
      </w:r>
      <w:r>
        <w:rPr>
          <w:spacing w:val="63"/>
          <w:sz w:val="22"/>
        </w:rPr>
        <w:t> </w:t>
      </w:r>
      <w:r>
        <w:rPr>
          <w:spacing w:val="15"/>
          <w:w w:val="95"/>
          <w:sz w:val="22"/>
        </w:rPr>
        <w:t>pragmatic</w:t>
      </w:r>
      <w:r>
        <w:rPr>
          <w:spacing w:val="61"/>
          <w:sz w:val="22"/>
        </w:rPr>
        <w:t> </w:t>
      </w:r>
      <w:r>
        <w:rPr>
          <w:spacing w:val="10"/>
          <w:w w:val="95"/>
          <w:sz w:val="22"/>
        </w:rPr>
        <w:t>speculations;</w:t>
      </w:r>
    </w:p>
    <w:p>
      <w:pPr>
        <w:pStyle w:val="ListParagraph"/>
        <w:numPr>
          <w:ilvl w:val="0"/>
          <w:numId w:val="67"/>
        </w:numPr>
        <w:tabs>
          <w:tab w:pos="1441" w:val="left" w:leader="none"/>
        </w:tabs>
        <w:spacing w:line="240" w:lineRule="auto" w:before="59" w:after="0"/>
        <w:ind w:left="1440" w:right="0" w:hanging="265"/>
        <w:jc w:val="left"/>
        <w:rPr>
          <w:sz w:val="22"/>
        </w:rPr>
      </w:pPr>
      <w:r>
        <w:rPr>
          <w:sz w:val="22"/>
        </w:rPr>
        <w:t>c</w:t>
      </w:r>
      <w:r>
        <w:rPr>
          <w:spacing w:val="-30"/>
          <w:sz w:val="22"/>
        </w:rPr>
        <w:t> </w:t>
      </w:r>
      <w:r>
        <w:rPr>
          <w:spacing w:val="16"/>
          <w:sz w:val="22"/>
        </w:rPr>
        <w:t>onceptual</w:t>
      </w:r>
      <w:r>
        <w:rPr>
          <w:spacing w:val="22"/>
          <w:sz w:val="22"/>
        </w:rPr>
        <w:t> </w:t>
      </w:r>
      <w:r>
        <w:rPr>
          <w:sz w:val="22"/>
        </w:rPr>
        <w:t>gestures</w:t>
      </w:r>
      <w:r>
        <w:rPr>
          <w:spacing w:val="20"/>
          <w:sz w:val="22"/>
        </w:rPr>
        <w:t> </w:t>
      </w:r>
      <w:r>
        <w:rPr>
          <w:sz w:val="22"/>
        </w:rPr>
        <w:t>with</w:t>
      </w:r>
      <w:r>
        <w:rPr>
          <w:spacing w:val="20"/>
          <w:sz w:val="22"/>
        </w:rPr>
        <w:t> </w:t>
      </w:r>
      <w:r>
        <w:rPr>
          <w:spacing w:val="14"/>
          <w:sz w:val="22"/>
        </w:rPr>
        <w:t>tectonic</w:t>
      </w:r>
      <w:r>
        <w:rPr>
          <w:spacing w:val="41"/>
          <w:sz w:val="22"/>
        </w:rPr>
        <w:t> </w:t>
      </w:r>
      <w:r>
        <w:rPr>
          <w:spacing w:val="8"/>
          <w:sz w:val="22"/>
        </w:rPr>
        <w:t>articulation;</w:t>
      </w:r>
    </w:p>
    <w:p>
      <w:pPr>
        <w:pStyle w:val="ListParagraph"/>
        <w:numPr>
          <w:ilvl w:val="0"/>
          <w:numId w:val="67"/>
        </w:numPr>
        <w:tabs>
          <w:tab w:pos="1448" w:val="left" w:leader="none"/>
        </w:tabs>
        <w:spacing w:line="240" w:lineRule="auto" w:before="56" w:after="0"/>
        <w:ind w:left="1447" w:right="0" w:hanging="274"/>
        <w:jc w:val="left"/>
        <w:rPr>
          <w:sz w:val="22"/>
        </w:rPr>
      </w:pPr>
      <w:r>
        <w:rPr>
          <w:w w:val="95"/>
          <w:sz w:val="22"/>
        </w:rPr>
        <w:t>c</w:t>
      </w:r>
      <w:r>
        <w:rPr>
          <w:spacing w:val="-17"/>
          <w:w w:val="95"/>
          <w:sz w:val="22"/>
        </w:rPr>
        <w:t> </w:t>
      </w:r>
      <w:r>
        <w:rPr>
          <w:spacing w:val="14"/>
          <w:w w:val="95"/>
          <w:sz w:val="22"/>
        </w:rPr>
        <w:t>ontemporary</w:t>
      </w:r>
      <w:r>
        <w:rPr>
          <w:spacing w:val="31"/>
          <w:sz w:val="22"/>
        </w:rPr>
        <w:t> </w:t>
      </w:r>
      <w:r>
        <w:rPr>
          <w:spacing w:val="11"/>
          <w:w w:val="95"/>
          <w:sz w:val="22"/>
        </w:rPr>
        <w:t>interpretations</w:t>
      </w:r>
      <w:r>
        <w:rPr>
          <w:spacing w:val="45"/>
          <w:sz w:val="22"/>
        </w:rPr>
        <w:t> </w:t>
      </w:r>
      <w:r>
        <w:rPr>
          <w:w w:val="95"/>
          <w:sz w:val="22"/>
        </w:rPr>
        <w:t>with</w:t>
      </w:r>
      <w:r>
        <w:rPr>
          <w:spacing w:val="43"/>
          <w:sz w:val="22"/>
        </w:rPr>
        <w:t> </w:t>
      </w:r>
      <w:r>
        <w:rPr>
          <w:w w:val="95"/>
          <w:sz w:val="22"/>
        </w:rPr>
        <w:t>histories</w:t>
      </w:r>
      <w:r>
        <w:rPr>
          <w:spacing w:val="41"/>
          <w:sz w:val="22"/>
        </w:rPr>
        <w:t> </w:t>
      </w:r>
      <w:r>
        <w:rPr>
          <w:w w:val="95"/>
          <w:sz w:val="22"/>
        </w:rPr>
        <w:t>of</w:t>
      </w:r>
      <w:r>
        <w:rPr>
          <w:spacing w:val="53"/>
          <w:sz w:val="22"/>
        </w:rPr>
        <w:t> </w:t>
      </w:r>
      <w:r>
        <w:rPr>
          <w:spacing w:val="10"/>
          <w:w w:val="95"/>
          <w:sz w:val="22"/>
        </w:rPr>
        <w:t>architecture.</w:t>
      </w:r>
    </w:p>
    <w:p>
      <w:pPr>
        <w:pStyle w:val="BodyText"/>
        <w:spacing w:before="10"/>
        <w:rPr>
          <w:sz w:val="31"/>
        </w:rPr>
      </w:pPr>
    </w:p>
    <w:p>
      <w:pPr>
        <w:spacing w:line="295" w:lineRule="auto" w:before="0"/>
        <w:ind w:left="451" w:right="754" w:hanging="11"/>
        <w:jc w:val="left"/>
        <w:rPr>
          <w:sz w:val="22"/>
        </w:rPr>
      </w:pPr>
      <w:r>
        <w:rPr>
          <w:sz w:val="22"/>
        </w:rPr>
        <w:t>The</w:t>
      </w:r>
      <w:r>
        <w:rPr>
          <w:spacing w:val="-3"/>
          <w:sz w:val="22"/>
        </w:rPr>
        <w:t> </w:t>
      </w:r>
      <w:r>
        <w:rPr>
          <w:spacing w:val="16"/>
          <w:sz w:val="22"/>
        </w:rPr>
        <w:t>Hampton</w:t>
      </w:r>
      <w:r>
        <w:rPr>
          <w:spacing w:val="-2"/>
          <w:sz w:val="22"/>
        </w:rPr>
        <w:t> </w:t>
      </w:r>
      <w:r>
        <w:rPr>
          <w:sz w:val="22"/>
        </w:rPr>
        <w:t>University</w:t>
      </w:r>
      <w:r>
        <w:rPr>
          <w:spacing w:val="-2"/>
          <w:sz w:val="22"/>
        </w:rPr>
        <w:t> </w:t>
      </w:r>
      <w:r>
        <w:rPr>
          <w:spacing w:val="11"/>
          <w:sz w:val="22"/>
        </w:rPr>
        <w:t>Dep</w:t>
      </w:r>
      <w:r>
        <w:rPr>
          <w:spacing w:val="-33"/>
          <w:sz w:val="22"/>
        </w:rPr>
        <w:t> </w:t>
      </w:r>
      <w:r>
        <w:rPr>
          <w:spacing w:val="12"/>
          <w:sz w:val="22"/>
        </w:rPr>
        <w:t>artment</w:t>
      </w:r>
      <w:r>
        <w:rPr>
          <w:spacing w:val="9"/>
          <w:sz w:val="22"/>
        </w:rPr>
        <w:t> </w:t>
      </w:r>
      <w:r>
        <w:rPr>
          <w:sz w:val="22"/>
        </w:rPr>
        <w:t>of </w:t>
      </w:r>
      <w:r>
        <w:rPr>
          <w:spacing w:val="12"/>
          <w:sz w:val="22"/>
        </w:rPr>
        <w:t>Architecture</w:t>
      </w:r>
      <w:r>
        <w:rPr>
          <w:spacing w:val="8"/>
          <w:sz w:val="22"/>
        </w:rPr>
        <w:t> </w:t>
      </w:r>
      <w:r>
        <w:rPr>
          <w:spacing w:val="10"/>
          <w:sz w:val="22"/>
        </w:rPr>
        <w:t>has</w:t>
      </w:r>
      <w:r>
        <w:rPr>
          <w:spacing w:val="-7"/>
          <w:sz w:val="22"/>
        </w:rPr>
        <w:t> </w:t>
      </w:r>
      <w:r>
        <w:rPr>
          <w:spacing w:val="11"/>
          <w:sz w:val="22"/>
        </w:rPr>
        <w:t>long </w:t>
      </w:r>
      <w:r>
        <w:rPr>
          <w:spacing w:val="12"/>
          <w:sz w:val="22"/>
        </w:rPr>
        <w:t>been</w:t>
      </w:r>
      <w:r>
        <w:rPr>
          <w:spacing w:val="-2"/>
          <w:sz w:val="22"/>
        </w:rPr>
        <w:t> </w:t>
      </w:r>
      <w:r>
        <w:rPr>
          <w:spacing w:val="11"/>
          <w:sz w:val="22"/>
        </w:rPr>
        <w:t>rec</w:t>
      </w:r>
      <w:r>
        <w:rPr>
          <w:spacing w:val="-33"/>
          <w:sz w:val="22"/>
        </w:rPr>
        <w:t> </w:t>
      </w:r>
      <w:r>
        <w:rPr>
          <w:spacing w:val="11"/>
          <w:sz w:val="22"/>
        </w:rPr>
        <w:t>ognized </w:t>
      </w:r>
      <w:r>
        <w:rPr>
          <w:sz w:val="22"/>
        </w:rPr>
        <w:t>as </w:t>
      </w:r>
      <w:r>
        <w:rPr>
          <w:spacing w:val="10"/>
          <w:sz w:val="22"/>
        </w:rPr>
        <w:t>one </w:t>
      </w:r>
      <w:r>
        <w:rPr>
          <w:sz w:val="22"/>
        </w:rPr>
        <w:t>of </w:t>
      </w:r>
      <w:r>
        <w:rPr>
          <w:spacing w:val="9"/>
          <w:sz w:val="22"/>
        </w:rPr>
        <w:t>the </w:t>
      </w:r>
      <w:r>
        <w:rPr>
          <w:spacing w:val="14"/>
          <w:sz w:val="22"/>
        </w:rPr>
        <w:t>leading </w:t>
      </w:r>
      <w:r>
        <w:rPr>
          <w:spacing w:val="12"/>
          <w:sz w:val="22"/>
        </w:rPr>
        <w:t>architecture </w:t>
      </w:r>
      <w:r>
        <w:rPr>
          <w:spacing w:val="13"/>
          <w:sz w:val="22"/>
        </w:rPr>
        <w:t>programs </w:t>
      </w:r>
      <w:r>
        <w:rPr>
          <w:spacing w:val="15"/>
          <w:sz w:val="22"/>
        </w:rPr>
        <w:t>among </w:t>
      </w:r>
      <w:r>
        <w:rPr>
          <w:spacing w:val="9"/>
          <w:sz w:val="22"/>
        </w:rPr>
        <w:t>the </w:t>
      </w:r>
      <w:r>
        <w:rPr>
          <w:sz w:val="22"/>
        </w:rPr>
        <w:t>Historic</w:t>
      </w:r>
      <w:r>
        <w:rPr>
          <w:spacing w:val="-26"/>
          <w:sz w:val="22"/>
        </w:rPr>
        <w:t> </w:t>
      </w:r>
      <w:r>
        <w:rPr>
          <w:sz w:val="22"/>
        </w:rPr>
        <w:t>ally Bla</w:t>
      </w:r>
      <w:r>
        <w:rPr>
          <w:spacing w:val="-27"/>
          <w:sz w:val="22"/>
        </w:rPr>
        <w:t> </w:t>
      </w:r>
      <w:r>
        <w:rPr>
          <w:sz w:val="22"/>
        </w:rPr>
        <w:t>ck </w:t>
      </w:r>
      <w:r>
        <w:rPr>
          <w:spacing w:val="11"/>
          <w:sz w:val="22"/>
        </w:rPr>
        <w:t>Colleges </w:t>
      </w:r>
      <w:r>
        <w:rPr>
          <w:spacing w:val="12"/>
          <w:sz w:val="22"/>
        </w:rPr>
        <w:t>and</w:t>
      </w:r>
    </w:p>
    <w:p>
      <w:pPr>
        <w:spacing w:line="292" w:lineRule="auto" w:before="0"/>
        <w:ind w:left="454" w:right="927" w:hanging="14"/>
        <w:jc w:val="left"/>
        <w:rPr>
          <w:sz w:val="22"/>
        </w:rPr>
      </w:pPr>
      <w:r>
        <w:rPr>
          <w:sz w:val="22"/>
        </w:rPr>
        <w:t>Universities (HBCU), </w:t>
      </w:r>
      <w:r>
        <w:rPr>
          <w:spacing w:val="14"/>
          <w:sz w:val="22"/>
        </w:rPr>
        <w:t>and </w:t>
      </w:r>
      <w:r>
        <w:rPr>
          <w:spacing w:val="11"/>
          <w:sz w:val="22"/>
        </w:rPr>
        <w:t>has </w:t>
      </w:r>
      <w:r>
        <w:rPr>
          <w:spacing w:val="14"/>
          <w:sz w:val="22"/>
        </w:rPr>
        <w:t>been </w:t>
      </w:r>
      <w:r>
        <w:rPr>
          <w:sz w:val="22"/>
        </w:rPr>
        <w:t>pla</w:t>
      </w:r>
      <w:r>
        <w:rPr>
          <w:spacing w:val="-33"/>
          <w:sz w:val="22"/>
        </w:rPr>
        <w:t> </w:t>
      </w:r>
      <w:r>
        <w:rPr>
          <w:spacing w:val="10"/>
          <w:sz w:val="22"/>
        </w:rPr>
        <w:t>cing </w:t>
      </w:r>
      <w:r>
        <w:rPr>
          <w:sz w:val="22"/>
        </w:rPr>
        <w:t>Afric</w:t>
      </w:r>
      <w:r>
        <w:rPr>
          <w:spacing w:val="-33"/>
          <w:sz w:val="22"/>
        </w:rPr>
        <w:t> </w:t>
      </w:r>
      <w:r>
        <w:rPr>
          <w:spacing w:val="10"/>
          <w:sz w:val="22"/>
        </w:rPr>
        <w:t>an Americ</w:t>
      </w:r>
      <w:r>
        <w:rPr>
          <w:spacing w:val="-30"/>
          <w:sz w:val="22"/>
        </w:rPr>
        <w:t> </w:t>
      </w:r>
      <w:r>
        <w:rPr>
          <w:sz w:val="22"/>
        </w:rPr>
        <w:t>ans in </w:t>
      </w:r>
      <w:r>
        <w:rPr>
          <w:spacing w:val="9"/>
          <w:sz w:val="22"/>
        </w:rPr>
        <w:t>the </w:t>
      </w:r>
      <w:r>
        <w:rPr>
          <w:sz w:val="22"/>
        </w:rPr>
        <w:t>profession of </w:t>
      </w:r>
      <w:r>
        <w:rPr>
          <w:spacing w:val="12"/>
          <w:sz w:val="22"/>
        </w:rPr>
        <w:t>architecture </w:t>
      </w:r>
      <w:r>
        <w:rPr>
          <w:sz w:val="22"/>
        </w:rPr>
        <w:t>for </w:t>
      </w:r>
      <w:r>
        <w:rPr>
          <w:spacing w:val="10"/>
          <w:sz w:val="22"/>
        </w:rPr>
        <w:t>over </w:t>
      </w:r>
      <w:r>
        <w:rPr>
          <w:sz w:val="22"/>
        </w:rPr>
        <w:t>50 years.</w:t>
      </w:r>
    </w:p>
    <w:p>
      <w:pPr>
        <w:pStyle w:val="BodyText"/>
        <w:spacing w:before="2"/>
        <w:rPr>
          <w:sz w:val="27"/>
        </w:rPr>
      </w:pPr>
    </w:p>
    <w:p>
      <w:pPr>
        <w:spacing w:line="292" w:lineRule="auto" w:before="0"/>
        <w:ind w:left="454" w:right="642" w:hanging="15"/>
        <w:jc w:val="left"/>
        <w:rPr>
          <w:sz w:val="22"/>
        </w:rPr>
      </w:pPr>
      <w:r>
        <w:rPr>
          <w:sz w:val="22"/>
        </w:rPr>
        <w:t>The </w:t>
      </w:r>
      <w:r>
        <w:rPr>
          <w:spacing w:val="11"/>
          <w:sz w:val="22"/>
        </w:rPr>
        <w:t>Dep</w:t>
      </w:r>
      <w:r>
        <w:rPr>
          <w:spacing w:val="-33"/>
          <w:sz w:val="22"/>
        </w:rPr>
        <w:t> </w:t>
      </w:r>
      <w:r>
        <w:rPr>
          <w:spacing w:val="12"/>
          <w:sz w:val="22"/>
        </w:rPr>
        <w:t>artment </w:t>
      </w:r>
      <w:r>
        <w:rPr>
          <w:sz w:val="22"/>
        </w:rPr>
        <w:t>of </w:t>
      </w:r>
      <w:r>
        <w:rPr>
          <w:spacing w:val="12"/>
          <w:sz w:val="22"/>
        </w:rPr>
        <w:t>Architecture </w:t>
      </w:r>
      <w:r>
        <w:rPr>
          <w:sz w:val="22"/>
        </w:rPr>
        <w:t>offers a 5-</w:t>
      </w:r>
      <w:r>
        <w:rPr>
          <w:spacing w:val="11"/>
          <w:sz w:val="22"/>
        </w:rPr>
        <w:t>1/2</w:t>
      </w:r>
      <w:r>
        <w:rPr>
          <w:spacing w:val="-3"/>
          <w:sz w:val="22"/>
        </w:rPr>
        <w:t> </w:t>
      </w:r>
      <w:r>
        <w:rPr>
          <w:spacing w:val="12"/>
          <w:sz w:val="22"/>
        </w:rPr>
        <w:t>year</w:t>
      </w:r>
      <w:r>
        <w:rPr>
          <w:spacing w:val="9"/>
          <w:sz w:val="22"/>
        </w:rPr>
        <w:t> </w:t>
      </w:r>
      <w:r>
        <w:rPr>
          <w:sz w:val="22"/>
        </w:rPr>
        <w:t>a</w:t>
      </w:r>
      <w:r>
        <w:rPr>
          <w:spacing w:val="-31"/>
          <w:sz w:val="22"/>
        </w:rPr>
        <w:t> </w:t>
      </w:r>
      <w:r>
        <w:rPr>
          <w:sz w:val="22"/>
        </w:rPr>
        <w:t>c</w:t>
      </w:r>
      <w:r>
        <w:rPr>
          <w:spacing w:val="-30"/>
          <w:sz w:val="22"/>
        </w:rPr>
        <w:t> </w:t>
      </w:r>
      <w:r>
        <w:rPr>
          <w:spacing w:val="13"/>
          <w:sz w:val="22"/>
        </w:rPr>
        <w:t>credited </w:t>
      </w:r>
      <w:r>
        <w:rPr>
          <w:spacing w:val="11"/>
          <w:sz w:val="22"/>
        </w:rPr>
        <w:t>Master</w:t>
      </w:r>
      <w:r>
        <w:rPr>
          <w:spacing w:val="6"/>
          <w:sz w:val="22"/>
        </w:rPr>
        <w:t> </w:t>
      </w:r>
      <w:r>
        <w:rPr>
          <w:sz w:val="22"/>
        </w:rPr>
        <w:t>of </w:t>
      </w:r>
      <w:r>
        <w:rPr>
          <w:spacing w:val="12"/>
          <w:sz w:val="22"/>
        </w:rPr>
        <w:t>Architecture </w:t>
      </w:r>
      <w:r>
        <w:rPr>
          <w:spacing w:val="13"/>
          <w:sz w:val="22"/>
        </w:rPr>
        <w:t>degree </w:t>
      </w:r>
      <w:r>
        <w:rPr>
          <w:sz w:val="22"/>
        </w:rPr>
        <w:t>as a first </w:t>
      </w:r>
      <w:r>
        <w:rPr>
          <w:spacing w:val="9"/>
          <w:sz w:val="22"/>
        </w:rPr>
        <w:t>professional </w:t>
      </w:r>
      <w:r>
        <w:rPr>
          <w:spacing w:val="12"/>
          <w:sz w:val="22"/>
        </w:rPr>
        <w:t>degree.</w:t>
      </w:r>
      <w:r>
        <w:rPr>
          <w:spacing w:val="-2"/>
          <w:sz w:val="22"/>
        </w:rPr>
        <w:t> </w:t>
      </w:r>
      <w:r>
        <w:rPr>
          <w:sz w:val="22"/>
        </w:rPr>
        <w:t>It is </w:t>
      </w:r>
      <w:r>
        <w:rPr>
          <w:spacing w:val="9"/>
          <w:sz w:val="22"/>
        </w:rPr>
        <w:t>the </w:t>
      </w:r>
      <w:r>
        <w:rPr>
          <w:sz w:val="22"/>
        </w:rPr>
        <w:t>only NAAB-</w:t>
      </w:r>
      <w:r>
        <w:rPr>
          <w:spacing w:val="-25"/>
          <w:sz w:val="22"/>
        </w:rPr>
        <w:t> </w:t>
      </w:r>
      <w:r>
        <w:rPr>
          <w:sz w:val="22"/>
        </w:rPr>
        <w:t>a</w:t>
      </w:r>
      <w:r>
        <w:rPr>
          <w:spacing w:val="-30"/>
          <w:sz w:val="22"/>
        </w:rPr>
        <w:t> </w:t>
      </w:r>
      <w:r>
        <w:rPr>
          <w:sz w:val="22"/>
        </w:rPr>
        <w:t>c</w:t>
      </w:r>
      <w:r>
        <w:rPr>
          <w:spacing w:val="-27"/>
          <w:sz w:val="22"/>
        </w:rPr>
        <w:t> </w:t>
      </w:r>
      <w:r>
        <w:rPr>
          <w:spacing w:val="13"/>
          <w:sz w:val="22"/>
        </w:rPr>
        <w:t>credited </w:t>
      </w:r>
      <w:r>
        <w:rPr>
          <w:spacing w:val="14"/>
          <w:sz w:val="22"/>
        </w:rPr>
        <w:t>program</w:t>
      </w:r>
      <w:r>
        <w:rPr>
          <w:spacing w:val="12"/>
          <w:sz w:val="22"/>
        </w:rPr>
        <w:t> </w:t>
      </w:r>
      <w:r>
        <w:rPr>
          <w:sz w:val="22"/>
        </w:rPr>
        <w:t>in </w:t>
      </w:r>
      <w:r>
        <w:rPr>
          <w:spacing w:val="9"/>
          <w:sz w:val="22"/>
        </w:rPr>
        <w:t>the</w:t>
      </w:r>
    </w:p>
    <w:p>
      <w:pPr>
        <w:spacing w:before="2"/>
        <w:ind w:left="440" w:right="0" w:firstLine="0"/>
        <w:jc w:val="left"/>
        <w:rPr>
          <w:sz w:val="22"/>
        </w:rPr>
      </w:pPr>
      <w:r>
        <w:rPr>
          <w:spacing w:val="14"/>
          <w:w w:val="95"/>
          <w:sz w:val="22"/>
        </w:rPr>
        <w:t>Tidewater</w:t>
      </w:r>
      <w:r>
        <w:rPr>
          <w:spacing w:val="-1"/>
          <w:w w:val="95"/>
          <w:sz w:val="22"/>
        </w:rPr>
        <w:t> </w:t>
      </w:r>
      <w:r>
        <w:rPr>
          <w:spacing w:val="8"/>
          <w:sz w:val="22"/>
        </w:rPr>
        <w:t>region.</w:t>
      </w:r>
    </w:p>
    <w:p>
      <w:pPr>
        <w:pStyle w:val="BodyText"/>
        <w:rPr>
          <w:sz w:val="24"/>
        </w:rPr>
      </w:pPr>
    </w:p>
    <w:p>
      <w:pPr>
        <w:pStyle w:val="BodyText"/>
        <w:spacing w:before="4"/>
        <w:rPr>
          <w:sz w:val="35"/>
        </w:rPr>
      </w:pPr>
    </w:p>
    <w:p>
      <w:pPr>
        <w:pStyle w:val="Heading6"/>
        <w:spacing w:before="0"/>
      </w:pPr>
      <w:r>
        <w:rPr>
          <w:spacing w:val="11"/>
          <w:w w:val="95"/>
        </w:rPr>
        <w:t>PROGRAM</w:t>
      </w:r>
      <w:r>
        <w:rPr>
          <w:spacing w:val="2"/>
          <w:w w:val="95"/>
        </w:rPr>
        <w:t> </w:t>
      </w:r>
      <w:r>
        <w:rPr>
          <w:spacing w:val="-2"/>
        </w:rPr>
        <w:t>HISTORY</w:t>
      </w:r>
    </w:p>
    <w:p>
      <w:pPr>
        <w:pStyle w:val="BodyText"/>
        <w:spacing w:before="10"/>
        <w:rPr>
          <w:sz w:val="32"/>
        </w:rPr>
      </w:pPr>
    </w:p>
    <w:p>
      <w:pPr>
        <w:spacing w:line="292" w:lineRule="auto" w:before="0"/>
        <w:ind w:left="440" w:right="642" w:firstLine="0"/>
        <w:jc w:val="left"/>
        <w:rPr>
          <w:sz w:val="22"/>
        </w:rPr>
      </w:pPr>
      <w:r>
        <w:rPr>
          <w:spacing w:val="12"/>
          <w:sz w:val="22"/>
        </w:rPr>
        <w:t>Research</w:t>
      </w:r>
      <w:r>
        <w:rPr>
          <w:spacing w:val="11"/>
          <w:sz w:val="22"/>
        </w:rPr>
        <w:t> </w:t>
      </w:r>
      <w:r>
        <w:rPr>
          <w:spacing w:val="10"/>
          <w:sz w:val="22"/>
        </w:rPr>
        <w:t>indic</w:t>
      </w:r>
      <w:r>
        <w:rPr>
          <w:spacing w:val="-27"/>
          <w:sz w:val="22"/>
        </w:rPr>
        <w:t> </w:t>
      </w:r>
      <w:r>
        <w:rPr>
          <w:spacing w:val="11"/>
          <w:sz w:val="22"/>
        </w:rPr>
        <w:t>ates </w:t>
      </w:r>
      <w:r>
        <w:rPr>
          <w:spacing w:val="12"/>
          <w:sz w:val="22"/>
        </w:rPr>
        <w:t>that </w:t>
      </w:r>
      <w:r>
        <w:rPr>
          <w:sz w:val="22"/>
        </w:rPr>
        <w:t>c</w:t>
      </w:r>
      <w:r>
        <w:rPr>
          <w:spacing w:val="-30"/>
          <w:sz w:val="22"/>
        </w:rPr>
        <w:t> </w:t>
      </w:r>
      <w:r>
        <w:rPr>
          <w:sz w:val="22"/>
        </w:rPr>
        <w:t>ourse work in </w:t>
      </w:r>
      <w:r>
        <w:rPr>
          <w:spacing w:val="12"/>
          <w:sz w:val="22"/>
        </w:rPr>
        <w:t>architectural </w:t>
      </w:r>
      <w:r>
        <w:rPr>
          <w:spacing w:val="10"/>
          <w:sz w:val="22"/>
        </w:rPr>
        <w:t>drafting </w:t>
      </w:r>
      <w:r>
        <w:rPr>
          <w:spacing w:val="12"/>
          <w:sz w:val="22"/>
        </w:rPr>
        <w:t>was </w:t>
      </w:r>
      <w:r>
        <w:rPr>
          <w:spacing w:val="11"/>
          <w:sz w:val="22"/>
        </w:rPr>
        <w:t>being </w:t>
      </w:r>
      <w:r>
        <w:rPr>
          <w:spacing w:val="10"/>
          <w:sz w:val="22"/>
        </w:rPr>
        <w:t>offered </w:t>
      </w:r>
      <w:r>
        <w:rPr>
          <w:sz w:val="22"/>
        </w:rPr>
        <w:t>to </w:t>
      </w:r>
      <w:r>
        <w:rPr>
          <w:spacing w:val="11"/>
          <w:sz w:val="22"/>
        </w:rPr>
        <w:t>students</w:t>
      </w:r>
      <w:r>
        <w:rPr>
          <w:spacing w:val="-1"/>
          <w:sz w:val="22"/>
        </w:rPr>
        <w:t> </w:t>
      </w:r>
      <w:r>
        <w:rPr>
          <w:sz w:val="22"/>
        </w:rPr>
        <w:t>in Industrial Arts </w:t>
      </w:r>
      <w:r>
        <w:rPr>
          <w:spacing w:val="13"/>
          <w:sz w:val="22"/>
        </w:rPr>
        <w:t>and </w:t>
      </w:r>
      <w:r>
        <w:rPr>
          <w:sz w:val="22"/>
        </w:rPr>
        <w:t>Building </w:t>
      </w:r>
      <w:r>
        <w:rPr>
          <w:spacing w:val="13"/>
          <w:sz w:val="22"/>
        </w:rPr>
        <w:t>Technology </w:t>
      </w:r>
      <w:r>
        <w:rPr>
          <w:sz w:val="22"/>
        </w:rPr>
        <w:t>as early</w:t>
      </w:r>
      <w:r>
        <w:rPr>
          <w:spacing w:val="16"/>
          <w:sz w:val="22"/>
        </w:rPr>
        <w:t> </w:t>
      </w:r>
      <w:r>
        <w:rPr>
          <w:sz w:val="22"/>
        </w:rPr>
        <w:t>as</w:t>
      </w:r>
      <w:r>
        <w:rPr>
          <w:spacing w:val="-1"/>
          <w:sz w:val="22"/>
        </w:rPr>
        <w:t> </w:t>
      </w:r>
      <w:r>
        <w:rPr>
          <w:sz w:val="22"/>
        </w:rPr>
        <w:t>1889. </w:t>
      </w:r>
      <w:r>
        <w:rPr>
          <w:spacing w:val="12"/>
          <w:sz w:val="22"/>
        </w:rPr>
        <w:t>Many </w:t>
      </w:r>
      <w:r>
        <w:rPr>
          <w:sz w:val="22"/>
        </w:rPr>
        <w:t>of </w:t>
      </w:r>
      <w:r>
        <w:rPr>
          <w:spacing w:val="9"/>
          <w:sz w:val="22"/>
        </w:rPr>
        <w:t>the </w:t>
      </w:r>
      <w:r>
        <w:rPr>
          <w:spacing w:val="11"/>
          <w:sz w:val="22"/>
        </w:rPr>
        <w:t>older</w:t>
      </w:r>
    </w:p>
    <w:p>
      <w:pPr>
        <w:spacing w:line="292" w:lineRule="auto" w:before="4"/>
        <w:ind w:left="448" w:right="642" w:firstLine="5"/>
        <w:jc w:val="left"/>
        <w:rPr>
          <w:sz w:val="22"/>
        </w:rPr>
      </w:pPr>
      <w:r>
        <w:rPr>
          <w:spacing w:val="9"/>
          <w:sz w:val="22"/>
        </w:rPr>
        <w:t>buildings</w:t>
      </w:r>
      <w:r>
        <w:rPr>
          <w:spacing w:val="-4"/>
          <w:sz w:val="22"/>
        </w:rPr>
        <w:t> </w:t>
      </w:r>
      <w:r>
        <w:rPr>
          <w:sz w:val="22"/>
        </w:rPr>
        <w:t>on c</w:t>
      </w:r>
      <w:r>
        <w:rPr>
          <w:spacing w:val="-30"/>
          <w:sz w:val="22"/>
        </w:rPr>
        <w:t> </w:t>
      </w:r>
      <w:r>
        <w:rPr>
          <w:spacing w:val="12"/>
          <w:sz w:val="22"/>
        </w:rPr>
        <w:t>ampus,</w:t>
      </w:r>
      <w:r>
        <w:rPr>
          <w:spacing w:val="-11"/>
          <w:sz w:val="22"/>
        </w:rPr>
        <w:t> </w:t>
      </w:r>
      <w:r>
        <w:rPr>
          <w:spacing w:val="11"/>
          <w:sz w:val="22"/>
        </w:rPr>
        <w:t>including</w:t>
      </w:r>
      <w:r>
        <w:rPr>
          <w:spacing w:val="2"/>
          <w:sz w:val="22"/>
        </w:rPr>
        <w:t> </w:t>
      </w:r>
      <w:r>
        <w:rPr>
          <w:sz w:val="22"/>
        </w:rPr>
        <w:t>Bemis</w:t>
      </w:r>
      <w:r>
        <w:rPr>
          <w:spacing w:val="-11"/>
          <w:sz w:val="22"/>
        </w:rPr>
        <w:t> </w:t>
      </w:r>
      <w:r>
        <w:rPr>
          <w:spacing w:val="11"/>
          <w:sz w:val="22"/>
        </w:rPr>
        <w:t>Laboratories,</w:t>
      </w:r>
      <w:r>
        <w:rPr>
          <w:spacing w:val="-3"/>
          <w:sz w:val="22"/>
        </w:rPr>
        <w:t> </w:t>
      </w:r>
      <w:r>
        <w:rPr>
          <w:spacing w:val="12"/>
          <w:sz w:val="22"/>
        </w:rPr>
        <w:t>Memorial</w:t>
      </w:r>
      <w:r>
        <w:rPr>
          <w:sz w:val="22"/>
        </w:rPr>
        <w:t> </w:t>
      </w:r>
      <w:r>
        <w:rPr>
          <w:spacing w:val="11"/>
          <w:sz w:val="22"/>
        </w:rPr>
        <w:t>Chapel,</w:t>
      </w:r>
      <w:r>
        <w:rPr>
          <w:spacing w:val="1"/>
          <w:sz w:val="22"/>
        </w:rPr>
        <w:t> </w:t>
      </w:r>
      <w:r>
        <w:rPr>
          <w:spacing w:val="13"/>
          <w:sz w:val="22"/>
        </w:rPr>
        <w:t>and</w:t>
      </w:r>
      <w:r>
        <w:rPr>
          <w:spacing w:val="11"/>
          <w:sz w:val="22"/>
        </w:rPr>
        <w:t> </w:t>
      </w:r>
      <w:r>
        <w:rPr>
          <w:spacing w:val="17"/>
          <w:sz w:val="22"/>
        </w:rPr>
        <w:t>Ogden</w:t>
      </w:r>
      <w:r>
        <w:rPr>
          <w:spacing w:val="-5"/>
          <w:sz w:val="22"/>
        </w:rPr>
        <w:t> </w:t>
      </w:r>
      <w:r>
        <w:rPr>
          <w:sz w:val="22"/>
        </w:rPr>
        <w:t>Hall </w:t>
      </w:r>
      <w:r>
        <w:rPr>
          <w:spacing w:val="10"/>
          <w:sz w:val="22"/>
        </w:rPr>
        <w:t>Auditorium</w:t>
      </w:r>
      <w:r>
        <w:rPr>
          <w:spacing w:val="40"/>
          <w:sz w:val="22"/>
        </w:rPr>
        <w:t> </w:t>
      </w:r>
      <w:r>
        <w:rPr>
          <w:spacing w:val="10"/>
          <w:sz w:val="22"/>
        </w:rPr>
        <w:t>were</w:t>
      </w:r>
      <w:r>
        <w:rPr>
          <w:spacing w:val="40"/>
          <w:sz w:val="22"/>
        </w:rPr>
        <w:t> </w:t>
      </w:r>
      <w:r>
        <w:rPr>
          <w:sz w:val="22"/>
        </w:rPr>
        <w:t>either</w:t>
      </w:r>
      <w:r>
        <w:rPr>
          <w:spacing w:val="13"/>
          <w:sz w:val="22"/>
        </w:rPr>
        <w:t> designed</w:t>
      </w:r>
      <w:r>
        <w:rPr>
          <w:spacing w:val="40"/>
          <w:sz w:val="22"/>
        </w:rPr>
        <w:t> </w:t>
      </w:r>
      <w:r>
        <w:rPr>
          <w:sz w:val="22"/>
        </w:rPr>
        <w:t>by</w:t>
      </w:r>
      <w:r>
        <w:rPr>
          <w:spacing w:val="28"/>
          <w:sz w:val="22"/>
        </w:rPr>
        <w:t> </w:t>
      </w:r>
      <w:r>
        <w:rPr>
          <w:sz w:val="22"/>
        </w:rPr>
        <w:t>fa</w:t>
      </w:r>
      <w:r>
        <w:rPr>
          <w:spacing w:val="-24"/>
          <w:sz w:val="22"/>
        </w:rPr>
        <w:t> </w:t>
      </w:r>
      <w:r>
        <w:rPr>
          <w:sz w:val="22"/>
        </w:rPr>
        <w:t>culty</w:t>
      </w:r>
      <w:r>
        <w:rPr>
          <w:spacing w:val="38"/>
          <w:sz w:val="22"/>
        </w:rPr>
        <w:t> </w:t>
      </w:r>
      <w:r>
        <w:rPr>
          <w:sz w:val="22"/>
        </w:rPr>
        <w:t>or</w:t>
      </w:r>
      <w:r>
        <w:rPr>
          <w:spacing w:val="35"/>
          <w:sz w:val="22"/>
        </w:rPr>
        <w:t> </w:t>
      </w:r>
      <w:r>
        <w:rPr>
          <w:sz w:val="22"/>
        </w:rPr>
        <w:t>built</w:t>
      </w:r>
      <w:r>
        <w:rPr>
          <w:spacing w:val="40"/>
          <w:sz w:val="22"/>
        </w:rPr>
        <w:t> </w:t>
      </w:r>
      <w:r>
        <w:rPr>
          <w:sz w:val="22"/>
        </w:rPr>
        <w:t>by</w:t>
      </w:r>
      <w:r>
        <w:rPr>
          <w:spacing w:val="28"/>
          <w:sz w:val="22"/>
        </w:rPr>
        <w:t> </w:t>
      </w:r>
      <w:r>
        <w:rPr>
          <w:sz w:val="22"/>
        </w:rPr>
        <w:t>fa</w:t>
      </w:r>
      <w:r>
        <w:rPr>
          <w:spacing w:val="-21"/>
          <w:sz w:val="22"/>
        </w:rPr>
        <w:t> </w:t>
      </w:r>
      <w:r>
        <w:rPr>
          <w:sz w:val="22"/>
        </w:rPr>
        <w:t>culty</w:t>
      </w:r>
      <w:r>
        <w:rPr>
          <w:spacing w:val="13"/>
          <w:sz w:val="22"/>
        </w:rPr>
        <w:t> and </w:t>
      </w:r>
      <w:r>
        <w:rPr>
          <w:spacing w:val="10"/>
          <w:sz w:val="22"/>
        </w:rPr>
        <w:t>students.</w:t>
      </w:r>
    </w:p>
    <w:p>
      <w:pPr>
        <w:pStyle w:val="BodyText"/>
        <w:spacing w:before="1"/>
        <w:rPr>
          <w:sz w:val="27"/>
        </w:rPr>
      </w:pPr>
    </w:p>
    <w:p>
      <w:pPr>
        <w:spacing w:line="295" w:lineRule="auto" w:before="0"/>
        <w:ind w:left="442" w:right="846" w:firstLine="5"/>
        <w:jc w:val="both"/>
        <w:rPr>
          <w:sz w:val="22"/>
        </w:rPr>
      </w:pPr>
      <w:r>
        <w:rPr>
          <w:spacing w:val="12"/>
          <w:sz w:val="22"/>
        </w:rPr>
        <w:t>Architecture</w:t>
      </w:r>
      <w:r>
        <w:rPr>
          <w:spacing w:val="11"/>
          <w:sz w:val="22"/>
        </w:rPr>
        <w:t> </w:t>
      </w:r>
      <w:r>
        <w:rPr>
          <w:sz w:val="22"/>
        </w:rPr>
        <w:t>as a </w:t>
      </w:r>
      <w:r>
        <w:rPr>
          <w:spacing w:val="15"/>
          <w:sz w:val="22"/>
        </w:rPr>
        <w:t>separate</w:t>
      </w:r>
      <w:r>
        <w:rPr>
          <w:spacing w:val="11"/>
          <w:sz w:val="22"/>
        </w:rPr>
        <w:t> </w:t>
      </w:r>
      <w:r>
        <w:rPr>
          <w:spacing w:val="13"/>
          <w:sz w:val="22"/>
        </w:rPr>
        <w:t>and </w:t>
      </w:r>
      <w:r>
        <w:rPr>
          <w:spacing w:val="9"/>
          <w:sz w:val="22"/>
        </w:rPr>
        <w:t>distinct</w:t>
      </w:r>
      <w:r>
        <w:rPr>
          <w:spacing w:val="-4"/>
          <w:sz w:val="22"/>
        </w:rPr>
        <w:t> </w:t>
      </w:r>
      <w:r>
        <w:rPr>
          <w:spacing w:val="11"/>
          <w:sz w:val="22"/>
        </w:rPr>
        <w:t>study</w:t>
      </w:r>
      <w:r>
        <w:rPr>
          <w:spacing w:val="-4"/>
          <w:sz w:val="22"/>
        </w:rPr>
        <w:t> </w:t>
      </w:r>
      <w:r>
        <w:rPr>
          <w:spacing w:val="11"/>
          <w:sz w:val="22"/>
        </w:rPr>
        <w:t>has</w:t>
      </w:r>
      <w:r>
        <w:rPr>
          <w:spacing w:val="-9"/>
          <w:sz w:val="22"/>
        </w:rPr>
        <w:t> </w:t>
      </w:r>
      <w:r>
        <w:rPr>
          <w:sz w:val="22"/>
        </w:rPr>
        <w:t>its </w:t>
      </w:r>
      <w:r>
        <w:rPr>
          <w:spacing w:val="11"/>
          <w:sz w:val="22"/>
        </w:rPr>
        <w:t>beginnings</w:t>
      </w:r>
      <w:r>
        <w:rPr>
          <w:spacing w:val="-9"/>
          <w:sz w:val="22"/>
        </w:rPr>
        <w:t> </w:t>
      </w:r>
      <w:r>
        <w:rPr>
          <w:sz w:val="22"/>
        </w:rPr>
        <w:t>in the</w:t>
      </w:r>
      <w:r>
        <w:rPr>
          <w:spacing w:val="-1"/>
          <w:sz w:val="22"/>
        </w:rPr>
        <w:t> </w:t>
      </w:r>
      <w:r>
        <w:rPr>
          <w:sz w:val="22"/>
        </w:rPr>
        <w:t>1930’s </w:t>
      </w:r>
      <w:r>
        <w:rPr>
          <w:spacing w:val="12"/>
          <w:sz w:val="22"/>
        </w:rPr>
        <w:t>when</w:t>
      </w:r>
      <w:r>
        <w:rPr>
          <w:spacing w:val="1"/>
          <w:sz w:val="22"/>
        </w:rPr>
        <w:t> </w:t>
      </w:r>
      <w:r>
        <w:rPr>
          <w:spacing w:val="9"/>
          <w:sz w:val="22"/>
        </w:rPr>
        <w:t>the </w:t>
      </w:r>
      <w:r>
        <w:rPr>
          <w:sz w:val="22"/>
        </w:rPr>
        <w:t>Division of </w:t>
      </w:r>
      <w:r>
        <w:rPr>
          <w:spacing w:val="13"/>
          <w:sz w:val="22"/>
        </w:rPr>
        <w:t>Technology </w:t>
      </w:r>
      <w:r>
        <w:rPr>
          <w:sz w:val="22"/>
        </w:rPr>
        <w:t>a</w:t>
      </w:r>
      <w:r>
        <w:rPr>
          <w:spacing w:val="-29"/>
          <w:sz w:val="22"/>
        </w:rPr>
        <w:t> </w:t>
      </w:r>
      <w:r>
        <w:rPr>
          <w:sz w:val="22"/>
        </w:rPr>
        <w:t>d</w:t>
      </w:r>
      <w:r>
        <w:rPr>
          <w:spacing w:val="-29"/>
          <w:sz w:val="22"/>
        </w:rPr>
        <w:t> </w:t>
      </w:r>
      <w:r>
        <w:rPr>
          <w:spacing w:val="16"/>
          <w:sz w:val="22"/>
        </w:rPr>
        <w:t>ded </w:t>
      </w:r>
      <w:r>
        <w:rPr>
          <w:sz w:val="22"/>
        </w:rPr>
        <w:t>c</w:t>
      </w:r>
      <w:r>
        <w:rPr>
          <w:spacing w:val="-29"/>
          <w:sz w:val="22"/>
        </w:rPr>
        <w:t> </w:t>
      </w:r>
      <w:r>
        <w:rPr>
          <w:sz w:val="22"/>
        </w:rPr>
        <w:t>ourse</w:t>
      </w:r>
      <w:r>
        <w:rPr>
          <w:spacing w:val="34"/>
          <w:sz w:val="22"/>
        </w:rPr>
        <w:t> </w:t>
      </w:r>
      <w:r>
        <w:rPr>
          <w:sz w:val="22"/>
        </w:rPr>
        <w:t>work in </w:t>
      </w:r>
      <w:r>
        <w:rPr>
          <w:spacing w:val="13"/>
          <w:sz w:val="22"/>
        </w:rPr>
        <w:t>architectural </w:t>
      </w:r>
      <w:r>
        <w:rPr>
          <w:spacing w:val="10"/>
          <w:sz w:val="22"/>
        </w:rPr>
        <w:t>design </w:t>
      </w:r>
      <w:r>
        <w:rPr>
          <w:sz w:val="22"/>
        </w:rPr>
        <w:t>to </w:t>
      </w:r>
      <w:r>
        <w:rPr>
          <w:spacing w:val="9"/>
          <w:sz w:val="22"/>
        </w:rPr>
        <w:t>the </w:t>
      </w:r>
      <w:r>
        <w:rPr>
          <w:spacing w:val="13"/>
          <w:sz w:val="22"/>
        </w:rPr>
        <w:t>technic</w:t>
      </w:r>
      <w:r>
        <w:rPr>
          <w:spacing w:val="-29"/>
          <w:sz w:val="22"/>
        </w:rPr>
        <w:t> </w:t>
      </w:r>
      <w:r>
        <w:rPr>
          <w:sz w:val="22"/>
        </w:rPr>
        <w:t>al</w:t>
      </w:r>
    </w:p>
    <w:p>
      <w:pPr>
        <w:spacing w:line="292" w:lineRule="auto" w:before="0"/>
        <w:ind w:left="440" w:right="863" w:firstLine="16"/>
        <w:jc w:val="both"/>
        <w:rPr>
          <w:sz w:val="22"/>
        </w:rPr>
      </w:pPr>
      <w:r>
        <w:rPr>
          <w:sz w:val="22"/>
        </w:rPr>
        <w:t>c</w:t>
      </w:r>
      <w:r>
        <w:rPr>
          <w:spacing w:val="-16"/>
          <w:sz w:val="22"/>
        </w:rPr>
        <w:t> </w:t>
      </w:r>
      <w:r>
        <w:rPr>
          <w:sz w:val="22"/>
        </w:rPr>
        <w:t>ourses</w:t>
      </w:r>
      <w:r>
        <w:rPr>
          <w:spacing w:val="-15"/>
          <w:sz w:val="22"/>
        </w:rPr>
        <w:t> </w:t>
      </w:r>
      <w:r>
        <w:rPr>
          <w:spacing w:val="13"/>
          <w:sz w:val="22"/>
        </w:rPr>
        <w:t>already</w:t>
      </w:r>
      <w:r>
        <w:rPr>
          <w:spacing w:val="-15"/>
          <w:sz w:val="22"/>
        </w:rPr>
        <w:t> </w:t>
      </w:r>
      <w:r>
        <w:rPr>
          <w:spacing w:val="10"/>
          <w:sz w:val="22"/>
        </w:rPr>
        <w:t>offered</w:t>
      </w:r>
      <w:r>
        <w:rPr>
          <w:spacing w:val="9"/>
          <w:sz w:val="22"/>
        </w:rPr>
        <w:t> </w:t>
      </w:r>
      <w:r>
        <w:rPr>
          <w:sz w:val="22"/>
        </w:rPr>
        <w:t>in </w:t>
      </w:r>
      <w:r>
        <w:rPr>
          <w:spacing w:val="16"/>
          <w:sz w:val="22"/>
        </w:rPr>
        <w:t>mechanic</w:t>
      </w:r>
      <w:r>
        <w:rPr>
          <w:spacing w:val="-16"/>
          <w:sz w:val="22"/>
        </w:rPr>
        <w:t> </w:t>
      </w:r>
      <w:r>
        <w:rPr>
          <w:sz w:val="22"/>
        </w:rPr>
        <w:t>al </w:t>
      </w:r>
      <w:r>
        <w:rPr>
          <w:spacing w:val="12"/>
          <w:sz w:val="22"/>
        </w:rPr>
        <w:t>drawing.</w:t>
      </w:r>
      <w:r>
        <w:rPr>
          <w:spacing w:val="-7"/>
          <w:sz w:val="22"/>
        </w:rPr>
        <w:t> </w:t>
      </w:r>
      <w:r>
        <w:rPr>
          <w:sz w:val="22"/>
        </w:rPr>
        <w:t>In 1934,</w:t>
      </w:r>
      <w:r>
        <w:rPr>
          <w:spacing w:val="-3"/>
          <w:sz w:val="22"/>
        </w:rPr>
        <w:t> </w:t>
      </w:r>
      <w:r>
        <w:rPr>
          <w:sz w:val="22"/>
        </w:rPr>
        <w:t>William H. Moses,</w:t>
      </w:r>
      <w:r>
        <w:rPr>
          <w:spacing w:val="-5"/>
          <w:sz w:val="22"/>
        </w:rPr>
        <w:t> </w:t>
      </w:r>
      <w:r>
        <w:rPr>
          <w:sz w:val="22"/>
        </w:rPr>
        <w:t>Jr. </w:t>
      </w:r>
      <w:r>
        <w:rPr>
          <w:spacing w:val="17"/>
          <w:sz w:val="22"/>
        </w:rPr>
        <w:t>bec</w:t>
      </w:r>
      <w:r>
        <w:rPr>
          <w:spacing w:val="-16"/>
          <w:sz w:val="22"/>
        </w:rPr>
        <w:t> </w:t>
      </w:r>
      <w:r>
        <w:rPr>
          <w:spacing w:val="15"/>
          <w:sz w:val="22"/>
        </w:rPr>
        <w:t>ame </w:t>
      </w:r>
      <w:r>
        <w:rPr>
          <w:spacing w:val="9"/>
          <w:sz w:val="22"/>
        </w:rPr>
        <w:t>the</w:t>
      </w:r>
      <w:r>
        <w:rPr>
          <w:spacing w:val="-16"/>
          <w:sz w:val="22"/>
        </w:rPr>
        <w:t> </w:t>
      </w:r>
      <w:r>
        <w:rPr>
          <w:sz w:val="22"/>
        </w:rPr>
        <w:t>first professionally </w:t>
      </w:r>
      <w:r>
        <w:rPr>
          <w:spacing w:val="11"/>
          <w:sz w:val="22"/>
        </w:rPr>
        <w:t>trained </w:t>
      </w:r>
      <w:r>
        <w:rPr>
          <w:sz w:val="22"/>
        </w:rPr>
        <w:t>Afric</w:t>
      </w:r>
      <w:r>
        <w:rPr>
          <w:spacing w:val="-16"/>
          <w:sz w:val="22"/>
        </w:rPr>
        <w:t> </w:t>
      </w:r>
      <w:r>
        <w:rPr>
          <w:spacing w:val="10"/>
          <w:sz w:val="22"/>
        </w:rPr>
        <w:t>an Americ</w:t>
      </w:r>
      <w:r>
        <w:rPr>
          <w:spacing w:val="-16"/>
          <w:sz w:val="22"/>
        </w:rPr>
        <w:t> </w:t>
      </w:r>
      <w:r>
        <w:rPr>
          <w:sz w:val="22"/>
        </w:rPr>
        <w:t>an </w:t>
      </w:r>
      <w:r>
        <w:rPr>
          <w:spacing w:val="13"/>
          <w:sz w:val="22"/>
        </w:rPr>
        <w:t>Architect </w:t>
      </w:r>
      <w:r>
        <w:rPr>
          <w:sz w:val="22"/>
        </w:rPr>
        <w:t>to join </w:t>
      </w:r>
      <w:r>
        <w:rPr>
          <w:spacing w:val="9"/>
          <w:sz w:val="22"/>
        </w:rPr>
        <w:t>the </w:t>
      </w:r>
      <w:r>
        <w:rPr>
          <w:sz w:val="22"/>
        </w:rPr>
        <w:t>fa</w:t>
      </w:r>
      <w:r>
        <w:rPr>
          <w:spacing w:val="-16"/>
          <w:sz w:val="22"/>
        </w:rPr>
        <w:t> </w:t>
      </w:r>
      <w:r>
        <w:rPr>
          <w:sz w:val="22"/>
        </w:rPr>
        <w:t>culty, </w:t>
      </w:r>
      <w:r>
        <w:rPr>
          <w:spacing w:val="12"/>
          <w:sz w:val="22"/>
        </w:rPr>
        <w:t>repla</w:t>
      </w:r>
      <w:r>
        <w:rPr>
          <w:spacing w:val="-16"/>
          <w:sz w:val="22"/>
        </w:rPr>
        <w:t> </w:t>
      </w:r>
      <w:r>
        <w:rPr>
          <w:spacing w:val="9"/>
          <w:sz w:val="22"/>
        </w:rPr>
        <w:t>cing </w:t>
      </w:r>
      <w:r>
        <w:rPr>
          <w:spacing w:val="10"/>
          <w:sz w:val="22"/>
        </w:rPr>
        <w:t>Theo </w:t>
      </w:r>
      <w:r>
        <w:rPr>
          <w:spacing w:val="9"/>
          <w:sz w:val="22"/>
        </w:rPr>
        <w:t>Ballou </w:t>
      </w:r>
      <w:r>
        <w:rPr>
          <w:sz w:val="22"/>
        </w:rPr>
        <w:t>White. </w:t>
      </w:r>
      <w:r>
        <w:rPr>
          <w:spacing w:val="10"/>
          <w:sz w:val="22"/>
        </w:rPr>
        <w:t>Through </w:t>
      </w:r>
      <w:r>
        <w:rPr>
          <w:sz w:val="22"/>
        </w:rPr>
        <w:t>William </w:t>
      </w:r>
      <w:r>
        <w:rPr>
          <w:spacing w:val="10"/>
          <w:sz w:val="22"/>
        </w:rPr>
        <w:t>Moses’ </w:t>
      </w:r>
      <w:r>
        <w:rPr>
          <w:sz w:val="22"/>
        </w:rPr>
        <w:t>initiative, a full four </w:t>
      </w:r>
      <w:r>
        <w:rPr>
          <w:spacing w:val="12"/>
          <w:sz w:val="22"/>
        </w:rPr>
        <w:t>year </w:t>
      </w:r>
      <w:r>
        <w:rPr>
          <w:spacing w:val="9"/>
          <w:sz w:val="22"/>
        </w:rPr>
        <w:t>professional</w:t>
      </w:r>
    </w:p>
    <w:p>
      <w:pPr>
        <w:spacing w:before="5"/>
        <w:ind w:left="456" w:right="0" w:firstLine="0"/>
        <w:jc w:val="both"/>
        <w:rPr>
          <w:sz w:val="22"/>
        </w:rPr>
      </w:pPr>
      <w:r>
        <w:rPr>
          <w:spacing w:val="9"/>
          <w:sz w:val="22"/>
        </w:rPr>
        <w:t>curriculum</w:t>
      </w:r>
      <w:r>
        <w:rPr>
          <w:spacing w:val="4"/>
          <w:sz w:val="22"/>
        </w:rPr>
        <w:t> </w:t>
      </w:r>
      <w:r>
        <w:rPr>
          <w:spacing w:val="12"/>
          <w:sz w:val="22"/>
        </w:rPr>
        <w:t>was</w:t>
      </w:r>
      <w:r>
        <w:rPr>
          <w:sz w:val="22"/>
        </w:rPr>
        <w:t> </w:t>
      </w:r>
      <w:r>
        <w:rPr>
          <w:spacing w:val="10"/>
          <w:sz w:val="22"/>
        </w:rPr>
        <w:t>established</w:t>
      </w:r>
      <w:r>
        <w:rPr>
          <w:spacing w:val="12"/>
          <w:sz w:val="22"/>
        </w:rPr>
        <w:t> </w:t>
      </w:r>
      <w:r>
        <w:rPr>
          <w:sz w:val="22"/>
        </w:rPr>
        <w:t>within</w:t>
      </w:r>
      <w:r>
        <w:rPr>
          <w:spacing w:val="1"/>
          <w:sz w:val="22"/>
        </w:rPr>
        <w:t> </w:t>
      </w:r>
      <w:r>
        <w:rPr>
          <w:spacing w:val="9"/>
          <w:sz w:val="22"/>
        </w:rPr>
        <w:t>the</w:t>
      </w:r>
      <w:r>
        <w:rPr>
          <w:spacing w:val="1"/>
          <w:sz w:val="22"/>
        </w:rPr>
        <w:t> </w:t>
      </w:r>
      <w:r>
        <w:rPr>
          <w:sz w:val="22"/>
        </w:rPr>
        <w:t>Division</w:t>
      </w:r>
      <w:r>
        <w:rPr>
          <w:spacing w:val="4"/>
          <w:sz w:val="22"/>
        </w:rPr>
        <w:t> </w:t>
      </w:r>
      <w:r>
        <w:rPr>
          <w:sz w:val="22"/>
        </w:rPr>
        <w:t>of</w:t>
      </w:r>
      <w:r>
        <w:rPr>
          <w:spacing w:val="-7"/>
          <w:sz w:val="22"/>
        </w:rPr>
        <w:t> </w:t>
      </w:r>
      <w:r>
        <w:rPr>
          <w:spacing w:val="13"/>
          <w:sz w:val="22"/>
        </w:rPr>
        <w:t>Technology</w:t>
      </w:r>
      <w:r>
        <w:rPr>
          <w:spacing w:val="-7"/>
          <w:sz w:val="22"/>
        </w:rPr>
        <w:t> </w:t>
      </w:r>
      <w:r>
        <w:rPr>
          <w:sz w:val="22"/>
        </w:rPr>
        <w:t>in</w:t>
      </w:r>
      <w:r>
        <w:rPr>
          <w:spacing w:val="-5"/>
          <w:sz w:val="22"/>
        </w:rPr>
        <w:t> </w:t>
      </w:r>
      <w:r>
        <w:rPr>
          <w:sz w:val="22"/>
        </w:rPr>
        <w:t>1941.</w:t>
      </w:r>
      <w:r>
        <w:rPr>
          <w:spacing w:val="-12"/>
          <w:sz w:val="22"/>
        </w:rPr>
        <w:t> </w:t>
      </w:r>
      <w:r>
        <w:rPr>
          <w:sz w:val="22"/>
        </w:rPr>
        <w:t>Ba</w:t>
      </w:r>
      <w:r>
        <w:rPr>
          <w:spacing w:val="-31"/>
          <w:sz w:val="22"/>
        </w:rPr>
        <w:t> </w:t>
      </w:r>
      <w:r>
        <w:rPr>
          <w:spacing w:val="11"/>
          <w:sz w:val="22"/>
        </w:rPr>
        <w:t>chelor</w:t>
      </w:r>
      <w:r>
        <w:rPr>
          <w:sz w:val="22"/>
        </w:rPr>
        <w:t> </w:t>
      </w:r>
      <w:r>
        <w:rPr>
          <w:spacing w:val="-5"/>
          <w:sz w:val="22"/>
        </w:rPr>
        <w:t>of</w:t>
      </w:r>
    </w:p>
    <w:p>
      <w:pPr>
        <w:spacing w:before="56"/>
        <w:ind w:left="440" w:right="0" w:firstLine="0"/>
        <w:jc w:val="both"/>
        <w:rPr>
          <w:sz w:val="22"/>
        </w:rPr>
      </w:pPr>
      <w:r>
        <w:rPr>
          <w:spacing w:val="12"/>
          <w:sz w:val="22"/>
        </w:rPr>
        <w:t>Scienc</w:t>
      </w:r>
      <w:r>
        <w:rPr>
          <w:spacing w:val="-34"/>
          <w:sz w:val="22"/>
        </w:rPr>
        <w:t> </w:t>
      </w:r>
      <w:r>
        <w:rPr>
          <w:sz w:val="22"/>
        </w:rPr>
        <w:t>e</w:t>
      </w:r>
      <w:r>
        <w:rPr>
          <w:spacing w:val="6"/>
          <w:sz w:val="22"/>
        </w:rPr>
        <w:t> </w:t>
      </w:r>
      <w:r>
        <w:rPr>
          <w:spacing w:val="12"/>
          <w:sz w:val="22"/>
        </w:rPr>
        <w:t>degrees</w:t>
      </w:r>
      <w:r>
        <w:rPr>
          <w:sz w:val="22"/>
        </w:rPr>
        <w:t> </w:t>
      </w:r>
      <w:r>
        <w:rPr>
          <w:spacing w:val="10"/>
          <w:sz w:val="22"/>
        </w:rPr>
        <w:t>were</w:t>
      </w:r>
      <w:r>
        <w:rPr>
          <w:spacing w:val="8"/>
          <w:sz w:val="22"/>
        </w:rPr>
        <w:t> </w:t>
      </w:r>
      <w:r>
        <w:rPr>
          <w:spacing w:val="10"/>
          <w:sz w:val="22"/>
        </w:rPr>
        <w:t>given</w:t>
      </w:r>
      <w:r>
        <w:rPr>
          <w:sz w:val="22"/>
        </w:rPr>
        <w:t> to</w:t>
      </w:r>
      <w:r>
        <w:rPr>
          <w:spacing w:val="-2"/>
          <w:sz w:val="22"/>
        </w:rPr>
        <w:t> </w:t>
      </w:r>
      <w:r>
        <w:rPr>
          <w:spacing w:val="12"/>
          <w:sz w:val="22"/>
        </w:rPr>
        <w:t>students</w:t>
      </w:r>
      <w:r>
        <w:rPr>
          <w:sz w:val="22"/>
        </w:rPr>
        <w:t> </w:t>
      </w:r>
      <w:r>
        <w:rPr>
          <w:spacing w:val="9"/>
          <w:sz w:val="22"/>
        </w:rPr>
        <w:t>majoring</w:t>
      </w:r>
      <w:r>
        <w:rPr>
          <w:spacing w:val="-1"/>
          <w:sz w:val="22"/>
        </w:rPr>
        <w:t> </w:t>
      </w:r>
      <w:r>
        <w:rPr>
          <w:sz w:val="22"/>
        </w:rPr>
        <w:t>in</w:t>
      </w:r>
      <w:r>
        <w:rPr>
          <w:spacing w:val="6"/>
          <w:sz w:val="22"/>
        </w:rPr>
        <w:t> </w:t>
      </w:r>
      <w:r>
        <w:rPr>
          <w:spacing w:val="12"/>
          <w:sz w:val="22"/>
        </w:rPr>
        <w:t>architecture</w:t>
      </w:r>
      <w:r>
        <w:rPr>
          <w:spacing w:val="1"/>
          <w:sz w:val="22"/>
        </w:rPr>
        <w:t> </w:t>
      </w:r>
      <w:r>
        <w:rPr>
          <w:sz w:val="22"/>
        </w:rPr>
        <w:t>for</w:t>
      </w:r>
      <w:r>
        <w:rPr>
          <w:spacing w:val="-6"/>
          <w:sz w:val="22"/>
        </w:rPr>
        <w:t> </w:t>
      </w:r>
      <w:r>
        <w:rPr>
          <w:spacing w:val="9"/>
          <w:sz w:val="22"/>
        </w:rPr>
        <w:t>the</w:t>
      </w:r>
      <w:r>
        <w:rPr>
          <w:spacing w:val="1"/>
          <w:sz w:val="22"/>
        </w:rPr>
        <w:t> </w:t>
      </w:r>
      <w:r>
        <w:rPr>
          <w:sz w:val="22"/>
        </w:rPr>
        <w:t>first</w:t>
      </w:r>
      <w:r>
        <w:rPr>
          <w:spacing w:val="1"/>
          <w:sz w:val="22"/>
        </w:rPr>
        <w:t> </w:t>
      </w:r>
      <w:r>
        <w:rPr>
          <w:spacing w:val="10"/>
          <w:sz w:val="22"/>
        </w:rPr>
        <w:t>time</w:t>
      </w:r>
      <w:r>
        <w:rPr>
          <w:spacing w:val="-4"/>
          <w:sz w:val="22"/>
        </w:rPr>
        <w:t> </w:t>
      </w:r>
      <w:r>
        <w:rPr>
          <w:spacing w:val="-5"/>
          <w:sz w:val="22"/>
        </w:rPr>
        <w:t>in</w:t>
      </w:r>
    </w:p>
    <w:p>
      <w:pPr>
        <w:spacing w:after="0"/>
        <w:jc w:val="both"/>
        <w:rPr>
          <w:sz w:val="22"/>
        </w:rPr>
        <w:sectPr>
          <w:headerReference w:type="default" r:id="rId289"/>
          <w:footerReference w:type="default" r:id="rId290"/>
          <w:pgSz w:w="12240" w:h="15840"/>
          <w:pgMar w:header="0" w:footer="748" w:top="1400" w:bottom="940" w:left="1000" w:right="820"/>
        </w:sectPr>
      </w:pPr>
    </w:p>
    <w:p>
      <w:pPr>
        <w:spacing w:line="292" w:lineRule="auto" w:before="77"/>
        <w:ind w:left="450" w:right="869" w:hanging="11"/>
        <w:jc w:val="left"/>
        <w:rPr>
          <w:sz w:val="22"/>
        </w:rPr>
      </w:pPr>
      <w:r>
        <w:rPr>
          <w:sz w:val="22"/>
        </w:rPr>
        <w:t>1948. In 1951, </w:t>
      </w:r>
      <w:r>
        <w:rPr>
          <w:spacing w:val="9"/>
          <w:sz w:val="22"/>
        </w:rPr>
        <w:t>the </w:t>
      </w:r>
      <w:r>
        <w:rPr>
          <w:spacing w:val="13"/>
          <w:sz w:val="22"/>
        </w:rPr>
        <w:t>program </w:t>
      </w:r>
      <w:r>
        <w:rPr>
          <w:spacing w:val="12"/>
          <w:sz w:val="22"/>
        </w:rPr>
        <w:t>was</w:t>
      </w:r>
      <w:r>
        <w:rPr>
          <w:spacing w:val="6"/>
          <w:sz w:val="22"/>
        </w:rPr>
        <w:t> </w:t>
      </w:r>
      <w:r>
        <w:rPr>
          <w:spacing w:val="14"/>
          <w:sz w:val="22"/>
        </w:rPr>
        <w:t>lengthened </w:t>
      </w:r>
      <w:r>
        <w:rPr>
          <w:sz w:val="22"/>
        </w:rPr>
        <w:t>to five </w:t>
      </w:r>
      <w:r>
        <w:rPr>
          <w:spacing w:val="9"/>
          <w:sz w:val="22"/>
        </w:rPr>
        <w:t>years</w:t>
      </w:r>
      <w:r>
        <w:rPr>
          <w:spacing w:val="6"/>
          <w:sz w:val="22"/>
        </w:rPr>
        <w:t> </w:t>
      </w:r>
      <w:r>
        <w:rPr>
          <w:sz w:val="22"/>
        </w:rPr>
        <w:t>in </w:t>
      </w:r>
      <w:r>
        <w:rPr>
          <w:spacing w:val="11"/>
          <w:sz w:val="22"/>
        </w:rPr>
        <w:t>rec</w:t>
      </w:r>
      <w:r>
        <w:rPr>
          <w:spacing w:val="-30"/>
          <w:sz w:val="22"/>
        </w:rPr>
        <w:t> </w:t>
      </w:r>
      <w:r>
        <w:rPr>
          <w:spacing w:val="10"/>
          <w:sz w:val="22"/>
        </w:rPr>
        <w:t>ognition </w:t>
      </w:r>
      <w:r>
        <w:rPr>
          <w:sz w:val="22"/>
        </w:rPr>
        <w:t>of </w:t>
      </w:r>
      <w:r>
        <w:rPr>
          <w:spacing w:val="9"/>
          <w:sz w:val="22"/>
        </w:rPr>
        <w:t>the </w:t>
      </w:r>
      <w:r>
        <w:rPr>
          <w:spacing w:val="12"/>
          <w:sz w:val="22"/>
        </w:rPr>
        <w:t>need </w:t>
      </w:r>
      <w:r>
        <w:rPr>
          <w:sz w:val="22"/>
        </w:rPr>
        <w:t>to </w:t>
      </w:r>
      <w:r>
        <w:rPr>
          <w:spacing w:val="12"/>
          <w:sz w:val="22"/>
        </w:rPr>
        <w:t>broa</w:t>
      </w:r>
      <w:r>
        <w:rPr>
          <w:spacing w:val="-33"/>
          <w:sz w:val="22"/>
        </w:rPr>
        <w:t> </w:t>
      </w:r>
      <w:r>
        <w:rPr>
          <w:spacing w:val="12"/>
          <w:sz w:val="22"/>
        </w:rPr>
        <w:t>den </w:t>
      </w:r>
      <w:r>
        <w:rPr>
          <w:spacing w:val="9"/>
          <w:sz w:val="22"/>
        </w:rPr>
        <w:t>the professional </w:t>
      </w:r>
      <w:r>
        <w:rPr>
          <w:spacing w:val="14"/>
          <w:sz w:val="22"/>
        </w:rPr>
        <w:t>aspects</w:t>
      </w:r>
      <w:r>
        <w:rPr>
          <w:spacing w:val="11"/>
          <w:sz w:val="22"/>
        </w:rPr>
        <w:t> </w:t>
      </w:r>
      <w:r>
        <w:rPr>
          <w:sz w:val="22"/>
        </w:rPr>
        <w:t>of </w:t>
      </w:r>
      <w:r>
        <w:rPr>
          <w:spacing w:val="9"/>
          <w:sz w:val="22"/>
        </w:rPr>
        <w:t>the </w:t>
      </w:r>
      <w:r>
        <w:rPr>
          <w:spacing w:val="13"/>
          <w:sz w:val="22"/>
        </w:rPr>
        <w:t>program,</w:t>
      </w:r>
      <w:r>
        <w:rPr>
          <w:spacing w:val="12"/>
          <w:sz w:val="22"/>
        </w:rPr>
        <w:t> </w:t>
      </w:r>
      <w:r>
        <w:rPr>
          <w:spacing w:val="13"/>
          <w:sz w:val="22"/>
        </w:rPr>
        <w:t>and </w:t>
      </w:r>
      <w:r>
        <w:rPr>
          <w:sz w:val="22"/>
        </w:rPr>
        <w:t>to</w:t>
      </w:r>
      <w:r>
        <w:rPr>
          <w:spacing w:val="12"/>
          <w:sz w:val="22"/>
        </w:rPr>
        <w:t> be</w:t>
      </w:r>
      <w:r>
        <w:rPr>
          <w:spacing w:val="10"/>
          <w:sz w:val="22"/>
        </w:rPr>
        <w:t> </w:t>
      </w:r>
      <w:r>
        <w:rPr>
          <w:sz w:val="22"/>
        </w:rPr>
        <w:t>in line</w:t>
      </w:r>
      <w:r>
        <w:rPr>
          <w:spacing w:val="20"/>
          <w:sz w:val="22"/>
        </w:rPr>
        <w:t> </w:t>
      </w:r>
      <w:r>
        <w:rPr>
          <w:sz w:val="22"/>
        </w:rPr>
        <w:t>with </w:t>
      </w:r>
      <w:r>
        <w:rPr>
          <w:spacing w:val="9"/>
          <w:sz w:val="22"/>
        </w:rPr>
        <w:t>the </w:t>
      </w:r>
      <w:r>
        <w:rPr>
          <w:sz w:val="22"/>
        </w:rPr>
        <w:t>exp</w:t>
      </w:r>
      <w:r>
        <w:rPr>
          <w:spacing w:val="-33"/>
          <w:sz w:val="22"/>
        </w:rPr>
        <w:t> </w:t>
      </w:r>
      <w:r>
        <w:rPr>
          <w:sz w:val="22"/>
        </w:rPr>
        <w:t>ansion of </w:t>
      </w:r>
      <w:r>
        <w:rPr>
          <w:spacing w:val="15"/>
          <w:sz w:val="22"/>
        </w:rPr>
        <w:t>undergraduate </w:t>
      </w:r>
      <w:r>
        <w:rPr>
          <w:spacing w:val="13"/>
          <w:sz w:val="22"/>
        </w:rPr>
        <w:t>programs</w:t>
      </w:r>
      <w:r>
        <w:rPr>
          <w:spacing w:val="9"/>
          <w:sz w:val="22"/>
        </w:rPr>
        <w:t> </w:t>
      </w:r>
      <w:r>
        <w:rPr>
          <w:sz w:val="22"/>
        </w:rPr>
        <w:t>in </w:t>
      </w:r>
      <w:r>
        <w:rPr>
          <w:spacing w:val="12"/>
          <w:sz w:val="22"/>
        </w:rPr>
        <w:t>architecture </w:t>
      </w:r>
      <w:r>
        <w:rPr>
          <w:spacing w:val="10"/>
          <w:sz w:val="22"/>
        </w:rPr>
        <w:t>at </w:t>
      </w:r>
      <w:r>
        <w:rPr>
          <w:spacing w:val="11"/>
          <w:sz w:val="22"/>
        </w:rPr>
        <w:t>other</w:t>
      </w:r>
      <w:r>
        <w:rPr>
          <w:spacing w:val="9"/>
          <w:sz w:val="22"/>
        </w:rPr>
        <w:t> </w:t>
      </w:r>
      <w:r>
        <w:rPr>
          <w:sz w:val="22"/>
        </w:rPr>
        <w:t>institutions. In 1965, </w:t>
      </w:r>
      <w:r>
        <w:rPr>
          <w:spacing w:val="10"/>
          <w:sz w:val="22"/>
        </w:rPr>
        <w:t>Bertram</w:t>
      </w:r>
    </w:p>
    <w:p>
      <w:pPr>
        <w:spacing w:before="5"/>
        <w:ind w:left="440" w:right="0" w:firstLine="0"/>
        <w:jc w:val="left"/>
        <w:rPr>
          <w:sz w:val="22"/>
        </w:rPr>
      </w:pPr>
      <w:r>
        <w:rPr>
          <w:spacing w:val="9"/>
          <w:sz w:val="22"/>
        </w:rPr>
        <w:t>Berenson</w:t>
      </w:r>
      <w:r>
        <w:rPr>
          <w:spacing w:val="4"/>
          <w:sz w:val="22"/>
        </w:rPr>
        <w:t> </w:t>
      </w:r>
      <w:r>
        <w:rPr>
          <w:spacing w:val="16"/>
          <w:sz w:val="22"/>
        </w:rPr>
        <w:t>bec</w:t>
      </w:r>
      <w:r>
        <w:rPr>
          <w:spacing w:val="-33"/>
          <w:sz w:val="22"/>
        </w:rPr>
        <w:t> </w:t>
      </w:r>
      <w:r>
        <w:rPr>
          <w:spacing w:val="15"/>
          <w:sz w:val="22"/>
        </w:rPr>
        <w:t>ame</w:t>
      </w:r>
      <w:r>
        <w:rPr>
          <w:spacing w:val="9"/>
          <w:sz w:val="22"/>
        </w:rPr>
        <w:t> the</w:t>
      </w:r>
      <w:r>
        <w:rPr>
          <w:spacing w:val="1"/>
          <w:sz w:val="22"/>
        </w:rPr>
        <w:t> </w:t>
      </w:r>
      <w:r>
        <w:rPr>
          <w:spacing w:val="11"/>
          <w:sz w:val="22"/>
        </w:rPr>
        <w:t>sec</w:t>
      </w:r>
      <w:r>
        <w:rPr>
          <w:spacing w:val="-33"/>
          <w:sz w:val="22"/>
        </w:rPr>
        <w:t> </w:t>
      </w:r>
      <w:r>
        <w:rPr>
          <w:spacing w:val="11"/>
          <w:sz w:val="22"/>
        </w:rPr>
        <w:t>ond</w:t>
      </w:r>
      <w:r>
        <w:rPr>
          <w:spacing w:val="7"/>
          <w:sz w:val="22"/>
        </w:rPr>
        <w:t> </w:t>
      </w:r>
      <w:r>
        <w:rPr>
          <w:spacing w:val="10"/>
          <w:sz w:val="22"/>
        </w:rPr>
        <w:t>Hea</w:t>
      </w:r>
      <w:r>
        <w:rPr>
          <w:spacing w:val="-33"/>
          <w:sz w:val="22"/>
        </w:rPr>
        <w:t> </w:t>
      </w:r>
      <w:r>
        <w:rPr>
          <w:sz w:val="22"/>
        </w:rPr>
        <w:t>d</w:t>
      </w:r>
      <w:r>
        <w:rPr>
          <w:spacing w:val="17"/>
          <w:sz w:val="22"/>
        </w:rPr>
        <w:t> </w:t>
      </w:r>
      <w:r>
        <w:rPr>
          <w:sz w:val="22"/>
        </w:rPr>
        <w:t>of</w:t>
      </w:r>
      <w:r>
        <w:rPr>
          <w:spacing w:val="3"/>
          <w:sz w:val="22"/>
        </w:rPr>
        <w:t> </w:t>
      </w:r>
      <w:r>
        <w:rPr>
          <w:spacing w:val="9"/>
          <w:sz w:val="22"/>
        </w:rPr>
        <w:t>the</w:t>
      </w:r>
      <w:r>
        <w:rPr>
          <w:spacing w:val="16"/>
          <w:sz w:val="22"/>
        </w:rPr>
        <w:t> </w:t>
      </w:r>
      <w:r>
        <w:rPr>
          <w:spacing w:val="14"/>
          <w:sz w:val="22"/>
        </w:rPr>
        <w:t>program</w:t>
      </w:r>
      <w:r>
        <w:rPr>
          <w:spacing w:val="3"/>
          <w:sz w:val="22"/>
        </w:rPr>
        <w:t> </w:t>
      </w:r>
      <w:r>
        <w:rPr>
          <w:sz w:val="22"/>
        </w:rPr>
        <w:t>in</w:t>
      </w:r>
      <w:r>
        <w:rPr>
          <w:spacing w:val="6"/>
          <w:sz w:val="22"/>
        </w:rPr>
        <w:t> </w:t>
      </w:r>
      <w:r>
        <w:rPr>
          <w:spacing w:val="11"/>
          <w:sz w:val="22"/>
        </w:rPr>
        <w:t>Architecture,</w:t>
      </w:r>
      <w:r>
        <w:rPr>
          <w:spacing w:val="3"/>
          <w:sz w:val="22"/>
        </w:rPr>
        <w:t> </w:t>
      </w:r>
      <w:r>
        <w:rPr>
          <w:spacing w:val="13"/>
          <w:sz w:val="22"/>
        </w:rPr>
        <w:t>and</w:t>
      </w:r>
      <w:r>
        <w:rPr>
          <w:spacing w:val="17"/>
          <w:sz w:val="22"/>
        </w:rPr>
        <w:t> </w:t>
      </w:r>
      <w:r>
        <w:rPr>
          <w:spacing w:val="-4"/>
          <w:sz w:val="22"/>
        </w:rPr>
        <w:t>with</w:t>
      </w:r>
    </w:p>
    <w:p>
      <w:pPr>
        <w:spacing w:before="56"/>
        <w:ind w:left="454" w:right="0" w:firstLine="0"/>
        <w:jc w:val="left"/>
        <w:rPr>
          <w:sz w:val="22"/>
        </w:rPr>
      </w:pPr>
      <w:r>
        <w:rPr>
          <w:sz w:val="22"/>
        </w:rPr>
        <w:t>a</w:t>
      </w:r>
      <w:r>
        <w:rPr>
          <w:spacing w:val="-33"/>
          <w:sz w:val="22"/>
        </w:rPr>
        <w:t> </w:t>
      </w:r>
      <w:r>
        <w:rPr>
          <w:spacing w:val="9"/>
          <w:sz w:val="22"/>
        </w:rPr>
        <w:t>dministrative</w:t>
      </w:r>
      <w:r>
        <w:rPr>
          <w:spacing w:val="18"/>
          <w:sz w:val="22"/>
        </w:rPr>
        <w:t> </w:t>
      </w:r>
      <w:r>
        <w:rPr>
          <w:spacing w:val="12"/>
          <w:sz w:val="22"/>
        </w:rPr>
        <w:t>and</w:t>
      </w:r>
      <w:r>
        <w:rPr>
          <w:spacing w:val="15"/>
          <w:sz w:val="22"/>
        </w:rPr>
        <w:t> </w:t>
      </w:r>
      <w:r>
        <w:rPr>
          <w:sz w:val="22"/>
        </w:rPr>
        <w:t>fa</w:t>
      </w:r>
      <w:r>
        <w:rPr>
          <w:spacing w:val="-33"/>
          <w:sz w:val="22"/>
        </w:rPr>
        <w:t> </w:t>
      </w:r>
      <w:r>
        <w:rPr>
          <w:sz w:val="22"/>
        </w:rPr>
        <w:t>culty </w:t>
      </w:r>
      <w:r>
        <w:rPr>
          <w:spacing w:val="12"/>
          <w:sz w:val="22"/>
        </w:rPr>
        <w:t>support,</w:t>
      </w:r>
      <w:r>
        <w:rPr>
          <w:spacing w:val="9"/>
          <w:sz w:val="22"/>
        </w:rPr>
        <w:t> </w:t>
      </w:r>
      <w:r>
        <w:rPr>
          <w:spacing w:val="18"/>
          <w:sz w:val="22"/>
        </w:rPr>
        <w:t>began</w:t>
      </w:r>
      <w:r>
        <w:rPr>
          <w:spacing w:val="8"/>
          <w:sz w:val="22"/>
        </w:rPr>
        <w:t> </w:t>
      </w:r>
      <w:r>
        <w:rPr>
          <w:sz w:val="22"/>
        </w:rPr>
        <w:t>to</w:t>
      </w:r>
      <w:r>
        <w:rPr>
          <w:spacing w:val="7"/>
          <w:sz w:val="22"/>
        </w:rPr>
        <w:t> </w:t>
      </w:r>
      <w:r>
        <w:rPr>
          <w:sz w:val="22"/>
        </w:rPr>
        <w:t>revise</w:t>
      </w:r>
      <w:r>
        <w:rPr>
          <w:spacing w:val="21"/>
          <w:sz w:val="22"/>
        </w:rPr>
        <w:t> </w:t>
      </w:r>
      <w:r>
        <w:rPr>
          <w:spacing w:val="13"/>
          <w:sz w:val="22"/>
        </w:rPr>
        <w:t>and</w:t>
      </w:r>
      <w:r>
        <w:rPr>
          <w:spacing w:val="10"/>
          <w:sz w:val="22"/>
        </w:rPr>
        <w:t> </w:t>
      </w:r>
      <w:r>
        <w:rPr>
          <w:spacing w:val="12"/>
          <w:sz w:val="22"/>
        </w:rPr>
        <w:t>improve</w:t>
      </w:r>
      <w:r>
        <w:rPr>
          <w:spacing w:val="14"/>
          <w:sz w:val="22"/>
        </w:rPr>
        <w:t> </w:t>
      </w:r>
      <w:r>
        <w:rPr>
          <w:spacing w:val="9"/>
          <w:sz w:val="22"/>
        </w:rPr>
        <w:t>the</w:t>
      </w:r>
      <w:r>
        <w:rPr>
          <w:spacing w:val="20"/>
          <w:sz w:val="22"/>
        </w:rPr>
        <w:t> </w:t>
      </w:r>
      <w:r>
        <w:rPr>
          <w:spacing w:val="9"/>
          <w:sz w:val="22"/>
        </w:rPr>
        <w:t>curriculum.</w:t>
      </w:r>
      <w:r>
        <w:rPr>
          <w:spacing w:val="-4"/>
          <w:sz w:val="22"/>
        </w:rPr>
        <w:t> </w:t>
      </w:r>
      <w:r>
        <w:rPr>
          <w:spacing w:val="-5"/>
          <w:sz w:val="22"/>
        </w:rPr>
        <w:t>The</w:t>
      </w:r>
    </w:p>
    <w:p>
      <w:pPr>
        <w:spacing w:line="292" w:lineRule="auto" w:before="57"/>
        <w:ind w:left="439" w:right="642" w:firstLine="14"/>
        <w:jc w:val="left"/>
        <w:rPr>
          <w:sz w:val="22"/>
        </w:rPr>
      </w:pPr>
      <w:r>
        <w:rPr>
          <w:spacing w:val="16"/>
          <w:sz w:val="22"/>
        </w:rPr>
        <w:t>dep</w:t>
      </w:r>
      <w:r>
        <w:rPr>
          <w:spacing w:val="-33"/>
          <w:sz w:val="22"/>
        </w:rPr>
        <w:t> </w:t>
      </w:r>
      <w:r>
        <w:rPr>
          <w:spacing w:val="12"/>
          <w:sz w:val="22"/>
        </w:rPr>
        <w:t>artment was</w:t>
      </w:r>
      <w:r>
        <w:rPr>
          <w:spacing w:val="10"/>
          <w:sz w:val="22"/>
        </w:rPr>
        <w:t> given</w:t>
      </w:r>
      <w:r>
        <w:rPr>
          <w:spacing w:val="4"/>
          <w:sz w:val="22"/>
        </w:rPr>
        <w:t> </w:t>
      </w:r>
      <w:r>
        <w:rPr>
          <w:sz w:val="22"/>
        </w:rPr>
        <w:t>full divisional</w:t>
      </w:r>
      <w:r>
        <w:rPr>
          <w:spacing w:val="-2"/>
          <w:sz w:val="22"/>
        </w:rPr>
        <w:t> </w:t>
      </w:r>
      <w:r>
        <w:rPr>
          <w:spacing w:val="10"/>
          <w:sz w:val="22"/>
        </w:rPr>
        <w:t>status</w:t>
      </w:r>
      <w:r>
        <w:rPr>
          <w:spacing w:val="-3"/>
          <w:sz w:val="22"/>
        </w:rPr>
        <w:t> </w:t>
      </w:r>
      <w:r>
        <w:rPr>
          <w:sz w:val="22"/>
        </w:rPr>
        <w:t>in the </w:t>
      </w:r>
      <w:r>
        <w:rPr>
          <w:spacing w:val="12"/>
          <w:sz w:val="22"/>
        </w:rPr>
        <w:t>summer</w:t>
      </w:r>
      <w:r>
        <w:rPr>
          <w:spacing w:val="8"/>
          <w:sz w:val="22"/>
        </w:rPr>
        <w:t> </w:t>
      </w:r>
      <w:r>
        <w:rPr>
          <w:sz w:val="22"/>
        </w:rPr>
        <w:t>of 1966.</w:t>
      </w:r>
      <w:r>
        <w:rPr>
          <w:spacing w:val="-7"/>
          <w:sz w:val="22"/>
        </w:rPr>
        <w:t> </w:t>
      </w:r>
      <w:r>
        <w:rPr>
          <w:sz w:val="22"/>
        </w:rPr>
        <w:t>In </w:t>
      </w:r>
      <w:r>
        <w:rPr>
          <w:spacing w:val="13"/>
          <w:sz w:val="22"/>
        </w:rPr>
        <w:t>May</w:t>
      </w:r>
      <w:r>
        <w:rPr>
          <w:sz w:val="22"/>
        </w:rPr>
        <w:t> 1967,</w:t>
      </w:r>
      <w:r>
        <w:rPr>
          <w:spacing w:val="-5"/>
          <w:sz w:val="22"/>
        </w:rPr>
        <w:t> </w:t>
      </w:r>
      <w:r>
        <w:rPr>
          <w:spacing w:val="16"/>
          <w:sz w:val="22"/>
        </w:rPr>
        <w:t>Hampton </w:t>
      </w:r>
      <w:r>
        <w:rPr>
          <w:sz w:val="22"/>
        </w:rPr>
        <w:t>Institute</w:t>
      </w:r>
      <w:r>
        <w:rPr>
          <w:spacing w:val="34"/>
          <w:sz w:val="22"/>
        </w:rPr>
        <w:t> </w:t>
      </w:r>
      <w:r>
        <w:rPr>
          <w:sz w:val="22"/>
        </w:rPr>
        <w:t>gra</w:t>
      </w:r>
      <w:r>
        <w:rPr>
          <w:spacing w:val="-29"/>
          <w:sz w:val="22"/>
        </w:rPr>
        <w:t> </w:t>
      </w:r>
      <w:r>
        <w:rPr>
          <w:spacing w:val="16"/>
          <w:sz w:val="22"/>
        </w:rPr>
        <w:t>duated </w:t>
      </w:r>
      <w:r>
        <w:rPr>
          <w:sz w:val="22"/>
        </w:rPr>
        <w:t>its first class with </w:t>
      </w:r>
      <w:r>
        <w:rPr>
          <w:spacing w:val="9"/>
          <w:sz w:val="22"/>
        </w:rPr>
        <w:t>the professional </w:t>
      </w:r>
      <w:r>
        <w:rPr>
          <w:spacing w:val="12"/>
          <w:sz w:val="22"/>
        </w:rPr>
        <w:t>degree,</w:t>
      </w:r>
      <w:r>
        <w:rPr>
          <w:spacing w:val="6"/>
          <w:sz w:val="22"/>
        </w:rPr>
        <w:t> </w:t>
      </w:r>
      <w:r>
        <w:rPr>
          <w:sz w:val="22"/>
        </w:rPr>
        <w:t>Ba</w:t>
      </w:r>
      <w:r>
        <w:rPr>
          <w:spacing w:val="-29"/>
          <w:sz w:val="22"/>
        </w:rPr>
        <w:t> </w:t>
      </w:r>
      <w:r>
        <w:rPr>
          <w:spacing w:val="10"/>
          <w:sz w:val="22"/>
        </w:rPr>
        <w:t>chelor </w:t>
      </w:r>
      <w:r>
        <w:rPr>
          <w:sz w:val="22"/>
        </w:rPr>
        <w:t>of </w:t>
      </w:r>
      <w:r>
        <w:rPr>
          <w:spacing w:val="11"/>
          <w:sz w:val="22"/>
        </w:rPr>
        <w:t>Architecture.</w:t>
      </w:r>
    </w:p>
    <w:p>
      <w:pPr>
        <w:pStyle w:val="BodyText"/>
        <w:spacing w:before="3"/>
        <w:rPr>
          <w:sz w:val="27"/>
        </w:rPr>
      </w:pPr>
    </w:p>
    <w:p>
      <w:pPr>
        <w:spacing w:line="295" w:lineRule="auto" w:before="0"/>
        <w:ind w:left="439" w:right="642" w:firstLine="0"/>
        <w:jc w:val="left"/>
        <w:rPr>
          <w:sz w:val="22"/>
        </w:rPr>
      </w:pPr>
      <w:r>
        <w:rPr>
          <w:sz w:val="22"/>
        </w:rPr>
        <w:t>In 1967, </w:t>
      </w:r>
      <w:r>
        <w:rPr>
          <w:spacing w:val="9"/>
          <w:sz w:val="22"/>
        </w:rPr>
        <w:t>John </w:t>
      </w:r>
      <w:r>
        <w:rPr>
          <w:sz w:val="22"/>
        </w:rPr>
        <w:t>H. </w:t>
      </w:r>
      <w:r>
        <w:rPr>
          <w:spacing w:val="15"/>
          <w:sz w:val="22"/>
        </w:rPr>
        <w:t>Spencer </w:t>
      </w:r>
      <w:r>
        <w:rPr>
          <w:spacing w:val="16"/>
          <w:sz w:val="22"/>
        </w:rPr>
        <w:t>bec</w:t>
      </w:r>
      <w:r>
        <w:rPr>
          <w:spacing w:val="-27"/>
          <w:sz w:val="22"/>
        </w:rPr>
        <w:t> </w:t>
      </w:r>
      <w:r>
        <w:rPr>
          <w:spacing w:val="14"/>
          <w:sz w:val="22"/>
        </w:rPr>
        <w:t>ame </w:t>
      </w:r>
      <w:r>
        <w:rPr>
          <w:spacing w:val="9"/>
          <w:sz w:val="22"/>
        </w:rPr>
        <w:t>the </w:t>
      </w:r>
      <w:r>
        <w:rPr>
          <w:sz w:val="22"/>
        </w:rPr>
        <w:t>Division </w:t>
      </w:r>
      <w:r>
        <w:rPr>
          <w:spacing w:val="11"/>
          <w:sz w:val="22"/>
        </w:rPr>
        <w:t>Director</w:t>
      </w:r>
      <w:r>
        <w:rPr>
          <w:spacing w:val="10"/>
          <w:sz w:val="22"/>
        </w:rPr>
        <w:t> following </w:t>
      </w:r>
      <w:r>
        <w:rPr>
          <w:sz w:val="22"/>
        </w:rPr>
        <w:t>the </w:t>
      </w:r>
      <w:r>
        <w:rPr>
          <w:spacing w:val="11"/>
          <w:sz w:val="22"/>
        </w:rPr>
        <w:t>resignation </w:t>
      </w:r>
      <w:r>
        <w:rPr>
          <w:sz w:val="22"/>
        </w:rPr>
        <w:t>of </w:t>
      </w:r>
      <w:r>
        <w:rPr>
          <w:spacing w:val="10"/>
          <w:sz w:val="22"/>
        </w:rPr>
        <w:t>Bertram</w:t>
      </w:r>
      <w:r>
        <w:rPr>
          <w:spacing w:val="7"/>
          <w:sz w:val="22"/>
        </w:rPr>
        <w:t> </w:t>
      </w:r>
      <w:r>
        <w:rPr>
          <w:sz w:val="22"/>
        </w:rPr>
        <w:t>Berenson.</w:t>
      </w:r>
      <w:r>
        <w:rPr>
          <w:spacing w:val="-4"/>
          <w:sz w:val="22"/>
        </w:rPr>
        <w:t> </w:t>
      </w:r>
      <w:r>
        <w:rPr>
          <w:spacing w:val="14"/>
          <w:sz w:val="22"/>
        </w:rPr>
        <w:t>Spenc</w:t>
      </w:r>
      <w:r>
        <w:rPr>
          <w:spacing w:val="-34"/>
          <w:sz w:val="22"/>
        </w:rPr>
        <w:t> </w:t>
      </w:r>
      <w:r>
        <w:rPr>
          <w:sz w:val="22"/>
        </w:rPr>
        <w:t>er c</w:t>
      </w:r>
      <w:r>
        <w:rPr>
          <w:spacing w:val="-33"/>
          <w:sz w:val="22"/>
        </w:rPr>
        <w:t> </w:t>
      </w:r>
      <w:r>
        <w:rPr>
          <w:spacing w:val="10"/>
          <w:sz w:val="22"/>
        </w:rPr>
        <w:t>ontinued </w:t>
      </w:r>
      <w:r>
        <w:rPr>
          <w:spacing w:val="9"/>
          <w:sz w:val="22"/>
        </w:rPr>
        <w:t>the </w:t>
      </w:r>
      <w:r>
        <w:rPr>
          <w:spacing w:val="14"/>
          <w:sz w:val="22"/>
        </w:rPr>
        <w:t>program </w:t>
      </w:r>
      <w:r>
        <w:rPr>
          <w:spacing w:val="15"/>
          <w:sz w:val="22"/>
        </w:rPr>
        <w:t>development</w:t>
      </w:r>
      <w:r>
        <w:rPr>
          <w:spacing w:val="4"/>
          <w:sz w:val="22"/>
        </w:rPr>
        <w:t> </w:t>
      </w:r>
      <w:r>
        <w:rPr>
          <w:spacing w:val="12"/>
          <w:sz w:val="22"/>
        </w:rPr>
        <w:t>started </w:t>
      </w:r>
      <w:r>
        <w:rPr>
          <w:sz w:val="22"/>
        </w:rPr>
        <w:t>by Berenson. With </w:t>
      </w:r>
      <w:r>
        <w:rPr>
          <w:spacing w:val="15"/>
          <w:sz w:val="22"/>
        </w:rPr>
        <w:t>changes</w:t>
      </w:r>
      <w:r>
        <w:rPr>
          <w:spacing w:val="6"/>
          <w:sz w:val="22"/>
        </w:rPr>
        <w:t> </w:t>
      </w:r>
      <w:r>
        <w:rPr>
          <w:sz w:val="22"/>
        </w:rPr>
        <w:t>in </w:t>
      </w:r>
      <w:r>
        <w:rPr>
          <w:spacing w:val="9"/>
          <w:sz w:val="22"/>
        </w:rPr>
        <w:t>the structure </w:t>
      </w:r>
      <w:r>
        <w:rPr>
          <w:sz w:val="22"/>
        </w:rPr>
        <w:t>of </w:t>
      </w:r>
      <w:r>
        <w:rPr>
          <w:spacing w:val="16"/>
          <w:sz w:val="22"/>
        </w:rPr>
        <w:t>Hampton</w:t>
      </w:r>
      <w:r>
        <w:rPr>
          <w:spacing w:val="9"/>
          <w:sz w:val="22"/>
        </w:rPr>
        <w:t> </w:t>
      </w:r>
      <w:r>
        <w:rPr>
          <w:sz w:val="22"/>
        </w:rPr>
        <w:t>Institute in 1972, </w:t>
      </w:r>
      <w:r>
        <w:rPr>
          <w:spacing w:val="9"/>
          <w:sz w:val="22"/>
        </w:rPr>
        <w:t>the </w:t>
      </w:r>
      <w:r>
        <w:rPr>
          <w:spacing w:val="14"/>
          <w:sz w:val="22"/>
        </w:rPr>
        <w:t>autonomous</w:t>
      </w:r>
      <w:r>
        <w:rPr>
          <w:spacing w:val="9"/>
          <w:sz w:val="22"/>
        </w:rPr>
        <w:t> </w:t>
      </w:r>
      <w:r>
        <w:rPr>
          <w:sz w:val="22"/>
        </w:rPr>
        <w:t>Division of </w:t>
      </w:r>
      <w:r>
        <w:rPr>
          <w:spacing w:val="12"/>
          <w:sz w:val="22"/>
        </w:rPr>
        <w:t>Architecture </w:t>
      </w:r>
      <w:r>
        <w:rPr>
          <w:spacing w:val="16"/>
          <w:sz w:val="22"/>
        </w:rPr>
        <w:t>bec</w:t>
      </w:r>
      <w:r>
        <w:rPr>
          <w:spacing w:val="-29"/>
          <w:sz w:val="22"/>
        </w:rPr>
        <w:t> </w:t>
      </w:r>
      <w:r>
        <w:rPr>
          <w:spacing w:val="15"/>
          <w:sz w:val="22"/>
        </w:rPr>
        <w:t>ame </w:t>
      </w:r>
      <w:r>
        <w:rPr>
          <w:spacing w:val="9"/>
          <w:sz w:val="22"/>
        </w:rPr>
        <w:t>the </w:t>
      </w:r>
      <w:r>
        <w:rPr>
          <w:spacing w:val="11"/>
          <w:sz w:val="22"/>
        </w:rPr>
        <w:t>Dep</w:t>
      </w:r>
      <w:r>
        <w:rPr>
          <w:spacing w:val="-29"/>
          <w:sz w:val="22"/>
        </w:rPr>
        <w:t> </w:t>
      </w:r>
      <w:r>
        <w:rPr>
          <w:spacing w:val="12"/>
          <w:sz w:val="22"/>
        </w:rPr>
        <w:t>artment </w:t>
      </w:r>
      <w:r>
        <w:rPr>
          <w:sz w:val="22"/>
        </w:rPr>
        <w:t>of </w:t>
      </w:r>
      <w:r>
        <w:rPr>
          <w:spacing w:val="12"/>
          <w:sz w:val="22"/>
        </w:rPr>
        <w:t>Architecture </w:t>
      </w:r>
      <w:r>
        <w:rPr>
          <w:sz w:val="22"/>
        </w:rPr>
        <w:t>in </w:t>
      </w:r>
      <w:r>
        <w:rPr>
          <w:spacing w:val="9"/>
          <w:sz w:val="22"/>
        </w:rPr>
        <w:t>the </w:t>
      </w:r>
      <w:r>
        <w:rPr>
          <w:sz w:val="22"/>
        </w:rPr>
        <w:t>Division of </w:t>
      </w:r>
      <w:r>
        <w:rPr>
          <w:spacing w:val="13"/>
          <w:sz w:val="22"/>
        </w:rPr>
        <w:t>Social and</w:t>
      </w:r>
    </w:p>
    <w:p>
      <w:pPr>
        <w:spacing w:line="292" w:lineRule="auto" w:before="0"/>
        <w:ind w:left="439" w:right="642" w:firstLine="0"/>
        <w:jc w:val="left"/>
        <w:rPr>
          <w:sz w:val="22"/>
        </w:rPr>
      </w:pPr>
      <w:r>
        <w:rPr>
          <w:spacing w:val="10"/>
          <w:sz w:val="22"/>
        </w:rPr>
        <w:t>Environmental</w:t>
      </w:r>
      <w:r>
        <w:rPr>
          <w:spacing w:val="6"/>
          <w:sz w:val="22"/>
        </w:rPr>
        <w:t> </w:t>
      </w:r>
      <w:r>
        <w:rPr>
          <w:sz w:val="22"/>
        </w:rPr>
        <w:t>Studies. Further</w:t>
      </w:r>
      <w:r>
        <w:rPr>
          <w:spacing w:val="15"/>
          <w:sz w:val="22"/>
        </w:rPr>
        <w:t> changes</w:t>
      </w:r>
      <w:r>
        <w:rPr>
          <w:spacing w:val="5"/>
          <w:sz w:val="22"/>
        </w:rPr>
        <w:t> </w:t>
      </w:r>
      <w:r>
        <w:rPr>
          <w:sz w:val="22"/>
        </w:rPr>
        <w:t>in 1979 </w:t>
      </w:r>
      <w:r>
        <w:rPr>
          <w:spacing w:val="9"/>
          <w:sz w:val="22"/>
        </w:rPr>
        <w:t>pla</w:t>
      </w:r>
      <w:r>
        <w:rPr>
          <w:spacing w:val="-30"/>
          <w:sz w:val="22"/>
        </w:rPr>
        <w:t> </w:t>
      </w:r>
      <w:r>
        <w:rPr>
          <w:sz w:val="22"/>
        </w:rPr>
        <w:t>c</w:t>
      </w:r>
      <w:r>
        <w:rPr>
          <w:spacing w:val="-31"/>
          <w:sz w:val="22"/>
        </w:rPr>
        <w:t> </w:t>
      </w:r>
      <w:r>
        <w:rPr>
          <w:spacing w:val="11"/>
          <w:sz w:val="22"/>
        </w:rPr>
        <w:t>ed </w:t>
      </w:r>
      <w:r>
        <w:rPr>
          <w:spacing w:val="9"/>
          <w:sz w:val="22"/>
        </w:rPr>
        <w:t>the </w:t>
      </w:r>
      <w:r>
        <w:rPr>
          <w:spacing w:val="11"/>
          <w:sz w:val="22"/>
        </w:rPr>
        <w:t>Dep</w:t>
      </w:r>
      <w:r>
        <w:rPr>
          <w:spacing w:val="-30"/>
          <w:sz w:val="22"/>
        </w:rPr>
        <w:t> </w:t>
      </w:r>
      <w:r>
        <w:rPr>
          <w:spacing w:val="11"/>
          <w:sz w:val="22"/>
        </w:rPr>
        <w:t>artment </w:t>
      </w:r>
      <w:r>
        <w:rPr>
          <w:sz w:val="22"/>
        </w:rPr>
        <w:t>of </w:t>
      </w:r>
      <w:r>
        <w:rPr>
          <w:spacing w:val="12"/>
          <w:sz w:val="22"/>
        </w:rPr>
        <w:t>Architecture </w:t>
      </w:r>
      <w:r>
        <w:rPr>
          <w:sz w:val="22"/>
        </w:rPr>
        <w:t>in </w:t>
      </w:r>
      <w:r>
        <w:rPr>
          <w:spacing w:val="9"/>
          <w:sz w:val="22"/>
        </w:rPr>
        <w:t>the</w:t>
      </w:r>
      <w:r>
        <w:rPr>
          <w:spacing w:val="3"/>
          <w:sz w:val="22"/>
        </w:rPr>
        <w:t> </w:t>
      </w:r>
      <w:r>
        <w:rPr>
          <w:spacing w:val="14"/>
          <w:sz w:val="22"/>
        </w:rPr>
        <w:t>school</w:t>
      </w:r>
      <w:r>
        <w:rPr>
          <w:spacing w:val="5"/>
          <w:sz w:val="22"/>
        </w:rPr>
        <w:t> </w:t>
      </w:r>
      <w:r>
        <w:rPr>
          <w:sz w:val="22"/>
        </w:rPr>
        <w:t>of</w:t>
      </w:r>
      <w:r>
        <w:rPr>
          <w:spacing w:val="-2"/>
          <w:sz w:val="22"/>
        </w:rPr>
        <w:t> </w:t>
      </w:r>
      <w:r>
        <w:rPr>
          <w:sz w:val="22"/>
        </w:rPr>
        <w:t>Pure </w:t>
      </w:r>
      <w:r>
        <w:rPr>
          <w:spacing w:val="12"/>
          <w:sz w:val="22"/>
        </w:rPr>
        <w:t>and </w:t>
      </w:r>
      <w:r>
        <w:rPr>
          <w:sz w:val="22"/>
        </w:rPr>
        <w:t>Ap</w:t>
      </w:r>
      <w:r>
        <w:rPr>
          <w:spacing w:val="-33"/>
          <w:sz w:val="22"/>
        </w:rPr>
        <w:t> </w:t>
      </w:r>
      <w:r>
        <w:rPr>
          <w:spacing w:val="9"/>
          <w:sz w:val="22"/>
        </w:rPr>
        <w:t>plied</w:t>
      </w:r>
      <w:r>
        <w:rPr>
          <w:spacing w:val="7"/>
          <w:sz w:val="22"/>
        </w:rPr>
        <w:t> </w:t>
      </w:r>
      <w:r>
        <w:rPr>
          <w:spacing w:val="12"/>
          <w:sz w:val="22"/>
        </w:rPr>
        <w:t>Sciences.</w:t>
      </w:r>
      <w:r>
        <w:rPr>
          <w:spacing w:val="-10"/>
          <w:sz w:val="22"/>
        </w:rPr>
        <w:t> </w:t>
      </w:r>
      <w:r>
        <w:rPr>
          <w:sz w:val="22"/>
        </w:rPr>
        <w:t>In</w:t>
      </w:r>
      <w:r>
        <w:rPr>
          <w:spacing w:val="-1"/>
          <w:sz w:val="22"/>
        </w:rPr>
        <w:t> </w:t>
      </w:r>
      <w:r>
        <w:rPr>
          <w:sz w:val="22"/>
        </w:rPr>
        <w:t>1993</w:t>
      </w:r>
      <w:r>
        <w:rPr>
          <w:spacing w:val="-1"/>
          <w:sz w:val="22"/>
        </w:rPr>
        <w:t> </w:t>
      </w:r>
      <w:r>
        <w:rPr>
          <w:spacing w:val="9"/>
          <w:sz w:val="22"/>
        </w:rPr>
        <w:t>the</w:t>
      </w:r>
      <w:r>
        <w:rPr>
          <w:spacing w:val="6"/>
          <w:sz w:val="22"/>
        </w:rPr>
        <w:t> </w:t>
      </w:r>
      <w:r>
        <w:rPr>
          <w:spacing w:val="11"/>
          <w:sz w:val="22"/>
        </w:rPr>
        <w:t>Dep</w:t>
      </w:r>
      <w:r>
        <w:rPr>
          <w:spacing w:val="-33"/>
          <w:sz w:val="22"/>
        </w:rPr>
        <w:t> </w:t>
      </w:r>
      <w:r>
        <w:rPr>
          <w:spacing w:val="11"/>
          <w:sz w:val="22"/>
        </w:rPr>
        <w:t>artment</w:t>
      </w:r>
      <w:r>
        <w:rPr>
          <w:spacing w:val="10"/>
          <w:sz w:val="22"/>
        </w:rPr>
        <w:t> </w:t>
      </w:r>
      <w:r>
        <w:rPr>
          <w:sz w:val="22"/>
        </w:rPr>
        <w:t>of </w:t>
      </w:r>
      <w:r>
        <w:rPr>
          <w:spacing w:val="12"/>
          <w:sz w:val="22"/>
        </w:rPr>
        <w:t>Architecture was </w:t>
      </w:r>
      <w:r>
        <w:rPr>
          <w:spacing w:val="9"/>
          <w:sz w:val="22"/>
        </w:rPr>
        <w:t>shifted </w:t>
      </w:r>
      <w:r>
        <w:rPr>
          <w:sz w:val="22"/>
        </w:rPr>
        <w:t>to its </w:t>
      </w:r>
      <w:r>
        <w:rPr>
          <w:spacing w:val="9"/>
          <w:sz w:val="22"/>
        </w:rPr>
        <w:t>present</w:t>
      </w:r>
      <w:r>
        <w:rPr>
          <w:spacing w:val="5"/>
          <w:sz w:val="22"/>
        </w:rPr>
        <w:t> </w:t>
      </w:r>
      <w:r>
        <w:rPr>
          <w:spacing w:val="12"/>
          <w:sz w:val="22"/>
        </w:rPr>
        <w:t>loc</w:t>
      </w:r>
      <w:r>
        <w:rPr>
          <w:spacing w:val="-30"/>
          <w:sz w:val="22"/>
        </w:rPr>
        <w:t> </w:t>
      </w:r>
      <w:r>
        <w:rPr>
          <w:spacing w:val="10"/>
          <w:sz w:val="22"/>
        </w:rPr>
        <w:t>ation</w:t>
      </w:r>
      <w:r>
        <w:rPr>
          <w:spacing w:val="4"/>
          <w:sz w:val="22"/>
        </w:rPr>
        <w:t> </w:t>
      </w:r>
      <w:r>
        <w:rPr>
          <w:sz w:val="22"/>
        </w:rPr>
        <w:t>in </w:t>
      </w:r>
      <w:r>
        <w:rPr>
          <w:spacing w:val="9"/>
          <w:sz w:val="22"/>
        </w:rPr>
        <w:t>the </w:t>
      </w:r>
      <w:r>
        <w:rPr>
          <w:spacing w:val="14"/>
          <w:sz w:val="22"/>
        </w:rPr>
        <w:t>School</w:t>
      </w:r>
      <w:r>
        <w:rPr>
          <w:spacing w:val="11"/>
          <w:sz w:val="22"/>
        </w:rPr>
        <w:t> </w:t>
      </w:r>
      <w:r>
        <w:rPr>
          <w:sz w:val="22"/>
        </w:rPr>
        <w:t>of </w:t>
      </w:r>
      <w:r>
        <w:rPr>
          <w:spacing w:val="10"/>
          <w:sz w:val="22"/>
        </w:rPr>
        <w:t>Engineering </w:t>
      </w:r>
      <w:r>
        <w:rPr>
          <w:spacing w:val="12"/>
          <w:sz w:val="22"/>
        </w:rPr>
        <w:t>and </w:t>
      </w:r>
      <w:r>
        <w:rPr>
          <w:spacing w:val="13"/>
          <w:sz w:val="22"/>
        </w:rPr>
        <w:t>Technology.</w:t>
      </w:r>
      <w:r>
        <w:rPr>
          <w:spacing w:val="-5"/>
          <w:sz w:val="22"/>
        </w:rPr>
        <w:t> </w:t>
      </w:r>
      <w:r>
        <w:rPr>
          <w:sz w:val="22"/>
        </w:rPr>
        <w:t>In 1997,</w:t>
      </w:r>
    </w:p>
    <w:p>
      <w:pPr>
        <w:spacing w:line="292" w:lineRule="auto" w:before="2"/>
        <w:ind w:left="439" w:right="642" w:firstLine="0"/>
        <w:jc w:val="left"/>
        <w:rPr>
          <w:sz w:val="22"/>
        </w:rPr>
      </w:pPr>
      <w:r>
        <w:rPr>
          <w:sz w:val="22"/>
        </w:rPr>
        <w:t>Bra</w:t>
      </w:r>
      <w:r>
        <w:rPr>
          <w:spacing w:val="-33"/>
          <w:sz w:val="22"/>
        </w:rPr>
        <w:t> </w:t>
      </w:r>
      <w:r>
        <w:rPr>
          <w:spacing w:val="10"/>
          <w:sz w:val="22"/>
        </w:rPr>
        <w:t>dford Grant </w:t>
      </w:r>
      <w:r>
        <w:rPr>
          <w:spacing w:val="16"/>
          <w:sz w:val="22"/>
        </w:rPr>
        <w:t>bec</w:t>
      </w:r>
      <w:r>
        <w:rPr>
          <w:spacing w:val="-30"/>
          <w:sz w:val="22"/>
        </w:rPr>
        <w:t> </w:t>
      </w:r>
      <w:r>
        <w:rPr>
          <w:spacing w:val="14"/>
          <w:sz w:val="22"/>
        </w:rPr>
        <w:t>ame</w:t>
      </w:r>
      <w:r>
        <w:rPr>
          <w:spacing w:val="13"/>
          <w:sz w:val="22"/>
        </w:rPr>
        <w:t> </w:t>
      </w:r>
      <w:r>
        <w:rPr>
          <w:spacing w:val="9"/>
          <w:sz w:val="22"/>
        </w:rPr>
        <w:t>the </w:t>
      </w:r>
      <w:r>
        <w:rPr>
          <w:spacing w:val="10"/>
          <w:sz w:val="22"/>
        </w:rPr>
        <w:t>Chairperson </w:t>
      </w:r>
      <w:r>
        <w:rPr>
          <w:sz w:val="22"/>
        </w:rPr>
        <w:t>of </w:t>
      </w:r>
      <w:r>
        <w:rPr>
          <w:spacing w:val="9"/>
          <w:sz w:val="22"/>
        </w:rPr>
        <w:t>the </w:t>
      </w:r>
      <w:r>
        <w:rPr>
          <w:spacing w:val="11"/>
          <w:sz w:val="22"/>
        </w:rPr>
        <w:t>Dep</w:t>
      </w:r>
      <w:r>
        <w:rPr>
          <w:spacing w:val="-33"/>
          <w:sz w:val="22"/>
        </w:rPr>
        <w:t> </w:t>
      </w:r>
      <w:r>
        <w:rPr>
          <w:spacing w:val="11"/>
          <w:sz w:val="22"/>
        </w:rPr>
        <w:t>artment,</w:t>
      </w:r>
      <w:r>
        <w:rPr>
          <w:spacing w:val="-2"/>
          <w:sz w:val="22"/>
        </w:rPr>
        <w:t> </w:t>
      </w:r>
      <w:r>
        <w:rPr>
          <w:spacing w:val="10"/>
          <w:sz w:val="22"/>
        </w:rPr>
        <w:t>following </w:t>
      </w:r>
      <w:r>
        <w:rPr>
          <w:spacing w:val="9"/>
          <w:sz w:val="22"/>
        </w:rPr>
        <w:t>the</w:t>
      </w:r>
      <w:r>
        <w:rPr>
          <w:spacing w:val="6"/>
          <w:sz w:val="22"/>
        </w:rPr>
        <w:t> </w:t>
      </w:r>
      <w:r>
        <w:rPr>
          <w:spacing w:val="11"/>
          <w:sz w:val="22"/>
        </w:rPr>
        <w:t>retirement </w:t>
      </w:r>
      <w:r>
        <w:rPr>
          <w:sz w:val="22"/>
        </w:rPr>
        <w:t>of John </w:t>
      </w:r>
      <w:r>
        <w:rPr>
          <w:spacing w:val="14"/>
          <w:sz w:val="22"/>
        </w:rPr>
        <w:t>Spenc</w:t>
      </w:r>
      <w:r>
        <w:rPr>
          <w:spacing w:val="-28"/>
          <w:sz w:val="22"/>
        </w:rPr>
        <w:t> </w:t>
      </w:r>
      <w:r>
        <w:rPr>
          <w:sz w:val="22"/>
        </w:rPr>
        <w:t>er, </w:t>
      </w:r>
      <w:r>
        <w:rPr>
          <w:spacing w:val="13"/>
          <w:sz w:val="22"/>
        </w:rPr>
        <w:t>and </w:t>
      </w:r>
      <w:r>
        <w:rPr>
          <w:spacing w:val="9"/>
          <w:sz w:val="22"/>
        </w:rPr>
        <w:t>the </w:t>
      </w:r>
      <w:r>
        <w:rPr>
          <w:sz w:val="22"/>
        </w:rPr>
        <w:t>University </w:t>
      </w:r>
      <w:r>
        <w:rPr>
          <w:spacing w:val="11"/>
          <w:sz w:val="22"/>
        </w:rPr>
        <w:t>eliminated </w:t>
      </w:r>
      <w:r>
        <w:rPr>
          <w:sz w:val="22"/>
        </w:rPr>
        <w:t>the</w:t>
      </w:r>
      <w:r>
        <w:rPr>
          <w:spacing w:val="14"/>
          <w:sz w:val="22"/>
        </w:rPr>
        <w:t> program </w:t>
      </w:r>
      <w:r>
        <w:rPr>
          <w:sz w:val="22"/>
        </w:rPr>
        <w:t>in Building</w:t>
      </w:r>
      <w:r>
        <w:rPr>
          <w:spacing w:val="11"/>
          <w:sz w:val="22"/>
        </w:rPr>
        <w:t> Construction</w:t>
      </w:r>
    </w:p>
    <w:p>
      <w:pPr>
        <w:spacing w:before="1"/>
        <w:ind w:left="439" w:right="0" w:firstLine="0"/>
        <w:jc w:val="left"/>
        <w:rPr>
          <w:sz w:val="22"/>
        </w:rPr>
      </w:pPr>
      <w:r>
        <w:rPr>
          <w:spacing w:val="13"/>
          <w:sz w:val="22"/>
        </w:rPr>
        <w:t>Technology,</w:t>
      </w:r>
      <w:r>
        <w:rPr>
          <w:spacing w:val="7"/>
          <w:sz w:val="22"/>
        </w:rPr>
        <w:t> </w:t>
      </w:r>
      <w:r>
        <w:rPr>
          <w:sz w:val="22"/>
        </w:rPr>
        <w:t>tra</w:t>
      </w:r>
      <w:r>
        <w:rPr>
          <w:spacing w:val="-32"/>
          <w:sz w:val="22"/>
        </w:rPr>
        <w:t> </w:t>
      </w:r>
      <w:r>
        <w:rPr>
          <w:sz w:val="22"/>
        </w:rPr>
        <w:t>ditionally</w:t>
      </w:r>
      <w:r>
        <w:rPr>
          <w:spacing w:val="23"/>
          <w:sz w:val="22"/>
        </w:rPr>
        <w:t> </w:t>
      </w:r>
      <w:r>
        <w:rPr>
          <w:sz w:val="22"/>
        </w:rPr>
        <w:t>c</w:t>
      </w:r>
      <w:r>
        <w:rPr>
          <w:spacing w:val="-32"/>
          <w:sz w:val="22"/>
        </w:rPr>
        <w:t> </w:t>
      </w:r>
      <w:r>
        <w:rPr>
          <w:spacing w:val="16"/>
          <w:sz w:val="22"/>
        </w:rPr>
        <w:t>onnected</w:t>
      </w:r>
      <w:r>
        <w:rPr>
          <w:spacing w:val="23"/>
          <w:sz w:val="22"/>
        </w:rPr>
        <w:t> </w:t>
      </w:r>
      <w:r>
        <w:rPr>
          <w:sz w:val="22"/>
        </w:rPr>
        <w:t>to</w:t>
      </w:r>
      <w:r>
        <w:rPr>
          <w:spacing w:val="20"/>
          <w:sz w:val="22"/>
        </w:rPr>
        <w:t> </w:t>
      </w:r>
      <w:r>
        <w:rPr>
          <w:spacing w:val="9"/>
          <w:sz w:val="22"/>
        </w:rPr>
        <w:t>the</w:t>
      </w:r>
      <w:r>
        <w:rPr>
          <w:spacing w:val="15"/>
          <w:sz w:val="22"/>
        </w:rPr>
        <w:t> </w:t>
      </w:r>
      <w:r>
        <w:rPr>
          <w:spacing w:val="11"/>
          <w:sz w:val="22"/>
        </w:rPr>
        <w:t>Dep</w:t>
      </w:r>
      <w:r>
        <w:rPr>
          <w:spacing w:val="-31"/>
          <w:sz w:val="22"/>
        </w:rPr>
        <w:t> </w:t>
      </w:r>
      <w:r>
        <w:rPr>
          <w:spacing w:val="12"/>
          <w:sz w:val="22"/>
        </w:rPr>
        <w:t>artment</w:t>
      </w:r>
      <w:r>
        <w:rPr>
          <w:spacing w:val="20"/>
          <w:sz w:val="22"/>
        </w:rPr>
        <w:t> </w:t>
      </w:r>
      <w:r>
        <w:rPr>
          <w:sz w:val="22"/>
        </w:rPr>
        <w:t>of</w:t>
      </w:r>
      <w:r>
        <w:rPr>
          <w:spacing w:val="15"/>
          <w:sz w:val="22"/>
        </w:rPr>
        <w:t> </w:t>
      </w:r>
      <w:r>
        <w:rPr>
          <w:spacing w:val="11"/>
          <w:sz w:val="22"/>
        </w:rPr>
        <w:t>Architecture.</w:t>
      </w:r>
      <w:r>
        <w:rPr>
          <w:sz w:val="22"/>
        </w:rPr>
        <w:t> </w:t>
      </w:r>
      <w:r>
        <w:rPr>
          <w:spacing w:val="11"/>
          <w:sz w:val="22"/>
        </w:rPr>
        <w:t>Under</w:t>
      </w:r>
      <w:r>
        <w:rPr>
          <w:spacing w:val="10"/>
          <w:sz w:val="22"/>
        </w:rPr>
        <w:t> </w:t>
      </w:r>
      <w:r>
        <w:rPr>
          <w:spacing w:val="4"/>
          <w:sz w:val="22"/>
        </w:rPr>
        <w:t>the</w:t>
      </w:r>
    </w:p>
    <w:p>
      <w:pPr>
        <w:spacing w:line="295" w:lineRule="auto" w:before="57"/>
        <w:ind w:left="439" w:right="642" w:firstLine="0"/>
        <w:jc w:val="left"/>
        <w:rPr>
          <w:sz w:val="22"/>
        </w:rPr>
      </w:pPr>
      <w:r>
        <w:rPr>
          <w:spacing w:val="11"/>
          <w:sz w:val="22"/>
        </w:rPr>
        <w:t>leadership </w:t>
      </w:r>
      <w:r>
        <w:rPr>
          <w:sz w:val="22"/>
        </w:rPr>
        <w:t>of </w:t>
      </w:r>
      <w:r>
        <w:rPr>
          <w:spacing w:val="10"/>
          <w:sz w:val="22"/>
        </w:rPr>
        <w:t>Grant,</w:t>
      </w:r>
      <w:r>
        <w:rPr>
          <w:spacing w:val="2"/>
          <w:sz w:val="22"/>
        </w:rPr>
        <w:t> </w:t>
      </w:r>
      <w:r>
        <w:rPr>
          <w:sz w:val="22"/>
        </w:rPr>
        <w:t>the </w:t>
      </w:r>
      <w:r>
        <w:rPr>
          <w:spacing w:val="16"/>
          <w:sz w:val="22"/>
        </w:rPr>
        <w:t>department</w:t>
      </w:r>
      <w:r>
        <w:rPr>
          <w:spacing w:val="10"/>
          <w:sz w:val="22"/>
        </w:rPr>
        <w:t> transitioned </w:t>
      </w:r>
      <w:r>
        <w:rPr>
          <w:sz w:val="22"/>
        </w:rPr>
        <w:t>from a 5 </w:t>
      </w:r>
      <w:r>
        <w:rPr>
          <w:spacing w:val="12"/>
          <w:sz w:val="22"/>
        </w:rPr>
        <w:t>year</w:t>
      </w:r>
      <w:r>
        <w:rPr>
          <w:spacing w:val="-3"/>
          <w:sz w:val="22"/>
        </w:rPr>
        <w:t> </w:t>
      </w:r>
      <w:r>
        <w:rPr>
          <w:sz w:val="22"/>
        </w:rPr>
        <w:t>Ba</w:t>
      </w:r>
      <w:r>
        <w:rPr>
          <w:spacing w:val="-33"/>
          <w:sz w:val="22"/>
        </w:rPr>
        <w:t> </w:t>
      </w:r>
      <w:r>
        <w:rPr>
          <w:spacing w:val="10"/>
          <w:sz w:val="22"/>
        </w:rPr>
        <w:t>chelor</w:t>
      </w:r>
      <w:r>
        <w:rPr>
          <w:spacing w:val="8"/>
          <w:sz w:val="22"/>
        </w:rPr>
        <w:t> </w:t>
      </w:r>
      <w:r>
        <w:rPr>
          <w:sz w:val="22"/>
        </w:rPr>
        <w:t>of </w:t>
      </w:r>
      <w:r>
        <w:rPr>
          <w:spacing w:val="12"/>
          <w:sz w:val="22"/>
        </w:rPr>
        <w:t>Architecture </w:t>
      </w:r>
      <w:r>
        <w:rPr>
          <w:spacing w:val="14"/>
          <w:sz w:val="22"/>
        </w:rPr>
        <w:t>program </w:t>
      </w:r>
      <w:r>
        <w:rPr>
          <w:sz w:val="22"/>
        </w:rPr>
        <w:t>to its current status, a 5 ½ </w:t>
      </w:r>
      <w:r>
        <w:rPr>
          <w:spacing w:val="12"/>
          <w:sz w:val="22"/>
        </w:rPr>
        <w:t>year </w:t>
      </w:r>
      <w:r>
        <w:rPr>
          <w:spacing w:val="11"/>
          <w:sz w:val="22"/>
        </w:rPr>
        <w:t>Master </w:t>
      </w:r>
      <w:r>
        <w:rPr>
          <w:sz w:val="22"/>
        </w:rPr>
        <w:t>of </w:t>
      </w:r>
      <w:r>
        <w:rPr>
          <w:spacing w:val="12"/>
          <w:sz w:val="22"/>
        </w:rPr>
        <w:t>Architecture </w:t>
      </w:r>
      <w:r>
        <w:rPr>
          <w:sz w:val="22"/>
        </w:rPr>
        <w:t>First Professional </w:t>
      </w:r>
      <w:r>
        <w:rPr>
          <w:spacing w:val="12"/>
          <w:sz w:val="22"/>
        </w:rPr>
        <w:t>Degree </w:t>
      </w:r>
      <w:r>
        <w:rPr>
          <w:sz w:val="22"/>
        </w:rPr>
        <w:t>Pro</w:t>
      </w:r>
      <w:r>
        <w:rPr>
          <w:spacing w:val="-38"/>
          <w:sz w:val="22"/>
        </w:rPr>
        <w:t> </w:t>
      </w:r>
      <w:r>
        <w:rPr>
          <w:spacing w:val="12"/>
          <w:sz w:val="22"/>
        </w:rPr>
        <w:t>gram.</w:t>
      </w:r>
      <w:r>
        <w:rPr>
          <w:spacing w:val="-3"/>
          <w:sz w:val="22"/>
        </w:rPr>
        <w:t> </w:t>
      </w:r>
      <w:r>
        <w:rPr>
          <w:sz w:val="22"/>
        </w:rPr>
        <w:t>The first class of </w:t>
      </w:r>
      <w:r>
        <w:rPr>
          <w:spacing w:val="12"/>
          <w:sz w:val="22"/>
        </w:rPr>
        <w:t>students</w:t>
      </w:r>
      <w:r>
        <w:rPr>
          <w:spacing w:val="5"/>
          <w:sz w:val="22"/>
        </w:rPr>
        <w:t> </w:t>
      </w:r>
      <w:r>
        <w:rPr>
          <w:spacing w:val="10"/>
          <w:sz w:val="22"/>
        </w:rPr>
        <w:t>holding </w:t>
      </w:r>
      <w:r>
        <w:rPr>
          <w:sz w:val="22"/>
        </w:rPr>
        <w:t>a </w:t>
      </w:r>
      <w:r>
        <w:rPr>
          <w:spacing w:val="16"/>
          <w:sz w:val="22"/>
        </w:rPr>
        <w:t>Hampton</w:t>
      </w:r>
      <w:r>
        <w:rPr>
          <w:spacing w:val="4"/>
          <w:sz w:val="22"/>
        </w:rPr>
        <w:t> </w:t>
      </w:r>
      <w:r>
        <w:rPr>
          <w:sz w:val="22"/>
        </w:rPr>
        <w:t>University </w:t>
      </w:r>
      <w:r>
        <w:rPr>
          <w:spacing w:val="11"/>
          <w:sz w:val="22"/>
        </w:rPr>
        <w:t>Master</w:t>
      </w:r>
      <w:r>
        <w:rPr>
          <w:spacing w:val="10"/>
          <w:sz w:val="22"/>
        </w:rPr>
        <w:t> </w:t>
      </w:r>
      <w:r>
        <w:rPr>
          <w:sz w:val="22"/>
        </w:rPr>
        <w:t>of </w:t>
      </w:r>
      <w:r>
        <w:rPr>
          <w:spacing w:val="12"/>
          <w:sz w:val="22"/>
        </w:rPr>
        <w:t>Architecture Degree </w:t>
      </w:r>
      <w:r>
        <w:rPr>
          <w:sz w:val="22"/>
        </w:rPr>
        <w:t>gra</w:t>
      </w:r>
      <w:r>
        <w:rPr>
          <w:spacing w:val="-30"/>
          <w:sz w:val="22"/>
        </w:rPr>
        <w:t> </w:t>
      </w:r>
      <w:r>
        <w:rPr>
          <w:spacing w:val="16"/>
          <w:sz w:val="22"/>
        </w:rPr>
        <w:t>duated </w:t>
      </w:r>
      <w:r>
        <w:rPr>
          <w:sz w:val="22"/>
        </w:rPr>
        <w:t>in the spring</w:t>
      </w:r>
      <w:r>
        <w:rPr>
          <w:spacing w:val="32"/>
          <w:sz w:val="22"/>
        </w:rPr>
        <w:t> </w:t>
      </w:r>
      <w:r>
        <w:rPr>
          <w:sz w:val="22"/>
        </w:rPr>
        <w:t>of 2008. </w:t>
      </w:r>
      <w:r>
        <w:rPr>
          <w:spacing w:val="12"/>
          <w:sz w:val="22"/>
        </w:rPr>
        <w:t>Robert </w:t>
      </w:r>
      <w:r>
        <w:rPr>
          <w:sz w:val="22"/>
        </w:rPr>
        <w:t>L. </w:t>
      </w:r>
      <w:r>
        <w:rPr>
          <w:spacing w:val="9"/>
          <w:sz w:val="22"/>
        </w:rPr>
        <w:t>Easter </w:t>
      </w:r>
      <w:r>
        <w:rPr>
          <w:spacing w:val="16"/>
          <w:sz w:val="22"/>
        </w:rPr>
        <w:t>bec</w:t>
      </w:r>
      <w:r>
        <w:rPr>
          <w:spacing w:val="-26"/>
          <w:sz w:val="22"/>
        </w:rPr>
        <w:t> </w:t>
      </w:r>
      <w:r>
        <w:rPr>
          <w:spacing w:val="14"/>
          <w:sz w:val="22"/>
        </w:rPr>
        <w:t>ame </w:t>
      </w:r>
      <w:r>
        <w:rPr>
          <w:spacing w:val="10"/>
          <w:sz w:val="22"/>
        </w:rPr>
        <w:t>Chairperson </w:t>
      </w:r>
      <w:r>
        <w:rPr>
          <w:sz w:val="22"/>
        </w:rPr>
        <w:t>of </w:t>
      </w:r>
      <w:r>
        <w:rPr>
          <w:spacing w:val="9"/>
          <w:sz w:val="22"/>
        </w:rPr>
        <w:t>the</w:t>
      </w:r>
    </w:p>
    <w:p>
      <w:pPr>
        <w:spacing w:line="249" w:lineRule="exact" w:before="0"/>
        <w:ind w:left="442" w:right="0" w:firstLine="0"/>
        <w:jc w:val="left"/>
        <w:rPr>
          <w:sz w:val="22"/>
        </w:rPr>
      </w:pPr>
      <w:r>
        <w:rPr>
          <w:spacing w:val="11"/>
          <w:sz w:val="22"/>
        </w:rPr>
        <w:t>Dep</w:t>
      </w:r>
      <w:r>
        <w:rPr>
          <w:spacing w:val="-31"/>
          <w:sz w:val="22"/>
        </w:rPr>
        <w:t> </w:t>
      </w:r>
      <w:r>
        <w:rPr>
          <w:spacing w:val="12"/>
          <w:sz w:val="22"/>
        </w:rPr>
        <w:t>artment</w:t>
      </w:r>
      <w:r>
        <w:rPr>
          <w:spacing w:val="10"/>
          <w:sz w:val="22"/>
        </w:rPr>
        <w:t> </w:t>
      </w:r>
      <w:r>
        <w:rPr>
          <w:sz w:val="22"/>
        </w:rPr>
        <w:t>in</w:t>
      </w:r>
      <w:r>
        <w:rPr>
          <w:spacing w:val="17"/>
          <w:sz w:val="22"/>
        </w:rPr>
        <w:t> </w:t>
      </w:r>
      <w:r>
        <w:rPr>
          <w:spacing w:val="9"/>
          <w:sz w:val="22"/>
        </w:rPr>
        <w:t>the</w:t>
      </w:r>
      <w:r>
        <w:rPr>
          <w:spacing w:val="19"/>
          <w:sz w:val="22"/>
        </w:rPr>
        <w:t> </w:t>
      </w:r>
      <w:r>
        <w:rPr>
          <w:sz w:val="22"/>
        </w:rPr>
        <w:t>fall</w:t>
      </w:r>
      <w:r>
        <w:rPr>
          <w:spacing w:val="16"/>
          <w:sz w:val="22"/>
        </w:rPr>
        <w:t> </w:t>
      </w:r>
      <w:r>
        <w:rPr>
          <w:sz w:val="22"/>
        </w:rPr>
        <w:t>of</w:t>
      </w:r>
      <w:r>
        <w:rPr>
          <w:spacing w:val="9"/>
          <w:sz w:val="22"/>
        </w:rPr>
        <w:t> </w:t>
      </w:r>
      <w:r>
        <w:rPr>
          <w:spacing w:val="-2"/>
          <w:sz w:val="22"/>
        </w:rPr>
        <w:t>2008.</w:t>
      </w:r>
    </w:p>
    <w:p>
      <w:pPr>
        <w:pStyle w:val="BodyText"/>
        <w:rPr>
          <w:sz w:val="24"/>
        </w:rPr>
      </w:pPr>
    </w:p>
    <w:p>
      <w:pPr>
        <w:pStyle w:val="BodyText"/>
        <w:spacing w:before="6"/>
        <w:rPr>
          <w:sz w:val="35"/>
        </w:rPr>
      </w:pPr>
    </w:p>
    <w:p>
      <w:pPr>
        <w:pStyle w:val="Heading6"/>
        <w:spacing w:before="1"/>
      </w:pPr>
      <w:r>
        <w:rPr>
          <w:w w:val="85"/>
        </w:rPr>
        <w:t>PEOPLE:</w:t>
      </w:r>
      <w:r>
        <w:rPr>
          <w:spacing w:val="50"/>
        </w:rPr>
        <w:t> </w:t>
      </w:r>
      <w:r>
        <w:rPr>
          <w:w w:val="85"/>
        </w:rPr>
        <w:t>FACULTY,</w:t>
      </w:r>
      <w:r>
        <w:rPr>
          <w:spacing w:val="51"/>
        </w:rPr>
        <w:t> </w:t>
      </w:r>
      <w:r>
        <w:rPr>
          <w:w w:val="85"/>
        </w:rPr>
        <w:t>STUDENTS,</w:t>
      </w:r>
      <w:r>
        <w:rPr>
          <w:spacing w:val="74"/>
        </w:rPr>
        <w:t> </w:t>
      </w:r>
      <w:r>
        <w:rPr>
          <w:w w:val="85"/>
        </w:rPr>
        <w:t>AND</w:t>
      </w:r>
      <w:r>
        <w:rPr>
          <w:spacing w:val="62"/>
        </w:rPr>
        <w:t> </w:t>
      </w:r>
      <w:r>
        <w:rPr>
          <w:spacing w:val="-2"/>
          <w:w w:val="85"/>
        </w:rPr>
        <w:t>BEYOND</w:t>
      </w:r>
    </w:p>
    <w:p>
      <w:pPr>
        <w:pStyle w:val="BodyText"/>
        <w:spacing w:before="6"/>
        <w:rPr>
          <w:sz w:val="32"/>
        </w:rPr>
      </w:pPr>
    </w:p>
    <w:p>
      <w:pPr>
        <w:spacing w:before="1"/>
        <w:ind w:left="448" w:right="0" w:firstLine="0"/>
        <w:jc w:val="both"/>
        <w:rPr>
          <w:sz w:val="22"/>
        </w:rPr>
      </w:pPr>
      <w:r>
        <w:rPr>
          <w:w w:val="95"/>
          <w:sz w:val="22"/>
        </w:rPr>
        <w:t>ADMINISTRATION:</w:t>
      </w:r>
      <w:r>
        <w:rPr>
          <w:spacing w:val="11"/>
          <w:sz w:val="22"/>
        </w:rPr>
        <w:t> </w:t>
      </w:r>
      <w:r>
        <w:rPr>
          <w:w w:val="95"/>
          <w:sz w:val="22"/>
        </w:rPr>
        <w:t>The</w:t>
      </w:r>
      <w:r>
        <w:rPr>
          <w:spacing w:val="31"/>
          <w:sz w:val="22"/>
        </w:rPr>
        <w:t> </w:t>
      </w:r>
      <w:r>
        <w:rPr>
          <w:spacing w:val="11"/>
          <w:w w:val="95"/>
          <w:sz w:val="22"/>
        </w:rPr>
        <w:t>Dep</w:t>
      </w:r>
      <w:r>
        <w:rPr>
          <w:spacing w:val="-22"/>
          <w:w w:val="95"/>
          <w:sz w:val="22"/>
        </w:rPr>
        <w:t> </w:t>
      </w:r>
      <w:r>
        <w:rPr>
          <w:spacing w:val="12"/>
          <w:w w:val="95"/>
          <w:sz w:val="22"/>
        </w:rPr>
        <w:t>artment</w:t>
      </w:r>
      <w:r>
        <w:rPr>
          <w:spacing w:val="35"/>
          <w:sz w:val="22"/>
        </w:rPr>
        <w:t> </w:t>
      </w:r>
      <w:r>
        <w:rPr>
          <w:w w:val="95"/>
          <w:sz w:val="22"/>
        </w:rPr>
        <w:t>of</w:t>
      </w:r>
      <w:r>
        <w:rPr>
          <w:spacing w:val="32"/>
          <w:sz w:val="22"/>
        </w:rPr>
        <w:t> </w:t>
      </w:r>
      <w:r>
        <w:rPr>
          <w:spacing w:val="11"/>
          <w:w w:val="95"/>
          <w:sz w:val="22"/>
        </w:rPr>
        <w:t>Architecture</w:t>
      </w:r>
      <w:r>
        <w:rPr>
          <w:spacing w:val="27"/>
          <w:sz w:val="22"/>
        </w:rPr>
        <w:t> </w:t>
      </w:r>
      <w:r>
        <w:rPr>
          <w:w w:val="95"/>
          <w:sz w:val="22"/>
        </w:rPr>
        <w:t>is</w:t>
      </w:r>
      <w:r>
        <w:rPr>
          <w:spacing w:val="22"/>
          <w:sz w:val="22"/>
        </w:rPr>
        <w:t> </w:t>
      </w:r>
      <w:r>
        <w:rPr>
          <w:spacing w:val="11"/>
          <w:w w:val="95"/>
          <w:sz w:val="22"/>
        </w:rPr>
        <w:t>housed</w:t>
      </w:r>
      <w:r>
        <w:rPr>
          <w:spacing w:val="47"/>
          <w:sz w:val="22"/>
        </w:rPr>
        <w:t> </w:t>
      </w:r>
      <w:r>
        <w:rPr>
          <w:w w:val="95"/>
          <w:sz w:val="22"/>
        </w:rPr>
        <w:t>within</w:t>
      </w:r>
      <w:r>
        <w:rPr>
          <w:spacing w:val="30"/>
          <w:sz w:val="22"/>
        </w:rPr>
        <w:t> </w:t>
      </w:r>
      <w:r>
        <w:rPr>
          <w:w w:val="95"/>
          <w:sz w:val="22"/>
        </w:rPr>
        <w:t>the</w:t>
      </w:r>
      <w:r>
        <w:rPr>
          <w:spacing w:val="27"/>
          <w:sz w:val="22"/>
        </w:rPr>
        <w:t> </w:t>
      </w:r>
      <w:r>
        <w:rPr>
          <w:spacing w:val="13"/>
          <w:w w:val="95"/>
          <w:sz w:val="22"/>
        </w:rPr>
        <w:t>School</w:t>
      </w:r>
      <w:r>
        <w:rPr>
          <w:spacing w:val="30"/>
          <w:sz w:val="22"/>
        </w:rPr>
        <w:t> </w:t>
      </w:r>
      <w:r>
        <w:rPr>
          <w:spacing w:val="-5"/>
          <w:w w:val="95"/>
          <w:sz w:val="22"/>
        </w:rPr>
        <w:t>of</w:t>
      </w:r>
    </w:p>
    <w:p>
      <w:pPr>
        <w:spacing w:line="292" w:lineRule="auto" w:before="59"/>
        <w:ind w:left="440" w:right="837" w:firstLine="0"/>
        <w:jc w:val="both"/>
        <w:rPr>
          <w:sz w:val="22"/>
        </w:rPr>
      </w:pPr>
      <w:r>
        <w:rPr>
          <w:spacing w:val="10"/>
          <w:sz w:val="22"/>
        </w:rPr>
        <w:t>Engineering</w:t>
      </w:r>
      <w:r>
        <w:rPr>
          <w:spacing w:val="6"/>
          <w:sz w:val="22"/>
        </w:rPr>
        <w:t> </w:t>
      </w:r>
      <w:r>
        <w:rPr>
          <w:spacing w:val="12"/>
          <w:sz w:val="22"/>
        </w:rPr>
        <w:t>and </w:t>
      </w:r>
      <w:r>
        <w:rPr>
          <w:spacing w:val="13"/>
          <w:sz w:val="22"/>
        </w:rPr>
        <w:t>Technology.</w:t>
      </w:r>
      <w:r>
        <w:rPr>
          <w:spacing w:val="-4"/>
          <w:sz w:val="22"/>
        </w:rPr>
        <w:t> </w:t>
      </w:r>
      <w:r>
        <w:rPr>
          <w:sz w:val="22"/>
        </w:rPr>
        <w:t>The offic</w:t>
      </w:r>
      <w:r>
        <w:rPr>
          <w:spacing w:val="-16"/>
          <w:sz w:val="22"/>
        </w:rPr>
        <w:t> </w:t>
      </w:r>
      <w:r>
        <w:rPr>
          <w:sz w:val="22"/>
        </w:rPr>
        <w:t>e of the </w:t>
      </w:r>
      <w:r>
        <w:rPr>
          <w:spacing w:val="13"/>
          <w:sz w:val="22"/>
        </w:rPr>
        <w:t>Dean </w:t>
      </w:r>
      <w:r>
        <w:rPr>
          <w:sz w:val="22"/>
        </w:rPr>
        <w:t>of Engineering </w:t>
      </w:r>
      <w:r>
        <w:rPr>
          <w:spacing w:val="13"/>
          <w:sz w:val="22"/>
        </w:rPr>
        <w:t>and</w:t>
      </w:r>
      <w:r>
        <w:rPr>
          <w:spacing w:val="12"/>
          <w:sz w:val="22"/>
        </w:rPr>
        <w:t> </w:t>
      </w:r>
      <w:r>
        <w:rPr>
          <w:spacing w:val="14"/>
          <w:sz w:val="22"/>
        </w:rPr>
        <w:t>Technology</w:t>
      </w:r>
      <w:r>
        <w:rPr>
          <w:spacing w:val="-2"/>
          <w:sz w:val="22"/>
        </w:rPr>
        <w:t> </w:t>
      </w:r>
      <w:r>
        <w:rPr>
          <w:sz w:val="22"/>
        </w:rPr>
        <w:t>is </w:t>
      </w:r>
      <w:r>
        <w:rPr>
          <w:spacing w:val="12"/>
          <w:sz w:val="22"/>
        </w:rPr>
        <w:t>loc</w:t>
      </w:r>
      <w:r>
        <w:rPr>
          <w:spacing w:val="-16"/>
          <w:sz w:val="22"/>
        </w:rPr>
        <w:t> </w:t>
      </w:r>
      <w:r>
        <w:rPr>
          <w:spacing w:val="15"/>
          <w:sz w:val="22"/>
        </w:rPr>
        <w:t>ated</w:t>
      </w:r>
      <w:r>
        <w:rPr>
          <w:spacing w:val="-15"/>
          <w:sz w:val="22"/>
        </w:rPr>
        <w:t> </w:t>
      </w:r>
      <w:r>
        <w:rPr>
          <w:sz w:val="22"/>
        </w:rPr>
        <w:t>in Olin </w:t>
      </w:r>
      <w:r>
        <w:rPr>
          <w:spacing w:val="9"/>
          <w:sz w:val="22"/>
        </w:rPr>
        <w:t>Engineering </w:t>
      </w:r>
      <w:r>
        <w:rPr>
          <w:sz w:val="22"/>
        </w:rPr>
        <w:t>Building Suite 117.</w:t>
      </w:r>
      <w:r>
        <w:rPr>
          <w:spacing w:val="-3"/>
          <w:sz w:val="22"/>
        </w:rPr>
        <w:t> </w:t>
      </w:r>
      <w:r>
        <w:rPr>
          <w:sz w:val="22"/>
        </w:rPr>
        <w:t>The </w:t>
      </w:r>
      <w:r>
        <w:rPr>
          <w:spacing w:val="11"/>
          <w:sz w:val="22"/>
        </w:rPr>
        <w:t>Dep</w:t>
      </w:r>
      <w:r>
        <w:rPr>
          <w:spacing w:val="-16"/>
          <w:sz w:val="22"/>
        </w:rPr>
        <w:t> </w:t>
      </w:r>
      <w:r>
        <w:rPr>
          <w:spacing w:val="12"/>
          <w:sz w:val="22"/>
        </w:rPr>
        <w:t>artment </w:t>
      </w:r>
      <w:r>
        <w:rPr>
          <w:sz w:val="22"/>
        </w:rPr>
        <w:t>of </w:t>
      </w:r>
      <w:r>
        <w:rPr>
          <w:spacing w:val="12"/>
          <w:sz w:val="22"/>
        </w:rPr>
        <w:t>Architecture </w:t>
      </w:r>
      <w:r>
        <w:rPr>
          <w:spacing w:val="10"/>
          <w:sz w:val="22"/>
        </w:rPr>
        <w:t>Chair’s </w:t>
      </w:r>
      <w:r>
        <w:rPr>
          <w:sz w:val="22"/>
        </w:rPr>
        <w:t>offic</w:t>
      </w:r>
      <w:r>
        <w:rPr>
          <w:spacing w:val="-30"/>
          <w:sz w:val="22"/>
        </w:rPr>
        <w:t> </w:t>
      </w:r>
      <w:r>
        <w:rPr>
          <w:sz w:val="22"/>
        </w:rPr>
        <w:t>e is </w:t>
      </w:r>
      <w:r>
        <w:rPr>
          <w:spacing w:val="12"/>
          <w:sz w:val="22"/>
        </w:rPr>
        <w:t>loc</w:t>
      </w:r>
      <w:r>
        <w:rPr>
          <w:spacing w:val="-26"/>
          <w:sz w:val="22"/>
        </w:rPr>
        <w:t> </w:t>
      </w:r>
      <w:r>
        <w:rPr>
          <w:spacing w:val="15"/>
          <w:sz w:val="22"/>
        </w:rPr>
        <w:t>ated </w:t>
      </w:r>
      <w:r>
        <w:rPr>
          <w:sz w:val="22"/>
        </w:rPr>
        <w:t>on </w:t>
      </w:r>
      <w:r>
        <w:rPr>
          <w:spacing w:val="9"/>
          <w:sz w:val="22"/>
        </w:rPr>
        <w:t>the </w:t>
      </w:r>
      <w:r>
        <w:rPr>
          <w:spacing w:val="11"/>
          <w:sz w:val="22"/>
        </w:rPr>
        <w:t>sec</w:t>
      </w:r>
      <w:r>
        <w:rPr>
          <w:spacing w:val="-29"/>
          <w:sz w:val="22"/>
        </w:rPr>
        <w:t> </w:t>
      </w:r>
      <w:r>
        <w:rPr>
          <w:spacing w:val="11"/>
          <w:sz w:val="22"/>
        </w:rPr>
        <w:t>ond </w:t>
      </w:r>
      <w:r>
        <w:rPr>
          <w:sz w:val="22"/>
        </w:rPr>
        <w:t>floor</w:t>
      </w:r>
      <w:r>
        <w:rPr>
          <w:spacing w:val="33"/>
          <w:sz w:val="22"/>
        </w:rPr>
        <w:t> </w:t>
      </w:r>
      <w:r>
        <w:rPr>
          <w:sz w:val="22"/>
        </w:rPr>
        <w:t>of Bemis </w:t>
      </w:r>
      <w:r>
        <w:rPr>
          <w:spacing w:val="13"/>
          <w:sz w:val="22"/>
        </w:rPr>
        <w:t>Laboratory </w:t>
      </w:r>
      <w:r>
        <w:rPr>
          <w:spacing w:val="11"/>
          <w:sz w:val="22"/>
        </w:rPr>
        <w:t>along </w:t>
      </w:r>
      <w:r>
        <w:rPr>
          <w:sz w:val="22"/>
        </w:rPr>
        <w:t>with</w:t>
      </w:r>
      <w:r>
        <w:rPr>
          <w:spacing w:val="30"/>
          <w:sz w:val="22"/>
        </w:rPr>
        <w:t> </w:t>
      </w:r>
      <w:r>
        <w:rPr>
          <w:sz w:val="22"/>
        </w:rPr>
        <w:t>a</w:t>
      </w:r>
      <w:r>
        <w:rPr>
          <w:spacing w:val="-29"/>
          <w:sz w:val="22"/>
        </w:rPr>
        <w:t> </w:t>
      </w:r>
      <w:r>
        <w:rPr>
          <w:spacing w:val="9"/>
          <w:sz w:val="22"/>
        </w:rPr>
        <w:t>dministrative</w:t>
      </w:r>
    </w:p>
    <w:p>
      <w:pPr>
        <w:spacing w:before="2"/>
        <w:ind w:left="440" w:right="0" w:firstLine="0"/>
        <w:jc w:val="both"/>
        <w:rPr>
          <w:sz w:val="22"/>
        </w:rPr>
      </w:pPr>
      <w:r>
        <w:rPr>
          <w:spacing w:val="13"/>
          <w:w w:val="95"/>
          <w:sz w:val="22"/>
        </w:rPr>
        <w:t>support</w:t>
      </w:r>
      <w:r>
        <w:rPr>
          <w:spacing w:val="11"/>
          <w:sz w:val="22"/>
        </w:rPr>
        <w:t> </w:t>
      </w:r>
      <w:r>
        <w:rPr>
          <w:spacing w:val="-2"/>
          <w:sz w:val="22"/>
        </w:rPr>
        <w:t>staff.</w:t>
      </w:r>
    </w:p>
    <w:p>
      <w:pPr>
        <w:pStyle w:val="BodyText"/>
        <w:spacing w:before="1"/>
        <w:rPr>
          <w:sz w:val="32"/>
        </w:rPr>
      </w:pPr>
    </w:p>
    <w:p>
      <w:pPr>
        <w:spacing w:before="0"/>
        <w:ind w:left="440" w:right="0" w:firstLine="0"/>
        <w:jc w:val="left"/>
        <w:rPr>
          <w:sz w:val="22"/>
        </w:rPr>
      </w:pPr>
      <w:r>
        <w:rPr>
          <w:w w:val="95"/>
          <w:sz w:val="22"/>
        </w:rPr>
        <w:t>FACULTY:</w:t>
      </w:r>
      <w:r>
        <w:rPr>
          <w:spacing w:val="9"/>
          <w:sz w:val="22"/>
        </w:rPr>
        <w:t> </w:t>
      </w:r>
      <w:r>
        <w:rPr>
          <w:w w:val="95"/>
          <w:sz w:val="22"/>
        </w:rPr>
        <w:t>The</w:t>
      </w:r>
      <w:r>
        <w:rPr>
          <w:spacing w:val="29"/>
          <w:sz w:val="22"/>
        </w:rPr>
        <w:t> </w:t>
      </w:r>
      <w:r>
        <w:rPr>
          <w:spacing w:val="11"/>
          <w:w w:val="95"/>
          <w:sz w:val="22"/>
        </w:rPr>
        <w:t>Dep</w:t>
      </w:r>
      <w:r>
        <w:rPr>
          <w:spacing w:val="-24"/>
          <w:w w:val="95"/>
          <w:sz w:val="22"/>
        </w:rPr>
        <w:t> </w:t>
      </w:r>
      <w:r>
        <w:rPr>
          <w:spacing w:val="12"/>
          <w:w w:val="95"/>
          <w:sz w:val="22"/>
        </w:rPr>
        <w:t>artment</w:t>
      </w:r>
      <w:r>
        <w:rPr>
          <w:spacing w:val="33"/>
          <w:sz w:val="22"/>
        </w:rPr>
        <w:t> </w:t>
      </w:r>
      <w:r>
        <w:rPr>
          <w:w w:val="95"/>
          <w:sz w:val="22"/>
        </w:rPr>
        <w:t>of</w:t>
      </w:r>
      <w:r>
        <w:rPr>
          <w:spacing w:val="30"/>
          <w:sz w:val="22"/>
        </w:rPr>
        <w:t> </w:t>
      </w:r>
      <w:r>
        <w:rPr>
          <w:spacing w:val="12"/>
          <w:w w:val="95"/>
          <w:sz w:val="22"/>
        </w:rPr>
        <w:t>Architecture</w:t>
      </w:r>
      <w:r>
        <w:rPr>
          <w:spacing w:val="24"/>
          <w:sz w:val="22"/>
        </w:rPr>
        <w:t> </w:t>
      </w:r>
      <w:r>
        <w:rPr>
          <w:w w:val="95"/>
          <w:sz w:val="22"/>
        </w:rPr>
        <w:t>is</w:t>
      </w:r>
      <w:r>
        <w:rPr>
          <w:spacing w:val="30"/>
          <w:sz w:val="22"/>
        </w:rPr>
        <w:t> </w:t>
      </w:r>
      <w:r>
        <w:rPr>
          <w:spacing w:val="11"/>
          <w:w w:val="95"/>
          <w:sz w:val="22"/>
        </w:rPr>
        <w:t>proud</w:t>
      </w:r>
      <w:r>
        <w:rPr>
          <w:spacing w:val="37"/>
          <w:sz w:val="22"/>
        </w:rPr>
        <w:t> </w:t>
      </w:r>
      <w:r>
        <w:rPr>
          <w:w w:val="95"/>
          <w:sz w:val="22"/>
        </w:rPr>
        <w:t>to</w:t>
      </w:r>
      <w:r>
        <w:rPr>
          <w:spacing w:val="41"/>
          <w:sz w:val="22"/>
        </w:rPr>
        <w:t> </w:t>
      </w:r>
      <w:r>
        <w:rPr>
          <w:w w:val="95"/>
          <w:sz w:val="22"/>
        </w:rPr>
        <w:t>possess</w:t>
      </w:r>
      <w:r>
        <w:rPr>
          <w:spacing w:val="30"/>
          <w:sz w:val="22"/>
        </w:rPr>
        <w:t> </w:t>
      </w:r>
      <w:r>
        <w:rPr>
          <w:w w:val="95"/>
          <w:sz w:val="22"/>
        </w:rPr>
        <w:t>a</w:t>
      </w:r>
      <w:r>
        <w:rPr>
          <w:spacing w:val="34"/>
          <w:sz w:val="22"/>
        </w:rPr>
        <w:t> </w:t>
      </w:r>
      <w:r>
        <w:rPr>
          <w:w w:val="95"/>
          <w:sz w:val="22"/>
        </w:rPr>
        <w:t>fa</w:t>
      </w:r>
      <w:r>
        <w:rPr>
          <w:spacing w:val="-21"/>
          <w:w w:val="95"/>
          <w:sz w:val="22"/>
        </w:rPr>
        <w:t> </w:t>
      </w:r>
      <w:r>
        <w:rPr>
          <w:w w:val="95"/>
          <w:sz w:val="22"/>
        </w:rPr>
        <w:t>culty</w:t>
      </w:r>
      <w:r>
        <w:rPr>
          <w:spacing w:val="31"/>
          <w:sz w:val="22"/>
        </w:rPr>
        <w:t> </w:t>
      </w:r>
      <w:r>
        <w:rPr>
          <w:spacing w:val="12"/>
          <w:w w:val="95"/>
          <w:sz w:val="22"/>
        </w:rPr>
        <w:t>which</w:t>
      </w:r>
      <w:r>
        <w:rPr>
          <w:spacing w:val="18"/>
          <w:sz w:val="22"/>
        </w:rPr>
        <w:t> </w:t>
      </w:r>
      <w:r>
        <w:rPr>
          <w:spacing w:val="-5"/>
          <w:w w:val="95"/>
          <w:sz w:val="22"/>
        </w:rPr>
        <w:t>is</w:t>
      </w:r>
    </w:p>
    <w:p>
      <w:pPr>
        <w:spacing w:line="292" w:lineRule="auto" w:before="57"/>
        <w:ind w:left="454" w:right="642" w:firstLine="0"/>
        <w:jc w:val="left"/>
        <w:rPr>
          <w:sz w:val="22"/>
        </w:rPr>
      </w:pPr>
      <w:r>
        <w:rPr>
          <w:spacing w:val="15"/>
          <w:sz w:val="22"/>
        </w:rPr>
        <w:t>dedic</w:t>
      </w:r>
      <w:r>
        <w:rPr>
          <w:spacing w:val="-32"/>
          <w:sz w:val="22"/>
        </w:rPr>
        <w:t> </w:t>
      </w:r>
      <w:r>
        <w:rPr>
          <w:spacing w:val="15"/>
          <w:sz w:val="22"/>
        </w:rPr>
        <w:t>ated </w:t>
      </w:r>
      <w:r>
        <w:rPr>
          <w:sz w:val="22"/>
        </w:rPr>
        <w:t>to </w:t>
      </w:r>
      <w:r>
        <w:rPr>
          <w:spacing w:val="9"/>
          <w:sz w:val="22"/>
        </w:rPr>
        <w:t>the </w:t>
      </w:r>
      <w:r>
        <w:rPr>
          <w:spacing w:val="15"/>
          <w:sz w:val="22"/>
        </w:rPr>
        <w:t>educ</w:t>
      </w:r>
      <w:r>
        <w:rPr>
          <w:spacing w:val="-29"/>
          <w:sz w:val="22"/>
        </w:rPr>
        <w:t> </w:t>
      </w:r>
      <w:r>
        <w:rPr>
          <w:spacing w:val="10"/>
          <w:sz w:val="22"/>
        </w:rPr>
        <w:t>ation </w:t>
      </w:r>
      <w:r>
        <w:rPr>
          <w:sz w:val="22"/>
        </w:rPr>
        <w:t>of our </w:t>
      </w:r>
      <w:r>
        <w:rPr>
          <w:spacing w:val="10"/>
          <w:sz w:val="22"/>
        </w:rPr>
        <w:t>students, </w:t>
      </w:r>
      <w:r>
        <w:rPr>
          <w:spacing w:val="13"/>
          <w:sz w:val="22"/>
        </w:rPr>
        <w:t>and </w:t>
      </w:r>
      <w:r>
        <w:rPr>
          <w:spacing w:val="10"/>
          <w:sz w:val="22"/>
        </w:rPr>
        <w:t>who </w:t>
      </w:r>
      <w:r>
        <w:rPr>
          <w:sz w:val="22"/>
        </w:rPr>
        <w:t>also realize </w:t>
      </w:r>
      <w:r>
        <w:rPr>
          <w:spacing w:val="13"/>
          <w:sz w:val="22"/>
        </w:rPr>
        <w:t>that </w:t>
      </w:r>
      <w:r>
        <w:rPr>
          <w:sz w:val="22"/>
        </w:rPr>
        <w:t>their </w:t>
      </w:r>
      <w:r>
        <w:rPr>
          <w:spacing w:val="14"/>
          <w:sz w:val="22"/>
        </w:rPr>
        <w:t>extended </w:t>
      </w:r>
      <w:r>
        <w:rPr>
          <w:spacing w:val="9"/>
          <w:sz w:val="22"/>
        </w:rPr>
        <w:t>professional </w:t>
      </w:r>
      <w:r>
        <w:rPr>
          <w:spacing w:val="11"/>
          <w:sz w:val="22"/>
        </w:rPr>
        <w:t>involvements benefit </w:t>
      </w:r>
      <w:r>
        <w:rPr>
          <w:spacing w:val="9"/>
          <w:sz w:val="22"/>
        </w:rPr>
        <w:t>the </w:t>
      </w:r>
      <w:r>
        <w:rPr>
          <w:spacing w:val="11"/>
          <w:sz w:val="22"/>
        </w:rPr>
        <w:t>students </w:t>
      </w:r>
      <w:r>
        <w:rPr>
          <w:spacing w:val="13"/>
          <w:sz w:val="22"/>
        </w:rPr>
        <w:t>and </w:t>
      </w:r>
      <w:r>
        <w:rPr>
          <w:spacing w:val="9"/>
          <w:sz w:val="22"/>
        </w:rPr>
        <w:t>the </w:t>
      </w:r>
      <w:r>
        <w:rPr>
          <w:spacing w:val="14"/>
          <w:sz w:val="22"/>
        </w:rPr>
        <w:t>department. </w:t>
      </w:r>
      <w:r>
        <w:rPr>
          <w:sz w:val="22"/>
        </w:rPr>
        <w:t>All fa</w:t>
      </w:r>
      <w:r>
        <w:rPr>
          <w:spacing w:val="-27"/>
          <w:sz w:val="22"/>
        </w:rPr>
        <w:t> </w:t>
      </w:r>
      <w:r>
        <w:rPr>
          <w:sz w:val="22"/>
        </w:rPr>
        <w:t>culty are</w:t>
      </w:r>
    </w:p>
    <w:p>
      <w:pPr>
        <w:spacing w:line="292" w:lineRule="auto" w:before="4"/>
        <w:ind w:left="440" w:right="712" w:firstLine="14"/>
        <w:jc w:val="left"/>
        <w:rPr>
          <w:sz w:val="22"/>
        </w:rPr>
      </w:pPr>
      <w:r>
        <w:rPr>
          <w:sz w:val="22"/>
        </w:rPr>
        <w:t>a</w:t>
      </w:r>
      <w:r>
        <w:rPr>
          <w:spacing w:val="-29"/>
          <w:sz w:val="22"/>
        </w:rPr>
        <w:t> </w:t>
      </w:r>
      <w:r>
        <w:rPr>
          <w:sz w:val="22"/>
        </w:rPr>
        <w:t>ctively </w:t>
      </w:r>
      <w:r>
        <w:rPr>
          <w:spacing w:val="11"/>
          <w:sz w:val="22"/>
        </w:rPr>
        <w:t>involved </w:t>
      </w:r>
      <w:r>
        <w:rPr>
          <w:sz w:val="22"/>
        </w:rPr>
        <w:t>in </w:t>
      </w:r>
      <w:r>
        <w:rPr>
          <w:spacing w:val="9"/>
          <w:sz w:val="22"/>
        </w:rPr>
        <w:t>the </w:t>
      </w:r>
      <w:r>
        <w:rPr>
          <w:spacing w:val="13"/>
          <w:sz w:val="22"/>
        </w:rPr>
        <w:t>preparation, </w:t>
      </w:r>
      <w:r>
        <w:rPr>
          <w:spacing w:val="11"/>
          <w:sz w:val="22"/>
        </w:rPr>
        <w:t>presentation, </w:t>
      </w:r>
      <w:r>
        <w:rPr>
          <w:spacing w:val="13"/>
          <w:sz w:val="22"/>
        </w:rPr>
        <w:t>and </w:t>
      </w:r>
      <w:r>
        <w:rPr>
          <w:spacing w:val="11"/>
          <w:sz w:val="22"/>
        </w:rPr>
        <w:t>public</w:t>
      </w:r>
      <w:r>
        <w:rPr>
          <w:spacing w:val="-31"/>
          <w:sz w:val="22"/>
        </w:rPr>
        <w:t> </w:t>
      </w:r>
      <w:r>
        <w:rPr>
          <w:spacing w:val="11"/>
          <w:sz w:val="22"/>
        </w:rPr>
        <w:t>ation </w:t>
      </w:r>
      <w:r>
        <w:rPr>
          <w:sz w:val="22"/>
        </w:rPr>
        <w:t>of p</w:t>
      </w:r>
      <w:r>
        <w:rPr>
          <w:spacing w:val="-31"/>
          <w:sz w:val="22"/>
        </w:rPr>
        <w:t> </w:t>
      </w:r>
      <w:r>
        <w:rPr>
          <w:sz w:val="22"/>
        </w:rPr>
        <w:t>apers, articles, </w:t>
      </w:r>
      <w:r>
        <w:rPr>
          <w:spacing w:val="13"/>
          <w:sz w:val="22"/>
        </w:rPr>
        <w:t>and </w:t>
      </w:r>
      <w:r>
        <w:rPr>
          <w:spacing w:val="12"/>
          <w:sz w:val="22"/>
        </w:rPr>
        <w:t>projects </w:t>
      </w:r>
      <w:r>
        <w:rPr>
          <w:spacing w:val="10"/>
          <w:sz w:val="22"/>
        </w:rPr>
        <w:t>at </w:t>
      </w:r>
      <w:r>
        <w:rPr>
          <w:spacing w:val="9"/>
          <w:sz w:val="22"/>
        </w:rPr>
        <w:t>the </w:t>
      </w:r>
      <w:r>
        <w:rPr>
          <w:spacing w:val="12"/>
          <w:sz w:val="22"/>
        </w:rPr>
        <w:t>national </w:t>
      </w:r>
      <w:r>
        <w:rPr>
          <w:spacing w:val="13"/>
          <w:sz w:val="22"/>
        </w:rPr>
        <w:t>and </w:t>
      </w:r>
      <w:r>
        <w:rPr>
          <w:spacing w:val="11"/>
          <w:sz w:val="22"/>
        </w:rPr>
        <w:t>international</w:t>
      </w:r>
      <w:r>
        <w:rPr>
          <w:spacing w:val="10"/>
          <w:sz w:val="22"/>
        </w:rPr>
        <w:t> </w:t>
      </w:r>
      <w:r>
        <w:rPr>
          <w:sz w:val="22"/>
        </w:rPr>
        <w:t>level. In a</w:t>
      </w:r>
      <w:r>
        <w:rPr>
          <w:spacing w:val="-29"/>
          <w:sz w:val="22"/>
        </w:rPr>
        <w:t> </w:t>
      </w:r>
      <w:r>
        <w:rPr>
          <w:spacing w:val="10"/>
          <w:sz w:val="22"/>
        </w:rPr>
        <w:t>ddition,</w:t>
      </w:r>
      <w:r>
        <w:rPr>
          <w:spacing w:val="8"/>
          <w:sz w:val="22"/>
        </w:rPr>
        <w:t> </w:t>
      </w:r>
      <w:r>
        <w:rPr>
          <w:spacing w:val="11"/>
          <w:sz w:val="22"/>
        </w:rPr>
        <w:t>several </w:t>
      </w:r>
      <w:r>
        <w:rPr>
          <w:sz w:val="22"/>
        </w:rPr>
        <w:t>fa</w:t>
      </w:r>
      <w:r>
        <w:rPr>
          <w:spacing w:val="-29"/>
          <w:sz w:val="22"/>
        </w:rPr>
        <w:t> </w:t>
      </w:r>
      <w:r>
        <w:rPr>
          <w:sz w:val="22"/>
        </w:rPr>
        <w:t>culty </w:t>
      </w:r>
      <w:r>
        <w:rPr>
          <w:spacing w:val="13"/>
          <w:sz w:val="22"/>
        </w:rPr>
        <w:t>have represented </w:t>
      </w:r>
      <w:r>
        <w:rPr>
          <w:spacing w:val="9"/>
          <w:sz w:val="22"/>
        </w:rPr>
        <w:t>the </w:t>
      </w:r>
      <w:r>
        <w:rPr>
          <w:spacing w:val="15"/>
          <w:sz w:val="22"/>
        </w:rPr>
        <w:t>department </w:t>
      </w:r>
      <w:r>
        <w:rPr>
          <w:sz w:val="22"/>
        </w:rPr>
        <w:t>as </w:t>
      </w:r>
      <w:r>
        <w:rPr>
          <w:spacing w:val="15"/>
          <w:sz w:val="22"/>
        </w:rPr>
        <w:t>board </w:t>
      </w:r>
      <w:r>
        <w:rPr>
          <w:spacing w:val="14"/>
          <w:sz w:val="22"/>
        </w:rPr>
        <w:t>members </w:t>
      </w:r>
      <w:r>
        <w:rPr>
          <w:sz w:val="22"/>
        </w:rPr>
        <w:t>of </w:t>
      </w:r>
      <w:r>
        <w:rPr>
          <w:spacing w:val="16"/>
          <w:sz w:val="22"/>
        </w:rPr>
        <w:t>educ</w:t>
      </w:r>
      <w:r>
        <w:rPr>
          <w:spacing w:val="-31"/>
          <w:sz w:val="22"/>
        </w:rPr>
        <w:t> </w:t>
      </w:r>
      <w:r>
        <w:rPr>
          <w:spacing w:val="12"/>
          <w:sz w:val="22"/>
        </w:rPr>
        <w:t>ational and </w:t>
      </w:r>
      <w:r>
        <w:rPr>
          <w:spacing w:val="9"/>
          <w:sz w:val="22"/>
        </w:rPr>
        <w:t>professional</w:t>
      </w:r>
    </w:p>
    <w:p>
      <w:pPr>
        <w:spacing w:before="3"/>
        <w:ind w:left="451" w:right="0" w:firstLine="0"/>
        <w:jc w:val="left"/>
        <w:rPr>
          <w:sz w:val="22"/>
        </w:rPr>
      </w:pPr>
      <w:r>
        <w:rPr>
          <w:spacing w:val="11"/>
          <w:sz w:val="22"/>
        </w:rPr>
        <w:t>organizations</w:t>
      </w:r>
      <w:r>
        <w:rPr>
          <w:spacing w:val="-4"/>
          <w:sz w:val="22"/>
        </w:rPr>
        <w:t> </w:t>
      </w:r>
      <w:r>
        <w:rPr>
          <w:spacing w:val="10"/>
          <w:sz w:val="22"/>
        </w:rPr>
        <w:t>at</w:t>
      </w:r>
      <w:r>
        <w:rPr>
          <w:sz w:val="22"/>
        </w:rPr>
        <w:t> </w:t>
      </w:r>
      <w:r>
        <w:rPr>
          <w:spacing w:val="9"/>
          <w:sz w:val="22"/>
        </w:rPr>
        <w:t>the</w:t>
      </w:r>
      <w:r>
        <w:rPr>
          <w:spacing w:val="-3"/>
          <w:sz w:val="22"/>
        </w:rPr>
        <w:t> </w:t>
      </w:r>
      <w:r>
        <w:rPr>
          <w:spacing w:val="12"/>
          <w:sz w:val="22"/>
        </w:rPr>
        <w:t>loc</w:t>
      </w:r>
      <w:r>
        <w:rPr>
          <w:spacing w:val="-30"/>
          <w:sz w:val="22"/>
        </w:rPr>
        <w:t> </w:t>
      </w:r>
      <w:r>
        <w:rPr>
          <w:sz w:val="22"/>
        </w:rPr>
        <w:t>al,</w:t>
      </w:r>
      <w:r>
        <w:rPr>
          <w:spacing w:val="-12"/>
          <w:sz w:val="22"/>
        </w:rPr>
        <w:t> </w:t>
      </w:r>
      <w:r>
        <w:rPr>
          <w:spacing w:val="12"/>
          <w:sz w:val="22"/>
        </w:rPr>
        <w:t>state,</w:t>
      </w:r>
      <w:r>
        <w:rPr>
          <w:sz w:val="22"/>
        </w:rPr>
        <w:t> </w:t>
      </w:r>
      <w:r>
        <w:rPr>
          <w:spacing w:val="13"/>
          <w:sz w:val="22"/>
        </w:rPr>
        <w:t>and</w:t>
      </w:r>
      <w:r>
        <w:rPr>
          <w:spacing w:val="6"/>
          <w:sz w:val="22"/>
        </w:rPr>
        <w:t> </w:t>
      </w:r>
      <w:r>
        <w:rPr>
          <w:spacing w:val="12"/>
          <w:sz w:val="22"/>
        </w:rPr>
        <w:t>national</w:t>
      </w:r>
      <w:r>
        <w:rPr>
          <w:spacing w:val="-9"/>
          <w:sz w:val="22"/>
        </w:rPr>
        <w:t> </w:t>
      </w:r>
      <w:r>
        <w:rPr>
          <w:spacing w:val="-2"/>
          <w:sz w:val="22"/>
        </w:rPr>
        <w:t>level.</w:t>
      </w:r>
    </w:p>
    <w:p>
      <w:pPr>
        <w:spacing w:after="0"/>
        <w:jc w:val="left"/>
        <w:rPr>
          <w:sz w:val="22"/>
        </w:rPr>
        <w:sectPr>
          <w:headerReference w:type="default" r:id="rId291"/>
          <w:footerReference w:type="default" r:id="rId292"/>
          <w:pgSz w:w="12240" w:h="15840"/>
          <w:pgMar w:header="0" w:footer="748" w:top="1380" w:bottom="940" w:left="1000" w:right="820"/>
        </w:sectPr>
      </w:pPr>
    </w:p>
    <w:p>
      <w:pPr>
        <w:spacing w:before="77"/>
        <w:ind w:left="440" w:right="0" w:firstLine="0"/>
        <w:jc w:val="left"/>
        <w:rPr>
          <w:sz w:val="22"/>
        </w:rPr>
      </w:pPr>
      <w:r>
        <w:rPr>
          <w:sz w:val="22"/>
        </w:rPr>
        <w:t>Fa</w:t>
      </w:r>
      <w:r>
        <w:rPr>
          <w:spacing w:val="-32"/>
          <w:sz w:val="22"/>
        </w:rPr>
        <w:t> </w:t>
      </w:r>
      <w:r>
        <w:rPr>
          <w:sz w:val="22"/>
        </w:rPr>
        <w:t>culty</w:t>
      </w:r>
      <w:r>
        <w:rPr>
          <w:spacing w:val="17"/>
          <w:sz w:val="22"/>
        </w:rPr>
        <w:t> </w:t>
      </w:r>
      <w:r>
        <w:rPr>
          <w:sz w:val="22"/>
        </w:rPr>
        <w:t>within</w:t>
      </w:r>
      <w:r>
        <w:rPr>
          <w:spacing w:val="14"/>
          <w:sz w:val="22"/>
        </w:rPr>
        <w:t> </w:t>
      </w:r>
      <w:r>
        <w:rPr>
          <w:spacing w:val="9"/>
          <w:sz w:val="22"/>
        </w:rPr>
        <w:t>the</w:t>
      </w:r>
      <w:r>
        <w:rPr>
          <w:spacing w:val="27"/>
          <w:sz w:val="22"/>
        </w:rPr>
        <w:t> </w:t>
      </w:r>
      <w:r>
        <w:rPr>
          <w:spacing w:val="15"/>
          <w:sz w:val="22"/>
        </w:rPr>
        <w:t>department</w:t>
      </w:r>
      <w:r>
        <w:rPr>
          <w:spacing w:val="22"/>
          <w:sz w:val="22"/>
        </w:rPr>
        <w:t> </w:t>
      </w:r>
      <w:r>
        <w:rPr>
          <w:sz w:val="22"/>
        </w:rPr>
        <w:t>are</w:t>
      </w:r>
      <w:r>
        <w:rPr>
          <w:spacing w:val="27"/>
          <w:sz w:val="22"/>
        </w:rPr>
        <w:t> </w:t>
      </w:r>
      <w:r>
        <w:rPr>
          <w:sz w:val="22"/>
        </w:rPr>
        <w:t>a</w:t>
      </w:r>
      <w:r>
        <w:rPr>
          <w:spacing w:val="-32"/>
          <w:sz w:val="22"/>
        </w:rPr>
        <w:t> </w:t>
      </w:r>
      <w:r>
        <w:rPr>
          <w:sz w:val="22"/>
        </w:rPr>
        <w:t>c</w:t>
      </w:r>
      <w:r>
        <w:rPr>
          <w:spacing w:val="-27"/>
          <w:sz w:val="22"/>
        </w:rPr>
        <w:t> </w:t>
      </w:r>
      <w:r>
        <w:rPr>
          <w:sz w:val="22"/>
        </w:rPr>
        <w:t>cessible,</w:t>
      </w:r>
      <w:r>
        <w:rPr>
          <w:spacing w:val="12"/>
          <w:sz w:val="22"/>
        </w:rPr>
        <w:t> </w:t>
      </w:r>
      <w:r>
        <w:rPr>
          <w:spacing w:val="11"/>
          <w:sz w:val="22"/>
        </w:rPr>
        <w:t>maintaining</w:t>
      </w:r>
      <w:r>
        <w:rPr>
          <w:spacing w:val="26"/>
          <w:sz w:val="22"/>
        </w:rPr>
        <w:t> </w:t>
      </w:r>
      <w:r>
        <w:rPr>
          <w:spacing w:val="16"/>
          <w:sz w:val="22"/>
        </w:rPr>
        <w:t>open</w:t>
      </w:r>
      <w:r>
        <w:rPr>
          <w:spacing w:val="22"/>
          <w:sz w:val="22"/>
        </w:rPr>
        <w:t> </w:t>
      </w:r>
      <w:r>
        <w:rPr>
          <w:spacing w:val="13"/>
          <w:sz w:val="22"/>
        </w:rPr>
        <w:t>door</w:t>
      </w:r>
      <w:r>
        <w:rPr>
          <w:spacing w:val="16"/>
          <w:sz w:val="22"/>
        </w:rPr>
        <w:t> </w:t>
      </w:r>
      <w:r>
        <w:rPr>
          <w:spacing w:val="9"/>
          <w:sz w:val="22"/>
        </w:rPr>
        <w:t>policies.</w:t>
      </w:r>
      <w:r>
        <w:rPr>
          <w:spacing w:val="10"/>
          <w:sz w:val="22"/>
        </w:rPr>
        <w:t> </w:t>
      </w:r>
      <w:r>
        <w:rPr>
          <w:spacing w:val="8"/>
          <w:sz w:val="22"/>
        </w:rPr>
        <w:t>Office</w:t>
      </w:r>
    </w:p>
    <w:p>
      <w:pPr>
        <w:spacing w:line="295" w:lineRule="auto" w:before="56"/>
        <w:ind w:left="450" w:right="676" w:hanging="5"/>
        <w:jc w:val="left"/>
        <w:rPr>
          <w:sz w:val="22"/>
        </w:rPr>
      </w:pPr>
      <w:r>
        <w:rPr>
          <w:sz w:val="22"/>
        </w:rPr>
        <w:t>hours for </w:t>
      </w:r>
      <w:r>
        <w:rPr>
          <w:spacing w:val="11"/>
          <w:sz w:val="22"/>
        </w:rPr>
        <w:t>ea</w:t>
      </w:r>
      <w:r>
        <w:rPr>
          <w:spacing w:val="-32"/>
          <w:sz w:val="22"/>
        </w:rPr>
        <w:t> </w:t>
      </w:r>
      <w:r>
        <w:rPr>
          <w:spacing w:val="11"/>
          <w:sz w:val="22"/>
        </w:rPr>
        <w:t>ch </w:t>
      </w:r>
      <w:r>
        <w:rPr>
          <w:sz w:val="22"/>
        </w:rPr>
        <w:t>fa</w:t>
      </w:r>
      <w:r>
        <w:rPr>
          <w:spacing w:val="-32"/>
          <w:sz w:val="22"/>
        </w:rPr>
        <w:t> </w:t>
      </w:r>
      <w:r>
        <w:rPr>
          <w:spacing w:val="9"/>
          <w:sz w:val="22"/>
        </w:rPr>
        <w:t>culty </w:t>
      </w:r>
      <w:r>
        <w:rPr>
          <w:spacing w:val="16"/>
          <w:sz w:val="22"/>
        </w:rPr>
        <w:t>member </w:t>
      </w:r>
      <w:r>
        <w:rPr>
          <w:sz w:val="22"/>
        </w:rPr>
        <w:t>c</w:t>
      </w:r>
      <w:r>
        <w:rPr>
          <w:spacing w:val="-28"/>
          <w:sz w:val="22"/>
        </w:rPr>
        <w:t> </w:t>
      </w:r>
      <w:r>
        <w:rPr>
          <w:sz w:val="22"/>
        </w:rPr>
        <w:t>an</w:t>
      </w:r>
      <w:r>
        <w:rPr>
          <w:spacing w:val="12"/>
          <w:sz w:val="22"/>
        </w:rPr>
        <w:t> be found </w:t>
      </w:r>
      <w:r>
        <w:rPr>
          <w:sz w:val="22"/>
        </w:rPr>
        <w:t>on</w:t>
      </w:r>
      <w:r>
        <w:rPr>
          <w:spacing w:val="16"/>
          <w:sz w:val="22"/>
        </w:rPr>
        <w:t> </w:t>
      </w:r>
      <w:r>
        <w:rPr>
          <w:sz w:val="22"/>
        </w:rPr>
        <w:t>their</w:t>
      </w:r>
      <w:r>
        <w:rPr>
          <w:spacing w:val="20"/>
          <w:sz w:val="22"/>
        </w:rPr>
        <w:t> </w:t>
      </w:r>
      <w:r>
        <w:rPr>
          <w:sz w:val="22"/>
        </w:rPr>
        <w:t>c</w:t>
      </w:r>
      <w:r>
        <w:rPr>
          <w:spacing w:val="-32"/>
          <w:sz w:val="22"/>
        </w:rPr>
        <w:t> </w:t>
      </w:r>
      <w:r>
        <w:rPr>
          <w:sz w:val="22"/>
        </w:rPr>
        <w:t>ourse syllabi</w:t>
      </w:r>
      <w:r>
        <w:rPr>
          <w:spacing w:val="13"/>
          <w:sz w:val="22"/>
        </w:rPr>
        <w:t> and</w:t>
      </w:r>
      <w:r>
        <w:rPr>
          <w:spacing w:val="33"/>
          <w:sz w:val="22"/>
        </w:rPr>
        <w:t> </w:t>
      </w:r>
      <w:r>
        <w:rPr>
          <w:spacing w:val="13"/>
          <w:sz w:val="22"/>
        </w:rPr>
        <w:t>posted </w:t>
      </w:r>
      <w:r>
        <w:rPr>
          <w:spacing w:val="10"/>
          <w:sz w:val="22"/>
        </w:rPr>
        <w:t>outside </w:t>
      </w:r>
      <w:r>
        <w:rPr>
          <w:sz w:val="22"/>
        </w:rPr>
        <w:t>of</w:t>
      </w:r>
      <w:r>
        <w:rPr>
          <w:spacing w:val="24"/>
          <w:sz w:val="22"/>
        </w:rPr>
        <w:t> </w:t>
      </w:r>
      <w:r>
        <w:rPr>
          <w:sz w:val="22"/>
        </w:rPr>
        <w:t>their</w:t>
      </w:r>
      <w:r>
        <w:rPr>
          <w:spacing w:val="25"/>
          <w:sz w:val="22"/>
        </w:rPr>
        <w:t> </w:t>
      </w:r>
      <w:r>
        <w:rPr>
          <w:sz w:val="22"/>
        </w:rPr>
        <w:t>offic</w:t>
      </w:r>
      <w:r>
        <w:rPr>
          <w:spacing w:val="-29"/>
          <w:sz w:val="22"/>
        </w:rPr>
        <w:t> </w:t>
      </w:r>
      <w:r>
        <w:rPr>
          <w:sz w:val="22"/>
        </w:rPr>
        <w:t>e</w:t>
      </w:r>
      <w:r>
        <w:rPr>
          <w:spacing w:val="40"/>
          <w:sz w:val="22"/>
        </w:rPr>
        <w:t> </w:t>
      </w:r>
      <w:r>
        <w:rPr>
          <w:spacing w:val="11"/>
          <w:sz w:val="22"/>
        </w:rPr>
        <w:t>door.</w:t>
      </w:r>
      <w:r>
        <w:rPr>
          <w:spacing w:val="80"/>
          <w:sz w:val="22"/>
        </w:rPr>
        <w:t> </w:t>
      </w:r>
      <w:r>
        <w:rPr>
          <w:sz w:val="22"/>
        </w:rPr>
        <w:t>Still,</w:t>
      </w:r>
      <w:r>
        <w:rPr>
          <w:spacing w:val="9"/>
          <w:sz w:val="22"/>
        </w:rPr>
        <w:t> </w:t>
      </w:r>
      <w:r>
        <w:rPr>
          <w:sz w:val="22"/>
        </w:rPr>
        <w:t>it</w:t>
      </w:r>
      <w:r>
        <w:rPr>
          <w:spacing w:val="32"/>
          <w:sz w:val="22"/>
        </w:rPr>
        <w:t> </w:t>
      </w:r>
      <w:r>
        <w:rPr>
          <w:spacing w:val="14"/>
          <w:sz w:val="22"/>
        </w:rPr>
        <w:t>may</w:t>
      </w:r>
      <w:r>
        <w:rPr>
          <w:spacing w:val="32"/>
          <w:sz w:val="22"/>
        </w:rPr>
        <w:t> </w:t>
      </w:r>
      <w:r>
        <w:rPr>
          <w:spacing w:val="12"/>
          <w:sz w:val="22"/>
        </w:rPr>
        <w:t>be</w:t>
      </w:r>
      <w:r>
        <w:rPr>
          <w:spacing w:val="31"/>
          <w:sz w:val="22"/>
        </w:rPr>
        <w:t> </w:t>
      </w:r>
      <w:r>
        <w:rPr>
          <w:spacing w:val="9"/>
          <w:sz w:val="22"/>
        </w:rPr>
        <w:t>helpful</w:t>
      </w:r>
      <w:r>
        <w:rPr>
          <w:spacing w:val="21"/>
          <w:sz w:val="22"/>
        </w:rPr>
        <w:t> </w:t>
      </w:r>
      <w:r>
        <w:rPr>
          <w:sz w:val="22"/>
        </w:rPr>
        <w:t>to</w:t>
      </w:r>
      <w:r>
        <w:rPr>
          <w:spacing w:val="24"/>
          <w:sz w:val="22"/>
        </w:rPr>
        <w:t> </w:t>
      </w:r>
      <w:r>
        <w:rPr>
          <w:spacing w:val="13"/>
          <w:sz w:val="22"/>
        </w:rPr>
        <w:t>schedule</w:t>
      </w:r>
      <w:r>
        <w:rPr>
          <w:spacing w:val="40"/>
          <w:sz w:val="22"/>
        </w:rPr>
        <w:t> </w:t>
      </w:r>
      <w:r>
        <w:rPr>
          <w:sz w:val="22"/>
        </w:rPr>
        <w:t>a</w:t>
      </w:r>
      <w:r>
        <w:rPr>
          <w:spacing w:val="40"/>
          <w:sz w:val="22"/>
        </w:rPr>
        <w:t> </w:t>
      </w:r>
      <w:r>
        <w:rPr>
          <w:spacing w:val="10"/>
          <w:sz w:val="22"/>
        </w:rPr>
        <w:t>meeting</w:t>
      </w:r>
      <w:r>
        <w:rPr>
          <w:spacing w:val="40"/>
          <w:sz w:val="22"/>
        </w:rPr>
        <w:t> </w:t>
      </w:r>
      <w:r>
        <w:rPr>
          <w:sz w:val="22"/>
        </w:rPr>
        <w:t>during</w:t>
      </w:r>
      <w:r>
        <w:rPr>
          <w:spacing w:val="39"/>
          <w:sz w:val="22"/>
        </w:rPr>
        <w:t> </w:t>
      </w:r>
      <w:r>
        <w:rPr>
          <w:sz w:val="22"/>
        </w:rPr>
        <w:t>offic</w:t>
      </w:r>
      <w:r>
        <w:rPr>
          <w:spacing w:val="-29"/>
          <w:sz w:val="22"/>
        </w:rPr>
        <w:t> </w:t>
      </w:r>
      <w:r>
        <w:rPr>
          <w:sz w:val="22"/>
        </w:rPr>
        <w:t>e</w:t>
      </w:r>
      <w:r>
        <w:rPr>
          <w:spacing w:val="31"/>
          <w:sz w:val="22"/>
        </w:rPr>
        <w:t> </w:t>
      </w:r>
      <w:r>
        <w:rPr>
          <w:sz w:val="22"/>
        </w:rPr>
        <w:t>hours</w:t>
      </w:r>
      <w:r>
        <w:rPr>
          <w:spacing w:val="11"/>
          <w:sz w:val="22"/>
        </w:rPr>
        <w:t> </w:t>
      </w:r>
      <w:r>
        <w:rPr>
          <w:sz w:val="22"/>
        </w:rPr>
        <w:t>in</w:t>
      </w:r>
      <w:r>
        <w:rPr>
          <w:sz w:val="22"/>
        </w:rPr>
        <w:t> a</w:t>
      </w:r>
      <w:r>
        <w:rPr>
          <w:spacing w:val="-25"/>
          <w:sz w:val="22"/>
        </w:rPr>
        <w:t> </w:t>
      </w:r>
      <w:r>
        <w:rPr>
          <w:spacing w:val="15"/>
          <w:sz w:val="22"/>
        </w:rPr>
        <w:t>dvanc</w:t>
      </w:r>
      <w:r>
        <w:rPr>
          <w:spacing w:val="-27"/>
          <w:sz w:val="22"/>
        </w:rPr>
        <w:t> </w:t>
      </w:r>
      <w:r>
        <w:rPr>
          <w:sz w:val="22"/>
        </w:rPr>
        <w:t>e, to</w:t>
      </w:r>
      <w:r>
        <w:rPr>
          <w:spacing w:val="14"/>
          <w:sz w:val="22"/>
        </w:rPr>
        <w:t> guarantee </w:t>
      </w:r>
      <w:r>
        <w:rPr>
          <w:spacing w:val="13"/>
          <w:sz w:val="22"/>
        </w:rPr>
        <w:t>that </w:t>
      </w:r>
      <w:r>
        <w:rPr>
          <w:spacing w:val="10"/>
          <w:sz w:val="22"/>
        </w:rPr>
        <w:t>you </w:t>
      </w:r>
      <w:r>
        <w:rPr>
          <w:sz w:val="22"/>
        </w:rPr>
        <w:t>will </w:t>
      </w:r>
      <w:r>
        <w:rPr>
          <w:spacing w:val="11"/>
          <w:sz w:val="22"/>
        </w:rPr>
        <w:t>not </w:t>
      </w:r>
      <w:r>
        <w:rPr>
          <w:spacing w:val="13"/>
          <w:sz w:val="22"/>
        </w:rPr>
        <w:t>have </w:t>
      </w:r>
      <w:r>
        <w:rPr>
          <w:sz w:val="22"/>
        </w:rPr>
        <w:t>to</w:t>
      </w:r>
      <w:r>
        <w:rPr>
          <w:spacing w:val="10"/>
          <w:sz w:val="22"/>
        </w:rPr>
        <w:t> wait.</w:t>
      </w:r>
    </w:p>
    <w:p>
      <w:pPr>
        <w:pStyle w:val="BodyText"/>
        <w:spacing w:before="8"/>
        <w:rPr>
          <w:sz w:val="26"/>
        </w:rPr>
      </w:pPr>
    </w:p>
    <w:p>
      <w:pPr>
        <w:spacing w:before="0"/>
        <w:ind w:left="440" w:right="0" w:firstLine="0"/>
        <w:jc w:val="left"/>
        <w:rPr>
          <w:sz w:val="22"/>
        </w:rPr>
      </w:pPr>
      <w:r>
        <w:rPr>
          <w:w w:val="95"/>
          <w:sz w:val="22"/>
        </w:rPr>
        <w:t>STUDENTS:</w:t>
      </w:r>
      <w:r>
        <w:rPr>
          <w:spacing w:val="16"/>
          <w:sz w:val="22"/>
        </w:rPr>
        <w:t> </w:t>
      </w:r>
      <w:r>
        <w:rPr>
          <w:w w:val="95"/>
          <w:sz w:val="22"/>
        </w:rPr>
        <w:t>Our</w:t>
      </w:r>
      <w:r>
        <w:rPr>
          <w:spacing w:val="11"/>
          <w:w w:val="95"/>
          <w:sz w:val="22"/>
        </w:rPr>
        <w:t> </w:t>
      </w:r>
      <w:r>
        <w:rPr>
          <w:spacing w:val="12"/>
          <w:w w:val="95"/>
          <w:sz w:val="22"/>
        </w:rPr>
        <w:t>student</w:t>
      </w:r>
      <w:r>
        <w:rPr>
          <w:spacing w:val="30"/>
          <w:sz w:val="22"/>
        </w:rPr>
        <w:t> </w:t>
      </w:r>
      <w:r>
        <w:rPr>
          <w:spacing w:val="16"/>
          <w:w w:val="95"/>
          <w:sz w:val="22"/>
        </w:rPr>
        <w:t>body</w:t>
      </w:r>
      <w:r>
        <w:rPr>
          <w:spacing w:val="15"/>
          <w:w w:val="95"/>
          <w:sz w:val="22"/>
        </w:rPr>
        <w:t> </w:t>
      </w:r>
      <w:r>
        <w:rPr>
          <w:w w:val="95"/>
          <w:sz w:val="22"/>
        </w:rPr>
        <w:t>is</w:t>
      </w:r>
      <w:r>
        <w:rPr>
          <w:spacing w:val="23"/>
          <w:sz w:val="22"/>
        </w:rPr>
        <w:t> </w:t>
      </w:r>
      <w:r>
        <w:rPr>
          <w:w w:val="95"/>
          <w:sz w:val="22"/>
        </w:rPr>
        <w:t>diverse.</w:t>
      </w:r>
      <w:r>
        <w:rPr>
          <w:spacing w:val="9"/>
          <w:w w:val="95"/>
          <w:sz w:val="22"/>
        </w:rPr>
        <w:t> </w:t>
      </w:r>
      <w:r>
        <w:rPr>
          <w:spacing w:val="11"/>
          <w:w w:val="95"/>
          <w:sz w:val="22"/>
        </w:rPr>
        <w:t>Students</w:t>
      </w:r>
      <w:r>
        <w:rPr>
          <w:spacing w:val="26"/>
          <w:sz w:val="22"/>
        </w:rPr>
        <w:t> </w:t>
      </w:r>
      <w:r>
        <w:rPr>
          <w:w w:val="95"/>
          <w:sz w:val="22"/>
        </w:rPr>
        <w:t>c</w:t>
      </w:r>
      <w:r>
        <w:rPr>
          <w:spacing w:val="-26"/>
          <w:w w:val="95"/>
          <w:sz w:val="22"/>
        </w:rPr>
        <w:t> </w:t>
      </w:r>
      <w:r>
        <w:rPr>
          <w:spacing w:val="14"/>
          <w:w w:val="95"/>
          <w:sz w:val="22"/>
        </w:rPr>
        <w:t>ome</w:t>
      </w:r>
      <w:r>
        <w:rPr>
          <w:spacing w:val="27"/>
          <w:sz w:val="22"/>
        </w:rPr>
        <w:t> </w:t>
      </w:r>
      <w:r>
        <w:rPr>
          <w:w w:val="95"/>
          <w:sz w:val="22"/>
        </w:rPr>
        <w:t>to</w:t>
      </w:r>
      <w:r>
        <w:rPr>
          <w:spacing w:val="31"/>
          <w:sz w:val="22"/>
        </w:rPr>
        <w:t> </w:t>
      </w:r>
      <w:r>
        <w:rPr>
          <w:w w:val="95"/>
          <w:sz w:val="22"/>
        </w:rPr>
        <w:t>our</w:t>
      </w:r>
      <w:r>
        <w:rPr>
          <w:spacing w:val="24"/>
          <w:sz w:val="22"/>
        </w:rPr>
        <w:t> </w:t>
      </w:r>
      <w:r>
        <w:rPr>
          <w:spacing w:val="13"/>
          <w:w w:val="95"/>
          <w:sz w:val="22"/>
        </w:rPr>
        <w:t>program</w:t>
      </w:r>
      <w:r>
        <w:rPr>
          <w:spacing w:val="24"/>
          <w:sz w:val="22"/>
        </w:rPr>
        <w:t> </w:t>
      </w:r>
      <w:r>
        <w:rPr>
          <w:w w:val="95"/>
          <w:sz w:val="22"/>
        </w:rPr>
        <w:t>from</w:t>
      </w:r>
      <w:r>
        <w:rPr>
          <w:spacing w:val="35"/>
          <w:sz w:val="22"/>
        </w:rPr>
        <w:t> </w:t>
      </w:r>
      <w:r>
        <w:rPr>
          <w:w w:val="95"/>
          <w:sz w:val="22"/>
        </w:rPr>
        <w:t>all</w:t>
      </w:r>
      <w:r>
        <w:rPr>
          <w:spacing w:val="13"/>
          <w:sz w:val="22"/>
        </w:rPr>
        <w:t> </w:t>
      </w:r>
      <w:r>
        <w:rPr>
          <w:spacing w:val="-2"/>
          <w:w w:val="95"/>
          <w:sz w:val="22"/>
        </w:rPr>
        <w:t>fifty</w:t>
      </w:r>
    </w:p>
    <w:p>
      <w:pPr>
        <w:spacing w:line="295" w:lineRule="auto" w:before="57"/>
        <w:ind w:left="445" w:right="888" w:hanging="6"/>
        <w:jc w:val="left"/>
        <w:rPr>
          <w:sz w:val="22"/>
        </w:rPr>
      </w:pPr>
      <w:r>
        <w:rPr>
          <w:spacing w:val="10"/>
          <w:sz w:val="22"/>
        </w:rPr>
        <w:t>states,</w:t>
      </w:r>
      <w:r>
        <w:rPr>
          <w:spacing w:val="7"/>
          <w:sz w:val="22"/>
        </w:rPr>
        <w:t> </w:t>
      </w:r>
      <w:r>
        <w:rPr>
          <w:spacing w:val="9"/>
          <w:sz w:val="22"/>
        </w:rPr>
        <w:t>the </w:t>
      </w:r>
      <w:r>
        <w:rPr>
          <w:spacing w:val="14"/>
          <w:sz w:val="22"/>
        </w:rPr>
        <w:t>Caribbean,</w:t>
      </w:r>
      <w:r>
        <w:rPr>
          <w:spacing w:val="8"/>
          <w:sz w:val="22"/>
        </w:rPr>
        <w:t> </w:t>
      </w:r>
      <w:r>
        <w:rPr>
          <w:sz w:val="22"/>
        </w:rPr>
        <w:t>Afric</w:t>
      </w:r>
      <w:r>
        <w:rPr>
          <w:spacing w:val="-32"/>
          <w:sz w:val="22"/>
        </w:rPr>
        <w:t> </w:t>
      </w:r>
      <w:r>
        <w:rPr>
          <w:sz w:val="22"/>
        </w:rPr>
        <w:t>a, </w:t>
      </w:r>
      <w:r>
        <w:rPr>
          <w:spacing w:val="13"/>
          <w:sz w:val="22"/>
        </w:rPr>
        <w:t>and </w:t>
      </w:r>
      <w:r>
        <w:rPr>
          <w:spacing w:val="11"/>
          <w:sz w:val="22"/>
        </w:rPr>
        <w:t>other </w:t>
      </w:r>
      <w:r>
        <w:rPr>
          <w:sz w:val="22"/>
        </w:rPr>
        <w:t>c</w:t>
      </w:r>
      <w:r>
        <w:rPr>
          <w:spacing w:val="-32"/>
          <w:sz w:val="22"/>
        </w:rPr>
        <w:t> </w:t>
      </w:r>
      <w:r>
        <w:rPr>
          <w:sz w:val="22"/>
        </w:rPr>
        <w:t>ountries. These </w:t>
      </w:r>
      <w:r>
        <w:rPr>
          <w:spacing w:val="12"/>
          <w:sz w:val="22"/>
        </w:rPr>
        <w:t>include both </w:t>
      </w:r>
      <w:r>
        <w:rPr>
          <w:sz w:val="22"/>
        </w:rPr>
        <w:t>tra</w:t>
      </w:r>
      <w:r>
        <w:rPr>
          <w:spacing w:val="-32"/>
          <w:sz w:val="22"/>
        </w:rPr>
        <w:t> </w:t>
      </w:r>
      <w:r>
        <w:rPr>
          <w:spacing w:val="10"/>
          <w:sz w:val="22"/>
        </w:rPr>
        <w:t>ditional </w:t>
      </w:r>
      <w:r>
        <w:rPr>
          <w:spacing w:val="13"/>
          <w:sz w:val="22"/>
        </w:rPr>
        <w:t>and </w:t>
      </w:r>
      <w:r>
        <w:rPr>
          <w:spacing w:val="11"/>
          <w:sz w:val="22"/>
        </w:rPr>
        <w:t>non-traditional</w:t>
      </w:r>
      <w:r>
        <w:rPr>
          <w:spacing w:val="2"/>
          <w:sz w:val="22"/>
        </w:rPr>
        <w:t> </w:t>
      </w:r>
      <w:r>
        <w:rPr>
          <w:spacing w:val="10"/>
          <w:sz w:val="22"/>
        </w:rPr>
        <w:t>students. One </w:t>
      </w:r>
      <w:r>
        <w:rPr>
          <w:sz w:val="22"/>
        </w:rPr>
        <w:t>of </w:t>
      </w:r>
      <w:r>
        <w:rPr>
          <w:spacing w:val="9"/>
          <w:sz w:val="22"/>
        </w:rPr>
        <w:t>the </w:t>
      </w:r>
      <w:r>
        <w:rPr>
          <w:spacing w:val="12"/>
          <w:sz w:val="22"/>
        </w:rPr>
        <w:t>greatest</w:t>
      </w:r>
      <w:r>
        <w:rPr>
          <w:spacing w:val="8"/>
          <w:sz w:val="22"/>
        </w:rPr>
        <w:t> </w:t>
      </w:r>
      <w:r>
        <w:rPr>
          <w:spacing w:val="11"/>
          <w:sz w:val="22"/>
        </w:rPr>
        <w:t>resources</w:t>
      </w:r>
      <w:r>
        <w:rPr>
          <w:spacing w:val="6"/>
          <w:sz w:val="22"/>
        </w:rPr>
        <w:t> </w:t>
      </w:r>
      <w:r>
        <w:rPr>
          <w:spacing w:val="10"/>
          <w:sz w:val="22"/>
        </w:rPr>
        <w:t>you </w:t>
      </w:r>
      <w:r>
        <w:rPr>
          <w:sz w:val="22"/>
        </w:rPr>
        <w:t>will </w:t>
      </w:r>
      <w:r>
        <w:rPr>
          <w:spacing w:val="13"/>
          <w:sz w:val="22"/>
        </w:rPr>
        <w:t>have </w:t>
      </w:r>
      <w:r>
        <w:rPr>
          <w:sz w:val="22"/>
        </w:rPr>
        <w:t>while </w:t>
      </w:r>
      <w:r>
        <w:rPr>
          <w:spacing w:val="10"/>
          <w:sz w:val="22"/>
        </w:rPr>
        <w:t>you</w:t>
      </w:r>
      <w:r>
        <w:rPr>
          <w:spacing w:val="7"/>
          <w:sz w:val="22"/>
        </w:rPr>
        <w:t> </w:t>
      </w:r>
      <w:r>
        <w:rPr>
          <w:spacing w:val="11"/>
          <w:sz w:val="22"/>
        </w:rPr>
        <w:t>study </w:t>
      </w:r>
      <w:r>
        <w:rPr>
          <w:spacing w:val="9"/>
          <w:sz w:val="22"/>
        </w:rPr>
        <w:t>here </w:t>
      </w:r>
      <w:r>
        <w:rPr>
          <w:sz w:val="22"/>
        </w:rPr>
        <w:t>is your </w:t>
      </w:r>
      <w:r>
        <w:rPr>
          <w:spacing w:val="9"/>
          <w:sz w:val="22"/>
        </w:rPr>
        <w:t>fellow </w:t>
      </w:r>
      <w:r>
        <w:rPr>
          <w:spacing w:val="12"/>
          <w:sz w:val="22"/>
        </w:rPr>
        <w:t>student</w:t>
      </w:r>
      <w:r>
        <w:rPr>
          <w:spacing w:val="14"/>
          <w:sz w:val="22"/>
        </w:rPr>
        <w:t> body. </w:t>
      </w:r>
      <w:r>
        <w:rPr>
          <w:sz w:val="22"/>
        </w:rPr>
        <w:t>Almost</w:t>
      </w:r>
      <w:r>
        <w:rPr>
          <w:spacing w:val="22"/>
          <w:sz w:val="22"/>
        </w:rPr>
        <w:t> </w:t>
      </w:r>
      <w:r>
        <w:rPr>
          <w:sz w:val="22"/>
        </w:rPr>
        <w:t>every</w:t>
      </w:r>
      <w:r>
        <w:rPr>
          <w:spacing w:val="26"/>
          <w:sz w:val="22"/>
        </w:rPr>
        <w:t> </w:t>
      </w:r>
      <w:r>
        <w:rPr>
          <w:sz w:val="22"/>
        </w:rPr>
        <w:t>c</w:t>
      </w:r>
      <w:r>
        <w:rPr>
          <w:spacing w:val="-31"/>
          <w:sz w:val="22"/>
        </w:rPr>
        <w:t> </w:t>
      </w:r>
      <w:r>
        <w:rPr>
          <w:sz w:val="22"/>
        </w:rPr>
        <w:t>ourse</w:t>
      </w:r>
      <w:r>
        <w:rPr>
          <w:spacing w:val="16"/>
          <w:sz w:val="22"/>
        </w:rPr>
        <w:t> </w:t>
      </w:r>
      <w:r>
        <w:rPr>
          <w:sz w:val="22"/>
        </w:rPr>
        <w:t>in</w:t>
      </w:r>
      <w:r>
        <w:rPr>
          <w:spacing w:val="22"/>
          <w:sz w:val="22"/>
        </w:rPr>
        <w:t> </w:t>
      </w:r>
      <w:r>
        <w:rPr>
          <w:sz w:val="22"/>
        </w:rPr>
        <w:t>our</w:t>
      </w:r>
      <w:r>
        <w:rPr>
          <w:spacing w:val="20"/>
          <w:sz w:val="22"/>
        </w:rPr>
        <w:t> </w:t>
      </w:r>
      <w:r>
        <w:rPr>
          <w:sz w:val="22"/>
        </w:rPr>
        <w:t>curriculum</w:t>
      </w:r>
      <w:r>
        <w:rPr>
          <w:spacing w:val="29"/>
          <w:sz w:val="22"/>
        </w:rPr>
        <w:t> </w:t>
      </w:r>
      <w:r>
        <w:rPr>
          <w:sz w:val="22"/>
        </w:rPr>
        <w:t>will </w:t>
      </w:r>
      <w:r>
        <w:rPr>
          <w:spacing w:val="9"/>
          <w:sz w:val="22"/>
        </w:rPr>
        <w:t>require you</w:t>
      </w:r>
    </w:p>
    <w:p>
      <w:pPr>
        <w:spacing w:line="292" w:lineRule="auto" w:before="0"/>
        <w:ind w:left="439" w:right="642" w:firstLine="6"/>
        <w:jc w:val="left"/>
        <w:rPr>
          <w:sz w:val="22"/>
        </w:rPr>
      </w:pPr>
      <w:r>
        <w:rPr>
          <w:sz w:val="22"/>
        </w:rPr>
        <w:t>to work</w:t>
      </w:r>
      <w:r>
        <w:rPr>
          <w:spacing w:val="-4"/>
          <w:sz w:val="22"/>
        </w:rPr>
        <w:t> </w:t>
      </w:r>
      <w:r>
        <w:rPr>
          <w:sz w:val="22"/>
        </w:rPr>
        <w:t>in </w:t>
      </w:r>
      <w:r>
        <w:rPr>
          <w:spacing w:val="10"/>
          <w:sz w:val="22"/>
        </w:rPr>
        <w:t>groups.</w:t>
      </w:r>
      <w:r>
        <w:rPr>
          <w:spacing w:val="-7"/>
          <w:sz w:val="22"/>
        </w:rPr>
        <w:t> </w:t>
      </w:r>
      <w:r>
        <w:rPr>
          <w:sz w:val="22"/>
        </w:rPr>
        <w:t>It is critic</w:t>
      </w:r>
      <w:r>
        <w:rPr>
          <w:spacing w:val="-33"/>
          <w:sz w:val="22"/>
        </w:rPr>
        <w:t> </w:t>
      </w:r>
      <w:r>
        <w:rPr>
          <w:sz w:val="22"/>
        </w:rPr>
        <w:t>al to your</w:t>
      </w:r>
      <w:r>
        <w:rPr>
          <w:spacing w:val="-3"/>
          <w:sz w:val="22"/>
        </w:rPr>
        <w:t> </w:t>
      </w:r>
      <w:r>
        <w:rPr>
          <w:sz w:val="22"/>
        </w:rPr>
        <w:t>suc</w:t>
      </w:r>
      <w:r>
        <w:rPr>
          <w:spacing w:val="-30"/>
          <w:sz w:val="22"/>
        </w:rPr>
        <w:t> </w:t>
      </w:r>
      <w:r>
        <w:rPr>
          <w:sz w:val="22"/>
        </w:rPr>
        <w:t>c</w:t>
      </w:r>
      <w:r>
        <w:rPr>
          <w:spacing w:val="-34"/>
          <w:sz w:val="22"/>
        </w:rPr>
        <w:t> </w:t>
      </w:r>
      <w:r>
        <w:rPr>
          <w:sz w:val="22"/>
        </w:rPr>
        <w:t>ess as a </w:t>
      </w:r>
      <w:r>
        <w:rPr>
          <w:spacing w:val="12"/>
          <w:sz w:val="22"/>
        </w:rPr>
        <w:t>student</w:t>
      </w:r>
      <w:r>
        <w:rPr>
          <w:spacing w:val="8"/>
          <w:sz w:val="22"/>
        </w:rPr>
        <w:t> </w:t>
      </w:r>
      <w:r>
        <w:rPr>
          <w:sz w:val="22"/>
        </w:rPr>
        <w:t>to </w:t>
      </w:r>
      <w:r>
        <w:rPr>
          <w:spacing w:val="12"/>
          <w:sz w:val="22"/>
        </w:rPr>
        <w:t>begin </w:t>
      </w:r>
      <w:r>
        <w:rPr>
          <w:spacing w:val="9"/>
          <w:sz w:val="22"/>
        </w:rPr>
        <w:t>building professional relationships </w:t>
      </w:r>
      <w:r>
        <w:rPr>
          <w:sz w:val="22"/>
        </w:rPr>
        <w:t>with</w:t>
      </w:r>
      <w:r>
        <w:rPr>
          <w:spacing w:val="12"/>
          <w:sz w:val="22"/>
        </w:rPr>
        <w:t> classmates</w:t>
      </w:r>
      <w:r>
        <w:rPr>
          <w:spacing w:val="10"/>
          <w:sz w:val="22"/>
        </w:rPr>
        <w:t> </w:t>
      </w:r>
      <w:r>
        <w:rPr>
          <w:sz w:val="22"/>
        </w:rPr>
        <w:t>in your </w:t>
      </w:r>
      <w:r>
        <w:rPr>
          <w:spacing w:val="12"/>
          <w:sz w:val="22"/>
        </w:rPr>
        <w:t>year and </w:t>
      </w:r>
      <w:r>
        <w:rPr>
          <w:sz w:val="22"/>
        </w:rPr>
        <w:t>in </w:t>
      </w:r>
      <w:r>
        <w:rPr>
          <w:spacing w:val="9"/>
          <w:sz w:val="22"/>
        </w:rPr>
        <w:t>the </w:t>
      </w:r>
      <w:r>
        <w:rPr>
          <w:spacing w:val="11"/>
          <w:sz w:val="22"/>
        </w:rPr>
        <w:t>other </w:t>
      </w:r>
      <w:r>
        <w:rPr>
          <w:sz w:val="22"/>
        </w:rPr>
        <w:t>years. Currently, </w:t>
      </w:r>
      <w:r>
        <w:rPr>
          <w:spacing w:val="9"/>
          <w:sz w:val="22"/>
        </w:rPr>
        <w:t>the</w:t>
      </w:r>
    </w:p>
    <w:p>
      <w:pPr>
        <w:spacing w:line="292" w:lineRule="auto" w:before="2"/>
        <w:ind w:left="439" w:right="642" w:firstLine="14"/>
        <w:jc w:val="left"/>
        <w:rPr>
          <w:sz w:val="22"/>
        </w:rPr>
      </w:pPr>
      <w:r>
        <w:rPr>
          <w:spacing w:val="16"/>
          <w:sz w:val="22"/>
        </w:rPr>
        <w:t>dep</w:t>
      </w:r>
      <w:r>
        <w:rPr>
          <w:spacing w:val="-33"/>
          <w:sz w:val="22"/>
        </w:rPr>
        <w:t> </w:t>
      </w:r>
      <w:r>
        <w:rPr>
          <w:spacing w:val="12"/>
          <w:sz w:val="22"/>
        </w:rPr>
        <w:t>artment</w:t>
      </w:r>
      <w:r>
        <w:rPr>
          <w:spacing w:val="10"/>
          <w:sz w:val="22"/>
        </w:rPr>
        <w:t> has</w:t>
      </w:r>
      <w:r>
        <w:rPr>
          <w:spacing w:val="-2"/>
          <w:sz w:val="22"/>
        </w:rPr>
        <w:t> </w:t>
      </w:r>
      <w:r>
        <w:rPr>
          <w:spacing w:val="12"/>
          <w:sz w:val="22"/>
        </w:rPr>
        <w:t>student </w:t>
      </w:r>
      <w:r>
        <w:rPr>
          <w:spacing w:val="14"/>
          <w:sz w:val="22"/>
        </w:rPr>
        <w:t>cha</w:t>
      </w:r>
      <w:r>
        <w:rPr>
          <w:spacing w:val="-33"/>
          <w:sz w:val="22"/>
        </w:rPr>
        <w:t> </w:t>
      </w:r>
      <w:r>
        <w:rPr>
          <w:sz w:val="22"/>
        </w:rPr>
        <w:t>pters of </w:t>
      </w:r>
      <w:r>
        <w:rPr>
          <w:spacing w:val="9"/>
          <w:sz w:val="22"/>
        </w:rPr>
        <w:t>the </w:t>
      </w:r>
      <w:r>
        <w:rPr>
          <w:spacing w:val="12"/>
          <w:sz w:val="22"/>
        </w:rPr>
        <w:t>National</w:t>
      </w:r>
      <w:r>
        <w:rPr>
          <w:spacing w:val="9"/>
          <w:sz w:val="22"/>
        </w:rPr>
        <w:t> </w:t>
      </w:r>
      <w:r>
        <w:rPr>
          <w:spacing w:val="11"/>
          <w:sz w:val="22"/>
        </w:rPr>
        <w:t>Organization </w:t>
      </w:r>
      <w:r>
        <w:rPr>
          <w:sz w:val="22"/>
        </w:rPr>
        <w:t>of Minority </w:t>
      </w:r>
      <w:r>
        <w:rPr>
          <w:spacing w:val="12"/>
          <w:sz w:val="22"/>
        </w:rPr>
        <w:t>Architecture </w:t>
      </w:r>
      <w:r>
        <w:rPr>
          <w:spacing w:val="11"/>
          <w:sz w:val="22"/>
        </w:rPr>
        <w:t>Students</w:t>
      </w:r>
      <w:r>
        <w:rPr>
          <w:spacing w:val="10"/>
          <w:sz w:val="22"/>
        </w:rPr>
        <w:t> </w:t>
      </w:r>
      <w:r>
        <w:rPr>
          <w:sz w:val="22"/>
        </w:rPr>
        <w:t>(NOMAS), </w:t>
      </w:r>
      <w:r>
        <w:rPr>
          <w:spacing w:val="9"/>
          <w:sz w:val="22"/>
        </w:rPr>
        <w:t>the </w:t>
      </w:r>
      <w:r>
        <w:rPr>
          <w:spacing w:val="10"/>
          <w:sz w:val="22"/>
        </w:rPr>
        <w:t>Americ</w:t>
      </w:r>
      <w:r>
        <w:rPr>
          <w:spacing w:val="-28"/>
          <w:sz w:val="22"/>
        </w:rPr>
        <w:t> </w:t>
      </w:r>
      <w:r>
        <w:rPr>
          <w:spacing w:val="10"/>
          <w:sz w:val="22"/>
        </w:rPr>
        <w:t>an</w:t>
      </w:r>
      <w:r>
        <w:rPr>
          <w:spacing w:val="7"/>
          <w:sz w:val="22"/>
        </w:rPr>
        <w:t> </w:t>
      </w:r>
      <w:r>
        <w:rPr>
          <w:sz w:val="22"/>
        </w:rPr>
        <w:t>Institute of </w:t>
      </w:r>
      <w:r>
        <w:rPr>
          <w:spacing w:val="12"/>
          <w:sz w:val="22"/>
        </w:rPr>
        <w:t>Architecture </w:t>
      </w:r>
      <w:r>
        <w:rPr>
          <w:spacing w:val="11"/>
          <w:sz w:val="22"/>
        </w:rPr>
        <w:t>Students</w:t>
      </w:r>
      <w:r>
        <w:rPr>
          <w:spacing w:val="8"/>
          <w:sz w:val="22"/>
        </w:rPr>
        <w:t> </w:t>
      </w:r>
      <w:r>
        <w:rPr>
          <w:sz w:val="22"/>
        </w:rPr>
        <w:t>(AIAS), </w:t>
      </w:r>
      <w:r>
        <w:rPr>
          <w:spacing w:val="13"/>
          <w:sz w:val="22"/>
        </w:rPr>
        <w:t>and </w:t>
      </w:r>
      <w:r>
        <w:rPr>
          <w:spacing w:val="11"/>
          <w:sz w:val="22"/>
        </w:rPr>
        <w:t>Tau</w:t>
      </w:r>
    </w:p>
    <w:p>
      <w:pPr>
        <w:spacing w:before="2"/>
        <w:ind w:left="439" w:right="0" w:firstLine="0"/>
        <w:jc w:val="left"/>
        <w:rPr>
          <w:sz w:val="22"/>
        </w:rPr>
      </w:pPr>
      <w:r>
        <w:rPr>
          <w:spacing w:val="12"/>
          <w:sz w:val="22"/>
        </w:rPr>
        <w:t>Sigma</w:t>
      </w:r>
      <w:r>
        <w:rPr>
          <w:spacing w:val="-6"/>
          <w:sz w:val="22"/>
        </w:rPr>
        <w:t> </w:t>
      </w:r>
      <w:r>
        <w:rPr>
          <w:spacing w:val="9"/>
          <w:sz w:val="22"/>
        </w:rPr>
        <w:t>Delta</w:t>
      </w:r>
      <w:r>
        <w:rPr>
          <w:spacing w:val="-6"/>
          <w:sz w:val="22"/>
        </w:rPr>
        <w:t> </w:t>
      </w:r>
      <w:r>
        <w:rPr>
          <w:spacing w:val="10"/>
          <w:sz w:val="22"/>
        </w:rPr>
        <w:t>Honor</w:t>
      </w:r>
      <w:r>
        <w:rPr>
          <w:spacing w:val="-15"/>
          <w:sz w:val="22"/>
        </w:rPr>
        <w:t> </w:t>
      </w:r>
      <w:r>
        <w:rPr>
          <w:spacing w:val="12"/>
          <w:sz w:val="22"/>
        </w:rPr>
        <w:t>Society</w:t>
      </w:r>
      <w:r>
        <w:rPr>
          <w:spacing w:val="-11"/>
          <w:sz w:val="22"/>
        </w:rPr>
        <w:t> </w:t>
      </w:r>
      <w:r>
        <w:rPr>
          <w:spacing w:val="10"/>
          <w:sz w:val="22"/>
        </w:rPr>
        <w:t>(Iota</w:t>
      </w:r>
      <w:r>
        <w:rPr>
          <w:sz w:val="22"/>
        </w:rPr>
        <w:t> </w:t>
      </w:r>
      <w:r>
        <w:rPr>
          <w:spacing w:val="11"/>
          <w:sz w:val="22"/>
        </w:rPr>
        <w:t>Alpha</w:t>
      </w:r>
      <w:r>
        <w:rPr>
          <w:spacing w:val="1"/>
          <w:sz w:val="22"/>
        </w:rPr>
        <w:t> </w:t>
      </w:r>
      <w:r>
        <w:rPr>
          <w:spacing w:val="10"/>
          <w:sz w:val="22"/>
        </w:rPr>
        <w:t>Chapter).</w:t>
      </w:r>
    </w:p>
    <w:p>
      <w:pPr>
        <w:pStyle w:val="BodyText"/>
        <w:rPr>
          <w:sz w:val="32"/>
        </w:rPr>
      </w:pPr>
    </w:p>
    <w:p>
      <w:pPr>
        <w:spacing w:line="292" w:lineRule="auto" w:before="0"/>
        <w:ind w:left="446" w:right="642" w:firstLine="3"/>
        <w:jc w:val="left"/>
        <w:rPr>
          <w:sz w:val="22"/>
        </w:rPr>
      </w:pPr>
      <w:r>
        <w:rPr>
          <w:w w:val="95"/>
          <w:sz w:val="22"/>
        </w:rPr>
        <w:t>OTHER ASSOCIATIONS: The </w:t>
      </w:r>
      <w:r>
        <w:rPr>
          <w:spacing w:val="11"/>
          <w:w w:val="95"/>
          <w:sz w:val="22"/>
        </w:rPr>
        <w:t>Dep</w:t>
      </w:r>
      <w:r>
        <w:rPr>
          <w:spacing w:val="-25"/>
          <w:w w:val="95"/>
          <w:sz w:val="22"/>
        </w:rPr>
        <w:t> </w:t>
      </w:r>
      <w:r>
        <w:rPr>
          <w:spacing w:val="12"/>
          <w:w w:val="95"/>
          <w:sz w:val="22"/>
        </w:rPr>
        <w:t>artment </w:t>
      </w:r>
      <w:r>
        <w:rPr>
          <w:w w:val="95"/>
          <w:sz w:val="22"/>
        </w:rPr>
        <w:t>of </w:t>
      </w:r>
      <w:r>
        <w:rPr>
          <w:spacing w:val="12"/>
          <w:w w:val="95"/>
          <w:sz w:val="22"/>
        </w:rPr>
        <w:t>Architecture </w:t>
      </w:r>
      <w:r>
        <w:rPr>
          <w:spacing w:val="11"/>
          <w:w w:val="95"/>
          <w:sz w:val="22"/>
        </w:rPr>
        <w:t>maintains </w:t>
      </w:r>
      <w:r>
        <w:rPr>
          <w:w w:val="95"/>
          <w:sz w:val="22"/>
        </w:rPr>
        <w:t>a</w:t>
      </w:r>
      <w:r>
        <w:rPr>
          <w:spacing w:val="-25"/>
          <w:w w:val="95"/>
          <w:sz w:val="22"/>
        </w:rPr>
        <w:t> </w:t>
      </w:r>
      <w:r>
        <w:rPr>
          <w:spacing w:val="10"/>
          <w:w w:val="95"/>
          <w:sz w:val="22"/>
        </w:rPr>
        <w:t>ctive </w:t>
      </w:r>
      <w:r>
        <w:rPr>
          <w:spacing w:val="12"/>
          <w:w w:val="95"/>
          <w:sz w:val="22"/>
        </w:rPr>
        <w:t>membership </w:t>
      </w:r>
      <w:r>
        <w:rPr>
          <w:w w:val="95"/>
          <w:sz w:val="22"/>
        </w:rPr>
        <w:t>in</w:t>
      </w:r>
      <w:r>
        <w:rPr>
          <w:spacing w:val="9"/>
          <w:w w:val="95"/>
          <w:sz w:val="22"/>
        </w:rPr>
        <w:t> </w:t>
      </w:r>
      <w:r>
        <w:rPr>
          <w:spacing w:val="9"/>
          <w:sz w:val="22"/>
        </w:rPr>
        <w:t>the </w:t>
      </w:r>
      <w:r>
        <w:rPr>
          <w:spacing w:val="11"/>
          <w:sz w:val="22"/>
        </w:rPr>
        <w:t>Association </w:t>
      </w:r>
      <w:r>
        <w:rPr>
          <w:sz w:val="22"/>
        </w:rPr>
        <w:t>of </w:t>
      </w:r>
      <w:r>
        <w:rPr>
          <w:spacing w:val="12"/>
          <w:sz w:val="22"/>
        </w:rPr>
        <w:t>Collegiate </w:t>
      </w:r>
      <w:r>
        <w:rPr>
          <w:spacing w:val="11"/>
          <w:sz w:val="22"/>
        </w:rPr>
        <w:t>Schools </w:t>
      </w:r>
      <w:r>
        <w:rPr>
          <w:sz w:val="22"/>
        </w:rPr>
        <w:t>of </w:t>
      </w:r>
      <w:r>
        <w:rPr>
          <w:spacing w:val="12"/>
          <w:sz w:val="22"/>
        </w:rPr>
        <w:t>Architecture </w:t>
      </w:r>
      <w:r>
        <w:rPr>
          <w:sz w:val="22"/>
        </w:rPr>
        <w:t>(ACSA), </w:t>
      </w:r>
      <w:r>
        <w:rPr>
          <w:spacing w:val="13"/>
          <w:sz w:val="22"/>
        </w:rPr>
        <w:t>and </w:t>
      </w:r>
      <w:r>
        <w:rPr>
          <w:spacing w:val="9"/>
          <w:sz w:val="22"/>
        </w:rPr>
        <w:t>the </w:t>
      </w:r>
      <w:r>
        <w:rPr>
          <w:spacing w:val="12"/>
          <w:sz w:val="22"/>
        </w:rPr>
        <w:t>National</w:t>
      </w:r>
    </w:p>
    <w:p>
      <w:pPr>
        <w:spacing w:before="2"/>
        <w:ind w:left="450" w:right="0" w:firstLine="0"/>
        <w:jc w:val="left"/>
        <w:rPr>
          <w:sz w:val="22"/>
        </w:rPr>
      </w:pPr>
      <w:r>
        <w:rPr>
          <w:spacing w:val="11"/>
          <w:sz w:val="22"/>
        </w:rPr>
        <w:t>Organization</w:t>
      </w:r>
      <w:r>
        <w:rPr>
          <w:spacing w:val="22"/>
          <w:sz w:val="22"/>
        </w:rPr>
        <w:t> </w:t>
      </w:r>
      <w:r>
        <w:rPr>
          <w:sz w:val="22"/>
        </w:rPr>
        <w:t>of</w:t>
      </w:r>
      <w:r>
        <w:rPr>
          <w:spacing w:val="18"/>
          <w:sz w:val="22"/>
        </w:rPr>
        <w:t> </w:t>
      </w:r>
      <w:r>
        <w:rPr>
          <w:sz w:val="22"/>
        </w:rPr>
        <w:t>Minority</w:t>
      </w:r>
      <w:r>
        <w:rPr>
          <w:spacing w:val="19"/>
          <w:sz w:val="22"/>
        </w:rPr>
        <w:t> </w:t>
      </w:r>
      <w:r>
        <w:rPr>
          <w:spacing w:val="12"/>
          <w:sz w:val="22"/>
        </w:rPr>
        <w:t>Architects</w:t>
      </w:r>
      <w:r>
        <w:rPr>
          <w:spacing w:val="9"/>
          <w:sz w:val="22"/>
        </w:rPr>
        <w:t> </w:t>
      </w:r>
      <w:r>
        <w:rPr>
          <w:sz w:val="22"/>
        </w:rPr>
        <w:t>(NOMA).</w:t>
      </w:r>
      <w:r>
        <w:rPr>
          <w:spacing w:val="7"/>
          <w:sz w:val="22"/>
        </w:rPr>
        <w:t> </w:t>
      </w:r>
      <w:r>
        <w:rPr>
          <w:sz w:val="22"/>
        </w:rPr>
        <w:t>We</w:t>
      </w:r>
      <w:r>
        <w:rPr>
          <w:spacing w:val="30"/>
          <w:sz w:val="22"/>
        </w:rPr>
        <w:t> </w:t>
      </w:r>
      <w:r>
        <w:rPr>
          <w:sz w:val="22"/>
        </w:rPr>
        <w:t>also</w:t>
      </w:r>
      <w:r>
        <w:rPr>
          <w:spacing w:val="28"/>
          <w:sz w:val="22"/>
        </w:rPr>
        <w:t> </w:t>
      </w:r>
      <w:r>
        <w:rPr>
          <w:spacing w:val="11"/>
          <w:sz w:val="22"/>
        </w:rPr>
        <w:t>maintain</w:t>
      </w:r>
      <w:r>
        <w:rPr>
          <w:spacing w:val="10"/>
          <w:sz w:val="22"/>
        </w:rPr>
        <w:t> </w:t>
      </w:r>
      <w:r>
        <w:rPr>
          <w:sz w:val="22"/>
        </w:rPr>
        <w:t>strong</w:t>
      </w:r>
      <w:r>
        <w:rPr>
          <w:spacing w:val="19"/>
          <w:sz w:val="22"/>
        </w:rPr>
        <w:t> </w:t>
      </w:r>
      <w:r>
        <w:rPr>
          <w:sz w:val="22"/>
        </w:rPr>
        <w:t>links</w:t>
      </w:r>
      <w:r>
        <w:rPr>
          <w:spacing w:val="17"/>
          <w:sz w:val="22"/>
        </w:rPr>
        <w:t> </w:t>
      </w:r>
      <w:r>
        <w:rPr>
          <w:sz w:val="22"/>
        </w:rPr>
        <w:t>with</w:t>
      </w:r>
      <w:r>
        <w:rPr>
          <w:spacing w:val="18"/>
          <w:sz w:val="22"/>
        </w:rPr>
        <w:t> </w:t>
      </w:r>
      <w:r>
        <w:rPr>
          <w:spacing w:val="4"/>
          <w:sz w:val="22"/>
        </w:rPr>
        <w:t>the</w:t>
      </w:r>
    </w:p>
    <w:p>
      <w:pPr>
        <w:spacing w:line="295" w:lineRule="auto" w:before="57"/>
        <w:ind w:left="446" w:right="642" w:firstLine="1"/>
        <w:jc w:val="left"/>
        <w:rPr>
          <w:sz w:val="22"/>
        </w:rPr>
      </w:pPr>
      <w:r>
        <w:rPr>
          <w:spacing w:val="10"/>
          <w:sz w:val="22"/>
        </w:rPr>
        <w:t>Americ</w:t>
      </w:r>
      <w:r>
        <w:rPr>
          <w:spacing w:val="-31"/>
          <w:sz w:val="22"/>
        </w:rPr>
        <w:t> </w:t>
      </w:r>
      <w:r>
        <w:rPr>
          <w:spacing w:val="10"/>
          <w:sz w:val="22"/>
        </w:rPr>
        <w:t>an</w:t>
      </w:r>
      <w:r>
        <w:rPr>
          <w:spacing w:val="6"/>
          <w:sz w:val="22"/>
        </w:rPr>
        <w:t> </w:t>
      </w:r>
      <w:r>
        <w:rPr>
          <w:sz w:val="22"/>
        </w:rPr>
        <w:t>Institute of </w:t>
      </w:r>
      <w:r>
        <w:rPr>
          <w:spacing w:val="12"/>
          <w:sz w:val="22"/>
        </w:rPr>
        <w:t>Architects</w:t>
      </w:r>
      <w:r>
        <w:rPr>
          <w:spacing w:val="7"/>
          <w:sz w:val="22"/>
        </w:rPr>
        <w:t> </w:t>
      </w:r>
      <w:r>
        <w:rPr>
          <w:sz w:val="22"/>
        </w:rPr>
        <w:t>(AIA) </w:t>
      </w:r>
      <w:r>
        <w:rPr>
          <w:spacing w:val="10"/>
          <w:sz w:val="22"/>
        </w:rPr>
        <w:t>at </w:t>
      </w:r>
      <w:r>
        <w:rPr>
          <w:spacing w:val="9"/>
          <w:sz w:val="22"/>
        </w:rPr>
        <w:t>the </w:t>
      </w:r>
      <w:r>
        <w:rPr>
          <w:spacing w:val="12"/>
          <w:sz w:val="22"/>
        </w:rPr>
        <w:t>loc</w:t>
      </w:r>
      <w:r>
        <w:rPr>
          <w:spacing w:val="-28"/>
          <w:sz w:val="22"/>
        </w:rPr>
        <w:t> </w:t>
      </w:r>
      <w:r>
        <w:rPr>
          <w:sz w:val="22"/>
        </w:rPr>
        <w:t>al, </w:t>
      </w:r>
      <w:r>
        <w:rPr>
          <w:spacing w:val="11"/>
          <w:sz w:val="22"/>
        </w:rPr>
        <w:t>regional, </w:t>
      </w:r>
      <w:r>
        <w:rPr>
          <w:spacing w:val="13"/>
          <w:sz w:val="22"/>
        </w:rPr>
        <w:t>and national</w:t>
      </w:r>
      <w:r>
        <w:rPr>
          <w:spacing w:val="4"/>
          <w:sz w:val="22"/>
        </w:rPr>
        <w:t> </w:t>
      </w:r>
      <w:r>
        <w:rPr>
          <w:sz w:val="22"/>
        </w:rPr>
        <w:t>level.</w:t>
      </w:r>
      <w:r>
        <w:rPr>
          <w:spacing w:val="-2"/>
          <w:sz w:val="22"/>
        </w:rPr>
        <w:t> </w:t>
      </w:r>
      <w:r>
        <w:rPr>
          <w:sz w:val="22"/>
        </w:rPr>
        <w:t>In 2002, </w:t>
      </w:r>
      <w:r>
        <w:rPr>
          <w:spacing w:val="9"/>
          <w:sz w:val="22"/>
        </w:rPr>
        <w:t>the </w:t>
      </w:r>
      <w:r>
        <w:rPr>
          <w:spacing w:val="12"/>
          <w:sz w:val="22"/>
        </w:rPr>
        <w:t>National </w:t>
      </w:r>
      <w:r>
        <w:rPr>
          <w:spacing w:val="16"/>
          <w:sz w:val="22"/>
        </w:rPr>
        <w:t>Hampton </w:t>
      </w:r>
      <w:r>
        <w:rPr>
          <w:sz w:val="22"/>
        </w:rPr>
        <w:t>Alumni </w:t>
      </w:r>
      <w:r>
        <w:rPr>
          <w:spacing w:val="10"/>
          <w:sz w:val="22"/>
        </w:rPr>
        <w:t>Association,</w:t>
      </w:r>
      <w:r>
        <w:rPr>
          <w:spacing w:val="7"/>
          <w:sz w:val="22"/>
        </w:rPr>
        <w:t> </w:t>
      </w:r>
      <w:r>
        <w:rPr>
          <w:spacing w:val="11"/>
          <w:sz w:val="22"/>
        </w:rPr>
        <w:t>Inc. </w:t>
      </w:r>
      <w:r>
        <w:rPr>
          <w:spacing w:val="13"/>
          <w:sz w:val="22"/>
        </w:rPr>
        <w:t>chartered </w:t>
      </w:r>
      <w:r>
        <w:rPr>
          <w:spacing w:val="9"/>
          <w:sz w:val="22"/>
        </w:rPr>
        <w:t>the </w:t>
      </w:r>
      <w:r>
        <w:rPr>
          <w:spacing w:val="11"/>
          <w:sz w:val="22"/>
        </w:rPr>
        <w:t>Dep</w:t>
      </w:r>
      <w:r>
        <w:rPr>
          <w:spacing w:val="-27"/>
          <w:sz w:val="22"/>
        </w:rPr>
        <w:t> </w:t>
      </w:r>
      <w:r>
        <w:rPr>
          <w:spacing w:val="12"/>
          <w:sz w:val="22"/>
        </w:rPr>
        <w:t>artment </w:t>
      </w:r>
      <w:r>
        <w:rPr>
          <w:sz w:val="22"/>
        </w:rPr>
        <w:t>of</w:t>
      </w:r>
    </w:p>
    <w:p>
      <w:pPr>
        <w:spacing w:line="252" w:lineRule="exact" w:before="0"/>
        <w:ind w:left="448" w:right="0" w:firstLine="0"/>
        <w:jc w:val="left"/>
        <w:rPr>
          <w:sz w:val="22"/>
        </w:rPr>
      </w:pPr>
      <w:r>
        <w:rPr>
          <w:spacing w:val="12"/>
          <w:w w:val="95"/>
          <w:sz w:val="22"/>
        </w:rPr>
        <w:t>Architecture</w:t>
      </w:r>
      <w:r>
        <w:rPr>
          <w:spacing w:val="47"/>
          <w:sz w:val="22"/>
        </w:rPr>
        <w:t> </w:t>
      </w:r>
      <w:r>
        <w:rPr>
          <w:w w:val="95"/>
          <w:sz w:val="22"/>
        </w:rPr>
        <w:t>Alumni</w:t>
      </w:r>
      <w:r>
        <w:rPr>
          <w:spacing w:val="38"/>
          <w:sz w:val="22"/>
        </w:rPr>
        <w:t> </w:t>
      </w:r>
      <w:r>
        <w:rPr>
          <w:spacing w:val="11"/>
          <w:w w:val="95"/>
          <w:sz w:val="22"/>
        </w:rPr>
        <w:t>Association</w:t>
      </w:r>
      <w:r>
        <w:rPr>
          <w:spacing w:val="35"/>
          <w:sz w:val="22"/>
        </w:rPr>
        <w:t> </w:t>
      </w:r>
      <w:r>
        <w:rPr>
          <w:w w:val="95"/>
          <w:sz w:val="22"/>
        </w:rPr>
        <w:t>(HUAAA).</w:t>
      </w:r>
      <w:r>
        <w:rPr>
          <w:spacing w:val="20"/>
          <w:sz w:val="22"/>
        </w:rPr>
        <w:t> </w:t>
      </w:r>
      <w:r>
        <w:rPr>
          <w:w w:val="95"/>
          <w:sz w:val="22"/>
        </w:rPr>
        <w:t>The</w:t>
      </w:r>
      <w:r>
        <w:rPr>
          <w:spacing w:val="36"/>
          <w:sz w:val="22"/>
        </w:rPr>
        <w:t> </w:t>
      </w:r>
      <w:r>
        <w:rPr>
          <w:w w:val="95"/>
          <w:sz w:val="22"/>
        </w:rPr>
        <w:t>HUAAA</w:t>
      </w:r>
      <w:r>
        <w:rPr>
          <w:spacing w:val="49"/>
          <w:sz w:val="22"/>
        </w:rPr>
        <w:t> </w:t>
      </w:r>
      <w:r>
        <w:rPr>
          <w:spacing w:val="12"/>
          <w:w w:val="95"/>
          <w:sz w:val="22"/>
        </w:rPr>
        <w:t>was</w:t>
      </w:r>
      <w:r>
        <w:rPr>
          <w:spacing w:val="38"/>
          <w:sz w:val="22"/>
        </w:rPr>
        <w:t> </w:t>
      </w:r>
      <w:r>
        <w:rPr>
          <w:spacing w:val="9"/>
          <w:w w:val="95"/>
          <w:sz w:val="22"/>
        </w:rPr>
        <w:t>established</w:t>
      </w:r>
      <w:r>
        <w:rPr>
          <w:spacing w:val="50"/>
          <w:sz w:val="22"/>
        </w:rPr>
        <w:t> </w:t>
      </w:r>
      <w:r>
        <w:rPr>
          <w:w w:val="95"/>
          <w:sz w:val="22"/>
        </w:rPr>
        <w:t>to</w:t>
      </w:r>
      <w:r>
        <w:rPr>
          <w:spacing w:val="56"/>
          <w:sz w:val="22"/>
        </w:rPr>
        <w:t> </w:t>
      </w:r>
      <w:r>
        <w:rPr>
          <w:spacing w:val="12"/>
          <w:w w:val="95"/>
          <w:sz w:val="22"/>
        </w:rPr>
        <w:t>promote</w:t>
      </w:r>
    </w:p>
    <w:p>
      <w:pPr>
        <w:spacing w:line="295" w:lineRule="auto" w:before="56"/>
        <w:ind w:left="454" w:right="712" w:firstLine="4"/>
        <w:jc w:val="left"/>
        <w:rPr>
          <w:sz w:val="22"/>
        </w:rPr>
      </w:pPr>
      <w:r>
        <w:rPr>
          <w:sz w:val="22"/>
        </w:rPr>
        <w:t>“</w:t>
      </w:r>
      <w:r>
        <w:rPr>
          <w:spacing w:val="-31"/>
          <w:sz w:val="22"/>
        </w:rPr>
        <w:t> </w:t>
      </w:r>
      <w:r>
        <w:rPr>
          <w:spacing w:val="12"/>
          <w:sz w:val="22"/>
        </w:rPr>
        <w:t>effective </w:t>
      </w:r>
      <w:r>
        <w:rPr>
          <w:sz w:val="22"/>
        </w:rPr>
        <w:t>c</w:t>
      </w:r>
      <w:r>
        <w:rPr>
          <w:spacing w:val="-31"/>
          <w:sz w:val="22"/>
        </w:rPr>
        <w:t> </w:t>
      </w:r>
      <w:r>
        <w:rPr>
          <w:spacing w:val="12"/>
          <w:sz w:val="22"/>
        </w:rPr>
        <w:t>ommunic</w:t>
      </w:r>
      <w:r>
        <w:rPr>
          <w:spacing w:val="-31"/>
          <w:sz w:val="22"/>
        </w:rPr>
        <w:t> </w:t>
      </w:r>
      <w:r>
        <w:rPr>
          <w:spacing w:val="10"/>
          <w:sz w:val="22"/>
        </w:rPr>
        <w:t>ation </w:t>
      </w:r>
      <w:r>
        <w:rPr>
          <w:spacing w:val="16"/>
          <w:sz w:val="22"/>
        </w:rPr>
        <w:t>between </w:t>
      </w:r>
      <w:r>
        <w:rPr>
          <w:sz w:val="22"/>
        </w:rPr>
        <w:t>alumni </w:t>
      </w:r>
      <w:r>
        <w:rPr>
          <w:spacing w:val="13"/>
          <w:sz w:val="22"/>
        </w:rPr>
        <w:t>and </w:t>
      </w:r>
      <w:r>
        <w:rPr>
          <w:spacing w:val="9"/>
          <w:sz w:val="22"/>
        </w:rPr>
        <w:t>the </w:t>
      </w:r>
      <w:r>
        <w:rPr>
          <w:spacing w:val="16"/>
          <w:sz w:val="22"/>
        </w:rPr>
        <w:t>Hampton</w:t>
      </w:r>
      <w:r>
        <w:rPr>
          <w:spacing w:val="9"/>
          <w:sz w:val="22"/>
        </w:rPr>
        <w:t> </w:t>
      </w:r>
      <w:r>
        <w:rPr>
          <w:sz w:val="22"/>
        </w:rPr>
        <w:t>University, </w:t>
      </w:r>
      <w:r>
        <w:rPr>
          <w:spacing w:val="11"/>
          <w:sz w:val="22"/>
        </w:rPr>
        <w:t>enc</w:t>
      </w:r>
      <w:r>
        <w:rPr>
          <w:spacing w:val="-31"/>
          <w:sz w:val="22"/>
        </w:rPr>
        <w:t> </w:t>
      </w:r>
      <w:r>
        <w:rPr>
          <w:spacing w:val="13"/>
          <w:sz w:val="22"/>
        </w:rPr>
        <w:t>ourage </w:t>
      </w:r>
      <w:r>
        <w:rPr>
          <w:spacing w:val="9"/>
          <w:sz w:val="22"/>
        </w:rPr>
        <w:t>alumni </w:t>
      </w:r>
      <w:r>
        <w:rPr>
          <w:spacing w:val="13"/>
          <w:sz w:val="22"/>
        </w:rPr>
        <w:t>participation, </w:t>
      </w:r>
      <w:r>
        <w:rPr>
          <w:spacing w:val="12"/>
          <w:sz w:val="22"/>
        </w:rPr>
        <w:t>and </w:t>
      </w:r>
      <w:r>
        <w:rPr>
          <w:spacing w:val="11"/>
          <w:sz w:val="22"/>
        </w:rPr>
        <w:t>provide </w:t>
      </w:r>
      <w:r>
        <w:rPr>
          <w:sz w:val="22"/>
        </w:rPr>
        <w:t>a </w:t>
      </w:r>
      <w:r>
        <w:rPr>
          <w:spacing w:val="11"/>
          <w:sz w:val="22"/>
        </w:rPr>
        <w:t>vehicle </w:t>
      </w:r>
      <w:r>
        <w:rPr>
          <w:sz w:val="22"/>
        </w:rPr>
        <w:t>for </w:t>
      </w:r>
      <w:r>
        <w:rPr>
          <w:spacing w:val="10"/>
          <w:sz w:val="22"/>
        </w:rPr>
        <w:t>scholarships </w:t>
      </w:r>
      <w:r>
        <w:rPr>
          <w:spacing w:val="13"/>
          <w:sz w:val="22"/>
        </w:rPr>
        <w:t>and </w:t>
      </w:r>
      <w:r>
        <w:rPr>
          <w:spacing w:val="10"/>
          <w:sz w:val="22"/>
        </w:rPr>
        <w:t>fund-</w:t>
      </w:r>
      <w:r>
        <w:rPr>
          <w:sz w:val="22"/>
        </w:rPr>
        <w:t>raising, </w:t>
      </w:r>
      <w:r>
        <w:rPr>
          <w:spacing w:val="13"/>
          <w:sz w:val="22"/>
        </w:rPr>
        <w:t>and </w:t>
      </w:r>
      <w:r>
        <w:rPr>
          <w:spacing w:val="9"/>
          <w:sz w:val="22"/>
        </w:rPr>
        <w:t>alumni giving.”</w:t>
      </w:r>
    </w:p>
    <w:p>
      <w:pPr>
        <w:pStyle w:val="BodyText"/>
        <w:rPr>
          <w:sz w:val="24"/>
        </w:rPr>
      </w:pPr>
    </w:p>
    <w:p>
      <w:pPr>
        <w:pStyle w:val="BodyText"/>
        <w:rPr>
          <w:sz w:val="24"/>
        </w:rPr>
      </w:pPr>
    </w:p>
    <w:p>
      <w:pPr>
        <w:pStyle w:val="BodyText"/>
        <w:spacing w:before="4"/>
        <w:rPr>
          <w:sz w:val="33"/>
        </w:rPr>
      </w:pPr>
    </w:p>
    <w:p>
      <w:pPr>
        <w:pStyle w:val="Heading6"/>
        <w:spacing w:before="1"/>
      </w:pPr>
      <w:r>
        <w:rPr>
          <w:w w:val="85"/>
        </w:rPr>
        <w:t>THE</w:t>
      </w:r>
      <w:r>
        <w:rPr>
          <w:spacing w:val="65"/>
        </w:rPr>
        <w:t> </w:t>
      </w:r>
      <w:r>
        <w:rPr>
          <w:w w:val="85"/>
        </w:rPr>
        <w:t>PHYSICAL</w:t>
      </w:r>
      <w:r>
        <w:rPr>
          <w:spacing w:val="59"/>
        </w:rPr>
        <w:t> </w:t>
      </w:r>
      <w:r>
        <w:rPr>
          <w:spacing w:val="-2"/>
          <w:w w:val="85"/>
        </w:rPr>
        <w:t>ENVIRONMENT</w:t>
      </w:r>
    </w:p>
    <w:p>
      <w:pPr>
        <w:pStyle w:val="BodyText"/>
        <w:spacing w:before="6"/>
        <w:rPr>
          <w:sz w:val="32"/>
        </w:rPr>
      </w:pPr>
    </w:p>
    <w:p>
      <w:pPr>
        <w:spacing w:line="295" w:lineRule="auto" w:before="1"/>
        <w:ind w:left="440" w:right="928" w:firstLine="0"/>
        <w:jc w:val="left"/>
        <w:rPr>
          <w:sz w:val="22"/>
        </w:rPr>
      </w:pPr>
      <w:r>
        <w:rPr>
          <w:sz w:val="22"/>
        </w:rPr>
        <w:t>The </w:t>
      </w:r>
      <w:r>
        <w:rPr>
          <w:spacing w:val="11"/>
          <w:sz w:val="22"/>
        </w:rPr>
        <w:t>Dep</w:t>
      </w:r>
      <w:r>
        <w:rPr>
          <w:spacing w:val="-32"/>
          <w:sz w:val="22"/>
        </w:rPr>
        <w:t> </w:t>
      </w:r>
      <w:r>
        <w:rPr>
          <w:spacing w:val="12"/>
          <w:sz w:val="22"/>
        </w:rPr>
        <w:t>artment </w:t>
      </w:r>
      <w:r>
        <w:rPr>
          <w:sz w:val="22"/>
        </w:rPr>
        <w:t>of </w:t>
      </w:r>
      <w:r>
        <w:rPr>
          <w:spacing w:val="12"/>
          <w:sz w:val="22"/>
        </w:rPr>
        <w:t>Architecture </w:t>
      </w:r>
      <w:r>
        <w:rPr>
          <w:sz w:val="22"/>
        </w:rPr>
        <w:t>is </w:t>
      </w:r>
      <w:r>
        <w:rPr>
          <w:spacing w:val="11"/>
          <w:sz w:val="22"/>
        </w:rPr>
        <w:t>housed </w:t>
      </w:r>
      <w:r>
        <w:rPr>
          <w:sz w:val="22"/>
        </w:rPr>
        <w:t>in Bemis </w:t>
      </w:r>
      <w:r>
        <w:rPr>
          <w:spacing w:val="12"/>
          <w:sz w:val="22"/>
        </w:rPr>
        <w:t>Laboratories</w:t>
      </w:r>
      <w:r>
        <w:rPr>
          <w:spacing w:val="2"/>
          <w:sz w:val="22"/>
        </w:rPr>
        <w:t> </w:t>
      </w:r>
      <w:r>
        <w:rPr>
          <w:sz w:val="22"/>
        </w:rPr>
        <w:t>in </w:t>
      </w:r>
      <w:r>
        <w:rPr>
          <w:spacing w:val="9"/>
          <w:sz w:val="22"/>
        </w:rPr>
        <w:t>the </w:t>
      </w:r>
      <w:r>
        <w:rPr>
          <w:sz w:val="22"/>
        </w:rPr>
        <w:t>c</w:t>
      </w:r>
      <w:r>
        <w:rPr>
          <w:spacing w:val="-33"/>
          <w:sz w:val="22"/>
        </w:rPr>
        <w:t> </w:t>
      </w:r>
      <w:r>
        <w:rPr>
          <w:spacing w:val="10"/>
          <w:sz w:val="22"/>
        </w:rPr>
        <w:t>enter </w:t>
      </w:r>
      <w:r>
        <w:rPr>
          <w:sz w:val="22"/>
        </w:rPr>
        <w:t>of </w:t>
      </w:r>
      <w:r>
        <w:rPr>
          <w:spacing w:val="9"/>
          <w:sz w:val="22"/>
        </w:rPr>
        <w:t>the </w:t>
      </w:r>
      <w:r>
        <w:rPr>
          <w:spacing w:val="16"/>
          <w:sz w:val="22"/>
        </w:rPr>
        <w:t>Hampton</w:t>
      </w:r>
      <w:r>
        <w:rPr>
          <w:spacing w:val="7"/>
          <w:sz w:val="22"/>
        </w:rPr>
        <w:t> </w:t>
      </w:r>
      <w:r>
        <w:rPr>
          <w:sz w:val="22"/>
        </w:rPr>
        <w:t>University</w:t>
      </w:r>
      <w:r>
        <w:rPr>
          <w:spacing w:val="22"/>
          <w:sz w:val="22"/>
        </w:rPr>
        <w:t> </w:t>
      </w:r>
      <w:r>
        <w:rPr>
          <w:sz w:val="22"/>
        </w:rPr>
        <w:t>c</w:t>
      </w:r>
      <w:r>
        <w:rPr>
          <w:spacing w:val="-29"/>
          <w:sz w:val="22"/>
        </w:rPr>
        <w:t> </w:t>
      </w:r>
      <w:r>
        <w:rPr>
          <w:spacing w:val="12"/>
          <w:sz w:val="22"/>
        </w:rPr>
        <w:t>ampus.</w:t>
      </w:r>
      <w:r>
        <w:rPr>
          <w:spacing w:val="-2"/>
          <w:sz w:val="22"/>
        </w:rPr>
        <w:t> </w:t>
      </w:r>
      <w:r>
        <w:rPr>
          <w:sz w:val="22"/>
        </w:rPr>
        <w:t>In</w:t>
      </w:r>
      <w:r>
        <w:rPr>
          <w:spacing w:val="22"/>
          <w:sz w:val="22"/>
        </w:rPr>
        <w:t> </w:t>
      </w:r>
      <w:r>
        <w:rPr>
          <w:sz w:val="22"/>
        </w:rPr>
        <w:t>a</w:t>
      </w:r>
      <w:r>
        <w:rPr>
          <w:spacing w:val="-32"/>
          <w:sz w:val="22"/>
        </w:rPr>
        <w:t> </w:t>
      </w:r>
      <w:r>
        <w:rPr>
          <w:sz w:val="22"/>
        </w:rPr>
        <w:t>d</w:t>
      </w:r>
      <w:r>
        <w:rPr>
          <w:spacing w:val="-32"/>
          <w:sz w:val="22"/>
        </w:rPr>
        <w:t> </w:t>
      </w:r>
      <w:r>
        <w:rPr>
          <w:sz w:val="22"/>
        </w:rPr>
        <w:t>dition to</w:t>
      </w:r>
      <w:r>
        <w:rPr>
          <w:spacing w:val="29"/>
          <w:sz w:val="22"/>
        </w:rPr>
        <w:t> </w:t>
      </w:r>
      <w:r>
        <w:rPr>
          <w:sz w:val="22"/>
        </w:rPr>
        <w:t>classrooms, studios, </w:t>
      </w:r>
      <w:r>
        <w:rPr>
          <w:spacing w:val="13"/>
          <w:sz w:val="22"/>
        </w:rPr>
        <w:t>and </w:t>
      </w:r>
      <w:r>
        <w:rPr>
          <w:spacing w:val="9"/>
          <w:sz w:val="22"/>
        </w:rPr>
        <w:t>the </w:t>
      </w:r>
      <w:r>
        <w:rPr>
          <w:spacing w:val="11"/>
          <w:sz w:val="22"/>
        </w:rPr>
        <w:t>Dep</w:t>
      </w:r>
      <w:r>
        <w:rPr>
          <w:spacing w:val="-32"/>
          <w:sz w:val="22"/>
        </w:rPr>
        <w:t> </w:t>
      </w:r>
      <w:r>
        <w:rPr>
          <w:spacing w:val="13"/>
          <w:sz w:val="22"/>
        </w:rPr>
        <w:t>artment’s </w:t>
      </w:r>
      <w:r>
        <w:rPr>
          <w:sz w:val="22"/>
        </w:rPr>
        <w:t>a</w:t>
      </w:r>
      <w:r>
        <w:rPr>
          <w:spacing w:val="-33"/>
          <w:sz w:val="22"/>
        </w:rPr>
        <w:t> </w:t>
      </w:r>
      <w:r>
        <w:rPr>
          <w:spacing w:val="9"/>
          <w:sz w:val="22"/>
        </w:rPr>
        <w:t>dministration </w:t>
      </w:r>
      <w:r>
        <w:rPr>
          <w:spacing w:val="10"/>
          <w:sz w:val="22"/>
        </w:rPr>
        <w:t>office,</w:t>
      </w:r>
      <w:r>
        <w:rPr>
          <w:spacing w:val="-6"/>
          <w:sz w:val="22"/>
        </w:rPr>
        <w:t> </w:t>
      </w:r>
      <w:r>
        <w:rPr>
          <w:sz w:val="22"/>
        </w:rPr>
        <w:t>Bemis</w:t>
      </w:r>
      <w:r>
        <w:rPr>
          <w:spacing w:val="-6"/>
          <w:sz w:val="22"/>
        </w:rPr>
        <w:t> </w:t>
      </w:r>
      <w:r>
        <w:rPr>
          <w:spacing w:val="13"/>
          <w:sz w:val="22"/>
        </w:rPr>
        <w:t>Labs</w:t>
      </w:r>
      <w:r>
        <w:rPr>
          <w:spacing w:val="2"/>
          <w:sz w:val="22"/>
        </w:rPr>
        <w:t> </w:t>
      </w:r>
      <w:r>
        <w:rPr>
          <w:spacing w:val="9"/>
          <w:sz w:val="22"/>
        </w:rPr>
        <w:t>houses</w:t>
      </w:r>
      <w:r>
        <w:rPr>
          <w:spacing w:val="3"/>
          <w:sz w:val="22"/>
        </w:rPr>
        <w:t> </w:t>
      </w:r>
      <w:r>
        <w:rPr>
          <w:spacing w:val="9"/>
          <w:sz w:val="22"/>
        </w:rPr>
        <w:t>the</w:t>
      </w:r>
      <w:r>
        <w:rPr>
          <w:spacing w:val="6"/>
          <w:sz w:val="22"/>
        </w:rPr>
        <w:t> </w:t>
      </w:r>
      <w:r>
        <w:rPr>
          <w:sz w:val="22"/>
        </w:rPr>
        <w:t>William H. </w:t>
      </w:r>
      <w:r>
        <w:rPr>
          <w:spacing w:val="10"/>
          <w:sz w:val="22"/>
        </w:rPr>
        <w:t>Moses</w:t>
      </w:r>
      <w:r>
        <w:rPr>
          <w:spacing w:val="-4"/>
          <w:sz w:val="22"/>
        </w:rPr>
        <w:t> </w:t>
      </w:r>
      <w:r>
        <w:rPr>
          <w:sz w:val="22"/>
        </w:rPr>
        <w:t>Jr. </w:t>
      </w:r>
      <w:r>
        <w:rPr>
          <w:spacing w:val="11"/>
          <w:sz w:val="22"/>
        </w:rPr>
        <w:t>Architecture</w:t>
      </w:r>
      <w:r>
        <w:rPr>
          <w:spacing w:val="6"/>
          <w:sz w:val="22"/>
        </w:rPr>
        <w:t> </w:t>
      </w:r>
      <w:r>
        <w:rPr>
          <w:sz w:val="22"/>
        </w:rPr>
        <w:t>Library,</w:t>
      </w:r>
    </w:p>
    <w:p>
      <w:pPr>
        <w:spacing w:line="292" w:lineRule="auto" w:before="0"/>
        <w:ind w:left="450" w:right="642" w:firstLine="3"/>
        <w:jc w:val="left"/>
        <w:rPr>
          <w:sz w:val="22"/>
        </w:rPr>
      </w:pPr>
      <w:r>
        <w:rPr>
          <w:spacing w:val="13"/>
          <w:sz w:val="22"/>
        </w:rPr>
        <w:t>and</w:t>
      </w:r>
      <w:r>
        <w:rPr>
          <w:sz w:val="22"/>
        </w:rPr>
        <w:t> </w:t>
      </w:r>
      <w:r>
        <w:rPr>
          <w:spacing w:val="9"/>
          <w:sz w:val="22"/>
        </w:rPr>
        <w:t>the</w:t>
      </w:r>
      <w:r>
        <w:rPr>
          <w:spacing w:val="3"/>
          <w:sz w:val="22"/>
        </w:rPr>
        <w:t> </w:t>
      </w:r>
      <w:r>
        <w:rPr>
          <w:spacing w:val="12"/>
          <w:sz w:val="22"/>
        </w:rPr>
        <w:t>Architecture</w:t>
      </w:r>
      <w:r>
        <w:rPr>
          <w:spacing w:val="-3"/>
          <w:sz w:val="22"/>
        </w:rPr>
        <w:t> </w:t>
      </w:r>
      <w:r>
        <w:rPr>
          <w:spacing w:val="9"/>
          <w:sz w:val="22"/>
        </w:rPr>
        <w:t>Digital</w:t>
      </w:r>
      <w:r>
        <w:rPr>
          <w:spacing w:val="-3"/>
          <w:sz w:val="22"/>
        </w:rPr>
        <w:t> </w:t>
      </w:r>
      <w:r>
        <w:rPr>
          <w:spacing w:val="13"/>
          <w:sz w:val="22"/>
        </w:rPr>
        <w:t>Media</w:t>
      </w:r>
      <w:r>
        <w:rPr>
          <w:spacing w:val="-2"/>
          <w:sz w:val="22"/>
        </w:rPr>
        <w:t> </w:t>
      </w:r>
      <w:r>
        <w:rPr>
          <w:spacing w:val="10"/>
          <w:sz w:val="22"/>
        </w:rPr>
        <w:t>Lab.</w:t>
      </w:r>
      <w:r>
        <w:rPr>
          <w:spacing w:val="-7"/>
          <w:sz w:val="22"/>
        </w:rPr>
        <w:t> </w:t>
      </w:r>
      <w:r>
        <w:rPr>
          <w:sz w:val="22"/>
        </w:rPr>
        <w:t>Also </w:t>
      </w:r>
      <w:r>
        <w:rPr>
          <w:spacing w:val="10"/>
          <w:sz w:val="22"/>
        </w:rPr>
        <w:t>at</w:t>
      </w:r>
      <w:r>
        <w:rPr>
          <w:spacing w:val="-7"/>
          <w:sz w:val="22"/>
        </w:rPr>
        <w:t> </w:t>
      </w:r>
      <w:r>
        <w:rPr>
          <w:sz w:val="22"/>
        </w:rPr>
        <w:t>Bemis</w:t>
      </w:r>
      <w:r>
        <w:rPr>
          <w:spacing w:val="-13"/>
          <w:sz w:val="22"/>
        </w:rPr>
        <w:t> </w:t>
      </w:r>
      <w:r>
        <w:rPr>
          <w:spacing w:val="13"/>
          <w:sz w:val="22"/>
        </w:rPr>
        <w:t>Labs</w:t>
      </w:r>
      <w:r>
        <w:rPr>
          <w:spacing w:val="-12"/>
          <w:sz w:val="22"/>
        </w:rPr>
        <w:t> </w:t>
      </w:r>
      <w:r>
        <w:rPr>
          <w:sz w:val="22"/>
        </w:rPr>
        <w:t>is</w:t>
      </w:r>
      <w:r>
        <w:rPr>
          <w:spacing w:val="-6"/>
          <w:sz w:val="22"/>
        </w:rPr>
        <w:t> </w:t>
      </w:r>
      <w:r>
        <w:rPr>
          <w:spacing w:val="9"/>
          <w:sz w:val="22"/>
        </w:rPr>
        <w:t>the</w:t>
      </w:r>
      <w:r>
        <w:rPr>
          <w:spacing w:val="-3"/>
          <w:sz w:val="22"/>
        </w:rPr>
        <w:t> </w:t>
      </w:r>
      <w:r>
        <w:rPr>
          <w:sz w:val="22"/>
        </w:rPr>
        <w:t>Fine</w:t>
      </w:r>
      <w:r>
        <w:rPr>
          <w:spacing w:val="17"/>
          <w:sz w:val="22"/>
        </w:rPr>
        <w:t> </w:t>
      </w:r>
      <w:r>
        <w:rPr>
          <w:sz w:val="22"/>
        </w:rPr>
        <w:t>Arts</w:t>
      </w:r>
      <w:r>
        <w:rPr>
          <w:spacing w:val="-9"/>
          <w:sz w:val="22"/>
        </w:rPr>
        <w:t> </w:t>
      </w:r>
      <w:r>
        <w:rPr>
          <w:spacing w:val="11"/>
          <w:sz w:val="22"/>
        </w:rPr>
        <w:t>Dep</w:t>
      </w:r>
      <w:r>
        <w:rPr>
          <w:spacing w:val="-33"/>
          <w:sz w:val="22"/>
        </w:rPr>
        <w:t> </w:t>
      </w:r>
      <w:r>
        <w:rPr>
          <w:spacing w:val="13"/>
          <w:sz w:val="22"/>
        </w:rPr>
        <w:t>artment’s Ceramic </w:t>
      </w:r>
      <w:r>
        <w:rPr>
          <w:spacing w:val="10"/>
          <w:sz w:val="22"/>
        </w:rPr>
        <w:t>Studio.</w:t>
      </w:r>
    </w:p>
    <w:p>
      <w:pPr>
        <w:pStyle w:val="BodyText"/>
        <w:rPr>
          <w:sz w:val="27"/>
        </w:rPr>
      </w:pPr>
    </w:p>
    <w:p>
      <w:pPr>
        <w:spacing w:before="1"/>
        <w:ind w:left="440" w:right="0" w:firstLine="0"/>
        <w:jc w:val="left"/>
        <w:rPr>
          <w:sz w:val="22"/>
        </w:rPr>
      </w:pPr>
      <w:r>
        <w:rPr>
          <w:w w:val="95"/>
          <w:sz w:val="22"/>
        </w:rPr>
        <w:t>The</w:t>
      </w:r>
      <w:r>
        <w:rPr>
          <w:spacing w:val="23"/>
          <w:sz w:val="22"/>
        </w:rPr>
        <w:t> </w:t>
      </w:r>
      <w:r>
        <w:rPr>
          <w:b/>
          <w:w w:val="95"/>
          <w:sz w:val="22"/>
        </w:rPr>
        <w:t>William</w:t>
      </w:r>
      <w:r>
        <w:rPr>
          <w:b/>
          <w:spacing w:val="16"/>
          <w:sz w:val="22"/>
        </w:rPr>
        <w:t> </w:t>
      </w:r>
      <w:r>
        <w:rPr>
          <w:b/>
          <w:w w:val="95"/>
          <w:sz w:val="22"/>
        </w:rPr>
        <w:t>H.</w:t>
      </w:r>
      <w:r>
        <w:rPr>
          <w:b/>
          <w:spacing w:val="21"/>
          <w:sz w:val="22"/>
        </w:rPr>
        <w:t> </w:t>
      </w:r>
      <w:r>
        <w:rPr>
          <w:b/>
          <w:w w:val="95"/>
          <w:sz w:val="22"/>
        </w:rPr>
        <w:t>Moses</w:t>
      </w:r>
      <w:r>
        <w:rPr>
          <w:b/>
          <w:spacing w:val="13"/>
          <w:sz w:val="22"/>
        </w:rPr>
        <w:t> </w:t>
      </w:r>
      <w:r>
        <w:rPr>
          <w:b/>
          <w:w w:val="95"/>
          <w:sz w:val="22"/>
        </w:rPr>
        <w:t>Jr.</w:t>
      </w:r>
      <w:r>
        <w:rPr>
          <w:b/>
          <w:spacing w:val="17"/>
          <w:sz w:val="22"/>
        </w:rPr>
        <w:t> </w:t>
      </w:r>
      <w:r>
        <w:rPr>
          <w:b/>
          <w:w w:val="95"/>
          <w:sz w:val="22"/>
        </w:rPr>
        <w:t>Architecture</w:t>
      </w:r>
      <w:r>
        <w:rPr>
          <w:b/>
          <w:spacing w:val="26"/>
          <w:sz w:val="22"/>
        </w:rPr>
        <w:t> </w:t>
      </w:r>
      <w:r>
        <w:rPr>
          <w:b/>
          <w:w w:val="95"/>
          <w:sz w:val="22"/>
        </w:rPr>
        <w:t>Library</w:t>
      </w:r>
      <w:r>
        <w:rPr>
          <w:b/>
          <w:spacing w:val="11"/>
          <w:sz w:val="22"/>
        </w:rPr>
        <w:t> </w:t>
      </w:r>
      <w:r>
        <w:rPr>
          <w:w w:val="95"/>
          <w:sz w:val="22"/>
        </w:rPr>
        <w:t>is</w:t>
      </w:r>
      <w:r>
        <w:rPr>
          <w:spacing w:val="26"/>
          <w:sz w:val="22"/>
        </w:rPr>
        <w:t> </w:t>
      </w:r>
      <w:r>
        <w:rPr>
          <w:w w:val="95"/>
          <w:sz w:val="22"/>
        </w:rPr>
        <w:t>a</w:t>
      </w:r>
      <w:r>
        <w:rPr>
          <w:spacing w:val="29"/>
          <w:sz w:val="22"/>
        </w:rPr>
        <w:t> </w:t>
      </w:r>
      <w:r>
        <w:rPr>
          <w:spacing w:val="9"/>
          <w:w w:val="95"/>
          <w:sz w:val="22"/>
        </w:rPr>
        <w:t>satellite</w:t>
      </w:r>
      <w:r>
        <w:rPr>
          <w:spacing w:val="36"/>
          <w:sz w:val="22"/>
        </w:rPr>
        <w:t> </w:t>
      </w:r>
      <w:r>
        <w:rPr>
          <w:w w:val="95"/>
          <w:sz w:val="22"/>
        </w:rPr>
        <w:t>of</w:t>
      </w:r>
      <w:r>
        <w:rPr>
          <w:spacing w:val="24"/>
          <w:sz w:val="22"/>
        </w:rPr>
        <w:t> </w:t>
      </w:r>
      <w:r>
        <w:rPr>
          <w:spacing w:val="9"/>
          <w:w w:val="95"/>
          <w:sz w:val="22"/>
        </w:rPr>
        <w:t>the</w:t>
      </w:r>
      <w:r>
        <w:rPr>
          <w:spacing w:val="23"/>
          <w:sz w:val="22"/>
        </w:rPr>
        <w:t> </w:t>
      </w:r>
      <w:r>
        <w:rPr>
          <w:w w:val="95"/>
          <w:sz w:val="22"/>
        </w:rPr>
        <w:t>University</w:t>
      </w:r>
      <w:r>
        <w:rPr>
          <w:spacing w:val="12"/>
          <w:sz w:val="22"/>
        </w:rPr>
        <w:t> </w:t>
      </w:r>
      <w:r>
        <w:rPr>
          <w:w w:val="95"/>
          <w:sz w:val="22"/>
        </w:rPr>
        <w:t>library</w:t>
      </w:r>
      <w:r>
        <w:rPr>
          <w:spacing w:val="15"/>
          <w:sz w:val="22"/>
        </w:rPr>
        <w:t> </w:t>
      </w:r>
      <w:r>
        <w:rPr>
          <w:spacing w:val="-2"/>
          <w:w w:val="95"/>
          <w:sz w:val="22"/>
        </w:rPr>
        <w:t>system.</w:t>
      </w:r>
    </w:p>
    <w:p>
      <w:pPr>
        <w:spacing w:before="56"/>
        <w:ind w:left="440" w:right="0" w:firstLine="0"/>
        <w:jc w:val="left"/>
        <w:rPr>
          <w:sz w:val="22"/>
        </w:rPr>
      </w:pPr>
      <w:r>
        <w:rPr>
          <w:w w:val="95"/>
          <w:sz w:val="22"/>
        </w:rPr>
        <w:t>Its</w:t>
      </w:r>
      <w:r>
        <w:rPr>
          <w:spacing w:val="34"/>
          <w:sz w:val="22"/>
        </w:rPr>
        <w:t> </w:t>
      </w:r>
      <w:r>
        <w:rPr>
          <w:w w:val="95"/>
          <w:sz w:val="22"/>
        </w:rPr>
        <w:t>c</w:t>
      </w:r>
      <w:r>
        <w:rPr>
          <w:spacing w:val="-23"/>
          <w:w w:val="95"/>
          <w:sz w:val="22"/>
        </w:rPr>
        <w:t> </w:t>
      </w:r>
      <w:r>
        <w:rPr>
          <w:spacing w:val="11"/>
          <w:w w:val="95"/>
          <w:sz w:val="22"/>
        </w:rPr>
        <w:t>ollection</w:t>
      </w:r>
      <w:r>
        <w:rPr>
          <w:spacing w:val="20"/>
          <w:sz w:val="22"/>
        </w:rPr>
        <w:t> </w:t>
      </w:r>
      <w:r>
        <w:rPr>
          <w:spacing w:val="12"/>
          <w:w w:val="95"/>
          <w:sz w:val="22"/>
        </w:rPr>
        <w:t>includes</w:t>
      </w:r>
      <w:r>
        <w:rPr>
          <w:spacing w:val="28"/>
          <w:sz w:val="22"/>
        </w:rPr>
        <w:t> </w:t>
      </w:r>
      <w:r>
        <w:rPr>
          <w:spacing w:val="9"/>
          <w:w w:val="95"/>
          <w:sz w:val="22"/>
        </w:rPr>
        <w:t>books,</w:t>
      </w:r>
      <w:r>
        <w:rPr>
          <w:spacing w:val="11"/>
          <w:sz w:val="22"/>
        </w:rPr>
        <w:t> </w:t>
      </w:r>
      <w:r>
        <w:rPr>
          <w:w w:val="95"/>
          <w:sz w:val="22"/>
        </w:rPr>
        <w:t>journals,</w:t>
      </w:r>
      <w:r>
        <w:rPr>
          <w:spacing w:val="30"/>
          <w:sz w:val="22"/>
        </w:rPr>
        <w:t> </w:t>
      </w:r>
      <w:r>
        <w:rPr>
          <w:spacing w:val="11"/>
          <w:w w:val="95"/>
          <w:sz w:val="22"/>
        </w:rPr>
        <w:t>digital</w:t>
      </w:r>
      <w:r>
        <w:rPr>
          <w:spacing w:val="32"/>
          <w:sz w:val="22"/>
        </w:rPr>
        <w:t> </w:t>
      </w:r>
      <w:r>
        <w:rPr>
          <w:spacing w:val="13"/>
          <w:w w:val="95"/>
          <w:sz w:val="22"/>
        </w:rPr>
        <w:t>and</w:t>
      </w:r>
      <w:r>
        <w:rPr>
          <w:spacing w:val="38"/>
          <w:sz w:val="22"/>
        </w:rPr>
        <w:t> </w:t>
      </w:r>
      <w:r>
        <w:rPr>
          <w:spacing w:val="12"/>
          <w:w w:val="95"/>
          <w:sz w:val="22"/>
        </w:rPr>
        <w:t>video</w:t>
      </w:r>
      <w:r>
        <w:rPr>
          <w:spacing w:val="39"/>
          <w:sz w:val="22"/>
        </w:rPr>
        <w:t> </w:t>
      </w:r>
      <w:r>
        <w:rPr>
          <w:spacing w:val="9"/>
          <w:w w:val="95"/>
          <w:sz w:val="22"/>
        </w:rPr>
        <w:t>materials,</w:t>
      </w:r>
      <w:r>
        <w:rPr>
          <w:spacing w:val="29"/>
          <w:sz w:val="22"/>
        </w:rPr>
        <w:t> </w:t>
      </w:r>
      <w:r>
        <w:rPr>
          <w:w w:val="95"/>
          <w:sz w:val="22"/>
        </w:rPr>
        <w:t>as</w:t>
      </w:r>
      <w:r>
        <w:rPr>
          <w:spacing w:val="28"/>
          <w:sz w:val="22"/>
        </w:rPr>
        <w:t> </w:t>
      </w:r>
      <w:r>
        <w:rPr>
          <w:w w:val="95"/>
          <w:sz w:val="22"/>
        </w:rPr>
        <w:t>well</w:t>
      </w:r>
      <w:r>
        <w:rPr>
          <w:spacing w:val="32"/>
          <w:sz w:val="22"/>
        </w:rPr>
        <w:t> </w:t>
      </w:r>
      <w:r>
        <w:rPr>
          <w:w w:val="95"/>
          <w:sz w:val="22"/>
        </w:rPr>
        <w:t>as</w:t>
      </w:r>
      <w:r>
        <w:rPr>
          <w:spacing w:val="14"/>
          <w:sz w:val="22"/>
        </w:rPr>
        <w:t> </w:t>
      </w:r>
      <w:r>
        <w:rPr>
          <w:w w:val="95"/>
          <w:sz w:val="22"/>
        </w:rPr>
        <w:t>slides.</w:t>
      </w:r>
      <w:r>
        <w:rPr>
          <w:spacing w:val="8"/>
          <w:sz w:val="22"/>
        </w:rPr>
        <w:t> </w:t>
      </w:r>
      <w:r>
        <w:rPr>
          <w:spacing w:val="-5"/>
          <w:w w:val="95"/>
          <w:sz w:val="22"/>
        </w:rPr>
        <w:t>In</w:t>
      </w:r>
    </w:p>
    <w:p>
      <w:pPr>
        <w:spacing w:line="295" w:lineRule="auto" w:before="57"/>
        <w:ind w:left="440" w:right="642" w:firstLine="14"/>
        <w:jc w:val="left"/>
        <w:rPr>
          <w:sz w:val="22"/>
        </w:rPr>
      </w:pPr>
      <w:r>
        <w:rPr>
          <w:sz w:val="22"/>
        </w:rPr>
        <w:t>a</w:t>
      </w:r>
      <w:r>
        <w:rPr>
          <w:spacing w:val="-33"/>
          <w:sz w:val="22"/>
        </w:rPr>
        <w:t> </w:t>
      </w:r>
      <w:r>
        <w:rPr>
          <w:sz w:val="22"/>
        </w:rPr>
        <w:t>d</w:t>
      </w:r>
      <w:r>
        <w:rPr>
          <w:spacing w:val="-33"/>
          <w:sz w:val="22"/>
        </w:rPr>
        <w:t> </w:t>
      </w:r>
      <w:r>
        <w:rPr>
          <w:sz w:val="22"/>
        </w:rPr>
        <w:t>dition,</w:t>
      </w:r>
      <w:r>
        <w:rPr>
          <w:spacing w:val="-10"/>
          <w:sz w:val="22"/>
        </w:rPr>
        <w:t> </w:t>
      </w:r>
      <w:r>
        <w:rPr>
          <w:sz w:val="22"/>
        </w:rPr>
        <w:t>it </w:t>
      </w:r>
      <w:r>
        <w:rPr>
          <w:spacing w:val="9"/>
          <w:sz w:val="22"/>
        </w:rPr>
        <w:t>houses</w:t>
      </w:r>
      <w:r>
        <w:rPr>
          <w:spacing w:val="2"/>
          <w:sz w:val="22"/>
        </w:rPr>
        <w:t> </w:t>
      </w:r>
      <w:r>
        <w:rPr>
          <w:spacing w:val="9"/>
          <w:sz w:val="22"/>
        </w:rPr>
        <w:t>the </w:t>
      </w:r>
      <w:r>
        <w:rPr>
          <w:spacing w:val="10"/>
          <w:sz w:val="22"/>
        </w:rPr>
        <w:t>Archives</w:t>
      </w:r>
      <w:r>
        <w:rPr>
          <w:spacing w:val="6"/>
          <w:sz w:val="22"/>
        </w:rPr>
        <w:t> </w:t>
      </w:r>
      <w:r>
        <w:rPr>
          <w:sz w:val="22"/>
        </w:rPr>
        <w:t>of</w:t>
      </w:r>
      <w:r>
        <w:rPr>
          <w:spacing w:val="-1"/>
          <w:sz w:val="22"/>
        </w:rPr>
        <w:t> </w:t>
      </w:r>
      <w:r>
        <w:rPr>
          <w:sz w:val="22"/>
        </w:rPr>
        <w:t>Sol </w:t>
      </w:r>
      <w:r>
        <w:rPr>
          <w:spacing w:val="12"/>
          <w:sz w:val="22"/>
        </w:rPr>
        <w:t>Cohen,</w:t>
      </w:r>
      <w:r>
        <w:rPr>
          <w:spacing w:val="1"/>
          <w:sz w:val="22"/>
        </w:rPr>
        <w:t> </w:t>
      </w:r>
      <w:r>
        <w:rPr>
          <w:spacing w:val="12"/>
          <w:sz w:val="22"/>
        </w:rPr>
        <w:t>Architect.</w:t>
      </w:r>
      <w:r>
        <w:rPr>
          <w:spacing w:val="-4"/>
          <w:sz w:val="22"/>
        </w:rPr>
        <w:t> </w:t>
      </w:r>
      <w:r>
        <w:rPr>
          <w:sz w:val="22"/>
        </w:rPr>
        <w:t>When c</w:t>
      </w:r>
      <w:r>
        <w:rPr>
          <w:spacing w:val="-33"/>
          <w:sz w:val="22"/>
        </w:rPr>
        <w:t> </w:t>
      </w:r>
      <w:r>
        <w:rPr>
          <w:spacing w:val="14"/>
          <w:sz w:val="22"/>
        </w:rPr>
        <w:t>onducting</w:t>
      </w:r>
      <w:r>
        <w:rPr>
          <w:spacing w:val="8"/>
          <w:sz w:val="22"/>
        </w:rPr>
        <w:t> </w:t>
      </w:r>
      <w:r>
        <w:rPr>
          <w:spacing w:val="12"/>
          <w:sz w:val="22"/>
        </w:rPr>
        <w:t>research</w:t>
      </w:r>
      <w:r>
        <w:rPr>
          <w:sz w:val="22"/>
        </w:rPr>
        <w:t> it is </w:t>
      </w:r>
      <w:r>
        <w:rPr>
          <w:spacing w:val="14"/>
          <w:sz w:val="22"/>
        </w:rPr>
        <w:t>important </w:t>
      </w:r>
      <w:r>
        <w:rPr>
          <w:sz w:val="22"/>
        </w:rPr>
        <w:t>to </w:t>
      </w:r>
      <w:r>
        <w:rPr>
          <w:spacing w:val="16"/>
          <w:sz w:val="22"/>
        </w:rPr>
        <w:t>remember </w:t>
      </w:r>
      <w:r>
        <w:rPr>
          <w:spacing w:val="12"/>
          <w:sz w:val="22"/>
        </w:rPr>
        <w:t>that </w:t>
      </w:r>
      <w:r>
        <w:rPr>
          <w:sz w:val="22"/>
        </w:rPr>
        <w:t>a </w:t>
      </w:r>
      <w:r>
        <w:rPr>
          <w:spacing w:val="14"/>
          <w:sz w:val="22"/>
        </w:rPr>
        <w:t>number </w:t>
      </w:r>
      <w:r>
        <w:rPr>
          <w:sz w:val="22"/>
        </w:rPr>
        <w:t>of signific</w:t>
      </w:r>
      <w:r>
        <w:rPr>
          <w:spacing w:val="-29"/>
          <w:sz w:val="22"/>
        </w:rPr>
        <w:t> </w:t>
      </w:r>
      <w:r>
        <w:rPr>
          <w:spacing w:val="10"/>
          <w:sz w:val="22"/>
        </w:rPr>
        <w:t>ant </w:t>
      </w:r>
      <w:r>
        <w:rPr>
          <w:spacing w:val="13"/>
          <w:sz w:val="22"/>
        </w:rPr>
        <w:t>architectural</w:t>
      </w:r>
      <w:r>
        <w:rPr>
          <w:spacing w:val="10"/>
          <w:sz w:val="22"/>
        </w:rPr>
        <w:t> </w:t>
      </w:r>
      <w:r>
        <w:rPr>
          <w:spacing w:val="11"/>
          <w:sz w:val="22"/>
        </w:rPr>
        <w:t>sources </w:t>
      </w:r>
      <w:r>
        <w:rPr>
          <w:sz w:val="22"/>
        </w:rPr>
        <w:t>are</w:t>
      </w:r>
      <w:r>
        <w:rPr>
          <w:spacing w:val="37"/>
          <w:sz w:val="22"/>
        </w:rPr>
        <w:t> </w:t>
      </w:r>
      <w:r>
        <w:rPr>
          <w:sz w:val="22"/>
        </w:rPr>
        <w:t>also</w:t>
      </w:r>
    </w:p>
    <w:p>
      <w:pPr>
        <w:spacing w:line="292" w:lineRule="auto" w:before="0"/>
        <w:ind w:left="447" w:right="712" w:firstLine="7"/>
        <w:jc w:val="left"/>
        <w:rPr>
          <w:sz w:val="22"/>
        </w:rPr>
      </w:pPr>
      <w:r>
        <w:rPr>
          <w:spacing w:val="11"/>
          <w:sz w:val="22"/>
        </w:rPr>
        <w:t>available </w:t>
      </w:r>
      <w:r>
        <w:rPr>
          <w:spacing w:val="10"/>
          <w:sz w:val="22"/>
        </w:rPr>
        <w:t>at</w:t>
      </w:r>
      <w:r>
        <w:rPr>
          <w:spacing w:val="4"/>
          <w:sz w:val="22"/>
        </w:rPr>
        <w:t> </w:t>
      </w:r>
      <w:r>
        <w:rPr>
          <w:spacing w:val="9"/>
          <w:sz w:val="22"/>
        </w:rPr>
        <w:t>the</w:t>
      </w:r>
      <w:r>
        <w:rPr>
          <w:spacing w:val="4"/>
          <w:sz w:val="22"/>
        </w:rPr>
        <w:t> </w:t>
      </w:r>
      <w:r>
        <w:rPr>
          <w:sz w:val="22"/>
        </w:rPr>
        <w:t>William R. </w:t>
      </w:r>
      <w:r>
        <w:rPr>
          <w:spacing w:val="13"/>
          <w:sz w:val="22"/>
        </w:rPr>
        <w:t>and</w:t>
      </w:r>
      <w:r>
        <w:rPr>
          <w:spacing w:val="8"/>
          <w:sz w:val="22"/>
        </w:rPr>
        <w:t> </w:t>
      </w:r>
      <w:r>
        <w:rPr>
          <w:spacing w:val="11"/>
          <w:sz w:val="22"/>
        </w:rPr>
        <w:t>Norma</w:t>
      </w:r>
      <w:r>
        <w:rPr>
          <w:spacing w:val="6"/>
          <w:sz w:val="22"/>
        </w:rPr>
        <w:t> </w:t>
      </w:r>
      <w:r>
        <w:rPr>
          <w:sz w:val="22"/>
        </w:rPr>
        <w:t>B.</w:t>
      </w:r>
      <w:r>
        <w:rPr>
          <w:spacing w:val="-9"/>
          <w:sz w:val="22"/>
        </w:rPr>
        <w:t> </w:t>
      </w:r>
      <w:r>
        <w:rPr>
          <w:spacing w:val="10"/>
          <w:sz w:val="22"/>
        </w:rPr>
        <w:t>Harvey</w:t>
      </w:r>
      <w:r>
        <w:rPr>
          <w:spacing w:val="-4"/>
          <w:sz w:val="22"/>
        </w:rPr>
        <w:t> </w:t>
      </w:r>
      <w:r>
        <w:rPr>
          <w:spacing w:val="9"/>
          <w:sz w:val="22"/>
        </w:rPr>
        <w:t>Library,</w:t>
      </w:r>
      <w:r>
        <w:rPr>
          <w:spacing w:val="4"/>
          <w:sz w:val="22"/>
        </w:rPr>
        <w:t> </w:t>
      </w:r>
      <w:r>
        <w:rPr>
          <w:sz w:val="22"/>
        </w:rPr>
        <w:t>as well all </w:t>
      </w:r>
      <w:r>
        <w:rPr>
          <w:spacing w:val="14"/>
          <w:sz w:val="22"/>
        </w:rPr>
        <w:t>bound </w:t>
      </w:r>
      <w:r>
        <w:rPr>
          <w:spacing w:val="11"/>
          <w:sz w:val="22"/>
        </w:rPr>
        <w:t>periodic</w:t>
      </w:r>
      <w:r>
        <w:rPr>
          <w:spacing w:val="-30"/>
          <w:sz w:val="22"/>
        </w:rPr>
        <w:t> </w:t>
      </w:r>
      <w:r>
        <w:rPr>
          <w:sz w:val="22"/>
        </w:rPr>
        <w:t>als </w:t>
      </w:r>
      <w:r>
        <w:rPr>
          <w:spacing w:val="13"/>
          <w:sz w:val="22"/>
        </w:rPr>
        <w:t>that </w:t>
      </w:r>
      <w:r>
        <w:rPr>
          <w:spacing w:val="16"/>
          <w:sz w:val="22"/>
        </w:rPr>
        <w:t>predate </w:t>
      </w:r>
      <w:r>
        <w:rPr>
          <w:sz w:val="22"/>
        </w:rPr>
        <w:t>2000.</w:t>
      </w:r>
    </w:p>
    <w:p>
      <w:pPr>
        <w:spacing w:after="0" w:line="292" w:lineRule="auto"/>
        <w:jc w:val="left"/>
        <w:rPr>
          <w:sz w:val="22"/>
        </w:rPr>
        <w:sectPr>
          <w:headerReference w:type="default" r:id="rId293"/>
          <w:footerReference w:type="default" r:id="rId294"/>
          <w:pgSz w:w="12240" w:h="15840"/>
          <w:pgMar w:header="0" w:footer="748" w:top="1380" w:bottom="940" w:left="1000" w:right="820"/>
        </w:sectPr>
      </w:pPr>
    </w:p>
    <w:p>
      <w:pPr>
        <w:spacing w:line="295" w:lineRule="auto" w:before="66"/>
        <w:ind w:left="448" w:right="927" w:hanging="9"/>
        <w:jc w:val="left"/>
        <w:rPr>
          <w:sz w:val="22"/>
        </w:rPr>
      </w:pPr>
      <w:r>
        <w:rPr>
          <w:sz w:val="22"/>
        </w:rPr>
        <w:t>The </w:t>
      </w:r>
      <w:r>
        <w:rPr>
          <w:b/>
          <w:sz w:val="22"/>
        </w:rPr>
        <w:t>Architectural Digital Media Lab </w:t>
      </w:r>
      <w:r>
        <w:rPr>
          <w:sz w:val="22"/>
        </w:rPr>
        <w:t>or </w:t>
      </w:r>
      <w:r>
        <w:rPr>
          <w:b/>
          <w:sz w:val="22"/>
        </w:rPr>
        <w:t>“CAD Lab” </w:t>
      </w:r>
      <w:r>
        <w:rPr>
          <w:spacing w:val="9"/>
          <w:sz w:val="22"/>
        </w:rPr>
        <w:t>shares</w:t>
      </w:r>
      <w:r>
        <w:rPr>
          <w:spacing w:val="5"/>
          <w:sz w:val="22"/>
        </w:rPr>
        <w:t> </w:t>
      </w:r>
      <w:r>
        <w:rPr>
          <w:sz w:val="22"/>
        </w:rPr>
        <w:t>its physic</w:t>
      </w:r>
      <w:r>
        <w:rPr>
          <w:spacing w:val="-26"/>
          <w:sz w:val="22"/>
        </w:rPr>
        <w:t> </w:t>
      </w:r>
      <w:r>
        <w:rPr>
          <w:sz w:val="22"/>
        </w:rPr>
        <w:t>al </w:t>
      </w:r>
      <w:r>
        <w:rPr>
          <w:spacing w:val="9"/>
          <w:sz w:val="22"/>
        </w:rPr>
        <w:t>spa</w:t>
      </w:r>
      <w:r>
        <w:rPr>
          <w:spacing w:val="-29"/>
          <w:sz w:val="22"/>
        </w:rPr>
        <w:t> </w:t>
      </w:r>
      <w:r>
        <w:rPr>
          <w:sz w:val="22"/>
        </w:rPr>
        <w:t>c</w:t>
      </w:r>
      <w:r>
        <w:rPr>
          <w:spacing w:val="-30"/>
          <w:sz w:val="22"/>
        </w:rPr>
        <w:t> </w:t>
      </w:r>
      <w:r>
        <w:rPr>
          <w:sz w:val="22"/>
        </w:rPr>
        <w:t>e with </w:t>
      </w:r>
      <w:r>
        <w:rPr>
          <w:spacing w:val="9"/>
          <w:sz w:val="22"/>
        </w:rPr>
        <w:t>the </w:t>
      </w:r>
      <w:r>
        <w:rPr>
          <w:spacing w:val="12"/>
          <w:w w:val="95"/>
          <w:sz w:val="22"/>
        </w:rPr>
        <w:t>Architecture </w:t>
      </w:r>
      <w:r>
        <w:rPr>
          <w:w w:val="95"/>
          <w:sz w:val="22"/>
        </w:rPr>
        <w:t>Library. The</w:t>
      </w:r>
      <w:r>
        <w:rPr>
          <w:spacing w:val="40"/>
          <w:sz w:val="22"/>
        </w:rPr>
        <w:t> </w:t>
      </w:r>
      <w:r>
        <w:rPr>
          <w:w w:val="95"/>
          <w:sz w:val="22"/>
        </w:rPr>
        <w:t>CAD</w:t>
      </w:r>
      <w:r>
        <w:rPr>
          <w:sz w:val="22"/>
        </w:rPr>
        <w:t> </w:t>
      </w:r>
      <w:r>
        <w:rPr>
          <w:w w:val="95"/>
          <w:sz w:val="22"/>
        </w:rPr>
        <w:t>La</w:t>
      </w:r>
      <w:r>
        <w:rPr>
          <w:spacing w:val="-22"/>
          <w:w w:val="95"/>
          <w:sz w:val="22"/>
        </w:rPr>
        <w:t> </w:t>
      </w:r>
      <w:r>
        <w:rPr>
          <w:w w:val="95"/>
          <w:sz w:val="22"/>
        </w:rPr>
        <w:t>b</w:t>
      </w:r>
      <w:r>
        <w:rPr>
          <w:spacing w:val="40"/>
          <w:sz w:val="22"/>
        </w:rPr>
        <w:t> </w:t>
      </w:r>
      <w:r>
        <w:rPr>
          <w:spacing w:val="11"/>
          <w:w w:val="95"/>
          <w:sz w:val="22"/>
        </w:rPr>
        <w:t>provides students</w:t>
      </w:r>
      <w:r>
        <w:rPr>
          <w:spacing w:val="35"/>
          <w:sz w:val="22"/>
        </w:rPr>
        <w:t> </w:t>
      </w:r>
      <w:r>
        <w:rPr>
          <w:w w:val="95"/>
          <w:sz w:val="22"/>
        </w:rPr>
        <w:t>a</w:t>
      </w:r>
      <w:r>
        <w:rPr>
          <w:spacing w:val="-22"/>
          <w:w w:val="95"/>
          <w:sz w:val="22"/>
        </w:rPr>
        <w:t> </w:t>
      </w:r>
      <w:r>
        <w:rPr>
          <w:w w:val="95"/>
          <w:sz w:val="22"/>
        </w:rPr>
        <w:t>c</w:t>
      </w:r>
      <w:r>
        <w:rPr>
          <w:spacing w:val="-18"/>
          <w:w w:val="95"/>
          <w:sz w:val="22"/>
        </w:rPr>
        <w:t> </w:t>
      </w:r>
      <w:r>
        <w:rPr>
          <w:w w:val="95"/>
          <w:sz w:val="22"/>
        </w:rPr>
        <w:t>c</w:t>
      </w:r>
      <w:r>
        <w:rPr>
          <w:spacing w:val="-23"/>
          <w:w w:val="95"/>
          <w:sz w:val="22"/>
        </w:rPr>
        <w:t> </w:t>
      </w:r>
      <w:r>
        <w:rPr>
          <w:w w:val="95"/>
          <w:sz w:val="22"/>
        </w:rPr>
        <w:t>ess</w:t>
      </w:r>
      <w:r>
        <w:rPr>
          <w:spacing w:val="26"/>
          <w:sz w:val="22"/>
        </w:rPr>
        <w:t> </w:t>
      </w:r>
      <w:r>
        <w:rPr>
          <w:w w:val="95"/>
          <w:sz w:val="22"/>
        </w:rPr>
        <w:t>to</w:t>
      </w:r>
      <w:r>
        <w:rPr>
          <w:spacing w:val="12"/>
          <w:w w:val="95"/>
          <w:sz w:val="22"/>
        </w:rPr>
        <w:t> large</w:t>
      </w:r>
      <w:r>
        <w:rPr>
          <w:spacing w:val="13"/>
          <w:w w:val="95"/>
          <w:sz w:val="22"/>
        </w:rPr>
        <w:t> format </w:t>
      </w:r>
      <w:r>
        <w:rPr>
          <w:w w:val="95"/>
          <w:sz w:val="22"/>
        </w:rPr>
        <w:t>sc</w:t>
      </w:r>
      <w:r>
        <w:rPr>
          <w:spacing w:val="-22"/>
          <w:w w:val="95"/>
          <w:sz w:val="22"/>
        </w:rPr>
        <w:t> </w:t>
      </w:r>
      <w:r>
        <w:rPr>
          <w:spacing w:val="9"/>
          <w:w w:val="95"/>
          <w:sz w:val="22"/>
        </w:rPr>
        <w:t>anning </w:t>
      </w:r>
      <w:r>
        <w:rPr>
          <w:spacing w:val="13"/>
          <w:sz w:val="22"/>
        </w:rPr>
        <w:t>and </w:t>
      </w:r>
      <w:r>
        <w:rPr>
          <w:spacing w:val="10"/>
          <w:sz w:val="22"/>
        </w:rPr>
        <w:t>plotting.</w:t>
      </w:r>
      <w:r>
        <w:rPr>
          <w:spacing w:val="2"/>
          <w:sz w:val="22"/>
        </w:rPr>
        <w:t> </w:t>
      </w:r>
      <w:r>
        <w:rPr>
          <w:spacing w:val="9"/>
          <w:sz w:val="22"/>
        </w:rPr>
        <w:t>Ac</w:t>
      </w:r>
      <w:r>
        <w:rPr>
          <w:spacing w:val="-28"/>
          <w:sz w:val="22"/>
        </w:rPr>
        <w:t> </w:t>
      </w:r>
      <w:r>
        <w:rPr>
          <w:sz w:val="22"/>
        </w:rPr>
        <w:t>c</w:t>
      </w:r>
      <w:r>
        <w:rPr>
          <w:spacing w:val="-34"/>
          <w:sz w:val="22"/>
        </w:rPr>
        <w:t> </w:t>
      </w:r>
      <w:r>
        <w:rPr>
          <w:sz w:val="22"/>
        </w:rPr>
        <w:t>ess to </w:t>
      </w:r>
      <w:r>
        <w:rPr>
          <w:spacing w:val="9"/>
          <w:sz w:val="22"/>
        </w:rPr>
        <w:t>these</w:t>
      </w:r>
      <w:r>
        <w:rPr>
          <w:spacing w:val="6"/>
          <w:sz w:val="22"/>
        </w:rPr>
        <w:t> </w:t>
      </w:r>
      <w:r>
        <w:rPr>
          <w:spacing w:val="10"/>
          <w:sz w:val="22"/>
        </w:rPr>
        <w:t>services</w:t>
      </w:r>
      <w:r>
        <w:rPr>
          <w:spacing w:val="-4"/>
          <w:sz w:val="22"/>
        </w:rPr>
        <w:t> </w:t>
      </w:r>
      <w:r>
        <w:rPr>
          <w:sz w:val="22"/>
        </w:rPr>
        <w:t>is </w:t>
      </w:r>
      <w:r>
        <w:rPr>
          <w:spacing w:val="13"/>
          <w:sz w:val="22"/>
        </w:rPr>
        <w:t>provided </w:t>
      </w:r>
      <w:r>
        <w:rPr>
          <w:sz w:val="22"/>
        </w:rPr>
        <w:t>within a </w:t>
      </w:r>
      <w:r>
        <w:rPr>
          <w:spacing w:val="12"/>
          <w:sz w:val="22"/>
        </w:rPr>
        <w:t>secure and</w:t>
      </w:r>
      <w:r>
        <w:rPr>
          <w:spacing w:val="9"/>
          <w:sz w:val="22"/>
        </w:rPr>
        <w:t> </w:t>
      </w:r>
      <w:r>
        <w:rPr>
          <w:spacing w:val="14"/>
          <w:sz w:val="22"/>
        </w:rPr>
        <w:t>locked</w:t>
      </w:r>
      <w:r>
        <w:rPr>
          <w:spacing w:val="9"/>
          <w:sz w:val="22"/>
        </w:rPr>
        <w:t> </w:t>
      </w:r>
      <w:r>
        <w:rPr>
          <w:spacing w:val="13"/>
          <w:sz w:val="22"/>
        </w:rPr>
        <w:t>spa</w:t>
      </w:r>
      <w:r>
        <w:rPr>
          <w:spacing w:val="-31"/>
          <w:sz w:val="22"/>
        </w:rPr>
        <w:t> </w:t>
      </w:r>
      <w:r>
        <w:rPr>
          <w:spacing w:val="12"/>
          <w:sz w:val="22"/>
        </w:rPr>
        <w:t>ce </w:t>
      </w:r>
      <w:r>
        <w:rPr>
          <w:sz w:val="22"/>
        </w:rPr>
        <w:t>within</w:t>
      </w:r>
      <w:r>
        <w:rPr>
          <w:spacing w:val="9"/>
          <w:sz w:val="22"/>
        </w:rPr>
        <w:t> the </w:t>
      </w:r>
      <w:r>
        <w:rPr>
          <w:sz w:val="22"/>
        </w:rPr>
        <w:t>library</w:t>
      </w:r>
      <w:r>
        <w:rPr>
          <w:spacing w:val="13"/>
          <w:sz w:val="22"/>
        </w:rPr>
        <w:t> and </w:t>
      </w:r>
      <w:r>
        <w:rPr>
          <w:sz w:val="22"/>
        </w:rPr>
        <w:t>is</w:t>
      </w:r>
      <w:r>
        <w:rPr>
          <w:spacing w:val="16"/>
          <w:sz w:val="22"/>
        </w:rPr>
        <w:t> open </w:t>
      </w:r>
      <w:r>
        <w:rPr>
          <w:sz w:val="22"/>
        </w:rPr>
        <w:t>on</w:t>
      </w:r>
      <w:r>
        <w:rPr>
          <w:spacing w:val="38"/>
          <w:sz w:val="22"/>
        </w:rPr>
        <w:t> </w:t>
      </w:r>
      <w:r>
        <w:rPr>
          <w:sz w:val="22"/>
        </w:rPr>
        <w:t>a</w:t>
      </w:r>
      <w:r>
        <w:rPr>
          <w:spacing w:val="13"/>
          <w:sz w:val="22"/>
        </w:rPr>
        <w:t> schedule </w:t>
      </w:r>
      <w:r>
        <w:rPr>
          <w:spacing w:val="16"/>
          <w:sz w:val="22"/>
        </w:rPr>
        <w:t>independent </w:t>
      </w:r>
      <w:r>
        <w:rPr>
          <w:sz w:val="22"/>
        </w:rPr>
        <w:t>of</w:t>
      </w:r>
      <w:r>
        <w:rPr>
          <w:spacing w:val="9"/>
          <w:sz w:val="22"/>
        </w:rPr>
        <w:t> the </w:t>
      </w:r>
      <w:r>
        <w:rPr>
          <w:sz w:val="22"/>
        </w:rPr>
        <w:t>library. Hours</w:t>
      </w:r>
      <w:r>
        <w:rPr>
          <w:spacing w:val="28"/>
          <w:sz w:val="22"/>
        </w:rPr>
        <w:t> </w:t>
      </w:r>
      <w:r>
        <w:rPr>
          <w:sz w:val="22"/>
        </w:rPr>
        <w:t>of</w:t>
      </w:r>
    </w:p>
    <w:p>
      <w:pPr>
        <w:spacing w:line="295" w:lineRule="auto" w:before="0"/>
        <w:ind w:left="440" w:right="676" w:firstLine="11"/>
        <w:jc w:val="left"/>
        <w:rPr>
          <w:sz w:val="22"/>
        </w:rPr>
      </w:pPr>
      <w:r>
        <w:rPr>
          <w:spacing w:val="13"/>
          <w:sz w:val="22"/>
        </w:rPr>
        <w:t>operation</w:t>
      </w:r>
      <w:r>
        <w:rPr>
          <w:spacing w:val="12"/>
          <w:sz w:val="22"/>
        </w:rPr>
        <w:t> </w:t>
      </w:r>
      <w:r>
        <w:rPr>
          <w:sz w:val="22"/>
        </w:rPr>
        <w:t>vary,</w:t>
      </w:r>
      <w:r>
        <w:rPr>
          <w:spacing w:val="10"/>
          <w:sz w:val="22"/>
        </w:rPr>
        <w:t> but </w:t>
      </w:r>
      <w:r>
        <w:rPr>
          <w:sz w:val="22"/>
        </w:rPr>
        <w:t>are</w:t>
      </w:r>
      <w:r>
        <w:rPr>
          <w:spacing w:val="11"/>
          <w:sz w:val="22"/>
        </w:rPr>
        <w:t> typic</w:t>
      </w:r>
      <w:r>
        <w:rPr>
          <w:spacing w:val="-28"/>
          <w:sz w:val="22"/>
        </w:rPr>
        <w:t> </w:t>
      </w:r>
      <w:r>
        <w:rPr>
          <w:sz w:val="22"/>
        </w:rPr>
        <w:t>ally</w:t>
      </w:r>
      <w:r>
        <w:rPr>
          <w:spacing w:val="13"/>
          <w:sz w:val="22"/>
        </w:rPr>
        <w:t> posted.</w:t>
      </w:r>
      <w:r>
        <w:rPr>
          <w:spacing w:val="3"/>
          <w:sz w:val="22"/>
        </w:rPr>
        <w:t> </w:t>
      </w:r>
      <w:r>
        <w:rPr>
          <w:sz w:val="22"/>
        </w:rPr>
        <w:t>With</w:t>
      </w:r>
      <w:r>
        <w:rPr>
          <w:spacing w:val="9"/>
          <w:sz w:val="22"/>
        </w:rPr>
        <w:t> the </w:t>
      </w:r>
      <w:r>
        <w:rPr>
          <w:sz w:val="22"/>
        </w:rPr>
        <w:t>exc</w:t>
      </w:r>
      <w:r>
        <w:rPr>
          <w:spacing w:val="-33"/>
          <w:sz w:val="22"/>
        </w:rPr>
        <w:t> </w:t>
      </w:r>
      <w:r>
        <w:rPr>
          <w:spacing w:val="12"/>
          <w:sz w:val="22"/>
        </w:rPr>
        <w:t>eption </w:t>
      </w:r>
      <w:r>
        <w:rPr>
          <w:sz w:val="22"/>
        </w:rPr>
        <w:t>of 5</w:t>
      </w:r>
      <w:r>
        <w:rPr>
          <w:position w:val="6"/>
          <w:sz w:val="14"/>
        </w:rPr>
        <w:t>th</w:t>
      </w:r>
      <w:r>
        <w:rPr>
          <w:spacing w:val="33"/>
          <w:position w:val="6"/>
          <w:sz w:val="14"/>
        </w:rPr>
        <w:t> </w:t>
      </w:r>
      <w:r>
        <w:rPr>
          <w:spacing w:val="12"/>
          <w:sz w:val="22"/>
        </w:rPr>
        <w:t>year</w:t>
      </w:r>
      <w:r>
        <w:rPr>
          <w:spacing w:val="3"/>
          <w:sz w:val="22"/>
        </w:rPr>
        <w:t> </w:t>
      </w:r>
      <w:r>
        <w:rPr>
          <w:spacing w:val="10"/>
          <w:sz w:val="22"/>
        </w:rPr>
        <w:t>students,</w:t>
      </w:r>
      <w:r>
        <w:rPr>
          <w:spacing w:val="7"/>
          <w:sz w:val="22"/>
        </w:rPr>
        <w:t> </w:t>
      </w:r>
      <w:r>
        <w:rPr>
          <w:sz w:val="22"/>
        </w:rPr>
        <w:t>no</w:t>
      </w:r>
      <w:r>
        <w:rPr>
          <w:spacing w:val="10"/>
          <w:sz w:val="22"/>
        </w:rPr>
        <w:t> one </w:t>
      </w:r>
      <w:r>
        <w:rPr>
          <w:sz w:val="22"/>
        </w:rPr>
        <w:t>is </w:t>
      </w:r>
      <w:r>
        <w:rPr>
          <w:spacing w:val="12"/>
          <w:sz w:val="22"/>
        </w:rPr>
        <w:t>allowed </w:t>
      </w:r>
      <w:r>
        <w:rPr>
          <w:sz w:val="22"/>
        </w:rPr>
        <w:t>in </w:t>
      </w:r>
      <w:r>
        <w:rPr>
          <w:spacing w:val="9"/>
          <w:sz w:val="22"/>
        </w:rPr>
        <w:t>the </w:t>
      </w:r>
      <w:r>
        <w:rPr>
          <w:sz w:val="22"/>
        </w:rPr>
        <w:t>CAD La</w:t>
      </w:r>
      <w:r>
        <w:rPr>
          <w:spacing w:val="-32"/>
          <w:sz w:val="22"/>
        </w:rPr>
        <w:t> </w:t>
      </w:r>
      <w:r>
        <w:rPr>
          <w:sz w:val="22"/>
        </w:rPr>
        <w:t>b</w:t>
      </w:r>
      <w:r>
        <w:rPr>
          <w:spacing w:val="10"/>
          <w:sz w:val="22"/>
        </w:rPr>
        <w:t> outside </w:t>
      </w:r>
      <w:r>
        <w:rPr>
          <w:sz w:val="22"/>
        </w:rPr>
        <w:t>of </w:t>
      </w:r>
      <w:r>
        <w:rPr>
          <w:spacing w:val="9"/>
          <w:sz w:val="22"/>
        </w:rPr>
        <w:t>these </w:t>
      </w:r>
      <w:r>
        <w:rPr>
          <w:sz w:val="22"/>
        </w:rPr>
        <w:t>hours unless </w:t>
      </w:r>
      <w:r>
        <w:rPr>
          <w:spacing w:val="10"/>
          <w:sz w:val="22"/>
        </w:rPr>
        <w:t>supervised </w:t>
      </w:r>
      <w:r>
        <w:rPr>
          <w:sz w:val="22"/>
        </w:rPr>
        <w:t>by a</w:t>
      </w:r>
      <w:r>
        <w:rPr>
          <w:spacing w:val="32"/>
          <w:sz w:val="22"/>
        </w:rPr>
        <w:t> </w:t>
      </w:r>
      <w:r>
        <w:rPr>
          <w:sz w:val="22"/>
        </w:rPr>
        <w:t>professor. The </w:t>
      </w:r>
      <w:r>
        <w:rPr>
          <w:spacing w:val="11"/>
          <w:sz w:val="22"/>
        </w:rPr>
        <w:t>Dep</w:t>
      </w:r>
      <w:r>
        <w:rPr>
          <w:spacing w:val="-29"/>
          <w:sz w:val="22"/>
        </w:rPr>
        <w:t> </w:t>
      </w:r>
      <w:r>
        <w:rPr>
          <w:spacing w:val="12"/>
          <w:sz w:val="22"/>
        </w:rPr>
        <w:t>artment </w:t>
      </w:r>
      <w:r>
        <w:rPr>
          <w:sz w:val="22"/>
        </w:rPr>
        <w:t>of </w:t>
      </w:r>
      <w:r>
        <w:rPr>
          <w:spacing w:val="11"/>
          <w:sz w:val="22"/>
        </w:rPr>
        <w:t>Architecture </w:t>
      </w:r>
      <w:r>
        <w:rPr>
          <w:spacing w:val="9"/>
          <w:sz w:val="22"/>
        </w:rPr>
        <w:t>shares </w:t>
      </w:r>
      <w:r>
        <w:rPr>
          <w:sz w:val="22"/>
        </w:rPr>
        <w:t>a</w:t>
      </w:r>
      <w:r>
        <w:rPr>
          <w:spacing w:val="-29"/>
          <w:sz w:val="22"/>
        </w:rPr>
        <w:t> </w:t>
      </w:r>
      <w:r>
        <w:rPr>
          <w:sz w:val="22"/>
        </w:rPr>
        <w:t>d</w:t>
      </w:r>
      <w:r>
        <w:rPr>
          <w:spacing w:val="-29"/>
          <w:sz w:val="22"/>
        </w:rPr>
        <w:t> </w:t>
      </w:r>
      <w:r>
        <w:rPr>
          <w:spacing w:val="10"/>
          <w:sz w:val="22"/>
        </w:rPr>
        <w:t>ditional </w:t>
      </w:r>
      <w:r>
        <w:rPr>
          <w:sz w:val="22"/>
        </w:rPr>
        <w:t>c</w:t>
      </w:r>
      <w:r>
        <w:rPr>
          <w:spacing w:val="-29"/>
          <w:sz w:val="22"/>
        </w:rPr>
        <w:t> </w:t>
      </w:r>
      <w:r>
        <w:rPr>
          <w:spacing w:val="14"/>
          <w:sz w:val="22"/>
        </w:rPr>
        <w:t>omputer</w:t>
      </w:r>
      <w:r>
        <w:rPr>
          <w:spacing w:val="8"/>
          <w:sz w:val="22"/>
        </w:rPr>
        <w:t> </w:t>
      </w:r>
      <w:r>
        <w:rPr>
          <w:spacing w:val="13"/>
          <w:sz w:val="22"/>
        </w:rPr>
        <w:t>lab </w:t>
      </w:r>
      <w:r>
        <w:rPr>
          <w:sz w:val="22"/>
        </w:rPr>
        <w:t>fa</w:t>
      </w:r>
      <w:r>
        <w:rPr>
          <w:spacing w:val="-29"/>
          <w:sz w:val="22"/>
        </w:rPr>
        <w:t> </w:t>
      </w:r>
      <w:r>
        <w:rPr>
          <w:sz w:val="22"/>
        </w:rPr>
        <w:t>cilities, </w:t>
      </w:r>
      <w:r>
        <w:rPr>
          <w:spacing w:val="12"/>
          <w:sz w:val="22"/>
        </w:rPr>
        <w:t>loc</w:t>
      </w:r>
      <w:r>
        <w:rPr>
          <w:spacing w:val="-26"/>
          <w:sz w:val="22"/>
        </w:rPr>
        <w:t> </w:t>
      </w:r>
      <w:r>
        <w:rPr>
          <w:spacing w:val="15"/>
          <w:sz w:val="22"/>
        </w:rPr>
        <w:t>ated </w:t>
      </w:r>
      <w:r>
        <w:rPr>
          <w:spacing w:val="10"/>
          <w:sz w:val="22"/>
        </w:rPr>
        <w:t>at </w:t>
      </w:r>
      <w:r>
        <w:rPr>
          <w:sz w:val="22"/>
        </w:rPr>
        <w:t>Olin Hall,</w:t>
      </w:r>
      <w:r>
        <w:rPr>
          <w:spacing w:val="-2"/>
          <w:sz w:val="22"/>
        </w:rPr>
        <w:t> </w:t>
      </w:r>
      <w:r>
        <w:rPr>
          <w:sz w:val="22"/>
        </w:rPr>
        <w:t>with </w:t>
      </w:r>
      <w:r>
        <w:rPr>
          <w:spacing w:val="11"/>
          <w:sz w:val="22"/>
        </w:rPr>
        <w:t>other</w:t>
      </w:r>
      <w:r>
        <w:rPr>
          <w:spacing w:val="-8"/>
          <w:sz w:val="22"/>
        </w:rPr>
        <w:t> </w:t>
      </w:r>
      <w:r>
        <w:rPr>
          <w:spacing w:val="13"/>
          <w:sz w:val="22"/>
        </w:rPr>
        <w:t>School</w:t>
      </w:r>
      <w:r>
        <w:rPr>
          <w:spacing w:val="3"/>
          <w:sz w:val="22"/>
        </w:rPr>
        <w:t> </w:t>
      </w:r>
      <w:r>
        <w:rPr>
          <w:sz w:val="22"/>
        </w:rPr>
        <w:t>of</w:t>
      </w:r>
      <w:r>
        <w:rPr>
          <w:spacing w:val="-4"/>
          <w:sz w:val="22"/>
        </w:rPr>
        <w:t> </w:t>
      </w:r>
      <w:r>
        <w:rPr>
          <w:spacing w:val="10"/>
          <w:sz w:val="22"/>
        </w:rPr>
        <w:t>Engineering </w:t>
      </w:r>
      <w:r>
        <w:rPr>
          <w:spacing w:val="13"/>
          <w:sz w:val="22"/>
        </w:rPr>
        <w:t>and</w:t>
      </w:r>
      <w:r>
        <w:rPr>
          <w:spacing w:val="5"/>
          <w:sz w:val="22"/>
        </w:rPr>
        <w:t> </w:t>
      </w:r>
      <w:r>
        <w:rPr>
          <w:spacing w:val="13"/>
          <w:sz w:val="22"/>
        </w:rPr>
        <w:t>Technology</w:t>
      </w:r>
      <w:r>
        <w:rPr>
          <w:spacing w:val="7"/>
          <w:sz w:val="22"/>
        </w:rPr>
        <w:t> </w:t>
      </w:r>
      <w:r>
        <w:rPr>
          <w:spacing w:val="13"/>
          <w:sz w:val="22"/>
        </w:rPr>
        <w:t>departments.</w:t>
      </w:r>
      <w:r>
        <w:rPr>
          <w:spacing w:val="-5"/>
          <w:sz w:val="22"/>
        </w:rPr>
        <w:t> </w:t>
      </w:r>
      <w:r>
        <w:rPr>
          <w:sz w:val="22"/>
        </w:rPr>
        <w:t>Sinc</w:t>
      </w:r>
      <w:r>
        <w:rPr>
          <w:spacing w:val="-34"/>
          <w:sz w:val="22"/>
        </w:rPr>
        <w:t> </w:t>
      </w:r>
      <w:r>
        <w:rPr>
          <w:sz w:val="22"/>
        </w:rPr>
        <w:t>e </w:t>
      </w:r>
      <w:r>
        <w:rPr>
          <w:spacing w:val="9"/>
          <w:sz w:val="22"/>
        </w:rPr>
        <w:t>the</w:t>
      </w:r>
      <w:r>
        <w:rPr>
          <w:spacing w:val="8"/>
          <w:sz w:val="22"/>
        </w:rPr>
        <w:t> </w:t>
      </w:r>
      <w:r>
        <w:rPr>
          <w:sz w:val="22"/>
        </w:rPr>
        <w:t>CAD</w:t>
      </w:r>
      <w:r>
        <w:rPr>
          <w:spacing w:val="-5"/>
          <w:sz w:val="22"/>
        </w:rPr>
        <w:t> </w:t>
      </w:r>
      <w:r>
        <w:rPr>
          <w:spacing w:val="14"/>
          <w:sz w:val="22"/>
        </w:rPr>
        <w:t>Lab </w:t>
      </w:r>
      <w:r>
        <w:rPr>
          <w:spacing w:val="13"/>
          <w:sz w:val="22"/>
        </w:rPr>
        <w:t>and </w:t>
      </w:r>
      <w:r>
        <w:rPr>
          <w:sz w:val="22"/>
        </w:rPr>
        <w:t>Library </w:t>
      </w:r>
      <w:r>
        <w:rPr>
          <w:spacing w:val="9"/>
          <w:sz w:val="22"/>
        </w:rPr>
        <w:t>share </w:t>
      </w:r>
      <w:r>
        <w:rPr>
          <w:sz w:val="22"/>
        </w:rPr>
        <w:t>physic</w:t>
      </w:r>
      <w:r>
        <w:rPr>
          <w:spacing w:val="-27"/>
          <w:sz w:val="22"/>
        </w:rPr>
        <w:t> </w:t>
      </w:r>
      <w:r>
        <w:rPr>
          <w:sz w:val="22"/>
        </w:rPr>
        <w:t>al </w:t>
      </w:r>
      <w:r>
        <w:rPr>
          <w:spacing w:val="13"/>
          <w:sz w:val="22"/>
        </w:rPr>
        <w:t>spa</w:t>
      </w:r>
      <w:r>
        <w:rPr>
          <w:spacing w:val="-28"/>
          <w:sz w:val="22"/>
        </w:rPr>
        <w:t> </w:t>
      </w:r>
      <w:r>
        <w:rPr>
          <w:spacing w:val="12"/>
          <w:sz w:val="22"/>
        </w:rPr>
        <w:t>ce </w:t>
      </w:r>
      <w:r>
        <w:rPr>
          <w:sz w:val="22"/>
        </w:rPr>
        <w:t>it is </w:t>
      </w:r>
      <w:r>
        <w:rPr>
          <w:spacing w:val="13"/>
          <w:sz w:val="22"/>
        </w:rPr>
        <w:t>important </w:t>
      </w:r>
      <w:r>
        <w:rPr>
          <w:sz w:val="22"/>
        </w:rPr>
        <w:t>for </w:t>
      </w:r>
      <w:r>
        <w:rPr>
          <w:spacing w:val="11"/>
          <w:sz w:val="22"/>
        </w:rPr>
        <w:t>students </w:t>
      </w:r>
      <w:r>
        <w:rPr>
          <w:sz w:val="22"/>
        </w:rPr>
        <w:t>to </w:t>
      </w:r>
      <w:r>
        <w:rPr>
          <w:spacing w:val="16"/>
          <w:sz w:val="22"/>
        </w:rPr>
        <w:t>remember</w:t>
      </w:r>
      <w:r>
        <w:rPr>
          <w:spacing w:val="13"/>
          <w:sz w:val="22"/>
        </w:rPr>
        <w:t> </w:t>
      </w:r>
      <w:r>
        <w:rPr>
          <w:sz w:val="22"/>
        </w:rPr>
        <w:t>to </w:t>
      </w:r>
      <w:r>
        <w:rPr>
          <w:spacing w:val="15"/>
          <w:sz w:val="22"/>
        </w:rPr>
        <w:t>respect </w:t>
      </w:r>
      <w:r>
        <w:rPr>
          <w:spacing w:val="9"/>
          <w:sz w:val="22"/>
        </w:rPr>
        <w:t>fellow </w:t>
      </w:r>
      <w:r>
        <w:rPr>
          <w:spacing w:val="10"/>
          <w:sz w:val="22"/>
        </w:rPr>
        <w:t>students, </w:t>
      </w:r>
      <w:r>
        <w:rPr>
          <w:sz w:val="22"/>
        </w:rPr>
        <w:t>fa</w:t>
      </w:r>
      <w:r>
        <w:rPr>
          <w:spacing w:val="-24"/>
          <w:sz w:val="22"/>
        </w:rPr>
        <w:t> </w:t>
      </w:r>
      <w:r>
        <w:rPr>
          <w:sz w:val="22"/>
        </w:rPr>
        <w:t>culty, </w:t>
      </w:r>
      <w:r>
        <w:rPr>
          <w:spacing w:val="13"/>
          <w:sz w:val="22"/>
        </w:rPr>
        <w:t>and </w:t>
      </w:r>
      <w:r>
        <w:rPr>
          <w:spacing w:val="9"/>
          <w:sz w:val="22"/>
        </w:rPr>
        <w:t>staff </w:t>
      </w:r>
      <w:r>
        <w:rPr>
          <w:sz w:val="22"/>
        </w:rPr>
        <w:t>utilizing </w:t>
      </w:r>
      <w:r>
        <w:rPr>
          <w:spacing w:val="13"/>
          <w:sz w:val="22"/>
        </w:rPr>
        <w:t>both </w:t>
      </w:r>
      <w:r>
        <w:rPr>
          <w:sz w:val="22"/>
        </w:rPr>
        <w:t>fa</w:t>
      </w:r>
      <w:r>
        <w:rPr>
          <w:spacing w:val="-21"/>
          <w:sz w:val="22"/>
        </w:rPr>
        <w:t> </w:t>
      </w:r>
      <w:r>
        <w:rPr>
          <w:sz w:val="22"/>
        </w:rPr>
        <w:t>cilities.</w:t>
      </w:r>
    </w:p>
    <w:p>
      <w:pPr>
        <w:pStyle w:val="BodyText"/>
        <w:spacing w:before="2"/>
        <w:rPr>
          <w:sz w:val="26"/>
        </w:rPr>
      </w:pPr>
    </w:p>
    <w:p>
      <w:pPr>
        <w:spacing w:before="0"/>
        <w:ind w:left="440" w:right="0" w:firstLine="0"/>
        <w:jc w:val="left"/>
        <w:rPr>
          <w:sz w:val="22"/>
        </w:rPr>
      </w:pPr>
      <w:r>
        <w:rPr>
          <w:w w:val="95"/>
          <w:sz w:val="22"/>
        </w:rPr>
        <w:t>The</w:t>
      </w:r>
      <w:r>
        <w:rPr>
          <w:spacing w:val="37"/>
          <w:sz w:val="22"/>
        </w:rPr>
        <w:t> </w:t>
      </w:r>
      <w:r>
        <w:rPr>
          <w:b/>
          <w:w w:val="95"/>
          <w:sz w:val="22"/>
        </w:rPr>
        <w:t>Architecture</w:t>
      </w:r>
      <w:r>
        <w:rPr>
          <w:b/>
          <w:spacing w:val="37"/>
          <w:sz w:val="22"/>
        </w:rPr>
        <w:t> </w:t>
      </w:r>
      <w:r>
        <w:rPr>
          <w:b/>
          <w:w w:val="95"/>
          <w:sz w:val="22"/>
        </w:rPr>
        <w:t>Department</w:t>
      </w:r>
      <w:r>
        <w:rPr>
          <w:b/>
          <w:spacing w:val="32"/>
          <w:sz w:val="22"/>
        </w:rPr>
        <w:t> </w:t>
      </w:r>
      <w:r>
        <w:rPr>
          <w:b/>
          <w:w w:val="95"/>
          <w:sz w:val="22"/>
        </w:rPr>
        <w:t>Model</w:t>
      </w:r>
      <w:r>
        <w:rPr>
          <w:b/>
          <w:spacing w:val="21"/>
          <w:sz w:val="22"/>
        </w:rPr>
        <w:t> </w:t>
      </w:r>
      <w:r>
        <w:rPr>
          <w:b/>
          <w:w w:val="95"/>
          <w:sz w:val="22"/>
        </w:rPr>
        <w:t>Shop</w:t>
      </w:r>
      <w:r>
        <w:rPr>
          <w:b/>
          <w:spacing w:val="25"/>
          <w:sz w:val="22"/>
        </w:rPr>
        <w:t> </w:t>
      </w:r>
      <w:r>
        <w:rPr>
          <w:w w:val="95"/>
          <w:sz w:val="22"/>
        </w:rPr>
        <w:t>is</w:t>
      </w:r>
      <w:r>
        <w:rPr>
          <w:spacing w:val="21"/>
          <w:sz w:val="22"/>
        </w:rPr>
        <w:t> </w:t>
      </w:r>
      <w:r>
        <w:rPr>
          <w:spacing w:val="12"/>
          <w:w w:val="95"/>
          <w:sz w:val="22"/>
        </w:rPr>
        <w:t>loc</w:t>
      </w:r>
      <w:r>
        <w:rPr>
          <w:spacing w:val="-16"/>
          <w:w w:val="95"/>
          <w:sz w:val="22"/>
        </w:rPr>
        <w:t> </w:t>
      </w:r>
      <w:r>
        <w:rPr>
          <w:spacing w:val="14"/>
          <w:w w:val="95"/>
          <w:sz w:val="22"/>
        </w:rPr>
        <w:t>ated</w:t>
      </w:r>
      <w:r>
        <w:rPr>
          <w:spacing w:val="40"/>
          <w:sz w:val="22"/>
        </w:rPr>
        <w:t> </w:t>
      </w:r>
      <w:r>
        <w:rPr>
          <w:w w:val="95"/>
          <w:sz w:val="22"/>
        </w:rPr>
        <w:t>in</w:t>
      </w:r>
      <w:r>
        <w:rPr>
          <w:spacing w:val="38"/>
          <w:sz w:val="22"/>
        </w:rPr>
        <w:t> </w:t>
      </w:r>
      <w:r>
        <w:rPr>
          <w:spacing w:val="9"/>
          <w:w w:val="95"/>
          <w:sz w:val="22"/>
        </w:rPr>
        <w:t>the</w:t>
      </w:r>
      <w:r>
        <w:rPr>
          <w:spacing w:val="45"/>
          <w:sz w:val="22"/>
        </w:rPr>
        <w:t> </w:t>
      </w:r>
      <w:r>
        <w:rPr>
          <w:spacing w:val="9"/>
          <w:w w:val="95"/>
          <w:sz w:val="22"/>
        </w:rPr>
        <w:t>Armstrong-Slater</w:t>
      </w:r>
      <w:r>
        <w:rPr>
          <w:spacing w:val="40"/>
          <w:sz w:val="22"/>
        </w:rPr>
        <w:t> </w:t>
      </w:r>
      <w:r>
        <w:rPr>
          <w:spacing w:val="7"/>
          <w:w w:val="95"/>
          <w:sz w:val="22"/>
        </w:rPr>
        <w:t>building,</w:t>
      </w:r>
    </w:p>
    <w:p>
      <w:pPr>
        <w:spacing w:line="292" w:lineRule="auto" w:before="57"/>
        <w:ind w:left="447" w:right="642" w:firstLine="7"/>
        <w:jc w:val="left"/>
        <w:rPr>
          <w:sz w:val="22"/>
        </w:rPr>
      </w:pPr>
      <w:r>
        <w:rPr>
          <w:sz w:val="22"/>
        </w:rPr>
        <w:t>a</w:t>
      </w:r>
      <w:r>
        <w:rPr>
          <w:spacing w:val="-33"/>
          <w:sz w:val="22"/>
        </w:rPr>
        <w:t> </w:t>
      </w:r>
      <w:r>
        <w:rPr>
          <w:spacing w:val="9"/>
          <w:sz w:val="22"/>
        </w:rPr>
        <w:t>dja</w:t>
      </w:r>
      <w:r>
        <w:rPr>
          <w:spacing w:val="-33"/>
          <w:sz w:val="22"/>
        </w:rPr>
        <w:t> </w:t>
      </w:r>
      <w:r>
        <w:rPr>
          <w:sz w:val="22"/>
        </w:rPr>
        <w:t>c</w:t>
      </w:r>
      <w:r>
        <w:rPr>
          <w:spacing w:val="-34"/>
          <w:sz w:val="22"/>
        </w:rPr>
        <w:t> </w:t>
      </w:r>
      <w:r>
        <w:rPr>
          <w:sz w:val="22"/>
        </w:rPr>
        <w:t>ent to Bemis</w:t>
      </w:r>
      <w:r>
        <w:rPr>
          <w:spacing w:val="-6"/>
          <w:sz w:val="22"/>
        </w:rPr>
        <w:t> </w:t>
      </w:r>
      <w:r>
        <w:rPr>
          <w:spacing w:val="10"/>
          <w:sz w:val="22"/>
        </w:rPr>
        <w:t>Labs.</w:t>
      </w:r>
      <w:r>
        <w:rPr>
          <w:spacing w:val="-6"/>
          <w:sz w:val="22"/>
        </w:rPr>
        <w:t> </w:t>
      </w:r>
      <w:r>
        <w:rPr>
          <w:sz w:val="22"/>
        </w:rPr>
        <w:t>The </w:t>
      </w:r>
      <w:r>
        <w:rPr>
          <w:spacing w:val="9"/>
          <w:sz w:val="22"/>
        </w:rPr>
        <w:t>tools </w:t>
      </w:r>
      <w:r>
        <w:rPr>
          <w:spacing w:val="11"/>
          <w:sz w:val="22"/>
        </w:rPr>
        <w:t>available</w:t>
      </w:r>
      <w:r>
        <w:rPr>
          <w:spacing w:val="9"/>
          <w:sz w:val="22"/>
        </w:rPr>
        <w:t> </w:t>
      </w:r>
      <w:r>
        <w:rPr>
          <w:sz w:val="22"/>
        </w:rPr>
        <w:t>for use </w:t>
      </w:r>
      <w:r>
        <w:rPr>
          <w:spacing w:val="12"/>
          <w:sz w:val="22"/>
        </w:rPr>
        <w:t>include </w:t>
      </w:r>
      <w:r>
        <w:rPr>
          <w:sz w:val="22"/>
        </w:rPr>
        <w:t>tra</w:t>
      </w:r>
      <w:r>
        <w:rPr>
          <w:spacing w:val="-33"/>
          <w:sz w:val="22"/>
        </w:rPr>
        <w:t> </w:t>
      </w:r>
      <w:r>
        <w:rPr>
          <w:spacing w:val="10"/>
          <w:sz w:val="22"/>
        </w:rPr>
        <w:t>ditional </w:t>
      </w:r>
      <w:r>
        <w:rPr>
          <w:spacing w:val="15"/>
          <w:sz w:val="22"/>
        </w:rPr>
        <w:t>power</w:t>
      </w:r>
      <w:r>
        <w:rPr>
          <w:spacing w:val="9"/>
          <w:sz w:val="22"/>
        </w:rPr>
        <w:t> </w:t>
      </w:r>
      <w:r>
        <w:rPr>
          <w:spacing w:val="13"/>
          <w:sz w:val="22"/>
        </w:rPr>
        <w:t>and </w:t>
      </w:r>
      <w:r>
        <w:rPr>
          <w:spacing w:val="14"/>
          <w:sz w:val="22"/>
        </w:rPr>
        <w:t>hand </w:t>
      </w:r>
      <w:r>
        <w:rPr>
          <w:sz w:val="22"/>
        </w:rPr>
        <w:t>tools. </w:t>
      </w:r>
      <w:r>
        <w:rPr>
          <w:spacing w:val="13"/>
          <w:sz w:val="22"/>
        </w:rPr>
        <w:t>Completion </w:t>
      </w:r>
      <w:r>
        <w:rPr>
          <w:sz w:val="22"/>
        </w:rPr>
        <w:t>of a</w:t>
      </w:r>
      <w:r>
        <w:rPr>
          <w:spacing w:val="15"/>
          <w:sz w:val="22"/>
        </w:rPr>
        <w:t> model</w:t>
      </w:r>
      <w:r>
        <w:rPr>
          <w:spacing w:val="7"/>
          <w:sz w:val="22"/>
        </w:rPr>
        <w:t> </w:t>
      </w:r>
      <w:r>
        <w:rPr>
          <w:spacing w:val="10"/>
          <w:sz w:val="22"/>
        </w:rPr>
        <w:t>shop </w:t>
      </w:r>
      <w:r>
        <w:rPr>
          <w:spacing w:val="11"/>
          <w:sz w:val="22"/>
        </w:rPr>
        <w:t>safety </w:t>
      </w:r>
      <w:r>
        <w:rPr>
          <w:spacing w:val="10"/>
          <w:sz w:val="22"/>
        </w:rPr>
        <w:t>orientation </w:t>
      </w:r>
      <w:r>
        <w:rPr>
          <w:sz w:val="22"/>
        </w:rPr>
        <w:t>is </w:t>
      </w:r>
      <w:r>
        <w:rPr>
          <w:spacing w:val="11"/>
          <w:sz w:val="22"/>
        </w:rPr>
        <w:t>required </w:t>
      </w:r>
      <w:r>
        <w:rPr>
          <w:sz w:val="22"/>
        </w:rPr>
        <w:t>prior to </w:t>
      </w:r>
      <w:r>
        <w:rPr>
          <w:spacing w:val="13"/>
          <w:sz w:val="22"/>
        </w:rPr>
        <w:t>usage </w:t>
      </w:r>
      <w:r>
        <w:rPr>
          <w:sz w:val="22"/>
        </w:rPr>
        <w:t>of this</w:t>
      </w:r>
    </w:p>
    <w:p>
      <w:pPr>
        <w:spacing w:before="4"/>
        <w:ind w:left="444" w:right="0" w:firstLine="0"/>
        <w:jc w:val="left"/>
        <w:rPr>
          <w:sz w:val="22"/>
        </w:rPr>
      </w:pPr>
      <w:r>
        <w:rPr>
          <w:sz w:val="22"/>
        </w:rPr>
        <w:t>fa</w:t>
      </w:r>
      <w:r>
        <w:rPr>
          <w:spacing w:val="-15"/>
          <w:sz w:val="22"/>
        </w:rPr>
        <w:t> </w:t>
      </w:r>
      <w:r>
        <w:rPr>
          <w:spacing w:val="-2"/>
          <w:sz w:val="22"/>
        </w:rPr>
        <w:t>cility.</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18"/>
        </w:rPr>
      </w:pPr>
      <w:r>
        <w:rPr/>
        <w:pict>
          <v:rect style="position:absolute;margin-left:70.559998pt;margin-top:11.549121pt;width:470.88pt;height:.72pt;mso-position-horizontal-relative:page;mso-position-vertical-relative:paragraph;z-index:-15714304;mso-wrap-distance-left:0;mso-wrap-distance-right:0" id="docshape567" filled="true" fillcolor="#000000" stroked="false">
            <v:fill type="solid"/>
            <w10:wrap type="topAndBottom"/>
          </v:rect>
        </w:pict>
      </w:r>
    </w:p>
    <w:p>
      <w:pPr>
        <w:spacing w:after="0"/>
        <w:rPr>
          <w:sz w:val="18"/>
        </w:rPr>
        <w:sectPr>
          <w:headerReference w:type="default" r:id="rId295"/>
          <w:footerReference w:type="default" r:id="rId296"/>
          <w:pgSz w:w="12240" w:h="15840"/>
          <w:pgMar w:header="0" w:footer="748" w:top="1700" w:bottom="940" w:left="1000" w:right="820"/>
        </w:sectPr>
      </w:pPr>
    </w:p>
    <w:p>
      <w:pPr>
        <w:pStyle w:val="Heading1"/>
        <w:ind w:left="443"/>
      </w:pPr>
      <w:r>
        <w:rPr>
          <w:spacing w:val="-2"/>
        </w:rPr>
        <w:t>ACADEMICS</w:t>
      </w:r>
    </w:p>
    <w:p>
      <w:pPr>
        <w:pStyle w:val="BodyText"/>
        <w:spacing w:before="3"/>
        <w:rPr>
          <w:b/>
          <w:sz w:val="5"/>
        </w:rPr>
      </w:pPr>
      <w:r>
        <w:rPr/>
        <w:pict>
          <v:rect style="position:absolute;margin-left:70.559998pt;margin-top:4.251758pt;width:470.88pt;height:.72pt;mso-position-horizontal-relative:page;mso-position-vertical-relative:paragraph;z-index:-15713792;mso-wrap-distance-left:0;mso-wrap-distance-right:0" id="docshape570" filled="true" fillcolor="#000000" stroked="false">
            <v:fill type="solid"/>
            <w10:wrap type="topAndBottom"/>
          </v:rect>
        </w:pict>
      </w:r>
    </w:p>
    <w:p>
      <w:pPr>
        <w:pStyle w:val="BodyText"/>
        <w:rPr>
          <w:b/>
        </w:rPr>
      </w:pPr>
    </w:p>
    <w:p>
      <w:pPr>
        <w:pStyle w:val="BodyText"/>
        <w:spacing w:before="10"/>
        <w:rPr>
          <w:b/>
          <w:sz w:val="27"/>
        </w:rPr>
      </w:pPr>
    </w:p>
    <w:p>
      <w:pPr>
        <w:pStyle w:val="Heading6"/>
        <w:spacing w:before="91"/>
        <w:ind w:left="443"/>
      </w:pPr>
      <w:r>
        <w:rPr>
          <w:w w:val="85"/>
        </w:rPr>
        <w:t>DEPARTMENT</w:t>
      </w:r>
      <w:r>
        <w:rPr>
          <w:spacing w:val="50"/>
          <w:w w:val="150"/>
        </w:rPr>
        <w:t> </w:t>
      </w:r>
      <w:r>
        <w:rPr>
          <w:w w:val="85"/>
        </w:rPr>
        <w:t>OF</w:t>
      </w:r>
      <w:r>
        <w:rPr>
          <w:spacing w:val="44"/>
          <w:w w:val="150"/>
        </w:rPr>
        <w:t> </w:t>
      </w:r>
      <w:r>
        <w:rPr>
          <w:w w:val="85"/>
        </w:rPr>
        <w:t>ARCHITECTURE</w:t>
      </w:r>
      <w:r>
        <w:rPr>
          <w:spacing w:val="50"/>
          <w:w w:val="150"/>
        </w:rPr>
        <w:t> </w:t>
      </w:r>
      <w:r>
        <w:rPr>
          <w:spacing w:val="-2"/>
          <w:w w:val="85"/>
        </w:rPr>
        <w:t>CURRICULUM</w:t>
      </w:r>
    </w:p>
    <w:p>
      <w:pPr>
        <w:pStyle w:val="BodyText"/>
        <w:spacing w:before="10"/>
        <w:rPr>
          <w:sz w:val="32"/>
        </w:rPr>
      </w:pPr>
    </w:p>
    <w:p>
      <w:pPr>
        <w:spacing w:line="295" w:lineRule="auto" w:before="0"/>
        <w:ind w:left="440" w:right="726" w:firstLine="10"/>
        <w:jc w:val="left"/>
        <w:rPr>
          <w:sz w:val="22"/>
        </w:rPr>
      </w:pPr>
      <w:r>
        <w:rPr>
          <w:w w:val="95"/>
          <w:sz w:val="22"/>
        </w:rPr>
        <w:t>OVERVIEW: The</w:t>
      </w:r>
      <w:r>
        <w:rPr>
          <w:spacing w:val="33"/>
          <w:sz w:val="22"/>
        </w:rPr>
        <w:t> </w:t>
      </w:r>
      <w:r>
        <w:rPr>
          <w:w w:val="95"/>
          <w:sz w:val="22"/>
        </w:rPr>
        <w:t>5 </w:t>
      </w:r>
      <w:r>
        <w:rPr>
          <w:spacing w:val="11"/>
          <w:w w:val="95"/>
          <w:sz w:val="22"/>
        </w:rPr>
        <w:t>1/2 </w:t>
      </w:r>
      <w:r>
        <w:rPr>
          <w:spacing w:val="13"/>
          <w:w w:val="95"/>
          <w:sz w:val="22"/>
        </w:rPr>
        <w:t>year</w:t>
      </w:r>
      <w:r>
        <w:rPr>
          <w:spacing w:val="39"/>
          <w:sz w:val="22"/>
        </w:rPr>
        <w:t> </w:t>
      </w:r>
      <w:r>
        <w:rPr>
          <w:spacing w:val="9"/>
          <w:w w:val="95"/>
          <w:sz w:val="22"/>
        </w:rPr>
        <w:t>curriculum</w:t>
      </w:r>
      <w:r>
        <w:rPr>
          <w:spacing w:val="40"/>
          <w:sz w:val="22"/>
        </w:rPr>
        <w:t> </w:t>
      </w:r>
      <w:r>
        <w:rPr>
          <w:w w:val="95"/>
          <w:sz w:val="22"/>
        </w:rPr>
        <w:t>c</w:t>
      </w:r>
      <w:r>
        <w:rPr>
          <w:spacing w:val="-16"/>
          <w:w w:val="95"/>
          <w:sz w:val="22"/>
        </w:rPr>
        <w:t> </w:t>
      </w:r>
      <w:r>
        <w:rPr>
          <w:w w:val="95"/>
          <w:sz w:val="22"/>
        </w:rPr>
        <w:t>arefully</w:t>
      </w:r>
      <w:r>
        <w:rPr>
          <w:spacing w:val="40"/>
          <w:sz w:val="22"/>
        </w:rPr>
        <w:t> </w:t>
      </w:r>
      <w:r>
        <w:rPr>
          <w:w w:val="95"/>
          <w:sz w:val="22"/>
        </w:rPr>
        <w:t>b</w:t>
      </w:r>
      <w:r>
        <w:rPr>
          <w:spacing w:val="-20"/>
          <w:w w:val="95"/>
          <w:sz w:val="22"/>
        </w:rPr>
        <w:t> </w:t>
      </w:r>
      <w:r>
        <w:rPr>
          <w:spacing w:val="14"/>
          <w:w w:val="95"/>
          <w:sz w:val="22"/>
        </w:rPr>
        <w:t>alances</w:t>
      </w:r>
      <w:r>
        <w:rPr>
          <w:spacing w:val="39"/>
          <w:sz w:val="22"/>
        </w:rPr>
        <w:t> </w:t>
      </w:r>
      <w:r>
        <w:rPr>
          <w:spacing w:val="9"/>
          <w:w w:val="95"/>
          <w:sz w:val="22"/>
        </w:rPr>
        <w:t>professional</w:t>
      </w:r>
      <w:r>
        <w:rPr>
          <w:spacing w:val="40"/>
          <w:sz w:val="22"/>
        </w:rPr>
        <w:t> </w:t>
      </w:r>
      <w:r>
        <w:rPr>
          <w:w w:val="95"/>
          <w:sz w:val="22"/>
        </w:rPr>
        <w:t>c</w:t>
      </w:r>
      <w:r>
        <w:rPr>
          <w:spacing w:val="-20"/>
          <w:w w:val="95"/>
          <w:sz w:val="22"/>
        </w:rPr>
        <w:t> </w:t>
      </w:r>
      <w:r>
        <w:rPr>
          <w:w w:val="95"/>
          <w:sz w:val="22"/>
        </w:rPr>
        <w:t>ourse</w:t>
      </w:r>
      <w:r>
        <w:rPr>
          <w:spacing w:val="40"/>
          <w:sz w:val="22"/>
        </w:rPr>
        <w:t> </w:t>
      </w:r>
      <w:r>
        <w:rPr>
          <w:w w:val="95"/>
          <w:sz w:val="22"/>
        </w:rPr>
        <w:t>offerings </w:t>
      </w:r>
      <w:r>
        <w:rPr>
          <w:sz w:val="22"/>
        </w:rPr>
        <w:t>with </w:t>
      </w:r>
      <w:r>
        <w:rPr>
          <w:spacing w:val="9"/>
          <w:sz w:val="22"/>
        </w:rPr>
        <w:t>those </w:t>
      </w:r>
      <w:r>
        <w:rPr>
          <w:sz w:val="22"/>
        </w:rPr>
        <w:t>in </w:t>
      </w:r>
      <w:r>
        <w:rPr>
          <w:spacing w:val="12"/>
          <w:sz w:val="22"/>
        </w:rPr>
        <w:t>general</w:t>
      </w:r>
      <w:r>
        <w:rPr>
          <w:spacing w:val="11"/>
          <w:sz w:val="22"/>
        </w:rPr>
        <w:t> </w:t>
      </w:r>
      <w:r>
        <w:rPr>
          <w:spacing w:val="15"/>
          <w:sz w:val="22"/>
        </w:rPr>
        <w:t>educ</w:t>
      </w:r>
      <w:r>
        <w:rPr>
          <w:spacing w:val="-33"/>
          <w:sz w:val="22"/>
        </w:rPr>
        <w:t> </w:t>
      </w:r>
      <w:r>
        <w:rPr>
          <w:spacing w:val="10"/>
          <w:sz w:val="22"/>
        </w:rPr>
        <w:t>ation, </w:t>
      </w:r>
      <w:r>
        <w:rPr>
          <w:spacing w:val="14"/>
          <w:sz w:val="22"/>
        </w:rPr>
        <w:t>math </w:t>
      </w:r>
      <w:r>
        <w:rPr>
          <w:spacing w:val="13"/>
          <w:sz w:val="22"/>
        </w:rPr>
        <w:t>and </w:t>
      </w:r>
      <w:r>
        <w:rPr>
          <w:spacing w:val="12"/>
          <w:sz w:val="22"/>
        </w:rPr>
        <w:t>scienc</w:t>
      </w:r>
      <w:r>
        <w:rPr>
          <w:spacing w:val="-34"/>
          <w:sz w:val="22"/>
        </w:rPr>
        <w:t> </w:t>
      </w:r>
      <w:r>
        <w:rPr>
          <w:sz w:val="22"/>
        </w:rPr>
        <w:t>es, fine arts </w:t>
      </w:r>
      <w:r>
        <w:rPr>
          <w:spacing w:val="13"/>
          <w:sz w:val="22"/>
        </w:rPr>
        <w:t>and </w:t>
      </w:r>
      <w:r>
        <w:rPr>
          <w:spacing w:val="9"/>
          <w:sz w:val="22"/>
        </w:rPr>
        <w:t>humanities,</w:t>
      </w:r>
      <w:r>
        <w:rPr>
          <w:spacing w:val="-3"/>
          <w:sz w:val="22"/>
        </w:rPr>
        <w:t> </w:t>
      </w:r>
      <w:r>
        <w:rPr>
          <w:spacing w:val="13"/>
          <w:sz w:val="22"/>
        </w:rPr>
        <w:t>social </w:t>
      </w:r>
      <w:r>
        <w:rPr>
          <w:spacing w:val="12"/>
          <w:sz w:val="22"/>
        </w:rPr>
        <w:t>scienc</w:t>
      </w:r>
      <w:r>
        <w:rPr>
          <w:spacing w:val="-34"/>
          <w:sz w:val="22"/>
        </w:rPr>
        <w:t> </w:t>
      </w:r>
      <w:r>
        <w:rPr>
          <w:sz w:val="22"/>
        </w:rPr>
        <w:t>es, </w:t>
      </w:r>
      <w:r>
        <w:rPr>
          <w:spacing w:val="13"/>
          <w:sz w:val="22"/>
        </w:rPr>
        <w:t>and </w:t>
      </w:r>
      <w:r>
        <w:rPr>
          <w:spacing w:val="12"/>
          <w:sz w:val="22"/>
        </w:rPr>
        <w:t>architectural</w:t>
      </w:r>
      <w:r>
        <w:rPr>
          <w:spacing w:val="8"/>
          <w:sz w:val="22"/>
        </w:rPr>
        <w:t> </w:t>
      </w:r>
      <w:r>
        <w:rPr>
          <w:spacing w:val="13"/>
          <w:sz w:val="22"/>
        </w:rPr>
        <w:t>and</w:t>
      </w:r>
      <w:r>
        <w:rPr>
          <w:spacing w:val="11"/>
          <w:sz w:val="22"/>
        </w:rPr>
        <w:t> </w:t>
      </w:r>
      <w:r>
        <w:rPr>
          <w:sz w:val="22"/>
        </w:rPr>
        <w:t>free </w:t>
      </w:r>
      <w:r>
        <w:rPr>
          <w:spacing w:val="10"/>
          <w:sz w:val="22"/>
        </w:rPr>
        <w:t>electives. Coursework</w:t>
      </w:r>
      <w:r>
        <w:rPr>
          <w:spacing w:val="-6"/>
          <w:sz w:val="22"/>
        </w:rPr>
        <w:t> </w:t>
      </w:r>
      <w:r>
        <w:rPr>
          <w:spacing w:val="11"/>
          <w:sz w:val="22"/>
        </w:rPr>
        <w:t>requirements</w:t>
      </w:r>
      <w:r>
        <w:rPr>
          <w:spacing w:val="5"/>
          <w:sz w:val="22"/>
        </w:rPr>
        <w:t> </w:t>
      </w:r>
      <w:r>
        <w:rPr>
          <w:sz w:val="22"/>
        </w:rPr>
        <w:t>esc</w:t>
      </w:r>
      <w:r>
        <w:rPr>
          <w:spacing w:val="-30"/>
          <w:sz w:val="22"/>
        </w:rPr>
        <w:t> </w:t>
      </w:r>
      <w:r>
        <w:rPr>
          <w:spacing w:val="12"/>
          <w:sz w:val="22"/>
        </w:rPr>
        <w:t>alate</w:t>
      </w:r>
      <w:r>
        <w:rPr>
          <w:spacing w:val="4"/>
          <w:sz w:val="22"/>
        </w:rPr>
        <w:t> </w:t>
      </w:r>
      <w:r>
        <w:rPr>
          <w:sz w:val="22"/>
        </w:rPr>
        <w:t>in intensity</w:t>
      </w:r>
      <w:r>
        <w:rPr>
          <w:spacing w:val="11"/>
          <w:sz w:val="22"/>
        </w:rPr>
        <w:t> culminating </w:t>
      </w:r>
      <w:r>
        <w:rPr>
          <w:sz w:val="22"/>
        </w:rPr>
        <w:t>with </w:t>
      </w:r>
      <w:r>
        <w:rPr>
          <w:spacing w:val="9"/>
          <w:sz w:val="22"/>
        </w:rPr>
        <w:t>the </w:t>
      </w:r>
      <w:r>
        <w:rPr>
          <w:spacing w:val="10"/>
          <w:sz w:val="22"/>
        </w:rPr>
        <w:t>design </w:t>
      </w:r>
      <w:r>
        <w:rPr>
          <w:spacing w:val="12"/>
          <w:sz w:val="22"/>
        </w:rPr>
        <w:t>research </w:t>
      </w:r>
      <w:r>
        <w:rPr>
          <w:sz w:val="22"/>
        </w:rPr>
        <w:t>thesis in </w:t>
      </w:r>
      <w:r>
        <w:rPr>
          <w:spacing w:val="9"/>
          <w:sz w:val="22"/>
        </w:rPr>
        <w:t>the </w:t>
      </w:r>
      <w:r>
        <w:rPr>
          <w:sz w:val="22"/>
        </w:rPr>
        <w:t>fifth </w:t>
      </w:r>
      <w:r>
        <w:rPr>
          <w:spacing w:val="10"/>
          <w:sz w:val="22"/>
        </w:rPr>
        <w:t>year. </w:t>
      </w:r>
      <w:r>
        <w:rPr>
          <w:sz w:val="22"/>
        </w:rPr>
        <w:t>Courses in </w:t>
      </w:r>
      <w:r>
        <w:rPr>
          <w:spacing w:val="9"/>
          <w:sz w:val="22"/>
        </w:rPr>
        <w:t>the</w:t>
      </w:r>
    </w:p>
    <w:p>
      <w:pPr>
        <w:spacing w:line="292" w:lineRule="auto" w:before="0"/>
        <w:ind w:left="456" w:right="1362" w:firstLine="0"/>
        <w:jc w:val="left"/>
        <w:rPr>
          <w:sz w:val="22"/>
        </w:rPr>
      </w:pPr>
      <w:r>
        <w:rPr>
          <w:spacing w:val="9"/>
          <w:sz w:val="22"/>
        </w:rPr>
        <w:t>curriculum</w:t>
      </w:r>
      <w:r>
        <w:rPr>
          <w:spacing w:val="-2"/>
          <w:sz w:val="22"/>
        </w:rPr>
        <w:t> </w:t>
      </w:r>
      <w:r>
        <w:rPr>
          <w:sz w:val="22"/>
        </w:rPr>
        <w:t>in </w:t>
      </w:r>
      <w:r>
        <w:rPr>
          <w:spacing w:val="12"/>
          <w:sz w:val="22"/>
        </w:rPr>
        <w:t>architecture </w:t>
      </w:r>
      <w:r>
        <w:rPr>
          <w:sz w:val="22"/>
        </w:rPr>
        <w:t>are </w:t>
      </w:r>
      <w:r>
        <w:rPr>
          <w:spacing w:val="13"/>
          <w:sz w:val="22"/>
        </w:rPr>
        <w:t>related</w:t>
      </w:r>
      <w:r>
        <w:rPr>
          <w:spacing w:val="3"/>
          <w:sz w:val="22"/>
        </w:rPr>
        <w:t> </w:t>
      </w:r>
      <w:r>
        <w:rPr>
          <w:spacing w:val="10"/>
          <w:sz w:val="22"/>
        </w:rPr>
        <w:t>sequentially</w:t>
      </w:r>
      <w:r>
        <w:rPr>
          <w:spacing w:val="6"/>
          <w:sz w:val="22"/>
        </w:rPr>
        <w:t> </w:t>
      </w:r>
      <w:r>
        <w:rPr>
          <w:spacing w:val="13"/>
          <w:sz w:val="22"/>
        </w:rPr>
        <w:t>and</w:t>
      </w:r>
      <w:r>
        <w:rPr>
          <w:spacing w:val="3"/>
          <w:sz w:val="22"/>
        </w:rPr>
        <w:t> </w:t>
      </w:r>
      <w:r>
        <w:rPr>
          <w:spacing w:val="9"/>
          <w:sz w:val="22"/>
        </w:rPr>
        <w:t>synchronously</w:t>
      </w:r>
      <w:r>
        <w:rPr>
          <w:spacing w:val="-1"/>
          <w:sz w:val="22"/>
        </w:rPr>
        <w:t> </w:t>
      </w:r>
      <w:r>
        <w:rPr>
          <w:sz w:val="22"/>
        </w:rPr>
        <w:t>to </w:t>
      </w:r>
      <w:r>
        <w:rPr>
          <w:spacing w:val="12"/>
          <w:sz w:val="22"/>
        </w:rPr>
        <w:t>maintain </w:t>
      </w:r>
      <w:r>
        <w:rPr>
          <w:sz w:val="22"/>
        </w:rPr>
        <w:t>c</w:t>
      </w:r>
      <w:r>
        <w:rPr>
          <w:spacing w:val="-24"/>
          <w:sz w:val="22"/>
        </w:rPr>
        <w:t> </w:t>
      </w:r>
      <w:r>
        <w:rPr>
          <w:spacing w:val="12"/>
          <w:sz w:val="22"/>
        </w:rPr>
        <w:t>ontent </w:t>
      </w:r>
      <w:r>
        <w:rPr>
          <w:sz w:val="22"/>
        </w:rPr>
        <w:t>c</w:t>
      </w:r>
      <w:r>
        <w:rPr>
          <w:spacing w:val="-24"/>
          <w:sz w:val="22"/>
        </w:rPr>
        <w:t> </w:t>
      </w:r>
      <w:r>
        <w:rPr>
          <w:spacing w:val="11"/>
          <w:sz w:val="22"/>
        </w:rPr>
        <w:t>oherenc</w:t>
      </w:r>
      <w:r>
        <w:rPr>
          <w:spacing w:val="-26"/>
          <w:sz w:val="22"/>
        </w:rPr>
        <w:t> </w:t>
      </w:r>
      <w:r>
        <w:rPr>
          <w:sz w:val="22"/>
        </w:rPr>
        <w:t>e, </w:t>
      </w:r>
      <w:r>
        <w:rPr>
          <w:spacing w:val="12"/>
          <w:sz w:val="22"/>
        </w:rPr>
        <w:t>and </w:t>
      </w:r>
      <w:r>
        <w:rPr>
          <w:sz w:val="22"/>
        </w:rPr>
        <w:t>to</w:t>
      </w:r>
      <w:r>
        <w:rPr>
          <w:spacing w:val="40"/>
          <w:sz w:val="22"/>
        </w:rPr>
        <w:t> </w:t>
      </w:r>
      <w:r>
        <w:rPr>
          <w:sz w:val="22"/>
        </w:rPr>
        <w:t>build</w:t>
      </w:r>
      <w:r>
        <w:rPr>
          <w:spacing w:val="40"/>
          <w:sz w:val="22"/>
        </w:rPr>
        <w:t> </w:t>
      </w:r>
      <w:r>
        <w:rPr>
          <w:sz w:val="22"/>
        </w:rPr>
        <w:t>on</w:t>
      </w:r>
      <w:r>
        <w:rPr>
          <w:spacing w:val="40"/>
          <w:sz w:val="22"/>
        </w:rPr>
        <w:t> </w:t>
      </w:r>
      <w:r>
        <w:rPr>
          <w:sz w:val="22"/>
        </w:rPr>
        <w:t>previously</w:t>
      </w:r>
      <w:r>
        <w:rPr>
          <w:spacing w:val="14"/>
          <w:sz w:val="22"/>
        </w:rPr>
        <w:t> gained </w:t>
      </w:r>
      <w:r>
        <w:rPr>
          <w:spacing w:val="11"/>
          <w:sz w:val="22"/>
        </w:rPr>
        <w:t>understandings.</w:t>
      </w:r>
    </w:p>
    <w:p>
      <w:pPr>
        <w:pStyle w:val="BodyText"/>
        <w:spacing w:before="8"/>
        <w:rPr>
          <w:sz w:val="26"/>
        </w:rPr>
      </w:pPr>
    </w:p>
    <w:p>
      <w:pPr>
        <w:spacing w:line="295" w:lineRule="auto" w:before="0"/>
        <w:ind w:left="454" w:right="1319" w:hanging="14"/>
        <w:jc w:val="both"/>
        <w:rPr>
          <w:sz w:val="22"/>
        </w:rPr>
      </w:pPr>
      <w:r>
        <w:rPr>
          <w:sz w:val="22"/>
        </w:rPr>
        <w:t>Sinc</w:t>
      </w:r>
      <w:r>
        <w:rPr>
          <w:spacing w:val="-16"/>
          <w:sz w:val="22"/>
        </w:rPr>
        <w:t> </w:t>
      </w:r>
      <w:r>
        <w:rPr>
          <w:sz w:val="22"/>
        </w:rPr>
        <w:t>e</w:t>
      </w:r>
      <w:r>
        <w:rPr>
          <w:spacing w:val="8"/>
          <w:sz w:val="22"/>
        </w:rPr>
        <w:t> </w:t>
      </w:r>
      <w:r>
        <w:rPr>
          <w:spacing w:val="14"/>
          <w:sz w:val="22"/>
        </w:rPr>
        <w:t>much </w:t>
      </w:r>
      <w:r>
        <w:rPr>
          <w:sz w:val="22"/>
        </w:rPr>
        <w:t>of </w:t>
      </w:r>
      <w:r>
        <w:rPr>
          <w:spacing w:val="9"/>
          <w:sz w:val="22"/>
        </w:rPr>
        <w:t>the </w:t>
      </w:r>
      <w:r>
        <w:rPr>
          <w:spacing w:val="12"/>
          <w:sz w:val="22"/>
        </w:rPr>
        <w:t>Architecture </w:t>
      </w:r>
      <w:r>
        <w:rPr>
          <w:sz w:val="22"/>
        </w:rPr>
        <w:t>curriculum is</w:t>
      </w:r>
      <w:r>
        <w:rPr>
          <w:spacing w:val="-1"/>
          <w:sz w:val="22"/>
        </w:rPr>
        <w:t> </w:t>
      </w:r>
      <w:r>
        <w:rPr>
          <w:spacing w:val="11"/>
          <w:sz w:val="22"/>
        </w:rPr>
        <w:t>sequentially</w:t>
      </w:r>
      <w:r>
        <w:rPr>
          <w:spacing w:val="5"/>
          <w:sz w:val="22"/>
        </w:rPr>
        <w:t> </w:t>
      </w:r>
      <w:r>
        <w:rPr>
          <w:spacing w:val="10"/>
          <w:sz w:val="22"/>
        </w:rPr>
        <w:t>structured,</w:t>
      </w:r>
      <w:r>
        <w:rPr>
          <w:spacing w:val="-1"/>
          <w:sz w:val="22"/>
        </w:rPr>
        <w:t> </w:t>
      </w:r>
      <w:r>
        <w:rPr>
          <w:spacing w:val="12"/>
          <w:sz w:val="22"/>
        </w:rPr>
        <w:t>students </w:t>
      </w:r>
      <w:r>
        <w:rPr>
          <w:sz w:val="22"/>
        </w:rPr>
        <w:t>are </w:t>
      </w:r>
      <w:r>
        <w:rPr>
          <w:w w:val="95"/>
          <w:sz w:val="22"/>
        </w:rPr>
        <w:t>a</w:t>
      </w:r>
      <w:r>
        <w:rPr>
          <w:spacing w:val="-25"/>
          <w:w w:val="95"/>
          <w:sz w:val="22"/>
        </w:rPr>
        <w:t> </w:t>
      </w:r>
      <w:r>
        <w:rPr>
          <w:spacing w:val="10"/>
          <w:w w:val="95"/>
          <w:sz w:val="22"/>
        </w:rPr>
        <w:t>dvised</w:t>
      </w:r>
      <w:r>
        <w:rPr>
          <w:spacing w:val="38"/>
          <w:sz w:val="22"/>
        </w:rPr>
        <w:t> </w:t>
      </w:r>
      <w:r>
        <w:rPr>
          <w:spacing w:val="11"/>
          <w:w w:val="95"/>
          <w:sz w:val="22"/>
        </w:rPr>
        <w:t>ea</w:t>
      </w:r>
      <w:r>
        <w:rPr>
          <w:spacing w:val="-25"/>
          <w:w w:val="95"/>
          <w:sz w:val="22"/>
        </w:rPr>
        <w:t> </w:t>
      </w:r>
      <w:r>
        <w:rPr>
          <w:spacing w:val="11"/>
          <w:w w:val="95"/>
          <w:sz w:val="22"/>
        </w:rPr>
        <w:t>ch</w:t>
      </w:r>
      <w:r>
        <w:rPr>
          <w:spacing w:val="16"/>
          <w:sz w:val="22"/>
        </w:rPr>
        <w:t> </w:t>
      </w:r>
      <w:r>
        <w:rPr>
          <w:spacing w:val="11"/>
          <w:w w:val="95"/>
          <w:sz w:val="22"/>
        </w:rPr>
        <w:t>semester</w:t>
      </w:r>
      <w:r>
        <w:rPr>
          <w:spacing w:val="27"/>
          <w:sz w:val="22"/>
        </w:rPr>
        <w:t> </w:t>
      </w:r>
      <w:r>
        <w:rPr>
          <w:w w:val="95"/>
          <w:sz w:val="22"/>
        </w:rPr>
        <w:t>prior</w:t>
      </w:r>
      <w:r>
        <w:rPr>
          <w:spacing w:val="18"/>
          <w:sz w:val="22"/>
        </w:rPr>
        <w:t> </w:t>
      </w:r>
      <w:r>
        <w:rPr>
          <w:w w:val="95"/>
          <w:sz w:val="22"/>
        </w:rPr>
        <w:t>to</w:t>
      </w:r>
      <w:r>
        <w:rPr>
          <w:spacing w:val="22"/>
          <w:sz w:val="22"/>
        </w:rPr>
        <w:t> </w:t>
      </w:r>
      <w:r>
        <w:rPr>
          <w:spacing w:val="10"/>
          <w:w w:val="95"/>
          <w:sz w:val="22"/>
        </w:rPr>
        <w:t>registration</w:t>
      </w:r>
      <w:r>
        <w:rPr>
          <w:spacing w:val="24"/>
          <w:sz w:val="22"/>
        </w:rPr>
        <w:t> </w:t>
      </w:r>
      <w:r>
        <w:rPr>
          <w:w w:val="95"/>
          <w:sz w:val="22"/>
        </w:rPr>
        <w:t>to</w:t>
      </w:r>
      <w:r>
        <w:rPr>
          <w:spacing w:val="38"/>
          <w:sz w:val="22"/>
        </w:rPr>
        <w:t> </w:t>
      </w:r>
      <w:r>
        <w:rPr>
          <w:w w:val="95"/>
          <w:sz w:val="22"/>
        </w:rPr>
        <w:t>assure</w:t>
      </w:r>
      <w:r>
        <w:rPr>
          <w:spacing w:val="30"/>
          <w:sz w:val="22"/>
        </w:rPr>
        <w:t> </w:t>
      </w:r>
      <w:r>
        <w:rPr>
          <w:spacing w:val="13"/>
          <w:w w:val="95"/>
          <w:sz w:val="22"/>
        </w:rPr>
        <w:t>that</w:t>
      </w:r>
      <w:r>
        <w:rPr>
          <w:spacing w:val="33"/>
          <w:sz w:val="22"/>
        </w:rPr>
        <w:t> </w:t>
      </w:r>
      <w:r>
        <w:rPr>
          <w:spacing w:val="9"/>
          <w:w w:val="95"/>
          <w:sz w:val="22"/>
        </w:rPr>
        <w:t>prerequisites</w:t>
      </w:r>
      <w:r>
        <w:rPr>
          <w:spacing w:val="17"/>
          <w:sz w:val="22"/>
        </w:rPr>
        <w:t> </w:t>
      </w:r>
      <w:r>
        <w:rPr>
          <w:spacing w:val="13"/>
          <w:w w:val="95"/>
          <w:sz w:val="22"/>
        </w:rPr>
        <w:t>have</w:t>
      </w:r>
      <w:r>
        <w:rPr>
          <w:spacing w:val="38"/>
          <w:sz w:val="22"/>
        </w:rPr>
        <w:t> </w:t>
      </w:r>
      <w:r>
        <w:rPr>
          <w:spacing w:val="10"/>
          <w:w w:val="95"/>
          <w:sz w:val="22"/>
        </w:rPr>
        <w:t>been</w:t>
      </w:r>
    </w:p>
    <w:p>
      <w:pPr>
        <w:spacing w:line="292" w:lineRule="auto" w:before="0"/>
        <w:ind w:left="444" w:right="810" w:firstLine="12"/>
        <w:jc w:val="both"/>
        <w:rPr>
          <w:sz w:val="22"/>
        </w:rPr>
      </w:pPr>
      <w:r>
        <w:rPr>
          <w:sz w:val="22"/>
        </w:rPr>
        <w:t>c</w:t>
      </w:r>
      <w:r>
        <w:rPr>
          <w:spacing w:val="-16"/>
          <w:sz w:val="22"/>
        </w:rPr>
        <w:t> </w:t>
      </w:r>
      <w:r>
        <w:rPr>
          <w:spacing w:val="15"/>
          <w:sz w:val="22"/>
        </w:rPr>
        <w:t>ompleted</w:t>
      </w:r>
      <w:r>
        <w:rPr>
          <w:spacing w:val="-8"/>
          <w:sz w:val="22"/>
        </w:rPr>
        <w:t> </w:t>
      </w:r>
      <w:r>
        <w:rPr>
          <w:sz w:val="22"/>
        </w:rPr>
        <w:t>with satisfa</w:t>
      </w:r>
      <w:r>
        <w:rPr>
          <w:spacing w:val="-16"/>
          <w:sz w:val="22"/>
        </w:rPr>
        <w:t> </w:t>
      </w:r>
      <w:r>
        <w:rPr>
          <w:spacing w:val="11"/>
          <w:sz w:val="22"/>
        </w:rPr>
        <w:t>ctory </w:t>
      </w:r>
      <w:r>
        <w:rPr>
          <w:sz w:val="22"/>
        </w:rPr>
        <w:t>gra</w:t>
      </w:r>
      <w:r>
        <w:rPr>
          <w:spacing w:val="-16"/>
          <w:sz w:val="22"/>
        </w:rPr>
        <w:t> </w:t>
      </w:r>
      <w:r>
        <w:rPr>
          <w:spacing w:val="10"/>
          <w:sz w:val="22"/>
        </w:rPr>
        <w:t>des </w:t>
      </w:r>
      <w:r>
        <w:rPr>
          <w:spacing w:val="11"/>
          <w:sz w:val="22"/>
        </w:rPr>
        <w:t>before </w:t>
      </w:r>
      <w:r>
        <w:rPr>
          <w:spacing w:val="16"/>
          <w:sz w:val="22"/>
        </w:rPr>
        <w:t>advancing </w:t>
      </w:r>
      <w:r>
        <w:rPr>
          <w:sz w:val="22"/>
        </w:rPr>
        <w:t>to </w:t>
      </w:r>
      <w:r>
        <w:rPr>
          <w:spacing w:val="9"/>
          <w:sz w:val="22"/>
        </w:rPr>
        <w:t>the </w:t>
      </w:r>
      <w:r>
        <w:rPr>
          <w:sz w:val="22"/>
        </w:rPr>
        <w:t>next level. </w:t>
      </w:r>
      <w:r>
        <w:rPr>
          <w:spacing w:val="11"/>
          <w:sz w:val="22"/>
        </w:rPr>
        <w:t>Students </w:t>
      </w:r>
      <w:r>
        <w:rPr>
          <w:sz w:val="22"/>
        </w:rPr>
        <w:t>must </w:t>
      </w:r>
      <w:r>
        <w:rPr>
          <w:spacing w:val="11"/>
          <w:sz w:val="22"/>
        </w:rPr>
        <w:t>plan</w:t>
      </w:r>
      <w:r>
        <w:rPr>
          <w:spacing w:val="-16"/>
          <w:sz w:val="22"/>
        </w:rPr>
        <w:t> </w:t>
      </w:r>
      <w:r>
        <w:rPr>
          <w:sz w:val="22"/>
        </w:rPr>
        <w:t>their</w:t>
      </w:r>
      <w:r>
        <w:rPr>
          <w:spacing w:val="-10"/>
          <w:sz w:val="22"/>
        </w:rPr>
        <w:t> </w:t>
      </w:r>
      <w:r>
        <w:rPr>
          <w:spacing w:val="13"/>
          <w:sz w:val="22"/>
        </w:rPr>
        <w:t>schedule </w:t>
      </w:r>
      <w:r>
        <w:rPr>
          <w:sz w:val="22"/>
        </w:rPr>
        <w:t>by c</w:t>
      </w:r>
      <w:r>
        <w:rPr>
          <w:spacing w:val="-16"/>
          <w:sz w:val="22"/>
        </w:rPr>
        <w:t> </w:t>
      </w:r>
      <w:r>
        <w:rPr>
          <w:sz w:val="22"/>
        </w:rPr>
        <w:t>onsulting</w:t>
      </w:r>
      <w:r>
        <w:rPr>
          <w:spacing w:val="31"/>
          <w:sz w:val="22"/>
        </w:rPr>
        <w:t> </w:t>
      </w:r>
      <w:r>
        <w:rPr>
          <w:sz w:val="22"/>
        </w:rPr>
        <w:t>with </w:t>
      </w:r>
      <w:r>
        <w:rPr>
          <w:spacing w:val="10"/>
          <w:sz w:val="22"/>
        </w:rPr>
        <w:t>an assigned </w:t>
      </w:r>
      <w:r>
        <w:rPr>
          <w:sz w:val="22"/>
        </w:rPr>
        <w:t>fa</w:t>
      </w:r>
      <w:r>
        <w:rPr>
          <w:spacing w:val="-16"/>
          <w:sz w:val="22"/>
        </w:rPr>
        <w:t> </w:t>
      </w:r>
      <w:r>
        <w:rPr>
          <w:sz w:val="22"/>
        </w:rPr>
        <w:t>culty a</w:t>
      </w:r>
      <w:r>
        <w:rPr>
          <w:spacing w:val="-16"/>
          <w:sz w:val="22"/>
        </w:rPr>
        <w:t> </w:t>
      </w:r>
      <w:r>
        <w:rPr>
          <w:sz w:val="22"/>
        </w:rPr>
        <w:t>dvisor. You are </w:t>
      </w:r>
      <w:r>
        <w:rPr>
          <w:spacing w:val="10"/>
          <w:sz w:val="22"/>
        </w:rPr>
        <w:t>responsible </w:t>
      </w:r>
      <w:r>
        <w:rPr>
          <w:sz w:val="22"/>
        </w:rPr>
        <w:t>for</w:t>
      </w:r>
      <w:r>
        <w:rPr>
          <w:spacing w:val="35"/>
          <w:sz w:val="22"/>
        </w:rPr>
        <w:t> </w:t>
      </w:r>
      <w:r>
        <w:rPr>
          <w:sz w:val="22"/>
        </w:rPr>
        <w:t>c</w:t>
      </w:r>
      <w:r>
        <w:rPr>
          <w:spacing w:val="-26"/>
          <w:sz w:val="22"/>
        </w:rPr>
        <w:t> </w:t>
      </w:r>
      <w:r>
        <w:rPr>
          <w:spacing w:val="12"/>
          <w:sz w:val="22"/>
        </w:rPr>
        <w:t>onta</w:t>
      </w:r>
      <w:r>
        <w:rPr>
          <w:spacing w:val="-26"/>
          <w:sz w:val="22"/>
        </w:rPr>
        <w:t> </w:t>
      </w:r>
      <w:r>
        <w:rPr>
          <w:spacing w:val="10"/>
          <w:sz w:val="22"/>
        </w:rPr>
        <w:t>cting</w:t>
      </w:r>
      <w:r>
        <w:rPr>
          <w:spacing w:val="37"/>
          <w:sz w:val="22"/>
        </w:rPr>
        <w:t> </w:t>
      </w:r>
      <w:r>
        <w:rPr>
          <w:sz w:val="22"/>
        </w:rPr>
        <w:t>your</w:t>
      </w:r>
      <w:r>
        <w:rPr>
          <w:spacing w:val="10"/>
          <w:sz w:val="22"/>
        </w:rPr>
        <w:t> assigned</w:t>
      </w:r>
      <w:r>
        <w:rPr>
          <w:spacing w:val="38"/>
          <w:sz w:val="22"/>
        </w:rPr>
        <w:t> </w:t>
      </w:r>
      <w:r>
        <w:rPr>
          <w:sz w:val="22"/>
        </w:rPr>
        <w:t>fa</w:t>
      </w:r>
      <w:r>
        <w:rPr>
          <w:spacing w:val="-26"/>
          <w:sz w:val="22"/>
        </w:rPr>
        <w:t> </w:t>
      </w:r>
      <w:r>
        <w:rPr>
          <w:spacing w:val="9"/>
          <w:sz w:val="22"/>
        </w:rPr>
        <w:t>culty</w:t>
      </w:r>
      <w:r>
        <w:rPr>
          <w:spacing w:val="37"/>
          <w:sz w:val="22"/>
        </w:rPr>
        <w:t> </w:t>
      </w:r>
      <w:r>
        <w:rPr>
          <w:sz w:val="22"/>
        </w:rPr>
        <w:t>a</w:t>
      </w:r>
      <w:r>
        <w:rPr>
          <w:spacing w:val="-26"/>
          <w:sz w:val="22"/>
        </w:rPr>
        <w:t> </w:t>
      </w:r>
      <w:r>
        <w:rPr>
          <w:sz w:val="22"/>
        </w:rPr>
        <w:t>dvisor,</w:t>
      </w:r>
      <w:r>
        <w:rPr>
          <w:spacing w:val="13"/>
          <w:sz w:val="22"/>
        </w:rPr>
        <w:t> and </w:t>
      </w:r>
      <w:r>
        <w:rPr>
          <w:sz w:val="22"/>
        </w:rPr>
        <w:t>it</w:t>
      </w:r>
      <w:r>
        <w:rPr>
          <w:spacing w:val="23"/>
          <w:sz w:val="22"/>
        </w:rPr>
        <w:t> </w:t>
      </w:r>
      <w:r>
        <w:rPr>
          <w:sz w:val="22"/>
        </w:rPr>
        <w:t>is your final responsibility</w:t>
      </w:r>
      <w:r>
        <w:rPr>
          <w:spacing w:val="28"/>
          <w:sz w:val="22"/>
        </w:rPr>
        <w:t> </w:t>
      </w:r>
      <w:r>
        <w:rPr>
          <w:sz w:val="22"/>
        </w:rPr>
        <w:t>to</w:t>
      </w:r>
      <w:r>
        <w:rPr>
          <w:spacing w:val="40"/>
          <w:sz w:val="22"/>
        </w:rPr>
        <w:t> </w:t>
      </w:r>
      <w:r>
        <w:rPr>
          <w:spacing w:val="14"/>
          <w:sz w:val="22"/>
        </w:rPr>
        <w:t>meet</w:t>
      </w:r>
    </w:p>
    <w:p>
      <w:pPr>
        <w:spacing w:before="5"/>
        <w:ind w:left="456" w:right="0" w:firstLine="0"/>
        <w:jc w:val="both"/>
        <w:rPr>
          <w:sz w:val="22"/>
        </w:rPr>
      </w:pPr>
      <w:r>
        <w:rPr>
          <w:spacing w:val="9"/>
          <w:w w:val="95"/>
          <w:sz w:val="22"/>
        </w:rPr>
        <w:t>curricular</w:t>
      </w:r>
      <w:r>
        <w:rPr>
          <w:spacing w:val="16"/>
          <w:sz w:val="22"/>
        </w:rPr>
        <w:t> </w:t>
      </w:r>
      <w:r>
        <w:rPr>
          <w:spacing w:val="8"/>
          <w:sz w:val="22"/>
        </w:rPr>
        <w:t>requirements.</w:t>
      </w:r>
    </w:p>
    <w:p>
      <w:pPr>
        <w:pStyle w:val="BodyText"/>
        <w:spacing w:before="9"/>
        <w:rPr>
          <w:sz w:val="31"/>
        </w:rPr>
      </w:pPr>
    </w:p>
    <w:p>
      <w:pPr>
        <w:spacing w:line="292" w:lineRule="auto" w:before="0"/>
        <w:ind w:left="440" w:right="712" w:firstLine="0"/>
        <w:jc w:val="left"/>
        <w:rPr>
          <w:sz w:val="22"/>
        </w:rPr>
      </w:pPr>
      <w:r>
        <w:rPr>
          <w:sz w:val="22"/>
        </w:rPr>
        <w:t>It </w:t>
      </w:r>
      <w:r>
        <w:rPr>
          <w:spacing w:val="14"/>
          <w:sz w:val="22"/>
        </w:rPr>
        <w:t>may </w:t>
      </w:r>
      <w:r>
        <w:rPr>
          <w:spacing w:val="11"/>
          <w:sz w:val="22"/>
        </w:rPr>
        <w:t>be </w:t>
      </w:r>
      <w:r>
        <w:rPr>
          <w:spacing w:val="9"/>
          <w:sz w:val="22"/>
        </w:rPr>
        <w:t>helpful</w:t>
      </w:r>
      <w:r>
        <w:rPr>
          <w:spacing w:val="8"/>
          <w:sz w:val="22"/>
        </w:rPr>
        <w:t> </w:t>
      </w:r>
      <w:r>
        <w:rPr>
          <w:sz w:val="22"/>
        </w:rPr>
        <w:t>to </w:t>
      </w:r>
      <w:r>
        <w:rPr>
          <w:spacing w:val="12"/>
          <w:sz w:val="22"/>
        </w:rPr>
        <w:t>describe </w:t>
      </w:r>
      <w:r>
        <w:rPr>
          <w:spacing w:val="9"/>
          <w:sz w:val="22"/>
        </w:rPr>
        <w:t>the </w:t>
      </w:r>
      <w:r>
        <w:rPr>
          <w:sz w:val="22"/>
        </w:rPr>
        <w:t>curriculum by </w:t>
      </w:r>
      <w:r>
        <w:rPr>
          <w:spacing w:val="12"/>
          <w:sz w:val="22"/>
        </w:rPr>
        <w:t>ea</w:t>
      </w:r>
      <w:r>
        <w:rPr>
          <w:spacing w:val="-31"/>
          <w:sz w:val="22"/>
        </w:rPr>
        <w:t> </w:t>
      </w:r>
      <w:r>
        <w:rPr>
          <w:spacing w:val="11"/>
          <w:sz w:val="22"/>
        </w:rPr>
        <w:t>ch</w:t>
      </w:r>
      <w:r>
        <w:rPr>
          <w:spacing w:val="9"/>
          <w:sz w:val="22"/>
        </w:rPr>
        <w:t> </w:t>
      </w:r>
      <w:r>
        <w:rPr>
          <w:spacing w:val="12"/>
          <w:sz w:val="22"/>
        </w:rPr>
        <w:t>year’s</w:t>
      </w:r>
      <w:r>
        <w:rPr>
          <w:spacing w:val="6"/>
          <w:sz w:val="22"/>
        </w:rPr>
        <w:t> </w:t>
      </w:r>
      <w:r>
        <w:rPr>
          <w:spacing w:val="10"/>
          <w:sz w:val="22"/>
        </w:rPr>
        <w:t>unique </w:t>
      </w:r>
      <w:r>
        <w:rPr>
          <w:spacing w:val="11"/>
          <w:sz w:val="22"/>
        </w:rPr>
        <w:t>purpose </w:t>
      </w:r>
      <w:r>
        <w:rPr>
          <w:spacing w:val="12"/>
          <w:sz w:val="22"/>
        </w:rPr>
        <w:t>and </w:t>
      </w:r>
      <w:r>
        <w:rPr>
          <w:spacing w:val="14"/>
          <w:sz w:val="22"/>
        </w:rPr>
        <w:t>intended </w:t>
      </w:r>
      <w:r>
        <w:rPr>
          <w:spacing w:val="12"/>
          <w:sz w:val="22"/>
        </w:rPr>
        <w:t>experience.</w:t>
      </w:r>
    </w:p>
    <w:p>
      <w:pPr>
        <w:pStyle w:val="BodyText"/>
        <w:spacing w:before="4"/>
        <w:rPr>
          <w:sz w:val="27"/>
        </w:rPr>
      </w:pPr>
    </w:p>
    <w:p>
      <w:pPr>
        <w:spacing w:before="0"/>
        <w:ind w:left="440" w:right="0" w:firstLine="0"/>
        <w:jc w:val="left"/>
        <w:rPr>
          <w:sz w:val="22"/>
        </w:rPr>
      </w:pPr>
      <w:r>
        <w:rPr>
          <w:sz w:val="22"/>
        </w:rPr>
        <w:t>YEAR</w:t>
      </w:r>
      <w:r>
        <w:rPr>
          <w:spacing w:val="-3"/>
          <w:sz w:val="22"/>
        </w:rPr>
        <w:t> </w:t>
      </w:r>
      <w:r>
        <w:rPr>
          <w:sz w:val="22"/>
        </w:rPr>
        <w:t>ONE:</w:t>
      </w:r>
      <w:r>
        <w:rPr>
          <w:spacing w:val="39"/>
          <w:sz w:val="22"/>
        </w:rPr>
        <w:t> </w:t>
      </w:r>
      <w:r>
        <w:rPr>
          <w:sz w:val="22"/>
        </w:rPr>
        <w:t>The</w:t>
      </w:r>
      <w:r>
        <w:rPr>
          <w:spacing w:val="-3"/>
          <w:sz w:val="22"/>
        </w:rPr>
        <w:t> </w:t>
      </w:r>
      <w:r>
        <w:rPr>
          <w:sz w:val="22"/>
        </w:rPr>
        <w:t>1</w:t>
      </w:r>
      <w:r>
        <w:rPr>
          <w:position w:val="6"/>
          <w:sz w:val="14"/>
        </w:rPr>
        <w:t>st</w:t>
      </w:r>
      <w:r>
        <w:rPr>
          <w:spacing w:val="18"/>
          <w:position w:val="6"/>
          <w:sz w:val="14"/>
        </w:rPr>
        <w:t> </w:t>
      </w:r>
      <w:r>
        <w:rPr>
          <w:spacing w:val="12"/>
          <w:sz w:val="22"/>
        </w:rPr>
        <w:t>year</w:t>
      </w:r>
      <w:r>
        <w:rPr>
          <w:spacing w:val="-13"/>
          <w:sz w:val="22"/>
        </w:rPr>
        <w:t> </w:t>
      </w:r>
      <w:r>
        <w:rPr>
          <w:sz w:val="22"/>
        </w:rPr>
        <w:t>in</w:t>
      </w:r>
      <w:r>
        <w:rPr>
          <w:spacing w:val="-1"/>
          <w:sz w:val="22"/>
        </w:rPr>
        <w:t> </w:t>
      </w:r>
      <w:r>
        <w:rPr>
          <w:spacing w:val="9"/>
          <w:sz w:val="22"/>
        </w:rPr>
        <w:t>the </w:t>
      </w:r>
      <w:r>
        <w:rPr>
          <w:spacing w:val="14"/>
          <w:sz w:val="22"/>
        </w:rPr>
        <w:t>program</w:t>
      </w:r>
      <w:r>
        <w:rPr>
          <w:spacing w:val="9"/>
          <w:sz w:val="22"/>
        </w:rPr>
        <w:t> </w:t>
      </w:r>
      <w:r>
        <w:rPr>
          <w:spacing w:val="11"/>
          <w:sz w:val="22"/>
        </w:rPr>
        <w:t>provides</w:t>
      </w:r>
      <w:r>
        <w:rPr>
          <w:sz w:val="22"/>
        </w:rPr>
        <w:t> a</w:t>
      </w:r>
      <w:r>
        <w:rPr>
          <w:spacing w:val="4"/>
          <w:sz w:val="22"/>
        </w:rPr>
        <w:t> </w:t>
      </w:r>
      <w:r>
        <w:rPr>
          <w:spacing w:val="14"/>
          <w:sz w:val="22"/>
        </w:rPr>
        <w:t>foundation</w:t>
      </w:r>
      <w:r>
        <w:rPr>
          <w:spacing w:val="-4"/>
          <w:sz w:val="22"/>
        </w:rPr>
        <w:t> </w:t>
      </w:r>
      <w:r>
        <w:rPr>
          <w:sz w:val="22"/>
        </w:rPr>
        <w:t>for</w:t>
      </w:r>
      <w:r>
        <w:rPr>
          <w:spacing w:val="-12"/>
          <w:sz w:val="22"/>
        </w:rPr>
        <w:t> </w:t>
      </w:r>
      <w:r>
        <w:rPr>
          <w:spacing w:val="12"/>
          <w:sz w:val="22"/>
        </w:rPr>
        <w:t>later</w:t>
      </w:r>
      <w:r>
        <w:rPr>
          <w:spacing w:val="-5"/>
          <w:sz w:val="22"/>
        </w:rPr>
        <w:t> </w:t>
      </w:r>
      <w:r>
        <w:rPr>
          <w:spacing w:val="10"/>
          <w:sz w:val="22"/>
        </w:rPr>
        <w:t>Architectural</w:t>
      </w:r>
    </w:p>
    <w:p>
      <w:pPr>
        <w:spacing w:line="295" w:lineRule="auto" w:before="57"/>
        <w:ind w:left="451" w:right="642" w:firstLine="5"/>
        <w:jc w:val="left"/>
        <w:rPr>
          <w:sz w:val="22"/>
        </w:rPr>
      </w:pPr>
      <w:r>
        <w:rPr>
          <w:sz w:val="22"/>
        </w:rPr>
        <w:t>c</w:t>
      </w:r>
      <w:r>
        <w:rPr>
          <w:spacing w:val="-33"/>
          <w:sz w:val="22"/>
        </w:rPr>
        <w:t> </w:t>
      </w:r>
      <w:r>
        <w:rPr>
          <w:sz w:val="22"/>
        </w:rPr>
        <w:t>oursework.</w:t>
      </w:r>
      <w:r>
        <w:rPr>
          <w:spacing w:val="-1"/>
          <w:sz w:val="22"/>
        </w:rPr>
        <w:t> </w:t>
      </w:r>
      <w:r>
        <w:rPr>
          <w:sz w:val="22"/>
        </w:rPr>
        <w:t>For </w:t>
      </w:r>
      <w:r>
        <w:rPr>
          <w:spacing w:val="9"/>
          <w:sz w:val="22"/>
        </w:rPr>
        <w:t>most </w:t>
      </w:r>
      <w:r>
        <w:rPr>
          <w:sz w:val="22"/>
        </w:rPr>
        <w:t>of you, </w:t>
      </w:r>
      <w:r>
        <w:rPr>
          <w:spacing w:val="9"/>
          <w:sz w:val="22"/>
        </w:rPr>
        <w:t>the </w:t>
      </w:r>
      <w:r>
        <w:rPr>
          <w:spacing w:val="11"/>
          <w:sz w:val="22"/>
        </w:rPr>
        <w:t>design</w:t>
      </w:r>
      <w:r>
        <w:rPr>
          <w:spacing w:val="6"/>
          <w:sz w:val="22"/>
        </w:rPr>
        <w:t> </w:t>
      </w:r>
      <w:r>
        <w:rPr>
          <w:spacing w:val="9"/>
          <w:sz w:val="22"/>
        </w:rPr>
        <w:t>studios </w:t>
      </w:r>
      <w:r>
        <w:rPr>
          <w:spacing w:val="13"/>
          <w:sz w:val="22"/>
        </w:rPr>
        <w:t>and </w:t>
      </w:r>
      <w:r>
        <w:rPr>
          <w:spacing w:val="9"/>
          <w:sz w:val="22"/>
        </w:rPr>
        <w:t>the </w:t>
      </w:r>
      <w:r>
        <w:rPr>
          <w:spacing w:val="13"/>
          <w:sz w:val="22"/>
        </w:rPr>
        <w:t>architectural</w:t>
      </w:r>
      <w:r>
        <w:rPr>
          <w:spacing w:val="8"/>
          <w:sz w:val="22"/>
        </w:rPr>
        <w:t> </w:t>
      </w:r>
      <w:r>
        <w:rPr>
          <w:sz w:val="22"/>
        </w:rPr>
        <w:t>history c</w:t>
      </w:r>
      <w:r>
        <w:rPr>
          <w:spacing w:val="-33"/>
          <w:sz w:val="22"/>
        </w:rPr>
        <w:t> </w:t>
      </w:r>
      <w:r>
        <w:rPr>
          <w:sz w:val="22"/>
        </w:rPr>
        <w:t>ourses will </w:t>
      </w:r>
      <w:r>
        <w:rPr>
          <w:spacing w:val="12"/>
          <w:sz w:val="22"/>
        </w:rPr>
        <w:t>be</w:t>
      </w:r>
      <w:r>
        <w:rPr>
          <w:spacing w:val="11"/>
          <w:sz w:val="22"/>
        </w:rPr>
        <w:t> </w:t>
      </w:r>
      <w:r>
        <w:rPr>
          <w:spacing w:val="9"/>
          <w:sz w:val="22"/>
        </w:rPr>
        <w:t>the </w:t>
      </w:r>
      <w:r>
        <w:rPr>
          <w:sz w:val="22"/>
        </w:rPr>
        <w:t>only </w:t>
      </w:r>
      <w:r>
        <w:rPr>
          <w:spacing w:val="12"/>
          <w:sz w:val="22"/>
        </w:rPr>
        <w:t>architectural </w:t>
      </w:r>
      <w:r>
        <w:rPr>
          <w:sz w:val="22"/>
        </w:rPr>
        <w:t>c</w:t>
      </w:r>
      <w:r>
        <w:rPr>
          <w:spacing w:val="-33"/>
          <w:sz w:val="22"/>
        </w:rPr>
        <w:t> </w:t>
      </w:r>
      <w:r>
        <w:rPr>
          <w:sz w:val="22"/>
        </w:rPr>
        <w:t>ourses</w:t>
      </w:r>
      <w:r>
        <w:rPr>
          <w:spacing w:val="-5"/>
          <w:sz w:val="22"/>
        </w:rPr>
        <w:t> </w:t>
      </w:r>
      <w:r>
        <w:rPr>
          <w:sz w:val="22"/>
        </w:rPr>
        <w:t>in your</w:t>
      </w:r>
      <w:r>
        <w:rPr>
          <w:spacing w:val="-3"/>
          <w:sz w:val="22"/>
        </w:rPr>
        <w:t> </w:t>
      </w:r>
      <w:r>
        <w:rPr>
          <w:spacing w:val="13"/>
          <w:sz w:val="22"/>
        </w:rPr>
        <w:t>schedule.</w:t>
      </w:r>
      <w:r>
        <w:rPr>
          <w:spacing w:val="-5"/>
          <w:sz w:val="22"/>
        </w:rPr>
        <w:t> </w:t>
      </w:r>
      <w:r>
        <w:rPr>
          <w:spacing w:val="12"/>
          <w:sz w:val="22"/>
        </w:rPr>
        <w:t>However,</w:t>
      </w:r>
      <w:r>
        <w:rPr>
          <w:spacing w:val="7"/>
          <w:sz w:val="22"/>
        </w:rPr>
        <w:t> </w:t>
      </w:r>
      <w:r>
        <w:rPr>
          <w:spacing w:val="12"/>
          <w:sz w:val="22"/>
        </w:rPr>
        <w:t>general</w:t>
      </w:r>
      <w:r>
        <w:rPr>
          <w:spacing w:val="7"/>
          <w:sz w:val="22"/>
        </w:rPr>
        <w:t> </w:t>
      </w:r>
      <w:r>
        <w:rPr>
          <w:spacing w:val="15"/>
          <w:sz w:val="22"/>
        </w:rPr>
        <w:t>educ</w:t>
      </w:r>
      <w:r>
        <w:rPr>
          <w:spacing w:val="-30"/>
          <w:sz w:val="22"/>
        </w:rPr>
        <w:t> </w:t>
      </w:r>
      <w:r>
        <w:rPr>
          <w:spacing w:val="10"/>
          <w:sz w:val="22"/>
        </w:rPr>
        <w:t>ation </w:t>
      </w:r>
      <w:r>
        <w:rPr>
          <w:sz w:val="22"/>
        </w:rPr>
        <w:t>c</w:t>
      </w:r>
      <w:r>
        <w:rPr>
          <w:spacing w:val="-33"/>
          <w:sz w:val="22"/>
        </w:rPr>
        <w:t> </w:t>
      </w:r>
      <w:r>
        <w:rPr>
          <w:sz w:val="22"/>
        </w:rPr>
        <w:t>ourses are as critic</w:t>
      </w:r>
      <w:r>
        <w:rPr>
          <w:spacing w:val="-33"/>
          <w:sz w:val="22"/>
        </w:rPr>
        <w:t> </w:t>
      </w:r>
      <w:r>
        <w:rPr>
          <w:sz w:val="22"/>
        </w:rPr>
        <w:t>al to </w:t>
      </w:r>
      <w:r>
        <w:rPr>
          <w:spacing w:val="9"/>
          <w:sz w:val="22"/>
        </w:rPr>
        <w:t>building </w:t>
      </w:r>
      <w:r>
        <w:rPr>
          <w:sz w:val="22"/>
        </w:rPr>
        <w:t>a </w:t>
      </w:r>
      <w:r>
        <w:rPr>
          <w:spacing w:val="9"/>
          <w:sz w:val="22"/>
        </w:rPr>
        <w:t>strong </w:t>
      </w:r>
      <w:r>
        <w:rPr>
          <w:spacing w:val="11"/>
          <w:sz w:val="22"/>
        </w:rPr>
        <w:t>found</w:t>
      </w:r>
      <w:r>
        <w:rPr>
          <w:spacing w:val="-33"/>
          <w:sz w:val="22"/>
        </w:rPr>
        <w:t> </w:t>
      </w:r>
      <w:r>
        <w:rPr>
          <w:spacing w:val="10"/>
          <w:sz w:val="22"/>
        </w:rPr>
        <w:t>ation </w:t>
      </w:r>
      <w:r>
        <w:rPr>
          <w:sz w:val="22"/>
        </w:rPr>
        <w:t>as </w:t>
      </w:r>
      <w:r>
        <w:rPr>
          <w:spacing w:val="9"/>
          <w:sz w:val="22"/>
        </w:rPr>
        <w:t>the </w:t>
      </w:r>
      <w:r>
        <w:rPr>
          <w:spacing w:val="10"/>
          <w:sz w:val="22"/>
        </w:rPr>
        <w:t>design</w:t>
      </w:r>
      <w:r>
        <w:rPr>
          <w:spacing w:val="6"/>
          <w:sz w:val="22"/>
        </w:rPr>
        <w:t> </w:t>
      </w:r>
      <w:r>
        <w:rPr>
          <w:sz w:val="22"/>
        </w:rPr>
        <w:t>studios.</w:t>
      </w:r>
      <w:r>
        <w:rPr>
          <w:spacing w:val="-2"/>
          <w:sz w:val="22"/>
        </w:rPr>
        <w:t> </w:t>
      </w:r>
      <w:r>
        <w:rPr>
          <w:sz w:val="22"/>
        </w:rPr>
        <w:t>The first </w:t>
      </w:r>
      <w:r>
        <w:rPr>
          <w:spacing w:val="12"/>
          <w:sz w:val="22"/>
        </w:rPr>
        <w:t>year</w:t>
      </w:r>
      <w:r>
        <w:rPr>
          <w:sz w:val="22"/>
        </w:rPr>
        <w:t> </w:t>
      </w:r>
      <w:r>
        <w:rPr>
          <w:spacing w:val="9"/>
          <w:sz w:val="22"/>
        </w:rPr>
        <w:t>studios </w:t>
      </w:r>
      <w:r>
        <w:rPr>
          <w:sz w:val="22"/>
        </w:rPr>
        <w:t>will</w:t>
      </w:r>
      <w:r>
        <w:rPr>
          <w:spacing w:val="11"/>
          <w:sz w:val="22"/>
        </w:rPr>
        <w:t> provide</w:t>
      </w:r>
      <w:r>
        <w:rPr>
          <w:spacing w:val="31"/>
          <w:sz w:val="22"/>
        </w:rPr>
        <w:t> </w:t>
      </w:r>
      <w:r>
        <w:rPr>
          <w:spacing w:val="10"/>
          <w:sz w:val="22"/>
        </w:rPr>
        <w:t>an </w:t>
      </w:r>
      <w:r>
        <w:rPr>
          <w:spacing w:val="12"/>
          <w:sz w:val="22"/>
        </w:rPr>
        <w:t>introduction </w:t>
      </w:r>
      <w:r>
        <w:rPr>
          <w:sz w:val="22"/>
        </w:rPr>
        <w:t>to</w:t>
      </w:r>
      <w:r>
        <w:rPr>
          <w:spacing w:val="31"/>
          <w:sz w:val="22"/>
        </w:rPr>
        <w:t> </w:t>
      </w:r>
      <w:r>
        <w:rPr>
          <w:sz w:val="22"/>
        </w:rPr>
        <w:t>b</w:t>
      </w:r>
      <w:r>
        <w:rPr>
          <w:spacing w:val="-31"/>
          <w:sz w:val="22"/>
        </w:rPr>
        <w:t> </w:t>
      </w:r>
      <w:r>
        <w:rPr>
          <w:sz w:val="22"/>
        </w:rPr>
        <w:t>asic</w:t>
      </w:r>
      <w:r>
        <w:rPr>
          <w:spacing w:val="39"/>
          <w:sz w:val="22"/>
        </w:rPr>
        <w:t> </w:t>
      </w:r>
      <w:r>
        <w:rPr>
          <w:spacing w:val="12"/>
          <w:sz w:val="22"/>
        </w:rPr>
        <w:t>architectural </w:t>
      </w:r>
      <w:r>
        <w:rPr>
          <w:spacing w:val="10"/>
          <w:sz w:val="22"/>
        </w:rPr>
        <w:t>design.</w:t>
      </w:r>
      <w:r>
        <w:rPr>
          <w:spacing w:val="2"/>
          <w:sz w:val="22"/>
        </w:rPr>
        <w:t> </w:t>
      </w:r>
      <w:r>
        <w:rPr>
          <w:spacing w:val="11"/>
          <w:sz w:val="22"/>
        </w:rPr>
        <w:t>However, being </w:t>
      </w:r>
      <w:r>
        <w:rPr>
          <w:spacing w:val="9"/>
          <w:sz w:val="22"/>
        </w:rPr>
        <w:t>the </w:t>
      </w:r>
      <w:r>
        <w:rPr>
          <w:sz w:val="22"/>
        </w:rPr>
        <w:t>first </w:t>
      </w:r>
      <w:r>
        <w:rPr>
          <w:spacing w:val="12"/>
          <w:sz w:val="22"/>
        </w:rPr>
        <w:t>year </w:t>
      </w:r>
      <w:r>
        <w:rPr>
          <w:sz w:val="22"/>
        </w:rPr>
        <w:t>of</w:t>
      </w:r>
      <w:r>
        <w:rPr>
          <w:spacing w:val="33"/>
          <w:sz w:val="22"/>
        </w:rPr>
        <w:t> </w:t>
      </w:r>
      <w:r>
        <w:rPr>
          <w:sz w:val="22"/>
        </w:rPr>
        <w:t>a</w:t>
      </w:r>
      <w:r>
        <w:rPr>
          <w:spacing w:val="40"/>
          <w:sz w:val="22"/>
        </w:rPr>
        <w:t> </w:t>
      </w:r>
      <w:r>
        <w:rPr>
          <w:spacing w:val="9"/>
          <w:sz w:val="22"/>
        </w:rPr>
        <w:t>professional </w:t>
      </w:r>
      <w:r>
        <w:rPr>
          <w:spacing w:val="13"/>
          <w:sz w:val="22"/>
        </w:rPr>
        <w:t>program, </w:t>
      </w:r>
      <w:r>
        <w:rPr>
          <w:sz w:val="22"/>
        </w:rPr>
        <w:t>work will</w:t>
      </w:r>
      <w:r>
        <w:rPr>
          <w:spacing w:val="11"/>
          <w:sz w:val="22"/>
        </w:rPr>
        <w:t> be </w:t>
      </w:r>
      <w:r>
        <w:rPr>
          <w:spacing w:val="15"/>
          <w:sz w:val="22"/>
        </w:rPr>
        <w:t>geared </w:t>
      </w:r>
      <w:r>
        <w:rPr>
          <w:sz w:val="22"/>
        </w:rPr>
        <w:t>to</w:t>
      </w:r>
      <w:r>
        <w:rPr>
          <w:spacing w:val="14"/>
          <w:sz w:val="22"/>
        </w:rPr>
        <w:t> develop</w:t>
      </w:r>
      <w:r>
        <w:rPr>
          <w:spacing w:val="40"/>
          <w:sz w:val="22"/>
        </w:rPr>
        <w:t> </w:t>
      </w:r>
      <w:r>
        <w:rPr>
          <w:sz w:val="22"/>
        </w:rPr>
        <w:t>critic</w:t>
      </w:r>
      <w:r>
        <w:rPr>
          <w:spacing w:val="-27"/>
          <w:sz w:val="22"/>
        </w:rPr>
        <w:t> </w:t>
      </w:r>
      <w:r>
        <w:rPr>
          <w:sz w:val="22"/>
        </w:rPr>
        <w:t>al-thinking</w:t>
      </w:r>
      <w:r>
        <w:rPr>
          <w:spacing w:val="40"/>
          <w:sz w:val="22"/>
        </w:rPr>
        <w:t> </w:t>
      </w:r>
      <w:r>
        <w:rPr>
          <w:spacing w:val="13"/>
          <w:sz w:val="22"/>
        </w:rPr>
        <w:t>and</w:t>
      </w:r>
      <w:r>
        <w:rPr>
          <w:spacing w:val="40"/>
          <w:sz w:val="22"/>
        </w:rPr>
        <w:t> </w:t>
      </w:r>
      <w:r>
        <w:rPr>
          <w:spacing w:val="10"/>
          <w:sz w:val="22"/>
        </w:rPr>
        <w:t>design</w:t>
      </w:r>
    </w:p>
    <w:p>
      <w:pPr>
        <w:spacing w:line="247" w:lineRule="exact" w:before="0"/>
        <w:ind w:left="456" w:right="0" w:firstLine="0"/>
        <w:jc w:val="left"/>
        <w:rPr>
          <w:sz w:val="22"/>
        </w:rPr>
      </w:pPr>
      <w:r>
        <w:rPr>
          <w:sz w:val="22"/>
        </w:rPr>
        <w:t>c</w:t>
      </w:r>
      <w:r>
        <w:rPr>
          <w:spacing w:val="-29"/>
          <w:sz w:val="22"/>
        </w:rPr>
        <w:t> </w:t>
      </w:r>
      <w:r>
        <w:rPr>
          <w:spacing w:val="12"/>
          <w:sz w:val="22"/>
        </w:rPr>
        <w:t>ap</w:t>
      </w:r>
      <w:r>
        <w:rPr>
          <w:spacing w:val="-33"/>
          <w:sz w:val="22"/>
        </w:rPr>
        <w:t> </w:t>
      </w:r>
      <w:r>
        <w:rPr>
          <w:sz w:val="22"/>
        </w:rPr>
        <w:t>abilities</w:t>
      </w:r>
      <w:r>
        <w:rPr>
          <w:spacing w:val="9"/>
          <w:sz w:val="22"/>
        </w:rPr>
        <w:t> </w:t>
      </w:r>
      <w:r>
        <w:rPr>
          <w:spacing w:val="13"/>
          <w:sz w:val="22"/>
        </w:rPr>
        <w:t>that</w:t>
      </w:r>
      <w:r>
        <w:rPr>
          <w:spacing w:val="19"/>
          <w:sz w:val="22"/>
        </w:rPr>
        <w:t> </w:t>
      </w:r>
      <w:r>
        <w:rPr>
          <w:sz w:val="22"/>
        </w:rPr>
        <w:t>will</w:t>
      </w:r>
      <w:r>
        <w:rPr>
          <w:spacing w:val="2"/>
          <w:sz w:val="22"/>
        </w:rPr>
        <w:t> </w:t>
      </w:r>
      <w:r>
        <w:rPr>
          <w:sz w:val="22"/>
        </w:rPr>
        <w:t>sup</w:t>
      </w:r>
      <w:r>
        <w:rPr>
          <w:spacing w:val="-32"/>
          <w:sz w:val="22"/>
        </w:rPr>
        <w:t> </w:t>
      </w:r>
      <w:r>
        <w:rPr>
          <w:spacing w:val="10"/>
          <w:sz w:val="22"/>
        </w:rPr>
        <w:t>port</w:t>
      </w:r>
      <w:r>
        <w:rPr>
          <w:spacing w:val="15"/>
          <w:sz w:val="22"/>
        </w:rPr>
        <w:t> </w:t>
      </w:r>
      <w:r>
        <w:rPr>
          <w:spacing w:val="9"/>
          <w:sz w:val="22"/>
        </w:rPr>
        <w:t>the</w:t>
      </w:r>
      <w:r>
        <w:rPr>
          <w:spacing w:val="22"/>
          <w:sz w:val="22"/>
        </w:rPr>
        <w:t> </w:t>
      </w:r>
      <w:r>
        <w:rPr>
          <w:spacing w:val="15"/>
          <w:sz w:val="22"/>
        </w:rPr>
        <w:t>educ</w:t>
      </w:r>
      <w:r>
        <w:rPr>
          <w:spacing w:val="-29"/>
          <w:sz w:val="22"/>
        </w:rPr>
        <w:t> </w:t>
      </w:r>
      <w:r>
        <w:rPr>
          <w:spacing w:val="10"/>
          <w:sz w:val="22"/>
        </w:rPr>
        <w:t>ation</w:t>
      </w:r>
      <w:r>
        <w:rPr>
          <w:spacing w:val="18"/>
          <w:sz w:val="22"/>
        </w:rPr>
        <w:t> </w:t>
      </w:r>
      <w:r>
        <w:rPr>
          <w:sz w:val="22"/>
        </w:rPr>
        <w:t>of</w:t>
      </w:r>
      <w:r>
        <w:rPr>
          <w:spacing w:val="19"/>
          <w:sz w:val="22"/>
        </w:rPr>
        <w:t> </w:t>
      </w:r>
      <w:r>
        <w:rPr>
          <w:sz w:val="22"/>
        </w:rPr>
        <w:t>a</w:t>
      </w:r>
      <w:r>
        <w:rPr>
          <w:spacing w:val="29"/>
          <w:sz w:val="22"/>
        </w:rPr>
        <w:t> </w:t>
      </w:r>
      <w:r>
        <w:rPr>
          <w:sz w:val="22"/>
        </w:rPr>
        <w:t>gra</w:t>
      </w:r>
      <w:r>
        <w:rPr>
          <w:spacing w:val="-32"/>
          <w:sz w:val="22"/>
        </w:rPr>
        <w:t> </w:t>
      </w:r>
      <w:r>
        <w:rPr>
          <w:spacing w:val="14"/>
          <w:sz w:val="22"/>
        </w:rPr>
        <w:t>duate</w:t>
      </w:r>
      <w:r>
        <w:rPr>
          <w:spacing w:val="11"/>
          <w:sz w:val="22"/>
        </w:rPr>
        <w:t> </w:t>
      </w:r>
      <w:r>
        <w:rPr>
          <w:spacing w:val="9"/>
          <w:sz w:val="22"/>
        </w:rPr>
        <w:t>level</w:t>
      </w:r>
      <w:r>
        <w:rPr>
          <w:spacing w:val="2"/>
          <w:sz w:val="22"/>
        </w:rPr>
        <w:t> </w:t>
      </w:r>
      <w:r>
        <w:rPr>
          <w:spacing w:val="9"/>
          <w:sz w:val="22"/>
        </w:rPr>
        <w:t>student.</w:t>
      </w:r>
    </w:p>
    <w:p>
      <w:pPr>
        <w:pStyle w:val="BodyText"/>
        <w:rPr>
          <w:sz w:val="32"/>
        </w:rPr>
      </w:pPr>
    </w:p>
    <w:p>
      <w:pPr>
        <w:spacing w:line="292" w:lineRule="auto" w:before="1"/>
        <w:ind w:left="446" w:right="642" w:hanging="7"/>
        <w:jc w:val="left"/>
        <w:rPr>
          <w:sz w:val="22"/>
        </w:rPr>
      </w:pPr>
      <w:r>
        <w:rPr>
          <w:sz w:val="22"/>
        </w:rPr>
        <w:t>YEAR TWO:</w:t>
      </w:r>
      <w:r>
        <w:rPr>
          <w:spacing w:val="40"/>
          <w:sz w:val="22"/>
        </w:rPr>
        <w:t> </w:t>
      </w:r>
      <w:r>
        <w:rPr>
          <w:spacing w:val="12"/>
          <w:sz w:val="22"/>
        </w:rPr>
        <w:t>Sec</w:t>
      </w:r>
      <w:r>
        <w:rPr>
          <w:spacing w:val="-33"/>
          <w:sz w:val="22"/>
        </w:rPr>
        <w:t> </w:t>
      </w:r>
      <w:r>
        <w:rPr>
          <w:spacing w:val="11"/>
          <w:sz w:val="22"/>
        </w:rPr>
        <w:t>ond </w:t>
      </w:r>
      <w:r>
        <w:rPr>
          <w:spacing w:val="12"/>
          <w:sz w:val="22"/>
        </w:rPr>
        <w:t>year</w:t>
      </w:r>
      <w:r>
        <w:rPr>
          <w:sz w:val="22"/>
        </w:rPr>
        <w:t> </w:t>
      </w:r>
      <w:r>
        <w:rPr>
          <w:spacing w:val="11"/>
          <w:sz w:val="22"/>
        </w:rPr>
        <w:t>students </w:t>
      </w:r>
      <w:r>
        <w:rPr>
          <w:sz w:val="22"/>
        </w:rPr>
        <w:t>are </w:t>
      </w:r>
      <w:r>
        <w:rPr>
          <w:spacing w:val="11"/>
          <w:sz w:val="22"/>
        </w:rPr>
        <w:t>seen </w:t>
      </w:r>
      <w:r>
        <w:rPr>
          <w:sz w:val="22"/>
        </w:rPr>
        <w:t>as a</w:t>
      </w:r>
      <w:r>
        <w:rPr>
          <w:spacing w:val="-31"/>
          <w:sz w:val="22"/>
        </w:rPr>
        <w:t> </w:t>
      </w:r>
      <w:r>
        <w:rPr>
          <w:spacing w:val="13"/>
          <w:sz w:val="22"/>
        </w:rPr>
        <w:t>cknowledging </w:t>
      </w:r>
      <w:r>
        <w:rPr>
          <w:sz w:val="22"/>
        </w:rPr>
        <w:t>a full c</w:t>
      </w:r>
      <w:r>
        <w:rPr>
          <w:spacing w:val="-33"/>
          <w:sz w:val="22"/>
        </w:rPr>
        <w:t> </w:t>
      </w:r>
      <w:r>
        <w:rPr>
          <w:spacing w:val="13"/>
          <w:sz w:val="22"/>
        </w:rPr>
        <w:t>ommitment </w:t>
      </w:r>
      <w:r>
        <w:rPr>
          <w:sz w:val="22"/>
        </w:rPr>
        <w:t>to </w:t>
      </w:r>
      <w:r>
        <w:rPr>
          <w:spacing w:val="12"/>
          <w:sz w:val="22"/>
        </w:rPr>
        <w:t>Architecture</w:t>
      </w:r>
      <w:r>
        <w:rPr>
          <w:spacing w:val="5"/>
          <w:sz w:val="22"/>
        </w:rPr>
        <w:t> </w:t>
      </w:r>
      <w:r>
        <w:rPr>
          <w:sz w:val="22"/>
        </w:rPr>
        <w:t>as a </w:t>
      </w:r>
      <w:r>
        <w:rPr>
          <w:spacing w:val="9"/>
          <w:sz w:val="22"/>
        </w:rPr>
        <w:t>major.</w:t>
      </w:r>
      <w:r>
        <w:rPr>
          <w:spacing w:val="-11"/>
          <w:sz w:val="22"/>
        </w:rPr>
        <w:t> </w:t>
      </w:r>
      <w:r>
        <w:rPr>
          <w:sz w:val="22"/>
        </w:rPr>
        <w:t>For</w:t>
      </w:r>
      <w:r>
        <w:rPr>
          <w:spacing w:val="-3"/>
          <w:sz w:val="22"/>
        </w:rPr>
        <w:t> </w:t>
      </w:r>
      <w:r>
        <w:rPr>
          <w:sz w:val="22"/>
        </w:rPr>
        <w:t>this</w:t>
      </w:r>
      <w:r>
        <w:rPr>
          <w:spacing w:val="-9"/>
          <w:sz w:val="22"/>
        </w:rPr>
        <w:t> </w:t>
      </w:r>
      <w:r>
        <w:rPr>
          <w:spacing w:val="10"/>
          <w:sz w:val="22"/>
        </w:rPr>
        <w:t>reason,</w:t>
      </w:r>
      <w:r>
        <w:rPr>
          <w:spacing w:val="-11"/>
          <w:sz w:val="22"/>
        </w:rPr>
        <w:t> </w:t>
      </w:r>
      <w:r>
        <w:rPr>
          <w:spacing w:val="12"/>
          <w:sz w:val="22"/>
        </w:rPr>
        <w:t>sec</w:t>
      </w:r>
      <w:r>
        <w:rPr>
          <w:spacing w:val="-33"/>
          <w:sz w:val="22"/>
        </w:rPr>
        <w:t> </w:t>
      </w:r>
      <w:r>
        <w:rPr>
          <w:spacing w:val="10"/>
          <w:sz w:val="22"/>
        </w:rPr>
        <w:t>ond</w:t>
      </w:r>
      <w:r>
        <w:rPr>
          <w:spacing w:val="7"/>
          <w:sz w:val="22"/>
        </w:rPr>
        <w:t> </w:t>
      </w:r>
      <w:r>
        <w:rPr>
          <w:spacing w:val="12"/>
          <w:sz w:val="22"/>
        </w:rPr>
        <w:t>year</w:t>
      </w:r>
      <w:r>
        <w:rPr>
          <w:spacing w:val="-9"/>
          <w:sz w:val="22"/>
        </w:rPr>
        <w:t> </w:t>
      </w:r>
      <w:r>
        <w:rPr>
          <w:sz w:val="22"/>
        </w:rPr>
        <w:t>is </w:t>
      </w:r>
      <w:r>
        <w:rPr>
          <w:spacing w:val="11"/>
          <w:sz w:val="22"/>
        </w:rPr>
        <w:t>often</w:t>
      </w:r>
      <w:r>
        <w:rPr>
          <w:spacing w:val="9"/>
          <w:sz w:val="22"/>
        </w:rPr>
        <w:t> </w:t>
      </w:r>
      <w:r>
        <w:rPr>
          <w:sz w:val="22"/>
        </w:rPr>
        <w:t>c</w:t>
      </w:r>
      <w:r>
        <w:rPr>
          <w:spacing w:val="-33"/>
          <w:sz w:val="22"/>
        </w:rPr>
        <w:t> </w:t>
      </w:r>
      <w:r>
        <w:rPr>
          <w:spacing w:val="11"/>
          <w:sz w:val="22"/>
        </w:rPr>
        <w:t>onsidered </w:t>
      </w:r>
      <w:r>
        <w:rPr>
          <w:spacing w:val="9"/>
          <w:sz w:val="22"/>
        </w:rPr>
        <w:t>more</w:t>
      </w:r>
      <w:r>
        <w:rPr>
          <w:sz w:val="22"/>
        </w:rPr>
        <w:t> intense </w:t>
      </w:r>
      <w:r>
        <w:rPr>
          <w:spacing w:val="12"/>
          <w:sz w:val="22"/>
        </w:rPr>
        <w:t>than </w:t>
      </w:r>
      <w:r>
        <w:rPr>
          <w:sz w:val="22"/>
        </w:rPr>
        <w:t>first </w:t>
      </w:r>
      <w:r>
        <w:rPr>
          <w:spacing w:val="10"/>
          <w:sz w:val="22"/>
        </w:rPr>
        <w:t>year.</w:t>
      </w:r>
      <w:r>
        <w:rPr>
          <w:spacing w:val="1"/>
          <w:sz w:val="22"/>
        </w:rPr>
        <w:t> </w:t>
      </w:r>
      <w:r>
        <w:rPr>
          <w:sz w:val="22"/>
        </w:rPr>
        <w:t>There is a signific</w:t>
      </w:r>
      <w:r>
        <w:rPr>
          <w:spacing w:val="-28"/>
          <w:sz w:val="22"/>
        </w:rPr>
        <w:t> </w:t>
      </w:r>
      <w:r>
        <w:rPr>
          <w:spacing w:val="10"/>
          <w:sz w:val="22"/>
        </w:rPr>
        <w:t>ant </w:t>
      </w:r>
      <w:r>
        <w:rPr>
          <w:spacing w:val="12"/>
          <w:sz w:val="22"/>
        </w:rPr>
        <w:t>increase </w:t>
      </w:r>
      <w:r>
        <w:rPr>
          <w:sz w:val="22"/>
        </w:rPr>
        <w:t>in </w:t>
      </w:r>
      <w:r>
        <w:rPr>
          <w:spacing w:val="9"/>
          <w:sz w:val="22"/>
        </w:rPr>
        <w:t>the </w:t>
      </w:r>
      <w:r>
        <w:rPr>
          <w:spacing w:val="14"/>
          <w:sz w:val="22"/>
        </w:rPr>
        <w:t>number </w:t>
      </w:r>
      <w:r>
        <w:rPr>
          <w:sz w:val="22"/>
        </w:rPr>
        <w:t>of </w:t>
      </w:r>
      <w:r>
        <w:rPr>
          <w:spacing w:val="12"/>
          <w:sz w:val="22"/>
        </w:rPr>
        <w:t>architectural </w:t>
      </w:r>
      <w:r>
        <w:rPr>
          <w:sz w:val="22"/>
        </w:rPr>
        <w:t>c</w:t>
      </w:r>
      <w:r>
        <w:rPr>
          <w:spacing w:val="-31"/>
          <w:sz w:val="22"/>
        </w:rPr>
        <w:t> </w:t>
      </w:r>
      <w:r>
        <w:rPr>
          <w:sz w:val="22"/>
        </w:rPr>
        <w:t>ourses,</w:t>
      </w:r>
    </w:p>
    <w:p>
      <w:pPr>
        <w:spacing w:line="292" w:lineRule="auto" w:before="5"/>
        <w:ind w:left="440" w:right="807" w:firstLine="5"/>
        <w:jc w:val="both"/>
        <w:rPr>
          <w:sz w:val="22"/>
        </w:rPr>
      </w:pPr>
      <w:r>
        <w:rPr>
          <w:spacing w:val="15"/>
          <w:sz w:val="22"/>
        </w:rPr>
        <w:t>hence</w:t>
      </w:r>
      <w:r>
        <w:rPr>
          <w:spacing w:val="-16"/>
          <w:sz w:val="22"/>
        </w:rPr>
        <w:t> </w:t>
      </w:r>
      <w:r>
        <w:rPr>
          <w:spacing w:val="12"/>
          <w:sz w:val="22"/>
        </w:rPr>
        <w:t>few </w:t>
      </w:r>
      <w:r>
        <w:rPr>
          <w:sz w:val="22"/>
        </w:rPr>
        <w:t>c</w:t>
      </w:r>
      <w:r>
        <w:rPr>
          <w:spacing w:val="-16"/>
          <w:sz w:val="22"/>
        </w:rPr>
        <w:t> </w:t>
      </w:r>
      <w:r>
        <w:rPr>
          <w:sz w:val="22"/>
        </w:rPr>
        <w:t>ourses</w:t>
      </w:r>
      <w:r>
        <w:rPr>
          <w:spacing w:val="-2"/>
          <w:sz w:val="22"/>
        </w:rPr>
        <w:t> </w:t>
      </w:r>
      <w:r>
        <w:rPr>
          <w:sz w:val="22"/>
        </w:rPr>
        <w:t>in this </w:t>
      </w:r>
      <w:r>
        <w:rPr>
          <w:spacing w:val="12"/>
          <w:sz w:val="22"/>
        </w:rPr>
        <w:t>year</w:t>
      </w:r>
      <w:r>
        <w:rPr>
          <w:spacing w:val="11"/>
          <w:sz w:val="22"/>
        </w:rPr>
        <w:t> </w:t>
      </w:r>
      <w:r>
        <w:rPr>
          <w:sz w:val="22"/>
        </w:rPr>
        <w:t>are easily </w:t>
      </w:r>
      <w:r>
        <w:rPr>
          <w:spacing w:val="10"/>
          <w:sz w:val="22"/>
        </w:rPr>
        <w:t>transferable </w:t>
      </w:r>
      <w:r>
        <w:rPr>
          <w:sz w:val="22"/>
        </w:rPr>
        <w:t>to </w:t>
      </w:r>
      <w:r>
        <w:rPr>
          <w:spacing w:val="11"/>
          <w:sz w:val="22"/>
        </w:rPr>
        <w:t>other</w:t>
      </w:r>
      <w:r>
        <w:rPr>
          <w:spacing w:val="9"/>
          <w:sz w:val="22"/>
        </w:rPr>
        <w:t> majors</w:t>
      </w:r>
      <w:r>
        <w:rPr>
          <w:spacing w:val="6"/>
          <w:sz w:val="22"/>
        </w:rPr>
        <w:t> </w:t>
      </w:r>
      <w:r>
        <w:rPr>
          <w:sz w:val="22"/>
        </w:rPr>
        <w:t>on c</w:t>
      </w:r>
      <w:r>
        <w:rPr>
          <w:spacing w:val="-16"/>
          <w:sz w:val="22"/>
        </w:rPr>
        <w:t> </w:t>
      </w:r>
      <w:r>
        <w:rPr>
          <w:spacing w:val="12"/>
          <w:sz w:val="22"/>
        </w:rPr>
        <w:t>ampus.</w:t>
      </w:r>
      <w:r>
        <w:rPr>
          <w:spacing w:val="6"/>
          <w:sz w:val="22"/>
        </w:rPr>
        <w:t> </w:t>
      </w:r>
      <w:r>
        <w:rPr>
          <w:sz w:val="22"/>
        </w:rPr>
        <w:t>Also, </w:t>
      </w:r>
      <w:r>
        <w:rPr>
          <w:spacing w:val="11"/>
          <w:sz w:val="22"/>
        </w:rPr>
        <w:t>sec</w:t>
      </w:r>
      <w:r>
        <w:rPr>
          <w:spacing w:val="-16"/>
          <w:sz w:val="22"/>
        </w:rPr>
        <w:t> </w:t>
      </w:r>
      <w:r>
        <w:rPr>
          <w:spacing w:val="11"/>
          <w:sz w:val="22"/>
        </w:rPr>
        <w:t>ond</w:t>
      </w:r>
      <w:r>
        <w:rPr>
          <w:spacing w:val="-15"/>
          <w:sz w:val="22"/>
        </w:rPr>
        <w:t> </w:t>
      </w:r>
      <w:r>
        <w:rPr>
          <w:spacing w:val="12"/>
          <w:sz w:val="22"/>
        </w:rPr>
        <w:t>year</w:t>
      </w:r>
      <w:r>
        <w:rPr>
          <w:spacing w:val="-15"/>
          <w:sz w:val="22"/>
        </w:rPr>
        <w:t> </w:t>
      </w:r>
      <w:r>
        <w:rPr>
          <w:sz w:val="22"/>
        </w:rPr>
        <w:t>c</w:t>
      </w:r>
      <w:r>
        <w:rPr>
          <w:spacing w:val="-16"/>
          <w:sz w:val="22"/>
        </w:rPr>
        <w:t> </w:t>
      </w:r>
      <w:r>
        <w:rPr>
          <w:spacing w:val="10"/>
          <w:sz w:val="22"/>
        </w:rPr>
        <w:t>ontains</w:t>
      </w:r>
      <w:r>
        <w:rPr>
          <w:spacing w:val="-7"/>
          <w:sz w:val="22"/>
        </w:rPr>
        <w:t> </w:t>
      </w:r>
      <w:r>
        <w:rPr>
          <w:sz w:val="22"/>
        </w:rPr>
        <w:t>the first </w:t>
      </w:r>
      <w:r>
        <w:rPr>
          <w:spacing w:val="16"/>
          <w:sz w:val="22"/>
        </w:rPr>
        <w:t>sequence </w:t>
      </w:r>
      <w:r>
        <w:rPr>
          <w:sz w:val="22"/>
        </w:rPr>
        <w:t>of classes </w:t>
      </w:r>
      <w:r>
        <w:rPr>
          <w:spacing w:val="13"/>
          <w:sz w:val="22"/>
        </w:rPr>
        <w:t>that </w:t>
      </w:r>
      <w:r>
        <w:rPr>
          <w:sz w:val="22"/>
        </w:rPr>
        <w:t>are</w:t>
      </w:r>
      <w:r>
        <w:rPr>
          <w:spacing w:val="24"/>
          <w:sz w:val="22"/>
        </w:rPr>
        <w:t> </w:t>
      </w:r>
      <w:r>
        <w:rPr>
          <w:sz w:val="22"/>
        </w:rPr>
        <w:t>c</w:t>
      </w:r>
      <w:r>
        <w:rPr>
          <w:spacing w:val="-16"/>
          <w:sz w:val="22"/>
        </w:rPr>
        <w:t> </w:t>
      </w:r>
      <w:r>
        <w:rPr>
          <w:sz w:val="22"/>
        </w:rPr>
        <w:t>o-requisite.</w:t>
      </w:r>
      <w:r>
        <w:rPr>
          <w:spacing w:val="-3"/>
          <w:sz w:val="22"/>
        </w:rPr>
        <w:t> </w:t>
      </w:r>
      <w:r>
        <w:rPr>
          <w:sz w:val="22"/>
        </w:rPr>
        <w:t>Failure to p</w:t>
      </w:r>
      <w:r>
        <w:rPr>
          <w:spacing w:val="-16"/>
          <w:sz w:val="22"/>
        </w:rPr>
        <w:t> </w:t>
      </w:r>
      <w:r>
        <w:rPr>
          <w:sz w:val="22"/>
        </w:rPr>
        <w:t>ass </w:t>
      </w:r>
      <w:r>
        <w:rPr>
          <w:spacing w:val="9"/>
          <w:sz w:val="22"/>
        </w:rPr>
        <w:t>any </w:t>
      </w:r>
      <w:r>
        <w:rPr>
          <w:spacing w:val="10"/>
          <w:sz w:val="22"/>
        </w:rPr>
        <w:t>one </w:t>
      </w:r>
      <w:r>
        <w:rPr>
          <w:sz w:val="22"/>
        </w:rPr>
        <w:t>of </w:t>
      </w:r>
      <w:r>
        <w:rPr>
          <w:spacing w:val="9"/>
          <w:sz w:val="22"/>
        </w:rPr>
        <w:t>the</w:t>
      </w:r>
      <w:r>
        <w:rPr>
          <w:spacing w:val="40"/>
          <w:sz w:val="22"/>
        </w:rPr>
        <w:t> </w:t>
      </w:r>
      <w:r>
        <w:rPr>
          <w:sz w:val="22"/>
        </w:rPr>
        <w:t>c</w:t>
      </w:r>
      <w:r>
        <w:rPr>
          <w:spacing w:val="-29"/>
          <w:sz w:val="22"/>
        </w:rPr>
        <w:t> </w:t>
      </w:r>
      <w:r>
        <w:rPr>
          <w:sz w:val="22"/>
        </w:rPr>
        <w:t>o-requisite</w:t>
      </w:r>
      <w:r>
        <w:rPr>
          <w:spacing w:val="36"/>
          <w:sz w:val="22"/>
        </w:rPr>
        <w:t> </w:t>
      </w:r>
      <w:r>
        <w:rPr>
          <w:sz w:val="22"/>
        </w:rPr>
        <w:t>classes in </w:t>
      </w:r>
      <w:r>
        <w:rPr>
          <w:spacing w:val="9"/>
          <w:sz w:val="22"/>
        </w:rPr>
        <w:t>the </w:t>
      </w:r>
      <w:r>
        <w:rPr>
          <w:sz w:val="22"/>
        </w:rPr>
        <w:t>first </w:t>
      </w:r>
      <w:r>
        <w:rPr>
          <w:spacing w:val="11"/>
          <w:sz w:val="22"/>
        </w:rPr>
        <w:t>semester </w:t>
      </w:r>
      <w:r>
        <w:rPr>
          <w:sz w:val="22"/>
        </w:rPr>
        <w:t>will</w:t>
      </w:r>
      <w:r>
        <w:rPr>
          <w:spacing w:val="11"/>
          <w:sz w:val="22"/>
        </w:rPr>
        <w:t> prevent </w:t>
      </w:r>
      <w:r>
        <w:rPr>
          <w:spacing w:val="12"/>
          <w:sz w:val="22"/>
        </w:rPr>
        <w:t>entranc</w:t>
      </w:r>
      <w:r>
        <w:rPr>
          <w:spacing w:val="-30"/>
          <w:sz w:val="22"/>
        </w:rPr>
        <w:t> </w:t>
      </w:r>
      <w:r>
        <w:rPr>
          <w:sz w:val="22"/>
        </w:rPr>
        <w:t>e into</w:t>
      </w:r>
      <w:r>
        <w:rPr>
          <w:spacing w:val="9"/>
          <w:sz w:val="22"/>
        </w:rPr>
        <w:t> the</w:t>
      </w:r>
    </w:p>
    <w:p>
      <w:pPr>
        <w:spacing w:line="295" w:lineRule="auto" w:before="3"/>
        <w:ind w:left="440" w:right="642" w:firstLine="0"/>
        <w:jc w:val="left"/>
        <w:rPr>
          <w:sz w:val="22"/>
        </w:rPr>
      </w:pPr>
      <w:r>
        <w:rPr>
          <w:spacing w:val="11"/>
          <w:sz w:val="22"/>
        </w:rPr>
        <w:t>sec</w:t>
      </w:r>
      <w:r>
        <w:rPr>
          <w:spacing w:val="-33"/>
          <w:sz w:val="22"/>
        </w:rPr>
        <w:t> </w:t>
      </w:r>
      <w:r>
        <w:rPr>
          <w:spacing w:val="11"/>
          <w:sz w:val="22"/>
        </w:rPr>
        <w:t>ond</w:t>
      </w:r>
      <w:r>
        <w:rPr>
          <w:spacing w:val="-6"/>
          <w:sz w:val="22"/>
        </w:rPr>
        <w:t> </w:t>
      </w:r>
      <w:r>
        <w:rPr>
          <w:spacing w:val="11"/>
          <w:sz w:val="22"/>
        </w:rPr>
        <w:t>semester</w:t>
      </w:r>
      <w:r>
        <w:rPr>
          <w:spacing w:val="2"/>
          <w:sz w:val="22"/>
        </w:rPr>
        <w:t> </w:t>
      </w:r>
      <w:r>
        <w:rPr>
          <w:spacing w:val="10"/>
          <w:sz w:val="22"/>
        </w:rPr>
        <w:t>design</w:t>
      </w:r>
      <w:r>
        <w:rPr>
          <w:spacing w:val="-6"/>
          <w:sz w:val="22"/>
        </w:rPr>
        <w:t> </w:t>
      </w:r>
      <w:r>
        <w:rPr>
          <w:spacing w:val="10"/>
          <w:sz w:val="22"/>
        </w:rPr>
        <w:t>studio.</w:t>
      </w:r>
      <w:r>
        <w:rPr>
          <w:spacing w:val="-12"/>
          <w:sz w:val="22"/>
        </w:rPr>
        <w:t> </w:t>
      </w:r>
      <w:r>
        <w:rPr>
          <w:sz w:val="22"/>
        </w:rPr>
        <w:t>Lastly,</w:t>
      </w:r>
      <w:r>
        <w:rPr>
          <w:spacing w:val="-8"/>
          <w:sz w:val="22"/>
        </w:rPr>
        <w:t> </w:t>
      </w:r>
      <w:r>
        <w:rPr>
          <w:spacing w:val="9"/>
          <w:sz w:val="22"/>
        </w:rPr>
        <w:t>you</w:t>
      </w:r>
      <w:r>
        <w:rPr>
          <w:spacing w:val="6"/>
          <w:sz w:val="22"/>
        </w:rPr>
        <w:t> </w:t>
      </w:r>
      <w:r>
        <w:rPr>
          <w:sz w:val="22"/>
        </w:rPr>
        <w:t>are</w:t>
      </w:r>
      <w:r>
        <w:rPr>
          <w:spacing w:val="-1"/>
          <w:sz w:val="22"/>
        </w:rPr>
        <w:t> </w:t>
      </w:r>
      <w:r>
        <w:rPr>
          <w:spacing w:val="11"/>
          <w:sz w:val="22"/>
        </w:rPr>
        <w:t>required</w:t>
      </w:r>
      <w:r>
        <w:rPr>
          <w:spacing w:val="7"/>
          <w:sz w:val="22"/>
        </w:rPr>
        <w:t> </w:t>
      </w:r>
      <w:r>
        <w:rPr>
          <w:sz w:val="22"/>
        </w:rPr>
        <w:t>to </w:t>
      </w:r>
      <w:r>
        <w:rPr>
          <w:spacing w:val="13"/>
          <w:sz w:val="22"/>
        </w:rPr>
        <w:t>have</w:t>
      </w:r>
      <w:r>
        <w:rPr>
          <w:spacing w:val="11"/>
          <w:sz w:val="22"/>
        </w:rPr>
        <w:t> </w:t>
      </w:r>
      <w:r>
        <w:rPr>
          <w:spacing w:val="14"/>
          <w:sz w:val="22"/>
        </w:rPr>
        <w:t>purchased</w:t>
      </w:r>
      <w:r>
        <w:rPr>
          <w:spacing w:val="2"/>
          <w:sz w:val="22"/>
        </w:rPr>
        <w:t> </w:t>
      </w:r>
      <w:r>
        <w:rPr>
          <w:sz w:val="22"/>
        </w:rPr>
        <w:t>la</w:t>
      </w:r>
      <w:r>
        <w:rPr>
          <w:spacing w:val="-33"/>
          <w:sz w:val="22"/>
        </w:rPr>
        <w:t> </w:t>
      </w:r>
      <w:r>
        <w:rPr>
          <w:spacing w:val="14"/>
          <w:sz w:val="22"/>
        </w:rPr>
        <w:t>ptops</w:t>
      </w:r>
      <w:r>
        <w:rPr>
          <w:spacing w:val="2"/>
          <w:sz w:val="22"/>
        </w:rPr>
        <w:t> </w:t>
      </w:r>
      <w:r>
        <w:rPr>
          <w:spacing w:val="13"/>
          <w:sz w:val="22"/>
        </w:rPr>
        <w:t>and </w:t>
      </w:r>
      <w:r>
        <w:rPr>
          <w:spacing w:val="12"/>
          <w:sz w:val="22"/>
        </w:rPr>
        <w:t>specific software </w:t>
      </w:r>
      <w:r>
        <w:rPr>
          <w:sz w:val="22"/>
        </w:rPr>
        <w:t>to</w:t>
      </w:r>
      <w:r>
        <w:rPr>
          <w:spacing w:val="33"/>
          <w:sz w:val="22"/>
        </w:rPr>
        <w:t> </w:t>
      </w:r>
      <w:r>
        <w:rPr>
          <w:sz w:val="22"/>
        </w:rPr>
        <w:t>aid</w:t>
      </w:r>
      <w:r>
        <w:rPr>
          <w:spacing w:val="9"/>
          <w:sz w:val="22"/>
        </w:rPr>
        <w:t> you </w:t>
      </w:r>
      <w:r>
        <w:rPr>
          <w:spacing w:val="12"/>
          <w:sz w:val="22"/>
        </w:rPr>
        <w:t>throughout </w:t>
      </w:r>
      <w:r>
        <w:rPr>
          <w:spacing w:val="9"/>
          <w:sz w:val="22"/>
        </w:rPr>
        <w:t>the </w:t>
      </w:r>
      <w:r>
        <w:rPr>
          <w:sz w:val="22"/>
        </w:rPr>
        <w:t>rest of your </w:t>
      </w:r>
      <w:r>
        <w:rPr>
          <w:spacing w:val="9"/>
          <w:sz w:val="22"/>
        </w:rPr>
        <w:t>tenure </w:t>
      </w:r>
      <w:r>
        <w:rPr>
          <w:sz w:val="22"/>
        </w:rPr>
        <w:t>as a </w:t>
      </w:r>
      <w:r>
        <w:rPr>
          <w:spacing w:val="12"/>
          <w:sz w:val="22"/>
        </w:rPr>
        <w:t>student.</w:t>
      </w:r>
      <w:r>
        <w:rPr>
          <w:spacing w:val="40"/>
          <w:sz w:val="22"/>
        </w:rPr>
        <w:t> </w:t>
      </w:r>
      <w:r>
        <w:rPr>
          <w:spacing w:val="10"/>
          <w:sz w:val="22"/>
        </w:rPr>
        <w:t>Platform</w:t>
      </w:r>
    </w:p>
    <w:p>
      <w:pPr>
        <w:spacing w:line="292" w:lineRule="auto" w:before="0"/>
        <w:ind w:left="446" w:right="1449" w:hanging="6"/>
        <w:jc w:val="left"/>
        <w:rPr>
          <w:sz w:val="22"/>
        </w:rPr>
      </w:pPr>
      <w:r>
        <w:rPr>
          <w:spacing w:val="12"/>
          <w:sz w:val="22"/>
        </w:rPr>
        <w:t>specific</w:t>
      </w:r>
      <w:r>
        <w:rPr>
          <w:spacing w:val="-33"/>
          <w:sz w:val="22"/>
        </w:rPr>
        <w:t> </w:t>
      </w:r>
      <w:r>
        <w:rPr>
          <w:spacing w:val="9"/>
          <w:sz w:val="22"/>
        </w:rPr>
        <w:t>ations</w:t>
      </w:r>
      <w:r>
        <w:rPr>
          <w:spacing w:val="6"/>
          <w:sz w:val="22"/>
        </w:rPr>
        <w:t> </w:t>
      </w:r>
      <w:r>
        <w:rPr>
          <w:spacing w:val="13"/>
          <w:sz w:val="22"/>
        </w:rPr>
        <w:t>and</w:t>
      </w:r>
      <w:r>
        <w:rPr>
          <w:spacing w:val="9"/>
          <w:sz w:val="22"/>
        </w:rPr>
        <w:t> </w:t>
      </w:r>
      <w:r>
        <w:rPr>
          <w:spacing w:val="12"/>
          <w:sz w:val="22"/>
        </w:rPr>
        <w:t>software</w:t>
      </w:r>
      <w:r>
        <w:rPr>
          <w:spacing w:val="5"/>
          <w:sz w:val="22"/>
        </w:rPr>
        <w:t> </w:t>
      </w:r>
      <w:r>
        <w:rPr>
          <w:spacing w:val="11"/>
          <w:sz w:val="22"/>
        </w:rPr>
        <w:t>requirements</w:t>
      </w:r>
      <w:r>
        <w:rPr>
          <w:spacing w:val="9"/>
          <w:sz w:val="22"/>
        </w:rPr>
        <w:t> </w:t>
      </w:r>
      <w:r>
        <w:rPr>
          <w:sz w:val="22"/>
        </w:rPr>
        <w:t>are furnished by </w:t>
      </w:r>
      <w:r>
        <w:rPr>
          <w:spacing w:val="9"/>
          <w:sz w:val="22"/>
        </w:rPr>
        <w:t>the </w:t>
      </w:r>
      <w:r>
        <w:rPr>
          <w:spacing w:val="15"/>
          <w:sz w:val="22"/>
        </w:rPr>
        <w:t>dep</w:t>
      </w:r>
      <w:r>
        <w:rPr>
          <w:spacing w:val="-33"/>
          <w:sz w:val="22"/>
        </w:rPr>
        <w:t> </w:t>
      </w:r>
      <w:r>
        <w:rPr>
          <w:spacing w:val="12"/>
          <w:sz w:val="22"/>
        </w:rPr>
        <w:t>artment </w:t>
      </w:r>
      <w:r>
        <w:rPr>
          <w:spacing w:val="13"/>
          <w:sz w:val="22"/>
        </w:rPr>
        <w:t>and </w:t>
      </w:r>
      <w:r>
        <w:rPr>
          <w:spacing w:val="9"/>
          <w:sz w:val="22"/>
        </w:rPr>
        <w:t>up</w:t>
      </w:r>
      <w:r>
        <w:rPr>
          <w:spacing w:val="-22"/>
          <w:sz w:val="22"/>
        </w:rPr>
        <w:t> </w:t>
      </w:r>
      <w:r>
        <w:rPr>
          <w:sz w:val="22"/>
        </w:rPr>
        <w:t>d</w:t>
      </w:r>
      <w:r>
        <w:rPr>
          <w:spacing w:val="-22"/>
          <w:sz w:val="22"/>
        </w:rPr>
        <w:t> </w:t>
      </w:r>
      <w:r>
        <w:rPr>
          <w:spacing w:val="15"/>
          <w:sz w:val="22"/>
        </w:rPr>
        <w:t>ated </w:t>
      </w:r>
      <w:r>
        <w:rPr>
          <w:spacing w:val="12"/>
          <w:sz w:val="22"/>
        </w:rPr>
        <w:t>ea</w:t>
      </w:r>
      <w:r>
        <w:rPr>
          <w:spacing w:val="-22"/>
          <w:sz w:val="22"/>
        </w:rPr>
        <w:t> </w:t>
      </w:r>
      <w:r>
        <w:rPr>
          <w:spacing w:val="11"/>
          <w:sz w:val="22"/>
        </w:rPr>
        <w:t>ch </w:t>
      </w:r>
      <w:r>
        <w:rPr>
          <w:sz w:val="22"/>
        </w:rPr>
        <w:t>a</w:t>
      </w:r>
      <w:r>
        <w:rPr>
          <w:spacing w:val="-22"/>
          <w:sz w:val="22"/>
        </w:rPr>
        <w:t> </w:t>
      </w:r>
      <w:r>
        <w:rPr>
          <w:sz w:val="22"/>
        </w:rPr>
        <w:t>c</w:t>
      </w:r>
      <w:r>
        <w:rPr>
          <w:spacing w:val="-18"/>
          <w:sz w:val="22"/>
        </w:rPr>
        <w:t> </w:t>
      </w:r>
      <w:r>
        <w:rPr>
          <w:sz w:val="22"/>
        </w:rPr>
        <w:t>a</w:t>
      </w:r>
      <w:r>
        <w:rPr>
          <w:spacing w:val="-22"/>
          <w:sz w:val="22"/>
        </w:rPr>
        <w:t> </w:t>
      </w:r>
      <w:r>
        <w:rPr>
          <w:spacing w:val="13"/>
          <w:sz w:val="22"/>
        </w:rPr>
        <w:t>demic </w:t>
      </w:r>
      <w:r>
        <w:rPr>
          <w:spacing w:val="9"/>
          <w:sz w:val="22"/>
        </w:rPr>
        <w:t>year.</w:t>
      </w:r>
    </w:p>
    <w:p>
      <w:pPr>
        <w:spacing w:after="0" w:line="292" w:lineRule="auto"/>
        <w:jc w:val="left"/>
        <w:rPr>
          <w:sz w:val="22"/>
        </w:rPr>
        <w:sectPr>
          <w:headerReference w:type="default" r:id="rId297"/>
          <w:footerReference w:type="default" r:id="rId298"/>
          <w:pgSz w:w="12240" w:h="15840"/>
          <w:pgMar w:header="0" w:footer="748" w:top="1400" w:bottom="940" w:left="1000" w:right="820"/>
        </w:sectPr>
      </w:pPr>
    </w:p>
    <w:p>
      <w:pPr>
        <w:spacing w:line="295" w:lineRule="auto" w:before="66"/>
        <w:ind w:left="446" w:right="869" w:hanging="7"/>
        <w:jc w:val="left"/>
        <w:rPr>
          <w:sz w:val="22"/>
        </w:rPr>
      </w:pPr>
      <w:r>
        <w:rPr>
          <w:sz w:val="22"/>
        </w:rPr>
        <w:t>YEAR</w:t>
      </w:r>
      <w:r>
        <w:rPr>
          <w:spacing w:val="-16"/>
          <w:sz w:val="22"/>
        </w:rPr>
        <w:t> </w:t>
      </w:r>
      <w:r>
        <w:rPr>
          <w:sz w:val="22"/>
        </w:rPr>
        <w:t>THREE:</w:t>
      </w:r>
      <w:r>
        <w:rPr>
          <w:spacing w:val="38"/>
          <w:sz w:val="22"/>
        </w:rPr>
        <w:t> </w:t>
      </w:r>
      <w:r>
        <w:rPr>
          <w:sz w:val="22"/>
        </w:rPr>
        <w:t>Third </w:t>
      </w:r>
      <w:r>
        <w:rPr>
          <w:spacing w:val="12"/>
          <w:sz w:val="22"/>
        </w:rPr>
        <w:t>year</w:t>
      </w:r>
      <w:r>
        <w:rPr>
          <w:spacing w:val="-2"/>
          <w:sz w:val="22"/>
        </w:rPr>
        <w:t> </w:t>
      </w:r>
      <w:r>
        <w:rPr>
          <w:spacing w:val="12"/>
          <w:sz w:val="22"/>
        </w:rPr>
        <w:t>bridges</w:t>
      </w:r>
      <w:r>
        <w:rPr>
          <w:spacing w:val="-6"/>
          <w:sz w:val="22"/>
        </w:rPr>
        <w:t> </w:t>
      </w:r>
      <w:r>
        <w:rPr>
          <w:spacing w:val="9"/>
          <w:sz w:val="22"/>
        </w:rPr>
        <w:t>the</w:t>
      </w:r>
      <w:r>
        <w:rPr>
          <w:spacing w:val="7"/>
          <w:sz w:val="22"/>
        </w:rPr>
        <w:t> </w:t>
      </w:r>
      <w:r>
        <w:rPr>
          <w:spacing w:val="13"/>
          <w:sz w:val="22"/>
        </w:rPr>
        <w:t>gap</w:t>
      </w:r>
      <w:r>
        <w:rPr>
          <w:spacing w:val="11"/>
          <w:sz w:val="22"/>
        </w:rPr>
        <w:t> </w:t>
      </w:r>
      <w:r>
        <w:rPr>
          <w:spacing w:val="14"/>
          <w:sz w:val="22"/>
        </w:rPr>
        <w:t>between</w:t>
      </w:r>
      <w:r>
        <w:rPr>
          <w:spacing w:val="-8"/>
          <w:sz w:val="22"/>
        </w:rPr>
        <w:t> </w:t>
      </w:r>
      <w:r>
        <w:rPr>
          <w:spacing w:val="11"/>
          <w:sz w:val="22"/>
        </w:rPr>
        <w:t>sec</w:t>
      </w:r>
      <w:r>
        <w:rPr>
          <w:spacing w:val="-33"/>
          <w:sz w:val="22"/>
        </w:rPr>
        <w:t> </w:t>
      </w:r>
      <w:r>
        <w:rPr>
          <w:spacing w:val="11"/>
          <w:sz w:val="22"/>
        </w:rPr>
        <w:t>ond </w:t>
      </w:r>
      <w:r>
        <w:rPr>
          <w:spacing w:val="12"/>
          <w:sz w:val="22"/>
        </w:rPr>
        <w:t>and</w:t>
      </w:r>
      <w:r>
        <w:rPr>
          <w:spacing w:val="3"/>
          <w:sz w:val="22"/>
        </w:rPr>
        <w:t> </w:t>
      </w:r>
      <w:r>
        <w:rPr>
          <w:sz w:val="22"/>
        </w:rPr>
        <w:t>fourth</w:t>
      </w:r>
      <w:r>
        <w:rPr>
          <w:spacing w:val="-5"/>
          <w:sz w:val="22"/>
        </w:rPr>
        <w:t> </w:t>
      </w:r>
      <w:r>
        <w:rPr>
          <w:spacing w:val="10"/>
          <w:sz w:val="22"/>
        </w:rPr>
        <w:t>year.</w:t>
      </w:r>
      <w:r>
        <w:rPr>
          <w:spacing w:val="-14"/>
          <w:sz w:val="22"/>
        </w:rPr>
        <w:t> </w:t>
      </w:r>
      <w:r>
        <w:rPr>
          <w:sz w:val="22"/>
        </w:rPr>
        <w:t>Thus</w:t>
      </w:r>
      <w:r>
        <w:rPr>
          <w:spacing w:val="-2"/>
          <w:sz w:val="22"/>
        </w:rPr>
        <w:t> </w:t>
      </w:r>
      <w:r>
        <w:rPr>
          <w:spacing w:val="15"/>
          <w:sz w:val="22"/>
        </w:rPr>
        <w:t>much </w:t>
      </w:r>
      <w:r>
        <w:rPr>
          <w:spacing w:val="10"/>
          <w:sz w:val="22"/>
        </w:rPr>
        <w:t>more </w:t>
      </w:r>
      <w:r>
        <w:rPr>
          <w:spacing w:val="13"/>
          <w:sz w:val="22"/>
        </w:rPr>
        <w:t>technic</w:t>
      </w:r>
      <w:r>
        <w:rPr>
          <w:spacing w:val="-27"/>
          <w:sz w:val="22"/>
        </w:rPr>
        <w:t> </w:t>
      </w:r>
      <w:r>
        <w:rPr>
          <w:sz w:val="22"/>
        </w:rPr>
        <w:t>al </w:t>
      </w:r>
      <w:r>
        <w:rPr>
          <w:spacing w:val="11"/>
          <w:sz w:val="22"/>
        </w:rPr>
        <w:t>information </w:t>
      </w:r>
      <w:r>
        <w:rPr>
          <w:sz w:val="22"/>
        </w:rPr>
        <w:t>is</w:t>
      </w:r>
      <w:r>
        <w:rPr>
          <w:spacing w:val="23"/>
          <w:sz w:val="22"/>
        </w:rPr>
        <w:t> </w:t>
      </w:r>
      <w:r>
        <w:rPr>
          <w:sz w:val="22"/>
        </w:rPr>
        <w:t>c</w:t>
      </w:r>
      <w:r>
        <w:rPr>
          <w:spacing w:val="-30"/>
          <w:sz w:val="22"/>
        </w:rPr>
        <w:t> </w:t>
      </w:r>
      <w:r>
        <w:rPr>
          <w:spacing w:val="12"/>
          <w:sz w:val="22"/>
        </w:rPr>
        <w:t>overed </w:t>
      </w:r>
      <w:r>
        <w:rPr>
          <w:sz w:val="22"/>
        </w:rPr>
        <w:t>in </w:t>
      </w:r>
      <w:r>
        <w:rPr>
          <w:spacing w:val="10"/>
          <w:sz w:val="22"/>
        </w:rPr>
        <w:t>studio</w:t>
      </w:r>
      <w:r>
        <w:rPr>
          <w:spacing w:val="34"/>
          <w:sz w:val="22"/>
        </w:rPr>
        <w:t> </w:t>
      </w:r>
      <w:r>
        <w:rPr>
          <w:sz w:val="22"/>
        </w:rPr>
        <w:t>c</w:t>
      </w:r>
      <w:r>
        <w:rPr>
          <w:spacing w:val="-30"/>
          <w:sz w:val="22"/>
        </w:rPr>
        <w:t> </w:t>
      </w:r>
      <w:r>
        <w:rPr>
          <w:sz w:val="22"/>
        </w:rPr>
        <w:t>oursework. </w:t>
      </w:r>
      <w:r>
        <w:rPr>
          <w:spacing w:val="10"/>
          <w:sz w:val="22"/>
        </w:rPr>
        <w:t>Projects </w:t>
      </w:r>
      <w:r>
        <w:rPr>
          <w:spacing w:val="11"/>
          <w:sz w:val="22"/>
        </w:rPr>
        <w:t>take</w:t>
      </w:r>
      <w:r>
        <w:rPr>
          <w:spacing w:val="28"/>
          <w:sz w:val="22"/>
        </w:rPr>
        <w:t> </w:t>
      </w:r>
      <w:r>
        <w:rPr>
          <w:sz w:val="22"/>
        </w:rPr>
        <w:t>on</w:t>
      </w:r>
      <w:r>
        <w:rPr>
          <w:spacing w:val="13"/>
          <w:sz w:val="22"/>
        </w:rPr>
        <w:t> greater</w:t>
      </w:r>
      <w:r>
        <w:rPr>
          <w:spacing w:val="13"/>
          <w:sz w:val="22"/>
        </w:rPr>
        <w:t> </w:t>
      </w:r>
      <w:r>
        <w:rPr>
          <w:sz w:val="22"/>
        </w:rPr>
        <w:t>c</w:t>
      </w:r>
      <w:r>
        <w:rPr>
          <w:spacing w:val="-32"/>
          <w:sz w:val="22"/>
        </w:rPr>
        <w:t> </w:t>
      </w:r>
      <w:r>
        <w:rPr>
          <w:spacing w:val="10"/>
          <w:sz w:val="22"/>
        </w:rPr>
        <w:t>omplexity</w:t>
      </w:r>
      <w:r>
        <w:rPr>
          <w:spacing w:val="5"/>
          <w:sz w:val="22"/>
        </w:rPr>
        <w:t> </w:t>
      </w:r>
      <w:r>
        <w:rPr>
          <w:sz w:val="22"/>
        </w:rPr>
        <w:t>in site, </w:t>
      </w:r>
      <w:r>
        <w:rPr>
          <w:spacing w:val="13"/>
          <w:sz w:val="22"/>
        </w:rPr>
        <w:t>program, and </w:t>
      </w:r>
      <w:r>
        <w:rPr>
          <w:sz w:val="22"/>
        </w:rPr>
        <w:t>sc</w:t>
      </w:r>
      <w:r>
        <w:rPr>
          <w:spacing w:val="-32"/>
          <w:sz w:val="22"/>
        </w:rPr>
        <w:t> </w:t>
      </w:r>
      <w:r>
        <w:rPr>
          <w:sz w:val="22"/>
        </w:rPr>
        <w:t>ale </w:t>
      </w:r>
      <w:r>
        <w:rPr>
          <w:spacing w:val="10"/>
          <w:sz w:val="22"/>
        </w:rPr>
        <w:t>requirements.</w:t>
      </w:r>
      <w:r>
        <w:rPr>
          <w:spacing w:val="-2"/>
          <w:sz w:val="22"/>
        </w:rPr>
        <w:t> </w:t>
      </w:r>
      <w:r>
        <w:rPr>
          <w:sz w:val="22"/>
        </w:rPr>
        <w:t>In</w:t>
      </w:r>
      <w:r>
        <w:rPr>
          <w:spacing w:val="13"/>
          <w:sz w:val="22"/>
        </w:rPr>
        <w:t> ad</w:t>
      </w:r>
      <w:r>
        <w:rPr>
          <w:spacing w:val="-32"/>
          <w:sz w:val="22"/>
        </w:rPr>
        <w:t> </w:t>
      </w:r>
      <w:r>
        <w:rPr>
          <w:sz w:val="22"/>
        </w:rPr>
        <w:t>dition, </w:t>
      </w:r>
      <w:r>
        <w:rPr>
          <w:spacing w:val="9"/>
          <w:sz w:val="22"/>
        </w:rPr>
        <w:t>you </w:t>
      </w:r>
      <w:r>
        <w:rPr>
          <w:sz w:val="22"/>
        </w:rPr>
        <w:t>are</w:t>
      </w:r>
      <w:r>
        <w:rPr>
          <w:spacing w:val="11"/>
          <w:sz w:val="22"/>
        </w:rPr>
        <w:t> enc</w:t>
      </w:r>
      <w:r>
        <w:rPr>
          <w:spacing w:val="-32"/>
          <w:sz w:val="22"/>
        </w:rPr>
        <w:t> </w:t>
      </w:r>
      <w:r>
        <w:rPr>
          <w:spacing w:val="15"/>
          <w:sz w:val="22"/>
        </w:rPr>
        <w:t>ouraged </w:t>
      </w:r>
      <w:r>
        <w:rPr>
          <w:sz w:val="22"/>
        </w:rPr>
        <w:t>to</w:t>
      </w:r>
      <w:r>
        <w:rPr>
          <w:spacing w:val="12"/>
          <w:sz w:val="22"/>
        </w:rPr>
        <w:t> make </w:t>
      </w:r>
      <w:r>
        <w:rPr>
          <w:sz w:val="22"/>
        </w:rPr>
        <w:t>c</w:t>
      </w:r>
      <w:r>
        <w:rPr>
          <w:spacing w:val="-27"/>
          <w:sz w:val="22"/>
        </w:rPr>
        <w:t> </w:t>
      </w:r>
      <w:r>
        <w:rPr>
          <w:spacing w:val="13"/>
          <w:sz w:val="22"/>
        </w:rPr>
        <w:t>omputing</w:t>
      </w:r>
      <w:r>
        <w:rPr>
          <w:spacing w:val="-24"/>
          <w:sz w:val="22"/>
        </w:rPr>
        <w:t> </w:t>
      </w:r>
      <w:r>
        <w:rPr>
          <w:sz w:val="22"/>
        </w:rPr>
        <w:t>/</w:t>
      </w:r>
      <w:r>
        <w:rPr>
          <w:spacing w:val="-23"/>
          <w:sz w:val="22"/>
        </w:rPr>
        <w:t> </w:t>
      </w:r>
      <w:r>
        <w:rPr>
          <w:spacing w:val="10"/>
          <w:sz w:val="22"/>
        </w:rPr>
        <w:t>digital </w:t>
      </w:r>
      <w:r>
        <w:rPr>
          <w:spacing w:val="13"/>
          <w:sz w:val="22"/>
        </w:rPr>
        <w:t>technologies </w:t>
      </w:r>
      <w:r>
        <w:rPr>
          <w:spacing w:val="10"/>
          <w:sz w:val="22"/>
        </w:rPr>
        <w:t>an </w:t>
      </w:r>
      <w:r>
        <w:rPr>
          <w:spacing w:val="11"/>
          <w:sz w:val="22"/>
        </w:rPr>
        <w:t>integral part </w:t>
      </w:r>
      <w:r>
        <w:rPr>
          <w:sz w:val="22"/>
        </w:rPr>
        <w:t>of your </w:t>
      </w:r>
      <w:r>
        <w:rPr>
          <w:spacing w:val="16"/>
          <w:sz w:val="22"/>
        </w:rPr>
        <w:t>educ</w:t>
      </w:r>
      <w:r>
        <w:rPr>
          <w:spacing w:val="-23"/>
          <w:sz w:val="22"/>
        </w:rPr>
        <w:t> </w:t>
      </w:r>
      <w:r>
        <w:rPr>
          <w:spacing w:val="11"/>
          <w:sz w:val="22"/>
        </w:rPr>
        <w:t>ational</w:t>
      </w:r>
    </w:p>
    <w:p>
      <w:pPr>
        <w:spacing w:line="295" w:lineRule="auto" w:before="0"/>
        <w:ind w:left="440" w:right="642" w:firstLine="10"/>
        <w:jc w:val="left"/>
        <w:rPr>
          <w:sz w:val="22"/>
        </w:rPr>
      </w:pPr>
      <w:r>
        <w:rPr>
          <w:spacing w:val="11"/>
          <w:sz w:val="22"/>
        </w:rPr>
        <w:t>experienc</w:t>
      </w:r>
      <w:r>
        <w:rPr>
          <w:spacing w:val="-34"/>
          <w:sz w:val="22"/>
        </w:rPr>
        <w:t> </w:t>
      </w:r>
      <w:r>
        <w:rPr>
          <w:sz w:val="22"/>
        </w:rPr>
        <w:t>e.</w:t>
      </w:r>
      <w:r>
        <w:rPr>
          <w:spacing w:val="-15"/>
          <w:sz w:val="22"/>
        </w:rPr>
        <w:t> </w:t>
      </w:r>
      <w:r>
        <w:rPr>
          <w:sz w:val="22"/>
        </w:rPr>
        <w:t>The </w:t>
      </w:r>
      <w:r>
        <w:rPr>
          <w:spacing w:val="12"/>
          <w:sz w:val="22"/>
        </w:rPr>
        <w:t>summer</w:t>
      </w:r>
      <w:r>
        <w:rPr>
          <w:spacing w:val="6"/>
          <w:sz w:val="22"/>
        </w:rPr>
        <w:t> </w:t>
      </w:r>
      <w:r>
        <w:rPr>
          <w:spacing w:val="10"/>
          <w:sz w:val="22"/>
        </w:rPr>
        <w:t>after</w:t>
      </w:r>
      <w:r>
        <w:rPr>
          <w:sz w:val="22"/>
        </w:rPr>
        <w:t> third </w:t>
      </w:r>
      <w:r>
        <w:rPr>
          <w:spacing w:val="12"/>
          <w:sz w:val="22"/>
        </w:rPr>
        <w:t>year</w:t>
      </w:r>
      <w:r>
        <w:rPr>
          <w:spacing w:val="6"/>
          <w:sz w:val="22"/>
        </w:rPr>
        <w:t> </w:t>
      </w:r>
      <w:r>
        <w:rPr>
          <w:sz w:val="22"/>
        </w:rPr>
        <w:t>c</w:t>
      </w:r>
      <w:r>
        <w:rPr>
          <w:spacing w:val="-33"/>
          <w:sz w:val="22"/>
        </w:rPr>
        <w:t> </w:t>
      </w:r>
      <w:r>
        <w:rPr>
          <w:spacing w:val="9"/>
          <w:sz w:val="22"/>
        </w:rPr>
        <w:t>ontains</w:t>
      </w:r>
      <w:r>
        <w:rPr>
          <w:sz w:val="22"/>
        </w:rPr>
        <w:t> </w:t>
      </w:r>
      <w:r>
        <w:rPr>
          <w:spacing w:val="9"/>
          <w:sz w:val="22"/>
        </w:rPr>
        <w:t>the</w:t>
      </w:r>
      <w:r>
        <w:rPr>
          <w:spacing w:val="3"/>
          <w:sz w:val="22"/>
        </w:rPr>
        <w:t> </w:t>
      </w:r>
      <w:r>
        <w:rPr>
          <w:spacing w:val="11"/>
          <w:sz w:val="22"/>
        </w:rPr>
        <w:t>required</w:t>
      </w:r>
      <w:r>
        <w:rPr>
          <w:spacing w:val="4"/>
          <w:sz w:val="22"/>
        </w:rPr>
        <w:t> </w:t>
      </w:r>
      <w:r>
        <w:rPr>
          <w:spacing w:val="11"/>
          <w:sz w:val="22"/>
        </w:rPr>
        <w:t>international</w:t>
      </w:r>
      <w:r>
        <w:rPr>
          <w:sz w:val="22"/>
        </w:rPr>
        <w:t> urb</w:t>
      </w:r>
      <w:r>
        <w:rPr>
          <w:spacing w:val="-33"/>
          <w:sz w:val="22"/>
        </w:rPr>
        <w:t> </w:t>
      </w:r>
      <w:r>
        <w:rPr>
          <w:spacing w:val="10"/>
          <w:sz w:val="22"/>
        </w:rPr>
        <w:t>an</w:t>
      </w:r>
      <w:r>
        <w:rPr>
          <w:spacing w:val="4"/>
          <w:sz w:val="22"/>
        </w:rPr>
        <w:t> </w:t>
      </w:r>
      <w:r>
        <w:rPr>
          <w:spacing w:val="10"/>
          <w:sz w:val="22"/>
        </w:rPr>
        <w:t>travel studio </w:t>
      </w:r>
      <w:r>
        <w:rPr>
          <w:spacing w:val="12"/>
          <w:sz w:val="22"/>
        </w:rPr>
        <w:t>and </w:t>
      </w:r>
      <w:r>
        <w:rPr>
          <w:spacing w:val="11"/>
          <w:sz w:val="22"/>
        </w:rPr>
        <w:t>international</w:t>
      </w:r>
      <w:r>
        <w:rPr>
          <w:spacing w:val="7"/>
          <w:sz w:val="22"/>
        </w:rPr>
        <w:t> </w:t>
      </w:r>
      <w:r>
        <w:rPr>
          <w:sz w:val="22"/>
        </w:rPr>
        <w:t>urb</w:t>
      </w:r>
      <w:r>
        <w:rPr>
          <w:spacing w:val="-32"/>
          <w:sz w:val="22"/>
        </w:rPr>
        <w:t> </w:t>
      </w:r>
      <w:r>
        <w:rPr>
          <w:spacing w:val="10"/>
          <w:sz w:val="22"/>
        </w:rPr>
        <w:t>an design</w:t>
      </w:r>
      <w:r>
        <w:rPr>
          <w:spacing w:val="6"/>
          <w:sz w:val="22"/>
        </w:rPr>
        <w:t> </w:t>
      </w:r>
      <w:r>
        <w:rPr>
          <w:spacing w:val="10"/>
          <w:sz w:val="22"/>
        </w:rPr>
        <w:t>studio.</w:t>
      </w:r>
      <w:r>
        <w:rPr>
          <w:spacing w:val="-1"/>
          <w:sz w:val="22"/>
        </w:rPr>
        <w:t> </w:t>
      </w:r>
      <w:r>
        <w:rPr>
          <w:spacing w:val="10"/>
          <w:sz w:val="22"/>
        </w:rPr>
        <w:t>Duration </w:t>
      </w:r>
      <w:r>
        <w:rPr>
          <w:sz w:val="22"/>
        </w:rPr>
        <w:t>of </w:t>
      </w:r>
      <w:r>
        <w:rPr>
          <w:spacing w:val="10"/>
          <w:sz w:val="22"/>
        </w:rPr>
        <w:t>travel </w:t>
      </w:r>
      <w:r>
        <w:rPr>
          <w:sz w:val="22"/>
        </w:rPr>
        <w:t>will </w:t>
      </w:r>
      <w:r>
        <w:rPr>
          <w:spacing w:val="9"/>
          <w:sz w:val="22"/>
        </w:rPr>
        <w:t>vary </w:t>
      </w:r>
      <w:r>
        <w:rPr>
          <w:spacing w:val="13"/>
          <w:sz w:val="22"/>
        </w:rPr>
        <w:t>and </w:t>
      </w:r>
      <w:r>
        <w:rPr>
          <w:spacing w:val="10"/>
          <w:sz w:val="22"/>
        </w:rPr>
        <w:t>you </w:t>
      </w:r>
      <w:r>
        <w:rPr>
          <w:sz w:val="22"/>
        </w:rPr>
        <w:t>will </w:t>
      </w:r>
      <w:r>
        <w:rPr>
          <w:spacing w:val="11"/>
          <w:sz w:val="22"/>
        </w:rPr>
        <w:t>be </w:t>
      </w:r>
      <w:r>
        <w:rPr>
          <w:spacing w:val="16"/>
          <w:sz w:val="22"/>
        </w:rPr>
        <w:t>expected </w:t>
      </w:r>
      <w:r>
        <w:rPr>
          <w:sz w:val="22"/>
        </w:rPr>
        <w:t>to</w:t>
      </w:r>
      <w:r>
        <w:rPr>
          <w:spacing w:val="15"/>
          <w:sz w:val="22"/>
        </w:rPr>
        <w:t> bear </w:t>
      </w:r>
      <w:r>
        <w:rPr>
          <w:sz w:val="22"/>
        </w:rPr>
        <w:t>your </w:t>
      </w:r>
      <w:r>
        <w:rPr>
          <w:spacing w:val="12"/>
          <w:sz w:val="22"/>
        </w:rPr>
        <w:t>own </w:t>
      </w:r>
      <w:r>
        <w:rPr>
          <w:spacing w:val="10"/>
          <w:sz w:val="22"/>
        </w:rPr>
        <w:t>expenses </w:t>
      </w:r>
      <w:r>
        <w:rPr>
          <w:sz w:val="22"/>
        </w:rPr>
        <w:t>for the</w:t>
      </w:r>
      <w:r>
        <w:rPr>
          <w:spacing w:val="28"/>
          <w:sz w:val="22"/>
        </w:rPr>
        <w:t> </w:t>
      </w:r>
      <w:r>
        <w:rPr>
          <w:sz w:val="22"/>
        </w:rPr>
        <w:t>trip. </w:t>
      </w:r>
      <w:r>
        <w:rPr>
          <w:spacing w:val="11"/>
          <w:sz w:val="22"/>
        </w:rPr>
        <w:t>Students </w:t>
      </w:r>
      <w:r>
        <w:rPr>
          <w:spacing w:val="10"/>
          <w:sz w:val="22"/>
        </w:rPr>
        <w:t>who</w:t>
      </w:r>
      <w:r>
        <w:rPr>
          <w:spacing w:val="39"/>
          <w:sz w:val="22"/>
        </w:rPr>
        <w:t> </w:t>
      </w:r>
      <w:r>
        <w:rPr>
          <w:spacing w:val="10"/>
          <w:sz w:val="22"/>
        </w:rPr>
        <w:t>believe </w:t>
      </w:r>
      <w:r>
        <w:rPr>
          <w:spacing w:val="13"/>
          <w:sz w:val="22"/>
        </w:rPr>
        <w:t>that </w:t>
      </w:r>
      <w:r>
        <w:rPr>
          <w:spacing w:val="10"/>
          <w:sz w:val="22"/>
        </w:rPr>
        <w:t>they </w:t>
      </w:r>
      <w:r>
        <w:rPr>
          <w:sz w:val="22"/>
        </w:rPr>
        <w:t>are</w:t>
      </w:r>
    </w:p>
    <w:p>
      <w:pPr>
        <w:spacing w:line="251" w:lineRule="exact" w:before="0"/>
        <w:ind w:left="446" w:right="0" w:firstLine="0"/>
        <w:jc w:val="left"/>
        <w:rPr>
          <w:sz w:val="22"/>
        </w:rPr>
      </w:pPr>
      <w:r>
        <w:rPr>
          <w:spacing w:val="11"/>
          <w:sz w:val="22"/>
        </w:rPr>
        <w:t>unable</w:t>
      </w:r>
      <w:r>
        <w:rPr>
          <w:spacing w:val="4"/>
          <w:sz w:val="22"/>
        </w:rPr>
        <w:t> </w:t>
      </w:r>
      <w:r>
        <w:rPr>
          <w:sz w:val="22"/>
        </w:rPr>
        <w:t>to</w:t>
      </w:r>
      <w:r>
        <w:rPr>
          <w:spacing w:val="16"/>
          <w:sz w:val="22"/>
        </w:rPr>
        <w:t> </w:t>
      </w:r>
      <w:r>
        <w:rPr>
          <w:sz w:val="22"/>
        </w:rPr>
        <w:t>p</w:t>
      </w:r>
      <w:r>
        <w:rPr>
          <w:spacing w:val="-33"/>
          <w:sz w:val="22"/>
        </w:rPr>
        <w:t> </w:t>
      </w:r>
      <w:r>
        <w:rPr>
          <w:spacing w:val="9"/>
          <w:sz w:val="22"/>
        </w:rPr>
        <w:t>articip</w:t>
      </w:r>
      <w:r>
        <w:rPr>
          <w:spacing w:val="-33"/>
          <w:sz w:val="22"/>
        </w:rPr>
        <w:t> </w:t>
      </w:r>
      <w:r>
        <w:rPr>
          <w:spacing w:val="11"/>
          <w:sz w:val="22"/>
        </w:rPr>
        <w:t>ate</w:t>
      </w:r>
      <w:r>
        <w:rPr>
          <w:spacing w:val="3"/>
          <w:sz w:val="22"/>
        </w:rPr>
        <w:t> </w:t>
      </w:r>
      <w:r>
        <w:rPr>
          <w:sz w:val="22"/>
        </w:rPr>
        <w:t>in</w:t>
      </w:r>
      <w:r>
        <w:rPr>
          <w:spacing w:val="5"/>
          <w:sz w:val="22"/>
        </w:rPr>
        <w:t> </w:t>
      </w:r>
      <w:r>
        <w:rPr>
          <w:spacing w:val="9"/>
          <w:sz w:val="22"/>
        </w:rPr>
        <w:t>the</w:t>
      </w:r>
      <w:r>
        <w:rPr>
          <w:spacing w:val="10"/>
          <w:sz w:val="22"/>
        </w:rPr>
        <w:t> travel</w:t>
      </w:r>
      <w:r>
        <w:rPr>
          <w:spacing w:val="-5"/>
          <w:sz w:val="22"/>
        </w:rPr>
        <w:t> </w:t>
      </w:r>
      <w:r>
        <w:rPr>
          <w:spacing w:val="10"/>
          <w:sz w:val="22"/>
        </w:rPr>
        <w:t>studio</w:t>
      </w:r>
      <w:r>
        <w:rPr>
          <w:spacing w:val="13"/>
          <w:sz w:val="22"/>
        </w:rPr>
        <w:t> </w:t>
      </w:r>
      <w:r>
        <w:rPr>
          <w:sz w:val="22"/>
        </w:rPr>
        <w:t>must</w:t>
      </w:r>
      <w:r>
        <w:rPr>
          <w:spacing w:val="9"/>
          <w:sz w:val="22"/>
        </w:rPr>
        <w:t> </w:t>
      </w:r>
      <w:r>
        <w:rPr>
          <w:spacing w:val="12"/>
          <w:sz w:val="22"/>
        </w:rPr>
        <w:t>make</w:t>
      </w:r>
      <w:r>
        <w:rPr>
          <w:spacing w:val="16"/>
          <w:sz w:val="22"/>
        </w:rPr>
        <w:t> </w:t>
      </w:r>
      <w:r>
        <w:rPr>
          <w:sz w:val="22"/>
        </w:rPr>
        <w:t>a</w:t>
      </w:r>
      <w:r>
        <w:rPr>
          <w:spacing w:val="18"/>
          <w:sz w:val="22"/>
        </w:rPr>
        <w:t> </w:t>
      </w:r>
      <w:r>
        <w:rPr>
          <w:spacing w:val="9"/>
          <w:sz w:val="22"/>
        </w:rPr>
        <w:t>written</w:t>
      </w:r>
      <w:r>
        <w:rPr>
          <w:spacing w:val="11"/>
          <w:sz w:val="22"/>
        </w:rPr>
        <w:t> claim</w:t>
      </w:r>
      <w:r>
        <w:rPr>
          <w:spacing w:val="14"/>
          <w:sz w:val="22"/>
        </w:rPr>
        <w:t> </w:t>
      </w:r>
      <w:r>
        <w:rPr>
          <w:spacing w:val="11"/>
          <w:sz w:val="22"/>
        </w:rPr>
        <w:t>describing</w:t>
      </w:r>
      <w:r>
        <w:rPr>
          <w:spacing w:val="12"/>
          <w:sz w:val="22"/>
        </w:rPr>
        <w:t> </w:t>
      </w:r>
      <w:r>
        <w:rPr>
          <w:spacing w:val="4"/>
          <w:sz w:val="22"/>
        </w:rPr>
        <w:t>the</w:t>
      </w:r>
    </w:p>
    <w:p>
      <w:pPr>
        <w:spacing w:line="292" w:lineRule="auto" w:before="53"/>
        <w:ind w:left="440" w:right="642" w:firstLine="14"/>
        <w:jc w:val="left"/>
        <w:rPr>
          <w:sz w:val="22"/>
        </w:rPr>
      </w:pPr>
      <w:r>
        <w:rPr>
          <w:w w:val="95"/>
          <w:sz w:val="22"/>
        </w:rPr>
        <w:t>p</w:t>
      </w:r>
      <w:r>
        <w:rPr>
          <w:spacing w:val="-22"/>
          <w:w w:val="95"/>
          <w:sz w:val="22"/>
        </w:rPr>
        <w:t> </w:t>
      </w:r>
      <w:r>
        <w:rPr>
          <w:spacing w:val="10"/>
          <w:w w:val="95"/>
          <w:sz w:val="22"/>
        </w:rPr>
        <w:t>articular hardship</w:t>
      </w:r>
      <w:r>
        <w:rPr>
          <w:spacing w:val="40"/>
          <w:sz w:val="22"/>
        </w:rPr>
        <w:t> </w:t>
      </w:r>
      <w:r>
        <w:rPr>
          <w:spacing w:val="11"/>
          <w:w w:val="95"/>
          <w:sz w:val="22"/>
        </w:rPr>
        <w:t>through </w:t>
      </w:r>
      <w:r>
        <w:rPr>
          <w:spacing w:val="9"/>
          <w:w w:val="95"/>
          <w:sz w:val="22"/>
        </w:rPr>
        <w:t>the</w:t>
      </w:r>
      <w:r>
        <w:rPr>
          <w:spacing w:val="40"/>
          <w:sz w:val="22"/>
        </w:rPr>
        <w:t> </w:t>
      </w:r>
      <w:r>
        <w:rPr>
          <w:spacing w:val="10"/>
          <w:w w:val="95"/>
          <w:sz w:val="22"/>
        </w:rPr>
        <w:t>Chair’s </w:t>
      </w:r>
      <w:r>
        <w:rPr>
          <w:w w:val="95"/>
          <w:sz w:val="22"/>
        </w:rPr>
        <w:t>offic</w:t>
      </w:r>
      <w:r>
        <w:rPr>
          <w:spacing w:val="-23"/>
          <w:w w:val="95"/>
          <w:sz w:val="22"/>
        </w:rPr>
        <w:t> </w:t>
      </w:r>
      <w:r>
        <w:rPr>
          <w:w w:val="95"/>
          <w:sz w:val="22"/>
        </w:rPr>
        <w:t>e. </w:t>
      </w:r>
      <w:r>
        <w:rPr>
          <w:w w:val="95"/>
          <w:sz w:val="22"/>
          <w:u w:val="single"/>
        </w:rPr>
        <w:t>IMPORTANT:</w:t>
      </w:r>
      <w:r>
        <w:rPr>
          <w:w w:val="95"/>
          <w:sz w:val="22"/>
        </w:rPr>
        <w:t> </w:t>
      </w:r>
      <w:r>
        <w:rPr>
          <w:spacing w:val="12"/>
          <w:w w:val="95"/>
          <w:sz w:val="22"/>
        </w:rPr>
        <w:t>students </w:t>
      </w:r>
      <w:r>
        <w:rPr>
          <w:w w:val="95"/>
          <w:sz w:val="22"/>
        </w:rPr>
        <w:t>must</w:t>
      </w:r>
      <w:r>
        <w:rPr>
          <w:spacing w:val="40"/>
          <w:sz w:val="22"/>
        </w:rPr>
        <w:t> </w:t>
      </w:r>
      <w:r>
        <w:rPr>
          <w:w w:val="95"/>
          <w:sz w:val="22"/>
        </w:rPr>
        <w:t>c</w:t>
      </w:r>
      <w:r>
        <w:rPr>
          <w:spacing w:val="-22"/>
          <w:w w:val="95"/>
          <w:sz w:val="22"/>
        </w:rPr>
        <w:t> </w:t>
      </w:r>
      <w:r>
        <w:rPr>
          <w:spacing w:val="14"/>
          <w:w w:val="95"/>
          <w:sz w:val="22"/>
        </w:rPr>
        <w:t>omplete</w:t>
      </w:r>
      <w:r>
        <w:rPr>
          <w:spacing w:val="40"/>
          <w:sz w:val="22"/>
        </w:rPr>
        <w:t> </w:t>
      </w:r>
      <w:r>
        <w:rPr>
          <w:w w:val="95"/>
          <w:sz w:val="22"/>
        </w:rPr>
        <w:t>all </w:t>
      </w:r>
      <w:r>
        <w:rPr>
          <w:spacing w:val="10"/>
          <w:sz w:val="22"/>
        </w:rPr>
        <w:t>studios </w:t>
      </w:r>
      <w:r>
        <w:rPr>
          <w:spacing w:val="13"/>
          <w:sz w:val="22"/>
        </w:rPr>
        <w:t>and related </w:t>
      </w:r>
      <w:r>
        <w:rPr>
          <w:sz w:val="22"/>
        </w:rPr>
        <w:t>pre-requisites </w:t>
      </w:r>
      <w:r>
        <w:rPr>
          <w:spacing w:val="11"/>
          <w:sz w:val="22"/>
        </w:rPr>
        <w:t>before being </w:t>
      </w:r>
      <w:r>
        <w:rPr>
          <w:sz w:val="22"/>
        </w:rPr>
        <w:t>a</w:t>
      </w:r>
      <w:r>
        <w:rPr>
          <w:spacing w:val="-29"/>
          <w:sz w:val="22"/>
        </w:rPr>
        <w:t> </w:t>
      </w:r>
      <w:r>
        <w:rPr>
          <w:spacing w:val="12"/>
          <w:sz w:val="22"/>
        </w:rPr>
        <w:t>dmitted </w:t>
      </w:r>
      <w:r>
        <w:rPr>
          <w:sz w:val="22"/>
        </w:rPr>
        <w:t>to </w:t>
      </w:r>
      <w:r>
        <w:rPr>
          <w:spacing w:val="9"/>
          <w:sz w:val="22"/>
        </w:rPr>
        <w:t>the </w:t>
      </w:r>
      <w:r>
        <w:rPr>
          <w:spacing w:val="10"/>
          <w:sz w:val="22"/>
        </w:rPr>
        <w:t>fourth-</w:t>
      </w:r>
      <w:r>
        <w:rPr>
          <w:spacing w:val="12"/>
          <w:sz w:val="22"/>
        </w:rPr>
        <w:t>year </w:t>
      </w:r>
      <w:r>
        <w:rPr>
          <w:spacing w:val="10"/>
          <w:sz w:val="22"/>
        </w:rPr>
        <w:t>design</w:t>
      </w:r>
    </w:p>
    <w:p>
      <w:pPr>
        <w:spacing w:before="4"/>
        <w:ind w:left="440" w:right="0" w:firstLine="0"/>
        <w:jc w:val="left"/>
        <w:rPr>
          <w:sz w:val="22"/>
        </w:rPr>
      </w:pPr>
      <w:r>
        <w:rPr>
          <w:spacing w:val="8"/>
          <w:sz w:val="22"/>
        </w:rPr>
        <w:t>studio.</w:t>
      </w:r>
    </w:p>
    <w:p>
      <w:pPr>
        <w:pStyle w:val="BodyText"/>
        <w:spacing w:before="10"/>
        <w:rPr>
          <w:sz w:val="31"/>
        </w:rPr>
      </w:pPr>
    </w:p>
    <w:p>
      <w:pPr>
        <w:spacing w:line="292" w:lineRule="auto" w:before="0"/>
        <w:ind w:left="443" w:right="712" w:hanging="4"/>
        <w:jc w:val="left"/>
        <w:rPr>
          <w:sz w:val="22"/>
        </w:rPr>
      </w:pPr>
      <w:r>
        <w:rPr>
          <w:w w:val="95"/>
          <w:sz w:val="22"/>
        </w:rPr>
        <w:t>YEAR FOUR:</w:t>
      </w:r>
      <w:r>
        <w:rPr>
          <w:spacing w:val="40"/>
          <w:sz w:val="22"/>
        </w:rPr>
        <w:t> </w:t>
      </w:r>
      <w:r>
        <w:rPr>
          <w:w w:val="95"/>
          <w:sz w:val="22"/>
        </w:rPr>
        <w:t>Fourth </w:t>
      </w:r>
      <w:r>
        <w:rPr>
          <w:spacing w:val="12"/>
          <w:w w:val="95"/>
          <w:sz w:val="22"/>
        </w:rPr>
        <w:t>year</w:t>
      </w:r>
      <w:r>
        <w:rPr>
          <w:spacing w:val="8"/>
          <w:w w:val="95"/>
          <w:sz w:val="22"/>
        </w:rPr>
        <w:t> </w:t>
      </w:r>
      <w:r>
        <w:rPr>
          <w:spacing w:val="10"/>
          <w:w w:val="95"/>
          <w:sz w:val="22"/>
        </w:rPr>
        <w:t>studio </w:t>
      </w:r>
      <w:r>
        <w:rPr>
          <w:w w:val="95"/>
          <w:sz w:val="22"/>
        </w:rPr>
        <w:t>is</w:t>
      </w:r>
      <w:r>
        <w:rPr>
          <w:sz w:val="22"/>
        </w:rPr>
        <w:t> </w:t>
      </w:r>
      <w:r>
        <w:rPr>
          <w:w w:val="95"/>
          <w:sz w:val="22"/>
        </w:rPr>
        <w:t>also </w:t>
      </w:r>
      <w:r>
        <w:rPr>
          <w:spacing w:val="11"/>
          <w:w w:val="95"/>
          <w:sz w:val="22"/>
        </w:rPr>
        <w:t>known </w:t>
      </w:r>
      <w:r>
        <w:rPr>
          <w:w w:val="95"/>
          <w:sz w:val="22"/>
        </w:rPr>
        <w:t>as </w:t>
      </w:r>
      <w:r>
        <w:rPr>
          <w:spacing w:val="9"/>
          <w:w w:val="95"/>
          <w:sz w:val="22"/>
        </w:rPr>
        <w:t>the</w:t>
      </w:r>
      <w:r>
        <w:rPr>
          <w:spacing w:val="34"/>
          <w:sz w:val="22"/>
        </w:rPr>
        <w:t> </w:t>
      </w:r>
      <w:r>
        <w:rPr>
          <w:w w:val="95"/>
          <w:sz w:val="22"/>
        </w:rPr>
        <w:t>c</w:t>
      </w:r>
      <w:r>
        <w:rPr>
          <w:spacing w:val="-27"/>
          <w:w w:val="95"/>
          <w:sz w:val="22"/>
        </w:rPr>
        <w:t> </w:t>
      </w:r>
      <w:r>
        <w:rPr>
          <w:spacing w:val="11"/>
          <w:w w:val="95"/>
          <w:sz w:val="22"/>
        </w:rPr>
        <w:t>omprehensive </w:t>
      </w:r>
      <w:r>
        <w:rPr>
          <w:spacing w:val="10"/>
          <w:w w:val="95"/>
          <w:sz w:val="22"/>
        </w:rPr>
        <w:t>design studio.</w:t>
      </w:r>
      <w:r>
        <w:rPr>
          <w:spacing w:val="6"/>
          <w:w w:val="95"/>
          <w:sz w:val="22"/>
        </w:rPr>
        <w:t> </w:t>
      </w:r>
      <w:r>
        <w:rPr>
          <w:w w:val="95"/>
          <w:sz w:val="22"/>
        </w:rPr>
        <w:t>This </w:t>
      </w:r>
      <w:r>
        <w:rPr>
          <w:spacing w:val="12"/>
          <w:sz w:val="22"/>
        </w:rPr>
        <w:t>year </w:t>
      </w:r>
      <w:r>
        <w:rPr>
          <w:sz w:val="22"/>
        </w:rPr>
        <w:t>is</w:t>
      </w:r>
      <w:r>
        <w:rPr>
          <w:spacing w:val="14"/>
          <w:sz w:val="22"/>
        </w:rPr>
        <w:t> directed </w:t>
      </w:r>
      <w:r>
        <w:rPr>
          <w:spacing w:val="10"/>
          <w:sz w:val="22"/>
        </w:rPr>
        <w:t>at </w:t>
      </w:r>
      <w:r>
        <w:rPr>
          <w:sz w:val="22"/>
        </w:rPr>
        <w:t>synthesizing</w:t>
      </w:r>
      <w:r>
        <w:rPr>
          <w:spacing w:val="40"/>
          <w:sz w:val="22"/>
        </w:rPr>
        <w:t> </w:t>
      </w:r>
      <w:r>
        <w:rPr>
          <w:sz w:val="22"/>
        </w:rPr>
        <w:t>all</w:t>
      </w:r>
      <w:r>
        <w:rPr>
          <w:spacing w:val="33"/>
          <w:sz w:val="22"/>
        </w:rPr>
        <w:t> </w:t>
      </w:r>
      <w:r>
        <w:rPr>
          <w:sz w:val="22"/>
        </w:rPr>
        <w:t>prior </w:t>
      </w:r>
      <w:r>
        <w:rPr>
          <w:spacing w:val="15"/>
          <w:sz w:val="22"/>
        </w:rPr>
        <w:t>knowledge </w:t>
      </w:r>
      <w:r>
        <w:rPr>
          <w:sz w:val="22"/>
        </w:rPr>
        <w:t>into</w:t>
      </w:r>
      <w:r>
        <w:rPr>
          <w:spacing w:val="10"/>
          <w:sz w:val="22"/>
        </w:rPr>
        <w:t> one</w:t>
      </w:r>
      <w:r>
        <w:rPr>
          <w:spacing w:val="40"/>
          <w:sz w:val="22"/>
        </w:rPr>
        <w:t> </w:t>
      </w:r>
      <w:r>
        <w:rPr>
          <w:sz w:val="22"/>
        </w:rPr>
        <w:t>c</w:t>
      </w:r>
      <w:r>
        <w:rPr>
          <w:spacing w:val="-26"/>
          <w:sz w:val="22"/>
        </w:rPr>
        <w:t> </w:t>
      </w:r>
      <w:r>
        <w:rPr>
          <w:spacing w:val="11"/>
          <w:sz w:val="22"/>
        </w:rPr>
        <w:t>omprehensive </w:t>
      </w:r>
      <w:r>
        <w:rPr>
          <w:sz w:val="22"/>
        </w:rPr>
        <w:t>building</w:t>
      </w:r>
    </w:p>
    <w:p>
      <w:pPr>
        <w:spacing w:before="4"/>
        <w:ind w:left="454" w:right="0" w:firstLine="0"/>
        <w:jc w:val="left"/>
        <w:rPr>
          <w:sz w:val="22"/>
        </w:rPr>
      </w:pPr>
      <w:r>
        <w:rPr>
          <w:spacing w:val="10"/>
          <w:w w:val="95"/>
          <w:sz w:val="22"/>
        </w:rPr>
        <w:t>design</w:t>
      </w:r>
      <w:r>
        <w:rPr>
          <w:spacing w:val="13"/>
          <w:sz w:val="22"/>
        </w:rPr>
        <w:t> </w:t>
      </w:r>
      <w:r>
        <w:rPr>
          <w:spacing w:val="13"/>
          <w:w w:val="95"/>
          <w:sz w:val="22"/>
        </w:rPr>
        <w:t>that</w:t>
      </w:r>
      <w:r>
        <w:rPr>
          <w:spacing w:val="20"/>
          <w:sz w:val="22"/>
        </w:rPr>
        <w:t> </w:t>
      </w:r>
      <w:r>
        <w:rPr>
          <w:spacing w:val="14"/>
          <w:w w:val="95"/>
          <w:sz w:val="22"/>
        </w:rPr>
        <w:t>may</w:t>
      </w:r>
      <w:r>
        <w:rPr>
          <w:spacing w:val="7"/>
          <w:w w:val="95"/>
          <w:sz w:val="22"/>
        </w:rPr>
        <w:t> </w:t>
      </w:r>
      <w:r>
        <w:rPr>
          <w:spacing w:val="15"/>
          <w:w w:val="95"/>
          <w:sz w:val="22"/>
        </w:rPr>
        <w:t>span</w:t>
      </w:r>
      <w:r>
        <w:rPr>
          <w:spacing w:val="14"/>
          <w:sz w:val="22"/>
        </w:rPr>
        <w:t> </w:t>
      </w:r>
      <w:r>
        <w:rPr>
          <w:spacing w:val="13"/>
          <w:w w:val="95"/>
          <w:sz w:val="22"/>
        </w:rPr>
        <w:t>two</w:t>
      </w:r>
      <w:r>
        <w:rPr>
          <w:spacing w:val="12"/>
          <w:sz w:val="22"/>
        </w:rPr>
        <w:t> </w:t>
      </w:r>
      <w:r>
        <w:rPr>
          <w:spacing w:val="9"/>
          <w:w w:val="95"/>
          <w:sz w:val="22"/>
        </w:rPr>
        <w:t>semesters.</w:t>
      </w:r>
      <w:r>
        <w:rPr>
          <w:spacing w:val="2"/>
          <w:w w:val="95"/>
          <w:sz w:val="22"/>
        </w:rPr>
        <w:t> </w:t>
      </w:r>
      <w:r>
        <w:rPr>
          <w:w w:val="95"/>
          <w:sz w:val="22"/>
        </w:rPr>
        <w:t>This</w:t>
      </w:r>
      <w:r>
        <w:rPr>
          <w:spacing w:val="5"/>
          <w:w w:val="95"/>
          <w:sz w:val="22"/>
        </w:rPr>
        <w:t> </w:t>
      </w:r>
      <w:r>
        <w:rPr>
          <w:spacing w:val="12"/>
          <w:w w:val="95"/>
          <w:sz w:val="22"/>
        </w:rPr>
        <w:t>includes</w:t>
      </w:r>
      <w:r>
        <w:rPr>
          <w:spacing w:val="16"/>
          <w:sz w:val="22"/>
        </w:rPr>
        <w:t> </w:t>
      </w:r>
      <w:r>
        <w:rPr>
          <w:spacing w:val="14"/>
          <w:w w:val="95"/>
          <w:sz w:val="22"/>
        </w:rPr>
        <w:t>aspects</w:t>
      </w:r>
      <w:r>
        <w:rPr>
          <w:spacing w:val="13"/>
          <w:sz w:val="22"/>
        </w:rPr>
        <w:t> </w:t>
      </w:r>
      <w:r>
        <w:rPr>
          <w:w w:val="95"/>
          <w:sz w:val="22"/>
        </w:rPr>
        <w:t>of</w:t>
      </w:r>
      <w:r>
        <w:rPr>
          <w:spacing w:val="6"/>
          <w:sz w:val="22"/>
        </w:rPr>
        <w:t> </w:t>
      </w:r>
      <w:r>
        <w:rPr>
          <w:w w:val="95"/>
          <w:sz w:val="22"/>
        </w:rPr>
        <w:t>site</w:t>
      </w:r>
      <w:r>
        <w:rPr>
          <w:spacing w:val="24"/>
          <w:sz w:val="22"/>
        </w:rPr>
        <w:t> </w:t>
      </w:r>
      <w:r>
        <w:rPr>
          <w:spacing w:val="9"/>
          <w:w w:val="95"/>
          <w:sz w:val="22"/>
        </w:rPr>
        <w:t>planning,</w:t>
      </w:r>
    </w:p>
    <w:p>
      <w:pPr>
        <w:spacing w:line="292" w:lineRule="auto" w:before="57"/>
        <w:ind w:left="443" w:right="642" w:firstLine="9"/>
        <w:jc w:val="left"/>
        <w:rPr>
          <w:sz w:val="22"/>
        </w:rPr>
      </w:pPr>
      <w:r>
        <w:rPr>
          <w:spacing w:val="13"/>
          <w:sz w:val="22"/>
        </w:rPr>
        <w:t>programming,</w:t>
      </w:r>
      <w:r>
        <w:rPr>
          <w:spacing w:val="10"/>
          <w:sz w:val="22"/>
        </w:rPr>
        <w:t> </w:t>
      </w:r>
      <w:r>
        <w:rPr>
          <w:spacing w:val="13"/>
          <w:sz w:val="22"/>
        </w:rPr>
        <w:t>and </w:t>
      </w:r>
      <w:r>
        <w:rPr>
          <w:spacing w:val="9"/>
          <w:sz w:val="22"/>
        </w:rPr>
        <w:t>building design.</w:t>
      </w:r>
      <w:r>
        <w:rPr>
          <w:spacing w:val="40"/>
          <w:sz w:val="22"/>
        </w:rPr>
        <w:t> </w:t>
      </w:r>
      <w:r>
        <w:rPr>
          <w:sz w:val="22"/>
        </w:rPr>
        <w:t>In a</w:t>
      </w:r>
      <w:r>
        <w:rPr>
          <w:spacing w:val="-33"/>
          <w:sz w:val="22"/>
        </w:rPr>
        <w:t> </w:t>
      </w:r>
      <w:r>
        <w:rPr>
          <w:spacing w:val="10"/>
          <w:sz w:val="22"/>
        </w:rPr>
        <w:t>ddition,</w:t>
      </w:r>
      <w:r>
        <w:rPr>
          <w:sz w:val="22"/>
        </w:rPr>
        <w:t> </w:t>
      </w:r>
      <w:r>
        <w:rPr>
          <w:spacing w:val="10"/>
          <w:sz w:val="22"/>
        </w:rPr>
        <w:t>you </w:t>
      </w:r>
      <w:r>
        <w:rPr>
          <w:sz w:val="22"/>
        </w:rPr>
        <w:t>will </w:t>
      </w:r>
      <w:r>
        <w:rPr>
          <w:spacing w:val="12"/>
          <w:sz w:val="22"/>
        </w:rPr>
        <w:t>be</w:t>
      </w:r>
      <w:r>
        <w:rPr>
          <w:spacing w:val="8"/>
          <w:sz w:val="22"/>
        </w:rPr>
        <w:t> </w:t>
      </w:r>
      <w:r>
        <w:rPr>
          <w:spacing w:val="11"/>
          <w:sz w:val="22"/>
        </w:rPr>
        <w:t>required </w:t>
      </w:r>
      <w:r>
        <w:rPr>
          <w:sz w:val="22"/>
        </w:rPr>
        <w:t>to </w:t>
      </w:r>
      <w:r>
        <w:rPr>
          <w:spacing w:val="16"/>
          <w:sz w:val="22"/>
        </w:rPr>
        <w:t>open</w:t>
      </w:r>
      <w:r>
        <w:rPr>
          <w:spacing w:val="7"/>
          <w:sz w:val="22"/>
        </w:rPr>
        <w:t> </w:t>
      </w:r>
      <w:r>
        <w:rPr>
          <w:sz w:val="22"/>
        </w:rPr>
        <w:t>your file (register) with NCARB </w:t>
      </w:r>
      <w:r>
        <w:rPr>
          <w:spacing w:val="9"/>
          <w:sz w:val="22"/>
        </w:rPr>
        <w:t>to </w:t>
      </w:r>
      <w:r>
        <w:rPr>
          <w:spacing w:val="13"/>
          <w:sz w:val="22"/>
        </w:rPr>
        <w:t>begin </w:t>
      </w:r>
      <w:r>
        <w:rPr>
          <w:spacing w:val="9"/>
          <w:sz w:val="22"/>
        </w:rPr>
        <w:t>the </w:t>
      </w:r>
      <w:r>
        <w:rPr>
          <w:spacing w:val="12"/>
          <w:sz w:val="22"/>
        </w:rPr>
        <w:t>proc</w:t>
      </w:r>
      <w:r>
        <w:rPr>
          <w:spacing w:val="-28"/>
          <w:sz w:val="22"/>
        </w:rPr>
        <w:t> </w:t>
      </w:r>
      <w:r>
        <w:rPr>
          <w:sz w:val="22"/>
        </w:rPr>
        <w:t>ess of </w:t>
      </w:r>
      <w:r>
        <w:rPr>
          <w:spacing w:val="13"/>
          <w:sz w:val="22"/>
        </w:rPr>
        <w:t>logging </w:t>
      </w:r>
      <w:r>
        <w:rPr>
          <w:sz w:val="22"/>
        </w:rPr>
        <w:t>IDP (Intern </w:t>
      </w:r>
      <w:r>
        <w:rPr>
          <w:spacing w:val="14"/>
          <w:sz w:val="22"/>
        </w:rPr>
        <w:t>Development</w:t>
      </w:r>
    </w:p>
    <w:p>
      <w:pPr>
        <w:spacing w:line="295" w:lineRule="auto" w:before="2"/>
        <w:ind w:left="443" w:right="642" w:hanging="4"/>
        <w:jc w:val="left"/>
        <w:rPr>
          <w:sz w:val="22"/>
        </w:rPr>
      </w:pPr>
      <w:r>
        <w:rPr>
          <w:spacing w:val="12"/>
          <w:sz w:val="22"/>
        </w:rPr>
        <w:t>Program)</w:t>
      </w:r>
      <w:r>
        <w:rPr>
          <w:spacing w:val="8"/>
          <w:sz w:val="22"/>
        </w:rPr>
        <w:t> </w:t>
      </w:r>
      <w:r>
        <w:rPr>
          <w:spacing w:val="9"/>
          <w:sz w:val="22"/>
        </w:rPr>
        <w:t>credits.</w:t>
      </w:r>
      <w:r>
        <w:rPr>
          <w:spacing w:val="-7"/>
          <w:sz w:val="22"/>
        </w:rPr>
        <w:t> </w:t>
      </w:r>
      <w:r>
        <w:rPr>
          <w:sz w:val="22"/>
        </w:rPr>
        <w:t>You </w:t>
      </w:r>
      <w:r>
        <w:rPr>
          <w:spacing w:val="14"/>
          <w:sz w:val="22"/>
        </w:rPr>
        <w:t>may</w:t>
      </w:r>
      <w:r>
        <w:rPr>
          <w:spacing w:val="11"/>
          <w:sz w:val="22"/>
        </w:rPr>
        <w:t> </w:t>
      </w:r>
      <w:r>
        <w:rPr>
          <w:spacing w:val="12"/>
          <w:sz w:val="22"/>
        </w:rPr>
        <w:t>begin</w:t>
      </w:r>
      <w:r>
        <w:rPr>
          <w:spacing w:val="7"/>
          <w:sz w:val="22"/>
        </w:rPr>
        <w:t> </w:t>
      </w:r>
      <w:r>
        <w:rPr>
          <w:sz w:val="22"/>
        </w:rPr>
        <w:t>this </w:t>
      </w:r>
      <w:r>
        <w:rPr>
          <w:spacing w:val="12"/>
          <w:sz w:val="22"/>
        </w:rPr>
        <w:t>proc</w:t>
      </w:r>
      <w:r>
        <w:rPr>
          <w:spacing w:val="-34"/>
          <w:sz w:val="22"/>
        </w:rPr>
        <w:t> </w:t>
      </w:r>
      <w:r>
        <w:rPr>
          <w:sz w:val="22"/>
        </w:rPr>
        <w:t>ess earlier, </w:t>
      </w:r>
      <w:r>
        <w:rPr>
          <w:spacing w:val="13"/>
          <w:sz w:val="22"/>
        </w:rPr>
        <w:t>and</w:t>
      </w:r>
      <w:r>
        <w:rPr>
          <w:spacing w:val="9"/>
          <w:sz w:val="22"/>
        </w:rPr>
        <w:t> </w:t>
      </w:r>
      <w:r>
        <w:rPr>
          <w:sz w:val="22"/>
        </w:rPr>
        <w:t>it is highly</w:t>
      </w:r>
      <w:r>
        <w:rPr>
          <w:spacing w:val="-2"/>
          <w:sz w:val="22"/>
        </w:rPr>
        <w:t> </w:t>
      </w:r>
      <w:r>
        <w:rPr>
          <w:spacing w:val="11"/>
          <w:sz w:val="22"/>
        </w:rPr>
        <w:t>rec</w:t>
      </w:r>
      <w:r>
        <w:rPr>
          <w:spacing w:val="-33"/>
          <w:sz w:val="22"/>
        </w:rPr>
        <w:t> </w:t>
      </w:r>
      <w:r>
        <w:rPr>
          <w:spacing w:val="18"/>
          <w:sz w:val="22"/>
        </w:rPr>
        <w:t>ommended</w:t>
      </w:r>
      <w:r>
        <w:rPr>
          <w:spacing w:val="14"/>
          <w:sz w:val="22"/>
        </w:rPr>
        <w:t> </w:t>
      </w:r>
      <w:r>
        <w:rPr>
          <w:spacing w:val="13"/>
          <w:sz w:val="22"/>
        </w:rPr>
        <w:t>that </w:t>
      </w:r>
      <w:r>
        <w:rPr>
          <w:spacing w:val="9"/>
          <w:sz w:val="22"/>
        </w:rPr>
        <w:t>you</w:t>
      </w:r>
      <w:r>
        <w:rPr>
          <w:spacing w:val="12"/>
          <w:sz w:val="22"/>
        </w:rPr>
        <w:t> begin </w:t>
      </w:r>
      <w:r>
        <w:rPr>
          <w:sz w:val="22"/>
        </w:rPr>
        <w:t>your file</w:t>
      </w:r>
      <w:r>
        <w:rPr>
          <w:spacing w:val="40"/>
          <w:sz w:val="22"/>
        </w:rPr>
        <w:t> </w:t>
      </w:r>
      <w:r>
        <w:rPr>
          <w:spacing w:val="11"/>
          <w:sz w:val="22"/>
        </w:rPr>
        <w:t>before </w:t>
      </w:r>
      <w:r>
        <w:rPr>
          <w:spacing w:val="9"/>
          <w:sz w:val="22"/>
        </w:rPr>
        <w:t>taking</w:t>
      </w:r>
      <w:r>
        <w:rPr>
          <w:spacing w:val="40"/>
          <w:sz w:val="22"/>
        </w:rPr>
        <w:t> </w:t>
      </w:r>
      <w:r>
        <w:rPr>
          <w:spacing w:val="9"/>
          <w:sz w:val="22"/>
        </w:rPr>
        <w:t>any </w:t>
      </w:r>
      <w:r>
        <w:rPr>
          <w:spacing w:val="12"/>
          <w:sz w:val="22"/>
        </w:rPr>
        <w:t>type</w:t>
      </w:r>
      <w:r>
        <w:rPr>
          <w:spacing w:val="40"/>
          <w:sz w:val="22"/>
        </w:rPr>
        <w:t> </w:t>
      </w:r>
      <w:r>
        <w:rPr>
          <w:sz w:val="22"/>
        </w:rPr>
        <w:t>of </w:t>
      </w:r>
      <w:r>
        <w:rPr>
          <w:spacing w:val="11"/>
          <w:sz w:val="22"/>
        </w:rPr>
        <w:t>job </w:t>
      </w:r>
      <w:r>
        <w:rPr>
          <w:sz w:val="22"/>
        </w:rPr>
        <w:t>in</w:t>
      </w:r>
      <w:r>
        <w:rPr>
          <w:spacing w:val="12"/>
          <w:sz w:val="22"/>
        </w:rPr>
        <w:t> architecture. </w:t>
      </w:r>
      <w:r>
        <w:rPr>
          <w:spacing w:val="14"/>
          <w:sz w:val="22"/>
        </w:rPr>
        <w:t>Check </w:t>
      </w:r>
      <w:r>
        <w:rPr>
          <w:sz w:val="22"/>
        </w:rPr>
        <w:t>with</w:t>
      </w:r>
      <w:r>
        <w:rPr>
          <w:spacing w:val="26"/>
          <w:sz w:val="22"/>
        </w:rPr>
        <w:t> </w:t>
      </w:r>
      <w:r>
        <w:rPr>
          <w:sz w:val="22"/>
        </w:rPr>
        <w:t>your</w:t>
      </w:r>
    </w:p>
    <w:p>
      <w:pPr>
        <w:spacing w:line="252" w:lineRule="exact" w:before="0"/>
        <w:ind w:left="454" w:right="0" w:firstLine="0"/>
        <w:jc w:val="left"/>
        <w:rPr>
          <w:sz w:val="22"/>
        </w:rPr>
      </w:pPr>
      <w:r>
        <w:rPr>
          <w:sz w:val="22"/>
        </w:rPr>
        <w:t>a</w:t>
      </w:r>
      <w:r>
        <w:rPr>
          <w:spacing w:val="-33"/>
          <w:sz w:val="22"/>
        </w:rPr>
        <w:t> </w:t>
      </w:r>
      <w:r>
        <w:rPr>
          <w:sz w:val="22"/>
        </w:rPr>
        <w:t>dvisor</w:t>
      </w:r>
      <w:r>
        <w:rPr>
          <w:spacing w:val="2"/>
          <w:sz w:val="22"/>
        </w:rPr>
        <w:t> </w:t>
      </w:r>
      <w:r>
        <w:rPr>
          <w:sz w:val="22"/>
        </w:rPr>
        <w:t>for</w:t>
      </w:r>
      <w:r>
        <w:rPr>
          <w:spacing w:val="10"/>
          <w:sz w:val="22"/>
        </w:rPr>
        <w:t> </w:t>
      </w:r>
      <w:r>
        <w:rPr>
          <w:spacing w:val="9"/>
          <w:sz w:val="22"/>
        </w:rPr>
        <w:t>more</w:t>
      </w:r>
      <w:r>
        <w:rPr>
          <w:spacing w:val="8"/>
          <w:sz w:val="22"/>
        </w:rPr>
        <w:t> </w:t>
      </w:r>
      <w:r>
        <w:rPr>
          <w:spacing w:val="11"/>
          <w:sz w:val="22"/>
        </w:rPr>
        <w:t>information.</w:t>
      </w:r>
      <w:r>
        <w:rPr>
          <w:spacing w:val="-3"/>
          <w:sz w:val="22"/>
        </w:rPr>
        <w:t> </w:t>
      </w:r>
      <w:r>
        <w:rPr>
          <w:sz w:val="22"/>
        </w:rPr>
        <w:t>The</w:t>
      </w:r>
      <w:r>
        <w:rPr>
          <w:spacing w:val="8"/>
          <w:sz w:val="22"/>
        </w:rPr>
        <w:t> </w:t>
      </w:r>
      <w:r>
        <w:rPr>
          <w:spacing w:val="10"/>
          <w:sz w:val="22"/>
        </w:rPr>
        <w:t>summer</w:t>
      </w:r>
      <w:r>
        <w:rPr>
          <w:spacing w:val="13"/>
          <w:sz w:val="22"/>
        </w:rPr>
        <w:t> </w:t>
      </w:r>
      <w:r>
        <w:rPr>
          <w:spacing w:val="10"/>
          <w:sz w:val="22"/>
        </w:rPr>
        <w:t>after</w:t>
      </w:r>
      <w:r>
        <w:rPr>
          <w:spacing w:val="2"/>
          <w:sz w:val="22"/>
        </w:rPr>
        <w:t> </w:t>
      </w:r>
      <w:r>
        <w:rPr>
          <w:sz w:val="22"/>
        </w:rPr>
        <w:t>fourth</w:t>
      </w:r>
      <w:r>
        <w:rPr>
          <w:spacing w:val="7"/>
          <w:sz w:val="22"/>
        </w:rPr>
        <w:t> </w:t>
      </w:r>
      <w:r>
        <w:rPr>
          <w:spacing w:val="9"/>
          <w:sz w:val="22"/>
        </w:rPr>
        <w:t>year,</w:t>
      </w:r>
      <w:r>
        <w:rPr>
          <w:spacing w:val="1"/>
          <w:sz w:val="22"/>
        </w:rPr>
        <w:t> </w:t>
      </w:r>
      <w:r>
        <w:rPr>
          <w:spacing w:val="9"/>
          <w:sz w:val="22"/>
        </w:rPr>
        <w:t>you</w:t>
      </w:r>
      <w:r>
        <w:rPr>
          <w:spacing w:val="15"/>
          <w:sz w:val="22"/>
        </w:rPr>
        <w:t> </w:t>
      </w:r>
      <w:r>
        <w:rPr>
          <w:sz w:val="22"/>
        </w:rPr>
        <w:t>will</w:t>
      </w:r>
      <w:r>
        <w:rPr>
          <w:spacing w:val="13"/>
          <w:sz w:val="22"/>
        </w:rPr>
        <w:t> </w:t>
      </w:r>
      <w:r>
        <w:rPr>
          <w:spacing w:val="11"/>
          <w:sz w:val="22"/>
        </w:rPr>
        <w:t>be</w:t>
      </w:r>
      <w:r>
        <w:rPr>
          <w:spacing w:val="20"/>
          <w:sz w:val="22"/>
        </w:rPr>
        <w:t> </w:t>
      </w:r>
      <w:r>
        <w:rPr>
          <w:spacing w:val="16"/>
          <w:sz w:val="22"/>
        </w:rPr>
        <w:t>expected</w:t>
      </w:r>
      <w:r>
        <w:rPr>
          <w:spacing w:val="18"/>
          <w:sz w:val="22"/>
        </w:rPr>
        <w:t> </w:t>
      </w:r>
      <w:r>
        <w:rPr>
          <w:spacing w:val="-5"/>
          <w:sz w:val="22"/>
        </w:rPr>
        <w:t>to</w:t>
      </w:r>
    </w:p>
    <w:p>
      <w:pPr>
        <w:spacing w:line="292" w:lineRule="auto" w:before="56"/>
        <w:ind w:left="452" w:right="642" w:firstLine="4"/>
        <w:jc w:val="left"/>
        <w:rPr>
          <w:sz w:val="22"/>
        </w:rPr>
      </w:pPr>
      <w:r>
        <w:rPr>
          <w:sz w:val="22"/>
        </w:rPr>
        <w:t>c</w:t>
      </w:r>
      <w:r>
        <w:rPr>
          <w:spacing w:val="-33"/>
          <w:sz w:val="22"/>
        </w:rPr>
        <w:t> </w:t>
      </w:r>
      <w:r>
        <w:rPr>
          <w:spacing w:val="14"/>
          <w:sz w:val="22"/>
        </w:rPr>
        <w:t>omplete </w:t>
      </w:r>
      <w:r>
        <w:rPr>
          <w:sz w:val="22"/>
        </w:rPr>
        <w:t>a </w:t>
      </w:r>
      <w:r>
        <w:rPr>
          <w:spacing w:val="11"/>
          <w:sz w:val="22"/>
        </w:rPr>
        <w:t>required </w:t>
      </w:r>
      <w:r>
        <w:rPr>
          <w:spacing w:val="10"/>
          <w:sz w:val="22"/>
        </w:rPr>
        <w:t>supervised </w:t>
      </w:r>
      <w:r>
        <w:rPr>
          <w:sz w:val="22"/>
        </w:rPr>
        <w:t>internship </w:t>
      </w:r>
      <w:r>
        <w:rPr>
          <w:spacing w:val="12"/>
          <w:sz w:val="22"/>
        </w:rPr>
        <w:t>experience</w:t>
      </w:r>
      <w:r>
        <w:rPr>
          <w:spacing w:val="9"/>
          <w:sz w:val="22"/>
        </w:rPr>
        <w:t> </w:t>
      </w:r>
      <w:r>
        <w:rPr>
          <w:sz w:val="22"/>
        </w:rPr>
        <w:t>involving </w:t>
      </w:r>
      <w:r>
        <w:rPr>
          <w:spacing w:val="11"/>
          <w:sz w:val="22"/>
        </w:rPr>
        <w:t>environmental </w:t>
      </w:r>
      <w:r>
        <w:rPr>
          <w:spacing w:val="10"/>
          <w:sz w:val="22"/>
        </w:rPr>
        <w:t>design </w:t>
      </w:r>
      <w:r>
        <w:rPr>
          <w:sz w:val="22"/>
        </w:rPr>
        <w:t>work. The internship </w:t>
      </w:r>
      <w:r>
        <w:rPr>
          <w:spacing w:val="9"/>
          <w:sz w:val="22"/>
        </w:rPr>
        <w:t>should </w:t>
      </w:r>
      <w:r>
        <w:rPr>
          <w:spacing w:val="11"/>
          <w:sz w:val="22"/>
        </w:rPr>
        <w:t>be </w:t>
      </w:r>
      <w:r>
        <w:rPr>
          <w:sz w:val="22"/>
        </w:rPr>
        <w:t>a</w:t>
      </w:r>
      <w:r>
        <w:rPr>
          <w:spacing w:val="9"/>
          <w:sz w:val="22"/>
        </w:rPr>
        <w:t> minimum </w:t>
      </w:r>
      <w:r>
        <w:rPr>
          <w:sz w:val="22"/>
        </w:rPr>
        <w:t>of 120 </w:t>
      </w:r>
      <w:r>
        <w:rPr>
          <w:spacing w:val="9"/>
          <w:sz w:val="22"/>
        </w:rPr>
        <w:t>hours/4 </w:t>
      </w:r>
      <w:r>
        <w:rPr>
          <w:sz w:val="22"/>
        </w:rPr>
        <w:t>weeks. </w:t>
      </w:r>
      <w:r>
        <w:rPr>
          <w:sz w:val="22"/>
          <w:u w:val="single"/>
        </w:rPr>
        <w:t>IMPORTANT: </w:t>
      </w:r>
      <w:r>
        <w:rPr>
          <w:sz w:val="22"/>
        </w:rPr>
        <w:t>all</w:t>
      </w:r>
    </w:p>
    <w:p>
      <w:pPr>
        <w:spacing w:before="5"/>
        <w:ind w:left="445" w:right="0" w:firstLine="0"/>
        <w:jc w:val="left"/>
        <w:rPr>
          <w:sz w:val="22"/>
        </w:rPr>
      </w:pPr>
      <w:r>
        <w:rPr>
          <w:spacing w:val="12"/>
          <w:sz w:val="22"/>
        </w:rPr>
        <w:t>undergra</w:t>
      </w:r>
      <w:r>
        <w:rPr>
          <w:spacing w:val="-33"/>
          <w:sz w:val="22"/>
        </w:rPr>
        <w:t> </w:t>
      </w:r>
      <w:r>
        <w:rPr>
          <w:spacing w:val="14"/>
          <w:sz w:val="22"/>
        </w:rPr>
        <w:t>duate</w:t>
      </w:r>
      <w:r>
        <w:rPr>
          <w:spacing w:val="6"/>
          <w:sz w:val="22"/>
        </w:rPr>
        <w:t> </w:t>
      </w:r>
      <w:r>
        <w:rPr>
          <w:spacing w:val="9"/>
          <w:sz w:val="22"/>
        </w:rPr>
        <w:t>level</w:t>
      </w:r>
      <w:r>
        <w:rPr>
          <w:spacing w:val="14"/>
          <w:sz w:val="22"/>
        </w:rPr>
        <w:t> </w:t>
      </w:r>
      <w:r>
        <w:rPr>
          <w:spacing w:val="10"/>
          <w:sz w:val="22"/>
        </w:rPr>
        <w:t>coursework</w:t>
      </w:r>
      <w:r>
        <w:rPr>
          <w:spacing w:val="8"/>
          <w:sz w:val="22"/>
        </w:rPr>
        <w:t> </w:t>
      </w:r>
      <w:r>
        <w:rPr>
          <w:sz w:val="22"/>
        </w:rPr>
        <w:t>must</w:t>
      </w:r>
      <w:r>
        <w:rPr>
          <w:spacing w:val="17"/>
          <w:sz w:val="22"/>
        </w:rPr>
        <w:t> </w:t>
      </w:r>
      <w:r>
        <w:rPr>
          <w:spacing w:val="12"/>
          <w:sz w:val="22"/>
        </w:rPr>
        <w:t>be</w:t>
      </w:r>
      <w:r>
        <w:rPr>
          <w:spacing w:val="21"/>
          <w:sz w:val="22"/>
        </w:rPr>
        <w:t> </w:t>
      </w:r>
      <w:r>
        <w:rPr>
          <w:sz w:val="22"/>
        </w:rPr>
        <w:t>c</w:t>
      </w:r>
      <w:r>
        <w:rPr>
          <w:spacing w:val="-33"/>
          <w:sz w:val="22"/>
        </w:rPr>
        <w:t> </w:t>
      </w:r>
      <w:r>
        <w:rPr>
          <w:spacing w:val="15"/>
          <w:sz w:val="22"/>
        </w:rPr>
        <w:t>ompleted</w:t>
      </w:r>
      <w:r>
        <w:rPr>
          <w:spacing w:val="24"/>
          <w:sz w:val="22"/>
        </w:rPr>
        <w:t> </w:t>
      </w:r>
      <w:r>
        <w:rPr>
          <w:spacing w:val="11"/>
          <w:sz w:val="22"/>
        </w:rPr>
        <w:t>before</w:t>
      </w:r>
      <w:r>
        <w:rPr>
          <w:spacing w:val="18"/>
          <w:sz w:val="22"/>
        </w:rPr>
        <w:t> </w:t>
      </w:r>
      <w:r>
        <w:rPr>
          <w:spacing w:val="9"/>
          <w:sz w:val="22"/>
        </w:rPr>
        <w:t>entering</w:t>
      </w:r>
      <w:r>
        <w:rPr>
          <w:spacing w:val="10"/>
          <w:sz w:val="22"/>
        </w:rPr>
        <w:t> </w:t>
      </w:r>
      <w:r>
        <w:rPr>
          <w:sz w:val="22"/>
        </w:rPr>
        <w:t>into</w:t>
      </w:r>
      <w:r>
        <w:rPr>
          <w:spacing w:val="8"/>
          <w:sz w:val="22"/>
        </w:rPr>
        <w:t> </w:t>
      </w:r>
      <w:r>
        <w:rPr>
          <w:sz w:val="22"/>
        </w:rPr>
        <w:t>5</w:t>
      </w:r>
      <w:r>
        <w:rPr>
          <w:position w:val="6"/>
          <w:sz w:val="14"/>
        </w:rPr>
        <w:t>th</w:t>
      </w:r>
      <w:r>
        <w:rPr>
          <w:spacing w:val="25"/>
          <w:position w:val="6"/>
          <w:sz w:val="14"/>
        </w:rPr>
        <w:t> </w:t>
      </w:r>
      <w:r>
        <w:rPr>
          <w:spacing w:val="8"/>
          <w:sz w:val="22"/>
        </w:rPr>
        <w:t>year.</w:t>
      </w:r>
    </w:p>
    <w:p>
      <w:pPr>
        <w:pStyle w:val="BodyText"/>
        <w:spacing w:before="9"/>
        <w:rPr>
          <w:sz w:val="31"/>
        </w:rPr>
      </w:pPr>
    </w:p>
    <w:p>
      <w:pPr>
        <w:spacing w:line="295" w:lineRule="auto" w:before="1"/>
        <w:ind w:left="446" w:right="712" w:hanging="7"/>
        <w:jc w:val="left"/>
        <w:rPr>
          <w:sz w:val="22"/>
        </w:rPr>
      </w:pPr>
      <w:r>
        <w:rPr>
          <w:w w:val="95"/>
          <w:sz w:val="22"/>
        </w:rPr>
        <w:t>FIFTH YEAR:</w:t>
      </w:r>
      <w:r>
        <w:rPr>
          <w:spacing w:val="40"/>
          <w:sz w:val="22"/>
        </w:rPr>
        <w:t> </w:t>
      </w:r>
      <w:r>
        <w:rPr>
          <w:w w:val="95"/>
          <w:sz w:val="22"/>
        </w:rPr>
        <w:t>This </w:t>
      </w:r>
      <w:r>
        <w:rPr>
          <w:spacing w:val="12"/>
          <w:w w:val="95"/>
          <w:sz w:val="22"/>
        </w:rPr>
        <w:t>year</w:t>
      </w:r>
      <w:r>
        <w:rPr>
          <w:spacing w:val="5"/>
          <w:w w:val="95"/>
          <w:sz w:val="22"/>
        </w:rPr>
        <w:t> </w:t>
      </w:r>
      <w:r>
        <w:rPr>
          <w:w w:val="95"/>
          <w:sz w:val="22"/>
        </w:rPr>
        <w:t>is </w:t>
      </w:r>
      <w:r>
        <w:rPr>
          <w:spacing w:val="10"/>
          <w:w w:val="95"/>
          <w:sz w:val="22"/>
        </w:rPr>
        <w:t>referred </w:t>
      </w:r>
      <w:r>
        <w:rPr>
          <w:w w:val="95"/>
          <w:sz w:val="22"/>
        </w:rPr>
        <w:t>to</w:t>
      </w:r>
      <w:r>
        <w:rPr>
          <w:spacing w:val="11"/>
          <w:w w:val="95"/>
          <w:sz w:val="22"/>
        </w:rPr>
        <w:t> often </w:t>
      </w:r>
      <w:r>
        <w:rPr>
          <w:w w:val="95"/>
          <w:sz w:val="22"/>
        </w:rPr>
        <w:t>as thesis </w:t>
      </w:r>
      <w:r>
        <w:rPr>
          <w:spacing w:val="9"/>
          <w:w w:val="95"/>
          <w:sz w:val="22"/>
        </w:rPr>
        <w:t>year.</w:t>
      </w:r>
      <w:r>
        <w:rPr>
          <w:spacing w:val="3"/>
          <w:w w:val="95"/>
          <w:sz w:val="22"/>
        </w:rPr>
        <w:t> </w:t>
      </w:r>
      <w:r>
        <w:rPr>
          <w:w w:val="95"/>
          <w:sz w:val="22"/>
        </w:rPr>
        <w:t>These</w:t>
      </w:r>
      <w:r>
        <w:rPr>
          <w:spacing w:val="13"/>
          <w:w w:val="95"/>
          <w:sz w:val="22"/>
        </w:rPr>
        <w:t> two </w:t>
      </w:r>
      <w:r>
        <w:rPr>
          <w:spacing w:val="10"/>
          <w:w w:val="95"/>
          <w:sz w:val="22"/>
        </w:rPr>
        <w:t>studios </w:t>
      </w:r>
      <w:r>
        <w:rPr>
          <w:w w:val="95"/>
          <w:sz w:val="22"/>
        </w:rPr>
        <w:t>are</w:t>
      </w:r>
      <w:r>
        <w:rPr>
          <w:spacing w:val="16"/>
          <w:w w:val="95"/>
          <w:sz w:val="22"/>
        </w:rPr>
        <w:t> devoted </w:t>
      </w:r>
      <w:r>
        <w:rPr>
          <w:w w:val="95"/>
          <w:sz w:val="22"/>
        </w:rPr>
        <w:t>to </w:t>
      </w:r>
      <w:r>
        <w:rPr>
          <w:spacing w:val="9"/>
          <w:sz w:val="22"/>
        </w:rPr>
        <w:t>the </w:t>
      </w:r>
      <w:r>
        <w:rPr>
          <w:spacing w:val="10"/>
          <w:sz w:val="22"/>
        </w:rPr>
        <w:t>cultivation </w:t>
      </w:r>
      <w:r>
        <w:rPr>
          <w:sz w:val="22"/>
        </w:rPr>
        <w:t>of thesis </w:t>
      </w:r>
      <w:r>
        <w:rPr>
          <w:spacing w:val="13"/>
          <w:sz w:val="22"/>
        </w:rPr>
        <w:t>research that </w:t>
      </w:r>
      <w:r>
        <w:rPr>
          <w:sz w:val="22"/>
        </w:rPr>
        <w:t>will </w:t>
      </w:r>
      <w:r>
        <w:rPr>
          <w:spacing w:val="11"/>
          <w:sz w:val="22"/>
        </w:rPr>
        <w:t>be </w:t>
      </w:r>
      <w:r>
        <w:rPr>
          <w:spacing w:val="13"/>
          <w:sz w:val="22"/>
        </w:rPr>
        <w:t>guided </w:t>
      </w:r>
      <w:r>
        <w:rPr>
          <w:sz w:val="22"/>
        </w:rPr>
        <w:t>by </w:t>
      </w:r>
      <w:r>
        <w:rPr>
          <w:spacing w:val="9"/>
          <w:sz w:val="22"/>
        </w:rPr>
        <w:t>the </w:t>
      </w:r>
      <w:r>
        <w:rPr>
          <w:sz w:val="22"/>
        </w:rPr>
        <w:t>c</w:t>
      </w:r>
      <w:r>
        <w:rPr>
          <w:spacing w:val="-32"/>
          <w:sz w:val="22"/>
        </w:rPr>
        <w:t> </w:t>
      </w:r>
      <w:r>
        <w:rPr>
          <w:sz w:val="22"/>
        </w:rPr>
        <w:t>ourse instructors </w:t>
      </w:r>
      <w:r>
        <w:rPr>
          <w:spacing w:val="12"/>
          <w:sz w:val="22"/>
        </w:rPr>
        <w:t>and </w:t>
      </w:r>
      <w:r>
        <w:rPr>
          <w:sz w:val="22"/>
        </w:rPr>
        <w:t>by </w:t>
      </w:r>
      <w:r>
        <w:rPr>
          <w:spacing w:val="10"/>
          <w:sz w:val="22"/>
        </w:rPr>
        <w:t>an </w:t>
      </w:r>
      <w:r>
        <w:rPr>
          <w:sz w:val="22"/>
        </w:rPr>
        <w:t>ap</w:t>
      </w:r>
      <w:r>
        <w:rPr>
          <w:spacing w:val="-33"/>
          <w:sz w:val="22"/>
        </w:rPr>
        <w:t> </w:t>
      </w:r>
      <w:r>
        <w:rPr>
          <w:spacing w:val="12"/>
          <w:sz w:val="22"/>
        </w:rPr>
        <w:t>pointed </w:t>
      </w:r>
      <w:r>
        <w:rPr>
          <w:sz w:val="22"/>
        </w:rPr>
        <w:t>fa</w:t>
      </w:r>
      <w:r>
        <w:rPr>
          <w:spacing w:val="-31"/>
          <w:sz w:val="22"/>
        </w:rPr>
        <w:t> </w:t>
      </w:r>
      <w:r>
        <w:rPr>
          <w:sz w:val="22"/>
        </w:rPr>
        <w:t>culty a</w:t>
      </w:r>
      <w:r>
        <w:rPr>
          <w:spacing w:val="-33"/>
          <w:sz w:val="22"/>
        </w:rPr>
        <w:t> </w:t>
      </w:r>
      <w:r>
        <w:rPr>
          <w:sz w:val="22"/>
        </w:rPr>
        <w:t>dvisor.</w:t>
      </w:r>
      <w:r>
        <w:rPr>
          <w:spacing w:val="-2"/>
          <w:sz w:val="22"/>
        </w:rPr>
        <w:t> </w:t>
      </w:r>
      <w:r>
        <w:rPr>
          <w:sz w:val="22"/>
        </w:rPr>
        <w:t>The Design Thesis </w:t>
      </w:r>
      <w:r>
        <w:rPr>
          <w:spacing w:val="13"/>
          <w:sz w:val="22"/>
        </w:rPr>
        <w:t>sequen</w:t>
      </w:r>
      <w:r>
        <w:rPr>
          <w:spacing w:val="-25"/>
          <w:sz w:val="22"/>
        </w:rPr>
        <w:t> </w:t>
      </w:r>
      <w:r>
        <w:rPr>
          <w:spacing w:val="12"/>
          <w:sz w:val="22"/>
        </w:rPr>
        <w:t>ce</w:t>
      </w:r>
      <w:r>
        <w:rPr>
          <w:spacing w:val="11"/>
          <w:sz w:val="22"/>
        </w:rPr>
        <w:t> </w:t>
      </w:r>
      <w:r>
        <w:rPr>
          <w:spacing w:val="12"/>
          <w:sz w:val="22"/>
        </w:rPr>
        <w:t>includes</w:t>
      </w:r>
      <w:r>
        <w:rPr>
          <w:spacing w:val="9"/>
          <w:sz w:val="22"/>
        </w:rPr>
        <w:t> </w:t>
      </w:r>
      <w:r>
        <w:rPr>
          <w:sz w:val="22"/>
        </w:rPr>
        <w:t>ARC 601 </w:t>
      </w:r>
      <w:r>
        <w:rPr>
          <w:spacing w:val="13"/>
          <w:sz w:val="22"/>
        </w:rPr>
        <w:t>and </w:t>
      </w:r>
      <w:r>
        <w:rPr>
          <w:sz w:val="22"/>
        </w:rPr>
        <w:t>ARC 602, </w:t>
      </w:r>
      <w:r>
        <w:rPr>
          <w:spacing w:val="12"/>
          <w:sz w:val="22"/>
        </w:rPr>
        <w:t>which </w:t>
      </w:r>
      <w:r>
        <w:rPr>
          <w:sz w:val="22"/>
        </w:rPr>
        <w:t>must</w:t>
      </w:r>
      <w:r>
        <w:rPr>
          <w:spacing w:val="12"/>
          <w:sz w:val="22"/>
        </w:rPr>
        <w:t> be </w:t>
      </w:r>
      <w:r>
        <w:rPr>
          <w:spacing w:val="11"/>
          <w:sz w:val="22"/>
        </w:rPr>
        <w:t>taken </w:t>
      </w:r>
      <w:r>
        <w:rPr>
          <w:sz w:val="22"/>
        </w:rPr>
        <w:t>in </w:t>
      </w:r>
      <w:r>
        <w:rPr>
          <w:spacing w:val="9"/>
          <w:sz w:val="22"/>
        </w:rPr>
        <w:t>the </w:t>
      </w:r>
      <w:r>
        <w:rPr>
          <w:spacing w:val="11"/>
          <w:sz w:val="22"/>
        </w:rPr>
        <w:t>Dep</w:t>
      </w:r>
      <w:r>
        <w:rPr>
          <w:spacing w:val="-29"/>
          <w:sz w:val="22"/>
        </w:rPr>
        <w:t> </w:t>
      </w:r>
      <w:r>
        <w:rPr>
          <w:spacing w:val="12"/>
          <w:sz w:val="22"/>
        </w:rPr>
        <w:t>artment </w:t>
      </w:r>
      <w:r>
        <w:rPr>
          <w:sz w:val="22"/>
        </w:rPr>
        <w:t>of </w:t>
      </w:r>
      <w:r>
        <w:rPr>
          <w:spacing w:val="12"/>
          <w:sz w:val="22"/>
        </w:rPr>
        <w:t>Architecture </w:t>
      </w:r>
      <w:r>
        <w:rPr>
          <w:spacing w:val="10"/>
          <w:sz w:val="22"/>
        </w:rPr>
        <w:t>at </w:t>
      </w:r>
      <w:r>
        <w:rPr>
          <w:spacing w:val="16"/>
          <w:sz w:val="22"/>
        </w:rPr>
        <w:t>Hampton</w:t>
      </w:r>
      <w:r>
        <w:rPr>
          <w:spacing w:val="15"/>
          <w:sz w:val="22"/>
        </w:rPr>
        <w:t> </w:t>
      </w:r>
      <w:r>
        <w:rPr>
          <w:sz w:val="22"/>
        </w:rPr>
        <w:t>University. The</w:t>
      </w:r>
    </w:p>
    <w:p>
      <w:pPr>
        <w:spacing w:line="292" w:lineRule="auto" w:before="0"/>
        <w:ind w:left="439" w:right="642" w:firstLine="6"/>
        <w:jc w:val="left"/>
        <w:rPr>
          <w:sz w:val="22"/>
        </w:rPr>
      </w:pPr>
      <w:r>
        <w:rPr>
          <w:sz w:val="22"/>
        </w:rPr>
        <w:t>thesis c</w:t>
      </w:r>
      <w:r>
        <w:rPr>
          <w:spacing w:val="-32"/>
          <w:sz w:val="22"/>
        </w:rPr>
        <w:t> </w:t>
      </w:r>
      <w:r>
        <w:rPr>
          <w:sz w:val="22"/>
        </w:rPr>
        <w:t>ourse instructors </w:t>
      </w:r>
      <w:r>
        <w:rPr>
          <w:spacing w:val="13"/>
          <w:sz w:val="22"/>
        </w:rPr>
        <w:t>and </w:t>
      </w:r>
      <w:r>
        <w:rPr>
          <w:spacing w:val="9"/>
          <w:sz w:val="22"/>
        </w:rPr>
        <w:t>the </w:t>
      </w:r>
      <w:r>
        <w:rPr>
          <w:spacing w:val="13"/>
          <w:sz w:val="22"/>
        </w:rPr>
        <w:t>student’s</w:t>
      </w:r>
      <w:r>
        <w:rPr>
          <w:spacing w:val="5"/>
          <w:sz w:val="22"/>
        </w:rPr>
        <w:t> </w:t>
      </w:r>
      <w:r>
        <w:rPr>
          <w:sz w:val="22"/>
        </w:rPr>
        <w:t>fa</w:t>
      </w:r>
      <w:r>
        <w:rPr>
          <w:spacing w:val="-30"/>
          <w:sz w:val="22"/>
        </w:rPr>
        <w:t> </w:t>
      </w:r>
      <w:r>
        <w:rPr>
          <w:sz w:val="22"/>
        </w:rPr>
        <w:t>culty a</w:t>
      </w:r>
      <w:r>
        <w:rPr>
          <w:spacing w:val="-32"/>
          <w:sz w:val="22"/>
        </w:rPr>
        <w:t> </w:t>
      </w:r>
      <w:r>
        <w:rPr>
          <w:sz w:val="22"/>
        </w:rPr>
        <w:t>dvisor, a</w:t>
      </w:r>
      <w:r>
        <w:rPr>
          <w:spacing w:val="-30"/>
          <w:sz w:val="22"/>
        </w:rPr>
        <w:t> </w:t>
      </w:r>
      <w:r>
        <w:rPr>
          <w:spacing w:val="10"/>
          <w:sz w:val="22"/>
        </w:rPr>
        <w:t>cting </w:t>
      </w:r>
      <w:r>
        <w:rPr>
          <w:sz w:val="22"/>
        </w:rPr>
        <w:t>as a</w:t>
      </w:r>
      <w:r>
        <w:rPr>
          <w:spacing w:val="33"/>
          <w:sz w:val="22"/>
        </w:rPr>
        <w:t> </w:t>
      </w:r>
      <w:r>
        <w:rPr>
          <w:sz w:val="22"/>
        </w:rPr>
        <w:t>c</w:t>
      </w:r>
      <w:r>
        <w:rPr>
          <w:spacing w:val="-32"/>
          <w:sz w:val="22"/>
        </w:rPr>
        <w:t> </w:t>
      </w:r>
      <w:r>
        <w:rPr>
          <w:spacing w:val="12"/>
          <w:sz w:val="22"/>
        </w:rPr>
        <w:t>ommittee, </w:t>
      </w:r>
      <w:r>
        <w:rPr>
          <w:sz w:val="22"/>
        </w:rPr>
        <w:t>are </w:t>
      </w:r>
      <w:r>
        <w:rPr>
          <w:spacing w:val="10"/>
          <w:sz w:val="22"/>
        </w:rPr>
        <w:t>responsible </w:t>
      </w:r>
      <w:r>
        <w:rPr>
          <w:sz w:val="22"/>
        </w:rPr>
        <w:t>for </w:t>
      </w:r>
      <w:r>
        <w:rPr>
          <w:spacing w:val="11"/>
          <w:sz w:val="22"/>
        </w:rPr>
        <w:t>determining </w:t>
      </w:r>
      <w:r>
        <w:rPr>
          <w:sz w:val="22"/>
        </w:rPr>
        <w:t>passing</w:t>
      </w:r>
      <w:r>
        <w:rPr>
          <w:spacing w:val="36"/>
          <w:sz w:val="22"/>
        </w:rPr>
        <w:t> </w:t>
      </w:r>
      <w:r>
        <w:rPr>
          <w:sz w:val="22"/>
        </w:rPr>
        <w:t>or failing</w:t>
      </w:r>
      <w:r>
        <w:rPr>
          <w:spacing w:val="40"/>
          <w:sz w:val="22"/>
        </w:rPr>
        <w:t> </w:t>
      </w:r>
      <w:r>
        <w:rPr>
          <w:sz w:val="22"/>
        </w:rPr>
        <w:t>of </w:t>
      </w:r>
      <w:r>
        <w:rPr>
          <w:spacing w:val="12"/>
          <w:sz w:val="22"/>
        </w:rPr>
        <w:t>ea</w:t>
      </w:r>
      <w:r>
        <w:rPr>
          <w:spacing w:val="-26"/>
          <w:sz w:val="22"/>
        </w:rPr>
        <w:t> </w:t>
      </w:r>
      <w:r>
        <w:rPr>
          <w:spacing w:val="11"/>
          <w:sz w:val="22"/>
        </w:rPr>
        <w:t>ch </w:t>
      </w:r>
      <w:r>
        <w:rPr>
          <w:sz w:val="22"/>
        </w:rPr>
        <w:t>thesis </w:t>
      </w:r>
      <w:r>
        <w:rPr>
          <w:spacing w:val="12"/>
          <w:sz w:val="22"/>
        </w:rPr>
        <w:t>project.</w:t>
      </w:r>
      <w:r>
        <w:rPr>
          <w:spacing w:val="7"/>
          <w:sz w:val="22"/>
        </w:rPr>
        <w:t> </w:t>
      </w:r>
      <w:r>
        <w:rPr>
          <w:sz w:val="22"/>
        </w:rPr>
        <w:t>There</w:t>
      </w:r>
      <w:r>
        <w:rPr>
          <w:spacing w:val="37"/>
          <w:sz w:val="22"/>
        </w:rPr>
        <w:t> </w:t>
      </w:r>
      <w:r>
        <w:rPr>
          <w:sz w:val="22"/>
        </w:rPr>
        <w:t>are</w:t>
      </w:r>
    </w:p>
    <w:p>
      <w:pPr>
        <w:spacing w:line="292" w:lineRule="auto" w:before="0"/>
        <w:ind w:left="446" w:right="1003" w:hanging="7"/>
        <w:jc w:val="left"/>
        <w:rPr>
          <w:sz w:val="22"/>
        </w:rPr>
      </w:pPr>
      <w:r>
        <w:rPr>
          <w:spacing w:val="14"/>
          <w:sz w:val="22"/>
        </w:rPr>
        <w:t>scheduled,</w:t>
      </w:r>
      <w:r>
        <w:rPr>
          <w:spacing w:val="-8"/>
          <w:sz w:val="22"/>
        </w:rPr>
        <w:t> </w:t>
      </w:r>
      <w:r>
        <w:rPr>
          <w:spacing w:val="11"/>
          <w:sz w:val="22"/>
        </w:rPr>
        <w:t>required</w:t>
      </w:r>
      <w:r>
        <w:rPr>
          <w:spacing w:val="7"/>
          <w:sz w:val="22"/>
        </w:rPr>
        <w:t> </w:t>
      </w:r>
      <w:r>
        <w:rPr>
          <w:spacing w:val="10"/>
          <w:sz w:val="22"/>
        </w:rPr>
        <w:t>reviews</w:t>
      </w:r>
      <w:r>
        <w:rPr>
          <w:sz w:val="22"/>
        </w:rPr>
        <w:t> </w:t>
      </w:r>
      <w:r>
        <w:rPr>
          <w:spacing w:val="12"/>
          <w:sz w:val="22"/>
        </w:rPr>
        <w:t>throughout</w:t>
      </w:r>
      <w:r>
        <w:rPr>
          <w:spacing w:val="6"/>
          <w:sz w:val="22"/>
        </w:rPr>
        <w:t> </w:t>
      </w:r>
      <w:r>
        <w:rPr>
          <w:spacing w:val="9"/>
          <w:sz w:val="22"/>
        </w:rPr>
        <w:t>the</w:t>
      </w:r>
      <w:r>
        <w:rPr>
          <w:spacing w:val="3"/>
          <w:sz w:val="22"/>
        </w:rPr>
        <w:t> </w:t>
      </w:r>
      <w:r>
        <w:rPr>
          <w:spacing w:val="10"/>
          <w:sz w:val="22"/>
        </w:rPr>
        <w:t>semester,</w:t>
      </w:r>
      <w:r>
        <w:rPr>
          <w:spacing w:val="3"/>
          <w:sz w:val="22"/>
        </w:rPr>
        <w:t> </w:t>
      </w:r>
      <w:r>
        <w:rPr>
          <w:sz w:val="22"/>
        </w:rPr>
        <w:t>with a </w:t>
      </w:r>
      <w:r>
        <w:rPr>
          <w:spacing w:val="11"/>
          <w:sz w:val="22"/>
        </w:rPr>
        <w:t>required </w:t>
      </w:r>
      <w:r>
        <w:rPr>
          <w:sz w:val="22"/>
        </w:rPr>
        <w:t>final</w:t>
      </w:r>
      <w:r>
        <w:rPr>
          <w:spacing w:val="-5"/>
          <w:sz w:val="22"/>
        </w:rPr>
        <w:t> </w:t>
      </w:r>
      <w:r>
        <w:rPr>
          <w:spacing w:val="10"/>
          <w:sz w:val="22"/>
        </w:rPr>
        <w:t>review </w:t>
      </w:r>
      <w:r>
        <w:rPr>
          <w:sz w:val="22"/>
        </w:rPr>
        <w:t>by </w:t>
      </w:r>
      <w:r>
        <w:rPr>
          <w:spacing w:val="9"/>
          <w:sz w:val="22"/>
        </w:rPr>
        <w:t>the</w:t>
      </w:r>
      <w:r>
        <w:rPr>
          <w:spacing w:val="16"/>
          <w:sz w:val="22"/>
        </w:rPr>
        <w:t> department </w:t>
      </w:r>
      <w:r>
        <w:rPr>
          <w:sz w:val="22"/>
        </w:rPr>
        <w:t>fa</w:t>
      </w:r>
      <w:r>
        <w:rPr>
          <w:spacing w:val="-26"/>
          <w:sz w:val="22"/>
        </w:rPr>
        <w:t> </w:t>
      </w:r>
      <w:r>
        <w:rPr>
          <w:sz w:val="22"/>
        </w:rPr>
        <w:t>culty</w:t>
      </w:r>
      <w:r>
        <w:rPr>
          <w:spacing w:val="10"/>
          <w:sz w:val="22"/>
        </w:rPr>
        <w:t> at </w:t>
      </w:r>
      <w:r>
        <w:rPr>
          <w:spacing w:val="9"/>
          <w:sz w:val="22"/>
        </w:rPr>
        <w:t>the</w:t>
      </w:r>
      <w:r>
        <w:rPr>
          <w:spacing w:val="11"/>
          <w:sz w:val="22"/>
        </w:rPr>
        <w:t> end</w:t>
      </w:r>
      <w:r>
        <w:rPr>
          <w:spacing w:val="39"/>
          <w:sz w:val="22"/>
        </w:rPr>
        <w:t> </w:t>
      </w:r>
      <w:r>
        <w:rPr>
          <w:sz w:val="22"/>
        </w:rPr>
        <w:t>of</w:t>
      </w:r>
      <w:r>
        <w:rPr>
          <w:spacing w:val="9"/>
          <w:sz w:val="22"/>
        </w:rPr>
        <w:t> the </w:t>
      </w:r>
      <w:r>
        <w:rPr>
          <w:spacing w:val="10"/>
          <w:sz w:val="22"/>
        </w:rPr>
        <w:t>semester. </w:t>
      </w:r>
      <w:r>
        <w:rPr>
          <w:sz w:val="22"/>
        </w:rPr>
        <w:t>At</w:t>
      </w:r>
      <w:r>
        <w:rPr>
          <w:spacing w:val="9"/>
          <w:sz w:val="22"/>
        </w:rPr>
        <w:t> the</w:t>
      </w:r>
      <w:r>
        <w:rPr>
          <w:spacing w:val="11"/>
          <w:sz w:val="22"/>
        </w:rPr>
        <w:t> end</w:t>
      </w:r>
      <w:r>
        <w:rPr>
          <w:spacing w:val="39"/>
          <w:sz w:val="22"/>
        </w:rPr>
        <w:t> </w:t>
      </w:r>
      <w:r>
        <w:rPr>
          <w:sz w:val="22"/>
        </w:rPr>
        <w:t>of</w:t>
      </w:r>
      <w:r>
        <w:rPr>
          <w:spacing w:val="10"/>
          <w:sz w:val="22"/>
        </w:rPr>
        <w:t> the year, </w:t>
      </w:r>
      <w:r>
        <w:rPr>
          <w:spacing w:val="9"/>
          <w:sz w:val="22"/>
        </w:rPr>
        <w:t>the</w:t>
      </w:r>
    </w:p>
    <w:p>
      <w:pPr>
        <w:spacing w:before="2"/>
        <w:ind w:left="454" w:right="0" w:firstLine="0"/>
        <w:jc w:val="left"/>
        <w:rPr>
          <w:sz w:val="22"/>
        </w:rPr>
      </w:pPr>
      <w:r>
        <w:rPr>
          <w:spacing w:val="16"/>
          <w:sz w:val="22"/>
        </w:rPr>
        <w:t>dep</w:t>
      </w:r>
      <w:r>
        <w:rPr>
          <w:spacing w:val="-35"/>
          <w:sz w:val="22"/>
        </w:rPr>
        <w:t> </w:t>
      </w:r>
      <w:r>
        <w:rPr>
          <w:spacing w:val="12"/>
          <w:sz w:val="22"/>
        </w:rPr>
        <w:t>artment</w:t>
      </w:r>
      <w:r>
        <w:rPr>
          <w:sz w:val="22"/>
        </w:rPr>
        <w:t> fa</w:t>
      </w:r>
      <w:r>
        <w:rPr>
          <w:spacing w:val="-33"/>
          <w:sz w:val="22"/>
        </w:rPr>
        <w:t> </w:t>
      </w:r>
      <w:r>
        <w:rPr>
          <w:sz w:val="22"/>
        </w:rPr>
        <w:t>culty</w:t>
      </w:r>
      <w:r>
        <w:rPr>
          <w:spacing w:val="11"/>
          <w:sz w:val="22"/>
        </w:rPr>
        <w:t> </w:t>
      </w:r>
      <w:r>
        <w:rPr>
          <w:spacing w:val="15"/>
          <w:sz w:val="22"/>
        </w:rPr>
        <w:t>award</w:t>
      </w:r>
      <w:r>
        <w:rPr>
          <w:spacing w:val="18"/>
          <w:sz w:val="22"/>
        </w:rPr>
        <w:t> </w:t>
      </w:r>
      <w:r>
        <w:rPr>
          <w:spacing w:val="10"/>
          <w:sz w:val="22"/>
        </w:rPr>
        <w:t>one</w:t>
      </w:r>
      <w:r>
        <w:rPr>
          <w:spacing w:val="4"/>
          <w:sz w:val="22"/>
        </w:rPr>
        <w:t> </w:t>
      </w:r>
      <w:r>
        <w:rPr>
          <w:spacing w:val="13"/>
          <w:sz w:val="22"/>
        </w:rPr>
        <w:t>student’s</w:t>
      </w:r>
      <w:r>
        <w:rPr>
          <w:spacing w:val="8"/>
          <w:sz w:val="22"/>
        </w:rPr>
        <w:t> </w:t>
      </w:r>
      <w:r>
        <w:rPr>
          <w:spacing w:val="13"/>
          <w:sz w:val="22"/>
        </w:rPr>
        <w:t>project</w:t>
      </w:r>
      <w:r>
        <w:rPr>
          <w:spacing w:val="14"/>
          <w:sz w:val="22"/>
        </w:rPr>
        <w:t> </w:t>
      </w:r>
      <w:r>
        <w:rPr>
          <w:sz w:val="22"/>
        </w:rPr>
        <w:t>as</w:t>
      </w:r>
      <w:r>
        <w:rPr>
          <w:spacing w:val="-5"/>
          <w:sz w:val="22"/>
        </w:rPr>
        <w:t> </w:t>
      </w:r>
      <w:r>
        <w:rPr>
          <w:sz w:val="22"/>
        </w:rPr>
        <w:t>Best</w:t>
      </w:r>
      <w:r>
        <w:rPr>
          <w:spacing w:val="1"/>
          <w:sz w:val="22"/>
        </w:rPr>
        <w:t> </w:t>
      </w:r>
      <w:r>
        <w:rPr>
          <w:spacing w:val="-2"/>
          <w:sz w:val="22"/>
        </w:rPr>
        <w:t>Thesis.</w:t>
      </w:r>
    </w:p>
    <w:p>
      <w:pPr>
        <w:spacing w:after="0"/>
        <w:jc w:val="left"/>
        <w:rPr>
          <w:sz w:val="22"/>
        </w:rPr>
        <w:sectPr>
          <w:headerReference w:type="default" r:id="rId299"/>
          <w:footerReference w:type="default" r:id="rId300"/>
          <w:pgSz w:w="12240" w:h="15840"/>
          <w:pgMar w:header="0" w:footer="748" w:top="1700" w:bottom="940" w:left="1000" w:right="820"/>
        </w:sectPr>
      </w:pPr>
    </w:p>
    <w:p>
      <w:pPr>
        <w:pStyle w:val="Heading6"/>
        <w:ind w:left="452"/>
      </w:pPr>
      <w:r>
        <w:rPr>
          <w:w w:val="90"/>
        </w:rPr>
        <w:t>CURRICULUM</w:t>
      </w:r>
      <w:r>
        <w:rPr>
          <w:spacing w:val="50"/>
          <w:w w:val="150"/>
        </w:rPr>
        <w:t> </w:t>
      </w:r>
      <w:r>
        <w:rPr>
          <w:spacing w:val="-2"/>
        </w:rPr>
        <w:t>GATEWAYS</w:t>
      </w:r>
    </w:p>
    <w:p>
      <w:pPr>
        <w:pStyle w:val="BodyText"/>
        <w:spacing w:before="9"/>
        <w:rPr>
          <w:sz w:val="32"/>
        </w:rPr>
      </w:pPr>
    </w:p>
    <w:p>
      <w:pPr>
        <w:spacing w:line="292" w:lineRule="auto" w:before="0"/>
        <w:ind w:left="453" w:right="927" w:hanging="4"/>
        <w:jc w:val="left"/>
        <w:rPr>
          <w:sz w:val="22"/>
        </w:rPr>
      </w:pPr>
      <w:r>
        <w:rPr>
          <w:spacing w:val="9"/>
          <w:sz w:val="22"/>
        </w:rPr>
        <w:t>Overall</w:t>
      </w:r>
      <w:r>
        <w:rPr>
          <w:spacing w:val="8"/>
          <w:sz w:val="22"/>
        </w:rPr>
        <w:t> </w:t>
      </w:r>
      <w:r>
        <w:rPr>
          <w:spacing w:val="9"/>
          <w:sz w:val="22"/>
        </w:rPr>
        <w:t>the </w:t>
      </w:r>
      <w:r>
        <w:rPr>
          <w:spacing w:val="13"/>
          <w:sz w:val="22"/>
        </w:rPr>
        <w:t>program </w:t>
      </w:r>
      <w:r>
        <w:rPr>
          <w:sz w:val="22"/>
        </w:rPr>
        <w:t>curriculum is </w:t>
      </w:r>
      <w:r>
        <w:rPr>
          <w:spacing w:val="10"/>
          <w:sz w:val="22"/>
        </w:rPr>
        <w:t>sequentially</w:t>
      </w:r>
      <w:r>
        <w:rPr>
          <w:spacing w:val="3"/>
          <w:sz w:val="22"/>
        </w:rPr>
        <w:t> </w:t>
      </w:r>
      <w:r>
        <w:rPr>
          <w:spacing w:val="11"/>
          <w:sz w:val="22"/>
        </w:rPr>
        <w:t>structured </w:t>
      </w:r>
      <w:r>
        <w:rPr>
          <w:sz w:val="22"/>
        </w:rPr>
        <w:t>with c</w:t>
      </w:r>
      <w:r>
        <w:rPr>
          <w:spacing w:val="-30"/>
          <w:sz w:val="22"/>
        </w:rPr>
        <w:t> </w:t>
      </w:r>
      <w:r>
        <w:rPr>
          <w:sz w:val="22"/>
        </w:rPr>
        <w:t>arefully </w:t>
      </w:r>
      <w:r>
        <w:rPr>
          <w:spacing w:val="14"/>
          <w:sz w:val="22"/>
        </w:rPr>
        <w:t>crafted </w:t>
      </w:r>
      <w:r>
        <w:rPr>
          <w:sz w:val="22"/>
        </w:rPr>
        <w:t>c</w:t>
      </w:r>
      <w:r>
        <w:rPr>
          <w:spacing w:val="-33"/>
          <w:sz w:val="22"/>
        </w:rPr>
        <w:t> </w:t>
      </w:r>
      <w:r>
        <w:rPr>
          <w:sz w:val="22"/>
        </w:rPr>
        <w:t>ourse </w:t>
      </w:r>
      <w:r>
        <w:rPr>
          <w:spacing w:val="9"/>
          <w:sz w:val="22"/>
        </w:rPr>
        <w:t>pla</w:t>
      </w:r>
      <w:r>
        <w:rPr>
          <w:spacing w:val="-32"/>
          <w:sz w:val="22"/>
        </w:rPr>
        <w:t> </w:t>
      </w:r>
      <w:r>
        <w:rPr>
          <w:spacing w:val="16"/>
          <w:sz w:val="22"/>
        </w:rPr>
        <w:t>cement</w:t>
      </w:r>
      <w:r>
        <w:rPr>
          <w:spacing w:val="9"/>
          <w:sz w:val="22"/>
        </w:rPr>
        <w:t> </w:t>
      </w:r>
      <w:r>
        <w:rPr>
          <w:sz w:val="22"/>
        </w:rPr>
        <w:t>in </w:t>
      </w:r>
      <w:r>
        <w:rPr>
          <w:spacing w:val="11"/>
          <w:sz w:val="22"/>
        </w:rPr>
        <w:t>ea</w:t>
      </w:r>
      <w:r>
        <w:rPr>
          <w:spacing w:val="-32"/>
          <w:sz w:val="22"/>
        </w:rPr>
        <w:t> </w:t>
      </w:r>
      <w:r>
        <w:rPr>
          <w:spacing w:val="11"/>
          <w:sz w:val="22"/>
        </w:rPr>
        <w:t>ch</w:t>
      </w:r>
      <w:r>
        <w:rPr>
          <w:spacing w:val="8"/>
          <w:sz w:val="22"/>
        </w:rPr>
        <w:t> </w:t>
      </w:r>
      <w:r>
        <w:rPr>
          <w:spacing w:val="10"/>
          <w:sz w:val="22"/>
        </w:rPr>
        <w:t>semester.</w:t>
      </w:r>
      <w:r>
        <w:rPr>
          <w:spacing w:val="1"/>
          <w:sz w:val="22"/>
        </w:rPr>
        <w:t> </w:t>
      </w:r>
      <w:r>
        <w:rPr>
          <w:spacing w:val="10"/>
          <w:sz w:val="22"/>
        </w:rPr>
        <w:t>Below,</w:t>
      </w:r>
      <w:r>
        <w:rPr>
          <w:spacing w:val="1"/>
          <w:sz w:val="22"/>
        </w:rPr>
        <w:t> </w:t>
      </w:r>
      <w:r>
        <w:rPr>
          <w:sz w:val="22"/>
        </w:rPr>
        <w:t>is a list </w:t>
      </w:r>
      <w:r>
        <w:rPr>
          <w:spacing w:val="11"/>
          <w:sz w:val="22"/>
        </w:rPr>
        <w:t>stating major </w:t>
      </w:r>
      <w:r>
        <w:rPr>
          <w:sz w:val="22"/>
        </w:rPr>
        <w:t>curriculum </w:t>
      </w:r>
      <w:r>
        <w:rPr>
          <w:spacing w:val="14"/>
          <w:sz w:val="22"/>
        </w:rPr>
        <w:t>gateways:</w:t>
      </w:r>
    </w:p>
    <w:p>
      <w:pPr>
        <w:pStyle w:val="BodyText"/>
      </w:pPr>
    </w:p>
    <w:p>
      <w:pPr>
        <w:pStyle w:val="BodyText"/>
      </w:pPr>
    </w:p>
    <w:p>
      <w:pPr>
        <w:pStyle w:val="BodyText"/>
        <w:spacing w:before="8"/>
        <w:rPr>
          <w:sz w:val="24"/>
        </w:rPr>
      </w:pPr>
    </w:p>
    <w:p>
      <w:pPr>
        <w:spacing w:before="60"/>
        <w:ind w:left="464" w:right="0" w:firstLine="0"/>
        <w:jc w:val="left"/>
        <w:rPr>
          <w:b/>
          <w:sz w:val="22"/>
        </w:rPr>
      </w:pPr>
      <w:r>
        <w:rPr>
          <w:b/>
          <w:w w:val="85"/>
          <w:sz w:val="22"/>
          <w:u w:val="single"/>
        </w:rPr>
        <w:t>For</w:t>
      </w:r>
      <w:r>
        <w:rPr>
          <w:b/>
          <w:spacing w:val="-4"/>
          <w:w w:val="85"/>
          <w:sz w:val="22"/>
          <w:u w:val="single"/>
        </w:rPr>
        <w:t> </w:t>
      </w:r>
      <w:r>
        <w:rPr>
          <w:b/>
          <w:w w:val="85"/>
          <w:sz w:val="22"/>
          <w:u w:val="single"/>
        </w:rPr>
        <w:t>ARC</w:t>
      </w:r>
      <w:r>
        <w:rPr>
          <w:b/>
          <w:spacing w:val="-3"/>
          <w:w w:val="85"/>
          <w:sz w:val="22"/>
          <w:u w:val="single"/>
        </w:rPr>
        <w:t> </w:t>
      </w:r>
      <w:r>
        <w:rPr>
          <w:b/>
          <w:w w:val="85"/>
          <w:sz w:val="22"/>
          <w:u w:val="single"/>
        </w:rPr>
        <w:t>303</w:t>
      </w:r>
      <w:r>
        <w:rPr>
          <w:b/>
          <w:spacing w:val="-3"/>
          <w:w w:val="85"/>
          <w:sz w:val="22"/>
          <w:u w:val="single"/>
        </w:rPr>
        <w:t> </w:t>
      </w:r>
      <w:r>
        <w:rPr>
          <w:b/>
          <w:w w:val="85"/>
          <w:sz w:val="22"/>
          <w:u w:val="single"/>
        </w:rPr>
        <w:t>(Third</w:t>
      </w:r>
      <w:r>
        <w:rPr>
          <w:b/>
          <w:spacing w:val="-4"/>
          <w:w w:val="85"/>
          <w:sz w:val="22"/>
          <w:u w:val="single"/>
        </w:rPr>
        <w:t> </w:t>
      </w:r>
      <w:r>
        <w:rPr>
          <w:b/>
          <w:w w:val="85"/>
          <w:sz w:val="22"/>
          <w:u w:val="single"/>
        </w:rPr>
        <w:t>Year</w:t>
      </w:r>
      <w:r>
        <w:rPr>
          <w:b/>
          <w:spacing w:val="-3"/>
          <w:w w:val="85"/>
          <w:sz w:val="22"/>
          <w:u w:val="single"/>
        </w:rPr>
        <w:t> </w:t>
      </w:r>
      <w:r>
        <w:rPr>
          <w:b/>
          <w:spacing w:val="-2"/>
          <w:w w:val="85"/>
          <w:sz w:val="22"/>
          <w:u w:val="single"/>
        </w:rPr>
        <w:t>Studio):</w:t>
      </w:r>
    </w:p>
    <w:p>
      <w:pPr>
        <w:pStyle w:val="BodyText"/>
        <w:spacing w:before="1"/>
        <w:rPr>
          <w:b/>
          <w:sz w:val="17"/>
        </w:rPr>
      </w:pPr>
    </w:p>
    <w:p>
      <w:pPr>
        <w:pStyle w:val="ListParagraph"/>
        <w:numPr>
          <w:ilvl w:val="0"/>
          <w:numId w:val="68"/>
        </w:numPr>
        <w:tabs>
          <w:tab w:pos="825" w:val="left" w:leader="none"/>
        </w:tabs>
        <w:spacing w:line="240" w:lineRule="auto" w:before="59" w:after="0"/>
        <w:ind w:left="824" w:right="0" w:hanging="361"/>
        <w:jc w:val="left"/>
        <w:rPr>
          <w:b/>
          <w:sz w:val="22"/>
        </w:rPr>
      </w:pPr>
      <w:r>
        <w:rPr>
          <w:b/>
          <w:w w:val="85"/>
          <w:sz w:val="22"/>
        </w:rPr>
        <w:t>Successful</w:t>
      </w:r>
      <w:r>
        <w:rPr>
          <w:b/>
          <w:spacing w:val="-3"/>
          <w:w w:val="85"/>
          <w:sz w:val="22"/>
        </w:rPr>
        <w:t> </w:t>
      </w:r>
      <w:r>
        <w:rPr>
          <w:b/>
          <w:w w:val="85"/>
          <w:sz w:val="22"/>
        </w:rPr>
        <w:t>Completion</w:t>
      </w:r>
      <w:r>
        <w:rPr>
          <w:b/>
          <w:spacing w:val="-4"/>
          <w:w w:val="85"/>
          <w:sz w:val="22"/>
        </w:rPr>
        <w:t> </w:t>
      </w:r>
      <w:r>
        <w:rPr>
          <w:b/>
          <w:w w:val="85"/>
          <w:sz w:val="22"/>
        </w:rPr>
        <w:t>of</w:t>
      </w:r>
      <w:r>
        <w:rPr>
          <w:b/>
          <w:spacing w:val="-6"/>
          <w:w w:val="85"/>
          <w:sz w:val="22"/>
        </w:rPr>
        <w:t> </w:t>
      </w:r>
      <w:r>
        <w:rPr>
          <w:b/>
          <w:w w:val="85"/>
          <w:sz w:val="22"/>
        </w:rPr>
        <w:t>MAT</w:t>
      </w:r>
      <w:r>
        <w:rPr>
          <w:b/>
          <w:spacing w:val="-5"/>
          <w:w w:val="85"/>
          <w:sz w:val="22"/>
        </w:rPr>
        <w:t> </w:t>
      </w:r>
      <w:r>
        <w:rPr>
          <w:b/>
          <w:w w:val="85"/>
          <w:sz w:val="22"/>
        </w:rPr>
        <w:t>118,</w:t>
      </w:r>
      <w:r>
        <w:rPr>
          <w:b/>
          <w:spacing w:val="-5"/>
          <w:w w:val="85"/>
          <w:sz w:val="22"/>
        </w:rPr>
        <w:t> </w:t>
      </w:r>
      <w:r>
        <w:rPr>
          <w:b/>
          <w:w w:val="85"/>
          <w:sz w:val="22"/>
        </w:rPr>
        <w:t>PHY</w:t>
      </w:r>
      <w:r>
        <w:rPr>
          <w:b/>
          <w:spacing w:val="-5"/>
          <w:w w:val="85"/>
          <w:sz w:val="22"/>
        </w:rPr>
        <w:t> </w:t>
      </w:r>
      <w:r>
        <w:rPr>
          <w:b/>
          <w:w w:val="85"/>
          <w:sz w:val="22"/>
        </w:rPr>
        <w:t>201,</w:t>
      </w:r>
      <w:r>
        <w:rPr>
          <w:b/>
          <w:spacing w:val="-6"/>
          <w:w w:val="85"/>
          <w:sz w:val="22"/>
        </w:rPr>
        <w:t> </w:t>
      </w:r>
      <w:r>
        <w:rPr>
          <w:b/>
          <w:w w:val="85"/>
          <w:sz w:val="22"/>
        </w:rPr>
        <w:t>ARC</w:t>
      </w:r>
      <w:r>
        <w:rPr>
          <w:b/>
          <w:spacing w:val="-5"/>
          <w:w w:val="85"/>
          <w:sz w:val="22"/>
        </w:rPr>
        <w:t> </w:t>
      </w:r>
      <w:r>
        <w:rPr>
          <w:b/>
          <w:w w:val="85"/>
          <w:sz w:val="22"/>
        </w:rPr>
        <w:t>101,</w:t>
      </w:r>
      <w:r>
        <w:rPr>
          <w:b/>
          <w:spacing w:val="-5"/>
          <w:w w:val="85"/>
          <w:sz w:val="22"/>
        </w:rPr>
        <w:t> </w:t>
      </w:r>
      <w:r>
        <w:rPr>
          <w:b/>
          <w:w w:val="85"/>
          <w:sz w:val="22"/>
        </w:rPr>
        <w:t>ARC</w:t>
      </w:r>
      <w:r>
        <w:rPr>
          <w:b/>
          <w:spacing w:val="-5"/>
          <w:w w:val="85"/>
          <w:sz w:val="22"/>
        </w:rPr>
        <w:t> </w:t>
      </w:r>
      <w:r>
        <w:rPr>
          <w:b/>
          <w:w w:val="85"/>
          <w:sz w:val="22"/>
        </w:rPr>
        <w:t>102,</w:t>
      </w:r>
      <w:r>
        <w:rPr>
          <w:b/>
          <w:spacing w:val="-3"/>
          <w:w w:val="85"/>
          <w:sz w:val="22"/>
        </w:rPr>
        <w:t> </w:t>
      </w:r>
      <w:r>
        <w:rPr>
          <w:b/>
          <w:w w:val="85"/>
          <w:sz w:val="22"/>
        </w:rPr>
        <w:t>ARC</w:t>
      </w:r>
      <w:r>
        <w:rPr>
          <w:b/>
          <w:spacing w:val="-5"/>
          <w:w w:val="85"/>
          <w:sz w:val="22"/>
        </w:rPr>
        <w:t> </w:t>
      </w:r>
      <w:r>
        <w:rPr>
          <w:b/>
          <w:spacing w:val="-4"/>
          <w:w w:val="85"/>
          <w:sz w:val="22"/>
        </w:rPr>
        <w:t>200,</w:t>
      </w:r>
    </w:p>
    <w:p>
      <w:pPr>
        <w:pStyle w:val="BodyText"/>
        <w:spacing w:before="3"/>
        <w:rPr>
          <w:b/>
          <w:sz w:val="22"/>
        </w:rPr>
      </w:pPr>
    </w:p>
    <w:p>
      <w:pPr>
        <w:spacing w:before="0"/>
        <w:ind w:left="824" w:right="0" w:firstLine="0"/>
        <w:jc w:val="left"/>
        <w:rPr>
          <w:b/>
          <w:sz w:val="22"/>
        </w:rPr>
      </w:pPr>
      <w:r>
        <w:rPr>
          <w:b/>
          <w:w w:val="80"/>
          <w:sz w:val="22"/>
        </w:rPr>
        <w:t>ARC</w:t>
      </w:r>
      <w:r>
        <w:rPr>
          <w:b/>
          <w:spacing w:val="3"/>
          <w:sz w:val="22"/>
        </w:rPr>
        <w:t> </w:t>
      </w:r>
      <w:r>
        <w:rPr>
          <w:b/>
          <w:w w:val="80"/>
          <w:sz w:val="22"/>
        </w:rPr>
        <w:t>201,</w:t>
      </w:r>
      <w:r>
        <w:rPr>
          <w:b/>
          <w:spacing w:val="7"/>
          <w:sz w:val="22"/>
        </w:rPr>
        <w:t> </w:t>
      </w:r>
      <w:r>
        <w:rPr>
          <w:b/>
          <w:w w:val="80"/>
          <w:sz w:val="22"/>
        </w:rPr>
        <w:t>ARC</w:t>
      </w:r>
      <w:r>
        <w:rPr>
          <w:b/>
          <w:spacing w:val="3"/>
          <w:sz w:val="22"/>
        </w:rPr>
        <w:t> </w:t>
      </w:r>
      <w:r>
        <w:rPr>
          <w:b/>
          <w:w w:val="80"/>
          <w:sz w:val="22"/>
        </w:rPr>
        <w:t>202,</w:t>
      </w:r>
      <w:r>
        <w:rPr>
          <w:b/>
          <w:spacing w:val="3"/>
          <w:sz w:val="22"/>
        </w:rPr>
        <w:t> </w:t>
      </w:r>
      <w:r>
        <w:rPr>
          <w:b/>
          <w:w w:val="80"/>
          <w:sz w:val="22"/>
        </w:rPr>
        <w:t>ARC</w:t>
      </w:r>
      <w:r>
        <w:rPr>
          <w:b/>
          <w:spacing w:val="3"/>
          <w:sz w:val="22"/>
        </w:rPr>
        <w:t> </w:t>
      </w:r>
      <w:r>
        <w:rPr>
          <w:b/>
          <w:w w:val="80"/>
          <w:sz w:val="22"/>
        </w:rPr>
        <w:t>203,</w:t>
      </w:r>
      <w:r>
        <w:rPr>
          <w:b/>
          <w:spacing w:val="4"/>
          <w:sz w:val="22"/>
        </w:rPr>
        <w:t> </w:t>
      </w:r>
      <w:r>
        <w:rPr>
          <w:b/>
          <w:w w:val="80"/>
          <w:sz w:val="22"/>
        </w:rPr>
        <w:t>ARC</w:t>
      </w:r>
      <w:r>
        <w:rPr>
          <w:b/>
          <w:spacing w:val="3"/>
          <w:sz w:val="22"/>
        </w:rPr>
        <w:t> </w:t>
      </w:r>
      <w:r>
        <w:rPr>
          <w:b/>
          <w:w w:val="80"/>
          <w:sz w:val="22"/>
        </w:rPr>
        <w:t>204,</w:t>
      </w:r>
      <w:r>
        <w:rPr>
          <w:b/>
          <w:spacing w:val="6"/>
          <w:sz w:val="22"/>
        </w:rPr>
        <w:t> </w:t>
      </w:r>
      <w:r>
        <w:rPr>
          <w:b/>
          <w:w w:val="80"/>
          <w:sz w:val="22"/>
        </w:rPr>
        <w:t>ARC</w:t>
      </w:r>
      <w:r>
        <w:rPr>
          <w:b/>
          <w:spacing w:val="3"/>
          <w:sz w:val="22"/>
        </w:rPr>
        <w:t> </w:t>
      </w:r>
      <w:r>
        <w:rPr>
          <w:b/>
          <w:w w:val="80"/>
          <w:sz w:val="22"/>
        </w:rPr>
        <w:t>207,</w:t>
      </w:r>
      <w:r>
        <w:rPr>
          <w:b/>
          <w:spacing w:val="6"/>
          <w:sz w:val="22"/>
        </w:rPr>
        <w:t> </w:t>
      </w:r>
      <w:r>
        <w:rPr>
          <w:b/>
          <w:w w:val="80"/>
          <w:sz w:val="22"/>
        </w:rPr>
        <w:t>ARC</w:t>
      </w:r>
      <w:r>
        <w:rPr>
          <w:b/>
          <w:spacing w:val="3"/>
          <w:sz w:val="22"/>
        </w:rPr>
        <w:t> </w:t>
      </w:r>
      <w:r>
        <w:rPr>
          <w:b/>
          <w:w w:val="80"/>
          <w:sz w:val="22"/>
        </w:rPr>
        <w:t>208</w:t>
      </w:r>
      <w:r>
        <w:rPr>
          <w:b/>
          <w:spacing w:val="7"/>
          <w:sz w:val="22"/>
        </w:rPr>
        <w:t> </w:t>
      </w:r>
      <w:r>
        <w:rPr>
          <w:b/>
          <w:w w:val="80"/>
          <w:sz w:val="22"/>
        </w:rPr>
        <w:t>and</w:t>
      </w:r>
      <w:r>
        <w:rPr>
          <w:b/>
          <w:spacing w:val="4"/>
          <w:sz w:val="22"/>
        </w:rPr>
        <w:t> </w:t>
      </w:r>
      <w:r>
        <w:rPr>
          <w:b/>
          <w:w w:val="80"/>
          <w:sz w:val="22"/>
        </w:rPr>
        <w:t>ARC</w:t>
      </w:r>
      <w:r>
        <w:rPr>
          <w:b/>
          <w:spacing w:val="4"/>
          <w:sz w:val="22"/>
        </w:rPr>
        <w:t> </w:t>
      </w:r>
      <w:r>
        <w:rPr>
          <w:b/>
          <w:spacing w:val="-4"/>
          <w:w w:val="80"/>
          <w:sz w:val="22"/>
        </w:rPr>
        <w:t>213.</w:t>
      </w:r>
    </w:p>
    <w:p>
      <w:pPr>
        <w:pStyle w:val="BodyText"/>
        <w:spacing w:before="2"/>
        <w:rPr>
          <w:b/>
          <w:sz w:val="22"/>
        </w:rPr>
      </w:pPr>
    </w:p>
    <w:p>
      <w:pPr>
        <w:pStyle w:val="ListParagraph"/>
        <w:numPr>
          <w:ilvl w:val="0"/>
          <w:numId w:val="68"/>
        </w:numPr>
        <w:tabs>
          <w:tab w:pos="825" w:val="left" w:leader="none"/>
        </w:tabs>
        <w:spacing w:line="240" w:lineRule="auto" w:before="1" w:after="0"/>
        <w:ind w:left="824" w:right="0" w:hanging="361"/>
        <w:jc w:val="left"/>
        <w:rPr>
          <w:b/>
          <w:sz w:val="22"/>
        </w:rPr>
      </w:pPr>
      <w:r>
        <w:rPr>
          <w:b/>
          <w:w w:val="85"/>
          <w:sz w:val="22"/>
        </w:rPr>
        <w:t>Cumulative</w:t>
      </w:r>
      <w:r>
        <w:rPr>
          <w:b/>
          <w:spacing w:val="-3"/>
          <w:w w:val="85"/>
          <w:sz w:val="22"/>
        </w:rPr>
        <w:t> </w:t>
      </w:r>
      <w:r>
        <w:rPr>
          <w:b/>
          <w:w w:val="85"/>
          <w:sz w:val="22"/>
        </w:rPr>
        <w:t>GPA</w:t>
      </w:r>
      <w:r>
        <w:rPr>
          <w:b/>
          <w:spacing w:val="-1"/>
          <w:w w:val="85"/>
          <w:sz w:val="22"/>
        </w:rPr>
        <w:t> </w:t>
      </w:r>
      <w:r>
        <w:rPr>
          <w:b/>
          <w:w w:val="85"/>
          <w:sz w:val="22"/>
        </w:rPr>
        <w:t>in</w:t>
      </w:r>
      <w:r>
        <w:rPr>
          <w:b/>
          <w:spacing w:val="-9"/>
          <w:sz w:val="22"/>
        </w:rPr>
        <w:t> </w:t>
      </w:r>
      <w:r>
        <w:rPr>
          <w:b/>
          <w:w w:val="85"/>
          <w:sz w:val="22"/>
        </w:rPr>
        <w:t>Major</w:t>
      </w:r>
      <w:r>
        <w:rPr>
          <w:b/>
          <w:spacing w:val="-8"/>
          <w:sz w:val="22"/>
        </w:rPr>
        <w:t> </w:t>
      </w:r>
      <w:r>
        <w:rPr>
          <w:b/>
          <w:w w:val="85"/>
          <w:sz w:val="22"/>
        </w:rPr>
        <w:t>(ARC)</w:t>
      </w:r>
      <w:r>
        <w:rPr>
          <w:b/>
          <w:spacing w:val="-1"/>
          <w:w w:val="85"/>
          <w:sz w:val="22"/>
        </w:rPr>
        <w:t> </w:t>
      </w:r>
      <w:r>
        <w:rPr>
          <w:b/>
          <w:w w:val="85"/>
          <w:sz w:val="22"/>
        </w:rPr>
        <w:t>courses</w:t>
      </w:r>
      <w:r>
        <w:rPr>
          <w:b/>
          <w:spacing w:val="-1"/>
          <w:w w:val="85"/>
          <w:sz w:val="22"/>
        </w:rPr>
        <w:t> </w:t>
      </w:r>
      <w:r>
        <w:rPr>
          <w:b/>
          <w:w w:val="85"/>
          <w:sz w:val="22"/>
        </w:rPr>
        <w:t>of</w:t>
      </w:r>
      <w:r>
        <w:rPr>
          <w:b/>
          <w:spacing w:val="-9"/>
          <w:sz w:val="22"/>
        </w:rPr>
        <w:t> </w:t>
      </w:r>
      <w:r>
        <w:rPr>
          <w:b/>
          <w:spacing w:val="-5"/>
          <w:w w:val="85"/>
          <w:sz w:val="22"/>
        </w:rPr>
        <w:t>2.3</w:t>
      </w:r>
    </w:p>
    <w:p>
      <w:pPr>
        <w:pStyle w:val="BodyText"/>
        <w:rPr>
          <w:b/>
          <w:sz w:val="22"/>
        </w:rPr>
      </w:pPr>
    </w:p>
    <w:p>
      <w:pPr>
        <w:pStyle w:val="BodyText"/>
        <w:rPr>
          <w:b/>
          <w:sz w:val="22"/>
        </w:rPr>
      </w:pPr>
    </w:p>
    <w:p>
      <w:pPr>
        <w:pStyle w:val="BodyText"/>
        <w:spacing w:before="5"/>
        <w:rPr>
          <w:b/>
          <w:sz w:val="22"/>
        </w:rPr>
      </w:pPr>
    </w:p>
    <w:p>
      <w:pPr>
        <w:spacing w:before="0"/>
        <w:ind w:left="464" w:right="0" w:firstLine="0"/>
        <w:jc w:val="left"/>
        <w:rPr>
          <w:b/>
          <w:sz w:val="22"/>
        </w:rPr>
      </w:pPr>
      <w:r>
        <w:rPr>
          <w:b/>
          <w:w w:val="85"/>
          <w:sz w:val="22"/>
          <w:u w:val="single"/>
        </w:rPr>
        <w:t>For</w:t>
      </w:r>
      <w:r>
        <w:rPr>
          <w:b/>
          <w:spacing w:val="-2"/>
          <w:w w:val="85"/>
          <w:sz w:val="22"/>
          <w:u w:val="single"/>
        </w:rPr>
        <w:t> </w:t>
      </w:r>
      <w:r>
        <w:rPr>
          <w:b/>
          <w:w w:val="85"/>
          <w:sz w:val="22"/>
          <w:u w:val="single"/>
        </w:rPr>
        <w:t>ARC</w:t>
      </w:r>
      <w:r>
        <w:rPr>
          <w:b/>
          <w:spacing w:val="-2"/>
          <w:w w:val="85"/>
          <w:sz w:val="22"/>
          <w:u w:val="single"/>
        </w:rPr>
        <w:t> </w:t>
      </w:r>
      <w:r>
        <w:rPr>
          <w:b/>
          <w:w w:val="85"/>
          <w:sz w:val="22"/>
          <w:u w:val="single"/>
        </w:rPr>
        <w:t>405</w:t>
      </w:r>
      <w:r>
        <w:rPr>
          <w:b/>
          <w:spacing w:val="-1"/>
          <w:w w:val="85"/>
          <w:sz w:val="22"/>
          <w:u w:val="single"/>
        </w:rPr>
        <w:t> </w:t>
      </w:r>
      <w:r>
        <w:rPr>
          <w:b/>
          <w:w w:val="85"/>
          <w:sz w:val="22"/>
          <w:u w:val="single"/>
        </w:rPr>
        <w:t>(Fourth</w:t>
      </w:r>
      <w:r>
        <w:rPr>
          <w:b/>
          <w:spacing w:val="-5"/>
          <w:w w:val="85"/>
          <w:sz w:val="22"/>
          <w:u w:val="single"/>
        </w:rPr>
        <w:t> </w:t>
      </w:r>
      <w:r>
        <w:rPr>
          <w:b/>
          <w:w w:val="85"/>
          <w:sz w:val="22"/>
          <w:u w:val="single"/>
        </w:rPr>
        <w:t>Year</w:t>
      </w:r>
      <w:r>
        <w:rPr>
          <w:b/>
          <w:spacing w:val="-2"/>
          <w:w w:val="85"/>
          <w:sz w:val="22"/>
          <w:u w:val="single"/>
        </w:rPr>
        <w:t> Studio):</w:t>
      </w:r>
    </w:p>
    <w:p>
      <w:pPr>
        <w:pStyle w:val="BodyText"/>
        <w:spacing w:before="1"/>
        <w:rPr>
          <w:b/>
          <w:sz w:val="17"/>
        </w:rPr>
      </w:pPr>
    </w:p>
    <w:p>
      <w:pPr>
        <w:pStyle w:val="ListParagraph"/>
        <w:numPr>
          <w:ilvl w:val="0"/>
          <w:numId w:val="69"/>
        </w:numPr>
        <w:tabs>
          <w:tab w:pos="825" w:val="left" w:leader="none"/>
        </w:tabs>
        <w:spacing w:line="240" w:lineRule="auto" w:before="60" w:after="0"/>
        <w:ind w:left="824" w:right="0" w:hanging="361"/>
        <w:jc w:val="left"/>
        <w:rPr>
          <w:b/>
          <w:sz w:val="22"/>
        </w:rPr>
      </w:pPr>
      <w:r>
        <w:rPr>
          <w:b/>
          <w:w w:val="85"/>
          <w:sz w:val="22"/>
        </w:rPr>
        <w:t>Successful</w:t>
      </w:r>
      <w:r>
        <w:rPr>
          <w:b/>
          <w:spacing w:val="-3"/>
          <w:w w:val="85"/>
          <w:sz w:val="22"/>
        </w:rPr>
        <w:t> </w:t>
      </w:r>
      <w:r>
        <w:rPr>
          <w:b/>
          <w:w w:val="85"/>
          <w:sz w:val="22"/>
        </w:rPr>
        <w:t>Completion</w:t>
      </w:r>
      <w:r>
        <w:rPr>
          <w:b/>
          <w:spacing w:val="-4"/>
          <w:w w:val="85"/>
          <w:sz w:val="22"/>
        </w:rPr>
        <w:t> </w:t>
      </w:r>
      <w:r>
        <w:rPr>
          <w:b/>
          <w:w w:val="85"/>
          <w:sz w:val="22"/>
        </w:rPr>
        <w:t>of</w:t>
      </w:r>
      <w:r>
        <w:rPr>
          <w:b/>
          <w:spacing w:val="-6"/>
          <w:w w:val="85"/>
          <w:sz w:val="22"/>
        </w:rPr>
        <w:t> </w:t>
      </w:r>
      <w:r>
        <w:rPr>
          <w:b/>
          <w:w w:val="85"/>
          <w:sz w:val="22"/>
        </w:rPr>
        <w:t>MAT</w:t>
      </w:r>
      <w:r>
        <w:rPr>
          <w:b/>
          <w:spacing w:val="-5"/>
          <w:w w:val="85"/>
          <w:sz w:val="22"/>
        </w:rPr>
        <w:t> </w:t>
      </w:r>
      <w:r>
        <w:rPr>
          <w:b/>
          <w:w w:val="85"/>
          <w:sz w:val="22"/>
        </w:rPr>
        <w:t>118,</w:t>
      </w:r>
      <w:r>
        <w:rPr>
          <w:b/>
          <w:spacing w:val="-5"/>
          <w:w w:val="85"/>
          <w:sz w:val="22"/>
        </w:rPr>
        <w:t> </w:t>
      </w:r>
      <w:r>
        <w:rPr>
          <w:b/>
          <w:w w:val="85"/>
          <w:sz w:val="22"/>
        </w:rPr>
        <w:t>PHY</w:t>
      </w:r>
      <w:r>
        <w:rPr>
          <w:b/>
          <w:spacing w:val="-5"/>
          <w:w w:val="85"/>
          <w:sz w:val="22"/>
        </w:rPr>
        <w:t> </w:t>
      </w:r>
      <w:r>
        <w:rPr>
          <w:b/>
          <w:w w:val="85"/>
          <w:sz w:val="22"/>
        </w:rPr>
        <w:t>201,</w:t>
      </w:r>
      <w:r>
        <w:rPr>
          <w:b/>
          <w:spacing w:val="-6"/>
          <w:w w:val="85"/>
          <w:sz w:val="22"/>
        </w:rPr>
        <w:t> </w:t>
      </w:r>
      <w:r>
        <w:rPr>
          <w:b/>
          <w:w w:val="85"/>
          <w:sz w:val="22"/>
        </w:rPr>
        <w:t>ARC</w:t>
      </w:r>
      <w:r>
        <w:rPr>
          <w:b/>
          <w:spacing w:val="-5"/>
          <w:w w:val="85"/>
          <w:sz w:val="22"/>
        </w:rPr>
        <w:t> </w:t>
      </w:r>
      <w:r>
        <w:rPr>
          <w:b/>
          <w:w w:val="85"/>
          <w:sz w:val="22"/>
        </w:rPr>
        <w:t>101,</w:t>
      </w:r>
      <w:r>
        <w:rPr>
          <w:b/>
          <w:spacing w:val="-5"/>
          <w:w w:val="85"/>
          <w:sz w:val="22"/>
        </w:rPr>
        <w:t> </w:t>
      </w:r>
      <w:r>
        <w:rPr>
          <w:b/>
          <w:w w:val="85"/>
          <w:sz w:val="22"/>
        </w:rPr>
        <w:t>ARC</w:t>
      </w:r>
      <w:r>
        <w:rPr>
          <w:b/>
          <w:spacing w:val="-5"/>
          <w:w w:val="85"/>
          <w:sz w:val="22"/>
        </w:rPr>
        <w:t> </w:t>
      </w:r>
      <w:r>
        <w:rPr>
          <w:b/>
          <w:w w:val="85"/>
          <w:sz w:val="22"/>
        </w:rPr>
        <w:t>102,</w:t>
      </w:r>
      <w:r>
        <w:rPr>
          <w:b/>
          <w:spacing w:val="-3"/>
          <w:w w:val="85"/>
          <w:sz w:val="22"/>
        </w:rPr>
        <w:t> </w:t>
      </w:r>
      <w:r>
        <w:rPr>
          <w:b/>
          <w:w w:val="85"/>
          <w:sz w:val="22"/>
        </w:rPr>
        <w:t>ARC</w:t>
      </w:r>
      <w:r>
        <w:rPr>
          <w:b/>
          <w:spacing w:val="-5"/>
          <w:w w:val="85"/>
          <w:sz w:val="22"/>
        </w:rPr>
        <w:t> </w:t>
      </w:r>
      <w:r>
        <w:rPr>
          <w:b/>
          <w:spacing w:val="-4"/>
          <w:w w:val="85"/>
          <w:sz w:val="22"/>
        </w:rPr>
        <w:t>200,</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5"/>
        <w:rPr>
          <w:b/>
          <w:sz w:val="17"/>
        </w:rPr>
      </w:pPr>
    </w:p>
    <w:p>
      <w:pPr>
        <w:tabs>
          <w:tab w:pos="5839" w:val="left" w:leader="none"/>
        </w:tabs>
        <w:spacing w:before="0"/>
        <w:ind w:left="548" w:right="0" w:firstLine="0"/>
        <w:jc w:val="left"/>
        <w:rPr>
          <w:b/>
          <w:sz w:val="20"/>
        </w:rPr>
      </w:pPr>
      <w:r>
        <w:rPr/>
        <w:pict>
          <v:rect style="position:absolute;margin-left:77.400002pt;margin-top:10.459887pt;width:349.92pt;height:.6pt;mso-position-horizontal-relative:page;mso-position-vertical-relative:paragraph;z-index:15744000" id="docshape575" filled="true" fillcolor="#000000" stroked="false">
            <v:fill type="solid"/>
            <w10:wrap type="none"/>
          </v:rect>
        </w:pict>
      </w:r>
      <w:r>
        <w:rPr>
          <w:b/>
          <w:w w:val="80"/>
          <w:sz w:val="20"/>
        </w:rPr>
        <w:t>HAMPTON</w:t>
      </w:r>
      <w:r>
        <w:rPr>
          <w:b/>
          <w:spacing w:val="24"/>
          <w:sz w:val="20"/>
        </w:rPr>
        <w:t> </w:t>
      </w:r>
      <w:r>
        <w:rPr>
          <w:b/>
          <w:w w:val="80"/>
          <w:sz w:val="20"/>
        </w:rPr>
        <w:t>UNIVERSITY</w:t>
      </w:r>
      <w:r>
        <w:rPr>
          <w:b/>
          <w:spacing w:val="28"/>
          <w:sz w:val="20"/>
        </w:rPr>
        <w:t> </w:t>
      </w:r>
      <w:r>
        <w:rPr>
          <w:b/>
          <w:w w:val="80"/>
          <w:sz w:val="20"/>
        </w:rPr>
        <w:t>DEPARTMENT</w:t>
      </w:r>
      <w:r>
        <w:rPr>
          <w:b/>
          <w:spacing w:val="22"/>
          <w:sz w:val="20"/>
        </w:rPr>
        <w:t> </w:t>
      </w:r>
      <w:r>
        <w:rPr>
          <w:b/>
          <w:w w:val="80"/>
          <w:sz w:val="20"/>
        </w:rPr>
        <w:t>OF</w:t>
      </w:r>
      <w:r>
        <w:rPr>
          <w:b/>
          <w:spacing w:val="28"/>
          <w:sz w:val="20"/>
        </w:rPr>
        <w:t> </w:t>
      </w:r>
      <w:r>
        <w:rPr>
          <w:b/>
          <w:spacing w:val="-2"/>
          <w:w w:val="80"/>
          <w:sz w:val="20"/>
        </w:rPr>
        <w:t>ARCHITECURE</w:t>
      </w:r>
      <w:r>
        <w:rPr>
          <w:b/>
          <w:sz w:val="20"/>
        </w:rPr>
        <w:tab/>
      </w:r>
      <w:r>
        <w:rPr>
          <w:b/>
          <w:spacing w:val="-2"/>
          <w:w w:val="95"/>
          <w:sz w:val="20"/>
        </w:rPr>
        <w:t>CURRICULUM</w:t>
      </w:r>
    </w:p>
    <w:p>
      <w:pPr>
        <w:spacing w:after="0"/>
        <w:jc w:val="left"/>
        <w:rPr>
          <w:sz w:val="20"/>
        </w:rPr>
        <w:sectPr>
          <w:headerReference w:type="default" r:id="rId301"/>
          <w:footerReference w:type="default" r:id="rId302"/>
          <w:pgSz w:w="12240" w:h="15840"/>
          <w:pgMar w:header="0" w:footer="748" w:top="1400" w:bottom="940" w:left="1000" w:right="820"/>
        </w:sectPr>
      </w:pPr>
    </w:p>
    <w:p>
      <w:pPr>
        <w:tabs>
          <w:tab w:pos="4690" w:val="left" w:leader="none"/>
        </w:tabs>
        <w:spacing w:before="43"/>
        <w:ind w:left="548" w:right="0" w:firstLine="0"/>
        <w:jc w:val="left"/>
        <w:rPr>
          <w:b/>
          <w:sz w:val="20"/>
        </w:rPr>
      </w:pPr>
      <w:r>
        <w:rPr>
          <w:b/>
          <w:w w:val="75"/>
          <w:sz w:val="20"/>
          <w:u w:val="single"/>
        </w:rPr>
        <w:t>FIRST</w:t>
      </w:r>
      <w:r>
        <w:rPr>
          <w:b/>
          <w:spacing w:val="-3"/>
          <w:sz w:val="20"/>
          <w:u w:val="single"/>
        </w:rPr>
        <w:t> </w:t>
      </w:r>
      <w:r>
        <w:rPr>
          <w:b/>
          <w:spacing w:val="-4"/>
          <w:w w:val="90"/>
          <w:sz w:val="20"/>
          <w:u w:val="single"/>
        </w:rPr>
        <w:t>YEAR</w:t>
      </w:r>
      <w:r>
        <w:rPr>
          <w:b/>
          <w:sz w:val="20"/>
          <w:u w:val="single"/>
        </w:rPr>
        <w:tab/>
      </w:r>
    </w:p>
    <w:p>
      <w:pPr>
        <w:pStyle w:val="BodyText"/>
        <w:spacing w:before="8"/>
        <w:rPr>
          <w:b/>
          <w:sz w:val="7"/>
        </w:rPr>
      </w:pPr>
    </w:p>
    <w:tbl>
      <w:tblPr>
        <w:tblW w:w="0" w:type="auto"/>
        <w:jc w:val="left"/>
        <w:tblInd w:w="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7"/>
        <w:gridCol w:w="516"/>
        <w:gridCol w:w="2684"/>
        <w:gridCol w:w="974"/>
        <w:gridCol w:w="517"/>
        <w:gridCol w:w="433"/>
        <w:gridCol w:w="2824"/>
        <w:gridCol w:w="646"/>
      </w:tblGrid>
      <w:tr>
        <w:trPr>
          <w:trHeight w:val="240" w:hRule="atLeast"/>
        </w:trPr>
        <w:tc>
          <w:tcPr>
            <w:tcW w:w="547" w:type="dxa"/>
          </w:tcPr>
          <w:p>
            <w:pPr>
              <w:pStyle w:val="TableParagraph"/>
              <w:spacing w:line="192" w:lineRule="exact"/>
              <w:ind w:left="50"/>
              <w:rPr>
                <w:sz w:val="20"/>
              </w:rPr>
            </w:pPr>
            <w:r>
              <w:rPr>
                <w:spacing w:val="-5"/>
                <w:w w:val="90"/>
                <w:sz w:val="20"/>
              </w:rPr>
              <w:t>ARC</w:t>
            </w:r>
          </w:p>
        </w:tc>
        <w:tc>
          <w:tcPr>
            <w:tcW w:w="516" w:type="dxa"/>
          </w:tcPr>
          <w:p>
            <w:pPr>
              <w:pStyle w:val="TableParagraph"/>
              <w:spacing w:line="192" w:lineRule="exact"/>
              <w:ind w:left="86" w:right="69"/>
              <w:jc w:val="center"/>
              <w:rPr>
                <w:sz w:val="20"/>
              </w:rPr>
            </w:pPr>
            <w:r>
              <w:rPr>
                <w:spacing w:val="-5"/>
                <w:sz w:val="20"/>
              </w:rPr>
              <w:t>101</w:t>
            </w:r>
          </w:p>
        </w:tc>
        <w:tc>
          <w:tcPr>
            <w:tcW w:w="2684" w:type="dxa"/>
          </w:tcPr>
          <w:p>
            <w:pPr>
              <w:pStyle w:val="TableParagraph"/>
              <w:spacing w:line="192" w:lineRule="exact"/>
              <w:ind w:left="139"/>
              <w:rPr>
                <w:sz w:val="20"/>
              </w:rPr>
            </w:pPr>
            <w:r>
              <w:rPr>
                <w:spacing w:val="-2"/>
                <w:sz w:val="20"/>
              </w:rPr>
              <w:t>Studio</w:t>
            </w:r>
          </w:p>
        </w:tc>
        <w:tc>
          <w:tcPr>
            <w:tcW w:w="974" w:type="dxa"/>
          </w:tcPr>
          <w:p>
            <w:pPr>
              <w:pStyle w:val="TableParagraph"/>
              <w:spacing w:line="192" w:lineRule="exact"/>
              <w:ind w:left="445"/>
              <w:rPr>
                <w:sz w:val="20"/>
              </w:rPr>
            </w:pPr>
            <w:r>
              <w:rPr>
                <w:w w:val="90"/>
                <w:sz w:val="20"/>
              </w:rPr>
              <w:t>5</w:t>
            </w:r>
          </w:p>
        </w:tc>
        <w:tc>
          <w:tcPr>
            <w:tcW w:w="517" w:type="dxa"/>
          </w:tcPr>
          <w:p>
            <w:pPr>
              <w:pStyle w:val="TableParagraph"/>
              <w:spacing w:line="192" w:lineRule="exact"/>
              <w:ind w:left="6"/>
              <w:rPr>
                <w:sz w:val="20"/>
              </w:rPr>
            </w:pPr>
            <w:r>
              <w:rPr>
                <w:spacing w:val="-5"/>
                <w:w w:val="90"/>
                <w:sz w:val="20"/>
              </w:rPr>
              <w:t>ARC</w:t>
            </w:r>
          </w:p>
        </w:tc>
        <w:tc>
          <w:tcPr>
            <w:tcW w:w="433" w:type="dxa"/>
          </w:tcPr>
          <w:p>
            <w:pPr>
              <w:pStyle w:val="TableParagraph"/>
              <w:spacing w:line="192" w:lineRule="exact"/>
              <w:ind w:left="78"/>
              <w:jc w:val="center"/>
              <w:rPr>
                <w:sz w:val="20"/>
              </w:rPr>
            </w:pPr>
            <w:r>
              <w:rPr>
                <w:spacing w:val="-5"/>
                <w:sz w:val="20"/>
              </w:rPr>
              <w:t>102</w:t>
            </w:r>
          </w:p>
        </w:tc>
        <w:tc>
          <w:tcPr>
            <w:tcW w:w="2824" w:type="dxa"/>
          </w:tcPr>
          <w:p>
            <w:pPr>
              <w:pStyle w:val="TableParagraph"/>
              <w:spacing w:line="192" w:lineRule="exact"/>
              <w:ind w:left="189"/>
              <w:rPr>
                <w:sz w:val="20"/>
              </w:rPr>
            </w:pPr>
            <w:r>
              <w:rPr>
                <w:spacing w:val="-2"/>
                <w:sz w:val="20"/>
              </w:rPr>
              <w:t>Studio</w:t>
            </w:r>
          </w:p>
        </w:tc>
        <w:tc>
          <w:tcPr>
            <w:tcW w:w="646" w:type="dxa"/>
          </w:tcPr>
          <w:p>
            <w:pPr>
              <w:pStyle w:val="TableParagraph"/>
              <w:spacing w:line="192" w:lineRule="exact"/>
              <w:ind w:right="95"/>
              <w:jc w:val="right"/>
              <w:rPr>
                <w:sz w:val="20"/>
              </w:rPr>
            </w:pPr>
            <w:r>
              <w:rPr>
                <w:w w:val="90"/>
                <w:sz w:val="20"/>
              </w:rPr>
              <w:t>5</w:t>
            </w:r>
          </w:p>
        </w:tc>
      </w:tr>
      <w:tr>
        <w:trPr>
          <w:trHeight w:val="280" w:hRule="atLeast"/>
        </w:trPr>
        <w:tc>
          <w:tcPr>
            <w:tcW w:w="547" w:type="dxa"/>
          </w:tcPr>
          <w:p>
            <w:pPr>
              <w:pStyle w:val="TableParagraph"/>
              <w:spacing w:before="2"/>
              <w:ind w:left="50"/>
              <w:rPr>
                <w:sz w:val="20"/>
              </w:rPr>
            </w:pPr>
            <w:r>
              <w:rPr>
                <w:spacing w:val="-5"/>
                <w:w w:val="90"/>
                <w:sz w:val="20"/>
              </w:rPr>
              <w:t>ARC</w:t>
            </w:r>
          </w:p>
        </w:tc>
        <w:tc>
          <w:tcPr>
            <w:tcW w:w="516" w:type="dxa"/>
          </w:tcPr>
          <w:p>
            <w:pPr>
              <w:pStyle w:val="TableParagraph"/>
              <w:spacing w:before="2"/>
              <w:ind w:left="86" w:right="70"/>
              <w:jc w:val="center"/>
              <w:rPr>
                <w:sz w:val="20"/>
              </w:rPr>
            </w:pPr>
            <w:r>
              <w:rPr>
                <w:spacing w:val="-5"/>
                <w:sz w:val="20"/>
              </w:rPr>
              <w:t>207</w:t>
            </w:r>
          </w:p>
        </w:tc>
        <w:tc>
          <w:tcPr>
            <w:tcW w:w="2684" w:type="dxa"/>
          </w:tcPr>
          <w:p>
            <w:pPr>
              <w:pStyle w:val="TableParagraph"/>
              <w:spacing w:before="2"/>
              <w:ind w:left="98"/>
              <w:rPr>
                <w:sz w:val="20"/>
              </w:rPr>
            </w:pPr>
            <w:r>
              <w:rPr>
                <w:w w:val="90"/>
                <w:sz w:val="20"/>
              </w:rPr>
              <w:t>Architectural</w:t>
            </w:r>
            <w:r>
              <w:rPr>
                <w:spacing w:val="16"/>
                <w:sz w:val="20"/>
              </w:rPr>
              <w:t> </w:t>
            </w:r>
            <w:r>
              <w:rPr>
                <w:w w:val="90"/>
                <w:sz w:val="20"/>
              </w:rPr>
              <w:t>History</w:t>
            </w:r>
            <w:r>
              <w:rPr>
                <w:spacing w:val="19"/>
                <w:sz w:val="20"/>
              </w:rPr>
              <w:t> </w:t>
            </w:r>
            <w:r>
              <w:rPr>
                <w:spacing w:val="-10"/>
                <w:w w:val="90"/>
                <w:sz w:val="20"/>
              </w:rPr>
              <w:t>I</w:t>
            </w:r>
          </w:p>
        </w:tc>
        <w:tc>
          <w:tcPr>
            <w:tcW w:w="974" w:type="dxa"/>
          </w:tcPr>
          <w:p>
            <w:pPr>
              <w:pStyle w:val="TableParagraph"/>
              <w:spacing w:before="2"/>
              <w:ind w:left="445"/>
              <w:rPr>
                <w:sz w:val="20"/>
              </w:rPr>
            </w:pPr>
            <w:r>
              <w:rPr>
                <w:w w:val="90"/>
                <w:sz w:val="20"/>
              </w:rPr>
              <w:t>3</w:t>
            </w:r>
          </w:p>
        </w:tc>
        <w:tc>
          <w:tcPr>
            <w:tcW w:w="517" w:type="dxa"/>
          </w:tcPr>
          <w:p>
            <w:pPr>
              <w:pStyle w:val="TableParagraph"/>
              <w:spacing w:before="2"/>
              <w:ind w:left="6"/>
              <w:rPr>
                <w:sz w:val="20"/>
              </w:rPr>
            </w:pPr>
            <w:r>
              <w:rPr>
                <w:spacing w:val="-5"/>
                <w:w w:val="90"/>
                <w:sz w:val="20"/>
              </w:rPr>
              <w:t>ARC</w:t>
            </w:r>
          </w:p>
        </w:tc>
        <w:tc>
          <w:tcPr>
            <w:tcW w:w="433" w:type="dxa"/>
          </w:tcPr>
          <w:p>
            <w:pPr>
              <w:pStyle w:val="TableParagraph"/>
              <w:spacing w:before="2"/>
              <w:ind w:left="78"/>
              <w:jc w:val="center"/>
              <w:rPr>
                <w:sz w:val="20"/>
              </w:rPr>
            </w:pPr>
            <w:r>
              <w:rPr>
                <w:spacing w:val="-5"/>
                <w:sz w:val="20"/>
              </w:rPr>
              <w:t>208</w:t>
            </w:r>
          </w:p>
        </w:tc>
        <w:tc>
          <w:tcPr>
            <w:tcW w:w="2824" w:type="dxa"/>
          </w:tcPr>
          <w:p>
            <w:pPr>
              <w:pStyle w:val="TableParagraph"/>
              <w:spacing w:before="2"/>
              <w:ind w:left="189"/>
              <w:rPr>
                <w:sz w:val="20"/>
              </w:rPr>
            </w:pPr>
            <w:r>
              <w:rPr>
                <w:w w:val="90"/>
                <w:sz w:val="20"/>
              </w:rPr>
              <w:t>Architectural</w:t>
            </w:r>
            <w:r>
              <w:rPr>
                <w:spacing w:val="16"/>
                <w:sz w:val="20"/>
              </w:rPr>
              <w:t> </w:t>
            </w:r>
            <w:r>
              <w:rPr>
                <w:w w:val="90"/>
                <w:sz w:val="20"/>
              </w:rPr>
              <w:t>History</w:t>
            </w:r>
            <w:r>
              <w:rPr>
                <w:spacing w:val="19"/>
                <w:sz w:val="20"/>
              </w:rPr>
              <w:t> </w:t>
            </w:r>
            <w:r>
              <w:rPr>
                <w:spacing w:val="-5"/>
                <w:w w:val="90"/>
                <w:sz w:val="20"/>
              </w:rPr>
              <w:t>II</w:t>
            </w:r>
          </w:p>
        </w:tc>
        <w:tc>
          <w:tcPr>
            <w:tcW w:w="646" w:type="dxa"/>
          </w:tcPr>
          <w:p>
            <w:pPr>
              <w:pStyle w:val="TableParagraph"/>
              <w:spacing w:before="2"/>
              <w:ind w:right="95"/>
              <w:jc w:val="right"/>
              <w:rPr>
                <w:sz w:val="20"/>
              </w:rPr>
            </w:pPr>
            <w:r>
              <w:rPr>
                <w:w w:val="90"/>
                <w:sz w:val="20"/>
              </w:rPr>
              <w:t>3</w:t>
            </w:r>
          </w:p>
        </w:tc>
      </w:tr>
      <w:tr>
        <w:trPr>
          <w:trHeight w:val="280" w:hRule="atLeast"/>
        </w:trPr>
        <w:tc>
          <w:tcPr>
            <w:tcW w:w="547" w:type="dxa"/>
          </w:tcPr>
          <w:p>
            <w:pPr>
              <w:pStyle w:val="TableParagraph"/>
              <w:spacing w:before="2"/>
              <w:ind w:left="50"/>
              <w:rPr>
                <w:sz w:val="20"/>
              </w:rPr>
            </w:pPr>
            <w:r>
              <w:rPr>
                <w:spacing w:val="-5"/>
                <w:w w:val="90"/>
                <w:sz w:val="20"/>
              </w:rPr>
              <w:t>ENG</w:t>
            </w:r>
          </w:p>
        </w:tc>
        <w:tc>
          <w:tcPr>
            <w:tcW w:w="516" w:type="dxa"/>
          </w:tcPr>
          <w:p>
            <w:pPr>
              <w:pStyle w:val="TableParagraph"/>
              <w:spacing w:before="2"/>
              <w:ind w:left="86" w:right="70"/>
              <w:jc w:val="center"/>
              <w:rPr>
                <w:sz w:val="20"/>
              </w:rPr>
            </w:pPr>
            <w:r>
              <w:rPr>
                <w:spacing w:val="-5"/>
                <w:sz w:val="20"/>
              </w:rPr>
              <w:t>101</w:t>
            </w:r>
          </w:p>
        </w:tc>
        <w:tc>
          <w:tcPr>
            <w:tcW w:w="2684" w:type="dxa"/>
          </w:tcPr>
          <w:p>
            <w:pPr>
              <w:pStyle w:val="TableParagraph"/>
              <w:spacing w:before="2"/>
              <w:ind w:left="98"/>
              <w:rPr>
                <w:sz w:val="20"/>
              </w:rPr>
            </w:pPr>
            <w:r>
              <w:rPr>
                <w:w w:val="90"/>
                <w:sz w:val="20"/>
              </w:rPr>
              <w:t>Written</w:t>
            </w:r>
            <w:r>
              <w:rPr>
                <w:spacing w:val="25"/>
                <w:sz w:val="20"/>
              </w:rPr>
              <w:t> </w:t>
            </w:r>
            <w:r>
              <w:rPr>
                <w:w w:val="90"/>
                <w:sz w:val="20"/>
              </w:rPr>
              <w:t>Communications</w:t>
            </w:r>
            <w:r>
              <w:rPr>
                <w:spacing w:val="22"/>
                <w:sz w:val="20"/>
              </w:rPr>
              <w:t> </w:t>
            </w:r>
            <w:r>
              <w:rPr>
                <w:spacing w:val="-10"/>
                <w:w w:val="90"/>
                <w:sz w:val="20"/>
              </w:rPr>
              <w:t>I</w:t>
            </w:r>
          </w:p>
        </w:tc>
        <w:tc>
          <w:tcPr>
            <w:tcW w:w="974" w:type="dxa"/>
          </w:tcPr>
          <w:p>
            <w:pPr>
              <w:pStyle w:val="TableParagraph"/>
              <w:spacing w:before="2"/>
              <w:ind w:left="445"/>
              <w:rPr>
                <w:sz w:val="20"/>
              </w:rPr>
            </w:pPr>
            <w:r>
              <w:rPr>
                <w:w w:val="90"/>
                <w:sz w:val="20"/>
              </w:rPr>
              <w:t>3</w:t>
            </w:r>
          </w:p>
        </w:tc>
        <w:tc>
          <w:tcPr>
            <w:tcW w:w="517" w:type="dxa"/>
          </w:tcPr>
          <w:p>
            <w:pPr>
              <w:pStyle w:val="TableParagraph"/>
              <w:spacing w:before="2"/>
              <w:ind w:left="6"/>
              <w:rPr>
                <w:sz w:val="20"/>
              </w:rPr>
            </w:pPr>
            <w:r>
              <w:rPr>
                <w:spacing w:val="-5"/>
                <w:w w:val="90"/>
                <w:sz w:val="20"/>
              </w:rPr>
              <w:t>ENG</w:t>
            </w:r>
          </w:p>
        </w:tc>
        <w:tc>
          <w:tcPr>
            <w:tcW w:w="433" w:type="dxa"/>
          </w:tcPr>
          <w:p>
            <w:pPr>
              <w:pStyle w:val="TableParagraph"/>
              <w:spacing w:before="2"/>
              <w:ind w:left="77"/>
              <w:jc w:val="center"/>
              <w:rPr>
                <w:sz w:val="20"/>
              </w:rPr>
            </w:pPr>
            <w:r>
              <w:rPr>
                <w:spacing w:val="-5"/>
                <w:sz w:val="20"/>
              </w:rPr>
              <w:t>102</w:t>
            </w:r>
          </w:p>
        </w:tc>
        <w:tc>
          <w:tcPr>
            <w:tcW w:w="2824" w:type="dxa"/>
          </w:tcPr>
          <w:p>
            <w:pPr>
              <w:pStyle w:val="TableParagraph"/>
              <w:spacing w:before="2"/>
              <w:ind w:left="189"/>
              <w:rPr>
                <w:sz w:val="20"/>
              </w:rPr>
            </w:pPr>
            <w:r>
              <w:rPr>
                <w:w w:val="90"/>
                <w:sz w:val="20"/>
              </w:rPr>
              <w:t>Written</w:t>
            </w:r>
            <w:r>
              <w:rPr>
                <w:spacing w:val="25"/>
                <w:sz w:val="20"/>
              </w:rPr>
              <w:t> </w:t>
            </w:r>
            <w:r>
              <w:rPr>
                <w:w w:val="90"/>
                <w:sz w:val="20"/>
              </w:rPr>
              <w:t>Communications</w:t>
            </w:r>
            <w:r>
              <w:rPr>
                <w:spacing w:val="22"/>
                <w:sz w:val="20"/>
              </w:rPr>
              <w:t> </w:t>
            </w:r>
            <w:r>
              <w:rPr>
                <w:spacing w:val="-5"/>
                <w:w w:val="90"/>
                <w:sz w:val="20"/>
              </w:rPr>
              <w:t>II</w:t>
            </w:r>
          </w:p>
        </w:tc>
        <w:tc>
          <w:tcPr>
            <w:tcW w:w="646" w:type="dxa"/>
          </w:tcPr>
          <w:p>
            <w:pPr>
              <w:pStyle w:val="TableParagraph"/>
              <w:spacing w:before="2"/>
              <w:ind w:right="95"/>
              <w:jc w:val="right"/>
              <w:rPr>
                <w:sz w:val="20"/>
              </w:rPr>
            </w:pPr>
            <w:r>
              <w:rPr>
                <w:w w:val="90"/>
                <w:sz w:val="20"/>
              </w:rPr>
              <w:t>3</w:t>
            </w:r>
          </w:p>
        </w:tc>
      </w:tr>
      <w:tr>
        <w:trPr>
          <w:trHeight w:val="240" w:hRule="atLeast"/>
        </w:trPr>
        <w:tc>
          <w:tcPr>
            <w:tcW w:w="547" w:type="dxa"/>
          </w:tcPr>
          <w:p>
            <w:pPr>
              <w:pStyle w:val="TableParagraph"/>
              <w:spacing w:line="217" w:lineRule="exact" w:before="2"/>
              <w:ind w:left="50"/>
              <w:rPr>
                <w:sz w:val="20"/>
              </w:rPr>
            </w:pPr>
            <w:r>
              <w:rPr>
                <w:spacing w:val="-5"/>
                <w:sz w:val="20"/>
              </w:rPr>
              <w:t>MAT</w:t>
            </w:r>
          </w:p>
        </w:tc>
        <w:tc>
          <w:tcPr>
            <w:tcW w:w="516" w:type="dxa"/>
          </w:tcPr>
          <w:p>
            <w:pPr>
              <w:pStyle w:val="TableParagraph"/>
              <w:spacing w:line="217" w:lineRule="exact" w:before="2"/>
              <w:ind w:left="86" w:right="70"/>
              <w:jc w:val="center"/>
              <w:rPr>
                <w:sz w:val="20"/>
              </w:rPr>
            </w:pPr>
            <w:r>
              <w:rPr>
                <w:spacing w:val="-5"/>
                <w:sz w:val="20"/>
              </w:rPr>
              <w:t>118</w:t>
            </w:r>
          </w:p>
        </w:tc>
        <w:tc>
          <w:tcPr>
            <w:tcW w:w="2684" w:type="dxa"/>
          </w:tcPr>
          <w:p>
            <w:pPr>
              <w:pStyle w:val="TableParagraph"/>
              <w:spacing w:line="217" w:lineRule="exact" w:before="2"/>
              <w:ind w:left="98"/>
              <w:rPr>
                <w:sz w:val="20"/>
              </w:rPr>
            </w:pPr>
            <w:r>
              <w:rPr>
                <w:w w:val="85"/>
                <w:sz w:val="20"/>
              </w:rPr>
              <w:t>Pre-Calculus</w:t>
            </w:r>
            <w:r>
              <w:rPr>
                <w:spacing w:val="3"/>
                <w:sz w:val="20"/>
              </w:rPr>
              <w:t> </w:t>
            </w:r>
            <w:r>
              <w:rPr>
                <w:spacing w:val="-5"/>
                <w:w w:val="85"/>
                <w:sz w:val="20"/>
              </w:rPr>
              <w:t>II</w:t>
            </w:r>
          </w:p>
        </w:tc>
        <w:tc>
          <w:tcPr>
            <w:tcW w:w="974" w:type="dxa"/>
          </w:tcPr>
          <w:p>
            <w:pPr>
              <w:pStyle w:val="TableParagraph"/>
              <w:spacing w:line="217" w:lineRule="exact" w:before="2"/>
              <w:ind w:left="445"/>
              <w:rPr>
                <w:sz w:val="20"/>
              </w:rPr>
            </w:pPr>
            <w:r>
              <w:rPr>
                <w:w w:val="90"/>
                <w:sz w:val="20"/>
              </w:rPr>
              <w:t>3</w:t>
            </w:r>
          </w:p>
        </w:tc>
        <w:tc>
          <w:tcPr>
            <w:tcW w:w="517" w:type="dxa"/>
          </w:tcPr>
          <w:p>
            <w:pPr>
              <w:pStyle w:val="TableParagraph"/>
              <w:spacing w:line="217" w:lineRule="exact" w:before="2"/>
              <w:ind w:left="6"/>
              <w:rPr>
                <w:sz w:val="20"/>
              </w:rPr>
            </w:pPr>
            <w:r>
              <w:rPr>
                <w:spacing w:val="-5"/>
                <w:w w:val="95"/>
                <w:sz w:val="20"/>
              </w:rPr>
              <w:t>COM</w:t>
            </w:r>
          </w:p>
        </w:tc>
        <w:tc>
          <w:tcPr>
            <w:tcW w:w="433" w:type="dxa"/>
          </w:tcPr>
          <w:p>
            <w:pPr>
              <w:pStyle w:val="TableParagraph"/>
              <w:spacing w:line="217" w:lineRule="exact" w:before="2"/>
              <w:ind w:left="77"/>
              <w:jc w:val="center"/>
              <w:rPr>
                <w:sz w:val="20"/>
              </w:rPr>
            </w:pPr>
            <w:r>
              <w:rPr>
                <w:spacing w:val="-5"/>
                <w:sz w:val="20"/>
              </w:rPr>
              <w:t>103</w:t>
            </w:r>
          </w:p>
        </w:tc>
        <w:tc>
          <w:tcPr>
            <w:tcW w:w="2824" w:type="dxa"/>
          </w:tcPr>
          <w:p>
            <w:pPr>
              <w:pStyle w:val="TableParagraph"/>
              <w:spacing w:line="217" w:lineRule="exact" w:before="2"/>
              <w:ind w:left="189"/>
              <w:rPr>
                <w:sz w:val="20"/>
              </w:rPr>
            </w:pPr>
            <w:r>
              <w:rPr>
                <w:w w:val="90"/>
                <w:sz w:val="20"/>
              </w:rPr>
              <w:t>Oral</w:t>
            </w:r>
            <w:r>
              <w:rPr>
                <w:spacing w:val="-6"/>
                <w:w w:val="90"/>
                <w:sz w:val="20"/>
              </w:rPr>
              <w:t> </w:t>
            </w:r>
            <w:r>
              <w:rPr>
                <w:spacing w:val="-2"/>
                <w:w w:val="95"/>
                <w:sz w:val="20"/>
              </w:rPr>
              <w:t>Communications</w:t>
            </w:r>
          </w:p>
        </w:tc>
        <w:tc>
          <w:tcPr>
            <w:tcW w:w="646" w:type="dxa"/>
          </w:tcPr>
          <w:p>
            <w:pPr>
              <w:pStyle w:val="TableParagraph"/>
              <w:spacing w:line="217" w:lineRule="exact" w:before="2"/>
              <w:ind w:right="96"/>
              <w:jc w:val="right"/>
              <w:rPr>
                <w:sz w:val="20"/>
              </w:rPr>
            </w:pPr>
            <w:r>
              <w:rPr>
                <w:w w:val="90"/>
                <w:sz w:val="20"/>
              </w:rPr>
              <w:t>3</w:t>
            </w:r>
          </w:p>
        </w:tc>
      </w:tr>
      <w:tr>
        <w:trPr>
          <w:trHeight w:val="321" w:hRule="atLeast"/>
        </w:trPr>
        <w:tc>
          <w:tcPr>
            <w:tcW w:w="547" w:type="dxa"/>
          </w:tcPr>
          <w:p>
            <w:pPr>
              <w:pStyle w:val="TableParagraph"/>
              <w:spacing w:before="43"/>
              <w:ind w:left="49"/>
              <w:rPr>
                <w:sz w:val="20"/>
              </w:rPr>
            </w:pPr>
            <w:r>
              <w:rPr>
                <w:spacing w:val="-5"/>
                <w:w w:val="95"/>
                <w:sz w:val="20"/>
              </w:rPr>
              <w:t>UNV</w:t>
            </w:r>
          </w:p>
        </w:tc>
        <w:tc>
          <w:tcPr>
            <w:tcW w:w="516" w:type="dxa"/>
          </w:tcPr>
          <w:p>
            <w:pPr>
              <w:pStyle w:val="TableParagraph"/>
              <w:spacing w:before="43"/>
              <w:ind w:left="85" w:right="70"/>
              <w:jc w:val="center"/>
              <w:rPr>
                <w:sz w:val="20"/>
              </w:rPr>
            </w:pPr>
            <w:r>
              <w:rPr>
                <w:spacing w:val="-5"/>
                <w:sz w:val="20"/>
              </w:rPr>
              <w:t>101</w:t>
            </w:r>
          </w:p>
        </w:tc>
        <w:tc>
          <w:tcPr>
            <w:tcW w:w="2684" w:type="dxa"/>
          </w:tcPr>
          <w:p>
            <w:pPr>
              <w:pStyle w:val="TableParagraph"/>
              <w:spacing w:before="43"/>
              <w:ind w:left="97"/>
              <w:rPr>
                <w:sz w:val="20"/>
              </w:rPr>
            </w:pPr>
            <w:r>
              <w:rPr>
                <w:w w:val="90"/>
                <w:sz w:val="20"/>
              </w:rPr>
              <w:t>Individual</w:t>
            </w:r>
            <w:r>
              <w:rPr>
                <w:spacing w:val="7"/>
                <w:sz w:val="20"/>
              </w:rPr>
              <w:t> </w:t>
            </w:r>
            <w:r>
              <w:rPr>
                <w:w w:val="90"/>
                <w:sz w:val="20"/>
              </w:rPr>
              <w:t>&amp;</w:t>
            </w:r>
            <w:r>
              <w:rPr>
                <w:spacing w:val="10"/>
                <w:sz w:val="20"/>
              </w:rPr>
              <w:t> </w:t>
            </w:r>
            <w:r>
              <w:rPr>
                <w:spacing w:val="-4"/>
                <w:w w:val="90"/>
                <w:sz w:val="20"/>
              </w:rPr>
              <w:t>Life</w:t>
            </w:r>
          </w:p>
        </w:tc>
        <w:tc>
          <w:tcPr>
            <w:tcW w:w="974" w:type="dxa"/>
          </w:tcPr>
          <w:p>
            <w:pPr>
              <w:pStyle w:val="TableParagraph"/>
              <w:spacing w:before="43"/>
              <w:ind w:left="444"/>
              <w:rPr>
                <w:sz w:val="20"/>
              </w:rPr>
            </w:pPr>
            <w:r>
              <w:rPr>
                <w:w w:val="90"/>
                <w:sz w:val="20"/>
              </w:rPr>
              <w:t>1</w:t>
            </w:r>
          </w:p>
        </w:tc>
        <w:tc>
          <w:tcPr>
            <w:tcW w:w="950" w:type="dxa"/>
            <w:gridSpan w:val="2"/>
          </w:tcPr>
          <w:p>
            <w:pPr>
              <w:pStyle w:val="TableParagraph"/>
              <w:spacing w:before="43"/>
              <w:ind w:left="6"/>
              <w:rPr>
                <w:sz w:val="20"/>
              </w:rPr>
            </w:pPr>
            <w:r>
              <w:rPr>
                <w:spacing w:val="-2"/>
                <w:w w:val="85"/>
                <w:sz w:val="20"/>
              </w:rPr>
              <w:t>ELECTIVE</w:t>
            </w:r>
          </w:p>
        </w:tc>
        <w:tc>
          <w:tcPr>
            <w:tcW w:w="2824" w:type="dxa"/>
          </w:tcPr>
          <w:p>
            <w:pPr>
              <w:pStyle w:val="TableParagraph"/>
              <w:spacing w:before="43"/>
              <w:ind w:left="28"/>
              <w:rPr>
                <w:sz w:val="20"/>
              </w:rPr>
            </w:pPr>
            <w:r>
              <w:rPr>
                <w:spacing w:val="-5"/>
                <w:w w:val="105"/>
                <w:sz w:val="20"/>
              </w:rPr>
              <w:t>Art</w:t>
            </w:r>
          </w:p>
        </w:tc>
        <w:tc>
          <w:tcPr>
            <w:tcW w:w="646" w:type="dxa"/>
          </w:tcPr>
          <w:p>
            <w:pPr>
              <w:pStyle w:val="TableParagraph"/>
              <w:spacing w:before="43"/>
              <w:ind w:right="96"/>
              <w:jc w:val="right"/>
              <w:rPr>
                <w:sz w:val="20"/>
              </w:rPr>
            </w:pPr>
            <w:r>
              <w:rPr>
                <w:w w:val="90"/>
                <w:sz w:val="20"/>
              </w:rPr>
              <w:t>2</w:t>
            </w:r>
          </w:p>
        </w:tc>
      </w:tr>
      <w:tr>
        <w:trPr>
          <w:trHeight w:val="232" w:hRule="atLeast"/>
        </w:trPr>
        <w:tc>
          <w:tcPr>
            <w:tcW w:w="547" w:type="dxa"/>
            <w:tcBorders>
              <w:bottom w:val="single" w:sz="6" w:space="0" w:color="000000"/>
            </w:tcBorders>
          </w:tcPr>
          <w:p>
            <w:pPr>
              <w:pStyle w:val="TableParagraph"/>
              <w:spacing w:line="188" w:lineRule="exact" w:before="2"/>
              <w:ind w:left="50"/>
              <w:rPr>
                <w:sz w:val="20"/>
              </w:rPr>
            </w:pPr>
            <w:r>
              <w:rPr>
                <w:spacing w:val="-5"/>
                <w:w w:val="90"/>
                <w:sz w:val="20"/>
              </w:rPr>
              <w:t>HEA</w:t>
            </w:r>
          </w:p>
        </w:tc>
        <w:tc>
          <w:tcPr>
            <w:tcW w:w="516" w:type="dxa"/>
            <w:tcBorders>
              <w:bottom w:val="single" w:sz="6" w:space="0" w:color="000000"/>
            </w:tcBorders>
          </w:tcPr>
          <w:p>
            <w:pPr>
              <w:pStyle w:val="TableParagraph"/>
              <w:spacing w:line="188" w:lineRule="exact" w:before="2"/>
              <w:ind w:left="86" w:right="70"/>
              <w:jc w:val="center"/>
              <w:rPr>
                <w:sz w:val="20"/>
              </w:rPr>
            </w:pPr>
            <w:r>
              <w:rPr>
                <w:spacing w:val="-5"/>
                <w:sz w:val="20"/>
              </w:rPr>
              <w:t>200</w:t>
            </w:r>
          </w:p>
        </w:tc>
        <w:tc>
          <w:tcPr>
            <w:tcW w:w="2684" w:type="dxa"/>
            <w:tcBorders>
              <w:bottom w:val="single" w:sz="6" w:space="0" w:color="000000"/>
            </w:tcBorders>
          </w:tcPr>
          <w:p>
            <w:pPr>
              <w:pStyle w:val="TableParagraph"/>
              <w:spacing w:line="188" w:lineRule="exact" w:before="2"/>
              <w:ind w:left="98"/>
              <w:rPr>
                <w:sz w:val="20"/>
              </w:rPr>
            </w:pPr>
            <w:r>
              <w:rPr>
                <w:w w:val="90"/>
                <w:sz w:val="20"/>
              </w:rPr>
              <w:t>Health</w:t>
            </w:r>
            <w:r>
              <w:rPr>
                <w:spacing w:val="-3"/>
                <w:sz w:val="20"/>
              </w:rPr>
              <w:t> </w:t>
            </w:r>
            <w:r>
              <w:rPr>
                <w:w w:val="90"/>
                <w:sz w:val="20"/>
              </w:rPr>
              <w:t>Education</w:t>
            </w:r>
            <w:r>
              <w:rPr>
                <w:spacing w:val="-3"/>
                <w:sz w:val="20"/>
              </w:rPr>
              <w:t> </w:t>
            </w:r>
            <w:r>
              <w:rPr>
                <w:spacing w:val="-4"/>
                <w:w w:val="90"/>
                <w:sz w:val="20"/>
              </w:rPr>
              <w:t>(PED)</w:t>
            </w:r>
          </w:p>
        </w:tc>
        <w:tc>
          <w:tcPr>
            <w:tcW w:w="974" w:type="dxa"/>
            <w:tcBorders>
              <w:bottom w:val="single" w:sz="6" w:space="0" w:color="000000"/>
            </w:tcBorders>
          </w:tcPr>
          <w:p>
            <w:pPr>
              <w:pStyle w:val="TableParagraph"/>
              <w:spacing w:line="188" w:lineRule="exact" w:before="2"/>
              <w:ind w:left="445"/>
              <w:rPr>
                <w:sz w:val="20"/>
              </w:rPr>
            </w:pPr>
            <w:r>
              <w:rPr>
                <w:spacing w:val="-4"/>
                <w:sz w:val="20"/>
              </w:rPr>
              <w:t>2(1)</w:t>
            </w:r>
          </w:p>
        </w:tc>
        <w:tc>
          <w:tcPr>
            <w:tcW w:w="950" w:type="dxa"/>
            <w:gridSpan w:val="2"/>
            <w:tcBorders>
              <w:bottom w:val="single" w:sz="6" w:space="0" w:color="000000"/>
            </w:tcBorders>
          </w:tcPr>
          <w:p>
            <w:pPr>
              <w:pStyle w:val="TableParagraph"/>
              <w:rPr>
                <w:rFonts w:ascii="Times New Roman"/>
                <w:sz w:val="14"/>
              </w:rPr>
            </w:pPr>
          </w:p>
        </w:tc>
        <w:tc>
          <w:tcPr>
            <w:tcW w:w="2824" w:type="dxa"/>
            <w:tcBorders>
              <w:bottom w:val="single" w:sz="6" w:space="0" w:color="000000"/>
            </w:tcBorders>
          </w:tcPr>
          <w:p>
            <w:pPr>
              <w:pStyle w:val="TableParagraph"/>
              <w:rPr>
                <w:rFonts w:ascii="Times New Roman"/>
                <w:sz w:val="14"/>
              </w:rPr>
            </w:pPr>
          </w:p>
        </w:tc>
        <w:tc>
          <w:tcPr>
            <w:tcW w:w="646" w:type="dxa"/>
            <w:tcBorders>
              <w:bottom w:val="single" w:sz="6" w:space="0" w:color="000000"/>
            </w:tcBorders>
          </w:tcPr>
          <w:p>
            <w:pPr>
              <w:pStyle w:val="TableParagraph"/>
              <w:rPr>
                <w:rFonts w:ascii="Times New Roman"/>
                <w:sz w:val="14"/>
              </w:rPr>
            </w:pPr>
          </w:p>
        </w:tc>
      </w:tr>
      <w:tr>
        <w:trPr>
          <w:trHeight w:val="273" w:hRule="atLeast"/>
        </w:trPr>
        <w:tc>
          <w:tcPr>
            <w:tcW w:w="547" w:type="dxa"/>
            <w:tcBorders>
              <w:top w:val="single" w:sz="6" w:space="0" w:color="000000"/>
            </w:tcBorders>
          </w:tcPr>
          <w:p>
            <w:pPr>
              <w:pStyle w:val="TableParagraph"/>
              <w:rPr>
                <w:rFonts w:ascii="Times New Roman"/>
                <w:sz w:val="20"/>
              </w:rPr>
            </w:pPr>
          </w:p>
        </w:tc>
        <w:tc>
          <w:tcPr>
            <w:tcW w:w="516" w:type="dxa"/>
            <w:tcBorders>
              <w:top w:val="single" w:sz="6" w:space="0" w:color="000000"/>
            </w:tcBorders>
          </w:tcPr>
          <w:p>
            <w:pPr>
              <w:pStyle w:val="TableParagraph"/>
              <w:rPr>
                <w:rFonts w:ascii="Times New Roman"/>
                <w:sz w:val="20"/>
              </w:rPr>
            </w:pPr>
          </w:p>
        </w:tc>
        <w:tc>
          <w:tcPr>
            <w:tcW w:w="2684" w:type="dxa"/>
            <w:tcBorders>
              <w:top w:val="single" w:sz="6" w:space="0" w:color="000000"/>
            </w:tcBorders>
          </w:tcPr>
          <w:p>
            <w:pPr>
              <w:pStyle w:val="TableParagraph"/>
              <w:rPr>
                <w:rFonts w:ascii="Times New Roman"/>
                <w:sz w:val="20"/>
              </w:rPr>
            </w:pPr>
          </w:p>
        </w:tc>
        <w:tc>
          <w:tcPr>
            <w:tcW w:w="974" w:type="dxa"/>
            <w:tcBorders>
              <w:top w:val="single" w:sz="6" w:space="0" w:color="000000"/>
            </w:tcBorders>
          </w:tcPr>
          <w:p>
            <w:pPr>
              <w:pStyle w:val="TableParagraph"/>
              <w:spacing w:line="217" w:lineRule="exact" w:before="58"/>
              <w:ind w:left="445"/>
              <w:rPr>
                <w:sz w:val="20"/>
              </w:rPr>
            </w:pPr>
            <w:r>
              <w:rPr>
                <w:spacing w:val="-2"/>
                <w:w w:val="90"/>
                <w:sz w:val="20"/>
              </w:rPr>
              <w:t>17(16)</w:t>
            </w:r>
          </w:p>
        </w:tc>
        <w:tc>
          <w:tcPr>
            <w:tcW w:w="950" w:type="dxa"/>
            <w:gridSpan w:val="2"/>
            <w:tcBorders>
              <w:top w:val="single" w:sz="6" w:space="0" w:color="000000"/>
            </w:tcBorders>
          </w:tcPr>
          <w:p>
            <w:pPr>
              <w:pStyle w:val="TableParagraph"/>
              <w:rPr>
                <w:rFonts w:ascii="Times New Roman"/>
                <w:sz w:val="20"/>
              </w:rPr>
            </w:pPr>
          </w:p>
        </w:tc>
        <w:tc>
          <w:tcPr>
            <w:tcW w:w="2824" w:type="dxa"/>
            <w:tcBorders>
              <w:top w:val="single" w:sz="6" w:space="0" w:color="000000"/>
            </w:tcBorders>
          </w:tcPr>
          <w:p>
            <w:pPr>
              <w:pStyle w:val="TableParagraph"/>
              <w:rPr>
                <w:rFonts w:ascii="Times New Roman"/>
                <w:sz w:val="20"/>
              </w:rPr>
            </w:pPr>
          </w:p>
        </w:tc>
        <w:tc>
          <w:tcPr>
            <w:tcW w:w="646" w:type="dxa"/>
            <w:tcBorders>
              <w:top w:val="single" w:sz="6" w:space="0" w:color="000000"/>
            </w:tcBorders>
          </w:tcPr>
          <w:p>
            <w:pPr>
              <w:pStyle w:val="TableParagraph"/>
              <w:spacing w:line="217" w:lineRule="exact" w:before="58"/>
              <w:ind w:right="-15"/>
              <w:jc w:val="right"/>
              <w:rPr>
                <w:sz w:val="20"/>
              </w:rPr>
            </w:pPr>
            <w:r>
              <w:rPr>
                <w:spacing w:val="-5"/>
                <w:sz w:val="20"/>
              </w:rPr>
              <w:t>16</w:t>
            </w:r>
          </w:p>
        </w:tc>
      </w:tr>
    </w:tbl>
    <w:p>
      <w:pPr>
        <w:pStyle w:val="BodyText"/>
        <w:spacing w:before="5"/>
        <w:rPr>
          <w:b/>
          <w:sz w:val="28"/>
        </w:rPr>
      </w:pPr>
    </w:p>
    <w:p>
      <w:pPr>
        <w:tabs>
          <w:tab w:pos="4987" w:val="left" w:leader="none"/>
        </w:tabs>
        <w:spacing w:before="0"/>
        <w:ind w:left="548" w:right="0" w:firstLine="0"/>
        <w:jc w:val="left"/>
        <w:rPr>
          <w:b/>
          <w:sz w:val="20"/>
        </w:rPr>
      </w:pPr>
      <w:r>
        <w:rPr>
          <w:b/>
          <w:w w:val="75"/>
          <w:sz w:val="20"/>
          <w:u w:val="single"/>
        </w:rPr>
        <w:t>SECOND</w:t>
      </w:r>
      <w:r>
        <w:rPr>
          <w:b/>
          <w:spacing w:val="26"/>
          <w:sz w:val="20"/>
          <w:u w:val="single"/>
        </w:rPr>
        <w:t> </w:t>
      </w:r>
      <w:r>
        <w:rPr>
          <w:b/>
          <w:spacing w:val="-4"/>
          <w:w w:val="85"/>
          <w:sz w:val="20"/>
          <w:u w:val="single"/>
        </w:rPr>
        <w:t>YEAR</w:t>
      </w:r>
      <w:r>
        <w:rPr>
          <w:b/>
          <w:sz w:val="20"/>
          <w:u w:val="single"/>
        </w:rPr>
        <w:tab/>
      </w:r>
    </w:p>
    <w:p>
      <w:pPr>
        <w:pStyle w:val="BodyText"/>
        <w:spacing w:before="9"/>
        <w:rPr>
          <w:b/>
          <w:sz w:val="7"/>
        </w:rPr>
      </w:pPr>
    </w:p>
    <w:tbl>
      <w:tblPr>
        <w:tblW w:w="0" w:type="auto"/>
        <w:jc w:val="left"/>
        <w:tblInd w:w="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1"/>
        <w:gridCol w:w="543"/>
        <w:gridCol w:w="2924"/>
        <w:gridCol w:w="457"/>
        <w:gridCol w:w="759"/>
        <w:gridCol w:w="685"/>
        <w:gridCol w:w="2381"/>
        <w:gridCol w:w="883"/>
      </w:tblGrid>
      <w:tr>
        <w:trPr>
          <w:trHeight w:val="240" w:hRule="atLeast"/>
        </w:trPr>
        <w:tc>
          <w:tcPr>
            <w:tcW w:w="521" w:type="dxa"/>
          </w:tcPr>
          <w:p>
            <w:pPr>
              <w:pStyle w:val="TableParagraph"/>
              <w:spacing w:line="192" w:lineRule="exact"/>
              <w:ind w:left="50"/>
              <w:rPr>
                <w:sz w:val="20"/>
              </w:rPr>
            </w:pPr>
            <w:r>
              <w:rPr>
                <w:spacing w:val="-5"/>
                <w:w w:val="90"/>
                <w:sz w:val="20"/>
              </w:rPr>
              <w:t>ARC</w:t>
            </w:r>
          </w:p>
        </w:tc>
        <w:tc>
          <w:tcPr>
            <w:tcW w:w="543" w:type="dxa"/>
          </w:tcPr>
          <w:p>
            <w:pPr>
              <w:pStyle w:val="TableParagraph"/>
              <w:spacing w:line="192" w:lineRule="exact"/>
              <w:ind w:right="97"/>
              <w:jc w:val="right"/>
              <w:rPr>
                <w:sz w:val="20"/>
              </w:rPr>
            </w:pPr>
            <w:r>
              <w:rPr>
                <w:spacing w:val="-5"/>
                <w:sz w:val="20"/>
              </w:rPr>
              <w:t>201</w:t>
            </w:r>
          </w:p>
        </w:tc>
        <w:tc>
          <w:tcPr>
            <w:tcW w:w="2924" w:type="dxa"/>
          </w:tcPr>
          <w:p>
            <w:pPr>
              <w:pStyle w:val="TableParagraph"/>
              <w:spacing w:line="192" w:lineRule="exact"/>
              <w:ind w:left="97"/>
              <w:rPr>
                <w:sz w:val="20"/>
              </w:rPr>
            </w:pPr>
            <w:r>
              <w:rPr>
                <w:spacing w:val="-2"/>
                <w:sz w:val="20"/>
              </w:rPr>
              <w:t>Studio</w:t>
            </w:r>
          </w:p>
        </w:tc>
        <w:tc>
          <w:tcPr>
            <w:tcW w:w="457" w:type="dxa"/>
          </w:tcPr>
          <w:p>
            <w:pPr>
              <w:pStyle w:val="TableParagraph"/>
              <w:spacing w:line="192" w:lineRule="exact"/>
              <w:ind w:left="53"/>
              <w:jc w:val="center"/>
              <w:rPr>
                <w:sz w:val="20"/>
              </w:rPr>
            </w:pPr>
            <w:r>
              <w:rPr>
                <w:w w:val="90"/>
                <w:sz w:val="20"/>
              </w:rPr>
              <w:t>5</w:t>
            </w:r>
          </w:p>
        </w:tc>
        <w:tc>
          <w:tcPr>
            <w:tcW w:w="759" w:type="dxa"/>
          </w:tcPr>
          <w:p>
            <w:pPr>
              <w:pStyle w:val="TableParagraph"/>
              <w:spacing w:line="192" w:lineRule="exact"/>
              <w:ind w:right="144"/>
              <w:jc w:val="right"/>
              <w:rPr>
                <w:sz w:val="20"/>
              </w:rPr>
            </w:pPr>
            <w:r>
              <w:rPr>
                <w:spacing w:val="-5"/>
                <w:w w:val="90"/>
                <w:sz w:val="20"/>
              </w:rPr>
              <w:t>ARC</w:t>
            </w:r>
          </w:p>
        </w:tc>
        <w:tc>
          <w:tcPr>
            <w:tcW w:w="685" w:type="dxa"/>
          </w:tcPr>
          <w:p>
            <w:pPr>
              <w:pStyle w:val="TableParagraph"/>
              <w:spacing w:line="192" w:lineRule="exact"/>
              <w:ind w:left="138"/>
              <w:rPr>
                <w:sz w:val="20"/>
              </w:rPr>
            </w:pPr>
            <w:r>
              <w:rPr>
                <w:spacing w:val="-5"/>
                <w:sz w:val="20"/>
              </w:rPr>
              <w:t>202</w:t>
            </w:r>
          </w:p>
        </w:tc>
        <w:tc>
          <w:tcPr>
            <w:tcW w:w="2381" w:type="dxa"/>
          </w:tcPr>
          <w:p>
            <w:pPr>
              <w:pStyle w:val="TableParagraph"/>
              <w:spacing w:line="192" w:lineRule="exact"/>
              <w:ind w:left="-29"/>
              <w:rPr>
                <w:sz w:val="20"/>
              </w:rPr>
            </w:pPr>
            <w:r>
              <w:rPr>
                <w:spacing w:val="-2"/>
                <w:sz w:val="20"/>
              </w:rPr>
              <w:t>Studio</w:t>
            </w:r>
          </w:p>
        </w:tc>
        <w:tc>
          <w:tcPr>
            <w:tcW w:w="883" w:type="dxa"/>
          </w:tcPr>
          <w:p>
            <w:pPr>
              <w:pStyle w:val="TableParagraph"/>
              <w:spacing w:line="192" w:lineRule="exact"/>
              <w:ind w:right="107"/>
              <w:jc w:val="right"/>
              <w:rPr>
                <w:sz w:val="20"/>
              </w:rPr>
            </w:pPr>
            <w:r>
              <w:rPr>
                <w:w w:val="90"/>
                <w:sz w:val="20"/>
              </w:rPr>
              <w:t>5</w:t>
            </w:r>
          </w:p>
        </w:tc>
      </w:tr>
      <w:tr>
        <w:trPr>
          <w:trHeight w:val="280" w:hRule="atLeast"/>
        </w:trPr>
        <w:tc>
          <w:tcPr>
            <w:tcW w:w="521" w:type="dxa"/>
          </w:tcPr>
          <w:p>
            <w:pPr>
              <w:pStyle w:val="TableParagraph"/>
              <w:spacing w:before="2"/>
              <w:ind w:left="50"/>
              <w:rPr>
                <w:sz w:val="20"/>
              </w:rPr>
            </w:pPr>
            <w:r>
              <w:rPr>
                <w:spacing w:val="-5"/>
                <w:w w:val="90"/>
                <w:sz w:val="20"/>
              </w:rPr>
              <w:t>ARC</w:t>
            </w:r>
          </w:p>
        </w:tc>
        <w:tc>
          <w:tcPr>
            <w:tcW w:w="543" w:type="dxa"/>
          </w:tcPr>
          <w:p>
            <w:pPr>
              <w:pStyle w:val="TableParagraph"/>
              <w:spacing w:before="2"/>
              <w:ind w:right="97"/>
              <w:jc w:val="right"/>
              <w:rPr>
                <w:sz w:val="20"/>
              </w:rPr>
            </w:pPr>
            <w:r>
              <w:rPr>
                <w:spacing w:val="-5"/>
                <w:sz w:val="20"/>
              </w:rPr>
              <w:t>203</w:t>
            </w:r>
          </w:p>
        </w:tc>
        <w:tc>
          <w:tcPr>
            <w:tcW w:w="2924" w:type="dxa"/>
          </w:tcPr>
          <w:p>
            <w:pPr>
              <w:pStyle w:val="TableParagraph"/>
              <w:spacing w:before="2"/>
              <w:ind w:left="97"/>
              <w:rPr>
                <w:sz w:val="20"/>
              </w:rPr>
            </w:pPr>
            <w:r>
              <w:rPr>
                <w:w w:val="90"/>
                <w:sz w:val="20"/>
              </w:rPr>
              <w:t>Representation</w:t>
            </w:r>
            <w:r>
              <w:rPr>
                <w:spacing w:val="2"/>
                <w:sz w:val="20"/>
              </w:rPr>
              <w:t> </w:t>
            </w:r>
            <w:r>
              <w:rPr>
                <w:spacing w:val="-10"/>
                <w:sz w:val="20"/>
              </w:rPr>
              <w:t>I</w:t>
            </w:r>
          </w:p>
        </w:tc>
        <w:tc>
          <w:tcPr>
            <w:tcW w:w="457" w:type="dxa"/>
          </w:tcPr>
          <w:p>
            <w:pPr>
              <w:pStyle w:val="TableParagraph"/>
              <w:spacing w:before="2"/>
              <w:ind w:left="53"/>
              <w:jc w:val="center"/>
              <w:rPr>
                <w:sz w:val="20"/>
              </w:rPr>
            </w:pPr>
            <w:r>
              <w:rPr>
                <w:w w:val="90"/>
                <w:sz w:val="20"/>
              </w:rPr>
              <w:t>3</w:t>
            </w:r>
          </w:p>
        </w:tc>
        <w:tc>
          <w:tcPr>
            <w:tcW w:w="759" w:type="dxa"/>
          </w:tcPr>
          <w:p>
            <w:pPr>
              <w:pStyle w:val="TableParagraph"/>
              <w:spacing w:before="2"/>
              <w:ind w:right="144"/>
              <w:jc w:val="right"/>
              <w:rPr>
                <w:sz w:val="20"/>
              </w:rPr>
            </w:pPr>
            <w:r>
              <w:rPr>
                <w:spacing w:val="-5"/>
                <w:w w:val="90"/>
                <w:sz w:val="20"/>
              </w:rPr>
              <w:t>ARC</w:t>
            </w:r>
          </w:p>
        </w:tc>
        <w:tc>
          <w:tcPr>
            <w:tcW w:w="685" w:type="dxa"/>
          </w:tcPr>
          <w:p>
            <w:pPr>
              <w:pStyle w:val="TableParagraph"/>
              <w:spacing w:before="2"/>
              <w:ind w:left="138"/>
              <w:rPr>
                <w:sz w:val="20"/>
              </w:rPr>
            </w:pPr>
            <w:r>
              <w:rPr>
                <w:spacing w:val="-5"/>
                <w:sz w:val="20"/>
              </w:rPr>
              <w:t>204</w:t>
            </w:r>
          </w:p>
        </w:tc>
        <w:tc>
          <w:tcPr>
            <w:tcW w:w="2381" w:type="dxa"/>
          </w:tcPr>
          <w:p>
            <w:pPr>
              <w:pStyle w:val="TableParagraph"/>
              <w:spacing w:before="2"/>
              <w:ind w:left="-29"/>
              <w:rPr>
                <w:sz w:val="20"/>
              </w:rPr>
            </w:pPr>
            <w:r>
              <w:rPr>
                <w:w w:val="90"/>
                <w:sz w:val="20"/>
              </w:rPr>
              <w:t>Representation</w:t>
            </w:r>
            <w:r>
              <w:rPr>
                <w:spacing w:val="2"/>
                <w:sz w:val="20"/>
              </w:rPr>
              <w:t> </w:t>
            </w:r>
            <w:r>
              <w:rPr>
                <w:spacing w:val="-5"/>
                <w:sz w:val="20"/>
              </w:rPr>
              <w:t>II</w:t>
            </w:r>
          </w:p>
        </w:tc>
        <w:tc>
          <w:tcPr>
            <w:tcW w:w="883" w:type="dxa"/>
          </w:tcPr>
          <w:p>
            <w:pPr>
              <w:pStyle w:val="TableParagraph"/>
              <w:spacing w:before="2"/>
              <w:ind w:right="107"/>
              <w:jc w:val="right"/>
              <w:rPr>
                <w:sz w:val="20"/>
              </w:rPr>
            </w:pPr>
            <w:r>
              <w:rPr>
                <w:w w:val="90"/>
                <w:sz w:val="20"/>
              </w:rPr>
              <w:t>3</w:t>
            </w:r>
          </w:p>
        </w:tc>
      </w:tr>
      <w:tr>
        <w:trPr>
          <w:trHeight w:val="280" w:hRule="atLeast"/>
        </w:trPr>
        <w:tc>
          <w:tcPr>
            <w:tcW w:w="521" w:type="dxa"/>
          </w:tcPr>
          <w:p>
            <w:pPr>
              <w:pStyle w:val="TableParagraph"/>
              <w:spacing w:before="2"/>
              <w:ind w:left="50"/>
              <w:rPr>
                <w:sz w:val="20"/>
              </w:rPr>
            </w:pPr>
            <w:r>
              <w:rPr>
                <w:spacing w:val="-5"/>
                <w:w w:val="90"/>
                <w:sz w:val="20"/>
              </w:rPr>
              <w:t>ARC</w:t>
            </w:r>
          </w:p>
        </w:tc>
        <w:tc>
          <w:tcPr>
            <w:tcW w:w="543" w:type="dxa"/>
          </w:tcPr>
          <w:p>
            <w:pPr>
              <w:pStyle w:val="TableParagraph"/>
              <w:spacing w:before="2"/>
              <w:ind w:right="97"/>
              <w:jc w:val="right"/>
              <w:rPr>
                <w:sz w:val="20"/>
              </w:rPr>
            </w:pPr>
            <w:r>
              <w:rPr>
                <w:spacing w:val="-5"/>
                <w:sz w:val="20"/>
              </w:rPr>
              <w:t>213</w:t>
            </w:r>
          </w:p>
        </w:tc>
        <w:tc>
          <w:tcPr>
            <w:tcW w:w="2924" w:type="dxa"/>
          </w:tcPr>
          <w:p>
            <w:pPr>
              <w:pStyle w:val="TableParagraph"/>
              <w:spacing w:before="2"/>
              <w:ind w:left="97"/>
              <w:rPr>
                <w:sz w:val="20"/>
              </w:rPr>
            </w:pPr>
            <w:r>
              <w:rPr>
                <w:w w:val="90"/>
                <w:sz w:val="20"/>
              </w:rPr>
              <w:t>Elements</w:t>
            </w:r>
            <w:r>
              <w:rPr>
                <w:spacing w:val="-6"/>
                <w:w w:val="90"/>
                <w:sz w:val="20"/>
              </w:rPr>
              <w:t> </w:t>
            </w:r>
            <w:r>
              <w:rPr>
                <w:w w:val="90"/>
                <w:sz w:val="20"/>
              </w:rPr>
              <w:t>of</w:t>
            </w:r>
            <w:r>
              <w:rPr>
                <w:spacing w:val="-4"/>
                <w:w w:val="90"/>
                <w:sz w:val="20"/>
              </w:rPr>
              <w:t> </w:t>
            </w:r>
            <w:r>
              <w:rPr>
                <w:w w:val="90"/>
                <w:sz w:val="20"/>
              </w:rPr>
              <w:t>Building</w:t>
            </w:r>
            <w:r>
              <w:rPr>
                <w:spacing w:val="-4"/>
                <w:w w:val="90"/>
                <w:sz w:val="20"/>
              </w:rPr>
              <w:t> </w:t>
            </w:r>
            <w:r>
              <w:rPr>
                <w:w w:val="90"/>
                <w:sz w:val="20"/>
              </w:rPr>
              <w:t>Assembly</w:t>
            </w:r>
            <w:r>
              <w:rPr>
                <w:spacing w:val="-16"/>
                <w:w w:val="90"/>
                <w:sz w:val="20"/>
              </w:rPr>
              <w:t> </w:t>
            </w:r>
            <w:r>
              <w:rPr>
                <w:spacing w:val="-10"/>
                <w:w w:val="90"/>
                <w:sz w:val="20"/>
              </w:rPr>
              <w:t>3</w:t>
            </w:r>
          </w:p>
        </w:tc>
        <w:tc>
          <w:tcPr>
            <w:tcW w:w="457" w:type="dxa"/>
          </w:tcPr>
          <w:p>
            <w:pPr>
              <w:pStyle w:val="TableParagraph"/>
              <w:rPr>
                <w:rFonts w:ascii="Times New Roman"/>
                <w:sz w:val="20"/>
              </w:rPr>
            </w:pPr>
          </w:p>
        </w:tc>
        <w:tc>
          <w:tcPr>
            <w:tcW w:w="759" w:type="dxa"/>
          </w:tcPr>
          <w:p>
            <w:pPr>
              <w:pStyle w:val="TableParagraph"/>
              <w:spacing w:before="2"/>
              <w:ind w:left="45"/>
              <w:rPr>
                <w:sz w:val="20"/>
              </w:rPr>
            </w:pPr>
            <w:r>
              <w:rPr>
                <w:spacing w:val="-5"/>
                <w:w w:val="90"/>
                <w:sz w:val="20"/>
              </w:rPr>
              <w:t>ARC</w:t>
            </w:r>
          </w:p>
        </w:tc>
        <w:tc>
          <w:tcPr>
            <w:tcW w:w="685" w:type="dxa"/>
          </w:tcPr>
          <w:p>
            <w:pPr>
              <w:pStyle w:val="TableParagraph"/>
              <w:spacing w:before="2"/>
              <w:ind w:left="138"/>
              <w:rPr>
                <w:sz w:val="20"/>
              </w:rPr>
            </w:pPr>
            <w:r>
              <w:rPr>
                <w:spacing w:val="-5"/>
                <w:sz w:val="20"/>
              </w:rPr>
              <w:t>200</w:t>
            </w:r>
          </w:p>
        </w:tc>
        <w:tc>
          <w:tcPr>
            <w:tcW w:w="2381" w:type="dxa"/>
          </w:tcPr>
          <w:p>
            <w:pPr>
              <w:pStyle w:val="TableParagraph"/>
              <w:spacing w:before="2"/>
              <w:ind w:left="-29"/>
              <w:rPr>
                <w:sz w:val="20"/>
              </w:rPr>
            </w:pPr>
            <w:r>
              <w:rPr>
                <w:w w:val="90"/>
                <w:sz w:val="20"/>
              </w:rPr>
              <w:t>Architectural</w:t>
            </w:r>
            <w:r>
              <w:rPr>
                <w:spacing w:val="32"/>
                <w:sz w:val="20"/>
              </w:rPr>
              <w:t> </w:t>
            </w:r>
            <w:r>
              <w:rPr>
                <w:spacing w:val="-2"/>
                <w:sz w:val="20"/>
              </w:rPr>
              <w:t>Ecology</w:t>
            </w:r>
          </w:p>
        </w:tc>
        <w:tc>
          <w:tcPr>
            <w:tcW w:w="883" w:type="dxa"/>
          </w:tcPr>
          <w:p>
            <w:pPr>
              <w:pStyle w:val="TableParagraph"/>
              <w:spacing w:before="2"/>
              <w:ind w:right="107"/>
              <w:jc w:val="right"/>
              <w:rPr>
                <w:sz w:val="20"/>
              </w:rPr>
            </w:pPr>
            <w:r>
              <w:rPr>
                <w:w w:val="90"/>
                <w:sz w:val="20"/>
              </w:rPr>
              <w:t>3</w:t>
            </w:r>
          </w:p>
        </w:tc>
      </w:tr>
      <w:tr>
        <w:trPr>
          <w:trHeight w:val="240" w:hRule="atLeast"/>
        </w:trPr>
        <w:tc>
          <w:tcPr>
            <w:tcW w:w="521" w:type="dxa"/>
          </w:tcPr>
          <w:p>
            <w:pPr>
              <w:pStyle w:val="TableParagraph"/>
              <w:spacing w:line="217" w:lineRule="exact" w:before="2"/>
              <w:ind w:left="50"/>
              <w:rPr>
                <w:sz w:val="20"/>
              </w:rPr>
            </w:pPr>
            <w:r>
              <w:rPr>
                <w:spacing w:val="-5"/>
                <w:w w:val="90"/>
                <w:sz w:val="20"/>
              </w:rPr>
              <w:t>PHY</w:t>
            </w:r>
          </w:p>
        </w:tc>
        <w:tc>
          <w:tcPr>
            <w:tcW w:w="543" w:type="dxa"/>
          </w:tcPr>
          <w:p>
            <w:pPr>
              <w:pStyle w:val="TableParagraph"/>
              <w:spacing w:line="217" w:lineRule="exact" w:before="2"/>
              <w:ind w:right="97"/>
              <w:jc w:val="right"/>
              <w:rPr>
                <w:sz w:val="20"/>
              </w:rPr>
            </w:pPr>
            <w:r>
              <w:rPr>
                <w:spacing w:val="-5"/>
                <w:sz w:val="20"/>
              </w:rPr>
              <w:t>201</w:t>
            </w:r>
          </w:p>
        </w:tc>
        <w:tc>
          <w:tcPr>
            <w:tcW w:w="2924" w:type="dxa"/>
          </w:tcPr>
          <w:p>
            <w:pPr>
              <w:pStyle w:val="TableParagraph"/>
              <w:spacing w:line="217" w:lineRule="exact" w:before="2"/>
              <w:ind w:left="97"/>
              <w:rPr>
                <w:sz w:val="20"/>
              </w:rPr>
            </w:pPr>
            <w:r>
              <w:rPr>
                <w:w w:val="95"/>
                <w:sz w:val="20"/>
              </w:rPr>
              <w:t>Introduction</w:t>
            </w:r>
            <w:r>
              <w:rPr>
                <w:spacing w:val="3"/>
                <w:sz w:val="20"/>
              </w:rPr>
              <w:t> </w:t>
            </w:r>
            <w:r>
              <w:rPr>
                <w:w w:val="95"/>
                <w:sz w:val="20"/>
              </w:rPr>
              <w:t>to</w:t>
            </w:r>
            <w:r>
              <w:rPr>
                <w:spacing w:val="3"/>
                <w:sz w:val="20"/>
              </w:rPr>
              <w:t> </w:t>
            </w:r>
            <w:r>
              <w:rPr>
                <w:spacing w:val="-2"/>
                <w:w w:val="95"/>
                <w:sz w:val="20"/>
              </w:rPr>
              <w:t>Physics</w:t>
            </w:r>
          </w:p>
        </w:tc>
        <w:tc>
          <w:tcPr>
            <w:tcW w:w="457" w:type="dxa"/>
          </w:tcPr>
          <w:p>
            <w:pPr>
              <w:pStyle w:val="TableParagraph"/>
              <w:spacing w:line="217" w:lineRule="exact" w:before="2"/>
              <w:ind w:left="53"/>
              <w:jc w:val="center"/>
              <w:rPr>
                <w:sz w:val="20"/>
              </w:rPr>
            </w:pPr>
            <w:r>
              <w:rPr>
                <w:w w:val="90"/>
                <w:sz w:val="20"/>
              </w:rPr>
              <w:t>4</w:t>
            </w:r>
          </w:p>
        </w:tc>
        <w:tc>
          <w:tcPr>
            <w:tcW w:w="759" w:type="dxa"/>
          </w:tcPr>
          <w:p>
            <w:pPr>
              <w:pStyle w:val="TableParagraph"/>
              <w:spacing w:line="217" w:lineRule="exact" w:before="2"/>
              <w:ind w:right="144"/>
              <w:jc w:val="right"/>
              <w:rPr>
                <w:sz w:val="20"/>
              </w:rPr>
            </w:pPr>
            <w:r>
              <w:rPr>
                <w:spacing w:val="-5"/>
                <w:w w:val="90"/>
                <w:sz w:val="20"/>
              </w:rPr>
              <w:t>ARC</w:t>
            </w:r>
          </w:p>
        </w:tc>
        <w:tc>
          <w:tcPr>
            <w:tcW w:w="685" w:type="dxa"/>
          </w:tcPr>
          <w:p>
            <w:pPr>
              <w:pStyle w:val="TableParagraph"/>
              <w:spacing w:line="217" w:lineRule="exact" w:before="2"/>
              <w:ind w:left="138"/>
              <w:rPr>
                <w:sz w:val="20"/>
              </w:rPr>
            </w:pPr>
            <w:r>
              <w:rPr>
                <w:spacing w:val="-5"/>
                <w:sz w:val="20"/>
              </w:rPr>
              <w:t>309</w:t>
            </w:r>
          </w:p>
        </w:tc>
        <w:tc>
          <w:tcPr>
            <w:tcW w:w="2381" w:type="dxa"/>
          </w:tcPr>
          <w:p>
            <w:pPr>
              <w:pStyle w:val="TableParagraph"/>
              <w:spacing w:line="217" w:lineRule="exact" w:before="2"/>
              <w:ind w:left="-17"/>
              <w:rPr>
                <w:sz w:val="20"/>
              </w:rPr>
            </w:pPr>
            <w:r>
              <w:rPr>
                <w:w w:val="90"/>
                <w:sz w:val="20"/>
              </w:rPr>
              <w:t>Structures</w:t>
            </w:r>
            <w:r>
              <w:rPr>
                <w:spacing w:val="-4"/>
                <w:sz w:val="20"/>
              </w:rPr>
              <w:t> </w:t>
            </w:r>
            <w:r>
              <w:rPr>
                <w:spacing w:val="-10"/>
                <w:sz w:val="20"/>
              </w:rPr>
              <w:t>I</w:t>
            </w:r>
          </w:p>
        </w:tc>
        <w:tc>
          <w:tcPr>
            <w:tcW w:w="883" w:type="dxa"/>
          </w:tcPr>
          <w:p>
            <w:pPr>
              <w:pStyle w:val="TableParagraph"/>
              <w:spacing w:line="217" w:lineRule="exact" w:before="2"/>
              <w:ind w:right="107"/>
              <w:jc w:val="right"/>
              <w:rPr>
                <w:sz w:val="20"/>
              </w:rPr>
            </w:pPr>
            <w:r>
              <w:rPr>
                <w:w w:val="90"/>
                <w:sz w:val="20"/>
              </w:rPr>
              <w:t>3</w:t>
            </w:r>
          </w:p>
        </w:tc>
      </w:tr>
      <w:tr>
        <w:trPr>
          <w:trHeight w:val="273" w:hRule="atLeast"/>
        </w:trPr>
        <w:tc>
          <w:tcPr>
            <w:tcW w:w="1064" w:type="dxa"/>
            <w:gridSpan w:val="2"/>
            <w:tcBorders>
              <w:bottom w:val="single" w:sz="6" w:space="0" w:color="000000"/>
            </w:tcBorders>
          </w:tcPr>
          <w:p>
            <w:pPr>
              <w:pStyle w:val="TableParagraph"/>
              <w:spacing w:line="188" w:lineRule="exact" w:before="43"/>
              <w:ind w:left="50"/>
              <w:rPr>
                <w:sz w:val="20"/>
              </w:rPr>
            </w:pPr>
            <w:r>
              <w:rPr>
                <w:spacing w:val="-2"/>
                <w:w w:val="85"/>
                <w:sz w:val="20"/>
              </w:rPr>
              <w:t>ELECTIVE</w:t>
            </w:r>
          </w:p>
        </w:tc>
        <w:tc>
          <w:tcPr>
            <w:tcW w:w="3381" w:type="dxa"/>
            <w:gridSpan w:val="2"/>
            <w:tcBorders>
              <w:bottom w:val="single" w:sz="6" w:space="0" w:color="000000"/>
            </w:tcBorders>
          </w:tcPr>
          <w:p>
            <w:pPr>
              <w:pStyle w:val="TableParagraph"/>
              <w:spacing w:line="188" w:lineRule="exact" w:before="43"/>
              <w:ind w:right="149"/>
              <w:jc w:val="right"/>
              <w:rPr>
                <w:sz w:val="20"/>
              </w:rPr>
            </w:pPr>
            <w:r>
              <w:rPr>
                <w:w w:val="90"/>
                <w:sz w:val="20"/>
              </w:rPr>
              <w:t>3</w:t>
            </w:r>
          </w:p>
        </w:tc>
        <w:tc>
          <w:tcPr>
            <w:tcW w:w="1444" w:type="dxa"/>
            <w:gridSpan w:val="2"/>
            <w:tcBorders>
              <w:bottom w:val="single" w:sz="6" w:space="0" w:color="000000"/>
            </w:tcBorders>
          </w:tcPr>
          <w:p>
            <w:pPr>
              <w:pStyle w:val="TableParagraph"/>
              <w:spacing w:line="188" w:lineRule="exact" w:before="43"/>
              <w:ind w:left="282" w:right="-29"/>
              <w:rPr>
                <w:sz w:val="20"/>
              </w:rPr>
            </w:pPr>
            <w:r>
              <w:rPr>
                <w:w w:val="80"/>
                <w:sz w:val="20"/>
              </w:rPr>
              <w:t>ELECTIVE</w:t>
            </w:r>
            <w:r>
              <w:rPr>
                <w:spacing w:val="59"/>
                <w:w w:val="150"/>
                <w:sz w:val="20"/>
              </w:rPr>
              <w:t> </w:t>
            </w:r>
            <w:r>
              <w:rPr>
                <w:spacing w:val="-5"/>
                <w:sz w:val="20"/>
              </w:rPr>
              <w:t>Art</w:t>
            </w:r>
          </w:p>
        </w:tc>
        <w:tc>
          <w:tcPr>
            <w:tcW w:w="3264" w:type="dxa"/>
            <w:gridSpan w:val="2"/>
            <w:tcBorders>
              <w:bottom w:val="single" w:sz="6" w:space="0" w:color="000000"/>
            </w:tcBorders>
          </w:tcPr>
          <w:p>
            <w:pPr>
              <w:pStyle w:val="TableParagraph"/>
              <w:spacing w:line="188" w:lineRule="exact" w:before="43"/>
              <w:ind w:right="107"/>
              <w:jc w:val="right"/>
              <w:rPr>
                <w:sz w:val="20"/>
              </w:rPr>
            </w:pPr>
            <w:r>
              <w:rPr>
                <w:w w:val="90"/>
                <w:sz w:val="20"/>
              </w:rPr>
              <w:t>3</w:t>
            </w:r>
          </w:p>
        </w:tc>
      </w:tr>
      <w:tr>
        <w:trPr>
          <w:trHeight w:val="273" w:hRule="atLeast"/>
        </w:trPr>
        <w:tc>
          <w:tcPr>
            <w:tcW w:w="1064" w:type="dxa"/>
            <w:gridSpan w:val="2"/>
            <w:tcBorders>
              <w:top w:val="single" w:sz="6" w:space="0" w:color="000000"/>
            </w:tcBorders>
          </w:tcPr>
          <w:p>
            <w:pPr>
              <w:pStyle w:val="TableParagraph"/>
              <w:rPr>
                <w:rFonts w:ascii="Times New Roman"/>
                <w:sz w:val="20"/>
              </w:rPr>
            </w:pPr>
          </w:p>
        </w:tc>
        <w:tc>
          <w:tcPr>
            <w:tcW w:w="3381" w:type="dxa"/>
            <w:gridSpan w:val="2"/>
            <w:tcBorders>
              <w:top w:val="single" w:sz="6" w:space="0" w:color="000000"/>
            </w:tcBorders>
          </w:tcPr>
          <w:p>
            <w:pPr>
              <w:pStyle w:val="TableParagraph"/>
              <w:spacing w:line="217" w:lineRule="exact" w:before="58"/>
              <w:ind w:right="48"/>
              <w:jc w:val="right"/>
              <w:rPr>
                <w:sz w:val="20"/>
              </w:rPr>
            </w:pPr>
            <w:r>
              <w:rPr>
                <w:spacing w:val="-5"/>
                <w:sz w:val="20"/>
              </w:rPr>
              <w:t>18</w:t>
            </w:r>
          </w:p>
        </w:tc>
        <w:tc>
          <w:tcPr>
            <w:tcW w:w="1444" w:type="dxa"/>
            <w:gridSpan w:val="2"/>
            <w:tcBorders>
              <w:top w:val="single" w:sz="6" w:space="0" w:color="000000"/>
            </w:tcBorders>
          </w:tcPr>
          <w:p>
            <w:pPr>
              <w:pStyle w:val="TableParagraph"/>
              <w:rPr>
                <w:rFonts w:ascii="Times New Roman"/>
                <w:sz w:val="20"/>
              </w:rPr>
            </w:pPr>
          </w:p>
        </w:tc>
        <w:tc>
          <w:tcPr>
            <w:tcW w:w="3264" w:type="dxa"/>
            <w:gridSpan w:val="2"/>
            <w:tcBorders>
              <w:top w:val="single" w:sz="6" w:space="0" w:color="000000"/>
            </w:tcBorders>
          </w:tcPr>
          <w:p>
            <w:pPr>
              <w:pStyle w:val="TableParagraph"/>
              <w:spacing w:line="217" w:lineRule="exact" w:before="58"/>
              <w:ind w:right="7"/>
              <w:jc w:val="right"/>
              <w:rPr>
                <w:sz w:val="20"/>
              </w:rPr>
            </w:pPr>
            <w:r>
              <w:rPr>
                <w:spacing w:val="-5"/>
                <w:sz w:val="20"/>
              </w:rPr>
              <w:t>17</w:t>
            </w:r>
          </w:p>
        </w:tc>
      </w:tr>
    </w:tbl>
    <w:p>
      <w:pPr>
        <w:pStyle w:val="BodyText"/>
        <w:spacing w:before="4"/>
        <w:rPr>
          <w:b/>
          <w:sz w:val="28"/>
        </w:rPr>
      </w:pPr>
    </w:p>
    <w:p>
      <w:pPr>
        <w:tabs>
          <w:tab w:pos="4690" w:val="left" w:leader="none"/>
        </w:tabs>
        <w:spacing w:before="0"/>
        <w:ind w:left="548" w:right="0" w:firstLine="0"/>
        <w:jc w:val="left"/>
        <w:rPr>
          <w:b/>
          <w:sz w:val="20"/>
        </w:rPr>
      </w:pPr>
      <w:r>
        <w:rPr>
          <w:b/>
          <w:w w:val="80"/>
          <w:sz w:val="20"/>
          <w:u w:val="single"/>
        </w:rPr>
        <w:t>THIRD</w:t>
      </w:r>
      <w:r>
        <w:rPr>
          <w:b/>
          <w:spacing w:val="12"/>
          <w:sz w:val="20"/>
          <w:u w:val="single"/>
        </w:rPr>
        <w:t> </w:t>
      </w:r>
      <w:r>
        <w:rPr>
          <w:b/>
          <w:spacing w:val="-4"/>
          <w:w w:val="90"/>
          <w:sz w:val="20"/>
          <w:u w:val="single"/>
        </w:rPr>
        <w:t>YEAR</w:t>
      </w:r>
      <w:r>
        <w:rPr>
          <w:b/>
          <w:sz w:val="20"/>
          <w:u w:val="single"/>
        </w:rPr>
        <w:tab/>
      </w:r>
    </w:p>
    <w:p>
      <w:pPr>
        <w:pStyle w:val="BodyText"/>
        <w:spacing w:before="9"/>
        <w:rPr>
          <w:b/>
          <w:sz w:val="7"/>
        </w:rPr>
      </w:pPr>
    </w:p>
    <w:tbl>
      <w:tblPr>
        <w:tblW w:w="0" w:type="auto"/>
        <w:jc w:val="left"/>
        <w:tblInd w:w="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7"/>
        <w:gridCol w:w="489"/>
        <w:gridCol w:w="2424"/>
        <w:gridCol w:w="1030"/>
        <w:gridCol w:w="689"/>
        <w:gridCol w:w="553"/>
        <w:gridCol w:w="2960"/>
        <w:gridCol w:w="381"/>
      </w:tblGrid>
      <w:tr>
        <w:trPr>
          <w:trHeight w:val="240" w:hRule="atLeast"/>
        </w:trPr>
        <w:tc>
          <w:tcPr>
            <w:tcW w:w="567" w:type="dxa"/>
          </w:tcPr>
          <w:p>
            <w:pPr>
              <w:pStyle w:val="TableParagraph"/>
              <w:spacing w:line="192" w:lineRule="exact"/>
              <w:ind w:left="50"/>
              <w:rPr>
                <w:sz w:val="20"/>
              </w:rPr>
            </w:pPr>
            <w:r>
              <w:rPr>
                <w:spacing w:val="-5"/>
                <w:w w:val="90"/>
                <w:sz w:val="20"/>
              </w:rPr>
              <w:t>ARC</w:t>
            </w:r>
          </w:p>
        </w:tc>
        <w:tc>
          <w:tcPr>
            <w:tcW w:w="489" w:type="dxa"/>
          </w:tcPr>
          <w:p>
            <w:pPr>
              <w:pStyle w:val="TableParagraph"/>
              <w:spacing w:line="192" w:lineRule="exact"/>
              <w:ind w:left="66" w:right="62"/>
              <w:jc w:val="center"/>
              <w:rPr>
                <w:sz w:val="20"/>
              </w:rPr>
            </w:pPr>
            <w:r>
              <w:rPr>
                <w:spacing w:val="-5"/>
                <w:sz w:val="20"/>
              </w:rPr>
              <w:t>303</w:t>
            </w:r>
          </w:p>
        </w:tc>
        <w:tc>
          <w:tcPr>
            <w:tcW w:w="2424" w:type="dxa"/>
          </w:tcPr>
          <w:p>
            <w:pPr>
              <w:pStyle w:val="TableParagraph"/>
              <w:spacing w:line="192" w:lineRule="exact"/>
              <w:ind w:left="105"/>
              <w:rPr>
                <w:sz w:val="20"/>
              </w:rPr>
            </w:pPr>
            <w:r>
              <w:rPr>
                <w:spacing w:val="-2"/>
                <w:sz w:val="20"/>
              </w:rPr>
              <w:t>Studio</w:t>
            </w:r>
          </w:p>
        </w:tc>
        <w:tc>
          <w:tcPr>
            <w:tcW w:w="1030" w:type="dxa"/>
          </w:tcPr>
          <w:p>
            <w:pPr>
              <w:pStyle w:val="TableParagraph"/>
              <w:spacing w:line="192" w:lineRule="exact"/>
              <w:ind w:right="214"/>
              <w:jc w:val="right"/>
              <w:rPr>
                <w:sz w:val="20"/>
              </w:rPr>
            </w:pPr>
            <w:r>
              <w:rPr>
                <w:w w:val="90"/>
                <w:sz w:val="20"/>
              </w:rPr>
              <w:t>6</w:t>
            </w:r>
          </w:p>
        </w:tc>
        <w:tc>
          <w:tcPr>
            <w:tcW w:w="689" w:type="dxa"/>
          </w:tcPr>
          <w:p>
            <w:pPr>
              <w:pStyle w:val="TableParagraph"/>
              <w:spacing w:line="192" w:lineRule="exact"/>
              <w:ind w:right="139"/>
              <w:jc w:val="right"/>
              <w:rPr>
                <w:sz w:val="20"/>
              </w:rPr>
            </w:pPr>
            <w:r>
              <w:rPr>
                <w:spacing w:val="-5"/>
                <w:w w:val="90"/>
                <w:sz w:val="20"/>
              </w:rPr>
              <w:t>ARC</w:t>
            </w:r>
          </w:p>
        </w:tc>
        <w:tc>
          <w:tcPr>
            <w:tcW w:w="553" w:type="dxa"/>
          </w:tcPr>
          <w:p>
            <w:pPr>
              <w:pStyle w:val="TableParagraph"/>
              <w:spacing w:line="192" w:lineRule="exact"/>
              <w:ind w:left="143"/>
              <w:rPr>
                <w:sz w:val="20"/>
              </w:rPr>
            </w:pPr>
            <w:r>
              <w:rPr>
                <w:spacing w:val="-5"/>
                <w:sz w:val="20"/>
              </w:rPr>
              <w:t>304</w:t>
            </w:r>
          </w:p>
        </w:tc>
        <w:tc>
          <w:tcPr>
            <w:tcW w:w="2960" w:type="dxa"/>
          </w:tcPr>
          <w:p>
            <w:pPr>
              <w:pStyle w:val="TableParagraph"/>
              <w:spacing w:line="192" w:lineRule="exact"/>
              <w:ind w:left="108"/>
              <w:rPr>
                <w:sz w:val="20"/>
              </w:rPr>
            </w:pPr>
            <w:r>
              <w:rPr>
                <w:spacing w:val="-2"/>
                <w:sz w:val="20"/>
              </w:rPr>
              <w:t>Studio</w:t>
            </w:r>
          </w:p>
        </w:tc>
        <w:tc>
          <w:tcPr>
            <w:tcW w:w="381" w:type="dxa"/>
          </w:tcPr>
          <w:p>
            <w:pPr>
              <w:pStyle w:val="TableParagraph"/>
              <w:spacing w:line="192" w:lineRule="exact"/>
              <w:ind w:right="47"/>
              <w:jc w:val="right"/>
              <w:rPr>
                <w:sz w:val="20"/>
              </w:rPr>
            </w:pPr>
            <w:r>
              <w:rPr>
                <w:w w:val="90"/>
                <w:sz w:val="20"/>
              </w:rPr>
              <w:t>6</w:t>
            </w:r>
          </w:p>
        </w:tc>
      </w:tr>
      <w:tr>
        <w:trPr>
          <w:trHeight w:val="280" w:hRule="atLeast"/>
        </w:trPr>
        <w:tc>
          <w:tcPr>
            <w:tcW w:w="567" w:type="dxa"/>
          </w:tcPr>
          <w:p>
            <w:pPr>
              <w:pStyle w:val="TableParagraph"/>
              <w:spacing w:before="2"/>
              <w:ind w:left="50"/>
              <w:rPr>
                <w:sz w:val="20"/>
              </w:rPr>
            </w:pPr>
            <w:r>
              <w:rPr>
                <w:spacing w:val="-5"/>
                <w:w w:val="90"/>
                <w:sz w:val="20"/>
              </w:rPr>
              <w:t>ARC</w:t>
            </w:r>
          </w:p>
        </w:tc>
        <w:tc>
          <w:tcPr>
            <w:tcW w:w="489" w:type="dxa"/>
          </w:tcPr>
          <w:p>
            <w:pPr>
              <w:pStyle w:val="TableParagraph"/>
              <w:spacing w:before="2"/>
              <w:ind w:left="66" w:right="63"/>
              <w:jc w:val="center"/>
              <w:rPr>
                <w:sz w:val="20"/>
              </w:rPr>
            </w:pPr>
            <w:r>
              <w:rPr>
                <w:spacing w:val="-5"/>
                <w:sz w:val="20"/>
              </w:rPr>
              <w:t>310</w:t>
            </w:r>
          </w:p>
        </w:tc>
        <w:tc>
          <w:tcPr>
            <w:tcW w:w="2424" w:type="dxa"/>
          </w:tcPr>
          <w:p>
            <w:pPr>
              <w:pStyle w:val="TableParagraph"/>
              <w:spacing w:before="2"/>
              <w:ind w:left="91"/>
              <w:rPr>
                <w:sz w:val="20"/>
              </w:rPr>
            </w:pPr>
            <w:r>
              <w:rPr>
                <w:w w:val="90"/>
                <w:sz w:val="20"/>
              </w:rPr>
              <w:t>Structures</w:t>
            </w:r>
            <w:r>
              <w:rPr>
                <w:spacing w:val="-4"/>
                <w:sz w:val="20"/>
              </w:rPr>
              <w:t> </w:t>
            </w:r>
            <w:r>
              <w:rPr>
                <w:spacing w:val="-5"/>
                <w:sz w:val="20"/>
              </w:rPr>
              <w:t>II</w:t>
            </w:r>
          </w:p>
        </w:tc>
        <w:tc>
          <w:tcPr>
            <w:tcW w:w="1030" w:type="dxa"/>
          </w:tcPr>
          <w:p>
            <w:pPr>
              <w:pStyle w:val="TableParagraph"/>
              <w:spacing w:before="2"/>
              <w:ind w:right="214"/>
              <w:jc w:val="right"/>
              <w:rPr>
                <w:sz w:val="20"/>
              </w:rPr>
            </w:pPr>
            <w:r>
              <w:rPr>
                <w:w w:val="90"/>
                <w:sz w:val="20"/>
              </w:rPr>
              <w:t>3</w:t>
            </w:r>
          </w:p>
        </w:tc>
        <w:tc>
          <w:tcPr>
            <w:tcW w:w="689" w:type="dxa"/>
          </w:tcPr>
          <w:p>
            <w:pPr>
              <w:pStyle w:val="TableParagraph"/>
              <w:spacing w:before="2"/>
              <w:ind w:right="140"/>
              <w:jc w:val="right"/>
              <w:rPr>
                <w:sz w:val="20"/>
              </w:rPr>
            </w:pPr>
            <w:r>
              <w:rPr>
                <w:spacing w:val="-5"/>
                <w:w w:val="90"/>
                <w:sz w:val="20"/>
              </w:rPr>
              <w:t>ARC</w:t>
            </w:r>
          </w:p>
        </w:tc>
        <w:tc>
          <w:tcPr>
            <w:tcW w:w="553" w:type="dxa"/>
          </w:tcPr>
          <w:p>
            <w:pPr>
              <w:pStyle w:val="TableParagraph"/>
              <w:spacing w:before="2"/>
              <w:ind w:left="143"/>
              <w:rPr>
                <w:sz w:val="20"/>
              </w:rPr>
            </w:pPr>
            <w:r>
              <w:rPr>
                <w:spacing w:val="-5"/>
                <w:sz w:val="20"/>
              </w:rPr>
              <w:t>315</w:t>
            </w:r>
          </w:p>
        </w:tc>
        <w:tc>
          <w:tcPr>
            <w:tcW w:w="2960" w:type="dxa"/>
          </w:tcPr>
          <w:p>
            <w:pPr>
              <w:pStyle w:val="TableParagraph"/>
              <w:spacing w:before="2"/>
              <w:ind w:left="108"/>
              <w:rPr>
                <w:sz w:val="20"/>
              </w:rPr>
            </w:pPr>
            <w:r>
              <w:rPr>
                <w:w w:val="90"/>
                <w:sz w:val="20"/>
              </w:rPr>
              <w:t>Environmental</w:t>
            </w:r>
            <w:r>
              <w:rPr>
                <w:spacing w:val="14"/>
                <w:sz w:val="20"/>
              </w:rPr>
              <w:t> </w:t>
            </w:r>
            <w:r>
              <w:rPr>
                <w:spacing w:val="-2"/>
                <w:sz w:val="20"/>
              </w:rPr>
              <w:t>Systems</w:t>
            </w:r>
          </w:p>
        </w:tc>
        <w:tc>
          <w:tcPr>
            <w:tcW w:w="381" w:type="dxa"/>
          </w:tcPr>
          <w:p>
            <w:pPr>
              <w:pStyle w:val="TableParagraph"/>
              <w:spacing w:before="2"/>
              <w:ind w:right="47"/>
              <w:jc w:val="right"/>
              <w:rPr>
                <w:sz w:val="20"/>
              </w:rPr>
            </w:pPr>
            <w:r>
              <w:rPr>
                <w:w w:val="90"/>
                <w:sz w:val="20"/>
              </w:rPr>
              <w:t>3</w:t>
            </w:r>
          </w:p>
        </w:tc>
      </w:tr>
      <w:tr>
        <w:trPr>
          <w:trHeight w:val="280" w:hRule="atLeast"/>
        </w:trPr>
        <w:tc>
          <w:tcPr>
            <w:tcW w:w="567" w:type="dxa"/>
          </w:tcPr>
          <w:p>
            <w:pPr>
              <w:pStyle w:val="TableParagraph"/>
              <w:spacing w:before="2"/>
              <w:ind w:left="50"/>
              <w:rPr>
                <w:sz w:val="20"/>
              </w:rPr>
            </w:pPr>
            <w:r>
              <w:rPr>
                <w:spacing w:val="-5"/>
                <w:w w:val="90"/>
                <w:sz w:val="20"/>
              </w:rPr>
              <w:t>ARC</w:t>
            </w:r>
          </w:p>
        </w:tc>
        <w:tc>
          <w:tcPr>
            <w:tcW w:w="489" w:type="dxa"/>
          </w:tcPr>
          <w:p>
            <w:pPr>
              <w:pStyle w:val="TableParagraph"/>
              <w:spacing w:before="2"/>
              <w:ind w:left="66" w:right="63"/>
              <w:jc w:val="center"/>
              <w:rPr>
                <w:sz w:val="20"/>
              </w:rPr>
            </w:pPr>
            <w:r>
              <w:rPr>
                <w:spacing w:val="-5"/>
                <w:sz w:val="20"/>
              </w:rPr>
              <w:t>314</w:t>
            </w:r>
          </w:p>
        </w:tc>
        <w:tc>
          <w:tcPr>
            <w:tcW w:w="2424" w:type="dxa"/>
          </w:tcPr>
          <w:p>
            <w:pPr>
              <w:pStyle w:val="TableParagraph"/>
              <w:spacing w:before="2"/>
              <w:ind w:left="105"/>
              <w:rPr>
                <w:sz w:val="20"/>
              </w:rPr>
            </w:pPr>
            <w:r>
              <w:rPr>
                <w:w w:val="90"/>
                <w:sz w:val="20"/>
              </w:rPr>
              <w:t>Building</w:t>
            </w:r>
            <w:r>
              <w:rPr>
                <w:spacing w:val="-5"/>
                <w:sz w:val="20"/>
              </w:rPr>
              <w:t> </w:t>
            </w:r>
            <w:r>
              <w:rPr>
                <w:spacing w:val="-2"/>
                <w:sz w:val="20"/>
              </w:rPr>
              <w:t>Assemblies</w:t>
            </w:r>
          </w:p>
        </w:tc>
        <w:tc>
          <w:tcPr>
            <w:tcW w:w="1030" w:type="dxa"/>
          </w:tcPr>
          <w:p>
            <w:pPr>
              <w:pStyle w:val="TableParagraph"/>
              <w:spacing w:before="2"/>
              <w:ind w:right="214"/>
              <w:jc w:val="right"/>
              <w:rPr>
                <w:sz w:val="20"/>
              </w:rPr>
            </w:pPr>
            <w:r>
              <w:rPr>
                <w:w w:val="90"/>
                <w:sz w:val="20"/>
              </w:rPr>
              <w:t>3</w:t>
            </w:r>
          </w:p>
        </w:tc>
        <w:tc>
          <w:tcPr>
            <w:tcW w:w="689" w:type="dxa"/>
          </w:tcPr>
          <w:p>
            <w:pPr>
              <w:pStyle w:val="TableParagraph"/>
              <w:spacing w:before="2"/>
              <w:ind w:right="140"/>
              <w:jc w:val="right"/>
              <w:rPr>
                <w:sz w:val="20"/>
              </w:rPr>
            </w:pPr>
            <w:r>
              <w:rPr>
                <w:spacing w:val="-5"/>
                <w:w w:val="90"/>
                <w:sz w:val="20"/>
              </w:rPr>
              <w:t>ARC</w:t>
            </w:r>
          </w:p>
        </w:tc>
        <w:tc>
          <w:tcPr>
            <w:tcW w:w="553" w:type="dxa"/>
          </w:tcPr>
          <w:p>
            <w:pPr>
              <w:pStyle w:val="TableParagraph"/>
              <w:spacing w:before="2"/>
              <w:ind w:left="143"/>
              <w:rPr>
                <w:sz w:val="20"/>
              </w:rPr>
            </w:pPr>
            <w:r>
              <w:rPr>
                <w:spacing w:val="-5"/>
                <w:sz w:val="20"/>
              </w:rPr>
              <w:t>317</w:t>
            </w:r>
          </w:p>
        </w:tc>
        <w:tc>
          <w:tcPr>
            <w:tcW w:w="2960" w:type="dxa"/>
          </w:tcPr>
          <w:p>
            <w:pPr>
              <w:pStyle w:val="TableParagraph"/>
              <w:spacing w:before="2"/>
              <w:ind w:left="108"/>
              <w:rPr>
                <w:sz w:val="20"/>
              </w:rPr>
            </w:pPr>
            <w:r>
              <w:rPr>
                <w:w w:val="90"/>
                <w:sz w:val="20"/>
              </w:rPr>
              <w:t>Global</w:t>
            </w:r>
            <w:r>
              <w:rPr>
                <w:spacing w:val="-3"/>
                <w:w w:val="90"/>
                <w:sz w:val="20"/>
              </w:rPr>
              <w:t> </w:t>
            </w:r>
            <w:r>
              <w:rPr>
                <w:w w:val="90"/>
                <w:sz w:val="20"/>
              </w:rPr>
              <w:t>Theories</w:t>
            </w:r>
            <w:r>
              <w:rPr>
                <w:spacing w:val="-2"/>
                <w:w w:val="90"/>
                <w:sz w:val="20"/>
              </w:rPr>
              <w:t> </w:t>
            </w:r>
            <w:r>
              <w:rPr>
                <w:w w:val="90"/>
                <w:sz w:val="20"/>
              </w:rPr>
              <w:t>of</w:t>
            </w:r>
            <w:r>
              <w:rPr>
                <w:spacing w:val="-2"/>
                <w:w w:val="90"/>
                <w:sz w:val="20"/>
              </w:rPr>
              <w:t> </w:t>
            </w:r>
            <w:r>
              <w:rPr>
                <w:w w:val="90"/>
                <w:sz w:val="20"/>
              </w:rPr>
              <w:t>Urban</w:t>
            </w:r>
            <w:r>
              <w:rPr>
                <w:spacing w:val="-1"/>
                <w:w w:val="90"/>
                <w:sz w:val="20"/>
              </w:rPr>
              <w:t> </w:t>
            </w:r>
            <w:r>
              <w:rPr>
                <w:spacing w:val="-2"/>
                <w:w w:val="90"/>
                <w:sz w:val="20"/>
              </w:rPr>
              <w:t>Design</w:t>
            </w:r>
          </w:p>
        </w:tc>
        <w:tc>
          <w:tcPr>
            <w:tcW w:w="381" w:type="dxa"/>
          </w:tcPr>
          <w:p>
            <w:pPr>
              <w:pStyle w:val="TableParagraph"/>
              <w:spacing w:before="2"/>
              <w:ind w:right="47"/>
              <w:jc w:val="right"/>
              <w:rPr>
                <w:sz w:val="20"/>
              </w:rPr>
            </w:pPr>
            <w:r>
              <w:rPr>
                <w:w w:val="90"/>
                <w:sz w:val="20"/>
              </w:rPr>
              <w:t>3</w:t>
            </w:r>
          </w:p>
        </w:tc>
      </w:tr>
      <w:tr>
        <w:trPr>
          <w:trHeight w:val="240" w:hRule="atLeast"/>
        </w:trPr>
        <w:tc>
          <w:tcPr>
            <w:tcW w:w="567" w:type="dxa"/>
          </w:tcPr>
          <w:p>
            <w:pPr>
              <w:pStyle w:val="TableParagraph"/>
              <w:spacing w:line="217" w:lineRule="exact" w:before="2"/>
              <w:ind w:left="50"/>
              <w:rPr>
                <w:sz w:val="20"/>
              </w:rPr>
            </w:pPr>
            <w:r>
              <w:rPr>
                <w:spacing w:val="-5"/>
                <w:sz w:val="20"/>
              </w:rPr>
              <w:t>HUM</w:t>
            </w:r>
          </w:p>
        </w:tc>
        <w:tc>
          <w:tcPr>
            <w:tcW w:w="489" w:type="dxa"/>
          </w:tcPr>
          <w:p>
            <w:pPr>
              <w:pStyle w:val="TableParagraph"/>
              <w:spacing w:line="217" w:lineRule="exact" w:before="2"/>
              <w:ind w:left="66" w:right="63"/>
              <w:jc w:val="center"/>
              <w:rPr>
                <w:sz w:val="20"/>
              </w:rPr>
            </w:pPr>
            <w:r>
              <w:rPr>
                <w:spacing w:val="-5"/>
                <w:sz w:val="20"/>
              </w:rPr>
              <w:t>201</w:t>
            </w:r>
          </w:p>
        </w:tc>
        <w:tc>
          <w:tcPr>
            <w:tcW w:w="2424" w:type="dxa"/>
          </w:tcPr>
          <w:p>
            <w:pPr>
              <w:pStyle w:val="TableParagraph"/>
              <w:spacing w:line="217" w:lineRule="exact" w:before="2"/>
              <w:ind w:left="105"/>
              <w:rPr>
                <w:sz w:val="20"/>
              </w:rPr>
            </w:pPr>
            <w:r>
              <w:rPr>
                <w:spacing w:val="-2"/>
                <w:sz w:val="20"/>
              </w:rPr>
              <w:t>Humanities</w:t>
            </w:r>
          </w:p>
        </w:tc>
        <w:tc>
          <w:tcPr>
            <w:tcW w:w="1030" w:type="dxa"/>
          </w:tcPr>
          <w:p>
            <w:pPr>
              <w:pStyle w:val="TableParagraph"/>
              <w:spacing w:line="217" w:lineRule="exact" w:before="2"/>
              <w:ind w:right="214"/>
              <w:jc w:val="right"/>
              <w:rPr>
                <w:sz w:val="20"/>
              </w:rPr>
            </w:pPr>
            <w:r>
              <w:rPr>
                <w:w w:val="90"/>
                <w:sz w:val="20"/>
              </w:rPr>
              <w:t>3</w:t>
            </w:r>
          </w:p>
        </w:tc>
        <w:tc>
          <w:tcPr>
            <w:tcW w:w="689" w:type="dxa"/>
          </w:tcPr>
          <w:p>
            <w:pPr>
              <w:pStyle w:val="TableParagraph"/>
              <w:spacing w:line="217" w:lineRule="exact" w:before="2"/>
              <w:ind w:right="139"/>
              <w:jc w:val="right"/>
              <w:rPr>
                <w:sz w:val="20"/>
              </w:rPr>
            </w:pPr>
            <w:r>
              <w:rPr>
                <w:spacing w:val="-5"/>
                <w:w w:val="90"/>
                <w:sz w:val="20"/>
              </w:rPr>
              <w:t>ARC</w:t>
            </w:r>
          </w:p>
        </w:tc>
        <w:tc>
          <w:tcPr>
            <w:tcW w:w="553" w:type="dxa"/>
          </w:tcPr>
          <w:p>
            <w:pPr>
              <w:pStyle w:val="TableParagraph"/>
              <w:spacing w:line="217" w:lineRule="exact" w:before="2"/>
              <w:ind w:left="143"/>
              <w:rPr>
                <w:sz w:val="20"/>
              </w:rPr>
            </w:pPr>
            <w:r>
              <w:rPr>
                <w:spacing w:val="-5"/>
                <w:sz w:val="20"/>
              </w:rPr>
              <w:t>301</w:t>
            </w:r>
          </w:p>
        </w:tc>
        <w:tc>
          <w:tcPr>
            <w:tcW w:w="2960" w:type="dxa"/>
          </w:tcPr>
          <w:p>
            <w:pPr>
              <w:pStyle w:val="TableParagraph"/>
              <w:spacing w:line="217" w:lineRule="exact" w:before="2"/>
              <w:ind w:left="108"/>
              <w:rPr>
                <w:sz w:val="20"/>
              </w:rPr>
            </w:pPr>
            <w:r>
              <w:rPr>
                <w:w w:val="90"/>
                <w:sz w:val="20"/>
              </w:rPr>
              <w:t>International</w:t>
            </w:r>
            <w:r>
              <w:rPr>
                <w:spacing w:val="13"/>
                <w:sz w:val="20"/>
              </w:rPr>
              <w:t> </w:t>
            </w:r>
            <w:r>
              <w:rPr>
                <w:w w:val="90"/>
                <w:sz w:val="20"/>
              </w:rPr>
              <w:t>Travel</w:t>
            </w:r>
            <w:r>
              <w:rPr>
                <w:spacing w:val="12"/>
                <w:sz w:val="20"/>
              </w:rPr>
              <w:t> </w:t>
            </w:r>
            <w:r>
              <w:rPr>
                <w:spacing w:val="-4"/>
                <w:w w:val="90"/>
                <w:sz w:val="20"/>
              </w:rPr>
              <w:t>Prep</w:t>
            </w:r>
          </w:p>
        </w:tc>
        <w:tc>
          <w:tcPr>
            <w:tcW w:w="381" w:type="dxa"/>
          </w:tcPr>
          <w:p>
            <w:pPr>
              <w:pStyle w:val="TableParagraph"/>
              <w:spacing w:line="217" w:lineRule="exact" w:before="2"/>
              <w:ind w:right="47"/>
              <w:jc w:val="right"/>
              <w:rPr>
                <w:sz w:val="20"/>
              </w:rPr>
            </w:pPr>
            <w:r>
              <w:rPr>
                <w:w w:val="90"/>
                <w:sz w:val="20"/>
              </w:rPr>
              <w:t>1</w:t>
            </w:r>
          </w:p>
        </w:tc>
      </w:tr>
    </w:tbl>
    <w:p>
      <w:pPr>
        <w:pStyle w:val="BodyText"/>
        <w:tabs>
          <w:tab w:pos="4690" w:val="left" w:leader="none"/>
          <w:tab w:pos="5225" w:val="left" w:leader="none"/>
          <w:tab w:pos="5839" w:val="left" w:leader="none"/>
          <w:tab w:pos="6357" w:val="left" w:leader="none"/>
          <w:tab w:pos="9540" w:val="right" w:leader="none"/>
        </w:tabs>
        <w:spacing w:before="45"/>
        <w:ind w:left="547"/>
      </w:pPr>
      <w:r>
        <w:rPr>
          <w:spacing w:val="-2"/>
        </w:rPr>
        <w:t>ELECTIVE</w:t>
      </w:r>
      <w:r>
        <w:rPr/>
        <w:tab/>
      </w:r>
      <w:r>
        <w:rPr>
          <w:spacing w:val="-10"/>
        </w:rPr>
        <w:t>3</w:t>
      </w:r>
      <w:r>
        <w:rPr/>
        <w:tab/>
      </w:r>
      <w:r>
        <w:rPr>
          <w:spacing w:val="-5"/>
        </w:rPr>
        <w:t>HIS</w:t>
      </w:r>
      <w:r>
        <w:rPr/>
        <w:tab/>
      </w:r>
      <w:r>
        <w:rPr>
          <w:spacing w:val="-5"/>
        </w:rPr>
        <w:t>106</w:t>
      </w:r>
      <w:r>
        <w:rPr/>
        <w:tab/>
      </w:r>
      <w:r>
        <w:rPr>
          <w:w w:val="90"/>
        </w:rPr>
        <w:t>World</w:t>
      </w:r>
      <w:r>
        <w:rPr/>
        <w:t> </w:t>
      </w:r>
      <w:r>
        <w:rPr>
          <w:w w:val="90"/>
        </w:rPr>
        <w:t>Civilizations</w:t>
      </w:r>
      <w:r>
        <w:rPr>
          <w:spacing w:val="-2"/>
        </w:rPr>
        <w:t> </w:t>
      </w:r>
      <w:r>
        <w:rPr>
          <w:spacing w:val="-5"/>
          <w:w w:val="90"/>
        </w:rPr>
        <w:t>II</w:t>
      </w:r>
      <w:r>
        <w:rPr/>
        <w:tab/>
      </w:r>
      <w:r>
        <w:rPr>
          <w:spacing w:val="-10"/>
        </w:rPr>
        <w:t>3</w:t>
      </w:r>
    </w:p>
    <w:p>
      <w:pPr>
        <w:pStyle w:val="BodyText"/>
        <w:tabs>
          <w:tab w:pos="9439" w:val="left" w:leader="none"/>
        </w:tabs>
        <w:spacing w:before="51"/>
        <w:ind w:left="5225"/>
      </w:pPr>
      <w:r>
        <w:rPr/>
        <w:pict>
          <v:rect style="position:absolute;margin-left:77.400002pt;margin-top:13.00988pt;width:455.76pt;height:.6pt;mso-position-horizontal-relative:page;mso-position-vertical-relative:paragraph;z-index:15744512" id="docshape578" filled="true" fillcolor="#000000" stroked="false">
            <v:fill type="solid"/>
            <w10:wrap type="none"/>
          </v:rect>
        </w:pict>
      </w:r>
      <w:r>
        <w:rPr>
          <w:spacing w:val="-2"/>
          <w:w w:val="95"/>
        </w:rPr>
        <w:t>(PED)</w:t>
      </w:r>
      <w:r>
        <w:rPr/>
        <w:tab/>
      </w:r>
      <w:r>
        <w:rPr>
          <w:spacing w:val="-5"/>
          <w:w w:val="95"/>
        </w:rPr>
        <w:t>(1)</w:t>
      </w:r>
    </w:p>
    <w:p>
      <w:pPr>
        <w:pStyle w:val="BodyText"/>
        <w:tabs>
          <w:tab w:pos="9087" w:val="left" w:leader="none"/>
        </w:tabs>
        <w:spacing w:before="50"/>
        <w:ind w:left="4690"/>
      </w:pPr>
      <w:r>
        <w:rPr>
          <w:spacing w:val="-5"/>
        </w:rPr>
        <w:t>18</w:t>
      </w:r>
      <w:r>
        <w:rPr/>
        <w:tab/>
      </w:r>
      <w:r>
        <w:rPr>
          <w:spacing w:val="-2"/>
        </w:rPr>
        <w:t>16(17)</w:t>
      </w:r>
    </w:p>
    <w:p>
      <w:pPr>
        <w:tabs>
          <w:tab w:pos="4987" w:val="left" w:leader="none"/>
        </w:tabs>
        <w:spacing w:before="332"/>
        <w:ind w:left="548" w:right="0" w:firstLine="0"/>
        <w:jc w:val="left"/>
        <w:rPr>
          <w:b/>
          <w:sz w:val="20"/>
        </w:rPr>
      </w:pPr>
      <w:r>
        <w:rPr>
          <w:b/>
          <w:w w:val="85"/>
          <w:sz w:val="20"/>
          <w:u w:val="single"/>
        </w:rPr>
        <w:t>SUMMER</w:t>
      </w:r>
      <w:r>
        <w:rPr>
          <w:b/>
          <w:spacing w:val="8"/>
          <w:sz w:val="20"/>
          <w:u w:val="single"/>
        </w:rPr>
        <w:t> </w:t>
      </w:r>
      <w:r>
        <w:rPr>
          <w:b/>
          <w:spacing w:val="-5"/>
          <w:w w:val="95"/>
          <w:sz w:val="20"/>
          <w:u w:val="single"/>
        </w:rPr>
        <w:t>ONE</w:t>
      </w:r>
      <w:r>
        <w:rPr>
          <w:b/>
          <w:sz w:val="20"/>
          <w:u w:val="single"/>
        </w:rPr>
        <w:tab/>
      </w:r>
    </w:p>
    <w:p>
      <w:pPr>
        <w:pStyle w:val="BodyText"/>
        <w:tabs>
          <w:tab w:pos="1160" w:val="left" w:leader="none"/>
          <w:tab w:pos="4791" w:val="right" w:leader="none"/>
        </w:tabs>
        <w:spacing w:before="51"/>
        <w:ind w:left="548"/>
      </w:pPr>
      <w:r>
        <w:rPr>
          <w:spacing w:val="-5"/>
        </w:rPr>
        <w:t>ARC</w:t>
      </w:r>
      <w:r>
        <w:rPr/>
        <w:tab/>
      </w:r>
      <w:r>
        <w:rPr>
          <w:w w:val="95"/>
        </w:rPr>
        <w:t>305</w:t>
      </w:r>
      <w:r>
        <w:rPr>
          <w:spacing w:val="61"/>
          <w:w w:val="150"/>
        </w:rPr>
        <w:t> </w:t>
      </w:r>
      <w:r>
        <w:rPr>
          <w:w w:val="95"/>
        </w:rPr>
        <w:t>International</w:t>
      </w:r>
      <w:r>
        <w:rPr>
          <w:spacing w:val="-11"/>
          <w:w w:val="95"/>
        </w:rPr>
        <w:t> </w:t>
      </w:r>
      <w:r>
        <w:rPr>
          <w:w w:val="95"/>
        </w:rPr>
        <w:t>Travel</w:t>
      </w:r>
      <w:r>
        <w:rPr>
          <w:spacing w:val="-11"/>
          <w:w w:val="95"/>
        </w:rPr>
        <w:t> </w:t>
      </w:r>
      <w:r>
        <w:rPr>
          <w:spacing w:val="-2"/>
          <w:w w:val="95"/>
        </w:rPr>
        <w:t>Studio</w:t>
      </w:r>
      <w:r>
        <w:rPr/>
        <w:tab/>
      </w:r>
      <w:r>
        <w:rPr>
          <w:spacing w:val="-10"/>
        </w:rPr>
        <w:t>3</w:t>
      </w:r>
    </w:p>
    <w:p>
      <w:pPr>
        <w:pStyle w:val="BodyText"/>
        <w:tabs>
          <w:tab w:pos="1160" w:val="left" w:leader="none"/>
          <w:tab w:pos="4690" w:val="left" w:leader="none"/>
          <w:tab w:pos="9531" w:val="left" w:leader="none"/>
        </w:tabs>
        <w:spacing w:before="51"/>
        <w:ind w:left="548"/>
      </w:pPr>
      <w:r>
        <w:rPr>
          <w:spacing w:val="-5"/>
          <w:u w:val="single"/>
        </w:rPr>
        <w:t>ARC</w:t>
      </w:r>
      <w:r>
        <w:rPr>
          <w:u w:val="single"/>
        </w:rPr>
        <w:tab/>
      </w:r>
      <w:r>
        <w:rPr>
          <w:w w:val="90"/>
          <w:u w:val="single"/>
        </w:rPr>
        <w:t>306</w:t>
      </w:r>
      <w:r>
        <w:rPr>
          <w:spacing w:val="52"/>
          <w:u w:val="single"/>
        </w:rPr>
        <w:t>  </w:t>
      </w:r>
      <w:r>
        <w:rPr>
          <w:w w:val="90"/>
          <w:u w:val="single"/>
        </w:rPr>
        <w:t>International</w:t>
      </w:r>
      <w:r>
        <w:rPr>
          <w:spacing w:val="-1"/>
          <w:w w:val="90"/>
          <w:u w:val="single"/>
        </w:rPr>
        <w:t> </w:t>
      </w:r>
      <w:r>
        <w:rPr>
          <w:w w:val="90"/>
          <w:u w:val="single"/>
        </w:rPr>
        <w:t>Urban</w:t>
      </w:r>
      <w:r>
        <w:rPr>
          <w:spacing w:val="-6"/>
          <w:u w:val="single"/>
        </w:rPr>
        <w:t> </w:t>
      </w:r>
      <w:r>
        <w:rPr>
          <w:w w:val="90"/>
          <w:u w:val="single"/>
        </w:rPr>
        <w:t>Design</w:t>
      </w:r>
      <w:r>
        <w:rPr>
          <w:spacing w:val="-5"/>
          <w:u w:val="single"/>
        </w:rPr>
        <w:t> </w:t>
      </w:r>
      <w:r>
        <w:rPr>
          <w:spacing w:val="-2"/>
          <w:w w:val="90"/>
          <w:u w:val="single"/>
        </w:rPr>
        <w:t>Studio</w:t>
      </w:r>
      <w:r>
        <w:rPr>
          <w:u w:val="single"/>
        </w:rPr>
        <w:tab/>
      </w:r>
      <w:r>
        <w:rPr>
          <w:spacing w:val="-10"/>
          <w:u w:val="single"/>
        </w:rPr>
        <w:t>3</w:t>
      </w:r>
      <w:r>
        <w:rPr>
          <w:u w:val="single"/>
        </w:rPr>
        <w:tab/>
      </w:r>
    </w:p>
    <w:p>
      <w:pPr>
        <w:pStyle w:val="BodyText"/>
        <w:spacing w:before="50"/>
        <w:ind w:left="4690"/>
      </w:pPr>
      <w:r>
        <w:rPr>
          <w:w w:val="90"/>
        </w:rPr>
        <w:t>6</w:t>
      </w:r>
    </w:p>
    <w:p>
      <w:pPr>
        <w:pStyle w:val="BodyText"/>
        <w:spacing w:before="8"/>
        <w:rPr>
          <w:sz w:val="28"/>
        </w:rPr>
      </w:pPr>
    </w:p>
    <w:p>
      <w:pPr>
        <w:tabs>
          <w:tab w:pos="4987" w:val="left" w:leader="none"/>
        </w:tabs>
        <w:spacing w:before="0"/>
        <w:ind w:left="548" w:right="0" w:firstLine="0"/>
        <w:jc w:val="left"/>
        <w:rPr>
          <w:b/>
          <w:sz w:val="20"/>
        </w:rPr>
      </w:pPr>
      <w:r>
        <w:rPr>
          <w:b/>
          <w:w w:val="80"/>
          <w:sz w:val="20"/>
          <w:u w:val="single"/>
        </w:rPr>
        <w:t>FOURTH</w:t>
      </w:r>
      <w:r>
        <w:rPr>
          <w:b/>
          <w:spacing w:val="8"/>
          <w:sz w:val="20"/>
          <w:u w:val="single"/>
        </w:rPr>
        <w:t> </w:t>
      </w:r>
      <w:r>
        <w:rPr>
          <w:b/>
          <w:spacing w:val="-4"/>
          <w:w w:val="90"/>
          <w:sz w:val="20"/>
          <w:u w:val="single"/>
        </w:rPr>
        <w:t>YEAR</w:t>
      </w:r>
      <w:r>
        <w:rPr>
          <w:b/>
          <w:sz w:val="20"/>
          <w:u w:val="single"/>
        </w:rPr>
        <w:tab/>
      </w:r>
    </w:p>
    <w:p>
      <w:pPr>
        <w:pStyle w:val="BodyText"/>
        <w:spacing w:before="8"/>
        <w:rPr>
          <w:b/>
          <w:sz w:val="7"/>
        </w:rPr>
      </w:pPr>
    </w:p>
    <w:tbl>
      <w:tblPr>
        <w:tblW w:w="0" w:type="auto"/>
        <w:jc w:val="left"/>
        <w:tblInd w:w="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1"/>
        <w:gridCol w:w="542"/>
        <w:gridCol w:w="2553"/>
        <w:gridCol w:w="945"/>
        <w:gridCol w:w="639"/>
        <w:gridCol w:w="553"/>
        <w:gridCol w:w="2757"/>
        <w:gridCol w:w="634"/>
      </w:tblGrid>
      <w:tr>
        <w:trPr>
          <w:trHeight w:val="240" w:hRule="atLeast"/>
        </w:trPr>
        <w:tc>
          <w:tcPr>
            <w:tcW w:w="521" w:type="dxa"/>
          </w:tcPr>
          <w:p>
            <w:pPr>
              <w:pStyle w:val="TableParagraph"/>
              <w:spacing w:line="192" w:lineRule="exact"/>
              <w:ind w:left="50"/>
              <w:rPr>
                <w:sz w:val="20"/>
              </w:rPr>
            </w:pPr>
            <w:r>
              <w:rPr>
                <w:spacing w:val="-5"/>
                <w:w w:val="90"/>
                <w:sz w:val="20"/>
              </w:rPr>
              <w:t>ARC</w:t>
            </w:r>
          </w:p>
        </w:tc>
        <w:tc>
          <w:tcPr>
            <w:tcW w:w="542" w:type="dxa"/>
          </w:tcPr>
          <w:p>
            <w:pPr>
              <w:pStyle w:val="TableParagraph"/>
              <w:spacing w:line="192" w:lineRule="exact"/>
              <w:ind w:right="96"/>
              <w:jc w:val="right"/>
              <w:rPr>
                <w:sz w:val="20"/>
              </w:rPr>
            </w:pPr>
            <w:r>
              <w:rPr>
                <w:spacing w:val="-5"/>
                <w:sz w:val="20"/>
              </w:rPr>
              <w:t>405</w:t>
            </w:r>
          </w:p>
        </w:tc>
        <w:tc>
          <w:tcPr>
            <w:tcW w:w="2553" w:type="dxa"/>
          </w:tcPr>
          <w:p>
            <w:pPr>
              <w:pStyle w:val="TableParagraph"/>
              <w:spacing w:line="192" w:lineRule="exact"/>
              <w:ind w:left="98"/>
              <w:rPr>
                <w:sz w:val="20"/>
              </w:rPr>
            </w:pPr>
            <w:r>
              <w:rPr>
                <w:spacing w:val="-2"/>
                <w:sz w:val="20"/>
              </w:rPr>
              <w:t>Studio</w:t>
            </w:r>
          </w:p>
        </w:tc>
        <w:tc>
          <w:tcPr>
            <w:tcW w:w="945" w:type="dxa"/>
          </w:tcPr>
          <w:p>
            <w:pPr>
              <w:pStyle w:val="TableParagraph"/>
              <w:spacing w:line="192" w:lineRule="exact"/>
              <w:ind w:left="576"/>
              <w:rPr>
                <w:sz w:val="20"/>
              </w:rPr>
            </w:pPr>
            <w:r>
              <w:rPr>
                <w:w w:val="90"/>
                <w:sz w:val="20"/>
              </w:rPr>
              <w:t>6</w:t>
            </w:r>
          </w:p>
        </w:tc>
        <w:tc>
          <w:tcPr>
            <w:tcW w:w="639" w:type="dxa"/>
          </w:tcPr>
          <w:p>
            <w:pPr>
              <w:pStyle w:val="TableParagraph"/>
              <w:spacing w:line="192" w:lineRule="exact"/>
              <w:ind w:left="128" w:right="105"/>
              <w:jc w:val="center"/>
              <w:rPr>
                <w:sz w:val="20"/>
              </w:rPr>
            </w:pPr>
            <w:r>
              <w:rPr>
                <w:spacing w:val="-5"/>
                <w:w w:val="90"/>
                <w:sz w:val="20"/>
              </w:rPr>
              <w:t>ARC</w:t>
            </w:r>
          </w:p>
        </w:tc>
        <w:tc>
          <w:tcPr>
            <w:tcW w:w="553" w:type="dxa"/>
          </w:tcPr>
          <w:p>
            <w:pPr>
              <w:pStyle w:val="TableParagraph"/>
              <w:spacing w:line="192" w:lineRule="exact"/>
              <w:ind w:left="114" w:right="80"/>
              <w:jc w:val="center"/>
              <w:rPr>
                <w:sz w:val="20"/>
              </w:rPr>
            </w:pPr>
            <w:r>
              <w:rPr>
                <w:spacing w:val="-5"/>
                <w:sz w:val="20"/>
              </w:rPr>
              <w:t>406</w:t>
            </w:r>
          </w:p>
        </w:tc>
        <w:tc>
          <w:tcPr>
            <w:tcW w:w="2757" w:type="dxa"/>
          </w:tcPr>
          <w:p>
            <w:pPr>
              <w:pStyle w:val="TableParagraph"/>
              <w:spacing w:line="192" w:lineRule="exact"/>
              <w:ind w:left="107"/>
              <w:rPr>
                <w:sz w:val="20"/>
              </w:rPr>
            </w:pPr>
            <w:r>
              <w:rPr>
                <w:spacing w:val="-2"/>
                <w:sz w:val="20"/>
              </w:rPr>
              <w:t>Studio</w:t>
            </w:r>
          </w:p>
        </w:tc>
        <w:tc>
          <w:tcPr>
            <w:tcW w:w="634" w:type="dxa"/>
          </w:tcPr>
          <w:p>
            <w:pPr>
              <w:pStyle w:val="TableParagraph"/>
              <w:spacing w:line="192" w:lineRule="exact"/>
              <w:ind w:right="98"/>
              <w:jc w:val="right"/>
              <w:rPr>
                <w:sz w:val="20"/>
              </w:rPr>
            </w:pPr>
            <w:r>
              <w:rPr>
                <w:w w:val="90"/>
                <w:sz w:val="20"/>
              </w:rPr>
              <w:t>6</w:t>
            </w:r>
          </w:p>
        </w:tc>
      </w:tr>
      <w:tr>
        <w:trPr>
          <w:trHeight w:val="280" w:hRule="atLeast"/>
        </w:trPr>
        <w:tc>
          <w:tcPr>
            <w:tcW w:w="521" w:type="dxa"/>
          </w:tcPr>
          <w:p>
            <w:pPr>
              <w:pStyle w:val="TableParagraph"/>
              <w:spacing w:before="2"/>
              <w:ind w:left="50"/>
              <w:rPr>
                <w:sz w:val="20"/>
              </w:rPr>
            </w:pPr>
            <w:r>
              <w:rPr>
                <w:spacing w:val="-5"/>
                <w:w w:val="90"/>
                <w:sz w:val="20"/>
              </w:rPr>
              <w:t>ARC</w:t>
            </w:r>
          </w:p>
        </w:tc>
        <w:tc>
          <w:tcPr>
            <w:tcW w:w="542" w:type="dxa"/>
          </w:tcPr>
          <w:p>
            <w:pPr>
              <w:pStyle w:val="TableParagraph"/>
              <w:spacing w:before="2"/>
              <w:ind w:right="96"/>
              <w:jc w:val="right"/>
              <w:rPr>
                <w:sz w:val="20"/>
              </w:rPr>
            </w:pPr>
            <w:r>
              <w:rPr>
                <w:spacing w:val="-5"/>
                <w:sz w:val="20"/>
              </w:rPr>
              <w:t>414</w:t>
            </w:r>
          </w:p>
        </w:tc>
        <w:tc>
          <w:tcPr>
            <w:tcW w:w="2553" w:type="dxa"/>
          </w:tcPr>
          <w:p>
            <w:pPr>
              <w:pStyle w:val="TableParagraph"/>
              <w:spacing w:before="2"/>
              <w:ind w:left="98"/>
              <w:rPr>
                <w:sz w:val="20"/>
              </w:rPr>
            </w:pPr>
            <w:r>
              <w:rPr>
                <w:w w:val="90"/>
                <w:sz w:val="20"/>
              </w:rPr>
              <w:t>Advanced</w:t>
            </w:r>
            <w:r>
              <w:rPr>
                <w:spacing w:val="-6"/>
                <w:w w:val="90"/>
                <w:sz w:val="20"/>
              </w:rPr>
              <w:t> </w:t>
            </w:r>
            <w:r>
              <w:rPr>
                <w:w w:val="90"/>
                <w:sz w:val="20"/>
              </w:rPr>
              <w:t>Structures</w:t>
            </w:r>
            <w:r>
              <w:rPr>
                <w:spacing w:val="-7"/>
                <w:w w:val="90"/>
                <w:sz w:val="20"/>
              </w:rPr>
              <w:t> </w:t>
            </w:r>
            <w:r>
              <w:rPr>
                <w:spacing w:val="-5"/>
                <w:w w:val="90"/>
                <w:sz w:val="20"/>
              </w:rPr>
              <w:t>III</w:t>
            </w:r>
          </w:p>
        </w:tc>
        <w:tc>
          <w:tcPr>
            <w:tcW w:w="945" w:type="dxa"/>
          </w:tcPr>
          <w:p>
            <w:pPr>
              <w:pStyle w:val="TableParagraph"/>
              <w:spacing w:before="2"/>
              <w:ind w:left="576"/>
              <w:rPr>
                <w:sz w:val="20"/>
              </w:rPr>
            </w:pPr>
            <w:r>
              <w:rPr>
                <w:w w:val="90"/>
                <w:sz w:val="20"/>
              </w:rPr>
              <w:t>3</w:t>
            </w:r>
          </w:p>
        </w:tc>
        <w:tc>
          <w:tcPr>
            <w:tcW w:w="639" w:type="dxa"/>
          </w:tcPr>
          <w:p>
            <w:pPr>
              <w:pStyle w:val="TableParagraph"/>
              <w:spacing w:before="2"/>
              <w:ind w:left="128" w:right="105"/>
              <w:jc w:val="center"/>
              <w:rPr>
                <w:sz w:val="20"/>
              </w:rPr>
            </w:pPr>
            <w:r>
              <w:rPr>
                <w:spacing w:val="-5"/>
                <w:w w:val="90"/>
                <w:sz w:val="20"/>
              </w:rPr>
              <w:t>ARC</w:t>
            </w:r>
          </w:p>
        </w:tc>
        <w:tc>
          <w:tcPr>
            <w:tcW w:w="553" w:type="dxa"/>
          </w:tcPr>
          <w:p>
            <w:pPr>
              <w:pStyle w:val="TableParagraph"/>
              <w:spacing w:before="2"/>
              <w:ind w:left="114" w:right="80"/>
              <w:jc w:val="center"/>
              <w:rPr>
                <w:sz w:val="20"/>
              </w:rPr>
            </w:pPr>
            <w:r>
              <w:rPr>
                <w:spacing w:val="-5"/>
                <w:sz w:val="20"/>
              </w:rPr>
              <w:t>411</w:t>
            </w:r>
          </w:p>
        </w:tc>
        <w:tc>
          <w:tcPr>
            <w:tcW w:w="2757" w:type="dxa"/>
          </w:tcPr>
          <w:p>
            <w:pPr>
              <w:pStyle w:val="TableParagraph"/>
              <w:spacing w:before="2"/>
              <w:ind w:left="107"/>
              <w:rPr>
                <w:sz w:val="20"/>
              </w:rPr>
            </w:pPr>
            <w:r>
              <w:rPr>
                <w:w w:val="90"/>
                <w:sz w:val="20"/>
              </w:rPr>
              <w:t>Contemporary</w:t>
            </w:r>
            <w:r>
              <w:rPr>
                <w:spacing w:val="17"/>
                <w:sz w:val="20"/>
              </w:rPr>
              <w:t> </w:t>
            </w:r>
            <w:r>
              <w:rPr>
                <w:spacing w:val="-2"/>
                <w:sz w:val="20"/>
              </w:rPr>
              <w:t>Arch.Theory</w:t>
            </w:r>
          </w:p>
        </w:tc>
        <w:tc>
          <w:tcPr>
            <w:tcW w:w="634" w:type="dxa"/>
          </w:tcPr>
          <w:p>
            <w:pPr>
              <w:pStyle w:val="TableParagraph"/>
              <w:spacing w:before="2"/>
              <w:ind w:right="98"/>
              <w:jc w:val="right"/>
              <w:rPr>
                <w:sz w:val="20"/>
              </w:rPr>
            </w:pPr>
            <w:r>
              <w:rPr>
                <w:w w:val="90"/>
                <w:sz w:val="20"/>
              </w:rPr>
              <w:t>3</w:t>
            </w:r>
          </w:p>
        </w:tc>
      </w:tr>
      <w:tr>
        <w:trPr>
          <w:trHeight w:val="240" w:hRule="atLeast"/>
        </w:trPr>
        <w:tc>
          <w:tcPr>
            <w:tcW w:w="521" w:type="dxa"/>
          </w:tcPr>
          <w:p>
            <w:pPr>
              <w:pStyle w:val="TableParagraph"/>
              <w:spacing w:line="217" w:lineRule="exact" w:before="2"/>
              <w:ind w:left="50"/>
              <w:rPr>
                <w:sz w:val="20"/>
              </w:rPr>
            </w:pPr>
            <w:r>
              <w:rPr>
                <w:spacing w:val="-5"/>
                <w:w w:val="90"/>
                <w:sz w:val="20"/>
              </w:rPr>
              <w:t>ARC</w:t>
            </w:r>
          </w:p>
        </w:tc>
        <w:tc>
          <w:tcPr>
            <w:tcW w:w="542" w:type="dxa"/>
          </w:tcPr>
          <w:p>
            <w:pPr>
              <w:pStyle w:val="TableParagraph"/>
              <w:spacing w:line="217" w:lineRule="exact" w:before="2"/>
              <w:ind w:right="96"/>
              <w:jc w:val="right"/>
              <w:rPr>
                <w:sz w:val="20"/>
              </w:rPr>
            </w:pPr>
            <w:r>
              <w:rPr>
                <w:spacing w:val="-5"/>
                <w:sz w:val="20"/>
              </w:rPr>
              <w:t>517</w:t>
            </w:r>
          </w:p>
        </w:tc>
        <w:tc>
          <w:tcPr>
            <w:tcW w:w="2553" w:type="dxa"/>
          </w:tcPr>
          <w:p>
            <w:pPr>
              <w:pStyle w:val="TableParagraph"/>
              <w:spacing w:line="217" w:lineRule="exact" w:before="2"/>
              <w:ind w:left="98"/>
              <w:rPr>
                <w:sz w:val="20"/>
              </w:rPr>
            </w:pPr>
            <w:r>
              <w:rPr>
                <w:w w:val="85"/>
                <w:sz w:val="20"/>
              </w:rPr>
              <w:t>Professional</w:t>
            </w:r>
            <w:r>
              <w:rPr>
                <w:spacing w:val="26"/>
                <w:sz w:val="20"/>
              </w:rPr>
              <w:t> </w:t>
            </w:r>
            <w:r>
              <w:rPr>
                <w:w w:val="85"/>
                <w:sz w:val="20"/>
              </w:rPr>
              <w:t>Practice</w:t>
            </w:r>
            <w:r>
              <w:rPr>
                <w:spacing w:val="27"/>
                <w:sz w:val="20"/>
              </w:rPr>
              <w:t> </w:t>
            </w:r>
            <w:r>
              <w:rPr>
                <w:spacing w:val="-10"/>
                <w:w w:val="85"/>
                <w:sz w:val="20"/>
              </w:rPr>
              <w:t>I</w:t>
            </w:r>
          </w:p>
        </w:tc>
        <w:tc>
          <w:tcPr>
            <w:tcW w:w="945" w:type="dxa"/>
          </w:tcPr>
          <w:p>
            <w:pPr>
              <w:pStyle w:val="TableParagraph"/>
              <w:spacing w:line="217" w:lineRule="exact" w:before="2"/>
              <w:ind w:left="576"/>
              <w:rPr>
                <w:sz w:val="20"/>
              </w:rPr>
            </w:pPr>
            <w:r>
              <w:rPr>
                <w:w w:val="90"/>
                <w:sz w:val="20"/>
              </w:rPr>
              <w:t>3</w:t>
            </w:r>
          </w:p>
        </w:tc>
        <w:tc>
          <w:tcPr>
            <w:tcW w:w="639" w:type="dxa"/>
          </w:tcPr>
          <w:p>
            <w:pPr>
              <w:pStyle w:val="TableParagraph"/>
              <w:spacing w:line="217" w:lineRule="exact" w:before="2"/>
              <w:ind w:left="128" w:right="105"/>
              <w:jc w:val="center"/>
              <w:rPr>
                <w:sz w:val="20"/>
              </w:rPr>
            </w:pPr>
            <w:r>
              <w:rPr>
                <w:spacing w:val="-5"/>
                <w:w w:val="90"/>
                <w:sz w:val="20"/>
              </w:rPr>
              <w:t>ARC</w:t>
            </w:r>
          </w:p>
        </w:tc>
        <w:tc>
          <w:tcPr>
            <w:tcW w:w="553" w:type="dxa"/>
          </w:tcPr>
          <w:p>
            <w:pPr>
              <w:pStyle w:val="TableParagraph"/>
              <w:spacing w:line="217" w:lineRule="exact" w:before="2"/>
              <w:ind w:left="114" w:right="80"/>
              <w:jc w:val="center"/>
              <w:rPr>
                <w:sz w:val="20"/>
              </w:rPr>
            </w:pPr>
            <w:r>
              <w:rPr>
                <w:spacing w:val="-5"/>
                <w:sz w:val="20"/>
              </w:rPr>
              <w:t>518</w:t>
            </w:r>
          </w:p>
        </w:tc>
        <w:tc>
          <w:tcPr>
            <w:tcW w:w="2757" w:type="dxa"/>
          </w:tcPr>
          <w:p>
            <w:pPr>
              <w:pStyle w:val="TableParagraph"/>
              <w:spacing w:line="217" w:lineRule="exact" w:before="2"/>
              <w:ind w:left="107"/>
              <w:rPr>
                <w:sz w:val="20"/>
              </w:rPr>
            </w:pPr>
            <w:r>
              <w:rPr>
                <w:w w:val="85"/>
                <w:sz w:val="20"/>
              </w:rPr>
              <w:t>Professional</w:t>
            </w:r>
            <w:r>
              <w:rPr>
                <w:spacing w:val="26"/>
                <w:sz w:val="20"/>
              </w:rPr>
              <w:t> </w:t>
            </w:r>
            <w:r>
              <w:rPr>
                <w:w w:val="85"/>
                <w:sz w:val="20"/>
              </w:rPr>
              <w:t>Practice</w:t>
            </w:r>
            <w:r>
              <w:rPr>
                <w:spacing w:val="27"/>
                <w:sz w:val="20"/>
              </w:rPr>
              <w:t> </w:t>
            </w:r>
            <w:r>
              <w:rPr>
                <w:spacing w:val="-5"/>
                <w:w w:val="85"/>
                <w:sz w:val="20"/>
              </w:rPr>
              <w:t>II</w:t>
            </w:r>
          </w:p>
        </w:tc>
        <w:tc>
          <w:tcPr>
            <w:tcW w:w="634" w:type="dxa"/>
          </w:tcPr>
          <w:p>
            <w:pPr>
              <w:pStyle w:val="TableParagraph"/>
              <w:spacing w:line="217" w:lineRule="exact" w:before="2"/>
              <w:ind w:right="98"/>
              <w:jc w:val="right"/>
              <w:rPr>
                <w:sz w:val="20"/>
              </w:rPr>
            </w:pPr>
            <w:r>
              <w:rPr>
                <w:w w:val="90"/>
                <w:sz w:val="20"/>
              </w:rPr>
              <w:t>3</w:t>
            </w:r>
          </w:p>
        </w:tc>
      </w:tr>
      <w:tr>
        <w:trPr>
          <w:trHeight w:val="280" w:hRule="atLeast"/>
        </w:trPr>
        <w:tc>
          <w:tcPr>
            <w:tcW w:w="9144" w:type="dxa"/>
            <w:gridSpan w:val="8"/>
          </w:tcPr>
          <w:p>
            <w:pPr>
              <w:pStyle w:val="TableParagraph"/>
              <w:tabs>
                <w:tab w:pos="662" w:val="left" w:leader="none"/>
                <w:tab w:pos="4192" w:val="left" w:leader="none"/>
                <w:tab w:pos="4727" w:val="left" w:leader="none"/>
                <w:tab w:pos="9043" w:val="right" w:leader="none"/>
              </w:tabs>
              <w:spacing w:line="217" w:lineRule="exact" w:before="43"/>
              <w:ind w:left="50"/>
              <w:rPr>
                <w:sz w:val="20"/>
              </w:rPr>
            </w:pPr>
            <w:r>
              <w:rPr>
                <w:spacing w:val="-5"/>
                <w:w w:val="95"/>
                <w:sz w:val="20"/>
              </w:rPr>
              <w:t>ARC</w:t>
            </w:r>
            <w:r>
              <w:rPr>
                <w:sz w:val="20"/>
              </w:rPr>
              <w:tab/>
            </w:r>
            <w:r>
              <w:rPr>
                <w:w w:val="90"/>
                <w:sz w:val="20"/>
              </w:rPr>
              <w:t>516</w:t>
            </w:r>
            <w:r>
              <w:rPr>
                <w:spacing w:val="28"/>
                <w:sz w:val="20"/>
              </w:rPr>
              <w:t>  </w:t>
            </w:r>
            <w:r>
              <w:rPr>
                <w:w w:val="90"/>
                <w:sz w:val="20"/>
              </w:rPr>
              <w:t>Building</w:t>
            </w:r>
            <w:r>
              <w:rPr>
                <w:spacing w:val="-8"/>
                <w:w w:val="90"/>
                <w:sz w:val="20"/>
              </w:rPr>
              <w:t> </w:t>
            </w:r>
            <w:r>
              <w:rPr>
                <w:w w:val="90"/>
                <w:sz w:val="20"/>
              </w:rPr>
              <w:t>Systems</w:t>
            </w:r>
            <w:r>
              <w:rPr>
                <w:spacing w:val="-9"/>
                <w:w w:val="90"/>
                <w:sz w:val="20"/>
              </w:rPr>
              <w:t> </w:t>
            </w:r>
            <w:r>
              <w:rPr>
                <w:spacing w:val="-2"/>
                <w:w w:val="90"/>
                <w:sz w:val="20"/>
              </w:rPr>
              <w:t>Integration</w:t>
            </w:r>
            <w:r>
              <w:rPr>
                <w:sz w:val="20"/>
              </w:rPr>
              <w:tab/>
            </w:r>
            <w:r>
              <w:rPr>
                <w:spacing w:val="-10"/>
                <w:w w:val="95"/>
                <w:sz w:val="20"/>
              </w:rPr>
              <w:t>3</w:t>
            </w:r>
            <w:r>
              <w:rPr>
                <w:sz w:val="20"/>
              </w:rPr>
              <w:tab/>
            </w:r>
            <w:r>
              <w:rPr>
                <w:spacing w:val="-2"/>
                <w:w w:val="95"/>
                <w:sz w:val="20"/>
              </w:rPr>
              <w:t>ELECTIVE</w:t>
            </w:r>
            <w:r>
              <w:rPr>
                <w:sz w:val="20"/>
              </w:rPr>
              <w:tab/>
            </w:r>
            <w:r>
              <w:rPr>
                <w:spacing w:val="-10"/>
                <w:w w:val="95"/>
                <w:sz w:val="20"/>
              </w:rPr>
              <w:t>3</w:t>
            </w:r>
          </w:p>
        </w:tc>
      </w:tr>
      <w:tr>
        <w:trPr>
          <w:trHeight w:val="273" w:hRule="atLeast"/>
        </w:trPr>
        <w:tc>
          <w:tcPr>
            <w:tcW w:w="3616" w:type="dxa"/>
            <w:gridSpan w:val="3"/>
            <w:tcBorders>
              <w:bottom w:val="single" w:sz="6" w:space="0" w:color="000000"/>
            </w:tcBorders>
          </w:tcPr>
          <w:p>
            <w:pPr>
              <w:pStyle w:val="TableParagraph"/>
              <w:spacing w:line="188" w:lineRule="exact" w:before="43"/>
              <w:ind w:left="50"/>
              <w:rPr>
                <w:sz w:val="20"/>
              </w:rPr>
            </w:pPr>
            <w:r>
              <w:rPr>
                <w:w w:val="80"/>
                <w:sz w:val="20"/>
              </w:rPr>
              <w:t>ELECTIVE</w:t>
            </w:r>
            <w:r>
              <w:rPr>
                <w:spacing w:val="70"/>
                <w:sz w:val="20"/>
              </w:rPr>
              <w:t> </w:t>
            </w:r>
            <w:r>
              <w:rPr>
                <w:w w:val="80"/>
                <w:sz w:val="20"/>
              </w:rPr>
              <w:t>Social</w:t>
            </w:r>
            <w:r>
              <w:rPr>
                <w:spacing w:val="-3"/>
                <w:w w:val="80"/>
                <w:sz w:val="20"/>
              </w:rPr>
              <w:t> </w:t>
            </w:r>
            <w:r>
              <w:rPr>
                <w:spacing w:val="-2"/>
                <w:w w:val="80"/>
                <w:sz w:val="20"/>
              </w:rPr>
              <w:t>Science</w:t>
            </w:r>
          </w:p>
        </w:tc>
        <w:tc>
          <w:tcPr>
            <w:tcW w:w="945" w:type="dxa"/>
            <w:tcBorders>
              <w:bottom w:val="single" w:sz="6" w:space="0" w:color="000000"/>
            </w:tcBorders>
          </w:tcPr>
          <w:p>
            <w:pPr>
              <w:pStyle w:val="TableParagraph"/>
              <w:spacing w:line="188" w:lineRule="exact" w:before="43"/>
              <w:ind w:left="576"/>
              <w:rPr>
                <w:sz w:val="20"/>
              </w:rPr>
            </w:pPr>
            <w:r>
              <w:rPr>
                <w:w w:val="90"/>
                <w:sz w:val="20"/>
              </w:rPr>
              <w:t>3</w:t>
            </w:r>
          </w:p>
        </w:tc>
        <w:tc>
          <w:tcPr>
            <w:tcW w:w="1192" w:type="dxa"/>
            <w:gridSpan w:val="2"/>
            <w:tcBorders>
              <w:bottom w:val="single" w:sz="6" w:space="0" w:color="000000"/>
            </w:tcBorders>
          </w:tcPr>
          <w:p>
            <w:pPr>
              <w:pStyle w:val="TableParagraph"/>
              <w:spacing w:line="188" w:lineRule="exact" w:before="43"/>
              <w:ind w:left="166"/>
              <w:rPr>
                <w:sz w:val="20"/>
              </w:rPr>
            </w:pPr>
            <w:r>
              <w:rPr>
                <w:spacing w:val="-2"/>
                <w:w w:val="85"/>
                <w:sz w:val="20"/>
              </w:rPr>
              <w:t>ELECTIVE</w:t>
            </w:r>
          </w:p>
        </w:tc>
        <w:tc>
          <w:tcPr>
            <w:tcW w:w="2757" w:type="dxa"/>
            <w:tcBorders>
              <w:bottom w:val="single" w:sz="6" w:space="0" w:color="000000"/>
            </w:tcBorders>
          </w:tcPr>
          <w:p>
            <w:pPr>
              <w:pStyle w:val="TableParagraph"/>
              <w:spacing w:line="188" w:lineRule="exact" w:before="43"/>
              <w:ind w:left="107"/>
              <w:rPr>
                <w:sz w:val="20"/>
              </w:rPr>
            </w:pPr>
            <w:r>
              <w:rPr>
                <w:w w:val="85"/>
                <w:sz w:val="20"/>
              </w:rPr>
              <w:t>Social</w:t>
            </w:r>
            <w:r>
              <w:rPr>
                <w:spacing w:val="-4"/>
                <w:w w:val="85"/>
                <w:sz w:val="20"/>
              </w:rPr>
              <w:t> </w:t>
            </w:r>
            <w:r>
              <w:rPr>
                <w:spacing w:val="-2"/>
                <w:w w:val="95"/>
                <w:sz w:val="20"/>
              </w:rPr>
              <w:t>Science</w:t>
            </w:r>
          </w:p>
        </w:tc>
        <w:tc>
          <w:tcPr>
            <w:tcW w:w="634" w:type="dxa"/>
            <w:tcBorders>
              <w:bottom w:val="single" w:sz="6" w:space="0" w:color="000000"/>
            </w:tcBorders>
          </w:tcPr>
          <w:p>
            <w:pPr>
              <w:pStyle w:val="TableParagraph"/>
              <w:spacing w:line="188" w:lineRule="exact" w:before="43"/>
              <w:ind w:right="98"/>
              <w:jc w:val="right"/>
              <w:rPr>
                <w:sz w:val="20"/>
              </w:rPr>
            </w:pPr>
            <w:r>
              <w:rPr>
                <w:w w:val="90"/>
                <w:sz w:val="20"/>
              </w:rPr>
              <w:t>3</w:t>
            </w:r>
          </w:p>
        </w:tc>
      </w:tr>
      <w:tr>
        <w:trPr>
          <w:trHeight w:val="273" w:hRule="atLeast"/>
        </w:trPr>
        <w:tc>
          <w:tcPr>
            <w:tcW w:w="3616" w:type="dxa"/>
            <w:gridSpan w:val="3"/>
            <w:tcBorders>
              <w:top w:val="single" w:sz="6" w:space="0" w:color="000000"/>
            </w:tcBorders>
          </w:tcPr>
          <w:p>
            <w:pPr>
              <w:pStyle w:val="TableParagraph"/>
              <w:rPr>
                <w:rFonts w:ascii="Times New Roman"/>
                <w:sz w:val="20"/>
              </w:rPr>
            </w:pPr>
          </w:p>
        </w:tc>
        <w:tc>
          <w:tcPr>
            <w:tcW w:w="945" w:type="dxa"/>
            <w:tcBorders>
              <w:top w:val="single" w:sz="6" w:space="0" w:color="000000"/>
            </w:tcBorders>
          </w:tcPr>
          <w:p>
            <w:pPr>
              <w:pStyle w:val="TableParagraph"/>
              <w:spacing w:line="217" w:lineRule="exact" w:before="58"/>
              <w:ind w:left="576"/>
              <w:rPr>
                <w:sz w:val="20"/>
              </w:rPr>
            </w:pPr>
            <w:r>
              <w:rPr>
                <w:spacing w:val="-5"/>
                <w:sz w:val="20"/>
              </w:rPr>
              <w:t>18</w:t>
            </w:r>
          </w:p>
        </w:tc>
        <w:tc>
          <w:tcPr>
            <w:tcW w:w="1192" w:type="dxa"/>
            <w:gridSpan w:val="2"/>
            <w:tcBorders>
              <w:top w:val="single" w:sz="6" w:space="0" w:color="000000"/>
            </w:tcBorders>
          </w:tcPr>
          <w:p>
            <w:pPr>
              <w:pStyle w:val="TableParagraph"/>
              <w:rPr>
                <w:rFonts w:ascii="Times New Roman"/>
                <w:sz w:val="20"/>
              </w:rPr>
            </w:pPr>
          </w:p>
        </w:tc>
        <w:tc>
          <w:tcPr>
            <w:tcW w:w="2757" w:type="dxa"/>
            <w:tcBorders>
              <w:top w:val="single" w:sz="6" w:space="0" w:color="000000"/>
            </w:tcBorders>
          </w:tcPr>
          <w:p>
            <w:pPr>
              <w:pStyle w:val="TableParagraph"/>
              <w:rPr>
                <w:rFonts w:ascii="Times New Roman"/>
                <w:sz w:val="20"/>
              </w:rPr>
            </w:pPr>
          </w:p>
        </w:tc>
        <w:tc>
          <w:tcPr>
            <w:tcW w:w="634" w:type="dxa"/>
            <w:tcBorders>
              <w:top w:val="single" w:sz="6" w:space="0" w:color="000000"/>
            </w:tcBorders>
          </w:tcPr>
          <w:p>
            <w:pPr>
              <w:pStyle w:val="TableParagraph"/>
              <w:spacing w:line="217" w:lineRule="exact" w:before="58"/>
              <w:jc w:val="right"/>
              <w:rPr>
                <w:sz w:val="20"/>
              </w:rPr>
            </w:pPr>
            <w:r>
              <w:rPr>
                <w:spacing w:val="-5"/>
                <w:sz w:val="20"/>
              </w:rPr>
              <w:t>18</w:t>
            </w:r>
          </w:p>
        </w:tc>
      </w:tr>
    </w:tbl>
    <w:p>
      <w:pPr>
        <w:pStyle w:val="BodyText"/>
        <w:spacing w:before="4"/>
        <w:rPr>
          <w:b/>
          <w:sz w:val="28"/>
        </w:rPr>
      </w:pPr>
    </w:p>
    <w:p>
      <w:pPr>
        <w:tabs>
          <w:tab w:pos="4987" w:val="left" w:leader="none"/>
        </w:tabs>
        <w:spacing w:before="1"/>
        <w:ind w:left="548" w:right="0" w:firstLine="0"/>
        <w:jc w:val="left"/>
        <w:rPr>
          <w:b/>
          <w:sz w:val="20"/>
        </w:rPr>
      </w:pPr>
      <w:r>
        <w:rPr>
          <w:b/>
          <w:w w:val="85"/>
          <w:sz w:val="20"/>
          <w:u w:val="single"/>
        </w:rPr>
        <w:t>SUMMER</w:t>
      </w:r>
      <w:r>
        <w:rPr>
          <w:b/>
          <w:spacing w:val="8"/>
          <w:sz w:val="20"/>
          <w:u w:val="single"/>
        </w:rPr>
        <w:t> </w:t>
      </w:r>
      <w:r>
        <w:rPr>
          <w:b/>
          <w:spacing w:val="-5"/>
          <w:w w:val="95"/>
          <w:sz w:val="20"/>
          <w:u w:val="single"/>
        </w:rPr>
        <w:t>TWO</w:t>
      </w:r>
      <w:r>
        <w:rPr>
          <w:b/>
          <w:sz w:val="20"/>
          <w:u w:val="single"/>
        </w:rPr>
        <w:tab/>
      </w:r>
    </w:p>
    <w:p>
      <w:pPr>
        <w:pStyle w:val="BodyText"/>
        <w:tabs>
          <w:tab w:pos="4690" w:val="left" w:leader="none"/>
        </w:tabs>
        <w:spacing w:before="50"/>
        <w:ind w:left="548"/>
      </w:pPr>
      <w:r>
        <w:rPr>
          <w:spacing w:val="-2"/>
        </w:rPr>
        <w:t>Internship</w:t>
      </w:r>
      <w:r>
        <w:rPr/>
        <w:tab/>
      </w:r>
      <w:r>
        <w:rPr>
          <w:w w:val="95"/>
        </w:rPr>
        <w:t>no</w:t>
      </w:r>
      <w:r>
        <w:rPr>
          <w:spacing w:val="-10"/>
          <w:w w:val="95"/>
        </w:rPr>
        <w:t> </w:t>
      </w:r>
      <w:r>
        <w:rPr>
          <w:spacing w:val="-2"/>
        </w:rPr>
        <w:t>credit</w:t>
      </w:r>
    </w:p>
    <w:p>
      <w:pPr>
        <w:spacing w:after="0"/>
        <w:sectPr>
          <w:headerReference w:type="default" r:id="rId303"/>
          <w:footerReference w:type="default" r:id="rId304"/>
          <w:pgSz w:w="12240" w:h="15840"/>
          <w:pgMar w:header="0" w:footer="748" w:top="1680" w:bottom="940" w:left="1000" w:right="820"/>
        </w:sectPr>
      </w:pPr>
    </w:p>
    <w:p>
      <w:pPr>
        <w:tabs>
          <w:tab w:pos="4690" w:val="left" w:leader="none"/>
        </w:tabs>
        <w:spacing w:before="42"/>
        <w:ind w:left="548" w:right="0" w:firstLine="0"/>
        <w:jc w:val="left"/>
        <w:rPr>
          <w:b/>
          <w:sz w:val="20"/>
        </w:rPr>
      </w:pPr>
      <w:r>
        <w:rPr>
          <w:b/>
          <w:w w:val="80"/>
          <w:sz w:val="20"/>
          <w:u w:val="single"/>
        </w:rPr>
        <w:t>FIFTH</w:t>
      </w:r>
      <w:r>
        <w:rPr>
          <w:b/>
          <w:spacing w:val="-2"/>
          <w:w w:val="90"/>
          <w:sz w:val="20"/>
          <w:u w:val="single"/>
        </w:rPr>
        <w:t> </w:t>
      </w:r>
      <w:r>
        <w:rPr>
          <w:b/>
          <w:spacing w:val="-4"/>
          <w:w w:val="90"/>
          <w:sz w:val="20"/>
          <w:u w:val="single"/>
        </w:rPr>
        <w:t>YEAR</w:t>
      </w:r>
      <w:r>
        <w:rPr>
          <w:b/>
          <w:sz w:val="20"/>
          <w:u w:val="single"/>
        </w:rPr>
        <w:tab/>
      </w:r>
    </w:p>
    <w:p>
      <w:pPr>
        <w:pStyle w:val="BodyText"/>
        <w:spacing w:before="8"/>
        <w:rPr>
          <w:b/>
          <w:sz w:val="7"/>
        </w:rPr>
      </w:pPr>
    </w:p>
    <w:tbl>
      <w:tblPr>
        <w:tblW w:w="0" w:type="auto"/>
        <w:jc w:val="left"/>
        <w:tblInd w:w="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1"/>
        <w:gridCol w:w="543"/>
        <w:gridCol w:w="2459"/>
        <w:gridCol w:w="1041"/>
        <w:gridCol w:w="640"/>
        <w:gridCol w:w="554"/>
        <w:gridCol w:w="2753"/>
        <w:gridCol w:w="791"/>
      </w:tblGrid>
      <w:tr>
        <w:trPr>
          <w:trHeight w:val="240" w:hRule="atLeast"/>
        </w:trPr>
        <w:tc>
          <w:tcPr>
            <w:tcW w:w="471" w:type="dxa"/>
          </w:tcPr>
          <w:p>
            <w:pPr>
              <w:pStyle w:val="TableParagraph"/>
              <w:spacing w:line="192" w:lineRule="exact"/>
              <w:rPr>
                <w:sz w:val="20"/>
              </w:rPr>
            </w:pPr>
            <w:r>
              <w:rPr>
                <w:spacing w:val="-5"/>
                <w:w w:val="90"/>
                <w:sz w:val="20"/>
              </w:rPr>
              <w:t>ARC</w:t>
            </w:r>
          </w:p>
        </w:tc>
        <w:tc>
          <w:tcPr>
            <w:tcW w:w="543" w:type="dxa"/>
          </w:tcPr>
          <w:p>
            <w:pPr>
              <w:pStyle w:val="TableParagraph"/>
              <w:spacing w:line="192" w:lineRule="exact"/>
              <w:ind w:right="97"/>
              <w:jc w:val="right"/>
              <w:rPr>
                <w:sz w:val="20"/>
              </w:rPr>
            </w:pPr>
            <w:r>
              <w:rPr>
                <w:spacing w:val="-5"/>
                <w:sz w:val="20"/>
              </w:rPr>
              <w:t>601</w:t>
            </w:r>
          </w:p>
        </w:tc>
        <w:tc>
          <w:tcPr>
            <w:tcW w:w="2459" w:type="dxa"/>
          </w:tcPr>
          <w:p>
            <w:pPr>
              <w:pStyle w:val="TableParagraph"/>
              <w:spacing w:line="192" w:lineRule="exact"/>
              <w:ind w:left="97"/>
              <w:rPr>
                <w:sz w:val="20"/>
              </w:rPr>
            </w:pPr>
            <w:r>
              <w:rPr>
                <w:spacing w:val="-2"/>
                <w:sz w:val="20"/>
              </w:rPr>
              <w:t>Studio</w:t>
            </w:r>
          </w:p>
        </w:tc>
        <w:tc>
          <w:tcPr>
            <w:tcW w:w="1041" w:type="dxa"/>
          </w:tcPr>
          <w:p>
            <w:pPr>
              <w:pStyle w:val="TableParagraph"/>
              <w:spacing w:line="192" w:lineRule="exact"/>
              <w:ind w:left="669"/>
              <w:rPr>
                <w:sz w:val="20"/>
              </w:rPr>
            </w:pPr>
            <w:r>
              <w:rPr>
                <w:w w:val="90"/>
                <w:sz w:val="20"/>
              </w:rPr>
              <w:t>6</w:t>
            </w:r>
          </w:p>
        </w:tc>
        <w:tc>
          <w:tcPr>
            <w:tcW w:w="640" w:type="dxa"/>
          </w:tcPr>
          <w:p>
            <w:pPr>
              <w:pStyle w:val="TableParagraph"/>
              <w:spacing w:line="192" w:lineRule="exact"/>
              <w:ind w:left="125" w:right="109"/>
              <w:jc w:val="center"/>
              <w:rPr>
                <w:sz w:val="20"/>
              </w:rPr>
            </w:pPr>
            <w:r>
              <w:rPr>
                <w:spacing w:val="-5"/>
                <w:w w:val="90"/>
                <w:sz w:val="20"/>
              </w:rPr>
              <w:t>ARC</w:t>
            </w:r>
          </w:p>
        </w:tc>
        <w:tc>
          <w:tcPr>
            <w:tcW w:w="554" w:type="dxa"/>
          </w:tcPr>
          <w:p>
            <w:pPr>
              <w:pStyle w:val="TableParagraph"/>
              <w:spacing w:line="192" w:lineRule="exact"/>
              <w:ind w:left="138"/>
              <w:rPr>
                <w:sz w:val="20"/>
              </w:rPr>
            </w:pPr>
            <w:r>
              <w:rPr>
                <w:spacing w:val="-5"/>
                <w:sz w:val="20"/>
              </w:rPr>
              <w:t>602</w:t>
            </w:r>
          </w:p>
        </w:tc>
        <w:tc>
          <w:tcPr>
            <w:tcW w:w="2753" w:type="dxa"/>
          </w:tcPr>
          <w:p>
            <w:pPr>
              <w:pStyle w:val="TableParagraph"/>
              <w:spacing w:line="192" w:lineRule="exact"/>
              <w:ind w:left="102"/>
              <w:rPr>
                <w:sz w:val="20"/>
              </w:rPr>
            </w:pPr>
            <w:r>
              <w:rPr>
                <w:spacing w:val="-2"/>
                <w:sz w:val="20"/>
              </w:rPr>
              <w:t>Studio</w:t>
            </w:r>
          </w:p>
        </w:tc>
        <w:tc>
          <w:tcPr>
            <w:tcW w:w="791" w:type="dxa"/>
          </w:tcPr>
          <w:p>
            <w:pPr>
              <w:pStyle w:val="TableParagraph"/>
              <w:spacing w:line="192" w:lineRule="exact"/>
              <w:ind w:left="430"/>
              <w:rPr>
                <w:sz w:val="20"/>
              </w:rPr>
            </w:pPr>
            <w:r>
              <w:rPr>
                <w:w w:val="90"/>
                <w:sz w:val="20"/>
              </w:rPr>
              <w:t>6</w:t>
            </w:r>
          </w:p>
        </w:tc>
      </w:tr>
      <w:tr>
        <w:trPr>
          <w:trHeight w:val="280" w:hRule="atLeast"/>
        </w:trPr>
        <w:tc>
          <w:tcPr>
            <w:tcW w:w="471" w:type="dxa"/>
          </w:tcPr>
          <w:p>
            <w:pPr>
              <w:pStyle w:val="TableParagraph"/>
              <w:spacing w:before="2"/>
              <w:ind w:left="-1"/>
              <w:rPr>
                <w:sz w:val="20"/>
              </w:rPr>
            </w:pPr>
            <w:r>
              <w:rPr>
                <w:spacing w:val="-5"/>
                <w:w w:val="90"/>
                <w:sz w:val="20"/>
              </w:rPr>
              <w:t>ARC</w:t>
            </w:r>
          </w:p>
        </w:tc>
        <w:tc>
          <w:tcPr>
            <w:tcW w:w="543" w:type="dxa"/>
          </w:tcPr>
          <w:p>
            <w:pPr>
              <w:pStyle w:val="TableParagraph"/>
              <w:spacing w:before="2"/>
              <w:ind w:right="97"/>
              <w:jc w:val="right"/>
              <w:rPr>
                <w:sz w:val="20"/>
              </w:rPr>
            </w:pPr>
            <w:r>
              <w:rPr>
                <w:spacing w:val="-5"/>
                <w:sz w:val="20"/>
              </w:rPr>
              <w:t>617</w:t>
            </w:r>
          </w:p>
        </w:tc>
        <w:tc>
          <w:tcPr>
            <w:tcW w:w="2459" w:type="dxa"/>
          </w:tcPr>
          <w:p>
            <w:pPr>
              <w:pStyle w:val="TableParagraph"/>
              <w:spacing w:before="2"/>
              <w:ind w:left="97"/>
              <w:rPr>
                <w:sz w:val="20"/>
              </w:rPr>
            </w:pPr>
            <w:r>
              <w:rPr>
                <w:w w:val="85"/>
                <w:sz w:val="20"/>
              </w:rPr>
              <w:t>Seminar-Tech</w:t>
            </w:r>
            <w:r>
              <w:rPr>
                <w:spacing w:val="25"/>
                <w:sz w:val="20"/>
              </w:rPr>
              <w:t> </w:t>
            </w:r>
            <w:r>
              <w:rPr>
                <w:spacing w:val="-2"/>
                <w:w w:val="85"/>
                <w:sz w:val="20"/>
              </w:rPr>
              <w:t>Issues</w:t>
            </w:r>
          </w:p>
        </w:tc>
        <w:tc>
          <w:tcPr>
            <w:tcW w:w="1041" w:type="dxa"/>
          </w:tcPr>
          <w:p>
            <w:pPr>
              <w:pStyle w:val="TableParagraph"/>
              <w:spacing w:before="2"/>
              <w:ind w:left="669"/>
              <w:rPr>
                <w:sz w:val="20"/>
              </w:rPr>
            </w:pPr>
            <w:r>
              <w:rPr>
                <w:w w:val="90"/>
                <w:sz w:val="20"/>
              </w:rPr>
              <w:t>3</w:t>
            </w:r>
          </w:p>
        </w:tc>
        <w:tc>
          <w:tcPr>
            <w:tcW w:w="640" w:type="dxa"/>
          </w:tcPr>
          <w:p>
            <w:pPr>
              <w:pStyle w:val="TableParagraph"/>
              <w:spacing w:before="2"/>
              <w:ind w:left="125" w:right="109"/>
              <w:jc w:val="center"/>
              <w:rPr>
                <w:sz w:val="20"/>
              </w:rPr>
            </w:pPr>
            <w:r>
              <w:rPr>
                <w:spacing w:val="-5"/>
                <w:w w:val="90"/>
                <w:sz w:val="20"/>
              </w:rPr>
              <w:t>ARC</w:t>
            </w:r>
          </w:p>
        </w:tc>
        <w:tc>
          <w:tcPr>
            <w:tcW w:w="554" w:type="dxa"/>
          </w:tcPr>
          <w:p>
            <w:pPr>
              <w:pStyle w:val="TableParagraph"/>
              <w:spacing w:before="2"/>
              <w:ind w:left="137"/>
              <w:rPr>
                <w:sz w:val="20"/>
              </w:rPr>
            </w:pPr>
            <w:r>
              <w:rPr>
                <w:spacing w:val="-5"/>
                <w:sz w:val="20"/>
              </w:rPr>
              <w:t>618</w:t>
            </w:r>
          </w:p>
        </w:tc>
        <w:tc>
          <w:tcPr>
            <w:tcW w:w="2753" w:type="dxa"/>
          </w:tcPr>
          <w:p>
            <w:pPr>
              <w:pStyle w:val="TableParagraph"/>
              <w:spacing w:before="2"/>
              <w:ind w:left="102"/>
              <w:rPr>
                <w:sz w:val="20"/>
              </w:rPr>
            </w:pPr>
            <w:r>
              <w:rPr>
                <w:w w:val="90"/>
                <w:sz w:val="20"/>
              </w:rPr>
              <w:t>Seminar-Community</w:t>
            </w:r>
            <w:r>
              <w:rPr>
                <w:spacing w:val="3"/>
                <w:sz w:val="20"/>
              </w:rPr>
              <w:t> </w:t>
            </w:r>
            <w:r>
              <w:rPr>
                <w:spacing w:val="-2"/>
                <w:w w:val="90"/>
                <w:sz w:val="20"/>
              </w:rPr>
              <w:t>Issues</w:t>
            </w:r>
          </w:p>
        </w:tc>
        <w:tc>
          <w:tcPr>
            <w:tcW w:w="791" w:type="dxa"/>
          </w:tcPr>
          <w:p>
            <w:pPr>
              <w:pStyle w:val="TableParagraph"/>
              <w:spacing w:before="2"/>
              <w:ind w:left="430"/>
              <w:rPr>
                <w:sz w:val="20"/>
              </w:rPr>
            </w:pPr>
            <w:r>
              <w:rPr>
                <w:w w:val="90"/>
                <w:sz w:val="20"/>
              </w:rPr>
              <w:t>3</w:t>
            </w:r>
          </w:p>
        </w:tc>
      </w:tr>
      <w:tr>
        <w:trPr>
          <w:trHeight w:val="232" w:hRule="atLeast"/>
        </w:trPr>
        <w:tc>
          <w:tcPr>
            <w:tcW w:w="471" w:type="dxa"/>
            <w:tcBorders>
              <w:bottom w:val="single" w:sz="6" w:space="0" w:color="000000"/>
            </w:tcBorders>
          </w:tcPr>
          <w:p>
            <w:pPr>
              <w:pStyle w:val="TableParagraph"/>
              <w:spacing w:line="188" w:lineRule="exact" w:before="2"/>
              <w:rPr>
                <w:sz w:val="20"/>
              </w:rPr>
            </w:pPr>
            <w:r>
              <w:rPr>
                <w:spacing w:val="-5"/>
                <w:w w:val="90"/>
                <w:sz w:val="20"/>
              </w:rPr>
              <w:t>ARC</w:t>
            </w:r>
          </w:p>
        </w:tc>
        <w:tc>
          <w:tcPr>
            <w:tcW w:w="543" w:type="dxa"/>
            <w:tcBorders>
              <w:bottom w:val="single" w:sz="6" w:space="0" w:color="000000"/>
            </w:tcBorders>
          </w:tcPr>
          <w:p>
            <w:pPr>
              <w:pStyle w:val="TableParagraph"/>
              <w:spacing w:line="188" w:lineRule="exact" w:before="2"/>
              <w:ind w:right="97"/>
              <w:jc w:val="right"/>
              <w:rPr>
                <w:sz w:val="20"/>
              </w:rPr>
            </w:pPr>
            <w:r>
              <w:rPr>
                <w:spacing w:val="-5"/>
                <w:sz w:val="20"/>
              </w:rPr>
              <w:t>530</w:t>
            </w:r>
          </w:p>
        </w:tc>
        <w:tc>
          <w:tcPr>
            <w:tcW w:w="2459" w:type="dxa"/>
            <w:tcBorders>
              <w:bottom w:val="single" w:sz="6" w:space="0" w:color="000000"/>
            </w:tcBorders>
          </w:tcPr>
          <w:p>
            <w:pPr>
              <w:pStyle w:val="TableParagraph"/>
              <w:spacing w:line="188" w:lineRule="exact" w:before="2"/>
              <w:ind w:left="97"/>
              <w:rPr>
                <w:sz w:val="20"/>
              </w:rPr>
            </w:pPr>
            <w:r>
              <w:rPr>
                <w:w w:val="90"/>
                <w:sz w:val="20"/>
              </w:rPr>
              <w:t>Architecture</w:t>
            </w:r>
            <w:r>
              <w:rPr>
                <w:spacing w:val="31"/>
                <w:sz w:val="20"/>
              </w:rPr>
              <w:t> </w:t>
            </w:r>
            <w:r>
              <w:rPr>
                <w:spacing w:val="-2"/>
                <w:sz w:val="20"/>
              </w:rPr>
              <w:t>Elective</w:t>
            </w:r>
          </w:p>
        </w:tc>
        <w:tc>
          <w:tcPr>
            <w:tcW w:w="1041" w:type="dxa"/>
            <w:tcBorders>
              <w:bottom w:val="single" w:sz="6" w:space="0" w:color="000000"/>
            </w:tcBorders>
          </w:tcPr>
          <w:p>
            <w:pPr>
              <w:pStyle w:val="TableParagraph"/>
              <w:spacing w:line="188" w:lineRule="exact" w:before="2"/>
              <w:ind w:left="669"/>
              <w:rPr>
                <w:sz w:val="20"/>
              </w:rPr>
            </w:pPr>
            <w:r>
              <w:rPr>
                <w:w w:val="90"/>
                <w:sz w:val="20"/>
              </w:rPr>
              <w:t>3</w:t>
            </w:r>
          </w:p>
        </w:tc>
        <w:tc>
          <w:tcPr>
            <w:tcW w:w="640" w:type="dxa"/>
            <w:tcBorders>
              <w:bottom w:val="single" w:sz="6" w:space="0" w:color="000000"/>
            </w:tcBorders>
          </w:tcPr>
          <w:p>
            <w:pPr>
              <w:pStyle w:val="TableParagraph"/>
              <w:spacing w:line="188" w:lineRule="exact" w:before="2"/>
              <w:ind w:left="125" w:right="109"/>
              <w:jc w:val="center"/>
              <w:rPr>
                <w:sz w:val="20"/>
              </w:rPr>
            </w:pPr>
            <w:r>
              <w:rPr>
                <w:spacing w:val="-5"/>
                <w:w w:val="90"/>
                <w:sz w:val="20"/>
              </w:rPr>
              <w:t>ARC</w:t>
            </w:r>
          </w:p>
        </w:tc>
        <w:tc>
          <w:tcPr>
            <w:tcW w:w="554" w:type="dxa"/>
            <w:tcBorders>
              <w:bottom w:val="single" w:sz="6" w:space="0" w:color="000000"/>
            </w:tcBorders>
          </w:tcPr>
          <w:p>
            <w:pPr>
              <w:pStyle w:val="TableParagraph"/>
              <w:spacing w:line="188" w:lineRule="exact" w:before="2"/>
              <w:ind w:left="138"/>
              <w:rPr>
                <w:sz w:val="20"/>
              </w:rPr>
            </w:pPr>
            <w:r>
              <w:rPr>
                <w:spacing w:val="-5"/>
                <w:sz w:val="20"/>
              </w:rPr>
              <w:t>530</w:t>
            </w:r>
          </w:p>
        </w:tc>
        <w:tc>
          <w:tcPr>
            <w:tcW w:w="2753" w:type="dxa"/>
            <w:tcBorders>
              <w:bottom w:val="single" w:sz="6" w:space="0" w:color="000000"/>
            </w:tcBorders>
          </w:tcPr>
          <w:p>
            <w:pPr>
              <w:pStyle w:val="TableParagraph"/>
              <w:spacing w:line="188" w:lineRule="exact" w:before="2"/>
              <w:ind w:left="102"/>
              <w:rPr>
                <w:sz w:val="20"/>
              </w:rPr>
            </w:pPr>
            <w:r>
              <w:rPr>
                <w:w w:val="90"/>
                <w:sz w:val="20"/>
              </w:rPr>
              <w:t>Architecture</w:t>
            </w:r>
            <w:r>
              <w:rPr>
                <w:spacing w:val="31"/>
                <w:sz w:val="20"/>
              </w:rPr>
              <w:t> </w:t>
            </w:r>
            <w:r>
              <w:rPr>
                <w:spacing w:val="-2"/>
                <w:sz w:val="20"/>
              </w:rPr>
              <w:t>Elective</w:t>
            </w:r>
          </w:p>
        </w:tc>
        <w:tc>
          <w:tcPr>
            <w:tcW w:w="791" w:type="dxa"/>
            <w:tcBorders>
              <w:bottom w:val="single" w:sz="6" w:space="0" w:color="000000"/>
            </w:tcBorders>
          </w:tcPr>
          <w:p>
            <w:pPr>
              <w:pStyle w:val="TableParagraph"/>
              <w:spacing w:line="188" w:lineRule="exact" w:before="2"/>
              <w:ind w:left="431"/>
              <w:rPr>
                <w:sz w:val="20"/>
              </w:rPr>
            </w:pPr>
            <w:r>
              <w:rPr>
                <w:w w:val="90"/>
                <w:sz w:val="20"/>
              </w:rPr>
              <w:t>3</w:t>
            </w:r>
          </w:p>
        </w:tc>
      </w:tr>
      <w:tr>
        <w:trPr>
          <w:trHeight w:val="454" w:hRule="atLeast"/>
        </w:trPr>
        <w:tc>
          <w:tcPr>
            <w:tcW w:w="471" w:type="dxa"/>
            <w:tcBorders>
              <w:top w:val="single" w:sz="6" w:space="0" w:color="000000"/>
            </w:tcBorders>
          </w:tcPr>
          <w:p>
            <w:pPr>
              <w:pStyle w:val="TableParagraph"/>
              <w:rPr>
                <w:rFonts w:ascii="Times New Roman"/>
                <w:sz w:val="20"/>
              </w:rPr>
            </w:pPr>
          </w:p>
        </w:tc>
        <w:tc>
          <w:tcPr>
            <w:tcW w:w="543" w:type="dxa"/>
            <w:tcBorders>
              <w:top w:val="single" w:sz="6" w:space="0" w:color="000000"/>
            </w:tcBorders>
          </w:tcPr>
          <w:p>
            <w:pPr>
              <w:pStyle w:val="TableParagraph"/>
              <w:rPr>
                <w:rFonts w:ascii="Times New Roman"/>
                <w:sz w:val="20"/>
              </w:rPr>
            </w:pPr>
          </w:p>
        </w:tc>
        <w:tc>
          <w:tcPr>
            <w:tcW w:w="2459" w:type="dxa"/>
            <w:tcBorders>
              <w:top w:val="single" w:sz="6" w:space="0" w:color="000000"/>
            </w:tcBorders>
          </w:tcPr>
          <w:p>
            <w:pPr>
              <w:pStyle w:val="TableParagraph"/>
              <w:rPr>
                <w:rFonts w:ascii="Times New Roman"/>
                <w:sz w:val="20"/>
              </w:rPr>
            </w:pPr>
          </w:p>
        </w:tc>
        <w:tc>
          <w:tcPr>
            <w:tcW w:w="1041" w:type="dxa"/>
            <w:tcBorders>
              <w:top w:val="single" w:sz="6" w:space="0" w:color="000000"/>
            </w:tcBorders>
          </w:tcPr>
          <w:p>
            <w:pPr>
              <w:pStyle w:val="TableParagraph"/>
              <w:spacing w:before="58"/>
              <w:ind w:left="669"/>
              <w:rPr>
                <w:sz w:val="20"/>
              </w:rPr>
            </w:pPr>
            <w:r>
              <w:rPr>
                <w:spacing w:val="-5"/>
                <w:sz w:val="20"/>
              </w:rPr>
              <w:t>12</w:t>
            </w:r>
          </w:p>
        </w:tc>
        <w:tc>
          <w:tcPr>
            <w:tcW w:w="640" w:type="dxa"/>
            <w:tcBorders>
              <w:top w:val="single" w:sz="6" w:space="0" w:color="000000"/>
            </w:tcBorders>
          </w:tcPr>
          <w:p>
            <w:pPr>
              <w:pStyle w:val="TableParagraph"/>
              <w:rPr>
                <w:rFonts w:ascii="Times New Roman"/>
                <w:sz w:val="20"/>
              </w:rPr>
            </w:pPr>
          </w:p>
        </w:tc>
        <w:tc>
          <w:tcPr>
            <w:tcW w:w="554" w:type="dxa"/>
            <w:tcBorders>
              <w:top w:val="single" w:sz="6" w:space="0" w:color="000000"/>
            </w:tcBorders>
          </w:tcPr>
          <w:p>
            <w:pPr>
              <w:pStyle w:val="TableParagraph"/>
              <w:rPr>
                <w:rFonts w:ascii="Times New Roman"/>
                <w:sz w:val="20"/>
              </w:rPr>
            </w:pPr>
          </w:p>
        </w:tc>
        <w:tc>
          <w:tcPr>
            <w:tcW w:w="2753" w:type="dxa"/>
            <w:tcBorders>
              <w:top w:val="single" w:sz="6" w:space="0" w:color="000000"/>
            </w:tcBorders>
          </w:tcPr>
          <w:p>
            <w:pPr>
              <w:pStyle w:val="TableParagraph"/>
              <w:rPr>
                <w:rFonts w:ascii="Times New Roman"/>
                <w:sz w:val="20"/>
              </w:rPr>
            </w:pPr>
          </w:p>
        </w:tc>
        <w:tc>
          <w:tcPr>
            <w:tcW w:w="791" w:type="dxa"/>
            <w:tcBorders>
              <w:top w:val="single" w:sz="6" w:space="0" w:color="000000"/>
            </w:tcBorders>
          </w:tcPr>
          <w:p>
            <w:pPr>
              <w:pStyle w:val="TableParagraph"/>
              <w:spacing w:before="58"/>
              <w:ind w:left="430"/>
              <w:rPr>
                <w:sz w:val="20"/>
              </w:rPr>
            </w:pPr>
            <w:r>
              <w:rPr>
                <w:spacing w:val="-5"/>
                <w:sz w:val="20"/>
              </w:rPr>
              <w:t>12</w:t>
            </w:r>
          </w:p>
        </w:tc>
      </w:tr>
      <w:tr>
        <w:trPr>
          <w:trHeight w:val="380" w:hRule="atLeast"/>
        </w:trPr>
        <w:tc>
          <w:tcPr>
            <w:tcW w:w="471" w:type="dxa"/>
          </w:tcPr>
          <w:p>
            <w:pPr>
              <w:pStyle w:val="TableParagraph"/>
              <w:rPr>
                <w:rFonts w:ascii="Times New Roman"/>
                <w:sz w:val="20"/>
              </w:rPr>
            </w:pPr>
          </w:p>
        </w:tc>
        <w:tc>
          <w:tcPr>
            <w:tcW w:w="543" w:type="dxa"/>
          </w:tcPr>
          <w:p>
            <w:pPr>
              <w:pStyle w:val="TableParagraph"/>
              <w:rPr>
                <w:rFonts w:ascii="Times New Roman"/>
                <w:sz w:val="20"/>
              </w:rPr>
            </w:pPr>
          </w:p>
        </w:tc>
        <w:tc>
          <w:tcPr>
            <w:tcW w:w="2459" w:type="dxa"/>
          </w:tcPr>
          <w:p>
            <w:pPr>
              <w:pStyle w:val="TableParagraph"/>
              <w:rPr>
                <w:rFonts w:ascii="Times New Roman"/>
                <w:sz w:val="20"/>
              </w:rPr>
            </w:pPr>
          </w:p>
        </w:tc>
        <w:tc>
          <w:tcPr>
            <w:tcW w:w="1041" w:type="dxa"/>
          </w:tcPr>
          <w:p>
            <w:pPr>
              <w:pStyle w:val="TableParagraph"/>
              <w:rPr>
                <w:rFonts w:ascii="Times New Roman"/>
                <w:sz w:val="20"/>
              </w:rPr>
            </w:pPr>
          </w:p>
        </w:tc>
        <w:tc>
          <w:tcPr>
            <w:tcW w:w="640" w:type="dxa"/>
          </w:tcPr>
          <w:p>
            <w:pPr>
              <w:pStyle w:val="TableParagraph"/>
              <w:rPr>
                <w:rFonts w:ascii="Times New Roman"/>
                <w:sz w:val="20"/>
              </w:rPr>
            </w:pPr>
          </w:p>
        </w:tc>
        <w:tc>
          <w:tcPr>
            <w:tcW w:w="554" w:type="dxa"/>
          </w:tcPr>
          <w:p>
            <w:pPr>
              <w:pStyle w:val="TableParagraph"/>
              <w:rPr>
                <w:rFonts w:ascii="Times New Roman"/>
                <w:sz w:val="20"/>
              </w:rPr>
            </w:pPr>
          </w:p>
        </w:tc>
        <w:tc>
          <w:tcPr>
            <w:tcW w:w="2753" w:type="dxa"/>
          </w:tcPr>
          <w:p>
            <w:pPr>
              <w:pStyle w:val="TableParagraph"/>
              <w:spacing w:line="217" w:lineRule="exact" w:before="143"/>
              <w:ind w:left="773"/>
              <w:rPr>
                <w:b/>
                <w:sz w:val="20"/>
              </w:rPr>
            </w:pPr>
            <w:r>
              <w:rPr>
                <w:b/>
                <w:spacing w:val="-2"/>
                <w:w w:val="90"/>
                <w:sz w:val="20"/>
              </w:rPr>
              <w:t>TOTAL</w:t>
            </w:r>
          </w:p>
        </w:tc>
        <w:tc>
          <w:tcPr>
            <w:tcW w:w="791" w:type="dxa"/>
          </w:tcPr>
          <w:p>
            <w:pPr>
              <w:pStyle w:val="TableParagraph"/>
              <w:spacing w:line="217" w:lineRule="exact" w:before="143"/>
              <w:ind w:left="430"/>
              <w:rPr>
                <w:b/>
                <w:sz w:val="20"/>
              </w:rPr>
            </w:pPr>
            <w:r>
              <w:rPr>
                <w:b/>
                <w:spacing w:val="-5"/>
                <w:sz w:val="20"/>
              </w:rPr>
              <w:t>168</w:t>
            </w:r>
          </w:p>
        </w:tc>
      </w:tr>
    </w:tbl>
    <w:p>
      <w:pPr>
        <w:pStyle w:val="BodyText"/>
        <w:rPr>
          <w:b/>
        </w:rPr>
      </w:pPr>
    </w:p>
    <w:p>
      <w:pPr>
        <w:pStyle w:val="BodyText"/>
        <w:rPr>
          <w:b/>
        </w:rPr>
      </w:pPr>
    </w:p>
    <w:p>
      <w:pPr>
        <w:pStyle w:val="BodyText"/>
        <w:spacing w:before="7" w:after="1"/>
        <w:rPr>
          <w:b/>
          <w:sz w:val="17"/>
        </w:rPr>
      </w:pPr>
    </w:p>
    <w:tbl>
      <w:tblPr>
        <w:tblW w:w="0" w:type="auto"/>
        <w:jc w:val="left"/>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48"/>
        <w:gridCol w:w="3600"/>
      </w:tblGrid>
      <w:tr>
        <w:trPr>
          <w:trHeight w:val="846" w:hRule="atLeast"/>
        </w:trPr>
        <w:tc>
          <w:tcPr>
            <w:tcW w:w="6048" w:type="dxa"/>
          </w:tcPr>
          <w:p>
            <w:pPr>
              <w:pStyle w:val="TableParagraph"/>
              <w:spacing w:before="250"/>
              <w:ind w:left="115"/>
              <w:rPr>
                <w:b/>
                <w:sz w:val="28"/>
              </w:rPr>
            </w:pPr>
            <w:r>
              <w:rPr>
                <w:b/>
                <w:w w:val="85"/>
                <w:sz w:val="28"/>
              </w:rPr>
              <w:t>COURSE</w:t>
            </w:r>
            <w:r>
              <w:rPr>
                <w:b/>
                <w:spacing w:val="58"/>
                <w:sz w:val="28"/>
              </w:rPr>
              <w:t> </w:t>
            </w:r>
            <w:r>
              <w:rPr>
                <w:b/>
                <w:spacing w:val="-4"/>
                <w:sz w:val="28"/>
              </w:rPr>
              <w:t>NAME</w:t>
            </w:r>
          </w:p>
        </w:tc>
        <w:tc>
          <w:tcPr>
            <w:tcW w:w="3600" w:type="dxa"/>
          </w:tcPr>
          <w:p>
            <w:pPr>
              <w:pStyle w:val="TableParagraph"/>
              <w:spacing w:before="250"/>
              <w:ind w:left="107"/>
              <w:rPr>
                <w:b/>
                <w:sz w:val="28"/>
              </w:rPr>
            </w:pPr>
            <w:r>
              <w:rPr>
                <w:b/>
                <w:spacing w:val="-2"/>
                <w:w w:val="90"/>
                <w:sz w:val="28"/>
              </w:rPr>
              <w:t>PREREQUISITES</w:t>
            </w:r>
          </w:p>
        </w:tc>
      </w:tr>
      <w:tr>
        <w:trPr>
          <w:trHeight w:val="513" w:hRule="atLeast"/>
        </w:trPr>
        <w:tc>
          <w:tcPr>
            <w:tcW w:w="6048" w:type="dxa"/>
          </w:tcPr>
          <w:p>
            <w:pPr>
              <w:pStyle w:val="TableParagraph"/>
              <w:spacing w:before="16"/>
              <w:ind w:left="115"/>
              <w:rPr>
                <w:sz w:val="20"/>
              </w:rPr>
            </w:pPr>
            <w:r>
              <w:rPr>
                <w:w w:val="95"/>
                <w:sz w:val="20"/>
              </w:rPr>
              <w:t>ARC</w:t>
            </w:r>
            <w:r>
              <w:rPr>
                <w:spacing w:val="31"/>
                <w:sz w:val="20"/>
              </w:rPr>
              <w:t> </w:t>
            </w:r>
            <w:r>
              <w:rPr>
                <w:w w:val="95"/>
                <w:sz w:val="20"/>
              </w:rPr>
              <w:t>101</w:t>
            </w:r>
            <w:r>
              <w:rPr>
                <w:spacing w:val="30"/>
                <w:sz w:val="20"/>
              </w:rPr>
              <w:t> </w:t>
            </w:r>
            <w:r>
              <w:rPr>
                <w:spacing w:val="13"/>
                <w:w w:val="95"/>
                <w:sz w:val="20"/>
              </w:rPr>
              <w:t>Communic</w:t>
            </w:r>
            <w:r>
              <w:rPr>
                <w:spacing w:val="-16"/>
                <w:w w:val="95"/>
                <w:sz w:val="20"/>
              </w:rPr>
              <w:t> </w:t>
            </w:r>
            <w:r>
              <w:rPr>
                <w:spacing w:val="10"/>
                <w:w w:val="95"/>
                <w:sz w:val="20"/>
              </w:rPr>
              <w:t>ation</w:t>
            </w:r>
            <w:r>
              <w:rPr>
                <w:spacing w:val="43"/>
                <w:sz w:val="20"/>
              </w:rPr>
              <w:t> </w:t>
            </w:r>
            <w:r>
              <w:rPr>
                <w:spacing w:val="12"/>
                <w:w w:val="95"/>
                <w:sz w:val="20"/>
              </w:rPr>
              <w:t>and</w:t>
            </w:r>
            <w:r>
              <w:rPr>
                <w:spacing w:val="38"/>
                <w:sz w:val="20"/>
              </w:rPr>
              <w:t> </w:t>
            </w:r>
            <w:r>
              <w:rPr>
                <w:w w:val="95"/>
                <w:sz w:val="20"/>
              </w:rPr>
              <w:t>Design</w:t>
            </w:r>
            <w:r>
              <w:rPr>
                <w:spacing w:val="26"/>
                <w:sz w:val="20"/>
              </w:rPr>
              <w:t> </w:t>
            </w:r>
            <w:r>
              <w:rPr>
                <w:w w:val="95"/>
                <w:sz w:val="20"/>
              </w:rPr>
              <w:t>Fund</w:t>
            </w:r>
            <w:r>
              <w:rPr>
                <w:spacing w:val="-19"/>
                <w:w w:val="95"/>
                <w:sz w:val="20"/>
              </w:rPr>
              <w:t> </w:t>
            </w:r>
            <w:r>
              <w:rPr>
                <w:spacing w:val="15"/>
                <w:w w:val="95"/>
                <w:sz w:val="20"/>
              </w:rPr>
              <w:t>amental</w:t>
            </w:r>
            <w:r>
              <w:rPr>
                <w:spacing w:val="20"/>
                <w:sz w:val="20"/>
              </w:rPr>
              <w:t> </w:t>
            </w:r>
            <w:r>
              <w:rPr>
                <w:spacing w:val="9"/>
                <w:w w:val="95"/>
                <w:sz w:val="20"/>
              </w:rPr>
              <w:t>Studio</w:t>
            </w:r>
            <w:r>
              <w:rPr>
                <w:spacing w:val="29"/>
                <w:sz w:val="20"/>
              </w:rPr>
              <w:t> </w:t>
            </w:r>
            <w:r>
              <w:rPr>
                <w:spacing w:val="-10"/>
                <w:w w:val="95"/>
                <w:sz w:val="20"/>
              </w:rPr>
              <w:t>I</w:t>
            </w:r>
          </w:p>
        </w:tc>
        <w:tc>
          <w:tcPr>
            <w:tcW w:w="3600" w:type="dxa"/>
          </w:tcPr>
          <w:p>
            <w:pPr>
              <w:pStyle w:val="TableParagraph"/>
              <w:spacing w:before="16"/>
              <w:ind w:left="109"/>
              <w:rPr>
                <w:sz w:val="20"/>
              </w:rPr>
            </w:pPr>
            <w:r>
              <w:rPr>
                <w:sz w:val="20"/>
              </w:rPr>
              <w:t>No</w:t>
            </w:r>
            <w:r>
              <w:rPr>
                <w:spacing w:val="18"/>
                <w:sz w:val="20"/>
              </w:rPr>
              <w:t> </w:t>
            </w:r>
            <w:r>
              <w:rPr>
                <w:spacing w:val="-2"/>
                <w:sz w:val="20"/>
              </w:rPr>
              <w:t>Prerequisite</w:t>
            </w:r>
          </w:p>
        </w:tc>
      </w:tr>
      <w:tr>
        <w:trPr>
          <w:trHeight w:val="448" w:hRule="atLeast"/>
        </w:trPr>
        <w:tc>
          <w:tcPr>
            <w:tcW w:w="6048" w:type="dxa"/>
          </w:tcPr>
          <w:p>
            <w:pPr>
              <w:pStyle w:val="TableParagraph"/>
              <w:spacing w:before="16"/>
              <w:ind w:left="115"/>
              <w:rPr>
                <w:sz w:val="20"/>
              </w:rPr>
            </w:pPr>
            <w:r>
              <w:rPr>
                <w:w w:val="95"/>
                <w:sz w:val="20"/>
              </w:rPr>
              <w:t>ARC</w:t>
            </w:r>
            <w:r>
              <w:rPr>
                <w:spacing w:val="31"/>
                <w:sz w:val="20"/>
              </w:rPr>
              <w:t> </w:t>
            </w:r>
            <w:r>
              <w:rPr>
                <w:w w:val="95"/>
                <w:sz w:val="20"/>
              </w:rPr>
              <w:t>102</w:t>
            </w:r>
            <w:r>
              <w:rPr>
                <w:spacing w:val="30"/>
                <w:sz w:val="20"/>
              </w:rPr>
              <w:t> </w:t>
            </w:r>
            <w:r>
              <w:rPr>
                <w:spacing w:val="13"/>
                <w:w w:val="95"/>
                <w:sz w:val="20"/>
              </w:rPr>
              <w:t>Communic</w:t>
            </w:r>
            <w:r>
              <w:rPr>
                <w:spacing w:val="-16"/>
                <w:w w:val="95"/>
                <w:sz w:val="20"/>
              </w:rPr>
              <w:t> </w:t>
            </w:r>
            <w:r>
              <w:rPr>
                <w:spacing w:val="10"/>
                <w:w w:val="95"/>
                <w:sz w:val="20"/>
              </w:rPr>
              <w:t>ation</w:t>
            </w:r>
            <w:r>
              <w:rPr>
                <w:spacing w:val="43"/>
                <w:sz w:val="20"/>
              </w:rPr>
              <w:t> </w:t>
            </w:r>
            <w:r>
              <w:rPr>
                <w:spacing w:val="12"/>
                <w:w w:val="95"/>
                <w:sz w:val="20"/>
              </w:rPr>
              <w:t>and</w:t>
            </w:r>
            <w:r>
              <w:rPr>
                <w:spacing w:val="38"/>
                <w:sz w:val="20"/>
              </w:rPr>
              <w:t> </w:t>
            </w:r>
            <w:r>
              <w:rPr>
                <w:w w:val="95"/>
                <w:sz w:val="20"/>
              </w:rPr>
              <w:t>Design</w:t>
            </w:r>
            <w:r>
              <w:rPr>
                <w:spacing w:val="26"/>
                <w:sz w:val="20"/>
              </w:rPr>
              <w:t> </w:t>
            </w:r>
            <w:r>
              <w:rPr>
                <w:w w:val="95"/>
                <w:sz w:val="20"/>
              </w:rPr>
              <w:t>Fund</w:t>
            </w:r>
            <w:r>
              <w:rPr>
                <w:spacing w:val="-19"/>
                <w:w w:val="95"/>
                <w:sz w:val="20"/>
              </w:rPr>
              <w:t> </w:t>
            </w:r>
            <w:r>
              <w:rPr>
                <w:spacing w:val="15"/>
                <w:w w:val="95"/>
                <w:sz w:val="20"/>
              </w:rPr>
              <w:t>amental</w:t>
            </w:r>
            <w:r>
              <w:rPr>
                <w:spacing w:val="20"/>
                <w:sz w:val="20"/>
              </w:rPr>
              <w:t> </w:t>
            </w:r>
            <w:r>
              <w:rPr>
                <w:spacing w:val="9"/>
                <w:w w:val="95"/>
                <w:sz w:val="20"/>
              </w:rPr>
              <w:t>Studio</w:t>
            </w:r>
            <w:r>
              <w:rPr>
                <w:spacing w:val="29"/>
                <w:sz w:val="20"/>
              </w:rPr>
              <w:t> </w:t>
            </w:r>
            <w:r>
              <w:rPr>
                <w:spacing w:val="-5"/>
                <w:w w:val="95"/>
                <w:sz w:val="20"/>
              </w:rPr>
              <w:t>II</w:t>
            </w:r>
          </w:p>
        </w:tc>
        <w:tc>
          <w:tcPr>
            <w:tcW w:w="3600" w:type="dxa"/>
          </w:tcPr>
          <w:p>
            <w:pPr>
              <w:pStyle w:val="TableParagraph"/>
              <w:spacing w:before="16"/>
              <w:ind w:left="107"/>
              <w:rPr>
                <w:sz w:val="20"/>
              </w:rPr>
            </w:pPr>
            <w:r>
              <w:rPr>
                <w:w w:val="95"/>
                <w:sz w:val="20"/>
              </w:rPr>
              <w:t>Prerequisites:</w:t>
            </w:r>
            <w:r>
              <w:rPr>
                <w:spacing w:val="49"/>
                <w:sz w:val="20"/>
              </w:rPr>
              <w:t> </w:t>
            </w:r>
            <w:r>
              <w:rPr>
                <w:w w:val="95"/>
                <w:sz w:val="20"/>
              </w:rPr>
              <w:t>ARC</w:t>
            </w:r>
            <w:r>
              <w:rPr>
                <w:spacing w:val="46"/>
                <w:sz w:val="20"/>
              </w:rPr>
              <w:t> </w:t>
            </w:r>
            <w:r>
              <w:rPr>
                <w:spacing w:val="-5"/>
                <w:w w:val="95"/>
                <w:sz w:val="20"/>
              </w:rPr>
              <w:t>101</w:t>
            </w:r>
          </w:p>
        </w:tc>
      </w:tr>
      <w:tr>
        <w:trPr>
          <w:trHeight w:val="575" w:hRule="atLeast"/>
        </w:trPr>
        <w:tc>
          <w:tcPr>
            <w:tcW w:w="6048" w:type="dxa"/>
          </w:tcPr>
          <w:p>
            <w:pPr>
              <w:pStyle w:val="TableParagraph"/>
              <w:spacing w:before="16"/>
              <w:ind w:left="115"/>
              <w:rPr>
                <w:sz w:val="20"/>
              </w:rPr>
            </w:pPr>
            <w:r>
              <w:rPr>
                <w:w w:val="95"/>
                <w:sz w:val="20"/>
              </w:rPr>
              <w:t>ARC</w:t>
            </w:r>
            <w:r>
              <w:rPr>
                <w:spacing w:val="28"/>
                <w:sz w:val="20"/>
              </w:rPr>
              <w:t> </w:t>
            </w:r>
            <w:r>
              <w:rPr>
                <w:w w:val="95"/>
                <w:sz w:val="20"/>
              </w:rPr>
              <w:t>200</w:t>
            </w:r>
            <w:r>
              <w:rPr>
                <w:spacing w:val="29"/>
                <w:sz w:val="20"/>
              </w:rPr>
              <w:t> </w:t>
            </w:r>
            <w:r>
              <w:rPr>
                <w:spacing w:val="11"/>
                <w:w w:val="95"/>
                <w:sz w:val="20"/>
              </w:rPr>
              <w:t>Architectural</w:t>
            </w:r>
            <w:r>
              <w:rPr>
                <w:spacing w:val="17"/>
                <w:sz w:val="20"/>
              </w:rPr>
              <w:t> </w:t>
            </w:r>
            <w:r>
              <w:rPr>
                <w:spacing w:val="11"/>
                <w:w w:val="95"/>
                <w:sz w:val="20"/>
              </w:rPr>
              <w:t>Ecology</w:t>
            </w:r>
          </w:p>
        </w:tc>
        <w:tc>
          <w:tcPr>
            <w:tcW w:w="3600" w:type="dxa"/>
          </w:tcPr>
          <w:p>
            <w:pPr>
              <w:pStyle w:val="TableParagraph"/>
              <w:spacing w:before="16"/>
              <w:ind w:left="107"/>
              <w:rPr>
                <w:sz w:val="20"/>
              </w:rPr>
            </w:pPr>
            <w:r>
              <w:rPr>
                <w:w w:val="95"/>
                <w:sz w:val="20"/>
              </w:rPr>
              <w:t>Prerequisites:</w:t>
            </w:r>
            <w:r>
              <w:rPr>
                <w:spacing w:val="36"/>
                <w:sz w:val="20"/>
              </w:rPr>
              <w:t> </w:t>
            </w:r>
            <w:r>
              <w:rPr>
                <w:w w:val="95"/>
                <w:sz w:val="20"/>
              </w:rPr>
              <w:t>ARC</w:t>
            </w:r>
            <w:r>
              <w:rPr>
                <w:spacing w:val="33"/>
                <w:sz w:val="20"/>
              </w:rPr>
              <w:t> </w:t>
            </w:r>
            <w:r>
              <w:rPr>
                <w:w w:val="95"/>
                <w:sz w:val="20"/>
              </w:rPr>
              <w:t>101,</w:t>
            </w:r>
            <w:r>
              <w:rPr>
                <w:spacing w:val="32"/>
                <w:sz w:val="20"/>
              </w:rPr>
              <w:t> </w:t>
            </w:r>
            <w:r>
              <w:rPr>
                <w:w w:val="95"/>
                <w:sz w:val="20"/>
              </w:rPr>
              <w:t>ARC</w:t>
            </w:r>
            <w:r>
              <w:rPr>
                <w:spacing w:val="36"/>
                <w:sz w:val="20"/>
              </w:rPr>
              <w:t> </w:t>
            </w:r>
            <w:r>
              <w:rPr>
                <w:spacing w:val="-5"/>
                <w:w w:val="95"/>
                <w:sz w:val="20"/>
              </w:rPr>
              <w:t>102</w:t>
            </w:r>
          </w:p>
        </w:tc>
      </w:tr>
      <w:tr>
        <w:trPr>
          <w:trHeight w:val="575" w:hRule="atLeast"/>
        </w:trPr>
        <w:tc>
          <w:tcPr>
            <w:tcW w:w="6048" w:type="dxa"/>
          </w:tcPr>
          <w:p>
            <w:pPr>
              <w:pStyle w:val="TableParagraph"/>
              <w:spacing w:before="16"/>
              <w:ind w:left="115"/>
              <w:rPr>
                <w:sz w:val="20"/>
              </w:rPr>
            </w:pPr>
            <w:r>
              <w:rPr>
                <w:w w:val="95"/>
                <w:sz w:val="20"/>
              </w:rPr>
              <w:t>ARC</w:t>
            </w:r>
            <w:r>
              <w:rPr>
                <w:spacing w:val="26"/>
                <w:sz w:val="20"/>
              </w:rPr>
              <w:t> </w:t>
            </w:r>
            <w:r>
              <w:rPr>
                <w:w w:val="95"/>
                <w:sz w:val="20"/>
              </w:rPr>
              <w:t>201</w:t>
            </w:r>
            <w:r>
              <w:rPr>
                <w:spacing w:val="14"/>
                <w:sz w:val="20"/>
              </w:rPr>
              <w:t> </w:t>
            </w:r>
            <w:r>
              <w:rPr>
                <w:w w:val="95"/>
                <w:sz w:val="20"/>
              </w:rPr>
              <w:t>Basic</w:t>
            </w:r>
            <w:r>
              <w:rPr>
                <w:spacing w:val="46"/>
                <w:sz w:val="20"/>
              </w:rPr>
              <w:t> </w:t>
            </w:r>
            <w:r>
              <w:rPr>
                <w:spacing w:val="11"/>
                <w:w w:val="95"/>
                <w:sz w:val="20"/>
              </w:rPr>
              <w:t>Architectural</w:t>
            </w:r>
            <w:r>
              <w:rPr>
                <w:spacing w:val="31"/>
                <w:sz w:val="20"/>
              </w:rPr>
              <w:t> </w:t>
            </w:r>
            <w:r>
              <w:rPr>
                <w:spacing w:val="12"/>
                <w:w w:val="95"/>
                <w:sz w:val="20"/>
              </w:rPr>
              <w:t>and</w:t>
            </w:r>
            <w:r>
              <w:rPr>
                <w:spacing w:val="31"/>
                <w:sz w:val="20"/>
              </w:rPr>
              <w:t> </w:t>
            </w:r>
            <w:r>
              <w:rPr>
                <w:spacing w:val="10"/>
                <w:w w:val="95"/>
                <w:sz w:val="20"/>
              </w:rPr>
              <w:t>Environmental</w:t>
            </w:r>
            <w:r>
              <w:rPr>
                <w:spacing w:val="17"/>
                <w:sz w:val="20"/>
              </w:rPr>
              <w:t> </w:t>
            </w:r>
            <w:r>
              <w:rPr>
                <w:spacing w:val="-2"/>
                <w:w w:val="95"/>
                <w:sz w:val="20"/>
              </w:rPr>
              <w:t>Design</w:t>
            </w:r>
          </w:p>
          <w:p>
            <w:pPr>
              <w:pStyle w:val="TableParagraph"/>
              <w:spacing w:before="53"/>
              <w:ind w:left="107"/>
              <w:rPr>
                <w:sz w:val="20"/>
              </w:rPr>
            </w:pPr>
            <w:r>
              <w:rPr>
                <w:spacing w:val="9"/>
                <w:w w:val="95"/>
                <w:sz w:val="20"/>
              </w:rPr>
              <w:t>Studio</w:t>
            </w:r>
            <w:r>
              <w:rPr>
                <w:spacing w:val="-2"/>
                <w:w w:val="95"/>
                <w:sz w:val="20"/>
              </w:rPr>
              <w:t> </w:t>
            </w:r>
            <w:r>
              <w:rPr>
                <w:spacing w:val="-5"/>
                <w:sz w:val="20"/>
              </w:rPr>
              <w:t>III</w:t>
            </w:r>
          </w:p>
        </w:tc>
        <w:tc>
          <w:tcPr>
            <w:tcW w:w="3600" w:type="dxa"/>
          </w:tcPr>
          <w:p>
            <w:pPr>
              <w:pStyle w:val="TableParagraph"/>
              <w:spacing w:before="16"/>
              <w:ind w:left="107"/>
              <w:rPr>
                <w:sz w:val="20"/>
              </w:rPr>
            </w:pPr>
            <w:r>
              <w:rPr>
                <w:w w:val="95"/>
                <w:sz w:val="20"/>
              </w:rPr>
              <w:t>Prerequisites:</w:t>
            </w:r>
            <w:r>
              <w:rPr>
                <w:spacing w:val="36"/>
                <w:sz w:val="20"/>
              </w:rPr>
              <w:t> </w:t>
            </w:r>
            <w:r>
              <w:rPr>
                <w:w w:val="95"/>
                <w:sz w:val="20"/>
              </w:rPr>
              <w:t>ARC</w:t>
            </w:r>
            <w:r>
              <w:rPr>
                <w:spacing w:val="33"/>
                <w:sz w:val="20"/>
              </w:rPr>
              <w:t> </w:t>
            </w:r>
            <w:r>
              <w:rPr>
                <w:w w:val="95"/>
                <w:sz w:val="20"/>
              </w:rPr>
              <w:t>101,</w:t>
            </w:r>
            <w:r>
              <w:rPr>
                <w:spacing w:val="32"/>
                <w:sz w:val="20"/>
              </w:rPr>
              <w:t> </w:t>
            </w:r>
            <w:r>
              <w:rPr>
                <w:w w:val="95"/>
                <w:sz w:val="20"/>
              </w:rPr>
              <w:t>ARC</w:t>
            </w:r>
            <w:r>
              <w:rPr>
                <w:spacing w:val="36"/>
                <w:sz w:val="20"/>
              </w:rPr>
              <w:t> </w:t>
            </w:r>
            <w:r>
              <w:rPr>
                <w:spacing w:val="-5"/>
                <w:w w:val="95"/>
                <w:sz w:val="20"/>
              </w:rPr>
              <w:t>102</w:t>
            </w:r>
          </w:p>
        </w:tc>
      </w:tr>
      <w:tr>
        <w:trPr>
          <w:trHeight w:val="575" w:hRule="atLeast"/>
        </w:trPr>
        <w:tc>
          <w:tcPr>
            <w:tcW w:w="6048" w:type="dxa"/>
          </w:tcPr>
          <w:p>
            <w:pPr>
              <w:pStyle w:val="TableParagraph"/>
              <w:spacing w:before="16"/>
              <w:ind w:left="115"/>
              <w:rPr>
                <w:sz w:val="20"/>
              </w:rPr>
            </w:pPr>
            <w:r>
              <w:rPr>
                <w:w w:val="95"/>
                <w:sz w:val="20"/>
              </w:rPr>
              <w:t>ARC</w:t>
            </w:r>
            <w:r>
              <w:rPr>
                <w:spacing w:val="26"/>
                <w:sz w:val="20"/>
              </w:rPr>
              <w:t> </w:t>
            </w:r>
            <w:r>
              <w:rPr>
                <w:w w:val="95"/>
                <w:sz w:val="20"/>
              </w:rPr>
              <w:t>202</w:t>
            </w:r>
            <w:r>
              <w:rPr>
                <w:spacing w:val="14"/>
                <w:sz w:val="20"/>
              </w:rPr>
              <w:t> </w:t>
            </w:r>
            <w:r>
              <w:rPr>
                <w:w w:val="95"/>
                <w:sz w:val="20"/>
              </w:rPr>
              <w:t>Basic</w:t>
            </w:r>
            <w:r>
              <w:rPr>
                <w:spacing w:val="46"/>
                <w:sz w:val="20"/>
              </w:rPr>
              <w:t> </w:t>
            </w:r>
            <w:r>
              <w:rPr>
                <w:spacing w:val="11"/>
                <w:w w:val="95"/>
                <w:sz w:val="20"/>
              </w:rPr>
              <w:t>Architectural</w:t>
            </w:r>
            <w:r>
              <w:rPr>
                <w:spacing w:val="31"/>
                <w:sz w:val="20"/>
              </w:rPr>
              <w:t> </w:t>
            </w:r>
            <w:r>
              <w:rPr>
                <w:spacing w:val="12"/>
                <w:w w:val="95"/>
                <w:sz w:val="20"/>
              </w:rPr>
              <w:t>and</w:t>
            </w:r>
            <w:r>
              <w:rPr>
                <w:spacing w:val="31"/>
                <w:sz w:val="20"/>
              </w:rPr>
              <w:t> </w:t>
            </w:r>
            <w:r>
              <w:rPr>
                <w:spacing w:val="10"/>
                <w:w w:val="95"/>
                <w:sz w:val="20"/>
              </w:rPr>
              <w:t>Environmental</w:t>
            </w:r>
            <w:r>
              <w:rPr>
                <w:spacing w:val="17"/>
                <w:sz w:val="20"/>
              </w:rPr>
              <w:t> </w:t>
            </w:r>
            <w:r>
              <w:rPr>
                <w:spacing w:val="-2"/>
                <w:w w:val="95"/>
                <w:sz w:val="20"/>
              </w:rPr>
              <w:t>Design</w:t>
            </w:r>
          </w:p>
          <w:p>
            <w:pPr>
              <w:pStyle w:val="TableParagraph"/>
              <w:spacing w:before="53"/>
              <w:ind w:left="107"/>
              <w:rPr>
                <w:sz w:val="20"/>
              </w:rPr>
            </w:pPr>
            <w:r>
              <w:rPr>
                <w:spacing w:val="9"/>
                <w:w w:val="95"/>
                <w:sz w:val="20"/>
              </w:rPr>
              <w:t>Studio</w:t>
            </w:r>
            <w:r>
              <w:rPr>
                <w:spacing w:val="-2"/>
                <w:w w:val="95"/>
                <w:sz w:val="20"/>
              </w:rPr>
              <w:t> </w:t>
            </w:r>
            <w:r>
              <w:rPr>
                <w:spacing w:val="-7"/>
                <w:sz w:val="20"/>
              </w:rPr>
              <w:t>IV</w:t>
            </w:r>
          </w:p>
        </w:tc>
        <w:tc>
          <w:tcPr>
            <w:tcW w:w="3600" w:type="dxa"/>
          </w:tcPr>
          <w:p>
            <w:pPr>
              <w:pStyle w:val="TableParagraph"/>
              <w:spacing w:before="16"/>
              <w:ind w:left="107"/>
              <w:rPr>
                <w:sz w:val="20"/>
              </w:rPr>
            </w:pPr>
            <w:r>
              <w:rPr>
                <w:w w:val="95"/>
                <w:sz w:val="20"/>
              </w:rPr>
              <w:t>Prerequisites:</w:t>
            </w:r>
            <w:r>
              <w:rPr>
                <w:spacing w:val="36"/>
                <w:sz w:val="20"/>
              </w:rPr>
              <w:t> </w:t>
            </w:r>
            <w:r>
              <w:rPr>
                <w:w w:val="95"/>
                <w:sz w:val="20"/>
              </w:rPr>
              <w:t>ARC</w:t>
            </w:r>
            <w:r>
              <w:rPr>
                <w:spacing w:val="33"/>
                <w:sz w:val="20"/>
              </w:rPr>
              <w:t> </w:t>
            </w:r>
            <w:r>
              <w:rPr>
                <w:w w:val="95"/>
                <w:sz w:val="20"/>
              </w:rPr>
              <w:t>101,</w:t>
            </w:r>
            <w:r>
              <w:rPr>
                <w:spacing w:val="32"/>
                <w:sz w:val="20"/>
              </w:rPr>
              <w:t> </w:t>
            </w:r>
            <w:r>
              <w:rPr>
                <w:w w:val="95"/>
                <w:sz w:val="20"/>
              </w:rPr>
              <w:t>ARC</w:t>
            </w:r>
            <w:r>
              <w:rPr>
                <w:spacing w:val="36"/>
                <w:sz w:val="20"/>
              </w:rPr>
              <w:t> </w:t>
            </w:r>
            <w:r>
              <w:rPr>
                <w:spacing w:val="-4"/>
                <w:w w:val="95"/>
                <w:sz w:val="20"/>
              </w:rPr>
              <w:t>102,</w:t>
            </w:r>
          </w:p>
          <w:p>
            <w:pPr>
              <w:pStyle w:val="TableParagraph"/>
              <w:spacing w:before="53"/>
              <w:ind w:left="115"/>
              <w:rPr>
                <w:sz w:val="20"/>
              </w:rPr>
            </w:pPr>
            <w:r>
              <w:rPr>
                <w:sz w:val="20"/>
              </w:rPr>
              <w:t>ARC</w:t>
            </w:r>
            <w:r>
              <w:rPr>
                <w:spacing w:val="-1"/>
                <w:sz w:val="20"/>
              </w:rPr>
              <w:t> </w:t>
            </w:r>
            <w:r>
              <w:rPr>
                <w:sz w:val="20"/>
              </w:rPr>
              <w:t>200,</w:t>
            </w:r>
            <w:r>
              <w:rPr>
                <w:spacing w:val="-3"/>
                <w:sz w:val="20"/>
              </w:rPr>
              <w:t> </w:t>
            </w:r>
            <w:r>
              <w:rPr>
                <w:sz w:val="20"/>
              </w:rPr>
              <w:t>ARC</w:t>
            </w:r>
            <w:r>
              <w:rPr>
                <w:spacing w:val="-1"/>
                <w:sz w:val="20"/>
              </w:rPr>
              <w:t> </w:t>
            </w:r>
            <w:r>
              <w:rPr>
                <w:spacing w:val="-5"/>
                <w:sz w:val="20"/>
              </w:rPr>
              <w:t>201</w:t>
            </w:r>
          </w:p>
        </w:tc>
      </w:tr>
      <w:tr>
        <w:trPr>
          <w:trHeight w:val="575" w:hRule="atLeast"/>
        </w:trPr>
        <w:tc>
          <w:tcPr>
            <w:tcW w:w="6048" w:type="dxa"/>
          </w:tcPr>
          <w:p>
            <w:pPr>
              <w:pStyle w:val="TableParagraph"/>
              <w:spacing w:before="16"/>
              <w:ind w:left="115"/>
              <w:rPr>
                <w:sz w:val="20"/>
              </w:rPr>
            </w:pPr>
            <w:r>
              <w:rPr>
                <w:w w:val="95"/>
                <w:sz w:val="20"/>
              </w:rPr>
              <w:t>ARC</w:t>
            </w:r>
            <w:r>
              <w:rPr>
                <w:spacing w:val="22"/>
                <w:sz w:val="20"/>
              </w:rPr>
              <w:t> </w:t>
            </w:r>
            <w:r>
              <w:rPr>
                <w:w w:val="95"/>
                <w:sz w:val="20"/>
              </w:rPr>
              <w:t>203</w:t>
            </w:r>
            <w:r>
              <w:rPr>
                <w:spacing w:val="11"/>
                <w:sz w:val="20"/>
              </w:rPr>
              <w:t> </w:t>
            </w:r>
            <w:r>
              <w:rPr>
                <w:w w:val="95"/>
                <w:sz w:val="20"/>
              </w:rPr>
              <w:t>Theories</w:t>
            </w:r>
            <w:r>
              <w:rPr>
                <w:spacing w:val="25"/>
                <w:sz w:val="20"/>
              </w:rPr>
              <w:t> </w:t>
            </w:r>
            <w:r>
              <w:rPr>
                <w:spacing w:val="12"/>
                <w:w w:val="95"/>
                <w:sz w:val="20"/>
              </w:rPr>
              <w:t>and</w:t>
            </w:r>
            <w:r>
              <w:rPr>
                <w:spacing w:val="26"/>
                <w:sz w:val="20"/>
              </w:rPr>
              <w:t> </w:t>
            </w:r>
            <w:r>
              <w:rPr>
                <w:w w:val="95"/>
                <w:sz w:val="20"/>
              </w:rPr>
              <w:t>Pra</w:t>
            </w:r>
            <w:r>
              <w:rPr>
                <w:spacing w:val="-19"/>
                <w:w w:val="95"/>
                <w:sz w:val="20"/>
              </w:rPr>
              <w:t> </w:t>
            </w:r>
            <w:r>
              <w:rPr>
                <w:spacing w:val="12"/>
                <w:w w:val="95"/>
                <w:sz w:val="20"/>
              </w:rPr>
              <w:t>ctices</w:t>
            </w:r>
            <w:r>
              <w:rPr>
                <w:spacing w:val="22"/>
                <w:sz w:val="20"/>
              </w:rPr>
              <w:t> </w:t>
            </w:r>
            <w:r>
              <w:rPr>
                <w:w w:val="95"/>
                <w:sz w:val="20"/>
              </w:rPr>
              <w:t>of</w:t>
            </w:r>
            <w:r>
              <w:rPr>
                <w:spacing w:val="15"/>
                <w:sz w:val="20"/>
              </w:rPr>
              <w:t> </w:t>
            </w:r>
            <w:r>
              <w:rPr>
                <w:spacing w:val="11"/>
                <w:w w:val="95"/>
                <w:sz w:val="20"/>
              </w:rPr>
              <w:t>Representation</w:t>
            </w:r>
            <w:r>
              <w:rPr>
                <w:spacing w:val="18"/>
                <w:sz w:val="20"/>
              </w:rPr>
              <w:t> </w:t>
            </w:r>
            <w:r>
              <w:rPr>
                <w:spacing w:val="-10"/>
                <w:w w:val="95"/>
                <w:sz w:val="20"/>
              </w:rPr>
              <w:t>I</w:t>
            </w:r>
          </w:p>
        </w:tc>
        <w:tc>
          <w:tcPr>
            <w:tcW w:w="3600" w:type="dxa"/>
          </w:tcPr>
          <w:p>
            <w:pPr>
              <w:pStyle w:val="TableParagraph"/>
              <w:spacing w:before="16"/>
              <w:ind w:left="107"/>
              <w:rPr>
                <w:sz w:val="20"/>
              </w:rPr>
            </w:pPr>
            <w:r>
              <w:rPr>
                <w:w w:val="95"/>
                <w:sz w:val="20"/>
              </w:rPr>
              <w:t>Prerequisites:</w:t>
            </w:r>
            <w:r>
              <w:rPr>
                <w:spacing w:val="36"/>
                <w:sz w:val="20"/>
              </w:rPr>
              <w:t> </w:t>
            </w:r>
            <w:r>
              <w:rPr>
                <w:w w:val="95"/>
                <w:sz w:val="20"/>
              </w:rPr>
              <w:t>ARC</w:t>
            </w:r>
            <w:r>
              <w:rPr>
                <w:spacing w:val="33"/>
                <w:sz w:val="20"/>
              </w:rPr>
              <w:t> </w:t>
            </w:r>
            <w:r>
              <w:rPr>
                <w:w w:val="95"/>
                <w:sz w:val="20"/>
              </w:rPr>
              <w:t>101,</w:t>
            </w:r>
            <w:r>
              <w:rPr>
                <w:spacing w:val="32"/>
                <w:sz w:val="20"/>
              </w:rPr>
              <w:t> </w:t>
            </w:r>
            <w:r>
              <w:rPr>
                <w:w w:val="95"/>
                <w:sz w:val="20"/>
              </w:rPr>
              <w:t>ARC</w:t>
            </w:r>
            <w:r>
              <w:rPr>
                <w:spacing w:val="36"/>
                <w:sz w:val="20"/>
              </w:rPr>
              <w:t> </w:t>
            </w:r>
            <w:r>
              <w:rPr>
                <w:spacing w:val="-5"/>
                <w:w w:val="95"/>
                <w:sz w:val="20"/>
              </w:rPr>
              <w:t>102</w:t>
            </w:r>
          </w:p>
        </w:tc>
      </w:tr>
      <w:tr>
        <w:trPr>
          <w:trHeight w:val="577" w:hRule="atLeast"/>
        </w:trPr>
        <w:tc>
          <w:tcPr>
            <w:tcW w:w="6048" w:type="dxa"/>
          </w:tcPr>
          <w:p>
            <w:pPr>
              <w:pStyle w:val="TableParagraph"/>
              <w:spacing w:before="18"/>
              <w:ind w:left="115"/>
              <w:rPr>
                <w:sz w:val="20"/>
              </w:rPr>
            </w:pPr>
            <w:r>
              <w:rPr>
                <w:w w:val="95"/>
                <w:sz w:val="20"/>
              </w:rPr>
              <w:t>ARC</w:t>
            </w:r>
            <w:r>
              <w:rPr>
                <w:spacing w:val="22"/>
                <w:sz w:val="20"/>
              </w:rPr>
              <w:t> </w:t>
            </w:r>
            <w:r>
              <w:rPr>
                <w:w w:val="95"/>
                <w:sz w:val="20"/>
              </w:rPr>
              <w:t>204</w:t>
            </w:r>
            <w:r>
              <w:rPr>
                <w:spacing w:val="11"/>
                <w:sz w:val="20"/>
              </w:rPr>
              <w:t> </w:t>
            </w:r>
            <w:r>
              <w:rPr>
                <w:w w:val="95"/>
                <w:sz w:val="20"/>
              </w:rPr>
              <w:t>Theories</w:t>
            </w:r>
            <w:r>
              <w:rPr>
                <w:spacing w:val="25"/>
                <w:sz w:val="20"/>
              </w:rPr>
              <w:t> </w:t>
            </w:r>
            <w:r>
              <w:rPr>
                <w:spacing w:val="12"/>
                <w:w w:val="95"/>
                <w:sz w:val="20"/>
              </w:rPr>
              <w:t>and</w:t>
            </w:r>
            <w:r>
              <w:rPr>
                <w:spacing w:val="26"/>
                <w:sz w:val="20"/>
              </w:rPr>
              <w:t> </w:t>
            </w:r>
            <w:r>
              <w:rPr>
                <w:w w:val="95"/>
                <w:sz w:val="20"/>
              </w:rPr>
              <w:t>Pra</w:t>
            </w:r>
            <w:r>
              <w:rPr>
                <w:spacing w:val="-19"/>
                <w:w w:val="95"/>
                <w:sz w:val="20"/>
              </w:rPr>
              <w:t> </w:t>
            </w:r>
            <w:r>
              <w:rPr>
                <w:spacing w:val="12"/>
                <w:w w:val="95"/>
                <w:sz w:val="20"/>
              </w:rPr>
              <w:t>ctices</w:t>
            </w:r>
            <w:r>
              <w:rPr>
                <w:spacing w:val="22"/>
                <w:sz w:val="20"/>
              </w:rPr>
              <w:t> </w:t>
            </w:r>
            <w:r>
              <w:rPr>
                <w:w w:val="95"/>
                <w:sz w:val="20"/>
              </w:rPr>
              <w:t>of</w:t>
            </w:r>
            <w:r>
              <w:rPr>
                <w:spacing w:val="15"/>
                <w:sz w:val="20"/>
              </w:rPr>
              <w:t> </w:t>
            </w:r>
            <w:r>
              <w:rPr>
                <w:spacing w:val="11"/>
                <w:w w:val="95"/>
                <w:sz w:val="20"/>
              </w:rPr>
              <w:t>Representation</w:t>
            </w:r>
            <w:r>
              <w:rPr>
                <w:spacing w:val="18"/>
                <w:sz w:val="20"/>
              </w:rPr>
              <w:t> </w:t>
            </w:r>
            <w:r>
              <w:rPr>
                <w:spacing w:val="-5"/>
                <w:w w:val="95"/>
                <w:sz w:val="20"/>
              </w:rPr>
              <w:t>II</w:t>
            </w:r>
          </w:p>
        </w:tc>
        <w:tc>
          <w:tcPr>
            <w:tcW w:w="3600" w:type="dxa"/>
          </w:tcPr>
          <w:p>
            <w:pPr>
              <w:pStyle w:val="TableParagraph"/>
              <w:spacing w:before="18"/>
              <w:ind w:left="107"/>
              <w:rPr>
                <w:sz w:val="20"/>
              </w:rPr>
            </w:pPr>
            <w:r>
              <w:rPr>
                <w:w w:val="95"/>
                <w:sz w:val="20"/>
              </w:rPr>
              <w:t>Prerequisites:</w:t>
            </w:r>
            <w:r>
              <w:rPr>
                <w:spacing w:val="36"/>
                <w:sz w:val="20"/>
              </w:rPr>
              <w:t> </w:t>
            </w:r>
            <w:r>
              <w:rPr>
                <w:w w:val="95"/>
                <w:sz w:val="20"/>
              </w:rPr>
              <w:t>ARC</w:t>
            </w:r>
            <w:r>
              <w:rPr>
                <w:spacing w:val="33"/>
                <w:sz w:val="20"/>
              </w:rPr>
              <w:t> </w:t>
            </w:r>
            <w:r>
              <w:rPr>
                <w:w w:val="95"/>
                <w:sz w:val="20"/>
              </w:rPr>
              <w:t>101,</w:t>
            </w:r>
            <w:r>
              <w:rPr>
                <w:spacing w:val="32"/>
                <w:sz w:val="20"/>
              </w:rPr>
              <w:t> </w:t>
            </w:r>
            <w:r>
              <w:rPr>
                <w:w w:val="95"/>
                <w:sz w:val="20"/>
              </w:rPr>
              <w:t>ARC</w:t>
            </w:r>
            <w:r>
              <w:rPr>
                <w:spacing w:val="36"/>
                <w:sz w:val="20"/>
              </w:rPr>
              <w:t> </w:t>
            </w:r>
            <w:r>
              <w:rPr>
                <w:spacing w:val="-4"/>
                <w:w w:val="95"/>
                <w:sz w:val="20"/>
              </w:rPr>
              <w:t>102,</w:t>
            </w:r>
          </w:p>
          <w:p>
            <w:pPr>
              <w:pStyle w:val="TableParagraph"/>
              <w:spacing w:before="51"/>
              <w:ind w:left="115"/>
              <w:rPr>
                <w:sz w:val="20"/>
              </w:rPr>
            </w:pPr>
            <w:r>
              <w:rPr>
                <w:w w:val="95"/>
                <w:sz w:val="20"/>
              </w:rPr>
              <w:t>ARC</w:t>
            </w:r>
            <w:r>
              <w:rPr>
                <w:spacing w:val="15"/>
                <w:sz w:val="20"/>
              </w:rPr>
              <w:t> </w:t>
            </w:r>
            <w:r>
              <w:rPr>
                <w:spacing w:val="-5"/>
                <w:sz w:val="20"/>
              </w:rPr>
              <w:t>203</w:t>
            </w:r>
          </w:p>
        </w:tc>
      </w:tr>
      <w:tr>
        <w:trPr>
          <w:trHeight w:val="575" w:hRule="atLeast"/>
        </w:trPr>
        <w:tc>
          <w:tcPr>
            <w:tcW w:w="6048" w:type="dxa"/>
          </w:tcPr>
          <w:p>
            <w:pPr>
              <w:pStyle w:val="TableParagraph"/>
              <w:spacing w:before="16"/>
              <w:ind w:left="115"/>
              <w:rPr>
                <w:sz w:val="20"/>
              </w:rPr>
            </w:pPr>
            <w:r>
              <w:rPr>
                <w:w w:val="95"/>
                <w:sz w:val="20"/>
              </w:rPr>
              <w:t>ARC</w:t>
            </w:r>
            <w:r>
              <w:rPr>
                <w:spacing w:val="29"/>
                <w:sz w:val="20"/>
              </w:rPr>
              <w:t> </w:t>
            </w:r>
            <w:r>
              <w:rPr>
                <w:w w:val="95"/>
                <w:sz w:val="20"/>
              </w:rPr>
              <w:t>207</w:t>
            </w:r>
            <w:r>
              <w:rPr>
                <w:spacing w:val="29"/>
                <w:sz w:val="20"/>
              </w:rPr>
              <w:t> </w:t>
            </w:r>
            <w:r>
              <w:rPr>
                <w:spacing w:val="11"/>
                <w:w w:val="95"/>
                <w:sz w:val="20"/>
              </w:rPr>
              <w:t>Architectural</w:t>
            </w:r>
            <w:r>
              <w:rPr>
                <w:spacing w:val="17"/>
                <w:sz w:val="20"/>
              </w:rPr>
              <w:t> </w:t>
            </w:r>
            <w:r>
              <w:rPr>
                <w:w w:val="95"/>
                <w:sz w:val="20"/>
              </w:rPr>
              <w:t>History</w:t>
            </w:r>
            <w:r>
              <w:rPr>
                <w:spacing w:val="20"/>
                <w:sz w:val="20"/>
              </w:rPr>
              <w:t> </w:t>
            </w:r>
            <w:r>
              <w:rPr>
                <w:spacing w:val="-10"/>
                <w:w w:val="95"/>
                <w:sz w:val="20"/>
              </w:rPr>
              <w:t>I</w:t>
            </w:r>
          </w:p>
        </w:tc>
        <w:tc>
          <w:tcPr>
            <w:tcW w:w="3600" w:type="dxa"/>
          </w:tcPr>
          <w:p>
            <w:pPr>
              <w:pStyle w:val="TableParagraph"/>
              <w:spacing w:before="16"/>
              <w:ind w:left="109"/>
              <w:rPr>
                <w:sz w:val="20"/>
              </w:rPr>
            </w:pPr>
            <w:r>
              <w:rPr>
                <w:sz w:val="20"/>
              </w:rPr>
              <w:t>No</w:t>
            </w:r>
            <w:r>
              <w:rPr>
                <w:spacing w:val="18"/>
                <w:sz w:val="20"/>
              </w:rPr>
              <w:t> </w:t>
            </w:r>
            <w:r>
              <w:rPr>
                <w:spacing w:val="-2"/>
                <w:sz w:val="20"/>
              </w:rPr>
              <w:t>Prerequisite</w:t>
            </w:r>
          </w:p>
        </w:tc>
      </w:tr>
      <w:tr>
        <w:trPr>
          <w:trHeight w:val="575" w:hRule="atLeast"/>
        </w:trPr>
        <w:tc>
          <w:tcPr>
            <w:tcW w:w="6048" w:type="dxa"/>
          </w:tcPr>
          <w:p>
            <w:pPr>
              <w:pStyle w:val="TableParagraph"/>
              <w:spacing w:before="16"/>
              <w:ind w:left="115"/>
              <w:rPr>
                <w:sz w:val="20"/>
              </w:rPr>
            </w:pPr>
            <w:r>
              <w:rPr>
                <w:w w:val="95"/>
                <w:sz w:val="20"/>
              </w:rPr>
              <w:t>ARC</w:t>
            </w:r>
            <w:r>
              <w:rPr>
                <w:spacing w:val="29"/>
                <w:sz w:val="20"/>
              </w:rPr>
              <w:t> </w:t>
            </w:r>
            <w:r>
              <w:rPr>
                <w:w w:val="95"/>
                <w:sz w:val="20"/>
              </w:rPr>
              <w:t>208</w:t>
            </w:r>
            <w:r>
              <w:rPr>
                <w:spacing w:val="29"/>
                <w:sz w:val="20"/>
              </w:rPr>
              <w:t> </w:t>
            </w:r>
            <w:r>
              <w:rPr>
                <w:spacing w:val="11"/>
                <w:w w:val="95"/>
                <w:sz w:val="20"/>
              </w:rPr>
              <w:t>Architectural</w:t>
            </w:r>
            <w:r>
              <w:rPr>
                <w:spacing w:val="17"/>
                <w:sz w:val="20"/>
              </w:rPr>
              <w:t> </w:t>
            </w:r>
            <w:r>
              <w:rPr>
                <w:w w:val="95"/>
                <w:sz w:val="20"/>
              </w:rPr>
              <w:t>History</w:t>
            </w:r>
            <w:r>
              <w:rPr>
                <w:spacing w:val="20"/>
                <w:sz w:val="20"/>
              </w:rPr>
              <w:t> </w:t>
            </w:r>
            <w:r>
              <w:rPr>
                <w:spacing w:val="-5"/>
                <w:w w:val="95"/>
                <w:sz w:val="20"/>
              </w:rPr>
              <w:t>II</w:t>
            </w:r>
          </w:p>
        </w:tc>
        <w:tc>
          <w:tcPr>
            <w:tcW w:w="3600" w:type="dxa"/>
          </w:tcPr>
          <w:p>
            <w:pPr>
              <w:pStyle w:val="TableParagraph"/>
              <w:spacing w:before="16"/>
              <w:ind w:left="109"/>
              <w:rPr>
                <w:sz w:val="20"/>
              </w:rPr>
            </w:pPr>
            <w:r>
              <w:rPr>
                <w:sz w:val="20"/>
              </w:rPr>
              <w:t>No</w:t>
            </w:r>
            <w:r>
              <w:rPr>
                <w:spacing w:val="18"/>
                <w:sz w:val="20"/>
              </w:rPr>
              <w:t> </w:t>
            </w:r>
            <w:r>
              <w:rPr>
                <w:spacing w:val="-2"/>
                <w:sz w:val="20"/>
              </w:rPr>
              <w:t>Prerequisite</w:t>
            </w:r>
          </w:p>
        </w:tc>
      </w:tr>
      <w:tr>
        <w:trPr>
          <w:trHeight w:val="575" w:hRule="atLeast"/>
        </w:trPr>
        <w:tc>
          <w:tcPr>
            <w:tcW w:w="6048" w:type="dxa"/>
          </w:tcPr>
          <w:p>
            <w:pPr>
              <w:pStyle w:val="TableParagraph"/>
              <w:spacing w:before="16"/>
              <w:ind w:left="115"/>
              <w:rPr>
                <w:sz w:val="20"/>
              </w:rPr>
            </w:pPr>
            <w:r>
              <w:rPr>
                <w:w w:val="95"/>
                <w:sz w:val="20"/>
              </w:rPr>
              <w:t>ARC</w:t>
            </w:r>
            <w:r>
              <w:rPr>
                <w:spacing w:val="33"/>
                <w:sz w:val="20"/>
              </w:rPr>
              <w:t> </w:t>
            </w:r>
            <w:r>
              <w:rPr>
                <w:w w:val="95"/>
                <w:sz w:val="20"/>
              </w:rPr>
              <w:t>213</w:t>
            </w:r>
            <w:r>
              <w:rPr>
                <w:spacing w:val="20"/>
                <w:sz w:val="20"/>
              </w:rPr>
              <w:t> </w:t>
            </w:r>
            <w:r>
              <w:rPr>
                <w:spacing w:val="10"/>
                <w:w w:val="95"/>
                <w:sz w:val="20"/>
              </w:rPr>
              <w:t>Elements</w:t>
            </w:r>
            <w:r>
              <w:rPr>
                <w:spacing w:val="32"/>
                <w:sz w:val="20"/>
              </w:rPr>
              <w:t> </w:t>
            </w:r>
            <w:r>
              <w:rPr>
                <w:w w:val="95"/>
                <w:sz w:val="20"/>
              </w:rPr>
              <w:t>of</w:t>
            </w:r>
            <w:r>
              <w:rPr>
                <w:spacing w:val="26"/>
                <w:sz w:val="20"/>
              </w:rPr>
              <w:t> </w:t>
            </w:r>
            <w:r>
              <w:rPr>
                <w:w w:val="95"/>
                <w:sz w:val="20"/>
              </w:rPr>
              <w:t>Building</w:t>
            </w:r>
            <w:r>
              <w:rPr>
                <w:spacing w:val="50"/>
                <w:sz w:val="20"/>
              </w:rPr>
              <w:t> </w:t>
            </w:r>
            <w:r>
              <w:rPr>
                <w:w w:val="95"/>
                <w:sz w:val="20"/>
              </w:rPr>
              <w:t>Assembly</w:t>
            </w:r>
            <w:r>
              <w:rPr>
                <w:spacing w:val="23"/>
                <w:sz w:val="20"/>
              </w:rPr>
              <w:t> </w:t>
            </w:r>
            <w:r>
              <w:rPr>
                <w:spacing w:val="-2"/>
                <w:w w:val="95"/>
                <w:sz w:val="20"/>
              </w:rPr>
              <w:t>Building</w:t>
            </w:r>
          </w:p>
        </w:tc>
        <w:tc>
          <w:tcPr>
            <w:tcW w:w="3600" w:type="dxa"/>
          </w:tcPr>
          <w:p>
            <w:pPr>
              <w:pStyle w:val="TableParagraph"/>
              <w:spacing w:before="16"/>
              <w:ind w:left="109"/>
              <w:rPr>
                <w:sz w:val="20"/>
              </w:rPr>
            </w:pPr>
            <w:r>
              <w:rPr>
                <w:sz w:val="20"/>
              </w:rPr>
              <w:t>No</w:t>
            </w:r>
            <w:r>
              <w:rPr>
                <w:spacing w:val="18"/>
                <w:sz w:val="20"/>
              </w:rPr>
              <w:t> </w:t>
            </w:r>
            <w:r>
              <w:rPr>
                <w:spacing w:val="-2"/>
                <w:sz w:val="20"/>
              </w:rPr>
              <w:t>Prerequisite</w:t>
            </w:r>
          </w:p>
        </w:tc>
      </w:tr>
      <w:tr>
        <w:trPr>
          <w:trHeight w:val="412" w:hRule="atLeast"/>
        </w:trPr>
        <w:tc>
          <w:tcPr>
            <w:tcW w:w="6048" w:type="dxa"/>
          </w:tcPr>
          <w:p>
            <w:pPr>
              <w:pStyle w:val="TableParagraph"/>
              <w:spacing w:before="16"/>
              <w:ind w:left="115"/>
              <w:rPr>
                <w:sz w:val="20"/>
              </w:rPr>
            </w:pPr>
            <w:r>
              <w:rPr>
                <w:w w:val="95"/>
                <w:sz w:val="20"/>
              </w:rPr>
              <w:t>ARC</w:t>
            </w:r>
            <w:r>
              <w:rPr>
                <w:spacing w:val="29"/>
                <w:sz w:val="20"/>
              </w:rPr>
              <w:t> </w:t>
            </w:r>
            <w:r>
              <w:rPr>
                <w:w w:val="95"/>
                <w:sz w:val="20"/>
              </w:rPr>
              <w:t>301</w:t>
            </w:r>
            <w:r>
              <w:rPr>
                <w:spacing w:val="17"/>
                <w:sz w:val="20"/>
              </w:rPr>
              <w:t> </w:t>
            </w:r>
            <w:r>
              <w:rPr>
                <w:w w:val="95"/>
                <w:sz w:val="20"/>
              </w:rPr>
              <w:t>Prep</w:t>
            </w:r>
            <w:r>
              <w:rPr>
                <w:spacing w:val="39"/>
                <w:sz w:val="20"/>
              </w:rPr>
              <w:t> </w:t>
            </w:r>
            <w:r>
              <w:rPr>
                <w:w w:val="95"/>
                <w:sz w:val="20"/>
              </w:rPr>
              <w:t>for</w:t>
            </w:r>
            <w:r>
              <w:rPr>
                <w:spacing w:val="16"/>
                <w:sz w:val="20"/>
              </w:rPr>
              <w:t> </w:t>
            </w:r>
            <w:r>
              <w:rPr>
                <w:spacing w:val="11"/>
                <w:w w:val="95"/>
                <w:sz w:val="20"/>
              </w:rPr>
              <w:t>International</w:t>
            </w:r>
            <w:r>
              <w:rPr>
                <w:spacing w:val="18"/>
                <w:sz w:val="20"/>
              </w:rPr>
              <w:t> </w:t>
            </w:r>
            <w:r>
              <w:rPr>
                <w:spacing w:val="-2"/>
                <w:w w:val="95"/>
                <w:sz w:val="20"/>
              </w:rPr>
              <w:t>Travel</w:t>
            </w:r>
          </w:p>
        </w:tc>
        <w:tc>
          <w:tcPr>
            <w:tcW w:w="3600" w:type="dxa"/>
          </w:tcPr>
          <w:p>
            <w:pPr>
              <w:pStyle w:val="TableParagraph"/>
              <w:spacing w:before="16"/>
              <w:ind w:left="107"/>
              <w:rPr>
                <w:sz w:val="20"/>
              </w:rPr>
            </w:pPr>
            <w:r>
              <w:rPr>
                <w:w w:val="95"/>
                <w:sz w:val="20"/>
              </w:rPr>
              <w:t>Prerequisite:</w:t>
            </w:r>
            <w:r>
              <w:rPr>
                <w:spacing w:val="56"/>
                <w:sz w:val="20"/>
              </w:rPr>
              <w:t> </w:t>
            </w:r>
            <w:r>
              <w:rPr>
                <w:w w:val="95"/>
                <w:sz w:val="20"/>
              </w:rPr>
              <w:t>ARC</w:t>
            </w:r>
            <w:r>
              <w:rPr>
                <w:spacing w:val="59"/>
                <w:sz w:val="20"/>
              </w:rPr>
              <w:t> </w:t>
            </w:r>
            <w:r>
              <w:rPr>
                <w:spacing w:val="-5"/>
                <w:w w:val="95"/>
                <w:sz w:val="20"/>
              </w:rPr>
              <w:t>303</w:t>
            </w:r>
          </w:p>
        </w:tc>
      </w:tr>
      <w:tr>
        <w:trPr>
          <w:trHeight w:val="1410" w:hRule="atLeast"/>
        </w:trPr>
        <w:tc>
          <w:tcPr>
            <w:tcW w:w="6048" w:type="dxa"/>
          </w:tcPr>
          <w:p>
            <w:pPr>
              <w:pStyle w:val="TableParagraph"/>
              <w:spacing w:before="18"/>
              <w:ind w:left="115"/>
              <w:rPr>
                <w:sz w:val="20"/>
              </w:rPr>
            </w:pPr>
            <w:r>
              <w:rPr>
                <w:w w:val="95"/>
                <w:sz w:val="20"/>
              </w:rPr>
              <w:t>ARC</w:t>
            </w:r>
            <w:r>
              <w:rPr>
                <w:spacing w:val="28"/>
                <w:sz w:val="20"/>
              </w:rPr>
              <w:t> </w:t>
            </w:r>
            <w:r>
              <w:rPr>
                <w:w w:val="95"/>
                <w:sz w:val="20"/>
              </w:rPr>
              <w:t>303</w:t>
            </w:r>
            <w:r>
              <w:rPr>
                <w:spacing w:val="15"/>
                <w:sz w:val="20"/>
              </w:rPr>
              <w:t> </w:t>
            </w:r>
            <w:r>
              <w:rPr>
                <w:spacing w:val="13"/>
                <w:w w:val="95"/>
                <w:sz w:val="20"/>
              </w:rPr>
              <w:t>Intermediate</w:t>
            </w:r>
            <w:r>
              <w:rPr>
                <w:spacing w:val="39"/>
                <w:sz w:val="20"/>
              </w:rPr>
              <w:t> </w:t>
            </w:r>
            <w:r>
              <w:rPr>
                <w:spacing w:val="11"/>
                <w:w w:val="95"/>
                <w:sz w:val="20"/>
              </w:rPr>
              <w:t>Architecture</w:t>
            </w:r>
            <w:r>
              <w:rPr>
                <w:spacing w:val="31"/>
                <w:sz w:val="20"/>
              </w:rPr>
              <w:t> </w:t>
            </w:r>
            <w:r>
              <w:rPr>
                <w:w w:val="95"/>
                <w:sz w:val="20"/>
              </w:rPr>
              <w:t>Design</w:t>
            </w:r>
            <w:r>
              <w:rPr>
                <w:spacing w:val="23"/>
                <w:sz w:val="20"/>
              </w:rPr>
              <w:t> </w:t>
            </w:r>
            <w:r>
              <w:rPr>
                <w:spacing w:val="9"/>
                <w:w w:val="95"/>
                <w:sz w:val="20"/>
              </w:rPr>
              <w:t>Studio</w:t>
            </w:r>
            <w:r>
              <w:rPr>
                <w:spacing w:val="34"/>
                <w:sz w:val="20"/>
              </w:rPr>
              <w:t> </w:t>
            </w:r>
            <w:r>
              <w:rPr>
                <w:spacing w:val="-10"/>
                <w:w w:val="95"/>
                <w:sz w:val="20"/>
              </w:rPr>
              <w:t>V</w:t>
            </w:r>
          </w:p>
        </w:tc>
        <w:tc>
          <w:tcPr>
            <w:tcW w:w="3600" w:type="dxa"/>
          </w:tcPr>
          <w:p>
            <w:pPr>
              <w:pStyle w:val="TableParagraph"/>
              <w:spacing w:line="292" w:lineRule="auto" w:before="18"/>
              <w:ind w:left="115" w:right="162" w:hanging="8"/>
              <w:rPr>
                <w:sz w:val="20"/>
              </w:rPr>
            </w:pPr>
            <w:r>
              <w:rPr>
                <w:sz w:val="20"/>
              </w:rPr>
              <w:t>Prerequisites: MAT 118, PHY 201, ARC</w:t>
            </w:r>
            <w:r>
              <w:rPr>
                <w:spacing w:val="1"/>
                <w:sz w:val="20"/>
              </w:rPr>
              <w:t> </w:t>
            </w:r>
            <w:r>
              <w:rPr>
                <w:sz w:val="20"/>
              </w:rPr>
              <w:t>101,</w:t>
            </w:r>
            <w:r>
              <w:rPr>
                <w:spacing w:val="-2"/>
                <w:sz w:val="20"/>
              </w:rPr>
              <w:t> </w:t>
            </w:r>
            <w:r>
              <w:rPr>
                <w:sz w:val="20"/>
              </w:rPr>
              <w:t>ARC</w:t>
            </w:r>
            <w:r>
              <w:rPr>
                <w:spacing w:val="1"/>
                <w:sz w:val="20"/>
              </w:rPr>
              <w:t> </w:t>
            </w:r>
            <w:r>
              <w:rPr>
                <w:sz w:val="20"/>
              </w:rPr>
              <w:t>102,</w:t>
            </w:r>
            <w:r>
              <w:rPr>
                <w:spacing w:val="2"/>
                <w:sz w:val="20"/>
              </w:rPr>
              <w:t> </w:t>
            </w:r>
            <w:r>
              <w:rPr>
                <w:sz w:val="20"/>
              </w:rPr>
              <w:t>ARC</w:t>
            </w:r>
            <w:r>
              <w:rPr>
                <w:spacing w:val="3"/>
                <w:sz w:val="20"/>
              </w:rPr>
              <w:t> </w:t>
            </w:r>
            <w:r>
              <w:rPr>
                <w:sz w:val="20"/>
              </w:rPr>
              <w:t>200,</w:t>
            </w:r>
            <w:r>
              <w:rPr>
                <w:spacing w:val="-1"/>
                <w:sz w:val="20"/>
              </w:rPr>
              <w:t> </w:t>
            </w:r>
            <w:r>
              <w:rPr>
                <w:spacing w:val="-5"/>
                <w:sz w:val="20"/>
              </w:rPr>
              <w:t>ARC</w:t>
            </w:r>
          </w:p>
          <w:p>
            <w:pPr>
              <w:pStyle w:val="TableParagraph"/>
              <w:spacing w:before="3"/>
              <w:ind w:left="107"/>
              <w:rPr>
                <w:sz w:val="20"/>
              </w:rPr>
            </w:pPr>
            <w:r>
              <w:rPr>
                <w:sz w:val="20"/>
              </w:rPr>
              <w:t>201,</w:t>
            </w:r>
            <w:r>
              <w:rPr>
                <w:spacing w:val="-2"/>
                <w:sz w:val="20"/>
              </w:rPr>
              <w:t> </w:t>
            </w:r>
            <w:r>
              <w:rPr>
                <w:sz w:val="20"/>
              </w:rPr>
              <w:t>ARC</w:t>
            </w:r>
            <w:r>
              <w:rPr>
                <w:spacing w:val="1"/>
                <w:sz w:val="20"/>
              </w:rPr>
              <w:t> </w:t>
            </w:r>
            <w:r>
              <w:rPr>
                <w:sz w:val="20"/>
              </w:rPr>
              <w:t>202,</w:t>
            </w:r>
            <w:r>
              <w:rPr>
                <w:spacing w:val="1"/>
                <w:sz w:val="20"/>
              </w:rPr>
              <w:t> </w:t>
            </w:r>
            <w:r>
              <w:rPr>
                <w:sz w:val="20"/>
              </w:rPr>
              <w:t>ARC</w:t>
            </w:r>
            <w:r>
              <w:rPr>
                <w:spacing w:val="1"/>
                <w:sz w:val="20"/>
              </w:rPr>
              <w:t> </w:t>
            </w:r>
            <w:r>
              <w:rPr>
                <w:sz w:val="20"/>
              </w:rPr>
              <w:t>203,</w:t>
            </w:r>
            <w:r>
              <w:rPr>
                <w:spacing w:val="1"/>
                <w:sz w:val="20"/>
              </w:rPr>
              <w:t> </w:t>
            </w:r>
            <w:r>
              <w:rPr>
                <w:sz w:val="20"/>
              </w:rPr>
              <w:t>ARC</w:t>
            </w:r>
            <w:r>
              <w:rPr>
                <w:spacing w:val="1"/>
                <w:sz w:val="20"/>
              </w:rPr>
              <w:t> </w:t>
            </w:r>
            <w:r>
              <w:rPr>
                <w:spacing w:val="-4"/>
                <w:sz w:val="20"/>
              </w:rPr>
              <w:t>204,</w:t>
            </w:r>
          </w:p>
          <w:p>
            <w:pPr>
              <w:pStyle w:val="TableParagraph"/>
              <w:spacing w:before="51"/>
              <w:ind w:left="115"/>
              <w:rPr>
                <w:sz w:val="20"/>
              </w:rPr>
            </w:pPr>
            <w:r>
              <w:rPr>
                <w:sz w:val="20"/>
              </w:rPr>
              <w:t>ARC</w:t>
            </w:r>
            <w:r>
              <w:rPr>
                <w:spacing w:val="1"/>
                <w:sz w:val="20"/>
              </w:rPr>
              <w:t> </w:t>
            </w:r>
            <w:r>
              <w:rPr>
                <w:sz w:val="20"/>
              </w:rPr>
              <w:t>207,</w:t>
            </w:r>
            <w:r>
              <w:rPr>
                <w:spacing w:val="-2"/>
                <w:sz w:val="20"/>
              </w:rPr>
              <w:t> </w:t>
            </w:r>
            <w:r>
              <w:rPr>
                <w:sz w:val="20"/>
              </w:rPr>
              <w:t>ARC</w:t>
            </w:r>
            <w:r>
              <w:rPr>
                <w:spacing w:val="1"/>
                <w:sz w:val="20"/>
              </w:rPr>
              <w:t> </w:t>
            </w:r>
            <w:r>
              <w:rPr>
                <w:sz w:val="20"/>
              </w:rPr>
              <w:t>208,</w:t>
            </w:r>
            <w:r>
              <w:rPr>
                <w:spacing w:val="2"/>
                <w:sz w:val="20"/>
              </w:rPr>
              <w:t> </w:t>
            </w:r>
            <w:r>
              <w:rPr>
                <w:sz w:val="20"/>
              </w:rPr>
              <w:t>ARC</w:t>
            </w:r>
            <w:r>
              <w:rPr>
                <w:spacing w:val="3"/>
                <w:sz w:val="20"/>
              </w:rPr>
              <w:t> </w:t>
            </w:r>
            <w:r>
              <w:rPr>
                <w:sz w:val="20"/>
              </w:rPr>
              <w:t>213,</w:t>
            </w:r>
            <w:r>
              <w:rPr>
                <w:spacing w:val="-1"/>
                <w:sz w:val="20"/>
              </w:rPr>
              <w:t> </w:t>
            </w:r>
            <w:r>
              <w:rPr>
                <w:spacing w:val="-5"/>
                <w:sz w:val="20"/>
              </w:rPr>
              <w:t>ARC</w:t>
            </w:r>
          </w:p>
          <w:p>
            <w:pPr>
              <w:pStyle w:val="TableParagraph"/>
              <w:spacing w:before="53"/>
              <w:ind w:left="117"/>
              <w:rPr>
                <w:sz w:val="20"/>
              </w:rPr>
            </w:pPr>
            <w:r>
              <w:rPr>
                <w:sz w:val="20"/>
              </w:rPr>
              <w:t>GPA</w:t>
            </w:r>
            <w:r>
              <w:rPr>
                <w:spacing w:val="18"/>
                <w:sz w:val="20"/>
              </w:rPr>
              <w:t> </w:t>
            </w:r>
            <w:r>
              <w:rPr>
                <w:sz w:val="20"/>
              </w:rPr>
              <w:t>of</w:t>
            </w:r>
            <w:r>
              <w:rPr>
                <w:spacing w:val="10"/>
                <w:sz w:val="20"/>
              </w:rPr>
              <w:t> </w:t>
            </w:r>
            <w:r>
              <w:rPr>
                <w:spacing w:val="-5"/>
                <w:sz w:val="20"/>
              </w:rPr>
              <w:t>2.3</w:t>
            </w:r>
          </w:p>
        </w:tc>
      </w:tr>
      <w:tr>
        <w:trPr>
          <w:trHeight w:val="1691" w:hRule="atLeast"/>
        </w:trPr>
        <w:tc>
          <w:tcPr>
            <w:tcW w:w="6048" w:type="dxa"/>
          </w:tcPr>
          <w:p>
            <w:pPr>
              <w:pStyle w:val="TableParagraph"/>
              <w:spacing w:before="16"/>
              <w:ind w:left="115"/>
              <w:rPr>
                <w:sz w:val="20"/>
              </w:rPr>
            </w:pPr>
            <w:r>
              <w:rPr>
                <w:w w:val="95"/>
                <w:sz w:val="20"/>
              </w:rPr>
              <w:t>ARC</w:t>
            </w:r>
            <w:r>
              <w:rPr>
                <w:spacing w:val="28"/>
                <w:sz w:val="20"/>
              </w:rPr>
              <w:t> </w:t>
            </w:r>
            <w:r>
              <w:rPr>
                <w:w w:val="95"/>
                <w:sz w:val="20"/>
              </w:rPr>
              <w:t>304</w:t>
            </w:r>
            <w:r>
              <w:rPr>
                <w:spacing w:val="15"/>
                <w:sz w:val="20"/>
              </w:rPr>
              <w:t> </w:t>
            </w:r>
            <w:r>
              <w:rPr>
                <w:spacing w:val="13"/>
                <w:w w:val="95"/>
                <w:sz w:val="20"/>
              </w:rPr>
              <w:t>Intermediate</w:t>
            </w:r>
            <w:r>
              <w:rPr>
                <w:spacing w:val="39"/>
                <w:sz w:val="20"/>
              </w:rPr>
              <w:t> </w:t>
            </w:r>
            <w:r>
              <w:rPr>
                <w:spacing w:val="11"/>
                <w:w w:val="95"/>
                <w:sz w:val="20"/>
              </w:rPr>
              <w:t>Architecture</w:t>
            </w:r>
            <w:r>
              <w:rPr>
                <w:spacing w:val="31"/>
                <w:sz w:val="20"/>
              </w:rPr>
              <w:t> </w:t>
            </w:r>
            <w:r>
              <w:rPr>
                <w:w w:val="95"/>
                <w:sz w:val="20"/>
              </w:rPr>
              <w:t>Design</w:t>
            </w:r>
            <w:r>
              <w:rPr>
                <w:spacing w:val="23"/>
                <w:sz w:val="20"/>
              </w:rPr>
              <w:t> </w:t>
            </w:r>
            <w:r>
              <w:rPr>
                <w:spacing w:val="9"/>
                <w:w w:val="95"/>
                <w:sz w:val="20"/>
              </w:rPr>
              <w:t>Studio</w:t>
            </w:r>
            <w:r>
              <w:rPr>
                <w:spacing w:val="34"/>
                <w:sz w:val="20"/>
              </w:rPr>
              <w:t> </w:t>
            </w:r>
            <w:r>
              <w:rPr>
                <w:spacing w:val="-5"/>
                <w:w w:val="95"/>
                <w:sz w:val="20"/>
              </w:rPr>
              <w:t>VI</w:t>
            </w:r>
          </w:p>
        </w:tc>
        <w:tc>
          <w:tcPr>
            <w:tcW w:w="3600" w:type="dxa"/>
          </w:tcPr>
          <w:p>
            <w:pPr>
              <w:pStyle w:val="TableParagraph"/>
              <w:spacing w:line="295" w:lineRule="auto" w:before="16"/>
              <w:ind w:left="115" w:right="162" w:hanging="8"/>
              <w:rPr>
                <w:sz w:val="20"/>
              </w:rPr>
            </w:pPr>
            <w:r>
              <w:rPr>
                <w:sz w:val="20"/>
              </w:rPr>
              <w:t>Prerequisites: MAT 118, PHY 201, ARC</w:t>
            </w:r>
            <w:r>
              <w:rPr>
                <w:spacing w:val="1"/>
                <w:sz w:val="20"/>
              </w:rPr>
              <w:t> </w:t>
            </w:r>
            <w:r>
              <w:rPr>
                <w:sz w:val="20"/>
              </w:rPr>
              <w:t>101,</w:t>
            </w:r>
            <w:r>
              <w:rPr>
                <w:spacing w:val="-2"/>
                <w:sz w:val="20"/>
              </w:rPr>
              <w:t> </w:t>
            </w:r>
            <w:r>
              <w:rPr>
                <w:sz w:val="20"/>
              </w:rPr>
              <w:t>ARC</w:t>
            </w:r>
            <w:r>
              <w:rPr>
                <w:spacing w:val="1"/>
                <w:sz w:val="20"/>
              </w:rPr>
              <w:t> </w:t>
            </w:r>
            <w:r>
              <w:rPr>
                <w:sz w:val="20"/>
              </w:rPr>
              <w:t>102,</w:t>
            </w:r>
            <w:r>
              <w:rPr>
                <w:spacing w:val="2"/>
                <w:sz w:val="20"/>
              </w:rPr>
              <w:t> </w:t>
            </w:r>
            <w:r>
              <w:rPr>
                <w:sz w:val="20"/>
              </w:rPr>
              <w:t>ARC</w:t>
            </w:r>
            <w:r>
              <w:rPr>
                <w:spacing w:val="3"/>
                <w:sz w:val="20"/>
              </w:rPr>
              <w:t> </w:t>
            </w:r>
            <w:r>
              <w:rPr>
                <w:sz w:val="20"/>
              </w:rPr>
              <w:t>200,</w:t>
            </w:r>
            <w:r>
              <w:rPr>
                <w:spacing w:val="-1"/>
                <w:sz w:val="20"/>
              </w:rPr>
              <w:t> </w:t>
            </w:r>
            <w:r>
              <w:rPr>
                <w:spacing w:val="-5"/>
                <w:sz w:val="20"/>
              </w:rPr>
              <w:t>ARC</w:t>
            </w:r>
          </w:p>
          <w:p>
            <w:pPr>
              <w:pStyle w:val="TableParagraph"/>
              <w:spacing w:line="228" w:lineRule="exact"/>
              <w:ind w:left="107"/>
              <w:rPr>
                <w:sz w:val="20"/>
              </w:rPr>
            </w:pPr>
            <w:r>
              <w:rPr>
                <w:sz w:val="20"/>
              </w:rPr>
              <w:t>201,</w:t>
            </w:r>
            <w:r>
              <w:rPr>
                <w:spacing w:val="-2"/>
                <w:sz w:val="20"/>
              </w:rPr>
              <w:t> </w:t>
            </w:r>
            <w:r>
              <w:rPr>
                <w:sz w:val="20"/>
              </w:rPr>
              <w:t>ARC</w:t>
            </w:r>
            <w:r>
              <w:rPr>
                <w:spacing w:val="1"/>
                <w:sz w:val="20"/>
              </w:rPr>
              <w:t> </w:t>
            </w:r>
            <w:r>
              <w:rPr>
                <w:sz w:val="20"/>
              </w:rPr>
              <w:t>202,</w:t>
            </w:r>
            <w:r>
              <w:rPr>
                <w:spacing w:val="1"/>
                <w:sz w:val="20"/>
              </w:rPr>
              <w:t> </w:t>
            </w:r>
            <w:r>
              <w:rPr>
                <w:sz w:val="20"/>
              </w:rPr>
              <w:t>ARC</w:t>
            </w:r>
            <w:r>
              <w:rPr>
                <w:spacing w:val="1"/>
                <w:sz w:val="20"/>
              </w:rPr>
              <w:t> </w:t>
            </w:r>
            <w:r>
              <w:rPr>
                <w:sz w:val="20"/>
              </w:rPr>
              <w:t>203,</w:t>
            </w:r>
            <w:r>
              <w:rPr>
                <w:spacing w:val="1"/>
                <w:sz w:val="20"/>
              </w:rPr>
              <w:t> </w:t>
            </w:r>
            <w:r>
              <w:rPr>
                <w:sz w:val="20"/>
              </w:rPr>
              <w:t>ARC</w:t>
            </w:r>
            <w:r>
              <w:rPr>
                <w:spacing w:val="1"/>
                <w:sz w:val="20"/>
              </w:rPr>
              <w:t> </w:t>
            </w:r>
            <w:r>
              <w:rPr>
                <w:spacing w:val="-4"/>
                <w:sz w:val="20"/>
              </w:rPr>
              <w:t>204,</w:t>
            </w:r>
          </w:p>
          <w:p>
            <w:pPr>
              <w:pStyle w:val="TableParagraph"/>
              <w:spacing w:line="292" w:lineRule="auto" w:before="53"/>
              <w:ind w:left="115" w:right="162"/>
              <w:rPr>
                <w:sz w:val="20"/>
              </w:rPr>
            </w:pPr>
            <w:r>
              <w:rPr>
                <w:sz w:val="20"/>
              </w:rPr>
              <w:t>ARC 207 or ARC 208, ARC 213. ARC 303,</w:t>
            </w:r>
            <w:r>
              <w:rPr>
                <w:spacing w:val="-3"/>
                <w:sz w:val="20"/>
              </w:rPr>
              <w:t> </w:t>
            </w:r>
            <w:r>
              <w:rPr>
                <w:sz w:val="20"/>
              </w:rPr>
              <w:t>ARC 304 </w:t>
            </w:r>
            <w:r>
              <w:rPr>
                <w:spacing w:val="12"/>
                <w:sz w:val="20"/>
              </w:rPr>
              <w:t>and </w:t>
            </w:r>
            <w:r>
              <w:rPr>
                <w:sz w:val="20"/>
              </w:rPr>
              <w:t>ARC 317 or</w:t>
            </w:r>
          </w:p>
          <w:p>
            <w:pPr>
              <w:pStyle w:val="TableParagraph"/>
              <w:spacing w:before="3"/>
              <w:ind w:left="120"/>
              <w:rPr>
                <w:sz w:val="20"/>
              </w:rPr>
            </w:pPr>
            <w:r>
              <w:rPr>
                <w:spacing w:val="-2"/>
                <w:sz w:val="20"/>
              </w:rPr>
              <w:t>permission</w:t>
            </w:r>
          </w:p>
        </w:tc>
      </w:tr>
    </w:tbl>
    <w:p>
      <w:pPr>
        <w:spacing w:after="0"/>
        <w:rPr>
          <w:sz w:val="20"/>
        </w:rPr>
        <w:sectPr>
          <w:headerReference w:type="default" r:id="rId305"/>
          <w:footerReference w:type="default" r:id="rId306"/>
          <w:pgSz w:w="12240" w:h="15840"/>
          <w:pgMar w:header="0" w:footer="748" w:top="1400" w:bottom="940" w:left="1000" w:right="820"/>
        </w:sectPr>
      </w:pPr>
    </w:p>
    <w:tbl>
      <w:tblPr>
        <w:tblW w:w="0" w:type="auto"/>
        <w:jc w:val="left"/>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48"/>
        <w:gridCol w:w="3600"/>
      </w:tblGrid>
      <w:tr>
        <w:trPr>
          <w:trHeight w:val="1691" w:hRule="atLeast"/>
        </w:trPr>
        <w:tc>
          <w:tcPr>
            <w:tcW w:w="6048" w:type="dxa"/>
          </w:tcPr>
          <w:p>
            <w:pPr>
              <w:pStyle w:val="TableParagraph"/>
              <w:spacing w:before="16"/>
              <w:ind w:left="115"/>
              <w:rPr>
                <w:sz w:val="20"/>
              </w:rPr>
            </w:pPr>
            <w:r>
              <w:rPr>
                <w:w w:val="95"/>
                <w:sz w:val="20"/>
              </w:rPr>
              <w:t>ARC</w:t>
            </w:r>
            <w:r>
              <w:rPr>
                <w:spacing w:val="27"/>
                <w:sz w:val="20"/>
              </w:rPr>
              <w:t> </w:t>
            </w:r>
            <w:r>
              <w:rPr>
                <w:w w:val="95"/>
                <w:sz w:val="20"/>
              </w:rPr>
              <w:t>305</w:t>
            </w:r>
            <w:r>
              <w:rPr>
                <w:spacing w:val="15"/>
                <w:sz w:val="20"/>
              </w:rPr>
              <w:t> </w:t>
            </w:r>
            <w:r>
              <w:rPr>
                <w:spacing w:val="11"/>
                <w:w w:val="95"/>
                <w:sz w:val="20"/>
              </w:rPr>
              <w:t>International</w:t>
            </w:r>
            <w:r>
              <w:rPr>
                <w:spacing w:val="17"/>
                <w:sz w:val="20"/>
              </w:rPr>
              <w:t> </w:t>
            </w:r>
            <w:r>
              <w:rPr>
                <w:w w:val="95"/>
                <w:sz w:val="20"/>
              </w:rPr>
              <w:t>Urban</w:t>
            </w:r>
            <w:r>
              <w:rPr>
                <w:spacing w:val="23"/>
                <w:sz w:val="20"/>
              </w:rPr>
              <w:t> </w:t>
            </w:r>
            <w:r>
              <w:rPr>
                <w:w w:val="95"/>
                <w:sz w:val="20"/>
              </w:rPr>
              <w:t>Travel</w:t>
            </w:r>
            <w:r>
              <w:rPr>
                <w:spacing w:val="16"/>
                <w:sz w:val="20"/>
              </w:rPr>
              <w:t> </w:t>
            </w:r>
            <w:r>
              <w:rPr>
                <w:spacing w:val="9"/>
                <w:w w:val="95"/>
                <w:sz w:val="20"/>
              </w:rPr>
              <w:t>Studio</w:t>
            </w:r>
            <w:r>
              <w:rPr>
                <w:spacing w:val="32"/>
                <w:sz w:val="20"/>
              </w:rPr>
              <w:t> </w:t>
            </w:r>
            <w:r>
              <w:rPr>
                <w:spacing w:val="-5"/>
                <w:w w:val="95"/>
                <w:sz w:val="20"/>
              </w:rPr>
              <w:t>VII</w:t>
            </w:r>
          </w:p>
        </w:tc>
        <w:tc>
          <w:tcPr>
            <w:tcW w:w="3600" w:type="dxa"/>
          </w:tcPr>
          <w:p>
            <w:pPr>
              <w:pStyle w:val="TableParagraph"/>
              <w:spacing w:line="295" w:lineRule="auto" w:before="16"/>
              <w:ind w:left="115" w:right="162" w:hanging="8"/>
              <w:rPr>
                <w:sz w:val="20"/>
              </w:rPr>
            </w:pPr>
            <w:r>
              <w:rPr>
                <w:sz w:val="20"/>
              </w:rPr>
              <w:t>Prerequisites: MAT 118, PHY 201, ARC</w:t>
            </w:r>
            <w:r>
              <w:rPr>
                <w:spacing w:val="1"/>
                <w:sz w:val="20"/>
              </w:rPr>
              <w:t> </w:t>
            </w:r>
            <w:r>
              <w:rPr>
                <w:sz w:val="20"/>
              </w:rPr>
              <w:t>101,</w:t>
            </w:r>
            <w:r>
              <w:rPr>
                <w:spacing w:val="-2"/>
                <w:sz w:val="20"/>
              </w:rPr>
              <w:t> </w:t>
            </w:r>
            <w:r>
              <w:rPr>
                <w:sz w:val="20"/>
              </w:rPr>
              <w:t>ARC</w:t>
            </w:r>
            <w:r>
              <w:rPr>
                <w:spacing w:val="1"/>
                <w:sz w:val="20"/>
              </w:rPr>
              <w:t> </w:t>
            </w:r>
            <w:r>
              <w:rPr>
                <w:sz w:val="20"/>
              </w:rPr>
              <w:t>102,</w:t>
            </w:r>
            <w:r>
              <w:rPr>
                <w:spacing w:val="2"/>
                <w:sz w:val="20"/>
              </w:rPr>
              <w:t> </w:t>
            </w:r>
            <w:r>
              <w:rPr>
                <w:sz w:val="20"/>
              </w:rPr>
              <w:t>ARC</w:t>
            </w:r>
            <w:r>
              <w:rPr>
                <w:spacing w:val="3"/>
                <w:sz w:val="20"/>
              </w:rPr>
              <w:t> </w:t>
            </w:r>
            <w:r>
              <w:rPr>
                <w:sz w:val="20"/>
              </w:rPr>
              <w:t>200,</w:t>
            </w:r>
            <w:r>
              <w:rPr>
                <w:spacing w:val="-1"/>
                <w:sz w:val="20"/>
              </w:rPr>
              <w:t> </w:t>
            </w:r>
            <w:r>
              <w:rPr>
                <w:spacing w:val="-5"/>
                <w:sz w:val="20"/>
              </w:rPr>
              <w:t>ARC</w:t>
            </w:r>
          </w:p>
          <w:p>
            <w:pPr>
              <w:pStyle w:val="TableParagraph"/>
              <w:spacing w:line="228" w:lineRule="exact"/>
              <w:ind w:left="107"/>
              <w:rPr>
                <w:sz w:val="20"/>
              </w:rPr>
            </w:pPr>
            <w:r>
              <w:rPr>
                <w:sz w:val="20"/>
              </w:rPr>
              <w:t>201,</w:t>
            </w:r>
            <w:r>
              <w:rPr>
                <w:spacing w:val="-2"/>
                <w:sz w:val="20"/>
              </w:rPr>
              <w:t> </w:t>
            </w:r>
            <w:r>
              <w:rPr>
                <w:sz w:val="20"/>
              </w:rPr>
              <w:t>ARC</w:t>
            </w:r>
            <w:r>
              <w:rPr>
                <w:spacing w:val="1"/>
                <w:sz w:val="20"/>
              </w:rPr>
              <w:t> </w:t>
            </w:r>
            <w:r>
              <w:rPr>
                <w:sz w:val="20"/>
              </w:rPr>
              <w:t>202,</w:t>
            </w:r>
            <w:r>
              <w:rPr>
                <w:spacing w:val="1"/>
                <w:sz w:val="20"/>
              </w:rPr>
              <w:t> </w:t>
            </w:r>
            <w:r>
              <w:rPr>
                <w:sz w:val="20"/>
              </w:rPr>
              <w:t>ARC</w:t>
            </w:r>
            <w:r>
              <w:rPr>
                <w:spacing w:val="1"/>
                <w:sz w:val="20"/>
              </w:rPr>
              <w:t> </w:t>
            </w:r>
            <w:r>
              <w:rPr>
                <w:sz w:val="20"/>
              </w:rPr>
              <w:t>203,</w:t>
            </w:r>
            <w:r>
              <w:rPr>
                <w:spacing w:val="1"/>
                <w:sz w:val="20"/>
              </w:rPr>
              <w:t> </w:t>
            </w:r>
            <w:r>
              <w:rPr>
                <w:sz w:val="20"/>
              </w:rPr>
              <w:t>ARC</w:t>
            </w:r>
            <w:r>
              <w:rPr>
                <w:spacing w:val="2"/>
                <w:sz w:val="20"/>
              </w:rPr>
              <w:t> </w:t>
            </w:r>
            <w:r>
              <w:rPr>
                <w:spacing w:val="-4"/>
                <w:sz w:val="20"/>
              </w:rPr>
              <w:t>204,</w:t>
            </w:r>
          </w:p>
          <w:p>
            <w:pPr>
              <w:pStyle w:val="TableParagraph"/>
              <w:spacing w:before="53"/>
              <w:ind w:left="115"/>
              <w:rPr>
                <w:sz w:val="20"/>
              </w:rPr>
            </w:pPr>
            <w:r>
              <w:rPr>
                <w:sz w:val="20"/>
              </w:rPr>
              <w:t>ARC</w:t>
            </w:r>
            <w:r>
              <w:rPr>
                <w:spacing w:val="1"/>
                <w:sz w:val="20"/>
              </w:rPr>
              <w:t> </w:t>
            </w:r>
            <w:r>
              <w:rPr>
                <w:sz w:val="20"/>
              </w:rPr>
              <w:t>207,</w:t>
            </w:r>
            <w:r>
              <w:rPr>
                <w:spacing w:val="-2"/>
                <w:sz w:val="20"/>
              </w:rPr>
              <w:t> </w:t>
            </w:r>
            <w:r>
              <w:rPr>
                <w:sz w:val="20"/>
              </w:rPr>
              <w:t>ARC</w:t>
            </w:r>
            <w:r>
              <w:rPr>
                <w:spacing w:val="1"/>
                <w:sz w:val="20"/>
              </w:rPr>
              <w:t> </w:t>
            </w:r>
            <w:r>
              <w:rPr>
                <w:sz w:val="20"/>
              </w:rPr>
              <w:t>208,</w:t>
            </w:r>
            <w:r>
              <w:rPr>
                <w:spacing w:val="2"/>
                <w:sz w:val="20"/>
              </w:rPr>
              <w:t> </w:t>
            </w:r>
            <w:r>
              <w:rPr>
                <w:sz w:val="20"/>
              </w:rPr>
              <w:t>ARC</w:t>
            </w:r>
            <w:r>
              <w:rPr>
                <w:spacing w:val="3"/>
                <w:sz w:val="20"/>
              </w:rPr>
              <w:t> </w:t>
            </w:r>
            <w:r>
              <w:rPr>
                <w:sz w:val="20"/>
              </w:rPr>
              <w:t>213. </w:t>
            </w:r>
            <w:r>
              <w:rPr>
                <w:spacing w:val="-5"/>
                <w:sz w:val="20"/>
              </w:rPr>
              <w:t>ARC</w:t>
            </w:r>
          </w:p>
          <w:p>
            <w:pPr>
              <w:pStyle w:val="TableParagraph"/>
              <w:spacing w:before="51"/>
              <w:ind w:left="107"/>
              <w:rPr>
                <w:sz w:val="20"/>
              </w:rPr>
            </w:pPr>
            <w:r>
              <w:rPr>
                <w:sz w:val="20"/>
              </w:rPr>
              <w:t>303,</w:t>
            </w:r>
            <w:r>
              <w:rPr>
                <w:spacing w:val="1"/>
                <w:sz w:val="20"/>
              </w:rPr>
              <w:t> </w:t>
            </w:r>
            <w:r>
              <w:rPr>
                <w:sz w:val="20"/>
              </w:rPr>
              <w:t>ARC</w:t>
            </w:r>
            <w:r>
              <w:rPr>
                <w:spacing w:val="3"/>
                <w:sz w:val="20"/>
              </w:rPr>
              <w:t> </w:t>
            </w:r>
            <w:r>
              <w:rPr>
                <w:sz w:val="20"/>
              </w:rPr>
              <w:t>304</w:t>
            </w:r>
            <w:r>
              <w:rPr>
                <w:spacing w:val="5"/>
                <w:sz w:val="20"/>
              </w:rPr>
              <w:t> </w:t>
            </w:r>
            <w:r>
              <w:rPr>
                <w:spacing w:val="12"/>
                <w:sz w:val="20"/>
              </w:rPr>
              <w:t>and</w:t>
            </w:r>
            <w:r>
              <w:rPr>
                <w:spacing w:val="18"/>
                <w:sz w:val="20"/>
              </w:rPr>
              <w:t> </w:t>
            </w:r>
            <w:r>
              <w:rPr>
                <w:sz w:val="20"/>
              </w:rPr>
              <w:t>ARC</w:t>
            </w:r>
            <w:r>
              <w:rPr>
                <w:spacing w:val="3"/>
                <w:sz w:val="20"/>
              </w:rPr>
              <w:t> </w:t>
            </w:r>
            <w:r>
              <w:rPr>
                <w:sz w:val="20"/>
              </w:rPr>
              <w:t>317</w:t>
            </w:r>
            <w:r>
              <w:rPr>
                <w:spacing w:val="3"/>
                <w:sz w:val="20"/>
              </w:rPr>
              <w:t> </w:t>
            </w:r>
            <w:r>
              <w:rPr>
                <w:spacing w:val="-5"/>
                <w:sz w:val="20"/>
              </w:rPr>
              <w:t>or</w:t>
            </w:r>
          </w:p>
          <w:p>
            <w:pPr>
              <w:pStyle w:val="TableParagraph"/>
              <w:spacing w:before="53"/>
              <w:ind w:left="120"/>
              <w:rPr>
                <w:sz w:val="20"/>
              </w:rPr>
            </w:pPr>
            <w:r>
              <w:rPr>
                <w:spacing w:val="-2"/>
                <w:sz w:val="20"/>
              </w:rPr>
              <w:t>permission</w:t>
            </w:r>
          </w:p>
        </w:tc>
      </w:tr>
      <w:tr>
        <w:trPr>
          <w:trHeight w:val="1410" w:hRule="atLeast"/>
        </w:trPr>
        <w:tc>
          <w:tcPr>
            <w:tcW w:w="6048" w:type="dxa"/>
          </w:tcPr>
          <w:p>
            <w:pPr>
              <w:pStyle w:val="TableParagraph"/>
              <w:spacing w:before="16"/>
              <w:ind w:left="115"/>
              <w:rPr>
                <w:sz w:val="20"/>
              </w:rPr>
            </w:pPr>
            <w:r>
              <w:rPr>
                <w:w w:val="95"/>
                <w:sz w:val="20"/>
              </w:rPr>
              <w:t>ARC</w:t>
            </w:r>
            <w:r>
              <w:rPr>
                <w:spacing w:val="31"/>
                <w:sz w:val="20"/>
              </w:rPr>
              <w:t> </w:t>
            </w:r>
            <w:r>
              <w:rPr>
                <w:w w:val="95"/>
                <w:sz w:val="20"/>
              </w:rPr>
              <w:t>306</w:t>
            </w:r>
            <w:r>
              <w:rPr>
                <w:spacing w:val="17"/>
                <w:sz w:val="20"/>
              </w:rPr>
              <w:t> </w:t>
            </w:r>
            <w:r>
              <w:rPr>
                <w:spacing w:val="11"/>
                <w:w w:val="95"/>
                <w:sz w:val="20"/>
              </w:rPr>
              <w:t>International</w:t>
            </w:r>
            <w:r>
              <w:rPr>
                <w:spacing w:val="19"/>
                <w:sz w:val="20"/>
              </w:rPr>
              <w:t> </w:t>
            </w:r>
            <w:r>
              <w:rPr>
                <w:w w:val="95"/>
                <w:sz w:val="20"/>
              </w:rPr>
              <w:t>Urban</w:t>
            </w:r>
            <w:r>
              <w:rPr>
                <w:spacing w:val="30"/>
                <w:sz w:val="20"/>
              </w:rPr>
              <w:t> </w:t>
            </w:r>
            <w:r>
              <w:rPr>
                <w:w w:val="95"/>
                <w:sz w:val="20"/>
              </w:rPr>
              <w:t>Design</w:t>
            </w:r>
            <w:r>
              <w:rPr>
                <w:spacing w:val="26"/>
                <w:sz w:val="20"/>
              </w:rPr>
              <w:t> </w:t>
            </w:r>
            <w:r>
              <w:rPr>
                <w:spacing w:val="9"/>
                <w:w w:val="95"/>
                <w:sz w:val="20"/>
              </w:rPr>
              <w:t>Studio</w:t>
            </w:r>
            <w:r>
              <w:rPr>
                <w:spacing w:val="35"/>
                <w:sz w:val="20"/>
              </w:rPr>
              <w:t> </w:t>
            </w:r>
            <w:r>
              <w:rPr>
                <w:spacing w:val="-4"/>
                <w:w w:val="95"/>
                <w:sz w:val="20"/>
              </w:rPr>
              <w:t>VIII</w:t>
            </w:r>
          </w:p>
        </w:tc>
        <w:tc>
          <w:tcPr>
            <w:tcW w:w="3600" w:type="dxa"/>
          </w:tcPr>
          <w:p>
            <w:pPr>
              <w:pStyle w:val="TableParagraph"/>
              <w:spacing w:line="295" w:lineRule="auto" w:before="16"/>
              <w:ind w:left="115" w:right="162" w:hanging="8"/>
              <w:rPr>
                <w:sz w:val="20"/>
              </w:rPr>
            </w:pPr>
            <w:r>
              <w:rPr>
                <w:sz w:val="20"/>
              </w:rPr>
              <w:t>Prerequisites: MAT 118, PHY 201, ARC</w:t>
            </w:r>
            <w:r>
              <w:rPr>
                <w:spacing w:val="-4"/>
                <w:sz w:val="20"/>
              </w:rPr>
              <w:t> </w:t>
            </w:r>
            <w:r>
              <w:rPr>
                <w:sz w:val="20"/>
              </w:rPr>
              <w:t>101,</w:t>
            </w:r>
            <w:r>
              <w:rPr>
                <w:spacing w:val="-6"/>
                <w:sz w:val="20"/>
              </w:rPr>
              <w:t> </w:t>
            </w:r>
            <w:r>
              <w:rPr>
                <w:sz w:val="20"/>
              </w:rPr>
              <w:t>ARC</w:t>
            </w:r>
            <w:r>
              <w:rPr>
                <w:spacing w:val="-4"/>
                <w:sz w:val="20"/>
              </w:rPr>
              <w:t> </w:t>
            </w:r>
            <w:r>
              <w:rPr>
                <w:sz w:val="20"/>
              </w:rPr>
              <w:t>102,</w:t>
            </w:r>
            <w:r>
              <w:rPr>
                <w:spacing w:val="-4"/>
                <w:sz w:val="20"/>
              </w:rPr>
              <w:t> </w:t>
            </w:r>
            <w:r>
              <w:rPr>
                <w:sz w:val="20"/>
              </w:rPr>
              <w:t>ARC</w:t>
            </w:r>
            <w:r>
              <w:rPr>
                <w:spacing w:val="-1"/>
                <w:sz w:val="20"/>
              </w:rPr>
              <w:t> </w:t>
            </w:r>
            <w:r>
              <w:rPr>
                <w:sz w:val="20"/>
              </w:rPr>
              <w:t>200,</w:t>
            </w:r>
            <w:r>
              <w:rPr>
                <w:spacing w:val="-6"/>
                <w:sz w:val="20"/>
              </w:rPr>
              <w:t> </w:t>
            </w:r>
            <w:r>
              <w:rPr>
                <w:sz w:val="20"/>
              </w:rPr>
              <w:t>ARC</w:t>
            </w:r>
          </w:p>
          <w:p>
            <w:pPr>
              <w:pStyle w:val="TableParagraph"/>
              <w:spacing w:line="228" w:lineRule="exact"/>
              <w:ind w:left="107"/>
              <w:rPr>
                <w:sz w:val="20"/>
              </w:rPr>
            </w:pPr>
            <w:r>
              <w:rPr>
                <w:sz w:val="20"/>
              </w:rPr>
              <w:t>201,</w:t>
            </w:r>
            <w:r>
              <w:rPr>
                <w:spacing w:val="-1"/>
                <w:sz w:val="20"/>
              </w:rPr>
              <w:t> </w:t>
            </w:r>
            <w:r>
              <w:rPr>
                <w:sz w:val="20"/>
              </w:rPr>
              <w:t>ARC</w:t>
            </w:r>
            <w:r>
              <w:rPr>
                <w:spacing w:val="2"/>
                <w:sz w:val="20"/>
              </w:rPr>
              <w:t> </w:t>
            </w:r>
            <w:r>
              <w:rPr>
                <w:sz w:val="20"/>
              </w:rPr>
              <w:t>202,</w:t>
            </w:r>
            <w:r>
              <w:rPr>
                <w:spacing w:val="2"/>
                <w:sz w:val="20"/>
              </w:rPr>
              <w:t> </w:t>
            </w:r>
            <w:r>
              <w:rPr>
                <w:sz w:val="20"/>
              </w:rPr>
              <w:t>ARC</w:t>
            </w:r>
            <w:r>
              <w:rPr>
                <w:spacing w:val="3"/>
                <w:sz w:val="20"/>
              </w:rPr>
              <w:t> </w:t>
            </w:r>
            <w:r>
              <w:rPr>
                <w:sz w:val="20"/>
              </w:rPr>
              <w:t>203,</w:t>
            </w:r>
            <w:r>
              <w:rPr>
                <w:spacing w:val="2"/>
                <w:sz w:val="20"/>
              </w:rPr>
              <w:t> </w:t>
            </w:r>
            <w:r>
              <w:rPr>
                <w:spacing w:val="9"/>
                <w:sz w:val="20"/>
              </w:rPr>
              <w:t>arc</w:t>
            </w:r>
            <w:r>
              <w:rPr>
                <w:spacing w:val="6"/>
                <w:sz w:val="20"/>
              </w:rPr>
              <w:t> </w:t>
            </w:r>
            <w:r>
              <w:rPr>
                <w:spacing w:val="-4"/>
                <w:sz w:val="20"/>
              </w:rPr>
              <w:t>204,</w:t>
            </w:r>
          </w:p>
          <w:p>
            <w:pPr>
              <w:pStyle w:val="TableParagraph"/>
              <w:spacing w:before="53"/>
              <w:ind w:left="115"/>
              <w:rPr>
                <w:sz w:val="20"/>
              </w:rPr>
            </w:pPr>
            <w:r>
              <w:rPr>
                <w:sz w:val="20"/>
              </w:rPr>
              <w:t>ARC</w:t>
            </w:r>
            <w:r>
              <w:rPr>
                <w:spacing w:val="1"/>
                <w:sz w:val="20"/>
              </w:rPr>
              <w:t> </w:t>
            </w:r>
            <w:r>
              <w:rPr>
                <w:sz w:val="20"/>
              </w:rPr>
              <w:t>207,</w:t>
            </w:r>
            <w:r>
              <w:rPr>
                <w:spacing w:val="-2"/>
                <w:sz w:val="20"/>
              </w:rPr>
              <w:t> </w:t>
            </w:r>
            <w:r>
              <w:rPr>
                <w:sz w:val="20"/>
              </w:rPr>
              <w:t>ARC</w:t>
            </w:r>
            <w:r>
              <w:rPr>
                <w:spacing w:val="1"/>
                <w:sz w:val="20"/>
              </w:rPr>
              <w:t> </w:t>
            </w:r>
            <w:r>
              <w:rPr>
                <w:sz w:val="20"/>
              </w:rPr>
              <w:t>208,</w:t>
            </w:r>
            <w:r>
              <w:rPr>
                <w:spacing w:val="2"/>
                <w:sz w:val="20"/>
              </w:rPr>
              <w:t> </w:t>
            </w:r>
            <w:r>
              <w:rPr>
                <w:sz w:val="20"/>
              </w:rPr>
              <w:t>ARC</w:t>
            </w:r>
            <w:r>
              <w:rPr>
                <w:spacing w:val="3"/>
                <w:sz w:val="20"/>
              </w:rPr>
              <w:t> </w:t>
            </w:r>
            <w:r>
              <w:rPr>
                <w:sz w:val="20"/>
              </w:rPr>
              <w:t>213,</w:t>
            </w:r>
            <w:r>
              <w:rPr>
                <w:spacing w:val="-1"/>
                <w:sz w:val="20"/>
              </w:rPr>
              <w:t> </w:t>
            </w:r>
            <w:r>
              <w:rPr>
                <w:spacing w:val="-5"/>
                <w:sz w:val="20"/>
              </w:rPr>
              <w:t>ARC</w:t>
            </w:r>
          </w:p>
          <w:p>
            <w:pPr>
              <w:pStyle w:val="TableParagraph"/>
              <w:spacing w:before="51"/>
              <w:ind w:left="107"/>
              <w:rPr>
                <w:sz w:val="20"/>
              </w:rPr>
            </w:pPr>
            <w:r>
              <w:rPr>
                <w:sz w:val="20"/>
              </w:rPr>
              <w:t>303,</w:t>
            </w:r>
            <w:r>
              <w:rPr>
                <w:spacing w:val="-2"/>
                <w:sz w:val="20"/>
              </w:rPr>
              <w:t> </w:t>
            </w:r>
            <w:r>
              <w:rPr>
                <w:sz w:val="20"/>
              </w:rPr>
              <w:t>ARC </w:t>
            </w:r>
            <w:r>
              <w:rPr>
                <w:spacing w:val="-5"/>
                <w:sz w:val="20"/>
              </w:rPr>
              <w:t>317</w:t>
            </w:r>
          </w:p>
        </w:tc>
      </w:tr>
      <w:tr>
        <w:trPr>
          <w:trHeight w:val="350" w:hRule="atLeast"/>
        </w:trPr>
        <w:tc>
          <w:tcPr>
            <w:tcW w:w="6048" w:type="dxa"/>
          </w:tcPr>
          <w:p>
            <w:pPr>
              <w:pStyle w:val="TableParagraph"/>
              <w:spacing w:before="16"/>
              <w:ind w:left="115"/>
              <w:rPr>
                <w:sz w:val="20"/>
              </w:rPr>
            </w:pPr>
            <w:r>
              <w:rPr>
                <w:w w:val="95"/>
                <w:sz w:val="20"/>
              </w:rPr>
              <w:t>ARC</w:t>
            </w:r>
            <w:r>
              <w:rPr>
                <w:spacing w:val="7"/>
                <w:sz w:val="20"/>
              </w:rPr>
              <w:t> </w:t>
            </w:r>
            <w:r>
              <w:rPr>
                <w:w w:val="95"/>
                <w:sz w:val="20"/>
              </w:rPr>
              <w:t>309 </w:t>
            </w:r>
            <w:r>
              <w:rPr>
                <w:spacing w:val="9"/>
                <w:w w:val="95"/>
                <w:sz w:val="20"/>
              </w:rPr>
              <w:t>Structures</w:t>
            </w:r>
            <w:r>
              <w:rPr>
                <w:w w:val="95"/>
                <w:sz w:val="20"/>
              </w:rPr>
              <w:t> </w:t>
            </w:r>
            <w:r>
              <w:rPr>
                <w:spacing w:val="-10"/>
                <w:w w:val="95"/>
                <w:sz w:val="20"/>
              </w:rPr>
              <w:t>I</w:t>
            </w:r>
          </w:p>
        </w:tc>
        <w:tc>
          <w:tcPr>
            <w:tcW w:w="3600" w:type="dxa"/>
          </w:tcPr>
          <w:p>
            <w:pPr>
              <w:pStyle w:val="TableParagraph"/>
              <w:spacing w:before="16"/>
              <w:ind w:left="107"/>
              <w:rPr>
                <w:sz w:val="20"/>
              </w:rPr>
            </w:pPr>
            <w:r>
              <w:rPr>
                <w:w w:val="95"/>
                <w:sz w:val="20"/>
              </w:rPr>
              <w:t>Prerequisites:</w:t>
            </w:r>
            <w:r>
              <w:rPr>
                <w:spacing w:val="24"/>
                <w:sz w:val="20"/>
              </w:rPr>
              <w:t> </w:t>
            </w:r>
            <w:r>
              <w:rPr>
                <w:w w:val="95"/>
                <w:sz w:val="20"/>
              </w:rPr>
              <w:t>MAT</w:t>
            </w:r>
            <w:r>
              <w:rPr>
                <w:spacing w:val="20"/>
                <w:sz w:val="20"/>
              </w:rPr>
              <w:t> </w:t>
            </w:r>
            <w:r>
              <w:rPr>
                <w:w w:val="95"/>
                <w:sz w:val="20"/>
              </w:rPr>
              <w:t>118,</w:t>
            </w:r>
            <w:r>
              <w:rPr>
                <w:spacing w:val="16"/>
                <w:sz w:val="20"/>
              </w:rPr>
              <w:t> </w:t>
            </w:r>
            <w:r>
              <w:rPr>
                <w:w w:val="95"/>
                <w:sz w:val="20"/>
              </w:rPr>
              <w:t>PHY</w:t>
            </w:r>
            <w:r>
              <w:rPr>
                <w:spacing w:val="20"/>
                <w:sz w:val="20"/>
              </w:rPr>
              <w:t> </w:t>
            </w:r>
            <w:r>
              <w:rPr>
                <w:spacing w:val="-5"/>
                <w:w w:val="95"/>
                <w:sz w:val="20"/>
              </w:rPr>
              <w:t>201</w:t>
            </w:r>
          </w:p>
        </w:tc>
      </w:tr>
      <w:tr>
        <w:trPr>
          <w:trHeight w:val="575" w:hRule="atLeast"/>
        </w:trPr>
        <w:tc>
          <w:tcPr>
            <w:tcW w:w="6048" w:type="dxa"/>
          </w:tcPr>
          <w:p>
            <w:pPr>
              <w:pStyle w:val="TableParagraph"/>
              <w:spacing w:before="16"/>
              <w:ind w:left="115"/>
              <w:rPr>
                <w:sz w:val="20"/>
              </w:rPr>
            </w:pPr>
            <w:r>
              <w:rPr>
                <w:w w:val="95"/>
                <w:sz w:val="20"/>
              </w:rPr>
              <w:t>ARC</w:t>
            </w:r>
            <w:r>
              <w:rPr>
                <w:spacing w:val="7"/>
                <w:sz w:val="20"/>
              </w:rPr>
              <w:t> </w:t>
            </w:r>
            <w:r>
              <w:rPr>
                <w:w w:val="95"/>
                <w:sz w:val="20"/>
              </w:rPr>
              <w:t>310 </w:t>
            </w:r>
            <w:r>
              <w:rPr>
                <w:spacing w:val="9"/>
                <w:w w:val="95"/>
                <w:sz w:val="20"/>
              </w:rPr>
              <w:t>Structures</w:t>
            </w:r>
            <w:r>
              <w:rPr>
                <w:w w:val="95"/>
                <w:sz w:val="20"/>
              </w:rPr>
              <w:t> </w:t>
            </w:r>
            <w:r>
              <w:rPr>
                <w:spacing w:val="-5"/>
                <w:w w:val="95"/>
                <w:sz w:val="20"/>
              </w:rPr>
              <w:t>II</w:t>
            </w:r>
          </w:p>
        </w:tc>
        <w:tc>
          <w:tcPr>
            <w:tcW w:w="3600" w:type="dxa"/>
          </w:tcPr>
          <w:p>
            <w:pPr>
              <w:pStyle w:val="TableParagraph"/>
              <w:spacing w:before="16"/>
              <w:ind w:left="107"/>
              <w:rPr>
                <w:sz w:val="20"/>
              </w:rPr>
            </w:pPr>
            <w:r>
              <w:rPr>
                <w:w w:val="95"/>
                <w:sz w:val="20"/>
              </w:rPr>
              <w:t>Prerequisites:</w:t>
            </w:r>
            <w:r>
              <w:rPr>
                <w:spacing w:val="24"/>
                <w:sz w:val="20"/>
              </w:rPr>
              <w:t> </w:t>
            </w:r>
            <w:r>
              <w:rPr>
                <w:w w:val="95"/>
                <w:sz w:val="20"/>
              </w:rPr>
              <w:t>MAT</w:t>
            </w:r>
            <w:r>
              <w:rPr>
                <w:spacing w:val="20"/>
                <w:sz w:val="20"/>
              </w:rPr>
              <w:t> </w:t>
            </w:r>
            <w:r>
              <w:rPr>
                <w:w w:val="95"/>
                <w:sz w:val="20"/>
              </w:rPr>
              <w:t>118,</w:t>
            </w:r>
            <w:r>
              <w:rPr>
                <w:spacing w:val="16"/>
                <w:sz w:val="20"/>
              </w:rPr>
              <w:t> </w:t>
            </w:r>
            <w:r>
              <w:rPr>
                <w:w w:val="95"/>
                <w:sz w:val="20"/>
              </w:rPr>
              <w:t>PHY</w:t>
            </w:r>
            <w:r>
              <w:rPr>
                <w:spacing w:val="20"/>
                <w:sz w:val="20"/>
              </w:rPr>
              <w:t> </w:t>
            </w:r>
            <w:r>
              <w:rPr>
                <w:spacing w:val="-4"/>
                <w:w w:val="95"/>
                <w:sz w:val="20"/>
              </w:rPr>
              <w:t>201,</w:t>
            </w:r>
          </w:p>
          <w:p>
            <w:pPr>
              <w:pStyle w:val="TableParagraph"/>
              <w:spacing w:before="51"/>
              <w:ind w:left="115"/>
              <w:rPr>
                <w:sz w:val="20"/>
              </w:rPr>
            </w:pPr>
            <w:r>
              <w:rPr>
                <w:w w:val="95"/>
                <w:sz w:val="20"/>
              </w:rPr>
              <w:t>ARC</w:t>
            </w:r>
            <w:r>
              <w:rPr>
                <w:spacing w:val="15"/>
                <w:sz w:val="20"/>
              </w:rPr>
              <w:t> </w:t>
            </w:r>
            <w:r>
              <w:rPr>
                <w:spacing w:val="-5"/>
                <w:sz w:val="20"/>
              </w:rPr>
              <w:t>309</w:t>
            </w:r>
          </w:p>
        </w:tc>
      </w:tr>
      <w:tr>
        <w:trPr>
          <w:trHeight w:val="431" w:hRule="atLeast"/>
        </w:trPr>
        <w:tc>
          <w:tcPr>
            <w:tcW w:w="6048" w:type="dxa"/>
          </w:tcPr>
          <w:p>
            <w:pPr>
              <w:pStyle w:val="TableParagraph"/>
              <w:spacing w:before="16"/>
              <w:ind w:left="115"/>
              <w:rPr>
                <w:sz w:val="20"/>
              </w:rPr>
            </w:pPr>
            <w:r>
              <w:rPr>
                <w:w w:val="95"/>
                <w:sz w:val="20"/>
              </w:rPr>
              <w:t>ARC</w:t>
            </w:r>
            <w:r>
              <w:rPr>
                <w:spacing w:val="34"/>
                <w:sz w:val="20"/>
              </w:rPr>
              <w:t> </w:t>
            </w:r>
            <w:r>
              <w:rPr>
                <w:w w:val="95"/>
                <w:sz w:val="20"/>
              </w:rPr>
              <w:t>314</w:t>
            </w:r>
            <w:r>
              <w:rPr>
                <w:spacing w:val="21"/>
                <w:sz w:val="20"/>
              </w:rPr>
              <w:t> </w:t>
            </w:r>
            <w:r>
              <w:rPr>
                <w:w w:val="95"/>
                <w:sz w:val="20"/>
              </w:rPr>
              <w:t>Building</w:t>
            </w:r>
            <w:r>
              <w:rPr>
                <w:spacing w:val="52"/>
                <w:sz w:val="20"/>
              </w:rPr>
              <w:t> </w:t>
            </w:r>
            <w:r>
              <w:rPr>
                <w:spacing w:val="-2"/>
                <w:w w:val="95"/>
                <w:sz w:val="20"/>
              </w:rPr>
              <w:t>Assemblies</w:t>
            </w:r>
          </w:p>
        </w:tc>
        <w:tc>
          <w:tcPr>
            <w:tcW w:w="3600" w:type="dxa"/>
          </w:tcPr>
          <w:p>
            <w:pPr>
              <w:pStyle w:val="TableParagraph"/>
              <w:spacing w:before="16"/>
              <w:ind w:left="107"/>
              <w:rPr>
                <w:sz w:val="20"/>
              </w:rPr>
            </w:pPr>
            <w:r>
              <w:rPr>
                <w:w w:val="95"/>
                <w:sz w:val="20"/>
              </w:rPr>
              <w:t>Prerequisites:</w:t>
            </w:r>
            <w:r>
              <w:rPr>
                <w:spacing w:val="49"/>
                <w:sz w:val="20"/>
              </w:rPr>
              <w:t> </w:t>
            </w:r>
            <w:r>
              <w:rPr>
                <w:w w:val="95"/>
                <w:sz w:val="20"/>
              </w:rPr>
              <w:t>ARC</w:t>
            </w:r>
            <w:r>
              <w:rPr>
                <w:spacing w:val="46"/>
                <w:sz w:val="20"/>
              </w:rPr>
              <w:t> </w:t>
            </w:r>
            <w:r>
              <w:rPr>
                <w:spacing w:val="-5"/>
                <w:w w:val="95"/>
                <w:sz w:val="20"/>
              </w:rPr>
              <w:t>213</w:t>
            </w:r>
          </w:p>
        </w:tc>
      </w:tr>
      <w:tr>
        <w:trPr>
          <w:trHeight w:val="386" w:hRule="atLeast"/>
        </w:trPr>
        <w:tc>
          <w:tcPr>
            <w:tcW w:w="6048" w:type="dxa"/>
          </w:tcPr>
          <w:p>
            <w:pPr>
              <w:pStyle w:val="TableParagraph"/>
              <w:spacing w:before="16"/>
              <w:ind w:left="115"/>
              <w:rPr>
                <w:sz w:val="20"/>
              </w:rPr>
            </w:pPr>
            <w:r>
              <w:rPr>
                <w:w w:val="95"/>
                <w:sz w:val="20"/>
              </w:rPr>
              <w:t>ARC</w:t>
            </w:r>
            <w:r>
              <w:rPr>
                <w:spacing w:val="25"/>
                <w:sz w:val="20"/>
              </w:rPr>
              <w:t> </w:t>
            </w:r>
            <w:r>
              <w:rPr>
                <w:w w:val="95"/>
                <w:sz w:val="20"/>
              </w:rPr>
              <w:t>315</w:t>
            </w:r>
            <w:r>
              <w:rPr>
                <w:spacing w:val="12"/>
                <w:sz w:val="20"/>
              </w:rPr>
              <w:t> </w:t>
            </w:r>
            <w:r>
              <w:rPr>
                <w:spacing w:val="10"/>
                <w:w w:val="95"/>
                <w:sz w:val="20"/>
              </w:rPr>
              <w:t>Environmental</w:t>
            </w:r>
            <w:r>
              <w:rPr>
                <w:spacing w:val="14"/>
                <w:sz w:val="20"/>
              </w:rPr>
              <w:t> </w:t>
            </w:r>
            <w:r>
              <w:rPr>
                <w:spacing w:val="-2"/>
                <w:w w:val="95"/>
                <w:sz w:val="20"/>
              </w:rPr>
              <w:t>Systems</w:t>
            </w:r>
          </w:p>
        </w:tc>
        <w:tc>
          <w:tcPr>
            <w:tcW w:w="3600" w:type="dxa"/>
          </w:tcPr>
          <w:p>
            <w:pPr>
              <w:pStyle w:val="TableParagraph"/>
              <w:spacing w:before="16"/>
              <w:ind w:left="107"/>
              <w:rPr>
                <w:sz w:val="20"/>
              </w:rPr>
            </w:pPr>
            <w:r>
              <w:rPr>
                <w:w w:val="95"/>
                <w:sz w:val="20"/>
              </w:rPr>
              <w:t>Prerequisites:</w:t>
            </w:r>
            <w:r>
              <w:rPr>
                <w:spacing w:val="36"/>
                <w:sz w:val="20"/>
              </w:rPr>
              <w:t> </w:t>
            </w:r>
            <w:r>
              <w:rPr>
                <w:w w:val="95"/>
                <w:sz w:val="20"/>
              </w:rPr>
              <w:t>ARC</w:t>
            </w:r>
            <w:r>
              <w:rPr>
                <w:spacing w:val="33"/>
                <w:sz w:val="20"/>
              </w:rPr>
              <w:t> </w:t>
            </w:r>
            <w:r>
              <w:rPr>
                <w:w w:val="95"/>
                <w:sz w:val="20"/>
              </w:rPr>
              <w:t>200,</w:t>
            </w:r>
            <w:r>
              <w:rPr>
                <w:spacing w:val="32"/>
                <w:sz w:val="20"/>
              </w:rPr>
              <w:t> </w:t>
            </w:r>
            <w:r>
              <w:rPr>
                <w:w w:val="95"/>
                <w:sz w:val="20"/>
              </w:rPr>
              <w:t>ARC</w:t>
            </w:r>
            <w:r>
              <w:rPr>
                <w:spacing w:val="36"/>
                <w:sz w:val="20"/>
              </w:rPr>
              <w:t> </w:t>
            </w:r>
            <w:r>
              <w:rPr>
                <w:spacing w:val="-5"/>
                <w:w w:val="95"/>
                <w:sz w:val="20"/>
              </w:rPr>
              <w:t>213</w:t>
            </w:r>
          </w:p>
        </w:tc>
      </w:tr>
      <w:tr>
        <w:trPr>
          <w:trHeight w:val="366" w:hRule="atLeast"/>
        </w:trPr>
        <w:tc>
          <w:tcPr>
            <w:tcW w:w="6048" w:type="dxa"/>
          </w:tcPr>
          <w:p>
            <w:pPr>
              <w:pStyle w:val="TableParagraph"/>
              <w:spacing w:before="16"/>
              <w:ind w:left="115"/>
              <w:rPr>
                <w:sz w:val="20"/>
              </w:rPr>
            </w:pPr>
            <w:r>
              <w:rPr>
                <w:w w:val="95"/>
                <w:sz w:val="20"/>
              </w:rPr>
              <w:t>ARC</w:t>
            </w:r>
            <w:r>
              <w:rPr>
                <w:spacing w:val="31"/>
                <w:sz w:val="20"/>
              </w:rPr>
              <w:t> </w:t>
            </w:r>
            <w:r>
              <w:rPr>
                <w:w w:val="95"/>
                <w:sz w:val="20"/>
              </w:rPr>
              <w:t>317</w:t>
            </w:r>
            <w:r>
              <w:rPr>
                <w:spacing w:val="31"/>
                <w:sz w:val="20"/>
              </w:rPr>
              <w:t> </w:t>
            </w:r>
            <w:r>
              <w:rPr>
                <w:spacing w:val="11"/>
                <w:w w:val="95"/>
                <w:sz w:val="20"/>
              </w:rPr>
              <w:t>Global</w:t>
            </w:r>
            <w:r>
              <w:rPr>
                <w:spacing w:val="19"/>
                <w:sz w:val="20"/>
              </w:rPr>
              <w:t> </w:t>
            </w:r>
            <w:r>
              <w:rPr>
                <w:w w:val="95"/>
                <w:sz w:val="20"/>
              </w:rPr>
              <w:t>Theories</w:t>
            </w:r>
            <w:r>
              <w:rPr>
                <w:spacing w:val="36"/>
                <w:sz w:val="20"/>
              </w:rPr>
              <w:t> </w:t>
            </w:r>
            <w:r>
              <w:rPr>
                <w:w w:val="95"/>
                <w:sz w:val="20"/>
              </w:rPr>
              <w:t>of</w:t>
            </w:r>
            <w:r>
              <w:rPr>
                <w:spacing w:val="24"/>
                <w:sz w:val="20"/>
              </w:rPr>
              <w:t> </w:t>
            </w:r>
            <w:r>
              <w:rPr>
                <w:w w:val="95"/>
                <w:sz w:val="20"/>
              </w:rPr>
              <w:t>Urban</w:t>
            </w:r>
            <w:r>
              <w:rPr>
                <w:spacing w:val="29"/>
                <w:sz w:val="20"/>
              </w:rPr>
              <w:t> </w:t>
            </w:r>
            <w:r>
              <w:rPr>
                <w:spacing w:val="-2"/>
                <w:w w:val="95"/>
                <w:sz w:val="20"/>
              </w:rPr>
              <w:t>Design</w:t>
            </w:r>
          </w:p>
        </w:tc>
        <w:tc>
          <w:tcPr>
            <w:tcW w:w="3600" w:type="dxa"/>
          </w:tcPr>
          <w:p>
            <w:pPr>
              <w:pStyle w:val="TableParagraph"/>
              <w:spacing w:before="16"/>
              <w:ind w:left="107"/>
              <w:rPr>
                <w:sz w:val="20"/>
              </w:rPr>
            </w:pPr>
            <w:r>
              <w:rPr>
                <w:w w:val="95"/>
                <w:sz w:val="20"/>
              </w:rPr>
              <w:t>Prerequisites:</w:t>
            </w:r>
            <w:r>
              <w:rPr>
                <w:spacing w:val="31"/>
                <w:sz w:val="20"/>
              </w:rPr>
              <w:t> </w:t>
            </w:r>
            <w:r>
              <w:rPr>
                <w:w w:val="95"/>
                <w:sz w:val="20"/>
              </w:rPr>
              <w:t>ARC</w:t>
            </w:r>
            <w:r>
              <w:rPr>
                <w:spacing w:val="28"/>
                <w:sz w:val="20"/>
              </w:rPr>
              <w:t> </w:t>
            </w:r>
            <w:r>
              <w:rPr>
                <w:w w:val="95"/>
                <w:sz w:val="20"/>
              </w:rPr>
              <w:t>207</w:t>
            </w:r>
            <w:r>
              <w:rPr>
                <w:spacing w:val="31"/>
                <w:sz w:val="20"/>
              </w:rPr>
              <w:t> </w:t>
            </w:r>
            <w:r>
              <w:rPr>
                <w:w w:val="95"/>
                <w:sz w:val="20"/>
              </w:rPr>
              <w:t>or</w:t>
            </w:r>
            <w:r>
              <w:rPr>
                <w:spacing w:val="32"/>
                <w:sz w:val="20"/>
              </w:rPr>
              <w:t> </w:t>
            </w:r>
            <w:r>
              <w:rPr>
                <w:w w:val="95"/>
                <w:sz w:val="20"/>
              </w:rPr>
              <w:t>ARC</w:t>
            </w:r>
            <w:r>
              <w:rPr>
                <w:spacing w:val="31"/>
                <w:sz w:val="20"/>
              </w:rPr>
              <w:t> </w:t>
            </w:r>
            <w:r>
              <w:rPr>
                <w:spacing w:val="-5"/>
                <w:w w:val="95"/>
                <w:sz w:val="20"/>
              </w:rPr>
              <w:t>208</w:t>
            </w:r>
          </w:p>
        </w:tc>
      </w:tr>
      <w:tr>
        <w:trPr>
          <w:trHeight w:val="2255" w:hRule="atLeast"/>
        </w:trPr>
        <w:tc>
          <w:tcPr>
            <w:tcW w:w="6048" w:type="dxa"/>
          </w:tcPr>
          <w:p>
            <w:pPr>
              <w:pStyle w:val="TableParagraph"/>
              <w:spacing w:before="16"/>
              <w:ind w:left="115"/>
              <w:rPr>
                <w:sz w:val="20"/>
              </w:rPr>
            </w:pPr>
            <w:r>
              <w:rPr>
                <w:w w:val="95"/>
                <w:sz w:val="20"/>
              </w:rPr>
              <w:t>ARC</w:t>
            </w:r>
            <w:r>
              <w:rPr>
                <w:spacing w:val="30"/>
                <w:sz w:val="20"/>
              </w:rPr>
              <w:t> </w:t>
            </w:r>
            <w:r>
              <w:rPr>
                <w:w w:val="95"/>
                <w:sz w:val="20"/>
              </w:rPr>
              <w:t>405</w:t>
            </w:r>
            <w:r>
              <w:rPr>
                <w:spacing w:val="31"/>
                <w:sz w:val="20"/>
              </w:rPr>
              <w:t> </w:t>
            </w:r>
            <w:r>
              <w:rPr>
                <w:spacing w:val="17"/>
                <w:w w:val="95"/>
                <w:sz w:val="20"/>
              </w:rPr>
              <w:t>Advanced</w:t>
            </w:r>
            <w:r>
              <w:rPr>
                <w:spacing w:val="48"/>
                <w:sz w:val="20"/>
              </w:rPr>
              <w:t> </w:t>
            </w:r>
            <w:r>
              <w:rPr>
                <w:spacing w:val="11"/>
                <w:w w:val="95"/>
                <w:sz w:val="20"/>
              </w:rPr>
              <w:t>Architectural</w:t>
            </w:r>
            <w:r>
              <w:rPr>
                <w:spacing w:val="21"/>
                <w:sz w:val="20"/>
              </w:rPr>
              <w:t> </w:t>
            </w:r>
            <w:r>
              <w:rPr>
                <w:w w:val="95"/>
                <w:sz w:val="20"/>
              </w:rPr>
              <w:t>Design</w:t>
            </w:r>
            <w:r>
              <w:rPr>
                <w:spacing w:val="25"/>
                <w:sz w:val="20"/>
              </w:rPr>
              <w:t> </w:t>
            </w:r>
            <w:r>
              <w:rPr>
                <w:spacing w:val="9"/>
                <w:w w:val="95"/>
                <w:sz w:val="20"/>
              </w:rPr>
              <w:t>Studio</w:t>
            </w:r>
            <w:r>
              <w:rPr>
                <w:spacing w:val="29"/>
                <w:sz w:val="20"/>
              </w:rPr>
              <w:t> </w:t>
            </w:r>
            <w:r>
              <w:rPr>
                <w:spacing w:val="-5"/>
                <w:w w:val="95"/>
                <w:sz w:val="20"/>
              </w:rPr>
              <w:t>IX</w:t>
            </w:r>
          </w:p>
        </w:tc>
        <w:tc>
          <w:tcPr>
            <w:tcW w:w="3600" w:type="dxa"/>
          </w:tcPr>
          <w:p>
            <w:pPr>
              <w:pStyle w:val="TableParagraph"/>
              <w:spacing w:line="295" w:lineRule="auto" w:before="16"/>
              <w:ind w:left="115" w:right="162" w:hanging="8"/>
              <w:rPr>
                <w:sz w:val="20"/>
              </w:rPr>
            </w:pPr>
            <w:r>
              <w:rPr>
                <w:sz w:val="20"/>
              </w:rPr>
              <w:t>Prerequisites: MAT 118, PHY 201, ARC</w:t>
            </w:r>
            <w:r>
              <w:rPr>
                <w:spacing w:val="1"/>
                <w:sz w:val="20"/>
              </w:rPr>
              <w:t> </w:t>
            </w:r>
            <w:r>
              <w:rPr>
                <w:sz w:val="20"/>
              </w:rPr>
              <w:t>101,</w:t>
            </w:r>
            <w:r>
              <w:rPr>
                <w:spacing w:val="-2"/>
                <w:sz w:val="20"/>
              </w:rPr>
              <w:t> </w:t>
            </w:r>
            <w:r>
              <w:rPr>
                <w:sz w:val="20"/>
              </w:rPr>
              <w:t>ARC</w:t>
            </w:r>
            <w:r>
              <w:rPr>
                <w:spacing w:val="1"/>
                <w:sz w:val="20"/>
              </w:rPr>
              <w:t> </w:t>
            </w:r>
            <w:r>
              <w:rPr>
                <w:sz w:val="20"/>
              </w:rPr>
              <w:t>102,</w:t>
            </w:r>
            <w:r>
              <w:rPr>
                <w:spacing w:val="2"/>
                <w:sz w:val="20"/>
              </w:rPr>
              <w:t> </w:t>
            </w:r>
            <w:r>
              <w:rPr>
                <w:sz w:val="20"/>
              </w:rPr>
              <w:t>ARC</w:t>
            </w:r>
            <w:r>
              <w:rPr>
                <w:spacing w:val="3"/>
                <w:sz w:val="20"/>
              </w:rPr>
              <w:t> </w:t>
            </w:r>
            <w:r>
              <w:rPr>
                <w:sz w:val="20"/>
              </w:rPr>
              <w:t>200,</w:t>
            </w:r>
            <w:r>
              <w:rPr>
                <w:spacing w:val="-1"/>
                <w:sz w:val="20"/>
              </w:rPr>
              <w:t> </w:t>
            </w:r>
            <w:r>
              <w:rPr>
                <w:spacing w:val="-5"/>
                <w:sz w:val="20"/>
              </w:rPr>
              <w:t>ARC</w:t>
            </w:r>
          </w:p>
          <w:p>
            <w:pPr>
              <w:pStyle w:val="TableParagraph"/>
              <w:spacing w:line="228" w:lineRule="exact"/>
              <w:ind w:left="107"/>
              <w:rPr>
                <w:sz w:val="20"/>
              </w:rPr>
            </w:pPr>
            <w:r>
              <w:rPr>
                <w:sz w:val="20"/>
              </w:rPr>
              <w:t>201,</w:t>
            </w:r>
            <w:r>
              <w:rPr>
                <w:spacing w:val="-2"/>
                <w:sz w:val="20"/>
              </w:rPr>
              <w:t> </w:t>
            </w:r>
            <w:r>
              <w:rPr>
                <w:sz w:val="20"/>
              </w:rPr>
              <w:t>ARC</w:t>
            </w:r>
            <w:r>
              <w:rPr>
                <w:spacing w:val="1"/>
                <w:sz w:val="20"/>
              </w:rPr>
              <w:t> </w:t>
            </w:r>
            <w:r>
              <w:rPr>
                <w:sz w:val="20"/>
              </w:rPr>
              <w:t>202,</w:t>
            </w:r>
            <w:r>
              <w:rPr>
                <w:spacing w:val="1"/>
                <w:sz w:val="20"/>
              </w:rPr>
              <w:t> </w:t>
            </w:r>
            <w:r>
              <w:rPr>
                <w:sz w:val="20"/>
              </w:rPr>
              <w:t>ARC</w:t>
            </w:r>
            <w:r>
              <w:rPr>
                <w:spacing w:val="1"/>
                <w:sz w:val="20"/>
              </w:rPr>
              <w:t> </w:t>
            </w:r>
            <w:r>
              <w:rPr>
                <w:sz w:val="20"/>
              </w:rPr>
              <w:t>203,</w:t>
            </w:r>
            <w:r>
              <w:rPr>
                <w:spacing w:val="1"/>
                <w:sz w:val="20"/>
              </w:rPr>
              <w:t> </w:t>
            </w:r>
            <w:r>
              <w:rPr>
                <w:sz w:val="20"/>
              </w:rPr>
              <w:t>ARC</w:t>
            </w:r>
            <w:r>
              <w:rPr>
                <w:spacing w:val="1"/>
                <w:sz w:val="20"/>
              </w:rPr>
              <w:t> </w:t>
            </w:r>
            <w:r>
              <w:rPr>
                <w:spacing w:val="-4"/>
                <w:sz w:val="20"/>
              </w:rPr>
              <w:t>204,</w:t>
            </w:r>
          </w:p>
          <w:p>
            <w:pPr>
              <w:pStyle w:val="TableParagraph"/>
              <w:spacing w:before="53"/>
              <w:ind w:left="115"/>
              <w:rPr>
                <w:sz w:val="20"/>
              </w:rPr>
            </w:pPr>
            <w:r>
              <w:rPr>
                <w:sz w:val="20"/>
              </w:rPr>
              <w:t>ARC</w:t>
            </w:r>
            <w:r>
              <w:rPr>
                <w:spacing w:val="1"/>
                <w:sz w:val="20"/>
              </w:rPr>
              <w:t> </w:t>
            </w:r>
            <w:r>
              <w:rPr>
                <w:sz w:val="20"/>
              </w:rPr>
              <w:t>207,</w:t>
            </w:r>
            <w:r>
              <w:rPr>
                <w:spacing w:val="-2"/>
                <w:sz w:val="20"/>
              </w:rPr>
              <w:t> </w:t>
            </w:r>
            <w:r>
              <w:rPr>
                <w:sz w:val="20"/>
              </w:rPr>
              <w:t>ARC</w:t>
            </w:r>
            <w:r>
              <w:rPr>
                <w:spacing w:val="1"/>
                <w:sz w:val="20"/>
              </w:rPr>
              <w:t> </w:t>
            </w:r>
            <w:r>
              <w:rPr>
                <w:sz w:val="20"/>
              </w:rPr>
              <w:t>208,</w:t>
            </w:r>
            <w:r>
              <w:rPr>
                <w:spacing w:val="2"/>
                <w:sz w:val="20"/>
              </w:rPr>
              <w:t> </w:t>
            </w:r>
            <w:r>
              <w:rPr>
                <w:sz w:val="20"/>
              </w:rPr>
              <w:t>ARC</w:t>
            </w:r>
            <w:r>
              <w:rPr>
                <w:spacing w:val="3"/>
                <w:sz w:val="20"/>
              </w:rPr>
              <w:t> </w:t>
            </w:r>
            <w:r>
              <w:rPr>
                <w:sz w:val="20"/>
              </w:rPr>
              <w:t>213,</w:t>
            </w:r>
            <w:r>
              <w:rPr>
                <w:spacing w:val="-1"/>
                <w:sz w:val="20"/>
              </w:rPr>
              <w:t> </w:t>
            </w:r>
            <w:r>
              <w:rPr>
                <w:spacing w:val="-5"/>
                <w:sz w:val="20"/>
              </w:rPr>
              <w:t>ARC</w:t>
            </w:r>
          </w:p>
          <w:p>
            <w:pPr>
              <w:pStyle w:val="TableParagraph"/>
              <w:spacing w:before="51"/>
              <w:ind w:left="107"/>
              <w:rPr>
                <w:sz w:val="20"/>
              </w:rPr>
            </w:pPr>
            <w:r>
              <w:rPr>
                <w:sz w:val="20"/>
              </w:rPr>
              <w:t>303,</w:t>
            </w:r>
            <w:r>
              <w:rPr>
                <w:spacing w:val="-2"/>
                <w:sz w:val="20"/>
              </w:rPr>
              <w:t> </w:t>
            </w:r>
            <w:r>
              <w:rPr>
                <w:sz w:val="20"/>
              </w:rPr>
              <w:t>ARC</w:t>
            </w:r>
            <w:r>
              <w:rPr>
                <w:spacing w:val="1"/>
                <w:sz w:val="20"/>
              </w:rPr>
              <w:t> </w:t>
            </w:r>
            <w:r>
              <w:rPr>
                <w:sz w:val="20"/>
              </w:rPr>
              <w:t>304,</w:t>
            </w:r>
            <w:r>
              <w:rPr>
                <w:spacing w:val="1"/>
                <w:sz w:val="20"/>
              </w:rPr>
              <w:t> </w:t>
            </w:r>
            <w:r>
              <w:rPr>
                <w:sz w:val="20"/>
              </w:rPr>
              <w:t>ARC</w:t>
            </w:r>
            <w:r>
              <w:rPr>
                <w:spacing w:val="1"/>
                <w:sz w:val="20"/>
              </w:rPr>
              <w:t> </w:t>
            </w:r>
            <w:r>
              <w:rPr>
                <w:sz w:val="20"/>
              </w:rPr>
              <w:t>305,</w:t>
            </w:r>
            <w:r>
              <w:rPr>
                <w:spacing w:val="1"/>
                <w:sz w:val="20"/>
              </w:rPr>
              <w:t> </w:t>
            </w:r>
            <w:r>
              <w:rPr>
                <w:sz w:val="20"/>
              </w:rPr>
              <w:t>ARC</w:t>
            </w:r>
            <w:r>
              <w:rPr>
                <w:spacing w:val="1"/>
                <w:sz w:val="20"/>
              </w:rPr>
              <w:t> </w:t>
            </w:r>
            <w:r>
              <w:rPr>
                <w:spacing w:val="-4"/>
                <w:sz w:val="20"/>
              </w:rPr>
              <w:t>306,</w:t>
            </w:r>
          </w:p>
          <w:p>
            <w:pPr>
              <w:pStyle w:val="TableParagraph"/>
              <w:spacing w:before="53"/>
              <w:ind w:left="115"/>
              <w:rPr>
                <w:sz w:val="20"/>
              </w:rPr>
            </w:pPr>
            <w:r>
              <w:rPr>
                <w:sz w:val="20"/>
              </w:rPr>
              <w:t>ARC</w:t>
            </w:r>
            <w:r>
              <w:rPr>
                <w:spacing w:val="1"/>
                <w:sz w:val="20"/>
              </w:rPr>
              <w:t> </w:t>
            </w:r>
            <w:r>
              <w:rPr>
                <w:sz w:val="20"/>
              </w:rPr>
              <w:t>309,</w:t>
            </w:r>
            <w:r>
              <w:rPr>
                <w:spacing w:val="-2"/>
                <w:sz w:val="20"/>
              </w:rPr>
              <w:t> </w:t>
            </w:r>
            <w:r>
              <w:rPr>
                <w:sz w:val="20"/>
              </w:rPr>
              <w:t>ARC</w:t>
            </w:r>
            <w:r>
              <w:rPr>
                <w:spacing w:val="1"/>
                <w:sz w:val="20"/>
              </w:rPr>
              <w:t> </w:t>
            </w:r>
            <w:r>
              <w:rPr>
                <w:sz w:val="20"/>
              </w:rPr>
              <w:t>310,</w:t>
            </w:r>
            <w:r>
              <w:rPr>
                <w:spacing w:val="2"/>
                <w:sz w:val="20"/>
              </w:rPr>
              <w:t> </w:t>
            </w:r>
            <w:r>
              <w:rPr>
                <w:sz w:val="20"/>
              </w:rPr>
              <w:t>ARC</w:t>
            </w:r>
            <w:r>
              <w:rPr>
                <w:spacing w:val="3"/>
                <w:sz w:val="20"/>
              </w:rPr>
              <w:t> </w:t>
            </w:r>
            <w:r>
              <w:rPr>
                <w:sz w:val="20"/>
              </w:rPr>
              <w:t>314,</w:t>
            </w:r>
            <w:r>
              <w:rPr>
                <w:spacing w:val="-1"/>
                <w:sz w:val="20"/>
              </w:rPr>
              <w:t> </w:t>
            </w:r>
            <w:r>
              <w:rPr>
                <w:spacing w:val="-5"/>
                <w:sz w:val="20"/>
              </w:rPr>
              <w:t>ARC</w:t>
            </w:r>
          </w:p>
          <w:p>
            <w:pPr>
              <w:pStyle w:val="TableParagraph"/>
              <w:spacing w:before="51"/>
              <w:ind w:left="107"/>
              <w:rPr>
                <w:sz w:val="20"/>
              </w:rPr>
            </w:pPr>
            <w:r>
              <w:rPr>
                <w:sz w:val="20"/>
              </w:rPr>
              <w:t>315,</w:t>
            </w:r>
            <w:r>
              <w:rPr>
                <w:spacing w:val="-2"/>
                <w:sz w:val="20"/>
              </w:rPr>
              <w:t> </w:t>
            </w:r>
            <w:r>
              <w:rPr>
                <w:sz w:val="20"/>
              </w:rPr>
              <w:t>ARC </w:t>
            </w:r>
            <w:r>
              <w:rPr>
                <w:spacing w:val="-5"/>
                <w:sz w:val="20"/>
              </w:rPr>
              <w:t>317</w:t>
            </w:r>
          </w:p>
          <w:p>
            <w:pPr>
              <w:pStyle w:val="TableParagraph"/>
              <w:spacing w:before="53"/>
              <w:ind w:left="116"/>
              <w:rPr>
                <w:sz w:val="20"/>
              </w:rPr>
            </w:pPr>
            <w:r>
              <w:rPr>
                <w:w w:val="95"/>
                <w:sz w:val="20"/>
              </w:rPr>
              <w:t>Co-requisite:</w:t>
            </w:r>
            <w:r>
              <w:rPr>
                <w:spacing w:val="65"/>
                <w:sz w:val="20"/>
              </w:rPr>
              <w:t>  </w:t>
            </w:r>
            <w:r>
              <w:rPr>
                <w:spacing w:val="-2"/>
                <w:w w:val="95"/>
                <w:sz w:val="20"/>
              </w:rPr>
              <w:t>ARC517</w:t>
            </w:r>
          </w:p>
        </w:tc>
      </w:tr>
      <w:tr>
        <w:trPr>
          <w:trHeight w:val="2258" w:hRule="atLeast"/>
        </w:trPr>
        <w:tc>
          <w:tcPr>
            <w:tcW w:w="6048" w:type="dxa"/>
          </w:tcPr>
          <w:p>
            <w:pPr>
              <w:pStyle w:val="TableParagraph"/>
              <w:spacing w:before="18"/>
              <w:ind w:left="115"/>
              <w:rPr>
                <w:sz w:val="20"/>
              </w:rPr>
            </w:pPr>
            <w:r>
              <w:rPr>
                <w:w w:val="95"/>
                <w:sz w:val="20"/>
              </w:rPr>
              <w:t>ARC</w:t>
            </w:r>
            <w:r>
              <w:rPr>
                <w:spacing w:val="30"/>
                <w:sz w:val="20"/>
              </w:rPr>
              <w:t> </w:t>
            </w:r>
            <w:r>
              <w:rPr>
                <w:w w:val="95"/>
                <w:sz w:val="20"/>
              </w:rPr>
              <w:t>406</w:t>
            </w:r>
            <w:r>
              <w:rPr>
                <w:spacing w:val="31"/>
                <w:sz w:val="20"/>
              </w:rPr>
              <w:t> </w:t>
            </w:r>
            <w:r>
              <w:rPr>
                <w:spacing w:val="17"/>
                <w:w w:val="95"/>
                <w:sz w:val="20"/>
              </w:rPr>
              <w:t>Advanced</w:t>
            </w:r>
            <w:r>
              <w:rPr>
                <w:spacing w:val="48"/>
                <w:sz w:val="20"/>
              </w:rPr>
              <w:t> </w:t>
            </w:r>
            <w:r>
              <w:rPr>
                <w:spacing w:val="11"/>
                <w:w w:val="95"/>
                <w:sz w:val="20"/>
              </w:rPr>
              <w:t>Architectural</w:t>
            </w:r>
            <w:r>
              <w:rPr>
                <w:spacing w:val="21"/>
                <w:sz w:val="20"/>
              </w:rPr>
              <w:t> </w:t>
            </w:r>
            <w:r>
              <w:rPr>
                <w:w w:val="95"/>
                <w:sz w:val="20"/>
              </w:rPr>
              <w:t>Design</w:t>
            </w:r>
            <w:r>
              <w:rPr>
                <w:spacing w:val="25"/>
                <w:sz w:val="20"/>
              </w:rPr>
              <w:t> </w:t>
            </w:r>
            <w:r>
              <w:rPr>
                <w:spacing w:val="9"/>
                <w:w w:val="95"/>
                <w:sz w:val="20"/>
              </w:rPr>
              <w:t>Studio</w:t>
            </w:r>
            <w:r>
              <w:rPr>
                <w:spacing w:val="29"/>
                <w:sz w:val="20"/>
              </w:rPr>
              <w:t> </w:t>
            </w:r>
            <w:r>
              <w:rPr>
                <w:spacing w:val="-10"/>
                <w:w w:val="95"/>
                <w:sz w:val="20"/>
              </w:rPr>
              <w:t>X</w:t>
            </w:r>
          </w:p>
        </w:tc>
        <w:tc>
          <w:tcPr>
            <w:tcW w:w="3600" w:type="dxa"/>
          </w:tcPr>
          <w:p>
            <w:pPr>
              <w:pStyle w:val="TableParagraph"/>
              <w:spacing w:line="292" w:lineRule="auto" w:before="18"/>
              <w:ind w:left="115" w:right="162" w:hanging="8"/>
              <w:rPr>
                <w:sz w:val="20"/>
              </w:rPr>
            </w:pPr>
            <w:r>
              <w:rPr>
                <w:sz w:val="20"/>
              </w:rPr>
              <w:t>Prerequisites: MAT 118, PHY 201, ARC</w:t>
            </w:r>
            <w:r>
              <w:rPr>
                <w:spacing w:val="1"/>
                <w:sz w:val="20"/>
              </w:rPr>
              <w:t> </w:t>
            </w:r>
            <w:r>
              <w:rPr>
                <w:sz w:val="20"/>
              </w:rPr>
              <w:t>101,</w:t>
            </w:r>
            <w:r>
              <w:rPr>
                <w:spacing w:val="-2"/>
                <w:sz w:val="20"/>
              </w:rPr>
              <w:t> </w:t>
            </w:r>
            <w:r>
              <w:rPr>
                <w:sz w:val="20"/>
              </w:rPr>
              <w:t>ARC</w:t>
            </w:r>
            <w:r>
              <w:rPr>
                <w:spacing w:val="1"/>
                <w:sz w:val="20"/>
              </w:rPr>
              <w:t> </w:t>
            </w:r>
            <w:r>
              <w:rPr>
                <w:sz w:val="20"/>
              </w:rPr>
              <w:t>102,</w:t>
            </w:r>
            <w:r>
              <w:rPr>
                <w:spacing w:val="2"/>
                <w:sz w:val="20"/>
              </w:rPr>
              <w:t> </w:t>
            </w:r>
            <w:r>
              <w:rPr>
                <w:sz w:val="20"/>
              </w:rPr>
              <w:t>ARC</w:t>
            </w:r>
            <w:r>
              <w:rPr>
                <w:spacing w:val="3"/>
                <w:sz w:val="20"/>
              </w:rPr>
              <w:t> </w:t>
            </w:r>
            <w:r>
              <w:rPr>
                <w:sz w:val="20"/>
              </w:rPr>
              <w:t>200,</w:t>
            </w:r>
            <w:r>
              <w:rPr>
                <w:spacing w:val="-1"/>
                <w:sz w:val="20"/>
              </w:rPr>
              <w:t> </w:t>
            </w:r>
            <w:r>
              <w:rPr>
                <w:spacing w:val="-5"/>
                <w:sz w:val="20"/>
              </w:rPr>
              <w:t>ARC</w:t>
            </w:r>
          </w:p>
          <w:p>
            <w:pPr>
              <w:pStyle w:val="TableParagraph"/>
              <w:spacing w:before="3"/>
              <w:ind w:left="107"/>
              <w:rPr>
                <w:sz w:val="20"/>
              </w:rPr>
            </w:pPr>
            <w:r>
              <w:rPr>
                <w:sz w:val="20"/>
              </w:rPr>
              <w:t>201,</w:t>
            </w:r>
            <w:r>
              <w:rPr>
                <w:spacing w:val="-2"/>
                <w:sz w:val="20"/>
              </w:rPr>
              <w:t> </w:t>
            </w:r>
            <w:r>
              <w:rPr>
                <w:sz w:val="20"/>
              </w:rPr>
              <w:t>ARC</w:t>
            </w:r>
            <w:r>
              <w:rPr>
                <w:spacing w:val="1"/>
                <w:sz w:val="20"/>
              </w:rPr>
              <w:t> </w:t>
            </w:r>
            <w:r>
              <w:rPr>
                <w:sz w:val="20"/>
              </w:rPr>
              <w:t>202,</w:t>
            </w:r>
            <w:r>
              <w:rPr>
                <w:spacing w:val="1"/>
                <w:sz w:val="20"/>
              </w:rPr>
              <w:t> </w:t>
            </w:r>
            <w:r>
              <w:rPr>
                <w:sz w:val="20"/>
              </w:rPr>
              <w:t>ARC</w:t>
            </w:r>
            <w:r>
              <w:rPr>
                <w:spacing w:val="1"/>
                <w:sz w:val="20"/>
              </w:rPr>
              <w:t> </w:t>
            </w:r>
            <w:r>
              <w:rPr>
                <w:sz w:val="20"/>
              </w:rPr>
              <w:t>203,</w:t>
            </w:r>
            <w:r>
              <w:rPr>
                <w:spacing w:val="1"/>
                <w:sz w:val="20"/>
              </w:rPr>
              <w:t> </w:t>
            </w:r>
            <w:r>
              <w:rPr>
                <w:sz w:val="20"/>
              </w:rPr>
              <w:t>ARC</w:t>
            </w:r>
            <w:r>
              <w:rPr>
                <w:spacing w:val="1"/>
                <w:sz w:val="20"/>
              </w:rPr>
              <w:t> </w:t>
            </w:r>
            <w:r>
              <w:rPr>
                <w:spacing w:val="-4"/>
                <w:sz w:val="20"/>
              </w:rPr>
              <w:t>204,</w:t>
            </w:r>
          </w:p>
          <w:p>
            <w:pPr>
              <w:pStyle w:val="TableParagraph"/>
              <w:spacing w:before="51"/>
              <w:ind w:left="115"/>
              <w:rPr>
                <w:sz w:val="20"/>
              </w:rPr>
            </w:pPr>
            <w:r>
              <w:rPr>
                <w:sz w:val="20"/>
              </w:rPr>
              <w:t>ARC</w:t>
            </w:r>
            <w:r>
              <w:rPr>
                <w:spacing w:val="1"/>
                <w:sz w:val="20"/>
              </w:rPr>
              <w:t> </w:t>
            </w:r>
            <w:r>
              <w:rPr>
                <w:sz w:val="20"/>
              </w:rPr>
              <w:t>207,</w:t>
            </w:r>
            <w:r>
              <w:rPr>
                <w:spacing w:val="-2"/>
                <w:sz w:val="20"/>
              </w:rPr>
              <w:t> </w:t>
            </w:r>
            <w:r>
              <w:rPr>
                <w:sz w:val="20"/>
              </w:rPr>
              <w:t>ARC</w:t>
            </w:r>
            <w:r>
              <w:rPr>
                <w:spacing w:val="1"/>
                <w:sz w:val="20"/>
              </w:rPr>
              <w:t> </w:t>
            </w:r>
            <w:r>
              <w:rPr>
                <w:sz w:val="20"/>
              </w:rPr>
              <w:t>208,</w:t>
            </w:r>
            <w:r>
              <w:rPr>
                <w:spacing w:val="2"/>
                <w:sz w:val="20"/>
              </w:rPr>
              <w:t> </w:t>
            </w:r>
            <w:r>
              <w:rPr>
                <w:sz w:val="20"/>
              </w:rPr>
              <w:t>ARC</w:t>
            </w:r>
            <w:r>
              <w:rPr>
                <w:spacing w:val="3"/>
                <w:sz w:val="20"/>
              </w:rPr>
              <w:t> </w:t>
            </w:r>
            <w:r>
              <w:rPr>
                <w:sz w:val="20"/>
              </w:rPr>
              <w:t>213,</w:t>
            </w:r>
            <w:r>
              <w:rPr>
                <w:spacing w:val="-1"/>
                <w:sz w:val="20"/>
              </w:rPr>
              <w:t> </w:t>
            </w:r>
            <w:r>
              <w:rPr>
                <w:spacing w:val="-5"/>
                <w:sz w:val="20"/>
              </w:rPr>
              <w:t>ARC</w:t>
            </w:r>
          </w:p>
          <w:p>
            <w:pPr>
              <w:pStyle w:val="TableParagraph"/>
              <w:spacing w:before="53"/>
              <w:ind w:left="107"/>
              <w:rPr>
                <w:sz w:val="20"/>
              </w:rPr>
            </w:pPr>
            <w:r>
              <w:rPr>
                <w:sz w:val="20"/>
              </w:rPr>
              <w:t>303,</w:t>
            </w:r>
            <w:r>
              <w:rPr>
                <w:spacing w:val="-2"/>
                <w:sz w:val="20"/>
              </w:rPr>
              <w:t> </w:t>
            </w:r>
            <w:r>
              <w:rPr>
                <w:sz w:val="20"/>
              </w:rPr>
              <w:t>ARC</w:t>
            </w:r>
            <w:r>
              <w:rPr>
                <w:spacing w:val="1"/>
                <w:sz w:val="20"/>
              </w:rPr>
              <w:t> </w:t>
            </w:r>
            <w:r>
              <w:rPr>
                <w:sz w:val="20"/>
              </w:rPr>
              <w:t>304,</w:t>
            </w:r>
            <w:r>
              <w:rPr>
                <w:spacing w:val="1"/>
                <w:sz w:val="20"/>
              </w:rPr>
              <w:t> </w:t>
            </w:r>
            <w:r>
              <w:rPr>
                <w:sz w:val="20"/>
              </w:rPr>
              <w:t>ARC</w:t>
            </w:r>
            <w:r>
              <w:rPr>
                <w:spacing w:val="1"/>
                <w:sz w:val="20"/>
              </w:rPr>
              <w:t> </w:t>
            </w:r>
            <w:r>
              <w:rPr>
                <w:sz w:val="20"/>
              </w:rPr>
              <w:t>305,</w:t>
            </w:r>
            <w:r>
              <w:rPr>
                <w:spacing w:val="1"/>
                <w:sz w:val="20"/>
              </w:rPr>
              <w:t> </w:t>
            </w:r>
            <w:r>
              <w:rPr>
                <w:sz w:val="20"/>
              </w:rPr>
              <w:t>ARC</w:t>
            </w:r>
            <w:r>
              <w:rPr>
                <w:spacing w:val="1"/>
                <w:sz w:val="20"/>
              </w:rPr>
              <w:t> </w:t>
            </w:r>
            <w:r>
              <w:rPr>
                <w:spacing w:val="-4"/>
                <w:sz w:val="20"/>
              </w:rPr>
              <w:t>306,</w:t>
            </w:r>
          </w:p>
          <w:p>
            <w:pPr>
              <w:pStyle w:val="TableParagraph"/>
              <w:spacing w:before="51"/>
              <w:ind w:left="115"/>
              <w:rPr>
                <w:sz w:val="20"/>
              </w:rPr>
            </w:pPr>
            <w:r>
              <w:rPr>
                <w:sz w:val="20"/>
              </w:rPr>
              <w:t>ARC</w:t>
            </w:r>
            <w:r>
              <w:rPr>
                <w:spacing w:val="1"/>
                <w:sz w:val="20"/>
              </w:rPr>
              <w:t> </w:t>
            </w:r>
            <w:r>
              <w:rPr>
                <w:sz w:val="20"/>
              </w:rPr>
              <w:t>309,</w:t>
            </w:r>
            <w:r>
              <w:rPr>
                <w:spacing w:val="-2"/>
                <w:sz w:val="20"/>
              </w:rPr>
              <w:t> </w:t>
            </w:r>
            <w:r>
              <w:rPr>
                <w:sz w:val="20"/>
              </w:rPr>
              <w:t>ARC</w:t>
            </w:r>
            <w:r>
              <w:rPr>
                <w:spacing w:val="1"/>
                <w:sz w:val="20"/>
              </w:rPr>
              <w:t> </w:t>
            </w:r>
            <w:r>
              <w:rPr>
                <w:sz w:val="20"/>
              </w:rPr>
              <w:t>310,</w:t>
            </w:r>
            <w:r>
              <w:rPr>
                <w:spacing w:val="2"/>
                <w:sz w:val="20"/>
              </w:rPr>
              <w:t> </w:t>
            </w:r>
            <w:r>
              <w:rPr>
                <w:sz w:val="20"/>
              </w:rPr>
              <w:t>ARC</w:t>
            </w:r>
            <w:r>
              <w:rPr>
                <w:spacing w:val="3"/>
                <w:sz w:val="20"/>
              </w:rPr>
              <w:t> </w:t>
            </w:r>
            <w:r>
              <w:rPr>
                <w:sz w:val="20"/>
              </w:rPr>
              <w:t>314,</w:t>
            </w:r>
            <w:r>
              <w:rPr>
                <w:spacing w:val="-1"/>
                <w:sz w:val="20"/>
              </w:rPr>
              <w:t> </w:t>
            </w:r>
            <w:r>
              <w:rPr>
                <w:spacing w:val="-5"/>
                <w:sz w:val="20"/>
              </w:rPr>
              <w:t>ARC</w:t>
            </w:r>
          </w:p>
          <w:p>
            <w:pPr>
              <w:pStyle w:val="TableParagraph"/>
              <w:spacing w:before="54"/>
              <w:ind w:left="107"/>
              <w:rPr>
                <w:sz w:val="20"/>
              </w:rPr>
            </w:pPr>
            <w:r>
              <w:rPr>
                <w:sz w:val="20"/>
              </w:rPr>
              <w:t>315,</w:t>
            </w:r>
            <w:r>
              <w:rPr>
                <w:spacing w:val="-2"/>
                <w:sz w:val="20"/>
              </w:rPr>
              <w:t> </w:t>
            </w:r>
            <w:r>
              <w:rPr>
                <w:sz w:val="20"/>
              </w:rPr>
              <w:t>ARC 317,</w:t>
            </w:r>
            <w:r>
              <w:rPr>
                <w:spacing w:val="1"/>
                <w:sz w:val="20"/>
              </w:rPr>
              <w:t> </w:t>
            </w:r>
            <w:r>
              <w:rPr>
                <w:sz w:val="20"/>
              </w:rPr>
              <w:t>ARC</w:t>
            </w:r>
            <w:r>
              <w:rPr>
                <w:spacing w:val="1"/>
                <w:sz w:val="20"/>
              </w:rPr>
              <w:t> </w:t>
            </w:r>
            <w:r>
              <w:rPr>
                <w:spacing w:val="-5"/>
                <w:sz w:val="20"/>
              </w:rPr>
              <w:t>405</w:t>
            </w:r>
          </w:p>
          <w:p>
            <w:pPr>
              <w:pStyle w:val="TableParagraph"/>
              <w:spacing w:before="50"/>
              <w:ind w:left="116"/>
              <w:rPr>
                <w:sz w:val="20"/>
              </w:rPr>
            </w:pPr>
            <w:r>
              <w:rPr>
                <w:w w:val="95"/>
                <w:sz w:val="20"/>
              </w:rPr>
              <w:t>Co-requisite:</w:t>
            </w:r>
            <w:r>
              <w:rPr>
                <w:spacing w:val="65"/>
                <w:sz w:val="20"/>
              </w:rPr>
              <w:t>  </w:t>
            </w:r>
            <w:r>
              <w:rPr>
                <w:spacing w:val="-2"/>
                <w:w w:val="95"/>
                <w:sz w:val="20"/>
              </w:rPr>
              <w:t>ARC518</w:t>
            </w:r>
          </w:p>
        </w:tc>
      </w:tr>
      <w:tr>
        <w:trPr>
          <w:trHeight w:val="575" w:hRule="atLeast"/>
        </w:trPr>
        <w:tc>
          <w:tcPr>
            <w:tcW w:w="6048" w:type="dxa"/>
          </w:tcPr>
          <w:p>
            <w:pPr>
              <w:pStyle w:val="TableParagraph"/>
              <w:spacing w:before="16"/>
              <w:ind w:left="115"/>
              <w:rPr>
                <w:sz w:val="20"/>
              </w:rPr>
            </w:pPr>
            <w:r>
              <w:rPr>
                <w:w w:val="95"/>
                <w:sz w:val="20"/>
              </w:rPr>
              <w:t>ARC</w:t>
            </w:r>
            <w:r>
              <w:rPr>
                <w:spacing w:val="34"/>
                <w:sz w:val="20"/>
              </w:rPr>
              <w:t> </w:t>
            </w:r>
            <w:r>
              <w:rPr>
                <w:w w:val="95"/>
                <w:sz w:val="20"/>
              </w:rPr>
              <w:t>411</w:t>
            </w:r>
            <w:r>
              <w:rPr>
                <w:spacing w:val="34"/>
                <w:sz w:val="20"/>
              </w:rPr>
              <w:t> </w:t>
            </w:r>
            <w:r>
              <w:rPr>
                <w:spacing w:val="11"/>
                <w:w w:val="95"/>
                <w:sz w:val="20"/>
              </w:rPr>
              <w:t>Architectural</w:t>
            </w:r>
            <w:r>
              <w:rPr>
                <w:spacing w:val="39"/>
                <w:sz w:val="20"/>
              </w:rPr>
              <w:t> </w:t>
            </w:r>
            <w:r>
              <w:rPr>
                <w:spacing w:val="12"/>
                <w:w w:val="95"/>
                <w:sz w:val="20"/>
              </w:rPr>
              <w:t>and</w:t>
            </w:r>
            <w:r>
              <w:rPr>
                <w:spacing w:val="38"/>
                <w:sz w:val="20"/>
              </w:rPr>
              <w:t> </w:t>
            </w:r>
            <w:r>
              <w:rPr>
                <w:spacing w:val="10"/>
                <w:w w:val="95"/>
                <w:sz w:val="20"/>
              </w:rPr>
              <w:t>Environmental</w:t>
            </w:r>
            <w:r>
              <w:rPr>
                <w:spacing w:val="25"/>
                <w:sz w:val="20"/>
              </w:rPr>
              <w:t> </w:t>
            </w:r>
            <w:r>
              <w:rPr>
                <w:w w:val="95"/>
                <w:sz w:val="20"/>
              </w:rPr>
              <w:t>Design</w:t>
            </w:r>
            <w:r>
              <w:rPr>
                <w:spacing w:val="28"/>
                <w:sz w:val="20"/>
              </w:rPr>
              <w:t> </w:t>
            </w:r>
            <w:r>
              <w:rPr>
                <w:w w:val="95"/>
                <w:sz w:val="20"/>
              </w:rPr>
              <w:t>Theory</w:t>
            </w:r>
            <w:r>
              <w:rPr>
                <w:spacing w:val="25"/>
                <w:sz w:val="20"/>
              </w:rPr>
              <w:t> </w:t>
            </w:r>
            <w:r>
              <w:rPr>
                <w:spacing w:val="-5"/>
                <w:w w:val="95"/>
                <w:sz w:val="20"/>
              </w:rPr>
              <w:t>II</w:t>
            </w:r>
          </w:p>
        </w:tc>
        <w:tc>
          <w:tcPr>
            <w:tcW w:w="3600" w:type="dxa"/>
          </w:tcPr>
          <w:p>
            <w:pPr>
              <w:pStyle w:val="TableParagraph"/>
              <w:spacing w:before="16"/>
              <w:ind w:left="107"/>
              <w:rPr>
                <w:sz w:val="20"/>
              </w:rPr>
            </w:pPr>
            <w:r>
              <w:rPr>
                <w:w w:val="95"/>
                <w:sz w:val="20"/>
              </w:rPr>
              <w:t>Prerequisites:</w:t>
            </w:r>
            <w:r>
              <w:rPr>
                <w:spacing w:val="36"/>
                <w:sz w:val="20"/>
              </w:rPr>
              <w:t> </w:t>
            </w:r>
            <w:r>
              <w:rPr>
                <w:w w:val="95"/>
                <w:sz w:val="20"/>
              </w:rPr>
              <w:t>ARC</w:t>
            </w:r>
            <w:r>
              <w:rPr>
                <w:spacing w:val="33"/>
                <w:sz w:val="20"/>
              </w:rPr>
              <w:t> </w:t>
            </w:r>
            <w:r>
              <w:rPr>
                <w:w w:val="95"/>
                <w:sz w:val="20"/>
              </w:rPr>
              <w:t>207,</w:t>
            </w:r>
            <w:r>
              <w:rPr>
                <w:spacing w:val="32"/>
                <w:sz w:val="20"/>
              </w:rPr>
              <w:t> </w:t>
            </w:r>
            <w:r>
              <w:rPr>
                <w:w w:val="95"/>
                <w:sz w:val="20"/>
              </w:rPr>
              <w:t>ARC</w:t>
            </w:r>
            <w:r>
              <w:rPr>
                <w:spacing w:val="36"/>
                <w:sz w:val="20"/>
              </w:rPr>
              <w:t> </w:t>
            </w:r>
            <w:r>
              <w:rPr>
                <w:spacing w:val="-4"/>
                <w:w w:val="95"/>
                <w:sz w:val="20"/>
              </w:rPr>
              <w:t>208,</w:t>
            </w:r>
          </w:p>
          <w:p>
            <w:pPr>
              <w:pStyle w:val="TableParagraph"/>
              <w:spacing w:before="51"/>
              <w:ind w:left="115"/>
              <w:rPr>
                <w:sz w:val="20"/>
              </w:rPr>
            </w:pPr>
            <w:r>
              <w:rPr>
                <w:w w:val="95"/>
                <w:sz w:val="20"/>
              </w:rPr>
              <w:t>ARC</w:t>
            </w:r>
            <w:r>
              <w:rPr>
                <w:spacing w:val="15"/>
                <w:sz w:val="20"/>
              </w:rPr>
              <w:t> </w:t>
            </w:r>
            <w:r>
              <w:rPr>
                <w:spacing w:val="-5"/>
                <w:sz w:val="20"/>
              </w:rPr>
              <w:t>317</w:t>
            </w:r>
          </w:p>
        </w:tc>
      </w:tr>
      <w:tr>
        <w:trPr>
          <w:trHeight w:val="844" w:hRule="atLeast"/>
        </w:trPr>
        <w:tc>
          <w:tcPr>
            <w:tcW w:w="6048" w:type="dxa"/>
          </w:tcPr>
          <w:p>
            <w:pPr>
              <w:pStyle w:val="TableParagraph"/>
              <w:spacing w:before="16"/>
              <w:ind w:left="115"/>
              <w:rPr>
                <w:sz w:val="20"/>
              </w:rPr>
            </w:pPr>
            <w:r>
              <w:rPr>
                <w:w w:val="95"/>
                <w:sz w:val="20"/>
              </w:rPr>
              <w:t>ARC</w:t>
            </w:r>
            <w:r>
              <w:rPr>
                <w:spacing w:val="25"/>
                <w:sz w:val="20"/>
              </w:rPr>
              <w:t> </w:t>
            </w:r>
            <w:r>
              <w:rPr>
                <w:w w:val="95"/>
                <w:sz w:val="20"/>
              </w:rPr>
              <w:t>414</w:t>
            </w:r>
            <w:r>
              <w:rPr>
                <w:spacing w:val="25"/>
                <w:sz w:val="20"/>
              </w:rPr>
              <w:t> </w:t>
            </w:r>
            <w:r>
              <w:rPr>
                <w:spacing w:val="17"/>
                <w:w w:val="95"/>
                <w:sz w:val="20"/>
              </w:rPr>
              <w:t>Advanced</w:t>
            </w:r>
            <w:r>
              <w:rPr>
                <w:spacing w:val="30"/>
                <w:sz w:val="20"/>
              </w:rPr>
              <w:t> </w:t>
            </w:r>
            <w:r>
              <w:rPr>
                <w:spacing w:val="9"/>
                <w:w w:val="95"/>
                <w:sz w:val="20"/>
              </w:rPr>
              <w:t>Structures</w:t>
            </w:r>
            <w:r>
              <w:rPr>
                <w:spacing w:val="27"/>
                <w:sz w:val="20"/>
              </w:rPr>
              <w:t> </w:t>
            </w:r>
            <w:r>
              <w:rPr>
                <w:spacing w:val="12"/>
                <w:w w:val="95"/>
                <w:sz w:val="20"/>
              </w:rPr>
              <w:t>and</w:t>
            </w:r>
            <w:r>
              <w:rPr>
                <w:spacing w:val="30"/>
                <w:sz w:val="20"/>
              </w:rPr>
              <w:t> </w:t>
            </w:r>
            <w:r>
              <w:rPr>
                <w:w w:val="95"/>
                <w:sz w:val="20"/>
              </w:rPr>
              <w:t>Building</w:t>
            </w:r>
            <w:r>
              <w:rPr>
                <w:spacing w:val="28"/>
                <w:sz w:val="20"/>
              </w:rPr>
              <w:t> </w:t>
            </w:r>
            <w:r>
              <w:rPr>
                <w:w w:val="95"/>
                <w:sz w:val="20"/>
              </w:rPr>
              <w:t>Systems</w:t>
            </w:r>
            <w:r>
              <w:rPr>
                <w:spacing w:val="12"/>
                <w:sz w:val="20"/>
              </w:rPr>
              <w:t> </w:t>
            </w:r>
            <w:r>
              <w:rPr>
                <w:spacing w:val="-5"/>
                <w:w w:val="95"/>
                <w:sz w:val="20"/>
              </w:rPr>
              <w:t>III</w:t>
            </w:r>
          </w:p>
        </w:tc>
        <w:tc>
          <w:tcPr>
            <w:tcW w:w="3600" w:type="dxa"/>
          </w:tcPr>
          <w:p>
            <w:pPr>
              <w:pStyle w:val="TableParagraph"/>
              <w:spacing w:line="292" w:lineRule="auto" w:before="16"/>
              <w:ind w:left="115" w:right="162" w:hanging="8"/>
              <w:rPr>
                <w:sz w:val="20"/>
              </w:rPr>
            </w:pPr>
            <w:r>
              <w:rPr>
                <w:sz w:val="20"/>
              </w:rPr>
              <w:t>Prerequisites: MAT 118, PHY 201, ARC</w:t>
            </w:r>
            <w:r>
              <w:rPr>
                <w:spacing w:val="-4"/>
                <w:sz w:val="20"/>
              </w:rPr>
              <w:t> </w:t>
            </w:r>
            <w:r>
              <w:rPr>
                <w:sz w:val="20"/>
              </w:rPr>
              <w:t>213,</w:t>
            </w:r>
            <w:r>
              <w:rPr>
                <w:spacing w:val="-6"/>
                <w:sz w:val="20"/>
              </w:rPr>
              <w:t> </w:t>
            </w:r>
            <w:r>
              <w:rPr>
                <w:sz w:val="20"/>
              </w:rPr>
              <w:t>ARC</w:t>
            </w:r>
            <w:r>
              <w:rPr>
                <w:spacing w:val="-4"/>
                <w:sz w:val="20"/>
              </w:rPr>
              <w:t> </w:t>
            </w:r>
            <w:r>
              <w:rPr>
                <w:sz w:val="20"/>
              </w:rPr>
              <w:t>309,</w:t>
            </w:r>
            <w:r>
              <w:rPr>
                <w:spacing w:val="-4"/>
                <w:sz w:val="20"/>
              </w:rPr>
              <w:t> </w:t>
            </w:r>
            <w:r>
              <w:rPr>
                <w:sz w:val="20"/>
              </w:rPr>
              <w:t>ARC</w:t>
            </w:r>
            <w:r>
              <w:rPr>
                <w:spacing w:val="-1"/>
                <w:sz w:val="20"/>
              </w:rPr>
              <w:t> </w:t>
            </w:r>
            <w:r>
              <w:rPr>
                <w:sz w:val="20"/>
              </w:rPr>
              <w:t>310,</w:t>
            </w:r>
            <w:r>
              <w:rPr>
                <w:spacing w:val="-6"/>
                <w:sz w:val="20"/>
              </w:rPr>
              <w:t> </w:t>
            </w:r>
            <w:r>
              <w:rPr>
                <w:sz w:val="20"/>
              </w:rPr>
              <w:t>ARC</w:t>
            </w:r>
          </w:p>
          <w:p>
            <w:pPr>
              <w:pStyle w:val="TableParagraph"/>
              <w:spacing w:before="3"/>
              <w:ind w:left="107"/>
              <w:rPr>
                <w:sz w:val="20"/>
              </w:rPr>
            </w:pPr>
            <w:r>
              <w:rPr>
                <w:sz w:val="20"/>
              </w:rPr>
              <w:t>314,</w:t>
            </w:r>
            <w:r>
              <w:rPr>
                <w:spacing w:val="-2"/>
                <w:sz w:val="20"/>
              </w:rPr>
              <w:t> </w:t>
            </w:r>
            <w:r>
              <w:rPr>
                <w:sz w:val="20"/>
              </w:rPr>
              <w:t>ARC </w:t>
            </w:r>
            <w:r>
              <w:rPr>
                <w:spacing w:val="-5"/>
                <w:sz w:val="20"/>
              </w:rPr>
              <w:t>315</w:t>
            </w:r>
          </w:p>
        </w:tc>
      </w:tr>
      <w:tr>
        <w:trPr>
          <w:trHeight w:val="846" w:hRule="atLeast"/>
        </w:trPr>
        <w:tc>
          <w:tcPr>
            <w:tcW w:w="6048" w:type="dxa"/>
          </w:tcPr>
          <w:p>
            <w:pPr>
              <w:pStyle w:val="TableParagraph"/>
              <w:spacing w:before="18"/>
              <w:ind w:left="115"/>
              <w:rPr>
                <w:sz w:val="20"/>
              </w:rPr>
            </w:pPr>
            <w:r>
              <w:rPr>
                <w:w w:val="95"/>
                <w:sz w:val="20"/>
              </w:rPr>
              <w:t>ARC</w:t>
            </w:r>
            <w:r>
              <w:rPr>
                <w:spacing w:val="32"/>
                <w:sz w:val="20"/>
              </w:rPr>
              <w:t> </w:t>
            </w:r>
            <w:r>
              <w:rPr>
                <w:w w:val="95"/>
                <w:sz w:val="20"/>
              </w:rPr>
              <w:t>516</w:t>
            </w:r>
            <w:r>
              <w:rPr>
                <w:spacing w:val="20"/>
                <w:sz w:val="20"/>
              </w:rPr>
              <w:t> </w:t>
            </w:r>
            <w:r>
              <w:rPr>
                <w:w w:val="95"/>
                <w:sz w:val="20"/>
              </w:rPr>
              <w:t>Building</w:t>
            </w:r>
            <w:r>
              <w:rPr>
                <w:spacing w:val="35"/>
                <w:sz w:val="20"/>
              </w:rPr>
              <w:t> </w:t>
            </w:r>
            <w:r>
              <w:rPr>
                <w:w w:val="95"/>
                <w:sz w:val="20"/>
              </w:rPr>
              <w:t>Systems</w:t>
            </w:r>
            <w:r>
              <w:rPr>
                <w:spacing w:val="22"/>
                <w:sz w:val="20"/>
              </w:rPr>
              <w:t> </w:t>
            </w:r>
            <w:r>
              <w:rPr>
                <w:spacing w:val="9"/>
                <w:w w:val="95"/>
                <w:sz w:val="20"/>
              </w:rPr>
              <w:t>Integration</w:t>
            </w:r>
          </w:p>
        </w:tc>
        <w:tc>
          <w:tcPr>
            <w:tcW w:w="3600" w:type="dxa"/>
          </w:tcPr>
          <w:p>
            <w:pPr>
              <w:pStyle w:val="TableParagraph"/>
              <w:spacing w:line="292" w:lineRule="auto" w:before="18"/>
              <w:ind w:left="115" w:right="162" w:hanging="8"/>
              <w:rPr>
                <w:sz w:val="20"/>
              </w:rPr>
            </w:pPr>
            <w:r>
              <w:rPr>
                <w:sz w:val="20"/>
              </w:rPr>
              <w:t>Prerequisites: MAT 118, PHY 201, ARC</w:t>
            </w:r>
            <w:r>
              <w:rPr>
                <w:spacing w:val="-4"/>
                <w:sz w:val="20"/>
              </w:rPr>
              <w:t> </w:t>
            </w:r>
            <w:r>
              <w:rPr>
                <w:sz w:val="20"/>
              </w:rPr>
              <w:t>213,</w:t>
            </w:r>
            <w:r>
              <w:rPr>
                <w:spacing w:val="-6"/>
                <w:sz w:val="20"/>
              </w:rPr>
              <w:t> </w:t>
            </w:r>
            <w:r>
              <w:rPr>
                <w:sz w:val="20"/>
              </w:rPr>
              <w:t>ARC</w:t>
            </w:r>
            <w:r>
              <w:rPr>
                <w:spacing w:val="-4"/>
                <w:sz w:val="20"/>
              </w:rPr>
              <w:t> </w:t>
            </w:r>
            <w:r>
              <w:rPr>
                <w:sz w:val="20"/>
              </w:rPr>
              <w:t>309,</w:t>
            </w:r>
            <w:r>
              <w:rPr>
                <w:spacing w:val="-4"/>
                <w:sz w:val="20"/>
              </w:rPr>
              <w:t> </w:t>
            </w:r>
            <w:r>
              <w:rPr>
                <w:sz w:val="20"/>
              </w:rPr>
              <w:t>ARC</w:t>
            </w:r>
            <w:r>
              <w:rPr>
                <w:spacing w:val="-1"/>
                <w:sz w:val="20"/>
              </w:rPr>
              <w:t> </w:t>
            </w:r>
            <w:r>
              <w:rPr>
                <w:sz w:val="20"/>
              </w:rPr>
              <w:t>310,</w:t>
            </w:r>
            <w:r>
              <w:rPr>
                <w:spacing w:val="-6"/>
                <w:sz w:val="20"/>
              </w:rPr>
              <w:t> </w:t>
            </w:r>
            <w:r>
              <w:rPr>
                <w:sz w:val="20"/>
              </w:rPr>
              <w:t>ARC</w:t>
            </w:r>
          </w:p>
          <w:p>
            <w:pPr>
              <w:pStyle w:val="TableParagraph"/>
              <w:spacing w:before="3"/>
              <w:ind w:left="107"/>
              <w:rPr>
                <w:sz w:val="20"/>
              </w:rPr>
            </w:pPr>
            <w:r>
              <w:rPr>
                <w:sz w:val="20"/>
              </w:rPr>
              <w:t>314,</w:t>
            </w:r>
            <w:r>
              <w:rPr>
                <w:spacing w:val="-2"/>
                <w:sz w:val="20"/>
              </w:rPr>
              <w:t> </w:t>
            </w:r>
            <w:r>
              <w:rPr>
                <w:sz w:val="20"/>
              </w:rPr>
              <w:t>ARC </w:t>
            </w:r>
            <w:r>
              <w:rPr>
                <w:spacing w:val="-5"/>
                <w:sz w:val="20"/>
              </w:rPr>
              <w:t>315</w:t>
            </w:r>
          </w:p>
        </w:tc>
      </w:tr>
      <w:tr>
        <w:trPr>
          <w:trHeight w:val="575" w:hRule="atLeast"/>
        </w:trPr>
        <w:tc>
          <w:tcPr>
            <w:tcW w:w="6048" w:type="dxa"/>
          </w:tcPr>
          <w:p>
            <w:pPr>
              <w:pStyle w:val="TableParagraph"/>
              <w:spacing w:before="16"/>
              <w:ind w:left="115"/>
              <w:rPr>
                <w:sz w:val="20"/>
              </w:rPr>
            </w:pPr>
            <w:r>
              <w:rPr>
                <w:w w:val="95"/>
                <w:sz w:val="20"/>
              </w:rPr>
              <w:t>ARC</w:t>
            </w:r>
            <w:r>
              <w:rPr>
                <w:spacing w:val="37"/>
                <w:sz w:val="20"/>
              </w:rPr>
              <w:t> </w:t>
            </w:r>
            <w:r>
              <w:rPr>
                <w:w w:val="95"/>
                <w:sz w:val="20"/>
              </w:rPr>
              <w:t>517</w:t>
            </w:r>
            <w:r>
              <w:rPr>
                <w:spacing w:val="24"/>
                <w:sz w:val="20"/>
              </w:rPr>
              <w:t> </w:t>
            </w:r>
            <w:r>
              <w:rPr>
                <w:w w:val="95"/>
                <w:sz w:val="20"/>
              </w:rPr>
              <w:t>Professional</w:t>
            </w:r>
            <w:r>
              <w:rPr>
                <w:spacing w:val="44"/>
                <w:sz w:val="20"/>
              </w:rPr>
              <w:t> </w:t>
            </w:r>
            <w:r>
              <w:rPr>
                <w:spacing w:val="12"/>
                <w:w w:val="95"/>
                <w:sz w:val="20"/>
              </w:rPr>
              <w:t>and</w:t>
            </w:r>
            <w:r>
              <w:rPr>
                <w:spacing w:val="55"/>
                <w:sz w:val="20"/>
              </w:rPr>
              <w:t> </w:t>
            </w:r>
            <w:r>
              <w:rPr>
                <w:spacing w:val="11"/>
                <w:w w:val="95"/>
                <w:sz w:val="20"/>
              </w:rPr>
              <w:t>Community</w:t>
            </w:r>
            <w:r>
              <w:rPr>
                <w:spacing w:val="31"/>
                <w:sz w:val="20"/>
              </w:rPr>
              <w:t> </w:t>
            </w:r>
            <w:r>
              <w:rPr>
                <w:w w:val="95"/>
                <w:sz w:val="20"/>
              </w:rPr>
              <w:t>Design</w:t>
            </w:r>
            <w:r>
              <w:rPr>
                <w:spacing w:val="32"/>
                <w:sz w:val="20"/>
              </w:rPr>
              <w:t> </w:t>
            </w:r>
            <w:r>
              <w:rPr>
                <w:w w:val="95"/>
                <w:sz w:val="20"/>
              </w:rPr>
              <w:t>Pra</w:t>
            </w:r>
            <w:r>
              <w:rPr>
                <w:spacing w:val="-13"/>
                <w:w w:val="95"/>
                <w:sz w:val="20"/>
              </w:rPr>
              <w:t> </w:t>
            </w:r>
            <w:r>
              <w:rPr>
                <w:spacing w:val="14"/>
                <w:w w:val="95"/>
                <w:sz w:val="20"/>
              </w:rPr>
              <w:t>ctice</w:t>
            </w:r>
            <w:r>
              <w:rPr>
                <w:spacing w:val="33"/>
                <w:sz w:val="20"/>
              </w:rPr>
              <w:t> </w:t>
            </w:r>
            <w:r>
              <w:rPr>
                <w:spacing w:val="-10"/>
                <w:w w:val="95"/>
                <w:sz w:val="20"/>
              </w:rPr>
              <w:t>I</w:t>
            </w:r>
          </w:p>
        </w:tc>
        <w:tc>
          <w:tcPr>
            <w:tcW w:w="3600" w:type="dxa"/>
          </w:tcPr>
          <w:p>
            <w:pPr>
              <w:pStyle w:val="TableParagraph"/>
              <w:spacing w:before="16"/>
              <w:ind w:left="107"/>
              <w:rPr>
                <w:sz w:val="20"/>
              </w:rPr>
            </w:pPr>
            <w:r>
              <w:rPr>
                <w:w w:val="90"/>
                <w:sz w:val="20"/>
              </w:rPr>
              <w:t>Prerequisites:</w:t>
            </w:r>
            <w:r>
              <w:rPr>
                <w:spacing w:val="68"/>
                <w:sz w:val="20"/>
              </w:rPr>
              <w:t> </w:t>
            </w:r>
            <w:r>
              <w:rPr>
                <w:w w:val="90"/>
                <w:sz w:val="20"/>
              </w:rPr>
              <w:t>Fourth</w:t>
            </w:r>
            <w:r>
              <w:rPr>
                <w:spacing w:val="60"/>
                <w:w w:val="150"/>
                <w:sz w:val="20"/>
              </w:rPr>
              <w:t> </w:t>
            </w:r>
            <w:r>
              <w:rPr>
                <w:spacing w:val="11"/>
                <w:w w:val="90"/>
                <w:sz w:val="20"/>
              </w:rPr>
              <w:t>Year</w:t>
            </w:r>
            <w:r>
              <w:rPr>
                <w:spacing w:val="69"/>
                <w:sz w:val="20"/>
              </w:rPr>
              <w:t> </w:t>
            </w:r>
            <w:r>
              <w:rPr>
                <w:spacing w:val="7"/>
                <w:w w:val="90"/>
                <w:sz w:val="20"/>
              </w:rPr>
              <w:t>Studio</w:t>
            </w:r>
          </w:p>
          <w:p>
            <w:pPr>
              <w:pStyle w:val="TableParagraph"/>
              <w:spacing w:before="53"/>
              <w:ind w:left="107"/>
              <w:rPr>
                <w:sz w:val="20"/>
              </w:rPr>
            </w:pPr>
            <w:r>
              <w:rPr>
                <w:spacing w:val="12"/>
                <w:sz w:val="20"/>
              </w:rPr>
              <w:t>standing</w:t>
            </w:r>
            <w:r>
              <w:rPr>
                <w:spacing w:val="17"/>
                <w:sz w:val="20"/>
              </w:rPr>
              <w:t> </w:t>
            </w:r>
            <w:r>
              <w:rPr>
                <w:sz w:val="20"/>
              </w:rPr>
              <w:t>or</w:t>
            </w:r>
            <w:r>
              <w:rPr>
                <w:spacing w:val="8"/>
                <w:sz w:val="20"/>
              </w:rPr>
              <w:t> </w:t>
            </w:r>
            <w:r>
              <w:rPr>
                <w:sz w:val="20"/>
              </w:rPr>
              <w:t>permission</w:t>
            </w:r>
            <w:r>
              <w:rPr>
                <w:spacing w:val="12"/>
                <w:sz w:val="20"/>
              </w:rPr>
              <w:t> </w:t>
            </w:r>
            <w:r>
              <w:rPr>
                <w:sz w:val="20"/>
              </w:rPr>
              <w:t>of</w:t>
            </w:r>
            <w:r>
              <w:rPr>
                <w:spacing w:val="8"/>
                <w:sz w:val="20"/>
              </w:rPr>
              <w:t> </w:t>
            </w:r>
            <w:r>
              <w:rPr>
                <w:spacing w:val="9"/>
                <w:sz w:val="20"/>
              </w:rPr>
              <w:t>the</w:t>
            </w:r>
            <w:r>
              <w:rPr>
                <w:spacing w:val="14"/>
                <w:sz w:val="20"/>
              </w:rPr>
              <w:t> </w:t>
            </w:r>
            <w:r>
              <w:rPr>
                <w:spacing w:val="7"/>
                <w:sz w:val="20"/>
              </w:rPr>
              <w:t>Chair</w:t>
            </w:r>
          </w:p>
        </w:tc>
      </w:tr>
    </w:tbl>
    <w:p>
      <w:pPr>
        <w:spacing w:after="0"/>
        <w:rPr>
          <w:sz w:val="20"/>
        </w:rPr>
        <w:sectPr>
          <w:headerReference w:type="default" r:id="rId307"/>
          <w:footerReference w:type="default" r:id="rId308"/>
          <w:pgSz w:w="12240" w:h="15840"/>
          <w:pgMar w:header="0" w:footer="748" w:top="1420" w:bottom="940" w:left="1000" w:right="820"/>
        </w:sectPr>
      </w:pPr>
    </w:p>
    <w:tbl>
      <w:tblPr>
        <w:tblW w:w="0" w:type="auto"/>
        <w:jc w:val="left"/>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48"/>
        <w:gridCol w:w="3600"/>
      </w:tblGrid>
      <w:tr>
        <w:trPr>
          <w:trHeight w:val="575" w:hRule="atLeast"/>
        </w:trPr>
        <w:tc>
          <w:tcPr>
            <w:tcW w:w="6048" w:type="dxa"/>
          </w:tcPr>
          <w:p>
            <w:pPr>
              <w:pStyle w:val="TableParagraph"/>
              <w:rPr>
                <w:rFonts w:ascii="Times New Roman"/>
                <w:sz w:val="20"/>
              </w:rPr>
            </w:pPr>
          </w:p>
        </w:tc>
        <w:tc>
          <w:tcPr>
            <w:tcW w:w="3600" w:type="dxa"/>
          </w:tcPr>
          <w:p>
            <w:pPr>
              <w:pStyle w:val="TableParagraph"/>
              <w:spacing w:before="16"/>
              <w:ind w:left="116"/>
              <w:rPr>
                <w:sz w:val="20"/>
              </w:rPr>
            </w:pPr>
            <w:r>
              <w:rPr>
                <w:w w:val="95"/>
                <w:sz w:val="20"/>
              </w:rPr>
              <w:t>Co-requisites:</w:t>
            </w:r>
            <w:r>
              <w:rPr>
                <w:spacing w:val="64"/>
                <w:sz w:val="20"/>
              </w:rPr>
              <w:t> </w:t>
            </w:r>
            <w:r>
              <w:rPr>
                <w:w w:val="95"/>
                <w:sz w:val="20"/>
              </w:rPr>
              <w:t>ARC</w:t>
            </w:r>
            <w:r>
              <w:rPr>
                <w:spacing w:val="65"/>
                <w:sz w:val="20"/>
              </w:rPr>
              <w:t> </w:t>
            </w:r>
            <w:r>
              <w:rPr>
                <w:spacing w:val="-5"/>
                <w:w w:val="95"/>
                <w:sz w:val="20"/>
              </w:rPr>
              <w:t>405</w:t>
            </w:r>
          </w:p>
        </w:tc>
      </w:tr>
      <w:tr>
        <w:trPr>
          <w:trHeight w:val="846" w:hRule="atLeast"/>
        </w:trPr>
        <w:tc>
          <w:tcPr>
            <w:tcW w:w="6048" w:type="dxa"/>
          </w:tcPr>
          <w:p>
            <w:pPr>
              <w:pStyle w:val="TableParagraph"/>
              <w:spacing w:before="16"/>
              <w:ind w:left="115"/>
              <w:rPr>
                <w:sz w:val="20"/>
              </w:rPr>
            </w:pPr>
            <w:r>
              <w:rPr>
                <w:w w:val="95"/>
                <w:sz w:val="20"/>
              </w:rPr>
              <w:t>ARC</w:t>
            </w:r>
            <w:r>
              <w:rPr>
                <w:spacing w:val="37"/>
                <w:sz w:val="20"/>
              </w:rPr>
              <w:t> </w:t>
            </w:r>
            <w:r>
              <w:rPr>
                <w:w w:val="95"/>
                <w:sz w:val="20"/>
              </w:rPr>
              <w:t>518</w:t>
            </w:r>
            <w:r>
              <w:rPr>
                <w:spacing w:val="24"/>
                <w:sz w:val="20"/>
              </w:rPr>
              <w:t> </w:t>
            </w:r>
            <w:r>
              <w:rPr>
                <w:w w:val="95"/>
                <w:sz w:val="20"/>
              </w:rPr>
              <w:t>Professional</w:t>
            </w:r>
            <w:r>
              <w:rPr>
                <w:spacing w:val="44"/>
                <w:sz w:val="20"/>
              </w:rPr>
              <w:t> </w:t>
            </w:r>
            <w:r>
              <w:rPr>
                <w:spacing w:val="12"/>
                <w:w w:val="95"/>
                <w:sz w:val="20"/>
              </w:rPr>
              <w:t>and</w:t>
            </w:r>
            <w:r>
              <w:rPr>
                <w:spacing w:val="55"/>
                <w:sz w:val="20"/>
              </w:rPr>
              <w:t> </w:t>
            </w:r>
            <w:r>
              <w:rPr>
                <w:spacing w:val="11"/>
                <w:w w:val="95"/>
                <w:sz w:val="20"/>
              </w:rPr>
              <w:t>Community</w:t>
            </w:r>
            <w:r>
              <w:rPr>
                <w:spacing w:val="31"/>
                <w:sz w:val="20"/>
              </w:rPr>
              <w:t> </w:t>
            </w:r>
            <w:r>
              <w:rPr>
                <w:w w:val="95"/>
                <w:sz w:val="20"/>
              </w:rPr>
              <w:t>Design</w:t>
            </w:r>
            <w:r>
              <w:rPr>
                <w:spacing w:val="32"/>
                <w:sz w:val="20"/>
              </w:rPr>
              <w:t> </w:t>
            </w:r>
            <w:r>
              <w:rPr>
                <w:w w:val="95"/>
                <w:sz w:val="20"/>
              </w:rPr>
              <w:t>Pra</w:t>
            </w:r>
            <w:r>
              <w:rPr>
                <w:spacing w:val="-13"/>
                <w:w w:val="95"/>
                <w:sz w:val="20"/>
              </w:rPr>
              <w:t> </w:t>
            </w:r>
            <w:r>
              <w:rPr>
                <w:spacing w:val="14"/>
                <w:w w:val="95"/>
                <w:sz w:val="20"/>
              </w:rPr>
              <w:t>ctice</w:t>
            </w:r>
            <w:r>
              <w:rPr>
                <w:spacing w:val="33"/>
                <w:sz w:val="20"/>
              </w:rPr>
              <w:t> </w:t>
            </w:r>
            <w:r>
              <w:rPr>
                <w:spacing w:val="-5"/>
                <w:w w:val="95"/>
                <w:sz w:val="20"/>
              </w:rPr>
              <w:t>II</w:t>
            </w:r>
          </w:p>
        </w:tc>
        <w:tc>
          <w:tcPr>
            <w:tcW w:w="3600" w:type="dxa"/>
          </w:tcPr>
          <w:p>
            <w:pPr>
              <w:pStyle w:val="TableParagraph"/>
              <w:spacing w:before="16"/>
              <w:ind w:left="107"/>
              <w:rPr>
                <w:sz w:val="20"/>
              </w:rPr>
            </w:pPr>
            <w:r>
              <w:rPr>
                <w:w w:val="90"/>
                <w:sz w:val="20"/>
              </w:rPr>
              <w:t>Prerequisites:</w:t>
            </w:r>
            <w:r>
              <w:rPr>
                <w:spacing w:val="68"/>
                <w:sz w:val="20"/>
              </w:rPr>
              <w:t> </w:t>
            </w:r>
            <w:r>
              <w:rPr>
                <w:w w:val="90"/>
                <w:sz w:val="20"/>
              </w:rPr>
              <w:t>Fourth</w:t>
            </w:r>
            <w:r>
              <w:rPr>
                <w:spacing w:val="60"/>
                <w:w w:val="150"/>
                <w:sz w:val="20"/>
              </w:rPr>
              <w:t> </w:t>
            </w:r>
            <w:r>
              <w:rPr>
                <w:spacing w:val="11"/>
                <w:w w:val="90"/>
                <w:sz w:val="20"/>
              </w:rPr>
              <w:t>Year</w:t>
            </w:r>
            <w:r>
              <w:rPr>
                <w:spacing w:val="69"/>
                <w:sz w:val="20"/>
              </w:rPr>
              <w:t> </w:t>
            </w:r>
            <w:r>
              <w:rPr>
                <w:spacing w:val="7"/>
                <w:w w:val="90"/>
                <w:sz w:val="20"/>
              </w:rPr>
              <w:t>Studio</w:t>
            </w:r>
          </w:p>
          <w:p>
            <w:pPr>
              <w:pStyle w:val="TableParagraph"/>
              <w:spacing w:line="280" w:lineRule="atLeast" w:before="3"/>
              <w:ind w:left="116" w:right="135" w:hanging="10"/>
              <w:rPr>
                <w:sz w:val="20"/>
              </w:rPr>
            </w:pPr>
            <w:r>
              <w:rPr>
                <w:spacing w:val="12"/>
                <w:sz w:val="20"/>
              </w:rPr>
              <w:t>standing </w:t>
            </w:r>
            <w:r>
              <w:rPr>
                <w:sz w:val="20"/>
              </w:rPr>
              <w:t>or permission of </w:t>
            </w:r>
            <w:r>
              <w:rPr>
                <w:spacing w:val="9"/>
                <w:sz w:val="20"/>
              </w:rPr>
              <w:t>the Chair </w:t>
            </w:r>
            <w:r>
              <w:rPr>
                <w:sz w:val="20"/>
              </w:rPr>
              <w:t>Co-requisites: ARC 406</w:t>
            </w:r>
          </w:p>
        </w:tc>
      </w:tr>
      <w:tr>
        <w:trPr>
          <w:trHeight w:val="844" w:hRule="atLeast"/>
        </w:trPr>
        <w:tc>
          <w:tcPr>
            <w:tcW w:w="6048" w:type="dxa"/>
          </w:tcPr>
          <w:p>
            <w:pPr>
              <w:pStyle w:val="TableParagraph"/>
              <w:spacing w:before="16"/>
              <w:ind w:left="115"/>
              <w:rPr>
                <w:sz w:val="20"/>
              </w:rPr>
            </w:pPr>
            <w:r>
              <w:rPr>
                <w:w w:val="95"/>
                <w:sz w:val="20"/>
              </w:rPr>
              <w:t>ARC</w:t>
            </w:r>
            <w:r>
              <w:rPr>
                <w:sz w:val="20"/>
              </w:rPr>
              <w:t> </w:t>
            </w:r>
            <w:r>
              <w:rPr>
                <w:w w:val="95"/>
                <w:sz w:val="20"/>
              </w:rPr>
              <w:t>601</w:t>
            </w:r>
            <w:r>
              <w:rPr>
                <w:spacing w:val="-5"/>
                <w:w w:val="95"/>
                <w:sz w:val="20"/>
              </w:rPr>
              <w:t> </w:t>
            </w:r>
            <w:r>
              <w:rPr>
                <w:w w:val="95"/>
                <w:sz w:val="20"/>
              </w:rPr>
              <w:t>Thesis</w:t>
            </w:r>
            <w:r>
              <w:rPr>
                <w:spacing w:val="-6"/>
                <w:w w:val="95"/>
                <w:sz w:val="20"/>
              </w:rPr>
              <w:t> </w:t>
            </w:r>
            <w:r>
              <w:rPr>
                <w:spacing w:val="12"/>
                <w:w w:val="95"/>
                <w:sz w:val="20"/>
              </w:rPr>
              <w:t>Research</w:t>
            </w:r>
            <w:r>
              <w:rPr>
                <w:spacing w:val="3"/>
                <w:w w:val="95"/>
                <w:sz w:val="20"/>
              </w:rPr>
              <w:t> </w:t>
            </w:r>
            <w:r>
              <w:rPr>
                <w:spacing w:val="9"/>
                <w:w w:val="95"/>
                <w:sz w:val="20"/>
              </w:rPr>
              <w:t>Studio</w:t>
            </w:r>
            <w:r>
              <w:rPr>
                <w:spacing w:val="2"/>
                <w:w w:val="95"/>
                <w:sz w:val="20"/>
              </w:rPr>
              <w:t> </w:t>
            </w:r>
            <w:r>
              <w:rPr>
                <w:spacing w:val="-5"/>
                <w:w w:val="95"/>
                <w:sz w:val="20"/>
              </w:rPr>
              <w:t>XI</w:t>
            </w:r>
          </w:p>
        </w:tc>
        <w:tc>
          <w:tcPr>
            <w:tcW w:w="3600" w:type="dxa"/>
          </w:tcPr>
          <w:p>
            <w:pPr>
              <w:pStyle w:val="TableParagraph"/>
              <w:spacing w:line="292" w:lineRule="auto" w:before="16"/>
              <w:ind w:left="116" w:hanging="10"/>
              <w:rPr>
                <w:sz w:val="20"/>
              </w:rPr>
            </w:pPr>
            <w:r>
              <w:rPr>
                <w:w w:val="95"/>
                <w:sz w:val="20"/>
              </w:rPr>
              <w:t>Prerequisites: All </w:t>
            </w:r>
            <w:r>
              <w:rPr>
                <w:spacing w:val="11"/>
                <w:w w:val="95"/>
                <w:sz w:val="20"/>
              </w:rPr>
              <w:t>Undergra</w:t>
            </w:r>
            <w:r>
              <w:rPr>
                <w:spacing w:val="-11"/>
                <w:w w:val="95"/>
                <w:sz w:val="20"/>
              </w:rPr>
              <w:t> </w:t>
            </w:r>
            <w:r>
              <w:rPr>
                <w:spacing w:val="14"/>
                <w:w w:val="95"/>
                <w:sz w:val="20"/>
              </w:rPr>
              <w:t>duate </w:t>
            </w:r>
            <w:r>
              <w:rPr>
                <w:sz w:val="20"/>
              </w:rPr>
              <w:t>Curriculum </w:t>
            </w:r>
            <w:r>
              <w:rPr>
                <w:spacing w:val="10"/>
                <w:sz w:val="20"/>
              </w:rPr>
              <w:t>Requirements,</w:t>
            </w:r>
          </w:p>
          <w:p>
            <w:pPr>
              <w:pStyle w:val="TableParagraph"/>
              <w:spacing w:before="3"/>
              <w:ind w:left="116"/>
              <w:rPr>
                <w:sz w:val="20"/>
              </w:rPr>
            </w:pPr>
            <w:r>
              <w:rPr>
                <w:spacing w:val="10"/>
                <w:sz w:val="20"/>
              </w:rPr>
              <w:t>Cumulative</w:t>
            </w:r>
            <w:r>
              <w:rPr>
                <w:spacing w:val="17"/>
                <w:sz w:val="20"/>
              </w:rPr>
              <w:t> </w:t>
            </w:r>
            <w:r>
              <w:rPr>
                <w:sz w:val="20"/>
              </w:rPr>
              <w:t>GPA</w:t>
            </w:r>
            <w:r>
              <w:rPr>
                <w:spacing w:val="15"/>
                <w:sz w:val="20"/>
              </w:rPr>
              <w:t> </w:t>
            </w:r>
            <w:r>
              <w:rPr>
                <w:sz w:val="20"/>
              </w:rPr>
              <w:t>of</w:t>
            </w:r>
            <w:r>
              <w:rPr>
                <w:spacing w:val="3"/>
                <w:sz w:val="20"/>
              </w:rPr>
              <w:t> </w:t>
            </w:r>
            <w:r>
              <w:rPr>
                <w:spacing w:val="-5"/>
                <w:sz w:val="20"/>
              </w:rPr>
              <w:t>2.5</w:t>
            </w:r>
          </w:p>
        </w:tc>
      </w:tr>
      <w:tr>
        <w:trPr>
          <w:trHeight w:val="846" w:hRule="atLeast"/>
        </w:trPr>
        <w:tc>
          <w:tcPr>
            <w:tcW w:w="6048" w:type="dxa"/>
          </w:tcPr>
          <w:p>
            <w:pPr>
              <w:pStyle w:val="TableParagraph"/>
              <w:spacing w:before="18"/>
              <w:ind w:left="115"/>
              <w:rPr>
                <w:sz w:val="20"/>
              </w:rPr>
            </w:pPr>
            <w:r>
              <w:rPr>
                <w:w w:val="95"/>
                <w:sz w:val="20"/>
              </w:rPr>
              <w:t>ARC</w:t>
            </w:r>
            <w:r>
              <w:rPr>
                <w:sz w:val="20"/>
              </w:rPr>
              <w:t> </w:t>
            </w:r>
            <w:r>
              <w:rPr>
                <w:w w:val="95"/>
                <w:sz w:val="20"/>
              </w:rPr>
              <w:t>602</w:t>
            </w:r>
            <w:r>
              <w:rPr>
                <w:spacing w:val="-5"/>
                <w:w w:val="95"/>
                <w:sz w:val="20"/>
              </w:rPr>
              <w:t> </w:t>
            </w:r>
            <w:r>
              <w:rPr>
                <w:w w:val="95"/>
                <w:sz w:val="20"/>
              </w:rPr>
              <w:t>Thesis</w:t>
            </w:r>
            <w:r>
              <w:rPr>
                <w:spacing w:val="-6"/>
                <w:w w:val="95"/>
                <w:sz w:val="20"/>
              </w:rPr>
              <w:t> </w:t>
            </w:r>
            <w:r>
              <w:rPr>
                <w:spacing w:val="12"/>
                <w:w w:val="95"/>
                <w:sz w:val="20"/>
              </w:rPr>
              <w:t>Research</w:t>
            </w:r>
            <w:r>
              <w:rPr>
                <w:spacing w:val="3"/>
                <w:w w:val="95"/>
                <w:sz w:val="20"/>
              </w:rPr>
              <w:t> </w:t>
            </w:r>
            <w:r>
              <w:rPr>
                <w:spacing w:val="9"/>
                <w:w w:val="95"/>
                <w:sz w:val="20"/>
              </w:rPr>
              <w:t>Studio</w:t>
            </w:r>
            <w:r>
              <w:rPr>
                <w:spacing w:val="2"/>
                <w:w w:val="95"/>
                <w:sz w:val="20"/>
              </w:rPr>
              <w:t> </w:t>
            </w:r>
            <w:r>
              <w:rPr>
                <w:spacing w:val="-5"/>
                <w:w w:val="95"/>
                <w:sz w:val="20"/>
              </w:rPr>
              <w:t>XII</w:t>
            </w:r>
          </w:p>
        </w:tc>
        <w:tc>
          <w:tcPr>
            <w:tcW w:w="3600" w:type="dxa"/>
          </w:tcPr>
          <w:p>
            <w:pPr>
              <w:pStyle w:val="TableParagraph"/>
              <w:spacing w:line="292" w:lineRule="auto" w:before="18"/>
              <w:ind w:left="107" w:right="166"/>
              <w:rPr>
                <w:sz w:val="20"/>
              </w:rPr>
            </w:pPr>
            <w:r>
              <w:rPr>
                <w:sz w:val="20"/>
              </w:rPr>
              <w:t>Prerequisites: ARC 601 , all </w:t>
            </w:r>
            <w:r>
              <w:rPr>
                <w:spacing w:val="11"/>
                <w:w w:val="95"/>
                <w:sz w:val="20"/>
              </w:rPr>
              <w:t>Undergra</w:t>
            </w:r>
            <w:r>
              <w:rPr>
                <w:spacing w:val="-13"/>
                <w:w w:val="95"/>
                <w:sz w:val="20"/>
              </w:rPr>
              <w:t> </w:t>
            </w:r>
            <w:r>
              <w:rPr>
                <w:spacing w:val="14"/>
                <w:w w:val="95"/>
                <w:sz w:val="20"/>
              </w:rPr>
              <w:t>duate </w:t>
            </w:r>
            <w:r>
              <w:rPr>
                <w:w w:val="95"/>
                <w:sz w:val="20"/>
              </w:rPr>
              <w:t>Curriculum</w:t>
            </w:r>
          </w:p>
          <w:p>
            <w:pPr>
              <w:pStyle w:val="TableParagraph"/>
              <w:spacing w:before="3"/>
              <w:ind w:left="107"/>
              <w:rPr>
                <w:sz w:val="20"/>
              </w:rPr>
            </w:pPr>
            <w:r>
              <w:rPr>
                <w:spacing w:val="9"/>
                <w:sz w:val="20"/>
              </w:rPr>
              <w:t>Requirements</w:t>
            </w:r>
          </w:p>
        </w:tc>
      </w:tr>
      <w:tr>
        <w:trPr>
          <w:trHeight w:val="846" w:hRule="atLeast"/>
        </w:trPr>
        <w:tc>
          <w:tcPr>
            <w:tcW w:w="6048" w:type="dxa"/>
          </w:tcPr>
          <w:p>
            <w:pPr>
              <w:pStyle w:val="TableParagraph"/>
              <w:spacing w:before="16"/>
              <w:ind w:left="115"/>
              <w:rPr>
                <w:sz w:val="20"/>
              </w:rPr>
            </w:pPr>
            <w:r>
              <w:rPr>
                <w:w w:val="95"/>
                <w:sz w:val="20"/>
              </w:rPr>
              <w:t>ARC</w:t>
            </w:r>
            <w:r>
              <w:rPr>
                <w:spacing w:val="5"/>
                <w:sz w:val="20"/>
              </w:rPr>
              <w:t> </w:t>
            </w:r>
            <w:r>
              <w:rPr>
                <w:w w:val="95"/>
                <w:sz w:val="20"/>
              </w:rPr>
              <w:t>617</w:t>
            </w:r>
            <w:r>
              <w:rPr>
                <w:spacing w:val="-1"/>
                <w:w w:val="95"/>
                <w:sz w:val="20"/>
              </w:rPr>
              <w:t> </w:t>
            </w:r>
            <w:r>
              <w:rPr>
                <w:w w:val="95"/>
                <w:sz w:val="20"/>
              </w:rPr>
              <w:t>Thesis</w:t>
            </w:r>
            <w:r>
              <w:rPr>
                <w:spacing w:val="-1"/>
                <w:w w:val="95"/>
                <w:sz w:val="20"/>
              </w:rPr>
              <w:t> </w:t>
            </w:r>
            <w:r>
              <w:rPr>
                <w:spacing w:val="9"/>
                <w:w w:val="95"/>
                <w:sz w:val="20"/>
              </w:rPr>
              <w:t>Seminar-</w:t>
            </w:r>
            <w:r>
              <w:rPr>
                <w:spacing w:val="3"/>
                <w:w w:val="95"/>
                <w:sz w:val="20"/>
              </w:rPr>
              <w:t> </w:t>
            </w:r>
            <w:r>
              <w:rPr>
                <w:spacing w:val="10"/>
                <w:w w:val="95"/>
                <w:sz w:val="20"/>
              </w:rPr>
              <w:t>Emerging</w:t>
            </w:r>
            <w:r>
              <w:rPr>
                <w:spacing w:val="8"/>
                <w:sz w:val="20"/>
              </w:rPr>
              <w:t> </w:t>
            </w:r>
            <w:r>
              <w:rPr>
                <w:spacing w:val="11"/>
                <w:w w:val="95"/>
                <w:sz w:val="20"/>
              </w:rPr>
              <w:t>Technology</w:t>
            </w:r>
          </w:p>
        </w:tc>
        <w:tc>
          <w:tcPr>
            <w:tcW w:w="3600" w:type="dxa"/>
          </w:tcPr>
          <w:p>
            <w:pPr>
              <w:pStyle w:val="TableParagraph"/>
              <w:spacing w:line="295" w:lineRule="auto" w:before="16"/>
              <w:ind w:left="116" w:hanging="10"/>
              <w:rPr>
                <w:sz w:val="20"/>
              </w:rPr>
            </w:pPr>
            <w:r>
              <w:rPr>
                <w:w w:val="95"/>
                <w:sz w:val="20"/>
              </w:rPr>
              <w:t>Prerequisites: All </w:t>
            </w:r>
            <w:r>
              <w:rPr>
                <w:spacing w:val="11"/>
                <w:w w:val="95"/>
                <w:sz w:val="20"/>
              </w:rPr>
              <w:t>Undergra</w:t>
            </w:r>
            <w:r>
              <w:rPr>
                <w:spacing w:val="-11"/>
                <w:w w:val="95"/>
                <w:sz w:val="20"/>
              </w:rPr>
              <w:t> </w:t>
            </w:r>
            <w:r>
              <w:rPr>
                <w:spacing w:val="14"/>
                <w:w w:val="95"/>
                <w:sz w:val="20"/>
              </w:rPr>
              <w:t>duate </w:t>
            </w:r>
            <w:r>
              <w:rPr>
                <w:sz w:val="20"/>
              </w:rPr>
              <w:t>Curriculum </w:t>
            </w:r>
            <w:r>
              <w:rPr>
                <w:spacing w:val="11"/>
                <w:sz w:val="20"/>
              </w:rPr>
              <w:t>Requirements</w:t>
            </w:r>
          </w:p>
          <w:p>
            <w:pPr>
              <w:pStyle w:val="TableParagraph"/>
              <w:spacing w:line="228" w:lineRule="exact"/>
              <w:ind w:left="116"/>
              <w:rPr>
                <w:sz w:val="20"/>
              </w:rPr>
            </w:pPr>
            <w:r>
              <w:rPr>
                <w:w w:val="95"/>
                <w:sz w:val="20"/>
              </w:rPr>
              <w:t>Co-requisite:</w:t>
            </w:r>
            <w:r>
              <w:rPr>
                <w:spacing w:val="75"/>
                <w:sz w:val="20"/>
              </w:rPr>
              <w:t> </w:t>
            </w:r>
            <w:r>
              <w:rPr>
                <w:w w:val="95"/>
                <w:sz w:val="20"/>
              </w:rPr>
              <w:t>ARC</w:t>
            </w:r>
            <w:r>
              <w:rPr>
                <w:spacing w:val="71"/>
                <w:sz w:val="20"/>
              </w:rPr>
              <w:t> </w:t>
            </w:r>
            <w:r>
              <w:rPr>
                <w:spacing w:val="-5"/>
                <w:w w:val="95"/>
                <w:sz w:val="20"/>
              </w:rPr>
              <w:t>601</w:t>
            </w:r>
          </w:p>
        </w:tc>
      </w:tr>
      <w:tr>
        <w:trPr>
          <w:trHeight w:val="846" w:hRule="atLeast"/>
        </w:trPr>
        <w:tc>
          <w:tcPr>
            <w:tcW w:w="6048" w:type="dxa"/>
          </w:tcPr>
          <w:p>
            <w:pPr>
              <w:pStyle w:val="TableParagraph"/>
              <w:spacing w:before="16"/>
              <w:ind w:left="115"/>
              <w:rPr>
                <w:sz w:val="20"/>
              </w:rPr>
            </w:pPr>
            <w:r>
              <w:rPr>
                <w:w w:val="95"/>
                <w:sz w:val="20"/>
              </w:rPr>
              <w:t>ARC</w:t>
            </w:r>
            <w:r>
              <w:rPr>
                <w:spacing w:val="13"/>
                <w:sz w:val="20"/>
              </w:rPr>
              <w:t> </w:t>
            </w:r>
            <w:r>
              <w:rPr>
                <w:w w:val="95"/>
                <w:sz w:val="20"/>
              </w:rPr>
              <w:t>618</w:t>
            </w:r>
            <w:r>
              <w:rPr>
                <w:spacing w:val="2"/>
                <w:sz w:val="20"/>
              </w:rPr>
              <w:t> </w:t>
            </w:r>
            <w:r>
              <w:rPr>
                <w:w w:val="95"/>
                <w:sz w:val="20"/>
              </w:rPr>
              <w:t>Thesis</w:t>
            </w:r>
            <w:r>
              <w:rPr>
                <w:spacing w:val="6"/>
                <w:w w:val="95"/>
                <w:sz w:val="20"/>
              </w:rPr>
              <w:t> </w:t>
            </w:r>
            <w:r>
              <w:rPr>
                <w:spacing w:val="9"/>
                <w:w w:val="95"/>
                <w:sz w:val="20"/>
              </w:rPr>
              <w:t>Seminar-</w:t>
            </w:r>
            <w:r>
              <w:rPr>
                <w:spacing w:val="16"/>
                <w:sz w:val="20"/>
              </w:rPr>
              <w:t> </w:t>
            </w:r>
            <w:r>
              <w:rPr>
                <w:spacing w:val="11"/>
                <w:w w:val="95"/>
                <w:sz w:val="20"/>
              </w:rPr>
              <w:t>Community</w:t>
            </w:r>
            <w:r>
              <w:rPr>
                <w:spacing w:val="9"/>
                <w:w w:val="95"/>
                <w:sz w:val="20"/>
              </w:rPr>
              <w:t> </w:t>
            </w:r>
            <w:r>
              <w:rPr>
                <w:spacing w:val="-2"/>
                <w:w w:val="95"/>
                <w:sz w:val="20"/>
              </w:rPr>
              <w:t>Issues</w:t>
            </w:r>
          </w:p>
        </w:tc>
        <w:tc>
          <w:tcPr>
            <w:tcW w:w="3600" w:type="dxa"/>
          </w:tcPr>
          <w:p>
            <w:pPr>
              <w:pStyle w:val="TableParagraph"/>
              <w:spacing w:line="292" w:lineRule="auto" w:before="16"/>
              <w:ind w:left="116" w:hanging="10"/>
              <w:rPr>
                <w:sz w:val="20"/>
              </w:rPr>
            </w:pPr>
            <w:r>
              <w:rPr>
                <w:w w:val="95"/>
                <w:sz w:val="20"/>
              </w:rPr>
              <w:t>Prerequisites: All </w:t>
            </w:r>
            <w:r>
              <w:rPr>
                <w:spacing w:val="11"/>
                <w:w w:val="95"/>
                <w:sz w:val="20"/>
              </w:rPr>
              <w:t>Undergra</w:t>
            </w:r>
            <w:r>
              <w:rPr>
                <w:spacing w:val="-11"/>
                <w:w w:val="95"/>
                <w:sz w:val="20"/>
              </w:rPr>
              <w:t> </w:t>
            </w:r>
            <w:r>
              <w:rPr>
                <w:spacing w:val="14"/>
                <w:w w:val="95"/>
                <w:sz w:val="20"/>
              </w:rPr>
              <w:t>duate </w:t>
            </w:r>
            <w:r>
              <w:rPr>
                <w:sz w:val="20"/>
              </w:rPr>
              <w:t>Curriculum </w:t>
            </w:r>
            <w:r>
              <w:rPr>
                <w:spacing w:val="11"/>
                <w:sz w:val="20"/>
              </w:rPr>
              <w:t>Requirements</w:t>
            </w:r>
          </w:p>
          <w:p>
            <w:pPr>
              <w:pStyle w:val="TableParagraph"/>
              <w:spacing w:before="3"/>
              <w:ind w:left="116"/>
              <w:rPr>
                <w:sz w:val="20"/>
              </w:rPr>
            </w:pPr>
            <w:r>
              <w:rPr>
                <w:w w:val="95"/>
                <w:sz w:val="20"/>
              </w:rPr>
              <w:t>Co-requisite:</w:t>
            </w:r>
            <w:r>
              <w:rPr>
                <w:spacing w:val="75"/>
                <w:sz w:val="20"/>
              </w:rPr>
              <w:t> </w:t>
            </w:r>
            <w:r>
              <w:rPr>
                <w:w w:val="95"/>
                <w:sz w:val="20"/>
              </w:rPr>
              <w:t>ARC</w:t>
            </w:r>
            <w:r>
              <w:rPr>
                <w:spacing w:val="71"/>
                <w:sz w:val="20"/>
              </w:rPr>
              <w:t> </w:t>
            </w:r>
            <w:r>
              <w:rPr>
                <w:spacing w:val="-5"/>
                <w:w w:val="95"/>
                <w:sz w:val="20"/>
              </w:rPr>
              <w:t>602</w:t>
            </w:r>
          </w:p>
        </w:tc>
      </w:tr>
    </w:tbl>
    <w:p>
      <w:pPr>
        <w:pStyle w:val="BodyText"/>
        <w:rPr>
          <w:b/>
        </w:rPr>
      </w:pPr>
    </w:p>
    <w:p>
      <w:pPr>
        <w:pStyle w:val="BodyText"/>
        <w:rPr>
          <w:b/>
        </w:rPr>
      </w:pPr>
    </w:p>
    <w:p>
      <w:pPr>
        <w:pStyle w:val="BodyText"/>
        <w:spacing w:before="3"/>
        <w:rPr>
          <w:b/>
          <w:sz w:val="17"/>
        </w:rPr>
      </w:pPr>
    </w:p>
    <w:p>
      <w:pPr>
        <w:pStyle w:val="Heading6"/>
        <w:spacing w:before="91"/>
        <w:ind w:left="450"/>
      </w:pPr>
      <w:r>
        <w:rPr>
          <w:spacing w:val="11"/>
          <w:w w:val="95"/>
        </w:rPr>
        <w:t>ACADEMIC</w:t>
      </w:r>
      <w:r>
        <w:rPr>
          <w:spacing w:val="46"/>
        </w:rPr>
        <w:t> </w:t>
      </w:r>
      <w:r>
        <w:rPr>
          <w:spacing w:val="-2"/>
        </w:rPr>
        <w:t>ADVISEMENT</w:t>
      </w:r>
    </w:p>
    <w:p>
      <w:pPr>
        <w:spacing w:line="256" w:lineRule="auto" w:before="71"/>
        <w:ind w:left="440" w:right="642" w:firstLine="0"/>
        <w:jc w:val="left"/>
        <w:rPr>
          <w:sz w:val="24"/>
        </w:rPr>
      </w:pPr>
      <w:r>
        <w:rPr>
          <w:sz w:val="24"/>
        </w:rPr>
        <w:t>You </w:t>
      </w:r>
      <w:r>
        <w:rPr>
          <w:spacing w:val="10"/>
          <w:sz w:val="24"/>
        </w:rPr>
        <w:t>should </w:t>
      </w:r>
      <w:r>
        <w:rPr>
          <w:spacing w:val="13"/>
          <w:sz w:val="24"/>
        </w:rPr>
        <w:t>meet </w:t>
      </w:r>
      <w:r>
        <w:rPr>
          <w:sz w:val="24"/>
        </w:rPr>
        <w:t>with your a</w:t>
      </w:r>
      <w:r>
        <w:rPr>
          <w:spacing w:val="-35"/>
          <w:sz w:val="24"/>
        </w:rPr>
        <w:t> </w:t>
      </w:r>
      <w:r>
        <w:rPr>
          <w:sz w:val="24"/>
        </w:rPr>
        <w:t>c</w:t>
      </w:r>
      <w:r>
        <w:rPr>
          <w:spacing w:val="-34"/>
          <w:sz w:val="24"/>
        </w:rPr>
        <w:t> </w:t>
      </w:r>
      <w:r>
        <w:rPr>
          <w:sz w:val="24"/>
        </w:rPr>
        <w:t>a</w:t>
      </w:r>
      <w:r>
        <w:rPr>
          <w:spacing w:val="-37"/>
          <w:sz w:val="24"/>
        </w:rPr>
        <w:t> </w:t>
      </w:r>
      <w:r>
        <w:rPr>
          <w:spacing w:val="16"/>
          <w:sz w:val="24"/>
        </w:rPr>
        <w:t>demic </w:t>
      </w:r>
      <w:r>
        <w:rPr>
          <w:sz w:val="24"/>
        </w:rPr>
        <w:t>a</w:t>
      </w:r>
      <w:r>
        <w:rPr>
          <w:spacing w:val="-37"/>
          <w:sz w:val="24"/>
        </w:rPr>
        <w:t> </w:t>
      </w:r>
      <w:r>
        <w:rPr>
          <w:sz w:val="24"/>
        </w:rPr>
        <w:t>dvisor </w:t>
      </w:r>
      <w:r>
        <w:rPr>
          <w:spacing w:val="12"/>
          <w:sz w:val="24"/>
        </w:rPr>
        <w:t>at</w:t>
      </w:r>
      <w:r>
        <w:rPr>
          <w:sz w:val="24"/>
        </w:rPr>
        <w:t> </w:t>
      </w:r>
      <w:r>
        <w:rPr>
          <w:spacing w:val="12"/>
          <w:sz w:val="24"/>
        </w:rPr>
        <w:t>least </w:t>
      </w:r>
      <w:r>
        <w:rPr>
          <w:spacing w:val="17"/>
          <w:sz w:val="24"/>
        </w:rPr>
        <w:t>once </w:t>
      </w:r>
      <w:r>
        <w:rPr>
          <w:sz w:val="24"/>
        </w:rPr>
        <w:t>a </w:t>
      </w:r>
      <w:r>
        <w:rPr>
          <w:spacing w:val="11"/>
          <w:sz w:val="24"/>
        </w:rPr>
        <w:t>semester.</w:t>
      </w:r>
      <w:r>
        <w:rPr>
          <w:spacing w:val="40"/>
          <w:sz w:val="24"/>
        </w:rPr>
        <w:t> </w:t>
      </w:r>
      <w:r>
        <w:rPr>
          <w:sz w:val="24"/>
        </w:rPr>
        <w:t>Your </w:t>
      </w:r>
      <w:r>
        <w:rPr>
          <w:spacing w:val="10"/>
          <w:sz w:val="24"/>
        </w:rPr>
        <w:t>relationship </w:t>
      </w:r>
      <w:r>
        <w:rPr>
          <w:sz w:val="24"/>
        </w:rPr>
        <w:t>with </w:t>
      </w:r>
      <w:r>
        <w:rPr>
          <w:spacing w:val="17"/>
          <w:sz w:val="24"/>
        </w:rPr>
        <w:t>departmental </w:t>
      </w:r>
      <w:r>
        <w:rPr>
          <w:sz w:val="24"/>
        </w:rPr>
        <w:t>fa</w:t>
      </w:r>
      <w:r>
        <w:rPr>
          <w:spacing w:val="-30"/>
          <w:sz w:val="24"/>
        </w:rPr>
        <w:t> </w:t>
      </w:r>
      <w:r>
        <w:rPr>
          <w:spacing w:val="9"/>
          <w:sz w:val="24"/>
        </w:rPr>
        <w:t>culty </w:t>
      </w:r>
      <w:r>
        <w:rPr>
          <w:sz w:val="24"/>
        </w:rPr>
        <w:t>is </w:t>
      </w:r>
      <w:r>
        <w:rPr>
          <w:spacing w:val="10"/>
          <w:sz w:val="24"/>
        </w:rPr>
        <w:t>an </w:t>
      </w:r>
      <w:r>
        <w:rPr>
          <w:sz w:val="24"/>
        </w:rPr>
        <w:t>im</w:t>
      </w:r>
      <w:r>
        <w:rPr>
          <w:spacing w:val="-32"/>
          <w:sz w:val="24"/>
        </w:rPr>
        <w:t> </w:t>
      </w:r>
      <w:r>
        <w:rPr>
          <w:spacing w:val="13"/>
          <w:sz w:val="24"/>
        </w:rPr>
        <w:t>portant </w:t>
      </w:r>
      <w:r>
        <w:rPr>
          <w:spacing w:val="9"/>
          <w:sz w:val="24"/>
        </w:rPr>
        <w:t>key </w:t>
      </w:r>
      <w:r>
        <w:rPr>
          <w:sz w:val="24"/>
        </w:rPr>
        <w:t>to </w:t>
      </w:r>
      <w:r>
        <w:rPr>
          <w:spacing w:val="9"/>
          <w:sz w:val="24"/>
        </w:rPr>
        <w:t>your</w:t>
      </w:r>
    </w:p>
    <w:p>
      <w:pPr>
        <w:spacing w:line="273" w:lineRule="exact" w:before="0"/>
        <w:ind w:left="440" w:right="0" w:firstLine="0"/>
        <w:jc w:val="left"/>
        <w:rPr>
          <w:sz w:val="24"/>
        </w:rPr>
      </w:pPr>
      <w:r>
        <w:rPr>
          <w:spacing w:val="10"/>
          <w:sz w:val="24"/>
        </w:rPr>
        <w:t>suc</w:t>
      </w:r>
      <w:r>
        <w:rPr>
          <w:spacing w:val="-31"/>
          <w:sz w:val="24"/>
        </w:rPr>
        <w:t> </w:t>
      </w:r>
      <w:r>
        <w:rPr>
          <w:sz w:val="24"/>
        </w:rPr>
        <w:t>cess.</w:t>
      </w:r>
      <w:r>
        <w:rPr>
          <w:spacing w:val="36"/>
          <w:sz w:val="24"/>
        </w:rPr>
        <w:t> </w:t>
      </w:r>
      <w:r>
        <w:rPr>
          <w:sz w:val="24"/>
        </w:rPr>
        <w:t>Fa</w:t>
      </w:r>
      <w:r>
        <w:rPr>
          <w:spacing w:val="-35"/>
          <w:sz w:val="24"/>
        </w:rPr>
        <w:t> </w:t>
      </w:r>
      <w:r>
        <w:rPr>
          <w:spacing w:val="9"/>
          <w:sz w:val="24"/>
        </w:rPr>
        <w:t>culty </w:t>
      </w:r>
      <w:r>
        <w:rPr>
          <w:spacing w:val="14"/>
          <w:sz w:val="24"/>
        </w:rPr>
        <w:t>and</w:t>
      </w:r>
      <w:r>
        <w:rPr>
          <w:spacing w:val="7"/>
          <w:sz w:val="24"/>
        </w:rPr>
        <w:t> </w:t>
      </w:r>
      <w:r>
        <w:rPr>
          <w:spacing w:val="10"/>
          <w:sz w:val="24"/>
        </w:rPr>
        <w:t>staff</w:t>
      </w:r>
      <w:r>
        <w:rPr>
          <w:spacing w:val="12"/>
          <w:sz w:val="24"/>
        </w:rPr>
        <w:t> </w:t>
      </w:r>
      <w:r>
        <w:rPr>
          <w:sz w:val="24"/>
        </w:rPr>
        <w:t>c</w:t>
      </w:r>
      <w:r>
        <w:rPr>
          <w:spacing w:val="-37"/>
          <w:sz w:val="24"/>
        </w:rPr>
        <w:t> </w:t>
      </w:r>
      <w:r>
        <w:rPr>
          <w:spacing w:val="11"/>
          <w:sz w:val="24"/>
        </w:rPr>
        <w:t>ontribute </w:t>
      </w:r>
      <w:r>
        <w:rPr>
          <w:sz w:val="24"/>
        </w:rPr>
        <w:t>to</w:t>
      </w:r>
      <w:r>
        <w:rPr>
          <w:spacing w:val="11"/>
          <w:sz w:val="24"/>
        </w:rPr>
        <w:t> </w:t>
      </w:r>
      <w:r>
        <w:rPr>
          <w:spacing w:val="9"/>
          <w:sz w:val="24"/>
        </w:rPr>
        <w:t>the</w:t>
      </w:r>
      <w:r>
        <w:rPr>
          <w:spacing w:val="16"/>
          <w:sz w:val="24"/>
        </w:rPr>
        <w:t> </w:t>
      </w:r>
      <w:r>
        <w:rPr>
          <w:sz w:val="24"/>
        </w:rPr>
        <w:t>a</w:t>
      </w:r>
      <w:r>
        <w:rPr>
          <w:spacing w:val="-37"/>
          <w:sz w:val="24"/>
        </w:rPr>
        <w:t> </w:t>
      </w:r>
      <w:r>
        <w:rPr>
          <w:sz w:val="24"/>
        </w:rPr>
        <w:t>dvising</w:t>
      </w:r>
      <w:r>
        <w:rPr>
          <w:spacing w:val="4"/>
          <w:sz w:val="24"/>
        </w:rPr>
        <w:t> </w:t>
      </w:r>
      <w:r>
        <w:rPr>
          <w:spacing w:val="10"/>
          <w:sz w:val="24"/>
        </w:rPr>
        <w:t>relationship</w:t>
      </w:r>
      <w:r>
        <w:rPr>
          <w:spacing w:val="20"/>
          <w:sz w:val="24"/>
        </w:rPr>
        <w:t> </w:t>
      </w:r>
      <w:r>
        <w:rPr>
          <w:spacing w:val="-5"/>
          <w:sz w:val="24"/>
        </w:rPr>
        <w:t>by:</w:t>
      </w:r>
    </w:p>
    <w:p>
      <w:pPr>
        <w:pStyle w:val="ListParagraph"/>
        <w:numPr>
          <w:ilvl w:val="0"/>
          <w:numId w:val="70"/>
        </w:numPr>
        <w:tabs>
          <w:tab w:pos="1170" w:val="left" w:leader="none"/>
          <w:tab w:pos="1171" w:val="left" w:leader="none"/>
        </w:tabs>
        <w:spacing w:line="240" w:lineRule="auto" w:before="16" w:after="0"/>
        <w:ind w:left="1170" w:right="0" w:hanging="371"/>
        <w:jc w:val="left"/>
        <w:rPr>
          <w:sz w:val="20"/>
        </w:rPr>
      </w:pPr>
      <w:r>
        <w:rPr>
          <w:spacing w:val="12"/>
          <w:sz w:val="22"/>
        </w:rPr>
        <w:t>enc</w:t>
      </w:r>
      <w:r>
        <w:rPr>
          <w:spacing w:val="-33"/>
          <w:sz w:val="22"/>
        </w:rPr>
        <w:t> </w:t>
      </w:r>
      <w:r>
        <w:rPr>
          <w:spacing w:val="11"/>
          <w:sz w:val="22"/>
        </w:rPr>
        <w:t>ouraging</w:t>
      </w:r>
      <w:r>
        <w:rPr>
          <w:spacing w:val="21"/>
          <w:sz w:val="22"/>
        </w:rPr>
        <w:t> </w:t>
      </w:r>
      <w:r>
        <w:rPr>
          <w:spacing w:val="13"/>
          <w:sz w:val="22"/>
        </w:rPr>
        <w:t>ongoing,</w:t>
      </w:r>
      <w:r>
        <w:rPr>
          <w:spacing w:val="-3"/>
          <w:sz w:val="22"/>
        </w:rPr>
        <w:t> </w:t>
      </w:r>
      <w:r>
        <w:rPr>
          <w:sz w:val="22"/>
        </w:rPr>
        <w:t>sup</w:t>
      </w:r>
      <w:r>
        <w:rPr>
          <w:spacing w:val="-33"/>
          <w:sz w:val="22"/>
        </w:rPr>
        <w:t> </w:t>
      </w:r>
      <w:r>
        <w:rPr>
          <w:spacing w:val="9"/>
          <w:sz w:val="22"/>
        </w:rPr>
        <w:t>portive</w:t>
      </w:r>
      <w:r>
        <w:rPr>
          <w:spacing w:val="23"/>
          <w:sz w:val="22"/>
        </w:rPr>
        <w:t> </w:t>
      </w:r>
      <w:r>
        <w:rPr>
          <w:spacing w:val="13"/>
          <w:sz w:val="22"/>
        </w:rPr>
        <w:t>and</w:t>
      </w:r>
      <w:r>
        <w:rPr>
          <w:spacing w:val="12"/>
          <w:sz w:val="22"/>
        </w:rPr>
        <w:t> </w:t>
      </w:r>
      <w:r>
        <w:rPr>
          <w:spacing w:val="11"/>
          <w:sz w:val="22"/>
        </w:rPr>
        <w:t>informed</w:t>
      </w:r>
      <w:r>
        <w:rPr>
          <w:spacing w:val="29"/>
          <w:sz w:val="22"/>
        </w:rPr>
        <w:t> </w:t>
      </w:r>
      <w:r>
        <w:rPr>
          <w:sz w:val="22"/>
        </w:rPr>
        <w:t>c</w:t>
      </w:r>
      <w:r>
        <w:rPr>
          <w:spacing w:val="-33"/>
          <w:sz w:val="22"/>
        </w:rPr>
        <w:t> </w:t>
      </w:r>
      <w:r>
        <w:rPr>
          <w:spacing w:val="12"/>
          <w:sz w:val="22"/>
        </w:rPr>
        <w:t>onta</w:t>
      </w:r>
      <w:r>
        <w:rPr>
          <w:spacing w:val="-33"/>
          <w:sz w:val="22"/>
        </w:rPr>
        <w:t> </w:t>
      </w:r>
      <w:r>
        <w:rPr>
          <w:spacing w:val="12"/>
          <w:sz w:val="22"/>
        </w:rPr>
        <w:t>ct</w:t>
      </w:r>
      <w:r>
        <w:rPr>
          <w:spacing w:val="17"/>
          <w:sz w:val="22"/>
        </w:rPr>
        <w:t> </w:t>
      </w:r>
      <w:r>
        <w:rPr>
          <w:sz w:val="22"/>
        </w:rPr>
        <w:t>with</w:t>
      </w:r>
      <w:r>
        <w:rPr>
          <w:spacing w:val="4"/>
          <w:sz w:val="22"/>
        </w:rPr>
        <w:t> </w:t>
      </w:r>
      <w:r>
        <w:rPr>
          <w:spacing w:val="9"/>
          <w:sz w:val="22"/>
        </w:rPr>
        <w:t>students</w:t>
      </w:r>
    </w:p>
    <w:p>
      <w:pPr>
        <w:pStyle w:val="ListParagraph"/>
        <w:numPr>
          <w:ilvl w:val="0"/>
          <w:numId w:val="70"/>
        </w:numPr>
        <w:tabs>
          <w:tab w:pos="1170" w:val="left" w:leader="none"/>
          <w:tab w:pos="1171" w:val="left" w:leader="none"/>
        </w:tabs>
        <w:spacing w:line="240" w:lineRule="auto" w:before="16" w:after="0"/>
        <w:ind w:left="1170" w:right="0" w:hanging="371"/>
        <w:jc w:val="left"/>
        <w:rPr>
          <w:sz w:val="20"/>
        </w:rPr>
      </w:pPr>
      <w:r>
        <w:rPr>
          <w:spacing w:val="9"/>
          <w:sz w:val="22"/>
        </w:rPr>
        <w:t>explaining</w:t>
      </w:r>
      <w:r>
        <w:rPr>
          <w:spacing w:val="-6"/>
          <w:sz w:val="22"/>
        </w:rPr>
        <w:t> </w:t>
      </w:r>
      <w:r>
        <w:rPr>
          <w:spacing w:val="9"/>
          <w:sz w:val="22"/>
        </w:rPr>
        <w:t>policies,</w:t>
      </w:r>
      <w:r>
        <w:rPr>
          <w:spacing w:val="-5"/>
          <w:sz w:val="22"/>
        </w:rPr>
        <w:t> </w:t>
      </w:r>
      <w:r>
        <w:rPr>
          <w:spacing w:val="12"/>
          <w:sz w:val="22"/>
        </w:rPr>
        <w:t>proc</w:t>
      </w:r>
      <w:r>
        <w:rPr>
          <w:spacing w:val="-34"/>
          <w:sz w:val="22"/>
        </w:rPr>
        <w:t> </w:t>
      </w:r>
      <w:r>
        <w:rPr>
          <w:spacing w:val="11"/>
          <w:sz w:val="22"/>
        </w:rPr>
        <w:t>edures</w:t>
      </w:r>
      <w:r>
        <w:rPr>
          <w:sz w:val="22"/>
        </w:rPr>
        <w:t> </w:t>
      </w:r>
      <w:r>
        <w:rPr>
          <w:spacing w:val="13"/>
          <w:sz w:val="22"/>
        </w:rPr>
        <w:t>and</w:t>
      </w:r>
      <w:r>
        <w:rPr>
          <w:spacing w:val="12"/>
          <w:sz w:val="22"/>
        </w:rPr>
        <w:t> </w:t>
      </w:r>
      <w:r>
        <w:rPr>
          <w:sz w:val="22"/>
        </w:rPr>
        <w:t>a</w:t>
      </w:r>
      <w:r>
        <w:rPr>
          <w:spacing w:val="-33"/>
          <w:sz w:val="22"/>
        </w:rPr>
        <w:t> </w:t>
      </w:r>
      <w:r>
        <w:rPr>
          <w:sz w:val="22"/>
        </w:rPr>
        <w:t>c</w:t>
      </w:r>
      <w:r>
        <w:rPr>
          <w:spacing w:val="-30"/>
          <w:sz w:val="22"/>
        </w:rPr>
        <w:t> </w:t>
      </w:r>
      <w:r>
        <w:rPr>
          <w:sz w:val="22"/>
        </w:rPr>
        <w:t>a</w:t>
      </w:r>
      <w:r>
        <w:rPr>
          <w:spacing w:val="-33"/>
          <w:sz w:val="22"/>
        </w:rPr>
        <w:t> </w:t>
      </w:r>
      <w:r>
        <w:rPr>
          <w:spacing w:val="13"/>
          <w:sz w:val="22"/>
        </w:rPr>
        <w:t>demic</w:t>
      </w:r>
      <w:r>
        <w:rPr>
          <w:spacing w:val="3"/>
          <w:sz w:val="22"/>
        </w:rPr>
        <w:t> </w:t>
      </w:r>
      <w:r>
        <w:rPr>
          <w:spacing w:val="9"/>
          <w:sz w:val="22"/>
        </w:rPr>
        <w:t>requirements</w:t>
      </w:r>
    </w:p>
    <w:p>
      <w:pPr>
        <w:pStyle w:val="ListParagraph"/>
        <w:numPr>
          <w:ilvl w:val="0"/>
          <w:numId w:val="70"/>
        </w:numPr>
        <w:tabs>
          <w:tab w:pos="1171" w:val="left" w:leader="none"/>
          <w:tab w:pos="1172" w:val="left" w:leader="none"/>
        </w:tabs>
        <w:spacing w:line="240" w:lineRule="auto" w:before="16" w:after="0"/>
        <w:ind w:left="1171" w:right="0" w:hanging="372"/>
        <w:jc w:val="left"/>
        <w:rPr>
          <w:sz w:val="20"/>
        </w:rPr>
      </w:pPr>
      <w:r>
        <w:rPr>
          <w:spacing w:val="10"/>
          <w:sz w:val="22"/>
        </w:rPr>
        <w:t>making</w:t>
      </w:r>
      <w:r>
        <w:rPr>
          <w:spacing w:val="3"/>
          <w:sz w:val="22"/>
        </w:rPr>
        <w:t> </w:t>
      </w:r>
      <w:r>
        <w:rPr>
          <w:sz w:val="22"/>
        </w:rPr>
        <w:t>referrals</w:t>
      </w:r>
      <w:r>
        <w:rPr>
          <w:spacing w:val="2"/>
          <w:sz w:val="22"/>
        </w:rPr>
        <w:t> </w:t>
      </w:r>
      <w:r>
        <w:rPr>
          <w:sz w:val="22"/>
        </w:rPr>
        <w:t>to</w:t>
      </w:r>
      <w:r>
        <w:rPr>
          <w:spacing w:val="21"/>
          <w:sz w:val="22"/>
        </w:rPr>
        <w:t> </w:t>
      </w:r>
      <w:r>
        <w:rPr>
          <w:sz w:val="22"/>
        </w:rPr>
        <w:t>c</w:t>
      </w:r>
      <w:r>
        <w:rPr>
          <w:spacing w:val="-30"/>
          <w:sz w:val="22"/>
        </w:rPr>
        <w:t> </w:t>
      </w:r>
      <w:r>
        <w:rPr>
          <w:spacing w:val="14"/>
          <w:sz w:val="22"/>
        </w:rPr>
        <w:t>ampus</w:t>
      </w:r>
      <w:r>
        <w:rPr>
          <w:spacing w:val="8"/>
          <w:sz w:val="22"/>
        </w:rPr>
        <w:t> </w:t>
      </w:r>
      <w:r>
        <w:rPr>
          <w:spacing w:val="13"/>
          <w:sz w:val="22"/>
        </w:rPr>
        <w:t>and</w:t>
      </w:r>
      <w:r>
        <w:rPr>
          <w:spacing w:val="22"/>
          <w:sz w:val="22"/>
        </w:rPr>
        <w:t> </w:t>
      </w:r>
      <w:r>
        <w:rPr>
          <w:sz w:val="22"/>
        </w:rPr>
        <w:t>c</w:t>
      </w:r>
      <w:r>
        <w:rPr>
          <w:spacing w:val="-33"/>
          <w:sz w:val="22"/>
        </w:rPr>
        <w:t> </w:t>
      </w:r>
      <w:r>
        <w:rPr>
          <w:spacing w:val="9"/>
          <w:sz w:val="22"/>
        </w:rPr>
        <w:t>ommunity</w:t>
      </w:r>
      <w:r>
        <w:rPr>
          <w:spacing w:val="-2"/>
          <w:sz w:val="22"/>
        </w:rPr>
        <w:t> </w:t>
      </w:r>
      <w:r>
        <w:rPr>
          <w:spacing w:val="9"/>
          <w:sz w:val="22"/>
        </w:rPr>
        <w:t>resourc</w:t>
      </w:r>
      <w:r>
        <w:rPr>
          <w:spacing w:val="-34"/>
          <w:sz w:val="22"/>
        </w:rPr>
        <w:t> </w:t>
      </w:r>
      <w:r>
        <w:rPr>
          <w:spacing w:val="-5"/>
          <w:sz w:val="22"/>
        </w:rPr>
        <w:t>es</w:t>
      </w:r>
    </w:p>
    <w:p>
      <w:pPr>
        <w:pStyle w:val="ListParagraph"/>
        <w:numPr>
          <w:ilvl w:val="0"/>
          <w:numId w:val="70"/>
        </w:numPr>
        <w:tabs>
          <w:tab w:pos="1173" w:val="left" w:leader="none"/>
          <w:tab w:pos="1174" w:val="left" w:leader="none"/>
        </w:tabs>
        <w:spacing w:line="240" w:lineRule="auto" w:before="18" w:after="0"/>
        <w:ind w:left="1174" w:right="0" w:hanging="374"/>
        <w:jc w:val="left"/>
        <w:rPr>
          <w:sz w:val="20"/>
        </w:rPr>
      </w:pPr>
      <w:r>
        <w:rPr>
          <w:spacing w:val="13"/>
          <w:sz w:val="22"/>
        </w:rPr>
        <w:t>and</w:t>
      </w:r>
      <w:r>
        <w:rPr>
          <w:spacing w:val="22"/>
          <w:sz w:val="22"/>
        </w:rPr>
        <w:t> </w:t>
      </w:r>
      <w:r>
        <w:rPr>
          <w:sz w:val="22"/>
        </w:rPr>
        <w:t>assisting</w:t>
      </w:r>
      <w:r>
        <w:rPr>
          <w:spacing w:val="19"/>
          <w:sz w:val="22"/>
        </w:rPr>
        <w:t> </w:t>
      </w:r>
      <w:r>
        <w:rPr>
          <w:sz w:val="22"/>
        </w:rPr>
        <w:t>with</w:t>
      </w:r>
      <w:r>
        <w:rPr>
          <w:spacing w:val="14"/>
          <w:sz w:val="22"/>
        </w:rPr>
        <w:t> </w:t>
      </w:r>
      <w:r>
        <w:rPr>
          <w:spacing w:val="12"/>
          <w:sz w:val="22"/>
        </w:rPr>
        <w:t>degree</w:t>
      </w:r>
      <w:r>
        <w:rPr>
          <w:spacing w:val="19"/>
          <w:sz w:val="22"/>
        </w:rPr>
        <w:t> </w:t>
      </w:r>
      <w:r>
        <w:rPr>
          <w:spacing w:val="8"/>
          <w:sz w:val="22"/>
        </w:rPr>
        <w:t>planning</w:t>
      </w:r>
    </w:p>
    <w:p>
      <w:pPr>
        <w:spacing w:line="256" w:lineRule="auto" w:before="19"/>
        <w:ind w:left="440" w:right="642" w:firstLine="0"/>
        <w:jc w:val="left"/>
        <w:rPr>
          <w:sz w:val="24"/>
        </w:rPr>
      </w:pPr>
      <w:r>
        <w:rPr>
          <w:sz w:val="24"/>
        </w:rPr>
        <w:t>Ultim</w:t>
      </w:r>
      <w:r>
        <w:rPr>
          <w:spacing w:val="-36"/>
          <w:sz w:val="24"/>
        </w:rPr>
        <w:t> </w:t>
      </w:r>
      <w:r>
        <w:rPr>
          <w:spacing w:val="9"/>
          <w:sz w:val="24"/>
        </w:rPr>
        <w:t>ately,</w:t>
      </w:r>
      <w:r>
        <w:rPr>
          <w:spacing w:val="-2"/>
          <w:sz w:val="24"/>
        </w:rPr>
        <w:t> </w:t>
      </w:r>
      <w:r>
        <w:rPr>
          <w:sz w:val="24"/>
        </w:rPr>
        <w:t>the </w:t>
      </w:r>
      <w:r>
        <w:rPr>
          <w:spacing w:val="9"/>
          <w:sz w:val="24"/>
        </w:rPr>
        <w:t>responsibility</w:t>
      </w:r>
      <w:r>
        <w:rPr>
          <w:spacing w:val="3"/>
          <w:sz w:val="24"/>
        </w:rPr>
        <w:t> </w:t>
      </w:r>
      <w:r>
        <w:rPr>
          <w:sz w:val="24"/>
        </w:rPr>
        <w:t>for</w:t>
      </w:r>
      <w:r>
        <w:rPr>
          <w:spacing w:val="-4"/>
          <w:sz w:val="24"/>
        </w:rPr>
        <w:t> </w:t>
      </w:r>
      <w:r>
        <w:rPr>
          <w:sz w:val="24"/>
        </w:rPr>
        <w:t>seeking</w:t>
      </w:r>
      <w:r>
        <w:rPr>
          <w:spacing w:val="23"/>
          <w:sz w:val="24"/>
        </w:rPr>
        <w:t> </w:t>
      </w:r>
      <w:r>
        <w:rPr>
          <w:sz w:val="24"/>
        </w:rPr>
        <w:t>a</w:t>
      </w:r>
      <w:r>
        <w:rPr>
          <w:spacing w:val="-35"/>
          <w:sz w:val="24"/>
        </w:rPr>
        <w:t> </w:t>
      </w:r>
      <w:r>
        <w:rPr>
          <w:spacing w:val="18"/>
          <w:sz w:val="24"/>
        </w:rPr>
        <w:t>dequate </w:t>
      </w:r>
      <w:r>
        <w:rPr>
          <w:sz w:val="24"/>
        </w:rPr>
        <w:t>a</w:t>
      </w:r>
      <w:r>
        <w:rPr>
          <w:spacing w:val="-37"/>
          <w:sz w:val="24"/>
        </w:rPr>
        <w:t> </w:t>
      </w:r>
      <w:r>
        <w:rPr>
          <w:spacing w:val="12"/>
          <w:sz w:val="24"/>
        </w:rPr>
        <w:t>dvisement </w:t>
      </w:r>
      <w:r>
        <w:rPr>
          <w:spacing w:val="14"/>
          <w:sz w:val="24"/>
        </w:rPr>
        <w:t>belongs</w:t>
      </w:r>
      <w:r>
        <w:rPr>
          <w:spacing w:val="3"/>
          <w:sz w:val="24"/>
        </w:rPr>
        <w:t> </w:t>
      </w:r>
      <w:r>
        <w:rPr>
          <w:sz w:val="24"/>
        </w:rPr>
        <w:t>to </w:t>
      </w:r>
      <w:r>
        <w:rPr>
          <w:spacing w:val="9"/>
          <w:sz w:val="24"/>
        </w:rPr>
        <w:t>the </w:t>
      </w:r>
      <w:r>
        <w:rPr>
          <w:spacing w:val="13"/>
          <w:sz w:val="24"/>
        </w:rPr>
        <w:t>student.</w:t>
      </w:r>
      <w:r>
        <w:rPr>
          <w:spacing w:val="40"/>
          <w:sz w:val="24"/>
        </w:rPr>
        <w:t> </w:t>
      </w:r>
      <w:r>
        <w:rPr>
          <w:sz w:val="24"/>
        </w:rPr>
        <w:t>You must:</w:t>
      </w:r>
    </w:p>
    <w:p>
      <w:pPr>
        <w:pStyle w:val="ListParagraph"/>
        <w:numPr>
          <w:ilvl w:val="0"/>
          <w:numId w:val="70"/>
        </w:numPr>
        <w:tabs>
          <w:tab w:pos="1159" w:val="left" w:leader="none"/>
          <w:tab w:pos="1160" w:val="left" w:leader="none"/>
        </w:tabs>
        <w:spacing w:line="248" w:lineRule="exact" w:before="0" w:after="0"/>
        <w:ind w:left="1160" w:right="0" w:hanging="360"/>
        <w:jc w:val="left"/>
        <w:rPr>
          <w:sz w:val="20"/>
        </w:rPr>
      </w:pPr>
      <w:r>
        <w:rPr>
          <w:spacing w:val="10"/>
          <w:sz w:val="22"/>
        </w:rPr>
        <w:t>know</w:t>
      </w:r>
      <w:r>
        <w:rPr>
          <w:spacing w:val="22"/>
          <w:sz w:val="22"/>
        </w:rPr>
        <w:t> </w:t>
      </w:r>
      <w:r>
        <w:rPr>
          <w:spacing w:val="13"/>
          <w:sz w:val="22"/>
        </w:rPr>
        <w:t>and</w:t>
      </w:r>
      <w:r>
        <w:rPr>
          <w:spacing w:val="23"/>
          <w:sz w:val="22"/>
        </w:rPr>
        <w:t> </w:t>
      </w:r>
      <w:r>
        <w:rPr>
          <w:spacing w:val="12"/>
          <w:sz w:val="22"/>
        </w:rPr>
        <w:t>meet</w:t>
      </w:r>
      <w:r>
        <w:rPr>
          <w:spacing w:val="19"/>
          <w:sz w:val="22"/>
        </w:rPr>
        <w:t> </w:t>
      </w:r>
      <w:r>
        <w:rPr>
          <w:spacing w:val="14"/>
          <w:sz w:val="22"/>
        </w:rPr>
        <w:t>degree</w:t>
      </w:r>
      <w:r>
        <w:rPr>
          <w:spacing w:val="8"/>
          <w:sz w:val="22"/>
        </w:rPr>
        <w:t> </w:t>
      </w:r>
      <w:r>
        <w:rPr>
          <w:spacing w:val="9"/>
          <w:sz w:val="22"/>
        </w:rPr>
        <w:t>requirements</w:t>
      </w:r>
    </w:p>
    <w:p>
      <w:pPr>
        <w:pStyle w:val="ListParagraph"/>
        <w:numPr>
          <w:ilvl w:val="0"/>
          <w:numId w:val="70"/>
        </w:numPr>
        <w:tabs>
          <w:tab w:pos="1170" w:val="left" w:leader="none"/>
          <w:tab w:pos="1171" w:val="left" w:leader="none"/>
        </w:tabs>
        <w:spacing w:line="240" w:lineRule="auto" w:before="18" w:after="0"/>
        <w:ind w:left="1170" w:right="0" w:hanging="371"/>
        <w:jc w:val="left"/>
        <w:rPr>
          <w:sz w:val="20"/>
        </w:rPr>
      </w:pPr>
      <w:r>
        <w:rPr>
          <w:sz w:val="22"/>
        </w:rPr>
        <w:t>ensure</w:t>
      </w:r>
      <w:r>
        <w:rPr>
          <w:spacing w:val="9"/>
          <w:sz w:val="22"/>
        </w:rPr>
        <w:t> </w:t>
      </w:r>
      <w:r>
        <w:rPr>
          <w:sz w:val="22"/>
        </w:rPr>
        <w:t>timely</w:t>
      </w:r>
      <w:r>
        <w:rPr>
          <w:spacing w:val="12"/>
          <w:sz w:val="22"/>
        </w:rPr>
        <w:t> </w:t>
      </w:r>
      <w:r>
        <w:rPr>
          <w:spacing w:val="9"/>
          <w:sz w:val="22"/>
        </w:rPr>
        <w:t>progress</w:t>
      </w:r>
      <w:r>
        <w:rPr>
          <w:spacing w:val="2"/>
          <w:sz w:val="22"/>
        </w:rPr>
        <w:t> </w:t>
      </w:r>
      <w:r>
        <w:rPr>
          <w:spacing w:val="15"/>
          <w:sz w:val="22"/>
        </w:rPr>
        <w:t>toward</w:t>
      </w:r>
      <w:r>
        <w:rPr>
          <w:spacing w:val="22"/>
          <w:sz w:val="22"/>
        </w:rPr>
        <w:t> </w:t>
      </w:r>
      <w:r>
        <w:rPr>
          <w:sz w:val="22"/>
        </w:rPr>
        <w:t>a</w:t>
      </w:r>
      <w:r>
        <w:rPr>
          <w:spacing w:val="23"/>
          <w:sz w:val="22"/>
        </w:rPr>
        <w:t> </w:t>
      </w:r>
      <w:r>
        <w:rPr>
          <w:spacing w:val="14"/>
          <w:sz w:val="22"/>
        </w:rPr>
        <w:t>degree</w:t>
      </w:r>
      <w:r>
        <w:rPr>
          <w:spacing w:val="12"/>
          <w:sz w:val="22"/>
        </w:rPr>
        <w:t> </w:t>
      </w:r>
      <w:r>
        <w:rPr>
          <w:spacing w:val="11"/>
          <w:sz w:val="22"/>
        </w:rPr>
        <w:t>through</w:t>
      </w:r>
      <w:r>
        <w:rPr>
          <w:spacing w:val="14"/>
          <w:sz w:val="22"/>
        </w:rPr>
        <w:t> </w:t>
      </w:r>
      <w:r>
        <w:rPr>
          <w:sz w:val="22"/>
        </w:rPr>
        <w:t>ap</w:t>
      </w:r>
      <w:r>
        <w:rPr>
          <w:spacing w:val="-33"/>
          <w:sz w:val="22"/>
        </w:rPr>
        <w:t> </w:t>
      </w:r>
      <w:r>
        <w:rPr>
          <w:spacing w:val="12"/>
          <w:sz w:val="22"/>
        </w:rPr>
        <w:t>propriate</w:t>
      </w:r>
      <w:r>
        <w:rPr>
          <w:spacing w:val="20"/>
          <w:sz w:val="22"/>
        </w:rPr>
        <w:t> </w:t>
      </w:r>
      <w:r>
        <w:rPr>
          <w:sz w:val="22"/>
        </w:rPr>
        <w:t>c</w:t>
      </w:r>
      <w:r>
        <w:rPr>
          <w:spacing w:val="-33"/>
          <w:sz w:val="22"/>
        </w:rPr>
        <w:t> </w:t>
      </w:r>
      <w:r>
        <w:rPr>
          <w:sz w:val="22"/>
        </w:rPr>
        <w:t>ourse</w:t>
      </w:r>
      <w:r>
        <w:rPr>
          <w:spacing w:val="4"/>
          <w:sz w:val="22"/>
        </w:rPr>
        <w:t> </w:t>
      </w:r>
      <w:r>
        <w:rPr>
          <w:spacing w:val="10"/>
          <w:sz w:val="22"/>
        </w:rPr>
        <w:t>selection</w:t>
      </w:r>
    </w:p>
    <w:p>
      <w:pPr>
        <w:pStyle w:val="ListParagraph"/>
        <w:numPr>
          <w:ilvl w:val="0"/>
          <w:numId w:val="70"/>
        </w:numPr>
        <w:tabs>
          <w:tab w:pos="1173" w:val="left" w:leader="none"/>
          <w:tab w:pos="1174" w:val="left" w:leader="none"/>
        </w:tabs>
        <w:spacing w:line="240" w:lineRule="auto" w:before="16" w:after="0"/>
        <w:ind w:left="1174" w:right="0" w:hanging="374"/>
        <w:jc w:val="left"/>
        <w:rPr>
          <w:sz w:val="20"/>
        </w:rPr>
      </w:pPr>
      <w:r>
        <w:rPr>
          <w:spacing w:val="13"/>
          <w:sz w:val="22"/>
        </w:rPr>
        <w:t>and</w:t>
      </w:r>
      <w:r>
        <w:rPr>
          <w:spacing w:val="33"/>
          <w:sz w:val="22"/>
        </w:rPr>
        <w:t> </w:t>
      </w:r>
      <w:r>
        <w:rPr>
          <w:spacing w:val="12"/>
          <w:sz w:val="22"/>
        </w:rPr>
        <w:t>be</w:t>
      </w:r>
      <w:r>
        <w:rPr>
          <w:spacing w:val="28"/>
          <w:sz w:val="22"/>
        </w:rPr>
        <w:t> </w:t>
      </w:r>
      <w:r>
        <w:rPr>
          <w:spacing w:val="14"/>
          <w:sz w:val="22"/>
        </w:rPr>
        <w:t>aware</w:t>
      </w:r>
      <w:r>
        <w:rPr>
          <w:spacing w:val="26"/>
          <w:sz w:val="22"/>
        </w:rPr>
        <w:t> </w:t>
      </w:r>
      <w:r>
        <w:rPr>
          <w:sz w:val="22"/>
        </w:rPr>
        <w:t>of</w:t>
      </w:r>
      <w:r>
        <w:rPr>
          <w:spacing w:val="24"/>
          <w:sz w:val="22"/>
        </w:rPr>
        <w:t> </w:t>
      </w:r>
      <w:r>
        <w:rPr>
          <w:sz w:val="22"/>
        </w:rPr>
        <w:t>current</w:t>
      </w:r>
      <w:r>
        <w:rPr>
          <w:spacing w:val="25"/>
          <w:sz w:val="22"/>
        </w:rPr>
        <w:t> </w:t>
      </w:r>
      <w:r>
        <w:rPr>
          <w:sz w:val="22"/>
        </w:rPr>
        <w:t>a</w:t>
      </w:r>
      <w:r>
        <w:rPr>
          <w:spacing w:val="-29"/>
          <w:sz w:val="22"/>
        </w:rPr>
        <w:t> </w:t>
      </w:r>
      <w:r>
        <w:rPr>
          <w:sz w:val="22"/>
        </w:rPr>
        <w:t>c</w:t>
      </w:r>
      <w:r>
        <w:rPr>
          <w:spacing w:val="-28"/>
          <w:sz w:val="22"/>
        </w:rPr>
        <w:t> </w:t>
      </w:r>
      <w:r>
        <w:rPr>
          <w:sz w:val="22"/>
        </w:rPr>
        <w:t>a</w:t>
      </w:r>
      <w:r>
        <w:rPr>
          <w:spacing w:val="-31"/>
          <w:sz w:val="22"/>
        </w:rPr>
        <w:t> </w:t>
      </w:r>
      <w:r>
        <w:rPr>
          <w:spacing w:val="13"/>
          <w:sz w:val="22"/>
        </w:rPr>
        <w:t>demic</w:t>
      </w:r>
      <w:r>
        <w:rPr>
          <w:spacing w:val="36"/>
          <w:sz w:val="22"/>
        </w:rPr>
        <w:t> </w:t>
      </w:r>
      <w:r>
        <w:rPr>
          <w:spacing w:val="13"/>
          <w:sz w:val="22"/>
        </w:rPr>
        <w:t>and</w:t>
      </w:r>
      <w:r>
        <w:rPr>
          <w:spacing w:val="33"/>
          <w:sz w:val="22"/>
        </w:rPr>
        <w:t> </w:t>
      </w:r>
      <w:r>
        <w:rPr>
          <w:spacing w:val="15"/>
          <w:sz w:val="22"/>
        </w:rPr>
        <w:t>departmental</w:t>
      </w:r>
      <w:r>
        <w:rPr>
          <w:spacing w:val="4"/>
          <w:sz w:val="22"/>
        </w:rPr>
        <w:t> </w:t>
      </w:r>
      <w:r>
        <w:rPr>
          <w:spacing w:val="9"/>
          <w:sz w:val="22"/>
        </w:rPr>
        <w:t>information</w:t>
      </w:r>
    </w:p>
    <w:p>
      <w:pPr>
        <w:spacing w:line="254" w:lineRule="auto" w:before="21"/>
        <w:ind w:left="444" w:right="642" w:hanging="5"/>
        <w:jc w:val="left"/>
        <w:rPr>
          <w:sz w:val="24"/>
        </w:rPr>
      </w:pPr>
      <w:r>
        <w:rPr>
          <w:spacing w:val="11"/>
          <w:sz w:val="24"/>
        </w:rPr>
        <w:t>Review </w:t>
      </w:r>
      <w:r>
        <w:rPr>
          <w:sz w:val="24"/>
        </w:rPr>
        <w:t>your </w:t>
      </w:r>
      <w:r>
        <w:rPr>
          <w:spacing w:val="13"/>
          <w:sz w:val="24"/>
        </w:rPr>
        <w:t>Ac</w:t>
      </w:r>
      <w:r>
        <w:rPr>
          <w:spacing w:val="-34"/>
          <w:sz w:val="24"/>
        </w:rPr>
        <w:t> </w:t>
      </w:r>
      <w:r>
        <w:rPr>
          <w:sz w:val="24"/>
        </w:rPr>
        <w:t>a</w:t>
      </w:r>
      <w:r>
        <w:rPr>
          <w:spacing w:val="-37"/>
          <w:sz w:val="24"/>
        </w:rPr>
        <w:t> </w:t>
      </w:r>
      <w:r>
        <w:rPr>
          <w:spacing w:val="16"/>
          <w:sz w:val="24"/>
        </w:rPr>
        <w:t>demic </w:t>
      </w:r>
      <w:r>
        <w:rPr>
          <w:spacing w:val="17"/>
          <w:sz w:val="24"/>
        </w:rPr>
        <w:t>Catalog </w:t>
      </w:r>
      <w:r>
        <w:rPr>
          <w:sz w:val="24"/>
        </w:rPr>
        <w:t>prior to your </w:t>
      </w:r>
      <w:r>
        <w:rPr>
          <w:spacing w:val="17"/>
          <w:sz w:val="24"/>
        </w:rPr>
        <w:t>appointment</w:t>
      </w:r>
      <w:r>
        <w:rPr>
          <w:spacing w:val="12"/>
          <w:sz w:val="24"/>
        </w:rPr>
        <w:t> </w:t>
      </w:r>
      <w:r>
        <w:rPr>
          <w:sz w:val="24"/>
        </w:rPr>
        <w:t>to </w:t>
      </w:r>
      <w:r>
        <w:rPr>
          <w:spacing w:val="15"/>
          <w:sz w:val="24"/>
        </w:rPr>
        <w:t>prepare </w:t>
      </w:r>
      <w:r>
        <w:rPr>
          <w:spacing w:val="10"/>
          <w:sz w:val="24"/>
        </w:rPr>
        <w:t>questions </w:t>
      </w:r>
      <w:r>
        <w:rPr>
          <w:sz w:val="24"/>
        </w:rPr>
        <w:t>for </w:t>
      </w:r>
      <w:r>
        <w:rPr>
          <w:spacing w:val="9"/>
          <w:sz w:val="24"/>
        </w:rPr>
        <w:t>your </w:t>
      </w:r>
      <w:r>
        <w:rPr>
          <w:spacing w:val="16"/>
          <w:sz w:val="24"/>
        </w:rPr>
        <w:t>appointment.</w:t>
      </w:r>
    </w:p>
    <w:p>
      <w:pPr>
        <w:pStyle w:val="Heading8"/>
        <w:ind w:left="441"/>
      </w:pPr>
      <w:r>
        <w:rPr>
          <w:w w:val="90"/>
        </w:rPr>
        <w:t>ADVISOR</w:t>
      </w:r>
      <w:r>
        <w:rPr>
          <w:spacing w:val="49"/>
        </w:rPr>
        <w:t> </w:t>
      </w:r>
      <w:r>
        <w:rPr>
          <w:spacing w:val="-2"/>
          <w:w w:val="90"/>
        </w:rPr>
        <w:t>RESPONSIBILITIES</w:t>
      </w:r>
    </w:p>
    <w:p>
      <w:pPr>
        <w:pStyle w:val="BodyText"/>
        <w:spacing w:before="10"/>
        <w:rPr>
          <w:b/>
          <w:sz w:val="31"/>
        </w:rPr>
      </w:pPr>
    </w:p>
    <w:p>
      <w:pPr>
        <w:pStyle w:val="ListParagraph"/>
        <w:numPr>
          <w:ilvl w:val="0"/>
          <w:numId w:val="70"/>
        </w:numPr>
        <w:tabs>
          <w:tab w:pos="1159" w:val="left" w:leader="none"/>
          <w:tab w:pos="1161" w:val="left" w:leader="none"/>
        </w:tabs>
        <w:spacing w:line="240" w:lineRule="auto" w:before="0" w:after="0"/>
        <w:ind w:left="1160" w:right="0" w:hanging="333"/>
        <w:jc w:val="left"/>
        <w:rPr>
          <w:sz w:val="22"/>
        </w:rPr>
      </w:pPr>
      <w:r>
        <w:rPr>
          <w:sz w:val="22"/>
        </w:rPr>
        <w:t>Help</w:t>
      </w:r>
      <w:r>
        <w:rPr>
          <w:spacing w:val="16"/>
          <w:sz w:val="22"/>
        </w:rPr>
        <w:t> </w:t>
      </w:r>
      <w:r>
        <w:rPr>
          <w:spacing w:val="10"/>
          <w:sz w:val="22"/>
        </w:rPr>
        <w:t>you </w:t>
      </w:r>
      <w:r>
        <w:rPr>
          <w:spacing w:val="12"/>
          <w:sz w:val="22"/>
        </w:rPr>
        <w:t>understand</w:t>
      </w:r>
      <w:r>
        <w:rPr>
          <w:spacing w:val="18"/>
          <w:sz w:val="22"/>
        </w:rPr>
        <w:t> </w:t>
      </w:r>
      <w:r>
        <w:rPr>
          <w:spacing w:val="9"/>
          <w:sz w:val="22"/>
        </w:rPr>
        <w:t>the</w:t>
      </w:r>
      <w:r>
        <w:rPr>
          <w:spacing w:val="21"/>
          <w:sz w:val="22"/>
        </w:rPr>
        <w:t> </w:t>
      </w:r>
      <w:r>
        <w:rPr>
          <w:spacing w:val="13"/>
          <w:sz w:val="22"/>
        </w:rPr>
        <w:t>meaning</w:t>
      </w:r>
      <w:r>
        <w:rPr>
          <w:spacing w:val="26"/>
          <w:sz w:val="22"/>
        </w:rPr>
        <w:t> </w:t>
      </w:r>
      <w:r>
        <w:rPr>
          <w:spacing w:val="13"/>
          <w:sz w:val="22"/>
        </w:rPr>
        <w:t>and </w:t>
      </w:r>
      <w:r>
        <w:rPr>
          <w:spacing w:val="14"/>
          <w:sz w:val="22"/>
        </w:rPr>
        <w:t>relevance</w:t>
      </w:r>
      <w:r>
        <w:rPr>
          <w:spacing w:val="19"/>
          <w:sz w:val="22"/>
        </w:rPr>
        <w:t> </w:t>
      </w:r>
      <w:r>
        <w:rPr>
          <w:sz w:val="22"/>
        </w:rPr>
        <w:t>of</w:t>
      </w:r>
      <w:r>
        <w:rPr>
          <w:spacing w:val="9"/>
          <w:sz w:val="22"/>
        </w:rPr>
        <w:t> the</w:t>
      </w:r>
      <w:r>
        <w:rPr>
          <w:spacing w:val="15"/>
          <w:sz w:val="22"/>
        </w:rPr>
        <w:t> </w:t>
      </w:r>
      <w:r>
        <w:rPr>
          <w:sz w:val="22"/>
        </w:rPr>
        <w:t>university</w:t>
      </w:r>
      <w:r>
        <w:rPr>
          <w:spacing w:val="9"/>
          <w:sz w:val="22"/>
        </w:rPr>
        <w:t> </w:t>
      </w:r>
      <w:r>
        <w:rPr>
          <w:spacing w:val="11"/>
          <w:sz w:val="22"/>
        </w:rPr>
        <w:t>experienc</w:t>
      </w:r>
      <w:r>
        <w:rPr>
          <w:spacing w:val="-34"/>
          <w:sz w:val="22"/>
        </w:rPr>
        <w:t> </w:t>
      </w:r>
      <w:r>
        <w:rPr>
          <w:spacing w:val="-5"/>
          <w:sz w:val="22"/>
        </w:rPr>
        <w:t>e.</w:t>
      </w:r>
    </w:p>
    <w:p>
      <w:pPr>
        <w:pStyle w:val="ListParagraph"/>
        <w:numPr>
          <w:ilvl w:val="0"/>
          <w:numId w:val="70"/>
        </w:numPr>
        <w:tabs>
          <w:tab w:pos="1168" w:val="left" w:leader="none"/>
          <w:tab w:pos="1169" w:val="left" w:leader="none"/>
        </w:tabs>
        <w:spacing w:line="254" w:lineRule="auto" w:before="18" w:after="0"/>
        <w:ind w:left="1164" w:right="1084" w:hanging="336"/>
        <w:jc w:val="left"/>
        <w:rPr>
          <w:sz w:val="22"/>
        </w:rPr>
      </w:pPr>
      <w:r>
        <w:rPr>
          <w:sz w:val="22"/>
        </w:rPr>
        <w:t>Assist</w:t>
      </w:r>
      <w:r>
        <w:rPr>
          <w:spacing w:val="-10"/>
          <w:sz w:val="22"/>
        </w:rPr>
        <w:t> </w:t>
      </w:r>
      <w:r>
        <w:rPr>
          <w:spacing w:val="10"/>
          <w:sz w:val="22"/>
        </w:rPr>
        <w:t>you</w:t>
      </w:r>
      <w:r>
        <w:rPr>
          <w:spacing w:val="-3"/>
          <w:sz w:val="22"/>
        </w:rPr>
        <w:t> </w:t>
      </w:r>
      <w:r>
        <w:rPr>
          <w:sz w:val="22"/>
        </w:rPr>
        <w:t>in </w:t>
      </w:r>
      <w:r>
        <w:rPr>
          <w:spacing w:val="13"/>
          <w:sz w:val="22"/>
        </w:rPr>
        <w:t>developing and </w:t>
      </w:r>
      <w:r>
        <w:rPr>
          <w:sz w:val="22"/>
        </w:rPr>
        <w:t>a</w:t>
      </w:r>
      <w:r>
        <w:rPr>
          <w:spacing w:val="-31"/>
          <w:sz w:val="22"/>
        </w:rPr>
        <w:t> </w:t>
      </w:r>
      <w:r>
        <w:rPr>
          <w:spacing w:val="10"/>
          <w:sz w:val="22"/>
        </w:rPr>
        <w:t>chieving</w:t>
      </w:r>
      <w:r>
        <w:rPr>
          <w:spacing w:val="4"/>
          <w:sz w:val="22"/>
        </w:rPr>
        <w:t> </w:t>
      </w:r>
      <w:r>
        <w:rPr>
          <w:sz w:val="22"/>
        </w:rPr>
        <w:t>realistic</w:t>
      </w:r>
      <w:r>
        <w:rPr>
          <w:spacing w:val="20"/>
          <w:sz w:val="22"/>
        </w:rPr>
        <w:t> </w:t>
      </w:r>
      <w:r>
        <w:rPr>
          <w:sz w:val="22"/>
        </w:rPr>
        <w:t>a</w:t>
      </w:r>
      <w:r>
        <w:rPr>
          <w:spacing w:val="-33"/>
          <w:sz w:val="22"/>
        </w:rPr>
        <w:t> </w:t>
      </w:r>
      <w:r>
        <w:rPr>
          <w:sz w:val="22"/>
        </w:rPr>
        <w:t>c</w:t>
      </w:r>
      <w:r>
        <w:rPr>
          <w:spacing w:val="-30"/>
          <w:sz w:val="22"/>
        </w:rPr>
        <w:t> </w:t>
      </w:r>
      <w:r>
        <w:rPr>
          <w:spacing w:val="16"/>
          <w:sz w:val="22"/>
        </w:rPr>
        <w:t>ademic </w:t>
      </w:r>
      <w:r>
        <w:rPr>
          <w:spacing w:val="11"/>
          <w:sz w:val="22"/>
        </w:rPr>
        <w:t>goals</w:t>
      </w:r>
      <w:r>
        <w:rPr>
          <w:spacing w:val="5"/>
          <w:sz w:val="22"/>
        </w:rPr>
        <w:t> </w:t>
      </w:r>
      <w:r>
        <w:rPr>
          <w:sz w:val="22"/>
        </w:rPr>
        <w:t>b</w:t>
      </w:r>
      <w:r>
        <w:rPr>
          <w:spacing w:val="-33"/>
          <w:sz w:val="22"/>
        </w:rPr>
        <w:t> </w:t>
      </w:r>
      <w:r>
        <w:rPr>
          <w:spacing w:val="11"/>
          <w:sz w:val="22"/>
        </w:rPr>
        <w:t>ased</w:t>
      </w:r>
      <w:r>
        <w:rPr>
          <w:spacing w:val="10"/>
          <w:sz w:val="22"/>
        </w:rPr>
        <w:t> </w:t>
      </w:r>
      <w:r>
        <w:rPr>
          <w:spacing w:val="15"/>
          <w:sz w:val="22"/>
        </w:rPr>
        <w:t>upon </w:t>
      </w:r>
      <w:r>
        <w:rPr>
          <w:sz w:val="22"/>
        </w:rPr>
        <w:t>your interests, abilities </w:t>
      </w:r>
      <w:r>
        <w:rPr>
          <w:spacing w:val="13"/>
          <w:sz w:val="22"/>
        </w:rPr>
        <w:t>and </w:t>
      </w:r>
      <w:r>
        <w:rPr>
          <w:spacing w:val="10"/>
          <w:sz w:val="22"/>
        </w:rPr>
        <w:t>needs.</w:t>
      </w:r>
    </w:p>
    <w:p>
      <w:pPr>
        <w:pStyle w:val="ListParagraph"/>
        <w:numPr>
          <w:ilvl w:val="0"/>
          <w:numId w:val="70"/>
        </w:numPr>
        <w:tabs>
          <w:tab w:pos="1160" w:val="left" w:leader="none"/>
          <w:tab w:pos="1161" w:val="left" w:leader="none"/>
        </w:tabs>
        <w:spacing w:line="240" w:lineRule="auto" w:before="3" w:after="0"/>
        <w:ind w:left="1160" w:right="0" w:hanging="333"/>
        <w:jc w:val="left"/>
        <w:rPr>
          <w:sz w:val="22"/>
        </w:rPr>
      </w:pPr>
      <w:r>
        <w:rPr>
          <w:spacing w:val="10"/>
          <w:w w:val="95"/>
          <w:sz w:val="22"/>
        </w:rPr>
        <w:t>Interpret</w:t>
      </w:r>
      <w:r>
        <w:rPr>
          <w:spacing w:val="33"/>
          <w:sz w:val="22"/>
        </w:rPr>
        <w:t> </w:t>
      </w:r>
      <w:r>
        <w:rPr>
          <w:w w:val="95"/>
          <w:sz w:val="22"/>
        </w:rPr>
        <w:t>university</w:t>
      </w:r>
      <w:r>
        <w:rPr>
          <w:spacing w:val="41"/>
          <w:sz w:val="22"/>
        </w:rPr>
        <w:t> </w:t>
      </w:r>
      <w:r>
        <w:rPr>
          <w:spacing w:val="9"/>
          <w:w w:val="95"/>
          <w:sz w:val="22"/>
        </w:rPr>
        <w:t>policies,</w:t>
      </w:r>
      <w:r>
        <w:rPr>
          <w:spacing w:val="34"/>
          <w:sz w:val="22"/>
        </w:rPr>
        <w:t> </w:t>
      </w:r>
      <w:r>
        <w:rPr>
          <w:spacing w:val="12"/>
          <w:w w:val="95"/>
          <w:sz w:val="22"/>
        </w:rPr>
        <w:t>proc</w:t>
      </w:r>
      <w:r>
        <w:rPr>
          <w:spacing w:val="-22"/>
          <w:w w:val="95"/>
          <w:sz w:val="22"/>
        </w:rPr>
        <w:t> </w:t>
      </w:r>
      <w:r>
        <w:rPr>
          <w:spacing w:val="10"/>
          <w:w w:val="95"/>
          <w:sz w:val="22"/>
        </w:rPr>
        <w:t>edures</w:t>
      </w:r>
      <w:r>
        <w:rPr>
          <w:spacing w:val="37"/>
          <w:sz w:val="22"/>
        </w:rPr>
        <w:t> </w:t>
      </w:r>
      <w:r>
        <w:rPr>
          <w:spacing w:val="13"/>
          <w:w w:val="95"/>
          <w:sz w:val="22"/>
        </w:rPr>
        <w:t>and</w:t>
      </w:r>
      <w:r>
        <w:rPr>
          <w:spacing w:val="38"/>
          <w:sz w:val="22"/>
        </w:rPr>
        <w:t> </w:t>
      </w:r>
      <w:r>
        <w:rPr>
          <w:spacing w:val="8"/>
          <w:w w:val="95"/>
          <w:sz w:val="22"/>
        </w:rPr>
        <w:t>requirements.</w:t>
      </w:r>
    </w:p>
    <w:p>
      <w:pPr>
        <w:pStyle w:val="ListParagraph"/>
        <w:numPr>
          <w:ilvl w:val="0"/>
          <w:numId w:val="70"/>
        </w:numPr>
        <w:tabs>
          <w:tab w:pos="1160" w:val="left" w:leader="none"/>
          <w:tab w:pos="1161" w:val="left" w:leader="none"/>
        </w:tabs>
        <w:spacing w:line="240" w:lineRule="auto" w:before="16" w:after="0"/>
        <w:ind w:left="1160" w:right="0" w:hanging="333"/>
        <w:jc w:val="left"/>
        <w:rPr>
          <w:sz w:val="22"/>
        </w:rPr>
      </w:pPr>
      <w:r>
        <w:rPr>
          <w:spacing w:val="9"/>
          <w:sz w:val="22"/>
        </w:rPr>
        <w:t>Refer</w:t>
      </w:r>
      <w:r>
        <w:rPr>
          <w:spacing w:val="-8"/>
          <w:sz w:val="22"/>
        </w:rPr>
        <w:t> </w:t>
      </w:r>
      <w:r>
        <w:rPr>
          <w:spacing w:val="10"/>
          <w:sz w:val="22"/>
        </w:rPr>
        <w:t>you</w:t>
      </w:r>
      <w:r>
        <w:rPr>
          <w:spacing w:val="6"/>
          <w:sz w:val="22"/>
        </w:rPr>
        <w:t> </w:t>
      </w:r>
      <w:r>
        <w:rPr>
          <w:sz w:val="22"/>
        </w:rPr>
        <w:t>to</w:t>
      </w:r>
      <w:r>
        <w:rPr>
          <w:spacing w:val="16"/>
          <w:sz w:val="22"/>
        </w:rPr>
        <w:t> </w:t>
      </w:r>
      <w:r>
        <w:rPr>
          <w:sz w:val="22"/>
        </w:rPr>
        <w:t>ap</w:t>
      </w:r>
      <w:r>
        <w:rPr>
          <w:spacing w:val="-33"/>
          <w:sz w:val="22"/>
        </w:rPr>
        <w:t> </w:t>
      </w:r>
      <w:r>
        <w:rPr>
          <w:spacing w:val="11"/>
          <w:sz w:val="22"/>
        </w:rPr>
        <w:t>propriate</w:t>
      </w:r>
      <w:r>
        <w:rPr>
          <w:spacing w:val="18"/>
          <w:sz w:val="22"/>
        </w:rPr>
        <w:t> </w:t>
      </w:r>
      <w:r>
        <w:rPr>
          <w:sz w:val="22"/>
        </w:rPr>
        <w:t>c</w:t>
      </w:r>
      <w:r>
        <w:rPr>
          <w:spacing w:val="-30"/>
          <w:sz w:val="22"/>
        </w:rPr>
        <w:t> </w:t>
      </w:r>
      <w:r>
        <w:rPr>
          <w:spacing w:val="14"/>
          <w:sz w:val="22"/>
        </w:rPr>
        <w:t>ampus</w:t>
      </w:r>
      <w:r>
        <w:rPr>
          <w:spacing w:val="-6"/>
          <w:sz w:val="22"/>
        </w:rPr>
        <w:t> </w:t>
      </w:r>
      <w:r>
        <w:rPr>
          <w:spacing w:val="7"/>
          <w:sz w:val="22"/>
        </w:rPr>
        <w:t>resources.</w:t>
      </w:r>
    </w:p>
    <w:p>
      <w:pPr>
        <w:pStyle w:val="ListParagraph"/>
        <w:numPr>
          <w:ilvl w:val="0"/>
          <w:numId w:val="70"/>
        </w:numPr>
        <w:tabs>
          <w:tab w:pos="1168" w:val="left" w:leader="none"/>
          <w:tab w:pos="1169" w:val="left" w:leader="none"/>
        </w:tabs>
        <w:spacing w:line="240" w:lineRule="auto" w:before="16" w:after="0"/>
        <w:ind w:left="1168" w:right="0" w:hanging="341"/>
        <w:jc w:val="left"/>
        <w:rPr>
          <w:sz w:val="22"/>
        </w:rPr>
      </w:pPr>
      <w:r>
        <w:rPr>
          <w:spacing w:val="9"/>
          <w:sz w:val="22"/>
        </w:rPr>
        <w:t>Ad</w:t>
      </w:r>
      <w:r>
        <w:rPr>
          <w:spacing w:val="-33"/>
          <w:sz w:val="22"/>
        </w:rPr>
        <w:t> </w:t>
      </w:r>
      <w:r>
        <w:rPr>
          <w:sz w:val="22"/>
        </w:rPr>
        <w:t>dress</w:t>
      </w:r>
      <w:r>
        <w:rPr>
          <w:spacing w:val="-13"/>
          <w:sz w:val="22"/>
        </w:rPr>
        <w:t> </w:t>
      </w:r>
      <w:r>
        <w:rPr>
          <w:sz w:val="22"/>
        </w:rPr>
        <w:t>your</w:t>
      </w:r>
      <w:r>
        <w:rPr>
          <w:spacing w:val="7"/>
          <w:sz w:val="22"/>
        </w:rPr>
        <w:t> </w:t>
      </w:r>
      <w:r>
        <w:rPr>
          <w:sz w:val="22"/>
        </w:rPr>
        <w:t>a</w:t>
      </w:r>
      <w:r>
        <w:rPr>
          <w:spacing w:val="-33"/>
          <w:sz w:val="22"/>
        </w:rPr>
        <w:t> </w:t>
      </w:r>
      <w:r>
        <w:rPr>
          <w:sz w:val="22"/>
        </w:rPr>
        <w:t>c</w:t>
      </w:r>
      <w:r>
        <w:rPr>
          <w:spacing w:val="-30"/>
          <w:sz w:val="22"/>
        </w:rPr>
        <w:t> </w:t>
      </w:r>
      <w:r>
        <w:rPr>
          <w:spacing w:val="15"/>
          <w:sz w:val="22"/>
        </w:rPr>
        <w:t>ademic</w:t>
      </w:r>
      <w:r>
        <w:rPr>
          <w:spacing w:val="22"/>
          <w:sz w:val="22"/>
        </w:rPr>
        <w:t> </w:t>
      </w:r>
      <w:r>
        <w:rPr>
          <w:spacing w:val="9"/>
          <w:sz w:val="22"/>
        </w:rPr>
        <w:t>questions</w:t>
      </w:r>
      <w:r>
        <w:rPr>
          <w:spacing w:val="6"/>
          <w:sz w:val="22"/>
        </w:rPr>
        <w:t> </w:t>
      </w:r>
      <w:r>
        <w:rPr>
          <w:spacing w:val="13"/>
          <w:sz w:val="22"/>
        </w:rPr>
        <w:t>and</w:t>
      </w:r>
      <w:r>
        <w:rPr>
          <w:spacing w:val="19"/>
          <w:sz w:val="22"/>
        </w:rPr>
        <w:t> </w:t>
      </w:r>
      <w:r>
        <w:rPr>
          <w:sz w:val="22"/>
        </w:rPr>
        <w:t>c</w:t>
      </w:r>
      <w:r>
        <w:rPr>
          <w:spacing w:val="-33"/>
          <w:sz w:val="22"/>
        </w:rPr>
        <w:t> </w:t>
      </w:r>
      <w:r>
        <w:rPr>
          <w:spacing w:val="8"/>
          <w:sz w:val="22"/>
        </w:rPr>
        <w:t>oncerns.</w:t>
      </w:r>
    </w:p>
    <w:p>
      <w:pPr>
        <w:pStyle w:val="ListParagraph"/>
        <w:numPr>
          <w:ilvl w:val="0"/>
          <w:numId w:val="70"/>
        </w:numPr>
        <w:tabs>
          <w:tab w:pos="1168" w:val="left" w:leader="none"/>
          <w:tab w:pos="1169" w:val="left" w:leader="none"/>
        </w:tabs>
        <w:spacing w:line="254" w:lineRule="auto" w:before="18" w:after="0"/>
        <w:ind w:left="1170" w:right="748" w:hanging="342"/>
        <w:jc w:val="left"/>
        <w:rPr>
          <w:sz w:val="22"/>
        </w:rPr>
      </w:pPr>
      <w:r>
        <w:rPr>
          <w:spacing w:val="12"/>
          <w:sz w:val="22"/>
        </w:rPr>
        <w:t>Adhere </w:t>
      </w:r>
      <w:r>
        <w:rPr>
          <w:sz w:val="22"/>
        </w:rPr>
        <w:t>to </w:t>
      </w:r>
      <w:r>
        <w:rPr>
          <w:spacing w:val="9"/>
          <w:sz w:val="22"/>
        </w:rPr>
        <w:t>the highest </w:t>
      </w:r>
      <w:r>
        <w:rPr>
          <w:spacing w:val="10"/>
          <w:sz w:val="22"/>
        </w:rPr>
        <w:t>principles </w:t>
      </w:r>
      <w:r>
        <w:rPr>
          <w:sz w:val="22"/>
        </w:rPr>
        <w:t>of </w:t>
      </w:r>
      <w:r>
        <w:rPr>
          <w:spacing w:val="9"/>
          <w:sz w:val="22"/>
        </w:rPr>
        <w:t>ethic</w:t>
      </w:r>
      <w:r>
        <w:rPr>
          <w:spacing w:val="-33"/>
          <w:sz w:val="22"/>
        </w:rPr>
        <w:t> </w:t>
      </w:r>
      <w:r>
        <w:rPr>
          <w:sz w:val="22"/>
        </w:rPr>
        <w:t>al </w:t>
      </w:r>
      <w:r>
        <w:rPr>
          <w:spacing w:val="12"/>
          <w:sz w:val="22"/>
        </w:rPr>
        <w:t>behavior </w:t>
      </w:r>
      <w:r>
        <w:rPr>
          <w:spacing w:val="13"/>
          <w:sz w:val="22"/>
        </w:rPr>
        <w:t>and </w:t>
      </w:r>
      <w:r>
        <w:rPr>
          <w:spacing w:val="9"/>
          <w:sz w:val="22"/>
        </w:rPr>
        <w:t>the </w:t>
      </w:r>
      <w:r>
        <w:rPr>
          <w:sz w:val="22"/>
        </w:rPr>
        <w:t>university’s </w:t>
      </w:r>
      <w:r>
        <w:rPr>
          <w:spacing w:val="17"/>
          <w:sz w:val="22"/>
        </w:rPr>
        <w:t>Code </w:t>
      </w:r>
      <w:r>
        <w:rPr>
          <w:sz w:val="22"/>
        </w:rPr>
        <w:t>of </w:t>
      </w:r>
      <w:r>
        <w:rPr>
          <w:spacing w:val="13"/>
          <w:sz w:val="22"/>
        </w:rPr>
        <w:t>Conduct.</w:t>
      </w:r>
    </w:p>
    <w:p>
      <w:pPr>
        <w:spacing w:after="0" w:line="254" w:lineRule="auto"/>
        <w:jc w:val="left"/>
        <w:rPr>
          <w:sz w:val="22"/>
        </w:rPr>
        <w:sectPr>
          <w:headerReference w:type="default" r:id="rId309"/>
          <w:footerReference w:type="default" r:id="rId310"/>
          <w:pgSz w:w="12240" w:h="15840"/>
          <w:pgMar w:header="0" w:footer="749" w:top="1420" w:bottom="940" w:left="1000" w:right="820"/>
        </w:sectPr>
      </w:pPr>
    </w:p>
    <w:p>
      <w:pPr>
        <w:pStyle w:val="ListParagraph"/>
        <w:numPr>
          <w:ilvl w:val="0"/>
          <w:numId w:val="70"/>
        </w:numPr>
        <w:tabs>
          <w:tab w:pos="1170" w:val="left" w:leader="none"/>
          <w:tab w:pos="1171" w:val="left" w:leader="none"/>
        </w:tabs>
        <w:spacing w:line="240" w:lineRule="auto" w:before="77" w:after="0"/>
        <w:ind w:left="1170" w:right="0" w:hanging="343"/>
        <w:jc w:val="left"/>
        <w:rPr>
          <w:sz w:val="22"/>
        </w:rPr>
      </w:pPr>
      <w:r>
        <w:rPr>
          <w:spacing w:val="11"/>
          <w:sz w:val="22"/>
        </w:rPr>
        <w:t>Guide</w:t>
      </w:r>
      <w:r>
        <w:rPr>
          <w:spacing w:val="9"/>
          <w:sz w:val="22"/>
        </w:rPr>
        <w:t> you</w:t>
      </w:r>
      <w:r>
        <w:rPr>
          <w:spacing w:val="1"/>
          <w:sz w:val="22"/>
        </w:rPr>
        <w:t> </w:t>
      </w:r>
      <w:r>
        <w:rPr>
          <w:sz w:val="22"/>
        </w:rPr>
        <w:t>in</w:t>
      </w:r>
      <w:r>
        <w:rPr>
          <w:spacing w:val="8"/>
          <w:sz w:val="22"/>
        </w:rPr>
        <w:t> </w:t>
      </w:r>
      <w:r>
        <w:rPr>
          <w:spacing w:val="9"/>
          <w:sz w:val="22"/>
        </w:rPr>
        <w:t>the</w:t>
      </w:r>
      <w:r>
        <w:rPr>
          <w:spacing w:val="7"/>
          <w:sz w:val="22"/>
        </w:rPr>
        <w:t> </w:t>
      </w:r>
      <w:r>
        <w:rPr>
          <w:spacing w:val="12"/>
          <w:sz w:val="22"/>
        </w:rPr>
        <w:t>selection </w:t>
      </w:r>
      <w:r>
        <w:rPr>
          <w:sz w:val="22"/>
        </w:rPr>
        <w:t>of</w:t>
      </w:r>
      <w:r>
        <w:rPr>
          <w:spacing w:val="16"/>
          <w:sz w:val="22"/>
        </w:rPr>
        <w:t> </w:t>
      </w:r>
      <w:r>
        <w:rPr>
          <w:sz w:val="22"/>
        </w:rPr>
        <w:t>c</w:t>
      </w:r>
      <w:r>
        <w:rPr>
          <w:spacing w:val="-33"/>
          <w:sz w:val="22"/>
        </w:rPr>
        <w:t> </w:t>
      </w:r>
      <w:r>
        <w:rPr>
          <w:spacing w:val="-2"/>
          <w:sz w:val="22"/>
        </w:rPr>
        <w:t>ourses.</w:t>
      </w:r>
    </w:p>
    <w:p>
      <w:pPr>
        <w:pStyle w:val="BodyText"/>
        <w:spacing w:before="5"/>
        <w:rPr>
          <w:sz w:val="28"/>
        </w:rPr>
      </w:pPr>
    </w:p>
    <w:p>
      <w:pPr>
        <w:pStyle w:val="Heading8"/>
        <w:ind w:left="442"/>
      </w:pPr>
      <w:r>
        <w:rPr>
          <w:w w:val="90"/>
        </w:rPr>
        <w:t>ADVISEE</w:t>
      </w:r>
      <w:r>
        <w:rPr/>
        <w:t> </w:t>
      </w:r>
      <w:r>
        <w:rPr>
          <w:spacing w:val="-2"/>
          <w:w w:val="90"/>
        </w:rPr>
        <w:t>RESPONSIBILITIES</w:t>
      </w:r>
    </w:p>
    <w:p>
      <w:pPr>
        <w:pStyle w:val="BodyText"/>
        <w:spacing w:before="10"/>
        <w:rPr>
          <w:b/>
          <w:sz w:val="31"/>
        </w:rPr>
      </w:pPr>
    </w:p>
    <w:p>
      <w:pPr>
        <w:pStyle w:val="ListParagraph"/>
        <w:numPr>
          <w:ilvl w:val="0"/>
          <w:numId w:val="70"/>
        </w:numPr>
        <w:tabs>
          <w:tab w:pos="1160" w:val="left" w:leader="none"/>
          <w:tab w:pos="1161" w:val="left" w:leader="none"/>
        </w:tabs>
        <w:spacing w:line="240" w:lineRule="auto" w:before="0" w:after="0"/>
        <w:ind w:left="1160" w:right="0" w:hanging="333"/>
        <w:jc w:val="left"/>
        <w:rPr>
          <w:sz w:val="22"/>
        </w:rPr>
      </w:pPr>
      <w:r>
        <w:rPr>
          <w:spacing w:val="9"/>
          <w:w w:val="95"/>
          <w:sz w:val="22"/>
        </w:rPr>
        <w:t>Take</w:t>
      </w:r>
      <w:r>
        <w:rPr>
          <w:spacing w:val="50"/>
          <w:sz w:val="22"/>
        </w:rPr>
        <w:t> </w:t>
      </w:r>
      <w:r>
        <w:rPr>
          <w:w w:val="95"/>
          <w:sz w:val="22"/>
        </w:rPr>
        <w:t>responsibility</w:t>
      </w:r>
      <w:r>
        <w:rPr>
          <w:spacing w:val="47"/>
          <w:sz w:val="22"/>
        </w:rPr>
        <w:t> </w:t>
      </w:r>
      <w:r>
        <w:rPr>
          <w:w w:val="95"/>
          <w:sz w:val="22"/>
        </w:rPr>
        <w:t>for</w:t>
      </w:r>
      <w:r>
        <w:rPr>
          <w:spacing w:val="41"/>
          <w:sz w:val="22"/>
        </w:rPr>
        <w:t> </w:t>
      </w:r>
      <w:r>
        <w:rPr>
          <w:w w:val="95"/>
          <w:sz w:val="22"/>
        </w:rPr>
        <w:t>your</w:t>
      </w:r>
      <w:r>
        <w:rPr>
          <w:spacing w:val="52"/>
          <w:sz w:val="22"/>
        </w:rPr>
        <w:t> </w:t>
      </w:r>
      <w:r>
        <w:rPr>
          <w:spacing w:val="15"/>
          <w:w w:val="95"/>
          <w:sz w:val="22"/>
        </w:rPr>
        <w:t>educ</w:t>
      </w:r>
      <w:r>
        <w:rPr>
          <w:spacing w:val="-8"/>
          <w:w w:val="95"/>
          <w:sz w:val="22"/>
        </w:rPr>
        <w:t> </w:t>
      </w:r>
      <w:r>
        <w:rPr>
          <w:spacing w:val="11"/>
          <w:w w:val="95"/>
          <w:sz w:val="22"/>
        </w:rPr>
        <w:t>ational</w:t>
      </w:r>
      <w:r>
        <w:rPr>
          <w:spacing w:val="53"/>
          <w:sz w:val="22"/>
        </w:rPr>
        <w:t> </w:t>
      </w:r>
      <w:r>
        <w:rPr>
          <w:spacing w:val="10"/>
          <w:w w:val="95"/>
          <w:sz w:val="22"/>
        </w:rPr>
        <w:t>experience.</w:t>
      </w:r>
    </w:p>
    <w:p>
      <w:pPr>
        <w:pStyle w:val="ListParagraph"/>
        <w:numPr>
          <w:ilvl w:val="0"/>
          <w:numId w:val="70"/>
        </w:numPr>
        <w:tabs>
          <w:tab w:pos="1169" w:val="left" w:leader="none"/>
          <w:tab w:pos="1170" w:val="left" w:leader="none"/>
        </w:tabs>
        <w:spacing w:line="240" w:lineRule="auto" w:before="18" w:after="0"/>
        <w:ind w:left="1169" w:right="0" w:hanging="342"/>
        <w:jc w:val="left"/>
        <w:rPr>
          <w:sz w:val="22"/>
        </w:rPr>
      </w:pPr>
      <w:r>
        <w:rPr>
          <w:spacing w:val="11"/>
          <w:sz w:val="22"/>
        </w:rPr>
        <w:t>Maintain</w:t>
      </w:r>
      <w:r>
        <w:rPr>
          <w:spacing w:val="28"/>
          <w:sz w:val="22"/>
        </w:rPr>
        <w:t> </w:t>
      </w:r>
      <w:r>
        <w:rPr>
          <w:sz w:val="22"/>
        </w:rPr>
        <w:t>c</w:t>
      </w:r>
      <w:r>
        <w:rPr>
          <w:spacing w:val="-30"/>
          <w:sz w:val="22"/>
        </w:rPr>
        <w:t> </w:t>
      </w:r>
      <w:r>
        <w:rPr>
          <w:spacing w:val="11"/>
          <w:sz w:val="22"/>
        </w:rPr>
        <w:t>onta</w:t>
      </w:r>
      <w:r>
        <w:rPr>
          <w:spacing w:val="-28"/>
          <w:sz w:val="22"/>
        </w:rPr>
        <w:t> </w:t>
      </w:r>
      <w:r>
        <w:rPr>
          <w:spacing w:val="12"/>
          <w:sz w:val="22"/>
        </w:rPr>
        <w:t>ct</w:t>
      </w:r>
      <w:r>
        <w:rPr>
          <w:spacing w:val="24"/>
          <w:sz w:val="22"/>
        </w:rPr>
        <w:t> </w:t>
      </w:r>
      <w:r>
        <w:rPr>
          <w:sz w:val="22"/>
        </w:rPr>
        <w:t>with</w:t>
      </w:r>
      <w:r>
        <w:rPr>
          <w:spacing w:val="13"/>
          <w:sz w:val="22"/>
        </w:rPr>
        <w:t> </w:t>
      </w:r>
      <w:r>
        <w:rPr>
          <w:sz w:val="22"/>
        </w:rPr>
        <w:t>your</w:t>
      </w:r>
      <w:r>
        <w:rPr>
          <w:spacing w:val="21"/>
          <w:sz w:val="22"/>
        </w:rPr>
        <w:t> </w:t>
      </w:r>
      <w:r>
        <w:rPr>
          <w:sz w:val="22"/>
        </w:rPr>
        <w:t>a</w:t>
      </w:r>
      <w:r>
        <w:rPr>
          <w:spacing w:val="-31"/>
          <w:sz w:val="22"/>
        </w:rPr>
        <w:t> </w:t>
      </w:r>
      <w:r>
        <w:rPr>
          <w:sz w:val="22"/>
        </w:rPr>
        <w:t>dvisor</w:t>
      </w:r>
      <w:r>
        <w:rPr>
          <w:spacing w:val="13"/>
          <w:sz w:val="22"/>
        </w:rPr>
        <w:t> </w:t>
      </w:r>
      <w:r>
        <w:rPr>
          <w:spacing w:val="11"/>
          <w:sz w:val="22"/>
        </w:rPr>
        <w:t>throughout</w:t>
      </w:r>
      <w:r>
        <w:rPr>
          <w:spacing w:val="20"/>
          <w:sz w:val="22"/>
        </w:rPr>
        <w:t> </w:t>
      </w:r>
      <w:r>
        <w:rPr>
          <w:spacing w:val="9"/>
          <w:sz w:val="22"/>
        </w:rPr>
        <w:t>the</w:t>
      </w:r>
      <w:r>
        <w:rPr>
          <w:spacing w:val="16"/>
          <w:sz w:val="22"/>
        </w:rPr>
        <w:t> </w:t>
      </w:r>
      <w:r>
        <w:rPr>
          <w:spacing w:val="8"/>
          <w:sz w:val="22"/>
        </w:rPr>
        <w:t>semester.</w:t>
      </w:r>
    </w:p>
    <w:p>
      <w:pPr>
        <w:pStyle w:val="ListParagraph"/>
        <w:numPr>
          <w:ilvl w:val="0"/>
          <w:numId w:val="70"/>
        </w:numPr>
        <w:tabs>
          <w:tab w:pos="1168" w:val="left" w:leader="none"/>
          <w:tab w:pos="1169" w:val="left" w:leader="none"/>
        </w:tabs>
        <w:spacing w:line="240" w:lineRule="auto" w:before="16" w:after="0"/>
        <w:ind w:left="1168" w:right="0" w:hanging="341"/>
        <w:jc w:val="left"/>
        <w:rPr>
          <w:sz w:val="22"/>
        </w:rPr>
      </w:pPr>
      <w:r>
        <w:rPr>
          <w:w w:val="95"/>
          <w:sz w:val="22"/>
        </w:rPr>
        <w:t>Assess</w:t>
      </w:r>
      <w:r>
        <w:rPr>
          <w:spacing w:val="22"/>
          <w:sz w:val="22"/>
        </w:rPr>
        <w:t> </w:t>
      </w:r>
      <w:r>
        <w:rPr>
          <w:w w:val="95"/>
          <w:sz w:val="22"/>
        </w:rPr>
        <w:t>your</w:t>
      </w:r>
      <w:r>
        <w:rPr>
          <w:spacing w:val="17"/>
          <w:sz w:val="22"/>
        </w:rPr>
        <w:t> </w:t>
      </w:r>
      <w:r>
        <w:rPr>
          <w:w w:val="95"/>
          <w:sz w:val="22"/>
        </w:rPr>
        <w:t>interests,</w:t>
      </w:r>
      <w:r>
        <w:rPr>
          <w:spacing w:val="33"/>
          <w:sz w:val="22"/>
        </w:rPr>
        <w:t> </w:t>
      </w:r>
      <w:r>
        <w:rPr>
          <w:w w:val="95"/>
          <w:sz w:val="22"/>
        </w:rPr>
        <w:t>a</w:t>
      </w:r>
      <w:r>
        <w:rPr>
          <w:spacing w:val="-22"/>
          <w:w w:val="95"/>
          <w:sz w:val="22"/>
        </w:rPr>
        <w:t> </w:t>
      </w:r>
      <w:r>
        <w:rPr>
          <w:w w:val="95"/>
          <w:sz w:val="22"/>
        </w:rPr>
        <w:t>bilities</w:t>
      </w:r>
      <w:r>
        <w:rPr>
          <w:spacing w:val="35"/>
          <w:sz w:val="22"/>
        </w:rPr>
        <w:t> </w:t>
      </w:r>
      <w:r>
        <w:rPr>
          <w:spacing w:val="13"/>
          <w:w w:val="95"/>
          <w:sz w:val="22"/>
        </w:rPr>
        <w:t>and</w:t>
      </w:r>
      <w:r>
        <w:rPr>
          <w:spacing w:val="43"/>
          <w:sz w:val="22"/>
        </w:rPr>
        <w:t> </w:t>
      </w:r>
      <w:r>
        <w:rPr>
          <w:spacing w:val="14"/>
          <w:w w:val="95"/>
          <w:sz w:val="22"/>
        </w:rPr>
        <w:t>needs</w:t>
      </w:r>
      <w:r>
        <w:rPr>
          <w:spacing w:val="36"/>
          <w:sz w:val="22"/>
        </w:rPr>
        <w:t> </w:t>
      </w:r>
      <w:r>
        <w:rPr>
          <w:spacing w:val="12"/>
          <w:w w:val="95"/>
          <w:sz w:val="22"/>
        </w:rPr>
        <w:t>and</w:t>
      </w:r>
      <w:r>
        <w:rPr>
          <w:spacing w:val="53"/>
          <w:sz w:val="22"/>
        </w:rPr>
        <w:t> </w:t>
      </w:r>
      <w:r>
        <w:rPr>
          <w:w w:val="95"/>
          <w:sz w:val="22"/>
        </w:rPr>
        <w:t>discuss</w:t>
      </w:r>
      <w:r>
        <w:rPr>
          <w:spacing w:val="26"/>
          <w:sz w:val="22"/>
        </w:rPr>
        <w:t> </w:t>
      </w:r>
      <w:r>
        <w:rPr>
          <w:spacing w:val="9"/>
          <w:w w:val="95"/>
          <w:sz w:val="22"/>
        </w:rPr>
        <w:t>these</w:t>
      </w:r>
      <w:r>
        <w:rPr>
          <w:spacing w:val="46"/>
          <w:sz w:val="22"/>
        </w:rPr>
        <w:t> </w:t>
      </w:r>
      <w:r>
        <w:rPr>
          <w:w w:val="95"/>
          <w:sz w:val="22"/>
        </w:rPr>
        <w:t>with</w:t>
      </w:r>
      <w:r>
        <w:rPr>
          <w:spacing w:val="29"/>
          <w:sz w:val="22"/>
        </w:rPr>
        <w:t> </w:t>
      </w:r>
      <w:r>
        <w:rPr>
          <w:w w:val="95"/>
          <w:sz w:val="22"/>
        </w:rPr>
        <w:t>your</w:t>
      </w:r>
      <w:r>
        <w:rPr>
          <w:spacing w:val="32"/>
          <w:sz w:val="22"/>
        </w:rPr>
        <w:t> </w:t>
      </w:r>
      <w:r>
        <w:rPr>
          <w:w w:val="95"/>
          <w:sz w:val="22"/>
        </w:rPr>
        <w:t>a</w:t>
      </w:r>
      <w:r>
        <w:rPr>
          <w:spacing w:val="-21"/>
          <w:w w:val="95"/>
          <w:sz w:val="22"/>
        </w:rPr>
        <w:t> </w:t>
      </w:r>
      <w:r>
        <w:rPr>
          <w:spacing w:val="-2"/>
          <w:w w:val="95"/>
          <w:sz w:val="22"/>
        </w:rPr>
        <w:t>dvisor.</w:t>
      </w:r>
    </w:p>
    <w:p>
      <w:pPr>
        <w:pStyle w:val="ListParagraph"/>
        <w:numPr>
          <w:ilvl w:val="0"/>
          <w:numId w:val="70"/>
        </w:numPr>
        <w:tabs>
          <w:tab w:pos="1170" w:val="left" w:leader="none"/>
          <w:tab w:pos="1171" w:val="left" w:leader="none"/>
        </w:tabs>
        <w:spacing w:line="240" w:lineRule="auto" w:before="16" w:after="0"/>
        <w:ind w:left="1170" w:right="0" w:hanging="343"/>
        <w:jc w:val="left"/>
        <w:rPr>
          <w:sz w:val="22"/>
        </w:rPr>
      </w:pPr>
      <w:r>
        <w:rPr>
          <w:sz w:val="22"/>
        </w:rPr>
        <w:t>Clarify</w:t>
      </w:r>
      <w:r>
        <w:rPr>
          <w:spacing w:val="9"/>
          <w:sz w:val="22"/>
        </w:rPr>
        <w:t> </w:t>
      </w:r>
      <w:r>
        <w:rPr>
          <w:sz w:val="22"/>
        </w:rPr>
        <w:t>your</w:t>
      </w:r>
      <w:r>
        <w:rPr>
          <w:spacing w:val="13"/>
          <w:sz w:val="22"/>
        </w:rPr>
        <w:t> </w:t>
      </w:r>
      <w:r>
        <w:rPr>
          <w:spacing w:val="15"/>
          <w:sz w:val="22"/>
        </w:rPr>
        <w:t>educ</w:t>
      </w:r>
      <w:r>
        <w:rPr>
          <w:spacing w:val="-28"/>
          <w:sz w:val="22"/>
        </w:rPr>
        <w:t> </w:t>
      </w:r>
      <w:r>
        <w:rPr>
          <w:spacing w:val="11"/>
          <w:sz w:val="22"/>
        </w:rPr>
        <w:t>ational</w:t>
      </w:r>
      <w:r>
        <w:rPr>
          <w:spacing w:val="17"/>
          <w:sz w:val="22"/>
        </w:rPr>
        <w:t> </w:t>
      </w:r>
      <w:r>
        <w:rPr>
          <w:spacing w:val="13"/>
          <w:sz w:val="22"/>
        </w:rPr>
        <w:t>and</w:t>
      </w:r>
      <w:r>
        <w:rPr>
          <w:spacing w:val="31"/>
          <w:sz w:val="22"/>
        </w:rPr>
        <w:t> </w:t>
      </w:r>
      <w:r>
        <w:rPr>
          <w:spacing w:val="11"/>
          <w:sz w:val="22"/>
        </w:rPr>
        <w:t>personal</w:t>
      </w:r>
      <w:r>
        <w:rPr>
          <w:spacing w:val="17"/>
          <w:sz w:val="22"/>
        </w:rPr>
        <w:t> </w:t>
      </w:r>
      <w:r>
        <w:rPr>
          <w:spacing w:val="8"/>
          <w:sz w:val="22"/>
        </w:rPr>
        <w:t>goals.</w:t>
      </w:r>
    </w:p>
    <w:p>
      <w:pPr>
        <w:pStyle w:val="ListParagraph"/>
        <w:numPr>
          <w:ilvl w:val="0"/>
          <w:numId w:val="70"/>
        </w:numPr>
        <w:tabs>
          <w:tab w:pos="1160" w:val="left" w:leader="none"/>
          <w:tab w:pos="1161" w:val="left" w:leader="none"/>
        </w:tabs>
        <w:spacing w:line="254" w:lineRule="auto" w:before="18" w:after="0"/>
        <w:ind w:left="1174" w:right="698" w:hanging="346"/>
        <w:jc w:val="left"/>
        <w:rPr>
          <w:sz w:val="22"/>
        </w:rPr>
      </w:pPr>
      <w:r>
        <w:rPr>
          <w:spacing w:val="11"/>
          <w:sz w:val="22"/>
        </w:rPr>
        <w:t>Rea</w:t>
      </w:r>
      <w:r>
        <w:rPr>
          <w:spacing w:val="-33"/>
          <w:sz w:val="22"/>
        </w:rPr>
        <w:t> </w:t>
      </w:r>
      <w:r>
        <w:rPr>
          <w:sz w:val="22"/>
        </w:rPr>
        <w:t>d</w:t>
      </w:r>
      <w:r>
        <w:rPr>
          <w:spacing w:val="-9"/>
          <w:sz w:val="22"/>
        </w:rPr>
        <w:t> </w:t>
      </w:r>
      <w:r>
        <w:rPr>
          <w:spacing w:val="9"/>
          <w:sz w:val="22"/>
        </w:rPr>
        <w:t>the</w:t>
      </w:r>
      <w:r>
        <w:rPr>
          <w:spacing w:val="8"/>
          <w:sz w:val="22"/>
        </w:rPr>
        <w:t> </w:t>
      </w:r>
      <w:r>
        <w:rPr>
          <w:spacing w:val="9"/>
          <w:sz w:val="22"/>
        </w:rPr>
        <w:t>Ac</w:t>
      </w:r>
      <w:r>
        <w:rPr>
          <w:spacing w:val="-30"/>
          <w:sz w:val="22"/>
        </w:rPr>
        <w:t> </w:t>
      </w:r>
      <w:r>
        <w:rPr>
          <w:sz w:val="22"/>
        </w:rPr>
        <w:t>a</w:t>
      </w:r>
      <w:r>
        <w:rPr>
          <w:spacing w:val="-33"/>
          <w:sz w:val="22"/>
        </w:rPr>
        <w:t> </w:t>
      </w:r>
      <w:r>
        <w:rPr>
          <w:spacing w:val="14"/>
          <w:sz w:val="22"/>
        </w:rPr>
        <w:t>demic </w:t>
      </w:r>
      <w:r>
        <w:rPr>
          <w:spacing w:val="15"/>
          <w:sz w:val="22"/>
        </w:rPr>
        <w:t>Catalog,</w:t>
      </w:r>
      <w:r>
        <w:rPr>
          <w:spacing w:val="-2"/>
          <w:sz w:val="22"/>
        </w:rPr>
        <w:t> </w:t>
      </w:r>
      <w:r>
        <w:rPr>
          <w:spacing w:val="10"/>
          <w:sz w:val="22"/>
        </w:rPr>
        <w:t>Official</w:t>
      </w:r>
      <w:r>
        <w:rPr>
          <w:spacing w:val="-8"/>
          <w:sz w:val="22"/>
        </w:rPr>
        <w:t> </w:t>
      </w:r>
      <w:r>
        <w:rPr>
          <w:spacing w:val="12"/>
          <w:sz w:val="22"/>
        </w:rPr>
        <w:t>Student</w:t>
      </w:r>
      <w:r>
        <w:rPr>
          <w:spacing w:val="-4"/>
          <w:sz w:val="22"/>
        </w:rPr>
        <w:t> </w:t>
      </w:r>
      <w:r>
        <w:rPr>
          <w:spacing w:val="13"/>
          <w:sz w:val="22"/>
        </w:rPr>
        <w:t>Hand</w:t>
      </w:r>
      <w:r>
        <w:rPr>
          <w:spacing w:val="-34"/>
          <w:sz w:val="22"/>
        </w:rPr>
        <w:t> </w:t>
      </w:r>
      <w:r>
        <w:rPr>
          <w:spacing w:val="14"/>
          <w:sz w:val="22"/>
        </w:rPr>
        <w:t>book</w:t>
      </w:r>
      <w:r>
        <w:rPr>
          <w:spacing w:val="3"/>
          <w:sz w:val="22"/>
        </w:rPr>
        <w:t> </w:t>
      </w:r>
      <w:r>
        <w:rPr>
          <w:spacing w:val="13"/>
          <w:sz w:val="22"/>
        </w:rPr>
        <w:t>and </w:t>
      </w:r>
      <w:r>
        <w:rPr>
          <w:spacing w:val="10"/>
          <w:sz w:val="22"/>
        </w:rPr>
        <w:t>other</w:t>
      </w:r>
      <w:r>
        <w:rPr>
          <w:spacing w:val="-9"/>
          <w:sz w:val="22"/>
        </w:rPr>
        <w:t> </w:t>
      </w:r>
      <w:r>
        <w:rPr>
          <w:spacing w:val="9"/>
          <w:sz w:val="22"/>
        </w:rPr>
        <w:t>resourc</w:t>
      </w:r>
      <w:r>
        <w:rPr>
          <w:spacing w:val="-34"/>
          <w:sz w:val="22"/>
        </w:rPr>
        <w:t> </w:t>
      </w:r>
      <w:r>
        <w:rPr>
          <w:sz w:val="22"/>
        </w:rPr>
        <w:t>es</w:t>
      </w:r>
      <w:r>
        <w:rPr>
          <w:spacing w:val="-3"/>
          <w:sz w:val="22"/>
        </w:rPr>
        <w:t> </w:t>
      </w:r>
      <w:r>
        <w:rPr>
          <w:sz w:val="22"/>
        </w:rPr>
        <w:t>to </w:t>
      </w:r>
      <w:r>
        <w:rPr>
          <w:spacing w:val="16"/>
          <w:sz w:val="22"/>
        </w:rPr>
        <w:t>bec</w:t>
      </w:r>
      <w:r>
        <w:rPr>
          <w:spacing w:val="-28"/>
          <w:sz w:val="22"/>
        </w:rPr>
        <w:t> </w:t>
      </w:r>
      <w:r>
        <w:rPr>
          <w:spacing w:val="14"/>
          <w:sz w:val="22"/>
        </w:rPr>
        <w:t>ome </w:t>
      </w:r>
      <w:r>
        <w:rPr>
          <w:spacing w:val="15"/>
          <w:sz w:val="22"/>
        </w:rPr>
        <w:t>knowledgeable </w:t>
      </w:r>
      <w:r>
        <w:rPr>
          <w:spacing w:val="13"/>
          <w:sz w:val="22"/>
        </w:rPr>
        <w:t>about </w:t>
      </w:r>
      <w:r>
        <w:rPr>
          <w:sz w:val="22"/>
        </w:rPr>
        <w:t>a</w:t>
      </w:r>
      <w:r>
        <w:rPr>
          <w:spacing w:val="-28"/>
          <w:sz w:val="22"/>
        </w:rPr>
        <w:t> </w:t>
      </w:r>
      <w:r>
        <w:rPr>
          <w:sz w:val="22"/>
        </w:rPr>
        <w:t>c</w:t>
      </w:r>
      <w:r>
        <w:rPr>
          <w:spacing w:val="-24"/>
          <w:sz w:val="22"/>
        </w:rPr>
        <w:t> </w:t>
      </w:r>
      <w:r>
        <w:rPr>
          <w:sz w:val="22"/>
        </w:rPr>
        <w:t>a</w:t>
      </w:r>
      <w:r>
        <w:rPr>
          <w:spacing w:val="-28"/>
          <w:sz w:val="22"/>
        </w:rPr>
        <w:t> </w:t>
      </w:r>
      <w:r>
        <w:rPr>
          <w:spacing w:val="13"/>
          <w:sz w:val="22"/>
        </w:rPr>
        <w:t>demic </w:t>
      </w:r>
      <w:r>
        <w:rPr>
          <w:spacing w:val="10"/>
          <w:sz w:val="22"/>
        </w:rPr>
        <w:t>requirements, policies </w:t>
      </w:r>
      <w:r>
        <w:rPr>
          <w:spacing w:val="12"/>
          <w:sz w:val="22"/>
        </w:rPr>
        <w:t>and</w:t>
      </w:r>
    </w:p>
    <w:p>
      <w:pPr>
        <w:spacing w:before="1"/>
        <w:ind w:left="1174" w:right="0" w:firstLine="0"/>
        <w:jc w:val="left"/>
        <w:rPr>
          <w:sz w:val="22"/>
        </w:rPr>
      </w:pPr>
      <w:r>
        <w:rPr>
          <w:spacing w:val="12"/>
          <w:w w:val="95"/>
          <w:sz w:val="22"/>
        </w:rPr>
        <w:t>proc</w:t>
      </w:r>
      <w:r>
        <w:rPr>
          <w:spacing w:val="-16"/>
          <w:w w:val="95"/>
          <w:sz w:val="22"/>
        </w:rPr>
        <w:t> </w:t>
      </w:r>
      <w:r>
        <w:rPr>
          <w:spacing w:val="7"/>
          <w:w w:val="95"/>
          <w:sz w:val="22"/>
        </w:rPr>
        <w:t>edures.</w:t>
      </w:r>
    </w:p>
    <w:p>
      <w:pPr>
        <w:pStyle w:val="ListParagraph"/>
        <w:numPr>
          <w:ilvl w:val="0"/>
          <w:numId w:val="70"/>
        </w:numPr>
        <w:tabs>
          <w:tab w:pos="1160" w:val="left" w:leader="none"/>
          <w:tab w:pos="1161" w:val="left" w:leader="none"/>
        </w:tabs>
        <w:spacing w:line="256" w:lineRule="auto" w:before="18" w:after="0"/>
        <w:ind w:left="1169" w:right="1251" w:hanging="341"/>
        <w:jc w:val="left"/>
        <w:rPr>
          <w:sz w:val="22"/>
        </w:rPr>
      </w:pPr>
      <w:r>
        <w:rPr>
          <w:spacing w:val="10"/>
          <w:sz w:val="22"/>
        </w:rPr>
        <w:t>Keep </w:t>
      </w:r>
      <w:r>
        <w:rPr>
          <w:sz w:val="22"/>
        </w:rPr>
        <w:t>tra</w:t>
      </w:r>
      <w:r>
        <w:rPr>
          <w:spacing w:val="-30"/>
          <w:sz w:val="22"/>
        </w:rPr>
        <w:t> </w:t>
      </w:r>
      <w:r>
        <w:rPr>
          <w:sz w:val="22"/>
        </w:rPr>
        <w:t>ck of </w:t>
      </w:r>
      <w:r>
        <w:rPr>
          <w:spacing w:val="14"/>
          <w:sz w:val="22"/>
        </w:rPr>
        <w:t>important </w:t>
      </w:r>
      <w:r>
        <w:rPr>
          <w:sz w:val="22"/>
        </w:rPr>
        <w:t>d</w:t>
      </w:r>
      <w:r>
        <w:rPr>
          <w:spacing w:val="-32"/>
          <w:sz w:val="22"/>
        </w:rPr>
        <w:t> </w:t>
      </w:r>
      <w:r>
        <w:rPr>
          <w:spacing w:val="11"/>
          <w:sz w:val="22"/>
        </w:rPr>
        <w:t>ates</w:t>
      </w:r>
      <w:r>
        <w:rPr>
          <w:spacing w:val="5"/>
          <w:sz w:val="22"/>
        </w:rPr>
        <w:t> </w:t>
      </w:r>
      <w:r>
        <w:rPr>
          <w:sz w:val="22"/>
        </w:rPr>
        <w:t>(e.g., </w:t>
      </w:r>
      <w:r>
        <w:rPr>
          <w:spacing w:val="11"/>
          <w:sz w:val="22"/>
        </w:rPr>
        <w:t>pre-</w:t>
      </w:r>
      <w:r>
        <w:rPr>
          <w:spacing w:val="9"/>
          <w:sz w:val="22"/>
        </w:rPr>
        <w:t>registration, </w:t>
      </w:r>
      <w:r>
        <w:rPr>
          <w:sz w:val="22"/>
        </w:rPr>
        <w:t>a</w:t>
      </w:r>
      <w:r>
        <w:rPr>
          <w:spacing w:val="-32"/>
          <w:sz w:val="22"/>
        </w:rPr>
        <w:t> </w:t>
      </w:r>
      <w:r>
        <w:rPr>
          <w:sz w:val="22"/>
        </w:rPr>
        <w:t>d</w:t>
      </w:r>
      <w:r>
        <w:rPr>
          <w:spacing w:val="-32"/>
          <w:sz w:val="22"/>
        </w:rPr>
        <w:t> </w:t>
      </w:r>
      <w:r>
        <w:rPr>
          <w:sz w:val="22"/>
        </w:rPr>
        <w:t>d</w:t>
      </w:r>
      <w:r>
        <w:rPr>
          <w:spacing w:val="-29"/>
          <w:sz w:val="22"/>
        </w:rPr>
        <w:t> </w:t>
      </w:r>
      <w:r>
        <w:rPr>
          <w:sz w:val="22"/>
        </w:rPr>
        <w:t>/</w:t>
      </w:r>
      <w:r>
        <w:rPr>
          <w:spacing w:val="-29"/>
          <w:sz w:val="22"/>
        </w:rPr>
        <w:t> </w:t>
      </w:r>
      <w:r>
        <w:rPr>
          <w:spacing w:val="11"/>
          <w:sz w:val="22"/>
        </w:rPr>
        <w:t>drop period,</w:t>
      </w:r>
      <w:r>
        <w:rPr>
          <w:spacing w:val="3"/>
          <w:sz w:val="22"/>
        </w:rPr>
        <w:t> </w:t>
      </w:r>
      <w:r>
        <w:rPr>
          <w:sz w:val="22"/>
        </w:rPr>
        <w:t>final </w:t>
      </w:r>
      <w:r>
        <w:rPr>
          <w:spacing w:val="10"/>
          <w:sz w:val="22"/>
        </w:rPr>
        <w:t>examinations, </w:t>
      </w:r>
      <w:r>
        <w:rPr>
          <w:spacing w:val="11"/>
          <w:sz w:val="22"/>
        </w:rPr>
        <w:t>applic</w:t>
      </w:r>
      <w:r>
        <w:rPr>
          <w:spacing w:val="-25"/>
          <w:sz w:val="22"/>
        </w:rPr>
        <w:t> </w:t>
      </w:r>
      <w:r>
        <w:rPr>
          <w:spacing w:val="10"/>
          <w:sz w:val="22"/>
        </w:rPr>
        <w:t>ation </w:t>
      </w:r>
      <w:r>
        <w:rPr>
          <w:sz w:val="22"/>
        </w:rPr>
        <w:t>for gra</w:t>
      </w:r>
      <w:r>
        <w:rPr>
          <w:spacing w:val="-28"/>
          <w:sz w:val="22"/>
        </w:rPr>
        <w:t> </w:t>
      </w:r>
      <w:r>
        <w:rPr>
          <w:spacing w:val="12"/>
          <w:sz w:val="22"/>
        </w:rPr>
        <w:t>duation) </w:t>
      </w:r>
      <w:r>
        <w:rPr>
          <w:sz w:val="22"/>
        </w:rPr>
        <w:t>as listed</w:t>
      </w:r>
      <w:r>
        <w:rPr>
          <w:spacing w:val="39"/>
          <w:sz w:val="22"/>
        </w:rPr>
        <w:t> </w:t>
      </w:r>
      <w:r>
        <w:rPr>
          <w:sz w:val="22"/>
        </w:rPr>
        <w:t>on </w:t>
      </w:r>
      <w:r>
        <w:rPr>
          <w:spacing w:val="9"/>
          <w:sz w:val="22"/>
        </w:rPr>
        <w:t>the </w:t>
      </w:r>
      <w:r>
        <w:rPr>
          <w:spacing w:val="13"/>
          <w:sz w:val="22"/>
        </w:rPr>
        <w:t>Calend</w:t>
      </w:r>
      <w:r>
        <w:rPr>
          <w:spacing w:val="-28"/>
          <w:sz w:val="22"/>
        </w:rPr>
        <w:t> </w:t>
      </w:r>
      <w:r>
        <w:rPr>
          <w:sz w:val="22"/>
        </w:rPr>
        <w:t>ar for </w:t>
      </w:r>
      <w:r>
        <w:rPr>
          <w:spacing w:val="9"/>
          <w:sz w:val="22"/>
        </w:rPr>
        <w:t>the Ac</w:t>
      </w:r>
      <w:r>
        <w:rPr>
          <w:spacing w:val="-9"/>
          <w:sz w:val="22"/>
        </w:rPr>
        <w:t> </w:t>
      </w:r>
      <w:r>
        <w:rPr>
          <w:sz w:val="22"/>
        </w:rPr>
        <w:t>a</w:t>
      </w:r>
      <w:r>
        <w:rPr>
          <w:spacing w:val="-14"/>
          <w:sz w:val="22"/>
        </w:rPr>
        <w:t> </w:t>
      </w:r>
      <w:r>
        <w:rPr>
          <w:spacing w:val="14"/>
          <w:sz w:val="22"/>
        </w:rPr>
        <w:t>demic </w:t>
      </w:r>
      <w:r>
        <w:rPr>
          <w:sz w:val="22"/>
        </w:rPr>
        <w:t>Year.</w:t>
      </w:r>
    </w:p>
    <w:p>
      <w:pPr>
        <w:pStyle w:val="ListParagraph"/>
        <w:numPr>
          <w:ilvl w:val="0"/>
          <w:numId w:val="70"/>
        </w:numPr>
        <w:tabs>
          <w:tab w:pos="1169" w:val="left" w:leader="none"/>
          <w:tab w:pos="1170" w:val="left" w:leader="none"/>
        </w:tabs>
        <w:spacing w:line="254" w:lineRule="auto" w:before="0" w:after="0"/>
        <w:ind w:left="1171" w:right="747" w:hanging="342"/>
        <w:jc w:val="left"/>
        <w:rPr>
          <w:sz w:val="22"/>
        </w:rPr>
      </w:pPr>
      <w:r>
        <w:rPr>
          <w:spacing w:val="12"/>
          <w:sz w:val="22"/>
        </w:rPr>
        <w:t>Adhere </w:t>
      </w:r>
      <w:r>
        <w:rPr>
          <w:sz w:val="22"/>
        </w:rPr>
        <w:t>to </w:t>
      </w:r>
      <w:r>
        <w:rPr>
          <w:spacing w:val="9"/>
          <w:sz w:val="22"/>
        </w:rPr>
        <w:t>the highest </w:t>
      </w:r>
      <w:r>
        <w:rPr>
          <w:spacing w:val="10"/>
          <w:sz w:val="22"/>
        </w:rPr>
        <w:t>principles </w:t>
      </w:r>
      <w:r>
        <w:rPr>
          <w:sz w:val="22"/>
        </w:rPr>
        <w:t>of </w:t>
      </w:r>
      <w:r>
        <w:rPr>
          <w:spacing w:val="9"/>
          <w:sz w:val="22"/>
        </w:rPr>
        <w:t>ethic</w:t>
      </w:r>
      <w:r>
        <w:rPr>
          <w:spacing w:val="-33"/>
          <w:sz w:val="22"/>
        </w:rPr>
        <w:t> </w:t>
      </w:r>
      <w:r>
        <w:rPr>
          <w:sz w:val="22"/>
        </w:rPr>
        <w:t>al </w:t>
      </w:r>
      <w:r>
        <w:rPr>
          <w:spacing w:val="12"/>
          <w:sz w:val="22"/>
        </w:rPr>
        <w:t>behavior </w:t>
      </w:r>
      <w:r>
        <w:rPr>
          <w:spacing w:val="13"/>
          <w:sz w:val="22"/>
        </w:rPr>
        <w:t>and </w:t>
      </w:r>
      <w:r>
        <w:rPr>
          <w:spacing w:val="9"/>
          <w:sz w:val="22"/>
        </w:rPr>
        <w:t>the </w:t>
      </w:r>
      <w:r>
        <w:rPr>
          <w:sz w:val="22"/>
        </w:rPr>
        <w:t>university’s </w:t>
      </w:r>
      <w:r>
        <w:rPr>
          <w:spacing w:val="17"/>
          <w:sz w:val="22"/>
        </w:rPr>
        <w:t>Code </w:t>
      </w:r>
      <w:r>
        <w:rPr>
          <w:sz w:val="22"/>
        </w:rPr>
        <w:t>of </w:t>
      </w:r>
      <w:r>
        <w:rPr>
          <w:spacing w:val="13"/>
          <w:sz w:val="22"/>
        </w:rPr>
        <w:t>Conduct.</w:t>
      </w:r>
    </w:p>
    <w:p>
      <w:pPr>
        <w:pStyle w:val="ListParagraph"/>
        <w:numPr>
          <w:ilvl w:val="0"/>
          <w:numId w:val="70"/>
        </w:numPr>
        <w:tabs>
          <w:tab w:pos="1163" w:val="left" w:leader="none"/>
          <w:tab w:pos="1164" w:val="left" w:leader="none"/>
        </w:tabs>
        <w:spacing w:line="240" w:lineRule="auto" w:before="0" w:after="0"/>
        <w:ind w:left="1163" w:right="0" w:hanging="335"/>
        <w:jc w:val="left"/>
        <w:rPr>
          <w:sz w:val="22"/>
        </w:rPr>
      </w:pPr>
      <w:r>
        <w:rPr>
          <w:w w:val="95"/>
          <w:sz w:val="22"/>
        </w:rPr>
        <w:t>Discuss</w:t>
      </w:r>
      <w:r>
        <w:rPr>
          <w:spacing w:val="25"/>
          <w:sz w:val="22"/>
        </w:rPr>
        <w:t> </w:t>
      </w:r>
      <w:r>
        <w:rPr>
          <w:w w:val="95"/>
          <w:sz w:val="22"/>
        </w:rPr>
        <w:t>your</w:t>
      </w:r>
      <w:r>
        <w:rPr>
          <w:spacing w:val="21"/>
          <w:sz w:val="22"/>
        </w:rPr>
        <w:t> </w:t>
      </w:r>
      <w:r>
        <w:rPr>
          <w:spacing w:val="12"/>
          <w:w w:val="95"/>
          <w:sz w:val="22"/>
        </w:rPr>
        <w:t>selection</w:t>
      </w:r>
      <w:r>
        <w:rPr>
          <w:spacing w:val="42"/>
          <w:sz w:val="22"/>
        </w:rPr>
        <w:t> </w:t>
      </w:r>
      <w:r>
        <w:rPr>
          <w:w w:val="95"/>
          <w:sz w:val="22"/>
        </w:rPr>
        <w:t>of</w:t>
      </w:r>
      <w:r>
        <w:rPr>
          <w:spacing w:val="47"/>
          <w:sz w:val="22"/>
        </w:rPr>
        <w:t> </w:t>
      </w:r>
      <w:r>
        <w:rPr>
          <w:w w:val="95"/>
          <w:sz w:val="22"/>
        </w:rPr>
        <w:t>c</w:t>
      </w:r>
      <w:r>
        <w:rPr>
          <w:spacing w:val="-20"/>
          <w:w w:val="95"/>
          <w:sz w:val="22"/>
        </w:rPr>
        <w:t> </w:t>
      </w:r>
      <w:r>
        <w:rPr>
          <w:w w:val="95"/>
          <w:sz w:val="22"/>
        </w:rPr>
        <w:t>ourses</w:t>
      </w:r>
      <w:r>
        <w:rPr>
          <w:spacing w:val="37"/>
          <w:sz w:val="22"/>
        </w:rPr>
        <w:t> </w:t>
      </w:r>
      <w:r>
        <w:rPr>
          <w:w w:val="95"/>
          <w:sz w:val="22"/>
        </w:rPr>
        <w:t>with</w:t>
      </w:r>
      <w:r>
        <w:rPr>
          <w:spacing w:val="32"/>
          <w:sz w:val="22"/>
        </w:rPr>
        <w:t> </w:t>
      </w:r>
      <w:r>
        <w:rPr>
          <w:w w:val="95"/>
          <w:sz w:val="22"/>
        </w:rPr>
        <w:t>your</w:t>
      </w:r>
      <w:r>
        <w:rPr>
          <w:spacing w:val="39"/>
          <w:sz w:val="22"/>
        </w:rPr>
        <w:t> </w:t>
      </w:r>
      <w:r>
        <w:rPr>
          <w:w w:val="95"/>
          <w:sz w:val="22"/>
        </w:rPr>
        <w:t>a</w:t>
      </w:r>
      <w:r>
        <w:rPr>
          <w:spacing w:val="-20"/>
          <w:w w:val="95"/>
          <w:sz w:val="22"/>
        </w:rPr>
        <w:t> </w:t>
      </w:r>
      <w:r>
        <w:rPr>
          <w:spacing w:val="-2"/>
          <w:w w:val="95"/>
          <w:sz w:val="22"/>
        </w:rPr>
        <w:t>dvisor.</w:t>
      </w:r>
    </w:p>
    <w:p>
      <w:pPr>
        <w:pStyle w:val="BodyText"/>
        <w:spacing w:before="3"/>
        <w:rPr>
          <w:sz w:val="28"/>
        </w:rPr>
      </w:pPr>
    </w:p>
    <w:p>
      <w:pPr>
        <w:pStyle w:val="Heading8"/>
        <w:ind w:left="441"/>
      </w:pPr>
      <w:r>
        <w:rPr>
          <w:w w:val="90"/>
        </w:rPr>
        <w:t>PREPARING</w:t>
      </w:r>
      <w:r>
        <w:rPr>
          <w:spacing w:val="31"/>
        </w:rPr>
        <w:t> </w:t>
      </w:r>
      <w:r>
        <w:rPr>
          <w:w w:val="90"/>
        </w:rPr>
        <w:t>FOR</w:t>
      </w:r>
      <w:r>
        <w:rPr>
          <w:spacing w:val="20"/>
        </w:rPr>
        <w:t> </w:t>
      </w:r>
      <w:r>
        <w:rPr>
          <w:w w:val="90"/>
        </w:rPr>
        <w:t>YOUR</w:t>
      </w:r>
      <w:r>
        <w:rPr>
          <w:spacing w:val="22"/>
        </w:rPr>
        <w:t> </w:t>
      </w:r>
      <w:r>
        <w:rPr>
          <w:w w:val="90"/>
        </w:rPr>
        <w:t>ADVISING</w:t>
      </w:r>
      <w:r>
        <w:rPr>
          <w:spacing w:val="32"/>
        </w:rPr>
        <w:t> </w:t>
      </w:r>
      <w:r>
        <w:rPr>
          <w:spacing w:val="-2"/>
          <w:w w:val="90"/>
        </w:rPr>
        <w:t>APPOINTMENT</w:t>
      </w:r>
    </w:p>
    <w:p>
      <w:pPr>
        <w:pStyle w:val="BodyText"/>
        <w:spacing w:before="1"/>
        <w:rPr>
          <w:b/>
          <w:sz w:val="32"/>
        </w:rPr>
      </w:pPr>
    </w:p>
    <w:p>
      <w:pPr>
        <w:pStyle w:val="ListParagraph"/>
        <w:numPr>
          <w:ilvl w:val="0"/>
          <w:numId w:val="70"/>
        </w:numPr>
        <w:tabs>
          <w:tab w:pos="1170" w:val="left" w:leader="none"/>
          <w:tab w:pos="1172" w:val="left" w:leader="none"/>
        </w:tabs>
        <w:spacing w:line="254" w:lineRule="auto" w:before="0" w:after="0"/>
        <w:ind w:left="1175" w:right="1312" w:hanging="346"/>
        <w:jc w:val="left"/>
        <w:rPr>
          <w:sz w:val="22"/>
        </w:rPr>
      </w:pPr>
      <w:r>
        <w:rPr>
          <w:spacing w:val="11"/>
          <w:sz w:val="22"/>
        </w:rPr>
        <w:t>Make </w:t>
      </w:r>
      <w:r>
        <w:rPr>
          <w:spacing w:val="10"/>
          <w:sz w:val="22"/>
        </w:rPr>
        <w:t>an </w:t>
      </w:r>
      <w:r>
        <w:rPr>
          <w:spacing w:val="14"/>
          <w:sz w:val="22"/>
        </w:rPr>
        <w:t>appointment </w:t>
      </w:r>
      <w:r>
        <w:rPr>
          <w:sz w:val="22"/>
        </w:rPr>
        <w:t>with your a</w:t>
      </w:r>
      <w:r>
        <w:rPr>
          <w:spacing w:val="-33"/>
          <w:sz w:val="22"/>
        </w:rPr>
        <w:t> </w:t>
      </w:r>
      <w:r>
        <w:rPr>
          <w:sz w:val="22"/>
        </w:rPr>
        <w:t>dvisor.</w:t>
      </w:r>
      <w:r>
        <w:rPr>
          <w:spacing w:val="-4"/>
          <w:sz w:val="22"/>
        </w:rPr>
        <w:t> </w:t>
      </w:r>
      <w:r>
        <w:rPr>
          <w:sz w:val="22"/>
        </w:rPr>
        <w:t>If </w:t>
      </w:r>
      <w:r>
        <w:rPr>
          <w:spacing w:val="10"/>
          <w:sz w:val="22"/>
        </w:rPr>
        <w:t>you </w:t>
      </w:r>
      <w:r>
        <w:rPr>
          <w:spacing w:val="13"/>
          <w:sz w:val="22"/>
        </w:rPr>
        <w:t>have </w:t>
      </w:r>
      <w:r>
        <w:rPr>
          <w:spacing w:val="11"/>
          <w:sz w:val="22"/>
        </w:rPr>
        <w:t>not </w:t>
      </w:r>
      <w:r>
        <w:rPr>
          <w:spacing w:val="14"/>
          <w:sz w:val="22"/>
        </w:rPr>
        <w:t>been </w:t>
      </w:r>
      <w:r>
        <w:rPr>
          <w:spacing w:val="10"/>
          <w:sz w:val="22"/>
        </w:rPr>
        <w:t>assigned</w:t>
      </w:r>
      <w:r>
        <w:rPr>
          <w:spacing w:val="29"/>
          <w:sz w:val="22"/>
        </w:rPr>
        <w:t> </w:t>
      </w:r>
      <w:r>
        <w:rPr>
          <w:spacing w:val="10"/>
          <w:sz w:val="22"/>
        </w:rPr>
        <w:t>an </w:t>
      </w:r>
      <w:r>
        <w:rPr>
          <w:sz w:val="22"/>
        </w:rPr>
        <w:t>a</w:t>
      </w:r>
      <w:r>
        <w:rPr>
          <w:spacing w:val="-28"/>
          <w:sz w:val="22"/>
        </w:rPr>
        <w:t> </w:t>
      </w:r>
      <w:r>
        <w:rPr>
          <w:sz w:val="22"/>
        </w:rPr>
        <w:t>dvisor, c</w:t>
      </w:r>
      <w:r>
        <w:rPr>
          <w:spacing w:val="-28"/>
          <w:sz w:val="22"/>
        </w:rPr>
        <w:t> </w:t>
      </w:r>
      <w:r>
        <w:rPr>
          <w:spacing w:val="11"/>
          <w:sz w:val="22"/>
        </w:rPr>
        <w:t>onta</w:t>
      </w:r>
      <w:r>
        <w:rPr>
          <w:spacing w:val="-25"/>
          <w:sz w:val="22"/>
        </w:rPr>
        <w:t> </w:t>
      </w:r>
      <w:r>
        <w:rPr>
          <w:spacing w:val="12"/>
          <w:sz w:val="22"/>
        </w:rPr>
        <w:t>ct </w:t>
      </w:r>
      <w:r>
        <w:rPr>
          <w:sz w:val="22"/>
        </w:rPr>
        <w:t>your </w:t>
      </w:r>
      <w:r>
        <w:rPr>
          <w:spacing w:val="16"/>
          <w:sz w:val="22"/>
        </w:rPr>
        <w:t>dep</w:t>
      </w:r>
      <w:r>
        <w:rPr>
          <w:spacing w:val="-28"/>
          <w:sz w:val="22"/>
        </w:rPr>
        <w:t> </w:t>
      </w:r>
      <w:r>
        <w:rPr>
          <w:spacing w:val="12"/>
          <w:sz w:val="22"/>
        </w:rPr>
        <w:t>artment </w:t>
      </w:r>
      <w:r>
        <w:rPr>
          <w:spacing w:val="11"/>
          <w:sz w:val="22"/>
        </w:rPr>
        <w:t>chairperson </w:t>
      </w:r>
      <w:r>
        <w:rPr>
          <w:sz w:val="22"/>
        </w:rPr>
        <w:t>for </w:t>
      </w:r>
      <w:r>
        <w:rPr>
          <w:spacing w:val="10"/>
          <w:sz w:val="22"/>
        </w:rPr>
        <w:t>assistance.</w:t>
      </w:r>
    </w:p>
    <w:p>
      <w:pPr>
        <w:pStyle w:val="ListParagraph"/>
        <w:numPr>
          <w:ilvl w:val="0"/>
          <w:numId w:val="70"/>
        </w:numPr>
        <w:tabs>
          <w:tab w:pos="1161" w:val="left" w:leader="none"/>
          <w:tab w:pos="1162" w:val="left" w:leader="none"/>
        </w:tabs>
        <w:spacing w:line="240" w:lineRule="auto" w:before="4" w:after="0"/>
        <w:ind w:left="1161" w:right="0" w:hanging="333"/>
        <w:jc w:val="left"/>
        <w:rPr>
          <w:sz w:val="22"/>
        </w:rPr>
      </w:pPr>
      <w:r>
        <w:rPr>
          <w:spacing w:val="10"/>
          <w:sz w:val="22"/>
        </w:rPr>
        <w:t>Review</w:t>
      </w:r>
      <w:r>
        <w:rPr>
          <w:spacing w:val="19"/>
          <w:sz w:val="22"/>
        </w:rPr>
        <w:t> </w:t>
      </w:r>
      <w:r>
        <w:rPr>
          <w:spacing w:val="9"/>
          <w:sz w:val="22"/>
        </w:rPr>
        <w:t>the</w:t>
      </w:r>
      <w:r>
        <w:rPr>
          <w:spacing w:val="30"/>
          <w:sz w:val="22"/>
        </w:rPr>
        <w:t> </w:t>
      </w:r>
      <w:r>
        <w:rPr>
          <w:sz w:val="22"/>
        </w:rPr>
        <w:t>curriculum</w:t>
      </w:r>
      <w:r>
        <w:rPr>
          <w:spacing w:val="10"/>
          <w:sz w:val="22"/>
        </w:rPr>
        <w:t> </w:t>
      </w:r>
      <w:r>
        <w:rPr>
          <w:spacing w:val="14"/>
          <w:sz w:val="22"/>
        </w:rPr>
        <w:t>sequenc</w:t>
      </w:r>
      <w:r>
        <w:rPr>
          <w:spacing w:val="-32"/>
          <w:sz w:val="22"/>
        </w:rPr>
        <w:t> </w:t>
      </w:r>
      <w:r>
        <w:rPr>
          <w:sz w:val="22"/>
        </w:rPr>
        <w:t>e</w:t>
      </w:r>
      <w:r>
        <w:rPr>
          <w:spacing w:val="12"/>
          <w:sz w:val="22"/>
        </w:rPr>
        <w:t> </w:t>
      </w:r>
      <w:r>
        <w:rPr>
          <w:spacing w:val="9"/>
          <w:sz w:val="22"/>
        </w:rPr>
        <w:t>sheet</w:t>
      </w:r>
      <w:r>
        <w:rPr>
          <w:spacing w:val="13"/>
          <w:sz w:val="22"/>
        </w:rPr>
        <w:t> </w:t>
      </w:r>
      <w:r>
        <w:rPr>
          <w:sz w:val="22"/>
        </w:rPr>
        <w:t>for</w:t>
      </w:r>
      <w:r>
        <w:rPr>
          <w:spacing w:val="6"/>
          <w:sz w:val="22"/>
        </w:rPr>
        <w:t> </w:t>
      </w:r>
      <w:r>
        <w:rPr>
          <w:sz w:val="22"/>
        </w:rPr>
        <w:t>your</w:t>
      </w:r>
      <w:r>
        <w:rPr>
          <w:spacing w:val="15"/>
          <w:sz w:val="22"/>
        </w:rPr>
        <w:t> </w:t>
      </w:r>
      <w:r>
        <w:rPr>
          <w:spacing w:val="11"/>
          <w:sz w:val="22"/>
        </w:rPr>
        <w:t>major</w:t>
      </w:r>
      <w:r>
        <w:rPr>
          <w:spacing w:val="16"/>
          <w:sz w:val="22"/>
        </w:rPr>
        <w:t> </w:t>
      </w:r>
      <w:r>
        <w:rPr>
          <w:spacing w:val="12"/>
          <w:sz w:val="22"/>
        </w:rPr>
        <w:t>and</w:t>
      </w:r>
      <w:r>
        <w:rPr>
          <w:spacing w:val="17"/>
          <w:sz w:val="22"/>
        </w:rPr>
        <w:t> </w:t>
      </w:r>
      <w:r>
        <w:rPr>
          <w:sz w:val="22"/>
        </w:rPr>
        <w:t>if</w:t>
      </w:r>
      <w:r>
        <w:rPr>
          <w:spacing w:val="21"/>
          <w:sz w:val="22"/>
        </w:rPr>
        <w:t> </w:t>
      </w:r>
      <w:r>
        <w:rPr>
          <w:spacing w:val="12"/>
          <w:sz w:val="22"/>
        </w:rPr>
        <w:t>ap</w:t>
      </w:r>
      <w:r>
        <w:rPr>
          <w:spacing w:val="-31"/>
          <w:sz w:val="22"/>
        </w:rPr>
        <w:t> </w:t>
      </w:r>
      <w:r>
        <w:rPr>
          <w:sz w:val="22"/>
        </w:rPr>
        <w:t>plic</w:t>
      </w:r>
      <w:r>
        <w:rPr>
          <w:spacing w:val="-32"/>
          <w:sz w:val="22"/>
        </w:rPr>
        <w:t> </w:t>
      </w:r>
      <w:r>
        <w:rPr>
          <w:spacing w:val="11"/>
          <w:sz w:val="22"/>
        </w:rPr>
        <w:t>able,</w:t>
      </w:r>
      <w:r>
        <w:rPr>
          <w:spacing w:val="7"/>
          <w:sz w:val="22"/>
        </w:rPr>
        <w:t> </w:t>
      </w:r>
      <w:r>
        <w:rPr>
          <w:spacing w:val="4"/>
          <w:sz w:val="22"/>
        </w:rPr>
        <w:t>the</w:t>
      </w:r>
    </w:p>
    <w:p>
      <w:pPr>
        <w:spacing w:line="256" w:lineRule="auto" w:before="15"/>
        <w:ind w:left="1178" w:right="1003" w:firstLine="0"/>
        <w:jc w:val="left"/>
        <w:rPr>
          <w:sz w:val="22"/>
        </w:rPr>
      </w:pPr>
      <w:r>
        <w:rPr>
          <w:sz w:val="22"/>
        </w:rPr>
        <w:t>c</w:t>
      </w:r>
      <w:r>
        <w:rPr>
          <w:spacing w:val="-32"/>
          <w:sz w:val="22"/>
        </w:rPr>
        <w:t> </w:t>
      </w:r>
      <w:r>
        <w:rPr>
          <w:sz w:val="22"/>
        </w:rPr>
        <w:t>ourse </w:t>
      </w:r>
      <w:r>
        <w:rPr>
          <w:spacing w:val="11"/>
          <w:sz w:val="22"/>
        </w:rPr>
        <w:t>requirements</w:t>
      </w:r>
      <w:r>
        <w:rPr>
          <w:spacing w:val="6"/>
          <w:sz w:val="22"/>
        </w:rPr>
        <w:t> </w:t>
      </w:r>
      <w:r>
        <w:rPr>
          <w:sz w:val="22"/>
        </w:rPr>
        <w:t>for </w:t>
      </w:r>
      <w:r>
        <w:rPr>
          <w:spacing w:val="9"/>
          <w:sz w:val="22"/>
        </w:rPr>
        <w:t>the </w:t>
      </w:r>
      <w:r>
        <w:rPr>
          <w:sz w:val="22"/>
        </w:rPr>
        <w:t>minor. (The</w:t>
      </w:r>
      <w:r>
        <w:rPr>
          <w:spacing w:val="24"/>
          <w:sz w:val="22"/>
        </w:rPr>
        <w:t> </w:t>
      </w:r>
      <w:r>
        <w:rPr>
          <w:sz w:val="22"/>
        </w:rPr>
        <w:t>offering</w:t>
      </w:r>
      <w:r>
        <w:rPr>
          <w:spacing w:val="16"/>
          <w:sz w:val="22"/>
        </w:rPr>
        <w:t> dep</w:t>
      </w:r>
      <w:r>
        <w:rPr>
          <w:spacing w:val="-32"/>
          <w:sz w:val="22"/>
        </w:rPr>
        <w:t> </w:t>
      </w:r>
      <w:r>
        <w:rPr>
          <w:spacing w:val="12"/>
          <w:sz w:val="22"/>
        </w:rPr>
        <w:t>artment </w:t>
      </w:r>
      <w:r>
        <w:rPr>
          <w:sz w:val="22"/>
        </w:rPr>
        <w:t>will</w:t>
      </w:r>
      <w:r>
        <w:rPr>
          <w:spacing w:val="11"/>
          <w:sz w:val="22"/>
        </w:rPr>
        <w:t> determine </w:t>
      </w:r>
      <w:r>
        <w:rPr>
          <w:spacing w:val="9"/>
          <w:sz w:val="22"/>
        </w:rPr>
        <w:t>the </w:t>
      </w:r>
      <w:r>
        <w:rPr>
          <w:sz w:val="22"/>
        </w:rPr>
        <w:t>c</w:t>
      </w:r>
      <w:r>
        <w:rPr>
          <w:spacing w:val="-17"/>
          <w:sz w:val="22"/>
        </w:rPr>
        <w:t> </w:t>
      </w:r>
      <w:r>
        <w:rPr>
          <w:sz w:val="22"/>
        </w:rPr>
        <w:t>ourse </w:t>
      </w:r>
      <w:r>
        <w:rPr>
          <w:spacing w:val="11"/>
          <w:sz w:val="22"/>
        </w:rPr>
        <w:t>requirements </w:t>
      </w:r>
      <w:r>
        <w:rPr>
          <w:sz w:val="22"/>
        </w:rPr>
        <w:t>for </w:t>
      </w:r>
      <w:r>
        <w:rPr>
          <w:spacing w:val="9"/>
          <w:sz w:val="22"/>
        </w:rPr>
        <w:t>the </w:t>
      </w:r>
      <w:r>
        <w:rPr>
          <w:sz w:val="22"/>
        </w:rPr>
        <w:t>minor.)</w:t>
      </w:r>
    </w:p>
    <w:p>
      <w:pPr>
        <w:pStyle w:val="ListParagraph"/>
        <w:numPr>
          <w:ilvl w:val="0"/>
          <w:numId w:val="70"/>
        </w:numPr>
        <w:tabs>
          <w:tab w:pos="1171" w:val="left" w:leader="none"/>
          <w:tab w:pos="1172" w:val="left" w:leader="none"/>
        </w:tabs>
        <w:spacing w:line="254" w:lineRule="auto" w:before="0" w:after="0"/>
        <w:ind w:left="1173" w:right="811" w:hanging="344"/>
        <w:jc w:val="left"/>
        <w:rPr>
          <w:sz w:val="22"/>
        </w:rPr>
      </w:pPr>
      <w:r>
        <w:rPr>
          <w:sz w:val="22"/>
        </w:rPr>
        <w:t>Mark</w:t>
      </w:r>
      <w:r>
        <w:rPr>
          <w:spacing w:val="20"/>
          <w:sz w:val="22"/>
        </w:rPr>
        <w:t> </w:t>
      </w:r>
      <w:r>
        <w:rPr>
          <w:sz w:val="22"/>
        </w:rPr>
        <w:t>all of </w:t>
      </w:r>
      <w:r>
        <w:rPr>
          <w:spacing w:val="9"/>
          <w:sz w:val="22"/>
        </w:rPr>
        <w:t>the</w:t>
      </w:r>
      <w:r>
        <w:rPr>
          <w:spacing w:val="35"/>
          <w:sz w:val="22"/>
        </w:rPr>
        <w:t> </w:t>
      </w:r>
      <w:r>
        <w:rPr>
          <w:sz w:val="22"/>
        </w:rPr>
        <w:t>c</w:t>
      </w:r>
      <w:r>
        <w:rPr>
          <w:spacing w:val="-30"/>
          <w:sz w:val="22"/>
        </w:rPr>
        <w:t> </w:t>
      </w:r>
      <w:r>
        <w:rPr>
          <w:sz w:val="22"/>
        </w:rPr>
        <w:t>ourses </w:t>
      </w:r>
      <w:r>
        <w:rPr>
          <w:spacing w:val="13"/>
          <w:sz w:val="22"/>
        </w:rPr>
        <w:t>that </w:t>
      </w:r>
      <w:r>
        <w:rPr>
          <w:spacing w:val="10"/>
          <w:sz w:val="22"/>
        </w:rPr>
        <w:t>you </w:t>
      </w:r>
      <w:r>
        <w:rPr>
          <w:spacing w:val="13"/>
          <w:sz w:val="22"/>
        </w:rPr>
        <w:t>have </w:t>
      </w:r>
      <w:r>
        <w:rPr>
          <w:spacing w:val="12"/>
          <w:sz w:val="22"/>
        </w:rPr>
        <w:t>taken </w:t>
      </w:r>
      <w:r>
        <w:rPr>
          <w:sz w:val="22"/>
        </w:rPr>
        <w:t>or are</w:t>
      </w:r>
      <w:r>
        <w:rPr>
          <w:spacing w:val="35"/>
          <w:sz w:val="22"/>
        </w:rPr>
        <w:t> </w:t>
      </w:r>
      <w:r>
        <w:rPr>
          <w:sz w:val="22"/>
        </w:rPr>
        <w:t>currently </w:t>
      </w:r>
      <w:r>
        <w:rPr>
          <w:spacing w:val="9"/>
          <w:sz w:val="22"/>
        </w:rPr>
        <w:t>taking </w:t>
      </w:r>
      <w:r>
        <w:rPr>
          <w:sz w:val="22"/>
        </w:rPr>
        <w:t>to</w:t>
      </w:r>
      <w:r>
        <w:rPr>
          <w:spacing w:val="12"/>
          <w:sz w:val="22"/>
        </w:rPr>
        <w:t> determine </w:t>
      </w:r>
      <w:r>
        <w:rPr>
          <w:spacing w:val="14"/>
          <w:sz w:val="22"/>
        </w:rPr>
        <w:t>what </w:t>
      </w:r>
      <w:r>
        <w:rPr>
          <w:sz w:val="22"/>
        </w:rPr>
        <w:t>c</w:t>
      </w:r>
      <w:r>
        <w:rPr>
          <w:spacing w:val="-21"/>
          <w:sz w:val="22"/>
        </w:rPr>
        <w:t> </w:t>
      </w:r>
      <w:r>
        <w:rPr>
          <w:sz w:val="22"/>
        </w:rPr>
        <w:t>ourses </w:t>
      </w:r>
      <w:r>
        <w:rPr>
          <w:spacing w:val="9"/>
          <w:sz w:val="22"/>
        </w:rPr>
        <w:t>you </w:t>
      </w:r>
      <w:r>
        <w:rPr>
          <w:spacing w:val="13"/>
          <w:sz w:val="22"/>
        </w:rPr>
        <w:t>have </w:t>
      </w:r>
      <w:r>
        <w:rPr>
          <w:spacing w:val="11"/>
          <w:sz w:val="22"/>
        </w:rPr>
        <w:t>remaining.</w:t>
      </w:r>
    </w:p>
    <w:p>
      <w:pPr>
        <w:pStyle w:val="ListParagraph"/>
        <w:numPr>
          <w:ilvl w:val="0"/>
          <w:numId w:val="70"/>
        </w:numPr>
        <w:tabs>
          <w:tab w:pos="1164" w:val="left" w:leader="none"/>
          <w:tab w:pos="1165" w:val="left" w:leader="none"/>
        </w:tabs>
        <w:spacing w:line="240" w:lineRule="auto" w:before="2" w:after="0"/>
        <w:ind w:left="1164" w:right="0" w:hanging="335"/>
        <w:jc w:val="left"/>
        <w:rPr>
          <w:sz w:val="22"/>
        </w:rPr>
      </w:pPr>
      <w:r>
        <w:rPr>
          <w:spacing w:val="10"/>
          <w:sz w:val="22"/>
        </w:rPr>
        <w:t>Determine</w:t>
      </w:r>
      <w:r>
        <w:rPr>
          <w:spacing w:val="17"/>
          <w:sz w:val="22"/>
        </w:rPr>
        <w:t> </w:t>
      </w:r>
      <w:r>
        <w:rPr>
          <w:sz w:val="22"/>
        </w:rPr>
        <w:t>a</w:t>
      </w:r>
      <w:r>
        <w:rPr>
          <w:spacing w:val="16"/>
          <w:sz w:val="22"/>
        </w:rPr>
        <w:t> </w:t>
      </w:r>
      <w:r>
        <w:rPr>
          <w:spacing w:val="12"/>
          <w:sz w:val="22"/>
        </w:rPr>
        <w:t>tentative</w:t>
      </w:r>
      <w:r>
        <w:rPr>
          <w:spacing w:val="21"/>
          <w:sz w:val="22"/>
        </w:rPr>
        <w:t> </w:t>
      </w:r>
      <w:r>
        <w:rPr>
          <w:sz w:val="22"/>
        </w:rPr>
        <w:t>class</w:t>
      </w:r>
      <w:r>
        <w:rPr>
          <w:spacing w:val="-4"/>
          <w:sz w:val="22"/>
        </w:rPr>
        <w:t> </w:t>
      </w:r>
      <w:r>
        <w:rPr>
          <w:spacing w:val="13"/>
          <w:sz w:val="22"/>
        </w:rPr>
        <w:t>schedule</w:t>
      </w:r>
      <w:r>
        <w:rPr>
          <w:spacing w:val="9"/>
          <w:sz w:val="22"/>
        </w:rPr>
        <w:t> </w:t>
      </w:r>
      <w:r>
        <w:rPr>
          <w:sz w:val="22"/>
        </w:rPr>
        <w:t>for</w:t>
      </w:r>
      <w:r>
        <w:rPr>
          <w:spacing w:val="2"/>
          <w:sz w:val="22"/>
        </w:rPr>
        <w:t> </w:t>
      </w:r>
      <w:r>
        <w:rPr>
          <w:spacing w:val="9"/>
          <w:sz w:val="22"/>
        </w:rPr>
        <w:t>the</w:t>
      </w:r>
      <w:r>
        <w:rPr>
          <w:spacing w:val="21"/>
          <w:sz w:val="22"/>
        </w:rPr>
        <w:t> </w:t>
      </w:r>
      <w:r>
        <w:rPr>
          <w:sz w:val="22"/>
        </w:rPr>
        <w:t>c</w:t>
      </w:r>
      <w:r>
        <w:rPr>
          <w:spacing w:val="-33"/>
          <w:sz w:val="22"/>
        </w:rPr>
        <w:t> </w:t>
      </w:r>
      <w:r>
        <w:rPr>
          <w:spacing w:val="10"/>
          <w:sz w:val="22"/>
        </w:rPr>
        <w:t>oming</w:t>
      </w:r>
      <w:r>
        <w:rPr>
          <w:spacing w:val="9"/>
          <w:sz w:val="22"/>
        </w:rPr>
        <w:t> </w:t>
      </w:r>
      <w:r>
        <w:rPr>
          <w:spacing w:val="8"/>
          <w:sz w:val="22"/>
        </w:rPr>
        <w:t>semester.</w:t>
      </w:r>
    </w:p>
    <w:p>
      <w:pPr>
        <w:pStyle w:val="ListParagraph"/>
        <w:numPr>
          <w:ilvl w:val="0"/>
          <w:numId w:val="70"/>
        </w:numPr>
        <w:tabs>
          <w:tab w:pos="1163" w:val="left" w:leader="none"/>
          <w:tab w:pos="1165" w:val="left" w:leader="none"/>
        </w:tabs>
        <w:spacing w:line="240" w:lineRule="auto" w:before="16" w:after="0"/>
        <w:ind w:left="1164" w:right="0" w:hanging="335"/>
        <w:jc w:val="left"/>
        <w:rPr>
          <w:sz w:val="22"/>
        </w:rPr>
      </w:pPr>
      <w:r>
        <w:rPr>
          <w:sz w:val="22"/>
        </w:rPr>
        <w:t>Write</w:t>
      </w:r>
      <w:r>
        <w:rPr>
          <w:spacing w:val="28"/>
          <w:sz w:val="22"/>
        </w:rPr>
        <w:t> </w:t>
      </w:r>
      <w:r>
        <w:rPr>
          <w:spacing w:val="15"/>
          <w:sz w:val="22"/>
        </w:rPr>
        <w:t>down</w:t>
      </w:r>
      <w:r>
        <w:rPr>
          <w:spacing w:val="22"/>
          <w:sz w:val="22"/>
        </w:rPr>
        <w:t> </w:t>
      </w:r>
      <w:r>
        <w:rPr>
          <w:spacing w:val="9"/>
          <w:sz w:val="22"/>
        </w:rPr>
        <w:t>any</w:t>
      </w:r>
      <w:r>
        <w:rPr>
          <w:spacing w:val="20"/>
          <w:sz w:val="22"/>
        </w:rPr>
        <w:t> </w:t>
      </w:r>
      <w:r>
        <w:rPr>
          <w:spacing w:val="10"/>
          <w:sz w:val="22"/>
        </w:rPr>
        <w:t>question</w:t>
      </w:r>
      <w:r>
        <w:rPr>
          <w:spacing w:val="11"/>
          <w:sz w:val="22"/>
        </w:rPr>
        <w:t> </w:t>
      </w:r>
      <w:r>
        <w:rPr>
          <w:spacing w:val="9"/>
          <w:sz w:val="22"/>
        </w:rPr>
        <w:t>you</w:t>
      </w:r>
      <w:r>
        <w:rPr>
          <w:spacing w:val="14"/>
          <w:sz w:val="22"/>
        </w:rPr>
        <w:t> have</w:t>
      </w:r>
      <w:r>
        <w:rPr>
          <w:spacing w:val="16"/>
          <w:sz w:val="22"/>
        </w:rPr>
        <w:t> </w:t>
      </w:r>
      <w:r>
        <w:rPr>
          <w:sz w:val="22"/>
        </w:rPr>
        <w:t>for</w:t>
      </w:r>
      <w:r>
        <w:rPr>
          <w:spacing w:val="7"/>
          <w:sz w:val="22"/>
        </w:rPr>
        <w:t> </w:t>
      </w:r>
      <w:r>
        <w:rPr>
          <w:sz w:val="22"/>
        </w:rPr>
        <w:t>your</w:t>
      </w:r>
      <w:r>
        <w:rPr>
          <w:spacing w:val="16"/>
          <w:sz w:val="22"/>
        </w:rPr>
        <w:t> </w:t>
      </w:r>
      <w:r>
        <w:rPr>
          <w:spacing w:val="-2"/>
          <w:sz w:val="22"/>
        </w:rPr>
        <w:t>advisor.</w:t>
      </w:r>
    </w:p>
    <w:p>
      <w:pPr>
        <w:pStyle w:val="ListParagraph"/>
        <w:numPr>
          <w:ilvl w:val="0"/>
          <w:numId w:val="70"/>
        </w:numPr>
        <w:tabs>
          <w:tab w:pos="1162" w:val="left" w:leader="none"/>
          <w:tab w:pos="1163" w:val="left" w:leader="none"/>
        </w:tabs>
        <w:spacing w:line="240" w:lineRule="auto" w:before="16" w:after="0"/>
        <w:ind w:left="1162" w:right="0" w:hanging="333"/>
        <w:jc w:val="left"/>
        <w:rPr>
          <w:sz w:val="22"/>
        </w:rPr>
      </w:pPr>
      <w:r>
        <w:rPr>
          <w:sz w:val="22"/>
        </w:rPr>
        <w:t>Plan</w:t>
      </w:r>
      <w:r>
        <w:rPr>
          <w:spacing w:val="12"/>
          <w:sz w:val="22"/>
        </w:rPr>
        <w:t> </w:t>
      </w:r>
      <w:r>
        <w:rPr>
          <w:sz w:val="22"/>
        </w:rPr>
        <w:t>to</w:t>
      </w:r>
      <w:r>
        <w:rPr>
          <w:spacing w:val="25"/>
          <w:sz w:val="22"/>
        </w:rPr>
        <w:t> </w:t>
      </w:r>
      <w:r>
        <w:rPr>
          <w:sz w:val="22"/>
        </w:rPr>
        <w:t>arrive</w:t>
      </w:r>
      <w:r>
        <w:rPr>
          <w:spacing w:val="25"/>
          <w:sz w:val="22"/>
        </w:rPr>
        <w:t> </w:t>
      </w:r>
      <w:r>
        <w:rPr>
          <w:spacing w:val="10"/>
          <w:sz w:val="22"/>
        </w:rPr>
        <w:t>at</w:t>
      </w:r>
      <w:r>
        <w:rPr>
          <w:spacing w:val="6"/>
          <w:sz w:val="22"/>
        </w:rPr>
        <w:t> </w:t>
      </w:r>
      <w:r>
        <w:rPr>
          <w:spacing w:val="10"/>
          <w:sz w:val="22"/>
        </w:rPr>
        <w:t>least</w:t>
      </w:r>
      <w:r>
        <w:rPr>
          <w:spacing w:val="7"/>
          <w:sz w:val="22"/>
        </w:rPr>
        <w:t> </w:t>
      </w:r>
      <w:r>
        <w:rPr>
          <w:sz w:val="22"/>
        </w:rPr>
        <w:t>5</w:t>
      </w:r>
      <w:r>
        <w:rPr>
          <w:spacing w:val="10"/>
          <w:sz w:val="22"/>
        </w:rPr>
        <w:t> </w:t>
      </w:r>
      <w:r>
        <w:rPr>
          <w:spacing w:val="9"/>
          <w:sz w:val="22"/>
        </w:rPr>
        <w:t>minutes</w:t>
      </w:r>
      <w:r>
        <w:rPr>
          <w:spacing w:val="14"/>
          <w:sz w:val="22"/>
        </w:rPr>
        <w:t> </w:t>
      </w:r>
      <w:r>
        <w:rPr>
          <w:sz w:val="22"/>
        </w:rPr>
        <w:t>prior</w:t>
      </w:r>
      <w:r>
        <w:rPr>
          <w:spacing w:val="8"/>
          <w:sz w:val="22"/>
        </w:rPr>
        <w:t> </w:t>
      </w:r>
      <w:r>
        <w:rPr>
          <w:sz w:val="22"/>
        </w:rPr>
        <w:t>to</w:t>
      </w:r>
      <w:r>
        <w:rPr>
          <w:spacing w:val="14"/>
          <w:sz w:val="22"/>
        </w:rPr>
        <w:t> </w:t>
      </w:r>
      <w:r>
        <w:rPr>
          <w:sz w:val="22"/>
        </w:rPr>
        <w:t>your</w:t>
      </w:r>
      <w:r>
        <w:rPr>
          <w:spacing w:val="1"/>
          <w:sz w:val="22"/>
        </w:rPr>
        <w:t> </w:t>
      </w:r>
      <w:r>
        <w:rPr>
          <w:spacing w:val="14"/>
          <w:sz w:val="22"/>
        </w:rPr>
        <w:t>scheduled</w:t>
      </w:r>
      <w:r>
        <w:rPr>
          <w:spacing w:val="29"/>
          <w:sz w:val="22"/>
        </w:rPr>
        <w:t> </w:t>
      </w:r>
      <w:r>
        <w:rPr>
          <w:spacing w:val="14"/>
          <w:sz w:val="22"/>
        </w:rPr>
        <w:t>appointment</w:t>
      </w:r>
      <w:r>
        <w:rPr>
          <w:spacing w:val="12"/>
          <w:sz w:val="22"/>
        </w:rPr>
        <w:t> </w:t>
      </w:r>
      <w:r>
        <w:rPr>
          <w:spacing w:val="8"/>
          <w:sz w:val="22"/>
        </w:rPr>
        <w:t>time.</w:t>
      </w:r>
    </w:p>
    <w:p>
      <w:pPr>
        <w:pStyle w:val="ListParagraph"/>
        <w:numPr>
          <w:ilvl w:val="0"/>
          <w:numId w:val="70"/>
        </w:numPr>
        <w:tabs>
          <w:tab w:pos="1164" w:val="left" w:leader="none"/>
          <w:tab w:pos="1165" w:val="left" w:leader="none"/>
        </w:tabs>
        <w:spacing w:line="254" w:lineRule="auto" w:before="18" w:after="0"/>
        <w:ind w:left="1175" w:right="786" w:hanging="345"/>
        <w:jc w:val="left"/>
        <w:rPr>
          <w:sz w:val="22"/>
        </w:rPr>
      </w:pPr>
      <w:r>
        <w:rPr>
          <w:sz w:val="22"/>
        </w:rPr>
        <w:t>During </w:t>
      </w:r>
      <w:r>
        <w:rPr>
          <w:spacing w:val="9"/>
          <w:sz w:val="22"/>
        </w:rPr>
        <w:t>the </w:t>
      </w:r>
      <w:r>
        <w:rPr>
          <w:spacing w:val="13"/>
          <w:sz w:val="22"/>
        </w:rPr>
        <w:t>appointment, </w:t>
      </w:r>
      <w:r>
        <w:rPr>
          <w:spacing w:val="12"/>
          <w:sz w:val="22"/>
        </w:rPr>
        <w:t>be </w:t>
      </w:r>
      <w:r>
        <w:rPr>
          <w:spacing w:val="11"/>
          <w:sz w:val="22"/>
        </w:rPr>
        <w:t>prep</w:t>
      </w:r>
      <w:r>
        <w:rPr>
          <w:spacing w:val="-31"/>
          <w:sz w:val="22"/>
        </w:rPr>
        <w:t> </w:t>
      </w:r>
      <w:r>
        <w:rPr>
          <w:spacing w:val="11"/>
          <w:sz w:val="22"/>
        </w:rPr>
        <w:t>ared </w:t>
      </w:r>
      <w:r>
        <w:rPr>
          <w:sz w:val="22"/>
        </w:rPr>
        <w:t>to discuss: your </w:t>
      </w:r>
      <w:r>
        <w:rPr>
          <w:spacing w:val="15"/>
          <w:sz w:val="22"/>
        </w:rPr>
        <w:t>educ</w:t>
      </w:r>
      <w:r>
        <w:rPr>
          <w:spacing w:val="-28"/>
          <w:sz w:val="22"/>
        </w:rPr>
        <w:t> </w:t>
      </w:r>
      <w:r>
        <w:rPr>
          <w:spacing w:val="11"/>
          <w:sz w:val="22"/>
        </w:rPr>
        <w:t>ational</w:t>
      </w:r>
      <w:r>
        <w:rPr>
          <w:spacing w:val="2"/>
          <w:sz w:val="22"/>
        </w:rPr>
        <w:t> </w:t>
      </w:r>
      <w:r>
        <w:rPr>
          <w:sz w:val="22"/>
        </w:rPr>
        <w:t>interests </w:t>
      </w:r>
      <w:r>
        <w:rPr>
          <w:spacing w:val="12"/>
          <w:sz w:val="22"/>
        </w:rPr>
        <w:t>and </w:t>
      </w:r>
      <w:r>
        <w:rPr>
          <w:spacing w:val="10"/>
          <w:sz w:val="22"/>
        </w:rPr>
        <w:t>goals; </w:t>
      </w:r>
      <w:r>
        <w:rPr>
          <w:sz w:val="22"/>
        </w:rPr>
        <w:t>your </w:t>
      </w:r>
      <w:r>
        <w:rPr>
          <w:spacing w:val="13"/>
          <w:sz w:val="22"/>
        </w:rPr>
        <w:t>program </w:t>
      </w:r>
      <w:r>
        <w:rPr>
          <w:spacing w:val="10"/>
          <w:sz w:val="22"/>
        </w:rPr>
        <w:t>plan,</w:t>
      </w:r>
      <w:r>
        <w:rPr>
          <w:spacing w:val="6"/>
          <w:sz w:val="22"/>
        </w:rPr>
        <w:t> </w:t>
      </w:r>
      <w:r>
        <w:rPr>
          <w:spacing w:val="11"/>
          <w:sz w:val="22"/>
        </w:rPr>
        <w:t>including </w:t>
      </w:r>
      <w:r>
        <w:rPr>
          <w:spacing w:val="12"/>
          <w:sz w:val="22"/>
        </w:rPr>
        <w:t>tentative </w:t>
      </w:r>
      <w:r>
        <w:rPr>
          <w:sz w:val="22"/>
        </w:rPr>
        <w:t>class </w:t>
      </w:r>
      <w:r>
        <w:rPr>
          <w:spacing w:val="13"/>
          <w:sz w:val="22"/>
        </w:rPr>
        <w:t>schedule; and </w:t>
      </w:r>
      <w:r>
        <w:rPr>
          <w:sz w:val="22"/>
        </w:rPr>
        <w:t>a</w:t>
      </w:r>
      <w:r>
        <w:rPr>
          <w:spacing w:val="-29"/>
          <w:sz w:val="22"/>
        </w:rPr>
        <w:t> </w:t>
      </w:r>
      <w:r>
        <w:rPr>
          <w:sz w:val="22"/>
        </w:rPr>
        <w:t>c</w:t>
      </w:r>
      <w:r>
        <w:rPr>
          <w:spacing w:val="-26"/>
          <w:sz w:val="22"/>
        </w:rPr>
        <w:t> </w:t>
      </w:r>
      <w:r>
        <w:rPr>
          <w:sz w:val="22"/>
        </w:rPr>
        <w:t>a</w:t>
      </w:r>
      <w:r>
        <w:rPr>
          <w:spacing w:val="-29"/>
          <w:sz w:val="22"/>
        </w:rPr>
        <w:t> </w:t>
      </w:r>
      <w:r>
        <w:rPr>
          <w:spacing w:val="13"/>
          <w:sz w:val="22"/>
        </w:rPr>
        <w:t>demic</w:t>
      </w:r>
    </w:p>
    <w:p>
      <w:pPr>
        <w:spacing w:before="4"/>
        <w:ind w:left="1178" w:right="0" w:firstLine="0"/>
        <w:jc w:val="left"/>
        <w:rPr>
          <w:sz w:val="22"/>
        </w:rPr>
      </w:pPr>
      <w:r>
        <w:rPr>
          <w:sz w:val="22"/>
        </w:rPr>
        <w:t>c</w:t>
      </w:r>
      <w:r>
        <w:rPr>
          <w:spacing w:val="-33"/>
          <w:sz w:val="22"/>
        </w:rPr>
        <w:t> </w:t>
      </w:r>
      <w:r>
        <w:rPr>
          <w:spacing w:val="11"/>
          <w:sz w:val="22"/>
        </w:rPr>
        <w:t>oncerns</w:t>
      </w:r>
      <w:r>
        <w:rPr>
          <w:spacing w:val="-5"/>
          <w:sz w:val="22"/>
        </w:rPr>
        <w:t> </w:t>
      </w:r>
      <w:r>
        <w:rPr>
          <w:sz w:val="22"/>
        </w:rPr>
        <w:t>or</w:t>
      </w:r>
      <w:r>
        <w:rPr>
          <w:spacing w:val="2"/>
          <w:sz w:val="22"/>
        </w:rPr>
        <w:t> </w:t>
      </w:r>
      <w:r>
        <w:rPr>
          <w:spacing w:val="-2"/>
          <w:sz w:val="22"/>
        </w:rPr>
        <w:t>questions.</w:t>
      </w:r>
    </w:p>
    <w:p>
      <w:pPr>
        <w:pStyle w:val="BodyText"/>
      </w:pPr>
    </w:p>
    <w:p>
      <w:pPr>
        <w:pStyle w:val="BodyText"/>
        <w:spacing w:before="10"/>
        <w:rPr>
          <w:sz w:val="23"/>
        </w:rPr>
      </w:pPr>
      <w:r>
        <w:rPr/>
        <w:pict>
          <v:rect style="position:absolute;margin-left:70.559998pt;margin-top:14.923877pt;width:470.88pt;height:.72pt;mso-position-horizontal-relative:page;mso-position-vertical-relative:paragraph;z-index:-15712256;mso-wrap-distance-left:0;mso-wrap-distance-right:0" id="docshape587" filled="true" fillcolor="#000000" stroked="false">
            <v:fill type="solid"/>
            <w10:wrap type="topAndBottom"/>
          </v:rect>
        </w:pict>
      </w:r>
    </w:p>
    <w:p>
      <w:pPr>
        <w:spacing w:after="0"/>
        <w:rPr>
          <w:sz w:val="23"/>
        </w:rPr>
        <w:sectPr>
          <w:headerReference w:type="default" r:id="rId311"/>
          <w:footerReference w:type="default" r:id="rId312"/>
          <w:pgSz w:w="12240" w:h="15840"/>
          <w:pgMar w:header="0" w:footer="748" w:top="1380" w:bottom="940" w:left="1000" w:right="820"/>
        </w:sectPr>
      </w:pPr>
    </w:p>
    <w:p>
      <w:pPr>
        <w:pStyle w:val="Heading1"/>
      </w:pPr>
      <w:r>
        <w:rPr>
          <w:w w:val="85"/>
        </w:rPr>
        <w:t>DEPARTMENTAL</w:t>
      </w:r>
      <w:r>
        <w:rPr>
          <w:spacing w:val="79"/>
        </w:rPr>
        <w:t> </w:t>
      </w:r>
      <w:r>
        <w:rPr>
          <w:spacing w:val="-2"/>
          <w:w w:val="95"/>
        </w:rPr>
        <w:t>POLICIES</w:t>
      </w:r>
    </w:p>
    <w:p>
      <w:pPr>
        <w:pStyle w:val="BodyText"/>
        <w:spacing w:before="3"/>
        <w:rPr>
          <w:b/>
          <w:sz w:val="5"/>
        </w:rPr>
      </w:pPr>
      <w:r>
        <w:rPr/>
        <w:pict>
          <v:rect style="position:absolute;margin-left:70.559998pt;margin-top:4.251758pt;width:470.88pt;height:.72pt;mso-position-horizontal-relative:page;mso-position-vertical-relative:paragraph;z-index:-15711744;mso-wrap-distance-left:0;mso-wrap-distance-right:0" id="docshape590" filled="true" fillcolor="#000000" stroked="false">
            <v:fill type="solid"/>
            <w10:wrap type="topAndBottom"/>
          </v:rect>
        </w:pict>
      </w:r>
    </w:p>
    <w:p>
      <w:pPr>
        <w:pStyle w:val="BodyText"/>
        <w:rPr>
          <w:b/>
        </w:rPr>
      </w:pPr>
    </w:p>
    <w:p>
      <w:pPr>
        <w:pStyle w:val="BodyText"/>
        <w:rPr>
          <w:b/>
        </w:rPr>
      </w:pPr>
    </w:p>
    <w:p>
      <w:pPr>
        <w:pStyle w:val="BodyText"/>
        <w:spacing w:before="8"/>
        <w:rPr>
          <w:b/>
          <w:sz w:val="22"/>
        </w:rPr>
      </w:pPr>
    </w:p>
    <w:p>
      <w:pPr>
        <w:pStyle w:val="Heading6"/>
        <w:spacing w:before="91"/>
      </w:pPr>
      <w:r>
        <w:rPr>
          <w:w w:val="85"/>
        </w:rPr>
        <w:t>STUDIO</w:t>
      </w:r>
      <w:r>
        <w:rPr>
          <w:spacing w:val="53"/>
        </w:rPr>
        <w:t> </w:t>
      </w:r>
      <w:r>
        <w:rPr>
          <w:w w:val="85"/>
        </w:rPr>
        <w:t>CULTURE</w:t>
      </w:r>
      <w:r>
        <w:rPr>
          <w:spacing w:val="19"/>
        </w:rPr>
        <w:t> </w:t>
      </w:r>
      <w:r>
        <w:rPr>
          <w:spacing w:val="-2"/>
          <w:w w:val="85"/>
        </w:rPr>
        <w:t>POLICY</w:t>
      </w:r>
    </w:p>
    <w:p>
      <w:pPr>
        <w:pStyle w:val="BodyText"/>
        <w:spacing w:before="10"/>
        <w:rPr>
          <w:sz w:val="32"/>
        </w:rPr>
      </w:pPr>
    </w:p>
    <w:p>
      <w:pPr>
        <w:spacing w:line="292" w:lineRule="auto" w:before="0"/>
        <w:ind w:left="451" w:right="642" w:hanging="12"/>
        <w:jc w:val="left"/>
        <w:rPr>
          <w:sz w:val="22"/>
        </w:rPr>
      </w:pPr>
      <w:r>
        <w:rPr>
          <w:sz w:val="22"/>
        </w:rPr>
        <w:t>In 2002</w:t>
      </w:r>
      <w:r>
        <w:rPr>
          <w:spacing w:val="-4"/>
          <w:sz w:val="22"/>
        </w:rPr>
        <w:t> </w:t>
      </w:r>
      <w:r>
        <w:rPr>
          <w:sz w:val="22"/>
        </w:rPr>
        <w:t>The AIAS</w:t>
      </w:r>
      <w:r>
        <w:rPr>
          <w:spacing w:val="-3"/>
          <w:sz w:val="22"/>
        </w:rPr>
        <w:t> </w:t>
      </w:r>
      <w:r>
        <w:rPr>
          <w:spacing w:val="10"/>
          <w:sz w:val="22"/>
        </w:rPr>
        <w:t>Studio </w:t>
      </w:r>
      <w:r>
        <w:rPr>
          <w:sz w:val="22"/>
        </w:rPr>
        <w:t>Culture Task</w:t>
      </w:r>
      <w:r>
        <w:rPr>
          <w:spacing w:val="-6"/>
          <w:sz w:val="22"/>
        </w:rPr>
        <w:t> </w:t>
      </w:r>
      <w:r>
        <w:rPr>
          <w:sz w:val="22"/>
        </w:rPr>
        <w:t>Forc</w:t>
      </w:r>
      <w:r>
        <w:rPr>
          <w:spacing w:val="-34"/>
          <w:sz w:val="22"/>
        </w:rPr>
        <w:t> </w:t>
      </w:r>
      <w:r>
        <w:rPr>
          <w:sz w:val="22"/>
        </w:rPr>
        <w:t>e </w:t>
      </w:r>
      <w:r>
        <w:rPr>
          <w:spacing w:val="12"/>
          <w:sz w:val="22"/>
        </w:rPr>
        <w:t>defined</w:t>
      </w:r>
      <w:r>
        <w:rPr>
          <w:spacing w:val="11"/>
          <w:sz w:val="22"/>
        </w:rPr>
        <w:t> </w:t>
      </w:r>
      <w:r>
        <w:rPr>
          <w:spacing w:val="10"/>
          <w:sz w:val="22"/>
        </w:rPr>
        <w:t>studio </w:t>
      </w:r>
      <w:r>
        <w:rPr>
          <w:sz w:val="22"/>
        </w:rPr>
        <w:t>culture as the </w:t>
      </w:r>
      <w:r>
        <w:rPr>
          <w:spacing w:val="9"/>
          <w:sz w:val="22"/>
        </w:rPr>
        <w:t>unwritten</w:t>
      </w:r>
      <w:r>
        <w:rPr>
          <w:spacing w:val="6"/>
          <w:sz w:val="22"/>
        </w:rPr>
        <w:t> </w:t>
      </w:r>
      <w:r>
        <w:rPr>
          <w:sz w:val="22"/>
        </w:rPr>
        <w:t>vivid </w:t>
      </w:r>
      <w:r>
        <w:rPr>
          <w:spacing w:val="11"/>
          <w:sz w:val="22"/>
        </w:rPr>
        <w:t>memories </w:t>
      </w:r>
      <w:r>
        <w:rPr>
          <w:spacing w:val="13"/>
          <w:sz w:val="22"/>
        </w:rPr>
        <w:t>associated </w:t>
      </w:r>
      <w:r>
        <w:rPr>
          <w:sz w:val="22"/>
        </w:rPr>
        <w:t>with </w:t>
      </w:r>
      <w:r>
        <w:rPr>
          <w:spacing w:val="11"/>
          <w:sz w:val="22"/>
        </w:rPr>
        <w:t>experienc</w:t>
      </w:r>
      <w:r>
        <w:rPr>
          <w:spacing w:val="-29"/>
          <w:sz w:val="22"/>
        </w:rPr>
        <w:t> </w:t>
      </w:r>
      <w:r>
        <w:rPr>
          <w:sz w:val="22"/>
        </w:rPr>
        <w:t>es, habits, </w:t>
      </w:r>
      <w:r>
        <w:rPr>
          <w:spacing w:val="13"/>
          <w:sz w:val="22"/>
        </w:rPr>
        <w:t>and </w:t>
      </w:r>
      <w:r>
        <w:rPr>
          <w:sz w:val="22"/>
        </w:rPr>
        <w:t>p</w:t>
      </w:r>
      <w:r>
        <w:rPr>
          <w:spacing w:val="-28"/>
          <w:sz w:val="22"/>
        </w:rPr>
        <w:t> </w:t>
      </w:r>
      <w:r>
        <w:rPr>
          <w:spacing w:val="9"/>
          <w:sz w:val="22"/>
        </w:rPr>
        <w:t>atterns </w:t>
      </w:r>
      <w:r>
        <w:rPr>
          <w:spacing w:val="12"/>
          <w:sz w:val="22"/>
        </w:rPr>
        <w:t>found </w:t>
      </w:r>
      <w:r>
        <w:rPr>
          <w:sz w:val="22"/>
        </w:rPr>
        <w:t>within </w:t>
      </w:r>
      <w:r>
        <w:rPr>
          <w:spacing w:val="9"/>
          <w:sz w:val="22"/>
        </w:rPr>
        <w:t>the</w:t>
      </w:r>
    </w:p>
    <w:p>
      <w:pPr>
        <w:spacing w:line="295" w:lineRule="auto" w:before="2"/>
        <w:ind w:left="443" w:right="642" w:firstLine="10"/>
        <w:jc w:val="left"/>
        <w:rPr>
          <w:b/>
          <w:sz w:val="22"/>
        </w:rPr>
      </w:pPr>
      <w:r>
        <w:rPr>
          <w:spacing w:val="12"/>
          <w:sz w:val="22"/>
        </w:rPr>
        <w:t>architecture </w:t>
      </w:r>
      <w:r>
        <w:rPr>
          <w:spacing w:val="10"/>
          <w:sz w:val="22"/>
        </w:rPr>
        <w:t>design</w:t>
      </w:r>
      <w:r>
        <w:rPr>
          <w:spacing w:val="5"/>
          <w:sz w:val="22"/>
        </w:rPr>
        <w:t> </w:t>
      </w:r>
      <w:r>
        <w:rPr>
          <w:spacing w:val="10"/>
          <w:sz w:val="22"/>
        </w:rPr>
        <w:t>studio.</w:t>
      </w:r>
      <w:r>
        <w:rPr>
          <w:spacing w:val="9"/>
          <w:sz w:val="22"/>
        </w:rPr>
        <w:t> </w:t>
      </w:r>
      <w:r>
        <w:rPr>
          <w:spacing w:val="11"/>
          <w:sz w:val="22"/>
        </w:rPr>
        <w:t>Although </w:t>
      </w:r>
      <w:r>
        <w:rPr>
          <w:sz w:val="22"/>
        </w:rPr>
        <w:t>this culture </w:t>
      </w:r>
      <w:r>
        <w:rPr>
          <w:spacing w:val="12"/>
          <w:sz w:val="22"/>
        </w:rPr>
        <w:t>was</w:t>
      </w:r>
      <w:r>
        <w:rPr>
          <w:spacing w:val="4"/>
          <w:sz w:val="22"/>
        </w:rPr>
        <w:t> </w:t>
      </w:r>
      <w:r>
        <w:rPr>
          <w:spacing w:val="12"/>
          <w:sz w:val="22"/>
        </w:rPr>
        <w:t>found </w:t>
      </w:r>
      <w:r>
        <w:rPr>
          <w:sz w:val="22"/>
        </w:rPr>
        <w:t>to c</w:t>
      </w:r>
      <w:r>
        <w:rPr>
          <w:spacing w:val="-33"/>
          <w:sz w:val="22"/>
        </w:rPr>
        <w:t> </w:t>
      </w:r>
      <w:r>
        <w:rPr>
          <w:spacing w:val="10"/>
          <w:sz w:val="22"/>
        </w:rPr>
        <w:t>ontain </w:t>
      </w:r>
      <w:r>
        <w:rPr>
          <w:spacing w:val="13"/>
          <w:sz w:val="22"/>
        </w:rPr>
        <w:t>both </w:t>
      </w:r>
      <w:r>
        <w:rPr>
          <w:sz w:val="22"/>
        </w:rPr>
        <w:t>positive </w:t>
      </w:r>
      <w:r>
        <w:rPr>
          <w:spacing w:val="12"/>
          <w:sz w:val="22"/>
        </w:rPr>
        <w:t>and </w:t>
      </w:r>
      <w:r>
        <w:rPr>
          <w:spacing w:val="14"/>
          <w:sz w:val="22"/>
        </w:rPr>
        <w:t>negative </w:t>
      </w:r>
      <w:r>
        <w:rPr>
          <w:spacing w:val="9"/>
          <w:sz w:val="22"/>
        </w:rPr>
        <w:t>attributes, the </w:t>
      </w:r>
      <w:r>
        <w:rPr>
          <w:sz w:val="22"/>
        </w:rPr>
        <w:t>task </w:t>
      </w:r>
      <w:r>
        <w:rPr>
          <w:spacing w:val="9"/>
          <w:sz w:val="22"/>
        </w:rPr>
        <w:t>forc</w:t>
      </w:r>
      <w:r>
        <w:rPr>
          <w:spacing w:val="-31"/>
          <w:sz w:val="22"/>
        </w:rPr>
        <w:t> </w:t>
      </w:r>
      <w:r>
        <w:rPr>
          <w:sz w:val="22"/>
        </w:rPr>
        <w:t>e </w:t>
      </w:r>
      <w:r>
        <w:rPr>
          <w:spacing w:val="14"/>
          <w:sz w:val="22"/>
        </w:rPr>
        <w:t>proposed </w:t>
      </w:r>
      <w:r>
        <w:rPr>
          <w:spacing w:val="13"/>
          <w:sz w:val="22"/>
        </w:rPr>
        <w:t>that </w:t>
      </w:r>
      <w:r>
        <w:rPr>
          <w:spacing w:val="11"/>
          <w:sz w:val="22"/>
        </w:rPr>
        <w:t>healthy</w:t>
      </w:r>
      <w:r>
        <w:rPr>
          <w:spacing w:val="9"/>
          <w:sz w:val="22"/>
        </w:rPr>
        <w:t> </w:t>
      </w:r>
      <w:r>
        <w:rPr>
          <w:spacing w:val="10"/>
          <w:sz w:val="22"/>
        </w:rPr>
        <w:t>studio </w:t>
      </w:r>
      <w:r>
        <w:rPr>
          <w:sz w:val="22"/>
        </w:rPr>
        <w:t>culture </w:t>
      </w:r>
      <w:r>
        <w:rPr>
          <w:spacing w:val="11"/>
          <w:sz w:val="22"/>
        </w:rPr>
        <w:t>would </w:t>
      </w:r>
      <w:r>
        <w:rPr>
          <w:sz w:val="22"/>
        </w:rPr>
        <w:t>possess five</w:t>
      </w:r>
      <w:r>
        <w:rPr>
          <w:spacing w:val="40"/>
          <w:sz w:val="22"/>
        </w:rPr>
        <w:t> </w:t>
      </w:r>
      <w:r>
        <w:rPr>
          <w:sz w:val="22"/>
        </w:rPr>
        <w:t>essential </w:t>
      </w:r>
      <w:r>
        <w:rPr>
          <w:spacing w:val="9"/>
          <w:sz w:val="22"/>
        </w:rPr>
        <w:t>values: </w:t>
      </w:r>
      <w:r>
        <w:rPr>
          <w:b/>
          <w:sz w:val="22"/>
        </w:rPr>
        <w:t>optimism, respect, sharing, engagement, and innovation.</w:t>
      </w:r>
    </w:p>
    <w:p>
      <w:pPr>
        <w:spacing w:line="295" w:lineRule="auto" w:before="0"/>
        <w:ind w:left="446" w:right="642" w:hanging="7"/>
        <w:jc w:val="left"/>
        <w:rPr>
          <w:sz w:val="22"/>
        </w:rPr>
      </w:pPr>
      <w:r>
        <w:rPr>
          <w:spacing w:val="16"/>
          <w:sz w:val="22"/>
        </w:rPr>
        <w:t>Hampton</w:t>
      </w:r>
      <w:r>
        <w:rPr>
          <w:spacing w:val="14"/>
          <w:sz w:val="22"/>
        </w:rPr>
        <w:t> </w:t>
      </w:r>
      <w:r>
        <w:rPr>
          <w:sz w:val="22"/>
        </w:rPr>
        <w:t>University </w:t>
      </w:r>
      <w:r>
        <w:rPr>
          <w:spacing w:val="11"/>
          <w:sz w:val="22"/>
        </w:rPr>
        <w:t>Dep</w:t>
      </w:r>
      <w:r>
        <w:rPr>
          <w:spacing w:val="-29"/>
          <w:sz w:val="22"/>
        </w:rPr>
        <w:t> </w:t>
      </w:r>
      <w:r>
        <w:rPr>
          <w:spacing w:val="12"/>
          <w:sz w:val="22"/>
        </w:rPr>
        <w:t>artment </w:t>
      </w:r>
      <w:r>
        <w:rPr>
          <w:sz w:val="22"/>
        </w:rPr>
        <w:t>of </w:t>
      </w:r>
      <w:r>
        <w:rPr>
          <w:spacing w:val="12"/>
          <w:sz w:val="22"/>
        </w:rPr>
        <w:t>Architecture </w:t>
      </w:r>
      <w:r>
        <w:rPr>
          <w:spacing w:val="10"/>
          <w:sz w:val="22"/>
        </w:rPr>
        <w:t>Studio </w:t>
      </w:r>
      <w:r>
        <w:rPr>
          <w:sz w:val="22"/>
        </w:rPr>
        <w:t>Culture </w:t>
      </w:r>
      <w:r>
        <w:rPr>
          <w:spacing w:val="9"/>
          <w:sz w:val="22"/>
        </w:rPr>
        <w:t>Policy</w:t>
      </w:r>
      <w:r>
        <w:rPr>
          <w:spacing w:val="8"/>
          <w:sz w:val="22"/>
        </w:rPr>
        <w:t> </w:t>
      </w:r>
      <w:r>
        <w:rPr>
          <w:sz w:val="22"/>
        </w:rPr>
        <w:t>is in a</w:t>
      </w:r>
      <w:r>
        <w:rPr>
          <w:spacing w:val="-29"/>
          <w:sz w:val="22"/>
        </w:rPr>
        <w:t> </w:t>
      </w:r>
      <w:r>
        <w:rPr>
          <w:spacing w:val="14"/>
          <w:sz w:val="22"/>
        </w:rPr>
        <w:t>dherence </w:t>
      </w:r>
      <w:r>
        <w:rPr>
          <w:sz w:val="22"/>
        </w:rPr>
        <w:t>with </w:t>
      </w:r>
      <w:r>
        <w:rPr>
          <w:spacing w:val="9"/>
          <w:sz w:val="22"/>
        </w:rPr>
        <w:t>these principles </w:t>
      </w:r>
      <w:r>
        <w:rPr>
          <w:spacing w:val="12"/>
          <w:sz w:val="22"/>
        </w:rPr>
        <w:t>and </w:t>
      </w:r>
      <w:r>
        <w:rPr>
          <w:sz w:val="22"/>
        </w:rPr>
        <w:t>seeks to </w:t>
      </w:r>
      <w:r>
        <w:rPr>
          <w:spacing w:val="14"/>
          <w:sz w:val="22"/>
        </w:rPr>
        <w:t>promote </w:t>
      </w:r>
      <w:r>
        <w:rPr>
          <w:sz w:val="22"/>
        </w:rPr>
        <w:t>an </w:t>
      </w:r>
      <w:r>
        <w:rPr>
          <w:spacing w:val="12"/>
          <w:sz w:val="22"/>
        </w:rPr>
        <w:t>environment</w:t>
      </w:r>
      <w:r>
        <w:rPr>
          <w:spacing w:val="6"/>
          <w:sz w:val="22"/>
        </w:rPr>
        <w:t> </w:t>
      </w:r>
      <w:r>
        <w:rPr>
          <w:sz w:val="22"/>
        </w:rPr>
        <w:t>in </w:t>
      </w:r>
      <w:r>
        <w:rPr>
          <w:spacing w:val="11"/>
          <w:sz w:val="22"/>
        </w:rPr>
        <w:t>which </w:t>
      </w:r>
      <w:r>
        <w:rPr>
          <w:spacing w:val="9"/>
          <w:sz w:val="22"/>
        </w:rPr>
        <w:t>these </w:t>
      </w:r>
      <w:r>
        <w:rPr>
          <w:spacing w:val="10"/>
          <w:sz w:val="22"/>
        </w:rPr>
        <w:t>values </w:t>
      </w:r>
      <w:r>
        <w:rPr>
          <w:sz w:val="22"/>
        </w:rPr>
        <w:t>c</w:t>
      </w:r>
      <w:r>
        <w:rPr>
          <w:spacing w:val="-33"/>
          <w:sz w:val="22"/>
        </w:rPr>
        <w:t> </w:t>
      </w:r>
      <w:r>
        <w:rPr>
          <w:spacing w:val="10"/>
          <w:sz w:val="22"/>
        </w:rPr>
        <w:t>an </w:t>
      </w:r>
      <w:r>
        <w:rPr>
          <w:sz w:val="22"/>
        </w:rPr>
        <w:t>thrive.</w:t>
      </w:r>
      <w:r>
        <w:rPr>
          <w:spacing w:val="-3"/>
          <w:sz w:val="22"/>
        </w:rPr>
        <w:t> </w:t>
      </w:r>
      <w:r>
        <w:rPr>
          <w:sz w:val="22"/>
        </w:rPr>
        <w:t>The </w:t>
      </w:r>
      <w:r>
        <w:rPr>
          <w:spacing w:val="11"/>
          <w:sz w:val="22"/>
        </w:rPr>
        <w:t>Dep</w:t>
      </w:r>
      <w:r>
        <w:rPr>
          <w:spacing w:val="-33"/>
          <w:sz w:val="22"/>
        </w:rPr>
        <w:t> </w:t>
      </w:r>
      <w:r>
        <w:rPr>
          <w:spacing w:val="12"/>
          <w:sz w:val="22"/>
        </w:rPr>
        <w:t>artment </w:t>
      </w:r>
      <w:r>
        <w:rPr>
          <w:spacing w:val="10"/>
          <w:sz w:val="22"/>
        </w:rPr>
        <w:t>believes</w:t>
      </w:r>
      <w:r>
        <w:rPr>
          <w:spacing w:val="6"/>
          <w:sz w:val="22"/>
        </w:rPr>
        <w:t> </w:t>
      </w:r>
      <w:r>
        <w:rPr>
          <w:spacing w:val="13"/>
          <w:sz w:val="22"/>
        </w:rPr>
        <w:t>that </w:t>
      </w:r>
      <w:r>
        <w:rPr>
          <w:sz w:val="22"/>
        </w:rPr>
        <w:t>a </w:t>
      </w:r>
      <w:r>
        <w:rPr>
          <w:spacing w:val="11"/>
          <w:sz w:val="22"/>
        </w:rPr>
        <w:t>healthy</w:t>
      </w:r>
      <w:r>
        <w:rPr>
          <w:spacing w:val="2"/>
          <w:sz w:val="22"/>
        </w:rPr>
        <w:t> </w:t>
      </w:r>
      <w:r>
        <w:rPr>
          <w:spacing w:val="10"/>
          <w:sz w:val="22"/>
        </w:rPr>
        <w:t>studio </w:t>
      </w:r>
      <w:r>
        <w:rPr>
          <w:sz w:val="22"/>
        </w:rPr>
        <w:t>culture is c</w:t>
      </w:r>
      <w:r>
        <w:rPr>
          <w:spacing w:val="-33"/>
          <w:sz w:val="22"/>
        </w:rPr>
        <w:t> </w:t>
      </w:r>
      <w:r>
        <w:rPr>
          <w:spacing w:val="11"/>
          <w:sz w:val="22"/>
        </w:rPr>
        <w:t>omprised </w:t>
      </w:r>
      <w:r>
        <w:rPr>
          <w:sz w:val="22"/>
        </w:rPr>
        <w:t>of a</w:t>
      </w:r>
      <w:r>
        <w:rPr>
          <w:spacing w:val="27"/>
          <w:sz w:val="22"/>
        </w:rPr>
        <w:t> </w:t>
      </w:r>
      <w:r>
        <w:rPr>
          <w:sz w:val="22"/>
        </w:rPr>
        <w:t>positive </w:t>
      </w:r>
      <w:r>
        <w:rPr>
          <w:spacing w:val="11"/>
          <w:sz w:val="22"/>
        </w:rPr>
        <w:t>ethos </w:t>
      </w:r>
      <w:r>
        <w:rPr>
          <w:spacing w:val="13"/>
          <w:sz w:val="22"/>
        </w:rPr>
        <w:t>and </w:t>
      </w:r>
      <w:r>
        <w:rPr>
          <w:b/>
          <w:sz w:val="22"/>
        </w:rPr>
        <w:t>sustainable practices</w:t>
      </w:r>
      <w:r>
        <w:rPr>
          <w:sz w:val="22"/>
        </w:rPr>
        <w:t>. We</w:t>
      </w:r>
      <w:r>
        <w:rPr>
          <w:spacing w:val="10"/>
          <w:sz w:val="22"/>
        </w:rPr>
        <w:t> believe </w:t>
      </w:r>
      <w:r>
        <w:rPr>
          <w:spacing w:val="13"/>
          <w:sz w:val="22"/>
        </w:rPr>
        <w:t>that </w:t>
      </w:r>
      <w:r>
        <w:rPr>
          <w:spacing w:val="9"/>
          <w:sz w:val="22"/>
        </w:rPr>
        <w:t>the </w:t>
      </w:r>
      <w:r>
        <w:rPr>
          <w:spacing w:val="12"/>
          <w:sz w:val="22"/>
        </w:rPr>
        <w:t>climate </w:t>
      </w:r>
      <w:r>
        <w:rPr>
          <w:sz w:val="22"/>
        </w:rPr>
        <w:t>of our </w:t>
      </w:r>
      <w:r>
        <w:rPr>
          <w:spacing w:val="16"/>
          <w:sz w:val="22"/>
        </w:rPr>
        <w:t>dep</w:t>
      </w:r>
      <w:r>
        <w:rPr>
          <w:spacing w:val="-29"/>
          <w:sz w:val="22"/>
        </w:rPr>
        <w:t> </w:t>
      </w:r>
      <w:r>
        <w:rPr>
          <w:spacing w:val="12"/>
          <w:sz w:val="22"/>
        </w:rPr>
        <w:t>artment </w:t>
      </w:r>
      <w:r>
        <w:rPr>
          <w:sz w:val="22"/>
        </w:rPr>
        <w:t>is</w:t>
      </w:r>
    </w:p>
    <w:p>
      <w:pPr>
        <w:spacing w:line="292" w:lineRule="auto" w:before="0"/>
        <w:ind w:left="455" w:right="642" w:hanging="2"/>
        <w:jc w:val="left"/>
        <w:rPr>
          <w:sz w:val="22"/>
        </w:rPr>
      </w:pPr>
      <w:r>
        <w:rPr>
          <w:spacing w:val="10"/>
          <w:sz w:val="22"/>
        </w:rPr>
        <w:t>directly </w:t>
      </w:r>
      <w:r>
        <w:rPr>
          <w:spacing w:val="17"/>
          <w:sz w:val="22"/>
        </w:rPr>
        <w:t>dependent </w:t>
      </w:r>
      <w:r>
        <w:rPr>
          <w:sz w:val="22"/>
        </w:rPr>
        <w:t>on </w:t>
      </w:r>
      <w:r>
        <w:rPr>
          <w:spacing w:val="12"/>
          <w:sz w:val="22"/>
        </w:rPr>
        <w:t>how </w:t>
      </w:r>
      <w:r>
        <w:rPr>
          <w:sz w:val="22"/>
        </w:rPr>
        <w:t>our </w:t>
      </w:r>
      <w:r>
        <w:rPr>
          <w:spacing w:val="12"/>
          <w:sz w:val="22"/>
        </w:rPr>
        <w:t>students </w:t>
      </w:r>
      <w:r>
        <w:rPr>
          <w:spacing w:val="13"/>
          <w:sz w:val="22"/>
        </w:rPr>
        <w:t>and </w:t>
      </w:r>
      <w:r>
        <w:rPr>
          <w:sz w:val="22"/>
        </w:rPr>
        <w:t>fa</w:t>
      </w:r>
      <w:r>
        <w:rPr>
          <w:spacing w:val="-28"/>
          <w:sz w:val="22"/>
        </w:rPr>
        <w:t> </w:t>
      </w:r>
      <w:r>
        <w:rPr>
          <w:sz w:val="22"/>
        </w:rPr>
        <w:t>culty </w:t>
      </w:r>
      <w:r>
        <w:rPr>
          <w:b/>
          <w:sz w:val="22"/>
        </w:rPr>
        <w:t>economize </w:t>
      </w:r>
      <w:r>
        <w:rPr>
          <w:sz w:val="22"/>
        </w:rPr>
        <w:t>their </w:t>
      </w:r>
      <w:r>
        <w:rPr>
          <w:spacing w:val="10"/>
          <w:sz w:val="22"/>
        </w:rPr>
        <w:t>time, energy, </w:t>
      </w:r>
      <w:r>
        <w:rPr>
          <w:spacing w:val="13"/>
          <w:sz w:val="22"/>
        </w:rPr>
        <w:t>and </w:t>
      </w:r>
      <w:r>
        <w:rPr>
          <w:spacing w:val="9"/>
          <w:sz w:val="22"/>
        </w:rPr>
        <w:t>creativity; </w:t>
      </w:r>
      <w:r>
        <w:rPr>
          <w:spacing w:val="14"/>
          <w:sz w:val="22"/>
        </w:rPr>
        <w:t>create </w:t>
      </w:r>
      <w:r>
        <w:rPr>
          <w:spacing w:val="13"/>
          <w:sz w:val="22"/>
        </w:rPr>
        <w:t>and </w:t>
      </w:r>
      <w:r>
        <w:rPr>
          <w:spacing w:val="12"/>
          <w:sz w:val="22"/>
        </w:rPr>
        <w:t>maintain </w:t>
      </w:r>
      <w:r>
        <w:rPr>
          <w:b/>
          <w:sz w:val="22"/>
        </w:rPr>
        <w:t>equitable </w:t>
      </w:r>
      <w:r>
        <w:rPr>
          <w:sz w:val="22"/>
        </w:rPr>
        <w:t>relationships;</w:t>
      </w:r>
      <w:r>
        <w:rPr>
          <w:spacing w:val="13"/>
          <w:sz w:val="22"/>
        </w:rPr>
        <w:t> and steward </w:t>
      </w:r>
      <w:r>
        <w:rPr>
          <w:sz w:val="22"/>
        </w:rPr>
        <w:t>their</w:t>
      </w:r>
      <w:r>
        <w:rPr>
          <w:spacing w:val="40"/>
          <w:sz w:val="22"/>
        </w:rPr>
        <w:t> </w:t>
      </w:r>
      <w:r>
        <w:rPr>
          <w:sz w:val="22"/>
        </w:rPr>
        <w:t>physic</w:t>
      </w:r>
      <w:r>
        <w:rPr>
          <w:spacing w:val="-19"/>
          <w:sz w:val="22"/>
        </w:rPr>
        <w:t> </w:t>
      </w:r>
      <w:r>
        <w:rPr>
          <w:sz w:val="22"/>
        </w:rPr>
        <w:t>al</w:t>
      </w:r>
    </w:p>
    <w:p>
      <w:pPr>
        <w:spacing w:before="0"/>
        <w:ind w:left="439" w:right="0" w:firstLine="0"/>
        <w:jc w:val="left"/>
        <w:rPr>
          <w:sz w:val="22"/>
        </w:rPr>
      </w:pPr>
      <w:r>
        <w:rPr>
          <w:spacing w:val="10"/>
          <w:sz w:val="22"/>
        </w:rPr>
        <w:t>learning</w:t>
      </w:r>
      <w:r>
        <w:rPr>
          <w:spacing w:val="4"/>
          <w:sz w:val="22"/>
        </w:rPr>
        <w:t> </w:t>
      </w:r>
      <w:r>
        <w:rPr>
          <w:b/>
          <w:spacing w:val="-2"/>
          <w:sz w:val="22"/>
        </w:rPr>
        <w:t>environments</w:t>
      </w:r>
      <w:r>
        <w:rPr>
          <w:spacing w:val="-2"/>
          <w:sz w:val="22"/>
        </w:rPr>
        <w:t>.</w:t>
      </w:r>
    </w:p>
    <w:p>
      <w:pPr>
        <w:pStyle w:val="BodyText"/>
        <w:spacing w:before="7"/>
        <w:rPr>
          <w:sz w:val="31"/>
        </w:rPr>
      </w:pPr>
    </w:p>
    <w:p>
      <w:pPr>
        <w:spacing w:before="0"/>
        <w:ind w:left="439" w:right="0" w:firstLine="0"/>
        <w:jc w:val="left"/>
        <w:rPr>
          <w:sz w:val="22"/>
        </w:rPr>
      </w:pPr>
      <w:r>
        <w:rPr>
          <w:sz w:val="22"/>
        </w:rPr>
        <w:t>In</w:t>
      </w:r>
      <w:r>
        <w:rPr>
          <w:spacing w:val="14"/>
          <w:sz w:val="22"/>
        </w:rPr>
        <w:t> </w:t>
      </w:r>
      <w:r>
        <w:rPr>
          <w:spacing w:val="9"/>
          <w:sz w:val="22"/>
        </w:rPr>
        <w:t>the</w:t>
      </w:r>
      <w:r>
        <w:rPr>
          <w:spacing w:val="18"/>
          <w:sz w:val="22"/>
        </w:rPr>
        <w:t> </w:t>
      </w:r>
      <w:r>
        <w:rPr>
          <w:sz w:val="22"/>
        </w:rPr>
        <w:t>fall</w:t>
      </w:r>
      <w:r>
        <w:rPr>
          <w:spacing w:val="15"/>
          <w:sz w:val="22"/>
        </w:rPr>
        <w:t> </w:t>
      </w:r>
      <w:r>
        <w:rPr>
          <w:sz w:val="22"/>
        </w:rPr>
        <w:t>of</w:t>
      </w:r>
      <w:r>
        <w:rPr>
          <w:spacing w:val="6"/>
          <w:sz w:val="22"/>
        </w:rPr>
        <w:t> </w:t>
      </w:r>
      <w:r>
        <w:rPr>
          <w:sz w:val="22"/>
        </w:rPr>
        <w:t>2007,</w:t>
      </w:r>
      <w:r>
        <w:rPr>
          <w:spacing w:val="15"/>
          <w:sz w:val="22"/>
        </w:rPr>
        <w:t> </w:t>
      </w:r>
      <w:r>
        <w:rPr>
          <w:sz w:val="22"/>
        </w:rPr>
        <w:t>a</w:t>
      </w:r>
      <w:r>
        <w:rPr>
          <w:spacing w:val="32"/>
          <w:sz w:val="22"/>
        </w:rPr>
        <w:t> </w:t>
      </w:r>
      <w:r>
        <w:rPr>
          <w:sz w:val="22"/>
        </w:rPr>
        <w:t>diverse</w:t>
      </w:r>
      <w:r>
        <w:rPr>
          <w:spacing w:val="20"/>
          <w:sz w:val="22"/>
        </w:rPr>
        <w:t> </w:t>
      </w:r>
      <w:r>
        <w:rPr>
          <w:spacing w:val="16"/>
          <w:sz w:val="22"/>
        </w:rPr>
        <w:t>team</w:t>
      </w:r>
      <w:r>
        <w:rPr>
          <w:spacing w:val="25"/>
          <w:sz w:val="22"/>
        </w:rPr>
        <w:t> </w:t>
      </w:r>
      <w:r>
        <w:rPr>
          <w:sz w:val="22"/>
        </w:rPr>
        <w:t>of</w:t>
      </w:r>
      <w:r>
        <w:rPr>
          <w:spacing w:val="6"/>
          <w:sz w:val="22"/>
        </w:rPr>
        <w:t> </w:t>
      </w:r>
      <w:r>
        <w:rPr>
          <w:spacing w:val="11"/>
          <w:sz w:val="22"/>
        </w:rPr>
        <w:t>students</w:t>
      </w:r>
      <w:r>
        <w:rPr>
          <w:spacing w:val="17"/>
          <w:sz w:val="22"/>
        </w:rPr>
        <w:t> </w:t>
      </w:r>
      <w:r>
        <w:rPr>
          <w:sz w:val="22"/>
        </w:rPr>
        <w:t>c</w:t>
      </w:r>
      <w:r>
        <w:rPr>
          <w:spacing w:val="-31"/>
          <w:sz w:val="22"/>
        </w:rPr>
        <w:t> </w:t>
      </w:r>
      <w:r>
        <w:rPr>
          <w:spacing w:val="13"/>
          <w:sz w:val="22"/>
        </w:rPr>
        <w:t>onvened</w:t>
      </w:r>
      <w:r>
        <w:rPr>
          <w:spacing w:val="23"/>
          <w:sz w:val="22"/>
        </w:rPr>
        <w:t> </w:t>
      </w:r>
      <w:r>
        <w:rPr>
          <w:sz w:val="22"/>
        </w:rPr>
        <w:t>to:</w:t>
      </w:r>
      <w:r>
        <w:rPr>
          <w:spacing w:val="8"/>
          <w:sz w:val="22"/>
        </w:rPr>
        <w:t> </w:t>
      </w:r>
      <w:r>
        <w:rPr>
          <w:sz w:val="22"/>
        </w:rPr>
        <w:t>(1)</w:t>
      </w:r>
      <w:r>
        <w:rPr>
          <w:spacing w:val="3"/>
          <w:sz w:val="22"/>
        </w:rPr>
        <w:t> </w:t>
      </w:r>
      <w:r>
        <w:rPr>
          <w:sz w:val="22"/>
        </w:rPr>
        <w:t>survey</w:t>
      </w:r>
      <w:r>
        <w:rPr>
          <w:spacing w:val="12"/>
          <w:sz w:val="22"/>
        </w:rPr>
        <w:t> </w:t>
      </w:r>
      <w:r>
        <w:rPr>
          <w:spacing w:val="9"/>
          <w:sz w:val="22"/>
        </w:rPr>
        <w:t>the</w:t>
      </w:r>
      <w:r>
        <w:rPr>
          <w:spacing w:val="31"/>
          <w:sz w:val="22"/>
        </w:rPr>
        <w:t> </w:t>
      </w:r>
      <w:r>
        <w:rPr>
          <w:spacing w:val="7"/>
          <w:sz w:val="22"/>
        </w:rPr>
        <w:t>cultural</w:t>
      </w:r>
    </w:p>
    <w:p>
      <w:pPr>
        <w:spacing w:line="295" w:lineRule="auto" w:before="57"/>
        <w:ind w:left="439" w:right="642" w:firstLine="16"/>
        <w:jc w:val="left"/>
        <w:rPr>
          <w:sz w:val="22"/>
        </w:rPr>
      </w:pPr>
      <w:r>
        <w:rPr>
          <w:spacing w:val="12"/>
          <w:sz w:val="22"/>
        </w:rPr>
        <w:t>climate </w:t>
      </w:r>
      <w:r>
        <w:rPr>
          <w:sz w:val="22"/>
        </w:rPr>
        <w:t>of </w:t>
      </w:r>
      <w:r>
        <w:rPr>
          <w:spacing w:val="9"/>
          <w:sz w:val="22"/>
        </w:rPr>
        <w:t>the </w:t>
      </w:r>
      <w:r>
        <w:rPr>
          <w:spacing w:val="11"/>
          <w:sz w:val="22"/>
        </w:rPr>
        <w:t>Dep</w:t>
      </w:r>
      <w:r>
        <w:rPr>
          <w:spacing w:val="-33"/>
          <w:sz w:val="22"/>
        </w:rPr>
        <w:t> </w:t>
      </w:r>
      <w:r>
        <w:rPr>
          <w:spacing w:val="11"/>
          <w:sz w:val="22"/>
        </w:rPr>
        <w:t>artment,</w:t>
      </w:r>
      <w:r>
        <w:rPr>
          <w:spacing w:val="4"/>
          <w:sz w:val="22"/>
        </w:rPr>
        <w:t> </w:t>
      </w:r>
      <w:r>
        <w:rPr>
          <w:sz w:val="22"/>
        </w:rPr>
        <w:t>(2) </w:t>
      </w:r>
      <w:r>
        <w:rPr>
          <w:spacing w:val="10"/>
          <w:sz w:val="22"/>
        </w:rPr>
        <w:t>identify weaknesses </w:t>
      </w:r>
      <w:r>
        <w:rPr>
          <w:spacing w:val="13"/>
          <w:sz w:val="22"/>
        </w:rPr>
        <w:t>and </w:t>
      </w:r>
      <w:r>
        <w:rPr>
          <w:sz w:val="22"/>
        </w:rPr>
        <w:t>strengths, (3) </w:t>
      </w:r>
      <w:r>
        <w:rPr>
          <w:spacing w:val="14"/>
          <w:sz w:val="22"/>
        </w:rPr>
        <w:t>create </w:t>
      </w:r>
      <w:r>
        <w:rPr>
          <w:sz w:val="22"/>
        </w:rPr>
        <w:t>a vision for its future, </w:t>
      </w:r>
      <w:r>
        <w:rPr>
          <w:spacing w:val="13"/>
          <w:sz w:val="22"/>
        </w:rPr>
        <w:t>and </w:t>
      </w:r>
      <w:r>
        <w:rPr>
          <w:sz w:val="22"/>
        </w:rPr>
        <w:t>(4) c</w:t>
      </w:r>
      <w:r>
        <w:rPr>
          <w:spacing w:val="-30"/>
          <w:sz w:val="22"/>
        </w:rPr>
        <w:t> </w:t>
      </w:r>
      <w:r>
        <w:rPr>
          <w:spacing w:val="13"/>
          <w:sz w:val="22"/>
        </w:rPr>
        <w:t>ommunic</w:t>
      </w:r>
      <w:r>
        <w:rPr>
          <w:spacing w:val="-26"/>
          <w:sz w:val="22"/>
        </w:rPr>
        <w:t> </w:t>
      </w:r>
      <w:r>
        <w:rPr>
          <w:spacing w:val="12"/>
          <w:sz w:val="22"/>
        </w:rPr>
        <w:t>ate </w:t>
      </w:r>
      <w:r>
        <w:rPr>
          <w:spacing w:val="13"/>
          <w:sz w:val="22"/>
        </w:rPr>
        <w:t>that </w:t>
      </w:r>
      <w:r>
        <w:rPr>
          <w:sz w:val="22"/>
        </w:rPr>
        <w:t>vision to </w:t>
      </w:r>
      <w:r>
        <w:rPr>
          <w:spacing w:val="9"/>
          <w:sz w:val="22"/>
        </w:rPr>
        <w:t>the </w:t>
      </w:r>
      <w:r>
        <w:rPr>
          <w:spacing w:val="13"/>
          <w:sz w:val="22"/>
        </w:rPr>
        <w:t>student </w:t>
      </w:r>
      <w:r>
        <w:rPr>
          <w:spacing w:val="14"/>
          <w:sz w:val="22"/>
        </w:rPr>
        <w:t>body.</w:t>
      </w:r>
      <w:r>
        <w:rPr>
          <w:spacing w:val="4"/>
          <w:sz w:val="22"/>
        </w:rPr>
        <w:t> </w:t>
      </w:r>
      <w:r>
        <w:rPr>
          <w:sz w:val="22"/>
        </w:rPr>
        <w:t>The </w:t>
      </w:r>
      <w:r>
        <w:rPr>
          <w:spacing w:val="9"/>
          <w:sz w:val="22"/>
        </w:rPr>
        <w:t>resultant </w:t>
      </w:r>
      <w:r>
        <w:rPr>
          <w:spacing w:val="12"/>
          <w:sz w:val="22"/>
        </w:rPr>
        <w:t>was </w:t>
      </w:r>
      <w:r>
        <w:rPr>
          <w:spacing w:val="9"/>
          <w:sz w:val="22"/>
        </w:rPr>
        <w:t>the </w:t>
      </w:r>
      <w:r>
        <w:rPr>
          <w:spacing w:val="10"/>
          <w:sz w:val="22"/>
        </w:rPr>
        <w:t>following </w:t>
      </w:r>
      <w:r>
        <w:rPr>
          <w:spacing w:val="11"/>
          <w:sz w:val="22"/>
        </w:rPr>
        <w:t>policy which </w:t>
      </w:r>
      <w:r>
        <w:rPr>
          <w:spacing w:val="9"/>
          <w:sz w:val="22"/>
        </w:rPr>
        <w:t>pla</w:t>
      </w:r>
      <w:r>
        <w:rPr>
          <w:spacing w:val="-32"/>
          <w:sz w:val="22"/>
        </w:rPr>
        <w:t> </w:t>
      </w:r>
      <w:r>
        <w:rPr>
          <w:spacing w:val="11"/>
          <w:sz w:val="22"/>
        </w:rPr>
        <w:t>ces </w:t>
      </w:r>
      <w:r>
        <w:rPr>
          <w:spacing w:val="12"/>
          <w:sz w:val="22"/>
        </w:rPr>
        <w:t>emphasis </w:t>
      </w:r>
      <w:r>
        <w:rPr>
          <w:sz w:val="22"/>
        </w:rPr>
        <w:t>on issues </w:t>
      </w:r>
      <w:r>
        <w:rPr>
          <w:spacing w:val="18"/>
          <w:sz w:val="22"/>
        </w:rPr>
        <w:t>deemed </w:t>
      </w:r>
      <w:r>
        <w:rPr>
          <w:spacing w:val="10"/>
          <w:sz w:val="22"/>
        </w:rPr>
        <w:t>particularly pertinent </w:t>
      </w:r>
      <w:r>
        <w:rPr>
          <w:sz w:val="22"/>
        </w:rPr>
        <w:t>to </w:t>
      </w:r>
      <w:r>
        <w:rPr>
          <w:spacing w:val="9"/>
          <w:sz w:val="22"/>
        </w:rPr>
        <w:t>the</w:t>
      </w:r>
    </w:p>
    <w:p>
      <w:pPr>
        <w:spacing w:line="251" w:lineRule="exact" w:before="0"/>
        <w:ind w:left="445" w:right="0" w:firstLine="0"/>
        <w:jc w:val="left"/>
        <w:rPr>
          <w:sz w:val="22"/>
        </w:rPr>
      </w:pPr>
      <w:r>
        <w:rPr>
          <w:spacing w:val="12"/>
          <w:sz w:val="22"/>
        </w:rPr>
        <w:t>health</w:t>
      </w:r>
      <w:r>
        <w:rPr>
          <w:spacing w:val="17"/>
          <w:sz w:val="22"/>
        </w:rPr>
        <w:t> </w:t>
      </w:r>
      <w:r>
        <w:rPr>
          <w:sz w:val="22"/>
        </w:rPr>
        <w:t>of</w:t>
      </w:r>
      <w:r>
        <w:rPr>
          <w:spacing w:val="11"/>
          <w:sz w:val="22"/>
        </w:rPr>
        <w:t> </w:t>
      </w:r>
      <w:r>
        <w:rPr>
          <w:spacing w:val="9"/>
          <w:sz w:val="22"/>
        </w:rPr>
        <w:t>the</w:t>
      </w:r>
      <w:r>
        <w:rPr>
          <w:spacing w:val="15"/>
          <w:sz w:val="22"/>
        </w:rPr>
        <w:t> </w:t>
      </w:r>
      <w:r>
        <w:rPr>
          <w:spacing w:val="11"/>
          <w:sz w:val="22"/>
        </w:rPr>
        <w:t>Dep</w:t>
      </w:r>
      <w:r>
        <w:rPr>
          <w:spacing w:val="-32"/>
          <w:sz w:val="22"/>
        </w:rPr>
        <w:t> </w:t>
      </w:r>
      <w:r>
        <w:rPr>
          <w:spacing w:val="12"/>
          <w:sz w:val="22"/>
        </w:rPr>
        <w:t>artment</w:t>
      </w:r>
      <w:r>
        <w:rPr>
          <w:spacing w:val="19"/>
          <w:sz w:val="22"/>
        </w:rPr>
        <w:t> </w:t>
      </w:r>
      <w:r>
        <w:rPr>
          <w:sz w:val="22"/>
        </w:rPr>
        <w:t>of</w:t>
      </w:r>
      <w:r>
        <w:rPr>
          <w:spacing w:val="15"/>
          <w:sz w:val="22"/>
        </w:rPr>
        <w:t> </w:t>
      </w:r>
      <w:r>
        <w:rPr>
          <w:spacing w:val="12"/>
          <w:sz w:val="22"/>
        </w:rPr>
        <w:t>Architecture</w:t>
      </w:r>
      <w:r>
        <w:rPr>
          <w:spacing w:val="18"/>
          <w:sz w:val="22"/>
        </w:rPr>
        <w:t> </w:t>
      </w:r>
      <w:r>
        <w:rPr>
          <w:sz w:val="22"/>
        </w:rPr>
        <w:t>here</w:t>
      </w:r>
      <w:r>
        <w:rPr>
          <w:spacing w:val="25"/>
          <w:sz w:val="22"/>
        </w:rPr>
        <w:t> </w:t>
      </w:r>
      <w:r>
        <w:rPr>
          <w:spacing w:val="10"/>
          <w:sz w:val="22"/>
        </w:rPr>
        <w:t>at</w:t>
      </w:r>
      <w:r>
        <w:rPr>
          <w:spacing w:val="8"/>
          <w:sz w:val="22"/>
        </w:rPr>
        <w:t> </w:t>
      </w:r>
      <w:r>
        <w:rPr>
          <w:spacing w:val="16"/>
          <w:sz w:val="22"/>
        </w:rPr>
        <w:t>Hampton</w:t>
      </w:r>
      <w:r>
        <w:rPr>
          <w:spacing w:val="6"/>
          <w:sz w:val="22"/>
        </w:rPr>
        <w:t> </w:t>
      </w:r>
      <w:r>
        <w:rPr>
          <w:spacing w:val="-2"/>
          <w:sz w:val="22"/>
        </w:rPr>
        <w:t>University.</w:t>
      </w:r>
    </w:p>
    <w:p>
      <w:pPr>
        <w:pStyle w:val="BodyText"/>
        <w:rPr>
          <w:sz w:val="32"/>
        </w:rPr>
      </w:pPr>
    </w:p>
    <w:p>
      <w:pPr>
        <w:spacing w:line="292" w:lineRule="auto" w:before="0"/>
        <w:ind w:left="443" w:right="1089" w:hanging="5"/>
        <w:jc w:val="left"/>
        <w:rPr>
          <w:sz w:val="22"/>
        </w:rPr>
      </w:pPr>
      <w:r>
        <w:rPr>
          <w:b/>
          <w:sz w:val="22"/>
        </w:rPr>
        <w:t>RESPECT:</w:t>
      </w:r>
      <w:r>
        <w:rPr>
          <w:b/>
          <w:spacing w:val="38"/>
          <w:sz w:val="22"/>
        </w:rPr>
        <w:t> </w:t>
      </w:r>
      <w:r>
        <w:rPr>
          <w:sz w:val="22"/>
        </w:rPr>
        <w:t>To</w:t>
      </w:r>
      <w:r>
        <w:rPr>
          <w:spacing w:val="-1"/>
          <w:sz w:val="22"/>
        </w:rPr>
        <w:t> </w:t>
      </w:r>
      <w:r>
        <w:rPr>
          <w:spacing w:val="9"/>
          <w:sz w:val="22"/>
        </w:rPr>
        <w:t>foster</w:t>
      </w:r>
      <w:r>
        <w:rPr>
          <w:spacing w:val="-1"/>
          <w:sz w:val="22"/>
        </w:rPr>
        <w:t> </w:t>
      </w:r>
      <w:r>
        <w:rPr>
          <w:sz w:val="22"/>
        </w:rPr>
        <w:t>a </w:t>
      </w:r>
      <w:r>
        <w:rPr>
          <w:spacing w:val="13"/>
          <w:sz w:val="22"/>
        </w:rPr>
        <w:t>productive</w:t>
      </w:r>
      <w:r>
        <w:rPr>
          <w:spacing w:val="7"/>
          <w:sz w:val="22"/>
        </w:rPr>
        <w:t> </w:t>
      </w:r>
      <w:r>
        <w:rPr>
          <w:spacing w:val="12"/>
          <w:sz w:val="22"/>
        </w:rPr>
        <w:t>and</w:t>
      </w:r>
      <w:r>
        <w:rPr>
          <w:spacing w:val="7"/>
          <w:sz w:val="22"/>
        </w:rPr>
        <w:t> </w:t>
      </w:r>
      <w:r>
        <w:rPr>
          <w:spacing w:val="12"/>
          <w:sz w:val="22"/>
        </w:rPr>
        <w:t>enjoyable</w:t>
      </w:r>
      <w:r>
        <w:rPr>
          <w:spacing w:val="5"/>
          <w:sz w:val="22"/>
        </w:rPr>
        <w:t> </w:t>
      </w:r>
      <w:r>
        <w:rPr>
          <w:sz w:val="22"/>
        </w:rPr>
        <w:t>work</w:t>
      </w:r>
      <w:r>
        <w:rPr>
          <w:spacing w:val="-5"/>
          <w:sz w:val="22"/>
        </w:rPr>
        <w:t> </w:t>
      </w:r>
      <w:r>
        <w:rPr>
          <w:spacing w:val="11"/>
          <w:sz w:val="22"/>
        </w:rPr>
        <w:t>environment</w:t>
      </w:r>
      <w:r>
        <w:rPr>
          <w:spacing w:val="-5"/>
          <w:sz w:val="22"/>
        </w:rPr>
        <w:t> </w:t>
      </w:r>
      <w:r>
        <w:rPr>
          <w:sz w:val="22"/>
        </w:rPr>
        <w:t>for</w:t>
      </w:r>
      <w:r>
        <w:rPr>
          <w:spacing w:val="-5"/>
          <w:sz w:val="22"/>
        </w:rPr>
        <w:t> </w:t>
      </w:r>
      <w:r>
        <w:rPr>
          <w:sz w:val="22"/>
        </w:rPr>
        <w:t>our</w:t>
      </w:r>
      <w:r>
        <w:rPr>
          <w:spacing w:val="-13"/>
          <w:sz w:val="22"/>
        </w:rPr>
        <w:t> </w:t>
      </w:r>
      <w:r>
        <w:rPr>
          <w:spacing w:val="10"/>
          <w:sz w:val="22"/>
        </w:rPr>
        <w:t>students, </w:t>
      </w:r>
      <w:r>
        <w:rPr>
          <w:sz w:val="22"/>
        </w:rPr>
        <w:t>fa</w:t>
      </w:r>
      <w:r>
        <w:rPr>
          <w:spacing w:val="-27"/>
          <w:sz w:val="22"/>
        </w:rPr>
        <w:t> </w:t>
      </w:r>
      <w:r>
        <w:rPr>
          <w:sz w:val="22"/>
        </w:rPr>
        <w:t>culty</w:t>
      </w:r>
      <w:r>
        <w:rPr>
          <w:spacing w:val="27"/>
          <w:sz w:val="22"/>
        </w:rPr>
        <w:t> </w:t>
      </w:r>
      <w:r>
        <w:rPr>
          <w:spacing w:val="13"/>
          <w:sz w:val="22"/>
        </w:rPr>
        <w:t>and </w:t>
      </w:r>
      <w:r>
        <w:rPr>
          <w:sz w:val="22"/>
        </w:rPr>
        <w:t>staff,</w:t>
      </w:r>
      <w:r>
        <w:rPr>
          <w:spacing w:val="10"/>
          <w:sz w:val="22"/>
        </w:rPr>
        <w:t> we</w:t>
      </w:r>
      <w:r>
        <w:rPr>
          <w:spacing w:val="33"/>
          <w:sz w:val="22"/>
        </w:rPr>
        <w:t> </w:t>
      </w:r>
      <w:r>
        <w:rPr>
          <w:sz w:val="22"/>
        </w:rPr>
        <w:t>must</w:t>
      </w:r>
      <w:r>
        <w:rPr>
          <w:spacing w:val="28"/>
          <w:sz w:val="22"/>
        </w:rPr>
        <w:t> </w:t>
      </w:r>
      <w:r>
        <w:rPr>
          <w:sz w:val="22"/>
        </w:rPr>
        <w:t>work</w:t>
      </w:r>
      <w:r>
        <w:rPr>
          <w:spacing w:val="14"/>
          <w:sz w:val="22"/>
        </w:rPr>
        <w:t> together </w:t>
      </w:r>
      <w:r>
        <w:rPr>
          <w:sz w:val="22"/>
        </w:rPr>
        <w:t>to</w:t>
      </w:r>
      <w:r>
        <w:rPr>
          <w:spacing w:val="15"/>
          <w:sz w:val="22"/>
        </w:rPr>
        <w:t> respect </w:t>
      </w:r>
      <w:r>
        <w:rPr>
          <w:spacing w:val="12"/>
          <w:sz w:val="22"/>
        </w:rPr>
        <w:t>ea</w:t>
      </w:r>
      <w:r>
        <w:rPr>
          <w:spacing w:val="-29"/>
          <w:sz w:val="22"/>
        </w:rPr>
        <w:t> </w:t>
      </w:r>
      <w:r>
        <w:rPr>
          <w:spacing w:val="11"/>
          <w:sz w:val="22"/>
        </w:rPr>
        <w:t>ch</w:t>
      </w:r>
      <w:r>
        <w:rPr>
          <w:spacing w:val="26"/>
          <w:sz w:val="22"/>
        </w:rPr>
        <w:t> </w:t>
      </w:r>
      <w:r>
        <w:rPr>
          <w:sz w:val="22"/>
        </w:rPr>
        <w:t>other,</w:t>
      </w:r>
      <w:r>
        <w:rPr>
          <w:spacing w:val="18"/>
          <w:sz w:val="22"/>
        </w:rPr>
        <w:t> </w:t>
      </w:r>
      <w:r>
        <w:rPr>
          <w:sz w:val="22"/>
        </w:rPr>
        <w:t>our sp</w:t>
      </w:r>
      <w:r>
        <w:rPr>
          <w:spacing w:val="-29"/>
          <w:sz w:val="22"/>
        </w:rPr>
        <w:t> </w:t>
      </w:r>
      <w:r>
        <w:rPr>
          <w:sz w:val="22"/>
        </w:rPr>
        <w:t>a</w:t>
      </w:r>
      <w:r>
        <w:rPr>
          <w:spacing w:val="-29"/>
          <w:sz w:val="22"/>
        </w:rPr>
        <w:t> </w:t>
      </w:r>
      <w:r>
        <w:rPr>
          <w:sz w:val="22"/>
        </w:rPr>
        <w:t>c</w:t>
      </w:r>
      <w:r>
        <w:rPr>
          <w:spacing w:val="-30"/>
          <w:sz w:val="22"/>
        </w:rPr>
        <w:t> </w:t>
      </w:r>
      <w:r>
        <w:rPr>
          <w:sz w:val="22"/>
        </w:rPr>
        <w:t>e</w:t>
      </w:r>
      <w:r>
        <w:rPr>
          <w:spacing w:val="35"/>
          <w:sz w:val="22"/>
        </w:rPr>
        <w:t> </w:t>
      </w:r>
      <w:r>
        <w:rPr>
          <w:spacing w:val="12"/>
          <w:sz w:val="22"/>
        </w:rPr>
        <w:t>and</w:t>
      </w:r>
      <w:r>
        <w:rPr>
          <w:spacing w:val="36"/>
          <w:sz w:val="22"/>
        </w:rPr>
        <w:t> </w:t>
      </w:r>
      <w:r>
        <w:rPr>
          <w:sz w:val="22"/>
        </w:rPr>
        <w:t>our</w:t>
      </w:r>
    </w:p>
    <w:p>
      <w:pPr>
        <w:spacing w:line="295" w:lineRule="auto" w:before="2"/>
        <w:ind w:left="439" w:right="794" w:firstLine="13"/>
        <w:jc w:val="left"/>
        <w:rPr>
          <w:sz w:val="22"/>
        </w:rPr>
      </w:pPr>
      <w:r>
        <w:rPr>
          <w:spacing w:val="11"/>
          <w:sz w:val="22"/>
        </w:rPr>
        <w:t>belongings.</w:t>
      </w:r>
      <w:r>
        <w:rPr>
          <w:spacing w:val="40"/>
          <w:sz w:val="22"/>
        </w:rPr>
        <w:t> </w:t>
      </w:r>
      <w:r>
        <w:rPr>
          <w:spacing w:val="12"/>
          <w:sz w:val="22"/>
        </w:rPr>
        <w:t>Communic</w:t>
      </w:r>
      <w:r>
        <w:rPr>
          <w:spacing w:val="-30"/>
          <w:sz w:val="22"/>
        </w:rPr>
        <w:t> </w:t>
      </w:r>
      <w:r>
        <w:rPr>
          <w:spacing w:val="10"/>
          <w:sz w:val="22"/>
        </w:rPr>
        <w:t>ation </w:t>
      </w:r>
      <w:r>
        <w:rPr>
          <w:spacing w:val="16"/>
          <w:sz w:val="22"/>
        </w:rPr>
        <w:t>between</w:t>
      </w:r>
      <w:r>
        <w:rPr>
          <w:spacing w:val="2"/>
          <w:sz w:val="22"/>
        </w:rPr>
        <w:t> </w:t>
      </w:r>
      <w:r>
        <w:rPr>
          <w:spacing w:val="10"/>
          <w:sz w:val="22"/>
        </w:rPr>
        <w:t>students, </w:t>
      </w:r>
      <w:r>
        <w:rPr>
          <w:sz w:val="22"/>
        </w:rPr>
        <w:t>fa</w:t>
      </w:r>
      <w:r>
        <w:rPr>
          <w:spacing w:val="-31"/>
          <w:sz w:val="22"/>
        </w:rPr>
        <w:t> </w:t>
      </w:r>
      <w:r>
        <w:rPr>
          <w:sz w:val="22"/>
        </w:rPr>
        <w:t>culty </w:t>
      </w:r>
      <w:r>
        <w:rPr>
          <w:spacing w:val="13"/>
          <w:sz w:val="22"/>
        </w:rPr>
        <w:t>and</w:t>
      </w:r>
      <w:r>
        <w:rPr>
          <w:spacing w:val="11"/>
          <w:sz w:val="22"/>
        </w:rPr>
        <w:t> </w:t>
      </w:r>
      <w:r>
        <w:rPr>
          <w:spacing w:val="9"/>
          <w:sz w:val="22"/>
        </w:rPr>
        <w:t>staff</w:t>
      </w:r>
      <w:r>
        <w:rPr>
          <w:spacing w:val="1"/>
          <w:sz w:val="22"/>
        </w:rPr>
        <w:t> </w:t>
      </w:r>
      <w:r>
        <w:rPr>
          <w:spacing w:val="9"/>
          <w:sz w:val="22"/>
        </w:rPr>
        <w:t>should </w:t>
      </w:r>
      <w:r>
        <w:rPr>
          <w:spacing w:val="11"/>
          <w:sz w:val="22"/>
        </w:rPr>
        <w:t>be</w:t>
      </w:r>
      <w:r>
        <w:rPr>
          <w:spacing w:val="7"/>
          <w:sz w:val="22"/>
        </w:rPr>
        <w:t> </w:t>
      </w:r>
      <w:r>
        <w:rPr>
          <w:spacing w:val="12"/>
          <w:sz w:val="22"/>
        </w:rPr>
        <w:t>respectful </w:t>
      </w:r>
      <w:r>
        <w:rPr>
          <w:spacing w:val="10"/>
          <w:sz w:val="22"/>
        </w:rPr>
        <w:t>at </w:t>
      </w:r>
      <w:r>
        <w:rPr>
          <w:sz w:val="22"/>
        </w:rPr>
        <w:t>ALL times.</w:t>
      </w:r>
      <w:r>
        <w:rPr>
          <w:spacing w:val="40"/>
          <w:sz w:val="22"/>
        </w:rPr>
        <w:t> </w:t>
      </w:r>
      <w:r>
        <w:rPr>
          <w:spacing w:val="13"/>
          <w:sz w:val="22"/>
        </w:rPr>
        <w:t>Adherenc</w:t>
      </w:r>
      <w:r>
        <w:rPr>
          <w:spacing w:val="-34"/>
          <w:sz w:val="22"/>
        </w:rPr>
        <w:t> </w:t>
      </w:r>
      <w:r>
        <w:rPr>
          <w:sz w:val="22"/>
        </w:rPr>
        <w:t>e</w:t>
      </w:r>
      <w:r>
        <w:rPr>
          <w:spacing w:val="17"/>
          <w:sz w:val="22"/>
        </w:rPr>
        <w:t> </w:t>
      </w:r>
      <w:r>
        <w:rPr>
          <w:sz w:val="22"/>
        </w:rPr>
        <w:t>to </w:t>
      </w:r>
      <w:r>
        <w:rPr>
          <w:spacing w:val="9"/>
          <w:sz w:val="22"/>
        </w:rPr>
        <w:t>the </w:t>
      </w:r>
      <w:r>
        <w:rPr>
          <w:spacing w:val="16"/>
          <w:sz w:val="22"/>
        </w:rPr>
        <w:t>Hampton</w:t>
      </w:r>
      <w:r>
        <w:rPr>
          <w:spacing w:val="5"/>
          <w:sz w:val="22"/>
        </w:rPr>
        <w:t> </w:t>
      </w:r>
      <w:r>
        <w:rPr>
          <w:sz w:val="22"/>
        </w:rPr>
        <w:t>University </w:t>
      </w:r>
      <w:r>
        <w:rPr>
          <w:spacing w:val="16"/>
          <w:sz w:val="22"/>
        </w:rPr>
        <w:t>Code </w:t>
      </w:r>
      <w:r>
        <w:rPr>
          <w:sz w:val="22"/>
        </w:rPr>
        <w:t>of </w:t>
      </w:r>
      <w:r>
        <w:rPr>
          <w:spacing w:val="16"/>
          <w:sz w:val="22"/>
        </w:rPr>
        <w:t>Conduct </w:t>
      </w:r>
      <w:r>
        <w:rPr>
          <w:spacing w:val="13"/>
          <w:sz w:val="22"/>
        </w:rPr>
        <w:t>and </w:t>
      </w:r>
      <w:r>
        <w:rPr>
          <w:sz w:val="22"/>
        </w:rPr>
        <w:t>Dress </w:t>
      </w:r>
      <w:r>
        <w:rPr>
          <w:spacing w:val="16"/>
          <w:sz w:val="22"/>
        </w:rPr>
        <w:t>Code </w:t>
      </w:r>
      <w:r>
        <w:rPr>
          <w:sz w:val="22"/>
        </w:rPr>
        <w:t>is </w:t>
      </w:r>
      <w:r>
        <w:rPr>
          <w:spacing w:val="11"/>
          <w:sz w:val="22"/>
        </w:rPr>
        <w:t>required </w:t>
      </w:r>
      <w:r>
        <w:rPr>
          <w:sz w:val="22"/>
        </w:rPr>
        <w:t>of all </w:t>
      </w:r>
      <w:r>
        <w:rPr>
          <w:spacing w:val="10"/>
          <w:sz w:val="22"/>
        </w:rPr>
        <w:t>students,</w:t>
      </w:r>
      <w:r>
        <w:rPr>
          <w:spacing w:val="9"/>
          <w:sz w:val="22"/>
        </w:rPr>
        <w:t> </w:t>
      </w:r>
      <w:r>
        <w:rPr>
          <w:sz w:val="22"/>
        </w:rPr>
        <w:t>fa</w:t>
      </w:r>
      <w:r>
        <w:rPr>
          <w:spacing w:val="-28"/>
          <w:sz w:val="22"/>
        </w:rPr>
        <w:t> </w:t>
      </w:r>
      <w:r>
        <w:rPr>
          <w:sz w:val="22"/>
        </w:rPr>
        <w:t>culty </w:t>
      </w:r>
      <w:r>
        <w:rPr>
          <w:spacing w:val="13"/>
          <w:sz w:val="22"/>
        </w:rPr>
        <w:t>and </w:t>
      </w:r>
      <w:r>
        <w:rPr>
          <w:spacing w:val="10"/>
          <w:sz w:val="22"/>
        </w:rPr>
        <w:t>staff </w:t>
      </w:r>
      <w:r>
        <w:rPr>
          <w:spacing w:val="12"/>
          <w:sz w:val="22"/>
        </w:rPr>
        <w:t>and </w:t>
      </w:r>
      <w:r>
        <w:rPr>
          <w:spacing w:val="9"/>
          <w:sz w:val="22"/>
        </w:rPr>
        <w:t>should </w:t>
      </w:r>
      <w:r>
        <w:rPr>
          <w:spacing w:val="11"/>
          <w:sz w:val="22"/>
        </w:rPr>
        <w:t>be </w:t>
      </w:r>
      <w:r>
        <w:rPr>
          <w:spacing w:val="13"/>
          <w:sz w:val="22"/>
        </w:rPr>
        <w:t>followed </w:t>
      </w:r>
      <w:r>
        <w:rPr>
          <w:sz w:val="22"/>
        </w:rPr>
        <w:t>within Bemis</w:t>
      </w:r>
    </w:p>
    <w:p>
      <w:pPr>
        <w:spacing w:line="251" w:lineRule="exact" w:before="0"/>
        <w:ind w:left="439" w:right="0" w:firstLine="0"/>
        <w:jc w:val="left"/>
        <w:rPr>
          <w:sz w:val="22"/>
        </w:rPr>
      </w:pPr>
      <w:r>
        <w:rPr>
          <w:spacing w:val="8"/>
          <w:sz w:val="22"/>
        </w:rPr>
        <w:t>Laboratories.</w:t>
      </w:r>
    </w:p>
    <w:p>
      <w:pPr>
        <w:pStyle w:val="BodyText"/>
        <w:spacing w:before="10"/>
        <w:rPr>
          <w:sz w:val="31"/>
        </w:rPr>
      </w:pPr>
    </w:p>
    <w:p>
      <w:pPr>
        <w:spacing w:line="295" w:lineRule="auto" w:before="0"/>
        <w:ind w:left="453" w:right="389" w:hanging="14"/>
        <w:jc w:val="left"/>
        <w:rPr>
          <w:sz w:val="22"/>
        </w:rPr>
      </w:pPr>
      <w:r>
        <w:rPr>
          <w:b/>
          <w:w w:val="95"/>
          <w:sz w:val="22"/>
        </w:rPr>
        <w:t>ENGAGEMENT &amp; INTERACTION: </w:t>
      </w:r>
      <w:r>
        <w:rPr>
          <w:w w:val="95"/>
          <w:sz w:val="22"/>
        </w:rPr>
        <w:t>The </w:t>
      </w:r>
      <w:r>
        <w:rPr>
          <w:spacing w:val="14"/>
          <w:w w:val="95"/>
          <w:sz w:val="22"/>
        </w:rPr>
        <w:t>Department </w:t>
      </w:r>
      <w:r>
        <w:rPr>
          <w:w w:val="95"/>
          <w:sz w:val="22"/>
        </w:rPr>
        <w:t>of </w:t>
      </w:r>
      <w:r>
        <w:rPr>
          <w:spacing w:val="12"/>
          <w:w w:val="95"/>
          <w:sz w:val="22"/>
        </w:rPr>
        <w:t>Architecture </w:t>
      </w:r>
      <w:r>
        <w:rPr>
          <w:spacing w:val="10"/>
          <w:w w:val="95"/>
          <w:sz w:val="22"/>
        </w:rPr>
        <w:t>at </w:t>
      </w:r>
      <w:r>
        <w:rPr>
          <w:spacing w:val="16"/>
          <w:w w:val="95"/>
          <w:sz w:val="22"/>
        </w:rPr>
        <w:t>Hampton </w:t>
      </w:r>
      <w:r>
        <w:rPr>
          <w:w w:val="95"/>
          <w:sz w:val="22"/>
        </w:rPr>
        <w:t>University is </w:t>
      </w:r>
      <w:r>
        <w:rPr>
          <w:spacing w:val="15"/>
          <w:sz w:val="22"/>
        </w:rPr>
        <w:t>dedic</w:t>
      </w:r>
      <w:r>
        <w:rPr>
          <w:spacing w:val="-33"/>
          <w:sz w:val="22"/>
        </w:rPr>
        <w:t> </w:t>
      </w:r>
      <w:r>
        <w:rPr>
          <w:spacing w:val="15"/>
          <w:sz w:val="22"/>
        </w:rPr>
        <w:t>ated </w:t>
      </w:r>
      <w:r>
        <w:rPr>
          <w:sz w:val="22"/>
        </w:rPr>
        <w:t>to </w:t>
      </w:r>
      <w:r>
        <w:rPr>
          <w:spacing w:val="11"/>
          <w:sz w:val="22"/>
        </w:rPr>
        <w:t>maintaining </w:t>
      </w:r>
      <w:r>
        <w:rPr>
          <w:spacing w:val="13"/>
          <w:sz w:val="22"/>
        </w:rPr>
        <w:t>and</w:t>
      </w:r>
      <w:r>
        <w:rPr>
          <w:spacing w:val="10"/>
          <w:sz w:val="22"/>
        </w:rPr>
        <w:t> </w:t>
      </w:r>
      <w:r>
        <w:rPr>
          <w:spacing w:val="11"/>
          <w:sz w:val="22"/>
        </w:rPr>
        <w:t>increasing </w:t>
      </w:r>
      <w:r>
        <w:rPr>
          <w:spacing w:val="9"/>
          <w:sz w:val="22"/>
        </w:rPr>
        <w:t>the</w:t>
      </w:r>
      <w:r>
        <w:rPr>
          <w:spacing w:val="7"/>
          <w:sz w:val="22"/>
        </w:rPr>
        <w:t> </w:t>
      </w:r>
      <w:r>
        <w:rPr>
          <w:spacing w:val="9"/>
          <w:sz w:val="22"/>
        </w:rPr>
        <w:t>intera</w:t>
      </w:r>
      <w:r>
        <w:rPr>
          <w:spacing w:val="-33"/>
          <w:sz w:val="22"/>
        </w:rPr>
        <w:t> </w:t>
      </w:r>
      <w:r>
        <w:rPr>
          <w:spacing w:val="11"/>
          <w:sz w:val="22"/>
        </w:rPr>
        <w:t>ction </w:t>
      </w:r>
      <w:r>
        <w:rPr>
          <w:spacing w:val="14"/>
          <w:sz w:val="22"/>
        </w:rPr>
        <w:t>between</w:t>
      </w:r>
      <w:r>
        <w:rPr>
          <w:spacing w:val="4"/>
          <w:sz w:val="22"/>
        </w:rPr>
        <w:t> </w:t>
      </w:r>
      <w:r>
        <w:rPr>
          <w:spacing w:val="10"/>
          <w:sz w:val="22"/>
        </w:rPr>
        <w:t>students,</w:t>
      </w:r>
      <w:r>
        <w:rPr>
          <w:spacing w:val="1"/>
          <w:sz w:val="22"/>
        </w:rPr>
        <w:t> </w:t>
      </w:r>
      <w:r>
        <w:rPr>
          <w:sz w:val="22"/>
        </w:rPr>
        <w:t>fa</w:t>
      </w:r>
      <w:r>
        <w:rPr>
          <w:spacing w:val="-33"/>
          <w:sz w:val="22"/>
        </w:rPr>
        <w:t> </w:t>
      </w:r>
      <w:r>
        <w:rPr>
          <w:sz w:val="22"/>
        </w:rPr>
        <w:t>culty, </w:t>
      </w:r>
      <w:r>
        <w:rPr>
          <w:spacing w:val="9"/>
          <w:sz w:val="22"/>
        </w:rPr>
        <w:t>the </w:t>
      </w:r>
      <w:r>
        <w:rPr>
          <w:spacing w:val="16"/>
          <w:sz w:val="22"/>
        </w:rPr>
        <w:t>dep</w:t>
      </w:r>
      <w:r>
        <w:rPr>
          <w:spacing w:val="-29"/>
          <w:sz w:val="22"/>
        </w:rPr>
        <w:t> </w:t>
      </w:r>
      <w:r>
        <w:rPr>
          <w:spacing w:val="12"/>
          <w:sz w:val="22"/>
        </w:rPr>
        <w:t>artment and </w:t>
      </w:r>
      <w:r>
        <w:rPr>
          <w:spacing w:val="9"/>
          <w:sz w:val="22"/>
        </w:rPr>
        <w:t>the </w:t>
      </w:r>
      <w:r>
        <w:rPr>
          <w:spacing w:val="12"/>
          <w:sz w:val="22"/>
        </w:rPr>
        <w:t>greater</w:t>
      </w:r>
      <w:r>
        <w:rPr>
          <w:spacing w:val="9"/>
          <w:sz w:val="22"/>
        </w:rPr>
        <w:t> </w:t>
      </w:r>
      <w:r>
        <w:rPr>
          <w:spacing w:val="12"/>
          <w:sz w:val="22"/>
        </w:rPr>
        <w:t>student </w:t>
      </w:r>
      <w:r>
        <w:rPr>
          <w:spacing w:val="16"/>
          <w:sz w:val="22"/>
        </w:rPr>
        <w:t>body </w:t>
      </w:r>
      <w:r>
        <w:rPr>
          <w:spacing w:val="10"/>
          <w:sz w:val="22"/>
        </w:rPr>
        <w:t>at </w:t>
      </w:r>
      <w:r>
        <w:rPr>
          <w:spacing w:val="16"/>
          <w:sz w:val="22"/>
        </w:rPr>
        <w:t>Hampton</w:t>
      </w:r>
      <w:r>
        <w:rPr>
          <w:spacing w:val="15"/>
          <w:sz w:val="22"/>
        </w:rPr>
        <w:t> </w:t>
      </w:r>
      <w:r>
        <w:rPr>
          <w:sz w:val="22"/>
        </w:rPr>
        <w:t>University, as well as </w:t>
      </w:r>
      <w:r>
        <w:rPr>
          <w:spacing w:val="9"/>
          <w:sz w:val="22"/>
        </w:rPr>
        <w:t>the professional </w:t>
      </w:r>
      <w:r>
        <w:rPr>
          <w:sz w:val="22"/>
        </w:rPr>
        <w:t>c</w:t>
      </w:r>
      <w:r>
        <w:rPr>
          <w:spacing w:val="-16"/>
          <w:sz w:val="22"/>
        </w:rPr>
        <w:t> </w:t>
      </w:r>
      <w:r>
        <w:rPr>
          <w:sz w:val="22"/>
        </w:rPr>
        <w:t>ommunity.</w:t>
      </w:r>
    </w:p>
    <w:p>
      <w:pPr>
        <w:pStyle w:val="BodyText"/>
        <w:spacing w:before="9"/>
        <w:rPr>
          <w:sz w:val="26"/>
        </w:rPr>
      </w:pPr>
    </w:p>
    <w:p>
      <w:pPr>
        <w:spacing w:line="292" w:lineRule="auto" w:before="0"/>
        <w:ind w:left="446" w:right="1003" w:firstLine="53"/>
        <w:jc w:val="left"/>
        <w:rPr>
          <w:sz w:val="22"/>
        </w:rPr>
      </w:pPr>
      <w:r>
        <w:rPr>
          <w:sz w:val="22"/>
        </w:rPr>
        <w:t>The </w:t>
      </w:r>
      <w:r>
        <w:rPr>
          <w:spacing w:val="9"/>
          <w:sz w:val="22"/>
        </w:rPr>
        <w:t>discipline </w:t>
      </w:r>
      <w:r>
        <w:rPr>
          <w:sz w:val="22"/>
        </w:rPr>
        <w:t>of </w:t>
      </w:r>
      <w:r>
        <w:rPr>
          <w:spacing w:val="12"/>
          <w:sz w:val="22"/>
        </w:rPr>
        <w:t>architecture</w:t>
      </w:r>
      <w:r>
        <w:rPr>
          <w:spacing w:val="5"/>
          <w:sz w:val="22"/>
        </w:rPr>
        <w:t> </w:t>
      </w:r>
      <w:r>
        <w:rPr>
          <w:spacing w:val="9"/>
          <w:sz w:val="22"/>
        </w:rPr>
        <w:t>requires </w:t>
      </w:r>
      <w:r>
        <w:rPr>
          <w:sz w:val="22"/>
        </w:rPr>
        <w:t>a </w:t>
      </w:r>
      <w:r>
        <w:rPr>
          <w:spacing w:val="13"/>
          <w:sz w:val="22"/>
        </w:rPr>
        <w:t>great </w:t>
      </w:r>
      <w:r>
        <w:rPr>
          <w:spacing w:val="15"/>
          <w:sz w:val="22"/>
        </w:rPr>
        <w:t>deal</w:t>
      </w:r>
      <w:r>
        <w:rPr>
          <w:spacing w:val="7"/>
          <w:sz w:val="22"/>
        </w:rPr>
        <w:t> </w:t>
      </w:r>
      <w:r>
        <w:rPr>
          <w:sz w:val="22"/>
        </w:rPr>
        <w:t>of </w:t>
      </w:r>
      <w:r>
        <w:rPr>
          <w:spacing w:val="9"/>
          <w:sz w:val="22"/>
        </w:rPr>
        <w:t>time </w:t>
      </w:r>
      <w:r>
        <w:rPr>
          <w:spacing w:val="13"/>
          <w:sz w:val="22"/>
        </w:rPr>
        <w:t>and </w:t>
      </w:r>
      <w:r>
        <w:rPr>
          <w:sz w:val="22"/>
        </w:rPr>
        <w:t>effort from </w:t>
      </w:r>
      <w:r>
        <w:rPr>
          <w:spacing w:val="10"/>
          <w:sz w:val="22"/>
        </w:rPr>
        <w:t>students, </w:t>
      </w:r>
      <w:r>
        <w:rPr>
          <w:sz w:val="22"/>
        </w:rPr>
        <w:t>thus it is </w:t>
      </w:r>
      <w:r>
        <w:rPr>
          <w:spacing w:val="14"/>
          <w:sz w:val="22"/>
        </w:rPr>
        <w:t>important </w:t>
      </w:r>
      <w:r>
        <w:rPr>
          <w:spacing w:val="13"/>
          <w:sz w:val="22"/>
        </w:rPr>
        <w:t>that </w:t>
      </w:r>
      <w:r>
        <w:rPr>
          <w:spacing w:val="10"/>
          <w:sz w:val="22"/>
        </w:rPr>
        <w:t>they </w:t>
      </w:r>
      <w:r>
        <w:rPr>
          <w:sz w:val="22"/>
        </w:rPr>
        <w:t>p</w:t>
      </w:r>
      <w:r>
        <w:rPr>
          <w:spacing w:val="-28"/>
          <w:sz w:val="22"/>
        </w:rPr>
        <w:t> </w:t>
      </w:r>
      <w:r>
        <w:rPr>
          <w:spacing w:val="13"/>
          <w:sz w:val="22"/>
        </w:rPr>
        <w:t>articipate </w:t>
      </w:r>
      <w:r>
        <w:rPr>
          <w:sz w:val="22"/>
        </w:rPr>
        <w:t>in</w:t>
      </w:r>
      <w:r>
        <w:rPr>
          <w:spacing w:val="10"/>
          <w:sz w:val="22"/>
        </w:rPr>
        <w:t> other </w:t>
      </w:r>
      <w:r>
        <w:rPr>
          <w:sz w:val="22"/>
        </w:rPr>
        <w:t>extra</w:t>
      </w:r>
      <w:r>
        <w:rPr>
          <w:spacing w:val="-26"/>
          <w:sz w:val="22"/>
        </w:rPr>
        <w:t> </w:t>
      </w:r>
      <w:r>
        <w:rPr>
          <w:spacing w:val="9"/>
          <w:sz w:val="22"/>
        </w:rPr>
        <w:t>curricular </w:t>
      </w:r>
      <w:r>
        <w:rPr>
          <w:sz w:val="22"/>
        </w:rPr>
        <w:t>a</w:t>
      </w:r>
      <w:r>
        <w:rPr>
          <w:spacing w:val="-28"/>
          <w:sz w:val="22"/>
        </w:rPr>
        <w:t> </w:t>
      </w:r>
      <w:r>
        <w:rPr>
          <w:sz w:val="22"/>
        </w:rPr>
        <w:t>ctivities</w:t>
      </w:r>
      <w:r>
        <w:rPr>
          <w:spacing w:val="26"/>
          <w:sz w:val="22"/>
        </w:rPr>
        <w:t> </w:t>
      </w:r>
      <w:r>
        <w:rPr>
          <w:sz w:val="22"/>
        </w:rPr>
        <w:t>as well to</w:t>
      </w:r>
    </w:p>
    <w:p>
      <w:pPr>
        <w:spacing w:line="292" w:lineRule="auto" w:before="2"/>
        <w:ind w:left="440" w:right="642" w:hanging="1"/>
        <w:jc w:val="left"/>
        <w:rPr>
          <w:sz w:val="22"/>
        </w:rPr>
      </w:pPr>
      <w:r>
        <w:rPr>
          <w:spacing w:val="12"/>
          <w:sz w:val="22"/>
        </w:rPr>
        <w:t>remain</w:t>
      </w:r>
      <w:r>
        <w:rPr>
          <w:spacing w:val="11"/>
          <w:sz w:val="22"/>
        </w:rPr>
        <w:t> </w:t>
      </w:r>
      <w:r>
        <w:rPr>
          <w:sz w:val="22"/>
        </w:rPr>
        <w:t>b</w:t>
      </w:r>
      <w:r>
        <w:rPr>
          <w:spacing w:val="-33"/>
          <w:sz w:val="22"/>
        </w:rPr>
        <w:t> </w:t>
      </w:r>
      <w:r>
        <w:rPr>
          <w:spacing w:val="16"/>
          <w:sz w:val="22"/>
        </w:rPr>
        <w:t>alanced </w:t>
      </w:r>
      <w:r>
        <w:rPr>
          <w:spacing w:val="13"/>
          <w:sz w:val="22"/>
        </w:rPr>
        <w:t>and </w:t>
      </w:r>
      <w:r>
        <w:rPr>
          <w:sz w:val="22"/>
        </w:rPr>
        <w:t>well-</w:t>
      </w:r>
      <w:r>
        <w:rPr>
          <w:spacing w:val="14"/>
          <w:sz w:val="22"/>
        </w:rPr>
        <w:t>rounded</w:t>
      </w:r>
      <w:r>
        <w:rPr>
          <w:spacing w:val="10"/>
          <w:sz w:val="22"/>
        </w:rPr>
        <w:t> </w:t>
      </w:r>
      <w:r>
        <w:rPr>
          <w:spacing w:val="9"/>
          <w:sz w:val="22"/>
        </w:rPr>
        <w:t>individuals.</w:t>
      </w:r>
      <w:r>
        <w:rPr>
          <w:spacing w:val="40"/>
          <w:sz w:val="22"/>
        </w:rPr>
        <w:t> </w:t>
      </w:r>
      <w:r>
        <w:rPr>
          <w:sz w:val="22"/>
        </w:rPr>
        <w:t>We </w:t>
      </w:r>
      <w:r>
        <w:rPr>
          <w:spacing w:val="12"/>
          <w:sz w:val="22"/>
        </w:rPr>
        <w:t>enc</w:t>
      </w:r>
      <w:r>
        <w:rPr>
          <w:spacing w:val="-33"/>
          <w:sz w:val="22"/>
        </w:rPr>
        <w:t> </w:t>
      </w:r>
      <w:r>
        <w:rPr>
          <w:spacing w:val="13"/>
          <w:sz w:val="22"/>
        </w:rPr>
        <w:t>ourage</w:t>
      </w:r>
      <w:r>
        <w:rPr>
          <w:spacing w:val="6"/>
          <w:sz w:val="22"/>
        </w:rPr>
        <w:t> </w:t>
      </w:r>
      <w:r>
        <w:rPr>
          <w:spacing w:val="11"/>
          <w:sz w:val="22"/>
        </w:rPr>
        <w:t>students</w:t>
      </w:r>
      <w:r>
        <w:rPr>
          <w:spacing w:val="3"/>
          <w:sz w:val="22"/>
        </w:rPr>
        <w:t> </w:t>
      </w:r>
      <w:r>
        <w:rPr>
          <w:sz w:val="22"/>
        </w:rPr>
        <w:t>to </w:t>
      </w:r>
      <w:r>
        <w:rPr>
          <w:spacing w:val="16"/>
          <w:sz w:val="22"/>
        </w:rPr>
        <w:t>bec</w:t>
      </w:r>
      <w:r>
        <w:rPr>
          <w:spacing w:val="-33"/>
          <w:sz w:val="22"/>
        </w:rPr>
        <w:t> </w:t>
      </w:r>
      <w:r>
        <w:rPr>
          <w:spacing w:val="14"/>
          <w:sz w:val="22"/>
        </w:rPr>
        <w:t>ome </w:t>
      </w:r>
      <w:r>
        <w:rPr>
          <w:spacing w:val="11"/>
          <w:sz w:val="22"/>
        </w:rPr>
        <w:t>involved </w:t>
      </w:r>
      <w:r>
        <w:rPr>
          <w:sz w:val="22"/>
        </w:rPr>
        <w:t>in </w:t>
      </w:r>
      <w:r>
        <w:rPr>
          <w:spacing w:val="13"/>
          <w:sz w:val="22"/>
        </w:rPr>
        <w:t>both</w:t>
      </w:r>
      <w:r>
        <w:rPr>
          <w:spacing w:val="7"/>
          <w:sz w:val="22"/>
        </w:rPr>
        <w:t> </w:t>
      </w:r>
      <w:r>
        <w:rPr>
          <w:spacing w:val="12"/>
          <w:sz w:val="22"/>
        </w:rPr>
        <w:t>student </w:t>
      </w:r>
      <w:r>
        <w:rPr>
          <w:spacing w:val="11"/>
          <w:sz w:val="22"/>
        </w:rPr>
        <w:t>organizations </w:t>
      </w:r>
      <w:r>
        <w:rPr>
          <w:sz w:val="22"/>
        </w:rPr>
        <w:t>within our </w:t>
      </w:r>
      <w:r>
        <w:rPr>
          <w:spacing w:val="15"/>
          <w:sz w:val="22"/>
        </w:rPr>
        <w:t>department</w:t>
      </w:r>
      <w:r>
        <w:rPr>
          <w:spacing w:val="8"/>
          <w:sz w:val="22"/>
        </w:rPr>
        <w:t> </w:t>
      </w:r>
      <w:r>
        <w:rPr>
          <w:spacing w:val="12"/>
          <w:sz w:val="22"/>
        </w:rPr>
        <w:t>such </w:t>
      </w:r>
      <w:r>
        <w:rPr>
          <w:sz w:val="22"/>
        </w:rPr>
        <w:t>as AIAS </w:t>
      </w:r>
      <w:r>
        <w:rPr>
          <w:spacing w:val="13"/>
          <w:sz w:val="22"/>
        </w:rPr>
        <w:t>and </w:t>
      </w:r>
      <w:r>
        <w:rPr>
          <w:spacing w:val="11"/>
          <w:sz w:val="22"/>
        </w:rPr>
        <w:t>Tau</w:t>
      </w:r>
    </w:p>
    <w:p>
      <w:pPr>
        <w:spacing w:after="0" w:line="292" w:lineRule="auto"/>
        <w:jc w:val="left"/>
        <w:rPr>
          <w:sz w:val="22"/>
        </w:rPr>
        <w:sectPr>
          <w:headerReference w:type="default" r:id="rId313"/>
          <w:footerReference w:type="default" r:id="rId314"/>
          <w:pgSz w:w="12240" w:h="15840"/>
          <w:pgMar w:header="0" w:footer="749" w:top="1400" w:bottom="940" w:left="1000" w:right="820"/>
        </w:sectPr>
      </w:pPr>
    </w:p>
    <w:p>
      <w:pPr>
        <w:spacing w:before="77"/>
        <w:ind w:left="440" w:right="0" w:firstLine="0"/>
        <w:jc w:val="both"/>
        <w:rPr>
          <w:sz w:val="22"/>
        </w:rPr>
      </w:pPr>
      <w:r>
        <w:rPr>
          <w:spacing w:val="12"/>
          <w:sz w:val="22"/>
        </w:rPr>
        <w:t>Sigma</w:t>
      </w:r>
      <w:r>
        <w:rPr>
          <w:spacing w:val="9"/>
          <w:sz w:val="22"/>
        </w:rPr>
        <w:t> Delta</w:t>
      </w:r>
      <w:r>
        <w:rPr>
          <w:spacing w:val="21"/>
          <w:sz w:val="22"/>
        </w:rPr>
        <w:t> </w:t>
      </w:r>
      <w:r>
        <w:rPr>
          <w:spacing w:val="12"/>
          <w:sz w:val="22"/>
        </w:rPr>
        <w:t>and</w:t>
      </w:r>
      <w:r>
        <w:rPr>
          <w:spacing w:val="13"/>
          <w:sz w:val="22"/>
        </w:rPr>
        <w:t> </w:t>
      </w:r>
      <w:r>
        <w:rPr>
          <w:spacing w:val="9"/>
          <w:sz w:val="22"/>
        </w:rPr>
        <w:t>those</w:t>
      </w:r>
      <w:r>
        <w:rPr>
          <w:spacing w:val="12"/>
          <w:sz w:val="22"/>
        </w:rPr>
        <w:t> </w:t>
      </w:r>
      <w:r>
        <w:rPr>
          <w:spacing w:val="10"/>
          <w:sz w:val="22"/>
        </w:rPr>
        <w:t>outside</w:t>
      </w:r>
      <w:r>
        <w:rPr>
          <w:spacing w:val="11"/>
          <w:sz w:val="22"/>
        </w:rPr>
        <w:t> </w:t>
      </w:r>
      <w:r>
        <w:rPr>
          <w:sz w:val="22"/>
        </w:rPr>
        <w:t>the</w:t>
      </w:r>
      <w:r>
        <w:rPr>
          <w:spacing w:val="17"/>
          <w:sz w:val="22"/>
        </w:rPr>
        <w:t> </w:t>
      </w:r>
      <w:r>
        <w:rPr>
          <w:spacing w:val="15"/>
          <w:sz w:val="22"/>
        </w:rPr>
        <w:t>department.</w:t>
      </w:r>
      <w:r>
        <w:rPr>
          <w:spacing w:val="50"/>
          <w:sz w:val="22"/>
        </w:rPr>
        <w:t> </w:t>
      </w:r>
      <w:r>
        <w:rPr>
          <w:spacing w:val="16"/>
          <w:sz w:val="22"/>
        </w:rPr>
        <w:t>Hampton</w:t>
      </w:r>
      <w:r>
        <w:rPr>
          <w:spacing w:val="-1"/>
          <w:sz w:val="22"/>
        </w:rPr>
        <w:t> </w:t>
      </w:r>
      <w:r>
        <w:rPr>
          <w:sz w:val="22"/>
        </w:rPr>
        <w:t>University</w:t>
      </w:r>
      <w:r>
        <w:rPr>
          <w:spacing w:val="5"/>
          <w:sz w:val="22"/>
        </w:rPr>
        <w:t> </w:t>
      </w:r>
      <w:r>
        <w:rPr>
          <w:sz w:val="22"/>
        </w:rPr>
        <w:t>offers</w:t>
      </w:r>
      <w:r>
        <w:rPr>
          <w:spacing w:val="8"/>
          <w:sz w:val="22"/>
        </w:rPr>
        <w:t> </w:t>
      </w:r>
      <w:r>
        <w:rPr>
          <w:sz w:val="22"/>
        </w:rPr>
        <w:t>a</w:t>
      </w:r>
      <w:r>
        <w:rPr>
          <w:spacing w:val="19"/>
          <w:sz w:val="22"/>
        </w:rPr>
        <w:t> </w:t>
      </w:r>
      <w:r>
        <w:rPr>
          <w:spacing w:val="7"/>
          <w:sz w:val="22"/>
        </w:rPr>
        <w:t>wide</w:t>
      </w:r>
    </w:p>
    <w:p>
      <w:pPr>
        <w:spacing w:line="295" w:lineRule="auto" w:before="56"/>
        <w:ind w:left="454" w:right="1044" w:hanging="8"/>
        <w:jc w:val="both"/>
        <w:rPr>
          <w:sz w:val="22"/>
        </w:rPr>
      </w:pPr>
      <w:r>
        <w:rPr>
          <w:spacing w:val="10"/>
          <w:w w:val="95"/>
          <w:sz w:val="22"/>
        </w:rPr>
        <w:t>variety </w:t>
      </w:r>
      <w:r>
        <w:rPr>
          <w:w w:val="95"/>
          <w:sz w:val="22"/>
        </w:rPr>
        <w:t>of </w:t>
      </w:r>
      <w:r>
        <w:rPr>
          <w:spacing w:val="11"/>
          <w:w w:val="95"/>
          <w:sz w:val="22"/>
        </w:rPr>
        <w:t>organizations </w:t>
      </w:r>
      <w:r>
        <w:rPr>
          <w:spacing w:val="12"/>
          <w:w w:val="95"/>
          <w:sz w:val="22"/>
        </w:rPr>
        <w:t>such </w:t>
      </w:r>
      <w:r>
        <w:rPr>
          <w:w w:val="95"/>
          <w:sz w:val="22"/>
        </w:rPr>
        <w:t>as SGA, </w:t>
      </w:r>
      <w:r>
        <w:rPr>
          <w:spacing w:val="13"/>
          <w:w w:val="95"/>
          <w:sz w:val="22"/>
        </w:rPr>
        <w:t>Student </w:t>
      </w:r>
      <w:r>
        <w:rPr>
          <w:spacing w:val="11"/>
          <w:w w:val="95"/>
          <w:sz w:val="22"/>
        </w:rPr>
        <w:t>Lea</w:t>
      </w:r>
      <w:r>
        <w:rPr>
          <w:spacing w:val="-13"/>
          <w:w w:val="95"/>
          <w:sz w:val="22"/>
        </w:rPr>
        <w:t> </w:t>
      </w:r>
      <w:r>
        <w:rPr>
          <w:w w:val="95"/>
          <w:sz w:val="22"/>
        </w:rPr>
        <w:t>ders, </w:t>
      </w:r>
      <w:r>
        <w:rPr>
          <w:spacing w:val="13"/>
          <w:w w:val="95"/>
          <w:sz w:val="22"/>
        </w:rPr>
        <w:t>Student </w:t>
      </w:r>
      <w:r>
        <w:rPr>
          <w:w w:val="95"/>
          <w:sz w:val="22"/>
        </w:rPr>
        <w:t>Christian </w:t>
      </w:r>
      <w:r>
        <w:rPr>
          <w:spacing w:val="11"/>
          <w:w w:val="95"/>
          <w:sz w:val="22"/>
        </w:rPr>
        <w:t>Association </w:t>
      </w:r>
      <w:r>
        <w:rPr>
          <w:spacing w:val="13"/>
          <w:sz w:val="22"/>
        </w:rPr>
        <w:t>and</w:t>
      </w:r>
      <w:r>
        <w:rPr>
          <w:spacing w:val="-16"/>
          <w:sz w:val="22"/>
        </w:rPr>
        <w:t> </w:t>
      </w:r>
      <w:r>
        <w:rPr>
          <w:spacing w:val="10"/>
          <w:sz w:val="22"/>
        </w:rPr>
        <w:t>more.</w:t>
      </w:r>
      <w:r>
        <w:rPr>
          <w:spacing w:val="40"/>
          <w:sz w:val="22"/>
        </w:rPr>
        <w:t> </w:t>
      </w:r>
      <w:r>
        <w:rPr>
          <w:spacing w:val="12"/>
          <w:sz w:val="22"/>
        </w:rPr>
        <w:t>Bec</w:t>
      </w:r>
      <w:r>
        <w:rPr>
          <w:spacing w:val="-16"/>
          <w:sz w:val="22"/>
        </w:rPr>
        <w:t> </w:t>
      </w:r>
      <w:r>
        <w:rPr>
          <w:spacing w:val="10"/>
          <w:sz w:val="22"/>
        </w:rPr>
        <w:t>oming</w:t>
      </w:r>
      <w:r>
        <w:rPr>
          <w:spacing w:val="4"/>
          <w:sz w:val="22"/>
        </w:rPr>
        <w:t> </w:t>
      </w:r>
      <w:r>
        <w:rPr>
          <w:spacing w:val="10"/>
          <w:sz w:val="22"/>
        </w:rPr>
        <w:t>involved</w:t>
      </w:r>
      <w:r>
        <w:rPr>
          <w:spacing w:val="7"/>
          <w:sz w:val="22"/>
        </w:rPr>
        <w:t> </w:t>
      </w:r>
      <w:r>
        <w:rPr>
          <w:sz w:val="22"/>
        </w:rPr>
        <w:t>in </w:t>
      </w:r>
      <w:r>
        <w:rPr>
          <w:spacing w:val="9"/>
          <w:sz w:val="22"/>
        </w:rPr>
        <w:t>any</w:t>
      </w:r>
      <w:r>
        <w:rPr>
          <w:spacing w:val="7"/>
          <w:sz w:val="22"/>
        </w:rPr>
        <w:t> </w:t>
      </w:r>
      <w:r>
        <w:rPr>
          <w:sz w:val="22"/>
        </w:rPr>
        <w:t>of </w:t>
      </w:r>
      <w:r>
        <w:rPr>
          <w:spacing w:val="9"/>
          <w:sz w:val="22"/>
        </w:rPr>
        <w:t>these </w:t>
      </w:r>
      <w:r>
        <w:rPr>
          <w:spacing w:val="11"/>
          <w:sz w:val="22"/>
        </w:rPr>
        <w:t>groups</w:t>
      </w:r>
      <w:r>
        <w:rPr>
          <w:spacing w:val="5"/>
          <w:sz w:val="22"/>
        </w:rPr>
        <w:t> </w:t>
      </w:r>
      <w:r>
        <w:rPr>
          <w:sz w:val="22"/>
        </w:rPr>
        <w:t>will </w:t>
      </w:r>
      <w:r>
        <w:rPr>
          <w:spacing w:val="9"/>
          <w:sz w:val="22"/>
        </w:rPr>
        <w:t>help</w:t>
      </w:r>
      <w:r>
        <w:rPr>
          <w:spacing w:val="7"/>
          <w:sz w:val="22"/>
        </w:rPr>
        <w:t> </w:t>
      </w:r>
      <w:r>
        <w:rPr>
          <w:spacing w:val="11"/>
          <w:sz w:val="22"/>
        </w:rPr>
        <w:t>students</w:t>
      </w:r>
      <w:r>
        <w:rPr>
          <w:spacing w:val="-6"/>
          <w:sz w:val="22"/>
        </w:rPr>
        <w:t> </w:t>
      </w:r>
      <w:r>
        <w:rPr>
          <w:spacing w:val="9"/>
          <w:sz w:val="22"/>
        </w:rPr>
        <w:t>intera</w:t>
      </w:r>
      <w:r>
        <w:rPr>
          <w:spacing w:val="-16"/>
          <w:sz w:val="22"/>
        </w:rPr>
        <w:t> </w:t>
      </w:r>
      <w:r>
        <w:rPr>
          <w:spacing w:val="12"/>
          <w:sz w:val="22"/>
        </w:rPr>
        <w:t>ct </w:t>
      </w:r>
      <w:r>
        <w:rPr>
          <w:sz w:val="22"/>
        </w:rPr>
        <w:t>with </w:t>
      </w:r>
      <w:r>
        <w:rPr>
          <w:spacing w:val="15"/>
          <w:sz w:val="22"/>
        </w:rPr>
        <w:t>people </w:t>
      </w:r>
      <w:r>
        <w:rPr>
          <w:sz w:val="22"/>
        </w:rPr>
        <w:t>in </w:t>
      </w:r>
      <w:r>
        <w:rPr>
          <w:spacing w:val="11"/>
          <w:sz w:val="22"/>
        </w:rPr>
        <w:t>other </w:t>
      </w:r>
      <w:r>
        <w:rPr>
          <w:sz w:val="22"/>
        </w:rPr>
        <w:t>majors.</w:t>
      </w:r>
    </w:p>
    <w:p>
      <w:pPr>
        <w:pStyle w:val="BodyText"/>
        <w:spacing w:before="8"/>
        <w:rPr>
          <w:sz w:val="26"/>
        </w:rPr>
      </w:pPr>
    </w:p>
    <w:p>
      <w:pPr>
        <w:spacing w:line="295" w:lineRule="auto" w:before="0"/>
        <w:ind w:left="440" w:right="1003" w:firstLine="10"/>
        <w:jc w:val="left"/>
        <w:rPr>
          <w:sz w:val="22"/>
        </w:rPr>
      </w:pPr>
      <w:r>
        <w:rPr>
          <w:spacing w:val="11"/>
          <w:sz w:val="22"/>
        </w:rPr>
        <w:t>Creating </w:t>
      </w:r>
      <w:r>
        <w:rPr>
          <w:spacing w:val="16"/>
          <w:sz w:val="22"/>
        </w:rPr>
        <w:t>open </w:t>
      </w:r>
      <w:r>
        <w:rPr>
          <w:sz w:val="22"/>
        </w:rPr>
        <w:t>c</w:t>
      </w:r>
      <w:r>
        <w:rPr>
          <w:spacing w:val="-25"/>
          <w:sz w:val="22"/>
        </w:rPr>
        <w:t> </w:t>
      </w:r>
      <w:r>
        <w:rPr>
          <w:spacing w:val="12"/>
          <w:sz w:val="22"/>
        </w:rPr>
        <w:t>ommunic</w:t>
      </w:r>
      <w:r>
        <w:rPr>
          <w:spacing w:val="-21"/>
          <w:sz w:val="22"/>
        </w:rPr>
        <w:t> </w:t>
      </w:r>
      <w:r>
        <w:rPr>
          <w:spacing w:val="10"/>
          <w:sz w:val="22"/>
        </w:rPr>
        <w:t>ation </w:t>
      </w:r>
      <w:r>
        <w:rPr>
          <w:spacing w:val="16"/>
          <w:sz w:val="22"/>
        </w:rPr>
        <w:t>between </w:t>
      </w:r>
      <w:r>
        <w:rPr>
          <w:spacing w:val="9"/>
          <w:sz w:val="22"/>
        </w:rPr>
        <w:t>the </w:t>
      </w:r>
      <w:r>
        <w:rPr>
          <w:sz w:val="22"/>
        </w:rPr>
        <w:t>Alumni of our </w:t>
      </w:r>
      <w:r>
        <w:rPr>
          <w:spacing w:val="11"/>
          <w:sz w:val="22"/>
        </w:rPr>
        <w:t>Dep</w:t>
      </w:r>
      <w:r>
        <w:rPr>
          <w:spacing w:val="-25"/>
          <w:sz w:val="22"/>
        </w:rPr>
        <w:t> </w:t>
      </w:r>
      <w:r>
        <w:rPr>
          <w:spacing w:val="11"/>
          <w:sz w:val="22"/>
        </w:rPr>
        <w:t>artment </w:t>
      </w:r>
      <w:r>
        <w:rPr>
          <w:spacing w:val="13"/>
          <w:sz w:val="22"/>
        </w:rPr>
        <w:t>and </w:t>
      </w:r>
      <w:r>
        <w:rPr>
          <w:sz w:val="22"/>
        </w:rPr>
        <w:t>Professionals</w:t>
      </w:r>
      <w:r>
        <w:rPr>
          <w:spacing w:val="-4"/>
          <w:sz w:val="22"/>
        </w:rPr>
        <w:t> </w:t>
      </w:r>
      <w:r>
        <w:rPr>
          <w:sz w:val="22"/>
        </w:rPr>
        <w:t>in </w:t>
      </w:r>
      <w:r>
        <w:rPr>
          <w:spacing w:val="13"/>
          <w:sz w:val="22"/>
        </w:rPr>
        <w:t>and </w:t>
      </w:r>
      <w:r>
        <w:rPr>
          <w:spacing w:val="9"/>
          <w:sz w:val="22"/>
        </w:rPr>
        <w:t>outside the </w:t>
      </w:r>
      <w:r>
        <w:rPr>
          <w:spacing w:val="13"/>
          <w:sz w:val="22"/>
        </w:rPr>
        <w:t>architectural</w:t>
      </w:r>
      <w:r>
        <w:rPr>
          <w:spacing w:val="11"/>
          <w:sz w:val="22"/>
        </w:rPr>
        <w:t> </w:t>
      </w:r>
      <w:r>
        <w:rPr>
          <w:sz w:val="22"/>
        </w:rPr>
        <w:t>c</w:t>
      </w:r>
      <w:r>
        <w:rPr>
          <w:spacing w:val="-33"/>
          <w:sz w:val="22"/>
        </w:rPr>
        <w:t> </w:t>
      </w:r>
      <w:r>
        <w:rPr>
          <w:spacing w:val="11"/>
          <w:sz w:val="22"/>
        </w:rPr>
        <w:t>ommunity</w:t>
      </w:r>
      <w:r>
        <w:rPr>
          <w:sz w:val="22"/>
        </w:rPr>
        <w:t> is essential to our</w:t>
      </w:r>
      <w:r>
        <w:rPr>
          <w:spacing w:val="-3"/>
          <w:sz w:val="22"/>
        </w:rPr>
        <w:t> </w:t>
      </w:r>
      <w:r>
        <w:rPr>
          <w:spacing w:val="11"/>
          <w:sz w:val="22"/>
        </w:rPr>
        <w:t>individual growth.</w:t>
      </w:r>
      <w:r>
        <w:rPr>
          <w:spacing w:val="40"/>
          <w:sz w:val="22"/>
        </w:rPr>
        <w:t> </w:t>
      </w:r>
      <w:r>
        <w:rPr>
          <w:sz w:val="22"/>
        </w:rPr>
        <w:t>Profession</w:t>
      </w:r>
      <w:r>
        <w:rPr>
          <w:spacing w:val="-40"/>
          <w:sz w:val="22"/>
        </w:rPr>
        <w:t> </w:t>
      </w:r>
      <w:r>
        <w:rPr>
          <w:sz w:val="22"/>
        </w:rPr>
        <w:t>als </w:t>
      </w:r>
      <w:r>
        <w:rPr>
          <w:spacing w:val="9"/>
          <w:sz w:val="22"/>
        </w:rPr>
        <w:t>should </w:t>
      </w:r>
      <w:r>
        <w:rPr>
          <w:spacing w:val="11"/>
          <w:sz w:val="22"/>
        </w:rPr>
        <w:t>be </w:t>
      </w:r>
      <w:r>
        <w:rPr>
          <w:spacing w:val="10"/>
          <w:sz w:val="22"/>
        </w:rPr>
        <w:t>invited </w:t>
      </w:r>
      <w:r>
        <w:rPr>
          <w:sz w:val="22"/>
        </w:rPr>
        <w:t>to</w:t>
      </w:r>
      <w:r>
        <w:rPr>
          <w:spacing w:val="32"/>
          <w:sz w:val="22"/>
        </w:rPr>
        <w:t> </w:t>
      </w:r>
      <w:r>
        <w:rPr>
          <w:sz w:val="22"/>
        </w:rPr>
        <w:t>p</w:t>
      </w:r>
      <w:r>
        <w:rPr>
          <w:spacing w:val="-30"/>
          <w:sz w:val="22"/>
        </w:rPr>
        <w:t> </w:t>
      </w:r>
      <w:r>
        <w:rPr>
          <w:spacing w:val="13"/>
          <w:sz w:val="22"/>
        </w:rPr>
        <w:t>articipate </w:t>
      </w:r>
      <w:r>
        <w:rPr>
          <w:sz w:val="22"/>
        </w:rPr>
        <w:t>in our critiques, </w:t>
      </w:r>
      <w:r>
        <w:rPr>
          <w:spacing w:val="12"/>
          <w:sz w:val="22"/>
        </w:rPr>
        <w:t>lecture </w:t>
      </w:r>
      <w:r>
        <w:rPr>
          <w:sz w:val="22"/>
        </w:rPr>
        <w:t>series,</w:t>
      </w:r>
    </w:p>
    <w:p>
      <w:pPr>
        <w:spacing w:line="295" w:lineRule="auto" w:before="0"/>
        <w:ind w:left="440" w:right="642" w:firstLine="10"/>
        <w:jc w:val="left"/>
        <w:rPr>
          <w:sz w:val="22"/>
        </w:rPr>
      </w:pPr>
      <w:r>
        <w:rPr>
          <w:spacing w:val="10"/>
          <w:sz w:val="22"/>
        </w:rPr>
        <w:t>Career</w:t>
      </w:r>
      <w:r>
        <w:rPr>
          <w:spacing w:val="5"/>
          <w:sz w:val="22"/>
        </w:rPr>
        <w:t> </w:t>
      </w:r>
      <w:r>
        <w:rPr>
          <w:spacing w:val="11"/>
          <w:sz w:val="22"/>
        </w:rPr>
        <w:t>Day </w:t>
      </w:r>
      <w:r>
        <w:rPr>
          <w:spacing w:val="13"/>
          <w:sz w:val="22"/>
        </w:rPr>
        <w:t>and </w:t>
      </w:r>
      <w:r>
        <w:rPr>
          <w:spacing w:val="11"/>
          <w:sz w:val="22"/>
        </w:rPr>
        <w:t>other </w:t>
      </w:r>
      <w:r>
        <w:rPr>
          <w:sz w:val="22"/>
        </w:rPr>
        <w:t>a</w:t>
      </w:r>
      <w:r>
        <w:rPr>
          <w:spacing w:val="-30"/>
          <w:sz w:val="22"/>
        </w:rPr>
        <w:t> </w:t>
      </w:r>
      <w:r>
        <w:rPr>
          <w:sz w:val="22"/>
        </w:rPr>
        <w:t>ctivities.</w:t>
      </w:r>
      <w:r>
        <w:rPr>
          <w:spacing w:val="40"/>
          <w:sz w:val="22"/>
        </w:rPr>
        <w:t> </w:t>
      </w:r>
      <w:r>
        <w:rPr>
          <w:sz w:val="22"/>
        </w:rPr>
        <w:t>Ea</w:t>
      </w:r>
      <w:r>
        <w:rPr>
          <w:spacing w:val="-30"/>
          <w:sz w:val="22"/>
        </w:rPr>
        <w:t> </w:t>
      </w:r>
      <w:r>
        <w:rPr>
          <w:spacing w:val="11"/>
          <w:sz w:val="22"/>
        </w:rPr>
        <w:t>ch </w:t>
      </w:r>
      <w:r>
        <w:rPr>
          <w:spacing w:val="12"/>
          <w:sz w:val="22"/>
        </w:rPr>
        <w:t>year </w:t>
      </w:r>
      <w:r>
        <w:rPr>
          <w:sz w:val="22"/>
        </w:rPr>
        <w:t>we</w:t>
      </w:r>
      <w:r>
        <w:rPr>
          <w:spacing w:val="10"/>
          <w:sz w:val="22"/>
        </w:rPr>
        <w:t> hold</w:t>
      </w:r>
      <w:r>
        <w:rPr>
          <w:spacing w:val="32"/>
          <w:sz w:val="22"/>
        </w:rPr>
        <w:t> </w:t>
      </w:r>
      <w:r>
        <w:rPr>
          <w:sz w:val="22"/>
        </w:rPr>
        <w:t>a</w:t>
      </w:r>
      <w:r>
        <w:rPr>
          <w:spacing w:val="12"/>
          <w:sz w:val="22"/>
        </w:rPr>
        <w:t> Career</w:t>
      </w:r>
      <w:r>
        <w:rPr>
          <w:spacing w:val="5"/>
          <w:sz w:val="22"/>
        </w:rPr>
        <w:t> </w:t>
      </w:r>
      <w:r>
        <w:rPr>
          <w:spacing w:val="11"/>
          <w:sz w:val="22"/>
        </w:rPr>
        <w:t>Day </w:t>
      </w:r>
      <w:r>
        <w:rPr>
          <w:spacing w:val="13"/>
          <w:sz w:val="22"/>
        </w:rPr>
        <w:t>that </w:t>
      </w:r>
      <w:r>
        <w:rPr>
          <w:sz w:val="22"/>
        </w:rPr>
        <w:t>brings in Alumni </w:t>
      </w:r>
      <w:r>
        <w:rPr>
          <w:spacing w:val="13"/>
          <w:sz w:val="22"/>
        </w:rPr>
        <w:t>and </w:t>
      </w:r>
      <w:r>
        <w:rPr>
          <w:sz w:val="22"/>
        </w:rPr>
        <w:t>firms to discuss </w:t>
      </w:r>
      <w:r>
        <w:rPr>
          <w:spacing w:val="11"/>
          <w:sz w:val="22"/>
        </w:rPr>
        <w:t>how </w:t>
      </w:r>
      <w:r>
        <w:rPr>
          <w:spacing w:val="10"/>
          <w:sz w:val="22"/>
        </w:rPr>
        <w:t>they </w:t>
      </w:r>
      <w:r>
        <w:rPr>
          <w:spacing w:val="15"/>
          <w:sz w:val="22"/>
        </w:rPr>
        <w:t>operate </w:t>
      </w:r>
      <w:r>
        <w:rPr>
          <w:spacing w:val="12"/>
          <w:sz w:val="22"/>
        </w:rPr>
        <w:t>and </w:t>
      </w:r>
      <w:r>
        <w:rPr>
          <w:spacing w:val="14"/>
          <w:sz w:val="22"/>
        </w:rPr>
        <w:t>what</w:t>
      </w:r>
      <w:r>
        <w:rPr>
          <w:spacing w:val="11"/>
          <w:sz w:val="22"/>
        </w:rPr>
        <w:t> </w:t>
      </w:r>
      <w:r>
        <w:rPr>
          <w:sz w:val="22"/>
        </w:rPr>
        <w:t>is </w:t>
      </w:r>
      <w:r>
        <w:rPr>
          <w:spacing w:val="16"/>
          <w:sz w:val="22"/>
        </w:rPr>
        <w:t>expected </w:t>
      </w:r>
      <w:r>
        <w:rPr>
          <w:sz w:val="22"/>
        </w:rPr>
        <w:t>of </w:t>
      </w:r>
      <w:r>
        <w:rPr>
          <w:spacing w:val="11"/>
          <w:sz w:val="22"/>
        </w:rPr>
        <w:t>students </w:t>
      </w:r>
      <w:r>
        <w:rPr>
          <w:sz w:val="22"/>
        </w:rPr>
        <w:t>as </w:t>
      </w:r>
      <w:r>
        <w:rPr>
          <w:spacing w:val="11"/>
          <w:sz w:val="22"/>
        </w:rPr>
        <w:t>young </w:t>
      </w:r>
      <w:r>
        <w:rPr>
          <w:sz w:val="22"/>
        </w:rPr>
        <w:t>professionals. Professionals from diverse fields p</w:t>
      </w:r>
      <w:r>
        <w:rPr>
          <w:spacing w:val="-25"/>
          <w:sz w:val="22"/>
        </w:rPr>
        <w:t> </w:t>
      </w:r>
      <w:r>
        <w:rPr>
          <w:spacing w:val="9"/>
          <w:sz w:val="22"/>
        </w:rPr>
        <w:t>articip</w:t>
      </w:r>
      <w:r>
        <w:rPr>
          <w:spacing w:val="-25"/>
          <w:sz w:val="22"/>
        </w:rPr>
        <w:t> </w:t>
      </w:r>
      <w:r>
        <w:rPr>
          <w:spacing w:val="12"/>
          <w:sz w:val="22"/>
        </w:rPr>
        <w:t>ate </w:t>
      </w:r>
      <w:r>
        <w:rPr>
          <w:sz w:val="22"/>
        </w:rPr>
        <w:t>in our </w:t>
      </w:r>
      <w:r>
        <w:rPr>
          <w:spacing w:val="11"/>
          <w:sz w:val="22"/>
        </w:rPr>
        <w:t>lecture </w:t>
      </w:r>
      <w:r>
        <w:rPr>
          <w:sz w:val="22"/>
        </w:rPr>
        <w:t>series </w:t>
      </w:r>
      <w:r>
        <w:rPr>
          <w:spacing w:val="11"/>
          <w:sz w:val="22"/>
        </w:rPr>
        <w:t>showing students </w:t>
      </w:r>
      <w:r>
        <w:rPr>
          <w:spacing w:val="9"/>
          <w:sz w:val="22"/>
        </w:rPr>
        <w:t>the </w:t>
      </w:r>
      <w:r>
        <w:rPr>
          <w:spacing w:val="12"/>
          <w:sz w:val="22"/>
        </w:rPr>
        <w:t>wide </w:t>
      </w:r>
      <w:r>
        <w:rPr>
          <w:spacing w:val="14"/>
          <w:sz w:val="22"/>
        </w:rPr>
        <w:t>range </w:t>
      </w:r>
      <w:r>
        <w:rPr>
          <w:sz w:val="22"/>
        </w:rPr>
        <w:t>of </w:t>
      </w:r>
      <w:r>
        <w:rPr>
          <w:spacing w:val="12"/>
          <w:sz w:val="22"/>
        </w:rPr>
        <w:t>op</w:t>
      </w:r>
      <w:r>
        <w:rPr>
          <w:spacing w:val="-27"/>
          <w:sz w:val="22"/>
        </w:rPr>
        <w:t> </w:t>
      </w:r>
      <w:r>
        <w:rPr>
          <w:sz w:val="22"/>
        </w:rPr>
        <w:t>portunities </w:t>
      </w:r>
      <w:r>
        <w:rPr>
          <w:spacing w:val="10"/>
          <w:sz w:val="22"/>
        </w:rPr>
        <w:t>they </w:t>
      </w:r>
      <w:r>
        <w:rPr>
          <w:sz w:val="22"/>
        </w:rPr>
        <w:t>posses with</w:t>
      </w:r>
      <w:r>
        <w:rPr>
          <w:spacing w:val="10"/>
          <w:sz w:val="22"/>
        </w:rPr>
        <w:t> an </w:t>
      </w:r>
      <w:r>
        <w:rPr>
          <w:spacing w:val="12"/>
          <w:sz w:val="22"/>
        </w:rPr>
        <w:t>architecture </w:t>
      </w:r>
      <w:r>
        <w:rPr>
          <w:spacing w:val="13"/>
          <w:sz w:val="22"/>
        </w:rPr>
        <w:t>degree.</w:t>
      </w:r>
    </w:p>
    <w:p>
      <w:pPr>
        <w:pStyle w:val="BodyText"/>
        <w:spacing w:before="4"/>
        <w:rPr>
          <w:sz w:val="26"/>
        </w:rPr>
      </w:pPr>
    </w:p>
    <w:p>
      <w:pPr>
        <w:spacing w:before="1"/>
        <w:ind w:left="440" w:right="0" w:firstLine="0"/>
        <w:jc w:val="left"/>
        <w:rPr>
          <w:sz w:val="22"/>
        </w:rPr>
      </w:pPr>
      <w:r>
        <w:rPr>
          <w:b/>
          <w:w w:val="95"/>
          <w:sz w:val="22"/>
        </w:rPr>
        <w:t>SECURITY:</w:t>
      </w:r>
      <w:r>
        <w:rPr>
          <w:b/>
          <w:spacing w:val="49"/>
          <w:w w:val="150"/>
          <w:sz w:val="22"/>
        </w:rPr>
        <w:t> </w:t>
      </w:r>
      <w:r>
        <w:rPr>
          <w:w w:val="95"/>
          <w:sz w:val="22"/>
        </w:rPr>
        <w:t>The</w:t>
      </w:r>
      <w:r>
        <w:rPr>
          <w:spacing w:val="20"/>
          <w:sz w:val="22"/>
        </w:rPr>
        <w:t> </w:t>
      </w:r>
      <w:r>
        <w:rPr>
          <w:spacing w:val="10"/>
          <w:w w:val="95"/>
          <w:sz w:val="22"/>
        </w:rPr>
        <w:t>struggle</w:t>
      </w:r>
      <w:r>
        <w:rPr>
          <w:spacing w:val="34"/>
          <w:sz w:val="22"/>
        </w:rPr>
        <w:t> </w:t>
      </w:r>
      <w:r>
        <w:rPr>
          <w:spacing w:val="15"/>
          <w:w w:val="95"/>
          <w:sz w:val="22"/>
        </w:rPr>
        <w:t>between</w:t>
      </w:r>
      <w:r>
        <w:rPr>
          <w:spacing w:val="29"/>
          <w:sz w:val="22"/>
        </w:rPr>
        <w:t> </w:t>
      </w:r>
      <w:r>
        <w:rPr>
          <w:w w:val="95"/>
          <w:sz w:val="22"/>
        </w:rPr>
        <w:t>working</w:t>
      </w:r>
      <w:r>
        <w:rPr>
          <w:spacing w:val="23"/>
          <w:sz w:val="22"/>
        </w:rPr>
        <w:t> </w:t>
      </w:r>
      <w:r>
        <w:rPr>
          <w:w w:val="95"/>
          <w:sz w:val="22"/>
        </w:rPr>
        <w:t>in</w:t>
      </w:r>
      <w:r>
        <w:rPr>
          <w:spacing w:val="31"/>
          <w:sz w:val="22"/>
        </w:rPr>
        <w:t> </w:t>
      </w:r>
      <w:r>
        <w:rPr>
          <w:w w:val="95"/>
          <w:sz w:val="22"/>
        </w:rPr>
        <w:t>a</w:t>
      </w:r>
      <w:r>
        <w:rPr>
          <w:spacing w:val="50"/>
          <w:sz w:val="22"/>
        </w:rPr>
        <w:t> </w:t>
      </w:r>
      <w:r>
        <w:rPr>
          <w:spacing w:val="9"/>
          <w:w w:val="95"/>
          <w:sz w:val="22"/>
        </w:rPr>
        <w:t>building</w:t>
      </w:r>
      <w:r>
        <w:rPr>
          <w:spacing w:val="36"/>
          <w:sz w:val="22"/>
        </w:rPr>
        <w:t> </w:t>
      </w:r>
      <w:r>
        <w:rPr>
          <w:spacing w:val="15"/>
          <w:w w:val="95"/>
          <w:sz w:val="22"/>
        </w:rPr>
        <w:t>open</w:t>
      </w:r>
      <w:r>
        <w:rPr>
          <w:spacing w:val="21"/>
          <w:sz w:val="22"/>
        </w:rPr>
        <w:t> </w:t>
      </w:r>
      <w:r>
        <w:rPr>
          <w:w w:val="95"/>
          <w:sz w:val="22"/>
        </w:rPr>
        <w:t>nearly-</w:t>
      </w:r>
      <w:r>
        <w:rPr>
          <w:spacing w:val="10"/>
          <w:sz w:val="22"/>
        </w:rPr>
        <w:t> </w:t>
      </w:r>
      <w:r>
        <w:rPr>
          <w:w w:val="95"/>
          <w:sz w:val="22"/>
        </w:rPr>
        <w:t>24</w:t>
      </w:r>
      <w:r>
        <w:rPr>
          <w:spacing w:val="14"/>
          <w:sz w:val="22"/>
        </w:rPr>
        <w:t> </w:t>
      </w:r>
      <w:r>
        <w:rPr>
          <w:w w:val="95"/>
          <w:sz w:val="22"/>
        </w:rPr>
        <w:t>hrs</w:t>
      </w:r>
      <w:r>
        <w:rPr>
          <w:spacing w:val="25"/>
          <w:sz w:val="22"/>
        </w:rPr>
        <w:t> </w:t>
      </w:r>
      <w:r>
        <w:rPr>
          <w:spacing w:val="8"/>
          <w:w w:val="95"/>
          <w:sz w:val="22"/>
        </w:rPr>
        <w:t>and</w:t>
      </w:r>
    </w:p>
    <w:p>
      <w:pPr>
        <w:spacing w:line="295" w:lineRule="auto" w:before="56"/>
        <w:ind w:left="441" w:right="1003" w:firstLine="11"/>
        <w:jc w:val="left"/>
        <w:rPr>
          <w:sz w:val="22"/>
        </w:rPr>
      </w:pPr>
      <w:r>
        <w:rPr>
          <w:spacing w:val="11"/>
          <w:sz w:val="22"/>
        </w:rPr>
        <w:t>maintaining </w:t>
      </w:r>
      <w:r>
        <w:rPr>
          <w:sz w:val="22"/>
        </w:rPr>
        <w:t>a </w:t>
      </w:r>
      <w:r>
        <w:rPr>
          <w:spacing w:val="11"/>
          <w:sz w:val="22"/>
        </w:rPr>
        <w:t>safe </w:t>
      </w:r>
      <w:r>
        <w:rPr>
          <w:spacing w:val="10"/>
          <w:sz w:val="22"/>
        </w:rPr>
        <w:t>environment</w:t>
      </w:r>
      <w:r>
        <w:rPr>
          <w:spacing w:val="1"/>
          <w:sz w:val="22"/>
        </w:rPr>
        <w:t> </w:t>
      </w:r>
      <w:r>
        <w:rPr>
          <w:sz w:val="22"/>
        </w:rPr>
        <w:t>is </w:t>
      </w:r>
      <w:r>
        <w:rPr>
          <w:spacing w:val="12"/>
          <w:sz w:val="22"/>
        </w:rPr>
        <w:t>ongoing.</w:t>
      </w:r>
      <w:r>
        <w:rPr>
          <w:spacing w:val="40"/>
          <w:sz w:val="22"/>
        </w:rPr>
        <w:t> </w:t>
      </w:r>
      <w:r>
        <w:rPr>
          <w:sz w:val="22"/>
        </w:rPr>
        <w:t>It</w:t>
      </w:r>
      <w:r>
        <w:rPr>
          <w:spacing w:val="-2"/>
          <w:sz w:val="22"/>
        </w:rPr>
        <w:t> </w:t>
      </w:r>
      <w:r>
        <w:rPr>
          <w:sz w:val="22"/>
        </w:rPr>
        <w:t>is</w:t>
      </w:r>
      <w:r>
        <w:rPr>
          <w:spacing w:val="-5"/>
          <w:sz w:val="22"/>
        </w:rPr>
        <w:t> </w:t>
      </w:r>
      <w:r>
        <w:rPr>
          <w:spacing w:val="12"/>
          <w:sz w:val="22"/>
        </w:rPr>
        <w:t>imperative</w:t>
      </w:r>
      <w:r>
        <w:rPr>
          <w:spacing w:val="11"/>
          <w:sz w:val="22"/>
        </w:rPr>
        <w:t> </w:t>
      </w:r>
      <w:r>
        <w:rPr>
          <w:spacing w:val="13"/>
          <w:sz w:val="22"/>
        </w:rPr>
        <w:t>that </w:t>
      </w:r>
      <w:r>
        <w:rPr>
          <w:sz w:val="22"/>
        </w:rPr>
        <w:t>as a </w:t>
      </w:r>
      <w:r>
        <w:rPr>
          <w:spacing w:val="16"/>
          <w:sz w:val="22"/>
        </w:rPr>
        <w:t>dep</w:t>
      </w:r>
      <w:r>
        <w:rPr>
          <w:spacing w:val="-33"/>
          <w:sz w:val="22"/>
        </w:rPr>
        <w:t> </w:t>
      </w:r>
      <w:r>
        <w:rPr>
          <w:spacing w:val="12"/>
          <w:sz w:val="22"/>
        </w:rPr>
        <w:t>artment </w:t>
      </w:r>
      <w:r>
        <w:rPr>
          <w:spacing w:val="10"/>
          <w:sz w:val="22"/>
        </w:rPr>
        <w:t>we </w:t>
      </w:r>
      <w:r>
        <w:rPr>
          <w:sz w:val="22"/>
        </w:rPr>
        <w:t>are</w:t>
      </w:r>
      <w:r>
        <w:rPr>
          <w:spacing w:val="26"/>
          <w:sz w:val="22"/>
        </w:rPr>
        <w:t> </w:t>
      </w:r>
      <w:r>
        <w:rPr>
          <w:sz w:val="22"/>
        </w:rPr>
        <w:t>alert </w:t>
      </w:r>
      <w:r>
        <w:rPr>
          <w:spacing w:val="13"/>
          <w:sz w:val="22"/>
        </w:rPr>
        <w:t>and </w:t>
      </w:r>
      <w:r>
        <w:rPr>
          <w:spacing w:val="18"/>
          <w:sz w:val="22"/>
        </w:rPr>
        <w:t>watch</w:t>
      </w:r>
      <w:r>
        <w:rPr>
          <w:spacing w:val="17"/>
          <w:sz w:val="22"/>
        </w:rPr>
        <w:t> </w:t>
      </w:r>
      <w:r>
        <w:rPr>
          <w:sz w:val="22"/>
        </w:rPr>
        <w:t>out for </w:t>
      </w:r>
      <w:r>
        <w:rPr>
          <w:spacing w:val="12"/>
          <w:sz w:val="22"/>
        </w:rPr>
        <w:t>ea</w:t>
      </w:r>
      <w:r>
        <w:rPr>
          <w:spacing w:val="-32"/>
          <w:sz w:val="22"/>
        </w:rPr>
        <w:t> </w:t>
      </w:r>
      <w:r>
        <w:rPr>
          <w:spacing w:val="11"/>
          <w:sz w:val="22"/>
        </w:rPr>
        <w:t>ch other </w:t>
      </w:r>
      <w:r>
        <w:rPr>
          <w:spacing w:val="13"/>
          <w:sz w:val="22"/>
        </w:rPr>
        <w:t>and </w:t>
      </w:r>
      <w:r>
        <w:rPr>
          <w:sz w:val="22"/>
        </w:rPr>
        <w:t>our </w:t>
      </w:r>
      <w:r>
        <w:rPr>
          <w:spacing w:val="11"/>
          <w:sz w:val="22"/>
        </w:rPr>
        <w:t>personal belongings.</w:t>
      </w:r>
      <w:r>
        <w:rPr>
          <w:spacing w:val="9"/>
          <w:sz w:val="22"/>
        </w:rPr>
        <w:t> </w:t>
      </w:r>
      <w:r>
        <w:rPr>
          <w:sz w:val="22"/>
        </w:rPr>
        <w:t>All doors </w:t>
      </w:r>
      <w:r>
        <w:rPr>
          <w:spacing w:val="9"/>
          <w:sz w:val="22"/>
        </w:rPr>
        <w:t>should </w:t>
      </w:r>
      <w:r>
        <w:rPr>
          <w:spacing w:val="12"/>
          <w:sz w:val="22"/>
        </w:rPr>
        <w:t>be </w:t>
      </w:r>
      <w:r>
        <w:rPr>
          <w:spacing w:val="14"/>
          <w:sz w:val="22"/>
        </w:rPr>
        <w:t>locked </w:t>
      </w:r>
      <w:r>
        <w:rPr>
          <w:spacing w:val="10"/>
          <w:sz w:val="22"/>
        </w:rPr>
        <w:t>after</w:t>
      </w:r>
      <w:r>
        <w:rPr>
          <w:spacing w:val="9"/>
          <w:sz w:val="22"/>
        </w:rPr>
        <w:t> </w:t>
      </w:r>
      <w:r>
        <w:rPr>
          <w:sz w:val="22"/>
        </w:rPr>
        <w:t>five </w:t>
      </w:r>
      <w:r>
        <w:rPr>
          <w:spacing w:val="12"/>
          <w:sz w:val="22"/>
        </w:rPr>
        <w:t>o’ </w:t>
      </w:r>
      <w:r>
        <w:rPr>
          <w:spacing w:val="11"/>
          <w:sz w:val="22"/>
        </w:rPr>
        <w:t>clock. </w:t>
      </w:r>
      <w:r>
        <w:rPr>
          <w:spacing w:val="9"/>
          <w:sz w:val="22"/>
        </w:rPr>
        <w:t>Ac</w:t>
      </w:r>
      <w:r>
        <w:rPr>
          <w:spacing w:val="-25"/>
          <w:sz w:val="22"/>
        </w:rPr>
        <w:t> </w:t>
      </w:r>
      <w:r>
        <w:rPr>
          <w:sz w:val="22"/>
        </w:rPr>
        <w:t>c</w:t>
      </w:r>
      <w:r>
        <w:rPr>
          <w:spacing w:val="-32"/>
          <w:sz w:val="22"/>
        </w:rPr>
        <w:t> </w:t>
      </w:r>
      <w:r>
        <w:rPr>
          <w:sz w:val="22"/>
        </w:rPr>
        <w:t>ess to Bemis </w:t>
      </w:r>
      <w:r>
        <w:rPr>
          <w:spacing w:val="12"/>
          <w:sz w:val="22"/>
        </w:rPr>
        <w:t>Laboratory</w:t>
      </w:r>
      <w:r>
        <w:rPr>
          <w:spacing w:val="7"/>
          <w:sz w:val="22"/>
        </w:rPr>
        <w:t> </w:t>
      </w:r>
      <w:r>
        <w:rPr>
          <w:sz w:val="22"/>
        </w:rPr>
        <w:t>is </w:t>
      </w:r>
      <w:r>
        <w:rPr>
          <w:spacing w:val="14"/>
          <w:sz w:val="22"/>
        </w:rPr>
        <w:t>granted </w:t>
      </w:r>
      <w:r>
        <w:rPr>
          <w:sz w:val="22"/>
        </w:rPr>
        <w:t>to </w:t>
      </w:r>
      <w:r>
        <w:rPr>
          <w:spacing w:val="12"/>
          <w:sz w:val="22"/>
        </w:rPr>
        <w:t>Architecture </w:t>
      </w:r>
      <w:r>
        <w:rPr>
          <w:spacing w:val="11"/>
          <w:sz w:val="22"/>
        </w:rPr>
        <w:t>students through </w:t>
      </w:r>
      <w:r>
        <w:rPr>
          <w:spacing w:val="9"/>
          <w:sz w:val="22"/>
        </w:rPr>
        <w:t>the </w:t>
      </w:r>
      <w:r>
        <w:rPr>
          <w:sz w:val="22"/>
        </w:rPr>
        <w:t>use of their </w:t>
      </w:r>
      <w:r>
        <w:rPr>
          <w:spacing w:val="12"/>
          <w:sz w:val="22"/>
        </w:rPr>
        <w:t>student </w:t>
      </w:r>
      <w:r>
        <w:rPr>
          <w:sz w:val="22"/>
        </w:rPr>
        <w:t>ID c</w:t>
      </w:r>
      <w:r>
        <w:rPr>
          <w:spacing w:val="-27"/>
          <w:sz w:val="22"/>
        </w:rPr>
        <w:t> </w:t>
      </w:r>
      <w:r>
        <w:rPr>
          <w:sz w:val="22"/>
        </w:rPr>
        <w:t>ards.</w:t>
      </w:r>
    </w:p>
    <w:p>
      <w:pPr>
        <w:pStyle w:val="BodyText"/>
        <w:spacing w:before="9"/>
        <w:rPr>
          <w:sz w:val="26"/>
        </w:rPr>
      </w:pPr>
    </w:p>
    <w:p>
      <w:pPr>
        <w:spacing w:before="0"/>
        <w:ind w:left="441" w:right="0" w:firstLine="0"/>
        <w:jc w:val="left"/>
        <w:rPr>
          <w:sz w:val="22"/>
        </w:rPr>
      </w:pPr>
      <w:r>
        <w:rPr>
          <w:sz w:val="22"/>
        </w:rPr>
        <w:t>Bemis</w:t>
      </w:r>
      <w:r>
        <w:rPr>
          <w:spacing w:val="-10"/>
          <w:sz w:val="22"/>
        </w:rPr>
        <w:t> </w:t>
      </w:r>
      <w:r>
        <w:rPr>
          <w:sz w:val="22"/>
        </w:rPr>
        <w:t>La</w:t>
      </w:r>
      <w:r>
        <w:rPr>
          <w:spacing w:val="-33"/>
          <w:sz w:val="22"/>
        </w:rPr>
        <w:t> </w:t>
      </w:r>
      <w:r>
        <w:rPr>
          <w:spacing w:val="12"/>
          <w:sz w:val="22"/>
        </w:rPr>
        <w:t>boratory</w:t>
      </w:r>
      <w:r>
        <w:rPr>
          <w:spacing w:val="-5"/>
          <w:sz w:val="22"/>
        </w:rPr>
        <w:t> </w:t>
      </w:r>
      <w:r>
        <w:rPr>
          <w:sz w:val="22"/>
        </w:rPr>
        <w:t>is</w:t>
      </w:r>
      <w:r>
        <w:rPr>
          <w:spacing w:val="6"/>
          <w:sz w:val="22"/>
        </w:rPr>
        <w:t> </w:t>
      </w:r>
      <w:r>
        <w:rPr>
          <w:sz w:val="22"/>
        </w:rPr>
        <w:t>a</w:t>
      </w:r>
      <w:r>
        <w:rPr>
          <w:spacing w:val="16"/>
          <w:sz w:val="22"/>
        </w:rPr>
        <w:t> </w:t>
      </w:r>
      <w:r>
        <w:rPr>
          <w:sz w:val="22"/>
        </w:rPr>
        <w:t>working</w:t>
      </w:r>
      <w:r>
        <w:rPr>
          <w:spacing w:val="13"/>
          <w:sz w:val="22"/>
        </w:rPr>
        <w:t> </w:t>
      </w:r>
      <w:r>
        <w:rPr>
          <w:spacing w:val="11"/>
          <w:sz w:val="22"/>
        </w:rPr>
        <w:t>environment </w:t>
      </w:r>
      <w:r>
        <w:rPr>
          <w:spacing w:val="12"/>
          <w:sz w:val="22"/>
        </w:rPr>
        <w:t>and</w:t>
      </w:r>
      <w:r>
        <w:rPr>
          <w:spacing w:val="6"/>
          <w:sz w:val="22"/>
        </w:rPr>
        <w:t> </w:t>
      </w:r>
      <w:r>
        <w:rPr>
          <w:spacing w:val="9"/>
          <w:sz w:val="22"/>
        </w:rPr>
        <w:t>should</w:t>
      </w:r>
      <w:r>
        <w:rPr>
          <w:spacing w:val="18"/>
          <w:sz w:val="22"/>
        </w:rPr>
        <w:t> </w:t>
      </w:r>
      <w:r>
        <w:rPr>
          <w:spacing w:val="12"/>
          <w:sz w:val="22"/>
        </w:rPr>
        <w:t>be</w:t>
      </w:r>
      <w:r>
        <w:rPr>
          <w:spacing w:val="2"/>
          <w:sz w:val="22"/>
        </w:rPr>
        <w:t> </w:t>
      </w:r>
      <w:r>
        <w:rPr>
          <w:spacing w:val="15"/>
          <w:sz w:val="22"/>
        </w:rPr>
        <w:t>respected</w:t>
      </w:r>
      <w:r>
        <w:rPr>
          <w:spacing w:val="18"/>
          <w:sz w:val="22"/>
        </w:rPr>
        <w:t> </w:t>
      </w:r>
      <w:r>
        <w:rPr>
          <w:sz w:val="22"/>
        </w:rPr>
        <w:t>as</w:t>
      </w:r>
      <w:r>
        <w:rPr>
          <w:spacing w:val="-7"/>
          <w:sz w:val="22"/>
        </w:rPr>
        <w:t> </w:t>
      </w:r>
      <w:r>
        <w:rPr>
          <w:spacing w:val="12"/>
          <w:sz w:val="22"/>
        </w:rPr>
        <w:t>such</w:t>
      </w:r>
      <w:r>
        <w:rPr>
          <w:spacing w:val="10"/>
          <w:sz w:val="22"/>
        </w:rPr>
        <w:t> </w:t>
      </w:r>
      <w:r>
        <w:rPr>
          <w:sz w:val="22"/>
        </w:rPr>
        <w:t>by</w:t>
      </w:r>
      <w:r>
        <w:rPr>
          <w:spacing w:val="-5"/>
          <w:sz w:val="22"/>
        </w:rPr>
        <w:t> its</w:t>
      </w:r>
    </w:p>
    <w:p>
      <w:pPr>
        <w:spacing w:line="292" w:lineRule="auto" w:before="57"/>
        <w:ind w:left="455" w:right="642" w:hanging="7"/>
        <w:jc w:val="left"/>
        <w:rPr>
          <w:sz w:val="22"/>
        </w:rPr>
      </w:pPr>
      <w:r>
        <w:rPr>
          <w:spacing w:val="12"/>
          <w:sz w:val="22"/>
        </w:rPr>
        <w:t>Architecture</w:t>
      </w:r>
      <w:r>
        <w:rPr>
          <w:spacing w:val="-13"/>
          <w:sz w:val="22"/>
        </w:rPr>
        <w:t> </w:t>
      </w:r>
      <w:r>
        <w:rPr>
          <w:spacing w:val="11"/>
          <w:sz w:val="22"/>
        </w:rPr>
        <w:t>students</w:t>
      </w:r>
      <w:r>
        <w:rPr>
          <w:spacing w:val="-5"/>
          <w:sz w:val="22"/>
        </w:rPr>
        <w:t> </w:t>
      </w:r>
      <w:r>
        <w:rPr>
          <w:spacing w:val="13"/>
          <w:sz w:val="22"/>
        </w:rPr>
        <w:t>and</w:t>
      </w:r>
      <w:r>
        <w:rPr>
          <w:spacing w:val="2"/>
          <w:sz w:val="22"/>
        </w:rPr>
        <w:t> </w:t>
      </w:r>
      <w:r>
        <w:rPr>
          <w:spacing w:val="9"/>
          <w:sz w:val="22"/>
        </w:rPr>
        <w:t>non-</w:t>
      </w:r>
      <w:r>
        <w:rPr>
          <w:spacing w:val="-2"/>
          <w:sz w:val="22"/>
        </w:rPr>
        <w:t> </w:t>
      </w:r>
      <w:r>
        <w:rPr>
          <w:spacing w:val="12"/>
          <w:sz w:val="22"/>
        </w:rPr>
        <w:t>architecture</w:t>
      </w:r>
      <w:r>
        <w:rPr>
          <w:spacing w:val="-8"/>
          <w:sz w:val="22"/>
        </w:rPr>
        <w:t> </w:t>
      </w:r>
      <w:r>
        <w:rPr>
          <w:spacing w:val="11"/>
          <w:sz w:val="22"/>
        </w:rPr>
        <w:t>students</w:t>
      </w:r>
      <w:r>
        <w:rPr>
          <w:spacing w:val="-3"/>
          <w:sz w:val="22"/>
        </w:rPr>
        <w:t> </w:t>
      </w:r>
      <w:r>
        <w:rPr>
          <w:sz w:val="22"/>
        </w:rPr>
        <w:t>alike.</w:t>
      </w:r>
      <w:r>
        <w:rPr>
          <w:spacing w:val="30"/>
          <w:sz w:val="22"/>
        </w:rPr>
        <w:t> </w:t>
      </w:r>
      <w:r>
        <w:rPr>
          <w:sz w:val="22"/>
        </w:rPr>
        <w:t>It</w:t>
      </w:r>
      <w:r>
        <w:rPr>
          <w:spacing w:val="-12"/>
          <w:sz w:val="22"/>
        </w:rPr>
        <w:t> </w:t>
      </w:r>
      <w:r>
        <w:rPr>
          <w:sz w:val="22"/>
        </w:rPr>
        <w:t>is</w:t>
      </w:r>
      <w:r>
        <w:rPr>
          <w:spacing w:val="-14"/>
          <w:sz w:val="22"/>
        </w:rPr>
        <w:t> </w:t>
      </w:r>
      <w:r>
        <w:rPr>
          <w:spacing w:val="13"/>
          <w:sz w:val="22"/>
        </w:rPr>
        <w:t>suggested</w:t>
      </w:r>
      <w:r>
        <w:rPr>
          <w:spacing w:val="2"/>
          <w:sz w:val="22"/>
        </w:rPr>
        <w:t> </w:t>
      </w:r>
      <w:r>
        <w:rPr>
          <w:spacing w:val="13"/>
          <w:sz w:val="22"/>
        </w:rPr>
        <w:t>that</w:t>
      </w:r>
      <w:r>
        <w:rPr>
          <w:spacing w:val="5"/>
          <w:sz w:val="22"/>
        </w:rPr>
        <w:t> </w:t>
      </w:r>
      <w:r>
        <w:rPr>
          <w:sz w:val="22"/>
        </w:rPr>
        <w:t>“</w:t>
      </w:r>
      <w:r>
        <w:rPr>
          <w:spacing w:val="-30"/>
          <w:sz w:val="22"/>
        </w:rPr>
        <w:t> </w:t>
      </w:r>
      <w:r>
        <w:rPr>
          <w:spacing w:val="10"/>
          <w:sz w:val="22"/>
        </w:rPr>
        <w:t>guests” </w:t>
      </w:r>
      <w:r>
        <w:rPr>
          <w:sz w:val="22"/>
        </w:rPr>
        <w:t>are</w:t>
      </w:r>
      <w:r>
        <w:rPr>
          <w:spacing w:val="11"/>
          <w:sz w:val="22"/>
        </w:rPr>
        <w:t> prohibited </w:t>
      </w:r>
      <w:r>
        <w:rPr>
          <w:sz w:val="22"/>
        </w:rPr>
        <w:t>from Bemis La</w:t>
      </w:r>
      <w:r>
        <w:rPr>
          <w:spacing w:val="-28"/>
          <w:sz w:val="22"/>
        </w:rPr>
        <w:t> </w:t>
      </w:r>
      <w:r>
        <w:rPr>
          <w:spacing w:val="12"/>
          <w:sz w:val="22"/>
        </w:rPr>
        <w:t>boratory </w:t>
      </w:r>
      <w:r>
        <w:rPr>
          <w:spacing w:val="10"/>
          <w:sz w:val="22"/>
        </w:rPr>
        <w:t>after </w:t>
      </w:r>
      <w:r>
        <w:rPr>
          <w:sz w:val="22"/>
        </w:rPr>
        <w:t>hours unless </w:t>
      </w:r>
      <w:r>
        <w:rPr>
          <w:spacing w:val="10"/>
          <w:sz w:val="22"/>
        </w:rPr>
        <w:t>they </w:t>
      </w:r>
      <w:r>
        <w:rPr>
          <w:spacing w:val="13"/>
          <w:sz w:val="22"/>
        </w:rPr>
        <w:t>have </w:t>
      </w:r>
      <w:r>
        <w:rPr>
          <w:spacing w:val="10"/>
          <w:sz w:val="22"/>
        </w:rPr>
        <w:t>an official</w:t>
      </w:r>
    </w:p>
    <w:p>
      <w:pPr>
        <w:spacing w:line="295" w:lineRule="auto" w:before="2"/>
        <w:ind w:left="455" w:right="1381" w:firstLine="0"/>
        <w:jc w:val="left"/>
        <w:rPr>
          <w:sz w:val="22"/>
        </w:rPr>
      </w:pPr>
      <w:r>
        <w:rPr>
          <w:spacing w:val="12"/>
          <w:sz w:val="22"/>
        </w:rPr>
        <w:t>architecture</w:t>
      </w:r>
      <w:r>
        <w:rPr>
          <w:spacing w:val="8"/>
          <w:sz w:val="22"/>
        </w:rPr>
        <w:t> </w:t>
      </w:r>
      <w:r>
        <w:rPr>
          <w:spacing w:val="13"/>
          <w:sz w:val="22"/>
        </w:rPr>
        <w:t>related </w:t>
      </w:r>
      <w:r>
        <w:rPr>
          <w:spacing w:val="11"/>
          <w:sz w:val="22"/>
        </w:rPr>
        <w:t>matter.</w:t>
      </w:r>
      <w:r>
        <w:rPr>
          <w:spacing w:val="40"/>
          <w:sz w:val="22"/>
        </w:rPr>
        <w:t> </w:t>
      </w:r>
      <w:r>
        <w:rPr>
          <w:sz w:val="22"/>
        </w:rPr>
        <w:t>Visitation </w:t>
      </w:r>
      <w:r>
        <w:rPr>
          <w:spacing w:val="9"/>
          <w:sz w:val="22"/>
        </w:rPr>
        <w:t>should </w:t>
      </w:r>
      <w:r>
        <w:rPr>
          <w:spacing w:val="12"/>
          <w:sz w:val="22"/>
        </w:rPr>
        <w:t>be permitted </w:t>
      </w:r>
      <w:r>
        <w:rPr>
          <w:sz w:val="22"/>
        </w:rPr>
        <w:t>only </w:t>
      </w:r>
      <w:r>
        <w:rPr>
          <w:spacing w:val="11"/>
          <w:sz w:val="22"/>
        </w:rPr>
        <w:t>when</w:t>
      </w:r>
      <w:r>
        <w:rPr>
          <w:spacing w:val="10"/>
          <w:sz w:val="22"/>
        </w:rPr>
        <w:t> </w:t>
      </w:r>
      <w:r>
        <w:rPr>
          <w:spacing w:val="9"/>
          <w:sz w:val="22"/>
        </w:rPr>
        <w:t>the </w:t>
      </w:r>
      <w:r>
        <w:rPr>
          <w:sz w:val="22"/>
        </w:rPr>
        <w:t>visitor</w:t>
      </w:r>
      <w:r>
        <w:rPr>
          <w:spacing w:val="-2"/>
          <w:sz w:val="22"/>
        </w:rPr>
        <w:t> </w:t>
      </w:r>
      <w:r>
        <w:rPr>
          <w:sz w:val="22"/>
        </w:rPr>
        <w:t>is a</w:t>
      </w:r>
      <w:r>
        <w:rPr>
          <w:spacing w:val="-27"/>
          <w:sz w:val="22"/>
        </w:rPr>
        <w:t> </w:t>
      </w:r>
      <w:r>
        <w:rPr>
          <w:sz w:val="22"/>
        </w:rPr>
        <w:t>c</w:t>
      </w:r>
      <w:r>
        <w:rPr>
          <w:spacing w:val="-26"/>
          <w:sz w:val="22"/>
        </w:rPr>
        <w:t> </w:t>
      </w:r>
      <w:r>
        <w:rPr>
          <w:sz w:val="22"/>
        </w:rPr>
        <w:t>c</w:t>
      </w:r>
      <w:r>
        <w:rPr>
          <w:spacing w:val="-29"/>
          <w:sz w:val="22"/>
        </w:rPr>
        <w:t> </w:t>
      </w:r>
      <w:r>
        <w:rPr>
          <w:spacing w:val="16"/>
          <w:sz w:val="22"/>
        </w:rPr>
        <w:t>ompanied </w:t>
      </w:r>
      <w:r>
        <w:rPr>
          <w:sz w:val="22"/>
        </w:rPr>
        <w:t>by </w:t>
      </w:r>
      <w:r>
        <w:rPr>
          <w:spacing w:val="10"/>
          <w:sz w:val="22"/>
        </w:rPr>
        <w:t>an </w:t>
      </w:r>
      <w:r>
        <w:rPr>
          <w:spacing w:val="12"/>
          <w:sz w:val="22"/>
        </w:rPr>
        <w:t>architecture student </w:t>
      </w:r>
      <w:r>
        <w:rPr>
          <w:sz w:val="22"/>
        </w:rPr>
        <w:t>or fa</w:t>
      </w:r>
      <w:r>
        <w:rPr>
          <w:spacing w:val="-27"/>
          <w:sz w:val="22"/>
        </w:rPr>
        <w:t> </w:t>
      </w:r>
      <w:r>
        <w:rPr>
          <w:sz w:val="22"/>
        </w:rPr>
        <w:t>culty </w:t>
      </w:r>
      <w:r>
        <w:rPr>
          <w:spacing w:val="14"/>
          <w:sz w:val="22"/>
        </w:rPr>
        <w:t>member, </w:t>
      </w:r>
      <w:r>
        <w:rPr>
          <w:spacing w:val="13"/>
          <w:sz w:val="22"/>
        </w:rPr>
        <w:t>and </w:t>
      </w:r>
      <w:r>
        <w:rPr>
          <w:sz w:val="22"/>
        </w:rPr>
        <w:t>is for a </w:t>
      </w:r>
      <w:r>
        <w:rPr>
          <w:spacing w:val="9"/>
          <w:sz w:val="22"/>
        </w:rPr>
        <w:t>limited </w:t>
      </w:r>
      <w:r>
        <w:rPr>
          <w:spacing w:val="14"/>
          <w:sz w:val="22"/>
        </w:rPr>
        <w:t>amount </w:t>
      </w:r>
      <w:r>
        <w:rPr>
          <w:sz w:val="22"/>
        </w:rPr>
        <w:t>of </w:t>
      </w:r>
      <w:r>
        <w:rPr>
          <w:spacing w:val="10"/>
          <w:sz w:val="22"/>
        </w:rPr>
        <w:t>time </w:t>
      </w:r>
      <w:r>
        <w:rPr>
          <w:spacing w:val="13"/>
          <w:sz w:val="22"/>
        </w:rPr>
        <w:t>and </w:t>
      </w:r>
      <w:r>
        <w:rPr>
          <w:sz w:val="22"/>
        </w:rPr>
        <w:t>as </w:t>
      </w:r>
      <w:r>
        <w:rPr>
          <w:spacing w:val="11"/>
          <w:sz w:val="22"/>
        </w:rPr>
        <w:t>long </w:t>
      </w:r>
      <w:r>
        <w:rPr>
          <w:sz w:val="22"/>
        </w:rPr>
        <w:t>as </w:t>
      </w:r>
      <w:r>
        <w:rPr>
          <w:spacing w:val="10"/>
          <w:sz w:val="22"/>
        </w:rPr>
        <w:t>they </w:t>
      </w:r>
      <w:r>
        <w:rPr>
          <w:spacing w:val="12"/>
          <w:sz w:val="22"/>
        </w:rPr>
        <w:t>do </w:t>
      </w:r>
      <w:r>
        <w:rPr>
          <w:sz w:val="22"/>
        </w:rPr>
        <w:t>so in a </w:t>
      </w:r>
      <w:r>
        <w:rPr>
          <w:spacing w:val="12"/>
          <w:sz w:val="22"/>
        </w:rPr>
        <w:t>respectful </w:t>
      </w:r>
      <w:r>
        <w:rPr>
          <w:spacing w:val="11"/>
          <w:sz w:val="22"/>
        </w:rPr>
        <w:t>manner.</w:t>
      </w:r>
    </w:p>
    <w:p>
      <w:pPr>
        <w:pStyle w:val="BodyText"/>
        <w:spacing w:before="8"/>
        <w:rPr>
          <w:sz w:val="26"/>
        </w:rPr>
      </w:pPr>
    </w:p>
    <w:p>
      <w:pPr>
        <w:spacing w:line="295" w:lineRule="auto" w:before="0"/>
        <w:ind w:left="441" w:right="972" w:hanging="1"/>
        <w:jc w:val="both"/>
        <w:rPr>
          <w:sz w:val="22"/>
        </w:rPr>
      </w:pPr>
      <w:r>
        <w:rPr>
          <w:sz w:val="22"/>
        </w:rPr>
        <w:t>The William H. </w:t>
      </w:r>
      <w:r>
        <w:rPr>
          <w:spacing w:val="10"/>
          <w:sz w:val="22"/>
        </w:rPr>
        <w:t>Moses</w:t>
      </w:r>
      <w:r>
        <w:rPr>
          <w:spacing w:val="-3"/>
          <w:sz w:val="22"/>
        </w:rPr>
        <w:t> </w:t>
      </w:r>
      <w:r>
        <w:rPr>
          <w:sz w:val="22"/>
        </w:rPr>
        <w:t>Jr.</w:t>
      </w:r>
      <w:r>
        <w:rPr>
          <w:spacing w:val="-5"/>
          <w:sz w:val="22"/>
        </w:rPr>
        <w:t> </w:t>
      </w:r>
      <w:r>
        <w:rPr>
          <w:sz w:val="22"/>
        </w:rPr>
        <w:t>Library </w:t>
      </w:r>
      <w:r>
        <w:rPr>
          <w:spacing w:val="14"/>
          <w:sz w:val="22"/>
        </w:rPr>
        <w:t>equipment </w:t>
      </w:r>
      <w:r>
        <w:rPr>
          <w:spacing w:val="12"/>
          <w:sz w:val="22"/>
        </w:rPr>
        <w:t>and </w:t>
      </w:r>
      <w:r>
        <w:rPr>
          <w:spacing w:val="11"/>
          <w:sz w:val="22"/>
        </w:rPr>
        <w:t>other</w:t>
      </w:r>
      <w:r>
        <w:rPr>
          <w:spacing w:val="7"/>
          <w:sz w:val="22"/>
        </w:rPr>
        <w:t> </w:t>
      </w:r>
      <w:r>
        <w:rPr>
          <w:spacing w:val="14"/>
          <w:sz w:val="22"/>
        </w:rPr>
        <w:t>equipment </w:t>
      </w:r>
      <w:r>
        <w:rPr>
          <w:spacing w:val="12"/>
          <w:sz w:val="22"/>
        </w:rPr>
        <w:t>and </w:t>
      </w:r>
      <w:r>
        <w:rPr>
          <w:sz w:val="22"/>
        </w:rPr>
        <w:t>utilities of Bemis </w:t>
      </w:r>
      <w:r>
        <w:rPr>
          <w:spacing w:val="12"/>
          <w:sz w:val="22"/>
        </w:rPr>
        <w:t>Laboratory</w:t>
      </w:r>
      <w:r>
        <w:rPr>
          <w:spacing w:val="4"/>
          <w:sz w:val="22"/>
        </w:rPr>
        <w:t> </w:t>
      </w:r>
      <w:r>
        <w:rPr>
          <w:sz w:val="22"/>
        </w:rPr>
        <w:t>are for </w:t>
      </w:r>
      <w:r>
        <w:rPr>
          <w:spacing w:val="9"/>
          <w:sz w:val="22"/>
        </w:rPr>
        <w:t>the </w:t>
      </w:r>
      <w:r>
        <w:rPr>
          <w:sz w:val="22"/>
        </w:rPr>
        <w:t>use of </w:t>
      </w:r>
      <w:r>
        <w:rPr>
          <w:spacing w:val="12"/>
          <w:sz w:val="22"/>
        </w:rPr>
        <w:t>Architecture </w:t>
      </w:r>
      <w:r>
        <w:rPr>
          <w:spacing w:val="11"/>
          <w:sz w:val="22"/>
        </w:rPr>
        <w:t>students </w:t>
      </w:r>
      <w:r>
        <w:rPr>
          <w:spacing w:val="13"/>
          <w:sz w:val="22"/>
        </w:rPr>
        <w:t>and </w:t>
      </w:r>
      <w:r>
        <w:rPr>
          <w:sz w:val="22"/>
        </w:rPr>
        <w:t>fa</w:t>
      </w:r>
      <w:r>
        <w:rPr>
          <w:spacing w:val="-16"/>
          <w:sz w:val="22"/>
        </w:rPr>
        <w:t> </w:t>
      </w:r>
      <w:r>
        <w:rPr>
          <w:sz w:val="22"/>
        </w:rPr>
        <w:t>culty only, unless </w:t>
      </w:r>
      <w:r>
        <w:rPr>
          <w:spacing w:val="9"/>
          <w:sz w:val="22"/>
        </w:rPr>
        <w:t>otherwise </w:t>
      </w:r>
      <w:r>
        <w:rPr>
          <w:spacing w:val="10"/>
          <w:sz w:val="22"/>
        </w:rPr>
        <w:t>authorized</w:t>
      </w:r>
      <w:r>
        <w:rPr>
          <w:spacing w:val="-3"/>
          <w:sz w:val="22"/>
        </w:rPr>
        <w:t> </w:t>
      </w:r>
      <w:r>
        <w:rPr>
          <w:sz w:val="22"/>
        </w:rPr>
        <w:t>by </w:t>
      </w:r>
      <w:r>
        <w:rPr>
          <w:spacing w:val="9"/>
          <w:sz w:val="22"/>
        </w:rPr>
        <w:t>the </w:t>
      </w:r>
      <w:r>
        <w:rPr>
          <w:sz w:val="22"/>
        </w:rPr>
        <w:t>fa</w:t>
      </w:r>
      <w:r>
        <w:rPr>
          <w:spacing w:val="-16"/>
          <w:sz w:val="22"/>
        </w:rPr>
        <w:t> </w:t>
      </w:r>
      <w:r>
        <w:rPr>
          <w:sz w:val="22"/>
        </w:rPr>
        <w:t>culty.</w:t>
      </w:r>
      <w:r>
        <w:rPr>
          <w:spacing w:val="40"/>
          <w:sz w:val="22"/>
        </w:rPr>
        <w:t> </w:t>
      </w:r>
      <w:r>
        <w:rPr>
          <w:sz w:val="22"/>
        </w:rPr>
        <w:t>Bemis</w:t>
      </w:r>
      <w:r>
        <w:rPr>
          <w:spacing w:val="-1"/>
          <w:sz w:val="22"/>
        </w:rPr>
        <w:t> </w:t>
      </w:r>
      <w:r>
        <w:rPr>
          <w:spacing w:val="11"/>
          <w:sz w:val="22"/>
        </w:rPr>
        <w:t>Lawn, </w:t>
      </w:r>
      <w:r>
        <w:rPr>
          <w:sz w:val="22"/>
        </w:rPr>
        <w:t>as</w:t>
      </w:r>
      <w:r>
        <w:rPr>
          <w:spacing w:val="-1"/>
          <w:sz w:val="22"/>
        </w:rPr>
        <w:t> </w:t>
      </w:r>
      <w:r>
        <w:rPr>
          <w:sz w:val="22"/>
        </w:rPr>
        <w:t>it is a fa</w:t>
      </w:r>
      <w:r>
        <w:rPr>
          <w:spacing w:val="-16"/>
          <w:sz w:val="22"/>
        </w:rPr>
        <w:t> </w:t>
      </w:r>
      <w:r>
        <w:rPr>
          <w:spacing w:val="14"/>
          <w:sz w:val="22"/>
        </w:rPr>
        <w:t>cet </w:t>
      </w:r>
      <w:r>
        <w:rPr>
          <w:sz w:val="22"/>
        </w:rPr>
        <w:t>of Bemis</w:t>
      </w:r>
      <w:r>
        <w:rPr>
          <w:spacing w:val="-1"/>
          <w:sz w:val="22"/>
        </w:rPr>
        <w:t> </w:t>
      </w:r>
      <w:r>
        <w:rPr>
          <w:spacing w:val="11"/>
          <w:sz w:val="22"/>
        </w:rPr>
        <w:t>Laboratory,</w:t>
      </w:r>
      <w:r>
        <w:rPr>
          <w:spacing w:val="-3"/>
          <w:sz w:val="22"/>
        </w:rPr>
        <w:t> </w:t>
      </w:r>
      <w:r>
        <w:rPr>
          <w:spacing w:val="9"/>
          <w:sz w:val="22"/>
        </w:rPr>
        <w:t>should </w:t>
      </w:r>
      <w:r>
        <w:rPr>
          <w:spacing w:val="11"/>
          <w:sz w:val="22"/>
        </w:rPr>
        <w:t>be </w:t>
      </w:r>
      <w:r>
        <w:rPr>
          <w:spacing w:val="10"/>
          <w:sz w:val="22"/>
        </w:rPr>
        <w:t>used </w:t>
      </w:r>
      <w:r>
        <w:rPr>
          <w:sz w:val="22"/>
        </w:rPr>
        <w:t>in a </w:t>
      </w:r>
      <w:r>
        <w:rPr>
          <w:spacing w:val="12"/>
          <w:sz w:val="22"/>
        </w:rPr>
        <w:t>respectful </w:t>
      </w:r>
      <w:r>
        <w:rPr>
          <w:spacing w:val="11"/>
          <w:sz w:val="22"/>
        </w:rPr>
        <w:t>manner,</w:t>
      </w:r>
      <w:r>
        <w:rPr>
          <w:spacing w:val="4"/>
          <w:sz w:val="22"/>
        </w:rPr>
        <w:t> </w:t>
      </w:r>
      <w:r>
        <w:rPr>
          <w:spacing w:val="11"/>
          <w:sz w:val="22"/>
        </w:rPr>
        <w:t>keeping </w:t>
      </w:r>
      <w:r>
        <w:rPr>
          <w:sz w:val="22"/>
        </w:rPr>
        <w:t>a</w:t>
      </w:r>
      <w:r>
        <w:rPr>
          <w:spacing w:val="40"/>
          <w:sz w:val="22"/>
        </w:rPr>
        <w:t> </w:t>
      </w:r>
      <w:r>
        <w:rPr>
          <w:sz w:val="22"/>
        </w:rPr>
        <w:t>c</w:t>
      </w:r>
      <w:r>
        <w:rPr>
          <w:spacing w:val="-30"/>
          <w:sz w:val="22"/>
        </w:rPr>
        <w:t> </w:t>
      </w:r>
      <w:r>
        <w:rPr>
          <w:spacing w:val="11"/>
          <w:sz w:val="22"/>
        </w:rPr>
        <w:t>onsiderate </w:t>
      </w:r>
      <w:r>
        <w:rPr>
          <w:sz w:val="22"/>
        </w:rPr>
        <w:t>noise </w:t>
      </w:r>
      <w:r>
        <w:rPr>
          <w:spacing w:val="9"/>
          <w:sz w:val="22"/>
        </w:rPr>
        <w:t>level </w:t>
      </w:r>
      <w:r>
        <w:rPr>
          <w:spacing w:val="10"/>
          <w:sz w:val="22"/>
        </w:rPr>
        <w:t>at </w:t>
      </w:r>
      <w:r>
        <w:rPr>
          <w:sz w:val="22"/>
        </w:rPr>
        <w:t>all times.</w:t>
      </w:r>
    </w:p>
    <w:p>
      <w:pPr>
        <w:pStyle w:val="BodyText"/>
        <w:spacing w:before="9"/>
        <w:rPr>
          <w:sz w:val="26"/>
        </w:rPr>
      </w:pPr>
    </w:p>
    <w:p>
      <w:pPr>
        <w:spacing w:line="292" w:lineRule="auto" w:before="0"/>
        <w:ind w:left="455" w:right="1003" w:hanging="14"/>
        <w:jc w:val="left"/>
        <w:rPr>
          <w:sz w:val="22"/>
        </w:rPr>
      </w:pPr>
      <w:r>
        <w:rPr>
          <w:b/>
          <w:sz w:val="22"/>
        </w:rPr>
        <w:t>SHARING IDEAS:</w:t>
      </w:r>
      <w:r>
        <w:rPr>
          <w:b/>
          <w:spacing w:val="40"/>
          <w:sz w:val="22"/>
        </w:rPr>
        <w:t> </w:t>
      </w:r>
      <w:r>
        <w:rPr>
          <w:spacing w:val="12"/>
          <w:sz w:val="22"/>
        </w:rPr>
        <w:t>Architecture</w:t>
      </w:r>
      <w:r>
        <w:rPr>
          <w:spacing w:val="5"/>
          <w:sz w:val="22"/>
        </w:rPr>
        <w:t> </w:t>
      </w:r>
      <w:r>
        <w:rPr>
          <w:spacing w:val="11"/>
          <w:sz w:val="22"/>
        </w:rPr>
        <w:t>students</w:t>
      </w:r>
      <w:r>
        <w:rPr>
          <w:spacing w:val="-4"/>
          <w:sz w:val="22"/>
        </w:rPr>
        <w:t> </w:t>
      </w:r>
      <w:r>
        <w:rPr>
          <w:sz w:val="22"/>
        </w:rPr>
        <w:t>should </w:t>
      </w:r>
      <w:r>
        <w:rPr>
          <w:spacing w:val="10"/>
          <w:sz w:val="22"/>
        </w:rPr>
        <w:t>put</w:t>
      </w:r>
      <w:r>
        <w:rPr>
          <w:spacing w:val="5"/>
          <w:sz w:val="22"/>
        </w:rPr>
        <w:t> </w:t>
      </w:r>
      <w:r>
        <w:rPr>
          <w:sz w:val="22"/>
        </w:rPr>
        <w:t>forth </w:t>
      </w:r>
      <w:r>
        <w:rPr>
          <w:spacing w:val="10"/>
          <w:sz w:val="22"/>
        </w:rPr>
        <w:t>an </w:t>
      </w:r>
      <w:r>
        <w:rPr>
          <w:sz w:val="22"/>
        </w:rPr>
        <w:t>effort to </w:t>
      </w:r>
      <w:r>
        <w:rPr>
          <w:spacing w:val="11"/>
          <w:sz w:val="22"/>
        </w:rPr>
        <w:t>cultivate </w:t>
      </w:r>
      <w:r>
        <w:rPr>
          <w:sz w:val="22"/>
        </w:rPr>
        <w:t>an </w:t>
      </w:r>
      <w:r>
        <w:rPr>
          <w:spacing w:val="16"/>
          <w:sz w:val="22"/>
        </w:rPr>
        <w:t>open </w:t>
      </w:r>
      <w:r>
        <w:rPr>
          <w:spacing w:val="13"/>
          <w:sz w:val="22"/>
        </w:rPr>
        <w:t>and </w:t>
      </w:r>
      <w:r>
        <w:rPr>
          <w:sz w:val="22"/>
        </w:rPr>
        <w:t>c</w:t>
      </w:r>
      <w:r>
        <w:rPr>
          <w:spacing w:val="-30"/>
          <w:sz w:val="22"/>
        </w:rPr>
        <w:t> </w:t>
      </w:r>
      <w:r>
        <w:rPr>
          <w:spacing w:val="13"/>
          <w:sz w:val="22"/>
        </w:rPr>
        <w:t>onducive </w:t>
      </w:r>
      <w:r>
        <w:rPr>
          <w:spacing w:val="11"/>
          <w:sz w:val="22"/>
        </w:rPr>
        <w:t>environment </w:t>
      </w:r>
      <w:r>
        <w:rPr>
          <w:sz w:val="22"/>
        </w:rPr>
        <w:t>for </w:t>
      </w:r>
      <w:r>
        <w:rPr>
          <w:spacing w:val="9"/>
          <w:sz w:val="22"/>
        </w:rPr>
        <w:t>the </w:t>
      </w:r>
      <w:r>
        <w:rPr>
          <w:sz w:val="22"/>
        </w:rPr>
        <w:t>sharing of </w:t>
      </w:r>
      <w:r>
        <w:rPr>
          <w:spacing w:val="15"/>
          <w:sz w:val="22"/>
        </w:rPr>
        <w:t>ideas </w:t>
      </w:r>
      <w:r>
        <w:rPr>
          <w:spacing w:val="13"/>
          <w:sz w:val="22"/>
        </w:rPr>
        <w:t>and </w:t>
      </w:r>
      <w:r>
        <w:rPr>
          <w:spacing w:val="9"/>
          <w:sz w:val="22"/>
        </w:rPr>
        <w:t>resources.</w:t>
      </w:r>
      <w:r>
        <w:rPr>
          <w:spacing w:val="4"/>
          <w:sz w:val="22"/>
        </w:rPr>
        <w:t> </w:t>
      </w:r>
      <w:r>
        <w:rPr>
          <w:sz w:val="22"/>
        </w:rPr>
        <w:t>The </w:t>
      </w:r>
      <w:r>
        <w:rPr>
          <w:spacing w:val="11"/>
          <w:sz w:val="22"/>
        </w:rPr>
        <w:t>study </w:t>
      </w:r>
      <w:r>
        <w:rPr>
          <w:sz w:val="22"/>
        </w:rPr>
        <w:t>of</w:t>
      </w:r>
    </w:p>
    <w:p>
      <w:pPr>
        <w:spacing w:before="2"/>
        <w:ind w:left="455" w:right="0" w:firstLine="0"/>
        <w:jc w:val="left"/>
        <w:rPr>
          <w:sz w:val="22"/>
        </w:rPr>
      </w:pPr>
      <w:r>
        <w:rPr>
          <w:spacing w:val="12"/>
          <w:sz w:val="22"/>
        </w:rPr>
        <w:t>architecture</w:t>
      </w:r>
      <w:r>
        <w:rPr>
          <w:spacing w:val="7"/>
          <w:sz w:val="22"/>
        </w:rPr>
        <w:t> </w:t>
      </w:r>
      <w:r>
        <w:rPr>
          <w:sz w:val="22"/>
        </w:rPr>
        <w:t>is</w:t>
      </w:r>
      <w:r>
        <w:rPr>
          <w:spacing w:val="14"/>
          <w:sz w:val="22"/>
        </w:rPr>
        <w:t> </w:t>
      </w:r>
      <w:r>
        <w:rPr>
          <w:sz w:val="22"/>
        </w:rPr>
        <w:t>a</w:t>
      </w:r>
      <w:r>
        <w:rPr>
          <w:spacing w:val="18"/>
          <w:sz w:val="22"/>
        </w:rPr>
        <w:t> </w:t>
      </w:r>
      <w:r>
        <w:rPr>
          <w:sz w:val="22"/>
        </w:rPr>
        <w:t>field</w:t>
      </w:r>
      <w:r>
        <w:rPr>
          <w:spacing w:val="20"/>
          <w:sz w:val="22"/>
        </w:rPr>
        <w:t> </w:t>
      </w:r>
      <w:r>
        <w:rPr>
          <w:spacing w:val="13"/>
          <w:sz w:val="22"/>
        </w:rPr>
        <w:t>that</w:t>
      </w:r>
      <w:r>
        <w:rPr>
          <w:spacing w:val="6"/>
          <w:sz w:val="22"/>
        </w:rPr>
        <w:t> </w:t>
      </w:r>
      <w:r>
        <w:rPr>
          <w:spacing w:val="9"/>
          <w:sz w:val="22"/>
        </w:rPr>
        <w:t>should</w:t>
      </w:r>
      <w:r>
        <w:rPr>
          <w:spacing w:val="20"/>
          <w:sz w:val="22"/>
        </w:rPr>
        <w:t> </w:t>
      </w:r>
      <w:r>
        <w:rPr>
          <w:spacing w:val="11"/>
          <w:sz w:val="22"/>
        </w:rPr>
        <w:t>not</w:t>
      </w:r>
      <w:r>
        <w:rPr>
          <w:spacing w:val="17"/>
          <w:sz w:val="22"/>
        </w:rPr>
        <w:t> </w:t>
      </w:r>
      <w:r>
        <w:rPr>
          <w:sz w:val="22"/>
        </w:rPr>
        <w:t>only</w:t>
      </w:r>
      <w:r>
        <w:rPr>
          <w:spacing w:val="17"/>
          <w:sz w:val="22"/>
        </w:rPr>
        <w:t> </w:t>
      </w:r>
      <w:r>
        <w:rPr>
          <w:spacing w:val="12"/>
          <w:sz w:val="22"/>
        </w:rPr>
        <w:t>be</w:t>
      </w:r>
      <w:r>
        <w:rPr>
          <w:spacing w:val="8"/>
          <w:sz w:val="22"/>
        </w:rPr>
        <w:t> </w:t>
      </w:r>
      <w:r>
        <w:rPr>
          <w:spacing w:val="9"/>
          <w:sz w:val="22"/>
        </w:rPr>
        <w:t>influenc</w:t>
      </w:r>
      <w:r>
        <w:rPr>
          <w:spacing w:val="-34"/>
          <w:sz w:val="22"/>
        </w:rPr>
        <w:t> </w:t>
      </w:r>
      <w:r>
        <w:rPr>
          <w:spacing w:val="11"/>
          <w:sz w:val="22"/>
        </w:rPr>
        <w:t>ed</w:t>
      </w:r>
      <w:r>
        <w:rPr>
          <w:spacing w:val="27"/>
          <w:sz w:val="22"/>
        </w:rPr>
        <w:t> </w:t>
      </w:r>
      <w:r>
        <w:rPr>
          <w:sz w:val="22"/>
        </w:rPr>
        <w:t>by</w:t>
      </w:r>
      <w:r>
        <w:rPr>
          <w:spacing w:val="3"/>
          <w:sz w:val="22"/>
        </w:rPr>
        <w:t> </w:t>
      </w:r>
      <w:r>
        <w:rPr>
          <w:sz w:val="22"/>
        </w:rPr>
        <w:t>instructors,</w:t>
      </w:r>
      <w:r>
        <w:rPr>
          <w:spacing w:val="12"/>
          <w:sz w:val="22"/>
        </w:rPr>
        <w:t> </w:t>
      </w:r>
      <w:r>
        <w:rPr>
          <w:spacing w:val="10"/>
          <w:sz w:val="22"/>
        </w:rPr>
        <w:t>but</w:t>
      </w:r>
      <w:r>
        <w:rPr>
          <w:spacing w:val="20"/>
          <w:sz w:val="22"/>
        </w:rPr>
        <w:t> </w:t>
      </w:r>
      <w:r>
        <w:rPr>
          <w:sz w:val="22"/>
        </w:rPr>
        <w:t>also</w:t>
      </w:r>
      <w:r>
        <w:rPr>
          <w:spacing w:val="24"/>
          <w:sz w:val="22"/>
        </w:rPr>
        <w:t> </w:t>
      </w:r>
      <w:r>
        <w:rPr>
          <w:spacing w:val="-5"/>
          <w:sz w:val="22"/>
        </w:rPr>
        <w:t>by</w:t>
      </w:r>
    </w:p>
    <w:p>
      <w:pPr>
        <w:spacing w:line="295" w:lineRule="auto" w:before="56"/>
        <w:ind w:left="447" w:right="642" w:firstLine="10"/>
        <w:jc w:val="left"/>
        <w:rPr>
          <w:sz w:val="22"/>
        </w:rPr>
      </w:pPr>
      <w:r>
        <w:rPr>
          <w:sz w:val="22"/>
        </w:rPr>
        <w:t>c</w:t>
      </w:r>
      <w:r>
        <w:rPr>
          <w:spacing w:val="-33"/>
          <w:sz w:val="22"/>
        </w:rPr>
        <w:t> </w:t>
      </w:r>
      <w:r>
        <w:rPr>
          <w:spacing w:val="12"/>
          <w:sz w:val="22"/>
        </w:rPr>
        <w:t>olleagues</w:t>
      </w:r>
      <w:r>
        <w:rPr>
          <w:spacing w:val="8"/>
          <w:sz w:val="22"/>
        </w:rPr>
        <w:t> </w:t>
      </w:r>
      <w:r>
        <w:rPr>
          <w:spacing w:val="13"/>
          <w:sz w:val="22"/>
        </w:rPr>
        <w:t>and </w:t>
      </w:r>
      <w:r>
        <w:rPr>
          <w:sz w:val="22"/>
        </w:rPr>
        <w:t>peers </w:t>
      </w:r>
      <w:r>
        <w:rPr>
          <w:spacing w:val="10"/>
          <w:sz w:val="22"/>
        </w:rPr>
        <w:t>outside </w:t>
      </w:r>
      <w:r>
        <w:rPr>
          <w:sz w:val="22"/>
        </w:rPr>
        <w:t>of </w:t>
      </w:r>
      <w:r>
        <w:rPr>
          <w:spacing w:val="9"/>
          <w:sz w:val="22"/>
        </w:rPr>
        <w:t>the major.</w:t>
      </w:r>
      <w:r>
        <w:rPr>
          <w:spacing w:val="-4"/>
          <w:sz w:val="22"/>
        </w:rPr>
        <w:t> </w:t>
      </w:r>
      <w:r>
        <w:rPr>
          <w:sz w:val="22"/>
        </w:rPr>
        <w:t>When </w:t>
      </w:r>
      <w:r>
        <w:rPr>
          <w:spacing w:val="14"/>
          <w:sz w:val="22"/>
        </w:rPr>
        <w:t>exchanging</w:t>
      </w:r>
      <w:r>
        <w:rPr>
          <w:spacing w:val="5"/>
          <w:sz w:val="22"/>
        </w:rPr>
        <w:t> </w:t>
      </w:r>
      <w:r>
        <w:rPr>
          <w:spacing w:val="15"/>
          <w:sz w:val="22"/>
        </w:rPr>
        <w:t>ideas</w:t>
      </w:r>
      <w:r>
        <w:rPr>
          <w:spacing w:val="-4"/>
          <w:sz w:val="22"/>
        </w:rPr>
        <w:t> </w:t>
      </w:r>
      <w:r>
        <w:rPr>
          <w:sz w:val="22"/>
        </w:rPr>
        <w:t>it is </w:t>
      </w:r>
      <w:r>
        <w:rPr>
          <w:spacing w:val="13"/>
          <w:sz w:val="22"/>
        </w:rPr>
        <w:t>appropriate</w:t>
      </w:r>
      <w:r>
        <w:rPr>
          <w:spacing w:val="12"/>
          <w:sz w:val="22"/>
        </w:rPr>
        <w:t> </w:t>
      </w:r>
      <w:r>
        <w:rPr>
          <w:sz w:val="22"/>
        </w:rPr>
        <w:t>to </w:t>
      </w:r>
      <w:r>
        <w:rPr>
          <w:spacing w:val="11"/>
          <w:sz w:val="22"/>
        </w:rPr>
        <w:t>note,</w:t>
      </w:r>
      <w:r>
        <w:rPr>
          <w:spacing w:val="8"/>
          <w:sz w:val="22"/>
        </w:rPr>
        <w:t> </w:t>
      </w:r>
      <w:r>
        <w:rPr>
          <w:sz w:val="22"/>
        </w:rPr>
        <w:t>if</w:t>
      </w:r>
      <w:r>
        <w:rPr>
          <w:spacing w:val="10"/>
          <w:sz w:val="22"/>
        </w:rPr>
        <w:t> an </w:t>
      </w:r>
      <w:r>
        <w:rPr>
          <w:spacing w:val="15"/>
          <w:sz w:val="22"/>
        </w:rPr>
        <w:t>idea </w:t>
      </w:r>
      <w:r>
        <w:rPr>
          <w:spacing w:val="10"/>
          <w:sz w:val="22"/>
        </w:rPr>
        <w:t>originates </w:t>
      </w:r>
      <w:r>
        <w:rPr>
          <w:sz w:val="22"/>
        </w:rPr>
        <w:t>from</w:t>
      </w:r>
      <w:r>
        <w:rPr>
          <w:spacing w:val="12"/>
          <w:sz w:val="22"/>
        </w:rPr>
        <w:t> another </w:t>
      </w:r>
      <w:r>
        <w:rPr>
          <w:spacing w:val="10"/>
          <w:sz w:val="22"/>
        </w:rPr>
        <w:t>peer, </w:t>
      </w:r>
      <w:r>
        <w:rPr>
          <w:spacing w:val="13"/>
          <w:sz w:val="22"/>
        </w:rPr>
        <w:t>and </w:t>
      </w:r>
      <w:r>
        <w:rPr>
          <w:sz w:val="22"/>
        </w:rPr>
        <w:t>a</w:t>
      </w:r>
      <w:r>
        <w:rPr>
          <w:spacing w:val="-26"/>
          <w:sz w:val="22"/>
        </w:rPr>
        <w:t> </w:t>
      </w:r>
      <w:r>
        <w:rPr>
          <w:spacing w:val="15"/>
          <w:sz w:val="22"/>
        </w:rPr>
        <w:t>cknowledge </w:t>
      </w:r>
      <w:r>
        <w:rPr>
          <w:spacing w:val="9"/>
          <w:sz w:val="22"/>
        </w:rPr>
        <w:t>the </w:t>
      </w:r>
      <w:r>
        <w:rPr>
          <w:sz w:val="22"/>
        </w:rPr>
        <w:t>c</w:t>
      </w:r>
      <w:r>
        <w:rPr>
          <w:spacing w:val="-28"/>
          <w:sz w:val="22"/>
        </w:rPr>
        <w:t> </w:t>
      </w:r>
      <w:r>
        <w:rPr>
          <w:spacing w:val="12"/>
          <w:sz w:val="22"/>
        </w:rPr>
        <w:t>olleague </w:t>
      </w:r>
      <w:r>
        <w:rPr>
          <w:sz w:val="22"/>
        </w:rPr>
        <w:t>from</w:t>
      </w:r>
    </w:p>
    <w:p>
      <w:pPr>
        <w:spacing w:line="252" w:lineRule="exact" w:before="0"/>
        <w:ind w:left="453" w:right="0" w:firstLine="0"/>
        <w:jc w:val="left"/>
        <w:rPr>
          <w:sz w:val="22"/>
        </w:rPr>
      </w:pPr>
      <w:r>
        <w:rPr>
          <w:spacing w:val="12"/>
          <w:sz w:val="22"/>
        </w:rPr>
        <w:t>which</w:t>
      </w:r>
      <w:r>
        <w:rPr>
          <w:spacing w:val="8"/>
          <w:sz w:val="22"/>
        </w:rPr>
        <w:t> </w:t>
      </w:r>
      <w:r>
        <w:rPr>
          <w:spacing w:val="9"/>
          <w:sz w:val="22"/>
        </w:rPr>
        <w:t>the</w:t>
      </w:r>
      <w:r>
        <w:rPr>
          <w:spacing w:val="5"/>
          <w:sz w:val="22"/>
        </w:rPr>
        <w:t> </w:t>
      </w:r>
      <w:r>
        <w:rPr>
          <w:spacing w:val="15"/>
          <w:sz w:val="22"/>
        </w:rPr>
        <w:t>idea</w:t>
      </w:r>
      <w:r>
        <w:rPr>
          <w:spacing w:val="22"/>
          <w:sz w:val="22"/>
        </w:rPr>
        <w:t> </w:t>
      </w:r>
      <w:r>
        <w:rPr>
          <w:spacing w:val="9"/>
          <w:sz w:val="22"/>
        </w:rPr>
        <w:t>originated.</w:t>
      </w:r>
    </w:p>
    <w:p>
      <w:pPr>
        <w:spacing w:after="0" w:line="252" w:lineRule="exact"/>
        <w:jc w:val="left"/>
        <w:rPr>
          <w:sz w:val="22"/>
        </w:rPr>
        <w:sectPr>
          <w:headerReference w:type="default" r:id="rId315"/>
          <w:footerReference w:type="default" r:id="rId316"/>
          <w:pgSz w:w="12240" w:h="15840"/>
          <w:pgMar w:header="0" w:footer="749" w:top="1380" w:bottom="940" w:left="1000" w:right="820"/>
        </w:sectPr>
      </w:pPr>
    </w:p>
    <w:p>
      <w:pPr>
        <w:spacing w:before="77"/>
        <w:ind w:left="440" w:right="0" w:firstLine="0"/>
        <w:jc w:val="left"/>
        <w:rPr>
          <w:sz w:val="22"/>
        </w:rPr>
      </w:pPr>
      <w:r>
        <w:rPr>
          <w:b/>
          <w:w w:val="95"/>
          <w:sz w:val="22"/>
        </w:rPr>
        <w:t>SHARING</w:t>
      </w:r>
      <w:r>
        <w:rPr>
          <w:b/>
          <w:spacing w:val="18"/>
          <w:sz w:val="22"/>
        </w:rPr>
        <w:t> </w:t>
      </w:r>
      <w:r>
        <w:rPr>
          <w:b/>
          <w:w w:val="95"/>
          <w:sz w:val="22"/>
        </w:rPr>
        <w:t>OF</w:t>
      </w:r>
      <w:r>
        <w:rPr>
          <w:b/>
          <w:spacing w:val="4"/>
          <w:sz w:val="22"/>
        </w:rPr>
        <w:t> </w:t>
      </w:r>
      <w:r>
        <w:rPr>
          <w:b/>
          <w:w w:val="95"/>
          <w:sz w:val="22"/>
        </w:rPr>
        <w:t>RESOURCES:</w:t>
      </w:r>
      <w:r>
        <w:rPr>
          <w:b/>
          <w:spacing w:val="69"/>
          <w:sz w:val="22"/>
        </w:rPr>
        <w:t> </w:t>
      </w:r>
      <w:r>
        <w:rPr>
          <w:spacing w:val="11"/>
          <w:w w:val="95"/>
          <w:sz w:val="22"/>
        </w:rPr>
        <w:t>Resources</w:t>
      </w:r>
      <w:r>
        <w:rPr>
          <w:spacing w:val="9"/>
          <w:w w:val="95"/>
          <w:sz w:val="22"/>
        </w:rPr>
        <w:t> </w:t>
      </w:r>
      <w:r>
        <w:rPr>
          <w:w w:val="95"/>
          <w:sz w:val="22"/>
        </w:rPr>
        <w:t>fall</w:t>
      </w:r>
      <w:r>
        <w:rPr>
          <w:spacing w:val="4"/>
          <w:sz w:val="22"/>
        </w:rPr>
        <w:t> </w:t>
      </w:r>
      <w:r>
        <w:rPr>
          <w:w w:val="95"/>
          <w:sz w:val="22"/>
        </w:rPr>
        <w:t>into</w:t>
      </w:r>
      <w:r>
        <w:rPr>
          <w:spacing w:val="19"/>
          <w:sz w:val="22"/>
        </w:rPr>
        <w:t> </w:t>
      </w:r>
      <w:r>
        <w:rPr>
          <w:w w:val="95"/>
          <w:sz w:val="22"/>
        </w:rPr>
        <w:t>three</w:t>
      </w:r>
      <w:r>
        <w:rPr>
          <w:spacing w:val="26"/>
          <w:sz w:val="22"/>
        </w:rPr>
        <w:t> </w:t>
      </w:r>
      <w:r>
        <w:rPr>
          <w:spacing w:val="11"/>
          <w:w w:val="95"/>
          <w:sz w:val="22"/>
        </w:rPr>
        <w:t>major</w:t>
      </w:r>
      <w:r>
        <w:rPr>
          <w:spacing w:val="19"/>
          <w:sz w:val="22"/>
        </w:rPr>
        <w:t> </w:t>
      </w:r>
      <w:r>
        <w:rPr>
          <w:w w:val="95"/>
          <w:sz w:val="22"/>
        </w:rPr>
        <w:t>c</w:t>
      </w:r>
      <w:r>
        <w:rPr>
          <w:spacing w:val="-28"/>
          <w:w w:val="95"/>
          <w:sz w:val="22"/>
        </w:rPr>
        <w:t> </w:t>
      </w:r>
      <w:r>
        <w:rPr>
          <w:spacing w:val="12"/>
          <w:w w:val="95"/>
          <w:sz w:val="22"/>
        </w:rPr>
        <w:t>ategories</w:t>
      </w:r>
      <w:r>
        <w:rPr>
          <w:spacing w:val="15"/>
          <w:sz w:val="22"/>
        </w:rPr>
        <w:t> </w:t>
      </w:r>
      <w:r>
        <w:rPr>
          <w:w w:val="95"/>
          <w:sz w:val="22"/>
        </w:rPr>
        <w:t>b</w:t>
      </w:r>
      <w:r>
        <w:rPr>
          <w:spacing w:val="-28"/>
          <w:w w:val="95"/>
          <w:sz w:val="22"/>
        </w:rPr>
        <w:t> </w:t>
      </w:r>
      <w:r>
        <w:rPr>
          <w:spacing w:val="11"/>
          <w:w w:val="95"/>
          <w:sz w:val="22"/>
        </w:rPr>
        <w:t>ased</w:t>
      </w:r>
      <w:r>
        <w:rPr>
          <w:spacing w:val="29"/>
          <w:sz w:val="22"/>
        </w:rPr>
        <w:t> </w:t>
      </w:r>
      <w:r>
        <w:rPr>
          <w:w w:val="95"/>
          <w:sz w:val="22"/>
        </w:rPr>
        <w:t>on</w:t>
      </w:r>
      <w:r>
        <w:rPr>
          <w:spacing w:val="8"/>
          <w:sz w:val="22"/>
        </w:rPr>
        <w:t> </w:t>
      </w:r>
      <w:r>
        <w:rPr>
          <w:w w:val="95"/>
          <w:sz w:val="22"/>
        </w:rPr>
        <w:t>sc</w:t>
      </w:r>
      <w:r>
        <w:rPr>
          <w:spacing w:val="-29"/>
          <w:w w:val="95"/>
          <w:sz w:val="22"/>
        </w:rPr>
        <w:t> </w:t>
      </w:r>
      <w:r>
        <w:rPr>
          <w:w w:val="95"/>
          <w:sz w:val="22"/>
        </w:rPr>
        <w:t>ale</w:t>
      </w:r>
      <w:r>
        <w:rPr>
          <w:spacing w:val="25"/>
          <w:sz w:val="22"/>
        </w:rPr>
        <w:t> </w:t>
      </w:r>
      <w:r>
        <w:rPr>
          <w:spacing w:val="-5"/>
          <w:w w:val="95"/>
          <w:sz w:val="22"/>
        </w:rPr>
        <w:t>of</w:t>
      </w:r>
    </w:p>
    <w:p>
      <w:pPr>
        <w:spacing w:before="56"/>
        <w:ind w:left="450" w:right="0" w:firstLine="0"/>
        <w:jc w:val="left"/>
        <w:rPr>
          <w:sz w:val="22"/>
        </w:rPr>
      </w:pPr>
      <w:r>
        <w:rPr>
          <w:spacing w:val="8"/>
          <w:sz w:val="22"/>
        </w:rPr>
        <w:t>ownership:</w:t>
      </w:r>
    </w:p>
    <w:p>
      <w:pPr>
        <w:pStyle w:val="ListParagraph"/>
        <w:numPr>
          <w:ilvl w:val="1"/>
          <w:numId w:val="70"/>
        </w:numPr>
        <w:tabs>
          <w:tab w:pos="1883" w:val="left" w:leader="none"/>
        </w:tabs>
        <w:spacing w:line="272" w:lineRule="exact" w:before="57" w:after="0"/>
        <w:ind w:left="1882" w:right="0" w:hanging="363"/>
        <w:jc w:val="left"/>
        <w:rPr>
          <w:sz w:val="22"/>
        </w:rPr>
      </w:pPr>
      <w:r>
        <w:rPr>
          <w:spacing w:val="11"/>
          <w:w w:val="95"/>
          <w:sz w:val="22"/>
        </w:rPr>
        <w:t>Dep</w:t>
      </w:r>
      <w:r>
        <w:rPr>
          <w:spacing w:val="-21"/>
          <w:w w:val="95"/>
          <w:sz w:val="22"/>
        </w:rPr>
        <w:t> </w:t>
      </w:r>
      <w:r>
        <w:rPr>
          <w:spacing w:val="12"/>
          <w:w w:val="95"/>
          <w:sz w:val="22"/>
        </w:rPr>
        <w:t>artmental</w:t>
      </w:r>
      <w:r>
        <w:rPr>
          <w:spacing w:val="20"/>
          <w:sz w:val="22"/>
        </w:rPr>
        <w:t> </w:t>
      </w:r>
      <w:r>
        <w:rPr>
          <w:spacing w:val="11"/>
          <w:w w:val="95"/>
          <w:sz w:val="22"/>
        </w:rPr>
        <w:t>Resources</w:t>
      </w:r>
      <w:r>
        <w:rPr>
          <w:spacing w:val="24"/>
          <w:sz w:val="22"/>
        </w:rPr>
        <w:t> </w:t>
      </w:r>
      <w:r>
        <w:rPr>
          <w:w w:val="95"/>
          <w:sz w:val="22"/>
        </w:rPr>
        <w:t>(CAD</w:t>
      </w:r>
      <w:r>
        <w:rPr>
          <w:spacing w:val="20"/>
          <w:sz w:val="22"/>
        </w:rPr>
        <w:t> </w:t>
      </w:r>
      <w:r>
        <w:rPr>
          <w:spacing w:val="10"/>
          <w:w w:val="95"/>
          <w:sz w:val="22"/>
        </w:rPr>
        <w:t>Lab,</w:t>
      </w:r>
      <w:r>
        <w:rPr>
          <w:spacing w:val="16"/>
          <w:sz w:val="22"/>
        </w:rPr>
        <w:t> </w:t>
      </w:r>
      <w:r>
        <w:rPr>
          <w:spacing w:val="11"/>
          <w:w w:val="95"/>
          <w:sz w:val="22"/>
        </w:rPr>
        <w:t>Laser-</w:t>
      </w:r>
      <w:r>
        <w:rPr>
          <w:spacing w:val="9"/>
          <w:w w:val="95"/>
          <w:sz w:val="22"/>
        </w:rPr>
        <w:t>Cutter,</w:t>
      </w:r>
      <w:r>
        <w:rPr>
          <w:spacing w:val="19"/>
          <w:sz w:val="22"/>
        </w:rPr>
        <w:t> </w:t>
      </w:r>
      <w:r>
        <w:rPr>
          <w:spacing w:val="11"/>
          <w:w w:val="95"/>
          <w:sz w:val="22"/>
        </w:rPr>
        <w:t>Woodshop)</w:t>
      </w:r>
    </w:p>
    <w:p>
      <w:pPr>
        <w:pStyle w:val="ListParagraph"/>
        <w:numPr>
          <w:ilvl w:val="1"/>
          <w:numId w:val="70"/>
        </w:numPr>
        <w:tabs>
          <w:tab w:pos="1881" w:val="left" w:leader="none"/>
        </w:tabs>
        <w:spacing w:line="270" w:lineRule="exact" w:before="0" w:after="0"/>
        <w:ind w:left="1880" w:right="0" w:hanging="361"/>
        <w:jc w:val="left"/>
        <w:rPr>
          <w:sz w:val="22"/>
        </w:rPr>
      </w:pPr>
      <w:r>
        <w:rPr>
          <w:spacing w:val="10"/>
          <w:w w:val="95"/>
          <w:sz w:val="22"/>
        </w:rPr>
        <w:t>Studio</w:t>
      </w:r>
      <w:r>
        <w:rPr>
          <w:spacing w:val="31"/>
          <w:sz w:val="22"/>
        </w:rPr>
        <w:t> </w:t>
      </w:r>
      <w:r>
        <w:rPr>
          <w:w w:val="95"/>
          <w:sz w:val="22"/>
        </w:rPr>
        <w:t>Resourc</w:t>
      </w:r>
      <w:r>
        <w:rPr>
          <w:spacing w:val="-22"/>
          <w:w w:val="95"/>
          <w:sz w:val="22"/>
        </w:rPr>
        <w:t> </w:t>
      </w:r>
      <w:r>
        <w:rPr>
          <w:w w:val="95"/>
          <w:sz w:val="22"/>
        </w:rPr>
        <w:t>es</w:t>
      </w:r>
      <w:r>
        <w:rPr>
          <w:spacing w:val="23"/>
          <w:sz w:val="22"/>
        </w:rPr>
        <w:t> </w:t>
      </w:r>
      <w:r>
        <w:rPr>
          <w:w w:val="95"/>
          <w:sz w:val="22"/>
        </w:rPr>
        <w:t>(stools,</w:t>
      </w:r>
      <w:r>
        <w:rPr>
          <w:spacing w:val="25"/>
          <w:sz w:val="22"/>
        </w:rPr>
        <w:t> </w:t>
      </w:r>
      <w:r>
        <w:rPr>
          <w:spacing w:val="10"/>
          <w:w w:val="95"/>
          <w:sz w:val="22"/>
        </w:rPr>
        <w:t>ta</w:t>
      </w:r>
      <w:r>
        <w:rPr>
          <w:spacing w:val="-21"/>
          <w:w w:val="95"/>
          <w:sz w:val="22"/>
        </w:rPr>
        <w:t> </w:t>
      </w:r>
      <w:r>
        <w:rPr>
          <w:w w:val="95"/>
          <w:sz w:val="22"/>
        </w:rPr>
        <w:t>bles,</w:t>
      </w:r>
      <w:r>
        <w:rPr>
          <w:spacing w:val="30"/>
          <w:sz w:val="22"/>
        </w:rPr>
        <w:t> </w:t>
      </w:r>
      <w:r>
        <w:rPr>
          <w:spacing w:val="7"/>
          <w:w w:val="95"/>
          <w:sz w:val="22"/>
        </w:rPr>
        <w:t>etc.)</w:t>
      </w:r>
    </w:p>
    <w:p>
      <w:pPr>
        <w:pStyle w:val="ListParagraph"/>
        <w:numPr>
          <w:ilvl w:val="1"/>
          <w:numId w:val="70"/>
        </w:numPr>
        <w:tabs>
          <w:tab w:pos="1881" w:val="left" w:leader="none"/>
        </w:tabs>
        <w:spacing w:line="270" w:lineRule="exact" w:before="0" w:after="0"/>
        <w:ind w:left="1880" w:right="0" w:hanging="361"/>
        <w:jc w:val="left"/>
        <w:rPr>
          <w:sz w:val="22"/>
        </w:rPr>
      </w:pPr>
      <w:r>
        <w:rPr>
          <w:spacing w:val="9"/>
          <w:w w:val="95"/>
          <w:sz w:val="22"/>
        </w:rPr>
        <w:t>Personal</w:t>
      </w:r>
      <w:r>
        <w:rPr>
          <w:spacing w:val="10"/>
          <w:w w:val="95"/>
          <w:sz w:val="22"/>
        </w:rPr>
        <w:t> </w:t>
      </w:r>
      <w:r>
        <w:rPr>
          <w:spacing w:val="11"/>
          <w:w w:val="95"/>
          <w:sz w:val="22"/>
        </w:rPr>
        <w:t>Resources</w:t>
      </w:r>
      <w:r>
        <w:rPr>
          <w:spacing w:val="11"/>
          <w:sz w:val="22"/>
        </w:rPr>
        <w:t> </w:t>
      </w:r>
      <w:r>
        <w:rPr>
          <w:w w:val="95"/>
          <w:sz w:val="22"/>
        </w:rPr>
        <w:t>(supplies,</w:t>
      </w:r>
      <w:r>
        <w:rPr>
          <w:spacing w:val="8"/>
          <w:w w:val="95"/>
          <w:sz w:val="22"/>
        </w:rPr>
        <w:t> </w:t>
      </w:r>
      <w:r>
        <w:rPr>
          <w:spacing w:val="14"/>
          <w:w w:val="95"/>
          <w:sz w:val="22"/>
        </w:rPr>
        <w:t>laptops,</w:t>
      </w:r>
      <w:r>
        <w:rPr>
          <w:spacing w:val="16"/>
          <w:sz w:val="22"/>
        </w:rPr>
        <w:t> </w:t>
      </w:r>
      <w:r>
        <w:rPr>
          <w:spacing w:val="7"/>
          <w:w w:val="95"/>
          <w:sz w:val="22"/>
        </w:rPr>
        <w:t>etc.)</w:t>
      </w:r>
    </w:p>
    <w:p>
      <w:pPr>
        <w:spacing w:line="292" w:lineRule="auto" w:before="0"/>
        <w:ind w:left="450" w:right="1089" w:hanging="11"/>
        <w:jc w:val="left"/>
        <w:rPr>
          <w:sz w:val="22"/>
        </w:rPr>
      </w:pPr>
      <w:r>
        <w:rPr>
          <w:sz w:val="22"/>
        </w:rPr>
        <w:t>The </w:t>
      </w:r>
      <w:r>
        <w:rPr>
          <w:spacing w:val="13"/>
          <w:sz w:val="22"/>
        </w:rPr>
        <w:t>usage</w:t>
      </w:r>
      <w:r>
        <w:rPr>
          <w:spacing w:val="12"/>
          <w:sz w:val="22"/>
        </w:rPr>
        <w:t> </w:t>
      </w:r>
      <w:r>
        <w:rPr>
          <w:sz w:val="22"/>
        </w:rPr>
        <w:t>of</w:t>
      </w:r>
      <w:r>
        <w:rPr>
          <w:spacing w:val="-3"/>
          <w:sz w:val="22"/>
        </w:rPr>
        <w:t> </w:t>
      </w:r>
      <w:r>
        <w:rPr>
          <w:spacing w:val="11"/>
          <w:sz w:val="22"/>
        </w:rPr>
        <w:t>stool</w:t>
      </w:r>
      <w:r>
        <w:rPr>
          <w:spacing w:val="7"/>
          <w:sz w:val="22"/>
        </w:rPr>
        <w:t> </w:t>
      </w:r>
      <w:r>
        <w:rPr>
          <w:spacing w:val="12"/>
          <w:sz w:val="22"/>
        </w:rPr>
        <w:t>and</w:t>
      </w:r>
      <w:r>
        <w:rPr>
          <w:spacing w:val="3"/>
          <w:sz w:val="22"/>
        </w:rPr>
        <w:t> </w:t>
      </w:r>
      <w:r>
        <w:rPr>
          <w:spacing w:val="10"/>
          <w:sz w:val="22"/>
        </w:rPr>
        <w:t>studio</w:t>
      </w:r>
      <w:r>
        <w:rPr>
          <w:spacing w:val="2"/>
          <w:sz w:val="22"/>
        </w:rPr>
        <w:t> </w:t>
      </w:r>
      <w:r>
        <w:rPr>
          <w:spacing w:val="12"/>
          <w:sz w:val="22"/>
        </w:rPr>
        <w:t>specific </w:t>
      </w:r>
      <w:r>
        <w:rPr>
          <w:spacing w:val="14"/>
          <w:sz w:val="22"/>
        </w:rPr>
        <w:t>equipment</w:t>
      </w:r>
      <w:r>
        <w:rPr>
          <w:spacing w:val="11"/>
          <w:sz w:val="22"/>
        </w:rPr>
        <w:t> </w:t>
      </w:r>
      <w:r>
        <w:rPr>
          <w:spacing w:val="13"/>
          <w:sz w:val="22"/>
        </w:rPr>
        <w:t>and</w:t>
      </w:r>
      <w:r>
        <w:rPr>
          <w:spacing w:val="6"/>
          <w:sz w:val="22"/>
        </w:rPr>
        <w:t> </w:t>
      </w:r>
      <w:r>
        <w:rPr>
          <w:sz w:val="22"/>
        </w:rPr>
        <w:t>sup</w:t>
      </w:r>
      <w:r>
        <w:rPr>
          <w:spacing w:val="-33"/>
          <w:sz w:val="22"/>
        </w:rPr>
        <w:t> </w:t>
      </w:r>
      <w:r>
        <w:rPr>
          <w:sz w:val="22"/>
        </w:rPr>
        <w:t>plies</w:t>
      </w:r>
      <w:r>
        <w:rPr>
          <w:spacing w:val="-7"/>
          <w:sz w:val="22"/>
        </w:rPr>
        <w:t> </w:t>
      </w:r>
      <w:r>
        <w:rPr>
          <w:sz w:val="22"/>
        </w:rPr>
        <w:t>is to </w:t>
      </w:r>
      <w:r>
        <w:rPr>
          <w:spacing w:val="12"/>
          <w:sz w:val="22"/>
        </w:rPr>
        <w:t>be </w:t>
      </w:r>
      <w:r>
        <w:rPr>
          <w:spacing w:val="16"/>
          <w:sz w:val="22"/>
        </w:rPr>
        <w:t>dictated </w:t>
      </w:r>
      <w:r>
        <w:rPr>
          <w:sz w:val="22"/>
        </w:rPr>
        <w:t>by </w:t>
      </w:r>
      <w:r>
        <w:rPr>
          <w:spacing w:val="12"/>
          <w:sz w:val="22"/>
        </w:rPr>
        <w:t>ea</w:t>
      </w:r>
      <w:r>
        <w:rPr>
          <w:spacing w:val="-29"/>
          <w:sz w:val="22"/>
        </w:rPr>
        <w:t> </w:t>
      </w:r>
      <w:r>
        <w:rPr>
          <w:spacing w:val="10"/>
          <w:sz w:val="22"/>
        </w:rPr>
        <w:t>ch studio. </w:t>
      </w:r>
      <w:r>
        <w:rPr>
          <w:sz w:val="22"/>
        </w:rPr>
        <w:t>All </w:t>
      </w:r>
      <w:r>
        <w:rPr>
          <w:spacing w:val="11"/>
          <w:sz w:val="22"/>
        </w:rPr>
        <w:t>public </w:t>
      </w:r>
      <w:r>
        <w:rPr>
          <w:spacing w:val="10"/>
          <w:sz w:val="22"/>
        </w:rPr>
        <w:t>supplies </w:t>
      </w:r>
      <w:r>
        <w:rPr>
          <w:spacing w:val="13"/>
          <w:sz w:val="22"/>
        </w:rPr>
        <w:t>and </w:t>
      </w:r>
      <w:r>
        <w:rPr>
          <w:spacing w:val="14"/>
          <w:sz w:val="22"/>
        </w:rPr>
        <w:t>equipment </w:t>
      </w:r>
      <w:r>
        <w:rPr>
          <w:sz w:val="22"/>
        </w:rPr>
        <w:t>are to</w:t>
      </w:r>
      <w:r>
        <w:rPr>
          <w:spacing w:val="12"/>
          <w:sz w:val="22"/>
        </w:rPr>
        <w:t> be </w:t>
      </w:r>
      <w:r>
        <w:rPr>
          <w:spacing w:val="9"/>
          <w:sz w:val="22"/>
        </w:rPr>
        <w:t>the </w:t>
      </w:r>
      <w:r>
        <w:rPr>
          <w:spacing w:val="11"/>
          <w:sz w:val="22"/>
        </w:rPr>
        <w:t>shared </w:t>
      </w:r>
      <w:r>
        <w:rPr>
          <w:spacing w:val="12"/>
          <w:sz w:val="22"/>
        </w:rPr>
        <w:t>property </w:t>
      </w:r>
      <w:r>
        <w:rPr>
          <w:sz w:val="22"/>
        </w:rPr>
        <w:t>of</w:t>
      </w:r>
    </w:p>
    <w:p>
      <w:pPr>
        <w:spacing w:line="292" w:lineRule="auto" w:before="1"/>
        <w:ind w:left="440" w:right="642" w:firstLine="14"/>
        <w:jc w:val="left"/>
        <w:rPr>
          <w:sz w:val="22"/>
        </w:rPr>
      </w:pPr>
      <w:r>
        <w:rPr>
          <w:spacing w:val="12"/>
          <w:sz w:val="22"/>
        </w:rPr>
        <w:t>architecture</w:t>
      </w:r>
      <w:r>
        <w:rPr>
          <w:spacing w:val="-3"/>
          <w:sz w:val="22"/>
        </w:rPr>
        <w:t> </w:t>
      </w:r>
      <w:r>
        <w:rPr>
          <w:spacing w:val="10"/>
          <w:sz w:val="22"/>
        </w:rPr>
        <w:t>students.</w:t>
      </w:r>
      <w:r>
        <w:rPr>
          <w:spacing w:val="-13"/>
          <w:sz w:val="22"/>
        </w:rPr>
        <w:t> </w:t>
      </w:r>
      <w:r>
        <w:rPr>
          <w:sz w:val="22"/>
        </w:rPr>
        <w:t>These</w:t>
      </w:r>
      <w:r>
        <w:rPr>
          <w:spacing w:val="-5"/>
          <w:sz w:val="22"/>
        </w:rPr>
        <w:t> </w:t>
      </w:r>
      <w:r>
        <w:rPr>
          <w:spacing w:val="11"/>
          <w:sz w:val="22"/>
        </w:rPr>
        <w:t>items</w:t>
      </w:r>
      <w:r>
        <w:rPr>
          <w:sz w:val="22"/>
        </w:rPr>
        <w:t> are to </w:t>
      </w:r>
      <w:r>
        <w:rPr>
          <w:spacing w:val="12"/>
          <w:sz w:val="22"/>
        </w:rPr>
        <w:t>be</w:t>
      </w:r>
      <w:r>
        <w:rPr>
          <w:spacing w:val="-3"/>
          <w:sz w:val="22"/>
        </w:rPr>
        <w:t> </w:t>
      </w:r>
      <w:r>
        <w:rPr>
          <w:spacing w:val="11"/>
          <w:sz w:val="22"/>
        </w:rPr>
        <w:t>shared</w:t>
      </w:r>
      <w:r>
        <w:rPr>
          <w:sz w:val="22"/>
        </w:rPr>
        <w:t> in</w:t>
      </w:r>
      <w:r>
        <w:rPr>
          <w:spacing w:val="-7"/>
          <w:sz w:val="22"/>
        </w:rPr>
        <w:t> </w:t>
      </w:r>
      <w:r>
        <w:rPr>
          <w:sz w:val="22"/>
        </w:rPr>
        <w:t>Bemis</w:t>
      </w:r>
      <w:r>
        <w:rPr>
          <w:spacing w:val="-13"/>
          <w:sz w:val="22"/>
        </w:rPr>
        <w:t> </w:t>
      </w:r>
      <w:r>
        <w:rPr>
          <w:spacing w:val="11"/>
          <w:sz w:val="22"/>
        </w:rPr>
        <w:t>Laboratories</w:t>
      </w:r>
      <w:r>
        <w:rPr>
          <w:sz w:val="22"/>
        </w:rPr>
        <w:t> </w:t>
      </w:r>
      <w:r>
        <w:rPr>
          <w:spacing w:val="13"/>
          <w:sz w:val="22"/>
        </w:rPr>
        <w:t>and</w:t>
      </w:r>
      <w:r>
        <w:rPr>
          <w:sz w:val="22"/>
        </w:rPr>
        <w:t> </w:t>
      </w:r>
      <w:r>
        <w:rPr>
          <w:spacing w:val="12"/>
          <w:sz w:val="22"/>
        </w:rPr>
        <w:t>remain</w:t>
      </w:r>
      <w:r>
        <w:rPr>
          <w:spacing w:val="-7"/>
          <w:sz w:val="22"/>
        </w:rPr>
        <w:t> </w:t>
      </w:r>
      <w:r>
        <w:rPr>
          <w:sz w:val="22"/>
        </w:rPr>
        <w:t>in Bemis.</w:t>
      </w:r>
      <w:r>
        <w:rPr>
          <w:spacing w:val="-1"/>
          <w:sz w:val="22"/>
        </w:rPr>
        <w:t> </w:t>
      </w:r>
      <w:r>
        <w:rPr>
          <w:spacing w:val="9"/>
          <w:sz w:val="22"/>
        </w:rPr>
        <w:t>Personal</w:t>
      </w:r>
      <w:r>
        <w:rPr>
          <w:spacing w:val="2"/>
          <w:sz w:val="22"/>
        </w:rPr>
        <w:t> </w:t>
      </w:r>
      <w:r>
        <w:rPr>
          <w:sz w:val="22"/>
        </w:rPr>
        <w:t>resourc</w:t>
      </w:r>
      <w:r>
        <w:rPr>
          <w:spacing w:val="-33"/>
          <w:sz w:val="22"/>
        </w:rPr>
        <w:t> </w:t>
      </w:r>
      <w:r>
        <w:rPr>
          <w:sz w:val="22"/>
        </w:rPr>
        <w:t>es </w:t>
      </w:r>
      <w:r>
        <w:rPr>
          <w:spacing w:val="12"/>
          <w:sz w:val="22"/>
        </w:rPr>
        <w:t>such </w:t>
      </w:r>
      <w:r>
        <w:rPr>
          <w:sz w:val="22"/>
        </w:rPr>
        <w:t>as exa</w:t>
      </w:r>
      <w:r>
        <w:rPr>
          <w:spacing w:val="-32"/>
          <w:sz w:val="22"/>
        </w:rPr>
        <w:t> </w:t>
      </w:r>
      <w:r>
        <w:rPr>
          <w:spacing w:val="10"/>
          <w:sz w:val="22"/>
        </w:rPr>
        <w:t>ctos,</w:t>
      </w:r>
      <w:r>
        <w:rPr>
          <w:spacing w:val="-1"/>
          <w:sz w:val="22"/>
        </w:rPr>
        <w:t> </w:t>
      </w:r>
      <w:r>
        <w:rPr>
          <w:sz w:val="22"/>
        </w:rPr>
        <w:t>rulers, </w:t>
      </w:r>
      <w:r>
        <w:rPr>
          <w:spacing w:val="14"/>
          <w:sz w:val="22"/>
        </w:rPr>
        <w:t>etc. </w:t>
      </w:r>
      <w:r>
        <w:rPr>
          <w:sz w:val="22"/>
        </w:rPr>
        <w:t>are </w:t>
      </w:r>
      <w:r>
        <w:rPr>
          <w:spacing w:val="12"/>
          <w:sz w:val="22"/>
        </w:rPr>
        <w:t>shared and </w:t>
      </w:r>
      <w:r>
        <w:rPr>
          <w:spacing w:val="10"/>
          <w:sz w:val="22"/>
        </w:rPr>
        <w:t>used at </w:t>
      </w:r>
      <w:r>
        <w:rPr>
          <w:spacing w:val="9"/>
          <w:sz w:val="22"/>
        </w:rPr>
        <w:t>the</w:t>
      </w:r>
    </w:p>
    <w:p>
      <w:pPr>
        <w:spacing w:line="292" w:lineRule="auto" w:before="4"/>
        <w:ind w:left="440" w:right="642" w:firstLine="14"/>
        <w:jc w:val="left"/>
        <w:rPr>
          <w:sz w:val="22"/>
        </w:rPr>
      </w:pPr>
      <w:r>
        <w:rPr>
          <w:spacing w:val="10"/>
          <w:sz w:val="22"/>
        </w:rPr>
        <w:t>discretion </w:t>
      </w:r>
      <w:r>
        <w:rPr>
          <w:sz w:val="22"/>
        </w:rPr>
        <w:t>of </w:t>
      </w:r>
      <w:r>
        <w:rPr>
          <w:spacing w:val="9"/>
          <w:sz w:val="22"/>
        </w:rPr>
        <w:t>the </w:t>
      </w:r>
      <w:r>
        <w:rPr>
          <w:spacing w:val="10"/>
          <w:sz w:val="22"/>
        </w:rPr>
        <w:t>owner,</w:t>
      </w:r>
      <w:r>
        <w:rPr>
          <w:spacing w:val="6"/>
          <w:sz w:val="22"/>
        </w:rPr>
        <w:t> </w:t>
      </w:r>
      <w:r>
        <w:rPr>
          <w:spacing w:val="12"/>
          <w:sz w:val="22"/>
        </w:rPr>
        <w:t>however,</w:t>
      </w:r>
      <w:r>
        <w:rPr>
          <w:spacing w:val="-1"/>
          <w:sz w:val="22"/>
        </w:rPr>
        <w:t> </w:t>
      </w:r>
      <w:r>
        <w:rPr>
          <w:sz w:val="22"/>
        </w:rPr>
        <w:t>if </w:t>
      </w:r>
      <w:r>
        <w:rPr>
          <w:spacing w:val="13"/>
          <w:sz w:val="22"/>
        </w:rPr>
        <w:t>allowed </w:t>
      </w:r>
      <w:r>
        <w:rPr>
          <w:sz w:val="22"/>
        </w:rPr>
        <w:t>a </w:t>
      </w:r>
      <w:r>
        <w:rPr>
          <w:spacing w:val="13"/>
          <w:sz w:val="22"/>
        </w:rPr>
        <w:t>student</w:t>
      </w:r>
      <w:r>
        <w:rPr>
          <w:spacing w:val="8"/>
          <w:sz w:val="22"/>
        </w:rPr>
        <w:t> </w:t>
      </w:r>
      <w:r>
        <w:rPr>
          <w:spacing w:val="9"/>
          <w:sz w:val="22"/>
        </w:rPr>
        <w:t>should </w:t>
      </w:r>
      <w:r>
        <w:rPr>
          <w:spacing w:val="12"/>
          <w:sz w:val="22"/>
        </w:rPr>
        <w:t>treat another</w:t>
      </w:r>
      <w:r>
        <w:rPr>
          <w:spacing w:val="1"/>
          <w:sz w:val="22"/>
        </w:rPr>
        <w:t> </w:t>
      </w:r>
      <w:r>
        <w:rPr>
          <w:spacing w:val="13"/>
          <w:sz w:val="22"/>
        </w:rPr>
        <w:t>student’s </w:t>
      </w:r>
      <w:r>
        <w:rPr>
          <w:spacing w:val="10"/>
          <w:sz w:val="22"/>
        </w:rPr>
        <w:t>supplies</w:t>
      </w:r>
      <w:r>
        <w:rPr>
          <w:spacing w:val="5"/>
          <w:sz w:val="22"/>
        </w:rPr>
        <w:t> </w:t>
      </w:r>
      <w:r>
        <w:rPr>
          <w:spacing w:val="13"/>
          <w:sz w:val="22"/>
        </w:rPr>
        <w:t>and </w:t>
      </w:r>
      <w:r>
        <w:rPr>
          <w:spacing w:val="14"/>
          <w:sz w:val="22"/>
        </w:rPr>
        <w:t>equipment</w:t>
      </w:r>
      <w:r>
        <w:rPr>
          <w:spacing w:val="8"/>
          <w:sz w:val="22"/>
        </w:rPr>
        <w:t> </w:t>
      </w:r>
      <w:r>
        <w:rPr>
          <w:sz w:val="22"/>
        </w:rPr>
        <w:t>with</w:t>
      </w:r>
      <w:r>
        <w:rPr>
          <w:spacing w:val="-3"/>
          <w:sz w:val="22"/>
        </w:rPr>
        <w:t> </w:t>
      </w:r>
      <w:r>
        <w:rPr>
          <w:spacing w:val="13"/>
          <w:sz w:val="22"/>
        </w:rPr>
        <w:t>respect.</w:t>
      </w:r>
      <w:r>
        <w:rPr>
          <w:spacing w:val="-10"/>
          <w:sz w:val="22"/>
        </w:rPr>
        <w:t> </w:t>
      </w:r>
      <w:r>
        <w:rPr>
          <w:sz w:val="22"/>
        </w:rPr>
        <w:t>Use of </w:t>
      </w:r>
      <w:r>
        <w:rPr>
          <w:spacing w:val="9"/>
          <w:sz w:val="22"/>
        </w:rPr>
        <w:t>the </w:t>
      </w:r>
      <w:r>
        <w:rPr>
          <w:spacing w:val="15"/>
          <w:sz w:val="22"/>
        </w:rPr>
        <w:t>woodshop,</w:t>
      </w:r>
      <w:r>
        <w:rPr>
          <w:spacing w:val="-1"/>
          <w:sz w:val="22"/>
        </w:rPr>
        <w:t> </w:t>
      </w:r>
      <w:r>
        <w:rPr>
          <w:sz w:val="22"/>
        </w:rPr>
        <w:t>CAD</w:t>
      </w:r>
      <w:r>
        <w:rPr>
          <w:spacing w:val="-5"/>
          <w:sz w:val="22"/>
        </w:rPr>
        <w:t> </w:t>
      </w:r>
      <w:r>
        <w:rPr>
          <w:spacing w:val="10"/>
          <w:sz w:val="22"/>
        </w:rPr>
        <w:t>lab,</w:t>
      </w:r>
      <w:r>
        <w:rPr>
          <w:spacing w:val="3"/>
          <w:sz w:val="22"/>
        </w:rPr>
        <w:t> </w:t>
      </w:r>
      <w:r>
        <w:rPr>
          <w:spacing w:val="13"/>
          <w:sz w:val="22"/>
        </w:rPr>
        <w:t>and</w:t>
      </w:r>
      <w:r>
        <w:rPr>
          <w:spacing w:val="5"/>
          <w:sz w:val="22"/>
        </w:rPr>
        <w:t> </w:t>
      </w:r>
      <w:r>
        <w:rPr>
          <w:spacing w:val="9"/>
          <w:sz w:val="22"/>
        </w:rPr>
        <w:t>Laser</w:t>
      </w:r>
      <w:r>
        <w:rPr>
          <w:spacing w:val="1"/>
          <w:sz w:val="22"/>
        </w:rPr>
        <w:t> </w:t>
      </w:r>
      <w:r>
        <w:rPr>
          <w:spacing w:val="10"/>
          <w:sz w:val="22"/>
        </w:rPr>
        <w:t>Cutter </w:t>
      </w:r>
      <w:r>
        <w:rPr>
          <w:spacing w:val="9"/>
          <w:sz w:val="22"/>
        </w:rPr>
        <w:t>should </w:t>
      </w:r>
      <w:r>
        <w:rPr>
          <w:sz w:val="22"/>
        </w:rPr>
        <w:t>only </w:t>
      </w:r>
      <w:r>
        <w:rPr>
          <w:spacing w:val="12"/>
          <w:sz w:val="22"/>
        </w:rPr>
        <w:t>be allowed onc</w:t>
      </w:r>
      <w:r>
        <w:rPr>
          <w:spacing w:val="-30"/>
          <w:sz w:val="22"/>
        </w:rPr>
        <w:t> </w:t>
      </w:r>
      <w:r>
        <w:rPr>
          <w:sz w:val="22"/>
        </w:rPr>
        <w:t>e</w:t>
      </w:r>
      <w:r>
        <w:rPr>
          <w:spacing w:val="35"/>
          <w:sz w:val="22"/>
        </w:rPr>
        <w:t> </w:t>
      </w:r>
      <w:r>
        <w:rPr>
          <w:sz w:val="22"/>
        </w:rPr>
        <w:t>a </w:t>
      </w:r>
      <w:r>
        <w:rPr>
          <w:spacing w:val="12"/>
          <w:sz w:val="22"/>
        </w:rPr>
        <w:t>student </w:t>
      </w:r>
      <w:r>
        <w:rPr>
          <w:spacing w:val="11"/>
          <w:sz w:val="22"/>
        </w:rPr>
        <w:t>has </w:t>
      </w:r>
      <w:r>
        <w:rPr>
          <w:sz w:val="22"/>
        </w:rPr>
        <w:t>a</w:t>
      </w:r>
      <w:r>
        <w:rPr>
          <w:spacing w:val="-29"/>
          <w:sz w:val="22"/>
        </w:rPr>
        <w:t> </w:t>
      </w:r>
      <w:r>
        <w:rPr>
          <w:spacing w:val="17"/>
          <w:sz w:val="22"/>
        </w:rPr>
        <w:t>dequate </w:t>
      </w:r>
      <w:r>
        <w:rPr>
          <w:spacing w:val="14"/>
          <w:sz w:val="22"/>
        </w:rPr>
        <w:t>knowledge </w:t>
      </w:r>
      <w:r>
        <w:rPr>
          <w:sz w:val="22"/>
        </w:rPr>
        <w:t>of </w:t>
      </w:r>
      <w:r>
        <w:rPr>
          <w:spacing w:val="9"/>
          <w:sz w:val="22"/>
        </w:rPr>
        <w:t>the </w:t>
      </w:r>
      <w:r>
        <w:rPr>
          <w:spacing w:val="14"/>
          <w:sz w:val="22"/>
        </w:rPr>
        <w:t>equipment</w:t>
      </w:r>
    </w:p>
    <w:p>
      <w:pPr>
        <w:spacing w:before="3"/>
        <w:ind w:left="454" w:right="0" w:firstLine="0"/>
        <w:jc w:val="left"/>
        <w:rPr>
          <w:sz w:val="22"/>
        </w:rPr>
      </w:pPr>
      <w:r>
        <w:rPr>
          <w:spacing w:val="13"/>
          <w:sz w:val="22"/>
        </w:rPr>
        <w:t>and </w:t>
      </w:r>
      <w:r>
        <w:rPr>
          <w:spacing w:val="9"/>
          <w:sz w:val="22"/>
        </w:rPr>
        <w:t>the</w:t>
      </w:r>
      <w:r>
        <w:rPr>
          <w:spacing w:val="3"/>
          <w:sz w:val="22"/>
        </w:rPr>
        <w:t> </w:t>
      </w:r>
      <w:r>
        <w:rPr>
          <w:spacing w:val="11"/>
          <w:sz w:val="22"/>
        </w:rPr>
        <w:t>safe</w:t>
      </w:r>
      <w:r>
        <w:rPr>
          <w:spacing w:val="10"/>
          <w:sz w:val="22"/>
        </w:rPr>
        <w:t> </w:t>
      </w:r>
      <w:r>
        <w:rPr>
          <w:spacing w:val="13"/>
          <w:sz w:val="22"/>
        </w:rPr>
        <w:t>usage</w:t>
      </w:r>
      <w:r>
        <w:rPr>
          <w:spacing w:val="14"/>
          <w:sz w:val="22"/>
        </w:rPr>
        <w:t> </w:t>
      </w:r>
      <w:r>
        <w:rPr>
          <w:sz w:val="22"/>
        </w:rPr>
        <w:t>of</w:t>
      </w:r>
      <w:r>
        <w:rPr>
          <w:spacing w:val="2"/>
          <w:sz w:val="22"/>
        </w:rPr>
        <w:t> </w:t>
      </w:r>
      <w:r>
        <w:rPr>
          <w:spacing w:val="9"/>
          <w:sz w:val="22"/>
        </w:rPr>
        <w:t>the</w:t>
      </w:r>
      <w:r>
        <w:rPr>
          <w:spacing w:val="13"/>
          <w:sz w:val="22"/>
        </w:rPr>
        <w:t> </w:t>
      </w:r>
      <w:r>
        <w:rPr>
          <w:spacing w:val="12"/>
          <w:sz w:val="22"/>
        </w:rPr>
        <w:t>equipment.</w:t>
      </w:r>
    </w:p>
    <w:p>
      <w:pPr>
        <w:pStyle w:val="BodyText"/>
        <w:rPr>
          <w:sz w:val="32"/>
        </w:rPr>
      </w:pPr>
    </w:p>
    <w:p>
      <w:pPr>
        <w:spacing w:before="1"/>
        <w:ind w:left="440" w:right="0" w:firstLine="0"/>
        <w:jc w:val="left"/>
        <w:rPr>
          <w:b/>
          <w:sz w:val="22"/>
        </w:rPr>
      </w:pPr>
      <w:r>
        <w:rPr>
          <w:b/>
          <w:w w:val="95"/>
          <w:sz w:val="22"/>
        </w:rPr>
        <w:t>The</w:t>
      </w:r>
      <w:r>
        <w:rPr>
          <w:b/>
          <w:spacing w:val="27"/>
          <w:sz w:val="22"/>
        </w:rPr>
        <w:t> </w:t>
      </w:r>
      <w:r>
        <w:rPr>
          <w:b/>
          <w:w w:val="95"/>
          <w:sz w:val="22"/>
        </w:rPr>
        <w:t>Task</w:t>
      </w:r>
      <w:r>
        <w:rPr>
          <w:b/>
          <w:spacing w:val="21"/>
          <w:sz w:val="22"/>
        </w:rPr>
        <w:t> </w:t>
      </w:r>
      <w:r>
        <w:rPr>
          <w:b/>
          <w:w w:val="95"/>
          <w:sz w:val="22"/>
        </w:rPr>
        <w:t>Force</w:t>
      </w:r>
      <w:r>
        <w:rPr>
          <w:b/>
          <w:spacing w:val="42"/>
          <w:sz w:val="22"/>
        </w:rPr>
        <w:t> </w:t>
      </w:r>
      <w:r>
        <w:rPr>
          <w:b/>
          <w:w w:val="95"/>
          <w:sz w:val="22"/>
        </w:rPr>
        <w:t>concluded</w:t>
      </w:r>
      <w:r>
        <w:rPr>
          <w:b/>
          <w:spacing w:val="24"/>
          <w:sz w:val="22"/>
        </w:rPr>
        <w:t> </w:t>
      </w:r>
      <w:r>
        <w:rPr>
          <w:b/>
          <w:w w:val="95"/>
          <w:sz w:val="22"/>
        </w:rPr>
        <w:t>their</w:t>
      </w:r>
      <w:r>
        <w:rPr>
          <w:b/>
          <w:spacing w:val="21"/>
          <w:sz w:val="22"/>
        </w:rPr>
        <w:t> </w:t>
      </w:r>
      <w:r>
        <w:rPr>
          <w:b/>
          <w:w w:val="95"/>
          <w:sz w:val="22"/>
        </w:rPr>
        <w:t>meetings</w:t>
      </w:r>
      <w:r>
        <w:rPr>
          <w:b/>
          <w:spacing w:val="17"/>
          <w:sz w:val="22"/>
        </w:rPr>
        <w:t> </w:t>
      </w:r>
      <w:r>
        <w:rPr>
          <w:b/>
          <w:w w:val="95"/>
          <w:sz w:val="22"/>
        </w:rPr>
        <w:t>with</w:t>
      </w:r>
      <w:r>
        <w:rPr>
          <w:b/>
          <w:spacing w:val="18"/>
          <w:sz w:val="22"/>
        </w:rPr>
        <w:t> </w:t>
      </w:r>
      <w:r>
        <w:rPr>
          <w:b/>
          <w:w w:val="95"/>
          <w:sz w:val="22"/>
        </w:rPr>
        <w:t>the</w:t>
      </w:r>
      <w:r>
        <w:rPr>
          <w:b/>
          <w:spacing w:val="27"/>
          <w:sz w:val="22"/>
        </w:rPr>
        <w:t> </w:t>
      </w:r>
      <w:r>
        <w:rPr>
          <w:b/>
          <w:w w:val="95"/>
          <w:sz w:val="22"/>
        </w:rPr>
        <w:t>following</w:t>
      </w:r>
      <w:r>
        <w:rPr>
          <w:b/>
          <w:spacing w:val="26"/>
          <w:sz w:val="22"/>
        </w:rPr>
        <w:t> </w:t>
      </w:r>
      <w:r>
        <w:rPr>
          <w:b/>
          <w:spacing w:val="-2"/>
          <w:w w:val="95"/>
          <w:sz w:val="22"/>
        </w:rPr>
        <w:t>summary:</w:t>
      </w:r>
    </w:p>
    <w:p>
      <w:pPr>
        <w:spacing w:before="56"/>
        <w:ind w:left="459" w:right="0" w:firstLine="0"/>
        <w:jc w:val="left"/>
        <w:rPr>
          <w:sz w:val="22"/>
        </w:rPr>
      </w:pPr>
      <w:r>
        <w:rPr>
          <w:sz w:val="22"/>
        </w:rPr>
        <w:t>“</w:t>
      </w:r>
      <w:r>
        <w:rPr>
          <w:spacing w:val="-42"/>
          <w:sz w:val="22"/>
        </w:rPr>
        <w:t> </w:t>
      </w:r>
      <w:r>
        <w:rPr>
          <w:sz w:val="22"/>
        </w:rPr>
        <w:t>We</w:t>
      </w:r>
      <w:r>
        <w:rPr>
          <w:spacing w:val="17"/>
          <w:sz w:val="22"/>
        </w:rPr>
        <w:t> </w:t>
      </w:r>
      <w:r>
        <w:rPr>
          <w:spacing w:val="10"/>
          <w:sz w:val="22"/>
        </w:rPr>
        <w:t>believe</w:t>
      </w:r>
      <w:r>
        <w:rPr>
          <w:spacing w:val="14"/>
          <w:sz w:val="22"/>
        </w:rPr>
        <w:t> </w:t>
      </w:r>
      <w:r>
        <w:rPr>
          <w:spacing w:val="13"/>
          <w:sz w:val="22"/>
        </w:rPr>
        <w:t>that</w:t>
      </w:r>
      <w:r>
        <w:rPr>
          <w:spacing w:val="9"/>
          <w:sz w:val="22"/>
        </w:rPr>
        <w:t> the</w:t>
      </w:r>
      <w:r>
        <w:rPr>
          <w:spacing w:val="17"/>
          <w:sz w:val="22"/>
        </w:rPr>
        <w:t> </w:t>
      </w:r>
      <w:r>
        <w:rPr>
          <w:spacing w:val="9"/>
          <w:sz w:val="22"/>
        </w:rPr>
        <w:t>overall</w:t>
      </w:r>
      <w:r>
        <w:rPr>
          <w:spacing w:val="7"/>
          <w:sz w:val="22"/>
        </w:rPr>
        <w:t> </w:t>
      </w:r>
      <w:r>
        <w:rPr>
          <w:spacing w:val="11"/>
          <w:sz w:val="22"/>
        </w:rPr>
        <w:t>experienc</w:t>
      </w:r>
      <w:r>
        <w:rPr>
          <w:spacing w:val="-34"/>
          <w:sz w:val="22"/>
        </w:rPr>
        <w:t> </w:t>
      </w:r>
      <w:r>
        <w:rPr>
          <w:sz w:val="22"/>
        </w:rPr>
        <w:t>e</w:t>
      </w:r>
      <w:r>
        <w:rPr>
          <w:spacing w:val="20"/>
          <w:sz w:val="22"/>
        </w:rPr>
        <w:t> </w:t>
      </w:r>
      <w:r>
        <w:rPr>
          <w:sz w:val="22"/>
        </w:rPr>
        <w:t>as</w:t>
      </w:r>
      <w:r>
        <w:rPr>
          <w:spacing w:val="10"/>
          <w:sz w:val="22"/>
        </w:rPr>
        <w:t> </w:t>
      </w:r>
      <w:r>
        <w:rPr>
          <w:sz w:val="22"/>
        </w:rPr>
        <w:t>a</w:t>
      </w:r>
      <w:r>
        <w:rPr>
          <w:spacing w:val="20"/>
          <w:sz w:val="22"/>
        </w:rPr>
        <w:t> </w:t>
      </w:r>
      <w:r>
        <w:rPr>
          <w:spacing w:val="16"/>
          <w:sz w:val="22"/>
        </w:rPr>
        <w:t>member</w:t>
      </w:r>
      <w:r>
        <w:rPr>
          <w:spacing w:val="8"/>
          <w:sz w:val="22"/>
        </w:rPr>
        <w:t> </w:t>
      </w:r>
      <w:r>
        <w:rPr>
          <w:sz w:val="22"/>
        </w:rPr>
        <w:t>of</w:t>
      </w:r>
      <w:r>
        <w:rPr>
          <w:spacing w:val="6"/>
          <w:sz w:val="22"/>
        </w:rPr>
        <w:t> </w:t>
      </w:r>
      <w:r>
        <w:rPr>
          <w:spacing w:val="9"/>
          <w:sz w:val="22"/>
        </w:rPr>
        <w:t>the</w:t>
      </w:r>
      <w:r>
        <w:rPr>
          <w:spacing w:val="6"/>
          <w:sz w:val="22"/>
        </w:rPr>
        <w:t> </w:t>
      </w:r>
      <w:r>
        <w:rPr>
          <w:spacing w:val="16"/>
          <w:sz w:val="22"/>
        </w:rPr>
        <w:t>Hampton</w:t>
      </w:r>
      <w:r>
        <w:rPr>
          <w:spacing w:val="2"/>
          <w:sz w:val="22"/>
        </w:rPr>
        <w:t> </w:t>
      </w:r>
      <w:r>
        <w:rPr>
          <w:spacing w:val="-2"/>
          <w:sz w:val="22"/>
        </w:rPr>
        <w:t>University</w:t>
      </w:r>
    </w:p>
    <w:p>
      <w:pPr>
        <w:spacing w:line="295" w:lineRule="auto" w:before="57"/>
        <w:ind w:left="452" w:right="1003" w:hanging="10"/>
        <w:jc w:val="left"/>
        <w:rPr>
          <w:sz w:val="22"/>
        </w:rPr>
      </w:pPr>
      <w:r>
        <w:rPr>
          <w:spacing w:val="11"/>
          <w:sz w:val="22"/>
        </w:rPr>
        <w:t>Dep</w:t>
      </w:r>
      <w:r>
        <w:rPr>
          <w:spacing w:val="-33"/>
          <w:sz w:val="22"/>
        </w:rPr>
        <w:t> </w:t>
      </w:r>
      <w:r>
        <w:rPr>
          <w:spacing w:val="12"/>
          <w:sz w:val="22"/>
        </w:rPr>
        <w:t>artment </w:t>
      </w:r>
      <w:r>
        <w:rPr>
          <w:sz w:val="22"/>
        </w:rPr>
        <w:t>of </w:t>
      </w:r>
      <w:r>
        <w:rPr>
          <w:spacing w:val="11"/>
          <w:sz w:val="22"/>
        </w:rPr>
        <w:t>Architecture</w:t>
      </w:r>
      <w:r>
        <w:rPr>
          <w:spacing w:val="6"/>
          <w:sz w:val="22"/>
        </w:rPr>
        <w:t> </w:t>
      </w:r>
      <w:r>
        <w:rPr>
          <w:sz w:val="22"/>
        </w:rPr>
        <w:t>is </w:t>
      </w:r>
      <w:r>
        <w:rPr>
          <w:spacing w:val="9"/>
          <w:sz w:val="22"/>
        </w:rPr>
        <w:t>one </w:t>
      </w:r>
      <w:r>
        <w:rPr>
          <w:spacing w:val="11"/>
          <w:sz w:val="22"/>
        </w:rPr>
        <w:t>marked </w:t>
      </w:r>
      <w:r>
        <w:rPr>
          <w:sz w:val="22"/>
        </w:rPr>
        <w:t>with </w:t>
      </w:r>
      <w:r>
        <w:rPr>
          <w:spacing w:val="12"/>
          <w:sz w:val="22"/>
        </w:rPr>
        <w:t>excitement,</w:t>
      </w:r>
      <w:r>
        <w:rPr>
          <w:spacing w:val="8"/>
          <w:sz w:val="22"/>
        </w:rPr>
        <w:t> </w:t>
      </w:r>
      <w:r>
        <w:rPr>
          <w:spacing w:val="13"/>
          <w:sz w:val="22"/>
        </w:rPr>
        <w:t>and </w:t>
      </w:r>
      <w:r>
        <w:rPr>
          <w:spacing w:val="10"/>
          <w:sz w:val="22"/>
        </w:rPr>
        <w:t>optimism.</w:t>
      </w:r>
      <w:r>
        <w:rPr>
          <w:spacing w:val="-5"/>
          <w:sz w:val="22"/>
        </w:rPr>
        <w:t> </w:t>
      </w:r>
      <w:r>
        <w:rPr>
          <w:spacing w:val="11"/>
          <w:sz w:val="22"/>
        </w:rPr>
        <w:t>However, </w:t>
      </w:r>
      <w:r>
        <w:rPr>
          <w:spacing w:val="10"/>
          <w:sz w:val="22"/>
        </w:rPr>
        <w:t>we </w:t>
      </w:r>
      <w:r>
        <w:rPr>
          <w:sz w:val="22"/>
        </w:rPr>
        <w:t>must</w:t>
      </w:r>
      <w:r>
        <w:rPr>
          <w:spacing w:val="40"/>
          <w:sz w:val="22"/>
        </w:rPr>
        <w:t> </w:t>
      </w:r>
      <w:r>
        <w:rPr>
          <w:sz w:val="22"/>
        </w:rPr>
        <w:t>c</w:t>
      </w:r>
      <w:r>
        <w:rPr>
          <w:spacing w:val="-25"/>
          <w:sz w:val="22"/>
        </w:rPr>
        <w:t> </w:t>
      </w:r>
      <w:r>
        <w:rPr>
          <w:sz w:val="22"/>
        </w:rPr>
        <w:t>onsciously</w:t>
      </w:r>
      <w:r>
        <w:rPr>
          <w:spacing w:val="12"/>
          <w:sz w:val="22"/>
        </w:rPr>
        <w:t> and</w:t>
      </w:r>
      <w:r>
        <w:rPr>
          <w:spacing w:val="40"/>
          <w:sz w:val="22"/>
        </w:rPr>
        <w:t> </w:t>
      </w:r>
      <w:r>
        <w:rPr>
          <w:sz w:val="22"/>
        </w:rPr>
        <w:t>c</w:t>
      </w:r>
      <w:r>
        <w:rPr>
          <w:spacing w:val="-25"/>
          <w:sz w:val="22"/>
        </w:rPr>
        <w:t> </w:t>
      </w:r>
      <w:r>
        <w:rPr>
          <w:sz w:val="22"/>
        </w:rPr>
        <w:t>ontinuously </w:t>
      </w:r>
      <w:r>
        <w:rPr>
          <w:spacing w:val="12"/>
          <w:sz w:val="22"/>
        </w:rPr>
        <w:t>improve </w:t>
      </w:r>
      <w:r>
        <w:rPr>
          <w:spacing w:val="15"/>
          <w:sz w:val="22"/>
        </w:rPr>
        <w:t>upon </w:t>
      </w:r>
      <w:r>
        <w:rPr>
          <w:spacing w:val="9"/>
          <w:sz w:val="22"/>
        </w:rPr>
        <w:t>the</w:t>
      </w:r>
      <w:r>
        <w:rPr>
          <w:spacing w:val="11"/>
          <w:sz w:val="22"/>
        </w:rPr>
        <w:t> material </w:t>
      </w:r>
      <w:r>
        <w:rPr>
          <w:spacing w:val="12"/>
          <w:sz w:val="22"/>
        </w:rPr>
        <w:t>and </w:t>
      </w:r>
      <w:r>
        <w:rPr>
          <w:spacing w:val="11"/>
          <w:sz w:val="22"/>
        </w:rPr>
        <w:t>immaterial</w:t>
      </w:r>
    </w:p>
    <w:p>
      <w:pPr>
        <w:spacing w:line="252" w:lineRule="exact" w:before="0"/>
        <w:ind w:left="451" w:right="0" w:firstLine="0"/>
        <w:jc w:val="left"/>
        <w:rPr>
          <w:sz w:val="22"/>
        </w:rPr>
      </w:pPr>
      <w:r>
        <w:rPr>
          <w:spacing w:val="11"/>
          <w:sz w:val="22"/>
        </w:rPr>
        <w:t>environment</w:t>
      </w:r>
      <w:r>
        <w:rPr>
          <w:spacing w:val="17"/>
          <w:sz w:val="22"/>
        </w:rPr>
        <w:t> </w:t>
      </w:r>
      <w:r>
        <w:rPr>
          <w:spacing w:val="10"/>
          <w:sz w:val="22"/>
        </w:rPr>
        <w:t>we</w:t>
      </w:r>
      <w:r>
        <w:rPr>
          <w:spacing w:val="26"/>
          <w:sz w:val="22"/>
        </w:rPr>
        <w:t> </w:t>
      </w:r>
      <w:r>
        <w:rPr>
          <w:spacing w:val="11"/>
          <w:sz w:val="22"/>
        </w:rPr>
        <w:t>craft</w:t>
      </w:r>
      <w:r>
        <w:rPr>
          <w:spacing w:val="9"/>
          <w:sz w:val="22"/>
        </w:rPr>
        <w:t> </w:t>
      </w:r>
      <w:r>
        <w:rPr>
          <w:sz w:val="22"/>
        </w:rPr>
        <w:t>for</w:t>
      </w:r>
      <w:r>
        <w:rPr>
          <w:spacing w:val="11"/>
          <w:sz w:val="22"/>
        </w:rPr>
        <w:t> </w:t>
      </w:r>
      <w:r>
        <w:rPr>
          <w:spacing w:val="-2"/>
          <w:sz w:val="22"/>
        </w:rPr>
        <w:t>ourselves.”</w:t>
      </w:r>
    </w:p>
    <w:p>
      <w:pPr>
        <w:spacing w:after="0" w:line="252" w:lineRule="exact"/>
        <w:jc w:val="left"/>
        <w:rPr>
          <w:sz w:val="22"/>
        </w:rPr>
        <w:sectPr>
          <w:headerReference w:type="default" r:id="rId317"/>
          <w:footerReference w:type="default" r:id="rId318"/>
          <w:pgSz w:w="12240" w:h="15840"/>
          <w:pgMar w:header="0" w:footer="748" w:top="1380" w:bottom="940" w:left="1000" w:right="820"/>
        </w:sectPr>
      </w:pPr>
    </w:p>
    <w:p>
      <w:pPr>
        <w:pStyle w:val="Heading6"/>
        <w:jc w:val="both"/>
      </w:pPr>
      <w:r>
        <w:rPr>
          <w:w w:val="90"/>
        </w:rPr>
        <w:t>POLICY</w:t>
      </w:r>
      <w:r>
        <w:rPr>
          <w:spacing w:val="44"/>
        </w:rPr>
        <w:t> </w:t>
      </w:r>
      <w:r>
        <w:rPr>
          <w:w w:val="90"/>
        </w:rPr>
        <w:t>ON</w:t>
      </w:r>
      <w:r>
        <w:rPr>
          <w:spacing w:val="33"/>
        </w:rPr>
        <w:t> </w:t>
      </w:r>
      <w:r>
        <w:rPr>
          <w:w w:val="90"/>
        </w:rPr>
        <w:t>STUDENT</w:t>
      </w:r>
      <w:r>
        <w:rPr>
          <w:spacing w:val="28"/>
        </w:rPr>
        <w:t> </w:t>
      </w:r>
      <w:r>
        <w:rPr>
          <w:spacing w:val="10"/>
          <w:w w:val="90"/>
        </w:rPr>
        <w:t>HONOR</w:t>
      </w:r>
      <w:r>
        <w:rPr>
          <w:spacing w:val="45"/>
        </w:rPr>
        <w:t> </w:t>
      </w:r>
      <w:r>
        <w:rPr>
          <w:spacing w:val="10"/>
          <w:w w:val="90"/>
        </w:rPr>
        <w:t>CODE</w:t>
      </w:r>
      <w:r>
        <w:rPr>
          <w:spacing w:val="32"/>
        </w:rPr>
        <w:t> </w:t>
      </w:r>
      <w:r>
        <w:rPr>
          <w:spacing w:val="-2"/>
          <w:w w:val="90"/>
        </w:rPr>
        <w:t>VIOLATIONS</w:t>
      </w:r>
    </w:p>
    <w:p>
      <w:pPr>
        <w:pStyle w:val="BodyText"/>
        <w:spacing w:before="9"/>
        <w:rPr>
          <w:sz w:val="32"/>
        </w:rPr>
      </w:pPr>
    </w:p>
    <w:p>
      <w:pPr>
        <w:spacing w:line="292" w:lineRule="auto" w:before="0"/>
        <w:ind w:left="440" w:right="731" w:firstLine="0"/>
        <w:jc w:val="both"/>
        <w:rPr>
          <w:sz w:val="22"/>
        </w:rPr>
      </w:pPr>
      <w:r>
        <w:rPr>
          <w:sz w:val="22"/>
        </w:rPr>
        <w:t>The</w:t>
      </w:r>
      <w:r>
        <w:rPr>
          <w:spacing w:val="-16"/>
          <w:sz w:val="22"/>
        </w:rPr>
        <w:t> </w:t>
      </w:r>
      <w:r>
        <w:rPr>
          <w:spacing w:val="10"/>
          <w:sz w:val="22"/>
        </w:rPr>
        <w:t>following</w:t>
      </w:r>
      <w:r>
        <w:rPr>
          <w:spacing w:val="-7"/>
          <w:sz w:val="22"/>
        </w:rPr>
        <w:t> </w:t>
      </w:r>
      <w:r>
        <w:rPr>
          <w:spacing w:val="12"/>
          <w:sz w:val="22"/>
        </w:rPr>
        <w:t>proc</w:t>
      </w:r>
      <w:r>
        <w:rPr>
          <w:spacing w:val="-15"/>
          <w:sz w:val="22"/>
        </w:rPr>
        <w:t> </w:t>
      </w:r>
      <w:r>
        <w:rPr>
          <w:spacing w:val="10"/>
          <w:sz w:val="22"/>
        </w:rPr>
        <w:t>edures </w:t>
      </w:r>
      <w:r>
        <w:rPr>
          <w:sz w:val="22"/>
        </w:rPr>
        <w:t>are a</w:t>
      </w:r>
      <w:r>
        <w:rPr>
          <w:spacing w:val="-16"/>
          <w:sz w:val="22"/>
        </w:rPr>
        <w:t> </w:t>
      </w:r>
      <w:r>
        <w:rPr>
          <w:spacing w:val="18"/>
          <w:sz w:val="22"/>
        </w:rPr>
        <w:t>dopted </w:t>
      </w:r>
      <w:r>
        <w:rPr>
          <w:sz w:val="22"/>
        </w:rPr>
        <w:t>by </w:t>
      </w:r>
      <w:r>
        <w:rPr>
          <w:spacing w:val="9"/>
          <w:sz w:val="22"/>
        </w:rPr>
        <w:t>the</w:t>
      </w:r>
      <w:r>
        <w:rPr>
          <w:spacing w:val="7"/>
          <w:sz w:val="22"/>
        </w:rPr>
        <w:t> </w:t>
      </w:r>
      <w:r>
        <w:rPr>
          <w:spacing w:val="11"/>
          <w:sz w:val="22"/>
        </w:rPr>
        <w:t>Dep</w:t>
      </w:r>
      <w:r>
        <w:rPr>
          <w:spacing w:val="-16"/>
          <w:sz w:val="22"/>
        </w:rPr>
        <w:t> </w:t>
      </w:r>
      <w:r>
        <w:rPr>
          <w:spacing w:val="12"/>
          <w:sz w:val="22"/>
        </w:rPr>
        <w:t>artment </w:t>
      </w:r>
      <w:r>
        <w:rPr>
          <w:sz w:val="22"/>
        </w:rPr>
        <w:t>of </w:t>
      </w:r>
      <w:r>
        <w:rPr>
          <w:spacing w:val="12"/>
          <w:sz w:val="22"/>
        </w:rPr>
        <w:t>Architecture</w:t>
      </w:r>
      <w:r>
        <w:rPr>
          <w:spacing w:val="11"/>
          <w:sz w:val="22"/>
        </w:rPr>
        <w:t> </w:t>
      </w:r>
      <w:r>
        <w:rPr>
          <w:sz w:val="22"/>
        </w:rPr>
        <w:t>for</w:t>
      </w:r>
      <w:r>
        <w:rPr>
          <w:spacing w:val="-3"/>
          <w:sz w:val="22"/>
        </w:rPr>
        <w:t> </w:t>
      </w:r>
      <w:r>
        <w:rPr>
          <w:spacing w:val="11"/>
          <w:sz w:val="22"/>
        </w:rPr>
        <w:t>reporting </w:t>
      </w:r>
      <w:r>
        <w:rPr>
          <w:sz w:val="22"/>
        </w:rPr>
        <w:t>all</w:t>
      </w:r>
      <w:r>
        <w:rPr>
          <w:spacing w:val="-16"/>
          <w:sz w:val="22"/>
        </w:rPr>
        <w:t> </w:t>
      </w:r>
      <w:r>
        <w:rPr>
          <w:spacing w:val="11"/>
          <w:sz w:val="22"/>
        </w:rPr>
        <w:t>matters</w:t>
      </w:r>
      <w:r>
        <w:rPr>
          <w:spacing w:val="-15"/>
          <w:sz w:val="22"/>
        </w:rPr>
        <w:t> </w:t>
      </w:r>
      <w:r>
        <w:rPr>
          <w:sz w:val="22"/>
        </w:rPr>
        <w:t>of</w:t>
      </w:r>
      <w:r>
        <w:rPr>
          <w:spacing w:val="-15"/>
          <w:sz w:val="22"/>
        </w:rPr>
        <w:t> </w:t>
      </w:r>
      <w:r>
        <w:rPr>
          <w:sz w:val="22"/>
        </w:rPr>
        <w:t>a</w:t>
      </w:r>
      <w:r>
        <w:rPr>
          <w:spacing w:val="-16"/>
          <w:sz w:val="22"/>
        </w:rPr>
        <w:t> </w:t>
      </w:r>
      <w:r>
        <w:rPr>
          <w:sz w:val="22"/>
        </w:rPr>
        <w:t>c</w:t>
      </w:r>
      <w:r>
        <w:rPr>
          <w:spacing w:val="-15"/>
          <w:sz w:val="22"/>
        </w:rPr>
        <w:t> </w:t>
      </w:r>
      <w:r>
        <w:rPr>
          <w:sz w:val="22"/>
        </w:rPr>
        <w:t>a</w:t>
      </w:r>
      <w:r>
        <w:rPr>
          <w:spacing w:val="-15"/>
          <w:sz w:val="22"/>
        </w:rPr>
        <w:t> </w:t>
      </w:r>
      <w:r>
        <w:rPr>
          <w:spacing w:val="13"/>
          <w:sz w:val="22"/>
        </w:rPr>
        <w:t>demic </w:t>
      </w:r>
      <w:r>
        <w:rPr>
          <w:spacing w:val="9"/>
          <w:sz w:val="22"/>
        </w:rPr>
        <w:t>dishonesty </w:t>
      </w:r>
      <w:r>
        <w:rPr>
          <w:spacing w:val="13"/>
          <w:sz w:val="22"/>
        </w:rPr>
        <w:t>and </w:t>
      </w:r>
      <w:r>
        <w:rPr>
          <w:spacing w:val="11"/>
          <w:sz w:val="22"/>
        </w:rPr>
        <w:t>honor </w:t>
      </w:r>
      <w:r>
        <w:rPr>
          <w:sz w:val="22"/>
        </w:rPr>
        <w:t>c</w:t>
      </w:r>
      <w:r>
        <w:rPr>
          <w:spacing w:val="-16"/>
          <w:sz w:val="22"/>
        </w:rPr>
        <w:t> </w:t>
      </w:r>
      <w:r>
        <w:rPr>
          <w:spacing w:val="16"/>
          <w:sz w:val="22"/>
        </w:rPr>
        <w:t>ode</w:t>
      </w:r>
      <w:r>
        <w:rPr>
          <w:spacing w:val="10"/>
          <w:sz w:val="22"/>
        </w:rPr>
        <w:t> </w:t>
      </w:r>
      <w:r>
        <w:rPr>
          <w:spacing w:val="9"/>
          <w:sz w:val="22"/>
        </w:rPr>
        <w:t>violations </w:t>
      </w:r>
      <w:r>
        <w:rPr>
          <w:sz w:val="22"/>
        </w:rPr>
        <w:t>as </w:t>
      </w:r>
      <w:r>
        <w:rPr>
          <w:spacing w:val="12"/>
          <w:sz w:val="22"/>
        </w:rPr>
        <w:t>defined </w:t>
      </w:r>
      <w:r>
        <w:rPr>
          <w:spacing w:val="13"/>
          <w:sz w:val="22"/>
        </w:rPr>
        <w:t>and </w:t>
      </w:r>
      <w:r>
        <w:rPr>
          <w:spacing w:val="9"/>
          <w:sz w:val="22"/>
        </w:rPr>
        <w:t>outlined </w:t>
      </w:r>
      <w:r>
        <w:rPr>
          <w:sz w:val="22"/>
        </w:rPr>
        <w:t>in </w:t>
      </w:r>
      <w:r>
        <w:rPr>
          <w:spacing w:val="9"/>
          <w:sz w:val="22"/>
        </w:rPr>
        <w:t>the </w:t>
      </w:r>
      <w:r>
        <w:rPr>
          <w:i/>
          <w:sz w:val="22"/>
        </w:rPr>
        <w:t>The </w:t>
      </w:r>
      <w:r>
        <w:rPr>
          <w:i/>
          <w:spacing w:val="10"/>
          <w:sz w:val="22"/>
        </w:rPr>
        <w:t>Official</w:t>
      </w:r>
      <w:r>
        <w:rPr>
          <w:i/>
          <w:spacing w:val="9"/>
          <w:sz w:val="22"/>
        </w:rPr>
        <w:t> </w:t>
      </w:r>
      <w:r>
        <w:rPr>
          <w:i/>
          <w:spacing w:val="12"/>
          <w:sz w:val="22"/>
        </w:rPr>
        <w:t>Student </w:t>
      </w:r>
      <w:r>
        <w:rPr>
          <w:i/>
          <w:spacing w:val="14"/>
          <w:sz w:val="22"/>
        </w:rPr>
        <w:t>Handbook,</w:t>
      </w:r>
      <w:r>
        <w:rPr>
          <w:i/>
          <w:spacing w:val="9"/>
          <w:sz w:val="22"/>
        </w:rPr>
        <w:t> </w:t>
      </w:r>
      <w:r>
        <w:rPr>
          <w:i/>
          <w:sz w:val="22"/>
        </w:rPr>
        <w:t>2011-2012 </w:t>
      </w:r>
      <w:r>
        <w:rPr>
          <w:sz w:val="22"/>
        </w:rPr>
        <w:t>for </w:t>
      </w:r>
      <w:r>
        <w:rPr>
          <w:spacing w:val="16"/>
          <w:sz w:val="22"/>
        </w:rPr>
        <w:t>Hampton</w:t>
      </w:r>
      <w:r>
        <w:rPr>
          <w:spacing w:val="13"/>
          <w:sz w:val="22"/>
        </w:rPr>
        <w:t> </w:t>
      </w:r>
      <w:r>
        <w:rPr>
          <w:sz w:val="22"/>
        </w:rPr>
        <w:t>University. These</w:t>
      </w:r>
    </w:p>
    <w:p>
      <w:pPr>
        <w:spacing w:line="295" w:lineRule="auto" w:before="3"/>
        <w:ind w:left="446" w:right="778" w:firstLine="7"/>
        <w:jc w:val="both"/>
        <w:rPr>
          <w:sz w:val="22"/>
        </w:rPr>
      </w:pPr>
      <w:r>
        <w:rPr>
          <w:spacing w:val="12"/>
          <w:sz w:val="22"/>
        </w:rPr>
        <w:t>proc</w:t>
      </w:r>
      <w:r>
        <w:rPr>
          <w:spacing w:val="-16"/>
          <w:sz w:val="22"/>
        </w:rPr>
        <w:t> </w:t>
      </w:r>
      <w:r>
        <w:rPr>
          <w:spacing w:val="11"/>
          <w:sz w:val="22"/>
        </w:rPr>
        <w:t>edures</w:t>
      </w:r>
      <w:r>
        <w:rPr>
          <w:spacing w:val="-15"/>
          <w:sz w:val="22"/>
        </w:rPr>
        <w:t> </w:t>
      </w:r>
      <w:r>
        <w:rPr>
          <w:sz w:val="22"/>
        </w:rPr>
        <w:t>are</w:t>
      </w:r>
      <w:r>
        <w:rPr>
          <w:spacing w:val="-15"/>
          <w:sz w:val="22"/>
        </w:rPr>
        <w:t> </w:t>
      </w:r>
      <w:r>
        <w:rPr>
          <w:spacing w:val="11"/>
          <w:sz w:val="22"/>
        </w:rPr>
        <w:t>not</w:t>
      </w:r>
      <w:r>
        <w:rPr>
          <w:spacing w:val="7"/>
          <w:sz w:val="22"/>
        </w:rPr>
        <w:t> </w:t>
      </w:r>
      <w:r>
        <w:rPr>
          <w:spacing w:val="15"/>
          <w:sz w:val="22"/>
        </w:rPr>
        <w:t>meant</w:t>
      </w:r>
      <w:r>
        <w:rPr>
          <w:spacing w:val="12"/>
          <w:sz w:val="22"/>
        </w:rPr>
        <w:t> </w:t>
      </w:r>
      <w:r>
        <w:rPr>
          <w:sz w:val="22"/>
        </w:rPr>
        <w:t>to</w:t>
      </w:r>
      <w:r>
        <w:rPr>
          <w:spacing w:val="25"/>
          <w:sz w:val="22"/>
        </w:rPr>
        <w:t> </w:t>
      </w:r>
      <w:r>
        <w:rPr>
          <w:sz w:val="22"/>
        </w:rPr>
        <w:t>c</w:t>
      </w:r>
      <w:r>
        <w:rPr>
          <w:spacing w:val="-16"/>
          <w:sz w:val="22"/>
        </w:rPr>
        <w:t> </w:t>
      </w:r>
      <w:r>
        <w:rPr>
          <w:spacing w:val="9"/>
          <w:sz w:val="22"/>
        </w:rPr>
        <w:t>onflict </w:t>
      </w:r>
      <w:r>
        <w:rPr>
          <w:sz w:val="22"/>
        </w:rPr>
        <w:t>with </w:t>
      </w:r>
      <w:r>
        <w:rPr>
          <w:spacing w:val="9"/>
          <w:sz w:val="22"/>
        </w:rPr>
        <w:t>those outlined </w:t>
      </w:r>
      <w:r>
        <w:rPr>
          <w:sz w:val="22"/>
        </w:rPr>
        <w:t>in </w:t>
      </w:r>
      <w:r>
        <w:rPr>
          <w:spacing w:val="9"/>
          <w:sz w:val="22"/>
        </w:rPr>
        <w:t>the </w:t>
      </w:r>
      <w:r>
        <w:rPr>
          <w:spacing w:val="10"/>
          <w:sz w:val="22"/>
        </w:rPr>
        <w:t>public</w:t>
      </w:r>
      <w:r>
        <w:rPr>
          <w:spacing w:val="-16"/>
          <w:sz w:val="22"/>
        </w:rPr>
        <w:t> </w:t>
      </w:r>
      <w:r>
        <w:rPr>
          <w:spacing w:val="10"/>
          <w:sz w:val="22"/>
        </w:rPr>
        <w:t>ation </w:t>
      </w:r>
      <w:r>
        <w:rPr>
          <w:sz w:val="22"/>
        </w:rPr>
        <w:t>a</w:t>
      </w:r>
      <w:r>
        <w:rPr>
          <w:spacing w:val="-16"/>
          <w:sz w:val="22"/>
        </w:rPr>
        <w:t> </w:t>
      </w:r>
      <w:r>
        <w:rPr>
          <w:spacing w:val="12"/>
          <w:sz w:val="22"/>
        </w:rPr>
        <w:t>bove, </w:t>
      </w:r>
      <w:r>
        <w:rPr>
          <w:spacing w:val="10"/>
          <w:sz w:val="22"/>
        </w:rPr>
        <w:t>but </w:t>
      </w:r>
      <w:r>
        <w:rPr>
          <w:sz w:val="22"/>
        </w:rPr>
        <w:t>to</w:t>
      </w:r>
      <w:r>
        <w:rPr>
          <w:spacing w:val="12"/>
          <w:sz w:val="22"/>
        </w:rPr>
        <w:t> make</w:t>
      </w:r>
      <w:r>
        <w:rPr>
          <w:spacing w:val="40"/>
          <w:sz w:val="22"/>
        </w:rPr>
        <w:t> </w:t>
      </w:r>
      <w:r>
        <w:rPr>
          <w:spacing w:val="12"/>
          <w:sz w:val="22"/>
        </w:rPr>
        <w:t>clear </w:t>
      </w:r>
      <w:r>
        <w:rPr>
          <w:spacing w:val="9"/>
          <w:sz w:val="22"/>
        </w:rPr>
        <w:t>the </w:t>
      </w:r>
      <w:r>
        <w:rPr>
          <w:spacing w:val="15"/>
          <w:sz w:val="22"/>
        </w:rPr>
        <w:t>Department’s </w:t>
      </w:r>
      <w:r>
        <w:rPr>
          <w:spacing w:val="12"/>
          <w:sz w:val="22"/>
        </w:rPr>
        <w:t>policy </w:t>
      </w:r>
      <w:r>
        <w:rPr>
          <w:sz w:val="22"/>
        </w:rPr>
        <w:t>for insuring</w:t>
      </w:r>
      <w:r>
        <w:rPr>
          <w:spacing w:val="36"/>
          <w:sz w:val="22"/>
        </w:rPr>
        <w:t> </w:t>
      </w:r>
      <w:r>
        <w:rPr>
          <w:sz w:val="22"/>
        </w:rPr>
        <w:t>uniform</w:t>
      </w:r>
      <w:r>
        <w:rPr>
          <w:spacing w:val="13"/>
          <w:sz w:val="22"/>
        </w:rPr>
        <w:t> and</w:t>
      </w:r>
      <w:r>
        <w:rPr>
          <w:spacing w:val="40"/>
          <w:sz w:val="22"/>
        </w:rPr>
        <w:t> </w:t>
      </w:r>
      <w:r>
        <w:rPr>
          <w:sz w:val="22"/>
        </w:rPr>
        <w:t>c</w:t>
      </w:r>
      <w:r>
        <w:rPr>
          <w:spacing w:val="-26"/>
          <w:sz w:val="22"/>
        </w:rPr>
        <w:t> </w:t>
      </w:r>
      <w:r>
        <w:rPr>
          <w:sz w:val="22"/>
        </w:rPr>
        <w:t>onsistent</w:t>
      </w:r>
      <w:r>
        <w:rPr>
          <w:spacing w:val="39"/>
          <w:sz w:val="22"/>
        </w:rPr>
        <w:t> </w:t>
      </w:r>
      <w:r>
        <w:rPr>
          <w:sz w:val="22"/>
        </w:rPr>
        <w:t>a</w:t>
      </w:r>
      <w:r>
        <w:rPr>
          <w:spacing w:val="-24"/>
          <w:sz w:val="22"/>
        </w:rPr>
        <w:t> </w:t>
      </w:r>
      <w:r>
        <w:rPr>
          <w:spacing w:val="11"/>
          <w:sz w:val="22"/>
        </w:rPr>
        <w:t>ction </w:t>
      </w:r>
      <w:r>
        <w:rPr>
          <w:sz w:val="22"/>
        </w:rPr>
        <w:t>for</w:t>
      </w:r>
    </w:p>
    <w:p>
      <w:pPr>
        <w:spacing w:line="252" w:lineRule="exact" w:before="0"/>
        <w:ind w:left="456" w:right="0" w:firstLine="0"/>
        <w:jc w:val="both"/>
        <w:rPr>
          <w:sz w:val="22"/>
        </w:rPr>
      </w:pPr>
      <w:r>
        <w:rPr>
          <w:sz w:val="22"/>
        </w:rPr>
        <w:t>c</w:t>
      </w:r>
      <w:r>
        <w:rPr>
          <w:spacing w:val="-26"/>
          <w:sz w:val="22"/>
        </w:rPr>
        <w:t> </w:t>
      </w:r>
      <w:r>
        <w:rPr>
          <w:sz w:val="22"/>
        </w:rPr>
        <w:t>ases</w:t>
      </w:r>
      <w:r>
        <w:rPr>
          <w:spacing w:val="5"/>
          <w:sz w:val="22"/>
        </w:rPr>
        <w:t> </w:t>
      </w:r>
      <w:r>
        <w:rPr>
          <w:sz w:val="22"/>
        </w:rPr>
        <w:t>involving</w:t>
      </w:r>
      <w:r>
        <w:rPr>
          <w:spacing w:val="40"/>
          <w:sz w:val="22"/>
        </w:rPr>
        <w:t> </w:t>
      </w:r>
      <w:r>
        <w:rPr>
          <w:spacing w:val="13"/>
          <w:sz w:val="22"/>
        </w:rPr>
        <w:t>cheating</w:t>
      </w:r>
      <w:r>
        <w:rPr>
          <w:spacing w:val="34"/>
          <w:sz w:val="22"/>
        </w:rPr>
        <w:t> </w:t>
      </w:r>
      <w:r>
        <w:rPr>
          <w:sz w:val="22"/>
        </w:rPr>
        <w:t>or</w:t>
      </w:r>
      <w:r>
        <w:rPr>
          <w:spacing w:val="23"/>
          <w:sz w:val="22"/>
        </w:rPr>
        <w:t> </w:t>
      </w:r>
      <w:r>
        <w:rPr>
          <w:spacing w:val="8"/>
          <w:sz w:val="22"/>
        </w:rPr>
        <w:t>plagiarism.</w:t>
      </w:r>
    </w:p>
    <w:p>
      <w:pPr>
        <w:pStyle w:val="BodyText"/>
        <w:spacing w:before="9"/>
        <w:rPr>
          <w:sz w:val="31"/>
        </w:rPr>
      </w:pPr>
    </w:p>
    <w:p>
      <w:pPr>
        <w:pStyle w:val="Heading8"/>
        <w:spacing w:before="1"/>
        <w:ind w:left="440"/>
        <w:jc w:val="both"/>
      </w:pPr>
      <w:r>
        <w:rPr>
          <w:w w:val="90"/>
        </w:rPr>
        <w:t>DISCIPLINARY</w:t>
      </w:r>
      <w:r>
        <w:rPr>
          <w:spacing w:val="31"/>
        </w:rPr>
        <w:t> </w:t>
      </w:r>
      <w:r>
        <w:rPr>
          <w:spacing w:val="-2"/>
          <w:w w:val="95"/>
        </w:rPr>
        <w:t>ACTIONS</w:t>
      </w:r>
    </w:p>
    <w:p>
      <w:pPr>
        <w:pStyle w:val="BodyText"/>
        <w:rPr>
          <w:b/>
          <w:sz w:val="32"/>
        </w:rPr>
      </w:pPr>
    </w:p>
    <w:p>
      <w:pPr>
        <w:spacing w:line="292" w:lineRule="auto" w:before="0"/>
        <w:ind w:left="450" w:right="927" w:hanging="9"/>
        <w:jc w:val="left"/>
        <w:rPr>
          <w:sz w:val="22"/>
        </w:rPr>
      </w:pPr>
      <w:r>
        <w:rPr>
          <w:sz w:val="22"/>
        </w:rPr>
        <w:t>When it is </w:t>
      </w:r>
      <w:r>
        <w:rPr>
          <w:spacing w:val="13"/>
          <w:sz w:val="22"/>
        </w:rPr>
        <w:t>determined </w:t>
      </w:r>
      <w:r>
        <w:rPr>
          <w:sz w:val="22"/>
        </w:rPr>
        <w:t>by a fa</w:t>
      </w:r>
      <w:r>
        <w:rPr>
          <w:spacing w:val="-31"/>
          <w:sz w:val="22"/>
        </w:rPr>
        <w:t> </w:t>
      </w:r>
      <w:r>
        <w:rPr>
          <w:sz w:val="22"/>
        </w:rPr>
        <w:t>culty or </w:t>
      </w:r>
      <w:r>
        <w:rPr>
          <w:spacing w:val="10"/>
          <w:sz w:val="22"/>
        </w:rPr>
        <w:t>staff </w:t>
      </w:r>
      <w:r>
        <w:rPr>
          <w:spacing w:val="16"/>
          <w:sz w:val="22"/>
        </w:rPr>
        <w:t>member</w:t>
      </w:r>
      <w:r>
        <w:rPr>
          <w:spacing w:val="7"/>
          <w:sz w:val="22"/>
        </w:rPr>
        <w:t> </w:t>
      </w:r>
      <w:r>
        <w:rPr>
          <w:spacing w:val="13"/>
          <w:sz w:val="22"/>
        </w:rPr>
        <w:t>that </w:t>
      </w:r>
      <w:r>
        <w:rPr>
          <w:sz w:val="22"/>
        </w:rPr>
        <w:t>a </w:t>
      </w:r>
      <w:r>
        <w:rPr>
          <w:spacing w:val="12"/>
          <w:sz w:val="22"/>
        </w:rPr>
        <w:t>student </w:t>
      </w:r>
      <w:r>
        <w:rPr>
          <w:spacing w:val="11"/>
          <w:sz w:val="22"/>
        </w:rPr>
        <w:t>has</w:t>
      </w:r>
      <w:r>
        <w:rPr>
          <w:spacing w:val="4"/>
          <w:sz w:val="22"/>
        </w:rPr>
        <w:t> </w:t>
      </w:r>
      <w:r>
        <w:rPr>
          <w:spacing w:val="12"/>
          <w:sz w:val="22"/>
        </w:rPr>
        <w:t>violated </w:t>
      </w:r>
      <w:r>
        <w:rPr>
          <w:spacing w:val="9"/>
          <w:sz w:val="22"/>
        </w:rPr>
        <w:t>the </w:t>
      </w:r>
      <w:r>
        <w:rPr>
          <w:spacing w:val="17"/>
          <w:sz w:val="22"/>
        </w:rPr>
        <w:t>Code</w:t>
      </w:r>
      <w:r>
        <w:rPr>
          <w:spacing w:val="12"/>
          <w:sz w:val="22"/>
        </w:rPr>
        <w:t> </w:t>
      </w:r>
      <w:r>
        <w:rPr>
          <w:sz w:val="22"/>
        </w:rPr>
        <w:t>of</w:t>
      </w:r>
      <w:r>
        <w:rPr>
          <w:spacing w:val="6"/>
          <w:sz w:val="22"/>
        </w:rPr>
        <w:t> </w:t>
      </w:r>
      <w:r>
        <w:rPr>
          <w:spacing w:val="15"/>
          <w:sz w:val="22"/>
        </w:rPr>
        <w:t>Conduct,</w:t>
      </w:r>
      <w:r>
        <w:rPr>
          <w:spacing w:val="4"/>
          <w:sz w:val="22"/>
        </w:rPr>
        <w:t> </w:t>
      </w:r>
      <w:r>
        <w:rPr>
          <w:sz w:val="22"/>
        </w:rPr>
        <w:t>as</w:t>
      </w:r>
      <w:r>
        <w:rPr>
          <w:spacing w:val="5"/>
          <w:sz w:val="22"/>
        </w:rPr>
        <w:t> </w:t>
      </w:r>
      <w:r>
        <w:rPr>
          <w:spacing w:val="13"/>
          <w:sz w:val="22"/>
        </w:rPr>
        <w:t>described</w:t>
      </w:r>
      <w:r>
        <w:rPr>
          <w:spacing w:val="6"/>
          <w:sz w:val="22"/>
        </w:rPr>
        <w:t> </w:t>
      </w:r>
      <w:r>
        <w:rPr>
          <w:sz w:val="22"/>
        </w:rPr>
        <w:t>in</w:t>
      </w:r>
      <w:r>
        <w:rPr>
          <w:spacing w:val="4"/>
          <w:sz w:val="22"/>
        </w:rPr>
        <w:t> </w:t>
      </w:r>
      <w:r>
        <w:rPr>
          <w:spacing w:val="9"/>
          <w:sz w:val="22"/>
        </w:rPr>
        <w:t>the</w:t>
      </w:r>
      <w:r>
        <w:rPr>
          <w:spacing w:val="2"/>
          <w:sz w:val="22"/>
        </w:rPr>
        <w:t> </w:t>
      </w:r>
      <w:r>
        <w:rPr>
          <w:i/>
          <w:spacing w:val="12"/>
          <w:sz w:val="22"/>
        </w:rPr>
        <w:t>Student</w:t>
      </w:r>
      <w:r>
        <w:rPr>
          <w:i/>
          <w:spacing w:val="-1"/>
          <w:sz w:val="22"/>
        </w:rPr>
        <w:t> </w:t>
      </w:r>
      <w:r>
        <w:rPr>
          <w:i/>
          <w:spacing w:val="17"/>
          <w:sz w:val="22"/>
        </w:rPr>
        <w:t>Handbook</w:t>
      </w:r>
      <w:r>
        <w:rPr>
          <w:i/>
          <w:spacing w:val="-4"/>
          <w:sz w:val="22"/>
        </w:rPr>
        <w:t> </w:t>
      </w:r>
      <w:r>
        <w:rPr>
          <w:sz w:val="22"/>
        </w:rPr>
        <w:t>(P.</w:t>
      </w:r>
      <w:r>
        <w:rPr>
          <w:spacing w:val="-8"/>
          <w:sz w:val="22"/>
        </w:rPr>
        <w:t> </w:t>
      </w:r>
      <w:r>
        <w:rPr>
          <w:sz w:val="22"/>
        </w:rPr>
        <w:t>14-18</w:t>
      </w:r>
      <w:r>
        <w:rPr>
          <w:spacing w:val="5"/>
          <w:sz w:val="22"/>
        </w:rPr>
        <w:t> </w:t>
      </w:r>
      <w:r>
        <w:rPr>
          <w:spacing w:val="13"/>
          <w:sz w:val="22"/>
        </w:rPr>
        <w:t>and</w:t>
      </w:r>
      <w:r>
        <w:rPr>
          <w:spacing w:val="6"/>
          <w:sz w:val="22"/>
        </w:rPr>
        <w:t> </w:t>
      </w:r>
      <w:r>
        <w:rPr>
          <w:sz w:val="22"/>
        </w:rPr>
        <w:t>69-78),</w:t>
      </w:r>
      <w:r>
        <w:rPr>
          <w:spacing w:val="-2"/>
          <w:sz w:val="22"/>
        </w:rPr>
        <w:t> </w:t>
      </w:r>
      <w:r>
        <w:rPr>
          <w:spacing w:val="4"/>
          <w:sz w:val="22"/>
        </w:rPr>
        <w:t>the</w:t>
      </w:r>
    </w:p>
    <w:p>
      <w:pPr>
        <w:spacing w:line="295" w:lineRule="auto" w:before="2"/>
        <w:ind w:left="446" w:right="642" w:hanging="3"/>
        <w:jc w:val="left"/>
        <w:rPr>
          <w:sz w:val="22"/>
        </w:rPr>
      </w:pPr>
      <w:r>
        <w:rPr>
          <w:spacing w:val="10"/>
          <w:sz w:val="22"/>
        </w:rPr>
        <w:t>following</w:t>
      </w:r>
      <w:r>
        <w:rPr>
          <w:spacing w:val="4"/>
          <w:sz w:val="22"/>
        </w:rPr>
        <w:t> </w:t>
      </w:r>
      <w:r>
        <w:rPr>
          <w:spacing w:val="11"/>
          <w:sz w:val="22"/>
        </w:rPr>
        <w:t>steps</w:t>
      </w:r>
      <w:r>
        <w:rPr>
          <w:spacing w:val="5"/>
          <w:sz w:val="22"/>
        </w:rPr>
        <w:t> </w:t>
      </w:r>
      <w:r>
        <w:rPr>
          <w:sz w:val="22"/>
        </w:rPr>
        <w:t>will </w:t>
      </w:r>
      <w:r>
        <w:rPr>
          <w:spacing w:val="12"/>
          <w:sz w:val="22"/>
        </w:rPr>
        <w:t>be</w:t>
      </w:r>
      <w:r>
        <w:rPr>
          <w:spacing w:val="10"/>
          <w:sz w:val="22"/>
        </w:rPr>
        <w:t> taken.</w:t>
      </w:r>
      <w:r>
        <w:rPr>
          <w:spacing w:val="-10"/>
          <w:sz w:val="22"/>
        </w:rPr>
        <w:t> </w:t>
      </w:r>
      <w:r>
        <w:rPr>
          <w:sz w:val="22"/>
        </w:rPr>
        <w:t>It</w:t>
      </w:r>
      <w:r>
        <w:rPr>
          <w:spacing w:val="-3"/>
          <w:sz w:val="22"/>
        </w:rPr>
        <w:t> </w:t>
      </w:r>
      <w:r>
        <w:rPr>
          <w:sz w:val="22"/>
        </w:rPr>
        <w:t>is</w:t>
      </w:r>
      <w:r>
        <w:rPr>
          <w:spacing w:val="-6"/>
          <w:sz w:val="22"/>
        </w:rPr>
        <w:t> </w:t>
      </w:r>
      <w:r>
        <w:rPr>
          <w:spacing w:val="14"/>
          <w:sz w:val="22"/>
        </w:rPr>
        <w:t>important</w:t>
      </w:r>
      <w:r>
        <w:rPr>
          <w:spacing w:val="5"/>
          <w:sz w:val="22"/>
        </w:rPr>
        <w:t> </w:t>
      </w:r>
      <w:r>
        <w:rPr>
          <w:spacing w:val="13"/>
          <w:sz w:val="22"/>
        </w:rPr>
        <w:t>that</w:t>
      </w:r>
      <w:r>
        <w:rPr>
          <w:spacing w:val="3"/>
          <w:sz w:val="22"/>
        </w:rPr>
        <w:t> </w:t>
      </w:r>
      <w:r>
        <w:rPr>
          <w:sz w:val="22"/>
        </w:rPr>
        <w:t>fa</w:t>
      </w:r>
      <w:r>
        <w:rPr>
          <w:spacing w:val="-31"/>
          <w:sz w:val="22"/>
        </w:rPr>
        <w:t> </w:t>
      </w:r>
      <w:r>
        <w:rPr>
          <w:sz w:val="22"/>
        </w:rPr>
        <w:t>culty </w:t>
      </w:r>
      <w:r>
        <w:rPr>
          <w:spacing w:val="13"/>
          <w:sz w:val="22"/>
        </w:rPr>
        <w:t>and</w:t>
      </w:r>
      <w:r>
        <w:rPr>
          <w:spacing w:val="7"/>
          <w:sz w:val="22"/>
        </w:rPr>
        <w:t> </w:t>
      </w:r>
      <w:r>
        <w:rPr>
          <w:spacing w:val="10"/>
          <w:sz w:val="22"/>
        </w:rPr>
        <w:t>staff</w:t>
      </w:r>
      <w:r>
        <w:rPr>
          <w:spacing w:val="2"/>
          <w:sz w:val="22"/>
        </w:rPr>
        <w:t> </w:t>
      </w:r>
      <w:r>
        <w:rPr>
          <w:spacing w:val="12"/>
          <w:sz w:val="22"/>
        </w:rPr>
        <w:t>understand </w:t>
      </w:r>
      <w:r>
        <w:rPr>
          <w:spacing w:val="13"/>
          <w:sz w:val="22"/>
        </w:rPr>
        <w:t>that</w:t>
      </w:r>
      <w:r>
        <w:rPr>
          <w:spacing w:val="11"/>
          <w:sz w:val="22"/>
        </w:rPr>
        <w:t> </w:t>
      </w:r>
      <w:r>
        <w:rPr>
          <w:spacing w:val="10"/>
          <w:sz w:val="22"/>
        </w:rPr>
        <w:t>where </w:t>
      </w:r>
      <w:r>
        <w:rPr>
          <w:spacing w:val="9"/>
          <w:sz w:val="22"/>
        </w:rPr>
        <w:t>these </w:t>
      </w:r>
      <w:r>
        <w:rPr>
          <w:spacing w:val="11"/>
          <w:sz w:val="22"/>
        </w:rPr>
        <w:t>steps </w:t>
      </w:r>
      <w:r>
        <w:rPr>
          <w:sz w:val="22"/>
        </w:rPr>
        <w:t>are </w:t>
      </w:r>
      <w:r>
        <w:rPr>
          <w:spacing w:val="11"/>
          <w:sz w:val="22"/>
        </w:rPr>
        <w:t>not </w:t>
      </w:r>
      <w:r>
        <w:rPr>
          <w:spacing w:val="12"/>
          <w:sz w:val="22"/>
        </w:rPr>
        <w:t>followed,</w:t>
      </w:r>
      <w:r>
        <w:rPr>
          <w:spacing w:val="7"/>
          <w:sz w:val="22"/>
        </w:rPr>
        <w:t> </w:t>
      </w:r>
      <w:r>
        <w:rPr>
          <w:sz w:val="22"/>
        </w:rPr>
        <w:t>no </w:t>
      </w:r>
      <w:r>
        <w:rPr>
          <w:spacing w:val="12"/>
          <w:sz w:val="22"/>
        </w:rPr>
        <w:t>rec</w:t>
      </w:r>
      <w:r>
        <w:rPr>
          <w:spacing w:val="-32"/>
          <w:sz w:val="22"/>
        </w:rPr>
        <w:t> </w:t>
      </w:r>
      <w:r>
        <w:rPr>
          <w:sz w:val="22"/>
        </w:rPr>
        <w:t>ord</w:t>
      </w:r>
      <w:r>
        <w:rPr>
          <w:spacing w:val="31"/>
          <w:sz w:val="22"/>
        </w:rPr>
        <w:t> </w:t>
      </w:r>
      <w:r>
        <w:rPr>
          <w:sz w:val="22"/>
        </w:rPr>
        <w:t>will exist of </w:t>
      </w:r>
      <w:r>
        <w:rPr>
          <w:spacing w:val="9"/>
          <w:sz w:val="22"/>
        </w:rPr>
        <w:t>the </w:t>
      </w:r>
      <w:r>
        <w:rPr>
          <w:spacing w:val="13"/>
          <w:sz w:val="22"/>
        </w:rPr>
        <w:t>incident and </w:t>
      </w:r>
      <w:r>
        <w:rPr>
          <w:sz w:val="22"/>
        </w:rPr>
        <w:t>no</w:t>
      </w:r>
      <w:r>
        <w:rPr>
          <w:spacing w:val="15"/>
          <w:sz w:val="22"/>
        </w:rPr>
        <w:t> charge </w:t>
      </w:r>
      <w:r>
        <w:rPr>
          <w:sz w:val="22"/>
        </w:rPr>
        <w:t>c</w:t>
      </w:r>
      <w:r>
        <w:rPr>
          <w:spacing w:val="-28"/>
          <w:sz w:val="22"/>
        </w:rPr>
        <w:t> </w:t>
      </w:r>
      <w:r>
        <w:rPr>
          <w:spacing w:val="10"/>
          <w:sz w:val="22"/>
        </w:rPr>
        <w:t>an </w:t>
      </w:r>
      <w:r>
        <w:rPr>
          <w:spacing w:val="11"/>
          <w:sz w:val="22"/>
        </w:rPr>
        <w:t>be </w:t>
      </w:r>
      <w:r>
        <w:rPr>
          <w:spacing w:val="12"/>
          <w:sz w:val="22"/>
        </w:rPr>
        <w:t>ma</w:t>
      </w:r>
      <w:r>
        <w:rPr>
          <w:spacing w:val="-27"/>
          <w:sz w:val="22"/>
        </w:rPr>
        <w:t> </w:t>
      </w:r>
      <w:r>
        <w:rPr>
          <w:spacing w:val="12"/>
          <w:sz w:val="22"/>
        </w:rPr>
        <w:t>de </w:t>
      </w:r>
      <w:r>
        <w:rPr>
          <w:spacing w:val="13"/>
          <w:sz w:val="22"/>
        </w:rPr>
        <w:t>that </w:t>
      </w:r>
      <w:r>
        <w:rPr>
          <w:sz w:val="22"/>
        </w:rPr>
        <w:t>a </w:t>
      </w:r>
      <w:r>
        <w:rPr>
          <w:spacing w:val="12"/>
          <w:sz w:val="22"/>
        </w:rPr>
        <w:t>student </w:t>
      </w:r>
      <w:r>
        <w:rPr>
          <w:spacing w:val="10"/>
          <w:sz w:val="22"/>
        </w:rPr>
        <w:t>has ever </w:t>
      </w:r>
      <w:r>
        <w:rPr>
          <w:spacing w:val="14"/>
          <w:sz w:val="22"/>
        </w:rPr>
        <w:t>been </w:t>
      </w:r>
      <w:r>
        <w:rPr>
          <w:sz w:val="22"/>
        </w:rPr>
        <w:t>guilty of misc</w:t>
      </w:r>
      <w:r>
        <w:rPr>
          <w:spacing w:val="-27"/>
          <w:sz w:val="22"/>
        </w:rPr>
        <w:t> </w:t>
      </w:r>
      <w:r>
        <w:rPr>
          <w:spacing w:val="14"/>
          <w:sz w:val="22"/>
        </w:rPr>
        <w:t>onduct.</w:t>
      </w:r>
    </w:p>
    <w:p>
      <w:pPr>
        <w:pStyle w:val="ListParagraph"/>
        <w:numPr>
          <w:ilvl w:val="0"/>
          <w:numId w:val="71"/>
        </w:numPr>
        <w:tabs>
          <w:tab w:pos="1520" w:val="left" w:leader="none"/>
          <w:tab w:pos="1521" w:val="left" w:leader="none"/>
        </w:tabs>
        <w:spacing w:line="256" w:lineRule="auto" w:before="0" w:after="0"/>
        <w:ind w:left="1526" w:right="1010" w:hanging="727"/>
        <w:jc w:val="left"/>
        <w:rPr>
          <w:sz w:val="22"/>
        </w:rPr>
      </w:pPr>
      <w:r>
        <w:rPr>
          <w:sz w:val="22"/>
        </w:rPr>
        <w:t>Fa</w:t>
      </w:r>
      <w:r>
        <w:rPr>
          <w:spacing w:val="-32"/>
          <w:sz w:val="22"/>
        </w:rPr>
        <w:t> </w:t>
      </w:r>
      <w:r>
        <w:rPr>
          <w:sz w:val="22"/>
        </w:rPr>
        <w:t>culty will </w:t>
      </w:r>
      <w:r>
        <w:rPr>
          <w:spacing w:val="11"/>
          <w:sz w:val="22"/>
        </w:rPr>
        <w:t>report,</w:t>
      </w:r>
      <w:r>
        <w:rPr>
          <w:spacing w:val="-1"/>
          <w:sz w:val="22"/>
        </w:rPr>
        <w:t> </w:t>
      </w:r>
      <w:r>
        <w:rPr>
          <w:sz w:val="22"/>
        </w:rPr>
        <w:t>in writing, </w:t>
      </w:r>
      <w:r>
        <w:rPr>
          <w:spacing w:val="9"/>
          <w:sz w:val="22"/>
        </w:rPr>
        <w:t>the </w:t>
      </w:r>
      <w:r>
        <w:rPr>
          <w:spacing w:val="14"/>
          <w:sz w:val="22"/>
        </w:rPr>
        <w:t>charge,</w:t>
      </w:r>
      <w:r>
        <w:rPr>
          <w:spacing w:val="-1"/>
          <w:sz w:val="22"/>
        </w:rPr>
        <w:t> </w:t>
      </w:r>
      <w:r>
        <w:rPr>
          <w:spacing w:val="11"/>
          <w:sz w:val="22"/>
        </w:rPr>
        <w:t>including </w:t>
      </w:r>
      <w:r>
        <w:rPr>
          <w:sz w:val="22"/>
        </w:rPr>
        <w:t>all </w:t>
      </w:r>
      <w:r>
        <w:rPr>
          <w:spacing w:val="13"/>
          <w:sz w:val="22"/>
        </w:rPr>
        <w:t>evidenc</w:t>
      </w:r>
      <w:r>
        <w:rPr>
          <w:spacing w:val="-33"/>
          <w:sz w:val="22"/>
        </w:rPr>
        <w:t> </w:t>
      </w:r>
      <w:r>
        <w:rPr>
          <w:sz w:val="22"/>
        </w:rPr>
        <w:t>e sup</w:t>
      </w:r>
      <w:r>
        <w:rPr>
          <w:spacing w:val="-32"/>
          <w:sz w:val="22"/>
        </w:rPr>
        <w:t> </w:t>
      </w:r>
      <w:r>
        <w:rPr>
          <w:spacing w:val="10"/>
          <w:sz w:val="22"/>
        </w:rPr>
        <w:t>porting </w:t>
      </w:r>
      <w:r>
        <w:rPr>
          <w:spacing w:val="9"/>
          <w:sz w:val="22"/>
        </w:rPr>
        <w:t>the</w:t>
      </w:r>
      <w:r>
        <w:rPr>
          <w:spacing w:val="12"/>
          <w:sz w:val="22"/>
        </w:rPr>
        <w:t> determination </w:t>
      </w:r>
      <w:r>
        <w:rPr>
          <w:spacing w:val="9"/>
          <w:sz w:val="22"/>
        </w:rPr>
        <w:t>the </w:t>
      </w:r>
      <w:r>
        <w:rPr>
          <w:spacing w:val="17"/>
          <w:sz w:val="22"/>
        </w:rPr>
        <w:t>Code </w:t>
      </w:r>
      <w:r>
        <w:rPr>
          <w:sz w:val="22"/>
        </w:rPr>
        <w:t>of</w:t>
      </w:r>
      <w:r>
        <w:rPr>
          <w:spacing w:val="16"/>
          <w:sz w:val="22"/>
        </w:rPr>
        <w:t> Conduct </w:t>
      </w:r>
      <w:r>
        <w:rPr>
          <w:spacing w:val="10"/>
          <w:sz w:val="22"/>
        </w:rPr>
        <w:t>violation.</w:t>
      </w:r>
      <w:r>
        <w:rPr>
          <w:spacing w:val="7"/>
          <w:sz w:val="22"/>
        </w:rPr>
        <w:t> </w:t>
      </w:r>
      <w:r>
        <w:rPr>
          <w:sz w:val="22"/>
        </w:rPr>
        <w:t>Fa</w:t>
      </w:r>
      <w:r>
        <w:rPr>
          <w:spacing w:val="-29"/>
          <w:sz w:val="22"/>
        </w:rPr>
        <w:t> </w:t>
      </w:r>
      <w:r>
        <w:rPr>
          <w:sz w:val="22"/>
        </w:rPr>
        <w:t>culty</w:t>
      </w:r>
      <w:r>
        <w:rPr>
          <w:spacing w:val="27"/>
          <w:sz w:val="22"/>
        </w:rPr>
        <w:t> </w:t>
      </w:r>
      <w:r>
        <w:rPr>
          <w:sz w:val="22"/>
        </w:rPr>
        <w:t>will</w:t>
      </w:r>
      <w:r>
        <w:rPr>
          <w:spacing w:val="29"/>
          <w:sz w:val="22"/>
        </w:rPr>
        <w:t> </w:t>
      </w:r>
      <w:r>
        <w:rPr>
          <w:sz w:val="22"/>
        </w:rPr>
        <w:t>c</w:t>
      </w:r>
      <w:r>
        <w:rPr>
          <w:spacing w:val="-29"/>
          <w:sz w:val="22"/>
        </w:rPr>
        <w:t> </w:t>
      </w:r>
      <w:r>
        <w:rPr>
          <w:sz w:val="22"/>
        </w:rPr>
        <w:t>ounsel the</w:t>
      </w:r>
    </w:p>
    <w:p>
      <w:pPr>
        <w:spacing w:line="254" w:lineRule="auto" w:before="0"/>
        <w:ind w:left="1520" w:right="642" w:firstLine="0"/>
        <w:jc w:val="left"/>
        <w:rPr>
          <w:sz w:val="22"/>
        </w:rPr>
      </w:pPr>
      <w:r>
        <w:rPr>
          <w:spacing w:val="12"/>
          <w:sz w:val="22"/>
        </w:rPr>
        <w:t>student,</w:t>
      </w:r>
      <w:r>
        <w:rPr>
          <w:spacing w:val="-14"/>
          <w:sz w:val="22"/>
        </w:rPr>
        <w:t> </w:t>
      </w:r>
      <w:r>
        <w:rPr>
          <w:sz w:val="22"/>
        </w:rPr>
        <w:t>using </w:t>
      </w:r>
      <w:r>
        <w:rPr>
          <w:spacing w:val="9"/>
          <w:sz w:val="22"/>
        </w:rPr>
        <w:t>the </w:t>
      </w:r>
      <w:r>
        <w:rPr>
          <w:spacing w:val="12"/>
          <w:sz w:val="22"/>
        </w:rPr>
        <w:t>ap</w:t>
      </w:r>
      <w:r>
        <w:rPr>
          <w:spacing w:val="-33"/>
          <w:sz w:val="22"/>
        </w:rPr>
        <w:t> </w:t>
      </w:r>
      <w:r>
        <w:rPr>
          <w:spacing w:val="13"/>
          <w:sz w:val="22"/>
        </w:rPr>
        <w:t>proved</w:t>
      </w:r>
      <w:r>
        <w:rPr>
          <w:spacing w:val="4"/>
          <w:sz w:val="22"/>
        </w:rPr>
        <w:t> </w:t>
      </w:r>
      <w:r>
        <w:rPr>
          <w:spacing w:val="11"/>
          <w:sz w:val="22"/>
        </w:rPr>
        <w:t>Dep</w:t>
      </w:r>
      <w:r>
        <w:rPr>
          <w:spacing w:val="-33"/>
          <w:sz w:val="22"/>
        </w:rPr>
        <w:t> </w:t>
      </w:r>
      <w:r>
        <w:rPr>
          <w:spacing w:val="12"/>
          <w:sz w:val="22"/>
        </w:rPr>
        <w:t>artment</w:t>
      </w:r>
      <w:r>
        <w:rPr>
          <w:spacing w:val="5"/>
          <w:sz w:val="22"/>
        </w:rPr>
        <w:t> </w:t>
      </w:r>
      <w:r>
        <w:rPr>
          <w:sz w:val="22"/>
        </w:rPr>
        <w:t>of </w:t>
      </w:r>
      <w:r>
        <w:rPr>
          <w:spacing w:val="12"/>
          <w:sz w:val="22"/>
        </w:rPr>
        <w:t>Architecture</w:t>
      </w:r>
      <w:r>
        <w:rPr>
          <w:spacing w:val="-1"/>
          <w:sz w:val="22"/>
        </w:rPr>
        <w:t> </w:t>
      </w:r>
      <w:r>
        <w:rPr>
          <w:i/>
          <w:spacing w:val="12"/>
          <w:sz w:val="22"/>
        </w:rPr>
        <w:t>Student</w:t>
      </w:r>
      <w:r>
        <w:rPr>
          <w:i/>
          <w:spacing w:val="4"/>
          <w:sz w:val="22"/>
        </w:rPr>
        <w:t> </w:t>
      </w:r>
      <w:r>
        <w:rPr>
          <w:i/>
          <w:spacing w:val="9"/>
          <w:sz w:val="22"/>
        </w:rPr>
        <w:t>Counseling </w:t>
      </w:r>
      <w:r>
        <w:rPr>
          <w:i/>
          <w:spacing w:val="14"/>
          <w:sz w:val="22"/>
        </w:rPr>
        <w:t>Record </w:t>
      </w:r>
      <w:r>
        <w:rPr>
          <w:spacing w:val="9"/>
          <w:sz w:val="22"/>
        </w:rPr>
        <w:t>form, </w:t>
      </w:r>
      <w:r>
        <w:rPr>
          <w:spacing w:val="10"/>
          <w:sz w:val="22"/>
        </w:rPr>
        <w:t>describing </w:t>
      </w:r>
      <w:r>
        <w:rPr>
          <w:sz w:val="22"/>
        </w:rPr>
        <w:t>in </w:t>
      </w:r>
      <w:r>
        <w:rPr>
          <w:spacing w:val="12"/>
          <w:sz w:val="22"/>
        </w:rPr>
        <w:t>detail allegation </w:t>
      </w:r>
      <w:r>
        <w:rPr>
          <w:sz w:val="22"/>
        </w:rPr>
        <w:t>with </w:t>
      </w:r>
      <w:r>
        <w:rPr>
          <w:spacing w:val="9"/>
          <w:sz w:val="22"/>
        </w:rPr>
        <w:t>the </w:t>
      </w:r>
      <w:r>
        <w:rPr>
          <w:spacing w:val="11"/>
          <w:sz w:val="22"/>
        </w:rPr>
        <w:t>student.</w:t>
      </w:r>
    </w:p>
    <w:p>
      <w:pPr>
        <w:pStyle w:val="ListParagraph"/>
        <w:numPr>
          <w:ilvl w:val="0"/>
          <w:numId w:val="71"/>
        </w:numPr>
        <w:tabs>
          <w:tab w:pos="1520" w:val="left" w:leader="none"/>
          <w:tab w:pos="1521" w:val="left" w:leader="none"/>
        </w:tabs>
        <w:spacing w:line="254" w:lineRule="auto" w:before="0" w:after="0"/>
        <w:ind w:left="1526" w:right="796" w:hanging="727"/>
        <w:jc w:val="left"/>
        <w:rPr>
          <w:sz w:val="22"/>
        </w:rPr>
      </w:pPr>
      <w:r>
        <w:rPr>
          <w:sz w:val="22"/>
        </w:rPr>
        <w:t>The </w:t>
      </w:r>
      <w:r>
        <w:rPr>
          <w:spacing w:val="13"/>
          <w:sz w:val="22"/>
        </w:rPr>
        <w:t>student </w:t>
      </w:r>
      <w:r>
        <w:rPr>
          <w:sz w:val="22"/>
        </w:rPr>
        <w:t>will sign</w:t>
      </w:r>
      <w:r>
        <w:rPr>
          <w:spacing w:val="20"/>
          <w:sz w:val="22"/>
        </w:rPr>
        <w:t> </w:t>
      </w:r>
      <w:r>
        <w:rPr>
          <w:sz w:val="22"/>
        </w:rPr>
        <w:t>a</w:t>
      </w:r>
      <w:r>
        <w:rPr>
          <w:spacing w:val="32"/>
          <w:sz w:val="22"/>
        </w:rPr>
        <w:t> </w:t>
      </w:r>
      <w:r>
        <w:rPr>
          <w:sz w:val="22"/>
        </w:rPr>
        <w:t>c</w:t>
      </w:r>
      <w:r>
        <w:rPr>
          <w:spacing w:val="-32"/>
          <w:sz w:val="22"/>
        </w:rPr>
        <w:t> </w:t>
      </w:r>
      <w:r>
        <w:rPr>
          <w:spacing w:val="14"/>
          <w:sz w:val="22"/>
        </w:rPr>
        <w:t>opy </w:t>
      </w:r>
      <w:r>
        <w:rPr>
          <w:sz w:val="22"/>
        </w:rPr>
        <w:t>of </w:t>
      </w:r>
      <w:r>
        <w:rPr>
          <w:spacing w:val="9"/>
          <w:sz w:val="22"/>
        </w:rPr>
        <w:t>the form, </w:t>
      </w:r>
      <w:r>
        <w:rPr>
          <w:spacing w:val="13"/>
          <w:sz w:val="22"/>
        </w:rPr>
        <w:t>and </w:t>
      </w:r>
      <w:r>
        <w:rPr>
          <w:sz w:val="22"/>
        </w:rPr>
        <w:t>a</w:t>
      </w:r>
      <w:r>
        <w:rPr>
          <w:spacing w:val="32"/>
          <w:sz w:val="22"/>
        </w:rPr>
        <w:t> </w:t>
      </w:r>
      <w:r>
        <w:rPr>
          <w:sz w:val="22"/>
        </w:rPr>
        <w:t>c</w:t>
      </w:r>
      <w:r>
        <w:rPr>
          <w:spacing w:val="-32"/>
          <w:sz w:val="22"/>
        </w:rPr>
        <w:t> </w:t>
      </w:r>
      <w:r>
        <w:rPr>
          <w:spacing w:val="14"/>
          <w:sz w:val="22"/>
        </w:rPr>
        <w:t>opy </w:t>
      </w:r>
      <w:r>
        <w:rPr>
          <w:sz w:val="22"/>
        </w:rPr>
        <w:t>will</w:t>
      </w:r>
      <w:r>
        <w:rPr>
          <w:spacing w:val="11"/>
          <w:sz w:val="22"/>
        </w:rPr>
        <w:t> be </w:t>
      </w:r>
      <w:r>
        <w:rPr>
          <w:spacing w:val="12"/>
          <w:sz w:val="22"/>
        </w:rPr>
        <w:t>ma</w:t>
      </w:r>
      <w:r>
        <w:rPr>
          <w:spacing w:val="-32"/>
          <w:sz w:val="22"/>
        </w:rPr>
        <w:t> </w:t>
      </w:r>
      <w:r>
        <w:rPr>
          <w:spacing w:val="12"/>
          <w:sz w:val="22"/>
        </w:rPr>
        <w:t>de available </w:t>
      </w:r>
      <w:r>
        <w:rPr>
          <w:sz w:val="22"/>
        </w:rPr>
        <w:t>to</w:t>
      </w:r>
      <w:r>
        <w:rPr>
          <w:spacing w:val="9"/>
          <w:sz w:val="22"/>
        </w:rPr>
        <w:t> the</w:t>
      </w:r>
      <w:r>
        <w:rPr>
          <w:spacing w:val="8"/>
          <w:sz w:val="22"/>
        </w:rPr>
        <w:t> </w:t>
      </w:r>
      <w:r>
        <w:rPr>
          <w:spacing w:val="12"/>
          <w:sz w:val="22"/>
        </w:rPr>
        <w:t>student,</w:t>
      </w:r>
      <w:r>
        <w:rPr>
          <w:spacing w:val="10"/>
          <w:sz w:val="22"/>
        </w:rPr>
        <w:t> </w:t>
      </w:r>
      <w:r>
        <w:rPr>
          <w:spacing w:val="13"/>
          <w:sz w:val="22"/>
        </w:rPr>
        <w:t>and </w:t>
      </w:r>
      <w:r>
        <w:rPr>
          <w:sz w:val="22"/>
        </w:rPr>
        <w:t>a</w:t>
      </w:r>
      <w:r>
        <w:rPr>
          <w:spacing w:val="28"/>
          <w:sz w:val="22"/>
        </w:rPr>
        <w:t> </w:t>
      </w:r>
      <w:r>
        <w:rPr>
          <w:sz w:val="22"/>
        </w:rPr>
        <w:t>c</w:t>
      </w:r>
      <w:r>
        <w:rPr>
          <w:spacing w:val="-33"/>
          <w:sz w:val="22"/>
        </w:rPr>
        <w:t> </w:t>
      </w:r>
      <w:r>
        <w:rPr>
          <w:spacing w:val="14"/>
          <w:sz w:val="22"/>
        </w:rPr>
        <w:t>opy</w:t>
      </w:r>
      <w:r>
        <w:rPr>
          <w:spacing w:val="13"/>
          <w:sz w:val="22"/>
        </w:rPr>
        <w:t> </w:t>
      </w:r>
      <w:r>
        <w:rPr>
          <w:sz w:val="22"/>
        </w:rPr>
        <w:t>will</w:t>
      </w:r>
      <w:r>
        <w:rPr>
          <w:spacing w:val="11"/>
          <w:sz w:val="22"/>
        </w:rPr>
        <w:t> be </w:t>
      </w:r>
      <w:r>
        <w:rPr>
          <w:sz w:val="22"/>
        </w:rPr>
        <w:t>pla</w:t>
      </w:r>
      <w:r>
        <w:rPr>
          <w:spacing w:val="-33"/>
          <w:sz w:val="22"/>
        </w:rPr>
        <w:t> </w:t>
      </w:r>
      <w:r>
        <w:rPr>
          <w:sz w:val="22"/>
        </w:rPr>
        <w:t>c</w:t>
      </w:r>
      <w:r>
        <w:rPr>
          <w:spacing w:val="-34"/>
          <w:sz w:val="22"/>
        </w:rPr>
        <w:t> </w:t>
      </w:r>
      <w:r>
        <w:rPr>
          <w:spacing w:val="12"/>
          <w:sz w:val="22"/>
        </w:rPr>
        <w:t>ed</w:t>
      </w:r>
      <w:r>
        <w:rPr>
          <w:spacing w:val="9"/>
          <w:sz w:val="22"/>
        </w:rPr>
        <w:t> </w:t>
      </w:r>
      <w:r>
        <w:rPr>
          <w:sz w:val="22"/>
        </w:rPr>
        <w:t>in </w:t>
      </w:r>
      <w:r>
        <w:rPr>
          <w:spacing w:val="9"/>
          <w:sz w:val="22"/>
        </w:rPr>
        <w:t>the</w:t>
      </w:r>
      <w:r>
        <w:rPr>
          <w:spacing w:val="8"/>
          <w:sz w:val="22"/>
        </w:rPr>
        <w:t> </w:t>
      </w:r>
      <w:r>
        <w:rPr>
          <w:spacing w:val="13"/>
          <w:sz w:val="22"/>
        </w:rPr>
        <w:t>student’s</w:t>
      </w:r>
      <w:r>
        <w:rPr>
          <w:spacing w:val="1"/>
          <w:sz w:val="22"/>
        </w:rPr>
        <w:t> </w:t>
      </w:r>
      <w:r>
        <w:rPr>
          <w:spacing w:val="11"/>
          <w:sz w:val="22"/>
        </w:rPr>
        <w:t>Dep</w:t>
      </w:r>
      <w:r>
        <w:rPr>
          <w:spacing w:val="-33"/>
          <w:sz w:val="22"/>
        </w:rPr>
        <w:t> </w:t>
      </w:r>
      <w:r>
        <w:rPr>
          <w:spacing w:val="12"/>
          <w:sz w:val="22"/>
        </w:rPr>
        <w:t>artmental</w:t>
      </w:r>
      <w:r>
        <w:rPr>
          <w:spacing w:val="3"/>
          <w:sz w:val="22"/>
        </w:rPr>
        <w:t> </w:t>
      </w:r>
      <w:r>
        <w:rPr>
          <w:sz w:val="22"/>
        </w:rPr>
        <w:t>file.</w:t>
      </w:r>
    </w:p>
    <w:p>
      <w:pPr>
        <w:pStyle w:val="ListParagraph"/>
        <w:numPr>
          <w:ilvl w:val="0"/>
          <w:numId w:val="71"/>
        </w:numPr>
        <w:tabs>
          <w:tab w:pos="1520" w:val="left" w:leader="none"/>
          <w:tab w:pos="1521" w:val="left" w:leader="none"/>
        </w:tabs>
        <w:spacing w:line="240" w:lineRule="auto" w:before="3" w:after="0"/>
        <w:ind w:left="1520" w:right="0" w:hanging="721"/>
        <w:jc w:val="left"/>
        <w:rPr>
          <w:sz w:val="22"/>
        </w:rPr>
      </w:pPr>
      <w:r>
        <w:rPr>
          <w:sz w:val="22"/>
        </w:rPr>
        <w:t>The</w:t>
      </w:r>
      <w:r>
        <w:rPr>
          <w:spacing w:val="10"/>
          <w:sz w:val="22"/>
        </w:rPr>
        <w:t> </w:t>
      </w:r>
      <w:r>
        <w:rPr>
          <w:spacing w:val="9"/>
          <w:sz w:val="22"/>
        </w:rPr>
        <w:t>Chair</w:t>
      </w:r>
      <w:r>
        <w:rPr>
          <w:spacing w:val="4"/>
          <w:sz w:val="22"/>
        </w:rPr>
        <w:t> </w:t>
      </w:r>
      <w:r>
        <w:rPr>
          <w:sz w:val="22"/>
        </w:rPr>
        <w:t>will</w:t>
      </w:r>
      <w:r>
        <w:rPr>
          <w:spacing w:val="-9"/>
          <w:sz w:val="22"/>
        </w:rPr>
        <w:t> </w:t>
      </w:r>
      <w:r>
        <w:rPr>
          <w:spacing w:val="10"/>
          <w:sz w:val="22"/>
        </w:rPr>
        <w:t>review</w:t>
      </w:r>
      <w:r>
        <w:rPr>
          <w:spacing w:val="8"/>
          <w:sz w:val="22"/>
        </w:rPr>
        <w:t> </w:t>
      </w:r>
      <w:r>
        <w:rPr>
          <w:sz w:val="22"/>
        </w:rPr>
        <w:t>the</w:t>
      </w:r>
      <w:r>
        <w:rPr>
          <w:spacing w:val="2"/>
          <w:sz w:val="22"/>
        </w:rPr>
        <w:t> </w:t>
      </w:r>
      <w:r>
        <w:rPr>
          <w:spacing w:val="13"/>
          <w:sz w:val="22"/>
        </w:rPr>
        <w:t>student’s</w:t>
      </w:r>
      <w:r>
        <w:rPr>
          <w:spacing w:val="-4"/>
          <w:sz w:val="22"/>
        </w:rPr>
        <w:t> </w:t>
      </w:r>
      <w:r>
        <w:rPr>
          <w:sz w:val="22"/>
        </w:rPr>
        <w:t>file</w:t>
      </w:r>
      <w:r>
        <w:rPr>
          <w:spacing w:val="8"/>
          <w:sz w:val="22"/>
        </w:rPr>
        <w:t> </w:t>
      </w:r>
      <w:r>
        <w:rPr>
          <w:sz w:val="22"/>
        </w:rPr>
        <w:t>to</w:t>
      </w:r>
      <w:r>
        <w:rPr>
          <w:spacing w:val="15"/>
          <w:sz w:val="22"/>
        </w:rPr>
        <w:t> </w:t>
      </w:r>
      <w:r>
        <w:rPr>
          <w:spacing w:val="11"/>
          <w:sz w:val="22"/>
        </w:rPr>
        <w:t>determine</w:t>
      </w:r>
      <w:r>
        <w:rPr>
          <w:spacing w:val="2"/>
          <w:sz w:val="22"/>
        </w:rPr>
        <w:t> </w:t>
      </w:r>
      <w:r>
        <w:rPr>
          <w:sz w:val="22"/>
        </w:rPr>
        <w:t>if</w:t>
      </w:r>
      <w:r>
        <w:rPr>
          <w:spacing w:val="6"/>
          <w:sz w:val="22"/>
        </w:rPr>
        <w:t> </w:t>
      </w:r>
      <w:r>
        <w:rPr>
          <w:spacing w:val="11"/>
          <w:sz w:val="22"/>
        </w:rPr>
        <w:t>other</w:t>
      </w:r>
      <w:r>
        <w:rPr>
          <w:spacing w:val="-7"/>
          <w:sz w:val="22"/>
        </w:rPr>
        <w:t> </w:t>
      </w:r>
      <w:r>
        <w:rPr>
          <w:spacing w:val="12"/>
          <w:sz w:val="22"/>
        </w:rPr>
        <w:t>incidents</w:t>
      </w:r>
      <w:r>
        <w:rPr>
          <w:spacing w:val="-2"/>
          <w:sz w:val="22"/>
        </w:rPr>
        <w:t> </w:t>
      </w:r>
      <w:r>
        <w:rPr>
          <w:spacing w:val="9"/>
          <w:sz w:val="22"/>
        </w:rPr>
        <w:t>have</w:t>
      </w:r>
    </w:p>
    <w:p>
      <w:pPr>
        <w:spacing w:line="254" w:lineRule="auto" w:before="16"/>
        <w:ind w:left="1536" w:right="642" w:hanging="6"/>
        <w:jc w:val="left"/>
        <w:rPr>
          <w:sz w:val="22"/>
        </w:rPr>
      </w:pPr>
      <w:r>
        <w:rPr>
          <w:spacing w:val="13"/>
          <w:sz w:val="22"/>
        </w:rPr>
        <w:t>oc</w:t>
      </w:r>
      <w:r>
        <w:rPr>
          <w:spacing w:val="-28"/>
          <w:sz w:val="22"/>
        </w:rPr>
        <w:t> </w:t>
      </w:r>
      <w:r>
        <w:rPr>
          <w:spacing w:val="9"/>
          <w:sz w:val="22"/>
        </w:rPr>
        <w:t>curred </w:t>
      </w:r>
      <w:r>
        <w:rPr>
          <w:spacing w:val="13"/>
          <w:sz w:val="22"/>
        </w:rPr>
        <w:t>and </w:t>
      </w:r>
      <w:r>
        <w:rPr>
          <w:spacing w:val="14"/>
          <w:sz w:val="22"/>
        </w:rPr>
        <w:t>meet </w:t>
      </w:r>
      <w:r>
        <w:rPr>
          <w:sz w:val="22"/>
        </w:rPr>
        <w:t>with </w:t>
      </w:r>
      <w:r>
        <w:rPr>
          <w:spacing w:val="9"/>
          <w:sz w:val="22"/>
        </w:rPr>
        <w:t>the</w:t>
      </w:r>
      <w:r>
        <w:rPr>
          <w:spacing w:val="6"/>
          <w:sz w:val="22"/>
        </w:rPr>
        <w:t> </w:t>
      </w:r>
      <w:r>
        <w:rPr>
          <w:spacing w:val="13"/>
          <w:sz w:val="22"/>
        </w:rPr>
        <w:t>student</w:t>
      </w:r>
      <w:r>
        <w:rPr>
          <w:spacing w:val="9"/>
          <w:sz w:val="22"/>
        </w:rPr>
        <w:t> </w:t>
      </w:r>
      <w:r>
        <w:rPr>
          <w:sz w:val="22"/>
        </w:rPr>
        <w:t>to </w:t>
      </w:r>
      <w:r>
        <w:rPr>
          <w:spacing w:val="9"/>
          <w:sz w:val="22"/>
        </w:rPr>
        <w:t>share </w:t>
      </w:r>
      <w:r>
        <w:rPr>
          <w:sz w:val="22"/>
        </w:rPr>
        <w:t>his/</w:t>
      </w:r>
      <w:r>
        <w:rPr>
          <w:spacing w:val="-39"/>
          <w:sz w:val="22"/>
        </w:rPr>
        <w:t> </w:t>
      </w:r>
      <w:r>
        <w:rPr>
          <w:sz w:val="22"/>
        </w:rPr>
        <w:t>her </w:t>
      </w:r>
      <w:r>
        <w:rPr>
          <w:spacing w:val="9"/>
          <w:sz w:val="22"/>
        </w:rPr>
        <w:t>findings</w:t>
      </w:r>
      <w:r>
        <w:rPr>
          <w:spacing w:val="-4"/>
          <w:sz w:val="22"/>
        </w:rPr>
        <w:t> </w:t>
      </w:r>
      <w:r>
        <w:rPr>
          <w:sz w:val="22"/>
        </w:rPr>
        <w:t>in </w:t>
      </w:r>
      <w:r>
        <w:rPr>
          <w:spacing w:val="9"/>
          <w:sz w:val="22"/>
        </w:rPr>
        <w:t>the </w:t>
      </w:r>
      <w:r>
        <w:rPr>
          <w:sz w:val="22"/>
        </w:rPr>
        <w:t>c</w:t>
      </w:r>
      <w:r>
        <w:rPr>
          <w:spacing w:val="-30"/>
          <w:sz w:val="22"/>
        </w:rPr>
        <w:t> </w:t>
      </w:r>
      <w:r>
        <w:rPr>
          <w:sz w:val="22"/>
        </w:rPr>
        <w:t>ase.</w:t>
      </w:r>
      <w:r>
        <w:rPr>
          <w:spacing w:val="-5"/>
          <w:sz w:val="22"/>
        </w:rPr>
        <w:t> </w:t>
      </w:r>
      <w:r>
        <w:rPr>
          <w:sz w:val="22"/>
        </w:rPr>
        <w:t>The </w:t>
      </w:r>
      <w:r>
        <w:rPr>
          <w:spacing w:val="11"/>
          <w:sz w:val="22"/>
        </w:rPr>
        <w:t>chair </w:t>
      </w:r>
      <w:r>
        <w:rPr>
          <w:sz w:val="22"/>
        </w:rPr>
        <w:t>will </w:t>
      </w:r>
      <w:r>
        <w:rPr>
          <w:spacing w:val="12"/>
          <w:sz w:val="22"/>
        </w:rPr>
        <w:t>make </w:t>
      </w:r>
      <w:r>
        <w:rPr>
          <w:sz w:val="22"/>
        </w:rPr>
        <w:t>a </w:t>
      </w:r>
      <w:r>
        <w:rPr>
          <w:spacing w:val="11"/>
          <w:sz w:val="22"/>
        </w:rPr>
        <w:t>rec</w:t>
      </w:r>
      <w:r>
        <w:rPr>
          <w:spacing w:val="-29"/>
          <w:sz w:val="22"/>
        </w:rPr>
        <w:t> </w:t>
      </w:r>
      <w:r>
        <w:rPr>
          <w:spacing w:val="16"/>
          <w:sz w:val="22"/>
        </w:rPr>
        <w:t>ommend</w:t>
      </w:r>
      <w:r>
        <w:rPr>
          <w:spacing w:val="-29"/>
          <w:sz w:val="22"/>
        </w:rPr>
        <w:t> </w:t>
      </w:r>
      <w:r>
        <w:rPr>
          <w:spacing w:val="10"/>
          <w:sz w:val="22"/>
        </w:rPr>
        <w:t>ation </w:t>
      </w:r>
      <w:r>
        <w:rPr>
          <w:sz w:val="22"/>
        </w:rPr>
        <w:t>b</w:t>
      </w:r>
      <w:r>
        <w:rPr>
          <w:spacing w:val="-29"/>
          <w:sz w:val="22"/>
        </w:rPr>
        <w:t> </w:t>
      </w:r>
      <w:r>
        <w:rPr>
          <w:spacing w:val="12"/>
          <w:sz w:val="22"/>
        </w:rPr>
        <w:t>ased </w:t>
      </w:r>
      <w:r>
        <w:rPr>
          <w:sz w:val="22"/>
        </w:rPr>
        <w:t>on fa</w:t>
      </w:r>
      <w:r>
        <w:rPr>
          <w:spacing w:val="-27"/>
          <w:sz w:val="22"/>
        </w:rPr>
        <w:t> </w:t>
      </w:r>
      <w:r>
        <w:rPr>
          <w:spacing w:val="9"/>
          <w:sz w:val="22"/>
        </w:rPr>
        <w:t>ctors </w:t>
      </w:r>
      <w:r>
        <w:rPr>
          <w:spacing w:val="13"/>
          <w:sz w:val="22"/>
        </w:rPr>
        <w:t>that </w:t>
      </w:r>
      <w:r>
        <w:rPr>
          <w:spacing w:val="14"/>
          <w:sz w:val="22"/>
        </w:rPr>
        <w:t>may </w:t>
      </w:r>
      <w:r>
        <w:rPr>
          <w:spacing w:val="11"/>
          <w:sz w:val="22"/>
        </w:rPr>
        <w:t>not </w:t>
      </w:r>
      <w:r>
        <w:rPr>
          <w:spacing w:val="12"/>
          <w:sz w:val="22"/>
        </w:rPr>
        <w:t>be</w:t>
      </w:r>
    </w:p>
    <w:p>
      <w:pPr>
        <w:spacing w:before="4"/>
        <w:ind w:left="1534" w:right="0" w:firstLine="0"/>
        <w:jc w:val="left"/>
        <w:rPr>
          <w:sz w:val="22"/>
        </w:rPr>
      </w:pPr>
      <w:r>
        <w:rPr>
          <w:spacing w:val="11"/>
          <w:sz w:val="22"/>
        </w:rPr>
        <w:t>available</w:t>
      </w:r>
      <w:r>
        <w:rPr>
          <w:spacing w:val="22"/>
          <w:sz w:val="22"/>
        </w:rPr>
        <w:t> </w:t>
      </w:r>
      <w:r>
        <w:rPr>
          <w:sz w:val="22"/>
        </w:rPr>
        <w:t>to</w:t>
      </w:r>
      <w:r>
        <w:rPr>
          <w:spacing w:val="22"/>
          <w:sz w:val="22"/>
        </w:rPr>
        <w:t> </w:t>
      </w:r>
      <w:r>
        <w:rPr>
          <w:spacing w:val="9"/>
          <w:sz w:val="22"/>
        </w:rPr>
        <w:t>the</w:t>
      </w:r>
      <w:r>
        <w:rPr>
          <w:spacing w:val="19"/>
          <w:sz w:val="22"/>
        </w:rPr>
        <w:t> </w:t>
      </w:r>
      <w:r>
        <w:rPr>
          <w:sz w:val="22"/>
        </w:rPr>
        <w:t>fa</w:t>
      </w:r>
      <w:r>
        <w:rPr>
          <w:spacing w:val="-30"/>
          <w:sz w:val="22"/>
        </w:rPr>
        <w:t> </w:t>
      </w:r>
      <w:r>
        <w:rPr>
          <w:sz w:val="22"/>
        </w:rPr>
        <w:t>culty</w:t>
      </w:r>
      <w:r>
        <w:rPr>
          <w:spacing w:val="19"/>
          <w:sz w:val="22"/>
        </w:rPr>
        <w:t> </w:t>
      </w:r>
      <w:r>
        <w:rPr>
          <w:sz w:val="22"/>
        </w:rPr>
        <w:t>or</w:t>
      </w:r>
      <w:r>
        <w:rPr>
          <w:spacing w:val="5"/>
          <w:sz w:val="22"/>
        </w:rPr>
        <w:t> </w:t>
      </w:r>
      <w:r>
        <w:rPr>
          <w:spacing w:val="10"/>
          <w:sz w:val="22"/>
        </w:rPr>
        <w:t>staff</w:t>
      </w:r>
      <w:r>
        <w:rPr>
          <w:spacing w:val="20"/>
          <w:sz w:val="22"/>
        </w:rPr>
        <w:t> </w:t>
      </w:r>
      <w:r>
        <w:rPr>
          <w:spacing w:val="12"/>
          <w:sz w:val="22"/>
        </w:rPr>
        <w:t>member.</w:t>
      </w:r>
    </w:p>
    <w:p>
      <w:pPr>
        <w:pStyle w:val="ListParagraph"/>
        <w:numPr>
          <w:ilvl w:val="0"/>
          <w:numId w:val="71"/>
        </w:numPr>
        <w:tabs>
          <w:tab w:pos="1520" w:val="left" w:leader="none"/>
          <w:tab w:pos="1521" w:val="left" w:leader="none"/>
        </w:tabs>
        <w:spacing w:line="256" w:lineRule="auto" w:before="15" w:after="0"/>
        <w:ind w:left="1530" w:right="947" w:hanging="731"/>
        <w:jc w:val="left"/>
        <w:rPr>
          <w:sz w:val="22"/>
        </w:rPr>
      </w:pPr>
      <w:r>
        <w:rPr>
          <w:sz w:val="22"/>
        </w:rPr>
        <w:t>Fa</w:t>
      </w:r>
      <w:r>
        <w:rPr>
          <w:spacing w:val="-33"/>
          <w:sz w:val="22"/>
        </w:rPr>
        <w:t> </w:t>
      </w:r>
      <w:r>
        <w:rPr>
          <w:sz w:val="22"/>
        </w:rPr>
        <w:t>culty </w:t>
      </w:r>
      <w:r>
        <w:rPr>
          <w:spacing w:val="13"/>
          <w:sz w:val="22"/>
        </w:rPr>
        <w:t>and</w:t>
      </w:r>
      <w:r>
        <w:rPr>
          <w:spacing w:val="9"/>
          <w:sz w:val="22"/>
        </w:rPr>
        <w:t> </w:t>
      </w:r>
      <w:r>
        <w:rPr>
          <w:spacing w:val="10"/>
          <w:sz w:val="22"/>
        </w:rPr>
        <w:t>staff </w:t>
      </w:r>
      <w:r>
        <w:rPr>
          <w:spacing w:val="12"/>
          <w:sz w:val="22"/>
        </w:rPr>
        <w:t>members,</w:t>
      </w:r>
      <w:r>
        <w:rPr>
          <w:spacing w:val="4"/>
          <w:sz w:val="22"/>
        </w:rPr>
        <w:t> </w:t>
      </w:r>
      <w:r>
        <w:rPr>
          <w:sz w:val="22"/>
        </w:rPr>
        <w:t>or </w:t>
      </w:r>
      <w:r>
        <w:rPr>
          <w:spacing w:val="9"/>
          <w:sz w:val="22"/>
        </w:rPr>
        <w:t>the Chair</w:t>
      </w:r>
      <w:r>
        <w:rPr>
          <w:spacing w:val="7"/>
          <w:sz w:val="22"/>
        </w:rPr>
        <w:t> </w:t>
      </w:r>
      <w:r>
        <w:rPr>
          <w:spacing w:val="14"/>
          <w:sz w:val="22"/>
        </w:rPr>
        <w:t>may</w:t>
      </w:r>
      <w:r>
        <w:rPr>
          <w:spacing w:val="11"/>
          <w:sz w:val="22"/>
        </w:rPr>
        <w:t> </w:t>
      </w:r>
      <w:r>
        <w:rPr>
          <w:spacing w:val="13"/>
          <w:sz w:val="22"/>
        </w:rPr>
        <w:t>choose</w:t>
      </w:r>
      <w:r>
        <w:rPr>
          <w:spacing w:val="12"/>
          <w:sz w:val="22"/>
        </w:rPr>
        <w:t> </w:t>
      </w:r>
      <w:r>
        <w:rPr>
          <w:sz w:val="22"/>
        </w:rPr>
        <w:t>to </w:t>
      </w:r>
      <w:r>
        <w:rPr>
          <w:spacing w:val="9"/>
          <w:sz w:val="22"/>
        </w:rPr>
        <w:t>refer </w:t>
      </w:r>
      <w:r>
        <w:rPr>
          <w:sz w:val="22"/>
        </w:rPr>
        <w:t>a</w:t>
      </w:r>
      <w:r>
        <w:rPr>
          <w:spacing w:val="-31"/>
          <w:sz w:val="22"/>
        </w:rPr>
        <w:t> </w:t>
      </w:r>
      <w:r>
        <w:rPr>
          <w:spacing w:val="9"/>
          <w:sz w:val="22"/>
        </w:rPr>
        <w:t>ctions</w:t>
      </w:r>
      <w:r>
        <w:rPr>
          <w:spacing w:val="2"/>
          <w:sz w:val="22"/>
        </w:rPr>
        <w:t> </w:t>
      </w:r>
      <w:r>
        <w:rPr>
          <w:sz w:val="22"/>
        </w:rPr>
        <w:t>to </w:t>
      </w:r>
      <w:r>
        <w:rPr>
          <w:spacing w:val="9"/>
          <w:sz w:val="22"/>
        </w:rPr>
        <w:t>the </w:t>
      </w:r>
      <w:r>
        <w:rPr>
          <w:spacing w:val="11"/>
          <w:sz w:val="22"/>
        </w:rPr>
        <w:t>Office </w:t>
      </w:r>
      <w:r>
        <w:rPr>
          <w:sz w:val="22"/>
        </w:rPr>
        <w:t>of </w:t>
      </w:r>
      <w:r>
        <w:rPr>
          <w:spacing w:val="13"/>
          <w:sz w:val="22"/>
        </w:rPr>
        <w:t>Student </w:t>
      </w:r>
      <w:r>
        <w:rPr>
          <w:sz w:val="22"/>
        </w:rPr>
        <w:t>Affairs. Where </w:t>
      </w:r>
      <w:r>
        <w:rPr>
          <w:spacing w:val="12"/>
          <w:sz w:val="22"/>
        </w:rPr>
        <w:t>such </w:t>
      </w:r>
      <w:r>
        <w:rPr>
          <w:sz w:val="22"/>
        </w:rPr>
        <w:t>a </w:t>
      </w:r>
      <w:r>
        <w:rPr>
          <w:spacing w:val="12"/>
          <w:sz w:val="22"/>
        </w:rPr>
        <w:t>determination </w:t>
      </w:r>
      <w:r>
        <w:rPr>
          <w:sz w:val="22"/>
        </w:rPr>
        <w:t>is </w:t>
      </w:r>
      <w:r>
        <w:rPr>
          <w:spacing w:val="16"/>
          <w:sz w:val="22"/>
        </w:rPr>
        <w:t>made,</w:t>
      </w:r>
      <w:r>
        <w:rPr>
          <w:spacing w:val="14"/>
          <w:sz w:val="22"/>
        </w:rPr>
        <w:t> </w:t>
      </w:r>
      <w:r>
        <w:rPr>
          <w:spacing w:val="9"/>
          <w:sz w:val="22"/>
        </w:rPr>
        <w:t>the </w:t>
      </w:r>
      <w:r>
        <w:rPr>
          <w:sz w:val="22"/>
        </w:rPr>
        <w:t>fa</w:t>
      </w:r>
      <w:r>
        <w:rPr>
          <w:spacing w:val="-27"/>
          <w:sz w:val="22"/>
        </w:rPr>
        <w:t> </w:t>
      </w:r>
      <w:r>
        <w:rPr>
          <w:sz w:val="22"/>
        </w:rPr>
        <w:t>culty </w:t>
      </w:r>
      <w:r>
        <w:rPr>
          <w:spacing w:val="16"/>
          <w:sz w:val="22"/>
        </w:rPr>
        <w:t>member</w:t>
      </w:r>
      <w:r>
        <w:rPr>
          <w:spacing w:val="11"/>
          <w:sz w:val="22"/>
        </w:rPr>
        <w:t> </w:t>
      </w:r>
      <w:r>
        <w:rPr>
          <w:sz w:val="22"/>
        </w:rPr>
        <w:t>will </w:t>
      </w:r>
      <w:r>
        <w:rPr>
          <w:spacing w:val="11"/>
          <w:sz w:val="22"/>
        </w:rPr>
        <w:t>draft </w:t>
      </w:r>
      <w:r>
        <w:rPr>
          <w:sz w:val="22"/>
        </w:rPr>
        <w:t>a </w:t>
      </w:r>
      <w:r>
        <w:rPr>
          <w:spacing w:val="15"/>
          <w:sz w:val="22"/>
        </w:rPr>
        <w:t>memorandum </w:t>
      </w:r>
      <w:r>
        <w:rPr>
          <w:sz w:val="22"/>
        </w:rPr>
        <w:t>to </w:t>
      </w:r>
      <w:r>
        <w:rPr>
          <w:spacing w:val="9"/>
          <w:sz w:val="22"/>
        </w:rPr>
        <w:t>the </w:t>
      </w:r>
      <w:r>
        <w:rPr>
          <w:spacing w:val="11"/>
          <w:sz w:val="22"/>
        </w:rPr>
        <w:t>Dep</w:t>
      </w:r>
      <w:r>
        <w:rPr>
          <w:spacing w:val="-33"/>
          <w:sz w:val="22"/>
        </w:rPr>
        <w:t> </w:t>
      </w:r>
      <w:r>
        <w:rPr>
          <w:spacing w:val="12"/>
          <w:sz w:val="22"/>
        </w:rPr>
        <w:t>artment </w:t>
      </w:r>
      <w:r>
        <w:rPr>
          <w:spacing w:val="9"/>
          <w:sz w:val="22"/>
        </w:rPr>
        <w:t>Chair explaining the </w:t>
      </w:r>
      <w:r>
        <w:rPr>
          <w:spacing w:val="14"/>
          <w:sz w:val="22"/>
        </w:rPr>
        <w:t>charge,</w:t>
      </w:r>
      <w:r>
        <w:rPr>
          <w:spacing w:val="9"/>
          <w:sz w:val="22"/>
        </w:rPr>
        <w:t> </w:t>
      </w:r>
      <w:r>
        <w:rPr>
          <w:spacing w:val="11"/>
          <w:sz w:val="22"/>
        </w:rPr>
        <w:t>including </w:t>
      </w:r>
      <w:r>
        <w:rPr>
          <w:spacing w:val="9"/>
          <w:sz w:val="22"/>
        </w:rPr>
        <w:t>the </w:t>
      </w:r>
      <w:r>
        <w:rPr>
          <w:sz w:val="22"/>
        </w:rPr>
        <w:t>sup</w:t>
      </w:r>
      <w:r>
        <w:rPr>
          <w:spacing w:val="-27"/>
          <w:sz w:val="22"/>
        </w:rPr>
        <w:t> </w:t>
      </w:r>
      <w:r>
        <w:rPr>
          <w:spacing w:val="9"/>
          <w:sz w:val="22"/>
        </w:rPr>
        <w:t>porting </w:t>
      </w:r>
      <w:r>
        <w:rPr>
          <w:spacing w:val="15"/>
          <w:sz w:val="22"/>
        </w:rPr>
        <w:t>documentation, </w:t>
      </w:r>
      <w:r>
        <w:rPr>
          <w:sz w:val="22"/>
        </w:rPr>
        <w:t>using </w:t>
      </w:r>
      <w:r>
        <w:rPr>
          <w:spacing w:val="9"/>
          <w:sz w:val="22"/>
        </w:rPr>
        <w:t>the </w:t>
      </w:r>
      <w:r>
        <w:rPr>
          <w:spacing w:val="13"/>
          <w:sz w:val="22"/>
        </w:rPr>
        <w:t>“Student</w:t>
      </w:r>
    </w:p>
    <w:p>
      <w:pPr>
        <w:spacing w:line="254" w:lineRule="auto" w:before="0"/>
        <w:ind w:left="1520" w:right="642" w:firstLine="0"/>
        <w:jc w:val="left"/>
        <w:rPr>
          <w:sz w:val="22"/>
        </w:rPr>
      </w:pPr>
      <w:r>
        <w:rPr>
          <w:spacing w:val="11"/>
          <w:sz w:val="22"/>
        </w:rPr>
        <w:t>Judiciary</w:t>
      </w:r>
      <w:r>
        <w:rPr>
          <w:spacing w:val="-8"/>
          <w:sz w:val="22"/>
        </w:rPr>
        <w:t> </w:t>
      </w:r>
      <w:r>
        <w:rPr>
          <w:sz w:val="22"/>
        </w:rPr>
        <w:t>Referral</w:t>
      </w:r>
      <w:r>
        <w:rPr>
          <w:spacing w:val="-7"/>
          <w:sz w:val="22"/>
        </w:rPr>
        <w:t> </w:t>
      </w:r>
      <w:r>
        <w:rPr>
          <w:sz w:val="22"/>
        </w:rPr>
        <w:t>Form </w:t>
      </w:r>
      <w:r>
        <w:rPr>
          <w:spacing w:val="11"/>
          <w:sz w:val="22"/>
        </w:rPr>
        <w:t>(</w:t>
      </w:r>
      <w:r>
        <w:rPr>
          <w:i/>
          <w:spacing w:val="11"/>
          <w:sz w:val="22"/>
        </w:rPr>
        <w:t>Student</w:t>
      </w:r>
      <w:r>
        <w:rPr>
          <w:i/>
          <w:spacing w:val="-2"/>
          <w:sz w:val="22"/>
        </w:rPr>
        <w:t> </w:t>
      </w:r>
      <w:r>
        <w:rPr>
          <w:i/>
          <w:spacing w:val="14"/>
          <w:sz w:val="22"/>
        </w:rPr>
        <w:t>Handbook,</w:t>
      </w:r>
      <w:r>
        <w:rPr>
          <w:i/>
          <w:spacing w:val="2"/>
          <w:sz w:val="22"/>
        </w:rPr>
        <w:t> </w:t>
      </w:r>
      <w:r>
        <w:rPr>
          <w:spacing w:val="9"/>
          <w:sz w:val="22"/>
        </w:rPr>
        <w:t>Ap</w:t>
      </w:r>
      <w:r>
        <w:rPr>
          <w:spacing w:val="-33"/>
          <w:sz w:val="22"/>
        </w:rPr>
        <w:t> </w:t>
      </w:r>
      <w:r>
        <w:rPr>
          <w:spacing w:val="12"/>
          <w:sz w:val="22"/>
        </w:rPr>
        <w:t>pendix</w:t>
      </w:r>
      <w:r>
        <w:rPr>
          <w:spacing w:val="-8"/>
          <w:sz w:val="22"/>
        </w:rPr>
        <w:t> </w:t>
      </w:r>
      <w:r>
        <w:rPr>
          <w:sz w:val="22"/>
        </w:rPr>
        <w:t>B).</w:t>
      </w:r>
      <w:r>
        <w:rPr>
          <w:spacing w:val="-9"/>
          <w:sz w:val="22"/>
        </w:rPr>
        <w:t> </w:t>
      </w:r>
      <w:r>
        <w:rPr>
          <w:sz w:val="22"/>
        </w:rPr>
        <w:t>The </w:t>
      </w:r>
      <w:r>
        <w:rPr>
          <w:spacing w:val="9"/>
          <w:sz w:val="22"/>
        </w:rPr>
        <w:t>form </w:t>
      </w:r>
      <w:r>
        <w:rPr>
          <w:sz w:val="22"/>
        </w:rPr>
        <w:t>will </w:t>
      </w:r>
      <w:r>
        <w:rPr>
          <w:spacing w:val="12"/>
          <w:sz w:val="22"/>
        </w:rPr>
        <w:t>be </w:t>
      </w:r>
      <w:r>
        <w:rPr>
          <w:spacing w:val="11"/>
          <w:sz w:val="22"/>
        </w:rPr>
        <w:t>signed</w:t>
      </w:r>
      <w:r>
        <w:rPr>
          <w:spacing w:val="40"/>
          <w:sz w:val="22"/>
        </w:rPr>
        <w:t> </w:t>
      </w:r>
      <w:r>
        <w:rPr>
          <w:sz w:val="22"/>
        </w:rPr>
        <w:t>by</w:t>
      </w:r>
      <w:r>
        <w:rPr>
          <w:spacing w:val="9"/>
          <w:sz w:val="22"/>
        </w:rPr>
        <w:t> the </w:t>
      </w:r>
      <w:r>
        <w:rPr>
          <w:sz w:val="22"/>
        </w:rPr>
        <w:t>fa</w:t>
      </w:r>
      <w:r>
        <w:rPr>
          <w:spacing w:val="-28"/>
          <w:sz w:val="22"/>
        </w:rPr>
        <w:t> </w:t>
      </w:r>
      <w:r>
        <w:rPr>
          <w:sz w:val="22"/>
        </w:rPr>
        <w:t>culty</w:t>
      </w:r>
      <w:r>
        <w:rPr>
          <w:spacing w:val="27"/>
          <w:sz w:val="22"/>
        </w:rPr>
        <w:t> </w:t>
      </w:r>
      <w:r>
        <w:rPr>
          <w:sz w:val="22"/>
        </w:rPr>
        <w:t>or </w:t>
      </w:r>
      <w:r>
        <w:rPr>
          <w:spacing w:val="10"/>
          <w:sz w:val="22"/>
        </w:rPr>
        <w:t>staff </w:t>
      </w:r>
      <w:r>
        <w:rPr>
          <w:spacing w:val="13"/>
          <w:sz w:val="22"/>
        </w:rPr>
        <w:t>member, and </w:t>
      </w:r>
      <w:r>
        <w:rPr>
          <w:spacing w:val="9"/>
          <w:sz w:val="22"/>
        </w:rPr>
        <w:t>sent </w:t>
      </w:r>
      <w:r>
        <w:rPr>
          <w:sz w:val="22"/>
        </w:rPr>
        <w:t>to</w:t>
      </w:r>
      <w:r>
        <w:rPr>
          <w:spacing w:val="9"/>
          <w:sz w:val="22"/>
        </w:rPr>
        <w:t> the </w:t>
      </w:r>
      <w:r>
        <w:rPr>
          <w:sz w:val="22"/>
        </w:rPr>
        <w:t>Vic</w:t>
      </w:r>
      <w:r>
        <w:rPr>
          <w:spacing w:val="-29"/>
          <w:sz w:val="22"/>
        </w:rPr>
        <w:t> </w:t>
      </w:r>
      <w:r>
        <w:rPr>
          <w:sz w:val="22"/>
        </w:rPr>
        <w:t>e</w:t>
      </w:r>
      <w:r>
        <w:rPr>
          <w:spacing w:val="22"/>
          <w:sz w:val="22"/>
        </w:rPr>
        <w:t> </w:t>
      </w:r>
      <w:r>
        <w:rPr>
          <w:sz w:val="22"/>
        </w:rPr>
        <w:t>President</w:t>
      </w:r>
      <w:r>
        <w:rPr>
          <w:spacing w:val="22"/>
          <w:sz w:val="22"/>
        </w:rPr>
        <w:t> </w:t>
      </w:r>
      <w:r>
        <w:rPr>
          <w:sz w:val="22"/>
        </w:rPr>
        <w:t>for</w:t>
      </w:r>
    </w:p>
    <w:p>
      <w:pPr>
        <w:spacing w:line="256" w:lineRule="auto" w:before="0"/>
        <w:ind w:left="1520" w:right="642" w:firstLine="0"/>
        <w:jc w:val="left"/>
        <w:rPr>
          <w:sz w:val="22"/>
        </w:rPr>
      </w:pPr>
      <w:r>
        <w:rPr>
          <w:spacing w:val="13"/>
          <w:sz w:val="22"/>
        </w:rPr>
        <w:t>Student</w:t>
      </w:r>
      <w:r>
        <w:rPr>
          <w:spacing w:val="10"/>
          <w:sz w:val="22"/>
        </w:rPr>
        <w:t> </w:t>
      </w:r>
      <w:r>
        <w:rPr>
          <w:sz w:val="22"/>
        </w:rPr>
        <w:t>Affairs </w:t>
      </w:r>
      <w:r>
        <w:rPr>
          <w:spacing w:val="11"/>
          <w:sz w:val="22"/>
        </w:rPr>
        <w:t>through</w:t>
      </w:r>
      <w:r>
        <w:rPr>
          <w:spacing w:val="6"/>
          <w:sz w:val="22"/>
        </w:rPr>
        <w:t> </w:t>
      </w:r>
      <w:r>
        <w:rPr>
          <w:spacing w:val="9"/>
          <w:sz w:val="22"/>
        </w:rPr>
        <w:t>the </w:t>
      </w:r>
      <w:r>
        <w:rPr>
          <w:sz w:val="22"/>
        </w:rPr>
        <w:t>Offic</w:t>
      </w:r>
      <w:r>
        <w:rPr>
          <w:spacing w:val="-34"/>
          <w:sz w:val="22"/>
        </w:rPr>
        <w:t> </w:t>
      </w:r>
      <w:r>
        <w:rPr>
          <w:sz w:val="22"/>
        </w:rPr>
        <w:t>e of </w:t>
      </w:r>
      <w:r>
        <w:rPr>
          <w:spacing w:val="9"/>
          <w:sz w:val="22"/>
        </w:rPr>
        <w:t>the </w:t>
      </w:r>
      <w:r>
        <w:rPr>
          <w:spacing w:val="13"/>
          <w:sz w:val="22"/>
        </w:rPr>
        <w:t>Dean </w:t>
      </w:r>
      <w:r>
        <w:rPr>
          <w:sz w:val="22"/>
        </w:rPr>
        <w:t>of </w:t>
      </w:r>
      <w:r>
        <w:rPr>
          <w:spacing w:val="9"/>
          <w:sz w:val="22"/>
        </w:rPr>
        <w:t>the</w:t>
      </w:r>
      <w:r>
        <w:rPr>
          <w:spacing w:val="7"/>
          <w:sz w:val="22"/>
        </w:rPr>
        <w:t> </w:t>
      </w:r>
      <w:r>
        <w:rPr>
          <w:spacing w:val="14"/>
          <w:sz w:val="22"/>
        </w:rPr>
        <w:t>School</w:t>
      </w:r>
      <w:r>
        <w:rPr>
          <w:spacing w:val="9"/>
          <w:sz w:val="22"/>
        </w:rPr>
        <w:t> </w:t>
      </w:r>
      <w:r>
        <w:rPr>
          <w:sz w:val="22"/>
        </w:rPr>
        <w:t>of </w:t>
      </w:r>
      <w:r>
        <w:rPr>
          <w:spacing w:val="9"/>
          <w:sz w:val="22"/>
        </w:rPr>
        <w:t>Engineering </w:t>
      </w:r>
      <w:r>
        <w:rPr>
          <w:sz w:val="22"/>
        </w:rPr>
        <w:t>&amp; </w:t>
      </w:r>
      <w:r>
        <w:rPr>
          <w:spacing w:val="11"/>
          <w:sz w:val="22"/>
        </w:rPr>
        <w:t>Technology.</w:t>
      </w:r>
    </w:p>
    <w:p>
      <w:pPr>
        <w:pStyle w:val="ListParagraph"/>
        <w:numPr>
          <w:ilvl w:val="0"/>
          <w:numId w:val="71"/>
        </w:numPr>
        <w:tabs>
          <w:tab w:pos="1520" w:val="left" w:leader="none"/>
          <w:tab w:pos="1521" w:val="left" w:leader="none"/>
        </w:tabs>
        <w:spacing w:line="256" w:lineRule="auto" w:before="0" w:after="0"/>
        <w:ind w:left="1520" w:right="696" w:hanging="721"/>
        <w:jc w:val="left"/>
        <w:rPr>
          <w:sz w:val="22"/>
        </w:rPr>
      </w:pPr>
      <w:r>
        <w:rPr>
          <w:sz w:val="22"/>
        </w:rPr>
        <w:t>The</w:t>
      </w:r>
      <w:r>
        <w:rPr>
          <w:spacing w:val="-6"/>
          <w:sz w:val="22"/>
        </w:rPr>
        <w:t> </w:t>
      </w:r>
      <w:r>
        <w:rPr>
          <w:spacing w:val="14"/>
          <w:sz w:val="22"/>
        </w:rPr>
        <w:t>charges</w:t>
      </w:r>
      <w:r>
        <w:rPr>
          <w:spacing w:val="3"/>
          <w:sz w:val="22"/>
        </w:rPr>
        <w:t> </w:t>
      </w:r>
      <w:r>
        <w:rPr>
          <w:sz w:val="22"/>
        </w:rPr>
        <w:t>will </w:t>
      </w:r>
      <w:r>
        <w:rPr>
          <w:spacing w:val="11"/>
          <w:sz w:val="22"/>
        </w:rPr>
        <w:t>be </w:t>
      </w:r>
      <w:r>
        <w:rPr>
          <w:sz w:val="22"/>
        </w:rPr>
        <w:t>a</w:t>
      </w:r>
      <w:r>
        <w:rPr>
          <w:spacing w:val="-33"/>
          <w:sz w:val="22"/>
        </w:rPr>
        <w:t> </w:t>
      </w:r>
      <w:r>
        <w:rPr>
          <w:spacing w:val="11"/>
          <w:sz w:val="22"/>
        </w:rPr>
        <w:t>ddressed</w:t>
      </w:r>
      <w:r>
        <w:rPr>
          <w:spacing w:val="1"/>
          <w:sz w:val="22"/>
        </w:rPr>
        <w:t> </w:t>
      </w:r>
      <w:r>
        <w:rPr>
          <w:sz w:val="22"/>
        </w:rPr>
        <w:t>in a</w:t>
      </w:r>
      <w:r>
        <w:rPr>
          <w:spacing w:val="-33"/>
          <w:sz w:val="22"/>
        </w:rPr>
        <w:t> </w:t>
      </w:r>
      <w:r>
        <w:rPr>
          <w:sz w:val="22"/>
        </w:rPr>
        <w:t>c</w:t>
      </w:r>
      <w:r>
        <w:rPr>
          <w:spacing w:val="-28"/>
          <w:sz w:val="22"/>
        </w:rPr>
        <w:t> </w:t>
      </w:r>
      <w:r>
        <w:rPr>
          <w:sz w:val="22"/>
        </w:rPr>
        <w:t>c</w:t>
      </w:r>
      <w:r>
        <w:rPr>
          <w:spacing w:val="-33"/>
          <w:sz w:val="22"/>
        </w:rPr>
        <w:t> </w:t>
      </w:r>
      <w:r>
        <w:rPr>
          <w:sz w:val="22"/>
        </w:rPr>
        <w:t>ord</w:t>
      </w:r>
      <w:r>
        <w:rPr>
          <w:spacing w:val="-33"/>
          <w:sz w:val="22"/>
        </w:rPr>
        <w:t> </w:t>
      </w:r>
      <w:r>
        <w:rPr>
          <w:spacing w:val="16"/>
          <w:sz w:val="22"/>
        </w:rPr>
        <w:t>ance</w:t>
      </w:r>
      <w:r>
        <w:rPr>
          <w:spacing w:val="11"/>
          <w:sz w:val="22"/>
        </w:rPr>
        <w:t> </w:t>
      </w:r>
      <w:r>
        <w:rPr>
          <w:sz w:val="22"/>
        </w:rPr>
        <w:t>with </w:t>
      </w:r>
      <w:r>
        <w:rPr>
          <w:spacing w:val="9"/>
          <w:sz w:val="22"/>
        </w:rPr>
        <w:t>the </w:t>
      </w:r>
      <w:r>
        <w:rPr>
          <w:spacing w:val="12"/>
          <w:sz w:val="22"/>
        </w:rPr>
        <w:t>proc</w:t>
      </w:r>
      <w:r>
        <w:rPr>
          <w:spacing w:val="-34"/>
          <w:sz w:val="22"/>
        </w:rPr>
        <w:t> </w:t>
      </w:r>
      <w:r>
        <w:rPr>
          <w:spacing w:val="10"/>
          <w:sz w:val="22"/>
        </w:rPr>
        <w:t>edures</w:t>
      </w:r>
      <w:r>
        <w:rPr>
          <w:spacing w:val="2"/>
          <w:sz w:val="22"/>
        </w:rPr>
        <w:t> </w:t>
      </w:r>
      <w:r>
        <w:rPr>
          <w:spacing w:val="13"/>
          <w:sz w:val="22"/>
        </w:rPr>
        <w:t>described </w:t>
      </w:r>
      <w:r>
        <w:rPr>
          <w:sz w:val="22"/>
        </w:rPr>
        <w:t>in </w:t>
      </w:r>
      <w:r>
        <w:rPr>
          <w:spacing w:val="9"/>
          <w:sz w:val="22"/>
        </w:rPr>
        <w:t>the </w:t>
      </w:r>
      <w:r>
        <w:rPr>
          <w:i/>
          <w:spacing w:val="12"/>
          <w:sz w:val="22"/>
        </w:rPr>
        <w:t>Student </w:t>
      </w:r>
      <w:r>
        <w:rPr>
          <w:i/>
          <w:spacing w:val="16"/>
          <w:sz w:val="22"/>
        </w:rPr>
        <w:t>Handbook </w:t>
      </w:r>
      <w:r>
        <w:rPr>
          <w:sz w:val="22"/>
        </w:rPr>
        <w:t>(P. 81).</w:t>
      </w:r>
    </w:p>
    <w:p>
      <w:pPr>
        <w:pStyle w:val="ListParagraph"/>
        <w:numPr>
          <w:ilvl w:val="0"/>
          <w:numId w:val="71"/>
        </w:numPr>
        <w:tabs>
          <w:tab w:pos="1520" w:val="left" w:leader="none"/>
          <w:tab w:pos="1521" w:val="left" w:leader="none"/>
        </w:tabs>
        <w:spacing w:line="254" w:lineRule="auto" w:before="0" w:after="0"/>
        <w:ind w:left="1520" w:right="1165" w:hanging="721"/>
        <w:jc w:val="left"/>
        <w:rPr>
          <w:sz w:val="22"/>
        </w:rPr>
      </w:pPr>
      <w:r>
        <w:rPr>
          <w:sz w:val="22"/>
        </w:rPr>
        <w:t>If </w:t>
      </w:r>
      <w:r>
        <w:rPr>
          <w:spacing w:val="10"/>
          <w:sz w:val="22"/>
        </w:rPr>
        <w:t>other</w:t>
      </w:r>
      <w:r>
        <w:rPr>
          <w:sz w:val="22"/>
        </w:rPr>
        <w:t> </w:t>
      </w:r>
      <w:r>
        <w:rPr>
          <w:spacing w:val="11"/>
          <w:sz w:val="22"/>
        </w:rPr>
        <w:t>honor</w:t>
      </w:r>
      <w:r>
        <w:rPr>
          <w:spacing w:val="10"/>
          <w:sz w:val="22"/>
        </w:rPr>
        <w:t> </w:t>
      </w:r>
      <w:r>
        <w:rPr>
          <w:sz w:val="22"/>
        </w:rPr>
        <w:t>c</w:t>
      </w:r>
      <w:r>
        <w:rPr>
          <w:spacing w:val="-33"/>
          <w:sz w:val="22"/>
        </w:rPr>
        <w:t> </w:t>
      </w:r>
      <w:r>
        <w:rPr>
          <w:spacing w:val="15"/>
          <w:sz w:val="22"/>
        </w:rPr>
        <w:t>ode</w:t>
      </w:r>
      <w:r>
        <w:rPr>
          <w:spacing w:val="4"/>
          <w:sz w:val="22"/>
        </w:rPr>
        <w:t> </w:t>
      </w:r>
      <w:r>
        <w:rPr>
          <w:sz w:val="22"/>
        </w:rPr>
        <w:t>issues exist,</w:t>
      </w:r>
      <w:r>
        <w:rPr>
          <w:spacing w:val="-1"/>
          <w:sz w:val="22"/>
        </w:rPr>
        <w:t> </w:t>
      </w:r>
      <w:r>
        <w:rPr>
          <w:spacing w:val="9"/>
          <w:sz w:val="22"/>
        </w:rPr>
        <w:t>the </w:t>
      </w:r>
      <w:r>
        <w:rPr>
          <w:spacing w:val="10"/>
          <w:sz w:val="22"/>
        </w:rPr>
        <w:t>chair</w:t>
      </w:r>
      <w:r>
        <w:rPr>
          <w:spacing w:val="6"/>
          <w:sz w:val="22"/>
        </w:rPr>
        <w:t> </w:t>
      </w:r>
      <w:r>
        <w:rPr>
          <w:sz w:val="22"/>
        </w:rPr>
        <w:t>will </w:t>
      </w:r>
      <w:r>
        <w:rPr>
          <w:spacing w:val="11"/>
          <w:sz w:val="22"/>
        </w:rPr>
        <w:t>draft </w:t>
      </w:r>
      <w:r>
        <w:rPr>
          <w:sz w:val="22"/>
        </w:rPr>
        <w:t>a </w:t>
      </w:r>
      <w:r>
        <w:rPr>
          <w:spacing w:val="15"/>
          <w:sz w:val="22"/>
        </w:rPr>
        <w:t>memorandum</w:t>
      </w:r>
      <w:r>
        <w:rPr>
          <w:spacing w:val="11"/>
          <w:sz w:val="22"/>
        </w:rPr>
        <w:t> </w:t>
      </w:r>
      <w:r>
        <w:rPr>
          <w:sz w:val="22"/>
        </w:rPr>
        <w:t>to </w:t>
      </w:r>
      <w:r>
        <w:rPr>
          <w:spacing w:val="9"/>
          <w:sz w:val="22"/>
        </w:rPr>
        <w:t>the </w:t>
      </w:r>
      <w:r>
        <w:rPr>
          <w:sz w:val="22"/>
        </w:rPr>
        <w:t>University Provost </w:t>
      </w:r>
      <w:r>
        <w:rPr>
          <w:spacing w:val="11"/>
          <w:sz w:val="22"/>
        </w:rPr>
        <w:t>through </w:t>
      </w:r>
      <w:r>
        <w:rPr>
          <w:spacing w:val="9"/>
          <w:sz w:val="22"/>
        </w:rPr>
        <w:t>the </w:t>
      </w:r>
      <w:r>
        <w:rPr>
          <w:spacing w:val="13"/>
          <w:sz w:val="22"/>
        </w:rPr>
        <w:t>Dean </w:t>
      </w:r>
      <w:r>
        <w:rPr>
          <w:sz w:val="22"/>
        </w:rPr>
        <w:t>of </w:t>
      </w:r>
      <w:r>
        <w:rPr>
          <w:spacing w:val="9"/>
          <w:sz w:val="22"/>
        </w:rPr>
        <w:t>the </w:t>
      </w:r>
      <w:r>
        <w:rPr>
          <w:spacing w:val="12"/>
          <w:sz w:val="22"/>
        </w:rPr>
        <w:t>School </w:t>
      </w:r>
      <w:r>
        <w:rPr>
          <w:sz w:val="22"/>
        </w:rPr>
        <w:t>of </w:t>
      </w:r>
      <w:r>
        <w:rPr>
          <w:spacing w:val="10"/>
          <w:sz w:val="22"/>
        </w:rPr>
        <w:t>Engineering </w:t>
      </w:r>
      <w:r>
        <w:rPr>
          <w:sz w:val="22"/>
        </w:rPr>
        <w:t>&amp;</w:t>
      </w:r>
    </w:p>
    <w:p>
      <w:pPr>
        <w:spacing w:before="0"/>
        <w:ind w:left="1520" w:right="0" w:firstLine="0"/>
        <w:jc w:val="left"/>
        <w:rPr>
          <w:sz w:val="22"/>
        </w:rPr>
      </w:pPr>
      <w:r>
        <w:rPr>
          <w:spacing w:val="13"/>
          <w:sz w:val="22"/>
        </w:rPr>
        <w:t>Technology</w:t>
      </w:r>
      <w:r>
        <w:rPr>
          <w:spacing w:val="9"/>
          <w:sz w:val="22"/>
        </w:rPr>
        <w:t> </w:t>
      </w:r>
      <w:r>
        <w:rPr>
          <w:spacing w:val="11"/>
          <w:sz w:val="22"/>
        </w:rPr>
        <w:t>describing </w:t>
      </w:r>
      <w:r>
        <w:rPr>
          <w:spacing w:val="9"/>
          <w:sz w:val="22"/>
        </w:rPr>
        <w:t>the</w:t>
      </w:r>
      <w:r>
        <w:rPr>
          <w:spacing w:val="5"/>
          <w:sz w:val="22"/>
        </w:rPr>
        <w:t> </w:t>
      </w:r>
      <w:r>
        <w:rPr>
          <w:spacing w:val="12"/>
          <w:sz w:val="22"/>
        </w:rPr>
        <w:t>incident,</w:t>
      </w:r>
      <w:r>
        <w:rPr>
          <w:spacing w:val="-7"/>
          <w:sz w:val="22"/>
        </w:rPr>
        <w:t> </w:t>
      </w:r>
      <w:r>
        <w:rPr>
          <w:spacing w:val="11"/>
          <w:sz w:val="22"/>
        </w:rPr>
        <w:t>including </w:t>
      </w:r>
      <w:r>
        <w:rPr>
          <w:spacing w:val="9"/>
          <w:sz w:val="22"/>
        </w:rPr>
        <w:t>the </w:t>
      </w:r>
      <w:r>
        <w:rPr>
          <w:sz w:val="22"/>
        </w:rPr>
        <w:t>fa</w:t>
      </w:r>
      <w:r>
        <w:rPr>
          <w:spacing w:val="-31"/>
          <w:sz w:val="22"/>
        </w:rPr>
        <w:t> </w:t>
      </w:r>
      <w:r>
        <w:rPr>
          <w:sz w:val="22"/>
        </w:rPr>
        <w:t>culty</w:t>
      </w:r>
      <w:r>
        <w:rPr>
          <w:spacing w:val="8"/>
          <w:sz w:val="22"/>
        </w:rPr>
        <w:t> </w:t>
      </w:r>
      <w:r>
        <w:rPr>
          <w:spacing w:val="12"/>
          <w:sz w:val="22"/>
        </w:rPr>
        <w:t>members</w:t>
      </w:r>
    </w:p>
    <w:p>
      <w:pPr>
        <w:spacing w:line="256" w:lineRule="auto" w:before="15"/>
        <w:ind w:left="1530" w:right="642" w:firstLine="1"/>
        <w:jc w:val="left"/>
        <w:rPr>
          <w:sz w:val="22"/>
        </w:rPr>
      </w:pPr>
      <w:r>
        <w:rPr>
          <w:spacing w:val="16"/>
          <w:sz w:val="22"/>
        </w:rPr>
        <w:t>memorandum </w:t>
      </w:r>
      <w:r>
        <w:rPr>
          <w:spacing w:val="13"/>
          <w:sz w:val="22"/>
        </w:rPr>
        <w:t>and </w:t>
      </w:r>
      <w:r>
        <w:rPr>
          <w:spacing w:val="16"/>
          <w:sz w:val="22"/>
        </w:rPr>
        <w:t>recommend</w:t>
      </w:r>
      <w:r>
        <w:rPr>
          <w:spacing w:val="-32"/>
          <w:sz w:val="22"/>
        </w:rPr>
        <w:t> </w:t>
      </w:r>
      <w:r>
        <w:rPr>
          <w:spacing w:val="9"/>
          <w:sz w:val="22"/>
        </w:rPr>
        <w:t>ation, </w:t>
      </w:r>
      <w:r>
        <w:rPr>
          <w:spacing w:val="12"/>
          <w:sz w:val="22"/>
        </w:rPr>
        <w:t>along </w:t>
      </w:r>
      <w:r>
        <w:rPr>
          <w:sz w:val="22"/>
        </w:rPr>
        <w:t>with </w:t>
      </w:r>
      <w:r>
        <w:rPr>
          <w:spacing w:val="9"/>
          <w:sz w:val="22"/>
        </w:rPr>
        <w:t>the </w:t>
      </w:r>
      <w:r>
        <w:rPr>
          <w:spacing w:val="11"/>
          <w:sz w:val="22"/>
        </w:rPr>
        <w:t>rec</w:t>
      </w:r>
      <w:r>
        <w:rPr>
          <w:spacing w:val="-32"/>
          <w:sz w:val="22"/>
        </w:rPr>
        <w:t> </w:t>
      </w:r>
      <w:r>
        <w:rPr>
          <w:spacing w:val="14"/>
          <w:sz w:val="22"/>
        </w:rPr>
        <w:t>ommendation </w:t>
      </w:r>
      <w:r>
        <w:rPr>
          <w:sz w:val="22"/>
        </w:rPr>
        <w:t>of </w:t>
      </w:r>
      <w:r>
        <w:rPr>
          <w:spacing w:val="9"/>
          <w:sz w:val="22"/>
        </w:rPr>
        <w:t>the </w:t>
      </w:r>
      <w:r>
        <w:rPr>
          <w:spacing w:val="-2"/>
          <w:sz w:val="22"/>
        </w:rPr>
        <w:t>Chair.</w:t>
      </w:r>
    </w:p>
    <w:p>
      <w:pPr>
        <w:spacing w:line="251" w:lineRule="exact" w:before="0"/>
        <w:ind w:left="440" w:right="0" w:firstLine="0"/>
        <w:jc w:val="left"/>
        <w:rPr>
          <w:sz w:val="22"/>
        </w:rPr>
      </w:pPr>
      <w:r>
        <w:rPr>
          <w:sz w:val="22"/>
        </w:rPr>
        <w:t>It</w:t>
      </w:r>
      <w:r>
        <w:rPr>
          <w:spacing w:val="-4"/>
          <w:sz w:val="22"/>
        </w:rPr>
        <w:t> </w:t>
      </w:r>
      <w:r>
        <w:rPr>
          <w:sz w:val="22"/>
        </w:rPr>
        <w:t>is</w:t>
      </w:r>
      <w:r>
        <w:rPr>
          <w:spacing w:val="-6"/>
          <w:sz w:val="22"/>
        </w:rPr>
        <w:t> </w:t>
      </w:r>
      <w:r>
        <w:rPr>
          <w:spacing w:val="14"/>
          <w:sz w:val="22"/>
        </w:rPr>
        <w:t>important</w:t>
      </w:r>
      <w:r>
        <w:rPr>
          <w:spacing w:val="6"/>
          <w:sz w:val="22"/>
        </w:rPr>
        <w:t> </w:t>
      </w:r>
      <w:r>
        <w:rPr>
          <w:spacing w:val="13"/>
          <w:sz w:val="22"/>
        </w:rPr>
        <w:t>that</w:t>
      </w:r>
      <w:r>
        <w:rPr>
          <w:spacing w:val="3"/>
          <w:sz w:val="22"/>
        </w:rPr>
        <w:t> </w:t>
      </w:r>
      <w:r>
        <w:rPr>
          <w:sz w:val="22"/>
        </w:rPr>
        <w:t>fa</w:t>
      </w:r>
      <w:r>
        <w:rPr>
          <w:spacing w:val="-31"/>
          <w:sz w:val="22"/>
        </w:rPr>
        <w:t> </w:t>
      </w:r>
      <w:r>
        <w:rPr>
          <w:sz w:val="22"/>
        </w:rPr>
        <w:t>culty</w:t>
      </w:r>
      <w:r>
        <w:rPr>
          <w:spacing w:val="1"/>
          <w:sz w:val="22"/>
        </w:rPr>
        <w:t> </w:t>
      </w:r>
      <w:r>
        <w:rPr>
          <w:spacing w:val="12"/>
          <w:sz w:val="22"/>
        </w:rPr>
        <w:t>understand </w:t>
      </w:r>
      <w:r>
        <w:rPr>
          <w:spacing w:val="13"/>
          <w:sz w:val="22"/>
        </w:rPr>
        <w:t>that</w:t>
      </w:r>
      <w:r>
        <w:rPr>
          <w:spacing w:val="11"/>
          <w:sz w:val="22"/>
        </w:rPr>
        <w:t> </w:t>
      </w:r>
      <w:r>
        <w:rPr>
          <w:spacing w:val="10"/>
          <w:sz w:val="22"/>
        </w:rPr>
        <w:t>where</w:t>
      </w:r>
      <w:r>
        <w:rPr>
          <w:spacing w:val="9"/>
          <w:sz w:val="22"/>
        </w:rPr>
        <w:t> these</w:t>
      </w:r>
      <w:r>
        <w:rPr>
          <w:spacing w:val="3"/>
          <w:sz w:val="22"/>
        </w:rPr>
        <w:t> </w:t>
      </w:r>
      <w:r>
        <w:rPr>
          <w:spacing w:val="11"/>
          <w:sz w:val="22"/>
        </w:rPr>
        <w:t>steps</w:t>
      </w:r>
      <w:r>
        <w:rPr>
          <w:spacing w:val="7"/>
          <w:sz w:val="22"/>
        </w:rPr>
        <w:t> </w:t>
      </w:r>
      <w:r>
        <w:rPr>
          <w:sz w:val="22"/>
        </w:rPr>
        <w:t>are</w:t>
      </w:r>
      <w:r>
        <w:rPr>
          <w:spacing w:val="8"/>
          <w:sz w:val="22"/>
        </w:rPr>
        <w:t> </w:t>
      </w:r>
      <w:r>
        <w:rPr>
          <w:spacing w:val="10"/>
          <w:sz w:val="22"/>
        </w:rPr>
        <w:t>not</w:t>
      </w:r>
      <w:r>
        <w:rPr>
          <w:spacing w:val="3"/>
          <w:sz w:val="22"/>
        </w:rPr>
        <w:t> </w:t>
      </w:r>
      <w:r>
        <w:rPr>
          <w:spacing w:val="13"/>
          <w:sz w:val="22"/>
        </w:rPr>
        <w:t>followed,</w:t>
      </w:r>
      <w:r>
        <w:rPr>
          <w:spacing w:val="-2"/>
          <w:sz w:val="22"/>
        </w:rPr>
        <w:t> </w:t>
      </w:r>
      <w:r>
        <w:rPr>
          <w:spacing w:val="-5"/>
          <w:sz w:val="22"/>
        </w:rPr>
        <w:t>no</w:t>
      </w:r>
    </w:p>
    <w:p>
      <w:pPr>
        <w:spacing w:line="292" w:lineRule="auto" w:before="56"/>
        <w:ind w:left="453" w:right="642" w:hanging="13"/>
        <w:jc w:val="left"/>
        <w:rPr>
          <w:sz w:val="22"/>
        </w:rPr>
      </w:pPr>
      <w:r>
        <w:rPr>
          <w:spacing w:val="11"/>
          <w:sz w:val="22"/>
        </w:rPr>
        <w:t>rec</w:t>
      </w:r>
      <w:r>
        <w:rPr>
          <w:spacing w:val="-33"/>
          <w:sz w:val="22"/>
        </w:rPr>
        <w:t> </w:t>
      </w:r>
      <w:r>
        <w:rPr>
          <w:sz w:val="22"/>
        </w:rPr>
        <w:t>ord</w:t>
      </w:r>
      <w:r>
        <w:rPr>
          <w:spacing w:val="21"/>
          <w:sz w:val="22"/>
        </w:rPr>
        <w:t> </w:t>
      </w:r>
      <w:r>
        <w:rPr>
          <w:sz w:val="22"/>
        </w:rPr>
        <w:t>will exist of </w:t>
      </w:r>
      <w:r>
        <w:rPr>
          <w:spacing w:val="9"/>
          <w:sz w:val="22"/>
        </w:rPr>
        <w:t>the</w:t>
      </w:r>
      <w:r>
        <w:rPr>
          <w:spacing w:val="7"/>
          <w:sz w:val="22"/>
        </w:rPr>
        <w:t> </w:t>
      </w:r>
      <w:r>
        <w:rPr>
          <w:spacing w:val="13"/>
          <w:sz w:val="22"/>
        </w:rPr>
        <w:t>incident and </w:t>
      </w:r>
      <w:r>
        <w:rPr>
          <w:sz w:val="22"/>
        </w:rPr>
        <w:t>no</w:t>
      </w:r>
      <w:r>
        <w:rPr>
          <w:spacing w:val="14"/>
          <w:sz w:val="22"/>
        </w:rPr>
        <w:t> charge </w:t>
      </w:r>
      <w:r>
        <w:rPr>
          <w:sz w:val="22"/>
        </w:rPr>
        <w:t>c</w:t>
      </w:r>
      <w:r>
        <w:rPr>
          <w:spacing w:val="-30"/>
          <w:sz w:val="22"/>
        </w:rPr>
        <w:t> </w:t>
      </w:r>
      <w:r>
        <w:rPr>
          <w:spacing w:val="10"/>
          <w:sz w:val="22"/>
        </w:rPr>
        <w:t>an </w:t>
      </w:r>
      <w:r>
        <w:rPr>
          <w:spacing w:val="11"/>
          <w:sz w:val="22"/>
        </w:rPr>
        <w:t>be </w:t>
      </w:r>
      <w:r>
        <w:rPr>
          <w:spacing w:val="12"/>
          <w:sz w:val="22"/>
        </w:rPr>
        <w:t>ma</w:t>
      </w:r>
      <w:r>
        <w:rPr>
          <w:spacing w:val="-33"/>
          <w:sz w:val="22"/>
        </w:rPr>
        <w:t> </w:t>
      </w:r>
      <w:r>
        <w:rPr>
          <w:spacing w:val="12"/>
          <w:sz w:val="22"/>
        </w:rPr>
        <w:t>de </w:t>
      </w:r>
      <w:r>
        <w:rPr>
          <w:spacing w:val="13"/>
          <w:sz w:val="22"/>
        </w:rPr>
        <w:t>that </w:t>
      </w:r>
      <w:r>
        <w:rPr>
          <w:sz w:val="22"/>
        </w:rPr>
        <w:t>a </w:t>
      </w:r>
      <w:r>
        <w:rPr>
          <w:spacing w:val="13"/>
          <w:sz w:val="22"/>
        </w:rPr>
        <w:t>student</w:t>
      </w:r>
      <w:r>
        <w:rPr>
          <w:spacing w:val="9"/>
          <w:sz w:val="22"/>
        </w:rPr>
        <w:t> </w:t>
      </w:r>
      <w:r>
        <w:rPr>
          <w:spacing w:val="11"/>
          <w:sz w:val="22"/>
        </w:rPr>
        <w:t>has </w:t>
      </w:r>
      <w:r>
        <w:rPr>
          <w:spacing w:val="12"/>
          <w:sz w:val="22"/>
        </w:rPr>
        <w:t>been </w:t>
      </w:r>
      <w:r>
        <w:rPr>
          <w:sz w:val="22"/>
        </w:rPr>
        <w:t>guilty of misc</w:t>
      </w:r>
      <w:r>
        <w:rPr>
          <w:spacing w:val="-12"/>
          <w:sz w:val="22"/>
        </w:rPr>
        <w:t> </w:t>
      </w:r>
      <w:r>
        <w:rPr>
          <w:spacing w:val="14"/>
          <w:sz w:val="22"/>
        </w:rPr>
        <w:t>onduct.</w:t>
      </w:r>
    </w:p>
    <w:p>
      <w:pPr>
        <w:spacing w:after="0" w:line="292" w:lineRule="auto"/>
        <w:jc w:val="left"/>
        <w:rPr>
          <w:sz w:val="22"/>
        </w:rPr>
        <w:sectPr>
          <w:headerReference w:type="default" r:id="rId319"/>
          <w:footerReference w:type="default" r:id="rId320"/>
          <w:pgSz w:w="12240" w:h="15840"/>
          <w:pgMar w:header="0" w:footer="750" w:top="1400" w:bottom="940" w:left="1000" w:right="820"/>
        </w:sectPr>
      </w:pPr>
    </w:p>
    <w:p>
      <w:pPr>
        <w:pStyle w:val="Heading8"/>
        <w:spacing w:before="77"/>
        <w:ind w:left="441"/>
      </w:pPr>
      <w:r>
        <w:rPr>
          <w:w w:val="95"/>
        </w:rPr>
        <w:t>ACADEMIC</w:t>
      </w:r>
      <w:r>
        <w:rPr>
          <w:spacing w:val="66"/>
        </w:rPr>
        <w:t> </w:t>
      </w:r>
      <w:r>
        <w:rPr>
          <w:spacing w:val="-2"/>
        </w:rPr>
        <w:t>ACTIONS</w:t>
      </w:r>
    </w:p>
    <w:p>
      <w:pPr>
        <w:pStyle w:val="BodyText"/>
        <w:spacing w:before="9"/>
        <w:rPr>
          <w:b/>
          <w:sz w:val="31"/>
        </w:rPr>
      </w:pPr>
    </w:p>
    <w:p>
      <w:pPr>
        <w:spacing w:before="0"/>
        <w:ind w:left="441" w:right="0" w:firstLine="0"/>
        <w:jc w:val="left"/>
        <w:rPr>
          <w:sz w:val="22"/>
        </w:rPr>
      </w:pPr>
      <w:r>
        <w:rPr>
          <w:sz w:val="22"/>
        </w:rPr>
        <w:t>Where</w:t>
      </w:r>
      <w:r>
        <w:rPr>
          <w:spacing w:val="10"/>
          <w:sz w:val="22"/>
        </w:rPr>
        <w:t> </w:t>
      </w:r>
      <w:r>
        <w:rPr>
          <w:spacing w:val="9"/>
          <w:sz w:val="22"/>
        </w:rPr>
        <w:t>there</w:t>
      </w:r>
      <w:r>
        <w:rPr>
          <w:spacing w:val="19"/>
          <w:sz w:val="22"/>
        </w:rPr>
        <w:t> </w:t>
      </w:r>
      <w:r>
        <w:rPr>
          <w:sz w:val="22"/>
        </w:rPr>
        <w:t>are</w:t>
      </w:r>
      <w:r>
        <w:rPr>
          <w:spacing w:val="10"/>
          <w:sz w:val="22"/>
        </w:rPr>
        <w:t> </w:t>
      </w:r>
      <w:r>
        <w:rPr>
          <w:spacing w:val="9"/>
          <w:sz w:val="22"/>
        </w:rPr>
        <w:t>violations</w:t>
      </w:r>
      <w:r>
        <w:rPr>
          <w:spacing w:val="7"/>
          <w:sz w:val="22"/>
        </w:rPr>
        <w:t> </w:t>
      </w:r>
      <w:r>
        <w:rPr>
          <w:sz w:val="22"/>
        </w:rPr>
        <w:t>of</w:t>
      </w:r>
      <w:r>
        <w:rPr>
          <w:spacing w:val="14"/>
          <w:sz w:val="22"/>
        </w:rPr>
        <w:t> </w:t>
      </w:r>
      <w:r>
        <w:rPr>
          <w:sz w:val="22"/>
        </w:rPr>
        <w:t>a</w:t>
      </w:r>
      <w:r>
        <w:rPr>
          <w:spacing w:val="-31"/>
          <w:sz w:val="22"/>
        </w:rPr>
        <w:t> </w:t>
      </w:r>
      <w:r>
        <w:rPr>
          <w:sz w:val="22"/>
        </w:rPr>
        <w:t>c</w:t>
      </w:r>
      <w:r>
        <w:rPr>
          <w:spacing w:val="-30"/>
          <w:sz w:val="22"/>
        </w:rPr>
        <w:t> </w:t>
      </w:r>
      <w:r>
        <w:rPr>
          <w:spacing w:val="16"/>
          <w:sz w:val="22"/>
        </w:rPr>
        <w:t>ademic</w:t>
      </w:r>
      <w:r>
        <w:rPr>
          <w:spacing w:val="22"/>
          <w:sz w:val="22"/>
        </w:rPr>
        <w:t> </w:t>
      </w:r>
      <w:r>
        <w:rPr>
          <w:spacing w:val="10"/>
          <w:sz w:val="22"/>
        </w:rPr>
        <w:t>ethics </w:t>
      </w:r>
      <w:r>
        <w:rPr>
          <w:spacing w:val="13"/>
          <w:sz w:val="22"/>
        </w:rPr>
        <w:t>and</w:t>
      </w:r>
      <w:r>
        <w:rPr>
          <w:spacing w:val="23"/>
          <w:sz w:val="22"/>
        </w:rPr>
        <w:t> </w:t>
      </w:r>
      <w:r>
        <w:rPr>
          <w:sz w:val="22"/>
        </w:rPr>
        <w:t>a</w:t>
      </w:r>
      <w:r>
        <w:rPr>
          <w:spacing w:val="10"/>
          <w:sz w:val="22"/>
        </w:rPr>
        <w:t> </w:t>
      </w:r>
      <w:r>
        <w:rPr>
          <w:spacing w:val="12"/>
          <w:sz w:val="22"/>
        </w:rPr>
        <w:t>student</w:t>
      </w:r>
      <w:r>
        <w:rPr>
          <w:spacing w:val="2"/>
          <w:sz w:val="22"/>
        </w:rPr>
        <w:t> </w:t>
      </w:r>
      <w:r>
        <w:rPr>
          <w:sz w:val="22"/>
        </w:rPr>
        <w:t>is</w:t>
      </w:r>
      <w:r>
        <w:rPr>
          <w:spacing w:val="10"/>
          <w:sz w:val="22"/>
        </w:rPr>
        <w:t> </w:t>
      </w:r>
      <w:r>
        <w:rPr>
          <w:spacing w:val="12"/>
          <w:sz w:val="22"/>
        </w:rPr>
        <w:t>believed</w:t>
      </w:r>
      <w:r>
        <w:rPr>
          <w:spacing w:val="23"/>
          <w:sz w:val="22"/>
        </w:rPr>
        <w:t> </w:t>
      </w:r>
      <w:r>
        <w:rPr>
          <w:sz w:val="22"/>
        </w:rPr>
        <w:t>by</w:t>
      </w:r>
      <w:r>
        <w:rPr>
          <w:spacing w:val="13"/>
          <w:sz w:val="22"/>
        </w:rPr>
        <w:t> </w:t>
      </w:r>
      <w:r>
        <w:rPr>
          <w:spacing w:val="5"/>
          <w:sz w:val="22"/>
        </w:rPr>
        <w:t>an</w:t>
      </w:r>
    </w:p>
    <w:p>
      <w:pPr>
        <w:spacing w:line="292" w:lineRule="auto" w:before="59"/>
        <w:ind w:left="440" w:right="712" w:firstLine="0"/>
        <w:jc w:val="left"/>
        <w:rPr>
          <w:sz w:val="22"/>
        </w:rPr>
      </w:pPr>
      <w:r>
        <w:rPr>
          <w:spacing w:val="9"/>
          <w:sz w:val="22"/>
        </w:rPr>
        <w:t>instructor</w:t>
      </w:r>
      <w:r>
        <w:rPr>
          <w:spacing w:val="7"/>
          <w:sz w:val="22"/>
        </w:rPr>
        <w:t> </w:t>
      </w:r>
      <w:r>
        <w:rPr>
          <w:sz w:val="22"/>
        </w:rPr>
        <w:t>to </w:t>
      </w:r>
      <w:r>
        <w:rPr>
          <w:spacing w:val="12"/>
          <w:sz w:val="22"/>
        </w:rPr>
        <w:t>be </w:t>
      </w:r>
      <w:r>
        <w:rPr>
          <w:sz w:val="22"/>
        </w:rPr>
        <w:t>guilty of </w:t>
      </w:r>
      <w:r>
        <w:rPr>
          <w:spacing w:val="9"/>
          <w:sz w:val="22"/>
        </w:rPr>
        <w:t>Ac</w:t>
      </w:r>
      <w:r>
        <w:rPr>
          <w:spacing w:val="-30"/>
          <w:sz w:val="22"/>
        </w:rPr>
        <w:t> </w:t>
      </w:r>
      <w:r>
        <w:rPr>
          <w:sz w:val="22"/>
        </w:rPr>
        <w:t>a</w:t>
      </w:r>
      <w:r>
        <w:rPr>
          <w:spacing w:val="-33"/>
          <w:sz w:val="22"/>
        </w:rPr>
        <w:t> </w:t>
      </w:r>
      <w:r>
        <w:rPr>
          <w:spacing w:val="14"/>
          <w:sz w:val="22"/>
        </w:rPr>
        <w:t>demic </w:t>
      </w:r>
      <w:r>
        <w:rPr>
          <w:sz w:val="22"/>
        </w:rPr>
        <w:t>Dishonesty as </w:t>
      </w:r>
      <w:r>
        <w:rPr>
          <w:spacing w:val="12"/>
          <w:sz w:val="22"/>
        </w:rPr>
        <w:t>defined </w:t>
      </w:r>
      <w:r>
        <w:rPr>
          <w:sz w:val="22"/>
        </w:rPr>
        <w:t>in the </w:t>
      </w:r>
      <w:r>
        <w:rPr>
          <w:i/>
          <w:spacing w:val="12"/>
          <w:sz w:val="22"/>
        </w:rPr>
        <w:t>Student</w:t>
      </w:r>
      <w:r>
        <w:rPr>
          <w:i/>
          <w:spacing w:val="6"/>
          <w:sz w:val="22"/>
        </w:rPr>
        <w:t> </w:t>
      </w:r>
      <w:r>
        <w:rPr>
          <w:i/>
          <w:spacing w:val="16"/>
          <w:sz w:val="22"/>
        </w:rPr>
        <w:t>Handbook</w:t>
      </w:r>
      <w:r>
        <w:rPr>
          <w:i/>
          <w:spacing w:val="5"/>
          <w:sz w:val="22"/>
        </w:rPr>
        <w:t> </w:t>
      </w:r>
      <w:r>
        <w:rPr>
          <w:sz w:val="22"/>
        </w:rPr>
        <w:t>(P. 35), </w:t>
      </w:r>
      <w:r>
        <w:rPr>
          <w:spacing w:val="9"/>
          <w:sz w:val="22"/>
        </w:rPr>
        <w:t>the </w:t>
      </w:r>
      <w:r>
        <w:rPr>
          <w:spacing w:val="10"/>
          <w:sz w:val="22"/>
        </w:rPr>
        <w:t>following </w:t>
      </w:r>
      <w:r>
        <w:rPr>
          <w:spacing w:val="11"/>
          <w:sz w:val="22"/>
        </w:rPr>
        <w:t>steps </w:t>
      </w:r>
      <w:r>
        <w:rPr>
          <w:sz w:val="22"/>
        </w:rPr>
        <w:t>will </w:t>
      </w:r>
      <w:r>
        <w:rPr>
          <w:spacing w:val="11"/>
          <w:sz w:val="22"/>
        </w:rPr>
        <w:t>be </w:t>
      </w:r>
      <w:r>
        <w:rPr>
          <w:spacing w:val="10"/>
          <w:sz w:val="22"/>
        </w:rPr>
        <w:t>taken.</w:t>
      </w:r>
      <w:r>
        <w:rPr>
          <w:spacing w:val="-4"/>
          <w:sz w:val="22"/>
        </w:rPr>
        <w:t> </w:t>
      </w:r>
      <w:r>
        <w:rPr>
          <w:sz w:val="22"/>
        </w:rPr>
        <w:t>It is</w:t>
      </w:r>
      <w:r>
        <w:rPr>
          <w:spacing w:val="-2"/>
          <w:sz w:val="22"/>
        </w:rPr>
        <w:t> </w:t>
      </w:r>
      <w:r>
        <w:rPr>
          <w:spacing w:val="14"/>
          <w:sz w:val="22"/>
        </w:rPr>
        <w:t>important </w:t>
      </w:r>
      <w:r>
        <w:rPr>
          <w:spacing w:val="13"/>
          <w:sz w:val="22"/>
        </w:rPr>
        <w:t>that</w:t>
      </w:r>
      <w:r>
        <w:rPr>
          <w:spacing w:val="6"/>
          <w:sz w:val="22"/>
        </w:rPr>
        <w:t> </w:t>
      </w:r>
      <w:r>
        <w:rPr>
          <w:sz w:val="22"/>
        </w:rPr>
        <w:t>Fa</w:t>
      </w:r>
      <w:r>
        <w:rPr>
          <w:spacing w:val="-33"/>
          <w:sz w:val="22"/>
        </w:rPr>
        <w:t> </w:t>
      </w:r>
      <w:r>
        <w:rPr>
          <w:sz w:val="22"/>
        </w:rPr>
        <w:t>culty </w:t>
      </w:r>
      <w:r>
        <w:rPr>
          <w:spacing w:val="13"/>
          <w:sz w:val="22"/>
        </w:rPr>
        <w:t>members</w:t>
      </w:r>
      <w:r>
        <w:rPr>
          <w:spacing w:val="6"/>
          <w:sz w:val="22"/>
        </w:rPr>
        <w:t> </w:t>
      </w:r>
      <w:r>
        <w:rPr>
          <w:spacing w:val="12"/>
          <w:sz w:val="22"/>
        </w:rPr>
        <w:t>understand </w:t>
      </w:r>
      <w:r>
        <w:rPr>
          <w:spacing w:val="13"/>
          <w:sz w:val="22"/>
        </w:rPr>
        <w:t>that </w:t>
      </w:r>
      <w:r>
        <w:rPr>
          <w:spacing w:val="10"/>
          <w:sz w:val="22"/>
        </w:rPr>
        <w:t>where </w:t>
      </w:r>
      <w:r>
        <w:rPr>
          <w:spacing w:val="9"/>
          <w:sz w:val="22"/>
        </w:rPr>
        <w:t>these </w:t>
      </w:r>
      <w:r>
        <w:rPr>
          <w:spacing w:val="11"/>
          <w:sz w:val="22"/>
        </w:rPr>
        <w:t>steps </w:t>
      </w:r>
      <w:r>
        <w:rPr>
          <w:sz w:val="22"/>
        </w:rPr>
        <w:t>are</w:t>
      </w:r>
      <w:r>
        <w:rPr>
          <w:spacing w:val="11"/>
          <w:sz w:val="22"/>
        </w:rPr>
        <w:t> not </w:t>
      </w:r>
      <w:r>
        <w:rPr>
          <w:spacing w:val="13"/>
          <w:sz w:val="22"/>
        </w:rPr>
        <w:t>followed,</w:t>
      </w:r>
      <w:r>
        <w:rPr>
          <w:spacing w:val="11"/>
          <w:sz w:val="22"/>
        </w:rPr>
        <w:t> </w:t>
      </w:r>
      <w:r>
        <w:rPr>
          <w:sz w:val="22"/>
        </w:rPr>
        <w:t>no </w:t>
      </w:r>
      <w:r>
        <w:rPr>
          <w:spacing w:val="12"/>
          <w:sz w:val="22"/>
        </w:rPr>
        <w:t>rec</w:t>
      </w:r>
      <w:r>
        <w:rPr>
          <w:spacing w:val="-30"/>
          <w:sz w:val="22"/>
        </w:rPr>
        <w:t> </w:t>
      </w:r>
      <w:r>
        <w:rPr>
          <w:sz w:val="22"/>
        </w:rPr>
        <w:t>ord</w:t>
      </w:r>
      <w:r>
        <w:rPr>
          <w:spacing w:val="36"/>
          <w:sz w:val="22"/>
        </w:rPr>
        <w:t> </w:t>
      </w:r>
      <w:r>
        <w:rPr>
          <w:sz w:val="22"/>
        </w:rPr>
        <w:t>will exist</w:t>
      </w:r>
      <w:r>
        <w:rPr>
          <w:spacing w:val="25"/>
          <w:sz w:val="22"/>
        </w:rPr>
        <w:t> </w:t>
      </w:r>
      <w:r>
        <w:rPr>
          <w:sz w:val="22"/>
        </w:rPr>
        <w:t>of </w:t>
      </w:r>
      <w:r>
        <w:rPr>
          <w:spacing w:val="9"/>
          <w:sz w:val="22"/>
        </w:rPr>
        <w:t>the </w:t>
      </w:r>
      <w:r>
        <w:rPr>
          <w:spacing w:val="13"/>
          <w:sz w:val="22"/>
        </w:rPr>
        <w:t>incident and </w:t>
      </w:r>
      <w:r>
        <w:rPr>
          <w:sz w:val="22"/>
        </w:rPr>
        <w:t>no</w:t>
      </w:r>
    </w:p>
    <w:p>
      <w:pPr>
        <w:spacing w:line="295" w:lineRule="auto" w:before="3"/>
        <w:ind w:left="440" w:right="642" w:firstLine="16"/>
        <w:jc w:val="left"/>
        <w:rPr>
          <w:sz w:val="22"/>
        </w:rPr>
      </w:pPr>
      <w:r>
        <w:rPr>
          <w:spacing w:val="15"/>
          <w:sz w:val="22"/>
        </w:rPr>
        <w:t>charge </w:t>
      </w:r>
      <w:r>
        <w:rPr>
          <w:sz w:val="22"/>
        </w:rPr>
        <w:t>c</w:t>
      </w:r>
      <w:r>
        <w:rPr>
          <w:spacing w:val="-30"/>
          <w:sz w:val="22"/>
        </w:rPr>
        <w:t> </w:t>
      </w:r>
      <w:r>
        <w:rPr>
          <w:spacing w:val="10"/>
          <w:sz w:val="22"/>
        </w:rPr>
        <w:t>an </w:t>
      </w:r>
      <w:r>
        <w:rPr>
          <w:spacing w:val="11"/>
          <w:sz w:val="22"/>
        </w:rPr>
        <w:t>be </w:t>
      </w:r>
      <w:r>
        <w:rPr>
          <w:spacing w:val="12"/>
          <w:sz w:val="22"/>
        </w:rPr>
        <w:t>ma</w:t>
      </w:r>
      <w:r>
        <w:rPr>
          <w:spacing w:val="-33"/>
          <w:sz w:val="22"/>
        </w:rPr>
        <w:t> </w:t>
      </w:r>
      <w:r>
        <w:rPr>
          <w:spacing w:val="12"/>
          <w:sz w:val="22"/>
        </w:rPr>
        <w:t>de </w:t>
      </w:r>
      <w:r>
        <w:rPr>
          <w:spacing w:val="13"/>
          <w:sz w:val="22"/>
        </w:rPr>
        <w:t>that </w:t>
      </w:r>
      <w:r>
        <w:rPr>
          <w:sz w:val="22"/>
        </w:rPr>
        <w:t>a </w:t>
      </w:r>
      <w:r>
        <w:rPr>
          <w:spacing w:val="13"/>
          <w:sz w:val="22"/>
        </w:rPr>
        <w:t>student</w:t>
      </w:r>
      <w:r>
        <w:rPr>
          <w:spacing w:val="10"/>
          <w:sz w:val="22"/>
        </w:rPr>
        <w:t> has </w:t>
      </w:r>
      <w:r>
        <w:rPr>
          <w:spacing w:val="14"/>
          <w:sz w:val="22"/>
        </w:rPr>
        <w:t>been </w:t>
      </w:r>
      <w:r>
        <w:rPr>
          <w:sz w:val="22"/>
        </w:rPr>
        <w:t>guilty of </w:t>
      </w:r>
      <w:r>
        <w:rPr>
          <w:spacing w:val="9"/>
          <w:sz w:val="22"/>
        </w:rPr>
        <w:t>Ac</w:t>
      </w:r>
      <w:r>
        <w:rPr>
          <w:spacing w:val="-30"/>
          <w:sz w:val="22"/>
        </w:rPr>
        <w:t> </w:t>
      </w:r>
      <w:r>
        <w:rPr>
          <w:sz w:val="22"/>
        </w:rPr>
        <w:t>a</w:t>
      </w:r>
      <w:r>
        <w:rPr>
          <w:spacing w:val="-33"/>
          <w:sz w:val="22"/>
        </w:rPr>
        <w:t> </w:t>
      </w:r>
      <w:r>
        <w:rPr>
          <w:spacing w:val="14"/>
          <w:sz w:val="22"/>
        </w:rPr>
        <w:t>demic </w:t>
      </w:r>
      <w:r>
        <w:rPr>
          <w:sz w:val="22"/>
        </w:rPr>
        <w:t>Misc</w:t>
      </w:r>
      <w:r>
        <w:rPr>
          <w:spacing w:val="-33"/>
          <w:sz w:val="22"/>
        </w:rPr>
        <w:t> </w:t>
      </w:r>
      <w:r>
        <w:rPr>
          <w:spacing w:val="16"/>
          <w:sz w:val="22"/>
        </w:rPr>
        <w:t>onduct</w:t>
      </w:r>
      <w:r>
        <w:rPr>
          <w:spacing w:val="4"/>
          <w:sz w:val="22"/>
        </w:rPr>
        <w:t> </w:t>
      </w:r>
      <w:r>
        <w:rPr>
          <w:sz w:val="22"/>
        </w:rPr>
        <w:t>in this </w:t>
      </w:r>
      <w:r>
        <w:rPr>
          <w:spacing w:val="10"/>
          <w:sz w:val="22"/>
        </w:rPr>
        <w:t>instance.</w:t>
      </w:r>
    </w:p>
    <w:p>
      <w:pPr>
        <w:pStyle w:val="ListParagraph"/>
        <w:numPr>
          <w:ilvl w:val="0"/>
          <w:numId w:val="72"/>
        </w:numPr>
        <w:tabs>
          <w:tab w:pos="1519" w:val="left" w:leader="none"/>
          <w:tab w:pos="1520" w:val="left" w:leader="none"/>
        </w:tabs>
        <w:spacing w:line="252" w:lineRule="exact" w:before="0" w:after="0"/>
        <w:ind w:left="1519" w:right="0" w:hanging="721"/>
        <w:jc w:val="left"/>
        <w:rPr>
          <w:sz w:val="22"/>
        </w:rPr>
      </w:pPr>
      <w:r>
        <w:rPr>
          <w:sz w:val="22"/>
        </w:rPr>
        <w:t>Fa</w:t>
      </w:r>
      <w:r>
        <w:rPr>
          <w:spacing w:val="-32"/>
          <w:sz w:val="22"/>
        </w:rPr>
        <w:t> </w:t>
      </w:r>
      <w:r>
        <w:rPr>
          <w:sz w:val="22"/>
        </w:rPr>
        <w:t>culty</w:t>
      </w:r>
      <w:r>
        <w:rPr>
          <w:spacing w:val="17"/>
          <w:sz w:val="22"/>
        </w:rPr>
        <w:t> </w:t>
      </w:r>
      <w:r>
        <w:rPr>
          <w:sz w:val="22"/>
        </w:rPr>
        <w:t>will</w:t>
      </w:r>
      <w:r>
        <w:rPr>
          <w:spacing w:val="3"/>
          <w:sz w:val="22"/>
        </w:rPr>
        <w:t> </w:t>
      </w:r>
      <w:r>
        <w:rPr>
          <w:spacing w:val="11"/>
          <w:sz w:val="22"/>
        </w:rPr>
        <w:t>report,</w:t>
      </w:r>
      <w:r>
        <w:rPr>
          <w:sz w:val="22"/>
        </w:rPr>
        <w:t> in</w:t>
      </w:r>
      <w:r>
        <w:rPr>
          <w:spacing w:val="19"/>
          <w:sz w:val="22"/>
        </w:rPr>
        <w:t> </w:t>
      </w:r>
      <w:r>
        <w:rPr>
          <w:sz w:val="22"/>
        </w:rPr>
        <w:t>writing,</w:t>
      </w:r>
      <w:r>
        <w:rPr>
          <w:spacing w:val="7"/>
          <w:sz w:val="22"/>
        </w:rPr>
        <w:t> </w:t>
      </w:r>
      <w:r>
        <w:rPr>
          <w:spacing w:val="9"/>
          <w:sz w:val="22"/>
        </w:rPr>
        <w:t>the</w:t>
      </w:r>
      <w:r>
        <w:rPr>
          <w:spacing w:val="29"/>
          <w:sz w:val="22"/>
        </w:rPr>
        <w:t> </w:t>
      </w:r>
      <w:r>
        <w:rPr>
          <w:spacing w:val="14"/>
          <w:sz w:val="22"/>
        </w:rPr>
        <w:t>charge,</w:t>
      </w:r>
      <w:r>
        <w:rPr>
          <w:spacing w:val="-1"/>
          <w:sz w:val="22"/>
        </w:rPr>
        <w:t> </w:t>
      </w:r>
      <w:r>
        <w:rPr>
          <w:spacing w:val="11"/>
          <w:sz w:val="22"/>
        </w:rPr>
        <w:t>including</w:t>
      </w:r>
      <w:r>
        <w:rPr>
          <w:spacing w:val="30"/>
          <w:sz w:val="22"/>
        </w:rPr>
        <w:t> </w:t>
      </w:r>
      <w:r>
        <w:rPr>
          <w:sz w:val="22"/>
        </w:rPr>
        <w:t>all</w:t>
      </w:r>
      <w:r>
        <w:rPr>
          <w:spacing w:val="14"/>
          <w:sz w:val="22"/>
        </w:rPr>
        <w:t> </w:t>
      </w:r>
      <w:r>
        <w:rPr>
          <w:spacing w:val="13"/>
          <w:sz w:val="22"/>
        </w:rPr>
        <w:t>evidenc</w:t>
      </w:r>
      <w:r>
        <w:rPr>
          <w:spacing w:val="-33"/>
          <w:sz w:val="22"/>
        </w:rPr>
        <w:t> </w:t>
      </w:r>
      <w:r>
        <w:rPr>
          <w:sz w:val="22"/>
        </w:rPr>
        <w:t>e</w:t>
      </w:r>
      <w:r>
        <w:rPr>
          <w:spacing w:val="12"/>
          <w:sz w:val="22"/>
        </w:rPr>
        <w:t> </w:t>
      </w:r>
      <w:r>
        <w:rPr>
          <w:sz w:val="22"/>
        </w:rPr>
        <w:t>sup</w:t>
      </w:r>
      <w:r>
        <w:rPr>
          <w:spacing w:val="-32"/>
          <w:sz w:val="22"/>
        </w:rPr>
        <w:t> </w:t>
      </w:r>
      <w:r>
        <w:rPr>
          <w:spacing w:val="8"/>
          <w:sz w:val="22"/>
        </w:rPr>
        <w:t>porting</w:t>
      </w:r>
    </w:p>
    <w:p>
      <w:pPr>
        <w:spacing w:line="256" w:lineRule="auto" w:before="16"/>
        <w:ind w:left="1531" w:right="642" w:hanging="5"/>
        <w:jc w:val="left"/>
        <w:rPr>
          <w:sz w:val="22"/>
        </w:rPr>
      </w:pPr>
      <w:r>
        <w:rPr>
          <w:spacing w:val="9"/>
          <w:sz w:val="22"/>
        </w:rPr>
        <w:t>the </w:t>
      </w:r>
      <w:r>
        <w:rPr>
          <w:spacing w:val="12"/>
          <w:sz w:val="22"/>
        </w:rPr>
        <w:t>determination </w:t>
      </w:r>
      <w:r>
        <w:rPr>
          <w:sz w:val="22"/>
        </w:rPr>
        <w:t>of </w:t>
      </w:r>
      <w:r>
        <w:rPr>
          <w:spacing w:val="13"/>
          <w:sz w:val="22"/>
        </w:rPr>
        <w:t>cheating </w:t>
      </w:r>
      <w:r>
        <w:rPr>
          <w:sz w:val="22"/>
        </w:rPr>
        <w:t>or </w:t>
      </w:r>
      <w:r>
        <w:rPr>
          <w:spacing w:val="10"/>
          <w:sz w:val="22"/>
        </w:rPr>
        <w:t>plagiarism.</w:t>
      </w:r>
      <w:r>
        <w:rPr>
          <w:spacing w:val="-6"/>
          <w:sz w:val="22"/>
        </w:rPr>
        <w:t> </w:t>
      </w:r>
      <w:r>
        <w:rPr>
          <w:sz w:val="22"/>
        </w:rPr>
        <w:t>Fa</w:t>
      </w:r>
      <w:r>
        <w:rPr>
          <w:spacing w:val="-33"/>
          <w:sz w:val="22"/>
        </w:rPr>
        <w:t> </w:t>
      </w:r>
      <w:r>
        <w:rPr>
          <w:sz w:val="22"/>
        </w:rPr>
        <w:t>culty will discuss </w:t>
      </w:r>
      <w:r>
        <w:rPr>
          <w:spacing w:val="9"/>
          <w:sz w:val="22"/>
        </w:rPr>
        <w:t>the </w:t>
      </w:r>
      <w:r>
        <w:rPr>
          <w:spacing w:val="12"/>
          <w:sz w:val="22"/>
        </w:rPr>
        <w:t>allegation </w:t>
      </w:r>
      <w:r>
        <w:rPr>
          <w:sz w:val="22"/>
        </w:rPr>
        <w:t>with </w:t>
      </w:r>
      <w:r>
        <w:rPr>
          <w:spacing w:val="9"/>
          <w:sz w:val="22"/>
        </w:rPr>
        <w:t>the </w:t>
      </w:r>
      <w:r>
        <w:rPr>
          <w:spacing w:val="12"/>
          <w:sz w:val="22"/>
        </w:rPr>
        <w:t>student </w:t>
      </w:r>
      <w:r>
        <w:rPr>
          <w:spacing w:val="13"/>
          <w:sz w:val="22"/>
        </w:rPr>
        <w:t>and </w:t>
      </w:r>
      <w:r>
        <w:rPr>
          <w:spacing w:val="9"/>
          <w:sz w:val="22"/>
        </w:rPr>
        <w:t>offer any </w:t>
      </w:r>
      <w:r>
        <w:rPr>
          <w:spacing w:val="12"/>
          <w:sz w:val="22"/>
        </w:rPr>
        <w:t>opportunity </w:t>
      </w:r>
      <w:r>
        <w:rPr>
          <w:sz w:val="22"/>
        </w:rPr>
        <w:t>to</w:t>
      </w:r>
      <w:r>
        <w:rPr>
          <w:spacing w:val="9"/>
          <w:sz w:val="22"/>
        </w:rPr>
        <w:t> explain the </w:t>
      </w:r>
      <w:r>
        <w:rPr>
          <w:sz w:val="22"/>
        </w:rPr>
        <w:t>c</w:t>
      </w:r>
      <w:r>
        <w:rPr>
          <w:spacing w:val="-23"/>
          <w:sz w:val="22"/>
        </w:rPr>
        <w:t> </w:t>
      </w:r>
      <w:r>
        <w:rPr>
          <w:sz w:val="22"/>
        </w:rPr>
        <w:t>ase. If </w:t>
      </w:r>
      <w:r>
        <w:rPr>
          <w:spacing w:val="9"/>
          <w:sz w:val="22"/>
        </w:rPr>
        <w:t>the </w:t>
      </w:r>
      <w:r>
        <w:rPr>
          <w:sz w:val="22"/>
        </w:rPr>
        <w:t>fa</w:t>
      </w:r>
      <w:r>
        <w:rPr>
          <w:spacing w:val="-24"/>
          <w:sz w:val="22"/>
        </w:rPr>
        <w:t> </w:t>
      </w:r>
      <w:r>
        <w:rPr>
          <w:sz w:val="22"/>
        </w:rPr>
        <w:t>culty </w:t>
      </w:r>
      <w:r>
        <w:rPr>
          <w:spacing w:val="16"/>
          <w:sz w:val="22"/>
        </w:rPr>
        <w:t>member</w:t>
      </w:r>
      <w:r>
        <w:rPr>
          <w:spacing w:val="2"/>
          <w:sz w:val="22"/>
        </w:rPr>
        <w:t> </w:t>
      </w:r>
      <w:r>
        <w:rPr>
          <w:sz w:val="22"/>
        </w:rPr>
        <w:t>is </w:t>
      </w:r>
      <w:r>
        <w:rPr>
          <w:spacing w:val="12"/>
          <w:sz w:val="22"/>
        </w:rPr>
        <w:t>clear </w:t>
      </w:r>
      <w:r>
        <w:rPr>
          <w:spacing w:val="13"/>
          <w:sz w:val="22"/>
        </w:rPr>
        <w:t>and </w:t>
      </w:r>
      <w:r>
        <w:rPr>
          <w:spacing w:val="11"/>
          <w:sz w:val="22"/>
        </w:rPr>
        <w:t>certain </w:t>
      </w:r>
      <w:r>
        <w:rPr>
          <w:spacing w:val="13"/>
          <w:sz w:val="22"/>
        </w:rPr>
        <w:t>that </w:t>
      </w:r>
      <w:r>
        <w:rPr>
          <w:sz w:val="22"/>
        </w:rPr>
        <w:t>a</w:t>
      </w:r>
      <w:r>
        <w:rPr>
          <w:spacing w:val="-32"/>
          <w:sz w:val="22"/>
        </w:rPr>
        <w:t> </w:t>
      </w:r>
      <w:r>
        <w:rPr>
          <w:sz w:val="22"/>
        </w:rPr>
        <w:t>c</w:t>
      </w:r>
      <w:r>
        <w:rPr>
          <w:spacing w:val="-29"/>
          <w:sz w:val="22"/>
        </w:rPr>
        <w:t> </w:t>
      </w:r>
      <w:r>
        <w:rPr>
          <w:sz w:val="22"/>
        </w:rPr>
        <w:t>a</w:t>
      </w:r>
      <w:r>
        <w:rPr>
          <w:spacing w:val="-32"/>
          <w:sz w:val="22"/>
        </w:rPr>
        <w:t> </w:t>
      </w:r>
      <w:r>
        <w:rPr>
          <w:spacing w:val="13"/>
          <w:sz w:val="22"/>
        </w:rPr>
        <w:t>demic </w:t>
      </w:r>
      <w:r>
        <w:rPr>
          <w:spacing w:val="9"/>
          <w:sz w:val="22"/>
        </w:rPr>
        <w:t>dishonesty </w:t>
      </w:r>
      <w:r>
        <w:rPr>
          <w:spacing w:val="10"/>
          <w:sz w:val="22"/>
        </w:rPr>
        <w:t>has </w:t>
      </w:r>
      <w:r>
        <w:rPr>
          <w:spacing w:val="13"/>
          <w:sz w:val="22"/>
        </w:rPr>
        <w:t>oc</w:t>
      </w:r>
      <w:r>
        <w:rPr>
          <w:spacing w:val="-29"/>
          <w:sz w:val="22"/>
        </w:rPr>
        <w:t> </w:t>
      </w:r>
      <w:r>
        <w:rPr>
          <w:spacing w:val="10"/>
          <w:sz w:val="22"/>
        </w:rPr>
        <w:t>curred,</w:t>
      </w:r>
      <w:r>
        <w:rPr>
          <w:spacing w:val="7"/>
          <w:sz w:val="22"/>
        </w:rPr>
        <w:t> </w:t>
      </w:r>
      <w:r>
        <w:rPr>
          <w:spacing w:val="9"/>
          <w:sz w:val="22"/>
        </w:rPr>
        <w:t>the</w:t>
      </w:r>
    </w:p>
    <w:p>
      <w:pPr>
        <w:spacing w:line="252" w:lineRule="exact" w:before="0"/>
        <w:ind w:left="1523" w:right="0" w:firstLine="0"/>
        <w:jc w:val="left"/>
        <w:rPr>
          <w:sz w:val="22"/>
        </w:rPr>
      </w:pPr>
      <w:r>
        <w:rPr>
          <w:sz w:val="22"/>
        </w:rPr>
        <w:t>fa</w:t>
      </w:r>
      <w:r>
        <w:rPr>
          <w:spacing w:val="-31"/>
          <w:sz w:val="22"/>
        </w:rPr>
        <w:t> </w:t>
      </w:r>
      <w:r>
        <w:rPr>
          <w:sz w:val="22"/>
        </w:rPr>
        <w:t>culty</w:t>
      </w:r>
      <w:r>
        <w:rPr>
          <w:spacing w:val="14"/>
          <w:sz w:val="22"/>
        </w:rPr>
        <w:t> </w:t>
      </w:r>
      <w:r>
        <w:rPr>
          <w:spacing w:val="16"/>
          <w:sz w:val="22"/>
        </w:rPr>
        <w:t>member</w:t>
      </w:r>
      <w:r>
        <w:rPr>
          <w:spacing w:val="13"/>
          <w:sz w:val="22"/>
        </w:rPr>
        <w:t> </w:t>
      </w:r>
      <w:r>
        <w:rPr>
          <w:sz w:val="22"/>
        </w:rPr>
        <w:t>will</w:t>
      </w:r>
      <w:r>
        <w:rPr>
          <w:spacing w:val="11"/>
          <w:sz w:val="22"/>
        </w:rPr>
        <w:t> </w:t>
      </w:r>
      <w:r>
        <w:rPr>
          <w:spacing w:val="9"/>
          <w:sz w:val="22"/>
        </w:rPr>
        <w:t>explain</w:t>
      </w:r>
      <w:r>
        <w:rPr>
          <w:spacing w:val="12"/>
          <w:sz w:val="22"/>
        </w:rPr>
        <w:t> </w:t>
      </w:r>
      <w:r>
        <w:rPr>
          <w:spacing w:val="9"/>
          <w:sz w:val="22"/>
        </w:rPr>
        <w:t>the</w:t>
      </w:r>
      <w:r>
        <w:rPr>
          <w:spacing w:val="25"/>
          <w:sz w:val="22"/>
        </w:rPr>
        <w:t> </w:t>
      </w:r>
      <w:r>
        <w:rPr>
          <w:spacing w:val="15"/>
          <w:sz w:val="22"/>
        </w:rPr>
        <w:t>charge</w:t>
      </w:r>
      <w:r>
        <w:rPr>
          <w:spacing w:val="17"/>
          <w:sz w:val="22"/>
        </w:rPr>
        <w:t> </w:t>
      </w:r>
      <w:r>
        <w:rPr>
          <w:sz w:val="22"/>
        </w:rPr>
        <w:t>to</w:t>
      </w:r>
      <w:r>
        <w:rPr>
          <w:spacing w:val="17"/>
          <w:sz w:val="22"/>
        </w:rPr>
        <w:t> </w:t>
      </w:r>
      <w:r>
        <w:rPr>
          <w:spacing w:val="9"/>
          <w:sz w:val="22"/>
        </w:rPr>
        <w:t>the</w:t>
      </w:r>
      <w:r>
        <w:rPr>
          <w:spacing w:val="10"/>
          <w:sz w:val="22"/>
        </w:rPr>
        <w:t> </w:t>
      </w:r>
      <w:r>
        <w:rPr>
          <w:spacing w:val="13"/>
          <w:sz w:val="22"/>
        </w:rPr>
        <w:t>student</w:t>
      </w:r>
      <w:r>
        <w:rPr>
          <w:spacing w:val="21"/>
          <w:sz w:val="22"/>
        </w:rPr>
        <w:t> </w:t>
      </w:r>
      <w:r>
        <w:rPr>
          <w:spacing w:val="12"/>
          <w:sz w:val="22"/>
        </w:rPr>
        <w:t>and</w:t>
      </w:r>
      <w:r>
        <w:rPr>
          <w:spacing w:val="28"/>
          <w:sz w:val="22"/>
        </w:rPr>
        <w:t> </w:t>
      </w:r>
      <w:r>
        <w:rPr>
          <w:spacing w:val="11"/>
          <w:sz w:val="22"/>
        </w:rPr>
        <w:t>provide</w:t>
      </w:r>
      <w:r>
        <w:rPr>
          <w:spacing w:val="18"/>
          <w:sz w:val="22"/>
        </w:rPr>
        <w:t> </w:t>
      </w:r>
      <w:r>
        <w:rPr>
          <w:spacing w:val="4"/>
          <w:sz w:val="22"/>
        </w:rPr>
        <w:t>the</w:t>
      </w:r>
    </w:p>
    <w:p>
      <w:pPr>
        <w:spacing w:line="254" w:lineRule="auto" w:before="15"/>
        <w:ind w:left="1519" w:right="642" w:firstLine="0"/>
        <w:jc w:val="left"/>
        <w:rPr>
          <w:sz w:val="22"/>
        </w:rPr>
      </w:pPr>
      <w:r>
        <w:rPr>
          <w:spacing w:val="11"/>
          <w:sz w:val="22"/>
        </w:rPr>
        <w:t>rec</w:t>
      </w:r>
      <w:r>
        <w:rPr>
          <w:spacing w:val="-33"/>
          <w:sz w:val="22"/>
        </w:rPr>
        <w:t> </w:t>
      </w:r>
      <w:r>
        <w:rPr>
          <w:spacing w:val="16"/>
          <w:sz w:val="22"/>
        </w:rPr>
        <w:t>ommended </w:t>
      </w:r>
      <w:r>
        <w:rPr>
          <w:sz w:val="22"/>
        </w:rPr>
        <w:t>a</w:t>
      </w:r>
      <w:r>
        <w:rPr>
          <w:spacing w:val="-33"/>
          <w:sz w:val="22"/>
        </w:rPr>
        <w:t> </w:t>
      </w:r>
      <w:r>
        <w:rPr>
          <w:spacing w:val="10"/>
          <w:sz w:val="22"/>
        </w:rPr>
        <w:t>ction.</w:t>
      </w:r>
      <w:r>
        <w:rPr>
          <w:spacing w:val="-7"/>
          <w:sz w:val="22"/>
        </w:rPr>
        <w:t> </w:t>
      </w:r>
      <w:r>
        <w:rPr>
          <w:sz w:val="22"/>
        </w:rPr>
        <w:t>The </w:t>
      </w:r>
      <w:r>
        <w:rPr>
          <w:spacing w:val="9"/>
          <w:sz w:val="22"/>
        </w:rPr>
        <w:t>stud</w:t>
      </w:r>
      <w:r>
        <w:rPr>
          <w:spacing w:val="-26"/>
          <w:sz w:val="22"/>
        </w:rPr>
        <w:t> </w:t>
      </w:r>
      <w:r>
        <w:rPr>
          <w:spacing w:val="9"/>
          <w:sz w:val="22"/>
        </w:rPr>
        <w:t>ent </w:t>
      </w:r>
      <w:r>
        <w:rPr>
          <w:spacing w:val="11"/>
          <w:sz w:val="22"/>
        </w:rPr>
        <w:t>may,</w:t>
      </w:r>
      <w:r>
        <w:rPr>
          <w:spacing w:val="-5"/>
          <w:sz w:val="22"/>
        </w:rPr>
        <w:t> </w:t>
      </w:r>
      <w:r>
        <w:rPr>
          <w:sz w:val="22"/>
        </w:rPr>
        <w:t>in a</w:t>
      </w:r>
      <w:r>
        <w:rPr>
          <w:spacing w:val="-33"/>
          <w:sz w:val="22"/>
        </w:rPr>
        <w:t> </w:t>
      </w:r>
      <w:r>
        <w:rPr>
          <w:sz w:val="22"/>
        </w:rPr>
        <w:t>c</w:t>
      </w:r>
      <w:r>
        <w:rPr>
          <w:spacing w:val="-28"/>
          <w:sz w:val="22"/>
        </w:rPr>
        <w:t> </w:t>
      </w:r>
      <w:r>
        <w:rPr>
          <w:sz w:val="22"/>
        </w:rPr>
        <w:t>c</w:t>
      </w:r>
      <w:r>
        <w:rPr>
          <w:spacing w:val="-33"/>
          <w:sz w:val="22"/>
        </w:rPr>
        <w:t> </w:t>
      </w:r>
      <w:r>
        <w:rPr>
          <w:sz w:val="22"/>
        </w:rPr>
        <w:t>ord</w:t>
      </w:r>
      <w:r>
        <w:rPr>
          <w:spacing w:val="-33"/>
          <w:sz w:val="22"/>
        </w:rPr>
        <w:t> </w:t>
      </w:r>
      <w:r>
        <w:rPr>
          <w:spacing w:val="16"/>
          <w:sz w:val="22"/>
        </w:rPr>
        <w:t>ance </w:t>
      </w:r>
      <w:r>
        <w:rPr>
          <w:sz w:val="22"/>
        </w:rPr>
        <w:t>with </w:t>
      </w:r>
      <w:r>
        <w:rPr>
          <w:spacing w:val="9"/>
          <w:sz w:val="22"/>
        </w:rPr>
        <w:t>the</w:t>
      </w:r>
      <w:r>
        <w:rPr>
          <w:spacing w:val="7"/>
          <w:sz w:val="22"/>
        </w:rPr>
        <w:t> </w:t>
      </w:r>
      <w:r>
        <w:rPr>
          <w:i/>
          <w:spacing w:val="12"/>
          <w:sz w:val="22"/>
        </w:rPr>
        <w:t>Student </w:t>
      </w:r>
      <w:r>
        <w:rPr>
          <w:i/>
          <w:spacing w:val="15"/>
          <w:sz w:val="22"/>
        </w:rPr>
        <w:t>Handbook </w:t>
      </w:r>
      <w:r>
        <w:rPr>
          <w:sz w:val="22"/>
        </w:rPr>
        <w:t>(P. 35), </w:t>
      </w:r>
      <w:r>
        <w:rPr>
          <w:spacing w:val="13"/>
          <w:sz w:val="22"/>
        </w:rPr>
        <w:t>receive </w:t>
      </w:r>
      <w:r>
        <w:rPr>
          <w:spacing w:val="10"/>
          <w:sz w:val="22"/>
        </w:rPr>
        <w:t>one </w:t>
      </w:r>
      <w:r>
        <w:rPr>
          <w:sz w:val="22"/>
        </w:rPr>
        <w:t>of </w:t>
      </w:r>
      <w:r>
        <w:rPr>
          <w:spacing w:val="9"/>
          <w:sz w:val="22"/>
        </w:rPr>
        <w:t>the </w:t>
      </w:r>
      <w:r>
        <w:rPr>
          <w:spacing w:val="10"/>
          <w:sz w:val="22"/>
        </w:rPr>
        <w:t>following penalties:</w:t>
      </w:r>
    </w:p>
    <w:p>
      <w:pPr>
        <w:pStyle w:val="ListParagraph"/>
        <w:numPr>
          <w:ilvl w:val="1"/>
          <w:numId w:val="72"/>
        </w:numPr>
        <w:tabs>
          <w:tab w:pos="1889" w:val="left" w:leader="none"/>
        </w:tabs>
        <w:spacing w:line="240" w:lineRule="auto" w:before="4" w:after="0"/>
        <w:ind w:left="1888" w:right="0" w:hanging="356"/>
        <w:jc w:val="left"/>
        <w:rPr>
          <w:sz w:val="22"/>
        </w:rPr>
      </w:pPr>
      <w:r>
        <w:rPr>
          <w:sz w:val="22"/>
        </w:rPr>
        <w:t>A</w:t>
      </w:r>
      <w:r>
        <w:rPr>
          <w:spacing w:val="18"/>
          <w:sz w:val="22"/>
        </w:rPr>
        <w:t> </w:t>
      </w:r>
      <w:r>
        <w:rPr>
          <w:sz w:val="22"/>
        </w:rPr>
        <w:t>gra</w:t>
      </w:r>
      <w:r>
        <w:rPr>
          <w:spacing w:val="-32"/>
          <w:sz w:val="22"/>
        </w:rPr>
        <w:t> </w:t>
      </w:r>
      <w:r>
        <w:rPr>
          <w:spacing w:val="12"/>
          <w:sz w:val="22"/>
        </w:rPr>
        <w:t>de</w:t>
      </w:r>
      <w:r>
        <w:rPr>
          <w:spacing w:val="22"/>
          <w:sz w:val="22"/>
        </w:rPr>
        <w:t> </w:t>
      </w:r>
      <w:r>
        <w:rPr>
          <w:sz w:val="22"/>
        </w:rPr>
        <w:t>of</w:t>
      </w:r>
      <w:r>
        <w:rPr>
          <w:spacing w:val="23"/>
          <w:sz w:val="22"/>
        </w:rPr>
        <w:t> </w:t>
      </w:r>
      <w:r>
        <w:rPr>
          <w:spacing w:val="11"/>
          <w:sz w:val="22"/>
        </w:rPr>
        <w:t>“F”</w:t>
      </w:r>
      <w:r>
        <w:rPr>
          <w:spacing w:val="29"/>
          <w:sz w:val="22"/>
        </w:rPr>
        <w:t> </w:t>
      </w:r>
      <w:r>
        <w:rPr>
          <w:sz w:val="22"/>
        </w:rPr>
        <w:t>on</w:t>
      </w:r>
      <w:r>
        <w:rPr>
          <w:spacing w:val="12"/>
          <w:sz w:val="22"/>
        </w:rPr>
        <w:t> </w:t>
      </w:r>
      <w:r>
        <w:rPr>
          <w:spacing w:val="9"/>
          <w:sz w:val="22"/>
        </w:rPr>
        <w:t>the</w:t>
      </w:r>
      <w:r>
        <w:rPr>
          <w:spacing w:val="19"/>
          <w:sz w:val="22"/>
        </w:rPr>
        <w:t> </w:t>
      </w:r>
      <w:r>
        <w:rPr>
          <w:spacing w:val="12"/>
          <w:sz w:val="22"/>
        </w:rPr>
        <w:t>examination</w:t>
      </w:r>
      <w:r>
        <w:rPr>
          <w:spacing w:val="17"/>
          <w:sz w:val="22"/>
        </w:rPr>
        <w:t> </w:t>
      </w:r>
      <w:r>
        <w:rPr>
          <w:sz w:val="22"/>
        </w:rPr>
        <w:t>or</w:t>
      </w:r>
      <w:r>
        <w:rPr>
          <w:spacing w:val="14"/>
          <w:sz w:val="22"/>
        </w:rPr>
        <w:t> </w:t>
      </w:r>
      <w:r>
        <w:rPr>
          <w:spacing w:val="10"/>
          <w:sz w:val="22"/>
        </w:rPr>
        <w:t>project,</w:t>
      </w:r>
    </w:p>
    <w:p>
      <w:pPr>
        <w:pStyle w:val="ListParagraph"/>
        <w:numPr>
          <w:ilvl w:val="1"/>
          <w:numId w:val="72"/>
        </w:numPr>
        <w:tabs>
          <w:tab w:pos="1889" w:val="left" w:leader="none"/>
        </w:tabs>
        <w:spacing w:line="254" w:lineRule="auto" w:before="16" w:after="0"/>
        <w:ind w:left="1896" w:right="1352" w:hanging="363"/>
        <w:jc w:val="left"/>
        <w:rPr>
          <w:sz w:val="22"/>
        </w:rPr>
      </w:pPr>
      <w:r>
        <w:rPr>
          <w:sz w:val="22"/>
        </w:rPr>
        <w:t>A</w:t>
      </w:r>
      <w:r>
        <w:rPr>
          <w:spacing w:val="18"/>
          <w:sz w:val="22"/>
        </w:rPr>
        <w:t> </w:t>
      </w:r>
      <w:r>
        <w:rPr>
          <w:sz w:val="22"/>
        </w:rPr>
        <w:t>gra</w:t>
      </w:r>
      <w:r>
        <w:rPr>
          <w:spacing w:val="-33"/>
          <w:sz w:val="22"/>
        </w:rPr>
        <w:t> </w:t>
      </w:r>
      <w:r>
        <w:rPr>
          <w:spacing w:val="12"/>
          <w:sz w:val="22"/>
        </w:rPr>
        <w:t>de </w:t>
      </w:r>
      <w:r>
        <w:rPr>
          <w:sz w:val="22"/>
        </w:rPr>
        <w:t>of</w:t>
      </w:r>
      <w:r>
        <w:rPr>
          <w:spacing w:val="11"/>
          <w:sz w:val="22"/>
        </w:rPr>
        <w:t> “F”</w:t>
      </w:r>
      <w:r>
        <w:rPr>
          <w:spacing w:val="28"/>
          <w:sz w:val="22"/>
        </w:rPr>
        <w:t> </w:t>
      </w:r>
      <w:r>
        <w:rPr>
          <w:sz w:val="22"/>
        </w:rPr>
        <w:t>on </w:t>
      </w:r>
      <w:r>
        <w:rPr>
          <w:spacing w:val="9"/>
          <w:sz w:val="22"/>
        </w:rPr>
        <w:t>the </w:t>
      </w:r>
      <w:r>
        <w:rPr>
          <w:spacing w:val="12"/>
          <w:sz w:val="22"/>
        </w:rPr>
        <w:t>examination </w:t>
      </w:r>
      <w:r>
        <w:rPr>
          <w:sz w:val="22"/>
        </w:rPr>
        <w:t>or</w:t>
      </w:r>
      <w:r>
        <w:rPr>
          <w:spacing w:val="13"/>
          <w:sz w:val="22"/>
        </w:rPr>
        <w:t> project and </w:t>
      </w:r>
      <w:r>
        <w:rPr>
          <w:sz w:val="22"/>
        </w:rPr>
        <w:t>dismissal from</w:t>
      </w:r>
      <w:r>
        <w:rPr>
          <w:spacing w:val="9"/>
          <w:sz w:val="22"/>
        </w:rPr>
        <w:t> the </w:t>
      </w:r>
      <w:r>
        <w:rPr>
          <w:sz w:val="22"/>
        </w:rPr>
        <w:t>c</w:t>
      </w:r>
      <w:r>
        <w:rPr>
          <w:spacing w:val="-33"/>
          <w:sz w:val="22"/>
        </w:rPr>
        <w:t> </w:t>
      </w:r>
      <w:r>
        <w:rPr>
          <w:sz w:val="22"/>
        </w:rPr>
        <w:t>ourse,</w:t>
      </w:r>
    </w:p>
    <w:p>
      <w:pPr>
        <w:pStyle w:val="ListParagraph"/>
        <w:numPr>
          <w:ilvl w:val="1"/>
          <w:numId w:val="72"/>
        </w:numPr>
        <w:tabs>
          <w:tab w:pos="1889" w:val="left" w:leader="none"/>
        </w:tabs>
        <w:spacing w:line="254" w:lineRule="auto" w:before="3" w:after="0"/>
        <w:ind w:left="1894" w:right="1014" w:hanging="358"/>
        <w:jc w:val="left"/>
        <w:rPr>
          <w:sz w:val="22"/>
        </w:rPr>
      </w:pPr>
      <w:r>
        <w:rPr>
          <w:sz w:val="22"/>
        </w:rPr>
        <w:t>A gra</w:t>
      </w:r>
      <w:r>
        <w:rPr>
          <w:spacing w:val="-33"/>
          <w:sz w:val="22"/>
        </w:rPr>
        <w:t> </w:t>
      </w:r>
      <w:r>
        <w:rPr>
          <w:spacing w:val="12"/>
          <w:sz w:val="22"/>
        </w:rPr>
        <w:t>de </w:t>
      </w:r>
      <w:r>
        <w:rPr>
          <w:sz w:val="22"/>
        </w:rPr>
        <w:t>of </w:t>
      </w:r>
      <w:r>
        <w:rPr>
          <w:spacing w:val="11"/>
          <w:sz w:val="22"/>
        </w:rPr>
        <w:t>“F” </w:t>
      </w:r>
      <w:r>
        <w:rPr>
          <w:sz w:val="22"/>
        </w:rPr>
        <w:t>on </w:t>
      </w:r>
      <w:r>
        <w:rPr>
          <w:spacing w:val="9"/>
          <w:sz w:val="22"/>
        </w:rPr>
        <w:t>the </w:t>
      </w:r>
      <w:r>
        <w:rPr>
          <w:spacing w:val="12"/>
          <w:sz w:val="22"/>
        </w:rPr>
        <w:t>examination </w:t>
      </w:r>
      <w:r>
        <w:rPr>
          <w:sz w:val="22"/>
        </w:rPr>
        <w:t>or </w:t>
      </w:r>
      <w:r>
        <w:rPr>
          <w:spacing w:val="12"/>
          <w:sz w:val="22"/>
        </w:rPr>
        <w:t>project, </w:t>
      </w:r>
      <w:r>
        <w:rPr>
          <w:sz w:val="22"/>
        </w:rPr>
        <w:t>dismissal from </w:t>
      </w:r>
      <w:r>
        <w:rPr>
          <w:spacing w:val="9"/>
          <w:sz w:val="22"/>
        </w:rPr>
        <w:t>the </w:t>
      </w:r>
      <w:r>
        <w:rPr>
          <w:sz w:val="22"/>
        </w:rPr>
        <w:t>c</w:t>
      </w:r>
      <w:r>
        <w:rPr>
          <w:spacing w:val="-33"/>
          <w:sz w:val="22"/>
        </w:rPr>
        <w:t> </w:t>
      </w:r>
      <w:r>
        <w:rPr>
          <w:sz w:val="22"/>
        </w:rPr>
        <w:t>ourse </w:t>
      </w:r>
      <w:r>
        <w:rPr>
          <w:spacing w:val="13"/>
          <w:sz w:val="22"/>
        </w:rPr>
        <w:t>and </w:t>
      </w:r>
      <w:r>
        <w:rPr>
          <w:sz w:val="22"/>
        </w:rPr>
        <w:t>from </w:t>
      </w:r>
      <w:r>
        <w:rPr>
          <w:spacing w:val="9"/>
          <w:sz w:val="22"/>
        </w:rPr>
        <w:t>the </w:t>
      </w:r>
      <w:r>
        <w:rPr>
          <w:sz w:val="22"/>
        </w:rPr>
        <w:t>University.</w:t>
      </w:r>
    </w:p>
    <w:p>
      <w:pPr>
        <w:pStyle w:val="ListParagraph"/>
        <w:numPr>
          <w:ilvl w:val="0"/>
          <w:numId w:val="72"/>
        </w:numPr>
        <w:tabs>
          <w:tab w:pos="1520" w:val="left" w:leader="none"/>
          <w:tab w:pos="1521" w:val="left" w:leader="none"/>
        </w:tabs>
        <w:spacing w:line="254" w:lineRule="auto" w:before="4" w:after="0"/>
        <w:ind w:left="1534" w:right="778" w:hanging="735"/>
        <w:jc w:val="left"/>
        <w:rPr>
          <w:sz w:val="22"/>
        </w:rPr>
      </w:pPr>
      <w:r>
        <w:rPr>
          <w:sz w:val="22"/>
        </w:rPr>
        <w:t>The</w:t>
      </w:r>
      <w:r>
        <w:rPr>
          <w:spacing w:val="-2"/>
          <w:sz w:val="22"/>
        </w:rPr>
        <w:t> </w:t>
      </w:r>
      <w:r>
        <w:rPr>
          <w:spacing w:val="13"/>
          <w:sz w:val="22"/>
        </w:rPr>
        <w:t>student</w:t>
      </w:r>
      <w:r>
        <w:rPr>
          <w:spacing w:val="12"/>
          <w:sz w:val="22"/>
        </w:rPr>
        <w:t> </w:t>
      </w:r>
      <w:r>
        <w:rPr>
          <w:sz w:val="22"/>
        </w:rPr>
        <w:t>must </w:t>
      </w:r>
      <w:r>
        <w:rPr>
          <w:spacing w:val="12"/>
          <w:sz w:val="22"/>
        </w:rPr>
        <w:t>be advised </w:t>
      </w:r>
      <w:r>
        <w:rPr>
          <w:spacing w:val="13"/>
          <w:sz w:val="22"/>
        </w:rPr>
        <w:t>that</w:t>
      </w:r>
      <w:r>
        <w:rPr>
          <w:spacing w:val="8"/>
          <w:sz w:val="22"/>
        </w:rPr>
        <w:t> </w:t>
      </w:r>
      <w:r>
        <w:rPr>
          <w:spacing w:val="10"/>
          <w:sz w:val="22"/>
        </w:rPr>
        <w:t>they </w:t>
      </w:r>
      <w:r>
        <w:rPr>
          <w:sz w:val="22"/>
        </w:rPr>
        <w:t>c</w:t>
      </w:r>
      <w:r>
        <w:rPr>
          <w:spacing w:val="-33"/>
          <w:sz w:val="22"/>
        </w:rPr>
        <w:t> </w:t>
      </w:r>
      <w:r>
        <w:rPr>
          <w:spacing w:val="10"/>
          <w:sz w:val="22"/>
        </w:rPr>
        <w:t>an </w:t>
      </w:r>
      <w:r>
        <w:rPr>
          <w:spacing w:val="12"/>
          <w:sz w:val="22"/>
        </w:rPr>
        <w:t>ap</w:t>
      </w:r>
      <w:r>
        <w:rPr>
          <w:spacing w:val="-33"/>
          <w:sz w:val="22"/>
        </w:rPr>
        <w:t> </w:t>
      </w:r>
      <w:r>
        <w:rPr>
          <w:spacing w:val="15"/>
          <w:sz w:val="22"/>
        </w:rPr>
        <w:t>peal</w:t>
      </w:r>
      <w:r>
        <w:rPr>
          <w:spacing w:val="3"/>
          <w:sz w:val="22"/>
        </w:rPr>
        <w:t> </w:t>
      </w:r>
      <w:r>
        <w:rPr>
          <w:spacing w:val="9"/>
          <w:sz w:val="22"/>
        </w:rPr>
        <w:t>the </w:t>
      </w:r>
      <w:r>
        <w:rPr>
          <w:spacing w:val="15"/>
          <w:sz w:val="22"/>
        </w:rPr>
        <w:t>charge </w:t>
      </w:r>
      <w:r>
        <w:rPr>
          <w:sz w:val="22"/>
        </w:rPr>
        <w:t>of a</w:t>
      </w:r>
      <w:r>
        <w:rPr>
          <w:spacing w:val="-33"/>
          <w:sz w:val="22"/>
        </w:rPr>
        <w:t> </w:t>
      </w:r>
      <w:r>
        <w:rPr>
          <w:sz w:val="22"/>
        </w:rPr>
        <w:t>c</w:t>
      </w:r>
      <w:r>
        <w:rPr>
          <w:spacing w:val="-30"/>
          <w:sz w:val="22"/>
        </w:rPr>
        <w:t> </w:t>
      </w:r>
      <w:r>
        <w:rPr>
          <w:sz w:val="22"/>
        </w:rPr>
        <w:t>a</w:t>
      </w:r>
      <w:r>
        <w:rPr>
          <w:spacing w:val="-33"/>
          <w:sz w:val="22"/>
        </w:rPr>
        <w:t> </w:t>
      </w:r>
      <w:r>
        <w:rPr>
          <w:spacing w:val="13"/>
          <w:sz w:val="22"/>
        </w:rPr>
        <w:t>demic </w:t>
      </w:r>
      <w:r>
        <w:rPr>
          <w:spacing w:val="9"/>
          <w:sz w:val="22"/>
        </w:rPr>
        <w:t>dishonesty </w:t>
      </w:r>
      <w:r>
        <w:rPr>
          <w:sz w:val="22"/>
        </w:rPr>
        <w:t>to</w:t>
      </w:r>
      <w:r>
        <w:rPr>
          <w:spacing w:val="9"/>
          <w:sz w:val="22"/>
        </w:rPr>
        <w:t> the</w:t>
      </w:r>
      <w:r>
        <w:rPr>
          <w:spacing w:val="40"/>
          <w:sz w:val="22"/>
        </w:rPr>
        <w:t> </w:t>
      </w:r>
      <w:r>
        <w:rPr>
          <w:sz w:val="22"/>
        </w:rPr>
        <w:t>chair, to</w:t>
      </w:r>
      <w:r>
        <w:rPr>
          <w:spacing w:val="9"/>
          <w:sz w:val="22"/>
        </w:rPr>
        <w:t> the </w:t>
      </w:r>
      <w:r>
        <w:rPr>
          <w:spacing w:val="13"/>
          <w:sz w:val="22"/>
        </w:rPr>
        <w:t>Dean and </w:t>
      </w:r>
      <w:r>
        <w:rPr>
          <w:sz w:val="22"/>
        </w:rPr>
        <w:t>to</w:t>
      </w:r>
      <w:r>
        <w:rPr>
          <w:spacing w:val="10"/>
          <w:sz w:val="22"/>
        </w:rPr>
        <w:t> the </w:t>
      </w:r>
      <w:r>
        <w:rPr>
          <w:sz w:val="22"/>
        </w:rPr>
        <w:t>Provost, in</w:t>
      </w:r>
      <w:r>
        <w:rPr>
          <w:spacing w:val="13"/>
          <w:sz w:val="22"/>
        </w:rPr>
        <w:t> that </w:t>
      </w:r>
      <w:r>
        <w:rPr>
          <w:sz w:val="22"/>
        </w:rPr>
        <w:t>order. Ea</w:t>
      </w:r>
      <w:r>
        <w:rPr>
          <w:spacing w:val="-24"/>
          <w:sz w:val="22"/>
        </w:rPr>
        <w:t> </w:t>
      </w:r>
      <w:r>
        <w:rPr>
          <w:spacing w:val="11"/>
          <w:sz w:val="22"/>
        </w:rPr>
        <w:t>ch</w:t>
      </w:r>
    </w:p>
    <w:p>
      <w:pPr>
        <w:spacing w:before="1"/>
        <w:ind w:left="1534" w:right="0" w:firstLine="0"/>
        <w:jc w:val="left"/>
        <w:rPr>
          <w:sz w:val="22"/>
        </w:rPr>
      </w:pPr>
      <w:r>
        <w:rPr>
          <w:sz w:val="22"/>
        </w:rPr>
        <w:t>ap</w:t>
      </w:r>
      <w:r>
        <w:rPr>
          <w:spacing w:val="-33"/>
          <w:sz w:val="22"/>
        </w:rPr>
        <w:t> </w:t>
      </w:r>
      <w:r>
        <w:rPr>
          <w:spacing w:val="14"/>
          <w:sz w:val="22"/>
        </w:rPr>
        <w:t>peal</w:t>
      </w:r>
      <w:r>
        <w:rPr>
          <w:spacing w:val="9"/>
          <w:sz w:val="22"/>
        </w:rPr>
        <w:t> </w:t>
      </w:r>
      <w:r>
        <w:rPr>
          <w:sz w:val="22"/>
        </w:rPr>
        <w:t>will</w:t>
      </w:r>
      <w:r>
        <w:rPr>
          <w:spacing w:val="14"/>
          <w:sz w:val="22"/>
        </w:rPr>
        <w:t> </w:t>
      </w:r>
      <w:r>
        <w:rPr>
          <w:spacing w:val="11"/>
          <w:sz w:val="22"/>
        </w:rPr>
        <w:t>be</w:t>
      </w:r>
      <w:r>
        <w:rPr>
          <w:spacing w:val="24"/>
          <w:sz w:val="22"/>
        </w:rPr>
        <w:t> </w:t>
      </w:r>
      <w:r>
        <w:rPr>
          <w:sz w:val="22"/>
        </w:rPr>
        <w:t>c</w:t>
      </w:r>
      <w:r>
        <w:rPr>
          <w:spacing w:val="-33"/>
          <w:sz w:val="22"/>
        </w:rPr>
        <w:t> </w:t>
      </w:r>
      <w:r>
        <w:rPr>
          <w:spacing w:val="16"/>
          <w:sz w:val="22"/>
        </w:rPr>
        <w:t>onducted</w:t>
      </w:r>
      <w:r>
        <w:rPr>
          <w:spacing w:val="13"/>
          <w:sz w:val="22"/>
        </w:rPr>
        <w:t> </w:t>
      </w:r>
      <w:r>
        <w:rPr>
          <w:sz w:val="22"/>
        </w:rPr>
        <w:t>in</w:t>
      </w:r>
      <w:r>
        <w:rPr>
          <w:spacing w:val="17"/>
          <w:sz w:val="22"/>
        </w:rPr>
        <w:t> </w:t>
      </w:r>
      <w:r>
        <w:rPr>
          <w:sz w:val="22"/>
        </w:rPr>
        <w:t>a</w:t>
      </w:r>
      <w:r>
        <w:rPr>
          <w:spacing w:val="-33"/>
          <w:sz w:val="22"/>
        </w:rPr>
        <w:t> </w:t>
      </w:r>
      <w:r>
        <w:rPr>
          <w:sz w:val="22"/>
        </w:rPr>
        <w:t>c</w:t>
      </w:r>
      <w:r>
        <w:rPr>
          <w:spacing w:val="-28"/>
          <w:sz w:val="22"/>
        </w:rPr>
        <w:t> </w:t>
      </w:r>
      <w:r>
        <w:rPr>
          <w:sz w:val="22"/>
        </w:rPr>
        <w:t>c</w:t>
      </w:r>
      <w:r>
        <w:rPr>
          <w:spacing w:val="-33"/>
          <w:sz w:val="22"/>
        </w:rPr>
        <w:t> </w:t>
      </w:r>
      <w:r>
        <w:rPr>
          <w:sz w:val="22"/>
        </w:rPr>
        <w:t>ord</w:t>
      </w:r>
      <w:r>
        <w:rPr>
          <w:spacing w:val="-33"/>
          <w:sz w:val="22"/>
        </w:rPr>
        <w:t> </w:t>
      </w:r>
      <w:r>
        <w:rPr>
          <w:spacing w:val="13"/>
          <w:sz w:val="22"/>
        </w:rPr>
        <w:t>anc</w:t>
      </w:r>
      <w:r>
        <w:rPr>
          <w:spacing w:val="-34"/>
          <w:sz w:val="22"/>
        </w:rPr>
        <w:t> </w:t>
      </w:r>
      <w:r>
        <w:rPr>
          <w:sz w:val="22"/>
        </w:rPr>
        <w:t>e</w:t>
      </w:r>
      <w:r>
        <w:rPr>
          <w:spacing w:val="21"/>
          <w:sz w:val="22"/>
        </w:rPr>
        <w:t> </w:t>
      </w:r>
      <w:r>
        <w:rPr>
          <w:sz w:val="22"/>
        </w:rPr>
        <w:t>with</w:t>
      </w:r>
      <w:r>
        <w:rPr>
          <w:spacing w:val="10"/>
          <w:sz w:val="22"/>
        </w:rPr>
        <w:t> </w:t>
      </w:r>
      <w:r>
        <w:rPr>
          <w:spacing w:val="9"/>
          <w:sz w:val="22"/>
        </w:rPr>
        <w:t>the </w:t>
      </w:r>
      <w:r>
        <w:rPr>
          <w:i/>
          <w:spacing w:val="13"/>
          <w:sz w:val="22"/>
        </w:rPr>
        <w:t>Student</w:t>
      </w:r>
      <w:r>
        <w:rPr>
          <w:i/>
          <w:spacing w:val="4"/>
          <w:sz w:val="22"/>
        </w:rPr>
        <w:t> </w:t>
      </w:r>
      <w:r>
        <w:rPr>
          <w:i/>
          <w:spacing w:val="16"/>
          <w:sz w:val="22"/>
        </w:rPr>
        <w:t>Handbook</w:t>
      </w:r>
      <w:r>
        <w:rPr>
          <w:i/>
          <w:spacing w:val="17"/>
          <w:sz w:val="22"/>
        </w:rPr>
        <w:t> </w:t>
      </w:r>
      <w:r>
        <w:rPr>
          <w:sz w:val="22"/>
        </w:rPr>
        <w:t>(P.</w:t>
      </w:r>
      <w:r>
        <w:rPr>
          <w:spacing w:val="-3"/>
          <w:sz w:val="22"/>
        </w:rPr>
        <w:t> </w:t>
      </w:r>
      <w:r>
        <w:rPr>
          <w:spacing w:val="-4"/>
          <w:sz w:val="22"/>
        </w:rPr>
        <w:t>35).</w:t>
      </w:r>
    </w:p>
    <w:p>
      <w:pPr>
        <w:pStyle w:val="ListParagraph"/>
        <w:numPr>
          <w:ilvl w:val="0"/>
          <w:numId w:val="72"/>
        </w:numPr>
        <w:tabs>
          <w:tab w:pos="1520" w:val="left" w:leader="none"/>
          <w:tab w:pos="1521" w:val="left" w:leader="none"/>
        </w:tabs>
        <w:spacing w:line="254" w:lineRule="auto" w:before="18" w:after="0"/>
        <w:ind w:left="1536" w:right="678" w:hanging="737"/>
        <w:jc w:val="left"/>
        <w:rPr>
          <w:sz w:val="22"/>
        </w:rPr>
      </w:pPr>
      <w:r>
        <w:rPr>
          <w:sz w:val="22"/>
        </w:rPr>
        <w:t>The Fa</w:t>
      </w:r>
      <w:r>
        <w:rPr>
          <w:spacing w:val="-33"/>
          <w:sz w:val="22"/>
        </w:rPr>
        <w:t> </w:t>
      </w:r>
      <w:r>
        <w:rPr>
          <w:sz w:val="22"/>
        </w:rPr>
        <w:t>culty will </w:t>
      </w:r>
      <w:r>
        <w:rPr>
          <w:spacing w:val="10"/>
          <w:sz w:val="22"/>
        </w:rPr>
        <w:t>draft </w:t>
      </w:r>
      <w:r>
        <w:rPr>
          <w:sz w:val="22"/>
        </w:rPr>
        <w:t>a </w:t>
      </w:r>
      <w:r>
        <w:rPr>
          <w:spacing w:val="16"/>
          <w:sz w:val="22"/>
        </w:rPr>
        <w:t>memorandum</w:t>
      </w:r>
      <w:r>
        <w:rPr>
          <w:spacing w:val="15"/>
          <w:sz w:val="22"/>
        </w:rPr>
        <w:t> </w:t>
      </w:r>
      <w:r>
        <w:rPr>
          <w:sz w:val="22"/>
        </w:rPr>
        <w:t>to </w:t>
      </w:r>
      <w:r>
        <w:rPr>
          <w:spacing w:val="9"/>
          <w:sz w:val="22"/>
        </w:rPr>
        <w:t>the </w:t>
      </w:r>
      <w:r>
        <w:rPr>
          <w:spacing w:val="11"/>
          <w:sz w:val="22"/>
        </w:rPr>
        <w:t>Dep</w:t>
      </w:r>
      <w:r>
        <w:rPr>
          <w:spacing w:val="-33"/>
          <w:sz w:val="22"/>
        </w:rPr>
        <w:t> </w:t>
      </w:r>
      <w:r>
        <w:rPr>
          <w:spacing w:val="12"/>
          <w:sz w:val="22"/>
        </w:rPr>
        <w:t>artment </w:t>
      </w:r>
      <w:r>
        <w:rPr>
          <w:spacing w:val="9"/>
          <w:sz w:val="22"/>
        </w:rPr>
        <w:t>Chair</w:t>
      </w:r>
      <w:r>
        <w:rPr>
          <w:spacing w:val="6"/>
          <w:sz w:val="22"/>
        </w:rPr>
        <w:t> </w:t>
      </w:r>
      <w:r>
        <w:rPr>
          <w:spacing w:val="9"/>
          <w:sz w:val="22"/>
        </w:rPr>
        <w:t>explaining the </w:t>
      </w:r>
      <w:r>
        <w:rPr>
          <w:spacing w:val="14"/>
          <w:sz w:val="22"/>
        </w:rPr>
        <w:t>charge, </w:t>
      </w:r>
      <w:r>
        <w:rPr>
          <w:spacing w:val="11"/>
          <w:sz w:val="22"/>
        </w:rPr>
        <w:t>including </w:t>
      </w:r>
      <w:r>
        <w:rPr>
          <w:spacing w:val="9"/>
          <w:sz w:val="22"/>
        </w:rPr>
        <w:t>the </w:t>
      </w:r>
      <w:r>
        <w:rPr>
          <w:spacing w:val="13"/>
          <w:sz w:val="22"/>
        </w:rPr>
        <w:t>evidenc</w:t>
      </w:r>
      <w:r>
        <w:rPr>
          <w:spacing w:val="-26"/>
          <w:sz w:val="22"/>
        </w:rPr>
        <w:t> </w:t>
      </w:r>
      <w:r>
        <w:rPr>
          <w:sz w:val="22"/>
        </w:rPr>
        <w:t>e, </w:t>
      </w:r>
      <w:r>
        <w:rPr>
          <w:spacing w:val="13"/>
          <w:sz w:val="22"/>
        </w:rPr>
        <w:t>and </w:t>
      </w:r>
      <w:r>
        <w:rPr>
          <w:spacing w:val="9"/>
          <w:sz w:val="22"/>
        </w:rPr>
        <w:t>the </w:t>
      </w:r>
      <w:r>
        <w:rPr>
          <w:spacing w:val="18"/>
          <w:sz w:val="22"/>
        </w:rPr>
        <w:t>recommended </w:t>
      </w:r>
      <w:r>
        <w:rPr>
          <w:spacing w:val="11"/>
          <w:sz w:val="22"/>
        </w:rPr>
        <w:t>penalty.</w:t>
      </w:r>
    </w:p>
    <w:p>
      <w:pPr>
        <w:pStyle w:val="ListParagraph"/>
        <w:numPr>
          <w:ilvl w:val="0"/>
          <w:numId w:val="72"/>
        </w:numPr>
        <w:tabs>
          <w:tab w:pos="1520" w:val="left" w:leader="none"/>
          <w:tab w:pos="1521" w:val="left" w:leader="none"/>
        </w:tabs>
        <w:spacing w:line="240" w:lineRule="auto" w:before="4" w:after="0"/>
        <w:ind w:left="1520" w:right="0" w:hanging="721"/>
        <w:jc w:val="left"/>
        <w:rPr>
          <w:sz w:val="22"/>
        </w:rPr>
      </w:pPr>
      <w:r>
        <w:rPr>
          <w:sz w:val="22"/>
        </w:rPr>
        <w:t>The</w:t>
      </w:r>
      <w:r>
        <w:rPr>
          <w:spacing w:val="10"/>
          <w:sz w:val="22"/>
        </w:rPr>
        <w:t> </w:t>
      </w:r>
      <w:r>
        <w:rPr>
          <w:spacing w:val="9"/>
          <w:sz w:val="22"/>
        </w:rPr>
        <w:t>Chair</w:t>
      </w:r>
      <w:r>
        <w:rPr>
          <w:spacing w:val="4"/>
          <w:sz w:val="22"/>
        </w:rPr>
        <w:t> </w:t>
      </w:r>
      <w:r>
        <w:rPr>
          <w:sz w:val="22"/>
        </w:rPr>
        <w:t>will</w:t>
      </w:r>
      <w:r>
        <w:rPr>
          <w:spacing w:val="-9"/>
          <w:sz w:val="22"/>
        </w:rPr>
        <w:t> </w:t>
      </w:r>
      <w:r>
        <w:rPr>
          <w:spacing w:val="10"/>
          <w:sz w:val="22"/>
        </w:rPr>
        <w:t>review</w:t>
      </w:r>
      <w:r>
        <w:rPr>
          <w:spacing w:val="8"/>
          <w:sz w:val="22"/>
        </w:rPr>
        <w:t> </w:t>
      </w:r>
      <w:r>
        <w:rPr>
          <w:sz w:val="22"/>
        </w:rPr>
        <w:t>the</w:t>
      </w:r>
      <w:r>
        <w:rPr>
          <w:spacing w:val="2"/>
          <w:sz w:val="22"/>
        </w:rPr>
        <w:t> </w:t>
      </w:r>
      <w:r>
        <w:rPr>
          <w:spacing w:val="13"/>
          <w:sz w:val="22"/>
        </w:rPr>
        <w:t>student’s</w:t>
      </w:r>
      <w:r>
        <w:rPr>
          <w:spacing w:val="-4"/>
          <w:sz w:val="22"/>
        </w:rPr>
        <w:t> </w:t>
      </w:r>
      <w:r>
        <w:rPr>
          <w:sz w:val="22"/>
        </w:rPr>
        <w:t>file</w:t>
      </w:r>
      <w:r>
        <w:rPr>
          <w:spacing w:val="8"/>
          <w:sz w:val="22"/>
        </w:rPr>
        <w:t> </w:t>
      </w:r>
      <w:r>
        <w:rPr>
          <w:sz w:val="22"/>
        </w:rPr>
        <w:t>to</w:t>
      </w:r>
      <w:r>
        <w:rPr>
          <w:spacing w:val="15"/>
          <w:sz w:val="22"/>
        </w:rPr>
        <w:t> </w:t>
      </w:r>
      <w:r>
        <w:rPr>
          <w:spacing w:val="11"/>
          <w:sz w:val="22"/>
        </w:rPr>
        <w:t>determine</w:t>
      </w:r>
      <w:r>
        <w:rPr>
          <w:spacing w:val="2"/>
          <w:sz w:val="22"/>
        </w:rPr>
        <w:t> </w:t>
      </w:r>
      <w:r>
        <w:rPr>
          <w:sz w:val="22"/>
        </w:rPr>
        <w:t>if</w:t>
      </w:r>
      <w:r>
        <w:rPr>
          <w:spacing w:val="6"/>
          <w:sz w:val="22"/>
        </w:rPr>
        <w:t> </w:t>
      </w:r>
      <w:r>
        <w:rPr>
          <w:spacing w:val="11"/>
          <w:sz w:val="22"/>
        </w:rPr>
        <w:t>other</w:t>
      </w:r>
      <w:r>
        <w:rPr>
          <w:spacing w:val="-7"/>
          <w:sz w:val="22"/>
        </w:rPr>
        <w:t> </w:t>
      </w:r>
      <w:r>
        <w:rPr>
          <w:spacing w:val="12"/>
          <w:sz w:val="22"/>
        </w:rPr>
        <w:t>incidents</w:t>
      </w:r>
      <w:r>
        <w:rPr>
          <w:spacing w:val="-2"/>
          <w:sz w:val="22"/>
        </w:rPr>
        <w:t> </w:t>
      </w:r>
      <w:r>
        <w:rPr>
          <w:spacing w:val="9"/>
          <w:sz w:val="22"/>
        </w:rPr>
        <w:t>have</w:t>
      </w:r>
    </w:p>
    <w:p>
      <w:pPr>
        <w:spacing w:line="254" w:lineRule="auto" w:before="15"/>
        <w:ind w:left="1536" w:right="642" w:hanging="6"/>
        <w:jc w:val="left"/>
        <w:rPr>
          <w:sz w:val="22"/>
        </w:rPr>
      </w:pPr>
      <w:r>
        <w:rPr>
          <w:spacing w:val="13"/>
          <w:sz w:val="22"/>
        </w:rPr>
        <w:t>oc</w:t>
      </w:r>
      <w:r>
        <w:rPr>
          <w:spacing w:val="-28"/>
          <w:sz w:val="22"/>
        </w:rPr>
        <w:t> </w:t>
      </w:r>
      <w:r>
        <w:rPr>
          <w:spacing w:val="9"/>
          <w:sz w:val="22"/>
        </w:rPr>
        <w:t>curred </w:t>
      </w:r>
      <w:r>
        <w:rPr>
          <w:spacing w:val="13"/>
          <w:sz w:val="22"/>
        </w:rPr>
        <w:t>and </w:t>
      </w:r>
      <w:r>
        <w:rPr>
          <w:spacing w:val="14"/>
          <w:sz w:val="22"/>
        </w:rPr>
        <w:t>meet </w:t>
      </w:r>
      <w:r>
        <w:rPr>
          <w:sz w:val="22"/>
        </w:rPr>
        <w:t>with </w:t>
      </w:r>
      <w:r>
        <w:rPr>
          <w:spacing w:val="9"/>
          <w:sz w:val="22"/>
        </w:rPr>
        <w:t>the</w:t>
      </w:r>
      <w:r>
        <w:rPr>
          <w:spacing w:val="6"/>
          <w:sz w:val="22"/>
        </w:rPr>
        <w:t> </w:t>
      </w:r>
      <w:r>
        <w:rPr>
          <w:spacing w:val="13"/>
          <w:sz w:val="22"/>
        </w:rPr>
        <w:t>student</w:t>
      </w:r>
      <w:r>
        <w:rPr>
          <w:spacing w:val="9"/>
          <w:sz w:val="22"/>
        </w:rPr>
        <w:t> </w:t>
      </w:r>
      <w:r>
        <w:rPr>
          <w:sz w:val="22"/>
        </w:rPr>
        <w:t>to </w:t>
      </w:r>
      <w:r>
        <w:rPr>
          <w:spacing w:val="9"/>
          <w:sz w:val="22"/>
        </w:rPr>
        <w:t>share </w:t>
      </w:r>
      <w:r>
        <w:rPr>
          <w:sz w:val="22"/>
        </w:rPr>
        <w:t>his/</w:t>
      </w:r>
      <w:r>
        <w:rPr>
          <w:spacing w:val="-39"/>
          <w:sz w:val="22"/>
        </w:rPr>
        <w:t> </w:t>
      </w:r>
      <w:r>
        <w:rPr>
          <w:sz w:val="22"/>
        </w:rPr>
        <w:t>her </w:t>
      </w:r>
      <w:r>
        <w:rPr>
          <w:spacing w:val="9"/>
          <w:sz w:val="22"/>
        </w:rPr>
        <w:t>findings</w:t>
      </w:r>
      <w:r>
        <w:rPr>
          <w:spacing w:val="-3"/>
          <w:sz w:val="22"/>
        </w:rPr>
        <w:t> </w:t>
      </w:r>
      <w:r>
        <w:rPr>
          <w:sz w:val="22"/>
        </w:rPr>
        <w:t>in </w:t>
      </w:r>
      <w:r>
        <w:rPr>
          <w:spacing w:val="9"/>
          <w:sz w:val="22"/>
        </w:rPr>
        <w:t>the </w:t>
      </w:r>
      <w:r>
        <w:rPr>
          <w:sz w:val="22"/>
        </w:rPr>
        <w:t>c</w:t>
      </w:r>
      <w:r>
        <w:rPr>
          <w:spacing w:val="-30"/>
          <w:sz w:val="22"/>
        </w:rPr>
        <w:t> </w:t>
      </w:r>
      <w:r>
        <w:rPr>
          <w:sz w:val="22"/>
        </w:rPr>
        <w:t>ase.</w:t>
      </w:r>
      <w:r>
        <w:rPr>
          <w:spacing w:val="-5"/>
          <w:sz w:val="22"/>
        </w:rPr>
        <w:t> </w:t>
      </w:r>
      <w:r>
        <w:rPr>
          <w:sz w:val="22"/>
        </w:rPr>
        <w:t>The </w:t>
      </w:r>
      <w:r>
        <w:rPr>
          <w:spacing w:val="11"/>
          <w:sz w:val="22"/>
        </w:rPr>
        <w:t>chair </w:t>
      </w:r>
      <w:r>
        <w:rPr>
          <w:sz w:val="22"/>
        </w:rPr>
        <w:t>will </w:t>
      </w:r>
      <w:r>
        <w:rPr>
          <w:spacing w:val="12"/>
          <w:sz w:val="22"/>
        </w:rPr>
        <w:t>make </w:t>
      </w:r>
      <w:r>
        <w:rPr>
          <w:sz w:val="22"/>
        </w:rPr>
        <w:t>a </w:t>
      </w:r>
      <w:r>
        <w:rPr>
          <w:spacing w:val="11"/>
          <w:sz w:val="22"/>
        </w:rPr>
        <w:t>rec</w:t>
      </w:r>
      <w:r>
        <w:rPr>
          <w:spacing w:val="-29"/>
          <w:sz w:val="22"/>
        </w:rPr>
        <w:t> </w:t>
      </w:r>
      <w:r>
        <w:rPr>
          <w:spacing w:val="16"/>
          <w:sz w:val="22"/>
        </w:rPr>
        <w:t>ommend</w:t>
      </w:r>
      <w:r>
        <w:rPr>
          <w:spacing w:val="-29"/>
          <w:sz w:val="22"/>
        </w:rPr>
        <w:t> </w:t>
      </w:r>
      <w:r>
        <w:rPr>
          <w:spacing w:val="10"/>
          <w:sz w:val="22"/>
        </w:rPr>
        <w:t>ation </w:t>
      </w:r>
      <w:r>
        <w:rPr>
          <w:sz w:val="22"/>
        </w:rPr>
        <w:t>b</w:t>
      </w:r>
      <w:r>
        <w:rPr>
          <w:spacing w:val="-29"/>
          <w:sz w:val="22"/>
        </w:rPr>
        <w:t> </w:t>
      </w:r>
      <w:r>
        <w:rPr>
          <w:spacing w:val="12"/>
          <w:sz w:val="22"/>
        </w:rPr>
        <w:t>ased </w:t>
      </w:r>
      <w:r>
        <w:rPr>
          <w:sz w:val="22"/>
        </w:rPr>
        <w:t>on fa</w:t>
      </w:r>
      <w:r>
        <w:rPr>
          <w:spacing w:val="-27"/>
          <w:sz w:val="22"/>
        </w:rPr>
        <w:t> </w:t>
      </w:r>
      <w:r>
        <w:rPr>
          <w:spacing w:val="9"/>
          <w:sz w:val="22"/>
        </w:rPr>
        <w:t>ctors </w:t>
      </w:r>
      <w:r>
        <w:rPr>
          <w:spacing w:val="13"/>
          <w:sz w:val="22"/>
        </w:rPr>
        <w:t>that </w:t>
      </w:r>
      <w:r>
        <w:rPr>
          <w:spacing w:val="14"/>
          <w:sz w:val="22"/>
        </w:rPr>
        <w:t>may </w:t>
      </w:r>
      <w:r>
        <w:rPr>
          <w:spacing w:val="11"/>
          <w:sz w:val="22"/>
        </w:rPr>
        <w:t>not </w:t>
      </w:r>
      <w:r>
        <w:rPr>
          <w:spacing w:val="12"/>
          <w:sz w:val="22"/>
        </w:rPr>
        <w:t>be</w:t>
      </w:r>
    </w:p>
    <w:p>
      <w:pPr>
        <w:spacing w:before="4"/>
        <w:ind w:left="1534" w:right="0" w:firstLine="0"/>
        <w:jc w:val="left"/>
        <w:rPr>
          <w:sz w:val="22"/>
        </w:rPr>
      </w:pPr>
      <w:r>
        <w:rPr>
          <w:spacing w:val="11"/>
          <w:sz w:val="22"/>
        </w:rPr>
        <w:t>available</w:t>
      </w:r>
      <w:r>
        <w:rPr>
          <w:spacing w:val="30"/>
          <w:sz w:val="22"/>
        </w:rPr>
        <w:t> </w:t>
      </w:r>
      <w:r>
        <w:rPr>
          <w:sz w:val="22"/>
        </w:rPr>
        <w:t>to</w:t>
      </w:r>
      <w:r>
        <w:rPr>
          <w:spacing w:val="29"/>
          <w:sz w:val="22"/>
        </w:rPr>
        <w:t> </w:t>
      </w:r>
      <w:r>
        <w:rPr>
          <w:spacing w:val="9"/>
          <w:sz w:val="22"/>
        </w:rPr>
        <w:t>the</w:t>
      </w:r>
      <w:r>
        <w:rPr>
          <w:spacing w:val="26"/>
          <w:sz w:val="22"/>
        </w:rPr>
        <w:t> </w:t>
      </w:r>
      <w:r>
        <w:rPr>
          <w:sz w:val="22"/>
        </w:rPr>
        <w:t>fa</w:t>
      </w:r>
      <w:r>
        <w:rPr>
          <w:spacing w:val="-28"/>
          <w:sz w:val="22"/>
        </w:rPr>
        <w:t> </w:t>
      </w:r>
      <w:r>
        <w:rPr>
          <w:sz w:val="22"/>
        </w:rPr>
        <w:t>culty</w:t>
      </w:r>
      <w:r>
        <w:rPr>
          <w:spacing w:val="27"/>
          <w:sz w:val="22"/>
        </w:rPr>
        <w:t> </w:t>
      </w:r>
      <w:r>
        <w:rPr>
          <w:spacing w:val="12"/>
          <w:sz w:val="22"/>
        </w:rPr>
        <w:t>member.</w:t>
      </w:r>
    </w:p>
    <w:p>
      <w:pPr>
        <w:pStyle w:val="ListParagraph"/>
        <w:numPr>
          <w:ilvl w:val="0"/>
          <w:numId w:val="72"/>
        </w:numPr>
        <w:tabs>
          <w:tab w:pos="1520" w:val="left" w:leader="none"/>
          <w:tab w:pos="1521" w:val="left" w:leader="none"/>
        </w:tabs>
        <w:spacing w:line="256" w:lineRule="auto" w:before="16" w:after="0"/>
        <w:ind w:left="1520" w:right="1165" w:hanging="721"/>
        <w:jc w:val="left"/>
        <w:rPr>
          <w:sz w:val="22"/>
        </w:rPr>
      </w:pPr>
      <w:r>
        <w:rPr>
          <w:sz w:val="22"/>
        </w:rPr>
        <w:t>If </w:t>
      </w:r>
      <w:r>
        <w:rPr>
          <w:spacing w:val="10"/>
          <w:sz w:val="22"/>
        </w:rPr>
        <w:t>other</w:t>
      </w:r>
      <w:r>
        <w:rPr>
          <w:sz w:val="22"/>
        </w:rPr>
        <w:t> </w:t>
      </w:r>
      <w:r>
        <w:rPr>
          <w:spacing w:val="11"/>
          <w:sz w:val="22"/>
        </w:rPr>
        <w:t>honor</w:t>
      </w:r>
      <w:r>
        <w:rPr>
          <w:spacing w:val="10"/>
          <w:sz w:val="22"/>
        </w:rPr>
        <w:t> </w:t>
      </w:r>
      <w:r>
        <w:rPr>
          <w:sz w:val="22"/>
        </w:rPr>
        <w:t>c</w:t>
      </w:r>
      <w:r>
        <w:rPr>
          <w:spacing w:val="-33"/>
          <w:sz w:val="22"/>
        </w:rPr>
        <w:t> </w:t>
      </w:r>
      <w:r>
        <w:rPr>
          <w:spacing w:val="15"/>
          <w:sz w:val="22"/>
        </w:rPr>
        <w:t>ode</w:t>
      </w:r>
      <w:r>
        <w:rPr>
          <w:spacing w:val="4"/>
          <w:sz w:val="22"/>
        </w:rPr>
        <w:t> </w:t>
      </w:r>
      <w:r>
        <w:rPr>
          <w:sz w:val="22"/>
        </w:rPr>
        <w:t>issues exist,</w:t>
      </w:r>
      <w:r>
        <w:rPr>
          <w:spacing w:val="-1"/>
          <w:sz w:val="22"/>
        </w:rPr>
        <w:t> </w:t>
      </w:r>
      <w:r>
        <w:rPr>
          <w:spacing w:val="9"/>
          <w:sz w:val="22"/>
        </w:rPr>
        <w:t>the </w:t>
      </w:r>
      <w:r>
        <w:rPr>
          <w:spacing w:val="10"/>
          <w:sz w:val="22"/>
        </w:rPr>
        <w:t>chair</w:t>
      </w:r>
      <w:r>
        <w:rPr>
          <w:spacing w:val="6"/>
          <w:sz w:val="22"/>
        </w:rPr>
        <w:t> </w:t>
      </w:r>
      <w:r>
        <w:rPr>
          <w:sz w:val="22"/>
        </w:rPr>
        <w:t>will </w:t>
      </w:r>
      <w:r>
        <w:rPr>
          <w:spacing w:val="11"/>
          <w:sz w:val="22"/>
        </w:rPr>
        <w:t>draft </w:t>
      </w:r>
      <w:r>
        <w:rPr>
          <w:sz w:val="22"/>
        </w:rPr>
        <w:t>a </w:t>
      </w:r>
      <w:r>
        <w:rPr>
          <w:spacing w:val="15"/>
          <w:sz w:val="22"/>
        </w:rPr>
        <w:t>memorandum</w:t>
      </w:r>
      <w:r>
        <w:rPr>
          <w:spacing w:val="11"/>
          <w:sz w:val="22"/>
        </w:rPr>
        <w:t> </w:t>
      </w:r>
      <w:r>
        <w:rPr>
          <w:sz w:val="22"/>
        </w:rPr>
        <w:t>to </w:t>
      </w:r>
      <w:r>
        <w:rPr>
          <w:spacing w:val="9"/>
          <w:sz w:val="22"/>
        </w:rPr>
        <w:t>the </w:t>
      </w:r>
      <w:r>
        <w:rPr>
          <w:sz w:val="22"/>
        </w:rPr>
        <w:t>University Provost </w:t>
      </w:r>
      <w:r>
        <w:rPr>
          <w:spacing w:val="11"/>
          <w:sz w:val="22"/>
        </w:rPr>
        <w:t>through </w:t>
      </w:r>
      <w:r>
        <w:rPr>
          <w:spacing w:val="9"/>
          <w:sz w:val="22"/>
        </w:rPr>
        <w:t>the </w:t>
      </w:r>
      <w:r>
        <w:rPr>
          <w:spacing w:val="13"/>
          <w:sz w:val="22"/>
        </w:rPr>
        <w:t>Dean </w:t>
      </w:r>
      <w:r>
        <w:rPr>
          <w:sz w:val="22"/>
        </w:rPr>
        <w:t>of </w:t>
      </w:r>
      <w:r>
        <w:rPr>
          <w:spacing w:val="9"/>
          <w:sz w:val="22"/>
        </w:rPr>
        <w:t>the </w:t>
      </w:r>
      <w:r>
        <w:rPr>
          <w:spacing w:val="12"/>
          <w:sz w:val="22"/>
        </w:rPr>
        <w:t>School </w:t>
      </w:r>
      <w:r>
        <w:rPr>
          <w:sz w:val="22"/>
        </w:rPr>
        <w:t>of </w:t>
      </w:r>
      <w:r>
        <w:rPr>
          <w:spacing w:val="10"/>
          <w:sz w:val="22"/>
        </w:rPr>
        <w:t>Engineering </w:t>
      </w:r>
      <w:r>
        <w:rPr>
          <w:sz w:val="22"/>
        </w:rPr>
        <w:t>&amp;</w:t>
      </w:r>
    </w:p>
    <w:p>
      <w:pPr>
        <w:spacing w:line="251" w:lineRule="exact" w:before="0"/>
        <w:ind w:left="1520" w:right="0" w:firstLine="0"/>
        <w:jc w:val="left"/>
        <w:rPr>
          <w:sz w:val="22"/>
        </w:rPr>
      </w:pPr>
      <w:r>
        <w:rPr>
          <w:spacing w:val="13"/>
          <w:sz w:val="22"/>
        </w:rPr>
        <w:t>Technology</w:t>
      </w:r>
      <w:r>
        <w:rPr>
          <w:spacing w:val="15"/>
          <w:sz w:val="22"/>
        </w:rPr>
        <w:t> </w:t>
      </w:r>
      <w:r>
        <w:rPr>
          <w:spacing w:val="11"/>
          <w:sz w:val="22"/>
        </w:rPr>
        <w:t>describing </w:t>
      </w:r>
      <w:r>
        <w:rPr>
          <w:spacing w:val="9"/>
          <w:sz w:val="22"/>
        </w:rPr>
        <w:t>the</w:t>
      </w:r>
      <w:r>
        <w:rPr>
          <w:spacing w:val="5"/>
          <w:sz w:val="22"/>
        </w:rPr>
        <w:t> </w:t>
      </w:r>
      <w:r>
        <w:rPr>
          <w:spacing w:val="12"/>
          <w:sz w:val="22"/>
        </w:rPr>
        <w:t>incident,</w:t>
      </w:r>
      <w:r>
        <w:rPr>
          <w:spacing w:val="-6"/>
          <w:sz w:val="22"/>
        </w:rPr>
        <w:t> </w:t>
      </w:r>
      <w:r>
        <w:rPr>
          <w:spacing w:val="11"/>
          <w:sz w:val="22"/>
        </w:rPr>
        <w:t>including </w:t>
      </w:r>
      <w:r>
        <w:rPr>
          <w:spacing w:val="9"/>
          <w:sz w:val="22"/>
        </w:rPr>
        <w:t>the </w:t>
      </w:r>
      <w:r>
        <w:rPr>
          <w:sz w:val="22"/>
        </w:rPr>
        <w:t>fa</w:t>
      </w:r>
      <w:r>
        <w:rPr>
          <w:spacing w:val="-31"/>
          <w:sz w:val="22"/>
        </w:rPr>
        <w:t> </w:t>
      </w:r>
      <w:r>
        <w:rPr>
          <w:sz w:val="22"/>
        </w:rPr>
        <w:t>culty</w:t>
      </w:r>
      <w:r>
        <w:rPr>
          <w:spacing w:val="8"/>
          <w:sz w:val="22"/>
        </w:rPr>
        <w:t> </w:t>
      </w:r>
      <w:r>
        <w:rPr>
          <w:spacing w:val="12"/>
          <w:sz w:val="22"/>
        </w:rPr>
        <w:t>members</w:t>
      </w:r>
    </w:p>
    <w:p>
      <w:pPr>
        <w:spacing w:line="256" w:lineRule="auto" w:before="15"/>
        <w:ind w:left="1530" w:right="642" w:firstLine="1"/>
        <w:jc w:val="left"/>
        <w:rPr>
          <w:sz w:val="22"/>
        </w:rPr>
      </w:pPr>
      <w:r>
        <w:rPr>
          <w:spacing w:val="16"/>
          <w:sz w:val="22"/>
        </w:rPr>
        <w:t>memorandum </w:t>
      </w:r>
      <w:r>
        <w:rPr>
          <w:spacing w:val="13"/>
          <w:sz w:val="22"/>
        </w:rPr>
        <w:t>and </w:t>
      </w:r>
      <w:r>
        <w:rPr>
          <w:spacing w:val="16"/>
          <w:sz w:val="22"/>
        </w:rPr>
        <w:t>recommend</w:t>
      </w:r>
      <w:r>
        <w:rPr>
          <w:spacing w:val="-32"/>
          <w:sz w:val="22"/>
        </w:rPr>
        <w:t> </w:t>
      </w:r>
      <w:r>
        <w:rPr>
          <w:spacing w:val="9"/>
          <w:sz w:val="22"/>
        </w:rPr>
        <w:t>ation, </w:t>
      </w:r>
      <w:r>
        <w:rPr>
          <w:spacing w:val="12"/>
          <w:sz w:val="22"/>
        </w:rPr>
        <w:t>along </w:t>
      </w:r>
      <w:r>
        <w:rPr>
          <w:sz w:val="22"/>
        </w:rPr>
        <w:t>with </w:t>
      </w:r>
      <w:r>
        <w:rPr>
          <w:spacing w:val="9"/>
          <w:sz w:val="22"/>
        </w:rPr>
        <w:t>the </w:t>
      </w:r>
      <w:r>
        <w:rPr>
          <w:spacing w:val="11"/>
          <w:sz w:val="22"/>
        </w:rPr>
        <w:t>rec</w:t>
      </w:r>
      <w:r>
        <w:rPr>
          <w:spacing w:val="-32"/>
          <w:sz w:val="22"/>
        </w:rPr>
        <w:t> </w:t>
      </w:r>
      <w:r>
        <w:rPr>
          <w:spacing w:val="14"/>
          <w:sz w:val="22"/>
        </w:rPr>
        <w:t>ommendation </w:t>
      </w:r>
      <w:r>
        <w:rPr>
          <w:sz w:val="22"/>
        </w:rPr>
        <w:t>of </w:t>
      </w:r>
      <w:r>
        <w:rPr>
          <w:spacing w:val="9"/>
          <w:sz w:val="22"/>
        </w:rPr>
        <w:t>the </w:t>
      </w:r>
      <w:r>
        <w:rPr>
          <w:spacing w:val="-2"/>
          <w:sz w:val="22"/>
        </w:rPr>
        <w:t>Chair.</w:t>
      </w:r>
    </w:p>
    <w:p>
      <w:pPr>
        <w:pStyle w:val="BodyText"/>
        <w:spacing w:before="6"/>
        <w:rPr>
          <w:sz w:val="27"/>
        </w:rPr>
      </w:pPr>
    </w:p>
    <w:p>
      <w:pPr>
        <w:pStyle w:val="Heading6"/>
        <w:spacing w:before="0"/>
      </w:pPr>
      <w:r>
        <w:rPr>
          <w:w w:val="90"/>
        </w:rPr>
        <w:t>PROCEDURE</w:t>
      </w:r>
      <w:r>
        <w:rPr>
          <w:spacing w:val="41"/>
        </w:rPr>
        <w:t> </w:t>
      </w:r>
      <w:r>
        <w:rPr>
          <w:w w:val="90"/>
        </w:rPr>
        <w:t>AND</w:t>
      </w:r>
      <w:r>
        <w:rPr>
          <w:spacing w:val="30"/>
        </w:rPr>
        <w:t> </w:t>
      </w:r>
      <w:r>
        <w:rPr>
          <w:w w:val="90"/>
        </w:rPr>
        <w:t>POLICY</w:t>
      </w:r>
      <w:r>
        <w:rPr>
          <w:spacing w:val="31"/>
        </w:rPr>
        <w:t> </w:t>
      </w:r>
      <w:r>
        <w:rPr>
          <w:w w:val="90"/>
        </w:rPr>
        <w:t>FOR</w:t>
      </w:r>
      <w:r>
        <w:rPr>
          <w:spacing w:val="29"/>
        </w:rPr>
        <w:t> </w:t>
      </w:r>
      <w:r>
        <w:rPr>
          <w:w w:val="90"/>
        </w:rPr>
        <w:t>STUDENT</w:t>
      </w:r>
      <w:r>
        <w:rPr>
          <w:spacing w:val="48"/>
        </w:rPr>
        <w:t> </w:t>
      </w:r>
      <w:r>
        <w:rPr>
          <w:w w:val="90"/>
        </w:rPr>
        <w:t>GRADE</w:t>
      </w:r>
      <w:r>
        <w:rPr>
          <w:spacing w:val="41"/>
        </w:rPr>
        <w:t> </w:t>
      </w:r>
      <w:r>
        <w:rPr>
          <w:spacing w:val="-2"/>
          <w:w w:val="90"/>
        </w:rPr>
        <w:t>APPEAL</w:t>
      </w:r>
    </w:p>
    <w:p>
      <w:pPr>
        <w:pStyle w:val="BodyText"/>
        <w:spacing w:before="10"/>
        <w:rPr>
          <w:sz w:val="32"/>
        </w:rPr>
      </w:pPr>
    </w:p>
    <w:p>
      <w:pPr>
        <w:spacing w:line="292" w:lineRule="auto" w:before="0"/>
        <w:ind w:left="443" w:right="1089" w:hanging="4"/>
        <w:jc w:val="left"/>
        <w:rPr>
          <w:sz w:val="22"/>
        </w:rPr>
      </w:pPr>
      <w:r>
        <w:rPr>
          <w:spacing w:val="12"/>
          <w:sz w:val="22"/>
        </w:rPr>
        <w:t>Bec</w:t>
      </w:r>
      <w:r>
        <w:rPr>
          <w:spacing w:val="-33"/>
          <w:sz w:val="22"/>
        </w:rPr>
        <w:t> </w:t>
      </w:r>
      <w:r>
        <w:rPr>
          <w:sz w:val="22"/>
        </w:rPr>
        <w:t>ause assigning a gra</w:t>
      </w:r>
      <w:r>
        <w:rPr>
          <w:spacing w:val="-33"/>
          <w:sz w:val="22"/>
        </w:rPr>
        <w:t> </w:t>
      </w:r>
      <w:r>
        <w:rPr>
          <w:spacing w:val="12"/>
          <w:sz w:val="22"/>
        </w:rPr>
        <w:t>de </w:t>
      </w:r>
      <w:r>
        <w:rPr>
          <w:sz w:val="22"/>
        </w:rPr>
        <w:t>or </w:t>
      </w:r>
      <w:r>
        <w:rPr>
          <w:spacing w:val="12"/>
          <w:sz w:val="22"/>
        </w:rPr>
        <w:t>evaluating </w:t>
      </w:r>
      <w:r>
        <w:rPr>
          <w:sz w:val="22"/>
        </w:rPr>
        <w:t>a </w:t>
      </w:r>
      <w:r>
        <w:rPr>
          <w:spacing w:val="13"/>
          <w:sz w:val="22"/>
        </w:rPr>
        <w:t>student’s</w:t>
      </w:r>
      <w:r>
        <w:rPr>
          <w:spacing w:val="8"/>
          <w:sz w:val="22"/>
        </w:rPr>
        <w:t> </w:t>
      </w:r>
      <w:r>
        <w:rPr>
          <w:sz w:val="22"/>
        </w:rPr>
        <w:t>work </w:t>
      </w:r>
      <w:r>
        <w:rPr>
          <w:spacing w:val="13"/>
          <w:sz w:val="22"/>
        </w:rPr>
        <w:t>performanc</w:t>
      </w:r>
      <w:r>
        <w:rPr>
          <w:spacing w:val="-34"/>
          <w:sz w:val="22"/>
        </w:rPr>
        <w:t> </w:t>
      </w:r>
      <w:r>
        <w:rPr>
          <w:sz w:val="22"/>
        </w:rPr>
        <w:t>e </w:t>
      </w:r>
      <w:r>
        <w:rPr>
          <w:spacing w:val="9"/>
          <w:sz w:val="22"/>
        </w:rPr>
        <w:t>involves</w:t>
      </w:r>
      <w:r>
        <w:rPr>
          <w:spacing w:val="3"/>
          <w:sz w:val="22"/>
        </w:rPr>
        <w:t> </w:t>
      </w:r>
      <w:r>
        <w:rPr>
          <w:spacing w:val="9"/>
          <w:sz w:val="22"/>
        </w:rPr>
        <w:t>the </w:t>
      </w:r>
      <w:r>
        <w:rPr>
          <w:sz w:val="22"/>
        </w:rPr>
        <w:t>fa</w:t>
      </w:r>
      <w:r>
        <w:rPr>
          <w:spacing w:val="-29"/>
          <w:sz w:val="22"/>
        </w:rPr>
        <w:t> </w:t>
      </w:r>
      <w:r>
        <w:rPr>
          <w:spacing w:val="10"/>
          <w:sz w:val="22"/>
        </w:rPr>
        <w:t>culty’s </w:t>
      </w:r>
      <w:r>
        <w:rPr>
          <w:spacing w:val="9"/>
          <w:sz w:val="22"/>
        </w:rPr>
        <w:t>professional</w:t>
      </w:r>
      <w:r>
        <w:rPr>
          <w:spacing w:val="6"/>
          <w:sz w:val="22"/>
        </w:rPr>
        <w:t> </w:t>
      </w:r>
      <w:r>
        <w:rPr>
          <w:spacing w:val="15"/>
          <w:sz w:val="22"/>
        </w:rPr>
        <w:t>judgment </w:t>
      </w:r>
      <w:r>
        <w:rPr>
          <w:spacing w:val="13"/>
          <w:sz w:val="22"/>
        </w:rPr>
        <w:t>and </w:t>
      </w:r>
      <w:r>
        <w:rPr>
          <w:sz w:val="22"/>
        </w:rPr>
        <w:t>is </w:t>
      </w:r>
      <w:r>
        <w:rPr>
          <w:spacing w:val="10"/>
          <w:sz w:val="22"/>
        </w:rPr>
        <w:t>an </w:t>
      </w:r>
      <w:r>
        <w:rPr>
          <w:spacing w:val="11"/>
          <w:sz w:val="22"/>
        </w:rPr>
        <w:t>integral </w:t>
      </w:r>
      <w:r>
        <w:rPr>
          <w:sz w:val="22"/>
        </w:rPr>
        <w:t>p</w:t>
      </w:r>
      <w:r>
        <w:rPr>
          <w:spacing w:val="-31"/>
          <w:sz w:val="22"/>
        </w:rPr>
        <w:t> </w:t>
      </w:r>
      <w:r>
        <w:rPr>
          <w:sz w:val="22"/>
        </w:rPr>
        <w:t>art of </w:t>
      </w:r>
      <w:r>
        <w:rPr>
          <w:spacing w:val="9"/>
          <w:sz w:val="22"/>
        </w:rPr>
        <w:t>the </w:t>
      </w:r>
      <w:r>
        <w:rPr>
          <w:sz w:val="22"/>
        </w:rPr>
        <w:t>fa</w:t>
      </w:r>
      <w:r>
        <w:rPr>
          <w:spacing w:val="-29"/>
          <w:sz w:val="22"/>
        </w:rPr>
        <w:t> </w:t>
      </w:r>
      <w:r>
        <w:rPr>
          <w:spacing w:val="10"/>
          <w:sz w:val="22"/>
        </w:rPr>
        <w:t>culty’s </w:t>
      </w:r>
      <w:r>
        <w:rPr>
          <w:spacing w:val="13"/>
          <w:sz w:val="22"/>
        </w:rPr>
        <w:t>tea</w:t>
      </w:r>
      <w:r>
        <w:rPr>
          <w:spacing w:val="-29"/>
          <w:sz w:val="22"/>
        </w:rPr>
        <w:t> </w:t>
      </w:r>
      <w:r>
        <w:rPr>
          <w:spacing w:val="10"/>
          <w:sz w:val="22"/>
        </w:rPr>
        <w:t>ching</w:t>
      </w:r>
    </w:p>
    <w:p>
      <w:pPr>
        <w:spacing w:line="295" w:lineRule="auto" w:before="2"/>
        <w:ind w:left="450" w:right="1587" w:hanging="11"/>
        <w:jc w:val="left"/>
        <w:rPr>
          <w:sz w:val="22"/>
        </w:rPr>
      </w:pPr>
      <w:r>
        <w:rPr>
          <w:w w:val="95"/>
          <w:sz w:val="22"/>
        </w:rPr>
        <w:t>responsibilities,</w:t>
      </w:r>
      <w:r>
        <w:rPr>
          <w:spacing w:val="9"/>
          <w:w w:val="95"/>
          <w:sz w:val="22"/>
        </w:rPr>
        <w:t> the</w:t>
      </w:r>
      <w:r>
        <w:rPr>
          <w:spacing w:val="39"/>
          <w:sz w:val="22"/>
        </w:rPr>
        <w:t> </w:t>
      </w:r>
      <w:r>
        <w:rPr>
          <w:spacing w:val="10"/>
          <w:w w:val="95"/>
          <w:sz w:val="22"/>
        </w:rPr>
        <w:t>instructor’s</w:t>
      </w:r>
      <w:r>
        <w:rPr>
          <w:spacing w:val="40"/>
          <w:sz w:val="22"/>
        </w:rPr>
        <w:t> </w:t>
      </w:r>
      <w:r>
        <w:rPr>
          <w:spacing w:val="11"/>
          <w:w w:val="95"/>
          <w:sz w:val="22"/>
        </w:rPr>
        <w:t>decision </w:t>
      </w:r>
      <w:r>
        <w:rPr>
          <w:spacing w:val="13"/>
          <w:w w:val="95"/>
          <w:sz w:val="22"/>
        </w:rPr>
        <w:t>regarding</w:t>
      </w:r>
      <w:r>
        <w:rPr>
          <w:spacing w:val="40"/>
          <w:sz w:val="22"/>
        </w:rPr>
        <w:t> </w:t>
      </w:r>
      <w:r>
        <w:rPr>
          <w:w w:val="95"/>
          <w:sz w:val="22"/>
        </w:rPr>
        <w:t>a</w:t>
      </w:r>
      <w:r>
        <w:rPr>
          <w:spacing w:val="40"/>
          <w:sz w:val="22"/>
        </w:rPr>
        <w:t> </w:t>
      </w:r>
      <w:r>
        <w:rPr>
          <w:w w:val="95"/>
          <w:sz w:val="22"/>
        </w:rPr>
        <w:t>gra</w:t>
      </w:r>
      <w:r>
        <w:rPr>
          <w:spacing w:val="-18"/>
          <w:w w:val="95"/>
          <w:sz w:val="22"/>
        </w:rPr>
        <w:t> </w:t>
      </w:r>
      <w:r>
        <w:rPr>
          <w:spacing w:val="11"/>
          <w:w w:val="95"/>
          <w:sz w:val="22"/>
        </w:rPr>
        <w:t>de</w:t>
      </w:r>
      <w:r>
        <w:rPr>
          <w:spacing w:val="40"/>
          <w:sz w:val="22"/>
        </w:rPr>
        <w:t> </w:t>
      </w:r>
      <w:r>
        <w:rPr>
          <w:spacing w:val="10"/>
          <w:w w:val="95"/>
          <w:sz w:val="22"/>
        </w:rPr>
        <w:t>normally </w:t>
      </w:r>
      <w:r>
        <w:rPr>
          <w:w w:val="95"/>
          <w:sz w:val="22"/>
        </w:rPr>
        <w:t>is</w:t>
      </w:r>
      <w:r>
        <w:rPr>
          <w:spacing w:val="30"/>
          <w:sz w:val="22"/>
        </w:rPr>
        <w:t> </w:t>
      </w:r>
      <w:r>
        <w:rPr>
          <w:w w:val="95"/>
          <w:sz w:val="22"/>
        </w:rPr>
        <w:t>final.</w:t>
      </w:r>
      <w:r>
        <w:rPr>
          <w:spacing w:val="27"/>
          <w:sz w:val="22"/>
        </w:rPr>
        <w:t> </w:t>
      </w:r>
      <w:r>
        <w:rPr>
          <w:w w:val="95"/>
          <w:sz w:val="22"/>
        </w:rPr>
        <w:t>Very </w:t>
      </w:r>
      <w:r>
        <w:rPr>
          <w:spacing w:val="11"/>
          <w:sz w:val="22"/>
        </w:rPr>
        <w:t>exceptionally, </w:t>
      </w:r>
      <w:r>
        <w:rPr>
          <w:sz w:val="22"/>
        </w:rPr>
        <w:t>a</w:t>
      </w:r>
      <w:r>
        <w:rPr>
          <w:spacing w:val="34"/>
          <w:sz w:val="22"/>
        </w:rPr>
        <w:t> </w:t>
      </w:r>
      <w:r>
        <w:rPr>
          <w:sz w:val="22"/>
        </w:rPr>
        <w:t>Gra</w:t>
      </w:r>
      <w:r>
        <w:rPr>
          <w:spacing w:val="-30"/>
          <w:sz w:val="22"/>
        </w:rPr>
        <w:t> </w:t>
      </w:r>
      <w:r>
        <w:rPr>
          <w:spacing w:val="11"/>
          <w:sz w:val="22"/>
        </w:rPr>
        <w:t>de</w:t>
      </w:r>
      <w:r>
        <w:rPr>
          <w:spacing w:val="30"/>
          <w:sz w:val="22"/>
        </w:rPr>
        <w:t> </w:t>
      </w:r>
      <w:r>
        <w:rPr>
          <w:sz w:val="22"/>
        </w:rPr>
        <w:t>Ap</w:t>
      </w:r>
      <w:r>
        <w:rPr>
          <w:spacing w:val="-30"/>
          <w:sz w:val="22"/>
        </w:rPr>
        <w:t> </w:t>
      </w:r>
      <w:r>
        <w:rPr>
          <w:spacing w:val="15"/>
          <w:sz w:val="22"/>
        </w:rPr>
        <w:t>peal </w:t>
      </w:r>
      <w:r>
        <w:rPr>
          <w:sz w:val="22"/>
        </w:rPr>
        <w:t>c</w:t>
      </w:r>
      <w:r>
        <w:rPr>
          <w:spacing w:val="-26"/>
          <w:sz w:val="22"/>
        </w:rPr>
        <w:t> </w:t>
      </w:r>
      <w:r>
        <w:rPr>
          <w:spacing w:val="10"/>
          <w:sz w:val="22"/>
        </w:rPr>
        <w:t>an</w:t>
      </w:r>
      <w:r>
        <w:rPr>
          <w:spacing w:val="28"/>
          <w:sz w:val="22"/>
        </w:rPr>
        <w:t> </w:t>
      </w:r>
      <w:r>
        <w:rPr>
          <w:spacing w:val="11"/>
          <w:sz w:val="22"/>
        </w:rPr>
        <w:t>be</w:t>
      </w:r>
      <w:r>
        <w:rPr>
          <w:spacing w:val="31"/>
          <w:sz w:val="22"/>
        </w:rPr>
        <w:t> </w:t>
      </w:r>
      <w:r>
        <w:rPr>
          <w:spacing w:val="12"/>
          <w:sz w:val="22"/>
        </w:rPr>
        <w:t>ma</w:t>
      </w:r>
      <w:r>
        <w:rPr>
          <w:spacing w:val="-30"/>
          <w:sz w:val="22"/>
        </w:rPr>
        <w:t> </w:t>
      </w:r>
      <w:r>
        <w:rPr>
          <w:spacing w:val="11"/>
          <w:sz w:val="22"/>
        </w:rPr>
        <w:t>de </w:t>
      </w:r>
      <w:r>
        <w:rPr>
          <w:sz w:val="22"/>
        </w:rPr>
        <w:t>for</w:t>
      </w:r>
      <w:r>
        <w:rPr>
          <w:spacing w:val="22"/>
          <w:sz w:val="22"/>
        </w:rPr>
        <w:t> </w:t>
      </w:r>
      <w:r>
        <w:rPr>
          <w:spacing w:val="9"/>
          <w:sz w:val="22"/>
        </w:rPr>
        <w:t>questions </w:t>
      </w:r>
      <w:r>
        <w:rPr>
          <w:sz w:val="22"/>
        </w:rPr>
        <w:t>of</w:t>
      </w:r>
      <w:r>
        <w:rPr>
          <w:spacing w:val="27"/>
          <w:sz w:val="22"/>
        </w:rPr>
        <w:t> </w:t>
      </w:r>
      <w:r>
        <w:rPr>
          <w:sz w:val="22"/>
        </w:rPr>
        <w:t>a</w:t>
      </w:r>
      <w:r>
        <w:rPr>
          <w:spacing w:val="-28"/>
          <w:sz w:val="22"/>
        </w:rPr>
        <w:t> </w:t>
      </w:r>
      <w:r>
        <w:rPr>
          <w:sz w:val="22"/>
        </w:rPr>
        <w:t>c</w:t>
      </w:r>
      <w:r>
        <w:rPr>
          <w:spacing w:val="-26"/>
          <w:sz w:val="22"/>
        </w:rPr>
        <w:t> </w:t>
      </w:r>
      <w:r>
        <w:rPr>
          <w:spacing w:val="10"/>
          <w:sz w:val="22"/>
        </w:rPr>
        <w:t>cura</w:t>
      </w:r>
      <w:r>
        <w:rPr>
          <w:spacing w:val="-28"/>
          <w:sz w:val="22"/>
        </w:rPr>
        <w:t> </w:t>
      </w:r>
      <w:r>
        <w:rPr>
          <w:spacing w:val="10"/>
          <w:sz w:val="22"/>
        </w:rPr>
        <w:t>cy</w:t>
      </w:r>
      <w:r>
        <w:rPr>
          <w:spacing w:val="22"/>
          <w:sz w:val="22"/>
        </w:rPr>
        <w:t> </w:t>
      </w:r>
      <w:r>
        <w:rPr>
          <w:sz w:val="22"/>
        </w:rPr>
        <w:t>or</w:t>
      </w:r>
      <w:r>
        <w:rPr>
          <w:spacing w:val="11"/>
          <w:sz w:val="22"/>
        </w:rPr>
        <w:t> </w:t>
      </w:r>
      <w:r>
        <w:rPr>
          <w:sz w:val="22"/>
        </w:rPr>
        <w:t>for c</w:t>
      </w:r>
      <w:r>
        <w:rPr>
          <w:spacing w:val="-28"/>
          <w:sz w:val="22"/>
        </w:rPr>
        <w:t> </w:t>
      </w:r>
      <w:r>
        <w:rPr>
          <w:spacing w:val="11"/>
          <w:sz w:val="22"/>
        </w:rPr>
        <w:t>ompelling reasons </w:t>
      </w:r>
      <w:r>
        <w:rPr>
          <w:spacing w:val="10"/>
          <w:sz w:val="22"/>
        </w:rPr>
        <w:t>over </w:t>
      </w:r>
      <w:r>
        <w:rPr>
          <w:spacing w:val="11"/>
          <w:sz w:val="22"/>
        </w:rPr>
        <w:t>which </w:t>
      </w:r>
      <w:r>
        <w:rPr>
          <w:spacing w:val="9"/>
          <w:sz w:val="22"/>
        </w:rPr>
        <w:t>the </w:t>
      </w:r>
      <w:r>
        <w:rPr>
          <w:spacing w:val="12"/>
          <w:sz w:val="22"/>
        </w:rPr>
        <w:t>student </w:t>
      </w:r>
      <w:r>
        <w:rPr>
          <w:spacing w:val="11"/>
          <w:sz w:val="22"/>
        </w:rPr>
        <w:t>has </w:t>
      </w:r>
      <w:r>
        <w:rPr>
          <w:sz w:val="22"/>
        </w:rPr>
        <w:t>no c</w:t>
      </w:r>
      <w:r>
        <w:rPr>
          <w:spacing w:val="-28"/>
          <w:sz w:val="22"/>
        </w:rPr>
        <w:t> </w:t>
      </w:r>
      <w:r>
        <w:rPr>
          <w:sz w:val="22"/>
        </w:rPr>
        <w:t>ontrol.</w:t>
      </w:r>
    </w:p>
    <w:p>
      <w:pPr>
        <w:spacing w:after="0" w:line="295" w:lineRule="auto"/>
        <w:jc w:val="left"/>
        <w:rPr>
          <w:sz w:val="22"/>
        </w:rPr>
        <w:sectPr>
          <w:headerReference w:type="default" r:id="rId321"/>
          <w:footerReference w:type="default" r:id="rId322"/>
          <w:pgSz w:w="12240" w:h="15840"/>
          <w:pgMar w:header="0" w:footer="748" w:top="1380" w:bottom="940" w:left="1000" w:right="820"/>
        </w:sectPr>
      </w:pPr>
    </w:p>
    <w:p>
      <w:pPr>
        <w:spacing w:line="292" w:lineRule="auto" w:before="56"/>
        <w:ind w:left="440" w:right="642" w:firstLine="13"/>
        <w:jc w:val="left"/>
        <w:rPr>
          <w:sz w:val="22"/>
        </w:rPr>
      </w:pPr>
      <w:r>
        <w:rPr>
          <w:sz w:val="22"/>
        </w:rPr>
        <w:t>by a fa</w:t>
      </w:r>
      <w:r>
        <w:rPr>
          <w:spacing w:val="-30"/>
          <w:sz w:val="22"/>
        </w:rPr>
        <w:t> </w:t>
      </w:r>
      <w:r>
        <w:rPr>
          <w:sz w:val="22"/>
        </w:rPr>
        <w:t>culty </w:t>
      </w:r>
      <w:r>
        <w:rPr>
          <w:spacing w:val="16"/>
          <w:sz w:val="22"/>
        </w:rPr>
        <w:t>member</w:t>
      </w:r>
      <w:r>
        <w:rPr>
          <w:spacing w:val="9"/>
          <w:sz w:val="22"/>
        </w:rPr>
        <w:t> </w:t>
      </w:r>
      <w:r>
        <w:rPr>
          <w:spacing w:val="12"/>
          <w:sz w:val="22"/>
        </w:rPr>
        <w:t>that </w:t>
      </w:r>
      <w:r>
        <w:rPr>
          <w:spacing w:val="10"/>
          <w:sz w:val="22"/>
        </w:rPr>
        <w:t>violates</w:t>
      </w:r>
      <w:r>
        <w:rPr>
          <w:spacing w:val="8"/>
          <w:sz w:val="22"/>
        </w:rPr>
        <w:t> </w:t>
      </w:r>
      <w:r>
        <w:rPr>
          <w:sz w:val="22"/>
        </w:rPr>
        <w:t>university, </w:t>
      </w:r>
      <w:r>
        <w:rPr>
          <w:spacing w:val="12"/>
          <w:sz w:val="22"/>
        </w:rPr>
        <w:t>school </w:t>
      </w:r>
      <w:r>
        <w:rPr>
          <w:sz w:val="22"/>
        </w:rPr>
        <w:t>or </w:t>
      </w:r>
      <w:r>
        <w:rPr>
          <w:spacing w:val="15"/>
          <w:sz w:val="22"/>
        </w:rPr>
        <w:t>dep</w:t>
      </w:r>
      <w:r>
        <w:rPr>
          <w:spacing w:val="-32"/>
          <w:sz w:val="22"/>
        </w:rPr>
        <w:t> </w:t>
      </w:r>
      <w:r>
        <w:rPr>
          <w:spacing w:val="12"/>
          <w:sz w:val="22"/>
        </w:rPr>
        <w:t>artment </w:t>
      </w:r>
      <w:r>
        <w:rPr>
          <w:spacing w:val="10"/>
          <w:sz w:val="22"/>
        </w:rPr>
        <w:t>policy,</w:t>
      </w:r>
      <w:r>
        <w:rPr>
          <w:spacing w:val="7"/>
          <w:sz w:val="22"/>
        </w:rPr>
        <w:t> </w:t>
      </w:r>
      <w:r>
        <w:rPr>
          <w:spacing w:val="11"/>
          <w:sz w:val="22"/>
        </w:rPr>
        <w:t>then </w:t>
      </w:r>
      <w:r>
        <w:rPr>
          <w:spacing w:val="10"/>
          <w:sz w:val="22"/>
        </w:rPr>
        <w:t>they </w:t>
      </w:r>
      <w:r>
        <w:rPr>
          <w:spacing w:val="9"/>
          <w:sz w:val="22"/>
        </w:rPr>
        <w:t>should follow the </w:t>
      </w:r>
      <w:r>
        <w:rPr>
          <w:sz w:val="22"/>
        </w:rPr>
        <w:t>University </w:t>
      </w:r>
      <w:r>
        <w:rPr>
          <w:spacing w:val="11"/>
          <w:sz w:val="22"/>
        </w:rPr>
        <w:t>Grievanc</w:t>
      </w:r>
      <w:r>
        <w:rPr>
          <w:spacing w:val="-26"/>
          <w:sz w:val="22"/>
        </w:rPr>
        <w:t> </w:t>
      </w:r>
      <w:r>
        <w:rPr>
          <w:sz w:val="22"/>
        </w:rPr>
        <w:t>e Proc</w:t>
      </w:r>
      <w:r>
        <w:rPr>
          <w:spacing w:val="-26"/>
          <w:sz w:val="22"/>
        </w:rPr>
        <w:t> </w:t>
      </w:r>
      <w:r>
        <w:rPr>
          <w:spacing w:val="11"/>
          <w:sz w:val="22"/>
        </w:rPr>
        <w:t>edure.</w:t>
      </w:r>
    </w:p>
    <w:p>
      <w:pPr>
        <w:pStyle w:val="BodyText"/>
        <w:spacing w:before="3"/>
        <w:rPr>
          <w:sz w:val="27"/>
        </w:rPr>
      </w:pPr>
    </w:p>
    <w:p>
      <w:pPr>
        <w:pStyle w:val="Heading8"/>
      </w:pPr>
      <w:r>
        <w:rPr>
          <w:w w:val="90"/>
        </w:rPr>
        <w:t>REASONS</w:t>
      </w:r>
      <w:r>
        <w:rPr>
          <w:spacing w:val="4"/>
        </w:rPr>
        <w:t> </w:t>
      </w:r>
      <w:r>
        <w:rPr>
          <w:w w:val="90"/>
        </w:rPr>
        <w:t>FOR</w:t>
      </w:r>
      <w:r>
        <w:rPr>
          <w:spacing w:val="8"/>
        </w:rPr>
        <w:t> </w:t>
      </w:r>
      <w:r>
        <w:rPr>
          <w:w w:val="90"/>
        </w:rPr>
        <w:t>APPEALING</w:t>
      </w:r>
      <w:r>
        <w:rPr>
          <w:spacing w:val="15"/>
        </w:rPr>
        <w:t> </w:t>
      </w:r>
      <w:r>
        <w:rPr>
          <w:w w:val="90"/>
        </w:rPr>
        <w:t>A</w:t>
      </w:r>
      <w:r>
        <w:rPr>
          <w:spacing w:val="9"/>
        </w:rPr>
        <w:t> </w:t>
      </w:r>
      <w:r>
        <w:rPr>
          <w:w w:val="90"/>
        </w:rPr>
        <w:t>FINAL</w:t>
      </w:r>
      <w:r>
        <w:rPr>
          <w:spacing w:val="13"/>
        </w:rPr>
        <w:t> </w:t>
      </w:r>
      <w:r>
        <w:rPr>
          <w:spacing w:val="-2"/>
          <w:w w:val="90"/>
        </w:rPr>
        <w:t>GRADE</w:t>
      </w:r>
    </w:p>
    <w:p>
      <w:pPr>
        <w:pStyle w:val="BodyText"/>
        <w:spacing w:before="10"/>
        <w:rPr>
          <w:b/>
          <w:sz w:val="31"/>
        </w:rPr>
      </w:pPr>
    </w:p>
    <w:p>
      <w:pPr>
        <w:pStyle w:val="ListParagraph"/>
        <w:numPr>
          <w:ilvl w:val="0"/>
          <w:numId w:val="73"/>
        </w:numPr>
        <w:tabs>
          <w:tab w:pos="1170" w:val="left" w:leader="none"/>
          <w:tab w:pos="1171" w:val="left" w:leader="none"/>
        </w:tabs>
        <w:spacing w:line="240" w:lineRule="auto" w:before="0" w:after="0"/>
        <w:ind w:left="1170" w:right="0" w:hanging="732"/>
        <w:jc w:val="left"/>
        <w:rPr>
          <w:sz w:val="22"/>
        </w:rPr>
      </w:pPr>
      <w:r>
        <w:rPr>
          <w:sz w:val="22"/>
        </w:rPr>
        <w:t>Gra</w:t>
      </w:r>
      <w:r>
        <w:rPr>
          <w:spacing w:val="-32"/>
          <w:sz w:val="22"/>
        </w:rPr>
        <w:t> </w:t>
      </w:r>
      <w:r>
        <w:rPr>
          <w:spacing w:val="12"/>
          <w:sz w:val="22"/>
        </w:rPr>
        <w:t>de</w:t>
      </w:r>
      <w:r>
        <w:rPr>
          <w:spacing w:val="25"/>
          <w:sz w:val="22"/>
        </w:rPr>
        <w:t> </w:t>
      </w:r>
      <w:r>
        <w:rPr>
          <w:sz w:val="22"/>
        </w:rPr>
        <w:t>misc</w:t>
      </w:r>
      <w:r>
        <w:rPr>
          <w:spacing w:val="-29"/>
          <w:sz w:val="22"/>
        </w:rPr>
        <w:t> </w:t>
      </w:r>
      <w:r>
        <w:rPr>
          <w:spacing w:val="12"/>
          <w:sz w:val="22"/>
        </w:rPr>
        <w:t>alculation</w:t>
      </w:r>
      <w:r>
        <w:rPr>
          <w:spacing w:val="22"/>
          <w:sz w:val="22"/>
        </w:rPr>
        <w:t> </w:t>
      </w:r>
      <w:r>
        <w:rPr>
          <w:spacing w:val="11"/>
          <w:sz w:val="22"/>
        </w:rPr>
        <w:t>due</w:t>
      </w:r>
      <w:r>
        <w:rPr>
          <w:spacing w:val="20"/>
          <w:sz w:val="22"/>
        </w:rPr>
        <w:t> </w:t>
      </w:r>
      <w:r>
        <w:rPr>
          <w:sz w:val="22"/>
        </w:rPr>
        <w:t>to</w:t>
      </w:r>
      <w:r>
        <w:rPr>
          <w:spacing w:val="24"/>
          <w:sz w:val="22"/>
        </w:rPr>
        <w:t> </w:t>
      </w:r>
      <w:r>
        <w:rPr>
          <w:spacing w:val="15"/>
          <w:sz w:val="22"/>
        </w:rPr>
        <w:t>mathematic</w:t>
      </w:r>
      <w:r>
        <w:rPr>
          <w:spacing w:val="-29"/>
          <w:sz w:val="22"/>
        </w:rPr>
        <w:t> </w:t>
      </w:r>
      <w:r>
        <w:rPr>
          <w:sz w:val="22"/>
        </w:rPr>
        <w:t>al</w:t>
      </w:r>
      <w:r>
        <w:rPr>
          <w:spacing w:val="14"/>
          <w:sz w:val="22"/>
        </w:rPr>
        <w:t> </w:t>
      </w:r>
      <w:r>
        <w:rPr>
          <w:spacing w:val="-2"/>
          <w:sz w:val="22"/>
        </w:rPr>
        <w:t>error.</w:t>
      </w:r>
    </w:p>
    <w:p>
      <w:pPr>
        <w:pStyle w:val="ListParagraph"/>
        <w:numPr>
          <w:ilvl w:val="0"/>
          <w:numId w:val="73"/>
        </w:numPr>
        <w:tabs>
          <w:tab w:pos="1170" w:val="left" w:leader="none"/>
          <w:tab w:pos="1171" w:val="left" w:leader="none"/>
        </w:tabs>
        <w:spacing w:line="240" w:lineRule="auto" w:before="18" w:after="0"/>
        <w:ind w:left="1170" w:right="0" w:hanging="732"/>
        <w:jc w:val="left"/>
        <w:rPr>
          <w:sz w:val="22"/>
        </w:rPr>
      </w:pPr>
      <w:r>
        <w:rPr>
          <w:sz w:val="22"/>
        </w:rPr>
        <w:t>Gra</w:t>
      </w:r>
      <w:r>
        <w:rPr>
          <w:spacing w:val="-33"/>
          <w:sz w:val="22"/>
        </w:rPr>
        <w:t> </w:t>
      </w:r>
      <w:r>
        <w:rPr>
          <w:spacing w:val="12"/>
          <w:sz w:val="22"/>
        </w:rPr>
        <w:t>de</w:t>
      </w:r>
      <w:r>
        <w:rPr>
          <w:spacing w:val="24"/>
          <w:sz w:val="22"/>
        </w:rPr>
        <w:t> </w:t>
      </w:r>
      <w:r>
        <w:rPr>
          <w:sz w:val="22"/>
        </w:rPr>
        <w:t>misc</w:t>
      </w:r>
      <w:r>
        <w:rPr>
          <w:spacing w:val="-29"/>
          <w:sz w:val="22"/>
        </w:rPr>
        <w:t> </w:t>
      </w:r>
      <w:r>
        <w:rPr>
          <w:spacing w:val="12"/>
          <w:sz w:val="22"/>
        </w:rPr>
        <w:t>alculation</w:t>
      </w:r>
      <w:r>
        <w:rPr>
          <w:spacing w:val="21"/>
          <w:sz w:val="22"/>
        </w:rPr>
        <w:t> </w:t>
      </w:r>
      <w:r>
        <w:rPr>
          <w:spacing w:val="11"/>
          <w:sz w:val="22"/>
        </w:rPr>
        <w:t>due</w:t>
      </w:r>
      <w:r>
        <w:rPr>
          <w:spacing w:val="19"/>
          <w:sz w:val="22"/>
        </w:rPr>
        <w:t> </w:t>
      </w:r>
      <w:r>
        <w:rPr>
          <w:sz w:val="22"/>
        </w:rPr>
        <w:t>to</w:t>
      </w:r>
      <w:r>
        <w:rPr>
          <w:spacing w:val="22"/>
          <w:sz w:val="22"/>
        </w:rPr>
        <w:t> </w:t>
      </w:r>
      <w:r>
        <w:rPr>
          <w:spacing w:val="-2"/>
          <w:sz w:val="22"/>
        </w:rPr>
        <w:t>oversight.</w:t>
      </w:r>
    </w:p>
    <w:p>
      <w:pPr>
        <w:pStyle w:val="ListParagraph"/>
        <w:numPr>
          <w:ilvl w:val="0"/>
          <w:numId w:val="73"/>
        </w:numPr>
        <w:tabs>
          <w:tab w:pos="1170" w:val="left" w:leader="none"/>
          <w:tab w:pos="1171" w:val="left" w:leader="none"/>
        </w:tabs>
        <w:spacing w:line="240" w:lineRule="auto" w:before="16" w:after="0"/>
        <w:ind w:left="1170" w:right="0" w:hanging="732"/>
        <w:jc w:val="left"/>
        <w:rPr>
          <w:sz w:val="22"/>
        </w:rPr>
      </w:pPr>
      <w:r>
        <w:rPr>
          <w:w w:val="95"/>
          <w:sz w:val="22"/>
        </w:rPr>
        <w:t>Gra</w:t>
      </w:r>
      <w:r>
        <w:rPr>
          <w:spacing w:val="-18"/>
          <w:w w:val="95"/>
          <w:sz w:val="22"/>
        </w:rPr>
        <w:t> </w:t>
      </w:r>
      <w:r>
        <w:rPr>
          <w:spacing w:val="12"/>
          <w:w w:val="95"/>
          <w:sz w:val="22"/>
        </w:rPr>
        <w:t>de</w:t>
      </w:r>
      <w:r>
        <w:rPr>
          <w:spacing w:val="62"/>
          <w:sz w:val="22"/>
        </w:rPr>
        <w:t> </w:t>
      </w:r>
      <w:r>
        <w:rPr>
          <w:spacing w:val="10"/>
          <w:w w:val="95"/>
          <w:sz w:val="22"/>
        </w:rPr>
        <w:t>assigned</w:t>
      </w:r>
      <w:r>
        <w:rPr>
          <w:spacing w:val="70"/>
          <w:sz w:val="22"/>
        </w:rPr>
        <w:t> </w:t>
      </w:r>
      <w:r>
        <w:rPr>
          <w:w w:val="95"/>
          <w:sz w:val="22"/>
        </w:rPr>
        <w:t>c</w:t>
      </w:r>
      <w:r>
        <w:rPr>
          <w:spacing w:val="-17"/>
          <w:w w:val="95"/>
          <w:sz w:val="22"/>
        </w:rPr>
        <w:t> </w:t>
      </w:r>
      <w:r>
        <w:rPr>
          <w:w w:val="95"/>
          <w:sz w:val="22"/>
        </w:rPr>
        <w:t>apriciously</w:t>
      </w:r>
      <w:r>
        <w:rPr>
          <w:spacing w:val="47"/>
          <w:sz w:val="22"/>
        </w:rPr>
        <w:t> </w:t>
      </w:r>
      <w:r>
        <w:rPr>
          <w:w w:val="95"/>
          <w:sz w:val="22"/>
        </w:rPr>
        <w:t>or</w:t>
      </w:r>
      <w:r>
        <w:rPr>
          <w:spacing w:val="47"/>
          <w:sz w:val="22"/>
        </w:rPr>
        <w:t> </w:t>
      </w:r>
      <w:r>
        <w:rPr>
          <w:w w:val="95"/>
          <w:sz w:val="22"/>
        </w:rPr>
        <w:t>arbitrarily</w:t>
      </w:r>
      <w:r>
        <w:rPr>
          <w:spacing w:val="30"/>
          <w:sz w:val="22"/>
        </w:rPr>
        <w:t> </w:t>
      </w:r>
      <w:r>
        <w:rPr>
          <w:spacing w:val="12"/>
          <w:w w:val="95"/>
          <w:sz w:val="22"/>
        </w:rPr>
        <w:t>such</w:t>
      </w:r>
      <w:r>
        <w:rPr>
          <w:spacing w:val="55"/>
          <w:sz w:val="22"/>
        </w:rPr>
        <w:t> </w:t>
      </w:r>
      <w:r>
        <w:rPr>
          <w:spacing w:val="-5"/>
          <w:w w:val="95"/>
          <w:sz w:val="22"/>
        </w:rPr>
        <w:t>as</w:t>
      </w:r>
    </w:p>
    <w:p>
      <w:pPr>
        <w:pStyle w:val="ListParagraph"/>
        <w:numPr>
          <w:ilvl w:val="1"/>
          <w:numId w:val="73"/>
        </w:numPr>
        <w:tabs>
          <w:tab w:pos="1879" w:val="left" w:leader="none"/>
          <w:tab w:pos="1881" w:val="left" w:leader="none"/>
        </w:tabs>
        <w:spacing w:line="240" w:lineRule="auto" w:before="18" w:after="0"/>
        <w:ind w:left="1880" w:right="0" w:hanging="721"/>
        <w:jc w:val="left"/>
        <w:rPr>
          <w:sz w:val="22"/>
        </w:rPr>
      </w:pPr>
      <w:r>
        <w:rPr>
          <w:spacing w:val="11"/>
          <w:sz w:val="22"/>
        </w:rPr>
        <w:t>Evaluation</w:t>
      </w:r>
      <w:r>
        <w:rPr>
          <w:spacing w:val="19"/>
          <w:sz w:val="22"/>
        </w:rPr>
        <w:t> </w:t>
      </w:r>
      <w:r>
        <w:rPr>
          <w:sz w:val="22"/>
        </w:rPr>
        <w:t>of</w:t>
      </w:r>
      <w:r>
        <w:rPr>
          <w:spacing w:val="20"/>
          <w:sz w:val="22"/>
        </w:rPr>
        <w:t> </w:t>
      </w:r>
      <w:r>
        <w:rPr>
          <w:sz w:val="22"/>
        </w:rPr>
        <w:t>work</w:t>
      </w:r>
      <w:r>
        <w:rPr>
          <w:spacing w:val="8"/>
          <w:sz w:val="22"/>
        </w:rPr>
        <w:t> </w:t>
      </w:r>
      <w:r>
        <w:rPr>
          <w:spacing w:val="11"/>
          <w:sz w:val="22"/>
        </w:rPr>
        <w:t>not</w:t>
      </w:r>
      <w:r>
        <w:rPr>
          <w:spacing w:val="23"/>
          <w:sz w:val="22"/>
        </w:rPr>
        <w:t> </w:t>
      </w:r>
      <w:r>
        <w:rPr>
          <w:sz w:val="22"/>
        </w:rPr>
        <w:t>p</w:t>
      </w:r>
      <w:r>
        <w:rPr>
          <w:spacing w:val="-31"/>
          <w:sz w:val="22"/>
        </w:rPr>
        <w:t> </w:t>
      </w:r>
      <w:r>
        <w:rPr>
          <w:sz w:val="22"/>
        </w:rPr>
        <w:t>art</w:t>
      </w:r>
      <w:r>
        <w:rPr>
          <w:spacing w:val="21"/>
          <w:sz w:val="22"/>
        </w:rPr>
        <w:t> </w:t>
      </w:r>
      <w:r>
        <w:rPr>
          <w:sz w:val="22"/>
        </w:rPr>
        <w:t>of</w:t>
      </w:r>
      <w:r>
        <w:rPr>
          <w:spacing w:val="13"/>
          <w:sz w:val="22"/>
        </w:rPr>
        <w:t> </w:t>
      </w:r>
      <w:r>
        <w:rPr>
          <w:spacing w:val="9"/>
          <w:sz w:val="22"/>
        </w:rPr>
        <w:t>the</w:t>
      </w:r>
      <w:r>
        <w:rPr>
          <w:spacing w:val="31"/>
          <w:sz w:val="22"/>
        </w:rPr>
        <w:t> </w:t>
      </w:r>
      <w:r>
        <w:rPr>
          <w:sz w:val="22"/>
        </w:rPr>
        <w:t>c</w:t>
      </w:r>
      <w:r>
        <w:rPr>
          <w:spacing w:val="-31"/>
          <w:sz w:val="22"/>
        </w:rPr>
        <w:t> </w:t>
      </w:r>
      <w:r>
        <w:rPr>
          <w:spacing w:val="-2"/>
          <w:sz w:val="22"/>
        </w:rPr>
        <w:t>ourse,</w:t>
      </w:r>
    </w:p>
    <w:p>
      <w:pPr>
        <w:pStyle w:val="ListParagraph"/>
        <w:numPr>
          <w:ilvl w:val="1"/>
          <w:numId w:val="73"/>
        </w:numPr>
        <w:tabs>
          <w:tab w:pos="1898" w:val="left" w:leader="none"/>
          <w:tab w:pos="1899" w:val="left" w:leader="none"/>
        </w:tabs>
        <w:spacing w:line="254" w:lineRule="auto" w:before="16" w:after="0"/>
        <w:ind w:left="1880" w:right="1326" w:hanging="721"/>
        <w:jc w:val="left"/>
        <w:rPr>
          <w:sz w:val="22"/>
        </w:rPr>
      </w:pPr>
      <w:r>
        <w:rPr>
          <w:spacing w:val="12"/>
          <w:sz w:val="22"/>
        </w:rPr>
        <w:t>“Substantial</w:t>
      </w:r>
      <w:r>
        <w:rPr>
          <w:spacing w:val="-16"/>
          <w:sz w:val="22"/>
        </w:rPr>
        <w:t> </w:t>
      </w:r>
      <w:r>
        <w:rPr>
          <w:spacing w:val="13"/>
          <w:sz w:val="22"/>
        </w:rPr>
        <w:t>unannounc</w:t>
      </w:r>
      <w:r>
        <w:rPr>
          <w:spacing w:val="-34"/>
          <w:sz w:val="22"/>
        </w:rPr>
        <w:t> </w:t>
      </w:r>
      <w:r>
        <w:rPr>
          <w:spacing w:val="12"/>
          <w:sz w:val="22"/>
        </w:rPr>
        <w:t>ed</w:t>
      </w:r>
      <w:r>
        <w:rPr>
          <w:spacing w:val="-4"/>
          <w:sz w:val="22"/>
        </w:rPr>
        <w:t> </w:t>
      </w:r>
      <w:r>
        <w:rPr>
          <w:spacing w:val="12"/>
          <w:sz w:val="22"/>
        </w:rPr>
        <w:t>unreasonable</w:t>
      </w:r>
      <w:r>
        <w:rPr>
          <w:spacing w:val="4"/>
          <w:sz w:val="22"/>
        </w:rPr>
        <w:t> </w:t>
      </w:r>
      <w:r>
        <w:rPr>
          <w:spacing w:val="12"/>
          <w:sz w:val="22"/>
        </w:rPr>
        <w:t>deviation</w:t>
      </w:r>
      <w:r>
        <w:rPr>
          <w:spacing w:val="-7"/>
          <w:sz w:val="22"/>
        </w:rPr>
        <w:t> </w:t>
      </w:r>
      <w:r>
        <w:rPr>
          <w:sz w:val="22"/>
        </w:rPr>
        <w:t>from</w:t>
      </w:r>
      <w:r>
        <w:rPr>
          <w:spacing w:val="-7"/>
          <w:sz w:val="22"/>
        </w:rPr>
        <w:t> </w:t>
      </w:r>
      <w:r>
        <w:rPr>
          <w:spacing w:val="12"/>
          <w:sz w:val="22"/>
        </w:rPr>
        <w:t>stand</w:t>
      </w:r>
      <w:r>
        <w:rPr>
          <w:spacing w:val="-33"/>
          <w:sz w:val="22"/>
        </w:rPr>
        <w:t> </w:t>
      </w:r>
      <w:r>
        <w:rPr>
          <w:spacing w:val="11"/>
          <w:sz w:val="22"/>
        </w:rPr>
        <w:t>ards” </w:t>
      </w:r>
      <w:r>
        <w:rPr>
          <w:spacing w:val="14"/>
          <w:sz w:val="22"/>
        </w:rPr>
        <w:t>stated </w:t>
      </w:r>
      <w:r>
        <w:rPr>
          <w:sz w:val="22"/>
        </w:rPr>
        <w:t>in </w:t>
      </w:r>
      <w:r>
        <w:rPr>
          <w:spacing w:val="9"/>
          <w:sz w:val="22"/>
        </w:rPr>
        <w:t>the </w:t>
      </w:r>
      <w:r>
        <w:rPr>
          <w:sz w:val="22"/>
        </w:rPr>
        <w:t>syllabus </w:t>
      </w:r>
      <w:r>
        <w:rPr>
          <w:spacing w:val="12"/>
          <w:sz w:val="22"/>
        </w:rPr>
        <w:t>and </w:t>
      </w:r>
      <w:r>
        <w:rPr>
          <w:spacing w:val="11"/>
          <w:sz w:val="22"/>
        </w:rPr>
        <w:t>other </w:t>
      </w:r>
      <w:r>
        <w:rPr>
          <w:sz w:val="22"/>
        </w:rPr>
        <w:t>c</w:t>
      </w:r>
      <w:r>
        <w:rPr>
          <w:spacing w:val="-27"/>
          <w:sz w:val="22"/>
        </w:rPr>
        <w:t> </w:t>
      </w:r>
      <w:r>
        <w:rPr>
          <w:sz w:val="22"/>
        </w:rPr>
        <w:t>ourse </w:t>
      </w:r>
      <w:r>
        <w:rPr>
          <w:spacing w:val="9"/>
          <w:sz w:val="22"/>
        </w:rPr>
        <w:t>materials.</w:t>
      </w:r>
    </w:p>
    <w:p>
      <w:pPr>
        <w:pStyle w:val="ListParagraph"/>
        <w:numPr>
          <w:ilvl w:val="0"/>
          <w:numId w:val="73"/>
        </w:numPr>
        <w:tabs>
          <w:tab w:pos="1171" w:val="left" w:leader="none"/>
        </w:tabs>
        <w:spacing w:line="256" w:lineRule="auto" w:before="4" w:after="0"/>
        <w:ind w:left="1164" w:right="933" w:hanging="725"/>
        <w:jc w:val="both"/>
        <w:rPr>
          <w:sz w:val="22"/>
        </w:rPr>
      </w:pPr>
      <w:r>
        <w:rPr>
          <w:sz w:val="22"/>
        </w:rPr>
        <w:t>Gra</w:t>
      </w:r>
      <w:r>
        <w:rPr>
          <w:spacing w:val="-16"/>
          <w:sz w:val="22"/>
        </w:rPr>
        <w:t> </w:t>
      </w:r>
      <w:r>
        <w:rPr>
          <w:spacing w:val="12"/>
          <w:sz w:val="22"/>
        </w:rPr>
        <w:t>de</w:t>
      </w:r>
      <w:r>
        <w:rPr>
          <w:spacing w:val="-15"/>
          <w:sz w:val="22"/>
        </w:rPr>
        <w:t> </w:t>
      </w:r>
      <w:r>
        <w:rPr>
          <w:spacing w:val="10"/>
          <w:sz w:val="22"/>
        </w:rPr>
        <w:t>assigned</w:t>
      </w:r>
      <w:r>
        <w:rPr>
          <w:spacing w:val="-9"/>
          <w:sz w:val="22"/>
        </w:rPr>
        <w:t> </w:t>
      </w:r>
      <w:r>
        <w:rPr>
          <w:sz w:val="22"/>
        </w:rPr>
        <w:t>in a </w:t>
      </w:r>
      <w:r>
        <w:rPr>
          <w:spacing w:val="9"/>
          <w:sz w:val="22"/>
        </w:rPr>
        <w:t>discriminatory</w:t>
      </w:r>
      <w:r>
        <w:rPr>
          <w:spacing w:val="4"/>
          <w:sz w:val="22"/>
        </w:rPr>
        <w:t> </w:t>
      </w:r>
      <w:r>
        <w:rPr>
          <w:spacing w:val="13"/>
          <w:sz w:val="22"/>
        </w:rPr>
        <w:t>manner</w:t>
      </w:r>
      <w:r>
        <w:rPr>
          <w:spacing w:val="-9"/>
          <w:sz w:val="22"/>
        </w:rPr>
        <w:t> </w:t>
      </w:r>
      <w:r>
        <w:rPr>
          <w:spacing w:val="11"/>
          <w:sz w:val="22"/>
        </w:rPr>
        <w:t>including</w:t>
      </w:r>
      <w:r>
        <w:rPr>
          <w:spacing w:val="7"/>
          <w:sz w:val="22"/>
        </w:rPr>
        <w:t> </w:t>
      </w:r>
      <w:r>
        <w:rPr>
          <w:sz w:val="22"/>
        </w:rPr>
        <w:t>using </w:t>
      </w:r>
      <w:r>
        <w:rPr>
          <w:spacing w:val="12"/>
          <w:sz w:val="22"/>
        </w:rPr>
        <w:t>stand</w:t>
      </w:r>
      <w:r>
        <w:rPr>
          <w:spacing w:val="-16"/>
          <w:sz w:val="22"/>
        </w:rPr>
        <w:t> </w:t>
      </w:r>
      <w:r>
        <w:rPr>
          <w:spacing w:val="9"/>
          <w:sz w:val="22"/>
        </w:rPr>
        <w:t>ards</w:t>
      </w:r>
      <w:r>
        <w:rPr>
          <w:spacing w:val="5"/>
          <w:sz w:val="22"/>
        </w:rPr>
        <w:t> </w:t>
      </w:r>
      <w:r>
        <w:rPr>
          <w:spacing w:val="9"/>
          <w:sz w:val="22"/>
        </w:rPr>
        <w:t>different </w:t>
      </w:r>
      <w:r>
        <w:rPr>
          <w:sz w:val="22"/>
        </w:rPr>
        <w:t>from</w:t>
      </w:r>
      <w:r>
        <w:rPr>
          <w:spacing w:val="-8"/>
          <w:sz w:val="22"/>
        </w:rPr>
        <w:t> </w:t>
      </w:r>
      <w:r>
        <w:rPr>
          <w:spacing w:val="9"/>
          <w:sz w:val="22"/>
        </w:rPr>
        <w:t>those </w:t>
      </w:r>
      <w:r>
        <w:rPr>
          <w:spacing w:val="12"/>
          <w:sz w:val="22"/>
        </w:rPr>
        <w:t>ap</w:t>
      </w:r>
      <w:r>
        <w:rPr>
          <w:spacing w:val="-16"/>
          <w:sz w:val="22"/>
        </w:rPr>
        <w:t> </w:t>
      </w:r>
      <w:r>
        <w:rPr>
          <w:spacing w:val="9"/>
          <w:sz w:val="22"/>
        </w:rPr>
        <w:t>plied </w:t>
      </w:r>
      <w:r>
        <w:rPr>
          <w:sz w:val="22"/>
        </w:rPr>
        <w:t>to </w:t>
      </w:r>
      <w:r>
        <w:rPr>
          <w:spacing w:val="9"/>
          <w:sz w:val="22"/>
        </w:rPr>
        <w:t>the </w:t>
      </w:r>
      <w:r>
        <w:rPr>
          <w:spacing w:val="12"/>
          <w:sz w:val="22"/>
        </w:rPr>
        <w:t>evaluation</w:t>
      </w:r>
      <w:r>
        <w:rPr>
          <w:spacing w:val="10"/>
          <w:sz w:val="22"/>
        </w:rPr>
        <w:t> </w:t>
      </w:r>
      <w:r>
        <w:rPr>
          <w:sz w:val="22"/>
        </w:rPr>
        <w:t>of </w:t>
      </w:r>
      <w:r>
        <w:rPr>
          <w:spacing w:val="11"/>
          <w:sz w:val="22"/>
        </w:rPr>
        <w:t>other</w:t>
      </w:r>
      <w:r>
        <w:rPr>
          <w:spacing w:val="-7"/>
          <w:sz w:val="22"/>
        </w:rPr>
        <w:t> </w:t>
      </w:r>
      <w:r>
        <w:rPr>
          <w:spacing w:val="11"/>
          <w:sz w:val="22"/>
        </w:rPr>
        <w:t>students</w:t>
      </w:r>
      <w:r>
        <w:rPr>
          <w:spacing w:val="-5"/>
          <w:sz w:val="22"/>
        </w:rPr>
        <w:t> </w:t>
      </w:r>
      <w:r>
        <w:rPr>
          <w:sz w:val="22"/>
        </w:rPr>
        <w:t>in </w:t>
      </w:r>
      <w:r>
        <w:rPr>
          <w:spacing w:val="9"/>
          <w:sz w:val="22"/>
        </w:rPr>
        <w:t>the</w:t>
      </w:r>
      <w:r>
        <w:rPr>
          <w:spacing w:val="5"/>
          <w:sz w:val="22"/>
        </w:rPr>
        <w:t> </w:t>
      </w:r>
      <w:r>
        <w:rPr>
          <w:spacing w:val="14"/>
          <w:sz w:val="22"/>
        </w:rPr>
        <w:t>same </w:t>
      </w:r>
      <w:r>
        <w:rPr>
          <w:sz w:val="22"/>
        </w:rPr>
        <w:t>class.</w:t>
      </w:r>
      <w:r>
        <w:rPr>
          <w:spacing w:val="-9"/>
          <w:sz w:val="22"/>
        </w:rPr>
        <w:t> </w:t>
      </w:r>
      <w:r>
        <w:rPr>
          <w:sz w:val="22"/>
        </w:rPr>
        <w:t>In this c</w:t>
      </w:r>
      <w:r>
        <w:rPr>
          <w:spacing w:val="-25"/>
          <w:sz w:val="22"/>
        </w:rPr>
        <w:t> </w:t>
      </w:r>
      <w:r>
        <w:rPr>
          <w:sz w:val="22"/>
        </w:rPr>
        <w:t>ase </w:t>
      </w:r>
      <w:r>
        <w:rPr>
          <w:spacing w:val="9"/>
          <w:sz w:val="22"/>
        </w:rPr>
        <w:t>follow </w:t>
      </w:r>
      <w:r>
        <w:rPr>
          <w:sz w:val="22"/>
        </w:rPr>
        <w:t>University </w:t>
      </w:r>
      <w:r>
        <w:rPr>
          <w:spacing w:val="11"/>
          <w:sz w:val="22"/>
        </w:rPr>
        <w:t>grievanc</w:t>
      </w:r>
      <w:r>
        <w:rPr>
          <w:spacing w:val="-30"/>
          <w:sz w:val="22"/>
        </w:rPr>
        <w:t> </w:t>
      </w:r>
      <w:r>
        <w:rPr>
          <w:sz w:val="22"/>
        </w:rPr>
        <w:t>e </w:t>
      </w:r>
      <w:r>
        <w:rPr>
          <w:spacing w:val="14"/>
          <w:sz w:val="22"/>
        </w:rPr>
        <w:t>procedures </w:t>
      </w:r>
      <w:r>
        <w:rPr>
          <w:spacing w:val="12"/>
          <w:sz w:val="22"/>
        </w:rPr>
        <w:t>and </w:t>
      </w:r>
      <w:r>
        <w:rPr>
          <w:spacing w:val="9"/>
          <w:sz w:val="22"/>
        </w:rPr>
        <w:t>policies.</w:t>
      </w:r>
    </w:p>
    <w:p>
      <w:pPr>
        <w:pStyle w:val="BodyText"/>
        <w:spacing w:before="6"/>
        <w:rPr>
          <w:sz w:val="26"/>
        </w:rPr>
      </w:pPr>
    </w:p>
    <w:p>
      <w:pPr>
        <w:pStyle w:val="Heading8"/>
        <w:spacing w:before="1"/>
        <w:ind w:left="440"/>
      </w:pPr>
      <w:r>
        <w:rPr>
          <w:w w:val="85"/>
        </w:rPr>
        <w:t>DEPARTMENT</w:t>
      </w:r>
      <w:r>
        <w:rPr>
          <w:spacing w:val="38"/>
        </w:rPr>
        <w:t> </w:t>
      </w:r>
      <w:r>
        <w:rPr>
          <w:w w:val="85"/>
        </w:rPr>
        <w:t>OF</w:t>
      </w:r>
      <w:r>
        <w:rPr>
          <w:spacing w:val="25"/>
        </w:rPr>
        <w:t> </w:t>
      </w:r>
      <w:r>
        <w:rPr>
          <w:w w:val="85"/>
        </w:rPr>
        <w:t>ARCHITECTURE</w:t>
      </w:r>
      <w:r>
        <w:rPr>
          <w:spacing w:val="24"/>
        </w:rPr>
        <w:t> </w:t>
      </w:r>
      <w:r>
        <w:rPr>
          <w:w w:val="85"/>
        </w:rPr>
        <w:t>PROCEDURE</w:t>
      </w:r>
      <w:r>
        <w:rPr>
          <w:spacing w:val="24"/>
        </w:rPr>
        <w:t> </w:t>
      </w:r>
      <w:r>
        <w:rPr>
          <w:w w:val="85"/>
        </w:rPr>
        <w:t>FOR</w:t>
      </w:r>
      <w:r>
        <w:rPr>
          <w:spacing w:val="25"/>
        </w:rPr>
        <w:t> </w:t>
      </w:r>
      <w:r>
        <w:rPr>
          <w:w w:val="85"/>
        </w:rPr>
        <w:t>STUDENT</w:t>
      </w:r>
      <w:r>
        <w:rPr>
          <w:spacing w:val="28"/>
        </w:rPr>
        <w:t> </w:t>
      </w:r>
      <w:r>
        <w:rPr>
          <w:spacing w:val="-2"/>
          <w:w w:val="85"/>
        </w:rPr>
        <w:t>APPEAL</w:t>
      </w:r>
    </w:p>
    <w:p>
      <w:pPr>
        <w:pStyle w:val="BodyText"/>
        <w:rPr>
          <w:b/>
          <w:sz w:val="32"/>
        </w:rPr>
      </w:pPr>
    </w:p>
    <w:p>
      <w:pPr>
        <w:pStyle w:val="ListParagraph"/>
        <w:numPr>
          <w:ilvl w:val="0"/>
          <w:numId w:val="74"/>
        </w:numPr>
        <w:tabs>
          <w:tab w:pos="1159" w:val="left" w:leader="none"/>
          <w:tab w:pos="1161" w:val="left" w:leader="none"/>
        </w:tabs>
        <w:spacing w:line="254" w:lineRule="auto" w:before="0" w:after="0"/>
        <w:ind w:left="1165" w:right="912" w:hanging="726"/>
        <w:jc w:val="left"/>
        <w:rPr>
          <w:sz w:val="22"/>
        </w:rPr>
      </w:pPr>
      <w:r>
        <w:rPr>
          <w:spacing w:val="13"/>
          <w:sz w:val="22"/>
        </w:rPr>
        <w:t>Schedule </w:t>
      </w:r>
      <w:r>
        <w:rPr>
          <w:spacing w:val="12"/>
          <w:sz w:val="22"/>
        </w:rPr>
        <w:t>meeting </w:t>
      </w:r>
      <w:r>
        <w:rPr>
          <w:sz w:val="22"/>
        </w:rPr>
        <w:t>with fa</w:t>
      </w:r>
      <w:r>
        <w:rPr>
          <w:spacing w:val="-31"/>
          <w:sz w:val="22"/>
        </w:rPr>
        <w:t> </w:t>
      </w:r>
      <w:r>
        <w:rPr>
          <w:sz w:val="22"/>
        </w:rPr>
        <w:t>culty in </w:t>
      </w:r>
      <w:r>
        <w:rPr>
          <w:spacing w:val="14"/>
          <w:sz w:val="22"/>
        </w:rPr>
        <w:t>charge </w:t>
      </w:r>
      <w:r>
        <w:rPr>
          <w:sz w:val="22"/>
        </w:rPr>
        <w:t>of </w:t>
      </w:r>
      <w:r>
        <w:rPr>
          <w:spacing w:val="9"/>
          <w:sz w:val="22"/>
        </w:rPr>
        <w:t>the </w:t>
      </w:r>
      <w:r>
        <w:rPr>
          <w:sz w:val="22"/>
        </w:rPr>
        <w:t>c</w:t>
      </w:r>
      <w:r>
        <w:rPr>
          <w:spacing w:val="-33"/>
          <w:sz w:val="22"/>
        </w:rPr>
        <w:t> </w:t>
      </w:r>
      <w:r>
        <w:rPr>
          <w:sz w:val="22"/>
        </w:rPr>
        <w:t>ourse</w:t>
      </w:r>
      <w:r>
        <w:rPr>
          <w:spacing w:val="25"/>
          <w:sz w:val="22"/>
        </w:rPr>
        <w:t> </w:t>
      </w:r>
      <w:r>
        <w:rPr>
          <w:sz w:val="22"/>
        </w:rPr>
        <w:t>as </w:t>
      </w:r>
      <w:r>
        <w:rPr>
          <w:spacing w:val="12"/>
          <w:sz w:val="22"/>
        </w:rPr>
        <w:t>soon </w:t>
      </w:r>
      <w:r>
        <w:rPr>
          <w:sz w:val="22"/>
        </w:rPr>
        <w:t>as possible</w:t>
      </w:r>
      <w:r>
        <w:rPr>
          <w:spacing w:val="13"/>
          <w:sz w:val="22"/>
        </w:rPr>
        <w:t> and </w:t>
      </w:r>
      <w:r>
        <w:rPr>
          <w:sz w:val="22"/>
        </w:rPr>
        <w:t>no </w:t>
      </w:r>
      <w:r>
        <w:rPr>
          <w:spacing w:val="12"/>
          <w:sz w:val="22"/>
        </w:rPr>
        <w:t>later than </w:t>
      </w:r>
      <w:r>
        <w:rPr>
          <w:spacing w:val="9"/>
          <w:sz w:val="22"/>
        </w:rPr>
        <w:t>the </w:t>
      </w:r>
      <w:r>
        <w:rPr>
          <w:sz w:val="22"/>
        </w:rPr>
        <w:t>first </w:t>
      </w:r>
      <w:r>
        <w:rPr>
          <w:spacing w:val="10"/>
          <w:sz w:val="22"/>
        </w:rPr>
        <w:t>week </w:t>
      </w:r>
      <w:r>
        <w:rPr>
          <w:sz w:val="22"/>
        </w:rPr>
        <w:t>of classes of </w:t>
      </w:r>
      <w:r>
        <w:rPr>
          <w:spacing w:val="9"/>
          <w:sz w:val="22"/>
        </w:rPr>
        <w:t>the </w:t>
      </w:r>
      <w:r>
        <w:rPr>
          <w:spacing w:val="11"/>
          <w:sz w:val="22"/>
        </w:rPr>
        <w:t>semester </w:t>
      </w:r>
      <w:r>
        <w:rPr>
          <w:spacing w:val="13"/>
          <w:sz w:val="22"/>
        </w:rPr>
        <w:t>that </w:t>
      </w:r>
      <w:r>
        <w:rPr>
          <w:spacing w:val="9"/>
          <w:sz w:val="22"/>
        </w:rPr>
        <w:t>follows </w:t>
      </w:r>
      <w:r>
        <w:rPr>
          <w:spacing w:val="12"/>
          <w:sz w:val="22"/>
        </w:rPr>
        <w:t>when </w:t>
      </w:r>
      <w:r>
        <w:rPr>
          <w:spacing w:val="9"/>
          <w:sz w:val="22"/>
        </w:rPr>
        <w:t>the</w:t>
      </w:r>
    </w:p>
    <w:p>
      <w:pPr>
        <w:spacing w:before="4"/>
        <w:ind w:left="1172" w:right="0" w:firstLine="0"/>
        <w:jc w:val="left"/>
        <w:rPr>
          <w:sz w:val="22"/>
        </w:rPr>
      </w:pPr>
      <w:r>
        <w:rPr>
          <w:sz w:val="22"/>
        </w:rPr>
        <w:t>gra</w:t>
      </w:r>
      <w:r>
        <w:rPr>
          <w:spacing w:val="-33"/>
          <w:sz w:val="22"/>
        </w:rPr>
        <w:t> </w:t>
      </w:r>
      <w:r>
        <w:rPr>
          <w:spacing w:val="11"/>
          <w:sz w:val="22"/>
        </w:rPr>
        <w:t>de</w:t>
      </w:r>
      <w:r>
        <w:rPr>
          <w:spacing w:val="23"/>
          <w:sz w:val="22"/>
        </w:rPr>
        <w:t> </w:t>
      </w:r>
      <w:r>
        <w:rPr>
          <w:spacing w:val="12"/>
          <w:sz w:val="22"/>
        </w:rPr>
        <w:t>was</w:t>
      </w:r>
      <w:r>
        <w:rPr>
          <w:spacing w:val="14"/>
          <w:sz w:val="22"/>
        </w:rPr>
        <w:t> </w:t>
      </w:r>
      <w:r>
        <w:rPr>
          <w:spacing w:val="10"/>
          <w:sz w:val="22"/>
        </w:rPr>
        <w:t>assigned.</w:t>
      </w:r>
      <w:r>
        <w:rPr>
          <w:spacing w:val="-2"/>
          <w:sz w:val="22"/>
        </w:rPr>
        <w:t> </w:t>
      </w:r>
      <w:r>
        <w:rPr>
          <w:sz w:val="22"/>
        </w:rPr>
        <w:t>The</w:t>
      </w:r>
      <w:r>
        <w:rPr>
          <w:spacing w:val="15"/>
          <w:sz w:val="22"/>
        </w:rPr>
        <w:t> </w:t>
      </w:r>
      <w:r>
        <w:rPr>
          <w:sz w:val="22"/>
        </w:rPr>
        <w:t>fa</w:t>
      </w:r>
      <w:r>
        <w:rPr>
          <w:spacing w:val="-30"/>
          <w:sz w:val="22"/>
        </w:rPr>
        <w:t> </w:t>
      </w:r>
      <w:r>
        <w:rPr>
          <w:sz w:val="22"/>
        </w:rPr>
        <w:t>culty</w:t>
      </w:r>
      <w:r>
        <w:rPr>
          <w:spacing w:val="14"/>
          <w:sz w:val="22"/>
        </w:rPr>
        <w:t> </w:t>
      </w:r>
      <w:r>
        <w:rPr>
          <w:spacing w:val="16"/>
          <w:sz w:val="22"/>
        </w:rPr>
        <w:t>member</w:t>
      </w:r>
      <w:r>
        <w:rPr>
          <w:spacing w:val="13"/>
          <w:sz w:val="22"/>
        </w:rPr>
        <w:t> </w:t>
      </w:r>
      <w:r>
        <w:rPr>
          <w:sz w:val="22"/>
        </w:rPr>
        <w:t>will</w:t>
      </w:r>
      <w:r>
        <w:rPr>
          <w:spacing w:val="4"/>
          <w:sz w:val="22"/>
        </w:rPr>
        <w:t> </w:t>
      </w:r>
      <w:r>
        <w:rPr>
          <w:spacing w:val="13"/>
          <w:sz w:val="22"/>
        </w:rPr>
        <w:t>have</w:t>
      </w:r>
      <w:r>
        <w:rPr>
          <w:spacing w:val="18"/>
          <w:sz w:val="22"/>
        </w:rPr>
        <w:t> </w:t>
      </w:r>
      <w:r>
        <w:rPr>
          <w:spacing w:val="9"/>
          <w:sz w:val="22"/>
        </w:rPr>
        <w:t>the</w:t>
      </w:r>
      <w:r>
        <w:rPr>
          <w:spacing w:val="10"/>
          <w:sz w:val="22"/>
        </w:rPr>
        <w:t> </w:t>
      </w:r>
      <w:r>
        <w:rPr>
          <w:sz w:val="22"/>
        </w:rPr>
        <w:t>responsibility</w:t>
      </w:r>
      <w:r>
        <w:rPr>
          <w:spacing w:val="9"/>
          <w:sz w:val="22"/>
        </w:rPr>
        <w:t> </w:t>
      </w:r>
      <w:r>
        <w:rPr>
          <w:spacing w:val="-5"/>
          <w:sz w:val="22"/>
        </w:rPr>
        <w:t>to</w:t>
      </w:r>
    </w:p>
    <w:p>
      <w:pPr>
        <w:spacing w:line="254" w:lineRule="auto" w:before="15"/>
        <w:ind w:left="1170" w:right="1003" w:firstLine="3"/>
        <w:jc w:val="left"/>
        <w:rPr>
          <w:sz w:val="22"/>
        </w:rPr>
      </w:pPr>
      <w:r>
        <w:rPr>
          <w:spacing w:val="17"/>
          <w:sz w:val="22"/>
        </w:rPr>
        <w:t>document</w:t>
      </w:r>
      <w:r>
        <w:rPr>
          <w:spacing w:val="10"/>
          <w:sz w:val="22"/>
        </w:rPr>
        <w:t> </w:t>
      </w:r>
      <w:r>
        <w:rPr>
          <w:sz w:val="22"/>
        </w:rPr>
        <w:t>in writing </w:t>
      </w:r>
      <w:r>
        <w:rPr>
          <w:spacing w:val="12"/>
          <w:sz w:val="22"/>
        </w:rPr>
        <w:t>that</w:t>
      </w:r>
      <w:r>
        <w:rPr>
          <w:spacing w:val="10"/>
          <w:sz w:val="22"/>
        </w:rPr>
        <w:t> </w:t>
      </w:r>
      <w:r>
        <w:rPr>
          <w:spacing w:val="12"/>
          <w:sz w:val="22"/>
        </w:rPr>
        <w:t>such meeting took </w:t>
      </w:r>
      <w:r>
        <w:rPr>
          <w:spacing w:val="9"/>
          <w:sz w:val="22"/>
        </w:rPr>
        <w:t>pla</w:t>
      </w:r>
      <w:r>
        <w:rPr>
          <w:spacing w:val="-31"/>
          <w:sz w:val="22"/>
        </w:rPr>
        <w:t> </w:t>
      </w:r>
      <w:r>
        <w:rPr>
          <w:spacing w:val="11"/>
          <w:sz w:val="22"/>
        </w:rPr>
        <w:t>ce, </w:t>
      </w:r>
      <w:r>
        <w:rPr>
          <w:spacing w:val="13"/>
          <w:sz w:val="22"/>
        </w:rPr>
        <w:t>and </w:t>
      </w:r>
      <w:r>
        <w:rPr>
          <w:spacing w:val="12"/>
          <w:sz w:val="22"/>
        </w:rPr>
        <w:t>state </w:t>
      </w:r>
      <w:r>
        <w:rPr>
          <w:sz w:val="22"/>
        </w:rPr>
        <w:t>resolution or la</w:t>
      </w:r>
      <w:r>
        <w:rPr>
          <w:spacing w:val="-31"/>
          <w:sz w:val="22"/>
        </w:rPr>
        <w:t> </w:t>
      </w:r>
      <w:r>
        <w:rPr>
          <w:sz w:val="22"/>
        </w:rPr>
        <w:t>ck of, </w:t>
      </w:r>
      <w:r>
        <w:rPr>
          <w:spacing w:val="13"/>
          <w:sz w:val="22"/>
        </w:rPr>
        <w:t>and </w:t>
      </w:r>
      <w:r>
        <w:rPr>
          <w:sz w:val="22"/>
        </w:rPr>
        <w:t>will </w:t>
      </w:r>
      <w:r>
        <w:rPr>
          <w:spacing w:val="11"/>
          <w:sz w:val="22"/>
        </w:rPr>
        <w:t>provide </w:t>
      </w:r>
      <w:r>
        <w:rPr>
          <w:sz w:val="22"/>
        </w:rPr>
        <w:t>a</w:t>
      </w:r>
      <w:r>
        <w:rPr>
          <w:spacing w:val="16"/>
          <w:sz w:val="22"/>
        </w:rPr>
        <w:t> copy </w:t>
      </w:r>
      <w:r>
        <w:rPr>
          <w:sz w:val="22"/>
        </w:rPr>
        <w:t>to</w:t>
      </w:r>
      <w:r>
        <w:rPr>
          <w:spacing w:val="9"/>
          <w:sz w:val="22"/>
        </w:rPr>
        <w:t> the Chair </w:t>
      </w:r>
      <w:r>
        <w:rPr>
          <w:sz w:val="22"/>
        </w:rPr>
        <w:t>of </w:t>
      </w:r>
      <w:r>
        <w:rPr>
          <w:spacing w:val="9"/>
          <w:sz w:val="22"/>
        </w:rPr>
        <w:t>the </w:t>
      </w:r>
      <w:r>
        <w:rPr>
          <w:spacing w:val="11"/>
          <w:sz w:val="22"/>
        </w:rPr>
        <w:t>Dep</w:t>
      </w:r>
      <w:r>
        <w:rPr>
          <w:spacing w:val="-27"/>
          <w:sz w:val="22"/>
        </w:rPr>
        <w:t> </w:t>
      </w:r>
      <w:r>
        <w:rPr>
          <w:spacing w:val="11"/>
          <w:sz w:val="22"/>
        </w:rPr>
        <w:t>artment.</w:t>
      </w:r>
    </w:p>
    <w:p>
      <w:pPr>
        <w:pStyle w:val="ListParagraph"/>
        <w:numPr>
          <w:ilvl w:val="0"/>
          <w:numId w:val="74"/>
        </w:numPr>
        <w:tabs>
          <w:tab w:pos="1159" w:val="left" w:leader="none"/>
          <w:tab w:pos="1161" w:val="left" w:leader="none"/>
        </w:tabs>
        <w:spacing w:line="240" w:lineRule="auto" w:before="4" w:after="0"/>
        <w:ind w:left="1160" w:right="0" w:hanging="721"/>
        <w:jc w:val="left"/>
        <w:rPr>
          <w:sz w:val="22"/>
        </w:rPr>
      </w:pPr>
      <w:r>
        <w:rPr>
          <w:sz w:val="22"/>
        </w:rPr>
        <w:t>If</w:t>
      </w:r>
      <w:r>
        <w:rPr>
          <w:spacing w:val="-3"/>
          <w:sz w:val="22"/>
        </w:rPr>
        <w:t> </w:t>
      </w:r>
      <w:r>
        <w:rPr>
          <w:spacing w:val="12"/>
          <w:sz w:val="22"/>
        </w:rPr>
        <w:t>matter</w:t>
      </w:r>
      <w:r>
        <w:rPr>
          <w:spacing w:val="-11"/>
          <w:sz w:val="22"/>
        </w:rPr>
        <w:t> </w:t>
      </w:r>
      <w:r>
        <w:rPr>
          <w:sz w:val="22"/>
        </w:rPr>
        <w:t>is</w:t>
      </w:r>
      <w:r>
        <w:rPr>
          <w:spacing w:val="-6"/>
          <w:sz w:val="22"/>
        </w:rPr>
        <w:t> </w:t>
      </w:r>
      <w:r>
        <w:rPr>
          <w:spacing w:val="11"/>
          <w:sz w:val="22"/>
        </w:rPr>
        <w:t>not</w:t>
      </w:r>
      <w:r>
        <w:rPr>
          <w:spacing w:val="-6"/>
          <w:sz w:val="22"/>
        </w:rPr>
        <w:t> </w:t>
      </w:r>
      <w:r>
        <w:rPr>
          <w:spacing w:val="10"/>
          <w:sz w:val="22"/>
        </w:rPr>
        <w:t>resolved</w:t>
      </w:r>
      <w:r>
        <w:rPr>
          <w:spacing w:val="6"/>
          <w:sz w:val="22"/>
        </w:rPr>
        <w:t> </w:t>
      </w:r>
      <w:r>
        <w:rPr>
          <w:spacing w:val="11"/>
          <w:sz w:val="22"/>
        </w:rPr>
        <w:t>the</w:t>
      </w:r>
      <w:r>
        <w:rPr>
          <w:spacing w:val="-3"/>
          <w:sz w:val="22"/>
        </w:rPr>
        <w:t> </w:t>
      </w:r>
      <w:r>
        <w:rPr>
          <w:spacing w:val="13"/>
          <w:sz w:val="22"/>
        </w:rPr>
        <w:t>student</w:t>
      </w:r>
      <w:r>
        <w:rPr>
          <w:spacing w:val="8"/>
          <w:sz w:val="22"/>
        </w:rPr>
        <w:t> </w:t>
      </w:r>
      <w:r>
        <w:rPr>
          <w:sz w:val="22"/>
        </w:rPr>
        <w:t>c</w:t>
      </w:r>
      <w:r>
        <w:rPr>
          <w:spacing w:val="-33"/>
          <w:sz w:val="22"/>
        </w:rPr>
        <w:t> </w:t>
      </w:r>
      <w:r>
        <w:rPr>
          <w:spacing w:val="10"/>
          <w:sz w:val="22"/>
        </w:rPr>
        <w:t>an</w:t>
      </w:r>
      <w:r>
        <w:rPr>
          <w:spacing w:val="-7"/>
          <w:sz w:val="22"/>
        </w:rPr>
        <w:t> </w:t>
      </w:r>
      <w:r>
        <w:rPr>
          <w:spacing w:val="10"/>
          <w:sz w:val="22"/>
        </w:rPr>
        <w:t>submit</w:t>
      </w:r>
      <w:r>
        <w:rPr>
          <w:spacing w:val="6"/>
          <w:sz w:val="22"/>
        </w:rPr>
        <w:t> </w:t>
      </w:r>
      <w:r>
        <w:rPr>
          <w:sz w:val="22"/>
        </w:rPr>
        <w:t>a</w:t>
      </w:r>
      <w:r>
        <w:rPr>
          <w:spacing w:val="11"/>
          <w:sz w:val="22"/>
        </w:rPr>
        <w:t> </w:t>
      </w:r>
      <w:r>
        <w:rPr>
          <w:spacing w:val="9"/>
          <w:sz w:val="22"/>
        </w:rPr>
        <w:t>written</w:t>
      </w:r>
      <w:r>
        <w:rPr>
          <w:spacing w:val="-8"/>
          <w:sz w:val="22"/>
        </w:rPr>
        <w:t> </w:t>
      </w:r>
      <w:r>
        <w:rPr>
          <w:spacing w:val="11"/>
          <w:sz w:val="22"/>
        </w:rPr>
        <w:t>request</w:t>
      </w:r>
      <w:r>
        <w:rPr>
          <w:sz w:val="22"/>
        </w:rPr>
        <w:t> to</w:t>
      </w:r>
      <w:r>
        <w:rPr>
          <w:spacing w:val="-3"/>
          <w:sz w:val="22"/>
        </w:rPr>
        <w:t> </w:t>
      </w:r>
      <w:r>
        <w:rPr>
          <w:spacing w:val="13"/>
          <w:sz w:val="22"/>
        </w:rPr>
        <w:t>schedule</w:t>
      </w:r>
      <w:r>
        <w:rPr>
          <w:spacing w:val="9"/>
          <w:sz w:val="22"/>
        </w:rPr>
        <w:t> </w:t>
      </w:r>
      <w:r>
        <w:rPr>
          <w:spacing w:val="-10"/>
          <w:sz w:val="22"/>
        </w:rPr>
        <w:t>a</w:t>
      </w:r>
    </w:p>
    <w:p>
      <w:pPr>
        <w:spacing w:line="254" w:lineRule="auto" w:before="16"/>
        <w:ind w:left="1160" w:right="642" w:firstLine="11"/>
        <w:jc w:val="left"/>
        <w:rPr>
          <w:sz w:val="22"/>
        </w:rPr>
      </w:pPr>
      <w:r>
        <w:rPr>
          <w:spacing w:val="12"/>
          <w:sz w:val="22"/>
        </w:rPr>
        <w:t>meeting </w:t>
      </w:r>
      <w:r>
        <w:rPr>
          <w:sz w:val="22"/>
        </w:rPr>
        <w:t>with </w:t>
      </w:r>
      <w:r>
        <w:rPr>
          <w:spacing w:val="14"/>
          <w:sz w:val="22"/>
        </w:rPr>
        <w:t>Department </w:t>
      </w:r>
      <w:r>
        <w:rPr>
          <w:sz w:val="22"/>
        </w:rPr>
        <w:t>Chair.</w:t>
      </w:r>
      <w:r>
        <w:rPr>
          <w:spacing w:val="-2"/>
          <w:sz w:val="22"/>
        </w:rPr>
        <w:t> </w:t>
      </w:r>
      <w:r>
        <w:rPr>
          <w:sz w:val="22"/>
        </w:rPr>
        <w:t>Prior to </w:t>
      </w:r>
      <w:r>
        <w:rPr>
          <w:spacing w:val="12"/>
          <w:sz w:val="22"/>
        </w:rPr>
        <w:t>meeting </w:t>
      </w:r>
      <w:r>
        <w:rPr>
          <w:spacing w:val="9"/>
          <w:sz w:val="22"/>
        </w:rPr>
        <w:t>the </w:t>
      </w:r>
      <w:r>
        <w:rPr>
          <w:spacing w:val="12"/>
          <w:sz w:val="22"/>
        </w:rPr>
        <w:t>student </w:t>
      </w:r>
      <w:r>
        <w:rPr>
          <w:sz w:val="22"/>
        </w:rPr>
        <w:t>must </w:t>
      </w:r>
      <w:r>
        <w:rPr>
          <w:spacing w:val="11"/>
          <w:sz w:val="22"/>
        </w:rPr>
        <w:t>submit </w:t>
      </w:r>
      <w:r>
        <w:rPr>
          <w:sz w:val="22"/>
        </w:rPr>
        <w:t>a </w:t>
      </w:r>
      <w:r>
        <w:rPr>
          <w:spacing w:val="9"/>
          <w:sz w:val="22"/>
        </w:rPr>
        <w:t>letter </w:t>
      </w:r>
      <w:r>
        <w:rPr>
          <w:spacing w:val="10"/>
          <w:sz w:val="22"/>
        </w:rPr>
        <w:t>indic</w:t>
      </w:r>
      <w:r>
        <w:rPr>
          <w:spacing w:val="-24"/>
          <w:sz w:val="22"/>
        </w:rPr>
        <w:t> </w:t>
      </w:r>
      <w:r>
        <w:rPr>
          <w:spacing w:val="10"/>
          <w:sz w:val="22"/>
        </w:rPr>
        <w:t>ating</w:t>
      </w:r>
      <w:r>
        <w:rPr>
          <w:spacing w:val="40"/>
          <w:sz w:val="22"/>
        </w:rPr>
        <w:t> </w:t>
      </w:r>
      <w:r>
        <w:rPr>
          <w:spacing w:val="12"/>
          <w:sz w:val="22"/>
        </w:rPr>
        <w:t>outc</w:t>
      </w:r>
      <w:r>
        <w:rPr>
          <w:spacing w:val="-24"/>
          <w:sz w:val="22"/>
        </w:rPr>
        <w:t> </w:t>
      </w:r>
      <w:r>
        <w:rPr>
          <w:spacing w:val="13"/>
          <w:sz w:val="22"/>
        </w:rPr>
        <w:t>ome </w:t>
      </w:r>
      <w:r>
        <w:rPr>
          <w:sz w:val="22"/>
        </w:rPr>
        <w:t>of</w:t>
      </w:r>
      <w:r>
        <w:rPr>
          <w:spacing w:val="11"/>
          <w:sz w:val="22"/>
        </w:rPr>
        <w:t> meeting</w:t>
      </w:r>
      <w:r>
        <w:rPr>
          <w:spacing w:val="40"/>
          <w:sz w:val="22"/>
        </w:rPr>
        <w:t> </w:t>
      </w:r>
      <w:r>
        <w:rPr>
          <w:sz w:val="22"/>
        </w:rPr>
        <w:t>with instructor,</w:t>
      </w:r>
      <w:r>
        <w:rPr>
          <w:spacing w:val="13"/>
          <w:sz w:val="22"/>
        </w:rPr>
        <w:t> and</w:t>
      </w:r>
      <w:r>
        <w:rPr>
          <w:spacing w:val="40"/>
          <w:sz w:val="22"/>
        </w:rPr>
        <w:t> </w:t>
      </w:r>
      <w:r>
        <w:rPr>
          <w:spacing w:val="10"/>
          <w:sz w:val="22"/>
        </w:rPr>
        <w:t>explain </w:t>
      </w:r>
      <w:r>
        <w:rPr>
          <w:spacing w:val="11"/>
          <w:sz w:val="22"/>
        </w:rPr>
        <w:t>rationale </w:t>
      </w:r>
      <w:r>
        <w:rPr>
          <w:sz w:val="22"/>
        </w:rPr>
        <w:t>for</w:t>
      </w:r>
      <w:r>
        <w:rPr>
          <w:spacing w:val="36"/>
          <w:sz w:val="22"/>
        </w:rPr>
        <w:t> </w:t>
      </w:r>
      <w:r>
        <w:rPr>
          <w:sz w:val="22"/>
        </w:rPr>
        <w:t>gra</w:t>
      </w:r>
      <w:r>
        <w:rPr>
          <w:spacing w:val="-24"/>
          <w:sz w:val="22"/>
        </w:rPr>
        <w:t> </w:t>
      </w:r>
      <w:r>
        <w:rPr>
          <w:spacing w:val="11"/>
          <w:sz w:val="22"/>
        </w:rPr>
        <w:t>de</w:t>
      </w:r>
    </w:p>
    <w:p>
      <w:pPr>
        <w:spacing w:before="3"/>
        <w:ind w:left="1160" w:right="0" w:firstLine="0"/>
        <w:jc w:val="left"/>
        <w:rPr>
          <w:sz w:val="22"/>
        </w:rPr>
      </w:pPr>
      <w:r>
        <w:rPr>
          <w:spacing w:val="11"/>
          <w:w w:val="95"/>
          <w:sz w:val="22"/>
        </w:rPr>
        <w:t>rec</w:t>
      </w:r>
      <w:r>
        <w:rPr>
          <w:spacing w:val="-23"/>
          <w:w w:val="95"/>
          <w:sz w:val="22"/>
        </w:rPr>
        <w:t> </w:t>
      </w:r>
      <w:r>
        <w:rPr>
          <w:spacing w:val="10"/>
          <w:w w:val="95"/>
          <w:sz w:val="22"/>
        </w:rPr>
        <w:t>onsideration.</w:t>
      </w:r>
      <w:r>
        <w:rPr>
          <w:spacing w:val="13"/>
          <w:sz w:val="22"/>
        </w:rPr>
        <w:t> </w:t>
      </w:r>
      <w:r>
        <w:rPr>
          <w:w w:val="95"/>
          <w:sz w:val="22"/>
        </w:rPr>
        <w:t>This</w:t>
      </w:r>
      <w:r>
        <w:rPr>
          <w:spacing w:val="35"/>
          <w:sz w:val="22"/>
        </w:rPr>
        <w:t> </w:t>
      </w:r>
      <w:r>
        <w:rPr>
          <w:w w:val="95"/>
          <w:sz w:val="22"/>
        </w:rPr>
        <w:t>c</w:t>
      </w:r>
      <w:r>
        <w:rPr>
          <w:spacing w:val="-22"/>
          <w:w w:val="95"/>
          <w:sz w:val="22"/>
        </w:rPr>
        <w:t> </w:t>
      </w:r>
      <w:r>
        <w:rPr>
          <w:spacing w:val="10"/>
          <w:w w:val="95"/>
          <w:sz w:val="22"/>
        </w:rPr>
        <w:t>an</w:t>
      </w:r>
      <w:r>
        <w:rPr>
          <w:spacing w:val="21"/>
          <w:sz w:val="22"/>
        </w:rPr>
        <w:t> </w:t>
      </w:r>
      <w:r>
        <w:rPr>
          <w:spacing w:val="13"/>
          <w:w w:val="95"/>
          <w:sz w:val="22"/>
        </w:rPr>
        <w:t>include</w:t>
      </w:r>
      <w:r>
        <w:rPr>
          <w:spacing w:val="45"/>
          <w:sz w:val="22"/>
        </w:rPr>
        <w:t> </w:t>
      </w:r>
      <w:r>
        <w:rPr>
          <w:spacing w:val="11"/>
          <w:w w:val="95"/>
          <w:sz w:val="22"/>
        </w:rPr>
        <w:t>allegations</w:t>
      </w:r>
      <w:r>
        <w:rPr>
          <w:spacing w:val="29"/>
          <w:sz w:val="22"/>
        </w:rPr>
        <w:t> </w:t>
      </w:r>
      <w:r>
        <w:rPr>
          <w:w w:val="95"/>
          <w:sz w:val="22"/>
        </w:rPr>
        <w:t>of</w:t>
      </w:r>
      <w:r>
        <w:rPr>
          <w:spacing w:val="41"/>
          <w:sz w:val="22"/>
        </w:rPr>
        <w:t> </w:t>
      </w:r>
      <w:r>
        <w:rPr>
          <w:w w:val="95"/>
          <w:sz w:val="22"/>
        </w:rPr>
        <w:t>c</w:t>
      </w:r>
      <w:r>
        <w:rPr>
          <w:spacing w:val="-19"/>
          <w:w w:val="95"/>
          <w:sz w:val="22"/>
        </w:rPr>
        <w:t> </w:t>
      </w:r>
      <w:r>
        <w:rPr>
          <w:w w:val="95"/>
          <w:sz w:val="22"/>
        </w:rPr>
        <w:t>a</w:t>
      </w:r>
      <w:r>
        <w:rPr>
          <w:spacing w:val="-22"/>
          <w:w w:val="95"/>
          <w:sz w:val="22"/>
        </w:rPr>
        <w:t> </w:t>
      </w:r>
      <w:r>
        <w:rPr>
          <w:w w:val="95"/>
          <w:sz w:val="22"/>
        </w:rPr>
        <w:t>pricious,</w:t>
      </w:r>
      <w:r>
        <w:rPr>
          <w:spacing w:val="30"/>
          <w:sz w:val="22"/>
        </w:rPr>
        <w:t> </w:t>
      </w:r>
      <w:r>
        <w:rPr>
          <w:spacing w:val="-2"/>
          <w:w w:val="95"/>
          <w:sz w:val="22"/>
        </w:rPr>
        <w:t>arbitrary,</w:t>
      </w:r>
    </w:p>
    <w:p>
      <w:pPr>
        <w:spacing w:line="256" w:lineRule="auto" w:before="16"/>
        <w:ind w:left="1172" w:right="642" w:firstLine="2"/>
        <w:jc w:val="left"/>
        <w:rPr>
          <w:sz w:val="22"/>
        </w:rPr>
      </w:pPr>
      <w:r>
        <w:rPr>
          <w:spacing w:val="10"/>
          <w:sz w:val="22"/>
        </w:rPr>
        <w:t>discriminatory</w:t>
      </w:r>
      <w:r>
        <w:rPr>
          <w:spacing w:val="-2"/>
          <w:sz w:val="22"/>
        </w:rPr>
        <w:t> </w:t>
      </w:r>
      <w:r>
        <w:rPr>
          <w:sz w:val="22"/>
        </w:rPr>
        <w:t>a</w:t>
      </w:r>
      <w:r>
        <w:rPr>
          <w:spacing w:val="-33"/>
          <w:sz w:val="22"/>
        </w:rPr>
        <w:t> </w:t>
      </w:r>
      <w:r>
        <w:rPr>
          <w:sz w:val="22"/>
        </w:rPr>
        <w:t>ctions,</w:t>
      </w:r>
      <w:r>
        <w:rPr>
          <w:spacing w:val="-2"/>
          <w:sz w:val="22"/>
        </w:rPr>
        <w:t> </w:t>
      </w:r>
      <w:r>
        <w:rPr>
          <w:sz w:val="22"/>
        </w:rPr>
        <w:t>or </w:t>
      </w:r>
      <w:r>
        <w:rPr>
          <w:spacing w:val="11"/>
          <w:sz w:val="22"/>
        </w:rPr>
        <w:t>extenuating </w:t>
      </w:r>
      <w:r>
        <w:rPr>
          <w:spacing w:val="13"/>
          <w:sz w:val="22"/>
        </w:rPr>
        <w:t>circumstances</w:t>
      </w:r>
      <w:r>
        <w:rPr>
          <w:spacing w:val="3"/>
          <w:sz w:val="22"/>
        </w:rPr>
        <w:t> </w:t>
      </w:r>
      <w:r>
        <w:rPr>
          <w:sz w:val="22"/>
        </w:rPr>
        <w:t>a</w:t>
      </w:r>
      <w:r>
        <w:rPr>
          <w:spacing w:val="-33"/>
          <w:sz w:val="22"/>
        </w:rPr>
        <w:t> </w:t>
      </w:r>
      <w:r>
        <w:rPr>
          <w:spacing w:val="12"/>
          <w:sz w:val="22"/>
        </w:rPr>
        <w:t>bout</w:t>
      </w:r>
      <w:r>
        <w:rPr>
          <w:spacing w:val="6"/>
          <w:sz w:val="22"/>
        </w:rPr>
        <w:t> </w:t>
      </w:r>
      <w:r>
        <w:rPr>
          <w:spacing w:val="11"/>
          <w:sz w:val="22"/>
        </w:rPr>
        <w:t>which</w:t>
      </w:r>
      <w:r>
        <w:rPr>
          <w:spacing w:val="1"/>
          <w:sz w:val="22"/>
        </w:rPr>
        <w:t> </w:t>
      </w:r>
      <w:r>
        <w:rPr>
          <w:spacing w:val="9"/>
          <w:sz w:val="22"/>
        </w:rPr>
        <w:t>the</w:t>
      </w:r>
      <w:r>
        <w:rPr>
          <w:spacing w:val="-1"/>
          <w:sz w:val="22"/>
        </w:rPr>
        <w:t> </w:t>
      </w:r>
      <w:r>
        <w:rPr>
          <w:spacing w:val="9"/>
          <w:sz w:val="22"/>
        </w:rPr>
        <w:t>instructor </w:t>
      </w:r>
      <w:r>
        <w:rPr>
          <w:spacing w:val="12"/>
          <w:sz w:val="22"/>
        </w:rPr>
        <w:t>was </w:t>
      </w:r>
      <w:r>
        <w:rPr>
          <w:spacing w:val="11"/>
          <w:sz w:val="22"/>
        </w:rPr>
        <w:t>not </w:t>
      </w:r>
      <w:r>
        <w:rPr>
          <w:spacing w:val="15"/>
          <w:sz w:val="22"/>
        </w:rPr>
        <w:t>aware </w:t>
      </w:r>
      <w:r>
        <w:rPr>
          <w:sz w:val="22"/>
        </w:rPr>
        <w:t>of, </w:t>
      </w:r>
      <w:r>
        <w:rPr>
          <w:spacing w:val="11"/>
          <w:sz w:val="22"/>
        </w:rPr>
        <w:t>excluding </w:t>
      </w:r>
      <w:r>
        <w:rPr>
          <w:sz w:val="22"/>
        </w:rPr>
        <w:t>illness. The </w:t>
      </w:r>
      <w:r>
        <w:rPr>
          <w:spacing w:val="9"/>
          <w:sz w:val="22"/>
        </w:rPr>
        <w:t>Chair </w:t>
      </w:r>
      <w:r>
        <w:rPr>
          <w:sz w:val="22"/>
        </w:rPr>
        <w:t>will </w:t>
      </w:r>
      <w:r>
        <w:rPr>
          <w:spacing w:val="12"/>
          <w:sz w:val="22"/>
        </w:rPr>
        <w:t>make </w:t>
      </w:r>
      <w:r>
        <w:rPr>
          <w:sz w:val="22"/>
        </w:rPr>
        <w:t>efforts to </w:t>
      </w:r>
      <w:r>
        <w:rPr>
          <w:spacing w:val="15"/>
          <w:sz w:val="22"/>
        </w:rPr>
        <w:t>mediate</w:t>
      </w:r>
    </w:p>
    <w:p>
      <w:pPr>
        <w:spacing w:line="254" w:lineRule="auto" w:before="0"/>
        <w:ind w:left="1166" w:right="1003" w:hanging="7"/>
        <w:jc w:val="left"/>
        <w:rPr>
          <w:sz w:val="22"/>
        </w:rPr>
      </w:pPr>
      <w:r>
        <w:rPr>
          <w:spacing w:val="10"/>
          <w:sz w:val="22"/>
        </w:rPr>
        <w:t>situation </w:t>
      </w:r>
      <w:r>
        <w:rPr>
          <w:spacing w:val="12"/>
          <w:sz w:val="22"/>
        </w:rPr>
        <w:t>and </w:t>
      </w:r>
      <w:r>
        <w:rPr>
          <w:spacing w:val="11"/>
          <w:sz w:val="22"/>
        </w:rPr>
        <w:t>rea</w:t>
      </w:r>
      <w:r>
        <w:rPr>
          <w:spacing w:val="-32"/>
          <w:sz w:val="22"/>
        </w:rPr>
        <w:t> </w:t>
      </w:r>
      <w:r>
        <w:rPr>
          <w:spacing w:val="11"/>
          <w:sz w:val="22"/>
        </w:rPr>
        <w:t>ch </w:t>
      </w:r>
      <w:r>
        <w:rPr>
          <w:sz w:val="22"/>
        </w:rPr>
        <w:t>fair a</w:t>
      </w:r>
      <w:r>
        <w:rPr>
          <w:spacing w:val="-30"/>
          <w:sz w:val="22"/>
        </w:rPr>
        <w:t> </w:t>
      </w:r>
      <w:r>
        <w:rPr>
          <w:sz w:val="22"/>
        </w:rPr>
        <w:t>c</w:t>
      </w:r>
      <w:r>
        <w:rPr>
          <w:spacing w:val="-29"/>
          <w:sz w:val="22"/>
        </w:rPr>
        <w:t> </w:t>
      </w:r>
      <w:r>
        <w:rPr>
          <w:sz w:val="22"/>
        </w:rPr>
        <w:t>c</w:t>
      </w:r>
      <w:r>
        <w:rPr>
          <w:spacing w:val="-33"/>
          <w:sz w:val="22"/>
        </w:rPr>
        <w:t> </w:t>
      </w:r>
      <w:r>
        <w:rPr>
          <w:spacing w:val="14"/>
          <w:sz w:val="22"/>
        </w:rPr>
        <w:t>eptable</w:t>
      </w:r>
      <w:r>
        <w:rPr>
          <w:spacing w:val="12"/>
          <w:sz w:val="22"/>
        </w:rPr>
        <w:t> </w:t>
      </w:r>
      <w:r>
        <w:rPr>
          <w:sz w:val="22"/>
        </w:rPr>
        <w:t>resolution. The </w:t>
      </w:r>
      <w:r>
        <w:rPr>
          <w:spacing w:val="10"/>
          <w:sz w:val="22"/>
        </w:rPr>
        <w:t>Chair </w:t>
      </w:r>
      <w:r>
        <w:rPr>
          <w:sz w:val="22"/>
        </w:rPr>
        <w:t>will </w:t>
      </w:r>
      <w:r>
        <w:rPr>
          <w:spacing w:val="12"/>
          <w:sz w:val="22"/>
        </w:rPr>
        <w:t>report</w:t>
      </w:r>
      <w:r>
        <w:rPr>
          <w:spacing w:val="8"/>
          <w:sz w:val="22"/>
        </w:rPr>
        <w:t> </w:t>
      </w:r>
      <w:r>
        <w:rPr>
          <w:sz w:val="22"/>
        </w:rPr>
        <w:t>in writing to </w:t>
      </w:r>
      <w:r>
        <w:rPr>
          <w:spacing w:val="9"/>
          <w:sz w:val="22"/>
        </w:rPr>
        <w:t>the </w:t>
      </w:r>
      <w:r>
        <w:rPr>
          <w:spacing w:val="12"/>
          <w:sz w:val="22"/>
        </w:rPr>
        <w:t>Dean,</w:t>
      </w:r>
      <w:r>
        <w:rPr>
          <w:spacing w:val="5"/>
          <w:sz w:val="22"/>
        </w:rPr>
        <w:t> </w:t>
      </w:r>
      <w:r>
        <w:rPr>
          <w:spacing w:val="9"/>
          <w:sz w:val="22"/>
        </w:rPr>
        <w:t>instructor </w:t>
      </w:r>
      <w:r>
        <w:rPr>
          <w:spacing w:val="12"/>
          <w:sz w:val="22"/>
        </w:rPr>
        <w:t>and </w:t>
      </w:r>
      <w:r>
        <w:rPr>
          <w:spacing w:val="13"/>
          <w:sz w:val="22"/>
        </w:rPr>
        <w:t>student </w:t>
      </w:r>
      <w:r>
        <w:rPr>
          <w:sz w:val="22"/>
        </w:rPr>
        <w:t>as to </w:t>
      </w:r>
      <w:r>
        <w:rPr>
          <w:spacing w:val="9"/>
          <w:sz w:val="22"/>
        </w:rPr>
        <w:t>the </w:t>
      </w:r>
      <w:r>
        <w:rPr>
          <w:spacing w:val="11"/>
          <w:sz w:val="22"/>
        </w:rPr>
        <w:t>decision </w:t>
      </w:r>
      <w:r>
        <w:rPr>
          <w:spacing w:val="10"/>
          <w:sz w:val="22"/>
        </w:rPr>
        <w:t>taken.</w:t>
      </w:r>
    </w:p>
    <w:p>
      <w:pPr>
        <w:pStyle w:val="ListParagraph"/>
        <w:numPr>
          <w:ilvl w:val="0"/>
          <w:numId w:val="74"/>
        </w:numPr>
        <w:tabs>
          <w:tab w:pos="1161" w:val="left" w:leader="none"/>
        </w:tabs>
        <w:spacing w:line="256" w:lineRule="auto" w:before="2" w:after="0"/>
        <w:ind w:left="1172" w:right="1049" w:hanging="733"/>
        <w:jc w:val="both"/>
        <w:rPr>
          <w:sz w:val="22"/>
        </w:rPr>
      </w:pPr>
      <w:r>
        <w:rPr>
          <w:sz w:val="22"/>
        </w:rPr>
        <w:t>If</w:t>
      </w:r>
      <w:r>
        <w:rPr>
          <w:spacing w:val="-16"/>
          <w:sz w:val="22"/>
        </w:rPr>
        <w:t> </w:t>
      </w:r>
      <w:r>
        <w:rPr>
          <w:sz w:val="22"/>
        </w:rPr>
        <w:t>the </w:t>
      </w:r>
      <w:r>
        <w:rPr>
          <w:spacing w:val="9"/>
          <w:sz w:val="22"/>
        </w:rPr>
        <w:t>Chair</w:t>
      </w:r>
      <w:r>
        <w:rPr>
          <w:spacing w:val="-4"/>
          <w:sz w:val="22"/>
        </w:rPr>
        <w:t> </w:t>
      </w:r>
      <w:r>
        <w:rPr>
          <w:sz w:val="22"/>
        </w:rPr>
        <w:t>is </w:t>
      </w:r>
      <w:r>
        <w:rPr>
          <w:spacing w:val="9"/>
          <w:sz w:val="22"/>
        </w:rPr>
        <w:t>the </w:t>
      </w:r>
      <w:r>
        <w:rPr>
          <w:sz w:val="22"/>
        </w:rPr>
        <w:t>fa</w:t>
      </w:r>
      <w:r>
        <w:rPr>
          <w:spacing w:val="-16"/>
          <w:sz w:val="22"/>
        </w:rPr>
        <w:t> </w:t>
      </w:r>
      <w:r>
        <w:rPr>
          <w:sz w:val="22"/>
        </w:rPr>
        <w:t>culty in </w:t>
      </w:r>
      <w:r>
        <w:rPr>
          <w:spacing w:val="15"/>
          <w:sz w:val="22"/>
        </w:rPr>
        <w:t>charge </w:t>
      </w:r>
      <w:r>
        <w:rPr>
          <w:sz w:val="22"/>
        </w:rPr>
        <w:t>of </w:t>
      </w:r>
      <w:r>
        <w:rPr>
          <w:spacing w:val="9"/>
          <w:sz w:val="22"/>
        </w:rPr>
        <w:t>the </w:t>
      </w:r>
      <w:r>
        <w:rPr>
          <w:sz w:val="22"/>
        </w:rPr>
        <w:t>c</w:t>
      </w:r>
      <w:r>
        <w:rPr>
          <w:spacing w:val="-16"/>
          <w:sz w:val="22"/>
        </w:rPr>
        <w:t> </w:t>
      </w:r>
      <w:r>
        <w:rPr>
          <w:sz w:val="22"/>
        </w:rPr>
        <w:t>ourse, or </w:t>
      </w:r>
      <w:r>
        <w:rPr>
          <w:spacing w:val="9"/>
          <w:sz w:val="22"/>
        </w:rPr>
        <w:t>the</w:t>
      </w:r>
      <w:r>
        <w:rPr>
          <w:spacing w:val="6"/>
          <w:sz w:val="22"/>
        </w:rPr>
        <w:t> </w:t>
      </w:r>
      <w:r>
        <w:rPr>
          <w:spacing w:val="13"/>
          <w:sz w:val="22"/>
        </w:rPr>
        <w:t>student</w:t>
      </w:r>
      <w:r>
        <w:rPr>
          <w:spacing w:val="-1"/>
          <w:sz w:val="22"/>
        </w:rPr>
        <w:t> </w:t>
      </w:r>
      <w:r>
        <w:rPr>
          <w:sz w:val="22"/>
        </w:rPr>
        <w:t>is </w:t>
      </w:r>
      <w:r>
        <w:rPr>
          <w:spacing w:val="11"/>
          <w:sz w:val="22"/>
        </w:rPr>
        <w:t>not</w:t>
      </w:r>
      <w:r>
        <w:rPr>
          <w:spacing w:val="-1"/>
          <w:sz w:val="22"/>
        </w:rPr>
        <w:t> </w:t>
      </w:r>
      <w:r>
        <w:rPr>
          <w:spacing w:val="9"/>
          <w:sz w:val="22"/>
        </w:rPr>
        <w:t>satisfied </w:t>
      </w:r>
      <w:r>
        <w:rPr>
          <w:sz w:val="22"/>
        </w:rPr>
        <w:t>with </w:t>
      </w:r>
      <w:r>
        <w:rPr>
          <w:spacing w:val="9"/>
          <w:sz w:val="22"/>
        </w:rPr>
        <w:t>the </w:t>
      </w:r>
      <w:r>
        <w:rPr>
          <w:spacing w:val="10"/>
          <w:sz w:val="22"/>
        </w:rPr>
        <w:t>Chair’s decision,</w:t>
      </w:r>
      <w:r>
        <w:rPr>
          <w:spacing w:val="2"/>
          <w:sz w:val="22"/>
        </w:rPr>
        <w:t> </w:t>
      </w:r>
      <w:r>
        <w:rPr>
          <w:spacing w:val="9"/>
          <w:sz w:val="22"/>
        </w:rPr>
        <w:t>the</w:t>
      </w:r>
      <w:r>
        <w:rPr>
          <w:spacing w:val="7"/>
          <w:sz w:val="22"/>
        </w:rPr>
        <w:t> </w:t>
      </w:r>
      <w:r>
        <w:rPr>
          <w:spacing w:val="13"/>
          <w:sz w:val="22"/>
        </w:rPr>
        <w:t>student </w:t>
      </w:r>
      <w:r>
        <w:rPr>
          <w:sz w:val="22"/>
        </w:rPr>
        <w:t>will </w:t>
      </w:r>
      <w:r>
        <w:rPr>
          <w:spacing w:val="16"/>
          <w:sz w:val="22"/>
        </w:rPr>
        <w:t>appeal</w:t>
      </w:r>
      <w:r>
        <w:rPr>
          <w:spacing w:val="5"/>
          <w:sz w:val="22"/>
        </w:rPr>
        <w:t> </w:t>
      </w:r>
      <w:r>
        <w:rPr>
          <w:sz w:val="22"/>
        </w:rPr>
        <w:t>to </w:t>
      </w:r>
      <w:r>
        <w:rPr>
          <w:spacing w:val="9"/>
          <w:sz w:val="22"/>
        </w:rPr>
        <w:t>the </w:t>
      </w:r>
      <w:r>
        <w:rPr>
          <w:spacing w:val="13"/>
          <w:sz w:val="22"/>
        </w:rPr>
        <w:t>Dean</w:t>
      </w:r>
      <w:r>
        <w:rPr>
          <w:spacing w:val="12"/>
          <w:sz w:val="22"/>
        </w:rPr>
        <w:t> </w:t>
      </w:r>
      <w:r>
        <w:rPr>
          <w:sz w:val="22"/>
        </w:rPr>
        <w:t>of </w:t>
      </w:r>
      <w:r>
        <w:rPr>
          <w:spacing w:val="9"/>
          <w:sz w:val="22"/>
        </w:rPr>
        <w:t>the</w:t>
      </w:r>
      <w:r>
        <w:rPr>
          <w:spacing w:val="7"/>
          <w:sz w:val="22"/>
        </w:rPr>
        <w:t> </w:t>
      </w:r>
      <w:r>
        <w:rPr>
          <w:spacing w:val="13"/>
          <w:sz w:val="22"/>
        </w:rPr>
        <w:t>School</w:t>
      </w:r>
      <w:r>
        <w:rPr>
          <w:spacing w:val="-2"/>
          <w:sz w:val="22"/>
        </w:rPr>
        <w:t> </w:t>
      </w:r>
      <w:r>
        <w:rPr>
          <w:sz w:val="22"/>
        </w:rPr>
        <w:t>in writing </w:t>
      </w:r>
      <w:r>
        <w:rPr>
          <w:spacing w:val="13"/>
          <w:sz w:val="22"/>
        </w:rPr>
        <w:t>and schedule </w:t>
      </w:r>
      <w:r>
        <w:rPr>
          <w:sz w:val="22"/>
        </w:rPr>
        <w:t>a </w:t>
      </w:r>
      <w:r>
        <w:rPr>
          <w:spacing w:val="11"/>
          <w:sz w:val="22"/>
        </w:rPr>
        <w:t>meeting.</w:t>
      </w:r>
    </w:p>
    <w:p>
      <w:pPr>
        <w:pStyle w:val="ListParagraph"/>
        <w:numPr>
          <w:ilvl w:val="0"/>
          <w:numId w:val="74"/>
        </w:numPr>
        <w:tabs>
          <w:tab w:pos="1169" w:val="left" w:leader="none"/>
        </w:tabs>
        <w:spacing w:line="254" w:lineRule="auto" w:before="0" w:after="0"/>
        <w:ind w:left="1168" w:right="700" w:hanging="729"/>
        <w:jc w:val="both"/>
        <w:rPr>
          <w:sz w:val="22"/>
        </w:rPr>
      </w:pPr>
      <w:r>
        <w:rPr>
          <w:spacing w:val="9"/>
          <w:sz w:val="22"/>
        </w:rPr>
        <w:t>After</w:t>
      </w:r>
      <w:r>
        <w:rPr>
          <w:spacing w:val="-16"/>
          <w:sz w:val="22"/>
        </w:rPr>
        <w:t> </w:t>
      </w:r>
      <w:r>
        <w:rPr>
          <w:spacing w:val="9"/>
          <w:sz w:val="22"/>
        </w:rPr>
        <w:t>the</w:t>
      </w:r>
      <w:r>
        <w:rPr>
          <w:spacing w:val="4"/>
          <w:sz w:val="22"/>
        </w:rPr>
        <w:t> </w:t>
      </w:r>
      <w:r>
        <w:rPr>
          <w:spacing w:val="11"/>
          <w:sz w:val="22"/>
        </w:rPr>
        <w:t>meeting </w:t>
      </w:r>
      <w:r>
        <w:rPr>
          <w:spacing w:val="9"/>
          <w:sz w:val="22"/>
        </w:rPr>
        <w:t>the </w:t>
      </w:r>
      <w:r>
        <w:rPr>
          <w:spacing w:val="13"/>
          <w:sz w:val="22"/>
        </w:rPr>
        <w:t>Dean </w:t>
      </w:r>
      <w:r>
        <w:rPr>
          <w:sz w:val="22"/>
        </w:rPr>
        <w:t>will </w:t>
      </w:r>
      <w:r>
        <w:rPr>
          <w:spacing w:val="12"/>
          <w:sz w:val="22"/>
        </w:rPr>
        <w:t>forward </w:t>
      </w:r>
      <w:r>
        <w:rPr>
          <w:spacing w:val="9"/>
          <w:sz w:val="22"/>
        </w:rPr>
        <w:t>the </w:t>
      </w:r>
      <w:r>
        <w:rPr>
          <w:sz w:val="22"/>
        </w:rPr>
        <w:t>gra</w:t>
      </w:r>
      <w:r>
        <w:rPr>
          <w:spacing w:val="-16"/>
          <w:sz w:val="22"/>
        </w:rPr>
        <w:t> </w:t>
      </w:r>
      <w:r>
        <w:rPr>
          <w:spacing w:val="11"/>
          <w:sz w:val="22"/>
        </w:rPr>
        <w:t>de </w:t>
      </w:r>
      <w:r>
        <w:rPr>
          <w:spacing w:val="16"/>
          <w:sz w:val="22"/>
        </w:rPr>
        <w:t>appeal</w:t>
      </w:r>
      <w:r>
        <w:rPr>
          <w:spacing w:val="6"/>
          <w:sz w:val="22"/>
        </w:rPr>
        <w:t> </w:t>
      </w:r>
      <w:r>
        <w:rPr>
          <w:sz w:val="22"/>
        </w:rPr>
        <w:t>to </w:t>
      </w:r>
      <w:r>
        <w:rPr>
          <w:spacing w:val="9"/>
          <w:sz w:val="22"/>
        </w:rPr>
        <w:t>the</w:t>
      </w:r>
      <w:r>
        <w:rPr>
          <w:spacing w:val="8"/>
          <w:sz w:val="22"/>
        </w:rPr>
        <w:t> </w:t>
      </w:r>
      <w:r>
        <w:rPr>
          <w:spacing w:val="13"/>
          <w:sz w:val="22"/>
        </w:rPr>
        <w:t>School’s</w:t>
      </w:r>
      <w:r>
        <w:rPr>
          <w:spacing w:val="9"/>
          <w:sz w:val="22"/>
        </w:rPr>
        <w:t> </w:t>
      </w:r>
      <w:r>
        <w:rPr>
          <w:sz w:val="22"/>
        </w:rPr>
        <w:t>Gra</w:t>
      </w:r>
      <w:r>
        <w:rPr>
          <w:spacing w:val="-16"/>
          <w:sz w:val="22"/>
        </w:rPr>
        <w:t> </w:t>
      </w:r>
      <w:r>
        <w:rPr>
          <w:spacing w:val="11"/>
          <w:sz w:val="22"/>
        </w:rPr>
        <w:t>de </w:t>
      </w:r>
      <w:r>
        <w:rPr>
          <w:sz w:val="22"/>
        </w:rPr>
        <w:t>Ap</w:t>
      </w:r>
      <w:r>
        <w:rPr>
          <w:spacing w:val="-30"/>
          <w:sz w:val="22"/>
        </w:rPr>
        <w:t> </w:t>
      </w:r>
      <w:r>
        <w:rPr>
          <w:spacing w:val="15"/>
          <w:sz w:val="22"/>
        </w:rPr>
        <w:t>peal </w:t>
      </w:r>
      <w:r>
        <w:rPr>
          <w:spacing w:val="12"/>
          <w:sz w:val="22"/>
        </w:rPr>
        <w:t>Committee.</w:t>
      </w:r>
      <w:r>
        <w:rPr>
          <w:spacing w:val="4"/>
          <w:sz w:val="22"/>
        </w:rPr>
        <w:t> </w:t>
      </w:r>
      <w:r>
        <w:rPr>
          <w:sz w:val="22"/>
        </w:rPr>
        <w:t>The </w:t>
      </w:r>
      <w:r>
        <w:rPr>
          <w:spacing w:val="14"/>
          <w:sz w:val="22"/>
        </w:rPr>
        <w:t>Committee </w:t>
      </w:r>
      <w:r>
        <w:rPr>
          <w:sz w:val="22"/>
        </w:rPr>
        <w:t>will </w:t>
      </w:r>
      <w:r>
        <w:rPr>
          <w:spacing w:val="9"/>
          <w:sz w:val="22"/>
        </w:rPr>
        <w:t>review the </w:t>
      </w:r>
      <w:r>
        <w:rPr>
          <w:spacing w:val="12"/>
          <w:sz w:val="22"/>
        </w:rPr>
        <w:t>request </w:t>
      </w:r>
      <w:r>
        <w:rPr>
          <w:spacing w:val="13"/>
          <w:sz w:val="22"/>
        </w:rPr>
        <w:t>and </w:t>
      </w:r>
      <w:r>
        <w:rPr>
          <w:sz w:val="22"/>
        </w:rPr>
        <w:t>issue a</w:t>
      </w:r>
    </w:p>
    <w:p>
      <w:pPr>
        <w:spacing w:before="0"/>
        <w:ind w:left="1160" w:right="0" w:firstLine="0"/>
        <w:jc w:val="left"/>
        <w:rPr>
          <w:sz w:val="22"/>
        </w:rPr>
      </w:pPr>
      <w:r>
        <w:rPr>
          <w:spacing w:val="11"/>
          <w:sz w:val="22"/>
        </w:rPr>
        <w:t>rec</w:t>
      </w:r>
      <w:r>
        <w:rPr>
          <w:spacing w:val="-32"/>
          <w:sz w:val="22"/>
        </w:rPr>
        <w:t> </w:t>
      </w:r>
      <w:r>
        <w:rPr>
          <w:spacing w:val="14"/>
          <w:sz w:val="22"/>
        </w:rPr>
        <w:t>ommendation.</w:t>
      </w:r>
      <w:r>
        <w:rPr>
          <w:sz w:val="22"/>
        </w:rPr>
        <w:t> The</w:t>
      </w:r>
      <w:r>
        <w:rPr>
          <w:spacing w:val="22"/>
          <w:sz w:val="22"/>
        </w:rPr>
        <w:t> </w:t>
      </w:r>
      <w:r>
        <w:rPr>
          <w:spacing w:val="13"/>
          <w:sz w:val="22"/>
        </w:rPr>
        <w:t>Committee</w:t>
      </w:r>
      <w:r>
        <w:rPr>
          <w:spacing w:val="25"/>
          <w:sz w:val="22"/>
        </w:rPr>
        <w:t> </w:t>
      </w:r>
      <w:r>
        <w:rPr>
          <w:sz w:val="22"/>
        </w:rPr>
        <w:t>will</w:t>
      </w:r>
      <w:r>
        <w:rPr>
          <w:spacing w:val="19"/>
          <w:sz w:val="22"/>
        </w:rPr>
        <w:t> </w:t>
      </w:r>
      <w:r>
        <w:rPr>
          <w:sz w:val="22"/>
        </w:rPr>
        <w:t>c</w:t>
      </w:r>
      <w:r>
        <w:rPr>
          <w:spacing w:val="-32"/>
          <w:sz w:val="22"/>
        </w:rPr>
        <w:t> </w:t>
      </w:r>
      <w:r>
        <w:rPr>
          <w:sz w:val="22"/>
        </w:rPr>
        <w:t>onsist</w:t>
      </w:r>
      <w:r>
        <w:rPr>
          <w:spacing w:val="17"/>
          <w:sz w:val="22"/>
        </w:rPr>
        <w:t> </w:t>
      </w:r>
      <w:r>
        <w:rPr>
          <w:sz w:val="22"/>
        </w:rPr>
        <w:t>of</w:t>
      </w:r>
      <w:r>
        <w:rPr>
          <w:spacing w:val="11"/>
          <w:sz w:val="22"/>
        </w:rPr>
        <w:t> </w:t>
      </w:r>
      <w:r>
        <w:rPr>
          <w:sz w:val="22"/>
        </w:rPr>
        <w:t>four</w:t>
      </w:r>
      <w:r>
        <w:rPr>
          <w:spacing w:val="7"/>
          <w:sz w:val="22"/>
        </w:rPr>
        <w:t> </w:t>
      </w:r>
      <w:r>
        <w:rPr>
          <w:sz w:val="22"/>
        </w:rPr>
        <w:t>fa</w:t>
      </w:r>
      <w:r>
        <w:rPr>
          <w:spacing w:val="-31"/>
          <w:sz w:val="22"/>
        </w:rPr>
        <w:t> </w:t>
      </w:r>
      <w:r>
        <w:rPr>
          <w:sz w:val="22"/>
        </w:rPr>
        <w:t>culty</w:t>
      </w:r>
      <w:r>
        <w:rPr>
          <w:spacing w:val="5"/>
          <w:sz w:val="22"/>
        </w:rPr>
        <w:t> </w:t>
      </w:r>
      <w:r>
        <w:rPr>
          <w:sz w:val="22"/>
        </w:rPr>
        <w:t>–</w:t>
      </w:r>
      <w:r>
        <w:rPr>
          <w:spacing w:val="37"/>
          <w:sz w:val="22"/>
        </w:rPr>
        <w:t> </w:t>
      </w:r>
      <w:r>
        <w:rPr>
          <w:spacing w:val="10"/>
          <w:sz w:val="22"/>
        </w:rPr>
        <w:t>one</w:t>
      </w:r>
      <w:r>
        <w:rPr>
          <w:spacing w:val="18"/>
          <w:sz w:val="22"/>
        </w:rPr>
        <w:t> </w:t>
      </w:r>
      <w:r>
        <w:rPr>
          <w:sz w:val="22"/>
        </w:rPr>
        <w:t>from</w:t>
      </w:r>
      <w:r>
        <w:rPr>
          <w:spacing w:val="24"/>
          <w:sz w:val="22"/>
        </w:rPr>
        <w:t> </w:t>
      </w:r>
      <w:r>
        <w:rPr>
          <w:spacing w:val="12"/>
          <w:sz w:val="22"/>
        </w:rPr>
        <w:t>ea</w:t>
      </w:r>
      <w:r>
        <w:rPr>
          <w:spacing w:val="-29"/>
          <w:sz w:val="22"/>
        </w:rPr>
        <w:t> </w:t>
      </w:r>
      <w:r>
        <w:rPr>
          <w:spacing w:val="6"/>
          <w:sz w:val="22"/>
        </w:rPr>
        <w:t>ch</w:t>
      </w:r>
    </w:p>
    <w:p>
      <w:pPr>
        <w:spacing w:line="256" w:lineRule="auto" w:before="16"/>
        <w:ind w:left="1160" w:right="642" w:firstLine="14"/>
        <w:jc w:val="left"/>
        <w:rPr>
          <w:sz w:val="22"/>
        </w:rPr>
      </w:pPr>
      <w:r>
        <w:rPr>
          <w:spacing w:val="16"/>
          <w:sz w:val="22"/>
        </w:rPr>
        <w:t>dep</w:t>
      </w:r>
      <w:r>
        <w:rPr>
          <w:spacing w:val="-33"/>
          <w:sz w:val="22"/>
        </w:rPr>
        <w:t> </w:t>
      </w:r>
      <w:r>
        <w:rPr>
          <w:spacing w:val="11"/>
          <w:sz w:val="22"/>
        </w:rPr>
        <w:t>artment.</w:t>
      </w:r>
      <w:r>
        <w:rPr>
          <w:spacing w:val="-6"/>
          <w:sz w:val="22"/>
        </w:rPr>
        <w:t> </w:t>
      </w:r>
      <w:r>
        <w:rPr>
          <w:sz w:val="22"/>
        </w:rPr>
        <w:t>The </w:t>
      </w:r>
      <w:r>
        <w:rPr>
          <w:spacing w:val="12"/>
          <w:sz w:val="22"/>
        </w:rPr>
        <w:t>student </w:t>
      </w:r>
      <w:r>
        <w:rPr>
          <w:spacing w:val="9"/>
          <w:sz w:val="22"/>
        </w:rPr>
        <w:t>presenting the </w:t>
      </w:r>
      <w:r>
        <w:rPr>
          <w:spacing w:val="16"/>
          <w:sz w:val="22"/>
        </w:rPr>
        <w:t>appeal</w:t>
      </w:r>
      <w:r>
        <w:rPr>
          <w:spacing w:val="12"/>
          <w:sz w:val="22"/>
        </w:rPr>
        <w:t> </w:t>
      </w:r>
      <w:r>
        <w:rPr>
          <w:sz w:val="22"/>
        </w:rPr>
        <w:t>c</w:t>
      </w:r>
      <w:r>
        <w:rPr>
          <w:spacing w:val="-30"/>
          <w:sz w:val="22"/>
        </w:rPr>
        <w:t> </w:t>
      </w:r>
      <w:r>
        <w:rPr>
          <w:spacing w:val="12"/>
          <w:sz w:val="22"/>
        </w:rPr>
        <w:t>annot </w:t>
      </w:r>
      <w:r>
        <w:rPr>
          <w:spacing w:val="11"/>
          <w:sz w:val="22"/>
        </w:rPr>
        <w:t>be </w:t>
      </w:r>
      <w:r>
        <w:rPr>
          <w:sz w:val="22"/>
        </w:rPr>
        <w:t>a</w:t>
      </w:r>
      <w:r>
        <w:rPr>
          <w:spacing w:val="27"/>
          <w:sz w:val="22"/>
        </w:rPr>
        <w:t> </w:t>
      </w:r>
      <w:r>
        <w:rPr>
          <w:sz w:val="22"/>
        </w:rPr>
        <w:t>current </w:t>
      </w:r>
      <w:r>
        <w:rPr>
          <w:spacing w:val="13"/>
          <w:sz w:val="22"/>
        </w:rPr>
        <w:t>student </w:t>
      </w:r>
      <w:r>
        <w:rPr>
          <w:sz w:val="22"/>
        </w:rPr>
        <w:t>of </w:t>
      </w:r>
      <w:r>
        <w:rPr>
          <w:spacing w:val="9"/>
          <w:sz w:val="22"/>
        </w:rPr>
        <w:t>any</w:t>
      </w:r>
      <w:r>
        <w:rPr>
          <w:spacing w:val="8"/>
          <w:sz w:val="22"/>
        </w:rPr>
        <w:t> </w:t>
      </w:r>
      <w:r>
        <w:rPr>
          <w:sz w:val="22"/>
        </w:rPr>
        <w:t>of its </w:t>
      </w:r>
      <w:r>
        <w:rPr>
          <w:spacing w:val="12"/>
          <w:sz w:val="22"/>
        </w:rPr>
        <w:t>members.</w:t>
      </w:r>
      <w:r>
        <w:rPr>
          <w:spacing w:val="-6"/>
          <w:sz w:val="22"/>
        </w:rPr>
        <w:t> </w:t>
      </w:r>
      <w:r>
        <w:rPr>
          <w:sz w:val="22"/>
        </w:rPr>
        <w:t>The </w:t>
      </w:r>
      <w:r>
        <w:rPr>
          <w:spacing w:val="14"/>
          <w:sz w:val="22"/>
        </w:rPr>
        <w:t>Committee </w:t>
      </w:r>
      <w:r>
        <w:rPr>
          <w:sz w:val="22"/>
        </w:rPr>
        <w:t>will</w:t>
      </w:r>
      <w:r>
        <w:rPr>
          <w:spacing w:val="-3"/>
          <w:sz w:val="22"/>
        </w:rPr>
        <w:t> </w:t>
      </w:r>
      <w:r>
        <w:rPr>
          <w:spacing w:val="9"/>
          <w:sz w:val="22"/>
        </w:rPr>
        <w:t>review the </w:t>
      </w:r>
      <w:r>
        <w:rPr>
          <w:sz w:val="22"/>
        </w:rPr>
        <w:t>ap</w:t>
      </w:r>
      <w:r>
        <w:rPr>
          <w:spacing w:val="-33"/>
          <w:sz w:val="22"/>
        </w:rPr>
        <w:t> </w:t>
      </w:r>
      <w:r>
        <w:rPr>
          <w:spacing w:val="12"/>
          <w:sz w:val="22"/>
        </w:rPr>
        <w:t>peal.</w:t>
      </w:r>
      <w:r>
        <w:rPr>
          <w:spacing w:val="-6"/>
          <w:sz w:val="22"/>
        </w:rPr>
        <w:t> </w:t>
      </w:r>
      <w:r>
        <w:rPr>
          <w:sz w:val="22"/>
        </w:rPr>
        <w:t>The </w:t>
      </w:r>
      <w:r>
        <w:rPr>
          <w:spacing w:val="12"/>
          <w:sz w:val="22"/>
        </w:rPr>
        <w:t>student </w:t>
      </w:r>
      <w:r>
        <w:rPr>
          <w:spacing w:val="13"/>
          <w:sz w:val="22"/>
        </w:rPr>
        <w:t>and </w:t>
      </w:r>
      <w:r>
        <w:rPr>
          <w:spacing w:val="9"/>
          <w:sz w:val="22"/>
        </w:rPr>
        <w:t>the instructor </w:t>
      </w:r>
      <w:r>
        <w:rPr>
          <w:spacing w:val="14"/>
          <w:sz w:val="22"/>
        </w:rPr>
        <w:t>may </w:t>
      </w:r>
      <w:r>
        <w:rPr>
          <w:spacing w:val="12"/>
          <w:sz w:val="22"/>
        </w:rPr>
        <w:t>be </w:t>
      </w:r>
      <w:r>
        <w:rPr>
          <w:spacing w:val="11"/>
          <w:sz w:val="22"/>
        </w:rPr>
        <w:t>interviewed </w:t>
      </w:r>
      <w:r>
        <w:rPr>
          <w:sz w:val="22"/>
        </w:rPr>
        <w:t>by </w:t>
      </w:r>
      <w:r>
        <w:rPr>
          <w:spacing w:val="9"/>
          <w:sz w:val="22"/>
        </w:rPr>
        <w:t>the </w:t>
      </w:r>
      <w:r>
        <w:rPr>
          <w:spacing w:val="12"/>
          <w:sz w:val="22"/>
        </w:rPr>
        <w:t>Committee.</w:t>
      </w:r>
      <w:r>
        <w:rPr>
          <w:spacing w:val="10"/>
          <w:sz w:val="22"/>
        </w:rPr>
        <w:t> </w:t>
      </w:r>
      <w:r>
        <w:rPr>
          <w:sz w:val="22"/>
        </w:rPr>
        <w:t>The </w:t>
      </w:r>
      <w:r>
        <w:rPr>
          <w:spacing w:val="13"/>
          <w:sz w:val="22"/>
        </w:rPr>
        <w:t>Committee </w:t>
      </w:r>
      <w:r>
        <w:rPr>
          <w:sz w:val="22"/>
        </w:rPr>
        <w:t>will notify in writing to </w:t>
      </w:r>
      <w:r>
        <w:rPr>
          <w:spacing w:val="9"/>
          <w:sz w:val="22"/>
        </w:rPr>
        <w:t>the </w:t>
      </w:r>
      <w:r>
        <w:rPr>
          <w:spacing w:val="12"/>
          <w:sz w:val="22"/>
        </w:rPr>
        <w:t>Dean, </w:t>
      </w:r>
      <w:r>
        <w:rPr>
          <w:spacing w:val="9"/>
          <w:sz w:val="22"/>
        </w:rPr>
        <w:t>findings </w:t>
      </w:r>
      <w:r>
        <w:rPr>
          <w:spacing w:val="13"/>
          <w:sz w:val="22"/>
        </w:rPr>
        <w:t>and </w:t>
      </w:r>
      <w:r>
        <w:rPr>
          <w:spacing w:val="11"/>
          <w:sz w:val="22"/>
        </w:rPr>
        <w:t>rec</w:t>
      </w:r>
      <w:r>
        <w:rPr>
          <w:spacing w:val="-24"/>
          <w:sz w:val="22"/>
        </w:rPr>
        <w:t> </w:t>
      </w:r>
      <w:r>
        <w:rPr>
          <w:spacing w:val="15"/>
          <w:sz w:val="22"/>
        </w:rPr>
        <w:t>ommendation </w:t>
      </w:r>
      <w:r>
        <w:rPr>
          <w:sz w:val="22"/>
        </w:rPr>
        <w:t>for a</w:t>
      </w:r>
      <w:r>
        <w:rPr>
          <w:spacing w:val="-24"/>
          <w:sz w:val="22"/>
        </w:rPr>
        <w:t> </w:t>
      </w:r>
      <w:r>
        <w:rPr>
          <w:spacing w:val="10"/>
          <w:sz w:val="22"/>
        </w:rPr>
        <w:t>ction.</w:t>
      </w:r>
    </w:p>
    <w:p>
      <w:pPr>
        <w:pStyle w:val="ListParagraph"/>
        <w:numPr>
          <w:ilvl w:val="0"/>
          <w:numId w:val="74"/>
        </w:numPr>
        <w:tabs>
          <w:tab w:pos="1160" w:val="left" w:leader="none"/>
          <w:tab w:pos="1161" w:val="left" w:leader="none"/>
        </w:tabs>
        <w:spacing w:line="256" w:lineRule="auto" w:before="0" w:after="0"/>
        <w:ind w:left="1160" w:right="1126" w:hanging="721"/>
        <w:jc w:val="left"/>
        <w:rPr>
          <w:sz w:val="22"/>
        </w:rPr>
      </w:pPr>
      <w:r>
        <w:rPr>
          <w:sz w:val="22"/>
        </w:rPr>
        <w:t>The </w:t>
      </w:r>
      <w:r>
        <w:rPr>
          <w:spacing w:val="13"/>
          <w:sz w:val="22"/>
        </w:rPr>
        <w:t>Dean </w:t>
      </w:r>
      <w:r>
        <w:rPr>
          <w:sz w:val="22"/>
        </w:rPr>
        <w:t>will a</w:t>
      </w:r>
      <w:r>
        <w:rPr>
          <w:spacing w:val="-29"/>
          <w:sz w:val="22"/>
        </w:rPr>
        <w:t> </w:t>
      </w:r>
      <w:r>
        <w:rPr>
          <w:sz w:val="22"/>
        </w:rPr>
        <w:t>c</w:t>
      </w:r>
      <w:r>
        <w:rPr>
          <w:spacing w:val="-26"/>
          <w:sz w:val="22"/>
        </w:rPr>
        <w:t> </w:t>
      </w:r>
      <w:r>
        <w:rPr>
          <w:sz w:val="22"/>
        </w:rPr>
        <w:t>c</w:t>
      </w:r>
      <w:r>
        <w:rPr>
          <w:spacing w:val="-30"/>
          <w:sz w:val="22"/>
        </w:rPr>
        <w:t> </w:t>
      </w:r>
      <w:r>
        <w:rPr>
          <w:spacing w:val="15"/>
          <w:sz w:val="22"/>
        </w:rPr>
        <w:t>ept </w:t>
      </w:r>
      <w:r>
        <w:rPr>
          <w:sz w:val="22"/>
        </w:rPr>
        <w:t>the </w:t>
      </w:r>
      <w:r>
        <w:rPr>
          <w:spacing w:val="11"/>
          <w:sz w:val="22"/>
        </w:rPr>
        <w:t>rec</w:t>
      </w:r>
      <w:r>
        <w:rPr>
          <w:spacing w:val="-29"/>
          <w:sz w:val="22"/>
        </w:rPr>
        <w:t> </w:t>
      </w:r>
      <w:r>
        <w:rPr>
          <w:spacing w:val="16"/>
          <w:sz w:val="22"/>
        </w:rPr>
        <w:t>ommendation </w:t>
      </w:r>
      <w:r>
        <w:rPr>
          <w:sz w:val="22"/>
        </w:rPr>
        <w:t>or only in exc</w:t>
      </w:r>
      <w:r>
        <w:rPr>
          <w:spacing w:val="-30"/>
          <w:sz w:val="22"/>
        </w:rPr>
        <w:t> </w:t>
      </w:r>
      <w:r>
        <w:rPr>
          <w:spacing w:val="13"/>
          <w:sz w:val="22"/>
        </w:rPr>
        <w:t>eptional </w:t>
      </w:r>
      <w:r>
        <w:rPr>
          <w:sz w:val="22"/>
        </w:rPr>
        <w:t>c</w:t>
      </w:r>
      <w:r>
        <w:rPr>
          <w:spacing w:val="-29"/>
          <w:sz w:val="22"/>
        </w:rPr>
        <w:t> </w:t>
      </w:r>
      <w:r>
        <w:rPr>
          <w:sz w:val="22"/>
        </w:rPr>
        <w:t>ases will return</w:t>
      </w:r>
      <w:r>
        <w:rPr>
          <w:spacing w:val="31"/>
          <w:sz w:val="22"/>
        </w:rPr>
        <w:t> </w:t>
      </w:r>
      <w:r>
        <w:rPr>
          <w:spacing w:val="9"/>
          <w:sz w:val="22"/>
        </w:rPr>
        <w:t>the</w:t>
      </w:r>
      <w:r>
        <w:rPr>
          <w:spacing w:val="40"/>
          <w:sz w:val="22"/>
        </w:rPr>
        <w:t> </w:t>
      </w:r>
      <w:r>
        <w:rPr>
          <w:spacing w:val="16"/>
          <w:sz w:val="22"/>
        </w:rPr>
        <w:t>appeal </w:t>
      </w:r>
      <w:r>
        <w:rPr>
          <w:sz w:val="22"/>
        </w:rPr>
        <w:t>to</w:t>
      </w:r>
      <w:r>
        <w:rPr>
          <w:spacing w:val="36"/>
          <w:sz w:val="22"/>
        </w:rPr>
        <w:t> </w:t>
      </w:r>
      <w:r>
        <w:rPr>
          <w:spacing w:val="9"/>
          <w:sz w:val="22"/>
        </w:rPr>
        <w:t>the</w:t>
      </w:r>
      <w:r>
        <w:rPr>
          <w:spacing w:val="40"/>
          <w:sz w:val="22"/>
        </w:rPr>
        <w:t> </w:t>
      </w:r>
      <w:r>
        <w:rPr>
          <w:spacing w:val="14"/>
          <w:sz w:val="22"/>
        </w:rPr>
        <w:t>Committee</w:t>
      </w:r>
      <w:r>
        <w:rPr>
          <w:spacing w:val="34"/>
          <w:sz w:val="22"/>
        </w:rPr>
        <w:t> </w:t>
      </w:r>
      <w:r>
        <w:rPr>
          <w:sz w:val="22"/>
        </w:rPr>
        <w:t>for</w:t>
      </w:r>
      <w:r>
        <w:rPr>
          <w:spacing w:val="21"/>
          <w:sz w:val="22"/>
        </w:rPr>
        <w:t> </w:t>
      </w:r>
      <w:r>
        <w:rPr>
          <w:sz w:val="22"/>
        </w:rPr>
        <w:t>further</w:t>
      </w:r>
      <w:r>
        <w:rPr>
          <w:spacing w:val="36"/>
          <w:sz w:val="22"/>
        </w:rPr>
        <w:t> </w:t>
      </w:r>
      <w:r>
        <w:rPr>
          <w:sz w:val="22"/>
        </w:rPr>
        <w:t>c</w:t>
      </w:r>
      <w:r>
        <w:rPr>
          <w:spacing w:val="-25"/>
          <w:sz w:val="22"/>
        </w:rPr>
        <w:t> </w:t>
      </w:r>
      <w:r>
        <w:rPr>
          <w:spacing w:val="10"/>
          <w:sz w:val="22"/>
        </w:rPr>
        <w:t>onsideration. </w:t>
      </w:r>
      <w:r>
        <w:rPr>
          <w:sz w:val="22"/>
        </w:rPr>
        <w:t>The</w:t>
      </w:r>
      <w:r>
        <w:rPr>
          <w:spacing w:val="32"/>
          <w:sz w:val="22"/>
        </w:rPr>
        <w:t> </w:t>
      </w:r>
      <w:r>
        <w:rPr>
          <w:spacing w:val="13"/>
          <w:sz w:val="22"/>
        </w:rPr>
        <w:t>Dean</w:t>
      </w:r>
      <w:r>
        <w:rPr>
          <w:spacing w:val="38"/>
          <w:sz w:val="22"/>
        </w:rPr>
        <w:t> </w:t>
      </w:r>
      <w:r>
        <w:rPr>
          <w:sz w:val="22"/>
        </w:rPr>
        <w:t>will</w:t>
      </w:r>
      <w:r>
        <w:rPr>
          <w:sz w:val="22"/>
        </w:rPr>
        <w:t> c</w:t>
      </w:r>
      <w:r>
        <w:rPr>
          <w:spacing w:val="-30"/>
          <w:sz w:val="22"/>
        </w:rPr>
        <w:t> </w:t>
      </w:r>
      <w:r>
        <w:rPr>
          <w:spacing w:val="12"/>
          <w:sz w:val="22"/>
        </w:rPr>
        <w:t>ommunic</w:t>
      </w:r>
      <w:r>
        <w:rPr>
          <w:spacing w:val="-30"/>
          <w:sz w:val="22"/>
        </w:rPr>
        <w:t> </w:t>
      </w:r>
      <w:r>
        <w:rPr>
          <w:spacing w:val="12"/>
          <w:sz w:val="22"/>
        </w:rPr>
        <w:t>ate </w:t>
      </w:r>
      <w:r>
        <w:rPr>
          <w:spacing w:val="9"/>
          <w:sz w:val="22"/>
        </w:rPr>
        <w:t>the </w:t>
      </w:r>
      <w:r>
        <w:rPr>
          <w:sz w:val="22"/>
        </w:rPr>
        <w:t>final </w:t>
      </w:r>
      <w:r>
        <w:rPr>
          <w:spacing w:val="11"/>
          <w:sz w:val="22"/>
        </w:rPr>
        <w:t>decision </w:t>
      </w:r>
      <w:r>
        <w:rPr>
          <w:sz w:val="22"/>
        </w:rPr>
        <w:t>to </w:t>
      </w:r>
      <w:r>
        <w:rPr>
          <w:spacing w:val="9"/>
          <w:sz w:val="22"/>
        </w:rPr>
        <w:t>the </w:t>
      </w:r>
      <w:r>
        <w:rPr>
          <w:sz w:val="22"/>
        </w:rPr>
        <w:t>Chair, fa</w:t>
      </w:r>
      <w:r>
        <w:rPr>
          <w:spacing w:val="-27"/>
          <w:sz w:val="22"/>
        </w:rPr>
        <w:t> </w:t>
      </w:r>
      <w:r>
        <w:rPr>
          <w:sz w:val="22"/>
        </w:rPr>
        <w:t>culty </w:t>
      </w:r>
      <w:r>
        <w:rPr>
          <w:spacing w:val="16"/>
          <w:sz w:val="22"/>
        </w:rPr>
        <w:t>member </w:t>
      </w:r>
      <w:r>
        <w:rPr>
          <w:spacing w:val="12"/>
          <w:sz w:val="22"/>
        </w:rPr>
        <w:t>and student </w:t>
      </w:r>
      <w:r>
        <w:rPr>
          <w:sz w:val="22"/>
        </w:rPr>
        <w:t>in </w:t>
      </w:r>
      <w:r>
        <w:rPr>
          <w:spacing w:val="-2"/>
          <w:sz w:val="22"/>
        </w:rPr>
        <w:t>writing.</w:t>
      </w:r>
    </w:p>
    <w:p>
      <w:pPr>
        <w:spacing w:after="0" w:line="256" w:lineRule="auto"/>
        <w:jc w:val="left"/>
        <w:rPr>
          <w:sz w:val="22"/>
        </w:rPr>
        <w:sectPr>
          <w:headerReference w:type="default" r:id="rId323"/>
          <w:footerReference w:type="default" r:id="rId324"/>
          <w:pgSz w:w="12240" w:h="15840"/>
          <w:pgMar w:header="1463" w:footer="751" w:top="1700" w:bottom="940" w:left="1000" w:right="820"/>
        </w:sectPr>
      </w:pPr>
    </w:p>
    <w:p>
      <w:pPr>
        <w:pStyle w:val="BodyText"/>
        <w:spacing w:before="7"/>
        <w:rPr>
          <w:sz w:val="23"/>
        </w:rPr>
      </w:pPr>
    </w:p>
    <w:p>
      <w:pPr>
        <w:pStyle w:val="ListParagraph"/>
        <w:numPr>
          <w:ilvl w:val="1"/>
          <w:numId w:val="74"/>
        </w:numPr>
        <w:tabs>
          <w:tab w:pos="1161" w:val="left" w:leader="none"/>
        </w:tabs>
        <w:spacing w:line="256" w:lineRule="auto" w:before="94" w:after="0"/>
        <w:ind w:left="1160" w:right="837" w:hanging="360"/>
        <w:jc w:val="both"/>
        <w:rPr>
          <w:sz w:val="22"/>
        </w:rPr>
      </w:pPr>
      <w:r>
        <w:rPr>
          <w:sz w:val="22"/>
        </w:rPr>
        <w:t>If</w:t>
      </w:r>
      <w:r>
        <w:rPr>
          <w:spacing w:val="-16"/>
          <w:sz w:val="22"/>
        </w:rPr>
        <w:t> </w:t>
      </w:r>
      <w:r>
        <w:rPr>
          <w:sz w:val="22"/>
        </w:rPr>
        <w:t>a</w:t>
      </w:r>
      <w:r>
        <w:rPr>
          <w:spacing w:val="-11"/>
          <w:sz w:val="22"/>
        </w:rPr>
        <w:t> </w:t>
      </w:r>
      <w:r>
        <w:rPr>
          <w:spacing w:val="12"/>
          <w:sz w:val="22"/>
        </w:rPr>
        <w:t>non-</w:t>
      </w:r>
      <w:r>
        <w:rPr>
          <w:sz w:val="22"/>
        </w:rPr>
        <w:t>passing gra</w:t>
      </w:r>
      <w:r>
        <w:rPr>
          <w:spacing w:val="-16"/>
          <w:sz w:val="22"/>
        </w:rPr>
        <w:t> </w:t>
      </w:r>
      <w:r>
        <w:rPr>
          <w:spacing w:val="11"/>
          <w:sz w:val="22"/>
        </w:rPr>
        <w:t>de</w:t>
      </w:r>
      <w:r>
        <w:rPr>
          <w:spacing w:val="9"/>
          <w:sz w:val="22"/>
        </w:rPr>
        <w:t> </w:t>
      </w:r>
      <w:r>
        <w:rPr>
          <w:sz w:val="22"/>
        </w:rPr>
        <w:t>is </w:t>
      </w:r>
      <w:r>
        <w:rPr>
          <w:spacing w:val="12"/>
          <w:sz w:val="22"/>
        </w:rPr>
        <w:t>ap</w:t>
      </w:r>
      <w:r>
        <w:rPr>
          <w:spacing w:val="-16"/>
          <w:sz w:val="22"/>
        </w:rPr>
        <w:t> </w:t>
      </w:r>
      <w:r>
        <w:rPr>
          <w:spacing w:val="15"/>
          <w:sz w:val="22"/>
        </w:rPr>
        <w:t>pealed </w:t>
      </w:r>
      <w:r>
        <w:rPr>
          <w:sz w:val="22"/>
        </w:rPr>
        <w:t>for a</w:t>
      </w:r>
      <w:r>
        <w:rPr>
          <w:spacing w:val="29"/>
          <w:sz w:val="22"/>
        </w:rPr>
        <w:t> </w:t>
      </w:r>
      <w:r>
        <w:rPr>
          <w:sz w:val="22"/>
        </w:rPr>
        <w:t>c</w:t>
      </w:r>
      <w:r>
        <w:rPr>
          <w:spacing w:val="-16"/>
          <w:sz w:val="22"/>
        </w:rPr>
        <w:t> </w:t>
      </w:r>
      <w:r>
        <w:rPr>
          <w:sz w:val="22"/>
        </w:rPr>
        <w:t>ontinuing </w:t>
      </w:r>
      <w:r>
        <w:rPr>
          <w:spacing w:val="11"/>
          <w:sz w:val="22"/>
        </w:rPr>
        <w:t>semester </w:t>
      </w:r>
      <w:r>
        <w:rPr>
          <w:sz w:val="22"/>
        </w:rPr>
        <w:t>c</w:t>
      </w:r>
      <w:r>
        <w:rPr>
          <w:spacing w:val="-16"/>
          <w:sz w:val="22"/>
        </w:rPr>
        <w:t> </w:t>
      </w:r>
      <w:r>
        <w:rPr>
          <w:sz w:val="22"/>
        </w:rPr>
        <w:t>ourse or is a</w:t>
      </w:r>
      <w:r>
        <w:rPr>
          <w:spacing w:val="29"/>
          <w:sz w:val="22"/>
        </w:rPr>
        <w:t> </w:t>
      </w:r>
      <w:r>
        <w:rPr>
          <w:sz w:val="22"/>
        </w:rPr>
        <w:t>pre- requisite for </w:t>
      </w:r>
      <w:r>
        <w:rPr>
          <w:spacing w:val="12"/>
          <w:sz w:val="22"/>
        </w:rPr>
        <w:t>another </w:t>
      </w:r>
      <w:r>
        <w:rPr>
          <w:spacing w:val="9"/>
          <w:sz w:val="22"/>
        </w:rPr>
        <w:t>course, the </w:t>
      </w:r>
      <w:r>
        <w:rPr>
          <w:spacing w:val="13"/>
          <w:sz w:val="22"/>
        </w:rPr>
        <w:t>student </w:t>
      </w:r>
      <w:r>
        <w:rPr>
          <w:sz w:val="22"/>
        </w:rPr>
        <w:t>will </w:t>
      </w:r>
      <w:r>
        <w:rPr>
          <w:spacing w:val="11"/>
          <w:sz w:val="22"/>
        </w:rPr>
        <w:t>not </w:t>
      </w:r>
      <w:r>
        <w:rPr>
          <w:spacing w:val="12"/>
          <w:sz w:val="22"/>
        </w:rPr>
        <w:t>be </w:t>
      </w:r>
      <w:r>
        <w:rPr>
          <w:spacing w:val="9"/>
          <w:sz w:val="22"/>
        </w:rPr>
        <w:t>able </w:t>
      </w:r>
      <w:r>
        <w:rPr>
          <w:sz w:val="22"/>
        </w:rPr>
        <w:t>to </w:t>
      </w:r>
      <w:r>
        <w:rPr>
          <w:spacing w:val="9"/>
          <w:sz w:val="22"/>
        </w:rPr>
        <w:t>register</w:t>
      </w:r>
      <w:r>
        <w:rPr>
          <w:spacing w:val="6"/>
          <w:sz w:val="22"/>
        </w:rPr>
        <w:t> </w:t>
      </w:r>
      <w:r>
        <w:rPr>
          <w:sz w:val="22"/>
        </w:rPr>
        <w:t>in </w:t>
      </w:r>
      <w:r>
        <w:rPr>
          <w:spacing w:val="9"/>
          <w:sz w:val="22"/>
        </w:rPr>
        <w:t>the</w:t>
      </w:r>
    </w:p>
    <w:p>
      <w:pPr>
        <w:spacing w:line="251" w:lineRule="exact" w:before="0"/>
        <w:ind w:left="1164" w:right="0" w:firstLine="0"/>
        <w:jc w:val="left"/>
        <w:rPr>
          <w:sz w:val="22"/>
        </w:rPr>
      </w:pPr>
      <w:r>
        <w:rPr>
          <w:spacing w:val="10"/>
          <w:sz w:val="22"/>
        </w:rPr>
        <w:t>following</w:t>
      </w:r>
      <w:r>
        <w:rPr>
          <w:spacing w:val="27"/>
          <w:sz w:val="22"/>
        </w:rPr>
        <w:t> </w:t>
      </w:r>
      <w:r>
        <w:rPr>
          <w:sz w:val="22"/>
        </w:rPr>
        <w:t>c</w:t>
      </w:r>
      <w:r>
        <w:rPr>
          <w:spacing w:val="-33"/>
          <w:sz w:val="22"/>
        </w:rPr>
        <w:t> </w:t>
      </w:r>
      <w:r>
        <w:rPr>
          <w:sz w:val="22"/>
        </w:rPr>
        <w:t>ourse</w:t>
      </w:r>
      <w:r>
        <w:rPr>
          <w:spacing w:val="17"/>
          <w:sz w:val="22"/>
        </w:rPr>
        <w:t> </w:t>
      </w:r>
      <w:r>
        <w:rPr>
          <w:sz w:val="22"/>
        </w:rPr>
        <w:t>until</w:t>
      </w:r>
      <w:r>
        <w:rPr>
          <w:spacing w:val="9"/>
          <w:sz w:val="22"/>
        </w:rPr>
        <w:t> </w:t>
      </w:r>
      <w:r>
        <w:rPr>
          <w:sz w:val="22"/>
        </w:rPr>
        <w:t>the</w:t>
      </w:r>
      <w:r>
        <w:rPr>
          <w:spacing w:val="25"/>
          <w:sz w:val="22"/>
        </w:rPr>
        <w:t> </w:t>
      </w:r>
      <w:r>
        <w:rPr>
          <w:sz w:val="22"/>
        </w:rPr>
        <w:t>ap</w:t>
      </w:r>
      <w:r>
        <w:rPr>
          <w:spacing w:val="-33"/>
          <w:sz w:val="22"/>
        </w:rPr>
        <w:t> </w:t>
      </w:r>
      <w:r>
        <w:rPr>
          <w:spacing w:val="14"/>
          <w:sz w:val="22"/>
        </w:rPr>
        <w:t>peal</w:t>
      </w:r>
      <w:r>
        <w:rPr>
          <w:spacing w:val="8"/>
          <w:sz w:val="22"/>
        </w:rPr>
        <w:t> </w:t>
      </w:r>
      <w:r>
        <w:rPr>
          <w:spacing w:val="11"/>
          <w:sz w:val="22"/>
        </w:rPr>
        <w:t>has</w:t>
      </w:r>
      <w:r>
        <w:rPr>
          <w:spacing w:val="15"/>
          <w:sz w:val="22"/>
        </w:rPr>
        <w:t> </w:t>
      </w:r>
      <w:r>
        <w:rPr>
          <w:spacing w:val="12"/>
          <w:sz w:val="22"/>
        </w:rPr>
        <w:t>been</w:t>
      </w:r>
      <w:r>
        <w:rPr>
          <w:spacing w:val="5"/>
          <w:sz w:val="22"/>
        </w:rPr>
        <w:t> </w:t>
      </w:r>
      <w:r>
        <w:rPr>
          <w:spacing w:val="9"/>
          <w:sz w:val="22"/>
        </w:rPr>
        <w:t>resolved.</w:t>
      </w:r>
    </w:p>
    <w:p>
      <w:pPr>
        <w:pStyle w:val="BodyText"/>
        <w:spacing w:before="6"/>
        <w:rPr>
          <w:sz w:val="28"/>
        </w:rPr>
      </w:pPr>
    </w:p>
    <w:p>
      <w:pPr>
        <w:pStyle w:val="ListParagraph"/>
        <w:numPr>
          <w:ilvl w:val="1"/>
          <w:numId w:val="74"/>
        </w:numPr>
        <w:tabs>
          <w:tab w:pos="1171" w:val="left" w:leader="none"/>
        </w:tabs>
        <w:spacing w:line="256" w:lineRule="auto" w:before="0" w:after="0"/>
        <w:ind w:left="1160" w:right="794" w:hanging="360"/>
        <w:jc w:val="both"/>
        <w:rPr>
          <w:sz w:val="22"/>
        </w:rPr>
      </w:pPr>
      <w:r>
        <w:rPr>
          <w:sz w:val="22"/>
        </w:rPr>
        <w:t>Gra</w:t>
      </w:r>
      <w:r>
        <w:rPr>
          <w:spacing w:val="-16"/>
          <w:sz w:val="22"/>
        </w:rPr>
        <w:t> </w:t>
      </w:r>
      <w:r>
        <w:rPr>
          <w:spacing w:val="10"/>
          <w:sz w:val="22"/>
        </w:rPr>
        <w:t>des</w:t>
      </w:r>
      <w:r>
        <w:rPr>
          <w:spacing w:val="-12"/>
          <w:sz w:val="22"/>
        </w:rPr>
        <w:t> </w:t>
      </w:r>
      <w:r>
        <w:rPr>
          <w:sz w:val="22"/>
        </w:rPr>
        <w:t>resulting from </w:t>
      </w:r>
      <w:r>
        <w:rPr>
          <w:spacing w:val="11"/>
          <w:sz w:val="22"/>
        </w:rPr>
        <w:t>allegations </w:t>
      </w:r>
      <w:r>
        <w:rPr>
          <w:sz w:val="22"/>
        </w:rPr>
        <w:t>of </w:t>
      </w:r>
      <w:r>
        <w:rPr>
          <w:spacing w:val="9"/>
          <w:sz w:val="22"/>
        </w:rPr>
        <w:t>plagiarism </w:t>
      </w:r>
      <w:r>
        <w:rPr>
          <w:sz w:val="22"/>
        </w:rPr>
        <w:t>or </w:t>
      </w:r>
      <w:r>
        <w:rPr>
          <w:spacing w:val="14"/>
          <w:sz w:val="22"/>
        </w:rPr>
        <w:t>cheating </w:t>
      </w:r>
      <w:r>
        <w:rPr>
          <w:sz w:val="22"/>
        </w:rPr>
        <w:t>will </w:t>
      </w:r>
      <w:r>
        <w:rPr>
          <w:spacing w:val="11"/>
          <w:sz w:val="22"/>
        </w:rPr>
        <w:t>not </w:t>
      </w:r>
      <w:r>
        <w:rPr>
          <w:spacing w:val="12"/>
          <w:sz w:val="22"/>
        </w:rPr>
        <w:t>be </w:t>
      </w:r>
      <w:r>
        <w:rPr>
          <w:spacing w:val="13"/>
          <w:sz w:val="22"/>
        </w:rPr>
        <w:t>reviewed </w:t>
      </w:r>
      <w:r>
        <w:rPr>
          <w:sz w:val="22"/>
        </w:rPr>
        <w:t>by</w:t>
      </w:r>
      <w:r>
        <w:rPr>
          <w:spacing w:val="-16"/>
          <w:sz w:val="22"/>
        </w:rPr>
        <w:t> </w:t>
      </w:r>
      <w:r>
        <w:rPr>
          <w:spacing w:val="9"/>
          <w:sz w:val="22"/>
        </w:rPr>
        <w:t>the </w:t>
      </w:r>
      <w:r>
        <w:rPr>
          <w:sz w:val="22"/>
        </w:rPr>
        <w:t>Gra</w:t>
      </w:r>
      <w:r>
        <w:rPr>
          <w:spacing w:val="-16"/>
          <w:sz w:val="22"/>
        </w:rPr>
        <w:t> </w:t>
      </w:r>
      <w:r>
        <w:rPr>
          <w:spacing w:val="12"/>
          <w:sz w:val="22"/>
        </w:rPr>
        <w:t>de </w:t>
      </w:r>
      <w:r>
        <w:rPr>
          <w:sz w:val="22"/>
        </w:rPr>
        <w:t>Ap</w:t>
      </w:r>
      <w:r>
        <w:rPr>
          <w:spacing w:val="-16"/>
          <w:sz w:val="22"/>
        </w:rPr>
        <w:t> </w:t>
      </w:r>
      <w:r>
        <w:rPr>
          <w:spacing w:val="12"/>
          <w:sz w:val="22"/>
        </w:rPr>
        <w:t>peals</w:t>
      </w:r>
      <w:r>
        <w:rPr>
          <w:sz w:val="22"/>
        </w:rPr>
        <w:t> </w:t>
      </w:r>
      <w:r>
        <w:rPr>
          <w:spacing w:val="13"/>
          <w:sz w:val="22"/>
        </w:rPr>
        <w:t>School’s</w:t>
      </w:r>
      <w:r>
        <w:rPr>
          <w:spacing w:val="12"/>
          <w:sz w:val="22"/>
        </w:rPr>
        <w:t> Committee, </w:t>
      </w:r>
      <w:r>
        <w:rPr>
          <w:sz w:val="22"/>
        </w:rPr>
        <w:t>as </w:t>
      </w:r>
      <w:r>
        <w:rPr>
          <w:spacing w:val="12"/>
          <w:sz w:val="22"/>
        </w:rPr>
        <w:t>such </w:t>
      </w:r>
      <w:r>
        <w:rPr>
          <w:spacing w:val="11"/>
          <w:sz w:val="22"/>
        </w:rPr>
        <w:t>allegations </w:t>
      </w:r>
      <w:r>
        <w:rPr>
          <w:sz w:val="22"/>
        </w:rPr>
        <w:t>will </w:t>
      </w:r>
      <w:r>
        <w:rPr>
          <w:spacing w:val="13"/>
          <w:sz w:val="22"/>
        </w:rPr>
        <w:t>have </w:t>
      </w:r>
      <w:r>
        <w:rPr>
          <w:spacing w:val="14"/>
          <w:sz w:val="22"/>
        </w:rPr>
        <w:t>been </w:t>
      </w:r>
      <w:r>
        <w:rPr>
          <w:spacing w:val="13"/>
          <w:sz w:val="22"/>
        </w:rPr>
        <w:t>reviewed </w:t>
      </w:r>
      <w:r>
        <w:rPr>
          <w:sz w:val="22"/>
        </w:rPr>
        <w:t>by </w:t>
      </w:r>
      <w:r>
        <w:rPr>
          <w:spacing w:val="9"/>
          <w:sz w:val="22"/>
        </w:rPr>
        <w:t>the </w:t>
      </w:r>
      <w:r>
        <w:rPr>
          <w:sz w:val="22"/>
        </w:rPr>
        <w:t>Chair, </w:t>
      </w:r>
      <w:r>
        <w:rPr>
          <w:spacing w:val="13"/>
          <w:sz w:val="22"/>
        </w:rPr>
        <w:t>and </w:t>
      </w:r>
      <w:r>
        <w:rPr>
          <w:spacing w:val="15"/>
          <w:sz w:val="22"/>
        </w:rPr>
        <w:t>depending </w:t>
      </w:r>
      <w:r>
        <w:rPr>
          <w:sz w:val="22"/>
        </w:rPr>
        <w:t>on </w:t>
      </w:r>
      <w:r>
        <w:rPr>
          <w:spacing w:val="9"/>
          <w:sz w:val="22"/>
        </w:rPr>
        <w:t>the </w:t>
      </w:r>
      <w:r>
        <w:rPr>
          <w:sz w:val="22"/>
        </w:rPr>
        <w:t>verific</w:t>
      </w:r>
      <w:r>
        <w:rPr>
          <w:spacing w:val="-16"/>
          <w:sz w:val="22"/>
        </w:rPr>
        <w:t> </w:t>
      </w:r>
      <w:r>
        <w:rPr>
          <w:spacing w:val="11"/>
          <w:sz w:val="22"/>
        </w:rPr>
        <w:t>ation </w:t>
      </w:r>
      <w:r>
        <w:rPr>
          <w:sz w:val="22"/>
        </w:rPr>
        <w:t>of </w:t>
      </w:r>
      <w:r>
        <w:rPr>
          <w:spacing w:val="9"/>
          <w:sz w:val="22"/>
        </w:rPr>
        <w:t>the </w:t>
      </w:r>
      <w:r>
        <w:rPr>
          <w:spacing w:val="11"/>
          <w:sz w:val="22"/>
        </w:rPr>
        <w:t>allegations </w:t>
      </w:r>
      <w:r>
        <w:rPr>
          <w:sz w:val="22"/>
        </w:rPr>
        <w:t>will </w:t>
      </w:r>
      <w:r>
        <w:rPr>
          <w:spacing w:val="12"/>
          <w:sz w:val="22"/>
        </w:rPr>
        <w:t>be </w:t>
      </w:r>
      <w:r>
        <w:rPr>
          <w:spacing w:val="9"/>
          <w:sz w:val="22"/>
        </w:rPr>
        <w:t>sent </w:t>
      </w:r>
      <w:r>
        <w:rPr>
          <w:sz w:val="22"/>
        </w:rPr>
        <w:t>to </w:t>
      </w:r>
      <w:r>
        <w:rPr>
          <w:spacing w:val="9"/>
          <w:sz w:val="22"/>
        </w:rPr>
        <w:t>the </w:t>
      </w:r>
      <w:r>
        <w:rPr>
          <w:sz w:val="22"/>
        </w:rPr>
        <w:t>University’s </w:t>
      </w:r>
      <w:r>
        <w:rPr>
          <w:spacing w:val="14"/>
          <w:sz w:val="22"/>
        </w:rPr>
        <w:t>designated </w:t>
      </w:r>
      <w:r>
        <w:rPr>
          <w:spacing w:val="12"/>
          <w:sz w:val="22"/>
        </w:rPr>
        <w:t>Committee.</w:t>
      </w:r>
      <w:r>
        <w:rPr>
          <w:spacing w:val="5"/>
          <w:sz w:val="22"/>
        </w:rPr>
        <w:t> </w:t>
      </w:r>
      <w:r>
        <w:rPr>
          <w:sz w:val="22"/>
        </w:rPr>
        <w:t>In </w:t>
      </w:r>
      <w:r>
        <w:rPr>
          <w:spacing w:val="12"/>
          <w:sz w:val="22"/>
        </w:rPr>
        <w:t>such </w:t>
      </w:r>
      <w:r>
        <w:rPr>
          <w:sz w:val="22"/>
        </w:rPr>
        <w:t>c</w:t>
      </w:r>
      <w:r>
        <w:rPr>
          <w:spacing w:val="-25"/>
          <w:sz w:val="22"/>
        </w:rPr>
        <w:t> </w:t>
      </w:r>
      <w:r>
        <w:rPr>
          <w:sz w:val="22"/>
        </w:rPr>
        <w:t>ases, </w:t>
      </w:r>
      <w:r>
        <w:rPr>
          <w:spacing w:val="9"/>
          <w:sz w:val="22"/>
        </w:rPr>
        <w:t>the </w:t>
      </w:r>
      <w:r>
        <w:rPr>
          <w:sz w:val="22"/>
        </w:rPr>
        <w:t>Chair,</w:t>
      </w:r>
    </w:p>
    <w:p>
      <w:pPr>
        <w:spacing w:line="256" w:lineRule="auto" w:before="0"/>
        <w:ind w:left="1170" w:right="927" w:hanging="7"/>
        <w:jc w:val="left"/>
        <w:rPr>
          <w:sz w:val="22"/>
        </w:rPr>
      </w:pPr>
      <w:r>
        <w:rPr>
          <w:sz w:val="22"/>
        </w:rPr>
        <w:t>fa</w:t>
      </w:r>
      <w:r>
        <w:rPr>
          <w:spacing w:val="-30"/>
          <w:sz w:val="22"/>
        </w:rPr>
        <w:t> </w:t>
      </w:r>
      <w:r>
        <w:rPr>
          <w:sz w:val="22"/>
        </w:rPr>
        <w:t>culty </w:t>
      </w:r>
      <w:r>
        <w:rPr>
          <w:spacing w:val="16"/>
          <w:sz w:val="22"/>
        </w:rPr>
        <w:t>member </w:t>
      </w:r>
      <w:r>
        <w:rPr>
          <w:spacing w:val="12"/>
          <w:sz w:val="22"/>
        </w:rPr>
        <w:t>and student </w:t>
      </w:r>
      <w:r>
        <w:rPr>
          <w:sz w:val="22"/>
        </w:rPr>
        <w:t>will </w:t>
      </w:r>
      <w:r>
        <w:rPr>
          <w:spacing w:val="9"/>
          <w:sz w:val="22"/>
        </w:rPr>
        <w:t>follow the </w:t>
      </w:r>
      <w:r>
        <w:rPr>
          <w:spacing w:val="10"/>
          <w:sz w:val="22"/>
        </w:rPr>
        <w:t>rec</w:t>
      </w:r>
      <w:r>
        <w:rPr>
          <w:spacing w:val="-32"/>
          <w:sz w:val="22"/>
        </w:rPr>
        <w:t> </w:t>
      </w:r>
      <w:r>
        <w:rPr>
          <w:spacing w:val="16"/>
          <w:sz w:val="22"/>
        </w:rPr>
        <w:t>ommendation</w:t>
      </w:r>
      <w:r>
        <w:rPr>
          <w:spacing w:val="5"/>
          <w:sz w:val="22"/>
        </w:rPr>
        <w:t> </w:t>
      </w:r>
      <w:r>
        <w:rPr>
          <w:sz w:val="22"/>
        </w:rPr>
        <w:t>issued by </w:t>
      </w:r>
      <w:r>
        <w:rPr>
          <w:spacing w:val="9"/>
          <w:sz w:val="22"/>
        </w:rPr>
        <w:t>the </w:t>
      </w:r>
      <w:r>
        <w:rPr>
          <w:spacing w:val="14"/>
          <w:sz w:val="22"/>
        </w:rPr>
        <w:t>Committee </w:t>
      </w:r>
      <w:r>
        <w:rPr>
          <w:spacing w:val="10"/>
          <w:sz w:val="22"/>
        </w:rPr>
        <w:t>after</w:t>
      </w:r>
      <w:r>
        <w:rPr>
          <w:spacing w:val="9"/>
          <w:sz w:val="22"/>
        </w:rPr>
        <w:t> </w:t>
      </w:r>
      <w:r>
        <w:rPr>
          <w:spacing w:val="10"/>
          <w:sz w:val="22"/>
        </w:rPr>
        <w:t>reviewing </w:t>
      </w:r>
      <w:r>
        <w:rPr>
          <w:spacing w:val="9"/>
          <w:sz w:val="22"/>
        </w:rPr>
        <w:t>the </w:t>
      </w:r>
      <w:r>
        <w:rPr>
          <w:spacing w:val="10"/>
          <w:sz w:val="22"/>
        </w:rPr>
        <w:t>allegations. </w:t>
      </w:r>
      <w:r>
        <w:rPr>
          <w:spacing w:val="9"/>
          <w:sz w:val="22"/>
        </w:rPr>
        <w:t>Otherwise </w:t>
      </w:r>
      <w:r>
        <w:rPr>
          <w:sz w:val="22"/>
        </w:rPr>
        <w:t>the </w:t>
      </w:r>
      <w:r>
        <w:rPr>
          <w:spacing w:val="9"/>
          <w:sz w:val="22"/>
        </w:rPr>
        <w:t>Chair </w:t>
      </w:r>
      <w:r>
        <w:rPr>
          <w:sz w:val="22"/>
        </w:rPr>
        <w:t>will </w:t>
      </w:r>
      <w:r>
        <w:rPr>
          <w:spacing w:val="13"/>
          <w:sz w:val="22"/>
        </w:rPr>
        <w:t>have</w:t>
      </w:r>
    </w:p>
    <w:p>
      <w:pPr>
        <w:spacing w:line="256" w:lineRule="auto" w:before="0"/>
        <w:ind w:left="1172" w:right="642" w:firstLine="2"/>
        <w:jc w:val="left"/>
        <w:rPr>
          <w:sz w:val="22"/>
        </w:rPr>
      </w:pPr>
      <w:r>
        <w:rPr>
          <w:spacing w:val="13"/>
          <w:sz w:val="22"/>
        </w:rPr>
        <w:t>determined </w:t>
      </w:r>
      <w:r>
        <w:rPr>
          <w:spacing w:val="12"/>
          <w:sz w:val="22"/>
        </w:rPr>
        <w:t>outc</w:t>
      </w:r>
      <w:r>
        <w:rPr>
          <w:spacing w:val="-33"/>
          <w:sz w:val="22"/>
        </w:rPr>
        <w:t> </w:t>
      </w:r>
      <w:r>
        <w:rPr>
          <w:spacing w:val="13"/>
          <w:sz w:val="22"/>
        </w:rPr>
        <w:t>ome and </w:t>
      </w:r>
      <w:r>
        <w:rPr>
          <w:spacing w:val="12"/>
          <w:sz w:val="22"/>
        </w:rPr>
        <w:t>informed </w:t>
      </w:r>
      <w:r>
        <w:rPr>
          <w:spacing w:val="9"/>
          <w:sz w:val="22"/>
        </w:rPr>
        <w:t>the </w:t>
      </w:r>
      <w:r>
        <w:rPr>
          <w:spacing w:val="11"/>
          <w:sz w:val="22"/>
        </w:rPr>
        <w:t>Dean,</w:t>
      </w:r>
      <w:r>
        <w:rPr>
          <w:spacing w:val="3"/>
          <w:sz w:val="22"/>
        </w:rPr>
        <w:t> </w:t>
      </w:r>
      <w:r>
        <w:rPr>
          <w:sz w:val="22"/>
        </w:rPr>
        <w:t>fa</w:t>
      </w:r>
      <w:r>
        <w:rPr>
          <w:spacing w:val="-31"/>
          <w:sz w:val="22"/>
        </w:rPr>
        <w:t> </w:t>
      </w:r>
      <w:r>
        <w:rPr>
          <w:sz w:val="22"/>
        </w:rPr>
        <w:t>culty </w:t>
      </w:r>
      <w:r>
        <w:rPr>
          <w:spacing w:val="16"/>
          <w:sz w:val="22"/>
        </w:rPr>
        <w:t>member</w:t>
      </w:r>
      <w:r>
        <w:rPr>
          <w:spacing w:val="15"/>
          <w:sz w:val="22"/>
        </w:rPr>
        <w:t> </w:t>
      </w:r>
      <w:r>
        <w:rPr>
          <w:spacing w:val="12"/>
          <w:sz w:val="22"/>
        </w:rPr>
        <w:t>and </w:t>
      </w:r>
      <w:r>
        <w:rPr>
          <w:spacing w:val="13"/>
          <w:sz w:val="22"/>
        </w:rPr>
        <w:t>student</w:t>
      </w:r>
      <w:r>
        <w:rPr>
          <w:spacing w:val="7"/>
          <w:sz w:val="22"/>
        </w:rPr>
        <w:t> </w:t>
      </w:r>
      <w:r>
        <w:rPr>
          <w:sz w:val="22"/>
        </w:rPr>
        <w:t>in </w:t>
      </w:r>
      <w:r>
        <w:rPr>
          <w:spacing w:val="-2"/>
          <w:sz w:val="22"/>
        </w:rPr>
        <w:t>writing.</w:t>
      </w:r>
    </w:p>
    <w:p>
      <w:pPr>
        <w:spacing w:after="0" w:line="256" w:lineRule="auto"/>
        <w:jc w:val="left"/>
        <w:rPr>
          <w:sz w:val="22"/>
        </w:rPr>
        <w:sectPr>
          <w:headerReference w:type="default" r:id="rId325"/>
          <w:footerReference w:type="default" r:id="rId326"/>
          <w:pgSz w:w="12240" w:h="15840"/>
          <w:pgMar w:header="1463" w:footer="748" w:top="1700" w:bottom="940" w:left="1000" w:right="820"/>
        </w:sectPr>
      </w:pPr>
    </w:p>
    <w:p>
      <w:pPr>
        <w:pStyle w:val="Heading6"/>
        <w:ind w:left="453"/>
      </w:pPr>
      <w:r>
        <w:rPr>
          <w:w w:val="90"/>
        </w:rPr>
        <w:t>GRIEVANCE</w:t>
      </w:r>
      <w:r>
        <w:rPr>
          <w:spacing w:val="30"/>
        </w:rPr>
        <w:t> </w:t>
      </w:r>
      <w:r>
        <w:rPr>
          <w:w w:val="90"/>
        </w:rPr>
        <w:t>PROCEDURE</w:t>
      </w:r>
      <w:r>
        <w:rPr>
          <w:spacing w:val="31"/>
        </w:rPr>
        <w:t> </w:t>
      </w:r>
      <w:r>
        <w:rPr>
          <w:w w:val="90"/>
        </w:rPr>
        <w:t>FOR</w:t>
      </w:r>
      <w:r>
        <w:rPr>
          <w:spacing w:val="29"/>
        </w:rPr>
        <w:t> </w:t>
      </w:r>
      <w:r>
        <w:rPr>
          <w:spacing w:val="9"/>
          <w:w w:val="90"/>
        </w:rPr>
        <w:t>HAMPTON</w:t>
      </w:r>
      <w:r>
        <w:rPr>
          <w:spacing w:val="35"/>
        </w:rPr>
        <w:t> </w:t>
      </w:r>
      <w:r>
        <w:rPr>
          <w:w w:val="90"/>
        </w:rPr>
        <w:t>UNIVERSITY</w:t>
      </w:r>
      <w:r>
        <w:rPr>
          <w:spacing w:val="32"/>
        </w:rPr>
        <w:t> </w:t>
      </w:r>
      <w:r>
        <w:rPr>
          <w:spacing w:val="-2"/>
          <w:w w:val="90"/>
        </w:rPr>
        <w:t>STUDENTS</w:t>
      </w:r>
    </w:p>
    <w:p>
      <w:pPr>
        <w:pStyle w:val="BodyText"/>
        <w:spacing w:before="9"/>
        <w:rPr>
          <w:sz w:val="32"/>
        </w:rPr>
      </w:pPr>
    </w:p>
    <w:p>
      <w:pPr>
        <w:spacing w:line="292" w:lineRule="auto" w:before="0"/>
        <w:ind w:left="440" w:right="642" w:firstLine="0"/>
        <w:jc w:val="left"/>
        <w:rPr>
          <w:b/>
          <w:sz w:val="22"/>
        </w:rPr>
      </w:pPr>
      <w:r>
        <w:rPr>
          <w:b/>
          <w:w w:val="95"/>
          <w:sz w:val="22"/>
        </w:rPr>
        <w:t>For Steps ONE through FIVE, the student should submit requests in writing, clearly stating </w:t>
      </w:r>
      <w:r>
        <w:rPr>
          <w:b/>
          <w:spacing w:val="-2"/>
          <w:sz w:val="22"/>
        </w:rPr>
        <w:t>issues.</w:t>
      </w:r>
    </w:p>
    <w:p>
      <w:pPr>
        <w:pStyle w:val="BodyText"/>
        <w:spacing w:before="1"/>
        <w:rPr>
          <w:b/>
          <w:sz w:val="27"/>
        </w:rPr>
      </w:pPr>
    </w:p>
    <w:p>
      <w:pPr>
        <w:pStyle w:val="Heading8"/>
        <w:ind w:left="440"/>
      </w:pPr>
      <w:r>
        <w:rPr>
          <w:w w:val="85"/>
        </w:rPr>
        <w:t>STEP</w:t>
      </w:r>
      <w:r>
        <w:rPr>
          <w:spacing w:val="8"/>
        </w:rPr>
        <w:t> </w:t>
      </w:r>
      <w:r>
        <w:rPr>
          <w:w w:val="85"/>
        </w:rPr>
        <w:t>ONE</w:t>
      </w:r>
      <w:r>
        <w:rPr>
          <w:spacing w:val="49"/>
        </w:rPr>
        <w:t> </w:t>
      </w:r>
      <w:r>
        <w:rPr>
          <w:w w:val="85"/>
        </w:rPr>
        <w:t>START</w:t>
      </w:r>
      <w:r>
        <w:rPr>
          <w:spacing w:val="2"/>
        </w:rPr>
        <w:t> </w:t>
      </w:r>
      <w:r>
        <w:rPr>
          <w:w w:val="85"/>
        </w:rPr>
        <w:t>AT</w:t>
      </w:r>
      <w:r>
        <w:rPr/>
        <w:t> </w:t>
      </w:r>
      <w:r>
        <w:rPr>
          <w:w w:val="85"/>
        </w:rPr>
        <w:t>THE</w:t>
      </w:r>
      <w:r>
        <w:rPr>
          <w:spacing w:val="-1"/>
        </w:rPr>
        <w:t> </w:t>
      </w:r>
      <w:r>
        <w:rPr>
          <w:w w:val="85"/>
        </w:rPr>
        <w:t>SOURCE</w:t>
      </w:r>
      <w:r>
        <w:rPr>
          <w:spacing w:val="6"/>
        </w:rPr>
        <w:t> </w:t>
      </w:r>
      <w:r>
        <w:rPr>
          <w:w w:val="85"/>
        </w:rPr>
        <w:t>OF</w:t>
      </w:r>
      <w:r>
        <w:rPr/>
        <w:t> </w:t>
      </w:r>
      <w:r>
        <w:rPr>
          <w:w w:val="85"/>
        </w:rPr>
        <w:t>THE</w:t>
      </w:r>
      <w:r>
        <w:rPr>
          <w:spacing w:val="-1"/>
        </w:rPr>
        <w:t> </w:t>
      </w:r>
      <w:r>
        <w:rPr>
          <w:spacing w:val="-2"/>
          <w:w w:val="85"/>
        </w:rPr>
        <w:t>PROBLEM</w:t>
      </w:r>
    </w:p>
    <w:p>
      <w:pPr>
        <w:pStyle w:val="BodyText"/>
        <w:spacing w:before="1"/>
        <w:rPr>
          <w:b/>
          <w:sz w:val="32"/>
        </w:rPr>
      </w:pPr>
    </w:p>
    <w:p>
      <w:pPr>
        <w:pStyle w:val="ListParagraph"/>
        <w:numPr>
          <w:ilvl w:val="2"/>
          <w:numId w:val="74"/>
        </w:numPr>
        <w:tabs>
          <w:tab w:pos="2960" w:val="left" w:leader="none"/>
        </w:tabs>
        <w:spacing w:line="240" w:lineRule="auto" w:before="0" w:after="0"/>
        <w:ind w:left="2960" w:right="0" w:hanging="345"/>
        <w:jc w:val="left"/>
        <w:rPr>
          <w:sz w:val="22"/>
        </w:rPr>
      </w:pPr>
      <w:r>
        <w:rPr>
          <w:spacing w:val="13"/>
          <w:sz w:val="22"/>
        </w:rPr>
        <w:t>Schedule</w:t>
      </w:r>
      <w:r>
        <w:rPr>
          <w:spacing w:val="16"/>
          <w:sz w:val="22"/>
        </w:rPr>
        <w:t> </w:t>
      </w:r>
      <w:r>
        <w:rPr>
          <w:sz w:val="22"/>
        </w:rPr>
        <w:t>a</w:t>
      </w:r>
      <w:r>
        <w:rPr>
          <w:spacing w:val="25"/>
          <w:sz w:val="22"/>
        </w:rPr>
        <w:t> </w:t>
      </w:r>
      <w:r>
        <w:rPr>
          <w:sz w:val="22"/>
        </w:rPr>
        <w:t>c</w:t>
      </w:r>
      <w:r>
        <w:rPr>
          <w:spacing w:val="-33"/>
          <w:sz w:val="22"/>
        </w:rPr>
        <w:t> </w:t>
      </w:r>
      <w:r>
        <w:rPr>
          <w:spacing w:val="12"/>
          <w:sz w:val="22"/>
        </w:rPr>
        <w:t>onference</w:t>
      </w:r>
      <w:r>
        <w:rPr>
          <w:spacing w:val="17"/>
          <w:sz w:val="22"/>
        </w:rPr>
        <w:t> </w:t>
      </w:r>
      <w:r>
        <w:rPr>
          <w:sz w:val="22"/>
        </w:rPr>
        <w:t>with</w:t>
      </w:r>
      <w:r>
        <w:rPr>
          <w:spacing w:val="7"/>
          <w:sz w:val="22"/>
        </w:rPr>
        <w:t> </w:t>
      </w:r>
      <w:r>
        <w:rPr>
          <w:spacing w:val="9"/>
          <w:sz w:val="22"/>
        </w:rPr>
        <w:t>the</w:t>
      </w:r>
      <w:r>
        <w:rPr>
          <w:spacing w:val="6"/>
          <w:sz w:val="22"/>
        </w:rPr>
        <w:t> </w:t>
      </w:r>
      <w:r>
        <w:rPr>
          <w:spacing w:val="9"/>
          <w:sz w:val="22"/>
        </w:rPr>
        <w:t>instructor</w:t>
      </w:r>
      <w:r>
        <w:rPr>
          <w:spacing w:val="7"/>
          <w:sz w:val="22"/>
        </w:rPr>
        <w:t> </w:t>
      </w:r>
      <w:r>
        <w:rPr>
          <w:sz w:val="22"/>
        </w:rPr>
        <w:t>of</w:t>
      </w:r>
      <w:r>
        <w:rPr>
          <w:spacing w:val="6"/>
          <w:sz w:val="22"/>
        </w:rPr>
        <w:t> </w:t>
      </w:r>
      <w:r>
        <w:rPr>
          <w:spacing w:val="9"/>
          <w:sz w:val="22"/>
        </w:rPr>
        <w:t>the</w:t>
      </w:r>
      <w:r>
        <w:rPr>
          <w:spacing w:val="21"/>
          <w:sz w:val="22"/>
        </w:rPr>
        <w:t> </w:t>
      </w:r>
      <w:r>
        <w:rPr>
          <w:sz w:val="22"/>
        </w:rPr>
        <w:t>c</w:t>
      </w:r>
      <w:r>
        <w:rPr>
          <w:spacing w:val="-33"/>
          <w:sz w:val="22"/>
        </w:rPr>
        <w:t> </w:t>
      </w:r>
      <w:r>
        <w:rPr>
          <w:spacing w:val="-2"/>
          <w:sz w:val="22"/>
        </w:rPr>
        <w:t>ourse.</w:t>
      </w:r>
    </w:p>
    <w:p>
      <w:pPr>
        <w:pStyle w:val="ListParagraph"/>
        <w:numPr>
          <w:ilvl w:val="2"/>
          <w:numId w:val="74"/>
        </w:numPr>
        <w:tabs>
          <w:tab w:pos="2960" w:val="left" w:leader="none"/>
        </w:tabs>
        <w:spacing w:line="252" w:lineRule="auto" w:before="15" w:after="0"/>
        <w:ind w:left="2960" w:right="1497" w:hanging="345"/>
        <w:jc w:val="left"/>
        <w:rPr>
          <w:sz w:val="22"/>
        </w:rPr>
      </w:pPr>
      <w:r>
        <w:rPr>
          <w:sz w:val="22"/>
        </w:rPr>
        <w:t>Be </w:t>
      </w:r>
      <w:r>
        <w:rPr>
          <w:spacing w:val="14"/>
          <w:sz w:val="22"/>
        </w:rPr>
        <w:t>prepared </w:t>
      </w:r>
      <w:r>
        <w:rPr>
          <w:sz w:val="22"/>
        </w:rPr>
        <w:t>to discuss</w:t>
      </w:r>
      <w:r>
        <w:rPr>
          <w:spacing w:val="-3"/>
          <w:sz w:val="22"/>
        </w:rPr>
        <w:t> </w:t>
      </w:r>
      <w:r>
        <w:rPr>
          <w:sz w:val="22"/>
        </w:rPr>
        <w:t>issues of c</w:t>
      </w:r>
      <w:r>
        <w:rPr>
          <w:spacing w:val="-33"/>
          <w:sz w:val="22"/>
        </w:rPr>
        <w:t> </w:t>
      </w:r>
      <w:r>
        <w:rPr>
          <w:spacing w:val="11"/>
          <w:sz w:val="22"/>
        </w:rPr>
        <w:t>onc</w:t>
      </w:r>
      <w:r>
        <w:rPr>
          <w:spacing w:val="-34"/>
          <w:sz w:val="22"/>
        </w:rPr>
        <w:t> </w:t>
      </w:r>
      <w:r>
        <w:rPr>
          <w:sz w:val="22"/>
        </w:rPr>
        <w:t>ern clearly.</w:t>
      </w:r>
      <w:r>
        <w:rPr>
          <w:spacing w:val="40"/>
          <w:sz w:val="22"/>
        </w:rPr>
        <w:t> </w:t>
      </w:r>
      <w:r>
        <w:rPr>
          <w:sz w:val="22"/>
        </w:rPr>
        <w:t>Do </w:t>
      </w:r>
      <w:r>
        <w:rPr>
          <w:spacing w:val="11"/>
          <w:sz w:val="22"/>
        </w:rPr>
        <w:t>not </w:t>
      </w:r>
      <w:r>
        <w:rPr>
          <w:spacing w:val="12"/>
          <w:sz w:val="22"/>
        </w:rPr>
        <w:t>speculate.</w:t>
      </w:r>
    </w:p>
    <w:p>
      <w:pPr>
        <w:pStyle w:val="ListParagraph"/>
        <w:numPr>
          <w:ilvl w:val="2"/>
          <w:numId w:val="74"/>
        </w:numPr>
        <w:tabs>
          <w:tab w:pos="2960" w:val="left" w:leader="none"/>
        </w:tabs>
        <w:spacing w:line="252" w:lineRule="auto" w:before="4" w:after="0"/>
        <w:ind w:left="2960" w:right="709" w:hanging="343"/>
        <w:jc w:val="left"/>
        <w:rPr>
          <w:sz w:val="22"/>
        </w:rPr>
      </w:pPr>
      <w:r>
        <w:rPr>
          <w:sz w:val="22"/>
        </w:rPr>
        <w:t>Proc</w:t>
      </w:r>
      <w:r>
        <w:rPr>
          <w:spacing w:val="-33"/>
          <w:sz w:val="22"/>
        </w:rPr>
        <w:t> </w:t>
      </w:r>
      <w:r>
        <w:rPr>
          <w:spacing w:val="14"/>
          <w:sz w:val="22"/>
        </w:rPr>
        <w:t>eed </w:t>
      </w:r>
      <w:r>
        <w:rPr>
          <w:sz w:val="22"/>
        </w:rPr>
        <w:t>to</w:t>
      </w:r>
      <w:r>
        <w:rPr>
          <w:spacing w:val="9"/>
          <w:sz w:val="22"/>
        </w:rPr>
        <w:t> the </w:t>
      </w:r>
      <w:r>
        <w:rPr>
          <w:sz w:val="22"/>
        </w:rPr>
        <w:t>next </w:t>
      </w:r>
      <w:r>
        <w:rPr>
          <w:spacing w:val="10"/>
          <w:sz w:val="22"/>
        </w:rPr>
        <w:t>level </w:t>
      </w:r>
      <w:r>
        <w:rPr>
          <w:sz w:val="22"/>
        </w:rPr>
        <w:t>of</w:t>
      </w:r>
      <w:r>
        <w:rPr>
          <w:spacing w:val="9"/>
          <w:sz w:val="22"/>
        </w:rPr>
        <w:t> authority</w:t>
      </w:r>
      <w:r>
        <w:rPr>
          <w:spacing w:val="6"/>
          <w:sz w:val="22"/>
        </w:rPr>
        <w:t> </w:t>
      </w:r>
      <w:r>
        <w:rPr>
          <w:sz w:val="22"/>
        </w:rPr>
        <w:t>if </w:t>
      </w:r>
      <w:r>
        <w:rPr>
          <w:spacing w:val="9"/>
          <w:sz w:val="22"/>
        </w:rPr>
        <w:t>the </w:t>
      </w:r>
      <w:r>
        <w:rPr>
          <w:spacing w:val="13"/>
          <w:sz w:val="22"/>
        </w:rPr>
        <w:t>problem </w:t>
      </w:r>
      <w:r>
        <w:rPr>
          <w:sz w:val="22"/>
        </w:rPr>
        <w:t>or</w:t>
      </w:r>
      <w:r>
        <w:rPr>
          <w:spacing w:val="20"/>
          <w:sz w:val="22"/>
        </w:rPr>
        <w:t> </w:t>
      </w:r>
      <w:r>
        <w:rPr>
          <w:sz w:val="22"/>
        </w:rPr>
        <w:t>c</w:t>
      </w:r>
      <w:r>
        <w:rPr>
          <w:spacing w:val="-32"/>
          <w:sz w:val="22"/>
        </w:rPr>
        <w:t> </w:t>
      </w:r>
      <w:r>
        <w:rPr>
          <w:spacing w:val="11"/>
          <w:sz w:val="22"/>
        </w:rPr>
        <w:t>onc</w:t>
      </w:r>
      <w:r>
        <w:rPr>
          <w:spacing w:val="-33"/>
          <w:sz w:val="22"/>
        </w:rPr>
        <w:t> </w:t>
      </w:r>
      <w:r>
        <w:rPr>
          <w:sz w:val="22"/>
        </w:rPr>
        <w:t>ern is </w:t>
      </w:r>
      <w:r>
        <w:rPr>
          <w:spacing w:val="11"/>
          <w:sz w:val="22"/>
        </w:rPr>
        <w:t>not resolved.</w:t>
      </w:r>
    </w:p>
    <w:p>
      <w:pPr>
        <w:pStyle w:val="BodyText"/>
        <w:spacing w:before="2"/>
        <w:rPr>
          <w:sz w:val="27"/>
        </w:rPr>
      </w:pPr>
    </w:p>
    <w:p>
      <w:pPr>
        <w:pStyle w:val="Heading8"/>
      </w:pPr>
      <w:r>
        <w:rPr>
          <w:w w:val="90"/>
        </w:rPr>
        <w:t>STEP</w:t>
      </w:r>
      <w:r>
        <w:rPr>
          <w:spacing w:val="4"/>
        </w:rPr>
        <w:t> </w:t>
      </w:r>
      <w:r>
        <w:rPr>
          <w:w w:val="90"/>
        </w:rPr>
        <w:t>TWO</w:t>
      </w:r>
      <w:r>
        <w:rPr>
          <w:spacing w:val="48"/>
        </w:rPr>
        <w:t> </w:t>
      </w:r>
      <w:r>
        <w:rPr>
          <w:w w:val="90"/>
        </w:rPr>
        <w:t>SCHEDULE</w:t>
      </w:r>
      <w:r>
        <w:rPr>
          <w:spacing w:val="9"/>
        </w:rPr>
        <w:t> </w:t>
      </w:r>
      <w:r>
        <w:rPr>
          <w:w w:val="90"/>
        </w:rPr>
        <w:t>A</w:t>
      </w:r>
      <w:r>
        <w:rPr>
          <w:spacing w:val="13"/>
        </w:rPr>
        <w:t> </w:t>
      </w:r>
      <w:r>
        <w:rPr>
          <w:w w:val="90"/>
        </w:rPr>
        <w:t>CONFERENCE</w:t>
      </w:r>
      <w:r>
        <w:rPr>
          <w:spacing w:val="3"/>
        </w:rPr>
        <w:t> </w:t>
      </w:r>
      <w:r>
        <w:rPr>
          <w:w w:val="90"/>
        </w:rPr>
        <w:t>WITH</w:t>
      </w:r>
      <w:r>
        <w:rPr>
          <w:spacing w:val="7"/>
        </w:rPr>
        <w:t> </w:t>
      </w:r>
      <w:r>
        <w:rPr>
          <w:w w:val="90"/>
        </w:rPr>
        <w:t>ACADEMIC</w:t>
      </w:r>
      <w:r>
        <w:rPr>
          <w:spacing w:val="14"/>
        </w:rPr>
        <w:t> </w:t>
      </w:r>
      <w:r>
        <w:rPr>
          <w:spacing w:val="-2"/>
          <w:w w:val="90"/>
        </w:rPr>
        <w:t>ADVISOR</w:t>
      </w:r>
    </w:p>
    <w:p>
      <w:pPr>
        <w:pStyle w:val="BodyText"/>
        <w:rPr>
          <w:b/>
          <w:sz w:val="32"/>
        </w:rPr>
      </w:pPr>
    </w:p>
    <w:p>
      <w:pPr>
        <w:spacing w:before="0"/>
        <w:ind w:left="1519" w:right="0" w:firstLine="0"/>
        <w:jc w:val="left"/>
        <w:rPr>
          <w:sz w:val="22"/>
        </w:rPr>
      </w:pPr>
      <w:r>
        <w:rPr>
          <w:spacing w:val="16"/>
          <w:sz w:val="22"/>
        </w:rPr>
        <w:t>Repeat</w:t>
      </w:r>
      <w:r>
        <w:rPr>
          <w:spacing w:val="6"/>
          <w:sz w:val="22"/>
        </w:rPr>
        <w:t> </w:t>
      </w:r>
      <w:r>
        <w:rPr>
          <w:sz w:val="22"/>
        </w:rPr>
        <w:t>b</w:t>
      </w:r>
      <w:r>
        <w:rPr>
          <w:spacing w:val="13"/>
          <w:sz w:val="22"/>
        </w:rPr>
        <w:t> and </w:t>
      </w:r>
      <w:r>
        <w:rPr>
          <w:sz w:val="22"/>
        </w:rPr>
        <w:t>c</w:t>
      </w:r>
      <w:r>
        <w:rPr>
          <w:spacing w:val="15"/>
          <w:sz w:val="22"/>
        </w:rPr>
        <w:t> </w:t>
      </w:r>
      <w:r>
        <w:rPr>
          <w:sz w:val="22"/>
        </w:rPr>
        <w:t>as</w:t>
      </w:r>
      <w:r>
        <w:rPr>
          <w:spacing w:val="-10"/>
          <w:sz w:val="22"/>
        </w:rPr>
        <w:t> </w:t>
      </w:r>
      <w:r>
        <w:rPr>
          <w:spacing w:val="12"/>
          <w:sz w:val="22"/>
        </w:rPr>
        <w:t>started</w:t>
      </w:r>
      <w:r>
        <w:rPr>
          <w:spacing w:val="1"/>
          <w:sz w:val="22"/>
        </w:rPr>
        <w:t> </w:t>
      </w:r>
      <w:r>
        <w:rPr>
          <w:sz w:val="22"/>
        </w:rPr>
        <w:t>in</w:t>
      </w:r>
      <w:r>
        <w:rPr>
          <w:spacing w:val="-6"/>
          <w:sz w:val="22"/>
        </w:rPr>
        <w:t> </w:t>
      </w:r>
      <w:r>
        <w:rPr>
          <w:spacing w:val="11"/>
          <w:sz w:val="22"/>
        </w:rPr>
        <w:t>Step</w:t>
      </w:r>
      <w:r>
        <w:rPr>
          <w:spacing w:val="10"/>
          <w:sz w:val="22"/>
        </w:rPr>
        <w:t> </w:t>
      </w:r>
      <w:r>
        <w:rPr>
          <w:spacing w:val="6"/>
          <w:sz w:val="22"/>
        </w:rPr>
        <w:t>One.</w:t>
      </w:r>
    </w:p>
    <w:p>
      <w:pPr>
        <w:pStyle w:val="BodyText"/>
        <w:spacing w:before="10"/>
        <w:rPr>
          <w:sz w:val="31"/>
        </w:rPr>
      </w:pPr>
    </w:p>
    <w:p>
      <w:pPr>
        <w:pStyle w:val="Heading8"/>
        <w:tabs>
          <w:tab w:pos="1879" w:val="left" w:leader="none"/>
        </w:tabs>
        <w:spacing w:line="295" w:lineRule="auto"/>
        <w:ind w:left="1879" w:right="1587" w:hanging="1441"/>
      </w:pPr>
      <w:r>
        <w:rPr/>
        <w:t>STEP THREE</w:t>
        <w:tab/>
      </w:r>
      <w:r>
        <w:rPr>
          <w:w w:val="90"/>
        </w:rPr>
        <w:t>SCHEDULE A CONFERENCE WITH THE ADMINISTRATIVE HEAD OF THE </w:t>
      </w:r>
      <w:r>
        <w:rPr>
          <w:w w:val="95"/>
        </w:rPr>
        <w:t>DEPARTMENT OR ACADEMIC UNIT</w:t>
      </w:r>
    </w:p>
    <w:p>
      <w:pPr>
        <w:pStyle w:val="BodyText"/>
        <w:spacing w:before="10"/>
        <w:rPr>
          <w:b/>
          <w:sz w:val="26"/>
        </w:rPr>
      </w:pPr>
    </w:p>
    <w:p>
      <w:pPr>
        <w:spacing w:before="0"/>
        <w:ind w:left="1519" w:right="0" w:firstLine="0"/>
        <w:jc w:val="left"/>
        <w:rPr>
          <w:sz w:val="22"/>
        </w:rPr>
      </w:pPr>
      <w:r>
        <w:rPr>
          <w:spacing w:val="16"/>
          <w:sz w:val="22"/>
        </w:rPr>
        <w:t>Repeat</w:t>
      </w:r>
      <w:r>
        <w:rPr>
          <w:spacing w:val="6"/>
          <w:sz w:val="22"/>
        </w:rPr>
        <w:t> </w:t>
      </w:r>
      <w:r>
        <w:rPr>
          <w:sz w:val="22"/>
        </w:rPr>
        <w:t>b</w:t>
      </w:r>
      <w:r>
        <w:rPr>
          <w:spacing w:val="13"/>
          <w:sz w:val="22"/>
        </w:rPr>
        <w:t> and </w:t>
      </w:r>
      <w:r>
        <w:rPr>
          <w:sz w:val="22"/>
        </w:rPr>
        <w:t>c</w:t>
      </w:r>
      <w:r>
        <w:rPr>
          <w:spacing w:val="15"/>
          <w:sz w:val="22"/>
        </w:rPr>
        <w:t> </w:t>
      </w:r>
      <w:r>
        <w:rPr>
          <w:sz w:val="22"/>
        </w:rPr>
        <w:t>as</w:t>
      </w:r>
      <w:r>
        <w:rPr>
          <w:spacing w:val="-10"/>
          <w:sz w:val="22"/>
        </w:rPr>
        <w:t> </w:t>
      </w:r>
      <w:r>
        <w:rPr>
          <w:spacing w:val="12"/>
          <w:sz w:val="22"/>
        </w:rPr>
        <w:t>started</w:t>
      </w:r>
      <w:r>
        <w:rPr>
          <w:spacing w:val="1"/>
          <w:sz w:val="22"/>
        </w:rPr>
        <w:t> </w:t>
      </w:r>
      <w:r>
        <w:rPr>
          <w:sz w:val="22"/>
        </w:rPr>
        <w:t>in</w:t>
      </w:r>
      <w:r>
        <w:rPr>
          <w:spacing w:val="-6"/>
          <w:sz w:val="22"/>
        </w:rPr>
        <w:t> </w:t>
      </w:r>
      <w:r>
        <w:rPr>
          <w:spacing w:val="11"/>
          <w:sz w:val="22"/>
        </w:rPr>
        <w:t>Step</w:t>
      </w:r>
      <w:r>
        <w:rPr>
          <w:spacing w:val="10"/>
          <w:sz w:val="22"/>
        </w:rPr>
        <w:t> </w:t>
      </w:r>
      <w:r>
        <w:rPr>
          <w:spacing w:val="6"/>
          <w:sz w:val="22"/>
        </w:rPr>
        <w:t>One.</w:t>
      </w:r>
    </w:p>
    <w:p>
      <w:pPr>
        <w:pStyle w:val="BodyText"/>
        <w:rPr>
          <w:sz w:val="32"/>
        </w:rPr>
      </w:pPr>
    </w:p>
    <w:p>
      <w:pPr>
        <w:pStyle w:val="Heading8"/>
        <w:spacing w:before="1"/>
      </w:pPr>
      <w:r>
        <w:rPr>
          <w:w w:val="85"/>
        </w:rPr>
        <w:t>STEP</w:t>
      </w:r>
      <w:r>
        <w:rPr>
          <w:spacing w:val="29"/>
        </w:rPr>
        <w:t> </w:t>
      </w:r>
      <w:r>
        <w:rPr>
          <w:w w:val="85"/>
        </w:rPr>
        <w:t>FOURSCHEDULE</w:t>
      </w:r>
      <w:r>
        <w:rPr>
          <w:spacing w:val="33"/>
        </w:rPr>
        <w:t> </w:t>
      </w:r>
      <w:r>
        <w:rPr>
          <w:w w:val="85"/>
        </w:rPr>
        <w:t>CONFERENCE</w:t>
      </w:r>
      <w:r>
        <w:rPr>
          <w:spacing w:val="30"/>
        </w:rPr>
        <w:t> </w:t>
      </w:r>
      <w:r>
        <w:rPr>
          <w:w w:val="85"/>
        </w:rPr>
        <w:t>WITH</w:t>
      </w:r>
      <w:r>
        <w:rPr>
          <w:spacing w:val="29"/>
        </w:rPr>
        <w:t> </w:t>
      </w:r>
      <w:r>
        <w:rPr>
          <w:w w:val="85"/>
        </w:rPr>
        <w:t>DEAN</w:t>
      </w:r>
      <w:r>
        <w:rPr>
          <w:spacing w:val="41"/>
        </w:rPr>
        <w:t> </w:t>
      </w:r>
      <w:r>
        <w:rPr>
          <w:w w:val="85"/>
        </w:rPr>
        <w:t>OF</w:t>
      </w:r>
      <w:r>
        <w:rPr>
          <w:spacing w:val="23"/>
        </w:rPr>
        <w:t> </w:t>
      </w:r>
      <w:r>
        <w:rPr>
          <w:w w:val="85"/>
        </w:rPr>
        <w:t>THE</w:t>
      </w:r>
      <w:r>
        <w:rPr>
          <w:spacing w:val="30"/>
        </w:rPr>
        <w:t> </w:t>
      </w:r>
      <w:r>
        <w:rPr>
          <w:spacing w:val="-2"/>
          <w:w w:val="85"/>
        </w:rPr>
        <w:t>SCHOOL</w:t>
      </w:r>
    </w:p>
    <w:p>
      <w:pPr>
        <w:pStyle w:val="BodyText"/>
        <w:spacing w:before="9"/>
        <w:rPr>
          <w:b/>
          <w:sz w:val="31"/>
        </w:rPr>
      </w:pPr>
    </w:p>
    <w:p>
      <w:pPr>
        <w:spacing w:before="0"/>
        <w:ind w:left="1519" w:right="0" w:firstLine="0"/>
        <w:jc w:val="left"/>
        <w:rPr>
          <w:sz w:val="22"/>
        </w:rPr>
      </w:pPr>
      <w:r>
        <w:rPr>
          <w:spacing w:val="16"/>
          <w:sz w:val="22"/>
        </w:rPr>
        <w:t>Repeat</w:t>
      </w:r>
      <w:r>
        <w:rPr>
          <w:spacing w:val="6"/>
          <w:sz w:val="22"/>
        </w:rPr>
        <w:t> </w:t>
      </w:r>
      <w:r>
        <w:rPr>
          <w:sz w:val="22"/>
        </w:rPr>
        <w:t>b</w:t>
      </w:r>
      <w:r>
        <w:rPr>
          <w:spacing w:val="13"/>
          <w:sz w:val="22"/>
        </w:rPr>
        <w:t> and </w:t>
      </w:r>
      <w:r>
        <w:rPr>
          <w:sz w:val="22"/>
        </w:rPr>
        <w:t>c</w:t>
      </w:r>
      <w:r>
        <w:rPr>
          <w:spacing w:val="15"/>
          <w:sz w:val="22"/>
        </w:rPr>
        <w:t> </w:t>
      </w:r>
      <w:r>
        <w:rPr>
          <w:sz w:val="22"/>
        </w:rPr>
        <w:t>as</w:t>
      </w:r>
      <w:r>
        <w:rPr>
          <w:spacing w:val="-10"/>
          <w:sz w:val="22"/>
        </w:rPr>
        <w:t> </w:t>
      </w:r>
      <w:r>
        <w:rPr>
          <w:spacing w:val="12"/>
          <w:sz w:val="22"/>
        </w:rPr>
        <w:t>started</w:t>
      </w:r>
      <w:r>
        <w:rPr>
          <w:spacing w:val="1"/>
          <w:sz w:val="22"/>
        </w:rPr>
        <w:t> </w:t>
      </w:r>
      <w:r>
        <w:rPr>
          <w:sz w:val="22"/>
        </w:rPr>
        <w:t>in</w:t>
      </w:r>
      <w:r>
        <w:rPr>
          <w:spacing w:val="-6"/>
          <w:sz w:val="22"/>
        </w:rPr>
        <w:t> </w:t>
      </w:r>
      <w:r>
        <w:rPr>
          <w:spacing w:val="11"/>
          <w:sz w:val="22"/>
        </w:rPr>
        <w:t>Step</w:t>
      </w:r>
      <w:r>
        <w:rPr>
          <w:spacing w:val="10"/>
          <w:sz w:val="22"/>
        </w:rPr>
        <w:t> </w:t>
      </w:r>
      <w:r>
        <w:rPr>
          <w:spacing w:val="6"/>
          <w:sz w:val="22"/>
        </w:rPr>
        <w:t>One.</w:t>
      </w:r>
    </w:p>
    <w:p>
      <w:pPr>
        <w:pStyle w:val="BodyText"/>
        <w:spacing w:before="1"/>
        <w:rPr>
          <w:sz w:val="32"/>
        </w:rPr>
      </w:pPr>
    </w:p>
    <w:p>
      <w:pPr>
        <w:pStyle w:val="Heading8"/>
      </w:pPr>
      <w:r>
        <w:rPr>
          <w:w w:val="90"/>
        </w:rPr>
        <w:t>STEP</w:t>
      </w:r>
      <w:r>
        <w:rPr>
          <w:spacing w:val="5"/>
        </w:rPr>
        <w:t> </w:t>
      </w:r>
      <w:r>
        <w:rPr>
          <w:w w:val="90"/>
        </w:rPr>
        <w:t>FIVE</w:t>
      </w:r>
      <w:r>
        <w:rPr>
          <w:spacing w:val="51"/>
          <w:w w:val="150"/>
        </w:rPr>
        <w:t> </w:t>
      </w:r>
      <w:r>
        <w:rPr>
          <w:w w:val="90"/>
        </w:rPr>
        <w:t>SCHEDULE</w:t>
      </w:r>
      <w:r>
        <w:rPr>
          <w:spacing w:val="7"/>
        </w:rPr>
        <w:t> </w:t>
      </w:r>
      <w:r>
        <w:rPr>
          <w:w w:val="90"/>
        </w:rPr>
        <w:t>A</w:t>
      </w:r>
      <w:r>
        <w:rPr>
          <w:spacing w:val="11"/>
        </w:rPr>
        <w:t> </w:t>
      </w:r>
      <w:r>
        <w:rPr>
          <w:w w:val="90"/>
        </w:rPr>
        <w:t>MEETING</w:t>
      </w:r>
      <w:r>
        <w:rPr>
          <w:spacing w:val="8"/>
        </w:rPr>
        <w:t> </w:t>
      </w:r>
      <w:r>
        <w:rPr>
          <w:w w:val="90"/>
        </w:rPr>
        <w:t>WITH</w:t>
      </w:r>
      <w:r>
        <w:rPr>
          <w:spacing w:val="13"/>
        </w:rPr>
        <w:t> </w:t>
      </w:r>
      <w:r>
        <w:rPr>
          <w:w w:val="90"/>
        </w:rPr>
        <w:t>GRIEVANCE</w:t>
      </w:r>
      <w:r>
        <w:rPr>
          <w:spacing w:val="8"/>
        </w:rPr>
        <w:t> </w:t>
      </w:r>
      <w:r>
        <w:rPr>
          <w:w w:val="90"/>
        </w:rPr>
        <w:t>COUNCIL</w:t>
      </w:r>
      <w:r>
        <w:rPr>
          <w:spacing w:val="10"/>
        </w:rPr>
        <w:t> </w:t>
      </w:r>
      <w:r>
        <w:rPr>
          <w:w w:val="90"/>
        </w:rPr>
        <w:t>OF</w:t>
      </w:r>
      <w:r>
        <w:rPr>
          <w:spacing w:val="1"/>
        </w:rPr>
        <w:t> </w:t>
      </w:r>
      <w:r>
        <w:rPr>
          <w:spacing w:val="-2"/>
          <w:w w:val="90"/>
        </w:rPr>
        <w:t>SCHOOL</w:t>
      </w:r>
    </w:p>
    <w:p>
      <w:pPr>
        <w:pStyle w:val="BodyText"/>
        <w:spacing w:before="9"/>
        <w:rPr>
          <w:b/>
          <w:sz w:val="31"/>
        </w:rPr>
      </w:pPr>
    </w:p>
    <w:p>
      <w:pPr>
        <w:spacing w:before="1"/>
        <w:ind w:left="1519" w:right="0" w:firstLine="0"/>
        <w:jc w:val="left"/>
        <w:rPr>
          <w:sz w:val="22"/>
        </w:rPr>
      </w:pPr>
      <w:r>
        <w:rPr>
          <w:spacing w:val="16"/>
          <w:sz w:val="22"/>
        </w:rPr>
        <w:t>Repeat</w:t>
      </w:r>
      <w:r>
        <w:rPr>
          <w:spacing w:val="6"/>
          <w:sz w:val="22"/>
        </w:rPr>
        <w:t> </w:t>
      </w:r>
      <w:r>
        <w:rPr>
          <w:sz w:val="22"/>
        </w:rPr>
        <w:t>b</w:t>
      </w:r>
      <w:r>
        <w:rPr>
          <w:spacing w:val="13"/>
          <w:sz w:val="22"/>
        </w:rPr>
        <w:t> and </w:t>
      </w:r>
      <w:r>
        <w:rPr>
          <w:sz w:val="22"/>
        </w:rPr>
        <w:t>c</w:t>
      </w:r>
      <w:r>
        <w:rPr>
          <w:spacing w:val="15"/>
          <w:sz w:val="22"/>
        </w:rPr>
        <w:t> </w:t>
      </w:r>
      <w:r>
        <w:rPr>
          <w:sz w:val="22"/>
        </w:rPr>
        <w:t>as</w:t>
      </w:r>
      <w:r>
        <w:rPr>
          <w:spacing w:val="-10"/>
          <w:sz w:val="22"/>
        </w:rPr>
        <w:t> </w:t>
      </w:r>
      <w:r>
        <w:rPr>
          <w:spacing w:val="12"/>
          <w:sz w:val="22"/>
        </w:rPr>
        <w:t>started</w:t>
      </w:r>
      <w:r>
        <w:rPr>
          <w:spacing w:val="1"/>
          <w:sz w:val="22"/>
        </w:rPr>
        <w:t> </w:t>
      </w:r>
      <w:r>
        <w:rPr>
          <w:sz w:val="22"/>
        </w:rPr>
        <w:t>in</w:t>
      </w:r>
      <w:r>
        <w:rPr>
          <w:spacing w:val="-6"/>
          <w:sz w:val="22"/>
        </w:rPr>
        <w:t> </w:t>
      </w:r>
      <w:r>
        <w:rPr>
          <w:spacing w:val="11"/>
          <w:sz w:val="22"/>
        </w:rPr>
        <w:t>Step</w:t>
      </w:r>
      <w:r>
        <w:rPr>
          <w:spacing w:val="10"/>
          <w:sz w:val="22"/>
        </w:rPr>
        <w:t> </w:t>
      </w:r>
      <w:r>
        <w:rPr>
          <w:spacing w:val="6"/>
          <w:sz w:val="22"/>
        </w:rPr>
        <w:t>One.</w:t>
      </w:r>
    </w:p>
    <w:p>
      <w:pPr>
        <w:pStyle w:val="BodyText"/>
        <w:rPr>
          <w:sz w:val="32"/>
        </w:rPr>
      </w:pPr>
    </w:p>
    <w:p>
      <w:pPr>
        <w:tabs>
          <w:tab w:pos="1879" w:val="left" w:leader="none"/>
        </w:tabs>
        <w:spacing w:line="292" w:lineRule="auto" w:before="0"/>
        <w:ind w:left="1879" w:right="1381" w:hanging="1441"/>
        <w:jc w:val="left"/>
        <w:rPr>
          <w:b/>
          <w:sz w:val="22"/>
        </w:rPr>
      </w:pPr>
      <w:r>
        <w:rPr>
          <w:b/>
          <w:sz w:val="22"/>
        </w:rPr>
        <w:t>STEP SIX</w:t>
        <w:tab/>
      </w:r>
      <w:r>
        <w:rPr>
          <w:b/>
          <w:w w:val="90"/>
          <w:sz w:val="22"/>
        </w:rPr>
        <w:t>SCHEDULE A CONFERENCE</w:t>
      </w:r>
      <w:r>
        <w:rPr>
          <w:b/>
          <w:spacing w:val="-1"/>
          <w:w w:val="90"/>
          <w:sz w:val="22"/>
        </w:rPr>
        <w:t> </w:t>
      </w:r>
      <w:r>
        <w:rPr>
          <w:b/>
          <w:w w:val="90"/>
          <w:sz w:val="22"/>
        </w:rPr>
        <w:t>WITH THE</w:t>
      </w:r>
      <w:r>
        <w:rPr>
          <w:b/>
          <w:spacing w:val="-1"/>
          <w:w w:val="90"/>
          <w:sz w:val="22"/>
        </w:rPr>
        <w:t> </w:t>
      </w:r>
      <w:r>
        <w:rPr>
          <w:b/>
          <w:w w:val="90"/>
          <w:sz w:val="22"/>
        </w:rPr>
        <w:t>EXECUTIVE VICE</w:t>
      </w:r>
      <w:r>
        <w:rPr>
          <w:b/>
          <w:spacing w:val="-3"/>
          <w:w w:val="90"/>
          <w:sz w:val="22"/>
        </w:rPr>
        <w:t> </w:t>
      </w:r>
      <w:r>
        <w:rPr>
          <w:b/>
          <w:w w:val="90"/>
          <w:sz w:val="22"/>
        </w:rPr>
        <w:t>PRESIDENT AND </w:t>
      </w:r>
      <w:r>
        <w:rPr>
          <w:b/>
          <w:w w:val="95"/>
          <w:sz w:val="22"/>
        </w:rPr>
        <w:t>PROVOST OR DESIGNEE</w:t>
      </w:r>
    </w:p>
    <w:p>
      <w:pPr>
        <w:pStyle w:val="BodyText"/>
        <w:spacing w:before="5"/>
        <w:rPr>
          <w:b/>
          <w:sz w:val="27"/>
        </w:rPr>
      </w:pPr>
    </w:p>
    <w:p>
      <w:pPr>
        <w:spacing w:line="256" w:lineRule="auto" w:before="0"/>
        <w:ind w:left="455" w:right="389" w:hanging="14"/>
        <w:jc w:val="left"/>
        <w:rPr>
          <w:sz w:val="24"/>
        </w:rPr>
      </w:pPr>
      <w:r>
        <w:rPr>
          <w:spacing w:val="12"/>
          <w:sz w:val="24"/>
        </w:rPr>
        <w:t>Note:</w:t>
      </w:r>
      <w:r>
        <w:rPr>
          <w:spacing w:val="-13"/>
          <w:sz w:val="24"/>
        </w:rPr>
        <w:t> </w:t>
      </w:r>
      <w:r>
        <w:rPr>
          <w:sz w:val="24"/>
        </w:rPr>
        <w:t>If</w:t>
      </w:r>
      <w:r>
        <w:rPr>
          <w:spacing w:val="-7"/>
          <w:sz w:val="24"/>
        </w:rPr>
        <w:t> </w:t>
      </w:r>
      <w:r>
        <w:rPr>
          <w:spacing w:val="12"/>
          <w:sz w:val="24"/>
        </w:rPr>
        <w:t>steps</w:t>
      </w:r>
      <w:r>
        <w:rPr>
          <w:spacing w:val="1"/>
          <w:sz w:val="24"/>
        </w:rPr>
        <w:t> </w:t>
      </w:r>
      <w:r>
        <w:rPr>
          <w:spacing w:val="11"/>
          <w:sz w:val="24"/>
        </w:rPr>
        <w:t>one</w:t>
      </w:r>
      <w:r>
        <w:rPr>
          <w:spacing w:val="8"/>
          <w:sz w:val="24"/>
        </w:rPr>
        <w:t> </w:t>
      </w:r>
      <w:r>
        <w:rPr>
          <w:spacing w:val="12"/>
          <w:sz w:val="24"/>
        </w:rPr>
        <w:t>through</w:t>
      </w:r>
      <w:r>
        <w:rPr>
          <w:sz w:val="24"/>
        </w:rPr>
        <w:t> five </w:t>
      </w:r>
      <w:r>
        <w:rPr>
          <w:spacing w:val="15"/>
          <w:sz w:val="24"/>
        </w:rPr>
        <w:t>have</w:t>
      </w:r>
      <w:r>
        <w:rPr>
          <w:spacing w:val="13"/>
          <w:sz w:val="24"/>
        </w:rPr>
        <w:t> been</w:t>
      </w:r>
      <w:r>
        <w:rPr>
          <w:spacing w:val="6"/>
          <w:sz w:val="24"/>
        </w:rPr>
        <w:t> </w:t>
      </w:r>
      <w:r>
        <w:rPr>
          <w:spacing w:val="14"/>
          <w:sz w:val="24"/>
        </w:rPr>
        <w:t>omitted,</w:t>
      </w:r>
      <w:r>
        <w:rPr>
          <w:spacing w:val="-3"/>
          <w:sz w:val="24"/>
        </w:rPr>
        <w:t> </w:t>
      </w:r>
      <w:r>
        <w:rPr>
          <w:spacing w:val="9"/>
          <w:sz w:val="24"/>
        </w:rPr>
        <w:t>the </w:t>
      </w:r>
      <w:r>
        <w:rPr>
          <w:spacing w:val="11"/>
          <w:sz w:val="24"/>
        </w:rPr>
        <w:t>Executive</w:t>
      </w:r>
      <w:r>
        <w:rPr>
          <w:spacing w:val="3"/>
          <w:sz w:val="24"/>
        </w:rPr>
        <w:t> </w:t>
      </w:r>
      <w:r>
        <w:rPr>
          <w:spacing w:val="11"/>
          <w:sz w:val="24"/>
        </w:rPr>
        <w:t>Vice</w:t>
      </w:r>
      <w:r>
        <w:rPr>
          <w:sz w:val="24"/>
        </w:rPr>
        <w:t> </w:t>
      </w:r>
      <w:r>
        <w:rPr>
          <w:spacing w:val="10"/>
          <w:sz w:val="24"/>
        </w:rPr>
        <w:t>President </w:t>
      </w:r>
      <w:r>
        <w:rPr>
          <w:spacing w:val="13"/>
          <w:sz w:val="24"/>
        </w:rPr>
        <w:t>and </w:t>
      </w:r>
      <w:r>
        <w:rPr>
          <w:spacing w:val="9"/>
          <w:sz w:val="24"/>
        </w:rPr>
        <w:t>Provost </w:t>
      </w:r>
      <w:r>
        <w:rPr>
          <w:sz w:val="24"/>
        </w:rPr>
        <w:t>will </w:t>
      </w:r>
      <w:r>
        <w:rPr>
          <w:spacing w:val="9"/>
          <w:sz w:val="24"/>
        </w:rPr>
        <w:t>refer the </w:t>
      </w:r>
      <w:r>
        <w:rPr>
          <w:sz w:val="24"/>
        </w:rPr>
        <w:t>c</w:t>
      </w:r>
      <w:r>
        <w:rPr>
          <w:spacing w:val="-31"/>
          <w:sz w:val="24"/>
        </w:rPr>
        <w:t> </w:t>
      </w:r>
      <w:r>
        <w:rPr>
          <w:sz w:val="24"/>
        </w:rPr>
        <w:t>ase</w:t>
      </w:r>
      <w:r>
        <w:rPr>
          <w:spacing w:val="14"/>
          <w:sz w:val="24"/>
        </w:rPr>
        <w:t> ba</w:t>
      </w:r>
      <w:r>
        <w:rPr>
          <w:spacing w:val="-32"/>
          <w:sz w:val="24"/>
        </w:rPr>
        <w:t> </w:t>
      </w:r>
      <w:r>
        <w:rPr>
          <w:sz w:val="24"/>
        </w:rPr>
        <w:t>ck to</w:t>
      </w:r>
      <w:r>
        <w:rPr>
          <w:spacing w:val="29"/>
          <w:sz w:val="24"/>
        </w:rPr>
        <w:t> </w:t>
      </w:r>
      <w:r>
        <w:rPr>
          <w:sz w:val="24"/>
        </w:rPr>
        <w:t>the </w:t>
      </w:r>
      <w:r>
        <w:rPr>
          <w:spacing w:val="12"/>
          <w:sz w:val="24"/>
        </w:rPr>
        <w:t>step </w:t>
      </w:r>
      <w:r>
        <w:rPr>
          <w:spacing w:val="13"/>
          <w:sz w:val="24"/>
        </w:rPr>
        <w:t>that </w:t>
      </w:r>
      <w:r>
        <w:rPr>
          <w:sz w:val="24"/>
        </w:rPr>
        <w:t>w</w:t>
      </w:r>
      <w:r>
        <w:rPr>
          <w:spacing w:val="-34"/>
          <w:sz w:val="24"/>
        </w:rPr>
        <w:t> </w:t>
      </w:r>
      <w:r>
        <w:rPr>
          <w:sz w:val="24"/>
        </w:rPr>
        <w:t>as </w:t>
      </w:r>
      <w:r>
        <w:rPr>
          <w:spacing w:val="14"/>
          <w:sz w:val="24"/>
        </w:rPr>
        <w:t>omitted.</w:t>
      </w:r>
    </w:p>
    <w:p>
      <w:pPr>
        <w:pStyle w:val="BodyText"/>
        <w:spacing w:before="7"/>
        <w:rPr>
          <w:sz w:val="26"/>
        </w:rPr>
      </w:pPr>
    </w:p>
    <w:p>
      <w:pPr>
        <w:spacing w:before="0"/>
        <w:ind w:left="440" w:right="0" w:firstLine="0"/>
        <w:jc w:val="left"/>
        <w:rPr>
          <w:sz w:val="22"/>
        </w:rPr>
      </w:pPr>
      <w:r>
        <w:rPr>
          <w:spacing w:val="16"/>
          <w:sz w:val="22"/>
        </w:rPr>
        <w:t>Hampton</w:t>
      </w:r>
      <w:r>
        <w:rPr>
          <w:spacing w:val="-3"/>
          <w:sz w:val="22"/>
        </w:rPr>
        <w:t> </w:t>
      </w:r>
      <w:r>
        <w:rPr>
          <w:sz w:val="22"/>
        </w:rPr>
        <w:t>University</w:t>
      </w:r>
      <w:r>
        <w:rPr>
          <w:spacing w:val="1"/>
          <w:sz w:val="22"/>
        </w:rPr>
        <w:t> </w:t>
      </w:r>
      <w:r>
        <w:rPr>
          <w:spacing w:val="10"/>
          <w:sz w:val="22"/>
        </w:rPr>
        <w:t>has</w:t>
      </w:r>
      <w:r>
        <w:rPr>
          <w:spacing w:val="5"/>
          <w:sz w:val="22"/>
        </w:rPr>
        <w:t> </w:t>
      </w:r>
      <w:r>
        <w:rPr>
          <w:spacing w:val="10"/>
          <w:sz w:val="22"/>
        </w:rPr>
        <w:t>policies</w:t>
      </w:r>
      <w:r>
        <w:rPr>
          <w:spacing w:val="3"/>
          <w:sz w:val="22"/>
        </w:rPr>
        <w:t> </w:t>
      </w:r>
      <w:r>
        <w:rPr>
          <w:spacing w:val="11"/>
          <w:sz w:val="22"/>
        </w:rPr>
        <w:t>which</w:t>
      </w:r>
      <w:r>
        <w:rPr>
          <w:spacing w:val="3"/>
          <w:sz w:val="22"/>
        </w:rPr>
        <w:t> </w:t>
      </w:r>
      <w:r>
        <w:rPr>
          <w:spacing w:val="13"/>
          <w:sz w:val="22"/>
        </w:rPr>
        <w:t>have</w:t>
      </w:r>
      <w:r>
        <w:rPr>
          <w:spacing w:val="14"/>
          <w:sz w:val="22"/>
        </w:rPr>
        <w:t> </w:t>
      </w:r>
      <w:r>
        <w:rPr>
          <w:spacing w:val="15"/>
          <w:sz w:val="22"/>
        </w:rPr>
        <w:t>been</w:t>
      </w:r>
      <w:r>
        <w:rPr>
          <w:spacing w:val="7"/>
          <w:sz w:val="22"/>
        </w:rPr>
        <w:t> </w:t>
      </w:r>
      <w:r>
        <w:rPr>
          <w:spacing w:val="10"/>
          <w:sz w:val="22"/>
        </w:rPr>
        <w:t>established </w:t>
      </w:r>
      <w:r>
        <w:rPr>
          <w:sz w:val="22"/>
        </w:rPr>
        <w:t>to</w:t>
      </w:r>
      <w:r>
        <w:rPr>
          <w:spacing w:val="2"/>
          <w:sz w:val="22"/>
        </w:rPr>
        <w:t> </w:t>
      </w:r>
      <w:r>
        <w:rPr>
          <w:sz w:val="22"/>
        </w:rPr>
        <w:t>resolve</w:t>
      </w:r>
      <w:r>
        <w:rPr>
          <w:spacing w:val="2"/>
          <w:sz w:val="22"/>
        </w:rPr>
        <w:t> </w:t>
      </w:r>
      <w:r>
        <w:rPr>
          <w:spacing w:val="10"/>
          <w:sz w:val="22"/>
        </w:rPr>
        <w:t>student</w:t>
      </w:r>
    </w:p>
    <w:p>
      <w:pPr>
        <w:spacing w:line="292" w:lineRule="auto" w:before="57"/>
        <w:ind w:left="445" w:right="712" w:firstLine="7"/>
        <w:jc w:val="left"/>
        <w:rPr>
          <w:sz w:val="22"/>
        </w:rPr>
      </w:pPr>
      <w:r>
        <w:rPr>
          <w:spacing w:val="12"/>
          <w:sz w:val="22"/>
        </w:rPr>
        <w:t>problems</w:t>
      </w:r>
      <w:r>
        <w:rPr>
          <w:spacing w:val="4"/>
          <w:sz w:val="22"/>
        </w:rPr>
        <w:t> </w:t>
      </w:r>
      <w:r>
        <w:rPr>
          <w:spacing w:val="13"/>
          <w:sz w:val="22"/>
        </w:rPr>
        <w:t>and</w:t>
      </w:r>
      <w:r>
        <w:rPr>
          <w:spacing w:val="4"/>
          <w:sz w:val="22"/>
        </w:rPr>
        <w:t> </w:t>
      </w:r>
      <w:r>
        <w:rPr>
          <w:sz w:val="22"/>
        </w:rPr>
        <w:t>issues</w:t>
      </w:r>
      <w:r>
        <w:rPr>
          <w:spacing w:val="-10"/>
          <w:sz w:val="22"/>
        </w:rPr>
        <w:t> </w:t>
      </w:r>
      <w:r>
        <w:rPr>
          <w:sz w:val="22"/>
        </w:rPr>
        <w:t>in a fair </w:t>
      </w:r>
      <w:r>
        <w:rPr>
          <w:spacing w:val="13"/>
          <w:sz w:val="22"/>
        </w:rPr>
        <w:t>and</w:t>
      </w:r>
      <w:r>
        <w:rPr>
          <w:spacing w:val="4"/>
          <w:sz w:val="22"/>
        </w:rPr>
        <w:t> </w:t>
      </w:r>
      <w:r>
        <w:rPr>
          <w:spacing w:val="11"/>
          <w:sz w:val="22"/>
        </w:rPr>
        <w:t>impartial</w:t>
      </w:r>
      <w:r>
        <w:rPr>
          <w:spacing w:val="2"/>
          <w:sz w:val="22"/>
        </w:rPr>
        <w:t> </w:t>
      </w:r>
      <w:r>
        <w:rPr>
          <w:spacing w:val="11"/>
          <w:sz w:val="22"/>
        </w:rPr>
        <w:t>manner.</w:t>
      </w:r>
      <w:r>
        <w:rPr>
          <w:spacing w:val="40"/>
          <w:sz w:val="22"/>
        </w:rPr>
        <w:t> </w:t>
      </w:r>
      <w:r>
        <w:rPr>
          <w:sz w:val="22"/>
        </w:rPr>
        <w:t>Our </w:t>
      </w:r>
      <w:r>
        <w:rPr>
          <w:spacing w:val="9"/>
          <w:sz w:val="22"/>
        </w:rPr>
        <w:t>most</w:t>
      </w:r>
      <w:r>
        <w:rPr>
          <w:spacing w:val="-3"/>
          <w:sz w:val="22"/>
        </w:rPr>
        <w:t> </w:t>
      </w:r>
      <w:r>
        <w:rPr>
          <w:spacing w:val="14"/>
          <w:sz w:val="22"/>
        </w:rPr>
        <w:t>important</w:t>
      </w:r>
      <w:r>
        <w:rPr>
          <w:spacing w:val="9"/>
          <w:sz w:val="22"/>
        </w:rPr>
        <w:t> </w:t>
      </w:r>
      <w:r>
        <w:rPr>
          <w:sz w:val="22"/>
        </w:rPr>
        <w:t>business</w:t>
      </w:r>
      <w:r>
        <w:rPr>
          <w:spacing w:val="-8"/>
          <w:sz w:val="22"/>
        </w:rPr>
        <w:t> </w:t>
      </w:r>
      <w:r>
        <w:rPr>
          <w:sz w:val="22"/>
        </w:rPr>
        <w:t>is to </w:t>
      </w:r>
      <w:r>
        <w:rPr>
          <w:spacing w:val="9"/>
          <w:sz w:val="22"/>
        </w:rPr>
        <w:t>help </w:t>
      </w:r>
      <w:r>
        <w:rPr>
          <w:spacing w:val="10"/>
          <w:sz w:val="22"/>
        </w:rPr>
        <w:t>you learn </w:t>
      </w:r>
      <w:r>
        <w:rPr>
          <w:sz w:val="22"/>
        </w:rPr>
        <w:t>while</w:t>
      </w:r>
      <w:r>
        <w:rPr>
          <w:spacing w:val="11"/>
          <w:sz w:val="22"/>
        </w:rPr>
        <w:t> maintaining </w:t>
      </w:r>
      <w:r>
        <w:rPr>
          <w:sz w:val="22"/>
        </w:rPr>
        <w:t>high a</w:t>
      </w:r>
      <w:r>
        <w:rPr>
          <w:spacing w:val="-28"/>
          <w:sz w:val="22"/>
        </w:rPr>
        <w:t> </w:t>
      </w:r>
      <w:r>
        <w:rPr>
          <w:sz w:val="22"/>
        </w:rPr>
        <w:t>c</w:t>
      </w:r>
      <w:r>
        <w:rPr>
          <w:spacing w:val="-24"/>
          <w:sz w:val="22"/>
        </w:rPr>
        <w:t> </w:t>
      </w:r>
      <w:r>
        <w:rPr>
          <w:sz w:val="22"/>
        </w:rPr>
        <w:t>a</w:t>
      </w:r>
      <w:r>
        <w:rPr>
          <w:spacing w:val="-28"/>
          <w:sz w:val="22"/>
        </w:rPr>
        <w:t> </w:t>
      </w:r>
      <w:r>
        <w:rPr>
          <w:spacing w:val="13"/>
          <w:sz w:val="22"/>
        </w:rPr>
        <w:t>demic </w:t>
      </w:r>
      <w:r>
        <w:rPr>
          <w:spacing w:val="12"/>
          <w:sz w:val="22"/>
        </w:rPr>
        <w:t>and </w:t>
      </w:r>
      <w:r>
        <w:rPr>
          <w:spacing w:val="9"/>
          <w:sz w:val="22"/>
        </w:rPr>
        <w:t>ethic</w:t>
      </w:r>
      <w:r>
        <w:rPr>
          <w:spacing w:val="-24"/>
          <w:sz w:val="22"/>
        </w:rPr>
        <w:t> </w:t>
      </w:r>
      <w:r>
        <w:rPr>
          <w:sz w:val="22"/>
        </w:rPr>
        <w:t>al </w:t>
      </w:r>
      <w:r>
        <w:rPr>
          <w:spacing w:val="13"/>
          <w:sz w:val="22"/>
        </w:rPr>
        <w:t>standards.</w:t>
      </w:r>
    </w:p>
    <w:p>
      <w:pPr>
        <w:spacing w:before="2"/>
        <w:ind w:left="440" w:right="0" w:firstLine="0"/>
        <w:jc w:val="left"/>
        <w:rPr>
          <w:sz w:val="22"/>
        </w:rPr>
      </w:pPr>
      <w:r>
        <w:rPr>
          <w:sz w:val="22"/>
        </w:rPr>
        <w:t>It</w:t>
      </w:r>
      <w:r>
        <w:rPr>
          <w:spacing w:val="-12"/>
          <w:sz w:val="22"/>
        </w:rPr>
        <w:t> </w:t>
      </w:r>
      <w:r>
        <w:rPr>
          <w:sz w:val="22"/>
        </w:rPr>
        <w:t>is</w:t>
      </w:r>
      <w:r>
        <w:rPr>
          <w:spacing w:val="-7"/>
          <w:sz w:val="22"/>
        </w:rPr>
        <w:t> </w:t>
      </w:r>
      <w:r>
        <w:rPr>
          <w:spacing w:val="11"/>
          <w:sz w:val="22"/>
        </w:rPr>
        <w:t>rec</w:t>
      </w:r>
      <w:r>
        <w:rPr>
          <w:spacing w:val="-33"/>
          <w:sz w:val="22"/>
        </w:rPr>
        <w:t> </w:t>
      </w:r>
      <w:r>
        <w:rPr>
          <w:spacing w:val="18"/>
          <w:sz w:val="22"/>
        </w:rPr>
        <w:t>ommended</w:t>
      </w:r>
      <w:r>
        <w:rPr>
          <w:spacing w:val="12"/>
          <w:sz w:val="22"/>
        </w:rPr>
        <w:t> that</w:t>
      </w:r>
      <w:r>
        <w:rPr>
          <w:spacing w:val="8"/>
          <w:sz w:val="22"/>
        </w:rPr>
        <w:t> </w:t>
      </w:r>
      <w:r>
        <w:rPr>
          <w:spacing w:val="12"/>
          <w:sz w:val="22"/>
        </w:rPr>
        <w:t>ea</w:t>
      </w:r>
      <w:r>
        <w:rPr>
          <w:spacing w:val="-31"/>
          <w:sz w:val="22"/>
        </w:rPr>
        <w:t> </w:t>
      </w:r>
      <w:r>
        <w:rPr>
          <w:spacing w:val="11"/>
          <w:sz w:val="22"/>
        </w:rPr>
        <w:t>ch</w:t>
      </w:r>
      <w:r>
        <w:rPr>
          <w:spacing w:val="-2"/>
          <w:sz w:val="22"/>
        </w:rPr>
        <w:t> </w:t>
      </w:r>
      <w:r>
        <w:rPr>
          <w:spacing w:val="9"/>
          <w:sz w:val="22"/>
        </w:rPr>
        <w:t>learner:</w:t>
      </w:r>
      <w:r>
        <w:rPr>
          <w:spacing w:val="63"/>
          <w:sz w:val="22"/>
        </w:rPr>
        <w:t> </w:t>
      </w:r>
      <w:r>
        <w:rPr>
          <w:spacing w:val="10"/>
          <w:sz w:val="22"/>
        </w:rPr>
        <w:t>“Follows</w:t>
      </w:r>
      <w:r>
        <w:rPr>
          <w:sz w:val="22"/>
        </w:rPr>
        <w:t> </w:t>
      </w:r>
      <w:r>
        <w:rPr>
          <w:spacing w:val="9"/>
          <w:sz w:val="22"/>
        </w:rPr>
        <w:t>the</w:t>
      </w:r>
      <w:r>
        <w:rPr>
          <w:spacing w:val="17"/>
          <w:sz w:val="22"/>
        </w:rPr>
        <w:t> </w:t>
      </w:r>
      <w:r>
        <w:rPr>
          <w:sz w:val="22"/>
        </w:rPr>
        <w:t>c</w:t>
      </w:r>
      <w:r>
        <w:rPr>
          <w:spacing w:val="-33"/>
          <w:sz w:val="22"/>
        </w:rPr>
        <w:t> </w:t>
      </w:r>
      <w:r>
        <w:rPr>
          <w:sz w:val="22"/>
        </w:rPr>
        <w:t>ounsel</w:t>
      </w:r>
      <w:r>
        <w:rPr>
          <w:spacing w:val="5"/>
          <w:sz w:val="22"/>
        </w:rPr>
        <w:t> </w:t>
      </w:r>
      <w:r>
        <w:rPr>
          <w:sz w:val="22"/>
        </w:rPr>
        <w:t>of</w:t>
      </w:r>
      <w:r>
        <w:rPr>
          <w:spacing w:val="2"/>
          <w:sz w:val="22"/>
        </w:rPr>
        <w:t> </w:t>
      </w:r>
      <w:r>
        <w:rPr>
          <w:spacing w:val="9"/>
          <w:sz w:val="22"/>
        </w:rPr>
        <w:t>those</w:t>
      </w:r>
      <w:r>
        <w:rPr>
          <w:spacing w:val="14"/>
          <w:sz w:val="22"/>
        </w:rPr>
        <w:t> </w:t>
      </w:r>
      <w:r>
        <w:rPr>
          <w:sz w:val="22"/>
        </w:rPr>
        <w:t>wise</w:t>
      </w:r>
      <w:r>
        <w:rPr>
          <w:spacing w:val="6"/>
          <w:sz w:val="22"/>
        </w:rPr>
        <w:t> </w:t>
      </w:r>
      <w:r>
        <w:rPr>
          <w:sz w:val="22"/>
        </w:rPr>
        <w:t>fa</w:t>
      </w:r>
      <w:r>
        <w:rPr>
          <w:spacing w:val="-31"/>
          <w:sz w:val="22"/>
        </w:rPr>
        <w:t> </w:t>
      </w:r>
      <w:r>
        <w:rPr>
          <w:spacing w:val="-2"/>
          <w:sz w:val="22"/>
        </w:rPr>
        <w:t>culty</w:t>
      </w:r>
    </w:p>
    <w:p>
      <w:pPr>
        <w:spacing w:line="292" w:lineRule="auto" w:before="59"/>
        <w:ind w:left="452" w:right="712" w:hanging="1"/>
        <w:jc w:val="left"/>
        <w:rPr>
          <w:sz w:val="22"/>
        </w:rPr>
      </w:pPr>
      <w:r>
        <w:rPr>
          <w:spacing w:val="14"/>
          <w:sz w:val="22"/>
        </w:rPr>
        <w:t>members</w:t>
      </w:r>
      <w:r>
        <w:rPr>
          <w:spacing w:val="10"/>
          <w:sz w:val="22"/>
        </w:rPr>
        <w:t> who </w:t>
      </w:r>
      <w:r>
        <w:rPr>
          <w:spacing w:val="13"/>
          <w:sz w:val="22"/>
        </w:rPr>
        <w:t>have </w:t>
      </w:r>
      <w:r>
        <w:rPr>
          <w:spacing w:val="15"/>
          <w:sz w:val="22"/>
        </w:rPr>
        <w:t>dedic</w:t>
      </w:r>
      <w:r>
        <w:rPr>
          <w:spacing w:val="-30"/>
          <w:sz w:val="22"/>
        </w:rPr>
        <w:t> </w:t>
      </w:r>
      <w:r>
        <w:rPr>
          <w:spacing w:val="15"/>
          <w:sz w:val="22"/>
        </w:rPr>
        <w:t>ated </w:t>
      </w:r>
      <w:r>
        <w:rPr>
          <w:sz w:val="22"/>
        </w:rPr>
        <w:t>their</w:t>
      </w:r>
      <w:r>
        <w:rPr>
          <w:spacing w:val="-2"/>
          <w:sz w:val="22"/>
        </w:rPr>
        <w:t> </w:t>
      </w:r>
      <w:r>
        <w:rPr>
          <w:sz w:val="22"/>
        </w:rPr>
        <w:t>lives to </w:t>
      </w:r>
      <w:r>
        <w:rPr>
          <w:spacing w:val="10"/>
          <w:sz w:val="22"/>
        </w:rPr>
        <w:t>meeting </w:t>
      </w:r>
      <w:r>
        <w:rPr>
          <w:spacing w:val="9"/>
          <w:sz w:val="22"/>
        </w:rPr>
        <w:t>the </w:t>
      </w:r>
      <w:r>
        <w:rPr>
          <w:spacing w:val="12"/>
          <w:sz w:val="22"/>
        </w:rPr>
        <w:t>needs</w:t>
      </w:r>
      <w:r>
        <w:rPr>
          <w:spacing w:val="9"/>
          <w:sz w:val="22"/>
        </w:rPr>
        <w:t> </w:t>
      </w:r>
      <w:r>
        <w:rPr>
          <w:sz w:val="22"/>
        </w:rPr>
        <w:t>of </w:t>
      </w:r>
      <w:r>
        <w:rPr>
          <w:spacing w:val="11"/>
          <w:sz w:val="22"/>
        </w:rPr>
        <w:t>students</w:t>
      </w:r>
      <w:r>
        <w:rPr>
          <w:spacing w:val="10"/>
          <w:sz w:val="22"/>
        </w:rPr>
        <w:t> who </w:t>
      </w:r>
      <w:r>
        <w:rPr>
          <w:sz w:val="22"/>
        </w:rPr>
        <w:t>are willing</w:t>
      </w:r>
      <w:r>
        <w:rPr>
          <w:spacing w:val="40"/>
          <w:sz w:val="22"/>
        </w:rPr>
        <w:t> </w:t>
      </w:r>
      <w:r>
        <w:rPr>
          <w:sz w:val="22"/>
        </w:rPr>
        <w:t>to</w:t>
      </w:r>
      <w:r>
        <w:rPr>
          <w:spacing w:val="11"/>
          <w:sz w:val="22"/>
        </w:rPr>
        <w:t> take </w:t>
      </w:r>
      <w:r>
        <w:rPr>
          <w:sz w:val="22"/>
        </w:rPr>
        <w:t>responsibility for their</w:t>
      </w:r>
      <w:r>
        <w:rPr>
          <w:spacing w:val="12"/>
          <w:sz w:val="22"/>
        </w:rPr>
        <w:t> own </w:t>
      </w:r>
      <w:r>
        <w:rPr>
          <w:spacing w:val="15"/>
          <w:sz w:val="22"/>
        </w:rPr>
        <w:t>educ</w:t>
      </w:r>
      <w:r>
        <w:rPr>
          <w:spacing w:val="-13"/>
          <w:sz w:val="22"/>
        </w:rPr>
        <w:t> </w:t>
      </w:r>
      <w:r>
        <w:rPr>
          <w:spacing w:val="10"/>
          <w:sz w:val="22"/>
        </w:rPr>
        <w:t>ation.”</w:t>
      </w:r>
    </w:p>
    <w:p>
      <w:pPr>
        <w:spacing w:after="0" w:line="292" w:lineRule="auto"/>
        <w:jc w:val="left"/>
        <w:rPr>
          <w:sz w:val="22"/>
        </w:rPr>
        <w:sectPr>
          <w:headerReference w:type="default" r:id="rId327"/>
          <w:footerReference w:type="default" r:id="rId328"/>
          <w:pgSz w:w="12240" w:h="15840"/>
          <w:pgMar w:header="0" w:footer="748" w:top="1400" w:bottom="940" w:left="1000" w:right="820"/>
        </w:sectPr>
      </w:pPr>
    </w:p>
    <w:p>
      <w:pPr>
        <w:pStyle w:val="Heading1"/>
      </w:pPr>
      <w:r>
        <w:rPr>
          <w:w w:val="85"/>
        </w:rPr>
        <w:t>FREQUENTLY</w:t>
      </w:r>
      <w:r>
        <w:rPr>
          <w:spacing w:val="23"/>
        </w:rPr>
        <w:t> </w:t>
      </w:r>
      <w:r>
        <w:rPr>
          <w:w w:val="85"/>
        </w:rPr>
        <w:t>ASKED</w:t>
      </w:r>
      <w:r>
        <w:rPr>
          <w:spacing w:val="33"/>
        </w:rPr>
        <w:t> </w:t>
      </w:r>
      <w:r>
        <w:rPr>
          <w:spacing w:val="-2"/>
          <w:w w:val="85"/>
        </w:rPr>
        <w:t>QUESTIONS</w:t>
      </w:r>
    </w:p>
    <w:p>
      <w:pPr>
        <w:pStyle w:val="BodyText"/>
        <w:spacing w:before="3"/>
        <w:rPr>
          <w:b/>
          <w:sz w:val="5"/>
        </w:rPr>
      </w:pPr>
      <w:r>
        <w:rPr/>
        <w:pict>
          <v:rect style="position:absolute;margin-left:70.559998pt;margin-top:4.251758pt;width:470.88pt;height:.72pt;mso-position-horizontal-relative:page;mso-position-vertical-relative:paragraph;z-index:-15711232;mso-wrap-distance-left:0;mso-wrap-distance-right:0" id="docshape609" filled="true" fillcolor="#000000" stroked="false">
            <v:fill type="solid"/>
            <w10:wrap type="topAndBottom"/>
          </v:rect>
        </w:pict>
      </w:r>
    </w:p>
    <w:p>
      <w:pPr>
        <w:pStyle w:val="BodyText"/>
        <w:rPr>
          <w:b/>
        </w:rPr>
      </w:pPr>
    </w:p>
    <w:p>
      <w:pPr>
        <w:pStyle w:val="BodyText"/>
        <w:spacing w:before="1"/>
        <w:rPr>
          <w:b/>
          <w:sz w:val="27"/>
        </w:rPr>
      </w:pPr>
    </w:p>
    <w:p>
      <w:pPr>
        <w:spacing w:before="94"/>
        <w:ind w:left="440" w:right="0" w:firstLine="0"/>
        <w:jc w:val="left"/>
        <w:rPr>
          <w:i/>
          <w:sz w:val="22"/>
        </w:rPr>
      </w:pPr>
      <w:r>
        <w:rPr>
          <w:i/>
          <w:spacing w:val="11"/>
          <w:sz w:val="22"/>
        </w:rPr>
        <w:t>How</w:t>
      </w:r>
      <w:r>
        <w:rPr>
          <w:i/>
          <w:spacing w:val="8"/>
          <w:sz w:val="22"/>
        </w:rPr>
        <w:t> </w:t>
      </w:r>
      <w:r>
        <w:rPr>
          <w:i/>
          <w:spacing w:val="11"/>
          <w:sz w:val="22"/>
        </w:rPr>
        <w:t>long</w:t>
      </w:r>
      <w:r>
        <w:rPr>
          <w:i/>
          <w:spacing w:val="28"/>
          <w:sz w:val="22"/>
        </w:rPr>
        <w:t> </w:t>
      </w:r>
      <w:r>
        <w:rPr>
          <w:i/>
          <w:sz w:val="22"/>
        </w:rPr>
        <w:t>will</w:t>
      </w:r>
      <w:r>
        <w:rPr>
          <w:i/>
          <w:spacing w:val="-2"/>
          <w:sz w:val="22"/>
        </w:rPr>
        <w:t> </w:t>
      </w:r>
      <w:r>
        <w:rPr>
          <w:i/>
          <w:sz w:val="22"/>
        </w:rPr>
        <w:t>it</w:t>
      </w:r>
      <w:r>
        <w:rPr>
          <w:i/>
          <w:spacing w:val="14"/>
          <w:sz w:val="22"/>
        </w:rPr>
        <w:t> </w:t>
      </w:r>
      <w:r>
        <w:rPr>
          <w:i/>
          <w:spacing w:val="10"/>
          <w:sz w:val="22"/>
        </w:rPr>
        <w:t>take</w:t>
      </w:r>
      <w:r>
        <w:rPr>
          <w:i/>
          <w:spacing w:val="17"/>
          <w:sz w:val="22"/>
        </w:rPr>
        <w:t> </w:t>
      </w:r>
      <w:r>
        <w:rPr>
          <w:i/>
          <w:sz w:val="22"/>
        </w:rPr>
        <w:t>to</w:t>
      </w:r>
      <w:r>
        <w:rPr>
          <w:i/>
          <w:spacing w:val="21"/>
          <w:sz w:val="22"/>
        </w:rPr>
        <w:t> </w:t>
      </w:r>
      <w:r>
        <w:rPr>
          <w:i/>
          <w:spacing w:val="11"/>
          <w:sz w:val="22"/>
        </w:rPr>
        <w:t>earn</w:t>
      </w:r>
      <w:r>
        <w:rPr>
          <w:i/>
          <w:spacing w:val="18"/>
          <w:sz w:val="22"/>
        </w:rPr>
        <w:t> </w:t>
      </w:r>
      <w:r>
        <w:rPr>
          <w:i/>
          <w:sz w:val="22"/>
        </w:rPr>
        <w:t>my</w:t>
      </w:r>
      <w:r>
        <w:rPr>
          <w:i/>
          <w:spacing w:val="14"/>
          <w:sz w:val="22"/>
        </w:rPr>
        <w:t> </w:t>
      </w:r>
      <w:r>
        <w:rPr>
          <w:i/>
          <w:spacing w:val="12"/>
          <w:sz w:val="22"/>
        </w:rPr>
        <w:t>degree?</w:t>
      </w:r>
    </w:p>
    <w:p>
      <w:pPr>
        <w:pStyle w:val="BodyText"/>
        <w:spacing w:before="1"/>
        <w:rPr>
          <w:i/>
          <w:sz w:val="32"/>
        </w:rPr>
      </w:pPr>
    </w:p>
    <w:p>
      <w:pPr>
        <w:spacing w:line="292" w:lineRule="auto" w:before="0"/>
        <w:ind w:left="445" w:right="642" w:hanging="6"/>
        <w:jc w:val="left"/>
        <w:rPr>
          <w:sz w:val="22"/>
        </w:rPr>
      </w:pPr>
      <w:r>
        <w:rPr>
          <w:sz w:val="22"/>
        </w:rPr>
        <w:t>The </w:t>
      </w:r>
      <w:r>
        <w:rPr>
          <w:spacing w:val="14"/>
          <w:sz w:val="22"/>
        </w:rPr>
        <w:t>program</w:t>
      </w:r>
      <w:r>
        <w:rPr>
          <w:spacing w:val="6"/>
          <w:sz w:val="22"/>
        </w:rPr>
        <w:t> </w:t>
      </w:r>
      <w:r>
        <w:rPr>
          <w:sz w:val="22"/>
        </w:rPr>
        <w:t>is </w:t>
      </w:r>
      <w:r>
        <w:rPr>
          <w:spacing w:val="9"/>
          <w:sz w:val="22"/>
        </w:rPr>
        <w:t>formally</w:t>
      </w:r>
      <w:r>
        <w:rPr>
          <w:spacing w:val="-3"/>
          <w:sz w:val="22"/>
        </w:rPr>
        <w:t> </w:t>
      </w:r>
      <w:r>
        <w:rPr>
          <w:spacing w:val="11"/>
          <w:sz w:val="22"/>
        </w:rPr>
        <w:t>structured</w:t>
      </w:r>
      <w:r>
        <w:rPr>
          <w:spacing w:val="10"/>
          <w:sz w:val="22"/>
        </w:rPr>
        <w:t> </w:t>
      </w:r>
      <w:r>
        <w:rPr>
          <w:sz w:val="22"/>
        </w:rPr>
        <w:t>into a 5</w:t>
      </w:r>
      <w:r>
        <w:rPr>
          <w:spacing w:val="-4"/>
          <w:sz w:val="22"/>
        </w:rPr>
        <w:t> </w:t>
      </w:r>
      <w:r>
        <w:rPr>
          <w:spacing w:val="11"/>
          <w:sz w:val="22"/>
        </w:rPr>
        <w:t>1/2</w:t>
      </w:r>
      <w:r>
        <w:rPr>
          <w:spacing w:val="-1"/>
          <w:sz w:val="22"/>
        </w:rPr>
        <w:t> </w:t>
      </w:r>
      <w:r>
        <w:rPr>
          <w:spacing w:val="12"/>
          <w:sz w:val="22"/>
        </w:rPr>
        <w:t>year </w:t>
      </w:r>
      <w:r>
        <w:rPr>
          <w:sz w:val="22"/>
        </w:rPr>
        <w:t>curriculum. </w:t>
      </w:r>
      <w:r>
        <w:rPr>
          <w:spacing w:val="11"/>
          <w:sz w:val="22"/>
        </w:rPr>
        <w:t>Although</w:t>
      </w:r>
      <w:r>
        <w:rPr>
          <w:spacing w:val="8"/>
          <w:sz w:val="22"/>
        </w:rPr>
        <w:t> </w:t>
      </w:r>
      <w:r>
        <w:rPr>
          <w:spacing w:val="9"/>
          <w:sz w:val="22"/>
        </w:rPr>
        <w:t>the </w:t>
      </w:r>
      <w:r>
        <w:rPr>
          <w:spacing w:val="14"/>
          <w:sz w:val="22"/>
        </w:rPr>
        <w:t>program</w:t>
      </w:r>
      <w:r>
        <w:rPr>
          <w:spacing w:val="4"/>
          <w:sz w:val="22"/>
        </w:rPr>
        <w:t> </w:t>
      </w:r>
      <w:r>
        <w:rPr>
          <w:sz w:val="22"/>
        </w:rPr>
        <w:t>is </w:t>
      </w:r>
      <w:r>
        <w:rPr>
          <w:spacing w:val="12"/>
          <w:sz w:val="22"/>
        </w:rPr>
        <w:t>designed </w:t>
      </w:r>
      <w:r>
        <w:rPr>
          <w:sz w:val="22"/>
        </w:rPr>
        <w:t>for a full-</w:t>
      </w:r>
      <w:r>
        <w:rPr>
          <w:spacing w:val="9"/>
          <w:sz w:val="22"/>
        </w:rPr>
        <w:t>time </w:t>
      </w:r>
      <w:r>
        <w:rPr>
          <w:spacing w:val="13"/>
          <w:sz w:val="22"/>
        </w:rPr>
        <w:t>student </w:t>
      </w:r>
      <w:r>
        <w:rPr>
          <w:sz w:val="22"/>
        </w:rPr>
        <w:t>to </w:t>
      </w:r>
      <w:r>
        <w:rPr>
          <w:spacing w:val="10"/>
          <w:sz w:val="22"/>
        </w:rPr>
        <w:t>enter </w:t>
      </w:r>
      <w:r>
        <w:rPr>
          <w:spacing w:val="12"/>
          <w:sz w:val="22"/>
        </w:rPr>
        <w:t>and </w:t>
      </w:r>
      <w:r>
        <w:rPr>
          <w:sz w:val="22"/>
        </w:rPr>
        <w:t>c</w:t>
      </w:r>
      <w:r>
        <w:rPr>
          <w:spacing w:val="-30"/>
          <w:sz w:val="22"/>
        </w:rPr>
        <w:t> </w:t>
      </w:r>
      <w:r>
        <w:rPr>
          <w:spacing w:val="14"/>
          <w:sz w:val="22"/>
        </w:rPr>
        <w:t>omplete </w:t>
      </w:r>
      <w:r>
        <w:rPr>
          <w:sz w:val="22"/>
        </w:rPr>
        <w:t>it in 5 </w:t>
      </w:r>
      <w:r>
        <w:rPr>
          <w:spacing w:val="9"/>
          <w:sz w:val="22"/>
        </w:rPr>
        <w:t>years time </w:t>
      </w:r>
      <w:r>
        <w:rPr>
          <w:spacing w:val="10"/>
          <w:sz w:val="22"/>
        </w:rPr>
        <w:t>(including </w:t>
      </w:r>
      <w:r>
        <w:rPr>
          <w:spacing w:val="9"/>
          <w:sz w:val="22"/>
        </w:rPr>
        <w:t>the </w:t>
      </w:r>
      <w:r>
        <w:rPr>
          <w:spacing w:val="13"/>
          <w:sz w:val="22"/>
        </w:rPr>
        <w:t>urban </w:t>
      </w:r>
      <w:r>
        <w:rPr>
          <w:spacing w:val="10"/>
          <w:sz w:val="22"/>
        </w:rPr>
        <w:t>travel </w:t>
      </w:r>
      <w:r>
        <w:rPr>
          <w:spacing w:val="12"/>
          <w:sz w:val="22"/>
        </w:rPr>
        <w:t>and </w:t>
      </w:r>
      <w:r>
        <w:rPr>
          <w:spacing w:val="10"/>
          <w:sz w:val="22"/>
        </w:rPr>
        <w:t>design </w:t>
      </w:r>
      <w:r>
        <w:rPr>
          <w:spacing w:val="12"/>
          <w:sz w:val="22"/>
        </w:rPr>
        <w:t>summer</w:t>
      </w:r>
      <w:r>
        <w:rPr>
          <w:spacing w:val="7"/>
          <w:sz w:val="22"/>
        </w:rPr>
        <w:t> </w:t>
      </w:r>
      <w:r>
        <w:rPr>
          <w:sz w:val="22"/>
        </w:rPr>
        <w:t>studios), </w:t>
      </w:r>
      <w:r>
        <w:rPr>
          <w:spacing w:val="15"/>
          <w:sz w:val="22"/>
        </w:rPr>
        <w:t>depending </w:t>
      </w:r>
      <w:r>
        <w:rPr>
          <w:sz w:val="22"/>
        </w:rPr>
        <w:t>on </w:t>
      </w:r>
      <w:r>
        <w:rPr>
          <w:spacing w:val="9"/>
          <w:sz w:val="22"/>
        </w:rPr>
        <w:t>previous </w:t>
      </w:r>
      <w:r>
        <w:rPr>
          <w:sz w:val="22"/>
        </w:rPr>
        <w:t>transfer </w:t>
      </w:r>
      <w:r>
        <w:rPr>
          <w:spacing w:val="9"/>
          <w:sz w:val="22"/>
        </w:rPr>
        <w:t>credits, </w:t>
      </w:r>
      <w:r>
        <w:rPr>
          <w:spacing w:val="13"/>
          <w:sz w:val="22"/>
        </w:rPr>
        <w:t>and</w:t>
      </w:r>
    </w:p>
    <w:p>
      <w:pPr>
        <w:spacing w:line="295" w:lineRule="auto" w:before="3"/>
        <w:ind w:left="440" w:right="642" w:firstLine="10"/>
        <w:jc w:val="left"/>
        <w:rPr>
          <w:sz w:val="22"/>
        </w:rPr>
      </w:pPr>
      <w:r>
        <w:rPr>
          <w:spacing w:val="10"/>
          <w:sz w:val="22"/>
        </w:rPr>
        <w:t>outside</w:t>
      </w:r>
      <w:r>
        <w:rPr>
          <w:spacing w:val="3"/>
          <w:sz w:val="22"/>
        </w:rPr>
        <w:t> </w:t>
      </w:r>
      <w:r>
        <w:rPr>
          <w:sz w:val="22"/>
        </w:rPr>
        <w:t>c</w:t>
      </w:r>
      <w:r>
        <w:rPr>
          <w:spacing w:val="-33"/>
          <w:sz w:val="22"/>
        </w:rPr>
        <w:t> </w:t>
      </w:r>
      <w:r>
        <w:rPr>
          <w:spacing w:val="11"/>
          <w:sz w:val="22"/>
        </w:rPr>
        <w:t>ommitments</w:t>
      </w:r>
      <w:r>
        <w:rPr>
          <w:spacing w:val="-9"/>
          <w:sz w:val="22"/>
        </w:rPr>
        <w:t> </w:t>
      </w:r>
      <w:r>
        <w:rPr>
          <w:sz w:val="22"/>
        </w:rPr>
        <w:t>it </w:t>
      </w:r>
      <w:r>
        <w:rPr>
          <w:spacing w:val="14"/>
          <w:sz w:val="22"/>
        </w:rPr>
        <w:t>may</w:t>
      </w:r>
      <w:r>
        <w:rPr>
          <w:spacing w:val="-6"/>
          <w:sz w:val="22"/>
        </w:rPr>
        <w:t> </w:t>
      </w:r>
      <w:r>
        <w:rPr>
          <w:spacing w:val="10"/>
          <w:sz w:val="22"/>
        </w:rPr>
        <w:t>require</w:t>
      </w:r>
      <w:r>
        <w:rPr>
          <w:spacing w:val="-2"/>
          <w:sz w:val="22"/>
        </w:rPr>
        <w:t> </w:t>
      </w:r>
      <w:r>
        <w:rPr>
          <w:sz w:val="22"/>
        </w:rPr>
        <w:t>less or </w:t>
      </w:r>
      <w:r>
        <w:rPr>
          <w:spacing w:val="10"/>
          <w:sz w:val="22"/>
        </w:rPr>
        <w:t>more</w:t>
      </w:r>
      <w:r>
        <w:rPr>
          <w:spacing w:val="6"/>
          <w:sz w:val="22"/>
        </w:rPr>
        <w:t> </w:t>
      </w:r>
      <w:r>
        <w:rPr>
          <w:spacing w:val="10"/>
          <w:sz w:val="22"/>
        </w:rPr>
        <w:t>time</w:t>
      </w:r>
      <w:r>
        <w:rPr>
          <w:spacing w:val="3"/>
          <w:sz w:val="22"/>
        </w:rPr>
        <w:t> </w:t>
      </w:r>
      <w:r>
        <w:rPr>
          <w:sz w:val="22"/>
        </w:rPr>
        <w:t>for c</w:t>
      </w:r>
      <w:r>
        <w:rPr>
          <w:spacing w:val="-22"/>
          <w:sz w:val="22"/>
        </w:rPr>
        <w:t> </w:t>
      </w:r>
      <w:r>
        <w:rPr>
          <w:spacing w:val="11"/>
          <w:sz w:val="22"/>
        </w:rPr>
        <w:t>ompletion.</w:t>
      </w:r>
      <w:r>
        <w:rPr>
          <w:spacing w:val="-11"/>
          <w:sz w:val="22"/>
        </w:rPr>
        <w:t> </w:t>
      </w:r>
      <w:r>
        <w:rPr>
          <w:spacing w:val="10"/>
          <w:sz w:val="22"/>
        </w:rPr>
        <w:t>Typic</w:t>
      </w:r>
      <w:r>
        <w:rPr>
          <w:spacing w:val="-30"/>
          <w:sz w:val="22"/>
        </w:rPr>
        <w:t> </w:t>
      </w:r>
      <w:r>
        <w:rPr>
          <w:sz w:val="22"/>
        </w:rPr>
        <w:t>ally</w:t>
      </w:r>
      <w:r>
        <w:rPr>
          <w:spacing w:val="-1"/>
          <w:sz w:val="22"/>
        </w:rPr>
        <w:t> </w:t>
      </w:r>
      <w:r>
        <w:rPr>
          <w:spacing w:val="9"/>
          <w:sz w:val="22"/>
        </w:rPr>
        <w:t>the</w:t>
      </w:r>
      <w:r>
        <w:rPr>
          <w:sz w:val="22"/>
        </w:rPr>
        <w:t> </w:t>
      </w:r>
      <w:r>
        <w:rPr>
          <w:spacing w:val="11"/>
          <w:sz w:val="22"/>
        </w:rPr>
        <w:t>latter </w:t>
      </w:r>
      <w:r>
        <w:rPr>
          <w:sz w:val="22"/>
        </w:rPr>
        <w:t>is true for </w:t>
      </w:r>
      <w:r>
        <w:rPr>
          <w:spacing w:val="11"/>
          <w:sz w:val="22"/>
        </w:rPr>
        <w:t>students </w:t>
      </w:r>
      <w:r>
        <w:rPr>
          <w:sz w:val="22"/>
        </w:rPr>
        <w:t>with signific</w:t>
      </w:r>
      <w:r>
        <w:rPr>
          <w:spacing w:val="-27"/>
          <w:sz w:val="22"/>
        </w:rPr>
        <w:t> </w:t>
      </w:r>
      <w:r>
        <w:rPr>
          <w:spacing w:val="10"/>
          <w:sz w:val="22"/>
        </w:rPr>
        <w:t>ant </w:t>
      </w:r>
      <w:r>
        <w:rPr>
          <w:spacing w:val="9"/>
          <w:sz w:val="22"/>
        </w:rPr>
        <w:t>outside </w:t>
      </w:r>
      <w:r>
        <w:rPr>
          <w:spacing w:val="10"/>
          <w:sz w:val="22"/>
        </w:rPr>
        <w:t>personal,</w:t>
      </w:r>
      <w:r>
        <w:rPr>
          <w:spacing w:val="8"/>
          <w:sz w:val="22"/>
        </w:rPr>
        <w:t> </w:t>
      </w:r>
      <w:r>
        <w:rPr>
          <w:spacing w:val="11"/>
          <w:sz w:val="22"/>
        </w:rPr>
        <w:t>financial, </w:t>
      </w:r>
      <w:r>
        <w:rPr>
          <w:spacing w:val="13"/>
          <w:sz w:val="22"/>
        </w:rPr>
        <w:t>and </w:t>
      </w:r>
      <w:r>
        <w:rPr>
          <w:sz w:val="22"/>
        </w:rPr>
        <w:t>work </w:t>
      </w:r>
      <w:r>
        <w:rPr>
          <w:spacing w:val="11"/>
          <w:sz w:val="22"/>
        </w:rPr>
        <w:t>obligations, </w:t>
      </w:r>
      <w:r>
        <w:rPr>
          <w:sz w:val="22"/>
        </w:rPr>
        <w:t>or </w:t>
      </w:r>
      <w:r>
        <w:rPr>
          <w:spacing w:val="11"/>
          <w:sz w:val="22"/>
        </w:rPr>
        <w:t>students </w:t>
      </w:r>
      <w:r>
        <w:rPr>
          <w:spacing w:val="10"/>
          <w:sz w:val="22"/>
        </w:rPr>
        <w:t>who </w:t>
      </w:r>
      <w:r>
        <w:rPr>
          <w:spacing w:val="11"/>
          <w:sz w:val="22"/>
        </w:rPr>
        <w:t>earn </w:t>
      </w:r>
      <w:r>
        <w:rPr>
          <w:spacing w:val="12"/>
          <w:sz w:val="22"/>
        </w:rPr>
        <w:t>non-</w:t>
      </w:r>
      <w:r>
        <w:rPr>
          <w:sz w:val="22"/>
        </w:rPr>
        <w:t>p</w:t>
      </w:r>
      <w:r>
        <w:rPr>
          <w:spacing w:val="-30"/>
          <w:sz w:val="22"/>
        </w:rPr>
        <w:t> </w:t>
      </w:r>
      <w:r>
        <w:rPr>
          <w:sz w:val="22"/>
        </w:rPr>
        <w:t>assing gra</w:t>
      </w:r>
      <w:r>
        <w:rPr>
          <w:spacing w:val="-30"/>
          <w:sz w:val="22"/>
        </w:rPr>
        <w:t> </w:t>
      </w:r>
      <w:r>
        <w:rPr>
          <w:sz w:val="22"/>
        </w:rPr>
        <w:t>des. It is </w:t>
      </w:r>
      <w:r>
        <w:rPr>
          <w:spacing w:val="14"/>
          <w:sz w:val="22"/>
        </w:rPr>
        <w:t>important </w:t>
      </w:r>
      <w:r>
        <w:rPr>
          <w:sz w:val="22"/>
        </w:rPr>
        <w:t>to </w:t>
      </w:r>
      <w:r>
        <w:rPr>
          <w:spacing w:val="10"/>
          <w:sz w:val="22"/>
        </w:rPr>
        <w:t>know </w:t>
      </w:r>
      <w:r>
        <w:rPr>
          <w:spacing w:val="13"/>
          <w:sz w:val="22"/>
        </w:rPr>
        <w:t>that </w:t>
      </w:r>
      <w:r>
        <w:rPr>
          <w:spacing w:val="9"/>
          <w:sz w:val="22"/>
        </w:rPr>
        <w:t>the </w:t>
      </w:r>
      <w:r>
        <w:rPr>
          <w:spacing w:val="11"/>
          <w:sz w:val="22"/>
        </w:rPr>
        <w:t>Dep</w:t>
      </w:r>
      <w:r>
        <w:rPr>
          <w:spacing w:val="-30"/>
          <w:sz w:val="22"/>
        </w:rPr>
        <w:t> </w:t>
      </w:r>
      <w:r>
        <w:rPr>
          <w:spacing w:val="12"/>
          <w:sz w:val="22"/>
        </w:rPr>
        <w:t>artment </w:t>
      </w:r>
      <w:r>
        <w:rPr>
          <w:sz w:val="22"/>
        </w:rPr>
        <w:t>of </w:t>
      </w:r>
      <w:r>
        <w:rPr>
          <w:spacing w:val="12"/>
          <w:sz w:val="22"/>
        </w:rPr>
        <w:t>Architecture </w:t>
      </w:r>
      <w:r>
        <w:rPr>
          <w:spacing w:val="13"/>
          <w:sz w:val="22"/>
        </w:rPr>
        <w:t>does </w:t>
      </w:r>
      <w:r>
        <w:rPr>
          <w:spacing w:val="11"/>
          <w:sz w:val="22"/>
        </w:rPr>
        <w:t>not </w:t>
      </w:r>
      <w:r>
        <w:rPr>
          <w:spacing w:val="16"/>
          <w:sz w:val="22"/>
        </w:rPr>
        <w:t>equate </w:t>
      </w:r>
      <w:r>
        <w:rPr>
          <w:sz w:val="22"/>
        </w:rPr>
        <w:t>suc</w:t>
      </w:r>
      <w:r>
        <w:rPr>
          <w:spacing w:val="-26"/>
          <w:sz w:val="22"/>
        </w:rPr>
        <w:t> </w:t>
      </w:r>
      <w:r>
        <w:rPr>
          <w:sz w:val="22"/>
        </w:rPr>
        <w:t>c</w:t>
      </w:r>
      <w:r>
        <w:rPr>
          <w:spacing w:val="-30"/>
          <w:sz w:val="22"/>
        </w:rPr>
        <w:t> </w:t>
      </w:r>
      <w:r>
        <w:rPr>
          <w:sz w:val="22"/>
        </w:rPr>
        <w:t>essful c</w:t>
      </w:r>
      <w:r>
        <w:rPr>
          <w:spacing w:val="-29"/>
          <w:sz w:val="22"/>
        </w:rPr>
        <w:t> </w:t>
      </w:r>
      <w:r>
        <w:rPr>
          <w:spacing w:val="13"/>
          <w:sz w:val="22"/>
        </w:rPr>
        <w:t>ompletion </w:t>
      </w:r>
      <w:r>
        <w:rPr>
          <w:sz w:val="22"/>
        </w:rPr>
        <w:t>of </w:t>
      </w:r>
      <w:r>
        <w:rPr>
          <w:spacing w:val="9"/>
          <w:sz w:val="22"/>
        </w:rPr>
        <w:t>the </w:t>
      </w:r>
      <w:r>
        <w:rPr>
          <w:spacing w:val="13"/>
          <w:sz w:val="22"/>
        </w:rPr>
        <w:t>program </w:t>
      </w:r>
      <w:r>
        <w:rPr>
          <w:sz w:val="22"/>
        </w:rPr>
        <w:t>with </w:t>
      </w:r>
      <w:r>
        <w:rPr>
          <w:spacing w:val="11"/>
          <w:sz w:val="22"/>
        </w:rPr>
        <w:t>quick</w:t>
      </w:r>
    </w:p>
    <w:p>
      <w:pPr>
        <w:spacing w:line="292" w:lineRule="auto" w:before="0"/>
        <w:ind w:left="453" w:right="927" w:firstLine="3"/>
        <w:jc w:val="left"/>
        <w:rPr>
          <w:sz w:val="22"/>
        </w:rPr>
      </w:pPr>
      <w:r>
        <w:rPr>
          <w:sz w:val="22"/>
        </w:rPr>
        <w:t>c</w:t>
      </w:r>
      <w:r>
        <w:rPr>
          <w:spacing w:val="-33"/>
          <w:sz w:val="22"/>
        </w:rPr>
        <w:t> </w:t>
      </w:r>
      <w:r>
        <w:rPr>
          <w:spacing w:val="12"/>
          <w:sz w:val="22"/>
        </w:rPr>
        <w:t>ompletion </w:t>
      </w:r>
      <w:r>
        <w:rPr>
          <w:sz w:val="22"/>
        </w:rPr>
        <w:t>of </w:t>
      </w:r>
      <w:r>
        <w:rPr>
          <w:spacing w:val="9"/>
          <w:sz w:val="22"/>
        </w:rPr>
        <w:t>the </w:t>
      </w:r>
      <w:r>
        <w:rPr>
          <w:spacing w:val="13"/>
          <w:sz w:val="22"/>
        </w:rPr>
        <w:t>program.</w:t>
      </w:r>
      <w:r>
        <w:rPr>
          <w:spacing w:val="-3"/>
          <w:sz w:val="22"/>
        </w:rPr>
        <w:t> </w:t>
      </w:r>
      <w:r>
        <w:rPr>
          <w:sz w:val="22"/>
        </w:rPr>
        <w:t>Suc</w:t>
      </w:r>
      <w:r>
        <w:rPr>
          <w:spacing w:val="-28"/>
          <w:sz w:val="22"/>
        </w:rPr>
        <w:t> </w:t>
      </w:r>
      <w:r>
        <w:rPr>
          <w:sz w:val="22"/>
        </w:rPr>
        <w:t>cessful c</w:t>
      </w:r>
      <w:r>
        <w:rPr>
          <w:spacing w:val="-33"/>
          <w:sz w:val="22"/>
        </w:rPr>
        <w:t> </w:t>
      </w:r>
      <w:r>
        <w:rPr>
          <w:spacing w:val="13"/>
          <w:sz w:val="22"/>
        </w:rPr>
        <w:t>ompletion means</w:t>
      </w:r>
      <w:r>
        <w:rPr>
          <w:spacing w:val="3"/>
          <w:sz w:val="22"/>
        </w:rPr>
        <w:t> </w:t>
      </w:r>
      <w:r>
        <w:rPr>
          <w:sz w:val="22"/>
        </w:rPr>
        <w:t>finishing with </w:t>
      </w:r>
      <w:r>
        <w:rPr>
          <w:spacing w:val="13"/>
          <w:sz w:val="22"/>
        </w:rPr>
        <w:t>optimum </w:t>
      </w:r>
      <w:r>
        <w:rPr>
          <w:spacing w:val="11"/>
          <w:sz w:val="22"/>
        </w:rPr>
        <w:t>growth,</w:t>
      </w:r>
      <w:r>
        <w:rPr>
          <w:spacing w:val="-6"/>
          <w:sz w:val="22"/>
        </w:rPr>
        <w:t> </w:t>
      </w:r>
      <w:r>
        <w:rPr>
          <w:spacing w:val="14"/>
          <w:sz w:val="22"/>
        </w:rPr>
        <w:t>knowledge,</w:t>
      </w:r>
      <w:r>
        <w:rPr>
          <w:spacing w:val="10"/>
          <w:sz w:val="22"/>
        </w:rPr>
        <w:t> </w:t>
      </w:r>
      <w:r>
        <w:rPr>
          <w:spacing w:val="15"/>
          <w:sz w:val="22"/>
        </w:rPr>
        <w:t>development</w:t>
      </w:r>
      <w:r>
        <w:rPr>
          <w:spacing w:val="16"/>
          <w:sz w:val="22"/>
        </w:rPr>
        <w:t> </w:t>
      </w:r>
      <w:r>
        <w:rPr>
          <w:spacing w:val="13"/>
          <w:sz w:val="22"/>
        </w:rPr>
        <w:t>and</w:t>
      </w:r>
      <w:r>
        <w:rPr>
          <w:spacing w:val="23"/>
          <w:sz w:val="22"/>
        </w:rPr>
        <w:t> </w:t>
      </w:r>
      <w:r>
        <w:rPr>
          <w:spacing w:val="13"/>
          <w:sz w:val="22"/>
        </w:rPr>
        <w:t>preparation.</w:t>
      </w:r>
      <w:r>
        <w:rPr>
          <w:spacing w:val="-7"/>
          <w:sz w:val="22"/>
        </w:rPr>
        <w:t> </w:t>
      </w:r>
      <w:r>
        <w:rPr>
          <w:sz w:val="22"/>
        </w:rPr>
        <w:t>If</w:t>
      </w:r>
      <w:r>
        <w:rPr>
          <w:spacing w:val="5"/>
          <w:sz w:val="22"/>
        </w:rPr>
        <w:t> </w:t>
      </w:r>
      <w:r>
        <w:rPr>
          <w:spacing w:val="9"/>
          <w:sz w:val="22"/>
        </w:rPr>
        <w:t>you</w:t>
      </w:r>
      <w:r>
        <w:rPr>
          <w:spacing w:val="16"/>
          <w:sz w:val="22"/>
        </w:rPr>
        <w:t> </w:t>
      </w:r>
      <w:r>
        <w:rPr>
          <w:spacing w:val="12"/>
          <w:sz w:val="22"/>
        </w:rPr>
        <w:t>do </w:t>
      </w:r>
      <w:r>
        <w:rPr>
          <w:spacing w:val="13"/>
          <w:sz w:val="22"/>
        </w:rPr>
        <w:t>have</w:t>
      </w:r>
      <w:r>
        <w:rPr>
          <w:spacing w:val="4"/>
          <w:sz w:val="22"/>
        </w:rPr>
        <w:t> </w:t>
      </w:r>
      <w:r>
        <w:rPr>
          <w:spacing w:val="12"/>
          <w:sz w:val="22"/>
        </w:rPr>
        <w:t>large</w:t>
      </w:r>
      <w:r>
        <w:rPr>
          <w:spacing w:val="17"/>
          <w:sz w:val="22"/>
        </w:rPr>
        <w:t> </w:t>
      </w:r>
      <w:r>
        <w:rPr>
          <w:spacing w:val="8"/>
          <w:sz w:val="22"/>
        </w:rPr>
        <w:t>outside</w:t>
      </w:r>
    </w:p>
    <w:p>
      <w:pPr>
        <w:spacing w:before="0"/>
        <w:ind w:left="456" w:right="0" w:firstLine="0"/>
        <w:jc w:val="left"/>
        <w:rPr>
          <w:sz w:val="22"/>
        </w:rPr>
      </w:pPr>
      <w:r>
        <w:rPr>
          <w:sz w:val="22"/>
        </w:rPr>
        <w:t>c</w:t>
      </w:r>
      <w:r>
        <w:rPr>
          <w:spacing w:val="-33"/>
          <w:sz w:val="22"/>
        </w:rPr>
        <w:t> </w:t>
      </w:r>
      <w:r>
        <w:rPr>
          <w:spacing w:val="10"/>
          <w:sz w:val="22"/>
        </w:rPr>
        <w:t>ommitments,</w:t>
      </w:r>
      <w:r>
        <w:rPr>
          <w:spacing w:val="-5"/>
          <w:sz w:val="22"/>
        </w:rPr>
        <w:t> </w:t>
      </w:r>
      <w:r>
        <w:rPr>
          <w:sz w:val="22"/>
        </w:rPr>
        <w:t>It</w:t>
      </w:r>
      <w:r>
        <w:rPr>
          <w:spacing w:val="5"/>
          <w:sz w:val="22"/>
        </w:rPr>
        <w:t> </w:t>
      </w:r>
      <w:r>
        <w:rPr>
          <w:sz w:val="22"/>
        </w:rPr>
        <w:t>is</w:t>
      </w:r>
      <w:r>
        <w:rPr>
          <w:spacing w:val="-1"/>
          <w:sz w:val="22"/>
        </w:rPr>
        <w:t> </w:t>
      </w:r>
      <w:r>
        <w:rPr>
          <w:spacing w:val="11"/>
          <w:sz w:val="22"/>
        </w:rPr>
        <w:t>rec</w:t>
      </w:r>
      <w:r>
        <w:rPr>
          <w:spacing w:val="-33"/>
          <w:sz w:val="22"/>
        </w:rPr>
        <w:t> </w:t>
      </w:r>
      <w:r>
        <w:rPr>
          <w:spacing w:val="16"/>
          <w:sz w:val="22"/>
        </w:rPr>
        <w:t>ommended</w:t>
      </w:r>
      <w:r>
        <w:rPr>
          <w:spacing w:val="20"/>
          <w:sz w:val="22"/>
        </w:rPr>
        <w:t> </w:t>
      </w:r>
      <w:r>
        <w:rPr>
          <w:spacing w:val="13"/>
          <w:sz w:val="22"/>
        </w:rPr>
        <w:t>that</w:t>
      </w:r>
      <w:r>
        <w:rPr>
          <w:spacing w:val="9"/>
          <w:sz w:val="22"/>
        </w:rPr>
        <w:t> you</w:t>
      </w:r>
      <w:r>
        <w:rPr>
          <w:spacing w:val="16"/>
          <w:sz w:val="22"/>
        </w:rPr>
        <w:t> </w:t>
      </w:r>
      <w:r>
        <w:rPr>
          <w:spacing w:val="14"/>
          <w:sz w:val="22"/>
        </w:rPr>
        <w:t>meet</w:t>
      </w:r>
      <w:r>
        <w:rPr>
          <w:spacing w:val="18"/>
          <w:sz w:val="22"/>
        </w:rPr>
        <w:t> </w:t>
      </w:r>
      <w:r>
        <w:rPr>
          <w:sz w:val="22"/>
        </w:rPr>
        <w:t>with</w:t>
      </w:r>
      <w:r>
        <w:rPr>
          <w:spacing w:val="8"/>
          <w:sz w:val="22"/>
        </w:rPr>
        <w:t> </w:t>
      </w:r>
      <w:r>
        <w:rPr>
          <w:sz w:val="22"/>
        </w:rPr>
        <w:t>your</w:t>
      </w:r>
      <w:r>
        <w:rPr>
          <w:spacing w:val="13"/>
          <w:sz w:val="22"/>
        </w:rPr>
        <w:t> </w:t>
      </w:r>
      <w:r>
        <w:rPr>
          <w:sz w:val="22"/>
        </w:rPr>
        <w:t>a</w:t>
      </w:r>
      <w:r>
        <w:rPr>
          <w:spacing w:val="-33"/>
          <w:sz w:val="22"/>
        </w:rPr>
        <w:t> </w:t>
      </w:r>
      <w:r>
        <w:rPr>
          <w:sz w:val="22"/>
        </w:rPr>
        <w:t>c</w:t>
      </w:r>
      <w:r>
        <w:rPr>
          <w:spacing w:val="-29"/>
          <w:sz w:val="22"/>
        </w:rPr>
        <w:t> </w:t>
      </w:r>
      <w:r>
        <w:rPr>
          <w:sz w:val="22"/>
        </w:rPr>
        <w:t>a</w:t>
      </w:r>
      <w:r>
        <w:rPr>
          <w:spacing w:val="-33"/>
          <w:sz w:val="22"/>
        </w:rPr>
        <w:t> </w:t>
      </w:r>
      <w:r>
        <w:rPr>
          <w:spacing w:val="13"/>
          <w:sz w:val="22"/>
        </w:rPr>
        <w:t>demic</w:t>
      </w:r>
      <w:r>
        <w:rPr>
          <w:spacing w:val="30"/>
          <w:sz w:val="22"/>
        </w:rPr>
        <w:t> </w:t>
      </w:r>
      <w:r>
        <w:rPr>
          <w:sz w:val="22"/>
        </w:rPr>
        <w:t>a</w:t>
      </w:r>
      <w:r>
        <w:rPr>
          <w:spacing w:val="-33"/>
          <w:sz w:val="22"/>
        </w:rPr>
        <w:t> </w:t>
      </w:r>
      <w:r>
        <w:rPr>
          <w:sz w:val="22"/>
        </w:rPr>
        <w:t>dvisor</w:t>
      </w:r>
      <w:r>
        <w:rPr>
          <w:spacing w:val="29"/>
          <w:sz w:val="22"/>
        </w:rPr>
        <w:t> </w:t>
      </w:r>
      <w:r>
        <w:rPr>
          <w:spacing w:val="-5"/>
          <w:sz w:val="22"/>
        </w:rPr>
        <w:t>to</w:t>
      </w:r>
    </w:p>
    <w:p>
      <w:pPr>
        <w:spacing w:line="292" w:lineRule="auto" w:before="56"/>
        <w:ind w:left="446" w:right="642" w:firstLine="7"/>
        <w:jc w:val="left"/>
        <w:rPr>
          <w:sz w:val="22"/>
        </w:rPr>
      </w:pPr>
      <w:r>
        <w:rPr>
          <w:spacing w:val="14"/>
          <w:sz w:val="22"/>
        </w:rPr>
        <w:t>develop </w:t>
      </w:r>
      <w:r>
        <w:rPr>
          <w:sz w:val="22"/>
        </w:rPr>
        <w:t>a realistic</w:t>
      </w:r>
      <w:r>
        <w:rPr>
          <w:spacing w:val="11"/>
          <w:sz w:val="22"/>
        </w:rPr>
        <w:t> plan </w:t>
      </w:r>
      <w:r>
        <w:rPr>
          <w:sz w:val="22"/>
        </w:rPr>
        <w:t>of c</w:t>
      </w:r>
      <w:r>
        <w:rPr>
          <w:spacing w:val="-33"/>
          <w:sz w:val="22"/>
        </w:rPr>
        <w:t> </w:t>
      </w:r>
      <w:r>
        <w:rPr>
          <w:spacing w:val="13"/>
          <w:sz w:val="22"/>
        </w:rPr>
        <w:t>ompletion</w:t>
      </w:r>
      <w:r>
        <w:rPr>
          <w:spacing w:val="10"/>
          <w:sz w:val="22"/>
        </w:rPr>
        <w:t> </w:t>
      </w:r>
      <w:r>
        <w:rPr>
          <w:sz w:val="22"/>
        </w:rPr>
        <w:t>for </w:t>
      </w:r>
      <w:r>
        <w:rPr>
          <w:spacing w:val="9"/>
          <w:sz w:val="22"/>
        </w:rPr>
        <w:t>the </w:t>
      </w:r>
      <w:r>
        <w:rPr>
          <w:spacing w:val="14"/>
          <w:sz w:val="22"/>
        </w:rPr>
        <w:t>program </w:t>
      </w:r>
      <w:r>
        <w:rPr>
          <w:spacing w:val="13"/>
          <w:sz w:val="22"/>
        </w:rPr>
        <w:t>and that</w:t>
      </w:r>
      <w:r>
        <w:rPr>
          <w:spacing w:val="11"/>
          <w:sz w:val="22"/>
        </w:rPr>
        <w:t> </w:t>
      </w:r>
      <w:r>
        <w:rPr>
          <w:spacing w:val="9"/>
          <w:sz w:val="22"/>
        </w:rPr>
        <w:t>you </w:t>
      </w:r>
      <w:r>
        <w:rPr>
          <w:sz w:val="22"/>
        </w:rPr>
        <w:t>c</w:t>
      </w:r>
      <w:r>
        <w:rPr>
          <w:spacing w:val="-33"/>
          <w:sz w:val="22"/>
        </w:rPr>
        <w:t> </w:t>
      </w:r>
      <w:r>
        <w:rPr>
          <w:spacing w:val="11"/>
          <w:sz w:val="22"/>
        </w:rPr>
        <w:t>ommunic</w:t>
      </w:r>
      <w:r>
        <w:rPr>
          <w:spacing w:val="-29"/>
          <w:sz w:val="22"/>
        </w:rPr>
        <w:t> </w:t>
      </w:r>
      <w:r>
        <w:rPr>
          <w:spacing w:val="11"/>
          <w:sz w:val="22"/>
        </w:rPr>
        <w:t>ate </w:t>
      </w:r>
      <w:r>
        <w:rPr>
          <w:sz w:val="22"/>
        </w:rPr>
        <w:t>this timeline</w:t>
      </w:r>
      <w:r>
        <w:rPr>
          <w:spacing w:val="40"/>
          <w:sz w:val="22"/>
        </w:rPr>
        <w:t> </w:t>
      </w:r>
      <w:r>
        <w:rPr>
          <w:sz w:val="22"/>
        </w:rPr>
        <w:t>with</w:t>
      </w:r>
      <w:r>
        <w:rPr>
          <w:spacing w:val="9"/>
          <w:sz w:val="22"/>
        </w:rPr>
        <w:t> those</w:t>
      </w:r>
      <w:r>
        <w:rPr>
          <w:spacing w:val="40"/>
          <w:sz w:val="22"/>
        </w:rPr>
        <w:t> </w:t>
      </w:r>
      <w:r>
        <w:rPr>
          <w:spacing w:val="10"/>
          <w:sz w:val="22"/>
        </w:rPr>
        <w:t>who</w:t>
      </w:r>
      <w:r>
        <w:rPr>
          <w:spacing w:val="40"/>
          <w:sz w:val="22"/>
        </w:rPr>
        <w:t> </w:t>
      </w:r>
      <w:r>
        <w:rPr>
          <w:sz w:val="22"/>
        </w:rPr>
        <w:t>will</w:t>
      </w:r>
      <w:r>
        <w:rPr>
          <w:spacing w:val="11"/>
          <w:sz w:val="22"/>
        </w:rPr>
        <w:t> be emotionally </w:t>
      </w:r>
      <w:r>
        <w:rPr>
          <w:spacing w:val="12"/>
          <w:sz w:val="22"/>
        </w:rPr>
        <w:t>and </w:t>
      </w:r>
      <w:r>
        <w:rPr>
          <w:spacing w:val="10"/>
          <w:sz w:val="22"/>
        </w:rPr>
        <w:t>financially </w:t>
      </w:r>
      <w:r>
        <w:rPr>
          <w:sz w:val="22"/>
        </w:rPr>
        <w:t>sup</w:t>
      </w:r>
      <w:r>
        <w:rPr>
          <w:spacing w:val="-26"/>
          <w:sz w:val="22"/>
        </w:rPr>
        <w:t> </w:t>
      </w:r>
      <w:r>
        <w:rPr>
          <w:spacing w:val="9"/>
          <w:sz w:val="22"/>
        </w:rPr>
        <w:t>porting </w:t>
      </w:r>
      <w:r>
        <w:rPr>
          <w:spacing w:val="10"/>
          <w:sz w:val="22"/>
        </w:rPr>
        <w:t>you </w:t>
      </w:r>
      <w:r>
        <w:rPr>
          <w:sz w:val="22"/>
        </w:rPr>
        <w:t>in your</w:t>
      </w:r>
    </w:p>
    <w:p>
      <w:pPr>
        <w:spacing w:before="2"/>
        <w:ind w:left="450" w:right="0" w:firstLine="0"/>
        <w:jc w:val="left"/>
        <w:rPr>
          <w:sz w:val="22"/>
        </w:rPr>
      </w:pPr>
      <w:r>
        <w:rPr>
          <w:spacing w:val="15"/>
          <w:w w:val="95"/>
          <w:sz w:val="22"/>
        </w:rPr>
        <w:t>educ</w:t>
      </w:r>
      <w:r>
        <w:rPr>
          <w:spacing w:val="-8"/>
          <w:w w:val="95"/>
          <w:sz w:val="22"/>
        </w:rPr>
        <w:t> </w:t>
      </w:r>
      <w:r>
        <w:rPr>
          <w:spacing w:val="11"/>
          <w:w w:val="95"/>
          <w:sz w:val="22"/>
        </w:rPr>
        <w:t>ational</w:t>
      </w:r>
      <w:r>
        <w:rPr>
          <w:spacing w:val="55"/>
          <w:sz w:val="22"/>
        </w:rPr>
        <w:t> </w:t>
      </w:r>
      <w:r>
        <w:rPr>
          <w:spacing w:val="12"/>
          <w:w w:val="95"/>
          <w:sz w:val="22"/>
        </w:rPr>
        <w:t>experience</w:t>
      </w:r>
      <w:r>
        <w:rPr>
          <w:spacing w:val="64"/>
          <w:sz w:val="22"/>
        </w:rPr>
        <w:t> </w:t>
      </w:r>
      <w:r>
        <w:rPr>
          <w:w w:val="95"/>
          <w:sz w:val="22"/>
        </w:rPr>
        <w:t>(family,</w:t>
      </w:r>
      <w:r>
        <w:rPr>
          <w:spacing w:val="40"/>
          <w:sz w:val="22"/>
        </w:rPr>
        <w:t> </w:t>
      </w:r>
      <w:r>
        <w:rPr>
          <w:w w:val="95"/>
          <w:sz w:val="22"/>
        </w:rPr>
        <w:t>friends,</w:t>
      </w:r>
      <w:r>
        <w:rPr>
          <w:spacing w:val="33"/>
          <w:sz w:val="22"/>
        </w:rPr>
        <w:t> </w:t>
      </w:r>
      <w:r>
        <w:rPr>
          <w:spacing w:val="10"/>
          <w:w w:val="95"/>
          <w:sz w:val="22"/>
        </w:rPr>
        <w:t>scholarship</w:t>
      </w:r>
      <w:r>
        <w:rPr>
          <w:spacing w:val="60"/>
          <w:sz w:val="22"/>
        </w:rPr>
        <w:t> </w:t>
      </w:r>
      <w:r>
        <w:rPr>
          <w:w w:val="95"/>
          <w:sz w:val="22"/>
        </w:rPr>
        <w:t>sponsors,</w:t>
      </w:r>
      <w:r>
        <w:rPr>
          <w:spacing w:val="51"/>
          <w:sz w:val="22"/>
        </w:rPr>
        <w:t> </w:t>
      </w:r>
      <w:r>
        <w:rPr>
          <w:spacing w:val="7"/>
          <w:w w:val="95"/>
          <w:sz w:val="22"/>
        </w:rPr>
        <w:t>etc.).</w:t>
      </w:r>
    </w:p>
    <w:p>
      <w:pPr>
        <w:pStyle w:val="BodyText"/>
        <w:spacing w:before="1"/>
        <w:rPr>
          <w:sz w:val="32"/>
        </w:rPr>
      </w:pPr>
    </w:p>
    <w:p>
      <w:pPr>
        <w:spacing w:line="292" w:lineRule="auto" w:before="0"/>
        <w:ind w:left="456" w:right="642" w:hanging="7"/>
        <w:jc w:val="left"/>
        <w:rPr>
          <w:i/>
          <w:sz w:val="22"/>
        </w:rPr>
      </w:pPr>
      <w:r>
        <w:rPr>
          <w:i/>
          <w:spacing w:val="14"/>
          <w:sz w:val="22"/>
        </w:rPr>
        <w:t>Can</w:t>
      </w:r>
      <w:r>
        <w:rPr>
          <w:i/>
          <w:spacing w:val="-2"/>
          <w:sz w:val="22"/>
        </w:rPr>
        <w:t> </w:t>
      </w:r>
      <w:r>
        <w:rPr>
          <w:i/>
          <w:sz w:val="22"/>
        </w:rPr>
        <w:t>I </w:t>
      </w:r>
      <w:r>
        <w:rPr>
          <w:i/>
          <w:spacing w:val="12"/>
          <w:sz w:val="22"/>
        </w:rPr>
        <w:t>make </w:t>
      </w:r>
      <w:r>
        <w:rPr>
          <w:i/>
          <w:sz w:val="22"/>
        </w:rPr>
        <w:t>my </w:t>
      </w:r>
      <w:r>
        <w:rPr>
          <w:i/>
          <w:spacing w:val="12"/>
          <w:sz w:val="22"/>
        </w:rPr>
        <w:t>own</w:t>
      </w:r>
      <w:r>
        <w:rPr>
          <w:i/>
          <w:spacing w:val="-2"/>
          <w:sz w:val="22"/>
        </w:rPr>
        <w:t> </w:t>
      </w:r>
      <w:r>
        <w:rPr>
          <w:i/>
          <w:spacing w:val="13"/>
          <w:sz w:val="22"/>
        </w:rPr>
        <w:t>schedule,</w:t>
      </w:r>
      <w:r>
        <w:rPr>
          <w:i/>
          <w:spacing w:val="8"/>
          <w:sz w:val="22"/>
        </w:rPr>
        <w:t> </w:t>
      </w:r>
      <w:r>
        <w:rPr>
          <w:i/>
          <w:spacing w:val="13"/>
          <w:sz w:val="22"/>
        </w:rPr>
        <w:t>and</w:t>
      </w:r>
      <w:r>
        <w:rPr>
          <w:i/>
          <w:spacing w:val="12"/>
          <w:sz w:val="22"/>
        </w:rPr>
        <w:t> </w:t>
      </w:r>
      <w:r>
        <w:rPr>
          <w:i/>
          <w:spacing w:val="11"/>
          <w:sz w:val="22"/>
        </w:rPr>
        <w:t>take </w:t>
      </w:r>
      <w:r>
        <w:rPr>
          <w:i/>
          <w:spacing w:val="9"/>
          <w:sz w:val="22"/>
        </w:rPr>
        <w:t>any course</w:t>
      </w:r>
      <w:r>
        <w:rPr>
          <w:i/>
          <w:spacing w:val="7"/>
          <w:sz w:val="22"/>
        </w:rPr>
        <w:t> </w:t>
      </w:r>
      <w:r>
        <w:rPr>
          <w:i/>
          <w:spacing w:val="11"/>
          <w:sz w:val="22"/>
        </w:rPr>
        <w:t>(especially</w:t>
      </w:r>
      <w:r>
        <w:rPr>
          <w:i/>
          <w:spacing w:val="6"/>
          <w:sz w:val="22"/>
        </w:rPr>
        <w:t> </w:t>
      </w:r>
      <w:r>
        <w:rPr>
          <w:i/>
          <w:spacing w:val="13"/>
          <w:sz w:val="22"/>
        </w:rPr>
        <w:t>general</w:t>
      </w:r>
      <w:r>
        <w:rPr>
          <w:i/>
          <w:spacing w:val="4"/>
          <w:sz w:val="22"/>
        </w:rPr>
        <w:t> </w:t>
      </w:r>
      <w:r>
        <w:rPr>
          <w:i/>
          <w:spacing w:val="16"/>
          <w:sz w:val="22"/>
        </w:rPr>
        <w:t>education </w:t>
      </w:r>
      <w:r>
        <w:rPr>
          <w:i/>
          <w:spacing w:val="9"/>
          <w:sz w:val="22"/>
        </w:rPr>
        <w:t>courses) </w:t>
      </w:r>
      <w:r>
        <w:rPr>
          <w:i/>
          <w:spacing w:val="10"/>
          <w:sz w:val="22"/>
        </w:rPr>
        <w:t>at </w:t>
      </w:r>
      <w:r>
        <w:rPr>
          <w:i/>
          <w:spacing w:val="9"/>
          <w:sz w:val="22"/>
        </w:rPr>
        <w:t>any </w:t>
      </w:r>
      <w:r>
        <w:rPr>
          <w:i/>
          <w:spacing w:val="11"/>
          <w:sz w:val="22"/>
        </w:rPr>
        <w:t>time?</w:t>
      </w:r>
    </w:p>
    <w:p>
      <w:pPr>
        <w:pStyle w:val="BodyText"/>
        <w:spacing w:before="3"/>
        <w:rPr>
          <w:i/>
          <w:sz w:val="27"/>
        </w:rPr>
      </w:pPr>
    </w:p>
    <w:p>
      <w:pPr>
        <w:spacing w:line="292" w:lineRule="auto" w:before="0"/>
        <w:ind w:left="447" w:right="712" w:hanging="7"/>
        <w:jc w:val="left"/>
        <w:rPr>
          <w:sz w:val="22"/>
        </w:rPr>
      </w:pPr>
      <w:r>
        <w:rPr>
          <w:sz w:val="22"/>
        </w:rPr>
        <w:t>Yes</w:t>
      </w:r>
      <w:r>
        <w:rPr>
          <w:spacing w:val="13"/>
          <w:sz w:val="22"/>
        </w:rPr>
        <w:t> and </w:t>
      </w:r>
      <w:r>
        <w:rPr>
          <w:sz w:val="22"/>
        </w:rPr>
        <w:t>no.</w:t>
      </w:r>
      <w:r>
        <w:rPr>
          <w:spacing w:val="72"/>
          <w:sz w:val="22"/>
        </w:rPr>
        <w:t> </w:t>
      </w:r>
      <w:r>
        <w:rPr>
          <w:sz w:val="22"/>
        </w:rPr>
        <w:t>You</w:t>
      </w:r>
      <w:r>
        <w:rPr>
          <w:spacing w:val="14"/>
          <w:sz w:val="22"/>
        </w:rPr>
        <w:t> may </w:t>
      </w:r>
      <w:r>
        <w:rPr>
          <w:spacing w:val="11"/>
          <w:sz w:val="22"/>
        </w:rPr>
        <w:t>take</w:t>
      </w:r>
      <w:r>
        <w:rPr>
          <w:spacing w:val="33"/>
          <w:sz w:val="22"/>
        </w:rPr>
        <w:t> </w:t>
      </w:r>
      <w:r>
        <w:rPr>
          <w:spacing w:val="9"/>
          <w:sz w:val="22"/>
        </w:rPr>
        <w:t>any </w:t>
      </w:r>
      <w:r>
        <w:rPr>
          <w:sz w:val="22"/>
        </w:rPr>
        <w:t>c</w:t>
      </w:r>
      <w:r>
        <w:rPr>
          <w:spacing w:val="-30"/>
          <w:sz w:val="22"/>
        </w:rPr>
        <w:t> </w:t>
      </w:r>
      <w:r>
        <w:rPr>
          <w:sz w:val="22"/>
        </w:rPr>
        <w:t>ourse</w:t>
      </w:r>
      <w:r>
        <w:rPr>
          <w:spacing w:val="13"/>
          <w:sz w:val="22"/>
        </w:rPr>
        <w:t> that </w:t>
      </w:r>
      <w:r>
        <w:rPr>
          <w:spacing w:val="10"/>
          <w:sz w:val="22"/>
        </w:rPr>
        <w:t>you </w:t>
      </w:r>
      <w:r>
        <w:rPr>
          <w:spacing w:val="12"/>
          <w:sz w:val="22"/>
        </w:rPr>
        <w:t>meet </w:t>
      </w:r>
      <w:r>
        <w:rPr>
          <w:spacing w:val="9"/>
          <w:sz w:val="22"/>
        </w:rPr>
        <w:t>the</w:t>
      </w:r>
      <w:r>
        <w:rPr>
          <w:spacing w:val="33"/>
          <w:sz w:val="22"/>
        </w:rPr>
        <w:t> </w:t>
      </w:r>
      <w:r>
        <w:rPr>
          <w:spacing w:val="9"/>
          <w:sz w:val="22"/>
        </w:rPr>
        <w:t>prerequisites </w:t>
      </w:r>
      <w:r>
        <w:rPr>
          <w:sz w:val="22"/>
        </w:rPr>
        <w:t>for</w:t>
      </w:r>
      <w:r>
        <w:rPr>
          <w:spacing w:val="11"/>
          <w:sz w:val="22"/>
        </w:rPr>
        <w:t> offered</w:t>
      </w:r>
      <w:r>
        <w:rPr>
          <w:spacing w:val="38"/>
          <w:sz w:val="22"/>
        </w:rPr>
        <w:t> </w:t>
      </w:r>
      <w:r>
        <w:rPr>
          <w:sz w:val="22"/>
        </w:rPr>
        <w:t>by </w:t>
      </w:r>
      <w:r>
        <w:rPr>
          <w:spacing w:val="9"/>
          <w:sz w:val="22"/>
        </w:rPr>
        <w:t>the</w:t>
      </w:r>
      <w:r>
        <w:rPr>
          <w:spacing w:val="8"/>
          <w:sz w:val="22"/>
        </w:rPr>
        <w:t> </w:t>
      </w:r>
      <w:r>
        <w:rPr>
          <w:sz w:val="22"/>
        </w:rPr>
        <w:t>University </w:t>
      </w:r>
      <w:r>
        <w:rPr>
          <w:spacing w:val="10"/>
          <w:sz w:val="22"/>
        </w:rPr>
        <w:t>at </w:t>
      </w:r>
      <w:r>
        <w:rPr>
          <w:spacing w:val="9"/>
          <w:sz w:val="22"/>
        </w:rPr>
        <w:t>the time</w:t>
      </w:r>
      <w:r>
        <w:rPr>
          <w:spacing w:val="8"/>
          <w:sz w:val="22"/>
        </w:rPr>
        <w:t> </w:t>
      </w:r>
      <w:r>
        <w:rPr>
          <w:sz w:val="22"/>
        </w:rPr>
        <w:t>it is </w:t>
      </w:r>
      <w:r>
        <w:rPr>
          <w:spacing w:val="11"/>
          <w:sz w:val="22"/>
        </w:rPr>
        <w:t>offered.</w:t>
      </w:r>
      <w:r>
        <w:rPr>
          <w:spacing w:val="-4"/>
          <w:sz w:val="22"/>
        </w:rPr>
        <w:t> </w:t>
      </w:r>
      <w:r>
        <w:rPr>
          <w:spacing w:val="11"/>
          <w:sz w:val="22"/>
        </w:rPr>
        <w:t>However,</w:t>
      </w:r>
      <w:r>
        <w:rPr>
          <w:spacing w:val="10"/>
          <w:sz w:val="22"/>
        </w:rPr>
        <w:t> </w:t>
      </w:r>
      <w:r>
        <w:rPr>
          <w:spacing w:val="11"/>
          <w:sz w:val="22"/>
        </w:rPr>
        <w:t>per</w:t>
      </w:r>
      <w:r>
        <w:rPr>
          <w:spacing w:val="-2"/>
          <w:sz w:val="22"/>
        </w:rPr>
        <w:t> </w:t>
      </w:r>
      <w:r>
        <w:rPr>
          <w:sz w:val="22"/>
        </w:rPr>
        <w:t>University </w:t>
      </w:r>
      <w:r>
        <w:rPr>
          <w:spacing w:val="11"/>
          <w:sz w:val="22"/>
        </w:rPr>
        <w:t>policy</w:t>
      </w:r>
      <w:r>
        <w:rPr>
          <w:spacing w:val="2"/>
          <w:sz w:val="22"/>
        </w:rPr>
        <w:t> </w:t>
      </w:r>
      <w:r>
        <w:rPr>
          <w:spacing w:val="10"/>
          <w:sz w:val="22"/>
        </w:rPr>
        <w:t>you </w:t>
      </w:r>
      <w:r>
        <w:rPr>
          <w:sz w:val="22"/>
        </w:rPr>
        <w:t>are </w:t>
      </w:r>
      <w:r>
        <w:rPr>
          <w:spacing w:val="11"/>
          <w:sz w:val="22"/>
        </w:rPr>
        <w:t>required </w:t>
      </w:r>
      <w:r>
        <w:rPr>
          <w:sz w:val="22"/>
        </w:rPr>
        <w:t>to </w:t>
      </w:r>
      <w:r>
        <w:rPr>
          <w:spacing w:val="12"/>
          <w:sz w:val="22"/>
        </w:rPr>
        <w:t>be </w:t>
      </w:r>
      <w:r>
        <w:rPr>
          <w:sz w:val="22"/>
        </w:rPr>
        <w:t>a</w:t>
      </w:r>
      <w:r>
        <w:rPr>
          <w:spacing w:val="-28"/>
          <w:sz w:val="22"/>
        </w:rPr>
        <w:t> </w:t>
      </w:r>
      <w:r>
        <w:rPr>
          <w:spacing w:val="9"/>
          <w:sz w:val="22"/>
        </w:rPr>
        <w:t>dvised </w:t>
      </w:r>
      <w:r>
        <w:rPr>
          <w:sz w:val="22"/>
        </w:rPr>
        <w:t>a</w:t>
      </w:r>
      <w:r>
        <w:rPr>
          <w:spacing w:val="-28"/>
          <w:sz w:val="22"/>
        </w:rPr>
        <w:t> </w:t>
      </w:r>
      <w:r>
        <w:rPr>
          <w:sz w:val="22"/>
        </w:rPr>
        <w:t>c</w:t>
      </w:r>
      <w:r>
        <w:rPr>
          <w:spacing w:val="-24"/>
          <w:sz w:val="22"/>
        </w:rPr>
        <w:t> </w:t>
      </w:r>
      <w:r>
        <w:rPr>
          <w:sz w:val="22"/>
        </w:rPr>
        <w:t>a</w:t>
      </w:r>
      <w:r>
        <w:rPr>
          <w:spacing w:val="-28"/>
          <w:sz w:val="22"/>
        </w:rPr>
        <w:t> </w:t>
      </w:r>
      <w:r>
        <w:rPr>
          <w:spacing w:val="13"/>
          <w:sz w:val="22"/>
        </w:rPr>
        <w:t>demic</w:t>
      </w:r>
      <w:r>
        <w:rPr>
          <w:spacing w:val="-28"/>
          <w:sz w:val="22"/>
        </w:rPr>
        <w:t> </w:t>
      </w:r>
      <w:r>
        <w:rPr>
          <w:sz w:val="22"/>
        </w:rPr>
        <w:t>ally prior to </w:t>
      </w:r>
      <w:r>
        <w:rPr>
          <w:spacing w:val="10"/>
          <w:sz w:val="22"/>
        </w:rPr>
        <w:t>registration </w:t>
      </w:r>
      <w:r>
        <w:rPr>
          <w:sz w:val="22"/>
        </w:rPr>
        <w:t>for </w:t>
      </w:r>
      <w:r>
        <w:rPr>
          <w:spacing w:val="12"/>
          <w:sz w:val="22"/>
        </w:rPr>
        <w:t>ea</w:t>
      </w:r>
      <w:r>
        <w:rPr>
          <w:spacing w:val="-25"/>
          <w:sz w:val="22"/>
        </w:rPr>
        <w:t> </w:t>
      </w:r>
      <w:r>
        <w:rPr>
          <w:spacing w:val="11"/>
          <w:sz w:val="22"/>
        </w:rPr>
        <w:t>ch </w:t>
      </w:r>
      <w:r>
        <w:rPr>
          <w:spacing w:val="9"/>
          <w:sz w:val="22"/>
        </w:rPr>
        <w:t>term.</w:t>
      </w:r>
    </w:p>
    <w:p>
      <w:pPr>
        <w:pStyle w:val="BodyText"/>
        <w:spacing w:before="4"/>
        <w:rPr>
          <w:sz w:val="27"/>
        </w:rPr>
      </w:pPr>
    </w:p>
    <w:p>
      <w:pPr>
        <w:spacing w:line="292" w:lineRule="auto" w:before="1"/>
        <w:ind w:left="440" w:right="928" w:firstLine="0"/>
        <w:jc w:val="left"/>
        <w:rPr>
          <w:sz w:val="22"/>
        </w:rPr>
      </w:pPr>
      <w:r>
        <w:rPr>
          <w:sz w:val="22"/>
        </w:rPr>
        <w:t>It</w:t>
      </w:r>
      <w:r>
        <w:rPr>
          <w:spacing w:val="-2"/>
          <w:sz w:val="22"/>
        </w:rPr>
        <w:t> </w:t>
      </w:r>
      <w:r>
        <w:rPr>
          <w:sz w:val="22"/>
        </w:rPr>
        <w:t>is</w:t>
      </w:r>
      <w:r>
        <w:rPr>
          <w:spacing w:val="-4"/>
          <w:sz w:val="22"/>
        </w:rPr>
        <w:t> </w:t>
      </w:r>
      <w:r>
        <w:rPr>
          <w:spacing w:val="11"/>
          <w:sz w:val="22"/>
        </w:rPr>
        <w:t>rec</w:t>
      </w:r>
      <w:r>
        <w:rPr>
          <w:spacing w:val="-33"/>
          <w:sz w:val="22"/>
        </w:rPr>
        <w:t> </w:t>
      </w:r>
      <w:r>
        <w:rPr>
          <w:spacing w:val="16"/>
          <w:sz w:val="22"/>
        </w:rPr>
        <w:t>ommended</w:t>
      </w:r>
      <w:r>
        <w:rPr>
          <w:spacing w:val="15"/>
          <w:sz w:val="22"/>
        </w:rPr>
        <w:t> </w:t>
      </w:r>
      <w:r>
        <w:rPr>
          <w:spacing w:val="12"/>
          <w:sz w:val="22"/>
        </w:rPr>
        <w:t>that</w:t>
      </w:r>
      <w:r>
        <w:rPr>
          <w:spacing w:val="2"/>
          <w:sz w:val="22"/>
        </w:rPr>
        <w:t> </w:t>
      </w:r>
      <w:r>
        <w:rPr>
          <w:spacing w:val="12"/>
          <w:sz w:val="22"/>
        </w:rPr>
        <w:t>students</w:t>
      </w:r>
      <w:r>
        <w:rPr>
          <w:spacing w:val="9"/>
          <w:sz w:val="22"/>
        </w:rPr>
        <w:t> </w:t>
      </w:r>
      <w:r>
        <w:rPr>
          <w:sz w:val="22"/>
        </w:rPr>
        <w:t>a</w:t>
      </w:r>
      <w:r>
        <w:rPr>
          <w:spacing w:val="-33"/>
          <w:sz w:val="22"/>
        </w:rPr>
        <w:t> </w:t>
      </w:r>
      <w:r>
        <w:rPr>
          <w:spacing w:val="10"/>
          <w:sz w:val="22"/>
        </w:rPr>
        <w:t>dhere </w:t>
      </w:r>
      <w:r>
        <w:rPr>
          <w:sz w:val="22"/>
        </w:rPr>
        <w:t>to </w:t>
      </w:r>
      <w:r>
        <w:rPr>
          <w:spacing w:val="9"/>
          <w:sz w:val="22"/>
        </w:rPr>
        <w:t>the curriculum </w:t>
      </w:r>
      <w:r>
        <w:rPr>
          <w:sz w:val="22"/>
        </w:rPr>
        <w:t>outline for </w:t>
      </w:r>
      <w:r>
        <w:rPr>
          <w:spacing w:val="11"/>
          <w:sz w:val="22"/>
        </w:rPr>
        <w:t>major </w:t>
      </w:r>
      <w:r>
        <w:rPr>
          <w:sz w:val="22"/>
        </w:rPr>
        <w:t>c</w:t>
      </w:r>
      <w:r>
        <w:rPr>
          <w:spacing w:val="-33"/>
          <w:sz w:val="22"/>
        </w:rPr>
        <w:t> </w:t>
      </w:r>
      <w:r>
        <w:rPr>
          <w:sz w:val="22"/>
        </w:rPr>
        <w:t>ourses as stric</w:t>
      </w:r>
      <w:r>
        <w:rPr>
          <w:spacing w:val="-38"/>
          <w:sz w:val="22"/>
        </w:rPr>
        <w:t> </w:t>
      </w:r>
      <w:r>
        <w:rPr>
          <w:sz w:val="22"/>
        </w:rPr>
        <w:t>tly</w:t>
      </w:r>
      <w:r>
        <w:rPr>
          <w:spacing w:val="17"/>
          <w:sz w:val="22"/>
        </w:rPr>
        <w:t> </w:t>
      </w:r>
      <w:r>
        <w:rPr>
          <w:sz w:val="22"/>
        </w:rPr>
        <w:t>as</w:t>
      </w:r>
      <w:r>
        <w:rPr>
          <w:spacing w:val="14"/>
          <w:sz w:val="22"/>
        </w:rPr>
        <w:t> </w:t>
      </w:r>
      <w:r>
        <w:rPr>
          <w:sz w:val="22"/>
        </w:rPr>
        <w:t>possible. </w:t>
      </w:r>
      <w:r>
        <w:rPr>
          <w:spacing w:val="12"/>
          <w:sz w:val="22"/>
        </w:rPr>
        <w:t>Advisement</w:t>
      </w:r>
      <w:r>
        <w:rPr>
          <w:spacing w:val="3"/>
          <w:sz w:val="22"/>
        </w:rPr>
        <w:t> </w:t>
      </w:r>
      <w:r>
        <w:rPr>
          <w:sz w:val="22"/>
        </w:rPr>
        <w:t>is</w:t>
      </w:r>
      <w:r>
        <w:rPr>
          <w:spacing w:val="14"/>
          <w:sz w:val="22"/>
        </w:rPr>
        <w:t> centered </w:t>
      </w:r>
      <w:r>
        <w:rPr>
          <w:sz w:val="22"/>
        </w:rPr>
        <w:t>on this.</w:t>
      </w:r>
      <w:r>
        <w:rPr>
          <w:spacing w:val="-2"/>
          <w:sz w:val="22"/>
        </w:rPr>
        <w:t> </w:t>
      </w:r>
      <w:r>
        <w:rPr>
          <w:sz w:val="22"/>
        </w:rPr>
        <w:t>The </w:t>
      </w:r>
      <w:r>
        <w:rPr>
          <w:spacing w:val="11"/>
          <w:sz w:val="22"/>
        </w:rPr>
        <w:t>Dep</w:t>
      </w:r>
      <w:r>
        <w:rPr>
          <w:spacing w:val="-33"/>
          <w:sz w:val="22"/>
        </w:rPr>
        <w:t> </w:t>
      </w:r>
      <w:r>
        <w:rPr>
          <w:spacing w:val="12"/>
          <w:sz w:val="22"/>
        </w:rPr>
        <w:t>artmental</w:t>
      </w:r>
      <w:r>
        <w:rPr>
          <w:spacing w:val="-2"/>
          <w:sz w:val="22"/>
        </w:rPr>
        <w:t> </w:t>
      </w:r>
      <w:r>
        <w:rPr>
          <w:sz w:val="22"/>
        </w:rPr>
        <w:t>Fa</w:t>
      </w:r>
      <w:r>
        <w:rPr>
          <w:spacing w:val="-33"/>
          <w:sz w:val="22"/>
        </w:rPr>
        <w:t> </w:t>
      </w:r>
      <w:r>
        <w:rPr>
          <w:sz w:val="22"/>
        </w:rPr>
        <w:t>culty </w:t>
      </w:r>
      <w:r>
        <w:rPr>
          <w:spacing w:val="11"/>
          <w:sz w:val="22"/>
        </w:rPr>
        <w:t>has </w:t>
      </w:r>
      <w:r>
        <w:rPr>
          <w:spacing w:val="13"/>
          <w:sz w:val="22"/>
        </w:rPr>
        <w:t>and </w:t>
      </w:r>
      <w:r>
        <w:rPr>
          <w:sz w:val="22"/>
        </w:rPr>
        <w:t>c</w:t>
      </w:r>
      <w:r>
        <w:rPr>
          <w:spacing w:val="-23"/>
          <w:sz w:val="22"/>
        </w:rPr>
        <w:t> </w:t>
      </w:r>
      <w:r>
        <w:rPr>
          <w:spacing w:val="9"/>
          <w:sz w:val="22"/>
        </w:rPr>
        <w:t>ontinues </w:t>
      </w:r>
      <w:r>
        <w:rPr>
          <w:sz w:val="22"/>
        </w:rPr>
        <w:t>to</w:t>
      </w:r>
      <w:r>
        <w:rPr>
          <w:spacing w:val="40"/>
          <w:sz w:val="22"/>
        </w:rPr>
        <w:t> </w:t>
      </w:r>
      <w:r>
        <w:rPr>
          <w:sz w:val="22"/>
        </w:rPr>
        <w:t>work </w:t>
      </w:r>
      <w:r>
        <w:rPr>
          <w:spacing w:val="12"/>
          <w:sz w:val="22"/>
        </w:rPr>
        <w:t>exceptionally </w:t>
      </w:r>
      <w:r>
        <w:rPr>
          <w:spacing w:val="11"/>
          <w:sz w:val="22"/>
        </w:rPr>
        <w:t>hard </w:t>
      </w:r>
      <w:r>
        <w:rPr>
          <w:sz w:val="22"/>
        </w:rPr>
        <w:t>to</w:t>
      </w:r>
      <w:r>
        <w:rPr>
          <w:spacing w:val="40"/>
          <w:sz w:val="22"/>
        </w:rPr>
        <w:t> </w:t>
      </w:r>
      <w:r>
        <w:rPr>
          <w:sz w:val="22"/>
        </w:rPr>
        <w:t>ensure</w:t>
      </w:r>
      <w:r>
        <w:rPr>
          <w:spacing w:val="13"/>
          <w:sz w:val="22"/>
        </w:rPr>
        <w:t> that </w:t>
      </w:r>
      <w:r>
        <w:rPr>
          <w:spacing w:val="9"/>
          <w:sz w:val="22"/>
        </w:rPr>
        <w:t>the</w:t>
      </w:r>
      <w:r>
        <w:rPr>
          <w:spacing w:val="40"/>
          <w:sz w:val="22"/>
        </w:rPr>
        <w:t> </w:t>
      </w:r>
      <w:r>
        <w:rPr>
          <w:sz w:val="22"/>
        </w:rPr>
        <w:t>curriculum</w:t>
      </w:r>
      <w:r>
        <w:rPr>
          <w:spacing w:val="40"/>
          <w:sz w:val="22"/>
        </w:rPr>
        <w:t> </w:t>
      </w:r>
      <w:r>
        <w:rPr>
          <w:sz w:val="22"/>
        </w:rPr>
        <w:t>outline</w:t>
      </w:r>
      <w:r>
        <w:rPr>
          <w:spacing w:val="11"/>
          <w:sz w:val="22"/>
        </w:rPr>
        <w:t> offered reflects </w:t>
      </w:r>
      <w:r>
        <w:rPr>
          <w:spacing w:val="9"/>
          <w:sz w:val="22"/>
        </w:rPr>
        <w:t>the most efficient </w:t>
      </w:r>
      <w:r>
        <w:rPr>
          <w:spacing w:val="13"/>
          <w:sz w:val="22"/>
        </w:rPr>
        <w:t>and </w:t>
      </w:r>
      <w:r>
        <w:rPr>
          <w:spacing w:val="12"/>
          <w:sz w:val="22"/>
        </w:rPr>
        <w:t>effective strategy </w:t>
      </w:r>
      <w:r>
        <w:rPr>
          <w:sz w:val="22"/>
        </w:rPr>
        <w:t>for c</w:t>
      </w:r>
      <w:r>
        <w:rPr>
          <w:spacing w:val="-30"/>
          <w:sz w:val="22"/>
        </w:rPr>
        <w:t> </w:t>
      </w:r>
      <w:r>
        <w:rPr>
          <w:spacing w:val="13"/>
          <w:sz w:val="22"/>
        </w:rPr>
        <w:t>ompletion </w:t>
      </w:r>
      <w:r>
        <w:rPr>
          <w:sz w:val="22"/>
        </w:rPr>
        <w:t>of this </w:t>
      </w:r>
      <w:r>
        <w:rPr>
          <w:spacing w:val="13"/>
          <w:sz w:val="22"/>
        </w:rPr>
        <w:t>program.</w:t>
      </w:r>
    </w:p>
    <w:p>
      <w:pPr>
        <w:spacing w:before="6"/>
        <w:ind w:left="443" w:right="0" w:firstLine="0"/>
        <w:jc w:val="left"/>
        <w:rPr>
          <w:sz w:val="22"/>
        </w:rPr>
      </w:pPr>
      <w:r>
        <w:rPr>
          <w:spacing w:val="11"/>
          <w:sz w:val="22"/>
        </w:rPr>
        <w:t>Deviation </w:t>
      </w:r>
      <w:r>
        <w:rPr>
          <w:sz w:val="22"/>
        </w:rPr>
        <w:t>from</w:t>
      </w:r>
      <w:r>
        <w:rPr>
          <w:spacing w:val="10"/>
          <w:sz w:val="22"/>
        </w:rPr>
        <w:t> </w:t>
      </w:r>
      <w:r>
        <w:rPr>
          <w:sz w:val="22"/>
        </w:rPr>
        <w:t>it</w:t>
      </w:r>
      <w:r>
        <w:rPr>
          <w:spacing w:val="21"/>
          <w:sz w:val="22"/>
        </w:rPr>
        <w:t> </w:t>
      </w:r>
      <w:r>
        <w:rPr>
          <w:spacing w:val="10"/>
          <w:sz w:val="22"/>
        </w:rPr>
        <w:t>without</w:t>
      </w:r>
      <w:r>
        <w:rPr>
          <w:spacing w:val="23"/>
          <w:sz w:val="22"/>
        </w:rPr>
        <w:t> </w:t>
      </w:r>
      <w:r>
        <w:rPr>
          <w:sz w:val="22"/>
        </w:rPr>
        <w:t>prior</w:t>
      </w:r>
      <w:r>
        <w:rPr>
          <w:spacing w:val="17"/>
          <w:sz w:val="22"/>
        </w:rPr>
        <w:t> </w:t>
      </w:r>
      <w:r>
        <w:rPr>
          <w:sz w:val="22"/>
        </w:rPr>
        <w:t>a</w:t>
      </w:r>
      <w:r>
        <w:rPr>
          <w:spacing w:val="-32"/>
          <w:sz w:val="22"/>
        </w:rPr>
        <w:t> </w:t>
      </w:r>
      <w:r>
        <w:rPr>
          <w:spacing w:val="14"/>
          <w:sz w:val="22"/>
        </w:rPr>
        <w:t>pproval</w:t>
      </w:r>
      <w:r>
        <w:rPr>
          <w:spacing w:val="8"/>
          <w:sz w:val="22"/>
        </w:rPr>
        <w:t> </w:t>
      </w:r>
      <w:r>
        <w:rPr>
          <w:sz w:val="22"/>
        </w:rPr>
        <w:t>from</w:t>
      </w:r>
      <w:r>
        <w:rPr>
          <w:spacing w:val="16"/>
          <w:sz w:val="22"/>
        </w:rPr>
        <w:t> </w:t>
      </w:r>
      <w:r>
        <w:rPr>
          <w:sz w:val="22"/>
        </w:rPr>
        <w:t>your</w:t>
      </w:r>
      <w:r>
        <w:rPr>
          <w:spacing w:val="17"/>
          <w:sz w:val="22"/>
        </w:rPr>
        <w:t> </w:t>
      </w:r>
      <w:r>
        <w:rPr>
          <w:sz w:val="22"/>
        </w:rPr>
        <w:t>a</w:t>
      </w:r>
      <w:r>
        <w:rPr>
          <w:spacing w:val="-29"/>
          <w:sz w:val="22"/>
        </w:rPr>
        <w:t> </w:t>
      </w:r>
      <w:r>
        <w:rPr>
          <w:sz w:val="22"/>
        </w:rPr>
        <w:t>c</w:t>
      </w:r>
      <w:r>
        <w:rPr>
          <w:spacing w:val="-32"/>
          <w:sz w:val="22"/>
        </w:rPr>
        <w:t> </w:t>
      </w:r>
      <w:r>
        <w:rPr>
          <w:sz w:val="22"/>
        </w:rPr>
        <w:t>a</w:t>
      </w:r>
      <w:r>
        <w:rPr>
          <w:spacing w:val="-32"/>
          <w:sz w:val="22"/>
        </w:rPr>
        <w:t> </w:t>
      </w:r>
      <w:r>
        <w:rPr>
          <w:spacing w:val="13"/>
          <w:sz w:val="22"/>
        </w:rPr>
        <w:t>demic</w:t>
      </w:r>
      <w:r>
        <w:rPr>
          <w:spacing w:val="35"/>
          <w:sz w:val="22"/>
        </w:rPr>
        <w:t> </w:t>
      </w:r>
      <w:r>
        <w:rPr>
          <w:sz w:val="22"/>
        </w:rPr>
        <w:t>a</w:t>
      </w:r>
      <w:r>
        <w:rPr>
          <w:spacing w:val="-32"/>
          <w:sz w:val="22"/>
        </w:rPr>
        <w:t> </w:t>
      </w:r>
      <w:r>
        <w:rPr>
          <w:sz w:val="22"/>
        </w:rPr>
        <w:t>dvisor</w:t>
      </w:r>
      <w:r>
        <w:rPr>
          <w:spacing w:val="2"/>
          <w:sz w:val="22"/>
        </w:rPr>
        <w:t> </w:t>
      </w:r>
      <w:r>
        <w:rPr>
          <w:sz w:val="22"/>
        </w:rPr>
        <w:t>is</w:t>
      </w:r>
      <w:r>
        <w:rPr>
          <w:spacing w:val="9"/>
          <w:sz w:val="22"/>
        </w:rPr>
        <w:t> </w:t>
      </w:r>
      <w:r>
        <w:rPr>
          <w:spacing w:val="6"/>
          <w:sz w:val="22"/>
        </w:rPr>
        <w:t>not</w:t>
      </w:r>
    </w:p>
    <w:p>
      <w:pPr>
        <w:spacing w:before="56"/>
        <w:ind w:left="440" w:right="0" w:firstLine="0"/>
        <w:jc w:val="left"/>
        <w:rPr>
          <w:sz w:val="22"/>
        </w:rPr>
      </w:pPr>
      <w:r>
        <w:rPr>
          <w:spacing w:val="11"/>
          <w:sz w:val="22"/>
        </w:rPr>
        <w:t>rec</w:t>
      </w:r>
      <w:r>
        <w:rPr>
          <w:spacing w:val="-33"/>
          <w:sz w:val="22"/>
        </w:rPr>
        <w:t> </w:t>
      </w:r>
      <w:r>
        <w:rPr>
          <w:spacing w:val="16"/>
          <w:sz w:val="22"/>
        </w:rPr>
        <w:t>ommended</w:t>
      </w:r>
      <w:r>
        <w:rPr>
          <w:spacing w:val="18"/>
          <w:sz w:val="22"/>
        </w:rPr>
        <w:t> </w:t>
      </w:r>
      <w:r>
        <w:rPr>
          <w:spacing w:val="13"/>
          <w:sz w:val="22"/>
        </w:rPr>
        <w:t>and</w:t>
      </w:r>
      <w:r>
        <w:rPr>
          <w:spacing w:val="26"/>
          <w:sz w:val="22"/>
        </w:rPr>
        <w:t> </w:t>
      </w:r>
      <w:r>
        <w:rPr>
          <w:spacing w:val="12"/>
          <w:sz w:val="22"/>
        </w:rPr>
        <w:t>could</w:t>
      </w:r>
      <w:r>
        <w:rPr>
          <w:spacing w:val="24"/>
          <w:sz w:val="22"/>
        </w:rPr>
        <w:t> </w:t>
      </w:r>
      <w:r>
        <w:rPr>
          <w:spacing w:val="11"/>
          <w:sz w:val="22"/>
        </w:rPr>
        <w:t>drastic</w:t>
      </w:r>
      <w:r>
        <w:rPr>
          <w:spacing w:val="-33"/>
          <w:sz w:val="22"/>
        </w:rPr>
        <w:t> </w:t>
      </w:r>
      <w:r>
        <w:rPr>
          <w:sz w:val="22"/>
        </w:rPr>
        <w:t>ally</w:t>
      </w:r>
      <w:r>
        <w:rPr>
          <w:spacing w:val="13"/>
          <w:sz w:val="22"/>
        </w:rPr>
        <w:t> and</w:t>
      </w:r>
      <w:r>
        <w:rPr>
          <w:spacing w:val="15"/>
          <w:sz w:val="22"/>
        </w:rPr>
        <w:t> </w:t>
      </w:r>
      <w:r>
        <w:rPr>
          <w:spacing w:val="9"/>
          <w:sz w:val="22"/>
        </w:rPr>
        <w:t>unnecessarily </w:t>
      </w:r>
      <w:r>
        <w:rPr>
          <w:sz w:val="22"/>
        </w:rPr>
        <w:t>exa</w:t>
      </w:r>
      <w:r>
        <w:rPr>
          <w:spacing w:val="-33"/>
          <w:sz w:val="22"/>
        </w:rPr>
        <w:t> </w:t>
      </w:r>
      <w:r>
        <w:rPr>
          <w:sz w:val="22"/>
        </w:rPr>
        <w:t>c</w:t>
      </w:r>
      <w:r>
        <w:rPr>
          <w:spacing w:val="-34"/>
          <w:sz w:val="22"/>
        </w:rPr>
        <w:t> </w:t>
      </w:r>
      <w:r>
        <w:rPr>
          <w:sz w:val="22"/>
        </w:rPr>
        <w:t>erb</w:t>
      </w:r>
      <w:r>
        <w:rPr>
          <w:spacing w:val="-33"/>
          <w:sz w:val="22"/>
        </w:rPr>
        <w:t> </w:t>
      </w:r>
      <w:r>
        <w:rPr>
          <w:spacing w:val="11"/>
          <w:sz w:val="22"/>
        </w:rPr>
        <w:t>ate</w:t>
      </w:r>
      <w:r>
        <w:rPr>
          <w:spacing w:val="10"/>
          <w:sz w:val="22"/>
        </w:rPr>
        <w:t> </w:t>
      </w:r>
      <w:r>
        <w:rPr>
          <w:sz w:val="22"/>
        </w:rPr>
        <w:t>your</w:t>
      </w:r>
      <w:r>
        <w:rPr>
          <w:spacing w:val="-3"/>
          <w:sz w:val="22"/>
        </w:rPr>
        <w:t> </w:t>
      </w:r>
      <w:r>
        <w:rPr>
          <w:spacing w:val="-2"/>
          <w:sz w:val="22"/>
        </w:rPr>
        <w:t>journey.</w:t>
      </w:r>
    </w:p>
    <w:p>
      <w:pPr>
        <w:pStyle w:val="BodyText"/>
        <w:spacing w:before="11"/>
        <w:rPr>
          <w:sz w:val="31"/>
        </w:rPr>
      </w:pPr>
    </w:p>
    <w:p>
      <w:pPr>
        <w:spacing w:line="295" w:lineRule="auto" w:before="0"/>
        <w:ind w:left="440" w:right="794" w:firstLine="0"/>
        <w:jc w:val="left"/>
        <w:rPr>
          <w:sz w:val="22"/>
        </w:rPr>
      </w:pPr>
      <w:r>
        <w:rPr>
          <w:sz w:val="22"/>
        </w:rPr>
        <w:t>The</w:t>
      </w:r>
      <w:r>
        <w:rPr>
          <w:spacing w:val="40"/>
          <w:sz w:val="22"/>
        </w:rPr>
        <w:t> </w:t>
      </w:r>
      <w:r>
        <w:rPr>
          <w:sz w:val="22"/>
        </w:rPr>
        <w:t>curriculum is </w:t>
      </w:r>
      <w:r>
        <w:rPr>
          <w:spacing w:val="13"/>
          <w:sz w:val="22"/>
        </w:rPr>
        <w:t>crafted both </w:t>
      </w:r>
      <w:r>
        <w:rPr>
          <w:sz w:val="22"/>
        </w:rPr>
        <w:t>horizontally</w:t>
      </w:r>
      <w:r>
        <w:rPr>
          <w:spacing w:val="12"/>
          <w:sz w:val="22"/>
        </w:rPr>
        <w:t> and </w:t>
      </w:r>
      <w:r>
        <w:rPr>
          <w:sz w:val="22"/>
        </w:rPr>
        <w:t>vertic</w:t>
      </w:r>
      <w:r>
        <w:rPr>
          <w:spacing w:val="-23"/>
          <w:sz w:val="22"/>
        </w:rPr>
        <w:t> </w:t>
      </w:r>
      <w:r>
        <w:rPr>
          <w:sz w:val="22"/>
        </w:rPr>
        <w:t>ally, </w:t>
      </w:r>
      <w:r>
        <w:rPr>
          <w:spacing w:val="13"/>
          <w:sz w:val="22"/>
        </w:rPr>
        <w:t>meaning that </w:t>
      </w:r>
      <w:r>
        <w:rPr>
          <w:spacing w:val="11"/>
          <w:sz w:val="22"/>
        </w:rPr>
        <w:t>information offered </w:t>
      </w:r>
      <w:r>
        <w:rPr>
          <w:sz w:val="22"/>
        </w:rPr>
        <w:t>in a</w:t>
      </w:r>
      <w:r>
        <w:rPr>
          <w:spacing w:val="31"/>
          <w:sz w:val="22"/>
        </w:rPr>
        <w:t> </w:t>
      </w:r>
      <w:r>
        <w:rPr>
          <w:sz w:val="22"/>
        </w:rPr>
        <w:t>c</w:t>
      </w:r>
      <w:r>
        <w:rPr>
          <w:spacing w:val="-32"/>
          <w:sz w:val="22"/>
        </w:rPr>
        <w:t> </w:t>
      </w:r>
      <w:r>
        <w:rPr>
          <w:sz w:val="22"/>
        </w:rPr>
        <w:t>ourse</w:t>
      </w:r>
      <w:r>
        <w:rPr>
          <w:spacing w:val="27"/>
          <w:sz w:val="22"/>
        </w:rPr>
        <w:t> </w:t>
      </w:r>
      <w:r>
        <w:rPr>
          <w:sz w:val="22"/>
        </w:rPr>
        <w:t>builds </w:t>
      </w:r>
      <w:r>
        <w:rPr>
          <w:spacing w:val="15"/>
          <w:sz w:val="22"/>
        </w:rPr>
        <w:t>upon</w:t>
      </w:r>
      <w:r>
        <w:rPr>
          <w:spacing w:val="7"/>
          <w:sz w:val="22"/>
        </w:rPr>
        <w:t> </w:t>
      </w:r>
      <w:r>
        <w:rPr>
          <w:spacing w:val="11"/>
          <w:sz w:val="22"/>
        </w:rPr>
        <w:t>information </w:t>
      </w:r>
      <w:r>
        <w:rPr>
          <w:spacing w:val="14"/>
          <w:sz w:val="22"/>
        </w:rPr>
        <w:t>gleaned </w:t>
      </w:r>
      <w:r>
        <w:rPr>
          <w:sz w:val="22"/>
        </w:rPr>
        <w:t>in c</w:t>
      </w:r>
      <w:r>
        <w:rPr>
          <w:spacing w:val="-32"/>
          <w:sz w:val="22"/>
        </w:rPr>
        <w:t> </w:t>
      </w:r>
      <w:r>
        <w:rPr>
          <w:sz w:val="22"/>
        </w:rPr>
        <w:t>ourses </w:t>
      </w:r>
      <w:r>
        <w:rPr>
          <w:spacing w:val="11"/>
          <w:sz w:val="22"/>
        </w:rPr>
        <w:t>taken </w:t>
      </w:r>
      <w:r>
        <w:rPr>
          <w:spacing w:val="12"/>
          <w:sz w:val="22"/>
        </w:rPr>
        <w:t>along </w:t>
      </w:r>
      <w:r>
        <w:rPr>
          <w:sz w:val="22"/>
        </w:rPr>
        <w:t>with it </w:t>
      </w:r>
      <w:r>
        <w:rPr>
          <w:spacing w:val="12"/>
          <w:sz w:val="22"/>
        </w:rPr>
        <w:t>and </w:t>
      </w:r>
      <w:r>
        <w:rPr>
          <w:spacing w:val="11"/>
          <w:sz w:val="22"/>
        </w:rPr>
        <w:t>before </w:t>
      </w:r>
      <w:r>
        <w:rPr>
          <w:sz w:val="22"/>
        </w:rPr>
        <w:t>it. Currently no</w:t>
      </w:r>
      <w:r>
        <w:rPr>
          <w:spacing w:val="11"/>
          <w:sz w:val="22"/>
        </w:rPr>
        <w:t> major </w:t>
      </w:r>
      <w:r>
        <w:rPr>
          <w:sz w:val="22"/>
        </w:rPr>
        <w:t>c</w:t>
      </w:r>
      <w:r>
        <w:rPr>
          <w:spacing w:val="-29"/>
          <w:sz w:val="22"/>
        </w:rPr>
        <w:t> </w:t>
      </w:r>
      <w:r>
        <w:rPr>
          <w:sz w:val="22"/>
        </w:rPr>
        <w:t>ourses in</w:t>
      </w:r>
      <w:r>
        <w:rPr>
          <w:spacing w:val="9"/>
          <w:sz w:val="22"/>
        </w:rPr>
        <w:t> the</w:t>
      </w:r>
      <w:r>
        <w:rPr>
          <w:spacing w:val="38"/>
          <w:sz w:val="22"/>
        </w:rPr>
        <w:t> </w:t>
      </w:r>
      <w:r>
        <w:rPr>
          <w:sz w:val="22"/>
        </w:rPr>
        <w:t>curriculum</w:t>
      </w:r>
      <w:r>
        <w:rPr>
          <w:spacing w:val="35"/>
          <w:sz w:val="22"/>
        </w:rPr>
        <w:t> </w:t>
      </w:r>
      <w:r>
        <w:rPr>
          <w:sz w:val="22"/>
        </w:rPr>
        <w:t>are</w:t>
      </w:r>
      <w:r>
        <w:rPr>
          <w:spacing w:val="11"/>
          <w:sz w:val="22"/>
        </w:rPr>
        <w:t> offered</w:t>
      </w:r>
      <w:r>
        <w:rPr>
          <w:spacing w:val="40"/>
          <w:sz w:val="22"/>
        </w:rPr>
        <w:t> </w:t>
      </w:r>
      <w:r>
        <w:rPr>
          <w:spacing w:val="13"/>
          <w:sz w:val="22"/>
        </w:rPr>
        <w:t>both </w:t>
      </w:r>
      <w:r>
        <w:rPr>
          <w:spacing w:val="9"/>
          <w:sz w:val="22"/>
        </w:rPr>
        <w:t>the </w:t>
      </w:r>
      <w:r>
        <w:rPr>
          <w:sz w:val="22"/>
        </w:rPr>
        <w:t>fall</w:t>
      </w:r>
      <w:r>
        <w:rPr>
          <w:spacing w:val="13"/>
          <w:sz w:val="22"/>
        </w:rPr>
        <w:t> and </w:t>
      </w:r>
      <w:r>
        <w:rPr>
          <w:spacing w:val="9"/>
          <w:sz w:val="22"/>
        </w:rPr>
        <w:t>the </w:t>
      </w:r>
      <w:r>
        <w:rPr>
          <w:sz w:val="22"/>
        </w:rPr>
        <w:t>spring</w:t>
      </w:r>
      <w:r>
        <w:rPr>
          <w:spacing w:val="10"/>
          <w:sz w:val="22"/>
        </w:rPr>
        <w:t> semester,</w:t>
      </w:r>
      <w:r>
        <w:rPr>
          <w:spacing w:val="7"/>
          <w:sz w:val="22"/>
        </w:rPr>
        <w:t> </w:t>
      </w:r>
      <w:r>
        <w:rPr>
          <w:spacing w:val="10"/>
          <w:sz w:val="22"/>
        </w:rPr>
        <w:t>therefore,</w:t>
      </w:r>
      <w:r>
        <w:rPr>
          <w:sz w:val="22"/>
        </w:rPr>
        <w:t> </w:t>
      </w:r>
      <w:r>
        <w:rPr>
          <w:spacing w:val="11"/>
          <w:sz w:val="22"/>
        </w:rPr>
        <w:t>students </w:t>
      </w:r>
      <w:r>
        <w:rPr>
          <w:spacing w:val="10"/>
          <w:sz w:val="22"/>
        </w:rPr>
        <w:t>who</w:t>
      </w:r>
      <w:r>
        <w:rPr>
          <w:spacing w:val="27"/>
          <w:sz w:val="22"/>
        </w:rPr>
        <w:t> </w:t>
      </w:r>
      <w:r>
        <w:rPr>
          <w:spacing w:val="10"/>
          <w:sz w:val="22"/>
        </w:rPr>
        <w:t>put </w:t>
      </w:r>
      <w:r>
        <w:rPr>
          <w:sz w:val="22"/>
        </w:rPr>
        <w:t>off</w:t>
      </w:r>
      <w:r>
        <w:rPr>
          <w:spacing w:val="9"/>
          <w:sz w:val="22"/>
        </w:rPr>
        <w:t> taking</w:t>
      </w:r>
      <w:r>
        <w:rPr>
          <w:spacing w:val="31"/>
          <w:sz w:val="22"/>
        </w:rPr>
        <w:t> </w:t>
      </w:r>
      <w:r>
        <w:rPr>
          <w:sz w:val="22"/>
        </w:rPr>
        <w:t>a</w:t>
      </w:r>
      <w:r>
        <w:rPr>
          <w:spacing w:val="32"/>
          <w:sz w:val="22"/>
        </w:rPr>
        <w:t> </w:t>
      </w:r>
      <w:r>
        <w:rPr>
          <w:sz w:val="22"/>
        </w:rPr>
        <w:t>c</w:t>
      </w:r>
      <w:r>
        <w:rPr>
          <w:spacing w:val="-32"/>
          <w:sz w:val="22"/>
        </w:rPr>
        <w:t> </w:t>
      </w:r>
      <w:r>
        <w:rPr>
          <w:sz w:val="22"/>
        </w:rPr>
        <w:t>ourse</w:t>
      </w:r>
      <w:r>
        <w:rPr>
          <w:spacing w:val="25"/>
          <w:sz w:val="22"/>
        </w:rPr>
        <w:t> </w:t>
      </w:r>
      <w:r>
        <w:rPr>
          <w:sz w:val="22"/>
        </w:rPr>
        <w:t>will </w:t>
      </w:r>
      <w:r>
        <w:rPr>
          <w:spacing w:val="13"/>
          <w:sz w:val="22"/>
        </w:rPr>
        <w:t>have </w:t>
      </w:r>
      <w:r>
        <w:rPr>
          <w:sz w:val="22"/>
        </w:rPr>
        <w:t>to</w:t>
      </w:r>
      <w:r>
        <w:rPr>
          <w:spacing w:val="25"/>
          <w:sz w:val="22"/>
        </w:rPr>
        <w:t> </w:t>
      </w:r>
      <w:r>
        <w:rPr>
          <w:spacing w:val="11"/>
          <w:sz w:val="22"/>
        </w:rPr>
        <w:t>wait </w:t>
      </w:r>
      <w:r>
        <w:rPr>
          <w:sz w:val="22"/>
        </w:rPr>
        <w:t>a</w:t>
      </w:r>
      <w:r>
        <w:rPr>
          <w:spacing w:val="21"/>
          <w:sz w:val="22"/>
        </w:rPr>
        <w:t> </w:t>
      </w:r>
      <w:r>
        <w:rPr>
          <w:sz w:val="22"/>
        </w:rPr>
        <w:t>full a</w:t>
      </w:r>
      <w:r>
        <w:rPr>
          <w:spacing w:val="-26"/>
          <w:sz w:val="22"/>
        </w:rPr>
        <w:t> </w:t>
      </w:r>
      <w:r>
        <w:rPr>
          <w:sz w:val="22"/>
        </w:rPr>
        <w:t>c</w:t>
      </w:r>
      <w:r>
        <w:rPr>
          <w:spacing w:val="-24"/>
          <w:sz w:val="22"/>
        </w:rPr>
        <w:t> </w:t>
      </w:r>
      <w:r>
        <w:rPr>
          <w:spacing w:val="16"/>
          <w:sz w:val="22"/>
        </w:rPr>
        <w:t>ademic </w:t>
      </w:r>
      <w:r>
        <w:rPr>
          <w:spacing w:val="12"/>
          <w:sz w:val="22"/>
        </w:rPr>
        <w:t>year </w:t>
      </w:r>
      <w:r>
        <w:rPr>
          <w:sz w:val="22"/>
        </w:rPr>
        <w:t>until it is </w:t>
      </w:r>
      <w:r>
        <w:rPr>
          <w:spacing w:val="11"/>
          <w:sz w:val="22"/>
        </w:rPr>
        <w:t>offered</w:t>
      </w:r>
      <w:r>
        <w:rPr>
          <w:spacing w:val="40"/>
          <w:sz w:val="22"/>
        </w:rPr>
        <w:t> </w:t>
      </w:r>
      <w:r>
        <w:rPr>
          <w:spacing w:val="12"/>
          <w:sz w:val="22"/>
        </w:rPr>
        <w:t>again. Many </w:t>
      </w:r>
      <w:r>
        <w:rPr>
          <w:sz w:val="22"/>
        </w:rPr>
        <w:t>of </w:t>
      </w:r>
      <w:r>
        <w:rPr>
          <w:spacing w:val="9"/>
          <w:sz w:val="22"/>
        </w:rPr>
        <w:t>the</w:t>
      </w:r>
      <w:r>
        <w:rPr>
          <w:spacing w:val="12"/>
          <w:sz w:val="22"/>
        </w:rPr>
        <w:t> general </w:t>
      </w:r>
      <w:r>
        <w:rPr>
          <w:spacing w:val="15"/>
          <w:sz w:val="22"/>
        </w:rPr>
        <w:t>educ</w:t>
      </w:r>
      <w:r>
        <w:rPr>
          <w:spacing w:val="-24"/>
          <w:sz w:val="22"/>
        </w:rPr>
        <w:t> </w:t>
      </w:r>
      <w:r>
        <w:rPr>
          <w:spacing w:val="9"/>
          <w:sz w:val="22"/>
        </w:rPr>
        <w:t>ation </w:t>
      </w:r>
      <w:r>
        <w:rPr>
          <w:spacing w:val="13"/>
          <w:sz w:val="22"/>
        </w:rPr>
        <w:t>and </w:t>
      </w:r>
      <w:r>
        <w:rPr>
          <w:sz w:val="22"/>
        </w:rPr>
        <w:t>non-</w:t>
      </w:r>
    </w:p>
    <w:p>
      <w:pPr>
        <w:spacing w:line="292" w:lineRule="auto" w:before="0"/>
        <w:ind w:left="440" w:right="642" w:firstLine="14"/>
        <w:jc w:val="left"/>
        <w:rPr>
          <w:sz w:val="22"/>
        </w:rPr>
      </w:pPr>
      <w:r>
        <w:rPr>
          <w:spacing w:val="13"/>
          <w:sz w:val="22"/>
        </w:rPr>
        <w:t>architectural</w:t>
      </w:r>
      <w:r>
        <w:rPr>
          <w:spacing w:val="-1"/>
          <w:sz w:val="22"/>
        </w:rPr>
        <w:t> </w:t>
      </w:r>
      <w:r>
        <w:rPr>
          <w:spacing w:val="11"/>
          <w:sz w:val="22"/>
        </w:rPr>
        <w:t>elective </w:t>
      </w:r>
      <w:r>
        <w:rPr>
          <w:sz w:val="22"/>
        </w:rPr>
        <w:t>c</w:t>
      </w:r>
      <w:r>
        <w:rPr>
          <w:spacing w:val="-33"/>
          <w:sz w:val="22"/>
        </w:rPr>
        <w:t> </w:t>
      </w:r>
      <w:r>
        <w:rPr>
          <w:sz w:val="22"/>
        </w:rPr>
        <w:t>ourses are </w:t>
      </w:r>
      <w:r>
        <w:rPr>
          <w:spacing w:val="11"/>
          <w:sz w:val="22"/>
        </w:rPr>
        <w:t>offered</w:t>
      </w:r>
      <w:r>
        <w:rPr>
          <w:spacing w:val="5"/>
          <w:sz w:val="22"/>
        </w:rPr>
        <w:t> </w:t>
      </w:r>
      <w:r>
        <w:rPr>
          <w:sz w:val="22"/>
        </w:rPr>
        <w:t>in </w:t>
      </w:r>
      <w:r>
        <w:rPr>
          <w:spacing w:val="13"/>
          <w:sz w:val="22"/>
        </w:rPr>
        <w:t>both</w:t>
      </w:r>
      <w:r>
        <w:rPr>
          <w:spacing w:val="3"/>
          <w:sz w:val="22"/>
        </w:rPr>
        <w:t> </w:t>
      </w:r>
      <w:r>
        <w:rPr>
          <w:spacing w:val="9"/>
          <w:sz w:val="22"/>
        </w:rPr>
        <w:t>the</w:t>
      </w:r>
      <w:r>
        <w:rPr>
          <w:spacing w:val="5"/>
          <w:sz w:val="22"/>
        </w:rPr>
        <w:t> </w:t>
      </w:r>
      <w:r>
        <w:rPr>
          <w:sz w:val="22"/>
        </w:rPr>
        <w:t>fall </w:t>
      </w:r>
      <w:r>
        <w:rPr>
          <w:spacing w:val="13"/>
          <w:sz w:val="22"/>
        </w:rPr>
        <w:t>and</w:t>
      </w:r>
      <w:r>
        <w:rPr>
          <w:spacing w:val="5"/>
          <w:sz w:val="22"/>
        </w:rPr>
        <w:t> </w:t>
      </w:r>
      <w:r>
        <w:rPr>
          <w:sz w:val="22"/>
        </w:rPr>
        <w:t>spring </w:t>
      </w:r>
      <w:r>
        <w:rPr>
          <w:spacing w:val="9"/>
          <w:sz w:val="22"/>
        </w:rPr>
        <w:t>semesters.</w:t>
      </w:r>
      <w:r>
        <w:rPr>
          <w:spacing w:val="-10"/>
          <w:sz w:val="22"/>
        </w:rPr>
        <w:t> </w:t>
      </w:r>
      <w:r>
        <w:rPr>
          <w:spacing w:val="13"/>
          <w:sz w:val="22"/>
        </w:rPr>
        <w:t>Some </w:t>
      </w:r>
      <w:r>
        <w:rPr>
          <w:sz w:val="22"/>
        </w:rPr>
        <w:t>flexibility in </w:t>
      </w:r>
      <w:r>
        <w:rPr>
          <w:spacing w:val="12"/>
          <w:sz w:val="22"/>
        </w:rPr>
        <w:t>scheduling </w:t>
      </w:r>
      <w:r>
        <w:rPr>
          <w:spacing w:val="9"/>
          <w:sz w:val="22"/>
        </w:rPr>
        <w:t>these </w:t>
      </w:r>
      <w:r>
        <w:rPr>
          <w:sz w:val="22"/>
        </w:rPr>
        <w:t>c</w:t>
      </w:r>
      <w:r>
        <w:rPr>
          <w:spacing w:val="-32"/>
          <w:sz w:val="22"/>
        </w:rPr>
        <w:t> </w:t>
      </w:r>
      <w:r>
        <w:rPr>
          <w:sz w:val="22"/>
        </w:rPr>
        <w:t>ourses exists.</w:t>
      </w:r>
      <w:r>
        <w:rPr>
          <w:spacing w:val="40"/>
          <w:sz w:val="22"/>
        </w:rPr>
        <w:t> </w:t>
      </w:r>
      <w:r>
        <w:rPr>
          <w:spacing w:val="11"/>
          <w:sz w:val="22"/>
          <w:u w:val="single"/>
        </w:rPr>
        <w:t>Caution</w:t>
      </w:r>
      <w:r>
        <w:rPr>
          <w:spacing w:val="11"/>
          <w:sz w:val="22"/>
        </w:rPr>
        <w:t>:</w:t>
      </w:r>
      <w:r>
        <w:rPr>
          <w:spacing w:val="8"/>
          <w:sz w:val="22"/>
        </w:rPr>
        <w:t> </w:t>
      </w:r>
      <w:r>
        <w:rPr>
          <w:sz w:val="22"/>
        </w:rPr>
        <w:t>this </w:t>
      </w:r>
      <w:r>
        <w:rPr>
          <w:spacing w:val="11"/>
          <w:sz w:val="22"/>
        </w:rPr>
        <w:t>wiggle </w:t>
      </w:r>
      <w:r>
        <w:rPr>
          <w:spacing w:val="10"/>
          <w:sz w:val="22"/>
        </w:rPr>
        <w:t>room </w:t>
      </w:r>
      <w:r>
        <w:rPr>
          <w:sz w:val="22"/>
        </w:rPr>
        <w:t>is </w:t>
      </w:r>
      <w:r>
        <w:rPr>
          <w:spacing w:val="9"/>
          <w:sz w:val="22"/>
        </w:rPr>
        <w:t>extremely </w:t>
      </w:r>
      <w:r>
        <w:rPr>
          <w:spacing w:val="10"/>
          <w:sz w:val="22"/>
        </w:rPr>
        <w:t>limited.</w:t>
      </w:r>
      <w:r>
        <w:rPr>
          <w:sz w:val="22"/>
        </w:rPr>
        <w:t> </w:t>
      </w:r>
      <w:r>
        <w:rPr>
          <w:spacing w:val="13"/>
          <w:sz w:val="22"/>
        </w:rPr>
        <w:t>Some </w:t>
      </w:r>
      <w:r>
        <w:rPr>
          <w:sz w:val="22"/>
        </w:rPr>
        <w:t>of </w:t>
      </w:r>
      <w:r>
        <w:rPr>
          <w:spacing w:val="9"/>
          <w:sz w:val="22"/>
        </w:rPr>
        <w:t>the </w:t>
      </w:r>
      <w:r>
        <w:rPr>
          <w:sz w:val="22"/>
        </w:rPr>
        <w:t>earlier </w:t>
      </w:r>
      <w:r>
        <w:rPr>
          <w:spacing w:val="11"/>
          <w:sz w:val="22"/>
        </w:rPr>
        <w:t>major </w:t>
      </w:r>
      <w:r>
        <w:rPr>
          <w:sz w:val="22"/>
        </w:rPr>
        <w:t>c</w:t>
      </w:r>
      <w:r>
        <w:rPr>
          <w:spacing w:val="-32"/>
          <w:sz w:val="22"/>
        </w:rPr>
        <w:t> </w:t>
      </w:r>
      <w:r>
        <w:rPr>
          <w:sz w:val="22"/>
        </w:rPr>
        <w:t>ourses </w:t>
      </w:r>
      <w:r>
        <w:rPr>
          <w:spacing w:val="13"/>
          <w:sz w:val="22"/>
        </w:rPr>
        <w:t>have </w:t>
      </w:r>
      <w:r>
        <w:rPr>
          <w:spacing w:val="12"/>
          <w:sz w:val="22"/>
        </w:rPr>
        <w:t>general </w:t>
      </w:r>
      <w:r>
        <w:rPr>
          <w:spacing w:val="15"/>
          <w:sz w:val="22"/>
        </w:rPr>
        <w:t>educ</w:t>
      </w:r>
      <w:r>
        <w:rPr>
          <w:spacing w:val="-32"/>
          <w:sz w:val="22"/>
        </w:rPr>
        <w:t> </w:t>
      </w:r>
      <w:r>
        <w:rPr>
          <w:spacing w:val="11"/>
          <w:sz w:val="22"/>
        </w:rPr>
        <w:t>ation </w:t>
      </w:r>
      <w:r>
        <w:rPr>
          <w:sz w:val="22"/>
        </w:rPr>
        <w:t>pre-requisites. For</w:t>
      </w:r>
    </w:p>
    <w:p>
      <w:pPr>
        <w:spacing w:after="0" w:line="292" w:lineRule="auto"/>
        <w:jc w:val="left"/>
        <w:rPr>
          <w:sz w:val="22"/>
        </w:rPr>
        <w:sectPr>
          <w:headerReference w:type="default" r:id="rId329"/>
          <w:footerReference w:type="default" r:id="rId330"/>
          <w:pgSz w:w="12240" w:h="15840"/>
          <w:pgMar w:header="0" w:footer="748" w:top="1400" w:bottom="940" w:left="1000" w:right="820"/>
        </w:sectPr>
      </w:pPr>
    </w:p>
    <w:p>
      <w:pPr>
        <w:spacing w:line="292" w:lineRule="auto" w:before="77"/>
        <w:ind w:left="443" w:right="1003" w:hanging="4"/>
        <w:jc w:val="left"/>
        <w:rPr>
          <w:sz w:val="22"/>
        </w:rPr>
      </w:pPr>
      <w:r>
        <w:rPr>
          <w:spacing w:val="12"/>
          <w:sz w:val="22"/>
        </w:rPr>
        <w:t>instance</w:t>
      </w:r>
      <w:r>
        <w:rPr>
          <w:spacing w:val="4"/>
          <w:sz w:val="22"/>
        </w:rPr>
        <w:t> </w:t>
      </w:r>
      <w:r>
        <w:rPr>
          <w:sz w:val="22"/>
        </w:rPr>
        <w:t>failure to </w:t>
      </w:r>
      <w:r>
        <w:rPr>
          <w:spacing w:val="11"/>
          <w:sz w:val="22"/>
        </w:rPr>
        <w:t>take </w:t>
      </w:r>
      <w:r>
        <w:rPr>
          <w:spacing w:val="13"/>
          <w:sz w:val="22"/>
        </w:rPr>
        <w:t>and </w:t>
      </w:r>
      <w:r>
        <w:rPr>
          <w:sz w:val="22"/>
        </w:rPr>
        <w:t>p</w:t>
      </w:r>
      <w:r>
        <w:rPr>
          <w:spacing w:val="-33"/>
          <w:sz w:val="22"/>
        </w:rPr>
        <w:t> </w:t>
      </w:r>
      <w:r>
        <w:rPr>
          <w:sz w:val="22"/>
        </w:rPr>
        <w:t>ass </w:t>
      </w:r>
      <w:r>
        <w:rPr>
          <w:spacing w:val="9"/>
          <w:sz w:val="22"/>
        </w:rPr>
        <w:t>the </w:t>
      </w:r>
      <w:r>
        <w:rPr>
          <w:spacing w:val="15"/>
          <w:sz w:val="22"/>
        </w:rPr>
        <w:t>Mathematics</w:t>
      </w:r>
      <w:r>
        <w:rPr>
          <w:spacing w:val="7"/>
          <w:sz w:val="22"/>
        </w:rPr>
        <w:t> </w:t>
      </w:r>
      <w:r>
        <w:rPr>
          <w:spacing w:val="13"/>
          <w:sz w:val="22"/>
        </w:rPr>
        <w:t>and</w:t>
      </w:r>
      <w:r>
        <w:rPr>
          <w:spacing w:val="7"/>
          <w:sz w:val="22"/>
        </w:rPr>
        <w:t> </w:t>
      </w:r>
      <w:r>
        <w:rPr>
          <w:sz w:val="22"/>
        </w:rPr>
        <w:t>Physics</w:t>
      </w:r>
      <w:r>
        <w:rPr>
          <w:spacing w:val="-6"/>
          <w:sz w:val="22"/>
        </w:rPr>
        <w:t> </w:t>
      </w:r>
      <w:r>
        <w:rPr>
          <w:spacing w:val="11"/>
          <w:sz w:val="22"/>
        </w:rPr>
        <w:t>requirements</w:t>
      </w:r>
      <w:r>
        <w:rPr>
          <w:spacing w:val="5"/>
          <w:sz w:val="22"/>
        </w:rPr>
        <w:t> </w:t>
      </w:r>
      <w:r>
        <w:rPr>
          <w:sz w:val="22"/>
        </w:rPr>
        <w:t>will</w:t>
      </w:r>
      <w:r>
        <w:rPr>
          <w:spacing w:val="-5"/>
          <w:sz w:val="22"/>
        </w:rPr>
        <w:t> </w:t>
      </w:r>
      <w:r>
        <w:rPr>
          <w:sz w:val="22"/>
        </w:rPr>
        <w:t>stall your</w:t>
      </w:r>
      <w:r>
        <w:rPr>
          <w:spacing w:val="30"/>
          <w:sz w:val="22"/>
        </w:rPr>
        <w:t> </w:t>
      </w:r>
      <w:r>
        <w:rPr>
          <w:sz w:val="22"/>
        </w:rPr>
        <w:t>a</w:t>
      </w:r>
      <w:r>
        <w:rPr>
          <w:spacing w:val="-27"/>
          <w:sz w:val="22"/>
        </w:rPr>
        <w:t> </w:t>
      </w:r>
      <w:r>
        <w:rPr>
          <w:sz w:val="22"/>
        </w:rPr>
        <w:t>bility to </w:t>
      </w:r>
      <w:r>
        <w:rPr>
          <w:spacing w:val="9"/>
          <w:sz w:val="22"/>
        </w:rPr>
        <w:t>start the Structures </w:t>
      </w:r>
      <w:r>
        <w:rPr>
          <w:sz w:val="22"/>
        </w:rPr>
        <w:t>tra</w:t>
      </w:r>
      <w:r>
        <w:rPr>
          <w:spacing w:val="-27"/>
          <w:sz w:val="22"/>
        </w:rPr>
        <w:t> </w:t>
      </w:r>
      <w:r>
        <w:rPr>
          <w:sz w:val="22"/>
        </w:rPr>
        <w:t>ck, </w:t>
      </w:r>
      <w:r>
        <w:rPr>
          <w:spacing w:val="11"/>
          <w:sz w:val="22"/>
        </w:rPr>
        <w:t>which </w:t>
      </w:r>
      <w:r>
        <w:rPr>
          <w:sz w:val="22"/>
        </w:rPr>
        <w:t>c</w:t>
      </w:r>
      <w:r>
        <w:rPr>
          <w:spacing w:val="-27"/>
          <w:sz w:val="22"/>
        </w:rPr>
        <w:t> </w:t>
      </w:r>
      <w:r>
        <w:rPr>
          <w:sz w:val="22"/>
        </w:rPr>
        <w:t>ould</w:t>
      </w:r>
      <w:r>
        <w:rPr>
          <w:spacing w:val="40"/>
          <w:sz w:val="22"/>
        </w:rPr>
        <w:t> </w:t>
      </w:r>
      <w:r>
        <w:rPr>
          <w:spacing w:val="10"/>
          <w:sz w:val="22"/>
        </w:rPr>
        <w:t>eventually </w:t>
      </w:r>
      <w:r>
        <w:rPr>
          <w:spacing w:val="11"/>
          <w:sz w:val="22"/>
        </w:rPr>
        <w:t>prevent </w:t>
      </w:r>
      <w:r>
        <w:rPr>
          <w:spacing w:val="10"/>
          <w:sz w:val="22"/>
        </w:rPr>
        <w:t>you </w:t>
      </w:r>
      <w:r>
        <w:rPr>
          <w:sz w:val="22"/>
        </w:rPr>
        <w:t>from</w:t>
      </w:r>
    </w:p>
    <w:p>
      <w:pPr>
        <w:spacing w:before="1"/>
        <w:ind w:left="450" w:right="0" w:firstLine="0"/>
        <w:jc w:val="left"/>
        <w:rPr>
          <w:sz w:val="22"/>
        </w:rPr>
      </w:pPr>
      <w:r>
        <w:rPr>
          <w:spacing w:val="9"/>
          <w:sz w:val="22"/>
        </w:rPr>
        <w:t>entering</w:t>
      </w:r>
      <w:r>
        <w:rPr>
          <w:spacing w:val="14"/>
          <w:sz w:val="22"/>
        </w:rPr>
        <w:t> </w:t>
      </w:r>
      <w:r>
        <w:rPr>
          <w:sz w:val="22"/>
        </w:rPr>
        <w:t>a</w:t>
      </w:r>
      <w:r>
        <w:rPr>
          <w:spacing w:val="6"/>
          <w:sz w:val="22"/>
        </w:rPr>
        <w:t> </w:t>
      </w:r>
      <w:r>
        <w:rPr>
          <w:spacing w:val="10"/>
          <w:sz w:val="22"/>
        </w:rPr>
        <w:t>Studio</w:t>
      </w:r>
      <w:r>
        <w:rPr>
          <w:spacing w:val="15"/>
          <w:sz w:val="22"/>
        </w:rPr>
        <w:t> </w:t>
      </w:r>
      <w:r>
        <w:rPr>
          <w:spacing w:val="12"/>
          <w:sz w:val="22"/>
        </w:rPr>
        <w:t>although</w:t>
      </w:r>
      <w:r>
        <w:rPr>
          <w:spacing w:val="1"/>
          <w:sz w:val="22"/>
        </w:rPr>
        <w:t> </w:t>
      </w:r>
      <w:r>
        <w:rPr>
          <w:spacing w:val="10"/>
          <w:sz w:val="22"/>
        </w:rPr>
        <w:t>you </w:t>
      </w:r>
      <w:r>
        <w:rPr>
          <w:sz w:val="22"/>
        </w:rPr>
        <w:t>p</w:t>
      </w:r>
      <w:r>
        <w:rPr>
          <w:spacing w:val="-33"/>
          <w:sz w:val="22"/>
        </w:rPr>
        <w:t> </w:t>
      </w:r>
      <w:r>
        <w:rPr>
          <w:spacing w:val="9"/>
          <w:sz w:val="22"/>
        </w:rPr>
        <w:t>assed</w:t>
      </w:r>
      <w:r>
        <w:rPr>
          <w:spacing w:val="11"/>
          <w:sz w:val="22"/>
        </w:rPr>
        <w:t> </w:t>
      </w:r>
      <w:r>
        <w:rPr>
          <w:spacing w:val="9"/>
          <w:sz w:val="22"/>
        </w:rPr>
        <w:t>the</w:t>
      </w:r>
      <w:r>
        <w:rPr>
          <w:spacing w:val="15"/>
          <w:sz w:val="22"/>
        </w:rPr>
        <w:t> </w:t>
      </w:r>
      <w:r>
        <w:rPr>
          <w:sz w:val="22"/>
        </w:rPr>
        <w:t>previous</w:t>
      </w:r>
      <w:r>
        <w:rPr>
          <w:spacing w:val="-7"/>
          <w:sz w:val="22"/>
        </w:rPr>
        <w:t> </w:t>
      </w:r>
      <w:r>
        <w:rPr>
          <w:spacing w:val="8"/>
          <w:sz w:val="22"/>
        </w:rPr>
        <w:t>studio.</w:t>
      </w:r>
    </w:p>
    <w:p>
      <w:pPr>
        <w:pStyle w:val="BodyText"/>
        <w:spacing w:before="1"/>
        <w:rPr>
          <w:sz w:val="32"/>
        </w:rPr>
      </w:pPr>
    </w:p>
    <w:p>
      <w:pPr>
        <w:spacing w:before="0"/>
        <w:ind w:left="439" w:right="0" w:firstLine="0"/>
        <w:jc w:val="left"/>
        <w:rPr>
          <w:i/>
          <w:sz w:val="22"/>
        </w:rPr>
      </w:pPr>
      <w:r>
        <w:rPr>
          <w:i/>
          <w:spacing w:val="11"/>
          <w:sz w:val="22"/>
        </w:rPr>
        <w:t>How</w:t>
      </w:r>
      <w:r>
        <w:rPr>
          <w:i/>
          <w:spacing w:val="12"/>
          <w:sz w:val="22"/>
        </w:rPr>
        <w:t> </w:t>
      </w:r>
      <w:r>
        <w:rPr>
          <w:i/>
          <w:spacing w:val="15"/>
          <w:sz w:val="22"/>
        </w:rPr>
        <w:t>much</w:t>
      </w:r>
      <w:r>
        <w:rPr>
          <w:i/>
          <w:spacing w:val="8"/>
          <w:sz w:val="22"/>
        </w:rPr>
        <w:t> </w:t>
      </w:r>
      <w:r>
        <w:rPr>
          <w:i/>
          <w:sz w:val="22"/>
        </w:rPr>
        <w:t>of</w:t>
      </w:r>
      <w:r>
        <w:rPr>
          <w:i/>
          <w:spacing w:val="10"/>
          <w:sz w:val="22"/>
        </w:rPr>
        <w:t> </w:t>
      </w:r>
      <w:r>
        <w:rPr>
          <w:i/>
          <w:sz w:val="22"/>
        </w:rPr>
        <w:t>a</w:t>
      </w:r>
      <w:r>
        <w:rPr>
          <w:i/>
          <w:spacing w:val="10"/>
          <w:sz w:val="22"/>
        </w:rPr>
        <w:t> </w:t>
      </w:r>
      <w:r>
        <w:rPr>
          <w:i/>
          <w:spacing w:val="12"/>
          <w:sz w:val="22"/>
        </w:rPr>
        <w:t>financial</w:t>
      </w:r>
      <w:r>
        <w:rPr>
          <w:i/>
          <w:spacing w:val="10"/>
          <w:sz w:val="22"/>
        </w:rPr>
        <w:t> </w:t>
      </w:r>
      <w:r>
        <w:rPr>
          <w:i/>
          <w:spacing w:val="14"/>
          <w:sz w:val="22"/>
        </w:rPr>
        <w:t>commitment</w:t>
      </w:r>
      <w:r>
        <w:rPr>
          <w:i/>
          <w:spacing w:val="12"/>
          <w:sz w:val="22"/>
        </w:rPr>
        <w:t> </w:t>
      </w:r>
      <w:r>
        <w:rPr>
          <w:i/>
          <w:spacing w:val="13"/>
          <w:sz w:val="22"/>
        </w:rPr>
        <w:t>does</w:t>
      </w:r>
      <w:r>
        <w:rPr>
          <w:i/>
          <w:sz w:val="22"/>
        </w:rPr>
        <w:t> this</w:t>
      </w:r>
      <w:r>
        <w:rPr>
          <w:i/>
          <w:spacing w:val="4"/>
          <w:sz w:val="22"/>
        </w:rPr>
        <w:t> </w:t>
      </w:r>
      <w:r>
        <w:rPr>
          <w:i/>
          <w:spacing w:val="11"/>
          <w:sz w:val="22"/>
        </w:rPr>
        <w:t>major</w:t>
      </w:r>
      <w:r>
        <w:rPr>
          <w:i/>
          <w:spacing w:val="-6"/>
          <w:sz w:val="22"/>
        </w:rPr>
        <w:t> </w:t>
      </w:r>
      <w:r>
        <w:rPr>
          <w:i/>
          <w:spacing w:val="9"/>
          <w:sz w:val="22"/>
        </w:rPr>
        <w:t>require?</w:t>
      </w:r>
    </w:p>
    <w:p>
      <w:pPr>
        <w:pStyle w:val="BodyText"/>
        <w:spacing w:before="9"/>
        <w:rPr>
          <w:i/>
          <w:sz w:val="31"/>
        </w:rPr>
      </w:pPr>
    </w:p>
    <w:p>
      <w:pPr>
        <w:spacing w:before="1"/>
        <w:ind w:left="448" w:right="0" w:firstLine="0"/>
        <w:jc w:val="left"/>
        <w:rPr>
          <w:sz w:val="22"/>
        </w:rPr>
      </w:pPr>
      <w:r>
        <w:rPr>
          <w:sz w:val="22"/>
        </w:rPr>
        <w:t>Aside</w:t>
      </w:r>
      <w:r>
        <w:rPr>
          <w:spacing w:val="13"/>
          <w:sz w:val="22"/>
        </w:rPr>
        <w:t> </w:t>
      </w:r>
      <w:r>
        <w:rPr>
          <w:sz w:val="22"/>
        </w:rPr>
        <w:t>from</w:t>
      </w:r>
      <w:r>
        <w:rPr>
          <w:spacing w:val="17"/>
          <w:sz w:val="22"/>
        </w:rPr>
        <w:t> </w:t>
      </w:r>
      <w:r>
        <w:rPr>
          <w:sz w:val="22"/>
        </w:rPr>
        <w:t>tuition</w:t>
      </w:r>
      <w:r>
        <w:rPr>
          <w:spacing w:val="19"/>
          <w:sz w:val="22"/>
        </w:rPr>
        <w:t> </w:t>
      </w:r>
      <w:r>
        <w:rPr>
          <w:spacing w:val="12"/>
          <w:sz w:val="22"/>
        </w:rPr>
        <w:t>and</w:t>
      </w:r>
      <w:r>
        <w:rPr>
          <w:spacing w:val="14"/>
          <w:sz w:val="22"/>
        </w:rPr>
        <w:t> </w:t>
      </w:r>
      <w:r>
        <w:rPr>
          <w:sz w:val="22"/>
        </w:rPr>
        <w:t>living</w:t>
      </w:r>
      <w:r>
        <w:rPr>
          <w:spacing w:val="23"/>
          <w:sz w:val="22"/>
        </w:rPr>
        <w:t> </w:t>
      </w:r>
      <w:r>
        <w:rPr>
          <w:spacing w:val="9"/>
          <w:sz w:val="22"/>
        </w:rPr>
        <w:t>expenses,</w:t>
      </w:r>
      <w:r>
        <w:rPr>
          <w:spacing w:val="2"/>
          <w:sz w:val="22"/>
        </w:rPr>
        <w:t> </w:t>
      </w:r>
      <w:r>
        <w:rPr>
          <w:spacing w:val="10"/>
          <w:sz w:val="22"/>
        </w:rPr>
        <w:t>you</w:t>
      </w:r>
      <w:r>
        <w:rPr>
          <w:spacing w:val="17"/>
          <w:sz w:val="22"/>
        </w:rPr>
        <w:t> </w:t>
      </w:r>
      <w:r>
        <w:rPr>
          <w:sz w:val="22"/>
        </w:rPr>
        <w:t>will</w:t>
      </w:r>
      <w:r>
        <w:rPr>
          <w:spacing w:val="12"/>
          <w:sz w:val="22"/>
        </w:rPr>
        <w:t> be</w:t>
      </w:r>
      <w:r>
        <w:rPr>
          <w:spacing w:val="22"/>
          <w:sz w:val="22"/>
        </w:rPr>
        <w:t> </w:t>
      </w:r>
      <w:r>
        <w:rPr>
          <w:spacing w:val="10"/>
          <w:sz w:val="22"/>
        </w:rPr>
        <w:t>making</w:t>
      </w:r>
      <w:r>
        <w:rPr>
          <w:spacing w:val="13"/>
          <w:sz w:val="22"/>
        </w:rPr>
        <w:t> some</w:t>
      </w:r>
      <w:r>
        <w:rPr>
          <w:spacing w:val="24"/>
          <w:sz w:val="22"/>
        </w:rPr>
        <w:t> </w:t>
      </w:r>
      <w:r>
        <w:rPr>
          <w:sz w:val="22"/>
        </w:rPr>
        <w:t>a</w:t>
      </w:r>
      <w:r>
        <w:rPr>
          <w:spacing w:val="-33"/>
          <w:sz w:val="22"/>
        </w:rPr>
        <w:t> </w:t>
      </w:r>
      <w:r>
        <w:rPr>
          <w:sz w:val="22"/>
        </w:rPr>
        <w:t>d</w:t>
      </w:r>
      <w:r>
        <w:rPr>
          <w:spacing w:val="-33"/>
          <w:sz w:val="22"/>
        </w:rPr>
        <w:t> </w:t>
      </w:r>
      <w:r>
        <w:rPr>
          <w:spacing w:val="10"/>
          <w:sz w:val="22"/>
        </w:rPr>
        <w:t>ditional</w:t>
      </w:r>
      <w:r>
        <w:rPr>
          <w:spacing w:val="5"/>
          <w:sz w:val="22"/>
        </w:rPr>
        <w:t> </w:t>
      </w:r>
      <w:r>
        <w:rPr>
          <w:spacing w:val="10"/>
          <w:sz w:val="22"/>
        </w:rPr>
        <w:t>financial</w:t>
      </w:r>
    </w:p>
    <w:p>
      <w:pPr>
        <w:spacing w:line="292" w:lineRule="auto" w:before="59"/>
        <w:ind w:left="443" w:right="642" w:firstLine="12"/>
        <w:jc w:val="left"/>
        <w:rPr>
          <w:sz w:val="22"/>
        </w:rPr>
      </w:pPr>
      <w:r>
        <w:rPr>
          <w:sz w:val="22"/>
        </w:rPr>
        <w:t>c</w:t>
      </w:r>
      <w:r>
        <w:rPr>
          <w:spacing w:val="-33"/>
          <w:sz w:val="22"/>
        </w:rPr>
        <w:t> </w:t>
      </w:r>
      <w:r>
        <w:rPr>
          <w:spacing w:val="13"/>
          <w:sz w:val="22"/>
        </w:rPr>
        <w:t>ommitments</w:t>
      </w:r>
      <w:r>
        <w:rPr>
          <w:spacing w:val="11"/>
          <w:sz w:val="22"/>
        </w:rPr>
        <w:t> along </w:t>
      </w:r>
      <w:r>
        <w:rPr>
          <w:sz w:val="22"/>
        </w:rPr>
        <w:t>the </w:t>
      </w:r>
      <w:r>
        <w:rPr>
          <w:spacing w:val="14"/>
          <w:sz w:val="22"/>
        </w:rPr>
        <w:t>way </w:t>
      </w:r>
      <w:r>
        <w:rPr>
          <w:sz w:val="22"/>
        </w:rPr>
        <w:t>as </w:t>
      </w:r>
      <w:r>
        <w:rPr>
          <w:spacing w:val="10"/>
          <w:sz w:val="22"/>
        </w:rPr>
        <w:t>an </w:t>
      </w:r>
      <w:r>
        <w:rPr>
          <w:spacing w:val="12"/>
          <w:sz w:val="22"/>
        </w:rPr>
        <w:t>architecture</w:t>
      </w:r>
      <w:r>
        <w:rPr>
          <w:spacing w:val="8"/>
          <w:sz w:val="22"/>
        </w:rPr>
        <w:t> </w:t>
      </w:r>
      <w:r>
        <w:rPr>
          <w:spacing w:val="11"/>
          <w:sz w:val="22"/>
        </w:rPr>
        <w:t>student.</w:t>
      </w:r>
      <w:r>
        <w:rPr>
          <w:spacing w:val="-6"/>
          <w:sz w:val="22"/>
        </w:rPr>
        <w:t> </w:t>
      </w:r>
      <w:r>
        <w:rPr>
          <w:sz w:val="22"/>
        </w:rPr>
        <w:t>In a</w:t>
      </w:r>
      <w:r>
        <w:rPr>
          <w:spacing w:val="-33"/>
          <w:sz w:val="22"/>
        </w:rPr>
        <w:t> </w:t>
      </w:r>
      <w:r>
        <w:rPr>
          <w:sz w:val="22"/>
        </w:rPr>
        <w:t>d</w:t>
      </w:r>
      <w:r>
        <w:rPr>
          <w:spacing w:val="-33"/>
          <w:sz w:val="22"/>
        </w:rPr>
        <w:t> </w:t>
      </w:r>
      <w:r>
        <w:rPr>
          <w:sz w:val="22"/>
        </w:rPr>
        <w:t>dition to </w:t>
      </w:r>
      <w:r>
        <w:rPr>
          <w:spacing w:val="11"/>
          <w:sz w:val="22"/>
        </w:rPr>
        <w:t>required </w:t>
      </w:r>
      <w:r>
        <w:rPr>
          <w:spacing w:val="9"/>
          <w:sz w:val="22"/>
        </w:rPr>
        <w:t>books, </w:t>
      </w:r>
      <w:r>
        <w:rPr>
          <w:spacing w:val="10"/>
          <w:sz w:val="22"/>
        </w:rPr>
        <w:t>you </w:t>
      </w:r>
      <w:r>
        <w:rPr>
          <w:sz w:val="22"/>
        </w:rPr>
        <w:t>will </w:t>
      </w:r>
      <w:r>
        <w:rPr>
          <w:spacing w:val="12"/>
          <w:sz w:val="22"/>
        </w:rPr>
        <w:t>need </w:t>
      </w:r>
      <w:r>
        <w:rPr>
          <w:sz w:val="22"/>
        </w:rPr>
        <w:t>to </w:t>
      </w:r>
      <w:r>
        <w:rPr>
          <w:spacing w:val="17"/>
          <w:sz w:val="22"/>
        </w:rPr>
        <w:t>budget</w:t>
      </w:r>
      <w:r>
        <w:rPr>
          <w:spacing w:val="8"/>
          <w:sz w:val="22"/>
        </w:rPr>
        <w:t> </w:t>
      </w:r>
      <w:r>
        <w:rPr>
          <w:sz w:val="22"/>
        </w:rPr>
        <w:t>for</w:t>
      </w:r>
      <w:r>
        <w:rPr>
          <w:spacing w:val="-2"/>
          <w:sz w:val="22"/>
        </w:rPr>
        <w:t> </w:t>
      </w:r>
      <w:r>
        <w:rPr>
          <w:spacing w:val="10"/>
          <w:sz w:val="22"/>
        </w:rPr>
        <w:t>studio</w:t>
      </w:r>
      <w:r>
        <w:rPr>
          <w:spacing w:val="8"/>
          <w:sz w:val="22"/>
        </w:rPr>
        <w:t> </w:t>
      </w:r>
      <w:r>
        <w:rPr>
          <w:spacing w:val="10"/>
          <w:sz w:val="22"/>
        </w:rPr>
        <w:t>supplies</w:t>
      </w:r>
      <w:r>
        <w:rPr>
          <w:spacing w:val="9"/>
          <w:sz w:val="22"/>
        </w:rPr>
        <w:t> </w:t>
      </w:r>
      <w:r>
        <w:rPr>
          <w:spacing w:val="11"/>
          <w:sz w:val="22"/>
        </w:rPr>
        <w:t>ea</w:t>
      </w:r>
      <w:r>
        <w:rPr>
          <w:spacing w:val="-31"/>
          <w:sz w:val="22"/>
        </w:rPr>
        <w:t> </w:t>
      </w:r>
      <w:r>
        <w:rPr>
          <w:spacing w:val="11"/>
          <w:sz w:val="22"/>
        </w:rPr>
        <w:t>ch</w:t>
      </w:r>
      <w:r>
        <w:rPr>
          <w:spacing w:val="3"/>
          <w:sz w:val="22"/>
        </w:rPr>
        <w:t> </w:t>
      </w:r>
      <w:r>
        <w:rPr>
          <w:spacing w:val="10"/>
          <w:sz w:val="22"/>
        </w:rPr>
        <w:t>semester.</w:t>
      </w:r>
      <w:r>
        <w:rPr>
          <w:spacing w:val="4"/>
          <w:sz w:val="22"/>
        </w:rPr>
        <w:t> </w:t>
      </w:r>
      <w:r>
        <w:rPr>
          <w:spacing w:val="11"/>
          <w:sz w:val="22"/>
        </w:rPr>
        <w:t>Although</w:t>
      </w:r>
      <w:r>
        <w:rPr>
          <w:spacing w:val="3"/>
          <w:sz w:val="22"/>
        </w:rPr>
        <w:t> </w:t>
      </w:r>
      <w:r>
        <w:rPr>
          <w:spacing w:val="10"/>
          <w:sz w:val="22"/>
        </w:rPr>
        <w:t>Bemis</w:t>
      </w:r>
      <w:r>
        <w:rPr>
          <w:spacing w:val="-2"/>
          <w:sz w:val="22"/>
        </w:rPr>
        <w:t> </w:t>
      </w:r>
      <w:r>
        <w:rPr>
          <w:spacing w:val="13"/>
          <w:sz w:val="22"/>
        </w:rPr>
        <w:t>Lab does</w:t>
      </w:r>
    </w:p>
    <w:p>
      <w:pPr>
        <w:spacing w:line="295" w:lineRule="auto" w:before="2"/>
        <w:ind w:left="440" w:right="642" w:firstLine="14"/>
        <w:jc w:val="left"/>
        <w:rPr>
          <w:sz w:val="22"/>
        </w:rPr>
      </w:pPr>
      <w:r>
        <w:rPr>
          <w:sz w:val="22"/>
        </w:rPr>
        <w:t>a</w:t>
      </w:r>
      <w:r>
        <w:rPr>
          <w:spacing w:val="-28"/>
          <w:sz w:val="22"/>
        </w:rPr>
        <w:t> </w:t>
      </w:r>
      <w:r>
        <w:rPr>
          <w:sz w:val="22"/>
        </w:rPr>
        <w:t>c</w:t>
      </w:r>
      <w:r>
        <w:rPr>
          <w:spacing w:val="-27"/>
          <w:sz w:val="22"/>
        </w:rPr>
        <w:t> </w:t>
      </w:r>
      <w:r>
        <w:rPr>
          <w:sz w:val="22"/>
        </w:rPr>
        <w:t>c</w:t>
      </w:r>
      <w:r>
        <w:rPr>
          <w:spacing w:val="-30"/>
          <w:sz w:val="22"/>
        </w:rPr>
        <w:t> </w:t>
      </w:r>
      <w:r>
        <w:rPr>
          <w:spacing w:val="15"/>
          <w:sz w:val="22"/>
        </w:rPr>
        <w:t>ommod</w:t>
      </w:r>
      <w:r>
        <w:rPr>
          <w:spacing w:val="-30"/>
          <w:sz w:val="22"/>
        </w:rPr>
        <w:t> </w:t>
      </w:r>
      <w:r>
        <w:rPr>
          <w:spacing w:val="11"/>
          <w:sz w:val="22"/>
        </w:rPr>
        <w:t>ate students </w:t>
      </w:r>
      <w:r>
        <w:rPr>
          <w:sz w:val="22"/>
        </w:rPr>
        <w:t>with self-</w:t>
      </w:r>
      <w:r>
        <w:rPr>
          <w:spacing w:val="10"/>
          <w:sz w:val="22"/>
        </w:rPr>
        <w:t>service </w:t>
      </w:r>
      <w:r>
        <w:rPr>
          <w:sz w:val="22"/>
        </w:rPr>
        <w:t>printing</w:t>
      </w:r>
      <w:r>
        <w:rPr>
          <w:spacing w:val="13"/>
          <w:sz w:val="22"/>
        </w:rPr>
        <w:t> and </w:t>
      </w:r>
      <w:r>
        <w:rPr>
          <w:spacing w:val="10"/>
          <w:sz w:val="22"/>
        </w:rPr>
        <w:t>plotting at </w:t>
      </w:r>
      <w:r>
        <w:rPr>
          <w:sz w:val="22"/>
        </w:rPr>
        <w:t>no </w:t>
      </w:r>
      <w:r>
        <w:rPr>
          <w:spacing w:val="14"/>
          <w:sz w:val="22"/>
        </w:rPr>
        <w:t>charge,</w:t>
      </w:r>
      <w:r>
        <w:rPr>
          <w:spacing w:val="8"/>
          <w:sz w:val="22"/>
        </w:rPr>
        <w:t> </w:t>
      </w:r>
      <w:r>
        <w:rPr>
          <w:spacing w:val="10"/>
          <w:sz w:val="22"/>
        </w:rPr>
        <w:t>you </w:t>
      </w:r>
      <w:r>
        <w:rPr>
          <w:sz w:val="22"/>
        </w:rPr>
        <w:t>will </w:t>
      </w:r>
      <w:r>
        <w:rPr>
          <w:spacing w:val="11"/>
          <w:sz w:val="22"/>
        </w:rPr>
        <w:t>be required</w:t>
      </w:r>
      <w:r>
        <w:rPr>
          <w:spacing w:val="34"/>
          <w:sz w:val="22"/>
        </w:rPr>
        <w:t> </w:t>
      </w:r>
      <w:r>
        <w:rPr>
          <w:sz w:val="22"/>
        </w:rPr>
        <w:t>to</w:t>
      </w:r>
      <w:r>
        <w:rPr>
          <w:spacing w:val="22"/>
          <w:sz w:val="22"/>
        </w:rPr>
        <w:t> </w:t>
      </w:r>
      <w:r>
        <w:rPr>
          <w:sz w:val="22"/>
        </w:rPr>
        <w:t>sup</w:t>
      </w:r>
      <w:r>
        <w:rPr>
          <w:spacing w:val="-28"/>
          <w:sz w:val="22"/>
        </w:rPr>
        <w:t> </w:t>
      </w:r>
      <w:r>
        <w:rPr>
          <w:sz w:val="22"/>
        </w:rPr>
        <w:t>ply</w:t>
      </w:r>
      <w:r>
        <w:rPr>
          <w:spacing w:val="18"/>
          <w:sz w:val="22"/>
        </w:rPr>
        <w:t> </w:t>
      </w:r>
      <w:r>
        <w:rPr>
          <w:sz w:val="22"/>
        </w:rPr>
        <w:t>your</w:t>
      </w:r>
      <w:r>
        <w:rPr>
          <w:spacing w:val="12"/>
          <w:sz w:val="22"/>
        </w:rPr>
        <w:t> own</w:t>
      </w:r>
      <w:r>
        <w:rPr>
          <w:spacing w:val="33"/>
          <w:sz w:val="22"/>
        </w:rPr>
        <w:t> </w:t>
      </w:r>
      <w:r>
        <w:rPr>
          <w:sz w:val="22"/>
        </w:rPr>
        <w:t>p</w:t>
      </w:r>
      <w:r>
        <w:rPr>
          <w:spacing w:val="-28"/>
          <w:sz w:val="22"/>
        </w:rPr>
        <w:t> </w:t>
      </w:r>
      <w:r>
        <w:rPr>
          <w:spacing w:val="9"/>
          <w:sz w:val="22"/>
        </w:rPr>
        <w:t>aper.</w:t>
      </w:r>
      <w:r>
        <w:rPr>
          <w:spacing w:val="5"/>
          <w:sz w:val="22"/>
        </w:rPr>
        <w:t> </w:t>
      </w:r>
      <w:r>
        <w:rPr>
          <w:sz w:val="22"/>
        </w:rPr>
        <w:t>In</w:t>
      </w:r>
      <w:r>
        <w:rPr>
          <w:spacing w:val="33"/>
          <w:sz w:val="22"/>
        </w:rPr>
        <w:t> </w:t>
      </w:r>
      <w:r>
        <w:rPr>
          <w:sz w:val="22"/>
        </w:rPr>
        <w:t>a</w:t>
      </w:r>
      <w:r>
        <w:rPr>
          <w:spacing w:val="-28"/>
          <w:sz w:val="22"/>
        </w:rPr>
        <w:t> </w:t>
      </w:r>
      <w:r>
        <w:rPr>
          <w:sz w:val="22"/>
        </w:rPr>
        <w:t>d</w:t>
      </w:r>
      <w:r>
        <w:rPr>
          <w:spacing w:val="-28"/>
          <w:sz w:val="22"/>
        </w:rPr>
        <w:t> </w:t>
      </w:r>
      <w:r>
        <w:rPr>
          <w:sz w:val="22"/>
        </w:rPr>
        <w:t>dition,</w:t>
      </w:r>
      <w:r>
        <w:rPr>
          <w:spacing w:val="9"/>
          <w:sz w:val="22"/>
        </w:rPr>
        <w:t> the</w:t>
      </w:r>
      <w:r>
        <w:rPr>
          <w:spacing w:val="22"/>
          <w:sz w:val="22"/>
        </w:rPr>
        <w:t> </w:t>
      </w:r>
      <w:r>
        <w:rPr>
          <w:sz w:val="22"/>
        </w:rPr>
        <w:t>ink</w:t>
      </w:r>
      <w:r>
        <w:rPr>
          <w:spacing w:val="26"/>
          <w:sz w:val="22"/>
        </w:rPr>
        <w:t> </w:t>
      </w:r>
      <w:r>
        <w:rPr>
          <w:spacing w:val="12"/>
          <w:sz w:val="22"/>
        </w:rPr>
        <w:t>available</w:t>
      </w:r>
      <w:r>
        <w:rPr>
          <w:spacing w:val="27"/>
          <w:sz w:val="22"/>
        </w:rPr>
        <w:t> </w:t>
      </w:r>
      <w:r>
        <w:rPr>
          <w:sz w:val="22"/>
        </w:rPr>
        <w:t>for</w:t>
      </w:r>
      <w:r>
        <w:rPr>
          <w:spacing w:val="24"/>
          <w:sz w:val="22"/>
        </w:rPr>
        <w:t> </w:t>
      </w:r>
      <w:r>
        <w:rPr>
          <w:sz w:val="22"/>
        </w:rPr>
        <w:t>printing</w:t>
      </w:r>
      <w:r>
        <w:rPr>
          <w:spacing w:val="26"/>
          <w:sz w:val="22"/>
        </w:rPr>
        <w:t> </w:t>
      </w:r>
      <w:r>
        <w:rPr>
          <w:sz w:val="22"/>
        </w:rPr>
        <w:t>is </w:t>
      </w:r>
      <w:r>
        <w:rPr>
          <w:spacing w:val="10"/>
          <w:sz w:val="22"/>
        </w:rPr>
        <w:t>limited</w:t>
      </w:r>
      <w:r>
        <w:rPr>
          <w:spacing w:val="40"/>
          <w:sz w:val="22"/>
        </w:rPr>
        <w:t> </w:t>
      </w:r>
      <w:r>
        <w:rPr>
          <w:spacing w:val="10"/>
          <w:sz w:val="22"/>
        </w:rPr>
        <w:t>at </w:t>
      </w:r>
      <w:r>
        <w:rPr>
          <w:sz w:val="22"/>
        </w:rPr>
        <w:t>a </w:t>
      </w:r>
      <w:r>
        <w:rPr>
          <w:spacing w:val="9"/>
          <w:sz w:val="22"/>
        </w:rPr>
        <w:t>set </w:t>
      </w:r>
      <w:r>
        <w:rPr>
          <w:spacing w:val="11"/>
          <w:sz w:val="22"/>
        </w:rPr>
        <w:t>quantity </w:t>
      </w:r>
      <w:r>
        <w:rPr>
          <w:spacing w:val="10"/>
          <w:sz w:val="22"/>
        </w:rPr>
        <w:t>per</w:t>
      </w:r>
      <w:r>
        <w:rPr>
          <w:spacing w:val="5"/>
          <w:sz w:val="22"/>
        </w:rPr>
        <w:t> </w:t>
      </w:r>
      <w:r>
        <w:rPr>
          <w:spacing w:val="10"/>
          <w:sz w:val="22"/>
        </w:rPr>
        <w:t>semester.</w:t>
      </w:r>
      <w:r>
        <w:rPr>
          <w:spacing w:val="1"/>
          <w:sz w:val="22"/>
        </w:rPr>
        <w:t> </w:t>
      </w:r>
      <w:r>
        <w:rPr>
          <w:sz w:val="22"/>
        </w:rPr>
        <w:t>It </w:t>
      </w:r>
      <w:r>
        <w:rPr>
          <w:spacing w:val="11"/>
          <w:sz w:val="22"/>
        </w:rPr>
        <w:t>would </w:t>
      </w:r>
      <w:r>
        <w:rPr>
          <w:spacing w:val="12"/>
          <w:sz w:val="22"/>
        </w:rPr>
        <w:t>be </w:t>
      </w:r>
      <w:r>
        <w:rPr>
          <w:sz w:val="22"/>
        </w:rPr>
        <w:t>wise to </w:t>
      </w:r>
      <w:r>
        <w:rPr>
          <w:spacing w:val="17"/>
          <w:sz w:val="22"/>
        </w:rPr>
        <w:t>budget</w:t>
      </w:r>
      <w:r>
        <w:rPr>
          <w:spacing w:val="16"/>
          <w:sz w:val="22"/>
        </w:rPr>
        <w:t> </w:t>
      </w:r>
      <w:r>
        <w:rPr>
          <w:sz w:val="22"/>
        </w:rPr>
        <w:t>for </w:t>
      </w:r>
      <w:r>
        <w:rPr>
          <w:spacing w:val="9"/>
          <w:sz w:val="22"/>
        </w:rPr>
        <w:t>the </w:t>
      </w:r>
      <w:r>
        <w:rPr>
          <w:sz w:val="22"/>
        </w:rPr>
        <w:t>possibility of </w:t>
      </w:r>
      <w:r>
        <w:rPr>
          <w:spacing w:val="11"/>
          <w:sz w:val="22"/>
        </w:rPr>
        <w:t>purchasing </w:t>
      </w:r>
      <w:r>
        <w:rPr>
          <w:sz w:val="22"/>
        </w:rPr>
        <w:t>your </w:t>
      </w:r>
      <w:r>
        <w:rPr>
          <w:spacing w:val="12"/>
          <w:sz w:val="22"/>
        </w:rPr>
        <w:t>own</w:t>
      </w:r>
      <w:r>
        <w:rPr>
          <w:spacing w:val="2"/>
          <w:sz w:val="22"/>
        </w:rPr>
        <w:t> </w:t>
      </w:r>
      <w:r>
        <w:rPr>
          <w:sz w:val="22"/>
        </w:rPr>
        <w:t>ink</w:t>
      </w:r>
      <w:r>
        <w:rPr>
          <w:spacing w:val="-3"/>
          <w:sz w:val="22"/>
        </w:rPr>
        <w:t> </w:t>
      </w:r>
      <w:r>
        <w:rPr>
          <w:sz w:val="22"/>
        </w:rPr>
        <w:t>if </w:t>
      </w:r>
      <w:r>
        <w:rPr>
          <w:spacing w:val="13"/>
          <w:sz w:val="22"/>
        </w:rPr>
        <w:t>nec</w:t>
      </w:r>
      <w:r>
        <w:rPr>
          <w:spacing w:val="-34"/>
          <w:sz w:val="22"/>
        </w:rPr>
        <w:t> </w:t>
      </w:r>
      <w:r>
        <w:rPr>
          <w:sz w:val="22"/>
        </w:rPr>
        <w:t>essary, or for using printing</w:t>
      </w:r>
      <w:r>
        <w:rPr>
          <w:spacing w:val="-31"/>
          <w:sz w:val="22"/>
        </w:rPr>
        <w:t> </w:t>
      </w:r>
      <w:r>
        <w:rPr>
          <w:sz w:val="22"/>
        </w:rPr>
        <w:t>/</w:t>
      </w:r>
      <w:r>
        <w:rPr>
          <w:spacing w:val="-33"/>
          <w:sz w:val="22"/>
        </w:rPr>
        <w:t> </w:t>
      </w:r>
      <w:r>
        <w:rPr>
          <w:spacing w:val="10"/>
          <w:sz w:val="22"/>
        </w:rPr>
        <w:t>plotting services</w:t>
      </w:r>
      <w:r>
        <w:rPr>
          <w:spacing w:val="8"/>
          <w:sz w:val="22"/>
        </w:rPr>
        <w:t> </w:t>
      </w:r>
      <w:r>
        <w:rPr>
          <w:spacing w:val="10"/>
          <w:sz w:val="22"/>
        </w:rPr>
        <w:t>elsewhere.</w:t>
      </w:r>
      <w:r>
        <w:rPr>
          <w:spacing w:val="40"/>
          <w:sz w:val="22"/>
        </w:rPr>
        <w:t> </w:t>
      </w:r>
      <w:r>
        <w:rPr>
          <w:sz w:val="22"/>
        </w:rPr>
        <w:t>The </w:t>
      </w:r>
      <w:r>
        <w:rPr>
          <w:spacing w:val="13"/>
          <w:sz w:val="22"/>
        </w:rPr>
        <w:t>two </w:t>
      </w:r>
      <w:r>
        <w:rPr>
          <w:spacing w:val="11"/>
          <w:sz w:val="22"/>
        </w:rPr>
        <w:t>other major</w:t>
      </w:r>
      <w:r>
        <w:rPr>
          <w:spacing w:val="9"/>
          <w:sz w:val="22"/>
        </w:rPr>
        <w:t> </w:t>
      </w:r>
      <w:r>
        <w:rPr>
          <w:spacing w:val="11"/>
          <w:sz w:val="22"/>
        </w:rPr>
        <w:t>financial </w:t>
      </w:r>
      <w:r>
        <w:rPr>
          <w:sz w:val="22"/>
        </w:rPr>
        <w:t>c</w:t>
      </w:r>
      <w:r>
        <w:rPr>
          <w:spacing w:val="-31"/>
          <w:sz w:val="22"/>
        </w:rPr>
        <w:t> </w:t>
      </w:r>
      <w:r>
        <w:rPr>
          <w:spacing w:val="12"/>
          <w:sz w:val="22"/>
        </w:rPr>
        <w:t>ommitments </w:t>
      </w:r>
      <w:r>
        <w:rPr>
          <w:sz w:val="22"/>
        </w:rPr>
        <w:t>are </w:t>
      </w:r>
      <w:r>
        <w:rPr>
          <w:spacing w:val="9"/>
          <w:sz w:val="22"/>
        </w:rPr>
        <w:t>the </w:t>
      </w:r>
      <w:r>
        <w:rPr>
          <w:spacing w:val="12"/>
          <w:sz w:val="22"/>
        </w:rPr>
        <w:t>purchase </w:t>
      </w:r>
      <w:r>
        <w:rPr>
          <w:sz w:val="22"/>
        </w:rPr>
        <w:t>of a </w:t>
      </w:r>
      <w:r>
        <w:rPr>
          <w:spacing w:val="17"/>
          <w:sz w:val="22"/>
        </w:rPr>
        <w:t>laptop </w:t>
      </w:r>
      <w:r>
        <w:rPr>
          <w:spacing w:val="13"/>
          <w:sz w:val="22"/>
        </w:rPr>
        <w:t>and </w:t>
      </w:r>
      <w:r>
        <w:rPr>
          <w:spacing w:val="11"/>
          <w:sz w:val="22"/>
        </w:rPr>
        <w:t>required </w:t>
      </w:r>
      <w:r>
        <w:rPr>
          <w:spacing w:val="12"/>
          <w:sz w:val="22"/>
        </w:rPr>
        <w:t>software </w:t>
      </w:r>
      <w:r>
        <w:rPr>
          <w:sz w:val="22"/>
        </w:rPr>
        <w:t>prior</w:t>
      </w:r>
    </w:p>
    <w:p>
      <w:pPr>
        <w:spacing w:line="295" w:lineRule="auto" w:before="0"/>
        <w:ind w:left="446" w:right="754" w:firstLine="0"/>
        <w:jc w:val="left"/>
        <w:rPr>
          <w:sz w:val="22"/>
        </w:rPr>
      </w:pPr>
      <w:r>
        <w:rPr>
          <w:sz w:val="22"/>
        </w:rPr>
        <w:t>to </w:t>
      </w:r>
      <w:r>
        <w:rPr>
          <w:spacing w:val="12"/>
          <w:sz w:val="22"/>
        </w:rPr>
        <w:t>sec</w:t>
      </w:r>
      <w:r>
        <w:rPr>
          <w:spacing w:val="-33"/>
          <w:sz w:val="22"/>
        </w:rPr>
        <w:t> </w:t>
      </w:r>
      <w:r>
        <w:rPr>
          <w:spacing w:val="11"/>
          <w:sz w:val="22"/>
        </w:rPr>
        <w:t>ond </w:t>
      </w:r>
      <w:r>
        <w:rPr>
          <w:spacing w:val="9"/>
          <w:sz w:val="22"/>
        </w:rPr>
        <w:t>year, </w:t>
      </w:r>
      <w:r>
        <w:rPr>
          <w:spacing w:val="13"/>
          <w:sz w:val="22"/>
        </w:rPr>
        <w:t>and </w:t>
      </w:r>
      <w:r>
        <w:rPr>
          <w:sz w:val="22"/>
        </w:rPr>
        <w:t>the </w:t>
      </w:r>
      <w:r>
        <w:rPr>
          <w:spacing w:val="10"/>
          <w:sz w:val="22"/>
        </w:rPr>
        <w:t>summer</w:t>
      </w:r>
      <w:r>
        <w:rPr>
          <w:spacing w:val="4"/>
          <w:sz w:val="22"/>
        </w:rPr>
        <w:t> </w:t>
      </w:r>
      <w:r>
        <w:rPr>
          <w:spacing w:val="13"/>
          <w:sz w:val="22"/>
        </w:rPr>
        <w:t>urban</w:t>
      </w:r>
      <w:r>
        <w:rPr>
          <w:spacing w:val="10"/>
          <w:sz w:val="22"/>
        </w:rPr>
        <w:t> travel</w:t>
      </w:r>
      <w:r>
        <w:rPr>
          <w:spacing w:val="-4"/>
          <w:sz w:val="22"/>
        </w:rPr>
        <w:t> </w:t>
      </w:r>
      <w:r>
        <w:rPr>
          <w:spacing w:val="10"/>
          <w:sz w:val="22"/>
        </w:rPr>
        <w:t>studio </w:t>
      </w:r>
      <w:r>
        <w:rPr>
          <w:sz w:val="22"/>
        </w:rPr>
        <w:t>a</w:t>
      </w:r>
      <w:r>
        <w:rPr>
          <w:spacing w:val="-32"/>
          <w:sz w:val="22"/>
        </w:rPr>
        <w:t> </w:t>
      </w:r>
      <w:r>
        <w:rPr>
          <w:sz w:val="22"/>
        </w:rPr>
        <w:t>fter third </w:t>
      </w:r>
      <w:r>
        <w:rPr>
          <w:spacing w:val="9"/>
          <w:sz w:val="22"/>
        </w:rPr>
        <w:t>year.</w:t>
      </w:r>
      <w:r>
        <w:rPr>
          <w:spacing w:val="-4"/>
          <w:sz w:val="22"/>
        </w:rPr>
        <w:t> </w:t>
      </w:r>
      <w:r>
        <w:rPr>
          <w:spacing w:val="10"/>
          <w:sz w:val="22"/>
        </w:rPr>
        <w:t>Both </w:t>
      </w:r>
      <w:r>
        <w:rPr>
          <w:sz w:val="22"/>
        </w:rPr>
        <w:t>are </w:t>
      </w:r>
      <w:r>
        <w:rPr>
          <w:spacing w:val="11"/>
          <w:sz w:val="22"/>
        </w:rPr>
        <w:t>required </w:t>
      </w:r>
      <w:r>
        <w:rPr>
          <w:sz w:val="22"/>
        </w:rPr>
        <w:t>by </w:t>
      </w:r>
      <w:r>
        <w:rPr>
          <w:spacing w:val="9"/>
          <w:sz w:val="22"/>
        </w:rPr>
        <w:t>the </w:t>
      </w:r>
      <w:r>
        <w:rPr>
          <w:spacing w:val="16"/>
          <w:sz w:val="22"/>
        </w:rPr>
        <w:t>dep</w:t>
      </w:r>
      <w:r>
        <w:rPr>
          <w:spacing w:val="-31"/>
          <w:sz w:val="22"/>
        </w:rPr>
        <w:t> </w:t>
      </w:r>
      <w:r>
        <w:rPr>
          <w:spacing w:val="11"/>
          <w:sz w:val="22"/>
        </w:rPr>
        <w:t>artment.</w:t>
      </w:r>
      <w:r>
        <w:rPr>
          <w:spacing w:val="2"/>
          <w:sz w:val="22"/>
        </w:rPr>
        <w:t> </w:t>
      </w:r>
      <w:r>
        <w:rPr>
          <w:sz w:val="22"/>
        </w:rPr>
        <w:t>You will </w:t>
      </w:r>
      <w:r>
        <w:rPr>
          <w:spacing w:val="12"/>
          <w:sz w:val="22"/>
        </w:rPr>
        <w:t>be </w:t>
      </w:r>
      <w:r>
        <w:rPr>
          <w:spacing w:val="9"/>
          <w:sz w:val="22"/>
        </w:rPr>
        <w:t>given </w:t>
      </w:r>
      <w:r>
        <w:rPr>
          <w:spacing w:val="12"/>
          <w:sz w:val="22"/>
        </w:rPr>
        <w:t>specific </w:t>
      </w:r>
      <w:r>
        <w:rPr>
          <w:spacing w:val="10"/>
          <w:sz w:val="22"/>
        </w:rPr>
        <w:t>details</w:t>
      </w:r>
      <w:r>
        <w:rPr>
          <w:spacing w:val="2"/>
          <w:sz w:val="22"/>
        </w:rPr>
        <w:t> </w:t>
      </w:r>
      <w:r>
        <w:rPr>
          <w:sz w:val="22"/>
        </w:rPr>
        <w:t>listing</w:t>
      </w:r>
      <w:r>
        <w:rPr>
          <w:spacing w:val="36"/>
          <w:sz w:val="22"/>
        </w:rPr>
        <w:t> </w:t>
      </w:r>
      <w:r>
        <w:rPr>
          <w:sz w:val="22"/>
        </w:rPr>
        <w:t>c</w:t>
      </w:r>
      <w:r>
        <w:rPr>
          <w:spacing w:val="-31"/>
          <w:sz w:val="22"/>
        </w:rPr>
        <w:t> </w:t>
      </w:r>
      <w:r>
        <w:rPr>
          <w:sz w:val="22"/>
        </w:rPr>
        <w:t>osts </w:t>
      </w:r>
      <w:r>
        <w:rPr>
          <w:spacing w:val="10"/>
          <w:sz w:val="22"/>
        </w:rPr>
        <w:t>at </w:t>
      </w:r>
      <w:r>
        <w:rPr>
          <w:spacing w:val="9"/>
          <w:sz w:val="22"/>
        </w:rPr>
        <w:t>the </w:t>
      </w:r>
      <w:r>
        <w:rPr>
          <w:sz w:val="22"/>
        </w:rPr>
        <w:t>ap</w:t>
      </w:r>
      <w:r>
        <w:rPr>
          <w:spacing w:val="-31"/>
          <w:sz w:val="22"/>
        </w:rPr>
        <w:t> </w:t>
      </w:r>
      <w:r>
        <w:rPr>
          <w:spacing w:val="12"/>
          <w:sz w:val="22"/>
        </w:rPr>
        <w:t>propriate </w:t>
      </w:r>
      <w:r>
        <w:rPr>
          <w:spacing w:val="8"/>
          <w:sz w:val="22"/>
        </w:rPr>
        <w:t>time.</w:t>
      </w:r>
    </w:p>
    <w:p>
      <w:pPr>
        <w:pStyle w:val="BodyText"/>
        <w:spacing w:before="2"/>
        <w:rPr>
          <w:sz w:val="26"/>
        </w:rPr>
      </w:pPr>
    </w:p>
    <w:p>
      <w:pPr>
        <w:spacing w:before="0"/>
        <w:ind w:left="440" w:right="0" w:firstLine="0"/>
        <w:jc w:val="left"/>
        <w:rPr>
          <w:i/>
          <w:sz w:val="22"/>
        </w:rPr>
      </w:pPr>
      <w:r>
        <w:rPr>
          <w:i/>
          <w:spacing w:val="11"/>
          <w:sz w:val="22"/>
        </w:rPr>
        <w:t>How</w:t>
      </w:r>
      <w:r>
        <w:rPr>
          <w:i/>
          <w:spacing w:val="13"/>
          <w:sz w:val="22"/>
        </w:rPr>
        <w:t> </w:t>
      </w:r>
      <w:r>
        <w:rPr>
          <w:i/>
          <w:spacing w:val="15"/>
          <w:sz w:val="22"/>
        </w:rPr>
        <w:t>much</w:t>
      </w:r>
      <w:r>
        <w:rPr>
          <w:i/>
          <w:spacing w:val="9"/>
          <w:sz w:val="22"/>
        </w:rPr>
        <w:t> </w:t>
      </w:r>
      <w:r>
        <w:rPr>
          <w:i/>
          <w:sz w:val="22"/>
        </w:rPr>
        <w:t>of</w:t>
      </w:r>
      <w:r>
        <w:rPr>
          <w:i/>
          <w:spacing w:val="11"/>
          <w:sz w:val="22"/>
        </w:rPr>
        <w:t> </w:t>
      </w:r>
      <w:r>
        <w:rPr>
          <w:i/>
          <w:sz w:val="22"/>
        </w:rPr>
        <w:t>a</w:t>
      </w:r>
      <w:r>
        <w:rPr>
          <w:i/>
          <w:spacing w:val="14"/>
          <w:sz w:val="22"/>
        </w:rPr>
        <w:t> </w:t>
      </w:r>
      <w:r>
        <w:rPr>
          <w:i/>
          <w:spacing w:val="10"/>
          <w:sz w:val="22"/>
        </w:rPr>
        <w:t>time</w:t>
      </w:r>
      <w:r>
        <w:rPr>
          <w:i/>
          <w:spacing w:val="17"/>
          <w:sz w:val="22"/>
        </w:rPr>
        <w:t> </w:t>
      </w:r>
      <w:r>
        <w:rPr>
          <w:i/>
          <w:spacing w:val="14"/>
          <w:sz w:val="22"/>
        </w:rPr>
        <w:t>commitment</w:t>
      </w:r>
      <w:r>
        <w:rPr>
          <w:i/>
          <w:spacing w:val="10"/>
          <w:sz w:val="22"/>
        </w:rPr>
        <w:t> </w:t>
      </w:r>
      <w:r>
        <w:rPr>
          <w:i/>
          <w:sz w:val="22"/>
        </w:rPr>
        <w:t>must</w:t>
      </w:r>
      <w:r>
        <w:rPr>
          <w:i/>
          <w:spacing w:val="1"/>
          <w:sz w:val="22"/>
        </w:rPr>
        <w:t> </w:t>
      </w:r>
      <w:r>
        <w:rPr>
          <w:i/>
          <w:sz w:val="22"/>
        </w:rPr>
        <w:t>I</w:t>
      </w:r>
      <w:r>
        <w:rPr>
          <w:i/>
          <w:spacing w:val="3"/>
          <w:sz w:val="22"/>
        </w:rPr>
        <w:t> </w:t>
      </w:r>
      <w:r>
        <w:rPr>
          <w:i/>
          <w:spacing w:val="12"/>
          <w:sz w:val="22"/>
        </w:rPr>
        <w:t>make</w:t>
      </w:r>
      <w:r>
        <w:rPr>
          <w:i/>
          <w:spacing w:val="10"/>
          <w:sz w:val="22"/>
        </w:rPr>
        <w:t> </w:t>
      </w:r>
      <w:r>
        <w:rPr>
          <w:i/>
          <w:sz w:val="22"/>
        </w:rPr>
        <w:t>to</w:t>
      </w:r>
      <w:r>
        <w:rPr>
          <w:i/>
          <w:spacing w:val="17"/>
          <w:sz w:val="22"/>
        </w:rPr>
        <w:t> </w:t>
      </w:r>
      <w:r>
        <w:rPr>
          <w:i/>
          <w:spacing w:val="12"/>
          <w:sz w:val="22"/>
        </w:rPr>
        <w:t>be</w:t>
      </w:r>
      <w:r>
        <w:rPr>
          <w:i/>
          <w:spacing w:val="4"/>
          <w:sz w:val="22"/>
        </w:rPr>
        <w:t> </w:t>
      </w:r>
      <w:r>
        <w:rPr>
          <w:i/>
          <w:spacing w:val="10"/>
          <w:sz w:val="22"/>
        </w:rPr>
        <w:t>successful</w:t>
      </w:r>
      <w:r>
        <w:rPr>
          <w:i/>
          <w:spacing w:val="8"/>
          <w:sz w:val="22"/>
        </w:rPr>
        <w:t> </w:t>
      </w:r>
      <w:r>
        <w:rPr>
          <w:i/>
          <w:spacing w:val="10"/>
          <w:sz w:val="22"/>
        </w:rPr>
        <w:t>at</w:t>
      </w:r>
      <w:r>
        <w:rPr>
          <w:i/>
          <w:spacing w:val="7"/>
          <w:sz w:val="22"/>
        </w:rPr>
        <w:t> </w:t>
      </w:r>
      <w:r>
        <w:rPr>
          <w:i/>
          <w:sz w:val="22"/>
        </w:rPr>
        <w:t>this</w:t>
      </w:r>
      <w:r>
        <w:rPr>
          <w:i/>
          <w:spacing w:val="5"/>
          <w:sz w:val="22"/>
        </w:rPr>
        <w:t> </w:t>
      </w:r>
      <w:r>
        <w:rPr>
          <w:i/>
          <w:spacing w:val="8"/>
          <w:sz w:val="22"/>
        </w:rPr>
        <w:t>major?</w:t>
      </w:r>
    </w:p>
    <w:p>
      <w:pPr>
        <w:pStyle w:val="BodyText"/>
        <w:spacing w:before="1"/>
        <w:rPr>
          <w:i/>
          <w:sz w:val="32"/>
        </w:rPr>
      </w:pPr>
    </w:p>
    <w:p>
      <w:pPr>
        <w:spacing w:before="0"/>
        <w:ind w:left="448" w:right="0" w:firstLine="0"/>
        <w:jc w:val="left"/>
        <w:rPr>
          <w:sz w:val="22"/>
        </w:rPr>
      </w:pPr>
      <w:r>
        <w:rPr>
          <w:sz w:val="22"/>
        </w:rPr>
        <w:t>As</w:t>
      </w:r>
      <w:r>
        <w:rPr>
          <w:spacing w:val="6"/>
          <w:sz w:val="22"/>
        </w:rPr>
        <w:t> </w:t>
      </w:r>
      <w:r>
        <w:rPr>
          <w:sz w:val="22"/>
        </w:rPr>
        <w:t>a</w:t>
      </w:r>
      <w:r>
        <w:rPr>
          <w:spacing w:val="19"/>
          <w:sz w:val="22"/>
        </w:rPr>
        <w:t> </w:t>
      </w:r>
      <w:r>
        <w:rPr>
          <w:spacing w:val="13"/>
          <w:sz w:val="22"/>
        </w:rPr>
        <w:t>general</w:t>
      </w:r>
      <w:r>
        <w:rPr>
          <w:spacing w:val="-4"/>
          <w:sz w:val="22"/>
        </w:rPr>
        <w:t> </w:t>
      </w:r>
      <w:r>
        <w:rPr>
          <w:sz w:val="22"/>
        </w:rPr>
        <w:t>rule</w:t>
      </w:r>
      <w:r>
        <w:rPr>
          <w:spacing w:val="14"/>
          <w:sz w:val="22"/>
        </w:rPr>
        <w:t> </w:t>
      </w:r>
      <w:r>
        <w:rPr>
          <w:sz w:val="22"/>
        </w:rPr>
        <w:t>of</w:t>
      </w:r>
      <w:r>
        <w:rPr>
          <w:spacing w:val="4"/>
          <w:sz w:val="22"/>
        </w:rPr>
        <w:t> </w:t>
      </w:r>
      <w:r>
        <w:rPr>
          <w:spacing w:val="12"/>
          <w:sz w:val="22"/>
        </w:rPr>
        <w:t>thumb,</w:t>
      </w:r>
      <w:r>
        <w:rPr>
          <w:spacing w:val="3"/>
          <w:sz w:val="22"/>
        </w:rPr>
        <w:t> </w:t>
      </w:r>
      <w:r>
        <w:rPr>
          <w:spacing w:val="12"/>
          <w:sz w:val="22"/>
        </w:rPr>
        <w:t>ea</w:t>
      </w:r>
      <w:r>
        <w:rPr>
          <w:spacing w:val="-31"/>
          <w:sz w:val="22"/>
        </w:rPr>
        <w:t> </w:t>
      </w:r>
      <w:r>
        <w:rPr>
          <w:spacing w:val="10"/>
          <w:sz w:val="22"/>
        </w:rPr>
        <w:t>ch</w:t>
      </w:r>
      <w:r>
        <w:rPr>
          <w:spacing w:val="14"/>
          <w:sz w:val="22"/>
        </w:rPr>
        <w:t> </w:t>
      </w:r>
      <w:r>
        <w:rPr>
          <w:spacing w:val="11"/>
          <w:sz w:val="22"/>
        </w:rPr>
        <w:t>credit</w:t>
      </w:r>
      <w:r>
        <w:rPr>
          <w:spacing w:val="5"/>
          <w:sz w:val="22"/>
        </w:rPr>
        <w:t> </w:t>
      </w:r>
      <w:r>
        <w:rPr>
          <w:spacing w:val="9"/>
          <w:sz w:val="22"/>
        </w:rPr>
        <w:t>hour</w:t>
      </w:r>
      <w:r>
        <w:rPr>
          <w:spacing w:val="6"/>
          <w:sz w:val="22"/>
        </w:rPr>
        <w:t> </w:t>
      </w:r>
      <w:r>
        <w:rPr>
          <w:spacing w:val="11"/>
          <w:sz w:val="22"/>
        </w:rPr>
        <w:t>per</w:t>
      </w:r>
      <w:r>
        <w:rPr>
          <w:spacing w:val="9"/>
          <w:sz w:val="22"/>
        </w:rPr>
        <w:t> </w:t>
      </w:r>
      <w:r>
        <w:rPr>
          <w:sz w:val="22"/>
        </w:rPr>
        <w:t>class</w:t>
      </w:r>
      <w:r>
        <w:rPr>
          <w:spacing w:val="-5"/>
          <w:sz w:val="22"/>
        </w:rPr>
        <w:t> </w:t>
      </w:r>
      <w:r>
        <w:rPr>
          <w:spacing w:val="9"/>
          <w:sz w:val="22"/>
        </w:rPr>
        <w:t>requires</w:t>
      </w:r>
      <w:r>
        <w:rPr>
          <w:spacing w:val="8"/>
          <w:sz w:val="22"/>
        </w:rPr>
        <w:t> </w:t>
      </w:r>
      <w:r>
        <w:rPr>
          <w:spacing w:val="12"/>
          <w:sz w:val="22"/>
        </w:rPr>
        <w:t>ap</w:t>
      </w:r>
      <w:r>
        <w:rPr>
          <w:spacing w:val="-33"/>
          <w:sz w:val="22"/>
        </w:rPr>
        <w:t> </w:t>
      </w:r>
      <w:r>
        <w:rPr>
          <w:spacing w:val="10"/>
          <w:sz w:val="22"/>
        </w:rPr>
        <w:t>proximately</w:t>
      </w:r>
      <w:r>
        <w:rPr>
          <w:spacing w:val="-3"/>
          <w:sz w:val="22"/>
        </w:rPr>
        <w:t> </w:t>
      </w:r>
      <w:r>
        <w:rPr>
          <w:sz w:val="22"/>
        </w:rPr>
        <w:t>2 to</w:t>
      </w:r>
      <w:r>
        <w:rPr>
          <w:spacing w:val="4"/>
          <w:sz w:val="22"/>
        </w:rPr>
        <w:t> </w:t>
      </w:r>
      <w:r>
        <w:rPr>
          <w:spacing w:val="-10"/>
          <w:sz w:val="22"/>
        </w:rPr>
        <w:t>3</w:t>
      </w:r>
    </w:p>
    <w:p>
      <w:pPr>
        <w:spacing w:line="292" w:lineRule="auto" w:before="56"/>
        <w:ind w:left="443" w:right="712" w:firstLine="1"/>
        <w:jc w:val="left"/>
        <w:rPr>
          <w:sz w:val="22"/>
        </w:rPr>
      </w:pPr>
      <w:r>
        <w:rPr>
          <w:sz w:val="22"/>
        </w:rPr>
        <w:t>hours of </w:t>
      </w:r>
      <w:r>
        <w:rPr>
          <w:spacing w:val="10"/>
          <w:sz w:val="22"/>
        </w:rPr>
        <w:t>outside </w:t>
      </w:r>
      <w:r>
        <w:rPr>
          <w:sz w:val="22"/>
        </w:rPr>
        <w:t>class work </w:t>
      </w:r>
      <w:r>
        <w:rPr>
          <w:spacing w:val="11"/>
          <w:sz w:val="22"/>
        </w:rPr>
        <w:t>per</w:t>
      </w:r>
      <w:r>
        <w:rPr>
          <w:spacing w:val="9"/>
          <w:sz w:val="22"/>
        </w:rPr>
        <w:t> </w:t>
      </w:r>
      <w:r>
        <w:rPr>
          <w:spacing w:val="10"/>
          <w:sz w:val="22"/>
        </w:rPr>
        <w:t>week.</w:t>
      </w:r>
      <w:r>
        <w:rPr>
          <w:spacing w:val="-5"/>
          <w:sz w:val="22"/>
        </w:rPr>
        <w:t> </w:t>
      </w:r>
      <w:r>
        <w:rPr>
          <w:sz w:val="22"/>
        </w:rPr>
        <w:t>So,</w:t>
      </w:r>
      <w:r>
        <w:rPr>
          <w:spacing w:val="-5"/>
          <w:sz w:val="22"/>
        </w:rPr>
        <w:t> </w:t>
      </w:r>
      <w:r>
        <w:rPr>
          <w:sz w:val="22"/>
        </w:rPr>
        <w:t>if you are </w:t>
      </w:r>
      <w:r>
        <w:rPr>
          <w:spacing w:val="9"/>
          <w:sz w:val="22"/>
        </w:rPr>
        <w:t>taking </w:t>
      </w:r>
      <w:r>
        <w:rPr>
          <w:sz w:val="22"/>
        </w:rPr>
        <w:t>18 </w:t>
      </w:r>
      <w:r>
        <w:rPr>
          <w:spacing w:val="11"/>
          <w:sz w:val="22"/>
        </w:rPr>
        <w:t>credit</w:t>
      </w:r>
      <w:r>
        <w:rPr>
          <w:spacing w:val="6"/>
          <w:sz w:val="22"/>
        </w:rPr>
        <w:t> </w:t>
      </w:r>
      <w:r>
        <w:rPr>
          <w:sz w:val="22"/>
        </w:rPr>
        <w:t>hours this</w:t>
      </w:r>
      <w:r>
        <w:rPr>
          <w:spacing w:val="-3"/>
          <w:sz w:val="22"/>
        </w:rPr>
        <w:t> </w:t>
      </w:r>
      <w:r>
        <w:rPr>
          <w:spacing w:val="11"/>
          <w:sz w:val="22"/>
        </w:rPr>
        <w:t>semester </w:t>
      </w:r>
      <w:r>
        <w:rPr>
          <w:spacing w:val="9"/>
          <w:sz w:val="22"/>
        </w:rPr>
        <w:t>you should </w:t>
      </w:r>
      <w:r>
        <w:rPr>
          <w:spacing w:val="11"/>
          <w:sz w:val="22"/>
        </w:rPr>
        <w:t>plan </w:t>
      </w:r>
      <w:r>
        <w:rPr>
          <w:sz w:val="22"/>
        </w:rPr>
        <w:t>to </w:t>
      </w:r>
      <w:r>
        <w:rPr>
          <w:spacing w:val="14"/>
          <w:sz w:val="22"/>
        </w:rPr>
        <w:t>spend </w:t>
      </w:r>
      <w:r>
        <w:rPr>
          <w:spacing w:val="15"/>
          <w:sz w:val="22"/>
        </w:rPr>
        <w:t>upwards </w:t>
      </w:r>
      <w:r>
        <w:rPr>
          <w:sz w:val="22"/>
        </w:rPr>
        <w:t>of 54 hours </w:t>
      </w:r>
      <w:r>
        <w:rPr>
          <w:spacing w:val="10"/>
          <w:sz w:val="22"/>
        </w:rPr>
        <w:t>outside </w:t>
      </w:r>
      <w:r>
        <w:rPr>
          <w:spacing w:val="9"/>
          <w:sz w:val="22"/>
        </w:rPr>
        <w:t>the </w:t>
      </w:r>
      <w:r>
        <w:rPr>
          <w:sz w:val="22"/>
        </w:rPr>
        <w:t>classroom</w:t>
      </w:r>
      <w:r>
        <w:rPr>
          <w:spacing w:val="12"/>
          <w:sz w:val="22"/>
        </w:rPr>
        <w:t> ea</w:t>
      </w:r>
      <w:r>
        <w:rPr>
          <w:spacing w:val="-28"/>
          <w:sz w:val="22"/>
        </w:rPr>
        <w:t> </w:t>
      </w:r>
      <w:r>
        <w:rPr>
          <w:spacing w:val="11"/>
          <w:sz w:val="22"/>
        </w:rPr>
        <w:t>ch </w:t>
      </w:r>
      <w:r>
        <w:rPr>
          <w:spacing w:val="10"/>
          <w:sz w:val="22"/>
        </w:rPr>
        <w:t>week</w:t>
      </w:r>
    </w:p>
    <w:p>
      <w:pPr>
        <w:spacing w:before="5"/>
        <w:ind w:left="439" w:right="0" w:firstLine="0"/>
        <w:jc w:val="left"/>
        <w:rPr>
          <w:sz w:val="22"/>
        </w:rPr>
      </w:pPr>
      <w:r>
        <w:rPr>
          <w:spacing w:val="10"/>
          <w:sz w:val="22"/>
        </w:rPr>
        <w:t>studying,</w:t>
      </w:r>
      <w:r>
        <w:rPr>
          <w:spacing w:val="8"/>
          <w:sz w:val="22"/>
        </w:rPr>
        <w:t> </w:t>
      </w:r>
      <w:r>
        <w:rPr>
          <w:sz w:val="22"/>
        </w:rPr>
        <w:t>c</w:t>
      </w:r>
      <w:r>
        <w:rPr>
          <w:spacing w:val="-33"/>
          <w:sz w:val="22"/>
        </w:rPr>
        <w:t> </w:t>
      </w:r>
      <w:r>
        <w:rPr>
          <w:spacing w:val="12"/>
          <w:sz w:val="22"/>
        </w:rPr>
        <w:t>ompleting</w:t>
      </w:r>
      <w:r>
        <w:rPr>
          <w:spacing w:val="22"/>
          <w:sz w:val="22"/>
        </w:rPr>
        <w:t> </w:t>
      </w:r>
      <w:r>
        <w:rPr>
          <w:spacing w:val="10"/>
          <w:sz w:val="22"/>
        </w:rPr>
        <w:t>projects,</w:t>
      </w:r>
      <w:r>
        <w:rPr>
          <w:spacing w:val="5"/>
          <w:sz w:val="22"/>
        </w:rPr>
        <w:t> </w:t>
      </w:r>
      <w:r>
        <w:rPr>
          <w:spacing w:val="13"/>
          <w:sz w:val="22"/>
        </w:rPr>
        <w:t>etc.</w:t>
      </w:r>
      <w:r>
        <w:rPr>
          <w:spacing w:val="-5"/>
          <w:sz w:val="22"/>
        </w:rPr>
        <w:t> </w:t>
      </w:r>
      <w:r>
        <w:rPr>
          <w:spacing w:val="12"/>
          <w:sz w:val="22"/>
        </w:rPr>
        <w:t>Bec</w:t>
      </w:r>
      <w:r>
        <w:rPr>
          <w:spacing w:val="-33"/>
          <w:sz w:val="22"/>
        </w:rPr>
        <w:t> </w:t>
      </w:r>
      <w:r>
        <w:rPr>
          <w:sz w:val="22"/>
        </w:rPr>
        <w:t>ause</w:t>
      </w:r>
      <w:r>
        <w:rPr>
          <w:spacing w:val="19"/>
          <w:sz w:val="22"/>
        </w:rPr>
        <w:t> </w:t>
      </w:r>
      <w:r>
        <w:rPr>
          <w:spacing w:val="15"/>
          <w:sz w:val="22"/>
        </w:rPr>
        <w:t>much</w:t>
      </w:r>
      <w:r>
        <w:rPr>
          <w:spacing w:val="12"/>
          <w:sz w:val="22"/>
        </w:rPr>
        <w:t> </w:t>
      </w:r>
      <w:r>
        <w:rPr>
          <w:sz w:val="22"/>
        </w:rPr>
        <w:t>of</w:t>
      </w:r>
      <w:r>
        <w:rPr>
          <w:spacing w:val="6"/>
          <w:sz w:val="22"/>
        </w:rPr>
        <w:t> </w:t>
      </w:r>
      <w:r>
        <w:rPr>
          <w:spacing w:val="9"/>
          <w:sz w:val="22"/>
        </w:rPr>
        <w:t>the</w:t>
      </w:r>
      <w:r>
        <w:rPr>
          <w:spacing w:val="22"/>
          <w:sz w:val="22"/>
        </w:rPr>
        <w:t> </w:t>
      </w:r>
      <w:r>
        <w:rPr>
          <w:sz w:val="22"/>
        </w:rPr>
        <w:t>c</w:t>
      </w:r>
      <w:r>
        <w:rPr>
          <w:spacing w:val="-33"/>
          <w:sz w:val="22"/>
        </w:rPr>
        <w:t> </w:t>
      </w:r>
      <w:r>
        <w:rPr>
          <w:sz w:val="22"/>
        </w:rPr>
        <w:t>ourse</w:t>
      </w:r>
      <w:r>
        <w:rPr>
          <w:spacing w:val="18"/>
          <w:sz w:val="22"/>
        </w:rPr>
        <w:t> </w:t>
      </w:r>
      <w:r>
        <w:rPr>
          <w:sz w:val="22"/>
        </w:rPr>
        <w:t>work</w:t>
      </w:r>
      <w:r>
        <w:rPr>
          <w:spacing w:val="-4"/>
          <w:sz w:val="22"/>
        </w:rPr>
        <w:t> </w:t>
      </w:r>
      <w:r>
        <w:rPr>
          <w:sz w:val="22"/>
        </w:rPr>
        <w:t>in</w:t>
      </w:r>
      <w:r>
        <w:rPr>
          <w:spacing w:val="9"/>
          <w:sz w:val="22"/>
        </w:rPr>
        <w:t> </w:t>
      </w:r>
      <w:r>
        <w:rPr>
          <w:spacing w:val="4"/>
          <w:sz w:val="22"/>
        </w:rPr>
        <w:t>the</w:t>
      </w:r>
    </w:p>
    <w:p>
      <w:pPr>
        <w:spacing w:line="292" w:lineRule="auto" w:before="56"/>
        <w:ind w:left="456" w:right="1003" w:hanging="2"/>
        <w:jc w:val="left"/>
        <w:rPr>
          <w:sz w:val="22"/>
        </w:rPr>
      </w:pPr>
      <w:r>
        <w:rPr>
          <w:spacing w:val="16"/>
          <w:sz w:val="22"/>
        </w:rPr>
        <w:t>dep</w:t>
      </w:r>
      <w:r>
        <w:rPr>
          <w:spacing w:val="-33"/>
          <w:sz w:val="22"/>
        </w:rPr>
        <w:t> </w:t>
      </w:r>
      <w:r>
        <w:rPr>
          <w:spacing w:val="12"/>
          <w:sz w:val="22"/>
        </w:rPr>
        <w:t>artment</w:t>
      </w:r>
      <w:r>
        <w:rPr>
          <w:spacing w:val="-9"/>
          <w:sz w:val="22"/>
        </w:rPr>
        <w:t> </w:t>
      </w:r>
      <w:r>
        <w:rPr>
          <w:sz w:val="22"/>
        </w:rPr>
        <w:t>is </w:t>
      </w:r>
      <w:r>
        <w:rPr>
          <w:spacing w:val="13"/>
          <w:sz w:val="22"/>
        </w:rPr>
        <w:t>project</w:t>
      </w:r>
      <w:r>
        <w:rPr>
          <w:spacing w:val="9"/>
          <w:sz w:val="22"/>
        </w:rPr>
        <w:t> </w:t>
      </w:r>
      <w:r>
        <w:rPr>
          <w:spacing w:val="11"/>
          <w:sz w:val="22"/>
        </w:rPr>
        <w:t>oriented</w:t>
      </w:r>
      <w:r>
        <w:rPr>
          <w:spacing w:val="6"/>
          <w:sz w:val="22"/>
        </w:rPr>
        <w:t> </w:t>
      </w:r>
      <w:r>
        <w:rPr>
          <w:sz w:val="22"/>
        </w:rPr>
        <w:t>it</w:t>
      </w:r>
      <w:r>
        <w:rPr>
          <w:spacing w:val="-4"/>
          <w:sz w:val="22"/>
        </w:rPr>
        <w:t> </w:t>
      </w:r>
      <w:r>
        <w:rPr>
          <w:sz w:val="22"/>
        </w:rPr>
        <w:t>is</w:t>
      </w:r>
      <w:r>
        <w:rPr>
          <w:spacing w:val="-7"/>
          <w:sz w:val="22"/>
        </w:rPr>
        <w:t> </w:t>
      </w:r>
      <w:r>
        <w:rPr>
          <w:spacing w:val="14"/>
          <w:sz w:val="22"/>
        </w:rPr>
        <w:t>important</w:t>
      </w:r>
      <w:r>
        <w:rPr>
          <w:spacing w:val="4"/>
          <w:sz w:val="22"/>
        </w:rPr>
        <w:t> </w:t>
      </w:r>
      <w:r>
        <w:rPr>
          <w:spacing w:val="11"/>
          <w:sz w:val="22"/>
        </w:rPr>
        <w:t>not</w:t>
      </w:r>
      <w:r>
        <w:rPr>
          <w:spacing w:val="5"/>
          <w:sz w:val="22"/>
        </w:rPr>
        <w:t> </w:t>
      </w:r>
      <w:r>
        <w:rPr>
          <w:sz w:val="22"/>
        </w:rPr>
        <w:t>to </w:t>
      </w:r>
      <w:r>
        <w:rPr>
          <w:spacing w:val="12"/>
          <w:sz w:val="22"/>
        </w:rPr>
        <w:t>procrastinate </w:t>
      </w:r>
      <w:r>
        <w:rPr>
          <w:spacing w:val="15"/>
          <w:sz w:val="22"/>
        </w:rPr>
        <w:t>about</w:t>
      </w:r>
      <w:r>
        <w:rPr>
          <w:spacing w:val="12"/>
          <w:sz w:val="22"/>
        </w:rPr>
        <w:t> </w:t>
      </w:r>
      <w:r>
        <w:rPr>
          <w:spacing w:val="16"/>
          <w:sz w:val="22"/>
        </w:rPr>
        <w:t>dea</w:t>
      </w:r>
      <w:r>
        <w:rPr>
          <w:spacing w:val="-33"/>
          <w:sz w:val="22"/>
        </w:rPr>
        <w:t> </w:t>
      </w:r>
      <w:r>
        <w:rPr>
          <w:sz w:val="22"/>
        </w:rPr>
        <w:t>dlines.</w:t>
      </w:r>
      <w:r>
        <w:rPr>
          <w:spacing w:val="-10"/>
          <w:sz w:val="22"/>
        </w:rPr>
        <w:t> </w:t>
      </w:r>
      <w:r>
        <w:rPr>
          <w:sz w:val="22"/>
        </w:rPr>
        <w:t>It c</w:t>
      </w:r>
      <w:r>
        <w:rPr>
          <w:spacing w:val="-23"/>
          <w:sz w:val="22"/>
        </w:rPr>
        <w:t> </w:t>
      </w:r>
      <w:r>
        <w:rPr>
          <w:spacing w:val="10"/>
          <w:sz w:val="22"/>
        </w:rPr>
        <w:t>an </w:t>
      </w:r>
      <w:r>
        <w:rPr>
          <w:spacing w:val="11"/>
          <w:sz w:val="22"/>
        </w:rPr>
        <w:t>be </w:t>
      </w:r>
      <w:r>
        <w:rPr>
          <w:spacing w:val="16"/>
          <w:sz w:val="22"/>
        </w:rPr>
        <w:t>expected </w:t>
      </w:r>
      <w:r>
        <w:rPr>
          <w:spacing w:val="13"/>
          <w:sz w:val="22"/>
        </w:rPr>
        <w:t>that </w:t>
      </w:r>
      <w:r>
        <w:rPr>
          <w:spacing w:val="11"/>
          <w:sz w:val="22"/>
        </w:rPr>
        <w:t>around midterm, </w:t>
      </w:r>
      <w:r>
        <w:rPr>
          <w:sz w:val="22"/>
        </w:rPr>
        <w:t>finals, </w:t>
      </w:r>
      <w:r>
        <w:rPr>
          <w:spacing w:val="13"/>
          <w:sz w:val="22"/>
        </w:rPr>
        <w:t>and </w:t>
      </w:r>
      <w:r>
        <w:rPr>
          <w:spacing w:val="11"/>
          <w:sz w:val="22"/>
        </w:rPr>
        <w:t>major </w:t>
      </w:r>
      <w:r>
        <w:rPr>
          <w:spacing w:val="15"/>
          <w:sz w:val="22"/>
        </w:rPr>
        <w:t>dea</w:t>
      </w:r>
      <w:r>
        <w:rPr>
          <w:spacing w:val="-27"/>
          <w:sz w:val="22"/>
        </w:rPr>
        <w:t> </w:t>
      </w:r>
      <w:r>
        <w:rPr>
          <w:sz w:val="22"/>
        </w:rPr>
        <w:t>dlines your </w:t>
      </w:r>
      <w:r>
        <w:rPr>
          <w:spacing w:val="10"/>
          <w:sz w:val="22"/>
        </w:rPr>
        <w:t>time</w:t>
      </w:r>
    </w:p>
    <w:p>
      <w:pPr>
        <w:spacing w:before="2"/>
        <w:ind w:left="456" w:right="0" w:firstLine="0"/>
        <w:jc w:val="left"/>
        <w:rPr>
          <w:sz w:val="22"/>
        </w:rPr>
      </w:pPr>
      <w:r>
        <w:rPr>
          <w:sz w:val="22"/>
        </w:rPr>
        <w:t>c</w:t>
      </w:r>
      <w:r>
        <w:rPr>
          <w:spacing w:val="-33"/>
          <w:sz w:val="22"/>
        </w:rPr>
        <w:t> </w:t>
      </w:r>
      <w:r>
        <w:rPr>
          <w:spacing w:val="12"/>
          <w:sz w:val="22"/>
        </w:rPr>
        <w:t>ommitment</w:t>
      </w:r>
      <w:r>
        <w:rPr>
          <w:spacing w:val="15"/>
          <w:sz w:val="22"/>
        </w:rPr>
        <w:t> </w:t>
      </w:r>
      <w:r>
        <w:rPr>
          <w:spacing w:val="14"/>
          <w:sz w:val="22"/>
        </w:rPr>
        <w:t>may</w:t>
      </w:r>
      <w:r>
        <w:rPr>
          <w:spacing w:val="15"/>
          <w:sz w:val="22"/>
        </w:rPr>
        <w:t> </w:t>
      </w:r>
      <w:r>
        <w:rPr>
          <w:spacing w:val="11"/>
          <w:sz w:val="22"/>
        </w:rPr>
        <w:t>greaten.</w:t>
      </w:r>
    </w:p>
    <w:p>
      <w:pPr>
        <w:pStyle w:val="BodyText"/>
        <w:spacing w:before="1"/>
        <w:rPr>
          <w:sz w:val="32"/>
        </w:rPr>
      </w:pPr>
    </w:p>
    <w:p>
      <w:pPr>
        <w:spacing w:before="0"/>
        <w:ind w:left="450" w:right="0" w:firstLine="0"/>
        <w:jc w:val="left"/>
        <w:rPr>
          <w:i/>
          <w:sz w:val="22"/>
        </w:rPr>
      </w:pPr>
      <w:r>
        <w:rPr>
          <w:i/>
          <w:spacing w:val="14"/>
          <w:sz w:val="22"/>
        </w:rPr>
        <w:t>Can</w:t>
      </w:r>
      <w:r>
        <w:rPr>
          <w:i/>
          <w:spacing w:val="8"/>
          <w:sz w:val="22"/>
        </w:rPr>
        <w:t> </w:t>
      </w:r>
      <w:r>
        <w:rPr>
          <w:i/>
          <w:sz w:val="22"/>
        </w:rPr>
        <w:t>I</w:t>
      </w:r>
      <w:r>
        <w:rPr>
          <w:i/>
          <w:spacing w:val="15"/>
          <w:sz w:val="22"/>
        </w:rPr>
        <w:t> </w:t>
      </w:r>
      <w:r>
        <w:rPr>
          <w:i/>
          <w:sz w:val="22"/>
        </w:rPr>
        <w:t>work</w:t>
      </w:r>
      <w:r>
        <w:rPr>
          <w:i/>
          <w:spacing w:val="17"/>
          <w:sz w:val="22"/>
        </w:rPr>
        <w:t> </w:t>
      </w:r>
      <w:r>
        <w:rPr>
          <w:i/>
          <w:spacing w:val="13"/>
          <w:sz w:val="22"/>
        </w:rPr>
        <w:t>and</w:t>
      </w:r>
      <w:r>
        <w:rPr>
          <w:i/>
          <w:spacing w:val="32"/>
          <w:sz w:val="22"/>
        </w:rPr>
        <w:t> </w:t>
      </w:r>
      <w:r>
        <w:rPr>
          <w:i/>
          <w:spacing w:val="12"/>
          <w:sz w:val="22"/>
        </w:rPr>
        <w:t>go</w:t>
      </w:r>
      <w:r>
        <w:rPr>
          <w:i/>
          <w:spacing w:val="20"/>
          <w:sz w:val="22"/>
        </w:rPr>
        <w:t> </w:t>
      </w:r>
      <w:r>
        <w:rPr>
          <w:i/>
          <w:sz w:val="22"/>
        </w:rPr>
        <w:t>to</w:t>
      </w:r>
      <w:r>
        <w:rPr>
          <w:i/>
          <w:spacing w:val="14"/>
          <w:sz w:val="22"/>
        </w:rPr>
        <w:t> </w:t>
      </w:r>
      <w:r>
        <w:rPr>
          <w:i/>
          <w:spacing w:val="9"/>
          <w:sz w:val="22"/>
        </w:rPr>
        <w:t>school?</w:t>
      </w:r>
    </w:p>
    <w:p>
      <w:pPr>
        <w:pStyle w:val="BodyText"/>
        <w:spacing w:before="9"/>
        <w:rPr>
          <w:i/>
          <w:sz w:val="31"/>
        </w:rPr>
      </w:pPr>
    </w:p>
    <w:p>
      <w:pPr>
        <w:spacing w:before="0"/>
        <w:ind w:left="440" w:right="0" w:firstLine="0"/>
        <w:jc w:val="left"/>
        <w:rPr>
          <w:sz w:val="22"/>
        </w:rPr>
      </w:pPr>
      <w:r>
        <w:rPr>
          <w:sz w:val="22"/>
        </w:rPr>
        <w:t>To</w:t>
      </w:r>
      <w:r>
        <w:rPr>
          <w:spacing w:val="17"/>
          <w:sz w:val="22"/>
        </w:rPr>
        <w:t> </w:t>
      </w:r>
      <w:r>
        <w:rPr>
          <w:sz w:val="22"/>
        </w:rPr>
        <w:t>c</w:t>
      </w:r>
      <w:r>
        <w:rPr>
          <w:spacing w:val="-33"/>
          <w:sz w:val="22"/>
        </w:rPr>
        <w:t> </w:t>
      </w:r>
      <w:r>
        <w:rPr>
          <w:spacing w:val="14"/>
          <w:sz w:val="22"/>
        </w:rPr>
        <w:t>omplete</w:t>
      </w:r>
      <w:r>
        <w:rPr>
          <w:spacing w:val="13"/>
          <w:sz w:val="22"/>
        </w:rPr>
        <w:t> </w:t>
      </w:r>
      <w:r>
        <w:rPr>
          <w:sz w:val="22"/>
        </w:rPr>
        <w:t>this</w:t>
      </w:r>
      <w:r>
        <w:rPr>
          <w:spacing w:val="10"/>
          <w:sz w:val="22"/>
        </w:rPr>
        <w:t> </w:t>
      </w:r>
      <w:r>
        <w:rPr>
          <w:spacing w:val="13"/>
          <w:sz w:val="22"/>
        </w:rPr>
        <w:t>program</w:t>
      </w:r>
      <w:r>
        <w:rPr>
          <w:spacing w:val="6"/>
          <w:sz w:val="22"/>
        </w:rPr>
        <w:t> </w:t>
      </w:r>
      <w:r>
        <w:rPr>
          <w:sz w:val="22"/>
        </w:rPr>
        <w:t>in</w:t>
      </w:r>
      <w:r>
        <w:rPr>
          <w:spacing w:val="1"/>
          <w:sz w:val="22"/>
        </w:rPr>
        <w:t> </w:t>
      </w:r>
      <w:r>
        <w:rPr>
          <w:sz w:val="22"/>
        </w:rPr>
        <w:t>5</w:t>
      </w:r>
      <w:r>
        <w:rPr>
          <w:spacing w:val="-3"/>
          <w:sz w:val="22"/>
        </w:rPr>
        <w:t> </w:t>
      </w:r>
      <w:r>
        <w:rPr>
          <w:sz w:val="22"/>
        </w:rPr>
        <w:t>½</w:t>
      </w:r>
      <w:r>
        <w:rPr>
          <w:spacing w:val="-2"/>
          <w:sz w:val="22"/>
        </w:rPr>
        <w:t> </w:t>
      </w:r>
      <w:r>
        <w:rPr>
          <w:sz w:val="22"/>
        </w:rPr>
        <w:t>years,</w:t>
      </w:r>
      <w:r>
        <w:rPr>
          <w:spacing w:val="6"/>
          <w:sz w:val="22"/>
        </w:rPr>
        <w:t> </w:t>
      </w:r>
      <w:r>
        <w:rPr>
          <w:sz w:val="22"/>
        </w:rPr>
        <w:t>working</w:t>
      </w:r>
      <w:r>
        <w:rPr>
          <w:spacing w:val="23"/>
          <w:sz w:val="22"/>
        </w:rPr>
        <w:t> </w:t>
      </w:r>
      <w:r>
        <w:rPr>
          <w:spacing w:val="13"/>
          <w:sz w:val="22"/>
        </w:rPr>
        <w:t>and</w:t>
      </w:r>
      <w:r>
        <w:rPr>
          <w:spacing w:val="-30"/>
          <w:sz w:val="22"/>
        </w:rPr>
        <w:t> </w:t>
      </w:r>
      <w:r>
        <w:rPr>
          <w:sz w:val="22"/>
        </w:rPr>
        <w:t>/</w:t>
      </w:r>
      <w:r>
        <w:rPr>
          <w:spacing w:val="-34"/>
          <w:sz w:val="22"/>
        </w:rPr>
        <w:t> </w:t>
      </w:r>
      <w:r>
        <w:rPr>
          <w:sz w:val="22"/>
        </w:rPr>
        <w:t>or</w:t>
      </w:r>
      <w:r>
        <w:rPr>
          <w:spacing w:val="9"/>
          <w:sz w:val="22"/>
        </w:rPr>
        <w:t> </w:t>
      </w:r>
      <w:r>
        <w:rPr>
          <w:spacing w:val="13"/>
          <w:sz w:val="22"/>
        </w:rPr>
        <w:t>double</w:t>
      </w:r>
      <w:r>
        <w:rPr>
          <w:spacing w:val="18"/>
          <w:sz w:val="22"/>
        </w:rPr>
        <w:t> </w:t>
      </w:r>
      <w:r>
        <w:rPr>
          <w:spacing w:val="10"/>
          <w:sz w:val="22"/>
        </w:rPr>
        <w:t>majoring</w:t>
      </w:r>
      <w:r>
        <w:rPr>
          <w:spacing w:val="9"/>
          <w:sz w:val="22"/>
        </w:rPr>
        <w:t> </w:t>
      </w:r>
      <w:r>
        <w:rPr>
          <w:sz w:val="22"/>
        </w:rPr>
        <w:t>is</w:t>
      </w:r>
      <w:r>
        <w:rPr>
          <w:spacing w:val="2"/>
          <w:sz w:val="22"/>
        </w:rPr>
        <w:t> </w:t>
      </w:r>
      <w:r>
        <w:rPr>
          <w:spacing w:val="6"/>
          <w:sz w:val="22"/>
        </w:rPr>
        <w:t>not</w:t>
      </w:r>
    </w:p>
    <w:p>
      <w:pPr>
        <w:spacing w:before="59"/>
        <w:ind w:left="440" w:right="0" w:firstLine="0"/>
        <w:jc w:val="left"/>
        <w:rPr>
          <w:sz w:val="22"/>
        </w:rPr>
      </w:pPr>
      <w:r>
        <w:rPr>
          <w:spacing w:val="11"/>
          <w:sz w:val="22"/>
        </w:rPr>
        <w:t>rec</w:t>
      </w:r>
      <w:r>
        <w:rPr>
          <w:spacing w:val="-33"/>
          <w:sz w:val="22"/>
        </w:rPr>
        <w:t> </w:t>
      </w:r>
      <w:r>
        <w:rPr>
          <w:spacing w:val="16"/>
          <w:sz w:val="22"/>
        </w:rPr>
        <w:t>ommended.</w:t>
      </w:r>
      <w:r>
        <w:rPr>
          <w:spacing w:val="42"/>
          <w:sz w:val="22"/>
        </w:rPr>
        <w:t> </w:t>
      </w:r>
      <w:r>
        <w:rPr>
          <w:spacing w:val="12"/>
          <w:sz w:val="22"/>
        </w:rPr>
        <w:t>However,</w:t>
      </w:r>
      <w:r>
        <w:rPr>
          <w:spacing w:val="-8"/>
          <w:sz w:val="22"/>
        </w:rPr>
        <w:t> </w:t>
      </w:r>
      <w:r>
        <w:rPr>
          <w:spacing w:val="11"/>
          <w:sz w:val="22"/>
        </w:rPr>
        <w:t>students</w:t>
      </w:r>
      <w:r>
        <w:rPr>
          <w:spacing w:val="6"/>
          <w:sz w:val="22"/>
        </w:rPr>
        <w:t> </w:t>
      </w:r>
      <w:r>
        <w:rPr>
          <w:spacing w:val="10"/>
          <w:sz w:val="22"/>
        </w:rPr>
        <w:t>who</w:t>
      </w:r>
      <w:r>
        <w:rPr>
          <w:spacing w:val="16"/>
          <w:sz w:val="22"/>
        </w:rPr>
        <w:t> </w:t>
      </w:r>
      <w:r>
        <w:rPr>
          <w:spacing w:val="12"/>
          <w:sz w:val="22"/>
        </w:rPr>
        <w:t>do</w:t>
      </w:r>
      <w:r>
        <w:rPr>
          <w:spacing w:val="18"/>
          <w:sz w:val="22"/>
        </w:rPr>
        <w:t> </w:t>
      </w:r>
      <w:r>
        <w:rPr>
          <w:spacing w:val="11"/>
          <w:sz w:val="22"/>
        </w:rPr>
        <w:t>choose</w:t>
      </w:r>
      <w:r>
        <w:rPr>
          <w:spacing w:val="9"/>
          <w:sz w:val="22"/>
        </w:rPr>
        <w:t> </w:t>
      </w:r>
      <w:r>
        <w:rPr>
          <w:sz w:val="22"/>
        </w:rPr>
        <w:t>to</w:t>
      </w:r>
      <w:r>
        <w:rPr>
          <w:spacing w:val="4"/>
          <w:sz w:val="22"/>
        </w:rPr>
        <w:t> </w:t>
      </w:r>
      <w:r>
        <w:rPr>
          <w:spacing w:val="9"/>
          <w:sz w:val="22"/>
        </w:rPr>
        <w:t>should</w:t>
      </w:r>
      <w:r>
        <w:rPr>
          <w:spacing w:val="19"/>
          <w:sz w:val="22"/>
        </w:rPr>
        <w:t> </w:t>
      </w:r>
      <w:r>
        <w:rPr>
          <w:spacing w:val="12"/>
          <w:sz w:val="22"/>
        </w:rPr>
        <w:t>be</w:t>
      </w:r>
      <w:r>
        <w:rPr>
          <w:spacing w:val="19"/>
          <w:sz w:val="22"/>
        </w:rPr>
        <w:t> </w:t>
      </w:r>
      <w:r>
        <w:rPr>
          <w:sz w:val="22"/>
        </w:rPr>
        <w:t>c</w:t>
      </w:r>
      <w:r>
        <w:rPr>
          <w:spacing w:val="-33"/>
          <w:sz w:val="22"/>
        </w:rPr>
        <w:t> </w:t>
      </w:r>
      <w:r>
        <w:rPr>
          <w:spacing w:val="12"/>
          <w:sz w:val="22"/>
        </w:rPr>
        <w:t>ommitted</w:t>
      </w:r>
      <w:r>
        <w:rPr>
          <w:spacing w:val="13"/>
          <w:sz w:val="22"/>
        </w:rPr>
        <w:t> </w:t>
      </w:r>
      <w:r>
        <w:rPr>
          <w:sz w:val="22"/>
        </w:rPr>
        <w:t>to</w:t>
      </w:r>
      <w:r>
        <w:rPr>
          <w:spacing w:val="8"/>
          <w:sz w:val="22"/>
        </w:rPr>
        <w:t> </w:t>
      </w:r>
      <w:r>
        <w:rPr>
          <w:spacing w:val="4"/>
          <w:sz w:val="22"/>
        </w:rPr>
        <w:t>the</w:t>
      </w:r>
    </w:p>
    <w:p>
      <w:pPr>
        <w:spacing w:line="292" w:lineRule="auto" w:before="57"/>
        <w:ind w:left="440" w:right="642" w:firstLine="13"/>
        <w:jc w:val="left"/>
        <w:rPr>
          <w:sz w:val="22"/>
        </w:rPr>
      </w:pPr>
      <w:r>
        <w:rPr>
          <w:sz w:val="22"/>
        </w:rPr>
        <w:t>possibility of </w:t>
      </w:r>
      <w:r>
        <w:rPr>
          <w:spacing w:val="13"/>
          <w:sz w:val="22"/>
        </w:rPr>
        <w:t>needing </w:t>
      </w:r>
      <w:r>
        <w:rPr>
          <w:spacing w:val="10"/>
          <w:sz w:val="22"/>
        </w:rPr>
        <w:t>more </w:t>
      </w:r>
      <w:r>
        <w:rPr>
          <w:spacing w:val="12"/>
          <w:sz w:val="22"/>
        </w:rPr>
        <w:t>than</w:t>
      </w:r>
      <w:r>
        <w:rPr>
          <w:spacing w:val="2"/>
          <w:sz w:val="22"/>
        </w:rPr>
        <w:t> </w:t>
      </w:r>
      <w:r>
        <w:rPr>
          <w:sz w:val="22"/>
        </w:rPr>
        <w:t>5</w:t>
      </w:r>
      <w:r>
        <w:rPr>
          <w:spacing w:val="-3"/>
          <w:sz w:val="22"/>
        </w:rPr>
        <w:t> </w:t>
      </w:r>
      <w:r>
        <w:rPr>
          <w:sz w:val="22"/>
        </w:rPr>
        <w:t>½</w:t>
      </w:r>
      <w:r>
        <w:rPr>
          <w:spacing w:val="-1"/>
          <w:sz w:val="22"/>
        </w:rPr>
        <w:t> </w:t>
      </w:r>
      <w:r>
        <w:rPr>
          <w:spacing w:val="10"/>
          <w:sz w:val="22"/>
        </w:rPr>
        <w:t>years</w:t>
      </w:r>
      <w:r>
        <w:rPr>
          <w:spacing w:val="3"/>
          <w:sz w:val="22"/>
        </w:rPr>
        <w:t> </w:t>
      </w:r>
      <w:r>
        <w:rPr>
          <w:sz w:val="22"/>
        </w:rPr>
        <w:t>to </w:t>
      </w:r>
      <w:r>
        <w:rPr>
          <w:spacing w:val="9"/>
          <w:sz w:val="22"/>
        </w:rPr>
        <w:t>suc</w:t>
      </w:r>
      <w:r>
        <w:rPr>
          <w:spacing w:val="-30"/>
          <w:sz w:val="22"/>
        </w:rPr>
        <w:t> </w:t>
      </w:r>
      <w:r>
        <w:rPr>
          <w:sz w:val="22"/>
        </w:rPr>
        <w:t>c</w:t>
      </w:r>
      <w:r>
        <w:rPr>
          <w:spacing w:val="-34"/>
          <w:sz w:val="22"/>
        </w:rPr>
        <w:t> </w:t>
      </w:r>
      <w:r>
        <w:rPr>
          <w:sz w:val="22"/>
        </w:rPr>
        <w:t>essfully c</w:t>
      </w:r>
      <w:r>
        <w:rPr>
          <w:spacing w:val="-33"/>
          <w:sz w:val="22"/>
        </w:rPr>
        <w:t> </w:t>
      </w:r>
      <w:r>
        <w:rPr>
          <w:spacing w:val="14"/>
          <w:sz w:val="22"/>
        </w:rPr>
        <w:t>omplete</w:t>
      </w:r>
      <w:r>
        <w:rPr>
          <w:spacing w:val="11"/>
          <w:sz w:val="22"/>
        </w:rPr>
        <w:t> </w:t>
      </w:r>
      <w:r>
        <w:rPr>
          <w:spacing w:val="9"/>
          <w:sz w:val="22"/>
        </w:rPr>
        <w:t>the </w:t>
      </w:r>
      <w:r>
        <w:rPr>
          <w:spacing w:val="13"/>
          <w:sz w:val="22"/>
        </w:rPr>
        <w:t>program.</w:t>
      </w:r>
      <w:r>
        <w:rPr>
          <w:spacing w:val="-3"/>
          <w:sz w:val="22"/>
        </w:rPr>
        <w:t> </w:t>
      </w:r>
      <w:r>
        <w:rPr>
          <w:sz w:val="22"/>
        </w:rPr>
        <w:t>While </w:t>
      </w:r>
      <w:r>
        <w:rPr>
          <w:spacing w:val="13"/>
          <w:sz w:val="22"/>
        </w:rPr>
        <w:t>some </w:t>
      </w:r>
      <w:r>
        <w:rPr>
          <w:spacing w:val="11"/>
          <w:sz w:val="22"/>
        </w:rPr>
        <w:t>students </w:t>
      </w:r>
      <w:r>
        <w:rPr>
          <w:spacing w:val="13"/>
          <w:sz w:val="22"/>
        </w:rPr>
        <w:t>have </w:t>
      </w:r>
      <w:r>
        <w:rPr>
          <w:spacing w:val="19"/>
          <w:sz w:val="22"/>
        </w:rPr>
        <w:t>managed </w:t>
      </w:r>
      <w:r>
        <w:rPr>
          <w:sz w:val="22"/>
        </w:rPr>
        <w:t>to finish </w:t>
      </w:r>
      <w:r>
        <w:rPr>
          <w:spacing w:val="9"/>
          <w:sz w:val="22"/>
        </w:rPr>
        <w:t>the </w:t>
      </w:r>
      <w:r>
        <w:rPr>
          <w:spacing w:val="13"/>
          <w:sz w:val="22"/>
        </w:rPr>
        <w:t>program </w:t>
      </w:r>
      <w:r>
        <w:rPr>
          <w:sz w:val="22"/>
        </w:rPr>
        <w:t>suc</w:t>
      </w:r>
      <w:r>
        <w:rPr>
          <w:spacing w:val="-27"/>
          <w:sz w:val="22"/>
        </w:rPr>
        <w:t> </w:t>
      </w:r>
      <w:r>
        <w:rPr>
          <w:sz w:val="22"/>
        </w:rPr>
        <w:t>c</w:t>
      </w:r>
      <w:r>
        <w:rPr>
          <w:spacing w:val="-32"/>
          <w:sz w:val="22"/>
        </w:rPr>
        <w:t> </w:t>
      </w:r>
      <w:r>
        <w:rPr>
          <w:sz w:val="22"/>
        </w:rPr>
        <w:t>essfully while </w:t>
      </w:r>
      <w:r>
        <w:rPr>
          <w:spacing w:val="11"/>
          <w:sz w:val="22"/>
        </w:rPr>
        <w:t>maintaining </w:t>
      </w:r>
      <w:r>
        <w:rPr>
          <w:sz w:val="22"/>
        </w:rPr>
        <w:t>a</w:t>
      </w:r>
    </w:p>
    <w:p>
      <w:pPr>
        <w:spacing w:before="2"/>
        <w:ind w:left="453" w:right="0" w:firstLine="0"/>
        <w:jc w:val="left"/>
        <w:rPr>
          <w:sz w:val="22"/>
        </w:rPr>
      </w:pPr>
      <w:r>
        <w:rPr>
          <w:sz w:val="22"/>
        </w:rPr>
        <w:t>p</w:t>
      </w:r>
      <w:r>
        <w:rPr>
          <w:spacing w:val="-32"/>
          <w:sz w:val="22"/>
        </w:rPr>
        <w:t> </w:t>
      </w:r>
      <w:r>
        <w:rPr>
          <w:sz w:val="22"/>
        </w:rPr>
        <w:t>art-</w:t>
      </w:r>
      <w:r>
        <w:rPr>
          <w:spacing w:val="9"/>
          <w:sz w:val="22"/>
        </w:rPr>
        <w:t>time</w:t>
      </w:r>
      <w:r>
        <w:rPr>
          <w:spacing w:val="11"/>
          <w:sz w:val="22"/>
        </w:rPr>
        <w:t> </w:t>
      </w:r>
      <w:r>
        <w:rPr>
          <w:spacing w:val="12"/>
          <w:sz w:val="22"/>
        </w:rPr>
        <w:t>job,</w:t>
      </w:r>
      <w:r>
        <w:rPr>
          <w:spacing w:val="-1"/>
          <w:sz w:val="22"/>
        </w:rPr>
        <w:t> </w:t>
      </w:r>
      <w:r>
        <w:rPr>
          <w:sz w:val="22"/>
        </w:rPr>
        <w:t>it</w:t>
      </w:r>
      <w:r>
        <w:rPr>
          <w:spacing w:val="8"/>
          <w:sz w:val="22"/>
        </w:rPr>
        <w:t> </w:t>
      </w:r>
      <w:r>
        <w:rPr>
          <w:sz w:val="22"/>
        </w:rPr>
        <w:t>requires</w:t>
      </w:r>
      <w:r>
        <w:rPr>
          <w:spacing w:val="16"/>
          <w:sz w:val="22"/>
        </w:rPr>
        <w:t> </w:t>
      </w:r>
      <w:r>
        <w:rPr>
          <w:spacing w:val="10"/>
          <w:sz w:val="22"/>
        </w:rPr>
        <w:t>an</w:t>
      </w:r>
      <w:r>
        <w:rPr>
          <w:spacing w:val="16"/>
          <w:sz w:val="22"/>
        </w:rPr>
        <w:t> </w:t>
      </w:r>
      <w:r>
        <w:rPr>
          <w:spacing w:val="14"/>
          <w:sz w:val="22"/>
        </w:rPr>
        <w:t>exceptional</w:t>
      </w:r>
      <w:r>
        <w:rPr>
          <w:spacing w:val="3"/>
          <w:sz w:val="22"/>
        </w:rPr>
        <w:t> </w:t>
      </w:r>
      <w:r>
        <w:rPr>
          <w:spacing w:val="9"/>
          <w:sz w:val="22"/>
        </w:rPr>
        <w:t>level</w:t>
      </w:r>
      <w:r>
        <w:rPr>
          <w:spacing w:val="13"/>
          <w:sz w:val="22"/>
        </w:rPr>
        <w:t> </w:t>
      </w:r>
      <w:r>
        <w:rPr>
          <w:sz w:val="22"/>
        </w:rPr>
        <w:t>of</w:t>
      </w:r>
      <w:r>
        <w:rPr>
          <w:spacing w:val="16"/>
          <w:sz w:val="22"/>
        </w:rPr>
        <w:t> </w:t>
      </w:r>
      <w:r>
        <w:rPr>
          <w:spacing w:val="10"/>
          <w:sz w:val="22"/>
        </w:rPr>
        <w:t>energy,</w:t>
      </w:r>
      <w:r>
        <w:rPr>
          <w:spacing w:val="6"/>
          <w:sz w:val="22"/>
        </w:rPr>
        <w:t> </w:t>
      </w:r>
      <w:r>
        <w:rPr>
          <w:spacing w:val="9"/>
          <w:sz w:val="22"/>
        </w:rPr>
        <w:t>time,</w:t>
      </w:r>
      <w:r>
        <w:rPr>
          <w:spacing w:val="14"/>
          <w:sz w:val="22"/>
        </w:rPr>
        <w:t> </w:t>
      </w:r>
      <w:r>
        <w:rPr>
          <w:spacing w:val="13"/>
          <w:sz w:val="22"/>
        </w:rPr>
        <w:t>and</w:t>
      </w:r>
      <w:r>
        <w:rPr>
          <w:spacing w:val="30"/>
          <w:sz w:val="22"/>
        </w:rPr>
        <w:t> </w:t>
      </w:r>
      <w:r>
        <w:rPr>
          <w:spacing w:val="15"/>
          <w:sz w:val="22"/>
        </w:rPr>
        <w:t>dedic</w:t>
      </w:r>
      <w:r>
        <w:rPr>
          <w:spacing w:val="-28"/>
          <w:sz w:val="22"/>
        </w:rPr>
        <w:t> </w:t>
      </w:r>
      <w:r>
        <w:rPr>
          <w:spacing w:val="10"/>
          <w:sz w:val="22"/>
        </w:rPr>
        <w:t>ation</w:t>
      </w:r>
      <w:r>
        <w:rPr>
          <w:spacing w:val="13"/>
          <w:sz w:val="22"/>
        </w:rPr>
        <w:t> </w:t>
      </w:r>
      <w:r>
        <w:rPr>
          <w:spacing w:val="-5"/>
          <w:sz w:val="22"/>
        </w:rPr>
        <w:t>to</w:t>
      </w:r>
    </w:p>
    <w:p>
      <w:pPr>
        <w:spacing w:line="292" w:lineRule="auto" w:before="59"/>
        <w:ind w:left="451" w:right="706" w:firstLine="4"/>
        <w:jc w:val="both"/>
        <w:rPr>
          <w:sz w:val="22"/>
        </w:rPr>
      </w:pPr>
      <w:r>
        <w:rPr>
          <w:sz w:val="22"/>
        </w:rPr>
        <w:t>c</w:t>
      </w:r>
      <w:r>
        <w:rPr>
          <w:spacing w:val="-16"/>
          <w:sz w:val="22"/>
        </w:rPr>
        <w:t> </w:t>
      </w:r>
      <w:r>
        <w:rPr>
          <w:spacing w:val="9"/>
          <w:sz w:val="22"/>
        </w:rPr>
        <w:t>oursework</w:t>
      </w:r>
      <w:r>
        <w:rPr>
          <w:spacing w:val="-15"/>
          <w:sz w:val="22"/>
        </w:rPr>
        <w:t> </w:t>
      </w:r>
      <w:r>
        <w:rPr>
          <w:spacing w:val="13"/>
          <w:sz w:val="22"/>
        </w:rPr>
        <w:t>that</w:t>
      </w:r>
      <w:r>
        <w:rPr>
          <w:spacing w:val="-15"/>
          <w:sz w:val="22"/>
        </w:rPr>
        <w:t> </w:t>
      </w:r>
      <w:r>
        <w:rPr>
          <w:spacing w:val="10"/>
          <w:sz w:val="22"/>
        </w:rPr>
        <w:t>at</w:t>
      </w:r>
      <w:r>
        <w:rPr>
          <w:spacing w:val="-7"/>
          <w:sz w:val="22"/>
        </w:rPr>
        <w:t> </w:t>
      </w:r>
      <w:r>
        <w:rPr>
          <w:spacing w:val="9"/>
          <w:sz w:val="22"/>
        </w:rPr>
        <w:t>times</w:t>
      </w:r>
      <w:r>
        <w:rPr>
          <w:spacing w:val="4"/>
          <w:sz w:val="22"/>
        </w:rPr>
        <w:t> </w:t>
      </w:r>
      <w:r>
        <w:rPr>
          <w:sz w:val="22"/>
        </w:rPr>
        <w:t>c</w:t>
      </w:r>
      <w:r>
        <w:rPr>
          <w:spacing w:val="-16"/>
          <w:sz w:val="22"/>
        </w:rPr>
        <w:t> </w:t>
      </w:r>
      <w:r>
        <w:rPr>
          <w:sz w:val="22"/>
        </w:rPr>
        <w:t>ould</w:t>
      </w:r>
      <w:r>
        <w:rPr>
          <w:spacing w:val="11"/>
          <w:sz w:val="22"/>
        </w:rPr>
        <w:t> be</w:t>
      </w:r>
      <w:r>
        <w:rPr>
          <w:spacing w:val="8"/>
          <w:sz w:val="22"/>
        </w:rPr>
        <w:t> </w:t>
      </w:r>
      <w:r>
        <w:rPr>
          <w:spacing w:val="12"/>
          <w:sz w:val="22"/>
        </w:rPr>
        <w:t>exceedingly</w:t>
      </w:r>
      <w:r>
        <w:rPr>
          <w:spacing w:val="-7"/>
          <w:sz w:val="22"/>
        </w:rPr>
        <w:t> </w:t>
      </w:r>
      <w:r>
        <w:rPr>
          <w:sz w:val="22"/>
        </w:rPr>
        <w:t>stressful.</w:t>
      </w:r>
      <w:r>
        <w:rPr>
          <w:spacing w:val="-11"/>
          <w:sz w:val="22"/>
        </w:rPr>
        <w:t> </w:t>
      </w:r>
      <w:r>
        <w:rPr>
          <w:sz w:val="22"/>
        </w:rPr>
        <w:t>For</w:t>
      </w:r>
      <w:r>
        <w:rPr>
          <w:spacing w:val="-4"/>
          <w:sz w:val="22"/>
        </w:rPr>
        <w:t> </w:t>
      </w:r>
      <w:r>
        <w:rPr>
          <w:sz w:val="22"/>
        </w:rPr>
        <w:t>this</w:t>
      </w:r>
      <w:r>
        <w:rPr>
          <w:spacing w:val="-11"/>
          <w:sz w:val="22"/>
        </w:rPr>
        <w:t> </w:t>
      </w:r>
      <w:r>
        <w:rPr>
          <w:spacing w:val="11"/>
          <w:sz w:val="22"/>
        </w:rPr>
        <w:t>reason,</w:t>
      </w:r>
      <w:r>
        <w:rPr>
          <w:spacing w:val="-1"/>
          <w:sz w:val="22"/>
        </w:rPr>
        <w:t> </w:t>
      </w:r>
      <w:r>
        <w:rPr>
          <w:spacing w:val="11"/>
          <w:sz w:val="22"/>
        </w:rPr>
        <w:t>maintaining</w:t>
      </w:r>
      <w:r>
        <w:rPr>
          <w:spacing w:val="7"/>
          <w:sz w:val="22"/>
        </w:rPr>
        <w:t> </w:t>
      </w:r>
      <w:r>
        <w:rPr>
          <w:spacing w:val="9"/>
          <w:sz w:val="22"/>
        </w:rPr>
        <w:t>the </w:t>
      </w:r>
      <w:r>
        <w:rPr>
          <w:spacing w:val="15"/>
          <w:sz w:val="22"/>
        </w:rPr>
        <w:t>goal</w:t>
      </w:r>
      <w:r>
        <w:rPr>
          <w:spacing w:val="-16"/>
          <w:sz w:val="22"/>
        </w:rPr>
        <w:t> </w:t>
      </w:r>
      <w:r>
        <w:rPr>
          <w:sz w:val="22"/>
        </w:rPr>
        <w:t>of gra</w:t>
      </w:r>
      <w:r>
        <w:rPr>
          <w:spacing w:val="-16"/>
          <w:sz w:val="22"/>
        </w:rPr>
        <w:t> </w:t>
      </w:r>
      <w:r>
        <w:rPr>
          <w:spacing w:val="12"/>
          <w:sz w:val="22"/>
        </w:rPr>
        <w:t>duating </w:t>
      </w:r>
      <w:r>
        <w:rPr>
          <w:sz w:val="22"/>
        </w:rPr>
        <w:t>within 5 ½ </w:t>
      </w:r>
      <w:r>
        <w:rPr>
          <w:spacing w:val="10"/>
          <w:sz w:val="22"/>
        </w:rPr>
        <w:t>years </w:t>
      </w:r>
      <w:r>
        <w:rPr>
          <w:sz w:val="22"/>
        </w:rPr>
        <w:t>as a full-</w:t>
      </w:r>
      <w:r>
        <w:rPr>
          <w:spacing w:val="9"/>
          <w:sz w:val="22"/>
        </w:rPr>
        <w:t>time </w:t>
      </w:r>
      <w:r>
        <w:rPr>
          <w:spacing w:val="13"/>
          <w:sz w:val="22"/>
        </w:rPr>
        <w:t>student </w:t>
      </w:r>
      <w:r>
        <w:rPr>
          <w:sz w:val="22"/>
        </w:rPr>
        <w:t>while </w:t>
      </w:r>
      <w:r>
        <w:rPr>
          <w:spacing w:val="13"/>
          <w:sz w:val="22"/>
        </w:rPr>
        <w:t>double </w:t>
      </w:r>
      <w:r>
        <w:rPr>
          <w:spacing w:val="9"/>
          <w:sz w:val="22"/>
        </w:rPr>
        <w:t>majoring </w:t>
      </w:r>
      <w:r>
        <w:rPr>
          <w:spacing w:val="13"/>
          <w:sz w:val="22"/>
        </w:rPr>
        <w:t>and</w:t>
      </w:r>
      <w:r>
        <w:rPr>
          <w:spacing w:val="-16"/>
          <w:sz w:val="22"/>
        </w:rPr>
        <w:t> </w:t>
      </w:r>
      <w:r>
        <w:rPr>
          <w:sz w:val="22"/>
        </w:rPr>
        <w:t>/</w:t>
      </w:r>
      <w:r>
        <w:rPr>
          <w:spacing w:val="-15"/>
          <w:sz w:val="22"/>
        </w:rPr>
        <w:t> </w:t>
      </w:r>
      <w:r>
        <w:rPr>
          <w:sz w:val="22"/>
        </w:rPr>
        <w:t>or working is </w:t>
      </w:r>
      <w:r>
        <w:rPr>
          <w:spacing w:val="11"/>
          <w:sz w:val="22"/>
        </w:rPr>
        <w:t>not rec</w:t>
      </w:r>
      <w:r>
        <w:rPr>
          <w:spacing w:val="-28"/>
          <w:sz w:val="22"/>
        </w:rPr>
        <w:t> </w:t>
      </w:r>
      <w:r>
        <w:rPr>
          <w:spacing w:val="17"/>
          <w:sz w:val="22"/>
        </w:rPr>
        <w:t>ommended.</w:t>
      </w:r>
      <w:r>
        <w:rPr>
          <w:spacing w:val="7"/>
          <w:sz w:val="22"/>
        </w:rPr>
        <w:t> </w:t>
      </w:r>
      <w:r>
        <w:rPr>
          <w:sz w:val="22"/>
        </w:rPr>
        <w:t>The </w:t>
      </w:r>
      <w:r>
        <w:rPr>
          <w:spacing w:val="14"/>
          <w:sz w:val="22"/>
        </w:rPr>
        <w:t>Department </w:t>
      </w:r>
      <w:r>
        <w:rPr>
          <w:sz w:val="22"/>
        </w:rPr>
        <w:t>of </w:t>
      </w:r>
      <w:r>
        <w:rPr>
          <w:spacing w:val="12"/>
          <w:sz w:val="22"/>
        </w:rPr>
        <w:t>Architecture </w:t>
      </w:r>
      <w:r>
        <w:rPr>
          <w:spacing w:val="10"/>
          <w:sz w:val="22"/>
        </w:rPr>
        <w:t>values </w:t>
      </w:r>
      <w:r>
        <w:rPr>
          <w:spacing w:val="12"/>
          <w:sz w:val="22"/>
        </w:rPr>
        <w:t>promoting </w:t>
      </w:r>
      <w:r>
        <w:rPr>
          <w:spacing w:val="10"/>
          <w:sz w:val="22"/>
        </w:rPr>
        <w:t>an</w:t>
      </w:r>
    </w:p>
    <w:p>
      <w:pPr>
        <w:spacing w:before="3"/>
        <w:ind w:left="450" w:right="0" w:firstLine="0"/>
        <w:jc w:val="both"/>
        <w:rPr>
          <w:sz w:val="22"/>
        </w:rPr>
      </w:pPr>
      <w:r>
        <w:rPr>
          <w:spacing w:val="15"/>
          <w:sz w:val="22"/>
        </w:rPr>
        <w:t>educ</w:t>
      </w:r>
      <w:r>
        <w:rPr>
          <w:spacing w:val="-30"/>
          <w:sz w:val="22"/>
        </w:rPr>
        <w:t> </w:t>
      </w:r>
      <w:r>
        <w:rPr>
          <w:spacing w:val="11"/>
          <w:sz w:val="22"/>
        </w:rPr>
        <w:t>ational</w:t>
      </w:r>
      <w:r>
        <w:rPr>
          <w:spacing w:val="1"/>
          <w:sz w:val="22"/>
        </w:rPr>
        <w:t> </w:t>
      </w:r>
      <w:r>
        <w:rPr>
          <w:spacing w:val="12"/>
          <w:sz w:val="22"/>
        </w:rPr>
        <w:t>experience</w:t>
      </w:r>
      <w:r>
        <w:rPr>
          <w:spacing w:val="10"/>
          <w:sz w:val="22"/>
        </w:rPr>
        <w:t> </w:t>
      </w:r>
      <w:r>
        <w:rPr>
          <w:spacing w:val="13"/>
          <w:sz w:val="22"/>
        </w:rPr>
        <w:t>that</w:t>
      </w:r>
      <w:r>
        <w:rPr>
          <w:spacing w:val="-1"/>
          <w:sz w:val="22"/>
        </w:rPr>
        <w:t> </w:t>
      </w:r>
      <w:r>
        <w:rPr>
          <w:sz w:val="22"/>
        </w:rPr>
        <w:t>is</w:t>
      </w:r>
      <w:r>
        <w:rPr>
          <w:spacing w:val="7"/>
          <w:sz w:val="22"/>
        </w:rPr>
        <w:t> </w:t>
      </w:r>
      <w:r>
        <w:rPr>
          <w:spacing w:val="13"/>
          <w:sz w:val="22"/>
        </w:rPr>
        <w:t>both</w:t>
      </w:r>
      <w:r>
        <w:rPr>
          <w:spacing w:val="-1"/>
          <w:sz w:val="22"/>
        </w:rPr>
        <w:t> </w:t>
      </w:r>
      <w:r>
        <w:rPr>
          <w:spacing w:val="9"/>
          <w:sz w:val="22"/>
        </w:rPr>
        <w:t>rigorous</w:t>
      </w:r>
      <w:r>
        <w:rPr>
          <w:spacing w:val="5"/>
          <w:sz w:val="22"/>
        </w:rPr>
        <w:t> </w:t>
      </w:r>
      <w:r>
        <w:rPr>
          <w:spacing w:val="13"/>
          <w:sz w:val="22"/>
        </w:rPr>
        <w:t>and</w:t>
      </w:r>
      <w:r>
        <w:rPr>
          <w:spacing w:val="12"/>
          <w:sz w:val="22"/>
        </w:rPr>
        <w:t> </w:t>
      </w:r>
      <w:r>
        <w:rPr>
          <w:spacing w:val="11"/>
          <w:sz w:val="22"/>
        </w:rPr>
        <w:t>healthy</w:t>
      </w:r>
      <w:r>
        <w:rPr>
          <w:sz w:val="22"/>
        </w:rPr>
        <w:t> for</w:t>
      </w:r>
      <w:r>
        <w:rPr>
          <w:spacing w:val="7"/>
          <w:sz w:val="22"/>
        </w:rPr>
        <w:t> </w:t>
      </w:r>
      <w:r>
        <w:rPr>
          <w:sz w:val="22"/>
        </w:rPr>
        <w:t>all</w:t>
      </w:r>
      <w:r>
        <w:rPr>
          <w:spacing w:val="8"/>
          <w:sz w:val="22"/>
        </w:rPr>
        <w:t> </w:t>
      </w:r>
      <w:r>
        <w:rPr>
          <w:spacing w:val="10"/>
          <w:sz w:val="22"/>
        </w:rPr>
        <w:t>participants.</w:t>
      </w:r>
    </w:p>
    <w:p>
      <w:pPr>
        <w:pStyle w:val="BodyText"/>
        <w:rPr>
          <w:sz w:val="32"/>
        </w:rPr>
      </w:pPr>
    </w:p>
    <w:p>
      <w:pPr>
        <w:spacing w:before="0"/>
        <w:ind w:left="449" w:right="0" w:firstLine="0"/>
        <w:jc w:val="both"/>
        <w:rPr>
          <w:i/>
          <w:sz w:val="22"/>
        </w:rPr>
      </w:pPr>
      <w:r>
        <w:rPr>
          <w:i/>
          <w:spacing w:val="14"/>
          <w:sz w:val="22"/>
        </w:rPr>
        <w:t>Can</w:t>
      </w:r>
      <w:r>
        <w:rPr>
          <w:i/>
          <w:spacing w:val="5"/>
          <w:sz w:val="22"/>
        </w:rPr>
        <w:t> </w:t>
      </w:r>
      <w:r>
        <w:rPr>
          <w:i/>
          <w:sz w:val="22"/>
        </w:rPr>
        <w:t>I</w:t>
      </w:r>
      <w:r>
        <w:rPr>
          <w:i/>
          <w:spacing w:val="11"/>
          <w:sz w:val="22"/>
        </w:rPr>
        <w:t> </w:t>
      </w:r>
      <w:r>
        <w:rPr>
          <w:i/>
          <w:spacing w:val="14"/>
          <w:sz w:val="22"/>
        </w:rPr>
        <w:t>participate</w:t>
      </w:r>
      <w:r>
        <w:rPr>
          <w:i/>
          <w:spacing w:val="8"/>
          <w:sz w:val="22"/>
        </w:rPr>
        <w:t> </w:t>
      </w:r>
      <w:r>
        <w:rPr>
          <w:i/>
          <w:sz w:val="22"/>
        </w:rPr>
        <w:t>in</w:t>
      </w:r>
      <w:r>
        <w:rPr>
          <w:i/>
          <w:spacing w:val="5"/>
          <w:sz w:val="22"/>
        </w:rPr>
        <w:t> </w:t>
      </w:r>
      <w:r>
        <w:rPr>
          <w:i/>
          <w:sz w:val="22"/>
        </w:rPr>
        <w:t>sports,</w:t>
      </w:r>
      <w:r>
        <w:rPr>
          <w:i/>
          <w:spacing w:val="15"/>
          <w:sz w:val="22"/>
        </w:rPr>
        <w:t> </w:t>
      </w:r>
      <w:r>
        <w:rPr>
          <w:i/>
          <w:spacing w:val="12"/>
          <w:sz w:val="22"/>
        </w:rPr>
        <w:t>band,</w:t>
      </w:r>
      <w:r>
        <w:rPr>
          <w:i/>
          <w:spacing w:val="18"/>
          <w:sz w:val="22"/>
        </w:rPr>
        <w:t> </w:t>
      </w:r>
      <w:r>
        <w:rPr>
          <w:i/>
          <w:sz w:val="22"/>
        </w:rPr>
        <w:t>chorus,</w:t>
      </w:r>
      <w:r>
        <w:rPr>
          <w:i/>
          <w:spacing w:val="11"/>
          <w:sz w:val="22"/>
        </w:rPr>
        <w:t> </w:t>
      </w:r>
      <w:r>
        <w:rPr>
          <w:i/>
          <w:spacing w:val="9"/>
          <w:sz w:val="22"/>
        </w:rPr>
        <w:t>etc.?</w:t>
      </w:r>
    </w:p>
    <w:p>
      <w:pPr>
        <w:spacing w:after="0"/>
        <w:jc w:val="both"/>
        <w:rPr>
          <w:sz w:val="22"/>
        </w:rPr>
        <w:sectPr>
          <w:headerReference w:type="default" r:id="rId331"/>
          <w:footerReference w:type="default" r:id="rId332"/>
          <w:pgSz w:w="12240" w:h="15840"/>
          <w:pgMar w:header="0" w:footer="749" w:top="1380" w:bottom="940" w:left="1000" w:right="820"/>
        </w:sectPr>
      </w:pPr>
    </w:p>
    <w:p>
      <w:pPr>
        <w:spacing w:before="66"/>
        <w:ind w:left="440" w:right="0" w:firstLine="0"/>
        <w:jc w:val="left"/>
        <w:rPr>
          <w:sz w:val="22"/>
        </w:rPr>
      </w:pPr>
      <w:r>
        <w:rPr>
          <w:w w:val="95"/>
          <w:sz w:val="22"/>
        </w:rPr>
        <w:t>Yes.</w:t>
      </w:r>
      <w:r>
        <w:rPr>
          <w:spacing w:val="12"/>
          <w:sz w:val="22"/>
        </w:rPr>
        <w:t> </w:t>
      </w:r>
      <w:r>
        <w:rPr>
          <w:w w:val="95"/>
          <w:sz w:val="22"/>
        </w:rPr>
        <w:t>The</w:t>
      </w:r>
      <w:r>
        <w:rPr>
          <w:spacing w:val="31"/>
          <w:sz w:val="22"/>
        </w:rPr>
        <w:t> </w:t>
      </w:r>
      <w:r>
        <w:rPr>
          <w:spacing w:val="11"/>
          <w:w w:val="95"/>
          <w:sz w:val="22"/>
        </w:rPr>
        <w:t>Dep</w:t>
      </w:r>
      <w:r>
        <w:rPr>
          <w:spacing w:val="-22"/>
          <w:w w:val="95"/>
          <w:sz w:val="22"/>
        </w:rPr>
        <w:t> </w:t>
      </w:r>
      <w:r>
        <w:rPr>
          <w:spacing w:val="12"/>
          <w:w w:val="95"/>
          <w:sz w:val="22"/>
        </w:rPr>
        <w:t>artment</w:t>
      </w:r>
      <w:r>
        <w:rPr>
          <w:spacing w:val="36"/>
          <w:sz w:val="22"/>
        </w:rPr>
        <w:t> </w:t>
      </w:r>
      <w:r>
        <w:rPr>
          <w:w w:val="95"/>
          <w:sz w:val="22"/>
        </w:rPr>
        <w:t>of</w:t>
      </w:r>
      <w:r>
        <w:rPr>
          <w:spacing w:val="33"/>
          <w:sz w:val="22"/>
        </w:rPr>
        <w:t> </w:t>
      </w:r>
      <w:r>
        <w:rPr>
          <w:spacing w:val="12"/>
          <w:w w:val="95"/>
          <w:sz w:val="22"/>
        </w:rPr>
        <w:t>Architecture</w:t>
      </w:r>
      <w:r>
        <w:rPr>
          <w:spacing w:val="42"/>
          <w:sz w:val="22"/>
        </w:rPr>
        <w:t> </w:t>
      </w:r>
      <w:r>
        <w:rPr>
          <w:spacing w:val="11"/>
          <w:w w:val="95"/>
          <w:sz w:val="22"/>
        </w:rPr>
        <w:t>enc</w:t>
      </w:r>
      <w:r>
        <w:rPr>
          <w:spacing w:val="-23"/>
          <w:w w:val="95"/>
          <w:sz w:val="22"/>
        </w:rPr>
        <w:t> </w:t>
      </w:r>
      <w:r>
        <w:rPr>
          <w:spacing w:val="12"/>
          <w:w w:val="95"/>
          <w:sz w:val="22"/>
        </w:rPr>
        <w:t>ourages</w:t>
      </w:r>
      <w:r>
        <w:rPr>
          <w:spacing w:val="15"/>
          <w:sz w:val="22"/>
        </w:rPr>
        <w:t> </w:t>
      </w:r>
      <w:r>
        <w:rPr>
          <w:spacing w:val="11"/>
          <w:w w:val="95"/>
          <w:sz w:val="22"/>
        </w:rPr>
        <w:t>students</w:t>
      </w:r>
      <w:r>
        <w:rPr>
          <w:spacing w:val="24"/>
          <w:sz w:val="22"/>
        </w:rPr>
        <w:t> </w:t>
      </w:r>
      <w:r>
        <w:rPr>
          <w:w w:val="95"/>
          <w:sz w:val="22"/>
        </w:rPr>
        <w:t>to</w:t>
      </w:r>
      <w:r>
        <w:rPr>
          <w:spacing w:val="48"/>
          <w:sz w:val="22"/>
        </w:rPr>
        <w:t> </w:t>
      </w:r>
      <w:r>
        <w:rPr>
          <w:spacing w:val="10"/>
          <w:w w:val="95"/>
          <w:sz w:val="22"/>
        </w:rPr>
        <w:t>cultivate</w:t>
      </w:r>
      <w:r>
        <w:rPr>
          <w:spacing w:val="37"/>
          <w:sz w:val="22"/>
        </w:rPr>
        <w:t> </w:t>
      </w:r>
      <w:r>
        <w:rPr>
          <w:spacing w:val="11"/>
          <w:w w:val="95"/>
          <w:sz w:val="22"/>
        </w:rPr>
        <w:t>themselves</w:t>
      </w:r>
      <w:r>
        <w:rPr>
          <w:spacing w:val="30"/>
          <w:sz w:val="22"/>
        </w:rPr>
        <w:t> </w:t>
      </w:r>
      <w:r>
        <w:rPr>
          <w:spacing w:val="-4"/>
          <w:w w:val="95"/>
          <w:sz w:val="22"/>
        </w:rPr>
        <w:t>with</w:t>
      </w:r>
    </w:p>
    <w:p>
      <w:pPr>
        <w:spacing w:before="57"/>
        <w:ind w:left="454" w:right="0" w:firstLine="0"/>
        <w:jc w:val="left"/>
        <w:rPr>
          <w:sz w:val="22"/>
        </w:rPr>
      </w:pPr>
      <w:r>
        <w:rPr>
          <w:sz w:val="22"/>
        </w:rPr>
        <w:t>a</w:t>
      </w:r>
      <w:r>
        <w:rPr>
          <w:spacing w:val="16"/>
          <w:sz w:val="22"/>
        </w:rPr>
        <w:t> </w:t>
      </w:r>
      <w:r>
        <w:rPr>
          <w:spacing w:val="9"/>
          <w:sz w:val="22"/>
        </w:rPr>
        <w:t>multidisciplinary</w:t>
      </w:r>
      <w:r>
        <w:rPr>
          <w:spacing w:val="11"/>
          <w:sz w:val="22"/>
        </w:rPr>
        <w:t> </w:t>
      </w:r>
      <w:r>
        <w:rPr>
          <w:spacing w:val="14"/>
          <w:sz w:val="22"/>
        </w:rPr>
        <w:t>approa</w:t>
      </w:r>
      <w:r>
        <w:rPr>
          <w:spacing w:val="-31"/>
          <w:sz w:val="22"/>
        </w:rPr>
        <w:t> </w:t>
      </w:r>
      <w:r>
        <w:rPr>
          <w:sz w:val="22"/>
        </w:rPr>
        <w:t>ch.</w:t>
      </w:r>
      <w:r>
        <w:rPr>
          <w:spacing w:val="-4"/>
          <w:sz w:val="22"/>
        </w:rPr>
        <w:t> </w:t>
      </w:r>
      <w:r>
        <w:rPr>
          <w:sz w:val="22"/>
        </w:rPr>
        <w:t>We</w:t>
      </w:r>
      <w:r>
        <w:rPr>
          <w:spacing w:val="17"/>
          <w:sz w:val="22"/>
        </w:rPr>
        <w:t> </w:t>
      </w:r>
      <w:r>
        <w:rPr>
          <w:spacing w:val="10"/>
          <w:sz w:val="22"/>
        </w:rPr>
        <w:t>believe</w:t>
      </w:r>
      <w:r>
        <w:rPr>
          <w:spacing w:val="12"/>
          <w:sz w:val="22"/>
        </w:rPr>
        <w:t> that</w:t>
      </w:r>
      <w:r>
        <w:rPr>
          <w:spacing w:val="14"/>
          <w:sz w:val="22"/>
        </w:rPr>
        <w:t> </w:t>
      </w:r>
      <w:r>
        <w:rPr>
          <w:sz w:val="22"/>
        </w:rPr>
        <w:t>a</w:t>
      </w:r>
      <w:r>
        <w:rPr>
          <w:spacing w:val="20"/>
          <w:sz w:val="22"/>
        </w:rPr>
        <w:t> </w:t>
      </w:r>
      <w:r>
        <w:rPr>
          <w:spacing w:val="17"/>
          <w:sz w:val="22"/>
        </w:rPr>
        <w:t>good</w:t>
      </w:r>
      <w:r>
        <w:rPr>
          <w:spacing w:val="8"/>
          <w:sz w:val="22"/>
        </w:rPr>
        <w:t> </w:t>
      </w:r>
      <w:r>
        <w:rPr>
          <w:spacing w:val="13"/>
          <w:sz w:val="22"/>
        </w:rPr>
        <w:t>student</w:t>
      </w:r>
      <w:r>
        <w:rPr>
          <w:spacing w:val="1"/>
          <w:sz w:val="22"/>
        </w:rPr>
        <w:t> </w:t>
      </w:r>
      <w:r>
        <w:rPr>
          <w:sz w:val="22"/>
        </w:rPr>
        <w:t>is</w:t>
      </w:r>
      <w:r>
        <w:rPr>
          <w:spacing w:val="9"/>
          <w:sz w:val="22"/>
        </w:rPr>
        <w:t> </w:t>
      </w:r>
      <w:r>
        <w:rPr>
          <w:sz w:val="22"/>
        </w:rPr>
        <w:t>a</w:t>
      </w:r>
      <w:r>
        <w:rPr>
          <w:spacing w:val="19"/>
          <w:sz w:val="22"/>
        </w:rPr>
        <w:t> </w:t>
      </w:r>
      <w:r>
        <w:rPr>
          <w:sz w:val="22"/>
        </w:rPr>
        <w:t>well-</w:t>
      </w:r>
      <w:r>
        <w:rPr>
          <w:spacing w:val="12"/>
          <w:sz w:val="22"/>
        </w:rPr>
        <w:t>rounded,</w:t>
      </w:r>
    </w:p>
    <w:p>
      <w:pPr>
        <w:spacing w:line="292" w:lineRule="auto" w:before="59"/>
        <w:ind w:left="440" w:right="642" w:firstLine="13"/>
        <w:jc w:val="left"/>
        <w:rPr>
          <w:sz w:val="22"/>
        </w:rPr>
      </w:pPr>
      <w:r>
        <w:rPr>
          <w:sz w:val="22"/>
        </w:rPr>
        <w:t>b</w:t>
      </w:r>
      <w:r>
        <w:rPr>
          <w:spacing w:val="-29"/>
          <w:sz w:val="22"/>
        </w:rPr>
        <w:t> </w:t>
      </w:r>
      <w:r>
        <w:rPr>
          <w:spacing w:val="13"/>
          <w:sz w:val="22"/>
        </w:rPr>
        <w:t>alanc</w:t>
      </w:r>
      <w:r>
        <w:rPr>
          <w:spacing w:val="-30"/>
          <w:sz w:val="22"/>
        </w:rPr>
        <w:t> </w:t>
      </w:r>
      <w:r>
        <w:rPr>
          <w:spacing w:val="12"/>
          <w:sz w:val="22"/>
        </w:rPr>
        <w:t>ed </w:t>
      </w:r>
      <w:r>
        <w:rPr>
          <w:spacing w:val="10"/>
          <w:sz w:val="22"/>
        </w:rPr>
        <w:t>individual.</w:t>
      </w:r>
      <w:r>
        <w:rPr>
          <w:spacing w:val="6"/>
          <w:sz w:val="22"/>
        </w:rPr>
        <w:t> </w:t>
      </w:r>
      <w:r>
        <w:rPr>
          <w:sz w:val="22"/>
        </w:rPr>
        <w:t>For</w:t>
      </w:r>
      <w:r>
        <w:rPr>
          <w:spacing w:val="13"/>
          <w:sz w:val="22"/>
        </w:rPr>
        <w:t> many </w:t>
      </w:r>
      <w:r>
        <w:rPr>
          <w:sz w:val="22"/>
        </w:rPr>
        <w:t>of</w:t>
      </w:r>
      <w:r>
        <w:rPr>
          <w:spacing w:val="25"/>
          <w:sz w:val="22"/>
        </w:rPr>
        <w:t> </w:t>
      </w:r>
      <w:r>
        <w:rPr>
          <w:sz w:val="22"/>
        </w:rPr>
        <w:t>our </w:t>
      </w:r>
      <w:r>
        <w:rPr>
          <w:spacing w:val="10"/>
          <w:sz w:val="22"/>
        </w:rPr>
        <w:t>students, </w:t>
      </w:r>
      <w:r>
        <w:rPr>
          <w:sz w:val="22"/>
        </w:rPr>
        <w:t>their </w:t>
      </w:r>
      <w:r>
        <w:rPr>
          <w:spacing w:val="11"/>
          <w:sz w:val="22"/>
        </w:rPr>
        <w:t>zeal </w:t>
      </w:r>
      <w:r>
        <w:rPr>
          <w:sz w:val="22"/>
        </w:rPr>
        <w:t>for</w:t>
      </w:r>
      <w:r>
        <w:rPr>
          <w:spacing w:val="13"/>
          <w:sz w:val="22"/>
        </w:rPr>
        <w:t> architectural </w:t>
      </w:r>
      <w:r>
        <w:rPr>
          <w:spacing w:val="15"/>
          <w:sz w:val="22"/>
        </w:rPr>
        <w:t>educ</w:t>
      </w:r>
      <w:r>
        <w:rPr>
          <w:spacing w:val="-26"/>
          <w:sz w:val="22"/>
        </w:rPr>
        <w:t> </w:t>
      </w:r>
      <w:r>
        <w:rPr>
          <w:spacing w:val="10"/>
          <w:sz w:val="22"/>
        </w:rPr>
        <w:t>ation</w:t>
      </w:r>
      <w:r>
        <w:rPr>
          <w:spacing w:val="10"/>
          <w:sz w:val="22"/>
        </w:rPr>
        <w:t> </w:t>
      </w:r>
      <w:r>
        <w:rPr>
          <w:sz w:val="22"/>
        </w:rPr>
        <w:t>runs</w:t>
      </w:r>
      <w:r>
        <w:rPr>
          <w:spacing w:val="-11"/>
          <w:sz w:val="22"/>
        </w:rPr>
        <w:t> </w:t>
      </w:r>
      <w:r>
        <w:rPr>
          <w:sz w:val="22"/>
        </w:rPr>
        <w:t>in </w:t>
      </w:r>
      <w:r>
        <w:rPr>
          <w:spacing w:val="17"/>
          <w:sz w:val="22"/>
        </w:rPr>
        <w:t>tandem</w:t>
      </w:r>
      <w:r>
        <w:rPr>
          <w:spacing w:val="12"/>
          <w:sz w:val="22"/>
        </w:rPr>
        <w:t> </w:t>
      </w:r>
      <w:r>
        <w:rPr>
          <w:sz w:val="22"/>
        </w:rPr>
        <w:t>with </w:t>
      </w:r>
      <w:r>
        <w:rPr>
          <w:spacing w:val="12"/>
          <w:sz w:val="22"/>
        </w:rPr>
        <w:t>many</w:t>
      </w:r>
      <w:r>
        <w:rPr>
          <w:spacing w:val="5"/>
          <w:sz w:val="22"/>
        </w:rPr>
        <w:t> </w:t>
      </w:r>
      <w:r>
        <w:rPr>
          <w:spacing w:val="11"/>
          <w:sz w:val="22"/>
        </w:rPr>
        <w:t>other</w:t>
      </w:r>
      <w:r>
        <w:rPr>
          <w:spacing w:val="5"/>
          <w:sz w:val="22"/>
        </w:rPr>
        <w:t> </w:t>
      </w:r>
      <w:r>
        <w:rPr>
          <w:sz w:val="22"/>
        </w:rPr>
        <w:t>pursuits </w:t>
      </w:r>
      <w:r>
        <w:rPr>
          <w:spacing w:val="12"/>
          <w:sz w:val="22"/>
        </w:rPr>
        <w:t>and </w:t>
      </w:r>
      <w:r>
        <w:rPr>
          <w:sz w:val="22"/>
        </w:rPr>
        <w:t>p</w:t>
      </w:r>
      <w:r>
        <w:rPr>
          <w:spacing w:val="-33"/>
          <w:sz w:val="22"/>
        </w:rPr>
        <w:t> </w:t>
      </w:r>
      <w:r>
        <w:rPr>
          <w:sz w:val="22"/>
        </w:rPr>
        <w:t>assions.</w:t>
      </w:r>
      <w:r>
        <w:rPr>
          <w:spacing w:val="-10"/>
          <w:sz w:val="22"/>
        </w:rPr>
        <w:t> </w:t>
      </w:r>
      <w:r>
        <w:rPr>
          <w:spacing w:val="11"/>
          <w:sz w:val="22"/>
        </w:rPr>
        <w:t>However,</w:t>
      </w:r>
      <w:r>
        <w:rPr>
          <w:spacing w:val="-3"/>
          <w:sz w:val="22"/>
        </w:rPr>
        <w:t> </w:t>
      </w:r>
      <w:r>
        <w:rPr>
          <w:spacing w:val="9"/>
          <w:sz w:val="22"/>
        </w:rPr>
        <w:t>there</w:t>
      </w:r>
      <w:r>
        <w:rPr>
          <w:spacing w:val="1"/>
          <w:sz w:val="22"/>
        </w:rPr>
        <w:t> </w:t>
      </w:r>
      <w:r>
        <w:rPr>
          <w:sz w:val="22"/>
        </w:rPr>
        <w:t>is a </w:t>
      </w:r>
      <w:r>
        <w:rPr>
          <w:spacing w:val="9"/>
          <w:sz w:val="22"/>
        </w:rPr>
        <w:t>threshold </w:t>
      </w:r>
      <w:r>
        <w:rPr>
          <w:spacing w:val="11"/>
          <w:sz w:val="22"/>
        </w:rPr>
        <w:t>past which, </w:t>
      </w:r>
      <w:r>
        <w:rPr>
          <w:spacing w:val="9"/>
          <w:sz w:val="22"/>
        </w:rPr>
        <w:t>time</w:t>
      </w:r>
      <w:r>
        <w:rPr>
          <w:spacing w:val="16"/>
          <w:sz w:val="22"/>
        </w:rPr>
        <w:t> devoted </w:t>
      </w:r>
      <w:r>
        <w:rPr>
          <w:sz w:val="22"/>
        </w:rPr>
        <w:t>to</w:t>
      </w:r>
      <w:r>
        <w:rPr>
          <w:spacing w:val="10"/>
          <w:sz w:val="22"/>
        </w:rPr>
        <w:t> outside</w:t>
      </w:r>
      <w:r>
        <w:rPr>
          <w:spacing w:val="40"/>
          <w:sz w:val="22"/>
        </w:rPr>
        <w:t> </w:t>
      </w:r>
      <w:r>
        <w:rPr>
          <w:sz w:val="22"/>
        </w:rPr>
        <w:t>a</w:t>
      </w:r>
      <w:r>
        <w:rPr>
          <w:spacing w:val="-27"/>
          <w:sz w:val="22"/>
        </w:rPr>
        <w:t> </w:t>
      </w:r>
      <w:r>
        <w:rPr>
          <w:sz w:val="22"/>
        </w:rPr>
        <w:t>ctivities</w:t>
      </w:r>
      <w:r>
        <w:rPr>
          <w:spacing w:val="33"/>
          <w:sz w:val="22"/>
        </w:rPr>
        <w:t> </w:t>
      </w:r>
      <w:r>
        <w:rPr>
          <w:sz w:val="22"/>
        </w:rPr>
        <w:t>c</w:t>
      </w:r>
      <w:r>
        <w:rPr>
          <w:spacing w:val="-27"/>
          <w:sz w:val="22"/>
        </w:rPr>
        <w:t> </w:t>
      </w:r>
      <w:r>
        <w:rPr>
          <w:spacing w:val="10"/>
          <w:sz w:val="22"/>
        </w:rPr>
        <w:t>an </w:t>
      </w:r>
      <w:r>
        <w:rPr>
          <w:spacing w:val="17"/>
          <w:sz w:val="22"/>
        </w:rPr>
        <w:t>bec</w:t>
      </w:r>
      <w:r>
        <w:rPr>
          <w:spacing w:val="-27"/>
          <w:sz w:val="22"/>
        </w:rPr>
        <w:t> </w:t>
      </w:r>
      <w:r>
        <w:rPr>
          <w:spacing w:val="13"/>
          <w:sz w:val="22"/>
        </w:rPr>
        <w:t>ome </w:t>
      </w:r>
      <w:r>
        <w:rPr>
          <w:sz w:val="22"/>
        </w:rPr>
        <w:t>a</w:t>
      </w:r>
      <w:r>
        <w:rPr>
          <w:spacing w:val="11"/>
          <w:sz w:val="22"/>
        </w:rPr>
        <w:t> hindranc</w:t>
      </w:r>
      <w:r>
        <w:rPr>
          <w:spacing w:val="-28"/>
          <w:sz w:val="22"/>
        </w:rPr>
        <w:t> </w:t>
      </w:r>
      <w:r>
        <w:rPr>
          <w:sz w:val="22"/>
        </w:rPr>
        <w:t>e</w:t>
      </w:r>
      <w:r>
        <w:rPr>
          <w:spacing w:val="32"/>
          <w:sz w:val="22"/>
        </w:rPr>
        <w:t> </w:t>
      </w:r>
      <w:r>
        <w:rPr>
          <w:sz w:val="22"/>
        </w:rPr>
        <w:t>to</w:t>
      </w:r>
      <w:r>
        <w:rPr>
          <w:spacing w:val="30"/>
          <w:sz w:val="22"/>
        </w:rPr>
        <w:t> </w:t>
      </w:r>
      <w:r>
        <w:rPr>
          <w:sz w:val="22"/>
        </w:rPr>
        <w:t>your</w:t>
      </w:r>
    </w:p>
    <w:p>
      <w:pPr>
        <w:spacing w:line="295" w:lineRule="auto" w:before="3"/>
        <w:ind w:left="440" w:right="712" w:firstLine="13"/>
        <w:jc w:val="left"/>
        <w:rPr>
          <w:sz w:val="22"/>
        </w:rPr>
      </w:pPr>
      <w:r>
        <w:rPr>
          <w:spacing w:val="14"/>
          <w:sz w:val="22"/>
        </w:rPr>
        <w:t>performance </w:t>
      </w:r>
      <w:r>
        <w:rPr>
          <w:sz w:val="22"/>
        </w:rPr>
        <w:t>in this </w:t>
      </w:r>
      <w:r>
        <w:rPr>
          <w:spacing w:val="13"/>
          <w:sz w:val="22"/>
        </w:rPr>
        <w:t>program.</w:t>
      </w:r>
      <w:r>
        <w:rPr>
          <w:spacing w:val="2"/>
          <w:sz w:val="22"/>
        </w:rPr>
        <w:t> </w:t>
      </w:r>
      <w:r>
        <w:rPr>
          <w:sz w:val="22"/>
        </w:rPr>
        <w:t>This threshold is </w:t>
      </w:r>
      <w:r>
        <w:rPr>
          <w:spacing w:val="9"/>
          <w:sz w:val="22"/>
        </w:rPr>
        <w:t>different </w:t>
      </w:r>
      <w:r>
        <w:rPr>
          <w:sz w:val="22"/>
        </w:rPr>
        <w:t>for </w:t>
      </w:r>
      <w:r>
        <w:rPr>
          <w:spacing w:val="11"/>
          <w:sz w:val="22"/>
        </w:rPr>
        <w:t>ea</w:t>
      </w:r>
      <w:r>
        <w:rPr>
          <w:spacing w:val="-31"/>
          <w:sz w:val="22"/>
        </w:rPr>
        <w:t> </w:t>
      </w:r>
      <w:r>
        <w:rPr>
          <w:spacing w:val="11"/>
          <w:sz w:val="22"/>
        </w:rPr>
        <w:t>ch</w:t>
      </w:r>
      <w:r>
        <w:rPr>
          <w:spacing w:val="10"/>
          <w:sz w:val="22"/>
        </w:rPr>
        <w:t> individual.</w:t>
      </w:r>
      <w:r>
        <w:rPr>
          <w:sz w:val="22"/>
        </w:rPr>
        <w:t> In </w:t>
      </w:r>
      <w:r>
        <w:rPr>
          <w:spacing w:val="9"/>
          <w:sz w:val="22"/>
        </w:rPr>
        <w:t>the </w:t>
      </w:r>
      <w:r>
        <w:rPr>
          <w:sz w:val="22"/>
        </w:rPr>
        <w:t>p</w:t>
      </w:r>
      <w:r>
        <w:rPr>
          <w:spacing w:val="-31"/>
          <w:sz w:val="22"/>
        </w:rPr>
        <w:t> </w:t>
      </w:r>
      <w:r>
        <w:rPr>
          <w:sz w:val="22"/>
        </w:rPr>
        <w:t>ast, </w:t>
      </w:r>
      <w:r>
        <w:rPr>
          <w:spacing w:val="10"/>
          <w:sz w:val="22"/>
        </w:rPr>
        <w:t>we</w:t>
      </w:r>
      <w:r>
        <w:rPr>
          <w:spacing w:val="-3"/>
          <w:sz w:val="22"/>
        </w:rPr>
        <w:t> </w:t>
      </w:r>
      <w:r>
        <w:rPr>
          <w:spacing w:val="13"/>
          <w:sz w:val="22"/>
        </w:rPr>
        <w:t>have</w:t>
      </w:r>
      <w:r>
        <w:rPr>
          <w:spacing w:val="3"/>
          <w:sz w:val="22"/>
        </w:rPr>
        <w:t> </w:t>
      </w:r>
      <w:r>
        <w:rPr>
          <w:spacing w:val="11"/>
          <w:sz w:val="22"/>
        </w:rPr>
        <w:t>seen</w:t>
      </w:r>
      <w:r>
        <w:rPr>
          <w:spacing w:val="5"/>
          <w:sz w:val="22"/>
        </w:rPr>
        <w:t> </w:t>
      </w:r>
      <w:r>
        <w:rPr>
          <w:spacing w:val="13"/>
          <w:sz w:val="22"/>
        </w:rPr>
        <w:t>that </w:t>
      </w:r>
      <w:r>
        <w:rPr>
          <w:sz w:val="22"/>
        </w:rPr>
        <w:t>a</w:t>
      </w:r>
      <w:r>
        <w:rPr>
          <w:spacing w:val="-33"/>
          <w:sz w:val="22"/>
        </w:rPr>
        <w:t> </w:t>
      </w:r>
      <w:r>
        <w:rPr>
          <w:sz w:val="22"/>
        </w:rPr>
        <w:t>c</w:t>
      </w:r>
      <w:r>
        <w:rPr>
          <w:spacing w:val="-33"/>
          <w:sz w:val="22"/>
        </w:rPr>
        <w:t> </w:t>
      </w:r>
      <w:r>
        <w:rPr>
          <w:sz w:val="22"/>
        </w:rPr>
        <w:t>a</w:t>
      </w:r>
      <w:r>
        <w:rPr>
          <w:spacing w:val="-33"/>
          <w:sz w:val="22"/>
        </w:rPr>
        <w:t> </w:t>
      </w:r>
      <w:r>
        <w:rPr>
          <w:spacing w:val="14"/>
          <w:sz w:val="22"/>
        </w:rPr>
        <w:t>demic</w:t>
      </w:r>
      <w:r>
        <w:rPr>
          <w:spacing w:val="-33"/>
          <w:sz w:val="22"/>
        </w:rPr>
        <w:t> </w:t>
      </w:r>
      <w:r>
        <w:rPr>
          <w:sz w:val="22"/>
        </w:rPr>
        <w:t>ally</w:t>
      </w:r>
      <w:r>
        <w:rPr>
          <w:spacing w:val="-3"/>
          <w:sz w:val="22"/>
        </w:rPr>
        <w:t> </w:t>
      </w:r>
      <w:r>
        <w:rPr>
          <w:sz w:val="22"/>
        </w:rPr>
        <w:t>suc</w:t>
      </w:r>
      <w:r>
        <w:rPr>
          <w:spacing w:val="-30"/>
          <w:sz w:val="22"/>
        </w:rPr>
        <w:t> </w:t>
      </w:r>
      <w:r>
        <w:rPr>
          <w:sz w:val="22"/>
        </w:rPr>
        <w:t>c</w:t>
      </w:r>
      <w:r>
        <w:rPr>
          <w:spacing w:val="-34"/>
          <w:sz w:val="22"/>
        </w:rPr>
        <w:t> </w:t>
      </w:r>
      <w:r>
        <w:rPr>
          <w:sz w:val="22"/>
        </w:rPr>
        <w:t>essful</w:t>
      </w:r>
      <w:r>
        <w:rPr>
          <w:spacing w:val="-8"/>
          <w:sz w:val="22"/>
        </w:rPr>
        <w:t> </w:t>
      </w:r>
      <w:r>
        <w:rPr>
          <w:spacing w:val="11"/>
          <w:sz w:val="22"/>
        </w:rPr>
        <w:t>students</w:t>
      </w:r>
      <w:r>
        <w:rPr>
          <w:spacing w:val="5"/>
          <w:sz w:val="22"/>
        </w:rPr>
        <w:t> </w:t>
      </w:r>
      <w:r>
        <w:rPr>
          <w:spacing w:val="10"/>
          <w:sz w:val="22"/>
        </w:rPr>
        <w:t>who</w:t>
      </w:r>
      <w:r>
        <w:rPr>
          <w:spacing w:val="9"/>
          <w:sz w:val="22"/>
        </w:rPr>
        <w:t> </w:t>
      </w:r>
      <w:r>
        <w:rPr>
          <w:spacing w:val="13"/>
          <w:sz w:val="22"/>
        </w:rPr>
        <w:t>have </w:t>
      </w:r>
      <w:r>
        <w:rPr>
          <w:spacing w:val="14"/>
          <w:sz w:val="22"/>
        </w:rPr>
        <w:t>been</w:t>
      </w:r>
      <w:r>
        <w:rPr>
          <w:spacing w:val="-1"/>
          <w:sz w:val="22"/>
        </w:rPr>
        <w:t> </w:t>
      </w:r>
      <w:r>
        <w:rPr>
          <w:spacing w:val="11"/>
          <w:sz w:val="22"/>
        </w:rPr>
        <w:t>involved</w:t>
      </w:r>
      <w:r>
        <w:rPr>
          <w:spacing w:val="4"/>
          <w:sz w:val="22"/>
        </w:rPr>
        <w:t> </w:t>
      </w:r>
      <w:r>
        <w:rPr>
          <w:sz w:val="22"/>
        </w:rPr>
        <w:t>in</w:t>
      </w:r>
      <w:r>
        <w:rPr>
          <w:spacing w:val="-1"/>
          <w:sz w:val="22"/>
        </w:rPr>
        <w:t> </w:t>
      </w:r>
      <w:r>
        <w:rPr>
          <w:spacing w:val="13"/>
          <w:sz w:val="22"/>
        </w:rPr>
        <w:t>some </w:t>
      </w:r>
      <w:r>
        <w:rPr>
          <w:sz w:val="22"/>
        </w:rPr>
        <w:t>of </w:t>
      </w:r>
      <w:r>
        <w:rPr>
          <w:spacing w:val="9"/>
          <w:sz w:val="22"/>
        </w:rPr>
        <w:t>the </w:t>
      </w:r>
      <w:r>
        <w:rPr>
          <w:spacing w:val="10"/>
          <w:sz w:val="22"/>
        </w:rPr>
        <w:t>more </w:t>
      </w:r>
      <w:r>
        <w:rPr>
          <w:spacing w:val="16"/>
          <w:sz w:val="22"/>
        </w:rPr>
        <w:t>demanding </w:t>
      </w:r>
      <w:r>
        <w:rPr>
          <w:sz w:val="22"/>
        </w:rPr>
        <w:t>extra</w:t>
      </w:r>
      <w:r>
        <w:rPr>
          <w:spacing w:val="-33"/>
          <w:sz w:val="22"/>
        </w:rPr>
        <w:t> </w:t>
      </w:r>
      <w:r>
        <w:rPr>
          <w:spacing w:val="9"/>
          <w:sz w:val="22"/>
        </w:rPr>
        <w:t>curricular </w:t>
      </w:r>
      <w:r>
        <w:rPr>
          <w:sz w:val="22"/>
        </w:rPr>
        <w:t>a</w:t>
      </w:r>
      <w:r>
        <w:rPr>
          <w:spacing w:val="-33"/>
          <w:sz w:val="22"/>
        </w:rPr>
        <w:t> </w:t>
      </w:r>
      <w:r>
        <w:rPr>
          <w:sz w:val="22"/>
        </w:rPr>
        <w:t>ctivities </w:t>
      </w:r>
      <w:r>
        <w:rPr>
          <w:spacing w:val="10"/>
          <w:sz w:val="22"/>
        </w:rPr>
        <w:t>were</w:t>
      </w:r>
      <w:r>
        <w:rPr>
          <w:spacing w:val="7"/>
          <w:sz w:val="22"/>
        </w:rPr>
        <w:t> </w:t>
      </w:r>
      <w:r>
        <w:rPr>
          <w:sz w:val="22"/>
        </w:rPr>
        <w:t>suc</w:t>
      </w:r>
      <w:r>
        <w:rPr>
          <w:spacing w:val="-30"/>
          <w:sz w:val="22"/>
        </w:rPr>
        <w:t> </w:t>
      </w:r>
      <w:r>
        <w:rPr>
          <w:sz w:val="22"/>
        </w:rPr>
        <w:t>c</w:t>
      </w:r>
      <w:r>
        <w:rPr>
          <w:spacing w:val="-34"/>
          <w:sz w:val="22"/>
        </w:rPr>
        <w:t> </w:t>
      </w:r>
      <w:r>
        <w:rPr>
          <w:sz w:val="22"/>
        </w:rPr>
        <w:t>essful </w:t>
      </w:r>
      <w:r>
        <w:rPr>
          <w:sz w:val="22"/>
          <w:u w:val="single"/>
        </w:rPr>
        <w:t>only</w:t>
      </w:r>
      <w:r>
        <w:rPr>
          <w:spacing w:val="-1"/>
          <w:sz w:val="22"/>
        </w:rPr>
        <w:t> </w:t>
      </w:r>
      <w:r>
        <w:rPr>
          <w:sz w:val="22"/>
        </w:rPr>
        <w:t>if </w:t>
      </w:r>
      <w:r>
        <w:rPr>
          <w:spacing w:val="10"/>
          <w:sz w:val="22"/>
        </w:rPr>
        <w:t>they </w:t>
      </w:r>
      <w:r>
        <w:rPr>
          <w:spacing w:val="9"/>
          <w:sz w:val="22"/>
        </w:rPr>
        <w:t>possessed strong </w:t>
      </w:r>
      <w:r>
        <w:rPr>
          <w:sz w:val="22"/>
        </w:rPr>
        <w:t>initiative AND </w:t>
      </w:r>
      <w:r>
        <w:rPr>
          <w:spacing w:val="9"/>
          <w:sz w:val="22"/>
        </w:rPr>
        <w:t>exc</w:t>
      </w:r>
      <w:r>
        <w:rPr>
          <w:spacing w:val="-32"/>
          <w:sz w:val="22"/>
        </w:rPr>
        <w:t> </w:t>
      </w:r>
      <w:r>
        <w:rPr>
          <w:sz w:val="22"/>
        </w:rPr>
        <w:t>ellent </w:t>
      </w:r>
      <w:r>
        <w:rPr>
          <w:spacing w:val="12"/>
          <w:sz w:val="22"/>
        </w:rPr>
        <w:t>time-</w:t>
      </w:r>
      <w:r>
        <w:rPr>
          <w:spacing w:val="17"/>
          <w:sz w:val="22"/>
        </w:rPr>
        <w:t>management</w:t>
      </w:r>
      <w:r>
        <w:rPr>
          <w:spacing w:val="11"/>
          <w:sz w:val="22"/>
        </w:rPr>
        <w:t> </w:t>
      </w:r>
      <w:r>
        <w:rPr>
          <w:sz w:val="22"/>
        </w:rPr>
        <w:t>skills. If </w:t>
      </w:r>
      <w:r>
        <w:rPr>
          <w:spacing w:val="9"/>
          <w:sz w:val="22"/>
        </w:rPr>
        <w:t>you </w:t>
      </w:r>
      <w:r>
        <w:rPr>
          <w:sz w:val="22"/>
        </w:rPr>
        <w:t>la</w:t>
      </w:r>
      <w:r>
        <w:rPr>
          <w:spacing w:val="-31"/>
          <w:sz w:val="22"/>
        </w:rPr>
        <w:t> </w:t>
      </w:r>
      <w:r>
        <w:rPr>
          <w:sz w:val="22"/>
        </w:rPr>
        <w:t>ck </w:t>
      </w:r>
      <w:r>
        <w:rPr>
          <w:spacing w:val="10"/>
          <w:sz w:val="22"/>
        </w:rPr>
        <w:t>one </w:t>
      </w:r>
      <w:r>
        <w:rPr>
          <w:sz w:val="22"/>
        </w:rPr>
        <w:t>or </w:t>
      </w:r>
      <w:r>
        <w:rPr>
          <w:spacing w:val="13"/>
          <w:sz w:val="22"/>
        </w:rPr>
        <w:t>both </w:t>
      </w:r>
      <w:r>
        <w:rPr>
          <w:sz w:val="22"/>
        </w:rPr>
        <w:t>of </w:t>
      </w:r>
      <w:r>
        <w:rPr>
          <w:spacing w:val="9"/>
          <w:sz w:val="22"/>
        </w:rPr>
        <w:t>these </w:t>
      </w:r>
      <w:r>
        <w:rPr>
          <w:sz w:val="22"/>
        </w:rPr>
        <w:t>traits or fail to</w:t>
      </w:r>
      <w:r>
        <w:rPr>
          <w:spacing w:val="13"/>
          <w:sz w:val="22"/>
        </w:rPr>
        <w:t> develop </w:t>
      </w:r>
      <w:r>
        <w:rPr>
          <w:spacing w:val="12"/>
          <w:sz w:val="22"/>
        </w:rPr>
        <w:t>them, </w:t>
      </w:r>
      <w:r>
        <w:rPr>
          <w:spacing w:val="15"/>
          <w:sz w:val="22"/>
        </w:rPr>
        <w:t>attempt </w:t>
      </w:r>
      <w:r>
        <w:rPr>
          <w:sz w:val="22"/>
        </w:rPr>
        <w:t>to</w:t>
      </w:r>
      <w:r>
        <w:rPr>
          <w:spacing w:val="12"/>
          <w:sz w:val="22"/>
        </w:rPr>
        <w:t> maintain </w:t>
      </w:r>
      <w:r>
        <w:rPr>
          <w:spacing w:val="13"/>
          <w:sz w:val="22"/>
        </w:rPr>
        <w:t>participation </w:t>
      </w:r>
      <w:r>
        <w:rPr>
          <w:sz w:val="22"/>
        </w:rPr>
        <w:t>in </w:t>
      </w:r>
      <w:r>
        <w:rPr>
          <w:spacing w:val="9"/>
          <w:sz w:val="22"/>
        </w:rPr>
        <w:t>rigorous </w:t>
      </w:r>
      <w:r>
        <w:rPr>
          <w:sz w:val="22"/>
        </w:rPr>
        <w:t>extra-</w:t>
      </w:r>
    </w:p>
    <w:p>
      <w:pPr>
        <w:spacing w:line="250" w:lineRule="exact" w:before="0"/>
        <w:ind w:left="456" w:right="0" w:firstLine="0"/>
        <w:jc w:val="left"/>
        <w:rPr>
          <w:sz w:val="22"/>
        </w:rPr>
      </w:pPr>
      <w:r>
        <w:rPr>
          <w:spacing w:val="9"/>
          <w:sz w:val="22"/>
        </w:rPr>
        <w:t>curricular</w:t>
      </w:r>
      <w:r>
        <w:rPr>
          <w:spacing w:val="21"/>
          <w:sz w:val="22"/>
        </w:rPr>
        <w:t> </w:t>
      </w:r>
      <w:r>
        <w:rPr>
          <w:sz w:val="22"/>
        </w:rPr>
        <w:t>a</w:t>
      </w:r>
      <w:r>
        <w:rPr>
          <w:spacing w:val="-30"/>
          <w:sz w:val="22"/>
        </w:rPr>
        <w:t> </w:t>
      </w:r>
      <w:r>
        <w:rPr>
          <w:sz w:val="22"/>
        </w:rPr>
        <w:t>ctivities</w:t>
      </w:r>
      <w:r>
        <w:rPr>
          <w:spacing w:val="18"/>
          <w:sz w:val="22"/>
        </w:rPr>
        <w:t> </w:t>
      </w:r>
      <w:r>
        <w:rPr>
          <w:sz w:val="22"/>
        </w:rPr>
        <w:t>will</w:t>
      </w:r>
      <w:r>
        <w:rPr>
          <w:spacing w:val="7"/>
          <w:sz w:val="22"/>
        </w:rPr>
        <w:t> </w:t>
      </w:r>
      <w:r>
        <w:rPr>
          <w:sz w:val="22"/>
        </w:rPr>
        <w:t>likely</w:t>
      </w:r>
      <w:r>
        <w:rPr>
          <w:spacing w:val="9"/>
          <w:sz w:val="22"/>
        </w:rPr>
        <w:t> </w:t>
      </w:r>
      <w:r>
        <w:rPr>
          <w:sz w:val="22"/>
        </w:rPr>
        <w:t>result</w:t>
      </w:r>
      <w:r>
        <w:rPr>
          <w:spacing w:val="9"/>
          <w:sz w:val="22"/>
        </w:rPr>
        <w:t> </w:t>
      </w:r>
      <w:r>
        <w:rPr>
          <w:sz w:val="22"/>
        </w:rPr>
        <w:t>in</w:t>
      </w:r>
      <w:r>
        <w:rPr>
          <w:spacing w:val="15"/>
          <w:sz w:val="22"/>
        </w:rPr>
        <w:t> </w:t>
      </w:r>
      <w:r>
        <w:rPr>
          <w:sz w:val="22"/>
        </w:rPr>
        <w:t>your</w:t>
      </w:r>
      <w:r>
        <w:rPr>
          <w:spacing w:val="19"/>
          <w:sz w:val="22"/>
        </w:rPr>
        <w:t> </w:t>
      </w:r>
      <w:r>
        <w:rPr>
          <w:sz w:val="22"/>
        </w:rPr>
        <w:t>work</w:t>
      </w:r>
      <w:r>
        <w:rPr>
          <w:spacing w:val="4"/>
          <w:sz w:val="22"/>
        </w:rPr>
        <w:t> </w:t>
      </w:r>
      <w:r>
        <w:rPr>
          <w:spacing w:val="-2"/>
          <w:sz w:val="22"/>
        </w:rPr>
        <w:t>suffering.</w:t>
      </w:r>
    </w:p>
    <w:p>
      <w:pPr>
        <w:pStyle w:val="BodyText"/>
        <w:spacing w:before="9"/>
        <w:rPr>
          <w:sz w:val="31"/>
        </w:rPr>
      </w:pPr>
    </w:p>
    <w:p>
      <w:pPr>
        <w:spacing w:before="0"/>
        <w:ind w:left="440" w:right="0" w:firstLine="0"/>
        <w:jc w:val="left"/>
        <w:rPr>
          <w:i/>
          <w:sz w:val="22"/>
        </w:rPr>
      </w:pPr>
      <w:r>
        <w:rPr>
          <w:i/>
          <w:spacing w:val="10"/>
          <w:sz w:val="22"/>
        </w:rPr>
        <w:t>Since</w:t>
      </w:r>
      <w:r>
        <w:rPr>
          <w:i/>
          <w:spacing w:val="6"/>
          <w:sz w:val="22"/>
        </w:rPr>
        <w:t> </w:t>
      </w:r>
      <w:r>
        <w:rPr>
          <w:i/>
          <w:spacing w:val="10"/>
          <w:sz w:val="22"/>
        </w:rPr>
        <w:t>design</w:t>
      </w:r>
      <w:r>
        <w:rPr>
          <w:i/>
          <w:spacing w:val="-11"/>
          <w:sz w:val="22"/>
        </w:rPr>
        <w:t> </w:t>
      </w:r>
      <w:r>
        <w:rPr>
          <w:i/>
          <w:sz w:val="22"/>
        </w:rPr>
        <w:t>is </w:t>
      </w:r>
      <w:r>
        <w:rPr>
          <w:i/>
          <w:spacing w:val="11"/>
          <w:sz w:val="22"/>
        </w:rPr>
        <w:t>creative,</w:t>
      </w:r>
      <w:r>
        <w:rPr>
          <w:i/>
          <w:spacing w:val="-8"/>
          <w:sz w:val="22"/>
        </w:rPr>
        <w:t> </w:t>
      </w:r>
      <w:r>
        <w:rPr>
          <w:i/>
          <w:spacing w:val="12"/>
          <w:sz w:val="22"/>
        </w:rPr>
        <w:t>how</w:t>
      </w:r>
      <w:r>
        <w:rPr>
          <w:i/>
          <w:spacing w:val="5"/>
          <w:sz w:val="22"/>
        </w:rPr>
        <w:t> </w:t>
      </w:r>
      <w:r>
        <w:rPr>
          <w:i/>
          <w:sz w:val="22"/>
        </w:rPr>
        <w:t>will</w:t>
      </w:r>
      <w:r>
        <w:rPr>
          <w:i/>
          <w:spacing w:val="-12"/>
          <w:sz w:val="22"/>
        </w:rPr>
        <w:t> </w:t>
      </w:r>
      <w:r>
        <w:rPr>
          <w:i/>
          <w:sz w:val="22"/>
        </w:rPr>
        <w:t>I</w:t>
      </w:r>
      <w:r>
        <w:rPr>
          <w:i/>
          <w:spacing w:val="-5"/>
          <w:sz w:val="22"/>
        </w:rPr>
        <w:t> </w:t>
      </w:r>
      <w:r>
        <w:rPr>
          <w:i/>
          <w:spacing w:val="12"/>
          <w:sz w:val="22"/>
        </w:rPr>
        <w:t>be</w:t>
      </w:r>
      <w:r>
        <w:rPr>
          <w:i/>
          <w:spacing w:val="6"/>
          <w:sz w:val="22"/>
        </w:rPr>
        <w:t> </w:t>
      </w:r>
      <w:r>
        <w:rPr>
          <w:i/>
          <w:spacing w:val="14"/>
          <w:sz w:val="22"/>
        </w:rPr>
        <w:t>graded?</w:t>
      </w:r>
    </w:p>
    <w:p>
      <w:pPr>
        <w:pStyle w:val="BodyText"/>
        <w:spacing w:before="1"/>
        <w:rPr>
          <w:i/>
          <w:sz w:val="32"/>
        </w:rPr>
      </w:pPr>
    </w:p>
    <w:p>
      <w:pPr>
        <w:spacing w:line="292" w:lineRule="auto" w:before="0"/>
        <w:ind w:left="450" w:right="642" w:hanging="11"/>
        <w:jc w:val="left"/>
        <w:rPr>
          <w:sz w:val="22"/>
        </w:rPr>
      </w:pPr>
      <w:r>
        <w:rPr>
          <w:sz w:val="22"/>
        </w:rPr>
        <w:t>To </w:t>
      </w:r>
      <w:r>
        <w:rPr>
          <w:spacing w:val="11"/>
          <w:sz w:val="22"/>
        </w:rPr>
        <w:t>answer</w:t>
      </w:r>
      <w:r>
        <w:rPr>
          <w:spacing w:val="6"/>
          <w:sz w:val="22"/>
        </w:rPr>
        <w:t> </w:t>
      </w:r>
      <w:r>
        <w:rPr>
          <w:sz w:val="22"/>
        </w:rPr>
        <w:t>this </w:t>
      </w:r>
      <w:r>
        <w:rPr>
          <w:spacing w:val="10"/>
          <w:sz w:val="22"/>
        </w:rPr>
        <w:t>question</w:t>
      </w:r>
      <w:r>
        <w:rPr>
          <w:spacing w:val="2"/>
          <w:sz w:val="22"/>
        </w:rPr>
        <w:t> </w:t>
      </w:r>
      <w:r>
        <w:rPr>
          <w:sz w:val="22"/>
        </w:rPr>
        <w:t>it is</w:t>
      </w:r>
      <w:r>
        <w:rPr>
          <w:spacing w:val="-1"/>
          <w:sz w:val="22"/>
        </w:rPr>
        <w:t> </w:t>
      </w:r>
      <w:r>
        <w:rPr>
          <w:spacing w:val="14"/>
          <w:sz w:val="22"/>
        </w:rPr>
        <w:t>important</w:t>
      </w:r>
      <w:r>
        <w:rPr>
          <w:spacing w:val="12"/>
          <w:sz w:val="22"/>
        </w:rPr>
        <w:t> </w:t>
      </w:r>
      <w:r>
        <w:rPr>
          <w:sz w:val="22"/>
        </w:rPr>
        <w:t>to first </w:t>
      </w:r>
      <w:r>
        <w:rPr>
          <w:spacing w:val="12"/>
          <w:sz w:val="22"/>
        </w:rPr>
        <w:t>understand </w:t>
      </w:r>
      <w:r>
        <w:rPr>
          <w:spacing w:val="9"/>
          <w:sz w:val="22"/>
        </w:rPr>
        <w:t>the </w:t>
      </w:r>
      <w:r>
        <w:rPr>
          <w:spacing w:val="10"/>
          <w:sz w:val="22"/>
        </w:rPr>
        <w:t>differenc</w:t>
      </w:r>
      <w:r>
        <w:rPr>
          <w:spacing w:val="-34"/>
          <w:sz w:val="22"/>
        </w:rPr>
        <w:t> </w:t>
      </w:r>
      <w:r>
        <w:rPr>
          <w:sz w:val="22"/>
        </w:rPr>
        <w:t>e </w:t>
      </w:r>
      <w:r>
        <w:rPr>
          <w:spacing w:val="14"/>
          <w:sz w:val="22"/>
        </w:rPr>
        <w:t>between </w:t>
      </w:r>
      <w:r>
        <w:rPr>
          <w:sz w:val="22"/>
        </w:rPr>
        <w:t>assessment </w:t>
      </w:r>
      <w:r>
        <w:rPr>
          <w:spacing w:val="13"/>
          <w:sz w:val="22"/>
        </w:rPr>
        <w:t>and </w:t>
      </w:r>
      <w:r>
        <w:rPr>
          <w:spacing w:val="11"/>
          <w:sz w:val="22"/>
        </w:rPr>
        <w:t>evaluation.</w:t>
      </w:r>
      <w:r>
        <w:rPr>
          <w:spacing w:val="5"/>
          <w:sz w:val="22"/>
        </w:rPr>
        <w:t> </w:t>
      </w:r>
      <w:r>
        <w:rPr>
          <w:sz w:val="22"/>
        </w:rPr>
        <w:t>Assessment is a </w:t>
      </w:r>
      <w:r>
        <w:rPr>
          <w:spacing w:val="9"/>
          <w:sz w:val="22"/>
        </w:rPr>
        <w:t>non-</w:t>
      </w:r>
      <w:r>
        <w:rPr>
          <w:spacing w:val="15"/>
          <w:sz w:val="22"/>
        </w:rPr>
        <w:t>judgmental</w:t>
      </w:r>
      <w:r>
        <w:rPr>
          <w:spacing w:val="-3"/>
          <w:sz w:val="22"/>
        </w:rPr>
        <w:t> </w:t>
      </w:r>
      <w:r>
        <w:rPr>
          <w:spacing w:val="11"/>
          <w:sz w:val="22"/>
        </w:rPr>
        <w:t>report</w:t>
      </w:r>
      <w:r>
        <w:rPr>
          <w:spacing w:val="9"/>
          <w:sz w:val="22"/>
        </w:rPr>
        <w:t> </w:t>
      </w:r>
      <w:r>
        <w:rPr>
          <w:sz w:val="22"/>
        </w:rPr>
        <w:t>of a </w:t>
      </w:r>
      <w:r>
        <w:rPr>
          <w:spacing w:val="13"/>
          <w:sz w:val="22"/>
        </w:rPr>
        <w:t>student’s</w:t>
      </w:r>
      <w:r>
        <w:rPr>
          <w:spacing w:val="9"/>
          <w:sz w:val="22"/>
        </w:rPr>
        <w:t> </w:t>
      </w:r>
      <w:r>
        <w:rPr>
          <w:sz w:val="22"/>
        </w:rPr>
        <w:t>profile of</w:t>
      </w:r>
      <w:r>
        <w:rPr>
          <w:spacing w:val="27"/>
          <w:sz w:val="22"/>
        </w:rPr>
        <w:t> </w:t>
      </w:r>
      <w:r>
        <w:rPr>
          <w:sz w:val="22"/>
        </w:rPr>
        <w:t>a</w:t>
      </w:r>
      <w:r>
        <w:rPr>
          <w:spacing w:val="-28"/>
          <w:sz w:val="22"/>
        </w:rPr>
        <w:t> </w:t>
      </w:r>
      <w:r>
        <w:rPr>
          <w:spacing w:val="13"/>
          <w:sz w:val="22"/>
        </w:rPr>
        <w:t>chievement.</w:t>
      </w:r>
      <w:r>
        <w:rPr>
          <w:spacing w:val="40"/>
          <w:sz w:val="22"/>
        </w:rPr>
        <w:t> </w:t>
      </w:r>
      <w:r>
        <w:rPr>
          <w:sz w:val="22"/>
        </w:rPr>
        <w:t>It is like</w:t>
      </w:r>
      <w:r>
        <w:rPr>
          <w:spacing w:val="33"/>
          <w:sz w:val="22"/>
        </w:rPr>
        <w:t> </w:t>
      </w:r>
      <w:r>
        <w:rPr>
          <w:sz w:val="22"/>
        </w:rPr>
        <w:t>a</w:t>
      </w:r>
      <w:r>
        <w:rPr>
          <w:spacing w:val="12"/>
          <w:sz w:val="22"/>
        </w:rPr>
        <w:t> diagnostic </w:t>
      </w:r>
      <w:r>
        <w:rPr>
          <w:spacing w:val="10"/>
          <w:sz w:val="22"/>
        </w:rPr>
        <w:t>rea</w:t>
      </w:r>
      <w:r>
        <w:rPr>
          <w:spacing w:val="-30"/>
          <w:sz w:val="22"/>
        </w:rPr>
        <w:t> </w:t>
      </w:r>
      <w:r>
        <w:rPr>
          <w:sz w:val="22"/>
        </w:rPr>
        <w:t>ding</w:t>
      </w:r>
      <w:r>
        <w:rPr>
          <w:spacing w:val="32"/>
          <w:sz w:val="22"/>
        </w:rPr>
        <w:t> </w:t>
      </w:r>
      <w:r>
        <w:rPr>
          <w:sz w:val="22"/>
        </w:rPr>
        <w:t>of your </w:t>
      </w:r>
      <w:r>
        <w:rPr>
          <w:spacing w:val="13"/>
          <w:sz w:val="22"/>
        </w:rPr>
        <w:t>performanc</w:t>
      </w:r>
      <w:r>
        <w:rPr>
          <w:spacing w:val="-31"/>
          <w:sz w:val="22"/>
        </w:rPr>
        <w:t> </w:t>
      </w:r>
      <w:r>
        <w:rPr>
          <w:sz w:val="22"/>
        </w:rPr>
        <w:t>e. </w:t>
      </w:r>
      <w:r>
        <w:rPr>
          <w:spacing w:val="11"/>
          <w:sz w:val="22"/>
        </w:rPr>
        <w:t>Evaluation </w:t>
      </w:r>
      <w:r>
        <w:rPr>
          <w:sz w:val="22"/>
        </w:rPr>
        <w:t>is </w:t>
      </w:r>
      <w:r>
        <w:rPr>
          <w:spacing w:val="9"/>
          <w:sz w:val="22"/>
        </w:rPr>
        <w:t>the</w:t>
      </w:r>
    </w:p>
    <w:p>
      <w:pPr>
        <w:spacing w:line="295" w:lineRule="auto" w:before="3"/>
        <w:ind w:left="450" w:right="642" w:hanging="11"/>
        <w:jc w:val="left"/>
        <w:rPr>
          <w:sz w:val="22"/>
        </w:rPr>
      </w:pPr>
      <w:r>
        <w:rPr>
          <w:sz w:val="22"/>
        </w:rPr>
        <w:t>sc</w:t>
      </w:r>
      <w:r>
        <w:rPr>
          <w:spacing w:val="-32"/>
          <w:sz w:val="22"/>
        </w:rPr>
        <w:t> </w:t>
      </w:r>
      <w:r>
        <w:rPr>
          <w:sz w:val="22"/>
        </w:rPr>
        <w:t>oring</w:t>
      </w:r>
      <w:r>
        <w:rPr>
          <w:spacing w:val="26"/>
          <w:sz w:val="22"/>
        </w:rPr>
        <w:t> </w:t>
      </w:r>
      <w:r>
        <w:rPr>
          <w:sz w:val="22"/>
        </w:rPr>
        <w:t>of </w:t>
      </w:r>
      <w:r>
        <w:rPr>
          <w:spacing w:val="13"/>
          <w:sz w:val="22"/>
        </w:rPr>
        <w:t>that </w:t>
      </w:r>
      <w:r>
        <w:rPr>
          <w:spacing w:val="14"/>
          <w:sz w:val="22"/>
        </w:rPr>
        <w:t>performance.</w:t>
      </w:r>
      <w:r>
        <w:rPr>
          <w:spacing w:val="-2"/>
          <w:sz w:val="22"/>
        </w:rPr>
        <w:t> </w:t>
      </w:r>
      <w:r>
        <w:rPr>
          <w:sz w:val="22"/>
        </w:rPr>
        <w:t>It is </w:t>
      </w:r>
      <w:r>
        <w:rPr>
          <w:spacing w:val="14"/>
          <w:sz w:val="22"/>
        </w:rPr>
        <w:t>what </w:t>
      </w:r>
      <w:r>
        <w:rPr>
          <w:spacing w:val="10"/>
          <w:sz w:val="22"/>
        </w:rPr>
        <w:t>we </w:t>
      </w:r>
      <w:r>
        <w:rPr>
          <w:spacing w:val="12"/>
          <w:sz w:val="22"/>
        </w:rPr>
        <w:t>tend </w:t>
      </w:r>
      <w:r>
        <w:rPr>
          <w:sz w:val="22"/>
        </w:rPr>
        <w:t>to</w:t>
      </w:r>
      <w:r>
        <w:rPr>
          <w:spacing w:val="19"/>
          <w:sz w:val="22"/>
        </w:rPr>
        <w:t> </w:t>
      </w:r>
      <w:r>
        <w:rPr>
          <w:sz w:val="22"/>
        </w:rPr>
        <w:t>think of</w:t>
      </w:r>
      <w:r>
        <w:rPr>
          <w:spacing w:val="21"/>
          <w:sz w:val="22"/>
        </w:rPr>
        <w:t> </w:t>
      </w:r>
      <w:r>
        <w:rPr>
          <w:sz w:val="22"/>
        </w:rPr>
        <w:t>as gra</w:t>
      </w:r>
      <w:r>
        <w:rPr>
          <w:spacing w:val="-32"/>
          <w:sz w:val="22"/>
        </w:rPr>
        <w:t> </w:t>
      </w:r>
      <w:r>
        <w:rPr>
          <w:sz w:val="22"/>
        </w:rPr>
        <w:t>des.</w:t>
      </w:r>
      <w:r>
        <w:rPr>
          <w:spacing w:val="71"/>
          <w:sz w:val="22"/>
        </w:rPr>
        <w:t> </w:t>
      </w:r>
      <w:r>
        <w:rPr>
          <w:sz w:val="22"/>
        </w:rPr>
        <w:t>Assessment</w:t>
      </w:r>
      <w:r>
        <w:rPr>
          <w:spacing w:val="13"/>
          <w:sz w:val="22"/>
        </w:rPr>
        <w:t> and </w:t>
      </w:r>
      <w:r>
        <w:rPr>
          <w:spacing w:val="12"/>
          <w:sz w:val="22"/>
        </w:rPr>
        <w:t>evaluation </w:t>
      </w:r>
      <w:r>
        <w:rPr>
          <w:sz w:val="22"/>
        </w:rPr>
        <w:t>are </w:t>
      </w:r>
      <w:r>
        <w:rPr>
          <w:spacing w:val="11"/>
          <w:sz w:val="22"/>
        </w:rPr>
        <w:t>not </w:t>
      </w:r>
      <w:r>
        <w:rPr>
          <w:spacing w:val="9"/>
          <w:sz w:val="22"/>
        </w:rPr>
        <w:t>necessarily the </w:t>
      </w:r>
      <w:r>
        <w:rPr>
          <w:spacing w:val="13"/>
          <w:sz w:val="22"/>
        </w:rPr>
        <w:t>same.</w:t>
      </w:r>
      <w:r>
        <w:rPr>
          <w:spacing w:val="3"/>
          <w:sz w:val="22"/>
        </w:rPr>
        <w:t> </w:t>
      </w:r>
      <w:r>
        <w:rPr>
          <w:sz w:val="22"/>
        </w:rPr>
        <w:t>Ea</w:t>
      </w:r>
      <w:r>
        <w:rPr>
          <w:spacing w:val="-28"/>
          <w:sz w:val="22"/>
        </w:rPr>
        <w:t> </w:t>
      </w:r>
      <w:r>
        <w:rPr>
          <w:spacing w:val="10"/>
          <w:sz w:val="22"/>
        </w:rPr>
        <w:t>ch </w:t>
      </w:r>
      <w:r>
        <w:rPr>
          <w:sz w:val="22"/>
        </w:rPr>
        <w:t>c</w:t>
      </w:r>
      <w:r>
        <w:rPr>
          <w:spacing w:val="-30"/>
          <w:sz w:val="22"/>
        </w:rPr>
        <w:t> </w:t>
      </w:r>
      <w:r>
        <w:rPr>
          <w:sz w:val="22"/>
        </w:rPr>
        <w:t>ourse will outline its </w:t>
      </w:r>
      <w:r>
        <w:rPr>
          <w:spacing w:val="14"/>
          <w:sz w:val="22"/>
        </w:rPr>
        <w:t>means</w:t>
      </w:r>
      <w:r>
        <w:rPr>
          <w:spacing w:val="10"/>
          <w:sz w:val="22"/>
        </w:rPr>
        <w:t> </w:t>
      </w:r>
      <w:r>
        <w:rPr>
          <w:sz w:val="22"/>
        </w:rPr>
        <w:t>for assessment </w:t>
      </w:r>
      <w:r>
        <w:rPr>
          <w:spacing w:val="13"/>
          <w:sz w:val="22"/>
        </w:rPr>
        <w:t>and </w:t>
      </w:r>
      <w:r>
        <w:rPr>
          <w:spacing w:val="12"/>
          <w:sz w:val="22"/>
        </w:rPr>
        <w:t>evaluation</w:t>
      </w:r>
      <w:r>
        <w:rPr>
          <w:spacing w:val="11"/>
          <w:sz w:val="22"/>
        </w:rPr>
        <w:t> </w:t>
      </w:r>
      <w:r>
        <w:rPr>
          <w:sz w:val="22"/>
        </w:rPr>
        <w:t>in its c</w:t>
      </w:r>
      <w:r>
        <w:rPr>
          <w:spacing w:val="-30"/>
          <w:sz w:val="22"/>
        </w:rPr>
        <w:t> </w:t>
      </w:r>
      <w:r>
        <w:rPr>
          <w:sz w:val="22"/>
        </w:rPr>
        <w:t>ourse syllabus. It is </w:t>
      </w:r>
      <w:r>
        <w:rPr>
          <w:spacing w:val="13"/>
          <w:sz w:val="22"/>
        </w:rPr>
        <w:t>imperative </w:t>
      </w:r>
      <w:r>
        <w:rPr>
          <w:spacing w:val="12"/>
          <w:sz w:val="22"/>
        </w:rPr>
        <w:t>that </w:t>
      </w:r>
      <w:r>
        <w:rPr>
          <w:spacing w:val="10"/>
          <w:sz w:val="22"/>
        </w:rPr>
        <w:t>you </w:t>
      </w:r>
      <w:r>
        <w:rPr>
          <w:spacing w:val="11"/>
          <w:sz w:val="22"/>
        </w:rPr>
        <w:t>rea</w:t>
      </w:r>
      <w:r>
        <w:rPr>
          <w:spacing w:val="-30"/>
          <w:sz w:val="22"/>
        </w:rPr>
        <w:t> </w:t>
      </w:r>
      <w:r>
        <w:rPr>
          <w:sz w:val="22"/>
        </w:rPr>
        <w:t>d</w:t>
      </w:r>
      <w:r>
        <w:rPr>
          <w:spacing w:val="13"/>
          <w:sz w:val="22"/>
        </w:rPr>
        <w:t> and</w:t>
      </w:r>
    </w:p>
    <w:p>
      <w:pPr>
        <w:spacing w:line="251" w:lineRule="exact" w:before="0"/>
        <w:ind w:left="456" w:right="0" w:firstLine="0"/>
        <w:jc w:val="left"/>
        <w:rPr>
          <w:sz w:val="22"/>
        </w:rPr>
      </w:pPr>
      <w:r>
        <w:rPr>
          <w:sz w:val="22"/>
        </w:rPr>
        <w:t>c</w:t>
      </w:r>
      <w:r>
        <w:rPr>
          <w:spacing w:val="-33"/>
          <w:sz w:val="22"/>
        </w:rPr>
        <w:t> </w:t>
      </w:r>
      <w:r>
        <w:rPr>
          <w:spacing w:val="14"/>
          <w:sz w:val="22"/>
        </w:rPr>
        <w:t>omprehend</w:t>
      </w:r>
      <w:r>
        <w:rPr>
          <w:spacing w:val="18"/>
          <w:sz w:val="22"/>
        </w:rPr>
        <w:t> </w:t>
      </w:r>
      <w:r>
        <w:rPr>
          <w:sz w:val="22"/>
        </w:rPr>
        <w:t>this</w:t>
      </w:r>
      <w:r>
        <w:rPr>
          <w:spacing w:val="11"/>
          <w:sz w:val="22"/>
        </w:rPr>
        <w:t> </w:t>
      </w:r>
      <w:r>
        <w:rPr>
          <w:spacing w:val="10"/>
          <w:sz w:val="22"/>
        </w:rPr>
        <w:t>portion</w:t>
      </w:r>
      <w:r>
        <w:rPr>
          <w:spacing w:val="15"/>
          <w:sz w:val="22"/>
        </w:rPr>
        <w:t> </w:t>
      </w:r>
      <w:r>
        <w:rPr>
          <w:sz w:val="22"/>
        </w:rPr>
        <w:t>of</w:t>
      </w:r>
      <w:r>
        <w:rPr>
          <w:spacing w:val="9"/>
          <w:sz w:val="22"/>
        </w:rPr>
        <w:t> the</w:t>
      </w:r>
      <w:r>
        <w:rPr>
          <w:spacing w:val="8"/>
          <w:sz w:val="22"/>
        </w:rPr>
        <w:t> </w:t>
      </w:r>
      <w:r>
        <w:rPr>
          <w:sz w:val="22"/>
        </w:rPr>
        <w:t>syllabus</w:t>
      </w:r>
      <w:r>
        <w:rPr>
          <w:spacing w:val="10"/>
          <w:sz w:val="22"/>
        </w:rPr>
        <w:t> </w:t>
      </w:r>
      <w:r>
        <w:rPr>
          <w:sz w:val="22"/>
        </w:rPr>
        <w:t>on</w:t>
      </w:r>
      <w:r>
        <w:rPr>
          <w:spacing w:val="11"/>
          <w:sz w:val="22"/>
        </w:rPr>
        <w:t> </w:t>
      </w:r>
      <w:r>
        <w:rPr>
          <w:spacing w:val="9"/>
          <w:sz w:val="22"/>
        </w:rPr>
        <w:t>the</w:t>
      </w:r>
      <w:r>
        <w:rPr>
          <w:spacing w:val="13"/>
          <w:sz w:val="22"/>
        </w:rPr>
        <w:t> </w:t>
      </w:r>
      <w:r>
        <w:rPr>
          <w:sz w:val="22"/>
        </w:rPr>
        <w:t>first</w:t>
      </w:r>
      <w:r>
        <w:rPr>
          <w:spacing w:val="19"/>
          <w:sz w:val="22"/>
        </w:rPr>
        <w:t> </w:t>
      </w:r>
      <w:r>
        <w:rPr>
          <w:sz w:val="22"/>
        </w:rPr>
        <w:t>d</w:t>
      </w:r>
      <w:r>
        <w:rPr>
          <w:spacing w:val="-33"/>
          <w:sz w:val="22"/>
        </w:rPr>
        <w:t> </w:t>
      </w:r>
      <w:r>
        <w:rPr>
          <w:sz w:val="22"/>
        </w:rPr>
        <w:t>ay</w:t>
      </w:r>
      <w:r>
        <w:rPr>
          <w:spacing w:val="12"/>
          <w:sz w:val="22"/>
        </w:rPr>
        <w:t> </w:t>
      </w:r>
      <w:r>
        <w:rPr>
          <w:sz w:val="22"/>
        </w:rPr>
        <w:t>of</w:t>
      </w:r>
      <w:r>
        <w:rPr>
          <w:spacing w:val="19"/>
          <w:sz w:val="22"/>
        </w:rPr>
        <w:t> </w:t>
      </w:r>
      <w:r>
        <w:rPr>
          <w:sz w:val="22"/>
        </w:rPr>
        <w:t>class.</w:t>
      </w:r>
      <w:r>
        <w:rPr>
          <w:spacing w:val="-5"/>
          <w:sz w:val="22"/>
        </w:rPr>
        <w:t> </w:t>
      </w:r>
      <w:r>
        <w:rPr>
          <w:sz w:val="22"/>
        </w:rPr>
        <w:t>In</w:t>
      </w:r>
      <w:r>
        <w:rPr>
          <w:spacing w:val="17"/>
          <w:sz w:val="22"/>
        </w:rPr>
        <w:t> </w:t>
      </w:r>
      <w:r>
        <w:rPr>
          <w:spacing w:val="11"/>
          <w:sz w:val="22"/>
        </w:rPr>
        <w:t>general,</w:t>
      </w:r>
      <w:r>
        <w:rPr>
          <w:spacing w:val="-3"/>
          <w:sz w:val="22"/>
        </w:rPr>
        <w:t> </w:t>
      </w:r>
      <w:r>
        <w:rPr>
          <w:spacing w:val="8"/>
          <w:sz w:val="22"/>
        </w:rPr>
        <w:t>studio</w:t>
      </w:r>
    </w:p>
    <w:p>
      <w:pPr>
        <w:spacing w:line="295" w:lineRule="auto" w:before="56"/>
        <w:ind w:left="446" w:right="759" w:firstLine="9"/>
        <w:jc w:val="both"/>
        <w:rPr>
          <w:sz w:val="22"/>
        </w:rPr>
      </w:pPr>
      <w:r>
        <w:rPr>
          <w:sz w:val="22"/>
        </w:rPr>
        <w:t>c</w:t>
      </w:r>
      <w:r>
        <w:rPr>
          <w:spacing w:val="-16"/>
          <w:sz w:val="22"/>
        </w:rPr>
        <w:t> </w:t>
      </w:r>
      <w:r>
        <w:rPr>
          <w:spacing w:val="9"/>
          <w:sz w:val="22"/>
        </w:rPr>
        <w:t>oursework</w:t>
      </w:r>
      <w:r>
        <w:rPr>
          <w:spacing w:val="-15"/>
          <w:sz w:val="22"/>
        </w:rPr>
        <w:t> </w:t>
      </w:r>
      <w:r>
        <w:rPr>
          <w:sz w:val="22"/>
        </w:rPr>
        <w:t>is</w:t>
      </w:r>
      <w:r>
        <w:rPr>
          <w:spacing w:val="-15"/>
          <w:sz w:val="22"/>
        </w:rPr>
        <w:t> </w:t>
      </w:r>
      <w:r>
        <w:rPr>
          <w:sz w:val="22"/>
        </w:rPr>
        <w:t>assessed</w:t>
      </w:r>
      <w:r>
        <w:rPr>
          <w:spacing w:val="-16"/>
          <w:sz w:val="22"/>
        </w:rPr>
        <w:t> </w:t>
      </w:r>
      <w:r>
        <w:rPr>
          <w:spacing w:val="13"/>
          <w:sz w:val="22"/>
        </w:rPr>
        <w:t>and</w:t>
      </w:r>
      <w:r>
        <w:rPr>
          <w:spacing w:val="4"/>
          <w:sz w:val="22"/>
        </w:rPr>
        <w:t> </w:t>
      </w:r>
      <w:r>
        <w:rPr>
          <w:sz w:val="22"/>
        </w:rPr>
        <w:t>gra</w:t>
      </w:r>
      <w:r>
        <w:rPr>
          <w:spacing w:val="-15"/>
          <w:sz w:val="22"/>
        </w:rPr>
        <w:t> </w:t>
      </w:r>
      <w:r>
        <w:rPr>
          <w:spacing w:val="15"/>
          <w:sz w:val="22"/>
        </w:rPr>
        <w:t>ded </w:t>
      </w:r>
      <w:r>
        <w:rPr>
          <w:sz w:val="22"/>
        </w:rPr>
        <w:t>holistic</w:t>
      </w:r>
      <w:r>
        <w:rPr>
          <w:spacing w:val="-16"/>
          <w:sz w:val="22"/>
        </w:rPr>
        <w:t> </w:t>
      </w:r>
      <w:r>
        <w:rPr>
          <w:sz w:val="22"/>
        </w:rPr>
        <w:t>ally using </w:t>
      </w:r>
      <w:r>
        <w:rPr>
          <w:spacing w:val="9"/>
          <w:sz w:val="22"/>
        </w:rPr>
        <w:t>rubrics </w:t>
      </w:r>
      <w:r>
        <w:rPr>
          <w:spacing w:val="13"/>
          <w:sz w:val="22"/>
        </w:rPr>
        <w:t>and</w:t>
      </w:r>
      <w:r>
        <w:rPr>
          <w:spacing w:val="-16"/>
          <w:sz w:val="22"/>
        </w:rPr>
        <w:t> </w:t>
      </w:r>
      <w:r>
        <w:rPr>
          <w:sz w:val="22"/>
        </w:rPr>
        <w:t>/</w:t>
      </w:r>
      <w:r>
        <w:rPr>
          <w:spacing w:val="-15"/>
          <w:sz w:val="22"/>
        </w:rPr>
        <w:t> </w:t>
      </w:r>
      <w:r>
        <w:rPr>
          <w:sz w:val="22"/>
        </w:rPr>
        <w:t>or criteria </w:t>
      </w:r>
      <w:r>
        <w:rPr>
          <w:spacing w:val="13"/>
          <w:sz w:val="22"/>
        </w:rPr>
        <w:t>that</w:t>
      </w:r>
      <w:r>
        <w:rPr>
          <w:spacing w:val="2"/>
          <w:sz w:val="22"/>
        </w:rPr>
        <w:t> </w:t>
      </w:r>
      <w:r>
        <w:rPr>
          <w:spacing w:val="14"/>
          <w:sz w:val="22"/>
        </w:rPr>
        <w:t>judge </w:t>
      </w:r>
      <w:r>
        <w:rPr>
          <w:sz w:val="22"/>
        </w:rPr>
        <w:t>a </w:t>
      </w:r>
      <w:r>
        <w:rPr>
          <w:spacing w:val="13"/>
          <w:sz w:val="22"/>
        </w:rPr>
        <w:t>project’s</w:t>
      </w:r>
      <w:r>
        <w:rPr>
          <w:spacing w:val="-16"/>
          <w:sz w:val="22"/>
        </w:rPr>
        <w:t> </w:t>
      </w:r>
      <w:r>
        <w:rPr>
          <w:spacing w:val="13"/>
          <w:sz w:val="22"/>
        </w:rPr>
        <w:t>technic</w:t>
      </w:r>
      <w:r>
        <w:rPr>
          <w:spacing w:val="-15"/>
          <w:sz w:val="22"/>
        </w:rPr>
        <w:t> </w:t>
      </w:r>
      <w:r>
        <w:rPr>
          <w:sz w:val="22"/>
        </w:rPr>
        <w:t>al,</w:t>
      </w:r>
      <w:r>
        <w:rPr>
          <w:spacing w:val="-15"/>
          <w:sz w:val="22"/>
        </w:rPr>
        <w:t> </w:t>
      </w:r>
      <w:r>
        <w:rPr>
          <w:sz w:val="22"/>
        </w:rPr>
        <w:t>c</w:t>
      </w:r>
      <w:r>
        <w:rPr>
          <w:spacing w:val="-16"/>
          <w:sz w:val="22"/>
        </w:rPr>
        <w:t> </w:t>
      </w:r>
      <w:r>
        <w:rPr>
          <w:spacing w:val="11"/>
          <w:sz w:val="22"/>
        </w:rPr>
        <w:t>onc</w:t>
      </w:r>
      <w:r>
        <w:rPr>
          <w:spacing w:val="-15"/>
          <w:sz w:val="22"/>
        </w:rPr>
        <w:t> </w:t>
      </w:r>
      <w:r>
        <w:rPr>
          <w:spacing w:val="12"/>
          <w:sz w:val="22"/>
        </w:rPr>
        <w:t>eptual,</w:t>
      </w:r>
      <w:r>
        <w:rPr>
          <w:spacing w:val="-15"/>
          <w:sz w:val="22"/>
        </w:rPr>
        <w:t> </w:t>
      </w:r>
      <w:r>
        <w:rPr>
          <w:sz w:val="22"/>
        </w:rPr>
        <w:t>c</w:t>
      </w:r>
      <w:r>
        <w:rPr>
          <w:spacing w:val="-15"/>
          <w:sz w:val="22"/>
        </w:rPr>
        <w:t> </w:t>
      </w:r>
      <w:r>
        <w:rPr>
          <w:spacing w:val="10"/>
          <w:sz w:val="22"/>
        </w:rPr>
        <w:t>ontextual,</w:t>
      </w:r>
      <w:r>
        <w:rPr>
          <w:spacing w:val="-16"/>
          <w:sz w:val="22"/>
        </w:rPr>
        <w:t> </w:t>
      </w:r>
      <w:r>
        <w:rPr>
          <w:spacing w:val="13"/>
          <w:sz w:val="22"/>
        </w:rPr>
        <w:t>and</w:t>
      </w:r>
      <w:r>
        <w:rPr>
          <w:spacing w:val="22"/>
          <w:sz w:val="22"/>
        </w:rPr>
        <w:t> </w:t>
      </w:r>
      <w:r>
        <w:rPr>
          <w:sz w:val="22"/>
        </w:rPr>
        <w:t>c</w:t>
      </w:r>
      <w:r>
        <w:rPr>
          <w:spacing w:val="-16"/>
          <w:sz w:val="22"/>
        </w:rPr>
        <w:t> </w:t>
      </w:r>
      <w:r>
        <w:rPr>
          <w:spacing w:val="12"/>
          <w:sz w:val="22"/>
        </w:rPr>
        <w:t>ommunic</w:t>
      </w:r>
      <w:r>
        <w:rPr>
          <w:spacing w:val="-15"/>
          <w:sz w:val="22"/>
        </w:rPr>
        <w:t> </w:t>
      </w:r>
      <w:r>
        <w:rPr>
          <w:spacing w:val="9"/>
          <w:sz w:val="22"/>
        </w:rPr>
        <w:t>ative</w:t>
      </w:r>
      <w:r>
        <w:rPr>
          <w:spacing w:val="26"/>
          <w:sz w:val="22"/>
        </w:rPr>
        <w:t> </w:t>
      </w:r>
      <w:r>
        <w:rPr>
          <w:spacing w:val="10"/>
          <w:sz w:val="22"/>
        </w:rPr>
        <w:t>attributes</w:t>
      </w:r>
      <w:r>
        <w:rPr>
          <w:spacing w:val="-1"/>
          <w:sz w:val="22"/>
        </w:rPr>
        <w:t> </w:t>
      </w:r>
      <w:r>
        <w:rPr>
          <w:sz w:val="22"/>
        </w:rPr>
        <w:t>in</w:t>
      </w:r>
      <w:r>
        <w:rPr>
          <w:spacing w:val="21"/>
          <w:sz w:val="22"/>
        </w:rPr>
        <w:t> </w:t>
      </w:r>
      <w:r>
        <w:rPr>
          <w:sz w:val="22"/>
        </w:rPr>
        <w:t>a</w:t>
      </w:r>
      <w:r>
        <w:rPr>
          <w:spacing w:val="-16"/>
          <w:sz w:val="22"/>
        </w:rPr>
        <w:t> </w:t>
      </w:r>
      <w:r>
        <w:rPr>
          <w:sz w:val="22"/>
        </w:rPr>
        <w:t>d</w:t>
      </w:r>
      <w:r>
        <w:rPr>
          <w:spacing w:val="-15"/>
          <w:sz w:val="22"/>
        </w:rPr>
        <w:t> </w:t>
      </w:r>
      <w:r>
        <w:rPr>
          <w:sz w:val="22"/>
        </w:rPr>
        <w:t>dition to </w:t>
      </w:r>
      <w:r>
        <w:rPr>
          <w:spacing w:val="9"/>
          <w:sz w:val="22"/>
        </w:rPr>
        <w:t>the </w:t>
      </w:r>
      <w:r>
        <w:rPr>
          <w:spacing w:val="12"/>
          <w:sz w:val="22"/>
        </w:rPr>
        <w:t>process </w:t>
      </w:r>
      <w:r>
        <w:rPr>
          <w:sz w:val="22"/>
        </w:rPr>
        <w:t>work </w:t>
      </w:r>
      <w:r>
        <w:rPr>
          <w:spacing w:val="12"/>
          <w:sz w:val="22"/>
        </w:rPr>
        <w:t>that </w:t>
      </w:r>
      <w:r>
        <w:rPr>
          <w:spacing w:val="15"/>
          <w:sz w:val="22"/>
        </w:rPr>
        <w:t>generated </w:t>
      </w:r>
      <w:r>
        <w:rPr>
          <w:sz w:val="22"/>
        </w:rPr>
        <w:t>it.</w:t>
      </w:r>
    </w:p>
    <w:p>
      <w:pPr>
        <w:pStyle w:val="BodyText"/>
        <w:spacing w:before="8"/>
        <w:rPr>
          <w:sz w:val="26"/>
        </w:rPr>
      </w:pPr>
    </w:p>
    <w:p>
      <w:pPr>
        <w:spacing w:before="0"/>
        <w:ind w:left="441" w:right="0" w:firstLine="0"/>
        <w:jc w:val="left"/>
        <w:rPr>
          <w:i/>
          <w:sz w:val="22"/>
        </w:rPr>
      </w:pPr>
      <w:r>
        <w:rPr>
          <w:i/>
          <w:spacing w:val="11"/>
          <w:sz w:val="22"/>
        </w:rPr>
        <w:t>What</w:t>
      </w:r>
      <w:r>
        <w:rPr>
          <w:i/>
          <w:spacing w:val="14"/>
          <w:sz w:val="22"/>
        </w:rPr>
        <w:t> </w:t>
      </w:r>
      <w:r>
        <w:rPr>
          <w:i/>
          <w:spacing w:val="12"/>
          <w:sz w:val="22"/>
        </w:rPr>
        <w:t>do</w:t>
      </w:r>
      <w:r>
        <w:rPr>
          <w:i/>
          <w:spacing w:val="8"/>
          <w:sz w:val="22"/>
        </w:rPr>
        <w:t> </w:t>
      </w:r>
      <w:r>
        <w:rPr>
          <w:i/>
          <w:sz w:val="22"/>
        </w:rPr>
        <w:t>I</w:t>
      </w:r>
      <w:r>
        <w:rPr>
          <w:i/>
          <w:spacing w:val="8"/>
          <w:sz w:val="22"/>
        </w:rPr>
        <w:t> </w:t>
      </w:r>
      <w:r>
        <w:rPr>
          <w:i/>
          <w:spacing w:val="12"/>
          <w:sz w:val="22"/>
        </w:rPr>
        <w:t>do</w:t>
      </w:r>
      <w:r>
        <w:rPr>
          <w:i/>
          <w:spacing w:val="8"/>
          <w:sz w:val="22"/>
        </w:rPr>
        <w:t> </w:t>
      </w:r>
      <w:r>
        <w:rPr>
          <w:i/>
          <w:sz w:val="22"/>
        </w:rPr>
        <w:t>if</w:t>
      </w:r>
      <w:r>
        <w:rPr>
          <w:i/>
          <w:spacing w:val="1"/>
          <w:sz w:val="22"/>
        </w:rPr>
        <w:t> </w:t>
      </w:r>
      <w:r>
        <w:rPr>
          <w:i/>
          <w:sz w:val="22"/>
        </w:rPr>
        <w:t>I</w:t>
      </w:r>
      <w:r>
        <w:rPr>
          <w:i/>
          <w:spacing w:val="6"/>
          <w:sz w:val="22"/>
        </w:rPr>
        <w:t> </w:t>
      </w:r>
      <w:r>
        <w:rPr>
          <w:i/>
          <w:spacing w:val="13"/>
          <w:sz w:val="22"/>
        </w:rPr>
        <w:t>get</w:t>
      </w:r>
      <w:r>
        <w:rPr>
          <w:i/>
          <w:spacing w:val="15"/>
          <w:sz w:val="22"/>
        </w:rPr>
        <w:t> </w:t>
      </w:r>
      <w:r>
        <w:rPr>
          <w:i/>
          <w:sz w:val="22"/>
        </w:rPr>
        <w:t>a</w:t>
      </w:r>
      <w:r>
        <w:rPr>
          <w:i/>
          <w:spacing w:val="23"/>
          <w:sz w:val="22"/>
        </w:rPr>
        <w:t> </w:t>
      </w:r>
      <w:r>
        <w:rPr>
          <w:i/>
          <w:spacing w:val="15"/>
          <w:sz w:val="22"/>
        </w:rPr>
        <w:t>grade</w:t>
      </w:r>
      <w:r>
        <w:rPr>
          <w:i/>
          <w:spacing w:val="13"/>
          <w:sz w:val="22"/>
        </w:rPr>
        <w:t> that</w:t>
      </w:r>
      <w:r>
        <w:rPr>
          <w:i/>
          <w:spacing w:val="2"/>
          <w:sz w:val="22"/>
        </w:rPr>
        <w:t> </w:t>
      </w:r>
      <w:r>
        <w:rPr>
          <w:i/>
          <w:sz w:val="22"/>
        </w:rPr>
        <w:t>I</w:t>
      </w:r>
      <w:r>
        <w:rPr>
          <w:i/>
          <w:spacing w:val="8"/>
          <w:sz w:val="22"/>
        </w:rPr>
        <w:t> </w:t>
      </w:r>
      <w:r>
        <w:rPr>
          <w:i/>
          <w:spacing w:val="15"/>
          <w:sz w:val="22"/>
        </w:rPr>
        <w:t>don’</w:t>
      </w:r>
      <w:r>
        <w:rPr>
          <w:i/>
          <w:spacing w:val="-41"/>
          <w:sz w:val="22"/>
        </w:rPr>
        <w:t> </w:t>
      </w:r>
      <w:r>
        <w:rPr>
          <w:i/>
          <w:sz w:val="22"/>
        </w:rPr>
        <w:t>t</w:t>
      </w:r>
      <w:r>
        <w:rPr>
          <w:i/>
          <w:spacing w:val="16"/>
          <w:sz w:val="22"/>
        </w:rPr>
        <w:t> </w:t>
      </w:r>
      <w:r>
        <w:rPr>
          <w:i/>
          <w:spacing w:val="12"/>
          <w:sz w:val="22"/>
        </w:rPr>
        <w:t>agree</w:t>
      </w:r>
      <w:r>
        <w:rPr>
          <w:i/>
          <w:spacing w:val="17"/>
          <w:sz w:val="22"/>
        </w:rPr>
        <w:t> </w:t>
      </w:r>
      <w:r>
        <w:rPr>
          <w:i/>
          <w:spacing w:val="-2"/>
          <w:sz w:val="22"/>
        </w:rPr>
        <w:t>with?</w:t>
      </w:r>
    </w:p>
    <w:p>
      <w:pPr>
        <w:pStyle w:val="BodyText"/>
        <w:spacing w:before="1"/>
        <w:rPr>
          <w:i/>
          <w:sz w:val="32"/>
        </w:rPr>
      </w:pPr>
    </w:p>
    <w:p>
      <w:pPr>
        <w:spacing w:line="292" w:lineRule="auto" w:before="0"/>
        <w:ind w:left="441" w:right="1003" w:hanging="2"/>
        <w:jc w:val="left"/>
        <w:rPr>
          <w:sz w:val="22"/>
        </w:rPr>
      </w:pPr>
      <w:r>
        <w:rPr>
          <w:sz w:val="22"/>
        </w:rPr>
        <w:t>If </w:t>
      </w:r>
      <w:r>
        <w:rPr>
          <w:spacing w:val="10"/>
          <w:sz w:val="22"/>
        </w:rPr>
        <w:t>you feel </w:t>
      </w:r>
      <w:r>
        <w:rPr>
          <w:spacing w:val="13"/>
          <w:sz w:val="22"/>
        </w:rPr>
        <w:t>that </w:t>
      </w:r>
      <w:r>
        <w:rPr>
          <w:spacing w:val="10"/>
          <w:sz w:val="22"/>
        </w:rPr>
        <w:t>you </w:t>
      </w:r>
      <w:r>
        <w:rPr>
          <w:spacing w:val="13"/>
          <w:sz w:val="22"/>
        </w:rPr>
        <w:t>have </w:t>
      </w:r>
      <w:r>
        <w:rPr>
          <w:spacing w:val="12"/>
          <w:sz w:val="22"/>
        </w:rPr>
        <w:t>been</w:t>
      </w:r>
      <w:r>
        <w:rPr>
          <w:spacing w:val="6"/>
          <w:sz w:val="22"/>
        </w:rPr>
        <w:t> </w:t>
      </w:r>
      <w:r>
        <w:rPr>
          <w:sz w:val="22"/>
        </w:rPr>
        <w:t>issued</w:t>
      </w:r>
      <w:r>
        <w:rPr>
          <w:spacing w:val="33"/>
          <w:sz w:val="22"/>
        </w:rPr>
        <w:t> </w:t>
      </w:r>
      <w:r>
        <w:rPr>
          <w:sz w:val="22"/>
        </w:rPr>
        <w:t>an unjust</w:t>
      </w:r>
      <w:r>
        <w:rPr>
          <w:spacing w:val="23"/>
          <w:sz w:val="22"/>
        </w:rPr>
        <w:t> </w:t>
      </w:r>
      <w:r>
        <w:rPr>
          <w:sz w:val="22"/>
        </w:rPr>
        <w:t>gra</w:t>
      </w:r>
      <w:r>
        <w:rPr>
          <w:spacing w:val="-32"/>
          <w:sz w:val="22"/>
        </w:rPr>
        <w:t> </w:t>
      </w:r>
      <w:r>
        <w:rPr>
          <w:spacing w:val="12"/>
          <w:sz w:val="22"/>
        </w:rPr>
        <w:t>de </w:t>
      </w:r>
      <w:r>
        <w:rPr>
          <w:sz w:val="22"/>
        </w:rPr>
        <w:t>or </w:t>
      </w:r>
      <w:r>
        <w:rPr>
          <w:spacing w:val="13"/>
          <w:sz w:val="22"/>
        </w:rPr>
        <w:t>have </w:t>
      </w:r>
      <w:r>
        <w:rPr>
          <w:spacing w:val="12"/>
          <w:sz w:val="22"/>
        </w:rPr>
        <w:t>been </w:t>
      </w:r>
      <w:r>
        <w:rPr>
          <w:spacing w:val="14"/>
          <w:sz w:val="22"/>
        </w:rPr>
        <w:t>treated </w:t>
      </w:r>
      <w:r>
        <w:rPr>
          <w:sz w:val="22"/>
        </w:rPr>
        <w:t>unfairly, </w:t>
      </w:r>
      <w:r>
        <w:rPr>
          <w:spacing w:val="9"/>
          <w:sz w:val="22"/>
        </w:rPr>
        <w:t>you should </w:t>
      </w:r>
      <w:r>
        <w:rPr>
          <w:sz w:val="22"/>
        </w:rPr>
        <w:t>refer to your University </w:t>
      </w:r>
      <w:r>
        <w:rPr>
          <w:spacing w:val="12"/>
          <w:sz w:val="22"/>
        </w:rPr>
        <w:t>Student Hand</w:t>
      </w:r>
      <w:r>
        <w:rPr>
          <w:spacing w:val="-27"/>
          <w:sz w:val="22"/>
        </w:rPr>
        <w:t> </w:t>
      </w:r>
      <w:r>
        <w:rPr>
          <w:spacing w:val="11"/>
          <w:sz w:val="22"/>
        </w:rPr>
        <w:t>book </w:t>
      </w:r>
      <w:r>
        <w:rPr>
          <w:spacing w:val="13"/>
          <w:sz w:val="22"/>
        </w:rPr>
        <w:t>and </w:t>
      </w:r>
      <w:r>
        <w:rPr>
          <w:spacing w:val="9"/>
          <w:sz w:val="22"/>
        </w:rPr>
        <w:t>the </w:t>
      </w:r>
      <w:r>
        <w:rPr>
          <w:b/>
          <w:sz w:val="22"/>
        </w:rPr>
        <w:t>Department of Architecture</w:t>
      </w:r>
      <w:r>
        <w:rPr>
          <w:b/>
          <w:spacing w:val="9"/>
          <w:sz w:val="22"/>
        </w:rPr>
        <w:t> Grade </w:t>
      </w:r>
      <w:r>
        <w:rPr>
          <w:b/>
          <w:spacing w:val="10"/>
          <w:sz w:val="22"/>
        </w:rPr>
        <w:t>Appeal</w:t>
      </w:r>
      <w:r>
        <w:rPr>
          <w:b/>
          <w:spacing w:val="-27"/>
          <w:sz w:val="22"/>
        </w:rPr>
        <w:t> </w:t>
      </w:r>
      <w:r>
        <w:rPr>
          <w:b/>
          <w:sz w:val="22"/>
        </w:rPr>
        <w:t>/</w:t>
      </w:r>
      <w:r>
        <w:rPr>
          <w:b/>
          <w:spacing w:val="-29"/>
          <w:sz w:val="22"/>
        </w:rPr>
        <w:t> </w:t>
      </w:r>
      <w:r>
        <w:rPr>
          <w:b/>
          <w:sz w:val="22"/>
        </w:rPr>
        <w:t>Grievance Policy </w:t>
      </w:r>
      <w:r>
        <w:rPr>
          <w:sz w:val="22"/>
        </w:rPr>
        <w:t>for </w:t>
      </w:r>
      <w:r>
        <w:rPr>
          <w:spacing w:val="9"/>
          <w:sz w:val="22"/>
        </w:rPr>
        <w:t>the </w:t>
      </w:r>
      <w:r>
        <w:rPr>
          <w:spacing w:val="13"/>
          <w:sz w:val="22"/>
        </w:rPr>
        <w:t>proper </w:t>
      </w:r>
      <w:r>
        <w:rPr>
          <w:spacing w:val="14"/>
          <w:sz w:val="22"/>
        </w:rPr>
        <w:t>protocol </w:t>
      </w:r>
      <w:r>
        <w:rPr>
          <w:sz w:val="22"/>
        </w:rPr>
        <w:t>in filing</w:t>
      </w:r>
      <w:r>
        <w:rPr>
          <w:spacing w:val="40"/>
          <w:sz w:val="22"/>
        </w:rPr>
        <w:t> </w:t>
      </w:r>
      <w:r>
        <w:rPr>
          <w:sz w:val="22"/>
        </w:rPr>
        <w:t>a</w:t>
      </w:r>
    </w:p>
    <w:p>
      <w:pPr>
        <w:spacing w:line="292" w:lineRule="auto" w:before="5"/>
        <w:ind w:left="451" w:right="1003" w:firstLine="1"/>
        <w:jc w:val="left"/>
        <w:rPr>
          <w:sz w:val="22"/>
        </w:rPr>
      </w:pPr>
      <w:r>
        <w:rPr>
          <w:spacing w:val="13"/>
          <w:sz w:val="22"/>
        </w:rPr>
        <w:t>grievance </w:t>
      </w:r>
      <w:r>
        <w:rPr>
          <w:sz w:val="22"/>
        </w:rPr>
        <w:t>or </w:t>
      </w:r>
      <w:r>
        <w:rPr>
          <w:spacing w:val="13"/>
          <w:sz w:val="22"/>
        </w:rPr>
        <w:t>appealing </w:t>
      </w:r>
      <w:r>
        <w:rPr>
          <w:sz w:val="22"/>
        </w:rPr>
        <w:t>a gra</w:t>
      </w:r>
      <w:r>
        <w:rPr>
          <w:spacing w:val="-33"/>
          <w:sz w:val="22"/>
        </w:rPr>
        <w:t> </w:t>
      </w:r>
      <w:r>
        <w:rPr>
          <w:spacing w:val="10"/>
          <w:sz w:val="22"/>
        </w:rPr>
        <w:t>de.</w:t>
      </w:r>
      <w:r>
        <w:rPr>
          <w:spacing w:val="-8"/>
          <w:sz w:val="22"/>
        </w:rPr>
        <w:t> </w:t>
      </w:r>
      <w:r>
        <w:rPr>
          <w:sz w:val="22"/>
        </w:rPr>
        <w:t>In </w:t>
      </w:r>
      <w:r>
        <w:rPr>
          <w:spacing w:val="11"/>
          <w:sz w:val="22"/>
        </w:rPr>
        <w:t>general,</w:t>
      </w:r>
      <w:r>
        <w:rPr>
          <w:sz w:val="22"/>
        </w:rPr>
        <w:t> </w:t>
      </w:r>
      <w:r>
        <w:rPr>
          <w:spacing w:val="9"/>
          <w:sz w:val="22"/>
        </w:rPr>
        <w:t>the </w:t>
      </w:r>
      <w:r>
        <w:rPr>
          <w:spacing w:val="12"/>
          <w:sz w:val="22"/>
        </w:rPr>
        <w:t>proc</w:t>
      </w:r>
      <w:r>
        <w:rPr>
          <w:spacing w:val="-34"/>
          <w:sz w:val="22"/>
        </w:rPr>
        <w:t> </w:t>
      </w:r>
      <w:r>
        <w:rPr>
          <w:sz w:val="22"/>
        </w:rPr>
        <w:t>ess</w:t>
      </w:r>
      <w:r>
        <w:rPr>
          <w:spacing w:val="-4"/>
          <w:sz w:val="22"/>
        </w:rPr>
        <w:t> </w:t>
      </w:r>
      <w:r>
        <w:rPr>
          <w:sz w:val="22"/>
        </w:rPr>
        <w:t>is to </w:t>
      </w:r>
      <w:r>
        <w:rPr>
          <w:spacing w:val="12"/>
          <w:sz w:val="22"/>
        </w:rPr>
        <w:t>begin </w:t>
      </w:r>
      <w:r>
        <w:rPr>
          <w:sz w:val="22"/>
        </w:rPr>
        <w:t>with </w:t>
      </w:r>
      <w:r>
        <w:rPr>
          <w:spacing w:val="11"/>
          <w:sz w:val="22"/>
        </w:rPr>
        <w:t>requesting </w:t>
      </w:r>
      <w:r>
        <w:rPr>
          <w:sz w:val="22"/>
        </w:rPr>
        <w:t>a </w:t>
      </w:r>
      <w:r>
        <w:rPr>
          <w:spacing w:val="12"/>
          <w:sz w:val="22"/>
        </w:rPr>
        <w:t>meeting </w:t>
      </w:r>
      <w:r>
        <w:rPr>
          <w:sz w:val="22"/>
        </w:rPr>
        <w:t>with your professor ASAP </w:t>
      </w:r>
      <w:r>
        <w:rPr>
          <w:spacing w:val="11"/>
          <w:sz w:val="22"/>
        </w:rPr>
        <w:t>stating </w:t>
      </w:r>
      <w:r>
        <w:rPr>
          <w:sz w:val="22"/>
        </w:rPr>
        <w:t>your </w:t>
      </w:r>
      <w:r>
        <w:rPr>
          <w:spacing w:val="12"/>
          <w:sz w:val="22"/>
        </w:rPr>
        <w:t>grievanc</w:t>
      </w:r>
      <w:r>
        <w:rPr>
          <w:spacing w:val="-28"/>
          <w:sz w:val="22"/>
        </w:rPr>
        <w:t> </w:t>
      </w:r>
      <w:r>
        <w:rPr>
          <w:sz w:val="22"/>
        </w:rPr>
        <w:t>e or </w:t>
      </w:r>
      <w:r>
        <w:rPr>
          <w:spacing w:val="10"/>
          <w:sz w:val="22"/>
        </w:rPr>
        <w:t>making </w:t>
      </w:r>
      <w:r>
        <w:rPr>
          <w:sz w:val="22"/>
        </w:rPr>
        <w:t>your a</w:t>
      </w:r>
      <w:r>
        <w:rPr>
          <w:spacing w:val="-27"/>
          <w:sz w:val="22"/>
        </w:rPr>
        <w:t> </w:t>
      </w:r>
      <w:r>
        <w:rPr>
          <w:sz w:val="22"/>
        </w:rPr>
        <w:t>p</w:t>
      </w:r>
      <w:r>
        <w:rPr>
          <w:spacing w:val="-27"/>
          <w:sz w:val="22"/>
        </w:rPr>
        <w:t> </w:t>
      </w:r>
      <w:r>
        <w:rPr>
          <w:spacing w:val="14"/>
          <w:sz w:val="22"/>
        </w:rPr>
        <w:t>peal </w:t>
      </w:r>
      <w:r>
        <w:rPr>
          <w:sz w:val="22"/>
        </w:rPr>
        <w:t>in writing. The</w:t>
      </w:r>
      <w:r>
        <w:rPr>
          <w:spacing w:val="40"/>
          <w:sz w:val="22"/>
        </w:rPr>
        <w:t> </w:t>
      </w:r>
      <w:r>
        <w:rPr>
          <w:sz w:val="22"/>
        </w:rPr>
        <w:t>professors within</w:t>
      </w:r>
      <w:r>
        <w:rPr>
          <w:spacing w:val="9"/>
          <w:sz w:val="22"/>
        </w:rPr>
        <w:t> the</w:t>
      </w:r>
      <w:r>
        <w:rPr>
          <w:spacing w:val="15"/>
          <w:sz w:val="22"/>
        </w:rPr>
        <w:t> dep</w:t>
      </w:r>
      <w:r>
        <w:rPr>
          <w:spacing w:val="-25"/>
          <w:sz w:val="22"/>
        </w:rPr>
        <w:t> </w:t>
      </w:r>
      <w:r>
        <w:rPr>
          <w:spacing w:val="12"/>
          <w:sz w:val="22"/>
        </w:rPr>
        <w:t>artment </w:t>
      </w:r>
      <w:r>
        <w:rPr>
          <w:sz w:val="22"/>
        </w:rPr>
        <w:t>are</w:t>
      </w:r>
      <w:r>
        <w:rPr>
          <w:spacing w:val="15"/>
          <w:sz w:val="22"/>
        </w:rPr>
        <w:t> dedic</w:t>
      </w:r>
      <w:r>
        <w:rPr>
          <w:spacing w:val="-21"/>
          <w:sz w:val="22"/>
        </w:rPr>
        <w:t> </w:t>
      </w:r>
      <w:r>
        <w:rPr>
          <w:spacing w:val="15"/>
          <w:sz w:val="22"/>
        </w:rPr>
        <w:t>ated </w:t>
      </w:r>
      <w:r>
        <w:rPr>
          <w:sz w:val="22"/>
        </w:rPr>
        <w:t>to </w:t>
      </w:r>
      <w:r>
        <w:rPr>
          <w:spacing w:val="12"/>
          <w:sz w:val="22"/>
        </w:rPr>
        <w:t>supporting </w:t>
      </w:r>
      <w:r>
        <w:rPr>
          <w:sz w:val="22"/>
        </w:rPr>
        <w:t>your</w:t>
      </w:r>
    </w:p>
    <w:p>
      <w:pPr>
        <w:spacing w:line="295" w:lineRule="auto" w:before="3"/>
        <w:ind w:left="450" w:right="642" w:hanging="1"/>
        <w:jc w:val="left"/>
        <w:rPr>
          <w:sz w:val="22"/>
        </w:rPr>
      </w:pPr>
      <w:r>
        <w:rPr>
          <w:spacing w:val="15"/>
          <w:sz w:val="22"/>
        </w:rPr>
        <w:t>educ</w:t>
      </w:r>
      <w:r>
        <w:rPr>
          <w:spacing w:val="-30"/>
          <w:sz w:val="22"/>
        </w:rPr>
        <w:t> </w:t>
      </w:r>
      <w:r>
        <w:rPr>
          <w:spacing w:val="9"/>
          <w:sz w:val="22"/>
        </w:rPr>
        <w:t>ation.</w:t>
      </w:r>
      <w:r>
        <w:rPr>
          <w:spacing w:val="6"/>
          <w:sz w:val="22"/>
        </w:rPr>
        <w:t> </w:t>
      </w:r>
      <w:r>
        <w:rPr>
          <w:spacing w:val="11"/>
          <w:sz w:val="22"/>
        </w:rPr>
        <w:t>Often</w:t>
      </w:r>
      <w:r>
        <w:rPr>
          <w:spacing w:val="10"/>
          <w:sz w:val="22"/>
        </w:rPr>
        <w:t> </w:t>
      </w:r>
      <w:r>
        <w:rPr>
          <w:spacing w:val="9"/>
          <w:sz w:val="22"/>
        </w:rPr>
        <w:t>times</w:t>
      </w:r>
      <w:r>
        <w:rPr>
          <w:spacing w:val="-2"/>
          <w:sz w:val="22"/>
        </w:rPr>
        <w:t> </w:t>
      </w:r>
      <w:r>
        <w:rPr>
          <w:sz w:val="22"/>
        </w:rPr>
        <w:t>if </w:t>
      </w:r>
      <w:r>
        <w:rPr>
          <w:spacing w:val="10"/>
          <w:sz w:val="22"/>
        </w:rPr>
        <w:t>an</w:t>
      </w:r>
      <w:r>
        <w:rPr>
          <w:spacing w:val="3"/>
          <w:sz w:val="22"/>
        </w:rPr>
        <w:t> </w:t>
      </w:r>
      <w:r>
        <w:rPr>
          <w:sz w:val="22"/>
        </w:rPr>
        <w:t>inc</w:t>
      </w:r>
      <w:r>
        <w:rPr>
          <w:spacing w:val="-33"/>
          <w:sz w:val="22"/>
        </w:rPr>
        <w:t> </w:t>
      </w:r>
      <w:r>
        <w:rPr>
          <w:spacing w:val="11"/>
          <w:sz w:val="22"/>
        </w:rPr>
        <w:t>orrect </w:t>
      </w:r>
      <w:r>
        <w:rPr>
          <w:sz w:val="22"/>
        </w:rPr>
        <w:t>gra</w:t>
      </w:r>
      <w:r>
        <w:rPr>
          <w:spacing w:val="-33"/>
          <w:sz w:val="22"/>
        </w:rPr>
        <w:t> </w:t>
      </w:r>
      <w:r>
        <w:rPr>
          <w:spacing w:val="12"/>
          <w:sz w:val="22"/>
        </w:rPr>
        <w:t>de </w:t>
      </w:r>
      <w:r>
        <w:rPr>
          <w:spacing w:val="11"/>
          <w:sz w:val="22"/>
        </w:rPr>
        <w:t>has </w:t>
      </w:r>
      <w:r>
        <w:rPr>
          <w:spacing w:val="14"/>
          <w:sz w:val="22"/>
        </w:rPr>
        <w:t>been</w:t>
      </w:r>
      <w:r>
        <w:rPr>
          <w:spacing w:val="3"/>
          <w:sz w:val="22"/>
        </w:rPr>
        <w:t> </w:t>
      </w:r>
      <w:r>
        <w:rPr>
          <w:sz w:val="22"/>
        </w:rPr>
        <w:t>issued</w:t>
      </w:r>
      <w:r>
        <w:rPr>
          <w:spacing w:val="11"/>
          <w:sz w:val="22"/>
        </w:rPr>
        <w:t> due </w:t>
      </w:r>
      <w:r>
        <w:rPr>
          <w:sz w:val="22"/>
        </w:rPr>
        <w:t>to misc</w:t>
      </w:r>
      <w:r>
        <w:rPr>
          <w:spacing w:val="-33"/>
          <w:sz w:val="22"/>
        </w:rPr>
        <w:t> </w:t>
      </w:r>
      <w:r>
        <w:rPr>
          <w:spacing w:val="12"/>
          <w:sz w:val="22"/>
        </w:rPr>
        <w:t>alculation </w:t>
      </w:r>
      <w:r>
        <w:rPr>
          <w:sz w:val="22"/>
        </w:rPr>
        <w:t>or </w:t>
      </w:r>
      <w:r>
        <w:rPr>
          <w:spacing w:val="9"/>
          <w:sz w:val="22"/>
        </w:rPr>
        <w:t>oversight, the </w:t>
      </w:r>
      <w:r>
        <w:rPr>
          <w:sz w:val="22"/>
        </w:rPr>
        <w:t>issue</w:t>
      </w:r>
      <w:r>
        <w:rPr>
          <w:spacing w:val="34"/>
          <w:sz w:val="22"/>
        </w:rPr>
        <w:t> </w:t>
      </w:r>
      <w:r>
        <w:rPr>
          <w:sz w:val="22"/>
        </w:rPr>
        <w:t>c</w:t>
      </w:r>
      <w:r>
        <w:rPr>
          <w:spacing w:val="-30"/>
          <w:sz w:val="22"/>
        </w:rPr>
        <w:t> </w:t>
      </w:r>
      <w:r>
        <w:rPr>
          <w:sz w:val="22"/>
        </w:rPr>
        <w:t>an</w:t>
      </w:r>
      <w:r>
        <w:rPr>
          <w:spacing w:val="12"/>
          <w:sz w:val="22"/>
        </w:rPr>
        <w:t> be </w:t>
      </w:r>
      <w:r>
        <w:rPr>
          <w:spacing w:val="10"/>
          <w:sz w:val="22"/>
        </w:rPr>
        <w:t>resolved</w:t>
      </w:r>
      <w:r>
        <w:rPr>
          <w:spacing w:val="36"/>
          <w:sz w:val="22"/>
        </w:rPr>
        <w:t> </w:t>
      </w:r>
      <w:r>
        <w:rPr>
          <w:sz w:val="22"/>
        </w:rPr>
        <w:t>by this first</w:t>
      </w:r>
      <w:r>
        <w:rPr>
          <w:spacing w:val="27"/>
          <w:sz w:val="22"/>
        </w:rPr>
        <w:t> </w:t>
      </w:r>
      <w:r>
        <w:rPr>
          <w:sz w:val="22"/>
        </w:rPr>
        <w:t>a</w:t>
      </w:r>
      <w:r>
        <w:rPr>
          <w:spacing w:val="-28"/>
          <w:sz w:val="22"/>
        </w:rPr>
        <w:t> </w:t>
      </w:r>
      <w:r>
        <w:rPr>
          <w:spacing w:val="12"/>
          <w:sz w:val="22"/>
        </w:rPr>
        <w:t>ct </w:t>
      </w:r>
      <w:r>
        <w:rPr>
          <w:sz w:val="22"/>
        </w:rPr>
        <w:t>of</w:t>
      </w:r>
      <w:r>
        <w:rPr>
          <w:spacing w:val="27"/>
          <w:sz w:val="22"/>
        </w:rPr>
        <w:t> </w:t>
      </w:r>
      <w:r>
        <w:rPr>
          <w:sz w:val="22"/>
        </w:rPr>
        <w:t>c</w:t>
      </w:r>
      <w:r>
        <w:rPr>
          <w:spacing w:val="-30"/>
          <w:sz w:val="22"/>
        </w:rPr>
        <w:t> </w:t>
      </w:r>
      <w:r>
        <w:rPr>
          <w:spacing w:val="12"/>
          <w:sz w:val="22"/>
        </w:rPr>
        <w:t>ommunic</w:t>
      </w:r>
      <w:r>
        <w:rPr>
          <w:spacing w:val="-27"/>
          <w:sz w:val="22"/>
        </w:rPr>
        <w:t> </w:t>
      </w:r>
      <w:r>
        <w:rPr>
          <w:sz w:val="22"/>
        </w:rPr>
        <w:t>ation.</w:t>
      </w:r>
      <w:r>
        <w:rPr>
          <w:spacing w:val="40"/>
          <w:sz w:val="22"/>
        </w:rPr>
        <w:t> </w:t>
      </w:r>
      <w:r>
        <w:rPr>
          <w:sz w:val="22"/>
        </w:rPr>
        <w:t>If</w:t>
      </w:r>
      <w:r>
        <w:rPr>
          <w:spacing w:val="10"/>
          <w:sz w:val="22"/>
        </w:rPr>
        <w:t> after </w:t>
      </w:r>
      <w:r>
        <w:rPr>
          <w:spacing w:val="13"/>
          <w:sz w:val="22"/>
        </w:rPr>
        <w:t>that</w:t>
      </w:r>
    </w:p>
    <w:p>
      <w:pPr>
        <w:spacing w:line="295" w:lineRule="auto" w:before="0"/>
        <w:ind w:left="440" w:right="712" w:firstLine="11"/>
        <w:jc w:val="left"/>
        <w:rPr>
          <w:sz w:val="22"/>
        </w:rPr>
      </w:pPr>
      <w:r>
        <w:rPr>
          <w:spacing w:val="10"/>
          <w:sz w:val="22"/>
        </w:rPr>
        <w:t>meeting you </w:t>
      </w:r>
      <w:r>
        <w:rPr>
          <w:sz w:val="22"/>
        </w:rPr>
        <w:t>feel </w:t>
      </w:r>
      <w:r>
        <w:rPr>
          <w:spacing w:val="9"/>
          <w:sz w:val="22"/>
        </w:rPr>
        <w:t>the </w:t>
      </w:r>
      <w:r>
        <w:rPr>
          <w:sz w:val="22"/>
        </w:rPr>
        <w:t>issue is </w:t>
      </w:r>
      <w:r>
        <w:rPr>
          <w:spacing w:val="10"/>
          <w:sz w:val="22"/>
        </w:rPr>
        <w:t>unresolved,</w:t>
      </w:r>
      <w:r>
        <w:rPr>
          <w:spacing w:val="6"/>
          <w:sz w:val="22"/>
        </w:rPr>
        <w:t> </w:t>
      </w:r>
      <w:r>
        <w:rPr>
          <w:sz w:val="22"/>
        </w:rPr>
        <w:t>follow </w:t>
      </w:r>
      <w:r>
        <w:rPr>
          <w:spacing w:val="9"/>
          <w:sz w:val="22"/>
        </w:rPr>
        <w:t>the </w:t>
      </w:r>
      <w:r>
        <w:rPr>
          <w:spacing w:val="13"/>
          <w:sz w:val="22"/>
        </w:rPr>
        <w:t>sam</w:t>
      </w:r>
      <w:r>
        <w:rPr>
          <w:spacing w:val="-17"/>
          <w:sz w:val="22"/>
        </w:rPr>
        <w:t> </w:t>
      </w:r>
      <w:r>
        <w:rPr>
          <w:sz w:val="22"/>
        </w:rPr>
        <w:t>e </w:t>
      </w:r>
      <w:r>
        <w:rPr>
          <w:spacing w:val="11"/>
          <w:sz w:val="22"/>
        </w:rPr>
        <w:t>steps </w:t>
      </w:r>
      <w:r>
        <w:rPr>
          <w:sz w:val="22"/>
        </w:rPr>
        <w:t>with </w:t>
      </w:r>
      <w:r>
        <w:rPr>
          <w:spacing w:val="9"/>
          <w:sz w:val="22"/>
        </w:rPr>
        <w:t>the </w:t>
      </w:r>
      <w:r>
        <w:rPr>
          <w:spacing w:val="16"/>
          <w:sz w:val="22"/>
        </w:rPr>
        <w:t>department </w:t>
      </w:r>
      <w:r>
        <w:rPr>
          <w:spacing w:val="9"/>
          <w:sz w:val="22"/>
        </w:rPr>
        <w:t>chair.</w:t>
      </w:r>
      <w:r>
        <w:rPr>
          <w:spacing w:val="6"/>
          <w:sz w:val="22"/>
        </w:rPr>
        <w:t> </w:t>
      </w:r>
      <w:r>
        <w:rPr>
          <w:sz w:val="22"/>
        </w:rPr>
        <w:t>If </w:t>
      </w:r>
      <w:r>
        <w:rPr>
          <w:spacing w:val="10"/>
          <w:sz w:val="22"/>
        </w:rPr>
        <w:t>after meeting </w:t>
      </w:r>
      <w:r>
        <w:rPr>
          <w:sz w:val="22"/>
        </w:rPr>
        <w:t>with </w:t>
      </w:r>
      <w:r>
        <w:rPr>
          <w:spacing w:val="9"/>
          <w:sz w:val="22"/>
        </w:rPr>
        <w:t>the </w:t>
      </w:r>
      <w:r>
        <w:rPr>
          <w:spacing w:val="15"/>
          <w:sz w:val="22"/>
        </w:rPr>
        <w:t>department </w:t>
      </w:r>
      <w:r>
        <w:rPr>
          <w:spacing w:val="10"/>
          <w:sz w:val="22"/>
        </w:rPr>
        <w:t>Chairperson, </w:t>
      </w:r>
      <w:r>
        <w:rPr>
          <w:sz w:val="22"/>
        </w:rPr>
        <w:t>your </w:t>
      </w:r>
      <w:r>
        <w:rPr>
          <w:spacing w:val="11"/>
          <w:sz w:val="22"/>
        </w:rPr>
        <w:t>grievanc</w:t>
      </w:r>
      <w:r>
        <w:rPr>
          <w:spacing w:val="-29"/>
          <w:sz w:val="22"/>
        </w:rPr>
        <w:t> </w:t>
      </w:r>
      <w:r>
        <w:rPr>
          <w:sz w:val="22"/>
        </w:rPr>
        <w:t>e or </w:t>
      </w:r>
      <w:r>
        <w:rPr>
          <w:spacing w:val="12"/>
          <w:sz w:val="22"/>
        </w:rPr>
        <w:t>ap</w:t>
      </w:r>
      <w:r>
        <w:rPr>
          <w:spacing w:val="-28"/>
          <w:sz w:val="22"/>
        </w:rPr>
        <w:t> </w:t>
      </w:r>
      <w:r>
        <w:rPr>
          <w:spacing w:val="14"/>
          <w:sz w:val="22"/>
        </w:rPr>
        <w:t>peal </w:t>
      </w:r>
      <w:r>
        <w:rPr>
          <w:spacing w:val="10"/>
          <w:sz w:val="22"/>
        </w:rPr>
        <w:t>remains,</w:t>
      </w:r>
      <w:r>
        <w:rPr>
          <w:spacing w:val="7"/>
          <w:sz w:val="22"/>
        </w:rPr>
        <w:t> </w:t>
      </w:r>
      <w:r>
        <w:rPr>
          <w:spacing w:val="9"/>
          <w:sz w:val="22"/>
        </w:rPr>
        <w:t>follow the </w:t>
      </w:r>
      <w:r>
        <w:rPr>
          <w:spacing w:val="14"/>
          <w:sz w:val="22"/>
        </w:rPr>
        <w:t>same </w:t>
      </w:r>
      <w:r>
        <w:rPr>
          <w:spacing w:val="11"/>
          <w:sz w:val="22"/>
        </w:rPr>
        <w:t>steps </w:t>
      </w:r>
      <w:r>
        <w:rPr>
          <w:sz w:val="22"/>
        </w:rPr>
        <w:t>of </w:t>
      </w:r>
      <w:r>
        <w:rPr>
          <w:spacing w:val="11"/>
          <w:sz w:val="22"/>
        </w:rPr>
        <w:t>requesting </w:t>
      </w:r>
      <w:r>
        <w:rPr>
          <w:sz w:val="22"/>
        </w:rPr>
        <w:t>a </w:t>
      </w:r>
      <w:r>
        <w:rPr>
          <w:spacing w:val="12"/>
          <w:sz w:val="22"/>
        </w:rPr>
        <w:t>meeting </w:t>
      </w:r>
      <w:r>
        <w:rPr>
          <w:sz w:val="22"/>
        </w:rPr>
        <w:t>in writing, </w:t>
      </w:r>
      <w:r>
        <w:rPr>
          <w:spacing w:val="12"/>
          <w:sz w:val="22"/>
        </w:rPr>
        <w:t>and </w:t>
      </w:r>
      <w:r>
        <w:rPr>
          <w:sz w:val="22"/>
        </w:rPr>
        <w:t>discussing </w:t>
      </w:r>
      <w:r>
        <w:rPr>
          <w:spacing w:val="11"/>
          <w:sz w:val="22"/>
        </w:rPr>
        <w:t>relevant </w:t>
      </w:r>
      <w:r>
        <w:rPr>
          <w:spacing w:val="13"/>
          <w:sz w:val="22"/>
        </w:rPr>
        <w:t>circumstances</w:t>
      </w:r>
      <w:r>
        <w:rPr>
          <w:spacing w:val="8"/>
          <w:sz w:val="22"/>
        </w:rPr>
        <w:t> </w:t>
      </w:r>
      <w:r>
        <w:rPr>
          <w:sz w:val="22"/>
        </w:rPr>
        <w:t>with </w:t>
      </w:r>
      <w:r>
        <w:rPr>
          <w:spacing w:val="9"/>
          <w:sz w:val="22"/>
        </w:rPr>
        <w:t>the</w:t>
      </w:r>
      <w:r>
        <w:rPr>
          <w:spacing w:val="6"/>
          <w:sz w:val="22"/>
        </w:rPr>
        <w:t> </w:t>
      </w:r>
      <w:r>
        <w:rPr>
          <w:spacing w:val="13"/>
          <w:sz w:val="22"/>
        </w:rPr>
        <w:t>School</w:t>
      </w:r>
      <w:r>
        <w:rPr>
          <w:spacing w:val="-1"/>
          <w:sz w:val="22"/>
        </w:rPr>
        <w:t> </w:t>
      </w:r>
      <w:r>
        <w:rPr>
          <w:spacing w:val="11"/>
          <w:sz w:val="22"/>
        </w:rPr>
        <w:t>Dean.</w:t>
      </w:r>
      <w:r>
        <w:rPr>
          <w:spacing w:val="-5"/>
          <w:sz w:val="22"/>
        </w:rPr>
        <w:t> </w:t>
      </w:r>
      <w:r>
        <w:rPr>
          <w:sz w:val="22"/>
        </w:rPr>
        <w:t>Finally,</w:t>
      </w:r>
      <w:r>
        <w:rPr>
          <w:spacing w:val="-5"/>
          <w:sz w:val="22"/>
        </w:rPr>
        <w:t> </w:t>
      </w:r>
      <w:r>
        <w:rPr>
          <w:sz w:val="22"/>
        </w:rPr>
        <w:t>if </w:t>
      </w:r>
      <w:r>
        <w:rPr>
          <w:spacing w:val="10"/>
          <w:sz w:val="22"/>
        </w:rPr>
        <w:t>after</w:t>
      </w:r>
      <w:r>
        <w:rPr>
          <w:spacing w:val="8"/>
          <w:sz w:val="22"/>
        </w:rPr>
        <w:t> </w:t>
      </w:r>
      <w:r>
        <w:rPr>
          <w:spacing w:val="12"/>
          <w:sz w:val="22"/>
        </w:rPr>
        <w:t>meeting</w:t>
      </w:r>
      <w:r>
        <w:rPr>
          <w:spacing w:val="-31"/>
          <w:sz w:val="22"/>
        </w:rPr>
        <w:t> </w:t>
      </w:r>
      <w:r>
        <w:rPr>
          <w:sz w:val="22"/>
        </w:rPr>
        <w:t>/</w:t>
      </w:r>
      <w:r>
        <w:rPr>
          <w:spacing w:val="-30"/>
          <w:sz w:val="22"/>
        </w:rPr>
        <w:t> </w:t>
      </w:r>
      <w:r>
        <w:rPr>
          <w:sz w:val="22"/>
        </w:rPr>
        <w:t>discussing with</w:t>
      </w:r>
    </w:p>
    <w:p>
      <w:pPr>
        <w:spacing w:after="0" w:line="295" w:lineRule="auto"/>
        <w:jc w:val="left"/>
        <w:rPr>
          <w:sz w:val="22"/>
        </w:rPr>
        <w:sectPr>
          <w:headerReference w:type="default" r:id="rId333"/>
          <w:footerReference w:type="default" r:id="rId334"/>
          <w:pgSz w:w="12240" w:h="15840"/>
          <w:pgMar w:header="0" w:footer="749" w:top="1700" w:bottom="940" w:left="1000" w:right="820"/>
        </w:sectPr>
      </w:pPr>
    </w:p>
    <w:p>
      <w:pPr>
        <w:spacing w:line="292" w:lineRule="auto" w:before="77"/>
        <w:ind w:left="440" w:right="642" w:firstLine="3"/>
        <w:jc w:val="left"/>
        <w:rPr>
          <w:sz w:val="22"/>
        </w:rPr>
      </w:pPr>
      <w:r>
        <w:rPr>
          <w:sz w:val="22"/>
        </w:rPr>
        <w:t>your Professor, </w:t>
      </w:r>
      <w:r>
        <w:rPr>
          <w:spacing w:val="10"/>
          <w:sz w:val="22"/>
        </w:rPr>
        <w:t>Chairperson, </w:t>
      </w:r>
      <w:r>
        <w:rPr>
          <w:spacing w:val="13"/>
          <w:sz w:val="22"/>
        </w:rPr>
        <w:t>Dean </w:t>
      </w:r>
      <w:r>
        <w:rPr>
          <w:sz w:val="22"/>
        </w:rPr>
        <w:t>(in </w:t>
      </w:r>
      <w:r>
        <w:rPr>
          <w:spacing w:val="13"/>
          <w:sz w:val="22"/>
        </w:rPr>
        <w:t>that </w:t>
      </w:r>
      <w:r>
        <w:rPr>
          <w:sz w:val="22"/>
        </w:rPr>
        <w:t>order), </w:t>
      </w:r>
      <w:r>
        <w:rPr>
          <w:spacing w:val="10"/>
          <w:sz w:val="22"/>
        </w:rPr>
        <w:t>you </w:t>
      </w:r>
      <w:r>
        <w:rPr>
          <w:spacing w:val="14"/>
          <w:sz w:val="22"/>
        </w:rPr>
        <w:t>may </w:t>
      </w:r>
      <w:r>
        <w:rPr>
          <w:sz w:val="22"/>
        </w:rPr>
        <w:t>file</w:t>
      </w:r>
      <w:r>
        <w:rPr>
          <w:spacing w:val="40"/>
          <w:sz w:val="22"/>
        </w:rPr>
        <w:t> </w:t>
      </w:r>
      <w:r>
        <w:rPr>
          <w:sz w:val="22"/>
        </w:rPr>
        <w:t>a</w:t>
      </w:r>
      <w:r>
        <w:rPr>
          <w:spacing w:val="13"/>
          <w:sz w:val="22"/>
        </w:rPr>
        <w:t> grievance </w:t>
      </w:r>
      <w:r>
        <w:rPr>
          <w:sz w:val="22"/>
        </w:rPr>
        <w:t>with </w:t>
      </w:r>
      <w:r>
        <w:rPr>
          <w:spacing w:val="9"/>
          <w:sz w:val="22"/>
        </w:rPr>
        <w:t>the </w:t>
      </w:r>
      <w:r>
        <w:rPr>
          <w:sz w:val="22"/>
        </w:rPr>
        <w:t>University Provost,</w:t>
      </w:r>
      <w:r>
        <w:rPr>
          <w:spacing w:val="10"/>
          <w:sz w:val="22"/>
        </w:rPr>
        <w:t> who</w:t>
      </w:r>
      <w:r>
        <w:rPr>
          <w:spacing w:val="28"/>
          <w:sz w:val="22"/>
        </w:rPr>
        <w:t> </w:t>
      </w:r>
      <w:r>
        <w:rPr>
          <w:sz w:val="22"/>
        </w:rPr>
        <w:t>will</w:t>
      </w:r>
      <w:r>
        <w:rPr>
          <w:spacing w:val="11"/>
          <w:sz w:val="22"/>
        </w:rPr>
        <w:t> then </w:t>
      </w:r>
      <w:r>
        <w:rPr>
          <w:sz w:val="22"/>
        </w:rPr>
        <w:t>work</w:t>
      </w:r>
      <w:r>
        <w:rPr>
          <w:spacing w:val="16"/>
          <w:sz w:val="22"/>
        </w:rPr>
        <w:t> </w:t>
      </w:r>
      <w:r>
        <w:rPr>
          <w:sz w:val="22"/>
        </w:rPr>
        <w:t>with</w:t>
      </w:r>
      <w:r>
        <w:rPr>
          <w:spacing w:val="9"/>
          <w:sz w:val="22"/>
        </w:rPr>
        <w:t> the </w:t>
      </w:r>
      <w:r>
        <w:rPr>
          <w:spacing w:val="11"/>
          <w:sz w:val="22"/>
        </w:rPr>
        <w:t>Dep</w:t>
      </w:r>
      <w:r>
        <w:rPr>
          <w:spacing w:val="-31"/>
          <w:sz w:val="22"/>
        </w:rPr>
        <w:t> </w:t>
      </w:r>
      <w:r>
        <w:rPr>
          <w:spacing w:val="12"/>
          <w:sz w:val="22"/>
        </w:rPr>
        <w:t>artment </w:t>
      </w:r>
      <w:r>
        <w:rPr>
          <w:sz w:val="22"/>
        </w:rPr>
        <w:t>to</w:t>
      </w:r>
      <w:r>
        <w:rPr>
          <w:spacing w:val="15"/>
          <w:sz w:val="22"/>
        </w:rPr>
        <w:t> </w:t>
      </w:r>
      <w:r>
        <w:rPr>
          <w:sz w:val="22"/>
        </w:rPr>
        <w:t>resolve</w:t>
      </w:r>
      <w:r>
        <w:rPr>
          <w:spacing w:val="9"/>
          <w:sz w:val="22"/>
        </w:rPr>
        <w:t> the </w:t>
      </w:r>
      <w:r>
        <w:rPr>
          <w:sz w:val="22"/>
        </w:rPr>
        <w:t>issue</w:t>
      </w:r>
      <w:r>
        <w:rPr>
          <w:spacing w:val="30"/>
          <w:sz w:val="22"/>
        </w:rPr>
        <w:t> </w:t>
      </w:r>
      <w:r>
        <w:rPr>
          <w:spacing w:val="10"/>
          <w:sz w:val="22"/>
        </w:rPr>
        <w:t>at </w:t>
      </w:r>
      <w:r>
        <w:rPr>
          <w:spacing w:val="14"/>
          <w:sz w:val="22"/>
        </w:rPr>
        <w:t>hand.</w:t>
      </w:r>
    </w:p>
    <w:p>
      <w:pPr>
        <w:pStyle w:val="BodyText"/>
        <w:spacing w:before="3"/>
        <w:rPr>
          <w:sz w:val="27"/>
        </w:rPr>
      </w:pPr>
    </w:p>
    <w:p>
      <w:pPr>
        <w:spacing w:before="0"/>
        <w:ind w:left="440" w:right="0" w:firstLine="0"/>
        <w:jc w:val="left"/>
        <w:rPr>
          <w:i/>
          <w:sz w:val="22"/>
        </w:rPr>
      </w:pPr>
      <w:r>
        <w:rPr>
          <w:i/>
          <w:sz w:val="22"/>
        </w:rPr>
        <w:t>I’</w:t>
      </w:r>
      <w:r>
        <w:rPr>
          <w:i/>
          <w:spacing w:val="-36"/>
          <w:sz w:val="22"/>
        </w:rPr>
        <w:t> </w:t>
      </w:r>
      <w:r>
        <w:rPr>
          <w:i/>
          <w:sz w:val="22"/>
        </w:rPr>
        <w:t>m</w:t>
      </w:r>
      <w:r>
        <w:rPr>
          <w:i/>
          <w:spacing w:val="6"/>
          <w:sz w:val="22"/>
        </w:rPr>
        <w:t> </w:t>
      </w:r>
      <w:r>
        <w:rPr>
          <w:i/>
          <w:spacing w:val="11"/>
          <w:sz w:val="22"/>
        </w:rPr>
        <w:t>not</w:t>
      </w:r>
      <w:r>
        <w:rPr>
          <w:i/>
          <w:spacing w:val="1"/>
          <w:sz w:val="22"/>
        </w:rPr>
        <w:t> </w:t>
      </w:r>
      <w:r>
        <w:rPr>
          <w:i/>
          <w:sz w:val="22"/>
        </w:rPr>
        <w:t>sure</w:t>
      </w:r>
      <w:r>
        <w:rPr>
          <w:i/>
          <w:spacing w:val="9"/>
          <w:sz w:val="22"/>
        </w:rPr>
        <w:t> </w:t>
      </w:r>
      <w:r>
        <w:rPr>
          <w:i/>
          <w:spacing w:val="13"/>
          <w:sz w:val="22"/>
        </w:rPr>
        <w:t>that</w:t>
      </w:r>
      <w:r>
        <w:rPr>
          <w:i/>
          <w:spacing w:val="6"/>
          <w:sz w:val="22"/>
        </w:rPr>
        <w:t> </w:t>
      </w:r>
      <w:r>
        <w:rPr>
          <w:i/>
          <w:spacing w:val="12"/>
          <w:sz w:val="22"/>
        </w:rPr>
        <w:t>Architecture</w:t>
      </w:r>
      <w:r>
        <w:rPr>
          <w:i/>
          <w:spacing w:val="1"/>
          <w:sz w:val="22"/>
        </w:rPr>
        <w:t> </w:t>
      </w:r>
      <w:r>
        <w:rPr>
          <w:i/>
          <w:sz w:val="22"/>
        </w:rPr>
        <w:t>is</w:t>
      </w:r>
      <w:r>
        <w:rPr>
          <w:i/>
          <w:spacing w:val="1"/>
          <w:sz w:val="22"/>
        </w:rPr>
        <w:t> </w:t>
      </w:r>
      <w:r>
        <w:rPr>
          <w:i/>
          <w:spacing w:val="9"/>
          <w:sz w:val="22"/>
        </w:rPr>
        <w:t>the</w:t>
      </w:r>
      <w:r>
        <w:rPr>
          <w:i/>
          <w:spacing w:val="13"/>
          <w:sz w:val="22"/>
        </w:rPr>
        <w:t> </w:t>
      </w:r>
      <w:r>
        <w:rPr>
          <w:i/>
          <w:spacing w:val="11"/>
          <w:sz w:val="22"/>
        </w:rPr>
        <w:t>major</w:t>
      </w:r>
      <w:r>
        <w:rPr>
          <w:i/>
          <w:spacing w:val="-2"/>
          <w:sz w:val="22"/>
        </w:rPr>
        <w:t> </w:t>
      </w:r>
      <w:r>
        <w:rPr>
          <w:i/>
          <w:sz w:val="22"/>
        </w:rPr>
        <w:t>for</w:t>
      </w:r>
      <w:r>
        <w:rPr>
          <w:i/>
          <w:spacing w:val="2"/>
          <w:sz w:val="22"/>
        </w:rPr>
        <w:t> </w:t>
      </w:r>
      <w:r>
        <w:rPr>
          <w:i/>
          <w:spacing w:val="10"/>
          <w:sz w:val="22"/>
        </w:rPr>
        <w:t>me.</w:t>
      </w:r>
      <w:r>
        <w:rPr>
          <w:i/>
          <w:spacing w:val="-5"/>
          <w:sz w:val="22"/>
        </w:rPr>
        <w:t> </w:t>
      </w:r>
      <w:r>
        <w:rPr>
          <w:i/>
          <w:spacing w:val="11"/>
          <w:sz w:val="22"/>
        </w:rPr>
        <w:t>What</w:t>
      </w:r>
      <w:r>
        <w:rPr>
          <w:i/>
          <w:spacing w:val="-1"/>
          <w:sz w:val="22"/>
        </w:rPr>
        <w:t> </w:t>
      </w:r>
      <w:r>
        <w:rPr>
          <w:i/>
          <w:spacing w:val="9"/>
          <w:sz w:val="22"/>
        </w:rPr>
        <w:t>should</w:t>
      </w:r>
      <w:r>
        <w:rPr>
          <w:i/>
          <w:spacing w:val="7"/>
          <w:sz w:val="22"/>
        </w:rPr>
        <w:t> </w:t>
      </w:r>
      <w:r>
        <w:rPr>
          <w:i/>
          <w:sz w:val="22"/>
        </w:rPr>
        <w:t>I</w:t>
      </w:r>
      <w:r>
        <w:rPr>
          <w:i/>
          <w:spacing w:val="5"/>
          <w:sz w:val="22"/>
        </w:rPr>
        <w:t> </w:t>
      </w:r>
      <w:r>
        <w:rPr>
          <w:i/>
          <w:spacing w:val="7"/>
          <w:sz w:val="22"/>
        </w:rPr>
        <w:t>do?</w:t>
      </w:r>
    </w:p>
    <w:p>
      <w:pPr>
        <w:pStyle w:val="BodyText"/>
        <w:spacing w:before="9"/>
        <w:rPr>
          <w:i/>
          <w:sz w:val="31"/>
        </w:rPr>
      </w:pPr>
    </w:p>
    <w:p>
      <w:pPr>
        <w:spacing w:before="1"/>
        <w:ind w:left="440" w:right="0" w:firstLine="0"/>
        <w:jc w:val="left"/>
        <w:rPr>
          <w:sz w:val="22"/>
        </w:rPr>
      </w:pPr>
      <w:r>
        <w:rPr>
          <w:sz w:val="22"/>
        </w:rPr>
        <w:t>This</w:t>
      </w:r>
      <w:r>
        <w:rPr>
          <w:spacing w:val="-16"/>
          <w:sz w:val="22"/>
        </w:rPr>
        <w:t> </w:t>
      </w:r>
      <w:r>
        <w:rPr>
          <w:sz w:val="22"/>
        </w:rPr>
        <w:t>is</w:t>
      </w:r>
      <w:r>
        <w:rPr>
          <w:spacing w:val="-4"/>
          <w:sz w:val="22"/>
        </w:rPr>
        <w:t> </w:t>
      </w:r>
      <w:r>
        <w:rPr>
          <w:sz w:val="22"/>
        </w:rPr>
        <w:t>a</w:t>
      </w:r>
      <w:r>
        <w:rPr>
          <w:spacing w:val="15"/>
          <w:sz w:val="22"/>
        </w:rPr>
        <w:t> </w:t>
      </w:r>
      <w:r>
        <w:rPr>
          <w:sz w:val="22"/>
        </w:rPr>
        <w:t>c</w:t>
      </w:r>
      <w:r>
        <w:rPr>
          <w:spacing w:val="-33"/>
          <w:sz w:val="22"/>
        </w:rPr>
        <w:t> </w:t>
      </w:r>
      <w:r>
        <w:rPr>
          <w:spacing w:val="13"/>
          <w:sz w:val="22"/>
        </w:rPr>
        <w:t>ommon</w:t>
      </w:r>
      <w:r>
        <w:rPr>
          <w:spacing w:val="5"/>
          <w:sz w:val="22"/>
        </w:rPr>
        <w:t> </w:t>
      </w:r>
      <w:r>
        <w:rPr>
          <w:spacing w:val="10"/>
          <w:sz w:val="22"/>
        </w:rPr>
        <w:t>question</w:t>
      </w:r>
      <w:r>
        <w:rPr>
          <w:spacing w:val="-1"/>
          <w:sz w:val="22"/>
        </w:rPr>
        <w:t> </w:t>
      </w:r>
      <w:r>
        <w:rPr>
          <w:spacing w:val="13"/>
          <w:sz w:val="22"/>
        </w:rPr>
        <w:t>that</w:t>
      </w:r>
      <w:r>
        <w:rPr>
          <w:spacing w:val="-2"/>
          <w:sz w:val="22"/>
        </w:rPr>
        <w:t> </w:t>
      </w:r>
      <w:r>
        <w:rPr>
          <w:spacing w:val="10"/>
          <w:sz w:val="22"/>
        </w:rPr>
        <w:t>freshmen</w:t>
      </w:r>
      <w:r>
        <w:rPr>
          <w:spacing w:val="-8"/>
          <w:sz w:val="22"/>
        </w:rPr>
        <w:t> </w:t>
      </w:r>
      <w:r>
        <w:rPr>
          <w:sz w:val="22"/>
        </w:rPr>
        <w:t>in</w:t>
      </w:r>
      <w:r>
        <w:rPr>
          <w:spacing w:val="5"/>
          <w:sz w:val="22"/>
        </w:rPr>
        <w:t> </w:t>
      </w:r>
      <w:r>
        <w:rPr>
          <w:sz w:val="22"/>
        </w:rPr>
        <w:t>all</w:t>
      </w:r>
      <w:r>
        <w:rPr>
          <w:spacing w:val="-2"/>
          <w:sz w:val="22"/>
        </w:rPr>
        <w:t> </w:t>
      </w:r>
      <w:r>
        <w:rPr>
          <w:spacing w:val="9"/>
          <w:sz w:val="22"/>
        </w:rPr>
        <w:t>majors</w:t>
      </w:r>
      <w:r>
        <w:rPr>
          <w:spacing w:val="-11"/>
          <w:sz w:val="22"/>
        </w:rPr>
        <w:t> </w:t>
      </w:r>
      <w:r>
        <w:rPr>
          <w:spacing w:val="9"/>
          <w:sz w:val="22"/>
        </w:rPr>
        <w:t>struggle</w:t>
      </w:r>
      <w:r>
        <w:rPr>
          <w:spacing w:val="8"/>
          <w:sz w:val="22"/>
        </w:rPr>
        <w:t> </w:t>
      </w:r>
      <w:r>
        <w:rPr>
          <w:sz w:val="22"/>
        </w:rPr>
        <w:t>with</w:t>
      </w:r>
      <w:r>
        <w:rPr>
          <w:spacing w:val="3"/>
          <w:sz w:val="22"/>
        </w:rPr>
        <w:t> </w:t>
      </w:r>
      <w:r>
        <w:rPr>
          <w:sz w:val="22"/>
        </w:rPr>
        <w:t>on</w:t>
      </w:r>
      <w:r>
        <w:rPr>
          <w:spacing w:val="7"/>
          <w:sz w:val="22"/>
        </w:rPr>
        <w:t> </w:t>
      </w:r>
      <w:r>
        <w:rPr>
          <w:sz w:val="22"/>
        </w:rPr>
        <w:t>c</w:t>
      </w:r>
      <w:r>
        <w:rPr>
          <w:spacing w:val="-30"/>
          <w:sz w:val="22"/>
        </w:rPr>
        <w:t> </w:t>
      </w:r>
      <w:r>
        <w:rPr>
          <w:spacing w:val="10"/>
          <w:sz w:val="22"/>
        </w:rPr>
        <w:t>ampus.</w:t>
      </w:r>
    </w:p>
    <w:p>
      <w:pPr>
        <w:spacing w:line="295" w:lineRule="auto" w:before="56"/>
        <w:ind w:left="444" w:right="1003" w:hanging="4"/>
        <w:jc w:val="left"/>
        <w:rPr>
          <w:sz w:val="22"/>
        </w:rPr>
      </w:pPr>
      <w:r>
        <w:rPr>
          <w:spacing w:val="9"/>
          <w:sz w:val="22"/>
        </w:rPr>
        <w:t>Ultimately </w:t>
      </w:r>
      <w:r>
        <w:rPr>
          <w:sz w:val="22"/>
        </w:rPr>
        <w:t>it will </w:t>
      </w:r>
      <w:r>
        <w:rPr>
          <w:spacing w:val="11"/>
          <w:sz w:val="22"/>
        </w:rPr>
        <w:t>be </w:t>
      </w:r>
      <w:r>
        <w:rPr>
          <w:sz w:val="22"/>
        </w:rPr>
        <w:t>your </w:t>
      </w:r>
      <w:r>
        <w:rPr>
          <w:spacing w:val="11"/>
          <w:sz w:val="22"/>
        </w:rPr>
        <w:t>decision </w:t>
      </w:r>
      <w:r>
        <w:rPr>
          <w:sz w:val="22"/>
        </w:rPr>
        <w:t>to </w:t>
      </w:r>
      <w:r>
        <w:rPr>
          <w:spacing w:val="14"/>
          <w:sz w:val="22"/>
        </w:rPr>
        <w:t>declare </w:t>
      </w:r>
      <w:r>
        <w:rPr>
          <w:sz w:val="22"/>
        </w:rPr>
        <w:t>a</w:t>
      </w:r>
      <w:r>
        <w:rPr>
          <w:spacing w:val="16"/>
          <w:sz w:val="22"/>
        </w:rPr>
        <w:t> change </w:t>
      </w:r>
      <w:r>
        <w:rPr>
          <w:sz w:val="22"/>
        </w:rPr>
        <w:t>of </w:t>
      </w:r>
      <w:r>
        <w:rPr>
          <w:spacing w:val="11"/>
          <w:sz w:val="22"/>
        </w:rPr>
        <w:t>major </w:t>
      </w:r>
      <w:r>
        <w:rPr>
          <w:spacing w:val="12"/>
          <w:sz w:val="22"/>
        </w:rPr>
        <w:t>however, </w:t>
      </w:r>
      <w:r>
        <w:rPr>
          <w:spacing w:val="15"/>
          <w:sz w:val="22"/>
        </w:rPr>
        <w:t>guidance </w:t>
      </w:r>
      <w:r>
        <w:rPr>
          <w:sz w:val="22"/>
        </w:rPr>
        <w:t>from</w:t>
      </w:r>
      <w:r>
        <w:rPr>
          <w:spacing w:val="13"/>
          <w:sz w:val="22"/>
        </w:rPr>
        <w:t> </w:t>
      </w:r>
      <w:r>
        <w:rPr>
          <w:sz w:val="22"/>
        </w:rPr>
        <w:t>your</w:t>
      </w:r>
      <w:r>
        <w:rPr>
          <w:spacing w:val="13"/>
          <w:sz w:val="22"/>
        </w:rPr>
        <w:t> </w:t>
      </w:r>
      <w:r>
        <w:rPr>
          <w:sz w:val="22"/>
        </w:rPr>
        <w:t>professors</w:t>
      </w:r>
      <w:r>
        <w:rPr>
          <w:spacing w:val="12"/>
          <w:sz w:val="22"/>
        </w:rPr>
        <w:t> and</w:t>
      </w:r>
      <w:r>
        <w:rPr>
          <w:spacing w:val="27"/>
          <w:sz w:val="22"/>
        </w:rPr>
        <w:t> </w:t>
      </w:r>
      <w:r>
        <w:rPr>
          <w:sz w:val="22"/>
        </w:rPr>
        <w:t>a</w:t>
      </w:r>
      <w:r>
        <w:rPr>
          <w:spacing w:val="-33"/>
          <w:sz w:val="22"/>
        </w:rPr>
        <w:t> </w:t>
      </w:r>
      <w:r>
        <w:rPr>
          <w:sz w:val="22"/>
        </w:rPr>
        <w:t>dvisors</w:t>
      </w:r>
      <w:r>
        <w:rPr>
          <w:spacing w:val="13"/>
          <w:sz w:val="22"/>
        </w:rPr>
        <w:t> </w:t>
      </w:r>
      <w:r>
        <w:rPr>
          <w:sz w:val="22"/>
        </w:rPr>
        <w:t>c</w:t>
      </w:r>
      <w:r>
        <w:rPr>
          <w:spacing w:val="-30"/>
          <w:sz w:val="22"/>
        </w:rPr>
        <w:t> </w:t>
      </w:r>
      <w:r>
        <w:rPr>
          <w:spacing w:val="10"/>
          <w:sz w:val="22"/>
        </w:rPr>
        <w:t>an </w:t>
      </w:r>
      <w:r>
        <w:rPr>
          <w:sz w:val="22"/>
        </w:rPr>
        <w:t>assist you</w:t>
      </w:r>
      <w:r>
        <w:rPr>
          <w:spacing w:val="10"/>
          <w:sz w:val="22"/>
        </w:rPr>
        <w:t> greatly.</w:t>
      </w:r>
      <w:r>
        <w:rPr>
          <w:spacing w:val="-1"/>
          <w:sz w:val="22"/>
        </w:rPr>
        <w:t> </w:t>
      </w:r>
      <w:r>
        <w:rPr>
          <w:sz w:val="22"/>
        </w:rPr>
        <w:t>We </w:t>
      </w:r>
      <w:r>
        <w:rPr>
          <w:spacing w:val="9"/>
          <w:sz w:val="22"/>
        </w:rPr>
        <w:t>strongly </w:t>
      </w:r>
      <w:r>
        <w:rPr>
          <w:sz w:val="22"/>
        </w:rPr>
        <w:t>a</w:t>
      </w:r>
      <w:r>
        <w:rPr>
          <w:spacing w:val="-33"/>
          <w:sz w:val="22"/>
        </w:rPr>
        <w:t> </w:t>
      </w:r>
      <w:r>
        <w:rPr>
          <w:sz w:val="22"/>
        </w:rPr>
        <w:t>dvise</w:t>
      </w:r>
      <w:r>
        <w:rPr>
          <w:spacing w:val="9"/>
          <w:sz w:val="22"/>
        </w:rPr>
        <w:t> you </w:t>
      </w:r>
      <w:r>
        <w:rPr>
          <w:sz w:val="22"/>
        </w:rPr>
        <w:t>to</w:t>
      </w:r>
      <w:r>
        <w:rPr>
          <w:spacing w:val="15"/>
          <w:sz w:val="22"/>
        </w:rPr>
        <w:t> </w:t>
      </w:r>
      <w:r>
        <w:rPr>
          <w:sz w:val="22"/>
        </w:rPr>
        <w:t>try</w:t>
      </w:r>
    </w:p>
    <w:p>
      <w:pPr>
        <w:spacing w:line="292" w:lineRule="auto" w:before="0"/>
        <w:ind w:left="456" w:right="642" w:hanging="3"/>
        <w:jc w:val="left"/>
        <w:rPr>
          <w:sz w:val="22"/>
        </w:rPr>
      </w:pPr>
      <w:r>
        <w:rPr>
          <w:spacing w:val="13"/>
          <w:sz w:val="22"/>
        </w:rPr>
        <w:t>and </w:t>
      </w:r>
      <w:r>
        <w:rPr>
          <w:spacing w:val="12"/>
          <w:sz w:val="22"/>
        </w:rPr>
        <w:t>make </w:t>
      </w:r>
      <w:r>
        <w:rPr>
          <w:sz w:val="22"/>
        </w:rPr>
        <w:t>this </w:t>
      </w:r>
      <w:r>
        <w:rPr>
          <w:spacing w:val="12"/>
          <w:sz w:val="22"/>
        </w:rPr>
        <w:t>determination </w:t>
      </w:r>
      <w:r>
        <w:rPr>
          <w:sz w:val="22"/>
        </w:rPr>
        <w:t>during or</w:t>
      </w:r>
      <w:r>
        <w:rPr>
          <w:spacing w:val="-1"/>
          <w:sz w:val="22"/>
        </w:rPr>
        <w:t> </w:t>
      </w:r>
      <w:r>
        <w:rPr>
          <w:spacing w:val="13"/>
          <w:sz w:val="22"/>
        </w:rPr>
        <w:t>immediately </w:t>
      </w:r>
      <w:r>
        <w:rPr>
          <w:spacing w:val="10"/>
          <w:sz w:val="22"/>
        </w:rPr>
        <w:t>after</w:t>
      </w:r>
      <w:r>
        <w:rPr>
          <w:spacing w:val="3"/>
          <w:sz w:val="22"/>
        </w:rPr>
        <w:t> </w:t>
      </w:r>
      <w:r>
        <w:rPr>
          <w:sz w:val="22"/>
        </w:rPr>
        <w:t>your first </w:t>
      </w:r>
      <w:r>
        <w:rPr>
          <w:spacing w:val="10"/>
          <w:sz w:val="22"/>
        </w:rPr>
        <w:t>year.</w:t>
      </w:r>
      <w:r>
        <w:rPr>
          <w:spacing w:val="-5"/>
          <w:sz w:val="22"/>
        </w:rPr>
        <w:t> </w:t>
      </w:r>
      <w:r>
        <w:rPr>
          <w:sz w:val="22"/>
        </w:rPr>
        <w:t>If </w:t>
      </w:r>
      <w:r>
        <w:rPr>
          <w:spacing w:val="9"/>
          <w:sz w:val="22"/>
        </w:rPr>
        <w:t>you </w:t>
      </w:r>
      <w:r>
        <w:rPr>
          <w:spacing w:val="11"/>
          <w:sz w:val="22"/>
        </w:rPr>
        <w:t>choose </w:t>
      </w:r>
      <w:r>
        <w:rPr>
          <w:sz w:val="22"/>
        </w:rPr>
        <w:t>to </w:t>
      </w:r>
      <w:r>
        <w:rPr>
          <w:spacing w:val="16"/>
          <w:sz w:val="22"/>
        </w:rPr>
        <w:t>change </w:t>
      </w:r>
      <w:r>
        <w:rPr>
          <w:sz w:val="22"/>
        </w:rPr>
        <w:t>your </w:t>
      </w:r>
      <w:r>
        <w:rPr>
          <w:spacing w:val="11"/>
          <w:sz w:val="22"/>
        </w:rPr>
        <w:t>major </w:t>
      </w:r>
      <w:r>
        <w:rPr>
          <w:spacing w:val="10"/>
          <w:sz w:val="22"/>
        </w:rPr>
        <w:t>after </w:t>
      </w:r>
      <w:r>
        <w:rPr>
          <w:sz w:val="22"/>
        </w:rPr>
        <w:t>first </w:t>
      </w:r>
      <w:r>
        <w:rPr>
          <w:spacing w:val="9"/>
          <w:sz w:val="22"/>
        </w:rPr>
        <w:t>year, most </w:t>
      </w:r>
      <w:r>
        <w:rPr>
          <w:sz w:val="22"/>
        </w:rPr>
        <w:t>of your c</w:t>
      </w:r>
      <w:r>
        <w:rPr>
          <w:spacing w:val="-30"/>
          <w:sz w:val="22"/>
        </w:rPr>
        <w:t> </w:t>
      </w:r>
      <w:r>
        <w:rPr>
          <w:sz w:val="22"/>
        </w:rPr>
        <w:t>ourses will </w:t>
      </w:r>
      <w:r>
        <w:rPr>
          <w:spacing w:val="11"/>
          <w:sz w:val="22"/>
        </w:rPr>
        <w:t>be </w:t>
      </w:r>
      <w:r>
        <w:rPr>
          <w:spacing w:val="10"/>
          <w:sz w:val="22"/>
        </w:rPr>
        <w:t>transferable </w:t>
      </w:r>
      <w:r>
        <w:rPr>
          <w:sz w:val="22"/>
        </w:rPr>
        <w:t>to</w:t>
      </w:r>
      <w:r>
        <w:rPr>
          <w:spacing w:val="11"/>
          <w:sz w:val="22"/>
        </w:rPr>
        <w:t> other</w:t>
      </w:r>
    </w:p>
    <w:p>
      <w:pPr>
        <w:spacing w:before="1"/>
        <w:ind w:left="452" w:right="0" w:firstLine="0"/>
        <w:jc w:val="left"/>
        <w:rPr>
          <w:sz w:val="22"/>
        </w:rPr>
      </w:pPr>
      <w:r>
        <w:rPr>
          <w:w w:val="95"/>
          <w:sz w:val="22"/>
        </w:rPr>
        <w:t>majors.</w:t>
      </w:r>
      <w:r>
        <w:rPr>
          <w:spacing w:val="7"/>
          <w:sz w:val="22"/>
        </w:rPr>
        <w:t> </w:t>
      </w:r>
      <w:r>
        <w:rPr>
          <w:w w:val="95"/>
          <w:sz w:val="22"/>
        </w:rPr>
        <w:t>This</w:t>
      </w:r>
      <w:r>
        <w:rPr>
          <w:spacing w:val="26"/>
          <w:sz w:val="22"/>
        </w:rPr>
        <w:t> </w:t>
      </w:r>
      <w:r>
        <w:rPr>
          <w:spacing w:val="16"/>
          <w:w w:val="95"/>
          <w:sz w:val="22"/>
        </w:rPr>
        <w:t>bec</w:t>
      </w:r>
      <w:r>
        <w:rPr>
          <w:spacing w:val="-25"/>
          <w:w w:val="95"/>
          <w:sz w:val="22"/>
        </w:rPr>
        <w:t> </w:t>
      </w:r>
      <w:r>
        <w:rPr>
          <w:spacing w:val="12"/>
          <w:w w:val="95"/>
          <w:sz w:val="22"/>
        </w:rPr>
        <w:t>omes</w:t>
      </w:r>
      <w:r>
        <w:rPr>
          <w:spacing w:val="10"/>
          <w:sz w:val="22"/>
        </w:rPr>
        <w:t> </w:t>
      </w:r>
      <w:r>
        <w:rPr>
          <w:w w:val="95"/>
          <w:sz w:val="22"/>
        </w:rPr>
        <w:t>less</w:t>
      </w:r>
      <w:r>
        <w:rPr>
          <w:spacing w:val="17"/>
          <w:sz w:val="22"/>
        </w:rPr>
        <w:t> </w:t>
      </w:r>
      <w:r>
        <w:rPr>
          <w:w w:val="95"/>
          <w:sz w:val="22"/>
        </w:rPr>
        <w:t>true</w:t>
      </w:r>
      <w:r>
        <w:rPr>
          <w:spacing w:val="30"/>
          <w:sz w:val="22"/>
        </w:rPr>
        <w:t> </w:t>
      </w:r>
      <w:r>
        <w:rPr>
          <w:spacing w:val="9"/>
          <w:w w:val="95"/>
          <w:sz w:val="22"/>
        </w:rPr>
        <w:t>the</w:t>
      </w:r>
      <w:r>
        <w:rPr>
          <w:spacing w:val="21"/>
          <w:sz w:val="22"/>
        </w:rPr>
        <w:t> </w:t>
      </w:r>
      <w:r>
        <w:rPr>
          <w:spacing w:val="12"/>
          <w:w w:val="95"/>
          <w:sz w:val="22"/>
        </w:rPr>
        <w:t>longer</w:t>
      </w:r>
      <w:r>
        <w:rPr>
          <w:spacing w:val="15"/>
          <w:sz w:val="22"/>
        </w:rPr>
        <w:t> </w:t>
      </w:r>
      <w:r>
        <w:rPr>
          <w:spacing w:val="9"/>
          <w:w w:val="95"/>
          <w:sz w:val="22"/>
        </w:rPr>
        <w:t>you</w:t>
      </w:r>
      <w:r>
        <w:rPr>
          <w:spacing w:val="13"/>
          <w:sz w:val="22"/>
        </w:rPr>
        <w:t> </w:t>
      </w:r>
      <w:r>
        <w:rPr>
          <w:spacing w:val="11"/>
          <w:w w:val="95"/>
          <w:sz w:val="22"/>
        </w:rPr>
        <w:t>stay</w:t>
      </w:r>
      <w:r>
        <w:rPr>
          <w:spacing w:val="13"/>
          <w:sz w:val="22"/>
        </w:rPr>
        <w:t> </w:t>
      </w:r>
      <w:r>
        <w:rPr>
          <w:w w:val="95"/>
          <w:sz w:val="22"/>
        </w:rPr>
        <w:t>in</w:t>
      </w:r>
      <w:r>
        <w:rPr>
          <w:spacing w:val="24"/>
          <w:sz w:val="22"/>
        </w:rPr>
        <w:t> </w:t>
      </w:r>
      <w:r>
        <w:rPr>
          <w:spacing w:val="9"/>
          <w:w w:val="95"/>
          <w:sz w:val="22"/>
        </w:rPr>
        <w:t>the</w:t>
      </w:r>
      <w:r>
        <w:rPr>
          <w:spacing w:val="38"/>
          <w:sz w:val="22"/>
        </w:rPr>
        <w:t> </w:t>
      </w:r>
      <w:r>
        <w:rPr>
          <w:spacing w:val="11"/>
          <w:w w:val="95"/>
          <w:sz w:val="22"/>
        </w:rPr>
        <w:t>program.</w:t>
      </w:r>
    </w:p>
    <w:p>
      <w:pPr>
        <w:pStyle w:val="BodyText"/>
        <w:spacing w:before="1"/>
        <w:rPr>
          <w:sz w:val="32"/>
        </w:rPr>
      </w:pPr>
    </w:p>
    <w:p>
      <w:pPr>
        <w:spacing w:line="292" w:lineRule="auto" w:before="0"/>
        <w:ind w:left="447" w:right="754" w:hanging="7"/>
        <w:jc w:val="left"/>
        <w:rPr>
          <w:sz w:val="22"/>
        </w:rPr>
      </w:pPr>
      <w:r>
        <w:rPr>
          <w:spacing w:val="11"/>
          <w:sz w:val="22"/>
        </w:rPr>
        <w:t>Receiving</w:t>
      </w:r>
      <w:r>
        <w:rPr>
          <w:spacing w:val="-2"/>
          <w:sz w:val="22"/>
        </w:rPr>
        <w:t> </w:t>
      </w:r>
      <w:r>
        <w:rPr>
          <w:sz w:val="22"/>
        </w:rPr>
        <w:t>less</w:t>
      </w:r>
      <w:r>
        <w:rPr>
          <w:spacing w:val="-1"/>
          <w:sz w:val="22"/>
        </w:rPr>
        <w:t> </w:t>
      </w:r>
      <w:r>
        <w:rPr>
          <w:spacing w:val="12"/>
          <w:sz w:val="22"/>
        </w:rPr>
        <w:t>than</w:t>
      </w:r>
      <w:r>
        <w:rPr>
          <w:spacing w:val="9"/>
          <w:sz w:val="22"/>
        </w:rPr>
        <w:t> </w:t>
      </w:r>
      <w:r>
        <w:rPr>
          <w:sz w:val="22"/>
        </w:rPr>
        <w:t>desirable gra</w:t>
      </w:r>
      <w:r>
        <w:rPr>
          <w:spacing w:val="-33"/>
          <w:sz w:val="22"/>
        </w:rPr>
        <w:t> </w:t>
      </w:r>
      <w:r>
        <w:rPr>
          <w:spacing w:val="10"/>
          <w:sz w:val="22"/>
        </w:rPr>
        <w:t>des</w:t>
      </w:r>
      <w:r>
        <w:rPr>
          <w:spacing w:val="-8"/>
          <w:sz w:val="22"/>
        </w:rPr>
        <w:t> </w:t>
      </w:r>
      <w:r>
        <w:rPr>
          <w:sz w:val="22"/>
        </w:rPr>
        <w:t>in </w:t>
      </w:r>
      <w:r>
        <w:rPr>
          <w:spacing w:val="9"/>
          <w:sz w:val="22"/>
        </w:rPr>
        <w:t>the</w:t>
      </w:r>
      <w:r>
        <w:rPr>
          <w:spacing w:val="5"/>
          <w:sz w:val="22"/>
        </w:rPr>
        <w:t> </w:t>
      </w:r>
      <w:r>
        <w:rPr>
          <w:sz w:val="22"/>
        </w:rPr>
        <w:t>first-</w:t>
      </w:r>
      <w:r>
        <w:rPr>
          <w:spacing w:val="12"/>
          <w:sz w:val="22"/>
        </w:rPr>
        <w:t>year</w:t>
      </w:r>
      <w:r>
        <w:rPr>
          <w:spacing w:val="-8"/>
          <w:sz w:val="22"/>
        </w:rPr>
        <w:t> </w:t>
      </w:r>
      <w:r>
        <w:rPr>
          <w:spacing w:val="10"/>
          <w:sz w:val="22"/>
        </w:rPr>
        <w:t>studio </w:t>
      </w:r>
      <w:r>
        <w:rPr>
          <w:spacing w:val="13"/>
          <w:sz w:val="22"/>
        </w:rPr>
        <w:t>does</w:t>
      </w:r>
      <w:r>
        <w:rPr>
          <w:spacing w:val="-2"/>
          <w:sz w:val="22"/>
        </w:rPr>
        <w:t> </w:t>
      </w:r>
      <w:r>
        <w:rPr>
          <w:spacing w:val="11"/>
          <w:sz w:val="22"/>
        </w:rPr>
        <w:t>not</w:t>
      </w:r>
      <w:r>
        <w:rPr>
          <w:spacing w:val="3"/>
          <w:sz w:val="22"/>
        </w:rPr>
        <w:t> </w:t>
      </w:r>
      <w:r>
        <w:rPr>
          <w:spacing w:val="14"/>
          <w:sz w:val="22"/>
        </w:rPr>
        <w:t>nec</w:t>
      </w:r>
      <w:r>
        <w:rPr>
          <w:spacing w:val="-34"/>
          <w:sz w:val="22"/>
        </w:rPr>
        <w:t> </w:t>
      </w:r>
      <w:r>
        <w:rPr>
          <w:sz w:val="22"/>
        </w:rPr>
        <w:t>essarily </w:t>
      </w:r>
      <w:r>
        <w:rPr>
          <w:spacing w:val="16"/>
          <w:sz w:val="22"/>
        </w:rPr>
        <w:t>equate </w:t>
      </w:r>
      <w:r>
        <w:rPr>
          <w:sz w:val="22"/>
        </w:rPr>
        <w:t>to</w:t>
      </w:r>
      <w:r>
        <w:rPr>
          <w:spacing w:val="26"/>
          <w:sz w:val="22"/>
        </w:rPr>
        <w:t> </w:t>
      </w:r>
      <w:r>
        <w:rPr>
          <w:sz w:val="22"/>
        </w:rPr>
        <w:t>failure, it</w:t>
      </w:r>
      <w:r>
        <w:rPr>
          <w:spacing w:val="14"/>
          <w:sz w:val="22"/>
        </w:rPr>
        <w:t> may</w:t>
      </w:r>
      <w:r>
        <w:rPr>
          <w:spacing w:val="13"/>
          <w:sz w:val="22"/>
        </w:rPr>
        <w:t> </w:t>
      </w:r>
      <w:r>
        <w:rPr>
          <w:sz w:val="22"/>
        </w:rPr>
        <w:t>simply</w:t>
      </w:r>
      <w:r>
        <w:rPr>
          <w:spacing w:val="10"/>
          <w:sz w:val="22"/>
        </w:rPr>
        <w:t> point </w:t>
      </w:r>
      <w:r>
        <w:rPr>
          <w:spacing w:val="15"/>
          <w:sz w:val="22"/>
        </w:rPr>
        <w:t>towards </w:t>
      </w:r>
      <w:r>
        <w:rPr>
          <w:sz w:val="22"/>
        </w:rPr>
        <w:t>the</w:t>
      </w:r>
      <w:r>
        <w:rPr>
          <w:spacing w:val="12"/>
          <w:sz w:val="22"/>
        </w:rPr>
        <w:t> need</w:t>
      </w:r>
      <w:r>
        <w:rPr>
          <w:spacing w:val="33"/>
          <w:sz w:val="22"/>
        </w:rPr>
        <w:t> </w:t>
      </w:r>
      <w:r>
        <w:rPr>
          <w:sz w:val="22"/>
        </w:rPr>
        <w:t>to</w:t>
      </w:r>
      <w:r>
        <w:rPr>
          <w:spacing w:val="12"/>
          <w:sz w:val="22"/>
        </w:rPr>
        <w:t> rec</w:t>
      </w:r>
      <w:r>
        <w:rPr>
          <w:spacing w:val="-28"/>
          <w:sz w:val="22"/>
        </w:rPr>
        <w:t> </w:t>
      </w:r>
      <w:r>
        <w:rPr>
          <w:spacing w:val="9"/>
          <w:sz w:val="22"/>
        </w:rPr>
        <w:t>onsider </w:t>
      </w:r>
      <w:r>
        <w:rPr>
          <w:spacing w:val="10"/>
          <w:sz w:val="22"/>
        </w:rPr>
        <w:t>other </w:t>
      </w:r>
      <w:r>
        <w:rPr>
          <w:sz w:val="22"/>
        </w:rPr>
        <w:t>a</w:t>
      </w:r>
      <w:r>
        <w:rPr>
          <w:spacing w:val="-28"/>
          <w:sz w:val="22"/>
        </w:rPr>
        <w:t> </w:t>
      </w:r>
      <w:r>
        <w:rPr>
          <w:sz w:val="22"/>
        </w:rPr>
        <w:t>c</w:t>
      </w:r>
      <w:r>
        <w:rPr>
          <w:spacing w:val="-25"/>
          <w:sz w:val="22"/>
        </w:rPr>
        <w:t> </w:t>
      </w:r>
      <w:r>
        <w:rPr>
          <w:sz w:val="22"/>
        </w:rPr>
        <w:t>a</w:t>
      </w:r>
      <w:r>
        <w:rPr>
          <w:spacing w:val="-28"/>
          <w:sz w:val="22"/>
        </w:rPr>
        <w:t> </w:t>
      </w:r>
      <w:r>
        <w:rPr>
          <w:spacing w:val="13"/>
          <w:sz w:val="22"/>
        </w:rPr>
        <w:t>demic</w:t>
      </w:r>
      <w:r>
        <w:rPr>
          <w:spacing w:val="40"/>
          <w:sz w:val="22"/>
        </w:rPr>
        <w:t> </w:t>
      </w:r>
      <w:r>
        <w:rPr>
          <w:sz w:val="22"/>
        </w:rPr>
        <w:t>c</w:t>
      </w:r>
      <w:r>
        <w:rPr>
          <w:spacing w:val="-28"/>
          <w:sz w:val="22"/>
        </w:rPr>
        <w:t> </w:t>
      </w:r>
      <w:r>
        <w:rPr>
          <w:sz w:val="22"/>
        </w:rPr>
        <w:t>allings </w:t>
      </w:r>
      <w:r>
        <w:rPr>
          <w:spacing w:val="10"/>
          <w:sz w:val="22"/>
        </w:rPr>
        <w:t>at </w:t>
      </w:r>
      <w:r>
        <w:rPr>
          <w:spacing w:val="16"/>
          <w:sz w:val="22"/>
        </w:rPr>
        <w:t>Hampton </w:t>
      </w:r>
      <w:r>
        <w:rPr>
          <w:sz w:val="22"/>
        </w:rPr>
        <w:t>University. Unlike </w:t>
      </w:r>
      <w:r>
        <w:rPr>
          <w:spacing w:val="13"/>
          <w:sz w:val="22"/>
        </w:rPr>
        <w:t>many </w:t>
      </w:r>
      <w:r>
        <w:rPr>
          <w:spacing w:val="11"/>
          <w:sz w:val="22"/>
        </w:rPr>
        <w:t>other </w:t>
      </w:r>
      <w:r>
        <w:rPr>
          <w:spacing w:val="12"/>
          <w:sz w:val="22"/>
        </w:rPr>
        <w:t>nation-</w:t>
      </w:r>
      <w:r>
        <w:rPr>
          <w:spacing w:val="11"/>
          <w:sz w:val="22"/>
        </w:rPr>
        <w:t>wide </w:t>
      </w:r>
      <w:r>
        <w:rPr>
          <w:spacing w:val="13"/>
          <w:sz w:val="22"/>
        </w:rPr>
        <w:t>programs </w:t>
      </w:r>
      <w:r>
        <w:rPr>
          <w:sz w:val="22"/>
        </w:rPr>
        <w:t>of </w:t>
      </w:r>
      <w:r>
        <w:rPr>
          <w:spacing w:val="12"/>
          <w:sz w:val="22"/>
        </w:rPr>
        <w:t>architecture,</w:t>
      </w:r>
    </w:p>
    <w:p>
      <w:pPr>
        <w:spacing w:line="292" w:lineRule="auto" w:before="5"/>
        <w:ind w:left="446" w:right="642" w:firstLine="3"/>
        <w:jc w:val="left"/>
        <w:rPr>
          <w:sz w:val="22"/>
        </w:rPr>
      </w:pPr>
      <w:r>
        <w:rPr>
          <w:spacing w:val="9"/>
          <w:sz w:val="22"/>
        </w:rPr>
        <w:t>enrollment</w:t>
      </w:r>
      <w:r>
        <w:rPr>
          <w:spacing w:val="1"/>
          <w:sz w:val="22"/>
        </w:rPr>
        <w:t> </w:t>
      </w:r>
      <w:r>
        <w:rPr>
          <w:sz w:val="22"/>
        </w:rPr>
        <w:t>in our first </w:t>
      </w:r>
      <w:r>
        <w:rPr>
          <w:spacing w:val="12"/>
          <w:sz w:val="22"/>
        </w:rPr>
        <w:t>year</w:t>
      </w:r>
      <w:r>
        <w:rPr>
          <w:spacing w:val="-4"/>
          <w:sz w:val="22"/>
        </w:rPr>
        <w:t> </w:t>
      </w:r>
      <w:r>
        <w:rPr>
          <w:spacing w:val="10"/>
          <w:sz w:val="22"/>
        </w:rPr>
        <w:t>studio</w:t>
      </w:r>
      <w:r>
        <w:rPr>
          <w:spacing w:val="3"/>
          <w:sz w:val="22"/>
        </w:rPr>
        <w:t> </w:t>
      </w:r>
      <w:r>
        <w:rPr>
          <w:sz w:val="22"/>
        </w:rPr>
        <w:t>is </w:t>
      </w:r>
      <w:r>
        <w:rPr>
          <w:spacing w:val="15"/>
          <w:sz w:val="22"/>
        </w:rPr>
        <w:t>open</w:t>
      </w:r>
      <w:r>
        <w:rPr>
          <w:spacing w:val="8"/>
          <w:sz w:val="22"/>
        </w:rPr>
        <w:t> </w:t>
      </w:r>
      <w:r>
        <w:rPr>
          <w:sz w:val="22"/>
        </w:rPr>
        <w:t>to </w:t>
      </w:r>
      <w:r>
        <w:rPr>
          <w:spacing w:val="9"/>
          <w:sz w:val="22"/>
        </w:rPr>
        <w:t>any</w:t>
      </w:r>
      <w:r>
        <w:rPr>
          <w:spacing w:val="-1"/>
          <w:sz w:val="22"/>
        </w:rPr>
        <w:t> </w:t>
      </w:r>
      <w:r>
        <w:rPr>
          <w:spacing w:val="13"/>
          <w:sz w:val="22"/>
        </w:rPr>
        <w:t>student </w:t>
      </w:r>
      <w:r>
        <w:rPr>
          <w:sz w:val="22"/>
        </w:rPr>
        <w:t>a</w:t>
      </w:r>
      <w:r>
        <w:rPr>
          <w:spacing w:val="-33"/>
          <w:sz w:val="22"/>
        </w:rPr>
        <w:t> </w:t>
      </w:r>
      <w:r>
        <w:rPr>
          <w:spacing w:val="12"/>
          <w:sz w:val="22"/>
        </w:rPr>
        <w:t>dmitted </w:t>
      </w:r>
      <w:r>
        <w:rPr>
          <w:sz w:val="22"/>
        </w:rPr>
        <w:t>to </w:t>
      </w:r>
      <w:r>
        <w:rPr>
          <w:spacing w:val="9"/>
          <w:sz w:val="22"/>
        </w:rPr>
        <w:t>the </w:t>
      </w:r>
      <w:r>
        <w:rPr>
          <w:sz w:val="22"/>
        </w:rPr>
        <w:t>University </w:t>
      </w:r>
      <w:r>
        <w:rPr>
          <w:spacing w:val="10"/>
          <w:sz w:val="22"/>
        </w:rPr>
        <w:t>who </w:t>
      </w:r>
      <w:r>
        <w:rPr>
          <w:spacing w:val="11"/>
          <w:sz w:val="22"/>
        </w:rPr>
        <w:t>has </w:t>
      </w:r>
      <w:r>
        <w:rPr>
          <w:spacing w:val="15"/>
          <w:sz w:val="22"/>
        </w:rPr>
        <w:t>declared </w:t>
      </w:r>
      <w:r>
        <w:rPr>
          <w:spacing w:val="12"/>
          <w:sz w:val="22"/>
        </w:rPr>
        <w:t>Architecture </w:t>
      </w:r>
      <w:r>
        <w:rPr>
          <w:sz w:val="22"/>
        </w:rPr>
        <w:t>as his or her </w:t>
      </w:r>
      <w:r>
        <w:rPr>
          <w:spacing w:val="9"/>
          <w:sz w:val="22"/>
        </w:rPr>
        <w:t>major.</w:t>
      </w:r>
      <w:r>
        <w:rPr>
          <w:sz w:val="22"/>
        </w:rPr>
        <w:t> There are no </w:t>
      </w:r>
      <w:r>
        <w:rPr>
          <w:spacing w:val="14"/>
          <w:sz w:val="22"/>
        </w:rPr>
        <w:t>special </w:t>
      </w:r>
      <w:r>
        <w:rPr>
          <w:spacing w:val="9"/>
          <w:sz w:val="22"/>
        </w:rPr>
        <w:t>admission</w:t>
      </w:r>
    </w:p>
    <w:p>
      <w:pPr>
        <w:spacing w:line="292" w:lineRule="auto" w:before="2"/>
        <w:ind w:left="452" w:right="642" w:hanging="12"/>
        <w:jc w:val="left"/>
        <w:rPr>
          <w:sz w:val="22"/>
        </w:rPr>
      </w:pPr>
      <w:r>
        <w:rPr>
          <w:spacing w:val="11"/>
          <w:sz w:val="22"/>
        </w:rPr>
        <w:t>requirements</w:t>
      </w:r>
      <w:r>
        <w:rPr>
          <w:spacing w:val="-14"/>
          <w:sz w:val="22"/>
        </w:rPr>
        <w:t> </w:t>
      </w:r>
      <w:r>
        <w:rPr>
          <w:spacing w:val="12"/>
          <w:sz w:val="22"/>
        </w:rPr>
        <w:t>such</w:t>
      </w:r>
      <w:r>
        <w:rPr>
          <w:spacing w:val="9"/>
          <w:sz w:val="22"/>
        </w:rPr>
        <w:t> </w:t>
      </w:r>
      <w:r>
        <w:rPr>
          <w:sz w:val="22"/>
        </w:rPr>
        <w:t>as a </w:t>
      </w:r>
      <w:r>
        <w:rPr>
          <w:spacing w:val="9"/>
          <w:sz w:val="22"/>
        </w:rPr>
        <w:t>portfolio.</w:t>
      </w:r>
      <w:r>
        <w:rPr>
          <w:spacing w:val="-10"/>
          <w:sz w:val="22"/>
        </w:rPr>
        <w:t> </w:t>
      </w:r>
      <w:r>
        <w:rPr>
          <w:sz w:val="22"/>
        </w:rPr>
        <w:t>This </w:t>
      </w:r>
      <w:r>
        <w:rPr>
          <w:spacing w:val="15"/>
          <w:sz w:val="22"/>
        </w:rPr>
        <w:t>open</w:t>
      </w:r>
      <w:r>
        <w:rPr>
          <w:spacing w:val="9"/>
          <w:sz w:val="22"/>
        </w:rPr>
        <w:t> </w:t>
      </w:r>
      <w:r>
        <w:rPr>
          <w:sz w:val="22"/>
        </w:rPr>
        <w:t>a</w:t>
      </w:r>
      <w:r>
        <w:rPr>
          <w:spacing w:val="-33"/>
          <w:sz w:val="22"/>
        </w:rPr>
        <w:t> </w:t>
      </w:r>
      <w:r>
        <w:rPr>
          <w:sz w:val="22"/>
        </w:rPr>
        <w:t>dmission, c</w:t>
      </w:r>
      <w:r>
        <w:rPr>
          <w:spacing w:val="-33"/>
          <w:sz w:val="22"/>
        </w:rPr>
        <w:t> </w:t>
      </w:r>
      <w:r>
        <w:rPr>
          <w:spacing w:val="14"/>
          <w:sz w:val="22"/>
        </w:rPr>
        <w:t>ombined </w:t>
      </w:r>
      <w:r>
        <w:rPr>
          <w:sz w:val="22"/>
        </w:rPr>
        <w:t>with </w:t>
      </w:r>
      <w:r>
        <w:rPr>
          <w:spacing w:val="9"/>
          <w:sz w:val="22"/>
        </w:rPr>
        <w:t>the</w:t>
      </w:r>
      <w:r>
        <w:rPr>
          <w:spacing w:val="1"/>
          <w:sz w:val="22"/>
        </w:rPr>
        <w:t> </w:t>
      </w:r>
      <w:r>
        <w:rPr>
          <w:spacing w:val="9"/>
          <w:sz w:val="22"/>
        </w:rPr>
        <w:t>reality</w:t>
      </w:r>
      <w:r>
        <w:rPr>
          <w:sz w:val="22"/>
        </w:rPr>
        <w:t> </w:t>
      </w:r>
      <w:r>
        <w:rPr>
          <w:spacing w:val="13"/>
          <w:sz w:val="22"/>
        </w:rPr>
        <w:t>that many</w:t>
      </w:r>
      <w:r>
        <w:rPr>
          <w:spacing w:val="10"/>
          <w:sz w:val="22"/>
        </w:rPr>
        <w:t> </w:t>
      </w:r>
      <w:r>
        <w:rPr>
          <w:spacing w:val="11"/>
          <w:sz w:val="22"/>
        </w:rPr>
        <w:t>students </w:t>
      </w:r>
      <w:r>
        <w:rPr>
          <w:spacing w:val="13"/>
          <w:sz w:val="22"/>
        </w:rPr>
        <w:t>have </w:t>
      </w:r>
      <w:r>
        <w:rPr>
          <w:spacing w:val="10"/>
          <w:sz w:val="22"/>
        </w:rPr>
        <w:t>not </w:t>
      </w:r>
      <w:r>
        <w:rPr>
          <w:spacing w:val="9"/>
          <w:sz w:val="22"/>
        </w:rPr>
        <w:t>ha</w:t>
      </w:r>
      <w:r>
        <w:rPr>
          <w:spacing w:val="-30"/>
          <w:sz w:val="22"/>
        </w:rPr>
        <w:t> </w:t>
      </w:r>
      <w:r>
        <w:rPr>
          <w:sz w:val="22"/>
        </w:rPr>
        <w:t>d</w:t>
      </w:r>
      <w:r>
        <w:rPr>
          <w:spacing w:val="15"/>
          <w:sz w:val="22"/>
        </w:rPr>
        <w:t> much </w:t>
      </w:r>
      <w:r>
        <w:rPr>
          <w:spacing w:val="9"/>
          <w:sz w:val="22"/>
        </w:rPr>
        <w:t>exposure </w:t>
      </w:r>
      <w:r>
        <w:rPr>
          <w:sz w:val="22"/>
        </w:rPr>
        <w:t>to </w:t>
      </w:r>
      <w:r>
        <w:rPr>
          <w:spacing w:val="9"/>
          <w:sz w:val="22"/>
        </w:rPr>
        <w:t>the </w:t>
      </w:r>
      <w:r>
        <w:rPr>
          <w:spacing w:val="13"/>
          <w:sz w:val="22"/>
        </w:rPr>
        <w:t>architectural </w:t>
      </w:r>
      <w:r>
        <w:rPr>
          <w:sz w:val="22"/>
        </w:rPr>
        <w:t>profession</w:t>
      </w:r>
      <w:r>
        <w:rPr>
          <w:spacing w:val="28"/>
          <w:sz w:val="22"/>
        </w:rPr>
        <w:t> </w:t>
      </w:r>
      <w:r>
        <w:rPr>
          <w:sz w:val="22"/>
        </w:rPr>
        <w:t>prior to</w:t>
      </w:r>
    </w:p>
    <w:p>
      <w:pPr>
        <w:spacing w:line="292" w:lineRule="auto" w:before="4"/>
        <w:ind w:left="447" w:right="642" w:firstLine="3"/>
        <w:jc w:val="left"/>
        <w:rPr>
          <w:sz w:val="22"/>
        </w:rPr>
      </w:pPr>
      <w:r>
        <w:rPr>
          <w:spacing w:val="9"/>
          <w:sz w:val="22"/>
        </w:rPr>
        <w:t>entering </w:t>
      </w:r>
      <w:r>
        <w:rPr>
          <w:sz w:val="22"/>
        </w:rPr>
        <w:t>as a </w:t>
      </w:r>
      <w:r>
        <w:rPr>
          <w:spacing w:val="11"/>
          <w:sz w:val="22"/>
        </w:rPr>
        <w:t>student,</w:t>
      </w:r>
      <w:r>
        <w:rPr>
          <w:spacing w:val="-2"/>
          <w:sz w:val="22"/>
        </w:rPr>
        <w:t> </w:t>
      </w:r>
      <w:r>
        <w:rPr>
          <w:sz w:val="22"/>
        </w:rPr>
        <w:t>results in the fa</w:t>
      </w:r>
      <w:r>
        <w:rPr>
          <w:spacing w:val="-31"/>
          <w:sz w:val="22"/>
        </w:rPr>
        <w:t> </w:t>
      </w:r>
      <w:r>
        <w:rPr>
          <w:spacing w:val="12"/>
          <w:sz w:val="22"/>
        </w:rPr>
        <w:t>ct</w:t>
      </w:r>
      <w:r>
        <w:rPr>
          <w:spacing w:val="3"/>
          <w:sz w:val="22"/>
        </w:rPr>
        <w:t> </w:t>
      </w:r>
      <w:r>
        <w:rPr>
          <w:sz w:val="22"/>
        </w:rPr>
        <w:t>it</w:t>
      </w:r>
      <w:r>
        <w:rPr>
          <w:spacing w:val="14"/>
          <w:sz w:val="22"/>
        </w:rPr>
        <w:t> may</w:t>
      </w:r>
      <w:r>
        <w:rPr>
          <w:spacing w:val="9"/>
          <w:sz w:val="22"/>
        </w:rPr>
        <w:t> </w:t>
      </w:r>
      <w:r>
        <w:rPr>
          <w:spacing w:val="11"/>
          <w:sz w:val="22"/>
        </w:rPr>
        <w:t>take </w:t>
      </w:r>
      <w:r>
        <w:rPr>
          <w:sz w:val="22"/>
        </w:rPr>
        <w:t>a</w:t>
      </w:r>
      <w:r>
        <w:rPr>
          <w:spacing w:val="18"/>
          <w:sz w:val="22"/>
        </w:rPr>
        <w:t> </w:t>
      </w:r>
      <w:r>
        <w:rPr>
          <w:sz w:val="22"/>
        </w:rPr>
        <w:t>full </w:t>
      </w:r>
      <w:r>
        <w:rPr>
          <w:spacing w:val="12"/>
          <w:sz w:val="22"/>
        </w:rPr>
        <w:t>year</w:t>
      </w:r>
      <w:r>
        <w:rPr>
          <w:spacing w:val="11"/>
          <w:sz w:val="22"/>
        </w:rPr>
        <w:t> </w:t>
      </w:r>
      <w:r>
        <w:rPr>
          <w:sz w:val="22"/>
        </w:rPr>
        <w:t>of</w:t>
      </w:r>
      <w:r>
        <w:rPr>
          <w:spacing w:val="17"/>
          <w:sz w:val="22"/>
        </w:rPr>
        <w:t> </w:t>
      </w:r>
      <w:r>
        <w:rPr>
          <w:sz w:val="22"/>
        </w:rPr>
        <w:t>c</w:t>
      </w:r>
      <w:r>
        <w:rPr>
          <w:spacing w:val="-33"/>
          <w:sz w:val="22"/>
        </w:rPr>
        <w:t> </w:t>
      </w:r>
      <w:r>
        <w:rPr>
          <w:spacing w:val="9"/>
          <w:sz w:val="22"/>
        </w:rPr>
        <w:t>oursework</w:t>
      </w:r>
      <w:r>
        <w:rPr>
          <w:spacing w:val="6"/>
          <w:sz w:val="22"/>
        </w:rPr>
        <w:t> </w:t>
      </w:r>
      <w:r>
        <w:rPr>
          <w:sz w:val="22"/>
        </w:rPr>
        <w:t>to</w:t>
      </w:r>
      <w:r>
        <w:rPr>
          <w:spacing w:val="26"/>
          <w:sz w:val="22"/>
        </w:rPr>
        <w:t> </w:t>
      </w:r>
      <w:r>
        <w:rPr>
          <w:sz w:val="22"/>
        </w:rPr>
        <w:t>c</w:t>
      </w:r>
      <w:r>
        <w:rPr>
          <w:spacing w:val="-33"/>
          <w:sz w:val="22"/>
        </w:rPr>
        <w:t> </w:t>
      </w:r>
      <w:r>
        <w:rPr>
          <w:spacing w:val="13"/>
          <w:sz w:val="22"/>
        </w:rPr>
        <w:t>ome </w:t>
      </w:r>
      <w:r>
        <w:rPr>
          <w:sz w:val="22"/>
        </w:rPr>
        <w:t>to </w:t>
      </w:r>
      <w:r>
        <w:rPr>
          <w:spacing w:val="9"/>
          <w:sz w:val="22"/>
        </w:rPr>
        <w:t>the </w:t>
      </w:r>
      <w:r>
        <w:rPr>
          <w:spacing w:val="10"/>
          <w:sz w:val="22"/>
        </w:rPr>
        <w:t>realization </w:t>
      </w:r>
      <w:r>
        <w:rPr>
          <w:spacing w:val="13"/>
          <w:sz w:val="22"/>
        </w:rPr>
        <w:t>that </w:t>
      </w:r>
      <w:r>
        <w:rPr>
          <w:spacing w:val="11"/>
          <w:sz w:val="22"/>
        </w:rPr>
        <w:t>Architecture </w:t>
      </w:r>
      <w:r>
        <w:rPr>
          <w:sz w:val="22"/>
        </w:rPr>
        <w:t>is simply </w:t>
      </w:r>
      <w:r>
        <w:rPr>
          <w:spacing w:val="11"/>
          <w:sz w:val="22"/>
        </w:rPr>
        <w:t>not </w:t>
      </w:r>
      <w:r>
        <w:rPr>
          <w:spacing w:val="9"/>
          <w:sz w:val="22"/>
        </w:rPr>
        <w:t>the </w:t>
      </w:r>
      <w:r>
        <w:rPr>
          <w:sz w:val="22"/>
        </w:rPr>
        <w:t>right fit.</w:t>
      </w:r>
    </w:p>
    <w:p>
      <w:pPr>
        <w:pStyle w:val="BodyText"/>
        <w:spacing w:before="1"/>
        <w:rPr>
          <w:sz w:val="27"/>
        </w:rPr>
      </w:pPr>
    </w:p>
    <w:p>
      <w:pPr>
        <w:spacing w:line="295" w:lineRule="auto" w:before="0"/>
        <w:ind w:left="454" w:right="642" w:hanging="14"/>
        <w:jc w:val="left"/>
        <w:rPr>
          <w:sz w:val="22"/>
        </w:rPr>
      </w:pPr>
      <w:r>
        <w:rPr>
          <w:sz w:val="22"/>
        </w:rPr>
        <w:t>To disc</w:t>
      </w:r>
      <w:r>
        <w:rPr>
          <w:spacing w:val="-33"/>
          <w:sz w:val="22"/>
        </w:rPr>
        <w:t> </w:t>
      </w:r>
      <w:r>
        <w:rPr>
          <w:spacing w:val="9"/>
          <w:sz w:val="22"/>
        </w:rPr>
        <w:t>over</w:t>
      </w:r>
      <w:r>
        <w:rPr>
          <w:spacing w:val="-8"/>
          <w:sz w:val="22"/>
        </w:rPr>
        <w:t> </w:t>
      </w:r>
      <w:r>
        <w:rPr>
          <w:sz w:val="22"/>
        </w:rPr>
        <w:t>if this </w:t>
      </w:r>
      <w:r>
        <w:rPr>
          <w:spacing w:val="11"/>
          <w:sz w:val="22"/>
        </w:rPr>
        <w:t>major</w:t>
      </w:r>
      <w:r>
        <w:rPr>
          <w:spacing w:val="-10"/>
          <w:sz w:val="22"/>
        </w:rPr>
        <w:t> </w:t>
      </w:r>
      <w:r>
        <w:rPr>
          <w:sz w:val="22"/>
        </w:rPr>
        <w:t>is a </w:t>
      </w:r>
      <w:r>
        <w:rPr>
          <w:spacing w:val="14"/>
          <w:sz w:val="22"/>
        </w:rPr>
        <w:t>good</w:t>
      </w:r>
      <w:r>
        <w:rPr>
          <w:spacing w:val="8"/>
          <w:sz w:val="22"/>
        </w:rPr>
        <w:t> </w:t>
      </w:r>
      <w:r>
        <w:rPr>
          <w:sz w:val="22"/>
        </w:rPr>
        <w:t>fit for</w:t>
      </w:r>
      <w:r>
        <w:rPr>
          <w:spacing w:val="-5"/>
          <w:sz w:val="22"/>
        </w:rPr>
        <w:t> </w:t>
      </w:r>
      <w:r>
        <w:rPr>
          <w:sz w:val="22"/>
        </w:rPr>
        <w:t>you,</w:t>
      </w:r>
      <w:r>
        <w:rPr>
          <w:spacing w:val="-7"/>
          <w:sz w:val="22"/>
        </w:rPr>
        <w:t> </w:t>
      </w:r>
      <w:r>
        <w:rPr>
          <w:spacing w:val="9"/>
          <w:sz w:val="22"/>
        </w:rPr>
        <w:t>you</w:t>
      </w:r>
      <w:r>
        <w:rPr>
          <w:spacing w:val="-4"/>
          <w:sz w:val="22"/>
        </w:rPr>
        <w:t> </w:t>
      </w:r>
      <w:r>
        <w:rPr>
          <w:spacing w:val="9"/>
          <w:sz w:val="22"/>
        </w:rPr>
        <w:t>should</w:t>
      </w:r>
      <w:r>
        <w:rPr>
          <w:spacing w:val="7"/>
          <w:sz w:val="22"/>
        </w:rPr>
        <w:t> </w:t>
      </w:r>
      <w:r>
        <w:rPr>
          <w:spacing w:val="9"/>
          <w:sz w:val="22"/>
        </w:rPr>
        <w:t>view</w:t>
      </w:r>
      <w:r>
        <w:rPr>
          <w:spacing w:val="7"/>
          <w:sz w:val="22"/>
        </w:rPr>
        <w:t> </w:t>
      </w:r>
      <w:r>
        <w:rPr>
          <w:spacing w:val="9"/>
          <w:sz w:val="22"/>
        </w:rPr>
        <w:t>these </w:t>
      </w:r>
      <w:r>
        <w:rPr>
          <w:spacing w:val="11"/>
          <w:sz w:val="22"/>
        </w:rPr>
        <w:t>beginning</w:t>
      </w:r>
      <w:r>
        <w:rPr>
          <w:spacing w:val="3"/>
          <w:sz w:val="22"/>
        </w:rPr>
        <w:t> </w:t>
      </w:r>
      <w:r>
        <w:rPr>
          <w:spacing w:val="10"/>
          <w:sz w:val="22"/>
        </w:rPr>
        <w:t>semesters </w:t>
      </w:r>
      <w:r>
        <w:rPr>
          <w:sz w:val="22"/>
        </w:rPr>
        <w:t>as a</w:t>
      </w:r>
      <w:r>
        <w:rPr>
          <w:spacing w:val="10"/>
          <w:sz w:val="22"/>
        </w:rPr>
        <w:t> time </w:t>
      </w:r>
      <w:r>
        <w:rPr>
          <w:sz w:val="22"/>
        </w:rPr>
        <w:t>of </w:t>
      </w:r>
      <w:r>
        <w:rPr>
          <w:spacing w:val="10"/>
          <w:sz w:val="22"/>
        </w:rPr>
        <w:t>exploration. </w:t>
      </w:r>
      <w:r>
        <w:rPr>
          <w:sz w:val="22"/>
        </w:rPr>
        <w:t>Visit </w:t>
      </w:r>
      <w:r>
        <w:rPr>
          <w:spacing w:val="9"/>
          <w:sz w:val="22"/>
        </w:rPr>
        <w:t>up</w:t>
      </w:r>
      <w:r>
        <w:rPr>
          <w:spacing w:val="-31"/>
          <w:sz w:val="22"/>
        </w:rPr>
        <w:t> </w:t>
      </w:r>
      <w:r>
        <w:rPr>
          <w:spacing w:val="10"/>
          <w:sz w:val="22"/>
        </w:rPr>
        <w:t>per</w:t>
      </w:r>
      <w:r>
        <w:rPr>
          <w:spacing w:val="2"/>
          <w:sz w:val="22"/>
        </w:rPr>
        <w:t> </w:t>
      </w:r>
      <w:r>
        <w:rPr>
          <w:spacing w:val="10"/>
          <w:sz w:val="22"/>
        </w:rPr>
        <w:t>level</w:t>
      </w:r>
      <w:r>
        <w:rPr>
          <w:spacing w:val="6"/>
          <w:sz w:val="22"/>
        </w:rPr>
        <w:t> </w:t>
      </w:r>
      <w:r>
        <w:rPr>
          <w:spacing w:val="9"/>
          <w:sz w:val="22"/>
        </w:rPr>
        <w:t>studios </w:t>
      </w:r>
      <w:r>
        <w:rPr>
          <w:spacing w:val="13"/>
          <w:sz w:val="22"/>
        </w:rPr>
        <w:t>and </w:t>
      </w:r>
      <w:r>
        <w:rPr>
          <w:sz w:val="22"/>
        </w:rPr>
        <w:t>reviews, talk to </w:t>
      </w:r>
      <w:r>
        <w:rPr>
          <w:spacing w:val="9"/>
          <w:sz w:val="22"/>
        </w:rPr>
        <w:t>up</w:t>
      </w:r>
      <w:r>
        <w:rPr>
          <w:spacing w:val="-31"/>
          <w:sz w:val="22"/>
        </w:rPr>
        <w:t> </w:t>
      </w:r>
      <w:r>
        <w:rPr>
          <w:spacing w:val="10"/>
          <w:sz w:val="22"/>
        </w:rPr>
        <w:t>per </w:t>
      </w:r>
      <w:r>
        <w:rPr>
          <w:spacing w:val="11"/>
          <w:sz w:val="22"/>
        </w:rPr>
        <w:t>classmen</w:t>
      </w:r>
    </w:p>
    <w:p>
      <w:pPr>
        <w:spacing w:line="292" w:lineRule="auto" w:before="0"/>
        <w:ind w:left="455" w:right="712" w:hanging="1"/>
        <w:jc w:val="left"/>
        <w:rPr>
          <w:sz w:val="22"/>
        </w:rPr>
      </w:pPr>
      <w:r>
        <w:rPr>
          <w:spacing w:val="13"/>
          <w:sz w:val="22"/>
        </w:rPr>
        <w:t>and </w:t>
      </w:r>
      <w:r>
        <w:rPr>
          <w:sz w:val="22"/>
        </w:rPr>
        <w:t>fa</w:t>
      </w:r>
      <w:r>
        <w:rPr>
          <w:spacing w:val="-32"/>
          <w:sz w:val="22"/>
        </w:rPr>
        <w:t> </w:t>
      </w:r>
      <w:r>
        <w:rPr>
          <w:sz w:val="22"/>
        </w:rPr>
        <w:t>culty. Assess your </w:t>
      </w:r>
      <w:r>
        <w:rPr>
          <w:spacing w:val="14"/>
          <w:sz w:val="22"/>
        </w:rPr>
        <w:t>performance </w:t>
      </w:r>
      <w:r>
        <w:rPr>
          <w:sz w:val="22"/>
        </w:rPr>
        <w:t>thus far, inquire</w:t>
      </w:r>
      <w:r>
        <w:rPr>
          <w:spacing w:val="13"/>
          <w:sz w:val="22"/>
        </w:rPr>
        <w:t> about </w:t>
      </w:r>
      <w:r>
        <w:rPr>
          <w:spacing w:val="9"/>
          <w:sz w:val="22"/>
        </w:rPr>
        <w:t>the </w:t>
      </w:r>
      <w:r>
        <w:rPr>
          <w:sz w:val="22"/>
        </w:rPr>
        <w:t>skills </w:t>
      </w:r>
      <w:r>
        <w:rPr>
          <w:spacing w:val="10"/>
          <w:sz w:val="22"/>
        </w:rPr>
        <w:t>you </w:t>
      </w:r>
      <w:r>
        <w:rPr>
          <w:spacing w:val="12"/>
          <w:sz w:val="22"/>
        </w:rPr>
        <w:t>need </w:t>
      </w:r>
      <w:r>
        <w:rPr>
          <w:sz w:val="22"/>
        </w:rPr>
        <w:t>to </w:t>
      </w:r>
      <w:r>
        <w:rPr>
          <w:spacing w:val="14"/>
          <w:sz w:val="22"/>
        </w:rPr>
        <w:t>develop </w:t>
      </w:r>
      <w:r>
        <w:rPr>
          <w:sz w:val="22"/>
        </w:rPr>
        <w:t>to</w:t>
      </w:r>
      <w:r>
        <w:rPr>
          <w:spacing w:val="40"/>
          <w:sz w:val="22"/>
        </w:rPr>
        <w:t> </w:t>
      </w:r>
      <w:r>
        <w:rPr>
          <w:sz w:val="22"/>
        </w:rPr>
        <w:t>c</w:t>
      </w:r>
      <w:r>
        <w:rPr>
          <w:spacing w:val="-26"/>
          <w:sz w:val="22"/>
        </w:rPr>
        <w:t> </w:t>
      </w:r>
      <w:r>
        <w:rPr>
          <w:sz w:val="22"/>
        </w:rPr>
        <w:t>ontinue</w:t>
      </w:r>
      <w:r>
        <w:rPr>
          <w:spacing w:val="28"/>
          <w:sz w:val="22"/>
        </w:rPr>
        <w:t> </w:t>
      </w:r>
      <w:r>
        <w:rPr>
          <w:sz w:val="22"/>
        </w:rPr>
        <w:t>suc</w:t>
      </w:r>
      <w:r>
        <w:rPr>
          <w:spacing w:val="-22"/>
          <w:sz w:val="22"/>
        </w:rPr>
        <w:t> </w:t>
      </w:r>
      <w:r>
        <w:rPr>
          <w:sz w:val="22"/>
        </w:rPr>
        <w:t>c</w:t>
      </w:r>
      <w:r>
        <w:rPr>
          <w:spacing w:val="-27"/>
          <w:sz w:val="22"/>
        </w:rPr>
        <w:t> </w:t>
      </w:r>
      <w:r>
        <w:rPr>
          <w:sz w:val="22"/>
        </w:rPr>
        <w:t>essfully,</w:t>
      </w:r>
      <w:r>
        <w:rPr>
          <w:spacing w:val="13"/>
          <w:sz w:val="22"/>
        </w:rPr>
        <w:t> and</w:t>
      </w:r>
      <w:r>
        <w:rPr>
          <w:spacing w:val="40"/>
          <w:sz w:val="22"/>
        </w:rPr>
        <w:t> </w:t>
      </w:r>
      <w:r>
        <w:rPr>
          <w:spacing w:val="12"/>
          <w:sz w:val="22"/>
        </w:rPr>
        <w:t>determine </w:t>
      </w:r>
      <w:r>
        <w:rPr>
          <w:sz w:val="22"/>
        </w:rPr>
        <w:t>if </w:t>
      </w:r>
      <w:r>
        <w:rPr>
          <w:spacing w:val="10"/>
          <w:sz w:val="22"/>
        </w:rPr>
        <w:t>you </w:t>
      </w:r>
      <w:r>
        <w:rPr>
          <w:spacing w:val="13"/>
          <w:sz w:val="22"/>
        </w:rPr>
        <w:t>have </w:t>
      </w:r>
      <w:r>
        <w:rPr>
          <w:spacing w:val="9"/>
          <w:sz w:val="22"/>
        </w:rPr>
        <w:t>the </w:t>
      </w:r>
      <w:r>
        <w:rPr>
          <w:sz w:val="22"/>
        </w:rPr>
        <w:t>interest</w:t>
      </w:r>
      <w:r>
        <w:rPr>
          <w:spacing w:val="13"/>
          <w:sz w:val="22"/>
        </w:rPr>
        <w:t> and</w:t>
      </w:r>
    </w:p>
    <w:p>
      <w:pPr>
        <w:spacing w:line="295" w:lineRule="auto" w:before="1"/>
        <w:ind w:left="454" w:right="642" w:firstLine="2"/>
        <w:jc w:val="left"/>
        <w:rPr>
          <w:sz w:val="22"/>
        </w:rPr>
      </w:pPr>
      <w:r>
        <w:rPr>
          <w:sz w:val="22"/>
        </w:rPr>
        <w:t>c</w:t>
      </w:r>
      <w:r>
        <w:rPr>
          <w:spacing w:val="-30"/>
          <w:sz w:val="22"/>
        </w:rPr>
        <w:t> </w:t>
      </w:r>
      <w:r>
        <w:rPr>
          <w:spacing w:val="12"/>
          <w:sz w:val="22"/>
        </w:rPr>
        <w:t>ommitment </w:t>
      </w:r>
      <w:r>
        <w:rPr>
          <w:sz w:val="22"/>
        </w:rPr>
        <w:t>levels to sustain yourself</w:t>
      </w:r>
      <w:r>
        <w:rPr>
          <w:spacing w:val="27"/>
          <w:sz w:val="22"/>
        </w:rPr>
        <w:t> </w:t>
      </w:r>
      <w:r>
        <w:rPr>
          <w:sz w:val="22"/>
        </w:rPr>
        <w:t>during</w:t>
      </w:r>
      <w:r>
        <w:rPr>
          <w:spacing w:val="28"/>
          <w:sz w:val="22"/>
        </w:rPr>
        <w:t> </w:t>
      </w:r>
      <w:r>
        <w:rPr>
          <w:sz w:val="22"/>
        </w:rPr>
        <w:t>the</w:t>
      </w:r>
      <w:r>
        <w:rPr>
          <w:spacing w:val="9"/>
          <w:sz w:val="22"/>
        </w:rPr>
        <w:t> up</w:t>
      </w:r>
      <w:r>
        <w:rPr>
          <w:spacing w:val="-30"/>
          <w:sz w:val="22"/>
        </w:rPr>
        <w:t> </w:t>
      </w:r>
      <w:r>
        <w:rPr>
          <w:sz w:val="22"/>
        </w:rPr>
        <w:t>c</w:t>
      </w:r>
      <w:r>
        <w:rPr>
          <w:spacing w:val="-30"/>
          <w:sz w:val="22"/>
        </w:rPr>
        <w:t> </w:t>
      </w:r>
      <w:r>
        <w:rPr>
          <w:spacing w:val="10"/>
          <w:sz w:val="22"/>
        </w:rPr>
        <w:t>oming </w:t>
      </w:r>
      <w:r>
        <w:rPr>
          <w:sz w:val="22"/>
        </w:rPr>
        <w:t>years.</w:t>
      </w:r>
      <w:r>
        <w:rPr>
          <w:spacing w:val="40"/>
          <w:sz w:val="22"/>
        </w:rPr>
        <w:t> </w:t>
      </w:r>
      <w:r>
        <w:rPr>
          <w:spacing w:val="9"/>
          <w:sz w:val="22"/>
        </w:rPr>
        <w:t>Should you </w:t>
      </w:r>
      <w:r>
        <w:rPr>
          <w:spacing w:val="17"/>
          <w:sz w:val="22"/>
        </w:rPr>
        <w:t>decide </w:t>
      </w:r>
      <w:r>
        <w:rPr>
          <w:sz w:val="22"/>
        </w:rPr>
        <w:t>to </w:t>
      </w:r>
      <w:r>
        <w:rPr>
          <w:spacing w:val="16"/>
          <w:sz w:val="22"/>
        </w:rPr>
        <w:t>change </w:t>
      </w:r>
      <w:r>
        <w:rPr>
          <w:sz w:val="22"/>
        </w:rPr>
        <w:t>your </w:t>
      </w:r>
      <w:r>
        <w:rPr>
          <w:spacing w:val="9"/>
          <w:sz w:val="22"/>
        </w:rPr>
        <w:t>major, </w:t>
      </w:r>
      <w:r>
        <w:rPr>
          <w:spacing w:val="10"/>
          <w:sz w:val="22"/>
        </w:rPr>
        <w:t>we urge </w:t>
      </w:r>
      <w:r>
        <w:rPr>
          <w:spacing w:val="9"/>
          <w:sz w:val="22"/>
        </w:rPr>
        <w:t>you </w:t>
      </w:r>
      <w:r>
        <w:rPr>
          <w:sz w:val="22"/>
        </w:rPr>
        <w:t>to </w:t>
      </w:r>
      <w:r>
        <w:rPr>
          <w:spacing w:val="11"/>
          <w:sz w:val="22"/>
        </w:rPr>
        <w:t>please </w:t>
      </w:r>
      <w:r>
        <w:rPr>
          <w:spacing w:val="10"/>
          <w:sz w:val="22"/>
        </w:rPr>
        <w:t>stay</w:t>
      </w:r>
      <w:r>
        <w:rPr>
          <w:spacing w:val="6"/>
          <w:sz w:val="22"/>
        </w:rPr>
        <w:t> </w:t>
      </w:r>
      <w:r>
        <w:rPr>
          <w:sz w:val="22"/>
        </w:rPr>
        <w:t>in c</w:t>
      </w:r>
      <w:r>
        <w:rPr>
          <w:spacing w:val="-31"/>
          <w:sz w:val="22"/>
        </w:rPr>
        <w:t> </w:t>
      </w:r>
      <w:r>
        <w:rPr>
          <w:spacing w:val="12"/>
          <w:sz w:val="22"/>
        </w:rPr>
        <w:t>onta</w:t>
      </w:r>
      <w:r>
        <w:rPr>
          <w:spacing w:val="-31"/>
          <w:sz w:val="22"/>
        </w:rPr>
        <w:t> </w:t>
      </w:r>
      <w:r>
        <w:rPr>
          <w:spacing w:val="12"/>
          <w:sz w:val="22"/>
        </w:rPr>
        <w:t>ct </w:t>
      </w:r>
      <w:r>
        <w:rPr>
          <w:sz w:val="22"/>
        </w:rPr>
        <w:t>with your </w:t>
      </w:r>
      <w:r>
        <w:rPr>
          <w:spacing w:val="11"/>
          <w:sz w:val="22"/>
        </w:rPr>
        <w:t>former </w:t>
      </w:r>
      <w:r>
        <w:rPr>
          <w:spacing w:val="12"/>
          <w:sz w:val="22"/>
        </w:rPr>
        <w:t>classmates </w:t>
      </w:r>
      <w:r>
        <w:rPr>
          <w:spacing w:val="13"/>
          <w:sz w:val="22"/>
        </w:rPr>
        <w:t>and </w:t>
      </w:r>
      <w:r>
        <w:rPr>
          <w:sz w:val="22"/>
        </w:rPr>
        <w:t>fa</w:t>
      </w:r>
      <w:r>
        <w:rPr>
          <w:spacing w:val="-29"/>
          <w:sz w:val="22"/>
        </w:rPr>
        <w:t> </w:t>
      </w:r>
      <w:r>
        <w:rPr>
          <w:spacing w:val="9"/>
          <w:sz w:val="22"/>
        </w:rPr>
        <w:t>culty </w:t>
      </w:r>
      <w:r>
        <w:rPr>
          <w:sz w:val="22"/>
        </w:rPr>
        <w:t>in</w:t>
      </w:r>
      <w:r>
        <w:rPr>
          <w:spacing w:val="9"/>
          <w:sz w:val="22"/>
        </w:rPr>
        <w:t> the </w:t>
      </w:r>
      <w:r>
        <w:rPr>
          <w:spacing w:val="12"/>
          <w:sz w:val="22"/>
        </w:rPr>
        <w:t>Architecture </w:t>
      </w:r>
      <w:r>
        <w:rPr>
          <w:spacing w:val="13"/>
          <w:sz w:val="22"/>
        </w:rPr>
        <w:t>program.</w:t>
      </w:r>
      <w:r>
        <w:rPr>
          <w:spacing w:val="40"/>
          <w:sz w:val="22"/>
        </w:rPr>
        <w:t> </w:t>
      </w:r>
      <w:r>
        <w:rPr>
          <w:sz w:val="22"/>
        </w:rPr>
        <w:t>If </w:t>
      </w:r>
      <w:r>
        <w:rPr>
          <w:spacing w:val="9"/>
          <w:sz w:val="22"/>
        </w:rPr>
        <w:t>you</w:t>
      </w:r>
      <w:r>
        <w:rPr>
          <w:spacing w:val="11"/>
          <w:sz w:val="22"/>
        </w:rPr>
        <w:t> choose </w:t>
      </w:r>
      <w:r>
        <w:rPr>
          <w:sz w:val="22"/>
        </w:rPr>
        <w:t>to</w:t>
      </w:r>
      <w:r>
        <w:rPr>
          <w:spacing w:val="40"/>
          <w:sz w:val="22"/>
        </w:rPr>
        <w:t> </w:t>
      </w:r>
      <w:r>
        <w:rPr>
          <w:sz w:val="22"/>
        </w:rPr>
        <w:t>c</w:t>
      </w:r>
      <w:r>
        <w:rPr>
          <w:spacing w:val="-29"/>
          <w:sz w:val="22"/>
        </w:rPr>
        <w:t> </w:t>
      </w:r>
      <w:r>
        <w:rPr>
          <w:sz w:val="22"/>
        </w:rPr>
        <w:t>ontinue</w:t>
      </w:r>
      <w:r>
        <w:rPr>
          <w:spacing w:val="37"/>
          <w:sz w:val="22"/>
        </w:rPr>
        <w:t> </w:t>
      </w:r>
      <w:r>
        <w:rPr>
          <w:sz w:val="22"/>
        </w:rPr>
        <w:t>as</w:t>
      </w:r>
      <w:r>
        <w:rPr>
          <w:spacing w:val="26"/>
          <w:sz w:val="22"/>
        </w:rPr>
        <w:t> </w:t>
      </w:r>
      <w:r>
        <w:rPr>
          <w:sz w:val="22"/>
        </w:rPr>
        <w:t>a</w:t>
      </w:r>
      <w:r>
        <w:rPr>
          <w:spacing w:val="12"/>
          <w:sz w:val="22"/>
        </w:rPr>
        <w:t> student </w:t>
      </w:r>
      <w:r>
        <w:rPr>
          <w:sz w:val="22"/>
        </w:rPr>
        <w:t>of</w:t>
      </w:r>
    </w:p>
    <w:p>
      <w:pPr>
        <w:spacing w:line="292" w:lineRule="auto" w:before="0"/>
        <w:ind w:left="440" w:right="712" w:firstLine="8"/>
        <w:jc w:val="left"/>
        <w:rPr>
          <w:sz w:val="22"/>
        </w:rPr>
      </w:pPr>
      <w:r>
        <w:rPr>
          <w:spacing w:val="12"/>
          <w:sz w:val="22"/>
        </w:rPr>
        <w:t>Architecture,</w:t>
      </w:r>
      <w:r>
        <w:rPr>
          <w:spacing w:val="11"/>
          <w:sz w:val="22"/>
        </w:rPr>
        <w:t> </w:t>
      </w:r>
      <w:r>
        <w:rPr>
          <w:sz w:val="22"/>
        </w:rPr>
        <w:t>c</w:t>
      </w:r>
      <w:r>
        <w:rPr>
          <w:spacing w:val="-34"/>
          <w:sz w:val="22"/>
        </w:rPr>
        <w:t> </w:t>
      </w:r>
      <w:r>
        <w:rPr>
          <w:spacing w:val="12"/>
          <w:sz w:val="22"/>
        </w:rPr>
        <w:t>elebrate!</w:t>
      </w:r>
      <w:r>
        <w:rPr>
          <w:spacing w:val="-2"/>
          <w:sz w:val="22"/>
        </w:rPr>
        <w:t> </w:t>
      </w:r>
      <w:r>
        <w:rPr>
          <w:sz w:val="22"/>
        </w:rPr>
        <w:t>You </w:t>
      </w:r>
      <w:r>
        <w:rPr>
          <w:spacing w:val="13"/>
          <w:sz w:val="22"/>
        </w:rPr>
        <w:t>have </w:t>
      </w:r>
      <w:r>
        <w:rPr>
          <w:spacing w:val="12"/>
          <w:sz w:val="22"/>
        </w:rPr>
        <w:t>chosen </w:t>
      </w:r>
      <w:r>
        <w:rPr>
          <w:sz w:val="22"/>
        </w:rPr>
        <w:t>a truly </w:t>
      </w:r>
      <w:r>
        <w:rPr>
          <w:spacing w:val="13"/>
          <w:sz w:val="22"/>
        </w:rPr>
        <w:t>rewarding </w:t>
      </w:r>
      <w:r>
        <w:rPr>
          <w:spacing w:val="12"/>
          <w:sz w:val="22"/>
        </w:rPr>
        <w:t>and </w:t>
      </w:r>
      <w:r>
        <w:rPr>
          <w:spacing w:val="9"/>
          <w:sz w:val="22"/>
        </w:rPr>
        <w:t>exciting </w:t>
      </w:r>
      <w:r>
        <w:rPr>
          <w:sz w:val="22"/>
        </w:rPr>
        <w:t>c</w:t>
      </w:r>
      <w:r>
        <w:rPr>
          <w:spacing w:val="-33"/>
          <w:sz w:val="22"/>
        </w:rPr>
        <w:t> </w:t>
      </w:r>
      <w:r>
        <w:rPr>
          <w:sz w:val="22"/>
        </w:rPr>
        <w:t>ourse of </w:t>
      </w:r>
      <w:r>
        <w:rPr>
          <w:spacing w:val="8"/>
          <w:sz w:val="22"/>
        </w:rPr>
        <w:t>study.</w:t>
      </w:r>
    </w:p>
    <w:p>
      <w:pPr>
        <w:spacing w:after="0" w:line="292" w:lineRule="auto"/>
        <w:jc w:val="left"/>
        <w:rPr>
          <w:sz w:val="22"/>
        </w:rPr>
        <w:sectPr>
          <w:headerReference w:type="default" r:id="rId335"/>
          <w:footerReference w:type="default" r:id="rId336"/>
          <w:pgSz w:w="12240" w:h="15840"/>
          <w:pgMar w:header="0" w:footer="748" w:top="1380" w:bottom="940" w:left="1000" w:right="820"/>
        </w:sectPr>
      </w:pPr>
    </w:p>
    <w:p>
      <w:pPr>
        <w:pStyle w:val="BodyText"/>
        <w:spacing w:before="10"/>
        <w:rPr>
          <w:sz w:val="28"/>
        </w:rPr>
      </w:pPr>
    </w:p>
    <w:p>
      <w:pPr>
        <w:spacing w:line="371" w:lineRule="exact" w:before="91"/>
        <w:ind w:left="0" w:right="1644" w:firstLine="0"/>
        <w:jc w:val="right"/>
        <w:rPr>
          <w:sz w:val="34"/>
        </w:rPr>
      </w:pPr>
      <w:r>
        <w:rPr/>
        <w:drawing>
          <wp:anchor distT="0" distB="0" distL="0" distR="0" allowOverlap="1" layoutInCell="1" locked="0" behindDoc="0" simplePos="0" relativeHeight="15746560">
            <wp:simplePos x="0" y="0"/>
            <wp:positionH relativeFrom="page">
              <wp:posOffset>3331372</wp:posOffset>
            </wp:positionH>
            <wp:positionV relativeFrom="paragraph">
              <wp:posOffset>-213579</wp:posOffset>
            </wp:positionV>
            <wp:extent cx="807142" cy="804696"/>
            <wp:effectExtent l="0" t="0" r="0" b="0"/>
            <wp:wrapNone/>
            <wp:docPr id="9" name="image7.jpeg"/>
            <wp:cNvGraphicFramePr>
              <a:graphicFrameLocks noChangeAspect="1"/>
            </wp:cNvGraphicFramePr>
            <a:graphic>
              <a:graphicData uri="http://schemas.openxmlformats.org/drawingml/2006/picture">
                <pic:pic>
                  <pic:nvPicPr>
                    <pic:cNvPr id="10" name="image7.jpeg"/>
                    <pic:cNvPicPr/>
                  </pic:nvPicPr>
                  <pic:blipFill>
                    <a:blip r:embed="rId339" cstate="print"/>
                    <a:stretch>
                      <a:fillRect/>
                    </a:stretch>
                  </pic:blipFill>
                  <pic:spPr>
                    <a:xfrm>
                      <a:off x="0" y="0"/>
                      <a:ext cx="807142" cy="804696"/>
                    </a:xfrm>
                    <a:prstGeom prst="rect">
                      <a:avLst/>
                    </a:prstGeom>
                  </pic:spPr>
                </pic:pic>
              </a:graphicData>
            </a:graphic>
          </wp:anchor>
        </w:drawing>
      </w:r>
      <w:r>
        <w:rPr/>
        <w:drawing>
          <wp:anchor distT="0" distB="0" distL="0" distR="0" allowOverlap="1" layoutInCell="1" locked="0" behindDoc="1" simplePos="0" relativeHeight="476286464">
            <wp:simplePos x="0" y="0"/>
            <wp:positionH relativeFrom="page">
              <wp:posOffset>5591371</wp:posOffset>
            </wp:positionH>
            <wp:positionV relativeFrom="paragraph">
              <wp:posOffset>63592</wp:posOffset>
            </wp:positionV>
            <wp:extent cx="591904" cy="169880"/>
            <wp:effectExtent l="0" t="0" r="0" b="0"/>
            <wp:wrapNone/>
            <wp:docPr id="11" name="image8.jpeg"/>
            <wp:cNvGraphicFramePr>
              <a:graphicFrameLocks noChangeAspect="1"/>
            </wp:cNvGraphicFramePr>
            <a:graphic>
              <a:graphicData uri="http://schemas.openxmlformats.org/drawingml/2006/picture">
                <pic:pic>
                  <pic:nvPicPr>
                    <pic:cNvPr id="12" name="image8.jpeg"/>
                    <pic:cNvPicPr/>
                  </pic:nvPicPr>
                  <pic:blipFill>
                    <a:blip r:embed="rId340" cstate="print"/>
                    <a:stretch>
                      <a:fillRect/>
                    </a:stretch>
                  </pic:blipFill>
                  <pic:spPr>
                    <a:xfrm>
                      <a:off x="0" y="0"/>
                      <a:ext cx="591904" cy="169880"/>
                    </a:xfrm>
                    <a:prstGeom prst="rect">
                      <a:avLst/>
                    </a:prstGeom>
                  </pic:spPr>
                </pic:pic>
              </a:graphicData>
            </a:graphic>
          </wp:anchor>
        </w:drawing>
      </w:r>
      <w:r>
        <w:rPr>
          <w:color w:val="B3B3B3"/>
          <w:w w:val="101"/>
          <w:sz w:val="34"/>
        </w:rPr>
        <w:t>.</w:t>
      </w:r>
    </w:p>
    <w:p>
      <w:pPr>
        <w:spacing w:line="263" w:lineRule="exact" w:before="0"/>
        <w:ind w:left="6963" w:right="679" w:firstLine="0"/>
        <w:jc w:val="center"/>
        <w:rPr>
          <w:sz w:val="23"/>
        </w:rPr>
      </w:pPr>
      <w:r>
        <w:rPr>
          <w:b/>
          <w:color w:val="212121"/>
          <w:w w:val="75"/>
          <w:sz w:val="25"/>
        </w:rPr>
        <w:t>JAN</w:t>
      </w:r>
      <w:r>
        <w:rPr>
          <w:b/>
          <w:color w:val="212121"/>
          <w:spacing w:val="-14"/>
          <w:sz w:val="25"/>
        </w:rPr>
        <w:t> </w:t>
      </w:r>
      <w:r>
        <w:rPr>
          <w:color w:val="333433"/>
          <w:w w:val="75"/>
          <w:sz w:val="23"/>
        </w:rPr>
        <w:t>1</w:t>
      </w:r>
      <w:r>
        <w:rPr>
          <w:color w:val="575756"/>
          <w:w w:val="75"/>
          <w:sz w:val="23"/>
        </w:rPr>
        <w:t>3</w:t>
      </w:r>
      <w:r>
        <w:rPr>
          <w:color w:val="575756"/>
          <w:spacing w:val="-17"/>
          <w:w w:val="75"/>
          <w:sz w:val="23"/>
        </w:rPr>
        <w:t> </w:t>
      </w:r>
      <w:r>
        <w:rPr>
          <w:color w:val="333433"/>
          <w:spacing w:val="-4"/>
          <w:w w:val="75"/>
          <w:sz w:val="23"/>
        </w:rPr>
        <w:t>2009</w:t>
      </w:r>
    </w:p>
    <w:p>
      <w:pPr>
        <w:spacing w:line="236" w:lineRule="exact" w:before="0"/>
        <w:ind w:left="6893" w:right="679" w:firstLine="0"/>
        <w:jc w:val="center"/>
        <w:rPr>
          <w:sz w:val="18"/>
        </w:rPr>
      </w:pPr>
      <w:r>
        <w:rPr>
          <w:color w:val="70726E"/>
          <w:w w:val="75"/>
          <w:sz w:val="19"/>
        </w:rPr>
        <w:t>OfrJY:O</w:t>
      </w:r>
      <w:r>
        <w:rPr>
          <w:color w:val="70726E"/>
          <w:spacing w:val="-9"/>
          <w:w w:val="75"/>
          <w:sz w:val="19"/>
        </w:rPr>
        <w:t> </w:t>
      </w:r>
      <w:r>
        <w:rPr>
          <w:i/>
          <w:color w:val="8A8A89"/>
          <w:w w:val="75"/>
          <w:sz w:val="21"/>
        </w:rPr>
        <w:t>n</w:t>
      </w:r>
      <w:r>
        <w:rPr>
          <w:i/>
          <w:color w:val="B3B3B3"/>
          <w:w w:val="75"/>
          <w:sz w:val="21"/>
        </w:rPr>
        <w:t>l</w:t>
      </w:r>
      <w:r>
        <w:rPr>
          <w:i/>
          <w:color w:val="B3B3B3"/>
          <w:spacing w:val="-13"/>
          <w:w w:val="75"/>
          <w:sz w:val="21"/>
        </w:rPr>
        <w:t> </w:t>
      </w:r>
      <w:r>
        <w:rPr>
          <w:i/>
          <w:color w:val="A5A5A3"/>
          <w:w w:val="75"/>
          <w:sz w:val="19"/>
        </w:rPr>
        <w:t>f.,,;</w:t>
      </w:r>
      <w:r>
        <w:rPr>
          <w:color w:val="B3B3B3"/>
          <w:w w:val="75"/>
          <w:sz w:val="18"/>
        </w:rPr>
        <w:t>Pr-</w:t>
      </w:r>
      <w:r>
        <w:rPr>
          <w:color w:val="B3B3B3"/>
          <w:spacing w:val="-2"/>
          <w:w w:val="75"/>
          <w:sz w:val="18"/>
        </w:rPr>
        <w:t>,,.,,</w:t>
      </w:r>
    </w:p>
    <w:p>
      <w:pPr>
        <w:pStyle w:val="BodyText"/>
        <w:spacing w:before="9"/>
        <w:rPr>
          <w:sz w:val="22"/>
        </w:rPr>
      </w:pPr>
    </w:p>
    <w:p>
      <w:pPr>
        <w:spacing w:before="93"/>
        <w:ind w:left="0" w:right="631" w:firstLine="0"/>
        <w:jc w:val="center"/>
        <w:rPr>
          <w:rFonts w:ascii="Times New Roman"/>
          <w:sz w:val="19"/>
        </w:rPr>
      </w:pPr>
      <w:r>
        <w:rPr/>
        <w:drawing>
          <wp:anchor distT="0" distB="0" distL="0" distR="0" allowOverlap="1" layoutInCell="1" locked="0" behindDoc="0" simplePos="0" relativeHeight="15747584">
            <wp:simplePos x="0" y="0"/>
            <wp:positionH relativeFrom="page">
              <wp:posOffset>5663117</wp:posOffset>
            </wp:positionH>
            <wp:positionV relativeFrom="paragraph">
              <wp:posOffset>189574</wp:posOffset>
            </wp:positionV>
            <wp:extent cx="1291427" cy="858342"/>
            <wp:effectExtent l="0" t="0" r="0" b="0"/>
            <wp:wrapNone/>
            <wp:docPr id="13" name="image9.jpeg"/>
            <wp:cNvGraphicFramePr>
              <a:graphicFrameLocks noChangeAspect="1"/>
            </wp:cNvGraphicFramePr>
            <a:graphic>
              <a:graphicData uri="http://schemas.openxmlformats.org/drawingml/2006/picture">
                <pic:pic>
                  <pic:nvPicPr>
                    <pic:cNvPr id="14" name="image9.jpeg"/>
                    <pic:cNvPicPr/>
                  </pic:nvPicPr>
                  <pic:blipFill>
                    <a:blip r:embed="rId341" cstate="print"/>
                    <a:stretch>
                      <a:fillRect/>
                    </a:stretch>
                  </pic:blipFill>
                  <pic:spPr>
                    <a:xfrm>
                      <a:off x="0" y="0"/>
                      <a:ext cx="1291427" cy="858342"/>
                    </a:xfrm>
                    <a:prstGeom prst="rect">
                      <a:avLst/>
                    </a:prstGeom>
                  </pic:spPr>
                </pic:pic>
              </a:graphicData>
            </a:graphic>
          </wp:anchor>
        </w:drawing>
      </w:r>
      <w:r>
        <w:rPr>
          <w:rFonts w:ascii="Times New Roman"/>
          <w:color w:val="70726E"/>
          <w:w w:val="105"/>
          <w:sz w:val="19"/>
        </w:rPr>
        <w:t>S</w:t>
      </w:r>
      <w:r>
        <w:rPr>
          <w:rFonts w:ascii="Times New Roman"/>
          <w:color w:val="575756"/>
          <w:w w:val="105"/>
          <w:sz w:val="19"/>
        </w:rPr>
        <w:t>OUTHERN</w:t>
      </w:r>
      <w:r>
        <w:rPr>
          <w:rFonts w:ascii="Times New Roman"/>
          <w:color w:val="575756"/>
          <w:spacing w:val="-2"/>
          <w:w w:val="105"/>
          <w:sz w:val="19"/>
        </w:rPr>
        <w:t> </w:t>
      </w:r>
      <w:r>
        <w:rPr>
          <w:rFonts w:ascii="Times New Roman"/>
          <w:color w:val="575756"/>
          <w:w w:val="105"/>
          <w:sz w:val="19"/>
        </w:rPr>
        <w:t>A</w:t>
      </w:r>
      <w:r>
        <w:rPr>
          <w:rFonts w:ascii="Times New Roman"/>
          <w:color w:val="70726E"/>
          <w:w w:val="105"/>
          <w:sz w:val="19"/>
        </w:rPr>
        <w:t>S</w:t>
      </w:r>
      <w:r>
        <w:rPr>
          <w:rFonts w:ascii="Times New Roman"/>
          <w:color w:val="575756"/>
          <w:w w:val="105"/>
          <w:sz w:val="19"/>
        </w:rPr>
        <w:t>SOC</w:t>
      </w:r>
      <w:r>
        <w:rPr>
          <w:rFonts w:ascii="Times New Roman"/>
          <w:color w:val="0F0F0F"/>
          <w:w w:val="105"/>
          <w:sz w:val="19"/>
        </w:rPr>
        <w:t>I</w:t>
      </w:r>
      <w:r>
        <w:rPr>
          <w:rFonts w:ascii="Times New Roman"/>
          <w:color w:val="70726E"/>
          <w:w w:val="105"/>
          <w:sz w:val="19"/>
        </w:rPr>
        <w:t>A</w:t>
      </w:r>
      <w:r>
        <w:rPr>
          <w:rFonts w:ascii="Times New Roman"/>
          <w:color w:val="575756"/>
          <w:w w:val="105"/>
          <w:sz w:val="19"/>
        </w:rPr>
        <w:t>TION</w:t>
      </w:r>
      <w:r>
        <w:rPr>
          <w:rFonts w:ascii="Times New Roman"/>
          <w:color w:val="575756"/>
          <w:spacing w:val="-2"/>
          <w:w w:val="105"/>
          <w:sz w:val="19"/>
        </w:rPr>
        <w:t> </w:t>
      </w:r>
      <w:r>
        <w:rPr>
          <w:rFonts w:ascii="Times New Roman"/>
          <w:color w:val="575756"/>
          <w:w w:val="105"/>
          <w:sz w:val="19"/>
        </w:rPr>
        <w:t>Of</w:t>
      </w:r>
      <w:r>
        <w:rPr>
          <w:rFonts w:ascii="Times New Roman"/>
          <w:color w:val="575756"/>
          <w:spacing w:val="23"/>
          <w:w w:val="105"/>
          <w:sz w:val="19"/>
        </w:rPr>
        <w:t> </w:t>
      </w:r>
      <w:r>
        <w:rPr>
          <w:rFonts w:ascii="Times New Roman"/>
          <w:color w:val="575756"/>
          <w:w w:val="105"/>
          <w:sz w:val="19"/>
        </w:rPr>
        <w:t>COLLEG</w:t>
      </w:r>
      <w:r>
        <w:rPr>
          <w:rFonts w:ascii="Times New Roman"/>
          <w:color w:val="70726E"/>
          <w:w w:val="105"/>
          <w:sz w:val="19"/>
        </w:rPr>
        <w:t>ES</w:t>
      </w:r>
      <w:r>
        <w:rPr>
          <w:rFonts w:ascii="Times New Roman"/>
          <w:color w:val="70726E"/>
          <w:spacing w:val="-29"/>
          <w:w w:val="105"/>
          <w:sz w:val="19"/>
        </w:rPr>
        <w:t> </w:t>
      </w:r>
      <w:r>
        <w:rPr>
          <w:rFonts w:ascii="Times New Roman"/>
          <w:color w:val="575756"/>
          <w:w w:val="105"/>
          <w:sz w:val="19"/>
        </w:rPr>
        <w:t>ANO</w:t>
      </w:r>
      <w:r>
        <w:rPr>
          <w:rFonts w:ascii="Times New Roman"/>
          <w:color w:val="575756"/>
          <w:spacing w:val="18"/>
          <w:w w:val="105"/>
          <w:sz w:val="19"/>
        </w:rPr>
        <w:t> </w:t>
      </w:r>
      <w:r>
        <w:rPr>
          <w:rFonts w:ascii="Times New Roman"/>
          <w:color w:val="70726E"/>
          <w:spacing w:val="-2"/>
          <w:w w:val="105"/>
          <w:sz w:val="19"/>
        </w:rPr>
        <w:t>SC</w:t>
      </w:r>
      <w:r>
        <w:rPr>
          <w:rFonts w:ascii="Times New Roman"/>
          <w:color w:val="575756"/>
          <w:spacing w:val="-2"/>
          <w:w w:val="105"/>
          <w:sz w:val="19"/>
        </w:rPr>
        <w:t>H</w:t>
      </w:r>
      <w:r>
        <w:rPr>
          <w:rFonts w:ascii="Times New Roman"/>
          <w:color w:val="70726E"/>
          <w:spacing w:val="-2"/>
          <w:w w:val="105"/>
          <w:sz w:val="19"/>
        </w:rPr>
        <w:t>O</w:t>
      </w:r>
      <w:r>
        <w:rPr>
          <w:rFonts w:ascii="Times New Roman"/>
          <w:color w:val="575756"/>
          <w:spacing w:val="-2"/>
          <w:w w:val="105"/>
          <w:sz w:val="19"/>
        </w:rPr>
        <w:t>OLS</w:t>
      </w:r>
    </w:p>
    <w:p>
      <w:pPr>
        <w:tabs>
          <w:tab w:pos="2288" w:val="left" w:leader="none"/>
        </w:tabs>
        <w:spacing w:before="77"/>
        <w:ind w:left="0" w:right="679" w:firstLine="0"/>
        <w:jc w:val="center"/>
        <w:rPr>
          <w:b/>
          <w:sz w:val="19"/>
        </w:rPr>
      </w:pPr>
      <w:r>
        <w:rPr>
          <w:b/>
          <w:color w:val="444444"/>
          <w:spacing w:val="-2"/>
          <w:w w:val="160"/>
          <w:sz w:val="19"/>
        </w:rPr>
        <w:t>COMM</w:t>
      </w:r>
      <w:r>
        <w:rPr>
          <w:b/>
          <w:color w:val="0F0F0F"/>
          <w:spacing w:val="-2"/>
          <w:w w:val="160"/>
          <w:sz w:val="19"/>
        </w:rPr>
        <w:t>I</w:t>
      </w:r>
      <w:r>
        <w:rPr>
          <w:b/>
          <w:color w:val="333433"/>
          <w:spacing w:val="-2"/>
          <w:w w:val="160"/>
          <w:sz w:val="19"/>
        </w:rPr>
        <w:t>SS</w:t>
      </w:r>
      <w:r>
        <w:rPr>
          <w:b/>
          <w:color w:val="0F0F0F"/>
          <w:spacing w:val="-2"/>
          <w:w w:val="160"/>
          <w:sz w:val="19"/>
        </w:rPr>
        <w:t>I</w:t>
      </w:r>
      <w:r>
        <w:rPr>
          <w:b/>
          <w:color w:val="444444"/>
          <w:spacing w:val="-2"/>
          <w:w w:val="160"/>
          <w:sz w:val="19"/>
        </w:rPr>
        <w:t>ON</w:t>
      </w:r>
      <w:r>
        <w:rPr>
          <w:b/>
          <w:color w:val="444444"/>
          <w:sz w:val="19"/>
        </w:rPr>
        <w:tab/>
      </w:r>
      <w:r>
        <w:rPr>
          <w:b/>
          <w:color w:val="333433"/>
          <w:w w:val="160"/>
          <w:sz w:val="19"/>
        </w:rPr>
        <w:t>ON</w:t>
      </w:r>
      <w:r>
        <w:rPr>
          <w:b/>
          <w:color w:val="333433"/>
          <w:spacing w:val="2"/>
          <w:w w:val="160"/>
          <w:sz w:val="19"/>
        </w:rPr>
        <w:t>  </w:t>
      </w:r>
      <w:r>
        <w:rPr>
          <w:b/>
          <w:color w:val="575756"/>
          <w:spacing w:val="-2"/>
          <w:w w:val="160"/>
          <w:sz w:val="19"/>
        </w:rPr>
        <w:t>CO</w:t>
      </w:r>
      <w:r>
        <w:rPr>
          <w:b/>
          <w:color w:val="0F0F0F"/>
          <w:spacing w:val="-2"/>
          <w:w w:val="160"/>
          <w:sz w:val="19"/>
        </w:rPr>
        <w:t>LL</w:t>
      </w:r>
      <w:r>
        <w:rPr>
          <w:b/>
          <w:color w:val="333433"/>
          <w:spacing w:val="-2"/>
          <w:w w:val="160"/>
          <w:sz w:val="19"/>
        </w:rPr>
        <w:t>EG</w:t>
      </w:r>
      <w:r>
        <w:rPr>
          <w:b/>
          <w:color w:val="575756"/>
          <w:spacing w:val="-2"/>
          <w:w w:val="160"/>
          <w:sz w:val="19"/>
        </w:rPr>
        <w:t>ES</w:t>
      </w:r>
    </w:p>
    <w:p>
      <w:pPr>
        <w:spacing w:before="63"/>
        <w:ind w:left="0" w:right="629" w:firstLine="0"/>
        <w:jc w:val="center"/>
        <w:rPr>
          <w:sz w:val="15"/>
        </w:rPr>
      </w:pPr>
      <w:r>
        <w:rPr>
          <w:color w:val="333433"/>
          <w:sz w:val="16"/>
        </w:rPr>
        <w:t>I</w:t>
      </w:r>
      <w:r>
        <w:rPr>
          <w:color w:val="70726E"/>
          <w:sz w:val="16"/>
        </w:rPr>
        <w:t>/I</w:t>
      </w:r>
      <w:r>
        <w:rPr>
          <w:color w:val="8A8A89"/>
          <w:sz w:val="16"/>
        </w:rPr>
        <w:t>t,</w:t>
      </w:r>
      <w:r>
        <w:rPr>
          <w:color w:val="70726E"/>
          <w:sz w:val="16"/>
        </w:rPr>
        <w:t>(,</w:t>
      </w:r>
      <w:r>
        <w:rPr>
          <w:color w:val="70726E"/>
          <w:spacing w:val="3"/>
          <w:sz w:val="16"/>
        </w:rPr>
        <w:t> </w:t>
      </w:r>
      <w:r>
        <w:rPr>
          <w:color w:val="8A8A89"/>
          <w:sz w:val="16"/>
        </w:rPr>
        <w:t>S</w:t>
      </w:r>
      <w:r>
        <w:rPr>
          <w:color w:val="575756"/>
          <w:sz w:val="16"/>
        </w:rPr>
        <w:t>o</w:t>
      </w:r>
      <w:r>
        <w:rPr>
          <w:color w:val="70726E"/>
          <w:sz w:val="16"/>
        </w:rPr>
        <w:t>uth</w:t>
      </w:r>
      <w:r>
        <w:rPr>
          <w:color w:val="8A8A89"/>
          <w:sz w:val="16"/>
        </w:rPr>
        <w:t>e</w:t>
      </w:r>
      <w:r>
        <w:rPr>
          <w:color w:val="70726E"/>
          <w:sz w:val="16"/>
        </w:rPr>
        <w:t>rn</w:t>
      </w:r>
      <w:r>
        <w:rPr>
          <w:color w:val="70726E"/>
          <w:spacing w:val="14"/>
          <w:sz w:val="16"/>
        </w:rPr>
        <w:t> </w:t>
      </w:r>
      <w:r>
        <w:rPr>
          <w:color w:val="70726E"/>
          <w:sz w:val="16"/>
        </w:rPr>
        <w:t>Lan</w:t>
      </w:r>
      <w:r>
        <w:rPr>
          <w:color w:val="8A8A89"/>
          <w:sz w:val="16"/>
        </w:rPr>
        <w:t>e</w:t>
      </w:r>
      <w:r>
        <w:rPr>
          <w:color w:val="8A8A89"/>
          <w:spacing w:val="15"/>
          <w:sz w:val="16"/>
        </w:rPr>
        <w:t> </w:t>
      </w:r>
      <w:r>
        <w:rPr>
          <w:color w:val="0F0F0F"/>
          <w:sz w:val="16"/>
        </w:rPr>
        <w:t>•</w:t>
      </w:r>
      <w:r>
        <w:rPr>
          <w:color w:val="0F0F0F"/>
          <w:spacing w:val="51"/>
          <w:sz w:val="16"/>
        </w:rPr>
        <w:t> </w:t>
      </w:r>
      <w:r>
        <w:rPr>
          <w:color w:val="575756"/>
          <w:sz w:val="16"/>
        </w:rPr>
        <w:t>P</w:t>
      </w:r>
      <w:r>
        <w:rPr>
          <w:color w:val="70726E"/>
          <w:sz w:val="16"/>
        </w:rPr>
        <w:t>1</w:t>
      </w:r>
      <w:r>
        <w:rPr>
          <w:color w:val="8A8A89"/>
          <w:sz w:val="16"/>
        </w:rPr>
        <w:t>•</w:t>
      </w:r>
      <w:r>
        <w:rPr>
          <w:color w:val="70726E"/>
          <w:sz w:val="16"/>
        </w:rPr>
        <w:t>cat</w:t>
      </w:r>
      <w:r>
        <w:rPr>
          <w:color w:val="212121"/>
          <w:sz w:val="16"/>
        </w:rPr>
        <w:t>u</w:t>
      </w:r>
      <w:r>
        <w:rPr>
          <w:color w:val="70726E"/>
          <w:sz w:val="16"/>
        </w:rPr>
        <w:t>,</w:t>
      </w:r>
      <w:r>
        <w:rPr>
          <w:color w:val="A5A5A3"/>
          <w:sz w:val="16"/>
        </w:rPr>
        <w:t>,</w:t>
      </w:r>
      <w:r>
        <w:rPr>
          <w:color w:val="A5A5A3"/>
          <w:spacing w:val="17"/>
          <w:sz w:val="16"/>
        </w:rPr>
        <w:t> </w:t>
      </w:r>
      <w:r>
        <w:rPr>
          <w:color w:val="8A8A89"/>
          <w:sz w:val="16"/>
        </w:rPr>
        <w:t>G</w:t>
      </w:r>
      <w:r>
        <w:rPr>
          <w:color w:val="70726E"/>
          <w:sz w:val="16"/>
        </w:rPr>
        <w:t>e</w:t>
      </w:r>
      <w:r>
        <w:rPr>
          <w:color w:val="8A8A89"/>
          <w:sz w:val="16"/>
        </w:rPr>
        <w:t>o</w:t>
      </w:r>
      <w:r>
        <w:rPr>
          <w:color w:val="70726E"/>
          <w:sz w:val="16"/>
        </w:rPr>
        <w:t>,p,la</w:t>
      </w:r>
      <w:r>
        <w:rPr>
          <w:color w:val="70726E"/>
          <w:spacing w:val="-7"/>
          <w:sz w:val="16"/>
        </w:rPr>
        <w:t> </w:t>
      </w:r>
      <w:r>
        <w:rPr>
          <w:color w:val="8A8A89"/>
          <w:sz w:val="15"/>
        </w:rPr>
        <w:t>1</w:t>
      </w:r>
      <w:r>
        <w:rPr>
          <w:color w:val="70726E"/>
          <w:sz w:val="15"/>
        </w:rPr>
        <w:t>0</w:t>
      </w:r>
      <w:r>
        <w:rPr>
          <w:color w:val="8A8A89"/>
          <w:sz w:val="15"/>
        </w:rPr>
        <w:t>033</w:t>
      </w:r>
      <w:r>
        <w:rPr>
          <w:color w:val="70726E"/>
          <w:sz w:val="15"/>
        </w:rPr>
        <w:t>-</w:t>
      </w:r>
      <w:r>
        <w:rPr>
          <w:color w:val="70726E"/>
          <w:spacing w:val="-4"/>
          <w:sz w:val="15"/>
        </w:rPr>
        <w:t>409</w:t>
      </w:r>
      <w:r>
        <w:rPr>
          <w:color w:val="8A8A89"/>
          <w:spacing w:val="-4"/>
          <w:sz w:val="15"/>
        </w:rPr>
        <w:t>7</w:t>
      </w:r>
    </w:p>
    <w:p>
      <w:pPr>
        <w:spacing w:before="22"/>
        <w:ind w:left="0" w:right="610" w:firstLine="0"/>
        <w:jc w:val="center"/>
        <w:rPr>
          <w:sz w:val="15"/>
        </w:rPr>
      </w:pPr>
      <w:r>
        <w:rPr>
          <w:color w:val="C3C3C3"/>
          <w:w w:val="95"/>
          <w:sz w:val="21"/>
        </w:rPr>
        <w:t>'</w:t>
      </w:r>
      <w:r>
        <w:rPr>
          <w:color w:val="70726E"/>
          <w:w w:val="95"/>
          <w:sz w:val="21"/>
        </w:rPr>
        <w:t>l</w:t>
      </w:r>
      <w:r>
        <w:rPr>
          <w:color w:val="8A8A89"/>
          <w:w w:val="95"/>
          <w:sz w:val="21"/>
        </w:rPr>
        <w:t>clep</w:t>
      </w:r>
      <w:r>
        <w:rPr>
          <w:color w:val="70726E"/>
          <w:w w:val="95"/>
          <w:sz w:val="21"/>
        </w:rPr>
        <w:t>hnn</w:t>
      </w:r>
      <w:r>
        <w:rPr>
          <w:color w:val="8A8A89"/>
          <w:w w:val="95"/>
          <w:sz w:val="21"/>
        </w:rPr>
        <w:t>e</w:t>
      </w:r>
      <w:r>
        <w:rPr>
          <w:color w:val="8A8A89"/>
          <w:spacing w:val="-32"/>
          <w:w w:val="95"/>
          <w:sz w:val="21"/>
        </w:rPr>
        <w:t> </w:t>
      </w:r>
      <w:r>
        <w:rPr>
          <w:color w:val="70726E"/>
          <w:w w:val="95"/>
          <w:sz w:val="15"/>
        </w:rPr>
        <w:t>4</w:t>
      </w:r>
      <w:r>
        <w:rPr>
          <w:color w:val="8A8A89"/>
          <w:w w:val="95"/>
          <w:sz w:val="15"/>
        </w:rPr>
        <w:t>04</w:t>
      </w:r>
      <w:r>
        <w:rPr>
          <w:color w:val="A5A5A3"/>
          <w:w w:val="95"/>
          <w:sz w:val="15"/>
        </w:rPr>
        <w:t>/</w:t>
      </w:r>
      <w:r>
        <w:rPr>
          <w:color w:val="8A8A89"/>
          <w:w w:val="95"/>
          <w:sz w:val="15"/>
        </w:rPr>
        <w:t>&lt;.7'1</w:t>
      </w:r>
      <w:r>
        <w:rPr>
          <w:color w:val="B3B3B3"/>
          <w:w w:val="95"/>
          <w:sz w:val="15"/>
        </w:rPr>
        <w:t>·</w:t>
      </w:r>
      <w:r>
        <w:rPr>
          <w:color w:val="8A8A89"/>
          <w:w w:val="95"/>
          <w:sz w:val="15"/>
        </w:rPr>
        <w:t>45</w:t>
      </w:r>
      <w:r>
        <w:rPr>
          <w:color w:val="70726E"/>
          <w:w w:val="95"/>
          <w:sz w:val="15"/>
        </w:rPr>
        <w:t>00</w:t>
      </w:r>
      <w:r>
        <w:rPr>
          <w:color w:val="70726E"/>
          <w:spacing w:val="62"/>
          <w:sz w:val="15"/>
        </w:rPr>
        <w:t> </w:t>
      </w:r>
      <w:r>
        <w:rPr>
          <w:color w:val="70726E"/>
          <w:w w:val="95"/>
          <w:sz w:val="15"/>
        </w:rPr>
        <w:t>F</w:t>
      </w:r>
      <w:r>
        <w:rPr>
          <w:color w:val="8A8A89"/>
          <w:w w:val="95"/>
          <w:sz w:val="15"/>
        </w:rPr>
        <w:t>ax</w:t>
      </w:r>
      <w:r>
        <w:rPr>
          <w:color w:val="8A8A89"/>
          <w:spacing w:val="29"/>
          <w:sz w:val="15"/>
        </w:rPr>
        <w:t> </w:t>
      </w:r>
      <w:r>
        <w:rPr>
          <w:color w:val="8A8A89"/>
          <w:w w:val="95"/>
          <w:sz w:val="15"/>
        </w:rPr>
        <w:t>40</w:t>
      </w:r>
      <w:r>
        <w:rPr>
          <w:color w:val="70726E"/>
          <w:w w:val="95"/>
          <w:sz w:val="15"/>
        </w:rPr>
        <w:t>4</w:t>
      </w:r>
      <w:r>
        <w:rPr>
          <w:color w:val="8A8A89"/>
          <w:w w:val="95"/>
          <w:sz w:val="15"/>
        </w:rPr>
        <w:t>167</w:t>
      </w:r>
      <w:r>
        <w:rPr>
          <w:color w:val="444444"/>
          <w:w w:val="95"/>
          <w:sz w:val="15"/>
        </w:rPr>
        <w:t>'</w:t>
      </w:r>
      <w:r>
        <w:rPr>
          <w:color w:val="70726E"/>
          <w:w w:val="95"/>
          <w:sz w:val="15"/>
        </w:rPr>
        <w:t>)</w:t>
      </w:r>
      <w:r>
        <w:rPr>
          <w:color w:val="70726E"/>
          <w:spacing w:val="14"/>
          <w:sz w:val="15"/>
        </w:rPr>
        <w:t> </w:t>
      </w:r>
      <w:r>
        <w:rPr>
          <w:color w:val="70726E"/>
          <w:spacing w:val="-4"/>
          <w:w w:val="95"/>
          <w:sz w:val="15"/>
        </w:rPr>
        <w:t>455</w:t>
      </w:r>
      <w:r>
        <w:rPr>
          <w:color w:val="8A8A89"/>
          <w:spacing w:val="-4"/>
          <w:w w:val="95"/>
          <w:sz w:val="15"/>
        </w:rPr>
        <w:t>8</w:t>
      </w:r>
    </w:p>
    <w:p>
      <w:pPr>
        <w:spacing w:before="111"/>
        <w:ind w:left="0" w:right="641" w:firstLine="0"/>
        <w:jc w:val="center"/>
        <w:rPr>
          <w:b/>
          <w:sz w:val="12"/>
        </w:rPr>
      </w:pPr>
      <w:r>
        <w:rPr>
          <w:b/>
          <w:color w:val="8A8A89"/>
          <w:w w:val="115"/>
          <w:sz w:val="12"/>
        </w:rPr>
        <w:t>\YW\\</w:t>
      </w:r>
      <w:r>
        <w:rPr>
          <w:b/>
          <w:color w:val="8A8A89"/>
          <w:spacing w:val="42"/>
          <w:w w:val="115"/>
          <w:sz w:val="12"/>
        </w:rPr>
        <w:t> </w:t>
      </w:r>
      <w:r>
        <w:rPr>
          <w:b/>
          <w:color w:val="A5A5A3"/>
          <w:spacing w:val="-2"/>
          <w:w w:val="115"/>
          <w:sz w:val="12"/>
        </w:rPr>
        <w:t>\olCSCOC</w:t>
      </w:r>
      <w:r>
        <w:rPr>
          <w:b/>
          <w:color w:val="8A8A89"/>
          <w:spacing w:val="-2"/>
          <w:w w:val="115"/>
          <w:sz w:val="12"/>
        </w:rPr>
        <w:t>.</w:t>
      </w:r>
      <w:r>
        <w:rPr>
          <w:b/>
          <w:color w:val="B3B3B3"/>
          <w:spacing w:val="-2"/>
          <w:w w:val="115"/>
          <w:sz w:val="12"/>
        </w:rPr>
        <w:t>O</w:t>
      </w:r>
      <w:r>
        <w:rPr>
          <w:b/>
          <w:color w:val="70726E"/>
          <w:spacing w:val="-2"/>
          <w:w w:val="115"/>
          <w:sz w:val="12"/>
        </w:rPr>
        <w:t>r</w:t>
      </w:r>
      <w:r>
        <w:rPr>
          <w:b/>
          <w:color w:val="A5A5A3"/>
          <w:spacing w:val="-2"/>
          <w:w w:val="115"/>
          <w:sz w:val="12"/>
        </w:rPr>
        <w:t>):,</w:t>
      </w:r>
    </w:p>
    <w:p>
      <w:pPr>
        <w:pStyle w:val="BodyText"/>
        <w:spacing w:before="5"/>
        <w:rPr>
          <w:b/>
          <w:sz w:val="12"/>
        </w:rPr>
      </w:pPr>
    </w:p>
    <w:p>
      <w:pPr>
        <w:spacing w:before="0"/>
        <w:ind w:left="0" w:right="615" w:firstLine="0"/>
        <w:jc w:val="center"/>
        <w:rPr>
          <w:sz w:val="21"/>
        </w:rPr>
      </w:pPr>
      <w:r>
        <w:rPr>
          <w:color w:val="70726E"/>
          <w:w w:val="105"/>
          <w:sz w:val="21"/>
        </w:rPr>
        <w:t>J</w:t>
      </w:r>
      <w:r>
        <w:rPr>
          <w:color w:val="8A8A89"/>
          <w:w w:val="105"/>
          <w:sz w:val="21"/>
        </w:rPr>
        <w:t>anuary</w:t>
      </w:r>
      <w:r>
        <w:rPr>
          <w:color w:val="8A8A89"/>
          <w:spacing w:val="-13"/>
          <w:w w:val="105"/>
          <w:sz w:val="21"/>
        </w:rPr>
        <w:t> </w:t>
      </w:r>
      <w:r>
        <w:rPr>
          <w:color w:val="8A8A89"/>
          <w:w w:val="105"/>
          <w:sz w:val="21"/>
        </w:rPr>
        <w:t>9,</w:t>
      </w:r>
      <w:r>
        <w:rPr>
          <w:color w:val="8A8A89"/>
          <w:spacing w:val="-9"/>
          <w:w w:val="105"/>
          <w:sz w:val="21"/>
        </w:rPr>
        <w:t> </w:t>
      </w:r>
      <w:r>
        <w:rPr>
          <w:color w:val="70726E"/>
          <w:spacing w:val="-4"/>
          <w:w w:val="105"/>
          <w:sz w:val="21"/>
        </w:rPr>
        <w:t>2</w:t>
      </w:r>
      <w:r>
        <w:rPr>
          <w:color w:val="8A8A89"/>
          <w:spacing w:val="-4"/>
          <w:w w:val="105"/>
          <w:sz w:val="21"/>
        </w:rPr>
        <w:t>009</w:t>
      </w:r>
    </w:p>
    <w:p>
      <w:pPr>
        <w:pStyle w:val="BodyText"/>
        <w:rPr>
          <w:sz w:val="24"/>
        </w:rPr>
      </w:pPr>
    </w:p>
    <w:p>
      <w:pPr>
        <w:pStyle w:val="BodyText"/>
        <w:rPr>
          <w:sz w:val="24"/>
        </w:rPr>
      </w:pPr>
    </w:p>
    <w:p>
      <w:pPr>
        <w:spacing w:line="235" w:lineRule="auto" w:before="201"/>
        <w:ind w:left="600" w:right="7005" w:firstLine="0"/>
        <w:jc w:val="left"/>
        <w:rPr>
          <w:sz w:val="21"/>
        </w:rPr>
      </w:pPr>
      <w:r>
        <w:rPr>
          <w:color w:val="70726E"/>
          <w:spacing w:val="-2"/>
          <w:w w:val="105"/>
          <w:sz w:val="21"/>
        </w:rPr>
        <w:t>Dr</w:t>
      </w:r>
      <w:r>
        <w:rPr>
          <w:color w:val="B3B3B3"/>
          <w:spacing w:val="-2"/>
          <w:w w:val="105"/>
          <w:sz w:val="21"/>
        </w:rPr>
        <w:t>.</w:t>
      </w:r>
      <w:r>
        <w:rPr>
          <w:color w:val="B3B3B3"/>
          <w:spacing w:val="-13"/>
          <w:w w:val="105"/>
          <w:sz w:val="21"/>
        </w:rPr>
        <w:t> </w:t>
      </w:r>
      <w:r>
        <w:rPr>
          <w:color w:val="70726E"/>
          <w:spacing w:val="-2"/>
          <w:w w:val="105"/>
          <w:sz w:val="21"/>
        </w:rPr>
        <w:t>W</w:t>
      </w:r>
      <w:r>
        <w:rPr>
          <w:color w:val="8A8A89"/>
          <w:spacing w:val="-2"/>
          <w:w w:val="105"/>
          <w:sz w:val="21"/>
        </w:rPr>
        <w:t>illi</w:t>
      </w:r>
      <w:r>
        <w:rPr>
          <w:color w:val="575756"/>
          <w:spacing w:val="-2"/>
          <w:w w:val="105"/>
          <w:sz w:val="21"/>
        </w:rPr>
        <w:t>a</w:t>
      </w:r>
      <w:r>
        <w:rPr>
          <w:color w:val="8A8A89"/>
          <w:spacing w:val="-2"/>
          <w:w w:val="105"/>
          <w:sz w:val="21"/>
        </w:rPr>
        <w:t>m</w:t>
      </w:r>
      <w:r>
        <w:rPr>
          <w:color w:val="8A8A89"/>
          <w:spacing w:val="-26"/>
          <w:w w:val="105"/>
          <w:sz w:val="21"/>
        </w:rPr>
        <w:t> </w:t>
      </w:r>
      <w:r>
        <w:rPr>
          <w:color w:val="70726E"/>
          <w:spacing w:val="-2"/>
          <w:w w:val="105"/>
          <w:sz w:val="22"/>
        </w:rPr>
        <w:t>R.</w:t>
      </w:r>
      <w:r>
        <w:rPr>
          <w:color w:val="70726E"/>
          <w:spacing w:val="-14"/>
          <w:w w:val="105"/>
          <w:sz w:val="22"/>
        </w:rPr>
        <w:t> </w:t>
      </w:r>
      <w:r>
        <w:rPr>
          <w:color w:val="70726E"/>
          <w:spacing w:val="-2"/>
          <w:w w:val="105"/>
          <w:sz w:val="21"/>
        </w:rPr>
        <w:t>H</w:t>
      </w:r>
      <w:r>
        <w:rPr>
          <w:color w:val="8A8A89"/>
          <w:spacing w:val="-2"/>
          <w:w w:val="105"/>
          <w:sz w:val="21"/>
        </w:rPr>
        <w:t>arv</w:t>
      </w:r>
      <w:r>
        <w:rPr>
          <w:color w:val="70726E"/>
          <w:spacing w:val="-2"/>
          <w:w w:val="105"/>
          <w:sz w:val="21"/>
        </w:rPr>
        <w:t>e</w:t>
      </w:r>
      <w:r>
        <w:rPr>
          <w:color w:val="8A8A89"/>
          <w:spacing w:val="-2"/>
          <w:w w:val="105"/>
          <w:sz w:val="21"/>
        </w:rPr>
        <w:t>y </w:t>
      </w:r>
      <w:r>
        <w:rPr>
          <w:color w:val="70726E"/>
          <w:spacing w:val="-2"/>
          <w:w w:val="105"/>
          <w:sz w:val="21"/>
        </w:rPr>
        <w:t>Pr</w:t>
      </w:r>
      <w:r>
        <w:rPr>
          <w:color w:val="8A8A89"/>
          <w:spacing w:val="-2"/>
          <w:w w:val="105"/>
          <w:sz w:val="21"/>
        </w:rPr>
        <w:t>es</w:t>
      </w:r>
      <w:r>
        <w:rPr>
          <w:color w:val="70726E"/>
          <w:spacing w:val="-2"/>
          <w:w w:val="105"/>
          <w:sz w:val="21"/>
        </w:rPr>
        <w:t>id</w:t>
      </w:r>
      <w:r>
        <w:rPr>
          <w:color w:val="575756"/>
          <w:spacing w:val="-2"/>
          <w:w w:val="105"/>
          <w:sz w:val="21"/>
        </w:rPr>
        <w:t>ent</w:t>
      </w:r>
    </w:p>
    <w:p>
      <w:pPr>
        <w:spacing w:line="252" w:lineRule="auto" w:before="14"/>
        <w:ind w:left="592" w:right="7408" w:firstLine="7"/>
        <w:jc w:val="left"/>
        <w:rPr>
          <w:sz w:val="21"/>
        </w:rPr>
      </w:pPr>
      <w:r>
        <w:rPr/>
        <w:drawing>
          <wp:anchor distT="0" distB="0" distL="0" distR="0" allowOverlap="1" layoutInCell="1" locked="0" behindDoc="0" simplePos="0" relativeHeight="15748096">
            <wp:simplePos x="0" y="0"/>
            <wp:positionH relativeFrom="page">
              <wp:posOffset>5896292</wp:posOffset>
            </wp:positionH>
            <wp:positionV relativeFrom="paragraph">
              <wp:posOffset>133970</wp:posOffset>
            </wp:positionV>
            <wp:extent cx="448412" cy="160939"/>
            <wp:effectExtent l="0" t="0" r="0" b="0"/>
            <wp:wrapNone/>
            <wp:docPr id="15" name="image10.jpeg"/>
            <wp:cNvGraphicFramePr>
              <a:graphicFrameLocks noChangeAspect="1"/>
            </wp:cNvGraphicFramePr>
            <a:graphic>
              <a:graphicData uri="http://schemas.openxmlformats.org/drawingml/2006/picture">
                <pic:pic>
                  <pic:nvPicPr>
                    <pic:cNvPr id="16" name="image10.jpeg"/>
                    <pic:cNvPicPr/>
                  </pic:nvPicPr>
                  <pic:blipFill>
                    <a:blip r:embed="rId342" cstate="print"/>
                    <a:stretch>
                      <a:fillRect/>
                    </a:stretch>
                  </pic:blipFill>
                  <pic:spPr>
                    <a:xfrm>
                      <a:off x="0" y="0"/>
                      <a:ext cx="448412" cy="160939"/>
                    </a:xfrm>
                    <a:prstGeom prst="rect">
                      <a:avLst/>
                    </a:prstGeom>
                  </pic:spPr>
                </pic:pic>
              </a:graphicData>
            </a:graphic>
          </wp:anchor>
        </w:drawing>
      </w:r>
      <w:r>
        <w:rPr>
          <w:color w:val="444444"/>
          <w:w w:val="105"/>
          <w:sz w:val="21"/>
        </w:rPr>
        <w:t>H</w:t>
      </w:r>
      <w:r>
        <w:rPr>
          <w:color w:val="70726E"/>
          <w:w w:val="105"/>
          <w:sz w:val="21"/>
        </w:rPr>
        <w:t>a</w:t>
      </w:r>
      <w:r>
        <w:rPr>
          <w:color w:val="575756"/>
          <w:w w:val="105"/>
          <w:sz w:val="21"/>
        </w:rPr>
        <w:t>mpt</w:t>
      </w:r>
      <w:r>
        <w:rPr>
          <w:color w:val="333433"/>
          <w:w w:val="105"/>
          <w:sz w:val="21"/>
        </w:rPr>
        <w:t>on</w:t>
      </w:r>
      <w:r>
        <w:rPr>
          <w:color w:val="333433"/>
          <w:spacing w:val="-1"/>
          <w:w w:val="105"/>
          <w:sz w:val="21"/>
        </w:rPr>
        <w:t> </w:t>
      </w:r>
      <w:r>
        <w:rPr>
          <w:color w:val="333433"/>
          <w:w w:val="105"/>
          <w:sz w:val="21"/>
        </w:rPr>
        <w:t>U</w:t>
      </w:r>
      <w:r>
        <w:rPr>
          <w:color w:val="575756"/>
          <w:w w:val="105"/>
          <w:sz w:val="21"/>
        </w:rPr>
        <w:t>niver</w:t>
      </w:r>
      <w:r>
        <w:rPr>
          <w:color w:val="70726E"/>
          <w:w w:val="105"/>
          <w:sz w:val="21"/>
        </w:rPr>
        <w:t>s</w:t>
      </w:r>
      <w:r>
        <w:rPr>
          <w:color w:val="575756"/>
          <w:w w:val="105"/>
          <w:sz w:val="21"/>
        </w:rPr>
        <w:t>ity Offi</w:t>
      </w:r>
      <w:r>
        <w:rPr>
          <w:color w:val="70726E"/>
          <w:w w:val="105"/>
          <w:sz w:val="21"/>
        </w:rPr>
        <w:t>c</w:t>
      </w:r>
      <w:r>
        <w:rPr>
          <w:color w:val="575756"/>
          <w:w w:val="105"/>
          <w:sz w:val="21"/>
        </w:rPr>
        <w:t>e</w:t>
      </w:r>
      <w:r>
        <w:rPr>
          <w:color w:val="575756"/>
          <w:spacing w:val="-8"/>
          <w:w w:val="105"/>
          <w:sz w:val="21"/>
        </w:rPr>
        <w:t> </w:t>
      </w:r>
      <w:r>
        <w:rPr>
          <w:color w:val="575756"/>
          <w:w w:val="105"/>
          <w:sz w:val="21"/>
        </w:rPr>
        <w:t>o</w:t>
      </w:r>
      <w:r>
        <w:rPr>
          <w:color w:val="333433"/>
          <w:w w:val="105"/>
          <w:sz w:val="21"/>
        </w:rPr>
        <w:t>f</w:t>
      </w:r>
      <w:r>
        <w:rPr>
          <w:color w:val="333433"/>
          <w:spacing w:val="-14"/>
          <w:w w:val="105"/>
          <w:sz w:val="21"/>
        </w:rPr>
        <w:t> </w:t>
      </w:r>
      <w:r>
        <w:rPr>
          <w:color w:val="444444"/>
          <w:w w:val="105"/>
          <w:sz w:val="21"/>
        </w:rPr>
        <w:t>the</w:t>
      </w:r>
      <w:r>
        <w:rPr>
          <w:color w:val="444444"/>
          <w:spacing w:val="-26"/>
          <w:w w:val="105"/>
          <w:sz w:val="21"/>
        </w:rPr>
        <w:t> </w:t>
      </w:r>
      <w:r>
        <w:rPr>
          <w:color w:val="575756"/>
          <w:w w:val="105"/>
          <w:sz w:val="21"/>
        </w:rPr>
        <w:t>Pr</w:t>
      </w:r>
      <w:r>
        <w:rPr>
          <w:color w:val="70726E"/>
          <w:w w:val="105"/>
          <w:sz w:val="21"/>
        </w:rPr>
        <w:t>es</w:t>
      </w:r>
      <w:r>
        <w:rPr>
          <w:color w:val="575756"/>
          <w:w w:val="105"/>
          <w:sz w:val="21"/>
        </w:rPr>
        <w:t>ident</w:t>
      </w:r>
    </w:p>
    <w:p>
      <w:pPr>
        <w:spacing w:line="227" w:lineRule="exact" w:before="0"/>
        <w:ind w:left="596" w:right="0" w:firstLine="0"/>
        <w:jc w:val="left"/>
        <w:rPr>
          <w:sz w:val="21"/>
        </w:rPr>
      </w:pPr>
      <w:r>
        <w:rPr>
          <w:color w:val="70726E"/>
          <w:spacing w:val="-2"/>
          <w:w w:val="105"/>
          <w:sz w:val="21"/>
        </w:rPr>
        <w:t>200</w:t>
      </w:r>
      <w:r>
        <w:rPr>
          <w:color w:val="70726E"/>
          <w:spacing w:val="10"/>
          <w:w w:val="105"/>
          <w:sz w:val="21"/>
        </w:rPr>
        <w:t> </w:t>
      </w:r>
      <w:r>
        <w:rPr>
          <w:color w:val="575756"/>
          <w:spacing w:val="-2"/>
          <w:w w:val="105"/>
          <w:sz w:val="21"/>
        </w:rPr>
        <w:t>A</w:t>
      </w:r>
      <w:r>
        <w:rPr>
          <w:color w:val="70726E"/>
          <w:spacing w:val="-2"/>
          <w:w w:val="105"/>
          <w:sz w:val="21"/>
        </w:rPr>
        <w:t>dmi</w:t>
      </w:r>
      <w:r>
        <w:rPr>
          <w:color w:val="575756"/>
          <w:spacing w:val="-2"/>
          <w:w w:val="105"/>
          <w:sz w:val="21"/>
        </w:rPr>
        <w:t>n</w:t>
      </w:r>
      <w:r>
        <w:rPr>
          <w:color w:val="70726E"/>
          <w:spacing w:val="-2"/>
          <w:w w:val="105"/>
          <w:sz w:val="21"/>
        </w:rPr>
        <w:t>i</w:t>
      </w:r>
      <w:r>
        <w:rPr>
          <w:color w:val="575756"/>
          <w:spacing w:val="-2"/>
          <w:w w:val="105"/>
          <w:sz w:val="21"/>
        </w:rPr>
        <w:t>s</w:t>
      </w:r>
      <w:r>
        <w:rPr>
          <w:color w:val="70726E"/>
          <w:spacing w:val="-2"/>
          <w:w w:val="105"/>
          <w:sz w:val="21"/>
        </w:rPr>
        <w:t>trat</w:t>
      </w:r>
      <w:r>
        <w:rPr>
          <w:color w:val="8A8A89"/>
          <w:spacing w:val="-2"/>
          <w:w w:val="105"/>
          <w:sz w:val="21"/>
        </w:rPr>
        <w:t>i</w:t>
      </w:r>
      <w:r>
        <w:rPr>
          <w:color w:val="70726E"/>
          <w:spacing w:val="-2"/>
          <w:w w:val="105"/>
          <w:sz w:val="21"/>
        </w:rPr>
        <w:t>on</w:t>
      </w:r>
      <w:r>
        <w:rPr>
          <w:color w:val="70726E"/>
          <w:spacing w:val="-17"/>
          <w:w w:val="105"/>
          <w:sz w:val="21"/>
        </w:rPr>
        <w:t> </w:t>
      </w:r>
      <w:r>
        <w:rPr>
          <w:color w:val="575756"/>
          <w:spacing w:val="-2"/>
          <w:w w:val="105"/>
          <w:sz w:val="21"/>
        </w:rPr>
        <w:t>Bu</w:t>
      </w:r>
      <w:r>
        <w:rPr>
          <w:color w:val="70726E"/>
          <w:spacing w:val="-2"/>
          <w:w w:val="105"/>
          <w:sz w:val="21"/>
        </w:rPr>
        <w:t>ilding</w:t>
      </w:r>
    </w:p>
    <w:p>
      <w:pPr>
        <w:spacing w:line="489" w:lineRule="auto" w:before="12"/>
        <w:ind w:left="600" w:right="7408" w:hanging="1"/>
        <w:jc w:val="left"/>
        <w:rPr>
          <w:sz w:val="21"/>
        </w:rPr>
      </w:pPr>
      <w:r>
        <w:rPr>
          <w:color w:val="575756"/>
          <w:w w:val="105"/>
          <w:sz w:val="21"/>
        </w:rPr>
        <w:t>H</w:t>
      </w:r>
      <w:r>
        <w:rPr>
          <w:color w:val="70726E"/>
          <w:w w:val="105"/>
          <w:sz w:val="21"/>
        </w:rPr>
        <w:t>a</w:t>
      </w:r>
      <w:r>
        <w:rPr>
          <w:color w:val="575756"/>
          <w:w w:val="105"/>
          <w:sz w:val="21"/>
        </w:rPr>
        <w:t>m</w:t>
      </w:r>
      <w:r>
        <w:rPr>
          <w:color w:val="70726E"/>
          <w:w w:val="105"/>
          <w:sz w:val="21"/>
        </w:rPr>
        <w:t>pton</w:t>
      </w:r>
      <w:r>
        <w:rPr>
          <w:color w:val="8A8A89"/>
          <w:w w:val="105"/>
          <w:sz w:val="21"/>
        </w:rPr>
        <w:t>.</w:t>
      </w:r>
      <w:r>
        <w:rPr>
          <w:color w:val="8A8A89"/>
          <w:spacing w:val="-16"/>
          <w:w w:val="105"/>
          <w:sz w:val="21"/>
        </w:rPr>
        <w:t> </w:t>
      </w:r>
      <w:r>
        <w:rPr>
          <w:color w:val="70726E"/>
          <w:w w:val="105"/>
          <w:sz w:val="21"/>
        </w:rPr>
        <w:t>V</w:t>
      </w:r>
      <w:r>
        <w:rPr>
          <w:color w:val="575756"/>
          <w:w w:val="105"/>
          <w:sz w:val="21"/>
        </w:rPr>
        <w:t>A</w:t>
      </w:r>
      <w:r>
        <w:rPr>
          <w:color w:val="575756"/>
          <w:spacing w:val="-15"/>
          <w:w w:val="105"/>
          <w:sz w:val="21"/>
        </w:rPr>
        <w:t> </w:t>
      </w:r>
      <w:r>
        <w:rPr>
          <w:color w:val="70726E"/>
          <w:w w:val="105"/>
          <w:sz w:val="21"/>
        </w:rPr>
        <w:t>23668 </w:t>
      </w:r>
      <w:r>
        <w:rPr>
          <w:color w:val="575756"/>
          <w:w w:val="105"/>
          <w:sz w:val="21"/>
        </w:rPr>
        <w:t>D</w:t>
      </w:r>
      <w:r>
        <w:rPr>
          <w:color w:val="70726E"/>
          <w:w w:val="105"/>
          <w:sz w:val="21"/>
        </w:rPr>
        <w:t>ea</w:t>
      </w:r>
      <w:r>
        <w:rPr>
          <w:color w:val="575756"/>
          <w:w w:val="105"/>
          <w:sz w:val="21"/>
        </w:rPr>
        <w:t>r Dr.</w:t>
      </w:r>
      <w:r>
        <w:rPr>
          <w:color w:val="575756"/>
          <w:spacing w:val="-2"/>
          <w:w w:val="105"/>
          <w:sz w:val="21"/>
        </w:rPr>
        <w:t> </w:t>
      </w:r>
      <w:r>
        <w:rPr>
          <w:color w:val="333433"/>
          <w:w w:val="105"/>
          <w:sz w:val="21"/>
        </w:rPr>
        <w:t>H</w:t>
      </w:r>
      <w:r>
        <w:rPr>
          <w:color w:val="575756"/>
          <w:w w:val="105"/>
          <w:sz w:val="21"/>
        </w:rPr>
        <w:t>arv</w:t>
      </w:r>
      <w:r>
        <w:rPr>
          <w:color w:val="70726E"/>
          <w:w w:val="105"/>
          <w:sz w:val="21"/>
        </w:rPr>
        <w:t>e</w:t>
      </w:r>
      <w:r>
        <w:rPr>
          <w:color w:val="575756"/>
          <w:w w:val="105"/>
          <w:sz w:val="21"/>
        </w:rPr>
        <w:t>y</w:t>
      </w:r>
      <w:r>
        <w:rPr>
          <w:color w:val="8A8A89"/>
          <w:w w:val="105"/>
          <w:sz w:val="21"/>
        </w:rPr>
        <w:t>:</w:t>
      </w:r>
    </w:p>
    <w:p>
      <w:pPr>
        <w:spacing w:line="237" w:lineRule="auto" w:before="2"/>
        <w:ind w:left="595" w:right="1362" w:firstLine="2"/>
        <w:jc w:val="left"/>
        <w:rPr>
          <w:sz w:val="21"/>
        </w:rPr>
      </w:pPr>
      <w:r>
        <w:rPr>
          <w:color w:val="575756"/>
          <w:w w:val="105"/>
          <w:sz w:val="21"/>
        </w:rPr>
        <w:t>T</w:t>
      </w:r>
      <w:r>
        <w:rPr>
          <w:color w:val="70726E"/>
          <w:w w:val="105"/>
          <w:sz w:val="21"/>
        </w:rPr>
        <w:t>h</w:t>
      </w:r>
      <w:r>
        <w:rPr>
          <w:color w:val="8A8A89"/>
          <w:w w:val="105"/>
          <w:sz w:val="21"/>
        </w:rPr>
        <w:t>e</w:t>
      </w:r>
      <w:r>
        <w:rPr>
          <w:color w:val="8A8A89"/>
          <w:spacing w:val="-10"/>
          <w:w w:val="105"/>
          <w:sz w:val="21"/>
        </w:rPr>
        <w:t> </w:t>
      </w:r>
      <w:r>
        <w:rPr>
          <w:color w:val="70726E"/>
          <w:w w:val="105"/>
          <w:sz w:val="21"/>
        </w:rPr>
        <w:t>follo</w:t>
      </w:r>
      <w:r>
        <w:rPr>
          <w:color w:val="575756"/>
          <w:w w:val="105"/>
          <w:sz w:val="21"/>
        </w:rPr>
        <w:t>Y.</w:t>
      </w:r>
      <w:r>
        <w:rPr>
          <w:color w:val="70726E"/>
          <w:w w:val="105"/>
          <w:sz w:val="21"/>
        </w:rPr>
        <w:t>ing</w:t>
      </w:r>
      <w:r>
        <w:rPr>
          <w:color w:val="70726E"/>
          <w:spacing w:val="-15"/>
          <w:w w:val="105"/>
          <w:sz w:val="21"/>
        </w:rPr>
        <w:t> </w:t>
      </w:r>
      <w:r>
        <w:rPr>
          <w:color w:val="70726E"/>
          <w:w w:val="105"/>
          <w:sz w:val="21"/>
        </w:rPr>
        <w:t>acti</w:t>
      </w:r>
      <w:r>
        <w:rPr>
          <w:color w:val="8A8A89"/>
          <w:w w:val="105"/>
          <w:sz w:val="21"/>
        </w:rPr>
        <w:t>o</w:t>
      </w:r>
      <w:r>
        <w:rPr>
          <w:color w:val="70726E"/>
          <w:w w:val="105"/>
          <w:sz w:val="21"/>
        </w:rPr>
        <w:t>n</w:t>
      </w:r>
      <w:r>
        <w:rPr>
          <w:color w:val="70726E"/>
          <w:spacing w:val="-15"/>
          <w:w w:val="105"/>
          <w:sz w:val="21"/>
        </w:rPr>
        <w:t> </w:t>
      </w:r>
      <w:r>
        <w:rPr>
          <w:color w:val="70726E"/>
          <w:w w:val="105"/>
          <w:sz w:val="21"/>
        </w:rPr>
        <w:t>regarding</w:t>
      </w:r>
      <w:r>
        <w:rPr>
          <w:color w:val="70726E"/>
          <w:spacing w:val="-15"/>
          <w:w w:val="105"/>
          <w:sz w:val="21"/>
        </w:rPr>
        <w:t> </w:t>
      </w:r>
      <w:r>
        <w:rPr>
          <w:color w:val="70726E"/>
          <w:w w:val="105"/>
          <w:sz w:val="21"/>
        </w:rPr>
        <w:t>you</w:t>
      </w:r>
      <w:r>
        <w:rPr>
          <w:color w:val="575756"/>
          <w:w w:val="105"/>
          <w:sz w:val="21"/>
        </w:rPr>
        <w:t>r</w:t>
      </w:r>
      <w:r>
        <w:rPr>
          <w:color w:val="575756"/>
          <w:spacing w:val="-16"/>
          <w:w w:val="105"/>
          <w:sz w:val="21"/>
        </w:rPr>
        <w:t> </w:t>
      </w:r>
      <w:r>
        <w:rPr>
          <w:color w:val="8A8A89"/>
          <w:w w:val="105"/>
          <w:sz w:val="21"/>
        </w:rPr>
        <w:t>i</w:t>
      </w:r>
      <w:r>
        <w:rPr>
          <w:color w:val="70726E"/>
          <w:w w:val="105"/>
          <w:sz w:val="21"/>
        </w:rPr>
        <w:t>n</w:t>
      </w:r>
      <w:r>
        <w:rPr>
          <w:color w:val="8A8A89"/>
          <w:w w:val="105"/>
          <w:sz w:val="21"/>
        </w:rPr>
        <w:t>s</w:t>
      </w:r>
      <w:r>
        <w:rPr>
          <w:color w:val="70726E"/>
          <w:w w:val="105"/>
          <w:sz w:val="21"/>
        </w:rPr>
        <w:t>ti</w:t>
      </w:r>
      <w:r>
        <w:rPr>
          <w:color w:val="8A8A89"/>
          <w:w w:val="105"/>
          <w:sz w:val="21"/>
        </w:rPr>
        <w:t>tu</w:t>
      </w:r>
      <w:r>
        <w:rPr>
          <w:color w:val="70726E"/>
          <w:w w:val="105"/>
          <w:sz w:val="21"/>
        </w:rPr>
        <w:t>ti</w:t>
      </w:r>
      <w:r>
        <w:rPr>
          <w:color w:val="8A8A89"/>
          <w:w w:val="105"/>
          <w:sz w:val="21"/>
        </w:rPr>
        <w:t>o</w:t>
      </w:r>
      <w:r>
        <w:rPr>
          <w:color w:val="70726E"/>
          <w:w w:val="105"/>
          <w:sz w:val="21"/>
        </w:rPr>
        <w:t>n</w:t>
      </w:r>
      <w:r>
        <w:rPr>
          <w:color w:val="70726E"/>
          <w:spacing w:val="-15"/>
          <w:w w:val="105"/>
          <w:sz w:val="21"/>
        </w:rPr>
        <w:t> </w:t>
      </w:r>
      <w:r>
        <w:rPr>
          <w:color w:val="70726E"/>
          <w:w w:val="105"/>
          <w:sz w:val="21"/>
        </w:rPr>
        <w:t>was</w:t>
      </w:r>
      <w:r>
        <w:rPr>
          <w:color w:val="70726E"/>
          <w:spacing w:val="-15"/>
          <w:w w:val="105"/>
          <w:sz w:val="21"/>
        </w:rPr>
        <w:t> </w:t>
      </w:r>
      <w:r>
        <w:rPr>
          <w:color w:val="70726E"/>
          <w:w w:val="105"/>
          <w:sz w:val="21"/>
        </w:rPr>
        <w:t>ta</w:t>
      </w:r>
      <w:r>
        <w:rPr>
          <w:color w:val="575756"/>
          <w:w w:val="105"/>
          <w:sz w:val="21"/>
        </w:rPr>
        <w:t>k</w:t>
      </w:r>
      <w:r>
        <w:rPr>
          <w:color w:val="70726E"/>
          <w:w w:val="105"/>
          <w:sz w:val="21"/>
        </w:rPr>
        <w:t>en</w:t>
      </w:r>
      <w:r>
        <w:rPr>
          <w:color w:val="70726E"/>
          <w:spacing w:val="-16"/>
          <w:w w:val="105"/>
          <w:sz w:val="21"/>
        </w:rPr>
        <w:t> </w:t>
      </w:r>
      <w:r>
        <w:rPr>
          <w:color w:val="70726E"/>
          <w:w w:val="105"/>
          <w:sz w:val="21"/>
        </w:rPr>
        <w:t>at</w:t>
      </w:r>
      <w:r>
        <w:rPr>
          <w:color w:val="70726E"/>
          <w:spacing w:val="-9"/>
          <w:w w:val="105"/>
          <w:sz w:val="21"/>
        </w:rPr>
        <w:t> </w:t>
      </w:r>
      <w:r>
        <w:rPr>
          <w:color w:val="70726E"/>
          <w:w w:val="105"/>
          <w:sz w:val="21"/>
        </w:rPr>
        <w:t>th</w:t>
      </w:r>
      <w:r>
        <w:rPr>
          <w:color w:val="8A8A89"/>
          <w:w w:val="105"/>
          <w:sz w:val="21"/>
        </w:rPr>
        <w:t>e</w:t>
      </w:r>
      <w:r>
        <w:rPr>
          <w:color w:val="8A8A89"/>
          <w:spacing w:val="-16"/>
          <w:w w:val="105"/>
          <w:sz w:val="21"/>
        </w:rPr>
        <w:t> </w:t>
      </w:r>
      <w:r>
        <w:rPr>
          <w:color w:val="70726E"/>
          <w:w w:val="105"/>
          <w:sz w:val="21"/>
        </w:rPr>
        <w:t>De</w:t>
      </w:r>
      <w:r>
        <w:rPr>
          <w:color w:val="8A8A89"/>
          <w:w w:val="105"/>
          <w:sz w:val="21"/>
        </w:rPr>
        <w:t>ce</w:t>
      </w:r>
      <w:r>
        <w:rPr>
          <w:color w:val="70726E"/>
          <w:w w:val="105"/>
          <w:sz w:val="21"/>
        </w:rPr>
        <w:t>mber</w:t>
      </w:r>
      <w:r>
        <w:rPr>
          <w:color w:val="70726E"/>
          <w:spacing w:val="-15"/>
          <w:w w:val="105"/>
          <w:sz w:val="21"/>
        </w:rPr>
        <w:t> </w:t>
      </w:r>
      <w:r>
        <w:rPr>
          <w:color w:val="70726E"/>
          <w:w w:val="105"/>
          <w:sz w:val="21"/>
        </w:rPr>
        <w:t>2008</w:t>
      </w:r>
      <w:r>
        <w:rPr>
          <w:color w:val="70726E"/>
          <w:spacing w:val="-19"/>
          <w:w w:val="105"/>
          <w:sz w:val="21"/>
        </w:rPr>
        <w:t> </w:t>
      </w:r>
      <w:r>
        <w:rPr>
          <w:color w:val="8A8A89"/>
          <w:w w:val="105"/>
          <w:sz w:val="21"/>
        </w:rPr>
        <w:t>me</w:t>
      </w:r>
      <w:r>
        <w:rPr>
          <w:color w:val="70726E"/>
          <w:w w:val="105"/>
          <w:sz w:val="21"/>
        </w:rPr>
        <w:t>e</w:t>
      </w:r>
      <w:r>
        <w:rPr>
          <w:color w:val="575756"/>
          <w:w w:val="105"/>
          <w:sz w:val="21"/>
        </w:rPr>
        <w:t>t</w:t>
      </w:r>
      <w:r>
        <w:rPr>
          <w:color w:val="70726E"/>
          <w:w w:val="105"/>
          <w:sz w:val="21"/>
        </w:rPr>
        <w:t>ing of </w:t>
      </w:r>
      <w:r>
        <w:rPr>
          <w:color w:val="575756"/>
          <w:w w:val="105"/>
          <w:sz w:val="21"/>
        </w:rPr>
        <w:t>l</w:t>
      </w:r>
      <w:r>
        <w:rPr>
          <w:color w:val="70726E"/>
          <w:w w:val="105"/>
          <w:sz w:val="21"/>
        </w:rPr>
        <w:t>he Comm</w:t>
      </w:r>
      <w:r>
        <w:rPr>
          <w:color w:val="8A8A89"/>
          <w:w w:val="105"/>
          <w:sz w:val="21"/>
        </w:rPr>
        <w:t>i</w:t>
      </w:r>
      <w:r>
        <w:rPr>
          <w:color w:val="70726E"/>
          <w:w w:val="105"/>
          <w:sz w:val="21"/>
        </w:rPr>
        <w:t>s</w:t>
      </w:r>
      <w:r>
        <w:rPr>
          <w:color w:val="8A8A89"/>
          <w:w w:val="105"/>
          <w:sz w:val="21"/>
        </w:rPr>
        <w:t>si</w:t>
      </w:r>
      <w:r>
        <w:rPr>
          <w:color w:val="70726E"/>
          <w:w w:val="105"/>
          <w:sz w:val="21"/>
        </w:rPr>
        <w:t>on on Co</w:t>
      </w:r>
      <w:r>
        <w:rPr>
          <w:color w:val="8A8A89"/>
          <w:w w:val="105"/>
          <w:sz w:val="21"/>
        </w:rPr>
        <w:t>ll</w:t>
      </w:r>
      <w:r>
        <w:rPr>
          <w:color w:val="70726E"/>
          <w:w w:val="105"/>
          <w:sz w:val="21"/>
        </w:rPr>
        <w:t>eges</w:t>
      </w:r>
      <w:r>
        <w:rPr>
          <w:color w:val="8A8A89"/>
          <w:w w:val="105"/>
          <w:sz w:val="21"/>
        </w:rPr>
        <w:t>:</w:t>
      </w:r>
    </w:p>
    <w:p>
      <w:pPr>
        <w:pStyle w:val="BodyText"/>
        <w:spacing w:before="11"/>
        <w:rPr>
          <w:sz w:val="21"/>
        </w:rPr>
      </w:pPr>
    </w:p>
    <w:p>
      <w:pPr>
        <w:spacing w:line="247" w:lineRule="auto" w:before="0"/>
        <w:ind w:left="1292" w:right="1277" w:firstLine="11"/>
        <w:jc w:val="left"/>
        <w:rPr>
          <w:i/>
          <w:sz w:val="21"/>
        </w:rPr>
      </w:pPr>
      <w:r>
        <w:rPr>
          <w:color w:val="444444"/>
          <w:w w:val="105"/>
          <w:sz w:val="21"/>
        </w:rPr>
        <w:t>The</w:t>
      </w:r>
      <w:r>
        <w:rPr>
          <w:color w:val="444444"/>
          <w:spacing w:val="-7"/>
          <w:w w:val="105"/>
          <w:sz w:val="21"/>
        </w:rPr>
        <w:t> </w:t>
      </w:r>
      <w:r>
        <w:rPr>
          <w:color w:val="444444"/>
          <w:w w:val="105"/>
          <w:sz w:val="21"/>
        </w:rPr>
        <w:t>C</w:t>
      </w:r>
      <w:r>
        <w:rPr>
          <w:color w:val="70726E"/>
          <w:w w:val="105"/>
          <w:sz w:val="21"/>
        </w:rPr>
        <w:t>o</w:t>
      </w:r>
      <w:r>
        <w:rPr>
          <w:color w:val="575756"/>
          <w:w w:val="105"/>
          <w:sz w:val="21"/>
        </w:rPr>
        <w:t>mmiss</w:t>
      </w:r>
      <w:r>
        <w:rPr>
          <w:color w:val="70726E"/>
          <w:w w:val="105"/>
          <w:sz w:val="21"/>
        </w:rPr>
        <w:t>i</w:t>
      </w:r>
      <w:r>
        <w:rPr>
          <w:color w:val="444444"/>
          <w:w w:val="105"/>
          <w:sz w:val="21"/>
        </w:rPr>
        <w:t>on </w:t>
      </w:r>
      <w:r>
        <w:rPr>
          <w:color w:val="575756"/>
          <w:w w:val="105"/>
          <w:sz w:val="21"/>
        </w:rPr>
        <w:t>on </w:t>
      </w:r>
      <w:r>
        <w:rPr>
          <w:color w:val="70726E"/>
          <w:w w:val="105"/>
          <w:sz w:val="21"/>
        </w:rPr>
        <w:t>Co</w:t>
      </w:r>
      <w:r>
        <w:rPr>
          <w:color w:val="575756"/>
          <w:w w:val="105"/>
          <w:sz w:val="21"/>
        </w:rPr>
        <w:t>ll</w:t>
      </w:r>
      <w:r>
        <w:rPr>
          <w:color w:val="70726E"/>
          <w:w w:val="105"/>
          <w:sz w:val="21"/>
        </w:rPr>
        <w:t>e</w:t>
      </w:r>
      <w:r>
        <w:rPr>
          <w:color w:val="575756"/>
          <w:w w:val="105"/>
          <w:sz w:val="21"/>
        </w:rPr>
        <w:t>ges r</w:t>
      </w:r>
      <w:r>
        <w:rPr>
          <w:color w:val="70726E"/>
          <w:w w:val="105"/>
          <w:sz w:val="21"/>
        </w:rPr>
        <w:t>ea</w:t>
      </w:r>
      <w:r>
        <w:rPr>
          <w:color w:val="575756"/>
          <w:w w:val="105"/>
          <w:sz w:val="21"/>
        </w:rPr>
        <w:t>ffirm</w:t>
      </w:r>
      <w:r>
        <w:rPr>
          <w:color w:val="70726E"/>
          <w:w w:val="105"/>
          <w:sz w:val="21"/>
        </w:rPr>
        <w:t>e</w:t>
      </w:r>
      <w:r>
        <w:rPr>
          <w:color w:val="575756"/>
          <w:w w:val="105"/>
          <w:sz w:val="21"/>
        </w:rPr>
        <w:t>d </w:t>
      </w:r>
      <w:r>
        <w:rPr>
          <w:color w:val="70726E"/>
          <w:w w:val="105"/>
          <w:sz w:val="21"/>
        </w:rPr>
        <w:t>accre</w:t>
      </w:r>
      <w:r>
        <w:rPr>
          <w:color w:val="575756"/>
          <w:w w:val="105"/>
          <w:sz w:val="21"/>
        </w:rPr>
        <w:t>ditation</w:t>
      </w:r>
      <w:r>
        <w:rPr>
          <w:color w:val="575756"/>
          <w:spacing w:val="-5"/>
          <w:w w:val="105"/>
          <w:sz w:val="21"/>
        </w:rPr>
        <w:t> </w:t>
      </w:r>
      <w:r>
        <w:rPr>
          <w:color w:val="575756"/>
          <w:w w:val="105"/>
          <w:sz w:val="21"/>
        </w:rPr>
        <w:t>a</w:t>
      </w:r>
      <w:r>
        <w:rPr>
          <w:color w:val="70726E"/>
          <w:w w:val="105"/>
          <w:sz w:val="21"/>
        </w:rPr>
        <w:t>nd re</w:t>
      </w:r>
      <w:r>
        <w:rPr>
          <w:color w:val="575756"/>
          <w:w w:val="105"/>
          <w:sz w:val="21"/>
        </w:rPr>
        <w:t>ques</w:t>
      </w:r>
      <w:r>
        <w:rPr>
          <w:color w:val="333433"/>
          <w:w w:val="105"/>
          <w:sz w:val="21"/>
        </w:rPr>
        <w:t>t</w:t>
      </w:r>
      <w:r>
        <w:rPr>
          <w:color w:val="575756"/>
          <w:w w:val="105"/>
          <w:sz w:val="21"/>
        </w:rPr>
        <w:t>e</w:t>
      </w:r>
      <w:r>
        <w:rPr>
          <w:color w:val="70726E"/>
          <w:w w:val="105"/>
          <w:sz w:val="21"/>
        </w:rPr>
        <w:t>d a </w:t>
      </w:r>
      <w:r>
        <w:rPr>
          <w:color w:val="444444"/>
          <w:w w:val="105"/>
          <w:sz w:val="21"/>
        </w:rPr>
        <w:t>M</w:t>
      </w:r>
      <w:r>
        <w:rPr>
          <w:color w:val="70726E"/>
          <w:w w:val="105"/>
          <w:sz w:val="21"/>
        </w:rPr>
        <w:t>o</w:t>
      </w:r>
      <w:r>
        <w:rPr>
          <w:color w:val="444444"/>
          <w:w w:val="105"/>
          <w:sz w:val="21"/>
        </w:rPr>
        <w:t>n</w:t>
      </w:r>
      <w:r>
        <w:rPr>
          <w:color w:val="70726E"/>
          <w:w w:val="105"/>
          <w:sz w:val="21"/>
        </w:rPr>
        <w:t>ito</w:t>
      </w:r>
      <w:r>
        <w:rPr>
          <w:color w:val="575756"/>
          <w:w w:val="105"/>
          <w:sz w:val="21"/>
        </w:rPr>
        <w:t>r</w:t>
      </w:r>
      <w:r>
        <w:rPr>
          <w:color w:val="70726E"/>
          <w:w w:val="105"/>
          <w:sz w:val="21"/>
        </w:rPr>
        <w:t>ing</w:t>
      </w:r>
      <w:r>
        <w:rPr>
          <w:color w:val="70726E"/>
          <w:spacing w:val="-2"/>
          <w:w w:val="105"/>
          <w:sz w:val="21"/>
        </w:rPr>
        <w:t> </w:t>
      </w:r>
      <w:r>
        <w:rPr>
          <w:color w:val="575756"/>
          <w:w w:val="105"/>
          <w:sz w:val="21"/>
        </w:rPr>
        <w:t>R</w:t>
      </w:r>
      <w:r>
        <w:rPr>
          <w:color w:val="70726E"/>
          <w:w w:val="105"/>
          <w:sz w:val="21"/>
        </w:rPr>
        <w:t>e</w:t>
      </w:r>
      <w:r>
        <w:rPr>
          <w:color w:val="575756"/>
          <w:w w:val="105"/>
          <w:sz w:val="21"/>
        </w:rPr>
        <w:t>p</w:t>
      </w:r>
      <w:r>
        <w:rPr>
          <w:color w:val="70726E"/>
          <w:w w:val="105"/>
          <w:sz w:val="21"/>
        </w:rPr>
        <w:t>ort due </w:t>
      </w:r>
      <w:r>
        <w:rPr>
          <w:color w:val="444444"/>
          <w:w w:val="105"/>
          <w:sz w:val="21"/>
        </w:rPr>
        <w:t>September </w:t>
      </w:r>
      <w:r>
        <w:rPr>
          <w:color w:val="575756"/>
          <w:w w:val="105"/>
          <w:sz w:val="21"/>
        </w:rPr>
        <w:t>8,</w:t>
      </w:r>
      <w:r>
        <w:rPr>
          <w:color w:val="575756"/>
          <w:spacing w:val="-24"/>
          <w:w w:val="105"/>
          <w:sz w:val="21"/>
        </w:rPr>
        <w:t> </w:t>
      </w:r>
      <w:r>
        <w:rPr>
          <w:color w:val="444444"/>
          <w:w w:val="105"/>
          <w:sz w:val="21"/>
        </w:rPr>
        <w:t>2009</w:t>
      </w:r>
      <w:r>
        <w:rPr>
          <w:color w:val="8A8A89"/>
          <w:w w:val="105"/>
          <w:sz w:val="21"/>
        </w:rPr>
        <w:t>,</w:t>
      </w:r>
      <w:r>
        <w:rPr>
          <w:color w:val="8A8A89"/>
          <w:spacing w:val="-3"/>
          <w:w w:val="105"/>
          <w:sz w:val="21"/>
        </w:rPr>
        <w:t> </w:t>
      </w:r>
      <w:r>
        <w:rPr>
          <w:color w:val="70726E"/>
          <w:w w:val="105"/>
          <w:sz w:val="21"/>
        </w:rPr>
        <w:t>addr</w:t>
      </w:r>
      <w:r>
        <w:rPr>
          <w:color w:val="575756"/>
          <w:w w:val="105"/>
          <w:sz w:val="21"/>
        </w:rPr>
        <w:t>ess</w:t>
      </w:r>
      <w:r>
        <w:rPr>
          <w:color w:val="70726E"/>
          <w:w w:val="105"/>
          <w:sz w:val="21"/>
        </w:rPr>
        <w:t>i</w:t>
      </w:r>
      <w:r>
        <w:rPr>
          <w:color w:val="575756"/>
          <w:w w:val="105"/>
          <w:sz w:val="21"/>
        </w:rPr>
        <w:t>n</w:t>
      </w:r>
      <w:r>
        <w:rPr>
          <w:color w:val="70726E"/>
          <w:w w:val="105"/>
          <w:sz w:val="21"/>
        </w:rPr>
        <w:t>g </w:t>
      </w:r>
      <w:r>
        <w:rPr>
          <w:color w:val="575756"/>
          <w:w w:val="105"/>
          <w:sz w:val="21"/>
        </w:rPr>
        <w:t>l</w:t>
      </w:r>
      <w:r>
        <w:rPr>
          <w:color w:val="70726E"/>
          <w:w w:val="105"/>
          <w:sz w:val="21"/>
        </w:rPr>
        <w:t>h</w:t>
      </w:r>
      <w:r>
        <w:rPr>
          <w:color w:val="8A8A89"/>
          <w:w w:val="105"/>
          <w:sz w:val="21"/>
        </w:rPr>
        <w:t>e </w:t>
      </w:r>
      <w:r>
        <w:rPr>
          <w:color w:val="70726E"/>
          <w:w w:val="105"/>
          <w:sz w:val="21"/>
        </w:rPr>
        <w:t>visi</w:t>
      </w:r>
      <w:r>
        <w:rPr>
          <w:color w:val="575756"/>
          <w:w w:val="105"/>
          <w:sz w:val="21"/>
        </w:rPr>
        <w:t>t</w:t>
      </w:r>
      <w:r>
        <w:rPr>
          <w:color w:val="70726E"/>
          <w:w w:val="105"/>
          <w:sz w:val="21"/>
        </w:rPr>
        <w:t>i</w:t>
      </w:r>
      <w:r>
        <w:rPr>
          <w:color w:val="8A8A89"/>
          <w:w w:val="105"/>
          <w:sz w:val="21"/>
        </w:rPr>
        <w:t>n</w:t>
      </w:r>
      <w:r>
        <w:rPr>
          <w:color w:val="70726E"/>
          <w:w w:val="105"/>
          <w:sz w:val="21"/>
        </w:rPr>
        <w:t>g</w:t>
      </w:r>
      <w:r>
        <w:rPr>
          <w:color w:val="70726E"/>
          <w:spacing w:val="-16"/>
          <w:w w:val="105"/>
          <w:sz w:val="21"/>
        </w:rPr>
        <w:t> </w:t>
      </w:r>
      <w:r>
        <w:rPr>
          <w:color w:val="70726E"/>
          <w:w w:val="105"/>
          <w:sz w:val="21"/>
        </w:rPr>
        <w:t>comm</w:t>
      </w:r>
      <w:r>
        <w:rPr>
          <w:color w:val="8A8A89"/>
          <w:w w:val="105"/>
          <w:sz w:val="21"/>
        </w:rPr>
        <w:t>i</w:t>
      </w:r>
      <w:r>
        <w:rPr>
          <w:color w:val="575756"/>
          <w:w w:val="105"/>
          <w:sz w:val="21"/>
        </w:rPr>
        <w:t>tt</w:t>
      </w:r>
      <w:r>
        <w:rPr>
          <w:color w:val="70726E"/>
          <w:w w:val="105"/>
          <w:sz w:val="21"/>
        </w:rPr>
        <w:t>e</w:t>
      </w:r>
      <w:r>
        <w:rPr>
          <w:color w:val="575756"/>
          <w:w w:val="105"/>
          <w:sz w:val="21"/>
        </w:rPr>
        <w:t>e</w:t>
      </w:r>
      <w:r>
        <w:rPr>
          <w:color w:val="70726E"/>
          <w:w w:val="105"/>
          <w:sz w:val="21"/>
        </w:rPr>
        <w:t>'s r</w:t>
      </w:r>
      <w:r>
        <w:rPr>
          <w:color w:val="575756"/>
          <w:w w:val="105"/>
          <w:sz w:val="21"/>
        </w:rPr>
        <w:t>e</w:t>
      </w:r>
      <w:r>
        <w:rPr>
          <w:color w:val="70726E"/>
          <w:w w:val="105"/>
          <w:sz w:val="21"/>
        </w:rPr>
        <w:t>commenda</w:t>
      </w:r>
      <w:r>
        <w:rPr>
          <w:color w:val="575756"/>
          <w:w w:val="105"/>
          <w:sz w:val="21"/>
        </w:rPr>
        <w:t>t</w:t>
      </w:r>
      <w:r>
        <w:rPr>
          <w:color w:val="70726E"/>
          <w:w w:val="105"/>
          <w:sz w:val="21"/>
        </w:rPr>
        <w:t>ion app</w:t>
      </w:r>
      <w:r>
        <w:rPr>
          <w:color w:val="8A8A89"/>
          <w:w w:val="105"/>
          <w:sz w:val="21"/>
        </w:rPr>
        <w:t>li</w:t>
      </w:r>
      <w:r>
        <w:rPr>
          <w:color w:val="70726E"/>
          <w:w w:val="105"/>
          <w:sz w:val="21"/>
        </w:rPr>
        <w:t>cab</w:t>
      </w:r>
      <w:r>
        <w:rPr>
          <w:color w:val="8A8A89"/>
          <w:w w:val="105"/>
          <w:sz w:val="21"/>
        </w:rPr>
        <w:t>l</w:t>
      </w:r>
      <w:r>
        <w:rPr>
          <w:color w:val="575756"/>
          <w:w w:val="105"/>
          <w:sz w:val="21"/>
        </w:rPr>
        <w:t>e </w:t>
      </w:r>
      <w:r>
        <w:rPr>
          <w:color w:val="70726E"/>
          <w:w w:val="105"/>
          <w:sz w:val="21"/>
        </w:rPr>
        <w:t>lo</w:t>
      </w:r>
      <w:r>
        <w:rPr>
          <w:color w:val="70726E"/>
          <w:spacing w:val="40"/>
          <w:w w:val="105"/>
          <w:sz w:val="21"/>
        </w:rPr>
        <w:t> </w:t>
      </w:r>
      <w:r>
        <w:rPr>
          <w:color w:val="70726E"/>
          <w:w w:val="105"/>
          <w:sz w:val="21"/>
        </w:rPr>
        <w:t>t</w:t>
      </w:r>
      <w:r>
        <w:rPr>
          <w:color w:val="8A8A89"/>
          <w:w w:val="105"/>
          <w:sz w:val="21"/>
        </w:rPr>
        <w:t>he follo</w:t>
      </w:r>
      <w:r>
        <w:rPr>
          <w:color w:val="70726E"/>
          <w:w w:val="105"/>
          <w:sz w:val="21"/>
        </w:rPr>
        <w:t>wing </w:t>
      </w:r>
      <w:r>
        <w:rPr>
          <w:color w:val="8A8A89"/>
          <w:w w:val="105"/>
          <w:sz w:val="21"/>
        </w:rPr>
        <w:t>ref</w:t>
      </w:r>
      <w:r>
        <w:rPr>
          <w:color w:val="70726E"/>
          <w:w w:val="105"/>
          <w:sz w:val="21"/>
        </w:rPr>
        <w:t>erenced st</w:t>
      </w:r>
      <w:r>
        <w:rPr>
          <w:color w:val="8A8A89"/>
          <w:w w:val="105"/>
          <w:sz w:val="21"/>
        </w:rPr>
        <w:t>an</w:t>
      </w:r>
      <w:r>
        <w:rPr>
          <w:color w:val="70726E"/>
          <w:w w:val="105"/>
          <w:sz w:val="21"/>
        </w:rPr>
        <w:t>d</w:t>
      </w:r>
      <w:r>
        <w:rPr>
          <w:color w:val="575756"/>
          <w:w w:val="105"/>
          <w:sz w:val="21"/>
        </w:rPr>
        <w:t>a</w:t>
      </w:r>
      <w:r>
        <w:rPr>
          <w:color w:val="70726E"/>
          <w:w w:val="105"/>
          <w:sz w:val="21"/>
        </w:rPr>
        <w:t>rd </w:t>
      </w:r>
      <w:r>
        <w:rPr>
          <w:color w:val="8A8A89"/>
          <w:w w:val="105"/>
          <w:sz w:val="21"/>
        </w:rPr>
        <w:t>o</w:t>
      </w:r>
      <w:r>
        <w:rPr>
          <w:color w:val="70726E"/>
          <w:w w:val="105"/>
          <w:sz w:val="21"/>
        </w:rPr>
        <w:t>f</w:t>
      </w:r>
      <w:r>
        <w:rPr>
          <w:color w:val="70726E"/>
          <w:spacing w:val="-3"/>
          <w:w w:val="105"/>
          <w:sz w:val="21"/>
        </w:rPr>
        <w:t> </w:t>
      </w:r>
      <w:r>
        <w:rPr>
          <w:color w:val="70726E"/>
          <w:w w:val="105"/>
          <w:sz w:val="21"/>
        </w:rPr>
        <w:t>th</w:t>
      </w:r>
      <w:r>
        <w:rPr>
          <w:color w:val="8A8A89"/>
          <w:w w:val="105"/>
          <w:sz w:val="21"/>
        </w:rPr>
        <w:t>e </w:t>
      </w:r>
      <w:r>
        <w:rPr>
          <w:i/>
          <w:color w:val="575756"/>
          <w:spacing w:val="-2"/>
          <w:w w:val="105"/>
          <w:sz w:val="21"/>
        </w:rPr>
        <w:t>P</w:t>
      </w:r>
      <w:r>
        <w:rPr>
          <w:i/>
          <w:color w:val="70726E"/>
          <w:spacing w:val="-2"/>
          <w:w w:val="105"/>
          <w:sz w:val="21"/>
        </w:rPr>
        <w:t>rincipl</w:t>
      </w:r>
      <w:r>
        <w:rPr>
          <w:i/>
          <w:color w:val="8A8A89"/>
          <w:spacing w:val="-2"/>
          <w:w w:val="105"/>
          <w:sz w:val="21"/>
        </w:rPr>
        <w:t>es:</w:t>
      </w:r>
    </w:p>
    <w:p>
      <w:pPr>
        <w:pStyle w:val="BodyText"/>
        <w:spacing w:before="2"/>
        <w:rPr>
          <w:i/>
          <w:sz w:val="21"/>
        </w:rPr>
      </w:pPr>
    </w:p>
    <w:p>
      <w:pPr>
        <w:spacing w:before="1"/>
        <w:ind w:left="1298" w:right="0" w:firstLine="0"/>
        <w:jc w:val="left"/>
        <w:rPr>
          <w:sz w:val="21"/>
        </w:rPr>
      </w:pPr>
      <w:r>
        <w:rPr>
          <w:color w:val="333433"/>
          <w:w w:val="110"/>
          <w:sz w:val="21"/>
        </w:rPr>
        <w:t>CS</w:t>
      </w:r>
      <w:r>
        <w:rPr>
          <w:color w:val="333433"/>
          <w:spacing w:val="-25"/>
          <w:w w:val="110"/>
          <w:sz w:val="21"/>
        </w:rPr>
        <w:t> </w:t>
      </w:r>
      <w:r>
        <w:rPr>
          <w:color w:val="333433"/>
          <w:w w:val="110"/>
          <w:sz w:val="21"/>
        </w:rPr>
        <w:t>3.5</w:t>
      </w:r>
      <w:r>
        <w:rPr>
          <w:color w:val="575756"/>
          <w:w w:val="110"/>
          <w:sz w:val="21"/>
        </w:rPr>
        <w:t>.</w:t>
      </w:r>
      <w:r>
        <w:rPr>
          <w:color w:val="333433"/>
          <w:w w:val="110"/>
          <w:sz w:val="21"/>
        </w:rPr>
        <w:t>1</w:t>
      </w:r>
      <w:r>
        <w:rPr>
          <w:color w:val="333433"/>
          <w:spacing w:val="-16"/>
          <w:w w:val="110"/>
          <w:sz w:val="21"/>
        </w:rPr>
        <w:t> </w:t>
      </w:r>
      <w:r>
        <w:rPr>
          <w:color w:val="444444"/>
          <w:w w:val="110"/>
          <w:sz w:val="21"/>
        </w:rPr>
        <w:t>(College-Leve</w:t>
      </w:r>
      <w:r>
        <w:rPr>
          <w:color w:val="212121"/>
          <w:w w:val="110"/>
          <w:sz w:val="21"/>
        </w:rPr>
        <w:t>l</w:t>
      </w:r>
      <w:r>
        <w:rPr>
          <w:color w:val="212121"/>
          <w:spacing w:val="3"/>
          <w:w w:val="110"/>
          <w:sz w:val="21"/>
        </w:rPr>
        <w:t> </w:t>
      </w:r>
      <w:r>
        <w:rPr>
          <w:color w:val="212121"/>
          <w:w w:val="110"/>
          <w:sz w:val="21"/>
        </w:rPr>
        <w:t>Com</w:t>
      </w:r>
      <w:r>
        <w:rPr>
          <w:color w:val="444444"/>
          <w:w w:val="110"/>
          <w:sz w:val="21"/>
        </w:rPr>
        <w:t>petencies),</w:t>
      </w:r>
      <w:r>
        <w:rPr>
          <w:color w:val="444444"/>
          <w:spacing w:val="-14"/>
          <w:w w:val="110"/>
          <w:sz w:val="21"/>
        </w:rPr>
        <w:t> </w:t>
      </w:r>
      <w:r>
        <w:rPr>
          <w:color w:val="333433"/>
          <w:w w:val="110"/>
          <w:sz w:val="21"/>
        </w:rPr>
        <w:t>R</w:t>
      </w:r>
      <w:r>
        <w:rPr>
          <w:color w:val="575756"/>
          <w:w w:val="110"/>
          <w:sz w:val="21"/>
        </w:rPr>
        <w:t>eco</w:t>
      </w:r>
      <w:r>
        <w:rPr>
          <w:color w:val="333433"/>
          <w:w w:val="110"/>
          <w:sz w:val="21"/>
        </w:rPr>
        <w:t>mmendation</w:t>
      </w:r>
      <w:r>
        <w:rPr>
          <w:color w:val="333433"/>
          <w:spacing w:val="-16"/>
          <w:w w:val="110"/>
          <w:sz w:val="21"/>
        </w:rPr>
        <w:t> </w:t>
      </w:r>
      <w:r>
        <w:rPr>
          <w:color w:val="444444"/>
          <w:spacing w:val="-10"/>
          <w:w w:val="110"/>
          <w:sz w:val="21"/>
        </w:rPr>
        <w:t>2</w:t>
      </w:r>
    </w:p>
    <w:p>
      <w:pPr>
        <w:spacing w:line="242" w:lineRule="auto" w:before="12"/>
        <w:ind w:left="1280" w:right="1003" w:firstLine="9"/>
        <w:jc w:val="left"/>
        <w:rPr>
          <w:sz w:val="21"/>
        </w:rPr>
      </w:pPr>
      <w:r>
        <w:rPr>
          <w:color w:val="575756"/>
          <w:w w:val="105"/>
          <w:sz w:val="21"/>
        </w:rPr>
        <w:t>The</w:t>
      </w:r>
      <w:r>
        <w:rPr>
          <w:color w:val="575756"/>
          <w:spacing w:val="-20"/>
          <w:w w:val="105"/>
          <w:sz w:val="21"/>
        </w:rPr>
        <w:t> </w:t>
      </w:r>
      <w:r>
        <w:rPr>
          <w:color w:val="575756"/>
          <w:w w:val="105"/>
          <w:sz w:val="21"/>
        </w:rPr>
        <w:t>in</w:t>
      </w:r>
      <w:r>
        <w:rPr>
          <w:color w:val="70726E"/>
          <w:w w:val="105"/>
          <w:sz w:val="21"/>
        </w:rPr>
        <w:t>s</w:t>
      </w:r>
      <w:r>
        <w:rPr>
          <w:color w:val="575756"/>
          <w:w w:val="105"/>
          <w:sz w:val="21"/>
        </w:rPr>
        <w:t>t</w:t>
      </w:r>
      <w:r>
        <w:rPr>
          <w:color w:val="70726E"/>
          <w:w w:val="105"/>
          <w:sz w:val="21"/>
        </w:rPr>
        <w:t>itutio</w:t>
      </w:r>
      <w:r>
        <w:rPr>
          <w:color w:val="575756"/>
          <w:w w:val="105"/>
          <w:sz w:val="21"/>
        </w:rPr>
        <w:t>n</w:t>
      </w:r>
      <w:r>
        <w:rPr>
          <w:color w:val="575756"/>
          <w:spacing w:val="-16"/>
          <w:w w:val="105"/>
          <w:sz w:val="21"/>
        </w:rPr>
        <w:t> </w:t>
      </w:r>
      <w:r>
        <w:rPr>
          <w:color w:val="575756"/>
          <w:w w:val="105"/>
          <w:sz w:val="21"/>
        </w:rPr>
        <w:t>h</w:t>
      </w:r>
      <w:r>
        <w:rPr>
          <w:color w:val="70726E"/>
          <w:w w:val="105"/>
          <w:sz w:val="21"/>
        </w:rPr>
        <w:t>as</w:t>
      </w:r>
      <w:r>
        <w:rPr>
          <w:color w:val="70726E"/>
          <w:spacing w:val="-15"/>
          <w:w w:val="105"/>
          <w:sz w:val="21"/>
        </w:rPr>
        <w:t> </w:t>
      </w:r>
      <w:r>
        <w:rPr>
          <w:color w:val="70726E"/>
          <w:w w:val="105"/>
          <w:sz w:val="21"/>
        </w:rPr>
        <w:t>de</w:t>
      </w:r>
      <w:r>
        <w:rPr>
          <w:color w:val="575756"/>
          <w:w w:val="105"/>
          <w:sz w:val="21"/>
        </w:rPr>
        <w:t>v</w:t>
      </w:r>
      <w:r>
        <w:rPr>
          <w:color w:val="70726E"/>
          <w:w w:val="105"/>
          <w:sz w:val="21"/>
        </w:rPr>
        <w:t>e</w:t>
      </w:r>
      <w:r>
        <w:rPr>
          <w:color w:val="333433"/>
          <w:w w:val="105"/>
          <w:sz w:val="21"/>
        </w:rPr>
        <w:t>l</w:t>
      </w:r>
      <w:r>
        <w:rPr>
          <w:color w:val="70726E"/>
          <w:w w:val="105"/>
          <w:sz w:val="21"/>
        </w:rPr>
        <w:t>o</w:t>
      </w:r>
      <w:r>
        <w:rPr>
          <w:color w:val="575756"/>
          <w:w w:val="105"/>
          <w:sz w:val="21"/>
        </w:rPr>
        <w:t>ped</w:t>
      </w:r>
      <w:r>
        <w:rPr>
          <w:color w:val="575756"/>
          <w:spacing w:val="-7"/>
          <w:w w:val="105"/>
          <w:sz w:val="21"/>
        </w:rPr>
        <w:t> </w:t>
      </w:r>
      <w:r>
        <w:rPr>
          <w:color w:val="70726E"/>
          <w:w w:val="105"/>
          <w:sz w:val="21"/>
        </w:rPr>
        <w:t>de</w:t>
      </w:r>
      <w:r>
        <w:rPr>
          <w:color w:val="444444"/>
          <w:w w:val="105"/>
          <w:sz w:val="21"/>
        </w:rPr>
        <w:t>t</w:t>
      </w:r>
      <w:r>
        <w:rPr>
          <w:color w:val="70726E"/>
          <w:w w:val="105"/>
          <w:sz w:val="21"/>
        </w:rPr>
        <w:t>a</w:t>
      </w:r>
      <w:r>
        <w:rPr>
          <w:color w:val="575756"/>
          <w:w w:val="105"/>
          <w:sz w:val="21"/>
        </w:rPr>
        <w:t>il</w:t>
      </w:r>
      <w:r>
        <w:rPr>
          <w:color w:val="70726E"/>
          <w:w w:val="105"/>
          <w:sz w:val="21"/>
        </w:rPr>
        <w:t>ed</w:t>
      </w:r>
      <w:r>
        <w:rPr>
          <w:color w:val="70726E"/>
          <w:spacing w:val="-14"/>
          <w:w w:val="105"/>
          <w:sz w:val="21"/>
        </w:rPr>
        <w:t> </w:t>
      </w:r>
      <w:r>
        <w:rPr>
          <w:color w:val="575756"/>
          <w:w w:val="105"/>
          <w:sz w:val="21"/>
        </w:rPr>
        <w:t>plan</w:t>
      </w:r>
      <w:r>
        <w:rPr>
          <w:color w:val="70726E"/>
          <w:w w:val="105"/>
          <w:sz w:val="21"/>
        </w:rPr>
        <w:t>s</w:t>
      </w:r>
      <w:r>
        <w:rPr>
          <w:color w:val="70726E"/>
          <w:spacing w:val="-6"/>
          <w:w w:val="105"/>
          <w:sz w:val="21"/>
        </w:rPr>
        <w:t> </w:t>
      </w:r>
      <w:r>
        <w:rPr>
          <w:color w:val="575756"/>
          <w:w w:val="105"/>
          <w:sz w:val="21"/>
        </w:rPr>
        <w:t>t</w:t>
      </w:r>
      <w:r>
        <w:rPr>
          <w:color w:val="70726E"/>
          <w:w w:val="105"/>
          <w:sz w:val="21"/>
        </w:rPr>
        <w:t>o</w:t>
      </w:r>
      <w:r>
        <w:rPr>
          <w:color w:val="70726E"/>
          <w:spacing w:val="-8"/>
          <w:w w:val="105"/>
          <w:sz w:val="21"/>
        </w:rPr>
        <w:t> </w:t>
      </w:r>
      <w:r>
        <w:rPr>
          <w:color w:val="70726E"/>
          <w:w w:val="105"/>
          <w:sz w:val="21"/>
        </w:rPr>
        <w:t>ad</w:t>
      </w:r>
      <w:r>
        <w:rPr>
          <w:color w:val="575756"/>
          <w:w w:val="105"/>
          <w:sz w:val="21"/>
        </w:rPr>
        <w:t>d</w:t>
      </w:r>
      <w:r>
        <w:rPr>
          <w:color w:val="70726E"/>
          <w:w w:val="105"/>
          <w:sz w:val="21"/>
        </w:rPr>
        <w:t>r</w:t>
      </w:r>
      <w:r>
        <w:rPr>
          <w:color w:val="575756"/>
          <w:w w:val="105"/>
          <w:sz w:val="21"/>
        </w:rPr>
        <w:t>e</w:t>
      </w:r>
      <w:r>
        <w:rPr>
          <w:color w:val="70726E"/>
          <w:w w:val="105"/>
          <w:sz w:val="21"/>
        </w:rPr>
        <w:t>ss</w:t>
      </w:r>
      <w:r>
        <w:rPr>
          <w:color w:val="70726E"/>
          <w:spacing w:val="6"/>
          <w:w w:val="105"/>
          <w:sz w:val="21"/>
        </w:rPr>
        <w:t> </w:t>
      </w:r>
      <w:r>
        <w:rPr>
          <w:color w:val="70726E"/>
          <w:w w:val="105"/>
          <w:sz w:val="21"/>
        </w:rPr>
        <w:t>th</w:t>
      </w:r>
      <w:r>
        <w:rPr>
          <w:color w:val="8A8A89"/>
          <w:w w:val="105"/>
          <w:sz w:val="21"/>
        </w:rPr>
        <w:t>i</w:t>
      </w:r>
      <w:r>
        <w:rPr>
          <w:color w:val="70726E"/>
          <w:w w:val="105"/>
          <w:sz w:val="21"/>
        </w:rPr>
        <w:t>s</w:t>
      </w:r>
      <w:r>
        <w:rPr>
          <w:color w:val="70726E"/>
          <w:spacing w:val="-16"/>
          <w:w w:val="105"/>
          <w:sz w:val="21"/>
        </w:rPr>
        <w:t> </w:t>
      </w:r>
      <w:r>
        <w:rPr>
          <w:color w:val="70726E"/>
          <w:w w:val="105"/>
          <w:sz w:val="21"/>
        </w:rPr>
        <w:t>recommend</w:t>
      </w:r>
      <w:r>
        <w:rPr>
          <w:color w:val="8A8A89"/>
          <w:w w:val="105"/>
          <w:sz w:val="21"/>
        </w:rPr>
        <w:t>a</w:t>
      </w:r>
      <w:r>
        <w:rPr>
          <w:color w:val="70726E"/>
          <w:w w:val="105"/>
          <w:sz w:val="21"/>
        </w:rPr>
        <w:t>l</w:t>
      </w:r>
      <w:r>
        <w:rPr>
          <w:color w:val="8A8A89"/>
          <w:w w:val="105"/>
          <w:sz w:val="21"/>
        </w:rPr>
        <w:t>i</w:t>
      </w:r>
      <w:r>
        <w:rPr>
          <w:color w:val="70726E"/>
          <w:w w:val="105"/>
          <w:sz w:val="21"/>
        </w:rPr>
        <w:t>o</w:t>
      </w:r>
      <w:r>
        <w:rPr>
          <w:color w:val="575756"/>
          <w:w w:val="105"/>
          <w:sz w:val="21"/>
        </w:rPr>
        <w:t>n</w:t>
      </w:r>
      <w:r>
        <w:rPr>
          <w:color w:val="70726E"/>
          <w:w w:val="105"/>
          <w:sz w:val="21"/>
        </w:rPr>
        <w:t>,</w:t>
      </w:r>
      <w:r>
        <w:rPr>
          <w:color w:val="70726E"/>
          <w:spacing w:val="-20"/>
          <w:w w:val="105"/>
          <w:sz w:val="21"/>
        </w:rPr>
        <w:t> </w:t>
      </w:r>
      <w:r>
        <w:rPr>
          <w:color w:val="575756"/>
          <w:w w:val="105"/>
          <w:sz w:val="21"/>
        </w:rPr>
        <w:t>b</w:t>
      </w:r>
      <w:r>
        <w:rPr>
          <w:color w:val="8A8A89"/>
          <w:w w:val="105"/>
          <w:sz w:val="21"/>
        </w:rPr>
        <w:t>u</w:t>
      </w:r>
      <w:r>
        <w:rPr>
          <w:color w:val="70726E"/>
          <w:w w:val="105"/>
          <w:sz w:val="21"/>
        </w:rPr>
        <w:t>t more </w:t>
      </w:r>
      <w:r>
        <w:rPr>
          <w:color w:val="575756"/>
          <w:w w:val="105"/>
          <w:sz w:val="21"/>
        </w:rPr>
        <w:t>t</w:t>
      </w:r>
      <w:r>
        <w:rPr>
          <w:color w:val="8A8A89"/>
          <w:w w:val="105"/>
          <w:sz w:val="21"/>
        </w:rPr>
        <w:t>i</w:t>
      </w:r>
      <w:r>
        <w:rPr>
          <w:color w:val="70726E"/>
          <w:w w:val="105"/>
          <w:sz w:val="21"/>
        </w:rPr>
        <w:t>me is </w:t>
      </w:r>
      <w:r>
        <w:rPr>
          <w:color w:val="575756"/>
          <w:w w:val="105"/>
          <w:sz w:val="21"/>
        </w:rPr>
        <w:t>req</w:t>
      </w:r>
      <w:r>
        <w:rPr>
          <w:color w:val="70726E"/>
          <w:w w:val="105"/>
          <w:sz w:val="21"/>
        </w:rPr>
        <w:t>u</w:t>
      </w:r>
      <w:r>
        <w:rPr>
          <w:color w:val="575756"/>
          <w:w w:val="105"/>
          <w:sz w:val="21"/>
        </w:rPr>
        <w:t>i</w:t>
      </w:r>
      <w:r>
        <w:rPr>
          <w:color w:val="70726E"/>
          <w:w w:val="105"/>
          <w:sz w:val="21"/>
        </w:rPr>
        <w:t>red </w:t>
      </w:r>
      <w:r>
        <w:rPr>
          <w:color w:val="575756"/>
          <w:w w:val="105"/>
          <w:sz w:val="21"/>
        </w:rPr>
        <w:t>t</w:t>
      </w:r>
      <w:r>
        <w:rPr>
          <w:color w:val="70726E"/>
          <w:w w:val="105"/>
          <w:sz w:val="21"/>
        </w:rPr>
        <w:t>o sh</w:t>
      </w:r>
      <w:r>
        <w:rPr>
          <w:color w:val="575756"/>
          <w:w w:val="105"/>
          <w:sz w:val="21"/>
        </w:rPr>
        <w:t>ow </w:t>
      </w:r>
      <w:r>
        <w:rPr>
          <w:color w:val="8A8A89"/>
          <w:w w:val="105"/>
          <w:sz w:val="21"/>
        </w:rPr>
        <w:t>r</w:t>
      </w:r>
      <w:r>
        <w:rPr>
          <w:color w:val="575756"/>
          <w:w w:val="105"/>
          <w:sz w:val="21"/>
        </w:rPr>
        <w:t>e</w:t>
      </w:r>
      <w:r>
        <w:rPr>
          <w:color w:val="70726E"/>
          <w:w w:val="105"/>
          <w:sz w:val="21"/>
        </w:rPr>
        <w:t>sults</w:t>
      </w:r>
      <w:r>
        <w:rPr>
          <w:color w:val="70726E"/>
          <w:spacing w:val="-18"/>
          <w:w w:val="105"/>
          <w:sz w:val="21"/>
        </w:rPr>
        <w:t> </w:t>
      </w:r>
      <w:r>
        <w:rPr>
          <w:color w:val="8A8A89"/>
          <w:w w:val="105"/>
          <w:sz w:val="21"/>
        </w:rPr>
        <w:t>i</w:t>
      </w:r>
      <w:r>
        <w:rPr>
          <w:color w:val="70726E"/>
          <w:w w:val="105"/>
          <w:sz w:val="21"/>
        </w:rPr>
        <w:t>n thi</w:t>
      </w:r>
      <w:r>
        <w:rPr>
          <w:color w:val="575756"/>
          <w:w w:val="105"/>
          <w:sz w:val="21"/>
        </w:rPr>
        <w:t>s </w:t>
      </w:r>
      <w:r>
        <w:rPr>
          <w:color w:val="70726E"/>
          <w:w w:val="105"/>
          <w:sz w:val="21"/>
        </w:rPr>
        <w:t>area</w:t>
      </w:r>
      <w:r>
        <w:rPr>
          <w:color w:val="A5A5A3"/>
          <w:w w:val="105"/>
          <w:sz w:val="21"/>
        </w:rPr>
        <w:t>.</w:t>
      </w:r>
      <w:r>
        <w:rPr>
          <w:color w:val="A5A5A3"/>
          <w:spacing w:val="40"/>
          <w:w w:val="105"/>
          <w:sz w:val="21"/>
        </w:rPr>
        <w:t> </w:t>
      </w:r>
      <w:r>
        <w:rPr>
          <w:color w:val="626246"/>
          <w:w w:val="105"/>
          <w:sz w:val="21"/>
        </w:rPr>
        <w:t>O</w:t>
      </w:r>
      <w:r>
        <w:rPr>
          <w:color w:val="70726E"/>
          <w:w w:val="105"/>
          <w:sz w:val="21"/>
        </w:rPr>
        <w:t>fficials</w:t>
      </w:r>
      <w:r>
        <w:rPr>
          <w:color w:val="70726E"/>
          <w:spacing w:val="-9"/>
          <w:w w:val="105"/>
          <w:sz w:val="21"/>
        </w:rPr>
        <w:t> </w:t>
      </w:r>
      <w:r>
        <w:rPr>
          <w:color w:val="808267"/>
          <w:w w:val="105"/>
          <w:sz w:val="21"/>
        </w:rPr>
        <w:t>a</w:t>
      </w:r>
      <w:r>
        <w:rPr>
          <w:color w:val="626246"/>
          <w:w w:val="105"/>
          <w:sz w:val="21"/>
        </w:rPr>
        <w:t>re </w:t>
      </w:r>
      <w:r>
        <w:rPr>
          <w:color w:val="575756"/>
          <w:w w:val="105"/>
          <w:sz w:val="21"/>
        </w:rPr>
        <w:t>a</w:t>
      </w:r>
      <w:r>
        <w:rPr>
          <w:color w:val="70726E"/>
          <w:w w:val="105"/>
          <w:sz w:val="21"/>
        </w:rPr>
        <w:t>s</w:t>
      </w:r>
      <w:r>
        <w:rPr>
          <w:color w:val="626246"/>
          <w:w w:val="105"/>
          <w:sz w:val="21"/>
        </w:rPr>
        <w:t>k</w:t>
      </w:r>
      <w:r>
        <w:rPr>
          <w:color w:val="70726E"/>
          <w:w w:val="105"/>
          <w:sz w:val="21"/>
        </w:rPr>
        <w:t>ed </w:t>
      </w:r>
      <w:r>
        <w:rPr>
          <w:color w:val="626246"/>
          <w:w w:val="105"/>
          <w:sz w:val="21"/>
        </w:rPr>
        <w:t>t</w:t>
      </w:r>
      <w:r>
        <w:rPr>
          <w:color w:val="808267"/>
          <w:w w:val="105"/>
          <w:sz w:val="21"/>
        </w:rPr>
        <w:t>o </w:t>
      </w:r>
      <w:r>
        <w:rPr>
          <w:color w:val="70726E"/>
          <w:w w:val="105"/>
          <w:sz w:val="21"/>
        </w:rPr>
        <w:t>de</w:t>
      </w:r>
      <w:r>
        <w:rPr>
          <w:color w:val="575756"/>
          <w:w w:val="105"/>
          <w:sz w:val="21"/>
        </w:rPr>
        <w:t>m</w:t>
      </w:r>
      <w:r>
        <w:rPr>
          <w:color w:val="70726E"/>
          <w:w w:val="105"/>
          <w:sz w:val="21"/>
        </w:rPr>
        <w:t>o</w:t>
      </w:r>
      <w:r>
        <w:rPr>
          <w:color w:val="575756"/>
          <w:w w:val="105"/>
          <w:sz w:val="21"/>
        </w:rPr>
        <w:t>n</w:t>
      </w:r>
      <w:r>
        <w:rPr>
          <w:color w:val="70726E"/>
          <w:w w:val="105"/>
          <w:sz w:val="21"/>
        </w:rPr>
        <w:t>str</w:t>
      </w:r>
      <w:r>
        <w:rPr>
          <w:color w:val="777C31"/>
          <w:w w:val="105"/>
          <w:sz w:val="21"/>
        </w:rPr>
        <w:t>ate</w:t>
      </w:r>
      <w:r>
        <w:rPr>
          <w:color w:val="777C31"/>
          <w:spacing w:val="-16"/>
          <w:w w:val="105"/>
          <w:sz w:val="21"/>
        </w:rPr>
        <w:t> </w:t>
      </w:r>
      <w:r>
        <w:rPr>
          <w:color w:val="595D24"/>
          <w:w w:val="105"/>
          <w:sz w:val="21"/>
        </w:rPr>
        <w:t>th</w:t>
      </w:r>
      <w:r>
        <w:rPr>
          <w:color w:val="777C31"/>
          <w:w w:val="105"/>
          <w:sz w:val="21"/>
        </w:rPr>
        <w:t>a</w:t>
      </w:r>
      <w:r>
        <w:rPr>
          <w:color w:val="595D24"/>
          <w:w w:val="105"/>
          <w:sz w:val="21"/>
        </w:rPr>
        <w:t>t</w:t>
      </w:r>
      <w:r>
        <w:rPr>
          <w:color w:val="595D24"/>
          <w:spacing w:val="-2"/>
          <w:w w:val="105"/>
          <w:sz w:val="21"/>
        </w:rPr>
        <w:t> </w:t>
      </w:r>
      <w:r>
        <w:rPr>
          <w:color w:val="777C31"/>
          <w:w w:val="105"/>
          <w:sz w:val="21"/>
        </w:rPr>
        <w:t>the</w:t>
      </w:r>
      <w:r>
        <w:rPr>
          <w:color w:val="777C31"/>
          <w:spacing w:val="-26"/>
          <w:w w:val="105"/>
          <w:sz w:val="21"/>
        </w:rPr>
        <w:t> </w:t>
      </w:r>
      <w:r>
        <w:rPr>
          <w:color w:val="595D24"/>
          <w:w w:val="105"/>
          <w:sz w:val="21"/>
        </w:rPr>
        <w:t>U</w:t>
      </w:r>
      <w:r>
        <w:rPr>
          <w:color w:val="777C31"/>
          <w:w w:val="105"/>
          <w:sz w:val="21"/>
        </w:rPr>
        <w:t>niversity</w:t>
      </w:r>
      <w:r>
        <w:rPr>
          <w:color w:val="777C31"/>
          <w:spacing w:val="-14"/>
          <w:w w:val="105"/>
          <w:sz w:val="21"/>
        </w:rPr>
        <w:t> </w:t>
      </w:r>
      <w:r>
        <w:rPr>
          <w:color w:val="666B1C"/>
          <w:w w:val="105"/>
          <w:sz w:val="21"/>
        </w:rPr>
        <w:t>has</w:t>
      </w:r>
      <w:r>
        <w:rPr>
          <w:color w:val="666B1C"/>
          <w:spacing w:val="-16"/>
          <w:w w:val="105"/>
          <w:sz w:val="21"/>
        </w:rPr>
        <w:t> </w:t>
      </w:r>
      <w:r>
        <w:rPr>
          <w:color w:val="777C31"/>
          <w:w w:val="105"/>
          <w:sz w:val="21"/>
        </w:rPr>
        <w:t>c1e</w:t>
      </w:r>
      <w:r>
        <w:rPr>
          <w:color w:val="595D24"/>
          <w:w w:val="105"/>
          <w:sz w:val="21"/>
        </w:rPr>
        <w:t>a</w:t>
      </w:r>
      <w:r>
        <w:rPr>
          <w:color w:val="777C31"/>
          <w:w w:val="105"/>
          <w:sz w:val="21"/>
        </w:rPr>
        <w:t>r1y-articvra</w:t>
      </w:r>
      <w:r>
        <w:rPr>
          <w:color w:val="595D24"/>
          <w:w w:val="105"/>
          <w:sz w:val="21"/>
        </w:rPr>
        <w:t>te</w:t>
      </w:r>
      <w:r>
        <w:rPr>
          <w:color w:val="777C31"/>
          <w:w w:val="105"/>
          <w:sz w:val="21"/>
        </w:rPr>
        <w:t>d</w:t>
      </w:r>
      <w:r>
        <w:rPr>
          <w:color w:val="777C31"/>
          <w:spacing w:val="8"/>
          <w:w w:val="105"/>
          <w:sz w:val="21"/>
        </w:rPr>
        <w:t> </w:t>
      </w:r>
      <w:r>
        <w:rPr>
          <w:rFonts w:ascii="Times New Roman"/>
          <w:color w:val="8E9131"/>
          <w:w w:val="105"/>
          <w:sz w:val="19"/>
        </w:rPr>
        <w:t>l\l;</w:t>
      </w:r>
      <w:r>
        <w:rPr>
          <w:rFonts w:ascii="Times New Roman"/>
          <w:color w:val="8E9131"/>
          <w:spacing w:val="-13"/>
          <w:w w:val="105"/>
          <w:sz w:val="19"/>
        </w:rPr>
        <w:t> </w:t>
      </w:r>
      <w:r>
        <w:rPr>
          <w:color w:val="777C31"/>
          <w:w w:val="105"/>
          <w:sz w:val="21"/>
        </w:rPr>
        <w:t>general</w:t>
      </w:r>
      <w:r>
        <w:rPr>
          <w:color w:val="777C31"/>
          <w:spacing w:val="-15"/>
          <w:w w:val="105"/>
          <w:sz w:val="21"/>
        </w:rPr>
        <w:t> </w:t>
      </w:r>
      <w:r>
        <w:rPr>
          <w:color w:val="666B1C"/>
          <w:w w:val="105"/>
          <w:sz w:val="21"/>
        </w:rPr>
        <w:t>educalion </w:t>
      </w:r>
      <w:r>
        <w:rPr>
          <w:color w:val="595D24"/>
          <w:w w:val="105"/>
          <w:sz w:val="21"/>
        </w:rPr>
        <w:t>comp</w:t>
      </w:r>
      <w:r>
        <w:rPr>
          <w:color w:val="777C31"/>
          <w:w w:val="105"/>
          <w:sz w:val="21"/>
        </w:rPr>
        <w:t>c</w:t>
      </w:r>
      <w:r>
        <w:rPr>
          <w:color w:val="595D24"/>
          <w:w w:val="105"/>
          <w:sz w:val="21"/>
        </w:rPr>
        <w:t>t</w:t>
      </w:r>
      <w:r>
        <w:rPr>
          <w:color w:val="777C31"/>
          <w:w w:val="105"/>
          <w:sz w:val="21"/>
        </w:rPr>
        <w:t>onci</w:t>
      </w:r>
      <w:r>
        <w:rPr>
          <w:color w:val="595D24"/>
          <w:w w:val="105"/>
          <w:sz w:val="21"/>
        </w:rPr>
        <w:t>es </w:t>
      </w:r>
      <w:r>
        <w:rPr>
          <w:color w:val="666B1C"/>
          <w:w w:val="105"/>
          <w:sz w:val="21"/>
        </w:rPr>
        <w:t>and</w:t>
      </w:r>
      <w:r>
        <w:rPr>
          <w:color w:val="666B1C"/>
          <w:spacing w:val="-9"/>
          <w:w w:val="105"/>
          <w:sz w:val="21"/>
        </w:rPr>
        <w:t> </w:t>
      </w:r>
      <w:r>
        <w:rPr>
          <w:color w:val="595D24"/>
          <w:w w:val="105"/>
          <w:sz w:val="21"/>
        </w:rPr>
        <w:t>th</w:t>
      </w:r>
      <w:r>
        <w:rPr>
          <w:color w:val="777C31"/>
          <w:w w:val="105"/>
          <w:sz w:val="21"/>
        </w:rPr>
        <w:t>e e</w:t>
      </w:r>
      <w:r>
        <w:rPr>
          <w:color w:val="595D24"/>
          <w:w w:val="105"/>
          <w:sz w:val="21"/>
        </w:rPr>
        <w:t>ffect to wh</w:t>
      </w:r>
      <w:r>
        <w:rPr>
          <w:color w:val="777C31"/>
          <w:w w:val="105"/>
          <w:sz w:val="21"/>
        </w:rPr>
        <w:t>ich </w:t>
      </w:r>
      <w:r>
        <w:rPr>
          <w:color w:val="595D24"/>
          <w:w w:val="105"/>
          <w:sz w:val="21"/>
        </w:rPr>
        <w:t>g</w:t>
      </w:r>
      <w:r>
        <w:rPr>
          <w:color w:val="3D4416"/>
          <w:w w:val="105"/>
          <w:sz w:val="21"/>
        </w:rPr>
        <w:t>r</w:t>
      </w:r>
      <w:r>
        <w:rPr>
          <w:color w:val="595D24"/>
          <w:w w:val="105"/>
          <w:sz w:val="21"/>
        </w:rPr>
        <w:t>adu</w:t>
      </w:r>
      <w:r>
        <w:rPr>
          <w:color w:val="777C31"/>
          <w:w w:val="105"/>
          <w:sz w:val="21"/>
        </w:rPr>
        <w:t>a</w:t>
      </w:r>
      <w:r>
        <w:rPr>
          <w:color w:val="595D24"/>
          <w:w w:val="105"/>
          <w:sz w:val="21"/>
        </w:rPr>
        <w:t>t</w:t>
      </w:r>
      <w:r>
        <w:rPr>
          <w:color w:val="777C31"/>
          <w:w w:val="105"/>
          <w:sz w:val="21"/>
        </w:rPr>
        <w:t>es h</w:t>
      </w:r>
      <w:r>
        <w:rPr>
          <w:color w:val="595D24"/>
          <w:w w:val="105"/>
          <w:sz w:val="21"/>
        </w:rPr>
        <w:t>ave </w:t>
      </w:r>
      <w:r>
        <w:rPr>
          <w:color w:val="777C31"/>
          <w:w w:val="105"/>
          <w:sz w:val="21"/>
        </w:rPr>
        <w:t>a</w:t>
      </w:r>
      <w:r>
        <w:rPr>
          <w:color w:val="595D24"/>
          <w:w w:val="105"/>
          <w:sz w:val="21"/>
        </w:rPr>
        <w:t>tt</w:t>
      </w:r>
      <w:r>
        <w:rPr>
          <w:color w:val="777C31"/>
          <w:w w:val="105"/>
          <w:sz w:val="21"/>
        </w:rPr>
        <w:t>ai</w:t>
      </w:r>
      <w:r>
        <w:rPr>
          <w:color w:val="595D24"/>
          <w:w w:val="105"/>
          <w:sz w:val="21"/>
        </w:rPr>
        <w:t>n</w:t>
      </w:r>
      <w:r>
        <w:rPr>
          <w:color w:val="777C31"/>
          <w:w w:val="105"/>
          <w:sz w:val="21"/>
        </w:rPr>
        <w:t>e</w:t>
      </w:r>
      <w:r>
        <w:rPr>
          <w:color w:val="595D24"/>
          <w:w w:val="105"/>
          <w:sz w:val="21"/>
        </w:rPr>
        <w:t>d</w:t>
      </w:r>
      <w:r>
        <w:rPr>
          <w:color w:val="595D24"/>
          <w:spacing w:val="38"/>
          <w:w w:val="105"/>
          <w:sz w:val="21"/>
        </w:rPr>
        <w:t> </w:t>
      </w:r>
      <w:r>
        <w:rPr>
          <w:color w:val="666B1C"/>
          <w:w w:val="105"/>
          <w:sz w:val="21"/>
        </w:rPr>
        <w:t>them</w:t>
      </w:r>
      <w:r>
        <w:rPr>
          <w:color w:val="8E9131"/>
          <w:w w:val="105"/>
          <w:sz w:val="21"/>
        </w:rPr>
        <w:t>.</w:t>
      </w:r>
    </w:p>
    <w:p>
      <w:pPr>
        <w:pStyle w:val="BodyText"/>
        <w:spacing w:before="7"/>
        <w:rPr>
          <w:sz w:val="21"/>
        </w:rPr>
      </w:pPr>
    </w:p>
    <w:p>
      <w:pPr>
        <w:spacing w:line="249" w:lineRule="auto" w:before="1"/>
        <w:ind w:left="560" w:right="1300" w:firstLine="11"/>
        <w:jc w:val="left"/>
        <w:rPr>
          <w:sz w:val="21"/>
        </w:rPr>
      </w:pPr>
      <w:r>
        <w:rPr>
          <w:color w:val="70726E"/>
          <w:w w:val="105"/>
          <w:sz w:val="21"/>
        </w:rPr>
        <w:t>Pl</w:t>
      </w:r>
      <w:r>
        <w:rPr>
          <w:color w:val="8A8A89"/>
          <w:w w:val="105"/>
          <w:sz w:val="21"/>
        </w:rPr>
        <w:t>ea</w:t>
      </w:r>
      <w:r>
        <w:rPr>
          <w:color w:val="70726E"/>
          <w:w w:val="105"/>
          <w:sz w:val="21"/>
        </w:rPr>
        <w:t>se s</w:t>
      </w:r>
      <w:r>
        <w:rPr>
          <w:color w:val="575756"/>
          <w:w w:val="105"/>
          <w:sz w:val="21"/>
        </w:rPr>
        <w:t>ub</w:t>
      </w:r>
      <w:r>
        <w:rPr>
          <w:color w:val="70726E"/>
          <w:w w:val="105"/>
          <w:sz w:val="21"/>
        </w:rPr>
        <w:t>mit t</w:t>
      </w:r>
      <w:r>
        <w:rPr>
          <w:color w:val="8A8A89"/>
          <w:w w:val="105"/>
          <w:sz w:val="21"/>
        </w:rPr>
        <w:t>o </w:t>
      </w:r>
      <w:r>
        <w:rPr>
          <w:color w:val="70726E"/>
          <w:w w:val="105"/>
          <w:sz w:val="21"/>
        </w:rPr>
        <w:t>your</w:t>
      </w:r>
      <w:r>
        <w:rPr>
          <w:color w:val="70726E"/>
          <w:spacing w:val="-11"/>
          <w:w w:val="105"/>
          <w:sz w:val="21"/>
        </w:rPr>
        <w:t> </w:t>
      </w:r>
      <w:r>
        <w:rPr>
          <w:color w:val="70726E"/>
          <w:w w:val="105"/>
          <w:sz w:val="21"/>
        </w:rPr>
        <w:t>Comm</w:t>
      </w:r>
      <w:r>
        <w:rPr>
          <w:color w:val="8A8A89"/>
          <w:w w:val="105"/>
          <w:sz w:val="21"/>
        </w:rPr>
        <w:t>iss</w:t>
      </w:r>
      <w:r>
        <w:rPr>
          <w:color w:val="70726E"/>
          <w:w w:val="105"/>
          <w:sz w:val="21"/>
        </w:rPr>
        <w:t>ion staff m</w:t>
      </w:r>
      <w:r>
        <w:rPr>
          <w:color w:val="8A8A89"/>
          <w:w w:val="105"/>
          <w:sz w:val="21"/>
        </w:rPr>
        <w:t>e</w:t>
      </w:r>
      <w:r>
        <w:rPr>
          <w:color w:val="70726E"/>
          <w:w w:val="105"/>
          <w:sz w:val="21"/>
        </w:rPr>
        <w:t>mbe</w:t>
      </w:r>
      <w:r>
        <w:rPr>
          <w:color w:val="575756"/>
          <w:w w:val="105"/>
          <w:sz w:val="21"/>
        </w:rPr>
        <w:t>r </w:t>
      </w:r>
      <w:r>
        <w:rPr>
          <w:color w:val="70726E"/>
          <w:w w:val="105"/>
          <w:sz w:val="21"/>
        </w:rPr>
        <w:t>a</w:t>
      </w:r>
      <w:r>
        <w:rPr>
          <w:color w:val="70726E"/>
          <w:spacing w:val="32"/>
          <w:w w:val="105"/>
          <w:sz w:val="21"/>
        </w:rPr>
        <w:t> </w:t>
      </w:r>
      <w:r>
        <w:rPr>
          <w:color w:val="575756"/>
          <w:w w:val="105"/>
          <w:sz w:val="21"/>
        </w:rPr>
        <w:t>one</w:t>
      </w:r>
      <w:r>
        <w:rPr>
          <w:color w:val="70726E"/>
          <w:w w:val="105"/>
          <w:sz w:val="21"/>
        </w:rPr>
        <w:t>-</w:t>
      </w:r>
      <w:r>
        <w:rPr>
          <w:color w:val="575756"/>
          <w:w w:val="105"/>
          <w:sz w:val="21"/>
        </w:rPr>
        <w:t>page </w:t>
      </w:r>
      <w:r>
        <w:rPr>
          <w:color w:val="8A8A89"/>
          <w:w w:val="105"/>
          <w:sz w:val="21"/>
        </w:rPr>
        <w:t>e</w:t>
      </w:r>
      <w:r>
        <w:rPr>
          <w:color w:val="70726E"/>
          <w:w w:val="105"/>
          <w:sz w:val="21"/>
        </w:rPr>
        <w:t>x</w:t>
      </w:r>
      <w:r>
        <w:rPr>
          <w:color w:val="8A8A89"/>
          <w:w w:val="105"/>
          <w:sz w:val="21"/>
        </w:rPr>
        <w:t>ec</w:t>
      </w:r>
      <w:r>
        <w:rPr>
          <w:color w:val="70726E"/>
          <w:w w:val="105"/>
          <w:sz w:val="21"/>
        </w:rPr>
        <w:t>utive summ</w:t>
      </w:r>
      <w:r>
        <w:rPr>
          <w:color w:val="8A8A89"/>
          <w:w w:val="105"/>
          <w:sz w:val="21"/>
        </w:rPr>
        <w:t>ary </w:t>
      </w:r>
      <w:r>
        <w:rPr>
          <w:color w:val="70726E"/>
          <w:w w:val="105"/>
          <w:sz w:val="21"/>
        </w:rPr>
        <w:t>o</w:t>
      </w:r>
      <w:r>
        <w:rPr>
          <w:color w:val="8A8A89"/>
          <w:w w:val="105"/>
          <w:sz w:val="21"/>
        </w:rPr>
        <w:t>f your </w:t>
      </w:r>
      <w:r>
        <w:rPr>
          <w:color w:val="A5A5A3"/>
          <w:w w:val="105"/>
          <w:sz w:val="21"/>
        </w:rPr>
        <w:t>I</w:t>
      </w:r>
      <w:r>
        <w:rPr>
          <w:color w:val="8A8A89"/>
          <w:w w:val="105"/>
          <w:sz w:val="21"/>
        </w:rPr>
        <w:t>nsti</w:t>
      </w:r>
      <w:r>
        <w:rPr>
          <w:color w:val="70726E"/>
          <w:w w:val="105"/>
          <w:sz w:val="21"/>
        </w:rPr>
        <w:t>tut</w:t>
      </w:r>
      <w:r>
        <w:rPr>
          <w:color w:val="8A8A89"/>
          <w:w w:val="105"/>
          <w:sz w:val="21"/>
        </w:rPr>
        <w:t>i</w:t>
      </w:r>
      <w:r>
        <w:rPr>
          <w:color w:val="70726E"/>
          <w:w w:val="105"/>
          <w:sz w:val="21"/>
        </w:rPr>
        <w:t>o</w:t>
      </w:r>
      <w:r>
        <w:rPr>
          <w:color w:val="8A8A89"/>
          <w:w w:val="105"/>
          <w:sz w:val="21"/>
        </w:rPr>
        <w:t>n</w:t>
      </w:r>
      <w:r>
        <w:rPr>
          <w:color w:val="A5A5A3"/>
          <w:w w:val="105"/>
          <w:sz w:val="21"/>
        </w:rPr>
        <w:t>'</w:t>
      </w:r>
      <w:r>
        <w:rPr>
          <w:color w:val="8A8A89"/>
          <w:w w:val="105"/>
          <w:sz w:val="21"/>
        </w:rPr>
        <w:t>s Q</w:t>
      </w:r>
      <w:r>
        <w:rPr>
          <w:color w:val="70726E"/>
          <w:w w:val="105"/>
          <w:sz w:val="21"/>
        </w:rPr>
        <w:t>u</w:t>
      </w:r>
      <w:r>
        <w:rPr>
          <w:color w:val="8A8A89"/>
          <w:w w:val="105"/>
          <w:sz w:val="21"/>
        </w:rPr>
        <w:t>a</w:t>
      </w:r>
      <w:r>
        <w:rPr>
          <w:color w:val="70726E"/>
          <w:w w:val="105"/>
          <w:sz w:val="21"/>
        </w:rPr>
        <w:t>li</w:t>
      </w:r>
      <w:r>
        <w:rPr>
          <w:color w:val="8A8A89"/>
          <w:w w:val="105"/>
          <w:sz w:val="21"/>
        </w:rPr>
        <w:t>ty </w:t>
      </w:r>
      <w:r>
        <w:rPr>
          <w:color w:val="70726E"/>
          <w:w w:val="105"/>
          <w:sz w:val="21"/>
        </w:rPr>
        <w:t>E</w:t>
      </w:r>
      <w:r>
        <w:rPr>
          <w:color w:val="8A8A89"/>
          <w:w w:val="105"/>
          <w:sz w:val="21"/>
        </w:rPr>
        <w:t>nhancem</w:t>
      </w:r>
      <w:r>
        <w:rPr>
          <w:color w:val="70726E"/>
          <w:w w:val="105"/>
          <w:sz w:val="21"/>
        </w:rPr>
        <w:t>e</w:t>
      </w:r>
      <w:r>
        <w:rPr>
          <w:color w:val="8A8A89"/>
          <w:w w:val="105"/>
          <w:sz w:val="21"/>
        </w:rPr>
        <w:t>nt</w:t>
      </w:r>
      <w:r>
        <w:rPr>
          <w:color w:val="8A8A89"/>
          <w:spacing w:val="-9"/>
          <w:w w:val="105"/>
          <w:sz w:val="21"/>
        </w:rPr>
        <w:t> </w:t>
      </w:r>
      <w:r>
        <w:rPr>
          <w:color w:val="8A8A89"/>
          <w:w w:val="105"/>
          <w:sz w:val="21"/>
        </w:rPr>
        <w:t>P</w:t>
      </w:r>
      <w:r>
        <w:rPr>
          <w:color w:val="70726E"/>
          <w:w w:val="105"/>
          <w:sz w:val="21"/>
        </w:rPr>
        <w:t>l</w:t>
      </w:r>
      <w:r>
        <w:rPr>
          <w:color w:val="8A8A89"/>
          <w:w w:val="105"/>
          <w:sz w:val="21"/>
        </w:rPr>
        <w:t>an</w:t>
      </w:r>
      <w:r>
        <w:rPr>
          <w:color w:val="A5A5A3"/>
          <w:w w:val="105"/>
          <w:sz w:val="21"/>
        </w:rPr>
        <w:t>.</w:t>
      </w:r>
      <w:r>
        <w:rPr>
          <w:color w:val="A5A5A3"/>
          <w:spacing w:val="-13"/>
          <w:w w:val="105"/>
          <w:sz w:val="21"/>
        </w:rPr>
        <w:t> </w:t>
      </w:r>
      <w:r>
        <w:rPr>
          <w:color w:val="8A8A89"/>
          <w:w w:val="105"/>
          <w:sz w:val="21"/>
        </w:rPr>
        <w:t>The</w:t>
      </w:r>
      <w:r>
        <w:rPr>
          <w:color w:val="8A8A89"/>
          <w:spacing w:val="-16"/>
          <w:w w:val="105"/>
          <w:sz w:val="21"/>
        </w:rPr>
        <w:t> </w:t>
      </w:r>
      <w:r>
        <w:rPr>
          <w:color w:val="8A8A89"/>
          <w:w w:val="105"/>
          <w:sz w:val="21"/>
        </w:rPr>
        <w:t>summa</w:t>
      </w:r>
      <w:r>
        <w:rPr>
          <w:color w:val="70726E"/>
          <w:w w:val="105"/>
          <w:sz w:val="21"/>
        </w:rPr>
        <w:t>ry is </w:t>
      </w:r>
      <w:r>
        <w:rPr>
          <w:color w:val="8A8A89"/>
          <w:w w:val="105"/>
          <w:sz w:val="21"/>
        </w:rPr>
        <w:t>due</w:t>
      </w:r>
      <w:r>
        <w:rPr>
          <w:color w:val="8A8A89"/>
          <w:spacing w:val="-16"/>
          <w:w w:val="105"/>
          <w:sz w:val="21"/>
        </w:rPr>
        <w:t> </w:t>
      </w:r>
      <w:r>
        <w:rPr>
          <w:color w:val="8A8A89"/>
          <w:w w:val="105"/>
          <w:sz w:val="21"/>
        </w:rPr>
        <w:t>February 13,</w:t>
      </w:r>
      <w:r>
        <w:rPr>
          <w:color w:val="8A8A89"/>
          <w:spacing w:val="-1"/>
          <w:w w:val="105"/>
          <w:sz w:val="21"/>
        </w:rPr>
        <w:t> </w:t>
      </w:r>
      <w:r>
        <w:rPr>
          <w:color w:val="8A8A89"/>
          <w:w w:val="105"/>
          <w:sz w:val="21"/>
        </w:rPr>
        <w:t>2009, and</w:t>
      </w:r>
      <w:r>
        <w:rPr>
          <w:color w:val="8A8A89"/>
          <w:spacing w:val="-20"/>
          <w:w w:val="105"/>
          <w:sz w:val="21"/>
        </w:rPr>
        <w:t> </w:t>
      </w:r>
      <w:r>
        <w:rPr>
          <w:color w:val="8A8A89"/>
          <w:w w:val="105"/>
          <w:sz w:val="21"/>
        </w:rPr>
        <w:t>a</w:t>
      </w:r>
      <w:r>
        <w:rPr>
          <w:color w:val="A5A5A3"/>
          <w:w w:val="105"/>
          <w:sz w:val="21"/>
        </w:rPr>
        <w:t>l</w:t>
      </w:r>
      <w:r>
        <w:rPr>
          <w:color w:val="8A8A89"/>
          <w:w w:val="105"/>
          <w:sz w:val="21"/>
        </w:rPr>
        <w:t>so </w:t>
      </w:r>
      <w:r>
        <w:rPr>
          <w:color w:val="70726E"/>
          <w:w w:val="105"/>
          <w:sz w:val="21"/>
        </w:rPr>
        <w:t>sh</w:t>
      </w:r>
      <w:r>
        <w:rPr>
          <w:color w:val="8A8A89"/>
          <w:w w:val="105"/>
          <w:sz w:val="21"/>
        </w:rPr>
        <w:t>ould</w:t>
      </w:r>
      <w:r>
        <w:rPr>
          <w:color w:val="8A8A89"/>
          <w:spacing w:val="-2"/>
          <w:w w:val="105"/>
          <w:sz w:val="21"/>
        </w:rPr>
        <w:t> </w:t>
      </w:r>
      <w:r>
        <w:rPr>
          <w:color w:val="70726E"/>
          <w:w w:val="105"/>
          <w:sz w:val="21"/>
        </w:rPr>
        <w:t>i</w:t>
      </w:r>
      <w:r>
        <w:rPr>
          <w:color w:val="8A8A89"/>
          <w:w w:val="105"/>
          <w:sz w:val="21"/>
        </w:rPr>
        <w:t>ncl</w:t>
      </w:r>
      <w:r>
        <w:rPr>
          <w:color w:val="70726E"/>
          <w:w w:val="105"/>
          <w:sz w:val="21"/>
        </w:rPr>
        <w:t>u</w:t>
      </w:r>
      <w:r>
        <w:rPr>
          <w:color w:val="8A8A89"/>
          <w:w w:val="105"/>
          <w:sz w:val="21"/>
        </w:rPr>
        <w:t>de.</w:t>
      </w:r>
      <w:r>
        <w:rPr>
          <w:color w:val="8A8A89"/>
          <w:spacing w:val="-14"/>
          <w:w w:val="105"/>
          <w:sz w:val="21"/>
        </w:rPr>
        <w:t> </w:t>
      </w:r>
      <w:r>
        <w:rPr>
          <w:color w:val="8A8A89"/>
          <w:w w:val="105"/>
          <w:sz w:val="21"/>
        </w:rPr>
        <w:t>(1)</w:t>
      </w:r>
      <w:r>
        <w:rPr>
          <w:color w:val="8A8A89"/>
          <w:spacing w:val="-7"/>
          <w:w w:val="105"/>
          <w:sz w:val="21"/>
        </w:rPr>
        <w:t> </w:t>
      </w:r>
      <w:r>
        <w:rPr>
          <w:color w:val="70726E"/>
          <w:w w:val="105"/>
          <w:sz w:val="21"/>
        </w:rPr>
        <w:t>t</w:t>
      </w:r>
      <w:r>
        <w:rPr>
          <w:color w:val="8A8A89"/>
          <w:w w:val="105"/>
          <w:sz w:val="21"/>
        </w:rPr>
        <w:t>he</w:t>
      </w:r>
      <w:r>
        <w:rPr>
          <w:color w:val="8A8A89"/>
          <w:spacing w:val="-1"/>
          <w:w w:val="105"/>
          <w:sz w:val="21"/>
        </w:rPr>
        <w:t> </w:t>
      </w:r>
      <w:r>
        <w:rPr>
          <w:color w:val="70726E"/>
          <w:w w:val="105"/>
          <w:sz w:val="21"/>
        </w:rPr>
        <w:t>h</w:t>
      </w:r>
      <w:r>
        <w:rPr>
          <w:color w:val="8A8A89"/>
          <w:w w:val="105"/>
          <w:sz w:val="21"/>
        </w:rPr>
        <w:t>!</w:t>
      </w:r>
      <w:r>
        <w:rPr>
          <w:color w:val="A5A5A3"/>
          <w:w w:val="105"/>
          <w:sz w:val="21"/>
        </w:rPr>
        <w:t>i</w:t>
      </w:r>
      <w:r>
        <w:rPr>
          <w:color w:val="8A8A89"/>
          <w:w w:val="105"/>
          <w:sz w:val="21"/>
        </w:rPr>
        <w:t>e o</w:t>
      </w:r>
      <w:r>
        <w:rPr>
          <w:color w:val="A5A5A3"/>
          <w:w w:val="105"/>
          <w:sz w:val="21"/>
        </w:rPr>
        <w:t>l</w:t>
      </w:r>
      <w:r>
        <w:rPr>
          <w:color w:val="A5A5A3"/>
          <w:spacing w:val="25"/>
          <w:w w:val="105"/>
          <w:sz w:val="21"/>
        </w:rPr>
        <w:t> </w:t>
      </w:r>
      <w:r>
        <w:rPr>
          <w:color w:val="8A8A89"/>
          <w:w w:val="105"/>
          <w:sz w:val="21"/>
        </w:rPr>
        <w:t>y</w:t>
      </w:r>
      <w:r>
        <w:rPr>
          <w:color w:val="A5A5A3"/>
          <w:w w:val="105"/>
          <w:sz w:val="21"/>
        </w:rPr>
        <w:t>o</w:t>
      </w:r>
      <w:r>
        <w:rPr>
          <w:color w:val="8A8A89"/>
          <w:w w:val="105"/>
          <w:sz w:val="21"/>
        </w:rPr>
        <w:t>ur</w:t>
      </w:r>
      <w:r>
        <w:rPr>
          <w:color w:val="8A8A89"/>
          <w:spacing w:val="-7"/>
          <w:w w:val="105"/>
          <w:sz w:val="21"/>
        </w:rPr>
        <w:t> </w:t>
      </w:r>
      <w:r>
        <w:rPr>
          <w:color w:val="70726E"/>
          <w:w w:val="105"/>
          <w:sz w:val="21"/>
        </w:rPr>
        <w:t>Q</w:t>
      </w:r>
      <w:r>
        <w:rPr>
          <w:color w:val="8A8A89"/>
          <w:w w:val="105"/>
          <w:sz w:val="21"/>
        </w:rPr>
        <w:t>ua</w:t>
      </w:r>
      <w:r>
        <w:rPr>
          <w:color w:val="A5A5A3"/>
          <w:w w:val="105"/>
          <w:sz w:val="21"/>
        </w:rPr>
        <w:t>l</w:t>
      </w:r>
      <w:r>
        <w:rPr>
          <w:color w:val="70726E"/>
          <w:w w:val="105"/>
          <w:sz w:val="21"/>
        </w:rPr>
        <w:t>i</w:t>
      </w:r>
      <w:r>
        <w:rPr>
          <w:color w:val="8A8A89"/>
          <w:w w:val="105"/>
          <w:sz w:val="21"/>
        </w:rPr>
        <w:t>ty Cnr</w:t>
      </w:r>
      <w:r>
        <w:rPr>
          <w:color w:val="70726E"/>
          <w:w w:val="105"/>
          <w:sz w:val="21"/>
        </w:rPr>
        <w:t>,</w:t>
      </w:r>
      <w:r>
        <w:rPr>
          <w:color w:val="8A8A89"/>
          <w:w w:val="105"/>
          <w:sz w:val="21"/>
        </w:rPr>
        <w:t>ance</w:t>
      </w:r>
      <w:r>
        <w:rPr>
          <w:color w:val="70726E"/>
          <w:w w:val="105"/>
          <w:sz w:val="21"/>
        </w:rPr>
        <w:t>m</w:t>
      </w:r>
      <w:r>
        <w:rPr>
          <w:color w:val="8A8A89"/>
          <w:w w:val="105"/>
          <w:sz w:val="21"/>
        </w:rPr>
        <w:t>ent</w:t>
      </w:r>
      <w:r>
        <w:rPr>
          <w:color w:val="8A8A89"/>
          <w:spacing w:val="-20"/>
          <w:w w:val="105"/>
          <w:sz w:val="21"/>
        </w:rPr>
        <w:t> </w:t>
      </w:r>
      <w:r>
        <w:rPr>
          <w:color w:val="8A8A89"/>
          <w:w w:val="105"/>
          <w:sz w:val="21"/>
        </w:rPr>
        <w:t>P</w:t>
      </w:r>
      <w:r>
        <w:rPr>
          <w:color w:val="A5A5A3"/>
          <w:w w:val="105"/>
          <w:sz w:val="21"/>
        </w:rPr>
        <w:t>l</w:t>
      </w:r>
      <w:r>
        <w:rPr>
          <w:color w:val="8A8A89"/>
          <w:w w:val="105"/>
          <w:sz w:val="21"/>
        </w:rPr>
        <w:t>an,</w:t>
      </w:r>
      <w:r>
        <w:rPr>
          <w:color w:val="8A8A89"/>
          <w:spacing w:val="-15"/>
          <w:w w:val="105"/>
          <w:sz w:val="21"/>
        </w:rPr>
        <w:t> </w:t>
      </w:r>
      <w:r>
        <w:rPr>
          <w:color w:val="8A8A89"/>
          <w:w w:val="105"/>
          <w:sz w:val="21"/>
        </w:rPr>
        <w:t>l2) </w:t>
      </w:r>
      <w:r>
        <w:rPr>
          <w:color w:val="70726E"/>
          <w:w w:val="105"/>
          <w:sz w:val="21"/>
        </w:rPr>
        <w:t>1</w:t>
      </w:r>
      <w:r>
        <w:rPr>
          <w:color w:val="8A8A89"/>
          <w:w w:val="105"/>
          <w:sz w:val="21"/>
        </w:rPr>
        <w:t>·ou</w:t>
      </w:r>
      <w:r>
        <w:rPr>
          <w:color w:val="70726E"/>
          <w:w w:val="105"/>
          <w:sz w:val="21"/>
        </w:rPr>
        <w:t>1 i</w:t>
      </w:r>
      <w:r>
        <w:rPr>
          <w:color w:val="575756"/>
          <w:w w:val="105"/>
          <w:sz w:val="21"/>
        </w:rPr>
        <w:t>n</w:t>
      </w:r>
      <w:r>
        <w:rPr>
          <w:color w:val="70726E"/>
          <w:w w:val="105"/>
          <w:sz w:val="21"/>
        </w:rPr>
        <w:t>stit</w:t>
      </w:r>
      <w:r>
        <w:rPr>
          <w:color w:val="575756"/>
          <w:w w:val="105"/>
          <w:sz w:val="21"/>
        </w:rPr>
        <w:t>ut</w:t>
      </w:r>
      <w:r>
        <w:rPr>
          <w:color w:val="70726E"/>
          <w:w w:val="105"/>
          <w:sz w:val="21"/>
        </w:rPr>
        <w:t>i</w:t>
      </w:r>
      <w:r>
        <w:rPr>
          <w:color w:val="575756"/>
          <w:w w:val="105"/>
          <w:sz w:val="21"/>
        </w:rPr>
        <w:t>on</w:t>
      </w:r>
      <w:r>
        <w:rPr>
          <w:color w:val="70726E"/>
          <w:w w:val="105"/>
          <w:sz w:val="21"/>
        </w:rPr>
        <w:t>'</w:t>
      </w:r>
      <w:r>
        <w:rPr>
          <w:color w:val="444444"/>
          <w:w w:val="105"/>
          <w:sz w:val="21"/>
        </w:rPr>
        <w:t>s </w:t>
      </w:r>
      <w:r>
        <w:rPr>
          <w:color w:val="575756"/>
          <w:w w:val="105"/>
          <w:sz w:val="21"/>
        </w:rPr>
        <w:t>n</w:t>
      </w:r>
      <w:r>
        <w:rPr>
          <w:color w:val="70726E"/>
          <w:w w:val="105"/>
          <w:sz w:val="21"/>
        </w:rPr>
        <w:t>ame,</w:t>
      </w:r>
      <w:r>
        <w:rPr>
          <w:color w:val="70726E"/>
          <w:spacing w:val="-12"/>
          <w:w w:val="105"/>
          <w:sz w:val="21"/>
        </w:rPr>
        <w:t> </w:t>
      </w:r>
      <w:r>
        <w:rPr>
          <w:color w:val="575756"/>
          <w:w w:val="105"/>
          <w:sz w:val="21"/>
        </w:rPr>
        <w:t>a</w:t>
      </w:r>
      <w:r>
        <w:rPr>
          <w:color w:val="333433"/>
          <w:w w:val="105"/>
          <w:sz w:val="21"/>
        </w:rPr>
        <w:t>n</w:t>
      </w:r>
      <w:r>
        <w:rPr>
          <w:color w:val="575756"/>
          <w:w w:val="105"/>
          <w:sz w:val="21"/>
        </w:rPr>
        <w:t>d </w:t>
      </w:r>
      <w:r>
        <w:rPr>
          <w:color w:val="70726E"/>
          <w:w w:val="105"/>
          <w:sz w:val="21"/>
        </w:rPr>
        <w:t>(</w:t>
      </w:r>
      <w:r>
        <w:rPr>
          <w:color w:val="575756"/>
          <w:w w:val="105"/>
          <w:sz w:val="21"/>
        </w:rPr>
        <w:t>3)</w:t>
      </w:r>
      <w:r>
        <w:rPr>
          <w:color w:val="575756"/>
          <w:spacing w:val="-1"/>
          <w:w w:val="105"/>
          <w:sz w:val="21"/>
        </w:rPr>
        <w:t> </w:t>
      </w:r>
      <w:r>
        <w:rPr>
          <w:color w:val="70726E"/>
          <w:w w:val="105"/>
          <w:sz w:val="21"/>
        </w:rPr>
        <w:t>l</w:t>
      </w:r>
      <w:r>
        <w:rPr>
          <w:color w:val="575756"/>
          <w:w w:val="105"/>
          <w:sz w:val="21"/>
        </w:rPr>
        <w:t>h</w:t>
      </w:r>
      <w:r>
        <w:rPr>
          <w:color w:val="70726E"/>
          <w:w w:val="105"/>
          <w:sz w:val="21"/>
        </w:rPr>
        <w:t>e</w:t>
      </w:r>
      <w:r>
        <w:rPr>
          <w:color w:val="70726E"/>
          <w:spacing w:val="-5"/>
          <w:w w:val="105"/>
          <w:sz w:val="21"/>
        </w:rPr>
        <w:t> </w:t>
      </w:r>
      <w:r>
        <w:rPr>
          <w:color w:val="575756"/>
          <w:w w:val="105"/>
          <w:sz w:val="21"/>
        </w:rPr>
        <w:t>name</w:t>
      </w:r>
      <w:r>
        <w:rPr>
          <w:color w:val="70726E"/>
          <w:w w:val="105"/>
          <w:sz w:val="21"/>
        </w:rPr>
        <w:t>,</w:t>
      </w:r>
      <w:r>
        <w:rPr>
          <w:color w:val="70726E"/>
          <w:spacing w:val="-18"/>
          <w:w w:val="105"/>
          <w:sz w:val="21"/>
        </w:rPr>
        <w:t> </w:t>
      </w:r>
      <w:r>
        <w:rPr>
          <w:color w:val="575756"/>
          <w:w w:val="105"/>
          <w:sz w:val="21"/>
        </w:rPr>
        <w:t>lill</w:t>
      </w:r>
      <w:r>
        <w:rPr>
          <w:color w:val="70726E"/>
          <w:w w:val="105"/>
          <w:sz w:val="21"/>
        </w:rPr>
        <w:t>e</w:t>
      </w:r>
      <w:r>
        <w:rPr>
          <w:color w:val="575756"/>
          <w:w w:val="105"/>
          <w:sz w:val="21"/>
        </w:rPr>
        <w:t>,</w:t>
      </w:r>
      <w:r>
        <w:rPr>
          <w:color w:val="575756"/>
          <w:spacing w:val="-12"/>
          <w:w w:val="105"/>
          <w:sz w:val="21"/>
        </w:rPr>
        <w:t> </w:t>
      </w:r>
      <w:r>
        <w:rPr>
          <w:color w:val="70726E"/>
          <w:w w:val="105"/>
          <w:sz w:val="21"/>
        </w:rPr>
        <w:t>a</w:t>
      </w:r>
      <w:r>
        <w:rPr>
          <w:color w:val="333433"/>
          <w:w w:val="105"/>
          <w:sz w:val="21"/>
        </w:rPr>
        <w:t>n</w:t>
      </w:r>
      <w:r>
        <w:rPr>
          <w:color w:val="575756"/>
          <w:w w:val="105"/>
          <w:sz w:val="21"/>
        </w:rPr>
        <w:t>d e</w:t>
      </w:r>
      <w:r>
        <w:rPr>
          <w:color w:val="70726E"/>
          <w:w w:val="105"/>
          <w:sz w:val="21"/>
        </w:rPr>
        <w:t>m</w:t>
      </w:r>
      <w:r>
        <w:rPr>
          <w:color w:val="575756"/>
          <w:w w:val="105"/>
          <w:sz w:val="21"/>
        </w:rPr>
        <w:t>a</w:t>
      </w:r>
      <w:r>
        <w:rPr>
          <w:color w:val="70726E"/>
          <w:w w:val="105"/>
          <w:sz w:val="21"/>
        </w:rPr>
        <w:t>i</w:t>
      </w:r>
      <w:r>
        <w:rPr>
          <w:color w:val="333433"/>
          <w:w w:val="105"/>
          <w:sz w:val="21"/>
        </w:rPr>
        <w:t>l</w:t>
      </w:r>
      <w:r>
        <w:rPr>
          <w:color w:val="333433"/>
          <w:spacing w:val="-15"/>
          <w:w w:val="105"/>
          <w:sz w:val="21"/>
        </w:rPr>
        <w:t> </w:t>
      </w:r>
      <w:r>
        <w:rPr>
          <w:color w:val="70726E"/>
          <w:w w:val="105"/>
          <w:sz w:val="21"/>
        </w:rPr>
        <w:t>a</w:t>
      </w:r>
      <w:r>
        <w:rPr>
          <w:color w:val="575756"/>
          <w:w w:val="105"/>
          <w:sz w:val="21"/>
        </w:rPr>
        <w:t>d</w:t>
      </w:r>
      <w:r>
        <w:rPr>
          <w:color w:val="70726E"/>
          <w:w w:val="105"/>
          <w:sz w:val="21"/>
        </w:rPr>
        <w:t>d</w:t>
      </w:r>
      <w:r>
        <w:rPr>
          <w:color w:val="444444"/>
          <w:w w:val="105"/>
          <w:sz w:val="21"/>
        </w:rPr>
        <w:t>ress</w:t>
      </w:r>
      <w:r>
        <w:rPr>
          <w:color w:val="444444"/>
          <w:spacing w:val="-1"/>
          <w:w w:val="105"/>
          <w:sz w:val="21"/>
        </w:rPr>
        <w:t> </w:t>
      </w:r>
      <w:r>
        <w:rPr>
          <w:color w:val="70726E"/>
          <w:w w:val="105"/>
          <w:sz w:val="21"/>
        </w:rPr>
        <w:t>o</w:t>
      </w:r>
      <w:r>
        <w:rPr>
          <w:color w:val="575756"/>
          <w:w w:val="105"/>
          <w:sz w:val="21"/>
        </w:rPr>
        <w:t>r</w:t>
      </w:r>
      <w:r>
        <w:rPr>
          <w:color w:val="575756"/>
          <w:spacing w:val="-24"/>
          <w:w w:val="105"/>
          <w:sz w:val="21"/>
        </w:rPr>
        <w:t> </w:t>
      </w:r>
      <w:r>
        <w:rPr>
          <w:color w:val="70726E"/>
          <w:w w:val="105"/>
          <w:sz w:val="21"/>
        </w:rPr>
        <w:t>a</w:t>
      </w:r>
      <w:r>
        <w:rPr>
          <w:color w:val="444444"/>
          <w:w w:val="105"/>
          <w:sz w:val="21"/>
        </w:rPr>
        <w:t>n</w:t>
      </w:r>
      <w:r>
        <w:rPr>
          <w:color w:val="444444"/>
          <w:spacing w:val="-20"/>
          <w:w w:val="105"/>
          <w:sz w:val="21"/>
        </w:rPr>
        <w:t> </w:t>
      </w:r>
      <w:r>
        <w:rPr>
          <w:color w:val="8A8A89"/>
          <w:w w:val="105"/>
          <w:sz w:val="21"/>
        </w:rPr>
        <w:t>i</w:t>
      </w:r>
      <w:r>
        <w:rPr>
          <w:color w:val="575756"/>
          <w:w w:val="105"/>
          <w:sz w:val="21"/>
        </w:rPr>
        <w:t>nd</w:t>
      </w:r>
      <w:r>
        <w:rPr>
          <w:color w:val="70726E"/>
          <w:w w:val="105"/>
          <w:sz w:val="21"/>
        </w:rPr>
        <w:t>i</w:t>
      </w:r>
      <w:r>
        <w:rPr>
          <w:color w:val="575756"/>
          <w:w w:val="105"/>
          <w:sz w:val="21"/>
        </w:rPr>
        <w:t>vidua</w:t>
      </w:r>
      <w:r>
        <w:rPr>
          <w:color w:val="8A8A89"/>
          <w:w w:val="105"/>
          <w:sz w:val="21"/>
        </w:rPr>
        <w:t>l </w:t>
      </w:r>
      <w:r>
        <w:rPr>
          <w:color w:val="575756"/>
          <w:w w:val="105"/>
          <w:sz w:val="21"/>
        </w:rPr>
        <w:t>wh</w:t>
      </w:r>
      <w:r>
        <w:rPr>
          <w:color w:val="70726E"/>
          <w:w w:val="105"/>
          <w:sz w:val="21"/>
        </w:rPr>
        <w:t>o </w:t>
      </w:r>
      <w:r>
        <w:rPr>
          <w:color w:val="575756"/>
          <w:w w:val="105"/>
          <w:sz w:val="21"/>
        </w:rPr>
        <w:t>ca</w:t>
      </w:r>
      <w:r>
        <w:rPr>
          <w:color w:val="333433"/>
          <w:w w:val="105"/>
          <w:sz w:val="21"/>
        </w:rPr>
        <w:t>n</w:t>
      </w:r>
      <w:r>
        <w:rPr>
          <w:color w:val="333433"/>
          <w:spacing w:val="-5"/>
          <w:w w:val="105"/>
          <w:sz w:val="21"/>
        </w:rPr>
        <w:t> </w:t>
      </w:r>
      <w:r>
        <w:rPr>
          <w:color w:val="575756"/>
          <w:w w:val="105"/>
          <w:sz w:val="21"/>
        </w:rPr>
        <w:t>b</w:t>
      </w:r>
      <w:r>
        <w:rPr>
          <w:color w:val="70726E"/>
          <w:w w:val="105"/>
          <w:sz w:val="21"/>
        </w:rPr>
        <w:t>e c</w:t>
      </w:r>
      <w:r>
        <w:rPr>
          <w:color w:val="575756"/>
          <w:w w:val="105"/>
          <w:sz w:val="21"/>
        </w:rPr>
        <w:t>o</w:t>
      </w:r>
      <w:r>
        <w:rPr>
          <w:color w:val="70726E"/>
          <w:w w:val="105"/>
          <w:sz w:val="21"/>
        </w:rPr>
        <w:t>n</w:t>
      </w:r>
      <w:r>
        <w:rPr>
          <w:color w:val="575756"/>
          <w:w w:val="105"/>
          <w:sz w:val="21"/>
        </w:rPr>
        <w:t>t</w:t>
      </w:r>
      <w:r>
        <w:rPr>
          <w:color w:val="70726E"/>
          <w:w w:val="105"/>
          <w:sz w:val="21"/>
        </w:rPr>
        <w:t>ac</w:t>
      </w:r>
      <w:r>
        <w:rPr>
          <w:color w:val="444444"/>
          <w:w w:val="105"/>
          <w:sz w:val="21"/>
        </w:rPr>
        <w:t>ted</w:t>
      </w:r>
      <w:r>
        <w:rPr>
          <w:color w:val="444444"/>
          <w:spacing w:val="-6"/>
          <w:w w:val="105"/>
          <w:sz w:val="21"/>
        </w:rPr>
        <w:t> </w:t>
      </w:r>
      <w:r>
        <w:rPr>
          <w:color w:val="333433"/>
          <w:w w:val="105"/>
          <w:sz w:val="21"/>
        </w:rPr>
        <w:t>r</w:t>
      </w:r>
      <w:r>
        <w:rPr>
          <w:color w:val="575756"/>
          <w:w w:val="105"/>
          <w:sz w:val="21"/>
        </w:rPr>
        <w:t>egar</w:t>
      </w:r>
      <w:r>
        <w:rPr>
          <w:color w:val="70726E"/>
          <w:w w:val="105"/>
          <w:sz w:val="21"/>
        </w:rPr>
        <w:t>d</w:t>
      </w:r>
      <w:r>
        <w:rPr>
          <w:color w:val="575756"/>
          <w:w w:val="105"/>
          <w:sz w:val="21"/>
        </w:rPr>
        <w:t>ing </w:t>
      </w:r>
      <w:r>
        <w:rPr>
          <w:color w:val="212121"/>
          <w:w w:val="105"/>
          <w:sz w:val="21"/>
        </w:rPr>
        <w:t>ils</w:t>
      </w:r>
      <w:r>
        <w:rPr>
          <w:color w:val="212121"/>
          <w:spacing w:val="25"/>
          <w:w w:val="105"/>
          <w:sz w:val="21"/>
        </w:rPr>
        <w:t> </w:t>
      </w:r>
      <w:r>
        <w:rPr>
          <w:color w:val="333433"/>
          <w:w w:val="105"/>
          <w:sz w:val="21"/>
        </w:rPr>
        <w:t>d</w:t>
      </w:r>
      <w:r>
        <w:rPr>
          <w:color w:val="70726E"/>
          <w:w w:val="105"/>
          <w:sz w:val="21"/>
        </w:rPr>
        <w:t>e</w:t>
      </w:r>
      <w:r>
        <w:rPr>
          <w:color w:val="575756"/>
          <w:w w:val="105"/>
          <w:sz w:val="21"/>
        </w:rPr>
        <w:t>v</w:t>
      </w:r>
      <w:r>
        <w:rPr>
          <w:color w:val="70726E"/>
          <w:w w:val="105"/>
          <w:sz w:val="21"/>
        </w:rPr>
        <w:t>elo</w:t>
      </w:r>
      <w:r>
        <w:rPr>
          <w:color w:val="575756"/>
          <w:w w:val="105"/>
          <w:sz w:val="21"/>
        </w:rPr>
        <w:t>pme</w:t>
      </w:r>
      <w:r>
        <w:rPr>
          <w:color w:val="333433"/>
          <w:w w:val="105"/>
          <w:sz w:val="21"/>
        </w:rPr>
        <w:t>nt</w:t>
      </w:r>
      <w:r>
        <w:rPr>
          <w:color w:val="333433"/>
          <w:spacing w:val="-13"/>
          <w:w w:val="105"/>
          <w:sz w:val="21"/>
        </w:rPr>
        <w:t> </w:t>
      </w:r>
      <w:r>
        <w:rPr>
          <w:color w:val="575756"/>
          <w:w w:val="105"/>
          <w:sz w:val="21"/>
        </w:rPr>
        <w:t>o</w:t>
      </w:r>
      <w:r>
        <w:rPr>
          <w:color w:val="333433"/>
          <w:w w:val="105"/>
          <w:sz w:val="21"/>
        </w:rPr>
        <w:t>r</w:t>
      </w:r>
      <w:r>
        <w:rPr>
          <w:color w:val="333433"/>
          <w:spacing w:val="-16"/>
          <w:w w:val="105"/>
          <w:sz w:val="21"/>
        </w:rPr>
        <w:t> </w:t>
      </w:r>
      <w:r>
        <w:rPr>
          <w:color w:val="70726E"/>
          <w:w w:val="105"/>
          <w:sz w:val="21"/>
        </w:rPr>
        <w:t>imple</w:t>
      </w:r>
      <w:r>
        <w:rPr>
          <w:color w:val="575756"/>
          <w:w w:val="105"/>
          <w:sz w:val="21"/>
        </w:rPr>
        <w:t>me</w:t>
      </w:r>
      <w:r>
        <w:rPr>
          <w:color w:val="333433"/>
          <w:w w:val="105"/>
          <w:sz w:val="21"/>
        </w:rPr>
        <w:t>n</w:t>
      </w:r>
      <w:r>
        <w:rPr>
          <w:color w:val="575756"/>
          <w:w w:val="105"/>
          <w:sz w:val="21"/>
        </w:rPr>
        <w:t>ta</w:t>
      </w:r>
      <w:r>
        <w:rPr>
          <w:color w:val="333433"/>
          <w:w w:val="105"/>
          <w:sz w:val="21"/>
        </w:rPr>
        <w:t>ti</w:t>
      </w:r>
      <w:r>
        <w:rPr>
          <w:color w:val="70726E"/>
          <w:w w:val="105"/>
          <w:sz w:val="21"/>
        </w:rPr>
        <w:t>o</w:t>
      </w:r>
      <w:r>
        <w:rPr>
          <w:color w:val="575756"/>
          <w:w w:val="105"/>
          <w:sz w:val="21"/>
        </w:rPr>
        <w:t>n</w:t>
      </w:r>
      <w:r>
        <w:rPr>
          <w:color w:val="A5A5A3"/>
          <w:w w:val="105"/>
          <w:sz w:val="21"/>
        </w:rPr>
        <w:t>.</w:t>
      </w:r>
      <w:r>
        <w:rPr>
          <w:color w:val="A5A5A3"/>
          <w:spacing w:val="-25"/>
          <w:w w:val="105"/>
          <w:sz w:val="21"/>
        </w:rPr>
        <w:t> </w:t>
      </w:r>
      <w:r>
        <w:rPr>
          <w:color w:val="333433"/>
          <w:w w:val="105"/>
          <w:sz w:val="21"/>
        </w:rPr>
        <w:t>Thi</w:t>
      </w:r>
      <w:r>
        <w:rPr>
          <w:color w:val="575756"/>
          <w:w w:val="105"/>
          <w:sz w:val="21"/>
        </w:rPr>
        <w:t>s</w:t>
      </w:r>
      <w:r>
        <w:rPr>
          <w:color w:val="575756"/>
          <w:spacing w:val="-2"/>
          <w:w w:val="105"/>
          <w:sz w:val="21"/>
        </w:rPr>
        <w:t> </w:t>
      </w:r>
      <w:r>
        <w:rPr>
          <w:color w:val="575756"/>
          <w:w w:val="105"/>
          <w:sz w:val="21"/>
        </w:rPr>
        <w:t>su</w:t>
      </w:r>
      <w:r>
        <w:rPr>
          <w:color w:val="70726E"/>
          <w:w w:val="105"/>
          <w:sz w:val="21"/>
        </w:rPr>
        <w:t>mma</w:t>
      </w:r>
      <w:r>
        <w:rPr>
          <w:color w:val="575756"/>
          <w:w w:val="105"/>
          <w:sz w:val="21"/>
        </w:rPr>
        <w:t>ry w</w:t>
      </w:r>
      <w:r>
        <w:rPr>
          <w:color w:val="70726E"/>
          <w:w w:val="105"/>
          <w:sz w:val="21"/>
        </w:rPr>
        <w:t>ill be p</w:t>
      </w:r>
      <w:r>
        <w:rPr>
          <w:color w:val="575756"/>
          <w:w w:val="105"/>
          <w:sz w:val="21"/>
        </w:rPr>
        <w:t>o</w:t>
      </w:r>
      <w:r>
        <w:rPr>
          <w:color w:val="70726E"/>
          <w:w w:val="105"/>
          <w:sz w:val="21"/>
        </w:rPr>
        <w:t>s</w:t>
      </w:r>
      <w:r>
        <w:rPr>
          <w:color w:val="575756"/>
          <w:w w:val="105"/>
          <w:sz w:val="21"/>
        </w:rPr>
        <w:t>ted </w:t>
      </w:r>
      <w:r>
        <w:rPr>
          <w:color w:val="70726E"/>
          <w:w w:val="105"/>
          <w:sz w:val="21"/>
        </w:rPr>
        <w:t>to t</w:t>
      </w:r>
      <w:r>
        <w:rPr>
          <w:color w:val="575756"/>
          <w:w w:val="105"/>
          <w:sz w:val="21"/>
        </w:rPr>
        <w:t>h</w:t>
      </w:r>
      <w:r>
        <w:rPr>
          <w:color w:val="70726E"/>
          <w:w w:val="105"/>
          <w:sz w:val="21"/>
        </w:rPr>
        <w:t>e Co</w:t>
      </w:r>
      <w:r>
        <w:rPr>
          <w:color w:val="575756"/>
          <w:w w:val="105"/>
          <w:sz w:val="21"/>
        </w:rPr>
        <w:t>mm</w:t>
      </w:r>
      <w:r>
        <w:rPr>
          <w:color w:val="70726E"/>
          <w:w w:val="105"/>
          <w:sz w:val="21"/>
        </w:rPr>
        <w:t>ission</w:t>
      </w:r>
      <w:r>
        <w:rPr>
          <w:color w:val="8A8A89"/>
          <w:w w:val="105"/>
          <w:sz w:val="21"/>
        </w:rPr>
        <w:t>'</w:t>
      </w:r>
      <w:r>
        <w:rPr>
          <w:color w:val="70726E"/>
          <w:w w:val="105"/>
          <w:sz w:val="21"/>
        </w:rPr>
        <w:t>s W</w:t>
      </w:r>
      <w:r>
        <w:rPr>
          <w:color w:val="575756"/>
          <w:w w:val="105"/>
          <w:sz w:val="21"/>
        </w:rPr>
        <w:t>eb </w:t>
      </w:r>
      <w:r>
        <w:rPr>
          <w:color w:val="70726E"/>
          <w:w w:val="105"/>
          <w:sz w:val="21"/>
        </w:rPr>
        <w:t>site</w:t>
      </w:r>
      <w:r>
        <w:rPr>
          <w:color w:val="70726E"/>
          <w:spacing w:val="-7"/>
          <w:w w:val="105"/>
          <w:sz w:val="21"/>
        </w:rPr>
        <w:t> </w:t>
      </w:r>
      <w:r>
        <w:rPr>
          <w:color w:val="70726E"/>
          <w:w w:val="105"/>
          <w:sz w:val="21"/>
        </w:rPr>
        <w:t>a</w:t>
      </w:r>
      <w:r>
        <w:rPr>
          <w:color w:val="8A8A89"/>
          <w:w w:val="105"/>
          <w:sz w:val="21"/>
        </w:rPr>
        <w:t>s </w:t>
      </w:r>
      <w:r>
        <w:rPr>
          <w:color w:val="70726E"/>
          <w:w w:val="105"/>
          <w:sz w:val="21"/>
        </w:rPr>
        <w:t>a </w:t>
      </w:r>
      <w:r>
        <w:rPr>
          <w:color w:val="444444"/>
          <w:w w:val="105"/>
          <w:sz w:val="21"/>
        </w:rPr>
        <w:t>r</w:t>
      </w:r>
      <w:r>
        <w:rPr>
          <w:color w:val="70726E"/>
          <w:w w:val="105"/>
          <w:sz w:val="21"/>
        </w:rPr>
        <w:t>esource for</w:t>
      </w:r>
      <w:r>
        <w:rPr>
          <w:color w:val="70726E"/>
          <w:spacing w:val="-27"/>
          <w:w w:val="105"/>
          <w:sz w:val="21"/>
        </w:rPr>
        <w:t> </w:t>
      </w:r>
      <w:r>
        <w:rPr>
          <w:color w:val="70726E"/>
          <w:w w:val="105"/>
          <w:sz w:val="21"/>
        </w:rPr>
        <w:t>o</w:t>
      </w:r>
      <w:r>
        <w:rPr>
          <w:color w:val="575756"/>
          <w:w w:val="105"/>
          <w:sz w:val="21"/>
        </w:rPr>
        <w:t>the</w:t>
      </w:r>
      <w:r>
        <w:rPr>
          <w:color w:val="70726E"/>
          <w:w w:val="105"/>
          <w:sz w:val="21"/>
        </w:rPr>
        <w:t>r</w:t>
      </w:r>
      <w:r>
        <w:rPr>
          <w:color w:val="70726E"/>
          <w:spacing w:val="-10"/>
          <w:w w:val="105"/>
          <w:sz w:val="21"/>
        </w:rPr>
        <w:t> </w:t>
      </w:r>
      <w:r>
        <w:rPr>
          <w:color w:val="575756"/>
          <w:w w:val="105"/>
          <w:sz w:val="21"/>
        </w:rPr>
        <w:t>i</w:t>
      </w:r>
      <w:r>
        <w:rPr>
          <w:color w:val="70726E"/>
          <w:w w:val="105"/>
          <w:sz w:val="21"/>
        </w:rPr>
        <w:t>nsti</w:t>
      </w:r>
      <w:r>
        <w:rPr>
          <w:color w:val="575756"/>
          <w:w w:val="105"/>
          <w:sz w:val="21"/>
        </w:rPr>
        <w:t>t</w:t>
      </w:r>
      <w:r>
        <w:rPr>
          <w:color w:val="70726E"/>
          <w:w w:val="105"/>
          <w:sz w:val="21"/>
        </w:rPr>
        <w:t>uti</w:t>
      </w:r>
      <w:r>
        <w:rPr>
          <w:color w:val="575756"/>
          <w:w w:val="105"/>
          <w:sz w:val="21"/>
        </w:rPr>
        <w:t>o</w:t>
      </w:r>
      <w:r>
        <w:rPr>
          <w:color w:val="70726E"/>
          <w:w w:val="105"/>
          <w:sz w:val="21"/>
        </w:rPr>
        <w:t>n</w:t>
      </w:r>
      <w:r>
        <w:rPr>
          <w:color w:val="575756"/>
          <w:w w:val="105"/>
          <w:sz w:val="21"/>
        </w:rPr>
        <w:t>s </w:t>
      </w:r>
      <w:r>
        <w:rPr>
          <w:color w:val="70726E"/>
          <w:w w:val="105"/>
          <w:sz w:val="21"/>
        </w:rPr>
        <w:t>undergo</w:t>
      </w:r>
      <w:r>
        <w:rPr>
          <w:color w:val="8A8A89"/>
          <w:w w:val="105"/>
          <w:sz w:val="21"/>
        </w:rPr>
        <w:t>i</w:t>
      </w:r>
      <w:r>
        <w:rPr>
          <w:color w:val="70726E"/>
          <w:w w:val="105"/>
          <w:sz w:val="21"/>
        </w:rPr>
        <w:t>ng</w:t>
      </w:r>
      <w:r>
        <w:rPr>
          <w:color w:val="70726E"/>
          <w:spacing w:val="31"/>
          <w:w w:val="105"/>
          <w:sz w:val="21"/>
        </w:rPr>
        <w:t> </w:t>
      </w:r>
      <w:r>
        <w:rPr>
          <w:color w:val="575756"/>
          <w:w w:val="105"/>
          <w:sz w:val="21"/>
        </w:rPr>
        <w:t>th</w:t>
      </w:r>
      <w:r>
        <w:rPr>
          <w:color w:val="8A8A89"/>
          <w:w w:val="105"/>
          <w:sz w:val="21"/>
        </w:rPr>
        <w:t>e re</w:t>
      </w:r>
      <w:r>
        <w:rPr>
          <w:color w:val="70726E"/>
          <w:w w:val="105"/>
          <w:sz w:val="21"/>
        </w:rPr>
        <w:t>affirm</w:t>
      </w:r>
      <w:r>
        <w:rPr>
          <w:color w:val="575756"/>
          <w:w w:val="105"/>
          <w:sz w:val="21"/>
        </w:rPr>
        <w:t>a</w:t>
      </w:r>
      <w:r>
        <w:rPr>
          <w:color w:val="70726E"/>
          <w:w w:val="105"/>
          <w:sz w:val="21"/>
        </w:rPr>
        <w:t>tion p</w:t>
      </w:r>
      <w:r>
        <w:rPr>
          <w:color w:val="8A8A89"/>
          <w:w w:val="105"/>
          <w:sz w:val="21"/>
        </w:rPr>
        <w:t>r</w:t>
      </w:r>
      <w:r>
        <w:rPr>
          <w:color w:val="70726E"/>
          <w:w w:val="105"/>
          <w:sz w:val="21"/>
        </w:rPr>
        <w:t>ocess</w:t>
      </w:r>
      <w:r>
        <w:rPr>
          <w:color w:val="B3B3B3"/>
          <w:w w:val="105"/>
          <w:sz w:val="21"/>
        </w:rPr>
        <w:t>.</w:t>
      </w:r>
    </w:p>
    <w:p>
      <w:pPr>
        <w:pStyle w:val="BodyText"/>
        <w:spacing w:before="11"/>
      </w:pPr>
    </w:p>
    <w:p>
      <w:pPr>
        <w:spacing w:line="247" w:lineRule="auto" w:before="0"/>
        <w:ind w:left="557" w:right="1277" w:firstLine="16"/>
        <w:jc w:val="left"/>
        <w:rPr>
          <w:sz w:val="21"/>
        </w:rPr>
      </w:pPr>
      <w:r>
        <w:rPr>
          <w:color w:val="575756"/>
          <w:w w:val="105"/>
          <w:sz w:val="21"/>
        </w:rPr>
        <w:t>A</w:t>
      </w:r>
      <w:r>
        <w:rPr>
          <w:color w:val="70726E"/>
          <w:w w:val="105"/>
          <w:sz w:val="21"/>
        </w:rPr>
        <w:t>ll</w:t>
      </w:r>
      <w:r>
        <w:rPr>
          <w:color w:val="70726E"/>
          <w:spacing w:val="-22"/>
          <w:w w:val="105"/>
          <w:sz w:val="21"/>
        </w:rPr>
        <w:t> </w:t>
      </w:r>
      <w:r>
        <w:rPr>
          <w:color w:val="8A8A89"/>
          <w:w w:val="105"/>
          <w:sz w:val="21"/>
        </w:rPr>
        <w:t>i</w:t>
      </w:r>
      <w:r>
        <w:rPr>
          <w:color w:val="444444"/>
          <w:w w:val="105"/>
          <w:sz w:val="21"/>
        </w:rPr>
        <w:t>n</w:t>
      </w:r>
      <w:r>
        <w:rPr>
          <w:color w:val="70726E"/>
          <w:w w:val="105"/>
          <w:sz w:val="21"/>
        </w:rPr>
        <w:t>s</w:t>
      </w:r>
      <w:r>
        <w:rPr>
          <w:color w:val="444444"/>
          <w:w w:val="105"/>
          <w:sz w:val="21"/>
        </w:rPr>
        <w:t>tit</w:t>
      </w:r>
      <w:r>
        <w:rPr>
          <w:color w:val="70726E"/>
          <w:w w:val="105"/>
          <w:sz w:val="21"/>
        </w:rPr>
        <w:t>u</w:t>
      </w:r>
      <w:r>
        <w:rPr>
          <w:color w:val="333433"/>
          <w:w w:val="105"/>
          <w:sz w:val="21"/>
        </w:rPr>
        <w:t>ti</w:t>
      </w:r>
      <w:r>
        <w:rPr>
          <w:color w:val="575756"/>
          <w:w w:val="105"/>
          <w:sz w:val="21"/>
        </w:rPr>
        <w:t>on</w:t>
      </w:r>
      <w:r>
        <w:rPr>
          <w:color w:val="70726E"/>
          <w:w w:val="105"/>
          <w:sz w:val="21"/>
        </w:rPr>
        <w:t>s a</w:t>
      </w:r>
      <w:r>
        <w:rPr>
          <w:color w:val="575756"/>
          <w:w w:val="105"/>
          <w:sz w:val="21"/>
        </w:rPr>
        <w:t>r</w:t>
      </w:r>
      <w:r>
        <w:rPr>
          <w:color w:val="70726E"/>
          <w:w w:val="105"/>
          <w:sz w:val="21"/>
        </w:rPr>
        <w:t>e </w:t>
      </w:r>
      <w:r>
        <w:rPr>
          <w:color w:val="575756"/>
          <w:w w:val="105"/>
          <w:sz w:val="21"/>
        </w:rPr>
        <w:t>r</w:t>
      </w:r>
      <w:r>
        <w:rPr>
          <w:color w:val="70726E"/>
          <w:w w:val="105"/>
          <w:sz w:val="21"/>
        </w:rPr>
        <w:t>e</w:t>
      </w:r>
      <w:r>
        <w:rPr>
          <w:color w:val="575756"/>
          <w:w w:val="105"/>
          <w:sz w:val="21"/>
        </w:rPr>
        <w:t>q</w:t>
      </w:r>
      <w:r>
        <w:rPr>
          <w:color w:val="333433"/>
          <w:w w:val="105"/>
          <w:sz w:val="21"/>
        </w:rPr>
        <w:t>u</w:t>
      </w:r>
      <w:r>
        <w:rPr>
          <w:color w:val="575756"/>
          <w:w w:val="105"/>
          <w:sz w:val="21"/>
        </w:rPr>
        <w:t>est</w:t>
      </w:r>
      <w:r>
        <w:rPr>
          <w:color w:val="70726E"/>
          <w:w w:val="105"/>
          <w:sz w:val="21"/>
        </w:rPr>
        <w:t>ed </w:t>
      </w:r>
      <w:r>
        <w:rPr>
          <w:color w:val="575756"/>
          <w:w w:val="105"/>
          <w:sz w:val="21"/>
        </w:rPr>
        <w:t>t</w:t>
      </w:r>
      <w:r>
        <w:rPr>
          <w:color w:val="70726E"/>
          <w:w w:val="105"/>
          <w:sz w:val="21"/>
        </w:rPr>
        <w:t>o </w:t>
      </w:r>
      <w:r>
        <w:rPr>
          <w:color w:val="575756"/>
          <w:w w:val="105"/>
          <w:sz w:val="21"/>
        </w:rPr>
        <w:t>s</w:t>
      </w:r>
      <w:r>
        <w:rPr>
          <w:color w:val="333433"/>
          <w:w w:val="105"/>
          <w:sz w:val="21"/>
        </w:rPr>
        <w:t>u</w:t>
      </w:r>
      <w:r>
        <w:rPr>
          <w:color w:val="575756"/>
          <w:w w:val="105"/>
          <w:sz w:val="21"/>
        </w:rPr>
        <w:t>bm</w:t>
      </w:r>
      <w:r>
        <w:rPr>
          <w:color w:val="70726E"/>
          <w:w w:val="105"/>
          <w:sz w:val="21"/>
        </w:rPr>
        <w:t>i</w:t>
      </w:r>
      <w:r>
        <w:rPr>
          <w:color w:val="575756"/>
          <w:w w:val="105"/>
          <w:sz w:val="21"/>
        </w:rPr>
        <w:t>l </w:t>
      </w:r>
      <w:r>
        <w:rPr>
          <w:color w:val="70726E"/>
          <w:w w:val="105"/>
          <w:sz w:val="21"/>
        </w:rPr>
        <w:t>a</w:t>
      </w:r>
      <w:r>
        <w:rPr>
          <w:color w:val="575756"/>
          <w:w w:val="105"/>
          <w:sz w:val="21"/>
        </w:rPr>
        <w:t>n "</w:t>
      </w:r>
      <w:r>
        <w:rPr>
          <w:color w:val="212121"/>
          <w:w w:val="105"/>
          <w:sz w:val="21"/>
        </w:rPr>
        <w:t>I</w:t>
      </w:r>
      <w:r>
        <w:rPr>
          <w:color w:val="575756"/>
          <w:w w:val="105"/>
          <w:sz w:val="21"/>
        </w:rPr>
        <w:t>mpac</w:t>
      </w:r>
      <w:r>
        <w:rPr>
          <w:color w:val="70726E"/>
          <w:w w:val="105"/>
          <w:sz w:val="21"/>
        </w:rPr>
        <w:t>t</w:t>
      </w:r>
      <w:r>
        <w:rPr>
          <w:color w:val="70726E"/>
          <w:spacing w:val="-1"/>
          <w:w w:val="105"/>
          <w:sz w:val="21"/>
        </w:rPr>
        <w:t> </w:t>
      </w:r>
      <w:r>
        <w:rPr>
          <w:color w:val="575756"/>
          <w:w w:val="105"/>
          <w:sz w:val="21"/>
        </w:rPr>
        <w:t>R</w:t>
      </w:r>
      <w:r>
        <w:rPr>
          <w:color w:val="70726E"/>
          <w:w w:val="105"/>
          <w:sz w:val="21"/>
        </w:rPr>
        <w:t>ep</w:t>
      </w:r>
      <w:r>
        <w:rPr>
          <w:color w:val="575756"/>
          <w:w w:val="105"/>
          <w:sz w:val="21"/>
        </w:rPr>
        <w:t>o</w:t>
      </w:r>
      <w:r>
        <w:rPr>
          <w:color w:val="333433"/>
          <w:w w:val="105"/>
          <w:sz w:val="21"/>
        </w:rPr>
        <w:t>rt</w:t>
      </w:r>
      <w:r>
        <w:rPr>
          <w:color w:val="333433"/>
          <w:spacing w:val="-4"/>
          <w:w w:val="105"/>
          <w:sz w:val="21"/>
        </w:rPr>
        <w:t> </w:t>
      </w:r>
      <w:r>
        <w:rPr>
          <w:color w:val="70726E"/>
          <w:w w:val="105"/>
          <w:sz w:val="21"/>
        </w:rPr>
        <w:t>of </w:t>
      </w:r>
      <w:r>
        <w:rPr>
          <w:color w:val="575756"/>
          <w:w w:val="105"/>
          <w:sz w:val="21"/>
        </w:rPr>
        <w:t>th</w:t>
      </w:r>
      <w:r>
        <w:rPr>
          <w:color w:val="70726E"/>
          <w:w w:val="105"/>
          <w:sz w:val="21"/>
        </w:rPr>
        <w:t>e </w:t>
      </w:r>
      <w:r>
        <w:rPr>
          <w:color w:val="575756"/>
          <w:w w:val="105"/>
          <w:sz w:val="21"/>
        </w:rPr>
        <w:t>Qu</w:t>
      </w:r>
      <w:r>
        <w:rPr>
          <w:color w:val="70726E"/>
          <w:w w:val="105"/>
          <w:sz w:val="21"/>
        </w:rPr>
        <w:t>a</w:t>
      </w:r>
      <w:r>
        <w:rPr>
          <w:color w:val="333433"/>
          <w:w w:val="105"/>
          <w:sz w:val="21"/>
        </w:rPr>
        <w:t>l</w:t>
      </w:r>
      <w:r>
        <w:rPr>
          <w:color w:val="70726E"/>
          <w:w w:val="105"/>
          <w:sz w:val="21"/>
        </w:rPr>
        <w:t>i</w:t>
      </w:r>
      <w:r>
        <w:rPr>
          <w:color w:val="212121"/>
          <w:w w:val="105"/>
          <w:sz w:val="21"/>
        </w:rPr>
        <w:t>t</w:t>
      </w:r>
      <w:r>
        <w:rPr>
          <w:color w:val="575756"/>
          <w:w w:val="105"/>
          <w:sz w:val="21"/>
        </w:rPr>
        <w:t>y </w:t>
      </w:r>
      <w:r>
        <w:rPr>
          <w:color w:val="333433"/>
          <w:w w:val="105"/>
          <w:sz w:val="21"/>
        </w:rPr>
        <w:t>E</w:t>
      </w:r>
      <w:r>
        <w:rPr>
          <w:color w:val="575756"/>
          <w:w w:val="105"/>
          <w:sz w:val="21"/>
        </w:rPr>
        <w:t>n</w:t>
      </w:r>
      <w:r>
        <w:rPr>
          <w:color w:val="333433"/>
          <w:w w:val="105"/>
          <w:sz w:val="21"/>
        </w:rPr>
        <w:t>h</w:t>
      </w:r>
      <w:r>
        <w:rPr>
          <w:color w:val="70726E"/>
          <w:w w:val="105"/>
          <w:sz w:val="21"/>
        </w:rPr>
        <w:t>ance</w:t>
      </w:r>
      <w:r>
        <w:rPr>
          <w:color w:val="575756"/>
          <w:w w:val="105"/>
          <w:sz w:val="21"/>
        </w:rPr>
        <w:t>men</w:t>
      </w:r>
      <w:r>
        <w:rPr>
          <w:color w:val="70726E"/>
          <w:w w:val="105"/>
          <w:sz w:val="21"/>
        </w:rPr>
        <w:t>t Plan</w:t>
      </w:r>
      <w:r>
        <w:rPr>
          <w:color w:val="70726E"/>
          <w:spacing w:val="-21"/>
          <w:w w:val="105"/>
          <w:sz w:val="21"/>
        </w:rPr>
        <w:t> </w:t>
      </w:r>
      <w:r>
        <w:rPr>
          <w:color w:val="70726E"/>
          <w:w w:val="105"/>
          <w:sz w:val="21"/>
        </w:rPr>
        <w:t>o</w:t>
      </w:r>
      <w:r>
        <w:rPr>
          <w:color w:val="575756"/>
          <w:w w:val="105"/>
          <w:sz w:val="21"/>
        </w:rPr>
        <w:t>n</w:t>
      </w:r>
      <w:r>
        <w:rPr>
          <w:color w:val="575756"/>
          <w:spacing w:val="-16"/>
          <w:w w:val="105"/>
          <w:sz w:val="21"/>
        </w:rPr>
        <w:t> </w:t>
      </w:r>
      <w:r>
        <w:rPr>
          <w:color w:val="333433"/>
          <w:w w:val="105"/>
          <w:sz w:val="21"/>
        </w:rPr>
        <w:t>Stu</w:t>
      </w:r>
      <w:r>
        <w:rPr>
          <w:color w:val="575756"/>
          <w:w w:val="105"/>
          <w:sz w:val="21"/>
        </w:rPr>
        <w:t>de</w:t>
      </w:r>
      <w:r>
        <w:rPr>
          <w:color w:val="70726E"/>
          <w:w w:val="105"/>
          <w:sz w:val="21"/>
        </w:rPr>
        <w:t>nt</w:t>
      </w:r>
      <w:r>
        <w:rPr>
          <w:color w:val="70726E"/>
          <w:spacing w:val="-15"/>
          <w:w w:val="105"/>
          <w:sz w:val="21"/>
        </w:rPr>
        <w:t> </w:t>
      </w:r>
      <w:r>
        <w:rPr>
          <w:color w:val="575756"/>
          <w:w w:val="105"/>
          <w:sz w:val="21"/>
        </w:rPr>
        <w:t>L</w:t>
      </w:r>
      <w:r>
        <w:rPr>
          <w:color w:val="70726E"/>
          <w:w w:val="105"/>
          <w:sz w:val="21"/>
        </w:rPr>
        <w:t>e</w:t>
      </w:r>
      <w:r>
        <w:rPr>
          <w:color w:val="575756"/>
          <w:w w:val="105"/>
          <w:sz w:val="21"/>
        </w:rPr>
        <w:t>arn</w:t>
      </w:r>
      <w:r>
        <w:rPr>
          <w:color w:val="212121"/>
          <w:w w:val="105"/>
          <w:sz w:val="21"/>
        </w:rPr>
        <w:t>i</w:t>
      </w:r>
      <w:r>
        <w:rPr>
          <w:color w:val="70726E"/>
          <w:w w:val="105"/>
          <w:sz w:val="21"/>
        </w:rPr>
        <w:t>n</w:t>
      </w:r>
      <w:r>
        <w:rPr>
          <w:color w:val="575756"/>
          <w:w w:val="105"/>
          <w:sz w:val="21"/>
        </w:rPr>
        <w:t>g</w:t>
      </w:r>
      <w:r>
        <w:rPr>
          <w:color w:val="70726E"/>
          <w:w w:val="105"/>
          <w:sz w:val="21"/>
        </w:rPr>
        <w:t>"</w:t>
      </w:r>
      <w:r>
        <w:rPr>
          <w:color w:val="70726E"/>
          <w:spacing w:val="-11"/>
          <w:w w:val="105"/>
          <w:sz w:val="21"/>
        </w:rPr>
        <w:t> </w:t>
      </w:r>
      <w:r>
        <w:rPr>
          <w:color w:val="70726E"/>
          <w:w w:val="105"/>
          <w:sz w:val="21"/>
        </w:rPr>
        <w:t>as</w:t>
      </w:r>
      <w:r>
        <w:rPr>
          <w:color w:val="70726E"/>
          <w:spacing w:val="-9"/>
          <w:w w:val="105"/>
          <w:sz w:val="21"/>
        </w:rPr>
        <w:t> </w:t>
      </w:r>
      <w:r>
        <w:rPr>
          <w:color w:val="70726E"/>
          <w:w w:val="105"/>
          <w:sz w:val="21"/>
        </w:rPr>
        <w:t>p</w:t>
      </w:r>
      <w:r>
        <w:rPr>
          <w:color w:val="575756"/>
          <w:w w:val="105"/>
          <w:sz w:val="21"/>
        </w:rPr>
        <w:t>art</w:t>
      </w:r>
      <w:r>
        <w:rPr>
          <w:color w:val="575756"/>
          <w:spacing w:val="-16"/>
          <w:w w:val="105"/>
          <w:sz w:val="21"/>
        </w:rPr>
        <w:t> </w:t>
      </w:r>
      <w:r>
        <w:rPr>
          <w:color w:val="575756"/>
          <w:w w:val="105"/>
          <w:sz w:val="21"/>
        </w:rPr>
        <w:t>of</w:t>
      </w:r>
      <w:r>
        <w:rPr>
          <w:color w:val="575756"/>
          <w:spacing w:val="17"/>
          <w:w w:val="105"/>
          <w:sz w:val="21"/>
        </w:rPr>
        <w:t> </w:t>
      </w:r>
      <w:r>
        <w:rPr>
          <w:color w:val="444444"/>
          <w:w w:val="105"/>
          <w:sz w:val="21"/>
        </w:rPr>
        <w:t>th</w:t>
      </w:r>
      <w:r>
        <w:rPr>
          <w:color w:val="70726E"/>
          <w:w w:val="105"/>
          <w:sz w:val="21"/>
        </w:rPr>
        <w:t>e</w:t>
      </w:r>
      <w:r>
        <w:rPr>
          <w:color w:val="575756"/>
          <w:w w:val="105"/>
          <w:sz w:val="21"/>
        </w:rPr>
        <w:t>i</w:t>
      </w:r>
      <w:r>
        <w:rPr>
          <w:color w:val="70726E"/>
          <w:w w:val="105"/>
          <w:sz w:val="21"/>
        </w:rPr>
        <w:t>r</w:t>
      </w:r>
      <w:r>
        <w:rPr>
          <w:color w:val="70726E"/>
          <w:spacing w:val="-6"/>
          <w:w w:val="105"/>
          <w:sz w:val="21"/>
        </w:rPr>
        <w:t> </w:t>
      </w:r>
      <w:r>
        <w:rPr>
          <w:color w:val="70726E"/>
          <w:w w:val="105"/>
          <w:sz w:val="21"/>
        </w:rPr>
        <w:t>"</w:t>
      </w:r>
      <w:r>
        <w:rPr>
          <w:color w:val="575756"/>
          <w:w w:val="105"/>
          <w:sz w:val="21"/>
        </w:rPr>
        <w:t>F</w:t>
      </w:r>
      <w:r>
        <w:rPr>
          <w:color w:val="8A8A89"/>
          <w:w w:val="105"/>
          <w:sz w:val="21"/>
        </w:rPr>
        <w:t>i</w:t>
      </w:r>
      <w:r>
        <w:rPr>
          <w:color w:val="444444"/>
          <w:w w:val="105"/>
          <w:sz w:val="21"/>
        </w:rPr>
        <w:t>fth</w:t>
      </w:r>
      <w:r>
        <w:rPr>
          <w:color w:val="8A8A89"/>
          <w:w w:val="105"/>
          <w:sz w:val="21"/>
        </w:rPr>
        <w:t>-</w:t>
      </w:r>
      <w:r>
        <w:rPr>
          <w:color w:val="575756"/>
          <w:w w:val="105"/>
          <w:sz w:val="21"/>
        </w:rPr>
        <w:t>Y</w:t>
      </w:r>
      <w:r>
        <w:rPr>
          <w:color w:val="70726E"/>
          <w:w w:val="105"/>
          <w:sz w:val="21"/>
        </w:rPr>
        <w:t>ea</w:t>
      </w:r>
      <w:r>
        <w:rPr>
          <w:color w:val="575756"/>
          <w:w w:val="105"/>
          <w:sz w:val="21"/>
        </w:rPr>
        <w:t>r</w:t>
      </w:r>
      <w:r>
        <w:rPr>
          <w:color w:val="575756"/>
          <w:spacing w:val="-15"/>
          <w:w w:val="105"/>
          <w:sz w:val="21"/>
        </w:rPr>
        <w:t> </w:t>
      </w:r>
      <w:r>
        <w:rPr>
          <w:color w:val="212121"/>
          <w:w w:val="105"/>
          <w:sz w:val="21"/>
        </w:rPr>
        <w:t>I</w:t>
      </w:r>
      <w:r>
        <w:rPr>
          <w:color w:val="70726E"/>
          <w:w w:val="105"/>
          <w:sz w:val="21"/>
        </w:rPr>
        <w:t>nt</w:t>
      </w:r>
      <w:r>
        <w:rPr>
          <w:color w:val="575756"/>
          <w:w w:val="105"/>
          <w:sz w:val="21"/>
        </w:rPr>
        <w:t>erim</w:t>
      </w:r>
      <w:r>
        <w:rPr>
          <w:color w:val="575756"/>
          <w:spacing w:val="-4"/>
          <w:w w:val="105"/>
          <w:sz w:val="21"/>
        </w:rPr>
        <w:t> </w:t>
      </w:r>
      <w:r>
        <w:rPr>
          <w:color w:val="575756"/>
          <w:w w:val="105"/>
          <w:sz w:val="21"/>
        </w:rPr>
        <w:t>R</w:t>
      </w:r>
      <w:r>
        <w:rPr>
          <w:color w:val="70726E"/>
          <w:w w:val="105"/>
          <w:sz w:val="21"/>
        </w:rPr>
        <w:t>eport"</w:t>
      </w:r>
      <w:r>
        <w:rPr>
          <w:color w:val="70726E"/>
          <w:spacing w:val="-16"/>
          <w:w w:val="105"/>
          <w:sz w:val="21"/>
        </w:rPr>
        <w:t> </w:t>
      </w:r>
      <w:r>
        <w:rPr>
          <w:color w:val="575756"/>
          <w:w w:val="105"/>
          <w:sz w:val="21"/>
        </w:rPr>
        <w:t>du</w:t>
      </w:r>
      <w:r>
        <w:rPr>
          <w:color w:val="70726E"/>
          <w:w w:val="105"/>
          <w:sz w:val="21"/>
        </w:rPr>
        <w:t>e</w:t>
      </w:r>
      <w:r>
        <w:rPr>
          <w:color w:val="70726E"/>
          <w:spacing w:val="-3"/>
          <w:w w:val="105"/>
          <w:sz w:val="21"/>
        </w:rPr>
        <w:t> </w:t>
      </w:r>
      <w:r>
        <w:rPr>
          <w:color w:val="8A8A89"/>
          <w:w w:val="105"/>
          <w:sz w:val="21"/>
        </w:rPr>
        <w:t>fi</w:t>
      </w:r>
      <w:r>
        <w:rPr>
          <w:color w:val="575756"/>
          <w:w w:val="105"/>
          <w:sz w:val="21"/>
        </w:rPr>
        <w:t>v</w:t>
      </w:r>
      <w:r>
        <w:rPr>
          <w:color w:val="70726E"/>
          <w:w w:val="105"/>
          <w:sz w:val="21"/>
        </w:rPr>
        <w:t>e</w:t>
      </w:r>
      <w:r>
        <w:rPr>
          <w:color w:val="70726E"/>
          <w:spacing w:val="-4"/>
          <w:w w:val="105"/>
          <w:sz w:val="21"/>
        </w:rPr>
        <w:t> </w:t>
      </w:r>
      <w:r>
        <w:rPr>
          <w:color w:val="70726E"/>
          <w:w w:val="105"/>
          <w:sz w:val="21"/>
        </w:rPr>
        <w:t>year</w:t>
      </w:r>
      <w:r>
        <w:rPr>
          <w:color w:val="8A8A89"/>
          <w:w w:val="105"/>
          <w:sz w:val="21"/>
        </w:rPr>
        <w:t>s</w:t>
      </w:r>
      <w:r>
        <w:rPr>
          <w:color w:val="8A8A89"/>
          <w:spacing w:val="-11"/>
          <w:w w:val="105"/>
          <w:sz w:val="21"/>
        </w:rPr>
        <w:t> </w:t>
      </w:r>
      <w:r>
        <w:rPr>
          <w:color w:val="70726E"/>
          <w:w w:val="105"/>
          <w:sz w:val="21"/>
        </w:rPr>
        <w:t>a</w:t>
      </w:r>
      <w:r>
        <w:rPr>
          <w:color w:val="575756"/>
          <w:w w:val="105"/>
          <w:sz w:val="21"/>
        </w:rPr>
        <w:t>ft</w:t>
      </w:r>
      <w:r>
        <w:rPr>
          <w:color w:val="70726E"/>
          <w:w w:val="105"/>
          <w:sz w:val="21"/>
        </w:rPr>
        <w:t>e</w:t>
      </w:r>
      <w:r>
        <w:rPr>
          <w:color w:val="575756"/>
          <w:w w:val="105"/>
          <w:sz w:val="21"/>
        </w:rPr>
        <w:t>r t</w:t>
      </w:r>
      <w:r>
        <w:rPr>
          <w:color w:val="70726E"/>
          <w:w w:val="105"/>
          <w:sz w:val="21"/>
        </w:rPr>
        <w:t>he</w:t>
      </w:r>
      <w:r>
        <w:rPr>
          <w:color w:val="8A8A89"/>
          <w:w w:val="105"/>
          <w:sz w:val="21"/>
        </w:rPr>
        <w:t>i</w:t>
      </w:r>
      <w:r>
        <w:rPr>
          <w:color w:val="70726E"/>
          <w:w w:val="105"/>
          <w:sz w:val="21"/>
        </w:rPr>
        <w:t>r reaffi</w:t>
      </w:r>
      <w:r>
        <w:rPr>
          <w:color w:val="575756"/>
          <w:w w:val="105"/>
          <w:sz w:val="21"/>
        </w:rPr>
        <w:t>r</w:t>
      </w:r>
      <w:r>
        <w:rPr>
          <w:color w:val="70726E"/>
          <w:w w:val="105"/>
          <w:sz w:val="21"/>
        </w:rPr>
        <w:t>mation </w:t>
      </w:r>
      <w:r>
        <w:rPr>
          <w:color w:val="575756"/>
          <w:w w:val="105"/>
          <w:sz w:val="21"/>
        </w:rPr>
        <w:t>r</w:t>
      </w:r>
      <w:r>
        <w:rPr>
          <w:color w:val="70726E"/>
          <w:w w:val="105"/>
          <w:sz w:val="21"/>
        </w:rPr>
        <w:t>ev</w:t>
      </w:r>
      <w:r>
        <w:rPr>
          <w:color w:val="8A8A89"/>
          <w:w w:val="105"/>
          <w:sz w:val="21"/>
        </w:rPr>
        <w:t>i</w:t>
      </w:r>
      <w:r>
        <w:rPr>
          <w:color w:val="70726E"/>
          <w:w w:val="105"/>
          <w:sz w:val="21"/>
        </w:rPr>
        <w:t>ew</w:t>
      </w:r>
      <w:r>
        <w:rPr>
          <w:color w:val="B3B3B3"/>
          <w:w w:val="105"/>
          <w:sz w:val="21"/>
        </w:rPr>
        <w:t>.</w:t>
      </w:r>
      <w:r>
        <w:rPr>
          <w:color w:val="B3B3B3"/>
          <w:spacing w:val="40"/>
          <w:w w:val="105"/>
          <w:sz w:val="21"/>
        </w:rPr>
        <w:t> </w:t>
      </w:r>
      <w:r>
        <w:rPr>
          <w:color w:val="70726E"/>
          <w:w w:val="105"/>
          <w:sz w:val="21"/>
        </w:rPr>
        <w:t>Insti</w:t>
      </w:r>
      <w:r>
        <w:rPr>
          <w:color w:val="8A8A89"/>
          <w:w w:val="105"/>
          <w:sz w:val="21"/>
        </w:rPr>
        <w:t>t</w:t>
      </w:r>
      <w:r>
        <w:rPr>
          <w:color w:val="70726E"/>
          <w:w w:val="105"/>
          <w:sz w:val="21"/>
        </w:rPr>
        <w:t>u</w:t>
      </w:r>
      <w:r>
        <w:rPr>
          <w:color w:val="575756"/>
          <w:w w:val="105"/>
          <w:sz w:val="21"/>
        </w:rPr>
        <w:t>t</w:t>
      </w:r>
      <w:r>
        <w:rPr>
          <w:color w:val="70726E"/>
          <w:w w:val="105"/>
          <w:sz w:val="21"/>
        </w:rPr>
        <w:t>ion</w:t>
      </w:r>
      <w:r>
        <w:rPr>
          <w:color w:val="8A8A89"/>
          <w:w w:val="105"/>
          <w:sz w:val="21"/>
        </w:rPr>
        <w:t>s</w:t>
      </w:r>
      <w:r>
        <w:rPr>
          <w:color w:val="8A8A89"/>
          <w:spacing w:val="-2"/>
          <w:w w:val="105"/>
          <w:sz w:val="21"/>
        </w:rPr>
        <w:t> </w:t>
      </w:r>
      <w:r>
        <w:rPr>
          <w:color w:val="70726E"/>
          <w:w w:val="105"/>
          <w:sz w:val="21"/>
        </w:rPr>
        <w:t>w</w:t>
      </w:r>
      <w:r>
        <w:rPr>
          <w:color w:val="8A8A89"/>
          <w:w w:val="105"/>
          <w:sz w:val="21"/>
        </w:rPr>
        <w:t>ill be</w:t>
      </w:r>
      <w:r>
        <w:rPr>
          <w:color w:val="8A8A89"/>
          <w:spacing w:val="-2"/>
          <w:w w:val="105"/>
          <w:sz w:val="21"/>
        </w:rPr>
        <w:t> </w:t>
      </w:r>
      <w:r>
        <w:rPr>
          <w:color w:val="70726E"/>
          <w:w w:val="105"/>
          <w:sz w:val="21"/>
        </w:rPr>
        <w:t>notified</w:t>
      </w:r>
      <w:r>
        <w:rPr>
          <w:color w:val="70726E"/>
          <w:spacing w:val="-9"/>
          <w:w w:val="105"/>
          <w:sz w:val="21"/>
        </w:rPr>
        <w:t> </w:t>
      </w:r>
      <w:r>
        <w:rPr>
          <w:color w:val="8A8A89"/>
          <w:w w:val="105"/>
          <w:sz w:val="21"/>
        </w:rPr>
        <w:t>o</w:t>
      </w:r>
      <w:r>
        <w:rPr>
          <w:color w:val="70726E"/>
          <w:w w:val="105"/>
          <w:sz w:val="21"/>
        </w:rPr>
        <w:t>ne</w:t>
      </w:r>
      <w:r>
        <w:rPr>
          <w:color w:val="70726E"/>
          <w:spacing w:val="-2"/>
          <w:w w:val="105"/>
          <w:sz w:val="21"/>
        </w:rPr>
        <w:t> </w:t>
      </w:r>
      <w:r>
        <w:rPr>
          <w:color w:val="70726E"/>
          <w:w w:val="105"/>
          <w:sz w:val="21"/>
        </w:rPr>
        <w:t>y</w:t>
      </w:r>
      <w:r>
        <w:rPr>
          <w:color w:val="575756"/>
          <w:w w:val="105"/>
          <w:sz w:val="21"/>
        </w:rPr>
        <w:t>ea</w:t>
      </w:r>
      <w:r>
        <w:rPr>
          <w:color w:val="70726E"/>
          <w:w w:val="105"/>
          <w:sz w:val="21"/>
        </w:rPr>
        <w:t>r in </w:t>
      </w:r>
      <w:r>
        <w:rPr>
          <w:color w:val="8A8A89"/>
          <w:w w:val="105"/>
          <w:sz w:val="21"/>
        </w:rPr>
        <w:t>ad</w:t>
      </w:r>
      <w:r>
        <w:rPr>
          <w:color w:val="70726E"/>
          <w:w w:val="105"/>
          <w:sz w:val="21"/>
        </w:rPr>
        <w:t>vanc</w:t>
      </w:r>
      <w:r>
        <w:rPr>
          <w:color w:val="8A8A89"/>
          <w:w w:val="105"/>
          <w:sz w:val="21"/>
        </w:rPr>
        <w:t>e </w:t>
      </w:r>
      <w:r>
        <w:rPr>
          <w:color w:val="70726E"/>
          <w:w w:val="105"/>
          <w:sz w:val="21"/>
        </w:rPr>
        <w:t>by</w:t>
      </w:r>
      <w:r>
        <w:rPr>
          <w:color w:val="70726E"/>
          <w:spacing w:val="33"/>
          <w:w w:val="105"/>
          <w:sz w:val="21"/>
        </w:rPr>
        <w:t> </w:t>
      </w:r>
      <w:r>
        <w:rPr>
          <w:color w:val="70726E"/>
          <w:w w:val="105"/>
          <w:sz w:val="21"/>
        </w:rPr>
        <w:t>th</w:t>
      </w:r>
      <w:r>
        <w:rPr>
          <w:color w:val="8A8A89"/>
          <w:w w:val="105"/>
          <w:sz w:val="21"/>
        </w:rPr>
        <w:t>e </w:t>
      </w:r>
      <w:r>
        <w:rPr>
          <w:color w:val="70726E"/>
          <w:w w:val="105"/>
          <w:sz w:val="21"/>
        </w:rPr>
        <w:t>Pr</w:t>
      </w:r>
      <w:r>
        <w:rPr>
          <w:color w:val="8A8A89"/>
          <w:w w:val="105"/>
          <w:sz w:val="21"/>
        </w:rPr>
        <w:t>esi</w:t>
      </w:r>
      <w:r>
        <w:rPr>
          <w:color w:val="70726E"/>
          <w:w w:val="105"/>
          <w:sz w:val="21"/>
        </w:rPr>
        <w:t>dent</w:t>
      </w:r>
      <w:r>
        <w:rPr>
          <w:color w:val="70726E"/>
          <w:spacing w:val="-14"/>
          <w:w w:val="105"/>
          <w:sz w:val="21"/>
        </w:rPr>
        <w:t> </w:t>
      </w:r>
      <w:r>
        <w:rPr>
          <w:color w:val="70726E"/>
          <w:w w:val="105"/>
          <w:sz w:val="21"/>
        </w:rPr>
        <w:t>of the</w:t>
      </w:r>
      <w:r>
        <w:rPr>
          <w:color w:val="70726E"/>
          <w:spacing w:val="-4"/>
          <w:w w:val="105"/>
          <w:sz w:val="21"/>
        </w:rPr>
        <w:t> </w:t>
      </w:r>
      <w:r>
        <w:rPr>
          <w:color w:val="70726E"/>
          <w:w w:val="105"/>
          <w:sz w:val="21"/>
        </w:rPr>
        <w:t>Commi</w:t>
      </w:r>
      <w:r>
        <w:rPr>
          <w:color w:val="8A8A89"/>
          <w:w w:val="105"/>
          <w:sz w:val="21"/>
        </w:rPr>
        <w:t>ssio</w:t>
      </w:r>
      <w:r>
        <w:rPr>
          <w:color w:val="70726E"/>
          <w:w w:val="105"/>
          <w:sz w:val="21"/>
        </w:rPr>
        <w:t>n </w:t>
      </w:r>
      <w:r>
        <w:rPr>
          <w:color w:val="575756"/>
          <w:w w:val="105"/>
          <w:sz w:val="21"/>
        </w:rPr>
        <w:t>r</w:t>
      </w:r>
      <w:r>
        <w:rPr>
          <w:color w:val="70726E"/>
          <w:w w:val="105"/>
          <w:sz w:val="21"/>
        </w:rPr>
        <w:t>ega</w:t>
      </w:r>
      <w:r>
        <w:rPr>
          <w:color w:val="8A8A89"/>
          <w:w w:val="105"/>
          <w:sz w:val="21"/>
        </w:rPr>
        <w:t>r</w:t>
      </w:r>
      <w:r>
        <w:rPr>
          <w:color w:val="70726E"/>
          <w:w w:val="105"/>
          <w:sz w:val="21"/>
        </w:rPr>
        <w:t>d</w:t>
      </w:r>
      <w:r>
        <w:rPr>
          <w:color w:val="8A8A89"/>
          <w:w w:val="105"/>
          <w:sz w:val="21"/>
        </w:rPr>
        <w:t>i</w:t>
      </w:r>
      <w:r>
        <w:rPr>
          <w:color w:val="70726E"/>
          <w:w w:val="105"/>
          <w:sz w:val="21"/>
        </w:rPr>
        <w:t>ng it</w:t>
      </w:r>
      <w:r>
        <w:rPr>
          <w:color w:val="8A8A89"/>
          <w:w w:val="105"/>
          <w:sz w:val="21"/>
        </w:rPr>
        <w:t>s </w:t>
      </w:r>
      <w:r>
        <w:rPr>
          <w:color w:val="70726E"/>
          <w:w w:val="105"/>
          <w:sz w:val="21"/>
        </w:rPr>
        <w:t>s</w:t>
      </w:r>
      <w:r>
        <w:rPr>
          <w:color w:val="8A8A89"/>
          <w:w w:val="105"/>
          <w:sz w:val="21"/>
        </w:rPr>
        <w:t>pe</w:t>
      </w:r>
      <w:r>
        <w:rPr>
          <w:color w:val="70726E"/>
          <w:w w:val="105"/>
          <w:sz w:val="21"/>
        </w:rPr>
        <w:t>cifi</w:t>
      </w:r>
      <w:r>
        <w:rPr>
          <w:color w:val="8A8A89"/>
          <w:w w:val="105"/>
          <w:sz w:val="21"/>
        </w:rPr>
        <w:t>c </w:t>
      </w:r>
      <w:r>
        <w:rPr>
          <w:color w:val="70726E"/>
          <w:w w:val="105"/>
          <w:sz w:val="21"/>
        </w:rPr>
        <w:t>d</w:t>
      </w:r>
      <w:r>
        <w:rPr>
          <w:color w:val="8A8A89"/>
          <w:w w:val="105"/>
          <w:sz w:val="21"/>
        </w:rPr>
        <w:t>ue </w:t>
      </w:r>
      <w:r>
        <w:rPr>
          <w:color w:val="70726E"/>
          <w:w w:val="105"/>
          <w:sz w:val="21"/>
        </w:rPr>
        <w:t>d</w:t>
      </w:r>
      <w:r>
        <w:rPr>
          <w:color w:val="8A8A89"/>
          <w:w w:val="105"/>
          <w:sz w:val="21"/>
        </w:rPr>
        <w:t>at</w:t>
      </w:r>
      <w:r>
        <w:rPr>
          <w:color w:val="70726E"/>
          <w:w w:val="105"/>
          <w:sz w:val="21"/>
        </w:rPr>
        <w:t>e</w:t>
      </w:r>
      <w:r>
        <w:rPr>
          <w:color w:val="8A8A89"/>
          <w:w w:val="105"/>
          <w:sz w:val="21"/>
        </w:rPr>
        <w:t>.</w:t>
      </w:r>
    </w:p>
    <w:p>
      <w:pPr>
        <w:pStyle w:val="BodyText"/>
        <w:spacing w:before="7"/>
        <w:rPr>
          <w:sz w:val="22"/>
        </w:rPr>
      </w:pPr>
    </w:p>
    <w:p>
      <w:pPr>
        <w:spacing w:line="237" w:lineRule="auto" w:before="0"/>
        <w:ind w:left="572" w:right="1003" w:hanging="10"/>
        <w:jc w:val="left"/>
        <w:rPr>
          <w:sz w:val="21"/>
        </w:rPr>
      </w:pPr>
      <w:r>
        <w:rPr>
          <w:color w:val="70726E"/>
          <w:w w:val="105"/>
          <w:sz w:val="21"/>
        </w:rPr>
        <w:t>G</w:t>
      </w:r>
      <w:r>
        <w:rPr>
          <w:color w:val="575756"/>
          <w:w w:val="105"/>
          <w:sz w:val="21"/>
        </w:rPr>
        <w:t>u</w:t>
      </w:r>
      <w:r>
        <w:rPr>
          <w:color w:val="8A8A89"/>
          <w:w w:val="105"/>
          <w:sz w:val="21"/>
        </w:rPr>
        <w:t>i</w:t>
      </w:r>
      <w:r>
        <w:rPr>
          <w:color w:val="70726E"/>
          <w:w w:val="105"/>
          <w:sz w:val="21"/>
        </w:rPr>
        <w:t>d</w:t>
      </w:r>
      <w:r>
        <w:rPr>
          <w:color w:val="8A8A89"/>
          <w:w w:val="105"/>
          <w:sz w:val="21"/>
        </w:rPr>
        <w:t>e</w:t>
      </w:r>
      <w:r>
        <w:rPr>
          <w:color w:val="575756"/>
          <w:w w:val="105"/>
          <w:sz w:val="21"/>
        </w:rPr>
        <w:t>lin</w:t>
      </w:r>
      <w:r>
        <w:rPr>
          <w:color w:val="70726E"/>
          <w:w w:val="105"/>
          <w:sz w:val="21"/>
        </w:rPr>
        <w:t>e</w:t>
      </w:r>
      <w:r>
        <w:rPr>
          <w:color w:val="575756"/>
          <w:w w:val="105"/>
          <w:sz w:val="21"/>
        </w:rPr>
        <w:t>s</w:t>
      </w:r>
      <w:r>
        <w:rPr>
          <w:color w:val="575756"/>
          <w:spacing w:val="-18"/>
          <w:w w:val="105"/>
          <w:sz w:val="21"/>
        </w:rPr>
        <w:t> </w:t>
      </w:r>
      <w:r>
        <w:rPr>
          <w:color w:val="444444"/>
          <w:w w:val="105"/>
          <w:sz w:val="21"/>
        </w:rPr>
        <w:t>f</w:t>
      </w:r>
      <w:r>
        <w:rPr>
          <w:color w:val="70726E"/>
          <w:w w:val="105"/>
          <w:sz w:val="21"/>
        </w:rPr>
        <w:t>or</w:t>
      </w:r>
      <w:r>
        <w:rPr>
          <w:color w:val="70726E"/>
          <w:spacing w:val="-15"/>
          <w:w w:val="105"/>
          <w:sz w:val="21"/>
        </w:rPr>
        <w:t> </w:t>
      </w:r>
      <w:r>
        <w:rPr>
          <w:color w:val="70726E"/>
          <w:w w:val="105"/>
          <w:sz w:val="21"/>
        </w:rPr>
        <w:t>th</w:t>
      </w:r>
      <w:r>
        <w:rPr>
          <w:color w:val="8A8A89"/>
          <w:w w:val="105"/>
          <w:sz w:val="21"/>
        </w:rPr>
        <w:t>e</w:t>
      </w:r>
      <w:r>
        <w:rPr>
          <w:color w:val="8A8A89"/>
          <w:spacing w:val="-15"/>
          <w:w w:val="105"/>
          <w:sz w:val="21"/>
        </w:rPr>
        <w:t> </w:t>
      </w:r>
      <w:r>
        <w:rPr>
          <w:color w:val="70726E"/>
          <w:w w:val="105"/>
          <w:sz w:val="21"/>
        </w:rPr>
        <w:t>a</w:t>
      </w:r>
      <w:r>
        <w:rPr>
          <w:color w:val="575756"/>
          <w:w w:val="105"/>
          <w:sz w:val="21"/>
        </w:rPr>
        <w:t>dd</w:t>
      </w:r>
      <w:r>
        <w:rPr>
          <w:color w:val="0F0F0F"/>
          <w:w w:val="105"/>
          <w:sz w:val="21"/>
        </w:rPr>
        <w:t>iti</w:t>
      </w:r>
      <w:r>
        <w:rPr>
          <w:color w:val="70726E"/>
          <w:w w:val="105"/>
          <w:sz w:val="21"/>
        </w:rPr>
        <w:t>o</w:t>
      </w:r>
      <w:r>
        <w:rPr>
          <w:color w:val="444444"/>
          <w:w w:val="105"/>
          <w:sz w:val="21"/>
        </w:rPr>
        <w:t>11</w:t>
      </w:r>
      <w:r>
        <w:rPr>
          <w:color w:val="70726E"/>
          <w:w w:val="105"/>
          <w:sz w:val="21"/>
        </w:rPr>
        <w:t>al</w:t>
      </w:r>
      <w:r>
        <w:rPr>
          <w:color w:val="70726E"/>
          <w:spacing w:val="-16"/>
          <w:w w:val="105"/>
          <w:sz w:val="21"/>
        </w:rPr>
        <w:t> </w:t>
      </w:r>
      <w:r>
        <w:rPr>
          <w:color w:val="70726E"/>
          <w:w w:val="105"/>
          <w:sz w:val="21"/>
        </w:rPr>
        <w:t>repo</w:t>
      </w:r>
      <w:r>
        <w:rPr>
          <w:color w:val="575756"/>
          <w:w w:val="105"/>
          <w:sz w:val="21"/>
        </w:rPr>
        <w:t>rt</w:t>
      </w:r>
      <w:r>
        <w:rPr>
          <w:color w:val="575756"/>
          <w:spacing w:val="-15"/>
          <w:w w:val="105"/>
          <w:sz w:val="21"/>
        </w:rPr>
        <w:t> </w:t>
      </w:r>
      <w:r>
        <w:rPr>
          <w:color w:val="70726E"/>
          <w:w w:val="105"/>
          <w:sz w:val="21"/>
        </w:rPr>
        <w:t>are</w:t>
      </w:r>
      <w:r>
        <w:rPr>
          <w:color w:val="70726E"/>
          <w:spacing w:val="-15"/>
          <w:w w:val="105"/>
          <w:sz w:val="21"/>
        </w:rPr>
        <w:t> </w:t>
      </w:r>
      <w:r>
        <w:rPr>
          <w:color w:val="8A8A89"/>
          <w:w w:val="105"/>
          <w:sz w:val="21"/>
        </w:rPr>
        <w:t>e</w:t>
      </w:r>
      <w:r>
        <w:rPr>
          <w:color w:val="575756"/>
          <w:w w:val="105"/>
          <w:sz w:val="21"/>
        </w:rPr>
        <w:t>n</w:t>
      </w:r>
      <w:r>
        <w:rPr>
          <w:color w:val="70726E"/>
          <w:w w:val="105"/>
          <w:sz w:val="21"/>
        </w:rPr>
        <w:t>c</w:t>
      </w:r>
      <w:r>
        <w:rPr>
          <w:color w:val="212121"/>
          <w:w w:val="105"/>
          <w:sz w:val="21"/>
        </w:rPr>
        <w:t>l</w:t>
      </w:r>
      <w:r>
        <w:rPr>
          <w:color w:val="70726E"/>
          <w:w w:val="105"/>
          <w:sz w:val="21"/>
        </w:rPr>
        <w:t>ose</w:t>
      </w:r>
      <w:r>
        <w:rPr>
          <w:color w:val="575756"/>
          <w:w w:val="105"/>
          <w:sz w:val="21"/>
        </w:rPr>
        <w:t>d</w:t>
      </w:r>
      <w:r>
        <w:rPr>
          <w:color w:val="8A8A89"/>
          <w:w w:val="105"/>
          <w:sz w:val="21"/>
        </w:rPr>
        <w:t>.</w:t>
      </w:r>
      <w:r>
        <w:rPr>
          <w:color w:val="8A8A89"/>
          <w:spacing w:val="10"/>
          <w:w w:val="105"/>
          <w:sz w:val="21"/>
        </w:rPr>
        <w:t> </w:t>
      </w:r>
      <w:r>
        <w:rPr>
          <w:color w:val="70726E"/>
          <w:w w:val="105"/>
          <w:sz w:val="21"/>
        </w:rPr>
        <w:t>B</w:t>
      </w:r>
      <w:r>
        <w:rPr>
          <w:color w:val="8A8A89"/>
          <w:w w:val="105"/>
          <w:sz w:val="21"/>
        </w:rPr>
        <w:t>eca</w:t>
      </w:r>
      <w:r>
        <w:rPr>
          <w:color w:val="70726E"/>
          <w:w w:val="105"/>
          <w:sz w:val="21"/>
        </w:rPr>
        <w:t>use</w:t>
      </w:r>
      <w:r>
        <w:rPr>
          <w:color w:val="70726E"/>
          <w:spacing w:val="-15"/>
          <w:w w:val="105"/>
          <w:sz w:val="21"/>
        </w:rPr>
        <w:t> </w:t>
      </w:r>
      <w:r>
        <w:rPr>
          <w:color w:val="70726E"/>
          <w:w w:val="105"/>
          <w:sz w:val="21"/>
        </w:rPr>
        <w:t>it</w:t>
      </w:r>
      <w:r>
        <w:rPr>
          <w:color w:val="70726E"/>
          <w:spacing w:val="-16"/>
          <w:w w:val="105"/>
          <w:sz w:val="21"/>
        </w:rPr>
        <w:t> </w:t>
      </w:r>
      <w:r>
        <w:rPr>
          <w:color w:val="70726E"/>
          <w:w w:val="105"/>
          <w:sz w:val="21"/>
        </w:rPr>
        <w:t>i</w:t>
      </w:r>
      <w:r>
        <w:rPr>
          <w:color w:val="8A8A89"/>
          <w:w w:val="105"/>
          <w:sz w:val="21"/>
        </w:rPr>
        <w:t>s</w:t>
      </w:r>
      <w:r>
        <w:rPr>
          <w:color w:val="8A8A89"/>
          <w:spacing w:val="-15"/>
          <w:w w:val="105"/>
          <w:sz w:val="21"/>
        </w:rPr>
        <w:t> </w:t>
      </w:r>
      <w:r>
        <w:rPr>
          <w:color w:val="8A8A89"/>
          <w:w w:val="105"/>
          <w:sz w:val="21"/>
        </w:rPr>
        <w:t>ess</w:t>
      </w:r>
      <w:r>
        <w:rPr>
          <w:color w:val="70726E"/>
          <w:w w:val="105"/>
          <w:sz w:val="21"/>
        </w:rPr>
        <w:t>e</w:t>
      </w:r>
      <w:r>
        <w:rPr>
          <w:color w:val="333433"/>
          <w:w w:val="105"/>
          <w:sz w:val="21"/>
        </w:rPr>
        <w:t>nti</w:t>
      </w:r>
      <w:r>
        <w:rPr>
          <w:color w:val="8A8A89"/>
          <w:w w:val="105"/>
          <w:sz w:val="21"/>
        </w:rPr>
        <w:t>a</w:t>
      </w:r>
      <w:r>
        <w:rPr>
          <w:color w:val="212121"/>
          <w:w w:val="105"/>
          <w:sz w:val="21"/>
        </w:rPr>
        <w:t>l</w:t>
      </w:r>
      <w:r>
        <w:rPr>
          <w:color w:val="212121"/>
          <w:spacing w:val="-15"/>
          <w:w w:val="105"/>
          <w:sz w:val="21"/>
        </w:rPr>
        <w:t> </w:t>
      </w:r>
      <w:r>
        <w:rPr>
          <w:color w:val="333433"/>
          <w:w w:val="105"/>
          <w:sz w:val="21"/>
        </w:rPr>
        <w:t>th</w:t>
      </w:r>
      <w:r>
        <w:rPr>
          <w:color w:val="70726E"/>
          <w:w w:val="105"/>
          <w:sz w:val="21"/>
        </w:rPr>
        <w:t>at</w:t>
      </w:r>
      <w:r>
        <w:rPr>
          <w:color w:val="70726E"/>
          <w:spacing w:val="-15"/>
          <w:w w:val="105"/>
          <w:sz w:val="21"/>
        </w:rPr>
        <w:t> </w:t>
      </w:r>
      <w:r>
        <w:rPr>
          <w:color w:val="444444"/>
          <w:w w:val="105"/>
          <w:sz w:val="21"/>
        </w:rPr>
        <w:t>i</w:t>
      </w:r>
      <w:r>
        <w:rPr>
          <w:color w:val="70726E"/>
          <w:w w:val="105"/>
          <w:sz w:val="21"/>
        </w:rPr>
        <w:t>n</w:t>
      </w:r>
      <w:r>
        <w:rPr>
          <w:color w:val="8A8A89"/>
          <w:w w:val="105"/>
          <w:sz w:val="21"/>
        </w:rPr>
        <w:t>s</w:t>
      </w:r>
      <w:r>
        <w:rPr>
          <w:color w:val="70726E"/>
          <w:w w:val="105"/>
          <w:sz w:val="21"/>
        </w:rPr>
        <w:t>t</w:t>
      </w:r>
      <w:r>
        <w:rPr>
          <w:color w:val="8A8A89"/>
          <w:w w:val="105"/>
          <w:sz w:val="21"/>
        </w:rPr>
        <w:t>i</w:t>
      </w:r>
      <w:r>
        <w:rPr>
          <w:color w:val="575756"/>
          <w:w w:val="105"/>
          <w:sz w:val="21"/>
        </w:rPr>
        <w:t>tu</w:t>
      </w:r>
      <w:r>
        <w:rPr>
          <w:color w:val="212121"/>
          <w:w w:val="105"/>
          <w:sz w:val="21"/>
        </w:rPr>
        <w:t>ti</w:t>
      </w:r>
      <w:r>
        <w:rPr>
          <w:color w:val="575756"/>
          <w:w w:val="105"/>
          <w:sz w:val="21"/>
        </w:rPr>
        <w:t>on</w:t>
      </w:r>
      <w:r>
        <w:rPr>
          <w:color w:val="8A8A89"/>
          <w:w w:val="105"/>
          <w:sz w:val="21"/>
        </w:rPr>
        <w:t>s </w:t>
      </w:r>
      <w:r>
        <w:rPr>
          <w:color w:val="70726E"/>
          <w:w w:val="105"/>
          <w:sz w:val="21"/>
        </w:rPr>
        <w:t>f</w:t>
      </w:r>
      <w:r>
        <w:rPr>
          <w:color w:val="8A8A89"/>
          <w:w w:val="105"/>
          <w:sz w:val="21"/>
        </w:rPr>
        <w:t>oflo</w:t>
      </w:r>
      <w:r>
        <w:rPr>
          <w:color w:val="70726E"/>
          <w:w w:val="105"/>
          <w:sz w:val="21"/>
        </w:rPr>
        <w:t>w</w:t>
      </w:r>
      <w:r>
        <w:rPr>
          <w:color w:val="70726E"/>
          <w:spacing w:val="40"/>
          <w:w w:val="105"/>
          <w:sz w:val="21"/>
        </w:rPr>
        <w:t> </w:t>
      </w:r>
      <w:r>
        <w:rPr>
          <w:color w:val="70726E"/>
          <w:w w:val="105"/>
          <w:sz w:val="21"/>
        </w:rPr>
        <w:t>lhese</w:t>
      </w:r>
      <w:r>
        <w:rPr>
          <w:color w:val="70726E"/>
          <w:spacing w:val="31"/>
          <w:w w:val="105"/>
          <w:sz w:val="21"/>
        </w:rPr>
        <w:t> </w:t>
      </w:r>
      <w:r>
        <w:rPr>
          <w:color w:val="70726E"/>
          <w:w w:val="105"/>
          <w:sz w:val="21"/>
        </w:rPr>
        <w:t>gu</w:t>
      </w:r>
      <w:r>
        <w:rPr>
          <w:color w:val="8A8A89"/>
          <w:w w:val="105"/>
          <w:sz w:val="21"/>
        </w:rPr>
        <w:t>i</w:t>
      </w:r>
      <w:r>
        <w:rPr>
          <w:color w:val="70726E"/>
          <w:w w:val="105"/>
          <w:sz w:val="21"/>
        </w:rPr>
        <w:t>d</w:t>
      </w:r>
      <w:r>
        <w:rPr>
          <w:color w:val="8A8A89"/>
          <w:w w:val="105"/>
          <w:sz w:val="21"/>
        </w:rPr>
        <w:t>e</w:t>
      </w:r>
      <w:r>
        <w:rPr>
          <w:color w:val="333433"/>
          <w:w w:val="105"/>
          <w:sz w:val="21"/>
        </w:rPr>
        <w:t>l</w:t>
      </w:r>
      <w:r>
        <w:rPr>
          <w:color w:val="8A8A89"/>
          <w:w w:val="105"/>
          <w:sz w:val="21"/>
        </w:rPr>
        <w:t>i</w:t>
      </w:r>
      <w:r>
        <w:rPr>
          <w:color w:val="575756"/>
          <w:w w:val="105"/>
          <w:sz w:val="21"/>
        </w:rPr>
        <w:t>n</w:t>
      </w:r>
      <w:r>
        <w:rPr>
          <w:color w:val="70726E"/>
          <w:w w:val="105"/>
          <w:sz w:val="21"/>
        </w:rPr>
        <w:t>e</w:t>
      </w:r>
      <w:r>
        <w:rPr>
          <w:color w:val="575756"/>
          <w:w w:val="105"/>
          <w:sz w:val="21"/>
        </w:rPr>
        <w:t>s</w:t>
      </w:r>
      <w:r>
        <w:rPr>
          <w:color w:val="8A8A89"/>
          <w:w w:val="105"/>
          <w:sz w:val="21"/>
        </w:rPr>
        <w:t>, </w:t>
      </w:r>
      <w:r>
        <w:rPr>
          <w:color w:val="575756"/>
          <w:w w:val="105"/>
          <w:sz w:val="21"/>
        </w:rPr>
        <w:t>p</w:t>
      </w:r>
      <w:r>
        <w:rPr>
          <w:color w:val="333433"/>
          <w:w w:val="105"/>
          <w:sz w:val="21"/>
        </w:rPr>
        <w:t>l</w:t>
      </w:r>
      <w:r>
        <w:rPr>
          <w:color w:val="70726E"/>
          <w:w w:val="105"/>
          <w:sz w:val="21"/>
        </w:rPr>
        <w:t>ease</w:t>
      </w:r>
      <w:r>
        <w:rPr>
          <w:color w:val="70726E"/>
          <w:spacing w:val="40"/>
          <w:w w:val="105"/>
          <w:sz w:val="21"/>
        </w:rPr>
        <w:t> </w:t>
      </w:r>
      <w:r>
        <w:rPr>
          <w:color w:val="444444"/>
          <w:w w:val="105"/>
          <w:sz w:val="21"/>
        </w:rPr>
        <w:t>make</w:t>
      </w:r>
      <w:r>
        <w:rPr>
          <w:color w:val="444444"/>
          <w:spacing w:val="26"/>
          <w:w w:val="105"/>
          <w:sz w:val="21"/>
        </w:rPr>
        <w:t> </w:t>
      </w:r>
      <w:r>
        <w:rPr>
          <w:color w:val="575756"/>
          <w:w w:val="105"/>
          <w:sz w:val="21"/>
        </w:rPr>
        <w:t>c</w:t>
      </w:r>
      <w:r>
        <w:rPr>
          <w:color w:val="70726E"/>
          <w:w w:val="105"/>
          <w:sz w:val="21"/>
        </w:rPr>
        <w:t>e</w:t>
      </w:r>
      <w:r>
        <w:rPr>
          <w:color w:val="575756"/>
          <w:w w:val="105"/>
          <w:sz w:val="21"/>
        </w:rPr>
        <w:t>rt</w:t>
      </w:r>
      <w:r>
        <w:rPr>
          <w:color w:val="70726E"/>
          <w:w w:val="105"/>
          <w:sz w:val="21"/>
        </w:rPr>
        <w:t>a</w:t>
      </w:r>
      <w:r>
        <w:rPr>
          <w:color w:val="575756"/>
          <w:w w:val="105"/>
          <w:sz w:val="21"/>
        </w:rPr>
        <w:t>i</w:t>
      </w:r>
      <w:r>
        <w:rPr>
          <w:color w:val="333433"/>
          <w:w w:val="105"/>
          <w:sz w:val="21"/>
        </w:rPr>
        <w:t>n</w:t>
      </w:r>
      <w:r>
        <w:rPr>
          <w:color w:val="333433"/>
          <w:spacing w:val="35"/>
          <w:w w:val="105"/>
          <w:sz w:val="21"/>
        </w:rPr>
        <w:t> </w:t>
      </w:r>
      <w:r>
        <w:rPr>
          <w:color w:val="444444"/>
          <w:w w:val="105"/>
          <w:sz w:val="21"/>
        </w:rPr>
        <w:t>that tho</w:t>
      </w:r>
      <w:r>
        <w:rPr>
          <w:color w:val="70726E"/>
          <w:w w:val="105"/>
          <w:sz w:val="21"/>
        </w:rPr>
        <w:t>s</w:t>
      </w:r>
      <w:r>
        <w:rPr>
          <w:color w:val="575756"/>
          <w:w w:val="105"/>
          <w:sz w:val="21"/>
        </w:rPr>
        <w:t>e</w:t>
      </w:r>
      <w:r>
        <w:rPr>
          <w:color w:val="575756"/>
          <w:spacing w:val="40"/>
          <w:w w:val="105"/>
          <w:sz w:val="21"/>
        </w:rPr>
        <w:t> </w:t>
      </w:r>
      <w:r>
        <w:rPr>
          <w:color w:val="444444"/>
          <w:w w:val="105"/>
          <w:sz w:val="21"/>
        </w:rPr>
        <w:t>respon</w:t>
      </w:r>
      <w:r>
        <w:rPr>
          <w:color w:val="70726E"/>
          <w:w w:val="105"/>
          <w:sz w:val="21"/>
        </w:rPr>
        <w:t>s</w:t>
      </w:r>
      <w:r>
        <w:rPr>
          <w:color w:val="575756"/>
          <w:w w:val="105"/>
          <w:sz w:val="21"/>
        </w:rPr>
        <w:t>ib</w:t>
      </w:r>
      <w:r>
        <w:rPr>
          <w:color w:val="333433"/>
          <w:w w:val="105"/>
          <w:sz w:val="21"/>
        </w:rPr>
        <w:t>l</w:t>
      </w:r>
      <w:r>
        <w:rPr>
          <w:color w:val="575756"/>
          <w:w w:val="105"/>
          <w:sz w:val="21"/>
        </w:rPr>
        <w:t>e</w:t>
      </w:r>
      <w:r>
        <w:rPr>
          <w:color w:val="575756"/>
          <w:spacing w:val="40"/>
          <w:w w:val="105"/>
          <w:sz w:val="21"/>
        </w:rPr>
        <w:t> </w:t>
      </w:r>
      <w:r>
        <w:rPr>
          <w:color w:val="575756"/>
          <w:w w:val="105"/>
          <w:sz w:val="21"/>
        </w:rPr>
        <w:t>for</w:t>
      </w:r>
      <w:r>
        <w:rPr>
          <w:color w:val="575756"/>
          <w:spacing w:val="40"/>
          <w:w w:val="105"/>
          <w:sz w:val="21"/>
        </w:rPr>
        <w:t> </w:t>
      </w:r>
      <w:r>
        <w:rPr>
          <w:color w:val="575756"/>
          <w:w w:val="105"/>
          <w:sz w:val="21"/>
        </w:rPr>
        <w:t>pr</w:t>
      </w:r>
      <w:r>
        <w:rPr>
          <w:color w:val="70726E"/>
          <w:w w:val="105"/>
          <w:sz w:val="21"/>
        </w:rPr>
        <w:t>e</w:t>
      </w:r>
      <w:r>
        <w:rPr>
          <w:color w:val="575756"/>
          <w:w w:val="105"/>
          <w:sz w:val="21"/>
        </w:rPr>
        <w:t>p</w:t>
      </w:r>
      <w:r>
        <w:rPr>
          <w:color w:val="70726E"/>
          <w:w w:val="105"/>
          <w:sz w:val="21"/>
        </w:rPr>
        <w:t>a</w:t>
      </w:r>
      <w:r>
        <w:rPr>
          <w:color w:val="575756"/>
          <w:w w:val="105"/>
          <w:sz w:val="21"/>
        </w:rPr>
        <w:t>ring</w:t>
      </w:r>
    </w:p>
    <w:p>
      <w:pPr>
        <w:spacing w:after="0" w:line="237" w:lineRule="auto"/>
        <w:jc w:val="left"/>
        <w:rPr>
          <w:sz w:val="21"/>
        </w:rPr>
        <w:sectPr>
          <w:headerReference w:type="default" r:id="rId337"/>
          <w:footerReference w:type="default" r:id="rId338"/>
          <w:pgSz w:w="12240" w:h="15840"/>
          <w:pgMar w:header="0" w:footer="0" w:top="1280" w:bottom="280" w:left="1000" w:right="820"/>
        </w:sectPr>
      </w:pPr>
    </w:p>
    <w:p>
      <w:pPr>
        <w:pStyle w:val="BodyText"/>
        <w:spacing w:before="1"/>
        <w:rPr>
          <w:sz w:val="22"/>
        </w:rPr>
      </w:pPr>
    </w:p>
    <w:p>
      <w:pPr>
        <w:spacing w:line="280" w:lineRule="exact" w:before="92"/>
        <w:ind w:left="7838" w:right="0" w:firstLine="0"/>
        <w:jc w:val="left"/>
        <w:rPr>
          <w:i/>
          <w:sz w:val="25"/>
        </w:rPr>
      </w:pPr>
      <w:r>
        <w:rPr/>
        <w:drawing>
          <wp:anchor distT="0" distB="0" distL="0" distR="0" allowOverlap="1" layoutInCell="1" locked="0" behindDoc="0" simplePos="0" relativeHeight="15748608">
            <wp:simplePos x="0" y="0"/>
            <wp:positionH relativeFrom="page">
              <wp:posOffset>3324250</wp:posOffset>
            </wp:positionH>
            <wp:positionV relativeFrom="paragraph">
              <wp:posOffset>-160184</wp:posOffset>
            </wp:positionV>
            <wp:extent cx="808908" cy="806729"/>
            <wp:effectExtent l="0" t="0" r="0" b="0"/>
            <wp:wrapNone/>
            <wp:docPr id="17" name="image11.jpeg"/>
            <wp:cNvGraphicFramePr>
              <a:graphicFrameLocks noChangeAspect="1"/>
            </wp:cNvGraphicFramePr>
            <a:graphic>
              <a:graphicData uri="http://schemas.openxmlformats.org/drawingml/2006/picture">
                <pic:pic>
                  <pic:nvPicPr>
                    <pic:cNvPr id="18" name="image11.jpeg"/>
                    <pic:cNvPicPr/>
                  </pic:nvPicPr>
                  <pic:blipFill>
                    <a:blip r:embed="rId345" cstate="print"/>
                    <a:stretch>
                      <a:fillRect/>
                    </a:stretch>
                  </pic:blipFill>
                  <pic:spPr>
                    <a:xfrm>
                      <a:off x="0" y="0"/>
                      <a:ext cx="808908" cy="806729"/>
                    </a:xfrm>
                    <a:prstGeom prst="rect">
                      <a:avLst/>
                    </a:prstGeom>
                  </pic:spPr>
                </pic:pic>
              </a:graphicData>
            </a:graphic>
          </wp:anchor>
        </w:drawing>
      </w:r>
      <w:r>
        <w:rPr>
          <w:b/>
          <w:color w:val="BCBCBC"/>
          <w:spacing w:val="4"/>
          <w:w w:val="117"/>
          <w:sz w:val="25"/>
        </w:rPr>
        <w:t>1</w:t>
      </w:r>
      <w:r>
        <w:rPr>
          <w:i/>
          <w:color w:val="BCBCBC"/>
          <w:spacing w:val="-4"/>
          <w:w w:val="69"/>
          <w:sz w:val="25"/>
        </w:rPr>
        <w:t>...:.</w:t>
      </w:r>
      <w:r>
        <w:rPr>
          <w:i/>
          <w:color w:val="BCBCBC"/>
          <w:spacing w:val="9"/>
          <w:w w:val="69"/>
          <w:sz w:val="25"/>
        </w:rPr>
        <w:t>"</w:t>
      </w:r>
      <w:r>
        <w:rPr>
          <w:i/>
          <w:color w:val="BCBCBC"/>
          <w:spacing w:val="-4"/>
          <w:w w:val="58"/>
          <w:sz w:val="25"/>
        </w:rPr>
        <w:t>....</w:t>
      </w:r>
    </w:p>
    <w:p>
      <w:pPr>
        <w:tabs>
          <w:tab w:pos="8433" w:val="left" w:leader="none"/>
          <w:tab w:pos="8657" w:val="left" w:leader="none"/>
        </w:tabs>
        <w:spacing w:line="84" w:lineRule="exact" w:before="0"/>
        <w:ind w:left="7806" w:right="0" w:firstLine="0"/>
        <w:jc w:val="left"/>
        <w:rPr>
          <w:sz w:val="8"/>
        </w:rPr>
      </w:pPr>
      <w:r>
        <w:rPr>
          <w:color w:val="959595"/>
          <w:w w:val="90"/>
          <w:sz w:val="8"/>
        </w:rPr>
        <w:t>I</w:t>
      </w:r>
      <w:r>
        <w:rPr>
          <w:color w:val="959595"/>
          <w:spacing w:val="76"/>
          <w:sz w:val="8"/>
        </w:rPr>
        <w:t>  </w:t>
      </w:r>
      <w:r>
        <w:rPr>
          <w:color w:val="BCBCBC"/>
          <w:w w:val="90"/>
          <w:sz w:val="8"/>
        </w:rPr>
        <w:t>-</w:t>
      </w:r>
      <w:r>
        <w:rPr>
          <w:color w:val="BCBCBC"/>
          <w:spacing w:val="61"/>
          <w:sz w:val="8"/>
        </w:rPr>
        <w:t>  </w:t>
      </w:r>
      <w:r>
        <w:rPr>
          <w:color w:val="BCBCBC"/>
          <w:spacing w:val="-10"/>
          <w:w w:val="85"/>
          <w:sz w:val="8"/>
        </w:rPr>
        <w:t>I</w:t>
      </w:r>
      <w:r>
        <w:rPr>
          <w:color w:val="BCBCBC"/>
          <w:sz w:val="8"/>
        </w:rPr>
        <w:tab/>
      </w:r>
      <w:r>
        <w:rPr>
          <w:color w:val="AAAAAA"/>
          <w:spacing w:val="-10"/>
          <w:w w:val="90"/>
          <w:sz w:val="8"/>
        </w:rPr>
        <w:t>l</w:t>
      </w:r>
      <w:r>
        <w:rPr>
          <w:color w:val="AAAAAA"/>
          <w:sz w:val="8"/>
        </w:rPr>
        <w:tab/>
      </w:r>
      <w:r>
        <w:rPr>
          <w:color w:val="BCBCBC"/>
          <w:spacing w:val="-2"/>
          <w:w w:val="70"/>
          <w:sz w:val="8"/>
        </w:rPr>
        <w:t>:-</w:t>
      </w:r>
      <w:r>
        <w:rPr>
          <w:color w:val="BCBCBC"/>
          <w:spacing w:val="-10"/>
          <w:w w:val="90"/>
          <w:sz w:val="8"/>
        </w:rPr>
        <w:t>.</w:t>
      </w:r>
    </w:p>
    <w:p>
      <w:pPr>
        <w:spacing w:line="260" w:lineRule="exact" w:before="50"/>
        <w:ind w:left="7839" w:right="0" w:firstLine="0"/>
        <w:jc w:val="left"/>
        <w:rPr>
          <w:b/>
          <w:sz w:val="25"/>
        </w:rPr>
      </w:pPr>
      <w:r>
        <w:rPr>
          <w:b/>
          <w:color w:val="1C1C1C"/>
          <w:w w:val="85"/>
          <w:sz w:val="26"/>
        </w:rPr>
        <w:t>JNI</w:t>
      </w:r>
      <w:r>
        <w:rPr>
          <w:b/>
          <w:color w:val="1C1C1C"/>
          <w:spacing w:val="-27"/>
          <w:w w:val="85"/>
          <w:sz w:val="26"/>
        </w:rPr>
        <w:t> </w:t>
      </w:r>
      <w:r>
        <w:rPr>
          <w:i/>
          <w:color w:val="313131"/>
          <w:w w:val="85"/>
          <w:sz w:val="24"/>
        </w:rPr>
        <w:t>13</w:t>
      </w:r>
      <w:r>
        <w:rPr>
          <w:i/>
          <w:color w:val="313131"/>
          <w:sz w:val="24"/>
        </w:rPr>
        <w:t> </w:t>
      </w:r>
      <w:r>
        <w:rPr>
          <w:b/>
          <w:color w:val="313131"/>
          <w:spacing w:val="-4"/>
          <w:w w:val="85"/>
          <w:sz w:val="25"/>
        </w:rPr>
        <w:t>2009</w:t>
      </w:r>
    </w:p>
    <w:p>
      <w:pPr>
        <w:spacing w:line="283" w:lineRule="exact" w:before="0"/>
        <w:ind w:left="0" w:right="1563" w:firstLine="0"/>
        <w:jc w:val="right"/>
        <w:rPr>
          <w:i/>
          <w:sz w:val="28"/>
        </w:rPr>
      </w:pPr>
      <w:r>
        <w:rPr>
          <w:color w:val="80807E"/>
          <w:w w:val="75"/>
          <w:sz w:val="24"/>
        </w:rPr>
        <w:t>Cffir:o</w:t>
      </w:r>
      <w:r>
        <w:rPr>
          <w:i/>
          <w:color w:val="959595"/>
          <w:w w:val="75"/>
          <w:sz w:val="28"/>
        </w:rPr>
        <w:t>rt</w:t>
      </w:r>
      <w:r>
        <w:rPr>
          <w:i/>
          <w:color w:val="959595"/>
          <w:spacing w:val="29"/>
          <w:sz w:val="28"/>
        </w:rPr>
        <w:t> </w:t>
      </w:r>
      <w:r>
        <w:rPr>
          <w:i/>
          <w:color w:val="BCBCBC"/>
          <w:w w:val="75"/>
          <w:sz w:val="28"/>
        </w:rPr>
        <w:t>,-</w:t>
      </w:r>
      <w:r>
        <w:rPr>
          <w:i/>
          <w:color w:val="BCBCBC"/>
          <w:spacing w:val="-2"/>
          <w:w w:val="75"/>
          <w:sz w:val="28"/>
        </w:rPr>
        <w:t>,,,,.</w:t>
      </w:r>
    </w:p>
    <w:p>
      <w:pPr>
        <w:pStyle w:val="BodyText"/>
        <w:spacing w:before="8"/>
        <w:rPr>
          <w:i/>
          <w:sz w:val="22"/>
        </w:rPr>
      </w:pPr>
    </w:p>
    <w:p>
      <w:pPr>
        <w:spacing w:after="0"/>
        <w:rPr>
          <w:sz w:val="22"/>
        </w:rPr>
        <w:sectPr>
          <w:headerReference w:type="default" r:id="rId343"/>
          <w:footerReference w:type="default" r:id="rId344"/>
          <w:pgSz w:w="12240" w:h="15840"/>
          <w:pgMar w:header="0" w:footer="0" w:top="1100" w:bottom="280" w:left="1000" w:right="820"/>
        </w:sectPr>
      </w:pPr>
    </w:p>
    <w:p>
      <w:pPr>
        <w:spacing w:before="94"/>
        <w:ind w:left="2258" w:right="0" w:firstLine="0"/>
        <w:jc w:val="center"/>
        <w:rPr>
          <w:sz w:val="19"/>
        </w:rPr>
      </w:pPr>
      <w:r>
        <w:rPr>
          <w:color w:val="525250"/>
          <w:sz w:val="19"/>
        </w:rPr>
        <w:t>SOUTHERN</w:t>
      </w:r>
      <w:r>
        <w:rPr>
          <w:color w:val="525250"/>
          <w:spacing w:val="1"/>
          <w:sz w:val="19"/>
        </w:rPr>
        <w:t> </w:t>
      </w:r>
      <w:r>
        <w:rPr>
          <w:color w:val="424442"/>
          <w:sz w:val="19"/>
        </w:rPr>
        <w:t>AS</w:t>
      </w:r>
      <w:r>
        <w:rPr>
          <w:color w:val="626260"/>
          <w:sz w:val="19"/>
        </w:rPr>
        <w:t>SOC</w:t>
      </w:r>
      <w:r>
        <w:rPr>
          <w:color w:val="313131"/>
          <w:sz w:val="19"/>
        </w:rPr>
        <w:t>I</w:t>
      </w:r>
      <w:r>
        <w:rPr>
          <w:color w:val="525250"/>
          <w:sz w:val="19"/>
        </w:rPr>
        <w:t>ATION</w:t>
      </w:r>
      <w:r>
        <w:rPr>
          <w:color w:val="525250"/>
          <w:spacing w:val="13"/>
          <w:sz w:val="19"/>
        </w:rPr>
        <w:t> </w:t>
      </w:r>
      <w:r>
        <w:rPr>
          <w:color w:val="525250"/>
          <w:sz w:val="19"/>
        </w:rPr>
        <w:t>Of</w:t>
      </w:r>
      <w:r>
        <w:rPr>
          <w:color w:val="525250"/>
          <w:spacing w:val="53"/>
          <w:sz w:val="19"/>
        </w:rPr>
        <w:t> </w:t>
      </w:r>
      <w:r>
        <w:rPr>
          <w:color w:val="626260"/>
          <w:sz w:val="19"/>
        </w:rPr>
        <w:t>CO</w:t>
      </w:r>
      <w:r>
        <w:rPr>
          <w:color w:val="313131"/>
          <w:sz w:val="19"/>
        </w:rPr>
        <w:t>L</w:t>
      </w:r>
      <w:r>
        <w:rPr>
          <w:color w:val="525250"/>
          <w:sz w:val="19"/>
        </w:rPr>
        <w:t>L</w:t>
      </w:r>
      <w:r>
        <w:rPr>
          <w:color w:val="313131"/>
          <w:sz w:val="19"/>
        </w:rPr>
        <w:t>EG</w:t>
      </w:r>
      <w:r>
        <w:rPr>
          <w:color w:val="525250"/>
          <w:sz w:val="19"/>
        </w:rPr>
        <w:t>ES</w:t>
      </w:r>
      <w:r>
        <w:rPr>
          <w:color w:val="525250"/>
          <w:spacing w:val="-22"/>
          <w:sz w:val="19"/>
        </w:rPr>
        <w:t> </w:t>
      </w:r>
      <w:r>
        <w:rPr>
          <w:color w:val="525250"/>
          <w:sz w:val="19"/>
        </w:rPr>
        <w:t>ANO</w:t>
      </w:r>
      <w:r>
        <w:rPr>
          <w:color w:val="525250"/>
          <w:spacing w:val="-9"/>
          <w:sz w:val="19"/>
        </w:rPr>
        <w:t> </w:t>
      </w:r>
      <w:r>
        <w:rPr>
          <w:color w:val="424442"/>
          <w:spacing w:val="-2"/>
          <w:sz w:val="19"/>
        </w:rPr>
        <w:t>SCHOOLS</w:t>
      </w:r>
    </w:p>
    <w:p>
      <w:pPr>
        <w:spacing w:before="69"/>
        <w:ind w:left="2531" w:right="319" w:firstLine="0"/>
        <w:jc w:val="center"/>
        <w:rPr>
          <w:b/>
          <w:sz w:val="20"/>
        </w:rPr>
      </w:pPr>
      <w:r>
        <w:rPr>
          <w:b/>
          <w:color w:val="525250"/>
          <w:w w:val="155"/>
          <w:sz w:val="20"/>
        </w:rPr>
        <w:t>CO</w:t>
      </w:r>
      <w:r>
        <w:rPr>
          <w:b/>
          <w:color w:val="1C1C1C"/>
          <w:w w:val="155"/>
          <w:sz w:val="20"/>
        </w:rPr>
        <w:t>MMI</w:t>
      </w:r>
      <w:r>
        <w:rPr>
          <w:b/>
          <w:color w:val="626260"/>
          <w:w w:val="155"/>
          <w:sz w:val="20"/>
        </w:rPr>
        <w:t>SS</w:t>
      </w:r>
      <w:r>
        <w:rPr>
          <w:b/>
          <w:color w:val="030303"/>
          <w:w w:val="155"/>
          <w:sz w:val="20"/>
        </w:rPr>
        <w:t>I</w:t>
      </w:r>
      <w:r>
        <w:rPr>
          <w:b/>
          <w:color w:val="313131"/>
          <w:w w:val="155"/>
          <w:sz w:val="20"/>
        </w:rPr>
        <w:t>ON</w:t>
      </w:r>
      <w:r>
        <w:rPr>
          <w:b/>
          <w:color w:val="313131"/>
          <w:spacing w:val="28"/>
          <w:w w:val="155"/>
          <w:sz w:val="20"/>
        </w:rPr>
        <w:t>  </w:t>
      </w:r>
      <w:r>
        <w:rPr>
          <w:b/>
          <w:color w:val="424442"/>
          <w:w w:val="155"/>
          <w:sz w:val="20"/>
        </w:rPr>
        <w:t>ON</w:t>
      </w:r>
      <w:r>
        <w:rPr>
          <w:b/>
          <w:color w:val="424442"/>
          <w:spacing w:val="17"/>
          <w:w w:val="155"/>
          <w:sz w:val="20"/>
        </w:rPr>
        <w:t>  </w:t>
      </w:r>
      <w:r>
        <w:rPr>
          <w:b/>
          <w:color w:val="424442"/>
          <w:spacing w:val="-2"/>
          <w:w w:val="155"/>
          <w:sz w:val="20"/>
        </w:rPr>
        <w:t>CO</w:t>
      </w:r>
      <w:r>
        <w:rPr>
          <w:b/>
          <w:color w:val="1C1C1C"/>
          <w:spacing w:val="-2"/>
          <w:w w:val="155"/>
          <w:sz w:val="20"/>
        </w:rPr>
        <w:t>LLEG</w:t>
      </w:r>
      <w:r>
        <w:rPr>
          <w:b/>
          <w:color w:val="525250"/>
          <w:spacing w:val="-2"/>
          <w:w w:val="155"/>
          <w:sz w:val="20"/>
        </w:rPr>
        <w:t>ES</w:t>
      </w:r>
    </w:p>
    <w:p>
      <w:pPr>
        <w:spacing w:line="268" w:lineRule="auto" w:before="34"/>
        <w:ind w:left="2943" w:right="667" w:firstLine="0"/>
        <w:jc w:val="center"/>
        <w:rPr>
          <w:sz w:val="16"/>
        </w:rPr>
      </w:pPr>
      <w:r>
        <w:rPr>
          <w:color w:val="707270"/>
          <w:sz w:val="16"/>
        </w:rPr>
        <w:t>1/1</w:t>
      </w:r>
      <w:r>
        <w:rPr>
          <w:color w:val="959595"/>
          <w:sz w:val="16"/>
        </w:rPr>
        <w:t>!,6</w:t>
      </w:r>
      <w:r>
        <w:rPr>
          <w:color w:val="959595"/>
          <w:spacing w:val="-8"/>
          <w:sz w:val="16"/>
        </w:rPr>
        <w:t> </w:t>
      </w:r>
      <w:r>
        <w:rPr>
          <w:rFonts w:ascii="Times New Roman" w:hAnsi="Times New Roman"/>
          <w:color w:val="80807E"/>
          <w:sz w:val="19"/>
        </w:rPr>
        <w:t>Southern</w:t>
      </w:r>
      <w:r>
        <w:rPr>
          <w:rFonts w:ascii="Times New Roman" w:hAnsi="Times New Roman"/>
          <w:color w:val="80807E"/>
          <w:spacing w:val="-12"/>
          <w:sz w:val="19"/>
        </w:rPr>
        <w:t> </w:t>
      </w:r>
      <w:r>
        <w:rPr>
          <w:color w:val="80807E"/>
          <w:sz w:val="16"/>
        </w:rPr>
        <w:t>L•ne</w:t>
      </w:r>
      <w:r>
        <w:rPr>
          <w:color w:val="80807E"/>
          <w:spacing w:val="-5"/>
          <w:sz w:val="16"/>
        </w:rPr>
        <w:t> </w:t>
      </w:r>
      <w:r>
        <w:rPr>
          <w:color w:val="1C1C1C"/>
          <w:sz w:val="16"/>
        </w:rPr>
        <w:t>•</w:t>
      </w:r>
      <w:r>
        <w:rPr>
          <w:color w:val="1C1C1C"/>
          <w:spacing w:val="16"/>
          <w:sz w:val="16"/>
        </w:rPr>
        <w:t> </w:t>
      </w:r>
      <w:r>
        <w:rPr>
          <w:rFonts w:ascii="Times New Roman" w:hAnsi="Times New Roman"/>
          <w:color w:val="80807E"/>
          <w:sz w:val="19"/>
        </w:rPr>
        <w:t>O.•c.atur</w:t>
      </w:r>
      <w:r>
        <w:rPr>
          <w:rFonts w:ascii="Times New Roman" w:hAnsi="Times New Roman"/>
          <w:color w:val="BCBCBC"/>
          <w:sz w:val="19"/>
        </w:rPr>
        <w:t>,</w:t>
      </w:r>
      <w:r>
        <w:rPr>
          <w:rFonts w:ascii="Times New Roman" w:hAnsi="Times New Roman"/>
          <w:color w:val="BCBCBC"/>
          <w:spacing w:val="-4"/>
          <w:sz w:val="19"/>
        </w:rPr>
        <w:t> </w:t>
      </w:r>
      <w:r>
        <w:rPr>
          <w:color w:val="959595"/>
          <w:sz w:val="16"/>
        </w:rPr>
        <w:t>Georgia</w:t>
      </w:r>
      <w:r>
        <w:rPr>
          <w:color w:val="959595"/>
          <w:spacing w:val="-15"/>
          <w:sz w:val="16"/>
        </w:rPr>
        <w:t> </w:t>
      </w:r>
      <w:r>
        <w:rPr>
          <w:color w:val="AAAAAA"/>
          <w:sz w:val="16"/>
        </w:rPr>
        <w:t>10033</w:t>
      </w:r>
      <w:r>
        <w:rPr>
          <w:color w:val="80807E"/>
          <w:sz w:val="16"/>
        </w:rPr>
        <w:t>-4097 Telepl,ore </w:t>
      </w:r>
      <w:r>
        <w:rPr>
          <w:color w:val="BCBCBC"/>
          <w:sz w:val="16"/>
        </w:rPr>
        <w:t>•</w:t>
      </w:r>
      <w:r>
        <w:rPr>
          <w:color w:val="626260"/>
          <w:sz w:val="16"/>
        </w:rPr>
        <w:t>1</w:t>
      </w:r>
      <w:r>
        <w:rPr>
          <w:color w:val="80807E"/>
          <w:sz w:val="16"/>
        </w:rPr>
        <w:t>04</w:t>
      </w:r>
      <w:r>
        <w:rPr>
          <w:color w:val="AAAAAA"/>
          <w:sz w:val="16"/>
        </w:rPr>
        <w:t>f(.7q-4500</w:t>
      </w:r>
      <w:r>
        <w:rPr>
          <w:color w:val="AAAAAA"/>
          <w:spacing w:val="-7"/>
          <w:sz w:val="16"/>
        </w:rPr>
        <w:t> </w:t>
      </w:r>
      <w:r>
        <w:rPr>
          <w:rFonts w:ascii="Times New Roman" w:hAnsi="Times New Roman"/>
          <w:color w:val="959595"/>
          <w:w w:val="180"/>
          <w:sz w:val="20"/>
        </w:rPr>
        <w:t>•x</w:t>
      </w:r>
      <w:r>
        <w:rPr>
          <w:rFonts w:ascii="Times New Roman" w:hAnsi="Times New Roman"/>
          <w:color w:val="959595"/>
          <w:spacing w:val="-16"/>
          <w:w w:val="180"/>
          <w:sz w:val="20"/>
        </w:rPr>
        <w:t> </w:t>
      </w:r>
      <w:r>
        <w:rPr>
          <w:color w:val="80807E"/>
          <w:sz w:val="16"/>
        </w:rPr>
        <w:t>40◄</w:t>
      </w:r>
      <w:r>
        <w:rPr>
          <w:color w:val="AAAAAA"/>
          <w:sz w:val="16"/>
        </w:rPr>
        <w:t>167</w:t>
      </w:r>
      <w:r>
        <w:rPr>
          <w:color w:val="80807E"/>
          <w:sz w:val="16"/>
        </w:rPr>
        <w:t>'!</w:t>
      </w:r>
      <w:r>
        <w:rPr>
          <w:color w:val="80807E"/>
          <w:spacing w:val="40"/>
          <w:sz w:val="16"/>
        </w:rPr>
        <w:t> </w:t>
      </w:r>
      <w:r>
        <w:rPr>
          <w:color w:val="80807E"/>
          <w:sz w:val="16"/>
        </w:rPr>
        <w:t>4558</w:t>
      </w:r>
    </w:p>
    <w:p>
      <w:pPr>
        <w:spacing w:before="71"/>
        <w:ind w:left="2531" w:right="299" w:firstLine="0"/>
        <w:jc w:val="center"/>
        <w:rPr>
          <w:b/>
          <w:sz w:val="12"/>
        </w:rPr>
      </w:pPr>
      <w:r>
        <w:rPr>
          <w:b/>
          <w:color w:val="707270"/>
          <w:w w:val="105"/>
          <w:sz w:val="12"/>
        </w:rPr>
        <w:t>WWW</w:t>
      </w:r>
      <w:r>
        <w:rPr>
          <w:b/>
          <w:color w:val="959595"/>
          <w:w w:val="105"/>
          <w:sz w:val="12"/>
        </w:rPr>
        <w:t>-</w:t>
      </w:r>
      <w:r>
        <w:rPr>
          <w:b/>
          <w:color w:val="959595"/>
          <w:spacing w:val="-2"/>
          <w:w w:val="105"/>
          <w:sz w:val="12"/>
        </w:rPr>
        <w:t>'&gt;t'(\COC..O</w:t>
      </w:r>
      <w:r>
        <w:rPr>
          <w:b/>
          <w:color w:val="424442"/>
          <w:spacing w:val="-2"/>
          <w:w w:val="105"/>
          <w:sz w:val="12"/>
        </w:rPr>
        <w:t>l</w:t>
      </w:r>
      <w:r>
        <w:rPr>
          <w:b/>
          <w:color w:val="959595"/>
          <w:spacing w:val="-2"/>
          <w:w w:val="105"/>
          <w:sz w:val="12"/>
        </w:rPr>
        <w:t>'g</w:t>
      </w:r>
    </w:p>
    <w:p>
      <w:pPr>
        <w:pStyle w:val="BodyText"/>
        <w:spacing w:before="6"/>
        <w:rPr>
          <w:b/>
          <w:sz w:val="12"/>
        </w:rPr>
      </w:pPr>
    </w:p>
    <w:p>
      <w:pPr>
        <w:spacing w:before="0"/>
        <w:ind w:left="2531" w:right="234" w:firstLine="0"/>
        <w:jc w:val="center"/>
        <w:rPr>
          <w:sz w:val="21"/>
        </w:rPr>
      </w:pPr>
      <w:r>
        <w:rPr>
          <w:color w:val="80807E"/>
          <w:w w:val="105"/>
          <w:sz w:val="21"/>
        </w:rPr>
        <w:t>January</w:t>
      </w:r>
      <w:r>
        <w:rPr>
          <w:color w:val="80807E"/>
          <w:spacing w:val="-16"/>
          <w:w w:val="105"/>
          <w:sz w:val="21"/>
        </w:rPr>
        <w:t> </w:t>
      </w:r>
      <w:r>
        <w:rPr>
          <w:color w:val="959595"/>
          <w:w w:val="105"/>
          <w:sz w:val="21"/>
        </w:rPr>
        <w:t>9,</w:t>
      </w:r>
      <w:r>
        <w:rPr>
          <w:color w:val="959595"/>
          <w:spacing w:val="10"/>
          <w:w w:val="105"/>
          <w:sz w:val="21"/>
        </w:rPr>
        <w:t> </w:t>
      </w:r>
      <w:r>
        <w:rPr>
          <w:color w:val="80807E"/>
          <w:spacing w:val="-4"/>
          <w:w w:val="105"/>
          <w:sz w:val="21"/>
        </w:rPr>
        <w:t>2009</w:t>
      </w:r>
    </w:p>
    <w:p>
      <w:pPr>
        <w:spacing w:line="240" w:lineRule="auto" w:before="5"/>
        <w:rPr>
          <w:sz w:val="27"/>
        </w:rPr>
      </w:pPr>
      <w:r>
        <w:rPr/>
        <w:br w:type="column"/>
      </w:r>
      <w:r>
        <w:rPr>
          <w:sz w:val="27"/>
        </w:rPr>
      </w:r>
    </w:p>
    <w:p>
      <w:pPr>
        <w:spacing w:before="0"/>
        <w:ind w:left="0" w:right="634" w:firstLine="0"/>
        <w:jc w:val="right"/>
        <w:rPr>
          <w:i/>
          <w:sz w:val="20"/>
        </w:rPr>
      </w:pPr>
      <w:r>
        <w:rPr>
          <w:i/>
          <w:color w:val="959595"/>
          <w:w w:val="105"/>
          <w:sz w:val="22"/>
        </w:rPr>
        <w:t>c!,t!.:</w:t>
      </w:r>
      <w:r>
        <w:rPr>
          <w:i/>
          <w:color w:val="959595"/>
          <w:spacing w:val="-29"/>
          <w:w w:val="105"/>
          <w:sz w:val="22"/>
        </w:rPr>
        <w:t> </w:t>
      </w:r>
      <w:r>
        <w:rPr>
          <w:i/>
          <w:color w:val="80807E"/>
          <w:spacing w:val="-2"/>
          <w:w w:val="105"/>
          <w:sz w:val="27"/>
        </w:rPr>
        <w:t>L)t',</w:t>
      </w:r>
      <w:r>
        <w:rPr>
          <w:i/>
          <w:color w:val="959595"/>
          <w:spacing w:val="-2"/>
          <w:w w:val="105"/>
          <w:sz w:val="20"/>
        </w:rPr>
        <w:t>7,;',..</w:t>
      </w:r>
      <w:r>
        <w:rPr>
          <w:i/>
          <w:color w:val="707270"/>
          <w:spacing w:val="-2"/>
          <w:w w:val="105"/>
          <w:sz w:val="20"/>
        </w:rPr>
        <w:t>/e.U</w:t>
      </w:r>
    </w:p>
    <w:p>
      <w:pPr>
        <w:spacing w:line="275" w:lineRule="exact" w:before="90"/>
        <w:ind w:left="0" w:right="635" w:firstLine="0"/>
        <w:jc w:val="right"/>
        <w:rPr>
          <w:i/>
          <w:sz w:val="28"/>
        </w:rPr>
      </w:pPr>
      <w:r>
        <w:rPr>
          <w:i/>
          <w:color w:val="707270"/>
          <w:w w:val="105"/>
          <w:sz w:val="31"/>
        </w:rPr>
        <w:t>j)r.</w:t>
      </w:r>
      <w:r>
        <w:rPr>
          <w:i/>
          <w:color w:val="707270"/>
          <w:spacing w:val="-49"/>
          <w:w w:val="105"/>
          <w:sz w:val="31"/>
        </w:rPr>
        <w:t> </w:t>
      </w:r>
      <w:r>
        <w:rPr>
          <w:i/>
          <w:color w:val="707270"/>
          <w:spacing w:val="-2"/>
          <w:w w:val="105"/>
          <w:sz w:val="28"/>
        </w:rPr>
        <w:t>,t/1,1;3/</w:t>
      </w:r>
    </w:p>
    <w:p>
      <w:pPr>
        <w:spacing w:line="678" w:lineRule="exact" w:before="0"/>
        <w:ind w:left="844" w:right="0" w:firstLine="0"/>
        <w:jc w:val="left"/>
        <w:rPr>
          <w:i/>
          <w:sz w:val="66"/>
        </w:rPr>
      </w:pPr>
      <w:r>
        <w:rPr>
          <w:i/>
          <w:color w:val="313131"/>
          <w:spacing w:val="-2"/>
          <w:w w:val="75"/>
          <w:sz w:val="46"/>
        </w:rPr>
        <w:t>Jj</w:t>
      </w:r>
      <w:r>
        <w:rPr>
          <w:i/>
          <w:color w:val="313131"/>
          <w:spacing w:val="-2"/>
          <w:w w:val="75"/>
          <w:sz w:val="66"/>
        </w:rPr>
        <w:t>lo/Ii</w:t>
      </w:r>
    </w:p>
    <w:p>
      <w:pPr>
        <w:spacing w:after="0" w:line="678" w:lineRule="exact"/>
        <w:jc w:val="left"/>
        <w:rPr>
          <w:sz w:val="66"/>
        </w:rPr>
        <w:sectPr>
          <w:type w:val="continuous"/>
          <w:pgSz w:w="12240" w:h="15840"/>
          <w:pgMar w:header="0" w:footer="0" w:top="1360" w:bottom="280" w:left="1000" w:right="820"/>
          <w:cols w:num="2" w:equalWidth="0">
            <w:col w:w="7511" w:space="40"/>
            <w:col w:w="2869"/>
          </w:cols>
        </w:sectPr>
      </w:pPr>
    </w:p>
    <w:p>
      <w:pPr>
        <w:pStyle w:val="BodyText"/>
        <w:rPr>
          <w:i/>
        </w:rPr>
      </w:pPr>
    </w:p>
    <w:p>
      <w:pPr>
        <w:pStyle w:val="BodyText"/>
        <w:rPr>
          <w:i/>
        </w:rPr>
      </w:pPr>
    </w:p>
    <w:p>
      <w:pPr>
        <w:pStyle w:val="BodyText"/>
        <w:spacing w:before="3"/>
        <w:rPr>
          <w:i/>
          <w:sz w:val="19"/>
        </w:rPr>
      </w:pPr>
    </w:p>
    <w:p>
      <w:pPr>
        <w:spacing w:before="94"/>
        <w:ind w:left="595" w:right="7005" w:firstLine="0"/>
        <w:jc w:val="left"/>
        <w:rPr>
          <w:sz w:val="21"/>
        </w:rPr>
      </w:pPr>
      <w:r>
        <w:rPr>
          <w:color w:val="525250"/>
          <w:w w:val="105"/>
          <w:sz w:val="21"/>
        </w:rPr>
        <w:t>Dr</w:t>
      </w:r>
      <w:r>
        <w:rPr>
          <w:color w:val="AAAAAA"/>
          <w:w w:val="105"/>
          <w:sz w:val="21"/>
        </w:rPr>
        <w:t>.</w:t>
      </w:r>
      <w:r>
        <w:rPr>
          <w:color w:val="AAAAAA"/>
          <w:spacing w:val="-16"/>
          <w:w w:val="105"/>
          <w:sz w:val="21"/>
        </w:rPr>
        <w:t> </w:t>
      </w:r>
      <w:r>
        <w:rPr>
          <w:color w:val="525250"/>
          <w:w w:val="105"/>
          <w:sz w:val="21"/>
        </w:rPr>
        <w:t>W</w:t>
      </w:r>
      <w:r>
        <w:rPr>
          <w:color w:val="707270"/>
          <w:w w:val="105"/>
          <w:sz w:val="21"/>
        </w:rPr>
        <w:t>i</w:t>
      </w:r>
      <w:r>
        <w:rPr>
          <w:color w:val="525250"/>
          <w:w w:val="105"/>
          <w:sz w:val="21"/>
        </w:rPr>
        <w:t>ll</w:t>
      </w:r>
      <w:r>
        <w:rPr>
          <w:color w:val="80807E"/>
          <w:w w:val="105"/>
          <w:sz w:val="21"/>
        </w:rPr>
        <w:t>i</w:t>
      </w:r>
      <w:r>
        <w:rPr>
          <w:color w:val="525250"/>
          <w:w w:val="105"/>
          <w:sz w:val="21"/>
        </w:rPr>
        <w:t>am</w:t>
      </w:r>
      <w:r>
        <w:rPr>
          <w:color w:val="525250"/>
          <w:spacing w:val="-15"/>
          <w:w w:val="105"/>
          <w:sz w:val="21"/>
        </w:rPr>
        <w:t> </w:t>
      </w:r>
      <w:r>
        <w:rPr>
          <w:color w:val="707270"/>
          <w:w w:val="105"/>
          <w:sz w:val="21"/>
        </w:rPr>
        <w:t>R.</w:t>
      </w:r>
      <w:r>
        <w:rPr>
          <w:color w:val="707270"/>
          <w:spacing w:val="-15"/>
          <w:w w:val="105"/>
          <w:sz w:val="21"/>
        </w:rPr>
        <w:t> </w:t>
      </w:r>
      <w:r>
        <w:rPr>
          <w:color w:val="626260"/>
          <w:w w:val="105"/>
          <w:sz w:val="21"/>
        </w:rPr>
        <w:t>Harvey </w:t>
      </w:r>
      <w:r>
        <w:rPr>
          <w:color w:val="707270"/>
          <w:spacing w:val="-2"/>
          <w:w w:val="105"/>
          <w:sz w:val="21"/>
        </w:rPr>
        <w:t>Preside</w:t>
      </w:r>
      <w:r>
        <w:rPr>
          <w:color w:val="525250"/>
          <w:spacing w:val="-2"/>
          <w:w w:val="105"/>
          <w:sz w:val="21"/>
        </w:rPr>
        <w:t>nt</w:t>
      </w:r>
    </w:p>
    <w:p>
      <w:pPr>
        <w:spacing w:before="11"/>
        <w:ind w:left="587" w:right="7408" w:firstLine="7"/>
        <w:jc w:val="left"/>
        <w:rPr>
          <w:sz w:val="21"/>
        </w:rPr>
      </w:pPr>
      <w:r>
        <w:rPr/>
        <w:drawing>
          <wp:anchor distT="0" distB="0" distL="0" distR="0" allowOverlap="1" layoutInCell="1" locked="0" behindDoc="0" simplePos="0" relativeHeight="15749120">
            <wp:simplePos x="0" y="0"/>
            <wp:positionH relativeFrom="page">
              <wp:posOffset>5912759</wp:posOffset>
            </wp:positionH>
            <wp:positionV relativeFrom="paragraph">
              <wp:posOffset>132065</wp:posOffset>
            </wp:positionV>
            <wp:extent cx="431417" cy="161345"/>
            <wp:effectExtent l="0" t="0" r="0" b="0"/>
            <wp:wrapNone/>
            <wp:docPr id="19" name="image12.jpeg"/>
            <wp:cNvGraphicFramePr>
              <a:graphicFrameLocks noChangeAspect="1"/>
            </wp:cNvGraphicFramePr>
            <a:graphic>
              <a:graphicData uri="http://schemas.openxmlformats.org/drawingml/2006/picture">
                <pic:pic>
                  <pic:nvPicPr>
                    <pic:cNvPr id="20" name="image12.jpeg"/>
                    <pic:cNvPicPr/>
                  </pic:nvPicPr>
                  <pic:blipFill>
                    <a:blip r:embed="rId346" cstate="print"/>
                    <a:stretch>
                      <a:fillRect/>
                    </a:stretch>
                  </pic:blipFill>
                  <pic:spPr>
                    <a:xfrm>
                      <a:off x="0" y="0"/>
                      <a:ext cx="431417" cy="161345"/>
                    </a:xfrm>
                    <a:prstGeom prst="rect">
                      <a:avLst/>
                    </a:prstGeom>
                  </pic:spPr>
                </pic:pic>
              </a:graphicData>
            </a:graphic>
          </wp:anchor>
        </w:drawing>
      </w:r>
      <w:r>
        <w:rPr>
          <w:color w:val="626260"/>
          <w:w w:val="105"/>
          <w:sz w:val="21"/>
        </w:rPr>
        <w:t>H</w:t>
      </w:r>
      <w:r>
        <w:rPr>
          <w:color w:val="80807E"/>
          <w:w w:val="105"/>
          <w:sz w:val="21"/>
        </w:rPr>
        <w:t>a</w:t>
      </w:r>
      <w:r>
        <w:rPr>
          <w:color w:val="626260"/>
          <w:w w:val="105"/>
          <w:sz w:val="21"/>
        </w:rPr>
        <w:t>mpton</w:t>
      </w:r>
      <w:r>
        <w:rPr>
          <w:color w:val="626260"/>
          <w:spacing w:val="-22"/>
          <w:w w:val="105"/>
          <w:sz w:val="21"/>
        </w:rPr>
        <w:t> </w:t>
      </w:r>
      <w:r>
        <w:rPr>
          <w:color w:val="626260"/>
          <w:w w:val="105"/>
          <w:sz w:val="21"/>
        </w:rPr>
        <w:t>Un</w:t>
      </w:r>
      <w:r>
        <w:rPr>
          <w:color w:val="80807E"/>
          <w:w w:val="105"/>
          <w:sz w:val="21"/>
        </w:rPr>
        <w:t>iv</w:t>
      </w:r>
      <w:r>
        <w:rPr>
          <w:color w:val="626260"/>
          <w:w w:val="105"/>
          <w:sz w:val="21"/>
        </w:rPr>
        <w:t>ersity Office</w:t>
      </w:r>
      <w:r>
        <w:rPr>
          <w:color w:val="626260"/>
          <w:spacing w:val="-16"/>
          <w:w w:val="105"/>
          <w:sz w:val="21"/>
        </w:rPr>
        <w:t> </w:t>
      </w:r>
      <w:r>
        <w:rPr>
          <w:color w:val="424442"/>
          <w:w w:val="105"/>
          <w:sz w:val="21"/>
        </w:rPr>
        <w:t>of</w:t>
      </w:r>
      <w:r>
        <w:rPr>
          <w:color w:val="424442"/>
          <w:spacing w:val="-12"/>
          <w:w w:val="105"/>
          <w:sz w:val="21"/>
        </w:rPr>
        <w:t> </w:t>
      </w:r>
      <w:r>
        <w:rPr>
          <w:color w:val="626260"/>
          <w:w w:val="105"/>
          <w:sz w:val="21"/>
        </w:rPr>
        <w:t>t</w:t>
      </w:r>
      <w:r>
        <w:rPr>
          <w:color w:val="424442"/>
          <w:w w:val="105"/>
          <w:sz w:val="21"/>
        </w:rPr>
        <w:t>h</w:t>
      </w:r>
      <w:r>
        <w:rPr>
          <w:color w:val="626260"/>
          <w:w w:val="105"/>
          <w:sz w:val="21"/>
        </w:rPr>
        <w:t>e</w:t>
      </w:r>
      <w:r>
        <w:rPr>
          <w:color w:val="626260"/>
          <w:spacing w:val="-15"/>
          <w:w w:val="105"/>
          <w:sz w:val="21"/>
        </w:rPr>
        <w:t> </w:t>
      </w:r>
      <w:r>
        <w:rPr>
          <w:color w:val="525250"/>
          <w:w w:val="105"/>
          <w:sz w:val="21"/>
        </w:rPr>
        <w:t>Presid</w:t>
      </w:r>
      <w:r>
        <w:rPr>
          <w:color w:val="313131"/>
          <w:w w:val="105"/>
          <w:sz w:val="21"/>
        </w:rPr>
        <w:t>en</w:t>
      </w:r>
      <w:r>
        <w:rPr>
          <w:color w:val="525250"/>
          <w:w w:val="105"/>
          <w:sz w:val="21"/>
        </w:rPr>
        <w:t>t</w:t>
      </w:r>
    </w:p>
    <w:p>
      <w:pPr>
        <w:spacing w:line="241" w:lineRule="exact" w:before="11"/>
        <w:ind w:left="591" w:right="0" w:firstLine="0"/>
        <w:jc w:val="left"/>
        <w:rPr>
          <w:sz w:val="21"/>
        </w:rPr>
      </w:pPr>
      <w:r>
        <w:rPr>
          <w:color w:val="626260"/>
          <w:sz w:val="21"/>
        </w:rPr>
        <w:t>200</w:t>
      </w:r>
      <w:r>
        <w:rPr>
          <w:color w:val="626260"/>
          <w:spacing w:val="23"/>
          <w:sz w:val="21"/>
        </w:rPr>
        <w:t> </w:t>
      </w:r>
      <w:r>
        <w:rPr>
          <w:color w:val="525250"/>
          <w:sz w:val="21"/>
        </w:rPr>
        <w:t>Adm</w:t>
      </w:r>
      <w:r>
        <w:rPr>
          <w:color w:val="313131"/>
          <w:sz w:val="21"/>
        </w:rPr>
        <w:t>ini</w:t>
      </w:r>
      <w:r>
        <w:rPr>
          <w:color w:val="626260"/>
          <w:sz w:val="21"/>
        </w:rPr>
        <w:t>strat</w:t>
      </w:r>
      <w:r>
        <w:rPr>
          <w:color w:val="424442"/>
          <w:sz w:val="21"/>
        </w:rPr>
        <w:t>ion</w:t>
      </w:r>
      <w:r>
        <w:rPr>
          <w:color w:val="424442"/>
          <w:spacing w:val="27"/>
          <w:sz w:val="21"/>
        </w:rPr>
        <w:t> </w:t>
      </w:r>
      <w:r>
        <w:rPr>
          <w:color w:val="424442"/>
          <w:spacing w:val="-2"/>
          <w:sz w:val="21"/>
        </w:rPr>
        <w:t>B</w:t>
      </w:r>
      <w:r>
        <w:rPr>
          <w:color w:val="626260"/>
          <w:spacing w:val="-2"/>
          <w:sz w:val="21"/>
        </w:rPr>
        <w:t>u</w:t>
      </w:r>
      <w:r>
        <w:rPr>
          <w:color w:val="80807E"/>
          <w:spacing w:val="-2"/>
          <w:sz w:val="21"/>
        </w:rPr>
        <w:t>i</w:t>
      </w:r>
      <w:r>
        <w:rPr>
          <w:color w:val="525250"/>
          <w:spacing w:val="-2"/>
          <w:sz w:val="21"/>
        </w:rPr>
        <w:t>ld</w:t>
      </w:r>
      <w:r>
        <w:rPr>
          <w:color w:val="707270"/>
          <w:spacing w:val="-2"/>
          <w:sz w:val="21"/>
        </w:rPr>
        <w:t>i</w:t>
      </w:r>
      <w:r>
        <w:rPr>
          <w:color w:val="525250"/>
          <w:spacing w:val="-2"/>
          <w:sz w:val="21"/>
        </w:rPr>
        <w:t>ng</w:t>
      </w:r>
    </w:p>
    <w:p>
      <w:pPr>
        <w:spacing w:line="504" w:lineRule="auto" w:before="0"/>
        <w:ind w:left="581" w:right="7865" w:hanging="1"/>
        <w:jc w:val="left"/>
        <w:rPr>
          <w:sz w:val="21"/>
        </w:rPr>
      </w:pPr>
      <w:r>
        <w:rPr>
          <w:color w:val="626260"/>
          <w:w w:val="105"/>
          <w:sz w:val="21"/>
        </w:rPr>
        <w:t>Hampton</w:t>
      </w:r>
      <w:r>
        <w:rPr>
          <w:color w:val="959595"/>
          <w:w w:val="105"/>
          <w:sz w:val="21"/>
        </w:rPr>
        <w:t>,</w:t>
      </w:r>
      <w:r>
        <w:rPr>
          <w:color w:val="959595"/>
          <w:spacing w:val="-16"/>
          <w:w w:val="105"/>
          <w:sz w:val="21"/>
        </w:rPr>
        <w:t> </w:t>
      </w:r>
      <w:r>
        <w:rPr>
          <w:color w:val="626260"/>
          <w:w w:val="105"/>
          <w:sz w:val="21"/>
        </w:rPr>
        <w:t>VA</w:t>
      </w:r>
      <w:r>
        <w:rPr>
          <w:color w:val="626260"/>
          <w:spacing w:val="-15"/>
          <w:w w:val="105"/>
          <w:sz w:val="21"/>
        </w:rPr>
        <w:t> </w:t>
      </w:r>
      <w:r>
        <w:rPr>
          <w:color w:val="707270"/>
          <w:w w:val="105"/>
          <w:sz w:val="21"/>
        </w:rPr>
        <w:t>236</w:t>
      </w:r>
      <w:r>
        <w:rPr>
          <w:color w:val="525250"/>
          <w:w w:val="105"/>
          <w:sz w:val="21"/>
        </w:rPr>
        <w:t>68 </w:t>
      </w:r>
      <w:r>
        <w:rPr>
          <w:color w:val="626260"/>
          <w:w w:val="105"/>
          <w:sz w:val="21"/>
        </w:rPr>
        <w:t>Dear </w:t>
      </w:r>
      <w:r>
        <w:rPr>
          <w:color w:val="525250"/>
          <w:w w:val="105"/>
          <w:sz w:val="21"/>
        </w:rPr>
        <w:t>Dr.</w:t>
      </w:r>
      <w:r>
        <w:rPr>
          <w:color w:val="525250"/>
          <w:spacing w:val="-3"/>
          <w:w w:val="105"/>
          <w:sz w:val="21"/>
        </w:rPr>
        <w:t> </w:t>
      </w:r>
      <w:r>
        <w:rPr>
          <w:color w:val="313131"/>
          <w:w w:val="105"/>
          <w:sz w:val="21"/>
        </w:rPr>
        <w:t>H</w:t>
      </w:r>
      <w:r>
        <w:rPr>
          <w:color w:val="626260"/>
          <w:w w:val="105"/>
          <w:sz w:val="21"/>
        </w:rPr>
        <w:t>arvey</w:t>
      </w:r>
      <w:r>
        <w:rPr>
          <w:color w:val="959595"/>
          <w:w w:val="105"/>
          <w:sz w:val="21"/>
        </w:rPr>
        <w:t>:</w:t>
      </w:r>
    </w:p>
    <w:p>
      <w:pPr>
        <w:spacing w:line="215" w:lineRule="exact" w:before="0"/>
        <w:ind w:left="592" w:right="0" w:firstLine="0"/>
        <w:jc w:val="left"/>
        <w:rPr>
          <w:sz w:val="21"/>
        </w:rPr>
      </w:pPr>
      <w:r>
        <w:rPr>
          <w:color w:val="525250"/>
          <w:w w:val="105"/>
          <w:sz w:val="21"/>
        </w:rPr>
        <w:t>T</w:t>
      </w:r>
      <w:r>
        <w:rPr>
          <w:color w:val="707270"/>
          <w:w w:val="105"/>
          <w:sz w:val="21"/>
        </w:rPr>
        <w:t>he</w:t>
      </w:r>
      <w:r>
        <w:rPr>
          <w:color w:val="707270"/>
          <w:spacing w:val="2"/>
          <w:w w:val="105"/>
          <w:sz w:val="21"/>
        </w:rPr>
        <w:t> </w:t>
      </w:r>
      <w:r>
        <w:rPr>
          <w:color w:val="707270"/>
          <w:w w:val="105"/>
          <w:sz w:val="21"/>
        </w:rPr>
        <w:t>following</w:t>
      </w:r>
      <w:r>
        <w:rPr>
          <w:color w:val="707270"/>
          <w:spacing w:val="-14"/>
          <w:w w:val="105"/>
          <w:sz w:val="21"/>
        </w:rPr>
        <w:t> </w:t>
      </w:r>
      <w:r>
        <w:rPr>
          <w:color w:val="707270"/>
          <w:w w:val="105"/>
          <w:sz w:val="21"/>
        </w:rPr>
        <w:t>action</w:t>
      </w:r>
      <w:r>
        <w:rPr>
          <w:color w:val="707270"/>
          <w:spacing w:val="-23"/>
          <w:w w:val="105"/>
          <w:sz w:val="21"/>
        </w:rPr>
        <w:t> </w:t>
      </w:r>
      <w:r>
        <w:rPr>
          <w:color w:val="80807E"/>
          <w:w w:val="105"/>
          <w:sz w:val="21"/>
        </w:rPr>
        <w:t>rega</w:t>
      </w:r>
      <w:r>
        <w:rPr>
          <w:color w:val="626260"/>
          <w:w w:val="105"/>
          <w:sz w:val="21"/>
        </w:rPr>
        <w:t>rding </w:t>
      </w:r>
      <w:r>
        <w:rPr>
          <w:color w:val="707270"/>
          <w:w w:val="105"/>
          <w:sz w:val="21"/>
        </w:rPr>
        <w:t>your</w:t>
      </w:r>
      <w:r>
        <w:rPr>
          <w:color w:val="707270"/>
          <w:spacing w:val="-11"/>
          <w:w w:val="105"/>
          <w:sz w:val="21"/>
        </w:rPr>
        <w:t> </w:t>
      </w:r>
      <w:r>
        <w:rPr>
          <w:color w:val="80807E"/>
          <w:w w:val="105"/>
          <w:sz w:val="21"/>
        </w:rPr>
        <w:t>inst</w:t>
      </w:r>
      <w:r>
        <w:rPr>
          <w:color w:val="626260"/>
          <w:w w:val="105"/>
          <w:sz w:val="21"/>
        </w:rPr>
        <w:t>i</w:t>
      </w:r>
      <w:r>
        <w:rPr>
          <w:color w:val="80807E"/>
          <w:w w:val="105"/>
          <w:sz w:val="21"/>
        </w:rPr>
        <w:t>tution</w:t>
      </w:r>
      <w:r>
        <w:rPr>
          <w:color w:val="80807E"/>
          <w:spacing w:val="-10"/>
          <w:w w:val="105"/>
          <w:sz w:val="21"/>
        </w:rPr>
        <w:t> </w:t>
      </w:r>
      <w:r>
        <w:rPr>
          <w:color w:val="707270"/>
          <w:w w:val="105"/>
          <w:sz w:val="21"/>
        </w:rPr>
        <w:t>was</w:t>
      </w:r>
      <w:r>
        <w:rPr>
          <w:color w:val="707270"/>
          <w:spacing w:val="-13"/>
          <w:w w:val="105"/>
          <w:sz w:val="21"/>
        </w:rPr>
        <w:t> </w:t>
      </w:r>
      <w:r>
        <w:rPr>
          <w:color w:val="707270"/>
          <w:w w:val="105"/>
          <w:sz w:val="21"/>
        </w:rPr>
        <w:t>taken</w:t>
      </w:r>
      <w:r>
        <w:rPr>
          <w:color w:val="707270"/>
          <w:spacing w:val="-17"/>
          <w:w w:val="105"/>
          <w:sz w:val="21"/>
        </w:rPr>
        <w:t> </w:t>
      </w:r>
      <w:r>
        <w:rPr>
          <w:color w:val="80807E"/>
          <w:w w:val="105"/>
          <w:sz w:val="21"/>
        </w:rPr>
        <w:t>a</w:t>
      </w:r>
      <w:r>
        <w:rPr>
          <w:color w:val="626260"/>
          <w:w w:val="105"/>
          <w:sz w:val="21"/>
        </w:rPr>
        <w:t>t</w:t>
      </w:r>
      <w:r>
        <w:rPr>
          <w:color w:val="626260"/>
          <w:spacing w:val="1"/>
          <w:w w:val="105"/>
          <w:sz w:val="21"/>
        </w:rPr>
        <w:t> </w:t>
      </w:r>
      <w:r>
        <w:rPr>
          <w:color w:val="707270"/>
          <w:w w:val="105"/>
          <w:sz w:val="21"/>
        </w:rPr>
        <w:t>the</w:t>
      </w:r>
      <w:r>
        <w:rPr>
          <w:color w:val="707270"/>
          <w:spacing w:val="-25"/>
          <w:w w:val="105"/>
          <w:sz w:val="21"/>
        </w:rPr>
        <w:t> </w:t>
      </w:r>
      <w:r>
        <w:rPr>
          <w:color w:val="707270"/>
          <w:w w:val="105"/>
          <w:sz w:val="21"/>
        </w:rPr>
        <w:t>December</w:t>
      </w:r>
      <w:r>
        <w:rPr>
          <w:color w:val="707270"/>
          <w:spacing w:val="-8"/>
          <w:w w:val="105"/>
          <w:sz w:val="21"/>
        </w:rPr>
        <w:t> </w:t>
      </w:r>
      <w:r>
        <w:rPr>
          <w:color w:val="80807E"/>
          <w:w w:val="105"/>
          <w:sz w:val="21"/>
        </w:rPr>
        <w:t>2008</w:t>
      </w:r>
      <w:r>
        <w:rPr>
          <w:color w:val="80807E"/>
          <w:spacing w:val="-19"/>
          <w:w w:val="105"/>
          <w:sz w:val="21"/>
        </w:rPr>
        <w:t> </w:t>
      </w:r>
      <w:r>
        <w:rPr>
          <w:color w:val="80807E"/>
          <w:spacing w:val="-2"/>
          <w:w w:val="105"/>
          <w:sz w:val="21"/>
        </w:rPr>
        <w:t>me</w:t>
      </w:r>
      <w:r>
        <w:rPr>
          <w:color w:val="626260"/>
          <w:spacing w:val="-2"/>
          <w:w w:val="105"/>
          <w:sz w:val="21"/>
        </w:rPr>
        <w:t>eti</w:t>
      </w:r>
      <w:r>
        <w:rPr>
          <w:color w:val="80807E"/>
          <w:spacing w:val="-2"/>
          <w:w w:val="105"/>
          <w:sz w:val="21"/>
        </w:rPr>
        <w:t>ng</w:t>
      </w:r>
    </w:p>
    <w:p>
      <w:pPr>
        <w:spacing w:before="12"/>
        <w:ind w:left="576" w:right="0" w:firstLine="0"/>
        <w:jc w:val="left"/>
        <w:rPr>
          <w:sz w:val="21"/>
        </w:rPr>
      </w:pPr>
      <w:r>
        <w:rPr>
          <w:color w:val="707270"/>
          <w:w w:val="105"/>
          <w:sz w:val="21"/>
        </w:rPr>
        <w:t>of</w:t>
      </w:r>
      <w:r>
        <w:rPr>
          <w:color w:val="707270"/>
          <w:spacing w:val="2"/>
          <w:w w:val="105"/>
          <w:sz w:val="21"/>
        </w:rPr>
        <w:t> </w:t>
      </w:r>
      <w:r>
        <w:rPr>
          <w:color w:val="626260"/>
          <w:w w:val="105"/>
          <w:sz w:val="21"/>
        </w:rPr>
        <w:t>the</w:t>
      </w:r>
      <w:r>
        <w:rPr>
          <w:color w:val="626260"/>
          <w:spacing w:val="-20"/>
          <w:w w:val="105"/>
          <w:sz w:val="21"/>
        </w:rPr>
        <w:t> </w:t>
      </w:r>
      <w:r>
        <w:rPr>
          <w:color w:val="626260"/>
          <w:w w:val="105"/>
          <w:sz w:val="21"/>
        </w:rPr>
        <w:t>Co</w:t>
      </w:r>
      <w:r>
        <w:rPr>
          <w:color w:val="80807E"/>
          <w:w w:val="105"/>
          <w:sz w:val="21"/>
        </w:rPr>
        <w:t>mmissio</w:t>
      </w:r>
      <w:r>
        <w:rPr>
          <w:color w:val="626260"/>
          <w:w w:val="105"/>
          <w:sz w:val="21"/>
        </w:rPr>
        <w:t>n</w:t>
      </w:r>
      <w:r>
        <w:rPr>
          <w:color w:val="626260"/>
          <w:spacing w:val="-15"/>
          <w:w w:val="105"/>
          <w:sz w:val="21"/>
        </w:rPr>
        <w:t> </w:t>
      </w:r>
      <w:r>
        <w:rPr>
          <w:color w:val="707270"/>
          <w:w w:val="105"/>
          <w:sz w:val="21"/>
        </w:rPr>
        <w:t>on</w:t>
      </w:r>
      <w:r>
        <w:rPr>
          <w:color w:val="707270"/>
          <w:spacing w:val="-2"/>
          <w:w w:val="105"/>
          <w:sz w:val="21"/>
        </w:rPr>
        <w:t> </w:t>
      </w:r>
      <w:r>
        <w:rPr>
          <w:color w:val="80807E"/>
          <w:spacing w:val="-2"/>
          <w:w w:val="105"/>
          <w:sz w:val="21"/>
        </w:rPr>
        <w:t>Coll</w:t>
      </w:r>
      <w:r>
        <w:rPr>
          <w:color w:val="626260"/>
          <w:spacing w:val="-2"/>
          <w:w w:val="105"/>
          <w:sz w:val="21"/>
        </w:rPr>
        <w:t>eges</w:t>
      </w:r>
      <w:r>
        <w:rPr>
          <w:color w:val="959595"/>
          <w:spacing w:val="-2"/>
          <w:w w:val="105"/>
          <w:sz w:val="21"/>
        </w:rPr>
        <w:t>:</w:t>
      </w:r>
    </w:p>
    <w:p>
      <w:pPr>
        <w:pStyle w:val="BodyText"/>
        <w:rPr>
          <w:sz w:val="22"/>
        </w:rPr>
      </w:pPr>
    </w:p>
    <w:p>
      <w:pPr>
        <w:spacing w:line="247" w:lineRule="auto" w:before="0"/>
        <w:ind w:left="1289" w:right="1381" w:firstLine="10"/>
        <w:jc w:val="left"/>
        <w:rPr>
          <w:i/>
          <w:sz w:val="21"/>
        </w:rPr>
      </w:pPr>
      <w:r>
        <w:rPr>
          <w:color w:val="424442"/>
          <w:w w:val="105"/>
          <w:sz w:val="21"/>
        </w:rPr>
        <w:t>The</w:t>
      </w:r>
      <w:r>
        <w:rPr>
          <w:color w:val="424442"/>
          <w:spacing w:val="-7"/>
          <w:w w:val="105"/>
          <w:sz w:val="21"/>
        </w:rPr>
        <w:t> </w:t>
      </w:r>
      <w:r>
        <w:rPr>
          <w:color w:val="626260"/>
          <w:w w:val="105"/>
          <w:sz w:val="21"/>
        </w:rPr>
        <w:t>Co</w:t>
      </w:r>
      <w:r>
        <w:rPr>
          <w:color w:val="424442"/>
          <w:w w:val="105"/>
          <w:sz w:val="21"/>
        </w:rPr>
        <w:t>mmi</w:t>
      </w:r>
      <w:r>
        <w:rPr>
          <w:color w:val="626260"/>
          <w:w w:val="105"/>
          <w:sz w:val="21"/>
        </w:rPr>
        <w:t>ssion o</w:t>
      </w:r>
      <w:r>
        <w:rPr>
          <w:color w:val="424442"/>
          <w:w w:val="105"/>
          <w:sz w:val="21"/>
        </w:rPr>
        <w:t>n Coll</w:t>
      </w:r>
      <w:r>
        <w:rPr>
          <w:color w:val="707270"/>
          <w:w w:val="105"/>
          <w:sz w:val="21"/>
        </w:rPr>
        <w:t>eges </w:t>
      </w:r>
      <w:r>
        <w:rPr>
          <w:color w:val="525250"/>
          <w:w w:val="105"/>
          <w:sz w:val="21"/>
        </w:rPr>
        <w:t>reaffirm</w:t>
      </w:r>
      <w:r>
        <w:rPr>
          <w:color w:val="80807E"/>
          <w:w w:val="105"/>
          <w:sz w:val="21"/>
        </w:rPr>
        <w:t>e</w:t>
      </w:r>
      <w:r>
        <w:rPr>
          <w:color w:val="626260"/>
          <w:w w:val="105"/>
          <w:sz w:val="21"/>
        </w:rPr>
        <w:t>d accreditatio</w:t>
      </w:r>
      <w:r>
        <w:rPr>
          <w:color w:val="424442"/>
          <w:w w:val="105"/>
          <w:sz w:val="21"/>
        </w:rPr>
        <w:t>n </w:t>
      </w:r>
      <w:r>
        <w:rPr>
          <w:color w:val="525250"/>
          <w:w w:val="105"/>
          <w:sz w:val="21"/>
        </w:rPr>
        <w:t>a</w:t>
      </w:r>
      <w:r>
        <w:rPr>
          <w:color w:val="707270"/>
          <w:w w:val="105"/>
          <w:sz w:val="21"/>
        </w:rPr>
        <w:t>nd req</w:t>
      </w:r>
      <w:r>
        <w:rPr>
          <w:color w:val="424442"/>
          <w:w w:val="105"/>
          <w:sz w:val="21"/>
        </w:rPr>
        <w:t>ue</w:t>
      </w:r>
      <w:r>
        <w:rPr>
          <w:color w:val="626260"/>
          <w:w w:val="105"/>
          <w:sz w:val="21"/>
        </w:rPr>
        <w:t>s</w:t>
      </w:r>
      <w:r>
        <w:rPr>
          <w:color w:val="313131"/>
          <w:w w:val="105"/>
          <w:sz w:val="21"/>
        </w:rPr>
        <w:t>t</w:t>
      </w:r>
      <w:r>
        <w:rPr>
          <w:color w:val="626260"/>
          <w:w w:val="105"/>
          <w:sz w:val="21"/>
        </w:rPr>
        <w:t>ed </w:t>
      </w:r>
      <w:r>
        <w:rPr>
          <w:color w:val="707270"/>
          <w:w w:val="105"/>
          <w:sz w:val="21"/>
        </w:rPr>
        <w:t>a </w:t>
      </w:r>
      <w:r>
        <w:rPr>
          <w:color w:val="525250"/>
          <w:w w:val="105"/>
          <w:sz w:val="21"/>
        </w:rPr>
        <w:t>M</w:t>
      </w:r>
      <w:r>
        <w:rPr>
          <w:color w:val="707270"/>
          <w:w w:val="105"/>
          <w:sz w:val="21"/>
        </w:rPr>
        <w:t>onitoring </w:t>
      </w:r>
      <w:r>
        <w:rPr>
          <w:color w:val="525250"/>
          <w:w w:val="105"/>
          <w:sz w:val="21"/>
        </w:rPr>
        <w:t>R</w:t>
      </w:r>
      <w:r>
        <w:rPr>
          <w:color w:val="707270"/>
          <w:w w:val="105"/>
          <w:sz w:val="21"/>
        </w:rPr>
        <w:t>eport </w:t>
      </w:r>
      <w:r>
        <w:rPr>
          <w:color w:val="626260"/>
          <w:w w:val="105"/>
          <w:sz w:val="21"/>
        </w:rPr>
        <w:t>due </w:t>
      </w:r>
      <w:r>
        <w:rPr>
          <w:color w:val="424442"/>
          <w:w w:val="105"/>
          <w:sz w:val="21"/>
        </w:rPr>
        <w:t>September </w:t>
      </w:r>
      <w:r>
        <w:rPr>
          <w:b/>
          <w:color w:val="525250"/>
          <w:w w:val="105"/>
          <w:sz w:val="20"/>
        </w:rPr>
        <w:t>8</w:t>
      </w:r>
      <w:r>
        <w:rPr>
          <w:b/>
          <w:color w:val="707270"/>
          <w:w w:val="105"/>
          <w:sz w:val="20"/>
        </w:rPr>
        <w:t>,</w:t>
      </w:r>
      <w:r>
        <w:rPr>
          <w:b/>
          <w:color w:val="707270"/>
          <w:spacing w:val="-9"/>
          <w:w w:val="105"/>
          <w:sz w:val="20"/>
        </w:rPr>
        <w:t> </w:t>
      </w:r>
      <w:r>
        <w:rPr>
          <w:color w:val="525250"/>
          <w:w w:val="105"/>
          <w:sz w:val="21"/>
        </w:rPr>
        <w:t>2009</w:t>
      </w:r>
      <w:r>
        <w:rPr>
          <w:color w:val="959595"/>
          <w:w w:val="105"/>
          <w:sz w:val="21"/>
        </w:rPr>
        <w:t>,</w:t>
      </w:r>
      <w:r>
        <w:rPr>
          <w:color w:val="959595"/>
          <w:spacing w:val="-3"/>
          <w:w w:val="105"/>
          <w:sz w:val="21"/>
        </w:rPr>
        <w:t> </w:t>
      </w:r>
      <w:r>
        <w:rPr>
          <w:color w:val="707270"/>
          <w:w w:val="105"/>
          <w:sz w:val="21"/>
        </w:rPr>
        <w:t>addressing</w:t>
      </w:r>
      <w:r>
        <w:rPr>
          <w:color w:val="707270"/>
          <w:spacing w:val="-10"/>
          <w:w w:val="105"/>
          <w:sz w:val="21"/>
        </w:rPr>
        <w:t> </w:t>
      </w:r>
      <w:r>
        <w:rPr>
          <w:color w:val="525250"/>
          <w:w w:val="105"/>
          <w:sz w:val="21"/>
        </w:rPr>
        <w:t>t</w:t>
      </w:r>
      <w:r>
        <w:rPr>
          <w:color w:val="707270"/>
          <w:w w:val="105"/>
          <w:sz w:val="21"/>
        </w:rPr>
        <w:t>he visi</w:t>
      </w:r>
      <w:r>
        <w:rPr>
          <w:color w:val="525250"/>
          <w:w w:val="105"/>
          <w:sz w:val="21"/>
        </w:rPr>
        <w:t>t</w:t>
      </w:r>
      <w:r>
        <w:rPr>
          <w:color w:val="707270"/>
          <w:w w:val="105"/>
          <w:sz w:val="21"/>
        </w:rPr>
        <w:t>ing</w:t>
      </w:r>
      <w:r>
        <w:rPr>
          <w:color w:val="707270"/>
          <w:spacing w:val="-5"/>
          <w:w w:val="105"/>
          <w:sz w:val="21"/>
        </w:rPr>
        <w:t> </w:t>
      </w:r>
      <w:r>
        <w:rPr>
          <w:color w:val="80807E"/>
          <w:w w:val="105"/>
          <w:sz w:val="21"/>
        </w:rPr>
        <w:t>commi</w:t>
      </w:r>
      <w:r>
        <w:rPr>
          <w:color w:val="626260"/>
          <w:w w:val="105"/>
          <w:sz w:val="21"/>
        </w:rPr>
        <w:t>ttee'</w:t>
      </w:r>
      <w:r>
        <w:rPr>
          <w:color w:val="80807E"/>
          <w:w w:val="105"/>
          <w:sz w:val="21"/>
        </w:rPr>
        <w:t>s </w:t>
      </w:r>
      <w:r>
        <w:rPr>
          <w:color w:val="626260"/>
          <w:w w:val="105"/>
          <w:sz w:val="21"/>
        </w:rPr>
        <w:t>re</w:t>
      </w:r>
      <w:r>
        <w:rPr>
          <w:color w:val="80807E"/>
          <w:w w:val="105"/>
          <w:sz w:val="21"/>
        </w:rPr>
        <w:t>commend</w:t>
      </w:r>
      <w:r>
        <w:rPr>
          <w:color w:val="626260"/>
          <w:w w:val="105"/>
          <w:sz w:val="21"/>
        </w:rPr>
        <w:t>ati</w:t>
      </w:r>
      <w:r>
        <w:rPr>
          <w:color w:val="80807E"/>
          <w:w w:val="105"/>
          <w:sz w:val="21"/>
        </w:rPr>
        <w:t>on applicable </w:t>
      </w:r>
      <w:r>
        <w:rPr>
          <w:color w:val="707270"/>
          <w:w w:val="105"/>
          <w:sz w:val="21"/>
        </w:rPr>
        <w:t>to the </w:t>
      </w:r>
      <w:r>
        <w:rPr>
          <w:color w:val="80807E"/>
          <w:w w:val="105"/>
          <w:sz w:val="21"/>
        </w:rPr>
        <w:t>followin</w:t>
      </w:r>
      <w:r>
        <w:rPr>
          <w:color w:val="626260"/>
          <w:w w:val="105"/>
          <w:sz w:val="21"/>
        </w:rPr>
        <w:t>g </w:t>
      </w:r>
      <w:r>
        <w:rPr>
          <w:color w:val="80807E"/>
          <w:w w:val="105"/>
          <w:sz w:val="21"/>
        </w:rPr>
        <w:t>referenced </w:t>
      </w:r>
      <w:r>
        <w:rPr>
          <w:color w:val="707270"/>
          <w:w w:val="105"/>
          <w:sz w:val="21"/>
        </w:rPr>
        <w:t>standard </w:t>
      </w:r>
      <w:r>
        <w:rPr>
          <w:color w:val="80807E"/>
          <w:w w:val="105"/>
          <w:sz w:val="21"/>
        </w:rPr>
        <w:t>of </w:t>
      </w:r>
      <w:r>
        <w:rPr>
          <w:color w:val="707270"/>
          <w:w w:val="105"/>
          <w:sz w:val="21"/>
        </w:rPr>
        <w:t>th</w:t>
      </w:r>
      <w:r>
        <w:rPr>
          <w:color w:val="959595"/>
          <w:w w:val="105"/>
          <w:sz w:val="21"/>
        </w:rPr>
        <w:t>e </w:t>
      </w:r>
      <w:r>
        <w:rPr>
          <w:i/>
          <w:color w:val="424442"/>
          <w:spacing w:val="-2"/>
          <w:w w:val="105"/>
          <w:sz w:val="21"/>
        </w:rPr>
        <w:t>P</w:t>
      </w:r>
      <w:r>
        <w:rPr>
          <w:i/>
          <w:color w:val="626260"/>
          <w:spacing w:val="-2"/>
          <w:w w:val="105"/>
          <w:sz w:val="21"/>
        </w:rPr>
        <w:t>rin</w:t>
      </w:r>
      <w:r>
        <w:rPr>
          <w:i/>
          <w:color w:val="80807E"/>
          <w:spacing w:val="-2"/>
          <w:w w:val="105"/>
          <w:sz w:val="21"/>
        </w:rPr>
        <w:t>cip</w:t>
      </w:r>
      <w:r>
        <w:rPr>
          <w:i/>
          <w:color w:val="626260"/>
          <w:spacing w:val="-2"/>
          <w:w w:val="105"/>
          <w:sz w:val="21"/>
        </w:rPr>
        <w:t>l</w:t>
      </w:r>
      <w:r>
        <w:rPr>
          <w:i/>
          <w:color w:val="80807E"/>
          <w:spacing w:val="-2"/>
          <w:w w:val="105"/>
          <w:sz w:val="21"/>
        </w:rPr>
        <w:t>os:</w:t>
      </w:r>
    </w:p>
    <w:p>
      <w:pPr>
        <w:pStyle w:val="BodyText"/>
        <w:spacing w:before="9"/>
        <w:rPr>
          <w:i/>
        </w:rPr>
      </w:pPr>
    </w:p>
    <w:p>
      <w:pPr>
        <w:spacing w:line="251" w:lineRule="exact" w:before="0"/>
        <w:ind w:left="1294" w:right="0" w:firstLine="0"/>
        <w:jc w:val="left"/>
        <w:rPr>
          <w:sz w:val="21"/>
        </w:rPr>
      </w:pPr>
      <w:r>
        <w:rPr>
          <w:color w:val="1C1C1C"/>
          <w:w w:val="110"/>
          <w:sz w:val="21"/>
        </w:rPr>
        <w:t>CS</w:t>
      </w:r>
      <w:r>
        <w:rPr>
          <w:color w:val="1C1C1C"/>
          <w:spacing w:val="-22"/>
          <w:w w:val="110"/>
          <w:sz w:val="21"/>
        </w:rPr>
        <w:t> </w:t>
      </w:r>
      <w:r>
        <w:rPr>
          <w:rFonts w:ascii="Times New Roman"/>
          <w:color w:val="525250"/>
          <w:w w:val="110"/>
          <w:sz w:val="22"/>
        </w:rPr>
        <w:t>3.5.1</w:t>
      </w:r>
      <w:r>
        <w:rPr>
          <w:rFonts w:ascii="Times New Roman"/>
          <w:color w:val="525250"/>
          <w:spacing w:val="-7"/>
          <w:w w:val="110"/>
          <w:sz w:val="22"/>
        </w:rPr>
        <w:t> </w:t>
      </w:r>
      <w:r>
        <w:rPr>
          <w:color w:val="525250"/>
          <w:w w:val="110"/>
          <w:sz w:val="21"/>
        </w:rPr>
        <w:t>(</w:t>
      </w:r>
      <w:r>
        <w:rPr>
          <w:color w:val="313131"/>
          <w:w w:val="110"/>
          <w:sz w:val="21"/>
        </w:rPr>
        <w:t>Colle</w:t>
      </w:r>
      <w:r>
        <w:rPr>
          <w:color w:val="525250"/>
          <w:w w:val="110"/>
          <w:sz w:val="21"/>
        </w:rPr>
        <w:t>ge-</w:t>
      </w:r>
      <w:r>
        <w:rPr>
          <w:color w:val="313131"/>
          <w:w w:val="110"/>
          <w:sz w:val="21"/>
        </w:rPr>
        <w:t>L</w:t>
      </w:r>
      <w:r>
        <w:rPr>
          <w:color w:val="525250"/>
          <w:w w:val="110"/>
          <w:sz w:val="21"/>
        </w:rPr>
        <w:t>evel</w:t>
      </w:r>
      <w:r>
        <w:rPr>
          <w:color w:val="525250"/>
          <w:spacing w:val="14"/>
          <w:w w:val="110"/>
          <w:sz w:val="21"/>
        </w:rPr>
        <w:t> </w:t>
      </w:r>
      <w:r>
        <w:rPr>
          <w:color w:val="525250"/>
          <w:w w:val="110"/>
          <w:sz w:val="21"/>
        </w:rPr>
        <w:t>Compe</w:t>
      </w:r>
      <w:r>
        <w:rPr>
          <w:color w:val="313131"/>
          <w:w w:val="110"/>
          <w:sz w:val="21"/>
        </w:rPr>
        <w:t>t</w:t>
      </w:r>
      <w:r>
        <w:rPr>
          <w:color w:val="525250"/>
          <w:w w:val="110"/>
          <w:sz w:val="21"/>
        </w:rPr>
        <w:t>encies),</w:t>
      </w:r>
      <w:r>
        <w:rPr>
          <w:color w:val="525250"/>
          <w:spacing w:val="-6"/>
          <w:w w:val="110"/>
          <w:sz w:val="21"/>
        </w:rPr>
        <w:t> </w:t>
      </w:r>
      <w:r>
        <w:rPr>
          <w:color w:val="313131"/>
          <w:w w:val="110"/>
          <w:sz w:val="21"/>
        </w:rPr>
        <w:t>Re</w:t>
      </w:r>
      <w:r>
        <w:rPr>
          <w:color w:val="525250"/>
          <w:w w:val="110"/>
          <w:sz w:val="21"/>
        </w:rPr>
        <w:t>co</w:t>
      </w:r>
      <w:r>
        <w:rPr>
          <w:color w:val="313131"/>
          <w:w w:val="110"/>
          <w:sz w:val="21"/>
        </w:rPr>
        <w:t>mmend</w:t>
      </w:r>
      <w:r>
        <w:rPr>
          <w:color w:val="525250"/>
          <w:w w:val="110"/>
          <w:sz w:val="21"/>
        </w:rPr>
        <w:t>a</w:t>
      </w:r>
      <w:r>
        <w:rPr>
          <w:color w:val="313131"/>
          <w:w w:val="110"/>
          <w:sz w:val="21"/>
        </w:rPr>
        <w:t>t</w:t>
      </w:r>
      <w:r>
        <w:rPr>
          <w:color w:val="525250"/>
          <w:w w:val="110"/>
          <w:sz w:val="21"/>
        </w:rPr>
        <w:t>ion</w:t>
      </w:r>
      <w:r>
        <w:rPr>
          <w:color w:val="525250"/>
          <w:spacing w:val="4"/>
          <w:w w:val="110"/>
          <w:sz w:val="21"/>
        </w:rPr>
        <w:t> </w:t>
      </w:r>
      <w:r>
        <w:rPr>
          <w:color w:val="525250"/>
          <w:spacing w:val="-10"/>
          <w:w w:val="110"/>
          <w:sz w:val="21"/>
        </w:rPr>
        <w:t>2</w:t>
      </w:r>
    </w:p>
    <w:p>
      <w:pPr>
        <w:spacing w:line="247" w:lineRule="auto" w:before="0"/>
        <w:ind w:left="1282" w:right="1003" w:firstLine="3"/>
        <w:jc w:val="left"/>
        <w:rPr>
          <w:sz w:val="21"/>
        </w:rPr>
      </w:pPr>
      <w:r>
        <w:rPr>
          <w:color w:val="626260"/>
          <w:w w:val="105"/>
          <w:sz w:val="21"/>
        </w:rPr>
        <w:t>The</w:t>
      </w:r>
      <w:r>
        <w:rPr>
          <w:color w:val="626260"/>
          <w:spacing w:val="-34"/>
          <w:w w:val="105"/>
          <w:sz w:val="21"/>
        </w:rPr>
        <w:t> </w:t>
      </w:r>
      <w:r>
        <w:rPr>
          <w:color w:val="80807E"/>
          <w:w w:val="105"/>
          <w:sz w:val="21"/>
        </w:rPr>
        <w:t>instituti</w:t>
      </w:r>
      <w:r>
        <w:rPr>
          <w:color w:val="626260"/>
          <w:w w:val="105"/>
          <w:sz w:val="21"/>
        </w:rPr>
        <w:t>on</w:t>
      </w:r>
      <w:r>
        <w:rPr>
          <w:color w:val="626260"/>
          <w:spacing w:val="-6"/>
          <w:w w:val="105"/>
          <w:sz w:val="21"/>
        </w:rPr>
        <w:t> </w:t>
      </w:r>
      <w:r>
        <w:rPr>
          <w:color w:val="707270"/>
          <w:w w:val="105"/>
          <w:sz w:val="21"/>
        </w:rPr>
        <w:t>has</w:t>
      </w:r>
      <w:r>
        <w:rPr>
          <w:color w:val="707270"/>
          <w:spacing w:val="-1"/>
          <w:w w:val="105"/>
          <w:sz w:val="21"/>
        </w:rPr>
        <w:t> </w:t>
      </w:r>
      <w:r>
        <w:rPr>
          <w:color w:val="707270"/>
          <w:w w:val="105"/>
          <w:sz w:val="21"/>
        </w:rPr>
        <w:t>developed</w:t>
      </w:r>
      <w:r>
        <w:rPr>
          <w:color w:val="707270"/>
          <w:spacing w:val="-6"/>
          <w:w w:val="105"/>
          <w:sz w:val="21"/>
        </w:rPr>
        <w:t> </w:t>
      </w:r>
      <w:r>
        <w:rPr>
          <w:color w:val="707270"/>
          <w:w w:val="105"/>
          <w:sz w:val="21"/>
        </w:rPr>
        <w:t>detailed</w:t>
      </w:r>
      <w:r>
        <w:rPr>
          <w:color w:val="707270"/>
          <w:spacing w:val="-23"/>
          <w:w w:val="105"/>
          <w:sz w:val="21"/>
        </w:rPr>
        <w:t> </w:t>
      </w:r>
      <w:r>
        <w:rPr>
          <w:color w:val="80807E"/>
          <w:w w:val="105"/>
          <w:sz w:val="21"/>
        </w:rPr>
        <w:t>pla</w:t>
      </w:r>
      <w:r>
        <w:rPr>
          <w:color w:val="626260"/>
          <w:w w:val="105"/>
          <w:sz w:val="21"/>
        </w:rPr>
        <w:t>ns </w:t>
      </w:r>
      <w:r>
        <w:rPr>
          <w:color w:val="525250"/>
          <w:w w:val="105"/>
          <w:sz w:val="21"/>
        </w:rPr>
        <w:t>to</w:t>
      </w:r>
      <w:r>
        <w:rPr>
          <w:color w:val="525250"/>
          <w:spacing w:val="-8"/>
          <w:w w:val="105"/>
          <w:sz w:val="21"/>
        </w:rPr>
        <w:t> </w:t>
      </w:r>
      <w:r>
        <w:rPr>
          <w:color w:val="707270"/>
          <w:w w:val="105"/>
          <w:sz w:val="21"/>
        </w:rPr>
        <w:t>address</w:t>
      </w:r>
      <w:r>
        <w:rPr>
          <w:color w:val="707270"/>
          <w:spacing w:val="-2"/>
          <w:w w:val="105"/>
          <w:sz w:val="21"/>
        </w:rPr>
        <w:t> </w:t>
      </w:r>
      <w:r>
        <w:rPr>
          <w:color w:val="80807E"/>
          <w:w w:val="105"/>
          <w:sz w:val="21"/>
        </w:rPr>
        <w:t>this</w:t>
      </w:r>
      <w:r>
        <w:rPr>
          <w:color w:val="80807E"/>
          <w:spacing w:val="-19"/>
          <w:w w:val="105"/>
          <w:sz w:val="21"/>
        </w:rPr>
        <w:t> </w:t>
      </w:r>
      <w:r>
        <w:rPr>
          <w:color w:val="80807E"/>
          <w:w w:val="105"/>
          <w:sz w:val="21"/>
        </w:rPr>
        <w:t>recom</w:t>
      </w:r>
      <w:r>
        <w:rPr>
          <w:color w:val="626260"/>
          <w:w w:val="105"/>
          <w:sz w:val="21"/>
        </w:rPr>
        <w:t>m</w:t>
      </w:r>
      <w:r>
        <w:rPr>
          <w:color w:val="80807E"/>
          <w:w w:val="105"/>
          <w:sz w:val="21"/>
        </w:rPr>
        <w:t>endation,</w:t>
      </w:r>
      <w:r>
        <w:rPr>
          <w:color w:val="80807E"/>
          <w:spacing w:val="-5"/>
          <w:w w:val="105"/>
          <w:sz w:val="21"/>
        </w:rPr>
        <w:t> </w:t>
      </w:r>
      <w:r>
        <w:rPr>
          <w:color w:val="707270"/>
          <w:w w:val="105"/>
          <w:sz w:val="21"/>
        </w:rPr>
        <w:t>b</w:t>
      </w:r>
      <w:r>
        <w:rPr>
          <w:color w:val="959595"/>
          <w:w w:val="105"/>
          <w:sz w:val="21"/>
        </w:rPr>
        <w:t>ut </w:t>
      </w:r>
      <w:r>
        <w:rPr>
          <w:color w:val="525250"/>
          <w:w w:val="105"/>
          <w:sz w:val="21"/>
        </w:rPr>
        <w:t>mor</w:t>
      </w:r>
      <w:r>
        <w:rPr>
          <w:color w:val="707270"/>
          <w:w w:val="105"/>
          <w:sz w:val="21"/>
        </w:rPr>
        <w:t>e </w:t>
      </w:r>
      <w:r>
        <w:rPr>
          <w:color w:val="626260"/>
          <w:w w:val="105"/>
          <w:sz w:val="21"/>
        </w:rPr>
        <w:t>lime</w:t>
      </w:r>
      <w:r>
        <w:rPr>
          <w:color w:val="626260"/>
          <w:spacing w:val="-17"/>
          <w:w w:val="105"/>
          <w:sz w:val="21"/>
        </w:rPr>
        <w:t> </w:t>
      </w:r>
      <w:r>
        <w:rPr>
          <w:color w:val="80807E"/>
          <w:w w:val="105"/>
          <w:sz w:val="21"/>
        </w:rPr>
        <w:t>i</w:t>
      </w:r>
      <w:r>
        <w:rPr>
          <w:color w:val="525250"/>
          <w:w w:val="105"/>
          <w:sz w:val="21"/>
        </w:rPr>
        <w:t>s </w:t>
      </w:r>
      <w:r>
        <w:rPr>
          <w:color w:val="313131"/>
          <w:w w:val="105"/>
          <w:sz w:val="21"/>
        </w:rPr>
        <w:t>r</w:t>
      </w:r>
      <w:r>
        <w:rPr>
          <w:color w:val="707270"/>
          <w:w w:val="105"/>
          <w:sz w:val="21"/>
        </w:rPr>
        <w:t>eq</w:t>
      </w:r>
      <w:r>
        <w:rPr>
          <w:color w:val="525250"/>
          <w:w w:val="105"/>
          <w:sz w:val="21"/>
        </w:rPr>
        <w:t>uir</w:t>
      </w:r>
      <w:r>
        <w:rPr>
          <w:color w:val="707270"/>
          <w:w w:val="105"/>
          <w:sz w:val="21"/>
        </w:rPr>
        <w:t>e</w:t>
      </w:r>
      <w:r>
        <w:rPr>
          <w:color w:val="525250"/>
          <w:w w:val="105"/>
          <w:sz w:val="21"/>
        </w:rPr>
        <w:t>d</w:t>
      </w:r>
      <w:r>
        <w:rPr>
          <w:color w:val="525250"/>
          <w:spacing w:val="35"/>
          <w:w w:val="105"/>
          <w:sz w:val="21"/>
        </w:rPr>
        <w:t> </w:t>
      </w:r>
      <w:r>
        <w:rPr>
          <w:color w:val="424442"/>
          <w:w w:val="105"/>
          <w:sz w:val="21"/>
        </w:rPr>
        <w:t>t</w:t>
      </w:r>
      <w:r>
        <w:rPr>
          <w:color w:val="626260"/>
          <w:w w:val="105"/>
          <w:sz w:val="21"/>
        </w:rPr>
        <w:t>o </w:t>
      </w:r>
      <w:r>
        <w:rPr>
          <w:color w:val="707270"/>
          <w:w w:val="105"/>
          <w:sz w:val="21"/>
        </w:rPr>
        <w:t>show</w:t>
      </w:r>
      <w:r>
        <w:rPr>
          <w:color w:val="707270"/>
          <w:spacing w:val="-17"/>
          <w:w w:val="105"/>
          <w:sz w:val="21"/>
        </w:rPr>
        <w:t> </w:t>
      </w:r>
      <w:r>
        <w:rPr>
          <w:color w:val="707270"/>
          <w:w w:val="105"/>
          <w:sz w:val="21"/>
        </w:rPr>
        <w:t>re</w:t>
      </w:r>
      <w:r>
        <w:rPr>
          <w:color w:val="525250"/>
          <w:w w:val="105"/>
          <w:sz w:val="21"/>
        </w:rPr>
        <w:t>sult</w:t>
      </w:r>
      <w:r>
        <w:rPr>
          <w:color w:val="707270"/>
          <w:w w:val="105"/>
          <w:sz w:val="21"/>
        </w:rPr>
        <w:t>s </w:t>
      </w:r>
      <w:r>
        <w:rPr>
          <w:color w:val="525250"/>
          <w:w w:val="105"/>
          <w:sz w:val="21"/>
        </w:rPr>
        <w:t>i</w:t>
      </w:r>
      <w:r>
        <w:rPr>
          <w:color w:val="707270"/>
          <w:w w:val="105"/>
          <w:sz w:val="21"/>
        </w:rPr>
        <w:t>n </w:t>
      </w:r>
      <w:r>
        <w:rPr>
          <w:color w:val="626260"/>
          <w:w w:val="105"/>
          <w:sz w:val="21"/>
        </w:rPr>
        <w:t>thi</w:t>
      </w:r>
      <w:r>
        <w:rPr>
          <w:color w:val="424442"/>
          <w:w w:val="105"/>
          <w:sz w:val="21"/>
        </w:rPr>
        <w:t>s </w:t>
      </w:r>
      <w:r>
        <w:rPr>
          <w:color w:val="626260"/>
          <w:w w:val="105"/>
          <w:sz w:val="21"/>
        </w:rPr>
        <w:t>area</w:t>
      </w:r>
      <w:r>
        <w:rPr>
          <w:color w:val="959595"/>
          <w:w w:val="105"/>
          <w:sz w:val="21"/>
        </w:rPr>
        <w:t>.</w:t>
      </w:r>
      <w:r>
        <w:rPr>
          <w:color w:val="959595"/>
          <w:spacing w:val="40"/>
          <w:w w:val="105"/>
          <w:sz w:val="21"/>
        </w:rPr>
        <w:t> </w:t>
      </w:r>
      <w:r>
        <w:rPr>
          <w:color w:val="5B5D3F"/>
          <w:w w:val="105"/>
          <w:sz w:val="21"/>
        </w:rPr>
        <w:t>Offici</w:t>
      </w:r>
      <w:r>
        <w:rPr>
          <w:color w:val="626260"/>
          <w:w w:val="105"/>
          <w:sz w:val="21"/>
        </w:rPr>
        <w:t>a</w:t>
      </w:r>
      <w:r>
        <w:rPr>
          <w:color w:val="5B5D3F"/>
          <w:w w:val="105"/>
          <w:sz w:val="21"/>
        </w:rPr>
        <w:t>l</w:t>
      </w:r>
      <w:r>
        <w:rPr>
          <w:color w:val="80807E"/>
          <w:w w:val="105"/>
          <w:sz w:val="21"/>
        </w:rPr>
        <w:t>s</w:t>
      </w:r>
      <w:r>
        <w:rPr>
          <w:color w:val="80807E"/>
          <w:spacing w:val="-7"/>
          <w:w w:val="105"/>
          <w:sz w:val="21"/>
        </w:rPr>
        <w:t> </w:t>
      </w:r>
      <w:r>
        <w:rPr>
          <w:color w:val="707270"/>
          <w:w w:val="105"/>
          <w:sz w:val="21"/>
        </w:rPr>
        <w:t>a</w:t>
      </w:r>
      <w:r>
        <w:rPr>
          <w:color w:val="5B5D3F"/>
          <w:w w:val="105"/>
          <w:sz w:val="21"/>
        </w:rPr>
        <w:t>re </w:t>
      </w:r>
      <w:r>
        <w:rPr>
          <w:color w:val="525250"/>
          <w:w w:val="105"/>
          <w:sz w:val="21"/>
        </w:rPr>
        <w:t>ask</w:t>
      </w:r>
      <w:r>
        <w:rPr>
          <w:color w:val="707270"/>
          <w:w w:val="105"/>
          <w:sz w:val="21"/>
        </w:rPr>
        <w:t>e</w:t>
      </w:r>
      <w:r>
        <w:rPr>
          <w:color w:val="5B5D3F"/>
          <w:w w:val="105"/>
          <w:sz w:val="21"/>
        </w:rPr>
        <w:t>d </w:t>
      </w:r>
      <w:r>
        <w:rPr>
          <w:color w:val="4B4F1F"/>
          <w:w w:val="105"/>
          <w:sz w:val="21"/>
        </w:rPr>
        <w:t>t</w:t>
      </w:r>
      <w:r>
        <w:rPr>
          <w:color w:val="707270"/>
          <w:w w:val="105"/>
          <w:sz w:val="21"/>
        </w:rPr>
        <w:t>o </w:t>
      </w:r>
      <w:r>
        <w:rPr>
          <w:color w:val="525250"/>
          <w:w w:val="105"/>
          <w:sz w:val="21"/>
        </w:rPr>
        <w:t>demon</w:t>
      </w:r>
      <w:r>
        <w:rPr>
          <w:color w:val="707270"/>
          <w:w w:val="105"/>
          <w:sz w:val="21"/>
        </w:rPr>
        <w:t>s</w:t>
      </w:r>
      <w:r>
        <w:rPr>
          <w:color w:val="5B5D3F"/>
          <w:w w:val="105"/>
          <w:sz w:val="21"/>
        </w:rPr>
        <w:t>t</w:t>
      </w:r>
      <w:r>
        <w:rPr>
          <w:color w:val="72772D"/>
          <w:w w:val="105"/>
          <w:sz w:val="21"/>
        </w:rPr>
        <w:t>r</w:t>
      </w:r>
      <w:r>
        <w:rPr>
          <w:color w:val="4B4F1F"/>
          <w:w w:val="105"/>
          <w:sz w:val="21"/>
        </w:rPr>
        <w:t>ate</w:t>
      </w:r>
      <w:r>
        <w:rPr>
          <w:color w:val="4B4F1F"/>
          <w:spacing w:val="40"/>
          <w:w w:val="105"/>
          <w:sz w:val="21"/>
        </w:rPr>
        <w:t> </w:t>
      </w:r>
      <w:r>
        <w:rPr>
          <w:color w:val="383D13"/>
          <w:w w:val="105"/>
          <w:sz w:val="21"/>
        </w:rPr>
        <w:t>th</w:t>
      </w:r>
      <w:r>
        <w:rPr>
          <w:color w:val="72772D"/>
          <w:w w:val="105"/>
          <w:sz w:val="21"/>
        </w:rPr>
        <w:t>a</w:t>
      </w:r>
      <w:r>
        <w:rPr>
          <w:color w:val="383D13"/>
          <w:w w:val="105"/>
          <w:sz w:val="21"/>
        </w:rPr>
        <w:t>t </w:t>
      </w:r>
      <w:r>
        <w:rPr>
          <w:color w:val="5D641F"/>
          <w:w w:val="105"/>
          <w:sz w:val="21"/>
        </w:rPr>
        <w:t>the</w:t>
      </w:r>
      <w:r>
        <w:rPr>
          <w:color w:val="5D641F"/>
          <w:spacing w:val="-8"/>
          <w:w w:val="105"/>
          <w:sz w:val="21"/>
        </w:rPr>
        <w:t> </w:t>
      </w:r>
      <w:r>
        <w:rPr>
          <w:color w:val="383D13"/>
          <w:w w:val="105"/>
          <w:sz w:val="21"/>
        </w:rPr>
        <w:t>U</w:t>
      </w:r>
      <w:r>
        <w:rPr>
          <w:color w:val="72772D"/>
          <w:w w:val="105"/>
          <w:sz w:val="21"/>
        </w:rPr>
        <w:t>n</w:t>
      </w:r>
      <w:r>
        <w:rPr>
          <w:color w:val="313131"/>
          <w:w w:val="105"/>
          <w:sz w:val="21"/>
        </w:rPr>
        <w:t>i</w:t>
      </w:r>
      <w:r>
        <w:rPr>
          <w:color w:val="5D641F"/>
          <w:w w:val="105"/>
          <w:sz w:val="21"/>
        </w:rPr>
        <w:t>versitrhas </w:t>
      </w:r>
      <w:r>
        <w:rPr>
          <w:color w:val="72772D"/>
          <w:w w:val="105"/>
          <w:sz w:val="21"/>
        </w:rPr>
        <w:t>clen</w:t>
      </w:r>
      <w:r>
        <w:rPr>
          <w:color w:val="383D13"/>
          <w:w w:val="105"/>
          <w:sz w:val="21"/>
        </w:rPr>
        <w:t>rl</w:t>
      </w:r>
      <w:r>
        <w:rPr>
          <w:color w:val="5D641F"/>
          <w:w w:val="105"/>
          <w:sz w:val="21"/>
        </w:rPr>
        <w:t>y art</w:t>
      </w:r>
      <w:r>
        <w:rPr>
          <w:color w:val="383D13"/>
          <w:w w:val="105"/>
          <w:sz w:val="21"/>
        </w:rPr>
        <w:t>i</w:t>
      </w:r>
      <w:r>
        <w:rPr>
          <w:color w:val="5D641F"/>
          <w:w w:val="105"/>
          <w:sz w:val="21"/>
        </w:rPr>
        <w:t>cula</w:t>
      </w:r>
      <w:r>
        <w:rPr>
          <w:color w:val="383D13"/>
          <w:w w:val="105"/>
          <w:sz w:val="21"/>
        </w:rPr>
        <w:t>t</w:t>
      </w:r>
      <w:r>
        <w:rPr>
          <w:color w:val="72772D"/>
          <w:w w:val="105"/>
          <w:sz w:val="21"/>
        </w:rPr>
        <w:t>ed </w:t>
      </w:r>
      <w:r>
        <w:rPr>
          <w:color w:val="4B4F1F"/>
          <w:w w:val="105"/>
          <w:sz w:val="21"/>
        </w:rPr>
        <w:t>it</w:t>
      </w:r>
      <w:r>
        <w:rPr>
          <w:color w:val="72772D"/>
          <w:w w:val="105"/>
          <w:sz w:val="21"/>
        </w:rPr>
        <w:t>.s</w:t>
      </w:r>
      <w:r>
        <w:rPr>
          <w:color w:val="5D641F"/>
          <w:w w:val="105"/>
          <w:sz w:val="21"/>
        </w:rPr>
        <w:t>general educatio</w:t>
      </w:r>
      <w:r>
        <w:rPr>
          <w:color w:val="383D13"/>
          <w:w w:val="105"/>
          <w:sz w:val="21"/>
        </w:rPr>
        <w:t>n </w:t>
      </w:r>
      <w:r>
        <w:rPr>
          <w:color w:val="5D641F"/>
          <w:w w:val="105"/>
          <w:sz w:val="21"/>
        </w:rPr>
        <w:t>competencies </w:t>
      </w:r>
      <w:r>
        <w:rPr>
          <w:color w:val="72772D"/>
          <w:w w:val="105"/>
          <w:sz w:val="21"/>
        </w:rPr>
        <w:t>andJ</w:t>
      </w:r>
      <w:r>
        <w:rPr>
          <w:color w:val="4B4F1F"/>
          <w:w w:val="105"/>
          <w:sz w:val="21"/>
        </w:rPr>
        <w:t>h</w:t>
      </w:r>
      <w:r>
        <w:rPr>
          <w:color w:val="72772D"/>
          <w:w w:val="105"/>
          <w:sz w:val="21"/>
        </w:rPr>
        <w:t>e e</w:t>
      </w:r>
      <w:r>
        <w:rPr>
          <w:color w:val="5B5D3F"/>
          <w:w w:val="105"/>
          <w:sz w:val="21"/>
        </w:rPr>
        <w:t>f</w:t>
      </w:r>
      <w:r>
        <w:rPr>
          <w:color w:val="72772D"/>
          <w:w w:val="105"/>
          <w:sz w:val="21"/>
        </w:rPr>
        <w:t>fect </w:t>
      </w:r>
      <w:r>
        <w:rPr>
          <w:color w:val="4B4F1F"/>
          <w:w w:val="105"/>
          <w:sz w:val="21"/>
        </w:rPr>
        <w:t>t</w:t>
      </w:r>
      <w:r>
        <w:rPr>
          <w:color w:val="72772D"/>
          <w:w w:val="105"/>
          <w:sz w:val="21"/>
        </w:rPr>
        <w:t>o </w:t>
      </w:r>
      <w:r>
        <w:rPr>
          <w:color w:val="5D641F"/>
          <w:w w:val="105"/>
          <w:sz w:val="21"/>
        </w:rPr>
        <w:t>which</w:t>
      </w:r>
      <w:r>
        <w:rPr>
          <w:color w:val="5D641F"/>
          <w:spacing w:val="-1"/>
          <w:w w:val="105"/>
          <w:sz w:val="21"/>
        </w:rPr>
        <w:t> </w:t>
      </w:r>
      <w:r>
        <w:rPr>
          <w:color w:val="72772D"/>
          <w:w w:val="105"/>
          <w:sz w:val="21"/>
        </w:rPr>
        <w:t>gra</w:t>
      </w:r>
      <w:r>
        <w:rPr>
          <w:color w:val="5B5D3F"/>
          <w:w w:val="105"/>
          <w:sz w:val="21"/>
        </w:rPr>
        <w:t>d</w:t>
      </w:r>
      <w:r>
        <w:rPr>
          <w:color w:val="5D641F"/>
          <w:w w:val="105"/>
          <w:sz w:val="21"/>
        </w:rPr>
        <w:t>uates </w:t>
      </w:r>
      <w:r>
        <w:rPr>
          <w:color w:val="72772D"/>
          <w:w w:val="105"/>
          <w:sz w:val="21"/>
        </w:rPr>
        <w:t>have</w:t>
      </w:r>
      <w:r>
        <w:rPr>
          <w:color w:val="72772D"/>
          <w:spacing w:val="-18"/>
          <w:w w:val="105"/>
          <w:sz w:val="21"/>
        </w:rPr>
        <w:t> </w:t>
      </w:r>
      <w:r>
        <w:rPr>
          <w:color w:val="5D641F"/>
          <w:w w:val="105"/>
          <w:sz w:val="21"/>
        </w:rPr>
        <w:t>atta</w:t>
      </w:r>
      <w:r>
        <w:rPr>
          <w:color w:val="90934D"/>
          <w:w w:val="105"/>
          <w:sz w:val="21"/>
        </w:rPr>
        <w:t>i</w:t>
      </w:r>
      <w:r>
        <w:rPr>
          <w:color w:val="5D641F"/>
          <w:w w:val="105"/>
          <w:sz w:val="21"/>
        </w:rPr>
        <w:t>ned</w:t>
      </w:r>
      <w:r>
        <w:rPr>
          <w:color w:val="5D641F"/>
          <w:spacing w:val="40"/>
          <w:w w:val="105"/>
          <w:sz w:val="21"/>
        </w:rPr>
        <w:t> </w:t>
      </w:r>
      <w:r>
        <w:rPr>
          <w:color w:val="72772D"/>
          <w:w w:val="105"/>
          <w:sz w:val="21"/>
        </w:rPr>
        <w:t>them.</w:t>
      </w:r>
    </w:p>
    <w:p>
      <w:pPr>
        <w:pStyle w:val="BodyText"/>
        <w:spacing w:before="3"/>
        <w:rPr>
          <w:sz w:val="21"/>
        </w:rPr>
      </w:pPr>
    </w:p>
    <w:p>
      <w:pPr>
        <w:spacing w:line="249" w:lineRule="auto" w:before="0"/>
        <w:ind w:left="569" w:right="1300" w:hanging="3"/>
        <w:jc w:val="left"/>
        <w:rPr>
          <w:sz w:val="21"/>
        </w:rPr>
      </w:pPr>
      <w:r>
        <w:rPr>
          <w:color w:val="80807E"/>
          <w:w w:val="105"/>
          <w:sz w:val="21"/>
        </w:rPr>
        <w:t>Please</w:t>
      </w:r>
      <w:r>
        <w:rPr>
          <w:color w:val="80807E"/>
          <w:spacing w:val="-15"/>
          <w:w w:val="105"/>
          <w:sz w:val="21"/>
        </w:rPr>
        <w:t> </w:t>
      </w:r>
      <w:r>
        <w:rPr>
          <w:color w:val="626260"/>
          <w:w w:val="105"/>
          <w:sz w:val="21"/>
        </w:rPr>
        <w:t>sub</w:t>
      </w:r>
      <w:r>
        <w:rPr>
          <w:color w:val="80807E"/>
          <w:w w:val="105"/>
          <w:sz w:val="21"/>
        </w:rPr>
        <w:t>mit </w:t>
      </w:r>
      <w:r>
        <w:rPr>
          <w:color w:val="707270"/>
          <w:w w:val="105"/>
          <w:sz w:val="21"/>
        </w:rPr>
        <w:t>to</w:t>
      </w:r>
      <w:r>
        <w:rPr>
          <w:color w:val="707270"/>
          <w:spacing w:val="-1"/>
          <w:w w:val="105"/>
          <w:sz w:val="21"/>
        </w:rPr>
        <w:t> </w:t>
      </w:r>
      <w:r>
        <w:rPr>
          <w:color w:val="707270"/>
          <w:w w:val="105"/>
          <w:sz w:val="21"/>
        </w:rPr>
        <w:t>your </w:t>
      </w:r>
      <w:r>
        <w:rPr>
          <w:color w:val="80807E"/>
          <w:w w:val="105"/>
          <w:sz w:val="21"/>
        </w:rPr>
        <w:t>Commiss</w:t>
      </w:r>
      <w:r>
        <w:rPr>
          <w:color w:val="626260"/>
          <w:w w:val="105"/>
          <w:sz w:val="21"/>
        </w:rPr>
        <w:t>i</w:t>
      </w:r>
      <w:r>
        <w:rPr>
          <w:color w:val="80807E"/>
          <w:w w:val="105"/>
          <w:sz w:val="21"/>
        </w:rPr>
        <w:t>on sta</w:t>
      </w:r>
      <w:r>
        <w:rPr>
          <w:color w:val="626260"/>
          <w:w w:val="105"/>
          <w:sz w:val="21"/>
        </w:rPr>
        <w:t>ff</w:t>
      </w:r>
      <w:r>
        <w:rPr>
          <w:color w:val="626260"/>
          <w:spacing w:val="28"/>
          <w:w w:val="105"/>
          <w:sz w:val="21"/>
        </w:rPr>
        <w:t> </w:t>
      </w:r>
      <w:r>
        <w:rPr>
          <w:color w:val="80807E"/>
          <w:w w:val="105"/>
          <w:sz w:val="21"/>
        </w:rPr>
        <w:t>member </w:t>
      </w:r>
      <w:r>
        <w:rPr>
          <w:color w:val="707270"/>
          <w:w w:val="105"/>
          <w:sz w:val="21"/>
        </w:rPr>
        <w:t>a </w:t>
      </w:r>
      <w:r>
        <w:rPr>
          <w:color w:val="525250"/>
          <w:w w:val="105"/>
          <w:sz w:val="21"/>
        </w:rPr>
        <w:t>o</w:t>
      </w:r>
      <w:r>
        <w:rPr>
          <w:color w:val="313131"/>
          <w:w w:val="105"/>
          <w:sz w:val="21"/>
        </w:rPr>
        <w:t>n</w:t>
      </w:r>
      <w:r>
        <w:rPr>
          <w:color w:val="525250"/>
          <w:w w:val="105"/>
          <w:sz w:val="21"/>
        </w:rPr>
        <w:t>e</w:t>
      </w:r>
      <w:r>
        <w:rPr>
          <w:color w:val="707270"/>
          <w:w w:val="105"/>
          <w:sz w:val="21"/>
        </w:rPr>
        <w:t>-</w:t>
      </w:r>
      <w:r>
        <w:rPr>
          <w:color w:val="525250"/>
          <w:w w:val="105"/>
          <w:sz w:val="21"/>
        </w:rPr>
        <w:t>page </w:t>
      </w:r>
      <w:r>
        <w:rPr>
          <w:color w:val="80807E"/>
          <w:w w:val="105"/>
          <w:sz w:val="21"/>
        </w:rPr>
        <w:t>exec</w:t>
      </w:r>
      <w:r>
        <w:rPr>
          <w:color w:val="626260"/>
          <w:w w:val="105"/>
          <w:sz w:val="21"/>
        </w:rPr>
        <w:t>utive summa</w:t>
      </w:r>
      <w:r>
        <w:rPr>
          <w:color w:val="80807E"/>
          <w:w w:val="105"/>
          <w:sz w:val="21"/>
        </w:rPr>
        <w:t>ry </w:t>
      </w:r>
      <w:r>
        <w:rPr>
          <w:color w:val="707270"/>
          <w:w w:val="105"/>
          <w:sz w:val="21"/>
        </w:rPr>
        <w:t>of</w:t>
      </w:r>
      <w:r>
        <w:rPr>
          <w:color w:val="707270"/>
          <w:w w:val="105"/>
          <w:sz w:val="21"/>
        </w:rPr>
        <w:t> </w:t>
      </w:r>
      <w:r>
        <w:rPr>
          <w:color w:val="626260"/>
          <w:w w:val="105"/>
          <w:sz w:val="21"/>
        </w:rPr>
        <w:t>y</w:t>
      </w:r>
      <w:r>
        <w:rPr>
          <w:color w:val="80807E"/>
          <w:w w:val="105"/>
          <w:sz w:val="21"/>
        </w:rPr>
        <w:t>o</w:t>
      </w:r>
      <w:r>
        <w:rPr>
          <w:color w:val="626260"/>
          <w:w w:val="105"/>
          <w:sz w:val="21"/>
        </w:rPr>
        <w:t>uI </w:t>
      </w:r>
      <w:r>
        <w:rPr>
          <w:color w:val="80807E"/>
          <w:w w:val="105"/>
          <w:sz w:val="21"/>
        </w:rPr>
        <w:t>lnsti</w:t>
      </w:r>
      <w:r>
        <w:rPr>
          <w:color w:val="313131"/>
          <w:w w:val="105"/>
          <w:sz w:val="21"/>
        </w:rPr>
        <w:t>lu</w:t>
      </w:r>
      <w:r>
        <w:rPr>
          <w:color w:val="626260"/>
          <w:w w:val="105"/>
          <w:sz w:val="21"/>
        </w:rPr>
        <w:t>t</w:t>
      </w:r>
      <w:r>
        <w:rPr>
          <w:color w:val="424442"/>
          <w:w w:val="105"/>
          <w:sz w:val="21"/>
        </w:rPr>
        <w:t>i</w:t>
      </w:r>
      <w:r>
        <w:rPr>
          <w:color w:val="626260"/>
          <w:w w:val="105"/>
          <w:sz w:val="21"/>
        </w:rPr>
        <w:t>on</w:t>
      </w:r>
      <w:r>
        <w:rPr>
          <w:color w:val="959595"/>
          <w:w w:val="105"/>
          <w:sz w:val="21"/>
        </w:rPr>
        <w:t>'s </w:t>
      </w:r>
      <w:r>
        <w:rPr>
          <w:color w:val="626260"/>
          <w:w w:val="105"/>
          <w:sz w:val="21"/>
        </w:rPr>
        <w:t>Q</w:t>
      </w:r>
      <w:r>
        <w:rPr>
          <w:color w:val="313131"/>
          <w:w w:val="105"/>
          <w:sz w:val="21"/>
        </w:rPr>
        <w:t>u</w:t>
      </w:r>
      <w:r>
        <w:rPr>
          <w:color w:val="707270"/>
          <w:w w:val="105"/>
          <w:sz w:val="21"/>
        </w:rPr>
        <w:t>a</w:t>
      </w:r>
      <w:r>
        <w:rPr>
          <w:color w:val="1C1C1C"/>
          <w:w w:val="105"/>
          <w:sz w:val="21"/>
        </w:rPr>
        <w:t>l</w:t>
      </w:r>
      <w:r>
        <w:rPr>
          <w:color w:val="525250"/>
          <w:w w:val="105"/>
          <w:sz w:val="21"/>
        </w:rPr>
        <w:t>i</w:t>
      </w:r>
      <w:r>
        <w:rPr>
          <w:color w:val="707270"/>
          <w:w w:val="105"/>
          <w:sz w:val="21"/>
        </w:rPr>
        <w:t>ty E</w:t>
      </w:r>
      <w:r>
        <w:rPr>
          <w:color w:val="424442"/>
          <w:w w:val="105"/>
          <w:sz w:val="21"/>
        </w:rPr>
        <w:t>n</w:t>
      </w:r>
      <w:r>
        <w:rPr>
          <w:color w:val="707270"/>
          <w:w w:val="105"/>
          <w:sz w:val="21"/>
        </w:rPr>
        <w:t>hancement </w:t>
      </w:r>
      <w:r>
        <w:rPr>
          <w:color w:val="525250"/>
          <w:w w:val="105"/>
          <w:sz w:val="21"/>
        </w:rPr>
        <w:t>Pla</w:t>
      </w:r>
      <w:r>
        <w:rPr>
          <w:color w:val="80807E"/>
          <w:w w:val="105"/>
          <w:sz w:val="21"/>
        </w:rPr>
        <w:t>n.</w:t>
      </w:r>
      <w:r>
        <w:rPr>
          <w:color w:val="80807E"/>
          <w:spacing w:val="40"/>
          <w:w w:val="105"/>
          <w:sz w:val="21"/>
        </w:rPr>
        <w:t> </w:t>
      </w:r>
      <w:r>
        <w:rPr>
          <w:color w:val="707270"/>
          <w:w w:val="105"/>
          <w:sz w:val="21"/>
        </w:rPr>
        <w:t>f</w:t>
      </w:r>
      <w:r>
        <w:rPr>
          <w:color w:val="525250"/>
          <w:w w:val="105"/>
          <w:sz w:val="21"/>
        </w:rPr>
        <w:t>h</w:t>
      </w:r>
      <w:r>
        <w:rPr>
          <w:color w:val="707270"/>
          <w:w w:val="105"/>
          <w:sz w:val="21"/>
        </w:rPr>
        <w:t>e </w:t>
      </w:r>
      <w:r>
        <w:rPr>
          <w:color w:val="626260"/>
          <w:w w:val="105"/>
          <w:sz w:val="21"/>
        </w:rPr>
        <w:t>summ</w:t>
      </w:r>
      <w:r>
        <w:rPr>
          <w:color w:val="80807E"/>
          <w:w w:val="105"/>
          <w:sz w:val="21"/>
        </w:rPr>
        <w:t>a</w:t>
      </w:r>
      <w:r>
        <w:rPr>
          <w:color w:val="626260"/>
          <w:w w:val="105"/>
          <w:sz w:val="21"/>
        </w:rPr>
        <w:t>ry </w:t>
      </w:r>
      <w:r>
        <w:rPr>
          <w:color w:val="707270"/>
          <w:w w:val="105"/>
          <w:sz w:val="21"/>
        </w:rPr>
        <w:t>is </w:t>
      </w:r>
      <w:r>
        <w:rPr>
          <w:color w:val="626260"/>
          <w:w w:val="105"/>
          <w:sz w:val="21"/>
        </w:rPr>
        <w:t>d</w:t>
      </w:r>
      <w:r>
        <w:rPr>
          <w:color w:val="313131"/>
          <w:w w:val="105"/>
          <w:sz w:val="21"/>
        </w:rPr>
        <w:t>u</w:t>
      </w:r>
      <w:r>
        <w:rPr>
          <w:color w:val="80807E"/>
          <w:w w:val="105"/>
          <w:sz w:val="21"/>
        </w:rPr>
        <w:t>e </w:t>
      </w:r>
      <w:r>
        <w:rPr>
          <w:color w:val="707270"/>
          <w:w w:val="105"/>
          <w:sz w:val="21"/>
        </w:rPr>
        <w:t>F</w:t>
      </w:r>
      <w:r>
        <w:rPr>
          <w:color w:val="959595"/>
          <w:w w:val="105"/>
          <w:sz w:val="21"/>
        </w:rPr>
        <w:t>e</w:t>
      </w:r>
      <w:r>
        <w:rPr>
          <w:color w:val="626260"/>
          <w:w w:val="105"/>
          <w:sz w:val="21"/>
        </w:rPr>
        <w:t>b</w:t>
      </w:r>
      <w:r>
        <w:rPr>
          <w:color w:val="80807E"/>
          <w:w w:val="105"/>
          <w:sz w:val="21"/>
        </w:rPr>
        <w:t>r</w:t>
      </w:r>
      <w:r>
        <w:rPr>
          <w:color w:val="424442"/>
          <w:w w:val="105"/>
          <w:sz w:val="21"/>
        </w:rPr>
        <w:t>u</w:t>
      </w:r>
      <w:r>
        <w:rPr>
          <w:color w:val="707270"/>
          <w:w w:val="105"/>
          <w:sz w:val="21"/>
        </w:rPr>
        <w:t>ary </w:t>
      </w:r>
      <w:r>
        <w:rPr>
          <w:color w:val="626260"/>
          <w:w w:val="105"/>
          <w:sz w:val="21"/>
        </w:rPr>
        <w:t>1</w:t>
      </w:r>
      <w:r>
        <w:rPr>
          <w:color w:val="80807E"/>
          <w:w w:val="105"/>
          <w:sz w:val="21"/>
        </w:rPr>
        <w:t>3,</w:t>
      </w:r>
      <w:r>
        <w:rPr>
          <w:color w:val="80807E"/>
          <w:spacing w:val="-16"/>
          <w:w w:val="105"/>
          <w:sz w:val="21"/>
        </w:rPr>
        <w:t> </w:t>
      </w:r>
      <w:r>
        <w:rPr>
          <w:color w:val="80807E"/>
          <w:w w:val="105"/>
          <w:sz w:val="21"/>
        </w:rPr>
        <w:t>20</w:t>
      </w:r>
      <w:r>
        <w:rPr>
          <w:color w:val="525250"/>
          <w:w w:val="105"/>
          <w:sz w:val="21"/>
        </w:rPr>
        <w:t>0</w:t>
      </w:r>
      <w:r>
        <w:rPr>
          <w:color w:val="707270"/>
          <w:w w:val="105"/>
          <w:sz w:val="21"/>
        </w:rPr>
        <w:t>9, </w:t>
      </w:r>
      <w:r>
        <w:rPr>
          <w:color w:val="959595"/>
          <w:w w:val="105"/>
          <w:sz w:val="21"/>
        </w:rPr>
        <w:t>and </w:t>
      </w:r>
      <w:r>
        <w:rPr>
          <w:color w:val="80807E"/>
          <w:w w:val="105"/>
          <w:sz w:val="21"/>
        </w:rPr>
        <w:t>also</w:t>
      </w:r>
      <w:r>
        <w:rPr>
          <w:color w:val="80807E"/>
          <w:spacing w:val="-1"/>
          <w:w w:val="105"/>
          <w:sz w:val="21"/>
        </w:rPr>
        <w:t> </w:t>
      </w:r>
      <w:r>
        <w:rPr>
          <w:color w:val="707270"/>
          <w:w w:val="105"/>
          <w:sz w:val="21"/>
        </w:rPr>
        <w:t>should </w:t>
      </w:r>
      <w:r>
        <w:rPr>
          <w:color w:val="424442"/>
          <w:w w:val="105"/>
          <w:sz w:val="21"/>
        </w:rPr>
        <w:t>i</w:t>
      </w:r>
      <w:r>
        <w:rPr>
          <w:color w:val="80807E"/>
          <w:w w:val="105"/>
          <w:sz w:val="21"/>
        </w:rPr>
        <w:t>nclude.</w:t>
      </w:r>
      <w:r>
        <w:rPr>
          <w:color w:val="80807E"/>
          <w:spacing w:val="-9"/>
          <w:w w:val="105"/>
          <w:sz w:val="21"/>
        </w:rPr>
        <w:t> </w:t>
      </w:r>
      <w:r>
        <w:rPr>
          <w:color w:val="80807E"/>
          <w:w w:val="105"/>
          <w:sz w:val="21"/>
        </w:rPr>
        <w:t>(1) </w:t>
      </w:r>
      <w:r>
        <w:rPr>
          <w:color w:val="626260"/>
          <w:w w:val="105"/>
          <w:sz w:val="21"/>
        </w:rPr>
        <w:t>U</w:t>
      </w:r>
      <w:r>
        <w:rPr>
          <w:color w:val="80807E"/>
          <w:w w:val="105"/>
          <w:sz w:val="21"/>
        </w:rPr>
        <w:t>1e lltic</w:t>
      </w:r>
      <w:r>
        <w:rPr>
          <w:color w:val="80807E"/>
          <w:spacing w:val="-19"/>
          <w:w w:val="105"/>
          <w:sz w:val="21"/>
        </w:rPr>
        <w:t> </w:t>
      </w:r>
      <w:r>
        <w:rPr>
          <w:color w:val="959595"/>
          <w:w w:val="105"/>
          <w:sz w:val="21"/>
        </w:rPr>
        <w:t>of</w:t>
      </w:r>
      <w:r>
        <w:rPr>
          <w:color w:val="959595"/>
          <w:spacing w:val="-5"/>
          <w:w w:val="105"/>
          <w:sz w:val="21"/>
        </w:rPr>
        <w:t> </w:t>
      </w:r>
      <w:r>
        <w:rPr>
          <w:color w:val="80807E"/>
          <w:w w:val="105"/>
          <w:sz w:val="21"/>
        </w:rPr>
        <w:t>your</w:t>
      </w:r>
      <w:r>
        <w:rPr>
          <w:color w:val="80807E"/>
          <w:spacing w:val="-5"/>
          <w:w w:val="105"/>
          <w:sz w:val="21"/>
        </w:rPr>
        <w:t> </w:t>
      </w:r>
      <w:r>
        <w:rPr>
          <w:color w:val="80807E"/>
          <w:w w:val="105"/>
          <w:sz w:val="21"/>
        </w:rPr>
        <w:t>Quality</w:t>
      </w:r>
      <w:r>
        <w:rPr>
          <w:color w:val="80807E"/>
          <w:spacing w:val="-1"/>
          <w:w w:val="105"/>
          <w:sz w:val="21"/>
        </w:rPr>
        <w:t> </w:t>
      </w:r>
      <w:r>
        <w:rPr>
          <w:color w:val="80807E"/>
          <w:w w:val="105"/>
          <w:sz w:val="21"/>
        </w:rPr>
        <w:t>Enhancement Plan,</w:t>
      </w:r>
      <w:r>
        <w:rPr>
          <w:color w:val="80807E"/>
          <w:spacing w:val="-13"/>
          <w:w w:val="105"/>
          <w:sz w:val="21"/>
        </w:rPr>
        <w:t> </w:t>
      </w:r>
      <w:r>
        <w:rPr>
          <w:color w:val="959595"/>
          <w:w w:val="105"/>
          <w:sz w:val="21"/>
        </w:rPr>
        <w:t>{2) </w:t>
      </w:r>
      <w:r>
        <w:rPr>
          <w:color w:val="80807E"/>
          <w:w w:val="105"/>
          <w:sz w:val="21"/>
        </w:rPr>
        <w:t>your </w:t>
      </w:r>
      <w:r>
        <w:rPr>
          <w:color w:val="707270"/>
          <w:w w:val="105"/>
          <w:sz w:val="21"/>
        </w:rPr>
        <w:t>institut</w:t>
      </w:r>
      <w:r>
        <w:rPr>
          <w:color w:val="959595"/>
          <w:w w:val="105"/>
          <w:sz w:val="21"/>
        </w:rPr>
        <w:t>i</w:t>
      </w:r>
      <w:r>
        <w:rPr>
          <w:color w:val="626260"/>
          <w:w w:val="105"/>
          <w:sz w:val="21"/>
        </w:rPr>
        <w:t>on's</w:t>
      </w:r>
      <w:r>
        <w:rPr>
          <w:color w:val="626260"/>
          <w:spacing w:val="-5"/>
          <w:w w:val="105"/>
          <w:sz w:val="21"/>
        </w:rPr>
        <w:t> </w:t>
      </w:r>
      <w:r>
        <w:rPr>
          <w:color w:val="80807E"/>
          <w:w w:val="105"/>
          <w:sz w:val="21"/>
        </w:rPr>
        <w:t>name,</w:t>
      </w:r>
      <w:r>
        <w:rPr>
          <w:color w:val="80807E"/>
          <w:spacing w:val="-19"/>
          <w:w w:val="105"/>
          <w:sz w:val="21"/>
        </w:rPr>
        <w:t> </w:t>
      </w:r>
      <w:r>
        <w:rPr>
          <w:color w:val="525250"/>
          <w:w w:val="105"/>
          <w:sz w:val="21"/>
        </w:rPr>
        <w:t>a</w:t>
      </w:r>
      <w:r>
        <w:rPr>
          <w:color w:val="707270"/>
          <w:w w:val="105"/>
          <w:sz w:val="21"/>
        </w:rPr>
        <w:t>nd </w:t>
      </w:r>
      <w:r>
        <w:rPr>
          <w:color w:val="80807E"/>
          <w:w w:val="105"/>
          <w:sz w:val="21"/>
        </w:rPr>
        <w:t>(3) th</w:t>
      </w:r>
      <w:r>
        <w:rPr>
          <w:color w:val="626260"/>
          <w:w w:val="105"/>
          <w:sz w:val="21"/>
        </w:rPr>
        <w:t>e </w:t>
      </w:r>
      <w:r>
        <w:rPr>
          <w:color w:val="707270"/>
          <w:w w:val="105"/>
          <w:sz w:val="21"/>
        </w:rPr>
        <w:t>name</w:t>
      </w:r>
      <w:r>
        <w:rPr>
          <w:color w:val="959595"/>
          <w:w w:val="105"/>
          <w:sz w:val="21"/>
        </w:rPr>
        <w:t>, </w:t>
      </w:r>
      <w:r>
        <w:rPr>
          <w:color w:val="80807E"/>
          <w:w w:val="105"/>
          <w:sz w:val="21"/>
        </w:rPr>
        <w:t>ti</w:t>
      </w:r>
      <w:r>
        <w:rPr>
          <w:color w:val="626260"/>
          <w:w w:val="105"/>
          <w:sz w:val="21"/>
        </w:rPr>
        <w:t>tle</w:t>
      </w:r>
      <w:r>
        <w:rPr>
          <w:color w:val="959595"/>
          <w:w w:val="105"/>
          <w:sz w:val="21"/>
        </w:rPr>
        <w:t>,</w:t>
      </w:r>
      <w:r>
        <w:rPr>
          <w:color w:val="959595"/>
          <w:spacing w:val="-9"/>
          <w:w w:val="105"/>
          <w:sz w:val="21"/>
        </w:rPr>
        <w:t> </w:t>
      </w:r>
      <w:r>
        <w:rPr>
          <w:color w:val="707270"/>
          <w:w w:val="105"/>
          <w:sz w:val="21"/>
        </w:rPr>
        <w:t>and</w:t>
      </w:r>
      <w:r>
        <w:rPr>
          <w:color w:val="707270"/>
          <w:spacing w:val="-21"/>
          <w:w w:val="105"/>
          <w:sz w:val="21"/>
        </w:rPr>
        <w:t> </w:t>
      </w:r>
      <w:r>
        <w:rPr>
          <w:color w:val="80807E"/>
          <w:w w:val="105"/>
          <w:sz w:val="21"/>
        </w:rPr>
        <w:t>email</w:t>
      </w:r>
      <w:r>
        <w:rPr>
          <w:color w:val="80807E"/>
          <w:spacing w:val="-33"/>
          <w:w w:val="105"/>
          <w:sz w:val="21"/>
        </w:rPr>
        <w:t> </w:t>
      </w:r>
      <w:r>
        <w:rPr>
          <w:color w:val="707270"/>
          <w:w w:val="105"/>
          <w:sz w:val="21"/>
        </w:rPr>
        <w:t>address</w:t>
      </w:r>
      <w:r>
        <w:rPr>
          <w:color w:val="707270"/>
          <w:spacing w:val="-18"/>
          <w:w w:val="105"/>
          <w:sz w:val="21"/>
        </w:rPr>
        <w:t> </w:t>
      </w:r>
      <w:r>
        <w:rPr>
          <w:color w:val="80807E"/>
          <w:w w:val="105"/>
          <w:sz w:val="21"/>
        </w:rPr>
        <w:t>of</w:t>
      </w:r>
      <w:r>
        <w:rPr>
          <w:color w:val="80807E"/>
          <w:spacing w:val="-7"/>
          <w:w w:val="105"/>
          <w:sz w:val="21"/>
        </w:rPr>
        <w:t> </w:t>
      </w:r>
      <w:r>
        <w:rPr>
          <w:color w:val="707270"/>
          <w:w w:val="105"/>
          <w:sz w:val="21"/>
        </w:rPr>
        <w:t>an</w:t>
      </w:r>
      <w:r>
        <w:rPr>
          <w:color w:val="707270"/>
          <w:spacing w:val="-6"/>
          <w:w w:val="105"/>
          <w:sz w:val="21"/>
        </w:rPr>
        <w:t> </w:t>
      </w:r>
      <w:r>
        <w:rPr>
          <w:color w:val="959595"/>
          <w:w w:val="105"/>
          <w:sz w:val="21"/>
        </w:rPr>
        <w:t>i</w:t>
      </w:r>
      <w:r>
        <w:rPr>
          <w:color w:val="707270"/>
          <w:w w:val="105"/>
          <w:sz w:val="21"/>
        </w:rPr>
        <w:t>nd</w:t>
      </w:r>
      <w:r>
        <w:rPr>
          <w:color w:val="959595"/>
          <w:w w:val="105"/>
          <w:sz w:val="21"/>
        </w:rPr>
        <w:t>i</w:t>
      </w:r>
      <w:r>
        <w:rPr>
          <w:color w:val="707270"/>
          <w:w w:val="105"/>
          <w:sz w:val="21"/>
        </w:rPr>
        <w:t>vidua</w:t>
      </w:r>
      <w:r>
        <w:rPr>
          <w:color w:val="959595"/>
          <w:w w:val="105"/>
          <w:sz w:val="21"/>
        </w:rPr>
        <w:t>l</w:t>
      </w:r>
      <w:r>
        <w:rPr>
          <w:color w:val="959595"/>
          <w:spacing w:val="-5"/>
          <w:w w:val="105"/>
          <w:sz w:val="21"/>
        </w:rPr>
        <w:t> </w:t>
      </w:r>
      <w:r>
        <w:rPr>
          <w:color w:val="707270"/>
          <w:w w:val="105"/>
          <w:sz w:val="21"/>
        </w:rPr>
        <w:t>who</w:t>
      </w:r>
      <w:r>
        <w:rPr>
          <w:color w:val="707270"/>
          <w:spacing w:val="-27"/>
          <w:w w:val="105"/>
          <w:sz w:val="21"/>
        </w:rPr>
        <w:t> </w:t>
      </w:r>
      <w:r>
        <w:rPr>
          <w:color w:val="707270"/>
          <w:w w:val="105"/>
          <w:sz w:val="21"/>
        </w:rPr>
        <w:t>can</w:t>
      </w:r>
      <w:r>
        <w:rPr>
          <w:color w:val="707270"/>
          <w:spacing w:val="-1"/>
          <w:w w:val="105"/>
          <w:sz w:val="21"/>
        </w:rPr>
        <w:t> </w:t>
      </w:r>
      <w:r>
        <w:rPr>
          <w:color w:val="80807E"/>
          <w:w w:val="105"/>
          <w:sz w:val="21"/>
        </w:rPr>
        <w:t>be </w:t>
      </w:r>
      <w:r>
        <w:rPr>
          <w:color w:val="707270"/>
          <w:w w:val="105"/>
          <w:sz w:val="21"/>
        </w:rPr>
        <w:t>contact</w:t>
      </w:r>
      <w:r>
        <w:rPr>
          <w:color w:val="525250"/>
          <w:w w:val="105"/>
          <w:sz w:val="21"/>
        </w:rPr>
        <w:t>e</w:t>
      </w:r>
      <w:r>
        <w:rPr>
          <w:color w:val="707270"/>
          <w:w w:val="105"/>
          <w:sz w:val="21"/>
        </w:rPr>
        <w:t>d</w:t>
      </w:r>
      <w:r>
        <w:rPr>
          <w:color w:val="707270"/>
          <w:spacing w:val="-2"/>
          <w:w w:val="105"/>
          <w:sz w:val="21"/>
        </w:rPr>
        <w:t> </w:t>
      </w:r>
      <w:r>
        <w:rPr>
          <w:color w:val="424442"/>
          <w:w w:val="105"/>
          <w:sz w:val="21"/>
        </w:rPr>
        <w:t>r</w:t>
      </w:r>
      <w:r>
        <w:rPr>
          <w:color w:val="707270"/>
          <w:w w:val="105"/>
          <w:sz w:val="21"/>
        </w:rPr>
        <w:t>egardin</w:t>
      </w:r>
      <w:r>
        <w:rPr>
          <w:color w:val="525250"/>
          <w:w w:val="105"/>
          <w:sz w:val="21"/>
        </w:rPr>
        <w:t>g</w:t>
      </w:r>
      <w:r>
        <w:rPr>
          <w:color w:val="525250"/>
          <w:spacing w:val="-2"/>
          <w:w w:val="105"/>
          <w:sz w:val="21"/>
        </w:rPr>
        <w:t> </w:t>
      </w:r>
      <w:r>
        <w:rPr>
          <w:color w:val="626260"/>
          <w:w w:val="105"/>
          <w:sz w:val="21"/>
        </w:rPr>
        <w:t>its </w:t>
      </w:r>
      <w:r>
        <w:rPr>
          <w:color w:val="707270"/>
          <w:w w:val="105"/>
          <w:sz w:val="21"/>
        </w:rPr>
        <w:t>development </w:t>
      </w:r>
      <w:r>
        <w:rPr>
          <w:color w:val="626260"/>
          <w:w w:val="105"/>
          <w:sz w:val="21"/>
        </w:rPr>
        <w:t>or</w:t>
      </w:r>
      <w:r>
        <w:rPr>
          <w:color w:val="626260"/>
          <w:spacing w:val="-5"/>
          <w:w w:val="105"/>
          <w:sz w:val="21"/>
        </w:rPr>
        <w:t> </w:t>
      </w:r>
      <w:r>
        <w:rPr>
          <w:color w:val="80807E"/>
          <w:w w:val="105"/>
          <w:sz w:val="21"/>
        </w:rPr>
        <w:t>imple</w:t>
      </w:r>
      <w:r>
        <w:rPr>
          <w:color w:val="626260"/>
          <w:w w:val="105"/>
          <w:sz w:val="21"/>
        </w:rPr>
        <w:t>mentation</w:t>
      </w:r>
      <w:r>
        <w:rPr>
          <w:color w:val="AAAAAA"/>
          <w:w w:val="105"/>
          <w:sz w:val="21"/>
        </w:rPr>
        <w:t>.</w:t>
      </w:r>
      <w:r>
        <w:rPr>
          <w:color w:val="AAAAAA"/>
          <w:spacing w:val="-6"/>
          <w:w w:val="105"/>
          <w:sz w:val="21"/>
        </w:rPr>
        <w:t> </w:t>
      </w:r>
      <w:r>
        <w:rPr>
          <w:color w:val="626260"/>
          <w:w w:val="105"/>
          <w:sz w:val="21"/>
        </w:rPr>
        <w:t>This</w:t>
      </w:r>
      <w:r>
        <w:rPr>
          <w:color w:val="626260"/>
          <w:spacing w:val="-25"/>
          <w:w w:val="105"/>
          <w:sz w:val="21"/>
        </w:rPr>
        <w:t> </w:t>
      </w:r>
      <w:r>
        <w:rPr>
          <w:color w:val="626260"/>
          <w:w w:val="105"/>
          <w:sz w:val="21"/>
        </w:rPr>
        <w:t>summary</w:t>
      </w:r>
      <w:r>
        <w:rPr>
          <w:color w:val="626260"/>
          <w:spacing w:val="-13"/>
          <w:w w:val="105"/>
          <w:sz w:val="21"/>
        </w:rPr>
        <w:t> </w:t>
      </w:r>
      <w:r>
        <w:rPr>
          <w:color w:val="626260"/>
          <w:w w:val="105"/>
          <w:sz w:val="21"/>
        </w:rPr>
        <w:t>w</w:t>
      </w:r>
      <w:r>
        <w:rPr>
          <w:color w:val="80807E"/>
          <w:w w:val="105"/>
          <w:sz w:val="21"/>
        </w:rPr>
        <w:t>ill </w:t>
      </w:r>
      <w:r>
        <w:rPr>
          <w:color w:val="707270"/>
          <w:w w:val="105"/>
          <w:sz w:val="21"/>
        </w:rPr>
        <w:t>be </w:t>
      </w:r>
      <w:r>
        <w:rPr>
          <w:color w:val="626260"/>
          <w:w w:val="105"/>
          <w:sz w:val="21"/>
        </w:rPr>
        <w:t>posted </w:t>
      </w:r>
      <w:r>
        <w:rPr>
          <w:color w:val="80807E"/>
          <w:w w:val="105"/>
          <w:sz w:val="21"/>
        </w:rPr>
        <w:t>to </w:t>
      </w:r>
      <w:r>
        <w:rPr>
          <w:color w:val="525250"/>
          <w:w w:val="105"/>
          <w:sz w:val="21"/>
        </w:rPr>
        <w:t>th</w:t>
      </w:r>
      <w:r>
        <w:rPr>
          <w:color w:val="80807E"/>
          <w:w w:val="105"/>
          <w:sz w:val="21"/>
        </w:rPr>
        <w:t>e </w:t>
      </w:r>
      <w:r>
        <w:rPr>
          <w:color w:val="626260"/>
          <w:w w:val="105"/>
          <w:sz w:val="21"/>
        </w:rPr>
        <w:t>Co</w:t>
      </w:r>
      <w:r>
        <w:rPr>
          <w:color w:val="424442"/>
          <w:w w:val="105"/>
          <w:sz w:val="21"/>
        </w:rPr>
        <w:t>mmi</w:t>
      </w:r>
      <w:r>
        <w:rPr>
          <w:color w:val="707270"/>
          <w:w w:val="105"/>
          <w:sz w:val="21"/>
        </w:rPr>
        <w:t>ss</w:t>
      </w:r>
      <w:r>
        <w:rPr>
          <w:color w:val="424442"/>
          <w:w w:val="105"/>
          <w:sz w:val="21"/>
        </w:rPr>
        <w:t>i</w:t>
      </w:r>
      <w:r>
        <w:rPr>
          <w:color w:val="626260"/>
          <w:w w:val="105"/>
          <w:sz w:val="21"/>
        </w:rPr>
        <w:t>on</w:t>
      </w:r>
      <w:r>
        <w:rPr>
          <w:color w:val="959595"/>
          <w:w w:val="105"/>
          <w:sz w:val="21"/>
        </w:rPr>
        <w:t>'</w:t>
      </w:r>
      <w:r>
        <w:rPr>
          <w:color w:val="626260"/>
          <w:w w:val="105"/>
          <w:sz w:val="21"/>
        </w:rPr>
        <w:t>s </w:t>
      </w:r>
      <w:r>
        <w:rPr>
          <w:color w:val="525250"/>
          <w:w w:val="105"/>
          <w:sz w:val="21"/>
        </w:rPr>
        <w:t>Web</w:t>
      </w:r>
      <w:r>
        <w:rPr>
          <w:color w:val="525250"/>
          <w:spacing w:val="-1"/>
          <w:w w:val="105"/>
          <w:sz w:val="21"/>
        </w:rPr>
        <w:t> </w:t>
      </w:r>
      <w:r>
        <w:rPr>
          <w:color w:val="707270"/>
          <w:w w:val="105"/>
          <w:sz w:val="21"/>
        </w:rPr>
        <w:t>s</w:t>
      </w:r>
      <w:r>
        <w:rPr>
          <w:color w:val="424442"/>
          <w:w w:val="105"/>
          <w:sz w:val="21"/>
        </w:rPr>
        <w:t>it</w:t>
      </w:r>
      <w:r>
        <w:rPr>
          <w:color w:val="626260"/>
          <w:w w:val="105"/>
          <w:sz w:val="21"/>
        </w:rPr>
        <w:t>e </w:t>
      </w:r>
      <w:r>
        <w:rPr>
          <w:color w:val="525250"/>
          <w:w w:val="105"/>
          <w:sz w:val="21"/>
        </w:rPr>
        <w:t>as</w:t>
      </w:r>
      <w:r>
        <w:rPr>
          <w:color w:val="525250"/>
          <w:spacing w:val="-1"/>
          <w:w w:val="105"/>
          <w:sz w:val="21"/>
        </w:rPr>
        <w:t> </w:t>
      </w:r>
      <w:r>
        <w:rPr>
          <w:color w:val="525250"/>
          <w:w w:val="105"/>
          <w:sz w:val="21"/>
        </w:rPr>
        <w:t>a r</w:t>
      </w:r>
      <w:r>
        <w:rPr>
          <w:color w:val="80807E"/>
          <w:w w:val="105"/>
          <w:sz w:val="21"/>
        </w:rPr>
        <w:t>es</w:t>
      </w:r>
      <w:r>
        <w:rPr>
          <w:color w:val="626260"/>
          <w:w w:val="105"/>
          <w:sz w:val="21"/>
        </w:rPr>
        <w:t>o</w:t>
      </w:r>
      <w:r>
        <w:rPr>
          <w:color w:val="424442"/>
          <w:w w:val="105"/>
          <w:sz w:val="21"/>
        </w:rPr>
        <w:t>u</w:t>
      </w:r>
      <w:r>
        <w:rPr>
          <w:color w:val="626260"/>
          <w:w w:val="105"/>
          <w:sz w:val="21"/>
        </w:rPr>
        <w:t>rce for</w:t>
      </w:r>
      <w:r>
        <w:rPr>
          <w:color w:val="626260"/>
          <w:spacing w:val="-6"/>
          <w:w w:val="105"/>
          <w:sz w:val="21"/>
        </w:rPr>
        <w:t> </w:t>
      </w:r>
      <w:r>
        <w:rPr>
          <w:color w:val="626260"/>
          <w:w w:val="105"/>
          <w:sz w:val="21"/>
        </w:rPr>
        <w:t>oth</w:t>
      </w:r>
      <w:r>
        <w:rPr>
          <w:color w:val="424442"/>
          <w:w w:val="105"/>
          <w:sz w:val="21"/>
        </w:rPr>
        <w:t>e</w:t>
      </w:r>
      <w:r>
        <w:rPr>
          <w:color w:val="626260"/>
          <w:w w:val="105"/>
          <w:sz w:val="21"/>
        </w:rPr>
        <w:t>r</w:t>
      </w:r>
      <w:r>
        <w:rPr>
          <w:color w:val="626260"/>
          <w:spacing w:val="-5"/>
          <w:w w:val="105"/>
          <w:sz w:val="21"/>
        </w:rPr>
        <w:t> </w:t>
      </w:r>
      <w:r>
        <w:rPr>
          <w:color w:val="525250"/>
          <w:w w:val="105"/>
          <w:sz w:val="21"/>
        </w:rPr>
        <w:t>insl</w:t>
      </w:r>
      <w:r>
        <w:rPr>
          <w:color w:val="707270"/>
          <w:w w:val="105"/>
          <w:sz w:val="21"/>
        </w:rPr>
        <w:t>i</w:t>
      </w:r>
      <w:r>
        <w:rPr>
          <w:color w:val="313131"/>
          <w:w w:val="105"/>
          <w:sz w:val="21"/>
        </w:rPr>
        <w:t>lul</w:t>
      </w:r>
      <w:r>
        <w:rPr>
          <w:color w:val="525250"/>
          <w:w w:val="105"/>
          <w:sz w:val="21"/>
        </w:rPr>
        <w:t>ions und</w:t>
      </w:r>
      <w:r>
        <w:rPr>
          <w:color w:val="707270"/>
          <w:w w:val="105"/>
          <w:sz w:val="21"/>
        </w:rPr>
        <w:t>e</w:t>
      </w:r>
      <w:r>
        <w:rPr>
          <w:color w:val="424442"/>
          <w:w w:val="105"/>
          <w:sz w:val="21"/>
        </w:rPr>
        <w:t>rgo</w:t>
      </w:r>
      <w:r>
        <w:rPr>
          <w:color w:val="626260"/>
          <w:w w:val="105"/>
          <w:sz w:val="21"/>
        </w:rPr>
        <w:t>ing </w:t>
      </w:r>
      <w:r>
        <w:rPr>
          <w:color w:val="424442"/>
          <w:w w:val="105"/>
          <w:sz w:val="21"/>
        </w:rPr>
        <w:t>th</w:t>
      </w:r>
      <w:r>
        <w:rPr>
          <w:color w:val="707270"/>
          <w:w w:val="105"/>
          <w:sz w:val="21"/>
        </w:rPr>
        <w:t>e </w:t>
      </w:r>
      <w:r>
        <w:rPr>
          <w:color w:val="525250"/>
          <w:w w:val="105"/>
          <w:sz w:val="21"/>
        </w:rPr>
        <w:t>r</w:t>
      </w:r>
      <w:r>
        <w:rPr>
          <w:color w:val="707270"/>
          <w:w w:val="105"/>
          <w:sz w:val="21"/>
        </w:rPr>
        <w:t>ea</w:t>
      </w:r>
      <w:r>
        <w:rPr>
          <w:color w:val="525250"/>
          <w:w w:val="105"/>
          <w:sz w:val="21"/>
        </w:rPr>
        <w:t>ffirma</w:t>
      </w:r>
      <w:r>
        <w:rPr>
          <w:color w:val="313131"/>
          <w:w w:val="105"/>
          <w:sz w:val="21"/>
        </w:rPr>
        <w:t>ti</w:t>
      </w:r>
      <w:r>
        <w:rPr>
          <w:color w:val="525250"/>
          <w:w w:val="105"/>
          <w:sz w:val="21"/>
        </w:rPr>
        <w:t>on </w:t>
      </w:r>
      <w:r>
        <w:rPr>
          <w:color w:val="626260"/>
          <w:w w:val="105"/>
          <w:sz w:val="21"/>
        </w:rPr>
        <w:t>proce</w:t>
      </w:r>
      <w:r>
        <w:rPr>
          <w:color w:val="424442"/>
          <w:w w:val="105"/>
          <w:sz w:val="21"/>
        </w:rPr>
        <w:t>ss</w:t>
      </w:r>
      <w:r>
        <w:rPr>
          <w:color w:val="AAAAAA"/>
          <w:w w:val="105"/>
          <w:sz w:val="21"/>
        </w:rPr>
        <w:t>.</w:t>
      </w:r>
    </w:p>
    <w:p>
      <w:pPr>
        <w:pStyle w:val="BodyText"/>
        <w:spacing w:before="3"/>
      </w:pPr>
    </w:p>
    <w:p>
      <w:pPr>
        <w:spacing w:line="247" w:lineRule="auto" w:before="0"/>
        <w:ind w:left="567" w:right="1277" w:firstLine="2"/>
        <w:jc w:val="left"/>
        <w:rPr>
          <w:sz w:val="21"/>
        </w:rPr>
      </w:pPr>
      <w:r>
        <w:rPr>
          <w:color w:val="707270"/>
          <w:w w:val="105"/>
          <w:sz w:val="21"/>
        </w:rPr>
        <w:t>All </w:t>
      </w:r>
      <w:r>
        <w:rPr>
          <w:color w:val="959595"/>
          <w:w w:val="105"/>
          <w:sz w:val="21"/>
        </w:rPr>
        <w:t>i</w:t>
      </w:r>
      <w:r>
        <w:rPr>
          <w:color w:val="707270"/>
          <w:w w:val="105"/>
          <w:sz w:val="21"/>
        </w:rPr>
        <w:t>nstitutions are </w:t>
      </w:r>
      <w:r>
        <w:rPr>
          <w:color w:val="626260"/>
          <w:w w:val="105"/>
          <w:sz w:val="21"/>
        </w:rPr>
        <w:t>requ</w:t>
      </w:r>
      <w:r>
        <w:rPr>
          <w:color w:val="80807E"/>
          <w:w w:val="105"/>
          <w:sz w:val="21"/>
        </w:rPr>
        <w:t>est</w:t>
      </w:r>
      <w:r>
        <w:rPr>
          <w:color w:val="626260"/>
          <w:w w:val="105"/>
          <w:sz w:val="21"/>
        </w:rPr>
        <w:t>ed </w:t>
      </w:r>
      <w:r>
        <w:rPr>
          <w:color w:val="525250"/>
          <w:w w:val="105"/>
          <w:sz w:val="21"/>
        </w:rPr>
        <w:t>t</w:t>
      </w:r>
      <w:r>
        <w:rPr>
          <w:color w:val="707270"/>
          <w:w w:val="105"/>
          <w:sz w:val="21"/>
        </w:rPr>
        <w:t>o submi</w:t>
      </w:r>
      <w:r>
        <w:rPr>
          <w:color w:val="525250"/>
          <w:w w:val="105"/>
          <w:sz w:val="21"/>
        </w:rPr>
        <w:t>t</w:t>
      </w:r>
      <w:r>
        <w:rPr>
          <w:color w:val="525250"/>
          <w:spacing w:val="-4"/>
          <w:w w:val="105"/>
          <w:sz w:val="21"/>
        </w:rPr>
        <w:t> </w:t>
      </w:r>
      <w:r>
        <w:rPr>
          <w:color w:val="626260"/>
          <w:w w:val="105"/>
          <w:sz w:val="21"/>
        </w:rPr>
        <w:t>an</w:t>
      </w:r>
      <w:r>
        <w:rPr>
          <w:color w:val="626260"/>
          <w:spacing w:val="-6"/>
          <w:w w:val="105"/>
          <w:sz w:val="21"/>
        </w:rPr>
        <w:t> </w:t>
      </w:r>
      <w:r>
        <w:rPr>
          <w:color w:val="80807E"/>
          <w:w w:val="105"/>
          <w:sz w:val="21"/>
        </w:rPr>
        <w:t>"</w:t>
      </w:r>
      <w:r>
        <w:rPr>
          <w:color w:val="626260"/>
          <w:w w:val="105"/>
          <w:sz w:val="21"/>
        </w:rPr>
        <w:t>I</w:t>
      </w:r>
      <w:r>
        <w:rPr>
          <w:color w:val="80807E"/>
          <w:w w:val="105"/>
          <w:sz w:val="21"/>
        </w:rPr>
        <w:t>m</w:t>
      </w:r>
      <w:r>
        <w:rPr>
          <w:color w:val="626260"/>
          <w:w w:val="105"/>
          <w:sz w:val="21"/>
        </w:rPr>
        <w:t>p</w:t>
      </w:r>
      <w:r>
        <w:rPr>
          <w:color w:val="80807E"/>
          <w:w w:val="105"/>
          <w:sz w:val="21"/>
        </w:rPr>
        <w:t>act </w:t>
      </w:r>
      <w:r>
        <w:rPr>
          <w:color w:val="525250"/>
          <w:w w:val="105"/>
          <w:sz w:val="21"/>
        </w:rPr>
        <w:t>Re</w:t>
      </w:r>
      <w:r>
        <w:rPr>
          <w:color w:val="707270"/>
          <w:w w:val="105"/>
          <w:sz w:val="21"/>
        </w:rPr>
        <w:t>port </w:t>
      </w:r>
      <w:r>
        <w:rPr>
          <w:color w:val="80807E"/>
          <w:w w:val="105"/>
          <w:sz w:val="21"/>
        </w:rPr>
        <w:t>of th</w:t>
      </w:r>
      <w:r>
        <w:rPr>
          <w:color w:val="626260"/>
          <w:w w:val="105"/>
          <w:sz w:val="21"/>
        </w:rPr>
        <w:t>e</w:t>
      </w:r>
      <w:r>
        <w:rPr>
          <w:color w:val="626260"/>
          <w:spacing w:val="-6"/>
          <w:w w:val="105"/>
          <w:sz w:val="21"/>
        </w:rPr>
        <w:t> </w:t>
      </w:r>
      <w:r>
        <w:rPr>
          <w:color w:val="626260"/>
          <w:w w:val="105"/>
          <w:sz w:val="21"/>
        </w:rPr>
        <w:t>Qu</w:t>
      </w:r>
      <w:r>
        <w:rPr>
          <w:color w:val="80807E"/>
          <w:w w:val="105"/>
          <w:sz w:val="21"/>
        </w:rPr>
        <w:t>al</w:t>
      </w:r>
      <w:r>
        <w:rPr>
          <w:color w:val="626260"/>
          <w:w w:val="105"/>
          <w:sz w:val="21"/>
        </w:rPr>
        <w:t>ity</w:t>
      </w:r>
      <w:r>
        <w:rPr>
          <w:color w:val="626260"/>
          <w:spacing w:val="-2"/>
          <w:w w:val="105"/>
          <w:sz w:val="21"/>
        </w:rPr>
        <w:t> </w:t>
      </w:r>
      <w:r>
        <w:rPr>
          <w:color w:val="525250"/>
          <w:w w:val="105"/>
          <w:sz w:val="21"/>
        </w:rPr>
        <w:t>En</w:t>
      </w:r>
      <w:r>
        <w:rPr>
          <w:color w:val="707270"/>
          <w:w w:val="105"/>
          <w:sz w:val="21"/>
        </w:rPr>
        <w:t>hancement Plan</w:t>
      </w:r>
      <w:r>
        <w:rPr>
          <w:color w:val="707270"/>
          <w:spacing w:val="-21"/>
          <w:w w:val="105"/>
          <w:sz w:val="21"/>
        </w:rPr>
        <w:t> </w:t>
      </w:r>
      <w:r>
        <w:rPr>
          <w:color w:val="626260"/>
          <w:w w:val="105"/>
          <w:sz w:val="21"/>
        </w:rPr>
        <w:t>on</w:t>
      </w:r>
      <w:r>
        <w:rPr>
          <w:color w:val="626260"/>
          <w:spacing w:val="-16"/>
          <w:w w:val="105"/>
          <w:sz w:val="21"/>
        </w:rPr>
        <w:t> </w:t>
      </w:r>
      <w:r>
        <w:rPr>
          <w:color w:val="424442"/>
          <w:w w:val="105"/>
          <w:sz w:val="21"/>
        </w:rPr>
        <w:t>Stu</w:t>
      </w:r>
      <w:r>
        <w:rPr>
          <w:color w:val="707270"/>
          <w:w w:val="105"/>
          <w:sz w:val="21"/>
        </w:rPr>
        <w:t>dent</w:t>
      </w:r>
      <w:r>
        <w:rPr>
          <w:color w:val="707270"/>
          <w:spacing w:val="-14"/>
          <w:w w:val="105"/>
          <w:sz w:val="21"/>
        </w:rPr>
        <w:t> </w:t>
      </w:r>
      <w:r>
        <w:rPr>
          <w:color w:val="525250"/>
          <w:w w:val="105"/>
          <w:sz w:val="21"/>
        </w:rPr>
        <w:t>Learni</w:t>
      </w:r>
      <w:r>
        <w:rPr>
          <w:color w:val="707270"/>
          <w:w w:val="105"/>
          <w:sz w:val="21"/>
        </w:rPr>
        <w:t>ng"</w:t>
      </w:r>
      <w:r>
        <w:rPr>
          <w:color w:val="707270"/>
          <w:spacing w:val="-4"/>
          <w:w w:val="105"/>
          <w:sz w:val="21"/>
        </w:rPr>
        <w:t> </w:t>
      </w:r>
      <w:r>
        <w:rPr>
          <w:color w:val="707270"/>
          <w:w w:val="105"/>
          <w:sz w:val="21"/>
        </w:rPr>
        <w:t>as</w:t>
      </w:r>
      <w:r>
        <w:rPr>
          <w:color w:val="707270"/>
          <w:spacing w:val="-6"/>
          <w:w w:val="105"/>
          <w:sz w:val="21"/>
        </w:rPr>
        <w:t> </w:t>
      </w:r>
      <w:r>
        <w:rPr>
          <w:color w:val="626260"/>
          <w:w w:val="105"/>
          <w:sz w:val="21"/>
        </w:rPr>
        <w:t>part</w:t>
      </w:r>
      <w:r>
        <w:rPr>
          <w:color w:val="626260"/>
          <w:spacing w:val="-22"/>
          <w:w w:val="105"/>
          <w:sz w:val="21"/>
        </w:rPr>
        <w:t> </w:t>
      </w:r>
      <w:r>
        <w:rPr>
          <w:color w:val="626260"/>
          <w:w w:val="105"/>
          <w:sz w:val="21"/>
        </w:rPr>
        <w:t>of </w:t>
      </w:r>
      <w:r>
        <w:rPr>
          <w:color w:val="424442"/>
          <w:w w:val="105"/>
          <w:sz w:val="21"/>
        </w:rPr>
        <w:t>th</w:t>
      </w:r>
      <w:r>
        <w:rPr>
          <w:color w:val="626260"/>
          <w:w w:val="105"/>
          <w:sz w:val="21"/>
        </w:rPr>
        <w:t>e</w:t>
      </w:r>
      <w:r>
        <w:rPr>
          <w:color w:val="424442"/>
          <w:w w:val="105"/>
          <w:sz w:val="21"/>
        </w:rPr>
        <w:t>ir</w:t>
      </w:r>
      <w:r>
        <w:rPr>
          <w:color w:val="424442"/>
          <w:spacing w:val="-16"/>
          <w:w w:val="105"/>
          <w:sz w:val="21"/>
        </w:rPr>
        <w:t> </w:t>
      </w:r>
      <w:r>
        <w:rPr>
          <w:color w:val="707270"/>
          <w:w w:val="105"/>
          <w:sz w:val="21"/>
        </w:rPr>
        <w:t>"Fi</w:t>
      </w:r>
      <w:r>
        <w:rPr>
          <w:color w:val="424442"/>
          <w:w w:val="105"/>
          <w:sz w:val="21"/>
        </w:rPr>
        <w:t>ft</w:t>
      </w:r>
      <w:r>
        <w:rPr>
          <w:color w:val="626260"/>
          <w:w w:val="105"/>
          <w:sz w:val="21"/>
        </w:rPr>
        <w:t>h</w:t>
      </w:r>
      <w:r>
        <w:rPr>
          <w:color w:val="959595"/>
          <w:w w:val="105"/>
          <w:sz w:val="21"/>
        </w:rPr>
        <w:t>-</w:t>
      </w:r>
      <w:r>
        <w:rPr>
          <w:color w:val="525250"/>
          <w:w w:val="105"/>
          <w:sz w:val="21"/>
        </w:rPr>
        <w:t>Year</w:t>
      </w:r>
      <w:r>
        <w:rPr>
          <w:color w:val="525250"/>
          <w:spacing w:val="-11"/>
          <w:w w:val="105"/>
          <w:sz w:val="21"/>
        </w:rPr>
        <w:t> </w:t>
      </w:r>
      <w:r>
        <w:rPr>
          <w:color w:val="424442"/>
          <w:w w:val="105"/>
          <w:sz w:val="21"/>
        </w:rPr>
        <w:t>I</w:t>
      </w:r>
      <w:r>
        <w:rPr>
          <w:color w:val="626260"/>
          <w:w w:val="105"/>
          <w:sz w:val="21"/>
        </w:rPr>
        <w:t>nte</w:t>
      </w:r>
      <w:r>
        <w:rPr>
          <w:color w:val="424442"/>
          <w:w w:val="105"/>
          <w:sz w:val="21"/>
        </w:rPr>
        <w:t>rim </w:t>
      </w:r>
      <w:r>
        <w:rPr>
          <w:color w:val="525250"/>
          <w:w w:val="105"/>
          <w:sz w:val="21"/>
        </w:rPr>
        <w:t>Report</w:t>
      </w:r>
      <w:r>
        <w:rPr>
          <w:color w:val="707270"/>
          <w:w w:val="105"/>
          <w:sz w:val="21"/>
        </w:rPr>
        <w:t>"</w:t>
      </w:r>
      <w:r>
        <w:rPr>
          <w:color w:val="707270"/>
          <w:spacing w:val="-16"/>
          <w:w w:val="105"/>
          <w:sz w:val="21"/>
        </w:rPr>
        <w:t> </w:t>
      </w:r>
      <w:r>
        <w:rPr>
          <w:color w:val="525250"/>
          <w:w w:val="105"/>
          <w:sz w:val="21"/>
        </w:rPr>
        <w:t>d</w:t>
      </w:r>
      <w:r>
        <w:rPr>
          <w:color w:val="313131"/>
          <w:w w:val="105"/>
          <w:sz w:val="21"/>
        </w:rPr>
        <w:t>u</w:t>
      </w:r>
      <w:r>
        <w:rPr>
          <w:color w:val="626260"/>
          <w:w w:val="105"/>
          <w:sz w:val="21"/>
        </w:rPr>
        <w:t>e </w:t>
      </w:r>
      <w:r>
        <w:rPr>
          <w:color w:val="707270"/>
          <w:w w:val="105"/>
          <w:sz w:val="21"/>
        </w:rPr>
        <w:t>fi</w:t>
      </w:r>
      <w:r>
        <w:rPr>
          <w:color w:val="525250"/>
          <w:w w:val="105"/>
          <w:sz w:val="21"/>
        </w:rPr>
        <w:t>ve y</w:t>
      </w:r>
      <w:r>
        <w:rPr>
          <w:color w:val="707270"/>
          <w:w w:val="105"/>
          <w:sz w:val="21"/>
        </w:rPr>
        <w:t>ears </w:t>
      </w:r>
      <w:r>
        <w:rPr>
          <w:color w:val="626260"/>
          <w:w w:val="105"/>
          <w:sz w:val="21"/>
        </w:rPr>
        <w:t>a</w:t>
      </w:r>
      <w:r>
        <w:rPr>
          <w:color w:val="313131"/>
          <w:w w:val="105"/>
          <w:sz w:val="21"/>
        </w:rPr>
        <w:t>f</w:t>
      </w:r>
      <w:r>
        <w:rPr>
          <w:color w:val="525250"/>
          <w:w w:val="105"/>
          <w:sz w:val="21"/>
        </w:rPr>
        <w:t>t</w:t>
      </w:r>
      <w:r>
        <w:rPr>
          <w:color w:val="707270"/>
          <w:w w:val="105"/>
          <w:sz w:val="21"/>
        </w:rPr>
        <w:t>e</w:t>
      </w:r>
      <w:r>
        <w:rPr>
          <w:color w:val="525250"/>
          <w:w w:val="105"/>
          <w:sz w:val="21"/>
        </w:rPr>
        <w:t>r th</w:t>
      </w:r>
      <w:r>
        <w:rPr>
          <w:color w:val="80807E"/>
          <w:w w:val="105"/>
          <w:sz w:val="21"/>
        </w:rPr>
        <w:t>eir </w:t>
      </w:r>
      <w:r>
        <w:rPr>
          <w:color w:val="626260"/>
          <w:w w:val="105"/>
          <w:sz w:val="21"/>
        </w:rPr>
        <w:t>reaffi</w:t>
      </w:r>
      <w:r>
        <w:rPr>
          <w:color w:val="313131"/>
          <w:w w:val="105"/>
          <w:sz w:val="21"/>
        </w:rPr>
        <w:t>r</w:t>
      </w:r>
      <w:r>
        <w:rPr>
          <w:color w:val="525250"/>
          <w:w w:val="105"/>
          <w:sz w:val="21"/>
        </w:rPr>
        <w:t>m</w:t>
      </w:r>
      <w:r>
        <w:rPr>
          <w:color w:val="707270"/>
          <w:w w:val="105"/>
          <w:sz w:val="21"/>
        </w:rPr>
        <w:t>a</w:t>
      </w:r>
      <w:r>
        <w:rPr>
          <w:color w:val="525250"/>
          <w:w w:val="105"/>
          <w:sz w:val="21"/>
        </w:rPr>
        <w:t>tion </w:t>
      </w:r>
      <w:r>
        <w:rPr>
          <w:color w:val="313131"/>
          <w:w w:val="105"/>
          <w:sz w:val="21"/>
        </w:rPr>
        <w:t>r</w:t>
      </w:r>
      <w:r>
        <w:rPr>
          <w:color w:val="525250"/>
          <w:w w:val="105"/>
          <w:sz w:val="21"/>
        </w:rPr>
        <w:t>ev</w:t>
      </w:r>
      <w:r>
        <w:rPr>
          <w:color w:val="80807E"/>
          <w:w w:val="105"/>
          <w:sz w:val="21"/>
        </w:rPr>
        <w:t>ie</w:t>
      </w:r>
      <w:r>
        <w:rPr>
          <w:color w:val="525250"/>
          <w:w w:val="105"/>
          <w:sz w:val="21"/>
        </w:rPr>
        <w:t>w</w:t>
      </w:r>
      <w:r>
        <w:rPr>
          <w:color w:val="BCBCBC"/>
          <w:w w:val="105"/>
          <w:sz w:val="21"/>
        </w:rPr>
        <w:t>.</w:t>
      </w:r>
      <w:r>
        <w:rPr>
          <w:color w:val="BCBCBC"/>
          <w:spacing w:val="40"/>
          <w:w w:val="105"/>
          <w:sz w:val="21"/>
        </w:rPr>
        <w:t> </w:t>
      </w:r>
      <w:r>
        <w:rPr>
          <w:color w:val="626260"/>
          <w:w w:val="105"/>
          <w:sz w:val="21"/>
        </w:rPr>
        <w:t>In</w:t>
      </w:r>
      <w:r>
        <w:rPr>
          <w:color w:val="424442"/>
          <w:w w:val="105"/>
          <w:sz w:val="21"/>
        </w:rPr>
        <w:t>st</w:t>
      </w:r>
      <w:r>
        <w:rPr>
          <w:color w:val="626260"/>
          <w:w w:val="105"/>
          <w:sz w:val="21"/>
        </w:rPr>
        <w:t>itu</w:t>
      </w:r>
      <w:r>
        <w:rPr>
          <w:color w:val="313131"/>
          <w:w w:val="105"/>
          <w:sz w:val="21"/>
        </w:rPr>
        <w:t>ti</w:t>
      </w:r>
      <w:r>
        <w:rPr>
          <w:color w:val="707270"/>
          <w:w w:val="105"/>
          <w:sz w:val="21"/>
        </w:rPr>
        <w:t>ons</w:t>
      </w:r>
      <w:r>
        <w:rPr>
          <w:color w:val="707270"/>
          <w:spacing w:val="-1"/>
          <w:w w:val="105"/>
          <w:sz w:val="21"/>
        </w:rPr>
        <w:t> </w:t>
      </w:r>
      <w:r>
        <w:rPr>
          <w:color w:val="525250"/>
          <w:w w:val="105"/>
          <w:sz w:val="21"/>
        </w:rPr>
        <w:t>w</w:t>
      </w:r>
      <w:r>
        <w:rPr>
          <w:color w:val="313131"/>
          <w:w w:val="105"/>
          <w:sz w:val="21"/>
        </w:rPr>
        <w:t>i</w:t>
      </w:r>
      <w:r>
        <w:rPr>
          <w:color w:val="626260"/>
          <w:w w:val="105"/>
          <w:sz w:val="21"/>
        </w:rPr>
        <w:t>ll</w:t>
      </w:r>
      <w:r>
        <w:rPr>
          <w:color w:val="626260"/>
          <w:spacing w:val="-3"/>
          <w:w w:val="105"/>
          <w:sz w:val="21"/>
        </w:rPr>
        <w:t> </w:t>
      </w:r>
      <w:r>
        <w:rPr>
          <w:color w:val="707270"/>
          <w:w w:val="105"/>
          <w:sz w:val="21"/>
        </w:rPr>
        <w:t>be </w:t>
      </w:r>
      <w:r>
        <w:rPr>
          <w:color w:val="525250"/>
          <w:w w:val="105"/>
          <w:sz w:val="21"/>
        </w:rPr>
        <w:t>n</w:t>
      </w:r>
      <w:r>
        <w:rPr>
          <w:color w:val="707270"/>
          <w:w w:val="105"/>
          <w:sz w:val="21"/>
        </w:rPr>
        <w:t>otifi</w:t>
      </w:r>
      <w:r>
        <w:rPr>
          <w:color w:val="424442"/>
          <w:w w:val="105"/>
          <w:sz w:val="21"/>
        </w:rPr>
        <w:t>e</w:t>
      </w:r>
      <w:r>
        <w:rPr>
          <w:color w:val="626260"/>
          <w:w w:val="105"/>
          <w:sz w:val="21"/>
        </w:rPr>
        <w:t>d on</w:t>
      </w:r>
      <w:r>
        <w:rPr>
          <w:color w:val="80807E"/>
          <w:w w:val="105"/>
          <w:sz w:val="21"/>
        </w:rPr>
        <w:t>e </w:t>
      </w:r>
      <w:r>
        <w:rPr>
          <w:color w:val="626260"/>
          <w:w w:val="105"/>
          <w:sz w:val="21"/>
        </w:rPr>
        <w:t>yea</w:t>
      </w:r>
      <w:r>
        <w:rPr>
          <w:color w:val="424442"/>
          <w:w w:val="105"/>
          <w:sz w:val="21"/>
        </w:rPr>
        <w:t>r</w:t>
      </w:r>
      <w:r>
        <w:rPr>
          <w:color w:val="424442"/>
          <w:spacing w:val="-10"/>
          <w:w w:val="105"/>
          <w:sz w:val="21"/>
        </w:rPr>
        <w:t> </w:t>
      </w:r>
      <w:r>
        <w:rPr>
          <w:color w:val="707270"/>
          <w:w w:val="105"/>
          <w:sz w:val="21"/>
        </w:rPr>
        <w:t>i</w:t>
      </w:r>
      <w:r>
        <w:rPr>
          <w:color w:val="525250"/>
          <w:w w:val="105"/>
          <w:sz w:val="21"/>
        </w:rPr>
        <w:t>n</w:t>
      </w:r>
      <w:r>
        <w:rPr>
          <w:color w:val="525250"/>
          <w:spacing w:val="-6"/>
          <w:w w:val="105"/>
          <w:sz w:val="21"/>
        </w:rPr>
        <w:t> </w:t>
      </w:r>
      <w:r>
        <w:rPr>
          <w:color w:val="80807E"/>
          <w:w w:val="105"/>
          <w:sz w:val="21"/>
        </w:rPr>
        <w:t>ad</w:t>
      </w:r>
      <w:r>
        <w:rPr>
          <w:color w:val="626260"/>
          <w:w w:val="105"/>
          <w:sz w:val="21"/>
        </w:rPr>
        <w:t>vance by the </w:t>
      </w:r>
      <w:r>
        <w:rPr>
          <w:color w:val="707270"/>
          <w:w w:val="105"/>
          <w:sz w:val="21"/>
        </w:rPr>
        <w:t>Pre</w:t>
      </w:r>
      <w:r>
        <w:rPr>
          <w:color w:val="959595"/>
          <w:w w:val="105"/>
          <w:sz w:val="21"/>
        </w:rPr>
        <w:t>si</w:t>
      </w:r>
      <w:r>
        <w:rPr>
          <w:color w:val="707270"/>
          <w:w w:val="105"/>
          <w:sz w:val="21"/>
        </w:rPr>
        <w:t>dent</w:t>
      </w:r>
      <w:r>
        <w:rPr>
          <w:color w:val="707270"/>
          <w:spacing w:val="-10"/>
          <w:w w:val="105"/>
          <w:sz w:val="21"/>
        </w:rPr>
        <w:t> </w:t>
      </w:r>
      <w:r>
        <w:rPr>
          <w:color w:val="80807E"/>
          <w:w w:val="105"/>
          <w:sz w:val="21"/>
        </w:rPr>
        <w:t>o</w:t>
      </w:r>
      <w:r>
        <w:rPr>
          <w:color w:val="626260"/>
          <w:w w:val="105"/>
          <w:sz w:val="21"/>
        </w:rPr>
        <w:t>f the Commi</w:t>
      </w:r>
      <w:r>
        <w:rPr>
          <w:color w:val="80807E"/>
          <w:w w:val="105"/>
          <w:sz w:val="21"/>
        </w:rPr>
        <w:t>ssio</w:t>
      </w:r>
      <w:r>
        <w:rPr>
          <w:color w:val="626260"/>
          <w:w w:val="105"/>
          <w:sz w:val="21"/>
        </w:rPr>
        <w:t>n </w:t>
      </w:r>
      <w:r>
        <w:rPr>
          <w:color w:val="525250"/>
          <w:w w:val="105"/>
          <w:sz w:val="21"/>
        </w:rPr>
        <w:t>re</w:t>
      </w:r>
      <w:r>
        <w:rPr>
          <w:color w:val="707270"/>
          <w:w w:val="105"/>
          <w:sz w:val="21"/>
        </w:rPr>
        <w:t>gard</w:t>
      </w:r>
      <w:r>
        <w:rPr>
          <w:color w:val="959595"/>
          <w:w w:val="105"/>
          <w:sz w:val="21"/>
        </w:rPr>
        <w:t>i</w:t>
      </w:r>
      <w:r>
        <w:rPr>
          <w:color w:val="707270"/>
          <w:w w:val="105"/>
          <w:sz w:val="21"/>
        </w:rPr>
        <w:t>ng </w:t>
      </w:r>
      <w:r>
        <w:rPr>
          <w:color w:val="525250"/>
          <w:w w:val="105"/>
          <w:sz w:val="21"/>
        </w:rPr>
        <w:t>i</w:t>
      </w:r>
      <w:r>
        <w:rPr>
          <w:color w:val="707270"/>
          <w:w w:val="105"/>
          <w:sz w:val="21"/>
        </w:rPr>
        <w:t>ts </w:t>
      </w:r>
      <w:r>
        <w:rPr>
          <w:color w:val="80807E"/>
          <w:w w:val="105"/>
          <w:sz w:val="21"/>
        </w:rPr>
        <w:t>specific </w:t>
      </w:r>
      <w:r>
        <w:rPr>
          <w:color w:val="707270"/>
          <w:w w:val="105"/>
          <w:sz w:val="21"/>
        </w:rPr>
        <w:t>due </w:t>
      </w:r>
      <w:r>
        <w:rPr>
          <w:color w:val="80807E"/>
          <w:w w:val="105"/>
          <w:sz w:val="21"/>
        </w:rPr>
        <w:t>date.</w:t>
      </w:r>
    </w:p>
    <w:p>
      <w:pPr>
        <w:pStyle w:val="BodyText"/>
        <w:spacing w:before="2"/>
        <w:rPr>
          <w:sz w:val="21"/>
        </w:rPr>
      </w:pPr>
    </w:p>
    <w:p>
      <w:pPr>
        <w:spacing w:line="247" w:lineRule="auto" w:before="0"/>
        <w:ind w:left="581" w:right="1003" w:hanging="10"/>
        <w:jc w:val="left"/>
        <w:rPr>
          <w:sz w:val="21"/>
        </w:rPr>
      </w:pPr>
      <w:r>
        <w:rPr>
          <w:color w:val="707270"/>
          <w:w w:val="105"/>
          <w:sz w:val="21"/>
        </w:rPr>
        <w:t>Gu</w:t>
      </w:r>
      <w:r>
        <w:rPr>
          <w:color w:val="959595"/>
          <w:w w:val="105"/>
          <w:sz w:val="21"/>
        </w:rPr>
        <w:t>i</w:t>
      </w:r>
      <w:r>
        <w:rPr>
          <w:color w:val="707270"/>
          <w:w w:val="105"/>
          <w:sz w:val="21"/>
        </w:rPr>
        <w:t>de</w:t>
      </w:r>
      <w:r>
        <w:rPr>
          <w:color w:val="959595"/>
          <w:w w:val="105"/>
          <w:sz w:val="21"/>
        </w:rPr>
        <w:t>l</w:t>
      </w:r>
      <w:r>
        <w:rPr>
          <w:color w:val="525250"/>
          <w:w w:val="105"/>
          <w:sz w:val="21"/>
        </w:rPr>
        <w:t>in</w:t>
      </w:r>
      <w:r>
        <w:rPr>
          <w:color w:val="80807E"/>
          <w:w w:val="105"/>
          <w:sz w:val="21"/>
        </w:rPr>
        <w:t>es </w:t>
      </w:r>
      <w:r>
        <w:rPr>
          <w:color w:val="525250"/>
          <w:w w:val="105"/>
          <w:sz w:val="21"/>
        </w:rPr>
        <w:t>r</w:t>
      </w:r>
      <w:r>
        <w:rPr>
          <w:color w:val="707270"/>
          <w:w w:val="105"/>
          <w:sz w:val="21"/>
        </w:rPr>
        <w:t>or</w:t>
      </w:r>
      <w:r>
        <w:rPr>
          <w:color w:val="707270"/>
          <w:spacing w:val="-7"/>
          <w:w w:val="105"/>
          <w:sz w:val="21"/>
        </w:rPr>
        <w:t> </w:t>
      </w:r>
      <w:r>
        <w:rPr>
          <w:color w:val="707270"/>
          <w:w w:val="105"/>
          <w:sz w:val="21"/>
        </w:rPr>
        <w:t>the</w:t>
      </w:r>
      <w:r>
        <w:rPr>
          <w:color w:val="707270"/>
          <w:spacing w:val="-31"/>
          <w:w w:val="105"/>
          <w:sz w:val="21"/>
        </w:rPr>
        <w:t> </w:t>
      </w:r>
      <w:r>
        <w:rPr>
          <w:color w:val="626260"/>
          <w:w w:val="105"/>
          <w:sz w:val="21"/>
        </w:rPr>
        <w:t>add</w:t>
      </w:r>
      <w:r>
        <w:rPr>
          <w:color w:val="313131"/>
          <w:w w:val="105"/>
          <w:sz w:val="21"/>
        </w:rPr>
        <w:t>iti</w:t>
      </w:r>
      <w:r>
        <w:rPr>
          <w:color w:val="80807E"/>
          <w:w w:val="105"/>
          <w:sz w:val="21"/>
        </w:rPr>
        <w:t>onar</w:t>
      </w:r>
      <w:r>
        <w:rPr>
          <w:color w:val="80807E"/>
          <w:spacing w:val="-31"/>
          <w:w w:val="105"/>
          <w:sz w:val="21"/>
        </w:rPr>
        <w:t> </w:t>
      </w:r>
      <w:r>
        <w:rPr>
          <w:color w:val="707270"/>
          <w:w w:val="105"/>
          <w:sz w:val="21"/>
        </w:rPr>
        <w:t>repor</w:t>
      </w:r>
      <w:r>
        <w:rPr>
          <w:color w:val="525250"/>
          <w:w w:val="105"/>
          <w:sz w:val="21"/>
        </w:rPr>
        <w:t>t </w:t>
      </w:r>
      <w:r>
        <w:rPr>
          <w:color w:val="80807E"/>
          <w:w w:val="105"/>
          <w:sz w:val="21"/>
        </w:rPr>
        <w:t>are</w:t>
      </w:r>
      <w:r>
        <w:rPr>
          <w:color w:val="80807E"/>
          <w:spacing w:val="-17"/>
          <w:w w:val="105"/>
          <w:sz w:val="21"/>
        </w:rPr>
        <w:t> </w:t>
      </w:r>
      <w:r>
        <w:rPr>
          <w:color w:val="959595"/>
          <w:w w:val="105"/>
          <w:sz w:val="21"/>
        </w:rPr>
        <w:t>e</w:t>
      </w:r>
      <w:r>
        <w:rPr>
          <w:color w:val="626260"/>
          <w:w w:val="105"/>
          <w:sz w:val="21"/>
        </w:rPr>
        <w:t>n</w:t>
      </w:r>
      <w:r>
        <w:rPr>
          <w:color w:val="80807E"/>
          <w:w w:val="105"/>
          <w:sz w:val="21"/>
        </w:rPr>
        <w:t>c</w:t>
      </w:r>
      <w:r>
        <w:rPr>
          <w:color w:val="313131"/>
          <w:w w:val="105"/>
          <w:sz w:val="21"/>
        </w:rPr>
        <w:t>l</w:t>
      </w:r>
      <w:r>
        <w:rPr>
          <w:color w:val="959595"/>
          <w:w w:val="105"/>
          <w:sz w:val="21"/>
        </w:rPr>
        <w:t>osed.</w:t>
      </w:r>
      <w:r>
        <w:rPr>
          <w:color w:val="959595"/>
          <w:spacing w:val="40"/>
          <w:w w:val="105"/>
          <w:sz w:val="21"/>
        </w:rPr>
        <w:t> </w:t>
      </w:r>
      <w:r>
        <w:rPr>
          <w:color w:val="525250"/>
          <w:w w:val="105"/>
          <w:sz w:val="21"/>
        </w:rPr>
        <w:t>B</w:t>
      </w:r>
      <w:r>
        <w:rPr>
          <w:color w:val="80807E"/>
          <w:w w:val="105"/>
          <w:sz w:val="21"/>
        </w:rPr>
        <w:t>ecause </w:t>
      </w:r>
      <w:r>
        <w:rPr>
          <w:rFonts w:ascii="Times New Roman"/>
          <w:color w:val="80807E"/>
          <w:w w:val="105"/>
          <w:sz w:val="23"/>
        </w:rPr>
        <w:t>it</w:t>
      </w:r>
      <w:r>
        <w:rPr>
          <w:rFonts w:ascii="Times New Roman"/>
          <w:color w:val="80807E"/>
          <w:spacing w:val="-16"/>
          <w:w w:val="105"/>
          <w:sz w:val="23"/>
        </w:rPr>
        <w:t> </w:t>
      </w:r>
      <w:r>
        <w:rPr>
          <w:color w:val="80807E"/>
          <w:w w:val="105"/>
          <w:sz w:val="21"/>
        </w:rPr>
        <w:t>is</w:t>
      </w:r>
      <w:r>
        <w:rPr>
          <w:color w:val="80807E"/>
          <w:spacing w:val="-1"/>
          <w:w w:val="105"/>
          <w:sz w:val="21"/>
        </w:rPr>
        <w:t> </w:t>
      </w:r>
      <w:r>
        <w:rPr>
          <w:color w:val="959595"/>
          <w:w w:val="105"/>
          <w:sz w:val="21"/>
        </w:rPr>
        <w:t>esse</w:t>
      </w:r>
      <w:r>
        <w:rPr>
          <w:color w:val="525250"/>
          <w:w w:val="105"/>
          <w:sz w:val="21"/>
        </w:rPr>
        <w:t>n</w:t>
      </w:r>
      <w:r>
        <w:rPr>
          <w:color w:val="313131"/>
          <w:w w:val="105"/>
          <w:sz w:val="21"/>
        </w:rPr>
        <w:t>t</w:t>
      </w:r>
      <w:r>
        <w:rPr>
          <w:color w:val="525250"/>
          <w:w w:val="105"/>
          <w:sz w:val="21"/>
        </w:rPr>
        <w:t>i</w:t>
      </w:r>
      <w:r>
        <w:rPr>
          <w:color w:val="80807E"/>
          <w:w w:val="105"/>
          <w:sz w:val="21"/>
        </w:rPr>
        <w:t>a</w:t>
      </w:r>
      <w:r>
        <w:rPr>
          <w:color w:val="313131"/>
          <w:w w:val="105"/>
          <w:sz w:val="21"/>
        </w:rPr>
        <w:t>l</w:t>
      </w:r>
      <w:r>
        <w:rPr>
          <w:color w:val="313131"/>
          <w:spacing w:val="-13"/>
          <w:w w:val="105"/>
          <w:sz w:val="21"/>
        </w:rPr>
        <w:t> </w:t>
      </w:r>
      <w:r>
        <w:rPr>
          <w:color w:val="424442"/>
          <w:w w:val="105"/>
          <w:sz w:val="21"/>
        </w:rPr>
        <w:t>!h</w:t>
      </w:r>
      <w:r>
        <w:rPr>
          <w:color w:val="80807E"/>
          <w:w w:val="105"/>
          <w:sz w:val="21"/>
        </w:rPr>
        <w:t>at</w:t>
      </w:r>
      <w:r>
        <w:rPr>
          <w:color w:val="80807E"/>
          <w:spacing w:val="-7"/>
          <w:w w:val="105"/>
          <w:sz w:val="21"/>
        </w:rPr>
        <w:t> </w:t>
      </w:r>
      <w:r>
        <w:rPr>
          <w:color w:val="525250"/>
          <w:w w:val="105"/>
          <w:sz w:val="21"/>
        </w:rPr>
        <w:t>i</w:t>
      </w:r>
      <w:r>
        <w:rPr>
          <w:color w:val="707270"/>
          <w:w w:val="105"/>
          <w:sz w:val="21"/>
        </w:rPr>
        <w:t>nst</w:t>
      </w:r>
      <w:r>
        <w:rPr>
          <w:color w:val="959595"/>
          <w:w w:val="105"/>
          <w:sz w:val="21"/>
        </w:rPr>
        <w:t>i</w:t>
      </w:r>
      <w:r>
        <w:rPr>
          <w:color w:val="525250"/>
          <w:w w:val="105"/>
          <w:sz w:val="21"/>
        </w:rPr>
        <w:t>lu</w:t>
      </w:r>
      <w:r>
        <w:rPr>
          <w:color w:val="313131"/>
          <w:w w:val="105"/>
          <w:sz w:val="21"/>
        </w:rPr>
        <w:t>li</w:t>
      </w:r>
      <w:r>
        <w:rPr>
          <w:color w:val="80807E"/>
          <w:w w:val="105"/>
          <w:sz w:val="21"/>
        </w:rPr>
        <w:t>o</w:t>
      </w:r>
      <w:r>
        <w:rPr>
          <w:color w:val="626260"/>
          <w:w w:val="105"/>
          <w:sz w:val="21"/>
        </w:rPr>
        <w:t>n</w:t>
      </w:r>
      <w:r>
        <w:rPr>
          <w:color w:val="959595"/>
          <w:w w:val="105"/>
          <w:sz w:val="21"/>
        </w:rPr>
        <w:t>s </w:t>
      </w:r>
      <w:r>
        <w:rPr>
          <w:color w:val="707270"/>
          <w:w w:val="105"/>
          <w:sz w:val="21"/>
        </w:rPr>
        <w:t>follow</w:t>
      </w:r>
      <w:r>
        <w:rPr>
          <w:color w:val="707270"/>
          <w:spacing w:val="37"/>
          <w:w w:val="105"/>
          <w:sz w:val="21"/>
        </w:rPr>
        <w:t> </w:t>
      </w:r>
      <w:r>
        <w:rPr>
          <w:color w:val="525250"/>
          <w:w w:val="105"/>
          <w:sz w:val="21"/>
        </w:rPr>
        <w:t>lhe</w:t>
      </w:r>
      <w:r>
        <w:rPr>
          <w:color w:val="80807E"/>
          <w:w w:val="105"/>
          <w:sz w:val="21"/>
        </w:rPr>
        <w:t>se</w:t>
      </w:r>
      <w:r>
        <w:rPr>
          <w:color w:val="80807E"/>
          <w:spacing w:val="40"/>
          <w:w w:val="105"/>
          <w:sz w:val="21"/>
        </w:rPr>
        <w:t> </w:t>
      </w:r>
      <w:r>
        <w:rPr>
          <w:color w:val="80807E"/>
          <w:w w:val="105"/>
          <w:sz w:val="21"/>
        </w:rPr>
        <w:t>g</w:t>
      </w:r>
      <w:r>
        <w:rPr>
          <w:color w:val="626260"/>
          <w:w w:val="105"/>
          <w:sz w:val="21"/>
        </w:rPr>
        <w:t>ui</w:t>
      </w:r>
      <w:r>
        <w:rPr>
          <w:color w:val="80807E"/>
          <w:w w:val="105"/>
          <w:sz w:val="21"/>
        </w:rPr>
        <w:t>de</w:t>
      </w:r>
      <w:r>
        <w:rPr>
          <w:color w:val="1C1C1C"/>
          <w:w w:val="105"/>
          <w:sz w:val="21"/>
        </w:rPr>
        <w:t>l</w:t>
      </w:r>
      <w:r>
        <w:rPr>
          <w:color w:val="707270"/>
          <w:w w:val="105"/>
          <w:sz w:val="21"/>
        </w:rPr>
        <w:t>i</w:t>
      </w:r>
      <w:r>
        <w:rPr>
          <w:color w:val="424442"/>
          <w:w w:val="105"/>
          <w:sz w:val="21"/>
        </w:rPr>
        <w:t>n</w:t>
      </w:r>
      <w:r>
        <w:rPr>
          <w:color w:val="80807E"/>
          <w:w w:val="105"/>
          <w:sz w:val="21"/>
        </w:rPr>
        <w:t>es, </w:t>
      </w:r>
      <w:r>
        <w:rPr>
          <w:color w:val="525250"/>
          <w:w w:val="105"/>
          <w:sz w:val="21"/>
        </w:rPr>
        <w:t>p</w:t>
      </w:r>
      <w:r>
        <w:rPr>
          <w:color w:val="313131"/>
          <w:w w:val="105"/>
          <w:sz w:val="21"/>
        </w:rPr>
        <w:t>l</w:t>
      </w:r>
      <w:r>
        <w:rPr>
          <w:color w:val="626260"/>
          <w:w w:val="105"/>
          <w:sz w:val="21"/>
        </w:rPr>
        <w:t>e</w:t>
      </w:r>
      <w:r>
        <w:rPr>
          <w:color w:val="424442"/>
          <w:w w:val="105"/>
          <w:sz w:val="21"/>
        </w:rPr>
        <w:t>ase</w:t>
      </w:r>
      <w:r>
        <w:rPr>
          <w:color w:val="424442"/>
          <w:spacing w:val="40"/>
          <w:w w:val="105"/>
          <w:sz w:val="21"/>
        </w:rPr>
        <w:t> </w:t>
      </w:r>
      <w:r>
        <w:rPr>
          <w:color w:val="424442"/>
          <w:w w:val="105"/>
          <w:sz w:val="21"/>
        </w:rPr>
        <w:t>m</w:t>
      </w:r>
      <w:r>
        <w:rPr>
          <w:color w:val="626260"/>
          <w:w w:val="105"/>
          <w:sz w:val="21"/>
        </w:rPr>
        <w:t>a</w:t>
      </w:r>
      <w:r>
        <w:rPr>
          <w:color w:val="313131"/>
          <w:w w:val="105"/>
          <w:sz w:val="21"/>
        </w:rPr>
        <w:t>k</w:t>
      </w:r>
      <w:r>
        <w:rPr>
          <w:color w:val="626260"/>
          <w:w w:val="105"/>
          <w:sz w:val="21"/>
        </w:rPr>
        <w:t>e</w:t>
      </w:r>
      <w:r>
        <w:rPr>
          <w:color w:val="626260"/>
          <w:spacing w:val="40"/>
          <w:w w:val="105"/>
          <w:sz w:val="21"/>
        </w:rPr>
        <w:t> </w:t>
      </w:r>
      <w:r>
        <w:rPr>
          <w:color w:val="525250"/>
          <w:w w:val="105"/>
          <w:sz w:val="21"/>
        </w:rPr>
        <w:t>certain</w:t>
      </w:r>
      <w:r>
        <w:rPr>
          <w:color w:val="525250"/>
          <w:spacing w:val="31"/>
          <w:w w:val="105"/>
          <w:sz w:val="21"/>
        </w:rPr>
        <w:t> </w:t>
      </w:r>
      <w:r>
        <w:rPr>
          <w:color w:val="525250"/>
          <w:w w:val="105"/>
          <w:sz w:val="21"/>
        </w:rPr>
        <w:t>tha</w:t>
      </w:r>
      <w:r>
        <w:rPr>
          <w:color w:val="313131"/>
          <w:w w:val="105"/>
          <w:sz w:val="21"/>
        </w:rPr>
        <w:t>t</w:t>
      </w:r>
      <w:r>
        <w:rPr>
          <w:color w:val="313131"/>
          <w:spacing w:val="40"/>
          <w:w w:val="105"/>
          <w:sz w:val="21"/>
        </w:rPr>
        <w:t> </w:t>
      </w:r>
      <w:r>
        <w:rPr>
          <w:color w:val="313131"/>
          <w:w w:val="105"/>
          <w:sz w:val="21"/>
        </w:rPr>
        <w:t>th</w:t>
      </w:r>
      <w:r>
        <w:rPr>
          <w:color w:val="525250"/>
          <w:w w:val="105"/>
          <w:sz w:val="21"/>
        </w:rPr>
        <w:t>ose</w:t>
      </w:r>
      <w:r>
        <w:rPr>
          <w:color w:val="525250"/>
          <w:spacing w:val="40"/>
          <w:w w:val="105"/>
          <w:sz w:val="21"/>
        </w:rPr>
        <w:t> </w:t>
      </w:r>
      <w:r>
        <w:rPr>
          <w:color w:val="525250"/>
          <w:w w:val="105"/>
          <w:sz w:val="21"/>
        </w:rPr>
        <w:t>respon</w:t>
      </w:r>
      <w:r>
        <w:rPr>
          <w:color w:val="707270"/>
          <w:w w:val="105"/>
          <w:sz w:val="21"/>
        </w:rPr>
        <w:t>s</w:t>
      </w:r>
      <w:r>
        <w:rPr>
          <w:color w:val="525250"/>
          <w:w w:val="105"/>
          <w:sz w:val="21"/>
        </w:rPr>
        <w:t>ib</w:t>
      </w:r>
      <w:r>
        <w:rPr>
          <w:color w:val="313131"/>
          <w:w w:val="105"/>
          <w:sz w:val="21"/>
        </w:rPr>
        <w:t>l</w:t>
      </w:r>
      <w:r>
        <w:rPr>
          <w:color w:val="525250"/>
          <w:w w:val="105"/>
          <w:sz w:val="21"/>
        </w:rPr>
        <w:t>e</w:t>
      </w:r>
      <w:r>
        <w:rPr>
          <w:color w:val="525250"/>
          <w:spacing w:val="40"/>
          <w:w w:val="105"/>
          <w:sz w:val="21"/>
        </w:rPr>
        <w:t> </w:t>
      </w:r>
      <w:r>
        <w:rPr>
          <w:color w:val="424442"/>
          <w:w w:val="105"/>
          <w:sz w:val="21"/>
        </w:rPr>
        <w:t>for</w:t>
      </w:r>
      <w:r>
        <w:rPr>
          <w:color w:val="424442"/>
          <w:spacing w:val="40"/>
          <w:w w:val="105"/>
          <w:sz w:val="21"/>
        </w:rPr>
        <w:t> </w:t>
      </w:r>
      <w:r>
        <w:rPr>
          <w:color w:val="525250"/>
          <w:w w:val="105"/>
          <w:sz w:val="21"/>
        </w:rPr>
        <w:t>pr</w:t>
      </w:r>
      <w:r>
        <w:rPr>
          <w:color w:val="707270"/>
          <w:w w:val="105"/>
          <w:sz w:val="21"/>
        </w:rPr>
        <w:t>e</w:t>
      </w:r>
      <w:r>
        <w:rPr>
          <w:color w:val="525250"/>
          <w:w w:val="105"/>
          <w:sz w:val="21"/>
        </w:rPr>
        <w:t>paring</w:t>
      </w:r>
    </w:p>
    <w:p>
      <w:pPr>
        <w:spacing w:after="0" w:line="247" w:lineRule="auto"/>
        <w:jc w:val="left"/>
        <w:rPr>
          <w:sz w:val="21"/>
        </w:rPr>
        <w:sectPr>
          <w:type w:val="continuous"/>
          <w:pgSz w:w="12240" w:h="15840"/>
          <w:pgMar w:header="0" w:footer="0" w:top="1360" w:bottom="280" w:left="1000" w:right="820"/>
        </w:sectPr>
      </w:pPr>
    </w:p>
    <w:p>
      <w:pPr>
        <w:pStyle w:val="BodyText"/>
        <w:ind w:left="4203"/>
      </w:pPr>
      <w:r>
        <w:rPr/>
        <w:drawing>
          <wp:inline distT="0" distB="0" distL="0" distR="0">
            <wp:extent cx="875458" cy="893826"/>
            <wp:effectExtent l="0" t="0" r="0" b="0"/>
            <wp:docPr id="21" name="image13.jpeg"/>
            <wp:cNvGraphicFramePr>
              <a:graphicFrameLocks noChangeAspect="1"/>
            </wp:cNvGraphicFramePr>
            <a:graphic>
              <a:graphicData uri="http://schemas.openxmlformats.org/drawingml/2006/picture">
                <pic:pic>
                  <pic:nvPicPr>
                    <pic:cNvPr id="22" name="image13.jpeg"/>
                    <pic:cNvPicPr/>
                  </pic:nvPicPr>
                  <pic:blipFill>
                    <a:blip r:embed="rId349" cstate="print"/>
                    <a:stretch>
                      <a:fillRect/>
                    </a:stretch>
                  </pic:blipFill>
                  <pic:spPr>
                    <a:xfrm>
                      <a:off x="0" y="0"/>
                      <a:ext cx="875458" cy="893826"/>
                    </a:xfrm>
                    <a:prstGeom prst="rect">
                      <a:avLst/>
                    </a:prstGeom>
                  </pic:spPr>
                </pic:pic>
              </a:graphicData>
            </a:graphic>
          </wp:inline>
        </w:drawing>
      </w:r>
      <w:r>
        <w:rPr/>
      </w:r>
    </w:p>
    <w:p>
      <w:pPr>
        <w:pStyle w:val="BodyText"/>
        <w:spacing w:before="2"/>
        <w:rPr>
          <w:sz w:val="13"/>
        </w:rPr>
      </w:pPr>
    </w:p>
    <w:p>
      <w:pPr>
        <w:spacing w:before="94"/>
        <w:ind w:left="277" w:right="0" w:firstLine="0"/>
        <w:jc w:val="left"/>
        <w:rPr>
          <w:sz w:val="23"/>
        </w:rPr>
      </w:pPr>
      <w:r>
        <w:rPr>
          <w:color w:val="3F3F3F"/>
          <w:w w:val="105"/>
          <w:sz w:val="23"/>
        </w:rPr>
        <w:t>Dr.</w:t>
      </w:r>
      <w:r>
        <w:rPr>
          <w:color w:val="3F3F3F"/>
          <w:spacing w:val="-29"/>
          <w:w w:val="105"/>
          <w:sz w:val="23"/>
        </w:rPr>
        <w:t> </w:t>
      </w:r>
      <w:r>
        <w:rPr>
          <w:color w:val="525252"/>
          <w:w w:val="105"/>
          <w:sz w:val="23"/>
        </w:rPr>
        <w:t>Wi</w:t>
      </w:r>
      <w:r>
        <w:rPr>
          <w:color w:val="7E7C80"/>
          <w:w w:val="105"/>
          <w:sz w:val="23"/>
        </w:rPr>
        <w:t>ll</w:t>
      </w:r>
      <w:r>
        <w:rPr>
          <w:color w:val="2D2D2D"/>
          <w:w w:val="105"/>
          <w:sz w:val="23"/>
        </w:rPr>
        <w:t>i</w:t>
      </w:r>
      <w:r>
        <w:rPr>
          <w:color w:val="525252"/>
          <w:w w:val="105"/>
          <w:sz w:val="23"/>
        </w:rPr>
        <w:t>am</w:t>
      </w:r>
      <w:r>
        <w:rPr>
          <w:color w:val="525252"/>
          <w:spacing w:val="-30"/>
          <w:w w:val="105"/>
          <w:sz w:val="23"/>
        </w:rPr>
        <w:t> </w:t>
      </w:r>
      <w:r>
        <w:rPr>
          <w:color w:val="525252"/>
          <w:w w:val="105"/>
          <w:sz w:val="23"/>
        </w:rPr>
        <w:t>R.</w:t>
      </w:r>
      <w:r>
        <w:rPr>
          <w:color w:val="525252"/>
          <w:spacing w:val="-6"/>
          <w:w w:val="105"/>
          <w:sz w:val="23"/>
        </w:rPr>
        <w:t> </w:t>
      </w:r>
      <w:r>
        <w:rPr>
          <w:color w:val="525252"/>
          <w:spacing w:val="-2"/>
          <w:w w:val="105"/>
          <w:sz w:val="23"/>
        </w:rPr>
        <w:t>Haivey</w:t>
      </w:r>
    </w:p>
    <w:p>
      <w:pPr>
        <w:tabs>
          <w:tab w:pos="10084" w:val="left" w:leader="hyphen"/>
        </w:tabs>
        <w:spacing w:line="249" w:lineRule="exact" w:before="62"/>
        <w:ind w:left="273" w:right="0" w:firstLine="0"/>
        <w:jc w:val="left"/>
        <w:rPr>
          <w:sz w:val="24"/>
        </w:rPr>
      </w:pPr>
      <w:r>
        <w:rPr>
          <w:color w:val="525252"/>
          <w:spacing w:val="-2"/>
          <w:w w:val="125"/>
          <w:sz w:val="23"/>
        </w:rPr>
        <w:t>January</w:t>
      </w:r>
      <w:r>
        <w:rPr>
          <w:color w:val="525252"/>
          <w:spacing w:val="-18"/>
          <w:w w:val="125"/>
          <w:sz w:val="23"/>
        </w:rPr>
        <w:t> </w:t>
      </w:r>
      <w:r>
        <w:rPr>
          <w:color w:val="525252"/>
          <w:spacing w:val="-2"/>
          <w:w w:val="125"/>
          <w:sz w:val="24"/>
        </w:rPr>
        <w:t>9,</w:t>
      </w:r>
      <w:r>
        <w:rPr>
          <w:color w:val="525252"/>
          <w:spacing w:val="-35"/>
          <w:w w:val="125"/>
          <w:sz w:val="24"/>
        </w:rPr>
        <w:t> </w:t>
      </w:r>
      <w:r>
        <w:rPr>
          <w:color w:val="6B6B69"/>
          <w:spacing w:val="-2"/>
          <w:w w:val="250"/>
          <w:sz w:val="24"/>
        </w:rPr>
        <w:t>2g0</w:t>
      </w:r>
      <w:r>
        <w:rPr>
          <w:color w:val="6B6B69"/>
          <w:spacing w:val="-20"/>
          <w:w w:val="250"/>
          <w:sz w:val="24"/>
        </w:rPr>
        <w:t> </w:t>
      </w:r>
      <w:r>
        <w:rPr>
          <w:color w:val="6B6B69"/>
          <w:spacing w:val="-2"/>
          <w:w w:val="250"/>
          <w:sz w:val="24"/>
        </w:rPr>
        <w:t>0!,!9</w:t>
      </w:r>
      <w:r>
        <w:rPr>
          <w:color w:val="6B6B69"/>
          <w:sz w:val="24"/>
        </w:rPr>
        <w:tab/>
      </w:r>
      <w:r>
        <w:rPr>
          <w:color w:val="6B6B69"/>
          <w:spacing w:val="-10"/>
          <w:w w:val="265"/>
          <w:sz w:val="24"/>
        </w:rPr>
        <w:t>­</w:t>
      </w:r>
    </w:p>
    <w:p>
      <w:pPr>
        <w:spacing w:line="238" w:lineRule="exact" w:before="0"/>
        <w:ind w:left="277" w:right="0" w:firstLine="0"/>
        <w:jc w:val="left"/>
        <w:rPr>
          <w:sz w:val="23"/>
        </w:rPr>
      </w:pPr>
      <w:r>
        <w:rPr>
          <w:color w:val="2D2D2D"/>
          <w:sz w:val="23"/>
        </w:rPr>
        <w:t>Pag</w:t>
      </w:r>
      <w:r>
        <w:rPr>
          <w:color w:val="525252"/>
          <w:sz w:val="23"/>
        </w:rPr>
        <w:t>e</w:t>
      </w:r>
      <w:r>
        <w:rPr>
          <w:color w:val="525252"/>
          <w:spacing w:val="17"/>
          <w:sz w:val="23"/>
        </w:rPr>
        <w:t> </w:t>
      </w:r>
      <w:r>
        <w:rPr>
          <w:color w:val="525252"/>
          <w:spacing w:val="-5"/>
          <w:sz w:val="23"/>
        </w:rPr>
        <w:t>Two</w:t>
      </w:r>
    </w:p>
    <w:p>
      <w:pPr>
        <w:pStyle w:val="BodyText"/>
        <w:rPr>
          <w:sz w:val="26"/>
        </w:rPr>
      </w:pPr>
    </w:p>
    <w:p>
      <w:pPr>
        <w:pStyle w:val="BodyText"/>
        <w:spacing w:before="3"/>
        <w:rPr>
          <w:sz w:val="24"/>
        </w:rPr>
      </w:pPr>
    </w:p>
    <w:p>
      <w:pPr>
        <w:spacing w:line="235" w:lineRule="auto" w:before="0"/>
        <w:ind w:left="249" w:right="1003" w:firstLine="11"/>
        <w:jc w:val="left"/>
        <w:rPr>
          <w:sz w:val="23"/>
        </w:rPr>
      </w:pPr>
      <w:r>
        <w:rPr>
          <w:color w:val="151515"/>
          <w:w w:val="110"/>
          <w:sz w:val="23"/>
        </w:rPr>
        <w:t>t</w:t>
      </w:r>
      <w:r>
        <w:rPr>
          <w:color w:val="2D2D2D"/>
          <w:w w:val="110"/>
          <w:sz w:val="23"/>
        </w:rPr>
        <w:t>he </w:t>
      </w:r>
      <w:r>
        <w:rPr>
          <w:color w:val="3F3F3F"/>
          <w:w w:val="110"/>
          <w:sz w:val="23"/>
        </w:rPr>
        <w:t>report</w:t>
      </w:r>
      <w:r>
        <w:rPr>
          <w:color w:val="3F3F3F"/>
          <w:spacing w:val="-31"/>
          <w:w w:val="110"/>
          <w:sz w:val="23"/>
        </w:rPr>
        <w:t> </w:t>
      </w:r>
      <w:r>
        <w:rPr>
          <w:color w:val="2D2D2D"/>
          <w:w w:val="110"/>
          <w:sz w:val="23"/>
        </w:rPr>
        <w:t>rece</w:t>
      </w:r>
      <w:r>
        <w:rPr>
          <w:color w:val="151515"/>
          <w:w w:val="110"/>
          <w:sz w:val="23"/>
        </w:rPr>
        <w:t>i</w:t>
      </w:r>
      <w:r>
        <w:rPr>
          <w:color w:val="2D2D2D"/>
          <w:w w:val="110"/>
          <w:sz w:val="23"/>
        </w:rPr>
        <w:t>ve the document.</w:t>
      </w:r>
      <w:r>
        <w:rPr>
          <w:color w:val="2D2D2D"/>
          <w:spacing w:val="40"/>
          <w:w w:val="110"/>
          <w:sz w:val="23"/>
        </w:rPr>
        <w:t> </w:t>
      </w:r>
      <w:r>
        <w:rPr>
          <w:color w:val="2D2D2D"/>
          <w:w w:val="110"/>
          <w:sz w:val="22"/>
        </w:rPr>
        <w:t>If</w:t>
      </w:r>
      <w:r>
        <w:rPr>
          <w:color w:val="2D2D2D"/>
          <w:spacing w:val="35"/>
          <w:w w:val="110"/>
          <w:sz w:val="22"/>
        </w:rPr>
        <w:t> </w:t>
      </w:r>
      <w:r>
        <w:rPr>
          <w:color w:val="2D2D2D"/>
          <w:w w:val="110"/>
          <w:sz w:val="23"/>
        </w:rPr>
        <w:t>they</w:t>
      </w:r>
      <w:r>
        <w:rPr>
          <w:color w:val="2D2D2D"/>
          <w:spacing w:val="-15"/>
          <w:w w:val="110"/>
          <w:sz w:val="23"/>
        </w:rPr>
        <w:t> </w:t>
      </w:r>
      <w:r>
        <w:rPr>
          <w:color w:val="2D2D2D"/>
          <w:w w:val="110"/>
          <w:sz w:val="23"/>
        </w:rPr>
        <w:t>have</w:t>
      </w:r>
      <w:r>
        <w:rPr>
          <w:color w:val="2D2D2D"/>
          <w:spacing w:val="-17"/>
          <w:w w:val="110"/>
          <w:sz w:val="23"/>
        </w:rPr>
        <w:t> </w:t>
      </w:r>
      <w:r>
        <w:rPr>
          <w:color w:val="2D2D2D"/>
          <w:w w:val="110"/>
          <w:sz w:val="23"/>
        </w:rPr>
        <w:t>q</w:t>
      </w:r>
      <w:r>
        <w:rPr>
          <w:color w:val="151515"/>
          <w:w w:val="110"/>
          <w:sz w:val="23"/>
        </w:rPr>
        <w:t>u</w:t>
      </w:r>
      <w:r>
        <w:rPr>
          <w:color w:val="2D2D2D"/>
          <w:w w:val="110"/>
          <w:sz w:val="23"/>
        </w:rPr>
        <w:t>es</w:t>
      </w:r>
      <w:r>
        <w:rPr>
          <w:color w:val="151515"/>
          <w:w w:val="110"/>
          <w:sz w:val="23"/>
        </w:rPr>
        <w:t>ti</w:t>
      </w:r>
      <w:r>
        <w:rPr>
          <w:color w:val="2D2D2D"/>
          <w:w w:val="110"/>
          <w:sz w:val="23"/>
        </w:rPr>
        <w:t>ons about</w:t>
      </w:r>
      <w:r>
        <w:rPr>
          <w:color w:val="2D2D2D"/>
          <w:spacing w:val="-2"/>
          <w:w w:val="110"/>
          <w:sz w:val="23"/>
        </w:rPr>
        <w:t> </w:t>
      </w:r>
      <w:r>
        <w:rPr>
          <w:color w:val="2D2D2D"/>
          <w:w w:val="110"/>
          <w:sz w:val="23"/>
        </w:rPr>
        <w:t>the format</w:t>
      </w:r>
      <w:r>
        <w:rPr>
          <w:color w:val="525252"/>
          <w:w w:val="110"/>
          <w:sz w:val="23"/>
        </w:rPr>
        <w:t>,</w:t>
      </w:r>
      <w:r>
        <w:rPr>
          <w:color w:val="525252"/>
          <w:spacing w:val="-1"/>
          <w:w w:val="110"/>
          <w:sz w:val="23"/>
        </w:rPr>
        <w:t> </w:t>
      </w:r>
      <w:r>
        <w:rPr>
          <w:color w:val="2D2D2D"/>
          <w:w w:val="110"/>
          <w:sz w:val="23"/>
        </w:rPr>
        <w:t>contact </w:t>
      </w:r>
      <w:r>
        <w:rPr>
          <w:color w:val="3F3F3F"/>
          <w:w w:val="110"/>
          <w:sz w:val="23"/>
        </w:rPr>
        <w:t>the</w:t>
      </w:r>
      <w:r>
        <w:rPr>
          <w:color w:val="3F3F3F"/>
          <w:spacing w:val="-20"/>
          <w:w w:val="110"/>
          <w:sz w:val="23"/>
        </w:rPr>
        <w:t> </w:t>
      </w:r>
      <w:r>
        <w:rPr>
          <w:color w:val="3F3F3F"/>
          <w:w w:val="110"/>
          <w:sz w:val="23"/>
        </w:rPr>
        <w:t>Commission staff</w:t>
      </w:r>
      <w:r>
        <w:rPr>
          <w:color w:val="3F3F3F"/>
          <w:spacing w:val="-13"/>
          <w:w w:val="110"/>
          <w:sz w:val="23"/>
        </w:rPr>
        <w:t> </w:t>
      </w:r>
      <w:r>
        <w:rPr>
          <w:color w:val="2D2D2D"/>
          <w:w w:val="110"/>
          <w:sz w:val="23"/>
        </w:rPr>
        <w:t>memb</w:t>
      </w:r>
      <w:r>
        <w:rPr>
          <w:color w:val="525252"/>
          <w:w w:val="110"/>
          <w:sz w:val="23"/>
        </w:rPr>
        <w:t>er ass</w:t>
      </w:r>
      <w:r>
        <w:rPr>
          <w:color w:val="2D2D2D"/>
          <w:w w:val="110"/>
          <w:sz w:val="23"/>
        </w:rPr>
        <w:t>igned to </w:t>
      </w:r>
      <w:r>
        <w:rPr>
          <w:color w:val="525252"/>
          <w:w w:val="110"/>
          <w:sz w:val="23"/>
        </w:rPr>
        <w:t>you</w:t>
      </w:r>
      <w:r>
        <w:rPr>
          <w:color w:val="2D2D2D"/>
          <w:w w:val="110"/>
          <w:sz w:val="23"/>
        </w:rPr>
        <w:t>r </w:t>
      </w:r>
      <w:r>
        <w:rPr>
          <w:color w:val="3F3F3F"/>
          <w:w w:val="110"/>
          <w:sz w:val="23"/>
        </w:rPr>
        <w:t>insti</w:t>
      </w:r>
      <w:r>
        <w:rPr>
          <w:color w:val="151515"/>
          <w:w w:val="110"/>
          <w:sz w:val="23"/>
        </w:rPr>
        <w:t>tu</w:t>
      </w:r>
      <w:r>
        <w:rPr>
          <w:color w:val="3F3F3F"/>
          <w:w w:val="110"/>
          <w:sz w:val="23"/>
        </w:rPr>
        <w:t>tion.</w:t>
      </w:r>
      <w:r>
        <w:rPr>
          <w:color w:val="3F3F3F"/>
          <w:spacing w:val="40"/>
          <w:w w:val="110"/>
          <w:sz w:val="23"/>
        </w:rPr>
        <w:t> </w:t>
      </w:r>
      <w:r>
        <w:rPr>
          <w:color w:val="525252"/>
          <w:w w:val="110"/>
          <w:sz w:val="23"/>
        </w:rPr>
        <w:t>W</w:t>
      </w:r>
      <w:r>
        <w:rPr>
          <w:color w:val="2D2D2D"/>
          <w:w w:val="110"/>
          <w:sz w:val="23"/>
        </w:rPr>
        <w:t>h</w:t>
      </w:r>
      <w:r>
        <w:rPr>
          <w:color w:val="525252"/>
          <w:w w:val="110"/>
          <w:sz w:val="23"/>
        </w:rPr>
        <w:t>en </w:t>
      </w:r>
      <w:r>
        <w:rPr>
          <w:color w:val="6B6B69"/>
          <w:w w:val="110"/>
          <w:sz w:val="23"/>
        </w:rPr>
        <w:t>submitt</w:t>
      </w:r>
      <w:r>
        <w:rPr>
          <w:color w:val="939393"/>
          <w:w w:val="110"/>
          <w:sz w:val="23"/>
        </w:rPr>
        <w:t>i</w:t>
      </w:r>
      <w:r>
        <w:rPr>
          <w:color w:val="525252"/>
          <w:w w:val="110"/>
          <w:sz w:val="23"/>
        </w:rPr>
        <w:t>n</w:t>
      </w:r>
      <w:r>
        <w:rPr>
          <w:color w:val="7E7C80"/>
          <w:w w:val="110"/>
          <w:sz w:val="23"/>
        </w:rPr>
        <w:t>g </w:t>
      </w:r>
      <w:r>
        <w:rPr>
          <w:color w:val="525252"/>
          <w:w w:val="110"/>
          <w:sz w:val="23"/>
        </w:rPr>
        <w:t>your </w:t>
      </w:r>
      <w:r>
        <w:rPr>
          <w:color w:val="3F3F3F"/>
          <w:w w:val="105"/>
          <w:sz w:val="23"/>
        </w:rPr>
        <w:t>r</w:t>
      </w:r>
      <w:r>
        <w:rPr>
          <w:color w:val="6B6B69"/>
          <w:w w:val="105"/>
          <w:sz w:val="23"/>
        </w:rPr>
        <w:t>epor</w:t>
      </w:r>
      <w:r>
        <w:rPr>
          <w:color w:val="2D2D2D"/>
          <w:w w:val="105"/>
          <w:sz w:val="23"/>
        </w:rPr>
        <w:t>t</w:t>
      </w:r>
      <w:r>
        <w:rPr>
          <w:color w:val="6B6B69"/>
          <w:w w:val="105"/>
          <w:sz w:val="23"/>
        </w:rPr>
        <w:t>,</w:t>
      </w:r>
      <w:r>
        <w:rPr>
          <w:color w:val="6B6B69"/>
          <w:spacing w:val="-9"/>
          <w:w w:val="105"/>
          <w:sz w:val="23"/>
        </w:rPr>
        <w:t> </w:t>
      </w:r>
      <w:r>
        <w:rPr>
          <w:color w:val="525252"/>
          <w:w w:val="105"/>
          <w:sz w:val="23"/>
        </w:rPr>
        <w:t>please send </w:t>
      </w:r>
      <w:r>
        <w:rPr>
          <w:color w:val="3F3F3F"/>
          <w:w w:val="105"/>
          <w:sz w:val="23"/>
        </w:rPr>
        <w:t>four copies </w:t>
      </w:r>
      <w:r>
        <w:rPr>
          <w:color w:val="7E7C80"/>
          <w:w w:val="105"/>
          <w:sz w:val="23"/>
        </w:rPr>
        <w:t>to </w:t>
      </w:r>
      <w:r>
        <w:rPr>
          <w:color w:val="525252"/>
          <w:w w:val="105"/>
          <w:sz w:val="23"/>
        </w:rPr>
        <w:t>your</w:t>
      </w:r>
      <w:r>
        <w:rPr>
          <w:color w:val="525252"/>
          <w:spacing w:val="-5"/>
          <w:w w:val="105"/>
          <w:sz w:val="23"/>
        </w:rPr>
        <w:t> </w:t>
      </w:r>
      <w:r>
        <w:rPr>
          <w:color w:val="525252"/>
          <w:w w:val="105"/>
          <w:sz w:val="23"/>
        </w:rPr>
        <w:t>Co</w:t>
      </w:r>
      <w:r>
        <w:rPr>
          <w:color w:val="7E7C80"/>
          <w:w w:val="105"/>
          <w:sz w:val="23"/>
        </w:rPr>
        <w:t>mmiss</w:t>
      </w:r>
      <w:r>
        <w:rPr>
          <w:color w:val="2D2D2D"/>
          <w:w w:val="105"/>
          <w:sz w:val="23"/>
        </w:rPr>
        <w:t>i</w:t>
      </w:r>
      <w:r>
        <w:rPr>
          <w:color w:val="6B6B69"/>
          <w:w w:val="105"/>
          <w:sz w:val="23"/>
        </w:rPr>
        <w:t>on </w:t>
      </w:r>
      <w:r>
        <w:rPr>
          <w:color w:val="3F3F3F"/>
          <w:w w:val="105"/>
          <w:sz w:val="23"/>
        </w:rPr>
        <w:t>staff</w:t>
      </w:r>
      <w:r>
        <w:rPr>
          <w:color w:val="3F3F3F"/>
          <w:spacing w:val="-5"/>
          <w:w w:val="105"/>
          <w:sz w:val="23"/>
        </w:rPr>
        <w:t> </w:t>
      </w:r>
      <w:r>
        <w:rPr>
          <w:color w:val="3F3F3F"/>
          <w:w w:val="105"/>
          <w:sz w:val="23"/>
        </w:rPr>
        <w:t>m</w:t>
      </w:r>
      <w:r>
        <w:rPr>
          <w:color w:val="6B6B69"/>
          <w:w w:val="105"/>
          <w:sz w:val="23"/>
        </w:rPr>
        <w:t>em</w:t>
      </w:r>
      <w:r>
        <w:rPr>
          <w:color w:val="3F3F3F"/>
          <w:w w:val="105"/>
          <w:sz w:val="23"/>
        </w:rPr>
        <w:t>be</w:t>
      </w:r>
      <w:r>
        <w:rPr>
          <w:color w:val="7E7C80"/>
          <w:w w:val="105"/>
          <w:sz w:val="23"/>
        </w:rPr>
        <w:t>r</w:t>
      </w:r>
      <w:r>
        <w:rPr>
          <w:color w:val="2D2D2D"/>
          <w:w w:val="105"/>
          <w:sz w:val="23"/>
        </w:rPr>
        <w:t>.</w:t>
      </w:r>
    </w:p>
    <w:p>
      <w:pPr>
        <w:pStyle w:val="BodyText"/>
        <w:spacing w:before="2"/>
        <w:rPr>
          <w:sz w:val="26"/>
        </w:rPr>
      </w:pPr>
    </w:p>
    <w:p>
      <w:pPr>
        <w:spacing w:line="242" w:lineRule="auto" w:before="0"/>
        <w:ind w:left="206" w:right="1003" w:firstLine="24"/>
        <w:jc w:val="left"/>
        <w:rPr>
          <w:sz w:val="23"/>
        </w:rPr>
      </w:pPr>
      <w:r>
        <w:rPr>
          <w:color w:val="525252"/>
          <w:sz w:val="23"/>
        </w:rPr>
        <w:t>Plea</w:t>
      </w:r>
      <w:r>
        <w:rPr>
          <w:color w:val="7E7C80"/>
          <w:sz w:val="23"/>
        </w:rPr>
        <w:t>se </w:t>
      </w:r>
      <w:r>
        <w:rPr>
          <w:color w:val="525252"/>
          <w:sz w:val="23"/>
        </w:rPr>
        <w:t>no</w:t>
      </w:r>
      <w:r>
        <w:rPr>
          <w:color w:val="151515"/>
          <w:sz w:val="23"/>
        </w:rPr>
        <w:t>t</w:t>
      </w:r>
      <w:r>
        <w:rPr>
          <w:color w:val="6B6B69"/>
          <w:sz w:val="23"/>
        </w:rPr>
        <w:t>e</w:t>
      </w:r>
      <w:r>
        <w:rPr>
          <w:color w:val="6B6B69"/>
          <w:spacing w:val="40"/>
          <w:sz w:val="23"/>
        </w:rPr>
        <w:t> </w:t>
      </w:r>
      <w:r>
        <w:rPr>
          <w:color w:val="525252"/>
          <w:sz w:val="23"/>
        </w:rPr>
        <w:t>tha</w:t>
      </w:r>
      <w:r>
        <w:rPr>
          <w:color w:val="7E7C80"/>
          <w:sz w:val="23"/>
        </w:rPr>
        <w:t>t Fede</w:t>
      </w:r>
      <w:r>
        <w:rPr>
          <w:color w:val="525252"/>
          <w:sz w:val="23"/>
        </w:rPr>
        <w:t>ra</w:t>
      </w:r>
      <w:r>
        <w:rPr>
          <w:color w:val="7E7C80"/>
          <w:sz w:val="23"/>
        </w:rPr>
        <w:t>l </w:t>
      </w:r>
      <w:r>
        <w:rPr>
          <w:color w:val="6B6B69"/>
          <w:sz w:val="23"/>
        </w:rPr>
        <w:t>regu</w:t>
      </w:r>
      <w:r>
        <w:rPr>
          <w:color w:val="2D2D2D"/>
          <w:sz w:val="23"/>
        </w:rPr>
        <w:t>l</w:t>
      </w:r>
      <w:r>
        <w:rPr>
          <w:color w:val="525252"/>
          <w:sz w:val="23"/>
        </w:rPr>
        <w:t>ation</w:t>
      </w:r>
      <w:r>
        <w:rPr>
          <w:color w:val="7E7C80"/>
          <w:sz w:val="23"/>
        </w:rPr>
        <w:t>s </w:t>
      </w:r>
      <w:r>
        <w:rPr>
          <w:color w:val="6B6B69"/>
          <w:sz w:val="23"/>
        </w:rPr>
        <w:t>and </w:t>
      </w:r>
      <w:r>
        <w:rPr>
          <w:color w:val="525252"/>
          <w:sz w:val="23"/>
        </w:rPr>
        <w:t>Comm</w:t>
      </w:r>
      <w:r>
        <w:rPr>
          <w:color w:val="2D2D2D"/>
          <w:sz w:val="23"/>
        </w:rPr>
        <w:t>i</w:t>
      </w:r>
      <w:r>
        <w:rPr>
          <w:color w:val="525252"/>
          <w:sz w:val="23"/>
        </w:rPr>
        <w:t>ssion po</w:t>
      </w:r>
      <w:r>
        <w:rPr>
          <w:color w:val="2D2D2D"/>
          <w:sz w:val="23"/>
        </w:rPr>
        <w:t>li</w:t>
      </w:r>
      <w:r>
        <w:rPr>
          <w:color w:val="525252"/>
          <w:sz w:val="23"/>
        </w:rPr>
        <w:t>cy </w:t>
      </w:r>
      <w:r>
        <w:rPr>
          <w:color w:val="3F3F3F"/>
          <w:sz w:val="23"/>
        </w:rPr>
        <w:t>stipulate</w:t>
      </w:r>
      <w:r>
        <w:rPr>
          <w:color w:val="3F3F3F"/>
          <w:spacing w:val="40"/>
          <w:sz w:val="23"/>
        </w:rPr>
        <w:t> </w:t>
      </w:r>
      <w:r>
        <w:rPr>
          <w:color w:val="2D2D2D"/>
          <w:sz w:val="23"/>
        </w:rPr>
        <w:t>t</w:t>
      </w:r>
      <w:r>
        <w:rPr>
          <w:color w:val="525252"/>
          <w:sz w:val="23"/>
        </w:rPr>
        <w:t>hat a</w:t>
      </w:r>
      <w:r>
        <w:rPr>
          <w:color w:val="2D2D2D"/>
          <w:sz w:val="23"/>
        </w:rPr>
        <w:t>n </w:t>
      </w:r>
      <w:r>
        <w:rPr>
          <w:color w:val="525252"/>
          <w:sz w:val="23"/>
        </w:rPr>
        <w:t>insti</w:t>
      </w:r>
      <w:r>
        <w:rPr>
          <w:color w:val="7E7C80"/>
          <w:sz w:val="23"/>
        </w:rPr>
        <w:t>t</w:t>
      </w:r>
      <w:r>
        <w:rPr>
          <w:color w:val="525252"/>
          <w:sz w:val="23"/>
        </w:rPr>
        <w:t>ution m</w:t>
      </w:r>
      <w:r>
        <w:rPr>
          <w:color w:val="7E7C80"/>
          <w:sz w:val="23"/>
        </w:rPr>
        <w:t>u</w:t>
      </w:r>
      <w:r>
        <w:rPr>
          <w:color w:val="525252"/>
          <w:sz w:val="23"/>
        </w:rPr>
        <w:t>s</w:t>
      </w:r>
      <w:r>
        <w:rPr>
          <w:color w:val="2D2D2D"/>
          <w:sz w:val="23"/>
        </w:rPr>
        <w:t>t </w:t>
      </w:r>
      <w:r>
        <w:rPr>
          <w:color w:val="525252"/>
          <w:sz w:val="23"/>
        </w:rPr>
        <w:t>d</w:t>
      </w:r>
      <w:r>
        <w:rPr>
          <w:color w:val="7E7C80"/>
          <w:sz w:val="23"/>
        </w:rPr>
        <w:t>e</w:t>
      </w:r>
      <w:r>
        <w:rPr>
          <w:color w:val="525252"/>
          <w:sz w:val="23"/>
        </w:rPr>
        <w:t>mo</w:t>
      </w:r>
      <w:r>
        <w:rPr>
          <w:color w:val="2D2D2D"/>
          <w:sz w:val="23"/>
        </w:rPr>
        <w:t>n</w:t>
      </w:r>
      <w:r>
        <w:rPr>
          <w:color w:val="525252"/>
          <w:sz w:val="23"/>
        </w:rPr>
        <w:t>strate complia</w:t>
      </w:r>
      <w:r>
        <w:rPr>
          <w:color w:val="7E7C80"/>
          <w:sz w:val="23"/>
        </w:rPr>
        <w:t>n</w:t>
      </w:r>
      <w:r>
        <w:rPr>
          <w:color w:val="525252"/>
          <w:sz w:val="23"/>
        </w:rPr>
        <w:t>ce w</w:t>
      </w:r>
      <w:r>
        <w:rPr>
          <w:color w:val="7E7C80"/>
          <w:sz w:val="23"/>
        </w:rPr>
        <w:t>i</w:t>
      </w:r>
      <w:r>
        <w:rPr>
          <w:color w:val="525252"/>
          <w:sz w:val="23"/>
        </w:rPr>
        <w:t>t</w:t>
      </w:r>
      <w:r>
        <w:rPr>
          <w:color w:val="2D2D2D"/>
          <w:sz w:val="23"/>
        </w:rPr>
        <w:t>h </w:t>
      </w:r>
      <w:r>
        <w:rPr>
          <w:color w:val="525252"/>
          <w:sz w:val="23"/>
        </w:rPr>
        <w:t>all</w:t>
      </w:r>
      <w:r>
        <w:rPr>
          <w:color w:val="525252"/>
          <w:spacing w:val="-16"/>
          <w:sz w:val="23"/>
        </w:rPr>
        <w:t> </w:t>
      </w:r>
      <w:r>
        <w:rPr>
          <w:color w:val="525252"/>
          <w:sz w:val="23"/>
        </w:rPr>
        <w:t>requiremen</w:t>
      </w:r>
      <w:r>
        <w:rPr>
          <w:color w:val="2D2D2D"/>
          <w:sz w:val="23"/>
        </w:rPr>
        <w:t>t</w:t>
      </w:r>
      <w:r>
        <w:rPr>
          <w:color w:val="525252"/>
          <w:sz w:val="23"/>
        </w:rPr>
        <w:t>s and</w:t>
      </w:r>
      <w:r>
        <w:rPr>
          <w:color w:val="525252"/>
          <w:spacing w:val="40"/>
          <w:sz w:val="23"/>
        </w:rPr>
        <w:t> </w:t>
      </w:r>
      <w:r>
        <w:rPr>
          <w:color w:val="2D2D2D"/>
          <w:sz w:val="23"/>
        </w:rPr>
        <w:t>s</w:t>
      </w:r>
      <w:r>
        <w:rPr>
          <w:color w:val="151515"/>
          <w:sz w:val="23"/>
        </w:rPr>
        <w:t>t</w:t>
      </w:r>
      <w:r>
        <w:rPr>
          <w:color w:val="6B6B69"/>
          <w:sz w:val="23"/>
        </w:rPr>
        <w:t>an</w:t>
      </w:r>
      <w:r>
        <w:rPr>
          <w:color w:val="3F3F3F"/>
          <w:sz w:val="23"/>
        </w:rPr>
        <w:t>dards </w:t>
      </w:r>
      <w:r>
        <w:rPr>
          <w:color w:val="2D2D2D"/>
          <w:sz w:val="23"/>
        </w:rPr>
        <w:t>o</w:t>
      </w:r>
      <w:r>
        <w:rPr>
          <w:color w:val="6B6B69"/>
          <w:sz w:val="23"/>
        </w:rPr>
        <w:t>f </w:t>
      </w:r>
      <w:r>
        <w:rPr>
          <w:color w:val="3F3F3F"/>
          <w:sz w:val="23"/>
        </w:rPr>
        <w:t>the</w:t>
      </w:r>
      <w:r>
        <w:rPr>
          <w:color w:val="3F3F3F"/>
          <w:spacing w:val="-14"/>
          <w:sz w:val="23"/>
        </w:rPr>
        <w:t> </w:t>
      </w:r>
      <w:r>
        <w:rPr>
          <w:i/>
          <w:color w:val="3F3F3F"/>
          <w:sz w:val="23"/>
        </w:rPr>
        <w:t>Principl</w:t>
      </w:r>
      <w:r>
        <w:rPr>
          <w:i/>
          <w:color w:val="6B6B69"/>
          <w:sz w:val="23"/>
        </w:rPr>
        <w:t>es </w:t>
      </w:r>
      <w:r>
        <w:rPr>
          <w:i/>
          <w:color w:val="525252"/>
          <w:sz w:val="23"/>
        </w:rPr>
        <w:t>of Accreditation </w:t>
      </w:r>
      <w:r>
        <w:rPr>
          <w:color w:val="3F3F3F"/>
          <w:sz w:val="23"/>
        </w:rPr>
        <w:t>w</w:t>
      </w:r>
      <w:r>
        <w:rPr>
          <w:color w:val="7E7C80"/>
          <w:sz w:val="23"/>
        </w:rPr>
        <w:t>i</w:t>
      </w:r>
      <w:r>
        <w:rPr>
          <w:color w:val="525252"/>
          <w:sz w:val="23"/>
        </w:rPr>
        <w:t>th</w:t>
      </w:r>
      <w:r>
        <w:rPr>
          <w:color w:val="2D2D2D"/>
          <w:sz w:val="23"/>
        </w:rPr>
        <w:t>i</w:t>
      </w:r>
      <w:r>
        <w:rPr>
          <w:color w:val="525252"/>
          <w:sz w:val="23"/>
        </w:rPr>
        <w:t>n</w:t>
      </w:r>
      <w:r>
        <w:rPr>
          <w:color w:val="525252"/>
          <w:spacing w:val="36"/>
          <w:sz w:val="23"/>
        </w:rPr>
        <w:t> </w:t>
      </w:r>
      <w:r>
        <w:rPr>
          <w:color w:val="525252"/>
          <w:sz w:val="23"/>
        </w:rPr>
        <w:t>two</w:t>
      </w:r>
      <w:r>
        <w:rPr>
          <w:color w:val="525252"/>
          <w:spacing w:val="-9"/>
          <w:sz w:val="23"/>
        </w:rPr>
        <w:t> </w:t>
      </w:r>
      <w:r>
        <w:rPr>
          <w:color w:val="3F3F3F"/>
          <w:sz w:val="23"/>
        </w:rPr>
        <w:t>yea</w:t>
      </w:r>
      <w:r>
        <w:rPr>
          <w:color w:val="6B6B69"/>
          <w:sz w:val="23"/>
        </w:rPr>
        <w:t>rs</w:t>
      </w:r>
      <w:r>
        <w:rPr>
          <w:color w:val="6B6B69"/>
          <w:spacing w:val="40"/>
          <w:sz w:val="23"/>
        </w:rPr>
        <w:t> </w:t>
      </w:r>
      <w:r>
        <w:rPr>
          <w:color w:val="2D2D2D"/>
          <w:sz w:val="23"/>
        </w:rPr>
        <w:t>f</w:t>
      </w:r>
      <w:r>
        <w:rPr>
          <w:color w:val="525252"/>
          <w:sz w:val="23"/>
        </w:rPr>
        <w:t>ollowi</w:t>
      </w:r>
      <w:r>
        <w:rPr>
          <w:color w:val="2D2D2D"/>
          <w:sz w:val="23"/>
        </w:rPr>
        <w:t>ng</w:t>
      </w:r>
      <w:r>
        <w:rPr>
          <w:color w:val="2D2D2D"/>
          <w:spacing w:val="40"/>
          <w:sz w:val="23"/>
        </w:rPr>
        <w:t> </w:t>
      </w:r>
      <w:r>
        <w:rPr>
          <w:color w:val="2D2D2D"/>
          <w:sz w:val="23"/>
        </w:rPr>
        <w:t>th</w:t>
      </w:r>
      <w:r>
        <w:rPr>
          <w:color w:val="6B6B69"/>
          <w:sz w:val="23"/>
        </w:rPr>
        <w:t>e </w:t>
      </w:r>
      <w:r>
        <w:rPr>
          <w:color w:val="525252"/>
          <w:sz w:val="23"/>
        </w:rPr>
        <w:t>Commissio</w:t>
      </w:r>
      <w:r>
        <w:rPr>
          <w:color w:val="2D2D2D"/>
          <w:sz w:val="23"/>
        </w:rPr>
        <w:t>n's </w:t>
      </w:r>
      <w:r>
        <w:rPr>
          <w:color w:val="6B6B69"/>
          <w:sz w:val="23"/>
        </w:rPr>
        <w:t>i</w:t>
      </w:r>
      <w:r>
        <w:rPr>
          <w:color w:val="3F3F3F"/>
          <w:sz w:val="23"/>
        </w:rPr>
        <w:t>nitial action </w:t>
      </w:r>
      <w:r>
        <w:rPr>
          <w:color w:val="525252"/>
          <w:sz w:val="23"/>
        </w:rPr>
        <w:t>on</w:t>
      </w:r>
      <w:r>
        <w:rPr>
          <w:color w:val="525252"/>
          <w:spacing w:val="40"/>
          <w:sz w:val="23"/>
        </w:rPr>
        <w:t> </w:t>
      </w:r>
      <w:r>
        <w:rPr>
          <w:color w:val="2D2D2D"/>
          <w:sz w:val="23"/>
        </w:rPr>
        <w:t>th</w:t>
      </w:r>
      <w:r>
        <w:rPr>
          <w:color w:val="525252"/>
          <w:sz w:val="23"/>
        </w:rPr>
        <w:t>e i</w:t>
      </w:r>
      <w:r>
        <w:rPr>
          <w:color w:val="2D2D2D"/>
          <w:sz w:val="23"/>
        </w:rPr>
        <w:t>ns</w:t>
      </w:r>
      <w:r>
        <w:rPr>
          <w:color w:val="525252"/>
          <w:sz w:val="23"/>
        </w:rPr>
        <w:t>ti</w:t>
      </w:r>
      <w:r>
        <w:rPr>
          <w:color w:val="2D2D2D"/>
          <w:sz w:val="23"/>
        </w:rPr>
        <w:t>tut</w:t>
      </w:r>
      <w:r>
        <w:rPr>
          <w:color w:val="151515"/>
          <w:sz w:val="23"/>
        </w:rPr>
        <w:t>i</w:t>
      </w:r>
      <w:r>
        <w:rPr>
          <w:color w:val="525252"/>
          <w:sz w:val="23"/>
        </w:rPr>
        <w:t>on</w:t>
      </w:r>
      <w:r>
        <w:rPr>
          <w:color w:val="A3A3A3"/>
          <w:sz w:val="23"/>
        </w:rPr>
        <w:t>. </w:t>
      </w:r>
      <w:r>
        <w:rPr>
          <w:color w:val="525252"/>
          <w:sz w:val="23"/>
        </w:rPr>
        <w:t>At th</w:t>
      </w:r>
      <w:r>
        <w:rPr>
          <w:color w:val="2D2D2D"/>
          <w:sz w:val="23"/>
        </w:rPr>
        <w:t>e end</w:t>
      </w:r>
      <w:r>
        <w:rPr>
          <w:color w:val="2D2D2D"/>
          <w:spacing w:val="-11"/>
          <w:sz w:val="23"/>
        </w:rPr>
        <w:t> </w:t>
      </w:r>
      <w:r>
        <w:rPr>
          <w:color w:val="3F3F3F"/>
          <w:sz w:val="23"/>
        </w:rPr>
        <w:t>of</w:t>
      </w:r>
      <w:r>
        <w:rPr>
          <w:color w:val="3F3F3F"/>
          <w:spacing w:val="38"/>
          <w:sz w:val="23"/>
        </w:rPr>
        <w:t> </w:t>
      </w:r>
      <w:r>
        <w:rPr>
          <w:color w:val="2D2D2D"/>
          <w:sz w:val="23"/>
        </w:rPr>
        <w:t>th</w:t>
      </w:r>
      <w:r>
        <w:rPr>
          <w:color w:val="525252"/>
          <w:sz w:val="23"/>
        </w:rPr>
        <w:t>at</w:t>
      </w:r>
      <w:r>
        <w:rPr>
          <w:color w:val="525252"/>
          <w:spacing w:val="27"/>
          <w:sz w:val="23"/>
        </w:rPr>
        <w:t> </w:t>
      </w:r>
      <w:r>
        <w:rPr>
          <w:color w:val="3F3F3F"/>
          <w:sz w:val="23"/>
        </w:rPr>
        <w:t>two</w:t>
      </w:r>
      <w:r>
        <w:rPr>
          <w:color w:val="151515"/>
          <w:sz w:val="23"/>
        </w:rPr>
        <w:t>-</w:t>
      </w:r>
      <w:r>
        <w:rPr>
          <w:color w:val="3F3F3F"/>
          <w:sz w:val="23"/>
        </w:rPr>
        <w:t>year</w:t>
      </w:r>
      <w:r>
        <w:rPr>
          <w:color w:val="3F3F3F"/>
          <w:spacing w:val="-3"/>
          <w:sz w:val="23"/>
        </w:rPr>
        <w:t> </w:t>
      </w:r>
      <w:r>
        <w:rPr>
          <w:color w:val="525252"/>
          <w:sz w:val="23"/>
        </w:rPr>
        <w:t>pe</w:t>
      </w:r>
      <w:r>
        <w:rPr>
          <w:color w:val="2D2D2D"/>
          <w:sz w:val="23"/>
        </w:rPr>
        <w:t>r</w:t>
      </w:r>
      <w:r>
        <w:rPr>
          <w:color w:val="525252"/>
          <w:sz w:val="23"/>
        </w:rPr>
        <w:t>iod,</w:t>
      </w:r>
      <w:r>
        <w:rPr>
          <w:color w:val="525252"/>
          <w:spacing w:val="-7"/>
          <w:sz w:val="23"/>
        </w:rPr>
        <w:t> </w:t>
      </w:r>
      <w:r>
        <w:rPr>
          <w:color w:val="6B6B69"/>
          <w:sz w:val="23"/>
        </w:rPr>
        <w:t>if</w:t>
      </w:r>
      <w:r>
        <w:rPr>
          <w:color w:val="6B6B69"/>
          <w:spacing w:val="34"/>
          <w:sz w:val="23"/>
        </w:rPr>
        <w:t> </w:t>
      </w:r>
      <w:r>
        <w:rPr>
          <w:color w:val="525252"/>
          <w:sz w:val="23"/>
        </w:rPr>
        <w:t>t</w:t>
      </w:r>
      <w:r>
        <w:rPr>
          <w:color w:val="2D2D2D"/>
          <w:sz w:val="23"/>
        </w:rPr>
        <w:t>he inst</w:t>
      </w:r>
      <w:r>
        <w:rPr>
          <w:color w:val="151515"/>
          <w:sz w:val="23"/>
        </w:rPr>
        <w:t>i</w:t>
      </w:r>
      <w:r>
        <w:rPr>
          <w:color w:val="3F3F3F"/>
          <w:sz w:val="23"/>
        </w:rPr>
        <w:t>tution </w:t>
      </w:r>
      <w:r>
        <w:rPr>
          <w:color w:val="525252"/>
          <w:sz w:val="23"/>
        </w:rPr>
        <w:t>does</w:t>
      </w:r>
      <w:r>
        <w:rPr>
          <w:color w:val="525252"/>
          <w:spacing w:val="-6"/>
          <w:sz w:val="23"/>
        </w:rPr>
        <w:t> </w:t>
      </w:r>
      <w:r>
        <w:rPr>
          <w:color w:val="525252"/>
          <w:sz w:val="23"/>
        </w:rPr>
        <w:t>no</w:t>
      </w:r>
      <w:r>
        <w:rPr>
          <w:color w:val="2D2D2D"/>
          <w:sz w:val="23"/>
        </w:rPr>
        <w:t>t </w:t>
      </w:r>
      <w:r>
        <w:rPr>
          <w:color w:val="525252"/>
          <w:sz w:val="23"/>
        </w:rPr>
        <w:t>c</w:t>
      </w:r>
      <w:r>
        <w:rPr>
          <w:color w:val="2D2D2D"/>
          <w:sz w:val="23"/>
        </w:rPr>
        <w:t>omply</w:t>
      </w:r>
      <w:r>
        <w:rPr>
          <w:color w:val="2D2D2D"/>
          <w:spacing w:val="26"/>
          <w:sz w:val="23"/>
        </w:rPr>
        <w:t> </w:t>
      </w:r>
      <w:r>
        <w:rPr>
          <w:color w:val="3F3F3F"/>
          <w:sz w:val="23"/>
        </w:rPr>
        <w:t>with</w:t>
      </w:r>
      <w:r>
        <w:rPr>
          <w:color w:val="3F3F3F"/>
          <w:spacing w:val="-7"/>
          <w:sz w:val="23"/>
        </w:rPr>
        <w:t> </w:t>
      </w:r>
      <w:r>
        <w:rPr>
          <w:color w:val="3F3F3F"/>
          <w:sz w:val="23"/>
        </w:rPr>
        <w:t>all</w:t>
      </w:r>
      <w:r>
        <w:rPr>
          <w:color w:val="3F3F3F"/>
          <w:spacing w:val="-9"/>
          <w:sz w:val="23"/>
        </w:rPr>
        <w:t> </w:t>
      </w:r>
      <w:r>
        <w:rPr>
          <w:color w:val="151515"/>
          <w:sz w:val="23"/>
        </w:rPr>
        <w:t>t</w:t>
      </w:r>
      <w:r>
        <w:rPr>
          <w:color w:val="2D2D2D"/>
          <w:sz w:val="23"/>
        </w:rPr>
        <w:t>h</w:t>
      </w:r>
      <w:r>
        <w:rPr>
          <w:color w:val="525252"/>
          <w:sz w:val="23"/>
        </w:rPr>
        <w:t>e sta</w:t>
      </w:r>
      <w:r>
        <w:rPr>
          <w:color w:val="2D2D2D"/>
          <w:sz w:val="23"/>
        </w:rPr>
        <w:t>n</w:t>
      </w:r>
      <w:r>
        <w:rPr>
          <w:color w:val="525252"/>
          <w:sz w:val="23"/>
        </w:rPr>
        <w:t>dards and</w:t>
      </w:r>
      <w:r>
        <w:rPr>
          <w:color w:val="525252"/>
          <w:spacing w:val="21"/>
          <w:sz w:val="23"/>
        </w:rPr>
        <w:t> </w:t>
      </w:r>
      <w:r>
        <w:rPr>
          <w:color w:val="3F3F3F"/>
          <w:sz w:val="23"/>
        </w:rPr>
        <w:t>requirements</w:t>
      </w:r>
      <w:r>
        <w:rPr>
          <w:color w:val="3F3F3F"/>
          <w:spacing w:val="40"/>
          <w:sz w:val="23"/>
        </w:rPr>
        <w:t> </w:t>
      </w:r>
      <w:r>
        <w:rPr>
          <w:color w:val="525252"/>
          <w:sz w:val="23"/>
        </w:rPr>
        <w:t>of</w:t>
      </w:r>
      <w:r>
        <w:rPr>
          <w:color w:val="525252"/>
          <w:spacing w:val="31"/>
          <w:sz w:val="23"/>
        </w:rPr>
        <w:t> </w:t>
      </w:r>
      <w:r>
        <w:rPr>
          <w:color w:val="525252"/>
          <w:sz w:val="23"/>
        </w:rPr>
        <w:t>the </w:t>
      </w:r>
      <w:r>
        <w:rPr>
          <w:i/>
          <w:color w:val="2D2D2D"/>
          <w:sz w:val="23"/>
        </w:rPr>
        <w:t>Principl</w:t>
      </w:r>
      <w:r>
        <w:rPr>
          <w:i/>
          <w:color w:val="525252"/>
          <w:sz w:val="23"/>
        </w:rPr>
        <w:t>es</w:t>
      </w:r>
      <w:r>
        <w:rPr>
          <w:i/>
          <w:color w:val="151515"/>
          <w:sz w:val="23"/>
        </w:rPr>
        <w:t>, </w:t>
      </w:r>
      <w:r>
        <w:rPr>
          <w:color w:val="3F3F3F"/>
          <w:sz w:val="23"/>
        </w:rPr>
        <w:t>representat</w:t>
      </w:r>
      <w:r>
        <w:rPr>
          <w:color w:val="151515"/>
          <w:sz w:val="23"/>
        </w:rPr>
        <w:t>i</w:t>
      </w:r>
      <w:r>
        <w:rPr>
          <w:color w:val="3F3F3F"/>
          <w:sz w:val="23"/>
        </w:rPr>
        <w:t>ves</w:t>
      </w:r>
      <w:r>
        <w:rPr>
          <w:color w:val="3F3F3F"/>
          <w:spacing w:val="40"/>
          <w:sz w:val="23"/>
        </w:rPr>
        <w:t> </w:t>
      </w:r>
      <w:r>
        <w:rPr>
          <w:color w:val="2D2D2D"/>
          <w:sz w:val="23"/>
        </w:rPr>
        <w:t>from</w:t>
      </w:r>
      <w:r>
        <w:rPr>
          <w:color w:val="2D2D2D"/>
          <w:spacing w:val="23"/>
          <w:sz w:val="23"/>
        </w:rPr>
        <w:t> </w:t>
      </w:r>
      <w:r>
        <w:rPr>
          <w:color w:val="525252"/>
          <w:sz w:val="23"/>
        </w:rPr>
        <w:t>th</w:t>
      </w:r>
      <w:r>
        <w:rPr>
          <w:color w:val="2D2D2D"/>
          <w:sz w:val="23"/>
        </w:rPr>
        <w:t>e</w:t>
      </w:r>
      <w:r>
        <w:rPr>
          <w:color w:val="2D2D2D"/>
          <w:spacing w:val="35"/>
          <w:sz w:val="23"/>
        </w:rPr>
        <w:t> </w:t>
      </w:r>
      <w:r>
        <w:rPr>
          <w:color w:val="525252"/>
          <w:sz w:val="23"/>
        </w:rPr>
        <w:t>i</w:t>
      </w:r>
      <w:r>
        <w:rPr>
          <w:color w:val="2D2D2D"/>
          <w:sz w:val="23"/>
        </w:rPr>
        <w:t>ns</w:t>
      </w:r>
      <w:r>
        <w:rPr>
          <w:color w:val="525252"/>
          <w:sz w:val="23"/>
        </w:rPr>
        <w:t>ti</w:t>
      </w:r>
      <w:r>
        <w:rPr>
          <w:color w:val="2D2D2D"/>
          <w:sz w:val="23"/>
        </w:rPr>
        <w:t>tuti</w:t>
      </w:r>
      <w:r>
        <w:rPr>
          <w:color w:val="525252"/>
          <w:sz w:val="23"/>
        </w:rPr>
        <w:t>on</w:t>
      </w:r>
      <w:r>
        <w:rPr>
          <w:color w:val="525252"/>
          <w:spacing w:val="35"/>
          <w:sz w:val="23"/>
        </w:rPr>
        <w:t> </w:t>
      </w:r>
      <w:r>
        <w:rPr>
          <w:color w:val="3F3F3F"/>
          <w:sz w:val="23"/>
        </w:rPr>
        <w:t>may</w:t>
      </w:r>
      <w:r>
        <w:rPr>
          <w:color w:val="3F3F3F"/>
          <w:spacing w:val="28"/>
          <w:sz w:val="23"/>
        </w:rPr>
        <w:t> </w:t>
      </w:r>
      <w:r>
        <w:rPr>
          <w:color w:val="3F3F3F"/>
          <w:sz w:val="23"/>
        </w:rPr>
        <w:t>be </w:t>
      </w:r>
      <w:r>
        <w:rPr>
          <w:color w:val="525252"/>
          <w:sz w:val="23"/>
        </w:rPr>
        <w:t>requ</w:t>
      </w:r>
      <w:r>
        <w:rPr>
          <w:color w:val="2D2D2D"/>
          <w:sz w:val="23"/>
        </w:rPr>
        <w:t>i</w:t>
      </w:r>
      <w:r>
        <w:rPr>
          <w:color w:val="525252"/>
          <w:sz w:val="23"/>
        </w:rPr>
        <w:t>re</w:t>
      </w:r>
      <w:r>
        <w:rPr>
          <w:color w:val="2D2D2D"/>
          <w:sz w:val="23"/>
        </w:rPr>
        <w:t>d </w:t>
      </w:r>
      <w:r>
        <w:rPr>
          <w:color w:val="3F3F3F"/>
          <w:sz w:val="23"/>
        </w:rPr>
        <w:t>to</w:t>
      </w:r>
      <w:r>
        <w:rPr>
          <w:color w:val="3F3F3F"/>
          <w:spacing w:val="-8"/>
          <w:sz w:val="23"/>
        </w:rPr>
        <w:t> </w:t>
      </w:r>
      <w:r>
        <w:rPr>
          <w:color w:val="3F3F3F"/>
          <w:sz w:val="23"/>
        </w:rPr>
        <w:t>appear</w:t>
      </w:r>
      <w:r>
        <w:rPr>
          <w:color w:val="3F3F3F"/>
          <w:spacing w:val="17"/>
          <w:sz w:val="23"/>
        </w:rPr>
        <w:t> </w:t>
      </w:r>
      <w:r>
        <w:rPr>
          <w:color w:val="525252"/>
          <w:sz w:val="23"/>
        </w:rPr>
        <w:t>bef</w:t>
      </w:r>
      <w:r>
        <w:rPr>
          <w:color w:val="2D2D2D"/>
          <w:sz w:val="23"/>
        </w:rPr>
        <w:t>ore</w:t>
      </w:r>
      <w:r>
        <w:rPr>
          <w:color w:val="2D2D2D"/>
          <w:spacing w:val="61"/>
          <w:sz w:val="23"/>
        </w:rPr>
        <w:t> </w:t>
      </w:r>
      <w:r>
        <w:rPr>
          <w:color w:val="525252"/>
          <w:sz w:val="23"/>
        </w:rPr>
        <w:t>th</w:t>
      </w:r>
      <w:r>
        <w:rPr>
          <w:color w:val="2D2D2D"/>
          <w:sz w:val="23"/>
        </w:rPr>
        <w:t>e</w:t>
      </w:r>
      <w:r>
        <w:rPr>
          <w:color w:val="2D2D2D"/>
          <w:spacing w:val="17"/>
          <w:sz w:val="23"/>
        </w:rPr>
        <w:t> </w:t>
      </w:r>
      <w:r>
        <w:rPr>
          <w:color w:val="3F3F3F"/>
          <w:sz w:val="23"/>
        </w:rPr>
        <w:t>Commission,</w:t>
      </w:r>
      <w:r>
        <w:rPr>
          <w:color w:val="3F3F3F"/>
          <w:spacing w:val="40"/>
          <w:sz w:val="23"/>
        </w:rPr>
        <w:t> </w:t>
      </w:r>
      <w:r>
        <w:rPr>
          <w:color w:val="3F3F3F"/>
          <w:sz w:val="23"/>
        </w:rPr>
        <w:t>or</w:t>
      </w:r>
      <w:r>
        <w:rPr>
          <w:color w:val="3F3F3F"/>
          <w:spacing w:val="40"/>
          <w:sz w:val="23"/>
        </w:rPr>
        <w:t> </w:t>
      </w:r>
      <w:r>
        <w:rPr>
          <w:color w:val="525252"/>
          <w:sz w:val="23"/>
        </w:rPr>
        <w:t>one</w:t>
      </w:r>
      <w:r>
        <w:rPr>
          <w:color w:val="525252"/>
          <w:spacing w:val="-4"/>
          <w:sz w:val="23"/>
        </w:rPr>
        <w:t> </w:t>
      </w:r>
      <w:r>
        <w:rPr>
          <w:color w:val="3F3F3F"/>
          <w:sz w:val="23"/>
        </w:rPr>
        <w:t>oflts</w:t>
      </w:r>
      <w:r>
        <w:rPr>
          <w:color w:val="3F3F3F"/>
          <w:spacing w:val="28"/>
          <w:sz w:val="23"/>
        </w:rPr>
        <w:t> </w:t>
      </w:r>
      <w:r>
        <w:rPr>
          <w:color w:val="525252"/>
          <w:sz w:val="23"/>
        </w:rPr>
        <w:t>s</w:t>
      </w:r>
      <w:r>
        <w:rPr>
          <w:color w:val="2D2D2D"/>
          <w:sz w:val="23"/>
        </w:rPr>
        <w:t>t</w:t>
      </w:r>
      <w:r>
        <w:rPr>
          <w:color w:val="525252"/>
          <w:sz w:val="23"/>
        </w:rPr>
        <w:t>andi</w:t>
      </w:r>
      <w:r>
        <w:rPr>
          <w:color w:val="2D2D2D"/>
          <w:sz w:val="23"/>
        </w:rPr>
        <w:t>ng</w:t>
      </w:r>
      <w:r>
        <w:rPr>
          <w:color w:val="2D2D2D"/>
          <w:spacing w:val="23"/>
          <w:sz w:val="23"/>
        </w:rPr>
        <w:t> </w:t>
      </w:r>
      <w:r>
        <w:rPr>
          <w:color w:val="3F3F3F"/>
          <w:sz w:val="23"/>
        </w:rPr>
        <w:t>committees,</w:t>
      </w:r>
      <w:r>
        <w:rPr>
          <w:color w:val="3F3F3F"/>
          <w:spacing w:val="72"/>
          <w:sz w:val="23"/>
        </w:rPr>
        <w:t> </w:t>
      </w:r>
      <w:r>
        <w:rPr>
          <w:color w:val="2D2D2D"/>
          <w:sz w:val="23"/>
        </w:rPr>
        <w:t>t</w:t>
      </w:r>
      <w:r>
        <w:rPr>
          <w:color w:val="525252"/>
          <w:sz w:val="23"/>
        </w:rPr>
        <w:t>o</w:t>
      </w:r>
      <w:r>
        <w:rPr>
          <w:color w:val="525252"/>
          <w:spacing w:val="40"/>
          <w:sz w:val="23"/>
        </w:rPr>
        <w:t> </w:t>
      </w:r>
      <w:r>
        <w:rPr>
          <w:color w:val="3F3F3F"/>
          <w:sz w:val="23"/>
        </w:rPr>
        <w:t>answer</w:t>
      </w:r>
      <w:r>
        <w:rPr>
          <w:color w:val="3F3F3F"/>
          <w:sz w:val="23"/>
        </w:rPr>
        <w:t> </w:t>
      </w:r>
      <w:r>
        <w:rPr>
          <w:color w:val="525252"/>
          <w:sz w:val="23"/>
        </w:rPr>
        <w:t>q</w:t>
      </w:r>
      <w:r>
        <w:rPr>
          <w:color w:val="2D2D2D"/>
          <w:sz w:val="23"/>
        </w:rPr>
        <w:t>ue</w:t>
      </w:r>
      <w:r>
        <w:rPr>
          <w:color w:val="525252"/>
          <w:sz w:val="23"/>
        </w:rPr>
        <w:t>stions </w:t>
      </w:r>
      <w:r>
        <w:rPr>
          <w:color w:val="3F3F3F"/>
          <w:sz w:val="23"/>
        </w:rPr>
        <w:t>as</w:t>
      </w:r>
      <w:r>
        <w:rPr>
          <w:color w:val="3F3F3F"/>
          <w:spacing w:val="40"/>
          <w:sz w:val="23"/>
        </w:rPr>
        <w:t> </w:t>
      </w:r>
      <w:r>
        <w:rPr>
          <w:color w:val="2D2D2D"/>
          <w:sz w:val="23"/>
        </w:rPr>
        <w:t>to</w:t>
      </w:r>
      <w:r>
        <w:rPr>
          <w:color w:val="2D2D2D"/>
          <w:spacing w:val="-5"/>
          <w:sz w:val="23"/>
        </w:rPr>
        <w:t> </w:t>
      </w:r>
      <w:r>
        <w:rPr>
          <w:color w:val="3F3F3F"/>
          <w:sz w:val="23"/>
        </w:rPr>
        <w:t>why </w:t>
      </w:r>
      <w:r>
        <w:rPr>
          <w:color w:val="2D2D2D"/>
          <w:sz w:val="23"/>
        </w:rPr>
        <w:t>th</w:t>
      </w:r>
      <w:r>
        <w:rPr>
          <w:color w:val="525252"/>
          <w:sz w:val="23"/>
        </w:rPr>
        <w:t>e </w:t>
      </w:r>
      <w:r>
        <w:rPr>
          <w:color w:val="6B6B69"/>
          <w:sz w:val="23"/>
        </w:rPr>
        <w:t>i</w:t>
      </w:r>
      <w:r>
        <w:rPr>
          <w:color w:val="2D2D2D"/>
          <w:sz w:val="23"/>
        </w:rPr>
        <w:t>nstit</w:t>
      </w:r>
      <w:r>
        <w:rPr>
          <w:color w:val="525252"/>
          <w:sz w:val="23"/>
        </w:rPr>
        <w:t>ut</w:t>
      </w:r>
      <w:r>
        <w:rPr>
          <w:color w:val="7E7C80"/>
          <w:sz w:val="23"/>
        </w:rPr>
        <w:t>i</w:t>
      </w:r>
      <w:r>
        <w:rPr>
          <w:color w:val="525252"/>
          <w:sz w:val="23"/>
        </w:rPr>
        <w:t>on </w:t>
      </w:r>
      <w:r>
        <w:rPr>
          <w:color w:val="3F3F3F"/>
          <w:sz w:val="23"/>
        </w:rPr>
        <w:t>shou</w:t>
      </w:r>
      <w:r>
        <w:rPr>
          <w:color w:val="6B6B69"/>
          <w:sz w:val="23"/>
        </w:rPr>
        <w:t>l</w:t>
      </w:r>
      <w:r>
        <w:rPr>
          <w:color w:val="2D2D2D"/>
          <w:sz w:val="23"/>
        </w:rPr>
        <w:t>d</w:t>
      </w:r>
      <w:r>
        <w:rPr>
          <w:color w:val="2D2D2D"/>
          <w:spacing w:val="40"/>
          <w:sz w:val="23"/>
        </w:rPr>
        <w:t> </w:t>
      </w:r>
      <w:r>
        <w:rPr>
          <w:color w:val="2D2D2D"/>
          <w:sz w:val="23"/>
        </w:rPr>
        <w:t>not</w:t>
      </w:r>
      <w:r>
        <w:rPr>
          <w:color w:val="2D2D2D"/>
          <w:spacing w:val="-11"/>
          <w:sz w:val="23"/>
        </w:rPr>
        <w:t> </w:t>
      </w:r>
      <w:r>
        <w:rPr>
          <w:color w:val="2D2D2D"/>
          <w:sz w:val="23"/>
        </w:rPr>
        <w:t>be </w:t>
      </w:r>
      <w:r>
        <w:rPr>
          <w:color w:val="525252"/>
          <w:sz w:val="23"/>
        </w:rPr>
        <w:t>re</w:t>
      </w:r>
      <w:r>
        <w:rPr>
          <w:color w:val="2D2D2D"/>
          <w:sz w:val="23"/>
        </w:rPr>
        <w:t>mov</w:t>
      </w:r>
      <w:r>
        <w:rPr>
          <w:color w:val="525252"/>
          <w:sz w:val="23"/>
        </w:rPr>
        <w:t>ed</w:t>
      </w:r>
      <w:r>
        <w:rPr>
          <w:color w:val="525252"/>
          <w:spacing w:val="40"/>
          <w:sz w:val="23"/>
        </w:rPr>
        <w:t> </w:t>
      </w:r>
      <w:r>
        <w:rPr>
          <w:color w:val="3F3F3F"/>
          <w:sz w:val="23"/>
        </w:rPr>
        <w:t>from</w:t>
      </w:r>
      <w:r>
        <w:rPr>
          <w:color w:val="3F3F3F"/>
          <w:spacing w:val="-1"/>
          <w:sz w:val="23"/>
        </w:rPr>
        <w:t> </w:t>
      </w:r>
      <w:r>
        <w:rPr>
          <w:color w:val="3F3F3F"/>
          <w:sz w:val="23"/>
        </w:rPr>
        <w:t>membership</w:t>
      </w:r>
      <w:r>
        <w:rPr>
          <w:color w:val="6B6B69"/>
          <w:sz w:val="23"/>
        </w:rPr>
        <w:t>.</w:t>
      </w:r>
      <w:r>
        <w:rPr>
          <w:color w:val="6B6B69"/>
          <w:spacing w:val="80"/>
          <w:sz w:val="23"/>
        </w:rPr>
        <w:t> </w:t>
      </w:r>
      <w:r>
        <w:rPr>
          <w:color w:val="151515"/>
          <w:sz w:val="23"/>
        </w:rPr>
        <w:t>I</w:t>
      </w:r>
      <w:r>
        <w:rPr>
          <w:color w:val="2D2D2D"/>
          <w:sz w:val="23"/>
        </w:rPr>
        <w:t>f </w:t>
      </w:r>
      <w:r>
        <w:rPr>
          <w:color w:val="525252"/>
          <w:sz w:val="23"/>
        </w:rPr>
        <w:t>the Comm</w:t>
      </w:r>
      <w:r>
        <w:rPr>
          <w:color w:val="7E7C80"/>
          <w:sz w:val="23"/>
        </w:rPr>
        <w:t>i</w:t>
      </w:r>
      <w:r>
        <w:rPr>
          <w:color w:val="525252"/>
          <w:sz w:val="23"/>
        </w:rPr>
        <w:t>ssion</w:t>
      </w:r>
      <w:r>
        <w:rPr>
          <w:color w:val="525252"/>
          <w:spacing w:val="37"/>
          <w:sz w:val="23"/>
        </w:rPr>
        <w:t> </w:t>
      </w:r>
      <w:r>
        <w:rPr>
          <w:color w:val="2D2D2D"/>
          <w:sz w:val="23"/>
        </w:rPr>
        <w:t>de</w:t>
      </w:r>
      <w:r>
        <w:rPr>
          <w:color w:val="525252"/>
          <w:sz w:val="23"/>
        </w:rPr>
        <w:t>te</w:t>
      </w:r>
      <w:r>
        <w:rPr>
          <w:color w:val="2D2D2D"/>
          <w:sz w:val="23"/>
        </w:rPr>
        <w:t>rmi</w:t>
      </w:r>
      <w:r>
        <w:rPr>
          <w:color w:val="525252"/>
          <w:sz w:val="23"/>
        </w:rPr>
        <w:t>nes </w:t>
      </w:r>
      <w:r>
        <w:rPr>
          <w:color w:val="3F3F3F"/>
          <w:sz w:val="23"/>
        </w:rPr>
        <w:t>good </w:t>
      </w:r>
      <w:r>
        <w:rPr>
          <w:color w:val="525252"/>
          <w:sz w:val="23"/>
        </w:rPr>
        <w:t>cause </w:t>
      </w:r>
      <w:r>
        <w:rPr>
          <w:color w:val="3F3F3F"/>
          <w:sz w:val="23"/>
        </w:rPr>
        <w:t>at</w:t>
      </w:r>
      <w:r>
        <w:rPr>
          <w:color w:val="3F3F3F"/>
          <w:spacing w:val="40"/>
          <w:sz w:val="23"/>
        </w:rPr>
        <w:t> </w:t>
      </w:r>
      <w:r>
        <w:rPr>
          <w:color w:val="2D2D2D"/>
          <w:sz w:val="23"/>
        </w:rPr>
        <w:t>tha</w:t>
      </w:r>
      <w:r>
        <w:rPr>
          <w:color w:val="525252"/>
          <w:sz w:val="23"/>
        </w:rPr>
        <w:t>t</w:t>
      </w:r>
      <w:r>
        <w:rPr>
          <w:color w:val="525252"/>
          <w:spacing w:val="40"/>
          <w:sz w:val="23"/>
        </w:rPr>
        <w:t> </w:t>
      </w:r>
      <w:r>
        <w:rPr>
          <w:color w:val="2D2D2D"/>
          <w:sz w:val="23"/>
        </w:rPr>
        <w:t>t</w:t>
      </w:r>
      <w:r>
        <w:rPr>
          <w:color w:val="151515"/>
          <w:sz w:val="23"/>
        </w:rPr>
        <w:t>i</w:t>
      </w:r>
      <w:r>
        <w:rPr>
          <w:color w:val="2D2D2D"/>
          <w:sz w:val="23"/>
        </w:rPr>
        <w:t>m</w:t>
      </w:r>
      <w:r>
        <w:rPr>
          <w:color w:val="525252"/>
          <w:sz w:val="23"/>
        </w:rPr>
        <w:t>e,</w:t>
      </w:r>
      <w:r>
        <w:rPr>
          <w:color w:val="525252"/>
          <w:spacing w:val="40"/>
          <w:sz w:val="23"/>
        </w:rPr>
        <w:t> </w:t>
      </w:r>
      <w:r>
        <w:rPr>
          <w:color w:val="3F3F3F"/>
          <w:sz w:val="23"/>
        </w:rPr>
        <w:t>the Commission</w:t>
      </w:r>
      <w:r>
        <w:rPr>
          <w:color w:val="3F3F3F"/>
          <w:spacing w:val="40"/>
          <w:sz w:val="23"/>
        </w:rPr>
        <w:t> </w:t>
      </w:r>
      <w:r>
        <w:rPr>
          <w:color w:val="2D2D2D"/>
          <w:sz w:val="23"/>
        </w:rPr>
        <w:t>may </w:t>
      </w:r>
      <w:r>
        <w:rPr>
          <w:color w:val="525252"/>
          <w:sz w:val="23"/>
        </w:rPr>
        <w:t>exten</w:t>
      </w:r>
      <w:r>
        <w:rPr>
          <w:color w:val="2D2D2D"/>
          <w:sz w:val="23"/>
        </w:rPr>
        <w:t>d</w:t>
      </w:r>
      <w:r>
        <w:rPr>
          <w:color w:val="2D2D2D"/>
          <w:spacing w:val="40"/>
          <w:sz w:val="23"/>
        </w:rPr>
        <w:t> </w:t>
      </w:r>
      <w:r>
        <w:rPr>
          <w:color w:val="2D2D2D"/>
          <w:sz w:val="23"/>
        </w:rPr>
        <w:t>t</w:t>
      </w:r>
      <w:r>
        <w:rPr>
          <w:color w:val="151515"/>
          <w:sz w:val="23"/>
        </w:rPr>
        <w:t>h</w:t>
      </w:r>
      <w:r>
        <w:rPr>
          <w:color w:val="3F3F3F"/>
          <w:sz w:val="23"/>
        </w:rPr>
        <w:t>e</w:t>
      </w:r>
    </w:p>
    <w:p>
      <w:pPr>
        <w:spacing w:line="242" w:lineRule="auto" w:before="0"/>
        <w:ind w:left="191" w:right="1003" w:firstLine="12"/>
        <w:jc w:val="left"/>
        <w:rPr>
          <w:i/>
          <w:sz w:val="23"/>
        </w:rPr>
      </w:pPr>
      <w:r>
        <w:rPr>
          <w:color w:val="2D2D2D"/>
          <w:w w:val="105"/>
          <w:sz w:val="23"/>
        </w:rPr>
        <w:t>p</w:t>
      </w:r>
      <w:r>
        <w:rPr>
          <w:color w:val="525252"/>
          <w:w w:val="105"/>
          <w:sz w:val="23"/>
        </w:rPr>
        <w:t>eriod</w:t>
      </w:r>
      <w:r>
        <w:rPr>
          <w:color w:val="525252"/>
          <w:spacing w:val="-12"/>
          <w:w w:val="105"/>
          <w:sz w:val="23"/>
        </w:rPr>
        <w:t> </w:t>
      </w:r>
      <w:r>
        <w:rPr>
          <w:color w:val="525252"/>
          <w:w w:val="105"/>
          <w:sz w:val="23"/>
        </w:rPr>
        <w:t>fo</w:t>
      </w:r>
      <w:r>
        <w:rPr>
          <w:color w:val="2D2D2D"/>
          <w:w w:val="105"/>
          <w:sz w:val="23"/>
        </w:rPr>
        <w:t>r</w:t>
      </w:r>
      <w:r>
        <w:rPr>
          <w:color w:val="2D2D2D"/>
          <w:spacing w:val="-17"/>
          <w:w w:val="105"/>
          <w:sz w:val="23"/>
        </w:rPr>
        <w:t> </w:t>
      </w:r>
      <w:r>
        <w:rPr>
          <w:color w:val="3F3F3F"/>
          <w:w w:val="105"/>
          <w:sz w:val="23"/>
        </w:rPr>
        <w:t>coming</w:t>
      </w:r>
      <w:r>
        <w:rPr>
          <w:color w:val="3F3F3F"/>
          <w:spacing w:val="-26"/>
          <w:w w:val="105"/>
          <w:sz w:val="23"/>
        </w:rPr>
        <w:t> </w:t>
      </w:r>
      <w:r>
        <w:rPr>
          <w:color w:val="151515"/>
          <w:w w:val="105"/>
          <w:sz w:val="23"/>
        </w:rPr>
        <w:t>i</w:t>
      </w:r>
      <w:r>
        <w:rPr>
          <w:color w:val="525252"/>
          <w:w w:val="105"/>
          <w:sz w:val="23"/>
        </w:rPr>
        <w:t>nto</w:t>
      </w:r>
      <w:r>
        <w:rPr>
          <w:color w:val="525252"/>
          <w:spacing w:val="-16"/>
          <w:w w:val="105"/>
          <w:sz w:val="23"/>
        </w:rPr>
        <w:t> </w:t>
      </w:r>
      <w:r>
        <w:rPr>
          <w:color w:val="525252"/>
          <w:w w:val="105"/>
          <w:sz w:val="23"/>
        </w:rPr>
        <w:t>compl</w:t>
      </w:r>
      <w:r>
        <w:rPr>
          <w:color w:val="7E7C80"/>
          <w:w w:val="105"/>
          <w:sz w:val="23"/>
        </w:rPr>
        <w:t>i</w:t>
      </w:r>
      <w:r>
        <w:rPr>
          <w:color w:val="3F3F3F"/>
          <w:w w:val="105"/>
          <w:sz w:val="23"/>
        </w:rPr>
        <w:t>ance</w:t>
      </w:r>
      <w:r>
        <w:rPr>
          <w:color w:val="3F3F3F"/>
          <w:spacing w:val="-17"/>
          <w:w w:val="105"/>
          <w:sz w:val="23"/>
        </w:rPr>
        <w:t> </w:t>
      </w:r>
      <w:r>
        <w:rPr>
          <w:color w:val="525252"/>
          <w:w w:val="105"/>
          <w:sz w:val="23"/>
        </w:rPr>
        <w:t>fo</w:t>
      </w:r>
      <w:r>
        <w:rPr>
          <w:color w:val="2D2D2D"/>
          <w:w w:val="105"/>
          <w:sz w:val="23"/>
        </w:rPr>
        <w:t>r</w:t>
      </w:r>
      <w:r>
        <w:rPr>
          <w:color w:val="2D2D2D"/>
          <w:spacing w:val="-17"/>
          <w:w w:val="105"/>
          <w:sz w:val="23"/>
        </w:rPr>
        <w:t> </w:t>
      </w:r>
      <w:r>
        <w:rPr>
          <w:color w:val="525252"/>
          <w:w w:val="105"/>
          <w:sz w:val="23"/>
        </w:rPr>
        <w:t>a</w:t>
      </w:r>
      <w:r>
        <w:rPr>
          <w:color w:val="525252"/>
          <w:spacing w:val="-30"/>
          <w:w w:val="105"/>
          <w:sz w:val="23"/>
        </w:rPr>
        <w:t> </w:t>
      </w:r>
      <w:r>
        <w:rPr>
          <w:color w:val="525252"/>
          <w:w w:val="105"/>
          <w:sz w:val="23"/>
        </w:rPr>
        <w:t>mi</w:t>
      </w:r>
      <w:r>
        <w:rPr>
          <w:color w:val="2D2D2D"/>
          <w:w w:val="105"/>
          <w:sz w:val="23"/>
        </w:rPr>
        <w:t>n</w:t>
      </w:r>
      <w:r>
        <w:rPr>
          <w:color w:val="525252"/>
          <w:w w:val="105"/>
          <w:sz w:val="23"/>
        </w:rPr>
        <w:t>imu</w:t>
      </w:r>
      <w:r>
        <w:rPr>
          <w:color w:val="2D2D2D"/>
          <w:w w:val="105"/>
          <w:sz w:val="23"/>
        </w:rPr>
        <w:t>m</w:t>
      </w:r>
      <w:r>
        <w:rPr>
          <w:color w:val="2D2D2D"/>
          <w:spacing w:val="-16"/>
          <w:w w:val="105"/>
          <w:sz w:val="23"/>
        </w:rPr>
        <w:t> </w:t>
      </w:r>
      <w:r>
        <w:rPr>
          <w:color w:val="3F3F3F"/>
          <w:w w:val="105"/>
          <w:sz w:val="23"/>
        </w:rPr>
        <w:t>of</w:t>
      </w:r>
      <w:r>
        <w:rPr>
          <w:color w:val="3F3F3F"/>
          <w:spacing w:val="-17"/>
          <w:w w:val="105"/>
          <w:sz w:val="23"/>
        </w:rPr>
        <w:t> </w:t>
      </w:r>
      <w:r>
        <w:rPr>
          <w:color w:val="3F3F3F"/>
          <w:w w:val="105"/>
          <w:sz w:val="23"/>
        </w:rPr>
        <w:t>s</w:t>
      </w:r>
      <w:r>
        <w:rPr>
          <w:color w:val="6B6B69"/>
          <w:w w:val="105"/>
          <w:sz w:val="23"/>
        </w:rPr>
        <w:t>i</w:t>
      </w:r>
      <w:r>
        <w:rPr>
          <w:color w:val="3F3F3F"/>
          <w:w w:val="105"/>
          <w:sz w:val="23"/>
        </w:rPr>
        <w:t>x</w:t>
      </w:r>
      <w:r>
        <w:rPr>
          <w:color w:val="3F3F3F"/>
          <w:spacing w:val="-17"/>
          <w:w w:val="105"/>
          <w:sz w:val="23"/>
        </w:rPr>
        <w:t> </w:t>
      </w:r>
      <w:r>
        <w:rPr>
          <w:color w:val="3F3F3F"/>
          <w:w w:val="105"/>
          <w:sz w:val="23"/>
        </w:rPr>
        <w:t>months</w:t>
      </w:r>
      <w:r>
        <w:rPr>
          <w:color w:val="3F3F3F"/>
          <w:spacing w:val="-17"/>
          <w:w w:val="105"/>
          <w:sz w:val="23"/>
        </w:rPr>
        <w:t> </w:t>
      </w:r>
      <w:r>
        <w:rPr>
          <w:color w:val="525252"/>
          <w:w w:val="105"/>
          <w:sz w:val="23"/>
        </w:rPr>
        <w:t>a</w:t>
      </w:r>
      <w:r>
        <w:rPr>
          <w:color w:val="2D2D2D"/>
          <w:w w:val="105"/>
          <w:sz w:val="23"/>
        </w:rPr>
        <w:t>n</w:t>
      </w:r>
      <w:r>
        <w:rPr>
          <w:color w:val="525252"/>
          <w:w w:val="105"/>
          <w:sz w:val="23"/>
        </w:rPr>
        <w:t>d</w:t>
      </w:r>
      <w:r>
        <w:rPr>
          <w:color w:val="525252"/>
          <w:spacing w:val="-12"/>
          <w:w w:val="105"/>
          <w:sz w:val="23"/>
        </w:rPr>
        <w:t> </w:t>
      </w:r>
      <w:r>
        <w:rPr>
          <w:color w:val="525252"/>
          <w:w w:val="105"/>
          <w:sz w:val="23"/>
        </w:rPr>
        <w:t>a</w:t>
      </w:r>
      <w:r>
        <w:rPr>
          <w:color w:val="525252"/>
          <w:spacing w:val="-16"/>
          <w:w w:val="105"/>
          <w:sz w:val="23"/>
        </w:rPr>
        <w:t> </w:t>
      </w:r>
      <w:r>
        <w:rPr>
          <w:color w:val="3F3F3F"/>
          <w:w w:val="105"/>
          <w:sz w:val="23"/>
        </w:rPr>
        <w:t>maximum</w:t>
      </w:r>
      <w:r>
        <w:rPr>
          <w:color w:val="3F3F3F"/>
          <w:spacing w:val="-26"/>
          <w:w w:val="105"/>
          <w:sz w:val="23"/>
        </w:rPr>
        <w:t> </w:t>
      </w:r>
      <w:r>
        <w:rPr>
          <w:color w:val="525252"/>
          <w:w w:val="105"/>
          <w:sz w:val="23"/>
        </w:rPr>
        <w:t>of two yea</w:t>
      </w:r>
      <w:r>
        <w:rPr>
          <w:color w:val="2D2D2D"/>
          <w:w w:val="105"/>
          <w:sz w:val="23"/>
        </w:rPr>
        <w:t>r</w:t>
      </w:r>
      <w:r>
        <w:rPr>
          <w:color w:val="525252"/>
          <w:w w:val="105"/>
          <w:sz w:val="23"/>
        </w:rPr>
        <w:t>s a</w:t>
      </w:r>
      <w:r>
        <w:rPr>
          <w:color w:val="7E7C80"/>
          <w:w w:val="105"/>
          <w:sz w:val="23"/>
        </w:rPr>
        <w:t>n</w:t>
      </w:r>
      <w:r>
        <w:rPr>
          <w:color w:val="525252"/>
          <w:w w:val="105"/>
          <w:sz w:val="23"/>
        </w:rPr>
        <w:t>d</w:t>
      </w:r>
      <w:r>
        <w:rPr>
          <w:color w:val="525252"/>
          <w:spacing w:val="-22"/>
          <w:w w:val="105"/>
          <w:sz w:val="23"/>
        </w:rPr>
        <w:t> </w:t>
      </w:r>
      <w:r>
        <w:rPr>
          <w:color w:val="525252"/>
          <w:w w:val="105"/>
          <w:sz w:val="23"/>
        </w:rPr>
        <w:t>must</w:t>
      </w:r>
      <w:r>
        <w:rPr>
          <w:color w:val="525252"/>
          <w:spacing w:val="-11"/>
          <w:w w:val="105"/>
          <w:sz w:val="23"/>
        </w:rPr>
        <w:t> </w:t>
      </w:r>
      <w:r>
        <w:rPr>
          <w:color w:val="525252"/>
          <w:w w:val="105"/>
          <w:sz w:val="23"/>
        </w:rPr>
        <w:t>p</w:t>
      </w:r>
      <w:r>
        <w:rPr>
          <w:color w:val="7E7C80"/>
          <w:w w:val="105"/>
          <w:sz w:val="23"/>
        </w:rPr>
        <w:t>l</w:t>
      </w:r>
      <w:r>
        <w:rPr>
          <w:color w:val="525252"/>
          <w:w w:val="105"/>
          <w:sz w:val="23"/>
        </w:rPr>
        <w:t>ace </w:t>
      </w:r>
      <w:r>
        <w:rPr>
          <w:color w:val="3F3F3F"/>
          <w:w w:val="105"/>
          <w:sz w:val="23"/>
        </w:rPr>
        <w:t>th</w:t>
      </w:r>
      <w:r>
        <w:rPr>
          <w:color w:val="6B6B69"/>
          <w:w w:val="105"/>
          <w:sz w:val="23"/>
        </w:rPr>
        <w:t>e</w:t>
      </w:r>
      <w:r>
        <w:rPr>
          <w:color w:val="6B6B69"/>
          <w:spacing w:val="-7"/>
          <w:w w:val="105"/>
          <w:sz w:val="23"/>
        </w:rPr>
        <w:t> </w:t>
      </w:r>
      <w:r>
        <w:rPr>
          <w:color w:val="6B6B69"/>
          <w:w w:val="105"/>
          <w:sz w:val="23"/>
        </w:rPr>
        <w:t>instit</w:t>
      </w:r>
      <w:r>
        <w:rPr>
          <w:color w:val="2D2D2D"/>
          <w:w w:val="105"/>
          <w:sz w:val="23"/>
        </w:rPr>
        <w:t>ut</w:t>
      </w:r>
      <w:r>
        <w:rPr>
          <w:color w:val="525252"/>
          <w:w w:val="105"/>
          <w:sz w:val="23"/>
        </w:rPr>
        <w:t>ion </w:t>
      </w:r>
      <w:r>
        <w:rPr>
          <w:color w:val="3F3F3F"/>
          <w:w w:val="105"/>
          <w:sz w:val="23"/>
        </w:rPr>
        <w:t>on</w:t>
      </w:r>
      <w:r>
        <w:rPr>
          <w:color w:val="3F3F3F"/>
          <w:spacing w:val="-21"/>
          <w:w w:val="105"/>
          <w:sz w:val="23"/>
        </w:rPr>
        <w:t> </w:t>
      </w:r>
      <w:r>
        <w:rPr>
          <w:color w:val="525252"/>
          <w:w w:val="105"/>
          <w:sz w:val="23"/>
        </w:rPr>
        <w:t>Probation</w:t>
      </w:r>
      <w:r>
        <w:rPr>
          <w:color w:val="2D2D2D"/>
          <w:w w:val="105"/>
          <w:sz w:val="23"/>
        </w:rPr>
        <w:t>.</w:t>
      </w:r>
      <w:r>
        <w:rPr>
          <w:color w:val="2D2D2D"/>
          <w:spacing w:val="40"/>
          <w:w w:val="105"/>
          <w:sz w:val="23"/>
        </w:rPr>
        <w:t> </w:t>
      </w:r>
      <w:r>
        <w:rPr>
          <w:color w:val="3F3F3F"/>
          <w:w w:val="105"/>
          <w:sz w:val="23"/>
        </w:rPr>
        <w:t>If</w:t>
      </w:r>
      <w:r>
        <w:rPr>
          <w:color w:val="3F3F3F"/>
          <w:spacing w:val="22"/>
          <w:w w:val="105"/>
          <w:sz w:val="23"/>
        </w:rPr>
        <w:t> </w:t>
      </w:r>
      <w:r>
        <w:rPr>
          <w:color w:val="2D2D2D"/>
          <w:w w:val="105"/>
          <w:sz w:val="23"/>
        </w:rPr>
        <w:t>the</w:t>
      </w:r>
      <w:r>
        <w:rPr>
          <w:color w:val="2D2D2D"/>
          <w:spacing w:val="-20"/>
          <w:w w:val="105"/>
          <w:sz w:val="23"/>
        </w:rPr>
        <w:t> </w:t>
      </w:r>
      <w:r>
        <w:rPr>
          <w:color w:val="525252"/>
          <w:w w:val="105"/>
          <w:sz w:val="23"/>
        </w:rPr>
        <w:t>Co</w:t>
      </w:r>
      <w:r>
        <w:rPr>
          <w:color w:val="2D2D2D"/>
          <w:w w:val="105"/>
          <w:sz w:val="23"/>
        </w:rPr>
        <w:t>m</w:t>
      </w:r>
      <w:r>
        <w:rPr>
          <w:color w:val="525252"/>
          <w:w w:val="105"/>
          <w:sz w:val="23"/>
        </w:rPr>
        <w:t>miss</w:t>
      </w:r>
      <w:r>
        <w:rPr>
          <w:color w:val="151515"/>
          <w:w w:val="105"/>
          <w:sz w:val="23"/>
        </w:rPr>
        <w:t>i</w:t>
      </w:r>
      <w:r>
        <w:rPr>
          <w:color w:val="2D2D2D"/>
          <w:w w:val="105"/>
          <w:sz w:val="23"/>
        </w:rPr>
        <w:t>on</w:t>
      </w:r>
      <w:r>
        <w:rPr>
          <w:color w:val="2D2D2D"/>
          <w:spacing w:val="-15"/>
          <w:w w:val="105"/>
          <w:sz w:val="23"/>
        </w:rPr>
        <w:t> </w:t>
      </w:r>
      <w:r>
        <w:rPr>
          <w:color w:val="2D2D2D"/>
          <w:w w:val="105"/>
          <w:sz w:val="23"/>
        </w:rPr>
        <w:t>d</w:t>
      </w:r>
      <w:r>
        <w:rPr>
          <w:color w:val="525252"/>
          <w:w w:val="105"/>
          <w:sz w:val="23"/>
        </w:rPr>
        <w:t>oes</w:t>
      </w:r>
      <w:r>
        <w:rPr>
          <w:color w:val="525252"/>
          <w:spacing w:val="-10"/>
          <w:w w:val="105"/>
          <w:sz w:val="23"/>
        </w:rPr>
        <w:t> </w:t>
      </w:r>
      <w:r>
        <w:rPr>
          <w:color w:val="525252"/>
          <w:w w:val="105"/>
          <w:sz w:val="23"/>
        </w:rPr>
        <w:t>not </w:t>
      </w:r>
      <w:r>
        <w:rPr>
          <w:color w:val="6B6B69"/>
          <w:w w:val="105"/>
          <w:sz w:val="23"/>
        </w:rPr>
        <w:t>dete</w:t>
      </w:r>
      <w:r>
        <w:rPr>
          <w:color w:val="3F3F3F"/>
          <w:w w:val="105"/>
          <w:sz w:val="23"/>
        </w:rPr>
        <w:t>rmine good</w:t>
      </w:r>
      <w:r>
        <w:rPr>
          <w:color w:val="3F3F3F"/>
          <w:spacing w:val="-20"/>
          <w:w w:val="105"/>
          <w:sz w:val="23"/>
        </w:rPr>
        <w:t> </w:t>
      </w:r>
      <w:r>
        <w:rPr>
          <w:color w:val="525252"/>
          <w:w w:val="105"/>
          <w:sz w:val="23"/>
        </w:rPr>
        <w:t>ca</w:t>
      </w:r>
      <w:r>
        <w:rPr>
          <w:color w:val="2D2D2D"/>
          <w:w w:val="105"/>
          <w:sz w:val="23"/>
        </w:rPr>
        <w:t>u</w:t>
      </w:r>
      <w:r>
        <w:rPr>
          <w:color w:val="525252"/>
          <w:w w:val="105"/>
          <w:sz w:val="23"/>
        </w:rPr>
        <w:t>se</w:t>
      </w:r>
      <w:r>
        <w:rPr>
          <w:color w:val="2D2D2D"/>
          <w:w w:val="105"/>
          <w:sz w:val="23"/>
        </w:rPr>
        <w:t>, the</w:t>
      </w:r>
      <w:r>
        <w:rPr>
          <w:color w:val="2D2D2D"/>
          <w:spacing w:val="-20"/>
          <w:w w:val="105"/>
          <w:sz w:val="23"/>
        </w:rPr>
        <w:t> </w:t>
      </w:r>
      <w:r>
        <w:rPr>
          <w:color w:val="6B6B69"/>
          <w:w w:val="105"/>
          <w:sz w:val="23"/>
        </w:rPr>
        <w:t>i</w:t>
      </w:r>
      <w:r>
        <w:rPr>
          <w:color w:val="2D2D2D"/>
          <w:w w:val="105"/>
          <w:sz w:val="23"/>
        </w:rPr>
        <w:t>ns</w:t>
      </w:r>
      <w:r>
        <w:rPr>
          <w:color w:val="525252"/>
          <w:w w:val="105"/>
          <w:sz w:val="23"/>
        </w:rPr>
        <w:t>ti</w:t>
      </w:r>
      <w:r>
        <w:rPr>
          <w:color w:val="2D2D2D"/>
          <w:w w:val="105"/>
          <w:sz w:val="23"/>
        </w:rPr>
        <w:t>t</w:t>
      </w:r>
      <w:r>
        <w:rPr>
          <w:color w:val="151515"/>
          <w:w w:val="105"/>
          <w:sz w:val="23"/>
        </w:rPr>
        <w:t>u</w:t>
      </w:r>
      <w:r>
        <w:rPr>
          <w:color w:val="3F3F3F"/>
          <w:w w:val="105"/>
          <w:sz w:val="23"/>
        </w:rPr>
        <w:t>tion</w:t>
      </w:r>
      <w:r>
        <w:rPr>
          <w:color w:val="3F3F3F"/>
          <w:spacing w:val="-20"/>
          <w:w w:val="105"/>
          <w:sz w:val="23"/>
        </w:rPr>
        <w:t> </w:t>
      </w:r>
      <w:r>
        <w:rPr>
          <w:color w:val="525252"/>
          <w:w w:val="105"/>
          <w:sz w:val="23"/>
        </w:rPr>
        <w:t>mus</w:t>
      </w:r>
      <w:r>
        <w:rPr>
          <w:color w:val="2D2D2D"/>
          <w:w w:val="105"/>
          <w:sz w:val="23"/>
        </w:rPr>
        <w:t>t</w:t>
      </w:r>
      <w:r>
        <w:rPr>
          <w:color w:val="2D2D2D"/>
          <w:spacing w:val="-18"/>
          <w:w w:val="105"/>
          <w:sz w:val="23"/>
        </w:rPr>
        <w:t> </w:t>
      </w:r>
      <w:r>
        <w:rPr>
          <w:color w:val="3F3F3F"/>
          <w:w w:val="105"/>
          <w:sz w:val="23"/>
        </w:rPr>
        <w:t>be</w:t>
      </w:r>
      <w:r>
        <w:rPr>
          <w:color w:val="3F3F3F"/>
          <w:spacing w:val="-5"/>
          <w:w w:val="105"/>
          <w:sz w:val="23"/>
        </w:rPr>
        <w:t> </w:t>
      </w:r>
      <w:r>
        <w:rPr>
          <w:color w:val="3F3F3F"/>
          <w:w w:val="105"/>
          <w:sz w:val="23"/>
        </w:rPr>
        <w:t>removed </w:t>
      </w:r>
      <w:r>
        <w:rPr>
          <w:color w:val="525252"/>
          <w:w w:val="105"/>
          <w:sz w:val="23"/>
        </w:rPr>
        <w:t>from</w:t>
      </w:r>
      <w:r>
        <w:rPr>
          <w:color w:val="525252"/>
          <w:spacing w:val="-7"/>
          <w:w w:val="105"/>
          <w:sz w:val="23"/>
        </w:rPr>
        <w:t> </w:t>
      </w:r>
      <w:r>
        <w:rPr>
          <w:color w:val="525252"/>
          <w:w w:val="105"/>
          <w:sz w:val="23"/>
        </w:rPr>
        <w:t>membership. </w:t>
      </w:r>
      <w:r>
        <w:rPr>
          <w:i/>
          <w:color w:val="525252"/>
          <w:w w:val="105"/>
          <w:sz w:val="23"/>
        </w:rPr>
        <w:t>(</w:t>
      </w:r>
      <w:r>
        <w:rPr>
          <w:i/>
          <w:color w:val="2D2D2D"/>
          <w:w w:val="105"/>
          <w:sz w:val="23"/>
        </w:rPr>
        <w:t>S</w:t>
      </w:r>
      <w:r>
        <w:rPr>
          <w:i/>
          <w:color w:val="525252"/>
          <w:w w:val="105"/>
          <w:sz w:val="23"/>
        </w:rPr>
        <w:t>ee</w:t>
      </w:r>
    </w:p>
    <w:p>
      <w:pPr>
        <w:spacing w:line="206" w:lineRule="auto" w:before="35"/>
        <w:ind w:left="191" w:right="642" w:hanging="1"/>
        <w:jc w:val="left"/>
        <w:rPr>
          <w:i/>
          <w:sz w:val="23"/>
        </w:rPr>
      </w:pPr>
      <w:r>
        <w:rPr>
          <w:i/>
          <w:color w:val="525252"/>
          <w:sz w:val="23"/>
        </w:rPr>
        <w:t>enclosed Commission </w:t>
      </w:r>
      <w:r>
        <w:rPr>
          <w:i/>
          <w:color w:val="2D2D2D"/>
          <w:sz w:val="23"/>
        </w:rPr>
        <w:t>p</w:t>
      </w:r>
      <w:r>
        <w:rPr>
          <w:i/>
          <w:color w:val="525252"/>
          <w:sz w:val="23"/>
        </w:rPr>
        <w:t>olicy "Sanctio</w:t>
      </w:r>
      <w:r>
        <w:rPr>
          <w:i/>
          <w:color w:val="2D2D2D"/>
          <w:sz w:val="23"/>
        </w:rPr>
        <w:t>ns</w:t>
      </w:r>
      <w:r>
        <w:rPr>
          <w:i/>
          <w:color w:val="525252"/>
          <w:sz w:val="23"/>
        </w:rPr>
        <w:t>, </w:t>
      </w:r>
      <w:r>
        <w:rPr>
          <w:i/>
          <w:color w:val="3F3F3F"/>
          <w:sz w:val="23"/>
        </w:rPr>
        <w:t>Denial </w:t>
      </w:r>
      <w:r>
        <w:rPr>
          <w:i/>
          <w:color w:val="525252"/>
          <w:sz w:val="23"/>
        </w:rPr>
        <w:t>of </w:t>
      </w:r>
      <w:r>
        <w:rPr>
          <w:i/>
          <w:color w:val="3F3F3F"/>
          <w:sz w:val="23"/>
        </w:rPr>
        <w:t>Reaffirmation</w:t>
      </w:r>
      <w:r>
        <w:rPr>
          <w:i/>
          <w:color w:val="151515"/>
          <w:sz w:val="23"/>
        </w:rPr>
        <w:t>, </w:t>
      </w:r>
      <w:r>
        <w:rPr>
          <w:i/>
          <w:color w:val="3F3F3F"/>
          <w:sz w:val="23"/>
        </w:rPr>
        <w:t>and Removal</w:t>
      </w:r>
      <w:r>
        <w:rPr>
          <w:i/>
          <w:color w:val="3F3F3F"/>
          <w:spacing w:val="-1"/>
          <w:sz w:val="23"/>
        </w:rPr>
        <w:t> </w:t>
      </w:r>
      <w:r>
        <w:rPr>
          <w:i/>
          <w:color w:val="525252"/>
          <w:sz w:val="23"/>
        </w:rPr>
        <w:t>from </w:t>
      </w:r>
      <w:r>
        <w:rPr>
          <w:i/>
          <w:color w:val="525252"/>
          <w:spacing w:val="-2"/>
          <w:w w:val="105"/>
          <w:sz w:val="23"/>
        </w:rPr>
        <w:t>Mem</w:t>
      </w:r>
      <w:r>
        <w:rPr>
          <w:i/>
          <w:color w:val="2D2D2D"/>
          <w:spacing w:val="-2"/>
          <w:w w:val="105"/>
          <w:sz w:val="23"/>
        </w:rPr>
        <w:t>b</w:t>
      </w:r>
      <w:r>
        <w:rPr>
          <w:i/>
          <w:color w:val="525252"/>
          <w:spacing w:val="-2"/>
          <w:w w:val="105"/>
          <w:sz w:val="23"/>
        </w:rPr>
        <w:t>ership</w:t>
      </w:r>
      <w:r>
        <w:rPr>
          <w:i/>
          <w:color w:val="2D2D2D"/>
          <w:spacing w:val="-2"/>
          <w:w w:val="105"/>
          <w:sz w:val="23"/>
        </w:rPr>
        <w:t>.</w:t>
      </w:r>
      <w:r>
        <w:rPr>
          <w:i/>
          <w:color w:val="525252"/>
          <w:spacing w:val="-2"/>
          <w:w w:val="105"/>
          <w:sz w:val="23"/>
        </w:rPr>
        <w:t>")</w:t>
      </w:r>
    </w:p>
    <w:p>
      <w:pPr>
        <w:pStyle w:val="BodyText"/>
        <w:spacing w:before="7"/>
        <w:rPr>
          <w:i/>
          <w:sz w:val="29"/>
        </w:rPr>
      </w:pPr>
    </w:p>
    <w:p>
      <w:pPr>
        <w:spacing w:line="220" w:lineRule="auto" w:before="0"/>
        <w:ind w:left="172" w:right="1205" w:firstLine="12"/>
        <w:jc w:val="left"/>
        <w:rPr>
          <w:sz w:val="23"/>
        </w:rPr>
      </w:pPr>
      <w:r>
        <w:rPr>
          <w:color w:val="525252"/>
          <w:sz w:val="23"/>
        </w:rPr>
        <w:t>We app</w:t>
      </w:r>
      <w:r>
        <w:rPr>
          <w:color w:val="7E7C80"/>
          <w:sz w:val="23"/>
        </w:rPr>
        <w:t>re</w:t>
      </w:r>
      <w:r>
        <w:rPr>
          <w:color w:val="525252"/>
          <w:sz w:val="23"/>
        </w:rPr>
        <w:t>cia</w:t>
      </w:r>
      <w:r>
        <w:rPr>
          <w:color w:val="151515"/>
          <w:sz w:val="23"/>
        </w:rPr>
        <w:t>t</w:t>
      </w:r>
      <w:r>
        <w:rPr>
          <w:color w:val="6B6B69"/>
          <w:sz w:val="23"/>
        </w:rPr>
        <w:t>e</w:t>
      </w:r>
      <w:r>
        <w:rPr>
          <w:color w:val="6B6B69"/>
          <w:spacing w:val="36"/>
          <w:sz w:val="23"/>
        </w:rPr>
        <w:t> </w:t>
      </w:r>
      <w:r>
        <w:rPr>
          <w:color w:val="3F3F3F"/>
          <w:sz w:val="23"/>
        </w:rPr>
        <w:t>your </w:t>
      </w:r>
      <w:r>
        <w:rPr>
          <w:color w:val="525252"/>
          <w:sz w:val="23"/>
        </w:rPr>
        <w:t>cont</w:t>
      </w:r>
      <w:r>
        <w:rPr>
          <w:color w:val="7E7C80"/>
          <w:sz w:val="23"/>
        </w:rPr>
        <w:t>i</w:t>
      </w:r>
      <w:r>
        <w:rPr>
          <w:color w:val="525252"/>
          <w:sz w:val="23"/>
        </w:rPr>
        <w:t>nued</w:t>
      </w:r>
      <w:r>
        <w:rPr>
          <w:color w:val="525252"/>
          <w:spacing w:val="32"/>
          <w:sz w:val="23"/>
        </w:rPr>
        <w:t> </w:t>
      </w:r>
      <w:r>
        <w:rPr>
          <w:color w:val="6B6B69"/>
          <w:sz w:val="23"/>
        </w:rPr>
        <w:t>supp9</w:t>
      </w:r>
      <w:r>
        <w:rPr>
          <w:color w:val="2D2D2D"/>
          <w:sz w:val="23"/>
        </w:rPr>
        <w:t>r1</w:t>
      </w:r>
      <w:r>
        <w:rPr>
          <w:color w:val="525252"/>
          <w:sz w:val="23"/>
        </w:rPr>
        <w:t>of </w:t>
      </w:r>
      <w:r>
        <w:rPr>
          <w:color w:val="2D2D2D"/>
          <w:sz w:val="23"/>
        </w:rPr>
        <w:t>t</w:t>
      </w:r>
      <w:r>
        <w:rPr>
          <w:color w:val="525252"/>
          <w:sz w:val="23"/>
        </w:rPr>
        <w:t>he activit</w:t>
      </w:r>
      <w:r>
        <w:rPr>
          <w:color w:val="2D2D2D"/>
          <w:sz w:val="23"/>
        </w:rPr>
        <w:t>i</w:t>
      </w:r>
      <w:r>
        <w:rPr>
          <w:color w:val="525252"/>
          <w:sz w:val="23"/>
        </w:rPr>
        <w:t>es</w:t>
      </w:r>
      <w:r>
        <w:rPr>
          <w:color w:val="525252"/>
          <w:spacing w:val="26"/>
          <w:sz w:val="23"/>
        </w:rPr>
        <w:t> </w:t>
      </w:r>
      <w:r>
        <w:rPr>
          <w:color w:val="525252"/>
          <w:sz w:val="23"/>
        </w:rPr>
        <w:t>of </w:t>
      </w:r>
      <w:r>
        <w:rPr>
          <w:color w:val="2D2D2D"/>
          <w:sz w:val="23"/>
        </w:rPr>
        <w:t>the</w:t>
      </w:r>
      <w:r>
        <w:rPr>
          <w:color w:val="2D2D2D"/>
          <w:spacing w:val="22"/>
          <w:sz w:val="23"/>
        </w:rPr>
        <w:t> </w:t>
      </w:r>
      <w:r>
        <w:rPr>
          <w:color w:val="3F3F3F"/>
          <w:sz w:val="23"/>
        </w:rPr>
        <w:t>Commissio</w:t>
      </w:r>
      <w:r>
        <w:rPr>
          <w:color w:val="6B6B69"/>
          <w:sz w:val="23"/>
        </w:rPr>
        <w:t>n</w:t>
      </w:r>
      <w:r>
        <w:rPr>
          <w:color w:val="6B6B69"/>
          <w:spacing w:val="30"/>
          <w:sz w:val="23"/>
        </w:rPr>
        <w:t> </w:t>
      </w:r>
      <w:r>
        <w:rPr>
          <w:color w:val="525252"/>
          <w:sz w:val="23"/>
        </w:rPr>
        <w:t>on</w:t>
      </w:r>
      <w:r>
        <w:rPr>
          <w:color w:val="525252"/>
          <w:spacing w:val="-13"/>
          <w:sz w:val="23"/>
        </w:rPr>
        <w:t> </w:t>
      </w:r>
      <w:r>
        <w:rPr>
          <w:color w:val="3F3F3F"/>
          <w:sz w:val="23"/>
        </w:rPr>
        <w:t>Colleges. </w:t>
      </w:r>
      <w:r>
        <w:rPr>
          <w:color w:val="151515"/>
          <w:w w:val="105"/>
          <w:sz w:val="23"/>
        </w:rPr>
        <w:t>I</w:t>
      </w:r>
      <w:r>
        <w:rPr>
          <w:color w:val="2D2D2D"/>
          <w:w w:val="105"/>
          <w:sz w:val="23"/>
        </w:rPr>
        <w:t>f</w:t>
      </w:r>
      <w:r>
        <w:rPr>
          <w:color w:val="2D2D2D"/>
          <w:spacing w:val="-25"/>
          <w:w w:val="105"/>
          <w:sz w:val="23"/>
        </w:rPr>
        <w:t> </w:t>
      </w:r>
      <w:r>
        <w:rPr>
          <w:color w:val="525252"/>
          <w:w w:val="105"/>
          <w:sz w:val="23"/>
        </w:rPr>
        <w:t>you</w:t>
      </w:r>
      <w:r>
        <w:rPr>
          <w:color w:val="525252"/>
          <w:spacing w:val="-31"/>
          <w:w w:val="105"/>
          <w:sz w:val="23"/>
        </w:rPr>
        <w:t> </w:t>
      </w:r>
      <w:r>
        <w:rPr>
          <w:color w:val="6B6B69"/>
          <w:w w:val="105"/>
          <w:sz w:val="23"/>
        </w:rPr>
        <w:t>ha</w:t>
      </w:r>
      <w:r>
        <w:rPr>
          <w:color w:val="3F3F3F"/>
          <w:w w:val="105"/>
          <w:sz w:val="23"/>
        </w:rPr>
        <w:t>ve </w:t>
      </w:r>
      <w:r>
        <w:rPr>
          <w:color w:val="6B6B69"/>
          <w:w w:val="105"/>
          <w:sz w:val="23"/>
        </w:rPr>
        <w:t>q</w:t>
      </w:r>
      <w:r>
        <w:rPr>
          <w:color w:val="3F3F3F"/>
          <w:w w:val="105"/>
          <w:sz w:val="23"/>
        </w:rPr>
        <w:t>uestio</w:t>
      </w:r>
      <w:r>
        <w:rPr>
          <w:color w:val="6B6B69"/>
          <w:w w:val="105"/>
          <w:sz w:val="23"/>
        </w:rPr>
        <w:t>ns,</w:t>
      </w:r>
      <w:r>
        <w:rPr>
          <w:color w:val="6B6B69"/>
          <w:spacing w:val="-21"/>
          <w:w w:val="105"/>
          <w:sz w:val="23"/>
        </w:rPr>
        <w:t> </w:t>
      </w:r>
      <w:r>
        <w:rPr>
          <w:color w:val="525252"/>
          <w:w w:val="105"/>
          <w:sz w:val="23"/>
        </w:rPr>
        <w:t>p</w:t>
      </w:r>
      <w:r>
        <w:rPr>
          <w:color w:val="151515"/>
          <w:w w:val="105"/>
          <w:sz w:val="23"/>
        </w:rPr>
        <w:t>l</w:t>
      </w:r>
      <w:r>
        <w:rPr>
          <w:color w:val="6B6B69"/>
          <w:w w:val="105"/>
          <w:sz w:val="23"/>
        </w:rPr>
        <w:t>ease</w:t>
      </w:r>
      <w:r>
        <w:rPr>
          <w:color w:val="6B6B69"/>
          <w:spacing w:val="-1"/>
          <w:w w:val="105"/>
          <w:sz w:val="23"/>
        </w:rPr>
        <w:t> </w:t>
      </w:r>
      <w:r>
        <w:rPr>
          <w:color w:val="3F3F3F"/>
          <w:w w:val="105"/>
          <w:sz w:val="23"/>
        </w:rPr>
        <w:t>co</w:t>
      </w:r>
      <w:r>
        <w:rPr>
          <w:color w:val="6B6B69"/>
          <w:w w:val="105"/>
          <w:sz w:val="23"/>
        </w:rPr>
        <w:t>n</w:t>
      </w:r>
      <w:r>
        <w:rPr>
          <w:color w:val="3F3F3F"/>
          <w:w w:val="105"/>
          <w:sz w:val="23"/>
        </w:rPr>
        <w:t>tact </w:t>
      </w:r>
      <w:r>
        <w:rPr>
          <w:color w:val="6B6B69"/>
          <w:w w:val="105"/>
          <w:sz w:val="23"/>
        </w:rPr>
        <w:t>the</w:t>
      </w:r>
      <w:r>
        <w:rPr>
          <w:color w:val="6B6B69"/>
          <w:spacing w:val="-21"/>
          <w:w w:val="105"/>
          <w:sz w:val="23"/>
        </w:rPr>
        <w:t> </w:t>
      </w:r>
      <w:r>
        <w:rPr>
          <w:color w:val="525252"/>
          <w:w w:val="105"/>
          <w:sz w:val="23"/>
        </w:rPr>
        <w:t>Co</w:t>
      </w:r>
      <w:r>
        <w:rPr>
          <w:color w:val="2D2D2D"/>
          <w:w w:val="105"/>
          <w:sz w:val="23"/>
        </w:rPr>
        <w:t>m</w:t>
      </w:r>
      <w:r>
        <w:rPr>
          <w:color w:val="525252"/>
          <w:w w:val="105"/>
          <w:sz w:val="23"/>
        </w:rPr>
        <w:t>miss</w:t>
      </w:r>
      <w:r>
        <w:rPr>
          <w:color w:val="7E7C80"/>
          <w:w w:val="105"/>
          <w:sz w:val="23"/>
        </w:rPr>
        <w:t>i</w:t>
      </w:r>
      <w:r>
        <w:rPr>
          <w:color w:val="3F3F3F"/>
          <w:w w:val="105"/>
          <w:sz w:val="23"/>
        </w:rPr>
        <w:t>on </w:t>
      </w:r>
      <w:r>
        <w:rPr>
          <w:color w:val="2D2D2D"/>
          <w:w w:val="105"/>
          <w:sz w:val="23"/>
        </w:rPr>
        <w:t>st</w:t>
      </w:r>
      <w:r>
        <w:rPr>
          <w:color w:val="525252"/>
          <w:w w:val="105"/>
          <w:sz w:val="23"/>
        </w:rPr>
        <w:t>aff</w:t>
      </w:r>
      <w:r>
        <w:rPr>
          <w:color w:val="525252"/>
          <w:spacing w:val="-6"/>
          <w:w w:val="105"/>
          <w:sz w:val="23"/>
        </w:rPr>
        <w:t> </w:t>
      </w:r>
      <w:r>
        <w:rPr>
          <w:color w:val="3F3F3F"/>
          <w:w w:val="105"/>
          <w:sz w:val="23"/>
        </w:rPr>
        <w:t>member</w:t>
      </w:r>
      <w:r>
        <w:rPr>
          <w:color w:val="3F3F3F"/>
          <w:spacing w:val="-8"/>
          <w:w w:val="105"/>
          <w:sz w:val="23"/>
        </w:rPr>
        <w:t> </w:t>
      </w:r>
      <w:r>
        <w:rPr>
          <w:color w:val="525252"/>
          <w:w w:val="105"/>
          <w:sz w:val="23"/>
        </w:rPr>
        <w:t>assigned</w:t>
      </w:r>
      <w:r>
        <w:rPr>
          <w:color w:val="525252"/>
          <w:spacing w:val="-7"/>
          <w:w w:val="105"/>
          <w:sz w:val="23"/>
        </w:rPr>
        <w:t> </w:t>
      </w:r>
      <w:r>
        <w:rPr>
          <w:color w:val="3F3F3F"/>
          <w:w w:val="105"/>
          <w:sz w:val="23"/>
        </w:rPr>
        <w:t>to</w:t>
      </w:r>
      <w:r>
        <w:rPr>
          <w:color w:val="3F3F3F"/>
          <w:spacing w:val="-4"/>
          <w:w w:val="105"/>
          <w:sz w:val="23"/>
        </w:rPr>
        <w:t> </w:t>
      </w:r>
      <w:r>
        <w:rPr>
          <w:color w:val="525252"/>
          <w:w w:val="105"/>
          <w:sz w:val="23"/>
        </w:rPr>
        <w:t>yo</w:t>
      </w:r>
      <w:r>
        <w:rPr>
          <w:color w:val="2D2D2D"/>
          <w:w w:val="105"/>
          <w:sz w:val="23"/>
        </w:rPr>
        <w:t>u</w:t>
      </w:r>
      <w:r>
        <w:rPr>
          <w:color w:val="525252"/>
          <w:w w:val="105"/>
          <w:sz w:val="23"/>
        </w:rPr>
        <w:t>r </w:t>
      </w:r>
      <w:r>
        <w:rPr>
          <w:color w:val="2D2D2D"/>
          <w:spacing w:val="-2"/>
          <w:w w:val="105"/>
          <w:sz w:val="23"/>
        </w:rPr>
        <w:t>i</w:t>
      </w:r>
      <w:r>
        <w:rPr>
          <w:color w:val="6B6B69"/>
          <w:spacing w:val="-2"/>
          <w:w w:val="105"/>
          <w:sz w:val="23"/>
        </w:rPr>
        <w:t>nstit</w:t>
      </w:r>
      <w:r>
        <w:rPr>
          <w:color w:val="2D2D2D"/>
          <w:spacing w:val="-2"/>
          <w:w w:val="105"/>
          <w:sz w:val="23"/>
        </w:rPr>
        <w:t>uti</w:t>
      </w:r>
      <w:r>
        <w:rPr>
          <w:color w:val="525252"/>
          <w:spacing w:val="-2"/>
          <w:w w:val="105"/>
          <w:sz w:val="23"/>
        </w:rPr>
        <w:t>on.</w:t>
      </w:r>
    </w:p>
    <w:p>
      <w:pPr>
        <w:pStyle w:val="BodyText"/>
        <w:spacing w:before="11"/>
        <w:rPr>
          <w:sz w:val="29"/>
        </w:rPr>
      </w:pPr>
    </w:p>
    <w:p>
      <w:pPr>
        <w:tabs>
          <w:tab w:pos="1455" w:val="left" w:leader="none"/>
        </w:tabs>
        <w:spacing w:before="0"/>
        <w:ind w:left="162" w:right="0" w:firstLine="0"/>
        <w:jc w:val="left"/>
        <w:rPr>
          <w:sz w:val="66"/>
        </w:rPr>
      </w:pPr>
      <w:r>
        <w:rPr>
          <w:color w:val="525252"/>
          <w:spacing w:val="-10"/>
          <w:w w:val="95"/>
          <w:sz w:val="33"/>
        </w:rPr>
        <w:t>s</w:t>
      </w:r>
      <w:r>
        <w:rPr>
          <w:color w:val="525252"/>
          <w:sz w:val="33"/>
        </w:rPr>
        <w:tab/>
      </w:r>
      <w:r>
        <w:rPr>
          <w:color w:val="525252"/>
          <w:w w:val="75"/>
          <w:sz w:val="66"/>
        </w:rPr>
        <w:t>//if-</w:t>
      </w:r>
      <w:r>
        <w:rPr>
          <w:color w:val="525252"/>
          <w:spacing w:val="-2"/>
          <w:w w:val="85"/>
          <w:sz w:val="66"/>
        </w:rPr>
        <w:t>/&amp;,,_,</w:t>
      </w:r>
    </w:p>
    <w:p>
      <w:pPr>
        <w:spacing w:line="235" w:lineRule="auto" w:before="259"/>
        <w:ind w:left="139" w:right="7714" w:firstLine="16"/>
        <w:jc w:val="left"/>
        <w:rPr>
          <w:sz w:val="23"/>
        </w:rPr>
      </w:pPr>
      <w:r>
        <w:rPr>
          <w:color w:val="3F3F3F"/>
          <w:w w:val="105"/>
          <w:sz w:val="23"/>
        </w:rPr>
        <w:t>Belle</w:t>
      </w:r>
      <w:r>
        <w:rPr>
          <w:color w:val="3F3F3F"/>
          <w:spacing w:val="-17"/>
          <w:w w:val="105"/>
          <w:sz w:val="23"/>
        </w:rPr>
        <w:t> </w:t>
      </w:r>
      <w:r>
        <w:rPr>
          <w:color w:val="3F3F3F"/>
          <w:w w:val="105"/>
          <w:sz w:val="23"/>
        </w:rPr>
        <w:t>S</w:t>
      </w:r>
      <w:r>
        <w:rPr>
          <w:color w:val="7E7C80"/>
          <w:w w:val="105"/>
          <w:sz w:val="23"/>
        </w:rPr>
        <w:t>.</w:t>
      </w:r>
      <w:r>
        <w:rPr>
          <w:color w:val="7E7C80"/>
          <w:spacing w:val="-26"/>
          <w:w w:val="105"/>
          <w:sz w:val="23"/>
        </w:rPr>
        <w:t> </w:t>
      </w:r>
      <w:r>
        <w:rPr>
          <w:color w:val="3F3F3F"/>
          <w:w w:val="105"/>
          <w:sz w:val="23"/>
        </w:rPr>
        <w:t>Wheelan,</w:t>
      </w:r>
      <w:r>
        <w:rPr>
          <w:color w:val="3F3F3F"/>
          <w:spacing w:val="-17"/>
          <w:w w:val="105"/>
          <w:sz w:val="23"/>
        </w:rPr>
        <w:t> </w:t>
      </w:r>
      <w:r>
        <w:rPr>
          <w:color w:val="3F3F3F"/>
          <w:w w:val="105"/>
          <w:sz w:val="23"/>
        </w:rPr>
        <w:t>P</w:t>
      </w:r>
      <w:r>
        <w:rPr>
          <w:color w:val="6B6B69"/>
          <w:w w:val="105"/>
          <w:sz w:val="23"/>
        </w:rPr>
        <w:t>h.D</w:t>
      </w:r>
      <w:r>
        <w:rPr>
          <w:color w:val="2D2D2D"/>
          <w:w w:val="105"/>
          <w:sz w:val="23"/>
        </w:rPr>
        <w:t>. </w:t>
      </w:r>
      <w:r>
        <w:rPr>
          <w:color w:val="525252"/>
          <w:spacing w:val="-2"/>
          <w:w w:val="105"/>
          <w:sz w:val="23"/>
        </w:rPr>
        <w:t>Pres</w:t>
      </w:r>
      <w:r>
        <w:rPr>
          <w:color w:val="7E7C80"/>
          <w:spacing w:val="-2"/>
          <w:w w:val="105"/>
          <w:sz w:val="23"/>
        </w:rPr>
        <w:t>i</w:t>
      </w:r>
      <w:r>
        <w:rPr>
          <w:color w:val="525252"/>
          <w:spacing w:val="-2"/>
          <w:w w:val="105"/>
          <w:sz w:val="23"/>
        </w:rPr>
        <w:t>dent</w:t>
      </w:r>
    </w:p>
    <w:p>
      <w:pPr>
        <w:spacing w:line="484" w:lineRule="auto" w:before="11"/>
        <w:ind w:left="146" w:right="7005" w:hanging="1"/>
        <w:jc w:val="left"/>
        <w:rPr>
          <w:sz w:val="23"/>
        </w:rPr>
      </w:pPr>
      <w:r>
        <w:rPr>
          <w:color w:val="525252"/>
          <w:sz w:val="23"/>
        </w:rPr>
        <w:t>Co</w:t>
      </w:r>
      <w:r>
        <w:rPr>
          <w:color w:val="2D2D2D"/>
          <w:sz w:val="23"/>
        </w:rPr>
        <w:t>m</w:t>
      </w:r>
      <w:r>
        <w:rPr>
          <w:color w:val="6B6B69"/>
          <w:sz w:val="23"/>
        </w:rPr>
        <w:t>m</w:t>
      </w:r>
      <w:r>
        <w:rPr>
          <w:color w:val="3F3F3F"/>
          <w:sz w:val="23"/>
        </w:rPr>
        <w:t>i</w:t>
      </w:r>
      <w:r>
        <w:rPr>
          <w:color w:val="6B6B69"/>
          <w:sz w:val="23"/>
        </w:rPr>
        <w:t>ssion</w:t>
      </w:r>
      <w:r>
        <w:rPr>
          <w:color w:val="6B6B69"/>
          <w:spacing w:val="-11"/>
          <w:sz w:val="23"/>
        </w:rPr>
        <w:t> </w:t>
      </w:r>
      <w:r>
        <w:rPr>
          <w:color w:val="525252"/>
          <w:sz w:val="23"/>
        </w:rPr>
        <w:t>on Coll</w:t>
      </w:r>
      <w:r>
        <w:rPr>
          <w:color w:val="7E7C80"/>
          <w:sz w:val="23"/>
        </w:rPr>
        <w:t>e</w:t>
      </w:r>
      <w:r>
        <w:rPr>
          <w:color w:val="525252"/>
          <w:sz w:val="23"/>
        </w:rPr>
        <w:t>ges </w:t>
      </w:r>
      <w:r>
        <w:rPr>
          <w:color w:val="525252"/>
          <w:spacing w:val="-2"/>
          <w:sz w:val="23"/>
        </w:rPr>
        <w:t>SSW</w:t>
      </w:r>
      <w:r>
        <w:rPr>
          <w:color w:val="939393"/>
          <w:spacing w:val="-2"/>
          <w:sz w:val="23"/>
        </w:rPr>
        <w:t>.sap</w:t>
      </w:r>
    </w:p>
    <w:p>
      <w:pPr>
        <w:spacing w:line="264" w:lineRule="exact" w:before="0"/>
        <w:ind w:left="123" w:right="0" w:firstLine="0"/>
        <w:jc w:val="left"/>
        <w:rPr>
          <w:sz w:val="23"/>
        </w:rPr>
      </w:pPr>
      <w:r>
        <w:rPr>
          <w:color w:val="525252"/>
          <w:spacing w:val="-2"/>
          <w:sz w:val="23"/>
        </w:rPr>
        <w:t>E</w:t>
      </w:r>
      <w:r>
        <w:rPr>
          <w:color w:val="2D2D2D"/>
          <w:spacing w:val="-2"/>
          <w:sz w:val="23"/>
        </w:rPr>
        <w:t>n</w:t>
      </w:r>
      <w:r>
        <w:rPr>
          <w:color w:val="525252"/>
          <w:spacing w:val="-2"/>
          <w:sz w:val="23"/>
        </w:rPr>
        <w:t>closu</w:t>
      </w:r>
      <w:r>
        <w:rPr>
          <w:color w:val="2D2D2D"/>
          <w:spacing w:val="-2"/>
          <w:sz w:val="23"/>
        </w:rPr>
        <w:t>re</w:t>
      </w:r>
      <w:r>
        <w:rPr>
          <w:color w:val="525252"/>
          <w:spacing w:val="-2"/>
          <w:sz w:val="23"/>
        </w:rPr>
        <w:t>s</w:t>
      </w:r>
    </w:p>
    <w:p>
      <w:pPr>
        <w:pStyle w:val="BodyText"/>
        <w:spacing w:before="8"/>
        <w:rPr>
          <w:sz w:val="24"/>
        </w:rPr>
      </w:pPr>
    </w:p>
    <w:p>
      <w:pPr>
        <w:spacing w:before="0"/>
        <w:ind w:left="117" w:right="0" w:firstLine="0"/>
        <w:jc w:val="left"/>
        <w:rPr>
          <w:sz w:val="23"/>
        </w:rPr>
      </w:pPr>
      <w:r>
        <w:rPr>
          <w:color w:val="525252"/>
          <w:w w:val="105"/>
          <w:sz w:val="23"/>
        </w:rPr>
        <w:t>cc</w:t>
      </w:r>
      <w:r>
        <w:rPr>
          <w:color w:val="7E7C80"/>
          <w:w w:val="105"/>
          <w:sz w:val="23"/>
        </w:rPr>
        <w:t>:</w:t>
      </w:r>
      <w:r>
        <w:rPr>
          <w:color w:val="7E7C80"/>
          <w:spacing w:val="33"/>
          <w:w w:val="105"/>
          <w:sz w:val="23"/>
        </w:rPr>
        <w:t> </w:t>
      </w:r>
      <w:r>
        <w:rPr>
          <w:color w:val="3F3F3F"/>
          <w:w w:val="105"/>
          <w:sz w:val="23"/>
        </w:rPr>
        <w:t>Dr</w:t>
      </w:r>
      <w:r>
        <w:rPr>
          <w:color w:val="151515"/>
          <w:w w:val="105"/>
          <w:sz w:val="23"/>
        </w:rPr>
        <w:t>.</w:t>
      </w:r>
      <w:r>
        <w:rPr>
          <w:color w:val="151515"/>
          <w:spacing w:val="-17"/>
          <w:w w:val="105"/>
          <w:sz w:val="23"/>
        </w:rPr>
        <w:t> </w:t>
      </w:r>
      <w:r>
        <w:rPr>
          <w:color w:val="3F3F3F"/>
          <w:w w:val="105"/>
          <w:sz w:val="23"/>
        </w:rPr>
        <w:t>Rudo</w:t>
      </w:r>
      <w:r>
        <w:rPr>
          <w:color w:val="7E7C80"/>
          <w:w w:val="105"/>
          <w:sz w:val="23"/>
        </w:rPr>
        <w:t>l</w:t>
      </w:r>
      <w:r>
        <w:rPr>
          <w:color w:val="525252"/>
          <w:w w:val="105"/>
          <w:sz w:val="23"/>
        </w:rPr>
        <w:t>ph</w:t>
      </w:r>
      <w:r>
        <w:rPr>
          <w:color w:val="525252"/>
          <w:spacing w:val="-13"/>
          <w:w w:val="105"/>
          <w:sz w:val="23"/>
        </w:rPr>
        <w:t> </w:t>
      </w:r>
      <w:r>
        <w:rPr>
          <w:color w:val="525252"/>
          <w:w w:val="105"/>
          <w:sz w:val="23"/>
        </w:rPr>
        <w:t>S. </w:t>
      </w:r>
      <w:r>
        <w:rPr>
          <w:color w:val="525252"/>
          <w:spacing w:val="-2"/>
          <w:w w:val="105"/>
          <w:sz w:val="23"/>
        </w:rPr>
        <w:t>Jackson</w:t>
      </w:r>
    </w:p>
    <w:p>
      <w:pPr>
        <w:spacing w:after="0"/>
        <w:jc w:val="left"/>
        <w:rPr>
          <w:sz w:val="23"/>
        </w:rPr>
        <w:sectPr>
          <w:headerReference w:type="default" r:id="rId347"/>
          <w:footerReference w:type="default" r:id="rId348"/>
          <w:pgSz w:w="12240" w:h="15840"/>
          <w:pgMar w:header="0" w:footer="0" w:top="980" w:bottom="280" w:left="1000" w:right="820"/>
        </w:sectPr>
      </w:pPr>
    </w:p>
    <w:p>
      <w:pPr>
        <w:pStyle w:val="BodyText"/>
        <w:spacing w:before="4"/>
        <w:rPr>
          <w:sz w:val="17"/>
        </w:rPr>
      </w:pPr>
    </w:p>
    <w:p>
      <w:pPr>
        <w:spacing w:after="0"/>
        <w:rPr>
          <w:sz w:val="17"/>
        </w:rPr>
        <w:sectPr>
          <w:headerReference w:type="default" r:id="rId350"/>
          <w:footerReference w:type="default" r:id="rId351"/>
          <w:pgSz w:w="12240" w:h="15840"/>
          <w:pgMar w:header="0" w:footer="0" w:top="1820" w:bottom="280" w:left="1000" w:right="820"/>
        </w:sectPr>
      </w:pPr>
    </w:p>
    <w:p>
      <w:pPr>
        <w:tabs>
          <w:tab w:pos="8676" w:val="left" w:leader="none"/>
        </w:tabs>
        <w:spacing w:line="240" w:lineRule="auto"/>
        <w:ind w:left="4363" w:right="0" w:firstLine="0"/>
        <w:rPr>
          <w:sz w:val="20"/>
        </w:rPr>
      </w:pPr>
      <w:r>
        <w:rPr>
          <w:sz w:val="20"/>
        </w:rPr>
        <w:drawing>
          <wp:inline distT="0" distB="0" distL="0" distR="0">
            <wp:extent cx="844156" cy="858774"/>
            <wp:effectExtent l="0" t="0" r="0" b="0"/>
            <wp:docPr id="23" name="image14.jpeg"/>
            <wp:cNvGraphicFramePr>
              <a:graphicFrameLocks noChangeAspect="1"/>
            </wp:cNvGraphicFramePr>
            <a:graphic>
              <a:graphicData uri="http://schemas.openxmlformats.org/drawingml/2006/picture">
                <pic:pic>
                  <pic:nvPicPr>
                    <pic:cNvPr id="24" name="image14.jpeg"/>
                    <pic:cNvPicPr/>
                  </pic:nvPicPr>
                  <pic:blipFill>
                    <a:blip r:embed="rId354" cstate="print"/>
                    <a:stretch>
                      <a:fillRect/>
                    </a:stretch>
                  </pic:blipFill>
                  <pic:spPr>
                    <a:xfrm>
                      <a:off x="0" y="0"/>
                      <a:ext cx="844156" cy="858774"/>
                    </a:xfrm>
                    <a:prstGeom prst="rect">
                      <a:avLst/>
                    </a:prstGeom>
                  </pic:spPr>
                </pic:pic>
              </a:graphicData>
            </a:graphic>
          </wp:inline>
        </w:drawing>
      </w:r>
      <w:r>
        <w:rPr>
          <w:sz w:val="20"/>
        </w:rPr>
      </w:r>
      <w:r>
        <w:rPr>
          <w:sz w:val="20"/>
        </w:rPr>
        <w:tab/>
      </w:r>
      <w:r>
        <w:rPr>
          <w:position w:val="56"/>
          <w:sz w:val="20"/>
        </w:rPr>
        <w:drawing>
          <wp:inline distT="0" distB="0" distL="0" distR="0">
            <wp:extent cx="889857" cy="214693"/>
            <wp:effectExtent l="0" t="0" r="0" b="0"/>
            <wp:docPr id="25" name="image15.jpeg"/>
            <wp:cNvGraphicFramePr>
              <a:graphicFrameLocks noChangeAspect="1"/>
            </wp:cNvGraphicFramePr>
            <a:graphic>
              <a:graphicData uri="http://schemas.openxmlformats.org/drawingml/2006/picture">
                <pic:pic>
                  <pic:nvPicPr>
                    <pic:cNvPr id="26" name="image15.jpeg"/>
                    <pic:cNvPicPr/>
                  </pic:nvPicPr>
                  <pic:blipFill>
                    <a:blip r:embed="rId355" cstate="print"/>
                    <a:stretch>
                      <a:fillRect/>
                    </a:stretch>
                  </pic:blipFill>
                  <pic:spPr>
                    <a:xfrm>
                      <a:off x="0" y="0"/>
                      <a:ext cx="889857" cy="214693"/>
                    </a:xfrm>
                    <a:prstGeom prst="rect">
                      <a:avLst/>
                    </a:prstGeom>
                  </pic:spPr>
                </pic:pic>
              </a:graphicData>
            </a:graphic>
          </wp:inline>
        </w:drawing>
      </w:r>
      <w:r>
        <w:rPr>
          <w:position w:val="56"/>
          <w:sz w:val="20"/>
        </w:rPr>
      </w:r>
    </w:p>
    <w:p>
      <w:pPr>
        <w:pStyle w:val="BodyText"/>
        <w:spacing w:before="3"/>
        <w:rPr>
          <w:sz w:val="24"/>
        </w:rPr>
      </w:pPr>
    </w:p>
    <w:p>
      <w:pPr>
        <w:spacing w:before="96"/>
        <w:ind w:left="0" w:right="336" w:firstLine="0"/>
        <w:jc w:val="center"/>
        <w:rPr>
          <w:sz w:val="19"/>
        </w:rPr>
      </w:pPr>
      <w:r>
        <w:rPr/>
        <w:drawing>
          <wp:anchor distT="0" distB="0" distL="0" distR="0" allowOverlap="1" layoutInCell="1" locked="0" behindDoc="1" simplePos="0" relativeHeight="476289024">
            <wp:simplePos x="0" y="0"/>
            <wp:positionH relativeFrom="page">
              <wp:posOffset>5210238</wp:posOffset>
            </wp:positionH>
            <wp:positionV relativeFrom="paragraph">
              <wp:posOffset>108910</wp:posOffset>
            </wp:positionV>
            <wp:extent cx="1794863" cy="1145978"/>
            <wp:effectExtent l="0" t="0" r="0" b="0"/>
            <wp:wrapNone/>
            <wp:docPr id="27" name="image16.jpeg"/>
            <wp:cNvGraphicFramePr>
              <a:graphicFrameLocks noChangeAspect="1"/>
            </wp:cNvGraphicFramePr>
            <a:graphic>
              <a:graphicData uri="http://schemas.openxmlformats.org/drawingml/2006/picture">
                <pic:pic>
                  <pic:nvPicPr>
                    <pic:cNvPr id="28" name="image16.jpeg"/>
                    <pic:cNvPicPr/>
                  </pic:nvPicPr>
                  <pic:blipFill>
                    <a:blip r:embed="rId356" cstate="print"/>
                    <a:stretch>
                      <a:fillRect/>
                    </a:stretch>
                  </pic:blipFill>
                  <pic:spPr>
                    <a:xfrm>
                      <a:off x="0" y="0"/>
                      <a:ext cx="1794863" cy="1145978"/>
                    </a:xfrm>
                    <a:prstGeom prst="rect">
                      <a:avLst/>
                    </a:prstGeom>
                  </pic:spPr>
                </pic:pic>
              </a:graphicData>
            </a:graphic>
          </wp:anchor>
        </w:drawing>
      </w:r>
      <w:r>
        <w:rPr>
          <w:color w:val="333331"/>
          <w:sz w:val="19"/>
        </w:rPr>
        <w:t>SOUTHERN</w:t>
      </w:r>
      <w:r>
        <w:rPr>
          <w:color w:val="333331"/>
          <w:spacing w:val="7"/>
          <w:sz w:val="19"/>
        </w:rPr>
        <w:t> </w:t>
      </w:r>
      <w:r>
        <w:rPr>
          <w:color w:val="333331"/>
          <w:sz w:val="19"/>
        </w:rPr>
        <w:t>ASSOCIATION</w:t>
      </w:r>
      <w:r>
        <w:rPr>
          <w:color w:val="333331"/>
          <w:spacing w:val="26"/>
          <w:sz w:val="19"/>
        </w:rPr>
        <w:t> </w:t>
      </w:r>
      <w:r>
        <w:rPr>
          <w:color w:val="21211F"/>
          <w:sz w:val="19"/>
        </w:rPr>
        <w:t>OF</w:t>
      </w:r>
      <w:r>
        <w:rPr>
          <w:color w:val="21211F"/>
          <w:spacing w:val="-8"/>
          <w:sz w:val="19"/>
        </w:rPr>
        <w:t> </w:t>
      </w:r>
      <w:r>
        <w:rPr>
          <w:color w:val="333331"/>
          <w:sz w:val="19"/>
        </w:rPr>
        <w:t>COLLEGES</w:t>
      </w:r>
      <w:r>
        <w:rPr>
          <w:color w:val="333331"/>
          <w:spacing w:val="-4"/>
          <w:sz w:val="19"/>
        </w:rPr>
        <w:t> </w:t>
      </w:r>
      <w:r>
        <w:rPr>
          <w:color w:val="333331"/>
          <w:sz w:val="19"/>
        </w:rPr>
        <w:t>AND</w:t>
      </w:r>
      <w:r>
        <w:rPr>
          <w:color w:val="333331"/>
          <w:spacing w:val="71"/>
          <w:sz w:val="19"/>
        </w:rPr>
        <w:t> </w:t>
      </w:r>
      <w:r>
        <w:rPr>
          <w:color w:val="424241"/>
          <w:spacing w:val="-2"/>
          <w:sz w:val="19"/>
        </w:rPr>
        <w:t>SCH</w:t>
      </w:r>
      <w:r>
        <w:rPr>
          <w:color w:val="21211F"/>
          <w:spacing w:val="-2"/>
          <w:sz w:val="19"/>
        </w:rPr>
        <w:t>OOLS</w:t>
      </w:r>
    </w:p>
    <w:p>
      <w:pPr>
        <w:tabs>
          <w:tab w:pos="2346" w:val="left" w:leader="none"/>
        </w:tabs>
        <w:spacing w:before="80"/>
        <w:ind w:left="0" w:right="373" w:firstLine="0"/>
        <w:jc w:val="center"/>
        <w:rPr>
          <w:b/>
          <w:sz w:val="20"/>
        </w:rPr>
      </w:pPr>
      <w:r>
        <w:rPr>
          <w:b/>
          <w:color w:val="21211F"/>
          <w:spacing w:val="-2"/>
          <w:w w:val="155"/>
          <w:sz w:val="20"/>
        </w:rPr>
        <w:t>COMM</w:t>
      </w:r>
      <w:r>
        <w:rPr>
          <w:b/>
          <w:color w:val="070707"/>
          <w:spacing w:val="-2"/>
          <w:w w:val="155"/>
          <w:sz w:val="20"/>
        </w:rPr>
        <w:t>I</w:t>
      </w:r>
      <w:r>
        <w:rPr>
          <w:b/>
          <w:color w:val="21211F"/>
          <w:spacing w:val="-2"/>
          <w:w w:val="155"/>
          <w:sz w:val="20"/>
        </w:rPr>
        <w:t>SS</w:t>
      </w:r>
      <w:r>
        <w:rPr>
          <w:b/>
          <w:color w:val="070707"/>
          <w:spacing w:val="-2"/>
          <w:w w:val="155"/>
          <w:sz w:val="20"/>
        </w:rPr>
        <w:t>I</w:t>
      </w:r>
      <w:r>
        <w:rPr>
          <w:b/>
          <w:color w:val="21211F"/>
          <w:spacing w:val="-2"/>
          <w:w w:val="155"/>
          <w:sz w:val="20"/>
        </w:rPr>
        <w:t>ON</w:t>
      </w:r>
      <w:r>
        <w:rPr>
          <w:b/>
          <w:color w:val="21211F"/>
          <w:sz w:val="20"/>
        </w:rPr>
        <w:tab/>
      </w:r>
      <w:r>
        <w:rPr>
          <w:b/>
          <w:color w:val="21211F"/>
          <w:w w:val="155"/>
          <w:sz w:val="20"/>
        </w:rPr>
        <w:t>ON</w:t>
      </w:r>
      <w:r>
        <w:rPr>
          <w:b/>
          <w:color w:val="21211F"/>
          <w:spacing w:val="7"/>
          <w:w w:val="155"/>
          <w:sz w:val="20"/>
        </w:rPr>
        <w:t>  </w:t>
      </w:r>
      <w:r>
        <w:rPr>
          <w:b/>
          <w:color w:val="333331"/>
          <w:spacing w:val="-2"/>
          <w:w w:val="155"/>
          <w:sz w:val="20"/>
        </w:rPr>
        <w:t>COL</w:t>
      </w:r>
      <w:r>
        <w:rPr>
          <w:b/>
          <w:color w:val="070707"/>
          <w:spacing w:val="-2"/>
          <w:w w:val="155"/>
          <w:sz w:val="20"/>
        </w:rPr>
        <w:t>L</w:t>
      </w:r>
      <w:r>
        <w:rPr>
          <w:b/>
          <w:color w:val="21211F"/>
          <w:spacing w:val="-2"/>
          <w:w w:val="155"/>
          <w:sz w:val="20"/>
        </w:rPr>
        <w:t>EGES</w:t>
      </w:r>
    </w:p>
    <w:p>
      <w:pPr>
        <w:spacing w:line="324" w:lineRule="auto" w:before="77"/>
        <w:ind w:left="3048" w:right="3383" w:firstLine="0"/>
        <w:jc w:val="center"/>
        <w:rPr>
          <w:sz w:val="17"/>
        </w:rPr>
      </w:pPr>
      <w:r>
        <w:rPr>
          <w:color w:val="7B7B7B"/>
          <w:sz w:val="17"/>
        </w:rPr>
        <w:t>1866</w:t>
      </w:r>
      <w:r>
        <w:rPr>
          <w:color w:val="7B7B7B"/>
          <w:spacing w:val="-27"/>
          <w:sz w:val="17"/>
        </w:rPr>
        <w:t> </w:t>
      </w:r>
      <w:r>
        <w:rPr>
          <w:color w:val="7B7B7B"/>
          <w:sz w:val="17"/>
        </w:rPr>
        <w:t>So</w:t>
      </w:r>
      <w:r>
        <w:rPr>
          <w:color w:val="333331"/>
          <w:sz w:val="17"/>
        </w:rPr>
        <w:t>u1h</w:t>
      </w:r>
      <w:r>
        <w:rPr>
          <w:color w:val="7B7B7B"/>
          <w:sz w:val="17"/>
        </w:rPr>
        <w:t>em</w:t>
      </w:r>
      <w:r>
        <w:rPr>
          <w:color w:val="7B7B7B"/>
          <w:spacing w:val="-4"/>
          <w:sz w:val="17"/>
        </w:rPr>
        <w:t> </w:t>
      </w:r>
      <w:r>
        <w:rPr>
          <w:color w:val="666666"/>
          <w:sz w:val="17"/>
        </w:rPr>
        <w:t>Lane</w:t>
      </w:r>
      <w:r>
        <w:rPr>
          <w:color w:val="666666"/>
          <w:spacing w:val="-12"/>
          <w:sz w:val="17"/>
        </w:rPr>
        <w:t> </w:t>
      </w:r>
      <w:r>
        <w:rPr>
          <w:color w:val="070707"/>
          <w:sz w:val="17"/>
        </w:rPr>
        <w:t>•</w:t>
      </w:r>
      <w:r>
        <w:rPr>
          <w:color w:val="070707"/>
          <w:spacing w:val="19"/>
          <w:sz w:val="17"/>
        </w:rPr>
        <w:t> </w:t>
      </w:r>
      <w:r>
        <w:rPr>
          <w:color w:val="666666"/>
          <w:sz w:val="17"/>
        </w:rPr>
        <w:t>Oec</w:t>
      </w:r>
      <w:r>
        <w:rPr>
          <w:color w:val="424241"/>
          <w:sz w:val="17"/>
        </w:rPr>
        <w:t>Jl</w:t>
      </w:r>
      <w:r>
        <w:rPr>
          <w:color w:val="7B7B7B"/>
          <w:sz w:val="17"/>
        </w:rPr>
        <w:t>l</w:t>
      </w:r>
      <w:r>
        <w:rPr>
          <w:color w:val="333331"/>
          <w:sz w:val="17"/>
        </w:rPr>
        <w:t>ir</w:t>
      </w:r>
      <w:r>
        <w:rPr>
          <w:color w:val="7B7B7B"/>
          <w:sz w:val="17"/>
        </w:rPr>
        <w:t>,</w:t>
      </w:r>
      <w:r>
        <w:rPr>
          <w:color w:val="7B7B7B"/>
          <w:spacing w:val="-12"/>
          <w:sz w:val="17"/>
        </w:rPr>
        <w:t> </w:t>
      </w:r>
      <w:r>
        <w:rPr>
          <w:color w:val="666666"/>
          <w:sz w:val="17"/>
        </w:rPr>
        <w:t>Georgia</w:t>
      </w:r>
      <w:r>
        <w:rPr>
          <w:color w:val="666666"/>
          <w:spacing w:val="-12"/>
          <w:sz w:val="17"/>
        </w:rPr>
        <w:t> </w:t>
      </w:r>
      <w:r>
        <w:rPr>
          <w:color w:val="666666"/>
          <w:sz w:val="17"/>
        </w:rPr>
        <w:t>30033</w:t>
      </w:r>
      <w:r>
        <w:rPr>
          <w:color w:val="AFAFAF"/>
          <w:sz w:val="17"/>
        </w:rPr>
        <w:t>--</w:t>
      </w:r>
      <w:r>
        <w:rPr>
          <w:color w:val="424241"/>
          <w:sz w:val="17"/>
        </w:rPr>
        <w:t>4</w:t>
      </w:r>
      <w:r>
        <w:rPr>
          <w:color w:val="666666"/>
          <w:sz w:val="17"/>
        </w:rPr>
        <w:t>0</w:t>
      </w:r>
      <w:r>
        <w:rPr>
          <w:color w:val="424241"/>
          <w:sz w:val="17"/>
        </w:rPr>
        <w:t>')</w:t>
      </w:r>
      <w:r>
        <w:rPr>
          <w:color w:val="959595"/>
          <w:sz w:val="17"/>
        </w:rPr>
        <w:t>7 </w:t>
      </w:r>
      <w:r>
        <w:rPr>
          <w:color w:val="7B7B7B"/>
          <w:sz w:val="17"/>
        </w:rPr>
        <w:t>Te</w:t>
      </w:r>
      <w:r>
        <w:rPr>
          <w:color w:val="21211F"/>
          <w:sz w:val="17"/>
        </w:rPr>
        <w:t>l</w:t>
      </w:r>
      <w:r>
        <w:rPr>
          <w:color w:val="7B7B7B"/>
          <w:sz w:val="17"/>
        </w:rPr>
        <w:t>ep</w:t>
      </w:r>
      <w:r>
        <w:rPr>
          <w:color w:val="424241"/>
          <w:sz w:val="17"/>
        </w:rPr>
        <w:t>h</w:t>
      </w:r>
      <w:r>
        <w:rPr>
          <w:color w:val="666666"/>
          <w:sz w:val="17"/>
        </w:rPr>
        <w:t>one </w:t>
      </w:r>
      <w:r>
        <w:rPr>
          <w:color w:val="424241"/>
          <w:sz w:val="17"/>
        </w:rPr>
        <w:t>4</w:t>
      </w:r>
      <w:r>
        <w:rPr>
          <w:color w:val="666666"/>
          <w:sz w:val="17"/>
        </w:rPr>
        <w:t>041679-4500</w:t>
      </w:r>
      <w:r>
        <w:rPr>
          <w:color w:val="666666"/>
          <w:spacing w:val="40"/>
          <w:sz w:val="17"/>
        </w:rPr>
        <w:t> </w:t>
      </w:r>
      <w:r>
        <w:rPr>
          <w:color w:val="545454"/>
          <w:sz w:val="17"/>
        </w:rPr>
        <w:t>f</w:t>
      </w:r>
      <w:r>
        <w:rPr>
          <w:color w:val="7B7B7B"/>
          <w:sz w:val="17"/>
        </w:rPr>
        <w:t>ax </w:t>
      </w:r>
      <w:r>
        <w:rPr>
          <w:color w:val="424241"/>
          <w:sz w:val="17"/>
        </w:rPr>
        <w:t>4</w:t>
      </w:r>
      <w:r>
        <w:rPr>
          <w:color w:val="666666"/>
          <w:sz w:val="17"/>
        </w:rPr>
        <w:t>0</w:t>
      </w:r>
      <w:r>
        <w:rPr>
          <w:color w:val="424241"/>
          <w:sz w:val="17"/>
        </w:rPr>
        <w:t>4</w:t>
      </w:r>
      <w:r>
        <w:rPr>
          <w:color w:val="7B7B7B"/>
          <w:sz w:val="17"/>
        </w:rPr>
        <w:t>1</w:t>
      </w:r>
      <w:r>
        <w:rPr>
          <w:color w:val="545454"/>
          <w:sz w:val="17"/>
        </w:rPr>
        <w:t>67</w:t>
      </w:r>
      <w:r>
        <w:rPr>
          <w:color w:val="7B7B7B"/>
          <w:sz w:val="17"/>
        </w:rPr>
        <w:t>9</w:t>
      </w:r>
      <w:r>
        <w:rPr>
          <w:color w:val="AFAFAF"/>
          <w:sz w:val="17"/>
        </w:rPr>
        <w:t>•</w:t>
      </w:r>
      <w:r>
        <w:rPr>
          <w:color w:val="7B7B7B"/>
          <w:sz w:val="17"/>
        </w:rPr>
        <w:t>4556 </w:t>
      </w:r>
      <w:r>
        <w:rPr>
          <w:color w:val="424241"/>
          <w:spacing w:val="-2"/>
          <w:sz w:val="17"/>
        </w:rPr>
        <w:t>w</w:t>
      </w:r>
      <w:r>
        <w:rPr>
          <w:color w:val="666666"/>
          <w:spacing w:val="-2"/>
          <w:sz w:val="17"/>
        </w:rPr>
        <w:t>ww</w:t>
      </w:r>
      <w:r>
        <w:rPr>
          <w:color w:val="333331"/>
          <w:spacing w:val="-2"/>
          <w:sz w:val="17"/>
        </w:rPr>
        <w:t>.</w:t>
      </w:r>
      <w:r>
        <w:rPr>
          <w:color w:val="545454"/>
          <w:spacing w:val="-2"/>
          <w:sz w:val="17"/>
        </w:rPr>
        <w:t>s</w:t>
      </w:r>
      <w:r>
        <w:rPr>
          <w:color w:val="7B7B7B"/>
          <w:spacing w:val="-2"/>
          <w:sz w:val="17"/>
        </w:rPr>
        <w:t>ac::</w:t>
      </w:r>
      <w:r>
        <w:rPr>
          <w:color w:val="545454"/>
          <w:spacing w:val="-2"/>
          <w:sz w:val="17"/>
        </w:rPr>
        <w:t>s</w:t>
      </w:r>
      <w:r>
        <w:rPr>
          <w:color w:val="7B7B7B"/>
          <w:spacing w:val="-2"/>
          <w:sz w:val="17"/>
        </w:rPr>
        <w:t>coc</w:t>
      </w:r>
      <w:r>
        <w:rPr>
          <w:color w:val="21211F"/>
          <w:spacing w:val="-2"/>
          <w:sz w:val="17"/>
        </w:rPr>
        <w:t>.</w:t>
      </w:r>
      <w:r>
        <w:rPr>
          <w:color w:val="7B7B7B"/>
          <w:spacing w:val="-2"/>
          <w:sz w:val="17"/>
        </w:rPr>
        <w:t>org</w:t>
      </w:r>
    </w:p>
    <w:p>
      <w:pPr>
        <w:pStyle w:val="BodyText"/>
        <w:spacing w:before="7"/>
        <w:rPr>
          <w:sz w:val="14"/>
        </w:rPr>
      </w:pPr>
    </w:p>
    <w:p>
      <w:pPr>
        <w:spacing w:before="1"/>
        <w:ind w:left="0" w:right="326" w:firstLine="0"/>
        <w:jc w:val="center"/>
        <w:rPr>
          <w:sz w:val="21"/>
        </w:rPr>
      </w:pPr>
      <w:r>
        <w:rPr>
          <w:color w:val="21211F"/>
          <w:sz w:val="21"/>
        </w:rPr>
        <w:t>J</w:t>
      </w:r>
      <w:r>
        <w:rPr>
          <w:color w:val="424241"/>
          <w:sz w:val="21"/>
        </w:rPr>
        <w:t>anuary</w:t>
      </w:r>
      <w:r>
        <w:rPr>
          <w:color w:val="424241"/>
          <w:spacing w:val="-8"/>
          <w:sz w:val="21"/>
        </w:rPr>
        <w:t> </w:t>
      </w:r>
      <w:r>
        <w:rPr>
          <w:color w:val="333331"/>
          <w:sz w:val="21"/>
        </w:rPr>
        <w:t>12,</w:t>
      </w:r>
      <w:r>
        <w:rPr>
          <w:color w:val="333331"/>
          <w:spacing w:val="24"/>
          <w:sz w:val="21"/>
        </w:rPr>
        <w:t> </w:t>
      </w:r>
      <w:r>
        <w:rPr>
          <w:color w:val="333331"/>
          <w:spacing w:val="-4"/>
          <w:sz w:val="21"/>
        </w:rPr>
        <w:t>2010</w:t>
      </w:r>
    </w:p>
    <w:p>
      <w:pPr>
        <w:pStyle w:val="BodyText"/>
        <w:rPr>
          <w:sz w:val="24"/>
        </w:rPr>
      </w:pPr>
    </w:p>
    <w:p>
      <w:pPr>
        <w:pStyle w:val="BodyText"/>
      </w:pPr>
    </w:p>
    <w:p>
      <w:pPr>
        <w:spacing w:line="247" w:lineRule="auto" w:before="0"/>
        <w:ind w:left="268" w:right="7408" w:firstLine="0"/>
        <w:jc w:val="left"/>
        <w:rPr>
          <w:sz w:val="21"/>
        </w:rPr>
      </w:pPr>
      <w:r>
        <w:rPr>
          <w:color w:val="333331"/>
          <w:w w:val="105"/>
          <w:sz w:val="21"/>
        </w:rPr>
        <w:t>Dr.</w:t>
      </w:r>
      <w:r>
        <w:rPr>
          <w:color w:val="333331"/>
          <w:spacing w:val="-28"/>
          <w:w w:val="105"/>
          <w:sz w:val="21"/>
        </w:rPr>
        <w:t> </w:t>
      </w:r>
      <w:r>
        <w:rPr>
          <w:color w:val="424241"/>
          <w:w w:val="105"/>
          <w:sz w:val="21"/>
        </w:rPr>
        <w:t>William</w:t>
      </w:r>
      <w:r>
        <w:rPr>
          <w:color w:val="424241"/>
          <w:spacing w:val="-22"/>
          <w:w w:val="105"/>
          <w:sz w:val="21"/>
        </w:rPr>
        <w:t> </w:t>
      </w:r>
      <w:r>
        <w:rPr>
          <w:color w:val="424241"/>
          <w:w w:val="105"/>
          <w:sz w:val="21"/>
        </w:rPr>
        <w:t>R.</w:t>
      </w:r>
      <w:r>
        <w:rPr>
          <w:color w:val="424241"/>
          <w:spacing w:val="-16"/>
          <w:w w:val="105"/>
          <w:sz w:val="21"/>
        </w:rPr>
        <w:t> </w:t>
      </w:r>
      <w:r>
        <w:rPr>
          <w:color w:val="424241"/>
          <w:w w:val="105"/>
          <w:sz w:val="21"/>
        </w:rPr>
        <w:t>Harvey </w:t>
      </w:r>
      <w:r>
        <w:rPr>
          <w:color w:val="333331"/>
          <w:spacing w:val="-2"/>
          <w:w w:val="105"/>
          <w:sz w:val="21"/>
        </w:rPr>
        <w:t>President</w:t>
      </w:r>
    </w:p>
    <w:p>
      <w:pPr>
        <w:spacing w:line="232" w:lineRule="auto" w:before="8"/>
        <w:ind w:left="259" w:right="7865" w:firstLine="7"/>
        <w:jc w:val="left"/>
        <w:rPr>
          <w:sz w:val="21"/>
        </w:rPr>
      </w:pPr>
      <w:r>
        <w:rPr>
          <w:color w:val="424241"/>
          <w:w w:val="105"/>
          <w:sz w:val="21"/>
        </w:rPr>
        <w:t>Hampton</w:t>
      </w:r>
      <w:r>
        <w:rPr>
          <w:color w:val="424241"/>
          <w:spacing w:val="-22"/>
          <w:w w:val="105"/>
          <w:sz w:val="21"/>
        </w:rPr>
        <w:t> </w:t>
      </w:r>
      <w:r>
        <w:rPr>
          <w:color w:val="424241"/>
          <w:w w:val="105"/>
          <w:sz w:val="21"/>
        </w:rPr>
        <w:t>Un</w:t>
      </w:r>
      <w:r>
        <w:rPr>
          <w:color w:val="21211F"/>
          <w:w w:val="105"/>
          <w:sz w:val="21"/>
        </w:rPr>
        <w:t>iversity </w:t>
      </w:r>
      <w:r>
        <w:rPr>
          <w:color w:val="424241"/>
          <w:w w:val="105"/>
          <w:sz w:val="21"/>
        </w:rPr>
        <w:t>Office</w:t>
      </w:r>
      <w:r>
        <w:rPr>
          <w:color w:val="424241"/>
          <w:spacing w:val="-23"/>
          <w:w w:val="105"/>
          <w:sz w:val="21"/>
        </w:rPr>
        <w:t> </w:t>
      </w:r>
      <w:r>
        <w:rPr>
          <w:color w:val="424241"/>
          <w:w w:val="105"/>
          <w:sz w:val="21"/>
        </w:rPr>
        <w:t>o</w:t>
      </w:r>
      <w:r>
        <w:rPr>
          <w:color w:val="21211F"/>
          <w:w w:val="105"/>
          <w:sz w:val="21"/>
        </w:rPr>
        <w:t>f</w:t>
      </w:r>
      <w:r>
        <w:rPr>
          <w:color w:val="21211F"/>
          <w:spacing w:val="-16"/>
          <w:w w:val="105"/>
          <w:sz w:val="21"/>
        </w:rPr>
        <w:t> </w:t>
      </w:r>
      <w:r>
        <w:rPr>
          <w:color w:val="333331"/>
          <w:w w:val="105"/>
          <w:sz w:val="21"/>
        </w:rPr>
        <w:t>the</w:t>
      </w:r>
      <w:r>
        <w:rPr>
          <w:color w:val="333331"/>
          <w:spacing w:val="-38"/>
          <w:w w:val="105"/>
          <w:sz w:val="21"/>
        </w:rPr>
        <w:t> </w:t>
      </w:r>
      <w:r>
        <w:rPr>
          <w:color w:val="545454"/>
          <w:w w:val="105"/>
          <w:sz w:val="21"/>
        </w:rPr>
        <w:t>Presi</w:t>
      </w:r>
      <w:r>
        <w:rPr>
          <w:color w:val="333331"/>
          <w:w w:val="105"/>
          <w:sz w:val="21"/>
        </w:rPr>
        <w:t>de</w:t>
      </w:r>
      <w:r>
        <w:rPr>
          <w:color w:val="545454"/>
          <w:w w:val="105"/>
          <w:sz w:val="21"/>
        </w:rPr>
        <w:t>n</w:t>
      </w:r>
      <w:r>
        <w:rPr>
          <w:color w:val="333331"/>
          <w:w w:val="105"/>
          <w:sz w:val="21"/>
        </w:rPr>
        <w:t>t</w:t>
      </w:r>
    </w:p>
    <w:p>
      <w:pPr>
        <w:spacing w:before="10"/>
        <w:ind w:left="263" w:right="0" w:firstLine="0"/>
        <w:jc w:val="left"/>
        <w:rPr>
          <w:sz w:val="21"/>
        </w:rPr>
      </w:pPr>
      <w:r>
        <w:rPr>
          <w:color w:val="424241"/>
          <w:sz w:val="21"/>
        </w:rPr>
        <w:t>200</w:t>
      </w:r>
      <w:r>
        <w:rPr>
          <w:color w:val="424241"/>
          <w:spacing w:val="2"/>
          <w:sz w:val="21"/>
        </w:rPr>
        <w:t> </w:t>
      </w:r>
      <w:r>
        <w:rPr>
          <w:color w:val="333331"/>
          <w:sz w:val="21"/>
        </w:rPr>
        <w:t>Admin</w:t>
      </w:r>
      <w:r>
        <w:rPr>
          <w:color w:val="666666"/>
          <w:sz w:val="21"/>
        </w:rPr>
        <w:t>i</w:t>
      </w:r>
      <w:r>
        <w:rPr>
          <w:color w:val="424241"/>
          <w:sz w:val="21"/>
        </w:rPr>
        <w:t>st</w:t>
      </w:r>
      <w:r>
        <w:rPr>
          <w:color w:val="21211F"/>
          <w:sz w:val="21"/>
        </w:rPr>
        <w:t>ra</w:t>
      </w:r>
      <w:r>
        <w:rPr>
          <w:color w:val="424241"/>
          <w:sz w:val="21"/>
        </w:rPr>
        <w:t>t</w:t>
      </w:r>
      <w:r>
        <w:rPr>
          <w:color w:val="666666"/>
          <w:sz w:val="21"/>
        </w:rPr>
        <w:t>i</w:t>
      </w:r>
      <w:r>
        <w:rPr>
          <w:color w:val="333331"/>
          <w:sz w:val="21"/>
        </w:rPr>
        <w:t>on</w:t>
      </w:r>
      <w:r>
        <w:rPr>
          <w:color w:val="333331"/>
          <w:spacing w:val="15"/>
          <w:sz w:val="21"/>
        </w:rPr>
        <w:t> </w:t>
      </w:r>
      <w:r>
        <w:rPr>
          <w:color w:val="333331"/>
          <w:spacing w:val="-2"/>
          <w:sz w:val="21"/>
        </w:rPr>
        <w:t>Building</w:t>
      </w:r>
    </w:p>
    <w:p>
      <w:pPr>
        <w:spacing w:line="496" w:lineRule="auto" w:before="7"/>
        <w:ind w:left="253" w:right="7865" w:hanging="1"/>
        <w:jc w:val="left"/>
        <w:rPr>
          <w:sz w:val="21"/>
        </w:rPr>
      </w:pPr>
      <w:r>
        <w:rPr>
          <w:color w:val="333331"/>
          <w:w w:val="105"/>
          <w:sz w:val="21"/>
        </w:rPr>
        <w:t>Hampton</w:t>
      </w:r>
      <w:r>
        <w:rPr>
          <w:color w:val="545454"/>
          <w:w w:val="105"/>
          <w:sz w:val="21"/>
        </w:rPr>
        <w:t>,</w:t>
      </w:r>
      <w:r>
        <w:rPr>
          <w:color w:val="545454"/>
          <w:spacing w:val="-18"/>
          <w:w w:val="105"/>
          <w:sz w:val="21"/>
        </w:rPr>
        <w:t> </w:t>
      </w:r>
      <w:r>
        <w:rPr>
          <w:color w:val="424241"/>
          <w:w w:val="105"/>
          <w:sz w:val="21"/>
        </w:rPr>
        <w:t>VA</w:t>
      </w:r>
      <w:r>
        <w:rPr>
          <w:color w:val="424241"/>
          <w:spacing w:val="6"/>
          <w:w w:val="105"/>
          <w:sz w:val="21"/>
        </w:rPr>
        <w:t> </w:t>
      </w:r>
      <w:r>
        <w:rPr>
          <w:color w:val="21211F"/>
          <w:w w:val="105"/>
          <w:sz w:val="21"/>
        </w:rPr>
        <w:t>236</w:t>
      </w:r>
      <w:r>
        <w:rPr>
          <w:color w:val="424241"/>
          <w:w w:val="105"/>
          <w:sz w:val="21"/>
        </w:rPr>
        <w:t>68 Dear</w:t>
      </w:r>
      <w:r>
        <w:rPr>
          <w:color w:val="424241"/>
          <w:spacing w:val="-12"/>
          <w:w w:val="105"/>
          <w:sz w:val="21"/>
        </w:rPr>
        <w:t> </w:t>
      </w:r>
      <w:r>
        <w:rPr>
          <w:color w:val="424241"/>
          <w:w w:val="105"/>
          <w:sz w:val="21"/>
        </w:rPr>
        <w:t>Dr</w:t>
      </w:r>
      <w:r>
        <w:rPr>
          <w:color w:val="666666"/>
          <w:w w:val="105"/>
          <w:sz w:val="21"/>
        </w:rPr>
        <w:t>.</w:t>
      </w:r>
      <w:r>
        <w:rPr>
          <w:color w:val="666666"/>
          <w:spacing w:val="-24"/>
          <w:w w:val="105"/>
          <w:sz w:val="21"/>
        </w:rPr>
        <w:t> </w:t>
      </w:r>
      <w:r>
        <w:rPr>
          <w:color w:val="424241"/>
          <w:w w:val="105"/>
          <w:sz w:val="21"/>
        </w:rPr>
        <w:t>Harvey</w:t>
      </w:r>
      <w:r>
        <w:rPr>
          <w:color w:val="666666"/>
          <w:w w:val="105"/>
          <w:sz w:val="21"/>
        </w:rPr>
        <w:t>:</w:t>
      </w:r>
    </w:p>
    <w:p>
      <w:pPr>
        <w:spacing w:line="225" w:lineRule="exact" w:before="0"/>
        <w:ind w:left="250" w:right="0" w:firstLine="0"/>
        <w:jc w:val="left"/>
        <w:rPr>
          <w:sz w:val="21"/>
        </w:rPr>
      </w:pPr>
      <w:r>
        <w:rPr>
          <w:color w:val="21211F"/>
          <w:sz w:val="21"/>
        </w:rPr>
        <w:t>The</w:t>
      </w:r>
      <w:r>
        <w:rPr>
          <w:color w:val="21211F"/>
          <w:spacing w:val="11"/>
          <w:sz w:val="21"/>
        </w:rPr>
        <w:t> </w:t>
      </w:r>
      <w:r>
        <w:rPr>
          <w:color w:val="424241"/>
          <w:sz w:val="21"/>
        </w:rPr>
        <w:t>fo</w:t>
      </w:r>
      <w:r>
        <w:rPr>
          <w:color w:val="21211F"/>
          <w:sz w:val="21"/>
        </w:rPr>
        <w:t>ll</w:t>
      </w:r>
      <w:r>
        <w:rPr>
          <w:color w:val="424241"/>
          <w:sz w:val="21"/>
        </w:rPr>
        <w:t>owing</w:t>
      </w:r>
      <w:r>
        <w:rPr>
          <w:color w:val="424241"/>
          <w:spacing w:val="12"/>
          <w:sz w:val="21"/>
        </w:rPr>
        <w:t> </w:t>
      </w:r>
      <w:r>
        <w:rPr>
          <w:color w:val="333331"/>
          <w:sz w:val="21"/>
        </w:rPr>
        <w:t>act</w:t>
      </w:r>
      <w:r>
        <w:rPr>
          <w:color w:val="070707"/>
          <w:sz w:val="21"/>
        </w:rPr>
        <w:t>i</w:t>
      </w:r>
      <w:r>
        <w:rPr>
          <w:color w:val="424241"/>
          <w:sz w:val="21"/>
        </w:rPr>
        <w:t>on</w:t>
      </w:r>
      <w:r>
        <w:rPr>
          <w:color w:val="424241"/>
          <w:spacing w:val="24"/>
          <w:sz w:val="21"/>
        </w:rPr>
        <w:t> </w:t>
      </w:r>
      <w:r>
        <w:rPr>
          <w:color w:val="21211F"/>
          <w:sz w:val="21"/>
        </w:rPr>
        <w:t>reg</w:t>
      </w:r>
      <w:r>
        <w:rPr>
          <w:color w:val="424241"/>
          <w:sz w:val="21"/>
        </w:rPr>
        <w:t>ardi</w:t>
      </w:r>
      <w:r>
        <w:rPr>
          <w:color w:val="21211F"/>
          <w:sz w:val="21"/>
        </w:rPr>
        <w:t>n</w:t>
      </w:r>
      <w:r>
        <w:rPr>
          <w:color w:val="424241"/>
          <w:sz w:val="21"/>
        </w:rPr>
        <w:t>g</w:t>
      </w:r>
      <w:r>
        <w:rPr>
          <w:color w:val="424241"/>
          <w:spacing w:val="38"/>
          <w:sz w:val="21"/>
        </w:rPr>
        <w:t> </w:t>
      </w:r>
      <w:r>
        <w:rPr>
          <w:color w:val="333331"/>
          <w:sz w:val="21"/>
        </w:rPr>
        <w:t>your</w:t>
      </w:r>
      <w:r>
        <w:rPr>
          <w:color w:val="333331"/>
          <w:spacing w:val="-4"/>
          <w:sz w:val="21"/>
        </w:rPr>
        <w:t> </w:t>
      </w:r>
      <w:r>
        <w:rPr>
          <w:color w:val="21211F"/>
          <w:sz w:val="21"/>
        </w:rPr>
        <w:t>in</w:t>
      </w:r>
      <w:r>
        <w:rPr>
          <w:color w:val="424241"/>
          <w:sz w:val="21"/>
        </w:rPr>
        <w:t>stit</w:t>
      </w:r>
      <w:r>
        <w:rPr>
          <w:color w:val="21211F"/>
          <w:sz w:val="21"/>
        </w:rPr>
        <w:t>u</w:t>
      </w:r>
      <w:r>
        <w:rPr>
          <w:color w:val="424241"/>
          <w:sz w:val="21"/>
        </w:rPr>
        <w:t>tion</w:t>
      </w:r>
      <w:r>
        <w:rPr>
          <w:color w:val="424241"/>
          <w:spacing w:val="21"/>
          <w:sz w:val="21"/>
        </w:rPr>
        <w:t> </w:t>
      </w:r>
      <w:r>
        <w:rPr>
          <w:color w:val="424241"/>
          <w:sz w:val="21"/>
        </w:rPr>
        <w:t>was</w:t>
      </w:r>
      <w:r>
        <w:rPr>
          <w:color w:val="424241"/>
          <w:spacing w:val="-8"/>
          <w:sz w:val="21"/>
        </w:rPr>
        <w:t> </w:t>
      </w:r>
      <w:r>
        <w:rPr>
          <w:color w:val="21211F"/>
          <w:sz w:val="21"/>
        </w:rPr>
        <w:t>ta</w:t>
      </w:r>
      <w:r>
        <w:rPr>
          <w:color w:val="424241"/>
          <w:sz w:val="21"/>
        </w:rPr>
        <w:t>ke</w:t>
      </w:r>
      <w:r>
        <w:rPr>
          <w:color w:val="21211F"/>
          <w:sz w:val="21"/>
        </w:rPr>
        <w:t>n</w:t>
      </w:r>
      <w:r>
        <w:rPr>
          <w:color w:val="21211F"/>
          <w:spacing w:val="12"/>
          <w:sz w:val="21"/>
        </w:rPr>
        <w:t> </w:t>
      </w:r>
      <w:r>
        <w:rPr>
          <w:color w:val="424241"/>
          <w:sz w:val="21"/>
        </w:rPr>
        <w:t>a</w:t>
      </w:r>
      <w:r>
        <w:rPr>
          <w:color w:val="21211F"/>
          <w:sz w:val="21"/>
        </w:rPr>
        <w:t>t</w:t>
      </w:r>
      <w:r>
        <w:rPr>
          <w:color w:val="21211F"/>
          <w:spacing w:val="16"/>
          <w:sz w:val="21"/>
        </w:rPr>
        <w:t> </w:t>
      </w:r>
      <w:r>
        <w:rPr>
          <w:color w:val="333331"/>
          <w:sz w:val="21"/>
        </w:rPr>
        <w:t>the</w:t>
      </w:r>
      <w:r>
        <w:rPr>
          <w:color w:val="333331"/>
          <w:spacing w:val="-7"/>
          <w:sz w:val="21"/>
        </w:rPr>
        <w:t> </w:t>
      </w:r>
      <w:r>
        <w:rPr>
          <w:color w:val="333331"/>
          <w:sz w:val="21"/>
        </w:rPr>
        <w:t>December</w:t>
      </w:r>
      <w:r>
        <w:rPr>
          <w:color w:val="333331"/>
          <w:spacing w:val="15"/>
          <w:sz w:val="21"/>
        </w:rPr>
        <w:t> </w:t>
      </w:r>
      <w:r>
        <w:rPr>
          <w:color w:val="424241"/>
          <w:sz w:val="21"/>
        </w:rPr>
        <w:t>2009</w:t>
      </w:r>
      <w:r>
        <w:rPr>
          <w:color w:val="424241"/>
          <w:spacing w:val="-19"/>
          <w:sz w:val="21"/>
        </w:rPr>
        <w:t> </w:t>
      </w:r>
      <w:r>
        <w:rPr>
          <w:color w:val="333331"/>
          <w:sz w:val="21"/>
        </w:rPr>
        <w:t>meet</w:t>
      </w:r>
      <w:r>
        <w:rPr>
          <w:color w:val="545454"/>
          <w:sz w:val="21"/>
        </w:rPr>
        <w:t>i</w:t>
      </w:r>
      <w:r>
        <w:rPr>
          <w:color w:val="333331"/>
          <w:sz w:val="21"/>
        </w:rPr>
        <w:t>ng</w:t>
      </w:r>
      <w:r>
        <w:rPr>
          <w:color w:val="333331"/>
          <w:spacing w:val="13"/>
          <w:sz w:val="21"/>
        </w:rPr>
        <w:t> </w:t>
      </w:r>
      <w:r>
        <w:rPr>
          <w:color w:val="424241"/>
          <w:sz w:val="21"/>
        </w:rPr>
        <w:t>of</w:t>
      </w:r>
      <w:r>
        <w:rPr>
          <w:color w:val="424241"/>
          <w:spacing w:val="9"/>
          <w:sz w:val="21"/>
        </w:rPr>
        <w:t> </w:t>
      </w:r>
      <w:r>
        <w:rPr>
          <w:color w:val="424241"/>
          <w:spacing w:val="-5"/>
          <w:sz w:val="21"/>
        </w:rPr>
        <w:t>the</w:t>
      </w:r>
    </w:p>
    <w:p>
      <w:pPr>
        <w:spacing w:before="8"/>
        <w:ind w:left="254" w:right="0" w:firstLine="0"/>
        <w:jc w:val="left"/>
        <w:rPr>
          <w:sz w:val="21"/>
        </w:rPr>
      </w:pPr>
      <w:r>
        <w:rPr>
          <w:color w:val="21211F"/>
          <w:sz w:val="21"/>
        </w:rPr>
        <w:t>B</w:t>
      </w:r>
      <w:r>
        <w:rPr>
          <w:color w:val="424241"/>
          <w:sz w:val="21"/>
        </w:rPr>
        <w:t>oar</w:t>
      </w:r>
      <w:r>
        <w:rPr>
          <w:color w:val="21211F"/>
          <w:sz w:val="21"/>
        </w:rPr>
        <w:t>d</w:t>
      </w:r>
      <w:r>
        <w:rPr>
          <w:color w:val="21211F"/>
          <w:spacing w:val="-10"/>
          <w:sz w:val="21"/>
        </w:rPr>
        <w:t> </w:t>
      </w:r>
      <w:r>
        <w:rPr>
          <w:color w:val="424241"/>
          <w:sz w:val="21"/>
        </w:rPr>
        <w:t>of</w:t>
      </w:r>
      <w:r>
        <w:rPr>
          <w:color w:val="424241"/>
          <w:spacing w:val="27"/>
          <w:sz w:val="21"/>
        </w:rPr>
        <w:t> </w:t>
      </w:r>
      <w:r>
        <w:rPr>
          <w:color w:val="333331"/>
          <w:sz w:val="21"/>
        </w:rPr>
        <w:t>Trustees</w:t>
      </w:r>
      <w:r>
        <w:rPr>
          <w:color w:val="333331"/>
          <w:spacing w:val="-3"/>
          <w:sz w:val="21"/>
        </w:rPr>
        <w:t> </w:t>
      </w:r>
      <w:r>
        <w:rPr>
          <w:color w:val="424241"/>
          <w:sz w:val="21"/>
        </w:rPr>
        <w:t>of</w:t>
      </w:r>
      <w:r>
        <w:rPr>
          <w:color w:val="424241"/>
          <w:spacing w:val="21"/>
          <w:sz w:val="21"/>
        </w:rPr>
        <w:t> </w:t>
      </w:r>
      <w:r>
        <w:rPr>
          <w:color w:val="333331"/>
          <w:sz w:val="21"/>
        </w:rPr>
        <w:t>SACS</w:t>
      </w:r>
      <w:r>
        <w:rPr>
          <w:color w:val="333331"/>
          <w:spacing w:val="-17"/>
          <w:sz w:val="21"/>
        </w:rPr>
        <w:t> </w:t>
      </w:r>
      <w:r>
        <w:rPr>
          <w:color w:val="333331"/>
          <w:sz w:val="21"/>
        </w:rPr>
        <w:t>Commission</w:t>
      </w:r>
      <w:r>
        <w:rPr>
          <w:color w:val="333331"/>
          <w:spacing w:val="18"/>
          <w:sz w:val="21"/>
        </w:rPr>
        <w:t> </w:t>
      </w:r>
      <w:r>
        <w:rPr>
          <w:color w:val="424241"/>
          <w:sz w:val="21"/>
        </w:rPr>
        <w:t>on</w:t>
      </w:r>
      <w:r>
        <w:rPr>
          <w:color w:val="424241"/>
          <w:spacing w:val="20"/>
          <w:sz w:val="21"/>
        </w:rPr>
        <w:t> </w:t>
      </w:r>
      <w:r>
        <w:rPr>
          <w:color w:val="333331"/>
          <w:spacing w:val="-2"/>
          <w:sz w:val="21"/>
        </w:rPr>
        <w:t>Colleges</w:t>
      </w:r>
      <w:r>
        <w:rPr>
          <w:color w:val="7B7B7B"/>
          <w:spacing w:val="-2"/>
          <w:sz w:val="21"/>
        </w:rPr>
        <w:t>:</w:t>
      </w:r>
    </w:p>
    <w:p>
      <w:pPr>
        <w:pStyle w:val="BodyText"/>
        <w:spacing w:before="1"/>
        <w:rPr>
          <w:sz w:val="21"/>
        </w:rPr>
      </w:pPr>
    </w:p>
    <w:p>
      <w:pPr>
        <w:spacing w:line="242" w:lineRule="auto" w:before="1"/>
        <w:ind w:left="879" w:right="642" w:firstLine="11"/>
        <w:jc w:val="left"/>
        <w:rPr>
          <w:i/>
          <w:sz w:val="21"/>
        </w:rPr>
      </w:pPr>
      <w:r>
        <w:rPr>
          <w:color w:val="333331"/>
          <w:w w:val="105"/>
          <w:sz w:val="21"/>
        </w:rPr>
        <w:t>The</w:t>
      </w:r>
      <w:r>
        <w:rPr>
          <w:color w:val="333331"/>
          <w:spacing w:val="-16"/>
          <w:w w:val="105"/>
          <w:sz w:val="21"/>
        </w:rPr>
        <w:t> </w:t>
      </w:r>
      <w:r>
        <w:rPr>
          <w:color w:val="424241"/>
          <w:w w:val="105"/>
          <w:sz w:val="21"/>
        </w:rPr>
        <w:t>Commissio</w:t>
      </w:r>
      <w:r>
        <w:rPr>
          <w:color w:val="21211F"/>
          <w:w w:val="105"/>
          <w:sz w:val="21"/>
        </w:rPr>
        <w:t>n</w:t>
      </w:r>
      <w:r>
        <w:rPr>
          <w:color w:val="21211F"/>
          <w:spacing w:val="-6"/>
          <w:w w:val="105"/>
          <w:sz w:val="21"/>
        </w:rPr>
        <w:t> </w:t>
      </w:r>
      <w:r>
        <w:rPr>
          <w:color w:val="424241"/>
          <w:w w:val="105"/>
          <w:sz w:val="21"/>
        </w:rPr>
        <w:t>on </w:t>
      </w:r>
      <w:r>
        <w:rPr>
          <w:color w:val="333331"/>
          <w:w w:val="105"/>
          <w:sz w:val="21"/>
        </w:rPr>
        <w:t>Colleges</w:t>
      </w:r>
      <w:r>
        <w:rPr>
          <w:color w:val="333331"/>
          <w:spacing w:val="-34"/>
          <w:w w:val="105"/>
          <w:sz w:val="21"/>
        </w:rPr>
        <w:t> </w:t>
      </w:r>
      <w:r>
        <w:rPr>
          <w:color w:val="424241"/>
          <w:w w:val="105"/>
          <w:sz w:val="21"/>
        </w:rPr>
        <w:t>rev</w:t>
      </w:r>
      <w:r>
        <w:rPr>
          <w:color w:val="666666"/>
          <w:w w:val="105"/>
          <w:sz w:val="21"/>
        </w:rPr>
        <w:t>i</w:t>
      </w:r>
      <w:r>
        <w:rPr>
          <w:color w:val="333331"/>
          <w:w w:val="105"/>
          <w:sz w:val="21"/>
        </w:rPr>
        <w:t>ewed</w:t>
      </w:r>
      <w:r>
        <w:rPr>
          <w:color w:val="333331"/>
          <w:spacing w:val="-1"/>
          <w:w w:val="105"/>
          <w:sz w:val="21"/>
        </w:rPr>
        <w:t> </w:t>
      </w:r>
      <w:r>
        <w:rPr>
          <w:color w:val="333331"/>
          <w:w w:val="105"/>
          <w:sz w:val="21"/>
        </w:rPr>
        <w:t>the</w:t>
      </w:r>
      <w:r>
        <w:rPr>
          <w:color w:val="333331"/>
          <w:spacing w:val="-34"/>
          <w:w w:val="105"/>
          <w:sz w:val="21"/>
        </w:rPr>
        <w:t> </w:t>
      </w:r>
      <w:r>
        <w:rPr>
          <w:color w:val="424241"/>
          <w:w w:val="105"/>
          <w:sz w:val="21"/>
        </w:rPr>
        <w:t>i</w:t>
      </w:r>
      <w:r>
        <w:rPr>
          <w:color w:val="21211F"/>
          <w:w w:val="105"/>
          <w:sz w:val="21"/>
        </w:rPr>
        <w:t>nst</w:t>
      </w:r>
      <w:r>
        <w:rPr>
          <w:color w:val="424241"/>
          <w:w w:val="105"/>
          <w:sz w:val="21"/>
        </w:rPr>
        <w:t>i</w:t>
      </w:r>
      <w:r>
        <w:rPr>
          <w:color w:val="21211F"/>
          <w:w w:val="105"/>
          <w:sz w:val="21"/>
        </w:rPr>
        <w:t>tu</w:t>
      </w:r>
      <w:r>
        <w:rPr>
          <w:color w:val="424241"/>
          <w:w w:val="105"/>
          <w:sz w:val="21"/>
        </w:rPr>
        <w:t>tion's</w:t>
      </w:r>
      <w:r>
        <w:rPr>
          <w:color w:val="424241"/>
          <w:spacing w:val="-4"/>
          <w:w w:val="105"/>
          <w:sz w:val="21"/>
        </w:rPr>
        <w:t> </w:t>
      </w:r>
      <w:r>
        <w:rPr>
          <w:color w:val="333331"/>
          <w:w w:val="105"/>
          <w:sz w:val="21"/>
        </w:rPr>
        <w:t>Fi</w:t>
      </w:r>
      <w:r>
        <w:rPr>
          <w:color w:val="545454"/>
          <w:w w:val="105"/>
          <w:sz w:val="21"/>
        </w:rPr>
        <w:t>rs</w:t>
      </w:r>
      <w:r>
        <w:rPr>
          <w:color w:val="333331"/>
          <w:w w:val="105"/>
          <w:sz w:val="21"/>
        </w:rPr>
        <w:t>t Mon</w:t>
      </w:r>
      <w:r>
        <w:rPr>
          <w:color w:val="666666"/>
          <w:w w:val="105"/>
          <w:sz w:val="21"/>
        </w:rPr>
        <w:t>i</w:t>
      </w:r>
      <w:r>
        <w:rPr>
          <w:color w:val="333331"/>
          <w:w w:val="105"/>
          <w:sz w:val="21"/>
        </w:rPr>
        <w:t>tori</w:t>
      </w:r>
      <w:r>
        <w:rPr>
          <w:color w:val="545454"/>
          <w:w w:val="105"/>
          <w:sz w:val="21"/>
        </w:rPr>
        <w:t>ng </w:t>
      </w:r>
      <w:r>
        <w:rPr>
          <w:color w:val="333331"/>
          <w:w w:val="105"/>
          <w:sz w:val="21"/>
        </w:rPr>
        <w:t>Report</w:t>
      </w:r>
      <w:r>
        <w:rPr>
          <w:color w:val="333331"/>
          <w:spacing w:val="-24"/>
          <w:w w:val="105"/>
          <w:sz w:val="21"/>
        </w:rPr>
        <w:t> </w:t>
      </w:r>
      <w:r>
        <w:rPr>
          <w:color w:val="333331"/>
          <w:w w:val="105"/>
          <w:sz w:val="21"/>
        </w:rPr>
        <w:t>following </w:t>
      </w:r>
      <w:r>
        <w:rPr>
          <w:color w:val="424241"/>
          <w:spacing w:val="-2"/>
          <w:w w:val="105"/>
          <w:sz w:val="21"/>
        </w:rPr>
        <w:t>reaffirma</w:t>
      </w:r>
      <w:r>
        <w:rPr>
          <w:color w:val="21211F"/>
          <w:spacing w:val="-2"/>
          <w:w w:val="105"/>
          <w:sz w:val="21"/>
        </w:rPr>
        <w:t>t</w:t>
      </w:r>
      <w:r>
        <w:rPr>
          <w:color w:val="070707"/>
          <w:spacing w:val="-2"/>
          <w:w w:val="105"/>
          <w:sz w:val="21"/>
        </w:rPr>
        <w:t>i</w:t>
      </w:r>
      <w:r>
        <w:rPr>
          <w:color w:val="424241"/>
          <w:spacing w:val="-2"/>
          <w:w w:val="105"/>
          <w:sz w:val="21"/>
        </w:rPr>
        <w:t>o</w:t>
      </w:r>
      <w:r>
        <w:rPr>
          <w:color w:val="21211F"/>
          <w:spacing w:val="-2"/>
          <w:w w:val="105"/>
          <w:sz w:val="21"/>
        </w:rPr>
        <w:t>n</w:t>
      </w:r>
      <w:r>
        <w:rPr>
          <w:color w:val="21211F"/>
          <w:spacing w:val="-11"/>
          <w:w w:val="105"/>
          <w:sz w:val="21"/>
        </w:rPr>
        <w:t> </w:t>
      </w:r>
      <w:r>
        <w:rPr>
          <w:color w:val="333331"/>
          <w:spacing w:val="-2"/>
          <w:w w:val="105"/>
          <w:sz w:val="21"/>
        </w:rPr>
        <w:t>of accreditation</w:t>
      </w:r>
      <w:r>
        <w:rPr>
          <w:color w:val="7B7B7B"/>
          <w:spacing w:val="-2"/>
          <w:w w:val="105"/>
          <w:sz w:val="21"/>
        </w:rPr>
        <w:t>.</w:t>
      </w:r>
      <w:r>
        <w:rPr>
          <w:color w:val="7B7B7B"/>
          <w:spacing w:val="34"/>
          <w:w w:val="105"/>
          <w:sz w:val="21"/>
        </w:rPr>
        <w:t> </w:t>
      </w:r>
      <w:r>
        <w:rPr>
          <w:color w:val="545454"/>
          <w:spacing w:val="-2"/>
          <w:w w:val="105"/>
          <w:sz w:val="21"/>
        </w:rPr>
        <w:t>I</w:t>
      </w:r>
      <w:r>
        <w:rPr>
          <w:color w:val="333331"/>
          <w:spacing w:val="-2"/>
          <w:w w:val="105"/>
          <w:sz w:val="21"/>
        </w:rPr>
        <w:t>n</w:t>
      </w:r>
      <w:r>
        <w:rPr>
          <w:color w:val="333331"/>
          <w:spacing w:val="-9"/>
          <w:w w:val="105"/>
          <w:sz w:val="21"/>
        </w:rPr>
        <w:t> </w:t>
      </w:r>
      <w:r>
        <w:rPr>
          <w:color w:val="424241"/>
          <w:spacing w:val="-2"/>
          <w:w w:val="105"/>
          <w:sz w:val="21"/>
        </w:rPr>
        <w:t>orde</w:t>
      </w:r>
      <w:r>
        <w:rPr>
          <w:color w:val="21211F"/>
          <w:spacing w:val="-2"/>
          <w:w w:val="105"/>
          <w:sz w:val="21"/>
        </w:rPr>
        <w:t>r</w:t>
      </w:r>
      <w:r>
        <w:rPr>
          <w:color w:val="21211F"/>
          <w:spacing w:val="-17"/>
          <w:w w:val="105"/>
          <w:sz w:val="21"/>
        </w:rPr>
        <w:t> </w:t>
      </w:r>
      <w:r>
        <w:rPr>
          <w:color w:val="21211F"/>
          <w:spacing w:val="-2"/>
          <w:w w:val="105"/>
          <w:sz w:val="21"/>
        </w:rPr>
        <w:t>t</w:t>
      </w:r>
      <w:r>
        <w:rPr>
          <w:color w:val="424241"/>
          <w:spacing w:val="-2"/>
          <w:w w:val="105"/>
          <w:sz w:val="21"/>
        </w:rPr>
        <w:t>o </w:t>
      </w:r>
      <w:r>
        <w:rPr>
          <w:color w:val="333331"/>
          <w:spacing w:val="-2"/>
          <w:w w:val="105"/>
          <w:sz w:val="21"/>
        </w:rPr>
        <w:t>ensure</w:t>
      </w:r>
      <w:r>
        <w:rPr>
          <w:color w:val="333331"/>
          <w:spacing w:val="-12"/>
          <w:w w:val="105"/>
          <w:sz w:val="21"/>
        </w:rPr>
        <w:t> </w:t>
      </w:r>
      <w:r>
        <w:rPr>
          <w:color w:val="333331"/>
          <w:spacing w:val="-2"/>
          <w:w w:val="105"/>
          <w:sz w:val="21"/>
        </w:rPr>
        <w:t>con</w:t>
      </w:r>
      <w:r>
        <w:rPr>
          <w:color w:val="545454"/>
          <w:spacing w:val="-2"/>
          <w:w w:val="105"/>
          <w:sz w:val="21"/>
        </w:rPr>
        <w:t>ti</w:t>
      </w:r>
      <w:r>
        <w:rPr>
          <w:color w:val="21211F"/>
          <w:spacing w:val="-2"/>
          <w:w w:val="105"/>
          <w:sz w:val="21"/>
        </w:rPr>
        <w:t>nu</w:t>
      </w:r>
      <w:r>
        <w:rPr>
          <w:color w:val="424241"/>
          <w:spacing w:val="-2"/>
          <w:w w:val="105"/>
          <w:sz w:val="21"/>
        </w:rPr>
        <w:t>ing</w:t>
      </w:r>
      <w:r>
        <w:rPr>
          <w:color w:val="424241"/>
          <w:spacing w:val="-10"/>
          <w:w w:val="105"/>
          <w:sz w:val="21"/>
        </w:rPr>
        <w:t> </w:t>
      </w:r>
      <w:r>
        <w:rPr>
          <w:color w:val="424241"/>
          <w:spacing w:val="-2"/>
          <w:w w:val="105"/>
          <w:sz w:val="21"/>
        </w:rPr>
        <w:t>compliance</w:t>
      </w:r>
      <w:r>
        <w:rPr>
          <w:color w:val="424241"/>
          <w:spacing w:val="-4"/>
          <w:w w:val="105"/>
          <w:sz w:val="21"/>
        </w:rPr>
        <w:t> </w:t>
      </w:r>
      <w:r>
        <w:rPr>
          <w:color w:val="424241"/>
          <w:spacing w:val="-2"/>
          <w:w w:val="105"/>
          <w:sz w:val="21"/>
        </w:rPr>
        <w:t>wi</w:t>
      </w:r>
      <w:r>
        <w:rPr>
          <w:color w:val="21211F"/>
          <w:spacing w:val="-2"/>
          <w:w w:val="105"/>
          <w:sz w:val="21"/>
        </w:rPr>
        <w:t>th</w:t>
      </w:r>
      <w:r>
        <w:rPr>
          <w:color w:val="21211F"/>
          <w:spacing w:val="-5"/>
          <w:w w:val="105"/>
          <w:sz w:val="21"/>
        </w:rPr>
        <w:t> </w:t>
      </w:r>
      <w:r>
        <w:rPr>
          <w:color w:val="333331"/>
          <w:spacing w:val="-2"/>
          <w:w w:val="105"/>
          <w:sz w:val="21"/>
        </w:rPr>
        <w:t>the</w:t>
      </w:r>
      <w:r>
        <w:rPr>
          <w:color w:val="333331"/>
          <w:spacing w:val="-16"/>
          <w:w w:val="105"/>
          <w:sz w:val="21"/>
        </w:rPr>
        <w:t> </w:t>
      </w:r>
      <w:r>
        <w:rPr>
          <w:i/>
          <w:color w:val="333331"/>
          <w:spacing w:val="-2"/>
          <w:w w:val="105"/>
          <w:sz w:val="21"/>
        </w:rPr>
        <w:t>Principles</w:t>
      </w:r>
      <w:r>
        <w:rPr>
          <w:i/>
          <w:color w:val="333331"/>
          <w:spacing w:val="-9"/>
          <w:w w:val="105"/>
          <w:sz w:val="21"/>
        </w:rPr>
        <w:t> </w:t>
      </w:r>
      <w:r>
        <w:rPr>
          <w:i/>
          <w:color w:val="424241"/>
          <w:spacing w:val="-2"/>
          <w:w w:val="105"/>
          <w:sz w:val="21"/>
        </w:rPr>
        <w:t>of </w:t>
      </w:r>
      <w:r>
        <w:rPr>
          <w:i/>
          <w:color w:val="21211F"/>
          <w:w w:val="105"/>
          <w:sz w:val="21"/>
        </w:rPr>
        <w:t>A</w:t>
      </w:r>
      <w:r>
        <w:rPr>
          <w:i/>
          <w:color w:val="424241"/>
          <w:w w:val="105"/>
          <w:sz w:val="21"/>
        </w:rPr>
        <w:t>ccre</w:t>
      </w:r>
      <w:r>
        <w:rPr>
          <w:i/>
          <w:color w:val="21211F"/>
          <w:w w:val="105"/>
          <w:sz w:val="21"/>
        </w:rPr>
        <w:t>dit</w:t>
      </w:r>
      <w:r>
        <w:rPr>
          <w:i/>
          <w:color w:val="424241"/>
          <w:w w:val="105"/>
          <w:sz w:val="21"/>
        </w:rPr>
        <w:t>ation</w:t>
      </w:r>
      <w:r>
        <w:rPr>
          <w:i/>
          <w:color w:val="7B7B7B"/>
          <w:w w:val="105"/>
          <w:sz w:val="21"/>
        </w:rPr>
        <w:t>,</w:t>
      </w:r>
      <w:r>
        <w:rPr>
          <w:i/>
          <w:color w:val="7B7B7B"/>
          <w:spacing w:val="-5"/>
          <w:w w:val="105"/>
          <w:sz w:val="21"/>
        </w:rPr>
        <w:t> </w:t>
      </w:r>
      <w:r>
        <w:rPr>
          <w:color w:val="333331"/>
          <w:w w:val="105"/>
          <w:sz w:val="21"/>
        </w:rPr>
        <w:t>the</w:t>
      </w:r>
      <w:r>
        <w:rPr>
          <w:color w:val="333331"/>
          <w:spacing w:val="-32"/>
          <w:w w:val="105"/>
          <w:sz w:val="21"/>
        </w:rPr>
        <w:t> </w:t>
      </w:r>
      <w:r>
        <w:rPr>
          <w:color w:val="424241"/>
          <w:w w:val="105"/>
          <w:sz w:val="21"/>
        </w:rPr>
        <w:t>Comm</w:t>
      </w:r>
      <w:r>
        <w:rPr>
          <w:color w:val="21211F"/>
          <w:w w:val="105"/>
          <w:sz w:val="21"/>
        </w:rPr>
        <w:t>is</w:t>
      </w:r>
      <w:r>
        <w:rPr>
          <w:color w:val="424241"/>
          <w:w w:val="105"/>
          <w:sz w:val="21"/>
        </w:rPr>
        <w:t>s</w:t>
      </w:r>
      <w:r>
        <w:rPr>
          <w:color w:val="21211F"/>
          <w:w w:val="105"/>
          <w:sz w:val="21"/>
        </w:rPr>
        <w:t>io</w:t>
      </w:r>
      <w:r>
        <w:rPr>
          <w:color w:val="424241"/>
          <w:w w:val="105"/>
          <w:sz w:val="21"/>
        </w:rPr>
        <w:t>n</w:t>
      </w:r>
      <w:r>
        <w:rPr>
          <w:color w:val="424241"/>
          <w:spacing w:val="-15"/>
          <w:w w:val="105"/>
          <w:sz w:val="21"/>
        </w:rPr>
        <w:t> </w:t>
      </w:r>
      <w:r>
        <w:rPr>
          <w:color w:val="424241"/>
          <w:w w:val="105"/>
          <w:sz w:val="21"/>
        </w:rPr>
        <w:t>requested</w:t>
      </w:r>
      <w:r>
        <w:rPr>
          <w:color w:val="424241"/>
          <w:spacing w:val="-10"/>
          <w:w w:val="105"/>
          <w:sz w:val="21"/>
        </w:rPr>
        <w:t> </w:t>
      </w:r>
      <w:r>
        <w:rPr>
          <w:color w:val="424241"/>
          <w:w w:val="105"/>
          <w:sz w:val="21"/>
        </w:rPr>
        <w:t>that</w:t>
      </w:r>
      <w:r>
        <w:rPr>
          <w:color w:val="424241"/>
          <w:spacing w:val="-15"/>
          <w:w w:val="105"/>
          <w:sz w:val="21"/>
        </w:rPr>
        <w:t> </w:t>
      </w:r>
      <w:r>
        <w:rPr>
          <w:color w:val="21211F"/>
          <w:w w:val="105"/>
          <w:sz w:val="21"/>
        </w:rPr>
        <w:t>t</w:t>
      </w:r>
      <w:r>
        <w:rPr>
          <w:color w:val="424241"/>
          <w:w w:val="105"/>
          <w:sz w:val="21"/>
        </w:rPr>
        <w:t>he</w:t>
      </w:r>
      <w:r>
        <w:rPr>
          <w:color w:val="424241"/>
          <w:spacing w:val="-15"/>
          <w:w w:val="105"/>
          <w:sz w:val="21"/>
        </w:rPr>
        <w:t> </w:t>
      </w:r>
      <w:r>
        <w:rPr>
          <w:color w:val="424241"/>
          <w:w w:val="105"/>
          <w:sz w:val="21"/>
        </w:rPr>
        <w:t>in</w:t>
      </w:r>
      <w:r>
        <w:rPr>
          <w:color w:val="21211F"/>
          <w:w w:val="105"/>
          <w:sz w:val="21"/>
        </w:rPr>
        <w:t>stit</w:t>
      </w:r>
      <w:r>
        <w:rPr>
          <w:color w:val="424241"/>
          <w:w w:val="105"/>
          <w:sz w:val="21"/>
        </w:rPr>
        <w:t>u</w:t>
      </w:r>
      <w:r>
        <w:rPr>
          <w:color w:val="21211F"/>
          <w:w w:val="105"/>
          <w:sz w:val="21"/>
        </w:rPr>
        <w:t>t</w:t>
      </w:r>
      <w:r>
        <w:rPr>
          <w:color w:val="545454"/>
          <w:w w:val="105"/>
          <w:sz w:val="21"/>
        </w:rPr>
        <w:t>i</w:t>
      </w:r>
      <w:r>
        <w:rPr>
          <w:color w:val="333331"/>
          <w:w w:val="105"/>
          <w:sz w:val="21"/>
        </w:rPr>
        <w:t>on</w:t>
      </w:r>
      <w:r>
        <w:rPr>
          <w:color w:val="333331"/>
          <w:spacing w:val="-8"/>
          <w:w w:val="105"/>
          <w:sz w:val="21"/>
        </w:rPr>
        <w:t> </w:t>
      </w:r>
      <w:r>
        <w:rPr>
          <w:color w:val="333331"/>
          <w:w w:val="105"/>
          <w:sz w:val="21"/>
        </w:rPr>
        <w:t>address</w:t>
      </w:r>
      <w:r>
        <w:rPr>
          <w:color w:val="333331"/>
          <w:spacing w:val="-23"/>
          <w:w w:val="105"/>
          <w:sz w:val="21"/>
        </w:rPr>
        <w:t> </w:t>
      </w:r>
      <w:r>
        <w:rPr>
          <w:color w:val="666666"/>
          <w:w w:val="105"/>
          <w:sz w:val="21"/>
        </w:rPr>
        <w:t>i</w:t>
      </w:r>
      <w:r>
        <w:rPr>
          <w:color w:val="333331"/>
          <w:w w:val="105"/>
          <w:sz w:val="21"/>
        </w:rPr>
        <w:t>n</w:t>
      </w:r>
      <w:r>
        <w:rPr>
          <w:color w:val="333331"/>
          <w:spacing w:val="-15"/>
          <w:w w:val="105"/>
          <w:sz w:val="21"/>
        </w:rPr>
        <w:t> </w:t>
      </w:r>
      <w:r>
        <w:rPr>
          <w:color w:val="21211F"/>
          <w:w w:val="105"/>
          <w:sz w:val="21"/>
        </w:rPr>
        <w:t>its</w:t>
      </w:r>
      <w:r>
        <w:rPr>
          <w:color w:val="21211F"/>
          <w:spacing w:val="-28"/>
          <w:w w:val="105"/>
          <w:sz w:val="21"/>
        </w:rPr>
        <w:t> </w:t>
      </w:r>
      <w:r>
        <w:rPr>
          <w:color w:val="21211F"/>
          <w:w w:val="105"/>
          <w:sz w:val="21"/>
        </w:rPr>
        <w:t>F</w:t>
      </w:r>
      <w:r>
        <w:rPr>
          <w:color w:val="424241"/>
          <w:w w:val="105"/>
          <w:sz w:val="21"/>
        </w:rPr>
        <w:t>ift</w:t>
      </w:r>
      <w:r>
        <w:rPr>
          <w:color w:val="21211F"/>
          <w:w w:val="105"/>
          <w:sz w:val="21"/>
        </w:rPr>
        <w:t>h-</w:t>
      </w:r>
      <w:r>
        <w:rPr>
          <w:color w:val="424241"/>
          <w:w w:val="105"/>
          <w:sz w:val="21"/>
        </w:rPr>
        <w:t>Year</w:t>
      </w:r>
      <w:r>
        <w:rPr>
          <w:color w:val="424241"/>
          <w:spacing w:val="-19"/>
          <w:w w:val="105"/>
          <w:sz w:val="21"/>
        </w:rPr>
        <w:t> </w:t>
      </w:r>
      <w:r>
        <w:rPr>
          <w:color w:val="545454"/>
          <w:w w:val="105"/>
          <w:sz w:val="21"/>
        </w:rPr>
        <w:t>I</w:t>
      </w:r>
      <w:r>
        <w:rPr>
          <w:color w:val="21211F"/>
          <w:w w:val="105"/>
          <w:sz w:val="21"/>
        </w:rPr>
        <w:t>n</w:t>
      </w:r>
      <w:r>
        <w:rPr>
          <w:color w:val="424241"/>
          <w:w w:val="105"/>
          <w:sz w:val="21"/>
        </w:rPr>
        <w:t>ter</w:t>
      </w:r>
      <w:r>
        <w:rPr>
          <w:color w:val="21211F"/>
          <w:w w:val="105"/>
          <w:sz w:val="21"/>
        </w:rPr>
        <w:t>i</w:t>
      </w:r>
      <w:r>
        <w:rPr>
          <w:color w:val="424241"/>
          <w:w w:val="105"/>
          <w:sz w:val="21"/>
        </w:rPr>
        <w:t>m Report</w:t>
      </w:r>
      <w:r>
        <w:rPr>
          <w:color w:val="424241"/>
          <w:spacing w:val="-14"/>
          <w:w w:val="105"/>
          <w:sz w:val="21"/>
        </w:rPr>
        <w:t> </w:t>
      </w:r>
      <w:r>
        <w:rPr>
          <w:color w:val="424241"/>
          <w:w w:val="105"/>
          <w:sz w:val="21"/>
        </w:rPr>
        <w:t>conti</w:t>
      </w:r>
      <w:r>
        <w:rPr>
          <w:color w:val="21211F"/>
          <w:w w:val="105"/>
          <w:sz w:val="21"/>
        </w:rPr>
        <w:t>n</w:t>
      </w:r>
      <w:r>
        <w:rPr>
          <w:color w:val="424241"/>
          <w:w w:val="105"/>
          <w:sz w:val="21"/>
        </w:rPr>
        <w:t>ued</w:t>
      </w:r>
      <w:r>
        <w:rPr>
          <w:color w:val="424241"/>
          <w:spacing w:val="-6"/>
          <w:w w:val="105"/>
          <w:sz w:val="21"/>
        </w:rPr>
        <w:t> </w:t>
      </w:r>
      <w:r>
        <w:rPr>
          <w:color w:val="424241"/>
          <w:w w:val="105"/>
          <w:sz w:val="21"/>
        </w:rPr>
        <w:t>comp</w:t>
      </w:r>
      <w:r>
        <w:rPr>
          <w:color w:val="21211F"/>
          <w:w w:val="105"/>
          <w:sz w:val="21"/>
        </w:rPr>
        <w:t>li</w:t>
      </w:r>
      <w:r>
        <w:rPr>
          <w:color w:val="424241"/>
          <w:w w:val="105"/>
          <w:sz w:val="21"/>
        </w:rPr>
        <w:t>anc</w:t>
      </w:r>
      <w:r>
        <w:rPr>
          <w:color w:val="21211F"/>
          <w:w w:val="105"/>
          <w:sz w:val="21"/>
        </w:rPr>
        <w:t>e</w:t>
      </w:r>
      <w:r>
        <w:rPr>
          <w:color w:val="21211F"/>
          <w:spacing w:val="-13"/>
          <w:w w:val="105"/>
          <w:sz w:val="21"/>
        </w:rPr>
        <w:t> </w:t>
      </w:r>
      <w:r>
        <w:rPr>
          <w:color w:val="333331"/>
          <w:w w:val="105"/>
          <w:sz w:val="21"/>
        </w:rPr>
        <w:t>with</w:t>
      </w:r>
      <w:r>
        <w:rPr>
          <w:color w:val="333331"/>
          <w:spacing w:val="-30"/>
          <w:w w:val="105"/>
          <w:sz w:val="21"/>
        </w:rPr>
        <w:t> </w:t>
      </w:r>
      <w:r>
        <w:rPr>
          <w:color w:val="21211F"/>
          <w:w w:val="105"/>
          <w:sz w:val="21"/>
        </w:rPr>
        <w:t>t</w:t>
      </w:r>
      <w:r>
        <w:rPr>
          <w:color w:val="424241"/>
          <w:w w:val="105"/>
          <w:sz w:val="21"/>
        </w:rPr>
        <w:t>he followi</w:t>
      </w:r>
      <w:r>
        <w:rPr>
          <w:color w:val="21211F"/>
          <w:w w:val="105"/>
          <w:sz w:val="21"/>
        </w:rPr>
        <w:t>ng </w:t>
      </w:r>
      <w:r>
        <w:rPr>
          <w:color w:val="424241"/>
          <w:w w:val="105"/>
          <w:sz w:val="21"/>
        </w:rPr>
        <w:t>refe</w:t>
      </w:r>
      <w:r>
        <w:rPr>
          <w:color w:val="21211F"/>
          <w:w w:val="105"/>
          <w:sz w:val="21"/>
        </w:rPr>
        <w:t>rence</w:t>
      </w:r>
      <w:r>
        <w:rPr>
          <w:color w:val="424241"/>
          <w:w w:val="105"/>
          <w:sz w:val="21"/>
        </w:rPr>
        <w:t>d</w:t>
      </w:r>
      <w:r>
        <w:rPr>
          <w:color w:val="424241"/>
          <w:spacing w:val="-4"/>
          <w:w w:val="105"/>
          <w:sz w:val="21"/>
        </w:rPr>
        <w:t> </w:t>
      </w:r>
      <w:r>
        <w:rPr>
          <w:color w:val="424241"/>
          <w:w w:val="105"/>
          <w:sz w:val="21"/>
        </w:rPr>
        <w:t>stan</w:t>
      </w:r>
      <w:r>
        <w:rPr>
          <w:color w:val="21211F"/>
          <w:w w:val="105"/>
          <w:sz w:val="21"/>
        </w:rPr>
        <w:t>da</w:t>
      </w:r>
      <w:r>
        <w:rPr>
          <w:color w:val="424241"/>
          <w:w w:val="105"/>
          <w:sz w:val="21"/>
        </w:rPr>
        <w:t>rd</w:t>
      </w:r>
      <w:r>
        <w:rPr>
          <w:color w:val="424241"/>
          <w:spacing w:val="-6"/>
          <w:w w:val="105"/>
          <w:sz w:val="21"/>
        </w:rPr>
        <w:t> </w:t>
      </w:r>
      <w:r>
        <w:rPr>
          <w:color w:val="333331"/>
          <w:w w:val="105"/>
          <w:sz w:val="21"/>
        </w:rPr>
        <w:t>of</w:t>
      </w:r>
      <w:r>
        <w:rPr>
          <w:color w:val="333331"/>
          <w:spacing w:val="15"/>
          <w:w w:val="105"/>
          <w:sz w:val="21"/>
        </w:rPr>
        <w:t> </w:t>
      </w:r>
      <w:r>
        <w:rPr>
          <w:color w:val="333331"/>
          <w:w w:val="105"/>
          <w:sz w:val="21"/>
        </w:rPr>
        <w:t>the</w:t>
      </w:r>
      <w:r>
        <w:rPr>
          <w:color w:val="333331"/>
          <w:spacing w:val="-28"/>
          <w:w w:val="105"/>
          <w:sz w:val="21"/>
        </w:rPr>
        <w:t> </w:t>
      </w:r>
      <w:r>
        <w:rPr>
          <w:i/>
          <w:color w:val="424241"/>
          <w:w w:val="105"/>
          <w:sz w:val="21"/>
        </w:rPr>
        <w:t>Principles:</w:t>
      </w:r>
    </w:p>
    <w:p>
      <w:pPr>
        <w:pStyle w:val="BodyText"/>
        <w:spacing w:before="6"/>
        <w:rPr>
          <w:i/>
          <w:sz w:val="21"/>
        </w:rPr>
      </w:pPr>
    </w:p>
    <w:p>
      <w:pPr>
        <w:spacing w:line="248" w:lineRule="exact" w:before="1"/>
        <w:ind w:left="887" w:right="0" w:firstLine="0"/>
        <w:jc w:val="left"/>
        <w:rPr>
          <w:sz w:val="21"/>
        </w:rPr>
      </w:pPr>
      <w:r>
        <w:rPr>
          <w:rFonts w:ascii="Times New Roman"/>
          <w:b/>
          <w:color w:val="21211F"/>
          <w:spacing w:val="-2"/>
          <w:w w:val="110"/>
          <w:sz w:val="22"/>
        </w:rPr>
        <w:t>CS</w:t>
      </w:r>
      <w:r>
        <w:rPr>
          <w:rFonts w:ascii="Times New Roman"/>
          <w:b/>
          <w:color w:val="21211F"/>
          <w:spacing w:val="8"/>
          <w:w w:val="110"/>
          <w:sz w:val="22"/>
        </w:rPr>
        <w:t> </w:t>
      </w:r>
      <w:r>
        <w:rPr>
          <w:rFonts w:ascii="Times New Roman"/>
          <w:b/>
          <w:color w:val="21211F"/>
          <w:spacing w:val="-2"/>
          <w:w w:val="110"/>
          <w:sz w:val="22"/>
        </w:rPr>
        <w:t>3</w:t>
      </w:r>
      <w:r>
        <w:rPr>
          <w:rFonts w:ascii="Times New Roman"/>
          <w:b/>
          <w:color w:val="070707"/>
          <w:spacing w:val="-2"/>
          <w:w w:val="110"/>
          <w:sz w:val="22"/>
        </w:rPr>
        <w:t>.</w:t>
      </w:r>
      <w:r>
        <w:rPr>
          <w:rFonts w:ascii="Times New Roman"/>
          <w:b/>
          <w:color w:val="21211F"/>
          <w:spacing w:val="-2"/>
          <w:w w:val="110"/>
          <w:sz w:val="22"/>
        </w:rPr>
        <w:t>5.1</w:t>
      </w:r>
      <w:r>
        <w:rPr>
          <w:rFonts w:ascii="Times New Roman"/>
          <w:b/>
          <w:color w:val="21211F"/>
          <w:spacing w:val="1"/>
          <w:w w:val="110"/>
          <w:sz w:val="22"/>
        </w:rPr>
        <w:t> </w:t>
      </w:r>
      <w:r>
        <w:rPr>
          <w:color w:val="21211F"/>
          <w:spacing w:val="-2"/>
          <w:w w:val="110"/>
          <w:sz w:val="21"/>
        </w:rPr>
        <w:t>(College-Level</w:t>
      </w:r>
      <w:r>
        <w:rPr>
          <w:color w:val="21211F"/>
          <w:spacing w:val="-38"/>
          <w:w w:val="110"/>
          <w:sz w:val="21"/>
        </w:rPr>
        <w:t> </w:t>
      </w:r>
      <w:r>
        <w:rPr>
          <w:color w:val="21211F"/>
          <w:spacing w:val="-2"/>
          <w:w w:val="110"/>
          <w:sz w:val="21"/>
        </w:rPr>
        <w:t>Competencies)</w:t>
      </w:r>
    </w:p>
    <w:p>
      <w:pPr>
        <w:spacing w:line="244" w:lineRule="auto" w:before="0"/>
        <w:ind w:left="882" w:right="674" w:firstLine="9"/>
        <w:jc w:val="left"/>
        <w:rPr>
          <w:sz w:val="21"/>
        </w:rPr>
      </w:pPr>
      <w:r>
        <w:rPr>
          <w:color w:val="21211F"/>
          <w:w w:val="105"/>
          <w:sz w:val="21"/>
        </w:rPr>
        <w:t>T</w:t>
      </w:r>
      <w:r>
        <w:rPr>
          <w:color w:val="424241"/>
          <w:w w:val="105"/>
          <w:sz w:val="21"/>
        </w:rPr>
        <w:t>he</w:t>
      </w:r>
      <w:r>
        <w:rPr>
          <w:color w:val="424241"/>
          <w:spacing w:val="-1"/>
          <w:w w:val="105"/>
          <w:sz w:val="21"/>
        </w:rPr>
        <w:t> </w:t>
      </w:r>
      <w:r>
        <w:rPr>
          <w:color w:val="333331"/>
          <w:w w:val="105"/>
          <w:sz w:val="21"/>
        </w:rPr>
        <w:t>institution</w:t>
      </w:r>
      <w:r>
        <w:rPr>
          <w:color w:val="333331"/>
          <w:spacing w:val="-15"/>
          <w:w w:val="105"/>
          <w:sz w:val="21"/>
        </w:rPr>
        <w:t> </w:t>
      </w:r>
      <w:r>
        <w:rPr>
          <w:color w:val="424241"/>
          <w:w w:val="105"/>
          <w:sz w:val="21"/>
        </w:rPr>
        <w:t>is req</w:t>
      </w:r>
      <w:r>
        <w:rPr>
          <w:color w:val="666666"/>
          <w:w w:val="105"/>
          <w:sz w:val="21"/>
        </w:rPr>
        <w:t>u</w:t>
      </w:r>
      <w:r>
        <w:rPr>
          <w:color w:val="333331"/>
          <w:w w:val="105"/>
          <w:sz w:val="21"/>
        </w:rPr>
        <w:t>ested</w:t>
      </w:r>
      <w:r>
        <w:rPr>
          <w:color w:val="333331"/>
          <w:spacing w:val="-2"/>
          <w:w w:val="105"/>
          <w:sz w:val="21"/>
        </w:rPr>
        <w:t> </w:t>
      </w:r>
      <w:r>
        <w:rPr>
          <w:color w:val="333331"/>
          <w:w w:val="105"/>
          <w:sz w:val="21"/>
        </w:rPr>
        <w:t>to</w:t>
      </w:r>
      <w:r>
        <w:rPr>
          <w:color w:val="333331"/>
          <w:spacing w:val="-11"/>
          <w:w w:val="105"/>
          <w:sz w:val="21"/>
        </w:rPr>
        <w:t> </w:t>
      </w:r>
      <w:r>
        <w:rPr>
          <w:color w:val="333331"/>
          <w:w w:val="105"/>
          <w:sz w:val="21"/>
        </w:rPr>
        <w:t>show</w:t>
      </w:r>
      <w:r>
        <w:rPr>
          <w:color w:val="333331"/>
          <w:spacing w:val="-20"/>
          <w:w w:val="105"/>
          <w:sz w:val="21"/>
        </w:rPr>
        <w:t> </w:t>
      </w:r>
      <w:r>
        <w:rPr>
          <w:color w:val="333331"/>
          <w:w w:val="105"/>
          <w:sz w:val="21"/>
        </w:rPr>
        <w:t>evidence</w:t>
      </w:r>
      <w:r>
        <w:rPr>
          <w:color w:val="333331"/>
          <w:spacing w:val="-2"/>
          <w:w w:val="105"/>
          <w:sz w:val="21"/>
        </w:rPr>
        <w:t> </w:t>
      </w:r>
      <w:r>
        <w:rPr>
          <w:color w:val="333331"/>
          <w:w w:val="105"/>
          <w:sz w:val="21"/>
        </w:rPr>
        <w:t>of</w:t>
      </w:r>
      <w:r>
        <w:rPr>
          <w:color w:val="333331"/>
          <w:spacing w:val="-9"/>
          <w:w w:val="105"/>
          <w:sz w:val="21"/>
        </w:rPr>
        <w:t> </w:t>
      </w:r>
      <w:r>
        <w:rPr>
          <w:color w:val="333331"/>
          <w:w w:val="105"/>
          <w:sz w:val="21"/>
        </w:rPr>
        <w:t>con</w:t>
      </w:r>
      <w:r>
        <w:rPr>
          <w:color w:val="545454"/>
          <w:w w:val="105"/>
          <w:sz w:val="21"/>
        </w:rPr>
        <w:t>tin</w:t>
      </w:r>
      <w:r>
        <w:rPr>
          <w:color w:val="21211F"/>
          <w:w w:val="105"/>
          <w:sz w:val="21"/>
        </w:rPr>
        <w:t>ued</w:t>
      </w:r>
      <w:r>
        <w:rPr>
          <w:color w:val="21211F"/>
          <w:spacing w:val="-8"/>
          <w:w w:val="105"/>
          <w:sz w:val="21"/>
        </w:rPr>
        <w:t> </w:t>
      </w:r>
      <w:r>
        <w:rPr>
          <w:color w:val="424241"/>
          <w:w w:val="105"/>
          <w:sz w:val="21"/>
        </w:rPr>
        <w:t>a</w:t>
      </w:r>
      <w:r>
        <w:rPr>
          <w:color w:val="21211F"/>
          <w:w w:val="105"/>
          <w:sz w:val="21"/>
        </w:rPr>
        <w:t>nd</w:t>
      </w:r>
      <w:r>
        <w:rPr>
          <w:color w:val="21211F"/>
          <w:spacing w:val="-15"/>
          <w:w w:val="105"/>
          <w:sz w:val="21"/>
        </w:rPr>
        <w:t> </w:t>
      </w:r>
      <w:r>
        <w:rPr>
          <w:color w:val="666666"/>
          <w:w w:val="105"/>
          <w:sz w:val="21"/>
        </w:rPr>
        <w:t>i</w:t>
      </w:r>
      <w:r>
        <w:rPr>
          <w:color w:val="333331"/>
          <w:w w:val="105"/>
          <w:sz w:val="21"/>
        </w:rPr>
        <w:t>mproved</w:t>
      </w:r>
      <w:r>
        <w:rPr>
          <w:color w:val="333331"/>
          <w:spacing w:val="-9"/>
          <w:w w:val="105"/>
          <w:sz w:val="21"/>
        </w:rPr>
        <w:t> </w:t>
      </w:r>
      <w:r>
        <w:rPr>
          <w:color w:val="424241"/>
          <w:w w:val="105"/>
          <w:sz w:val="21"/>
        </w:rPr>
        <w:t>a</w:t>
      </w:r>
      <w:r>
        <w:rPr>
          <w:color w:val="21211F"/>
          <w:w w:val="105"/>
          <w:sz w:val="21"/>
        </w:rPr>
        <w:t>ssessm</w:t>
      </w:r>
      <w:r>
        <w:rPr>
          <w:color w:val="424241"/>
          <w:w w:val="105"/>
          <w:sz w:val="21"/>
        </w:rPr>
        <w:t>en</w:t>
      </w:r>
      <w:r>
        <w:rPr>
          <w:color w:val="21211F"/>
          <w:w w:val="105"/>
          <w:sz w:val="21"/>
        </w:rPr>
        <w:t>t</w:t>
      </w:r>
      <w:r>
        <w:rPr>
          <w:color w:val="21211F"/>
          <w:spacing w:val="-24"/>
          <w:w w:val="105"/>
          <w:sz w:val="21"/>
        </w:rPr>
        <w:t> </w:t>
      </w:r>
      <w:r>
        <w:rPr>
          <w:color w:val="333331"/>
          <w:w w:val="105"/>
          <w:sz w:val="21"/>
        </w:rPr>
        <w:t>of</w:t>
      </w:r>
      <w:r>
        <w:rPr>
          <w:color w:val="333331"/>
          <w:spacing w:val="-6"/>
          <w:w w:val="105"/>
          <w:sz w:val="21"/>
        </w:rPr>
        <w:t> </w:t>
      </w:r>
      <w:r>
        <w:rPr>
          <w:color w:val="424241"/>
          <w:w w:val="105"/>
          <w:sz w:val="21"/>
        </w:rPr>
        <w:t>the </w:t>
      </w:r>
      <w:r>
        <w:rPr>
          <w:color w:val="333331"/>
          <w:spacing w:val="-2"/>
          <w:w w:val="105"/>
          <w:sz w:val="21"/>
        </w:rPr>
        <w:t>extent</w:t>
      </w:r>
      <w:r>
        <w:rPr>
          <w:color w:val="333331"/>
          <w:spacing w:val="-25"/>
          <w:w w:val="105"/>
          <w:sz w:val="21"/>
        </w:rPr>
        <w:t> </w:t>
      </w:r>
      <w:r>
        <w:rPr>
          <w:color w:val="333331"/>
          <w:spacing w:val="-2"/>
          <w:w w:val="105"/>
          <w:sz w:val="21"/>
        </w:rPr>
        <w:t>to</w:t>
      </w:r>
      <w:r>
        <w:rPr>
          <w:color w:val="333331"/>
          <w:spacing w:val="-7"/>
          <w:w w:val="105"/>
          <w:sz w:val="21"/>
        </w:rPr>
        <w:t> </w:t>
      </w:r>
      <w:r>
        <w:rPr>
          <w:color w:val="333331"/>
          <w:spacing w:val="-2"/>
          <w:w w:val="105"/>
          <w:sz w:val="21"/>
        </w:rPr>
        <w:t>which</w:t>
      </w:r>
      <w:r>
        <w:rPr>
          <w:color w:val="333331"/>
          <w:spacing w:val="-28"/>
          <w:w w:val="105"/>
          <w:sz w:val="21"/>
        </w:rPr>
        <w:t> </w:t>
      </w:r>
      <w:r>
        <w:rPr>
          <w:color w:val="424241"/>
          <w:spacing w:val="-2"/>
          <w:w w:val="105"/>
          <w:sz w:val="21"/>
        </w:rPr>
        <w:t>students</w:t>
      </w:r>
      <w:r>
        <w:rPr>
          <w:color w:val="424241"/>
          <w:spacing w:val="-17"/>
          <w:w w:val="105"/>
          <w:sz w:val="21"/>
        </w:rPr>
        <w:t> </w:t>
      </w:r>
      <w:r>
        <w:rPr>
          <w:color w:val="424241"/>
          <w:spacing w:val="-2"/>
          <w:w w:val="105"/>
          <w:sz w:val="21"/>
        </w:rPr>
        <w:t>ha</w:t>
      </w:r>
      <w:r>
        <w:rPr>
          <w:color w:val="21211F"/>
          <w:spacing w:val="-2"/>
          <w:w w:val="105"/>
          <w:sz w:val="21"/>
        </w:rPr>
        <w:t>ve </w:t>
      </w:r>
      <w:r>
        <w:rPr>
          <w:color w:val="333331"/>
          <w:spacing w:val="-2"/>
          <w:w w:val="105"/>
          <w:sz w:val="21"/>
        </w:rPr>
        <w:t>attained</w:t>
      </w:r>
      <w:r>
        <w:rPr>
          <w:color w:val="333331"/>
          <w:spacing w:val="-3"/>
          <w:w w:val="105"/>
          <w:sz w:val="21"/>
        </w:rPr>
        <w:t> </w:t>
      </w:r>
      <w:r>
        <w:rPr>
          <w:color w:val="333331"/>
          <w:spacing w:val="-2"/>
          <w:w w:val="105"/>
          <w:sz w:val="21"/>
        </w:rPr>
        <w:t>general</w:t>
      </w:r>
      <w:r>
        <w:rPr>
          <w:color w:val="333331"/>
          <w:spacing w:val="-7"/>
          <w:w w:val="105"/>
          <w:sz w:val="21"/>
        </w:rPr>
        <w:t> </w:t>
      </w:r>
      <w:r>
        <w:rPr>
          <w:color w:val="333331"/>
          <w:spacing w:val="-2"/>
          <w:w w:val="105"/>
          <w:sz w:val="21"/>
        </w:rPr>
        <w:t>education</w:t>
      </w:r>
      <w:r>
        <w:rPr>
          <w:color w:val="333331"/>
          <w:spacing w:val="-22"/>
          <w:w w:val="105"/>
          <w:sz w:val="21"/>
        </w:rPr>
        <w:t> </w:t>
      </w:r>
      <w:r>
        <w:rPr>
          <w:color w:val="333331"/>
          <w:spacing w:val="-2"/>
          <w:w w:val="105"/>
          <w:sz w:val="21"/>
        </w:rPr>
        <w:t>competenc</w:t>
      </w:r>
      <w:r>
        <w:rPr>
          <w:color w:val="545454"/>
          <w:spacing w:val="-2"/>
          <w:w w:val="105"/>
          <w:sz w:val="21"/>
        </w:rPr>
        <w:t>i</w:t>
      </w:r>
      <w:r>
        <w:rPr>
          <w:color w:val="21211F"/>
          <w:spacing w:val="-2"/>
          <w:w w:val="105"/>
          <w:sz w:val="21"/>
        </w:rPr>
        <w:t>es.</w:t>
      </w:r>
      <w:r>
        <w:rPr>
          <w:color w:val="21211F"/>
          <w:spacing w:val="40"/>
          <w:w w:val="105"/>
          <w:sz w:val="21"/>
        </w:rPr>
        <w:t> </w:t>
      </w:r>
      <w:r>
        <w:rPr>
          <w:color w:val="333331"/>
          <w:spacing w:val="-2"/>
          <w:w w:val="105"/>
          <w:sz w:val="21"/>
        </w:rPr>
        <w:t>Hampton </w:t>
      </w:r>
      <w:r>
        <w:rPr>
          <w:color w:val="424241"/>
          <w:spacing w:val="-2"/>
          <w:w w:val="105"/>
          <w:sz w:val="21"/>
        </w:rPr>
        <w:t>U</w:t>
      </w:r>
      <w:r>
        <w:rPr>
          <w:color w:val="21211F"/>
          <w:spacing w:val="-2"/>
          <w:w w:val="105"/>
          <w:sz w:val="21"/>
        </w:rPr>
        <w:t>n</w:t>
      </w:r>
      <w:r>
        <w:rPr>
          <w:color w:val="424241"/>
          <w:spacing w:val="-2"/>
          <w:w w:val="105"/>
          <w:sz w:val="21"/>
        </w:rPr>
        <w:t>ivers</w:t>
      </w:r>
      <w:r>
        <w:rPr>
          <w:color w:val="666666"/>
          <w:spacing w:val="-2"/>
          <w:w w:val="105"/>
          <w:sz w:val="21"/>
        </w:rPr>
        <w:t>i</w:t>
      </w:r>
      <w:r>
        <w:rPr>
          <w:color w:val="333331"/>
          <w:spacing w:val="-2"/>
          <w:w w:val="105"/>
          <w:sz w:val="21"/>
        </w:rPr>
        <w:t>ty </w:t>
      </w:r>
      <w:r>
        <w:rPr>
          <w:color w:val="333331"/>
          <w:w w:val="105"/>
          <w:sz w:val="21"/>
        </w:rPr>
        <w:t>is</w:t>
      </w:r>
      <w:r>
        <w:rPr>
          <w:color w:val="333331"/>
          <w:spacing w:val="-16"/>
          <w:w w:val="105"/>
          <w:sz w:val="21"/>
        </w:rPr>
        <w:t> </w:t>
      </w:r>
      <w:r>
        <w:rPr>
          <w:color w:val="424241"/>
          <w:w w:val="105"/>
          <w:sz w:val="21"/>
        </w:rPr>
        <w:t>cons</w:t>
      </w:r>
      <w:r>
        <w:rPr>
          <w:color w:val="21211F"/>
          <w:w w:val="105"/>
          <w:sz w:val="21"/>
        </w:rPr>
        <w:t>i</w:t>
      </w:r>
      <w:r>
        <w:rPr>
          <w:color w:val="424241"/>
          <w:w w:val="105"/>
          <w:sz w:val="21"/>
        </w:rPr>
        <w:t>de</w:t>
      </w:r>
      <w:r>
        <w:rPr>
          <w:color w:val="21211F"/>
          <w:w w:val="105"/>
          <w:sz w:val="21"/>
        </w:rPr>
        <w:t>red</w:t>
      </w:r>
      <w:r>
        <w:rPr>
          <w:color w:val="21211F"/>
          <w:spacing w:val="-15"/>
          <w:w w:val="105"/>
          <w:sz w:val="21"/>
        </w:rPr>
        <w:t> </w:t>
      </w:r>
      <w:r>
        <w:rPr>
          <w:color w:val="21211F"/>
          <w:w w:val="105"/>
          <w:sz w:val="21"/>
        </w:rPr>
        <w:t>t</w:t>
      </w:r>
      <w:r>
        <w:rPr>
          <w:color w:val="424241"/>
          <w:w w:val="105"/>
          <w:sz w:val="21"/>
        </w:rPr>
        <w:t>o</w:t>
      </w:r>
      <w:r>
        <w:rPr>
          <w:color w:val="424241"/>
          <w:spacing w:val="-7"/>
          <w:w w:val="105"/>
          <w:sz w:val="21"/>
        </w:rPr>
        <w:t> </w:t>
      </w:r>
      <w:r>
        <w:rPr>
          <w:color w:val="333331"/>
          <w:w w:val="105"/>
          <w:sz w:val="21"/>
        </w:rPr>
        <w:t>be</w:t>
      </w:r>
      <w:r>
        <w:rPr>
          <w:color w:val="333331"/>
          <w:spacing w:val="-10"/>
          <w:w w:val="105"/>
          <w:sz w:val="21"/>
        </w:rPr>
        <w:t> </w:t>
      </w:r>
      <w:r>
        <w:rPr>
          <w:color w:val="333331"/>
          <w:w w:val="105"/>
          <w:sz w:val="21"/>
        </w:rPr>
        <w:t>in</w:t>
      </w:r>
      <w:r>
        <w:rPr>
          <w:color w:val="333331"/>
          <w:spacing w:val="-7"/>
          <w:w w:val="105"/>
          <w:sz w:val="21"/>
        </w:rPr>
        <w:t> </w:t>
      </w:r>
      <w:r>
        <w:rPr>
          <w:color w:val="424241"/>
          <w:w w:val="105"/>
          <w:sz w:val="21"/>
        </w:rPr>
        <w:t>compliance w</w:t>
      </w:r>
      <w:r>
        <w:rPr>
          <w:color w:val="070707"/>
          <w:w w:val="105"/>
          <w:sz w:val="21"/>
        </w:rPr>
        <w:t>i</w:t>
      </w:r>
      <w:r>
        <w:rPr>
          <w:color w:val="333331"/>
          <w:w w:val="105"/>
          <w:sz w:val="21"/>
        </w:rPr>
        <w:t>th</w:t>
      </w:r>
      <w:r>
        <w:rPr>
          <w:color w:val="333331"/>
          <w:spacing w:val="-9"/>
          <w:w w:val="105"/>
          <w:sz w:val="21"/>
        </w:rPr>
        <w:t> </w:t>
      </w:r>
      <w:r>
        <w:rPr>
          <w:color w:val="424241"/>
          <w:w w:val="105"/>
          <w:sz w:val="21"/>
        </w:rPr>
        <w:t>this</w:t>
      </w:r>
      <w:r>
        <w:rPr>
          <w:color w:val="424241"/>
          <w:spacing w:val="-28"/>
          <w:w w:val="105"/>
          <w:sz w:val="21"/>
        </w:rPr>
        <w:t> </w:t>
      </w:r>
      <w:r>
        <w:rPr>
          <w:color w:val="424241"/>
          <w:w w:val="105"/>
          <w:sz w:val="21"/>
        </w:rPr>
        <w:t>sta</w:t>
      </w:r>
      <w:r>
        <w:rPr>
          <w:color w:val="21211F"/>
          <w:w w:val="105"/>
          <w:sz w:val="21"/>
        </w:rPr>
        <w:t>nd</w:t>
      </w:r>
      <w:r>
        <w:rPr>
          <w:color w:val="424241"/>
          <w:w w:val="105"/>
          <w:sz w:val="21"/>
        </w:rPr>
        <w:t>a</w:t>
      </w:r>
      <w:r>
        <w:rPr>
          <w:color w:val="21211F"/>
          <w:w w:val="105"/>
          <w:sz w:val="21"/>
        </w:rPr>
        <w:t>rd</w:t>
      </w:r>
      <w:r>
        <w:rPr>
          <w:color w:val="424241"/>
          <w:w w:val="105"/>
          <w:sz w:val="21"/>
        </w:rPr>
        <w:t>,</w:t>
      </w:r>
      <w:r>
        <w:rPr>
          <w:color w:val="424241"/>
          <w:spacing w:val="-16"/>
          <w:w w:val="105"/>
          <w:sz w:val="21"/>
        </w:rPr>
        <w:t> </w:t>
      </w:r>
      <w:r>
        <w:rPr>
          <w:color w:val="333331"/>
          <w:w w:val="105"/>
          <w:sz w:val="21"/>
        </w:rPr>
        <w:t>but</w:t>
      </w:r>
      <w:r>
        <w:rPr>
          <w:color w:val="333331"/>
          <w:spacing w:val="-24"/>
          <w:w w:val="105"/>
          <w:sz w:val="21"/>
        </w:rPr>
        <w:t> </w:t>
      </w:r>
      <w:r>
        <w:rPr>
          <w:color w:val="424241"/>
          <w:w w:val="105"/>
          <w:sz w:val="21"/>
        </w:rPr>
        <w:t>o</w:t>
      </w:r>
      <w:r>
        <w:rPr>
          <w:color w:val="21211F"/>
          <w:w w:val="105"/>
          <w:sz w:val="21"/>
        </w:rPr>
        <w:t>ffic</w:t>
      </w:r>
      <w:r>
        <w:rPr>
          <w:color w:val="666666"/>
          <w:w w:val="105"/>
          <w:sz w:val="21"/>
        </w:rPr>
        <w:t>i</w:t>
      </w:r>
      <w:r>
        <w:rPr>
          <w:color w:val="424241"/>
          <w:w w:val="105"/>
          <w:sz w:val="21"/>
        </w:rPr>
        <w:t>als</w:t>
      </w:r>
      <w:r>
        <w:rPr>
          <w:color w:val="424241"/>
          <w:spacing w:val="-3"/>
          <w:w w:val="105"/>
          <w:sz w:val="21"/>
        </w:rPr>
        <w:t> </w:t>
      </w:r>
      <w:r>
        <w:rPr>
          <w:color w:val="424241"/>
          <w:w w:val="105"/>
          <w:sz w:val="21"/>
        </w:rPr>
        <w:t>are</w:t>
      </w:r>
      <w:r>
        <w:rPr>
          <w:color w:val="424241"/>
          <w:spacing w:val="-29"/>
          <w:w w:val="105"/>
          <w:sz w:val="21"/>
        </w:rPr>
        <w:t> </w:t>
      </w:r>
      <w:r>
        <w:rPr>
          <w:color w:val="333331"/>
          <w:w w:val="105"/>
          <w:sz w:val="21"/>
        </w:rPr>
        <w:t>asked</w:t>
      </w:r>
      <w:r>
        <w:rPr>
          <w:color w:val="333331"/>
          <w:spacing w:val="-15"/>
          <w:w w:val="105"/>
          <w:sz w:val="21"/>
        </w:rPr>
        <w:t> </w:t>
      </w:r>
      <w:r>
        <w:rPr>
          <w:color w:val="333331"/>
          <w:w w:val="105"/>
          <w:sz w:val="21"/>
        </w:rPr>
        <w:t>to</w:t>
      </w:r>
      <w:r>
        <w:rPr>
          <w:color w:val="333331"/>
          <w:spacing w:val="-25"/>
          <w:w w:val="105"/>
          <w:sz w:val="21"/>
        </w:rPr>
        <w:t> </w:t>
      </w:r>
      <w:r>
        <w:rPr>
          <w:color w:val="333331"/>
          <w:w w:val="105"/>
          <w:sz w:val="21"/>
        </w:rPr>
        <w:t>inc</w:t>
      </w:r>
      <w:r>
        <w:rPr>
          <w:color w:val="666666"/>
          <w:w w:val="105"/>
          <w:sz w:val="21"/>
        </w:rPr>
        <w:t>lu</w:t>
      </w:r>
      <w:r>
        <w:rPr>
          <w:color w:val="424241"/>
          <w:w w:val="105"/>
          <w:sz w:val="21"/>
        </w:rPr>
        <w:t>de</w:t>
      </w:r>
      <w:r>
        <w:rPr>
          <w:color w:val="424241"/>
          <w:spacing w:val="-13"/>
          <w:w w:val="105"/>
          <w:sz w:val="21"/>
        </w:rPr>
        <w:t> </w:t>
      </w:r>
      <w:r>
        <w:rPr>
          <w:color w:val="333331"/>
          <w:w w:val="105"/>
          <w:sz w:val="21"/>
        </w:rPr>
        <w:t>as</w:t>
      </w:r>
      <w:r>
        <w:rPr>
          <w:color w:val="333331"/>
          <w:spacing w:val="-8"/>
          <w:w w:val="105"/>
          <w:sz w:val="21"/>
        </w:rPr>
        <w:t> </w:t>
      </w:r>
      <w:r>
        <w:rPr>
          <w:color w:val="333331"/>
          <w:w w:val="105"/>
          <w:sz w:val="21"/>
        </w:rPr>
        <w:t>part of</w:t>
      </w:r>
      <w:r>
        <w:rPr>
          <w:color w:val="333331"/>
          <w:spacing w:val="-23"/>
          <w:w w:val="105"/>
          <w:sz w:val="21"/>
        </w:rPr>
        <w:t> </w:t>
      </w:r>
      <w:r>
        <w:rPr>
          <w:color w:val="545454"/>
          <w:w w:val="105"/>
          <w:sz w:val="21"/>
        </w:rPr>
        <w:t>i</w:t>
      </w:r>
      <w:r>
        <w:rPr>
          <w:color w:val="333331"/>
          <w:w w:val="105"/>
          <w:sz w:val="21"/>
        </w:rPr>
        <w:t>ts</w:t>
      </w:r>
      <w:r>
        <w:rPr>
          <w:color w:val="333331"/>
          <w:spacing w:val="-22"/>
          <w:w w:val="105"/>
          <w:sz w:val="21"/>
        </w:rPr>
        <w:t> </w:t>
      </w:r>
      <w:r>
        <w:rPr>
          <w:color w:val="424241"/>
          <w:w w:val="105"/>
          <w:sz w:val="21"/>
        </w:rPr>
        <w:t>Fi</w:t>
      </w:r>
      <w:r>
        <w:rPr>
          <w:color w:val="21211F"/>
          <w:w w:val="105"/>
          <w:sz w:val="21"/>
        </w:rPr>
        <w:t>fth</w:t>
      </w:r>
      <w:r>
        <w:rPr>
          <w:color w:val="545454"/>
          <w:w w:val="105"/>
          <w:sz w:val="21"/>
        </w:rPr>
        <w:t>-</w:t>
      </w:r>
      <w:r>
        <w:rPr>
          <w:color w:val="333331"/>
          <w:w w:val="105"/>
          <w:sz w:val="21"/>
        </w:rPr>
        <w:t>Year</w:t>
      </w:r>
      <w:r>
        <w:rPr>
          <w:color w:val="333331"/>
          <w:spacing w:val="-18"/>
          <w:w w:val="105"/>
          <w:sz w:val="21"/>
        </w:rPr>
        <w:t> </w:t>
      </w:r>
      <w:r>
        <w:rPr>
          <w:color w:val="21211F"/>
          <w:w w:val="105"/>
          <w:sz w:val="21"/>
        </w:rPr>
        <w:t>I</w:t>
      </w:r>
      <w:r>
        <w:rPr>
          <w:color w:val="545454"/>
          <w:w w:val="105"/>
          <w:sz w:val="21"/>
        </w:rPr>
        <w:t>n</w:t>
      </w:r>
      <w:r>
        <w:rPr>
          <w:color w:val="21211F"/>
          <w:w w:val="105"/>
          <w:sz w:val="21"/>
        </w:rPr>
        <w:t>t</w:t>
      </w:r>
      <w:r>
        <w:rPr>
          <w:color w:val="424241"/>
          <w:w w:val="105"/>
          <w:sz w:val="21"/>
        </w:rPr>
        <w:t>e</w:t>
      </w:r>
      <w:r>
        <w:rPr>
          <w:color w:val="21211F"/>
          <w:w w:val="105"/>
          <w:sz w:val="21"/>
        </w:rPr>
        <w:t>ri</w:t>
      </w:r>
      <w:r>
        <w:rPr>
          <w:color w:val="545454"/>
          <w:w w:val="105"/>
          <w:sz w:val="21"/>
        </w:rPr>
        <w:t>m</w:t>
      </w:r>
      <w:r>
        <w:rPr>
          <w:color w:val="545454"/>
          <w:spacing w:val="-16"/>
          <w:w w:val="105"/>
          <w:sz w:val="21"/>
        </w:rPr>
        <w:t> </w:t>
      </w:r>
      <w:r>
        <w:rPr>
          <w:color w:val="424241"/>
          <w:w w:val="105"/>
          <w:sz w:val="21"/>
        </w:rPr>
        <w:t>Re</w:t>
      </w:r>
      <w:r>
        <w:rPr>
          <w:color w:val="21211F"/>
          <w:w w:val="105"/>
          <w:sz w:val="21"/>
        </w:rPr>
        <w:t>port</w:t>
      </w:r>
      <w:r>
        <w:rPr>
          <w:color w:val="21211F"/>
          <w:spacing w:val="-18"/>
          <w:w w:val="105"/>
          <w:sz w:val="21"/>
        </w:rPr>
        <w:t> </w:t>
      </w:r>
      <w:r>
        <w:rPr>
          <w:color w:val="424241"/>
          <w:w w:val="105"/>
          <w:sz w:val="21"/>
        </w:rPr>
        <w:t>data</w:t>
      </w:r>
      <w:r>
        <w:rPr>
          <w:color w:val="424241"/>
          <w:spacing w:val="-16"/>
          <w:w w:val="105"/>
          <w:sz w:val="21"/>
        </w:rPr>
        <w:t> </w:t>
      </w:r>
      <w:r>
        <w:rPr>
          <w:color w:val="21211F"/>
          <w:w w:val="105"/>
          <w:sz w:val="21"/>
        </w:rPr>
        <w:t>d</w:t>
      </w:r>
      <w:r>
        <w:rPr>
          <w:color w:val="545454"/>
          <w:w w:val="105"/>
          <w:sz w:val="21"/>
        </w:rPr>
        <w:t>em</w:t>
      </w:r>
      <w:r>
        <w:rPr>
          <w:color w:val="333331"/>
          <w:w w:val="105"/>
          <w:sz w:val="21"/>
        </w:rPr>
        <w:t>onstrating</w:t>
      </w:r>
      <w:r>
        <w:rPr>
          <w:color w:val="333331"/>
          <w:spacing w:val="-15"/>
          <w:w w:val="105"/>
          <w:sz w:val="21"/>
        </w:rPr>
        <w:t> </w:t>
      </w:r>
      <w:r>
        <w:rPr>
          <w:color w:val="21211F"/>
          <w:w w:val="105"/>
          <w:sz w:val="21"/>
        </w:rPr>
        <w:t>t</w:t>
      </w:r>
      <w:r>
        <w:rPr>
          <w:color w:val="424241"/>
          <w:w w:val="105"/>
          <w:sz w:val="21"/>
        </w:rPr>
        <w:t>hat</w:t>
      </w:r>
      <w:r>
        <w:rPr>
          <w:color w:val="424241"/>
          <w:spacing w:val="-15"/>
          <w:w w:val="105"/>
          <w:sz w:val="21"/>
        </w:rPr>
        <w:t> </w:t>
      </w:r>
      <w:r>
        <w:rPr>
          <w:color w:val="424241"/>
          <w:w w:val="105"/>
          <w:sz w:val="21"/>
        </w:rPr>
        <w:t>the</w:t>
      </w:r>
      <w:r>
        <w:rPr>
          <w:color w:val="424241"/>
          <w:spacing w:val="-21"/>
          <w:w w:val="105"/>
          <w:sz w:val="21"/>
        </w:rPr>
        <w:t> </w:t>
      </w:r>
      <w:r>
        <w:rPr>
          <w:color w:val="21211F"/>
          <w:w w:val="105"/>
          <w:sz w:val="21"/>
        </w:rPr>
        <w:t>in</w:t>
      </w:r>
      <w:r>
        <w:rPr>
          <w:color w:val="424241"/>
          <w:w w:val="105"/>
          <w:sz w:val="21"/>
        </w:rPr>
        <w:t>stitut</w:t>
      </w:r>
      <w:r>
        <w:rPr>
          <w:color w:val="070707"/>
          <w:w w:val="105"/>
          <w:sz w:val="21"/>
        </w:rPr>
        <w:t>i</w:t>
      </w:r>
      <w:r>
        <w:rPr>
          <w:color w:val="333331"/>
          <w:w w:val="105"/>
          <w:sz w:val="21"/>
        </w:rPr>
        <w:t>on</w:t>
      </w:r>
      <w:r>
        <w:rPr>
          <w:color w:val="333331"/>
          <w:spacing w:val="-16"/>
          <w:w w:val="105"/>
          <w:sz w:val="21"/>
        </w:rPr>
        <w:t> </w:t>
      </w:r>
      <w:r>
        <w:rPr>
          <w:color w:val="424241"/>
          <w:w w:val="105"/>
          <w:sz w:val="21"/>
        </w:rPr>
        <w:t>contin</w:t>
      </w:r>
      <w:r>
        <w:rPr>
          <w:color w:val="21211F"/>
          <w:w w:val="105"/>
          <w:sz w:val="21"/>
        </w:rPr>
        <w:t>ues</w:t>
      </w:r>
      <w:r>
        <w:rPr>
          <w:color w:val="21211F"/>
          <w:spacing w:val="-15"/>
          <w:w w:val="105"/>
          <w:sz w:val="21"/>
        </w:rPr>
        <w:t> </w:t>
      </w:r>
      <w:r>
        <w:rPr>
          <w:color w:val="21211F"/>
          <w:w w:val="105"/>
          <w:sz w:val="21"/>
        </w:rPr>
        <w:t>t</w:t>
      </w:r>
      <w:r>
        <w:rPr>
          <w:color w:val="424241"/>
          <w:w w:val="105"/>
          <w:sz w:val="21"/>
        </w:rPr>
        <w:t>o</w:t>
      </w:r>
      <w:r>
        <w:rPr>
          <w:color w:val="424241"/>
          <w:spacing w:val="-15"/>
          <w:w w:val="105"/>
          <w:sz w:val="21"/>
        </w:rPr>
        <w:t> </w:t>
      </w:r>
      <w:r>
        <w:rPr>
          <w:color w:val="21211F"/>
          <w:w w:val="105"/>
          <w:sz w:val="21"/>
        </w:rPr>
        <w:t>improve</w:t>
      </w:r>
      <w:r>
        <w:rPr>
          <w:color w:val="21211F"/>
          <w:spacing w:val="-16"/>
          <w:w w:val="105"/>
          <w:sz w:val="21"/>
        </w:rPr>
        <w:t> </w:t>
      </w:r>
      <w:r>
        <w:rPr>
          <w:color w:val="21211F"/>
          <w:w w:val="105"/>
          <w:sz w:val="21"/>
        </w:rPr>
        <w:t>i</w:t>
      </w:r>
      <w:r>
        <w:rPr>
          <w:color w:val="424241"/>
          <w:w w:val="105"/>
          <w:sz w:val="21"/>
        </w:rPr>
        <w:t>ts </w:t>
      </w:r>
      <w:r>
        <w:rPr>
          <w:color w:val="333331"/>
          <w:w w:val="105"/>
          <w:sz w:val="21"/>
        </w:rPr>
        <w:t>assessment</w:t>
      </w:r>
      <w:r>
        <w:rPr>
          <w:color w:val="333331"/>
          <w:spacing w:val="-22"/>
          <w:w w:val="105"/>
          <w:sz w:val="21"/>
        </w:rPr>
        <w:t> </w:t>
      </w:r>
      <w:r>
        <w:rPr>
          <w:color w:val="333331"/>
          <w:w w:val="105"/>
          <w:sz w:val="21"/>
        </w:rPr>
        <w:t>of</w:t>
      </w:r>
      <w:r>
        <w:rPr>
          <w:color w:val="333331"/>
          <w:spacing w:val="9"/>
          <w:w w:val="105"/>
          <w:sz w:val="21"/>
        </w:rPr>
        <w:t> </w:t>
      </w:r>
      <w:r>
        <w:rPr>
          <w:color w:val="424241"/>
          <w:w w:val="105"/>
          <w:sz w:val="21"/>
        </w:rPr>
        <w:t>the</w:t>
      </w:r>
      <w:r>
        <w:rPr>
          <w:color w:val="424241"/>
          <w:spacing w:val="-15"/>
          <w:w w:val="105"/>
          <w:sz w:val="21"/>
        </w:rPr>
        <w:t> </w:t>
      </w:r>
      <w:r>
        <w:rPr>
          <w:color w:val="333331"/>
          <w:w w:val="105"/>
          <w:sz w:val="21"/>
        </w:rPr>
        <w:t>extent</w:t>
      </w:r>
      <w:r>
        <w:rPr>
          <w:color w:val="333331"/>
          <w:spacing w:val="-12"/>
          <w:w w:val="105"/>
          <w:sz w:val="21"/>
        </w:rPr>
        <w:t> </w:t>
      </w:r>
      <w:r>
        <w:rPr>
          <w:color w:val="333331"/>
          <w:w w:val="105"/>
          <w:sz w:val="21"/>
        </w:rPr>
        <w:t>to</w:t>
      </w:r>
      <w:r>
        <w:rPr>
          <w:color w:val="333331"/>
          <w:spacing w:val="-8"/>
          <w:w w:val="105"/>
          <w:sz w:val="21"/>
        </w:rPr>
        <w:t> </w:t>
      </w:r>
      <w:r>
        <w:rPr>
          <w:color w:val="424241"/>
          <w:w w:val="105"/>
          <w:sz w:val="21"/>
        </w:rPr>
        <w:t>w</w:t>
      </w:r>
      <w:r>
        <w:rPr>
          <w:color w:val="21211F"/>
          <w:w w:val="105"/>
          <w:sz w:val="21"/>
        </w:rPr>
        <w:t>h</w:t>
      </w:r>
      <w:r>
        <w:rPr>
          <w:color w:val="545454"/>
          <w:w w:val="105"/>
          <w:sz w:val="21"/>
        </w:rPr>
        <w:t>i</w:t>
      </w:r>
      <w:r>
        <w:rPr>
          <w:color w:val="333331"/>
          <w:w w:val="105"/>
          <w:sz w:val="21"/>
        </w:rPr>
        <w:t>ch</w:t>
      </w:r>
      <w:r>
        <w:rPr>
          <w:color w:val="333331"/>
          <w:spacing w:val="-7"/>
          <w:w w:val="105"/>
          <w:sz w:val="21"/>
        </w:rPr>
        <w:t> </w:t>
      </w:r>
      <w:r>
        <w:rPr>
          <w:color w:val="333331"/>
          <w:w w:val="105"/>
          <w:sz w:val="21"/>
        </w:rPr>
        <w:t>students</w:t>
      </w:r>
      <w:r>
        <w:rPr>
          <w:color w:val="333331"/>
          <w:spacing w:val="-14"/>
          <w:w w:val="105"/>
          <w:sz w:val="21"/>
        </w:rPr>
        <w:t> </w:t>
      </w:r>
      <w:r>
        <w:rPr>
          <w:color w:val="424241"/>
          <w:w w:val="105"/>
          <w:sz w:val="21"/>
        </w:rPr>
        <w:t>have</w:t>
      </w:r>
      <w:r>
        <w:rPr>
          <w:color w:val="424241"/>
          <w:spacing w:val="-29"/>
          <w:w w:val="105"/>
          <w:sz w:val="21"/>
        </w:rPr>
        <w:t> </w:t>
      </w:r>
      <w:r>
        <w:rPr>
          <w:color w:val="333331"/>
          <w:w w:val="105"/>
          <w:sz w:val="21"/>
        </w:rPr>
        <w:t>attained</w:t>
      </w:r>
      <w:r>
        <w:rPr>
          <w:color w:val="333331"/>
          <w:spacing w:val="-9"/>
          <w:w w:val="105"/>
          <w:sz w:val="21"/>
        </w:rPr>
        <w:t> </w:t>
      </w:r>
      <w:r>
        <w:rPr>
          <w:color w:val="21211F"/>
          <w:w w:val="105"/>
          <w:sz w:val="21"/>
        </w:rPr>
        <w:t>g</w:t>
      </w:r>
      <w:r>
        <w:rPr>
          <w:color w:val="424241"/>
          <w:w w:val="105"/>
          <w:sz w:val="21"/>
        </w:rPr>
        <w:t>eneral</w:t>
      </w:r>
      <w:r>
        <w:rPr>
          <w:color w:val="424241"/>
          <w:spacing w:val="-13"/>
          <w:w w:val="105"/>
          <w:sz w:val="21"/>
        </w:rPr>
        <w:t> </w:t>
      </w:r>
      <w:r>
        <w:rPr>
          <w:color w:val="545454"/>
          <w:w w:val="105"/>
          <w:sz w:val="21"/>
        </w:rPr>
        <w:t>e</w:t>
      </w:r>
      <w:r>
        <w:rPr>
          <w:color w:val="333331"/>
          <w:w w:val="105"/>
          <w:sz w:val="21"/>
        </w:rPr>
        <w:t>ducation</w:t>
      </w:r>
      <w:r>
        <w:rPr>
          <w:color w:val="333331"/>
          <w:spacing w:val="-9"/>
          <w:w w:val="105"/>
          <w:sz w:val="21"/>
        </w:rPr>
        <w:t> </w:t>
      </w:r>
      <w:r>
        <w:rPr>
          <w:color w:val="333331"/>
          <w:w w:val="105"/>
          <w:sz w:val="21"/>
        </w:rPr>
        <w:t>competenc</w:t>
      </w:r>
      <w:r>
        <w:rPr>
          <w:color w:val="545454"/>
          <w:w w:val="105"/>
          <w:sz w:val="21"/>
        </w:rPr>
        <w:t>ies.</w:t>
      </w:r>
    </w:p>
    <w:p>
      <w:pPr>
        <w:pStyle w:val="BodyText"/>
        <w:spacing w:before="3"/>
        <w:rPr>
          <w:sz w:val="21"/>
        </w:rPr>
      </w:pPr>
    </w:p>
    <w:p>
      <w:pPr>
        <w:spacing w:line="247" w:lineRule="auto" w:before="1"/>
        <w:ind w:left="879" w:right="1023" w:firstLine="16"/>
        <w:jc w:val="left"/>
        <w:rPr>
          <w:sz w:val="21"/>
        </w:rPr>
      </w:pPr>
      <w:r>
        <w:rPr>
          <w:color w:val="333331"/>
          <w:w w:val="105"/>
          <w:sz w:val="21"/>
        </w:rPr>
        <w:t>Your</w:t>
      </w:r>
      <w:r>
        <w:rPr>
          <w:color w:val="333331"/>
          <w:spacing w:val="-18"/>
          <w:w w:val="105"/>
          <w:sz w:val="21"/>
        </w:rPr>
        <w:t> </w:t>
      </w:r>
      <w:r>
        <w:rPr>
          <w:color w:val="21211F"/>
          <w:w w:val="105"/>
          <w:sz w:val="21"/>
        </w:rPr>
        <w:t>ins</w:t>
      </w:r>
      <w:r>
        <w:rPr>
          <w:color w:val="424241"/>
          <w:w w:val="105"/>
          <w:sz w:val="21"/>
        </w:rPr>
        <w:t>titu</w:t>
      </w:r>
      <w:r>
        <w:rPr>
          <w:color w:val="21211F"/>
          <w:w w:val="105"/>
          <w:sz w:val="21"/>
        </w:rPr>
        <w:t>ti</w:t>
      </w:r>
      <w:r>
        <w:rPr>
          <w:color w:val="424241"/>
          <w:w w:val="105"/>
          <w:sz w:val="21"/>
        </w:rPr>
        <w:t>on</w:t>
      </w:r>
      <w:r>
        <w:rPr>
          <w:color w:val="424241"/>
          <w:spacing w:val="-16"/>
          <w:w w:val="105"/>
          <w:sz w:val="21"/>
        </w:rPr>
        <w:t> </w:t>
      </w:r>
      <w:r>
        <w:rPr>
          <w:color w:val="333331"/>
          <w:w w:val="105"/>
          <w:sz w:val="21"/>
        </w:rPr>
        <w:t>will</w:t>
      </w:r>
      <w:r>
        <w:rPr>
          <w:color w:val="333331"/>
          <w:spacing w:val="-29"/>
          <w:w w:val="105"/>
          <w:sz w:val="21"/>
        </w:rPr>
        <w:t> </w:t>
      </w:r>
      <w:r>
        <w:rPr>
          <w:color w:val="333331"/>
          <w:w w:val="105"/>
          <w:sz w:val="21"/>
        </w:rPr>
        <w:t>be</w:t>
      </w:r>
      <w:r>
        <w:rPr>
          <w:color w:val="333331"/>
          <w:spacing w:val="-16"/>
          <w:w w:val="105"/>
          <w:sz w:val="21"/>
        </w:rPr>
        <w:t> </w:t>
      </w:r>
      <w:r>
        <w:rPr>
          <w:color w:val="424241"/>
          <w:w w:val="105"/>
          <w:sz w:val="21"/>
        </w:rPr>
        <w:t>notified</w:t>
      </w:r>
      <w:r>
        <w:rPr>
          <w:color w:val="424241"/>
          <w:spacing w:val="-30"/>
          <w:w w:val="105"/>
          <w:sz w:val="21"/>
        </w:rPr>
        <w:t> </w:t>
      </w:r>
      <w:r>
        <w:rPr>
          <w:color w:val="424241"/>
          <w:w w:val="105"/>
          <w:sz w:val="21"/>
        </w:rPr>
        <w:t>app</w:t>
      </w:r>
      <w:r>
        <w:rPr>
          <w:color w:val="21211F"/>
          <w:w w:val="105"/>
          <w:sz w:val="21"/>
        </w:rPr>
        <w:t>r</w:t>
      </w:r>
      <w:r>
        <w:rPr>
          <w:color w:val="424241"/>
          <w:w w:val="105"/>
          <w:sz w:val="21"/>
        </w:rPr>
        <w:t>o</w:t>
      </w:r>
      <w:r>
        <w:rPr>
          <w:color w:val="21211F"/>
          <w:w w:val="105"/>
          <w:sz w:val="21"/>
        </w:rPr>
        <w:t>x</w:t>
      </w:r>
      <w:r>
        <w:rPr>
          <w:color w:val="666666"/>
          <w:w w:val="105"/>
          <w:sz w:val="21"/>
        </w:rPr>
        <w:t>i</w:t>
      </w:r>
      <w:r>
        <w:rPr>
          <w:color w:val="333331"/>
          <w:w w:val="105"/>
          <w:sz w:val="21"/>
        </w:rPr>
        <w:t>mately</w:t>
      </w:r>
      <w:r>
        <w:rPr>
          <w:color w:val="333331"/>
          <w:spacing w:val="-16"/>
          <w:w w:val="105"/>
          <w:sz w:val="21"/>
        </w:rPr>
        <w:t> </w:t>
      </w:r>
      <w:r>
        <w:rPr>
          <w:color w:val="424241"/>
          <w:w w:val="105"/>
          <w:sz w:val="21"/>
        </w:rPr>
        <w:t>o</w:t>
      </w:r>
      <w:r>
        <w:rPr>
          <w:color w:val="21211F"/>
          <w:w w:val="105"/>
          <w:sz w:val="21"/>
        </w:rPr>
        <w:t>ne</w:t>
      </w:r>
      <w:r>
        <w:rPr>
          <w:color w:val="21211F"/>
          <w:spacing w:val="-15"/>
          <w:w w:val="105"/>
          <w:sz w:val="21"/>
        </w:rPr>
        <w:t> </w:t>
      </w:r>
      <w:r>
        <w:rPr>
          <w:color w:val="333331"/>
          <w:w w:val="105"/>
          <w:sz w:val="21"/>
        </w:rPr>
        <w:t>year</w:t>
      </w:r>
      <w:r>
        <w:rPr>
          <w:color w:val="333331"/>
          <w:spacing w:val="-21"/>
          <w:w w:val="105"/>
          <w:sz w:val="21"/>
        </w:rPr>
        <w:t> </w:t>
      </w:r>
      <w:r>
        <w:rPr>
          <w:color w:val="545454"/>
          <w:w w:val="105"/>
          <w:sz w:val="21"/>
        </w:rPr>
        <w:t>in</w:t>
      </w:r>
      <w:r>
        <w:rPr>
          <w:color w:val="545454"/>
          <w:spacing w:val="-8"/>
          <w:w w:val="105"/>
          <w:sz w:val="21"/>
        </w:rPr>
        <w:t> </w:t>
      </w:r>
      <w:r>
        <w:rPr>
          <w:color w:val="333331"/>
          <w:w w:val="105"/>
          <w:sz w:val="21"/>
        </w:rPr>
        <w:t>advance</w:t>
      </w:r>
      <w:r>
        <w:rPr>
          <w:color w:val="333331"/>
          <w:spacing w:val="-21"/>
          <w:w w:val="105"/>
          <w:sz w:val="21"/>
        </w:rPr>
        <w:t> </w:t>
      </w:r>
      <w:r>
        <w:rPr>
          <w:color w:val="424241"/>
          <w:w w:val="105"/>
          <w:sz w:val="21"/>
        </w:rPr>
        <w:t>of</w:t>
      </w:r>
      <w:r>
        <w:rPr>
          <w:color w:val="424241"/>
          <w:spacing w:val="3"/>
          <w:w w:val="105"/>
          <w:sz w:val="21"/>
        </w:rPr>
        <w:t> </w:t>
      </w:r>
      <w:r>
        <w:rPr>
          <w:color w:val="333331"/>
          <w:w w:val="105"/>
          <w:sz w:val="21"/>
        </w:rPr>
        <w:t>the</w:t>
      </w:r>
      <w:r>
        <w:rPr>
          <w:color w:val="333331"/>
          <w:spacing w:val="-16"/>
          <w:w w:val="105"/>
          <w:sz w:val="21"/>
        </w:rPr>
        <w:t> </w:t>
      </w:r>
      <w:r>
        <w:rPr>
          <w:color w:val="333331"/>
          <w:w w:val="105"/>
          <w:sz w:val="21"/>
        </w:rPr>
        <w:t>due</w:t>
      </w:r>
      <w:r>
        <w:rPr>
          <w:color w:val="333331"/>
          <w:spacing w:val="-29"/>
          <w:w w:val="105"/>
          <w:sz w:val="21"/>
        </w:rPr>
        <w:t> </w:t>
      </w:r>
      <w:r>
        <w:rPr>
          <w:color w:val="333331"/>
          <w:w w:val="105"/>
          <w:sz w:val="21"/>
        </w:rPr>
        <w:t>da</w:t>
      </w:r>
      <w:r>
        <w:rPr>
          <w:color w:val="545454"/>
          <w:w w:val="105"/>
          <w:sz w:val="21"/>
        </w:rPr>
        <w:t>t</w:t>
      </w:r>
      <w:r>
        <w:rPr>
          <w:color w:val="21211F"/>
          <w:w w:val="105"/>
          <w:sz w:val="21"/>
        </w:rPr>
        <w:t>e</w:t>
      </w:r>
      <w:r>
        <w:rPr>
          <w:color w:val="21211F"/>
          <w:spacing w:val="-8"/>
          <w:w w:val="105"/>
          <w:sz w:val="21"/>
        </w:rPr>
        <w:t> </w:t>
      </w:r>
      <w:r>
        <w:rPr>
          <w:color w:val="21211F"/>
          <w:w w:val="105"/>
          <w:sz w:val="21"/>
        </w:rPr>
        <w:t>for</w:t>
      </w:r>
      <w:r>
        <w:rPr>
          <w:color w:val="21211F"/>
          <w:spacing w:val="-27"/>
          <w:w w:val="105"/>
          <w:sz w:val="21"/>
        </w:rPr>
        <w:t> </w:t>
      </w:r>
      <w:r>
        <w:rPr>
          <w:color w:val="424241"/>
          <w:w w:val="105"/>
          <w:sz w:val="21"/>
        </w:rPr>
        <w:t>your </w:t>
      </w:r>
      <w:r>
        <w:rPr>
          <w:color w:val="333331"/>
          <w:w w:val="105"/>
          <w:sz w:val="21"/>
        </w:rPr>
        <w:t>Fifth</w:t>
      </w:r>
      <w:r>
        <w:rPr>
          <w:color w:val="666666"/>
          <w:w w:val="105"/>
          <w:sz w:val="21"/>
        </w:rPr>
        <w:t>-</w:t>
      </w:r>
      <w:r>
        <w:rPr>
          <w:color w:val="424241"/>
          <w:w w:val="105"/>
          <w:sz w:val="21"/>
        </w:rPr>
        <w:t>Yea</w:t>
      </w:r>
      <w:r>
        <w:rPr>
          <w:color w:val="21211F"/>
          <w:w w:val="105"/>
          <w:sz w:val="21"/>
        </w:rPr>
        <w:t>r</w:t>
      </w:r>
      <w:r>
        <w:rPr>
          <w:color w:val="21211F"/>
          <w:spacing w:val="-12"/>
          <w:w w:val="105"/>
          <w:sz w:val="21"/>
        </w:rPr>
        <w:t> </w:t>
      </w:r>
      <w:r>
        <w:rPr>
          <w:color w:val="545454"/>
          <w:w w:val="105"/>
          <w:sz w:val="21"/>
        </w:rPr>
        <w:t>I</w:t>
      </w:r>
      <w:r>
        <w:rPr>
          <w:color w:val="21211F"/>
          <w:w w:val="105"/>
          <w:sz w:val="21"/>
        </w:rPr>
        <w:t>nte</w:t>
      </w:r>
      <w:r>
        <w:rPr>
          <w:color w:val="545454"/>
          <w:w w:val="105"/>
          <w:sz w:val="21"/>
        </w:rPr>
        <w:t>ri</w:t>
      </w:r>
      <w:r>
        <w:rPr>
          <w:color w:val="21211F"/>
          <w:w w:val="105"/>
          <w:sz w:val="21"/>
        </w:rPr>
        <w:t>m</w:t>
      </w:r>
      <w:r>
        <w:rPr>
          <w:color w:val="21211F"/>
          <w:spacing w:val="-8"/>
          <w:w w:val="105"/>
          <w:sz w:val="21"/>
        </w:rPr>
        <w:t> </w:t>
      </w:r>
      <w:r>
        <w:rPr>
          <w:color w:val="333331"/>
          <w:w w:val="105"/>
          <w:sz w:val="21"/>
        </w:rPr>
        <w:t>Report.</w:t>
      </w:r>
      <w:r>
        <w:rPr>
          <w:color w:val="333331"/>
          <w:spacing w:val="40"/>
          <w:w w:val="105"/>
          <w:sz w:val="21"/>
        </w:rPr>
        <w:t> </w:t>
      </w:r>
      <w:r>
        <w:rPr>
          <w:color w:val="424241"/>
          <w:w w:val="105"/>
          <w:sz w:val="21"/>
        </w:rPr>
        <w:t>Directions </w:t>
      </w:r>
      <w:r>
        <w:rPr>
          <w:color w:val="333331"/>
          <w:w w:val="105"/>
          <w:sz w:val="21"/>
        </w:rPr>
        <w:t>for</w:t>
      </w:r>
      <w:r>
        <w:rPr>
          <w:color w:val="333331"/>
          <w:spacing w:val="-9"/>
          <w:w w:val="105"/>
          <w:sz w:val="21"/>
        </w:rPr>
        <w:t> </w:t>
      </w:r>
      <w:r>
        <w:rPr>
          <w:color w:val="333331"/>
          <w:w w:val="105"/>
          <w:sz w:val="21"/>
        </w:rPr>
        <w:t>comp</w:t>
      </w:r>
      <w:r>
        <w:rPr>
          <w:color w:val="666666"/>
          <w:w w:val="105"/>
          <w:sz w:val="21"/>
        </w:rPr>
        <w:t>l</w:t>
      </w:r>
      <w:r>
        <w:rPr>
          <w:color w:val="424241"/>
          <w:w w:val="105"/>
          <w:sz w:val="21"/>
        </w:rPr>
        <w:t>e</w:t>
      </w:r>
      <w:r>
        <w:rPr>
          <w:color w:val="21211F"/>
          <w:w w:val="105"/>
          <w:sz w:val="21"/>
        </w:rPr>
        <w:t>tion </w:t>
      </w:r>
      <w:r>
        <w:rPr>
          <w:color w:val="424241"/>
          <w:w w:val="105"/>
          <w:sz w:val="21"/>
        </w:rPr>
        <w:t>of</w:t>
      </w:r>
      <w:r>
        <w:rPr>
          <w:color w:val="424241"/>
          <w:spacing w:val="24"/>
          <w:w w:val="105"/>
          <w:sz w:val="21"/>
        </w:rPr>
        <w:t> </w:t>
      </w:r>
      <w:r>
        <w:rPr>
          <w:color w:val="21211F"/>
          <w:w w:val="105"/>
          <w:sz w:val="21"/>
        </w:rPr>
        <w:t>the</w:t>
      </w:r>
      <w:r>
        <w:rPr>
          <w:color w:val="21211F"/>
          <w:spacing w:val="-13"/>
          <w:w w:val="105"/>
          <w:sz w:val="21"/>
        </w:rPr>
        <w:t> </w:t>
      </w:r>
      <w:r>
        <w:rPr>
          <w:color w:val="333331"/>
          <w:w w:val="105"/>
          <w:sz w:val="21"/>
        </w:rPr>
        <w:t>report </w:t>
      </w:r>
      <w:r>
        <w:rPr>
          <w:color w:val="424241"/>
          <w:w w:val="105"/>
          <w:sz w:val="21"/>
        </w:rPr>
        <w:t>will</w:t>
      </w:r>
      <w:r>
        <w:rPr>
          <w:color w:val="424241"/>
          <w:spacing w:val="-24"/>
          <w:w w:val="105"/>
          <w:sz w:val="21"/>
        </w:rPr>
        <w:t> </w:t>
      </w:r>
      <w:r>
        <w:rPr>
          <w:color w:val="333331"/>
          <w:w w:val="105"/>
          <w:sz w:val="21"/>
        </w:rPr>
        <w:t>be</w:t>
      </w:r>
      <w:r>
        <w:rPr>
          <w:color w:val="333331"/>
          <w:spacing w:val="-20"/>
          <w:w w:val="105"/>
          <w:sz w:val="21"/>
        </w:rPr>
        <w:t> </w:t>
      </w:r>
      <w:r>
        <w:rPr>
          <w:color w:val="424241"/>
          <w:w w:val="105"/>
          <w:sz w:val="21"/>
        </w:rPr>
        <w:t>i</w:t>
      </w:r>
      <w:r>
        <w:rPr>
          <w:color w:val="21211F"/>
          <w:w w:val="105"/>
          <w:sz w:val="21"/>
        </w:rPr>
        <w:t>n</w:t>
      </w:r>
      <w:r>
        <w:rPr>
          <w:color w:val="424241"/>
          <w:w w:val="105"/>
          <w:sz w:val="21"/>
        </w:rPr>
        <w:t>cluded</w:t>
      </w:r>
      <w:r>
        <w:rPr>
          <w:color w:val="7B7B7B"/>
          <w:w w:val="105"/>
          <w:sz w:val="21"/>
        </w:rPr>
        <w:t>.</w:t>
      </w:r>
    </w:p>
    <w:p>
      <w:pPr>
        <w:pStyle w:val="BodyText"/>
        <w:spacing w:before="6"/>
      </w:pPr>
    </w:p>
    <w:p>
      <w:pPr>
        <w:spacing w:line="247" w:lineRule="auto" w:before="0"/>
        <w:ind w:left="233" w:right="642" w:firstLine="4"/>
        <w:jc w:val="left"/>
        <w:rPr>
          <w:sz w:val="21"/>
        </w:rPr>
      </w:pPr>
      <w:r>
        <w:rPr>
          <w:color w:val="333331"/>
          <w:w w:val="105"/>
          <w:sz w:val="21"/>
        </w:rPr>
        <w:t>We</w:t>
      </w:r>
      <w:r>
        <w:rPr>
          <w:color w:val="333331"/>
          <w:spacing w:val="-16"/>
          <w:w w:val="105"/>
          <w:sz w:val="21"/>
        </w:rPr>
        <w:t> </w:t>
      </w:r>
      <w:r>
        <w:rPr>
          <w:color w:val="424241"/>
          <w:w w:val="105"/>
          <w:sz w:val="21"/>
        </w:rPr>
        <w:t>apprec</w:t>
      </w:r>
      <w:r>
        <w:rPr>
          <w:color w:val="666666"/>
          <w:w w:val="105"/>
          <w:sz w:val="21"/>
        </w:rPr>
        <w:t>i</w:t>
      </w:r>
      <w:r>
        <w:rPr>
          <w:color w:val="333331"/>
          <w:w w:val="105"/>
          <w:sz w:val="21"/>
        </w:rPr>
        <w:t>ate</w:t>
      </w:r>
      <w:r>
        <w:rPr>
          <w:color w:val="333331"/>
          <w:spacing w:val="-15"/>
          <w:w w:val="105"/>
          <w:sz w:val="21"/>
        </w:rPr>
        <w:t> </w:t>
      </w:r>
      <w:r>
        <w:rPr>
          <w:color w:val="424241"/>
          <w:w w:val="105"/>
          <w:sz w:val="21"/>
        </w:rPr>
        <w:t>yo</w:t>
      </w:r>
      <w:r>
        <w:rPr>
          <w:color w:val="21211F"/>
          <w:w w:val="105"/>
          <w:sz w:val="21"/>
        </w:rPr>
        <w:t>ur</w:t>
      </w:r>
      <w:r>
        <w:rPr>
          <w:color w:val="21211F"/>
          <w:spacing w:val="-15"/>
          <w:w w:val="105"/>
          <w:sz w:val="21"/>
        </w:rPr>
        <w:t> </w:t>
      </w:r>
      <w:r>
        <w:rPr>
          <w:color w:val="424241"/>
          <w:w w:val="105"/>
          <w:sz w:val="21"/>
        </w:rPr>
        <w:t>co</w:t>
      </w:r>
      <w:r>
        <w:rPr>
          <w:color w:val="21211F"/>
          <w:w w:val="105"/>
          <w:sz w:val="21"/>
        </w:rPr>
        <w:t>n</w:t>
      </w:r>
      <w:r>
        <w:rPr>
          <w:color w:val="424241"/>
          <w:w w:val="105"/>
          <w:sz w:val="21"/>
        </w:rPr>
        <w:t>tinued</w:t>
      </w:r>
      <w:r>
        <w:rPr>
          <w:color w:val="424241"/>
          <w:spacing w:val="-16"/>
          <w:w w:val="105"/>
          <w:sz w:val="21"/>
        </w:rPr>
        <w:t> </w:t>
      </w:r>
      <w:r>
        <w:rPr>
          <w:color w:val="424241"/>
          <w:w w:val="105"/>
          <w:sz w:val="21"/>
        </w:rPr>
        <w:t>s</w:t>
      </w:r>
      <w:r>
        <w:rPr>
          <w:color w:val="21211F"/>
          <w:w w:val="105"/>
          <w:sz w:val="21"/>
        </w:rPr>
        <w:t>u</w:t>
      </w:r>
      <w:r>
        <w:rPr>
          <w:color w:val="424241"/>
          <w:w w:val="105"/>
          <w:sz w:val="21"/>
        </w:rPr>
        <w:t>ppo</w:t>
      </w:r>
      <w:r>
        <w:rPr>
          <w:color w:val="21211F"/>
          <w:w w:val="105"/>
          <w:sz w:val="21"/>
        </w:rPr>
        <w:t>rt</w:t>
      </w:r>
      <w:r>
        <w:rPr>
          <w:color w:val="21211F"/>
          <w:spacing w:val="-20"/>
          <w:w w:val="105"/>
          <w:sz w:val="21"/>
        </w:rPr>
        <w:t> </w:t>
      </w:r>
      <w:r>
        <w:rPr>
          <w:color w:val="424241"/>
          <w:w w:val="105"/>
          <w:sz w:val="21"/>
        </w:rPr>
        <w:t>o</w:t>
      </w:r>
      <w:r>
        <w:rPr>
          <w:color w:val="21211F"/>
          <w:w w:val="105"/>
          <w:sz w:val="21"/>
        </w:rPr>
        <w:t>f</w:t>
      </w:r>
      <w:r>
        <w:rPr>
          <w:color w:val="21211F"/>
          <w:spacing w:val="-15"/>
          <w:w w:val="105"/>
          <w:sz w:val="21"/>
        </w:rPr>
        <w:t> </w:t>
      </w:r>
      <w:r>
        <w:rPr>
          <w:color w:val="545454"/>
          <w:w w:val="105"/>
          <w:sz w:val="21"/>
        </w:rPr>
        <w:t>t</w:t>
      </w:r>
      <w:r>
        <w:rPr>
          <w:color w:val="21211F"/>
          <w:w w:val="105"/>
          <w:sz w:val="21"/>
        </w:rPr>
        <w:t>he</w:t>
      </w:r>
      <w:r>
        <w:rPr>
          <w:color w:val="21211F"/>
          <w:spacing w:val="-15"/>
          <w:w w:val="105"/>
          <w:sz w:val="21"/>
        </w:rPr>
        <w:t> </w:t>
      </w:r>
      <w:r>
        <w:rPr>
          <w:color w:val="333331"/>
          <w:w w:val="105"/>
          <w:sz w:val="21"/>
        </w:rPr>
        <w:t>activities</w:t>
      </w:r>
      <w:r>
        <w:rPr>
          <w:color w:val="333331"/>
          <w:spacing w:val="-16"/>
          <w:w w:val="105"/>
          <w:sz w:val="21"/>
        </w:rPr>
        <w:t> </w:t>
      </w:r>
      <w:r>
        <w:rPr>
          <w:color w:val="333331"/>
          <w:w w:val="105"/>
          <w:sz w:val="21"/>
        </w:rPr>
        <w:t>of</w:t>
      </w:r>
      <w:r>
        <w:rPr>
          <w:color w:val="333331"/>
          <w:spacing w:val="-15"/>
          <w:w w:val="105"/>
          <w:sz w:val="21"/>
        </w:rPr>
        <w:t> </w:t>
      </w:r>
      <w:r>
        <w:rPr>
          <w:color w:val="21211F"/>
          <w:w w:val="105"/>
          <w:sz w:val="21"/>
        </w:rPr>
        <w:t>the</w:t>
      </w:r>
      <w:r>
        <w:rPr>
          <w:color w:val="21211F"/>
          <w:spacing w:val="-17"/>
          <w:w w:val="105"/>
          <w:sz w:val="21"/>
        </w:rPr>
        <w:t> </w:t>
      </w:r>
      <w:r>
        <w:rPr>
          <w:color w:val="333331"/>
          <w:w w:val="105"/>
          <w:sz w:val="21"/>
        </w:rPr>
        <w:t>Comm</w:t>
      </w:r>
      <w:r>
        <w:rPr>
          <w:color w:val="545454"/>
          <w:w w:val="105"/>
          <w:sz w:val="21"/>
        </w:rPr>
        <w:t>is</w:t>
      </w:r>
      <w:r>
        <w:rPr>
          <w:color w:val="333331"/>
          <w:w w:val="105"/>
          <w:sz w:val="21"/>
        </w:rPr>
        <w:t>sio</w:t>
      </w:r>
      <w:r>
        <w:rPr>
          <w:color w:val="545454"/>
          <w:w w:val="105"/>
          <w:sz w:val="21"/>
        </w:rPr>
        <w:t>n</w:t>
      </w:r>
      <w:r>
        <w:rPr>
          <w:color w:val="545454"/>
          <w:spacing w:val="-23"/>
          <w:w w:val="105"/>
          <w:sz w:val="21"/>
        </w:rPr>
        <w:t> </w:t>
      </w:r>
      <w:r>
        <w:rPr>
          <w:color w:val="333331"/>
          <w:w w:val="105"/>
          <w:sz w:val="21"/>
        </w:rPr>
        <w:t>on</w:t>
      </w:r>
      <w:r>
        <w:rPr>
          <w:color w:val="333331"/>
          <w:spacing w:val="-15"/>
          <w:w w:val="105"/>
          <w:sz w:val="21"/>
        </w:rPr>
        <w:t> </w:t>
      </w:r>
      <w:r>
        <w:rPr>
          <w:color w:val="333331"/>
          <w:w w:val="105"/>
          <w:sz w:val="21"/>
        </w:rPr>
        <w:t>Colleges</w:t>
      </w:r>
      <w:r>
        <w:rPr>
          <w:color w:val="545454"/>
          <w:w w:val="105"/>
          <w:sz w:val="21"/>
        </w:rPr>
        <w:t>.</w:t>
      </w:r>
      <w:r>
        <w:rPr>
          <w:color w:val="545454"/>
          <w:spacing w:val="2"/>
          <w:w w:val="105"/>
          <w:sz w:val="21"/>
        </w:rPr>
        <w:t> </w:t>
      </w:r>
      <w:r>
        <w:rPr>
          <w:color w:val="545454"/>
          <w:w w:val="105"/>
          <w:sz w:val="21"/>
        </w:rPr>
        <w:t>If</w:t>
      </w:r>
      <w:r>
        <w:rPr>
          <w:color w:val="545454"/>
          <w:spacing w:val="-15"/>
          <w:w w:val="105"/>
          <w:sz w:val="21"/>
        </w:rPr>
        <w:t> </w:t>
      </w:r>
      <w:r>
        <w:rPr>
          <w:color w:val="333331"/>
          <w:w w:val="105"/>
          <w:sz w:val="21"/>
        </w:rPr>
        <w:t>you</w:t>
      </w:r>
      <w:r>
        <w:rPr>
          <w:color w:val="333331"/>
          <w:spacing w:val="-16"/>
          <w:w w:val="105"/>
          <w:sz w:val="21"/>
        </w:rPr>
        <w:t> </w:t>
      </w:r>
      <w:r>
        <w:rPr>
          <w:color w:val="545454"/>
          <w:w w:val="105"/>
          <w:sz w:val="21"/>
        </w:rPr>
        <w:t>h</w:t>
      </w:r>
      <w:r>
        <w:rPr>
          <w:color w:val="333331"/>
          <w:w w:val="105"/>
          <w:sz w:val="21"/>
        </w:rPr>
        <w:t>ave </w:t>
      </w:r>
      <w:r>
        <w:rPr>
          <w:color w:val="424241"/>
          <w:w w:val="105"/>
          <w:sz w:val="21"/>
        </w:rPr>
        <w:t>q</w:t>
      </w:r>
      <w:r>
        <w:rPr>
          <w:color w:val="21211F"/>
          <w:w w:val="105"/>
          <w:sz w:val="21"/>
        </w:rPr>
        <w:t>u</w:t>
      </w:r>
      <w:r>
        <w:rPr>
          <w:color w:val="424241"/>
          <w:w w:val="105"/>
          <w:sz w:val="21"/>
        </w:rPr>
        <w:t>estions,</w:t>
      </w:r>
      <w:r>
        <w:rPr>
          <w:color w:val="424241"/>
          <w:spacing w:val="-8"/>
          <w:w w:val="105"/>
          <w:sz w:val="21"/>
        </w:rPr>
        <w:t> </w:t>
      </w:r>
      <w:r>
        <w:rPr>
          <w:color w:val="333331"/>
          <w:w w:val="105"/>
          <w:sz w:val="21"/>
        </w:rPr>
        <w:t>p</w:t>
      </w:r>
      <w:r>
        <w:rPr>
          <w:color w:val="545454"/>
          <w:w w:val="105"/>
          <w:sz w:val="21"/>
        </w:rPr>
        <w:t>lea</w:t>
      </w:r>
      <w:r>
        <w:rPr>
          <w:color w:val="333331"/>
          <w:w w:val="105"/>
          <w:sz w:val="21"/>
        </w:rPr>
        <w:t>s</w:t>
      </w:r>
      <w:r>
        <w:rPr>
          <w:color w:val="545454"/>
          <w:w w:val="105"/>
          <w:sz w:val="21"/>
        </w:rPr>
        <w:t>e</w:t>
      </w:r>
      <w:r>
        <w:rPr>
          <w:color w:val="545454"/>
          <w:spacing w:val="-1"/>
          <w:w w:val="105"/>
          <w:sz w:val="21"/>
        </w:rPr>
        <w:t> </w:t>
      </w:r>
      <w:r>
        <w:rPr>
          <w:color w:val="424241"/>
          <w:w w:val="105"/>
          <w:sz w:val="21"/>
        </w:rPr>
        <w:t>contac</w:t>
      </w:r>
      <w:r>
        <w:rPr>
          <w:color w:val="21211F"/>
          <w:w w:val="105"/>
          <w:sz w:val="21"/>
        </w:rPr>
        <w:t>t </w:t>
      </w:r>
      <w:r>
        <w:rPr>
          <w:color w:val="333331"/>
          <w:w w:val="105"/>
          <w:sz w:val="21"/>
        </w:rPr>
        <w:t>the</w:t>
      </w:r>
      <w:r>
        <w:rPr>
          <w:color w:val="333331"/>
          <w:spacing w:val="-9"/>
          <w:w w:val="105"/>
          <w:sz w:val="21"/>
        </w:rPr>
        <w:t> </w:t>
      </w:r>
      <w:r>
        <w:rPr>
          <w:color w:val="21211F"/>
          <w:w w:val="105"/>
          <w:sz w:val="21"/>
        </w:rPr>
        <w:t>Co</w:t>
      </w:r>
      <w:r>
        <w:rPr>
          <w:color w:val="424241"/>
          <w:w w:val="105"/>
          <w:sz w:val="21"/>
        </w:rPr>
        <w:t>mm</w:t>
      </w:r>
      <w:r>
        <w:rPr>
          <w:color w:val="21211F"/>
          <w:w w:val="105"/>
          <w:sz w:val="21"/>
        </w:rPr>
        <w:t>i</w:t>
      </w:r>
      <w:r>
        <w:rPr>
          <w:color w:val="424241"/>
          <w:w w:val="105"/>
          <w:sz w:val="21"/>
        </w:rPr>
        <w:t>ss</w:t>
      </w:r>
      <w:r>
        <w:rPr>
          <w:color w:val="21211F"/>
          <w:w w:val="105"/>
          <w:sz w:val="21"/>
        </w:rPr>
        <w:t>i</w:t>
      </w:r>
      <w:r>
        <w:rPr>
          <w:color w:val="424241"/>
          <w:w w:val="105"/>
          <w:sz w:val="21"/>
        </w:rPr>
        <w:t>on</w:t>
      </w:r>
      <w:r>
        <w:rPr>
          <w:color w:val="424241"/>
          <w:spacing w:val="-16"/>
          <w:w w:val="105"/>
          <w:sz w:val="21"/>
        </w:rPr>
        <w:t> </w:t>
      </w:r>
      <w:r>
        <w:rPr>
          <w:color w:val="424241"/>
          <w:w w:val="105"/>
          <w:sz w:val="21"/>
        </w:rPr>
        <w:t>staff</w:t>
      </w:r>
      <w:r>
        <w:rPr>
          <w:color w:val="424241"/>
          <w:spacing w:val="-11"/>
          <w:w w:val="105"/>
          <w:sz w:val="21"/>
        </w:rPr>
        <w:t> </w:t>
      </w:r>
      <w:r>
        <w:rPr>
          <w:color w:val="424241"/>
          <w:w w:val="105"/>
          <w:sz w:val="21"/>
        </w:rPr>
        <w:t>me</w:t>
      </w:r>
      <w:r>
        <w:rPr>
          <w:color w:val="21211F"/>
          <w:w w:val="105"/>
          <w:sz w:val="21"/>
        </w:rPr>
        <w:t>m</w:t>
      </w:r>
      <w:r>
        <w:rPr>
          <w:color w:val="424241"/>
          <w:w w:val="105"/>
          <w:sz w:val="21"/>
        </w:rPr>
        <w:t>be</w:t>
      </w:r>
      <w:r>
        <w:rPr>
          <w:color w:val="21211F"/>
          <w:w w:val="105"/>
          <w:sz w:val="21"/>
        </w:rPr>
        <w:t>r</w:t>
      </w:r>
      <w:r>
        <w:rPr>
          <w:color w:val="21211F"/>
          <w:spacing w:val="-14"/>
          <w:w w:val="105"/>
          <w:sz w:val="21"/>
        </w:rPr>
        <w:t> </w:t>
      </w:r>
      <w:r>
        <w:rPr>
          <w:color w:val="424241"/>
          <w:w w:val="105"/>
          <w:sz w:val="21"/>
        </w:rPr>
        <w:t>assigned</w:t>
      </w:r>
      <w:r>
        <w:rPr>
          <w:color w:val="424241"/>
          <w:spacing w:val="-18"/>
          <w:w w:val="105"/>
          <w:sz w:val="21"/>
        </w:rPr>
        <w:t> </w:t>
      </w:r>
      <w:r>
        <w:rPr>
          <w:color w:val="21211F"/>
          <w:w w:val="105"/>
          <w:sz w:val="21"/>
        </w:rPr>
        <w:t>to you</w:t>
      </w:r>
      <w:r>
        <w:rPr>
          <w:color w:val="666666"/>
          <w:w w:val="105"/>
          <w:sz w:val="21"/>
        </w:rPr>
        <w:t>r</w:t>
      </w:r>
      <w:r>
        <w:rPr>
          <w:color w:val="666666"/>
          <w:spacing w:val="-5"/>
          <w:w w:val="105"/>
          <w:sz w:val="21"/>
        </w:rPr>
        <w:t> </w:t>
      </w:r>
      <w:r>
        <w:rPr>
          <w:color w:val="424241"/>
          <w:w w:val="105"/>
          <w:sz w:val="21"/>
        </w:rPr>
        <w:t>institu</w:t>
      </w:r>
      <w:r>
        <w:rPr>
          <w:color w:val="21211F"/>
          <w:w w:val="105"/>
          <w:sz w:val="21"/>
        </w:rPr>
        <w:t>tio</w:t>
      </w:r>
      <w:r>
        <w:rPr>
          <w:color w:val="424241"/>
          <w:w w:val="105"/>
          <w:sz w:val="21"/>
        </w:rPr>
        <w:t>n</w:t>
      </w:r>
      <w:r>
        <w:rPr>
          <w:color w:val="7B7B7B"/>
          <w:w w:val="105"/>
          <w:sz w:val="21"/>
        </w:rPr>
        <w:t>.</w:t>
      </w:r>
    </w:p>
    <w:p>
      <w:pPr>
        <w:pStyle w:val="BodyText"/>
        <w:spacing w:before="6"/>
      </w:pPr>
    </w:p>
    <w:p>
      <w:pPr>
        <w:spacing w:before="0"/>
        <w:ind w:left="231" w:right="0" w:firstLine="0"/>
        <w:jc w:val="left"/>
        <w:rPr>
          <w:sz w:val="21"/>
        </w:rPr>
      </w:pPr>
      <w:r>
        <w:rPr>
          <w:color w:val="333331"/>
          <w:spacing w:val="-2"/>
          <w:w w:val="105"/>
          <w:sz w:val="21"/>
        </w:rPr>
        <w:t>S</w:t>
      </w:r>
      <w:r>
        <w:rPr>
          <w:color w:val="545454"/>
          <w:spacing w:val="-2"/>
          <w:w w:val="105"/>
          <w:sz w:val="21"/>
        </w:rPr>
        <w:t>i</w:t>
      </w:r>
      <w:r>
        <w:rPr>
          <w:color w:val="21211F"/>
          <w:spacing w:val="-2"/>
          <w:w w:val="105"/>
          <w:sz w:val="21"/>
        </w:rPr>
        <w:t>ncer</w:t>
      </w:r>
      <w:r>
        <w:rPr>
          <w:color w:val="424241"/>
          <w:spacing w:val="-2"/>
          <w:w w:val="105"/>
          <w:sz w:val="21"/>
        </w:rPr>
        <w:t>ely</w:t>
      </w:r>
      <w:r>
        <w:rPr>
          <w:color w:val="7B7B7B"/>
          <w:spacing w:val="-2"/>
          <w:w w:val="105"/>
          <w:sz w:val="21"/>
        </w:rPr>
        <w:t>,</w:t>
      </w:r>
    </w:p>
    <w:p>
      <w:pPr>
        <w:tabs>
          <w:tab w:pos="1108" w:val="left" w:leader="none"/>
          <w:tab w:pos="2381" w:val="left" w:leader="none"/>
        </w:tabs>
        <w:spacing w:before="20"/>
        <w:ind w:left="376" w:right="0" w:firstLine="0"/>
        <w:jc w:val="left"/>
        <w:rPr>
          <w:rFonts w:ascii="Times New Roman"/>
          <w:i/>
          <w:sz w:val="45"/>
        </w:rPr>
      </w:pPr>
      <w:r>
        <w:rPr>
          <w:rFonts w:ascii="Times New Roman"/>
          <w:i/>
          <w:color w:val="424241"/>
          <w:spacing w:val="-10"/>
          <w:w w:val="310"/>
          <w:sz w:val="45"/>
        </w:rPr>
        <w:t>f</w:t>
      </w:r>
      <w:r>
        <w:rPr>
          <w:rFonts w:ascii="Times New Roman"/>
          <w:i/>
          <w:color w:val="424241"/>
          <w:sz w:val="45"/>
        </w:rPr>
        <w:tab/>
      </w:r>
      <w:r>
        <w:rPr>
          <w:rFonts w:ascii="Times New Roman"/>
          <w:i/>
          <w:color w:val="424241"/>
          <w:spacing w:val="-5"/>
          <w:w w:val="310"/>
          <w:sz w:val="45"/>
        </w:rPr>
        <w:t>)</w:t>
      </w:r>
      <w:r>
        <w:rPr>
          <w:rFonts w:ascii="Times New Roman"/>
          <w:i/>
          <w:color w:val="21211F"/>
          <w:spacing w:val="-5"/>
          <w:w w:val="310"/>
          <w:sz w:val="45"/>
        </w:rPr>
        <w:t>-</w:t>
      </w:r>
      <w:r>
        <w:rPr>
          <w:rFonts w:ascii="Times New Roman"/>
          <w:i/>
          <w:color w:val="21211F"/>
          <w:sz w:val="45"/>
        </w:rPr>
        <w:tab/>
      </w:r>
      <w:r>
        <w:rPr>
          <w:rFonts w:ascii="Times New Roman"/>
          <w:i/>
          <w:color w:val="424241"/>
          <w:spacing w:val="-5"/>
          <w:w w:val="310"/>
          <w:sz w:val="45"/>
        </w:rPr>
        <w:t>.J</w:t>
      </w:r>
    </w:p>
    <w:p>
      <w:pPr>
        <w:spacing w:line="232" w:lineRule="auto" w:before="225"/>
        <w:ind w:left="224" w:right="7005" w:firstLine="0"/>
        <w:jc w:val="left"/>
        <w:rPr>
          <w:sz w:val="21"/>
        </w:rPr>
      </w:pPr>
      <w:r>
        <w:rPr>
          <w:color w:val="424241"/>
          <w:w w:val="105"/>
          <w:sz w:val="21"/>
        </w:rPr>
        <w:t>Be</w:t>
      </w:r>
      <w:r>
        <w:rPr>
          <w:color w:val="666666"/>
          <w:w w:val="105"/>
          <w:sz w:val="21"/>
        </w:rPr>
        <w:t>ll</w:t>
      </w:r>
      <w:r>
        <w:rPr>
          <w:color w:val="424241"/>
          <w:w w:val="105"/>
          <w:sz w:val="21"/>
        </w:rPr>
        <w:t>e</w:t>
      </w:r>
      <w:r>
        <w:rPr>
          <w:color w:val="424241"/>
          <w:spacing w:val="-16"/>
          <w:w w:val="105"/>
          <w:sz w:val="21"/>
        </w:rPr>
        <w:t> </w:t>
      </w:r>
      <w:r>
        <w:rPr>
          <w:color w:val="333331"/>
          <w:w w:val="105"/>
          <w:sz w:val="21"/>
        </w:rPr>
        <w:t>S</w:t>
      </w:r>
      <w:r>
        <w:rPr>
          <w:color w:val="545454"/>
          <w:w w:val="105"/>
          <w:sz w:val="21"/>
        </w:rPr>
        <w:t>.</w:t>
      </w:r>
      <w:r>
        <w:rPr>
          <w:color w:val="545454"/>
          <w:spacing w:val="-19"/>
          <w:w w:val="105"/>
          <w:sz w:val="21"/>
        </w:rPr>
        <w:t> </w:t>
      </w:r>
      <w:r>
        <w:rPr>
          <w:color w:val="424241"/>
          <w:w w:val="105"/>
          <w:sz w:val="21"/>
        </w:rPr>
        <w:t>W</w:t>
      </w:r>
      <w:r>
        <w:rPr>
          <w:color w:val="21211F"/>
          <w:w w:val="105"/>
          <w:sz w:val="21"/>
        </w:rPr>
        <w:t>h</w:t>
      </w:r>
      <w:r>
        <w:rPr>
          <w:color w:val="424241"/>
          <w:w w:val="105"/>
          <w:sz w:val="21"/>
        </w:rPr>
        <w:t>ee</w:t>
      </w:r>
      <w:r>
        <w:rPr>
          <w:color w:val="666666"/>
          <w:w w:val="105"/>
          <w:sz w:val="21"/>
        </w:rPr>
        <w:t>l</w:t>
      </w:r>
      <w:r>
        <w:rPr>
          <w:color w:val="333331"/>
          <w:w w:val="105"/>
          <w:sz w:val="21"/>
        </w:rPr>
        <w:t>an</w:t>
      </w:r>
      <w:r>
        <w:rPr>
          <w:color w:val="666666"/>
          <w:w w:val="105"/>
          <w:sz w:val="21"/>
        </w:rPr>
        <w:t>,</w:t>
      </w:r>
      <w:r>
        <w:rPr>
          <w:color w:val="666666"/>
          <w:spacing w:val="-33"/>
          <w:w w:val="105"/>
          <w:sz w:val="21"/>
        </w:rPr>
        <w:t> </w:t>
      </w:r>
      <w:r>
        <w:rPr>
          <w:color w:val="545454"/>
          <w:w w:val="105"/>
          <w:sz w:val="21"/>
        </w:rPr>
        <w:t>Ph.</w:t>
      </w:r>
      <w:r>
        <w:rPr>
          <w:color w:val="333331"/>
          <w:w w:val="105"/>
          <w:sz w:val="21"/>
        </w:rPr>
        <w:t>D. </w:t>
      </w:r>
      <w:r>
        <w:rPr>
          <w:color w:val="424241"/>
          <w:spacing w:val="-2"/>
          <w:w w:val="105"/>
          <w:sz w:val="21"/>
        </w:rPr>
        <w:t>Preside</w:t>
      </w:r>
      <w:r>
        <w:rPr>
          <w:color w:val="21211F"/>
          <w:spacing w:val="-2"/>
          <w:w w:val="105"/>
          <w:sz w:val="21"/>
        </w:rPr>
        <w:t>n</w:t>
      </w:r>
      <w:r>
        <w:rPr>
          <w:color w:val="424241"/>
          <w:spacing w:val="-2"/>
          <w:w w:val="105"/>
          <w:sz w:val="21"/>
        </w:rPr>
        <w:t>t</w:t>
      </w:r>
    </w:p>
    <w:p>
      <w:pPr>
        <w:pStyle w:val="BodyText"/>
        <w:spacing w:before="6"/>
        <w:rPr>
          <w:sz w:val="22"/>
        </w:rPr>
      </w:pPr>
    </w:p>
    <w:p>
      <w:pPr>
        <w:spacing w:before="0"/>
        <w:ind w:left="225" w:right="0" w:firstLine="0"/>
        <w:jc w:val="left"/>
        <w:rPr>
          <w:sz w:val="21"/>
        </w:rPr>
      </w:pPr>
      <w:r>
        <w:rPr>
          <w:color w:val="424241"/>
          <w:spacing w:val="-2"/>
          <w:w w:val="105"/>
          <w:sz w:val="21"/>
        </w:rPr>
        <w:t>BSW:cp</w:t>
      </w:r>
    </w:p>
    <w:p>
      <w:pPr>
        <w:pStyle w:val="BodyText"/>
        <w:rPr>
          <w:sz w:val="24"/>
        </w:rPr>
      </w:pPr>
    </w:p>
    <w:p>
      <w:pPr>
        <w:pStyle w:val="BodyText"/>
        <w:spacing w:before="9"/>
        <w:rPr>
          <w:sz w:val="18"/>
        </w:rPr>
      </w:pPr>
    </w:p>
    <w:p>
      <w:pPr>
        <w:spacing w:before="0"/>
        <w:ind w:left="217" w:right="0" w:firstLine="0"/>
        <w:jc w:val="left"/>
        <w:rPr>
          <w:sz w:val="21"/>
        </w:rPr>
      </w:pPr>
      <w:r>
        <w:rPr>
          <w:color w:val="545454"/>
          <w:w w:val="105"/>
          <w:sz w:val="21"/>
        </w:rPr>
        <w:t>cc</w:t>
      </w:r>
      <w:r>
        <w:rPr>
          <w:color w:val="333331"/>
          <w:w w:val="105"/>
          <w:sz w:val="21"/>
        </w:rPr>
        <w:t>:</w:t>
      </w:r>
      <w:r>
        <w:rPr>
          <w:color w:val="333331"/>
          <w:spacing w:val="48"/>
          <w:w w:val="105"/>
          <w:sz w:val="21"/>
        </w:rPr>
        <w:t> </w:t>
      </w:r>
      <w:r>
        <w:rPr>
          <w:color w:val="424241"/>
          <w:w w:val="105"/>
          <w:sz w:val="21"/>
        </w:rPr>
        <w:t>D</w:t>
      </w:r>
      <w:r>
        <w:rPr>
          <w:color w:val="666666"/>
          <w:w w:val="105"/>
          <w:sz w:val="21"/>
        </w:rPr>
        <w:t>r.</w:t>
      </w:r>
      <w:r>
        <w:rPr>
          <w:color w:val="666666"/>
          <w:spacing w:val="-19"/>
          <w:w w:val="105"/>
          <w:sz w:val="21"/>
        </w:rPr>
        <w:t> </w:t>
      </w:r>
      <w:r>
        <w:rPr>
          <w:color w:val="333331"/>
          <w:w w:val="105"/>
          <w:sz w:val="21"/>
        </w:rPr>
        <w:t>R</w:t>
      </w:r>
      <w:r>
        <w:rPr>
          <w:color w:val="545454"/>
          <w:w w:val="105"/>
          <w:sz w:val="21"/>
        </w:rPr>
        <w:t>udo</w:t>
      </w:r>
      <w:r>
        <w:rPr>
          <w:color w:val="333331"/>
          <w:w w:val="105"/>
          <w:sz w:val="21"/>
        </w:rPr>
        <w:t>lp</w:t>
      </w:r>
      <w:r>
        <w:rPr>
          <w:color w:val="545454"/>
          <w:w w:val="105"/>
          <w:sz w:val="21"/>
        </w:rPr>
        <w:t>h</w:t>
      </w:r>
      <w:r>
        <w:rPr>
          <w:color w:val="545454"/>
          <w:spacing w:val="3"/>
          <w:w w:val="105"/>
          <w:sz w:val="21"/>
        </w:rPr>
        <w:t> </w:t>
      </w:r>
      <w:r>
        <w:rPr>
          <w:color w:val="333331"/>
          <w:w w:val="105"/>
          <w:sz w:val="21"/>
        </w:rPr>
        <w:t>S</w:t>
      </w:r>
      <w:r>
        <w:rPr>
          <w:color w:val="666666"/>
          <w:w w:val="105"/>
          <w:sz w:val="21"/>
        </w:rPr>
        <w:t>.</w:t>
      </w:r>
      <w:r>
        <w:rPr>
          <w:color w:val="666666"/>
          <w:spacing w:val="-23"/>
          <w:w w:val="105"/>
          <w:sz w:val="21"/>
        </w:rPr>
        <w:t> </w:t>
      </w:r>
      <w:r>
        <w:rPr>
          <w:color w:val="545454"/>
          <w:spacing w:val="-2"/>
          <w:w w:val="105"/>
          <w:sz w:val="21"/>
        </w:rPr>
        <w:t>Jac</w:t>
      </w:r>
      <w:r>
        <w:rPr>
          <w:color w:val="21211F"/>
          <w:spacing w:val="-2"/>
          <w:w w:val="105"/>
          <w:sz w:val="21"/>
        </w:rPr>
        <w:t>k</w:t>
      </w:r>
      <w:r>
        <w:rPr>
          <w:color w:val="424241"/>
          <w:spacing w:val="-2"/>
          <w:w w:val="105"/>
          <w:sz w:val="21"/>
        </w:rPr>
        <w:t>son</w:t>
      </w:r>
    </w:p>
    <w:p>
      <w:pPr>
        <w:spacing w:after="0"/>
        <w:jc w:val="left"/>
        <w:rPr>
          <w:sz w:val="21"/>
        </w:rPr>
        <w:sectPr>
          <w:headerReference w:type="default" r:id="rId352"/>
          <w:footerReference w:type="default" r:id="rId353"/>
          <w:pgSz w:w="12240" w:h="15840"/>
          <w:pgMar w:header="0" w:footer="0" w:top="1020" w:bottom="280" w:left="1000" w:right="820"/>
        </w:sectPr>
      </w:pPr>
    </w:p>
    <w:p>
      <w:pPr>
        <w:spacing w:line="249" w:lineRule="auto" w:before="67"/>
        <w:ind w:left="201" w:right="5983" w:firstLine="9"/>
        <w:jc w:val="left"/>
        <w:rPr>
          <w:b/>
          <w:sz w:val="25"/>
        </w:rPr>
      </w:pPr>
      <w:r>
        <w:rPr>
          <w:b/>
          <w:w w:val="105"/>
          <w:sz w:val="25"/>
        </w:rPr>
        <w:t>Hampton University </w:t>
      </w:r>
      <w:r>
        <w:rPr>
          <w:b/>
          <w:spacing w:val="-2"/>
          <w:w w:val="105"/>
          <w:sz w:val="25"/>
        </w:rPr>
        <w:t>Department</w:t>
      </w:r>
      <w:r>
        <w:rPr>
          <w:b/>
          <w:spacing w:val="-17"/>
          <w:w w:val="105"/>
          <w:sz w:val="25"/>
        </w:rPr>
        <w:t> </w:t>
      </w:r>
      <w:r>
        <w:rPr>
          <w:b/>
          <w:spacing w:val="-2"/>
          <w:w w:val="105"/>
          <w:sz w:val="25"/>
        </w:rPr>
        <w:t>of</w:t>
      </w:r>
      <w:r>
        <w:rPr>
          <w:b/>
          <w:spacing w:val="-16"/>
          <w:w w:val="105"/>
          <w:sz w:val="25"/>
        </w:rPr>
        <w:t> </w:t>
      </w:r>
      <w:r>
        <w:rPr>
          <w:b/>
          <w:spacing w:val="-2"/>
          <w:w w:val="105"/>
          <w:sz w:val="25"/>
        </w:rPr>
        <w:t>Architecture</w:t>
      </w:r>
    </w:p>
    <w:p>
      <w:pPr>
        <w:pStyle w:val="BodyText"/>
        <w:spacing w:before="9"/>
        <w:rPr>
          <w:b/>
          <w:sz w:val="31"/>
        </w:rPr>
      </w:pPr>
    </w:p>
    <w:p>
      <w:pPr>
        <w:spacing w:before="1"/>
        <w:ind w:left="200" w:right="0" w:firstLine="0"/>
        <w:jc w:val="left"/>
        <w:rPr>
          <w:b/>
          <w:sz w:val="31"/>
        </w:rPr>
      </w:pPr>
      <w:r>
        <w:rPr>
          <w:b/>
          <w:sz w:val="31"/>
        </w:rPr>
        <w:t>Visiting</w:t>
      </w:r>
      <w:r>
        <w:rPr>
          <w:b/>
          <w:spacing w:val="19"/>
          <w:sz w:val="31"/>
        </w:rPr>
        <w:t> </w:t>
      </w:r>
      <w:r>
        <w:rPr>
          <w:b/>
          <w:sz w:val="31"/>
        </w:rPr>
        <w:t>Team</w:t>
      </w:r>
      <w:r>
        <w:rPr>
          <w:b/>
          <w:spacing w:val="18"/>
          <w:sz w:val="31"/>
        </w:rPr>
        <w:t> </w:t>
      </w:r>
      <w:r>
        <w:rPr>
          <w:b/>
          <w:spacing w:val="-2"/>
          <w:sz w:val="31"/>
        </w:rPr>
        <w:t>Report</w:t>
      </w:r>
    </w:p>
    <w:p>
      <w:pPr>
        <w:pStyle w:val="BodyText"/>
        <w:spacing w:before="5"/>
        <w:rPr>
          <w:b/>
          <w:sz w:val="27"/>
        </w:rPr>
      </w:pPr>
    </w:p>
    <w:p>
      <w:pPr>
        <w:spacing w:before="0"/>
        <w:ind w:left="191" w:right="0" w:firstLine="0"/>
        <w:jc w:val="left"/>
        <w:rPr>
          <w:rFonts w:ascii="Arial-BoldItalicMT"/>
          <w:b/>
          <w:i/>
          <w:sz w:val="25"/>
        </w:rPr>
      </w:pPr>
      <w:r>
        <w:rPr>
          <w:b/>
          <w:w w:val="105"/>
          <w:sz w:val="25"/>
        </w:rPr>
        <w:t>Master</w:t>
      </w:r>
      <w:r>
        <w:rPr>
          <w:b/>
          <w:spacing w:val="-19"/>
          <w:w w:val="105"/>
          <w:sz w:val="25"/>
        </w:rPr>
        <w:t> </w:t>
      </w:r>
      <w:r>
        <w:rPr>
          <w:b/>
          <w:w w:val="105"/>
          <w:sz w:val="25"/>
        </w:rPr>
        <w:t>of</w:t>
      </w:r>
      <w:r>
        <w:rPr>
          <w:b/>
          <w:spacing w:val="-18"/>
          <w:w w:val="105"/>
          <w:sz w:val="25"/>
        </w:rPr>
        <w:t> </w:t>
      </w:r>
      <w:r>
        <w:rPr>
          <w:b/>
          <w:w w:val="105"/>
          <w:sz w:val="25"/>
        </w:rPr>
        <w:t>Architecture</w:t>
      </w:r>
      <w:r>
        <w:rPr>
          <w:b/>
          <w:spacing w:val="-4"/>
          <w:w w:val="105"/>
          <w:sz w:val="25"/>
        </w:rPr>
        <w:t> </w:t>
      </w:r>
      <w:r>
        <w:rPr>
          <w:rFonts w:ascii="Arial-BoldItalicMT"/>
          <w:b/>
          <w:i/>
          <w:w w:val="105"/>
          <w:sz w:val="25"/>
        </w:rPr>
        <w:t>(171</w:t>
      </w:r>
      <w:r>
        <w:rPr>
          <w:rFonts w:ascii="Arial-BoldItalicMT"/>
          <w:b/>
          <w:i/>
          <w:spacing w:val="-19"/>
          <w:w w:val="105"/>
          <w:sz w:val="25"/>
        </w:rPr>
        <w:t> </w:t>
      </w:r>
      <w:r>
        <w:rPr>
          <w:rFonts w:ascii="Arial-BoldItalicMT"/>
          <w:b/>
          <w:i/>
          <w:w w:val="105"/>
          <w:sz w:val="25"/>
        </w:rPr>
        <w:t>credit</w:t>
      </w:r>
      <w:r>
        <w:rPr>
          <w:rFonts w:ascii="Arial-BoldItalicMT"/>
          <w:b/>
          <w:i/>
          <w:spacing w:val="-11"/>
          <w:w w:val="105"/>
          <w:sz w:val="25"/>
        </w:rPr>
        <w:t> </w:t>
      </w:r>
      <w:r>
        <w:rPr>
          <w:rFonts w:ascii="Arial-BoldItalicMT"/>
          <w:b/>
          <w:i/>
          <w:spacing w:val="-2"/>
          <w:w w:val="105"/>
          <w:sz w:val="25"/>
        </w:rPr>
        <w:t>hours)</w:t>
      </w:r>
    </w:p>
    <w:p>
      <w:pPr>
        <w:pStyle w:val="BodyText"/>
        <w:rPr>
          <w:rFonts w:ascii="Arial-BoldItalicMT"/>
          <w:b/>
          <w:i/>
          <w:sz w:val="28"/>
        </w:rPr>
      </w:pPr>
    </w:p>
    <w:p>
      <w:pPr>
        <w:pStyle w:val="BodyText"/>
        <w:rPr>
          <w:rFonts w:ascii="Arial-BoldItalicMT"/>
          <w:b/>
          <w:i/>
          <w:sz w:val="28"/>
        </w:rPr>
      </w:pPr>
    </w:p>
    <w:p>
      <w:pPr>
        <w:pStyle w:val="BodyText"/>
        <w:rPr>
          <w:rFonts w:ascii="Arial-BoldItalicMT"/>
          <w:b/>
          <w:i/>
          <w:sz w:val="28"/>
        </w:rPr>
      </w:pPr>
    </w:p>
    <w:p>
      <w:pPr>
        <w:pStyle w:val="BodyText"/>
        <w:rPr>
          <w:rFonts w:ascii="Arial-BoldItalicMT"/>
          <w:b/>
          <w:i/>
          <w:sz w:val="28"/>
        </w:rPr>
      </w:pPr>
    </w:p>
    <w:p>
      <w:pPr>
        <w:pStyle w:val="BodyText"/>
        <w:rPr>
          <w:rFonts w:ascii="Arial-BoldItalicMT"/>
          <w:b/>
          <w:i/>
          <w:sz w:val="28"/>
        </w:rPr>
      </w:pPr>
    </w:p>
    <w:p>
      <w:pPr>
        <w:pStyle w:val="BodyText"/>
        <w:rPr>
          <w:rFonts w:ascii="Arial-BoldItalicMT"/>
          <w:b/>
          <w:i/>
          <w:sz w:val="28"/>
        </w:rPr>
      </w:pPr>
    </w:p>
    <w:p>
      <w:pPr>
        <w:pStyle w:val="BodyText"/>
        <w:rPr>
          <w:rFonts w:ascii="Arial-BoldItalicMT"/>
          <w:b/>
          <w:i/>
          <w:sz w:val="28"/>
        </w:rPr>
      </w:pPr>
    </w:p>
    <w:p>
      <w:pPr>
        <w:pStyle w:val="BodyText"/>
        <w:rPr>
          <w:rFonts w:ascii="Arial-BoldItalicMT"/>
          <w:b/>
          <w:i/>
          <w:sz w:val="28"/>
        </w:rPr>
      </w:pPr>
    </w:p>
    <w:p>
      <w:pPr>
        <w:pStyle w:val="BodyText"/>
        <w:rPr>
          <w:rFonts w:ascii="Arial-BoldItalicMT"/>
          <w:b/>
          <w:i/>
          <w:sz w:val="28"/>
        </w:rPr>
      </w:pPr>
    </w:p>
    <w:p>
      <w:pPr>
        <w:pStyle w:val="BodyText"/>
        <w:rPr>
          <w:rFonts w:ascii="Arial-BoldItalicMT"/>
          <w:b/>
          <w:i/>
          <w:sz w:val="28"/>
        </w:rPr>
      </w:pPr>
    </w:p>
    <w:p>
      <w:pPr>
        <w:pStyle w:val="BodyText"/>
        <w:rPr>
          <w:rFonts w:ascii="Arial-BoldItalicMT"/>
          <w:b/>
          <w:i/>
          <w:sz w:val="28"/>
        </w:rPr>
      </w:pPr>
    </w:p>
    <w:p>
      <w:pPr>
        <w:spacing w:line="262" w:lineRule="exact" w:before="195"/>
        <w:ind w:left="165" w:right="0" w:firstLine="0"/>
        <w:jc w:val="left"/>
        <w:rPr>
          <w:sz w:val="23"/>
        </w:rPr>
      </w:pPr>
      <w:r>
        <w:rPr>
          <w:w w:val="105"/>
          <w:sz w:val="23"/>
        </w:rPr>
        <w:t>The</w:t>
      </w:r>
      <w:r>
        <w:rPr>
          <w:spacing w:val="-17"/>
          <w:w w:val="105"/>
          <w:sz w:val="23"/>
        </w:rPr>
        <w:t> </w:t>
      </w:r>
      <w:r>
        <w:rPr>
          <w:w w:val="105"/>
          <w:sz w:val="23"/>
        </w:rPr>
        <w:t>National</w:t>
      </w:r>
      <w:r>
        <w:rPr>
          <w:spacing w:val="-17"/>
          <w:w w:val="105"/>
          <w:sz w:val="23"/>
        </w:rPr>
        <w:t> </w:t>
      </w:r>
      <w:r>
        <w:rPr>
          <w:w w:val="105"/>
          <w:sz w:val="23"/>
        </w:rPr>
        <w:t>Architectural</w:t>
      </w:r>
      <w:r>
        <w:rPr>
          <w:spacing w:val="-10"/>
          <w:w w:val="105"/>
          <w:sz w:val="23"/>
        </w:rPr>
        <w:t> </w:t>
      </w:r>
      <w:r>
        <w:rPr>
          <w:w w:val="105"/>
          <w:sz w:val="23"/>
        </w:rPr>
        <w:t>Accrediting</w:t>
      </w:r>
      <w:r>
        <w:rPr>
          <w:spacing w:val="3"/>
          <w:w w:val="105"/>
          <w:sz w:val="23"/>
        </w:rPr>
        <w:t> </w:t>
      </w:r>
      <w:r>
        <w:rPr>
          <w:spacing w:val="-2"/>
          <w:w w:val="105"/>
          <w:sz w:val="23"/>
        </w:rPr>
        <w:t>Board</w:t>
      </w:r>
    </w:p>
    <w:p>
      <w:pPr>
        <w:spacing w:line="239" w:lineRule="exact" w:before="0"/>
        <w:ind w:left="165" w:right="0" w:firstLine="0"/>
        <w:jc w:val="left"/>
        <w:rPr>
          <w:sz w:val="21"/>
        </w:rPr>
      </w:pPr>
      <w:r>
        <w:rPr>
          <w:w w:val="95"/>
          <w:sz w:val="21"/>
        </w:rPr>
        <w:t>25</w:t>
      </w:r>
      <w:r>
        <w:rPr>
          <w:spacing w:val="-3"/>
          <w:sz w:val="21"/>
        </w:rPr>
        <w:t> </w:t>
      </w:r>
      <w:r>
        <w:rPr>
          <w:w w:val="95"/>
          <w:sz w:val="21"/>
        </w:rPr>
        <w:t>March</w:t>
      </w:r>
      <w:r>
        <w:rPr>
          <w:spacing w:val="1"/>
          <w:sz w:val="21"/>
        </w:rPr>
        <w:t> </w:t>
      </w:r>
      <w:r>
        <w:rPr>
          <w:spacing w:val="-4"/>
          <w:w w:val="95"/>
          <w:sz w:val="21"/>
        </w:rPr>
        <w:t>2009</w:t>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0"/>
        <w:rPr>
          <w:sz w:val="22"/>
        </w:rPr>
      </w:pPr>
    </w:p>
    <w:p>
      <w:pPr>
        <w:spacing w:line="244" w:lineRule="auto" w:before="0"/>
        <w:ind w:left="153" w:right="475" w:firstLine="13"/>
        <w:jc w:val="left"/>
        <w:rPr>
          <w:i/>
          <w:sz w:val="19"/>
        </w:rPr>
      </w:pPr>
      <w:r>
        <w:rPr>
          <w:i/>
          <w:w w:val="105"/>
          <w:sz w:val="19"/>
        </w:rPr>
        <w:t>The National Architectural</w:t>
      </w:r>
      <w:r>
        <w:rPr>
          <w:i/>
          <w:spacing w:val="23"/>
          <w:w w:val="105"/>
          <w:sz w:val="19"/>
        </w:rPr>
        <w:t> </w:t>
      </w:r>
      <w:r>
        <w:rPr>
          <w:i/>
          <w:w w:val="105"/>
          <w:sz w:val="19"/>
        </w:rPr>
        <w:t>Accrediting Board</w:t>
      </w:r>
      <w:r>
        <w:rPr>
          <w:i/>
          <w:spacing w:val="-5"/>
          <w:w w:val="105"/>
          <w:sz w:val="19"/>
        </w:rPr>
        <w:t> </w:t>
      </w:r>
      <w:r>
        <w:rPr>
          <w:i/>
          <w:w w:val="105"/>
          <w:sz w:val="19"/>
        </w:rPr>
        <w:t>(NAAB), established in</w:t>
      </w:r>
      <w:r>
        <w:rPr>
          <w:i/>
          <w:spacing w:val="-9"/>
          <w:w w:val="105"/>
          <w:sz w:val="19"/>
        </w:rPr>
        <w:t> </w:t>
      </w:r>
      <w:r>
        <w:rPr>
          <w:i/>
          <w:w w:val="105"/>
          <w:sz w:val="19"/>
        </w:rPr>
        <w:t>1940, </w:t>
      </w:r>
      <w:r>
        <w:rPr>
          <w:rFonts w:ascii="Times New Roman"/>
          <w:w w:val="105"/>
          <w:sz w:val="20"/>
        </w:rPr>
        <w:t>is </w:t>
      </w:r>
      <w:r>
        <w:rPr>
          <w:i/>
          <w:w w:val="105"/>
          <w:sz w:val="19"/>
        </w:rPr>
        <w:t>the</w:t>
      </w:r>
      <w:r>
        <w:rPr>
          <w:i/>
          <w:spacing w:val="-5"/>
          <w:w w:val="105"/>
          <w:sz w:val="19"/>
        </w:rPr>
        <w:t> </w:t>
      </w:r>
      <w:r>
        <w:rPr>
          <w:i/>
          <w:w w:val="105"/>
          <w:sz w:val="19"/>
        </w:rPr>
        <w:t>sole</w:t>
      </w:r>
      <w:r>
        <w:rPr>
          <w:i/>
          <w:spacing w:val="-13"/>
          <w:w w:val="105"/>
          <w:sz w:val="19"/>
        </w:rPr>
        <w:t> </w:t>
      </w:r>
      <w:r>
        <w:rPr>
          <w:i/>
          <w:w w:val="105"/>
          <w:sz w:val="19"/>
        </w:rPr>
        <w:t>agency</w:t>
      </w:r>
      <w:r>
        <w:rPr>
          <w:i/>
          <w:spacing w:val="-3"/>
          <w:w w:val="105"/>
          <w:sz w:val="19"/>
        </w:rPr>
        <w:t> </w:t>
      </w:r>
      <w:r>
        <w:rPr>
          <w:i/>
          <w:w w:val="105"/>
          <w:sz w:val="19"/>
        </w:rPr>
        <w:t>authorized to</w:t>
      </w:r>
      <w:r>
        <w:rPr>
          <w:i/>
          <w:spacing w:val="-3"/>
          <w:w w:val="105"/>
          <w:sz w:val="19"/>
        </w:rPr>
        <w:t> </w:t>
      </w:r>
      <w:r>
        <w:rPr>
          <w:i/>
          <w:w w:val="105"/>
          <w:sz w:val="19"/>
        </w:rPr>
        <w:t>accredit </w:t>
      </w:r>
      <w:r>
        <w:rPr>
          <w:w w:val="105"/>
          <w:sz w:val="21"/>
        </w:rPr>
        <w:t>U.S.</w:t>
      </w:r>
      <w:r>
        <w:rPr>
          <w:spacing w:val="-13"/>
          <w:w w:val="105"/>
          <w:sz w:val="21"/>
        </w:rPr>
        <w:t> </w:t>
      </w:r>
      <w:r>
        <w:rPr>
          <w:i/>
          <w:w w:val="105"/>
          <w:sz w:val="19"/>
        </w:rPr>
        <w:t>professional degree</w:t>
      </w:r>
      <w:r>
        <w:rPr>
          <w:i/>
          <w:spacing w:val="-12"/>
          <w:w w:val="105"/>
          <w:sz w:val="19"/>
        </w:rPr>
        <w:t> </w:t>
      </w:r>
      <w:r>
        <w:rPr>
          <w:i/>
          <w:w w:val="105"/>
          <w:sz w:val="19"/>
        </w:rPr>
        <w:t>programs in</w:t>
      </w:r>
      <w:r>
        <w:rPr>
          <w:i/>
          <w:spacing w:val="-13"/>
          <w:w w:val="105"/>
          <w:sz w:val="19"/>
        </w:rPr>
        <w:t> </w:t>
      </w:r>
      <w:r>
        <w:rPr>
          <w:i/>
          <w:w w:val="105"/>
          <w:sz w:val="19"/>
        </w:rPr>
        <w:t>architecture.</w:t>
      </w:r>
      <w:r>
        <w:rPr>
          <w:i/>
          <w:spacing w:val="40"/>
          <w:w w:val="105"/>
          <w:sz w:val="19"/>
        </w:rPr>
        <w:t> </w:t>
      </w:r>
      <w:r>
        <w:rPr>
          <w:i/>
          <w:w w:val="105"/>
          <w:sz w:val="19"/>
        </w:rPr>
        <w:t>Because</w:t>
      </w:r>
      <w:r>
        <w:rPr>
          <w:i/>
          <w:spacing w:val="-7"/>
          <w:w w:val="105"/>
          <w:sz w:val="19"/>
        </w:rPr>
        <w:t> </w:t>
      </w:r>
      <w:r>
        <w:rPr>
          <w:i/>
          <w:w w:val="105"/>
          <w:sz w:val="19"/>
        </w:rPr>
        <w:t>most</w:t>
      </w:r>
      <w:r>
        <w:rPr>
          <w:i/>
          <w:spacing w:val="-11"/>
          <w:w w:val="105"/>
          <w:sz w:val="19"/>
        </w:rPr>
        <w:t> </w:t>
      </w:r>
      <w:r>
        <w:rPr>
          <w:i/>
          <w:w w:val="105"/>
          <w:sz w:val="19"/>
        </w:rPr>
        <w:t>state</w:t>
      </w:r>
      <w:r>
        <w:rPr>
          <w:i/>
          <w:spacing w:val="-5"/>
          <w:w w:val="105"/>
          <w:sz w:val="19"/>
        </w:rPr>
        <w:t> </w:t>
      </w:r>
      <w:r>
        <w:rPr>
          <w:i/>
          <w:w w:val="105"/>
          <w:sz w:val="19"/>
        </w:rPr>
        <w:t>registration boards</w:t>
      </w:r>
      <w:r>
        <w:rPr>
          <w:i/>
          <w:spacing w:val="-6"/>
          <w:w w:val="105"/>
          <w:sz w:val="19"/>
        </w:rPr>
        <w:t> </w:t>
      </w:r>
      <w:r>
        <w:rPr>
          <w:i/>
          <w:w w:val="105"/>
          <w:sz w:val="19"/>
        </w:rPr>
        <w:t>in the</w:t>
      </w:r>
      <w:r>
        <w:rPr>
          <w:i/>
          <w:spacing w:val="-8"/>
          <w:w w:val="105"/>
          <w:sz w:val="19"/>
        </w:rPr>
        <w:t> </w:t>
      </w:r>
      <w:r>
        <w:rPr>
          <w:i/>
          <w:w w:val="105"/>
          <w:sz w:val="19"/>
        </w:rPr>
        <w:t>United States require any applicant for licensure to have graduated from an NAAB-accredited program, obtaining such a degree is an essential aspect of preparing for the</w:t>
      </w:r>
      <w:r>
        <w:rPr>
          <w:i/>
          <w:spacing w:val="-8"/>
          <w:w w:val="105"/>
          <w:sz w:val="19"/>
        </w:rPr>
        <w:t> </w:t>
      </w:r>
      <w:r>
        <w:rPr>
          <w:i/>
          <w:w w:val="105"/>
          <w:sz w:val="19"/>
        </w:rPr>
        <w:t>professional practice of </w:t>
      </w:r>
      <w:r>
        <w:rPr>
          <w:i/>
          <w:spacing w:val="-2"/>
          <w:w w:val="105"/>
          <w:sz w:val="19"/>
        </w:rPr>
        <w:t>architecture.</w:t>
      </w:r>
    </w:p>
    <w:p>
      <w:pPr>
        <w:spacing w:after="0" w:line="244" w:lineRule="auto"/>
        <w:jc w:val="left"/>
        <w:rPr>
          <w:sz w:val="19"/>
        </w:rPr>
        <w:sectPr>
          <w:headerReference w:type="default" r:id="rId357"/>
          <w:footerReference w:type="default" r:id="rId358"/>
          <w:pgSz w:w="12180" w:h="15820"/>
          <w:pgMar w:header="0" w:footer="0" w:top="1480" w:bottom="280" w:left="1120" w:right="1180"/>
        </w:sectPr>
      </w:pPr>
    </w:p>
    <w:p>
      <w:pPr>
        <w:pStyle w:val="BodyText"/>
        <w:spacing w:before="8"/>
        <w:rPr>
          <w:i/>
          <w:sz w:val="18"/>
        </w:rPr>
      </w:pPr>
      <w:r>
        <w:rPr/>
        <w:pict>
          <v:line style="position:absolute;mso-position-horizontal-relative:page;mso-position-vertical-relative:page;z-index:15750144" from="63.597477pt,741.894165pt" to="539.614957pt,741.894165pt" stroked="true" strokeweight=".481434pt" strokecolor="#000000">
            <v:stroke dashstyle="solid"/>
            <w10:wrap type="none"/>
          </v:line>
        </w:pict>
      </w:r>
    </w:p>
    <w:p>
      <w:pPr>
        <w:spacing w:before="94"/>
        <w:ind w:left="3895" w:right="3936" w:firstLine="0"/>
        <w:jc w:val="center"/>
        <w:rPr>
          <w:b/>
          <w:sz w:val="23"/>
        </w:rPr>
      </w:pPr>
      <w:r>
        <w:rPr>
          <w:b/>
          <w:w w:val="105"/>
          <w:sz w:val="23"/>
        </w:rPr>
        <w:t>Table</w:t>
      </w:r>
      <w:r>
        <w:rPr>
          <w:b/>
          <w:spacing w:val="-11"/>
          <w:w w:val="105"/>
          <w:sz w:val="23"/>
        </w:rPr>
        <w:t> </w:t>
      </w:r>
      <w:r>
        <w:rPr>
          <w:b/>
          <w:w w:val="105"/>
          <w:sz w:val="23"/>
        </w:rPr>
        <w:t>of</w:t>
      </w:r>
      <w:r>
        <w:rPr>
          <w:b/>
          <w:spacing w:val="-4"/>
          <w:w w:val="105"/>
          <w:sz w:val="23"/>
        </w:rPr>
        <w:t> </w:t>
      </w:r>
      <w:r>
        <w:rPr>
          <w:b/>
          <w:spacing w:val="-2"/>
          <w:w w:val="105"/>
          <w:sz w:val="23"/>
        </w:rPr>
        <w:t>Contents</w:t>
      </w:r>
    </w:p>
    <w:p>
      <w:pPr>
        <w:pStyle w:val="BodyText"/>
        <w:spacing w:before="11"/>
        <w:rPr>
          <w:b/>
          <w:sz w:val="13"/>
        </w:rPr>
      </w:pPr>
    </w:p>
    <w:p>
      <w:pPr>
        <w:pStyle w:val="BodyText"/>
        <w:spacing w:before="94"/>
        <w:ind w:left="229"/>
      </w:pPr>
      <w:r>
        <w:rPr>
          <w:spacing w:val="-2"/>
          <w:w w:val="110"/>
          <w:u w:val="thick"/>
        </w:rPr>
        <w:t>Section</w:t>
      </w:r>
    </w:p>
    <w:p>
      <w:pPr>
        <w:pStyle w:val="BodyText"/>
        <w:spacing w:before="8"/>
      </w:pPr>
    </w:p>
    <w:tbl>
      <w:tblPr>
        <w:tblW w:w="0" w:type="auto"/>
        <w:jc w:val="left"/>
        <w:tblInd w:w="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3"/>
        <w:gridCol w:w="6867"/>
        <w:gridCol w:w="1865"/>
      </w:tblGrid>
      <w:tr>
        <w:trPr>
          <w:trHeight w:val="347" w:hRule="atLeast"/>
        </w:trPr>
        <w:tc>
          <w:tcPr>
            <w:tcW w:w="453" w:type="dxa"/>
          </w:tcPr>
          <w:p>
            <w:pPr>
              <w:pStyle w:val="TableParagraph"/>
              <w:spacing w:before="3"/>
              <w:ind w:left="69"/>
              <w:rPr>
                <w:sz w:val="20"/>
              </w:rPr>
            </w:pPr>
            <w:r>
              <w:rPr>
                <w:spacing w:val="-5"/>
                <w:w w:val="110"/>
                <w:sz w:val="20"/>
              </w:rPr>
              <w:t>I.</w:t>
            </w:r>
          </w:p>
        </w:tc>
        <w:tc>
          <w:tcPr>
            <w:tcW w:w="6867" w:type="dxa"/>
          </w:tcPr>
          <w:p>
            <w:pPr>
              <w:pStyle w:val="TableParagraph"/>
              <w:spacing w:line="224" w:lineRule="exact"/>
              <w:ind w:left="165"/>
              <w:rPr>
                <w:sz w:val="20"/>
              </w:rPr>
            </w:pPr>
            <w:r>
              <w:rPr>
                <w:sz w:val="20"/>
              </w:rPr>
              <w:t>Summary</w:t>
            </w:r>
            <w:r>
              <w:rPr>
                <w:spacing w:val="-14"/>
                <w:sz w:val="20"/>
              </w:rPr>
              <w:t> </w:t>
            </w:r>
            <w:r>
              <w:rPr>
                <w:sz w:val="20"/>
              </w:rPr>
              <w:t>of</w:t>
            </w:r>
            <w:r>
              <w:rPr>
                <w:spacing w:val="-2"/>
                <w:sz w:val="20"/>
              </w:rPr>
              <w:t> </w:t>
            </w:r>
            <w:r>
              <w:rPr>
                <w:sz w:val="20"/>
              </w:rPr>
              <w:t>Tearn</w:t>
            </w:r>
            <w:r>
              <w:rPr>
                <w:spacing w:val="-14"/>
                <w:sz w:val="20"/>
              </w:rPr>
              <w:t> </w:t>
            </w:r>
            <w:r>
              <w:rPr>
                <w:spacing w:val="-2"/>
                <w:sz w:val="20"/>
              </w:rPr>
              <w:t>Findings</w:t>
            </w:r>
          </w:p>
        </w:tc>
        <w:tc>
          <w:tcPr>
            <w:tcW w:w="1865" w:type="dxa"/>
          </w:tcPr>
          <w:p>
            <w:pPr>
              <w:pStyle w:val="TableParagraph"/>
              <w:spacing w:line="224" w:lineRule="exact"/>
              <w:ind w:right="130"/>
              <w:jc w:val="right"/>
              <w:rPr>
                <w:sz w:val="20"/>
              </w:rPr>
            </w:pPr>
            <w:r>
              <w:rPr>
                <w:w w:val="100"/>
                <w:sz w:val="20"/>
              </w:rPr>
              <w:t>1</w:t>
            </w:r>
          </w:p>
        </w:tc>
      </w:tr>
      <w:tr>
        <w:trPr>
          <w:trHeight w:val="457" w:hRule="atLeast"/>
        </w:trPr>
        <w:tc>
          <w:tcPr>
            <w:tcW w:w="453" w:type="dxa"/>
          </w:tcPr>
          <w:p>
            <w:pPr>
              <w:pStyle w:val="TableParagraph"/>
              <w:rPr>
                <w:rFonts w:ascii="Times New Roman"/>
                <w:sz w:val="20"/>
              </w:rPr>
            </w:pPr>
          </w:p>
        </w:tc>
        <w:tc>
          <w:tcPr>
            <w:tcW w:w="6867" w:type="dxa"/>
          </w:tcPr>
          <w:p>
            <w:pPr>
              <w:pStyle w:val="TableParagraph"/>
              <w:tabs>
                <w:tab w:pos="1046" w:val="left" w:leader="none"/>
              </w:tabs>
              <w:spacing w:before="108"/>
              <w:ind w:left="162"/>
              <w:rPr>
                <w:sz w:val="20"/>
              </w:rPr>
            </w:pPr>
            <w:r>
              <w:rPr>
                <w:spacing w:val="-5"/>
                <w:sz w:val="20"/>
              </w:rPr>
              <w:t>1.</w:t>
            </w:r>
            <w:r>
              <w:rPr>
                <w:sz w:val="20"/>
              </w:rPr>
              <w:tab/>
            </w:r>
            <w:r>
              <w:rPr>
                <w:position w:val="1"/>
                <w:sz w:val="20"/>
              </w:rPr>
              <w:t>Team</w:t>
            </w:r>
            <w:r>
              <w:rPr>
                <w:spacing w:val="1"/>
                <w:position w:val="1"/>
                <w:sz w:val="20"/>
              </w:rPr>
              <w:t> </w:t>
            </w:r>
            <w:r>
              <w:rPr>
                <w:spacing w:val="-2"/>
                <w:position w:val="1"/>
                <w:sz w:val="20"/>
              </w:rPr>
              <w:t>Comments</w:t>
            </w:r>
          </w:p>
        </w:tc>
        <w:tc>
          <w:tcPr>
            <w:tcW w:w="1865" w:type="dxa"/>
          </w:tcPr>
          <w:p>
            <w:pPr>
              <w:pStyle w:val="TableParagraph"/>
              <w:spacing w:before="108"/>
              <w:ind w:right="130"/>
              <w:jc w:val="right"/>
              <w:rPr>
                <w:sz w:val="20"/>
              </w:rPr>
            </w:pPr>
            <w:r>
              <w:rPr>
                <w:w w:val="100"/>
                <w:sz w:val="20"/>
              </w:rPr>
              <w:t>1</w:t>
            </w:r>
          </w:p>
        </w:tc>
      </w:tr>
      <w:tr>
        <w:trPr>
          <w:trHeight w:val="467" w:hRule="atLeast"/>
        </w:trPr>
        <w:tc>
          <w:tcPr>
            <w:tcW w:w="453" w:type="dxa"/>
          </w:tcPr>
          <w:p>
            <w:pPr>
              <w:pStyle w:val="TableParagraph"/>
              <w:rPr>
                <w:rFonts w:ascii="Times New Roman"/>
                <w:sz w:val="20"/>
              </w:rPr>
            </w:pPr>
          </w:p>
        </w:tc>
        <w:tc>
          <w:tcPr>
            <w:tcW w:w="6867" w:type="dxa"/>
          </w:tcPr>
          <w:p>
            <w:pPr>
              <w:pStyle w:val="TableParagraph"/>
              <w:tabs>
                <w:tab w:pos="1045" w:val="left" w:leader="none"/>
              </w:tabs>
              <w:spacing w:before="112"/>
              <w:ind w:left="159"/>
              <w:rPr>
                <w:sz w:val="20"/>
              </w:rPr>
            </w:pPr>
            <w:r>
              <w:rPr>
                <w:b/>
                <w:spacing w:val="-5"/>
                <w:sz w:val="21"/>
              </w:rPr>
              <w:t>2.</w:t>
            </w:r>
            <w:r>
              <w:rPr>
                <w:b/>
                <w:sz w:val="21"/>
              </w:rPr>
              <w:tab/>
            </w:r>
            <w:r>
              <w:rPr>
                <w:position w:val="1"/>
                <w:sz w:val="20"/>
              </w:rPr>
              <w:t>Progress</w:t>
            </w:r>
            <w:r>
              <w:rPr>
                <w:spacing w:val="-6"/>
                <w:position w:val="1"/>
                <w:sz w:val="20"/>
              </w:rPr>
              <w:t> </w:t>
            </w:r>
            <w:r>
              <w:rPr>
                <w:position w:val="1"/>
                <w:sz w:val="20"/>
              </w:rPr>
              <w:t>Since</w:t>
            </w:r>
            <w:r>
              <w:rPr>
                <w:spacing w:val="-1"/>
                <w:position w:val="1"/>
                <w:sz w:val="20"/>
              </w:rPr>
              <w:t> </w:t>
            </w:r>
            <w:r>
              <w:rPr>
                <w:position w:val="1"/>
                <w:sz w:val="20"/>
              </w:rPr>
              <w:t>the</w:t>
            </w:r>
            <w:r>
              <w:rPr>
                <w:spacing w:val="-12"/>
                <w:position w:val="1"/>
                <w:sz w:val="20"/>
              </w:rPr>
              <w:t> </w:t>
            </w:r>
            <w:r>
              <w:rPr>
                <w:position w:val="1"/>
                <w:sz w:val="20"/>
              </w:rPr>
              <w:t>Previous</w:t>
            </w:r>
            <w:r>
              <w:rPr>
                <w:spacing w:val="5"/>
                <w:position w:val="1"/>
                <w:sz w:val="20"/>
              </w:rPr>
              <w:t> </w:t>
            </w:r>
            <w:r>
              <w:rPr>
                <w:position w:val="1"/>
                <w:sz w:val="20"/>
              </w:rPr>
              <w:t>Site</w:t>
            </w:r>
            <w:r>
              <w:rPr>
                <w:spacing w:val="-4"/>
                <w:position w:val="1"/>
                <w:sz w:val="20"/>
              </w:rPr>
              <w:t> </w:t>
            </w:r>
            <w:r>
              <w:rPr>
                <w:spacing w:val="-2"/>
                <w:position w:val="1"/>
                <w:sz w:val="20"/>
              </w:rPr>
              <w:t>Visit</w:t>
            </w:r>
          </w:p>
        </w:tc>
        <w:tc>
          <w:tcPr>
            <w:tcW w:w="1865" w:type="dxa"/>
          </w:tcPr>
          <w:p>
            <w:pPr>
              <w:pStyle w:val="TableParagraph"/>
              <w:spacing w:before="103"/>
              <w:ind w:right="119"/>
              <w:jc w:val="right"/>
              <w:rPr>
                <w:b/>
                <w:sz w:val="21"/>
              </w:rPr>
            </w:pPr>
            <w:r>
              <w:rPr>
                <w:b/>
                <w:w w:val="100"/>
                <w:sz w:val="21"/>
              </w:rPr>
              <w:t>1</w:t>
            </w:r>
          </w:p>
        </w:tc>
      </w:tr>
      <w:tr>
        <w:trPr>
          <w:trHeight w:val="461" w:hRule="atLeast"/>
        </w:trPr>
        <w:tc>
          <w:tcPr>
            <w:tcW w:w="453" w:type="dxa"/>
          </w:tcPr>
          <w:p>
            <w:pPr>
              <w:pStyle w:val="TableParagraph"/>
              <w:rPr>
                <w:rFonts w:ascii="Times New Roman"/>
                <w:sz w:val="20"/>
              </w:rPr>
            </w:pPr>
          </w:p>
        </w:tc>
        <w:tc>
          <w:tcPr>
            <w:tcW w:w="6867" w:type="dxa"/>
          </w:tcPr>
          <w:p>
            <w:pPr>
              <w:pStyle w:val="TableParagraph"/>
              <w:tabs>
                <w:tab w:pos="1050" w:val="left" w:leader="none"/>
              </w:tabs>
              <w:spacing w:before="116"/>
              <w:ind w:left="166"/>
              <w:rPr>
                <w:sz w:val="20"/>
              </w:rPr>
            </w:pPr>
            <w:r>
              <w:rPr>
                <w:rFonts w:ascii="Times New Roman"/>
                <w:spacing w:val="-5"/>
                <w:sz w:val="20"/>
              </w:rPr>
              <w:t>3.</w:t>
            </w:r>
            <w:r>
              <w:rPr>
                <w:rFonts w:ascii="Times New Roman"/>
                <w:sz w:val="20"/>
              </w:rPr>
              <w:tab/>
            </w:r>
            <w:r>
              <w:rPr>
                <w:sz w:val="20"/>
              </w:rPr>
              <w:t>Conditions/Criteria</w:t>
            </w:r>
            <w:r>
              <w:rPr>
                <w:spacing w:val="-15"/>
                <w:sz w:val="20"/>
              </w:rPr>
              <w:t> </w:t>
            </w:r>
            <w:r>
              <w:rPr>
                <w:sz w:val="20"/>
              </w:rPr>
              <w:t>Well</w:t>
            </w:r>
            <w:r>
              <w:rPr>
                <w:spacing w:val="-15"/>
                <w:sz w:val="20"/>
              </w:rPr>
              <w:t> </w:t>
            </w:r>
            <w:r>
              <w:rPr>
                <w:spacing w:val="-5"/>
                <w:sz w:val="20"/>
              </w:rPr>
              <w:t>Met</w:t>
            </w:r>
          </w:p>
        </w:tc>
        <w:tc>
          <w:tcPr>
            <w:tcW w:w="1865" w:type="dxa"/>
          </w:tcPr>
          <w:p>
            <w:pPr>
              <w:pStyle w:val="TableParagraph"/>
              <w:spacing w:before="107"/>
              <w:ind w:right="120"/>
              <w:jc w:val="right"/>
              <w:rPr>
                <w:b/>
                <w:sz w:val="20"/>
              </w:rPr>
            </w:pPr>
            <w:r>
              <w:rPr>
                <w:b/>
                <w:w w:val="110"/>
                <w:sz w:val="20"/>
              </w:rPr>
              <w:t>4</w:t>
            </w:r>
          </w:p>
        </w:tc>
      </w:tr>
      <w:tr>
        <w:trPr>
          <w:trHeight w:val="472" w:hRule="atLeast"/>
        </w:trPr>
        <w:tc>
          <w:tcPr>
            <w:tcW w:w="453" w:type="dxa"/>
          </w:tcPr>
          <w:p>
            <w:pPr>
              <w:pStyle w:val="TableParagraph"/>
              <w:rPr>
                <w:rFonts w:ascii="Times New Roman"/>
                <w:sz w:val="20"/>
              </w:rPr>
            </w:pPr>
          </w:p>
        </w:tc>
        <w:tc>
          <w:tcPr>
            <w:tcW w:w="6867" w:type="dxa"/>
          </w:tcPr>
          <w:p>
            <w:pPr>
              <w:pStyle w:val="TableParagraph"/>
              <w:tabs>
                <w:tab w:pos="1050" w:val="left" w:leader="none"/>
              </w:tabs>
              <w:spacing w:before="116"/>
              <w:ind w:left="160"/>
              <w:rPr>
                <w:sz w:val="20"/>
              </w:rPr>
            </w:pPr>
            <w:r>
              <w:rPr>
                <w:b/>
                <w:spacing w:val="-5"/>
                <w:sz w:val="21"/>
              </w:rPr>
              <w:t>4.</w:t>
            </w:r>
            <w:r>
              <w:rPr>
                <w:b/>
                <w:sz w:val="21"/>
              </w:rPr>
              <w:tab/>
            </w:r>
            <w:r>
              <w:rPr>
                <w:position w:val="1"/>
                <w:sz w:val="20"/>
              </w:rPr>
              <w:t>Conditions/Criteria</w:t>
            </w:r>
            <w:r>
              <w:rPr>
                <w:spacing w:val="-22"/>
                <w:position w:val="1"/>
                <w:sz w:val="20"/>
              </w:rPr>
              <w:t> </w:t>
            </w:r>
            <w:r>
              <w:rPr>
                <w:position w:val="1"/>
                <w:sz w:val="20"/>
              </w:rPr>
              <w:t>Not</w:t>
            </w:r>
            <w:r>
              <w:rPr>
                <w:spacing w:val="-7"/>
                <w:position w:val="1"/>
                <w:sz w:val="20"/>
              </w:rPr>
              <w:t> </w:t>
            </w:r>
            <w:r>
              <w:rPr>
                <w:spacing w:val="-5"/>
                <w:position w:val="1"/>
                <w:sz w:val="20"/>
              </w:rPr>
              <w:t>Met</w:t>
            </w:r>
          </w:p>
        </w:tc>
        <w:tc>
          <w:tcPr>
            <w:tcW w:w="1865" w:type="dxa"/>
          </w:tcPr>
          <w:p>
            <w:pPr>
              <w:pStyle w:val="TableParagraph"/>
              <w:spacing w:before="107"/>
              <w:ind w:right="120"/>
              <w:jc w:val="right"/>
              <w:rPr>
                <w:b/>
                <w:sz w:val="21"/>
              </w:rPr>
            </w:pPr>
            <w:r>
              <w:rPr>
                <w:b/>
                <w:w w:val="105"/>
                <w:sz w:val="21"/>
              </w:rPr>
              <w:t>4</w:t>
            </w:r>
          </w:p>
        </w:tc>
      </w:tr>
      <w:tr>
        <w:trPr>
          <w:trHeight w:val="577" w:hRule="atLeast"/>
        </w:trPr>
        <w:tc>
          <w:tcPr>
            <w:tcW w:w="453" w:type="dxa"/>
          </w:tcPr>
          <w:p>
            <w:pPr>
              <w:pStyle w:val="TableParagraph"/>
              <w:rPr>
                <w:rFonts w:ascii="Times New Roman"/>
                <w:sz w:val="20"/>
              </w:rPr>
            </w:pPr>
          </w:p>
        </w:tc>
        <w:tc>
          <w:tcPr>
            <w:tcW w:w="6867" w:type="dxa"/>
          </w:tcPr>
          <w:p>
            <w:pPr>
              <w:pStyle w:val="TableParagraph"/>
              <w:tabs>
                <w:tab w:pos="1050" w:val="left" w:leader="none"/>
              </w:tabs>
              <w:spacing w:before="116"/>
              <w:ind w:left="164"/>
              <w:rPr>
                <w:sz w:val="20"/>
              </w:rPr>
            </w:pPr>
            <w:r>
              <w:rPr>
                <w:rFonts w:ascii="Times New Roman"/>
                <w:spacing w:val="-5"/>
                <w:sz w:val="20"/>
              </w:rPr>
              <w:t>5.</w:t>
            </w:r>
            <w:r>
              <w:rPr>
                <w:rFonts w:ascii="Times New Roman"/>
                <w:sz w:val="20"/>
              </w:rPr>
              <w:tab/>
            </w:r>
            <w:r>
              <w:rPr>
                <w:sz w:val="20"/>
              </w:rPr>
              <w:t>Causes</w:t>
            </w:r>
            <w:r>
              <w:rPr>
                <w:spacing w:val="-4"/>
                <w:sz w:val="20"/>
              </w:rPr>
              <w:t> </w:t>
            </w:r>
            <w:r>
              <w:rPr>
                <w:sz w:val="20"/>
              </w:rPr>
              <w:t>of</w:t>
            </w:r>
            <w:r>
              <w:rPr>
                <w:spacing w:val="-9"/>
                <w:sz w:val="20"/>
              </w:rPr>
              <w:t> </w:t>
            </w:r>
            <w:r>
              <w:rPr>
                <w:spacing w:val="-2"/>
                <w:sz w:val="20"/>
              </w:rPr>
              <w:t>Concern</w:t>
            </w:r>
          </w:p>
        </w:tc>
        <w:tc>
          <w:tcPr>
            <w:tcW w:w="1865" w:type="dxa"/>
          </w:tcPr>
          <w:p>
            <w:pPr>
              <w:pStyle w:val="TableParagraph"/>
              <w:spacing w:before="107"/>
              <w:ind w:right="120"/>
              <w:jc w:val="right"/>
              <w:rPr>
                <w:b/>
                <w:sz w:val="20"/>
              </w:rPr>
            </w:pPr>
            <w:r>
              <w:rPr>
                <w:b/>
                <w:w w:val="110"/>
                <w:sz w:val="20"/>
              </w:rPr>
              <w:t>4</w:t>
            </w:r>
          </w:p>
        </w:tc>
      </w:tr>
      <w:tr>
        <w:trPr>
          <w:trHeight w:val="697" w:hRule="atLeast"/>
        </w:trPr>
        <w:tc>
          <w:tcPr>
            <w:tcW w:w="453" w:type="dxa"/>
          </w:tcPr>
          <w:p>
            <w:pPr>
              <w:pStyle w:val="TableParagraph"/>
              <w:spacing w:before="2"/>
              <w:rPr>
                <w:sz w:val="20"/>
              </w:rPr>
            </w:pPr>
          </w:p>
          <w:p>
            <w:pPr>
              <w:pStyle w:val="TableParagraph"/>
              <w:spacing w:before="1"/>
              <w:ind w:left="59"/>
              <w:rPr>
                <w:sz w:val="20"/>
              </w:rPr>
            </w:pPr>
            <w:r>
              <w:rPr>
                <w:spacing w:val="-5"/>
                <w:w w:val="110"/>
                <w:sz w:val="20"/>
              </w:rPr>
              <w:t>II.</w:t>
            </w:r>
          </w:p>
        </w:tc>
        <w:tc>
          <w:tcPr>
            <w:tcW w:w="6867" w:type="dxa"/>
          </w:tcPr>
          <w:p>
            <w:pPr>
              <w:pStyle w:val="TableParagraph"/>
              <w:spacing w:before="4"/>
              <w:rPr>
                <w:sz w:val="19"/>
              </w:rPr>
            </w:pPr>
          </w:p>
          <w:p>
            <w:pPr>
              <w:pStyle w:val="TableParagraph"/>
              <w:spacing w:before="1"/>
              <w:ind w:left="154"/>
              <w:rPr>
                <w:sz w:val="20"/>
              </w:rPr>
            </w:pPr>
            <w:r>
              <w:rPr>
                <w:sz w:val="20"/>
              </w:rPr>
              <w:t>Compliance</w:t>
            </w:r>
            <w:r>
              <w:rPr>
                <w:spacing w:val="-2"/>
                <w:sz w:val="20"/>
              </w:rPr>
              <w:t> </w:t>
            </w:r>
            <w:r>
              <w:rPr>
                <w:sz w:val="20"/>
              </w:rPr>
              <w:t>with</w:t>
            </w:r>
            <w:r>
              <w:rPr>
                <w:spacing w:val="-11"/>
                <w:sz w:val="20"/>
              </w:rPr>
              <w:t> </w:t>
            </w:r>
            <w:r>
              <w:rPr>
                <w:sz w:val="20"/>
              </w:rPr>
              <w:t>the</w:t>
            </w:r>
            <w:r>
              <w:rPr>
                <w:spacing w:val="-6"/>
                <w:sz w:val="20"/>
              </w:rPr>
              <w:t> </w:t>
            </w:r>
            <w:r>
              <w:rPr>
                <w:sz w:val="20"/>
              </w:rPr>
              <w:t>Conditions</w:t>
            </w:r>
            <w:r>
              <w:rPr>
                <w:spacing w:val="2"/>
                <w:sz w:val="20"/>
              </w:rPr>
              <w:t> </w:t>
            </w:r>
            <w:r>
              <w:rPr>
                <w:sz w:val="20"/>
              </w:rPr>
              <w:t>for</w:t>
            </w:r>
            <w:r>
              <w:rPr>
                <w:spacing w:val="-14"/>
                <w:sz w:val="20"/>
              </w:rPr>
              <w:t> </w:t>
            </w:r>
            <w:r>
              <w:rPr>
                <w:spacing w:val="-2"/>
                <w:sz w:val="20"/>
              </w:rPr>
              <w:t>Accreditation</w:t>
            </w:r>
          </w:p>
        </w:tc>
        <w:tc>
          <w:tcPr>
            <w:tcW w:w="1865" w:type="dxa"/>
          </w:tcPr>
          <w:p>
            <w:pPr>
              <w:pStyle w:val="TableParagraph"/>
              <w:spacing w:before="4"/>
              <w:rPr>
                <w:sz w:val="19"/>
              </w:rPr>
            </w:pPr>
          </w:p>
          <w:p>
            <w:pPr>
              <w:pStyle w:val="TableParagraph"/>
              <w:spacing w:before="1"/>
              <w:ind w:right="116"/>
              <w:jc w:val="right"/>
              <w:rPr>
                <w:sz w:val="20"/>
              </w:rPr>
            </w:pPr>
            <w:r>
              <w:rPr>
                <w:w w:val="109"/>
                <w:sz w:val="20"/>
              </w:rPr>
              <w:t>5</w:t>
            </w:r>
          </w:p>
        </w:tc>
      </w:tr>
      <w:tr>
        <w:trPr>
          <w:trHeight w:val="578" w:hRule="atLeast"/>
        </w:trPr>
        <w:tc>
          <w:tcPr>
            <w:tcW w:w="453" w:type="dxa"/>
          </w:tcPr>
          <w:p>
            <w:pPr>
              <w:pStyle w:val="TableParagraph"/>
              <w:spacing w:before="10"/>
              <w:rPr>
                <w:sz w:val="19"/>
              </w:rPr>
            </w:pPr>
          </w:p>
          <w:p>
            <w:pPr>
              <w:pStyle w:val="TableParagraph"/>
              <w:ind w:left="58"/>
              <w:rPr>
                <w:sz w:val="21"/>
              </w:rPr>
            </w:pPr>
            <w:r>
              <w:rPr>
                <w:spacing w:val="-4"/>
                <w:w w:val="115"/>
                <w:sz w:val="21"/>
              </w:rPr>
              <w:t>Ill.</w:t>
            </w:r>
          </w:p>
        </w:tc>
        <w:tc>
          <w:tcPr>
            <w:tcW w:w="6867" w:type="dxa"/>
          </w:tcPr>
          <w:p>
            <w:pPr>
              <w:pStyle w:val="TableParagraph"/>
              <w:spacing w:before="10"/>
              <w:rPr>
                <w:sz w:val="19"/>
              </w:rPr>
            </w:pPr>
          </w:p>
          <w:p>
            <w:pPr>
              <w:pStyle w:val="TableParagraph"/>
              <w:ind w:left="155"/>
              <w:rPr>
                <w:sz w:val="20"/>
              </w:rPr>
            </w:pPr>
            <w:r>
              <w:rPr>
                <w:spacing w:val="-2"/>
                <w:sz w:val="20"/>
              </w:rPr>
              <w:t>Appendices</w:t>
            </w:r>
          </w:p>
        </w:tc>
        <w:tc>
          <w:tcPr>
            <w:tcW w:w="1865" w:type="dxa"/>
          </w:tcPr>
          <w:p>
            <w:pPr>
              <w:pStyle w:val="TableParagraph"/>
              <w:spacing w:before="10"/>
              <w:rPr>
                <w:sz w:val="19"/>
              </w:rPr>
            </w:pPr>
          </w:p>
          <w:p>
            <w:pPr>
              <w:pStyle w:val="TableParagraph"/>
              <w:ind w:right="68"/>
              <w:jc w:val="right"/>
              <w:rPr>
                <w:sz w:val="20"/>
              </w:rPr>
            </w:pPr>
            <w:r>
              <w:rPr>
                <w:spacing w:val="-5"/>
                <w:w w:val="105"/>
                <w:sz w:val="20"/>
              </w:rPr>
              <w:t>24</w:t>
            </w:r>
          </w:p>
        </w:tc>
      </w:tr>
      <w:tr>
        <w:trPr>
          <w:trHeight w:val="456" w:hRule="atLeast"/>
        </w:trPr>
        <w:tc>
          <w:tcPr>
            <w:tcW w:w="453" w:type="dxa"/>
          </w:tcPr>
          <w:p>
            <w:pPr>
              <w:pStyle w:val="TableParagraph"/>
              <w:rPr>
                <w:rFonts w:ascii="Times New Roman"/>
                <w:sz w:val="20"/>
              </w:rPr>
            </w:pPr>
          </w:p>
        </w:tc>
        <w:tc>
          <w:tcPr>
            <w:tcW w:w="6867" w:type="dxa"/>
          </w:tcPr>
          <w:p>
            <w:pPr>
              <w:pStyle w:val="TableParagraph"/>
              <w:tabs>
                <w:tab w:pos="1045" w:val="left" w:leader="none"/>
              </w:tabs>
              <w:spacing w:before="102"/>
              <w:ind w:left="329"/>
              <w:rPr>
                <w:sz w:val="20"/>
              </w:rPr>
            </w:pPr>
            <w:r>
              <w:rPr>
                <w:spacing w:val="-5"/>
                <w:sz w:val="20"/>
              </w:rPr>
              <w:t>A.</w:t>
            </w:r>
            <w:r>
              <w:rPr>
                <w:sz w:val="20"/>
              </w:rPr>
              <w:tab/>
            </w:r>
            <w:r>
              <w:rPr>
                <w:spacing w:val="-2"/>
                <w:position w:val="1"/>
                <w:sz w:val="20"/>
              </w:rPr>
              <w:t>Program</w:t>
            </w:r>
            <w:r>
              <w:rPr>
                <w:spacing w:val="-1"/>
                <w:position w:val="1"/>
                <w:sz w:val="20"/>
              </w:rPr>
              <w:t> </w:t>
            </w:r>
            <w:r>
              <w:rPr>
                <w:spacing w:val="-2"/>
                <w:position w:val="1"/>
                <w:sz w:val="20"/>
              </w:rPr>
              <w:t>Information</w:t>
            </w:r>
          </w:p>
        </w:tc>
        <w:tc>
          <w:tcPr>
            <w:tcW w:w="1865" w:type="dxa"/>
          </w:tcPr>
          <w:p>
            <w:pPr>
              <w:pStyle w:val="TableParagraph"/>
              <w:spacing w:before="102"/>
              <w:ind w:right="70"/>
              <w:jc w:val="right"/>
              <w:rPr>
                <w:sz w:val="20"/>
              </w:rPr>
            </w:pPr>
            <w:r>
              <w:rPr>
                <w:spacing w:val="-5"/>
                <w:sz w:val="20"/>
              </w:rPr>
              <w:t>24</w:t>
            </w:r>
          </w:p>
        </w:tc>
      </w:tr>
      <w:tr>
        <w:trPr>
          <w:trHeight w:val="456" w:hRule="atLeast"/>
        </w:trPr>
        <w:tc>
          <w:tcPr>
            <w:tcW w:w="453" w:type="dxa"/>
          </w:tcPr>
          <w:p>
            <w:pPr>
              <w:pStyle w:val="TableParagraph"/>
              <w:rPr>
                <w:rFonts w:ascii="Times New Roman"/>
                <w:sz w:val="20"/>
              </w:rPr>
            </w:pPr>
          </w:p>
        </w:tc>
        <w:tc>
          <w:tcPr>
            <w:tcW w:w="6867" w:type="dxa"/>
          </w:tcPr>
          <w:p>
            <w:pPr>
              <w:pStyle w:val="TableParagraph"/>
              <w:tabs>
                <w:tab w:pos="1767" w:val="left" w:leader="none"/>
              </w:tabs>
              <w:spacing w:before="108"/>
              <w:ind w:left="1039"/>
              <w:rPr>
                <w:sz w:val="20"/>
              </w:rPr>
            </w:pPr>
            <w:r>
              <w:rPr>
                <w:spacing w:val="-5"/>
                <w:sz w:val="20"/>
              </w:rPr>
              <w:t>1.</w:t>
            </w:r>
            <w:r>
              <w:rPr>
                <w:sz w:val="20"/>
              </w:rPr>
              <w:tab/>
              <w:t>History</w:t>
            </w:r>
            <w:r>
              <w:rPr>
                <w:spacing w:val="13"/>
                <w:sz w:val="20"/>
              </w:rPr>
              <w:t> </w:t>
            </w:r>
            <w:r>
              <w:rPr>
                <w:sz w:val="20"/>
              </w:rPr>
              <w:t>and</w:t>
            </w:r>
            <w:r>
              <w:rPr>
                <w:spacing w:val="-14"/>
                <w:sz w:val="20"/>
              </w:rPr>
              <w:t> </w:t>
            </w:r>
            <w:r>
              <w:rPr>
                <w:sz w:val="20"/>
              </w:rPr>
              <w:t>Description</w:t>
            </w:r>
            <w:r>
              <w:rPr>
                <w:spacing w:val="-1"/>
                <w:sz w:val="20"/>
              </w:rPr>
              <w:t> </w:t>
            </w:r>
            <w:r>
              <w:rPr>
                <w:sz w:val="20"/>
              </w:rPr>
              <w:t>of</w:t>
            </w:r>
            <w:r>
              <w:rPr>
                <w:spacing w:val="-11"/>
                <w:sz w:val="20"/>
              </w:rPr>
              <w:t> </w:t>
            </w:r>
            <w:r>
              <w:rPr>
                <w:sz w:val="20"/>
              </w:rPr>
              <w:t>the</w:t>
            </w:r>
            <w:r>
              <w:rPr>
                <w:spacing w:val="-21"/>
                <w:sz w:val="20"/>
              </w:rPr>
              <w:t> </w:t>
            </w:r>
            <w:r>
              <w:rPr>
                <w:spacing w:val="-2"/>
                <w:sz w:val="20"/>
              </w:rPr>
              <w:t>Institution</w:t>
            </w:r>
          </w:p>
        </w:tc>
        <w:tc>
          <w:tcPr>
            <w:tcW w:w="1865" w:type="dxa"/>
          </w:tcPr>
          <w:p>
            <w:pPr>
              <w:pStyle w:val="TableParagraph"/>
              <w:spacing w:before="108"/>
              <w:ind w:right="68"/>
              <w:jc w:val="right"/>
              <w:rPr>
                <w:sz w:val="20"/>
              </w:rPr>
            </w:pPr>
            <w:r>
              <w:rPr>
                <w:spacing w:val="-5"/>
                <w:w w:val="105"/>
                <w:sz w:val="20"/>
              </w:rPr>
              <w:t>24</w:t>
            </w:r>
          </w:p>
        </w:tc>
      </w:tr>
      <w:tr>
        <w:trPr>
          <w:trHeight w:val="474" w:hRule="atLeast"/>
        </w:trPr>
        <w:tc>
          <w:tcPr>
            <w:tcW w:w="453" w:type="dxa"/>
          </w:tcPr>
          <w:p>
            <w:pPr>
              <w:pStyle w:val="TableParagraph"/>
              <w:rPr>
                <w:rFonts w:ascii="Times New Roman"/>
                <w:sz w:val="20"/>
              </w:rPr>
            </w:pPr>
          </w:p>
        </w:tc>
        <w:tc>
          <w:tcPr>
            <w:tcW w:w="6867" w:type="dxa"/>
          </w:tcPr>
          <w:p>
            <w:pPr>
              <w:pStyle w:val="TableParagraph"/>
              <w:tabs>
                <w:tab w:pos="1765" w:val="left" w:leader="none"/>
              </w:tabs>
              <w:spacing w:before="114"/>
              <w:ind w:left="1032"/>
              <w:rPr>
                <w:sz w:val="20"/>
              </w:rPr>
            </w:pPr>
            <w:r>
              <w:rPr>
                <w:rFonts w:ascii="Courier New"/>
                <w:spacing w:val="-5"/>
                <w:sz w:val="22"/>
              </w:rPr>
              <w:t>2.</w:t>
            </w:r>
            <w:r>
              <w:rPr>
                <w:rFonts w:ascii="Courier New"/>
                <w:sz w:val="22"/>
              </w:rPr>
              <w:tab/>
            </w:r>
            <w:r>
              <w:rPr>
                <w:sz w:val="20"/>
              </w:rPr>
              <w:t>Institutional</w:t>
            </w:r>
            <w:r>
              <w:rPr>
                <w:spacing w:val="-8"/>
                <w:sz w:val="20"/>
              </w:rPr>
              <w:t> </w:t>
            </w:r>
            <w:r>
              <w:rPr>
                <w:spacing w:val="-2"/>
                <w:sz w:val="20"/>
              </w:rPr>
              <w:t>Mission</w:t>
            </w:r>
          </w:p>
        </w:tc>
        <w:tc>
          <w:tcPr>
            <w:tcW w:w="1865" w:type="dxa"/>
          </w:tcPr>
          <w:p>
            <w:pPr>
              <w:pStyle w:val="TableParagraph"/>
              <w:spacing w:before="114"/>
              <w:ind w:right="70"/>
              <w:jc w:val="right"/>
              <w:rPr>
                <w:sz w:val="20"/>
              </w:rPr>
            </w:pPr>
            <w:r>
              <w:rPr>
                <w:spacing w:val="-5"/>
                <w:w w:val="105"/>
                <w:sz w:val="20"/>
              </w:rPr>
              <w:t>26</w:t>
            </w:r>
          </w:p>
        </w:tc>
      </w:tr>
      <w:tr>
        <w:trPr>
          <w:trHeight w:val="463" w:hRule="atLeast"/>
        </w:trPr>
        <w:tc>
          <w:tcPr>
            <w:tcW w:w="453" w:type="dxa"/>
          </w:tcPr>
          <w:p>
            <w:pPr>
              <w:pStyle w:val="TableParagraph"/>
              <w:rPr>
                <w:rFonts w:ascii="Times New Roman"/>
                <w:sz w:val="20"/>
              </w:rPr>
            </w:pPr>
          </w:p>
        </w:tc>
        <w:tc>
          <w:tcPr>
            <w:tcW w:w="6867" w:type="dxa"/>
          </w:tcPr>
          <w:p>
            <w:pPr>
              <w:pStyle w:val="TableParagraph"/>
              <w:tabs>
                <w:tab w:pos="1768" w:val="left" w:leader="none"/>
              </w:tabs>
              <w:spacing w:before="102"/>
              <w:ind w:left="1030"/>
              <w:rPr>
                <w:sz w:val="20"/>
              </w:rPr>
            </w:pPr>
            <w:r>
              <w:rPr>
                <w:rFonts w:ascii="Courier New"/>
                <w:spacing w:val="-5"/>
                <w:sz w:val="22"/>
              </w:rPr>
              <w:t>3.</w:t>
            </w:r>
            <w:r>
              <w:rPr>
                <w:rFonts w:ascii="Courier New"/>
                <w:sz w:val="22"/>
              </w:rPr>
              <w:tab/>
            </w:r>
            <w:r>
              <w:rPr>
                <w:sz w:val="20"/>
              </w:rPr>
              <w:t>Program</w:t>
            </w:r>
            <w:r>
              <w:rPr>
                <w:spacing w:val="-13"/>
                <w:sz w:val="20"/>
              </w:rPr>
              <w:t> </w:t>
            </w:r>
            <w:r>
              <w:rPr>
                <w:spacing w:val="-2"/>
                <w:sz w:val="20"/>
              </w:rPr>
              <w:t>History</w:t>
            </w:r>
          </w:p>
        </w:tc>
        <w:tc>
          <w:tcPr>
            <w:tcW w:w="1865" w:type="dxa"/>
          </w:tcPr>
          <w:p>
            <w:pPr>
              <w:pStyle w:val="TableParagraph"/>
              <w:spacing w:before="111"/>
              <w:ind w:right="70"/>
              <w:jc w:val="right"/>
              <w:rPr>
                <w:sz w:val="19"/>
              </w:rPr>
            </w:pPr>
            <w:r>
              <w:rPr>
                <w:spacing w:val="-5"/>
                <w:w w:val="105"/>
                <w:sz w:val="19"/>
              </w:rPr>
              <w:t>27</w:t>
            </w:r>
          </w:p>
        </w:tc>
      </w:tr>
      <w:tr>
        <w:trPr>
          <w:trHeight w:val="436" w:hRule="atLeast"/>
        </w:trPr>
        <w:tc>
          <w:tcPr>
            <w:tcW w:w="453" w:type="dxa"/>
          </w:tcPr>
          <w:p>
            <w:pPr>
              <w:pStyle w:val="TableParagraph"/>
              <w:rPr>
                <w:rFonts w:ascii="Times New Roman"/>
                <w:sz w:val="20"/>
              </w:rPr>
            </w:pPr>
          </w:p>
        </w:tc>
        <w:tc>
          <w:tcPr>
            <w:tcW w:w="6867" w:type="dxa"/>
          </w:tcPr>
          <w:p>
            <w:pPr>
              <w:pStyle w:val="TableParagraph"/>
              <w:tabs>
                <w:tab w:pos="1758" w:val="left" w:leader="none"/>
              </w:tabs>
              <w:spacing w:before="101"/>
              <w:ind w:left="1039"/>
              <w:rPr>
                <w:sz w:val="20"/>
              </w:rPr>
            </w:pPr>
            <w:r>
              <w:rPr>
                <w:spacing w:val="-5"/>
                <w:sz w:val="20"/>
              </w:rPr>
              <w:t>4.</w:t>
            </w:r>
            <w:r>
              <w:rPr>
                <w:sz w:val="20"/>
              </w:rPr>
              <w:tab/>
              <w:t>Program</w:t>
            </w:r>
            <w:r>
              <w:rPr>
                <w:spacing w:val="3"/>
                <w:sz w:val="20"/>
              </w:rPr>
              <w:t> </w:t>
            </w:r>
            <w:r>
              <w:rPr>
                <w:spacing w:val="-2"/>
                <w:sz w:val="20"/>
              </w:rPr>
              <w:t>Mission</w:t>
            </w:r>
          </w:p>
        </w:tc>
        <w:tc>
          <w:tcPr>
            <w:tcW w:w="1865" w:type="dxa"/>
          </w:tcPr>
          <w:p>
            <w:pPr>
              <w:pStyle w:val="TableParagraph"/>
              <w:spacing w:before="101"/>
              <w:ind w:right="70"/>
              <w:jc w:val="right"/>
              <w:rPr>
                <w:sz w:val="20"/>
              </w:rPr>
            </w:pPr>
            <w:r>
              <w:rPr>
                <w:spacing w:val="-5"/>
                <w:sz w:val="20"/>
              </w:rPr>
              <w:t>29</w:t>
            </w:r>
          </w:p>
        </w:tc>
      </w:tr>
      <w:tr>
        <w:trPr>
          <w:trHeight w:val="592" w:hRule="atLeast"/>
        </w:trPr>
        <w:tc>
          <w:tcPr>
            <w:tcW w:w="453" w:type="dxa"/>
          </w:tcPr>
          <w:p>
            <w:pPr>
              <w:pStyle w:val="TableParagraph"/>
              <w:rPr>
                <w:rFonts w:ascii="Times New Roman"/>
                <w:sz w:val="20"/>
              </w:rPr>
            </w:pPr>
          </w:p>
        </w:tc>
        <w:tc>
          <w:tcPr>
            <w:tcW w:w="6867" w:type="dxa"/>
          </w:tcPr>
          <w:p>
            <w:pPr>
              <w:pStyle w:val="TableParagraph"/>
              <w:tabs>
                <w:tab w:pos="1758" w:val="left" w:leader="none"/>
              </w:tabs>
              <w:spacing w:before="105"/>
              <w:ind w:left="1028"/>
              <w:rPr>
                <w:sz w:val="20"/>
              </w:rPr>
            </w:pPr>
            <w:r>
              <w:rPr>
                <w:rFonts w:ascii="Courier New"/>
                <w:spacing w:val="-5"/>
                <w:sz w:val="24"/>
              </w:rPr>
              <w:t>5.</w:t>
            </w:r>
            <w:r>
              <w:rPr>
                <w:rFonts w:ascii="Courier New"/>
                <w:sz w:val="24"/>
              </w:rPr>
              <w:tab/>
            </w:r>
            <w:r>
              <w:rPr>
                <w:sz w:val="20"/>
              </w:rPr>
              <w:t>Program</w:t>
            </w:r>
            <w:r>
              <w:rPr>
                <w:spacing w:val="7"/>
                <w:sz w:val="20"/>
              </w:rPr>
              <w:t> </w:t>
            </w:r>
            <w:r>
              <w:rPr>
                <w:sz w:val="20"/>
              </w:rPr>
              <w:t>Self</w:t>
            </w:r>
            <w:r>
              <w:rPr>
                <w:spacing w:val="-8"/>
                <w:sz w:val="20"/>
              </w:rPr>
              <w:t> </w:t>
            </w:r>
            <w:r>
              <w:rPr>
                <w:spacing w:val="-2"/>
                <w:sz w:val="20"/>
              </w:rPr>
              <w:t>Assessment</w:t>
            </w:r>
          </w:p>
        </w:tc>
        <w:tc>
          <w:tcPr>
            <w:tcW w:w="1865" w:type="dxa"/>
          </w:tcPr>
          <w:p>
            <w:pPr>
              <w:pStyle w:val="TableParagraph"/>
              <w:spacing w:before="128"/>
              <w:ind w:right="95"/>
              <w:jc w:val="right"/>
              <w:rPr>
                <w:rFonts w:ascii="Times New Roman"/>
                <w:sz w:val="20"/>
              </w:rPr>
            </w:pPr>
            <w:r>
              <w:rPr>
                <w:rFonts w:ascii="Times New Roman"/>
                <w:spacing w:val="-5"/>
                <w:sz w:val="20"/>
              </w:rPr>
              <w:t>31</w:t>
            </w:r>
          </w:p>
        </w:tc>
      </w:tr>
      <w:tr>
        <w:trPr>
          <w:trHeight w:val="678" w:hRule="atLeast"/>
        </w:trPr>
        <w:tc>
          <w:tcPr>
            <w:tcW w:w="453" w:type="dxa"/>
          </w:tcPr>
          <w:p>
            <w:pPr>
              <w:pStyle w:val="TableParagraph"/>
              <w:rPr>
                <w:rFonts w:ascii="Times New Roman"/>
                <w:sz w:val="20"/>
              </w:rPr>
            </w:pPr>
          </w:p>
        </w:tc>
        <w:tc>
          <w:tcPr>
            <w:tcW w:w="6867" w:type="dxa"/>
          </w:tcPr>
          <w:p>
            <w:pPr>
              <w:pStyle w:val="TableParagraph"/>
              <w:tabs>
                <w:tab w:pos="1037" w:val="left" w:leader="none"/>
              </w:tabs>
              <w:spacing w:before="209"/>
              <w:ind w:left="322"/>
              <w:rPr>
                <w:sz w:val="20"/>
              </w:rPr>
            </w:pPr>
            <w:r>
              <w:rPr>
                <w:b/>
                <w:spacing w:val="-5"/>
                <w:sz w:val="21"/>
              </w:rPr>
              <w:t>B.</w:t>
            </w:r>
            <w:r>
              <w:rPr>
                <w:b/>
                <w:sz w:val="21"/>
              </w:rPr>
              <w:tab/>
            </w:r>
            <w:r>
              <w:rPr>
                <w:sz w:val="20"/>
              </w:rPr>
              <w:t>The</w:t>
            </w:r>
            <w:r>
              <w:rPr>
                <w:spacing w:val="-2"/>
                <w:sz w:val="20"/>
              </w:rPr>
              <w:t> </w:t>
            </w:r>
            <w:r>
              <w:rPr>
                <w:sz w:val="20"/>
              </w:rPr>
              <w:t>Visiting</w:t>
            </w:r>
            <w:r>
              <w:rPr>
                <w:spacing w:val="-3"/>
                <w:sz w:val="20"/>
              </w:rPr>
              <w:t> </w:t>
            </w:r>
            <w:r>
              <w:rPr>
                <w:spacing w:val="-4"/>
                <w:sz w:val="20"/>
              </w:rPr>
              <w:t>Team</w:t>
            </w:r>
          </w:p>
        </w:tc>
        <w:tc>
          <w:tcPr>
            <w:tcW w:w="1865" w:type="dxa"/>
          </w:tcPr>
          <w:p>
            <w:pPr>
              <w:pStyle w:val="TableParagraph"/>
              <w:spacing w:before="11"/>
              <w:rPr>
                <w:sz w:val="18"/>
              </w:rPr>
            </w:pPr>
          </w:p>
          <w:p>
            <w:pPr>
              <w:pStyle w:val="TableParagraph"/>
              <w:ind w:right="70"/>
              <w:jc w:val="right"/>
              <w:rPr>
                <w:sz w:val="20"/>
              </w:rPr>
            </w:pPr>
            <w:r>
              <w:rPr>
                <w:spacing w:val="-5"/>
                <w:sz w:val="20"/>
              </w:rPr>
              <w:t>38</w:t>
            </w:r>
          </w:p>
        </w:tc>
      </w:tr>
      <w:tr>
        <w:trPr>
          <w:trHeight w:val="710" w:hRule="atLeast"/>
        </w:trPr>
        <w:tc>
          <w:tcPr>
            <w:tcW w:w="453" w:type="dxa"/>
          </w:tcPr>
          <w:p>
            <w:pPr>
              <w:pStyle w:val="TableParagraph"/>
              <w:rPr>
                <w:rFonts w:ascii="Times New Roman"/>
                <w:sz w:val="20"/>
              </w:rPr>
            </w:pPr>
          </w:p>
        </w:tc>
        <w:tc>
          <w:tcPr>
            <w:tcW w:w="6867" w:type="dxa"/>
          </w:tcPr>
          <w:p>
            <w:pPr>
              <w:pStyle w:val="TableParagraph"/>
              <w:spacing w:before="2"/>
              <w:rPr>
                <w:sz w:val="20"/>
              </w:rPr>
            </w:pPr>
          </w:p>
          <w:p>
            <w:pPr>
              <w:pStyle w:val="TableParagraph"/>
              <w:tabs>
                <w:tab w:pos="1037" w:val="left" w:leader="none"/>
              </w:tabs>
              <w:ind w:left="318"/>
              <w:rPr>
                <w:sz w:val="20"/>
              </w:rPr>
            </w:pPr>
            <w:r>
              <w:rPr>
                <w:spacing w:val="-5"/>
                <w:sz w:val="20"/>
              </w:rPr>
              <w:t>C.</w:t>
            </w:r>
            <w:r>
              <w:rPr>
                <w:sz w:val="20"/>
              </w:rPr>
              <w:tab/>
              <w:t>The Visit </w:t>
            </w:r>
            <w:r>
              <w:rPr>
                <w:spacing w:val="-2"/>
                <w:sz w:val="20"/>
              </w:rPr>
              <w:t>Agenda</w:t>
            </w:r>
          </w:p>
        </w:tc>
        <w:tc>
          <w:tcPr>
            <w:tcW w:w="1865" w:type="dxa"/>
          </w:tcPr>
          <w:p>
            <w:pPr>
              <w:pStyle w:val="TableParagraph"/>
              <w:spacing w:before="229"/>
              <w:ind w:right="45"/>
              <w:jc w:val="right"/>
              <w:rPr>
                <w:rFonts w:ascii="Courier New"/>
                <w:sz w:val="23"/>
              </w:rPr>
            </w:pPr>
            <w:r>
              <w:rPr>
                <w:rFonts w:ascii="Courier New"/>
                <w:spacing w:val="-5"/>
                <w:sz w:val="23"/>
              </w:rPr>
              <w:t>40</w:t>
            </w:r>
          </w:p>
        </w:tc>
      </w:tr>
      <w:tr>
        <w:trPr>
          <w:trHeight w:val="445" w:hRule="atLeast"/>
        </w:trPr>
        <w:tc>
          <w:tcPr>
            <w:tcW w:w="453" w:type="dxa"/>
          </w:tcPr>
          <w:p>
            <w:pPr>
              <w:pStyle w:val="TableParagraph"/>
              <w:spacing w:before="8"/>
              <w:rPr>
                <w:sz w:val="18"/>
              </w:rPr>
            </w:pPr>
          </w:p>
          <w:p>
            <w:pPr>
              <w:pStyle w:val="TableParagraph"/>
              <w:spacing w:line="210" w:lineRule="exact"/>
              <w:ind w:left="50"/>
              <w:rPr>
                <w:sz w:val="20"/>
              </w:rPr>
            </w:pPr>
            <w:r>
              <w:rPr>
                <w:spacing w:val="-5"/>
                <w:w w:val="105"/>
                <w:sz w:val="20"/>
              </w:rPr>
              <w:t>IV.</w:t>
            </w:r>
          </w:p>
        </w:tc>
        <w:tc>
          <w:tcPr>
            <w:tcW w:w="6867" w:type="dxa"/>
          </w:tcPr>
          <w:p>
            <w:pPr>
              <w:pStyle w:val="TableParagraph"/>
              <w:spacing w:before="8"/>
              <w:rPr>
                <w:sz w:val="18"/>
              </w:rPr>
            </w:pPr>
          </w:p>
          <w:p>
            <w:pPr>
              <w:pStyle w:val="TableParagraph"/>
              <w:spacing w:line="210" w:lineRule="exact"/>
              <w:ind w:left="149"/>
              <w:rPr>
                <w:sz w:val="20"/>
              </w:rPr>
            </w:pPr>
            <w:r>
              <w:rPr>
                <w:sz w:val="20"/>
              </w:rPr>
              <w:t>Report</w:t>
            </w:r>
            <w:r>
              <w:rPr>
                <w:spacing w:val="-2"/>
                <w:sz w:val="20"/>
              </w:rPr>
              <w:t> Signatures</w:t>
            </w:r>
          </w:p>
        </w:tc>
        <w:tc>
          <w:tcPr>
            <w:tcW w:w="1865" w:type="dxa"/>
          </w:tcPr>
          <w:p>
            <w:pPr>
              <w:pStyle w:val="TableParagraph"/>
              <w:spacing w:before="8"/>
              <w:rPr>
                <w:sz w:val="18"/>
              </w:rPr>
            </w:pPr>
          </w:p>
          <w:p>
            <w:pPr>
              <w:pStyle w:val="TableParagraph"/>
              <w:spacing w:line="210" w:lineRule="exact"/>
              <w:ind w:right="60"/>
              <w:jc w:val="right"/>
              <w:rPr>
                <w:sz w:val="20"/>
              </w:rPr>
            </w:pPr>
            <w:r>
              <w:rPr>
                <w:spacing w:val="-5"/>
                <w:w w:val="105"/>
                <w:sz w:val="20"/>
              </w:rPr>
              <w:t>42</w:t>
            </w:r>
          </w:p>
        </w:tc>
      </w:tr>
    </w:tbl>
    <w:p>
      <w:pPr>
        <w:spacing w:after="0" w:line="210" w:lineRule="exact"/>
        <w:jc w:val="right"/>
        <w:rPr>
          <w:sz w:val="20"/>
        </w:rPr>
        <w:sectPr>
          <w:headerReference w:type="default" r:id="rId359"/>
          <w:footerReference w:type="default" r:id="rId360"/>
          <w:pgSz w:w="12180" w:h="15820"/>
          <w:pgMar w:header="618" w:footer="771" w:top="1320" w:bottom="960" w:left="1120" w:right="1180"/>
        </w:sectPr>
      </w:pPr>
    </w:p>
    <w:p>
      <w:pPr>
        <w:pStyle w:val="BodyText"/>
        <w:spacing w:before="1"/>
        <w:rPr>
          <w:sz w:val="19"/>
        </w:rPr>
      </w:pPr>
    </w:p>
    <w:p>
      <w:pPr>
        <w:pStyle w:val="ListParagraph"/>
        <w:numPr>
          <w:ilvl w:val="0"/>
          <w:numId w:val="75"/>
        </w:numPr>
        <w:tabs>
          <w:tab w:pos="941" w:val="left" w:leader="none"/>
          <w:tab w:pos="943" w:val="left" w:leader="none"/>
        </w:tabs>
        <w:spacing w:line="240" w:lineRule="auto" w:before="94" w:after="0"/>
        <w:ind w:left="942" w:right="0" w:hanging="723"/>
        <w:jc w:val="left"/>
        <w:rPr>
          <w:sz w:val="19"/>
        </w:rPr>
      </w:pPr>
      <w:r>
        <w:rPr>
          <w:w w:val="105"/>
          <w:sz w:val="21"/>
        </w:rPr>
        <w:t>Summary</w:t>
      </w:r>
      <w:r>
        <w:rPr>
          <w:spacing w:val="-16"/>
          <w:w w:val="105"/>
          <w:sz w:val="21"/>
        </w:rPr>
        <w:t> </w:t>
      </w:r>
      <w:r>
        <w:rPr>
          <w:w w:val="105"/>
          <w:sz w:val="21"/>
        </w:rPr>
        <w:t>of</w:t>
      </w:r>
      <w:r>
        <w:rPr>
          <w:spacing w:val="-6"/>
          <w:w w:val="105"/>
          <w:sz w:val="21"/>
        </w:rPr>
        <w:t> </w:t>
      </w:r>
      <w:r>
        <w:rPr>
          <w:w w:val="105"/>
          <w:sz w:val="19"/>
        </w:rPr>
        <w:t>Team</w:t>
      </w:r>
      <w:r>
        <w:rPr>
          <w:spacing w:val="-22"/>
          <w:w w:val="105"/>
          <w:sz w:val="19"/>
        </w:rPr>
        <w:t> </w:t>
      </w:r>
      <w:r>
        <w:rPr>
          <w:spacing w:val="-2"/>
          <w:w w:val="105"/>
          <w:sz w:val="21"/>
        </w:rPr>
        <w:t>Findings</w:t>
      </w:r>
    </w:p>
    <w:p>
      <w:pPr>
        <w:pStyle w:val="BodyText"/>
      </w:pPr>
    </w:p>
    <w:p>
      <w:pPr>
        <w:pStyle w:val="ListParagraph"/>
        <w:numPr>
          <w:ilvl w:val="1"/>
          <w:numId w:val="75"/>
        </w:numPr>
        <w:tabs>
          <w:tab w:pos="946" w:val="left" w:leader="none"/>
          <w:tab w:pos="947" w:val="left" w:leader="none"/>
        </w:tabs>
        <w:spacing w:line="240" w:lineRule="auto" w:before="0" w:after="0"/>
        <w:ind w:left="946" w:right="0" w:hanging="732"/>
        <w:jc w:val="left"/>
        <w:rPr>
          <w:sz w:val="21"/>
        </w:rPr>
      </w:pPr>
      <w:r>
        <w:rPr>
          <w:w w:val="95"/>
          <w:sz w:val="21"/>
        </w:rPr>
        <w:t>Team</w:t>
      </w:r>
      <w:r>
        <w:rPr>
          <w:spacing w:val="-1"/>
          <w:sz w:val="21"/>
        </w:rPr>
        <w:t> </w:t>
      </w:r>
      <w:r>
        <w:rPr>
          <w:spacing w:val="-2"/>
          <w:sz w:val="21"/>
        </w:rPr>
        <w:t>Comments</w:t>
      </w:r>
    </w:p>
    <w:p>
      <w:pPr>
        <w:pStyle w:val="BodyText"/>
      </w:pPr>
    </w:p>
    <w:p>
      <w:pPr>
        <w:spacing w:line="261" w:lineRule="auto" w:before="0"/>
        <w:ind w:left="944" w:right="475" w:hanging="3"/>
        <w:jc w:val="left"/>
        <w:rPr>
          <w:sz w:val="19"/>
        </w:rPr>
      </w:pPr>
      <w:r>
        <w:rPr>
          <w:w w:val="105"/>
          <w:sz w:val="19"/>
        </w:rPr>
        <w:t>On behalf of the</w:t>
      </w:r>
      <w:r>
        <w:rPr>
          <w:spacing w:val="-5"/>
          <w:w w:val="105"/>
          <w:sz w:val="19"/>
        </w:rPr>
        <w:t> </w:t>
      </w:r>
      <w:r>
        <w:rPr>
          <w:w w:val="105"/>
          <w:sz w:val="19"/>
        </w:rPr>
        <w:t>NAAB Board and each collateral</w:t>
      </w:r>
      <w:r>
        <w:rPr>
          <w:spacing w:val="-5"/>
          <w:w w:val="105"/>
          <w:sz w:val="19"/>
        </w:rPr>
        <w:t> </w:t>
      </w:r>
      <w:r>
        <w:rPr>
          <w:w w:val="105"/>
          <w:sz w:val="19"/>
        </w:rPr>
        <w:t>organization,</w:t>
      </w:r>
      <w:r>
        <w:rPr>
          <w:spacing w:val="35"/>
          <w:w w:val="105"/>
          <w:sz w:val="19"/>
        </w:rPr>
        <w:t> </w:t>
      </w:r>
      <w:r>
        <w:rPr>
          <w:w w:val="105"/>
          <w:sz w:val="19"/>
        </w:rPr>
        <w:t>the</w:t>
      </w:r>
      <w:r>
        <w:rPr>
          <w:spacing w:val="-3"/>
          <w:w w:val="105"/>
          <w:sz w:val="19"/>
        </w:rPr>
        <w:t> </w:t>
      </w:r>
      <w:r>
        <w:rPr>
          <w:w w:val="105"/>
          <w:sz w:val="19"/>
        </w:rPr>
        <w:t>Team expresses deep appreciation to</w:t>
      </w:r>
      <w:r>
        <w:rPr>
          <w:spacing w:val="-3"/>
          <w:w w:val="105"/>
          <w:sz w:val="19"/>
        </w:rPr>
        <w:t> </w:t>
      </w:r>
      <w:r>
        <w:rPr>
          <w:w w:val="105"/>
          <w:sz w:val="19"/>
        </w:rPr>
        <w:t>President Harvey,</w:t>
      </w:r>
      <w:r>
        <w:rPr>
          <w:spacing w:val="-1"/>
          <w:w w:val="105"/>
          <w:sz w:val="19"/>
        </w:rPr>
        <w:t> </w:t>
      </w:r>
      <w:r>
        <w:rPr>
          <w:w w:val="105"/>
          <w:sz w:val="19"/>
        </w:rPr>
        <w:t>Provost</w:t>
      </w:r>
      <w:r>
        <w:rPr>
          <w:spacing w:val="-3"/>
          <w:w w:val="105"/>
          <w:sz w:val="19"/>
        </w:rPr>
        <w:t> </w:t>
      </w:r>
      <w:r>
        <w:rPr>
          <w:w w:val="105"/>
          <w:sz w:val="19"/>
        </w:rPr>
        <w:t>Jarrett,</w:t>
      </w:r>
      <w:r>
        <w:rPr>
          <w:spacing w:val="-12"/>
          <w:w w:val="105"/>
          <w:sz w:val="19"/>
        </w:rPr>
        <w:t> </w:t>
      </w:r>
      <w:r>
        <w:rPr>
          <w:w w:val="105"/>
          <w:sz w:val="19"/>
        </w:rPr>
        <w:t>Dean</w:t>
      </w:r>
      <w:r>
        <w:rPr>
          <w:spacing w:val="-4"/>
          <w:w w:val="105"/>
          <w:sz w:val="19"/>
        </w:rPr>
        <w:t> </w:t>
      </w:r>
      <w:r>
        <w:rPr>
          <w:w w:val="105"/>
          <w:sz w:val="19"/>
        </w:rPr>
        <w:t>Sheppard, Chairman</w:t>
      </w:r>
      <w:r>
        <w:rPr>
          <w:spacing w:val="-6"/>
          <w:w w:val="105"/>
          <w:sz w:val="19"/>
        </w:rPr>
        <w:t> </w:t>
      </w:r>
      <w:r>
        <w:rPr>
          <w:w w:val="105"/>
          <w:sz w:val="19"/>
        </w:rPr>
        <w:t>Easter, the faculty and staff</w:t>
      </w:r>
      <w:r>
        <w:rPr>
          <w:spacing w:val="-1"/>
          <w:w w:val="105"/>
          <w:sz w:val="19"/>
        </w:rPr>
        <w:t> </w:t>
      </w:r>
      <w:r>
        <w:rPr>
          <w:w w:val="105"/>
          <w:sz w:val="19"/>
        </w:rPr>
        <w:t>of Hampton</w:t>
      </w:r>
      <w:r>
        <w:rPr>
          <w:spacing w:val="-1"/>
          <w:w w:val="105"/>
          <w:sz w:val="19"/>
        </w:rPr>
        <w:t> </w:t>
      </w:r>
      <w:r>
        <w:rPr>
          <w:w w:val="105"/>
          <w:sz w:val="19"/>
        </w:rPr>
        <w:t>University's Department of Architecture and</w:t>
      </w:r>
      <w:r>
        <w:rPr>
          <w:spacing w:val="-1"/>
          <w:w w:val="105"/>
          <w:sz w:val="19"/>
        </w:rPr>
        <w:t> </w:t>
      </w:r>
      <w:r>
        <w:rPr>
          <w:w w:val="105"/>
          <w:sz w:val="19"/>
        </w:rPr>
        <w:t>more importantly, to the students, for their dedication and commitment to this</w:t>
      </w:r>
      <w:r>
        <w:rPr>
          <w:spacing w:val="-3"/>
          <w:w w:val="105"/>
          <w:sz w:val="19"/>
        </w:rPr>
        <w:t> </w:t>
      </w:r>
      <w:r>
        <w:rPr>
          <w:w w:val="105"/>
          <w:sz w:val="19"/>
        </w:rPr>
        <w:t>celebration of the</w:t>
      </w:r>
      <w:r>
        <w:rPr>
          <w:spacing w:val="-2"/>
          <w:w w:val="105"/>
          <w:sz w:val="19"/>
        </w:rPr>
        <w:t> </w:t>
      </w:r>
      <w:r>
        <w:rPr>
          <w:w w:val="105"/>
          <w:sz w:val="19"/>
        </w:rPr>
        <w:t>Department of </w:t>
      </w:r>
      <w:r>
        <w:rPr>
          <w:spacing w:val="-2"/>
          <w:w w:val="105"/>
          <w:sz w:val="19"/>
        </w:rPr>
        <w:t>Architecture.</w:t>
      </w:r>
    </w:p>
    <w:p>
      <w:pPr>
        <w:pStyle w:val="BodyText"/>
        <w:spacing w:before="10"/>
        <w:rPr>
          <w:sz w:val="17"/>
        </w:rPr>
      </w:pPr>
    </w:p>
    <w:p>
      <w:pPr>
        <w:spacing w:line="256" w:lineRule="auto" w:before="0"/>
        <w:ind w:left="944" w:right="475" w:firstLine="1"/>
        <w:jc w:val="left"/>
        <w:rPr>
          <w:sz w:val="19"/>
        </w:rPr>
      </w:pPr>
      <w:r>
        <w:rPr>
          <w:w w:val="105"/>
          <w:sz w:val="19"/>
        </w:rPr>
        <w:t>Hampton University is a HBCU</w:t>
      </w:r>
      <w:r>
        <w:rPr>
          <w:spacing w:val="-1"/>
          <w:w w:val="105"/>
          <w:sz w:val="19"/>
        </w:rPr>
        <w:t> </w:t>
      </w:r>
      <w:r>
        <w:rPr>
          <w:w w:val="105"/>
          <w:sz w:val="19"/>
        </w:rPr>
        <w:t>(Historically Black College</w:t>
      </w:r>
      <w:r>
        <w:rPr>
          <w:spacing w:val="-5"/>
          <w:w w:val="105"/>
          <w:sz w:val="19"/>
        </w:rPr>
        <w:t> </w:t>
      </w:r>
      <w:r>
        <w:rPr>
          <w:w w:val="105"/>
          <w:sz w:val="19"/>
        </w:rPr>
        <w:t>and University) founded in 1868 committed to multiculturalism</w:t>
      </w:r>
      <w:r>
        <w:rPr>
          <w:spacing w:val="-14"/>
          <w:w w:val="105"/>
          <w:sz w:val="19"/>
        </w:rPr>
        <w:t> </w:t>
      </w:r>
      <w:r>
        <w:rPr>
          <w:w w:val="105"/>
          <w:sz w:val="19"/>
        </w:rPr>
        <w:t>and is accredited by the Southern Association of Colleges and Schools.</w:t>
      </w:r>
      <w:r>
        <w:rPr>
          <w:spacing w:val="40"/>
          <w:w w:val="105"/>
          <w:sz w:val="19"/>
        </w:rPr>
        <w:t> </w:t>
      </w:r>
      <w:r>
        <w:rPr>
          <w:w w:val="105"/>
          <w:sz w:val="19"/>
        </w:rPr>
        <w:t>It is a private, nonsectarian, coeducational institution.</w:t>
      </w:r>
      <w:r>
        <w:rPr>
          <w:spacing w:val="40"/>
          <w:w w:val="105"/>
          <w:sz w:val="19"/>
        </w:rPr>
        <w:t> </w:t>
      </w:r>
      <w:r>
        <w:rPr>
          <w:w w:val="105"/>
          <w:sz w:val="19"/>
        </w:rPr>
        <w:t>The</w:t>
      </w:r>
      <w:r>
        <w:rPr>
          <w:spacing w:val="-2"/>
          <w:w w:val="105"/>
          <w:sz w:val="19"/>
        </w:rPr>
        <w:t> </w:t>
      </w:r>
      <w:r>
        <w:rPr>
          <w:w w:val="105"/>
          <w:sz w:val="19"/>
        </w:rPr>
        <w:t>architecture program at Hampton University, now in its 40</w:t>
      </w:r>
      <w:r>
        <w:rPr>
          <w:w w:val="105"/>
          <w:sz w:val="19"/>
          <w:vertAlign w:val="superscript"/>
        </w:rPr>
        <w:t>th</w:t>
      </w:r>
      <w:r>
        <w:rPr>
          <w:w w:val="105"/>
          <w:sz w:val="19"/>
          <w:vertAlign w:val="baseline"/>
        </w:rPr>
        <w:t> year of accreditation,</w:t>
      </w:r>
      <w:r>
        <w:rPr>
          <w:spacing w:val="-15"/>
          <w:w w:val="105"/>
          <w:sz w:val="19"/>
          <w:vertAlign w:val="baseline"/>
        </w:rPr>
        <w:t> </w:t>
      </w:r>
      <w:r>
        <w:rPr>
          <w:w w:val="105"/>
          <w:sz w:val="19"/>
          <w:vertAlign w:val="baseline"/>
        </w:rPr>
        <w:t>is recognized for providing a quality architectural education.</w:t>
      </w:r>
      <w:r>
        <w:rPr>
          <w:spacing w:val="40"/>
          <w:w w:val="105"/>
          <w:sz w:val="19"/>
          <w:vertAlign w:val="baseline"/>
        </w:rPr>
        <w:t> </w:t>
      </w:r>
      <w:r>
        <w:rPr>
          <w:w w:val="105"/>
          <w:sz w:val="19"/>
          <w:vertAlign w:val="baseline"/>
        </w:rPr>
        <w:t>Hampton</w:t>
      </w:r>
      <w:r>
        <w:rPr>
          <w:spacing w:val="-10"/>
          <w:w w:val="105"/>
          <w:sz w:val="19"/>
          <w:vertAlign w:val="baseline"/>
        </w:rPr>
        <w:t> </w:t>
      </w:r>
      <w:r>
        <w:rPr>
          <w:w w:val="105"/>
          <w:sz w:val="19"/>
          <w:vertAlign w:val="baseline"/>
        </w:rPr>
        <w:t>holds</w:t>
      </w:r>
      <w:r>
        <w:rPr>
          <w:spacing w:val="-9"/>
          <w:w w:val="105"/>
          <w:sz w:val="19"/>
          <w:vertAlign w:val="baseline"/>
        </w:rPr>
        <w:t> </w:t>
      </w:r>
      <w:r>
        <w:rPr>
          <w:w w:val="105"/>
          <w:sz w:val="19"/>
          <w:vertAlign w:val="baseline"/>
        </w:rPr>
        <w:t>high academic standards and</w:t>
      </w:r>
      <w:r>
        <w:rPr>
          <w:spacing w:val="-6"/>
          <w:w w:val="105"/>
          <w:sz w:val="19"/>
          <w:vertAlign w:val="baseline"/>
        </w:rPr>
        <w:t> </w:t>
      </w:r>
      <w:r>
        <w:rPr>
          <w:w w:val="105"/>
          <w:sz w:val="19"/>
          <w:vertAlign w:val="baseline"/>
        </w:rPr>
        <w:t>respect</w:t>
      </w:r>
      <w:r>
        <w:rPr>
          <w:spacing w:val="-13"/>
          <w:w w:val="105"/>
          <w:sz w:val="19"/>
          <w:vertAlign w:val="baseline"/>
        </w:rPr>
        <w:t> </w:t>
      </w:r>
      <w:r>
        <w:rPr>
          <w:w w:val="105"/>
          <w:sz w:val="19"/>
          <w:vertAlign w:val="baseline"/>
        </w:rPr>
        <w:t>among</w:t>
      </w:r>
      <w:r>
        <w:rPr>
          <w:spacing w:val="-4"/>
          <w:w w:val="105"/>
          <w:sz w:val="19"/>
          <w:vertAlign w:val="baseline"/>
        </w:rPr>
        <w:t> </w:t>
      </w:r>
      <w:r>
        <w:rPr>
          <w:w w:val="105"/>
          <w:sz w:val="19"/>
          <w:vertAlign w:val="baseline"/>
        </w:rPr>
        <w:t>HBCUs and attracts motivated minority and non-minority students nationally and world-wide.</w:t>
      </w:r>
    </w:p>
    <w:p>
      <w:pPr>
        <w:pStyle w:val="BodyText"/>
        <w:spacing w:before="4"/>
      </w:pPr>
    </w:p>
    <w:p>
      <w:pPr>
        <w:spacing w:line="254" w:lineRule="auto" w:before="0"/>
        <w:ind w:left="946" w:right="311" w:firstLine="0"/>
        <w:jc w:val="left"/>
        <w:rPr>
          <w:sz w:val="19"/>
        </w:rPr>
      </w:pPr>
      <w:r>
        <w:rPr>
          <w:w w:val="105"/>
          <w:sz w:val="19"/>
        </w:rPr>
        <w:t>The</w:t>
      </w:r>
      <w:r>
        <w:rPr>
          <w:spacing w:val="26"/>
          <w:w w:val="105"/>
          <w:sz w:val="19"/>
        </w:rPr>
        <w:t> </w:t>
      </w:r>
      <w:r>
        <w:rPr>
          <w:w w:val="105"/>
          <w:sz w:val="19"/>
        </w:rPr>
        <w:t>faculty are energetic</w:t>
      </w:r>
      <w:r>
        <w:rPr>
          <w:spacing w:val="22"/>
          <w:w w:val="105"/>
          <w:sz w:val="19"/>
        </w:rPr>
        <w:t> </w:t>
      </w:r>
      <w:r>
        <w:rPr>
          <w:w w:val="105"/>
          <w:sz w:val="19"/>
        </w:rPr>
        <w:t>and</w:t>
      </w:r>
      <w:r>
        <w:rPr>
          <w:spacing w:val="-4"/>
          <w:w w:val="105"/>
          <w:sz w:val="19"/>
        </w:rPr>
        <w:t> </w:t>
      </w:r>
      <w:r>
        <w:rPr>
          <w:w w:val="105"/>
          <w:sz w:val="19"/>
        </w:rPr>
        <w:t>driven; dedication to the students and the mission of the Department is evident.</w:t>
      </w:r>
      <w:r>
        <w:rPr>
          <w:spacing w:val="80"/>
          <w:w w:val="105"/>
          <w:sz w:val="19"/>
        </w:rPr>
        <w:t> </w:t>
      </w:r>
      <w:r>
        <w:rPr>
          <w:w w:val="105"/>
          <w:sz w:val="19"/>
        </w:rPr>
        <w:t>Associate Professor Sanchez-Del-Valle has held national offices within the Association of Collegiate Schools of Architecture. Visiting Professor Loomis, FAIA, recently served</w:t>
      </w:r>
      <w:r>
        <w:rPr>
          <w:spacing w:val="-6"/>
          <w:w w:val="105"/>
          <w:sz w:val="19"/>
        </w:rPr>
        <w:t> </w:t>
      </w:r>
      <w:r>
        <w:rPr>
          <w:w w:val="105"/>
          <w:sz w:val="19"/>
        </w:rPr>
        <w:t>on the</w:t>
      </w:r>
      <w:r>
        <w:rPr>
          <w:spacing w:val="-2"/>
          <w:w w:val="105"/>
          <w:sz w:val="19"/>
        </w:rPr>
        <w:t> </w:t>
      </w:r>
      <w:r>
        <w:rPr>
          <w:w w:val="105"/>
          <w:sz w:val="19"/>
        </w:rPr>
        <w:t>AIA</w:t>
      </w:r>
      <w:r>
        <w:rPr>
          <w:spacing w:val="-6"/>
          <w:w w:val="105"/>
          <w:sz w:val="19"/>
        </w:rPr>
        <w:t> </w:t>
      </w:r>
      <w:r>
        <w:rPr>
          <w:w w:val="105"/>
          <w:sz w:val="19"/>
        </w:rPr>
        <w:t>Fellows' Selection Committee.</w:t>
      </w:r>
      <w:r>
        <w:rPr>
          <w:spacing w:val="40"/>
          <w:w w:val="105"/>
          <w:sz w:val="19"/>
        </w:rPr>
        <w:t> </w:t>
      </w:r>
      <w:r>
        <w:rPr>
          <w:w w:val="105"/>
          <w:sz w:val="19"/>
        </w:rPr>
        <w:t>Assistant Professor</w:t>
      </w:r>
      <w:r>
        <w:rPr>
          <w:spacing w:val="-3"/>
          <w:w w:val="105"/>
          <w:sz w:val="19"/>
        </w:rPr>
        <w:t> </w:t>
      </w:r>
      <w:r>
        <w:rPr>
          <w:w w:val="105"/>
          <w:sz w:val="19"/>
        </w:rPr>
        <w:t>Williams is</w:t>
      </w:r>
      <w:r>
        <w:rPr>
          <w:spacing w:val="-7"/>
          <w:w w:val="105"/>
          <w:sz w:val="19"/>
        </w:rPr>
        <w:t> </w:t>
      </w:r>
      <w:r>
        <w:rPr>
          <w:w w:val="105"/>
          <w:sz w:val="19"/>
        </w:rPr>
        <w:t>highly regarded for her teaching and rendering talents.</w:t>
      </w:r>
    </w:p>
    <w:p>
      <w:pPr>
        <w:pStyle w:val="BodyText"/>
        <w:rPr>
          <w:sz w:val="19"/>
        </w:rPr>
      </w:pPr>
    </w:p>
    <w:p>
      <w:pPr>
        <w:spacing w:line="252" w:lineRule="auto" w:before="0"/>
        <w:ind w:left="944" w:right="311" w:firstLine="1"/>
        <w:jc w:val="left"/>
        <w:rPr>
          <w:sz w:val="19"/>
        </w:rPr>
      </w:pPr>
      <w:r>
        <w:rPr>
          <w:w w:val="105"/>
          <w:sz w:val="19"/>
        </w:rPr>
        <w:t>Hampton's architectural students are</w:t>
      </w:r>
      <w:r>
        <w:rPr>
          <w:spacing w:val="-3"/>
          <w:w w:val="105"/>
          <w:sz w:val="19"/>
        </w:rPr>
        <w:t> </w:t>
      </w:r>
      <w:r>
        <w:rPr>
          <w:w w:val="105"/>
          <w:sz w:val="19"/>
        </w:rPr>
        <w:t>intelligent and motivated and</w:t>
      </w:r>
      <w:r>
        <w:rPr>
          <w:spacing w:val="-3"/>
          <w:w w:val="105"/>
          <w:sz w:val="19"/>
        </w:rPr>
        <w:t> </w:t>
      </w:r>
      <w:r>
        <w:rPr>
          <w:w w:val="105"/>
          <w:sz w:val="19"/>
        </w:rPr>
        <w:t>eagerfy seek opportunities to serve</w:t>
      </w:r>
      <w:r>
        <w:rPr>
          <w:spacing w:val="-11"/>
          <w:w w:val="105"/>
          <w:sz w:val="19"/>
        </w:rPr>
        <w:t> </w:t>
      </w:r>
      <w:r>
        <w:rPr>
          <w:w w:val="105"/>
          <w:sz w:val="19"/>
        </w:rPr>
        <w:t>University and</w:t>
      </w:r>
      <w:r>
        <w:rPr>
          <w:spacing w:val="-11"/>
          <w:w w:val="105"/>
          <w:sz w:val="19"/>
        </w:rPr>
        <w:t> </w:t>
      </w:r>
      <w:r>
        <w:rPr>
          <w:w w:val="105"/>
          <w:sz w:val="19"/>
        </w:rPr>
        <w:t>community needs.</w:t>
      </w:r>
      <w:r>
        <w:rPr>
          <w:spacing w:val="40"/>
          <w:w w:val="105"/>
          <w:sz w:val="19"/>
        </w:rPr>
        <w:t> </w:t>
      </w:r>
      <w:r>
        <w:rPr>
          <w:w w:val="105"/>
          <w:sz w:val="19"/>
        </w:rPr>
        <w:t>AIAS/HU and</w:t>
      </w:r>
      <w:r>
        <w:rPr>
          <w:spacing w:val="-8"/>
          <w:w w:val="105"/>
          <w:sz w:val="19"/>
        </w:rPr>
        <w:t> </w:t>
      </w:r>
      <w:r>
        <w:rPr>
          <w:w w:val="105"/>
          <w:sz w:val="19"/>
        </w:rPr>
        <w:t>Tau</w:t>
      </w:r>
      <w:r>
        <w:rPr>
          <w:spacing w:val="-2"/>
          <w:w w:val="105"/>
          <w:sz w:val="19"/>
        </w:rPr>
        <w:t> </w:t>
      </w:r>
      <w:r>
        <w:rPr>
          <w:w w:val="105"/>
          <w:sz w:val="19"/>
        </w:rPr>
        <w:t>Sigma Delta</w:t>
      </w:r>
      <w:r>
        <w:rPr>
          <w:spacing w:val="-10"/>
          <w:w w:val="105"/>
          <w:sz w:val="19"/>
        </w:rPr>
        <w:t> </w:t>
      </w:r>
      <w:r>
        <w:rPr>
          <w:w w:val="105"/>
          <w:sz w:val="19"/>
        </w:rPr>
        <w:t>shine as</w:t>
      </w:r>
      <w:r>
        <w:rPr>
          <w:spacing w:val="-5"/>
          <w:w w:val="105"/>
          <w:sz w:val="19"/>
        </w:rPr>
        <w:t> </w:t>
      </w:r>
      <w:r>
        <w:rPr>
          <w:w w:val="105"/>
          <w:sz w:val="19"/>
        </w:rPr>
        <w:t>examples of this energy and students who are ambassadors for the</w:t>
      </w:r>
      <w:r>
        <w:rPr>
          <w:spacing w:val="-8"/>
          <w:w w:val="105"/>
          <w:sz w:val="19"/>
        </w:rPr>
        <w:t> </w:t>
      </w:r>
      <w:r>
        <w:rPr>
          <w:w w:val="105"/>
          <w:sz w:val="19"/>
        </w:rPr>
        <w:t>University in the community.</w:t>
      </w:r>
      <w:r>
        <w:rPr>
          <w:spacing w:val="40"/>
          <w:w w:val="105"/>
          <w:sz w:val="19"/>
        </w:rPr>
        <w:t> </w:t>
      </w:r>
      <w:r>
        <w:rPr>
          <w:w w:val="105"/>
          <w:sz w:val="19"/>
        </w:rPr>
        <w:t>The</w:t>
      </w:r>
      <w:r>
        <w:rPr>
          <w:spacing w:val="34"/>
          <w:w w:val="105"/>
          <w:sz w:val="19"/>
        </w:rPr>
        <w:t> </w:t>
      </w:r>
      <w:r>
        <w:rPr>
          <w:w w:val="105"/>
          <w:sz w:val="19"/>
        </w:rPr>
        <w:t>students' willingness to pro-actively seek and</w:t>
      </w:r>
      <w:r>
        <w:rPr>
          <w:spacing w:val="-3"/>
          <w:w w:val="105"/>
          <w:sz w:val="19"/>
        </w:rPr>
        <w:t> </w:t>
      </w:r>
      <w:r>
        <w:rPr>
          <w:w w:val="105"/>
          <w:sz w:val="19"/>
        </w:rPr>
        <w:t>solve</w:t>
      </w:r>
      <w:r>
        <w:rPr>
          <w:spacing w:val="-3"/>
          <w:w w:val="105"/>
          <w:sz w:val="19"/>
        </w:rPr>
        <w:t> </w:t>
      </w:r>
      <w:r>
        <w:rPr>
          <w:w w:val="105"/>
          <w:sz w:val="19"/>
        </w:rPr>
        <w:t>intra and extramural architectural problems should be embraced by the University and encouraged campus-wide.</w:t>
      </w:r>
      <w:r>
        <w:rPr>
          <w:spacing w:val="80"/>
          <w:w w:val="105"/>
          <w:sz w:val="19"/>
        </w:rPr>
        <w:t> </w:t>
      </w:r>
      <w:r>
        <w:rPr>
          <w:w w:val="105"/>
          <w:sz w:val="19"/>
        </w:rPr>
        <w:t>Hands-on projects like</w:t>
      </w:r>
      <w:r>
        <w:rPr>
          <w:spacing w:val="-4"/>
          <w:w w:val="105"/>
          <w:sz w:val="19"/>
        </w:rPr>
        <w:t> </w:t>
      </w:r>
      <w:r>
        <w:rPr>
          <w:w w:val="105"/>
          <w:sz w:val="19"/>
        </w:rPr>
        <w:t>the</w:t>
      </w:r>
      <w:r>
        <w:rPr>
          <w:spacing w:val="-7"/>
          <w:w w:val="105"/>
          <w:sz w:val="19"/>
        </w:rPr>
        <w:t> </w:t>
      </w:r>
      <w:r>
        <w:rPr>
          <w:w w:val="105"/>
          <w:sz w:val="19"/>
        </w:rPr>
        <w:t>•sIeeper­ Keeper" and</w:t>
      </w:r>
      <w:r>
        <w:rPr>
          <w:spacing w:val="-12"/>
          <w:w w:val="105"/>
          <w:sz w:val="19"/>
        </w:rPr>
        <w:t> </w:t>
      </w:r>
      <w:r>
        <w:rPr>
          <w:w w:val="105"/>
          <w:sz w:val="19"/>
        </w:rPr>
        <w:t>"Aqua-Totter" demonstrate skill</w:t>
      </w:r>
      <w:r>
        <w:rPr>
          <w:spacing w:val="-10"/>
          <w:w w:val="105"/>
          <w:sz w:val="19"/>
        </w:rPr>
        <w:t> </w:t>
      </w:r>
      <w:r>
        <w:rPr>
          <w:w w:val="105"/>
          <w:sz w:val="19"/>
        </w:rPr>
        <w:t>sets</w:t>
      </w:r>
      <w:r>
        <w:rPr>
          <w:spacing w:val="-8"/>
          <w:w w:val="105"/>
          <w:sz w:val="19"/>
        </w:rPr>
        <w:t> </w:t>
      </w:r>
      <w:r>
        <w:rPr>
          <w:w w:val="105"/>
          <w:sz w:val="19"/>
        </w:rPr>
        <w:t>from</w:t>
      </w:r>
      <w:r>
        <w:rPr>
          <w:spacing w:val="-7"/>
          <w:w w:val="105"/>
          <w:sz w:val="19"/>
        </w:rPr>
        <w:t> </w:t>
      </w:r>
      <w:r>
        <w:rPr>
          <w:w w:val="105"/>
          <w:sz w:val="19"/>
        </w:rPr>
        <w:t>conception to fruition.</w:t>
      </w:r>
      <w:r>
        <w:rPr>
          <w:spacing w:val="40"/>
          <w:w w:val="105"/>
          <w:sz w:val="19"/>
        </w:rPr>
        <w:t> </w:t>
      </w:r>
      <w:r>
        <w:rPr>
          <w:w w:val="105"/>
          <w:sz w:val="19"/>
        </w:rPr>
        <w:t>Physical</w:t>
      </w:r>
      <w:r>
        <w:rPr>
          <w:spacing w:val="-3"/>
          <w:w w:val="105"/>
          <w:sz w:val="19"/>
        </w:rPr>
        <w:t> </w:t>
      </w:r>
      <w:r>
        <w:rPr>
          <w:w w:val="105"/>
          <w:sz w:val="19"/>
        </w:rPr>
        <w:t>expression and exploration of ideas critical to the architectural discovery process must be embraced and celebrated.</w:t>
      </w:r>
      <w:r>
        <w:rPr>
          <w:spacing w:val="80"/>
          <w:w w:val="105"/>
          <w:sz w:val="19"/>
        </w:rPr>
        <w:t> </w:t>
      </w:r>
      <w:r>
        <w:rPr>
          <w:w w:val="105"/>
          <w:sz w:val="19"/>
        </w:rPr>
        <w:t>School-sponsored foreign travel programs provide opportunities</w:t>
      </w:r>
      <w:r>
        <w:rPr>
          <w:spacing w:val="40"/>
          <w:w w:val="105"/>
          <w:sz w:val="19"/>
        </w:rPr>
        <w:t> </w:t>
      </w:r>
      <w:r>
        <w:rPr>
          <w:w w:val="105"/>
          <w:sz w:val="19"/>
        </w:rPr>
        <w:t>for students to broaden views of architecture and the world.</w:t>
      </w:r>
    </w:p>
    <w:p>
      <w:pPr>
        <w:pStyle w:val="BodyText"/>
        <w:spacing w:before="9"/>
        <w:rPr>
          <w:sz w:val="19"/>
        </w:rPr>
      </w:pPr>
    </w:p>
    <w:p>
      <w:pPr>
        <w:spacing w:line="256" w:lineRule="auto" w:before="0"/>
        <w:ind w:left="944" w:right="424" w:firstLine="1"/>
        <w:jc w:val="left"/>
        <w:rPr>
          <w:sz w:val="19"/>
        </w:rPr>
      </w:pPr>
      <w:r>
        <w:rPr>
          <w:w w:val="105"/>
          <w:sz w:val="19"/>
        </w:rPr>
        <w:t>Hampton's architecture program is</w:t>
      </w:r>
      <w:r>
        <w:rPr>
          <w:spacing w:val="-1"/>
          <w:w w:val="105"/>
          <w:sz w:val="19"/>
        </w:rPr>
        <w:t> </w:t>
      </w:r>
      <w:r>
        <w:rPr>
          <w:w w:val="105"/>
          <w:sz w:val="19"/>
        </w:rPr>
        <w:t>at the</w:t>
      </w:r>
      <w:r>
        <w:rPr>
          <w:spacing w:val="-1"/>
          <w:w w:val="105"/>
          <w:sz w:val="19"/>
        </w:rPr>
        <w:t> </w:t>
      </w:r>
      <w:r>
        <w:rPr>
          <w:w w:val="105"/>
          <w:sz w:val="19"/>
        </w:rPr>
        <w:t>forefront of academic exploration and</w:t>
      </w:r>
      <w:r>
        <w:rPr>
          <w:spacing w:val="-12"/>
          <w:w w:val="105"/>
          <w:sz w:val="19"/>
        </w:rPr>
        <w:t> </w:t>
      </w:r>
      <w:r>
        <w:rPr>
          <w:w w:val="105"/>
          <w:sz w:val="19"/>
        </w:rPr>
        <w:t>challenge.</w:t>
      </w:r>
      <w:r>
        <w:rPr>
          <w:spacing w:val="40"/>
          <w:w w:val="105"/>
          <w:sz w:val="19"/>
        </w:rPr>
        <w:t> </w:t>
      </w:r>
      <w:r>
        <w:rPr>
          <w:w w:val="105"/>
          <w:sz w:val="19"/>
        </w:rPr>
        <w:t>Five years</w:t>
      </w:r>
      <w:r>
        <w:rPr>
          <w:spacing w:val="-1"/>
          <w:w w:val="105"/>
          <w:sz w:val="19"/>
        </w:rPr>
        <w:t> </w:t>
      </w:r>
      <w:r>
        <w:rPr>
          <w:w w:val="105"/>
          <w:sz w:val="19"/>
        </w:rPr>
        <w:t>ago the</w:t>
      </w:r>
      <w:r>
        <w:rPr>
          <w:spacing w:val="-7"/>
          <w:w w:val="105"/>
          <w:sz w:val="19"/>
        </w:rPr>
        <w:t> </w:t>
      </w:r>
      <w:r>
        <w:rPr>
          <w:w w:val="105"/>
          <w:sz w:val="19"/>
        </w:rPr>
        <w:t>curriculum was</w:t>
      </w:r>
      <w:r>
        <w:rPr>
          <w:spacing w:val="-15"/>
          <w:w w:val="105"/>
          <w:sz w:val="19"/>
        </w:rPr>
        <w:t> </w:t>
      </w:r>
      <w:r>
        <w:rPr>
          <w:w w:val="105"/>
          <w:sz w:val="19"/>
        </w:rPr>
        <w:t>elevated from</w:t>
      </w:r>
      <w:r>
        <w:rPr>
          <w:spacing w:val="-7"/>
          <w:w w:val="105"/>
          <w:sz w:val="19"/>
        </w:rPr>
        <w:t> </w:t>
      </w:r>
      <w:r>
        <w:rPr>
          <w:w w:val="105"/>
          <w:sz w:val="19"/>
        </w:rPr>
        <w:t>a five year Bachelor</w:t>
      </w:r>
      <w:r>
        <w:rPr>
          <w:spacing w:val="-6"/>
          <w:w w:val="105"/>
          <w:sz w:val="19"/>
        </w:rPr>
        <w:t> </w:t>
      </w:r>
      <w:r>
        <w:rPr>
          <w:w w:val="105"/>
          <w:sz w:val="19"/>
        </w:rPr>
        <w:t>of</w:t>
      </w:r>
      <w:r>
        <w:rPr>
          <w:spacing w:val="-1"/>
          <w:w w:val="105"/>
          <w:sz w:val="19"/>
        </w:rPr>
        <w:t> </w:t>
      </w:r>
      <w:r>
        <w:rPr>
          <w:w w:val="105"/>
          <w:sz w:val="19"/>
        </w:rPr>
        <w:t>Architecture degree to a five and</w:t>
      </w:r>
      <w:r>
        <w:rPr>
          <w:spacing w:val="-1"/>
          <w:w w:val="105"/>
          <w:sz w:val="19"/>
        </w:rPr>
        <w:t> </w:t>
      </w:r>
      <w:r>
        <w:rPr>
          <w:w w:val="105"/>
          <w:sz w:val="19"/>
        </w:rPr>
        <w:t>one-half year</w:t>
      </w:r>
      <w:r>
        <w:rPr>
          <w:spacing w:val="-11"/>
          <w:w w:val="105"/>
          <w:sz w:val="19"/>
        </w:rPr>
        <w:t> </w:t>
      </w:r>
      <w:r>
        <w:rPr>
          <w:w w:val="105"/>
          <w:sz w:val="19"/>
        </w:rPr>
        <w:t>Master of Architecture degree.</w:t>
      </w:r>
      <w:r>
        <w:rPr>
          <w:spacing w:val="40"/>
          <w:w w:val="105"/>
          <w:sz w:val="19"/>
        </w:rPr>
        <w:t> </w:t>
      </w:r>
      <w:r>
        <w:rPr>
          <w:w w:val="105"/>
          <w:sz w:val="19"/>
        </w:rPr>
        <w:t>This</w:t>
      </w:r>
      <w:r>
        <w:rPr>
          <w:spacing w:val="-10"/>
          <w:w w:val="105"/>
          <w:sz w:val="19"/>
        </w:rPr>
        <w:t> </w:t>
      </w:r>
      <w:r>
        <w:rPr>
          <w:w w:val="105"/>
          <w:sz w:val="19"/>
        </w:rPr>
        <w:t>raised</w:t>
      </w:r>
      <w:r>
        <w:rPr>
          <w:spacing w:val="-2"/>
          <w:w w:val="105"/>
          <w:sz w:val="19"/>
        </w:rPr>
        <w:t> </w:t>
      </w:r>
      <w:r>
        <w:rPr>
          <w:w w:val="105"/>
          <w:sz w:val="19"/>
        </w:rPr>
        <w:t>the</w:t>
      </w:r>
      <w:r>
        <w:rPr>
          <w:spacing w:val="-6"/>
          <w:w w:val="105"/>
          <w:sz w:val="19"/>
        </w:rPr>
        <w:t> </w:t>
      </w:r>
      <w:r>
        <w:rPr>
          <w:w w:val="105"/>
          <w:sz w:val="19"/>
        </w:rPr>
        <w:t>academic bar</w:t>
      </w:r>
      <w:r>
        <w:rPr>
          <w:spacing w:val="-10"/>
          <w:w w:val="105"/>
          <w:sz w:val="19"/>
        </w:rPr>
        <w:t> </w:t>
      </w:r>
      <w:r>
        <w:rPr>
          <w:w w:val="105"/>
          <w:sz w:val="19"/>
        </w:rPr>
        <w:t>for</w:t>
      </w:r>
      <w:r>
        <w:rPr>
          <w:spacing w:val="-1"/>
          <w:w w:val="105"/>
          <w:sz w:val="19"/>
        </w:rPr>
        <w:t> </w:t>
      </w:r>
      <w:r>
        <w:rPr>
          <w:w w:val="105"/>
          <w:sz w:val="19"/>
        </w:rPr>
        <w:t>the</w:t>
      </w:r>
      <w:r>
        <w:rPr>
          <w:spacing w:val="-5"/>
          <w:w w:val="105"/>
          <w:sz w:val="19"/>
        </w:rPr>
        <w:t> </w:t>
      </w:r>
      <w:r>
        <w:rPr>
          <w:w w:val="105"/>
          <w:sz w:val="19"/>
        </w:rPr>
        <w:t>Hampton student.</w:t>
      </w:r>
      <w:r>
        <w:rPr>
          <w:spacing w:val="40"/>
          <w:w w:val="105"/>
          <w:sz w:val="19"/>
        </w:rPr>
        <w:t> </w:t>
      </w:r>
      <w:r>
        <w:rPr>
          <w:w w:val="105"/>
          <w:sz w:val="19"/>
        </w:rPr>
        <w:t>With</w:t>
      </w:r>
      <w:r>
        <w:rPr>
          <w:spacing w:val="-4"/>
          <w:w w:val="105"/>
          <w:sz w:val="19"/>
        </w:rPr>
        <w:t> </w:t>
      </w:r>
      <w:r>
        <w:rPr>
          <w:w w:val="105"/>
          <w:sz w:val="19"/>
        </w:rPr>
        <w:t>Robert Easter, the department now</w:t>
      </w:r>
      <w:r>
        <w:rPr>
          <w:spacing w:val="-10"/>
          <w:w w:val="105"/>
          <w:sz w:val="19"/>
        </w:rPr>
        <w:t> </w:t>
      </w:r>
      <w:r>
        <w:rPr>
          <w:w w:val="105"/>
          <w:sz w:val="19"/>
        </w:rPr>
        <w:t>has a</w:t>
      </w:r>
      <w:r>
        <w:rPr>
          <w:spacing w:val="-6"/>
          <w:w w:val="105"/>
          <w:sz w:val="19"/>
        </w:rPr>
        <w:t> </w:t>
      </w:r>
      <w:r>
        <w:rPr>
          <w:w w:val="105"/>
          <w:sz w:val="19"/>
        </w:rPr>
        <w:t>passionate, well-respected</w:t>
      </w:r>
      <w:r>
        <w:rPr>
          <w:spacing w:val="-16"/>
          <w:w w:val="105"/>
          <w:sz w:val="19"/>
        </w:rPr>
        <w:t> </w:t>
      </w:r>
      <w:r>
        <w:rPr>
          <w:w w:val="105"/>
          <w:sz w:val="19"/>
        </w:rPr>
        <w:t>practitioner­ advocate to</w:t>
      </w:r>
      <w:r>
        <w:rPr>
          <w:spacing w:val="-3"/>
          <w:w w:val="105"/>
          <w:sz w:val="19"/>
        </w:rPr>
        <w:t> </w:t>
      </w:r>
      <w:r>
        <w:rPr>
          <w:w w:val="105"/>
          <w:sz w:val="19"/>
        </w:rPr>
        <w:t>1ead the</w:t>
      </w:r>
      <w:r>
        <w:rPr>
          <w:spacing w:val="40"/>
          <w:w w:val="105"/>
          <w:sz w:val="19"/>
        </w:rPr>
        <w:t> </w:t>
      </w:r>
      <w:r>
        <w:rPr>
          <w:w w:val="105"/>
          <w:sz w:val="19"/>
        </w:rPr>
        <w:t>program</w:t>
      </w:r>
      <w:r>
        <w:rPr>
          <w:spacing w:val="-8"/>
          <w:w w:val="105"/>
          <w:sz w:val="19"/>
        </w:rPr>
        <w:t> </w:t>
      </w:r>
      <w:r>
        <w:rPr>
          <w:w w:val="105"/>
          <w:sz w:val="19"/>
        </w:rPr>
        <w:t>through</w:t>
      </w:r>
      <w:r>
        <w:rPr>
          <w:spacing w:val="-10"/>
          <w:w w:val="105"/>
          <w:sz w:val="19"/>
        </w:rPr>
        <w:t> </w:t>
      </w:r>
      <w:r>
        <w:rPr>
          <w:w w:val="105"/>
          <w:sz w:val="19"/>
        </w:rPr>
        <w:t>uncertain academic and</w:t>
      </w:r>
      <w:r>
        <w:rPr>
          <w:spacing w:val="-10"/>
          <w:w w:val="105"/>
          <w:sz w:val="19"/>
        </w:rPr>
        <w:t> </w:t>
      </w:r>
      <w:r>
        <w:rPr>
          <w:w w:val="105"/>
          <w:sz w:val="19"/>
        </w:rPr>
        <w:t>economic challenges faced by both the educational and private sectors.</w:t>
      </w:r>
    </w:p>
    <w:p>
      <w:pPr>
        <w:pStyle w:val="BodyText"/>
        <w:spacing w:before="6"/>
        <w:rPr>
          <w:sz w:val="19"/>
        </w:rPr>
      </w:pPr>
    </w:p>
    <w:p>
      <w:pPr>
        <w:spacing w:line="254" w:lineRule="auto" w:before="0"/>
        <w:ind w:left="950" w:right="424" w:hanging="3"/>
        <w:jc w:val="left"/>
        <w:rPr>
          <w:sz w:val="19"/>
        </w:rPr>
      </w:pPr>
      <w:r>
        <w:rPr>
          <w:w w:val="105"/>
          <w:sz w:val="19"/>
        </w:rPr>
        <w:t>This transition, however, has</w:t>
      </w:r>
      <w:r>
        <w:rPr>
          <w:spacing w:val="-2"/>
          <w:w w:val="105"/>
          <w:sz w:val="19"/>
        </w:rPr>
        <w:t> </w:t>
      </w:r>
      <w:r>
        <w:rPr>
          <w:w w:val="105"/>
          <w:sz w:val="19"/>
        </w:rPr>
        <w:t>not</w:t>
      </w:r>
      <w:r>
        <w:rPr>
          <w:spacing w:val="-6"/>
          <w:w w:val="105"/>
          <w:sz w:val="19"/>
        </w:rPr>
        <w:t> </w:t>
      </w:r>
      <w:r>
        <w:rPr>
          <w:w w:val="105"/>
          <w:sz w:val="19"/>
        </w:rPr>
        <w:t>been</w:t>
      </w:r>
      <w:r>
        <w:rPr>
          <w:spacing w:val="-4"/>
          <w:w w:val="105"/>
          <w:sz w:val="19"/>
        </w:rPr>
        <w:t> </w:t>
      </w:r>
      <w:r>
        <w:rPr>
          <w:w w:val="105"/>
          <w:sz w:val="19"/>
        </w:rPr>
        <w:t>without challenges.</w:t>
      </w:r>
      <w:r>
        <w:rPr>
          <w:spacing w:val="40"/>
          <w:w w:val="105"/>
          <w:sz w:val="19"/>
        </w:rPr>
        <w:t> </w:t>
      </w:r>
      <w:r>
        <w:rPr>
          <w:w w:val="105"/>
          <w:sz w:val="19"/>
        </w:rPr>
        <w:t>The</w:t>
      </w:r>
      <w:r>
        <w:rPr>
          <w:spacing w:val="-1"/>
          <w:w w:val="105"/>
          <w:sz w:val="19"/>
        </w:rPr>
        <w:t> </w:t>
      </w:r>
      <w:r>
        <w:rPr>
          <w:w w:val="105"/>
          <w:sz w:val="19"/>
        </w:rPr>
        <w:t>highly</w:t>
      </w:r>
      <w:r>
        <w:rPr>
          <w:spacing w:val="-2"/>
          <w:w w:val="105"/>
          <w:sz w:val="19"/>
        </w:rPr>
        <w:t> </w:t>
      </w:r>
      <w:r>
        <w:rPr>
          <w:w w:val="105"/>
          <w:sz w:val="19"/>
        </w:rPr>
        <w:t>motivated faculty has</w:t>
      </w:r>
      <w:r>
        <w:rPr>
          <w:spacing w:val="-13"/>
          <w:w w:val="105"/>
          <w:sz w:val="19"/>
        </w:rPr>
        <w:t> </w:t>
      </w:r>
      <w:r>
        <w:rPr>
          <w:w w:val="105"/>
          <w:sz w:val="19"/>
        </w:rPr>
        <w:t>not flinched;</w:t>
      </w:r>
      <w:r>
        <w:rPr>
          <w:spacing w:val="33"/>
          <w:w w:val="105"/>
          <w:sz w:val="19"/>
        </w:rPr>
        <w:t> </w:t>
      </w:r>
      <w:r>
        <w:rPr>
          <w:w w:val="105"/>
          <w:sz w:val="19"/>
        </w:rPr>
        <w:t>they have risen to added academic demands, but signs</w:t>
      </w:r>
      <w:r>
        <w:rPr>
          <w:spacing w:val="-2"/>
          <w:w w:val="105"/>
          <w:sz w:val="19"/>
        </w:rPr>
        <w:t> </w:t>
      </w:r>
      <w:r>
        <w:rPr>
          <w:w w:val="105"/>
          <w:sz w:val="19"/>
        </w:rPr>
        <w:t>of fatigue and</w:t>
      </w:r>
      <w:r>
        <w:rPr>
          <w:spacing w:val="-3"/>
          <w:w w:val="105"/>
          <w:sz w:val="19"/>
        </w:rPr>
        <w:t> </w:t>
      </w:r>
      <w:r>
        <w:rPr>
          <w:w w:val="105"/>
          <w:sz w:val="19"/>
        </w:rPr>
        <w:t>overwork are evident.</w:t>
      </w:r>
      <w:r>
        <w:rPr>
          <w:spacing w:val="40"/>
          <w:w w:val="105"/>
          <w:sz w:val="19"/>
        </w:rPr>
        <w:t> </w:t>
      </w:r>
      <w:r>
        <w:rPr>
          <w:w w:val="105"/>
          <w:sz w:val="19"/>
        </w:rPr>
        <w:t>More importantly, this</w:t>
      </w:r>
      <w:r>
        <w:rPr>
          <w:spacing w:val="-2"/>
          <w:w w:val="105"/>
          <w:sz w:val="19"/>
        </w:rPr>
        <w:t> </w:t>
      </w:r>
      <w:r>
        <w:rPr>
          <w:w w:val="105"/>
          <w:sz w:val="19"/>
        </w:rPr>
        <w:t>condition is becoming apparent in student work- not a good symptom for</w:t>
      </w:r>
      <w:r>
        <w:rPr>
          <w:spacing w:val="-8"/>
          <w:w w:val="105"/>
          <w:sz w:val="19"/>
        </w:rPr>
        <w:t> </w:t>
      </w:r>
      <w:r>
        <w:rPr>
          <w:w w:val="105"/>
          <w:sz w:val="19"/>
        </w:rPr>
        <w:t>a program seeking to broaden</w:t>
      </w:r>
      <w:r>
        <w:rPr>
          <w:spacing w:val="-6"/>
          <w:w w:val="105"/>
          <w:sz w:val="19"/>
        </w:rPr>
        <w:t> </w:t>
      </w:r>
      <w:r>
        <w:rPr>
          <w:w w:val="105"/>
          <w:sz w:val="19"/>
        </w:rPr>
        <w:t>its academic horizons. The</w:t>
      </w:r>
      <w:r>
        <w:rPr>
          <w:spacing w:val="-5"/>
          <w:w w:val="105"/>
          <w:sz w:val="19"/>
        </w:rPr>
        <w:t> </w:t>
      </w:r>
      <w:r>
        <w:rPr>
          <w:w w:val="105"/>
          <w:sz w:val="19"/>
        </w:rPr>
        <w:t>near future is crucial to the Department's ability to meet its academic mission.</w:t>
      </w:r>
    </w:p>
    <w:p>
      <w:pPr>
        <w:pStyle w:val="BodyText"/>
      </w:pPr>
    </w:p>
    <w:p>
      <w:pPr>
        <w:pStyle w:val="BodyText"/>
        <w:spacing w:before="4"/>
        <w:rPr>
          <w:sz w:val="18"/>
        </w:rPr>
      </w:pPr>
    </w:p>
    <w:p>
      <w:pPr>
        <w:pStyle w:val="ListParagraph"/>
        <w:numPr>
          <w:ilvl w:val="1"/>
          <w:numId w:val="75"/>
        </w:numPr>
        <w:tabs>
          <w:tab w:pos="954" w:val="left" w:leader="none"/>
          <w:tab w:pos="955" w:val="left" w:leader="none"/>
        </w:tabs>
        <w:spacing w:line="240" w:lineRule="auto" w:before="0" w:after="0"/>
        <w:ind w:left="954" w:right="0" w:hanging="713"/>
        <w:jc w:val="left"/>
        <w:rPr>
          <w:sz w:val="21"/>
        </w:rPr>
      </w:pPr>
      <w:r>
        <w:rPr>
          <w:sz w:val="21"/>
        </w:rPr>
        <w:t>Progress</w:t>
      </w:r>
      <w:r>
        <w:rPr>
          <w:spacing w:val="30"/>
          <w:sz w:val="21"/>
        </w:rPr>
        <w:t> </w:t>
      </w:r>
      <w:r>
        <w:rPr>
          <w:sz w:val="21"/>
        </w:rPr>
        <w:t>Since</w:t>
      </w:r>
      <w:r>
        <w:rPr>
          <w:spacing w:val="8"/>
          <w:sz w:val="21"/>
        </w:rPr>
        <w:t> </w:t>
      </w:r>
      <w:r>
        <w:rPr>
          <w:sz w:val="21"/>
        </w:rPr>
        <w:t>the</w:t>
      </w:r>
      <w:r>
        <w:rPr>
          <w:spacing w:val="-6"/>
          <w:sz w:val="21"/>
        </w:rPr>
        <w:t> </w:t>
      </w:r>
      <w:r>
        <w:rPr>
          <w:sz w:val="21"/>
        </w:rPr>
        <w:t>Previous</w:t>
      </w:r>
      <w:r>
        <w:rPr>
          <w:spacing w:val="15"/>
          <w:sz w:val="21"/>
        </w:rPr>
        <w:t> </w:t>
      </w:r>
      <w:r>
        <w:rPr>
          <w:sz w:val="21"/>
        </w:rPr>
        <w:t>Site</w:t>
      </w:r>
      <w:r>
        <w:rPr>
          <w:spacing w:val="7"/>
          <w:sz w:val="21"/>
        </w:rPr>
        <w:t> </w:t>
      </w:r>
      <w:r>
        <w:rPr>
          <w:spacing w:val="-2"/>
          <w:sz w:val="21"/>
        </w:rPr>
        <w:t>Visit</w:t>
      </w:r>
    </w:p>
    <w:p>
      <w:pPr>
        <w:pStyle w:val="BodyText"/>
        <w:spacing w:before="2"/>
        <w:rPr>
          <w:sz w:val="19"/>
        </w:rPr>
      </w:pPr>
    </w:p>
    <w:p>
      <w:pPr>
        <w:spacing w:before="0"/>
        <w:ind w:left="958" w:right="0" w:firstLine="0"/>
        <w:jc w:val="left"/>
        <w:rPr>
          <w:sz w:val="21"/>
        </w:rPr>
      </w:pPr>
      <w:r>
        <w:rPr>
          <w:w w:val="105"/>
          <w:sz w:val="21"/>
        </w:rPr>
        <w:t>4.</w:t>
      </w:r>
      <w:r>
        <w:rPr>
          <w:spacing w:val="36"/>
          <w:w w:val="105"/>
          <w:sz w:val="21"/>
        </w:rPr>
        <w:t>  </w:t>
      </w:r>
      <w:r>
        <w:rPr>
          <w:w w:val="105"/>
          <w:sz w:val="21"/>
        </w:rPr>
        <w:t>Conditions/Criteria</w:t>
      </w:r>
      <w:r>
        <w:rPr>
          <w:spacing w:val="-17"/>
          <w:w w:val="105"/>
          <w:sz w:val="21"/>
        </w:rPr>
        <w:t> </w:t>
      </w:r>
      <w:r>
        <w:rPr>
          <w:w w:val="105"/>
          <w:sz w:val="21"/>
        </w:rPr>
        <w:t>Not</w:t>
      </w:r>
      <w:r>
        <w:rPr>
          <w:spacing w:val="-26"/>
          <w:w w:val="105"/>
          <w:sz w:val="21"/>
        </w:rPr>
        <w:t> </w:t>
      </w:r>
      <w:r>
        <w:rPr>
          <w:spacing w:val="-4"/>
          <w:w w:val="105"/>
          <w:sz w:val="21"/>
        </w:rPr>
        <w:t>Met:</w:t>
      </w:r>
    </w:p>
    <w:p>
      <w:pPr>
        <w:spacing w:line="244" w:lineRule="auto" w:before="211"/>
        <w:ind w:left="955" w:right="475" w:firstLine="4"/>
        <w:jc w:val="left"/>
        <w:rPr>
          <w:i/>
          <w:sz w:val="20"/>
        </w:rPr>
      </w:pPr>
      <w:r>
        <w:rPr/>
        <w:pict>
          <v:line style="position:absolute;mso-position-horizontal-relative:page;mso-position-vertical-relative:paragraph;z-index:15750656" from="65.524673pt,81.059898pt" to="521.788391pt,81.059898pt" stroked="true" strokeweight=".481434pt" strokecolor="#000000">
            <v:stroke dashstyle="solid"/>
            <w10:wrap type="none"/>
          </v:line>
        </w:pict>
      </w:r>
      <w:r>
        <w:rPr>
          <w:sz w:val="21"/>
        </w:rPr>
        <w:t>Condition 3,</w:t>
      </w:r>
      <w:r>
        <w:rPr>
          <w:spacing w:val="-11"/>
          <w:sz w:val="21"/>
        </w:rPr>
        <w:t> </w:t>
      </w:r>
      <w:r>
        <w:rPr>
          <w:sz w:val="21"/>
        </w:rPr>
        <w:t>Public Information (2003):</w:t>
      </w:r>
      <w:r>
        <w:rPr>
          <w:spacing w:val="40"/>
          <w:sz w:val="21"/>
        </w:rPr>
        <w:t> </w:t>
      </w:r>
      <w:r>
        <w:rPr>
          <w:i/>
          <w:sz w:val="20"/>
        </w:rPr>
        <w:t>The program must provide clear, complete and accurate information to</w:t>
      </w:r>
      <w:r>
        <w:rPr>
          <w:i/>
          <w:spacing w:val="-9"/>
          <w:sz w:val="20"/>
        </w:rPr>
        <w:t> </w:t>
      </w:r>
      <w:r>
        <w:rPr>
          <w:i/>
          <w:sz w:val="20"/>
        </w:rPr>
        <w:t>the</w:t>
      </w:r>
      <w:r>
        <w:rPr>
          <w:i/>
          <w:spacing w:val="-4"/>
          <w:sz w:val="20"/>
        </w:rPr>
        <w:t> </w:t>
      </w:r>
      <w:r>
        <w:rPr>
          <w:i/>
          <w:sz w:val="20"/>
        </w:rPr>
        <w:t>public by including in</w:t>
      </w:r>
      <w:r>
        <w:rPr>
          <w:i/>
          <w:spacing w:val="-6"/>
          <w:sz w:val="20"/>
        </w:rPr>
        <w:t> </w:t>
      </w:r>
      <w:r>
        <w:rPr>
          <w:i/>
          <w:sz w:val="20"/>
        </w:rPr>
        <w:t>its</w:t>
      </w:r>
      <w:r>
        <w:rPr>
          <w:i/>
          <w:spacing w:val="-14"/>
          <w:sz w:val="20"/>
        </w:rPr>
        <w:t> </w:t>
      </w:r>
      <w:r>
        <w:rPr>
          <w:i/>
          <w:sz w:val="20"/>
        </w:rPr>
        <w:t>catalog and</w:t>
      </w:r>
      <w:r>
        <w:rPr>
          <w:i/>
          <w:spacing w:val="-10"/>
          <w:sz w:val="20"/>
        </w:rPr>
        <w:t> </w:t>
      </w:r>
      <w:r>
        <w:rPr>
          <w:i/>
          <w:sz w:val="20"/>
        </w:rPr>
        <w:t>promotional literature</w:t>
      </w:r>
      <w:r>
        <w:rPr>
          <w:i/>
          <w:spacing w:val="-1"/>
          <w:sz w:val="20"/>
        </w:rPr>
        <w:t> </w:t>
      </w:r>
      <w:r>
        <w:rPr>
          <w:i/>
          <w:sz w:val="20"/>
        </w:rPr>
        <w:t>the exact language found</w:t>
      </w:r>
      <w:r>
        <w:rPr>
          <w:i/>
          <w:spacing w:val="-1"/>
          <w:sz w:val="20"/>
        </w:rPr>
        <w:t> </w:t>
      </w:r>
      <w:r>
        <w:rPr>
          <w:i/>
          <w:sz w:val="20"/>
        </w:rPr>
        <w:t>in</w:t>
      </w:r>
      <w:r>
        <w:rPr>
          <w:i/>
          <w:spacing w:val="-3"/>
          <w:sz w:val="20"/>
        </w:rPr>
        <w:t> </w:t>
      </w:r>
      <w:r>
        <w:rPr>
          <w:i/>
          <w:sz w:val="20"/>
        </w:rPr>
        <w:t>appendix</w:t>
      </w:r>
      <w:r>
        <w:rPr>
          <w:i/>
          <w:spacing w:val="38"/>
          <w:sz w:val="20"/>
        </w:rPr>
        <w:t> </w:t>
      </w:r>
      <w:r>
        <w:rPr>
          <w:i/>
          <w:sz w:val="20"/>
        </w:rPr>
        <w:t>A-2, which</w:t>
      </w:r>
      <w:r>
        <w:rPr>
          <w:i/>
          <w:spacing w:val="-10"/>
          <w:sz w:val="20"/>
        </w:rPr>
        <w:t> </w:t>
      </w:r>
      <w:r>
        <w:rPr>
          <w:i/>
          <w:sz w:val="20"/>
        </w:rPr>
        <w:t>explains the parameters of</w:t>
      </w:r>
      <w:r>
        <w:rPr>
          <w:i/>
          <w:spacing w:val="-1"/>
          <w:sz w:val="20"/>
        </w:rPr>
        <w:t> </w:t>
      </w:r>
      <w:r>
        <w:rPr>
          <w:i/>
          <w:sz w:val="20"/>
        </w:rPr>
        <w:t>an</w:t>
      </w:r>
      <w:r>
        <w:rPr>
          <w:i/>
          <w:spacing w:val="-3"/>
          <w:sz w:val="20"/>
        </w:rPr>
        <w:t> </w:t>
      </w:r>
      <w:r>
        <w:rPr>
          <w:i/>
          <w:sz w:val="20"/>
        </w:rPr>
        <w:t>accredited professional degree program.</w:t>
      </w:r>
    </w:p>
    <w:p>
      <w:pPr>
        <w:spacing w:after="0" w:line="244" w:lineRule="auto"/>
        <w:jc w:val="left"/>
        <w:rPr>
          <w:sz w:val="20"/>
        </w:rPr>
        <w:sectPr>
          <w:headerReference w:type="default" r:id="rId361"/>
          <w:footerReference w:type="default" r:id="rId362"/>
          <w:pgSz w:w="12180" w:h="15820"/>
          <w:pgMar w:header="715" w:footer="665" w:top="1420" w:bottom="860" w:left="1120" w:right="1180"/>
        </w:sectPr>
      </w:pPr>
    </w:p>
    <w:p>
      <w:pPr>
        <w:pStyle w:val="BodyText"/>
        <w:spacing w:before="5"/>
        <w:rPr>
          <w:i/>
          <w:sz w:val="21"/>
        </w:rPr>
      </w:pPr>
    </w:p>
    <w:p>
      <w:pPr>
        <w:spacing w:line="259" w:lineRule="auto" w:before="95"/>
        <w:ind w:left="953" w:right="0" w:firstLine="2"/>
        <w:jc w:val="left"/>
        <w:rPr>
          <w:sz w:val="19"/>
        </w:rPr>
      </w:pPr>
      <w:r>
        <w:rPr>
          <w:w w:val="105"/>
          <w:sz w:val="19"/>
        </w:rPr>
        <w:t>Previous Team</w:t>
      </w:r>
      <w:r>
        <w:rPr>
          <w:spacing w:val="-5"/>
          <w:w w:val="105"/>
          <w:sz w:val="19"/>
        </w:rPr>
        <w:t> </w:t>
      </w:r>
      <w:r>
        <w:rPr>
          <w:w w:val="105"/>
          <w:sz w:val="19"/>
        </w:rPr>
        <w:t>Report (2003):</w:t>
      </w:r>
      <w:r>
        <w:rPr>
          <w:spacing w:val="40"/>
          <w:w w:val="105"/>
          <w:sz w:val="19"/>
        </w:rPr>
        <w:t> </w:t>
      </w:r>
      <w:r>
        <w:rPr>
          <w:w w:val="105"/>
          <w:sz w:val="19"/>
        </w:rPr>
        <w:t>While the exact language of Appendix</w:t>
      </w:r>
      <w:r>
        <w:rPr>
          <w:spacing w:val="40"/>
          <w:w w:val="105"/>
          <w:sz w:val="19"/>
        </w:rPr>
        <w:t> </w:t>
      </w:r>
      <w:r>
        <w:rPr>
          <w:w w:val="105"/>
          <w:sz w:val="19"/>
        </w:rPr>
        <w:t>A-2 is contained in the university</w:t>
      </w:r>
      <w:r>
        <w:rPr>
          <w:spacing w:val="-8"/>
          <w:w w:val="105"/>
          <w:sz w:val="19"/>
        </w:rPr>
        <w:t> </w:t>
      </w:r>
      <w:r>
        <w:rPr>
          <w:w w:val="105"/>
          <w:sz w:val="19"/>
        </w:rPr>
        <w:t>catalogue,</w:t>
      </w:r>
      <w:r>
        <w:rPr>
          <w:spacing w:val="-4"/>
          <w:w w:val="105"/>
          <w:sz w:val="19"/>
        </w:rPr>
        <w:t> </w:t>
      </w:r>
      <w:r>
        <w:rPr>
          <w:w w:val="105"/>
          <w:sz w:val="19"/>
        </w:rPr>
        <w:t>it does</w:t>
      </w:r>
      <w:r>
        <w:rPr>
          <w:spacing w:val="-3"/>
          <w:w w:val="105"/>
          <w:sz w:val="19"/>
        </w:rPr>
        <w:t> </w:t>
      </w:r>
      <w:r>
        <w:rPr>
          <w:w w:val="105"/>
          <w:sz w:val="19"/>
        </w:rPr>
        <w:t>not</w:t>
      </w:r>
      <w:r>
        <w:rPr>
          <w:spacing w:val="-14"/>
          <w:w w:val="105"/>
          <w:sz w:val="19"/>
        </w:rPr>
        <w:t> </w:t>
      </w:r>
      <w:r>
        <w:rPr>
          <w:w w:val="105"/>
          <w:sz w:val="19"/>
        </w:rPr>
        <w:t>appear</w:t>
      </w:r>
      <w:r>
        <w:rPr>
          <w:spacing w:val="-7"/>
          <w:w w:val="105"/>
          <w:sz w:val="19"/>
        </w:rPr>
        <w:t> </w:t>
      </w:r>
      <w:r>
        <w:rPr>
          <w:w w:val="105"/>
          <w:sz w:val="19"/>
        </w:rPr>
        <w:t>in the</w:t>
      </w:r>
      <w:r>
        <w:rPr>
          <w:spacing w:val="-1"/>
          <w:w w:val="105"/>
          <w:sz w:val="19"/>
        </w:rPr>
        <w:t> </w:t>
      </w:r>
      <w:r>
        <w:rPr>
          <w:w w:val="105"/>
          <w:sz w:val="19"/>
        </w:rPr>
        <w:t>department's</w:t>
      </w:r>
      <w:r>
        <w:rPr>
          <w:spacing w:val="-2"/>
          <w:w w:val="105"/>
          <w:sz w:val="19"/>
        </w:rPr>
        <w:t> </w:t>
      </w:r>
      <w:r>
        <w:rPr>
          <w:w w:val="105"/>
          <w:sz w:val="19"/>
        </w:rPr>
        <w:t>promotional literature.</w:t>
      </w:r>
      <w:r>
        <w:rPr>
          <w:spacing w:val="40"/>
          <w:w w:val="105"/>
          <w:sz w:val="19"/>
        </w:rPr>
        <w:t> </w:t>
      </w:r>
      <w:r>
        <w:rPr>
          <w:w w:val="105"/>
          <w:sz w:val="19"/>
        </w:rPr>
        <w:t>The Web site contains a shorter, non-verbatim version of the</w:t>
      </w:r>
      <w:r>
        <w:rPr>
          <w:spacing w:val="-2"/>
          <w:w w:val="105"/>
          <w:sz w:val="19"/>
        </w:rPr>
        <w:t> </w:t>
      </w:r>
      <w:r>
        <w:rPr>
          <w:w w:val="105"/>
          <w:sz w:val="19"/>
        </w:rPr>
        <w:t>required</w:t>
      </w:r>
      <w:r>
        <w:rPr>
          <w:spacing w:val="-3"/>
          <w:w w:val="105"/>
          <w:sz w:val="19"/>
        </w:rPr>
        <w:t> </w:t>
      </w:r>
      <w:r>
        <w:rPr>
          <w:w w:val="105"/>
          <w:sz w:val="19"/>
        </w:rPr>
        <w:t>language.</w:t>
      </w:r>
    </w:p>
    <w:p>
      <w:pPr>
        <w:pStyle w:val="BodyText"/>
        <w:spacing w:before="9"/>
        <w:rPr>
          <w:sz w:val="18"/>
        </w:rPr>
      </w:pPr>
    </w:p>
    <w:p>
      <w:pPr>
        <w:spacing w:before="0"/>
        <w:ind w:left="1688" w:right="0" w:firstLine="0"/>
        <w:jc w:val="left"/>
        <w:rPr>
          <w:sz w:val="19"/>
        </w:rPr>
      </w:pPr>
      <w:r>
        <w:rPr>
          <w:w w:val="110"/>
          <w:sz w:val="19"/>
        </w:rPr>
        <w:t>2009</w:t>
      </w:r>
      <w:r>
        <w:rPr>
          <w:spacing w:val="-15"/>
          <w:w w:val="110"/>
          <w:sz w:val="19"/>
        </w:rPr>
        <w:t> </w:t>
      </w:r>
      <w:r>
        <w:rPr>
          <w:w w:val="110"/>
          <w:sz w:val="19"/>
        </w:rPr>
        <w:t>Visiting</w:t>
      </w:r>
      <w:r>
        <w:rPr>
          <w:spacing w:val="-15"/>
          <w:w w:val="110"/>
          <w:sz w:val="19"/>
        </w:rPr>
        <w:t> </w:t>
      </w:r>
      <w:r>
        <w:rPr>
          <w:w w:val="110"/>
          <w:sz w:val="19"/>
        </w:rPr>
        <w:t>Team</w:t>
      </w:r>
      <w:r>
        <w:rPr>
          <w:spacing w:val="-13"/>
          <w:w w:val="110"/>
          <w:sz w:val="19"/>
        </w:rPr>
        <w:t> </w:t>
      </w:r>
      <w:r>
        <w:rPr>
          <w:w w:val="110"/>
          <w:sz w:val="19"/>
        </w:rPr>
        <w:t>Assessment:</w:t>
      </w:r>
      <w:r>
        <w:rPr>
          <w:spacing w:val="1"/>
          <w:w w:val="110"/>
          <w:sz w:val="19"/>
        </w:rPr>
        <w:t> </w:t>
      </w:r>
      <w:r>
        <w:rPr>
          <w:w w:val="110"/>
          <w:sz w:val="19"/>
        </w:rPr>
        <w:t>This</w:t>
      </w:r>
      <w:r>
        <w:rPr>
          <w:spacing w:val="-21"/>
          <w:w w:val="110"/>
          <w:sz w:val="19"/>
        </w:rPr>
        <w:t> </w:t>
      </w:r>
      <w:r>
        <w:rPr>
          <w:w w:val="110"/>
          <w:sz w:val="19"/>
        </w:rPr>
        <w:t>condition</w:t>
      </w:r>
      <w:r>
        <w:rPr>
          <w:spacing w:val="-9"/>
          <w:w w:val="110"/>
          <w:sz w:val="19"/>
        </w:rPr>
        <w:t> </w:t>
      </w:r>
      <w:r>
        <w:rPr>
          <w:w w:val="110"/>
          <w:sz w:val="19"/>
        </w:rPr>
        <w:t>has</w:t>
      </w:r>
      <w:r>
        <w:rPr>
          <w:spacing w:val="-15"/>
          <w:w w:val="110"/>
          <w:sz w:val="19"/>
        </w:rPr>
        <w:t> </w:t>
      </w:r>
      <w:r>
        <w:rPr>
          <w:w w:val="110"/>
          <w:sz w:val="19"/>
        </w:rPr>
        <w:t>been</w:t>
      </w:r>
      <w:r>
        <w:rPr>
          <w:spacing w:val="-15"/>
          <w:w w:val="110"/>
          <w:sz w:val="19"/>
        </w:rPr>
        <w:t> </w:t>
      </w:r>
      <w:r>
        <w:rPr>
          <w:spacing w:val="-4"/>
          <w:w w:val="110"/>
          <w:sz w:val="19"/>
        </w:rPr>
        <w:t>met.</w:t>
      </w:r>
    </w:p>
    <w:p>
      <w:pPr>
        <w:pStyle w:val="BodyText"/>
        <w:spacing w:before="2"/>
        <w:rPr>
          <w:sz w:val="21"/>
        </w:rPr>
      </w:pPr>
    </w:p>
    <w:p>
      <w:pPr>
        <w:spacing w:line="254" w:lineRule="auto" w:before="1"/>
        <w:ind w:left="971" w:right="475" w:hanging="1"/>
        <w:jc w:val="left"/>
        <w:rPr>
          <w:i/>
          <w:sz w:val="19"/>
        </w:rPr>
      </w:pPr>
      <w:r>
        <w:rPr>
          <w:w w:val="105"/>
          <w:sz w:val="19"/>
        </w:rPr>
        <w:t>Condition 6,</w:t>
      </w:r>
      <w:r>
        <w:rPr>
          <w:spacing w:val="-2"/>
          <w:w w:val="105"/>
          <w:sz w:val="19"/>
        </w:rPr>
        <w:t> </w:t>
      </w:r>
      <w:r>
        <w:rPr>
          <w:w w:val="105"/>
          <w:sz w:val="19"/>
        </w:rPr>
        <w:t>Human Resource Development (2003): </w:t>
      </w:r>
      <w:r>
        <w:rPr>
          <w:i/>
          <w:w w:val="105"/>
          <w:sz w:val="19"/>
        </w:rPr>
        <w:t>Programs</w:t>
      </w:r>
      <w:r>
        <w:rPr>
          <w:i/>
          <w:spacing w:val="40"/>
          <w:w w:val="105"/>
          <w:sz w:val="19"/>
        </w:rPr>
        <w:t> </w:t>
      </w:r>
      <w:r>
        <w:rPr>
          <w:w w:val="105"/>
          <w:sz w:val="19"/>
        </w:rPr>
        <w:t>must </w:t>
      </w:r>
      <w:r>
        <w:rPr>
          <w:i/>
          <w:w w:val="105"/>
          <w:sz w:val="19"/>
        </w:rPr>
        <w:t>have a clear policy outlining</w:t>
      </w:r>
      <w:r>
        <w:rPr>
          <w:i/>
          <w:spacing w:val="-2"/>
          <w:w w:val="105"/>
          <w:sz w:val="19"/>
        </w:rPr>
        <w:t> </w:t>
      </w:r>
      <w:r>
        <w:rPr>
          <w:i/>
          <w:w w:val="105"/>
          <w:sz w:val="19"/>
        </w:rPr>
        <w:t>both</w:t>
      </w:r>
      <w:r>
        <w:rPr>
          <w:i/>
          <w:spacing w:val="-13"/>
          <w:w w:val="105"/>
          <w:sz w:val="19"/>
        </w:rPr>
        <w:t> </w:t>
      </w:r>
      <w:r>
        <w:rPr>
          <w:i/>
          <w:w w:val="105"/>
          <w:sz w:val="19"/>
        </w:rPr>
        <w:t>individual and</w:t>
      </w:r>
      <w:r>
        <w:rPr>
          <w:i/>
          <w:spacing w:val="-4"/>
          <w:w w:val="105"/>
          <w:sz w:val="19"/>
        </w:rPr>
        <w:t> </w:t>
      </w:r>
      <w:r>
        <w:rPr>
          <w:i/>
          <w:w w:val="105"/>
          <w:sz w:val="19"/>
        </w:rPr>
        <w:t>collective opportunities for</w:t>
      </w:r>
      <w:r>
        <w:rPr>
          <w:i/>
          <w:spacing w:val="-5"/>
          <w:w w:val="105"/>
          <w:sz w:val="19"/>
        </w:rPr>
        <w:t> </w:t>
      </w:r>
      <w:r>
        <w:rPr>
          <w:i/>
          <w:w w:val="105"/>
          <w:sz w:val="19"/>
        </w:rPr>
        <w:t>faculty</w:t>
      </w:r>
      <w:r>
        <w:rPr>
          <w:i/>
          <w:spacing w:val="-2"/>
          <w:w w:val="105"/>
          <w:sz w:val="19"/>
        </w:rPr>
        <w:t> </w:t>
      </w:r>
      <w:r>
        <w:rPr>
          <w:i/>
          <w:w w:val="105"/>
          <w:sz w:val="19"/>
        </w:rPr>
        <w:t>and</w:t>
      </w:r>
      <w:r>
        <w:rPr>
          <w:i/>
          <w:spacing w:val="-11"/>
          <w:w w:val="105"/>
          <w:sz w:val="19"/>
        </w:rPr>
        <w:t> </w:t>
      </w:r>
      <w:r>
        <w:rPr>
          <w:i/>
          <w:w w:val="105"/>
          <w:sz w:val="19"/>
        </w:rPr>
        <w:t>student</w:t>
      </w:r>
      <w:r>
        <w:rPr>
          <w:i/>
          <w:spacing w:val="-10"/>
          <w:w w:val="105"/>
          <w:sz w:val="19"/>
        </w:rPr>
        <w:t> </w:t>
      </w:r>
      <w:r>
        <w:rPr>
          <w:i/>
          <w:w w:val="105"/>
          <w:sz w:val="19"/>
        </w:rPr>
        <w:t>growth</w:t>
      </w:r>
      <w:r>
        <w:rPr>
          <w:i/>
          <w:spacing w:val="-8"/>
          <w:w w:val="105"/>
          <w:sz w:val="19"/>
        </w:rPr>
        <w:t> </w:t>
      </w:r>
      <w:r>
        <w:rPr>
          <w:i/>
          <w:w w:val="105"/>
          <w:sz w:val="19"/>
        </w:rPr>
        <w:t>within</w:t>
      </w:r>
      <w:r>
        <w:rPr>
          <w:i/>
          <w:spacing w:val="-3"/>
          <w:w w:val="105"/>
          <w:sz w:val="19"/>
        </w:rPr>
        <w:t> </w:t>
      </w:r>
      <w:r>
        <w:rPr>
          <w:i/>
          <w:w w:val="105"/>
          <w:sz w:val="19"/>
        </w:rPr>
        <w:t>and outside the program.</w:t>
      </w:r>
    </w:p>
    <w:p>
      <w:pPr>
        <w:pStyle w:val="BodyText"/>
        <w:spacing w:before="11"/>
        <w:rPr>
          <w:i/>
          <w:sz w:val="19"/>
        </w:rPr>
      </w:pPr>
    </w:p>
    <w:p>
      <w:pPr>
        <w:spacing w:line="254" w:lineRule="auto" w:before="0"/>
        <w:ind w:left="964" w:right="424" w:firstLine="1"/>
        <w:jc w:val="left"/>
        <w:rPr>
          <w:sz w:val="19"/>
        </w:rPr>
      </w:pPr>
      <w:r>
        <w:rPr>
          <w:w w:val="105"/>
          <w:sz w:val="19"/>
        </w:rPr>
        <w:t>Previous Team Report (2003):</w:t>
      </w:r>
      <w:r>
        <w:rPr>
          <w:spacing w:val="-6"/>
          <w:w w:val="105"/>
          <w:sz w:val="19"/>
        </w:rPr>
        <w:t> </w:t>
      </w:r>
      <w:r>
        <w:rPr>
          <w:w w:val="105"/>
          <w:sz w:val="19"/>
        </w:rPr>
        <w:t>Students actively</w:t>
      </w:r>
      <w:r>
        <w:rPr>
          <w:spacing w:val="26"/>
          <w:w w:val="105"/>
          <w:sz w:val="19"/>
        </w:rPr>
        <w:t> </w:t>
      </w:r>
      <w:r>
        <w:rPr>
          <w:w w:val="105"/>
          <w:sz w:val="19"/>
        </w:rPr>
        <w:t>participate on department committees</w:t>
      </w:r>
      <w:r>
        <w:rPr>
          <w:spacing w:val="27"/>
          <w:w w:val="105"/>
          <w:sz w:val="19"/>
        </w:rPr>
        <w:t> </w:t>
      </w:r>
      <w:r>
        <w:rPr>
          <w:w w:val="105"/>
          <w:sz w:val="19"/>
        </w:rPr>
        <w:t>and are in regular contact with the</w:t>
      </w:r>
      <w:r>
        <w:rPr>
          <w:spacing w:val="-2"/>
          <w:w w:val="105"/>
          <w:sz w:val="19"/>
        </w:rPr>
        <w:t> </w:t>
      </w:r>
      <w:r>
        <w:rPr>
          <w:w w:val="105"/>
          <w:sz w:val="19"/>
        </w:rPr>
        <w:t>faculty members and chair.</w:t>
      </w:r>
      <w:r>
        <w:rPr>
          <w:spacing w:val="40"/>
          <w:w w:val="105"/>
          <w:sz w:val="19"/>
        </w:rPr>
        <w:t> </w:t>
      </w:r>
      <w:r>
        <w:rPr>
          <w:w w:val="105"/>
          <w:sz w:val="19"/>
        </w:rPr>
        <w:t>There remains, however, a need for further clarification and regular updates on the course</w:t>
      </w:r>
      <w:r>
        <w:rPr>
          <w:spacing w:val="-2"/>
          <w:w w:val="105"/>
          <w:sz w:val="19"/>
        </w:rPr>
        <w:t> </w:t>
      </w:r>
      <w:r>
        <w:rPr>
          <w:w w:val="105"/>
          <w:sz w:val="19"/>
        </w:rPr>
        <w:t>and overall</w:t>
      </w:r>
      <w:r>
        <w:rPr>
          <w:spacing w:val="-12"/>
          <w:w w:val="105"/>
          <w:sz w:val="19"/>
        </w:rPr>
        <w:t> </w:t>
      </w:r>
      <w:r>
        <w:rPr>
          <w:w w:val="105"/>
          <w:sz w:val="19"/>
        </w:rPr>
        <w:t>curricular objectives. There seem</w:t>
      </w:r>
      <w:r>
        <w:rPr>
          <w:spacing w:val="-3"/>
          <w:w w:val="105"/>
          <w:sz w:val="19"/>
        </w:rPr>
        <w:t> </w:t>
      </w:r>
      <w:r>
        <w:rPr>
          <w:w w:val="105"/>
          <w:sz w:val="19"/>
        </w:rPr>
        <w:t>to be serious communication</w:t>
      </w:r>
      <w:r>
        <w:rPr>
          <w:spacing w:val="32"/>
          <w:w w:val="105"/>
          <w:sz w:val="19"/>
        </w:rPr>
        <w:t> </w:t>
      </w:r>
      <w:r>
        <w:rPr>
          <w:w w:val="105"/>
          <w:sz w:val="19"/>
        </w:rPr>
        <w:t>lapses between students and faculty. As</w:t>
      </w:r>
      <w:r>
        <w:rPr>
          <w:spacing w:val="-5"/>
          <w:w w:val="105"/>
          <w:sz w:val="19"/>
        </w:rPr>
        <w:t> </w:t>
      </w:r>
      <w:r>
        <w:rPr>
          <w:w w:val="105"/>
          <w:sz w:val="19"/>
        </w:rPr>
        <w:t>problems occur, students express discomfort with the decision-making process as related to their matriculation, especially in response to course</w:t>
      </w:r>
      <w:r>
        <w:rPr>
          <w:spacing w:val="-4"/>
          <w:w w:val="105"/>
          <w:sz w:val="19"/>
        </w:rPr>
        <w:t> </w:t>
      </w:r>
      <w:r>
        <w:rPr>
          <w:w w:val="105"/>
          <w:sz w:val="19"/>
        </w:rPr>
        <w:t>changes and</w:t>
      </w:r>
      <w:r>
        <w:rPr>
          <w:spacing w:val="-6"/>
          <w:w w:val="105"/>
          <w:sz w:val="19"/>
        </w:rPr>
        <w:t> </w:t>
      </w:r>
      <w:r>
        <w:rPr>
          <w:w w:val="105"/>
          <w:sz w:val="19"/>
        </w:rPr>
        <w:t>grading or</w:t>
      </w:r>
      <w:r>
        <w:rPr>
          <w:spacing w:val="-1"/>
          <w:w w:val="105"/>
          <w:sz w:val="19"/>
        </w:rPr>
        <w:t> </w:t>
      </w:r>
      <w:r>
        <w:rPr>
          <w:w w:val="105"/>
          <w:sz w:val="19"/>
        </w:rPr>
        <w:t>evaluation criteria.</w:t>
      </w:r>
      <w:r>
        <w:rPr>
          <w:spacing w:val="40"/>
          <w:w w:val="105"/>
          <w:sz w:val="19"/>
        </w:rPr>
        <w:t> </w:t>
      </w:r>
      <w:r>
        <w:rPr>
          <w:w w:val="105"/>
          <w:sz w:val="19"/>
        </w:rPr>
        <w:t>The</w:t>
      </w:r>
      <w:r>
        <w:rPr>
          <w:spacing w:val="-6"/>
          <w:w w:val="105"/>
          <w:sz w:val="19"/>
        </w:rPr>
        <w:t> </w:t>
      </w:r>
      <w:r>
        <w:rPr>
          <w:w w:val="105"/>
          <w:sz w:val="19"/>
        </w:rPr>
        <w:t>travel-abroad program</w:t>
      </w:r>
      <w:r>
        <w:rPr>
          <w:spacing w:val="-3"/>
          <w:w w:val="105"/>
          <w:sz w:val="19"/>
        </w:rPr>
        <w:t> </w:t>
      </w:r>
      <w:r>
        <w:rPr>
          <w:w w:val="105"/>
          <w:sz w:val="19"/>
        </w:rPr>
        <w:t>is a unique opportunity and</w:t>
      </w:r>
      <w:r>
        <w:rPr>
          <w:spacing w:val="-6"/>
          <w:w w:val="105"/>
          <w:sz w:val="19"/>
        </w:rPr>
        <w:t> </w:t>
      </w:r>
      <w:r>
        <w:rPr>
          <w:w w:val="105"/>
          <w:sz w:val="19"/>
        </w:rPr>
        <w:t>one</w:t>
      </w:r>
      <w:r>
        <w:rPr>
          <w:spacing w:val="-6"/>
          <w:w w:val="105"/>
          <w:sz w:val="19"/>
        </w:rPr>
        <w:t> </w:t>
      </w:r>
      <w:r>
        <w:rPr>
          <w:w w:val="105"/>
          <w:sz w:val="19"/>
        </w:rPr>
        <w:t>that is greatly anticipated and appreciated by the students,</w:t>
      </w:r>
      <w:r>
        <w:rPr>
          <w:spacing w:val="-1"/>
          <w:w w:val="105"/>
          <w:sz w:val="19"/>
        </w:rPr>
        <w:t> </w:t>
      </w:r>
      <w:r>
        <w:rPr>
          <w:w w:val="105"/>
          <w:sz w:val="19"/>
        </w:rPr>
        <w:t>but</w:t>
      </w:r>
      <w:r>
        <w:rPr>
          <w:spacing w:val="-1"/>
          <w:w w:val="105"/>
          <w:sz w:val="19"/>
        </w:rPr>
        <w:t> </w:t>
      </w:r>
      <w:r>
        <w:rPr>
          <w:w w:val="105"/>
          <w:sz w:val="19"/>
        </w:rPr>
        <w:t>there is a need</w:t>
      </w:r>
      <w:r>
        <w:rPr>
          <w:spacing w:val="-13"/>
          <w:w w:val="105"/>
          <w:sz w:val="19"/>
        </w:rPr>
        <w:t> </w:t>
      </w:r>
      <w:r>
        <w:rPr>
          <w:w w:val="105"/>
          <w:sz w:val="19"/>
        </w:rPr>
        <w:t>to update students on arrangements and</w:t>
      </w:r>
      <w:r>
        <w:rPr>
          <w:spacing w:val="-4"/>
          <w:w w:val="105"/>
          <w:sz w:val="19"/>
        </w:rPr>
        <w:t> </w:t>
      </w:r>
      <w:r>
        <w:rPr>
          <w:w w:val="105"/>
          <w:sz w:val="19"/>
        </w:rPr>
        <w:t>preparations, particularly given the</w:t>
      </w:r>
      <w:r>
        <w:rPr>
          <w:spacing w:val="-5"/>
          <w:w w:val="105"/>
          <w:sz w:val="19"/>
        </w:rPr>
        <w:t> </w:t>
      </w:r>
      <w:r>
        <w:rPr>
          <w:w w:val="105"/>
          <w:sz w:val="19"/>
        </w:rPr>
        <w:t>many issues</w:t>
      </w:r>
      <w:r>
        <w:rPr>
          <w:spacing w:val="-2"/>
          <w:w w:val="105"/>
          <w:sz w:val="19"/>
        </w:rPr>
        <w:t> </w:t>
      </w:r>
      <w:r>
        <w:rPr>
          <w:w w:val="105"/>
          <w:sz w:val="19"/>
        </w:rPr>
        <w:t>complicating foreign travel. A need</w:t>
      </w:r>
      <w:r>
        <w:rPr>
          <w:spacing w:val="-3"/>
          <w:w w:val="105"/>
          <w:sz w:val="19"/>
        </w:rPr>
        <w:t> </w:t>
      </w:r>
      <w:r>
        <w:rPr>
          <w:w w:val="105"/>
          <w:sz w:val="19"/>
        </w:rPr>
        <w:t>exists for additional</w:t>
      </w:r>
      <w:r>
        <w:rPr>
          <w:spacing w:val="-6"/>
          <w:w w:val="105"/>
          <w:sz w:val="19"/>
        </w:rPr>
        <w:t> </w:t>
      </w:r>
      <w:r>
        <w:rPr>
          <w:w w:val="105"/>
          <w:sz w:val="19"/>
        </w:rPr>
        <w:t>clarification and development of student support services such as academic and</w:t>
      </w:r>
      <w:r>
        <w:rPr>
          <w:spacing w:val="-6"/>
          <w:w w:val="105"/>
          <w:sz w:val="19"/>
        </w:rPr>
        <w:t> </w:t>
      </w:r>
      <w:r>
        <w:rPr>
          <w:w w:val="105"/>
          <w:sz w:val="19"/>
        </w:rPr>
        <w:t>career advising; expectations and</w:t>
      </w:r>
      <w:r>
        <w:rPr>
          <w:spacing w:val="-19"/>
          <w:w w:val="105"/>
          <w:sz w:val="19"/>
        </w:rPr>
        <w:t> </w:t>
      </w:r>
      <w:r>
        <w:rPr>
          <w:w w:val="105"/>
          <w:sz w:val="19"/>
        </w:rPr>
        <w:t>responsibilities</w:t>
      </w:r>
      <w:r>
        <w:rPr>
          <w:spacing w:val="-16"/>
          <w:w w:val="105"/>
          <w:sz w:val="19"/>
        </w:rPr>
        <w:t> </w:t>
      </w:r>
      <w:r>
        <w:rPr>
          <w:w w:val="105"/>
          <w:sz w:val="19"/>
        </w:rPr>
        <w:t>of</w:t>
      </w:r>
      <w:r>
        <w:rPr>
          <w:spacing w:val="-3"/>
          <w:w w:val="105"/>
          <w:sz w:val="19"/>
        </w:rPr>
        <w:t> </w:t>
      </w:r>
      <w:r>
        <w:rPr>
          <w:w w:val="105"/>
          <w:sz w:val="19"/>
        </w:rPr>
        <w:t>all</w:t>
      </w:r>
      <w:r>
        <w:rPr>
          <w:spacing w:val="-3"/>
          <w:w w:val="105"/>
          <w:sz w:val="19"/>
        </w:rPr>
        <w:t> </w:t>
      </w:r>
      <w:r>
        <w:rPr>
          <w:w w:val="105"/>
          <w:sz w:val="19"/>
        </w:rPr>
        <w:t>members of the</w:t>
      </w:r>
      <w:r>
        <w:rPr>
          <w:spacing w:val="-6"/>
          <w:w w:val="105"/>
          <w:sz w:val="19"/>
        </w:rPr>
        <w:t> </w:t>
      </w:r>
      <w:r>
        <w:rPr>
          <w:w w:val="105"/>
          <w:sz w:val="19"/>
        </w:rPr>
        <w:t>department; and specific feedback on</w:t>
      </w:r>
      <w:r>
        <w:rPr>
          <w:spacing w:val="-6"/>
          <w:w w:val="105"/>
          <w:sz w:val="19"/>
        </w:rPr>
        <w:t> </w:t>
      </w:r>
      <w:r>
        <w:rPr>
          <w:w w:val="105"/>
          <w:sz w:val="19"/>
        </w:rPr>
        <w:t>course</w:t>
      </w:r>
      <w:r>
        <w:rPr>
          <w:spacing w:val="-4"/>
          <w:w w:val="105"/>
          <w:sz w:val="19"/>
        </w:rPr>
        <w:t> </w:t>
      </w:r>
      <w:r>
        <w:rPr>
          <w:w w:val="105"/>
          <w:sz w:val="19"/>
        </w:rPr>
        <w:t>work and </w:t>
      </w:r>
      <w:r>
        <w:rPr>
          <w:spacing w:val="-2"/>
          <w:w w:val="105"/>
          <w:sz w:val="19"/>
        </w:rPr>
        <w:t>performance.</w:t>
      </w:r>
    </w:p>
    <w:p>
      <w:pPr>
        <w:pStyle w:val="BodyText"/>
        <w:spacing w:before="4"/>
      </w:pPr>
    </w:p>
    <w:p>
      <w:pPr>
        <w:spacing w:line="252" w:lineRule="auto" w:before="0"/>
        <w:ind w:left="1670" w:right="1427" w:firstLine="8"/>
        <w:jc w:val="left"/>
        <w:rPr>
          <w:sz w:val="19"/>
        </w:rPr>
      </w:pPr>
      <w:r>
        <w:rPr>
          <w:w w:val="105"/>
          <w:sz w:val="19"/>
        </w:rPr>
        <w:t>2009 Visiting Team Assessment: The department has made remarkable strides in securing grants since the 2003 NAAB visit.</w:t>
      </w:r>
      <w:r>
        <w:rPr>
          <w:spacing w:val="40"/>
          <w:w w:val="105"/>
          <w:sz w:val="19"/>
        </w:rPr>
        <w:t> </w:t>
      </w:r>
      <w:r>
        <w:rPr>
          <w:w w:val="105"/>
          <w:sz w:val="19"/>
        </w:rPr>
        <w:t>These have not resulted in direct</w:t>
      </w:r>
      <w:r>
        <w:rPr>
          <w:spacing w:val="-5"/>
          <w:w w:val="105"/>
          <w:sz w:val="19"/>
        </w:rPr>
        <w:t> </w:t>
      </w:r>
      <w:r>
        <w:rPr>
          <w:w w:val="105"/>
          <w:sz w:val="19"/>
        </w:rPr>
        <w:t>buyouts or research leaves, but</w:t>
      </w:r>
      <w:r>
        <w:rPr>
          <w:spacing w:val="-3"/>
          <w:w w:val="105"/>
          <w:sz w:val="19"/>
        </w:rPr>
        <w:t> </w:t>
      </w:r>
      <w:r>
        <w:rPr>
          <w:w w:val="105"/>
          <w:sz w:val="19"/>
        </w:rPr>
        <w:t>have</w:t>
      </w:r>
      <w:r>
        <w:rPr>
          <w:spacing w:val="-5"/>
          <w:w w:val="105"/>
          <w:sz w:val="19"/>
        </w:rPr>
        <w:t> </w:t>
      </w:r>
      <w:r>
        <w:rPr>
          <w:w w:val="105"/>
          <w:sz w:val="19"/>
        </w:rPr>
        <w:t>laid</w:t>
      </w:r>
      <w:r>
        <w:rPr>
          <w:spacing w:val="-4"/>
          <w:w w:val="105"/>
          <w:sz w:val="19"/>
        </w:rPr>
        <w:t> </w:t>
      </w:r>
      <w:r>
        <w:rPr>
          <w:w w:val="105"/>
          <w:sz w:val="19"/>
        </w:rPr>
        <w:t>the</w:t>
      </w:r>
      <w:r>
        <w:rPr>
          <w:spacing w:val="-1"/>
          <w:w w:val="105"/>
          <w:sz w:val="19"/>
        </w:rPr>
        <w:t> </w:t>
      </w:r>
      <w:r>
        <w:rPr>
          <w:w w:val="105"/>
          <w:sz w:val="19"/>
        </w:rPr>
        <w:t>groundwork for</w:t>
      </w:r>
      <w:r>
        <w:rPr>
          <w:spacing w:val="-6"/>
          <w:w w:val="105"/>
          <w:sz w:val="19"/>
        </w:rPr>
        <w:t> </w:t>
      </w:r>
      <w:r>
        <w:rPr>
          <w:w w:val="105"/>
          <w:sz w:val="19"/>
        </w:rPr>
        <w:t>research</w:t>
      </w:r>
      <w:r>
        <w:rPr>
          <w:spacing w:val="-2"/>
          <w:w w:val="105"/>
          <w:sz w:val="19"/>
        </w:rPr>
        <w:t> </w:t>
      </w:r>
      <w:r>
        <w:rPr>
          <w:w w:val="105"/>
          <w:sz w:val="19"/>
        </w:rPr>
        <w:t>and</w:t>
      </w:r>
      <w:r>
        <w:rPr>
          <w:spacing w:val="-7"/>
          <w:w w:val="105"/>
          <w:sz w:val="19"/>
        </w:rPr>
        <w:t> </w:t>
      </w:r>
      <w:r>
        <w:rPr>
          <w:w w:val="105"/>
          <w:sz w:val="19"/>
        </w:rPr>
        <w:t>outreach</w:t>
      </w:r>
      <w:r>
        <w:rPr>
          <w:spacing w:val="-3"/>
          <w:w w:val="105"/>
          <w:sz w:val="19"/>
        </w:rPr>
        <w:t> </w:t>
      </w:r>
      <w:r>
        <w:rPr>
          <w:w w:val="105"/>
          <w:sz w:val="19"/>
        </w:rPr>
        <w:t>while also augmenting technology resources.</w:t>
      </w:r>
      <w:r>
        <w:rPr>
          <w:spacing w:val="80"/>
          <w:w w:val="105"/>
          <w:sz w:val="19"/>
        </w:rPr>
        <w:t> </w:t>
      </w:r>
      <w:r>
        <w:rPr>
          <w:w w:val="105"/>
          <w:sz w:val="19"/>
        </w:rPr>
        <w:t>A Title</w:t>
      </w:r>
      <w:r>
        <w:rPr>
          <w:spacing w:val="-20"/>
          <w:w w:val="105"/>
          <w:sz w:val="19"/>
        </w:rPr>
        <w:t> </w:t>
      </w:r>
      <w:r>
        <w:rPr>
          <w:w w:val="95"/>
          <w:sz w:val="19"/>
        </w:rPr>
        <w:t>111 </w:t>
      </w:r>
      <w:r>
        <w:rPr>
          <w:w w:val="105"/>
          <w:sz w:val="19"/>
        </w:rPr>
        <w:t>allocation</w:t>
      </w:r>
      <w:r>
        <w:rPr>
          <w:spacing w:val="-3"/>
          <w:w w:val="105"/>
          <w:sz w:val="19"/>
        </w:rPr>
        <w:t> </w:t>
      </w:r>
      <w:r>
        <w:rPr>
          <w:w w:val="105"/>
          <w:sz w:val="19"/>
        </w:rPr>
        <w:t>has</w:t>
      </w:r>
      <w:r>
        <w:rPr>
          <w:spacing w:val="-9"/>
          <w:w w:val="105"/>
          <w:sz w:val="19"/>
        </w:rPr>
        <w:t> </w:t>
      </w:r>
      <w:r>
        <w:rPr>
          <w:w w:val="105"/>
          <w:sz w:val="19"/>
        </w:rPr>
        <w:t>also</w:t>
      </w:r>
      <w:r>
        <w:rPr>
          <w:spacing w:val="-4"/>
          <w:w w:val="105"/>
          <w:sz w:val="19"/>
        </w:rPr>
        <w:t> </w:t>
      </w:r>
      <w:r>
        <w:rPr>
          <w:w w:val="105"/>
          <w:sz w:val="19"/>
        </w:rPr>
        <w:t>supported technology</w:t>
      </w:r>
      <w:r>
        <w:rPr>
          <w:spacing w:val="19"/>
          <w:w w:val="105"/>
          <w:sz w:val="19"/>
        </w:rPr>
        <w:t> </w:t>
      </w:r>
      <w:r>
        <w:rPr>
          <w:w w:val="105"/>
          <w:sz w:val="19"/>
        </w:rPr>
        <w:t>upgrades and enhancements as</w:t>
      </w:r>
      <w:r>
        <w:rPr>
          <w:spacing w:val="-3"/>
          <w:w w:val="105"/>
          <w:sz w:val="19"/>
        </w:rPr>
        <w:t> </w:t>
      </w:r>
      <w:r>
        <w:rPr>
          <w:w w:val="105"/>
          <w:sz w:val="19"/>
        </w:rPr>
        <w:t>well</w:t>
      </w:r>
      <w:r>
        <w:rPr>
          <w:spacing w:val="-3"/>
          <w:w w:val="105"/>
          <w:sz w:val="19"/>
        </w:rPr>
        <w:t> </w:t>
      </w:r>
      <w:r>
        <w:rPr>
          <w:w w:val="105"/>
          <w:sz w:val="19"/>
        </w:rPr>
        <w:t>as significantly</w:t>
      </w:r>
      <w:r>
        <w:rPr>
          <w:spacing w:val="33"/>
          <w:w w:val="105"/>
          <w:sz w:val="19"/>
        </w:rPr>
        <w:t> </w:t>
      </w:r>
      <w:r>
        <w:rPr>
          <w:w w:val="105"/>
          <w:sz w:val="19"/>
        </w:rPr>
        <w:t>expanded the Architecture Library through</w:t>
      </w:r>
      <w:r>
        <w:rPr>
          <w:spacing w:val="-12"/>
          <w:w w:val="105"/>
          <w:sz w:val="19"/>
        </w:rPr>
        <w:t> </w:t>
      </w:r>
      <w:r>
        <w:rPr>
          <w:w w:val="105"/>
          <w:sz w:val="19"/>
        </w:rPr>
        <w:t>new</w:t>
      </w:r>
      <w:r>
        <w:rPr>
          <w:spacing w:val="-7"/>
          <w:w w:val="105"/>
          <w:sz w:val="19"/>
        </w:rPr>
        <w:t> </w:t>
      </w:r>
      <w:r>
        <w:rPr>
          <w:w w:val="105"/>
          <w:sz w:val="19"/>
        </w:rPr>
        <w:t>acquisitions.</w:t>
      </w:r>
      <w:r>
        <w:rPr>
          <w:spacing w:val="78"/>
          <w:w w:val="105"/>
          <w:sz w:val="19"/>
        </w:rPr>
        <w:t> </w:t>
      </w:r>
      <w:r>
        <w:rPr>
          <w:w w:val="105"/>
          <w:sz w:val="19"/>
        </w:rPr>
        <w:t>The</w:t>
      </w:r>
      <w:r>
        <w:rPr>
          <w:spacing w:val="-5"/>
          <w:w w:val="105"/>
          <w:sz w:val="19"/>
        </w:rPr>
        <w:t> </w:t>
      </w:r>
      <w:r>
        <w:rPr>
          <w:w w:val="105"/>
          <w:sz w:val="19"/>
        </w:rPr>
        <w:t>department has</w:t>
      </w:r>
      <w:r>
        <w:rPr>
          <w:spacing w:val="-12"/>
          <w:w w:val="105"/>
          <w:sz w:val="19"/>
        </w:rPr>
        <w:t> </w:t>
      </w:r>
      <w:r>
        <w:rPr>
          <w:w w:val="105"/>
          <w:sz w:val="19"/>
        </w:rPr>
        <w:t>been</w:t>
      </w:r>
      <w:r>
        <w:rPr>
          <w:spacing w:val="-10"/>
          <w:w w:val="105"/>
          <w:sz w:val="19"/>
        </w:rPr>
        <w:t> </w:t>
      </w:r>
      <w:r>
        <w:rPr>
          <w:w w:val="105"/>
          <w:sz w:val="19"/>
        </w:rPr>
        <w:t>able</w:t>
      </w:r>
      <w:r>
        <w:rPr>
          <w:spacing w:val="-11"/>
          <w:w w:val="105"/>
          <w:sz w:val="19"/>
        </w:rPr>
        <w:t> </w:t>
      </w:r>
      <w:r>
        <w:rPr>
          <w:w w:val="105"/>
          <w:sz w:val="19"/>
        </w:rPr>
        <w:t>to</w:t>
      </w:r>
      <w:r>
        <w:rPr>
          <w:spacing w:val="-6"/>
          <w:w w:val="105"/>
          <w:sz w:val="19"/>
        </w:rPr>
        <w:t> </w:t>
      </w:r>
      <w:r>
        <w:rPr>
          <w:w w:val="105"/>
          <w:sz w:val="19"/>
        </w:rPr>
        <w:t>creatively deal with the university</w:t>
      </w:r>
      <w:r>
        <w:rPr>
          <w:spacing w:val="36"/>
          <w:w w:val="105"/>
          <w:sz w:val="19"/>
        </w:rPr>
        <w:t> </w:t>
      </w:r>
      <w:r>
        <w:rPr>
          <w:w w:val="105"/>
          <w:sz w:val="19"/>
        </w:rPr>
        <w:t>travel freeze by integrating travel and</w:t>
      </w:r>
      <w:r>
        <w:rPr>
          <w:spacing w:val="-1"/>
          <w:w w:val="105"/>
          <w:sz w:val="19"/>
        </w:rPr>
        <w:t> </w:t>
      </w:r>
      <w:r>
        <w:rPr>
          <w:w w:val="105"/>
          <w:sz w:val="19"/>
        </w:rPr>
        <w:t>conference participation into external grants.</w:t>
      </w:r>
    </w:p>
    <w:p>
      <w:pPr>
        <w:pStyle w:val="BodyText"/>
        <w:spacing w:before="9"/>
        <w:rPr>
          <w:sz w:val="19"/>
        </w:rPr>
      </w:pPr>
    </w:p>
    <w:p>
      <w:pPr>
        <w:spacing w:line="254" w:lineRule="auto" w:before="0"/>
        <w:ind w:left="1670" w:right="1427" w:firstLine="8"/>
        <w:jc w:val="left"/>
        <w:rPr>
          <w:sz w:val="19"/>
        </w:rPr>
      </w:pPr>
      <w:r>
        <w:rPr>
          <w:w w:val="105"/>
          <w:sz w:val="19"/>
        </w:rPr>
        <w:t>Efforts have been made</w:t>
      </w:r>
      <w:r>
        <w:rPr>
          <w:spacing w:val="-2"/>
          <w:w w:val="105"/>
          <w:sz w:val="19"/>
        </w:rPr>
        <w:t> </w:t>
      </w:r>
      <w:r>
        <w:rPr>
          <w:w w:val="105"/>
          <w:sz w:val="19"/>
        </w:rPr>
        <w:t>to address this condition.</w:t>
      </w:r>
      <w:r>
        <w:rPr>
          <w:spacing w:val="40"/>
          <w:w w:val="105"/>
          <w:sz w:val="19"/>
        </w:rPr>
        <w:t> </w:t>
      </w:r>
      <w:r>
        <w:rPr>
          <w:w w:val="105"/>
          <w:sz w:val="19"/>
        </w:rPr>
        <w:t>Curriculum changes are being</w:t>
      </w:r>
      <w:r>
        <w:rPr>
          <w:spacing w:val="-7"/>
          <w:w w:val="105"/>
          <w:sz w:val="19"/>
        </w:rPr>
        <w:t> </w:t>
      </w:r>
      <w:r>
        <w:rPr>
          <w:w w:val="105"/>
          <w:sz w:val="19"/>
        </w:rPr>
        <w:t>analyzed and</w:t>
      </w:r>
      <w:r>
        <w:rPr>
          <w:spacing w:val="-8"/>
          <w:w w:val="105"/>
          <w:sz w:val="19"/>
        </w:rPr>
        <w:t> </w:t>
      </w:r>
      <w:r>
        <w:rPr>
          <w:w w:val="105"/>
          <w:sz w:val="19"/>
        </w:rPr>
        <w:t>implemented.</w:t>
      </w:r>
      <w:r>
        <w:rPr>
          <w:spacing w:val="77"/>
          <w:w w:val="105"/>
          <w:sz w:val="19"/>
        </w:rPr>
        <w:t> </w:t>
      </w:r>
      <w:r>
        <w:rPr>
          <w:w w:val="105"/>
          <w:sz w:val="19"/>
        </w:rPr>
        <w:t>Students are</w:t>
      </w:r>
      <w:r>
        <w:rPr>
          <w:spacing w:val="-7"/>
          <w:w w:val="105"/>
          <w:sz w:val="19"/>
        </w:rPr>
        <w:t> </w:t>
      </w:r>
      <w:r>
        <w:rPr>
          <w:w w:val="105"/>
          <w:sz w:val="19"/>
        </w:rPr>
        <w:t>aware</w:t>
      </w:r>
      <w:r>
        <w:rPr>
          <w:spacing w:val="-10"/>
          <w:w w:val="105"/>
          <w:sz w:val="19"/>
        </w:rPr>
        <w:t> </w:t>
      </w:r>
      <w:r>
        <w:rPr>
          <w:w w:val="105"/>
          <w:sz w:val="19"/>
        </w:rPr>
        <w:t>of this</w:t>
      </w:r>
      <w:r>
        <w:rPr>
          <w:spacing w:val="-1"/>
          <w:w w:val="105"/>
          <w:sz w:val="19"/>
        </w:rPr>
        <w:t> </w:t>
      </w:r>
      <w:r>
        <w:rPr>
          <w:w w:val="105"/>
          <w:sz w:val="19"/>
        </w:rPr>
        <w:t>transformation and appear comfortable with the</w:t>
      </w:r>
      <w:r>
        <w:rPr>
          <w:spacing w:val="-2"/>
          <w:w w:val="105"/>
          <w:sz w:val="19"/>
        </w:rPr>
        <w:t> </w:t>
      </w:r>
      <w:r>
        <w:rPr>
          <w:w w:val="105"/>
          <w:sz w:val="19"/>
        </w:rPr>
        <w:t>higher degree offering and challenges it presents both academically</w:t>
      </w:r>
      <w:r>
        <w:rPr>
          <w:spacing w:val="35"/>
          <w:w w:val="105"/>
          <w:sz w:val="19"/>
        </w:rPr>
        <w:t> </w:t>
      </w:r>
      <w:r>
        <w:rPr>
          <w:w w:val="105"/>
          <w:sz w:val="19"/>
        </w:rPr>
        <w:t>and institutionally.</w:t>
      </w:r>
      <w:r>
        <w:rPr>
          <w:spacing w:val="40"/>
          <w:w w:val="105"/>
          <w:sz w:val="19"/>
        </w:rPr>
        <w:t> </w:t>
      </w:r>
      <w:r>
        <w:rPr>
          <w:w w:val="105"/>
          <w:sz w:val="19"/>
        </w:rPr>
        <w:t>However, the faculty still faces</w:t>
      </w:r>
      <w:r>
        <w:rPr>
          <w:spacing w:val="-11"/>
          <w:w w:val="105"/>
          <w:sz w:val="19"/>
        </w:rPr>
        <w:t> </w:t>
      </w:r>
      <w:r>
        <w:rPr>
          <w:w w:val="105"/>
          <w:sz w:val="19"/>
        </w:rPr>
        <w:t>a lack of administrative</w:t>
      </w:r>
      <w:r>
        <w:rPr>
          <w:spacing w:val="-7"/>
          <w:w w:val="105"/>
          <w:sz w:val="19"/>
        </w:rPr>
        <w:t> </w:t>
      </w:r>
      <w:r>
        <w:rPr>
          <w:w w:val="105"/>
          <w:sz w:val="19"/>
        </w:rPr>
        <w:t>support to pursue scholarly research</w:t>
      </w:r>
      <w:r>
        <w:rPr>
          <w:spacing w:val="-7"/>
          <w:w w:val="105"/>
          <w:sz w:val="19"/>
        </w:rPr>
        <w:t> </w:t>
      </w:r>
      <w:r>
        <w:rPr>
          <w:w w:val="105"/>
          <w:sz w:val="19"/>
        </w:rPr>
        <w:t>and</w:t>
      </w:r>
      <w:r>
        <w:rPr>
          <w:spacing w:val="-9"/>
          <w:w w:val="105"/>
          <w:sz w:val="19"/>
        </w:rPr>
        <w:t> </w:t>
      </w:r>
      <w:r>
        <w:rPr>
          <w:w w:val="105"/>
          <w:sz w:val="19"/>
        </w:rPr>
        <w:t>travel to</w:t>
      </w:r>
      <w:r>
        <w:rPr>
          <w:spacing w:val="-5"/>
          <w:w w:val="105"/>
          <w:sz w:val="19"/>
        </w:rPr>
        <w:t> </w:t>
      </w:r>
      <w:r>
        <w:rPr>
          <w:w w:val="105"/>
          <w:sz w:val="19"/>
        </w:rPr>
        <w:t>professional</w:t>
      </w:r>
      <w:r>
        <w:rPr>
          <w:spacing w:val="-3"/>
          <w:w w:val="105"/>
          <w:sz w:val="19"/>
        </w:rPr>
        <w:t> </w:t>
      </w:r>
      <w:r>
        <w:rPr>
          <w:w w:val="105"/>
          <w:sz w:val="19"/>
        </w:rPr>
        <w:t>conferences.</w:t>
      </w:r>
      <w:r>
        <w:rPr>
          <w:spacing w:val="40"/>
          <w:w w:val="105"/>
          <w:sz w:val="19"/>
        </w:rPr>
        <w:t> </w:t>
      </w:r>
      <w:r>
        <w:rPr>
          <w:w w:val="105"/>
          <w:sz w:val="19"/>
        </w:rPr>
        <w:t>This</w:t>
      </w:r>
      <w:r>
        <w:rPr>
          <w:spacing w:val="-8"/>
          <w:w w:val="105"/>
          <w:sz w:val="19"/>
        </w:rPr>
        <w:t> </w:t>
      </w:r>
      <w:r>
        <w:rPr>
          <w:w w:val="105"/>
          <w:sz w:val="19"/>
        </w:rPr>
        <w:t>condition</w:t>
      </w:r>
      <w:r>
        <w:rPr>
          <w:spacing w:val="-3"/>
          <w:w w:val="105"/>
          <w:sz w:val="19"/>
        </w:rPr>
        <w:t> </w:t>
      </w:r>
      <w:r>
        <w:rPr>
          <w:w w:val="105"/>
          <w:sz w:val="19"/>
        </w:rPr>
        <w:t>remains</w:t>
      </w:r>
      <w:r>
        <w:rPr>
          <w:spacing w:val="-2"/>
          <w:w w:val="105"/>
          <w:sz w:val="19"/>
        </w:rPr>
        <w:t> </w:t>
      </w:r>
      <w:r>
        <w:rPr>
          <w:w w:val="105"/>
          <w:sz w:val="19"/>
        </w:rPr>
        <w:t>a</w:t>
      </w:r>
      <w:r>
        <w:rPr>
          <w:spacing w:val="-5"/>
          <w:w w:val="105"/>
          <w:sz w:val="19"/>
        </w:rPr>
        <w:t> </w:t>
      </w:r>
      <w:r>
        <w:rPr>
          <w:w w:val="105"/>
          <w:sz w:val="19"/>
        </w:rPr>
        <w:t>cause</w:t>
      </w:r>
      <w:r>
        <w:rPr>
          <w:spacing w:val="-6"/>
          <w:w w:val="105"/>
          <w:sz w:val="19"/>
        </w:rPr>
        <w:t> </w:t>
      </w:r>
      <w:r>
        <w:rPr>
          <w:w w:val="105"/>
          <w:sz w:val="19"/>
        </w:rPr>
        <w:t>of</w:t>
      </w:r>
      <w:r>
        <w:rPr>
          <w:spacing w:val="-1"/>
          <w:w w:val="105"/>
          <w:sz w:val="19"/>
        </w:rPr>
        <w:t> </w:t>
      </w:r>
      <w:r>
        <w:rPr>
          <w:w w:val="105"/>
          <w:sz w:val="19"/>
        </w:rPr>
        <w:t>concern (see Team response to Condition 7 below).</w:t>
      </w:r>
    </w:p>
    <w:p>
      <w:pPr>
        <w:pStyle w:val="BodyText"/>
        <w:spacing w:before="11"/>
        <w:rPr>
          <w:sz w:val="18"/>
        </w:rPr>
      </w:pPr>
    </w:p>
    <w:p>
      <w:pPr>
        <w:spacing w:line="254" w:lineRule="auto" w:before="0"/>
        <w:ind w:left="960" w:right="475" w:firstLine="1"/>
        <w:jc w:val="left"/>
        <w:rPr>
          <w:i/>
          <w:sz w:val="19"/>
        </w:rPr>
      </w:pPr>
      <w:r>
        <w:rPr>
          <w:w w:val="105"/>
          <w:sz w:val="19"/>
        </w:rPr>
        <w:t>Condition 11, Professional</w:t>
      </w:r>
      <w:r>
        <w:rPr>
          <w:spacing w:val="40"/>
          <w:w w:val="105"/>
          <w:sz w:val="19"/>
        </w:rPr>
        <w:t> </w:t>
      </w:r>
      <w:r>
        <w:rPr>
          <w:w w:val="105"/>
          <w:sz w:val="19"/>
        </w:rPr>
        <w:t>Degrees</w:t>
      </w:r>
      <w:r>
        <w:rPr>
          <w:spacing w:val="40"/>
          <w:w w:val="105"/>
          <w:sz w:val="19"/>
        </w:rPr>
        <w:t> </w:t>
      </w:r>
      <w:r>
        <w:rPr>
          <w:w w:val="105"/>
          <w:sz w:val="19"/>
        </w:rPr>
        <w:t>and</w:t>
      </w:r>
      <w:r>
        <w:rPr>
          <w:spacing w:val="40"/>
          <w:w w:val="105"/>
          <w:sz w:val="19"/>
        </w:rPr>
        <w:t> </w:t>
      </w:r>
      <w:r>
        <w:rPr>
          <w:w w:val="105"/>
          <w:sz w:val="19"/>
        </w:rPr>
        <w:t>Curriculum</w:t>
      </w:r>
      <w:r>
        <w:rPr>
          <w:spacing w:val="40"/>
          <w:w w:val="105"/>
          <w:sz w:val="19"/>
        </w:rPr>
        <w:t> </w:t>
      </w:r>
      <w:r>
        <w:rPr>
          <w:w w:val="105"/>
          <w:sz w:val="19"/>
        </w:rPr>
        <w:t>(2003):</w:t>
      </w:r>
      <w:r>
        <w:rPr>
          <w:spacing w:val="80"/>
          <w:w w:val="105"/>
          <w:sz w:val="19"/>
        </w:rPr>
        <w:t> </w:t>
      </w:r>
      <w:r>
        <w:rPr>
          <w:i/>
          <w:w w:val="105"/>
          <w:sz w:val="19"/>
        </w:rPr>
        <w:t>The NAAB</w:t>
      </w:r>
      <w:r>
        <w:rPr>
          <w:i/>
          <w:spacing w:val="40"/>
          <w:w w:val="105"/>
          <w:sz w:val="19"/>
        </w:rPr>
        <w:t> </w:t>
      </w:r>
      <w:r>
        <w:rPr>
          <w:i/>
          <w:w w:val="105"/>
          <w:sz w:val="19"/>
        </w:rPr>
        <w:t>only</w:t>
      </w:r>
      <w:r>
        <w:rPr>
          <w:i/>
          <w:spacing w:val="40"/>
          <w:w w:val="105"/>
          <w:sz w:val="19"/>
        </w:rPr>
        <w:t> </w:t>
      </w:r>
      <w:r>
        <w:rPr>
          <w:i/>
          <w:w w:val="105"/>
          <w:sz w:val="19"/>
        </w:rPr>
        <w:t>accredits professional programs offering the</w:t>
      </w:r>
      <w:r>
        <w:rPr>
          <w:i/>
          <w:spacing w:val="-2"/>
          <w:w w:val="105"/>
          <w:sz w:val="19"/>
        </w:rPr>
        <w:t> </w:t>
      </w:r>
      <w:r>
        <w:rPr>
          <w:i/>
          <w:w w:val="105"/>
          <w:sz w:val="19"/>
        </w:rPr>
        <w:t>Bachelor of Architecture and the Master of Architecture degrees.</w:t>
      </w:r>
      <w:r>
        <w:rPr>
          <w:i/>
          <w:spacing w:val="40"/>
          <w:w w:val="105"/>
          <w:sz w:val="19"/>
        </w:rPr>
        <w:t> </w:t>
      </w:r>
      <w:r>
        <w:rPr>
          <w:i/>
          <w:w w:val="105"/>
          <w:sz w:val="19"/>
        </w:rPr>
        <w:t>The curricular requirements</w:t>
      </w:r>
      <w:r>
        <w:rPr>
          <w:i/>
          <w:spacing w:val="40"/>
          <w:w w:val="105"/>
          <w:sz w:val="19"/>
        </w:rPr>
        <w:t> </w:t>
      </w:r>
      <w:r>
        <w:rPr>
          <w:w w:val="105"/>
          <w:sz w:val="19"/>
        </w:rPr>
        <w:t>for</w:t>
      </w:r>
      <w:r>
        <w:rPr>
          <w:spacing w:val="-12"/>
          <w:w w:val="105"/>
          <w:sz w:val="19"/>
        </w:rPr>
        <w:t> </w:t>
      </w:r>
      <w:r>
        <w:rPr>
          <w:i/>
          <w:w w:val="105"/>
          <w:sz w:val="19"/>
        </w:rPr>
        <w:t>awarding these degrees must include three components-genera/</w:t>
      </w:r>
      <w:r>
        <w:rPr>
          <w:i/>
          <w:spacing w:val="37"/>
          <w:w w:val="105"/>
          <w:sz w:val="19"/>
        </w:rPr>
        <w:t> </w:t>
      </w:r>
      <w:r>
        <w:rPr>
          <w:i/>
          <w:w w:val="105"/>
          <w:sz w:val="19"/>
        </w:rPr>
        <w:t>studies,</w:t>
      </w:r>
      <w:r>
        <w:rPr>
          <w:i/>
          <w:spacing w:val="27"/>
          <w:w w:val="105"/>
          <w:sz w:val="19"/>
        </w:rPr>
        <w:t> </w:t>
      </w:r>
      <w:r>
        <w:rPr>
          <w:i/>
          <w:w w:val="105"/>
          <w:sz w:val="19"/>
        </w:rPr>
        <w:t>professional</w:t>
      </w:r>
      <w:r>
        <w:rPr>
          <w:i/>
          <w:spacing w:val="40"/>
          <w:w w:val="105"/>
          <w:sz w:val="19"/>
        </w:rPr>
        <w:t> </w:t>
      </w:r>
      <w:r>
        <w:rPr>
          <w:i/>
          <w:w w:val="105"/>
          <w:sz w:val="19"/>
        </w:rPr>
        <w:t>studies,</w:t>
      </w:r>
      <w:r>
        <w:rPr>
          <w:i/>
          <w:spacing w:val="30"/>
          <w:w w:val="105"/>
          <w:sz w:val="19"/>
        </w:rPr>
        <w:t> </w:t>
      </w:r>
      <w:r>
        <w:rPr>
          <w:i/>
          <w:w w:val="105"/>
          <w:sz w:val="19"/>
        </w:rPr>
        <w:t>and electives-which respond</w:t>
      </w:r>
      <w:r>
        <w:rPr>
          <w:i/>
          <w:spacing w:val="40"/>
          <w:w w:val="105"/>
          <w:sz w:val="19"/>
        </w:rPr>
        <w:t> </w:t>
      </w:r>
      <w:r>
        <w:rPr>
          <w:i/>
          <w:w w:val="105"/>
          <w:sz w:val="19"/>
        </w:rPr>
        <w:t>to</w:t>
      </w:r>
      <w:r>
        <w:rPr>
          <w:i/>
          <w:spacing w:val="24"/>
          <w:w w:val="105"/>
          <w:sz w:val="19"/>
        </w:rPr>
        <w:t> </w:t>
      </w:r>
      <w:r>
        <w:rPr>
          <w:i/>
          <w:w w:val="105"/>
          <w:sz w:val="19"/>
        </w:rPr>
        <w:t>the needs of the institution, the architecture profession, and the</w:t>
      </w:r>
      <w:r>
        <w:rPr>
          <w:i/>
          <w:spacing w:val="-7"/>
          <w:w w:val="105"/>
          <w:sz w:val="19"/>
        </w:rPr>
        <w:t> </w:t>
      </w:r>
      <w:r>
        <w:rPr>
          <w:i/>
          <w:w w:val="105"/>
          <w:sz w:val="19"/>
        </w:rPr>
        <w:t>students respectively.</w:t>
      </w:r>
    </w:p>
    <w:p>
      <w:pPr>
        <w:pStyle w:val="BodyText"/>
        <w:rPr>
          <w:i/>
          <w:sz w:val="19"/>
        </w:rPr>
      </w:pPr>
    </w:p>
    <w:p>
      <w:pPr>
        <w:spacing w:line="249" w:lineRule="auto" w:before="0"/>
        <w:ind w:left="939" w:right="311" w:hanging="3"/>
        <w:jc w:val="left"/>
        <w:rPr>
          <w:sz w:val="19"/>
        </w:rPr>
      </w:pPr>
      <w:r>
        <w:rPr>
          <w:w w:val="105"/>
          <w:sz w:val="19"/>
        </w:rPr>
        <w:t>Previous Team Report (2003): The department meets NAAB requirements for a three-part curriculum, which</w:t>
      </w:r>
      <w:r>
        <w:rPr>
          <w:spacing w:val="-7"/>
          <w:w w:val="105"/>
          <w:sz w:val="19"/>
        </w:rPr>
        <w:t> </w:t>
      </w:r>
      <w:r>
        <w:rPr>
          <w:w w:val="105"/>
          <w:sz w:val="19"/>
        </w:rPr>
        <w:t>includes general</w:t>
      </w:r>
      <w:r>
        <w:rPr>
          <w:spacing w:val="-5"/>
          <w:w w:val="105"/>
          <w:sz w:val="19"/>
        </w:rPr>
        <w:t> </w:t>
      </w:r>
      <w:r>
        <w:rPr>
          <w:w w:val="105"/>
          <w:sz w:val="19"/>
        </w:rPr>
        <w:t>studies, professional</w:t>
      </w:r>
      <w:r>
        <w:rPr>
          <w:spacing w:val="-2"/>
          <w:w w:val="105"/>
          <w:sz w:val="19"/>
        </w:rPr>
        <w:t> </w:t>
      </w:r>
      <w:r>
        <w:rPr>
          <w:w w:val="105"/>
          <w:sz w:val="19"/>
        </w:rPr>
        <w:t>studies, and</w:t>
      </w:r>
      <w:r>
        <w:rPr>
          <w:spacing w:val="-15"/>
          <w:w w:val="105"/>
          <w:sz w:val="19"/>
        </w:rPr>
        <w:t> </w:t>
      </w:r>
      <w:r>
        <w:rPr>
          <w:w w:val="105"/>
          <w:sz w:val="19"/>
        </w:rPr>
        <w:t>electives.</w:t>
      </w:r>
      <w:r>
        <w:rPr>
          <w:spacing w:val="40"/>
          <w:w w:val="105"/>
          <w:sz w:val="19"/>
        </w:rPr>
        <w:t> </w:t>
      </w:r>
      <w:r>
        <w:rPr>
          <w:w w:val="105"/>
          <w:sz w:val="19"/>
        </w:rPr>
        <w:t>The professional studies portion of the</w:t>
      </w:r>
      <w:r>
        <w:rPr>
          <w:spacing w:val="-9"/>
          <w:w w:val="105"/>
          <w:sz w:val="19"/>
        </w:rPr>
        <w:t> </w:t>
      </w:r>
      <w:r>
        <w:rPr>
          <w:w w:val="105"/>
          <w:sz w:val="19"/>
        </w:rPr>
        <w:t>curriculum is</w:t>
      </w:r>
      <w:r>
        <w:rPr>
          <w:spacing w:val="-2"/>
          <w:w w:val="105"/>
          <w:sz w:val="19"/>
        </w:rPr>
        <w:t> </w:t>
      </w:r>
      <w:r>
        <w:rPr>
          <w:w w:val="105"/>
          <w:sz w:val="19"/>
        </w:rPr>
        <w:t>64 percent.</w:t>
      </w:r>
      <w:r>
        <w:rPr>
          <w:spacing w:val="40"/>
          <w:w w:val="105"/>
          <w:sz w:val="19"/>
        </w:rPr>
        <w:t> </w:t>
      </w:r>
      <w:r>
        <w:rPr>
          <w:w w:val="105"/>
          <w:sz w:val="19"/>
        </w:rPr>
        <w:t>This exceeds the NAAB requirement that the portion be no more</w:t>
      </w:r>
      <w:r>
        <w:rPr>
          <w:spacing w:val="-2"/>
          <w:w w:val="105"/>
          <w:sz w:val="19"/>
        </w:rPr>
        <w:t> </w:t>
      </w:r>
      <w:r>
        <w:rPr>
          <w:w w:val="105"/>
          <w:sz w:val="19"/>
        </w:rPr>
        <w:t>than</w:t>
      </w:r>
      <w:r>
        <w:rPr>
          <w:spacing w:val="-5"/>
          <w:w w:val="105"/>
          <w:sz w:val="19"/>
        </w:rPr>
        <w:t> </w:t>
      </w:r>
      <w:r>
        <w:rPr>
          <w:w w:val="105"/>
          <w:sz w:val="19"/>
        </w:rPr>
        <w:t>60 percent of the students' required postsecondary</w:t>
      </w:r>
      <w:r>
        <w:rPr>
          <w:spacing w:val="37"/>
          <w:w w:val="105"/>
          <w:sz w:val="19"/>
        </w:rPr>
        <w:t> </w:t>
      </w:r>
      <w:r>
        <w:rPr>
          <w:w w:val="105"/>
          <w:sz w:val="19"/>
        </w:rPr>
        <w:t>education.</w:t>
      </w:r>
      <w:r>
        <w:rPr>
          <w:spacing w:val="40"/>
          <w:w w:val="105"/>
          <w:sz w:val="19"/>
        </w:rPr>
        <w:t> </w:t>
      </w:r>
      <w:r>
        <w:rPr>
          <w:w w:val="105"/>
          <w:sz w:val="19"/>
        </w:rPr>
        <w:t>The previous NAAB</w:t>
      </w:r>
      <w:r>
        <w:rPr>
          <w:spacing w:val="-7"/>
          <w:w w:val="105"/>
          <w:sz w:val="19"/>
        </w:rPr>
        <w:t> </w:t>
      </w:r>
      <w:r>
        <w:rPr>
          <w:i/>
          <w:w w:val="105"/>
          <w:sz w:val="21"/>
        </w:rPr>
        <w:t>VTR</w:t>
      </w:r>
      <w:r>
        <w:rPr>
          <w:i/>
          <w:spacing w:val="-5"/>
          <w:w w:val="105"/>
          <w:sz w:val="21"/>
        </w:rPr>
        <w:t> </w:t>
      </w:r>
      <w:r>
        <w:rPr>
          <w:w w:val="105"/>
          <w:sz w:val="19"/>
        </w:rPr>
        <w:t>from</w:t>
      </w:r>
      <w:r>
        <w:rPr>
          <w:spacing w:val="-2"/>
          <w:w w:val="105"/>
          <w:sz w:val="19"/>
        </w:rPr>
        <w:t> </w:t>
      </w:r>
      <w:r>
        <w:rPr>
          <w:w w:val="105"/>
          <w:sz w:val="19"/>
        </w:rPr>
        <w:t>2000</w:t>
      </w:r>
      <w:r>
        <w:rPr>
          <w:spacing w:val="-9"/>
          <w:w w:val="105"/>
          <w:sz w:val="19"/>
        </w:rPr>
        <w:t> </w:t>
      </w:r>
      <w:r>
        <w:rPr>
          <w:w w:val="105"/>
          <w:sz w:val="19"/>
        </w:rPr>
        <w:t>cited</w:t>
      </w:r>
      <w:r>
        <w:rPr>
          <w:spacing w:val="-12"/>
          <w:w w:val="105"/>
          <w:sz w:val="19"/>
        </w:rPr>
        <w:t> </w:t>
      </w:r>
      <w:r>
        <w:rPr>
          <w:w w:val="105"/>
          <w:sz w:val="19"/>
        </w:rPr>
        <w:t>the</w:t>
      </w:r>
      <w:r>
        <w:rPr>
          <w:spacing w:val="-9"/>
          <w:w w:val="105"/>
          <w:sz w:val="19"/>
        </w:rPr>
        <w:t> </w:t>
      </w:r>
      <w:r>
        <w:rPr>
          <w:w w:val="105"/>
          <w:sz w:val="19"/>
        </w:rPr>
        <w:t>same</w:t>
      </w:r>
      <w:r>
        <w:rPr>
          <w:spacing w:val="-17"/>
          <w:w w:val="105"/>
          <w:sz w:val="19"/>
        </w:rPr>
        <w:t> </w:t>
      </w:r>
      <w:r>
        <w:rPr>
          <w:w w:val="105"/>
          <w:sz w:val="19"/>
        </w:rPr>
        <w:t>curriculum structure</w:t>
      </w:r>
      <w:r>
        <w:rPr>
          <w:spacing w:val="-3"/>
          <w:w w:val="105"/>
          <w:sz w:val="19"/>
        </w:rPr>
        <w:t> </w:t>
      </w:r>
      <w:r>
        <w:rPr>
          <w:w w:val="105"/>
          <w:sz w:val="19"/>
        </w:rPr>
        <w:t>as a</w:t>
      </w:r>
      <w:r>
        <w:rPr>
          <w:spacing w:val="-6"/>
          <w:w w:val="105"/>
          <w:sz w:val="19"/>
        </w:rPr>
        <w:t> </w:t>
      </w:r>
      <w:r>
        <w:rPr>
          <w:w w:val="105"/>
          <w:sz w:val="19"/>
        </w:rPr>
        <w:t>"cause</w:t>
      </w:r>
      <w:r>
        <w:rPr>
          <w:spacing w:val="-4"/>
          <w:w w:val="105"/>
          <w:sz w:val="19"/>
        </w:rPr>
        <w:t> </w:t>
      </w:r>
      <w:r>
        <w:rPr>
          <w:w w:val="105"/>
          <w:sz w:val="19"/>
        </w:rPr>
        <w:t>of</w:t>
      </w:r>
      <w:r>
        <w:rPr>
          <w:spacing w:val="-4"/>
          <w:w w:val="105"/>
          <w:sz w:val="19"/>
        </w:rPr>
        <w:t> </w:t>
      </w:r>
      <w:r>
        <w:rPr>
          <w:w w:val="105"/>
          <w:sz w:val="19"/>
        </w:rPr>
        <w:t>concern."</w:t>
      </w:r>
      <w:r>
        <w:rPr>
          <w:spacing w:val="40"/>
          <w:w w:val="105"/>
          <w:sz w:val="19"/>
        </w:rPr>
        <w:t> </w:t>
      </w:r>
      <w:r>
        <w:rPr>
          <w:w w:val="105"/>
          <w:sz w:val="19"/>
        </w:rPr>
        <w:t>We are encouraged that the percentage of</w:t>
      </w:r>
      <w:r>
        <w:rPr>
          <w:spacing w:val="38"/>
          <w:w w:val="105"/>
          <w:sz w:val="19"/>
        </w:rPr>
        <w:t> </w:t>
      </w:r>
      <w:r>
        <w:rPr>
          <w:w w:val="105"/>
          <w:sz w:val="19"/>
        </w:rPr>
        <w:t>required professional studies proposed for the new 51/ year M. Arch. curriculum is expected to be, if only slightly, below the required 60-percent cap.</w:t>
      </w:r>
    </w:p>
    <w:p>
      <w:pPr>
        <w:pStyle w:val="BodyText"/>
      </w:pPr>
    </w:p>
    <w:p>
      <w:pPr>
        <w:pStyle w:val="BodyText"/>
      </w:pPr>
    </w:p>
    <w:p>
      <w:pPr>
        <w:pStyle w:val="BodyText"/>
        <w:spacing w:before="11"/>
        <w:rPr>
          <w:sz w:val="18"/>
        </w:rPr>
      </w:pPr>
      <w:r>
        <w:rPr/>
        <w:pict>
          <v:shape style="position:absolute;margin-left:65.524673pt;margin-top:12.102595pt;width:454.85pt;height:.1pt;mso-position-horizontal-relative:page;mso-position-vertical-relative:paragraph;z-index:-15706112;mso-wrap-distance-left:0;mso-wrap-distance-right:0" id="docshape621" coordorigin="1310,242" coordsize="9097,0" path="m1310,242l10407,242e" filled="false" stroked="true" strokeweight=".481434pt" strokecolor="#000000">
            <v:path arrowok="t"/>
            <v:stroke dashstyle="solid"/>
            <w10:wrap type="topAndBottom"/>
          </v:shape>
        </w:pict>
      </w:r>
    </w:p>
    <w:p>
      <w:pPr>
        <w:spacing w:before="0"/>
        <w:ind w:left="242" w:right="0" w:firstLine="0"/>
        <w:jc w:val="left"/>
        <w:rPr>
          <w:sz w:val="19"/>
        </w:rPr>
      </w:pPr>
      <w:r>
        <w:rPr>
          <w:w w:val="107"/>
          <w:sz w:val="19"/>
        </w:rPr>
        <w:t>2</w:t>
      </w:r>
    </w:p>
    <w:p>
      <w:pPr>
        <w:spacing w:after="0"/>
        <w:jc w:val="left"/>
        <w:rPr>
          <w:sz w:val="19"/>
        </w:rPr>
        <w:sectPr>
          <w:headerReference w:type="default" r:id="rId363"/>
          <w:footerReference w:type="default" r:id="rId364"/>
          <w:pgSz w:w="12180" w:h="15820"/>
          <w:pgMar w:header="598" w:footer="0" w:top="1260" w:bottom="280" w:left="1120" w:right="1180"/>
        </w:sectPr>
      </w:pPr>
    </w:p>
    <w:p>
      <w:pPr>
        <w:pStyle w:val="BodyText"/>
        <w:rPr>
          <w:sz w:val="19"/>
        </w:rPr>
      </w:pPr>
    </w:p>
    <w:p>
      <w:pPr>
        <w:pStyle w:val="BodyText"/>
        <w:spacing w:line="256" w:lineRule="auto" w:before="94"/>
        <w:ind w:left="905" w:right="424" w:hanging="2"/>
      </w:pPr>
      <w:r>
        <w:rPr/>
        <w:t>Students expressed a desire for additional elective courses within</w:t>
      </w:r>
      <w:r>
        <w:rPr>
          <w:spacing w:val="-1"/>
        </w:rPr>
        <w:t> </w:t>
      </w:r>
      <w:r>
        <w:rPr/>
        <w:t>the department</w:t>
      </w:r>
      <w:r>
        <w:rPr>
          <w:spacing w:val="80"/>
        </w:rPr>
        <w:t> </w:t>
      </w:r>
      <w:r>
        <w:rPr/>
        <w:t>Such electives might be</w:t>
      </w:r>
      <w:r>
        <w:rPr>
          <w:spacing w:val="-17"/>
        </w:rPr>
        <w:t> </w:t>
      </w:r>
      <w:r>
        <w:rPr/>
        <w:t>attractive to</w:t>
      </w:r>
      <w:r>
        <w:rPr>
          <w:spacing w:val="-5"/>
        </w:rPr>
        <w:t> </w:t>
      </w:r>
      <w:r>
        <w:rPr/>
        <w:t>students in</w:t>
      </w:r>
      <w:r>
        <w:rPr>
          <w:spacing w:val="-15"/>
        </w:rPr>
        <w:t> </w:t>
      </w:r>
      <w:r>
        <w:rPr/>
        <w:t>other departments</w:t>
      </w:r>
      <w:r>
        <w:rPr>
          <w:spacing w:val="20"/>
        </w:rPr>
        <w:t> </w:t>
      </w:r>
      <w:r>
        <w:rPr/>
        <w:t>as</w:t>
      </w:r>
      <w:r>
        <w:rPr>
          <w:spacing w:val="-10"/>
        </w:rPr>
        <w:t> </w:t>
      </w:r>
      <w:r>
        <w:rPr/>
        <w:t>well,</w:t>
      </w:r>
      <w:r>
        <w:rPr>
          <w:spacing w:val="-9"/>
        </w:rPr>
        <w:t> </w:t>
      </w:r>
      <w:r>
        <w:rPr/>
        <w:t>increasing exposure to</w:t>
      </w:r>
      <w:r>
        <w:rPr>
          <w:spacing w:val="-13"/>
        </w:rPr>
        <w:t> </w:t>
      </w:r>
      <w:r>
        <w:rPr/>
        <w:t>the </w:t>
      </w:r>
      <w:r>
        <w:rPr>
          <w:spacing w:val="-2"/>
        </w:rPr>
        <w:t>department</w:t>
      </w:r>
    </w:p>
    <w:p>
      <w:pPr>
        <w:pStyle w:val="BodyText"/>
        <w:spacing w:before="186"/>
        <w:ind w:left="1630" w:right="1485" w:hanging="1"/>
      </w:pPr>
      <w:r>
        <w:rPr/>
        <w:t>2009 Visiting Team Assessment: This condition is now met, following NAAB's curriculum requirement for 45 credits of General Education.</w:t>
      </w:r>
    </w:p>
    <w:p>
      <w:pPr>
        <w:pStyle w:val="BodyText"/>
        <w:spacing w:before="8"/>
      </w:pPr>
    </w:p>
    <w:p>
      <w:pPr>
        <w:spacing w:line="235" w:lineRule="auto" w:before="0"/>
        <w:ind w:left="913" w:right="424" w:hanging="1"/>
        <w:jc w:val="left"/>
        <w:rPr>
          <w:i/>
          <w:sz w:val="21"/>
        </w:rPr>
      </w:pPr>
      <w:r>
        <w:rPr>
          <w:sz w:val="20"/>
        </w:rPr>
        <w:t>Criteria 12.9,</w:t>
      </w:r>
      <w:r>
        <w:rPr>
          <w:spacing w:val="-17"/>
          <w:sz w:val="20"/>
        </w:rPr>
        <w:t> </w:t>
      </w:r>
      <w:r>
        <w:rPr>
          <w:sz w:val="20"/>
        </w:rPr>
        <w:t>Use of Precedents (2003): Ability to</w:t>
      </w:r>
      <w:r>
        <w:rPr>
          <w:spacing w:val="-9"/>
          <w:sz w:val="20"/>
        </w:rPr>
        <w:t> </w:t>
      </w:r>
      <w:r>
        <w:rPr>
          <w:i/>
          <w:sz w:val="21"/>
        </w:rPr>
        <w:t>provide </w:t>
      </w:r>
      <w:r>
        <w:rPr>
          <w:sz w:val="20"/>
        </w:rPr>
        <w:t>a</w:t>
      </w:r>
      <w:r>
        <w:rPr>
          <w:spacing w:val="-3"/>
          <w:sz w:val="20"/>
        </w:rPr>
        <w:t> </w:t>
      </w:r>
      <w:r>
        <w:rPr>
          <w:i/>
          <w:sz w:val="21"/>
        </w:rPr>
        <w:t>coherent rationale for </w:t>
      </w:r>
      <w:r>
        <w:rPr>
          <w:sz w:val="20"/>
        </w:rPr>
        <w:t>the </w:t>
      </w:r>
      <w:r>
        <w:rPr>
          <w:i/>
          <w:w w:val="95"/>
          <w:sz w:val="21"/>
        </w:rPr>
        <w:t>programmatic</w:t>
      </w:r>
      <w:r>
        <w:rPr>
          <w:i/>
          <w:sz w:val="21"/>
        </w:rPr>
        <w:t> </w:t>
      </w:r>
      <w:r>
        <w:rPr>
          <w:i/>
          <w:w w:val="95"/>
          <w:sz w:val="21"/>
        </w:rPr>
        <w:t>and</w:t>
      </w:r>
      <w:r>
        <w:rPr>
          <w:i/>
          <w:spacing w:val="-12"/>
          <w:w w:val="95"/>
          <w:sz w:val="21"/>
        </w:rPr>
        <w:t> </w:t>
      </w:r>
      <w:r>
        <w:rPr>
          <w:i/>
          <w:w w:val="95"/>
          <w:sz w:val="21"/>
        </w:rPr>
        <w:t>formal precedents employed in</w:t>
      </w:r>
      <w:r>
        <w:rPr>
          <w:i/>
          <w:spacing w:val="-3"/>
          <w:w w:val="95"/>
          <w:sz w:val="21"/>
        </w:rPr>
        <w:t> </w:t>
      </w:r>
      <w:r>
        <w:rPr>
          <w:i/>
          <w:w w:val="95"/>
          <w:sz w:val="21"/>
        </w:rPr>
        <w:t>the</w:t>
      </w:r>
      <w:r>
        <w:rPr>
          <w:i/>
          <w:spacing w:val="-10"/>
          <w:w w:val="95"/>
          <w:sz w:val="21"/>
        </w:rPr>
        <w:t> </w:t>
      </w:r>
      <w:r>
        <w:rPr>
          <w:i/>
          <w:w w:val="95"/>
          <w:sz w:val="21"/>
        </w:rPr>
        <w:t>conceptualization</w:t>
      </w:r>
      <w:r>
        <w:rPr>
          <w:i/>
          <w:spacing w:val="-18"/>
          <w:w w:val="95"/>
          <w:sz w:val="21"/>
        </w:rPr>
        <w:t> </w:t>
      </w:r>
      <w:r>
        <w:rPr>
          <w:i/>
          <w:w w:val="95"/>
          <w:sz w:val="21"/>
        </w:rPr>
        <w:t>and</w:t>
      </w:r>
      <w:r>
        <w:rPr>
          <w:i/>
          <w:spacing w:val="-4"/>
          <w:w w:val="95"/>
          <w:sz w:val="21"/>
        </w:rPr>
        <w:t> </w:t>
      </w:r>
      <w:r>
        <w:rPr>
          <w:i/>
          <w:w w:val="95"/>
          <w:sz w:val="21"/>
        </w:rPr>
        <w:t>development of </w:t>
      </w:r>
      <w:r>
        <w:rPr>
          <w:i/>
          <w:sz w:val="21"/>
        </w:rPr>
        <w:t>architecture and</w:t>
      </w:r>
      <w:r>
        <w:rPr>
          <w:i/>
          <w:spacing w:val="-18"/>
          <w:sz w:val="21"/>
        </w:rPr>
        <w:t> </w:t>
      </w:r>
      <w:r>
        <w:rPr>
          <w:i/>
          <w:sz w:val="21"/>
        </w:rPr>
        <w:t>urban</w:t>
      </w:r>
      <w:r>
        <w:rPr>
          <w:i/>
          <w:spacing w:val="-15"/>
          <w:sz w:val="21"/>
        </w:rPr>
        <w:t> </w:t>
      </w:r>
      <w:r>
        <w:rPr>
          <w:i/>
          <w:sz w:val="21"/>
        </w:rPr>
        <w:t>design</w:t>
      </w:r>
      <w:r>
        <w:rPr>
          <w:i/>
          <w:spacing w:val="-5"/>
          <w:sz w:val="21"/>
        </w:rPr>
        <w:t> </w:t>
      </w:r>
      <w:r>
        <w:rPr>
          <w:i/>
          <w:sz w:val="21"/>
        </w:rPr>
        <w:t>projects</w:t>
      </w:r>
    </w:p>
    <w:p>
      <w:pPr>
        <w:pStyle w:val="BodyText"/>
        <w:spacing w:before="11"/>
        <w:rPr>
          <w:i/>
          <w:sz w:val="19"/>
        </w:rPr>
      </w:pPr>
    </w:p>
    <w:p>
      <w:pPr>
        <w:pStyle w:val="BodyText"/>
        <w:ind w:left="909" w:right="475" w:hanging="3"/>
      </w:pPr>
      <w:r>
        <w:rPr/>
        <w:t>Previous Team Report (2003): There was limited evidence in the Team Room of students' interest</w:t>
      </w:r>
      <w:r>
        <w:rPr>
          <w:spacing w:val="-6"/>
        </w:rPr>
        <w:t> </w:t>
      </w:r>
      <w:r>
        <w:rPr/>
        <w:t>and</w:t>
      </w:r>
      <w:r>
        <w:rPr>
          <w:spacing w:val="-7"/>
        </w:rPr>
        <w:t> </w:t>
      </w:r>
      <w:r>
        <w:rPr/>
        <w:t>abilities </w:t>
      </w:r>
      <w:r>
        <w:rPr>
          <w:sz w:val="21"/>
        </w:rPr>
        <w:t>to</w:t>
      </w:r>
      <w:r>
        <w:rPr>
          <w:spacing w:val="-10"/>
          <w:sz w:val="21"/>
        </w:rPr>
        <w:t> </w:t>
      </w:r>
      <w:r>
        <w:rPr/>
        <w:t>use</w:t>
      </w:r>
      <w:r>
        <w:rPr>
          <w:spacing w:val="-9"/>
        </w:rPr>
        <w:t> </w:t>
      </w:r>
      <w:r>
        <w:rPr/>
        <w:t>architectural precedent studies in</w:t>
      </w:r>
      <w:r>
        <w:rPr>
          <w:spacing w:val="-15"/>
        </w:rPr>
        <w:t> </w:t>
      </w:r>
      <w:r>
        <w:rPr/>
        <w:t>their</w:t>
      </w:r>
      <w:r>
        <w:rPr>
          <w:spacing w:val="-5"/>
        </w:rPr>
        <w:t> </w:t>
      </w:r>
      <w:r>
        <w:rPr/>
        <w:t>design</w:t>
      </w:r>
      <w:r>
        <w:rPr>
          <w:spacing w:val="-4"/>
        </w:rPr>
        <w:t> </w:t>
      </w:r>
      <w:r>
        <w:rPr/>
        <w:t>work.</w:t>
      </w:r>
      <w:r>
        <w:rPr>
          <w:spacing w:val="-1"/>
        </w:rPr>
        <w:t> </w:t>
      </w:r>
      <w:r>
        <w:rPr/>
        <w:t>This</w:t>
      </w:r>
      <w:r>
        <w:rPr>
          <w:spacing w:val="-4"/>
        </w:rPr>
        <w:t> </w:t>
      </w:r>
      <w:r>
        <w:rPr/>
        <w:t>deficiency was particularly noticeable in thesis documents.</w:t>
      </w:r>
    </w:p>
    <w:p>
      <w:pPr>
        <w:pStyle w:val="BodyText"/>
        <w:spacing w:before="4"/>
        <w:rPr>
          <w:sz w:val="19"/>
        </w:rPr>
      </w:pPr>
    </w:p>
    <w:p>
      <w:pPr>
        <w:pStyle w:val="BodyText"/>
        <w:spacing w:line="491" w:lineRule="auto"/>
        <w:ind w:left="918" w:right="1895" w:firstLine="721"/>
      </w:pPr>
      <w:r>
        <w:rPr>
          <w:w w:val="105"/>
        </w:rPr>
        <w:t>2009</w:t>
      </w:r>
      <w:r>
        <w:rPr>
          <w:spacing w:val="-15"/>
          <w:w w:val="105"/>
        </w:rPr>
        <w:t> </w:t>
      </w:r>
      <w:r>
        <w:rPr>
          <w:w w:val="105"/>
        </w:rPr>
        <w:t>Visiting</w:t>
      </w:r>
      <w:r>
        <w:rPr>
          <w:spacing w:val="-15"/>
          <w:w w:val="105"/>
        </w:rPr>
        <w:t> </w:t>
      </w:r>
      <w:r>
        <w:rPr>
          <w:w w:val="105"/>
        </w:rPr>
        <w:t>Team</w:t>
      </w:r>
      <w:r>
        <w:rPr>
          <w:spacing w:val="-12"/>
          <w:w w:val="105"/>
        </w:rPr>
        <w:t> </w:t>
      </w:r>
      <w:r>
        <w:rPr>
          <w:w w:val="105"/>
        </w:rPr>
        <w:t>Assessment:</w:t>
      </w:r>
      <w:r>
        <w:rPr>
          <w:spacing w:val="-12"/>
          <w:w w:val="105"/>
        </w:rPr>
        <w:t> </w:t>
      </w:r>
      <w:r>
        <w:rPr>
          <w:w w:val="105"/>
        </w:rPr>
        <w:t>This</w:t>
      </w:r>
      <w:r>
        <w:rPr>
          <w:spacing w:val="-15"/>
          <w:w w:val="105"/>
        </w:rPr>
        <w:t> </w:t>
      </w:r>
      <w:r>
        <w:rPr>
          <w:w w:val="105"/>
        </w:rPr>
        <w:t>criterion</w:t>
      </w:r>
      <w:r>
        <w:rPr>
          <w:spacing w:val="-13"/>
          <w:w w:val="105"/>
        </w:rPr>
        <w:t> </w:t>
      </w:r>
      <w:r>
        <w:rPr>
          <w:w w:val="105"/>
        </w:rPr>
        <w:t>has</w:t>
      </w:r>
      <w:r>
        <w:rPr>
          <w:spacing w:val="-15"/>
          <w:w w:val="105"/>
        </w:rPr>
        <w:t> </w:t>
      </w:r>
      <w:r>
        <w:rPr>
          <w:w w:val="105"/>
        </w:rPr>
        <w:t>been</w:t>
      </w:r>
      <w:r>
        <w:rPr>
          <w:spacing w:val="-15"/>
          <w:w w:val="105"/>
        </w:rPr>
        <w:t> </w:t>
      </w:r>
      <w:r>
        <w:rPr>
          <w:w w:val="105"/>
        </w:rPr>
        <w:t>met. [Causes of</w:t>
      </w:r>
      <w:r>
        <w:rPr>
          <w:spacing w:val="40"/>
          <w:w w:val="105"/>
        </w:rPr>
        <w:t> </w:t>
      </w:r>
      <w:r>
        <w:rPr>
          <w:w w:val="105"/>
        </w:rPr>
        <w:t>Concern taken from VTR dated April 2,</w:t>
      </w:r>
      <w:r>
        <w:rPr>
          <w:spacing w:val="-11"/>
          <w:w w:val="105"/>
        </w:rPr>
        <w:t> </w:t>
      </w:r>
      <w:r>
        <w:rPr>
          <w:w w:val="105"/>
        </w:rPr>
        <w:t>2003]:</w:t>
      </w:r>
    </w:p>
    <w:p>
      <w:pPr>
        <w:pStyle w:val="BodyText"/>
        <w:tabs>
          <w:tab w:pos="1638" w:val="left" w:leader="none"/>
        </w:tabs>
        <w:spacing w:before="1"/>
        <w:ind w:left="924"/>
      </w:pPr>
      <w:r>
        <w:rPr>
          <w:spacing w:val="-10"/>
        </w:rPr>
        <w:t>5</w:t>
      </w:r>
      <w:r>
        <w:rPr/>
        <w:tab/>
        <w:t>Human</w:t>
      </w:r>
      <w:r>
        <w:rPr>
          <w:spacing w:val="-13"/>
        </w:rPr>
        <w:t> </w:t>
      </w:r>
      <w:r>
        <w:rPr>
          <w:spacing w:val="-2"/>
        </w:rPr>
        <w:t>Resources</w:t>
      </w:r>
    </w:p>
    <w:p>
      <w:pPr>
        <w:pStyle w:val="BodyText"/>
        <w:spacing w:before="6"/>
        <w:rPr>
          <w:sz w:val="18"/>
        </w:rPr>
      </w:pPr>
    </w:p>
    <w:p>
      <w:pPr>
        <w:pStyle w:val="BodyText"/>
        <w:spacing w:line="252" w:lineRule="auto"/>
        <w:ind w:left="1638" w:right="295" w:firstLine="2"/>
      </w:pPr>
      <w:r>
        <w:rPr/>
        <w:t>The</w:t>
      </w:r>
      <w:r>
        <w:rPr>
          <w:spacing w:val="-11"/>
        </w:rPr>
        <w:t> </w:t>
      </w:r>
      <w:r>
        <w:rPr/>
        <w:t>department exhibits</w:t>
      </w:r>
      <w:r>
        <w:rPr>
          <w:spacing w:val="-8"/>
        </w:rPr>
        <w:t> </w:t>
      </w:r>
      <w:r>
        <w:rPr/>
        <w:t>careful</w:t>
      </w:r>
      <w:r>
        <w:rPr>
          <w:spacing w:val="-7"/>
        </w:rPr>
        <w:t> </w:t>
      </w:r>
      <w:r>
        <w:rPr/>
        <w:t>and strategic management of</w:t>
      </w:r>
      <w:r>
        <w:rPr>
          <w:spacing w:val="-17"/>
        </w:rPr>
        <w:t> </w:t>
      </w:r>
      <w:r>
        <w:rPr/>
        <w:t>its</w:t>
      </w:r>
      <w:r>
        <w:rPr>
          <w:spacing w:val="-2"/>
        </w:rPr>
        <w:t> </w:t>
      </w:r>
      <w:r>
        <w:rPr/>
        <w:t>human resources, but</w:t>
      </w:r>
      <w:r>
        <w:rPr>
          <w:spacing w:val="-5"/>
        </w:rPr>
        <w:t> </w:t>
      </w:r>
      <w:r>
        <w:rPr/>
        <w:t>is quickly approaching its limit.</w:t>
      </w:r>
    </w:p>
    <w:p>
      <w:pPr>
        <w:pStyle w:val="BodyText"/>
        <w:spacing w:before="3"/>
        <w:rPr>
          <w:sz w:val="18"/>
        </w:rPr>
      </w:pPr>
    </w:p>
    <w:p>
      <w:pPr>
        <w:pStyle w:val="BodyText"/>
        <w:ind w:left="1639"/>
      </w:pPr>
      <w:r>
        <w:rPr>
          <w:w w:val="105"/>
        </w:rPr>
        <w:t>2009</w:t>
      </w:r>
      <w:r>
        <w:rPr>
          <w:spacing w:val="-15"/>
          <w:w w:val="105"/>
        </w:rPr>
        <w:t> </w:t>
      </w:r>
      <w:r>
        <w:rPr>
          <w:w w:val="105"/>
        </w:rPr>
        <w:t>Visiting</w:t>
      </w:r>
      <w:r>
        <w:rPr>
          <w:spacing w:val="-15"/>
          <w:w w:val="105"/>
        </w:rPr>
        <w:t> </w:t>
      </w:r>
      <w:r>
        <w:rPr>
          <w:w w:val="105"/>
        </w:rPr>
        <w:t>Team</w:t>
      </w:r>
      <w:r>
        <w:rPr>
          <w:spacing w:val="-14"/>
          <w:w w:val="105"/>
        </w:rPr>
        <w:t> </w:t>
      </w:r>
      <w:r>
        <w:rPr>
          <w:w w:val="105"/>
        </w:rPr>
        <w:t>Assessment:</w:t>
      </w:r>
      <w:r>
        <w:rPr>
          <w:spacing w:val="-11"/>
          <w:w w:val="105"/>
        </w:rPr>
        <w:t> </w:t>
      </w:r>
      <w:r>
        <w:rPr>
          <w:w w:val="105"/>
        </w:rPr>
        <w:t>See</w:t>
      </w:r>
      <w:r>
        <w:rPr>
          <w:spacing w:val="-15"/>
          <w:w w:val="105"/>
        </w:rPr>
        <w:t> </w:t>
      </w:r>
      <w:r>
        <w:rPr>
          <w:w w:val="105"/>
        </w:rPr>
        <w:t>conditions</w:t>
      </w:r>
      <w:r>
        <w:rPr>
          <w:spacing w:val="-10"/>
          <w:w w:val="105"/>
        </w:rPr>
        <w:t> </w:t>
      </w:r>
      <w:r>
        <w:rPr>
          <w:w w:val="105"/>
        </w:rPr>
        <w:t>not</w:t>
      </w:r>
      <w:r>
        <w:rPr>
          <w:spacing w:val="-14"/>
          <w:w w:val="105"/>
        </w:rPr>
        <w:t> </w:t>
      </w:r>
      <w:r>
        <w:rPr>
          <w:w w:val="105"/>
        </w:rPr>
        <w:t>met</w:t>
      </w:r>
      <w:r>
        <w:rPr>
          <w:spacing w:val="-22"/>
          <w:w w:val="105"/>
        </w:rPr>
        <w:t> </w:t>
      </w:r>
      <w:r>
        <w:rPr>
          <w:w w:val="105"/>
        </w:rPr>
        <w:t>in</w:t>
      </w:r>
      <w:r>
        <w:rPr>
          <w:spacing w:val="-18"/>
          <w:w w:val="105"/>
        </w:rPr>
        <w:t> </w:t>
      </w:r>
      <w:r>
        <w:rPr>
          <w:w w:val="105"/>
        </w:rPr>
        <w:t>this</w:t>
      </w:r>
      <w:r>
        <w:rPr>
          <w:spacing w:val="-15"/>
          <w:w w:val="105"/>
        </w:rPr>
        <w:t> </w:t>
      </w:r>
      <w:r>
        <w:rPr>
          <w:w w:val="105"/>
        </w:rPr>
        <w:t>Team's</w:t>
      </w:r>
      <w:r>
        <w:rPr>
          <w:spacing w:val="-15"/>
          <w:w w:val="105"/>
        </w:rPr>
        <w:t> </w:t>
      </w:r>
      <w:r>
        <w:rPr>
          <w:spacing w:val="-2"/>
          <w:w w:val="105"/>
        </w:rPr>
        <w:t>Report.</w:t>
      </w:r>
    </w:p>
    <w:p>
      <w:pPr>
        <w:pStyle w:val="BodyText"/>
        <w:rPr>
          <w:sz w:val="21"/>
        </w:rPr>
      </w:pPr>
    </w:p>
    <w:p>
      <w:pPr>
        <w:pStyle w:val="BodyText"/>
        <w:tabs>
          <w:tab w:pos="1639" w:val="left" w:leader="none"/>
        </w:tabs>
        <w:spacing w:before="1"/>
        <w:ind w:left="923"/>
      </w:pPr>
      <w:r>
        <w:rPr>
          <w:spacing w:val="-10"/>
        </w:rPr>
        <w:t>7</w:t>
      </w:r>
      <w:r>
        <w:rPr/>
        <w:tab/>
        <w:t>Physical</w:t>
      </w:r>
      <w:r>
        <w:rPr>
          <w:spacing w:val="-10"/>
        </w:rPr>
        <w:t> </w:t>
      </w:r>
      <w:r>
        <w:rPr>
          <w:spacing w:val="-2"/>
        </w:rPr>
        <w:t>Resources</w:t>
      </w:r>
    </w:p>
    <w:p>
      <w:pPr>
        <w:pStyle w:val="BodyText"/>
        <w:spacing w:before="5"/>
        <w:rPr>
          <w:sz w:val="18"/>
        </w:rPr>
      </w:pPr>
    </w:p>
    <w:p>
      <w:pPr>
        <w:pStyle w:val="BodyText"/>
        <w:spacing w:before="1"/>
        <w:ind w:left="1637" w:right="373" w:firstLine="3"/>
      </w:pPr>
      <w:r>
        <w:rPr/>
        <w:t>The</w:t>
      </w:r>
      <w:r>
        <w:rPr>
          <w:spacing w:val="-3"/>
        </w:rPr>
        <w:t> </w:t>
      </w:r>
      <w:r>
        <w:rPr/>
        <w:t>department</w:t>
      </w:r>
      <w:r>
        <w:rPr>
          <w:spacing w:val="24"/>
        </w:rPr>
        <w:t> </w:t>
      </w:r>
      <w:r>
        <w:rPr/>
        <w:t>does</w:t>
      </w:r>
      <w:r>
        <w:rPr>
          <w:spacing w:val="-8"/>
        </w:rPr>
        <w:t> </w:t>
      </w:r>
      <w:r>
        <w:rPr/>
        <w:t>not</w:t>
      </w:r>
      <w:r>
        <w:rPr>
          <w:spacing w:val="-6"/>
        </w:rPr>
        <w:t> </w:t>
      </w:r>
      <w:r>
        <w:rPr/>
        <w:t>provide dedicated workstations for</w:t>
      </w:r>
      <w:r>
        <w:rPr>
          <w:spacing w:val="-3"/>
        </w:rPr>
        <w:t> </w:t>
      </w:r>
      <w:r>
        <w:rPr/>
        <w:t>all</w:t>
      </w:r>
      <w:r>
        <w:rPr>
          <w:spacing w:val="-12"/>
        </w:rPr>
        <w:t> </w:t>
      </w:r>
      <w:r>
        <w:rPr/>
        <w:t>students</w:t>
      </w:r>
      <w:r>
        <w:rPr>
          <w:spacing w:val="-2"/>
        </w:rPr>
        <w:t> </w:t>
      </w:r>
      <w:r>
        <w:rPr/>
        <w:t>in</w:t>
      </w:r>
      <w:r>
        <w:rPr>
          <w:spacing w:val="-12"/>
        </w:rPr>
        <w:t> </w:t>
      </w:r>
      <w:r>
        <w:rPr/>
        <w:t>the</w:t>
      </w:r>
      <w:r>
        <w:rPr>
          <w:spacing w:val="-10"/>
        </w:rPr>
        <w:t> </w:t>
      </w:r>
      <w:r>
        <w:rPr/>
        <w:t>first year of the professional program. Workstations</w:t>
      </w:r>
      <w:r>
        <w:rPr>
          <w:spacing w:val="40"/>
        </w:rPr>
        <w:t> </w:t>
      </w:r>
      <w:r>
        <w:rPr/>
        <w:t>are often old and worn out. Studios are crowded. Networking of studios has not been completed.</w:t>
      </w:r>
    </w:p>
    <w:p>
      <w:pPr>
        <w:pStyle w:val="BodyText"/>
        <w:spacing w:before="6"/>
        <w:rPr>
          <w:sz w:val="19"/>
        </w:rPr>
      </w:pPr>
    </w:p>
    <w:p>
      <w:pPr>
        <w:pStyle w:val="BodyText"/>
        <w:ind w:left="1649"/>
      </w:pPr>
      <w:r>
        <w:rPr>
          <w:w w:val="105"/>
        </w:rPr>
        <w:t>2009</w:t>
      </w:r>
      <w:r>
        <w:rPr>
          <w:spacing w:val="-15"/>
          <w:w w:val="105"/>
        </w:rPr>
        <w:t> </w:t>
      </w:r>
      <w:r>
        <w:rPr>
          <w:w w:val="105"/>
        </w:rPr>
        <w:t>Visiting</w:t>
      </w:r>
      <w:r>
        <w:rPr>
          <w:spacing w:val="-16"/>
          <w:w w:val="105"/>
        </w:rPr>
        <w:t> </w:t>
      </w:r>
      <w:r>
        <w:rPr>
          <w:w w:val="105"/>
        </w:rPr>
        <w:t>Team</w:t>
      </w:r>
      <w:r>
        <w:rPr>
          <w:spacing w:val="-14"/>
          <w:w w:val="105"/>
        </w:rPr>
        <w:t> </w:t>
      </w:r>
      <w:r>
        <w:rPr>
          <w:w w:val="105"/>
        </w:rPr>
        <w:t>Assessment:</w:t>
      </w:r>
      <w:r>
        <w:rPr>
          <w:spacing w:val="-11"/>
          <w:w w:val="105"/>
        </w:rPr>
        <w:t> </w:t>
      </w:r>
      <w:r>
        <w:rPr>
          <w:w w:val="105"/>
        </w:rPr>
        <w:t>See</w:t>
      </w:r>
      <w:r>
        <w:rPr>
          <w:spacing w:val="-14"/>
          <w:w w:val="105"/>
        </w:rPr>
        <w:t> </w:t>
      </w:r>
      <w:r>
        <w:rPr>
          <w:w w:val="105"/>
        </w:rPr>
        <w:t>conditions</w:t>
      </w:r>
      <w:r>
        <w:rPr>
          <w:spacing w:val="-3"/>
          <w:w w:val="105"/>
        </w:rPr>
        <w:t> </w:t>
      </w:r>
      <w:r>
        <w:rPr>
          <w:w w:val="105"/>
        </w:rPr>
        <w:t>not</w:t>
      </w:r>
      <w:r>
        <w:rPr>
          <w:spacing w:val="-15"/>
          <w:w w:val="105"/>
        </w:rPr>
        <w:t> </w:t>
      </w:r>
      <w:r>
        <w:rPr>
          <w:w w:val="105"/>
        </w:rPr>
        <w:t>met</w:t>
      </w:r>
      <w:r>
        <w:rPr>
          <w:spacing w:val="-14"/>
          <w:w w:val="105"/>
        </w:rPr>
        <w:t> </w:t>
      </w:r>
      <w:r>
        <w:rPr>
          <w:w w:val="105"/>
        </w:rPr>
        <w:t>in</w:t>
      </w:r>
      <w:r>
        <w:rPr>
          <w:spacing w:val="-28"/>
          <w:w w:val="105"/>
        </w:rPr>
        <w:t> </w:t>
      </w:r>
      <w:r>
        <w:rPr>
          <w:w w:val="105"/>
        </w:rPr>
        <w:t>this</w:t>
      </w:r>
      <w:r>
        <w:rPr>
          <w:spacing w:val="-19"/>
          <w:w w:val="105"/>
        </w:rPr>
        <w:t> </w:t>
      </w:r>
      <w:r>
        <w:rPr>
          <w:w w:val="105"/>
        </w:rPr>
        <w:t>Team's</w:t>
      </w:r>
      <w:r>
        <w:rPr>
          <w:spacing w:val="-14"/>
          <w:w w:val="105"/>
        </w:rPr>
        <w:t> </w:t>
      </w:r>
      <w:r>
        <w:rPr>
          <w:spacing w:val="-2"/>
          <w:w w:val="105"/>
        </w:rPr>
        <w:t>Report.</w:t>
      </w:r>
    </w:p>
    <w:p>
      <w:pPr>
        <w:pStyle w:val="BodyText"/>
        <w:rPr>
          <w:sz w:val="21"/>
        </w:rPr>
      </w:pPr>
    </w:p>
    <w:p>
      <w:pPr>
        <w:pStyle w:val="BodyText"/>
        <w:tabs>
          <w:tab w:pos="1648" w:val="left" w:leader="none"/>
        </w:tabs>
        <w:ind w:left="933"/>
      </w:pPr>
      <w:r>
        <w:rPr>
          <w:spacing w:val="-10"/>
        </w:rPr>
        <w:t>9</w:t>
      </w:r>
      <w:r>
        <w:rPr/>
        <w:tab/>
      </w:r>
      <w:r>
        <w:rPr>
          <w:spacing w:val="-2"/>
        </w:rPr>
        <w:t>Financial Resources</w:t>
      </w:r>
    </w:p>
    <w:p>
      <w:pPr>
        <w:pStyle w:val="BodyText"/>
        <w:spacing w:before="4"/>
        <w:rPr>
          <w:sz w:val="19"/>
        </w:rPr>
      </w:pPr>
    </w:p>
    <w:p>
      <w:pPr>
        <w:pStyle w:val="BodyText"/>
        <w:ind w:left="1651" w:right="373" w:hanging="1"/>
      </w:pPr>
      <w:r>
        <w:rPr/>
        <w:t>The</w:t>
      </w:r>
      <w:r>
        <w:rPr>
          <w:spacing w:val="-4"/>
        </w:rPr>
        <w:t> </w:t>
      </w:r>
      <w:r>
        <w:rPr/>
        <w:t>operating budget of the</w:t>
      </w:r>
      <w:r>
        <w:rPr>
          <w:spacing w:val="-8"/>
        </w:rPr>
        <w:t> </w:t>
      </w:r>
      <w:r>
        <w:rPr/>
        <w:t>department has actually</w:t>
      </w:r>
      <w:r>
        <w:rPr>
          <w:spacing w:val="35"/>
        </w:rPr>
        <w:t> </w:t>
      </w:r>
      <w:r>
        <w:rPr/>
        <w:t>decreased since the</w:t>
      </w:r>
      <w:r>
        <w:rPr>
          <w:spacing w:val="-6"/>
        </w:rPr>
        <w:t> </w:t>
      </w:r>
      <w:r>
        <w:rPr/>
        <w:t>last visit.</w:t>
      </w:r>
      <w:r>
        <w:rPr>
          <w:spacing w:val="-4"/>
        </w:rPr>
        <w:t> </w:t>
      </w:r>
      <w:r>
        <w:rPr/>
        <w:t>The very limited</w:t>
      </w:r>
      <w:r>
        <w:rPr>
          <w:spacing w:val="-2"/>
        </w:rPr>
        <w:t> </w:t>
      </w:r>
      <w:r>
        <w:rPr/>
        <w:t>university-allocated</w:t>
      </w:r>
      <w:r>
        <w:rPr>
          <w:spacing w:val="-7"/>
        </w:rPr>
        <w:t> </w:t>
      </w:r>
      <w:r>
        <w:rPr/>
        <w:t>budget hampers the</w:t>
      </w:r>
      <w:r>
        <w:rPr>
          <w:spacing w:val="-8"/>
        </w:rPr>
        <w:t> </w:t>
      </w:r>
      <w:r>
        <w:rPr/>
        <w:t>efforts</w:t>
      </w:r>
      <w:r>
        <w:rPr>
          <w:spacing w:val="-9"/>
        </w:rPr>
        <w:t> </w:t>
      </w:r>
      <w:r>
        <w:rPr/>
        <w:t>of</w:t>
      </w:r>
      <w:r>
        <w:rPr>
          <w:spacing w:val="-8"/>
        </w:rPr>
        <w:t> </w:t>
      </w:r>
      <w:r>
        <w:rPr/>
        <w:t>the</w:t>
      </w:r>
      <w:r>
        <w:rPr>
          <w:spacing w:val="-17"/>
        </w:rPr>
        <w:t> </w:t>
      </w:r>
      <w:r>
        <w:rPr/>
        <w:t>department to</w:t>
      </w:r>
      <w:r>
        <w:rPr>
          <w:spacing w:val="-9"/>
        </w:rPr>
        <w:t> </w:t>
      </w:r>
      <w:r>
        <w:rPr/>
        <w:t>achieve its strategic plan. Complete "comparative data on</w:t>
      </w:r>
      <w:r>
        <w:rPr>
          <w:spacing w:val="-6"/>
        </w:rPr>
        <w:t> </w:t>
      </w:r>
      <w:r>
        <w:rPr/>
        <w:t>annual expenditures per student relative to other professional programs" was not made available to</w:t>
      </w:r>
      <w:r>
        <w:rPr>
          <w:spacing w:val="-7"/>
        </w:rPr>
        <w:t> </w:t>
      </w:r>
      <w:r>
        <w:rPr/>
        <w:t>the</w:t>
      </w:r>
      <w:r>
        <w:rPr>
          <w:spacing w:val="-3"/>
        </w:rPr>
        <w:t> </w:t>
      </w:r>
      <w:r>
        <w:rPr/>
        <w:t>team.</w:t>
      </w:r>
    </w:p>
    <w:p>
      <w:pPr>
        <w:pStyle w:val="BodyText"/>
        <w:spacing w:before="6"/>
      </w:pPr>
    </w:p>
    <w:p>
      <w:pPr>
        <w:pStyle w:val="BodyText"/>
        <w:ind w:left="1659"/>
      </w:pPr>
      <w:r>
        <w:rPr>
          <w:spacing w:val="-2"/>
          <w:w w:val="105"/>
        </w:rPr>
        <w:t>2009</w:t>
      </w:r>
      <w:r>
        <w:rPr>
          <w:spacing w:val="1"/>
          <w:w w:val="105"/>
        </w:rPr>
        <w:t> </w:t>
      </w:r>
      <w:r>
        <w:rPr>
          <w:spacing w:val="-2"/>
          <w:w w:val="105"/>
        </w:rPr>
        <w:t>VlslUng</w:t>
      </w:r>
      <w:r>
        <w:rPr>
          <w:spacing w:val="-7"/>
          <w:w w:val="105"/>
        </w:rPr>
        <w:t> </w:t>
      </w:r>
      <w:r>
        <w:rPr>
          <w:spacing w:val="-2"/>
          <w:w w:val="105"/>
        </w:rPr>
        <w:t>Team</w:t>
      </w:r>
      <w:r>
        <w:rPr>
          <w:spacing w:val="-13"/>
          <w:w w:val="105"/>
        </w:rPr>
        <w:t> </w:t>
      </w:r>
      <w:r>
        <w:rPr>
          <w:spacing w:val="-2"/>
          <w:w w:val="105"/>
        </w:rPr>
        <w:t>Assessment:</w:t>
      </w:r>
      <w:r>
        <w:rPr>
          <w:spacing w:val="12"/>
          <w:w w:val="105"/>
        </w:rPr>
        <w:t> </w:t>
      </w:r>
      <w:r>
        <w:rPr>
          <w:spacing w:val="-2"/>
          <w:w w:val="105"/>
        </w:rPr>
        <w:t>See</w:t>
      </w:r>
      <w:r>
        <w:rPr>
          <w:spacing w:val="-9"/>
          <w:w w:val="105"/>
        </w:rPr>
        <w:t> </w:t>
      </w:r>
      <w:r>
        <w:rPr>
          <w:spacing w:val="-2"/>
          <w:w w:val="105"/>
        </w:rPr>
        <w:t>comment</w:t>
      </w:r>
      <w:r>
        <w:rPr>
          <w:spacing w:val="-1"/>
          <w:w w:val="105"/>
        </w:rPr>
        <w:t> </w:t>
      </w:r>
      <w:r>
        <w:rPr>
          <w:spacing w:val="-2"/>
          <w:w w:val="105"/>
        </w:rPr>
        <w:t>in</w:t>
      </w:r>
      <w:r>
        <w:rPr>
          <w:spacing w:val="-17"/>
          <w:w w:val="105"/>
        </w:rPr>
        <w:t> </w:t>
      </w:r>
      <w:r>
        <w:rPr>
          <w:spacing w:val="-2"/>
          <w:w w:val="105"/>
        </w:rPr>
        <w:t>this</w:t>
      </w:r>
      <w:r>
        <w:rPr>
          <w:spacing w:val="-18"/>
          <w:w w:val="105"/>
        </w:rPr>
        <w:t> </w:t>
      </w:r>
      <w:r>
        <w:rPr>
          <w:spacing w:val="-2"/>
          <w:w w:val="105"/>
        </w:rPr>
        <w:t>Team's</w:t>
      </w:r>
      <w:r>
        <w:rPr>
          <w:spacing w:val="-4"/>
          <w:w w:val="105"/>
        </w:rPr>
        <w:t> </w:t>
      </w:r>
      <w:r>
        <w:rPr>
          <w:spacing w:val="-2"/>
          <w:w w:val="105"/>
        </w:rPr>
        <w:t>Report.</w:t>
      </w:r>
    </w:p>
    <w:p>
      <w:pPr>
        <w:pStyle w:val="BodyText"/>
        <w:rPr>
          <w:sz w:val="21"/>
        </w:rPr>
      </w:pPr>
    </w:p>
    <w:p>
      <w:pPr>
        <w:pStyle w:val="BodyText"/>
        <w:tabs>
          <w:tab w:pos="1655" w:val="left" w:leader="none"/>
        </w:tabs>
        <w:ind w:left="939"/>
      </w:pPr>
      <w:r>
        <w:rPr>
          <w:spacing w:val="-5"/>
        </w:rPr>
        <w:t>1o</w:t>
      </w:r>
      <w:r>
        <w:rPr/>
        <w:tab/>
        <w:t>Administrative</w:t>
      </w:r>
      <w:r>
        <w:rPr>
          <w:spacing w:val="-12"/>
        </w:rPr>
        <w:t> </w:t>
      </w:r>
      <w:r>
        <w:rPr>
          <w:spacing w:val="-2"/>
        </w:rPr>
        <w:t>Structure</w:t>
      </w:r>
    </w:p>
    <w:p>
      <w:pPr>
        <w:pStyle w:val="BodyText"/>
        <w:spacing w:before="4"/>
        <w:rPr>
          <w:sz w:val="19"/>
        </w:rPr>
      </w:pPr>
    </w:p>
    <w:p>
      <w:pPr>
        <w:pStyle w:val="BodyText"/>
        <w:spacing w:line="252" w:lineRule="auto"/>
        <w:ind w:left="1661" w:hanging="1"/>
      </w:pPr>
      <w:r>
        <w:rPr/>
        <w:t>The</w:t>
      </w:r>
      <w:r>
        <w:rPr>
          <w:spacing w:val="-8"/>
        </w:rPr>
        <w:t> </w:t>
      </w:r>
      <w:r>
        <w:rPr/>
        <w:t>name of</w:t>
      </w:r>
      <w:r>
        <w:rPr>
          <w:spacing w:val="-6"/>
        </w:rPr>
        <w:t> </w:t>
      </w:r>
      <w:r>
        <w:rPr/>
        <w:t>the</w:t>
      </w:r>
      <w:r>
        <w:rPr>
          <w:spacing w:val="-11"/>
        </w:rPr>
        <w:t> </w:t>
      </w:r>
      <w:r>
        <w:rPr/>
        <w:t>host school must be</w:t>
      </w:r>
      <w:r>
        <w:rPr>
          <w:spacing w:val="-6"/>
        </w:rPr>
        <w:t> </w:t>
      </w:r>
      <w:r>
        <w:rPr/>
        <w:t>addressed, so</w:t>
      </w:r>
      <w:r>
        <w:rPr>
          <w:spacing w:val="-1"/>
        </w:rPr>
        <w:t> </w:t>
      </w:r>
      <w:r>
        <w:rPr/>
        <w:t>that</w:t>
      </w:r>
      <w:r>
        <w:rPr>
          <w:spacing w:val="-11"/>
        </w:rPr>
        <w:t> </w:t>
      </w:r>
      <w:r>
        <w:rPr/>
        <w:t>it reflects the</w:t>
      </w:r>
      <w:r>
        <w:rPr>
          <w:spacing w:val="-12"/>
        </w:rPr>
        <w:t> </w:t>
      </w:r>
      <w:r>
        <w:rPr/>
        <w:t>presence of a professional Architecture program.</w:t>
      </w:r>
    </w:p>
    <w:p>
      <w:pPr>
        <w:pStyle w:val="BodyText"/>
        <w:spacing w:before="3"/>
        <w:rPr>
          <w:sz w:val="18"/>
        </w:rPr>
      </w:pPr>
    </w:p>
    <w:p>
      <w:pPr>
        <w:pStyle w:val="BodyText"/>
        <w:spacing w:before="1"/>
        <w:ind w:left="1668"/>
      </w:pPr>
      <w:r>
        <w:rPr>
          <w:w w:val="105"/>
        </w:rPr>
        <w:t>2009</w:t>
      </w:r>
      <w:r>
        <w:rPr>
          <w:spacing w:val="-8"/>
          <w:w w:val="105"/>
        </w:rPr>
        <w:t> </w:t>
      </w:r>
      <w:r>
        <w:rPr>
          <w:w w:val="105"/>
        </w:rPr>
        <w:t>Visiting</w:t>
      </w:r>
      <w:r>
        <w:rPr>
          <w:spacing w:val="-13"/>
          <w:w w:val="105"/>
        </w:rPr>
        <w:t> </w:t>
      </w:r>
      <w:r>
        <w:rPr>
          <w:w w:val="105"/>
        </w:rPr>
        <w:t>Team</w:t>
      </w:r>
      <w:r>
        <w:rPr>
          <w:spacing w:val="-11"/>
          <w:w w:val="105"/>
        </w:rPr>
        <w:t> </w:t>
      </w:r>
      <w:r>
        <w:rPr>
          <w:w w:val="105"/>
        </w:rPr>
        <w:t>Assessment:</w:t>
      </w:r>
      <w:r>
        <w:rPr>
          <w:spacing w:val="-10"/>
          <w:w w:val="105"/>
        </w:rPr>
        <w:t> </w:t>
      </w:r>
      <w:r>
        <w:rPr>
          <w:w w:val="105"/>
        </w:rPr>
        <w:t>This</w:t>
      </w:r>
      <w:r>
        <w:rPr>
          <w:spacing w:val="-14"/>
          <w:w w:val="105"/>
        </w:rPr>
        <w:t> </w:t>
      </w:r>
      <w:r>
        <w:rPr>
          <w:w w:val="105"/>
        </w:rPr>
        <w:t>condition</w:t>
      </w:r>
      <w:r>
        <w:rPr>
          <w:spacing w:val="-8"/>
          <w:w w:val="105"/>
        </w:rPr>
        <w:t> </w:t>
      </w:r>
      <w:r>
        <w:rPr>
          <w:w w:val="105"/>
        </w:rPr>
        <w:t>has</w:t>
      </w:r>
      <w:r>
        <w:rPr>
          <w:spacing w:val="-13"/>
          <w:w w:val="105"/>
        </w:rPr>
        <w:t> </w:t>
      </w:r>
      <w:r>
        <w:rPr>
          <w:w w:val="105"/>
        </w:rPr>
        <w:t>been</w:t>
      </w:r>
      <w:r>
        <w:rPr>
          <w:spacing w:val="-14"/>
          <w:w w:val="105"/>
        </w:rPr>
        <w:t> </w:t>
      </w:r>
      <w:r>
        <w:rPr>
          <w:spacing w:val="-4"/>
          <w:w w:val="105"/>
        </w:rPr>
        <w:t>met.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pPr>
      <w:r>
        <w:rPr/>
        <w:pict>
          <v:shape style="position:absolute;margin-left:65.524673pt;margin-top:13.190866pt;width:456.3pt;height:.1pt;mso-position-horizontal-relative:page;mso-position-vertical-relative:paragraph;z-index:-15705600;mso-wrap-distance-left:0;mso-wrap-distance-right:0" id="docshape623" coordorigin="1310,264" coordsize="9126,0" path="m1310,264l10436,264e" filled="false" stroked="true" strokeweight=".481434pt" strokecolor="#000000">
            <v:path arrowok="t"/>
            <v:stroke dashstyle="solid"/>
            <w10:wrap type="topAndBottom"/>
          </v:shape>
        </w:pict>
      </w:r>
    </w:p>
    <w:p>
      <w:pPr>
        <w:pStyle w:val="BodyText"/>
        <w:ind w:right="237"/>
        <w:jc w:val="right"/>
      </w:pPr>
      <w:r>
        <w:rPr>
          <w:w w:val="100"/>
        </w:rPr>
        <w:t>3</w:t>
      </w:r>
    </w:p>
    <w:p>
      <w:pPr>
        <w:spacing w:after="0"/>
        <w:jc w:val="right"/>
        <w:sectPr>
          <w:headerReference w:type="default" r:id="rId365"/>
          <w:footerReference w:type="default" r:id="rId366"/>
          <w:pgSz w:w="12180" w:h="15820"/>
          <w:pgMar w:header="637" w:footer="0" w:top="1340" w:bottom="280" w:left="1120" w:right="1180"/>
        </w:sectPr>
      </w:pPr>
    </w:p>
    <w:p>
      <w:pPr>
        <w:pStyle w:val="BodyText"/>
        <w:spacing w:before="2"/>
        <w:rPr>
          <w:sz w:val="18"/>
        </w:rPr>
      </w:pPr>
    </w:p>
    <w:p>
      <w:pPr>
        <w:pStyle w:val="BodyText"/>
        <w:tabs>
          <w:tab w:pos="1658" w:val="left" w:leader="none"/>
        </w:tabs>
        <w:spacing w:before="94"/>
        <w:ind w:left="949"/>
      </w:pPr>
      <w:r>
        <w:rPr>
          <w:spacing w:val="-4"/>
        </w:rPr>
        <w:t>12.3</w:t>
      </w:r>
      <w:r>
        <w:rPr/>
        <w:tab/>
        <w:t>Research</w:t>
      </w:r>
      <w:r>
        <w:rPr>
          <w:spacing w:val="-10"/>
        </w:rPr>
        <w:t> </w:t>
      </w:r>
      <w:r>
        <w:rPr>
          <w:spacing w:val="-2"/>
        </w:rPr>
        <w:t>Skills</w:t>
      </w:r>
    </w:p>
    <w:p>
      <w:pPr>
        <w:pStyle w:val="BodyText"/>
        <w:spacing w:before="4"/>
        <w:rPr>
          <w:sz w:val="19"/>
        </w:rPr>
      </w:pPr>
    </w:p>
    <w:p>
      <w:pPr>
        <w:pStyle w:val="BodyText"/>
        <w:ind w:left="1661" w:right="311" w:firstLine="3"/>
      </w:pPr>
      <w:r>
        <w:rPr/>
        <w:t>Applied</w:t>
      </w:r>
      <w:r>
        <w:rPr>
          <w:spacing w:val="-15"/>
        </w:rPr>
        <w:t> </w:t>
      </w:r>
      <w:r>
        <w:rPr/>
        <w:t>research within</w:t>
      </w:r>
      <w:r>
        <w:rPr>
          <w:spacing w:val="-3"/>
        </w:rPr>
        <w:t> </w:t>
      </w:r>
      <w:r>
        <w:rPr/>
        <w:t>the</w:t>
      </w:r>
      <w:r>
        <w:rPr>
          <w:spacing w:val="-9"/>
        </w:rPr>
        <w:t> </w:t>
      </w:r>
      <w:r>
        <w:rPr/>
        <w:t>design</w:t>
      </w:r>
      <w:r>
        <w:rPr>
          <w:spacing w:val="-3"/>
        </w:rPr>
        <w:t> </w:t>
      </w:r>
      <w:r>
        <w:rPr/>
        <w:t>process</w:t>
      </w:r>
      <w:r>
        <w:rPr>
          <w:spacing w:val="-1"/>
        </w:rPr>
        <w:t> </w:t>
      </w:r>
      <w:r>
        <w:rPr/>
        <w:t>and</w:t>
      </w:r>
      <w:r>
        <w:rPr>
          <w:spacing w:val="-20"/>
        </w:rPr>
        <w:t> </w:t>
      </w:r>
      <w:r>
        <w:rPr/>
        <w:t>final</w:t>
      </w:r>
      <w:r>
        <w:rPr>
          <w:spacing w:val="-19"/>
        </w:rPr>
        <w:t> </w:t>
      </w:r>
      <w:r>
        <w:rPr/>
        <w:t>thesis documents</w:t>
      </w:r>
      <w:r>
        <w:rPr>
          <w:spacing w:val="-3"/>
        </w:rPr>
        <w:t> </w:t>
      </w:r>
      <w:r>
        <w:rPr/>
        <w:t>remains light.</w:t>
      </w:r>
      <w:r>
        <w:rPr>
          <w:spacing w:val="-1"/>
        </w:rPr>
        <w:t> </w:t>
      </w:r>
      <w:r>
        <w:rPr/>
        <w:t>This was an</w:t>
      </w:r>
      <w:r>
        <w:rPr>
          <w:spacing w:val="-3"/>
        </w:rPr>
        <w:t> </w:t>
      </w:r>
      <w:r>
        <w:rPr/>
        <w:t>area</w:t>
      </w:r>
      <w:r>
        <w:rPr>
          <w:spacing w:val="-3"/>
        </w:rPr>
        <w:t> </w:t>
      </w:r>
      <w:r>
        <w:rPr/>
        <w:t>of concern cited by the</w:t>
      </w:r>
      <w:r>
        <w:rPr>
          <w:spacing w:val="-4"/>
        </w:rPr>
        <w:t> </w:t>
      </w:r>
      <w:r>
        <w:rPr/>
        <w:t>2000 NAAB </w:t>
      </w:r>
      <w:r>
        <w:rPr>
          <w:i/>
        </w:rPr>
        <w:t>Visiting Team Report(VTR),</w:t>
      </w:r>
      <w:r>
        <w:rPr>
          <w:i/>
          <w:spacing w:val="34"/>
        </w:rPr>
        <w:t> </w:t>
      </w:r>
      <w:r>
        <w:rPr/>
        <w:t>but there has been limited evidence of marked</w:t>
      </w:r>
      <w:r>
        <w:rPr>
          <w:spacing w:val="-1"/>
        </w:rPr>
        <w:t> </w:t>
      </w:r>
      <w:r>
        <w:rPr/>
        <w:t>improvement since that time.</w:t>
      </w:r>
    </w:p>
    <w:p>
      <w:pPr>
        <w:pStyle w:val="BodyText"/>
        <w:spacing w:before="5"/>
      </w:pPr>
    </w:p>
    <w:p>
      <w:pPr>
        <w:pStyle w:val="BodyText"/>
        <w:ind w:left="2372"/>
      </w:pPr>
      <w:r>
        <w:rPr>
          <w:spacing w:val="-2"/>
          <w:w w:val="105"/>
        </w:rPr>
        <w:t>2009</w:t>
      </w:r>
      <w:r>
        <w:rPr>
          <w:spacing w:val="-13"/>
          <w:w w:val="105"/>
        </w:rPr>
        <w:t> </w:t>
      </w:r>
      <w:r>
        <w:rPr>
          <w:spacing w:val="-2"/>
          <w:w w:val="105"/>
        </w:rPr>
        <w:t>Visiting</w:t>
      </w:r>
      <w:r>
        <w:rPr>
          <w:spacing w:val="-9"/>
          <w:w w:val="105"/>
        </w:rPr>
        <w:t> </w:t>
      </w:r>
      <w:r>
        <w:rPr>
          <w:spacing w:val="-2"/>
          <w:w w:val="105"/>
        </w:rPr>
        <w:t>Team Assessment:</w:t>
      </w:r>
      <w:r>
        <w:rPr>
          <w:spacing w:val="9"/>
          <w:w w:val="105"/>
        </w:rPr>
        <w:t> </w:t>
      </w:r>
      <w:r>
        <w:rPr>
          <w:spacing w:val="-2"/>
          <w:w w:val="105"/>
        </w:rPr>
        <w:t>This</w:t>
      </w:r>
      <w:r>
        <w:rPr>
          <w:spacing w:val="-6"/>
          <w:w w:val="105"/>
        </w:rPr>
        <w:t> </w:t>
      </w:r>
      <w:r>
        <w:rPr>
          <w:spacing w:val="-2"/>
          <w:w w:val="105"/>
        </w:rPr>
        <w:t>criterion</w:t>
      </w:r>
      <w:r>
        <w:rPr>
          <w:spacing w:val="-1"/>
          <w:w w:val="105"/>
        </w:rPr>
        <w:t> </w:t>
      </w:r>
      <w:r>
        <w:rPr>
          <w:spacing w:val="-2"/>
          <w:w w:val="105"/>
        </w:rPr>
        <w:t>(3.13.4)</w:t>
      </w:r>
      <w:r>
        <w:rPr>
          <w:spacing w:val="3"/>
          <w:w w:val="105"/>
        </w:rPr>
        <w:t> </w:t>
      </w:r>
      <w:r>
        <w:rPr>
          <w:spacing w:val="-2"/>
          <w:w w:val="105"/>
        </w:rPr>
        <w:t>is</w:t>
      </w:r>
      <w:r>
        <w:rPr>
          <w:spacing w:val="-7"/>
          <w:w w:val="105"/>
        </w:rPr>
        <w:t> </w:t>
      </w:r>
      <w:r>
        <w:rPr>
          <w:spacing w:val="-2"/>
          <w:w w:val="105"/>
        </w:rPr>
        <w:t>well</w:t>
      </w:r>
      <w:r>
        <w:rPr>
          <w:spacing w:val="-22"/>
          <w:w w:val="105"/>
        </w:rPr>
        <w:t> </w:t>
      </w:r>
      <w:r>
        <w:rPr>
          <w:spacing w:val="-4"/>
          <w:w w:val="105"/>
        </w:rPr>
        <w:t>met.</w:t>
      </w:r>
    </w:p>
    <w:p>
      <w:pPr>
        <w:pStyle w:val="BodyText"/>
        <w:rPr>
          <w:sz w:val="22"/>
        </w:rPr>
      </w:pPr>
    </w:p>
    <w:p>
      <w:pPr>
        <w:pStyle w:val="BodyText"/>
        <w:spacing w:before="1"/>
        <w:rPr>
          <w:sz w:val="19"/>
        </w:rPr>
      </w:pPr>
    </w:p>
    <w:p>
      <w:pPr>
        <w:pStyle w:val="ListParagraph"/>
        <w:numPr>
          <w:ilvl w:val="1"/>
          <w:numId w:val="75"/>
        </w:numPr>
        <w:tabs>
          <w:tab w:pos="951" w:val="left" w:leader="none"/>
          <w:tab w:pos="952" w:val="left" w:leader="none"/>
        </w:tabs>
        <w:spacing w:line="240" w:lineRule="auto" w:before="0" w:after="0"/>
        <w:ind w:left="951" w:right="0" w:hanging="722"/>
        <w:jc w:val="left"/>
        <w:rPr>
          <w:sz w:val="20"/>
        </w:rPr>
      </w:pPr>
      <w:r>
        <w:rPr>
          <w:w w:val="105"/>
          <w:sz w:val="20"/>
        </w:rPr>
        <w:t>Conditions/Criteria</w:t>
      </w:r>
      <w:r>
        <w:rPr>
          <w:spacing w:val="-5"/>
          <w:w w:val="105"/>
          <w:sz w:val="20"/>
        </w:rPr>
        <w:t> </w:t>
      </w:r>
      <w:r>
        <w:rPr>
          <w:w w:val="105"/>
          <w:sz w:val="20"/>
        </w:rPr>
        <w:t>Well</w:t>
      </w:r>
      <w:r>
        <w:rPr>
          <w:spacing w:val="21"/>
          <w:w w:val="105"/>
          <w:sz w:val="20"/>
        </w:rPr>
        <w:t> </w:t>
      </w:r>
      <w:r>
        <w:rPr>
          <w:spacing w:val="-5"/>
          <w:w w:val="105"/>
          <w:sz w:val="20"/>
        </w:rPr>
        <w:t>Met</w:t>
      </w:r>
    </w:p>
    <w:p>
      <w:pPr>
        <w:pStyle w:val="BodyText"/>
        <w:spacing w:before="2"/>
      </w:pPr>
    </w:p>
    <w:p>
      <w:pPr>
        <w:pStyle w:val="BodyText"/>
        <w:tabs>
          <w:tab w:pos="1713" w:val="left" w:leader="none"/>
        </w:tabs>
        <w:ind w:left="939"/>
      </w:pPr>
      <w:r>
        <w:rPr>
          <w:spacing w:val="-5"/>
        </w:rPr>
        <w:t>1.2</w:t>
      </w:r>
      <w:r>
        <w:rPr/>
        <w:tab/>
        <w:t>Architectural</w:t>
      </w:r>
      <w:r>
        <w:rPr>
          <w:spacing w:val="-14"/>
        </w:rPr>
        <w:t> </w:t>
      </w:r>
      <w:r>
        <w:rPr/>
        <w:t>Education</w:t>
      </w:r>
      <w:r>
        <w:rPr>
          <w:spacing w:val="-7"/>
        </w:rPr>
        <w:t> </w:t>
      </w:r>
      <w:r>
        <w:rPr/>
        <w:t>and</w:t>
      </w:r>
      <w:r>
        <w:rPr>
          <w:spacing w:val="-14"/>
        </w:rPr>
        <w:t> </w:t>
      </w:r>
      <w:r>
        <w:rPr>
          <w:spacing w:val="-2"/>
        </w:rPr>
        <w:t>Students</w:t>
      </w:r>
    </w:p>
    <w:p>
      <w:pPr>
        <w:pStyle w:val="ListParagraph"/>
        <w:numPr>
          <w:ilvl w:val="0"/>
          <w:numId w:val="76"/>
        </w:numPr>
        <w:tabs>
          <w:tab w:pos="1655" w:val="left" w:leader="none"/>
          <w:tab w:pos="1656" w:val="left" w:leader="none"/>
        </w:tabs>
        <w:spacing w:line="240" w:lineRule="auto" w:before="11" w:after="0"/>
        <w:ind w:left="1655" w:right="0" w:hanging="707"/>
        <w:jc w:val="left"/>
        <w:rPr>
          <w:sz w:val="20"/>
        </w:rPr>
      </w:pPr>
      <w:r>
        <w:rPr>
          <w:spacing w:val="-2"/>
          <w:sz w:val="20"/>
        </w:rPr>
        <w:t>Social</w:t>
      </w:r>
      <w:r>
        <w:rPr>
          <w:spacing w:val="-5"/>
          <w:sz w:val="20"/>
        </w:rPr>
        <w:t> </w:t>
      </w:r>
      <w:r>
        <w:rPr>
          <w:spacing w:val="-2"/>
          <w:sz w:val="20"/>
        </w:rPr>
        <w:t>Equity</w:t>
      </w:r>
    </w:p>
    <w:p>
      <w:pPr>
        <w:pStyle w:val="BodyText"/>
        <w:tabs>
          <w:tab w:pos="1655" w:val="left" w:leader="none"/>
        </w:tabs>
        <w:spacing w:before="1"/>
        <w:ind w:left="939"/>
      </w:pPr>
      <w:r>
        <w:rPr>
          <w:spacing w:val="-4"/>
        </w:rPr>
        <w:t>13.1</w:t>
      </w:r>
      <w:r>
        <w:rPr/>
        <w:tab/>
        <w:t>Speaking</w:t>
      </w:r>
      <w:r>
        <w:rPr>
          <w:spacing w:val="-4"/>
        </w:rPr>
        <w:t> </w:t>
      </w:r>
      <w:r>
        <w:rPr/>
        <w:t>and</w:t>
      </w:r>
      <w:r>
        <w:rPr>
          <w:spacing w:val="-21"/>
        </w:rPr>
        <w:t> </w:t>
      </w:r>
      <w:r>
        <w:rPr/>
        <w:t>Writing</w:t>
      </w:r>
      <w:r>
        <w:rPr>
          <w:spacing w:val="2"/>
        </w:rPr>
        <w:t> </w:t>
      </w:r>
      <w:r>
        <w:rPr>
          <w:spacing w:val="-2"/>
        </w:rPr>
        <w:t>Skills</w:t>
      </w:r>
    </w:p>
    <w:p>
      <w:pPr>
        <w:pStyle w:val="BodyText"/>
        <w:tabs>
          <w:tab w:pos="1648" w:val="left" w:leader="none"/>
        </w:tabs>
        <w:spacing w:before="1"/>
        <w:ind w:left="939"/>
      </w:pPr>
      <w:r>
        <w:rPr>
          <w:spacing w:val="-4"/>
        </w:rPr>
        <w:t>13.4</w:t>
      </w:r>
      <w:r>
        <w:rPr/>
        <w:tab/>
        <w:t>Research</w:t>
      </w:r>
      <w:r>
        <w:rPr>
          <w:spacing w:val="-12"/>
        </w:rPr>
        <w:t> </w:t>
      </w:r>
      <w:r>
        <w:rPr>
          <w:spacing w:val="-2"/>
        </w:rPr>
        <w:t>Skills</w:t>
      </w:r>
    </w:p>
    <w:p>
      <w:pPr>
        <w:pStyle w:val="BodyText"/>
        <w:rPr>
          <w:sz w:val="22"/>
        </w:rPr>
      </w:pPr>
    </w:p>
    <w:p>
      <w:pPr>
        <w:pStyle w:val="BodyText"/>
        <w:spacing w:before="3"/>
        <w:rPr>
          <w:sz w:val="18"/>
        </w:rPr>
      </w:pPr>
    </w:p>
    <w:p>
      <w:pPr>
        <w:pStyle w:val="ListParagraph"/>
        <w:numPr>
          <w:ilvl w:val="1"/>
          <w:numId w:val="75"/>
        </w:numPr>
        <w:tabs>
          <w:tab w:pos="941" w:val="left" w:leader="none"/>
          <w:tab w:pos="942" w:val="left" w:leader="none"/>
        </w:tabs>
        <w:spacing w:line="240" w:lineRule="auto" w:before="1" w:after="0"/>
        <w:ind w:left="941" w:right="0" w:hanging="717"/>
        <w:jc w:val="left"/>
        <w:rPr>
          <w:b/>
          <w:sz w:val="20"/>
        </w:rPr>
      </w:pPr>
      <w:r>
        <w:rPr>
          <w:w w:val="105"/>
          <w:sz w:val="20"/>
        </w:rPr>
        <w:t>Conditions/Criteria</w:t>
      </w:r>
      <w:r>
        <w:rPr>
          <w:spacing w:val="-4"/>
          <w:w w:val="105"/>
          <w:sz w:val="20"/>
        </w:rPr>
        <w:t> </w:t>
      </w:r>
      <w:r>
        <w:rPr>
          <w:b/>
          <w:w w:val="105"/>
          <w:sz w:val="20"/>
        </w:rPr>
        <w:t>Not</w:t>
      </w:r>
      <w:r>
        <w:rPr>
          <w:b/>
          <w:spacing w:val="13"/>
          <w:w w:val="105"/>
          <w:sz w:val="20"/>
        </w:rPr>
        <w:t> </w:t>
      </w:r>
      <w:r>
        <w:rPr>
          <w:b/>
          <w:spacing w:val="-5"/>
          <w:w w:val="105"/>
          <w:sz w:val="20"/>
        </w:rPr>
        <w:t>Met</w:t>
      </w:r>
    </w:p>
    <w:p>
      <w:pPr>
        <w:pStyle w:val="BodyText"/>
        <w:rPr>
          <w:b/>
          <w:sz w:val="21"/>
        </w:rPr>
      </w:pPr>
    </w:p>
    <w:p>
      <w:pPr>
        <w:pStyle w:val="BodyText"/>
        <w:tabs>
          <w:tab w:pos="1648" w:val="left" w:leader="none"/>
        </w:tabs>
        <w:ind w:left="934"/>
      </w:pPr>
      <w:r>
        <w:rPr>
          <w:spacing w:val="-10"/>
        </w:rPr>
        <w:t>6</w:t>
      </w:r>
      <w:r>
        <w:rPr/>
        <w:tab/>
        <w:t>Human</w:t>
      </w:r>
      <w:r>
        <w:rPr>
          <w:spacing w:val="-4"/>
        </w:rPr>
        <w:t> </w:t>
      </w:r>
      <w:r>
        <w:rPr>
          <w:spacing w:val="-2"/>
        </w:rPr>
        <w:t>Resources</w:t>
      </w:r>
    </w:p>
    <w:p>
      <w:pPr>
        <w:pStyle w:val="ListParagraph"/>
        <w:numPr>
          <w:ilvl w:val="0"/>
          <w:numId w:val="77"/>
        </w:numPr>
        <w:tabs>
          <w:tab w:pos="1649" w:val="left" w:leader="none"/>
          <w:tab w:pos="1650" w:val="left" w:leader="none"/>
        </w:tabs>
        <w:spacing w:line="226" w:lineRule="exact" w:before="1" w:after="0"/>
        <w:ind w:left="1649" w:right="0" w:hanging="706"/>
        <w:jc w:val="left"/>
        <w:rPr>
          <w:sz w:val="20"/>
        </w:rPr>
      </w:pPr>
      <w:r>
        <w:rPr>
          <w:sz w:val="20"/>
        </w:rPr>
        <w:t>Physical</w:t>
      </w:r>
      <w:r>
        <w:rPr>
          <w:spacing w:val="-10"/>
          <w:sz w:val="20"/>
        </w:rPr>
        <w:t> </w:t>
      </w:r>
      <w:r>
        <w:rPr>
          <w:spacing w:val="-2"/>
          <w:sz w:val="20"/>
        </w:rPr>
        <w:t>Resources</w:t>
      </w:r>
    </w:p>
    <w:p>
      <w:pPr>
        <w:pStyle w:val="BodyText"/>
        <w:tabs>
          <w:tab w:pos="1650" w:val="left" w:leader="none"/>
        </w:tabs>
        <w:spacing w:line="226" w:lineRule="exact"/>
        <w:ind w:left="939"/>
      </w:pPr>
      <w:r>
        <w:rPr>
          <w:spacing w:val="-2"/>
        </w:rPr>
        <w:t>13.23</w:t>
      </w:r>
      <w:r>
        <w:rPr/>
        <w:tab/>
        <w:t>Building</w:t>
      </w:r>
      <w:r>
        <w:rPr>
          <w:spacing w:val="-10"/>
        </w:rPr>
        <w:t> </w:t>
      </w:r>
      <w:r>
        <w:rPr/>
        <w:t>Systems</w:t>
      </w:r>
      <w:r>
        <w:rPr>
          <w:spacing w:val="-11"/>
        </w:rPr>
        <w:t> </w:t>
      </w:r>
      <w:r>
        <w:rPr>
          <w:spacing w:val="-2"/>
        </w:rPr>
        <w:t>Integration</w:t>
      </w:r>
    </w:p>
    <w:p>
      <w:pPr>
        <w:pStyle w:val="BodyText"/>
        <w:tabs>
          <w:tab w:pos="1645" w:val="left" w:leader="none"/>
        </w:tabs>
        <w:spacing w:before="1"/>
        <w:ind w:left="939"/>
      </w:pPr>
      <w:r>
        <w:rPr>
          <w:spacing w:val="-2"/>
        </w:rPr>
        <w:t>13.26</w:t>
      </w:r>
      <w:r>
        <w:rPr/>
        <w:tab/>
      </w:r>
      <w:r>
        <w:rPr>
          <w:spacing w:val="-2"/>
        </w:rPr>
        <w:t>Comprehensive</w:t>
      </w:r>
      <w:r>
        <w:rPr>
          <w:spacing w:val="10"/>
        </w:rPr>
        <w:t> </w:t>
      </w:r>
      <w:r>
        <w:rPr>
          <w:spacing w:val="-2"/>
        </w:rPr>
        <w:t>Design</w:t>
      </w:r>
    </w:p>
    <w:p>
      <w:pPr>
        <w:pStyle w:val="BodyText"/>
        <w:rPr>
          <w:sz w:val="22"/>
        </w:rPr>
      </w:pPr>
    </w:p>
    <w:p>
      <w:pPr>
        <w:pStyle w:val="BodyText"/>
        <w:spacing w:before="5"/>
        <w:rPr>
          <w:sz w:val="17"/>
        </w:rPr>
      </w:pPr>
    </w:p>
    <w:p>
      <w:pPr>
        <w:pStyle w:val="ListParagraph"/>
        <w:numPr>
          <w:ilvl w:val="1"/>
          <w:numId w:val="75"/>
        </w:numPr>
        <w:tabs>
          <w:tab w:pos="941" w:val="left" w:leader="none"/>
          <w:tab w:pos="942" w:val="left" w:leader="none"/>
        </w:tabs>
        <w:spacing w:line="240" w:lineRule="auto" w:before="0" w:after="0"/>
        <w:ind w:left="941" w:right="0" w:hanging="722"/>
        <w:jc w:val="left"/>
        <w:rPr>
          <w:sz w:val="20"/>
        </w:rPr>
      </w:pPr>
      <w:r>
        <w:rPr>
          <w:w w:val="105"/>
          <w:sz w:val="20"/>
        </w:rPr>
        <w:t>Causes</w:t>
      </w:r>
      <w:r>
        <w:rPr>
          <w:spacing w:val="-15"/>
          <w:w w:val="105"/>
          <w:sz w:val="20"/>
        </w:rPr>
        <w:t> </w:t>
      </w:r>
      <w:r>
        <w:rPr>
          <w:w w:val="105"/>
          <w:sz w:val="20"/>
        </w:rPr>
        <w:t>of</w:t>
      </w:r>
      <w:r>
        <w:rPr>
          <w:spacing w:val="-7"/>
          <w:w w:val="105"/>
          <w:sz w:val="20"/>
        </w:rPr>
        <w:t> </w:t>
      </w:r>
      <w:r>
        <w:rPr>
          <w:spacing w:val="-2"/>
          <w:w w:val="105"/>
          <w:sz w:val="20"/>
        </w:rPr>
        <w:t>Concern</w:t>
      </w:r>
    </w:p>
    <w:p>
      <w:pPr>
        <w:pStyle w:val="BodyText"/>
        <w:spacing w:before="2"/>
      </w:pPr>
    </w:p>
    <w:p>
      <w:pPr>
        <w:pStyle w:val="ListParagraph"/>
        <w:numPr>
          <w:ilvl w:val="0"/>
          <w:numId w:val="77"/>
        </w:numPr>
        <w:tabs>
          <w:tab w:pos="1648" w:val="left" w:leader="none"/>
          <w:tab w:pos="1649" w:val="left" w:leader="none"/>
        </w:tabs>
        <w:spacing w:line="240" w:lineRule="auto" w:before="1" w:after="0"/>
        <w:ind w:left="1648" w:right="0" w:hanging="717"/>
        <w:jc w:val="left"/>
        <w:rPr>
          <w:sz w:val="20"/>
        </w:rPr>
      </w:pPr>
      <w:r>
        <w:rPr>
          <w:w w:val="105"/>
          <w:sz w:val="20"/>
        </w:rPr>
        <w:t>Human</w:t>
      </w:r>
      <w:r>
        <w:rPr>
          <w:spacing w:val="-17"/>
          <w:w w:val="105"/>
          <w:sz w:val="20"/>
        </w:rPr>
        <w:t> </w:t>
      </w:r>
      <w:r>
        <w:rPr>
          <w:w w:val="105"/>
          <w:sz w:val="20"/>
        </w:rPr>
        <w:t>Resource</w:t>
      </w:r>
      <w:r>
        <w:rPr>
          <w:spacing w:val="4"/>
          <w:w w:val="105"/>
          <w:sz w:val="20"/>
        </w:rPr>
        <w:t> </w:t>
      </w:r>
      <w:r>
        <w:rPr>
          <w:spacing w:val="-2"/>
          <w:w w:val="105"/>
          <w:sz w:val="20"/>
        </w:rPr>
        <w:t>Development</w:t>
      </w:r>
    </w:p>
    <w:p>
      <w:pPr>
        <w:pStyle w:val="BodyText"/>
        <w:spacing w:before="1"/>
        <w:ind w:left="1651" w:right="311" w:hanging="1"/>
      </w:pPr>
      <w:r>
        <w:rPr/>
        <w:t>The</w:t>
      </w:r>
      <w:r>
        <w:rPr>
          <w:spacing w:val="-15"/>
        </w:rPr>
        <w:t> </w:t>
      </w:r>
      <w:r>
        <w:rPr/>
        <w:t>University</w:t>
      </w:r>
      <w:r>
        <w:rPr>
          <w:spacing w:val="-9"/>
        </w:rPr>
        <w:t> </w:t>
      </w:r>
      <w:r>
        <w:rPr/>
        <w:t>has stated</w:t>
      </w:r>
      <w:r>
        <w:rPr>
          <w:spacing w:val="-18"/>
        </w:rPr>
        <w:t> </w:t>
      </w:r>
      <w:r>
        <w:rPr/>
        <w:t>policies</w:t>
      </w:r>
      <w:r>
        <w:rPr>
          <w:spacing w:val="-9"/>
        </w:rPr>
        <w:t> </w:t>
      </w:r>
      <w:r>
        <w:rPr/>
        <w:t>regarding</w:t>
      </w:r>
      <w:r>
        <w:rPr>
          <w:spacing w:val="-2"/>
        </w:rPr>
        <w:t> </w:t>
      </w:r>
      <w:r>
        <w:rPr/>
        <w:t>Human</w:t>
      </w:r>
      <w:r>
        <w:rPr>
          <w:spacing w:val="-6"/>
        </w:rPr>
        <w:t> </w:t>
      </w:r>
      <w:r>
        <w:rPr/>
        <w:t>Resource</w:t>
      </w:r>
      <w:r>
        <w:rPr>
          <w:spacing w:val="-2"/>
        </w:rPr>
        <w:t> </w:t>
      </w:r>
      <w:r>
        <w:rPr/>
        <w:t>Development.</w:t>
      </w:r>
      <w:r>
        <w:rPr>
          <w:spacing w:val="40"/>
        </w:rPr>
        <w:t> </w:t>
      </w:r>
      <w:r>
        <w:rPr/>
        <w:t>It</w:t>
      </w:r>
      <w:r>
        <w:rPr>
          <w:spacing w:val="-1"/>
        </w:rPr>
        <w:t> </w:t>
      </w:r>
      <w:r>
        <w:rPr/>
        <w:t>appears, however, funding</w:t>
      </w:r>
      <w:r>
        <w:rPr>
          <w:spacing w:val="-2"/>
        </w:rPr>
        <w:t> </w:t>
      </w:r>
      <w:r>
        <w:rPr/>
        <w:t>is</w:t>
      </w:r>
      <w:r>
        <w:rPr>
          <w:spacing w:val="-13"/>
        </w:rPr>
        <w:t> </w:t>
      </w:r>
      <w:r>
        <w:rPr/>
        <w:t>currenUy insufficient to</w:t>
      </w:r>
      <w:r>
        <w:rPr>
          <w:spacing w:val="-11"/>
        </w:rPr>
        <w:t> </w:t>
      </w:r>
      <w:r>
        <w:rPr/>
        <w:t>adequately encourage,</w:t>
      </w:r>
      <w:r>
        <w:rPr>
          <w:spacing w:val="22"/>
        </w:rPr>
        <w:t> </w:t>
      </w:r>
      <w:r>
        <w:rPr/>
        <w:t>support, and</w:t>
      </w:r>
      <w:r>
        <w:rPr>
          <w:spacing w:val="-4"/>
        </w:rPr>
        <w:t> </w:t>
      </w:r>
      <w:r>
        <w:rPr/>
        <w:t>sustain faculty</w:t>
      </w:r>
      <w:r>
        <w:rPr>
          <w:spacing w:val="-13"/>
        </w:rPr>
        <w:t> </w:t>
      </w:r>
      <w:r>
        <w:rPr/>
        <w:t>development</w:t>
      </w:r>
      <w:r>
        <w:rPr>
          <w:spacing w:val="11"/>
        </w:rPr>
        <w:t> </w:t>
      </w:r>
      <w:r>
        <w:rPr/>
        <w:t>opportunities for</w:t>
      </w:r>
      <w:r>
        <w:rPr>
          <w:spacing w:val="-11"/>
        </w:rPr>
        <w:t> </w:t>
      </w:r>
      <w:r>
        <w:rPr/>
        <w:t>personal</w:t>
      </w:r>
      <w:r>
        <w:rPr>
          <w:spacing w:val="-1"/>
        </w:rPr>
        <w:t> </w:t>
      </w:r>
      <w:r>
        <w:rPr/>
        <w:t>and</w:t>
      </w:r>
      <w:r>
        <w:rPr>
          <w:spacing w:val="-9"/>
        </w:rPr>
        <w:t> </w:t>
      </w:r>
      <w:r>
        <w:rPr/>
        <w:t>professional</w:t>
      </w:r>
      <w:r>
        <w:rPr>
          <w:spacing w:val="-7"/>
        </w:rPr>
        <w:t> </w:t>
      </w:r>
      <w:r>
        <w:rPr/>
        <w:t>growth.</w:t>
      </w:r>
      <w:r>
        <w:rPr>
          <w:spacing w:val="-6"/>
        </w:rPr>
        <w:t> </w:t>
      </w:r>
      <w:r>
        <w:rPr/>
        <w:t>The</w:t>
      </w:r>
      <w:r>
        <w:rPr>
          <w:spacing w:val="-14"/>
        </w:rPr>
        <w:t> </w:t>
      </w:r>
      <w:r>
        <w:rPr/>
        <w:t>Team</w:t>
      </w:r>
      <w:r>
        <w:rPr>
          <w:spacing w:val="-10"/>
        </w:rPr>
        <w:t> </w:t>
      </w:r>
      <w:r>
        <w:rPr/>
        <w:t>found this is a cause for concern.</w:t>
      </w:r>
    </w:p>
    <w:p>
      <w:pPr>
        <w:pStyle w:val="BodyText"/>
        <w:spacing w:before="7"/>
        <w:rPr>
          <w:sz w:val="19"/>
        </w:rPr>
      </w:pPr>
    </w:p>
    <w:p>
      <w:pPr>
        <w:pStyle w:val="BodyText"/>
        <w:tabs>
          <w:tab w:pos="1644" w:val="left" w:leader="none"/>
        </w:tabs>
        <w:ind w:left="930"/>
      </w:pPr>
      <w:r>
        <w:rPr>
          <w:spacing w:val="-4"/>
          <w:w w:val="105"/>
        </w:rPr>
        <w:t>13.3</w:t>
      </w:r>
      <w:r>
        <w:rPr/>
        <w:tab/>
      </w:r>
      <w:r>
        <w:rPr>
          <w:w w:val="105"/>
        </w:rPr>
        <w:t>Graphic</w:t>
      </w:r>
      <w:r>
        <w:rPr>
          <w:spacing w:val="9"/>
          <w:w w:val="105"/>
        </w:rPr>
        <w:t> </w:t>
      </w:r>
      <w:r>
        <w:rPr>
          <w:spacing w:val="-2"/>
          <w:w w:val="105"/>
        </w:rPr>
        <w:t>Skills</w:t>
      </w:r>
    </w:p>
    <w:p>
      <w:pPr>
        <w:pStyle w:val="BodyText"/>
        <w:spacing w:before="1"/>
        <w:ind w:left="1648" w:right="295" w:hanging="1"/>
      </w:pPr>
      <w:r>
        <w:rPr/>
        <w:t>Freehand drawing skills were inconsistent at</w:t>
      </w:r>
      <w:r>
        <w:rPr>
          <w:spacing w:val="-6"/>
        </w:rPr>
        <w:t> </w:t>
      </w:r>
      <w:r>
        <w:rPr/>
        <w:t>all year levels.</w:t>
      </w:r>
      <w:r>
        <w:rPr>
          <w:spacing w:val="40"/>
        </w:rPr>
        <w:t> </w:t>
      </w:r>
      <w:r>
        <w:rPr/>
        <w:t>With an</w:t>
      </w:r>
      <w:r>
        <w:rPr>
          <w:spacing w:val="-3"/>
        </w:rPr>
        <w:t> </w:t>
      </w:r>
      <w:r>
        <w:rPr/>
        <w:t>increasing reliance on the</w:t>
      </w:r>
      <w:r>
        <w:rPr>
          <w:spacing w:val="-5"/>
        </w:rPr>
        <w:t> </w:t>
      </w:r>
      <w:r>
        <w:rPr/>
        <w:t>computer for</w:t>
      </w:r>
      <w:r>
        <w:rPr>
          <w:spacing w:val="-4"/>
        </w:rPr>
        <w:t> </w:t>
      </w:r>
      <w:r>
        <w:rPr/>
        <w:t>graphic representation,</w:t>
      </w:r>
      <w:r>
        <w:rPr>
          <w:spacing w:val="-7"/>
        </w:rPr>
        <w:t> </w:t>
      </w:r>
      <w:r>
        <w:rPr/>
        <w:t>the</w:t>
      </w:r>
      <w:r>
        <w:rPr>
          <w:spacing w:val="-14"/>
        </w:rPr>
        <w:t> </w:t>
      </w:r>
      <w:r>
        <w:rPr/>
        <w:t>Team felt</w:t>
      </w:r>
      <w:r>
        <w:rPr>
          <w:spacing w:val="-3"/>
        </w:rPr>
        <w:t> </w:t>
      </w:r>
      <w:r>
        <w:rPr/>
        <w:t>this to</w:t>
      </w:r>
      <w:r>
        <w:rPr>
          <w:spacing w:val="-14"/>
        </w:rPr>
        <w:t> </w:t>
      </w:r>
      <w:r>
        <w:rPr/>
        <w:t>be</w:t>
      </w:r>
      <w:r>
        <w:rPr>
          <w:spacing w:val="-8"/>
        </w:rPr>
        <w:t> </w:t>
      </w:r>
      <w:r>
        <w:rPr/>
        <w:t>an</w:t>
      </w:r>
      <w:r>
        <w:rPr>
          <w:spacing w:val="-15"/>
        </w:rPr>
        <w:t> </w:t>
      </w:r>
      <w:r>
        <w:rPr/>
        <w:t>essential skill</w:t>
      </w:r>
      <w:r>
        <w:rPr>
          <w:spacing w:val="-4"/>
        </w:rPr>
        <w:t> </w:t>
      </w:r>
      <w:r>
        <w:rPr/>
        <w:t>for</w:t>
      </w:r>
      <w:r>
        <w:rPr>
          <w:spacing w:val="-1"/>
        </w:rPr>
        <w:t> </w:t>
      </w:r>
      <w:r>
        <w:rPr/>
        <w:t>a sound program.</w:t>
      </w:r>
      <w:r>
        <w:rPr>
          <w:spacing w:val="40"/>
        </w:rPr>
        <w:t> </w:t>
      </w:r>
      <w:r>
        <w:rPr/>
        <w:t>It is a cause of concern.</w:t>
      </w:r>
    </w:p>
    <w:p>
      <w:pPr>
        <w:pStyle w:val="BodyText"/>
        <w:spacing w:before="6"/>
        <w:rPr>
          <w:sz w:val="19"/>
        </w:rPr>
      </w:pPr>
    </w:p>
    <w:p>
      <w:pPr>
        <w:pStyle w:val="ListParagraph"/>
        <w:numPr>
          <w:ilvl w:val="1"/>
          <w:numId w:val="78"/>
        </w:numPr>
        <w:tabs>
          <w:tab w:pos="1645" w:val="left" w:leader="none"/>
          <w:tab w:pos="1646" w:val="left" w:leader="none"/>
        </w:tabs>
        <w:spacing w:line="240" w:lineRule="auto" w:before="1" w:after="0"/>
        <w:ind w:left="1645" w:right="0" w:hanging="716"/>
        <w:jc w:val="left"/>
        <w:rPr>
          <w:sz w:val="20"/>
        </w:rPr>
      </w:pPr>
      <w:r>
        <w:rPr>
          <w:w w:val="110"/>
          <w:sz w:val="20"/>
        </w:rPr>
        <w:t>Structural</w:t>
      </w:r>
      <w:r>
        <w:rPr>
          <w:spacing w:val="-6"/>
          <w:w w:val="110"/>
          <w:sz w:val="20"/>
        </w:rPr>
        <w:t> </w:t>
      </w:r>
      <w:r>
        <w:rPr>
          <w:spacing w:val="-2"/>
          <w:w w:val="110"/>
          <w:sz w:val="20"/>
        </w:rPr>
        <w:t>Systems</w:t>
      </w:r>
    </w:p>
    <w:p>
      <w:pPr>
        <w:pStyle w:val="BodyText"/>
        <w:spacing w:before="10"/>
        <w:ind w:left="1647" w:right="475" w:hanging="3"/>
      </w:pPr>
      <w:r>
        <w:rPr/>
        <w:t>Comprehension of basic structural theory was not evident in</w:t>
      </w:r>
      <w:r>
        <w:rPr>
          <w:spacing w:val="-3"/>
        </w:rPr>
        <w:t> </w:t>
      </w:r>
      <w:r>
        <w:rPr/>
        <w:t>the design solutions at appropriate grade</w:t>
      </w:r>
      <w:r>
        <w:rPr>
          <w:spacing w:val="-11"/>
        </w:rPr>
        <w:t> </w:t>
      </w:r>
      <w:r>
        <w:rPr/>
        <w:t>levels.</w:t>
      </w:r>
      <w:r>
        <w:rPr>
          <w:spacing w:val="40"/>
        </w:rPr>
        <w:t> </w:t>
      </w:r>
      <w:r>
        <w:rPr/>
        <w:t>Concepts such</w:t>
      </w:r>
      <w:r>
        <w:rPr>
          <w:spacing w:val="-14"/>
        </w:rPr>
        <w:t> </w:t>
      </w:r>
      <w:r>
        <w:rPr/>
        <w:t>as</w:t>
      </w:r>
      <w:r>
        <w:rPr>
          <w:spacing w:val="-10"/>
        </w:rPr>
        <w:t> </w:t>
      </w:r>
      <w:r>
        <w:rPr/>
        <w:t>load-path, bay</w:t>
      </w:r>
      <w:r>
        <w:rPr>
          <w:spacing w:val="-4"/>
        </w:rPr>
        <w:t> </w:t>
      </w:r>
      <w:r>
        <w:rPr/>
        <w:t>sizes, and</w:t>
      </w:r>
      <w:r>
        <w:rPr>
          <w:spacing w:val="-9"/>
        </w:rPr>
        <w:t> </w:t>
      </w:r>
      <w:r>
        <w:rPr/>
        <w:t>structural</w:t>
      </w:r>
      <w:r>
        <w:rPr>
          <w:spacing w:val="-11"/>
        </w:rPr>
        <w:t> </w:t>
      </w:r>
      <w:r>
        <w:rPr/>
        <w:t>depths were not consistently</w:t>
      </w:r>
      <w:r>
        <w:rPr>
          <w:spacing w:val="40"/>
        </w:rPr>
        <w:t> </w:t>
      </w:r>
      <w:r>
        <w:rPr/>
        <w:t>present in</w:t>
      </w:r>
      <w:r>
        <w:rPr>
          <w:spacing w:val="-16"/>
        </w:rPr>
        <w:t> </w:t>
      </w:r>
      <w:r>
        <w:rPr/>
        <w:t>the design work and is a</w:t>
      </w:r>
      <w:r>
        <w:rPr>
          <w:spacing w:val="-1"/>
        </w:rPr>
        <w:t> </w:t>
      </w:r>
      <w:r>
        <w:rPr/>
        <w:t>cause for concern.</w:t>
      </w:r>
    </w:p>
    <w:p>
      <w:pPr>
        <w:pStyle w:val="BodyText"/>
        <w:spacing w:before="6"/>
        <w:rPr>
          <w:sz w:val="19"/>
        </w:rPr>
      </w:pPr>
    </w:p>
    <w:p>
      <w:pPr>
        <w:pStyle w:val="ListParagraph"/>
        <w:numPr>
          <w:ilvl w:val="1"/>
          <w:numId w:val="78"/>
        </w:numPr>
        <w:tabs>
          <w:tab w:pos="1648" w:val="left" w:leader="none"/>
          <w:tab w:pos="1649" w:val="left" w:leader="none"/>
        </w:tabs>
        <w:spacing w:line="226" w:lineRule="exact" w:before="1" w:after="0"/>
        <w:ind w:left="1648" w:right="0" w:hanging="719"/>
        <w:jc w:val="left"/>
        <w:rPr>
          <w:sz w:val="20"/>
        </w:rPr>
      </w:pPr>
      <w:r>
        <w:rPr>
          <w:spacing w:val="-2"/>
          <w:w w:val="105"/>
          <w:sz w:val="20"/>
        </w:rPr>
        <w:t>Environm.ental</w:t>
      </w:r>
      <w:r>
        <w:rPr>
          <w:spacing w:val="4"/>
          <w:w w:val="105"/>
          <w:sz w:val="20"/>
        </w:rPr>
        <w:t> </w:t>
      </w:r>
      <w:r>
        <w:rPr>
          <w:spacing w:val="-2"/>
          <w:w w:val="105"/>
          <w:sz w:val="20"/>
        </w:rPr>
        <w:t>Systems</w:t>
      </w:r>
    </w:p>
    <w:p>
      <w:pPr>
        <w:pStyle w:val="BodyText"/>
        <w:ind w:left="1647" w:right="475" w:firstLine="3"/>
      </w:pPr>
      <w:r>
        <w:rPr/>
        <w:t>Basic principles of environmental</w:t>
      </w:r>
      <w:r>
        <w:rPr>
          <w:spacing w:val="34"/>
        </w:rPr>
        <w:t> </w:t>
      </w:r>
      <w:r>
        <w:rPr/>
        <w:t>systems are</w:t>
      </w:r>
      <w:r>
        <w:rPr>
          <w:spacing w:val="-5"/>
        </w:rPr>
        <w:t> </w:t>
      </w:r>
      <w:r>
        <w:rPr/>
        <w:t>presented in</w:t>
      </w:r>
      <w:r>
        <w:rPr>
          <w:spacing w:val="-12"/>
        </w:rPr>
        <w:t> </w:t>
      </w:r>
      <w:r>
        <w:rPr/>
        <w:t>course ARC 315 and demonstrated in</w:t>
      </w:r>
      <w:r>
        <w:rPr>
          <w:spacing w:val="-14"/>
        </w:rPr>
        <w:t> </w:t>
      </w:r>
      <w:r>
        <w:rPr/>
        <w:t>the</w:t>
      </w:r>
      <w:r>
        <w:rPr>
          <w:spacing w:val="-9"/>
        </w:rPr>
        <w:t> </w:t>
      </w:r>
      <w:r>
        <w:rPr/>
        <w:t>3n1</w:t>
      </w:r>
      <w:r>
        <w:rPr>
          <w:spacing w:val="-26"/>
        </w:rPr>
        <w:t> </w:t>
      </w:r>
      <w:r>
        <w:rPr/>
        <w:t>and</w:t>
      </w:r>
      <w:r>
        <w:rPr>
          <w:spacing w:val="-10"/>
        </w:rPr>
        <w:t> </w:t>
      </w:r>
      <w:r>
        <w:rPr/>
        <w:t>4</w:t>
      </w:r>
      <w:r>
        <w:rPr>
          <w:vertAlign w:val="superscript"/>
        </w:rPr>
        <w:t>th</w:t>
      </w:r>
      <w:r>
        <w:rPr>
          <w:vertAlign w:val="baseline"/>
        </w:rPr>
        <w:t> year</w:t>
      </w:r>
      <w:r>
        <w:rPr>
          <w:spacing w:val="-2"/>
          <w:vertAlign w:val="baseline"/>
        </w:rPr>
        <w:t> </w:t>
      </w:r>
      <w:r>
        <w:rPr>
          <w:vertAlign w:val="baseline"/>
        </w:rPr>
        <w:t>comprehensive</w:t>
      </w:r>
      <w:r>
        <w:rPr>
          <w:spacing w:val="19"/>
          <w:vertAlign w:val="baseline"/>
        </w:rPr>
        <w:t> </w:t>
      </w:r>
      <w:r>
        <w:rPr>
          <w:vertAlign w:val="baseline"/>
        </w:rPr>
        <w:t>project</w:t>
      </w:r>
      <w:r>
        <w:rPr>
          <w:spacing w:val="-2"/>
          <w:vertAlign w:val="baseline"/>
        </w:rPr>
        <w:t> </w:t>
      </w:r>
      <w:r>
        <w:rPr>
          <w:vertAlign w:val="baseline"/>
        </w:rPr>
        <w:t>assignments.</w:t>
      </w:r>
      <w:r>
        <w:rPr>
          <w:spacing w:val="78"/>
          <w:vertAlign w:val="baseline"/>
        </w:rPr>
        <w:t> </w:t>
      </w:r>
      <w:r>
        <w:rPr>
          <w:vertAlign w:val="baseline"/>
        </w:rPr>
        <w:t>Course content and exam results suggest basic principles are</w:t>
      </w:r>
      <w:r>
        <w:rPr>
          <w:spacing w:val="-4"/>
          <w:vertAlign w:val="baseline"/>
        </w:rPr>
        <w:t> </w:t>
      </w:r>
      <w:r>
        <w:rPr>
          <w:vertAlign w:val="baseline"/>
        </w:rPr>
        <w:t>understood, however actual translation of this</w:t>
      </w:r>
      <w:r>
        <w:rPr>
          <w:spacing w:val="-10"/>
          <w:vertAlign w:val="baseline"/>
        </w:rPr>
        <w:t> </w:t>
      </w:r>
      <w:r>
        <w:rPr>
          <w:vertAlign w:val="baseline"/>
        </w:rPr>
        <w:t>knowledge</w:t>
      </w:r>
      <w:r>
        <w:rPr>
          <w:spacing w:val="-2"/>
          <w:vertAlign w:val="baseline"/>
        </w:rPr>
        <w:t> </w:t>
      </w:r>
      <w:r>
        <w:rPr>
          <w:vertAlign w:val="baseline"/>
        </w:rPr>
        <w:t>to</w:t>
      </w:r>
      <w:r>
        <w:rPr>
          <w:spacing w:val="-15"/>
          <w:vertAlign w:val="baseline"/>
        </w:rPr>
        <w:t> </w:t>
      </w:r>
      <w:r>
        <w:rPr>
          <w:vertAlign w:val="baseline"/>
        </w:rPr>
        <w:t>the</w:t>
      </w:r>
      <w:r>
        <w:rPr>
          <w:spacing w:val="-3"/>
          <w:vertAlign w:val="baseline"/>
        </w:rPr>
        <w:t> </w:t>
      </w:r>
      <w:r>
        <w:rPr>
          <w:vertAlign w:val="baseline"/>
        </w:rPr>
        <w:t>4</w:t>
      </w:r>
      <w:r>
        <w:rPr>
          <w:vertAlign w:val="superscript"/>
        </w:rPr>
        <w:t>th</w:t>
      </w:r>
      <w:r>
        <w:rPr>
          <w:vertAlign w:val="baseline"/>
        </w:rPr>
        <w:t> year</w:t>
      </w:r>
      <w:r>
        <w:rPr>
          <w:spacing w:val="-2"/>
          <w:vertAlign w:val="baseline"/>
        </w:rPr>
        <w:t> </w:t>
      </w:r>
      <w:r>
        <w:rPr>
          <w:vertAlign w:val="baseline"/>
        </w:rPr>
        <w:t>comprehensive project</w:t>
      </w:r>
      <w:r>
        <w:rPr>
          <w:spacing w:val="-11"/>
          <w:vertAlign w:val="baseline"/>
        </w:rPr>
        <w:t> </w:t>
      </w:r>
      <w:r>
        <w:rPr>
          <w:vertAlign w:val="baseline"/>
        </w:rPr>
        <w:t>is weak.</w:t>
      </w:r>
      <w:r>
        <w:rPr>
          <w:spacing w:val="40"/>
          <w:vertAlign w:val="baseline"/>
        </w:rPr>
        <w:t> </w:t>
      </w:r>
      <w:r>
        <w:rPr>
          <w:vertAlign w:val="baseline"/>
        </w:rPr>
        <w:t>Systems' concepts,</w:t>
      </w:r>
      <w:r>
        <w:rPr>
          <w:spacing w:val="-4"/>
          <w:vertAlign w:val="baseline"/>
        </w:rPr>
        <w:t> </w:t>
      </w:r>
      <w:r>
        <w:rPr>
          <w:vertAlign w:val="baseline"/>
        </w:rPr>
        <w:t>equipment sizes</w:t>
      </w:r>
      <w:r>
        <w:rPr>
          <w:spacing w:val="-7"/>
          <w:vertAlign w:val="baseline"/>
        </w:rPr>
        <w:t> </w:t>
      </w:r>
      <w:r>
        <w:rPr>
          <w:vertAlign w:val="baseline"/>
        </w:rPr>
        <w:t>and</w:t>
      </w:r>
      <w:r>
        <w:rPr>
          <w:spacing w:val="-14"/>
          <w:vertAlign w:val="baseline"/>
        </w:rPr>
        <w:t> </w:t>
      </w:r>
      <w:r>
        <w:rPr>
          <w:vertAlign w:val="baseline"/>
        </w:rPr>
        <w:t>locations, piping</w:t>
      </w:r>
      <w:r>
        <w:rPr>
          <w:spacing w:val="-11"/>
          <w:vertAlign w:val="baseline"/>
        </w:rPr>
        <w:t> </w:t>
      </w:r>
      <w:r>
        <w:rPr>
          <w:vertAlign w:val="baseline"/>
        </w:rPr>
        <w:t>chases,</w:t>
      </w:r>
      <w:r>
        <w:rPr>
          <w:spacing w:val="-2"/>
          <w:vertAlign w:val="baseline"/>
        </w:rPr>
        <w:t> </w:t>
      </w:r>
      <w:r>
        <w:rPr>
          <w:vertAlign w:val="baseline"/>
        </w:rPr>
        <w:t>air</w:t>
      </w:r>
      <w:r>
        <w:rPr>
          <w:spacing w:val="-9"/>
          <w:vertAlign w:val="baseline"/>
        </w:rPr>
        <w:t> </w:t>
      </w:r>
      <w:r>
        <w:rPr>
          <w:vertAlign w:val="baseline"/>
        </w:rPr>
        <w:t>distribution</w:t>
      </w:r>
      <w:r>
        <w:rPr>
          <w:spacing w:val="-1"/>
          <w:vertAlign w:val="baseline"/>
        </w:rPr>
        <w:t> </w:t>
      </w:r>
      <w:r>
        <w:rPr>
          <w:vertAlign w:val="baseline"/>
        </w:rPr>
        <w:t>concepts, and outdoor equipment locations were not seen in</w:t>
      </w:r>
      <w:r>
        <w:rPr>
          <w:spacing w:val="-6"/>
          <w:vertAlign w:val="baseline"/>
        </w:rPr>
        <w:t> </w:t>
      </w:r>
      <w:r>
        <w:rPr>
          <w:vertAlign w:val="baseline"/>
        </w:rPr>
        <w:t>the projects.</w:t>
      </w:r>
      <w:r>
        <w:rPr>
          <w:spacing w:val="40"/>
          <w:vertAlign w:val="baseline"/>
        </w:rPr>
        <w:t> </w:t>
      </w:r>
      <w:r>
        <w:rPr>
          <w:vertAlign w:val="baseline"/>
        </w:rPr>
        <w:t>The</w:t>
      </w:r>
      <w:r>
        <w:rPr>
          <w:spacing w:val="-4"/>
          <w:vertAlign w:val="baseline"/>
        </w:rPr>
        <w:t> </w:t>
      </w:r>
      <w:r>
        <w:rPr>
          <w:vertAlign w:val="baseline"/>
        </w:rPr>
        <w:t>Tearn felt</w:t>
      </w:r>
      <w:r>
        <w:rPr>
          <w:spacing w:val="-10"/>
          <w:vertAlign w:val="baseline"/>
        </w:rPr>
        <w:t> </w:t>
      </w:r>
      <w:r>
        <w:rPr>
          <w:vertAlign w:val="baseline"/>
        </w:rPr>
        <w:t>practical application of environmental</w:t>
      </w:r>
      <w:r>
        <w:rPr>
          <w:spacing w:val="35"/>
          <w:vertAlign w:val="baseline"/>
        </w:rPr>
        <w:t> </w:t>
      </w:r>
      <w:r>
        <w:rPr>
          <w:vertAlign w:val="baseline"/>
        </w:rPr>
        <w:t>system concepts in</w:t>
      </w:r>
      <w:r>
        <w:rPr>
          <w:spacing w:val="-5"/>
          <w:vertAlign w:val="baseline"/>
        </w:rPr>
        <w:t> </w:t>
      </w:r>
      <w:r>
        <w:rPr>
          <w:vertAlign w:val="baseline"/>
        </w:rPr>
        <w:t>the</w:t>
      </w:r>
      <w:r>
        <w:rPr>
          <w:spacing w:val="-10"/>
          <w:vertAlign w:val="baseline"/>
        </w:rPr>
        <w:t> </w:t>
      </w:r>
      <w:r>
        <w:rPr>
          <w:vertAlign w:val="baseline"/>
        </w:rPr>
        <w:t>design</w:t>
      </w:r>
      <w:r>
        <w:rPr>
          <w:spacing w:val="-1"/>
          <w:vertAlign w:val="baseline"/>
        </w:rPr>
        <w:t> </w:t>
      </w:r>
      <w:r>
        <w:rPr>
          <w:vertAlign w:val="baseline"/>
        </w:rPr>
        <w:t>process to</w:t>
      </w:r>
      <w:r>
        <w:rPr>
          <w:spacing w:val="-8"/>
          <w:vertAlign w:val="baseline"/>
        </w:rPr>
        <w:t> </w:t>
      </w:r>
      <w:r>
        <w:rPr>
          <w:vertAlign w:val="baseline"/>
        </w:rPr>
        <w:t>be the key to understanding these principles; this was</w:t>
      </w:r>
      <w:r>
        <w:rPr>
          <w:spacing w:val="-5"/>
          <w:vertAlign w:val="baseline"/>
        </w:rPr>
        <w:t> </w:t>
      </w:r>
      <w:r>
        <w:rPr>
          <w:vertAlign w:val="baseline"/>
        </w:rPr>
        <w:t>a cause for concern.</w:t>
      </w:r>
    </w:p>
    <w:p>
      <w:pPr>
        <w:pStyle w:val="BodyText"/>
      </w:pPr>
    </w:p>
    <w:p>
      <w:pPr>
        <w:pStyle w:val="BodyText"/>
      </w:pPr>
    </w:p>
    <w:p>
      <w:pPr>
        <w:pStyle w:val="BodyText"/>
      </w:pPr>
    </w:p>
    <w:p>
      <w:pPr>
        <w:pStyle w:val="BodyText"/>
      </w:pPr>
    </w:p>
    <w:p>
      <w:pPr>
        <w:pStyle w:val="BodyText"/>
        <w:spacing w:before="2"/>
        <w:rPr>
          <w:sz w:val="19"/>
        </w:rPr>
      </w:pPr>
      <w:r>
        <w:rPr/>
        <w:pict>
          <v:shape style="position:absolute;margin-left:65.524673pt;margin-top:12.232485pt;width:452.9pt;height:.1pt;mso-position-horizontal-relative:page;mso-position-vertical-relative:paragraph;z-index:-15705088;mso-wrap-distance-left:0;mso-wrap-distance-right:0" id="docshape625" coordorigin="1310,245" coordsize="9058,0" path="m1310,245l10368,245e" filled="false" stroked="true" strokeweight=".481434pt" strokecolor="#000000">
            <v:path arrowok="t"/>
            <v:stroke dashstyle="solid"/>
            <w10:wrap type="topAndBottom"/>
          </v:shape>
        </w:pict>
      </w:r>
    </w:p>
    <w:p>
      <w:pPr>
        <w:spacing w:before="0"/>
        <w:ind w:left="217" w:right="0" w:firstLine="0"/>
        <w:jc w:val="left"/>
        <w:rPr>
          <w:sz w:val="18"/>
        </w:rPr>
      </w:pPr>
      <w:r>
        <w:rPr>
          <w:w w:val="96"/>
          <w:sz w:val="18"/>
        </w:rPr>
        <w:t>4</w:t>
      </w:r>
    </w:p>
    <w:p>
      <w:pPr>
        <w:spacing w:after="0"/>
        <w:jc w:val="left"/>
        <w:rPr>
          <w:sz w:val="18"/>
        </w:rPr>
        <w:sectPr>
          <w:headerReference w:type="default" r:id="rId367"/>
          <w:footerReference w:type="default" r:id="rId368"/>
          <w:pgSz w:w="12180" w:h="15820"/>
          <w:pgMar w:header="560" w:footer="0" w:top="1260" w:bottom="280" w:left="1120" w:right="1180"/>
        </w:sectPr>
      </w:pPr>
    </w:p>
    <w:p>
      <w:pPr>
        <w:pStyle w:val="BodyText"/>
        <w:spacing w:before="2"/>
        <w:rPr>
          <w:sz w:val="26"/>
        </w:rPr>
      </w:pPr>
    </w:p>
    <w:p>
      <w:pPr>
        <w:pStyle w:val="ListParagraph"/>
        <w:numPr>
          <w:ilvl w:val="0"/>
          <w:numId w:val="75"/>
        </w:numPr>
        <w:tabs>
          <w:tab w:pos="950" w:val="left" w:leader="none"/>
          <w:tab w:pos="951" w:val="left" w:leader="none"/>
        </w:tabs>
        <w:spacing w:line="240" w:lineRule="auto" w:before="94" w:after="0"/>
        <w:ind w:left="950" w:right="0" w:hanging="732"/>
        <w:jc w:val="left"/>
        <w:rPr>
          <w:sz w:val="21"/>
        </w:rPr>
      </w:pPr>
      <w:r>
        <w:rPr>
          <w:w w:val="105"/>
          <w:sz w:val="21"/>
        </w:rPr>
        <w:t>Compliance</w:t>
      </w:r>
      <w:r>
        <w:rPr>
          <w:spacing w:val="-15"/>
          <w:w w:val="105"/>
          <w:sz w:val="21"/>
        </w:rPr>
        <w:t> </w:t>
      </w:r>
      <w:r>
        <w:rPr>
          <w:w w:val="105"/>
          <w:sz w:val="21"/>
        </w:rPr>
        <w:t>with</w:t>
      </w:r>
      <w:r>
        <w:rPr>
          <w:spacing w:val="-18"/>
          <w:w w:val="105"/>
          <w:sz w:val="21"/>
        </w:rPr>
        <w:t> </w:t>
      </w:r>
      <w:r>
        <w:rPr>
          <w:w w:val="105"/>
          <w:sz w:val="21"/>
        </w:rPr>
        <w:t>the</w:t>
      </w:r>
      <w:r>
        <w:rPr>
          <w:spacing w:val="-19"/>
          <w:w w:val="105"/>
          <w:sz w:val="21"/>
        </w:rPr>
        <w:t> </w:t>
      </w:r>
      <w:r>
        <w:rPr>
          <w:w w:val="105"/>
          <w:sz w:val="21"/>
        </w:rPr>
        <w:t>Conditions</w:t>
      </w:r>
      <w:r>
        <w:rPr>
          <w:spacing w:val="-13"/>
          <w:w w:val="105"/>
          <w:sz w:val="21"/>
        </w:rPr>
        <w:t> </w:t>
      </w:r>
      <w:r>
        <w:rPr>
          <w:w w:val="105"/>
          <w:sz w:val="21"/>
        </w:rPr>
        <w:t>for </w:t>
      </w:r>
      <w:r>
        <w:rPr>
          <w:spacing w:val="-2"/>
          <w:w w:val="105"/>
          <w:sz w:val="21"/>
        </w:rPr>
        <w:t>Accreditation</w:t>
      </w:r>
    </w:p>
    <w:p>
      <w:pPr>
        <w:pStyle w:val="BodyText"/>
      </w:pPr>
    </w:p>
    <w:p>
      <w:pPr>
        <w:pStyle w:val="ListParagraph"/>
        <w:numPr>
          <w:ilvl w:val="1"/>
          <w:numId w:val="75"/>
        </w:numPr>
        <w:tabs>
          <w:tab w:pos="954" w:val="left" w:leader="none"/>
          <w:tab w:pos="955" w:val="left" w:leader="none"/>
        </w:tabs>
        <w:spacing w:line="240" w:lineRule="auto" w:before="0" w:after="0"/>
        <w:ind w:left="954" w:right="0" w:hanging="730"/>
        <w:jc w:val="left"/>
        <w:rPr>
          <w:sz w:val="21"/>
        </w:rPr>
      </w:pPr>
      <w:r>
        <w:rPr>
          <w:sz w:val="21"/>
        </w:rPr>
        <w:t>Program</w:t>
      </w:r>
      <w:r>
        <w:rPr>
          <w:spacing w:val="-1"/>
          <w:sz w:val="21"/>
        </w:rPr>
        <w:t> </w:t>
      </w:r>
      <w:r>
        <w:rPr>
          <w:sz w:val="21"/>
        </w:rPr>
        <w:t>Response</w:t>
      </w:r>
      <w:r>
        <w:rPr>
          <w:spacing w:val="6"/>
          <w:sz w:val="21"/>
        </w:rPr>
        <w:t> </w:t>
      </w:r>
      <w:r>
        <w:rPr>
          <w:sz w:val="21"/>
        </w:rPr>
        <w:t>to</w:t>
      </w:r>
      <w:r>
        <w:rPr>
          <w:spacing w:val="13"/>
          <w:sz w:val="21"/>
        </w:rPr>
        <w:t> </w:t>
      </w:r>
      <w:r>
        <w:rPr>
          <w:sz w:val="21"/>
        </w:rPr>
        <w:t>the</w:t>
      </w:r>
      <w:r>
        <w:rPr>
          <w:spacing w:val="-6"/>
          <w:sz w:val="21"/>
        </w:rPr>
        <w:t> </w:t>
      </w:r>
      <w:r>
        <w:rPr>
          <w:sz w:val="21"/>
        </w:rPr>
        <w:t>NAAB</w:t>
      </w:r>
      <w:r>
        <w:rPr>
          <w:spacing w:val="12"/>
          <w:sz w:val="21"/>
        </w:rPr>
        <w:t> </w:t>
      </w:r>
      <w:r>
        <w:rPr>
          <w:spacing w:val="-2"/>
          <w:sz w:val="21"/>
        </w:rPr>
        <w:t>Perspectives</w:t>
      </w:r>
    </w:p>
    <w:p>
      <w:pPr>
        <w:pStyle w:val="BodyText"/>
        <w:spacing w:before="10"/>
      </w:pPr>
    </w:p>
    <w:p>
      <w:pPr>
        <w:spacing w:line="254" w:lineRule="auto" w:before="0"/>
        <w:ind w:left="953" w:right="475" w:firstLine="3"/>
        <w:jc w:val="left"/>
        <w:rPr>
          <w:i/>
          <w:sz w:val="19"/>
        </w:rPr>
      </w:pPr>
      <w:r>
        <w:rPr>
          <w:i/>
          <w:w w:val="105"/>
          <w:sz w:val="19"/>
        </w:rPr>
        <w:t>Schools must respond to the</w:t>
      </w:r>
      <w:r>
        <w:rPr>
          <w:i/>
          <w:spacing w:val="-2"/>
          <w:w w:val="105"/>
          <w:sz w:val="19"/>
        </w:rPr>
        <w:t> </w:t>
      </w:r>
      <w:r>
        <w:rPr>
          <w:i/>
          <w:w w:val="105"/>
          <w:sz w:val="19"/>
        </w:rPr>
        <w:t>interests</w:t>
      </w:r>
      <w:r>
        <w:rPr>
          <w:i/>
          <w:spacing w:val="-3"/>
          <w:w w:val="105"/>
          <w:sz w:val="19"/>
        </w:rPr>
        <w:t> </w:t>
      </w:r>
      <w:r>
        <w:rPr>
          <w:i/>
          <w:w w:val="105"/>
          <w:sz w:val="19"/>
        </w:rPr>
        <w:t>of the</w:t>
      </w:r>
      <w:r>
        <w:rPr>
          <w:i/>
          <w:spacing w:val="-7"/>
          <w:w w:val="105"/>
          <w:sz w:val="19"/>
        </w:rPr>
        <w:t> </w:t>
      </w:r>
      <w:r>
        <w:rPr>
          <w:i/>
          <w:w w:val="105"/>
          <w:sz w:val="19"/>
        </w:rPr>
        <w:t>collateral</w:t>
      </w:r>
      <w:r>
        <w:rPr>
          <w:i/>
          <w:spacing w:val="-2"/>
          <w:w w:val="105"/>
          <w:sz w:val="19"/>
        </w:rPr>
        <w:t> </w:t>
      </w:r>
      <w:r>
        <w:rPr>
          <w:i/>
          <w:w w:val="105"/>
          <w:sz w:val="19"/>
        </w:rPr>
        <w:t>organizations that</w:t>
      </w:r>
      <w:r>
        <w:rPr>
          <w:i/>
          <w:spacing w:val="-5"/>
          <w:w w:val="105"/>
          <w:sz w:val="19"/>
        </w:rPr>
        <w:t> </w:t>
      </w:r>
      <w:r>
        <w:rPr>
          <w:i/>
          <w:w w:val="105"/>
          <w:sz w:val="19"/>
        </w:rPr>
        <w:t>make</w:t>
      </w:r>
      <w:r>
        <w:rPr>
          <w:i/>
          <w:spacing w:val="-3"/>
          <w:w w:val="105"/>
          <w:sz w:val="19"/>
        </w:rPr>
        <w:t> </w:t>
      </w:r>
      <w:r>
        <w:rPr>
          <w:i/>
          <w:w w:val="105"/>
          <w:sz w:val="19"/>
        </w:rPr>
        <w:t>up the</w:t>
      </w:r>
      <w:r>
        <w:rPr>
          <w:i/>
          <w:spacing w:val="-14"/>
          <w:w w:val="105"/>
          <w:sz w:val="19"/>
        </w:rPr>
        <w:t> </w:t>
      </w:r>
      <w:r>
        <w:rPr>
          <w:i/>
          <w:w w:val="105"/>
          <w:sz w:val="19"/>
        </w:rPr>
        <w:t>NAAB </w:t>
      </w:r>
      <w:r>
        <w:rPr>
          <w:w w:val="105"/>
          <w:sz w:val="19"/>
        </w:rPr>
        <w:t>as </w:t>
      </w:r>
      <w:r>
        <w:rPr>
          <w:i/>
          <w:w w:val="105"/>
          <w:sz w:val="19"/>
        </w:rPr>
        <w:t>set forth by</w:t>
      </w:r>
      <w:r>
        <w:rPr>
          <w:i/>
          <w:spacing w:val="-1"/>
          <w:w w:val="105"/>
          <w:sz w:val="19"/>
        </w:rPr>
        <w:t> </w:t>
      </w:r>
      <w:r>
        <w:rPr>
          <w:i/>
          <w:w w:val="105"/>
          <w:sz w:val="19"/>
        </w:rPr>
        <w:t>this</w:t>
      </w:r>
      <w:r>
        <w:rPr>
          <w:i/>
          <w:spacing w:val="-1"/>
          <w:w w:val="105"/>
          <w:sz w:val="19"/>
        </w:rPr>
        <w:t> </w:t>
      </w:r>
      <w:r>
        <w:rPr>
          <w:i/>
          <w:w w:val="105"/>
          <w:sz w:val="19"/>
        </w:rPr>
        <w:t>edition of the </w:t>
      </w:r>
      <w:r>
        <w:rPr>
          <w:w w:val="105"/>
          <w:sz w:val="19"/>
        </w:rPr>
        <w:t>NAAB Conditions for Accreditation.</w:t>
      </w:r>
      <w:r>
        <w:rPr>
          <w:spacing w:val="40"/>
          <w:w w:val="105"/>
          <w:sz w:val="19"/>
        </w:rPr>
        <w:t> </w:t>
      </w:r>
      <w:r>
        <w:rPr>
          <w:i/>
          <w:w w:val="105"/>
          <w:sz w:val="19"/>
        </w:rPr>
        <w:t>Each</w:t>
      </w:r>
      <w:r>
        <w:rPr>
          <w:i/>
          <w:spacing w:val="-4"/>
          <w:w w:val="105"/>
          <w:sz w:val="19"/>
        </w:rPr>
        <w:t> </w:t>
      </w:r>
      <w:r>
        <w:rPr>
          <w:i/>
          <w:w w:val="105"/>
          <w:sz w:val="19"/>
        </w:rPr>
        <w:t>school is expected to address these interests consistent with its scholastic identity and mission.</w:t>
      </w:r>
    </w:p>
    <w:p>
      <w:pPr>
        <w:pStyle w:val="BodyText"/>
        <w:rPr>
          <w:i/>
        </w:rPr>
      </w:pPr>
    </w:p>
    <w:p>
      <w:pPr>
        <w:pStyle w:val="BodyText"/>
        <w:spacing w:before="3"/>
        <w:rPr>
          <w:i/>
          <w:sz w:val="19"/>
        </w:rPr>
      </w:pPr>
    </w:p>
    <w:p>
      <w:pPr>
        <w:pStyle w:val="ListParagraph"/>
        <w:numPr>
          <w:ilvl w:val="2"/>
          <w:numId w:val="75"/>
        </w:numPr>
        <w:tabs>
          <w:tab w:pos="1684" w:val="left" w:leader="none"/>
          <w:tab w:pos="1685" w:val="left" w:leader="none"/>
        </w:tabs>
        <w:spacing w:line="240" w:lineRule="auto" w:before="0" w:after="0"/>
        <w:ind w:left="1684" w:right="0" w:hanging="737"/>
        <w:jc w:val="left"/>
        <w:rPr>
          <w:sz w:val="21"/>
        </w:rPr>
      </w:pPr>
      <w:r>
        <w:rPr>
          <w:sz w:val="21"/>
        </w:rPr>
        <w:t>Architecture</w:t>
      </w:r>
      <w:r>
        <w:rPr>
          <w:spacing w:val="33"/>
          <w:sz w:val="21"/>
        </w:rPr>
        <w:t> </w:t>
      </w:r>
      <w:r>
        <w:rPr>
          <w:sz w:val="21"/>
        </w:rPr>
        <w:t>Education</w:t>
      </w:r>
      <w:r>
        <w:rPr>
          <w:spacing w:val="19"/>
          <w:sz w:val="21"/>
        </w:rPr>
        <w:t> </w:t>
      </w:r>
      <w:r>
        <w:rPr>
          <w:sz w:val="21"/>
        </w:rPr>
        <w:t>and</w:t>
      </w:r>
      <w:r>
        <w:rPr>
          <w:spacing w:val="-11"/>
          <w:sz w:val="21"/>
        </w:rPr>
        <w:t> </w:t>
      </w:r>
      <w:r>
        <w:rPr>
          <w:sz w:val="21"/>
        </w:rPr>
        <w:t>the</w:t>
      </w:r>
      <w:r>
        <w:rPr>
          <w:spacing w:val="3"/>
          <w:sz w:val="21"/>
        </w:rPr>
        <w:t> </w:t>
      </w:r>
      <w:r>
        <w:rPr>
          <w:sz w:val="21"/>
        </w:rPr>
        <w:t>Academic</w:t>
      </w:r>
      <w:r>
        <w:rPr>
          <w:spacing w:val="47"/>
          <w:sz w:val="21"/>
        </w:rPr>
        <w:t> </w:t>
      </w:r>
      <w:r>
        <w:rPr>
          <w:spacing w:val="-2"/>
          <w:sz w:val="21"/>
        </w:rPr>
        <w:t>Context</w:t>
      </w:r>
    </w:p>
    <w:p>
      <w:pPr>
        <w:pStyle w:val="BodyText"/>
        <w:spacing w:before="9"/>
      </w:pPr>
    </w:p>
    <w:p>
      <w:pPr>
        <w:spacing w:line="249" w:lineRule="auto" w:before="0"/>
        <w:ind w:left="1682" w:right="311" w:hanging="4"/>
        <w:jc w:val="left"/>
        <w:rPr>
          <w:i/>
          <w:sz w:val="19"/>
        </w:rPr>
      </w:pPr>
      <w:r>
        <w:rPr>
          <w:i/>
          <w:w w:val="105"/>
          <w:sz w:val="19"/>
        </w:rPr>
        <w:t>The</w:t>
      </w:r>
      <w:r>
        <w:rPr>
          <w:i/>
          <w:spacing w:val="-6"/>
          <w:w w:val="105"/>
          <w:sz w:val="19"/>
        </w:rPr>
        <w:t> </w:t>
      </w:r>
      <w:r>
        <w:rPr>
          <w:i/>
          <w:w w:val="105"/>
          <w:sz w:val="19"/>
        </w:rPr>
        <w:t>accredited degree program must</w:t>
      </w:r>
      <w:r>
        <w:rPr>
          <w:i/>
          <w:spacing w:val="-2"/>
          <w:w w:val="105"/>
          <w:sz w:val="19"/>
        </w:rPr>
        <w:t> </w:t>
      </w:r>
      <w:r>
        <w:rPr>
          <w:i/>
          <w:w w:val="105"/>
          <w:sz w:val="19"/>
        </w:rPr>
        <w:t>demonstrate that</w:t>
      </w:r>
      <w:r>
        <w:rPr>
          <w:i/>
          <w:spacing w:val="-8"/>
          <w:w w:val="105"/>
          <w:sz w:val="19"/>
        </w:rPr>
        <w:t> </w:t>
      </w:r>
      <w:r>
        <w:rPr>
          <w:i/>
          <w:w w:val="105"/>
          <w:sz w:val="19"/>
        </w:rPr>
        <w:t>it</w:t>
      </w:r>
      <w:r>
        <w:rPr>
          <w:i/>
          <w:spacing w:val="-4"/>
          <w:w w:val="105"/>
          <w:sz w:val="19"/>
        </w:rPr>
        <w:t> </w:t>
      </w:r>
      <w:r>
        <w:rPr>
          <w:i/>
          <w:w w:val="105"/>
          <w:sz w:val="19"/>
        </w:rPr>
        <w:t>benefits from</w:t>
      </w:r>
      <w:r>
        <w:rPr>
          <w:i/>
          <w:spacing w:val="-4"/>
          <w:w w:val="105"/>
          <w:sz w:val="19"/>
        </w:rPr>
        <w:t> </w:t>
      </w:r>
      <w:r>
        <w:rPr>
          <w:i/>
          <w:w w:val="105"/>
          <w:sz w:val="19"/>
        </w:rPr>
        <w:t>and</w:t>
      </w:r>
      <w:r>
        <w:rPr>
          <w:i/>
          <w:spacing w:val="-13"/>
          <w:w w:val="105"/>
          <w:sz w:val="19"/>
        </w:rPr>
        <w:t> </w:t>
      </w:r>
      <w:r>
        <w:rPr>
          <w:i/>
          <w:w w:val="105"/>
          <w:sz w:val="19"/>
        </w:rPr>
        <w:t>contributes to its</w:t>
      </w:r>
      <w:r>
        <w:rPr>
          <w:i/>
          <w:spacing w:val="-4"/>
          <w:w w:val="105"/>
          <w:sz w:val="19"/>
        </w:rPr>
        <w:t> </w:t>
      </w:r>
      <w:r>
        <w:rPr>
          <w:i/>
          <w:w w:val="105"/>
          <w:sz w:val="19"/>
        </w:rPr>
        <w:t>institution.</w:t>
      </w:r>
      <w:r>
        <w:rPr>
          <w:i/>
          <w:spacing w:val="80"/>
          <w:w w:val="105"/>
          <w:sz w:val="19"/>
        </w:rPr>
        <w:t> </w:t>
      </w:r>
      <w:r>
        <w:rPr>
          <w:i/>
          <w:w w:val="105"/>
          <w:sz w:val="19"/>
        </w:rPr>
        <w:t>In the</w:t>
      </w:r>
      <w:r>
        <w:rPr>
          <w:i/>
          <w:spacing w:val="-7"/>
          <w:w w:val="105"/>
          <w:sz w:val="19"/>
        </w:rPr>
        <w:t> </w:t>
      </w:r>
      <w:r>
        <w:rPr>
          <w:i/>
          <w:w w:val="105"/>
          <w:sz w:val="19"/>
        </w:rPr>
        <w:t>APR, the</w:t>
      </w:r>
      <w:r>
        <w:rPr>
          <w:i/>
          <w:spacing w:val="-11"/>
          <w:w w:val="105"/>
          <w:sz w:val="19"/>
        </w:rPr>
        <w:t> </w:t>
      </w:r>
      <w:r>
        <w:rPr>
          <w:i/>
          <w:w w:val="105"/>
          <w:sz w:val="19"/>
        </w:rPr>
        <w:t>accredited degree program may explain its academic and professional standards </w:t>
      </w:r>
      <w:r>
        <w:rPr>
          <w:w w:val="105"/>
          <w:sz w:val="21"/>
        </w:rPr>
        <w:t>for</w:t>
      </w:r>
      <w:r>
        <w:rPr>
          <w:spacing w:val="-19"/>
          <w:w w:val="105"/>
          <w:sz w:val="21"/>
        </w:rPr>
        <w:t> </w:t>
      </w:r>
      <w:r>
        <w:rPr>
          <w:i/>
          <w:w w:val="105"/>
          <w:sz w:val="19"/>
        </w:rPr>
        <w:t>faculty and students; its</w:t>
      </w:r>
      <w:r>
        <w:rPr>
          <w:i/>
          <w:spacing w:val="-8"/>
          <w:w w:val="105"/>
          <w:sz w:val="19"/>
        </w:rPr>
        <w:t> </w:t>
      </w:r>
      <w:r>
        <w:rPr>
          <w:i/>
          <w:w w:val="105"/>
          <w:sz w:val="19"/>
        </w:rPr>
        <w:t>interaction with</w:t>
      </w:r>
      <w:r>
        <w:rPr>
          <w:i/>
          <w:spacing w:val="-16"/>
          <w:w w:val="105"/>
          <w:sz w:val="19"/>
        </w:rPr>
        <w:t> </w:t>
      </w:r>
      <w:r>
        <w:rPr>
          <w:i/>
          <w:w w:val="105"/>
          <w:sz w:val="19"/>
        </w:rPr>
        <w:t>other</w:t>
      </w:r>
      <w:r>
        <w:rPr>
          <w:i/>
          <w:spacing w:val="-5"/>
          <w:w w:val="105"/>
          <w:sz w:val="19"/>
        </w:rPr>
        <w:t> </w:t>
      </w:r>
      <w:r>
        <w:rPr>
          <w:i/>
          <w:w w:val="105"/>
          <w:sz w:val="19"/>
        </w:rPr>
        <w:t>programs</w:t>
      </w:r>
      <w:r>
        <w:rPr>
          <w:i/>
          <w:spacing w:val="22"/>
          <w:w w:val="105"/>
          <w:sz w:val="19"/>
        </w:rPr>
        <w:t> </w:t>
      </w:r>
      <w:r>
        <w:rPr>
          <w:i/>
          <w:w w:val="105"/>
          <w:sz w:val="19"/>
        </w:rPr>
        <w:t>in</w:t>
      </w:r>
      <w:r>
        <w:rPr>
          <w:i/>
          <w:spacing w:val="-8"/>
          <w:w w:val="105"/>
          <w:sz w:val="19"/>
        </w:rPr>
        <w:t> </w:t>
      </w:r>
      <w:r>
        <w:rPr>
          <w:i/>
          <w:w w:val="105"/>
          <w:sz w:val="19"/>
        </w:rPr>
        <w:t>the institution; the</w:t>
      </w:r>
      <w:r>
        <w:rPr>
          <w:i/>
          <w:spacing w:val="-5"/>
          <w:w w:val="105"/>
          <w:sz w:val="19"/>
        </w:rPr>
        <w:t> </w:t>
      </w:r>
      <w:r>
        <w:rPr>
          <w:i/>
          <w:w w:val="105"/>
          <w:sz w:val="19"/>
        </w:rPr>
        <w:t>contribution of the</w:t>
      </w:r>
      <w:r>
        <w:rPr>
          <w:i/>
          <w:spacing w:val="-2"/>
          <w:w w:val="105"/>
          <w:sz w:val="19"/>
        </w:rPr>
        <w:t> </w:t>
      </w:r>
      <w:r>
        <w:rPr>
          <w:i/>
          <w:w w:val="105"/>
          <w:sz w:val="19"/>
        </w:rPr>
        <w:t>students, faculty, and administrators</w:t>
      </w:r>
      <w:r>
        <w:rPr>
          <w:i/>
          <w:spacing w:val="-1"/>
          <w:w w:val="105"/>
          <w:sz w:val="19"/>
        </w:rPr>
        <w:t> </w:t>
      </w:r>
      <w:r>
        <w:rPr>
          <w:i/>
          <w:w w:val="105"/>
          <w:sz w:val="19"/>
        </w:rPr>
        <w:t>to the</w:t>
      </w:r>
      <w:r>
        <w:rPr>
          <w:i/>
          <w:spacing w:val="-11"/>
          <w:w w:val="105"/>
          <w:sz w:val="19"/>
        </w:rPr>
        <w:t> </w:t>
      </w:r>
      <w:r>
        <w:rPr>
          <w:i/>
          <w:w w:val="105"/>
          <w:sz w:val="19"/>
        </w:rPr>
        <w:t>governance and</w:t>
      </w:r>
      <w:r>
        <w:rPr>
          <w:i/>
          <w:spacing w:val="-3"/>
          <w:w w:val="105"/>
          <w:sz w:val="19"/>
        </w:rPr>
        <w:t> </w:t>
      </w:r>
      <w:r>
        <w:rPr>
          <w:i/>
          <w:w w:val="105"/>
          <w:sz w:val="19"/>
        </w:rPr>
        <w:t>the</w:t>
      </w:r>
      <w:r>
        <w:rPr>
          <w:i/>
          <w:spacing w:val="-5"/>
          <w:w w:val="105"/>
          <w:sz w:val="19"/>
        </w:rPr>
        <w:t> </w:t>
      </w:r>
      <w:r>
        <w:rPr>
          <w:i/>
          <w:w w:val="105"/>
          <w:sz w:val="19"/>
        </w:rPr>
        <w:t>intellectual and social</w:t>
      </w:r>
      <w:r>
        <w:rPr>
          <w:i/>
          <w:spacing w:val="-6"/>
          <w:w w:val="105"/>
          <w:sz w:val="19"/>
        </w:rPr>
        <w:t> </w:t>
      </w:r>
      <w:r>
        <w:rPr>
          <w:i/>
          <w:w w:val="105"/>
          <w:sz w:val="19"/>
        </w:rPr>
        <w:t>lives</w:t>
      </w:r>
      <w:r>
        <w:rPr>
          <w:i/>
          <w:spacing w:val="-1"/>
          <w:w w:val="105"/>
          <w:sz w:val="19"/>
        </w:rPr>
        <w:t> </w:t>
      </w:r>
      <w:r>
        <w:rPr>
          <w:i/>
          <w:w w:val="105"/>
          <w:sz w:val="19"/>
        </w:rPr>
        <w:t>of</w:t>
      </w:r>
      <w:r>
        <w:rPr>
          <w:i/>
          <w:spacing w:val="-8"/>
          <w:w w:val="105"/>
          <w:sz w:val="19"/>
        </w:rPr>
        <w:t> </w:t>
      </w:r>
      <w:r>
        <w:rPr>
          <w:i/>
          <w:w w:val="105"/>
          <w:sz w:val="19"/>
        </w:rPr>
        <w:t>the</w:t>
      </w:r>
      <w:r>
        <w:rPr>
          <w:i/>
          <w:spacing w:val="-5"/>
          <w:w w:val="105"/>
          <w:sz w:val="19"/>
        </w:rPr>
        <w:t> </w:t>
      </w:r>
      <w:r>
        <w:rPr>
          <w:i/>
          <w:w w:val="105"/>
          <w:sz w:val="19"/>
        </w:rPr>
        <w:t>institution; and</w:t>
      </w:r>
      <w:r>
        <w:rPr>
          <w:i/>
          <w:spacing w:val="-3"/>
          <w:w w:val="105"/>
          <w:sz w:val="19"/>
        </w:rPr>
        <w:t> </w:t>
      </w:r>
      <w:r>
        <w:rPr>
          <w:i/>
          <w:w w:val="105"/>
          <w:sz w:val="19"/>
        </w:rPr>
        <w:t>the</w:t>
      </w:r>
      <w:r>
        <w:rPr>
          <w:i/>
          <w:spacing w:val="-8"/>
          <w:w w:val="105"/>
          <w:sz w:val="19"/>
        </w:rPr>
        <w:t> </w:t>
      </w:r>
      <w:r>
        <w:rPr>
          <w:i/>
          <w:w w:val="105"/>
          <w:sz w:val="19"/>
        </w:rPr>
        <w:t>contribution of the</w:t>
      </w:r>
      <w:r>
        <w:rPr>
          <w:i/>
          <w:spacing w:val="-5"/>
          <w:w w:val="105"/>
          <w:sz w:val="19"/>
        </w:rPr>
        <w:t> </w:t>
      </w:r>
      <w:r>
        <w:rPr>
          <w:i/>
          <w:w w:val="105"/>
          <w:sz w:val="19"/>
        </w:rPr>
        <w:t>institution to the</w:t>
      </w:r>
      <w:r>
        <w:rPr>
          <w:i/>
          <w:spacing w:val="-5"/>
          <w:w w:val="105"/>
          <w:sz w:val="19"/>
        </w:rPr>
        <w:t> </w:t>
      </w:r>
      <w:r>
        <w:rPr>
          <w:i/>
          <w:w w:val="105"/>
          <w:sz w:val="19"/>
        </w:rPr>
        <w:t>accredited degree program in terms of intellectual </w:t>
      </w:r>
      <w:r>
        <w:rPr>
          <w:w w:val="105"/>
          <w:sz w:val="19"/>
        </w:rPr>
        <w:t>resources </w:t>
      </w:r>
      <w:r>
        <w:rPr>
          <w:i/>
          <w:w w:val="105"/>
          <w:sz w:val="19"/>
        </w:rPr>
        <w:t>and personnel.</w:t>
      </w:r>
    </w:p>
    <w:p>
      <w:pPr>
        <w:tabs>
          <w:tab w:pos="886" w:val="left" w:leader="none"/>
        </w:tabs>
        <w:spacing w:line="197" w:lineRule="exact" w:before="9"/>
        <w:ind w:left="0" w:right="824" w:firstLine="0"/>
        <w:jc w:val="right"/>
        <w:rPr>
          <w:sz w:val="19"/>
        </w:rPr>
      </w:pPr>
      <w:r>
        <w:rPr>
          <w:spacing w:val="-5"/>
          <w:w w:val="110"/>
          <w:sz w:val="19"/>
        </w:rPr>
        <w:t>Met</w:t>
      </w:r>
      <w:r>
        <w:rPr>
          <w:sz w:val="19"/>
        </w:rPr>
        <w:tab/>
      </w:r>
      <w:r>
        <w:rPr>
          <w:w w:val="105"/>
          <w:sz w:val="19"/>
        </w:rPr>
        <w:t>Not</w:t>
      </w:r>
      <w:r>
        <w:rPr>
          <w:spacing w:val="-3"/>
          <w:w w:val="105"/>
          <w:sz w:val="19"/>
        </w:rPr>
        <w:t> </w:t>
      </w:r>
      <w:r>
        <w:rPr>
          <w:spacing w:val="-5"/>
          <w:w w:val="110"/>
          <w:sz w:val="19"/>
        </w:rPr>
        <w:t>Met</w:t>
      </w:r>
    </w:p>
    <w:p>
      <w:pPr>
        <w:pStyle w:val="Heading4"/>
        <w:numPr>
          <w:ilvl w:val="3"/>
          <w:numId w:val="75"/>
        </w:numPr>
        <w:tabs>
          <w:tab w:pos="1038" w:val="left" w:leader="none"/>
          <w:tab w:pos="1039" w:val="left" w:leader="none"/>
        </w:tabs>
        <w:spacing w:line="324" w:lineRule="exact" w:before="0" w:after="0"/>
        <w:ind w:left="1038" w:right="1041" w:hanging="1039"/>
        <w:jc w:val="right"/>
        <w:rPr>
          <w:sz w:val="24"/>
        </w:rPr>
      </w:pPr>
      <w:r>
        <w:rPr>
          <w:w w:val="105"/>
        </w:rPr>
        <w:t>I</w:t>
      </w:r>
      <w:r>
        <w:rPr>
          <w:spacing w:val="34"/>
          <w:w w:val="105"/>
        </w:rPr>
        <w:t> </w:t>
      </w:r>
      <w:r>
        <w:rPr>
          <w:spacing w:val="-10"/>
          <w:w w:val="105"/>
        </w:rPr>
        <w:t>l</w:t>
      </w:r>
    </w:p>
    <w:p>
      <w:pPr>
        <w:spacing w:line="252" w:lineRule="auto" w:before="221"/>
        <w:ind w:left="1681" w:right="311" w:firstLine="8"/>
        <w:jc w:val="left"/>
        <w:rPr>
          <w:sz w:val="19"/>
        </w:rPr>
      </w:pPr>
      <w:r>
        <w:rPr>
          <w:w w:val="105"/>
          <w:sz w:val="19"/>
        </w:rPr>
        <w:t>The Department</w:t>
      </w:r>
      <w:r>
        <w:rPr>
          <w:spacing w:val="22"/>
          <w:w w:val="105"/>
          <w:sz w:val="19"/>
        </w:rPr>
        <w:t> </w:t>
      </w:r>
      <w:r>
        <w:rPr>
          <w:w w:val="105"/>
          <w:sz w:val="19"/>
        </w:rPr>
        <w:t>of Architecture is</w:t>
      </w:r>
      <w:r>
        <w:rPr>
          <w:spacing w:val="24"/>
          <w:w w:val="105"/>
          <w:sz w:val="19"/>
        </w:rPr>
        <w:t> </w:t>
      </w:r>
      <w:r>
        <w:rPr>
          <w:w w:val="105"/>
          <w:sz w:val="19"/>
        </w:rPr>
        <w:t>actively engaged in</w:t>
      </w:r>
      <w:r>
        <w:rPr>
          <w:spacing w:val="26"/>
          <w:w w:val="105"/>
          <w:sz w:val="19"/>
        </w:rPr>
        <w:t> </w:t>
      </w:r>
      <w:r>
        <w:rPr>
          <w:w w:val="105"/>
          <w:sz w:val="19"/>
        </w:rPr>
        <w:t>the academic</w:t>
      </w:r>
      <w:r>
        <w:rPr>
          <w:spacing w:val="22"/>
          <w:w w:val="105"/>
          <w:sz w:val="19"/>
        </w:rPr>
        <w:t> </w:t>
      </w:r>
      <w:r>
        <w:rPr>
          <w:w w:val="105"/>
          <w:sz w:val="19"/>
        </w:rPr>
        <w:t>mission and life</w:t>
      </w:r>
      <w:r>
        <w:rPr>
          <w:spacing w:val="-13"/>
          <w:w w:val="105"/>
          <w:sz w:val="19"/>
        </w:rPr>
        <w:t> </w:t>
      </w:r>
      <w:r>
        <w:rPr>
          <w:w w:val="105"/>
          <w:sz w:val="19"/>
        </w:rPr>
        <w:t>of the</w:t>
      </w:r>
      <w:r>
        <w:rPr>
          <w:spacing w:val="-12"/>
          <w:w w:val="105"/>
          <w:sz w:val="19"/>
        </w:rPr>
        <w:t> </w:t>
      </w:r>
      <w:r>
        <w:rPr>
          <w:w w:val="105"/>
          <w:sz w:val="19"/>
        </w:rPr>
        <w:t>university.</w:t>
      </w:r>
      <w:r>
        <w:rPr>
          <w:spacing w:val="40"/>
          <w:w w:val="105"/>
          <w:sz w:val="19"/>
        </w:rPr>
        <w:t> </w:t>
      </w:r>
      <w:r>
        <w:rPr>
          <w:w w:val="105"/>
          <w:sz w:val="19"/>
        </w:rPr>
        <w:t>Faculty members</w:t>
      </w:r>
      <w:r>
        <w:rPr>
          <w:spacing w:val="-2"/>
          <w:w w:val="105"/>
          <w:sz w:val="19"/>
        </w:rPr>
        <w:t> </w:t>
      </w:r>
      <w:r>
        <w:rPr>
          <w:w w:val="105"/>
          <w:sz w:val="19"/>
        </w:rPr>
        <w:t>interact</w:t>
      </w:r>
      <w:r>
        <w:rPr>
          <w:spacing w:val="-6"/>
          <w:w w:val="105"/>
          <w:sz w:val="19"/>
        </w:rPr>
        <w:t> </w:t>
      </w:r>
      <w:r>
        <w:rPr>
          <w:w w:val="105"/>
          <w:sz w:val="19"/>
        </w:rPr>
        <w:t>with</w:t>
      </w:r>
      <w:r>
        <w:rPr>
          <w:spacing w:val="-5"/>
          <w:w w:val="105"/>
          <w:sz w:val="19"/>
        </w:rPr>
        <w:t> </w:t>
      </w:r>
      <w:r>
        <w:rPr>
          <w:w w:val="105"/>
          <w:sz w:val="19"/>
        </w:rPr>
        <w:t>colleagues from</w:t>
      </w:r>
      <w:r>
        <w:rPr>
          <w:spacing w:val="-11"/>
          <w:w w:val="105"/>
          <w:sz w:val="19"/>
        </w:rPr>
        <w:t> </w:t>
      </w:r>
      <w:r>
        <w:rPr>
          <w:w w:val="105"/>
          <w:sz w:val="19"/>
        </w:rPr>
        <w:t>a variety of other</w:t>
      </w:r>
      <w:r>
        <w:rPr>
          <w:spacing w:val="-10"/>
          <w:w w:val="105"/>
          <w:sz w:val="19"/>
        </w:rPr>
        <w:t> </w:t>
      </w:r>
      <w:r>
        <w:rPr>
          <w:w w:val="105"/>
          <w:sz w:val="19"/>
        </w:rPr>
        <w:t>university disciplines in projects, lectures and</w:t>
      </w:r>
      <w:r>
        <w:rPr>
          <w:spacing w:val="-6"/>
          <w:w w:val="105"/>
          <w:sz w:val="19"/>
        </w:rPr>
        <w:t> </w:t>
      </w:r>
      <w:r>
        <w:rPr>
          <w:w w:val="105"/>
          <w:sz w:val="19"/>
        </w:rPr>
        <w:t>reviews.</w:t>
      </w:r>
      <w:r>
        <w:rPr>
          <w:spacing w:val="40"/>
          <w:w w:val="105"/>
          <w:sz w:val="19"/>
        </w:rPr>
        <w:t> </w:t>
      </w:r>
      <w:r>
        <w:rPr>
          <w:w w:val="105"/>
          <w:sz w:val="19"/>
        </w:rPr>
        <w:t>Dean Sheppard strives to support</w:t>
      </w:r>
      <w:r>
        <w:rPr>
          <w:spacing w:val="-1"/>
          <w:w w:val="105"/>
          <w:sz w:val="19"/>
        </w:rPr>
        <w:t> </w:t>
      </w:r>
      <w:r>
        <w:rPr>
          <w:w w:val="105"/>
          <w:sz w:val="19"/>
        </w:rPr>
        <w:t>academic collaboration in the</w:t>
      </w:r>
      <w:r>
        <w:rPr>
          <w:spacing w:val="-6"/>
          <w:w w:val="105"/>
          <w:sz w:val="19"/>
        </w:rPr>
        <w:t> </w:t>
      </w:r>
      <w:r>
        <w:rPr>
          <w:w w:val="105"/>
          <w:sz w:val="19"/>
        </w:rPr>
        <w:t>college, and</w:t>
      </w:r>
      <w:r>
        <w:rPr>
          <w:spacing w:val="-7"/>
          <w:w w:val="105"/>
          <w:sz w:val="19"/>
        </w:rPr>
        <w:t> </w:t>
      </w:r>
      <w:r>
        <w:rPr>
          <w:w w:val="105"/>
          <w:sz w:val="19"/>
        </w:rPr>
        <w:t>is</w:t>
      </w:r>
      <w:r>
        <w:rPr>
          <w:spacing w:val="-3"/>
          <w:w w:val="105"/>
          <w:sz w:val="19"/>
        </w:rPr>
        <w:t> </w:t>
      </w:r>
      <w:r>
        <w:rPr>
          <w:w w:val="105"/>
          <w:sz w:val="19"/>
        </w:rPr>
        <w:t>actively seeking external</w:t>
      </w:r>
      <w:r>
        <w:rPr>
          <w:spacing w:val="-2"/>
          <w:w w:val="105"/>
          <w:sz w:val="19"/>
        </w:rPr>
        <w:t> </w:t>
      </w:r>
      <w:r>
        <w:rPr>
          <w:w w:val="105"/>
          <w:sz w:val="19"/>
        </w:rPr>
        <w:t>support for</w:t>
      </w:r>
      <w:r>
        <w:rPr>
          <w:spacing w:val="-10"/>
          <w:w w:val="105"/>
          <w:sz w:val="19"/>
        </w:rPr>
        <w:t> </w:t>
      </w:r>
      <w:r>
        <w:rPr>
          <w:w w:val="105"/>
          <w:sz w:val="19"/>
        </w:rPr>
        <w:t>projects</w:t>
      </w:r>
      <w:r>
        <w:rPr>
          <w:spacing w:val="-5"/>
          <w:w w:val="105"/>
          <w:sz w:val="19"/>
        </w:rPr>
        <w:t> </w:t>
      </w:r>
      <w:r>
        <w:rPr>
          <w:w w:val="105"/>
          <w:sz w:val="19"/>
        </w:rPr>
        <w:t>that</w:t>
      </w:r>
      <w:r>
        <w:rPr>
          <w:spacing w:val="-3"/>
          <w:w w:val="105"/>
          <w:sz w:val="19"/>
        </w:rPr>
        <w:t> </w:t>
      </w:r>
      <w:r>
        <w:rPr>
          <w:w w:val="105"/>
          <w:sz w:val="19"/>
        </w:rPr>
        <w:t>have been identified.</w:t>
      </w:r>
      <w:r>
        <w:rPr>
          <w:spacing w:val="40"/>
          <w:w w:val="105"/>
          <w:sz w:val="19"/>
        </w:rPr>
        <w:t> </w:t>
      </w:r>
      <w:r>
        <w:rPr>
          <w:w w:val="105"/>
          <w:sz w:val="19"/>
        </w:rPr>
        <w:t>The administratiOn</w:t>
      </w:r>
      <w:r>
        <w:rPr>
          <w:spacing w:val="-9"/>
          <w:w w:val="105"/>
          <w:sz w:val="19"/>
        </w:rPr>
        <w:t> </w:t>
      </w:r>
      <w:r>
        <w:rPr>
          <w:w w:val="105"/>
          <w:sz w:val="19"/>
        </w:rPr>
        <w:t>is aware</w:t>
      </w:r>
      <w:r>
        <w:rPr>
          <w:spacing w:val="-6"/>
          <w:w w:val="105"/>
          <w:sz w:val="19"/>
        </w:rPr>
        <w:t> </w:t>
      </w:r>
      <w:r>
        <w:rPr>
          <w:w w:val="105"/>
          <w:sz w:val="19"/>
        </w:rPr>
        <w:t>of the distinctive demands of architectural education and</w:t>
      </w:r>
      <w:r>
        <w:rPr>
          <w:spacing w:val="-3"/>
          <w:w w:val="105"/>
          <w:sz w:val="19"/>
        </w:rPr>
        <w:t> </w:t>
      </w:r>
      <w:r>
        <w:rPr>
          <w:w w:val="105"/>
          <w:sz w:val="19"/>
        </w:rPr>
        <w:t>has supported the</w:t>
      </w:r>
      <w:r>
        <w:rPr>
          <w:spacing w:val="-8"/>
          <w:w w:val="105"/>
          <w:sz w:val="19"/>
        </w:rPr>
        <w:t> </w:t>
      </w:r>
      <w:r>
        <w:rPr>
          <w:w w:val="105"/>
          <w:sz w:val="19"/>
        </w:rPr>
        <w:t>program's intellectual resource needs to the</w:t>
      </w:r>
      <w:r>
        <w:rPr>
          <w:spacing w:val="-1"/>
          <w:w w:val="105"/>
          <w:sz w:val="19"/>
        </w:rPr>
        <w:t> </w:t>
      </w:r>
      <w:r>
        <w:rPr>
          <w:w w:val="105"/>
          <w:sz w:val="19"/>
        </w:rPr>
        <w:t>extent</w:t>
      </w:r>
      <w:r>
        <w:rPr>
          <w:spacing w:val="-3"/>
          <w:w w:val="105"/>
          <w:sz w:val="19"/>
        </w:rPr>
        <w:t> </w:t>
      </w:r>
      <w:r>
        <w:rPr>
          <w:w w:val="105"/>
          <w:sz w:val="19"/>
        </w:rPr>
        <w:t>that limited</w:t>
      </w:r>
      <w:r>
        <w:rPr>
          <w:spacing w:val="-2"/>
          <w:w w:val="105"/>
          <w:sz w:val="19"/>
        </w:rPr>
        <w:t> </w:t>
      </w:r>
      <w:r>
        <w:rPr>
          <w:w w:val="105"/>
          <w:sz w:val="19"/>
        </w:rPr>
        <w:t>budgets</w:t>
      </w:r>
      <w:r>
        <w:rPr>
          <w:spacing w:val="-3"/>
          <w:w w:val="105"/>
          <w:sz w:val="19"/>
        </w:rPr>
        <w:t> </w:t>
      </w:r>
      <w:r>
        <w:rPr>
          <w:w w:val="105"/>
          <w:sz w:val="19"/>
        </w:rPr>
        <w:t>permit.</w:t>
      </w:r>
      <w:r>
        <w:rPr>
          <w:spacing w:val="40"/>
          <w:w w:val="105"/>
          <w:sz w:val="19"/>
        </w:rPr>
        <w:t> </w:t>
      </w:r>
      <w:r>
        <w:rPr>
          <w:w w:val="105"/>
          <w:sz w:val="19"/>
        </w:rPr>
        <w:t>The</w:t>
      </w:r>
      <w:r>
        <w:rPr>
          <w:spacing w:val="-7"/>
          <w:w w:val="105"/>
          <w:sz w:val="19"/>
        </w:rPr>
        <w:t> </w:t>
      </w:r>
      <w:r>
        <w:rPr>
          <w:w w:val="105"/>
          <w:sz w:val="19"/>
        </w:rPr>
        <w:t>academic quality of faculty and</w:t>
      </w:r>
      <w:r>
        <w:rPr>
          <w:spacing w:val="-11"/>
          <w:w w:val="105"/>
          <w:sz w:val="19"/>
        </w:rPr>
        <w:t> </w:t>
      </w:r>
      <w:r>
        <w:rPr>
          <w:w w:val="105"/>
          <w:sz w:val="19"/>
        </w:rPr>
        <w:t>students</w:t>
      </w:r>
      <w:r>
        <w:rPr>
          <w:spacing w:val="-1"/>
          <w:w w:val="105"/>
          <w:sz w:val="19"/>
        </w:rPr>
        <w:t> </w:t>
      </w:r>
      <w:r>
        <w:rPr>
          <w:w w:val="105"/>
          <w:sz w:val="19"/>
        </w:rPr>
        <w:t>in the department is exemplary, evidence that</w:t>
      </w:r>
      <w:r>
        <w:rPr>
          <w:spacing w:val="-7"/>
          <w:w w:val="105"/>
          <w:sz w:val="19"/>
        </w:rPr>
        <w:t> </w:t>
      </w:r>
      <w:r>
        <w:rPr>
          <w:w w:val="105"/>
          <w:sz w:val="19"/>
        </w:rPr>
        <w:t>University standards are</w:t>
      </w:r>
      <w:r>
        <w:rPr>
          <w:spacing w:val="-2"/>
          <w:w w:val="105"/>
          <w:sz w:val="19"/>
        </w:rPr>
        <w:t> </w:t>
      </w:r>
      <w:r>
        <w:rPr>
          <w:w w:val="105"/>
          <w:sz w:val="19"/>
        </w:rPr>
        <w:t>high.</w:t>
      </w:r>
      <w:r>
        <w:rPr>
          <w:spacing w:val="40"/>
          <w:w w:val="105"/>
          <w:sz w:val="19"/>
        </w:rPr>
        <w:t> </w:t>
      </w:r>
      <w:r>
        <w:rPr>
          <w:w w:val="105"/>
          <w:sz w:val="19"/>
        </w:rPr>
        <w:t>However, the department has initiated</w:t>
      </w:r>
      <w:r>
        <w:rPr>
          <w:spacing w:val="-5"/>
          <w:w w:val="105"/>
          <w:sz w:val="19"/>
        </w:rPr>
        <w:t> </w:t>
      </w:r>
      <w:r>
        <w:rPr>
          <w:w w:val="105"/>
          <w:sz w:val="19"/>
        </w:rPr>
        <w:t>an ambitious Master of</w:t>
      </w:r>
      <w:r>
        <w:rPr>
          <w:spacing w:val="-1"/>
          <w:w w:val="105"/>
          <w:sz w:val="19"/>
        </w:rPr>
        <w:t> </w:t>
      </w:r>
      <w:r>
        <w:rPr>
          <w:w w:val="105"/>
          <w:sz w:val="19"/>
        </w:rPr>
        <w:t>Architecture degree</w:t>
      </w:r>
      <w:r>
        <w:rPr>
          <w:spacing w:val="-1"/>
          <w:w w:val="105"/>
          <w:sz w:val="19"/>
        </w:rPr>
        <w:t> </w:t>
      </w:r>
      <w:r>
        <w:rPr>
          <w:w w:val="105"/>
          <w:sz w:val="19"/>
        </w:rPr>
        <w:t>program and</w:t>
      </w:r>
      <w:r>
        <w:rPr>
          <w:spacing w:val="-14"/>
          <w:w w:val="105"/>
          <w:sz w:val="19"/>
        </w:rPr>
        <w:t> </w:t>
      </w:r>
      <w:r>
        <w:rPr>
          <w:w w:val="105"/>
          <w:sz w:val="19"/>
        </w:rPr>
        <w:t>the University's support must rise to a commensurate level.</w:t>
      </w:r>
    </w:p>
    <w:p>
      <w:pPr>
        <w:pStyle w:val="BodyText"/>
        <w:spacing w:before="10"/>
        <w:rPr>
          <w:sz w:val="19"/>
        </w:rPr>
      </w:pPr>
    </w:p>
    <w:p>
      <w:pPr>
        <w:spacing w:line="252" w:lineRule="auto" w:before="0"/>
        <w:ind w:left="1690" w:right="279" w:hanging="2"/>
        <w:jc w:val="left"/>
        <w:rPr>
          <w:sz w:val="19"/>
        </w:rPr>
      </w:pPr>
      <w:r>
        <w:rPr>
          <w:w w:val="105"/>
          <w:sz w:val="19"/>
        </w:rPr>
        <w:t>The</w:t>
      </w:r>
      <w:r>
        <w:rPr>
          <w:spacing w:val="-4"/>
          <w:w w:val="105"/>
          <w:sz w:val="19"/>
        </w:rPr>
        <w:t> </w:t>
      </w:r>
      <w:r>
        <w:rPr>
          <w:w w:val="105"/>
          <w:sz w:val="19"/>
        </w:rPr>
        <w:t>expertise and</w:t>
      </w:r>
      <w:r>
        <w:rPr>
          <w:spacing w:val="-6"/>
          <w:w w:val="105"/>
          <w:sz w:val="19"/>
        </w:rPr>
        <w:t> </w:t>
      </w:r>
      <w:r>
        <w:rPr>
          <w:w w:val="105"/>
          <w:sz w:val="19"/>
        </w:rPr>
        <w:t>intellectual</w:t>
      </w:r>
      <w:r>
        <w:rPr>
          <w:spacing w:val="-7"/>
          <w:w w:val="105"/>
          <w:sz w:val="19"/>
        </w:rPr>
        <w:t> </w:t>
      </w:r>
      <w:r>
        <w:rPr>
          <w:w w:val="105"/>
          <w:sz w:val="19"/>
        </w:rPr>
        <w:t>strengths</w:t>
      </w:r>
      <w:r>
        <w:rPr>
          <w:spacing w:val="-6"/>
          <w:w w:val="105"/>
          <w:sz w:val="19"/>
        </w:rPr>
        <w:t> </w:t>
      </w:r>
      <w:r>
        <w:rPr>
          <w:w w:val="105"/>
          <w:sz w:val="19"/>
        </w:rPr>
        <w:t>of both</w:t>
      </w:r>
      <w:r>
        <w:rPr>
          <w:spacing w:val="-4"/>
          <w:w w:val="105"/>
          <w:sz w:val="19"/>
        </w:rPr>
        <w:t> </w:t>
      </w:r>
      <w:r>
        <w:rPr>
          <w:w w:val="105"/>
          <w:sz w:val="19"/>
        </w:rPr>
        <w:t>faculty and</w:t>
      </w:r>
      <w:r>
        <w:rPr>
          <w:spacing w:val="-8"/>
          <w:w w:val="105"/>
          <w:sz w:val="19"/>
        </w:rPr>
        <w:t> </w:t>
      </w:r>
      <w:r>
        <w:rPr>
          <w:w w:val="105"/>
          <w:sz w:val="19"/>
        </w:rPr>
        <w:t>students could</w:t>
      </w:r>
      <w:r>
        <w:rPr>
          <w:spacing w:val="-4"/>
          <w:w w:val="105"/>
          <w:sz w:val="19"/>
        </w:rPr>
        <w:t> </w:t>
      </w:r>
      <w:r>
        <w:rPr>
          <w:w w:val="105"/>
          <w:sz w:val="19"/>
        </w:rPr>
        <w:t>be</w:t>
      </w:r>
      <w:r>
        <w:rPr>
          <w:spacing w:val="-7"/>
          <w:w w:val="105"/>
          <w:sz w:val="19"/>
        </w:rPr>
        <w:t> </w:t>
      </w:r>
      <w:r>
        <w:rPr>
          <w:w w:val="105"/>
          <w:sz w:val="19"/>
        </w:rPr>
        <w:t>of benefit to the</w:t>
      </w:r>
      <w:r>
        <w:rPr>
          <w:spacing w:val="-9"/>
          <w:w w:val="105"/>
          <w:sz w:val="19"/>
        </w:rPr>
        <w:t> </w:t>
      </w:r>
      <w:r>
        <w:rPr>
          <w:w w:val="105"/>
          <w:sz w:val="19"/>
        </w:rPr>
        <w:t>University through their participation in campus planning and</w:t>
      </w:r>
      <w:r>
        <w:rPr>
          <w:spacing w:val="-6"/>
          <w:w w:val="105"/>
          <w:sz w:val="19"/>
        </w:rPr>
        <w:t> </w:t>
      </w:r>
      <w:r>
        <w:rPr>
          <w:w w:val="105"/>
          <w:sz w:val="19"/>
        </w:rPr>
        <w:t>design activities, where they currently feel</w:t>
      </w:r>
      <w:r>
        <w:rPr>
          <w:spacing w:val="-2"/>
          <w:w w:val="105"/>
          <w:sz w:val="19"/>
        </w:rPr>
        <w:t> </w:t>
      </w:r>
      <w:r>
        <w:rPr>
          <w:w w:val="105"/>
          <w:sz w:val="19"/>
        </w:rPr>
        <w:t>constrained.</w:t>
      </w:r>
      <w:r>
        <w:rPr>
          <w:spacing w:val="80"/>
          <w:w w:val="105"/>
          <w:sz w:val="19"/>
        </w:rPr>
        <w:t> </w:t>
      </w:r>
      <w:r>
        <w:rPr>
          <w:w w:val="105"/>
          <w:sz w:val="19"/>
        </w:rPr>
        <w:t>Design-build projects created by students can enhance the</w:t>
      </w:r>
      <w:r>
        <w:rPr>
          <w:spacing w:val="-9"/>
          <w:w w:val="105"/>
          <w:sz w:val="19"/>
        </w:rPr>
        <w:t> </w:t>
      </w:r>
      <w:r>
        <w:rPr>
          <w:w w:val="105"/>
          <w:sz w:val="19"/>
        </w:rPr>
        <w:t>campus environment and address simple needs. Student projects require administration-approved</w:t>
      </w:r>
      <w:r>
        <w:rPr>
          <w:spacing w:val="-15"/>
          <w:w w:val="105"/>
          <w:sz w:val="19"/>
        </w:rPr>
        <w:t> </w:t>
      </w:r>
      <w:r>
        <w:rPr>
          <w:w w:val="105"/>
          <w:sz w:val="19"/>
        </w:rPr>
        <w:t>space and respect by the grounds staff.</w:t>
      </w:r>
      <w:r>
        <w:rPr>
          <w:spacing w:val="40"/>
          <w:w w:val="105"/>
          <w:sz w:val="19"/>
        </w:rPr>
        <w:t> </w:t>
      </w:r>
      <w:r>
        <w:rPr>
          <w:w w:val="105"/>
          <w:sz w:val="19"/>
        </w:rPr>
        <w:t>Finally, the university could leverage the architecture program's accomplishments</w:t>
      </w:r>
      <w:r>
        <w:rPr>
          <w:spacing w:val="-2"/>
          <w:w w:val="105"/>
          <w:sz w:val="19"/>
        </w:rPr>
        <w:t> </w:t>
      </w:r>
      <w:r>
        <w:rPr>
          <w:w w:val="105"/>
          <w:sz w:val="19"/>
        </w:rPr>
        <w:t>and its distinctive national (and international)</w:t>
      </w:r>
      <w:r>
        <w:rPr>
          <w:spacing w:val="-11"/>
          <w:w w:val="105"/>
          <w:sz w:val="19"/>
        </w:rPr>
        <w:t> </w:t>
      </w:r>
      <w:r>
        <w:rPr>
          <w:w w:val="105"/>
          <w:sz w:val="19"/>
        </w:rPr>
        <w:t>reputation by incorporating "Architecture" into</w:t>
      </w:r>
      <w:r>
        <w:rPr>
          <w:spacing w:val="-5"/>
          <w:w w:val="105"/>
          <w:sz w:val="19"/>
        </w:rPr>
        <w:t> </w:t>
      </w:r>
      <w:r>
        <w:rPr>
          <w:w w:val="105"/>
          <w:sz w:val="19"/>
        </w:rPr>
        <w:t>the name of its college.</w:t>
      </w:r>
    </w:p>
    <w:p>
      <w:pPr>
        <w:pStyle w:val="BodyText"/>
      </w:pPr>
    </w:p>
    <w:p>
      <w:pPr>
        <w:pStyle w:val="BodyText"/>
        <w:spacing w:before="8"/>
        <w:rPr>
          <w:sz w:val="18"/>
        </w:rPr>
      </w:pPr>
    </w:p>
    <w:p>
      <w:pPr>
        <w:pStyle w:val="ListParagraph"/>
        <w:numPr>
          <w:ilvl w:val="2"/>
          <w:numId w:val="75"/>
        </w:numPr>
        <w:tabs>
          <w:tab w:pos="1693" w:val="left" w:leader="none"/>
          <w:tab w:pos="1695" w:val="left" w:leader="none"/>
        </w:tabs>
        <w:spacing w:line="240" w:lineRule="auto" w:before="0" w:after="0"/>
        <w:ind w:left="1694" w:right="0" w:hanging="728"/>
        <w:jc w:val="left"/>
        <w:rPr>
          <w:sz w:val="21"/>
        </w:rPr>
      </w:pPr>
      <w:r>
        <w:rPr>
          <w:spacing w:val="-2"/>
          <w:w w:val="105"/>
          <w:sz w:val="21"/>
        </w:rPr>
        <w:t>Architecture</w:t>
      </w:r>
      <w:r>
        <w:rPr>
          <w:spacing w:val="2"/>
          <w:w w:val="105"/>
          <w:sz w:val="21"/>
        </w:rPr>
        <w:t> </w:t>
      </w:r>
      <w:r>
        <w:rPr>
          <w:spacing w:val="-2"/>
          <w:w w:val="105"/>
          <w:sz w:val="21"/>
        </w:rPr>
        <w:t>Education</w:t>
      </w:r>
      <w:r>
        <w:rPr>
          <w:spacing w:val="3"/>
          <w:w w:val="105"/>
          <w:sz w:val="21"/>
        </w:rPr>
        <w:t> </w:t>
      </w:r>
      <w:r>
        <w:rPr>
          <w:spacing w:val="-2"/>
          <w:w w:val="105"/>
          <w:sz w:val="21"/>
        </w:rPr>
        <w:t>and</w:t>
      </w:r>
      <w:r>
        <w:rPr>
          <w:spacing w:val="-4"/>
          <w:w w:val="105"/>
          <w:sz w:val="21"/>
        </w:rPr>
        <w:t> </w:t>
      </w:r>
      <w:r>
        <w:rPr>
          <w:spacing w:val="-2"/>
          <w:w w:val="105"/>
          <w:sz w:val="21"/>
        </w:rPr>
        <w:t>Students</w:t>
      </w:r>
    </w:p>
    <w:p>
      <w:pPr>
        <w:pStyle w:val="BodyText"/>
        <w:spacing w:before="10"/>
      </w:pPr>
    </w:p>
    <w:p>
      <w:pPr>
        <w:spacing w:line="254" w:lineRule="auto" w:before="0"/>
        <w:ind w:left="1693" w:right="311" w:firstLine="5"/>
        <w:jc w:val="left"/>
        <w:rPr>
          <w:i/>
          <w:sz w:val="19"/>
        </w:rPr>
      </w:pPr>
      <w:r>
        <w:rPr>
          <w:i/>
          <w:w w:val="105"/>
          <w:sz w:val="19"/>
        </w:rPr>
        <w:t>The accredited degree program must</w:t>
      </w:r>
      <w:r>
        <w:rPr>
          <w:i/>
          <w:spacing w:val="-1"/>
          <w:w w:val="105"/>
          <w:sz w:val="19"/>
        </w:rPr>
        <w:t> </w:t>
      </w:r>
      <w:r>
        <w:rPr>
          <w:i/>
          <w:w w:val="105"/>
          <w:sz w:val="19"/>
        </w:rPr>
        <w:t>demonstrate that it provides support and encouragement</w:t>
      </w:r>
      <w:r>
        <w:rPr>
          <w:i/>
          <w:spacing w:val="40"/>
          <w:w w:val="105"/>
          <w:sz w:val="19"/>
        </w:rPr>
        <w:t> </w:t>
      </w:r>
      <w:r>
        <w:rPr>
          <w:i/>
          <w:w w:val="105"/>
          <w:sz w:val="19"/>
        </w:rPr>
        <w:t>for students to assume leadership roles in</w:t>
      </w:r>
      <w:r>
        <w:rPr>
          <w:i/>
          <w:spacing w:val="-10"/>
          <w:w w:val="105"/>
          <w:sz w:val="19"/>
        </w:rPr>
        <w:t> </w:t>
      </w:r>
      <w:r>
        <w:rPr>
          <w:i/>
          <w:w w:val="105"/>
          <w:sz w:val="19"/>
        </w:rPr>
        <w:t>school and later in</w:t>
      </w:r>
      <w:r>
        <w:rPr>
          <w:i/>
          <w:spacing w:val="-1"/>
          <w:w w:val="105"/>
          <w:sz w:val="19"/>
        </w:rPr>
        <w:t> </w:t>
      </w:r>
      <w:r>
        <w:rPr>
          <w:i/>
          <w:w w:val="105"/>
          <w:sz w:val="19"/>
        </w:rPr>
        <w:t>the profession and</w:t>
      </w:r>
      <w:r>
        <w:rPr>
          <w:i/>
          <w:spacing w:val="-5"/>
          <w:w w:val="105"/>
          <w:sz w:val="19"/>
        </w:rPr>
        <w:t> </w:t>
      </w:r>
      <w:r>
        <w:rPr>
          <w:i/>
          <w:w w:val="105"/>
          <w:sz w:val="19"/>
        </w:rPr>
        <w:t>that</w:t>
      </w:r>
      <w:r>
        <w:rPr>
          <w:i/>
          <w:spacing w:val="-10"/>
          <w:w w:val="105"/>
          <w:sz w:val="19"/>
        </w:rPr>
        <w:t> </w:t>
      </w:r>
      <w:r>
        <w:rPr>
          <w:i/>
          <w:w w:val="105"/>
          <w:sz w:val="19"/>
        </w:rPr>
        <w:t>it</w:t>
      </w:r>
      <w:r>
        <w:rPr>
          <w:i/>
          <w:spacing w:val="-8"/>
          <w:w w:val="105"/>
          <w:sz w:val="19"/>
        </w:rPr>
        <w:t> </w:t>
      </w:r>
      <w:r>
        <w:rPr>
          <w:i/>
          <w:w w:val="105"/>
          <w:sz w:val="19"/>
        </w:rPr>
        <w:t>provides an</w:t>
      </w:r>
      <w:r>
        <w:rPr>
          <w:i/>
          <w:spacing w:val="-11"/>
          <w:w w:val="105"/>
          <w:sz w:val="19"/>
        </w:rPr>
        <w:t> </w:t>
      </w:r>
      <w:r>
        <w:rPr>
          <w:i/>
          <w:w w:val="105"/>
          <w:sz w:val="19"/>
        </w:rPr>
        <w:t>environment that</w:t>
      </w:r>
      <w:r>
        <w:rPr>
          <w:i/>
          <w:spacing w:val="-4"/>
          <w:w w:val="105"/>
          <w:sz w:val="19"/>
        </w:rPr>
        <w:t> </w:t>
      </w:r>
      <w:r>
        <w:rPr>
          <w:i/>
          <w:w w:val="105"/>
          <w:sz w:val="19"/>
        </w:rPr>
        <w:t>embraces cultural ddferences. Given the program's mission, the APR may explain how students participate in setting their individual and collective learning agendas; how they are</w:t>
      </w:r>
      <w:r>
        <w:rPr>
          <w:i/>
          <w:spacing w:val="-5"/>
          <w:w w:val="105"/>
          <w:sz w:val="19"/>
        </w:rPr>
        <w:t> </w:t>
      </w:r>
      <w:r>
        <w:rPr>
          <w:i/>
          <w:w w:val="105"/>
          <w:sz w:val="19"/>
        </w:rPr>
        <w:t>encouraged to cooperate with, assist, share decision making with, and respect students who may be different from themselves; their </w:t>
      </w:r>
      <w:r>
        <w:rPr>
          <w:w w:val="105"/>
          <w:sz w:val="19"/>
        </w:rPr>
        <w:t>access </w:t>
      </w:r>
      <w:r>
        <w:rPr>
          <w:i/>
          <w:w w:val="105"/>
          <w:sz w:val="19"/>
        </w:rPr>
        <w:t>to the</w:t>
      </w:r>
      <w:r>
        <w:rPr>
          <w:i/>
          <w:spacing w:val="-2"/>
          <w:w w:val="105"/>
          <w:sz w:val="19"/>
        </w:rPr>
        <w:t> </w:t>
      </w:r>
      <w:r>
        <w:rPr>
          <w:i/>
          <w:w w:val="105"/>
          <w:sz w:val="19"/>
        </w:rPr>
        <w:t>information</w:t>
      </w:r>
      <w:r>
        <w:rPr>
          <w:i/>
          <w:spacing w:val="29"/>
          <w:w w:val="105"/>
          <w:sz w:val="19"/>
        </w:rPr>
        <w:t> </w:t>
      </w:r>
      <w:r>
        <w:rPr>
          <w:i/>
          <w:w w:val="105"/>
          <w:sz w:val="19"/>
        </w:rPr>
        <w:t>needed to</w:t>
      </w:r>
      <w:r>
        <w:rPr>
          <w:i/>
          <w:spacing w:val="-2"/>
          <w:w w:val="105"/>
          <w:sz w:val="19"/>
        </w:rPr>
        <w:t> </w:t>
      </w:r>
      <w:r>
        <w:rPr>
          <w:i/>
          <w:w w:val="105"/>
          <w:sz w:val="19"/>
        </w:rPr>
        <w:t>shape their future; their exposure to</w:t>
      </w:r>
      <w:r>
        <w:rPr>
          <w:i/>
          <w:spacing w:val="-4"/>
          <w:w w:val="105"/>
          <w:sz w:val="19"/>
        </w:rPr>
        <w:t> </w:t>
      </w:r>
      <w:r>
        <w:rPr>
          <w:i/>
          <w:w w:val="105"/>
          <w:sz w:val="19"/>
        </w:rPr>
        <w:t>the national and international context of practice and the</w:t>
      </w:r>
      <w:r>
        <w:rPr>
          <w:i/>
          <w:spacing w:val="-4"/>
          <w:w w:val="105"/>
          <w:sz w:val="19"/>
        </w:rPr>
        <w:t> </w:t>
      </w:r>
      <w:r>
        <w:rPr>
          <w:i/>
          <w:w w:val="105"/>
          <w:sz w:val="19"/>
        </w:rPr>
        <w:t>work of the allied design disciplines; and how students' diversity, distinctiveness, self-worth, and dignity are </w:t>
      </w:r>
      <w:r>
        <w:rPr>
          <w:i/>
          <w:spacing w:val="-2"/>
          <w:w w:val="105"/>
          <w:sz w:val="19"/>
        </w:rPr>
        <w:t>nurtured.</w:t>
      </w:r>
    </w:p>
    <w:p>
      <w:pPr>
        <w:tabs>
          <w:tab w:pos="895" w:val="left" w:leader="none"/>
        </w:tabs>
        <w:spacing w:line="197" w:lineRule="exact" w:before="0"/>
        <w:ind w:left="0" w:right="795" w:firstLine="0"/>
        <w:jc w:val="right"/>
        <w:rPr>
          <w:sz w:val="19"/>
        </w:rPr>
      </w:pPr>
      <w:r>
        <w:rPr>
          <w:spacing w:val="-5"/>
          <w:w w:val="110"/>
          <w:sz w:val="19"/>
        </w:rPr>
        <w:t>Met</w:t>
      </w:r>
      <w:r>
        <w:rPr>
          <w:sz w:val="19"/>
        </w:rPr>
        <w:tab/>
      </w:r>
      <w:r>
        <w:rPr>
          <w:w w:val="105"/>
          <w:sz w:val="19"/>
        </w:rPr>
        <w:t>Not</w:t>
      </w:r>
      <w:r>
        <w:rPr>
          <w:spacing w:val="-13"/>
          <w:w w:val="105"/>
          <w:sz w:val="19"/>
        </w:rPr>
        <w:t> </w:t>
      </w:r>
      <w:r>
        <w:rPr>
          <w:spacing w:val="-5"/>
          <w:w w:val="110"/>
          <w:sz w:val="19"/>
        </w:rPr>
        <w:t>Met</w:t>
      </w:r>
    </w:p>
    <w:p>
      <w:pPr>
        <w:pStyle w:val="Heading4"/>
        <w:numPr>
          <w:ilvl w:val="3"/>
          <w:numId w:val="75"/>
        </w:numPr>
        <w:tabs>
          <w:tab w:pos="1048" w:val="left" w:leader="none"/>
          <w:tab w:pos="1049" w:val="left" w:leader="none"/>
        </w:tabs>
        <w:spacing w:line="329" w:lineRule="exact" w:before="0" w:after="0"/>
        <w:ind w:left="1048" w:right="1012" w:hanging="1049"/>
        <w:jc w:val="right"/>
      </w:pPr>
      <w:r>
        <w:rPr>
          <w:w w:val="105"/>
        </w:rPr>
        <w:t>I</w:t>
      </w:r>
      <w:r>
        <w:rPr>
          <w:spacing w:val="25"/>
          <w:w w:val="105"/>
        </w:rPr>
        <w:t> </w:t>
      </w:r>
      <w:r>
        <w:rPr>
          <w:spacing w:val="-10"/>
          <w:w w:val="105"/>
        </w:rPr>
        <w:t>l</w:t>
      </w:r>
    </w:p>
    <w:p>
      <w:pPr>
        <w:pStyle w:val="BodyText"/>
      </w:pPr>
    </w:p>
    <w:p>
      <w:pPr>
        <w:pStyle w:val="BodyText"/>
        <w:spacing w:before="5"/>
        <w:rPr>
          <w:sz w:val="28"/>
        </w:rPr>
      </w:pPr>
      <w:r>
        <w:rPr/>
        <w:pict>
          <v:shape style="position:absolute;margin-left:67.451866pt;margin-top:17.548634pt;width:454.35pt;height:.1pt;mso-position-horizontal-relative:page;mso-position-vertical-relative:paragraph;z-index:-15704576;mso-wrap-distance-left:0;mso-wrap-distance-right:0" id="docshape627" coordorigin="1349,351" coordsize="9087,0" path="m1349,351l10436,351e" filled="false" stroked="true" strokeweight=".481434pt" strokecolor="#000000">
            <v:path arrowok="t"/>
            <v:stroke dashstyle="solid"/>
            <w10:wrap type="topAndBottom"/>
          </v:shape>
        </w:pict>
      </w:r>
    </w:p>
    <w:p>
      <w:pPr>
        <w:spacing w:before="1"/>
        <w:ind w:left="0" w:right="210" w:firstLine="0"/>
        <w:jc w:val="right"/>
        <w:rPr>
          <w:sz w:val="21"/>
        </w:rPr>
      </w:pPr>
      <w:r>
        <w:rPr>
          <w:w w:val="94"/>
          <w:sz w:val="21"/>
        </w:rPr>
        <w:t>5</w:t>
      </w:r>
    </w:p>
    <w:p>
      <w:pPr>
        <w:spacing w:after="0"/>
        <w:jc w:val="right"/>
        <w:rPr>
          <w:sz w:val="21"/>
        </w:rPr>
        <w:sectPr>
          <w:headerReference w:type="default" r:id="rId369"/>
          <w:footerReference w:type="default" r:id="rId370"/>
          <w:pgSz w:w="12180" w:h="15820"/>
          <w:pgMar w:header="647" w:footer="0" w:top="1260" w:bottom="280" w:left="1120" w:right="1180"/>
        </w:sectPr>
      </w:pPr>
    </w:p>
    <w:p>
      <w:pPr>
        <w:pStyle w:val="BodyText"/>
        <w:spacing w:before="4"/>
        <w:rPr>
          <w:sz w:val="17"/>
        </w:rPr>
      </w:pPr>
    </w:p>
    <w:p>
      <w:pPr>
        <w:pStyle w:val="BodyText"/>
        <w:spacing w:before="94"/>
        <w:ind w:left="1685" w:right="311" w:firstLine="13"/>
      </w:pPr>
      <w:r>
        <w:rPr/>
        <w:t>This condition</w:t>
      </w:r>
      <w:r>
        <w:rPr>
          <w:spacing w:val="-1"/>
        </w:rPr>
        <w:t> </w:t>
      </w:r>
      <w:r>
        <w:rPr/>
        <w:t>is well</w:t>
      </w:r>
      <w:r>
        <w:rPr>
          <w:spacing w:val="-14"/>
        </w:rPr>
        <w:t> </w:t>
      </w:r>
      <w:r>
        <w:rPr/>
        <w:t>met.</w:t>
      </w:r>
      <w:r>
        <w:rPr>
          <w:spacing w:val="40"/>
        </w:rPr>
        <w:t> </w:t>
      </w:r>
      <w:r>
        <w:rPr/>
        <w:t>There</w:t>
      </w:r>
      <w:r>
        <w:rPr>
          <w:spacing w:val="-2"/>
        </w:rPr>
        <w:t> </w:t>
      </w:r>
      <w:r>
        <w:rPr/>
        <w:t>is a high energy level</w:t>
      </w:r>
      <w:r>
        <w:rPr>
          <w:spacing w:val="-17"/>
        </w:rPr>
        <w:t> </w:t>
      </w:r>
      <w:r>
        <w:rPr/>
        <w:t>among</w:t>
      </w:r>
      <w:r>
        <w:rPr>
          <w:spacing w:val="-2"/>
        </w:rPr>
        <w:t> </w:t>
      </w:r>
      <w:r>
        <w:rPr/>
        <w:t>the</w:t>
      </w:r>
      <w:r>
        <w:rPr>
          <w:spacing w:val="-1"/>
        </w:rPr>
        <w:t> </w:t>
      </w:r>
      <w:r>
        <w:rPr/>
        <w:t>students.</w:t>
      </w:r>
      <w:r>
        <w:rPr>
          <w:spacing w:val="40"/>
        </w:rPr>
        <w:t> </w:t>
      </w:r>
      <w:r>
        <w:rPr/>
        <w:t>While they recognize the</w:t>
      </w:r>
      <w:r>
        <w:rPr>
          <w:spacing w:val="-12"/>
        </w:rPr>
        <w:t> </w:t>
      </w:r>
      <w:r>
        <w:rPr/>
        <w:t>challenges facing them and</w:t>
      </w:r>
      <w:r>
        <w:rPr>
          <w:spacing w:val="-3"/>
        </w:rPr>
        <w:t> </w:t>
      </w:r>
      <w:r>
        <w:rPr/>
        <w:t>the Department of Architecture,</w:t>
      </w:r>
      <w:r>
        <w:rPr>
          <w:spacing w:val="29"/>
        </w:rPr>
        <w:t> </w:t>
      </w:r>
      <w:r>
        <w:rPr/>
        <w:t>the</w:t>
      </w:r>
      <w:r>
        <w:rPr>
          <w:spacing w:val="-11"/>
        </w:rPr>
        <w:t> </w:t>
      </w:r>
      <w:r>
        <w:rPr/>
        <w:t>students are</w:t>
      </w:r>
      <w:r>
        <w:rPr>
          <w:spacing w:val="-16"/>
        </w:rPr>
        <w:t> </w:t>
      </w:r>
      <w:r>
        <w:rPr/>
        <w:t>energetic</w:t>
      </w:r>
      <w:r>
        <w:rPr>
          <w:spacing w:val="-2"/>
        </w:rPr>
        <w:t> </w:t>
      </w:r>
      <w:r>
        <w:rPr/>
        <w:t>and</w:t>
      </w:r>
      <w:r>
        <w:rPr>
          <w:spacing w:val="-14"/>
        </w:rPr>
        <w:t> </w:t>
      </w:r>
      <w:r>
        <w:rPr/>
        <w:t>eager to</w:t>
      </w:r>
      <w:r>
        <w:rPr>
          <w:spacing w:val="-9"/>
        </w:rPr>
        <w:t> </w:t>
      </w:r>
      <w:r>
        <w:rPr/>
        <w:t>create</w:t>
      </w:r>
      <w:r>
        <w:rPr>
          <w:spacing w:val="-5"/>
        </w:rPr>
        <w:t> </w:t>
      </w:r>
      <w:r>
        <w:rPr/>
        <w:t>positive change.</w:t>
      </w:r>
      <w:r>
        <w:rPr>
          <w:spacing w:val="69"/>
        </w:rPr>
        <w:t> </w:t>
      </w:r>
      <w:r>
        <w:rPr/>
        <w:t>The</w:t>
      </w:r>
      <w:r>
        <w:rPr>
          <w:spacing w:val="-9"/>
        </w:rPr>
        <w:t> </w:t>
      </w:r>
      <w:r>
        <w:rPr/>
        <w:t>majority of</w:t>
      </w:r>
      <w:r>
        <w:rPr>
          <w:spacing w:val="-11"/>
        </w:rPr>
        <w:t> </w:t>
      </w:r>
      <w:r>
        <w:rPr/>
        <w:t>students</w:t>
      </w:r>
      <w:r>
        <w:rPr>
          <w:spacing w:val="-2"/>
        </w:rPr>
        <w:t> </w:t>
      </w:r>
      <w:r>
        <w:rPr/>
        <w:t>is</w:t>
      </w:r>
      <w:r>
        <w:rPr>
          <w:spacing w:val="-6"/>
        </w:rPr>
        <w:t> </w:t>
      </w:r>
      <w:r>
        <w:rPr/>
        <w:t>involved in the AIAS chapter</w:t>
      </w:r>
      <w:r>
        <w:rPr>
          <w:spacing w:val="31"/>
        </w:rPr>
        <w:t> </w:t>
      </w:r>
      <w:r>
        <w:rPr/>
        <w:t>and Tau Sigma Delta</w:t>
      </w:r>
      <w:r>
        <w:rPr>
          <w:spacing w:val="-2"/>
        </w:rPr>
        <w:t> </w:t>
      </w:r>
      <w:r>
        <w:rPr/>
        <w:t>Honor Society and is content with the</w:t>
      </w:r>
      <w:r>
        <w:rPr>
          <w:spacing w:val="-4"/>
        </w:rPr>
        <w:t> </w:t>
      </w:r>
      <w:r>
        <w:rPr/>
        <w:t>programs and</w:t>
      </w:r>
      <w:r>
        <w:rPr>
          <w:spacing w:val="-4"/>
        </w:rPr>
        <w:t> </w:t>
      </w:r>
      <w:r>
        <w:rPr/>
        <w:t>services provided to them.</w:t>
      </w:r>
      <w:r>
        <w:rPr>
          <w:spacing w:val="40"/>
        </w:rPr>
        <w:t> </w:t>
      </w:r>
      <w:r>
        <w:rPr/>
        <w:t>Student leadership seems to</w:t>
      </w:r>
      <w:r>
        <w:rPr>
          <w:spacing w:val="-7"/>
        </w:rPr>
        <w:t> </w:t>
      </w:r>
      <w:r>
        <w:rPr/>
        <w:t>be the</w:t>
      </w:r>
      <w:r>
        <w:rPr>
          <w:spacing w:val="-11"/>
        </w:rPr>
        <w:t> </w:t>
      </w:r>
      <w:r>
        <w:rPr/>
        <w:t>conduit to</w:t>
      </w:r>
      <w:r>
        <w:rPr>
          <w:spacing w:val="-6"/>
        </w:rPr>
        <w:t> </w:t>
      </w:r>
      <w:r>
        <w:rPr/>
        <w:t>voicing student concerns to</w:t>
      </w:r>
      <w:r>
        <w:rPr>
          <w:spacing w:val="-4"/>
        </w:rPr>
        <w:t> </w:t>
      </w:r>
      <w:r>
        <w:rPr/>
        <w:t>faculty</w:t>
      </w:r>
      <w:r>
        <w:rPr>
          <w:spacing w:val="36"/>
        </w:rPr>
        <w:t> </w:t>
      </w:r>
      <w:r>
        <w:rPr/>
        <w:t>and the administration.</w:t>
      </w:r>
      <w:r>
        <w:rPr>
          <w:spacing w:val="40"/>
        </w:rPr>
        <w:t> </w:t>
      </w:r>
      <w:r>
        <w:rPr/>
        <w:t>However, students feel some concerns are</w:t>
      </w:r>
      <w:r>
        <w:rPr>
          <w:spacing w:val="-2"/>
        </w:rPr>
        <w:t> </w:t>
      </w:r>
      <w:r>
        <w:rPr/>
        <w:t>not</w:t>
      </w:r>
      <w:r>
        <w:rPr>
          <w:spacing w:val="-7"/>
        </w:rPr>
        <w:t> </w:t>
      </w:r>
      <w:r>
        <w:rPr/>
        <w:t>being addressed or</w:t>
      </w:r>
      <w:r>
        <w:rPr>
          <w:spacing w:val="-3"/>
        </w:rPr>
        <w:t> </w:t>
      </w:r>
      <w:r>
        <w:rPr/>
        <w:t>recognized by the department or</w:t>
      </w:r>
      <w:r>
        <w:rPr>
          <w:spacing w:val="-2"/>
        </w:rPr>
        <w:t> </w:t>
      </w:r>
      <w:r>
        <w:rPr/>
        <w:t>the</w:t>
      </w:r>
      <w:r>
        <w:rPr>
          <w:spacing w:val="-4"/>
        </w:rPr>
        <w:t> </w:t>
      </w:r>
      <w:r>
        <w:rPr/>
        <w:t>university.</w:t>
      </w:r>
    </w:p>
    <w:p>
      <w:pPr>
        <w:pStyle w:val="BodyText"/>
        <w:spacing w:before="7"/>
        <w:rPr>
          <w:sz w:val="21"/>
        </w:rPr>
      </w:pPr>
    </w:p>
    <w:p>
      <w:pPr>
        <w:pStyle w:val="BodyText"/>
        <w:spacing w:line="242" w:lineRule="auto"/>
        <w:ind w:left="1680" w:right="373" w:firstLine="8"/>
      </w:pPr>
      <w:r>
        <w:rPr/>
        <w:t>The</w:t>
      </w:r>
      <w:r>
        <w:rPr>
          <w:spacing w:val="-1"/>
        </w:rPr>
        <w:t> </w:t>
      </w:r>
      <w:r>
        <w:rPr/>
        <w:t>program encourages leadership roles</w:t>
      </w:r>
      <w:r>
        <w:rPr>
          <w:spacing w:val="-2"/>
        </w:rPr>
        <w:t> </w:t>
      </w:r>
      <w:r>
        <w:rPr/>
        <w:t>in and</w:t>
      </w:r>
      <w:r>
        <w:rPr>
          <w:spacing w:val="-5"/>
        </w:rPr>
        <w:t> </w:t>
      </w:r>
      <w:r>
        <w:rPr/>
        <w:t>out</w:t>
      </w:r>
      <w:r>
        <w:rPr>
          <w:spacing w:val="-1"/>
        </w:rPr>
        <w:t> </w:t>
      </w:r>
      <w:r>
        <w:rPr/>
        <w:t>of their</w:t>
      </w:r>
      <w:r>
        <w:rPr>
          <w:spacing w:val="-2"/>
        </w:rPr>
        <w:t> </w:t>
      </w:r>
      <w:r>
        <w:rPr/>
        <w:t>coursework.</w:t>
      </w:r>
      <w:r>
        <w:rPr>
          <w:spacing w:val="80"/>
        </w:rPr>
        <w:t> </w:t>
      </w:r>
      <w:r>
        <w:rPr/>
        <w:t>Students are advised to voice</w:t>
      </w:r>
      <w:r>
        <w:rPr>
          <w:spacing w:val="-4"/>
        </w:rPr>
        <w:t> </w:t>
      </w:r>
      <w:r>
        <w:rPr/>
        <w:t>concerns over problems and</w:t>
      </w:r>
      <w:r>
        <w:rPr>
          <w:spacing w:val="-13"/>
        </w:rPr>
        <w:t> </w:t>
      </w:r>
      <w:r>
        <w:rPr/>
        <w:t>proactively seek solutions.</w:t>
      </w:r>
      <w:r>
        <w:rPr>
          <w:spacing w:val="40"/>
        </w:rPr>
        <w:t> </w:t>
      </w:r>
      <w:r>
        <w:rPr/>
        <w:t>Given the nature of</w:t>
      </w:r>
      <w:r>
        <w:rPr>
          <w:spacing w:val="-7"/>
        </w:rPr>
        <w:t> </w:t>
      </w:r>
      <w:r>
        <w:rPr/>
        <w:t>the</w:t>
      </w:r>
      <w:r>
        <w:rPr>
          <w:spacing w:val="-14"/>
        </w:rPr>
        <w:t> </w:t>
      </w:r>
      <w:r>
        <w:rPr/>
        <w:t>university, students show</w:t>
      </w:r>
      <w:r>
        <w:rPr>
          <w:spacing w:val="-2"/>
        </w:rPr>
        <w:t> </w:t>
      </w:r>
      <w:r>
        <w:rPr/>
        <w:t>a</w:t>
      </w:r>
      <w:r>
        <w:rPr>
          <w:spacing w:val="-9"/>
        </w:rPr>
        <w:t> </w:t>
      </w:r>
      <w:r>
        <w:rPr/>
        <w:t>distinct awareness</w:t>
      </w:r>
      <w:r>
        <w:rPr>
          <w:spacing w:val="-2"/>
        </w:rPr>
        <w:t> </w:t>
      </w:r>
      <w:r>
        <w:rPr/>
        <w:t>of</w:t>
      </w:r>
      <w:r>
        <w:rPr>
          <w:spacing w:val="-7"/>
        </w:rPr>
        <w:t> </w:t>
      </w:r>
      <w:r>
        <w:rPr/>
        <w:t>the</w:t>
      </w:r>
      <w:r>
        <w:rPr>
          <w:spacing w:val="-14"/>
        </w:rPr>
        <w:t> </w:t>
      </w:r>
      <w:r>
        <w:rPr/>
        <w:t>benefits of</w:t>
      </w:r>
      <w:r>
        <w:rPr>
          <w:spacing w:val="-11"/>
        </w:rPr>
        <w:t> </w:t>
      </w:r>
      <w:r>
        <w:rPr/>
        <w:t>diversity in their school and</w:t>
      </w:r>
      <w:r>
        <w:rPr>
          <w:spacing w:val="-6"/>
        </w:rPr>
        <w:t> </w:t>
      </w:r>
      <w:r>
        <w:rPr/>
        <w:t>the</w:t>
      </w:r>
      <w:r>
        <w:rPr>
          <w:spacing w:val="-10"/>
        </w:rPr>
        <w:t> </w:t>
      </w:r>
      <w:r>
        <w:rPr/>
        <w:t>profession.</w:t>
      </w:r>
      <w:r>
        <w:rPr>
          <w:spacing w:val="40"/>
        </w:rPr>
        <w:t> </w:t>
      </w:r>
      <w:r>
        <w:rPr/>
        <w:t>Required coursework also creates opportunities for students to</w:t>
      </w:r>
      <w:r>
        <w:rPr>
          <w:spacing w:val="-11"/>
        </w:rPr>
        <w:t> </w:t>
      </w:r>
      <w:r>
        <w:rPr/>
        <w:t>study</w:t>
      </w:r>
      <w:r>
        <w:rPr>
          <w:spacing w:val="-8"/>
        </w:rPr>
        <w:t> </w:t>
      </w:r>
      <w:r>
        <w:rPr/>
        <w:t>abroad and</w:t>
      </w:r>
      <w:r>
        <w:rPr>
          <w:spacing w:val="-15"/>
        </w:rPr>
        <w:t> </w:t>
      </w:r>
      <w:r>
        <w:rPr/>
        <w:t>gain</w:t>
      </w:r>
      <w:r>
        <w:rPr>
          <w:spacing w:val="-14"/>
        </w:rPr>
        <w:t> </w:t>
      </w:r>
      <w:r>
        <w:rPr/>
        <w:t>exposure to</w:t>
      </w:r>
      <w:r>
        <w:rPr>
          <w:spacing w:val="-11"/>
        </w:rPr>
        <w:t> </w:t>
      </w:r>
      <w:r>
        <w:rPr/>
        <w:t>other</w:t>
      </w:r>
      <w:r>
        <w:rPr>
          <w:spacing w:val="-14"/>
        </w:rPr>
        <w:t> </w:t>
      </w:r>
      <w:r>
        <w:rPr/>
        <w:t>cultures and</w:t>
      </w:r>
      <w:r>
        <w:rPr>
          <w:spacing w:val="-16"/>
        </w:rPr>
        <w:t> </w:t>
      </w:r>
      <w:r>
        <w:rPr/>
        <w:t>experiences.</w:t>
      </w:r>
      <w:r>
        <w:rPr>
          <w:spacing w:val="68"/>
        </w:rPr>
        <w:t> </w:t>
      </w:r>
      <w:r>
        <w:rPr/>
        <w:t>Students show an</w:t>
      </w:r>
      <w:r>
        <w:rPr>
          <w:spacing w:val="-7"/>
        </w:rPr>
        <w:t> </w:t>
      </w:r>
      <w:r>
        <w:rPr/>
        <w:t>eagerness to</w:t>
      </w:r>
      <w:r>
        <w:rPr>
          <w:spacing w:val="-8"/>
        </w:rPr>
        <w:t> </w:t>
      </w:r>
      <w:r>
        <w:rPr/>
        <w:t>reach out to allied disciplines in</w:t>
      </w:r>
      <w:r>
        <w:rPr>
          <w:spacing w:val="-5"/>
        </w:rPr>
        <w:t> </w:t>
      </w:r>
      <w:r>
        <w:rPr/>
        <w:t>the</w:t>
      </w:r>
      <w:r>
        <w:rPr>
          <w:spacing w:val="-9"/>
        </w:rPr>
        <w:t> </w:t>
      </w:r>
      <w:r>
        <w:rPr/>
        <w:t>department,</w:t>
      </w:r>
      <w:r>
        <w:rPr>
          <w:spacing w:val="28"/>
        </w:rPr>
        <w:t> </w:t>
      </w:r>
      <w:r>
        <w:rPr/>
        <w:t>college,</w:t>
      </w:r>
      <w:r>
        <w:rPr/>
        <w:t> university,</w:t>
      </w:r>
      <w:r>
        <w:rPr>
          <w:spacing w:val="28"/>
        </w:rPr>
        <w:t> </w:t>
      </w:r>
      <w:r>
        <w:rPr/>
        <w:t>and</w:t>
      </w:r>
      <w:r>
        <w:rPr>
          <w:spacing w:val="-5"/>
        </w:rPr>
        <w:t> </w:t>
      </w:r>
      <w:r>
        <w:rPr/>
        <w:t>the</w:t>
      </w:r>
      <w:r>
        <w:rPr>
          <w:spacing w:val="-5"/>
        </w:rPr>
        <w:t> </w:t>
      </w:r>
      <w:r>
        <w:rPr/>
        <w:t>community.</w:t>
      </w:r>
      <w:r>
        <w:rPr>
          <w:spacing w:val="80"/>
        </w:rPr>
        <w:t> </w:t>
      </w:r>
      <w:r>
        <w:rPr/>
        <w:t>The</w:t>
      </w:r>
      <w:r>
        <w:rPr>
          <w:spacing w:val="-6"/>
        </w:rPr>
        <w:t> </w:t>
      </w:r>
      <w:r>
        <w:rPr/>
        <w:t>program</w:t>
      </w:r>
      <w:r>
        <w:rPr>
          <w:spacing w:val="-5"/>
        </w:rPr>
        <w:t> </w:t>
      </w:r>
      <w:r>
        <w:rPr/>
        <w:t>lacks a</w:t>
      </w:r>
      <w:r>
        <w:rPr>
          <w:spacing w:val="-8"/>
        </w:rPr>
        <w:t> </w:t>
      </w:r>
      <w:r>
        <w:rPr/>
        <w:t>consistent ouUet for exposure to allied trades and professions.</w:t>
      </w:r>
    </w:p>
    <w:p>
      <w:pPr>
        <w:pStyle w:val="BodyText"/>
        <w:spacing w:before="3"/>
        <w:rPr>
          <w:sz w:val="19"/>
        </w:rPr>
      </w:pPr>
    </w:p>
    <w:p>
      <w:pPr>
        <w:pStyle w:val="BodyText"/>
        <w:spacing w:line="252" w:lineRule="auto"/>
        <w:ind w:left="1677" w:right="311" w:firstLine="2"/>
      </w:pPr>
      <w:r>
        <w:rPr/>
        <w:t>The</w:t>
      </w:r>
      <w:r>
        <w:rPr>
          <w:spacing w:val="-10"/>
        </w:rPr>
        <w:t> </w:t>
      </w:r>
      <w:r>
        <w:rPr/>
        <w:t>university prides</w:t>
      </w:r>
      <w:r>
        <w:rPr>
          <w:spacing w:val="-8"/>
        </w:rPr>
        <w:t> </w:t>
      </w:r>
      <w:r>
        <w:rPr/>
        <w:t>itself in</w:t>
      </w:r>
      <w:r>
        <w:rPr>
          <w:spacing w:val="-14"/>
        </w:rPr>
        <w:t> </w:t>
      </w:r>
      <w:r>
        <w:rPr/>
        <w:t>being</w:t>
      </w:r>
      <w:r>
        <w:rPr>
          <w:spacing w:val="-8"/>
        </w:rPr>
        <w:t> </w:t>
      </w:r>
      <w:r>
        <w:rPr/>
        <w:t>a</w:t>
      </w:r>
      <w:r>
        <w:rPr>
          <w:spacing w:val="-2"/>
        </w:rPr>
        <w:t> </w:t>
      </w:r>
      <w:r>
        <w:rPr/>
        <w:t>'family' and</w:t>
      </w:r>
      <w:r>
        <w:rPr>
          <w:spacing w:val="-10"/>
        </w:rPr>
        <w:t> </w:t>
      </w:r>
      <w:r>
        <w:rPr/>
        <w:t>nurtures students</w:t>
      </w:r>
      <w:r>
        <w:rPr>
          <w:spacing w:val="-4"/>
        </w:rPr>
        <w:t> </w:t>
      </w:r>
      <w:r>
        <w:rPr/>
        <w:t>through</w:t>
      </w:r>
      <w:r>
        <w:rPr>
          <w:spacing w:val="-5"/>
        </w:rPr>
        <w:t> </w:t>
      </w:r>
      <w:r>
        <w:rPr/>
        <w:t>all</w:t>
      </w:r>
      <w:r>
        <w:rPr>
          <w:spacing w:val="-14"/>
        </w:rPr>
        <w:t> </w:t>
      </w:r>
      <w:r>
        <w:rPr/>
        <w:t>aspects</w:t>
      </w:r>
      <w:r>
        <w:rPr>
          <w:spacing w:val="-10"/>
        </w:rPr>
        <w:t> </w:t>
      </w:r>
      <w:r>
        <w:rPr/>
        <w:t>of daily life.</w:t>
      </w:r>
      <w:r>
        <w:rPr>
          <w:spacing w:val="40"/>
        </w:rPr>
        <w:t> </w:t>
      </w:r>
      <w:r>
        <w:rPr/>
        <w:t>This pride is vividly evident.</w:t>
      </w:r>
    </w:p>
    <w:p>
      <w:pPr>
        <w:pStyle w:val="BodyText"/>
        <w:rPr>
          <w:sz w:val="22"/>
        </w:rPr>
      </w:pPr>
    </w:p>
    <w:p>
      <w:pPr>
        <w:pStyle w:val="ListParagraph"/>
        <w:numPr>
          <w:ilvl w:val="2"/>
          <w:numId w:val="75"/>
        </w:numPr>
        <w:tabs>
          <w:tab w:pos="1684" w:val="left" w:leader="none"/>
          <w:tab w:pos="1685" w:val="left" w:leader="none"/>
        </w:tabs>
        <w:spacing w:line="240" w:lineRule="auto" w:before="189" w:after="0"/>
        <w:ind w:left="1684" w:right="0" w:hanging="727"/>
        <w:jc w:val="left"/>
        <w:rPr>
          <w:sz w:val="20"/>
        </w:rPr>
      </w:pPr>
      <w:r>
        <w:rPr>
          <w:w w:val="105"/>
          <w:sz w:val="20"/>
        </w:rPr>
        <w:t>Architecture</w:t>
      </w:r>
      <w:r>
        <w:rPr>
          <w:spacing w:val="20"/>
          <w:w w:val="105"/>
          <w:sz w:val="20"/>
        </w:rPr>
        <w:t> </w:t>
      </w:r>
      <w:r>
        <w:rPr>
          <w:w w:val="105"/>
          <w:sz w:val="20"/>
        </w:rPr>
        <w:t>Education</w:t>
      </w:r>
      <w:r>
        <w:rPr>
          <w:spacing w:val="31"/>
          <w:w w:val="105"/>
          <w:sz w:val="20"/>
        </w:rPr>
        <w:t> </w:t>
      </w:r>
      <w:r>
        <w:rPr>
          <w:w w:val="105"/>
          <w:sz w:val="20"/>
        </w:rPr>
        <w:t>and</w:t>
      </w:r>
      <w:r>
        <w:rPr>
          <w:spacing w:val="6"/>
          <w:w w:val="105"/>
          <w:sz w:val="20"/>
        </w:rPr>
        <w:t> </w:t>
      </w:r>
      <w:r>
        <w:rPr>
          <w:spacing w:val="-2"/>
          <w:w w:val="105"/>
          <w:sz w:val="20"/>
        </w:rPr>
        <w:t>Registration</w:t>
      </w:r>
    </w:p>
    <w:p>
      <w:pPr>
        <w:pStyle w:val="BodyText"/>
        <w:spacing w:before="7"/>
      </w:pPr>
    </w:p>
    <w:p>
      <w:pPr>
        <w:spacing w:line="254" w:lineRule="auto" w:before="0"/>
        <w:ind w:left="1673" w:right="424" w:firstLine="6"/>
        <w:jc w:val="left"/>
        <w:rPr>
          <w:i/>
          <w:sz w:val="19"/>
        </w:rPr>
      </w:pPr>
      <w:r>
        <w:rPr>
          <w:i/>
          <w:w w:val="105"/>
          <w:sz w:val="19"/>
        </w:rPr>
        <w:t>The</w:t>
      </w:r>
      <w:r>
        <w:rPr>
          <w:i/>
          <w:spacing w:val="-8"/>
          <w:w w:val="105"/>
          <w:sz w:val="19"/>
        </w:rPr>
        <w:t> </w:t>
      </w:r>
      <w:r>
        <w:rPr>
          <w:i/>
          <w:w w:val="105"/>
          <w:sz w:val="19"/>
        </w:rPr>
        <w:t>accredited degree program</w:t>
      </w:r>
      <w:r>
        <w:rPr>
          <w:i/>
          <w:spacing w:val="-8"/>
          <w:w w:val="105"/>
          <w:sz w:val="19"/>
        </w:rPr>
        <w:t> </w:t>
      </w:r>
      <w:r>
        <w:rPr>
          <w:i/>
          <w:w w:val="105"/>
          <w:sz w:val="19"/>
        </w:rPr>
        <w:t>must</w:t>
      </w:r>
      <w:r>
        <w:rPr>
          <w:i/>
          <w:spacing w:val="-5"/>
          <w:w w:val="105"/>
          <w:sz w:val="19"/>
        </w:rPr>
        <w:t> </w:t>
      </w:r>
      <w:r>
        <w:rPr>
          <w:i/>
          <w:w w:val="105"/>
          <w:sz w:val="19"/>
        </w:rPr>
        <w:t>demonstrate that</w:t>
      </w:r>
      <w:r>
        <w:rPr>
          <w:i/>
          <w:spacing w:val="-10"/>
          <w:w w:val="105"/>
          <w:sz w:val="19"/>
        </w:rPr>
        <w:t> </w:t>
      </w:r>
      <w:r>
        <w:rPr>
          <w:i/>
          <w:w w:val="105"/>
          <w:sz w:val="19"/>
        </w:rPr>
        <w:t>it provides</w:t>
      </w:r>
      <w:r>
        <w:rPr>
          <w:i/>
          <w:spacing w:val="-9"/>
          <w:w w:val="105"/>
          <w:sz w:val="19"/>
        </w:rPr>
        <w:t> </w:t>
      </w:r>
      <w:r>
        <w:rPr>
          <w:i/>
          <w:w w:val="105"/>
          <w:sz w:val="19"/>
        </w:rPr>
        <w:t>students</w:t>
      </w:r>
      <w:r>
        <w:rPr>
          <w:i/>
          <w:spacing w:val="-3"/>
          <w:w w:val="105"/>
          <w:sz w:val="19"/>
        </w:rPr>
        <w:t> </w:t>
      </w:r>
      <w:r>
        <w:rPr>
          <w:i/>
          <w:w w:val="105"/>
          <w:sz w:val="19"/>
        </w:rPr>
        <w:t>with</w:t>
      </w:r>
      <w:r>
        <w:rPr>
          <w:i/>
          <w:spacing w:val="-9"/>
          <w:w w:val="105"/>
          <w:sz w:val="19"/>
        </w:rPr>
        <w:t> </w:t>
      </w:r>
      <w:r>
        <w:rPr>
          <w:i/>
          <w:w w:val="105"/>
          <w:sz w:val="19"/>
        </w:rPr>
        <w:t>a</w:t>
      </w:r>
      <w:r>
        <w:rPr>
          <w:i/>
          <w:spacing w:val="-6"/>
          <w:w w:val="105"/>
          <w:sz w:val="19"/>
        </w:rPr>
        <w:t> </w:t>
      </w:r>
      <w:r>
        <w:rPr>
          <w:i/>
          <w:w w:val="105"/>
          <w:sz w:val="19"/>
        </w:rPr>
        <w:t>sound preparation for</w:t>
      </w:r>
      <w:r>
        <w:rPr>
          <w:i/>
          <w:spacing w:val="-9"/>
          <w:w w:val="105"/>
          <w:sz w:val="19"/>
        </w:rPr>
        <w:t> </w:t>
      </w:r>
      <w:r>
        <w:rPr>
          <w:i/>
          <w:w w:val="105"/>
          <w:sz w:val="19"/>
        </w:rPr>
        <w:t>the</w:t>
      </w:r>
      <w:r>
        <w:rPr>
          <w:i/>
          <w:spacing w:val="-1"/>
          <w:w w:val="105"/>
          <w:sz w:val="19"/>
        </w:rPr>
        <w:t> </w:t>
      </w:r>
      <w:r>
        <w:rPr>
          <w:i/>
          <w:w w:val="105"/>
          <w:sz w:val="19"/>
        </w:rPr>
        <w:t>transition to internship and licensure.</w:t>
      </w:r>
      <w:r>
        <w:rPr>
          <w:i/>
          <w:spacing w:val="40"/>
          <w:w w:val="105"/>
          <w:sz w:val="19"/>
        </w:rPr>
        <w:t> </w:t>
      </w:r>
      <w:r>
        <w:rPr>
          <w:i/>
          <w:w w:val="105"/>
          <w:sz w:val="19"/>
        </w:rPr>
        <w:t>The</w:t>
      </w:r>
      <w:r>
        <w:rPr>
          <w:i/>
          <w:spacing w:val="-8"/>
          <w:w w:val="105"/>
          <w:sz w:val="19"/>
        </w:rPr>
        <w:t> </w:t>
      </w:r>
      <w:r>
        <w:rPr>
          <w:i/>
          <w:w w:val="105"/>
          <w:sz w:val="19"/>
        </w:rPr>
        <w:t>school may choose to explain in the APR the accredited degree program's relationship with the</w:t>
      </w:r>
      <w:r>
        <w:rPr>
          <w:i/>
          <w:spacing w:val="-4"/>
          <w:w w:val="105"/>
          <w:sz w:val="19"/>
        </w:rPr>
        <w:t> </w:t>
      </w:r>
      <w:r>
        <w:rPr>
          <w:i/>
          <w:w w:val="105"/>
          <w:sz w:val="19"/>
        </w:rPr>
        <w:t>state registration boards, the exposure of</w:t>
      </w:r>
      <w:r>
        <w:rPr>
          <w:i/>
          <w:spacing w:val="-4"/>
          <w:w w:val="105"/>
          <w:sz w:val="19"/>
        </w:rPr>
        <w:t> </w:t>
      </w:r>
      <w:r>
        <w:rPr>
          <w:i/>
          <w:w w:val="105"/>
          <w:sz w:val="19"/>
        </w:rPr>
        <w:t>students to internship requirements including knowledge of</w:t>
      </w:r>
      <w:r>
        <w:rPr>
          <w:i/>
          <w:spacing w:val="-3"/>
          <w:w w:val="105"/>
          <w:sz w:val="19"/>
        </w:rPr>
        <w:t> </w:t>
      </w:r>
      <w:r>
        <w:rPr>
          <w:i/>
          <w:w w:val="105"/>
          <w:sz w:val="19"/>
        </w:rPr>
        <w:t>the national Intern</w:t>
      </w:r>
      <w:r>
        <w:rPr>
          <w:i/>
          <w:spacing w:val="-5"/>
          <w:w w:val="105"/>
          <w:sz w:val="19"/>
        </w:rPr>
        <w:t> </w:t>
      </w:r>
      <w:r>
        <w:rPr>
          <w:i/>
          <w:w w:val="105"/>
          <w:sz w:val="19"/>
        </w:rPr>
        <w:t>Development</w:t>
      </w:r>
      <w:r>
        <w:rPr>
          <w:i/>
          <w:spacing w:val="29"/>
          <w:w w:val="105"/>
          <w:sz w:val="19"/>
        </w:rPr>
        <w:t> </w:t>
      </w:r>
      <w:r>
        <w:rPr>
          <w:i/>
          <w:w w:val="105"/>
          <w:sz w:val="19"/>
        </w:rPr>
        <w:t>Program (/DP) and</w:t>
      </w:r>
      <w:r>
        <w:rPr>
          <w:i/>
          <w:spacing w:val="-8"/>
          <w:w w:val="105"/>
          <w:sz w:val="19"/>
        </w:rPr>
        <w:t> </w:t>
      </w:r>
      <w:r>
        <w:rPr>
          <w:i/>
          <w:w w:val="105"/>
          <w:sz w:val="19"/>
        </w:rPr>
        <w:t>continuing education beyond graduation, the</w:t>
      </w:r>
      <w:r>
        <w:rPr>
          <w:i/>
          <w:spacing w:val="-9"/>
          <w:w w:val="105"/>
          <w:sz w:val="19"/>
        </w:rPr>
        <w:t> </w:t>
      </w:r>
      <w:r>
        <w:rPr>
          <w:i/>
          <w:w w:val="105"/>
          <w:sz w:val="19"/>
        </w:rPr>
        <w:t>students' understanding of their responsibility for</w:t>
      </w:r>
      <w:r>
        <w:rPr>
          <w:i/>
          <w:spacing w:val="-6"/>
          <w:w w:val="105"/>
          <w:sz w:val="19"/>
        </w:rPr>
        <w:t> </w:t>
      </w:r>
      <w:r>
        <w:rPr>
          <w:i/>
          <w:w w:val="105"/>
          <w:sz w:val="19"/>
        </w:rPr>
        <w:t>professional conduct, and</w:t>
      </w:r>
      <w:r>
        <w:rPr>
          <w:i/>
          <w:spacing w:val="-6"/>
          <w:w w:val="105"/>
          <w:sz w:val="19"/>
        </w:rPr>
        <w:t> </w:t>
      </w:r>
      <w:r>
        <w:rPr>
          <w:i/>
          <w:w w:val="105"/>
          <w:sz w:val="19"/>
        </w:rPr>
        <w:t>the</w:t>
      </w:r>
      <w:r>
        <w:rPr>
          <w:i/>
          <w:spacing w:val="-17"/>
          <w:w w:val="105"/>
          <w:sz w:val="19"/>
        </w:rPr>
        <w:t> </w:t>
      </w:r>
      <w:r>
        <w:rPr>
          <w:i/>
          <w:w w:val="105"/>
          <w:sz w:val="19"/>
        </w:rPr>
        <w:t>proportion of</w:t>
      </w:r>
      <w:r>
        <w:rPr>
          <w:i/>
          <w:spacing w:val="-14"/>
          <w:w w:val="105"/>
          <w:sz w:val="19"/>
        </w:rPr>
        <w:t> </w:t>
      </w:r>
      <w:r>
        <w:rPr>
          <w:i/>
          <w:w w:val="105"/>
          <w:sz w:val="19"/>
        </w:rPr>
        <w:t>graduates who</w:t>
      </w:r>
      <w:r>
        <w:rPr>
          <w:i/>
          <w:spacing w:val="-4"/>
          <w:w w:val="105"/>
          <w:sz w:val="19"/>
        </w:rPr>
        <w:t> </w:t>
      </w:r>
      <w:r>
        <w:rPr>
          <w:i/>
          <w:w w:val="105"/>
          <w:sz w:val="19"/>
        </w:rPr>
        <w:t>have</w:t>
      </w:r>
      <w:r>
        <w:rPr>
          <w:i/>
          <w:spacing w:val="-6"/>
          <w:w w:val="105"/>
          <w:sz w:val="19"/>
        </w:rPr>
        <w:t> </w:t>
      </w:r>
      <w:r>
        <w:rPr>
          <w:i/>
          <w:w w:val="105"/>
          <w:sz w:val="19"/>
        </w:rPr>
        <w:t>sought and</w:t>
      </w:r>
      <w:r>
        <w:rPr>
          <w:i/>
          <w:spacing w:val="-12"/>
          <w:w w:val="105"/>
          <w:sz w:val="19"/>
        </w:rPr>
        <w:t> </w:t>
      </w:r>
      <w:r>
        <w:rPr>
          <w:i/>
          <w:w w:val="105"/>
          <w:sz w:val="19"/>
        </w:rPr>
        <w:t>achieved ficensure since the previous visit.</w:t>
      </w:r>
    </w:p>
    <w:p>
      <w:pPr>
        <w:pStyle w:val="BodyText"/>
        <w:tabs>
          <w:tab w:pos="815" w:val="left" w:leader="none"/>
        </w:tabs>
        <w:spacing w:line="185" w:lineRule="exact"/>
        <w:ind w:right="875"/>
        <w:jc w:val="right"/>
      </w:pPr>
      <w:r>
        <w:rPr>
          <w:spacing w:val="-5"/>
          <w:w w:val="105"/>
        </w:rPr>
        <w:t>Met</w:t>
      </w:r>
      <w:r>
        <w:rPr/>
        <w:tab/>
      </w:r>
      <w:r>
        <w:rPr>
          <w:w w:val="105"/>
        </w:rPr>
        <w:t>'Not</w:t>
      </w:r>
      <w:r>
        <w:rPr>
          <w:spacing w:val="-2"/>
          <w:w w:val="105"/>
        </w:rPr>
        <w:t> </w:t>
      </w:r>
      <w:r>
        <w:rPr>
          <w:spacing w:val="-5"/>
          <w:w w:val="105"/>
        </w:rPr>
        <w:t>Met</w:t>
      </w:r>
    </w:p>
    <w:p>
      <w:pPr>
        <w:pStyle w:val="Heading3"/>
        <w:numPr>
          <w:ilvl w:val="3"/>
          <w:numId w:val="75"/>
        </w:numPr>
        <w:tabs>
          <w:tab w:pos="1027" w:val="left" w:leader="none"/>
          <w:tab w:pos="1028" w:val="left" w:leader="none"/>
        </w:tabs>
        <w:spacing w:line="341" w:lineRule="exact" w:before="0" w:after="0"/>
        <w:ind w:left="1027" w:right="1076" w:hanging="1028"/>
        <w:jc w:val="right"/>
      </w:pPr>
      <w:r>
        <w:rPr>
          <w:w w:val="105"/>
        </w:rPr>
        <w:t>I</w:t>
      </w:r>
      <w:r>
        <w:rPr>
          <w:spacing w:val="24"/>
          <w:w w:val="105"/>
        </w:rPr>
        <w:t> </w:t>
      </w:r>
      <w:r>
        <w:rPr>
          <w:spacing w:val="-10"/>
          <w:w w:val="105"/>
        </w:rPr>
        <w:t>l</w:t>
      </w:r>
    </w:p>
    <w:p>
      <w:pPr>
        <w:pStyle w:val="BodyText"/>
        <w:spacing w:before="187"/>
        <w:ind w:left="1680" w:right="475" w:hanging="4"/>
      </w:pPr>
      <w:r>
        <w:rPr/>
        <w:t>Hampton</w:t>
      </w:r>
      <w:r>
        <w:rPr>
          <w:spacing w:val="-11"/>
        </w:rPr>
        <w:t> </w:t>
      </w:r>
      <w:r>
        <w:rPr/>
        <w:t>University students</w:t>
      </w:r>
      <w:r>
        <w:rPr>
          <w:spacing w:val="-2"/>
        </w:rPr>
        <w:t> </w:t>
      </w:r>
      <w:r>
        <w:rPr/>
        <w:t>are</w:t>
      </w:r>
      <w:r>
        <w:rPr>
          <w:spacing w:val="-9"/>
        </w:rPr>
        <w:t> </w:t>
      </w:r>
      <w:r>
        <w:rPr/>
        <w:t>being</w:t>
      </w:r>
      <w:r>
        <w:rPr>
          <w:spacing w:val="-12"/>
        </w:rPr>
        <w:t> </w:t>
      </w:r>
      <w:r>
        <w:rPr/>
        <w:t>prepared</w:t>
      </w:r>
      <w:r>
        <w:rPr>
          <w:spacing w:val="-5"/>
        </w:rPr>
        <w:t> </w:t>
      </w:r>
      <w:r>
        <w:rPr/>
        <w:t>for</w:t>
      </w:r>
      <w:r>
        <w:rPr>
          <w:spacing w:val="-8"/>
        </w:rPr>
        <w:t> </w:t>
      </w:r>
      <w:r>
        <w:rPr/>
        <w:t>the</w:t>
      </w:r>
      <w:r>
        <w:rPr>
          <w:spacing w:val="-16"/>
        </w:rPr>
        <w:t> </w:t>
      </w:r>
      <w:r>
        <w:rPr/>
        <w:t>transition to</w:t>
      </w:r>
      <w:r>
        <w:rPr>
          <w:spacing w:val="-11"/>
        </w:rPr>
        <w:t> </w:t>
      </w:r>
      <w:r>
        <w:rPr/>
        <w:t>internship through the IDP</w:t>
      </w:r>
      <w:r>
        <w:rPr>
          <w:spacing w:val="-3"/>
        </w:rPr>
        <w:t> </w:t>
      </w:r>
      <w:r>
        <w:rPr/>
        <w:t>process, course</w:t>
      </w:r>
      <w:r>
        <w:rPr>
          <w:spacing w:val="-2"/>
        </w:rPr>
        <w:t> </w:t>
      </w:r>
      <w:r>
        <w:rPr/>
        <w:t>content and</w:t>
      </w:r>
      <w:r>
        <w:rPr>
          <w:spacing w:val="-11"/>
        </w:rPr>
        <w:t> </w:t>
      </w:r>
      <w:r>
        <w:rPr/>
        <w:t>interactions</w:t>
      </w:r>
      <w:r>
        <w:rPr>
          <w:spacing w:val="32"/>
        </w:rPr>
        <w:t> </w:t>
      </w:r>
      <w:r>
        <w:rPr/>
        <w:t>with the</w:t>
      </w:r>
      <w:r>
        <w:rPr>
          <w:spacing w:val="-3"/>
        </w:rPr>
        <w:t> </w:t>
      </w:r>
      <w:r>
        <w:rPr/>
        <w:t>professional community.</w:t>
      </w:r>
    </w:p>
    <w:p>
      <w:pPr>
        <w:pStyle w:val="BodyText"/>
        <w:spacing w:before="2"/>
        <w:ind w:left="1676" w:right="295" w:firstLine="1"/>
      </w:pPr>
      <w:r>
        <w:rPr/>
        <w:t>Upper level studios promote internships for students in</w:t>
      </w:r>
      <w:r>
        <w:rPr>
          <w:spacing w:val="-9"/>
        </w:rPr>
        <w:t> </w:t>
      </w:r>
      <w:r>
        <w:rPr/>
        <w:t>office settings and</w:t>
      </w:r>
      <w:r>
        <w:rPr>
          <w:spacing w:val="-4"/>
        </w:rPr>
        <w:t> </w:t>
      </w:r>
      <w:r>
        <w:rPr/>
        <w:t>some benefit from actual internship experience.</w:t>
      </w:r>
      <w:r>
        <w:rPr>
          <w:spacing w:val="40"/>
        </w:rPr>
        <w:t> </w:t>
      </w:r>
      <w:r>
        <w:rPr/>
        <w:t>The</w:t>
      </w:r>
      <w:r>
        <w:rPr>
          <w:spacing w:val="-5"/>
        </w:rPr>
        <w:t> </w:t>
      </w:r>
      <w:r>
        <w:rPr/>
        <w:t>Team found, however, weakness in</w:t>
      </w:r>
      <w:r>
        <w:rPr>
          <w:spacing w:val="-7"/>
        </w:rPr>
        <w:t> </w:t>
      </w:r>
      <w:r>
        <w:rPr/>
        <w:t>technical course</w:t>
      </w:r>
      <w:r>
        <w:rPr>
          <w:spacing w:val="-1"/>
        </w:rPr>
        <w:t> </w:t>
      </w:r>
      <w:r>
        <w:rPr/>
        <w:t>offerings of</w:t>
      </w:r>
      <w:r>
        <w:rPr>
          <w:spacing w:val="-16"/>
        </w:rPr>
        <w:t> </w:t>
      </w:r>
      <w:r>
        <w:rPr/>
        <w:t>which an</w:t>
      </w:r>
      <w:r>
        <w:rPr>
          <w:spacing w:val="-11"/>
        </w:rPr>
        <w:t> </w:t>
      </w:r>
      <w:r>
        <w:rPr/>
        <w:t>understanding and</w:t>
      </w:r>
      <w:r>
        <w:rPr>
          <w:spacing w:val="-5"/>
        </w:rPr>
        <w:t> </w:t>
      </w:r>
      <w:r>
        <w:rPr/>
        <w:t>application</w:t>
      </w:r>
      <w:r>
        <w:rPr>
          <w:spacing w:val="-2"/>
        </w:rPr>
        <w:t> </w:t>
      </w:r>
      <w:r>
        <w:rPr/>
        <w:t>of</w:t>
      </w:r>
      <w:r>
        <w:rPr>
          <w:spacing w:val="-9"/>
        </w:rPr>
        <w:t> </w:t>
      </w:r>
      <w:r>
        <w:rPr/>
        <w:t>this</w:t>
      </w:r>
      <w:r>
        <w:rPr>
          <w:spacing w:val="-11"/>
        </w:rPr>
        <w:t> </w:t>
      </w:r>
      <w:r>
        <w:rPr/>
        <w:t>knowledge is</w:t>
      </w:r>
      <w:r>
        <w:rPr>
          <w:spacing w:val="-12"/>
        </w:rPr>
        <w:t> </w:t>
      </w:r>
      <w:r>
        <w:rPr/>
        <w:t>critical</w:t>
      </w:r>
      <w:r>
        <w:rPr>
          <w:spacing w:val="-2"/>
        </w:rPr>
        <w:t> </w:t>
      </w:r>
      <w:r>
        <w:rPr/>
        <w:t>to licensure and practice.</w:t>
      </w:r>
    </w:p>
    <w:p>
      <w:pPr>
        <w:pStyle w:val="BodyText"/>
        <w:rPr>
          <w:sz w:val="22"/>
        </w:rPr>
      </w:pPr>
    </w:p>
    <w:p>
      <w:pPr>
        <w:pStyle w:val="BodyText"/>
        <w:spacing w:before="7"/>
        <w:rPr>
          <w:sz w:val="18"/>
        </w:rPr>
      </w:pPr>
    </w:p>
    <w:p>
      <w:pPr>
        <w:pStyle w:val="ListParagraph"/>
        <w:numPr>
          <w:ilvl w:val="2"/>
          <w:numId w:val="75"/>
        </w:numPr>
        <w:tabs>
          <w:tab w:pos="1684" w:val="left" w:leader="none"/>
          <w:tab w:pos="1685" w:val="left" w:leader="none"/>
        </w:tabs>
        <w:spacing w:line="240" w:lineRule="auto" w:before="0" w:after="0"/>
        <w:ind w:left="1684" w:right="0" w:hanging="727"/>
        <w:jc w:val="left"/>
        <w:rPr>
          <w:sz w:val="20"/>
        </w:rPr>
      </w:pPr>
      <w:r>
        <w:rPr>
          <w:w w:val="105"/>
          <w:sz w:val="20"/>
        </w:rPr>
        <w:t>Architecture</w:t>
      </w:r>
      <w:r>
        <w:rPr>
          <w:spacing w:val="14"/>
          <w:w w:val="105"/>
          <w:sz w:val="20"/>
        </w:rPr>
        <w:t> </w:t>
      </w:r>
      <w:r>
        <w:rPr>
          <w:w w:val="105"/>
          <w:sz w:val="20"/>
        </w:rPr>
        <w:t>Education</w:t>
      </w:r>
      <w:r>
        <w:rPr>
          <w:spacing w:val="25"/>
          <w:w w:val="105"/>
          <w:sz w:val="20"/>
        </w:rPr>
        <w:t> </w:t>
      </w:r>
      <w:r>
        <w:rPr>
          <w:w w:val="105"/>
          <w:sz w:val="20"/>
        </w:rPr>
        <w:t>and</w:t>
      </w:r>
      <w:r>
        <w:rPr>
          <w:spacing w:val="6"/>
          <w:w w:val="105"/>
          <w:sz w:val="20"/>
        </w:rPr>
        <w:t> </w:t>
      </w:r>
      <w:r>
        <w:rPr>
          <w:w w:val="105"/>
          <w:sz w:val="20"/>
        </w:rPr>
        <w:t>the</w:t>
      </w:r>
      <w:r>
        <w:rPr>
          <w:spacing w:val="15"/>
          <w:w w:val="105"/>
          <w:sz w:val="20"/>
        </w:rPr>
        <w:t> </w:t>
      </w:r>
      <w:r>
        <w:rPr>
          <w:spacing w:val="-2"/>
          <w:w w:val="105"/>
          <w:sz w:val="20"/>
        </w:rPr>
        <w:t>Profession</w:t>
      </w:r>
    </w:p>
    <w:p>
      <w:pPr>
        <w:pStyle w:val="BodyText"/>
        <w:spacing w:before="2"/>
      </w:pPr>
    </w:p>
    <w:p>
      <w:pPr>
        <w:spacing w:line="252" w:lineRule="auto" w:before="0"/>
        <w:ind w:left="1682" w:right="311" w:hanging="4"/>
        <w:jc w:val="left"/>
        <w:rPr>
          <w:i/>
          <w:sz w:val="19"/>
        </w:rPr>
      </w:pPr>
      <w:r>
        <w:rPr>
          <w:i/>
          <w:w w:val="105"/>
          <w:sz w:val="19"/>
        </w:rPr>
        <w:t>The accredited degree program must</w:t>
      </w:r>
      <w:r>
        <w:rPr>
          <w:i/>
          <w:spacing w:val="-4"/>
          <w:w w:val="105"/>
          <w:sz w:val="19"/>
        </w:rPr>
        <w:t> </w:t>
      </w:r>
      <w:r>
        <w:rPr>
          <w:i/>
          <w:w w:val="105"/>
          <w:sz w:val="19"/>
        </w:rPr>
        <w:t>demonstrate how it prepares students to practice and assume new rofes and responsibilities</w:t>
      </w:r>
      <w:r>
        <w:rPr>
          <w:i/>
          <w:spacing w:val="-4"/>
          <w:w w:val="105"/>
          <w:sz w:val="19"/>
        </w:rPr>
        <w:t> </w:t>
      </w:r>
      <w:r>
        <w:rPr>
          <w:i/>
          <w:w w:val="105"/>
          <w:sz w:val="19"/>
        </w:rPr>
        <w:t>in </w:t>
      </w:r>
      <w:r>
        <w:rPr>
          <w:w w:val="105"/>
          <w:sz w:val="20"/>
        </w:rPr>
        <w:t>a</w:t>
      </w:r>
      <w:r>
        <w:rPr>
          <w:spacing w:val="-11"/>
          <w:w w:val="105"/>
          <w:sz w:val="20"/>
        </w:rPr>
        <w:t> </w:t>
      </w:r>
      <w:r>
        <w:rPr>
          <w:i/>
          <w:w w:val="105"/>
          <w:sz w:val="19"/>
        </w:rPr>
        <w:t>context of increasing cultural diversity, changing client and regulatory demands, and an expanding knowledge base. Given the program's particular mission, the APR</w:t>
      </w:r>
      <w:r>
        <w:rPr>
          <w:i/>
          <w:spacing w:val="-2"/>
          <w:w w:val="105"/>
          <w:sz w:val="19"/>
        </w:rPr>
        <w:t> </w:t>
      </w:r>
      <w:r>
        <w:rPr>
          <w:i/>
          <w:w w:val="105"/>
          <w:sz w:val="19"/>
        </w:rPr>
        <w:t>may include an</w:t>
      </w:r>
      <w:r>
        <w:rPr>
          <w:i/>
          <w:spacing w:val="-5"/>
          <w:w w:val="105"/>
          <w:sz w:val="19"/>
        </w:rPr>
        <w:t> </w:t>
      </w:r>
      <w:r>
        <w:rPr>
          <w:i/>
          <w:w w:val="105"/>
          <w:sz w:val="19"/>
        </w:rPr>
        <w:t>explanation of</w:t>
      </w:r>
      <w:r>
        <w:rPr>
          <w:i/>
          <w:spacing w:val="-1"/>
          <w:w w:val="105"/>
          <w:sz w:val="19"/>
        </w:rPr>
        <w:t> </w:t>
      </w:r>
      <w:r>
        <w:rPr>
          <w:i/>
          <w:w w:val="105"/>
          <w:sz w:val="19"/>
        </w:rPr>
        <w:t>how the</w:t>
      </w:r>
      <w:r>
        <w:rPr>
          <w:i/>
          <w:spacing w:val="-3"/>
          <w:w w:val="105"/>
          <w:sz w:val="19"/>
        </w:rPr>
        <w:t> </w:t>
      </w:r>
      <w:r>
        <w:rPr>
          <w:i/>
          <w:w w:val="105"/>
          <w:sz w:val="19"/>
        </w:rPr>
        <w:t>accredited degree program</w:t>
      </w:r>
      <w:r>
        <w:rPr>
          <w:i/>
          <w:spacing w:val="-1"/>
          <w:w w:val="105"/>
          <w:sz w:val="19"/>
        </w:rPr>
        <w:t> </w:t>
      </w:r>
      <w:r>
        <w:rPr>
          <w:i/>
          <w:w w:val="105"/>
          <w:sz w:val="19"/>
        </w:rPr>
        <w:t>is engaged with</w:t>
      </w:r>
      <w:r>
        <w:rPr>
          <w:i/>
          <w:spacing w:val="-9"/>
          <w:w w:val="105"/>
          <w:sz w:val="19"/>
        </w:rPr>
        <w:t> </w:t>
      </w:r>
      <w:r>
        <w:rPr>
          <w:i/>
          <w:w w:val="105"/>
          <w:sz w:val="19"/>
        </w:rPr>
        <w:t>the</w:t>
      </w:r>
      <w:r>
        <w:rPr>
          <w:i/>
          <w:spacing w:val="-6"/>
          <w:w w:val="105"/>
          <w:sz w:val="19"/>
        </w:rPr>
        <w:t> </w:t>
      </w:r>
      <w:r>
        <w:rPr>
          <w:i/>
          <w:w w:val="105"/>
          <w:sz w:val="19"/>
        </w:rPr>
        <w:t>professional community in</w:t>
      </w:r>
      <w:r>
        <w:rPr>
          <w:i/>
          <w:spacing w:val="-11"/>
          <w:w w:val="105"/>
          <w:sz w:val="19"/>
        </w:rPr>
        <w:t> </w:t>
      </w:r>
      <w:r>
        <w:rPr>
          <w:i/>
          <w:w w:val="105"/>
          <w:sz w:val="19"/>
        </w:rPr>
        <w:t>the</w:t>
      </w:r>
      <w:r>
        <w:rPr>
          <w:i/>
          <w:spacing w:val="-3"/>
          <w:w w:val="105"/>
          <w:sz w:val="19"/>
        </w:rPr>
        <w:t> </w:t>
      </w:r>
      <w:r>
        <w:rPr>
          <w:i/>
          <w:w w:val="105"/>
          <w:sz w:val="19"/>
        </w:rPr>
        <w:t>life of</w:t>
      </w:r>
      <w:r>
        <w:rPr>
          <w:i/>
          <w:spacing w:val="-8"/>
          <w:w w:val="105"/>
          <w:sz w:val="19"/>
        </w:rPr>
        <w:t> </w:t>
      </w:r>
      <w:r>
        <w:rPr>
          <w:i/>
          <w:w w:val="105"/>
          <w:sz w:val="19"/>
        </w:rPr>
        <w:t>the</w:t>
      </w:r>
      <w:r>
        <w:rPr>
          <w:i/>
          <w:spacing w:val="-16"/>
          <w:w w:val="105"/>
          <w:sz w:val="19"/>
        </w:rPr>
        <w:t> </w:t>
      </w:r>
      <w:r>
        <w:rPr>
          <w:i/>
          <w:w w:val="105"/>
          <w:sz w:val="19"/>
        </w:rPr>
        <w:t>school; how students gain an awareness of</w:t>
      </w:r>
      <w:r>
        <w:rPr>
          <w:i/>
          <w:spacing w:val="-1"/>
          <w:w w:val="105"/>
          <w:sz w:val="19"/>
        </w:rPr>
        <w:t> </w:t>
      </w:r>
      <w:r>
        <w:rPr>
          <w:i/>
          <w:w w:val="105"/>
          <w:sz w:val="19"/>
        </w:rPr>
        <w:t>the need to advance their knowledge of architecture through</w:t>
      </w:r>
      <w:r>
        <w:rPr>
          <w:i/>
          <w:spacing w:val="-2"/>
          <w:w w:val="105"/>
          <w:sz w:val="19"/>
        </w:rPr>
        <w:t> </w:t>
      </w:r>
      <w:r>
        <w:rPr>
          <w:i/>
          <w:w w:val="105"/>
          <w:sz w:val="19"/>
        </w:rPr>
        <w:t>a lifetime of practice and research; how</w:t>
      </w:r>
      <w:r>
        <w:rPr>
          <w:i/>
          <w:spacing w:val="-4"/>
          <w:w w:val="105"/>
          <w:sz w:val="19"/>
        </w:rPr>
        <w:t> </w:t>
      </w:r>
      <w:r>
        <w:rPr>
          <w:i/>
          <w:w w:val="105"/>
          <w:sz w:val="19"/>
        </w:rPr>
        <w:t>they develop an appreciation of the diverse</w:t>
      </w:r>
      <w:r>
        <w:rPr>
          <w:i/>
          <w:spacing w:val="-2"/>
          <w:w w:val="105"/>
          <w:sz w:val="19"/>
        </w:rPr>
        <w:t> </w:t>
      </w:r>
      <w:r>
        <w:rPr>
          <w:i/>
          <w:w w:val="105"/>
          <w:sz w:val="19"/>
        </w:rPr>
        <w:t>and</w:t>
      </w:r>
      <w:r>
        <w:rPr>
          <w:i/>
          <w:spacing w:val="-4"/>
          <w:w w:val="105"/>
          <w:sz w:val="19"/>
        </w:rPr>
        <w:t> </w:t>
      </w:r>
      <w:r>
        <w:rPr>
          <w:i/>
          <w:w w:val="105"/>
          <w:sz w:val="19"/>
        </w:rPr>
        <w:t>collaborative roles assumed by architects in practice; how they develop</w:t>
      </w:r>
      <w:r>
        <w:rPr>
          <w:i/>
          <w:spacing w:val="-1"/>
          <w:w w:val="105"/>
          <w:sz w:val="19"/>
        </w:rPr>
        <w:t> </w:t>
      </w:r>
      <w:r>
        <w:rPr>
          <w:i/>
          <w:w w:val="105"/>
          <w:sz w:val="19"/>
        </w:rPr>
        <w:t>an understanding of and respect for the roles and responsibilities of the</w:t>
      </w:r>
      <w:r>
        <w:rPr>
          <w:i/>
          <w:spacing w:val="-8"/>
          <w:w w:val="105"/>
          <w:sz w:val="19"/>
        </w:rPr>
        <w:t> </w:t>
      </w:r>
      <w:r>
        <w:rPr>
          <w:i/>
          <w:w w:val="105"/>
          <w:sz w:val="19"/>
        </w:rPr>
        <w:t>associated disciplines; how they learn to reconcile the</w:t>
      </w:r>
      <w:r>
        <w:rPr>
          <w:i/>
          <w:spacing w:val="-3"/>
          <w:w w:val="105"/>
          <w:sz w:val="19"/>
        </w:rPr>
        <w:t> </w:t>
      </w:r>
      <w:r>
        <w:rPr>
          <w:i/>
          <w:w w:val="105"/>
          <w:sz w:val="19"/>
        </w:rPr>
        <w:t>conflicts between architects' obligations to</w:t>
      </w:r>
    </w:p>
    <w:p>
      <w:pPr>
        <w:pStyle w:val="BodyText"/>
        <w:rPr>
          <w:i/>
        </w:rPr>
      </w:pPr>
    </w:p>
    <w:p>
      <w:pPr>
        <w:pStyle w:val="BodyText"/>
        <w:rPr>
          <w:i/>
        </w:rPr>
      </w:pPr>
    </w:p>
    <w:p>
      <w:pPr>
        <w:pStyle w:val="BodyText"/>
        <w:spacing w:before="10"/>
        <w:rPr>
          <w:i/>
          <w:sz w:val="14"/>
        </w:rPr>
      </w:pPr>
      <w:r>
        <w:rPr/>
        <w:pict>
          <v:shape style="position:absolute;margin-left:67.451866pt;margin-top:9.757892pt;width:452.9pt;height:.1pt;mso-position-horizontal-relative:page;mso-position-vertical-relative:paragraph;z-index:-15704064;mso-wrap-distance-left:0;mso-wrap-distance-right:0" id="docshape629" coordorigin="1349,195" coordsize="9058,0" path="m1349,195l10407,195e" filled="false" stroked="true" strokeweight=".481434pt" strokecolor="#000000">
            <v:path arrowok="t"/>
            <v:stroke dashstyle="solid"/>
            <w10:wrap type="topAndBottom"/>
          </v:shape>
        </w:pict>
      </w:r>
    </w:p>
    <w:p>
      <w:pPr>
        <w:pStyle w:val="BodyText"/>
        <w:spacing w:line="221" w:lineRule="exact"/>
        <w:ind w:left="250"/>
      </w:pPr>
      <w:r>
        <w:rPr>
          <w:w w:val="110"/>
        </w:rPr>
        <w:t>6</w:t>
      </w:r>
    </w:p>
    <w:p>
      <w:pPr>
        <w:spacing w:after="0" w:line="221" w:lineRule="exact"/>
        <w:sectPr>
          <w:headerReference w:type="default" r:id="rId371"/>
          <w:footerReference w:type="default" r:id="rId372"/>
          <w:pgSz w:w="12180" w:h="15820"/>
          <w:pgMar w:header="570" w:footer="0" w:top="1280" w:bottom="280" w:left="1120" w:right="1180"/>
        </w:sectPr>
      </w:pPr>
    </w:p>
    <w:p>
      <w:pPr>
        <w:pStyle w:val="BodyText"/>
        <w:rPr>
          <w:sz w:val="19"/>
        </w:rPr>
      </w:pPr>
    </w:p>
    <w:p>
      <w:pPr>
        <w:spacing w:line="264" w:lineRule="auto" w:before="90"/>
        <w:ind w:left="1685" w:right="0" w:hanging="3"/>
        <w:jc w:val="left"/>
        <w:rPr>
          <w:i/>
          <w:sz w:val="19"/>
        </w:rPr>
      </w:pPr>
      <w:r>
        <w:rPr>
          <w:i/>
          <w:w w:val="105"/>
          <w:sz w:val="19"/>
        </w:rPr>
        <w:t>their</w:t>
      </w:r>
      <w:r>
        <w:rPr>
          <w:i/>
          <w:spacing w:val="-10"/>
          <w:w w:val="105"/>
          <w:sz w:val="19"/>
        </w:rPr>
        <w:t> </w:t>
      </w:r>
      <w:r>
        <w:rPr>
          <w:i/>
          <w:w w:val="105"/>
          <w:sz w:val="19"/>
        </w:rPr>
        <w:t>clients</w:t>
      </w:r>
      <w:r>
        <w:rPr>
          <w:i/>
          <w:spacing w:val="-5"/>
          <w:w w:val="105"/>
          <w:sz w:val="19"/>
        </w:rPr>
        <w:t> </w:t>
      </w:r>
      <w:r>
        <w:rPr>
          <w:i/>
          <w:w w:val="105"/>
          <w:sz w:val="19"/>
        </w:rPr>
        <w:t>and</w:t>
      </w:r>
      <w:r>
        <w:rPr>
          <w:i/>
          <w:spacing w:val="-3"/>
          <w:w w:val="105"/>
          <w:sz w:val="19"/>
        </w:rPr>
        <w:t> </w:t>
      </w:r>
      <w:r>
        <w:rPr>
          <w:i/>
          <w:w w:val="105"/>
          <w:sz w:val="19"/>
        </w:rPr>
        <w:t>the</w:t>
      </w:r>
      <w:r>
        <w:rPr>
          <w:i/>
          <w:spacing w:val="-6"/>
          <w:w w:val="105"/>
          <w:sz w:val="19"/>
        </w:rPr>
        <w:t> </w:t>
      </w:r>
      <w:r>
        <w:rPr>
          <w:i/>
          <w:w w:val="105"/>
          <w:sz w:val="19"/>
        </w:rPr>
        <w:t>public and</w:t>
      </w:r>
      <w:r>
        <w:rPr>
          <w:i/>
          <w:spacing w:val="-13"/>
          <w:w w:val="105"/>
          <w:sz w:val="19"/>
        </w:rPr>
        <w:t> </w:t>
      </w:r>
      <w:r>
        <w:rPr>
          <w:i/>
          <w:w w:val="105"/>
          <w:sz w:val="19"/>
        </w:rPr>
        <w:t>the demands</w:t>
      </w:r>
      <w:r>
        <w:rPr>
          <w:i/>
          <w:spacing w:val="-1"/>
          <w:w w:val="105"/>
          <w:sz w:val="19"/>
        </w:rPr>
        <w:t> </w:t>
      </w:r>
      <w:r>
        <w:rPr>
          <w:i/>
          <w:w w:val="105"/>
          <w:sz w:val="19"/>
        </w:rPr>
        <w:t>of the</w:t>
      </w:r>
      <w:r>
        <w:rPr>
          <w:i/>
          <w:spacing w:val="-18"/>
          <w:w w:val="105"/>
          <w:sz w:val="19"/>
        </w:rPr>
        <w:t> </w:t>
      </w:r>
      <w:r>
        <w:rPr>
          <w:i/>
          <w:w w:val="105"/>
          <w:sz w:val="19"/>
        </w:rPr>
        <w:t>creative</w:t>
      </w:r>
      <w:r>
        <w:rPr>
          <w:i/>
          <w:spacing w:val="-1"/>
          <w:w w:val="105"/>
          <w:sz w:val="19"/>
        </w:rPr>
        <w:t> </w:t>
      </w:r>
      <w:r>
        <w:rPr>
          <w:i/>
          <w:w w:val="105"/>
          <w:sz w:val="19"/>
        </w:rPr>
        <w:t>enterprise; and how</w:t>
      </w:r>
      <w:r>
        <w:rPr>
          <w:i/>
          <w:spacing w:val="-6"/>
          <w:w w:val="105"/>
          <w:sz w:val="19"/>
        </w:rPr>
        <w:t> </w:t>
      </w:r>
      <w:r>
        <w:rPr>
          <w:i/>
          <w:w w:val="105"/>
          <w:sz w:val="19"/>
        </w:rPr>
        <w:t>students acquire the ethics for upholding the integrity of the profession.</w:t>
      </w:r>
    </w:p>
    <w:p>
      <w:pPr>
        <w:pStyle w:val="BodyText"/>
        <w:tabs>
          <w:tab w:pos="876" w:val="left" w:leader="none"/>
        </w:tabs>
        <w:spacing w:line="170" w:lineRule="exact"/>
        <w:ind w:right="836"/>
        <w:jc w:val="right"/>
      </w:pPr>
      <w:r>
        <w:rPr>
          <w:spacing w:val="-5"/>
        </w:rPr>
        <w:t>Met</w:t>
      </w:r>
      <w:r>
        <w:rPr/>
        <w:tab/>
        <w:t>Not</w:t>
      </w:r>
      <w:r>
        <w:rPr>
          <w:spacing w:val="-4"/>
        </w:rPr>
        <w:t> </w:t>
      </w:r>
      <w:r>
        <w:rPr>
          <w:spacing w:val="-5"/>
        </w:rPr>
        <w:t>Met</w:t>
      </w:r>
    </w:p>
    <w:p>
      <w:pPr>
        <w:pStyle w:val="Heading3"/>
        <w:numPr>
          <w:ilvl w:val="3"/>
          <w:numId w:val="75"/>
        </w:numPr>
        <w:tabs>
          <w:tab w:pos="1027" w:val="left" w:leader="none"/>
          <w:tab w:pos="1028" w:val="left" w:leader="none"/>
        </w:tabs>
        <w:spacing w:line="341" w:lineRule="exact" w:before="0" w:after="0"/>
        <w:ind w:left="1027" w:right="1057" w:hanging="1028"/>
        <w:jc w:val="right"/>
      </w:pPr>
      <w:r>
        <w:rPr>
          <w:w w:val="105"/>
        </w:rPr>
        <w:t>I</w:t>
      </w:r>
      <w:r>
        <w:rPr>
          <w:spacing w:val="14"/>
          <w:w w:val="105"/>
        </w:rPr>
        <w:t> </w:t>
      </w:r>
      <w:r>
        <w:rPr>
          <w:spacing w:val="-10"/>
          <w:w w:val="105"/>
        </w:rPr>
        <w:t>l</w:t>
      </w:r>
    </w:p>
    <w:p>
      <w:pPr>
        <w:pStyle w:val="BodyText"/>
        <w:spacing w:line="247" w:lineRule="auto" w:before="216"/>
        <w:ind w:left="1687" w:right="373" w:firstLine="1"/>
      </w:pPr>
      <w:r>
        <w:rPr/>
        <w:t>The</w:t>
      </w:r>
      <w:r>
        <w:rPr>
          <w:spacing w:val="-6"/>
        </w:rPr>
        <w:t> </w:t>
      </w:r>
      <w:r>
        <w:rPr/>
        <w:t>architecture faculty is</w:t>
      </w:r>
      <w:r>
        <w:rPr>
          <w:spacing w:val="-3"/>
        </w:rPr>
        <w:t> </w:t>
      </w:r>
      <w:r>
        <w:rPr/>
        <w:t>comprised of several licensed and</w:t>
      </w:r>
      <w:r>
        <w:rPr>
          <w:spacing w:val="-1"/>
        </w:rPr>
        <w:t> </w:t>
      </w:r>
      <w:r>
        <w:rPr/>
        <w:t>practicing architects who are able to</w:t>
      </w:r>
      <w:r>
        <w:rPr>
          <w:spacing w:val="-5"/>
        </w:rPr>
        <w:t> </w:t>
      </w:r>
      <w:r>
        <w:rPr/>
        <w:t>impart</w:t>
      </w:r>
      <w:r>
        <w:rPr>
          <w:spacing w:val="-1"/>
        </w:rPr>
        <w:t> </w:t>
      </w:r>
      <w:r>
        <w:rPr/>
        <w:t>practical perspectives to</w:t>
      </w:r>
      <w:r>
        <w:rPr>
          <w:spacing w:val="-5"/>
        </w:rPr>
        <w:t> </w:t>
      </w:r>
      <w:r>
        <w:rPr/>
        <w:t>the student learning experience. Students gain</w:t>
      </w:r>
      <w:r>
        <w:rPr>
          <w:spacing w:val="-3"/>
        </w:rPr>
        <w:t> </w:t>
      </w:r>
      <w:r>
        <w:rPr/>
        <w:t>exposure to the</w:t>
      </w:r>
      <w:r>
        <w:rPr>
          <w:spacing w:val="-3"/>
        </w:rPr>
        <w:t> </w:t>
      </w:r>
      <w:r>
        <w:rPr/>
        <w:t>local</w:t>
      </w:r>
      <w:r>
        <w:rPr>
          <w:spacing w:val="-1"/>
        </w:rPr>
        <w:t> </w:t>
      </w:r>
      <w:r>
        <w:rPr/>
        <w:t>and</w:t>
      </w:r>
      <w:r>
        <w:rPr>
          <w:spacing w:val="-1"/>
        </w:rPr>
        <w:t> </w:t>
      </w:r>
      <w:r>
        <w:rPr/>
        <w:t>regional professional community</w:t>
      </w:r>
      <w:r>
        <w:rPr>
          <w:spacing w:val="38"/>
        </w:rPr>
        <w:t> </w:t>
      </w:r>
      <w:r>
        <w:rPr/>
        <w:t>through participation in the</w:t>
      </w:r>
      <w:r>
        <w:rPr>
          <w:spacing w:val="-12"/>
        </w:rPr>
        <w:t> </w:t>
      </w:r>
      <w:r>
        <w:rPr/>
        <w:t>Hampton Roads AJA Chapter, visiting lectures, design review critiques, and internships. These</w:t>
      </w:r>
      <w:r>
        <w:rPr>
          <w:spacing w:val="-5"/>
        </w:rPr>
        <w:t> </w:t>
      </w:r>
      <w:r>
        <w:rPr/>
        <w:t>interactions</w:t>
      </w:r>
      <w:r>
        <w:rPr>
          <w:spacing w:val="-5"/>
        </w:rPr>
        <w:t> </w:t>
      </w:r>
      <w:r>
        <w:rPr/>
        <w:t>allow the</w:t>
      </w:r>
      <w:r>
        <w:rPr>
          <w:spacing w:val="-7"/>
        </w:rPr>
        <w:t> </w:t>
      </w:r>
      <w:r>
        <w:rPr/>
        <w:t>students to</w:t>
      </w:r>
      <w:r>
        <w:rPr>
          <w:spacing w:val="-15"/>
        </w:rPr>
        <w:t> </w:t>
      </w:r>
      <w:r>
        <w:rPr/>
        <w:t>broaden their</w:t>
      </w:r>
      <w:r>
        <w:rPr>
          <w:spacing w:val="-9"/>
        </w:rPr>
        <w:t> </w:t>
      </w:r>
      <w:r>
        <w:rPr/>
        <w:t>perspectives and</w:t>
      </w:r>
      <w:r>
        <w:rPr>
          <w:spacing w:val="-13"/>
        </w:rPr>
        <w:t> </w:t>
      </w:r>
      <w:r>
        <w:rPr/>
        <w:t>gain an</w:t>
      </w:r>
      <w:r>
        <w:rPr>
          <w:spacing w:val="-1"/>
        </w:rPr>
        <w:t> </w:t>
      </w:r>
      <w:r>
        <w:rPr/>
        <w:t>appreciation for</w:t>
      </w:r>
      <w:r>
        <w:rPr>
          <w:spacing w:val="-6"/>
        </w:rPr>
        <w:t> </w:t>
      </w:r>
      <w:r>
        <w:rPr/>
        <w:t>continual self-development and various roles architects assume in </w:t>
      </w:r>
      <w:r>
        <w:rPr>
          <w:spacing w:val="-2"/>
        </w:rPr>
        <w:t>practice.</w:t>
      </w:r>
    </w:p>
    <w:p>
      <w:pPr>
        <w:pStyle w:val="BodyText"/>
        <w:spacing w:before="5"/>
        <w:rPr>
          <w:sz w:val="17"/>
        </w:rPr>
      </w:pPr>
    </w:p>
    <w:p>
      <w:pPr>
        <w:pStyle w:val="BodyText"/>
        <w:spacing w:line="242" w:lineRule="auto"/>
        <w:ind w:left="1696" w:right="373" w:firstLine="2"/>
      </w:pPr>
      <w:r>
        <w:rPr/>
        <w:t>The</w:t>
      </w:r>
      <w:r>
        <w:rPr>
          <w:spacing w:val="-1"/>
        </w:rPr>
        <w:t> </w:t>
      </w:r>
      <w:r>
        <w:rPr/>
        <w:t>progressive sequence of learning technical aspects of</w:t>
      </w:r>
      <w:r>
        <w:rPr>
          <w:spacing w:val="-3"/>
        </w:rPr>
        <w:t> </w:t>
      </w:r>
      <w:r>
        <w:rPr/>
        <w:t>design and</w:t>
      </w:r>
      <w:r>
        <w:rPr>
          <w:spacing w:val="-1"/>
        </w:rPr>
        <w:t> </w:t>
      </w:r>
      <w:r>
        <w:rPr/>
        <w:t>integration of allied</w:t>
      </w:r>
      <w:r>
        <w:rPr>
          <w:spacing w:val="-7"/>
        </w:rPr>
        <w:t> </w:t>
      </w:r>
      <w:r>
        <w:rPr/>
        <w:t>disciplines</w:t>
      </w:r>
      <w:r>
        <w:rPr>
          <w:spacing w:val="23"/>
        </w:rPr>
        <w:t> </w:t>
      </w:r>
      <w:r>
        <w:rPr/>
        <w:t>is</w:t>
      </w:r>
      <w:r>
        <w:rPr>
          <w:spacing w:val="-16"/>
        </w:rPr>
        <w:t> </w:t>
      </w:r>
      <w:r>
        <w:rPr/>
        <w:t>developed through</w:t>
      </w:r>
      <w:r>
        <w:rPr>
          <w:spacing w:val="-4"/>
        </w:rPr>
        <w:t> </w:t>
      </w:r>
      <w:r>
        <w:rPr/>
        <w:t>courses such</w:t>
      </w:r>
      <w:r>
        <w:rPr>
          <w:spacing w:val="-7"/>
        </w:rPr>
        <w:t> </w:t>
      </w:r>
      <w:r>
        <w:rPr/>
        <w:t>as</w:t>
      </w:r>
      <w:r>
        <w:rPr>
          <w:spacing w:val="-7"/>
        </w:rPr>
        <w:t> </w:t>
      </w:r>
      <w:r>
        <w:rPr/>
        <w:t>ARC 315, ARC 414, and design studios, and manifests in</w:t>
      </w:r>
      <w:r>
        <w:rPr>
          <w:spacing w:val="-9"/>
        </w:rPr>
        <w:t> </w:t>
      </w:r>
      <w:r>
        <w:rPr/>
        <w:t>students' work. There</w:t>
      </w:r>
      <w:r>
        <w:rPr>
          <w:spacing w:val="-12"/>
        </w:rPr>
        <w:t> </w:t>
      </w:r>
      <w:r>
        <w:rPr/>
        <w:t>is strong evidence in courses ARC 417 and</w:t>
      </w:r>
      <w:r>
        <w:rPr>
          <w:spacing w:val="-3"/>
        </w:rPr>
        <w:t> </w:t>
      </w:r>
      <w:r>
        <w:rPr/>
        <w:t>ARC 418</w:t>
      </w:r>
      <w:r>
        <w:rPr>
          <w:spacing w:val="-1"/>
        </w:rPr>
        <w:t> </w:t>
      </w:r>
      <w:r>
        <w:rPr/>
        <w:t>students are</w:t>
      </w:r>
      <w:r>
        <w:rPr>
          <w:spacing w:val="-10"/>
        </w:rPr>
        <w:t> </w:t>
      </w:r>
      <w:r>
        <w:rPr/>
        <w:t>learning to</w:t>
      </w:r>
      <w:r>
        <w:rPr>
          <w:spacing w:val="-13"/>
        </w:rPr>
        <w:t> </w:t>
      </w:r>
      <w:r>
        <w:rPr/>
        <w:t>reconcile the</w:t>
      </w:r>
      <w:r>
        <w:rPr>
          <w:spacing w:val="-17"/>
        </w:rPr>
        <w:t> </w:t>
      </w:r>
      <w:r>
        <w:rPr/>
        <w:t>architect's obligations to</w:t>
      </w:r>
      <w:r>
        <w:rPr>
          <w:spacing w:val="-13"/>
        </w:rPr>
        <w:t> </w:t>
      </w:r>
      <w:r>
        <w:rPr/>
        <w:t>their</w:t>
      </w:r>
      <w:r>
        <w:rPr>
          <w:spacing w:val="-1"/>
        </w:rPr>
        <w:t> </w:t>
      </w:r>
      <w:r>
        <w:rPr/>
        <w:t>clients and</w:t>
      </w:r>
      <w:r>
        <w:rPr>
          <w:spacing w:val="-4"/>
        </w:rPr>
        <w:t> </w:t>
      </w:r>
      <w:r>
        <w:rPr/>
        <w:t>the public, and</w:t>
      </w:r>
      <w:r>
        <w:rPr>
          <w:spacing w:val="-8"/>
        </w:rPr>
        <w:t> </w:t>
      </w:r>
      <w:r>
        <w:rPr/>
        <w:t>apply principles of upholding ethical standards through the</w:t>
      </w:r>
      <w:r>
        <w:rPr>
          <w:spacing w:val="-1"/>
        </w:rPr>
        <w:t> </w:t>
      </w:r>
      <w:r>
        <w:rPr/>
        <w:t>study of applicable reference materials and synthesis in prototypical examples.</w:t>
      </w:r>
    </w:p>
    <w:p>
      <w:pPr>
        <w:pStyle w:val="BodyText"/>
        <w:rPr>
          <w:sz w:val="22"/>
        </w:rPr>
      </w:pPr>
    </w:p>
    <w:p>
      <w:pPr>
        <w:pStyle w:val="BodyText"/>
        <w:spacing w:before="2"/>
        <w:rPr>
          <w:sz w:val="19"/>
        </w:rPr>
      </w:pPr>
    </w:p>
    <w:p>
      <w:pPr>
        <w:pStyle w:val="ListParagraph"/>
        <w:numPr>
          <w:ilvl w:val="2"/>
          <w:numId w:val="75"/>
        </w:numPr>
        <w:tabs>
          <w:tab w:pos="1703" w:val="left" w:leader="none"/>
          <w:tab w:pos="1704" w:val="left" w:leader="none"/>
        </w:tabs>
        <w:spacing w:line="240" w:lineRule="auto" w:before="1" w:after="0"/>
        <w:ind w:left="1703" w:right="0" w:hanging="726"/>
        <w:jc w:val="left"/>
        <w:rPr>
          <w:sz w:val="20"/>
        </w:rPr>
      </w:pPr>
      <w:r>
        <w:rPr>
          <w:spacing w:val="-2"/>
          <w:w w:val="110"/>
          <w:sz w:val="20"/>
        </w:rPr>
        <w:t>Architecture Education</w:t>
      </w:r>
      <w:r>
        <w:rPr>
          <w:spacing w:val="6"/>
          <w:w w:val="110"/>
          <w:sz w:val="20"/>
        </w:rPr>
        <w:t> </w:t>
      </w:r>
      <w:r>
        <w:rPr>
          <w:spacing w:val="-2"/>
          <w:w w:val="110"/>
          <w:sz w:val="20"/>
        </w:rPr>
        <w:t>and</w:t>
      </w:r>
      <w:r>
        <w:rPr>
          <w:spacing w:val="-6"/>
          <w:w w:val="110"/>
          <w:sz w:val="20"/>
        </w:rPr>
        <w:t> </w:t>
      </w:r>
      <w:r>
        <w:rPr>
          <w:spacing w:val="-2"/>
          <w:w w:val="110"/>
          <w:sz w:val="20"/>
        </w:rPr>
        <w:t>Society</w:t>
      </w:r>
    </w:p>
    <w:p>
      <w:pPr>
        <w:pStyle w:val="BodyText"/>
        <w:spacing w:before="11"/>
        <w:rPr>
          <w:sz w:val="18"/>
        </w:rPr>
      </w:pPr>
    </w:p>
    <w:p>
      <w:pPr>
        <w:spacing w:line="247" w:lineRule="auto" w:before="0"/>
        <w:ind w:left="1704" w:right="283" w:firstLine="3"/>
        <w:jc w:val="left"/>
        <w:rPr>
          <w:i/>
          <w:sz w:val="19"/>
        </w:rPr>
      </w:pPr>
      <w:r>
        <w:rPr>
          <w:i/>
          <w:w w:val="105"/>
          <w:sz w:val="19"/>
        </w:rPr>
        <w:t>The</w:t>
      </w:r>
      <w:r>
        <w:rPr>
          <w:i/>
          <w:spacing w:val="-16"/>
          <w:w w:val="105"/>
          <w:sz w:val="19"/>
        </w:rPr>
        <w:t> </w:t>
      </w:r>
      <w:r>
        <w:rPr>
          <w:i/>
          <w:w w:val="105"/>
          <w:sz w:val="19"/>
        </w:rPr>
        <w:t>program must</w:t>
      </w:r>
      <w:r>
        <w:rPr>
          <w:i/>
          <w:spacing w:val="-12"/>
          <w:w w:val="105"/>
          <w:sz w:val="19"/>
        </w:rPr>
        <w:t> </w:t>
      </w:r>
      <w:r>
        <w:rPr>
          <w:i/>
          <w:w w:val="105"/>
          <w:sz w:val="19"/>
        </w:rPr>
        <w:t>demonstrate that</w:t>
      </w:r>
      <w:r>
        <w:rPr>
          <w:i/>
          <w:spacing w:val="-9"/>
          <w:w w:val="105"/>
          <w:sz w:val="19"/>
        </w:rPr>
        <w:t> </w:t>
      </w:r>
      <w:r>
        <w:rPr>
          <w:i/>
          <w:w w:val="105"/>
          <w:sz w:val="19"/>
        </w:rPr>
        <w:t>it equips students with</w:t>
      </w:r>
      <w:r>
        <w:rPr>
          <w:i/>
          <w:spacing w:val="-8"/>
          <w:w w:val="105"/>
          <w:sz w:val="19"/>
        </w:rPr>
        <w:t> </w:t>
      </w:r>
      <w:r>
        <w:rPr>
          <w:i/>
          <w:w w:val="105"/>
          <w:sz w:val="19"/>
        </w:rPr>
        <w:t>an</w:t>
      </w:r>
      <w:r>
        <w:rPr>
          <w:i/>
          <w:spacing w:val="-5"/>
          <w:w w:val="105"/>
          <w:sz w:val="19"/>
        </w:rPr>
        <w:t> </w:t>
      </w:r>
      <w:r>
        <w:rPr>
          <w:i/>
          <w:w w:val="105"/>
          <w:sz w:val="19"/>
        </w:rPr>
        <w:t>informed understanding of social and</w:t>
      </w:r>
      <w:r>
        <w:rPr>
          <w:i/>
          <w:spacing w:val="-6"/>
          <w:w w:val="105"/>
          <w:sz w:val="19"/>
        </w:rPr>
        <w:t> </w:t>
      </w:r>
      <w:r>
        <w:rPr>
          <w:i/>
          <w:w w:val="105"/>
          <w:sz w:val="19"/>
        </w:rPr>
        <w:t>environmental problerris and develops their</w:t>
      </w:r>
      <w:r>
        <w:rPr>
          <w:i/>
          <w:spacing w:val="-3"/>
          <w:w w:val="105"/>
          <w:sz w:val="19"/>
        </w:rPr>
        <w:t> </w:t>
      </w:r>
      <w:r>
        <w:rPr>
          <w:i/>
          <w:w w:val="105"/>
          <w:sz w:val="19"/>
        </w:rPr>
        <w:t>capacity to address these problems with</w:t>
      </w:r>
      <w:r>
        <w:rPr>
          <w:i/>
          <w:spacing w:val="-12"/>
          <w:w w:val="105"/>
          <w:sz w:val="19"/>
        </w:rPr>
        <w:t> </w:t>
      </w:r>
      <w:r>
        <w:rPr>
          <w:i/>
          <w:w w:val="105"/>
          <w:sz w:val="19"/>
        </w:rPr>
        <w:t>sound architecture and urban design </w:t>
      </w:r>
      <w:r>
        <w:rPr>
          <w:w w:val="105"/>
          <w:sz w:val="20"/>
        </w:rPr>
        <w:t>decisions.</w:t>
      </w:r>
      <w:r>
        <w:rPr>
          <w:spacing w:val="40"/>
          <w:w w:val="105"/>
          <w:sz w:val="20"/>
        </w:rPr>
        <w:t> </w:t>
      </w:r>
      <w:r>
        <w:rPr>
          <w:i/>
          <w:w w:val="105"/>
          <w:sz w:val="19"/>
        </w:rPr>
        <w:t>In</w:t>
      </w:r>
      <w:r>
        <w:rPr>
          <w:i/>
          <w:spacing w:val="19"/>
          <w:w w:val="105"/>
          <w:sz w:val="19"/>
        </w:rPr>
        <w:t> </w:t>
      </w:r>
      <w:r>
        <w:rPr>
          <w:i/>
          <w:w w:val="105"/>
          <w:sz w:val="19"/>
        </w:rPr>
        <w:t>the APR, the</w:t>
      </w:r>
      <w:r>
        <w:rPr>
          <w:i/>
          <w:w w:val="105"/>
          <w:sz w:val="19"/>
        </w:rPr>
        <w:t> accredited degree program may cover such issues </w:t>
      </w:r>
      <w:r>
        <w:rPr>
          <w:w w:val="105"/>
          <w:sz w:val="20"/>
        </w:rPr>
        <w:t>as</w:t>
      </w:r>
      <w:r>
        <w:rPr>
          <w:spacing w:val="-10"/>
          <w:w w:val="105"/>
          <w:sz w:val="20"/>
        </w:rPr>
        <w:t> </w:t>
      </w:r>
      <w:r>
        <w:rPr>
          <w:i/>
          <w:w w:val="105"/>
          <w:sz w:val="19"/>
        </w:rPr>
        <w:t>how students gain an understanding of</w:t>
      </w:r>
      <w:r>
        <w:rPr>
          <w:i/>
          <w:spacing w:val="-7"/>
          <w:w w:val="105"/>
          <w:sz w:val="19"/>
        </w:rPr>
        <w:t> </w:t>
      </w:r>
      <w:r>
        <w:rPr>
          <w:i/>
          <w:w w:val="105"/>
          <w:sz w:val="19"/>
        </w:rPr>
        <w:t>architecture </w:t>
      </w:r>
      <w:r>
        <w:rPr>
          <w:w w:val="105"/>
          <w:sz w:val="20"/>
        </w:rPr>
        <w:t>as</w:t>
      </w:r>
      <w:r>
        <w:rPr>
          <w:spacing w:val="-15"/>
          <w:w w:val="105"/>
          <w:sz w:val="20"/>
        </w:rPr>
        <w:t> </w:t>
      </w:r>
      <w:r>
        <w:rPr>
          <w:w w:val="105"/>
          <w:sz w:val="20"/>
        </w:rPr>
        <w:t>a</w:t>
      </w:r>
      <w:r>
        <w:rPr>
          <w:spacing w:val="-16"/>
          <w:w w:val="105"/>
          <w:sz w:val="20"/>
        </w:rPr>
        <w:t> </w:t>
      </w:r>
      <w:r>
        <w:rPr>
          <w:i/>
          <w:w w:val="105"/>
          <w:sz w:val="19"/>
        </w:rPr>
        <w:t>social</w:t>
      </w:r>
      <w:r>
        <w:rPr>
          <w:i/>
          <w:spacing w:val="-1"/>
          <w:w w:val="105"/>
          <w:sz w:val="19"/>
        </w:rPr>
        <w:t> </w:t>
      </w:r>
      <w:r>
        <w:rPr>
          <w:i/>
          <w:w w:val="105"/>
          <w:sz w:val="19"/>
        </w:rPr>
        <w:t>art,</w:t>
      </w:r>
      <w:r>
        <w:rPr>
          <w:i/>
          <w:spacing w:val="-11"/>
          <w:w w:val="105"/>
          <w:sz w:val="19"/>
        </w:rPr>
        <w:t> </w:t>
      </w:r>
      <w:r>
        <w:rPr>
          <w:i/>
          <w:w w:val="105"/>
          <w:sz w:val="19"/>
        </w:rPr>
        <w:t>including</w:t>
      </w:r>
      <w:r>
        <w:rPr>
          <w:i/>
          <w:spacing w:val="-5"/>
          <w:w w:val="105"/>
          <w:sz w:val="19"/>
        </w:rPr>
        <w:t> </w:t>
      </w:r>
      <w:r>
        <w:rPr>
          <w:i/>
          <w:w w:val="105"/>
          <w:sz w:val="19"/>
        </w:rPr>
        <w:t>the</w:t>
      </w:r>
      <w:r>
        <w:rPr>
          <w:i/>
          <w:spacing w:val="-10"/>
          <w:w w:val="105"/>
          <w:sz w:val="19"/>
        </w:rPr>
        <w:t> </w:t>
      </w:r>
      <w:r>
        <w:rPr>
          <w:i/>
          <w:w w:val="105"/>
          <w:sz w:val="19"/>
        </w:rPr>
        <w:t>complex</w:t>
      </w:r>
      <w:r>
        <w:rPr>
          <w:i/>
          <w:spacing w:val="14"/>
          <w:w w:val="105"/>
          <w:sz w:val="19"/>
        </w:rPr>
        <w:t> </w:t>
      </w:r>
      <w:r>
        <w:rPr>
          <w:i/>
          <w:w w:val="105"/>
          <w:sz w:val="19"/>
        </w:rPr>
        <w:t>processes</w:t>
      </w:r>
      <w:r>
        <w:rPr>
          <w:i/>
          <w:spacing w:val="-1"/>
          <w:w w:val="105"/>
          <w:sz w:val="19"/>
        </w:rPr>
        <w:t> </w:t>
      </w:r>
      <w:r>
        <w:rPr>
          <w:i/>
          <w:w w:val="105"/>
          <w:sz w:val="19"/>
        </w:rPr>
        <w:t>carried out by the multiple stakeholders who shape built environments; the emphasis given to generating the knowledge that</w:t>
      </w:r>
      <w:r>
        <w:rPr>
          <w:i/>
          <w:spacing w:val="-4"/>
          <w:w w:val="105"/>
          <w:sz w:val="19"/>
        </w:rPr>
        <w:t> </w:t>
      </w:r>
      <w:r>
        <w:rPr>
          <w:i/>
          <w:w w:val="105"/>
          <w:sz w:val="19"/>
        </w:rPr>
        <w:t>can mitigate social and environmental problems; how students gain</w:t>
      </w:r>
      <w:r>
        <w:rPr>
          <w:i/>
          <w:spacing w:val="-12"/>
          <w:w w:val="105"/>
          <w:sz w:val="19"/>
        </w:rPr>
        <w:t> </w:t>
      </w:r>
      <w:r>
        <w:rPr>
          <w:i/>
          <w:w w:val="105"/>
          <w:sz w:val="19"/>
        </w:rPr>
        <w:t>an understanding of</w:t>
      </w:r>
      <w:r>
        <w:rPr>
          <w:i/>
          <w:spacing w:val="-2"/>
          <w:w w:val="105"/>
          <w:sz w:val="19"/>
        </w:rPr>
        <w:t> </w:t>
      </w:r>
      <w:r>
        <w:rPr>
          <w:i/>
          <w:w w:val="105"/>
          <w:sz w:val="19"/>
        </w:rPr>
        <w:t>the ethical implications of decisions involving the</w:t>
      </w:r>
      <w:r>
        <w:rPr>
          <w:i/>
          <w:spacing w:val="-10"/>
          <w:w w:val="105"/>
          <w:sz w:val="19"/>
        </w:rPr>
        <w:t> </w:t>
      </w:r>
      <w:r>
        <w:rPr>
          <w:i/>
          <w:w w:val="105"/>
          <w:sz w:val="19"/>
        </w:rPr>
        <w:t>built environment;</w:t>
      </w:r>
      <w:r>
        <w:rPr>
          <w:i/>
          <w:spacing w:val="17"/>
          <w:w w:val="105"/>
          <w:sz w:val="19"/>
        </w:rPr>
        <w:t> </w:t>
      </w:r>
      <w:r>
        <w:rPr>
          <w:i/>
          <w:w w:val="105"/>
          <w:sz w:val="19"/>
        </w:rPr>
        <w:t>and</w:t>
      </w:r>
      <w:r>
        <w:rPr>
          <w:i/>
          <w:spacing w:val="-6"/>
          <w:w w:val="105"/>
          <w:sz w:val="19"/>
        </w:rPr>
        <w:t> </w:t>
      </w:r>
      <w:r>
        <w:rPr>
          <w:i/>
          <w:w w:val="105"/>
          <w:sz w:val="19"/>
        </w:rPr>
        <w:t>how</w:t>
      </w:r>
      <w:r>
        <w:rPr>
          <w:i/>
          <w:spacing w:val="-4"/>
          <w:w w:val="105"/>
          <w:sz w:val="19"/>
        </w:rPr>
        <w:t> </w:t>
      </w:r>
      <w:r>
        <w:rPr>
          <w:w w:val="105"/>
          <w:sz w:val="20"/>
        </w:rPr>
        <w:t>a</w:t>
      </w:r>
      <w:r>
        <w:rPr>
          <w:spacing w:val="-17"/>
          <w:w w:val="105"/>
          <w:sz w:val="20"/>
        </w:rPr>
        <w:t> </w:t>
      </w:r>
      <w:r>
        <w:rPr>
          <w:i/>
          <w:w w:val="105"/>
          <w:sz w:val="19"/>
        </w:rPr>
        <w:t>climate</w:t>
      </w:r>
      <w:r>
        <w:rPr>
          <w:i/>
          <w:spacing w:val="-1"/>
          <w:w w:val="105"/>
          <w:sz w:val="19"/>
        </w:rPr>
        <w:t> </w:t>
      </w:r>
      <w:r>
        <w:rPr>
          <w:i/>
          <w:w w:val="105"/>
          <w:sz w:val="19"/>
        </w:rPr>
        <w:t>of</w:t>
      </w:r>
      <w:r>
        <w:rPr>
          <w:i/>
          <w:spacing w:val="-6"/>
          <w:w w:val="105"/>
          <w:sz w:val="19"/>
        </w:rPr>
        <w:t> </w:t>
      </w:r>
      <w:r>
        <w:rPr>
          <w:i/>
          <w:w w:val="105"/>
          <w:sz w:val="19"/>
        </w:rPr>
        <w:t>civic engagement is nurtured, including </w:t>
      </w:r>
      <w:r>
        <w:rPr>
          <w:w w:val="105"/>
          <w:sz w:val="20"/>
        </w:rPr>
        <w:t>a</w:t>
      </w:r>
      <w:r>
        <w:rPr>
          <w:spacing w:val="-17"/>
          <w:w w:val="105"/>
          <w:sz w:val="20"/>
        </w:rPr>
        <w:t> </w:t>
      </w:r>
      <w:r>
        <w:rPr>
          <w:i/>
          <w:w w:val="105"/>
          <w:sz w:val="19"/>
        </w:rPr>
        <w:t>commitment to professional and public services.</w:t>
      </w:r>
    </w:p>
    <w:p>
      <w:pPr>
        <w:pStyle w:val="BodyText"/>
        <w:tabs>
          <w:tab w:pos="886" w:val="left" w:leader="none"/>
        </w:tabs>
        <w:spacing w:line="196" w:lineRule="exact"/>
        <w:ind w:right="807"/>
        <w:jc w:val="right"/>
      </w:pPr>
      <w:r>
        <w:rPr>
          <w:spacing w:val="-5"/>
        </w:rPr>
        <w:t>Met</w:t>
      </w:r>
      <w:r>
        <w:rPr/>
        <w:tab/>
      </w:r>
      <w:r>
        <w:rPr>
          <w:spacing w:val="-2"/>
        </w:rPr>
        <w:t>Not</w:t>
      </w:r>
      <w:r>
        <w:rPr>
          <w:spacing w:val="-9"/>
        </w:rPr>
        <w:t> </w:t>
      </w:r>
      <w:r>
        <w:rPr>
          <w:spacing w:val="-5"/>
        </w:rPr>
        <w:t>Met</w:t>
      </w:r>
    </w:p>
    <w:p>
      <w:pPr>
        <w:pStyle w:val="Heading4"/>
        <w:numPr>
          <w:ilvl w:val="3"/>
          <w:numId w:val="75"/>
        </w:numPr>
        <w:tabs>
          <w:tab w:pos="1038" w:val="left" w:leader="none"/>
          <w:tab w:pos="1039" w:val="left" w:leader="none"/>
        </w:tabs>
        <w:spacing w:line="323" w:lineRule="exact" w:before="0" w:after="0"/>
        <w:ind w:left="1038" w:right="1019" w:hanging="1039"/>
        <w:jc w:val="right"/>
      </w:pPr>
      <w:r>
        <w:rPr>
          <w:w w:val="110"/>
        </w:rPr>
        <w:t>I</w:t>
      </w:r>
      <w:r>
        <w:rPr>
          <w:spacing w:val="15"/>
          <w:w w:val="110"/>
        </w:rPr>
        <w:t> </w:t>
      </w:r>
      <w:r>
        <w:rPr>
          <w:spacing w:val="-10"/>
          <w:w w:val="110"/>
        </w:rPr>
        <w:t>l</w:t>
      </w:r>
    </w:p>
    <w:p>
      <w:pPr>
        <w:pStyle w:val="BodyText"/>
        <w:spacing w:before="211"/>
        <w:ind w:left="1718" w:right="279" w:hanging="1"/>
      </w:pPr>
      <w:r>
        <w:rPr/>
        <w:t>The curriculum and program reinforce students' understanding</w:t>
      </w:r>
      <w:r>
        <w:rPr>
          <w:spacing w:val="31"/>
        </w:rPr>
        <w:t> </w:t>
      </w:r>
      <w:r>
        <w:rPr/>
        <w:t>of societal frameworks</w:t>
      </w:r>
      <w:r>
        <w:rPr/>
        <w:t> and</w:t>
      </w:r>
      <w:r>
        <w:rPr>
          <w:spacing w:val="-8"/>
        </w:rPr>
        <w:t> </w:t>
      </w:r>
      <w:r>
        <w:rPr/>
        <w:t>the</w:t>
      </w:r>
      <w:r>
        <w:rPr>
          <w:spacing w:val="-6"/>
        </w:rPr>
        <w:t> </w:t>
      </w:r>
      <w:r>
        <w:rPr/>
        <w:t>context</w:t>
      </w:r>
      <w:r>
        <w:rPr>
          <w:spacing w:val="-5"/>
        </w:rPr>
        <w:t> </w:t>
      </w:r>
      <w:r>
        <w:rPr/>
        <w:t>which frames architectural decisions and</w:t>
      </w:r>
      <w:r>
        <w:rPr>
          <w:spacing w:val="-12"/>
        </w:rPr>
        <w:t> </w:t>
      </w:r>
      <w:r>
        <w:rPr/>
        <w:t>solutions.</w:t>
      </w:r>
      <w:r>
        <w:rPr>
          <w:spacing w:val="40"/>
        </w:rPr>
        <w:t> </w:t>
      </w:r>
      <w:r>
        <w:rPr/>
        <w:t>Social influences</w:t>
      </w:r>
      <w:r>
        <w:rPr>
          <w:spacing w:val="-6"/>
        </w:rPr>
        <w:t> </w:t>
      </w:r>
      <w:r>
        <w:rPr/>
        <w:t>are incorporated in</w:t>
      </w:r>
      <w:r>
        <w:rPr>
          <w:spacing w:val="-11"/>
        </w:rPr>
        <w:t> </w:t>
      </w:r>
      <w:r>
        <w:rPr/>
        <w:t>courses during the 2tld year and</w:t>
      </w:r>
      <w:r>
        <w:rPr>
          <w:spacing w:val="-6"/>
        </w:rPr>
        <w:t> </w:t>
      </w:r>
      <w:r>
        <w:rPr/>
        <w:t>continue into</w:t>
      </w:r>
      <w:r>
        <w:rPr>
          <w:spacing w:val="-3"/>
        </w:rPr>
        <w:t> </w:t>
      </w:r>
      <w:r>
        <w:rPr/>
        <w:t>higher level</w:t>
      </w:r>
      <w:r>
        <w:rPr>
          <w:spacing w:val="-1"/>
        </w:rPr>
        <w:t> </w:t>
      </w:r>
      <w:r>
        <w:rPr/>
        <w:t>studios.</w:t>
      </w:r>
    </w:p>
    <w:p>
      <w:pPr>
        <w:pStyle w:val="BodyText"/>
        <w:spacing w:line="252" w:lineRule="auto" w:before="3"/>
        <w:ind w:left="1725" w:hanging="3"/>
      </w:pPr>
      <w:r>
        <w:rPr/>
        <w:t>Students are actively involved in</w:t>
      </w:r>
      <w:r>
        <w:rPr>
          <w:spacing w:val="-12"/>
        </w:rPr>
        <w:t> </w:t>
      </w:r>
      <w:r>
        <w:rPr/>
        <w:t>community outreach and</w:t>
      </w:r>
      <w:r>
        <w:rPr>
          <w:spacing w:val="-5"/>
        </w:rPr>
        <w:t> </w:t>
      </w:r>
      <w:r>
        <w:rPr/>
        <w:t>engaged with local groups, governments, municipalities,</w:t>
      </w:r>
      <w:r>
        <w:rPr>
          <w:spacing w:val="-4"/>
        </w:rPr>
        <w:t> </w:t>
      </w:r>
      <w:r>
        <w:rPr/>
        <w:t>and</w:t>
      </w:r>
      <w:r>
        <w:rPr>
          <w:spacing w:val="-13"/>
        </w:rPr>
        <w:t> </w:t>
      </w:r>
      <w:r>
        <w:rPr/>
        <w:t>private</w:t>
      </w:r>
      <w:r>
        <w:rPr>
          <w:spacing w:val="-5"/>
        </w:rPr>
        <w:t> </w:t>
      </w:r>
      <w:r>
        <w:rPr/>
        <w:t>citizens in</w:t>
      </w:r>
      <w:r>
        <w:rPr>
          <w:spacing w:val="-10"/>
        </w:rPr>
        <w:t> </w:t>
      </w:r>
      <w:r>
        <w:rPr/>
        <w:t>addressing social</w:t>
      </w:r>
      <w:r>
        <w:rPr>
          <w:spacing w:val="-12"/>
        </w:rPr>
        <w:t> </w:t>
      </w:r>
      <w:r>
        <w:rPr/>
        <w:t>and</w:t>
      </w:r>
      <w:r>
        <w:rPr>
          <w:spacing w:val="-7"/>
        </w:rPr>
        <w:t> </w:t>
      </w:r>
      <w:r>
        <w:rPr/>
        <w:t>environmental design</w:t>
      </w:r>
      <w:r>
        <w:rPr>
          <w:spacing w:val="-3"/>
        </w:rPr>
        <w:t> </w:t>
      </w:r>
      <w:r>
        <w:rPr/>
        <w:t>challenges.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9"/>
        </w:rPr>
      </w:pPr>
      <w:r>
        <w:rPr/>
        <w:pict>
          <v:shape style="position:absolute;margin-left:69.379066pt;margin-top:18.173584pt;width:453.9pt;height:.1pt;mso-position-horizontal-relative:page;mso-position-vertical-relative:paragraph;z-index:-15703552;mso-wrap-distance-left:0;mso-wrap-distance-right:0" id="docshape631" coordorigin="1388,363" coordsize="9078,0" path="m1388,363l10465,363e" filled="false" stroked="true" strokeweight=".481434pt" strokecolor="#000000">
            <v:path arrowok="t"/>
            <v:stroke dashstyle="solid"/>
            <w10:wrap type="topAndBottom"/>
          </v:shape>
        </w:pict>
      </w:r>
    </w:p>
    <w:p>
      <w:pPr>
        <w:pStyle w:val="BodyText"/>
        <w:ind w:right="181"/>
        <w:jc w:val="right"/>
      </w:pPr>
      <w:r>
        <w:rPr>
          <w:w w:val="99"/>
        </w:rPr>
        <w:t>7</w:t>
      </w:r>
    </w:p>
    <w:p>
      <w:pPr>
        <w:spacing w:after="0"/>
        <w:jc w:val="right"/>
        <w:sectPr>
          <w:headerReference w:type="default" r:id="rId373"/>
          <w:footerReference w:type="default" r:id="rId374"/>
          <w:pgSz w:w="12180" w:h="15820"/>
          <w:pgMar w:header="608" w:footer="0" w:top="1320" w:bottom="280" w:left="1120" w:right="1180"/>
        </w:sectPr>
      </w:pPr>
    </w:p>
    <w:p>
      <w:pPr>
        <w:pStyle w:val="BodyText"/>
        <w:rPr>
          <w:sz w:val="17"/>
        </w:rPr>
      </w:pPr>
    </w:p>
    <w:p>
      <w:pPr>
        <w:pStyle w:val="ListParagraph"/>
        <w:numPr>
          <w:ilvl w:val="1"/>
          <w:numId w:val="75"/>
        </w:numPr>
        <w:tabs>
          <w:tab w:pos="993" w:val="left" w:leader="none"/>
          <w:tab w:pos="994" w:val="left" w:leader="none"/>
        </w:tabs>
        <w:spacing w:line="240" w:lineRule="auto" w:before="93" w:after="0"/>
        <w:ind w:left="993" w:right="0" w:hanging="714"/>
        <w:jc w:val="left"/>
        <w:rPr>
          <w:sz w:val="21"/>
        </w:rPr>
      </w:pPr>
      <w:r>
        <w:rPr>
          <w:sz w:val="21"/>
        </w:rPr>
        <w:t>Program</w:t>
      </w:r>
      <w:r>
        <w:rPr>
          <w:spacing w:val="18"/>
          <w:sz w:val="21"/>
        </w:rPr>
        <w:t> </w:t>
      </w:r>
      <w:r>
        <w:rPr>
          <w:sz w:val="21"/>
        </w:rPr>
        <w:t>Self-Assessment</w:t>
      </w:r>
      <w:r>
        <w:rPr>
          <w:spacing w:val="-6"/>
          <w:sz w:val="21"/>
        </w:rPr>
        <w:t> </w:t>
      </w:r>
      <w:r>
        <w:rPr>
          <w:spacing w:val="-2"/>
          <w:sz w:val="21"/>
        </w:rPr>
        <w:t>Procedures</w:t>
      </w:r>
    </w:p>
    <w:p>
      <w:pPr>
        <w:pStyle w:val="BodyText"/>
        <w:spacing w:before="10"/>
      </w:pPr>
    </w:p>
    <w:p>
      <w:pPr>
        <w:spacing w:line="252" w:lineRule="auto" w:before="0"/>
        <w:ind w:left="991" w:right="424" w:firstLine="3"/>
        <w:jc w:val="left"/>
        <w:rPr>
          <w:i/>
          <w:sz w:val="19"/>
        </w:rPr>
      </w:pPr>
      <w:r>
        <w:rPr>
          <w:i/>
          <w:w w:val="105"/>
          <w:sz w:val="19"/>
        </w:rPr>
        <w:t>The</w:t>
      </w:r>
      <w:r>
        <w:rPr>
          <w:i/>
          <w:spacing w:val="-10"/>
          <w:w w:val="105"/>
          <w:sz w:val="19"/>
        </w:rPr>
        <w:t> </w:t>
      </w:r>
      <w:r>
        <w:rPr>
          <w:i/>
          <w:w w:val="105"/>
          <w:sz w:val="19"/>
        </w:rPr>
        <w:t>accredited degree program must</w:t>
      </w:r>
      <w:r>
        <w:rPr>
          <w:i/>
          <w:spacing w:val="-3"/>
          <w:w w:val="105"/>
          <w:sz w:val="19"/>
        </w:rPr>
        <w:t> </w:t>
      </w:r>
      <w:r>
        <w:rPr>
          <w:i/>
          <w:w w:val="105"/>
          <w:sz w:val="19"/>
        </w:rPr>
        <w:t>show how it is</w:t>
      </w:r>
      <w:r>
        <w:rPr>
          <w:i/>
          <w:spacing w:val="-6"/>
          <w:w w:val="105"/>
          <w:sz w:val="19"/>
        </w:rPr>
        <w:t> </w:t>
      </w:r>
      <w:r>
        <w:rPr>
          <w:i/>
          <w:w w:val="105"/>
          <w:sz w:val="19"/>
        </w:rPr>
        <w:t>making progress in achieving the</w:t>
      </w:r>
      <w:r>
        <w:rPr>
          <w:i/>
          <w:spacing w:val="-11"/>
          <w:w w:val="105"/>
          <w:sz w:val="19"/>
        </w:rPr>
        <w:t> </w:t>
      </w:r>
      <w:r>
        <w:rPr>
          <w:i/>
          <w:w w:val="105"/>
          <w:sz w:val="19"/>
        </w:rPr>
        <w:t>NAAB Perspectives and</w:t>
      </w:r>
      <w:r>
        <w:rPr>
          <w:i/>
          <w:spacing w:val="-10"/>
          <w:w w:val="105"/>
          <w:sz w:val="19"/>
        </w:rPr>
        <w:t> </w:t>
      </w:r>
      <w:r>
        <w:rPr>
          <w:i/>
          <w:w w:val="105"/>
          <w:sz w:val="19"/>
        </w:rPr>
        <w:t>how</w:t>
      </w:r>
      <w:r>
        <w:rPr>
          <w:i/>
          <w:spacing w:val="-7"/>
          <w:w w:val="105"/>
          <w:sz w:val="19"/>
        </w:rPr>
        <w:t> </w:t>
      </w:r>
      <w:r>
        <w:rPr>
          <w:i/>
          <w:w w:val="105"/>
          <w:sz w:val="19"/>
        </w:rPr>
        <w:t>it</w:t>
      </w:r>
      <w:r>
        <w:rPr>
          <w:i/>
          <w:spacing w:val="-6"/>
          <w:w w:val="105"/>
          <w:sz w:val="19"/>
        </w:rPr>
        <w:t> </w:t>
      </w:r>
      <w:r>
        <w:rPr>
          <w:w w:val="105"/>
          <w:sz w:val="19"/>
        </w:rPr>
        <w:t>assesses </w:t>
      </w:r>
      <w:r>
        <w:rPr>
          <w:i/>
          <w:w w:val="105"/>
          <w:sz w:val="19"/>
        </w:rPr>
        <w:t>the</w:t>
      </w:r>
      <w:r>
        <w:rPr>
          <w:i/>
          <w:spacing w:val="-10"/>
          <w:w w:val="105"/>
          <w:sz w:val="19"/>
        </w:rPr>
        <w:t> </w:t>
      </w:r>
      <w:r>
        <w:rPr>
          <w:i/>
          <w:w w:val="105"/>
          <w:sz w:val="19"/>
        </w:rPr>
        <w:t>extent</w:t>
      </w:r>
      <w:r>
        <w:rPr>
          <w:i/>
          <w:spacing w:val="-2"/>
          <w:w w:val="105"/>
          <w:sz w:val="19"/>
        </w:rPr>
        <w:t> </w:t>
      </w:r>
      <w:r>
        <w:rPr>
          <w:i/>
          <w:w w:val="105"/>
          <w:sz w:val="19"/>
        </w:rPr>
        <w:t>to</w:t>
      </w:r>
      <w:r>
        <w:rPr>
          <w:i/>
          <w:spacing w:val="-8"/>
          <w:w w:val="105"/>
          <w:sz w:val="19"/>
        </w:rPr>
        <w:t> </w:t>
      </w:r>
      <w:r>
        <w:rPr>
          <w:i/>
          <w:w w:val="105"/>
          <w:sz w:val="19"/>
        </w:rPr>
        <w:t>which</w:t>
      </w:r>
      <w:r>
        <w:rPr>
          <w:i/>
          <w:spacing w:val="-1"/>
          <w:w w:val="105"/>
          <w:sz w:val="19"/>
        </w:rPr>
        <w:t> </w:t>
      </w:r>
      <w:r>
        <w:rPr>
          <w:i/>
          <w:w w:val="105"/>
          <w:sz w:val="19"/>
        </w:rPr>
        <w:t>it</w:t>
      </w:r>
      <w:r>
        <w:rPr>
          <w:i/>
          <w:spacing w:val="-3"/>
          <w:w w:val="105"/>
          <w:sz w:val="19"/>
        </w:rPr>
        <w:t> </w:t>
      </w:r>
      <w:r>
        <w:rPr>
          <w:i/>
          <w:w w:val="105"/>
          <w:sz w:val="19"/>
        </w:rPr>
        <w:t>is</w:t>
      </w:r>
      <w:r>
        <w:rPr>
          <w:i/>
          <w:spacing w:val="-2"/>
          <w:w w:val="105"/>
          <w:sz w:val="19"/>
        </w:rPr>
        <w:t> </w:t>
      </w:r>
      <w:r>
        <w:rPr>
          <w:i/>
          <w:w w:val="105"/>
          <w:sz w:val="19"/>
        </w:rPr>
        <w:t>fulfilling</w:t>
      </w:r>
      <w:r>
        <w:rPr>
          <w:i/>
          <w:spacing w:val="-2"/>
          <w:w w:val="105"/>
          <w:sz w:val="19"/>
        </w:rPr>
        <w:t> </w:t>
      </w:r>
      <w:r>
        <w:rPr>
          <w:i/>
          <w:w w:val="105"/>
          <w:sz w:val="19"/>
        </w:rPr>
        <w:t>its</w:t>
      </w:r>
      <w:r>
        <w:rPr>
          <w:i/>
          <w:spacing w:val="-13"/>
          <w:w w:val="105"/>
          <w:sz w:val="19"/>
        </w:rPr>
        <w:t> </w:t>
      </w:r>
      <w:r>
        <w:rPr>
          <w:i/>
          <w:w w:val="105"/>
          <w:sz w:val="19"/>
        </w:rPr>
        <w:t>mission.</w:t>
      </w:r>
      <w:r>
        <w:rPr>
          <w:i/>
          <w:spacing w:val="40"/>
          <w:w w:val="105"/>
          <w:sz w:val="19"/>
        </w:rPr>
        <w:t> </w:t>
      </w:r>
      <w:r>
        <w:rPr>
          <w:i/>
          <w:w w:val="105"/>
          <w:sz w:val="19"/>
        </w:rPr>
        <w:t>The</w:t>
      </w:r>
      <w:r>
        <w:rPr>
          <w:i/>
          <w:spacing w:val="-8"/>
          <w:w w:val="105"/>
          <w:sz w:val="19"/>
        </w:rPr>
        <w:t> </w:t>
      </w:r>
      <w:r>
        <w:rPr>
          <w:i/>
          <w:w w:val="105"/>
          <w:sz w:val="19"/>
        </w:rPr>
        <w:t>assessment procedures must</w:t>
      </w:r>
      <w:r>
        <w:rPr>
          <w:i/>
          <w:spacing w:val="-5"/>
          <w:w w:val="105"/>
          <w:sz w:val="19"/>
        </w:rPr>
        <w:t> </w:t>
      </w:r>
      <w:r>
        <w:rPr>
          <w:i/>
          <w:w w:val="105"/>
          <w:sz w:val="19"/>
        </w:rPr>
        <w:t>include solicitation</w:t>
      </w:r>
      <w:r>
        <w:rPr>
          <w:i/>
          <w:spacing w:val="38"/>
          <w:w w:val="105"/>
          <w:sz w:val="19"/>
        </w:rPr>
        <w:t> </w:t>
      </w:r>
      <w:r>
        <w:rPr>
          <w:i/>
          <w:w w:val="105"/>
          <w:sz w:val="19"/>
        </w:rPr>
        <w:t>of the</w:t>
      </w:r>
      <w:r>
        <w:rPr>
          <w:i/>
          <w:spacing w:val="-7"/>
          <w:w w:val="105"/>
          <w:sz w:val="19"/>
        </w:rPr>
        <w:t> </w:t>
      </w:r>
      <w:r>
        <w:rPr>
          <w:i/>
          <w:w w:val="105"/>
          <w:sz w:val="19"/>
        </w:rPr>
        <w:t>faculty's, students', and graduates' views on the program's curriculum and</w:t>
      </w:r>
      <w:r>
        <w:rPr>
          <w:i/>
          <w:spacing w:val="-3"/>
          <w:w w:val="105"/>
          <w:sz w:val="19"/>
        </w:rPr>
        <w:t> </w:t>
      </w:r>
      <w:r>
        <w:rPr>
          <w:i/>
          <w:w w:val="105"/>
          <w:sz w:val="19"/>
        </w:rPr>
        <w:t>learning.</w:t>
      </w:r>
      <w:r>
        <w:rPr>
          <w:i/>
          <w:spacing w:val="40"/>
          <w:w w:val="105"/>
          <w:sz w:val="19"/>
        </w:rPr>
        <w:t> </w:t>
      </w:r>
      <w:r>
        <w:rPr>
          <w:i/>
          <w:w w:val="105"/>
          <w:sz w:val="19"/>
        </w:rPr>
        <w:t>Individual course evaluations are not</w:t>
      </w:r>
      <w:r>
        <w:rPr>
          <w:i/>
          <w:spacing w:val="-6"/>
          <w:w w:val="105"/>
          <w:sz w:val="19"/>
        </w:rPr>
        <w:t> </w:t>
      </w:r>
      <w:r>
        <w:rPr>
          <w:i/>
          <w:w w:val="105"/>
          <w:sz w:val="19"/>
        </w:rPr>
        <w:t>sufficient to provide insight into the program's focus and pedagogy.</w:t>
      </w:r>
    </w:p>
    <w:p>
      <w:pPr>
        <w:tabs>
          <w:tab w:pos="866" w:val="left" w:leader="none"/>
        </w:tabs>
        <w:spacing w:line="184" w:lineRule="exact" w:before="18"/>
        <w:ind w:left="0" w:right="853" w:firstLine="0"/>
        <w:jc w:val="right"/>
        <w:rPr>
          <w:sz w:val="19"/>
        </w:rPr>
      </w:pPr>
      <w:r>
        <w:rPr>
          <w:spacing w:val="-5"/>
          <w:w w:val="105"/>
          <w:sz w:val="19"/>
        </w:rPr>
        <w:t>Met</w:t>
      </w:r>
      <w:r>
        <w:rPr>
          <w:sz w:val="19"/>
        </w:rPr>
        <w:tab/>
      </w:r>
      <w:r>
        <w:rPr>
          <w:w w:val="105"/>
          <w:sz w:val="19"/>
        </w:rPr>
        <w:t>Not</w:t>
      </w:r>
      <w:r>
        <w:rPr>
          <w:spacing w:val="-4"/>
          <w:w w:val="105"/>
          <w:sz w:val="19"/>
        </w:rPr>
        <w:t> </w:t>
      </w:r>
      <w:r>
        <w:rPr>
          <w:spacing w:val="-5"/>
          <w:w w:val="105"/>
          <w:sz w:val="19"/>
        </w:rPr>
        <w:t>Met</w:t>
      </w:r>
    </w:p>
    <w:p>
      <w:pPr>
        <w:tabs>
          <w:tab w:pos="1041" w:val="left" w:leader="none"/>
        </w:tabs>
        <w:spacing w:line="333" w:lineRule="exact" w:before="0"/>
        <w:ind w:left="0" w:right="1062" w:firstLine="0"/>
        <w:jc w:val="right"/>
        <w:rPr>
          <w:rFonts w:ascii="Times New Roman"/>
          <w:sz w:val="32"/>
        </w:rPr>
      </w:pPr>
      <w:r>
        <w:rPr>
          <w:b/>
          <w:spacing w:val="-5"/>
          <w:sz w:val="24"/>
        </w:rPr>
        <w:t>[X]</w:t>
      </w:r>
      <w:r>
        <w:rPr>
          <w:b/>
          <w:sz w:val="24"/>
        </w:rPr>
        <w:tab/>
      </w:r>
      <w:r>
        <w:rPr>
          <w:sz w:val="24"/>
        </w:rPr>
        <w:t>[</w:t>
      </w:r>
      <w:r>
        <w:rPr>
          <w:spacing w:val="74"/>
          <w:sz w:val="24"/>
        </w:rPr>
        <w:t> </w:t>
      </w:r>
      <w:r>
        <w:rPr>
          <w:rFonts w:ascii="Times New Roman"/>
          <w:spacing w:val="-10"/>
          <w:sz w:val="32"/>
        </w:rPr>
        <w:t>l</w:t>
      </w:r>
    </w:p>
    <w:p>
      <w:pPr>
        <w:spacing w:line="256" w:lineRule="auto" w:before="215"/>
        <w:ind w:left="975" w:right="903" w:firstLine="9"/>
        <w:jc w:val="left"/>
        <w:rPr>
          <w:sz w:val="19"/>
        </w:rPr>
      </w:pPr>
      <w:r>
        <w:rPr>
          <w:w w:val="105"/>
          <w:sz w:val="19"/>
        </w:rPr>
        <w:t>Program mission</w:t>
      </w:r>
      <w:r>
        <w:rPr>
          <w:spacing w:val="-9"/>
          <w:w w:val="105"/>
          <w:sz w:val="19"/>
        </w:rPr>
        <w:t> </w:t>
      </w:r>
      <w:r>
        <w:rPr>
          <w:w w:val="105"/>
          <w:sz w:val="19"/>
        </w:rPr>
        <w:t>assessment is covered</w:t>
      </w:r>
      <w:r>
        <w:rPr>
          <w:spacing w:val="-5"/>
          <w:w w:val="105"/>
          <w:sz w:val="19"/>
        </w:rPr>
        <w:t> </w:t>
      </w:r>
      <w:r>
        <w:rPr>
          <w:w w:val="105"/>
          <w:sz w:val="19"/>
        </w:rPr>
        <w:t>in</w:t>
      </w:r>
      <w:r>
        <w:rPr>
          <w:spacing w:val="-2"/>
          <w:w w:val="105"/>
          <w:sz w:val="19"/>
        </w:rPr>
        <w:t> </w:t>
      </w:r>
      <w:r>
        <w:rPr>
          <w:w w:val="105"/>
          <w:sz w:val="19"/>
        </w:rPr>
        <w:t>faculty</w:t>
      </w:r>
      <w:r>
        <w:rPr>
          <w:spacing w:val="-1"/>
          <w:w w:val="105"/>
          <w:sz w:val="19"/>
        </w:rPr>
        <w:t> </w:t>
      </w:r>
      <w:r>
        <w:rPr>
          <w:w w:val="105"/>
          <w:sz w:val="19"/>
        </w:rPr>
        <w:t>and</w:t>
      </w:r>
      <w:r>
        <w:rPr>
          <w:spacing w:val="-6"/>
          <w:w w:val="105"/>
          <w:sz w:val="19"/>
        </w:rPr>
        <w:t> </w:t>
      </w:r>
      <w:r>
        <w:rPr>
          <w:w w:val="105"/>
          <w:sz w:val="19"/>
        </w:rPr>
        <w:t>student</w:t>
      </w:r>
      <w:r>
        <w:rPr>
          <w:spacing w:val="-2"/>
          <w:w w:val="105"/>
          <w:sz w:val="19"/>
        </w:rPr>
        <w:t> </w:t>
      </w:r>
      <w:r>
        <w:rPr>
          <w:w w:val="105"/>
          <w:sz w:val="19"/>
        </w:rPr>
        <w:t>meetings.</w:t>
      </w:r>
      <w:r>
        <w:rPr>
          <w:spacing w:val="40"/>
          <w:w w:val="105"/>
          <w:sz w:val="19"/>
        </w:rPr>
        <w:t> </w:t>
      </w:r>
      <w:r>
        <w:rPr>
          <w:w w:val="105"/>
          <w:sz w:val="19"/>
        </w:rPr>
        <w:t>Alumni</w:t>
      </w:r>
      <w:r>
        <w:rPr>
          <w:spacing w:val="-8"/>
          <w:w w:val="105"/>
          <w:sz w:val="19"/>
        </w:rPr>
        <w:t> </w:t>
      </w:r>
      <w:r>
        <w:rPr>
          <w:w w:val="105"/>
          <w:sz w:val="19"/>
        </w:rPr>
        <w:t>surveys are also utilized.</w:t>
      </w:r>
      <w:r>
        <w:rPr>
          <w:spacing w:val="40"/>
          <w:w w:val="105"/>
          <w:sz w:val="19"/>
        </w:rPr>
        <w:t> </w:t>
      </w:r>
      <w:r>
        <w:rPr>
          <w:w w:val="105"/>
          <w:sz w:val="19"/>
        </w:rPr>
        <w:t>Alumni</w:t>
      </w:r>
      <w:r>
        <w:rPr>
          <w:spacing w:val="-4"/>
          <w:w w:val="105"/>
          <w:sz w:val="19"/>
        </w:rPr>
        <w:t> </w:t>
      </w:r>
      <w:r>
        <w:rPr>
          <w:w w:val="105"/>
          <w:sz w:val="19"/>
        </w:rPr>
        <w:t>have formed the</w:t>
      </w:r>
      <w:r>
        <w:rPr>
          <w:spacing w:val="-10"/>
          <w:w w:val="105"/>
          <w:sz w:val="19"/>
        </w:rPr>
        <w:t> </w:t>
      </w:r>
      <w:r>
        <w:rPr>
          <w:w w:val="105"/>
          <w:sz w:val="19"/>
        </w:rPr>
        <w:t>Hampton University Architectural Alumni Association and meet</w:t>
      </w:r>
      <w:r>
        <w:rPr>
          <w:spacing w:val="-4"/>
          <w:w w:val="105"/>
          <w:sz w:val="19"/>
        </w:rPr>
        <w:t> </w:t>
      </w:r>
      <w:r>
        <w:rPr>
          <w:w w:val="105"/>
          <w:sz w:val="19"/>
        </w:rPr>
        <w:t>with students and faculty for updates on</w:t>
      </w:r>
      <w:r>
        <w:rPr>
          <w:spacing w:val="-5"/>
          <w:w w:val="105"/>
          <w:sz w:val="19"/>
        </w:rPr>
        <w:t> </w:t>
      </w:r>
      <w:r>
        <w:rPr>
          <w:w w:val="105"/>
          <w:sz w:val="19"/>
        </w:rPr>
        <w:t>activities within</w:t>
      </w:r>
      <w:r>
        <w:rPr>
          <w:spacing w:val="-7"/>
          <w:w w:val="105"/>
          <w:sz w:val="19"/>
        </w:rPr>
        <w:t> </w:t>
      </w:r>
      <w:r>
        <w:rPr>
          <w:w w:val="105"/>
          <w:sz w:val="19"/>
        </w:rPr>
        <w:t>the Department</w:t>
      </w:r>
      <w:r>
        <w:rPr>
          <w:spacing w:val="-2"/>
          <w:w w:val="105"/>
          <w:sz w:val="19"/>
        </w:rPr>
        <w:t> </w:t>
      </w:r>
      <w:r>
        <w:rPr>
          <w:w w:val="105"/>
          <w:sz w:val="19"/>
        </w:rPr>
        <w:t>of Architecture.</w:t>
      </w:r>
      <w:r>
        <w:rPr>
          <w:spacing w:val="66"/>
          <w:w w:val="105"/>
          <w:sz w:val="19"/>
        </w:rPr>
        <w:t> </w:t>
      </w:r>
      <w:r>
        <w:rPr>
          <w:w w:val="105"/>
          <w:sz w:val="19"/>
        </w:rPr>
        <w:t>An</w:t>
      </w:r>
      <w:r>
        <w:rPr>
          <w:spacing w:val="-11"/>
          <w:w w:val="105"/>
          <w:sz w:val="19"/>
        </w:rPr>
        <w:t> </w:t>
      </w:r>
      <w:r>
        <w:rPr>
          <w:w w:val="105"/>
          <w:sz w:val="19"/>
        </w:rPr>
        <w:t>Architectural</w:t>
      </w:r>
      <w:r>
        <w:rPr>
          <w:spacing w:val="-8"/>
          <w:w w:val="105"/>
          <w:sz w:val="19"/>
        </w:rPr>
        <w:t> </w:t>
      </w:r>
      <w:r>
        <w:rPr>
          <w:w w:val="105"/>
          <w:sz w:val="19"/>
        </w:rPr>
        <w:t>Advisory</w:t>
      </w:r>
      <w:r>
        <w:rPr>
          <w:spacing w:val="-5"/>
          <w:w w:val="105"/>
          <w:sz w:val="19"/>
        </w:rPr>
        <w:t> </w:t>
      </w:r>
      <w:r>
        <w:rPr>
          <w:w w:val="105"/>
          <w:sz w:val="19"/>
        </w:rPr>
        <w:t>Board</w:t>
      </w:r>
      <w:r>
        <w:rPr>
          <w:spacing w:val="-8"/>
          <w:w w:val="105"/>
          <w:sz w:val="19"/>
        </w:rPr>
        <w:t> </w:t>
      </w:r>
      <w:r>
        <w:rPr>
          <w:w w:val="105"/>
          <w:sz w:val="19"/>
        </w:rPr>
        <w:t>was</w:t>
      </w:r>
      <w:r>
        <w:rPr>
          <w:spacing w:val="-18"/>
          <w:w w:val="105"/>
          <w:sz w:val="19"/>
        </w:rPr>
        <w:t> </w:t>
      </w:r>
      <w:r>
        <w:rPr>
          <w:w w:val="105"/>
          <w:sz w:val="19"/>
        </w:rPr>
        <w:t>established in</w:t>
      </w:r>
      <w:r>
        <w:rPr>
          <w:spacing w:val="-11"/>
          <w:w w:val="105"/>
          <w:sz w:val="19"/>
        </w:rPr>
        <w:t> </w:t>
      </w:r>
      <w:r>
        <w:rPr>
          <w:w w:val="105"/>
          <w:sz w:val="19"/>
        </w:rPr>
        <w:t>1998</w:t>
      </w:r>
      <w:r>
        <w:rPr>
          <w:spacing w:val="-10"/>
          <w:w w:val="105"/>
          <w:sz w:val="19"/>
        </w:rPr>
        <w:t> </w:t>
      </w:r>
      <w:r>
        <w:rPr>
          <w:w w:val="105"/>
          <w:sz w:val="19"/>
        </w:rPr>
        <w:t>and is composed of alumni</w:t>
      </w:r>
      <w:r>
        <w:rPr>
          <w:spacing w:val="-7"/>
          <w:w w:val="105"/>
          <w:sz w:val="19"/>
        </w:rPr>
        <w:t> </w:t>
      </w:r>
      <w:r>
        <w:rPr>
          <w:w w:val="105"/>
          <w:sz w:val="19"/>
        </w:rPr>
        <w:t>and friends</w:t>
      </w:r>
      <w:r>
        <w:rPr>
          <w:spacing w:val="-1"/>
          <w:w w:val="105"/>
          <w:sz w:val="19"/>
        </w:rPr>
        <w:t> </w:t>
      </w:r>
      <w:r>
        <w:rPr>
          <w:w w:val="105"/>
          <w:sz w:val="19"/>
        </w:rPr>
        <w:t>of the</w:t>
      </w:r>
      <w:r>
        <w:rPr>
          <w:spacing w:val="-8"/>
          <w:w w:val="105"/>
          <w:sz w:val="19"/>
        </w:rPr>
        <w:t> </w:t>
      </w:r>
      <w:r>
        <w:rPr>
          <w:w w:val="105"/>
          <w:sz w:val="19"/>
        </w:rPr>
        <w:t>Department; they provide opinions</w:t>
      </w:r>
      <w:r>
        <w:rPr>
          <w:spacing w:val="-2"/>
          <w:w w:val="105"/>
          <w:sz w:val="19"/>
        </w:rPr>
        <w:t> </w:t>
      </w:r>
      <w:r>
        <w:rPr>
          <w:w w:val="105"/>
          <w:sz w:val="19"/>
        </w:rPr>
        <w:t>and</w:t>
      </w:r>
      <w:r>
        <w:rPr>
          <w:spacing w:val="-1"/>
          <w:w w:val="105"/>
          <w:sz w:val="19"/>
        </w:rPr>
        <w:t> </w:t>
      </w:r>
      <w:r>
        <w:rPr>
          <w:w w:val="105"/>
          <w:sz w:val="19"/>
        </w:rPr>
        <w:t>insights into the effectiveness of the program.</w:t>
      </w:r>
    </w:p>
    <w:p>
      <w:pPr>
        <w:pStyle w:val="BodyText"/>
      </w:pPr>
    </w:p>
    <w:p>
      <w:pPr>
        <w:pStyle w:val="BodyText"/>
        <w:spacing w:before="3"/>
        <w:rPr>
          <w:sz w:val="17"/>
        </w:rPr>
      </w:pPr>
    </w:p>
    <w:p>
      <w:pPr>
        <w:pStyle w:val="ListParagraph"/>
        <w:numPr>
          <w:ilvl w:val="1"/>
          <w:numId w:val="75"/>
        </w:numPr>
        <w:tabs>
          <w:tab w:pos="973" w:val="left" w:leader="none"/>
          <w:tab w:pos="975" w:val="left" w:leader="none"/>
        </w:tabs>
        <w:spacing w:line="240" w:lineRule="auto" w:before="0" w:after="0"/>
        <w:ind w:left="974" w:right="0" w:hanging="717"/>
        <w:jc w:val="left"/>
        <w:rPr>
          <w:rFonts w:ascii="Times New Roman"/>
          <w:sz w:val="22"/>
        </w:rPr>
      </w:pPr>
      <w:r>
        <w:rPr>
          <w:sz w:val="21"/>
        </w:rPr>
        <w:t>Public</w:t>
      </w:r>
      <w:r>
        <w:rPr>
          <w:spacing w:val="8"/>
          <w:w w:val="105"/>
          <w:sz w:val="21"/>
        </w:rPr>
        <w:t> </w:t>
      </w:r>
      <w:r>
        <w:rPr>
          <w:spacing w:val="-2"/>
          <w:w w:val="105"/>
          <w:sz w:val="21"/>
        </w:rPr>
        <w:t>lnfonnatlon</w:t>
      </w:r>
    </w:p>
    <w:p>
      <w:pPr>
        <w:pStyle w:val="BodyText"/>
        <w:spacing w:before="6"/>
      </w:pPr>
    </w:p>
    <w:p>
      <w:pPr>
        <w:spacing w:line="252" w:lineRule="auto" w:before="0"/>
        <w:ind w:left="971" w:right="475" w:firstLine="4"/>
        <w:jc w:val="left"/>
        <w:rPr>
          <w:sz w:val="19"/>
        </w:rPr>
      </w:pPr>
      <w:r>
        <w:rPr>
          <w:i/>
          <w:w w:val="105"/>
          <w:sz w:val="19"/>
        </w:rPr>
        <w:t>To ensure an understanding</w:t>
      </w:r>
      <w:r>
        <w:rPr>
          <w:i/>
          <w:spacing w:val="28"/>
          <w:w w:val="105"/>
          <w:sz w:val="19"/>
        </w:rPr>
        <w:t> </w:t>
      </w:r>
      <w:r>
        <w:rPr>
          <w:i/>
          <w:w w:val="105"/>
          <w:sz w:val="19"/>
        </w:rPr>
        <w:t>of the</w:t>
      </w:r>
      <w:r>
        <w:rPr>
          <w:i/>
          <w:spacing w:val="-8"/>
          <w:w w:val="105"/>
          <w:sz w:val="19"/>
        </w:rPr>
        <w:t> </w:t>
      </w:r>
      <w:r>
        <w:rPr>
          <w:i/>
          <w:w w:val="105"/>
          <w:sz w:val="19"/>
        </w:rPr>
        <w:t>accredited professional</w:t>
      </w:r>
      <w:r>
        <w:rPr>
          <w:i/>
          <w:spacing w:val="28"/>
          <w:w w:val="105"/>
          <w:sz w:val="19"/>
        </w:rPr>
        <w:t> </w:t>
      </w:r>
      <w:r>
        <w:rPr>
          <w:i/>
          <w:w w:val="105"/>
          <w:sz w:val="19"/>
        </w:rPr>
        <w:t>degree by the</w:t>
      </w:r>
      <w:r>
        <w:rPr>
          <w:i/>
          <w:spacing w:val="-6"/>
          <w:w w:val="105"/>
          <w:sz w:val="19"/>
        </w:rPr>
        <w:t> </w:t>
      </w:r>
      <w:r>
        <w:rPr>
          <w:i/>
          <w:w w:val="105"/>
          <w:sz w:val="19"/>
        </w:rPr>
        <w:t>public, all</w:t>
      </w:r>
      <w:r>
        <w:rPr>
          <w:i/>
          <w:spacing w:val="-1"/>
          <w:w w:val="105"/>
          <w:sz w:val="19"/>
        </w:rPr>
        <w:t> </w:t>
      </w:r>
      <w:r>
        <w:rPr>
          <w:i/>
          <w:w w:val="105"/>
          <w:sz w:val="19"/>
        </w:rPr>
        <w:t>schools offering</w:t>
      </w:r>
      <w:r>
        <w:rPr>
          <w:i/>
          <w:spacing w:val="-5"/>
          <w:w w:val="105"/>
          <w:sz w:val="19"/>
        </w:rPr>
        <w:t> </w:t>
      </w:r>
      <w:r>
        <w:rPr>
          <w:i/>
          <w:w w:val="105"/>
          <w:sz w:val="19"/>
        </w:rPr>
        <w:t>an</w:t>
      </w:r>
      <w:r>
        <w:rPr>
          <w:i/>
          <w:spacing w:val="-9"/>
          <w:w w:val="105"/>
          <w:sz w:val="19"/>
        </w:rPr>
        <w:t> </w:t>
      </w:r>
      <w:r>
        <w:rPr>
          <w:i/>
          <w:w w:val="105"/>
          <w:sz w:val="19"/>
        </w:rPr>
        <w:t>accredited</w:t>
      </w:r>
      <w:r>
        <w:rPr>
          <w:i/>
          <w:spacing w:val="-1"/>
          <w:w w:val="105"/>
          <w:sz w:val="19"/>
        </w:rPr>
        <w:t> </w:t>
      </w:r>
      <w:r>
        <w:rPr>
          <w:i/>
          <w:w w:val="105"/>
          <w:sz w:val="19"/>
        </w:rPr>
        <w:t>degree program</w:t>
      </w:r>
      <w:r>
        <w:rPr>
          <w:i/>
          <w:spacing w:val="-2"/>
          <w:w w:val="105"/>
          <w:sz w:val="19"/>
        </w:rPr>
        <w:t> </w:t>
      </w:r>
      <w:r>
        <w:rPr>
          <w:i/>
          <w:w w:val="105"/>
          <w:sz w:val="19"/>
        </w:rPr>
        <w:t>or</w:t>
      </w:r>
      <w:r>
        <w:rPr>
          <w:i/>
          <w:spacing w:val="-6"/>
          <w:w w:val="105"/>
          <w:sz w:val="19"/>
        </w:rPr>
        <w:t> </w:t>
      </w:r>
      <w:r>
        <w:rPr>
          <w:i/>
          <w:w w:val="105"/>
          <w:sz w:val="19"/>
        </w:rPr>
        <w:t>any candidacy</w:t>
      </w:r>
      <w:r>
        <w:rPr>
          <w:i/>
          <w:spacing w:val="-2"/>
          <w:w w:val="105"/>
          <w:sz w:val="19"/>
        </w:rPr>
        <w:t> </w:t>
      </w:r>
      <w:r>
        <w:rPr>
          <w:i/>
          <w:w w:val="105"/>
          <w:sz w:val="19"/>
        </w:rPr>
        <w:t>program</w:t>
      </w:r>
      <w:r>
        <w:rPr>
          <w:i/>
          <w:spacing w:val="-4"/>
          <w:w w:val="105"/>
          <w:sz w:val="19"/>
        </w:rPr>
        <w:t> </w:t>
      </w:r>
      <w:r>
        <w:rPr>
          <w:i/>
          <w:w w:val="105"/>
          <w:sz w:val="19"/>
        </w:rPr>
        <w:t>must</w:t>
      </w:r>
      <w:r>
        <w:rPr>
          <w:i/>
          <w:spacing w:val="-16"/>
          <w:w w:val="105"/>
          <w:sz w:val="19"/>
        </w:rPr>
        <w:t> </w:t>
      </w:r>
      <w:r>
        <w:rPr>
          <w:i/>
          <w:w w:val="105"/>
          <w:sz w:val="19"/>
        </w:rPr>
        <w:t>include</w:t>
      </w:r>
      <w:r>
        <w:rPr>
          <w:i/>
          <w:spacing w:val="-6"/>
          <w:w w:val="105"/>
          <w:sz w:val="19"/>
        </w:rPr>
        <w:t> </w:t>
      </w:r>
      <w:r>
        <w:rPr>
          <w:i/>
          <w:w w:val="105"/>
          <w:sz w:val="19"/>
        </w:rPr>
        <w:t>in</w:t>
      </w:r>
      <w:r>
        <w:rPr>
          <w:i/>
          <w:spacing w:val="-12"/>
          <w:w w:val="105"/>
          <w:sz w:val="19"/>
        </w:rPr>
        <w:t> </w:t>
      </w:r>
      <w:r>
        <w:rPr>
          <w:i/>
          <w:w w:val="105"/>
          <w:sz w:val="19"/>
        </w:rPr>
        <w:t>their</w:t>
      </w:r>
      <w:r>
        <w:rPr>
          <w:i/>
          <w:spacing w:val="-3"/>
          <w:w w:val="105"/>
          <w:sz w:val="19"/>
        </w:rPr>
        <w:t> </w:t>
      </w:r>
      <w:r>
        <w:rPr>
          <w:i/>
          <w:w w:val="105"/>
          <w:sz w:val="19"/>
        </w:rPr>
        <w:t>catalogs and promotional media the exact language found in the </w:t>
      </w:r>
      <w:r>
        <w:rPr>
          <w:w w:val="105"/>
          <w:sz w:val="19"/>
        </w:rPr>
        <w:t>NAAB Conditions for Accreditation, </w:t>
      </w:r>
      <w:r>
        <w:rPr>
          <w:i/>
          <w:w w:val="105"/>
          <w:sz w:val="19"/>
        </w:rPr>
        <w:t>Appendix A.</w:t>
      </w:r>
      <w:r>
        <w:rPr>
          <w:i/>
          <w:spacing w:val="40"/>
          <w:w w:val="105"/>
          <w:sz w:val="19"/>
        </w:rPr>
        <w:t> </w:t>
      </w:r>
      <w:r>
        <w:rPr>
          <w:i/>
          <w:w w:val="105"/>
          <w:sz w:val="19"/>
        </w:rPr>
        <w:t>To</w:t>
      </w:r>
      <w:r>
        <w:rPr>
          <w:i/>
          <w:spacing w:val="-12"/>
          <w:w w:val="105"/>
          <w:sz w:val="19"/>
        </w:rPr>
        <w:t> </w:t>
      </w:r>
      <w:r>
        <w:rPr>
          <w:i/>
          <w:w w:val="105"/>
          <w:sz w:val="19"/>
        </w:rPr>
        <w:t>ensure</w:t>
      </w:r>
      <w:r>
        <w:rPr>
          <w:i/>
          <w:spacing w:val="-4"/>
          <w:w w:val="105"/>
          <w:sz w:val="19"/>
        </w:rPr>
        <w:t> </w:t>
      </w:r>
      <w:r>
        <w:rPr>
          <w:i/>
          <w:w w:val="105"/>
          <w:sz w:val="19"/>
        </w:rPr>
        <w:t>an</w:t>
      </w:r>
      <w:r>
        <w:rPr>
          <w:i/>
          <w:spacing w:val="-9"/>
          <w:w w:val="105"/>
          <w:sz w:val="19"/>
        </w:rPr>
        <w:t> </w:t>
      </w:r>
      <w:r>
        <w:rPr>
          <w:i/>
          <w:w w:val="105"/>
          <w:sz w:val="19"/>
        </w:rPr>
        <w:t>understanding of the</w:t>
      </w:r>
      <w:r>
        <w:rPr>
          <w:i/>
          <w:spacing w:val="-1"/>
          <w:w w:val="105"/>
          <w:sz w:val="19"/>
        </w:rPr>
        <w:t> </w:t>
      </w:r>
      <w:r>
        <w:rPr>
          <w:i/>
          <w:w w:val="105"/>
          <w:sz w:val="19"/>
        </w:rPr>
        <w:t>body of knowledge and skills</w:t>
      </w:r>
      <w:r>
        <w:rPr>
          <w:i/>
          <w:spacing w:val="-8"/>
          <w:w w:val="105"/>
          <w:sz w:val="19"/>
        </w:rPr>
        <w:t> </w:t>
      </w:r>
      <w:r>
        <w:rPr>
          <w:i/>
          <w:w w:val="105"/>
          <w:sz w:val="19"/>
        </w:rPr>
        <w:t>that</w:t>
      </w:r>
      <w:r>
        <w:rPr>
          <w:i/>
          <w:spacing w:val="-11"/>
          <w:w w:val="105"/>
          <w:sz w:val="19"/>
        </w:rPr>
        <w:t> </w:t>
      </w:r>
      <w:r>
        <w:rPr>
          <w:i/>
          <w:w w:val="105"/>
          <w:sz w:val="19"/>
        </w:rPr>
        <w:t>constitute a professional</w:t>
      </w:r>
      <w:r>
        <w:rPr>
          <w:i/>
          <w:spacing w:val="-1"/>
          <w:w w:val="105"/>
          <w:sz w:val="19"/>
        </w:rPr>
        <w:t> </w:t>
      </w:r>
      <w:r>
        <w:rPr>
          <w:i/>
          <w:w w:val="105"/>
          <w:sz w:val="19"/>
        </w:rPr>
        <w:t>education in</w:t>
      </w:r>
      <w:r>
        <w:rPr>
          <w:i/>
          <w:spacing w:val="-19"/>
          <w:w w:val="105"/>
          <w:sz w:val="19"/>
        </w:rPr>
        <w:t> </w:t>
      </w:r>
      <w:r>
        <w:rPr>
          <w:i/>
          <w:w w:val="105"/>
          <w:sz w:val="19"/>
        </w:rPr>
        <w:t>architecture, the•</w:t>
      </w:r>
      <w:r>
        <w:rPr>
          <w:i/>
          <w:spacing w:val="-37"/>
          <w:w w:val="105"/>
          <w:sz w:val="19"/>
        </w:rPr>
        <w:t> </w:t>
      </w:r>
      <w:r>
        <w:rPr>
          <w:i/>
          <w:w w:val="105"/>
          <w:sz w:val="19"/>
        </w:rPr>
        <w:t>school</w:t>
      </w:r>
      <w:r>
        <w:rPr>
          <w:i/>
          <w:spacing w:val="-4"/>
          <w:w w:val="105"/>
          <w:sz w:val="19"/>
        </w:rPr>
        <w:t> </w:t>
      </w:r>
      <w:r>
        <w:rPr>
          <w:i/>
          <w:w w:val="105"/>
          <w:sz w:val="19"/>
        </w:rPr>
        <w:t>must</w:t>
      </w:r>
      <w:r>
        <w:rPr>
          <w:i/>
          <w:spacing w:val="-8"/>
          <w:w w:val="105"/>
          <w:sz w:val="19"/>
        </w:rPr>
        <w:t> </w:t>
      </w:r>
      <w:r>
        <w:rPr>
          <w:i/>
          <w:w w:val="105"/>
          <w:sz w:val="19"/>
        </w:rPr>
        <w:t>inform</w:t>
      </w:r>
      <w:r>
        <w:rPr>
          <w:i/>
          <w:spacing w:val="-3"/>
          <w:w w:val="105"/>
          <w:sz w:val="19"/>
        </w:rPr>
        <w:t> </w:t>
      </w:r>
      <w:r>
        <w:rPr>
          <w:i/>
          <w:w w:val="105"/>
          <w:sz w:val="19"/>
        </w:rPr>
        <w:t>faculty and</w:t>
      </w:r>
      <w:r>
        <w:rPr>
          <w:i/>
          <w:spacing w:val="-10"/>
          <w:w w:val="105"/>
          <w:sz w:val="19"/>
        </w:rPr>
        <w:t> </w:t>
      </w:r>
      <w:r>
        <w:rPr>
          <w:i/>
          <w:w w:val="105"/>
          <w:sz w:val="19"/>
        </w:rPr>
        <w:t>incoming</w:t>
      </w:r>
      <w:r>
        <w:rPr>
          <w:i/>
          <w:spacing w:val="-6"/>
          <w:w w:val="105"/>
          <w:sz w:val="19"/>
        </w:rPr>
        <w:t> </w:t>
      </w:r>
      <w:r>
        <w:rPr>
          <w:i/>
          <w:w w:val="105"/>
          <w:sz w:val="19"/>
        </w:rPr>
        <w:t>students</w:t>
      </w:r>
      <w:r>
        <w:rPr>
          <w:i/>
          <w:spacing w:val="-4"/>
          <w:w w:val="105"/>
          <w:sz w:val="19"/>
        </w:rPr>
        <w:t> </w:t>
      </w:r>
      <w:r>
        <w:rPr>
          <w:i/>
          <w:w w:val="105"/>
          <w:sz w:val="19"/>
        </w:rPr>
        <w:t>of how to </w:t>
      </w:r>
      <w:r>
        <w:rPr>
          <w:w w:val="105"/>
          <w:sz w:val="19"/>
        </w:rPr>
        <w:t>access </w:t>
      </w:r>
      <w:r>
        <w:rPr>
          <w:i/>
          <w:w w:val="105"/>
          <w:sz w:val="19"/>
        </w:rPr>
        <w:t>the </w:t>
      </w:r>
      <w:r>
        <w:rPr>
          <w:w w:val="105"/>
          <w:sz w:val="19"/>
        </w:rPr>
        <w:t>NAAB Conditions for Accreditation.</w:t>
      </w:r>
    </w:p>
    <w:p>
      <w:pPr>
        <w:tabs>
          <w:tab w:pos="876" w:val="left" w:leader="none"/>
        </w:tabs>
        <w:spacing w:line="202" w:lineRule="exact" w:before="10"/>
        <w:ind w:left="0" w:right="862" w:firstLine="0"/>
        <w:jc w:val="right"/>
        <w:rPr>
          <w:sz w:val="19"/>
        </w:rPr>
      </w:pPr>
      <w:r>
        <w:rPr>
          <w:spacing w:val="-5"/>
          <w:w w:val="110"/>
          <w:sz w:val="19"/>
        </w:rPr>
        <w:t>Met</w:t>
      </w:r>
      <w:r>
        <w:rPr>
          <w:sz w:val="19"/>
        </w:rPr>
        <w:tab/>
      </w:r>
      <w:r>
        <w:rPr>
          <w:w w:val="105"/>
          <w:sz w:val="19"/>
        </w:rPr>
        <w:t>Not</w:t>
      </w:r>
      <w:r>
        <w:rPr>
          <w:spacing w:val="-3"/>
          <w:w w:val="105"/>
          <w:sz w:val="19"/>
        </w:rPr>
        <w:t> </w:t>
      </w:r>
      <w:r>
        <w:rPr>
          <w:spacing w:val="-5"/>
          <w:w w:val="110"/>
          <w:sz w:val="19"/>
        </w:rPr>
        <w:t>Met</w:t>
      </w:r>
    </w:p>
    <w:p>
      <w:pPr>
        <w:tabs>
          <w:tab w:pos="1038" w:val="left" w:leader="none"/>
        </w:tabs>
        <w:spacing w:line="329" w:lineRule="exact" w:before="0"/>
        <w:ind w:left="0" w:right="1089" w:firstLine="0"/>
        <w:jc w:val="right"/>
        <w:rPr>
          <w:sz w:val="30"/>
        </w:rPr>
      </w:pPr>
      <w:r>
        <w:rPr>
          <w:spacing w:val="-5"/>
          <w:w w:val="105"/>
          <w:sz w:val="24"/>
        </w:rPr>
        <w:t>[X]</w:t>
      </w:r>
      <w:r>
        <w:rPr>
          <w:sz w:val="24"/>
        </w:rPr>
        <w:tab/>
      </w:r>
      <w:r>
        <w:rPr>
          <w:w w:val="105"/>
          <w:sz w:val="30"/>
        </w:rPr>
        <w:t>I</w:t>
      </w:r>
      <w:r>
        <w:rPr>
          <w:spacing w:val="25"/>
          <w:w w:val="105"/>
          <w:sz w:val="30"/>
        </w:rPr>
        <w:t> </w:t>
      </w:r>
      <w:r>
        <w:rPr>
          <w:spacing w:val="-10"/>
          <w:w w:val="105"/>
          <w:sz w:val="30"/>
        </w:rPr>
        <w:t>l</w:t>
      </w:r>
    </w:p>
    <w:p>
      <w:pPr>
        <w:spacing w:before="240"/>
        <w:ind w:left="965" w:right="0" w:firstLine="0"/>
        <w:jc w:val="left"/>
        <w:rPr>
          <w:sz w:val="19"/>
        </w:rPr>
      </w:pPr>
      <w:r>
        <w:rPr>
          <w:w w:val="105"/>
          <w:sz w:val="19"/>
        </w:rPr>
        <w:t>Exact</w:t>
      </w:r>
      <w:r>
        <w:rPr>
          <w:spacing w:val="-10"/>
          <w:w w:val="105"/>
          <w:sz w:val="19"/>
        </w:rPr>
        <w:t> </w:t>
      </w:r>
      <w:r>
        <w:rPr>
          <w:w w:val="105"/>
          <w:sz w:val="19"/>
        </w:rPr>
        <w:t>NAAB</w:t>
      </w:r>
      <w:r>
        <w:rPr>
          <w:spacing w:val="-14"/>
          <w:w w:val="105"/>
          <w:sz w:val="19"/>
        </w:rPr>
        <w:t> </w:t>
      </w:r>
      <w:r>
        <w:rPr>
          <w:w w:val="105"/>
          <w:sz w:val="19"/>
        </w:rPr>
        <w:t>language</w:t>
      </w:r>
      <w:r>
        <w:rPr>
          <w:spacing w:val="5"/>
          <w:w w:val="105"/>
          <w:sz w:val="19"/>
        </w:rPr>
        <w:t> </w:t>
      </w:r>
      <w:r>
        <w:rPr>
          <w:w w:val="105"/>
          <w:sz w:val="19"/>
        </w:rPr>
        <w:t>was</w:t>
      </w:r>
      <w:r>
        <w:rPr>
          <w:spacing w:val="-6"/>
          <w:w w:val="105"/>
          <w:sz w:val="19"/>
        </w:rPr>
        <w:t> </w:t>
      </w:r>
      <w:r>
        <w:rPr>
          <w:w w:val="105"/>
          <w:sz w:val="19"/>
        </w:rPr>
        <w:t>found</w:t>
      </w:r>
      <w:r>
        <w:rPr>
          <w:spacing w:val="-13"/>
          <w:w w:val="105"/>
          <w:sz w:val="19"/>
        </w:rPr>
        <w:t> </w:t>
      </w:r>
      <w:r>
        <w:rPr>
          <w:w w:val="105"/>
          <w:sz w:val="19"/>
        </w:rPr>
        <w:t>on</w:t>
      </w:r>
      <w:r>
        <w:rPr>
          <w:spacing w:val="-6"/>
          <w:w w:val="105"/>
          <w:sz w:val="19"/>
        </w:rPr>
        <w:t> </w:t>
      </w:r>
      <w:r>
        <w:rPr>
          <w:w w:val="105"/>
          <w:sz w:val="19"/>
        </w:rPr>
        <w:t>the</w:t>
      </w:r>
      <w:r>
        <w:rPr>
          <w:spacing w:val="-10"/>
          <w:w w:val="105"/>
          <w:sz w:val="19"/>
        </w:rPr>
        <w:t> </w:t>
      </w:r>
      <w:r>
        <w:rPr>
          <w:w w:val="105"/>
          <w:sz w:val="19"/>
        </w:rPr>
        <w:t>Department's</w:t>
      </w:r>
      <w:r>
        <w:rPr>
          <w:spacing w:val="5"/>
          <w:w w:val="105"/>
          <w:sz w:val="19"/>
        </w:rPr>
        <w:t> </w:t>
      </w:r>
      <w:r>
        <w:rPr>
          <w:w w:val="105"/>
          <w:sz w:val="19"/>
        </w:rPr>
        <w:t>website</w:t>
      </w:r>
      <w:r>
        <w:rPr>
          <w:spacing w:val="-2"/>
          <w:w w:val="105"/>
          <w:sz w:val="19"/>
        </w:rPr>
        <w:t> </w:t>
      </w:r>
      <w:r>
        <w:rPr>
          <w:w w:val="105"/>
          <w:sz w:val="19"/>
        </w:rPr>
        <w:t>and</w:t>
      </w:r>
      <w:r>
        <w:rPr>
          <w:spacing w:val="-14"/>
          <w:w w:val="105"/>
          <w:sz w:val="19"/>
        </w:rPr>
        <w:t> </w:t>
      </w:r>
      <w:r>
        <w:rPr>
          <w:w w:val="105"/>
          <w:sz w:val="19"/>
        </w:rPr>
        <w:t>in</w:t>
      </w:r>
      <w:r>
        <w:rPr>
          <w:spacing w:val="-3"/>
          <w:w w:val="105"/>
          <w:sz w:val="19"/>
        </w:rPr>
        <w:t> </w:t>
      </w:r>
      <w:r>
        <w:rPr>
          <w:w w:val="105"/>
          <w:sz w:val="19"/>
        </w:rPr>
        <w:t>the</w:t>
      </w:r>
      <w:r>
        <w:rPr>
          <w:spacing w:val="-14"/>
          <w:w w:val="105"/>
          <w:sz w:val="19"/>
        </w:rPr>
        <w:t> </w:t>
      </w:r>
      <w:r>
        <w:rPr>
          <w:w w:val="105"/>
          <w:sz w:val="19"/>
        </w:rPr>
        <w:t>Student</w:t>
      </w:r>
      <w:r>
        <w:rPr>
          <w:spacing w:val="-10"/>
          <w:w w:val="105"/>
          <w:sz w:val="19"/>
        </w:rPr>
        <w:t> </w:t>
      </w:r>
      <w:r>
        <w:rPr>
          <w:spacing w:val="-2"/>
          <w:w w:val="105"/>
          <w:sz w:val="19"/>
        </w:rPr>
        <w:t>Catalog.</w:t>
      </w:r>
    </w:p>
    <w:p>
      <w:pPr>
        <w:pStyle w:val="BodyText"/>
      </w:pPr>
    </w:p>
    <w:p>
      <w:pPr>
        <w:pStyle w:val="BodyText"/>
        <w:spacing w:before="9"/>
        <w:rPr>
          <w:sz w:val="18"/>
        </w:rPr>
      </w:pPr>
    </w:p>
    <w:p>
      <w:pPr>
        <w:pStyle w:val="ListParagraph"/>
        <w:numPr>
          <w:ilvl w:val="1"/>
          <w:numId w:val="75"/>
        </w:numPr>
        <w:tabs>
          <w:tab w:pos="961" w:val="left" w:leader="none"/>
          <w:tab w:pos="962" w:val="left" w:leader="none"/>
        </w:tabs>
        <w:spacing w:line="240" w:lineRule="auto" w:before="0" w:after="0"/>
        <w:ind w:left="961" w:right="0" w:hanging="717"/>
        <w:jc w:val="left"/>
        <w:rPr>
          <w:sz w:val="21"/>
        </w:rPr>
      </w:pPr>
      <w:r>
        <w:rPr>
          <w:sz w:val="21"/>
        </w:rPr>
        <w:t>Social</w:t>
      </w:r>
      <w:r>
        <w:rPr>
          <w:spacing w:val="1"/>
          <w:w w:val="105"/>
          <w:sz w:val="21"/>
        </w:rPr>
        <w:t> </w:t>
      </w:r>
      <w:r>
        <w:rPr>
          <w:spacing w:val="-2"/>
          <w:w w:val="105"/>
          <w:sz w:val="21"/>
        </w:rPr>
        <w:t>Equity</w:t>
      </w:r>
    </w:p>
    <w:p>
      <w:pPr>
        <w:pStyle w:val="BodyText"/>
        <w:spacing w:before="8"/>
        <w:rPr>
          <w:sz w:val="21"/>
        </w:rPr>
      </w:pPr>
    </w:p>
    <w:p>
      <w:pPr>
        <w:spacing w:line="252" w:lineRule="auto" w:before="0"/>
        <w:ind w:left="941" w:right="475" w:firstLine="5"/>
        <w:jc w:val="left"/>
        <w:rPr>
          <w:i/>
          <w:sz w:val="19"/>
        </w:rPr>
      </w:pPr>
      <w:r>
        <w:rPr>
          <w:i/>
          <w:w w:val="105"/>
          <w:sz w:val="19"/>
        </w:rPr>
        <w:t>The</w:t>
      </w:r>
      <w:r>
        <w:rPr>
          <w:i/>
          <w:spacing w:val="-1"/>
          <w:w w:val="105"/>
          <w:sz w:val="19"/>
        </w:rPr>
        <w:t> </w:t>
      </w:r>
      <w:r>
        <w:rPr>
          <w:i/>
          <w:w w:val="105"/>
          <w:sz w:val="19"/>
        </w:rPr>
        <w:t>accredited degree program must provide faculty, students,</w:t>
      </w:r>
      <w:r>
        <w:rPr>
          <w:i/>
          <w:spacing w:val="40"/>
          <w:w w:val="105"/>
          <w:sz w:val="19"/>
        </w:rPr>
        <w:t> </w:t>
      </w:r>
      <w:r>
        <w:rPr>
          <w:i/>
          <w:w w:val="105"/>
          <w:sz w:val="19"/>
        </w:rPr>
        <w:t>and staff-im]spective</w:t>
      </w:r>
      <w:r>
        <w:rPr>
          <w:i/>
          <w:spacing w:val="-23"/>
          <w:w w:val="105"/>
          <w:sz w:val="19"/>
        </w:rPr>
        <w:t> </w:t>
      </w:r>
      <w:r>
        <w:rPr>
          <w:i/>
          <w:w w:val="105"/>
          <w:sz w:val="19"/>
        </w:rPr>
        <w:t>of</w:t>
      </w:r>
      <w:r>
        <w:rPr>
          <w:i/>
          <w:spacing w:val="-4"/>
          <w:w w:val="105"/>
          <w:sz w:val="19"/>
        </w:rPr>
        <w:t> </w:t>
      </w:r>
      <w:r>
        <w:rPr>
          <w:i/>
          <w:w w:val="105"/>
          <w:sz w:val="19"/>
        </w:rPr>
        <w:t>race, ethnicity, creed, national origin, gender, age, physical ability, or sexual orientation-with an educational</w:t>
      </w:r>
      <w:r>
        <w:rPr>
          <w:i/>
          <w:spacing w:val="-1"/>
          <w:w w:val="105"/>
          <w:sz w:val="19"/>
        </w:rPr>
        <w:t> </w:t>
      </w:r>
      <w:r>
        <w:rPr>
          <w:i/>
          <w:w w:val="105"/>
          <w:sz w:val="19"/>
        </w:rPr>
        <w:t>environment in</w:t>
      </w:r>
      <w:r>
        <w:rPr>
          <w:i/>
          <w:spacing w:val="-7"/>
          <w:w w:val="105"/>
          <w:sz w:val="19"/>
        </w:rPr>
        <w:t> </w:t>
      </w:r>
      <w:r>
        <w:rPr>
          <w:i/>
          <w:w w:val="105"/>
          <w:sz w:val="19"/>
        </w:rPr>
        <w:t>which</w:t>
      </w:r>
      <w:r>
        <w:rPr>
          <w:i/>
          <w:spacing w:val="-4"/>
          <w:w w:val="105"/>
          <w:sz w:val="19"/>
        </w:rPr>
        <w:t> </w:t>
      </w:r>
      <w:r>
        <w:rPr>
          <w:i/>
          <w:w w:val="105"/>
          <w:sz w:val="19"/>
        </w:rPr>
        <w:t>each</w:t>
      </w:r>
      <w:r>
        <w:rPr>
          <w:i/>
          <w:spacing w:val="-5"/>
          <w:w w:val="105"/>
          <w:sz w:val="19"/>
        </w:rPr>
        <w:t> </w:t>
      </w:r>
      <w:r>
        <w:rPr>
          <w:i/>
          <w:w w:val="105"/>
          <w:sz w:val="19"/>
        </w:rPr>
        <w:t>person is</w:t>
      </w:r>
      <w:r>
        <w:rPr>
          <w:i/>
          <w:spacing w:val="-1"/>
          <w:w w:val="105"/>
          <w:sz w:val="19"/>
        </w:rPr>
        <w:t> </w:t>
      </w:r>
      <w:r>
        <w:rPr>
          <w:i/>
          <w:w w:val="105"/>
          <w:sz w:val="19"/>
        </w:rPr>
        <w:t>equitably able</w:t>
      </w:r>
      <w:r>
        <w:rPr>
          <w:i/>
          <w:spacing w:val="-7"/>
          <w:w w:val="105"/>
          <w:sz w:val="19"/>
        </w:rPr>
        <w:t> </w:t>
      </w:r>
      <w:r>
        <w:rPr>
          <w:i/>
          <w:w w:val="105"/>
          <w:sz w:val="19"/>
        </w:rPr>
        <w:t>to</w:t>
      </w:r>
      <w:r>
        <w:rPr>
          <w:i/>
          <w:spacing w:val="-7"/>
          <w:w w:val="105"/>
          <w:sz w:val="19"/>
        </w:rPr>
        <w:t> </w:t>
      </w:r>
      <w:r>
        <w:rPr>
          <w:i/>
          <w:w w:val="105"/>
          <w:sz w:val="19"/>
        </w:rPr>
        <w:t>learn,</w:t>
      </w:r>
      <w:r>
        <w:rPr>
          <w:i/>
          <w:spacing w:val="-4"/>
          <w:w w:val="105"/>
          <w:sz w:val="19"/>
        </w:rPr>
        <w:t> </w:t>
      </w:r>
      <w:r>
        <w:rPr>
          <w:i/>
          <w:w w:val="105"/>
          <w:sz w:val="19"/>
        </w:rPr>
        <w:t>teach, and</w:t>
      </w:r>
      <w:r>
        <w:rPr>
          <w:i/>
          <w:spacing w:val="-8"/>
          <w:w w:val="105"/>
          <w:sz w:val="19"/>
        </w:rPr>
        <w:t> </w:t>
      </w:r>
      <w:r>
        <w:rPr>
          <w:i/>
          <w:w w:val="105"/>
          <w:sz w:val="19"/>
        </w:rPr>
        <w:t>work.</w:t>
      </w:r>
      <w:r>
        <w:rPr>
          <w:i/>
          <w:spacing w:val="40"/>
          <w:w w:val="105"/>
          <w:sz w:val="19"/>
        </w:rPr>
        <w:t> </w:t>
      </w:r>
      <w:r>
        <w:rPr>
          <w:i/>
          <w:w w:val="105"/>
          <w:sz w:val="19"/>
        </w:rPr>
        <w:t>The school must have</w:t>
      </w:r>
      <w:r>
        <w:rPr>
          <w:i/>
          <w:spacing w:val="-4"/>
          <w:w w:val="105"/>
          <w:sz w:val="19"/>
        </w:rPr>
        <w:t> </w:t>
      </w:r>
      <w:r>
        <w:rPr>
          <w:w w:val="105"/>
          <w:sz w:val="19"/>
        </w:rPr>
        <w:t>a</w:t>
      </w:r>
      <w:r>
        <w:rPr>
          <w:spacing w:val="-2"/>
          <w:w w:val="105"/>
          <w:sz w:val="19"/>
        </w:rPr>
        <w:t> </w:t>
      </w:r>
      <w:r>
        <w:rPr>
          <w:i/>
          <w:w w:val="105"/>
          <w:sz w:val="19"/>
        </w:rPr>
        <w:t>clear</w:t>
      </w:r>
      <w:r>
        <w:rPr>
          <w:i/>
          <w:spacing w:val="-1"/>
          <w:w w:val="105"/>
          <w:sz w:val="19"/>
        </w:rPr>
        <w:t> </w:t>
      </w:r>
      <w:r>
        <w:rPr>
          <w:i/>
          <w:w w:val="105"/>
          <w:sz w:val="19"/>
        </w:rPr>
        <w:t>policy on</w:t>
      </w:r>
      <w:r>
        <w:rPr>
          <w:i/>
          <w:spacing w:val="-2"/>
          <w:w w:val="105"/>
          <w:sz w:val="19"/>
        </w:rPr>
        <w:t> </w:t>
      </w:r>
      <w:r>
        <w:rPr>
          <w:i/>
          <w:w w:val="105"/>
          <w:sz w:val="19"/>
        </w:rPr>
        <w:t>diversity that is communicated</w:t>
      </w:r>
      <w:r>
        <w:rPr>
          <w:i/>
          <w:spacing w:val="29"/>
          <w:w w:val="105"/>
          <w:sz w:val="19"/>
        </w:rPr>
        <w:t> </w:t>
      </w:r>
      <w:r>
        <w:rPr>
          <w:i/>
          <w:w w:val="105"/>
          <w:sz w:val="19"/>
        </w:rPr>
        <w:t>to current and</w:t>
      </w:r>
      <w:r>
        <w:rPr>
          <w:i/>
          <w:spacing w:val="-2"/>
          <w:w w:val="105"/>
          <w:sz w:val="19"/>
        </w:rPr>
        <w:t> </w:t>
      </w:r>
      <w:r>
        <w:rPr>
          <w:i/>
          <w:w w:val="105"/>
          <w:sz w:val="19"/>
        </w:rPr>
        <w:t>prospective faculty, students, and</w:t>
      </w:r>
      <w:r>
        <w:rPr>
          <w:i/>
          <w:spacing w:val="-3"/>
          <w:w w:val="105"/>
          <w:sz w:val="19"/>
        </w:rPr>
        <w:t> </w:t>
      </w:r>
      <w:r>
        <w:rPr>
          <w:i/>
          <w:w w:val="105"/>
          <w:sz w:val="19"/>
        </w:rPr>
        <w:t>staff and that is reflected in the distribution of the</w:t>
      </w:r>
      <w:r>
        <w:rPr>
          <w:i/>
          <w:spacing w:val="-10"/>
          <w:w w:val="105"/>
          <w:sz w:val="19"/>
        </w:rPr>
        <w:t> </w:t>
      </w:r>
      <w:r>
        <w:rPr>
          <w:i/>
          <w:w w:val="105"/>
          <w:sz w:val="19"/>
        </w:rPr>
        <w:t>program's human, physical, and financial resources.</w:t>
      </w:r>
      <w:r>
        <w:rPr>
          <w:i/>
          <w:spacing w:val="40"/>
          <w:w w:val="105"/>
          <w:sz w:val="19"/>
        </w:rPr>
        <w:t> </w:t>
      </w:r>
      <w:r>
        <w:rPr>
          <w:i/>
          <w:w w:val="105"/>
          <w:sz w:val="19"/>
        </w:rPr>
        <w:t>Faculty, staff, and</w:t>
      </w:r>
      <w:r>
        <w:rPr>
          <w:i/>
          <w:spacing w:val="-1"/>
          <w:w w:val="105"/>
          <w:sz w:val="19"/>
        </w:rPr>
        <w:t> </w:t>
      </w:r>
      <w:r>
        <w:rPr>
          <w:i/>
          <w:w w:val="105"/>
          <w:sz w:val="19"/>
        </w:rPr>
        <w:t>students must</w:t>
      </w:r>
      <w:r>
        <w:rPr>
          <w:i/>
          <w:spacing w:val="-2"/>
          <w:w w:val="105"/>
          <w:sz w:val="19"/>
        </w:rPr>
        <w:t> </w:t>
      </w:r>
      <w:r>
        <w:rPr>
          <w:i/>
          <w:w w:val="105"/>
          <w:sz w:val="19"/>
        </w:rPr>
        <w:t>also have</w:t>
      </w:r>
      <w:r>
        <w:rPr>
          <w:i/>
          <w:spacing w:val="-5"/>
          <w:w w:val="105"/>
          <w:sz w:val="19"/>
        </w:rPr>
        <w:t> </w:t>
      </w:r>
      <w:r>
        <w:rPr>
          <w:i/>
          <w:w w:val="105"/>
          <w:sz w:val="19"/>
        </w:rPr>
        <w:t>equitable opportunities to participate in program governance.</w:t>
      </w:r>
    </w:p>
    <w:p>
      <w:pPr>
        <w:tabs>
          <w:tab w:pos="876" w:val="left" w:leader="none"/>
        </w:tabs>
        <w:spacing w:line="202" w:lineRule="exact" w:before="12"/>
        <w:ind w:left="0" w:right="862" w:firstLine="0"/>
        <w:jc w:val="right"/>
        <w:rPr>
          <w:sz w:val="19"/>
        </w:rPr>
      </w:pPr>
      <w:r>
        <w:rPr>
          <w:spacing w:val="-5"/>
          <w:w w:val="110"/>
          <w:sz w:val="19"/>
        </w:rPr>
        <w:t>Met</w:t>
      </w:r>
      <w:r>
        <w:rPr>
          <w:sz w:val="19"/>
        </w:rPr>
        <w:tab/>
      </w:r>
      <w:r>
        <w:rPr>
          <w:w w:val="105"/>
          <w:sz w:val="19"/>
        </w:rPr>
        <w:t>Not</w:t>
      </w:r>
      <w:r>
        <w:rPr>
          <w:spacing w:val="-3"/>
          <w:w w:val="105"/>
          <w:sz w:val="19"/>
        </w:rPr>
        <w:t> </w:t>
      </w:r>
      <w:r>
        <w:rPr>
          <w:spacing w:val="-5"/>
          <w:w w:val="110"/>
          <w:sz w:val="19"/>
        </w:rPr>
        <w:t>Met</w:t>
      </w:r>
    </w:p>
    <w:p>
      <w:pPr>
        <w:tabs>
          <w:tab w:pos="1028" w:val="left" w:leader="none"/>
        </w:tabs>
        <w:spacing w:line="329" w:lineRule="exact" w:before="0"/>
        <w:ind w:left="0" w:right="1079" w:firstLine="0"/>
        <w:jc w:val="right"/>
        <w:rPr>
          <w:sz w:val="30"/>
        </w:rPr>
      </w:pPr>
      <w:r>
        <w:rPr>
          <w:spacing w:val="-5"/>
          <w:w w:val="105"/>
          <w:sz w:val="24"/>
        </w:rPr>
        <w:t>[X]</w:t>
      </w:r>
      <w:r>
        <w:rPr>
          <w:sz w:val="24"/>
        </w:rPr>
        <w:tab/>
      </w:r>
      <w:r>
        <w:rPr>
          <w:w w:val="105"/>
          <w:sz w:val="30"/>
        </w:rPr>
        <w:t>I</w:t>
      </w:r>
      <w:r>
        <w:rPr>
          <w:spacing w:val="34"/>
          <w:w w:val="105"/>
          <w:sz w:val="30"/>
        </w:rPr>
        <w:t> </w:t>
      </w:r>
      <w:r>
        <w:rPr>
          <w:spacing w:val="-10"/>
          <w:w w:val="105"/>
          <w:sz w:val="30"/>
        </w:rPr>
        <w:t>l</w:t>
      </w:r>
    </w:p>
    <w:p>
      <w:pPr>
        <w:spacing w:line="252" w:lineRule="auto" w:before="249"/>
        <w:ind w:left="958" w:right="1261" w:firstLine="3"/>
        <w:jc w:val="left"/>
        <w:rPr>
          <w:sz w:val="19"/>
        </w:rPr>
      </w:pPr>
      <w:r>
        <w:rPr>
          <w:w w:val="105"/>
          <w:sz w:val="19"/>
        </w:rPr>
        <w:t>As a HBCU, the university is a diverse environment. The</w:t>
      </w:r>
      <w:r>
        <w:rPr>
          <w:spacing w:val="-3"/>
          <w:w w:val="105"/>
          <w:sz w:val="19"/>
        </w:rPr>
        <w:t> </w:t>
      </w:r>
      <w:r>
        <w:rPr>
          <w:w w:val="105"/>
          <w:sz w:val="19"/>
        </w:rPr>
        <w:t>Department of Architecture through its faculty and</w:t>
      </w:r>
      <w:r>
        <w:rPr>
          <w:spacing w:val="-3"/>
          <w:w w:val="105"/>
          <w:sz w:val="19"/>
        </w:rPr>
        <w:t> </w:t>
      </w:r>
      <w:r>
        <w:rPr>
          <w:w w:val="105"/>
          <w:sz w:val="19"/>
        </w:rPr>
        <w:t>student population is an</w:t>
      </w:r>
      <w:r>
        <w:rPr>
          <w:spacing w:val="-2"/>
          <w:w w:val="105"/>
          <w:sz w:val="19"/>
        </w:rPr>
        <w:t> </w:t>
      </w:r>
      <w:r>
        <w:rPr>
          <w:w w:val="105"/>
          <w:sz w:val="19"/>
        </w:rPr>
        <w:t>honest, representative</w:t>
      </w:r>
      <w:r>
        <w:rPr>
          <w:spacing w:val="-14"/>
          <w:w w:val="105"/>
          <w:sz w:val="19"/>
        </w:rPr>
        <w:t> </w:t>
      </w:r>
      <w:r>
        <w:rPr>
          <w:w w:val="105"/>
          <w:sz w:val="19"/>
        </w:rPr>
        <w:t>reflection</w:t>
      </w:r>
      <w:r>
        <w:rPr>
          <w:spacing w:val="-4"/>
          <w:w w:val="105"/>
          <w:sz w:val="19"/>
        </w:rPr>
        <w:t> </w:t>
      </w:r>
      <w:r>
        <w:rPr>
          <w:w w:val="105"/>
          <w:sz w:val="19"/>
        </w:rPr>
        <w:t>of this important condition. The faculty has</w:t>
      </w:r>
      <w:r>
        <w:rPr>
          <w:spacing w:val="-4"/>
          <w:w w:val="105"/>
          <w:sz w:val="19"/>
        </w:rPr>
        <w:t> </w:t>
      </w:r>
      <w:r>
        <w:rPr>
          <w:w w:val="105"/>
          <w:sz w:val="19"/>
        </w:rPr>
        <w:t>a high</w:t>
      </w:r>
      <w:r>
        <w:rPr>
          <w:spacing w:val="-2"/>
          <w:w w:val="105"/>
          <w:sz w:val="19"/>
        </w:rPr>
        <w:t> </w:t>
      </w:r>
      <w:r>
        <w:rPr>
          <w:w w:val="105"/>
          <w:sz w:val="19"/>
        </w:rPr>
        <w:t>proportion of women of</w:t>
      </w:r>
      <w:r>
        <w:rPr>
          <w:spacing w:val="-4"/>
          <w:w w:val="105"/>
          <w:sz w:val="19"/>
        </w:rPr>
        <w:t> </w:t>
      </w:r>
      <w:r>
        <w:rPr>
          <w:w w:val="105"/>
          <w:sz w:val="19"/>
        </w:rPr>
        <w:t>various</w:t>
      </w:r>
      <w:r>
        <w:rPr>
          <w:spacing w:val="-8"/>
          <w:w w:val="105"/>
          <w:sz w:val="19"/>
        </w:rPr>
        <w:t> </w:t>
      </w:r>
      <w:r>
        <w:rPr>
          <w:w w:val="105"/>
          <w:sz w:val="19"/>
        </w:rPr>
        <w:t>ethnicities, and</w:t>
      </w:r>
      <w:r>
        <w:rPr>
          <w:spacing w:val="-1"/>
          <w:w w:val="105"/>
          <w:sz w:val="19"/>
        </w:rPr>
        <w:t> </w:t>
      </w:r>
      <w:r>
        <w:rPr>
          <w:w w:val="105"/>
          <w:sz w:val="19"/>
        </w:rPr>
        <w:t>the student body enjoys an appropriate balance of diversity given the</w:t>
      </w:r>
      <w:r>
        <w:rPr>
          <w:spacing w:val="-5"/>
          <w:w w:val="105"/>
          <w:sz w:val="19"/>
        </w:rPr>
        <w:t> </w:t>
      </w:r>
      <w:r>
        <w:rPr>
          <w:w w:val="105"/>
          <w:sz w:val="19"/>
        </w:rPr>
        <w:t>unique nature</w:t>
      </w:r>
      <w:r>
        <w:rPr>
          <w:spacing w:val="-1"/>
          <w:w w:val="105"/>
          <w:sz w:val="19"/>
        </w:rPr>
        <w:t> </w:t>
      </w:r>
      <w:r>
        <w:rPr>
          <w:w w:val="105"/>
          <w:sz w:val="19"/>
        </w:rPr>
        <w:t>of</w:t>
      </w:r>
      <w:r>
        <w:rPr>
          <w:spacing w:val="-7"/>
          <w:w w:val="105"/>
          <w:sz w:val="19"/>
        </w:rPr>
        <w:t> </w:t>
      </w:r>
      <w:r>
        <w:rPr>
          <w:w w:val="105"/>
          <w:sz w:val="19"/>
        </w:rPr>
        <w:t>the</w:t>
      </w:r>
      <w:r>
        <w:rPr>
          <w:spacing w:val="-13"/>
          <w:w w:val="105"/>
          <w:sz w:val="19"/>
        </w:rPr>
        <w:t> </w:t>
      </w:r>
      <w:r>
        <w:rPr>
          <w:w w:val="105"/>
          <w:sz w:val="19"/>
        </w:rPr>
        <w:t>University.</w:t>
      </w:r>
      <w:r>
        <w:rPr>
          <w:spacing w:val="40"/>
          <w:w w:val="105"/>
          <w:sz w:val="19"/>
        </w:rPr>
        <w:t> </w:t>
      </w:r>
      <w:r>
        <w:rPr>
          <w:w w:val="105"/>
          <w:sz w:val="19"/>
        </w:rPr>
        <w:t>The various strata of administration, instruction, and</w:t>
      </w:r>
      <w:r>
        <w:rPr>
          <w:spacing w:val="-6"/>
          <w:w w:val="105"/>
          <w:sz w:val="19"/>
        </w:rPr>
        <w:t> </w:t>
      </w:r>
      <w:r>
        <w:rPr>
          <w:w w:val="105"/>
          <w:sz w:val="19"/>
        </w:rPr>
        <w:t>learning all reflect</w:t>
      </w:r>
      <w:r>
        <w:rPr>
          <w:spacing w:val="-3"/>
          <w:w w:val="105"/>
          <w:sz w:val="19"/>
        </w:rPr>
        <w:t> </w:t>
      </w:r>
      <w:r>
        <w:rPr>
          <w:w w:val="105"/>
          <w:sz w:val="19"/>
        </w:rPr>
        <w:t>the core value</w:t>
      </w:r>
      <w:r>
        <w:rPr>
          <w:spacing w:val="-3"/>
          <w:w w:val="105"/>
          <w:sz w:val="19"/>
        </w:rPr>
        <w:t> </w:t>
      </w:r>
      <w:r>
        <w:rPr>
          <w:w w:val="105"/>
          <w:sz w:val="19"/>
        </w:rPr>
        <w:t>of equal opportunity, and</w:t>
      </w:r>
      <w:r>
        <w:rPr>
          <w:spacing w:val="-3"/>
          <w:w w:val="105"/>
          <w:sz w:val="19"/>
        </w:rPr>
        <w:t> </w:t>
      </w:r>
      <w:r>
        <w:rPr>
          <w:w w:val="105"/>
          <w:sz w:val="19"/>
        </w:rPr>
        <w:t>all have support of the institution's governance.</w:t>
      </w:r>
      <w:r>
        <w:rPr>
          <w:spacing w:val="40"/>
          <w:w w:val="105"/>
          <w:sz w:val="19"/>
        </w:rPr>
        <w:t> </w:t>
      </w:r>
      <w:r>
        <w:rPr>
          <w:w w:val="105"/>
          <w:sz w:val="19"/>
        </w:rPr>
        <w:t>It is</w:t>
      </w:r>
      <w:r>
        <w:rPr>
          <w:spacing w:val="-2"/>
          <w:w w:val="105"/>
          <w:sz w:val="19"/>
        </w:rPr>
        <w:t> </w:t>
      </w:r>
      <w:r>
        <w:rPr>
          <w:w w:val="105"/>
          <w:sz w:val="19"/>
        </w:rPr>
        <w:t>evident there</w:t>
      </w:r>
      <w:r>
        <w:rPr>
          <w:spacing w:val="-8"/>
          <w:w w:val="105"/>
          <w:sz w:val="19"/>
        </w:rPr>
        <w:t> </w:t>
      </w:r>
      <w:r>
        <w:rPr>
          <w:w w:val="105"/>
          <w:sz w:val="19"/>
        </w:rPr>
        <w:t>are</w:t>
      </w:r>
      <w:r>
        <w:rPr>
          <w:spacing w:val="-7"/>
          <w:w w:val="105"/>
          <w:sz w:val="19"/>
        </w:rPr>
        <w:t> </w:t>
      </w:r>
      <w:r>
        <w:rPr>
          <w:w w:val="105"/>
          <w:sz w:val="19"/>
        </w:rPr>
        <w:t>no barriers to</w:t>
      </w:r>
      <w:r>
        <w:rPr>
          <w:spacing w:val="-13"/>
          <w:w w:val="105"/>
          <w:sz w:val="19"/>
        </w:rPr>
        <w:t> </w:t>
      </w:r>
      <w:r>
        <w:rPr>
          <w:w w:val="105"/>
          <w:sz w:val="19"/>
        </w:rPr>
        <w:t>achievement or</w:t>
      </w:r>
      <w:r>
        <w:rPr>
          <w:spacing w:val="-14"/>
          <w:w w:val="105"/>
          <w:sz w:val="19"/>
        </w:rPr>
        <w:t> </w:t>
      </w:r>
      <w:r>
        <w:rPr>
          <w:w w:val="105"/>
          <w:sz w:val="19"/>
        </w:rPr>
        <w:t>recognition based</w:t>
      </w:r>
      <w:r>
        <w:rPr>
          <w:spacing w:val="-2"/>
          <w:w w:val="105"/>
          <w:sz w:val="19"/>
        </w:rPr>
        <w:t> </w:t>
      </w:r>
      <w:r>
        <w:rPr>
          <w:w w:val="105"/>
          <w:sz w:val="19"/>
        </w:rPr>
        <w:t>on equal</w:t>
      </w:r>
      <w:r>
        <w:rPr>
          <w:spacing w:val="-6"/>
          <w:w w:val="105"/>
          <w:sz w:val="19"/>
        </w:rPr>
        <w:t> </w:t>
      </w:r>
      <w:r>
        <w:rPr>
          <w:w w:val="105"/>
          <w:sz w:val="19"/>
        </w:rPr>
        <w:t>access opportunities.</w:t>
      </w:r>
      <w:r>
        <w:rPr>
          <w:spacing w:val="40"/>
          <w:w w:val="105"/>
          <w:sz w:val="19"/>
        </w:rPr>
        <w:t> </w:t>
      </w:r>
      <w:r>
        <w:rPr>
          <w:w w:val="105"/>
          <w:sz w:val="19"/>
        </w:rPr>
        <w:t>This condition is well met.</w:t>
      </w:r>
    </w:p>
    <w:p>
      <w:pPr>
        <w:pStyle w:val="BodyText"/>
      </w:pPr>
    </w:p>
    <w:p>
      <w:pPr>
        <w:pStyle w:val="BodyText"/>
      </w:pPr>
    </w:p>
    <w:p>
      <w:pPr>
        <w:pStyle w:val="BodyText"/>
      </w:pPr>
    </w:p>
    <w:p>
      <w:pPr>
        <w:pStyle w:val="BodyText"/>
        <w:rPr>
          <w:sz w:val="19"/>
        </w:rPr>
      </w:pPr>
      <w:r>
        <w:rPr/>
        <w:pict>
          <v:shape style="position:absolute;margin-left:65.524673pt;margin-top:12.124072pt;width:451.45pt;height:.1pt;mso-position-horizontal-relative:page;mso-position-vertical-relative:paragraph;z-index:-15703040;mso-wrap-distance-left:0;mso-wrap-distance-right:0" id="docshape633" coordorigin="1310,242" coordsize="9029,0" path="m1310,242l10339,242e" filled="false" stroked="true" strokeweight=".481434pt" strokecolor="#000000">
            <v:path arrowok="t"/>
            <v:stroke dashstyle="solid"/>
            <w10:wrap type="topAndBottom"/>
          </v:shape>
        </w:pict>
      </w:r>
    </w:p>
    <w:p>
      <w:pPr>
        <w:spacing w:line="200" w:lineRule="exact" w:before="0"/>
        <w:ind w:left="240" w:right="0" w:firstLine="0"/>
        <w:jc w:val="left"/>
        <w:rPr>
          <w:sz w:val="19"/>
        </w:rPr>
      </w:pPr>
      <w:r>
        <w:rPr>
          <w:w w:val="105"/>
          <w:sz w:val="19"/>
        </w:rPr>
        <w:t>8</w:t>
      </w:r>
    </w:p>
    <w:p>
      <w:pPr>
        <w:spacing w:after="0" w:line="200" w:lineRule="exact"/>
        <w:jc w:val="left"/>
        <w:rPr>
          <w:sz w:val="19"/>
        </w:rPr>
        <w:sectPr>
          <w:headerReference w:type="default" r:id="rId375"/>
          <w:footerReference w:type="default" r:id="rId376"/>
          <w:pgSz w:w="12180" w:h="15820"/>
          <w:pgMar w:header="551" w:footer="0" w:top="1260" w:bottom="280" w:left="1120" w:right="1180"/>
        </w:sectPr>
      </w:pPr>
    </w:p>
    <w:p>
      <w:pPr>
        <w:pStyle w:val="BodyText"/>
        <w:spacing w:before="4"/>
        <w:rPr>
          <w:sz w:val="27"/>
        </w:rPr>
      </w:pPr>
    </w:p>
    <w:p>
      <w:pPr>
        <w:pStyle w:val="ListParagraph"/>
        <w:numPr>
          <w:ilvl w:val="1"/>
          <w:numId w:val="75"/>
        </w:numPr>
        <w:tabs>
          <w:tab w:pos="913" w:val="left" w:leader="none"/>
          <w:tab w:pos="915" w:val="left" w:leader="none"/>
        </w:tabs>
        <w:spacing w:line="240" w:lineRule="auto" w:before="94" w:after="0"/>
        <w:ind w:left="914" w:right="0" w:hanging="723"/>
        <w:jc w:val="left"/>
        <w:rPr>
          <w:sz w:val="19"/>
        </w:rPr>
      </w:pPr>
      <w:r>
        <w:rPr>
          <w:w w:val="115"/>
          <w:sz w:val="19"/>
        </w:rPr>
        <w:t>Studio</w:t>
      </w:r>
      <w:r>
        <w:rPr>
          <w:spacing w:val="-15"/>
          <w:w w:val="115"/>
          <w:sz w:val="19"/>
        </w:rPr>
        <w:t> </w:t>
      </w:r>
      <w:r>
        <w:rPr>
          <w:spacing w:val="-2"/>
          <w:w w:val="115"/>
          <w:sz w:val="19"/>
        </w:rPr>
        <w:t>Culture</w:t>
      </w:r>
    </w:p>
    <w:p>
      <w:pPr>
        <w:pStyle w:val="BodyText"/>
        <w:spacing w:before="2"/>
        <w:rPr>
          <w:sz w:val="21"/>
        </w:rPr>
      </w:pPr>
    </w:p>
    <w:p>
      <w:pPr>
        <w:spacing w:line="249" w:lineRule="auto" w:before="1"/>
        <w:ind w:left="893" w:right="311" w:firstLine="5"/>
        <w:jc w:val="left"/>
        <w:rPr>
          <w:i/>
          <w:sz w:val="19"/>
        </w:rPr>
      </w:pPr>
      <w:r>
        <w:rPr>
          <w:i/>
          <w:w w:val="105"/>
          <w:sz w:val="19"/>
        </w:rPr>
        <w:t>The</w:t>
      </w:r>
      <w:r>
        <w:rPr>
          <w:i/>
          <w:spacing w:val="-14"/>
          <w:w w:val="105"/>
          <w:sz w:val="19"/>
        </w:rPr>
        <w:t> </w:t>
      </w:r>
      <w:r>
        <w:rPr>
          <w:i/>
          <w:w w:val="105"/>
          <w:sz w:val="19"/>
        </w:rPr>
        <w:t>school is</w:t>
      </w:r>
      <w:r>
        <w:rPr>
          <w:i/>
          <w:spacing w:val="-1"/>
          <w:w w:val="105"/>
          <w:sz w:val="19"/>
        </w:rPr>
        <w:t> </w:t>
      </w:r>
      <w:r>
        <w:rPr>
          <w:i/>
          <w:w w:val="105"/>
          <w:sz w:val="19"/>
        </w:rPr>
        <w:t>expected to</w:t>
      </w:r>
      <w:r>
        <w:rPr>
          <w:i/>
          <w:spacing w:val="-1"/>
          <w:w w:val="105"/>
          <w:sz w:val="19"/>
        </w:rPr>
        <w:t> </w:t>
      </w:r>
      <w:r>
        <w:rPr>
          <w:i/>
          <w:w w:val="105"/>
          <w:sz w:val="19"/>
        </w:rPr>
        <w:t>demonstrate </w:t>
      </w:r>
      <w:r>
        <w:rPr>
          <w:w w:val="105"/>
          <w:sz w:val="19"/>
        </w:rPr>
        <w:t>a</w:t>
      </w:r>
      <w:r>
        <w:rPr>
          <w:spacing w:val="-1"/>
          <w:w w:val="105"/>
          <w:sz w:val="19"/>
        </w:rPr>
        <w:t> </w:t>
      </w:r>
      <w:r>
        <w:rPr>
          <w:i/>
          <w:w w:val="105"/>
          <w:sz w:val="19"/>
        </w:rPr>
        <w:t>positive and</w:t>
      </w:r>
      <w:r>
        <w:rPr>
          <w:i/>
          <w:spacing w:val="-6"/>
          <w:w w:val="105"/>
          <w:sz w:val="19"/>
        </w:rPr>
        <w:t> </w:t>
      </w:r>
      <w:r>
        <w:rPr>
          <w:i/>
          <w:w w:val="105"/>
          <w:sz w:val="19"/>
        </w:rPr>
        <w:t>respectful learning environment through the encouragement of the fundamental values of optimism, respect, sharing, engagement, and innovation</w:t>
      </w:r>
      <w:r>
        <w:rPr>
          <w:i/>
          <w:spacing w:val="20"/>
          <w:w w:val="105"/>
          <w:sz w:val="19"/>
        </w:rPr>
        <w:t> </w:t>
      </w:r>
      <w:r>
        <w:rPr>
          <w:i/>
          <w:w w:val="105"/>
          <w:sz w:val="19"/>
        </w:rPr>
        <w:t>between</w:t>
      </w:r>
      <w:r>
        <w:rPr>
          <w:i/>
          <w:spacing w:val="21"/>
          <w:w w:val="105"/>
          <w:sz w:val="19"/>
        </w:rPr>
        <w:t> </w:t>
      </w:r>
      <w:r>
        <w:rPr>
          <w:i/>
          <w:w w:val="105"/>
          <w:sz w:val="19"/>
        </w:rPr>
        <w:t>and</w:t>
      </w:r>
      <w:r>
        <w:rPr>
          <w:i/>
          <w:spacing w:val="14"/>
          <w:w w:val="105"/>
          <w:sz w:val="19"/>
        </w:rPr>
        <w:t> </w:t>
      </w:r>
      <w:r>
        <w:rPr>
          <w:i/>
          <w:w w:val="105"/>
          <w:sz w:val="19"/>
        </w:rPr>
        <w:t>among the members</w:t>
      </w:r>
      <w:r>
        <w:rPr>
          <w:i/>
          <w:spacing w:val="29"/>
          <w:w w:val="105"/>
          <w:sz w:val="19"/>
        </w:rPr>
        <w:t> </w:t>
      </w:r>
      <w:r>
        <w:rPr>
          <w:i/>
          <w:w w:val="105"/>
          <w:sz w:val="19"/>
        </w:rPr>
        <w:t>of</w:t>
      </w:r>
      <w:r>
        <w:rPr>
          <w:i/>
          <w:spacing w:val="-2"/>
          <w:w w:val="105"/>
          <w:sz w:val="19"/>
        </w:rPr>
        <w:t> </w:t>
      </w:r>
      <w:r>
        <w:rPr>
          <w:i/>
          <w:w w:val="105"/>
          <w:sz w:val="19"/>
        </w:rPr>
        <w:t>its faculty, student</w:t>
      </w:r>
      <w:r>
        <w:rPr>
          <w:i/>
          <w:spacing w:val="14"/>
          <w:w w:val="105"/>
          <w:sz w:val="19"/>
        </w:rPr>
        <w:t> </w:t>
      </w:r>
      <w:r>
        <w:rPr>
          <w:i/>
          <w:w w:val="105"/>
          <w:sz w:val="19"/>
        </w:rPr>
        <w:t>body,</w:t>
      </w:r>
      <w:r>
        <w:rPr>
          <w:i/>
          <w:spacing w:val="19"/>
          <w:w w:val="105"/>
          <w:sz w:val="19"/>
        </w:rPr>
        <w:t> </w:t>
      </w:r>
      <w:r>
        <w:rPr>
          <w:i/>
          <w:w w:val="105"/>
          <w:sz w:val="19"/>
        </w:rPr>
        <w:t>administration, and</w:t>
      </w:r>
      <w:r>
        <w:rPr>
          <w:i/>
          <w:w w:val="105"/>
          <w:sz w:val="19"/>
        </w:rPr>
        <w:t> staff.</w:t>
      </w:r>
      <w:r>
        <w:rPr>
          <w:i/>
          <w:spacing w:val="80"/>
          <w:w w:val="105"/>
          <w:sz w:val="19"/>
        </w:rPr>
        <w:t> </w:t>
      </w:r>
      <w:r>
        <w:rPr>
          <w:w w:val="105"/>
          <w:sz w:val="21"/>
        </w:rPr>
        <w:t>The</w:t>
      </w:r>
      <w:r>
        <w:rPr>
          <w:spacing w:val="-4"/>
          <w:w w:val="105"/>
          <w:sz w:val="21"/>
        </w:rPr>
        <w:t> </w:t>
      </w:r>
      <w:r>
        <w:rPr>
          <w:i/>
          <w:w w:val="105"/>
          <w:sz w:val="19"/>
        </w:rPr>
        <w:t>school should encourage students and faculty to</w:t>
      </w:r>
      <w:r>
        <w:rPr>
          <w:i/>
          <w:spacing w:val="-1"/>
          <w:w w:val="105"/>
          <w:sz w:val="19"/>
        </w:rPr>
        <w:t> </w:t>
      </w:r>
      <w:r>
        <w:rPr>
          <w:i/>
          <w:w w:val="105"/>
          <w:sz w:val="19"/>
        </w:rPr>
        <w:t>appreciate these values as guiding principles of professional conduct throughout their careers.</w:t>
      </w:r>
    </w:p>
    <w:p>
      <w:pPr>
        <w:tabs>
          <w:tab w:pos="886" w:val="left" w:leader="none"/>
        </w:tabs>
        <w:spacing w:line="193" w:lineRule="exact" w:before="5"/>
        <w:ind w:left="0" w:right="853" w:firstLine="0"/>
        <w:jc w:val="right"/>
        <w:rPr>
          <w:sz w:val="19"/>
        </w:rPr>
      </w:pPr>
      <w:r>
        <w:rPr>
          <w:spacing w:val="-5"/>
          <w:w w:val="110"/>
          <w:sz w:val="19"/>
        </w:rPr>
        <w:t>Met</w:t>
      </w:r>
      <w:r>
        <w:rPr>
          <w:sz w:val="19"/>
        </w:rPr>
        <w:tab/>
      </w:r>
      <w:r>
        <w:rPr>
          <w:w w:val="105"/>
          <w:sz w:val="19"/>
        </w:rPr>
        <w:t>Not</w:t>
      </w:r>
      <w:r>
        <w:rPr>
          <w:spacing w:val="-3"/>
          <w:w w:val="105"/>
          <w:sz w:val="19"/>
        </w:rPr>
        <w:t> </w:t>
      </w:r>
      <w:r>
        <w:rPr>
          <w:spacing w:val="-5"/>
          <w:w w:val="110"/>
          <w:sz w:val="19"/>
        </w:rPr>
        <w:t>Met</w:t>
      </w:r>
    </w:p>
    <w:p>
      <w:pPr>
        <w:tabs>
          <w:tab w:pos="1036" w:val="left" w:leader="none"/>
        </w:tabs>
        <w:spacing w:line="342" w:lineRule="exact" w:before="0"/>
        <w:ind w:left="0" w:right="1066" w:firstLine="0"/>
        <w:jc w:val="right"/>
        <w:rPr>
          <w:sz w:val="32"/>
        </w:rPr>
      </w:pPr>
      <w:r>
        <w:rPr>
          <w:spacing w:val="-5"/>
          <w:w w:val="105"/>
          <w:sz w:val="24"/>
        </w:rPr>
        <w:t>[X]</w:t>
      </w:r>
      <w:r>
        <w:rPr>
          <w:sz w:val="24"/>
        </w:rPr>
        <w:tab/>
      </w:r>
      <w:r>
        <w:rPr>
          <w:w w:val="105"/>
          <w:sz w:val="32"/>
        </w:rPr>
        <w:t>I</w:t>
      </w:r>
      <w:r>
        <w:rPr>
          <w:spacing w:val="24"/>
          <w:w w:val="105"/>
          <w:sz w:val="32"/>
        </w:rPr>
        <w:t> </w:t>
      </w:r>
      <w:r>
        <w:rPr>
          <w:spacing w:val="-10"/>
          <w:w w:val="105"/>
          <w:sz w:val="32"/>
        </w:rPr>
        <w:t>l</w:t>
      </w:r>
    </w:p>
    <w:p>
      <w:pPr>
        <w:spacing w:line="256" w:lineRule="auto" w:before="264"/>
        <w:ind w:left="915" w:right="475" w:firstLine="3"/>
        <w:jc w:val="left"/>
        <w:rPr>
          <w:sz w:val="19"/>
        </w:rPr>
      </w:pPr>
      <w:r>
        <w:rPr>
          <w:w w:val="105"/>
          <w:sz w:val="19"/>
        </w:rPr>
        <w:t>The Department of Architecture has</w:t>
      </w:r>
      <w:r>
        <w:rPr>
          <w:spacing w:val="-2"/>
          <w:w w:val="105"/>
          <w:sz w:val="19"/>
        </w:rPr>
        <w:t> </w:t>
      </w:r>
      <w:r>
        <w:rPr>
          <w:w w:val="105"/>
          <w:sz w:val="19"/>
        </w:rPr>
        <w:t>a</w:t>
      </w:r>
      <w:r>
        <w:rPr>
          <w:spacing w:val="-3"/>
          <w:w w:val="105"/>
          <w:sz w:val="19"/>
        </w:rPr>
        <w:t> </w:t>
      </w:r>
      <w:r>
        <w:rPr>
          <w:w w:val="105"/>
          <w:sz w:val="19"/>
        </w:rPr>
        <w:t>written Studio</w:t>
      </w:r>
      <w:r>
        <w:rPr>
          <w:spacing w:val="-6"/>
          <w:w w:val="105"/>
          <w:sz w:val="19"/>
        </w:rPr>
        <w:t> </w:t>
      </w:r>
      <w:r>
        <w:rPr>
          <w:w w:val="105"/>
          <w:sz w:val="19"/>
        </w:rPr>
        <w:t>Culture Policy endorsed and supported by the</w:t>
      </w:r>
      <w:r>
        <w:rPr>
          <w:spacing w:val="-1"/>
          <w:w w:val="105"/>
          <w:sz w:val="19"/>
        </w:rPr>
        <w:t> </w:t>
      </w:r>
      <w:r>
        <w:rPr>
          <w:w w:val="105"/>
          <w:sz w:val="19"/>
        </w:rPr>
        <w:t>faculty, students, and administration.</w:t>
      </w:r>
      <w:r>
        <w:rPr>
          <w:spacing w:val="40"/>
          <w:w w:val="105"/>
          <w:sz w:val="19"/>
        </w:rPr>
        <w:t> </w:t>
      </w:r>
      <w:r>
        <w:rPr>
          <w:w w:val="105"/>
          <w:sz w:val="19"/>
        </w:rPr>
        <w:t>The small size of the</w:t>
      </w:r>
      <w:r>
        <w:rPr>
          <w:spacing w:val="-6"/>
          <w:w w:val="105"/>
          <w:sz w:val="19"/>
        </w:rPr>
        <w:t> </w:t>
      </w:r>
      <w:r>
        <w:rPr>
          <w:w w:val="105"/>
          <w:sz w:val="19"/>
        </w:rPr>
        <w:t>department's student body, the close</w:t>
      </w:r>
      <w:r>
        <w:rPr>
          <w:spacing w:val="-2"/>
          <w:w w:val="105"/>
          <w:sz w:val="19"/>
        </w:rPr>
        <w:t> </w:t>
      </w:r>
      <w:r>
        <w:rPr>
          <w:w w:val="105"/>
          <w:sz w:val="19"/>
        </w:rPr>
        <w:t>proximity of spaces and openness of the studios all promote a positive environment for interaction,</w:t>
      </w:r>
      <w:r>
        <w:rPr>
          <w:spacing w:val="-8"/>
          <w:w w:val="105"/>
          <w:sz w:val="19"/>
        </w:rPr>
        <w:t> </w:t>
      </w:r>
      <w:r>
        <w:rPr>
          <w:w w:val="105"/>
          <w:sz w:val="19"/>
        </w:rPr>
        <w:t>collaboration and culture.</w:t>
      </w:r>
      <w:r>
        <w:rPr>
          <w:spacing w:val="40"/>
          <w:w w:val="105"/>
          <w:sz w:val="19"/>
        </w:rPr>
        <w:t> </w:t>
      </w:r>
      <w:r>
        <w:rPr>
          <w:w w:val="105"/>
          <w:sz w:val="19"/>
        </w:rPr>
        <w:t>The Friday afternoon</w:t>
      </w:r>
      <w:r>
        <w:rPr>
          <w:spacing w:val="-11"/>
          <w:w w:val="105"/>
          <w:sz w:val="19"/>
        </w:rPr>
        <w:t> </w:t>
      </w:r>
      <w:r>
        <w:rPr>
          <w:w w:val="105"/>
          <w:sz w:val="19"/>
        </w:rPr>
        <w:t>block for</w:t>
      </w:r>
      <w:r>
        <w:rPr>
          <w:spacing w:val="-3"/>
          <w:w w:val="105"/>
          <w:sz w:val="19"/>
        </w:rPr>
        <w:t> </w:t>
      </w:r>
      <w:r>
        <w:rPr>
          <w:w w:val="105"/>
          <w:sz w:val="19"/>
        </w:rPr>
        <w:t>presentations and</w:t>
      </w:r>
      <w:r>
        <w:rPr>
          <w:spacing w:val="-9"/>
          <w:w w:val="105"/>
          <w:sz w:val="19"/>
        </w:rPr>
        <w:t> </w:t>
      </w:r>
      <w:r>
        <w:rPr>
          <w:w w:val="105"/>
          <w:sz w:val="19"/>
        </w:rPr>
        <w:t>lectures provides a forum for continuous dialogue among faculty, students, and guest discussions and </w:t>
      </w:r>
      <w:r>
        <w:rPr>
          <w:spacing w:val="-2"/>
          <w:w w:val="105"/>
          <w:sz w:val="19"/>
        </w:rPr>
        <w:t>collaborations.</w:t>
      </w:r>
    </w:p>
    <w:p>
      <w:pPr>
        <w:pStyle w:val="BodyText"/>
        <w:spacing w:before="8"/>
        <w:rPr>
          <w:sz w:val="18"/>
        </w:rPr>
      </w:pPr>
    </w:p>
    <w:p>
      <w:pPr>
        <w:spacing w:line="254" w:lineRule="auto" w:before="0"/>
        <w:ind w:left="915" w:right="0" w:firstLine="1"/>
        <w:jc w:val="left"/>
        <w:rPr>
          <w:sz w:val="19"/>
        </w:rPr>
      </w:pPr>
      <w:r>
        <w:rPr>
          <w:w w:val="105"/>
          <w:sz w:val="19"/>
        </w:rPr>
        <w:t>However, the limited hours</w:t>
      </w:r>
      <w:r>
        <w:rPr>
          <w:spacing w:val="-6"/>
          <w:w w:val="105"/>
          <w:sz w:val="19"/>
        </w:rPr>
        <w:t> </w:t>
      </w:r>
      <w:r>
        <w:rPr>
          <w:w w:val="105"/>
          <w:sz w:val="19"/>
        </w:rPr>
        <w:t>for</w:t>
      </w:r>
      <w:r>
        <w:rPr>
          <w:spacing w:val="-9"/>
          <w:w w:val="105"/>
          <w:sz w:val="19"/>
        </w:rPr>
        <w:t> </w:t>
      </w:r>
      <w:r>
        <w:rPr>
          <w:w w:val="105"/>
          <w:sz w:val="19"/>
        </w:rPr>
        <w:t>building access</w:t>
      </w:r>
      <w:r>
        <w:rPr>
          <w:spacing w:val="-2"/>
          <w:w w:val="105"/>
          <w:sz w:val="19"/>
        </w:rPr>
        <w:t> </w:t>
      </w:r>
      <w:r>
        <w:rPr>
          <w:w w:val="105"/>
          <w:sz w:val="19"/>
        </w:rPr>
        <w:t>restrict</w:t>
      </w:r>
      <w:r>
        <w:rPr>
          <w:spacing w:val="-11"/>
          <w:w w:val="105"/>
          <w:sz w:val="19"/>
        </w:rPr>
        <w:t> </w:t>
      </w:r>
      <w:r>
        <w:rPr>
          <w:w w:val="105"/>
          <w:sz w:val="19"/>
        </w:rPr>
        <w:t>the</w:t>
      </w:r>
      <w:r>
        <w:rPr>
          <w:spacing w:val="-6"/>
          <w:w w:val="105"/>
          <w:sz w:val="19"/>
        </w:rPr>
        <w:t> </w:t>
      </w:r>
      <w:r>
        <w:rPr>
          <w:w w:val="105"/>
          <w:sz w:val="19"/>
        </w:rPr>
        <w:t>opportunity</w:t>
      </w:r>
      <w:r>
        <w:rPr>
          <w:spacing w:val="24"/>
          <w:w w:val="105"/>
          <w:sz w:val="19"/>
        </w:rPr>
        <w:t> </w:t>
      </w:r>
      <w:r>
        <w:rPr>
          <w:w w:val="105"/>
          <w:sz w:val="19"/>
        </w:rPr>
        <w:t>for</w:t>
      </w:r>
      <w:r>
        <w:rPr>
          <w:spacing w:val="-2"/>
          <w:w w:val="105"/>
          <w:sz w:val="19"/>
        </w:rPr>
        <w:t> </w:t>
      </w:r>
      <w:r>
        <w:rPr>
          <w:w w:val="105"/>
          <w:sz w:val="19"/>
        </w:rPr>
        <w:t>students and</w:t>
      </w:r>
      <w:r>
        <w:rPr>
          <w:spacing w:val="-4"/>
          <w:w w:val="105"/>
          <w:sz w:val="19"/>
        </w:rPr>
        <w:t> </w:t>
      </w:r>
      <w:r>
        <w:rPr>
          <w:w w:val="105"/>
          <w:sz w:val="19"/>
        </w:rPr>
        <w:t>faculty to collaborate on designs, problem solving and production processes during late</w:t>
      </w:r>
      <w:r>
        <w:rPr>
          <w:spacing w:val="-3"/>
          <w:w w:val="105"/>
          <w:sz w:val="19"/>
        </w:rPr>
        <w:t> </w:t>
      </w:r>
      <w:r>
        <w:rPr>
          <w:w w:val="105"/>
          <w:sz w:val="19"/>
        </w:rPr>
        <w:t>night</w:t>
      </w:r>
      <w:r>
        <w:rPr>
          <w:spacing w:val="-2"/>
          <w:w w:val="105"/>
          <w:sz w:val="19"/>
        </w:rPr>
        <w:t> </w:t>
      </w:r>
      <w:r>
        <w:rPr>
          <w:w w:val="105"/>
          <w:sz w:val="19"/>
        </w:rPr>
        <w:t>periods.</w:t>
      </w:r>
    </w:p>
    <w:p>
      <w:pPr>
        <w:spacing w:line="254" w:lineRule="auto" w:before="0"/>
        <w:ind w:left="921" w:right="475" w:hanging="3"/>
        <w:jc w:val="left"/>
        <w:rPr>
          <w:sz w:val="19"/>
        </w:rPr>
      </w:pPr>
      <w:r>
        <w:rPr>
          <w:w w:val="105"/>
          <w:sz w:val="19"/>
        </w:rPr>
        <w:t>These</w:t>
      </w:r>
      <w:r>
        <w:rPr>
          <w:spacing w:val="-5"/>
          <w:w w:val="105"/>
          <w:sz w:val="19"/>
        </w:rPr>
        <w:t> </w:t>
      </w:r>
      <w:r>
        <w:rPr>
          <w:w w:val="105"/>
          <w:sz w:val="19"/>
        </w:rPr>
        <w:t>time</w:t>
      </w:r>
      <w:r>
        <w:rPr>
          <w:spacing w:val="-7"/>
          <w:w w:val="105"/>
          <w:sz w:val="19"/>
        </w:rPr>
        <w:t> </w:t>
      </w:r>
      <w:r>
        <w:rPr>
          <w:w w:val="105"/>
          <w:sz w:val="19"/>
        </w:rPr>
        <w:t>periods are used</w:t>
      </w:r>
      <w:r>
        <w:rPr>
          <w:spacing w:val="-17"/>
          <w:w w:val="105"/>
          <w:sz w:val="19"/>
        </w:rPr>
        <w:t> </w:t>
      </w:r>
      <w:r>
        <w:rPr>
          <w:w w:val="105"/>
          <w:sz w:val="19"/>
        </w:rPr>
        <w:t>by</w:t>
      </w:r>
      <w:r>
        <w:rPr>
          <w:spacing w:val="-7"/>
          <w:w w:val="105"/>
          <w:sz w:val="19"/>
        </w:rPr>
        <w:t> </w:t>
      </w:r>
      <w:r>
        <w:rPr>
          <w:w w:val="105"/>
          <w:sz w:val="19"/>
        </w:rPr>
        <w:t>students and</w:t>
      </w:r>
      <w:r>
        <w:rPr>
          <w:spacing w:val="-5"/>
          <w:w w:val="105"/>
          <w:sz w:val="19"/>
        </w:rPr>
        <w:t> </w:t>
      </w:r>
      <w:r>
        <w:rPr>
          <w:w w:val="105"/>
          <w:sz w:val="19"/>
        </w:rPr>
        <w:t>faculty in architectural schools across</w:t>
      </w:r>
      <w:r>
        <w:rPr>
          <w:spacing w:val="-1"/>
          <w:w w:val="105"/>
          <w:sz w:val="19"/>
        </w:rPr>
        <w:t> </w:t>
      </w:r>
      <w:r>
        <w:rPr>
          <w:w w:val="105"/>
          <w:sz w:val="19"/>
        </w:rPr>
        <w:t>the country for rich collaborative exchanges and interactions.</w:t>
      </w:r>
    </w:p>
    <w:p>
      <w:pPr>
        <w:pStyle w:val="BodyText"/>
        <w:spacing w:before="10"/>
        <w:rPr>
          <w:sz w:val="19"/>
        </w:rPr>
      </w:pPr>
    </w:p>
    <w:p>
      <w:pPr>
        <w:spacing w:line="252" w:lineRule="auto" w:before="0"/>
        <w:ind w:left="912" w:right="373" w:firstLine="0"/>
        <w:jc w:val="left"/>
        <w:rPr>
          <w:sz w:val="19"/>
        </w:rPr>
      </w:pPr>
      <w:r>
        <w:rPr>
          <w:w w:val="105"/>
          <w:sz w:val="19"/>
        </w:rPr>
        <w:t>Open</w:t>
      </w:r>
      <w:r>
        <w:rPr>
          <w:spacing w:val="-10"/>
          <w:w w:val="105"/>
          <w:sz w:val="19"/>
        </w:rPr>
        <w:t> </w:t>
      </w:r>
      <w:r>
        <w:rPr>
          <w:w w:val="105"/>
          <w:sz w:val="19"/>
        </w:rPr>
        <w:t>access to</w:t>
      </w:r>
      <w:r>
        <w:rPr>
          <w:spacing w:val="-7"/>
          <w:w w:val="105"/>
          <w:sz w:val="19"/>
        </w:rPr>
        <w:t> </w:t>
      </w:r>
      <w:r>
        <w:rPr>
          <w:w w:val="105"/>
          <w:sz w:val="19"/>
        </w:rPr>
        <w:t>architectural</w:t>
      </w:r>
      <w:r>
        <w:rPr>
          <w:spacing w:val="-7"/>
          <w:w w:val="105"/>
          <w:sz w:val="19"/>
        </w:rPr>
        <w:t> </w:t>
      </w:r>
      <w:r>
        <w:rPr>
          <w:w w:val="105"/>
          <w:sz w:val="19"/>
        </w:rPr>
        <w:t>studios</w:t>
      </w:r>
      <w:r>
        <w:rPr>
          <w:spacing w:val="-1"/>
          <w:w w:val="105"/>
          <w:sz w:val="19"/>
        </w:rPr>
        <w:t> </w:t>
      </w:r>
      <w:r>
        <w:rPr>
          <w:w w:val="105"/>
          <w:sz w:val="19"/>
        </w:rPr>
        <w:t>and</w:t>
      </w:r>
      <w:r>
        <w:rPr>
          <w:spacing w:val="-6"/>
          <w:w w:val="105"/>
          <w:sz w:val="19"/>
        </w:rPr>
        <w:t> </w:t>
      </w:r>
      <w:r>
        <w:rPr>
          <w:w w:val="105"/>
          <w:sz w:val="19"/>
        </w:rPr>
        <w:t>facilities is</w:t>
      </w:r>
      <w:r>
        <w:rPr>
          <w:spacing w:val="-1"/>
          <w:w w:val="105"/>
          <w:sz w:val="19"/>
        </w:rPr>
        <w:t> </w:t>
      </w:r>
      <w:r>
        <w:rPr>
          <w:w w:val="105"/>
          <w:sz w:val="19"/>
        </w:rPr>
        <w:t>an important condition for</w:t>
      </w:r>
      <w:r>
        <w:rPr>
          <w:spacing w:val="-5"/>
          <w:w w:val="105"/>
          <w:sz w:val="19"/>
        </w:rPr>
        <w:t> </w:t>
      </w:r>
      <w:r>
        <w:rPr>
          <w:w w:val="105"/>
          <w:sz w:val="19"/>
        </w:rPr>
        <w:t>establishing</w:t>
      </w:r>
      <w:r>
        <w:rPr>
          <w:spacing w:val="20"/>
          <w:w w:val="105"/>
          <w:sz w:val="19"/>
        </w:rPr>
        <w:t> </w:t>
      </w:r>
      <w:r>
        <w:rPr>
          <w:w w:val="105"/>
          <w:sz w:val="19"/>
        </w:rPr>
        <w:t>a</w:t>
      </w:r>
      <w:r>
        <w:rPr>
          <w:spacing w:val="-5"/>
          <w:w w:val="105"/>
          <w:sz w:val="19"/>
        </w:rPr>
        <w:t> </w:t>
      </w:r>
      <w:r>
        <w:rPr>
          <w:w w:val="105"/>
          <w:sz w:val="19"/>
        </w:rPr>
        <w:t>rich studio culture due to the time</w:t>
      </w:r>
      <w:r>
        <w:rPr>
          <w:spacing w:val="-4"/>
          <w:w w:val="105"/>
          <w:sz w:val="19"/>
        </w:rPr>
        <w:t> </w:t>
      </w:r>
      <w:r>
        <w:rPr>
          <w:w w:val="105"/>
          <w:sz w:val="19"/>
        </w:rPr>
        <w:t>consuming nature of collaborative and deliberative processes associated with architectural education.</w:t>
      </w:r>
      <w:r>
        <w:rPr>
          <w:spacing w:val="40"/>
          <w:w w:val="105"/>
          <w:sz w:val="19"/>
        </w:rPr>
        <w:t> </w:t>
      </w:r>
      <w:r>
        <w:rPr>
          <w:w w:val="105"/>
          <w:sz w:val="19"/>
        </w:rPr>
        <w:t>Fundamental values of respect are also compromised when established schedules for</w:t>
      </w:r>
      <w:r>
        <w:rPr>
          <w:spacing w:val="-4"/>
          <w:w w:val="105"/>
          <w:sz w:val="19"/>
        </w:rPr>
        <w:t> </w:t>
      </w:r>
      <w:r>
        <w:rPr>
          <w:w w:val="105"/>
          <w:sz w:val="19"/>
        </w:rPr>
        <w:t>classes and other planned activities are not</w:t>
      </w:r>
      <w:r>
        <w:rPr>
          <w:spacing w:val="-4"/>
          <w:w w:val="105"/>
          <w:sz w:val="19"/>
        </w:rPr>
        <w:t> </w:t>
      </w:r>
      <w:r>
        <w:rPr>
          <w:w w:val="105"/>
          <w:sz w:val="19"/>
        </w:rPr>
        <w:t>met (i.e. delays in start times, abbreviated sessions, inconsistent times for actual closings of Bemis Laboratory).</w:t>
      </w:r>
    </w:p>
    <w:p>
      <w:pPr>
        <w:spacing w:line="242" w:lineRule="auto" w:before="0"/>
        <w:ind w:left="915" w:right="475" w:hanging="8"/>
        <w:jc w:val="left"/>
        <w:rPr>
          <w:sz w:val="19"/>
        </w:rPr>
      </w:pPr>
      <w:r>
        <w:rPr>
          <w:w w:val="105"/>
          <w:sz w:val="19"/>
        </w:rPr>
        <w:t>The school,</w:t>
      </w:r>
      <w:r>
        <w:rPr>
          <w:spacing w:val="-1"/>
          <w:w w:val="105"/>
          <w:sz w:val="19"/>
        </w:rPr>
        <w:t> </w:t>
      </w:r>
      <w:r>
        <w:rPr>
          <w:w w:val="105"/>
          <w:sz w:val="19"/>
        </w:rPr>
        <w:t>students and faculty could</w:t>
      </w:r>
      <w:r>
        <w:rPr>
          <w:spacing w:val="-9"/>
          <w:w w:val="105"/>
          <w:sz w:val="19"/>
        </w:rPr>
        <w:t> </w:t>
      </w:r>
      <w:r>
        <w:rPr>
          <w:w w:val="105"/>
          <w:sz w:val="19"/>
        </w:rPr>
        <w:t>benefit</w:t>
      </w:r>
      <w:r>
        <w:rPr>
          <w:spacing w:val="-9"/>
          <w:w w:val="105"/>
          <w:sz w:val="19"/>
        </w:rPr>
        <w:t> </w:t>
      </w:r>
      <w:r>
        <w:rPr>
          <w:w w:val="105"/>
          <w:sz w:val="19"/>
        </w:rPr>
        <w:t>from</w:t>
      </w:r>
      <w:r>
        <w:rPr>
          <w:spacing w:val="-7"/>
          <w:w w:val="105"/>
          <w:sz w:val="19"/>
        </w:rPr>
        <w:t> </w:t>
      </w:r>
      <w:r>
        <w:rPr>
          <w:w w:val="105"/>
          <w:sz w:val="19"/>
        </w:rPr>
        <w:t>the</w:t>
      </w:r>
      <w:r>
        <w:rPr>
          <w:spacing w:val="-4"/>
          <w:w w:val="105"/>
          <w:sz w:val="19"/>
        </w:rPr>
        <w:t> </w:t>
      </w:r>
      <w:r>
        <w:rPr>
          <w:w w:val="105"/>
          <w:sz w:val="19"/>
        </w:rPr>
        <w:t>flexibility</w:t>
      </w:r>
      <w:r>
        <w:rPr>
          <w:spacing w:val="-2"/>
          <w:w w:val="105"/>
          <w:sz w:val="19"/>
        </w:rPr>
        <w:t> </w:t>
      </w:r>
      <w:r>
        <w:rPr>
          <w:w w:val="105"/>
          <w:sz w:val="19"/>
        </w:rPr>
        <w:t>of unrestricted access to architectural facilities and resources.</w:t>
      </w:r>
    </w:p>
    <w:p>
      <w:pPr>
        <w:pStyle w:val="BodyText"/>
      </w:pPr>
    </w:p>
    <w:p>
      <w:pPr>
        <w:pStyle w:val="BodyText"/>
        <w:spacing w:before="1"/>
        <w:rPr>
          <w:sz w:val="21"/>
        </w:rPr>
      </w:pPr>
    </w:p>
    <w:p>
      <w:pPr>
        <w:pStyle w:val="ListParagraph"/>
        <w:numPr>
          <w:ilvl w:val="1"/>
          <w:numId w:val="75"/>
        </w:numPr>
        <w:tabs>
          <w:tab w:pos="907" w:val="left" w:leader="none"/>
          <w:tab w:pos="908" w:val="left" w:leader="none"/>
        </w:tabs>
        <w:spacing w:line="240" w:lineRule="auto" w:before="0" w:after="0"/>
        <w:ind w:left="907" w:right="0" w:hanging="725"/>
        <w:jc w:val="left"/>
        <w:rPr>
          <w:sz w:val="19"/>
        </w:rPr>
      </w:pPr>
      <w:r>
        <w:rPr>
          <w:w w:val="110"/>
          <w:sz w:val="19"/>
        </w:rPr>
        <w:t>Human</w:t>
      </w:r>
      <w:r>
        <w:rPr>
          <w:spacing w:val="-7"/>
          <w:w w:val="110"/>
          <w:sz w:val="19"/>
        </w:rPr>
        <w:t> </w:t>
      </w:r>
      <w:r>
        <w:rPr>
          <w:spacing w:val="-2"/>
          <w:w w:val="110"/>
          <w:sz w:val="19"/>
        </w:rPr>
        <w:t>Resources</w:t>
      </w:r>
    </w:p>
    <w:p>
      <w:pPr>
        <w:pStyle w:val="BodyText"/>
        <w:spacing w:before="2"/>
        <w:rPr>
          <w:sz w:val="21"/>
        </w:rPr>
      </w:pPr>
    </w:p>
    <w:p>
      <w:pPr>
        <w:spacing w:line="252" w:lineRule="auto" w:before="0"/>
        <w:ind w:left="893" w:right="311" w:firstLine="5"/>
        <w:jc w:val="left"/>
        <w:rPr>
          <w:i/>
          <w:sz w:val="19"/>
        </w:rPr>
      </w:pPr>
      <w:r>
        <w:rPr>
          <w:i/>
          <w:w w:val="105"/>
          <w:sz w:val="19"/>
        </w:rPr>
        <w:t>The</w:t>
      </w:r>
      <w:r>
        <w:rPr>
          <w:i/>
          <w:spacing w:val="-2"/>
          <w:w w:val="105"/>
          <w:sz w:val="19"/>
        </w:rPr>
        <w:t> </w:t>
      </w:r>
      <w:r>
        <w:rPr>
          <w:i/>
          <w:w w:val="105"/>
          <w:sz w:val="19"/>
        </w:rPr>
        <w:t>accredited degree program must demonstrate that it provides adequate human resources for </w:t>
      </w:r>
      <w:r>
        <w:rPr>
          <w:w w:val="105"/>
          <w:sz w:val="19"/>
        </w:rPr>
        <w:t>a </w:t>
      </w:r>
      <w:r>
        <w:rPr>
          <w:i/>
          <w:w w:val="105"/>
          <w:sz w:val="19"/>
        </w:rPr>
        <w:t>professional degree program in architecture, including a sufficient faculty </w:t>
      </w:r>
      <w:r>
        <w:rPr>
          <w:w w:val="105"/>
          <w:sz w:val="19"/>
        </w:rPr>
        <w:t>complement, </w:t>
      </w:r>
      <w:r>
        <w:rPr>
          <w:i/>
          <w:w w:val="105"/>
          <w:sz w:val="19"/>
        </w:rPr>
        <w:t>an administrative head with enough time for effective administration,</w:t>
      </w:r>
      <w:r>
        <w:rPr>
          <w:i/>
          <w:spacing w:val="-6"/>
          <w:w w:val="105"/>
          <w:sz w:val="19"/>
        </w:rPr>
        <w:t> </w:t>
      </w:r>
      <w:r>
        <w:rPr>
          <w:i/>
          <w:w w:val="105"/>
          <w:sz w:val="19"/>
        </w:rPr>
        <w:t>and adequate administrative, technical, and faculty support staff. Student enrollment in and</w:t>
      </w:r>
      <w:r>
        <w:rPr>
          <w:i/>
          <w:spacing w:val="-2"/>
          <w:w w:val="105"/>
          <w:sz w:val="19"/>
        </w:rPr>
        <w:t> </w:t>
      </w:r>
      <w:r>
        <w:rPr>
          <w:i/>
          <w:w w:val="105"/>
          <w:sz w:val="19"/>
        </w:rPr>
        <w:t>scheduling </w:t>
      </w:r>
      <w:r>
        <w:rPr>
          <w:w w:val="105"/>
          <w:sz w:val="19"/>
        </w:rPr>
        <w:t>of </w:t>
      </w:r>
      <w:r>
        <w:rPr>
          <w:i/>
          <w:w w:val="105"/>
          <w:sz w:val="19"/>
        </w:rPr>
        <w:t>design studios must ensure·</w:t>
      </w:r>
      <w:r>
        <w:rPr>
          <w:i/>
          <w:spacing w:val="-36"/>
          <w:w w:val="105"/>
          <w:sz w:val="19"/>
        </w:rPr>
        <w:t> </w:t>
      </w:r>
      <w:r>
        <w:rPr>
          <w:i/>
          <w:w w:val="105"/>
          <w:sz w:val="19"/>
        </w:rPr>
        <w:t>adequate time</w:t>
      </w:r>
      <w:r>
        <w:rPr>
          <w:i/>
          <w:spacing w:val="-4"/>
          <w:w w:val="105"/>
          <w:sz w:val="19"/>
        </w:rPr>
        <w:t> </w:t>
      </w:r>
      <w:r>
        <w:rPr>
          <w:i/>
          <w:w w:val="105"/>
          <w:sz w:val="19"/>
        </w:rPr>
        <w:t>for</w:t>
      </w:r>
      <w:r>
        <w:rPr>
          <w:i/>
          <w:spacing w:val="-4"/>
          <w:w w:val="105"/>
          <w:sz w:val="19"/>
        </w:rPr>
        <w:t> </w:t>
      </w:r>
      <w:r>
        <w:rPr>
          <w:i/>
          <w:w w:val="105"/>
          <w:sz w:val="19"/>
        </w:rPr>
        <w:t>an effective</w:t>
      </w:r>
      <w:r>
        <w:rPr>
          <w:i/>
          <w:spacing w:val="-2"/>
          <w:w w:val="105"/>
          <w:sz w:val="19"/>
        </w:rPr>
        <w:t> </w:t>
      </w:r>
      <w:r>
        <w:rPr>
          <w:i/>
          <w:w w:val="105"/>
          <w:sz w:val="19"/>
        </w:rPr>
        <w:t>tutorial exchange</w:t>
      </w:r>
      <w:r>
        <w:rPr>
          <w:i/>
          <w:spacing w:val="-3"/>
          <w:w w:val="105"/>
          <w:sz w:val="19"/>
        </w:rPr>
        <w:t> </w:t>
      </w:r>
      <w:r>
        <w:rPr>
          <w:i/>
          <w:w w:val="105"/>
          <w:sz w:val="19"/>
        </w:rPr>
        <w:t>between the teacher and</w:t>
      </w:r>
      <w:r>
        <w:rPr>
          <w:i/>
          <w:spacing w:val="-3"/>
          <w:w w:val="105"/>
          <w:sz w:val="19"/>
        </w:rPr>
        <w:t> </w:t>
      </w:r>
      <w:r>
        <w:rPr>
          <w:i/>
          <w:w w:val="105"/>
          <w:sz w:val="19"/>
        </w:rPr>
        <w:t>the</w:t>
      </w:r>
      <w:r>
        <w:rPr>
          <w:i/>
          <w:spacing w:val="-6"/>
          <w:w w:val="105"/>
          <w:sz w:val="19"/>
        </w:rPr>
        <w:t> </w:t>
      </w:r>
      <w:r>
        <w:rPr>
          <w:i/>
          <w:w w:val="105"/>
          <w:sz w:val="19"/>
        </w:rPr>
        <w:t>student. The total</w:t>
      </w:r>
      <w:r>
        <w:rPr>
          <w:i/>
          <w:spacing w:val="-7"/>
          <w:w w:val="105"/>
          <w:sz w:val="19"/>
        </w:rPr>
        <w:t> </w:t>
      </w:r>
      <w:r>
        <w:rPr>
          <w:i/>
          <w:w w:val="105"/>
          <w:sz w:val="19"/>
        </w:rPr>
        <w:t>teaching load should allow faculty members adequate time to pursue research, scholarship, and practice to enhance their professional development.</w:t>
      </w:r>
    </w:p>
    <w:p>
      <w:pPr>
        <w:tabs>
          <w:tab w:pos="8318" w:val="left" w:leader="none"/>
        </w:tabs>
        <w:spacing w:line="189" w:lineRule="exact" w:before="3"/>
        <w:ind w:left="7432" w:right="0" w:firstLine="0"/>
        <w:jc w:val="left"/>
        <w:rPr>
          <w:sz w:val="19"/>
        </w:rPr>
      </w:pPr>
      <w:r>
        <w:rPr>
          <w:spacing w:val="-5"/>
          <w:w w:val="110"/>
          <w:sz w:val="19"/>
        </w:rPr>
        <w:t>Met</w:t>
      </w:r>
      <w:r>
        <w:rPr>
          <w:sz w:val="19"/>
        </w:rPr>
        <w:tab/>
      </w:r>
      <w:r>
        <w:rPr>
          <w:w w:val="105"/>
          <w:sz w:val="19"/>
        </w:rPr>
        <w:t>Not</w:t>
      </w:r>
      <w:r>
        <w:rPr>
          <w:spacing w:val="-3"/>
          <w:w w:val="105"/>
          <w:sz w:val="19"/>
        </w:rPr>
        <w:t> </w:t>
      </w:r>
      <w:r>
        <w:rPr>
          <w:spacing w:val="-5"/>
          <w:w w:val="110"/>
          <w:sz w:val="19"/>
        </w:rPr>
        <w:t>Met</w:t>
      </w:r>
    </w:p>
    <w:p>
      <w:pPr>
        <w:tabs>
          <w:tab w:pos="8557" w:val="left" w:leader="none"/>
        </w:tabs>
        <w:spacing w:line="338" w:lineRule="exact" w:before="0"/>
        <w:ind w:left="7487" w:right="0" w:firstLine="0"/>
        <w:jc w:val="left"/>
        <w:rPr>
          <w:sz w:val="24"/>
        </w:rPr>
      </w:pPr>
      <w:r>
        <w:rPr>
          <w:rFonts w:ascii="Times New Roman"/>
          <w:sz w:val="32"/>
        </w:rPr>
        <w:t>[</w:t>
      </w:r>
      <w:r>
        <w:rPr>
          <w:rFonts w:ascii="Times New Roman"/>
          <w:spacing w:val="31"/>
          <w:sz w:val="32"/>
        </w:rPr>
        <w:t> </w:t>
      </w:r>
      <w:r>
        <w:rPr>
          <w:rFonts w:ascii="Times New Roman"/>
          <w:spacing w:val="-10"/>
          <w:sz w:val="32"/>
        </w:rPr>
        <w:t>l</w:t>
      </w:r>
      <w:r>
        <w:rPr>
          <w:rFonts w:ascii="Times New Roman"/>
          <w:sz w:val="32"/>
        </w:rPr>
        <w:tab/>
      </w:r>
      <w:r>
        <w:rPr>
          <w:spacing w:val="-5"/>
          <w:sz w:val="24"/>
        </w:rPr>
        <w:t>[X]</w:t>
      </w:r>
    </w:p>
    <w:p>
      <w:pPr>
        <w:spacing w:line="252" w:lineRule="auto" w:before="214"/>
        <w:ind w:left="915" w:right="373" w:firstLine="3"/>
        <w:jc w:val="left"/>
        <w:rPr>
          <w:sz w:val="19"/>
        </w:rPr>
      </w:pPr>
      <w:r>
        <w:rPr>
          <w:w w:val="105"/>
          <w:sz w:val="19"/>
        </w:rPr>
        <w:t>The Architecture program is at or near</w:t>
      </w:r>
      <w:r>
        <w:rPr>
          <w:spacing w:val="-3"/>
          <w:w w:val="105"/>
          <w:sz w:val="19"/>
        </w:rPr>
        <w:t> </w:t>
      </w:r>
      <w:r>
        <w:rPr>
          <w:w w:val="105"/>
          <w:sz w:val="19"/>
        </w:rPr>
        <w:t>its limits in terms of the faculty's ability to deliver comprehensive instruction related</w:t>
      </w:r>
      <w:r>
        <w:rPr>
          <w:spacing w:val="-5"/>
          <w:w w:val="105"/>
          <w:sz w:val="19"/>
        </w:rPr>
        <w:t> </w:t>
      </w:r>
      <w:r>
        <w:rPr>
          <w:w w:val="105"/>
          <w:sz w:val="19"/>
        </w:rPr>
        <w:t>to a Master of Architecture degree.</w:t>
      </w:r>
      <w:r>
        <w:rPr>
          <w:spacing w:val="40"/>
          <w:w w:val="105"/>
          <w:sz w:val="19"/>
        </w:rPr>
        <w:t> </w:t>
      </w:r>
      <w:r>
        <w:rPr>
          <w:w w:val="105"/>
          <w:sz w:val="19"/>
        </w:rPr>
        <w:t>It is important that measures are firmly in place</w:t>
      </w:r>
      <w:r>
        <w:rPr>
          <w:spacing w:val="-2"/>
          <w:w w:val="105"/>
          <w:sz w:val="19"/>
        </w:rPr>
        <w:t> </w:t>
      </w:r>
      <w:r>
        <w:rPr>
          <w:w w:val="105"/>
          <w:sz w:val="19"/>
        </w:rPr>
        <w:t>to maximize the potential for the faculty and staff to thrive in their respective roles, minimize the possibility of disruption due</w:t>
      </w:r>
      <w:r>
        <w:rPr>
          <w:spacing w:val="-2"/>
          <w:w w:val="105"/>
          <w:sz w:val="19"/>
        </w:rPr>
        <w:t> </w:t>
      </w:r>
      <w:r>
        <w:rPr>
          <w:w w:val="105"/>
          <w:sz w:val="19"/>
        </w:rPr>
        <w:t>to</w:t>
      </w:r>
      <w:r>
        <w:rPr>
          <w:spacing w:val="-3"/>
          <w:w w:val="105"/>
          <w:sz w:val="19"/>
        </w:rPr>
        <w:t> </w:t>
      </w:r>
      <w:r>
        <w:rPr>
          <w:w w:val="105"/>
          <w:sz w:val="19"/>
        </w:rPr>
        <w:t>lack of human resources, and reinforce</w:t>
      </w:r>
      <w:r>
        <w:rPr>
          <w:spacing w:val="-6"/>
          <w:w w:val="105"/>
          <w:sz w:val="19"/>
        </w:rPr>
        <w:t> </w:t>
      </w:r>
      <w:r>
        <w:rPr>
          <w:w w:val="105"/>
          <w:sz w:val="19"/>
        </w:rPr>
        <w:t>continuity in the</w:t>
      </w:r>
      <w:r>
        <w:rPr>
          <w:spacing w:val="-2"/>
          <w:w w:val="105"/>
          <w:sz w:val="19"/>
        </w:rPr>
        <w:t> </w:t>
      </w:r>
      <w:r>
        <w:rPr>
          <w:w w:val="105"/>
          <w:sz w:val="19"/>
        </w:rPr>
        <w:t>program.</w:t>
      </w:r>
      <w:r>
        <w:rPr>
          <w:spacing w:val="-1"/>
          <w:w w:val="105"/>
          <w:sz w:val="19"/>
        </w:rPr>
        <w:t> </w:t>
      </w:r>
      <w:r>
        <w:rPr>
          <w:w w:val="105"/>
          <w:sz w:val="19"/>
        </w:rPr>
        <w:t>Significant attention should</w:t>
      </w:r>
      <w:r>
        <w:rPr>
          <w:spacing w:val="-3"/>
          <w:w w:val="105"/>
          <w:sz w:val="19"/>
        </w:rPr>
        <w:t> </w:t>
      </w:r>
      <w:r>
        <w:rPr>
          <w:w w:val="105"/>
          <w:sz w:val="19"/>
        </w:rPr>
        <w:t>be immediately paid</w:t>
      </w:r>
      <w:r>
        <w:rPr>
          <w:spacing w:val="-10"/>
          <w:w w:val="105"/>
          <w:sz w:val="19"/>
        </w:rPr>
        <w:t> </w:t>
      </w:r>
      <w:r>
        <w:rPr>
          <w:w w:val="105"/>
          <w:sz w:val="19"/>
        </w:rPr>
        <w:t>to</w:t>
      </w:r>
      <w:r>
        <w:rPr>
          <w:spacing w:val="-8"/>
          <w:w w:val="105"/>
          <w:sz w:val="19"/>
        </w:rPr>
        <w:t> </w:t>
      </w:r>
      <w:r>
        <w:rPr>
          <w:w w:val="105"/>
          <w:sz w:val="19"/>
        </w:rPr>
        <w:t>increasing the faculty staff to meet the demands of a Master's offering and</w:t>
      </w:r>
      <w:r>
        <w:rPr>
          <w:spacing w:val="-9"/>
          <w:w w:val="105"/>
          <w:sz w:val="19"/>
        </w:rPr>
        <w:t> </w:t>
      </w:r>
      <w:r>
        <w:rPr>
          <w:w w:val="105"/>
          <w:sz w:val="19"/>
        </w:rPr>
        <w:t>providing methods of faculty engagement that enhance the potential for retention.</w:t>
      </w:r>
    </w:p>
    <w:p>
      <w:pPr>
        <w:pStyle w:val="BodyText"/>
        <w:spacing w:before="3"/>
      </w:pPr>
    </w:p>
    <w:p>
      <w:pPr>
        <w:spacing w:line="259" w:lineRule="auto" w:before="1"/>
        <w:ind w:left="926" w:right="424" w:firstLine="1"/>
        <w:jc w:val="left"/>
        <w:rPr>
          <w:sz w:val="19"/>
        </w:rPr>
      </w:pPr>
      <w:r>
        <w:rPr>
          <w:w w:val="105"/>
          <w:sz w:val="19"/>
        </w:rPr>
        <w:t>The sequential design studio curriculum forms the central focus of a professional architectural degree program, culminating in this case with a research-based terminal project.</w:t>
      </w:r>
      <w:r>
        <w:rPr>
          <w:spacing w:val="40"/>
          <w:w w:val="105"/>
          <w:sz w:val="19"/>
        </w:rPr>
        <w:t> </w:t>
      </w:r>
      <w:r>
        <w:rPr>
          <w:w w:val="105"/>
          <w:sz w:val="19"/>
        </w:rPr>
        <w:t>Due to increased class</w:t>
      </w:r>
      <w:r>
        <w:rPr>
          <w:spacing w:val="-7"/>
          <w:w w:val="105"/>
          <w:sz w:val="19"/>
        </w:rPr>
        <w:t> </w:t>
      </w:r>
      <w:r>
        <w:rPr>
          <w:w w:val="105"/>
          <w:sz w:val="19"/>
        </w:rPr>
        <w:t>loads,</w:t>
      </w:r>
      <w:r>
        <w:rPr>
          <w:spacing w:val="-6"/>
          <w:w w:val="105"/>
          <w:sz w:val="19"/>
        </w:rPr>
        <w:t> </w:t>
      </w:r>
      <w:r>
        <w:rPr>
          <w:w w:val="105"/>
          <w:sz w:val="19"/>
        </w:rPr>
        <w:t>particularly with</w:t>
      </w:r>
      <w:r>
        <w:rPr>
          <w:spacing w:val="-7"/>
          <w:w w:val="105"/>
          <w:sz w:val="19"/>
        </w:rPr>
        <w:t> </w:t>
      </w:r>
      <w:r>
        <w:rPr>
          <w:w w:val="105"/>
          <w:sz w:val="19"/>
        </w:rPr>
        <w:t>regard</w:t>
      </w:r>
      <w:r>
        <w:rPr>
          <w:spacing w:val="-3"/>
          <w:w w:val="105"/>
          <w:sz w:val="19"/>
        </w:rPr>
        <w:t> </w:t>
      </w:r>
      <w:r>
        <w:rPr>
          <w:w w:val="105"/>
          <w:sz w:val="19"/>
        </w:rPr>
        <w:t>to design studios, several</w:t>
      </w:r>
      <w:r>
        <w:rPr>
          <w:spacing w:val="-2"/>
          <w:w w:val="105"/>
          <w:sz w:val="19"/>
        </w:rPr>
        <w:t> </w:t>
      </w:r>
      <w:r>
        <w:rPr>
          <w:w w:val="105"/>
          <w:sz w:val="19"/>
        </w:rPr>
        <w:t>of the faculty is required</w:t>
      </w:r>
    </w:p>
    <w:p>
      <w:pPr>
        <w:pStyle w:val="BodyText"/>
      </w:pPr>
    </w:p>
    <w:p>
      <w:pPr>
        <w:pStyle w:val="BodyText"/>
        <w:spacing w:before="5"/>
        <w:rPr>
          <w:sz w:val="26"/>
        </w:rPr>
      </w:pPr>
      <w:r>
        <w:rPr/>
        <w:pict>
          <v:shape style="position:absolute;margin-left:63.597477pt;margin-top:16.41349pt;width:456.75pt;height:.1pt;mso-position-horizontal-relative:page;mso-position-vertical-relative:paragraph;z-index:-15702528;mso-wrap-distance-left:0;mso-wrap-distance-right:0" id="docshape635" coordorigin="1272,328" coordsize="9135,0" path="m1272,328l10407,328e" filled="false" stroked="true" strokeweight=".481434pt" strokecolor="#000000">
            <v:path arrowok="t"/>
            <v:stroke dashstyle="solid"/>
            <w10:wrap type="topAndBottom"/>
          </v:shape>
        </w:pict>
      </w:r>
    </w:p>
    <w:p>
      <w:pPr>
        <w:spacing w:before="19"/>
        <w:ind w:left="0" w:right="256" w:firstLine="0"/>
        <w:jc w:val="right"/>
        <w:rPr>
          <w:sz w:val="19"/>
        </w:rPr>
      </w:pPr>
      <w:r>
        <w:rPr>
          <w:w w:val="105"/>
          <w:sz w:val="19"/>
        </w:rPr>
        <w:t>9</w:t>
      </w:r>
    </w:p>
    <w:p>
      <w:pPr>
        <w:spacing w:after="0"/>
        <w:jc w:val="right"/>
        <w:rPr>
          <w:sz w:val="19"/>
        </w:rPr>
        <w:sectPr>
          <w:headerReference w:type="default" r:id="rId377"/>
          <w:footerReference w:type="default" r:id="rId378"/>
          <w:pgSz w:w="12180" w:h="15820"/>
          <w:pgMar w:header="665" w:footer="0" w:top="1280" w:bottom="280" w:left="1120" w:right="1180"/>
        </w:sectPr>
      </w:pPr>
    </w:p>
    <w:p>
      <w:pPr>
        <w:pStyle w:val="BodyText"/>
        <w:spacing w:before="1"/>
        <w:rPr>
          <w:sz w:val="18"/>
        </w:rPr>
      </w:pPr>
    </w:p>
    <w:p>
      <w:pPr>
        <w:spacing w:line="259" w:lineRule="auto" w:before="95"/>
        <w:ind w:left="982" w:right="311" w:firstLine="4"/>
        <w:jc w:val="left"/>
        <w:rPr>
          <w:sz w:val="19"/>
        </w:rPr>
      </w:pPr>
      <w:r>
        <w:rPr>
          <w:w w:val="105"/>
          <w:sz w:val="19"/>
        </w:rPr>
        <w:t>to</w:t>
      </w:r>
      <w:r>
        <w:rPr>
          <w:spacing w:val="-6"/>
          <w:w w:val="105"/>
          <w:sz w:val="19"/>
        </w:rPr>
        <w:t> </w:t>
      </w:r>
      <w:r>
        <w:rPr>
          <w:w w:val="105"/>
          <w:sz w:val="19"/>
        </w:rPr>
        <w:t>lead</w:t>
      </w:r>
      <w:r>
        <w:rPr>
          <w:spacing w:val="-11"/>
          <w:w w:val="105"/>
          <w:sz w:val="19"/>
        </w:rPr>
        <w:t> </w:t>
      </w:r>
      <w:r>
        <w:rPr>
          <w:w w:val="105"/>
          <w:sz w:val="19"/>
        </w:rPr>
        <w:t>multiple</w:t>
      </w:r>
      <w:r>
        <w:rPr>
          <w:spacing w:val="-5"/>
          <w:w w:val="105"/>
          <w:sz w:val="19"/>
        </w:rPr>
        <w:t> </w:t>
      </w:r>
      <w:r>
        <w:rPr>
          <w:w w:val="105"/>
          <w:sz w:val="19"/>
        </w:rPr>
        <w:t>design</w:t>
      </w:r>
      <w:r>
        <w:rPr>
          <w:spacing w:val="-10"/>
          <w:w w:val="105"/>
          <w:sz w:val="19"/>
        </w:rPr>
        <w:t> </w:t>
      </w:r>
      <w:r>
        <w:rPr>
          <w:w w:val="105"/>
          <w:sz w:val="19"/>
        </w:rPr>
        <w:t>studios in</w:t>
      </w:r>
      <w:r>
        <w:rPr>
          <w:spacing w:val="-3"/>
          <w:w w:val="105"/>
          <w:sz w:val="19"/>
        </w:rPr>
        <w:t> </w:t>
      </w:r>
      <w:r>
        <w:rPr>
          <w:w w:val="105"/>
          <w:sz w:val="19"/>
        </w:rPr>
        <w:t>addition</w:t>
      </w:r>
      <w:r>
        <w:rPr>
          <w:spacing w:val="-6"/>
          <w:w w:val="105"/>
          <w:sz w:val="19"/>
        </w:rPr>
        <w:t> </w:t>
      </w:r>
      <w:r>
        <w:rPr>
          <w:w w:val="105"/>
          <w:sz w:val="19"/>
        </w:rPr>
        <w:t>to</w:t>
      </w:r>
      <w:r>
        <w:rPr>
          <w:spacing w:val="-5"/>
          <w:w w:val="105"/>
          <w:sz w:val="19"/>
        </w:rPr>
        <w:t> </w:t>
      </w:r>
      <w:r>
        <w:rPr>
          <w:w w:val="105"/>
          <w:sz w:val="19"/>
        </w:rPr>
        <w:t>fulfilling their</w:t>
      </w:r>
      <w:r>
        <w:rPr>
          <w:spacing w:val="-5"/>
          <w:w w:val="105"/>
          <w:sz w:val="19"/>
        </w:rPr>
        <w:t> </w:t>
      </w:r>
      <w:r>
        <w:rPr>
          <w:w w:val="105"/>
          <w:sz w:val="19"/>
        </w:rPr>
        <w:t>other</w:t>
      </w:r>
      <w:r>
        <w:rPr>
          <w:spacing w:val="-2"/>
          <w:w w:val="105"/>
          <w:sz w:val="19"/>
        </w:rPr>
        <w:t> </w:t>
      </w:r>
      <w:r>
        <w:rPr>
          <w:w w:val="105"/>
          <w:sz w:val="19"/>
        </w:rPr>
        <w:t>assignments,</w:t>
      </w:r>
      <w:r>
        <w:rPr>
          <w:spacing w:val="15"/>
          <w:w w:val="105"/>
          <w:sz w:val="19"/>
        </w:rPr>
        <w:t> </w:t>
      </w:r>
      <w:r>
        <w:rPr>
          <w:w w:val="105"/>
          <w:sz w:val="19"/>
        </w:rPr>
        <w:t>responsibilities,</w:t>
      </w:r>
      <w:r>
        <w:rPr>
          <w:spacing w:val="-13"/>
          <w:w w:val="105"/>
          <w:sz w:val="19"/>
        </w:rPr>
        <w:t> </w:t>
      </w:r>
      <w:r>
        <w:rPr>
          <w:w w:val="105"/>
          <w:sz w:val="19"/>
        </w:rPr>
        <w:t>and aspirations. This condition places</w:t>
      </w:r>
      <w:r>
        <w:rPr>
          <w:spacing w:val="-3"/>
          <w:w w:val="105"/>
          <w:sz w:val="19"/>
        </w:rPr>
        <w:t> </w:t>
      </w:r>
      <w:r>
        <w:rPr>
          <w:w w:val="105"/>
          <w:sz w:val="19"/>
        </w:rPr>
        <w:t>significant stress on the</w:t>
      </w:r>
      <w:r>
        <w:rPr>
          <w:spacing w:val="-4"/>
          <w:w w:val="105"/>
          <w:sz w:val="19"/>
        </w:rPr>
        <w:t> </w:t>
      </w:r>
      <w:r>
        <w:rPr>
          <w:w w:val="105"/>
          <w:sz w:val="19"/>
        </w:rPr>
        <w:t>faculty and</w:t>
      </w:r>
      <w:r>
        <w:rPr>
          <w:spacing w:val="-12"/>
          <w:w w:val="105"/>
          <w:sz w:val="19"/>
        </w:rPr>
        <w:t> </w:t>
      </w:r>
      <w:r>
        <w:rPr>
          <w:w w:val="105"/>
          <w:sz w:val="19"/>
        </w:rPr>
        <w:t>has the</w:t>
      </w:r>
      <w:r>
        <w:rPr>
          <w:spacing w:val="-6"/>
          <w:w w:val="105"/>
          <w:sz w:val="19"/>
        </w:rPr>
        <w:t> </w:t>
      </w:r>
      <w:r>
        <w:rPr>
          <w:w w:val="105"/>
          <w:sz w:val="19"/>
        </w:rPr>
        <w:t>potential to compromise the</w:t>
      </w:r>
      <w:r>
        <w:rPr>
          <w:spacing w:val="-2"/>
          <w:w w:val="105"/>
          <w:sz w:val="19"/>
        </w:rPr>
        <w:t> </w:t>
      </w:r>
      <w:r>
        <w:rPr>
          <w:w w:val="105"/>
          <w:sz w:val="19"/>
        </w:rPr>
        <w:t>quality of the education delivered.</w:t>
      </w:r>
    </w:p>
    <w:p>
      <w:pPr>
        <w:pStyle w:val="BodyText"/>
        <w:spacing w:before="9"/>
        <w:rPr>
          <w:sz w:val="18"/>
        </w:rPr>
      </w:pPr>
    </w:p>
    <w:p>
      <w:pPr>
        <w:spacing w:line="254" w:lineRule="auto" w:before="0"/>
        <w:ind w:left="977" w:right="0" w:firstLine="8"/>
        <w:jc w:val="left"/>
        <w:rPr>
          <w:sz w:val="19"/>
        </w:rPr>
      </w:pPr>
      <w:r>
        <w:rPr>
          <w:w w:val="105"/>
          <w:sz w:val="19"/>
        </w:rPr>
        <w:t>The</w:t>
      </w:r>
      <w:r>
        <w:rPr>
          <w:spacing w:val="-12"/>
          <w:w w:val="105"/>
          <w:sz w:val="19"/>
        </w:rPr>
        <w:t> </w:t>
      </w:r>
      <w:r>
        <w:rPr>
          <w:w w:val="105"/>
          <w:sz w:val="19"/>
        </w:rPr>
        <w:t>program is</w:t>
      </w:r>
      <w:r>
        <w:rPr>
          <w:spacing w:val="-9"/>
          <w:w w:val="105"/>
          <w:sz w:val="19"/>
        </w:rPr>
        <w:t> </w:t>
      </w:r>
      <w:r>
        <w:rPr>
          <w:w w:val="105"/>
          <w:sz w:val="19"/>
        </w:rPr>
        <w:t>at or very</w:t>
      </w:r>
      <w:r>
        <w:rPr>
          <w:spacing w:val="-1"/>
          <w:w w:val="105"/>
          <w:sz w:val="19"/>
        </w:rPr>
        <w:t> </w:t>
      </w:r>
      <w:r>
        <w:rPr>
          <w:w w:val="105"/>
          <w:sz w:val="19"/>
        </w:rPr>
        <w:t>near</w:t>
      </w:r>
      <w:r>
        <w:rPr>
          <w:spacing w:val="-9"/>
          <w:w w:val="105"/>
          <w:sz w:val="19"/>
        </w:rPr>
        <w:t> </w:t>
      </w:r>
      <w:r>
        <w:rPr>
          <w:w w:val="105"/>
          <w:sz w:val="19"/>
        </w:rPr>
        <w:t>its</w:t>
      </w:r>
      <w:r>
        <w:rPr>
          <w:spacing w:val="-6"/>
          <w:w w:val="105"/>
          <w:sz w:val="19"/>
        </w:rPr>
        <w:t> </w:t>
      </w:r>
      <w:r>
        <w:rPr>
          <w:w w:val="105"/>
          <w:sz w:val="19"/>
        </w:rPr>
        <w:t>limits</w:t>
      </w:r>
      <w:r>
        <w:rPr>
          <w:spacing w:val="-12"/>
          <w:w w:val="105"/>
          <w:sz w:val="19"/>
        </w:rPr>
        <w:t> </w:t>
      </w:r>
      <w:r>
        <w:rPr>
          <w:w w:val="105"/>
          <w:sz w:val="19"/>
        </w:rPr>
        <w:t>in</w:t>
      </w:r>
      <w:r>
        <w:rPr>
          <w:spacing w:val="-5"/>
          <w:w w:val="105"/>
          <w:sz w:val="19"/>
        </w:rPr>
        <w:t> </w:t>
      </w:r>
      <w:r>
        <w:rPr>
          <w:w w:val="105"/>
          <w:sz w:val="19"/>
        </w:rPr>
        <w:t>terms</w:t>
      </w:r>
      <w:r>
        <w:rPr>
          <w:spacing w:val="-13"/>
          <w:w w:val="105"/>
          <w:sz w:val="19"/>
        </w:rPr>
        <w:t> </w:t>
      </w:r>
      <w:r>
        <w:rPr>
          <w:w w:val="105"/>
          <w:sz w:val="19"/>
        </w:rPr>
        <w:t>of the</w:t>
      </w:r>
      <w:r>
        <w:rPr>
          <w:spacing w:val="-10"/>
          <w:w w:val="105"/>
          <w:sz w:val="19"/>
        </w:rPr>
        <w:t> </w:t>
      </w:r>
      <w:r>
        <w:rPr>
          <w:w w:val="105"/>
          <w:sz w:val="19"/>
        </w:rPr>
        <w:t>faculty's ability</w:t>
      </w:r>
      <w:r>
        <w:rPr>
          <w:spacing w:val="-2"/>
          <w:w w:val="105"/>
          <w:sz w:val="19"/>
        </w:rPr>
        <w:t> </w:t>
      </w:r>
      <w:r>
        <w:rPr>
          <w:w w:val="105"/>
          <w:sz w:val="19"/>
        </w:rPr>
        <w:t>to</w:t>
      </w:r>
      <w:r>
        <w:rPr>
          <w:spacing w:val="-2"/>
          <w:w w:val="105"/>
          <w:sz w:val="19"/>
        </w:rPr>
        <w:t> </w:t>
      </w:r>
      <w:r>
        <w:rPr>
          <w:w w:val="105"/>
          <w:sz w:val="19"/>
        </w:rPr>
        <w:t>deliver</w:t>
      </w:r>
      <w:r>
        <w:rPr>
          <w:spacing w:val="-8"/>
          <w:w w:val="105"/>
          <w:sz w:val="19"/>
        </w:rPr>
        <w:t> </w:t>
      </w:r>
      <w:r>
        <w:rPr>
          <w:w w:val="105"/>
          <w:sz w:val="19"/>
        </w:rPr>
        <w:t>comprehensive instruction.</w:t>
      </w:r>
      <w:r>
        <w:rPr>
          <w:spacing w:val="40"/>
          <w:w w:val="105"/>
          <w:sz w:val="19"/>
        </w:rPr>
        <w:t> </w:t>
      </w:r>
      <w:r>
        <w:rPr>
          <w:w w:val="105"/>
          <w:sz w:val="19"/>
        </w:rPr>
        <w:t>Action should be taken immediately to increase tenure-track faculty positions.</w:t>
      </w:r>
    </w:p>
    <w:p>
      <w:pPr>
        <w:pStyle w:val="BodyText"/>
      </w:pPr>
    </w:p>
    <w:p>
      <w:pPr>
        <w:pStyle w:val="BodyText"/>
        <w:rPr>
          <w:sz w:val="21"/>
        </w:rPr>
      </w:pPr>
    </w:p>
    <w:p>
      <w:pPr>
        <w:pStyle w:val="ListParagraph"/>
        <w:numPr>
          <w:ilvl w:val="1"/>
          <w:numId w:val="75"/>
        </w:numPr>
        <w:tabs>
          <w:tab w:pos="974" w:val="left" w:leader="none"/>
          <w:tab w:pos="975" w:val="left" w:leader="none"/>
        </w:tabs>
        <w:spacing w:line="240" w:lineRule="auto" w:before="0" w:after="0"/>
        <w:ind w:left="974" w:right="0" w:hanging="727"/>
        <w:jc w:val="left"/>
        <w:rPr>
          <w:sz w:val="19"/>
        </w:rPr>
      </w:pPr>
      <w:r>
        <w:rPr>
          <w:w w:val="110"/>
          <w:sz w:val="19"/>
        </w:rPr>
        <w:t>Human</w:t>
      </w:r>
      <w:r>
        <w:rPr>
          <w:spacing w:val="-9"/>
          <w:w w:val="110"/>
          <w:sz w:val="19"/>
        </w:rPr>
        <w:t> </w:t>
      </w:r>
      <w:r>
        <w:rPr>
          <w:w w:val="110"/>
          <w:sz w:val="19"/>
        </w:rPr>
        <w:t>Resource</w:t>
      </w:r>
      <w:r>
        <w:rPr>
          <w:spacing w:val="-6"/>
          <w:w w:val="110"/>
          <w:sz w:val="19"/>
        </w:rPr>
        <w:t> </w:t>
      </w:r>
      <w:r>
        <w:rPr>
          <w:spacing w:val="-2"/>
          <w:w w:val="110"/>
          <w:sz w:val="19"/>
        </w:rPr>
        <w:t>Development</w:t>
      </w:r>
    </w:p>
    <w:p>
      <w:pPr>
        <w:pStyle w:val="BodyText"/>
        <w:spacing w:before="4"/>
        <w:rPr>
          <w:sz w:val="18"/>
        </w:rPr>
      </w:pPr>
    </w:p>
    <w:p>
      <w:pPr>
        <w:spacing w:line="256" w:lineRule="auto" w:before="0"/>
        <w:ind w:left="952" w:right="475" w:firstLine="4"/>
        <w:jc w:val="left"/>
        <w:rPr>
          <w:i/>
          <w:sz w:val="19"/>
        </w:rPr>
      </w:pPr>
      <w:r>
        <w:rPr>
          <w:i/>
          <w:w w:val="105"/>
          <w:sz w:val="19"/>
        </w:rPr>
        <w:t>Schools</w:t>
      </w:r>
      <w:r>
        <w:rPr>
          <w:i/>
          <w:spacing w:val="-7"/>
          <w:w w:val="105"/>
          <w:sz w:val="19"/>
        </w:rPr>
        <w:t> </w:t>
      </w:r>
      <w:r>
        <w:rPr>
          <w:i/>
          <w:w w:val="105"/>
          <w:sz w:val="19"/>
        </w:rPr>
        <w:t>must</w:t>
      </w:r>
      <w:r>
        <w:rPr>
          <w:i/>
          <w:spacing w:val="-13"/>
          <w:w w:val="105"/>
          <w:sz w:val="19"/>
        </w:rPr>
        <w:t> </w:t>
      </w:r>
      <w:r>
        <w:rPr>
          <w:i/>
          <w:w w:val="105"/>
          <w:sz w:val="19"/>
        </w:rPr>
        <w:t>have</w:t>
      </w:r>
      <w:r>
        <w:rPr>
          <w:i/>
          <w:spacing w:val="-1"/>
          <w:w w:val="105"/>
          <w:sz w:val="19"/>
        </w:rPr>
        <w:t> </w:t>
      </w:r>
      <w:r>
        <w:rPr>
          <w:w w:val="105"/>
          <w:sz w:val="21"/>
        </w:rPr>
        <w:t>a</w:t>
      </w:r>
      <w:r>
        <w:rPr>
          <w:spacing w:val="-16"/>
          <w:w w:val="105"/>
          <w:sz w:val="21"/>
        </w:rPr>
        <w:t> </w:t>
      </w:r>
      <w:r>
        <w:rPr>
          <w:i/>
          <w:w w:val="105"/>
          <w:sz w:val="19"/>
        </w:rPr>
        <w:t>clear</w:t>
      </w:r>
      <w:r>
        <w:rPr>
          <w:i/>
          <w:spacing w:val="-14"/>
          <w:w w:val="105"/>
          <w:sz w:val="19"/>
        </w:rPr>
        <w:t> </w:t>
      </w:r>
      <w:r>
        <w:rPr>
          <w:i/>
          <w:w w:val="105"/>
          <w:sz w:val="19"/>
        </w:rPr>
        <w:t>policy</w:t>
      </w:r>
      <w:r>
        <w:rPr>
          <w:i/>
          <w:spacing w:val="-10"/>
          <w:w w:val="105"/>
          <w:sz w:val="19"/>
        </w:rPr>
        <w:t> </w:t>
      </w:r>
      <w:r>
        <w:rPr>
          <w:i/>
          <w:w w:val="105"/>
          <w:sz w:val="19"/>
        </w:rPr>
        <w:t>outlining both</w:t>
      </w:r>
      <w:r>
        <w:rPr>
          <w:i/>
          <w:spacing w:val="-11"/>
          <w:w w:val="105"/>
          <w:sz w:val="19"/>
        </w:rPr>
        <w:t> </w:t>
      </w:r>
      <w:r>
        <w:rPr>
          <w:i/>
          <w:w w:val="105"/>
          <w:sz w:val="19"/>
        </w:rPr>
        <w:t>individual and</w:t>
      </w:r>
      <w:r>
        <w:rPr>
          <w:i/>
          <w:spacing w:val="-9"/>
          <w:w w:val="105"/>
          <w:sz w:val="19"/>
        </w:rPr>
        <w:t> </w:t>
      </w:r>
      <w:r>
        <w:rPr>
          <w:i/>
          <w:w w:val="105"/>
          <w:sz w:val="19"/>
        </w:rPr>
        <w:t>collective</w:t>
      </w:r>
      <w:r>
        <w:rPr>
          <w:i/>
          <w:spacing w:val="-7"/>
          <w:w w:val="105"/>
          <w:sz w:val="19"/>
        </w:rPr>
        <w:t> </w:t>
      </w:r>
      <w:r>
        <w:rPr>
          <w:i/>
          <w:w w:val="105"/>
          <w:sz w:val="19"/>
        </w:rPr>
        <w:t>opportunities for faculty and student growth inside and outside the</w:t>
      </w:r>
      <w:r>
        <w:rPr>
          <w:i/>
          <w:spacing w:val="-3"/>
          <w:w w:val="105"/>
          <w:sz w:val="19"/>
        </w:rPr>
        <w:t> </w:t>
      </w:r>
      <w:r>
        <w:rPr>
          <w:i/>
          <w:w w:val="105"/>
          <w:sz w:val="19"/>
        </w:rPr>
        <w:t>program.</w:t>
      </w:r>
    </w:p>
    <w:p>
      <w:pPr>
        <w:tabs>
          <w:tab w:pos="886" w:val="left" w:leader="none"/>
        </w:tabs>
        <w:spacing w:line="186" w:lineRule="exact" w:before="0"/>
        <w:ind w:left="0" w:right="862" w:firstLine="0"/>
        <w:jc w:val="right"/>
        <w:rPr>
          <w:sz w:val="19"/>
        </w:rPr>
      </w:pPr>
      <w:r>
        <w:rPr>
          <w:spacing w:val="-5"/>
          <w:w w:val="110"/>
          <w:sz w:val="19"/>
        </w:rPr>
        <w:t>Met</w:t>
      </w:r>
      <w:r>
        <w:rPr>
          <w:sz w:val="19"/>
        </w:rPr>
        <w:tab/>
      </w:r>
      <w:r>
        <w:rPr>
          <w:w w:val="105"/>
          <w:sz w:val="19"/>
        </w:rPr>
        <w:t>Not</w:t>
      </w:r>
      <w:r>
        <w:rPr>
          <w:spacing w:val="-3"/>
          <w:w w:val="105"/>
          <w:sz w:val="19"/>
        </w:rPr>
        <w:t> </w:t>
      </w:r>
      <w:r>
        <w:rPr>
          <w:spacing w:val="-5"/>
          <w:w w:val="110"/>
          <w:sz w:val="19"/>
        </w:rPr>
        <w:t>Met</w:t>
      </w:r>
    </w:p>
    <w:p>
      <w:pPr>
        <w:tabs>
          <w:tab w:pos="1051" w:val="left" w:leader="none"/>
        </w:tabs>
        <w:spacing w:line="331" w:lineRule="exact" w:before="0"/>
        <w:ind w:left="0" w:right="1060" w:firstLine="0"/>
        <w:jc w:val="right"/>
        <w:rPr>
          <w:rFonts w:ascii="Times New Roman"/>
          <w:sz w:val="31"/>
        </w:rPr>
      </w:pPr>
      <w:r>
        <w:rPr>
          <w:b/>
          <w:spacing w:val="-5"/>
          <w:sz w:val="24"/>
        </w:rPr>
        <w:t>[X]</w:t>
      </w:r>
      <w:r>
        <w:rPr>
          <w:b/>
          <w:sz w:val="24"/>
        </w:rPr>
        <w:tab/>
      </w:r>
      <w:r>
        <w:rPr>
          <w:sz w:val="24"/>
        </w:rPr>
        <w:t>[</w:t>
      </w:r>
      <w:r>
        <w:rPr>
          <w:spacing w:val="64"/>
          <w:sz w:val="24"/>
        </w:rPr>
        <w:t> </w:t>
      </w:r>
      <w:r>
        <w:rPr>
          <w:rFonts w:ascii="Times New Roman"/>
          <w:spacing w:val="-10"/>
          <w:sz w:val="31"/>
        </w:rPr>
        <w:t>l</w:t>
      </w:r>
    </w:p>
    <w:p>
      <w:pPr>
        <w:spacing w:line="256" w:lineRule="auto" w:before="226"/>
        <w:ind w:left="944" w:right="475" w:firstLine="12"/>
        <w:jc w:val="left"/>
        <w:rPr>
          <w:sz w:val="19"/>
        </w:rPr>
      </w:pPr>
      <w:r>
        <w:rPr>
          <w:w w:val="105"/>
          <w:sz w:val="19"/>
        </w:rPr>
        <w:t>The</w:t>
      </w:r>
      <w:r>
        <w:rPr>
          <w:spacing w:val="-11"/>
          <w:w w:val="105"/>
          <w:sz w:val="19"/>
        </w:rPr>
        <w:t> </w:t>
      </w:r>
      <w:r>
        <w:rPr>
          <w:w w:val="105"/>
          <w:sz w:val="19"/>
        </w:rPr>
        <w:t>university has</w:t>
      </w:r>
      <w:r>
        <w:rPr>
          <w:spacing w:val="-7"/>
          <w:w w:val="105"/>
          <w:sz w:val="19"/>
        </w:rPr>
        <w:t> </w:t>
      </w:r>
      <w:r>
        <w:rPr>
          <w:w w:val="105"/>
          <w:sz w:val="19"/>
        </w:rPr>
        <w:t>a</w:t>
      </w:r>
      <w:r>
        <w:rPr>
          <w:spacing w:val="-4"/>
          <w:w w:val="105"/>
          <w:sz w:val="19"/>
        </w:rPr>
        <w:t> </w:t>
      </w:r>
      <w:r>
        <w:rPr>
          <w:w w:val="105"/>
          <w:sz w:val="19"/>
        </w:rPr>
        <w:t>stated</w:t>
      </w:r>
      <w:r>
        <w:rPr>
          <w:spacing w:val="-4"/>
          <w:w w:val="105"/>
          <w:sz w:val="19"/>
        </w:rPr>
        <w:t> </w:t>
      </w:r>
      <w:r>
        <w:rPr>
          <w:w w:val="105"/>
          <w:sz w:val="19"/>
        </w:rPr>
        <w:t>policy</w:t>
      </w:r>
      <w:r>
        <w:rPr>
          <w:spacing w:val="-11"/>
          <w:w w:val="105"/>
          <w:sz w:val="19"/>
        </w:rPr>
        <w:t> </w:t>
      </w:r>
      <w:r>
        <w:rPr>
          <w:w w:val="105"/>
          <w:sz w:val="19"/>
        </w:rPr>
        <w:t>regarding individual</w:t>
      </w:r>
      <w:r>
        <w:rPr>
          <w:spacing w:val="-5"/>
          <w:w w:val="105"/>
          <w:sz w:val="19"/>
        </w:rPr>
        <w:t> </w:t>
      </w:r>
      <w:r>
        <w:rPr>
          <w:w w:val="105"/>
          <w:sz w:val="19"/>
        </w:rPr>
        <w:t>opportunities for</w:t>
      </w:r>
      <w:r>
        <w:rPr>
          <w:spacing w:val="-13"/>
          <w:w w:val="105"/>
          <w:sz w:val="19"/>
        </w:rPr>
        <w:t> </w:t>
      </w:r>
      <w:r>
        <w:rPr>
          <w:w w:val="105"/>
          <w:sz w:val="19"/>
        </w:rPr>
        <w:t>growth</w:t>
      </w:r>
      <w:r>
        <w:rPr>
          <w:spacing w:val="-5"/>
          <w:w w:val="105"/>
          <w:sz w:val="19"/>
        </w:rPr>
        <w:t> </w:t>
      </w:r>
      <w:r>
        <w:rPr>
          <w:w w:val="105"/>
          <w:sz w:val="19"/>
        </w:rPr>
        <w:t>and</w:t>
      </w:r>
      <w:r>
        <w:rPr>
          <w:spacing w:val="-11"/>
          <w:w w:val="105"/>
          <w:sz w:val="19"/>
        </w:rPr>
        <w:t> </w:t>
      </w:r>
      <w:r>
        <w:rPr>
          <w:w w:val="105"/>
          <w:sz w:val="19"/>
        </w:rPr>
        <w:t>development available to the faculty including: paid</w:t>
      </w:r>
      <w:r>
        <w:rPr>
          <w:spacing w:val="-4"/>
          <w:w w:val="105"/>
          <w:sz w:val="19"/>
        </w:rPr>
        <w:t> </w:t>
      </w:r>
      <w:r>
        <w:rPr>
          <w:w w:val="105"/>
          <w:sz w:val="19"/>
        </w:rPr>
        <w:t>leave, awards</w:t>
      </w:r>
      <w:r>
        <w:rPr>
          <w:spacing w:val="-1"/>
          <w:w w:val="105"/>
          <w:sz w:val="19"/>
        </w:rPr>
        <w:t> </w:t>
      </w:r>
      <w:r>
        <w:rPr>
          <w:w w:val="105"/>
          <w:sz w:val="19"/>
        </w:rPr>
        <w:t>for</w:t>
      </w:r>
      <w:r>
        <w:rPr>
          <w:spacing w:val="-9"/>
          <w:w w:val="105"/>
          <w:sz w:val="19"/>
        </w:rPr>
        <w:t> </w:t>
      </w:r>
      <w:r>
        <w:rPr>
          <w:w w:val="105"/>
          <w:sz w:val="19"/>
        </w:rPr>
        <w:t>dissertation, study,</w:t>
      </w:r>
      <w:r>
        <w:rPr>
          <w:spacing w:val="-1"/>
          <w:w w:val="105"/>
          <w:sz w:val="19"/>
        </w:rPr>
        <w:t> </w:t>
      </w:r>
      <w:r>
        <w:rPr>
          <w:w w:val="105"/>
          <w:sz w:val="19"/>
        </w:rPr>
        <w:t>retraining and</w:t>
      </w:r>
      <w:r>
        <w:rPr>
          <w:spacing w:val="-3"/>
          <w:w w:val="105"/>
          <w:sz w:val="19"/>
        </w:rPr>
        <w:t> </w:t>
      </w:r>
      <w:r>
        <w:rPr>
          <w:w w:val="105"/>
          <w:sz w:val="19"/>
        </w:rPr>
        <w:t>in­ service</w:t>
      </w:r>
      <w:r>
        <w:rPr>
          <w:spacing w:val="-2"/>
          <w:w w:val="105"/>
          <w:sz w:val="19"/>
        </w:rPr>
        <w:t> </w:t>
      </w:r>
      <w:r>
        <w:rPr>
          <w:w w:val="105"/>
          <w:sz w:val="19"/>
        </w:rPr>
        <w:t>grants, and other individual pursuits. Collective opportunities for</w:t>
      </w:r>
      <w:r>
        <w:rPr>
          <w:spacing w:val="-6"/>
          <w:w w:val="105"/>
          <w:sz w:val="19"/>
        </w:rPr>
        <w:t> </w:t>
      </w:r>
      <w:r>
        <w:rPr>
          <w:w w:val="105"/>
          <w:sz w:val="19"/>
        </w:rPr>
        <w:t>the</w:t>
      </w:r>
      <w:r>
        <w:rPr>
          <w:spacing w:val="-6"/>
          <w:w w:val="105"/>
          <w:sz w:val="19"/>
        </w:rPr>
        <w:t> </w:t>
      </w:r>
      <w:r>
        <w:rPr>
          <w:w w:val="105"/>
          <w:sz w:val="19"/>
        </w:rPr>
        <w:t>faculty within the department are not</w:t>
      </w:r>
      <w:r>
        <w:rPr>
          <w:spacing w:val="-3"/>
          <w:w w:val="105"/>
          <w:sz w:val="19"/>
        </w:rPr>
        <w:t> </w:t>
      </w:r>
      <w:r>
        <w:rPr>
          <w:w w:val="105"/>
          <w:sz w:val="19"/>
        </w:rPr>
        <w:t>stated specifically as policy but</w:t>
      </w:r>
      <w:r>
        <w:rPr>
          <w:spacing w:val="-7"/>
          <w:w w:val="105"/>
          <w:sz w:val="19"/>
        </w:rPr>
        <w:t> </w:t>
      </w:r>
      <w:r>
        <w:rPr>
          <w:w w:val="105"/>
          <w:sz w:val="19"/>
        </w:rPr>
        <w:t>are</w:t>
      </w:r>
      <w:r>
        <w:rPr>
          <w:spacing w:val="-2"/>
          <w:w w:val="105"/>
          <w:sz w:val="19"/>
        </w:rPr>
        <w:t> </w:t>
      </w:r>
      <w:r>
        <w:rPr>
          <w:w w:val="105"/>
          <w:sz w:val="19"/>
        </w:rPr>
        <w:t>essentially realized through active participation in local, regional</w:t>
      </w:r>
      <w:r>
        <w:rPr>
          <w:spacing w:val="-10"/>
          <w:w w:val="105"/>
          <w:sz w:val="19"/>
        </w:rPr>
        <w:t> </w:t>
      </w:r>
      <w:r>
        <w:rPr>
          <w:w w:val="105"/>
          <w:sz w:val="19"/>
        </w:rPr>
        <w:t>and</w:t>
      </w:r>
      <w:r>
        <w:rPr>
          <w:spacing w:val="-1"/>
          <w:w w:val="105"/>
          <w:sz w:val="19"/>
        </w:rPr>
        <w:t> </w:t>
      </w:r>
      <w:r>
        <w:rPr>
          <w:w w:val="105"/>
          <w:sz w:val="19"/>
        </w:rPr>
        <w:t>national professional service affiliations, conferences, conventions, juries, and foreign travel studios.</w:t>
      </w:r>
    </w:p>
    <w:p>
      <w:pPr>
        <w:pStyle w:val="BodyText"/>
        <w:spacing w:before="8"/>
        <w:rPr>
          <w:sz w:val="18"/>
        </w:rPr>
      </w:pPr>
    </w:p>
    <w:p>
      <w:pPr>
        <w:spacing w:line="252" w:lineRule="auto" w:before="0"/>
        <w:ind w:left="944" w:right="475" w:firstLine="2"/>
        <w:jc w:val="left"/>
        <w:rPr>
          <w:sz w:val="19"/>
        </w:rPr>
      </w:pPr>
      <w:r>
        <w:rPr>
          <w:w w:val="105"/>
          <w:sz w:val="19"/>
        </w:rPr>
        <w:t>The students enjoy a variety of pathways for their personal and</w:t>
      </w:r>
      <w:r>
        <w:rPr>
          <w:spacing w:val="-11"/>
          <w:w w:val="105"/>
          <w:sz w:val="19"/>
        </w:rPr>
        <w:t> </w:t>
      </w:r>
      <w:r>
        <w:rPr>
          <w:w w:val="105"/>
          <w:sz w:val="19"/>
        </w:rPr>
        <w:t>pre-professional</w:t>
      </w:r>
      <w:r>
        <w:rPr>
          <w:spacing w:val="-18"/>
          <w:w w:val="105"/>
          <w:sz w:val="19"/>
        </w:rPr>
        <w:t> </w:t>
      </w:r>
      <w:r>
        <w:rPr>
          <w:w w:val="105"/>
          <w:sz w:val="19"/>
        </w:rPr>
        <w:t>development through the</w:t>
      </w:r>
      <w:r>
        <w:rPr>
          <w:spacing w:val="-15"/>
          <w:w w:val="105"/>
          <w:sz w:val="19"/>
        </w:rPr>
        <w:t> </w:t>
      </w:r>
      <w:r>
        <w:rPr>
          <w:w w:val="105"/>
          <w:sz w:val="19"/>
        </w:rPr>
        <w:t>core</w:t>
      </w:r>
      <w:r>
        <w:rPr>
          <w:spacing w:val="-13"/>
          <w:w w:val="105"/>
          <w:sz w:val="19"/>
        </w:rPr>
        <w:t> </w:t>
      </w:r>
      <w:r>
        <w:rPr>
          <w:w w:val="105"/>
          <w:sz w:val="19"/>
        </w:rPr>
        <w:t>curriculum and</w:t>
      </w:r>
      <w:r>
        <w:rPr>
          <w:spacing w:val="-5"/>
          <w:w w:val="105"/>
          <w:sz w:val="19"/>
        </w:rPr>
        <w:t> </w:t>
      </w:r>
      <w:r>
        <w:rPr>
          <w:w w:val="105"/>
          <w:sz w:val="19"/>
        </w:rPr>
        <w:t>related opportunities.</w:t>
      </w:r>
      <w:r>
        <w:rPr>
          <w:spacing w:val="-10"/>
          <w:w w:val="105"/>
          <w:sz w:val="19"/>
        </w:rPr>
        <w:t> </w:t>
      </w:r>
      <w:r>
        <w:rPr>
          <w:w w:val="105"/>
          <w:sz w:val="19"/>
        </w:rPr>
        <w:t>These activities are</w:t>
      </w:r>
      <w:r>
        <w:rPr>
          <w:spacing w:val="-10"/>
          <w:w w:val="105"/>
          <w:sz w:val="19"/>
        </w:rPr>
        <w:t> </w:t>
      </w:r>
      <w:r>
        <w:rPr>
          <w:w w:val="105"/>
          <w:sz w:val="19"/>
        </w:rPr>
        <w:t>integrated</w:t>
      </w:r>
      <w:r>
        <w:rPr>
          <w:spacing w:val="-7"/>
          <w:w w:val="105"/>
          <w:sz w:val="19"/>
        </w:rPr>
        <w:t> </w:t>
      </w:r>
      <w:r>
        <w:rPr>
          <w:w w:val="105"/>
          <w:sz w:val="19"/>
        </w:rPr>
        <w:t>into,</w:t>
      </w:r>
      <w:r>
        <w:rPr>
          <w:spacing w:val="-5"/>
          <w:w w:val="105"/>
          <w:sz w:val="19"/>
        </w:rPr>
        <w:t> </w:t>
      </w:r>
      <w:r>
        <w:rPr>
          <w:w w:val="105"/>
          <w:sz w:val="19"/>
        </w:rPr>
        <w:t>and</w:t>
      </w:r>
      <w:r>
        <w:rPr>
          <w:spacing w:val="-6"/>
          <w:w w:val="105"/>
          <w:sz w:val="19"/>
        </w:rPr>
        <w:t> </w:t>
      </w:r>
      <w:r>
        <w:rPr>
          <w:w w:val="105"/>
          <w:sz w:val="19"/>
        </w:rPr>
        <w:t>in addition to normal coursework and</w:t>
      </w:r>
      <w:r>
        <w:rPr>
          <w:spacing w:val="-3"/>
          <w:w w:val="105"/>
          <w:sz w:val="19"/>
        </w:rPr>
        <w:t> </w:t>
      </w:r>
      <w:r>
        <w:rPr>
          <w:w w:val="105"/>
          <w:sz w:val="19"/>
        </w:rPr>
        <w:t>tailored appropriately to the student's sequential learning experience through</w:t>
      </w:r>
      <w:r>
        <w:rPr>
          <w:spacing w:val="-6"/>
          <w:w w:val="105"/>
          <w:sz w:val="19"/>
        </w:rPr>
        <w:t> </w:t>
      </w:r>
      <w:r>
        <w:rPr>
          <w:w w:val="105"/>
          <w:sz w:val="19"/>
        </w:rPr>
        <w:t>individual efforts.</w:t>
      </w:r>
      <w:r>
        <w:rPr>
          <w:spacing w:val="40"/>
          <w:w w:val="105"/>
          <w:sz w:val="19"/>
        </w:rPr>
        <w:t> </w:t>
      </w:r>
      <w:r>
        <w:rPr>
          <w:w w:val="105"/>
          <w:sz w:val="19"/>
        </w:rPr>
        <w:t>Regular programs are available to the students such as guest</w:t>
      </w:r>
      <w:r>
        <w:rPr>
          <w:spacing w:val="-2"/>
          <w:w w:val="105"/>
          <w:sz w:val="19"/>
        </w:rPr>
        <w:t> </w:t>
      </w:r>
      <w:r>
        <w:rPr>
          <w:w w:val="105"/>
          <w:sz w:val="19"/>
        </w:rPr>
        <w:t>lectures, gallery and juried</w:t>
      </w:r>
      <w:r>
        <w:rPr>
          <w:spacing w:val="-2"/>
          <w:w w:val="105"/>
          <w:sz w:val="19"/>
        </w:rPr>
        <w:t> </w:t>
      </w:r>
      <w:r>
        <w:rPr>
          <w:w w:val="105"/>
          <w:sz w:val="19"/>
        </w:rPr>
        <w:t>critiques, involvement with professional and</w:t>
      </w:r>
      <w:r>
        <w:rPr>
          <w:spacing w:val="-5"/>
          <w:w w:val="105"/>
          <w:sz w:val="19"/>
        </w:rPr>
        <w:t> </w:t>
      </w:r>
      <w:r>
        <w:rPr>
          <w:w w:val="105"/>
          <w:sz w:val="19"/>
        </w:rPr>
        <w:t>community organizations, travel</w:t>
      </w:r>
      <w:r>
        <w:rPr>
          <w:spacing w:val="-11"/>
          <w:w w:val="105"/>
          <w:sz w:val="19"/>
        </w:rPr>
        <w:t> </w:t>
      </w:r>
      <w:r>
        <w:rPr>
          <w:w w:val="105"/>
          <w:sz w:val="19"/>
        </w:rPr>
        <w:t>abroad, and</w:t>
      </w:r>
      <w:r>
        <w:rPr>
          <w:spacing w:val="-5"/>
          <w:w w:val="105"/>
          <w:sz w:val="19"/>
        </w:rPr>
        <w:t> </w:t>
      </w:r>
      <w:r>
        <w:rPr>
          <w:w w:val="105"/>
          <w:sz w:val="19"/>
        </w:rPr>
        <w:t>academic advising, career guidance, and advocacy for internship opportunities.</w:t>
      </w:r>
    </w:p>
    <w:p>
      <w:pPr>
        <w:pStyle w:val="BodyText"/>
        <w:spacing w:before="3"/>
      </w:pPr>
    </w:p>
    <w:p>
      <w:pPr>
        <w:spacing w:line="254" w:lineRule="auto" w:before="0"/>
        <w:ind w:left="944" w:right="311" w:firstLine="4"/>
        <w:jc w:val="left"/>
        <w:rPr>
          <w:sz w:val="19"/>
        </w:rPr>
      </w:pPr>
      <w:r>
        <w:rPr>
          <w:w w:val="105"/>
          <w:sz w:val="19"/>
        </w:rPr>
        <w:t>While University policies</w:t>
      </w:r>
      <w:r>
        <w:rPr>
          <w:spacing w:val="-3"/>
          <w:w w:val="105"/>
          <w:sz w:val="19"/>
        </w:rPr>
        <w:t> </w:t>
      </w:r>
      <w:r>
        <w:rPr>
          <w:w w:val="105"/>
          <w:sz w:val="19"/>
        </w:rPr>
        <w:t>are</w:t>
      </w:r>
      <w:r>
        <w:rPr>
          <w:spacing w:val="-7"/>
          <w:w w:val="105"/>
          <w:sz w:val="19"/>
        </w:rPr>
        <w:t> </w:t>
      </w:r>
      <w:r>
        <w:rPr>
          <w:w w:val="105"/>
          <w:sz w:val="19"/>
        </w:rPr>
        <w:t>in place to</w:t>
      </w:r>
      <w:r>
        <w:rPr>
          <w:spacing w:val="-2"/>
          <w:w w:val="105"/>
          <w:sz w:val="19"/>
        </w:rPr>
        <w:t> </w:t>
      </w:r>
      <w:r>
        <w:rPr>
          <w:w w:val="105"/>
          <w:sz w:val="19"/>
        </w:rPr>
        <w:t>address human resource</w:t>
      </w:r>
      <w:r>
        <w:rPr>
          <w:spacing w:val="-2"/>
          <w:w w:val="105"/>
          <w:sz w:val="19"/>
        </w:rPr>
        <w:t> </w:t>
      </w:r>
      <w:r>
        <w:rPr>
          <w:w w:val="105"/>
          <w:sz w:val="19"/>
        </w:rPr>
        <w:t>development, it appears additional</w:t>
      </w:r>
      <w:r>
        <w:rPr>
          <w:spacing w:val="-14"/>
          <w:w w:val="105"/>
          <w:sz w:val="19"/>
        </w:rPr>
        <w:t> </w:t>
      </w:r>
      <w:r>
        <w:rPr>
          <w:w w:val="105"/>
          <w:sz w:val="19"/>
        </w:rPr>
        <w:t>funding</w:t>
      </w:r>
      <w:r>
        <w:rPr>
          <w:spacing w:val="-13"/>
          <w:w w:val="105"/>
          <w:sz w:val="19"/>
        </w:rPr>
        <w:t> </w:t>
      </w:r>
      <w:r>
        <w:rPr>
          <w:w w:val="105"/>
          <w:sz w:val="19"/>
        </w:rPr>
        <w:t>for</w:t>
      </w:r>
      <w:r>
        <w:rPr>
          <w:spacing w:val="-11"/>
          <w:w w:val="105"/>
          <w:sz w:val="19"/>
        </w:rPr>
        <w:t> </w:t>
      </w:r>
      <w:r>
        <w:rPr>
          <w:w w:val="105"/>
          <w:sz w:val="19"/>
        </w:rPr>
        <w:t>the</w:t>
      </w:r>
      <w:r>
        <w:rPr>
          <w:spacing w:val="-14"/>
          <w:w w:val="105"/>
          <w:sz w:val="19"/>
        </w:rPr>
        <w:t> </w:t>
      </w:r>
      <w:r>
        <w:rPr>
          <w:w w:val="105"/>
          <w:sz w:val="19"/>
        </w:rPr>
        <w:t>Department</w:t>
      </w:r>
      <w:r>
        <w:rPr>
          <w:spacing w:val="-5"/>
          <w:w w:val="105"/>
          <w:sz w:val="19"/>
        </w:rPr>
        <w:t> </w:t>
      </w:r>
      <w:r>
        <w:rPr>
          <w:w w:val="105"/>
          <w:sz w:val="19"/>
        </w:rPr>
        <w:t>of</w:t>
      </w:r>
      <w:r>
        <w:rPr>
          <w:spacing w:val="-12"/>
          <w:w w:val="105"/>
          <w:sz w:val="19"/>
        </w:rPr>
        <w:t> </w:t>
      </w:r>
      <w:r>
        <w:rPr>
          <w:w w:val="105"/>
          <w:sz w:val="19"/>
        </w:rPr>
        <w:t>Architecture faculty</w:t>
      </w:r>
      <w:r>
        <w:rPr>
          <w:spacing w:val="-8"/>
          <w:w w:val="105"/>
          <w:sz w:val="19"/>
        </w:rPr>
        <w:t> </w:t>
      </w:r>
      <w:r>
        <w:rPr>
          <w:w w:val="105"/>
          <w:sz w:val="19"/>
        </w:rPr>
        <w:t>is</w:t>
      </w:r>
      <w:r>
        <w:rPr>
          <w:spacing w:val="-12"/>
          <w:w w:val="105"/>
          <w:sz w:val="19"/>
        </w:rPr>
        <w:t> </w:t>
      </w:r>
      <w:r>
        <w:rPr>
          <w:w w:val="105"/>
          <w:sz w:val="19"/>
        </w:rPr>
        <w:t>currenUy</w:t>
      </w:r>
      <w:r>
        <w:rPr>
          <w:spacing w:val="-9"/>
          <w:w w:val="105"/>
          <w:sz w:val="19"/>
        </w:rPr>
        <w:t> </w:t>
      </w:r>
      <w:r>
        <w:rPr>
          <w:w w:val="105"/>
          <w:sz w:val="19"/>
        </w:rPr>
        <w:t>insufficient</w:t>
      </w:r>
      <w:r>
        <w:rPr>
          <w:spacing w:val="-2"/>
          <w:w w:val="105"/>
          <w:sz w:val="19"/>
        </w:rPr>
        <w:t> </w:t>
      </w:r>
      <w:r>
        <w:rPr>
          <w:w w:val="105"/>
          <w:sz w:val="19"/>
        </w:rPr>
        <w:t>to</w:t>
      </w:r>
      <w:r>
        <w:rPr>
          <w:spacing w:val="-9"/>
          <w:w w:val="105"/>
          <w:sz w:val="19"/>
        </w:rPr>
        <w:t> </w:t>
      </w:r>
      <w:r>
        <w:rPr>
          <w:w w:val="105"/>
          <w:sz w:val="19"/>
        </w:rPr>
        <w:t>adequately encourage, support,</w:t>
      </w:r>
      <w:r>
        <w:rPr>
          <w:spacing w:val="-8"/>
          <w:w w:val="105"/>
          <w:sz w:val="19"/>
        </w:rPr>
        <w:t> </w:t>
      </w:r>
      <w:r>
        <w:rPr>
          <w:w w:val="105"/>
          <w:sz w:val="19"/>
        </w:rPr>
        <w:t>and</w:t>
      </w:r>
      <w:r>
        <w:rPr>
          <w:spacing w:val="-8"/>
          <w:w w:val="105"/>
          <w:sz w:val="19"/>
        </w:rPr>
        <w:t> </w:t>
      </w:r>
      <w:r>
        <w:rPr>
          <w:w w:val="105"/>
          <w:sz w:val="19"/>
        </w:rPr>
        <w:t>sustain</w:t>
      </w:r>
      <w:r>
        <w:rPr>
          <w:spacing w:val="-5"/>
          <w:w w:val="105"/>
          <w:sz w:val="19"/>
        </w:rPr>
        <w:t> </w:t>
      </w:r>
      <w:r>
        <w:rPr>
          <w:w w:val="105"/>
          <w:sz w:val="19"/>
        </w:rPr>
        <w:t>faculty development</w:t>
      </w:r>
      <w:r>
        <w:rPr>
          <w:spacing w:val="-2"/>
          <w:w w:val="105"/>
          <w:sz w:val="19"/>
        </w:rPr>
        <w:t> </w:t>
      </w:r>
      <w:r>
        <w:rPr>
          <w:w w:val="105"/>
          <w:sz w:val="19"/>
        </w:rPr>
        <w:t>opportunities for</w:t>
      </w:r>
      <w:r>
        <w:rPr>
          <w:spacing w:val="-8"/>
          <w:w w:val="105"/>
          <w:sz w:val="19"/>
        </w:rPr>
        <w:t> </w:t>
      </w:r>
      <w:r>
        <w:rPr>
          <w:w w:val="105"/>
          <w:sz w:val="19"/>
        </w:rPr>
        <w:t>personal and</w:t>
      </w:r>
      <w:r>
        <w:rPr>
          <w:spacing w:val="-20"/>
          <w:w w:val="105"/>
          <w:sz w:val="19"/>
        </w:rPr>
        <w:t> </w:t>
      </w:r>
      <w:r>
        <w:rPr>
          <w:w w:val="105"/>
          <w:sz w:val="19"/>
        </w:rPr>
        <w:t>professional growth. The Team found this is a cause for concern.</w:t>
      </w:r>
    </w:p>
    <w:p>
      <w:pPr>
        <w:pStyle w:val="BodyText"/>
      </w:pPr>
    </w:p>
    <w:p>
      <w:pPr>
        <w:pStyle w:val="BodyText"/>
        <w:spacing w:before="2"/>
        <w:rPr>
          <w:sz w:val="19"/>
        </w:rPr>
      </w:pPr>
    </w:p>
    <w:p>
      <w:pPr>
        <w:pStyle w:val="ListParagraph"/>
        <w:numPr>
          <w:ilvl w:val="1"/>
          <w:numId w:val="75"/>
        </w:numPr>
        <w:tabs>
          <w:tab w:pos="956" w:val="left" w:leader="none"/>
          <w:tab w:pos="957" w:val="left" w:leader="none"/>
        </w:tabs>
        <w:spacing w:line="240" w:lineRule="auto" w:before="1" w:after="0"/>
        <w:ind w:left="956" w:right="0" w:hanging="727"/>
        <w:jc w:val="left"/>
        <w:rPr>
          <w:sz w:val="19"/>
        </w:rPr>
      </w:pPr>
      <w:r>
        <w:rPr>
          <w:w w:val="115"/>
          <w:sz w:val="19"/>
        </w:rPr>
        <w:t>Physical</w:t>
      </w:r>
      <w:r>
        <w:rPr>
          <w:spacing w:val="-13"/>
          <w:w w:val="115"/>
          <w:sz w:val="19"/>
        </w:rPr>
        <w:t> </w:t>
      </w:r>
      <w:r>
        <w:rPr>
          <w:spacing w:val="-2"/>
          <w:w w:val="115"/>
          <w:sz w:val="19"/>
        </w:rPr>
        <w:t>Resources</w:t>
      </w:r>
    </w:p>
    <w:p>
      <w:pPr>
        <w:pStyle w:val="BodyText"/>
        <w:spacing w:before="2"/>
        <w:rPr>
          <w:sz w:val="21"/>
        </w:rPr>
      </w:pPr>
    </w:p>
    <w:p>
      <w:pPr>
        <w:spacing w:line="252" w:lineRule="auto" w:before="0"/>
        <w:ind w:left="956" w:right="373" w:firstLine="0"/>
        <w:jc w:val="left"/>
        <w:rPr>
          <w:i/>
          <w:sz w:val="19"/>
        </w:rPr>
      </w:pPr>
      <w:r>
        <w:rPr>
          <w:i/>
          <w:w w:val="105"/>
          <w:sz w:val="19"/>
        </w:rPr>
        <w:t>The</w:t>
      </w:r>
      <w:r>
        <w:rPr>
          <w:i/>
          <w:spacing w:val="-5"/>
          <w:w w:val="105"/>
          <w:sz w:val="19"/>
        </w:rPr>
        <w:t> </w:t>
      </w:r>
      <w:r>
        <w:rPr>
          <w:i/>
          <w:w w:val="105"/>
          <w:sz w:val="19"/>
        </w:rPr>
        <w:t>accredited degree program must provide the</w:t>
      </w:r>
      <w:r>
        <w:rPr>
          <w:i/>
          <w:spacing w:val="-4"/>
          <w:w w:val="105"/>
          <w:sz w:val="19"/>
        </w:rPr>
        <w:t> </w:t>
      </w:r>
      <w:r>
        <w:rPr>
          <w:i/>
          <w:w w:val="105"/>
          <w:sz w:val="19"/>
        </w:rPr>
        <w:t>physical resources appropriate for a professional degree</w:t>
      </w:r>
      <w:r>
        <w:rPr>
          <w:i/>
          <w:spacing w:val="-7"/>
          <w:w w:val="105"/>
          <w:sz w:val="19"/>
        </w:rPr>
        <w:t> </w:t>
      </w:r>
      <w:r>
        <w:rPr>
          <w:i/>
          <w:w w:val="105"/>
          <w:sz w:val="19"/>
        </w:rPr>
        <w:t>program in</w:t>
      </w:r>
      <w:r>
        <w:rPr>
          <w:i/>
          <w:spacing w:val="-8"/>
          <w:w w:val="105"/>
          <w:sz w:val="19"/>
        </w:rPr>
        <w:t> </w:t>
      </w:r>
      <w:r>
        <w:rPr>
          <w:i/>
          <w:w w:val="105"/>
          <w:sz w:val="19"/>
        </w:rPr>
        <w:t>architecture, including</w:t>
      </w:r>
      <w:r>
        <w:rPr>
          <w:i/>
          <w:spacing w:val="-2"/>
          <w:w w:val="105"/>
          <w:sz w:val="19"/>
        </w:rPr>
        <w:t> </w:t>
      </w:r>
      <w:r>
        <w:rPr>
          <w:i/>
          <w:w w:val="105"/>
          <w:sz w:val="19"/>
        </w:rPr>
        <w:t>design studio space for</w:t>
      </w:r>
      <w:r>
        <w:rPr>
          <w:i/>
          <w:spacing w:val="-15"/>
          <w:w w:val="105"/>
          <w:sz w:val="19"/>
        </w:rPr>
        <w:t> </w:t>
      </w:r>
      <w:r>
        <w:rPr>
          <w:i/>
          <w:w w:val="105"/>
          <w:sz w:val="19"/>
        </w:rPr>
        <w:t>the</w:t>
      </w:r>
      <w:r>
        <w:rPr>
          <w:i/>
          <w:spacing w:val="-7"/>
          <w:w w:val="105"/>
          <w:sz w:val="19"/>
        </w:rPr>
        <w:t> </w:t>
      </w:r>
      <w:r>
        <w:rPr>
          <w:i/>
          <w:w w:val="105"/>
          <w:sz w:val="19"/>
        </w:rPr>
        <w:t>exclusive use of</w:t>
      </w:r>
      <w:r>
        <w:rPr>
          <w:i/>
          <w:spacing w:val="-1"/>
          <w:w w:val="105"/>
          <w:sz w:val="19"/>
        </w:rPr>
        <w:t> </w:t>
      </w:r>
      <w:r>
        <w:rPr>
          <w:i/>
          <w:w w:val="105"/>
          <w:sz w:val="19"/>
        </w:rPr>
        <w:t>each student in </w:t>
      </w:r>
      <w:r>
        <w:rPr>
          <w:w w:val="105"/>
          <w:sz w:val="19"/>
        </w:rPr>
        <w:t>a</w:t>
      </w:r>
      <w:r>
        <w:rPr>
          <w:spacing w:val="-2"/>
          <w:w w:val="105"/>
          <w:sz w:val="19"/>
        </w:rPr>
        <w:t> </w:t>
      </w:r>
      <w:r>
        <w:rPr>
          <w:i/>
          <w:w w:val="105"/>
          <w:sz w:val="19"/>
        </w:rPr>
        <w:t>studio</w:t>
      </w:r>
      <w:r>
        <w:rPr>
          <w:i/>
          <w:spacing w:val="-3"/>
          <w:w w:val="105"/>
          <w:sz w:val="19"/>
        </w:rPr>
        <w:t> </w:t>
      </w:r>
      <w:r>
        <w:rPr>
          <w:i/>
          <w:w w:val="105"/>
          <w:sz w:val="19"/>
        </w:rPr>
        <w:t>class; lecture and seminar space to accommodate both</w:t>
      </w:r>
      <w:r>
        <w:rPr>
          <w:i/>
          <w:spacing w:val="-2"/>
          <w:w w:val="105"/>
          <w:sz w:val="19"/>
        </w:rPr>
        <w:t> </w:t>
      </w:r>
      <w:r>
        <w:rPr>
          <w:i/>
          <w:w w:val="105"/>
          <w:sz w:val="19"/>
        </w:rPr>
        <w:t>didactic and interactive learning; office space for the exclusive use</w:t>
      </w:r>
      <w:r>
        <w:rPr>
          <w:i/>
          <w:spacing w:val="-10"/>
          <w:w w:val="105"/>
          <w:sz w:val="19"/>
        </w:rPr>
        <w:t> </w:t>
      </w:r>
      <w:r>
        <w:rPr>
          <w:i/>
          <w:w w:val="105"/>
          <w:sz w:val="19"/>
        </w:rPr>
        <w:t>of each full-time faculty member; and related</w:t>
      </w:r>
      <w:r>
        <w:rPr>
          <w:i/>
          <w:spacing w:val="-7"/>
          <w:w w:val="105"/>
          <w:sz w:val="19"/>
        </w:rPr>
        <w:t> </w:t>
      </w:r>
      <w:r>
        <w:rPr>
          <w:i/>
          <w:w w:val="105"/>
          <w:sz w:val="19"/>
        </w:rPr>
        <w:t>instructional support</w:t>
      </w:r>
      <w:r>
        <w:rPr>
          <w:i/>
          <w:spacing w:val="-1"/>
          <w:w w:val="105"/>
          <w:sz w:val="19"/>
        </w:rPr>
        <w:t> </w:t>
      </w:r>
      <w:r>
        <w:rPr>
          <w:i/>
          <w:w w:val="105"/>
          <w:sz w:val="19"/>
        </w:rPr>
        <w:t>space.</w:t>
      </w:r>
      <w:r>
        <w:rPr>
          <w:i/>
          <w:spacing w:val="67"/>
          <w:w w:val="105"/>
          <w:sz w:val="19"/>
        </w:rPr>
        <w:t> </w:t>
      </w:r>
      <w:r>
        <w:rPr>
          <w:i/>
          <w:w w:val="105"/>
          <w:sz w:val="19"/>
        </w:rPr>
        <w:t>The</w:t>
      </w:r>
      <w:r>
        <w:rPr>
          <w:i/>
          <w:spacing w:val="-7"/>
          <w:w w:val="105"/>
          <w:sz w:val="19"/>
        </w:rPr>
        <w:t> </w:t>
      </w:r>
      <w:r>
        <w:rPr>
          <w:i/>
          <w:w w:val="105"/>
          <w:sz w:val="19"/>
        </w:rPr>
        <w:t>facilities must</w:t>
      </w:r>
      <w:r>
        <w:rPr>
          <w:i/>
          <w:spacing w:val="-1"/>
          <w:w w:val="105"/>
          <w:sz w:val="19"/>
        </w:rPr>
        <w:t> </w:t>
      </w:r>
      <w:r>
        <w:rPr>
          <w:i/>
          <w:w w:val="105"/>
          <w:sz w:val="19"/>
        </w:rPr>
        <w:t>also</w:t>
      </w:r>
      <w:r>
        <w:rPr>
          <w:i/>
          <w:spacing w:val="-11"/>
          <w:w w:val="105"/>
          <w:sz w:val="19"/>
        </w:rPr>
        <w:t> </w:t>
      </w:r>
      <w:r>
        <w:rPr>
          <w:i/>
          <w:w w:val="105"/>
          <w:sz w:val="19"/>
        </w:rPr>
        <w:t>be</w:t>
      </w:r>
      <w:r>
        <w:rPr>
          <w:i/>
          <w:spacing w:val="-6"/>
          <w:w w:val="105"/>
          <w:sz w:val="19"/>
        </w:rPr>
        <w:t> </w:t>
      </w:r>
      <w:r>
        <w:rPr>
          <w:i/>
          <w:w w:val="105"/>
          <w:sz w:val="19"/>
        </w:rPr>
        <w:t>in</w:t>
      </w:r>
      <w:r>
        <w:rPr>
          <w:i/>
          <w:spacing w:val="-22"/>
          <w:w w:val="105"/>
          <w:sz w:val="19"/>
        </w:rPr>
        <w:t> </w:t>
      </w:r>
      <w:r>
        <w:rPr>
          <w:i/>
          <w:w w:val="105"/>
          <w:sz w:val="19"/>
        </w:rPr>
        <w:t>compliance</w:t>
      </w:r>
      <w:r>
        <w:rPr>
          <w:i/>
          <w:spacing w:val="-4"/>
          <w:w w:val="105"/>
          <w:sz w:val="19"/>
        </w:rPr>
        <w:t> </w:t>
      </w:r>
      <w:r>
        <w:rPr>
          <w:i/>
          <w:w w:val="105"/>
          <w:sz w:val="19"/>
        </w:rPr>
        <w:t>with</w:t>
      </w:r>
      <w:r>
        <w:rPr>
          <w:i/>
          <w:spacing w:val="-10"/>
          <w:w w:val="105"/>
          <w:sz w:val="19"/>
        </w:rPr>
        <w:t> </w:t>
      </w:r>
      <w:r>
        <w:rPr>
          <w:i/>
          <w:w w:val="105"/>
          <w:sz w:val="19"/>
        </w:rPr>
        <w:t>the</w:t>
      </w:r>
      <w:r>
        <w:rPr>
          <w:i/>
          <w:spacing w:val="-5"/>
          <w:w w:val="105"/>
          <w:sz w:val="19"/>
        </w:rPr>
        <w:t> </w:t>
      </w:r>
      <w:r>
        <w:rPr>
          <w:i/>
          <w:w w:val="105"/>
          <w:sz w:val="19"/>
        </w:rPr>
        <w:t>Americans with Disabilities Act (ADA) and applicable building codes.</w:t>
      </w:r>
    </w:p>
    <w:p>
      <w:pPr>
        <w:tabs>
          <w:tab w:pos="8308" w:val="left" w:leader="none"/>
        </w:tabs>
        <w:spacing w:line="189" w:lineRule="exact" w:before="0"/>
        <w:ind w:left="7422" w:right="0" w:firstLine="0"/>
        <w:jc w:val="left"/>
        <w:rPr>
          <w:sz w:val="19"/>
        </w:rPr>
      </w:pPr>
      <w:r>
        <w:rPr>
          <w:spacing w:val="-5"/>
          <w:w w:val="110"/>
          <w:sz w:val="19"/>
        </w:rPr>
        <w:t>Met</w:t>
      </w:r>
      <w:r>
        <w:rPr>
          <w:sz w:val="19"/>
        </w:rPr>
        <w:tab/>
      </w:r>
      <w:r>
        <w:rPr>
          <w:w w:val="105"/>
          <w:sz w:val="19"/>
        </w:rPr>
        <w:t>Not</w:t>
      </w:r>
      <w:r>
        <w:rPr>
          <w:spacing w:val="-13"/>
          <w:w w:val="105"/>
          <w:sz w:val="19"/>
        </w:rPr>
        <w:t> </w:t>
      </w:r>
      <w:r>
        <w:rPr>
          <w:spacing w:val="-5"/>
          <w:w w:val="110"/>
          <w:sz w:val="19"/>
        </w:rPr>
        <w:t>Met</w:t>
      </w:r>
    </w:p>
    <w:p>
      <w:pPr>
        <w:tabs>
          <w:tab w:pos="8538" w:val="left" w:leader="none"/>
        </w:tabs>
        <w:spacing w:line="338" w:lineRule="exact" w:before="0"/>
        <w:ind w:left="7477" w:right="0" w:firstLine="0"/>
        <w:jc w:val="left"/>
        <w:rPr>
          <w:sz w:val="24"/>
        </w:rPr>
      </w:pPr>
      <w:r>
        <w:rPr>
          <w:rFonts w:ascii="Times New Roman"/>
          <w:sz w:val="32"/>
        </w:rPr>
        <w:t>[</w:t>
      </w:r>
      <w:r>
        <w:rPr>
          <w:rFonts w:ascii="Times New Roman"/>
          <w:spacing w:val="31"/>
          <w:sz w:val="32"/>
        </w:rPr>
        <w:t> </w:t>
      </w:r>
      <w:r>
        <w:rPr>
          <w:rFonts w:ascii="Times New Roman"/>
          <w:spacing w:val="-10"/>
          <w:sz w:val="32"/>
        </w:rPr>
        <w:t>l</w:t>
      </w:r>
      <w:r>
        <w:rPr>
          <w:rFonts w:ascii="Times New Roman"/>
          <w:sz w:val="32"/>
        </w:rPr>
        <w:tab/>
      </w:r>
      <w:r>
        <w:rPr>
          <w:spacing w:val="-5"/>
          <w:sz w:val="24"/>
        </w:rPr>
        <w:t>[X]</w:t>
      </w:r>
    </w:p>
    <w:p>
      <w:pPr>
        <w:spacing w:line="252" w:lineRule="auto" w:before="205"/>
        <w:ind w:left="939" w:right="295" w:firstLine="8"/>
        <w:jc w:val="left"/>
        <w:rPr>
          <w:sz w:val="19"/>
        </w:rPr>
      </w:pPr>
      <w:r>
        <w:rPr>
          <w:w w:val="105"/>
          <w:sz w:val="19"/>
        </w:rPr>
        <w:t>Bemis</w:t>
      </w:r>
      <w:r>
        <w:rPr>
          <w:spacing w:val="-10"/>
          <w:w w:val="105"/>
          <w:sz w:val="19"/>
        </w:rPr>
        <w:t> </w:t>
      </w:r>
      <w:r>
        <w:rPr>
          <w:w w:val="105"/>
          <w:sz w:val="19"/>
        </w:rPr>
        <w:t>Hall</w:t>
      </w:r>
      <w:r>
        <w:rPr>
          <w:spacing w:val="-10"/>
          <w:w w:val="105"/>
          <w:sz w:val="19"/>
        </w:rPr>
        <w:t> </w:t>
      </w:r>
      <w:r>
        <w:rPr>
          <w:w w:val="105"/>
          <w:sz w:val="19"/>
        </w:rPr>
        <w:t>was</w:t>
      </w:r>
      <w:r>
        <w:rPr>
          <w:spacing w:val="-8"/>
          <w:w w:val="105"/>
          <w:sz w:val="19"/>
        </w:rPr>
        <w:t> </w:t>
      </w:r>
      <w:r>
        <w:rPr>
          <w:w w:val="105"/>
          <w:sz w:val="19"/>
        </w:rPr>
        <w:t>constructed</w:t>
      </w:r>
      <w:r>
        <w:rPr>
          <w:spacing w:val="-7"/>
          <w:w w:val="105"/>
          <w:sz w:val="19"/>
        </w:rPr>
        <w:t> </w:t>
      </w:r>
      <w:r>
        <w:rPr>
          <w:w w:val="105"/>
          <w:sz w:val="19"/>
        </w:rPr>
        <w:t>in 1931</w:t>
      </w:r>
      <w:r>
        <w:rPr>
          <w:spacing w:val="-18"/>
          <w:w w:val="105"/>
          <w:sz w:val="19"/>
        </w:rPr>
        <w:t> </w:t>
      </w:r>
      <w:r>
        <w:rPr>
          <w:w w:val="105"/>
          <w:sz w:val="19"/>
        </w:rPr>
        <w:t>and is</w:t>
      </w:r>
      <w:r>
        <w:rPr>
          <w:spacing w:val="-4"/>
          <w:w w:val="105"/>
          <w:sz w:val="19"/>
        </w:rPr>
        <w:t> </w:t>
      </w:r>
      <w:r>
        <w:rPr>
          <w:w w:val="105"/>
          <w:sz w:val="19"/>
        </w:rPr>
        <w:t>structurally</w:t>
      </w:r>
      <w:r>
        <w:rPr>
          <w:spacing w:val="17"/>
          <w:w w:val="105"/>
          <w:sz w:val="19"/>
        </w:rPr>
        <w:t> </w:t>
      </w:r>
      <w:r>
        <w:rPr>
          <w:w w:val="105"/>
          <w:sz w:val="19"/>
        </w:rPr>
        <w:t>sound; however infrastructure</w:t>
      </w:r>
      <w:r>
        <w:rPr>
          <w:spacing w:val="-14"/>
          <w:w w:val="105"/>
          <w:sz w:val="19"/>
        </w:rPr>
        <w:t> </w:t>
      </w:r>
      <w:r>
        <w:rPr>
          <w:w w:val="105"/>
          <w:sz w:val="19"/>
        </w:rPr>
        <w:t>systems and the building envelope are outdated</w:t>
      </w:r>
      <w:r>
        <w:rPr>
          <w:spacing w:val="21"/>
          <w:w w:val="105"/>
          <w:sz w:val="19"/>
        </w:rPr>
        <w:t> </w:t>
      </w:r>
      <w:r>
        <w:rPr>
          <w:w w:val="105"/>
          <w:sz w:val="19"/>
        </w:rPr>
        <w:t>and inefficient.</w:t>
      </w:r>
      <w:r>
        <w:rPr>
          <w:spacing w:val="80"/>
          <w:w w:val="105"/>
          <w:sz w:val="19"/>
        </w:rPr>
        <w:t> </w:t>
      </w:r>
      <w:r>
        <w:rPr>
          <w:w w:val="105"/>
          <w:sz w:val="19"/>
        </w:rPr>
        <w:t>Studio space is crowded</w:t>
      </w:r>
      <w:r>
        <w:rPr>
          <w:spacing w:val="17"/>
          <w:w w:val="105"/>
          <w:sz w:val="19"/>
        </w:rPr>
        <w:t> </w:t>
      </w:r>
      <w:r>
        <w:rPr>
          <w:w w:val="105"/>
          <w:sz w:val="19"/>
        </w:rPr>
        <w:t>and lecture rooms</w:t>
      </w:r>
      <w:r>
        <w:rPr>
          <w:w w:val="105"/>
          <w:sz w:val="19"/>
        </w:rPr>
        <w:t> are</w:t>
      </w:r>
      <w:r>
        <w:rPr>
          <w:spacing w:val="-8"/>
          <w:w w:val="105"/>
          <w:sz w:val="19"/>
        </w:rPr>
        <w:t> </w:t>
      </w:r>
      <w:r>
        <w:rPr>
          <w:w w:val="105"/>
          <w:sz w:val="19"/>
        </w:rPr>
        <w:t>poorly lit,</w:t>
      </w:r>
      <w:r>
        <w:rPr>
          <w:spacing w:val="-5"/>
          <w:w w:val="105"/>
          <w:sz w:val="19"/>
        </w:rPr>
        <w:t> </w:t>
      </w:r>
      <w:r>
        <w:rPr>
          <w:w w:val="105"/>
          <w:sz w:val="19"/>
        </w:rPr>
        <w:t>arranged, and equipped.</w:t>
      </w:r>
      <w:r>
        <w:rPr>
          <w:spacing w:val="40"/>
          <w:w w:val="105"/>
          <w:sz w:val="19"/>
        </w:rPr>
        <w:t> </w:t>
      </w:r>
      <w:r>
        <w:rPr>
          <w:w w:val="105"/>
          <w:sz w:val="19"/>
        </w:rPr>
        <w:t>Even with these deficiencies, Bemis</w:t>
      </w:r>
      <w:r>
        <w:rPr>
          <w:spacing w:val="-1"/>
          <w:w w:val="105"/>
          <w:sz w:val="19"/>
        </w:rPr>
        <w:t> </w:t>
      </w:r>
      <w:r>
        <w:rPr>
          <w:w w:val="105"/>
          <w:sz w:val="19"/>
        </w:rPr>
        <w:t>has a character and identity suited to</w:t>
      </w:r>
      <w:r>
        <w:rPr>
          <w:spacing w:val="-3"/>
          <w:w w:val="105"/>
          <w:sz w:val="19"/>
        </w:rPr>
        <w:t> </w:t>
      </w:r>
      <w:r>
        <w:rPr>
          <w:w w:val="105"/>
          <w:sz w:val="19"/>
        </w:rPr>
        <w:t>architectural education and should be properly restored.</w:t>
      </w:r>
      <w:r>
        <w:rPr>
          <w:spacing w:val="40"/>
          <w:w w:val="105"/>
          <w:sz w:val="19"/>
        </w:rPr>
        <w:t> </w:t>
      </w:r>
      <w:r>
        <w:rPr>
          <w:w w:val="105"/>
          <w:sz w:val="19"/>
        </w:rPr>
        <w:t>Heating and cooling issues should be addressed in consultation with the department chair and faculty.</w:t>
      </w:r>
    </w:p>
    <w:p>
      <w:pPr>
        <w:pStyle w:val="BodyText"/>
      </w:pPr>
    </w:p>
    <w:p>
      <w:pPr>
        <w:pStyle w:val="BodyText"/>
      </w:pPr>
    </w:p>
    <w:p>
      <w:pPr>
        <w:pStyle w:val="BodyText"/>
      </w:pPr>
    </w:p>
    <w:p>
      <w:pPr>
        <w:pStyle w:val="BodyText"/>
      </w:pPr>
    </w:p>
    <w:p>
      <w:pPr>
        <w:pStyle w:val="BodyText"/>
        <w:spacing w:before="2"/>
        <w:rPr>
          <w:sz w:val="11"/>
        </w:rPr>
      </w:pPr>
      <w:r>
        <w:rPr/>
        <w:pict>
          <v:shape style="position:absolute;margin-left:65.524673pt;margin-top:7.624463pt;width:454.85pt;height:.1pt;mso-position-horizontal-relative:page;mso-position-vertical-relative:paragraph;z-index:-15702016;mso-wrap-distance-left:0;mso-wrap-distance-right:0" id="docshape637" coordorigin="1310,152" coordsize="9097,0" path="m1310,152l10407,152e" filled="false" stroked="true" strokeweight=".481434pt" strokecolor="#000000">
            <v:path arrowok="t"/>
            <v:stroke dashstyle="solid"/>
            <w10:wrap type="topAndBottom"/>
          </v:shape>
        </w:pict>
      </w:r>
    </w:p>
    <w:p>
      <w:pPr>
        <w:spacing w:line="209" w:lineRule="exact" w:before="0"/>
        <w:ind w:left="237" w:right="0" w:firstLine="0"/>
        <w:jc w:val="left"/>
        <w:rPr>
          <w:sz w:val="19"/>
        </w:rPr>
      </w:pPr>
      <w:r>
        <w:rPr>
          <w:spacing w:val="-5"/>
          <w:w w:val="110"/>
          <w:sz w:val="19"/>
        </w:rPr>
        <w:t>10</w:t>
      </w:r>
    </w:p>
    <w:p>
      <w:pPr>
        <w:spacing w:after="0" w:line="209" w:lineRule="exact"/>
        <w:jc w:val="left"/>
        <w:rPr>
          <w:sz w:val="19"/>
        </w:rPr>
        <w:sectPr>
          <w:headerReference w:type="default" r:id="rId379"/>
          <w:footerReference w:type="default" r:id="rId380"/>
          <w:pgSz w:w="12180" w:h="15820"/>
          <w:pgMar w:header="579" w:footer="0" w:top="1280" w:bottom="280" w:left="1120" w:right="1180"/>
        </w:sectPr>
      </w:pPr>
    </w:p>
    <w:p>
      <w:pPr>
        <w:pStyle w:val="BodyText"/>
        <w:spacing w:before="2"/>
        <w:rPr>
          <w:sz w:val="18"/>
        </w:rPr>
      </w:pPr>
    </w:p>
    <w:p>
      <w:pPr>
        <w:pStyle w:val="BodyText"/>
        <w:spacing w:line="244" w:lineRule="auto" w:before="94"/>
        <w:ind w:left="916" w:right="373" w:firstLine="2"/>
      </w:pPr>
      <w:r>
        <w:rPr/>
        <w:t>The</w:t>
      </w:r>
      <w:r>
        <w:rPr>
          <w:spacing w:val="-6"/>
        </w:rPr>
        <w:t> </w:t>
      </w:r>
      <w:r>
        <w:rPr/>
        <w:t>Team sees a</w:t>
      </w:r>
      <w:r>
        <w:rPr>
          <w:spacing w:val="-2"/>
        </w:rPr>
        <w:t> </w:t>
      </w:r>
      <w:r>
        <w:rPr/>
        <w:t>need</w:t>
      </w:r>
      <w:r>
        <w:rPr>
          <w:spacing w:val="-12"/>
        </w:rPr>
        <w:t> </w:t>
      </w:r>
      <w:r>
        <w:rPr/>
        <w:t>for additional studio and</w:t>
      </w:r>
      <w:r>
        <w:rPr>
          <w:spacing w:val="-14"/>
        </w:rPr>
        <w:t> </w:t>
      </w:r>
      <w:r>
        <w:rPr/>
        <w:t>faculty office space, a</w:t>
      </w:r>
      <w:r>
        <w:rPr>
          <w:spacing w:val="-2"/>
        </w:rPr>
        <w:t> </w:t>
      </w:r>
      <w:r>
        <w:rPr/>
        <w:t>large architectural model­ building shop, dedicated outdoor</w:t>
      </w:r>
      <w:r>
        <w:rPr>
          <w:spacing w:val="-6"/>
        </w:rPr>
        <w:t> </w:t>
      </w:r>
      <w:r>
        <w:rPr/>
        <w:t>construction space,.and a</w:t>
      </w:r>
      <w:r>
        <w:rPr>
          <w:spacing w:val="-8"/>
        </w:rPr>
        <w:t> </w:t>
      </w:r>
      <w:r>
        <w:rPr/>
        <w:t>space</w:t>
      </w:r>
      <w:r>
        <w:rPr>
          <w:spacing w:val="-7"/>
        </w:rPr>
        <w:t> </w:t>
      </w:r>
      <w:r>
        <w:rPr/>
        <w:t>to</w:t>
      </w:r>
      <w:r>
        <w:rPr>
          <w:spacing w:val="-7"/>
        </w:rPr>
        <w:t> </w:t>
      </w:r>
      <w:r>
        <w:rPr/>
        <w:t>assemble</w:t>
      </w:r>
      <w:r>
        <w:rPr>
          <w:spacing w:val="-1"/>
        </w:rPr>
        <w:t> </w:t>
      </w:r>
      <w:r>
        <w:rPr/>
        <w:t>the</w:t>
      </w:r>
      <w:r>
        <w:rPr>
          <w:spacing w:val="-15"/>
        </w:rPr>
        <w:t> </w:t>
      </w:r>
      <w:r>
        <w:rPr/>
        <w:t>entire student body (200 seats).</w:t>
      </w:r>
      <w:r>
        <w:rPr>
          <w:spacing w:val="40"/>
        </w:rPr>
        <w:t> </w:t>
      </w:r>
      <w:r>
        <w:rPr/>
        <w:t>The existing library, while convenient, would yield program space</w:t>
      </w:r>
      <w:r>
        <w:rPr>
          <w:spacing w:val="-2"/>
        </w:rPr>
        <w:t> </w:t>
      </w:r>
      <w:r>
        <w:rPr/>
        <w:t>if moved to Harvey Library.</w:t>
      </w:r>
      <w:r>
        <w:rPr>
          <w:spacing w:val="40"/>
        </w:rPr>
        <w:t> </w:t>
      </w:r>
      <w:r>
        <w:rPr/>
        <w:t>The</w:t>
      </w:r>
      <w:r>
        <w:rPr>
          <w:spacing w:val="-9"/>
        </w:rPr>
        <w:t> </w:t>
      </w:r>
      <w:r>
        <w:rPr/>
        <w:t>ceramics studio located on</w:t>
      </w:r>
      <w:r>
        <w:rPr>
          <w:spacing w:val="-1"/>
        </w:rPr>
        <w:t> </w:t>
      </w:r>
      <w:r>
        <w:rPr/>
        <w:t>the ground floor</w:t>
      </w:r>
      <w:r>
        <w:rPr>
          <w:spacing w:val="-2"/>
        </w:rPr>
        <w:t> </w:t>
      </w:r>
      <w:r>
        <w:rPr/>
        <w:t>of</w:t>
      </w:r>
      <w:r>
        <w:rPr>
          <w:spacing w:val="-1"/>
        </w:rPr>
        <w:t> </w:t>
      </w:r>
      <w:r>
        <w:rPr/>
        <w:t>Bemis is</w:t>
      </w:r>
      <w:r>
        <w:rPr>
          <w:spacing w:val="-1"/>
        </w:rPr>
        <w:t> </w:t>
      </w:r>
      <w:r>
        <w:rPr/>
        <w:t>actually part of Liberal Arts' space.</w:t>
      </w:r>
    </w:p>
    <w:p>
      <w:pPr>
        <w:pStyle w:val="BodyText"/>
        <w:spacing w:before="5"/>
        <w:rPr>
          <w:sz w:val="19"/>
        </w:rPr>
      </w:pPr>
    </w:p>
    <w:p>
      <w:pPr>
        <w:pStyle w:val="BodyText"/>
        <w:ind w:left="934" w:right="311" w:firstLine="1"/>
      </w:pPr>
      <w:r>
        <w:rPr/>
        <w:t>Regarding digital technology needs, students accept the</w:t>
      </w:r>
      <w:r>
        <w:rPr>
          <w:spacing w:val="-2"/>
        </w:rPr>
        <w:t> </w:t>
      </w:r>
      <w:r>
        <w:rPr/>
        <w:t>requirement to</w:t>
      </w:r>
      <w:r>
        <w:rPr>
          <w:spacing w:val="-6"/>
        </w:rPr>
        <w:t> </w:t>
      </w:r>
      <w:r>
        <w:rPr/>
        <w:t>provide their own computers, yet</w:t>
      </w:r>
      <w:r>
        <w:rPr>
          <w:spacing w:val="-15"/>
        </w:rPr>
        <w:t> </w:t>
      </w:r>
      <w:r>
        <w:rPr/>
        <w:t>they are frustrated that</w:t>
      </w:r>
      <w:r>
        <w:rPr>
          <w:spacing w:val="-11"/>
        </w:rPr>
        <w:t> </w:t>
      </w:r>
      <w:r>
        <w:rPr/>
        <w:t>formal</w:t>
      </w:r>
      <w:r>
        <w:rPr>
          <w:spacing w:val="-2"/>
        </w:rPr>
        <w:t> </w:t>
      </w:r>
      <w:r>
        <w:rPr/>
        <w:t>training is not offered</w:t>
      </w:r>
      <w:r>
        <w:rPr>
          <w:spacing w:val="-7"/>
        </w:rPr>
        <w:t> </w:t>
      </w:r>
      <w:r>
        <w:rPr/>
        <w:t>on</w:t>
      </w:r>
      <w:r>
        <w:rPr>
          <w:spacing w:val="-3"/>
        </w:rPr>
        <w:t> </w:t>
      </w:r>
      <w:r>
        <w:rPr/>
        <w:t>software they</w:t>
      </w:r>
      <w:r>
        <w:rPr>
          <w:spacing w:val="-6"/>
        </w:rPr>
        <w:t> </w:t>
      </w:r>
      <w:r>
        <w:rPr/>
        <w:t>are</w:t>
      </w:r>
      <w:r>
        <w:rPr>
          <w:spacing w:val="-1"/>
        </w:rPr>
        <w:t> </w:t>
      </w:r>
      <w:r>
        <w:rPr/>
        <w:t>required </w:t>
      </w:r>
      <w:r>
        <w:rPr>
          <w:sz w:val="21"/>
        </w:rPr>
        <w:t>to</w:t>
      </w:r>
      <w:r>
        <w:rPr>
          <w:spacing w:val="-1"/>
          <w:sz w:val="21"/>
        </w:rPr>
        <w:t> </w:t>
      </w:r>
      <w:r>
        <w:rPr/>
        <w:t>purchase.</w:t>
      </w:r>
      <w:r>
        <w:rPr>
          <w:spacing w:val="40"/>
        </w:rPr>
        <w:t> </w:t>
      </w:r>
      <w:r>
        <w:rPr/>
        <w:t>In addition, students would appreciate greater access to</w:t>
      </w:r>
      <w:r>
        <w:rPr>
          <w:spacing w:val="-9"/>
        </w:rPr>
        <w:t> </w:t>
      </w:r>
      <w:r>
        <w:rPr/>
        <w:t>the</w:t>
      </w:r>
      <w:r>
        <w:rPr>
          <w:spacing w:val="-1"/>
        </w:rPr>
        <w:t> </w:t>
      </w:r>
      <w:r>
        <w:rPr/>
        <w:t>department's laser cutter and a wireless link to the department's plotters.</w:t>
      </w:r>
    </w:p>
    <w:p>
      <w:pPr>
        <w:pStyle w:val="BodyText"/>
        <w:rPr>
          <w:sz w:val="22"/>
        </w:rPr>
      </w:pPr>
    </w:p>
    <w:p>
      <w:pPr>
        <w:pStyle w:val="BodyText"/>
        <w:spacing w:before="3"/>
        <w:rPr>
          <w:sz w:val="19"/>
        </w:rPr>
      </w:pPr>
    </w:p>
    <w:p>
      <w:pPr>
        <w:pStyle w:val="ListParagraph"/>
        <w:numPr>
          <w:ilvl w:val="1"/>
          <w:numId w:val="75"/>
        </w:numPr>
        <w:tabs>
          <w:tab w:pos="938" w:val="left" w:leader="none"/>
          <w:tab w:pos="939" w:val="left" w:leader="none"/>
        </w:tabs>
        <w:spacing w:line="240" w:lineRule="auto" w:before="0" w:after="0"/>
        <w:ind w:left="938" w:right="0" w:hanging="719"/>
        <w:jc w:val="left"/>
        <w:rPr>
          <w:sz w:val="20"/>
        </w:rPr>
      </w:pPr>
      <w:r>
        <w:rPr>
          <w:w w:val="110"/>
          <w:sz w:val="20"/>
        </w:rPr>
        <w:t>lnfonnatlon</w:t>
      </w:r>
      <w:r>
        <w:rPr>
          <w:spacing w:val="-8"/>
          <w:w w:val="110"/>
          <w:sz w:val="20"/>
        </w:rPr>
        <w:t> </w:t>
      </w:r>
      <w:r>
        <w:rPr>
          <w:spacing w:val="-2"/>
          <w:w w:val="110"/>
          <w:sz w:val="20"/>
        </w:rPr>
        <w:t>Resources</w:t>
      </w:r>
    </w:p>
    <w:p>
      <w:pPr>
        <w:pStyle w:val="BodyText"/>
        <w:spacing w:before="7"/>
      </w:pPr>
    </w:p>
    <w:p>
      <w:pPr>
        <w:spacing w:line="247" w:lineRule="auto" w:before="0"/>
        <w:ind w:left="927" w:right="311" w:firstLine="5"/>
        <w:jc w:val="left"/>
        <w:rPr>
          <w:i/>
          <w:sz w:val="19"/>
        </w:rPr>
      </w:pPr>
      <w:r>
        <w:rPr>
          <w:i/>
          <w:w w:val="105"/>
          <w:sz w:val="19"/>
        </w:rPr>
        <w:t>Readily accessible library and visual resource collections are</w:t>
      </w:r>
      <w:r>
        <w:rPr>
          <w:i/>
          <w:spacing w:val="-7"/>
          <w:w w:val="105"/>
          <w:sz w:val="19"/>
        </w:rPr>
        <w:t> </w:t>
      </w:r>
      <w:r>
        <w:rPr>
          <w:i/>
          <w:w w:val="105"/>
          <w:sz w:val="19"/>
        </w:rPr>
        <w:t>essential for architectural study, teaching, and research.</w:t>
      </w:r>
      <w:r>
        <w:rPr>
          <w:i/>
          <w:spacing w:val="40"/>
          <w:w w:val="105"/>
          <w:sz w:val="19"/>
        </w:rPr>
        <w:t> </w:t>
      </w:r>
      <w:r>
        <w:rPr>
          <w:i/>
          <w:w w:val="105"/>
          <w:sz w:val="19"/>
        </w:rPr>
        <w:t>Ubrary collections must include at </w:t>
      </w:r>
      <w:r>
        <w:rPr>
          <w:w w:val="105"/>
          <w:sz w:val="20"/>
        </w:rPr>
        <w:t>/east</w:t>
      </w:r>
      <w:r>
        <w:rPr>
          <w:spacing w:val="-17"/>
          <w:w w:val="105"/>
          <w:sz w:val="20"/>
        </w:rPr>
        <w:t> </w:t>
      </w:r>
      <w:r>
        <w:rPr>
          <w:i/>
          <w:w w:val="105"/>
          <w:sz w:val="19"/>
        </w:rPr>
        <w:t>5,000 different cataloged titles, with an appropriate</w:t>
      </w:r>
      <w:r>
        <w:rPr>
          <w:i/>
          <w:spacing w:val="22"/>
          <w:w w:val="105"/>
          <w:sz w:val="19"/>
        </w:rPr>
        <w:t> </w:t>
      </w:r>
      <w:r>
        <w:rPr>
          <w:i/>
          <w:w w:val="105"/>
          <w:sz w:val="19"/>
        </w:rPr>
        <w:t>mix</w:t>
      </w:r>
      <w:r>
        <w:rPr>
          <w:i/>
          <w:spacing w:val="16"/>
          <w:w w:val="105"/>
          <w:sz w:val="19"/>
        </w:rPr>
        <w:t> </w:t>
      </w:r>
      <w:r>
        <w:rPr>
          <w:w w:val="105"/>
          <w:sz w:val="20"/>
        </w:rPr>
        <w:t>of </w:t>
      </w:r>
      <w:r>
        <w:rPr>
          <w:i/>
          <w:w w:val="105"/>
          <w:sz w:val="19"/>
        </w:rPr>
        <w:t>Library</w:t>
      </w:r>
      <w:r>
        <w:rPr>
          <w:i/>
          <w:spacing w:val="21"/>
          <w:w w:val="105"/>
          <w:sz w:val="19"/>
        </w:rPr>
        <w:t> </w:t>
      </w:r>
      <w:r>
        <w:rPr>
          <w:w w:val="105"/>
          <w:sz w:val="20"/>
        </w:rPr>
        <w:t>of</w:t>
      </w:r>
      <w:r>
        <w:rPr>
          <w:spacing w:val="-2"/>
          <w:w w:val="105"/>
          <w:sz w:val="20"/>
        </w:rPr>
        <w:t> </w:t>
      </w:r>
      <w:r>
        <w:rPr>
          <w:i/>
          <w:w w:val="105"/>
          <w:sz w:val="19"/>
        </w:rPr>
        <w:t>Congress</w:t>
      </w:r>
      <w:r>
        <w:rPr>
          <w:i/>
          <w:spacing w:val="34"/>
          <w:w w:val="105"/>
          <w:sz w:val="19"/>
        </w:rPr>
        <w:t> </w:t>
      </w:r>
      <w:r>
        <w:rPr>
          <w:i/>
          <w:w w:val="105"/>
          <w:sz w:val="19"/>
        </w:rPr>
        <w:t>NA, Dewey 720-29,</w:t>
      </w:r>
      <w:r>
        <w:rPr>
          <w:i/>
          <w:spacing w:val="21"/>
          <w:w w:val="105"/>
          <w:sz w:val="19"/>
        </w:rPr>
        <w:t> </w:t>
      </w:r>
      <w:r>
        <w:rPr>
          <w:i/>
          <w:w w:val="105"/>
          <w:sz w:val="19"/>
        </w:rPr>
        <w:t>and </w:t>
      </w:r>
      <w:r>
        <w:rPr>
          <w:w w:val="105"/>
          <w:sz w:val="20"/>
        </w:rPr>
        <w:t>other</w:t>
      </w:r>
      <w:r>
        <w:rPr>
          <w:spacing w:val="-12"/>
          <w:w w:val="105"/>
          <w:sz w:val="20"/>
        </w:rPr>
        <w:t> </w:t>
      </w:r>
      <w:r>
        <w:rPr>
          <w:i/>
          <w:w w:val="105"/>
          <w:sz w:val="19"/>
        </w:rPr>
        <w:t>related call</w:t>
      </w:r>
      <w:r>
        <w:rPr>
          <w:i/>
          <w:w w:val="105"/>
          <w:sz w:val="19"/>
        </w:rPr>
        <w:t> numbers </w:t>
      </w:r>
      <w:r>
        <w:rPr>
          <w:w w:val="105"/>
          <w:sz w:val="20"/>
        </w:rPr>
        <w:t>to</w:t>
      </w:r>
      <w:r>
        <w:rPr>
          <w:spacing w:val="-20"/>
          <w:w w:val="105"/>
          <w:sz w:val="20"/>
        </w:rPr>
        <w:t> </w:t>
      </w:r>
      <w:r>
        <w:rPr>
          <w:i/>
          <w:w w:val="105"/>
          <w:sz w:val="19"/>
        </w:rPr>
        <w:t>serve</w:t>
      </w:r>
      <w:r>
        <w:rPr>
          <w:i/>
          <w:spacing w:val="-9"/>
          <w:w w:val="105"/>
          <w:sz w:val="19"/>
        </w:rPr>
        <w:t> </w:t>
      </w:r>
      <w:r>
        <w:rPr>
          <w:i/>
          <w:w w:val="105"/>
          <w:sz w:val="19"/>
        </w:rPr>
        <w:t>the</w:t>
      </w:r>
      <w:r>
        <w:rPr>
          <w:i/>
          <w:spacing w:val="-10"/>
          <w:w w:val="105"/>
          <w:sz w:val="19"/>
        </w:rPr>
        <w:t> </w:t>
      </w:r>
      <w:r>
        <w:rPr>
          <w:i/>
          <w:w w:val="105"/>
          <w:sz w:val="19"/>
        </w:rPr>
        <w:t>needs </w:t>
      </w:r>
      <w:r>
        <w:rPr>
          <w:w w:val="105"/>
          <w:sz w:val="20"/>
        </w:rPr>
        <w:t>of</w:t>
      </w:r>
      <w:r>
        <w:rPr>
          <w:spacing w:val="-11"/>
          <w:w w:val="105"/>
          <w:sz w:val="20"/>
        </w:rPr>
        <w:t> </w:t>
      </w:r>
      <w:r>
        <w:rPr>
          <w:i/>
          <w:w w:val="105"/>
          <w:sz w:val="19"/>
        </w:rPr>
        <w:t>individual programs.</w:t>
      </w:r>
      <w:r>
        <w:rPr>
          <w:i/>
          <w:spacing w:val="40"/>
          <w:w w:val="105"/>
          <w:sz w:val="19"/>
        </w:rPr>
        <w:t> </w:t>
      </w:r>
      <w:r>
        <w:rPr>
          <w:i/>
          <w:w w:val="105"/>
          <w:sz w:val="19"/>
        </w:rPr>
        <w:t>There must</w:t>
      </w:r>
      <w:r>
        <w:rPr>
          <w:i/>
          <w:spacing w:val="-4"/>
          <w:w w:val="105"/>
          <w:sz w:val="19"/>
        </w:rPr>
        <w:t> </w:t>
      </w:r>
      <w:r>
        <w:rPr>
          <w:i/>
          <w:w w:val="105"/>
          <w:sz w:val="19"/>
        </w:rPr>
        <w:t>be</w:t>
      </w:r>
      <w:r>
        <w:rPr>
          <w:i/>
          <w:spacing w:val="-3"/>
          <w:w w:val="105"/>
          <w:sz w:val="19"/>
        </w:rPr>
        <w:t> </w:t>
      </w:r>
      <w:r>
        <w:rPr>
          <w:i/>
          <w:w w:val="105"/>
          <w:sz w:val="19"/>
        </w:rPr>
        <w:t>adequate visual</w:t>
      </w:r>
      <w:r>
        <w:rPr>
          <w:i/>
          <w:spacing w:val="-10"/>
          <w:w w:val="105"/>
          <w:sz w:val="19"/>
        </w:rPr>
        <w:t> </w:t>
      </w:r>
      <w:r>
        <w:rPr>
          <w:i/>
          <w:w w:val="105"/>
          <w:sz w:val="19"/>
        </w:rPr>
        <w:t>resources </w:t>
      </w:r>
      <w:r>
        <w:rPr>
          <w:w w:val="105"/>
          <w:sz w:val="20"/>
        </w:rPr>
        <w:t>as </w:t>
      </w:r>
      <w:r>
        <w:rPr>
          <w:i/>
          <w:w w:val="105"/>
          <w:sz w:val="19"/>
        </w:rPr>
        <w:t>well. Access to other architectural collections may supplement, but not substitute for, adequate resources</w:t>
      </w:r>
      <w:r>
        <w:rPr>
          <w:i/>
          <w:spacing w:val="24"/>
          <w:w w:val="105"/>
          <w:sz w:val="19"/>
        </w:rPr>
        <w:t> </w:t>
      </w:r>
      <w:r>
        <w:rPr>
          <w:i/>
          <w:w w:val="105"/>
          <w:sz w:val="19"/>
        </w:rPr>
        <w:t>at the</w:t>
      </w:r>
      <w:r>
        <w:rPr>
          <w:i/>
          <w:spacing w:val="-5"/>
          <w:w w:val="105"/>
          <w:sz w:val="19"/>
        </w:rPr>
        <w:t> </w:t>
      </w:r>
      <w:r>
        <w:rPr>
          <w:i/>
          <w:w w:val="105"/>
          <w:sz w:val="19"/>
        </w:rPr>
        <w:t>home institution.</w:t>
      </w:r>
      <w:r>
        <w:rPr>
          <w:i/>
          <w:spacing w:val="80"/>
          <w:w w:val="105"/>
          <w:sz w:val="19"/>
        </w:rPr>
        <w:t> </w:t>
      </w:r>
      <w:r>
        <w:rPr>
          <w:i/>
          <w:w w:val="105"/>
          <w:sz w:val="19"/>
        </w:rPr>
        <w:t>In addition</w:t>
      </w:r>
      <w:r>
        <w:rPr>
          <w:i/>
          <w:spacing w:val="28"/>
          <w:w w:val="105"/>
          <w:sz w:val="19"/>
        </w:rPr>
        <w:t> </w:t>
      </w:r>
      <w:r>
        <w:rPr>
          <w:w w:val="105"/>
          <w:sz w:val="20"/>
        </w:rPr>
        <w:t>to</w:t>
      </w:r>
      <w:r>
        <w:rPr>
          <w:spacing w:val="-18"/>
          <w:w w:val="105"/>
          <w:sz w:val="20"/>
        </w:rPr>
        <w:t> </w:t>
      </w:r>
      <w:r>
        <w:rPr>
          <w:i/>
          <w:w w:val="105"/>
          <w:sz w:val="19"/>
        </w:rPr>
        <w:t>developing and managing collectians, architectural</w:t>
      </w:r>
      <w:r>
        <w:rPr>
          <w:i/>
          <w:spacing w:val="22"/>
          <w:w w:val="105"/>
          <w:sz w:val="19"/>
        </w:rPr>
        <w:t> </w:t>
      </w:r>
      <w:r>
        <w:rPr>
          <w:i/>
          <w:w w:val="105"/>
          <w:sz w:val="19"/>
        </w:rPr>
        <w:t>librarians</w:t>
      </w:r>
      <w:r>
        <w:rPr>
          <w:i/>
          <w:spacing w:val="24"/>
          <w:w w:val="105"/>
          <w:sz w:val="19"/>
        </w:rPr>
        <w:t> </w:t>
      </w:r>
      <w:r>
        <w:rPr>
          <w:i/>
          <w:w w:val="105"/>
          <w:sz w:val="19"/>
        </w:rPr>
        <w:t>and visual</w:t>
      </w:r>
      <w:r>
        <w:rPr>
          <w:i/>
          <w:spacing w:val="22"/>
          <w:w w:val="105"/>
          <w:sz w:val="19"/>
        </w:rPr>
        <w:t> </w:t>
      </w:r>
      <w:r>
        <w:rPr>
          <w:i/>
          <w:w w:val="105"/>
          <w:sz w:val="19"/>
        </w:rPr>
        <w:t>resources professionals</w:t>
      </w:r>
      <w:r>
        <w:rPr>
          <w:i/>
          <w:spacing w:val="25"/>
          <w:w w:val="105"/>
          <w:sz w:val="19"/>
        </w:rPr>
        <w:t> </w:t>
      </w:r>
      <w:r>
        <w:rPr>
          <w:i/>
          <w:w w:val="105"/>
          <w:sz w:val="19"/>
        </w:rPr>
        <w:t>should provide information</w:t>
      </w:r>
      <w:r>
        <w:rPr>
          <w:i/>
          <w:spacing w:val="33"/>
          <w:w w:val="105"/>
          <w:sz w:val="19"/>
        </w:rPr>
        <w:t> </w:t>
      </w:r>
      <w:r>
        <w:rPr>
          <w:i/>
          <w:w w:val="105"/>
          <w:sz w:val="19"/>
        </w:rPr>
        <w:t>services that promote the</w:t>
      </w:r>
      <w:r>
        <w:rPr>
          <w:i/>
          <w:spacing w:val="-4"/>
          <w:w w:val="105"/>
          <w:sz w:val="19"/>
        </w:rPr>
        <w:t> </w:t>
      </w:r>
      <w:r>
        <w:rPr>
          <w:i/>
          <w:w w:val="105"/>
          <w:sz w:val="19"/>
        </w:rPr>
        <w:t>research skills and critical thinking </w:t>
      </w:r>
      <w:r>
        <w:rPr>
          <w:w w:val="105"/>
          <w:sz w:val="20"/>
        </w:rPr>
        <w:t>necessary </w:t>
      </w:r>
      <w:r>
        <w:rPr>
          <w:i/>
          <w:w w:val="105"/>
          <w:sz w:val="19"/>
        </w:rPr>
        <w:t>for</w:t>
      </w:r>
      <w:r>
        <w:rPr>
          <w:i/>
          <w:spacing w:val="-2"/>
          <w:w w:val="105"/>
          <w:sz w:val="19"/>
        </w:rPr>
        <w:t> </w:t>
      </w:r>
      <w:r>
        <w:rPr>
          <w:i/>
          <w:w w:val="105"/>
          <w:sz w:val="19"/>
        </w:rPr>
        <w:t>professional practice and lifelong learning.</w:t>
      </w:r>
    </w:p>
    <w:p>
      <w:pPr>
        <w:pStyle w:val="BodyText"/>
        <w:tabs>
          <w:tab w:pos="886" w:val="left" w:leader="none"/>
        </w:tabs>
        <w:spacing w:line="185" w:lineRule="exact"/>
        <w:ind w:right="836"/>
        <w:jc w:val="right"/>
      </w:pPr>
      <w:r>
        <w:rPr>
          <w:spacing w:val="-5"/>
          <w:w w:val="105"/>
        </w:rPr>
        <w:t>Met</w:t>
      </w:r>
      <w:r>
        <w:rPr/>
        <w:tab/>
        <w:t>Not</w:t>
      </w:r>
      <w:r>
        <w:rPr>
          <w:spacing w:val="-4"/>
        </w:rPr>
        <w:t> </w:t>
      </w:r>
      <w:r>
        <w:rPr>
          <w:spacing w:val="-5"/>
          <w:w w:val="105"/>
        </w:rPr>
        <w:t>Met</w:t>
      </w:r>
    </w:p>
    <w:p>
      <w:pPr>
        <w:pStyle w:val="Heading7"/>
        <w:tabs>
          <w:tab w:pos="1059" w:val="left" w:leader="none"/>
        </w:tabs>
        <w:spacing w:line="344" w:lineRule="exact"/>
        <w:ind w:right="1045"/>
        <w:jc w:val="right"/>
        <w:rPr>
          <w:rFonts w:ascii="Times New Roman"/>
          <w:sz w:val="33"/>
        </w:rPr>
      </w:pPr>
      <w:r>
        <w:rPr>
          <w:spacing w:val="-5"/>
        </w:rPr>
        <w:t>[X]</w:t>
      </w:r>
      <w:r>
        <w:rPr/>
        <w:tab/>
        <w:t>[</w:t>
      </w:r>
      <w:r>
        <w:rPr>
          <w:spacing w:val="70"/>
        </w:rPr>
        <w:t> </w:t>
      </w:r>
      <w:r>
        <w:rPr>
          <w:rFonts w:ascii="Times New Roman"/>
          <w:spacing w:val="-10"/>
          <w:w w:val="95"/>
          <w:sz w:val="33"/>
        </w:rPr>
        <w:t>I</w:t>
      </w:r>
    </w:p>
    <w:p>
      <w:pPr>
        <w:pStyle w:val="BodyText"/>
        <w:spacing w:before="241"/>
        <w:ind w:left="924" w:right="311" w:firstLine="3"/>
      </w:pPr>
      <w:r>
        <w:rPr/>
        <w:t>The</w:t>
      </w:r>
      <w:r>
        <w:rPr>
          <w:spacing w:val="-5"/>
        </w:rPr>
        <w:t> </w:t>
      </w:r>
      <w:r>
        <w:rPr/>
        <w:t>department is well-served by</w:t>
      </w:r>
      <w:r>
        <w:rPr>
          <w:spacing w:val="-3"/>
        </w:rPr>
        <w:t> </w:t>
      </w:r>
      <w:r>
        <w:rPr/>
        <w:t>Hampton University's Harvey Library (which houses 3500 volumes of NA classification</w:t>
      </w:r>
      <w:r>
        <w:rPr>
          <w:spacing w:val="-9"/>
        </w:rPr>
        <w:t> </w:t>
      </w:r>
      <w:r>
        <w:rPr/>
        <w:t>alone), and further supported by the</w:t>
      </w:r>
      <w:r>
        <w:rPr>
          <w:spacing w:val="-13"/>
        </w:rPr>
        <w:t> </w:t>
      </w:r>
      <w:r>
        <w:rPr/>
        <w:t>William R.</w:t>
      </w:r>
      <w:r>
        <w:rPr>
          <w:spacing w:val="-6"/>
        </w:rPr>
        <w:t> </w:t>
      </w:r>
      <w:r>
        <w:rPr/>
        <w:t>Moses Architecture Library</w:t>
      </w:r>
      <w:r>
        <w:rPr>
          <w:spacing w:val="-1"/>
        </w:rPr>
        <w:t> </w:t>
      </w:r>
      <w:r>
        <w:rPr/>
        <w:t>in</w:t>
      </w:r>
      <w:r>
        <w:rPr>
          <w:spacing w:val="-16"/>
        </w:rPr>
        <w:t> </w:t>
      </w:r>
      <w:r>
        <w:rPr/>
        <w:t>Bemis</w:t>
      </w:r>
      <w:r>
        <w:rPr>
          <w:spacing w:val="-1"/>
        </w:rPr>
        <w:t> </w:t>
      </w:r>
      <w:r>
        <w:rPr/>
        <w:t>Hall</w:t>
      </w:r>
      <w:r>
        <w:rPr>
          <w:spacing w:val="-8"/>
        </w:rPr>
        <w:t> </w:t>
      </w:r>
      <w:r>
        <w:rPr/>
        <w:t>(an</w:t>
      </w:r>
      <w:r>
        <w:rPr>
          <w:spacing w:val="-21"/>
        </w:rPr>
        <w:t> </w:t>
      </w:r>
      <w:r>
        <w:rPr/>
        <w:t>independent collection</w:t>
      </w:r>
      <w:r>
        <w:rPr>
          <w:spacing w:val="-2"/>
        </w:rPr>
        <w:t> </w:t>
      </w:r>
      <w:r>
        <w:rPr/>
        <w:t>of approximately 4,000 volumes).</w:t>
      </w:r>
      <w:r>
        <w:rPr>
          <w:spacing w:val="40"/>
        </w:rPr>
        <w:t> </w:t>
      </w:r>
      <w:r>
        <w:rPr/>
        <w:t>The</w:t>
      </w:r>
      <w:r>
        <w:rPr>
          <w:spacing w:val="-5"/>
        </w:rPr>
        <w:t> </w:t>
      </w:r>
      <w:r>
        <w:rPr/>
        <w:t>combined collections, while duplicating each other in some degree, meet the</w:t>
      </w:r>
      <w:r>
        <w:rPr>
          <w:spacing w:val="-2"/>
        </w:rPr>
        <w:t> </w:t>
      </w:r>
      <w:r>
        <w:rPr/>
        <w:t>teaching, study and research needs of</w:t>
      </w:r>
      <w:r>
        <w:rPr>
          <w:spacing w:val="-9"/>
        </w:rPr>
        <w:t> </w:t>
      </w:r>
      <w:r>
        <w:rPr/>
        <w:t>the</w:t>
      </w:r>
      <w:r>
        <w:rPr>
          <w:spacing w:val="-7"/>
        </w:rPr>
        <w:t> </w:t>
      </w:r>
      <w:r>
        <w:rPr/>
        <w:t>department,</w:t>
      </w:r>
      <w:r>
        <w:rPr>
          <w:spacing w:val="30"/>
        </w:rPr>
        <w:t> </w:t>
      </w:r>
      <w:r>
        <w:rPr/>
        <w:t>as</w:t>
      </w:r>
      <w:r>
        <w:rPr>
          <w:spacing w:val="-4"/>
        </w:rPr>
        <w:t> </w:t>
      </w:r>
      <w:r>
        <w:rPr/>
        <w:t>reported by</w:t>
      </w:r>
      <w:r>
        <w:rPr>
          <w:spacing w:val="-1"/>
        </w:rPr>
        <w:t> </w:t>
      </w:r>
      <w:r>
        <w:rPr/>
        <w:t>students,</w:t>
      </w:r>
      <w:r>
        <w:rPr>
          <w:spacing w:val="40"/>
        </w:rPr>
        <w:t> </w:t>
      </w:r>
      <w:r>
        <w:rPr/>
        <w:t>faculty, and librarians alike.</w:t>
      </w:r>
      <w:r>
        <w:rPr>
          <w:spacing w:val="77"/>
        </w:rPr>
        <w:t> </w:t>
      </w:r>
      <w:r>
        <w:rPr/>
        <w:t>Both provide space for students to</w:t>
      </w:r>
      <w:r>
        <w:rPr>
          <w:spacing w:val="-2"/>
        </w:rPr>
        <w:t> </w:t>
      </w:r>
      <w:r>
        <w:rPr/>
        <w:t>work comfortably,</w:t>
      </w:r>
      <w:r>
        <w:rPr>
          <w:spacing w:val="34"/>
        </w:rPr>
        <w:t> </w:t>
      </w:r>
      <w:r>
        <w:rPr/>
        <w:t>with reasonable open hours, and</w:t>
      </w:r>
      <w:r>
        <w:rPr>
          <w:spacing w:val="-5"/>
        </w:rPr>
        <w:t> </w:t>
      </w:r>
      <w:r>
        <w:rPr/>
        <w:t>are</w:t>
      </w:r>
      <w:r>
        <w:rPr>
          <w:spacing w:val="-5"/>
        </w:rPr>
        <w:t> </w:t>
      </w:r>
      <w:r>
        <w:rPr/>
        <w:t>linked to electronic resources that</w:t>
      </w:r>
      <w:r>
        <w:rPr>
          <w:spacing w:val="-3"/>
        </w:rPr>
        <w:t> </w:t>
      </w:r>
      <w:r>
        <w:rPr/>
        <w:t>include good databases, including ArtStor, now used as the departmental image </w:t>
      </w:r>
      <w:r>
        <w:rPr>
          <w:spacing w:val="-2"/>
        </w:rPr>
        <w:t>resource.</w:t>
      </w:r>
    </w:p>
    <w:p>
      <w:pPr>
        <w:pStyle w:val="BodyText"/>
        <w:spacing w:before="4"/>
        <w:rPr>
          <w:sz w:val="18"/>
        </w:rPr>
      </w:pPr>
    </w:p>
    <w:p>
      <w:pPr>
        <w:pStyle w:val="BodyText"/>
        <w:ind w:left="929" w:right="424" w:hanging="2"/>
      </w:pPr>
      <w:r>
        <w:rPr/>
        <w:t>The</w:t>
      </w:r>
      <w:r>
        <w:rPr>
          <w:spacing w:val="-10"/>
        </w:rPr>
        <w:t> </w:t>
      </w:r>
      <w:r>
        <w:rPr/>
        <w:t>librarians work well</w:t>
      </w:r>
      <w:r>
        <w:rPr>
          <w:spacing w:val="-5"/>
        </w:rPr>
        <w:t> </w:t>
      </w:r>
      <w:r>
        <w:rPr/>
        <w:t>together and</w:t>
      </w:r>
      <w:r>
        <w:rPr>
          <w:spacing w:val="-2"/>
        </w:rPr>
        <w:t> </w:t>
      </w:r>
      <w:r>
        <w:rPr/>
        <w:t>all</w:t>
      </w:r>
      <w:r>
        <w:rPr>
          <w:spacing w:val="-13"/>
        </w:rPr>
        <w:t> </w:t>
      </w:r>
      <w:r>
        <w:rPr/>
        <w:t>are</w:t>
      </w:r>
      <w:r>
        <w:rPr>
          <w:spacing w:val="-3"/>
        </w:rPr>
        <w:t> </w:t>
      </w:r>
      <w:r>
        <w:rPr/>
        <w:t>dedicated to</w:t>
      </w:r>
      <w:r>
        <w:rPr>
          <w:spacing w:val="-3"/>
        </w:rPr>
        <w:t> </w:t>
      </w:r>
      <w:r>
        <w:rPr/>
        <w:t>the</w:t>
      </w:r>
      <w:r>
        <w:rPr>
          <w:spacing w:val="-2"/>
        </w:rPr>
        <w:t> </w:t>
      </w:r>
      <w:r>
        <w:rPr/>
        <w:t>needs of</w:t>
      </w:r>
      <w:r>
        <w:rPr>
          <w:spacing w:val="-11"/>
        </w:rPr>
        <w:t> </w:t>
      </w:r>
      <w:r>
        <w:rPr/>
        <w:t>architecture students and faculty.</w:t>
      </w:r>
      <w:r>
        <w:rPr>
          <w:spacing w:val="40"/>
        </w:rPr>
        <w:t> </w:t>
      </w:r>
      <w:r>
        <w:rPr/>
        <w:t>One librarian is an</w:t>
      </w:r>
      <w:r>
        <w:rPr>
          <w:spacing w:val="-10"/>
        </w:rPr>
        <w:t> </w:t>
      </w:r>
      <w:r>
        <w:rPr/>
        <w:t>architectural historian, who is particularly responsive to</w:t>
      </w:r>
      <w:r>
        <w:rPr>
          <w:spacing w:val="-6"/>
        </w:rPr>
        <w:t> </w:t>
      </w:r>
      <w:r>
        <w:rPr/>
        <w:t>faculty and student purchase requests.</w:t>
      </w:r>
      <w:r>
        <w:rPr>
          <w:spacing w:val="40"/>
        </w:rPr>
        <w:t> </w:t>
      </w:r>
      <w:r>
        <w:rPr/>
        <w:t>Budgets appear currently</w:t>
      </w:r>
      <w:r>
        <w:rPr>
          <w:spacing w:val="39"/>
        </w:rPr>
        <w:t> </w:t>
      </w:r>
      <w:r>
        <w:rPr/>
        <w:t>adequate for</w:t>
      </w:r>
      <w:r>
        <w:rPr>
          <w:spacing w:val="-2"/>
        </w:rPr>
        <w:t> </w:t>
      </w:r>
      <w:r>
        <w:rPr/>
        <w:t>book purchases, and</w:t>
      </w:r>
      <w:r>
        <w:rPr>
          <w:spacing w:val="-2"/>
        </w:rPr>
        <w:t> </w:t>
      </w:r>
      <w:r>
        <w:rPr/>
        <w:t>the libraries augment their collections annually.</w:t>
      </w:r>
    </w:p>
    <w:p>
      <w:pPr>
        <w:pStyle w:val="BodyText"/>
        <w:spacing w:before="6"/>
      </w:pPr>
    </w:p>
    <w:p>
      <w:pPr>
        <w:pStyle w:val="BodyText"/>
        <w:ind w:left="935" w:right="311" w:hanging="3"/>
      </w:pPr>
      <w:r>
        <w:rPr/>
        <w:t>Students are aware of the larger range</w:t>
      </w:r>
      <w:r>
        <w:rPr>
          <w:spacing w:val="-2"/>
        </w:rPr>
        <w:t> </w:t>
      </w:r>
      <w:r>
        <w:rPr/>
        <w:t>of resources at</w:t>
      </w:r>
      <w:r>
        <w:rPr>
          <w:spacing w:val="-2"/>
        </w:rPr>
        <w:t> </w:t>
      </w:r>
      <w:r>
        <w:rPr/>
        <w:t>Harvey Library, and appear to</w:t>
      </w:r>
      <w:r>
        <w:rPr>
          <w:spacing w:val="-4"/>
        </w:rPr>
        <w:t> </w:t>
      </w:r>
      <w:r>
        <w:rPr/>
        <w:t>use this library actively in</w:t>
      </w:r>
      <w:r>
        <w:rPr>
          <w:spacing w:val="-3"/>
        </w:rPr>
        <w:t> </w:t>
      </w:r>
      <w:r>
        <w:rPr/>
        <w:t>spite of</w:t>
      </w:r>
      <w:r>
        <w:rPr>
          <w:spacing w:val="-5"/>
        </w:rPr>
        <w:t> </w:t>
      </w:r>
      <w:r>
        <w:rPr/>
        <w:t>its</w:t>
      </w:r>
      <w:r>
        <w:rPr>
          <w:spacing w:val="-9"/>
        </w:rPr>
        <w:t> </w:t>
      </w:r>
      <w:r>
        <w:rPr/>
        <w:t>distance from</w:t>
      </w:r>
      <w:r>
        <w:rPr>
          <w:spacing w:val="-4"/>
        </w:rPr>
        <w:t> </w:t>
      </w:r>
      <w:r>
        <w:rPr/>
        <w:t>Bemis.</w:t>
      </w:r>
      <w:r>
        <w:rPr>
          <w:spacing w:val="40"/>
        </w:rPr>
        <w:t> </w:t>
      </w:r>
      <w:r>
        <w:rPr/>
        <w:t>The</w:t>
      </w:r>
      <w:r>
        <w:rPr>
          <w:spacing w:val="-1"/>
        </w:rPr>
        <w:t> </w:t>
      </w:r>
      <w:r>
        <w:rPr/>
        <w:t>department</w:t>
      </w:r>
      <w:r>
        <w:rPr>
          <w:spacing w:val="21"/>
        </w:rPr>
        <w:t> </w:t>
      </w:r>
      <w:r>
        <w:rPr/>
        <w:t>recognizes</w:t>
      </w:r>
      <w:r>
        <w:rPr>
          <w:spacing w:val="23"/>
        </w:rPr>
        <w:t> </w:t>
      </w:r>
      <w:r>
        <w:rPr/>
        <w:t>the</w:t>
      </w:r>
      <w:r>
        <w:rPr>
          <w:spacing w:val="-11"/>
        </w:rPr>
        <w:t> </w:t>
      </w:r>
      <w:r>
        <w:rPr/>
        <w:t>pros and</w:t>
      </w:r>
      <w:r>
        <w:rPr>
          <w:spacing w:val="-22"/>
        </w:rPr>
        <w:t> </w:t>
      </w:r>
      <w:r>
        <w:rPr/>
        <w:t>cons of consolidating their collections within Harvey Library, a move that would add</w:t>
      </w:r>
      <w:r>
        <w:rPr>
          <w:spacing w:val="-10"/>
        </w:rPr>
        <w:t> </w:t>
      </w:r>
      <w:r>
        <w:rPr/>
        <w:t>much-needed space</w:t>
      </w:r>
      <w:r>
        <w:rPr>
          <w:spacing w:val="-7"/>
        </w:rPr>
        <w:t> </w:t>
      </w:r>
      <w:r>
        <w:rPr/>
        <w:t>in</w:t>
      </w:r>
      <w:r>
        <w:rPr>
          <w:spacing w:val="-13"/>
        </w:rPr>
        <w:t> </w:t>
      </w:r>
      <w:r>
        <w:rPr/>
        <w:t>Bemis</w:t>
      </w:r>
      <w:r>
        <w:rPr>
          <w:spacing w:val="-5"/>
        </w:rPr>
        <w:t> </w:t>
      </w:r>
      <w:r>
        <w:rPr/>
        <w:t>but would eliminate a much-appreciated</w:t>
      </w:r>
      <w:r>
        <w:rPr>
          <w:spacing w:val="-26"/>
        </w:rPr>
        <w:t> </w:t>
      </w:r>
      <w:r>
        <w:rPr/>
        <w:t>convenience.</w:t>
      </w:r>
      <w:r>
        <w:rPr>
          <w:spacing w:val="80"/>
        </w:rPr>
        <w:t> </w:t>
      </w:r>
      <w:r>
        <w:rPr>
          <w:sz w:val="21"/>
        </w:rPr>
        <w:t>As</w:t>
      </w:r>
      <w:r>
        <w:rPr>
          <w:spacing w:val="-1"/>
          <w:sz w:val="21"/>
        </w:rPr>
        <w:t> </w:t>
      </w:r>
      <w:r>
        <w:rPr/>
        <w:t>yet</w:t>
      </w:r>
      <w:r>
        <w:rPr>
          <w:spacing w:val="-1"/>
        </w:rPr>
        <w:t> </w:t>
      </w:r>
      <w:r>
        <w:rPr/>
        <w:t>this matter</w:t>
      </w:r>
      <w:r>
        <w:rPr>
          <w:spacing w:val="-5"/>
        </w:rPr>
        <w:t> </w:t>
      </w:r>
      <w:r>
        <w:rPr/>
        <w:t>has not been resolved.</w:t>
      </w:r>
    </w:p>
    <w:p>
      <w:pPr>
        <w:pStyle w:val="BodyText"/>
        <w:rPr>
          <w:sz w:val="22"/>
        </w:rPr>
      </w:pPr>
    </w:p>
    <w:p>
      <w:pPr>
        <w:pStyle w:val="BodyText"/>
        <w:spacing w:before="10"/>
        <w:rPr>
          <w:sz w:val="21"/>
        </w:rPr>
      </w:pPr>
    </w:p>
    <w:p>
      <w:pPr>
        <w:pStyle w:val="ListParagraph"/>
        <w:numPr>
          <w:ilvl w:val="1"/>
          <w:numId w:val="75"/>
        </w:numPr>
        <w:tabs>
          <w:tab w:pos="935" w:val="left" w:leader="none"/>
          <w:tab w:pos="936" w:val="left" w:leader="none"/>
        </w:tabs>
        <w:spacing w:line="240" w:lineRule="auto" w:before="0" w:after="0"/>
        <w:ind w:left="935" w:right="0" w:hanging="729"/>
        <w:jc w:val="left"/>
        <w:rPr>
          <w:sz w:val="20"/>
        </w:rPr>
      </w:pPr>
      <w:r>
        <w:rPr>
          <w:w w:val="105"/>
          <w:sz w:val="20"/>
        </w:rPr>
        <w:t>Financial</w:t>
      </w:r>
      <w:r>
        <w:rPr>
          <w:spacing w:val="13"/>
          <w:w w:val="110"/>
          <w:sz w:val="20"/>
        </w:rPr>
        <w:t> </w:t>
      </w:r>
      <w:r>
        <w:rPr>
          <w:spacing w:val="-2"/>
          <w:w w:val="110"/>
          <w:sz w:val="20"/>
        </w:rPr>
        <w:t>Resources</w:t>
      </w:r>
    </w:p>
    <w:p>
      <w:pPr>
        <w:pStyle w:val="BodyText"/>
        <w:rPr>
          <w:sz w:val="21"/>
        </w:rPr>
      </w:pPr>
    </w:p>
    <w:p>
      <w:pPr>
        <w:spacing w:line="242" w:lineRule="auto" w:before="0"/>
        <w:ind w:left="942" w:right="424" w:firstLine="3"/>
        <w:jc w:val="left"/>
        <w:rPr>
          <w:i/>
          <w:sz w:val="19"/>
        </w:rPr>
      </w:pPr>
      <w:r>
        <w:rPr>
          <w:i/>
          <w:w w:val="105"/>
          <w:sz w:val="19"/>
        </w:rPr>
        <w:t>An accredited degree program must have access to sufficient institutional support and financial resources</w:t>
      </w:r>
      <w:r>
        <w:rPr>
          <w:i/>
          <w:spacing w:val="-1"/>
          <w:w w:val="105"/>
          <w:sz w:val="19"/>
        </w:rPr>
        <w:t> </w:t>
      </w:r>
      <w:r>
        <w:rPr>
          <w:i/>
          <w:w w:val="105"/>
          <w:sz w:val="19"/>
        </w:rPr>
        <w:t>to meet its</w:t>
      </w:r>
      <w:r>
        <w:rPr>
          <w:i/>
          <w:spacing w:val="-8"/>
          <w:w w:val="105"/>
          <w:sz w:val="19"/>
        </w:rPr>
        <w:t> </w:t>
      </w:r>
      <w:r>
        <w:rPr>
          <w:i/>
          <w:w w:val="105"/>
          <w:sz w:val="19"/>
        </w:rPr>
        <w:t>needs and</w:t>
      </w:r>
      <w:r>
        <w:rPr>
          <w:i/>
          <w:spacing w:val="-5"/>
          <w:w w:val="105"/>
          <w:sz w:val="19"/>
        </w:rPr>
        <w:t> </w:t>
      </w:r>
      <w:r>
        <w:rPr>
          <w:i/>
          <w:w w:val="105"/>
          <w:sz w:val="19"/>
        </w:rPr>
        <w:t>be comparable</w:t>
      </w:r>
      <w:r>
        <w:rPr>
          <w:i/>
          <w:spacing w:val="26"/>
          <w:w w:val="105"/>
          <w:sz w:val="19"/>
        </w:rPr>
        <w:t> </w:t>
      </w:r>
      <w:r>
        <w:rPr>
          <w:i/>
          <w:w w:val="105"/>
          <w:sz w:val="19"/>
        </w:rPr>
        <w:t>in</w:t>
      </w:r>
      <w:r>
        <w:rPr>
          <w:i/>
          <w:spacing w:val="-5"/>
          <w:w w:val="105"/>
          <w:sz w:val="19"/>
        </w:rPr>
        <w:t> </w:t>
      </w:r>
      <w:r>
        <w:rPr>
          <w:i/>
          <w:w w:val="105"/>
          <w:sz w:val="19"/>
        </w:rPr>
        <w:t>scope to</w:t>
      </w:r>
      <w:r>
        <w:rPr>
          <w:i/>
          <w:spacing w:val="-1"/>
          <w:w w:val="105"/>
          <w:sz w:val="19"/>
        </w:rPr>
        <w:t> </w:t>
      </w:r>
      <w:r>
        <w:rPr>
          <w:i/>
          <w:w w:val="105"/>
          <w:sz w:val="19"/>
        </w:rPr>
        <w:t>those</w:t>
      </w:r>
      <w:r>
        <w:rPr>
          <w:i/>
          <w:spacing w:val="-9"/>
          <w:w w:val="105"/>
          <w:sz w:val="19"/>
        </w:rPr>
        <w:t> </w:t>
      </w:r>
      <w:r>
        <w:rPr>
          <w:i/>
          <w:w w:val="105"/>
          <w:sz w:val="19"/>
        </w:rPr>
        <w:t>available </w:t>
      </w:r>
      <w:r>
        <w:rPr>
          <w:w w:val="105"/>
          <w:sz w:val="20"/>
        </w:rPr>
        <w:t>to</w:t>
      </w:r>
      <w:r>
        <w:rPr>
          <w:spacing w:val="-9"/>
          <w:w w:val="105"/>
          <w:sz w:val="20"/>
        </w:rPr>
        <w:t> </w:t>
      </w:r>
      <w:r>
        <w:rPr>
          <w:i/>
          <w:w w:val="105"/>
          <w:sz w:val="19"/>
        </w:rPr>
        <w:t>meet</w:t>
      </w:r>
      <w:r>
        <w:rPr>
          <w:i/>
          <w:spacing w:val="-9"/>
          <w:w w:val="105"/>
          <w:sz w:val="19"/>
        </w:rPr>
        <w:t> </w:t>
      </w:r>
      <w:r>
        <w:rPr>
          <w:i/>
          <w:w w:val="105"/>
          <w:sz w:val="19"/>
        </w:rPr>
        <w:t>the</w:t>
      </w:r>
      <w:r>
        <w:rPr>
          <w:i/>
          <w:spacing w:val="-12"/>
          <w:w w:val="105"/>
          <w:sz w:val="19"/>
        </w:rPr>
        <w:t> </w:t>
      </w:r>
      <w:r>
        <w:rPr>
          <w:i/>
          <w:w w:val="105"/>
          <w:sz w:val="19"/>
        </w:rPr>
        <w:t>needs of other professional programs within the institution.</w:t>
      </w:r>
    </w:p>
    <w:p>
      <w:pPr>
        <w:pStyle w:val="BodyText"/>
        <w:tabs>
          <w:tab w:pos="8356" w:val="left" w:leader="none"/>
        </w:tabs>
        <w:spacing w:before="10"/>
        <w:ind w:left="7460"/>
      </w:pPr>
      <w:r>
        <w:rPr>
          <w:spacing w:val="-5"/>
          <w:w w:val="105"/>
        </w:rPr>
        <w:t>Met</w:t>
      </w:r>
      <w:r>
        <w:rPr/>
        <w:tab/>
        <w:t>Not</w:t>
      </w:r>
      <w:r>
        <w:rPr>
          <w:spacing w:val="-4"/>
        </w:rPr>
        <w:t> </w:t>
      </w:r>
      <w:r>
        <w:rPr>
          <w:spacing w:val="-5"/>
          <w:w w:val="105"/>
        </w:rPr>
        <w:t>Met</w:t>
      </w:r>
    </w:p>
    <w:p>
      <w:pPr>
        <w:pStyle w:val="Heading7"/>
        <w:tabs>
          <w:tab w:pos="8518" w:val="left" w:leader="none"/>
        </w:tabs>
        <w:spacing w:before="12"/>
        <w:ind w:left="7525"/>
      </w:pPr>
      <w:r>
        <w:rPr>
          <w:spacing w:val="-5"/>
          <w:w w:val="105"/>
        </w:rPr>
        <w:t>[XI</w:t>
      </w:r>
      <w:r>
        <w:rPr/>
        <w:tab/>
      </w:r>
      <w:r>
        <w:rPr>
          <w:w w:val="105"/>
        </w:rPr>
        <w:t>[</w:t>
      </w:r>
      <w:r>
        <w:rPr>
          <w:spacing w:val="21"/>
          <w:w w:val="105"/>
        </w:rPr>
        <w:t>  </w:t>
      </w:r>
      <w:r>
        <w:rPr>
          <w:spacing w:val="-10"/>
          <w:w w:val="105"/>
        </w:rPr>
        <w:t>I</w:t>
      </w:r>
    </w:p>
    <w:p>
      <w:pPr>
        <w:pStyle w:val="BodyText"/>
      </w:pPr>
    </w:p>
    <w:p>
      <w:pPr>
        <w:pStyle w:val="BodyText"/>
        <w:spacing w:before="10"/>
        <w:rPr>
          <w:sz w:val="21"/>
        </w:rPr>
      </w:pPr>
      <w:r>
        <w:rPr/>
        <w:pict>
          <v:shape style="position:absolute;margin-left:65.524673pt;margin-top:13.773974pt;width:456.75pt;height:.1pt;mso-position-horizontal-relative:page;mso-position-vertical-relative:paragraph;z-index:-15701504;mso-wrap-distance-left:0;mso-wrap-distance-right:0" id="docshape639" coordorigin="1310,275" coordsize="9135,0" path="m1310,275l10445,275e" filled="false" stroked="true" strokeweight=".481434pt" strokecolor="#000000">
            <v:path arrowok="t"/>
            <v:stroke dashstyle="solid"/>
            <w10:wrap type="topAndBottom"/>
          </v:shape>
        </w:pict>
      </w:r>
    </w:p>
    <w:p>
      <w:pPr>
        <w:pStyle w:val="BodyText"/>
        <w:ind w:right="215"/>
        <w:jc w:val="right"/>
      </w:pPr>
      <w:r>
        <w:rPr>
          <w:spacing w:val="-5"/>
          <w:w w:val="110"/>
        </w:rPr>
        <w:t>11</w:t>
      </w:r>
    </w:p>
    <w:p>
      <w:pPr>
        <w:spacing w:after="0"/>
        <w:jc w:val="right"/>
        <w:sectPr>
          <w:headerReference w:type="default" r:id="rId381"/>
          <w:footerReference w:type="default" r:id="rId382"/>
          <w:pgSz w:w="12180" w:h="15820"/>
          <w:pgMar w:header="598" w:footer="0" w:top="1300" w:bottom="280" w:left="1120" w:right="1180"/>
        </w:sectPr>
      </w:pPr>
    </w:p>
    <w:p>
      <w:pPr>
        <w:pStyle w:val="BodyText"/>
        <w:spacing w:before="4"/>
        <w:rPr>
          <w:sz w:val="19"/>
        </w:rPr>
      </w:pPr>
    </w:p>
    <w:p>
      <w:pPr>
        <w:spacing w:line="254" w:lineRule="auto" w:before="95"/>
        <w:ind w:left="927" w:right="424" w:hanging="1"/>
        <w:jc w:val="left"/>
        <w:rPr>
          <w:sz w:val="19"/>
        </w:rPr>
      </w:pPr>
      <w:r>
        <w:rPr>
          <w:w w:val="105"/>
          <w:sz w:val="19"/>
        </w:rPr>
        <w:t>Hampton University is a private institution</w:t>
      </w:r>
      <w:r>
        <w:rPr>
          <w:spacing w:val="-6"/>
          <w:w w:val="105"/>
          <w:sz w:val="19"/>
        </w:rPr>
        <w:t> </w:t>
      </w:r>
      <w:r>
        <w:rPr>
          <w:w w:val="105"/>
          <w:sz w:val="19"/>
        </w:rPr>
        <w:t>and the</w:t>
      </w:r>
      <w:r>
        <w:rPr>
          <w:spacing w:val="-2"/>
          <w:w w:val="105"/>
          <w:sz w:val="19"/>
        </w:rPr>
        <w:t> </w:t>
      </w:r>
      <w:r>
        <w:rPr>
          <w:w w:val="105"/>
          <w:sz w:val="19"/>
        </w:rPr>
        <w:t>team's</w:t>
      </w:r>
      <w:r>
        <w:rPr>
          <w:spacing w:val="-2"/>
          <w:w w:val="105"/>
          <w:sz w:val="19"/>
        </w:rPr>
        <w:t> </w:t>
      </w:r>
      <w:r>
        <w:rPr>
          <w:w w:val="105"/>
          <w:sz w:val="19"/>
        </w:rPr>
        <w:t>access to</w:t>
      </w:r>
      <w:r>
        <w:rPr>
          <w:spacing w:val="-7"/>
          <w:w w:val="105"/>
          <w:sz w:val="19"/>
        </w:rPr>
        <w:t> </w:t>
      </w:r>
      <w:r>
        <w:rPr>
          <w:w w:val="105"/>
          <w:sz w:val="19"/>
        </w:rPr>
        <w:t>detailed</w:t>
      </w:r>
      <w:r>
        <w:rPr>
          <w:spacing w:val="-2"/>
          <w:w w:val="105"/>
          <w:sz w:val="19"/>
        </w:rPr>
        <w:t> </w:t>
      </w:r>
      <w:r>
        <w:rPr>
          <w:w w:val="105"/>
          <w:sz w:val="19"/>
        </w:rPr>
        <w:t>financial</w:t>
      </w:r>
      <w:r>
        <w:rPr>
          <w:spacing w:val="-1"/>
          <w:w w:val="105"/>
          <w:sz w:val="19"/>
        </w:rPr>
        <w:t> </w:t>
      </w:r>
      <w:r>
        <w:rPr>
          <w:w w:val="105"/>
          <w:sz w:val="19"/>
        </w:rPr>
        <w:t>information is limited.</w:t>
      </w:r>
      <w:r>
        <w:rPr>
          <w:spacing w:val="40"/>
          <w:w w:val="105"/>
          <w:sz w:val="19"/>
        </w:rPr>
        <w:t> </w:t>
      </w:r>
      <w:r>
        <w:rPr>
          <w:w w:val="105"/>
          <w:sz w:val="19"/>
        </w:rPr>
        <w:t>Over the</w:t>
      </w:r>
      <w:r>
        <w:rPr>
          <w:spacing w:val="-5"/>
          <w:w w:val="105"/>
          <w:sz w:val="19"/>
        </w:rPr>
        <w:t> </w:t>
      </w:r>
      <w:r>
        <w:rPr>
          <w:w w:val="105"/>
          <w:sz w:val="19"/>
        </w:rPr>
        <w:t>past six years, the Department of Architecture's</w:t>
      </w:r>
      <w:r>
        <w:rPr>
          <w:spacing w:val="-9"/>
          <w:w w:val="105"/>
          <w:sz w:val="19"/>
        </w:rPr>
        <w:t> </w:t>
      </w:r>
      <w:r>
        <w:rPr>
          <w:w w:val="105"/>
          <w:sz w:val="19"/>
        </w:rPr>
        <w:t>operating</w:t>
      </w:r>
      <w:r>
        <w:rPr>
          <w:spacing w:val="-1"/>
          <w:w w:val="105"/>
          <w:sz w:val="19"/>
        </w:rPr>
        <w:t> </w:t>
      </w:r>
      <w:r>
        <w:rPr>
          <w:w w:val="105"/>
          <w:sz w:val="19"/>
        </w:rPr>
        <w:t>budget ranged from$ 145 to almost $190 per student and total budget from$ 3,500 to</w:t>
      </w:r>
      <w:r>
        <w:rPr>
          <w:spacing w:val="-7"/>
          <w:w w:val="105"/>
          <w:sz w:val="19"/>
        </w:rPr>
        <w:t> </w:t>
      </w:r>
      <w:r>
        <w:rPr>
          <w:w w:val="105"/>
          <w:sz w:val="19"/>
        </w:rPr>
        <w:t>over$ 4,500 per student. Recent increases in the</w:t>
      </w:r>
      <w:r>
        <w:rPr>
          <w:spacing w:val="-2"/>
          <w:w w:val="105"/>
          <w:sz w:val="19"/>
        </w:rPr>
        <w:t> </w:t>
      </w:r>
      <w:r>
        <w:rPr>
          <w:w w:val="105"/>
          <w:sz w:val="19"/>
        </w:rPr>
        <w:t>operating</w:t>
      </w:r>
      <w:r>
        <w:rPr>
          <w:spacing w:val="-5"/>
          <w:w w:val="105"/>
          <w:sz w:val="19"/>
        </w:rPr>
        <w:t> </w:t>
      </w:r>
      <w:r>
        <w:rPr>
          <w:w w:val="105"/>
          <w:sz w:val="19"/>
        </w:rPr>
        <w:t>budget, grant and TiUe Ill</w:t>
      </w:r>
      <w:r>
        <w:rPr>
          <w:spacing w:val="40"/>
          <w:w w:val="105"/>
          <w:sz w:val="19"/>
        </w:rPr>
        <w:t> </w:t>
      </w:r>
      <w:r>
        <w:rPr>
          <w:w w:val="105"/>
          <w:sz w:val="19"/>
        </w:rPr>
        <w:t>funding have supported speakers, library acquisitions, computer equipment and furniture.</w:t>
      </w:r>
    </w:p>
    <w:p>
      <w:pPr>
        <w:pStyle w:val="BodyText"/>
        <w:spacing w:before="5"/>
        <w:rPr>
          <w:sz w:val="17"/>
        </w:rPr>
      </w:pPr>
    </w:p>
    <w:p>
      <w:pPr>
        <w:spacing w:line="254" w:lineRule="auto" w:before="0"/>
        <w:ind w:left="914" w:right="373" w:firstLine="12"/>
        <w:jc w:val="left"/>
        <w:rPr>
          <w:sz w:val="19"/>
        </w:rPr>
      </w:pPr>
      <w:r>
        <w:rPr>
          <w:w w:val="105"/>
          <w:sz w:val="19"/>
        </w:rPr>
        <w:t>Even</w:t>
      </w:r>
      <w:r>
        <w:rPr>
          <w:spacing w:val="-7"/>
          <w:w w:val="105"/>
          <w:sz w:val="19"/>
        </w:rPr>
        <w:t> </w:t>
      </w:r>
      <w:r>
        <w:rPr>
          <w:w w:val="105"/>
          <w:sz w:val="19"/>
        </w:rPr>
        <w:t>considering </w:t>
      </w:r>
      <w:r>
        <w:rPr>
          <w:w w:val="105"/>
          <w:sz w:val="22"/>
        </w:rPr>
        <w:t>the</w:t>
      </w:r>
      <w:r>
        <w:rPr>
          <w:spacing w:val="-16"/>
          <w:w w:val="105"/>
          <w:sz w:val="22"/>
        </w:rPr>
        <w:t> </w:t>
      </w:r>
      <w:r>
        <w:rPr>
          <w:w w:val="105"/>
          <w:sz w:val="19"/>
        </w:rPr>
        <w:t>recent increases in financial support, the</w:t>
      </w:r>
      <w:r>
        <w:rPr>
          <w:spacing w:val="-12"/>
          <w:w w:val="105"/>
          <w:sz w:val="19"/>
        </w:rPr>
        <w:t> </w:t>
      </w:r>
      <w:r>
        <w:rPr>
          <w:w w:val="105"/>
          <w:sz w:val="19"/>
        </w:rPr>
        <w:t>Department of Architecture remains</w:t>
      </w:r>
      <w:r>
        <w:rPr>
          <w:spacing w:val="-2"/>
          <w:w w:val="105"/>
          <w:sz w:val="19"/>
        </w:rPr>
        <w:t> </w:t>
      </w:r>
      <w:r>
        <w:rPr>
          <w:w w:val="105"/>
          <w:sz w:val="19"/>
        </w:rPr>
        <w:t>dramatically</w:t>
      </w:r>
      <w:r>
        <w:rPr>
          <w:spacing w:val="16"/>
          <w:w w:val="105"/>
          <w:sz w:val="19"/>
        </w:rPr>
        <w:t> </w:t>
      </w:r>
      <w:r>
        <w:rPr>
          <w:w w:val="105"/>
          <w:sz w:val="19"/>
        </w:rPr>
        <w:t>below</w:t>
      </w:r>
      <w:r>
        <w:rPr>
          <w:spacing w:val="-6"/>
          <w:w w:val="105"/>
          <w:sz w:val="19"/>
        </w:rPr>
        <w:t> </w:t>
      </w:r>
      <w:r>
        <w:rPr>
          <w:w w:val="105"/>
          <w:sz w:val="19"/>
        </w:rPr>
        <w:t>other</w:t>
      </w:r>
      <w:r>
        <w:rPr>
          <w:spacing w:val="-9"/>
          <w:w w:val="105"/>
          <w:sz w:val="19"/>
        </w:rPr>
        <w:t> </w:t>
      </w:r>
      <w:r>
        <w:rPr>
          <w:w w:val="105"/>
          <w:sz w:val="19"/>
        </w:rPr>
        <w:t>professional programs</w:t>
      </w:r>
      <w:r>
        <w:rPr>
          <w:spacing w:val="-7"/>
          <w:w w:val="105"/>
          <w:sz w:val="19"/>
        </w:rPr>
        <w:t> </w:t>
      </w:r>
      <w:r>
        <w:rPr>
          <w:w w:val="105"/>
          <w:sz w:val="19"/>
        </w:rPr>
        <w:t>in</w:t>
      </w:r>
      <w:r>
        <w:rPr>
          <w:spacing w:val="-1"/>
          <w:w w:val="105"/>
          <w:sz w:val="19"/>
        </w:rPr>
        <w:t> </w:t>
      </w:r>
      <w:r>
        <w:rPr>
          <w:w w:val="105"/>
          <w:sz w:val="19"/>
        </w:rPr>
        <w:t>the</w:t>
      </w:r>
      <w:r>
        <w:rPr>
          <w:spacing w:val="-5"/>
          <w:w w:val="105"/>
          <w:sz w:val="19"/>
        </w:rPr>
        <w:t> </w:t>
      </w:r>
      <w:r>
        <w:rPr>
          <w:w w:val="105"/>
          <w:sz w:val="19"/>
        </w:rPr>
        <w:t>university in</w:t>
      </w:r>
      <w:r>
        <w:rPr>
          <w:spacing w:val="-9"/>
          <w:w w:val="105"/>
          <w:sz w:val="19"/>
        </w:rPr>
        <w:t> </w:t>
      </w:r>
      <w:r>
        <w:rPr>
          <w:w w:val="105"/>
          <w:sz w:val="19"/>
        </w:rPr>
        <w:t>spending</w:t>
      </w:r>
      <w:r>
        <w:rPr>
          <w:spacing w:val="-4"/>
          <w:w w:val="105"/>
          <w:sz w:val="19"/>
        </w:rPr>
        <w:t> </w:t>
      </w:r>
      <w:r>
        <w:rPr>
          <w:w w:val="105"/>
          <w:sz w:val="19"/>
        </w:rPr>
        <w:t>per</w:t>
      </w:r>
      <w:r>
        <w:rPr>
          <w:spacing w:val="-7"/>
          <w:w w:val="105"/>
          <w:sz w:val="19"/>
        </w:rPr>
        <w:t> </w:t>
      </w:r>
      <w:r>
        <w:rPr>
          <w:w w:val="105"/>
          <w:sz w:val="19"/>
        </w:rPr>
        <w:t>student. It is below the</w:t>
      </w:r>
      <w:r>
        <w:rPr>
          <w:spacing w:val="-3"/>
          <w:w w:val="105"/>
          <w:sz w:val="19"/>
        </w:rPr>
        <w:t> </w:t>
      </w:r>
      <w:r>
        <w:rPr>
          <w:w w:val="105"/>
          <w:sz w:val="19"/>
        </w:rPr>
        <w:t>School of Pharmacy's funding per student</w:t>
      </w:r>
      <w:r>
        <w:rPr>
          <w:spacing w:val="-6"/>
          <w:w w:val="105"/>
          <w:sz w:val="19"/>
        </w:rPr>
        <w:t> </w:t>
      </w:r>
      <w:r>
        <w:rPr>
          <w:w w:val="105"/>
          <w:sz w:val="19"/>
        </w:rPr>
        <w:t>by a factor of</w:t>
      </w:r>
      <w:r>
        <w:rPr>
          <w:spacing w:val="-7"/>
          <w:w w:val="105"/>
          <w:sz w:val="19"/>
        </w:rPr>
        <w:t> </w:t>
      </w:r>
      <w:r>
        <w:rPr>
          <w:w w:val="105"/>
          <w:sz w:val="19"/>
        </w:rPr>
        <w:t>22</w:t>
      </w:r>
      <w:r>
        <w:rPr>
          <w:spacing w:val="-3"/>
          <w:w w:val="105"/>
          <w:sz w:val="19"/>
        </w:rPr>
        <w:t> </w:t>
      </w:r>
      <w:r>
        <w:rPr>
          <w:w w:val="105"/>
          <w:sz w:val="19"/>
        </w:rPr>
        <w:t>in operating budget</w:t>
      </w:r>
      <w:r>
        <w:rPr>
          <w:spacing w:val="-1"/>
          <w:w w:val="105"/>
          <w:sz w:val="19"/>
        </w:rPr>
        <w:t> </w:t>
      </w:r>
      <w:r>
        <w:rPr>
          <w:w w:val="105"/>
          <w:sz w:val="19"/>
        </w:rPr>
        <w:t>($ 189 v. $</w:t>
      </w:r>
      <w:r>
        <w:rPr>
          <w:spacing w:val="-3"/>
          <w:w w:val="105"/>
          <w:sz w:val="19"/>
        </w:rPr>
        <w:t> </w:t>
      </w:r>
      <w:r>
        <w:rPr>
          <w:w w:val="105"/>
          <w:sz w:val="19"/>
        </w:rPr>
        <w:t>4115</w:t>
      </w:r>
      <w:r>
        <w:rPr>
          <w:spacing w:val="-2"/>
          <w:w w:val="105"/>
          <w:sz w:val="19"/>
        </w:rPr>
        <w:t> </w:t>
      </w:r>
      <w:r>
        <w:rPr>
          <w:w w:val="105"/>
          <w:sz w:val="19"/>
        </w:rPr>
        <w:t>per</w:t>
      </w:r>
      <w:r>
        <w:rPr>
          <w:spacing w:val="-4"/>
          <w:w w:val="105"/>
          <w:sz w:val="19"/>
        </w:rPr>
        <w:t> </w:t>
      </w:r>
      <w:r>
        <w:rPr>
          <w:w w:val="105"/>
          <w:sz w:val="19"/>
        </w:rPr>
        <w:t>student) and 1.55 per student in total</w:t>
      </w:r>
      <w:r>
        <w:rPr>
          <w:spacing w:val="-7"/>
          <w:w w:val="105"/>
          <w:sz w:val="19"/>
        </w:rPr>
        <w:t> </w:t>
      </w:r>
      <w:r>
        <w:rPr>
          <w:w w:val="105"/>
          <w:sz w:val="19"/>
        </w:rPr>
        <w:t>budget.</w:t>
      </w:r>
      <w:r>
        <w:rPr>
          <w:spacing w:val="40"/>
          <w:w w:val="105"/>
          <w:sz w:val="19"/>
        </w:rPr>
        <w:t> </w:t>
      </w:r>
      <w:r>
        <w:rPr>
          <w:w w:val="105"/>
          <w:sz w:val="19"/>
        </w:rPr>
        <w:t>Chairman Easter's initiative of establishing an Architectural Advisory Board to</w:t>
      </w:r>
      <w:r>
        <w:rPr>
          <w:spacing w:val="-2"/>
          <w:w w:val="105"/>
          <w:sz w:val="19"/>
        </w:rPr>
        <w:t> </w:t>
      </w:r>
      <w:r>
        <w:rPr>
          <w:w w:val="105"/>
          <w:sz w:val="19"/>
        </w:rPr>
        <w:t>support departmental</w:t>
      </w:r>
      <w:r>
        <w:rPr>
          <w:spacing w:val="-2"/>
          <w:w w:val="105"/>
          <w:sz w:val="19"/>
        </w:rPr>
        <w:t> </w:t>
      </w:r>
      <w:r>
        <w:rPr>
          <w:w w:val="105"/>
          <w:sz w:val="19"/>
        </w:rPr>
        <w:t>objectives and</w:t>
      </w:r>
      <w:r>
        <w:rPr>
          <w:spacing w:val="-2"/>
          <w:w w:val="105"/>
          <w:sz w:val="19"/>
        </w:rPr>
        <w:t> </w:t>
      </w:r>
      <w:r>
        <w:rPr>
          <w:w w:val="105"/>
          <w:sz w:val="19"/>
        </w:rPr>
        <w:t>financial needs shows promise and will raise the department's visibility in the</w:t>
      </w:r>
      <w:r>
        <w:rPr>
          <w:spacing w:val="-1"/>
          <w:w w:val="105"/>
          <w:sz w:val="19"/>
        </w:rPr>
        <w:t> </w:t>
      </w:r>
      <w:r>
        <w:rPr>
          <w:w w:val="105"/>
          <w:sz w:val="19"/>
        </w:rPr>
        <w:t>region.</w:t>
      </w:r>
    </w:p>
    <w:p>
      <w:pPr>
        <w:pStyle w:val="BodyText"/>
        <w:spacing w:before="10"/>
        <w:rPr>
          <w:sz w:val="19"/>
        </w:rPr>
      </w:pPr>
    </w:p>
    <w:p>
      <w:pPr>
        <w:spacing w:line="256" w:lineRule="auto" w:before="1"/>
        <w:ind w:left="919" w:right="311" w:firstLine="8"/>
        <w:jc w:val="left"/>
        <w:rPr>
          <w:sz w:val="19"/>
        </w:rPr>
      </w:pPr>
      <w:r>
        <w:rPr>
          <w:w w:val="105"/>
          <w:sz w:val="19"/>
        </w:rPr>
        <w:t>Limited financial resources impose a risk to</w:t>
      </w:r>
      <w:r>
        <w:rPr>
          <w:spacing w:val="-1"/>
          <w:w w:val="105"/>
          <w:sz w:val="19"/>
        </w:rPr>
        <w:t> </w:t>
      </w:r>
      <w:r>
        <w:rPr>
          <w:w w:val="105"/>
          <w:sz w:val="19"/>
        </w:rPr>
        <w:t>the department being</w:t>
      </w:r>
      <w:r>
        <w:rPr>
          <w:spacing w:val="-3"/>
          <w:w w:val="105"/>
          <w:sz w:val="19"/>
        </w:rPr>
        <w:t> </w:t>
      </w:r>
      <w:r>
        <w:rPr>
          <w:w w:val="105"/>
          <w:sz w:val="19"/>
        </w:rPr>
        <w:t>able</w:t>
      </w:r>
      <w:r>
        <w:rPr>
          <w:spacing w:val="-7"/>
          <w:w w:val="105"/>
          <w:sz w:val="19"/>
        </w:rPr>
        <w:t> </w:t>
      </w:r>
      <w:r>
        <w:rPr>
          <w:w w:val="105"/>
          <w:sz w:val="19"/>
        </w:rPr>
        <w:t>to meet</w:t>
      </w:r>
      <w:r>
        <w:rPr>
          <w:spacing w:val="-7"/>
          <w:w w:val="105"/>
          <w:sz w:val="19"/>
        </w:rPr>
        <w:t> </w:t>
      </w:r>
      <w:r>
        <w:rPr>
          <w:w w:val="105"/>
          <w:sz w:val="19"/>
        </w:rPr>
        <w:t>the demands of a master's degree.</w:t>
      </w:r>
      <w:r>
        <w:rPr>
          <w:spacing w:val="40"/>
          <w:w w:val="105"/>
          <w:sz w:val="19"/>
        </w:rPr>
        <w:t> </w:t>
      </w:r>
      <w:r>
        <w:rPr>
          <w:w w:val="105"/>
          <w:sz w:val="19"/>
        </w:rPr>
        <w:t>While the</w:t>
      </w:r>
      <w:r>
        <w:rPr>
          <w:spacing w:val="-6"/>
          <w:w w:val="105"/>
          <w:sz w:val="19"/>
        </w:rPr>
        <w:t> </w:t>
      </w:r>
      <w:r>
        <w:rPr>
          <w:w w:val="105"/>
          <w:sz w:val="19"/>
        </w:rPr>
        <w:t>Team considers this condition</w:t>
      </w:r>
      <w:r>
        <w:rPr>
          <w:spacing w:val="-3"/>
          <w:w w:val="105"/>
          <w:sz w:val="19"/>
        </w:rPr>
        <w:t> </w:t>
      </w:r>
      <w:r>
        <w:rPr>
          <w:w w:val="105"/>
          <w:sz w:val="19"/>
        </w:rPr>
        <w:t>met, the disparity in professional program support within</w:t>
      </w:r>
      <w:r>
        <w:rPr>
          <w:spacing w:val="-17"/>
          <w:w w:val="105"/>
          <w:sz w:val="19"/>
        </w:rPr>
        <w:t> </w:t>
      </w:r>
      <w:r>
        <w:rPr>
          <w:w w:val="105"/>
          <w:sz w:val="19"/>
        </w:rPr>
        <w:t>the University and</w:t>
      </w:r>
      <w:r>
        <w:rPr>
          <w:spacing w:val="-11"/>
          <w:w w:val="105"/>
          <w:sz w:val="19"/>
        </w:rPr>
        <w:t> </w:t>
      </w:r>
      <w:r>
        <w:rPr>
          <w:w w:val="105"/>
          <w:sz w:val="19"/>
        </w:rPr>
        <w:t>increasing support</w:t>
      </w:r>
      <w:r>
        <w:rPr>
          <w:spacing w:val="-4"/>
          <w:w w:val="105"/>
          <w:sz w:val="19"/>
        </w:rPr>
        <w:t> </w:t>
      </w:r>
      <w:r>
        <w:rPr>
          <w:w w:val="105"/>
          <w:sz w:val="19"/>
        </w:rPr>
        <w:t>commensurate with</w:t>
      </w:r>
      <w:r>
        <w:rPr>
          <w:spacing w:val="-2"/>
          <w:w w:val="105"/>
          <w:sz w:val="19"/>
        </w:rPr>
        <w:t> </w:t>
      </w:r>
      <w:r>
        <w:rPr>
          <w:w w:val="105"/>
          <w:sz w:val="19"/>
        </w:rPr>
        <w:t>the</w:t>
      </w:r>
      <w:r>
        <w:rPr>
          <w:spacing w:val="-5"/>
          <w:w w:val="105"/>
          <w:sz w:val="19"/>
        </w:rPr>
        <w:t> </w:t>
      </w:r>
      <w:r>
        <w:rPr>
          <w:w w:val="105"/>
          <w:sz w:val="19"/>
        </w:rPr>
        <w:t>new</w:t>
      </w:r>
      <w:r>
        <w:rPr>
          <w:spacing w:val="-11"/>
          <w:w w:val="105"/>
          <w:sz w:val="19"/>
        </w:rPr>
        <w:t> </w:t>
      </w:r>
      <w:r>
        <w:rPr>
          <w:w w:val="105"/>
          <w:sz w:val="19"/>
        </w:rPr>
        <w:t>degree offering is an</w:t>
      </w:r>
      <w:r>
        <w:rPr>
          <w:spacing w:val="-6"/>
          <w:w w:val="105"/>
          <w:sz w:val="19"/>
        </w:rPr>
        <w:t> </w:t>
      </w:r>
      <w:r>
        <w:rPr>
          <w:w w:val="105"/>
          <w:sz w:val="19"/>
        </w:rPr>
        <w:t>issue</w:t>
      </w:r>
      <w:r>
        <w:rPr>
          <w:spacing w:val="-6"/>
          <w:w w:val="105"/>
          <w:sz w:val="19"/>
        </w:rPr>
        <w:t> </w:t>
      </w:r>
      <w:r>
        <w:rPr>
          <w:w w:val="105"/>
          <w:sz w:val="19"/>
        </w:rPr>
        <w:t>both</w:t>
      </w:r>
      <w:r>
        <w:rPr>
          <w:spacing w:val="-6"/>
          <w:w w:val="105"/>
          <w:sz w:val="19"/>
        </w:rPr>
        <w:t> </w:t>
      </w:r>
      <w:r>
        <w:rPr>
          <w:w w:val="105"/>
          <w:sz w:val="19"/>
        </w:rPr>
        <w:t>the Department of Architecture and</w:t>
      </w:r>
      <w:r>
        <w:rPr>
          <w:spacing w:val="-5"/>
          <w:w w:val="105"/>
          <w:sz w:val="19"/>
        </w:rPr>
        <w:t> </w:t>
      </w:r>
      <w:r>
        <w:rPr>
          <w:w w:val="105"/>
          <w:sz w:val="19"/>
        </w:rPr>
        <w:t>the university should endeavor to </w:t>
      </w:r>
      <w:r>
        <w:rPr>
          <w:spacing w:val="-2"/>
          <w:w w:val="105"/>
          <w:sz w:val="19"/>
        </w:rPr>
        <w:t>correct.</w:t>
      </w:r>
    </w:p>
    <w:p>
      <w:pPr>
        <w:pStyle w:val="BodyText"/>
      </w:pPr>
    </w:p>
    <w:p>
      <w:pPr>
        <w:pStyle w:val="BodyText"/>
        <w:spacing w:before="9"/>
        <w:rPr>
          <w:sz w:val="19"/>
        </w:rPr>
      </w:pPr>
    </w:p>
    <w:p>
      <w:pPr>
        <w:pStyle w:val="ListParagraph"/>
        <w:numPr>
          <w:ilvl w:val="1"/>
          <w:numId w:val="75"/>
        </w:numPr>
        <w:tabs>
          <w:tab w:pos="923" w:val="left" w:leader="none"/>
          <w:tab w:pos="924" w:val="left" w:leader="none"/>
        </w:tabs>
        <w:spacing w:line="240" w:lineRule="auto" w:before="1" w:after="0"/>
        <w:ind w:left="923" w:right="0" w:hanging="735"/>
        <w:jc w:val="left"/>
        <w:rPr>
          <w:sz w:val="19"/>
        </w:rPr>
      </w:pPr>
      <w:r>
        <w:rPr>
          <w:w w:val="115"/>
          <w:sz w:val="19"/>
        </w:rPr>
        <w:t>Administrative</w:t>
      </w:r>
      <w:r>
        <w:rPr>
          <w:spacing w:val="5"/>
          <w:w w:val="115"/>
          <w:sz w:val="19"/>
        </w:rPr>
        <w:t> </w:t>
      </w:r>
      <w:r>
        <w:rPr>
          <w:spacing w:val="-2"/>
          <w:w w:val="115"/>
          <w:sz w:val="19"/>
        </w:rPr>
        <w:t>Structure</w:t>
      </w:r>
    </w:p>
    <w:p>
      <w:pPr>
        <w:pStyle w:val="BodyText"/>
        <w:spacing w:before="1"/>
        <w:rPr>
          <w:sz w:val="19"/>
        </w:rPr>
      </w:pPr>
    </w:p>
    <w:p>
      <w:pPr>
        <w:spacing w:line="254" w:lineRule="auto" w:before="0"/>
        <w:ind w:left="921" w:right="331" w:firstLine="6"/>
        <w:jc w:val="left"/>
        <w:rPr>
          <w:i/>
          <w:sz w:val="19"/>
        </w:rPr>
      </w:pPr>
      <w:r>
        <w:rPr>
          <w:i/>
          <w:w w:val="105"/>
          <w:sz w:val="19"/>
        </w:rPr>
        <w:t>The accredited</w:t>
      </w:r>
      <w:r>
        <w:rPr>
          <w:i/>
          <w:spacing w:val="32"/>
          <w:w w:val="105"/>
          <w:sz w:val="19"/>
        </w:rPr>
        <w:t> </w:t>
      </w:r>
      <w:r>
        <w:rPr>
          <w:i/>
          <w:w w:val="105"/>
          <w:sz w:val="19"/>
        </w:rPr>
        <w:t>degree</w:t>
      </w:r>
      <w:r>
        <w:rPr>
          <w:i/>
          <w:spacing w:val="-1"/>
          <w:w w:val="105"/>
          <w:sz w:val="19"/>
        </w:rPr>
        <w:t> </w:t>
      </w:r>
      <w:r>
        <w:rPr>
          <w:i/>
          <w:w w:val="105"/>
          <w:sz w:val="19"/>
        </w:rPr>
        <w:t>program must be, or be part</w:t>
      </w:r>
      <w:r>
        <w:rPr>
          <w:i/>
          <w:spacing w:val="-3"/>
          <w:w w:val="105"/>
          <w:sz w:val="19"/>
        </w:rPr>
        <w:t> </w:t>
      </w:r>
      <w:r>
        <w:rPr>
          <w:i/>
          <w:w w:val="105"/>
          <w:sz w:val="19"/>
        </w:rPr>
        <w:t>of, an institution</w:t>
      </w:r>
      <w:r>
        <w:rPr>
          <w:i/>
          <w:spacing w:val="29"/>
          <w:w w:val="105"/>
          <w:sz w:val="19"/>
        </w:rPr>
        <w:t> </w:t>
      </w:r>
      <w:r>
        <w:rPr>
          <w:i/>
          <w:w w:val="105"/>
          <w:sz w:val="19"/>
        </w:rPr>
        <w:t>accredited by</w:t>
      </w:r>
      <w:r>
        <w:rPr>
          <w:i/>
          <w:spacing w:val="-3"/>
          <w:w w:val="105"/>
          <w:sz w:val="19"/>
        </w:rPr>
        <w:t> </w:t>
      </w:r>
      <w:r>
        <w:rPr>
          <w:i/>
          <w:w w:val="105"/>
          <w:sz w:val="19"/>
        </w:rPr>
        <w:t>one</w:t>
      </w:r>
      <w:r>
        <w:rPr>
          <w:i/>
          <w:spacing w:val="-11"/>
          <w:w w:val="105"/>
          <w:sz w:val="19"/>
        </w:rPr>
        <w:t> </w:t>
      </w:r>
      <w:r>
        <w:rPr>
          <w:i/>
          <w:w w:val="105"/>
          <w:sz w:val="19"/>
        </w:rPr>
        <w:t>of the following</w:t>
      </w:r>
      <w:r>
        <w:rPr>
          <w:i/>
          <w:spacing w:val="-3"/>
          <w:w w:val="105"/>
          <w:sz w:val="19"/>
        </w:rPr>
        <w:t> </w:t>
      </w:r>
      <w:r>
        <w:rPr>
          <w:i/>
          <w:w w:val="105"/>
          <w:sz w:val="19"/>
        </w:rPr>
        <w:t>regional</w:t>
      </w:r>
      <w:r>
        <w:rPr>
          <w:i/>
          <w:spacing w:val="-2"/>
          <w:w w:val="105"/>
          <w:sz w:val="19"/>
        </w:rPr>
        <w:t> </w:t>
      </w:r>
      <w:r>
        <w:rPr>
          <w:i/>
          <w:w w:val="105"/>
          <w:sz w:val="19"/>
        </w:rPr>
        <w:t>institutional accrediting agencies</w:t>
      </w:r>
      <w:r>
        <w:rPr>
          <w:i/>
          <w:spacing w:val="-8"/>
          <w:w w:val="105"/>
          <w:sz w:val="19"/>
        </w:rPr>
        <w:t> </w:t>
      </w:r>
      <w:r>
        <w:rPr>
          <w:i/>
          <w:w w:val="105"/>
          <w:sz w:val="19"/>
        </w:rPr>
        <w:t>for</w:t>
      </w:r>
      <w:r>
        <w:rPr>
          <w:i/>
          <w:spacing w:val="-4"/>
          <w:w w:val="105"/>
          <w:sz w:val="19"/>
        </w:rPr>
        <w:t> </w:t>
      </w:r>
      <w:r>
        <w:rPr>
          <w:i/>
          <w:w w:val="105"/>
          <w:sz w:val="19"/>
        </w:rPr>
        <w:t>higher</w:t>
      </w:r>
      <w:r>
        <w:rPr>
          <w:i/>
          <w:spacing w:val="-14"/>
          <w:w w:val="105"/>
          <w:sz w:val="19"/>
        </w:rPr>
        <w:t> </w:t>
      </w:r>
      <w:r>
        <w:rPr>
          <w:i/>
          <w:w w:val="105"/>
          <w:sz w:val="19"/>
        </w:rPr>
        <w:t>education:</w:t>
      </w:r>
      <w:r>
        <w:rPr>
          <w:i/>
          <w:spacing w:val="-5"/>
          <w:w w:val="105"/>
          <w:sz w:val="19"/>
        </w:rPr>
        <w:t> </w:t>
      </w:r>
      <w:r>
        <w:rPr>
          <w:i/>
          <w:w w:val="105"/>
          <w:sz w:val="19"/>
        </w:rPr>
        <w:t>the</w:t>
      </w:r>
      <w:r>
        <w:rPr>
          <w:i/>
          <w:spacing w:val="-8"/>
          <w:w w:val="105"/>
          <w:sz w:val="19"/>
        </w:rPr>
        <w:t> </w:t>
      </w:r>
      <w:r>
        <w:rPr>
          <w:i/>
          <w:w w:val="105"/>
          <w:sz w:val="19"/>
        </w:rPr>
        <w:t>Southern </w:t>
      </w:r>
      <w:r>
        <w:rPr>
          <w:w w:val="105"/>
          <w:sz w:val="19"/>
        </w:rPr>
        <w:t>Association </w:t>
      </w:r>
      <w:r>
        <w:rPr>
          <w:i/>
          <w:w w:val="105"/>
          <w:sz w:val="19"/>
        </w:rPr>
        <w:t>of Colleges and Schools (SACS); the</w:t>
      </w:r>
      <w:r>
        <w:rPr>
          <w:i/>
          <w:spacing w:val="-2"/>
          <w:w w:val="105"/>
          <w:sz w:val="19"/>
        </w:rPr>
        <w:t> </w:t>
      </w:r>
      <w:r>
        <w:rPr>
          <w:i/>
          <w:w w:val="105"/>
          <w:sz w:val="19"/>
        </w:rPr>
        <w:t>Middle States Association of</w:t>
      </w:r>
      <w:r>
        <w:rPr>
          <w:i/>
          <w:spacing w:val="-10"/>
          <w:w w:val="105"/>
          <w:sz w:val="19"/>
        </w:rPr>
        <w:t> </w:t>
      </w:r>
      <w:r>
        <w:rPr>
          <w:i/>
          <w:w w:val="105"/>
          <w:sz w:val="19"/>
        </w:rPr>
        <w:t>Colleges and Schools (MSACS); the</w:t>
      </w:r>
      <w:r>
        <w:rPr>
          <w:i/>
          <w:spacing w:val="-11"/>
          <w:w w:val="105"/>
          <w:sz w:val="19"/>
        </w:rPr>
        <w:t> </w:t>
      </w:r>
      <w:r>
        <w:rPr>
          <w:i/>
          <w:w w:val="105"/>
          <w:sz w:val="19"/>
        </w:rPr>
        <w:t>New England Association of Schools and</w:t>
      </w:r>
      <w:r>
        <w:rPr>
          <w:i/>
          <w:spacing w:val="-4"/>
          <w:w w:val="105"/>
          <w:sz w:val="19"/>
        </w:rPr>
        <w:t> </w:t>
      </w:r>
      <w:r>
        <w:rPr>
          <w:i/>
          <w:w w:val="105"/>
          <w:sz w:val="19"/>
        </w:rPr>
        <w:t>Colleges (NEASC); the North Central Association of Colleges and Schools (NCACS); the Northwest Commission on Colleges and Universities (NWCCU); and the</w:t>
      </w:r>
      <w:r>
        <w:rPr>
          <w:i/>
          <w:spacing w:val="-16"/>
          <w:w w:val="105"/>
          <w:sz w:val="19"/>
        </w:rPr>
        <w:t> </w:t>
      </w:r>
      <w:r>
        <w:rPr>
          <w:i/>
          <w:w w:val="105"/>
          <w:sz w:val="19"/>
        </w:rPr>
        <w:t>Western Association of Schools and</w:t>
      </w:r>
      <w:r>
        <w:rPr>
          <w:i/>
          <w:spacing w:val="-1"/>
          <w:w w:val="105"/>
          <w:sz w:val="19"/>
        </w:rPr>
        <w:t> </w:t>
      </w:r>
      <w:r>
        <w:rPr>
          <w:i/>
          <w:w w:val="105"/>
          <w:sz w:val="19"/>
        </w:rPr>
        <w:t>Colleges (WASC).</w:t>
      </w:r>
      <w:r>
        <w:rPr>
          <w:i/>
          <w:spacing w:val="40"/>
          <w:w w:val="105"/>
          <w:sz w:val="19"/>
        </w:rPr>
        <w:t> </w:t>
      </w:r>
      <w:r>
        <w:rPr>
          <w:i/>
          <w:w w:val="105"/>
          <w:sz w:val="19"/>
        </w:rPr>
        <w:t>The accredited degree</w:t>
      </w:r>
      <w:r>
        <w:rPr>
          <w:i/>
          <w:spacing w:val="-1"/>
          <w:w w:val="105"/>
          <w:sz w:val="19"/>
        </w:rPr>
        <w:t> </w:t>
      </w:r>
      <w:r>
        <w:rPr>
          <w:i/>
          <w:w w:val="105"/>
          <w:sz w:val="19"/>
        </w:rPr>
        <w:t>program must</w:t>
      </w:r>
      <w:r>
        <w:rPr>
          <w:i/>
          <w:spacing w:val="-1"/>
          <w:w w:val="105"/>
          <w:sz w:val="19"/>
        </w:rPr>
        <w:t> </w:t>
      </w:r>
      <w:r>
        <w:rPr>
          <w:i/>
          <w:w w:val="105"/>
          <w:sz w:val="19"/>
        </w:rPr>
        <w:t>have a measure of autonomy that is both</w:t>
      </w:r>
      <w:r>
        <w:rPr>
          <w:i/>
          <w:spacing w:val="-3"/>
          <w:w w:val="105"/>
          <w:sz w:val="19"/>
        </w:rPr>
        <w:t> </w:t>
      </w:r>
      <w:r>
        <w:rPr>
          <w:i/>
          <w:w w:val="105"/>
          <w:sz w:val="19"/>
        </w:rPr>
        <w:t>comparable to that afforded other professional degree programs in the institution and sufficient to ensure conformance with the conditions for accreditation.</w:t>
      </w:r>
    </w:p>
    <w:p>
      <w:pPr>
        <w:tabs>
          <w:tab w:pos="866" w:val="left" w:leader="none"/>
        </w:tabs>
        <w:spacing w:line="179" w:lineRule="exact" w:before="0"/>
        <w:ind w:left="0" w:right="891" w:firstLine="0"/>
        <w:jc w:val="right"/>
        <w:rPr>
          <w:sz w:val="19"/>
        </w:rPr>
      </w:pPr>
      <w:r>
        <w:rPr>
          <w:spacing w:val="-5"/>
          <w:w w:val="105"/>
          <w:sz w:val="19"/>
        </w:rPr>
        <w:t>Met</w:t>
      </w:r>
      <w:r>
        <w:rPr>
          <w:sz w:val="19"/>
        </w:rPr>
        <w:tab/>
      </w:r>
      <w:r>
        <w:rPr>
          <w:w w:val="105"/>
          <w:sz w:val="19"/>
        </w:rPr>
        <w:t>Not</w:t>
      </w:r>
      <w:r>
        <w:rPr>
          <w:spacing w:val="6"/>
          <w:w w:val="105"/>
          <w:sz w:val="19"/>
        </w:rPr>
        <w:t> </w:t>
      </w:r>
      <w:r>
        <w:rPr>
          <w:spacing w:val="-5"/>
          <w:w w:val="105"/>
          <w:sz w:val="19"/>
        </w:rPr>
        <w:t>Met</w:t>
      </w:r>
    </w:p>
    <w:p>
      <w:pPr>
        <w:pStyle w:val="Heading7"/>
        <w:tabs>
          <w:tab w:pos="1050" w:val="left" w:leader="none"/>
        </w:tabs>
        <w:spacing w:line="326" w:lineRule="exact"/>
        <w:ind w:right="1088"/>
        <w:jc w:val="right"/>
        <w:rPr>
          <w:rFonts w:ascii="Times New Roman"/>
          <w:sz w:val="31"/>
        </w:rPr>
      </w:pPr>
      <w:r>
        <w:rPr>
          <w:spacing w:val="-5"/>
        </w:rPr>
        <w:t>[X]</w:t>
      </w:r>
      <w:r>
        <w:rPr/>
        <w:tab/>
        <w:t>[</w:t>
      </w:r>
      <w:r>
        <w:rPr>
          <w:spacing w:val="60"/>
        </w:rPr>
        <w:t> </w:t>
      </w:r>
      <w:r>
        <w:rPr>
          <w:rFonts w:ascii="Times New Roman"/>
          <w:spacing w:val="-10"/>
          <w:sz w:val="31"/>
        </w:rPr>
        <w:t>l</w:t>
      </w:r>
    </w:p>
    <w:p>
      <w:pPr>
        <w:spacing w:line="254" w:lineRule="auto" w:before="226"/>
        <w:ind w:left="920" w:right="406" w:firstLine="5"/>
        <w:jc w:val="left"/>
        <w:rPr>
          <w:sz w:val="19"/>
        </w:rPr>
      </w:pPr>
      <w:r>
        <w:rPr>
          <w:w w:val="105"/>
          <w:sz w:val="19"/>
        </w:rPr>
        <w:t>Hampton University was re-accredited by the</w:t>
      </w:r>
      <w:r>
        <w:rPr>
          <w:spacing w:val="-4"/>
          <w:w w:val="105"/>
          <w:sz w:val="19"/>
        </w:rPr>
        <w:t> </w:t>
      </w:r>
      <w:r>
        <w:rPr>
          <w:w w:val="105"/>
          <w:sz w:val="19"/>
        </w:rPr>
        <w:t>Southern Association of Colleges and Schools (SACS) on January 9, 2009.</w:t>
      </w:r>
      <w:r>
        <w:rPr>
          <w:spacing w:val="40"/>
          <w:w w:val="105"/>
          <w:sz w:val="19"/>
        </w:rPr>
        <w:t> </w:t>
      </w:r>
      <w:r>
        <w:rPr>
          <w:w w:val="105"/>
          <w:sz w:val="19"/>
        </w:rPr>
        <w:t>The Department of Architecture has</w:t>
      </w:r>
      <w:r>
        <w:rPr>
          <w:spacing w:val="-7"/>
          <w:w w:val="105"/>
          <w:sz w:val="19"/>
        </w:rPr>
        <w:t> </w:t>
      </w:r>
      <w:r>
        <w:rPr>
          <w:w w:val="105"/>
          <w:sz w:val="19"/>
        </w:rPr>
        <w:t>been accredited since 1969 and</w:t>
      </w:r>
      <w:r>
        <w:rPr>
          <w:spacing w:val="-9"/>
          <w:w w:val="105"/>
          <w:sz w:val="19"/>
        </w:rPr>
        <w:t> </w:t>
      </w:r>
      <w:r>
        <w:rPr>
          <w:w w:val="105"/>
          <w:sz w:val="19"/>
        </w:rPr>
        <w:t>maintains</w:t>
      </w:r>
      <w:r>
        <w:rPr>
          <w:spacing w:val="-1"/>
          <w:w w:val="105"/>
          <w:sz w:val="19"/>
        </w:rPr>
        <w:t> </w:t>
      </w:r>
      <w:r>
        <w:rPr>
          <w:w w:val="105"/>
          <w:sz w:val="19"/>
        </w:rPr>
        <w:t>autonomy within the</w:t>
      </w:r>
      <w:r>
        <w:rPr>
          <w:spacing w:val="-6"/>
          <w:w w:val="105"/>
          <w:sz w:val="19"/>
        </w:rPr>
        <w:t> </w:t>
      </w:r>
      <w:r>
        <w:rPr>
          <w:w w:val="105"/>
          <w:sz w:val="19"/>
        </w:rPr>
        <w:t>University parallel to</w:t>
      </w:r>
      <w:r>
        <w:rPr>
          <w:spacing w:val="-8"/>
          <w:w w:val="105"/>
          <w:sz w:val="19"/>
        </w:rPr>
        <w:t> </w:t>
      </w:r>
      <w:r>
        <w:rPr>
          <w:w w:val="105"/>
          <w:sz w:val="19"/>
        </w:rPr>
        <w:t>other</w:t>
      </w:r>
      <w:r>
        <w:rPr>
          <w:spacing w:val="-7"/>
          <w:w w:val="105"/>
          <w:sz w:val="19"/>
        </w:rPr>
        <w:t> </w:t>
      </w:r>
      <w:r>
        <w:rPr>
          <w:w w:val="105"/>
          <w:sz w:val="19"/>
        </w:rPr>
        <w:t>professional programs such</w:t>
      </w:r>
      <w:r>
        <w:rPr>
          <w:spacing w:val="-10"/>
          <w:w w:val="105"/>
          <w:sz w:val="19"/>
        </w:rPr>
        <w:t> </w:t>
      </w:r>
      <w:r>
        <w:rPr>
          <w:w w:val="105"/>
          <w:sz w:val="19"/>
        </w:rPr>
        <w:t>as</w:t>
      </w:r>
      <w:r>
        <w:rPr>
          <w:spacing w:val="-9"/>
          <w:w w:val="105"/>
          <w:sz w:val="19"/>
        </w:rPr>
        <w:t> </w:t>
      </w:r>
      <w:r>
        <w:rPr>
          <w:w w:val="105"/>
          <w:sz w:val="19"/>
        </w:rPr>
        <w:t>the Schools of Nursing and Pharmacy.</w:t>
      </w:r>
    </w:p>
    <w:p>
      <w:pPr>
        <w:pStyle w:val="BodyText"/>
      </w:pPr>
    </w:p>
    <w:p>
      <w:pPr>
        <w:pStyle w:val="BodyText"/>
        <w:spacing w:before="2"/>
        <w:rPr>
          <w:sz w:val="19"/>
        </w:rPr>
      </w:pPr>
    </w:p>
    <w:p>
      <w:pPr>
        <w:pStyle w:val="ListParagraph"/>
        <w:numPr>
          <w:ilvl w:val="1"/>
          <w:numId w:val="75"/>
        </w:numPr>
        <w:tabs>
          <w:tab w:pos="927" w:val="left" w:leader="none"/>
          <w:tab w:pos="928" w:val="left" w:leader="none"/>
        </w:tabs>
        <w:spacing w:line="240" w:lineRule="auto" w:before="0" w:after="0"/>
        <w:ind w:left="927" w:right="0" w:hanging="739"/>
        <w:jc w:val="left"/>
        <w:rPr>
          <w:sz w:val="19"/>
        </w:rPr>
      </w:pPr>
      <w:r>
        <w:rPr>
          <w:w w:val="110"/>
          <w:sz w:val="19"/>
        </w:rPr>
        <w:t>Professional</w:t>
      </w:r>
      <w:r>
        <w:rPr>
          <w:spacing w:val="10"/>
          <w:w w:val="110"/>
          <w:sz w:val="19"/>
        </w:rPr>
        <w:t> </w:t>
      </w:r>
      <w:r>
        <w:rPr>
          <w:w w:val="110"/>
          <w:sz w:val="19"/>
        </w:rPr>
        <w:t>Degrees</w:t>
      </w:r>
      <w:r>
        <w:rPr>
          <w:spacing w:val="9"/>
          <w:w w:val="110"/>
          <w:sz w:val="19"/>
        </w:rPr>
        <w:t> </w:t>
      </w:r>
      <w:r>
        <w:rPr>
          <w:w w:val="110"/>
          <w:sz w:val="19"/>
        </w:rPr>
        <w:t>and</w:t>
      </w:r>
      <w:r>
        <w:rPr>
          <w:spacing w:val="18"/>
          <w:w w:val="110"/>
          <w:sz w:val="19"/>
        </w:rPr>
        <w:t> </w:t>
      </w:r>
      <w:r>
        <w:rPr>
          <w:spacing w:val="-2"/>
          <w:w w:val="110"/>
          <w:sz w:val="19"/>
        </w:rPr>
        <w:t>Curriculum</w:t>
      </w:r>
    </w:p>
    <w:p>
      <w:pPr>
        <w:pStyle w:val="BodyText"/>
        <w:spacing w:before="10"/>
      </w:pPr>
    </w:p>
    <w:p>
      <w:pPr>
        <w:spacing w:line="252" w:lineRule="auto" w:before="1"/>
        <w:ind w:left="926" w:right="532" w:firstLine="1"/>
        <w:jc w:val="left"/>
        <w:rPr>
          <w:i/>
          <w:sz w:val="19"/>
        </w:rPr>
      </w:pPr>
      <w:r>
        <w:rPr>
          <w:i/>
          <w:w w:val="105"/>
          <w:sz w:val="19"/>
        </w:rPr>
        <w:t>The</w:t>
      </w:r>
      <w:r>
        <w:rPr>
          <w:i/>
          <w:spacing w:val="-10"/>
          <w:w w:val="105"/>
          <w:sz w:val="19"/>
        </w:rPr>
        <w:t> </w:t>
      </w:r>
      <w:r>
        <w:rPr>
          <w:i/>
          <w:w w:val="105"/>
          <w:sz w:val="19"/>
        </w:rPr>
        <w:t>NAAB accredits the following professional degree programs: the Bachelor of Architecture (B.</w:t>
      </w:r>
      <w:r>
        <w:rPr>
          <w:i/>
          <w:spacing w:val="-5"/>
          <w:w w:val="105"/>
          <w:sz w:val="19"/>
        </w:rPr>
        <w:t> </w:t>
      </w:r>
      <w:r>
        <w:rPr>
          <w:i/>
          <w:w w:val="105"/>
          <w:sz w:val="19"/>
        </w:rPr>
        <w:t>Arch.), the</w:t>
      </w:r>
      <w:r>
        <w:rPr>
          <w:i/>
          <w:spacing w:val="-10"/>
          <w:w w:val="105"/>
          <w:sz w:val="19"/>
        </w:rPr>
        <w:t> </w:t>
      </w:r>
      <w:r>
        <w:rPr>
          <w:i/>
          <w:w w:val="105"/>
          <w:sz w:val="19"/>
        </w:rPr>
        <w:t>Master</w:t>
      </w:r>
      <w:r>
        <w:rPr>
          <w:i/>
          <w:spacing w:val="-11"/>
          <w:w w:val="105"/>
          <w:sz w:val="19"/>
        </w:rPr>
        <w:t> </w:t>
      </w:r>
      <w:r>
        <w:rPr>
          <w:i/>
          <w:w w:val="105"/>
          <w:sz w:val="19"/>
        </w:rPr>
        <w:t>of Architecture (M. Arch.), and</w:t>
      </w:r>
      <w:r>
        <w:rPr>
          <w:i/>
          <w:spacing w:val="-6"/>
          <w:w w:val="105"/>
          <w:sz w:val="19"/>
        </w:rPr>
        <w:t> </w:t>
      </w:r>
      <w:r>
        <w:rPr>
          <w:i/>
          <w:w w:val="105"/>
          <w:sz w:val="19"/>
        </w:rPr>
        <w:t>the</w:t>
      </w:r>
      <w:r>
        <w:rPr>
          <w:i/>
          <w:spacing w:val="-9"/>
          <w:w w:val="105"/>
          <w:sz w:val="19"/>
        </w:rPr>
        <w:t> </w:t>
      </w:r>
      <w:r>
        <w:rPr>
          <w:i/>
          <w:w w:val="105"/>
          <w:sz w:val="19"/>
        </w:rPr>
        <w:t>Doctor</w:t>
      </w:r>
      <w:r>
        <w:rPr>
          <w:i/>
          <w:spacing w:val="-3"/>
          <w:w w:val="105"/>
          <w:sz w:val="19"/>
        </w:rPr>
        <w:t> </w:t>
      </w:r>
      <w:r>
        <w:rPr>
          <w:i/>
          <w:w w:val="105"/>
          <w:sz w:val="19"/>
        </w:rPr>
        <w:t>of</w:t>
      </w:r>
      <w:r>
        <w:rPr>
          <w:i/>
          <w:spacing w:val="-6"/>
          <w:w w:val="105"/>
          <w:sz w:val="19"/>
        </w:rPr>
        <w:t> </w:t>
      </w:r>
      <w:r>
        <w:rPr>
          <w:i/>
          <w:w w:val="105"/>
          <w:sz w:val="19"/>
        </w:rPr>
        <w:t>Architecture (D.</w:t>
      </w:r>
      <w:r>
        <w:rPr>
          <w:i/>
          <w:spacing w:val="-4"/>
          <w:w w:val="105"/>
          <w:sz w:val="19"/>
        </w:rPr>
        <w:t> </w:t>
      </w:r>
      <w:r>
        <w:rPr>
          <w:i/>
          <w:w w:val="105"/>
          <w:sz w:val="19"/>
        </w:rPr>
        <w:t>Arch.).</w:t>
      </w:r>
      <w:r>
        <w:rPr>
          <w:i/>
          <w:spacing w:val="40"/>
          <w:w w:val="105"/>
          <w:sz w:val="19"/>
        </w:rPr>
        <w:t> </w:t>
      </w:r>
      <w:r>
        <w:rPr>
          <w:i/>
          <w:w w:val="105"/>
          <w:sz w:val="19"/>
        </w:rPr>
        <w:t>The curricular requirements for awarding these</w:t>
      </w:r>
      <w:r>
        <w:rPr>
          <w:i/>
          <w:spacing w:val="-3"/>
          <w:w w:val="105"/>
          <w:sz w:val="19"/>
        </w:rPr>
        <w:t> </w:t>
      </w:r>
      <w:r>
        <w:rPr>
          <w:i/>
          <w:w w:val="105"/>
          <w:sz w:val="19"/>
        </w:rPr>
        <w:t>degrees must include</w:t>
      </w:r>
      <w:r>
        <w:rPr>
          <w:i/>
          <w:spacing w:val="-4"/>
          <w:w w:val="105"/>
          <w:sz w:val="19"/>
        </w:rPr>
        <w:t> </w:t>
      </w:r>
      <w:r>
        <w:rPr>
          <w:i/>
          <w:w w:val="105"/>
          <w:sz w:val="19"/>
        </w:rPr>
        <w:t>professional studies, general studies, and electives.</w:t>
      </w:r>
      <w:r>
        <w:rPr>
          <w:i/>
          <w:spacing w:val="40"/>
          <w:w w:val="105"/>
          <w:sz w:val="19"/>
        </w:rPr>
        <w:t> </w:t>
      </w:r>
      <w:r>
        <w:rPr>
          <w:i/>
          <w:w w:val="105"/>
          <w:sz w:val="19"/>
        </w:rPr>
        <w:t>Schools offering the degrees B. Arch., M. Arch., and/or D. Arch. are strongly encouraged to</w:t>
      </w:r>
      <w:r>
        <w:rPr>
          <w:i/>
          <w:spacing w:val="-4"/>
          <w:w w:val="105"/>
          <w:sz w:val="19"/>
        </w:rPr>
        <w:t> </w:t>
      </w:r>
      <w:r>
        <w:rPr>
          <w:i/>
          <w:w w:val="105"/>
          <w:sz w:val="19"/>
        </w:rPr>
        <w:t>use these degree titles</w:t>
      </w:r>
      <w:r>
        <w:rPr>
          <w:i/>
          <w:spacing w:val="-5"/>
          <w:w w:val="105"/>
          <w:sz w:val="19"/>
        </w:rPr>
        <w:t> </w:t>
      </w:r>
      <w:r>
        <w:rPr>
          <w:i/>
          <w:w w:val="105"/>
          <w:sz w:val="19"/>
        </w:rPr>
        <w:t>exclusively with NAAB-accredited professional degree</w:t>
      </w:r>
      <w:r>
        <w:rPr>
          <w:i/>
          <w:spacing w:val="-3"/>
          <w:w w:val="105"/>
          <w:sz w:val="19"/>
        </w:rPr>
        <w:t> </w:t>
      </w:r>
      <w:r>
        <w:rPr>
          <w:i/>
          <w:w w:val="105"/>
          <w:sz w:val="19"/>
        </w:rPr>
        <w:t>programs.</w:t>
      </w:r>
    </w:p>
    <w:p>
      <w:pPr>
        <w:tabs>
          <w:tab w:pos="8299" w:val="left" w:leader="none"/>
        </w:tabs>
        <w:spacing w:line="188" w:lineRule="exact" w:before="0"/>
        <w:ind w:left="7422" w:right="0" w:firstLine="0"/>
        <w:jc w:val="left"/>
        <w:rPr>
          <w:sz w:val="19"/>
        </w:rPr>
      </w:pPr>
      <w:r>
        <w:rPr>
          <w:spacing w:val="-5"/>
          <w:w w:val="105"/>
          <w:sz w:val="19"/>
        </w:rPr>
        <w:t>Met</w:t>
      </w:r>
      <w:r>
        <w:rPr>
          <w:sz w:val="19"/>
        </w:rPr>
        <w:tab/>
      </w:r>
      <w:r>
        <w:rPr>
          <w:w w:val="105"/>
          <w:sz w:val="19"/>
        </w:rPr>
        <w:t>Not</w:t>
      </w:r>
      <w:r>
        <w:rPr>
          <w:spacing w:val="-13"/>
          <w:w w:val="105"/>
          <w:sz w:val="19"/>
        </w:rPr>
        <w:t> </w:t>
      </w:r>
      <w:r>
        <w:rPr>
          <w:spacing w:val="-5"/>
          <w:w w:val="105"/>
          <w:sz w:val="19"/>
        </w:rPr>
        <w:t>Met</w:t>
      </w:r>
    </w:p>
    <w:p>
      <w:pPr>
        <w:tabs>
          <w:tab w:pos="8529" w:val="left" w:leader="none"/>
        </w:tabs>
        <w:spacing w:line="343" w:lineRule="exact" w:before="0"/>
        <w:ind w:left="7478" w:right="0" w:firstLine="0"/>
        <w:jc w:val="left"/>
        <w:rPr>
          <w:rFonts w:ascii="Times New Roman"/>
          <w:sz w:val="32"/>
        </w:rPr>
      </w:pPr>
      <w:r>
        <w:rPr>
          <w:spacing w:val="-5"/>
          <w:sz w:val="23"/>
        </w:rPr>
        <w:t>[XJ</w:t>
      </w:r>
      <w:r>
        <w:rPr>
          <w:sz w:val="23"/>
        </w:rPr>
        <w:tab/>
        <w:t>[</w:t>
      </w:r>
      <w:r>
        <w:rPr>
          <w:spacing w:val="69"/>
          <w:sz w:val="23"/>
        </w:rPr>
        <w:t> </w:t>
      </w:r>
      <w:r>
        <w:rPr>
          <w:rFonts w:ascii="Times New Roman"/>
          <w:spacing w:val="-10"/>
          <w:sz w:val="32"/>
        </w:rPr>
        <w:t>l</w:t>
      </w:r>
    </w:p>
    <w:p>
      <w:pPr>
        <w:pStyle w:val="BodyText"/>
        <w:spacing w:before="5"/>
        <w:rPr>
          <w:rFonts w:ascii="Times New Roman"/>
          <w:sz w:val="45"/>
        </w:rPr>
      </w:pPr>
    </w:p>
    <w:p>
      <w:pPr>
        <w:spacing w:line="254" w:lineRule="auto" w:before="0"/>
        <w:ind w:left="934" w:right="295" w:hanging="7"/>
        <w:jc w:val="left"/>
        <w:rPr>
          <w:sz w:val="19"/>
        </w:rPr>
      </w:pPr>
      <w:r>
        <w:rPr>
          <w:w w:val="105"/>
          <w:sz w:val="19"/>
        </w:rPr>
        <w:t>The</w:t>
      </w:r>
      <w:r>
        <w:rPr>
          <w:spacing w:val="80"/>
          <w:w w:val="105"/>
          <w:sz w:val="19"/>
        </w:rPr>
        <w:t> </w:t>
      </w:r>
      <w:r>
        <w:rPr>
          <w:w w:val="105"/>
          <w:sz w:val="19"/>
        </w:rPr>
        <w:t>department</w:t>
      </w:r>
      <w:r>
        <w:rPr>
          <w:spacing w:val="-10"/>
          <w:w w:val="105"/>
          <w:sz w:val="19"/>
        </w:rPr>
        <w:t> </w:t>
      </w:r>
      <w:r>
        <w:rPr>
          <w:w w:val="105"/>
          <w:sz w:val="19"/>
        </w:rPr>
        <w:t>is actively</w:t>
      </w:r>
      <w:r>
        <w:rPr>
          <w:spacing w:val="-4"/>
          <w:w w:val="105"/>
          <w:sz w:val="19"/>
        </w:rPr>
        <w:t> </w:t>
      </w:r>
      <w:r>
        <w:rPr>
          <w:w w:val="105"/>
          <w:sz w:val="19"/>
        </w:rPr>
        <w:t>in</w:t>
      </w:r>
      <w:r>
        <w:rPr>
          <w:spacing w:val="-3"/>
          <w:w w:val="105"/>
          <w:sz w:val="19"/>
        </w:rPr>
        <w:t> </w:t>
      </w:r>
      <w:r>
        <w:rPr>
          <w:w w:val="105"/>
          <w:sz w:val="19"/>
        </w:rPr>
        <w:t>the</w:t>
      </w:r>
      <w:r>
        <w:rPr>
          <w:spacing w:val="-9"/>
          <w:w w:val="105"/>
          <w:sz w:val="19"/>
        </w:rPr>
        <w:t> </w:t>
      </w:r>
      <w:r>
        <w:rPr>
          <w:w w:val="105"/>
          <w:sz w:val="19"/>
        </w:rPr>
        <w:t>process</w:t>
      </w:r>
      <w:r>
        <w:rPr>
          <w:spacing w:val="-14"/>
          <w:w w:val="105"/>
          <w:sz w:val="19"/>
        </w:rPr>
        <w:t> </w:t>
      </w:r>
      <w:r>
        <w:rPr>
          <w:w w:val="105"/>
          <w:sz w:val="19"/>
        </w:rPr>
        <w:t>of transitioning from</w:t>
      </w:r>
      <w:r>
        <w:rPr>
          <w:spacing w:val="-13"/>
          <w:w w:val="105"/>
          <w:sz w:val="19"/>
        </w:rPr>
        <w:t> </w:t>
      </w:r>
      <w:r>
        <w:rPr>
          <w:w w:val="105"/>
          <w:sz w:val="19"/>
        </w:rPr>
        <w:t>the</w:t>
      </w:r>
      <w:r>
        <w:rPr>
          <w:spacing w:val="-15"/>
          <w:w w:val="105"/>
          <w:sz w:val="19"/>
        </w:rPr>
        <w:t> </w:t>
      </w:r>
      <w:r>
        <w:rPr>
          <w:w w:val="105"/>
          <w:sz w:val="19"/>
        </w:rPr>
        <w:t>previous</w:t>
      </w:r>
      <w:r>
        <w:rPr>
          <w:spacing w:val="-5"/>
          <w:w w:val="105"/>
          <w:sz w:val="19"/>
        </w:rPr>
        <w:t> </w:t>
      </w:r>
      <w:r>
        <w:rPr>
          <w:w w:val="105"/>
          <w:sz w:val="19"/>
        </w:rPr>
        <w:t>60/40</w:t>
      </w:r>
      <w:r>
        <w:rPr>
          <w:spacing w:val="-14"/>
          <w:w w:val="105"/>
          <w:sz w:val="19"/>
        </w:rPr>
        <w:t> </w:t>
      </w:r>
      <w:r>
        <w:rPr>
          <w:w w:val="105"/>
          <w:sz w:val="19"/>
        </w:rPr>
        <w:t>requirement</w:t>
      </w:r>
      <w:r>
        <w:rPr>
          <w:spacing w:val="-10"/>
          <w:w w:val="105"/>
          <w:sz w:val="19"/>
        </w:rPr>
        <w:t> </w:t>
      </w:r>
      <w:r>
        <w:rPr>
          <w:w w:val="105"/>
          <w:sz w:val="19"/>
        </w:rPr>
        <w:t>for credit distribution of professional to general education, to the</w:t>
      </w:r>
      <w:r>
        <w:rPr>
          <w:spacing w:val="-4"/>
          <w:w w:val="105"/>
          <w:sz w:val="19"/>
        </w:rPr>
        <w:t> </w:t>
      </w:r>
      <w:r>
        <w:rPr>
          <w:w w:val="105"/>
          <w:sz w:val="19"/>
        </w:rPr>
        <w:t>45-credit general education</w:t>
      </w:r>
    </w:p>
    <w:p>
      <w:pPr>
        <w:pStyle w:val="BodyText"/>
      </w:pPr>
    </w:p>
    <w:p>
      <w:pPr>
        <w:pStyle w:val="BodyText"/>
        <w:spacing w:before="7"/>
        <w:rPr>
          <w:sz w:val="22"/>
        </w:rPr>
      </w:pPr>
      <w:r>
        <w:rPr/>
        <w:pict>
          <v:shape style="position:absolute;margin-left:63.597477pt;margin-top:14.232219pt;width:453.9pt;height:.1pt;mso-position-horizontal-relative:page;mso-position-vertical-relative:paragraph;z-index:-15700992;mso-wrap-distance-left:0;mso-wrap-distance-right:0" id="docshape641" coordorigin="1272,285" coordsize="9078,0" path="m1272,285l10349,285e" filled="false" stroked="true" strokeweight=".481434pt" strokecolor="#000000">
            <v:path arrowok="t"/>
            <v:stroke dashstyle="solid"/>
            <w10:wrap type="topAndBottom"/>
          </v:shape>
        </w:pict>
      </w:r>
    </w:p>
    <w:p>
      <w:pPr>
        <w:spacing w:before="9"/>
        <w:ind w:left="208" w:right="0" w:firstLine="0"/>
        <w:jc w:val="left"/>
        <w:rPr>
          <w:sz w:val="19"/>
        </w:rPr>
      </w:pPr>
      <w:r>
        <w:rPr>
          <w:spacing w:val="-5"/>
          <w:w w:val="110"/>
          <w:sz w:val="19"/>
        </w:rPr>
        <w:t>12</w:t>
      </w:r>
    </w:p>
    <w:p>
      <w:pPr>
        <w:spacing w:after="0"/>
        <w:jc w:val="left"/>
        <w:rPr>
          <w:sz w:val="19"/>
        </w:rPr>
        <w:sectPr>
          <w:headerReference w:type="default" r:id="rId383"/>
          <w:footerReference w:type="default" r:id="rId384"/>
          <w:pgSz w:w="12180" w:h="15820"/>
          <w:pgMar w:header="617" w:footer="0" w:top="1300" w:bottom="280" w:left="1120" w:right="1180"/>
        </w:sectPr>
      </w:pPr>
    </w:p>
    <w:p>
      <w:pPr>
        <w:pStyle w:val="BodyText"/>
        <w:spacing w:before="7"/>
        <w:rPr>
          <w:sz w:val="18"/>
        </w:rPr>
      </w:pPr>
    </w:p>
    <w:p>
      <w:pPr>
        <w:pStyle w:val="BodyText"/>
        <w:spacing w:line="252" w:lineRule="auto" w:before="94"/>
        <w:ind w:left="934" w:right="475" w:firstLine="4"/>
      </w:pPr>
      <w:r>
        <w:rPr/>
        <w:t>requirement.</w:t>
      </w:r>
      <w:r>
        <w:rPr>
          <w:spacing w:val="40"/>
        </w:rPr>
        <w:t> </w:t>
      </w:r>
      <w:r>
        <w:rPr/>
        <w:t>In addition, they are</w:t>
      </w:r>
      <w:r>
        <w:rPr>
          <w:spacing w:val="-4"/>
        </w:rPr>
        <w:t> </w:t>
      </w:r>
      <w:r>
        <w:rPr/>
        <w:t>refining the new Master of Architecture program to</w:t>
      </w:r>
      <w:r>
        <w:rPr>
          <w:spacing w:val="-8"/>
        </w:rPr>
        <w:t> </w:t>
      </w:r>
      <w:r>
        <w:rPr/>
        <w:t>meet NAAB's requirements for</w:t>
      </w:r>
      <w:r>
        <w:rPr>
          <w:spacing w:val="-15"/>
        </w:rPr>
        <w:t> </w:t>
      </w:r>
      <w:r>
        <w:rPr/>
        <w:t>a</w:t>
      </w:r>
      <w:r>
        <w:rPr>
          <w:spacing w:val="-2"/>
        </w:rPr>
        <w:t> </w:t>
      </w:r>
      <w:r>
        <w:rPr/>
        <w:t>minimum</w:t>
      </w:r>
      <w:r>
        <w:rPr>
          <w:spacing w:val="-1"/>
        </w:rPr>
        <w:t> </w:t>
      </w:r>
      <w:r>
        <w:rPr/>
        <w:t>of</w:t>
      </w:r>
      <w:r>
        <w:rPr>
          <w:spacing w:val="-5"/>
        </w:rPr>
        <w:t> </w:t>
      </w:r>
      <w:r>
        <w:rPr/>
        <w:t>168</w:t>
      </w:r>
      <w:r>
        <w:rPr>
          <w:spacing w:val="-4"/>
        </w:rPr>
        <w:t> </w:t>
      </w:r>
      <w:r>
        <w:rPr/>
        <w:t>credits, with 30-credits of graduate</w:t>
      </w:r>
      <w:r>
        <w:rPr>
          <w:spacing w:val="-8"/>
        </w:rPr>
        <w:t> </w:t>
      </w:r>
      <w:r>
        <w:rPr/>
        <w:t>courses, to</w:t>
      </w:r>
      <w:r>
        <w:rPr>
          <w:spacing w:val="-14"/>
        </w:rPr>
        <w:t> </w:t>
      </w:r>
      <w:r>
        <w:rPr/>
        <w:t>be completed by 2015.</w:t>
      </w:r>
    </w:p>
    <w:p>
      <w:pPr>
        <w:pStyle w:val="BodyText"/>
        <w:spacing w:before="10"/>
        <w:rPr>
          <w:sz w:val="21"/>
        </w:rPr>
      </w:pPr>
    </w:p>
    <w:p>
      <w:pPr>
        <w:pStyle w:val="BodyText"/>
        <w:spacing w:line="235" w:lineRule="auto"/>
        <w:ind w:left="934" w:right="311" w:firstLine="8"/>
      </w:pPr>
      <w:r>
        <w:rPr/>
        <w:t>Questions of curriculum content remain a challenge, as the program strives to</w:t>
      </w:r>
      <w:r>
        <w:rPr>
          <w:spacing w:val="-7"/>
        </w:rPr>
        <w:t> </w:t>
      </w:r>
      <w:r>
        <w:rPr/>
        <w:t>ensure graduate quality.</w:t>
      </w:r>
      <w:r>
        <w:rPr>
          <w:spacing w:val="40"/>
        </w:rPr>
        <w:t> </w:t>
      </w:r>
      <w:r>
        <w:rPr/>
        <w:t>The</w:t>
      </w:r>
      <w:r>
        <w:rPr>
          <w:spacing w:val="-3"/>
        </w:rPr>
        <w:t> </w:t>
      </w:r>
      <w:r>
        <w:rPr/>
        <w:t>faculty is keenly aware of</w:t>
      </w:r>
      <w:r>
        <w:rPr>
          <w:spacing w:val="-2"/>
        </w:rPr>
        <w:t> </w:t>
      </w:r>
      <w:r>
        <w:rPr/>
        <w:t>this challenge, and are</w:t>
      </w:r>
      <w:r>
        <w:rPr>
          <w:spacing w:val="-7"/>
        </w:rPr>
        <w:t> </w:t>
      </w:r>
      <w:r>
        <w:rPr/>
        <w:t>responsive to the</w:t>
      </w:r>
      <w:r>
        <w:rPr>
          <w:spacing w:val="-1"/>
        </w:rPr>
        <w:t> </w:t>
      </w:r>
      <w:r>
        <w:rPr/>
        <w:t>students' needs for</w:t>
      </w:r>
      <w:r>
        <w:rPr>
          <w:spacing w:val="-8"/>
        </w:rPr>
        <w:t> </w:t>
      </w:r>
      <w:r>
        <w:rPr/>
        <w:t>academic enrichment, </w:t>
      </w:r>
      <w:r>
        <w:rPr>
          <w:sz w:val="23"/>
        </w:rPr>
        <w:t>as</w:t>
      </w:r>
      <w:r>
        <w:rPr>
          <w:spacing w:val="-14"/>
          <w:sz w:val="23"/>
        </w:rPr>
        <w:t> </w:t>
      </w:r>
      <w:r>
        <w:rPr/>
        <w:t>this</w:t>
      </w:r>
      <w:r>
        <w:rPr>
          <w:spacing w:val="-12"/>
        </w:rPr>
        <w:t> </w:t>
      </w:r>
      <w:r>
        <w:rPr/>
        <w:t>process</w:t>
      </w:r>
      <w:r>
        <w:rPr>
          <w:spacing w:val="-4"/>
        </w:rPr>
        <w:t> </w:t>
      </w:r>
      <w:r>
        <w:rPr/>
        <w:t>unfolds.</w:t>
      </w:r>
      <w:r>
        <w:rPr>
          <w:spacing w:val="40"/>
        </w:rPr>
        <w:t> </w:t>
      </w:r>
      <w:r>
        <w:rPr/>
        <w:t>However, their</w:t>
      </w:r>
      <w:r>
        <w:rPr>
          <w:spacing w:val="-10"/>
        </w:rPr>
        <w:t> </w:t>
      </w:r>
      <w:r>
        <w:rPr/>
        <w:t>limited</w:t>
      </w:r>
      <w:r>
        <w:rPr>
          <w:spacing w:val="-16"/>
        </w:rPr>
        <w:t> </w:t>
      </w:r>
      <w:r>
        <w:rPr/>
        <w:t>number</w:t>
      </w:r>
      <w:r>
        <w:rPr>
          <w:spacing w:val="-3"/>
        </w:rPr>
        <w:t> </w:t>
      </w:r>
      <w:r>
        <w:rPr/>
        <w:t>constrains</w:t>
      </w:r>
      <w:r>
        <w:rPr>
          <w:spacing w:val="-3"/>
        </w:rPr>
        <w:t> </w:t>
      </w:r>
      <w:r>
        <w:rPr/>
        <w:t>their collective ability to successfully cover all cunicular needs.</w:t>
      </w:r>
    </w:p>
    <w:p>
      <w:pPr>
        <w:pStyle w:val="BodyText"/>
        <w:rPr>
          <w:sz w:val="22"/>
        </w:rPr>
      </w:pPr>
    </w:p>
    <w:p>
      <w:pPr>
        <w:pStyle w:val="BodyText"/>
        <w:rPr>
          <w:sz w:val="22"/>
        </w:rPr>
      </w:pPr>
    </w:p>
    <w:p>
      <w:pPr>
        <w:pStyle w:val="ListParagraph"/>
        <w:numPr>
          <w:ilvl w:val="1"/>
          <w:numId w:val="75"/>
        </w:numPr>
        <w:tabs>
          <w:tab w:pos="941" w:val="left" w:leader="none"/>
          <w:tab w:pos="943" w:val="left" w:leader="none"/>
        </w:tabs>
        <w:spacing w:line="240" w:lineRule="auto" w:before="0" w:after="0"/>
        <w:ind w:left="942" w:right="0" w:hanging="728"/>
        <w:jc w:val="left"/>
        <w:rPr>
          <w:sz w:val="21"/>
        </w:rPr>
      </w:pPr>
      <w:r>
        <w:rPr>
          <w:sz w:val="21"/>
        </w:rPr>
        <w:t>Student</w:t>
      </w:r>
      <w:r>
        <w:rPr>
          <w:spacing w:val="5"/>
          <w:sz w:val="21"/>
        </w:rPr>
        <w:t> </w:t>
      </w:r>
      <w:r>
        <w:rPr>
          <w:sz w:val="21"/>
        </w:rPr>
        <w:t>Perfonnance</w:t>
      </w:r>
      <w:r>
        <w:rPr>
          <w:spacing w:val="9"/>
          <w:sz w:val="21"/>
        </w:rPr>
        <w:t> </w:t>
      </w:r>
      <w:r>
        <w:rPr>
          <w:spacing w:val="-2"/>
          <w:sz w:val="21"/>
        </w:rPr>
        <w:t>Criteria</w:t>
      </w:r>
    </w:p>
    <w:p>
      <w:pPr>
        <w:pStyle w:val="BodyText"/>
        <w:spacing w:before="2"/>
        <w:rPr>
          <w:sz w:val="19"/>
        </w:rPr>
      </w:pPr>
    </w:p>
    <w:p>
      <w:pPr>
        <w:spacing w:line="261" w:lineRule="auto" w:before="0"/>
        <w:ind w:left="944" w:right="295" w:firstLine="3"/>
        <w:jc w:val="left"/>
        <w:rPr>
          <w:i/>
          <w:sz w:val="19"/>
        </w:rPr>
      </w:pPr>
      <w:r>
        <w:rPr>
          <w:i/>
          <w:w w:val="105"/>
          <w:sz w:val="19"/>
        </w:rPr>
        <w:t>The</w:t>
      </w:r>
      <w:r>
        <w:rPr>
          <w:i/>
          <w:spacing w:val="-2"/>
          <w:w w:val="105"/>
          <w:sz w:val="19"/>
        </w:rPr>
        <w:t> </w:t>
      </w:r>
      <w:r>
        <w:rPr>
          <w:i/>
          <w:w w:val="105"/>
          <w:sz w:val="19"/>
        </w:rPr>
        <w:t>accredited degree program must ensure that each graduate</w:t>
      </w:r>
      <w:r>
        <w:rPr>
          <w:i/>
          <w:spacing w:val="-10"/>
          <w:w w:val="105"/>
          <w:sz w:val="19"/>
        </w:rPr>
        <w:t> </w:t>
      </w:r>
      <w:r>
        <w:rPr>
          <w:w w:val="105"/>
          <w:sz w:val="20"/>
        </w:rPr>
        <w:t>possesses </w:t>
      </w:r>
      <w:r>
        <w:rPr>
          <w:i/>
          <w:w w:val="105"/>
          <w:sz w:val="19"/>
        </w:rPr>
        <w:t>the knowledge and skills</w:t>
      </w:r>
      <w:r>
        <w:rPr>
          <w:i/>
          <w:spacing w:val="-4"/>
          <w:w w:val="105"/>
          <w:sz w:val="19"/>
        </w:rPr>
        <w:t> </w:t>
      </w:r>
      <w:r>
        <w:rPr>
          <w:i/>
          <w:w w:val="105"/>
          <w:sz w:val="19"/>
        </w:rPr>
        <w:t>defined by the</w:t>
      </w:r>
      <w:r>
        <w:rPr>
          <w:i/>
          <w:spacing w:val="-4"/>
          <w:w w:val="105"/>
          <w:sz w:val="19"/>
        </w:rPr>
        <w:t> </w:t>
      </w:r>
      <w:r>
        <w:rPr>
          <w:i/>
          <w:w w:val="105"/>
          <w:sz w:val="19"/>
        </w:rPr>
        <w:t>criteria set out below. The</w:t>
      </w:r>
      <w:r>
        <w:rPr>
          <w:i/>
          <w:spacing w:val="-10"/>
          <w:w w:val="105"/>
          <w:sz w:val="19"/>
        </w:rPr>
        <w:t> </w:t>
      </w:r>
      <w:r>
        <w:rPr>
          <w:i/>
          <w:w w:val="105"/>
          <w:sz w:val="19"/>
        </w:rPr>
        <w:t>knowledge and</w:t>
      </w:r>
      <w:r>
        <w:rPr>
          <w:i/>
          <w:spacing w:val="-5"/>
          <w:w w:val="105"/>
          <w:sz w:val="19"/>
        </w:rPr>
        <w:t> </w:t>
      </w:r>
      <w:r>
        <w:rPr>
          <w:i/>
          <w:w w:val="105"/>
          <w:sz w:val="19"/>
        </w:rPr>
        <w:t>skills</w:t>
      </w:r>
      <w:r>
        <w:rPr>
          <w:i/>
          <w:spacing w:val="-3"/>
          <w:w w:val="105"/>
          <w:sz w:val="19"/>
        </w:rPr>
        <w:t> </w:t>
      </w:r>
      <w:r>
        <w:rPr>
          <w:i/>
          <w:w w:val="105"/>
          <w:sz w:val="19"/>
        </w:rPr>
        <w:t>are</w:t>
      </w:r>
      <w:r>
        <w:rPr>
          <w:i/>
          <w:spacing w:val="-4"/>
          <w:w w:val="105"/>
          <w:sz w:val="19"/>
        </w:rPr>
        <w:t> </w:t>
      </w:r>
      <w:r>
        <w:rPr>
          <w:i/>
          <w:w w:val="105"/>
          <w:sz w:val="19"/>
        </w:rPr>
        <w:t>the minimum for meeting the demands of an internship leading to registration for practice.</w:t>
      </w:r>
    </w:p>
    <w:p>
      <w:pPr>
        <w:pStyle w:val="BodyText"/>
        <w:spacing w:before="10"/>
        <w:rPr>
          <w:i/>
          <w:sz w:val="18"/>
        </w:rPr>
      </w:pPr>
    </w:p>
    <w:p>
      <w:pPr>
        <w:pStyle w:val="ListParagraph"/>
        <w:numPr>
          <w:ilvl w:val="2"/>
          <w:numId w:val="75"/>
        </w:numPr>
        <w:tabs>
          <w:tab w:pos="1664" w:val="left" w:leader="none"/>
          <w:tab w:pos="1665" w:val="left" w:leader="none"/>
        </w:tabs>
        <w:spacing w:line="240" w:lineRule="auto" w:before="0" w:after="0"/>
        <w:ind w:left="1664" w:right="0" w:hanging="727"/>
        <w:jc w:val="left"/>
        <w:rPr>
          <w:sz w:val="21"/>
        </w:rPr>
      </w:pPr>
      <w:r>
        <w:rPr>
          <w:sz w:val="21"/>
        </w:rPr>
        <w:t>Speaking</w:t>
      </w:r>
      <w:r>
        <w:rPr>
          <w:spacing w:val="11"/>
          <w:sz w:val="21"/>
        </w:rPr>
        <w:t> </w:t>
      </w:r>
      <w:r>
        <w:rPr>
          <w:sz w:val="21"/>
        </w:rPr>
        <w:t>and</w:t>
      </w:r>
      <w:r>
        <w:rPr>
          <w:spacing w:val="-10"/>
          <w:sz w:val="21"/>
        </w:rPr>
        <w:t> </w:t>
      </w:r>
      <w:r>
        <w:rPr>
          <w:sz w:val="21"/>
        </w:rPr>
        <w:t>Writing</w:t>
      </w:r>
      <w:r>
        <w:rPr>
          <w:spacing w:val="17"/>
          <w:sz w:val="21"/>
        </w:rPr>
        <w:t> </w:t>
      </w:r>
      <w:r>
        <w:rPr>
          <w:spacing w:val="-2"/>
          <w:sz w:val="21"/>
        </w:rPr>
        <w:t>Skills</w:t>
      </w:r>
    </w:p>
    <w:p>
      <w:pPr>
        <w:pStyle w:val="BodyText"/>
        <w:spacing w:before="11"/>
        <w:rPr>
          <w:sz w:val="10"/>
        </w:rPr>
      </w:pPr>
    </w:p>
    <w:p>
      <w:pPr>
        <w:spacing w:after="0"/>
        <w:rPr>
          <w:sz w:val="10"/>
        </w:rPr>
        <w:sectPr>
          <w:headerReference w:type="default" r:id="rId385"/>
          <w:footerReference w:type="default" r:id="rId386"/>
          <w:pgSz w:w="12180" w:h="15820"/>
          <w:pgMar w:header="589" w:footer="0" w:top="1320" w:bottom="280" w:left="1120" w:right="1180"/>
        </w:sectPr>
      </w:pPr>
    </w:p>
    <w:p>
      <w:pPr>
        <w:spacing w:before="94"/>
        <w:ind w:left="1665" w:right="0" w:firstLine="0"/>
        <w:jc w:val="left"/>
        <w:rPr>
          <w:i/>
          <w:sz w:val="19"/>
        </w:rPr>
      </w:pPr>
      <w:r>
        <w:rPr>
          <w:w w:val="105"/>
          <w:sz w:val="20"/>
        </w:rPr>
        <w:t>Ability</w:t>
      </w:r>
      <w:r>
        <w:rPr>
          <w:spacing w:val="-11"/>
          <w:w w:val="105"/>
          <w:sz w:val="20"/>
        </w:rPr>
        <w:t> </w:t>
      </w:r>
      <w:r>
        <w:rPr>
          <w:w w:val="105"/>
          <w:sz w:val="20"/>
        </w:rPr>
        <w:t>to</w:t>
      </w:r>
      <w:r>
        <w:rPr>
          <w:spacing w:val="-15"/>
          <w:w w:val="105"/>
          <w:sz w:val="20"/>
        </w:rPr>
        <w:t> </w:t>
      </w:r>
      <w:r>
        <w:rPr>
          <w:i/>
          <w:w w:val="105"/>
          <w:sz w:val="19"/>
        </w:rPr>
        <w:t>read,</w:t>
      </w:r>
      <w:r>
        <w:rPr>
          <w:i/>
          <w:spacing w:val="-12"/>
          <w:w w:val="105"/>
          <w:sz w:val="19"/>
        </w:rPr>
        <w:t> </w:t>
      </w:r>
      <w:r>
        <w:rPr>
          <w:i/>
          <w:w w:val="105"/>
          <w:sz w:val="19"/>
        </w:rPr>
        <w:t>write,</w:t>
      </w:r>
      <w:r>
        <w:rPr>
          <w:i/>
          <w:spacing w:val="-13"/>
          <w:w w:val="105"/>
          <w:sz w:val="19"/>
        </w:rPr>
        <w:t> </w:t>
      </w:r>
      <w:r>
        <w:rPr>
          <w:i/>
          <w:w w:val="105"/>
          <w:sz w:val="19"/>
        </w:rPr>
        <w:t>listen,</w:t>
      </w:r>
      <w:r>
        <w:rPr>
          <w:i/>
          <w:spacing w:val="-5"/>
          <w:w w:val="105"/>
          <w:sz w:val="19"/>
        </w:rPr>
        <w:t> </w:t>
      </w:r>
      <w:r>
        <w:rPr>
          <w:i/>
          <w:w w:val="105"/>
          <w:sz w:val="19"/>
        </w:rPr>
        <w:t>and</w:t>
      </w:r>
      <w:r>
        <w:rPr>
          <w:i/>
          <w:spacing w:val="-5"/>
          <w:w w:val="105"/>
          <w:sz w:val="19"/>
        </w:rPr>
        <w:t> </w:t>
      </w:r>
      <w:r>
        <w:rPr>
          <w:i/>
          <w:w w:val="105"/>
          <w:sz w:val="19"/>
        </w:rPr>
        <w:t>speak</w:t>
      </w:r>
      <w:r>
        <w:rPr>
          <w:i/>
          <w:spacing w:val="-9"/>
          <w:w w:val="105"/>
          <w:sz w:val="19"/>
        </w:rPr>
        <w:t> </w:t>
      </w:r>
      <w:r>
        <w:rPr>
          <w:i/>
          <w:spacing w:val="-2"/>
          <w:w w:val="105"/>
          <w:sz w:val="19"/>
        </w:rPr>
        <w:t>effectively</w:t>
      </w:r>
    </w:p>
    <w:p>
      <w:pPr>
        <w:spacing w:line="240" w:lineRule="auto" w:before="5"/>
        <w:rPr>
          <w:i/>
          <w:sz w:val="27"/>
        </w:rPr>
      </w:pPr>
      <w:r>
        <w:rPr/>
        <w:br w:type="column"/>
      </w:r>
      <w:r>
        <w:rPr>
          <w:i/>
          <w:sz w:val="27"/>
        </w:rPr>
      </w:r>
    </w:p>
    <w:p>
      <w:pPr>
        <w:pStyle w:val="BodyText"/>
        <w:tabs>
          <w:tab w:pos="2322" w:val="left" w:leader="none"/>
        </w:tabs>
        <w:spacing w:line="195" w:lineRule="exact"/>
        <w:ind w:left="1426"/>
      </w:pPr>
      <w:r>
        <w:rPr>
          <w:spacing w:val="-5"/>
          <w:w w:val="105"/>
        </w:rPr>
        <w:t>Met</w:t>
      </w:r>
      <w:r>
        <w:rPr/>
        <w:tab/>
        <w:t>Not</w:t>
      </w:r>
      <w:r>
        <w:rPr>
          <w:spacing w:val="-14"/>
        </w:rPr>
        <w:t> </w:t>
      </w:r>
      <w:r>
        <w:rPr>
          <w:spacing w:val="-5"/>
          <w:w w:val="105"/>
        </w:rPr>
        <w:t>Met</w:t>
      </w:r>
    </w:p>
    <w:p>
      <w:pPr>
        <w:pStyle w:val="Heading2"/>
        <w:tabs>
          <w:tab w:pos="2560" w:val="left" w:leader="none"/>
        </w:tabs>
        <w:ind w:left="1481"/>
      </w:pPr>
      <w:r>
        <w:rPr>
          <w:spacing w:val="-5"/>
          <w:w w:val="70"/>
        </w:rPr>
        <w:t>[XI</w:t>
      </w:r>
      <w:r>
        <w:rPr/>
        <w:tab/>
      </w:r>
      <w:r>
        <w:rPr>
          <w:w w:val="70"/>
        </w:rPr>
        <w:t>I</w:t>
      </w:r>
      <w:r>
        <w:rPr>
          <w:spacing w:val="27"/>
        </w:rPr>
        <w:t> </w:t>
      </w:r>
      <w:r>
        <w:rPr>
          <w:spacing w:val="-10"/>
          <w:w w:val="70"/>
        </w:rPr>
        <w:t>I</w:t>
      </w:r>
    </w:p>
    <w:p>
      <w:pPr>
        <w:spacing w:after="0"/>
        <w:sectPr>
          <w:type w:val="continuous"/>
          <w:pgSz w:w="12180" w:h="15820"/>
          <w:pgMar w:header="589" w:footer="0" w:top="1360" w:bottom="280" w:left="1120" w:right="1180"/>
          <w:cols w:num="2" w:equalWidth="0">
            <w:col w:w="5975" w:space="40"/>
            <w:col w:w="3865"/>
          </w:cols>
        </w:sectPr>
      </w:pPr>
    </w:p>
    <w:p>
      <w:pPr>
        <w:pStyle w:val="BodyText"/>
        <w:spacing w:line="242" w:lineRule="auto" w:before="192"/>
        <w:ind w:left="1661" w:right="373" w:hanging="1"/>
      </w:pPr>
      <w:r>
        <w:rPr/>
        <w:t>This criterion is well-met.</w:t>
      </w:r>
      <w:r>
        <w:rPr>
          <w:spacing w:val="40"/>
        </w:rPr>
        <w:t> </w:t>
      </w:r>
      <w:r>
        <w:rPr/>
        <w:t>Success is evident in the spoken</w:t>
      </w:r>
      <w:r>
        <w:rPr>
          <w:spacing w:val="-3"/>
        </w:rPr>
        <w:t> </w:t>
      </w:r>
      <w:r>
        <w:rPr/>
        <w:t>words</w:t>
      </w:r>
      <w:r>
        <w:rPr>
          <w:spacing w:val="-3"/>
        </w:rPr>
        <w:t> </w:t>
      </w:r>
      <w:r>
        <w:rPr/>
        <w:t>of the</w:t>
      </w:r>
      <w:r>
        <w:rPr>
          <w:spacing w:val="-1"/>
        </w:rPr>
        <w:t> </w:t>
      </w:r>
      <w:r>
        <w:rPr/>
        <w:t>students, who are</w:t>
      </w:r>
      <w:r>
        <w:rPr>
          <w:spacing w:val="-1"/>
        </w:rPr>
        <w:t> </w:t>
      </w:r>
      <w:r>
        <w:rPr/>
        <w:t>notably articulate in</w:t>
      </w:r>
      <w:r>
        <w:rPr>
          <w:spacing w:val="-2"/>
        </w:rPr>
        <w:t> </w:t>
      </w:r>
      <w:r>
        <w:rPr/>
        <w:t>both group and individual contexts.</w:t>
      </w:r>
      <w:r>
        <w:rPr>
          <w:spacing w:val="40"/>
        </w:rPr>
        <w:t> </w:t>
      </w:r>
      <w:r>
        <w:rPr/>
        <w:t>Good writing skills are evident in a healthy spectrum of</w:t>
      </w:r>
      <w:r>
        <w:rPr>
          <w:spacing w:val="-2"/>
        </w:rPr>
        <w:t> </w:t>
      </w:r>
      <w:r>
        <w:rPr/>
        <w:t>class situations including design studio exercises and architectural history or theory course essays.</w:t>
      </w:r>
      <w:r>
        <w:rPr>
          <w:spacing w:val="40"/>
        </w:rPr>
        <w:t> </w:t>
      </w:r>
      <w:r>
        <w:rPr/>
        <w:t>Disciplined writing</w:t>
      </w:r>
      <w:r>
        <w:rPr>
          <w:spacing w:val="-1"/>
        </w:rPr>
        <w:t> </w:t>
      </w:r>
      <w:r>
        <w:rPr/>
        <w:t>with detailed assessment occurs</w:t>
      </w:r>
      <w:r>
        <w:rPr>
          <w:spacing w:val="-6"/>
        </w:rPr>
        <w:t> </w:t>
      </w:r>
      <w:r>
        <w:rPr/>
        <w:t>with</w:t>
      </w:r>
      <w:r>
        <w:rPr>
          <w:spacing w:val="-3"/>
        </w:rPr>
        <w:t> </w:t>
      </w:r>
      <w:r>
        <w:rPr/>
        <w:t>singular</w:t>
      </w:r>
      <w:r>
        <w:rPr>
          <w:spacing w:val="-10"/>
        </w:rPr>
        <w:t> </w:t>
      </w:r>
      <w:r>
        <w:rPr/>
        <w:t>effectiveness in</w:t>
      </w:r>
      <w:r>
        <w:rPr>
          <w:spacing w:val="-6"/>
        </w:rPr>
        <w:t> </w:t>
      </w:r>
      <w:r>
        <w:rPr/>
        <w:t>the</w:t>
      </w:r>
      <w:r>
        <w:rPr>
          <w:spacing w:val="-10"/>
        </w:rPr>
        <w:t> </w:t>
      </w:r>
      <w:r>
        <w:rPr/>
        <w:t>students' capstone thesis research </w:t>
      </w:r>
      <w:r>
        <w:rPr>
          <w:spacing w:val="-2"/>
        </w:rPr>
        <w:t>projects.</w:t>
      </w:r>
    </w:p>
    <w:p>
      <w:pPr>
        <w:pStyle w:val="BodyText"/>
        <w:rPr>
          <w:sz w:val="22"/>
        </w:rPr>
      </w:pPr>
    </w:p>
    <w:p>
      <w:pPr>
        <w:pStyle w:val="ListParagraph"/>
        <w:numPr>
          <w:ilvl w:val="2"/>
          <w:numId w:val="75"/>
        </w:numPr>
        <w:tabs>
          <w:tab w:pos="1663" w:val="left" w:leader="none"/>
          <w:tab w:pos="1664" w:val="left" w:leader="none"/>
        </w:tabs>
        <w:spacing w:line="240" w:lineRule="auto" w:before="192" w:after="0"/>
        <w:ind w:left="1663" w:right="0" w:hanging="726"/>
        <w:jc w:val="left"/>
        <w:rPr>
          <w:sz w:val="21"/>
        </w:rPr>
      </w:pPr>
      <w:r>
        <w:rPr>
          <w:w w:val="105"/>
          <w:sz w:val="21"/>
        </w:rPr>
        <w:t>Critical</w:t>
      </w:r>
      <w:r>
        <w:rPr>
          <w:spacing w:val="-24"/>
          <w:w w:val="105"/>
          <w:sz w:val="21"/>
        </w:rPr>
        <w:t> </w:t>
      </w:r>
      <w:r>
        <w:rPr>
          <w:w w:val="105"/>
          <w:sz w:val="21"/>
        </w:rPr>
        <w:t>Thinking</w:t>
      </w:r>
      <w:r>
        <w:rPr>
          <w:spacing w:val="-7"/>
          <w:w w:val="105"/>
          <w:sz w:val="21"/>
        </w:rPr>
        <w:t> </w:t>
      </w:r>
      <w:r>
        <w:rPr>
          <w:spacing w:val="-2"/>
          <w:w w:val="105"/>
          <w:sz w:val="21"/>
        </w:rPr>
        <w:t>Skills</w:t>
      </w:r>
    </w:p>
    <w:p>
      <w:pPr>
        <w:spacing w:line="256" w:lineRule="auto" w:before="207"/>
        <w:ind w:left="1673" w:right="0" w:firstLine="1"/>
        <w:jc w:val="left"/>
        <w:rPr>
          <w:i/>
          <w:sz w:val="19"/>
        </w:rPr>
      </w:pPr>
      <w:r>
        <w:rPr>
          <w:w w:val="105"/>
          <w:sz w:val="20"/>
        </w:rPr>
        <w:t>Ability to</w:t>
      </w:r>
      <w:r>
        <w:rPr>
          <w:spacing w:val="-14"/>
          <w:w w:val="105"/>
          <w:sz w:val="20"/>
        </w:rPr>
        <w:t> </w:t>
      </w:r>
      <w:r>
        <w:rPr>
          <w:w w:val="105"/>
          <w:sz w:val="20"/>
        </w:rPr>
        <w:t>raise</w:t>
      </w:r>
      <w:r>
        <w:rPr>
          <w:spacing w:val="-6"/>
          <w:w w:val="105"/>
          <w:sz w:val="20"/>
        </w:rPr>
        <w:t> </w:t>
      </w:r>
      <w:r>
        <w:rPr>
          <w:i/>
          <w:w w:val="105"/>
          <w:sz w:val="19"/>
        </w:rPr>
        <w:t>clear and</w:t>
      </w:r>
      <w:r>
        <w:rPr>
          <w:i/>
          <w:spacing w:val="-4"/>
          <w:w w:val="105"/>
          <w:sz w:val="19"/>
        </w:rPr>
        <w:t> </w:t>
      </w:r>
      <w:r>
        <w:rPr>
          <w:i/>
          <w:w w:val="105"/>
          <w:sz w:val="19"/>
        </w:rPr>
        <w:t>precise questions, use abstract ideas to interpret information, consider diverse</w:t>
      </w:r>
      <w:r>
        <w:rPr>
          <w:i/>
          <w:spacing w:val="-10"/>
          <w:w w:val="105"/>
          <w:sz w:val="19"/>
        </w:rPr>
        <w:t> </w:t>
      </w:r>
      <w:r>
        <w:rPr>
          <w:i/>
          <w:w w:val="105"/>
          <w:sz w:val="19"/>
        </w:rPr>
        <w:t>points</w:t>
      </w:r>
      <w:r>
        <w:rPr>
          <w:i/>
          <w:spacing w:val="-11"/>
          <w:w w:val="105"/>
          <w:sz w:val="19"/>
        </w:rPr>
        <w:t> </w:t>
      </w:r>
      <w:r>
        <w:rPr>
          <w:i/>
          <w:w w:val="105"/>
          <w:sz w:val="19"/>
        </w:rPr>
        <w:t>of</w:t>
      </w:r>
      <w:r>
        <w:rPr>
          <w:i/>
          <w:spacing w:val="-3"/>
          <w:w w:val="105"/>
          <w:sz w:val="19"/>
        </w:rPr>
        <w:t> </w:t>
      </w:r>
      <w:r>
        <w:rPr>
          <w:i/>
          <w:w w:val="105"/>
          <w:sz w:val="19"/>
        </w:rPr>
        <w:t>view, reach</w:t>
      </w:r>
      <w:r>
        <w:rPr>
          <w:i/>
          <w:spacing w:val="-3"/>
          <w:w w:val="105"/>
          <w:sz w:val="19"/>
        </w:rPr>
        <w:t> </w:t>
      </w:r>
      <w:r>
        <w:rPr>
          <w:i/>
          <w:w w:val="105"/>
          <w:sz w:val="19"/>
        </w:rPr>
        <w:t>weIf-reasoned conclusions, and</w:t>
      </w:r>
      <w:r>
        <w:rPr>
          <w:i/>
          <w:spacing w:val="-5"/>
          <w:w w:val="105"/>
          <w:sz w:val="19"/>
        </w:rPr>
        <w:t> </w:t>
      </w:r>
      <w:r>
        <w:rPr>
          <w:i/>
          <w:w w:val="105"/>
          <w:sz w:val="19"/>
        </w:rPr>
        <w:t>test</w:t>
      </w:r>
      <w:r>
        <w:rPr>
          <w:i/>
          <w:spacing w:val="-6"/>
          <w:w w:val="105"/>
          <w:sz w:val="19"/>
        </w:rPr>
        <w:t> </w:t>
      </w:r>
      <w:r>
        <w:rPr>
          <w:i/>
          <w:w w:val="105"/>
          <w:sz w:val="19"/>
        </w:rPr>
        <w:t>them against relevant criteria and standards</w:t>
      </w:r>
    </w:p>
    <w:p>
      <w:pPr>
        <w:pStyle w:val="BodyText"/>
        <w:tabs>
          <w:tab w:pos="8346" w:val="left" w:leader="none"/>
        </w:tabs>
        <w:spacing w:line="178" w:lineRule="exact"/>
        <w:ind w:left="7450"/>
      </w:pPr>
      <w:r>
        <w:rPr>
          <w:spacing w:val="-5"/>
          <w:w w:val="105"/>
        </w:rPr>
        <w:t>Met</w:t>
      </w:r>
      <w:r>
        <w:rPr/>
        <w:tab/>
        <w:t>Not</w:t>
      </w:r>
      <w:r>
        <w:rPr>
          <w:spacing w:val="-4"/>
        </w:rPr>
        <w:t> </w:t>
      </w:r>
      <w:r>
        <w:rPr>
          <w:spacing w:val="-5"/>
          <w:w w:val="105"/>
        </w:rPr>
        <w:t>Met</w:t>
      </w:r>
    </w:p>
    <w:p>
      <w:pPr>
        <w:pStyle w:val="Heading2"/>
        <w:tabs>
          <w:tab w:pos="8584" w:val="left" w:leader="none"/>
        </w:tabs>
      </w:pPr>
      <w:r>
        <w:rPr>
          <w:spacing w:val="-5"/>
          <w:w w:val="75"/>
        </w:rPr>
        <w:t>[XI</w:t>
      </w:r>
      <w:r>
        <w:rPr/>
        <w:tab/>
      </w:r>
      <w:r>
        <w:rPr>
          <w:w w:val="75"/>
        </w:rPr>
        <w:t>I</w:t>
      </w:r>
      <w:r>
        <w:rPr>
          <w:spacing w:val="32"/>
        </w:rPr>
        <w:t> </w:t>
      </w:r>
      <w:r>
        <w:rPr>
          <w:spacing w:val="-10"/>
          <w:w w:val="75"/>
        </w:rPr>
        <w:t>I</w:t>
      </w:r>
    </w:p>
    <w:p>
      <w:pPr>
        <w:pStyle w:val="BodyText"/>
        <w:spacing w:before="230"/>
        <w:ind w:left="1676" w:right="384" w:firstLine="1"/>
        <w:jc w:val="both"/>
      </w:pPr>
      <w:r>
        <w:rPr/>
        <w:t>Hampton students are articulate in</w:t>
      </w:r>
      <w:r>
        <w:rPr>
          <w:spacing w:val="-8"/>
        </w:rPr>
        <w:t> </w:t>
      </w:r>
      <w:r>
        <w:rPr/>
        <w:t>their grasp of</w:t>
      </w:r>
      <w:r>
        <w:rPr>
          <w:spacing w:val="-7"/>
        </w:rPr>
        <w:t> </w:t>
      </w:r>
      <w:r>
        <w:rPr/>
        <w:t>abstract reasoning and</w:t>
      </w:r>
      <w:r>
        <w:rPr>
          <w:spacing w:val="-4"/>
        </w:rPr>
        <w:t> </w:t>
      </w:r>
      <w:r>
        <w:rPr/>
        <w:t>thought.</w:t>
      </w:r>
      <w:r>
        <w:rPr>
          <w:spacing w:val="40"/>
        </w:rPr>
        <w:t> </w:t>
      </w:r>
      <w:r>
        <w:rPr/>
        <w:t>Skills are</w:t>
      </w:r>
      <w:r>
        <w:rPr>
          <w:spacing w:val="-14"/>
        </w:rPr>
        <w:t> </w:t>
      </w:r>
      <w:r>
        <w:rPr/>
        <w:t>developed in</w:t>
      </w:r>
      <w:r>
        <w:rPr>
          <w:spacing w:val="-14"/>
        </w:rPr>
        <w:t> </w:t>
      </w:r>
      <w:r>
        <w:rPr/>
        <w:t>courses</w:t>
      </w:r>
      <w:r>
        <w:rPr>
          <w:spacing w:val="-1"/>
        </w:rPr>
        <w:t> </w:t>
      </w:r>
      <w:r>
        <w:rPr/>
        <w:t>ARC 417-8 and</w:t>
      </w:r>
      <w:r>
        <w:rPr>
          <w:spacing w:val="-6"/>
        </w:rPr>
        <w:t> </w:t>
      </w:r>
      <w:r>
        <w:rPr/>
        <w:t>ARC</w:t>
      </w:r>
      <w:r>
        <w:rPr>
          <w:spacing w:val="-4"/>
        </w:rPr>
        <w:t> </w:t>
      </w:r>
      <w:r>
        <w:rPr/>
        <w:t>617-8.</w:t>
      </w:r>
      <w:r>
        <w:rPr>
          <w:spacing w:val="40"/>
        </w:rPr>
        <w:t> </w:t>
      </w:r>
      <w:r>
        <w:rPr/>
        <w:t>These skills</w:t>
      </w:r>
      <w:r>
        <w:rPr>
          <w:spacing w:val="-3"/>
        </w:rPr>
        <w:t> </w:t>
      </w:r>
      <w:r>
        <w:rPr/>
        <w:t>are demonstrated in comprehensive</w:t>
      </w:r>
      <w:r>
        <w:rPr>
          <w:spacing w:val="40"/>
        </w:rPr>
        <w:t> </w:t>
      </w:r>
      <w:r>
        <w:rPr/>
        <w:t>projects in ARC 405-6</w:t>
      </w:r>
      <w:r>
        <w:rPr>
          <w:spacing w:val="-1"/>
        </w:rPr>
        <w:t> </w:t>
      </w:r>
      <w:r>
        <w:rPr/>
        <w:t>and ARC 601-2 coursework.</w:t>
      </w:r>
    </w:p>
    <w:p>
      <w:pPr>
        <w:pStyle w:val="BodyText"/>
        <w:rPr>
          <w:sz w:val="22"/>
        </w:rPr>
      </w:pPr>
    </w:p>
    <w:p>
      <w:pPr>
        <w:pStyle w:val="BodyText"/>
        <w:spacing w:before="7"/>
        <w:rPr>
          <w:sz w:val="17"/>
        </w:rPr>
      </w:pPr>
    </w:p>
    <w:p>
      <w:pPr>
        <w:pStyle w:val="ListParagraph"/>
        <w:numPr>
          <w:ilvl w:val="2"/>
          <w:numId w:val="75"/>
        </w:numPr>
        <w:tabs>
          <w:tab w:pos="1682" w:val="left" w:leader="none"/>
          <w:tab w:pos="1683" w:val="left" w:leader="none"/>
        </w:tabs>
        <w:spacing w:line="240" w:lineRule="auto" w:before="0" w:after="0"/>
        <w:ind w:left="1682" w:right="0" w:hanging="726"/>
        <w:jc w:val="left"/>
        <w:rPr>
          <w:sz w:val="21"/>
        </w:rPr>
      </w:pPr>
      <w:r>
        <w:rPr>
          <w:sz w:val="21"/>
        </w:rPr>
        <w:t>Graphic</w:t>
      </w:r>
      <w:r>
        <w:rPr>
          <w:spacing w:val="6"/>
          <w:w w:val="105"/>
          <w:sz w:val="21"/>
        </w:rPr>
        <w:t> </w:t>
      </w:r>
      <w:r>
        <w:rPr>
          <w:spacing w:val="-2"/>
          <w:w w:val="105"/>
          <w:sz w:val="21"/>
        </w:rPr>
        <w:t>Skills</w:t>
      </w:r>
    </w:p>
    <w:p>
      <w:pPr>
        <w:pStyle w:val="BodyText"/>
        <w:spacing w:before="9"/>
        <w:rPr>
          <w:sz w:val="18"/>
        </w:rPr>
      </w:pPr>
    </w:p>
    <w:p>
      <w:pPr>
        <w:spacing w:line="252" w:lineRule="auto" w:before="1"/>
        <w:ind w:left="1692" w:right="475" w:firstLine="1"/>
        <w:jc w:val="left"/>
        <w:rPr>
          <w:i/>
          <w:sz w:val="19"/>
        </w:rPr>
      </w:pPr>
      <w:r>
        <w:rPr>
          <w:w w:val="105"/>
          <w:sz w:val="20"/>
        </w:rPr>
        <w:t>Ability to</w:t>
      </w:r>
      <w:r>
        <w:rPr>
          <w:spacing w:val="-18"/>
          <w:w w:val="105"/>
          <w:sz w:val="20"/>
        </w:rPr>
        <w:t> </w:t>
      </w:r>
      <w:r>
        <w:rPr>
          <w:i/>
          <w:w w:val="105"/>
          <w:sz w:val="19"/>
        </w:rPr>
        <w:t>use</w:t>
      </w:r>
      <w:r>
        <w:rPr>
          <w:i/>
          <w:spacing w:val="-8"/>
          <w:w w:val="105"/>
          <w:sz w:val="19"/>
        </w:rPr>
        <w:t> </w:t>
      </w:r>
      <w:r>
        <w:rPr>
          <w:i/>
          <w:w w:val="105"/>
          <w:sz w:val="19"/>
        </w:rPr>
        <w:t>appropriate representational</w:t>
      </w:r>
      <w:r>
        <w:rPr>
          <w:i/>
          <w:spacing w:val="-9"/>
          <w:w w:val="105"/>
          <w:sz w:val="19"/>
        </w:rPr>
        <w:t> </w:t>
      </w:r>
      <w:r>
        <w:rPr>
          <w:i/>
          <w:w w:val="105"/>
          <w:sz w:val="19"/>
        </w:rPr>
        <w:t>media, including freehand</w:t>
      </w:r>
      <w:r>
        <w:rPr>
          <w:i/>
          <w:spacing w:val="-4"/>
          <w:w w:val="105"/>
          <w:sz w:val="19"/>
        </w:rPr>
        <w:t> </w:t>
      </w:r>
      <w:r>
        <w:rPr>
          <w:i/>
          <w:w w:val="105"/>
          <w:sz w:val="19"/>
        </w:rPr>
        <w:t>drawing and computer technology, to convey essential formal elements at</w:t>
      </w:r>
      <w:r>
        <w:rPr>
          <w:i/>
          <w:spacing w:val="-7"/>
          <w:w w:val="105"/>
          <w:sz w:val="19"/>
        </w:rPr>
        <w:t> </w:t>
      </w:r>
      <w:r>
        <w:rPr>
          <w:i/>
          <w:w w:val="105"/>
          <w:sz w:val="19"/>
        </w:rPr>
        <w:t>each stage of the programming and design process</w:t>
      </w:r>
    </w:p>
    <w:p>
      <w:pPr>
        <w:pStyle w:val="BodyText"/>
        <w:tabs>
          <w:tab w:pos="8375" w:val="left" w:leader="none"/>
        </w:tabs>
        <w:spacing w:line="187" w:lineRule="exact"/>
        <w:ind w:left="7479"/>
      </w:pPr>
      <w:r>
        <w:rPr>
          <w:spacing w:val="-5"/>
        </w:rPr>
        <w:t>Met</w:t>
      </w:r>
      <w:r>
        <w:rPr/>
        <w:tab/>
      </w:r>
      <w:r>
        <w:rPr>
          <w:spacing w:val="-2"/>
        </w:rPr>
        <w:t>Not</w:t>
      </w:r>
      <w:r>
        <w:rPr>
          <w:spacing w:val="-9"/>
        </w:rPr>
        <w:t> </w:t>
      </w:r>
      <w:r>
        <w:rPr>
          <w:spacing w:val="-5"/>
        </w:rPr>
        <w:t>Met</w:t>
      </w:r>
    </w:p>
    <w:p>
      <w:pPr>
        <w:pStyle w:val="Heading2"/>
        <w:tabs>
          <w:tab w:pos="8613" w:val="left" w:leader="none"/>
        </w:tabs>
        <w:spacing w:line="360" w:lineRule="exact"/>
        <w:ind w:left="7534"/>
      </w:pPr>
      <w:r>
        <w:rPr>
          <w:spacing w:val="-5"/>
          <w:w w:val="70"/>
        </w:rPr>
        <w:t>[XI</w:t>
      </w:r>
      <w:r>
        <w:rPr/>
        <w:tab/>
      </w:r>
      <w:r>
        <w:rPr>
          <w:w w:val="70"/>
        </w:rPr>
        <w:t>I</w:t>
      </w:r>
      <w:r>
        <w:rPr>
          <w:spacing w:val="37"/>
        </w:rPr>
        <w:t> </w:t>
      </w:r>
      <w:r>
        <w:rPr>
          <w:spacing w:val="-10"/>
          <w:w w:val="70"/>
        </w:rPr>
        <w:t>I</w: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0"/>
        <w:rPr>
          <w:rFonts w:ascii="Times New Roman"/>
          <w:sz w:val="12"/>
        </w:rPr>
      </w:pPr>
      <w:r>
        <w:rPr/>
        <w:pict>
          <v:shape style="position:absolute;margin-left:67.451866pt;margin-top:8.599414pt;width:456.3pt;height:.1pt;mso-position-horizontal-relative:page;mso-position-vertical-relative:paragraph;z-index:-15700480;mso-wrap-distance-left:0;mso-wrap-distance-right:0" id="docshape643" coordorigin="1349,172" coordsize="9126,0" path="m1349,172l10474,172e" filled="false" stroked="true" strokeweight=".481434pt" strokecolor="#000000">
            <v:path arrowok="t"/>
            <v:stroke dashstyle="solid"/>
            <w10:wrap type="topAndBottom"/>
          </v:shape>
        </w:pict>
      </w:r>
    </w:p>
    <w:p>
      <w:pPr>
        <w:pStyle w:val="BodyText"/>
        <w:spacing w:line="212" w:lineRule="exact"/>
        <w:ind w:right="188"/>
        <w:jc w:val="right"/>
      </w:pPr>
      <w:r>
        <w:rPr>
          <w:spacing w:val="-5"/>
          <w:w w:val="110"/>
        </w:rPr>
        <w:t>13</w:t>
      </w:r>
    </w:p>
    <w:p>
      <w:pPr>
        <w:spacing w:after="0" w:line="212" w:lineRule="exact"/>
        <w:jc w:val="right"/>
        <w:sectPr>
          <w:type w:val="continuous"/>
          <w:pgSz w:w="12180" w:h="15820"/>
          <w:pgMar w:header="589" w:footer="0" w:top="1360" w:bottom="280" w:left="1120" w:right="1180"/>
        </w:sectPr>
      </w:pPr>
    </w:p>
    <w:p>
      <w:pPr>
        <w:pStyle w:val="BodyText"/>
        <w:spacing w:before="9"/>
        <w:rPr>
          <w:sz w:val="17"/>
        </w:rPr>
      </w:pPr>
    </w:p>
    <w:p>
      <w:pPr>
        <w:pStyle w:val="BodyText"/>
        <w:spacing w:before="94"/>
        <w:ind w:left="1670" w:right="295" w:firstLine="7"/>
      </w:pPr>
      <w:r>
        <w:rPr/>
        <w:t>Mastery of</w:t>
      </w:r>
      <w:r>
        <w:rPr>
          <w:spacing w:val="-4"/>
        </w:rPr>
        <w:t> </w:t>
      </w:r>
      <w:r>
        <w:rPr/>
        <w:t>graphic</w:t>
      </w:r>
      <w:r>
        <w:rPr>
          <w:spacing w:val="24"/>
        </w:rPr>
        <w:t> </w:t>
      </w:r>
      <w:r>
        <w:rPr/>
        <w:t>skills</w:t>
      </w:r>
      <w:r>
        <w:rPr>
          <w:spacing w:val="-1"/>
        </w:rPr>
        <w:t> </w:t>
      </w:r>
      <w:r>
        <w:rPr/>
        <w:t>is</w:t>
      </w:r>
      <w:r>
        <w:rPr>
          <w:spacing w:val="-4"/>
        </w:rPr>
        <w:t> </w:t>
      </w:r>
      <w:r>
        <w:rPr/>
        <w:t>essential</w:t>
      </w:r>
      <w:r>
        <w:rPr>
          <w:spacing w:val="-2"/>
        </w:rPr>
        <w:t> </w:t>
      </w:r>
      <w:r>
        <w:rPr/>
        <w:t>to</w:t>
      </w:r>
      <w:r>
        <w:rPr>
          <w:spacing w:val="-2"/>
        </w:rPr>
        <w:t> </w:t>
      </w:r>
      <w:r>
        <w:rPr/>
        <w:t>communicating</w:t>
      </w:r>
      <w:r>
        <w:rPr>
          <w:spacing w:val="24"/>
        </w:rPr>
        <w:t> </w:t>
      </w:r>
      <w:r>
        <w:rPr/>
        <w:t>ideas effectively</w:t>
      </w:r>
      <w:r>
        <w:rPr>
          <w:spacing w:val="37"/>
        </w:rPr>
        <w:t> </w:t>
      </w:r>
      <w:r>
        <w:rPr/>
        <w:t>within the</w:t>
      </w:r>
      <w:r>
        <w:rPr/>
        <w:t> practice</w:t>
      </w:r>
      <w:r>
        <w:rPr>
          <w:spacing w:val="-1"/>
        </w:rPr>
        <w:t> </w:t>
      </w:r>
      <w:r>
        <w:rPr/>
        <w:t>of</w:t>
      </w:r>
      <w:r>
        <w:rPr>
          <w:spacing w:val="-14"/>
        </w:rPr>
        <w:t> </w:t>
      </w:r>
      <w:r>
        <w:rPr/>
        <w:t>architecture.</w:t>
      </w:r>
      <w:r>
        <w:rPr>
          <w:spacing w:val="40"/>
        </w:rPr>
        <w:t> </w:t>
      </w:r>
      <w:r>
        <w:rPr/>
        <w:t>However, consistent evidence of</w:t>
      </w:r>
      <w:r>
        <w:rPr>
          <w:spacing w:val="-8"/>
        </w:rPr>
        <w:t> </w:t>
      </w:r>
      <w:r>
        <w:rPr/>
        <w:t>freehand</w:t>
      </w:r>
      <w:r>
        <w:rPr>
          <w:spacing w:val="-6"/>
        </w:rPr>
        <w:t> </w:t>
      </w:r>
      <w:r>
        <w:rPr/>
        <w:t>drawing</w:t>
      </w:r>
      <w:r>
        <w:rPr>
          <w:spacing w:val="-7"/>
        </w:rPr>
        <w:t> </w:t>
      </w:r>
      <w:r>
        <w:rPr/>
        <w:t>skills</w:t>
      </w:r>
      <w:r>
        <w:rPr>
          <w:spacing w:val="-9"/>
        </w:rPr>
        <w:t> </w:t>
      </w:r>
      <w:r>
        <w:rPr/>
        <w:t>was</w:t>
      </w:r>
      <w:r>
        <w:rPr>
          <w:spacing w:val="-14"/>
        </w:rPr>
        <w:t> </w:t>
      </w:r>
      <w:r>
        <w:rPr/>
        <w:t>not obseFVed in student work; a cause of concern.</w:t>
      </w:r>
    </w:p>
    <w:p>
      <w:pPr>
        <w:pStyle w:val="BodyText"/>
        <w:rPr>
          <w:sz w:val="22"/>
        </w:rPr>
      </w:pPr>
    </w:p>
    <w:p>
      <w:pPr>
        <w:pStyle w:val="ListParagraph"/>
        <w:numPr>
          <w:ilvl w:val="2"/>
          <w:numId w:val="75"/>
        </w:numPr>
        <w:tabs>
          <w:tab w:pos="1667" w:val="left" w:leader="none"/>
          <w:tab w:pos="1668" w:val="left" w:leader="none"/>
        </w:tabs>
        <w:spacing w:line="240" w:lineRule="auto" w:before="193" w:after="0"/>
        <w:ind w:left="1667" w:right="0" w:hanging="720"/>
        <w:jc w:val="left"/>
        <w:rPr>
          <w:sz w:val="21"/>
        </w:rPr>
      </w:pPr>
      <w:r>
        <w:rPr>
          <w:sz w:val="21"/>
        </w:rPr>
        <w:t>Research</w:t>
      </w:r>
      <w:r>
        <w:rPr>
          <w:spacing w:val="-7"/>
          <w:sz w:val="21"/>
        </w:rPr>
        <w:t> </w:t>
      </w:r>
      <w:r>
        <w:rPr>
          <w:spacing w:val="-2"/>
          <w:w w:val="105"/>
          <w:sz w:val="21"/>
        </w:rPr>
        <w:t>Skills</w:t>
      </w:r>
    </w:p>
    <w:p>
      <w:pPr>
        <w:pStyle w:val="BodyText"/>
        <w:spacing w:before="7"/>
        <w:rPr>
          <w:sz w:val="19"/>
        </w:rPr>
      </w:pPr>
    </w:p>
    <w:p>
      <w:pPr>
        <w:spacing w:line="261" w:lineRule="auto" w:before="1"/>
        <w:ind w:left="1663" w:right="424" w:firstLine="1"/>
        <w:jc w:val="left"/>
        <w:rPr>
          <w:i/>
          <w:sz w:val="19"/>
        </w:rPr>
      </w:pPr>
      <w:r>
        <w:rPr>
          <w:w w:val="105"/>
          <w:sz w:val="20"/>
        </w:rPr>
        <w:t>Ability</w:t>
      </w:r>
      <w:r>
        <w:rPr>
          <w:spacing w:val="-7"/>
          <w:w w:val="105"/>
          <w:sz w:val="20"/>
        </w:rPr>
        <w:t> </w:t>
      </w:r>
      <w:r>
        <w:rPr>
          <w:w w:val="105"/>
          <w:sz w:val="20"/>
        </w:rPr>
        <w:t>to</w:t>
      </w:r>
      <w:r>
        <w:rPr>
          <w:spacing w:val="-15"/>
          <w:w w:val="105"/>
          <w:sz w:val="20"/>
        </w:rPr>
        <w:t> </w:t>
      </w:r>
      <w:r>
        <w:rPr>
          <w:i/>
          <w:w w:val="105"/>
          <w:sz w:val="19"/>
        </w:rPr>
        <w:t>gather,</w:t>
      </w:r>
      <w:r>
        <w:rPr>
          <w:i/>
          <w:spacing w:val="-7"/>
          <w:w w:val="105"/>
          <w:sz w:val="19"/>
        </w:rPr>
        <w:t> </w:t>
      </w:r>
      <w:r>
        <w:rPr>
          <w:i/>
          <w:w w:val="105"/>
          <w:sz w:val="19"/>
        </w:rPr>
        <w:t>assess,</w:t>
      </w:r>
      <w:r>
        <w:rPr>
          <w:i/>
          <w:spacing w:val="-14"/>
          <w:w w:val="105"/>
          <w:sz w:val="19"/>
        </w:rPr>
        <w:t> </w:t>
      </w:r>
      <w:r>
        <w:rPr>
          <w:i/>
          <w:w w:val="105"/>
          <w:sz w:val="19"/>
        </w:rPr>
        <w:t>record,</w:t>
      </w:r>
      <w:r>
        <w:rPr>
          <w:i/>
          <w:spacing w:val="-6"/>
          <w:w w:val="105"/>
          <w:sz w:val="19"/>
        </w:rPr>
        <w:t> </w:t>
      </w:r>
      <w:r>
        <w:rPr>
          <w:i/>
          <w:w w:val="105"/>
          <w:sz w:val="19"/>
        </w:rPr>
        <w:t>and</w:t>
      </w:r>
      <w:r>
        <w:rPr>
          <w:i/>
          <w:spacing w:val="-10"/>
          <w:w w:val="105"/>
          <w:sz w:val="19"/>
        </w:rPr>
        <w:t> </w:t>
      </w:r>
      <w:r>
        <w:rPr>
          <w:i/>
          <w:w w:val="105"/>
          <w:sz w:val="19"/>
        </w:rPr>
        <w:t>apply</w:t>
      </w:r>
      <w:r>
        <w:rPr>
          <w:i/>
          <w:spacing w:val="-10"/>
          <w:w w:val="105"/>
          <w:sz w:val="19"/>
        </w:rPr>
        <w:t> </w:t>
      </w:r>
      <w:r>
        <w:rPr>
          <w:i/>
          <w:w w:val="105"/>
          <w:sz w:val="19"/>
        </w:rPr>
        <w:t>relevant</w:t>
      </w:r>
      <w:r>
        <w:rPr>
          <w:i/>
          <w:spacing w:val="-8"/>
          <w:w w:val="105"/>
          <w:sz w:val="19"/>
        </w:rPr>
        <w:t> </w:t>
      </w:r>
      <w:r>
        <w:rPr>
          <w:i/>
          <w:w w:val="105"/>
          <w:sz w:val="19"/>
        </w:rPr>
        <w:t>information in</w:t>
      </w:r>
      <w:r>
        <w:rPr>
          <w:i/>
          <w:spacing w:val="-8"/>
          <w:w w:val="105"/>
          <w:sz w:val="19"/>
        </w:rPr>
        <w:t> </w:t>
      </w:r>
      <w:r>
        <w:rPr>
          <w:i/>
          <w:w w:val="105"/>
          <w:sz w:val="19"/>
        </w:rPr>
        <w:t>architectural </w:t>
      </w:r>
      <w:r>
        <w:rPr>
          <w:i/>
          <w:spacing w:val="-2"/>
          <w:w w:val="105"/>
          <w:sz w:val="19"/>
        </w:rPr>
        <w:t>coursework</w:t>
      </w:r>
    </w:p>
    <w:p>
      <w:pPr>
        <w:pStyle w:val="BodyText"/>
        <w:tabs>
          <w:tab w:pos="8307" w:val="left" w:leader="none"/>
        </w:tabs>
        <w:spacing w:line="217" w:lineRule="exact"/>
        <w:ind w:left="7421"/>
      </w:pPr>
      <w:r>
        <w:rPr>
          <w:spacing w:val="-5"/>
        </w:rPr>
        <w:t>Met</w:t>
      </w:r>
      <w:r>
        <w:rPr/>
        <w:tab/>
      </w:r>
      <w:r>
        <w:rPr>
          <w:spacing w:val="-2"/>
        </w:rPr>
        <w:t>Not</w:t>
      </w:r>
      <w:r>
        <w:rPr>
          <w:spacing w:val="-9"/>
        </w:rPr>
        <w:t> </w:t>
      </w:r>
      <w:r>
        <w:rPr>
          <w:spacing w:val="-5"/>
        </w:rPr>
        <w:t>Met</w:t>
      </w:r>
    </w:p>
    <w:p>
      <w:pPr>
        <w:pStyle w:val="Heading7"/>
        <w:tabs>
          <w:tab w:pos="8527" w:val="left" w:leader="none"/>
        </w:tabs>
        <w:spacing w:before="12"/>
        <w:ind w:left="7487"/>
      </w:pPr>
      <w:r>
        <w:rPr>
          <w:spacing w:val="-5"/>
          <w:w w:val="90"/>
        </w:rPr>
        <w:t>[XJ</w:t>
      </w:r>
      <w:r>
        <w:rPr/>
        <w:tab/>
      </w:r>
      <w:r>
        <w:rPr>
          <w:w w:val="90"/>
        </w:rPr>
        <w:t>[</w:t>
      </w:r>
      <w:r>
        <w:rPr>
          <w:spacing w:val="69"/>
        </w:rPr>
        <w:t> </w:t>
      </w:r>
      <w:r>
        <w:rPr>
          <w:spacing w:val="-10"/>
          <w:w w:val="90"/>
        </w:rPr>
        <w:t>J</w:t>
      </w:r>
    </w:p>
    <w:p>
      <w:pPr>
        <w:pStyle w:val="BodyText"/>
        <w:spacing w:before="221"/>
        <w:ind w:left="1656" w:right="475" w:firstLine="3"/>
      </w:pPr>
      <w:r>
        <w:rPr/>
        <w:t>The research thesis studios (ARC 601/602) offer students an</w:t>
      </w:r>
      <w:r>
        <w:rPr>
          <w:spacing w:val="-7"/>
        </w:rPr>
        <w:t> </w:t>
      </w:r>
      <w:r>
        <w:rPr/>
        <w:t>opportunity to</w:t>
      </w:r>
      <w:r>
        <w:rPr>
          <w:spacing w:val="-8"/>
        </w:rPr>
        <w:t> </w:t>
      </w:r>
      <w:r>
        <w:rPr/>
        <w:t>pursue intensive, guided research, which yields strong results in</w:t>
      </w:r>
      <w:r>
        <w:rPr>
          <w:spacing w:val="-6"/>
        </w:rPr>
        <w:t> </w:t>
      </w:r>
      <w:r>
        <w:rPr/>
        <w:t>the written documents that complete</w:t>
      </w:r>
      <w:r>
        <w:rPr>
          <w:spacing w:val="-1"/>
        </w:rPr>
        <w:t> </w:t>
      </w:r>
      <w:r>
        <w:rPr/>
        <w:t>the fall</w:t>
      </w:r>
      <w:r>
        <w:rPr>
          <w:spacing w:val="-17"/>
        </w:rPr>
        <w:t> </w:t>
      </w:r>
      <w:r>
        <w:rPr/>
        <w:t>term, and</w:t>
      </w:r>
      <w:r>
        <w:rPr>
          <w:spacing w:val="-11"/>
        </w:rPr>
        <w:t> </w:t>
      </w:r>
      <w:r>
        <w:rPr/>
        <w:t>an</w:t>
      </w:r>
      <w:r>
        <w:rPr>
          <w:spacing w:val="-12"/>
        </w:rPr>
        <w:t> </w:t>
      </w:r>
      <w:r>
        <w:rPr/>
        <w:t>opportunity</w:t>
      </w:r>
      <w:r>
        <w:rPr>
          <w:spacing w:val="23"/>
        </w:rPr>
        <w:t> </w:t>
      </w:r>
      <w:r>
        <w:rPr/>
        <w:t>to</w:t>
      </w:r>
      <w:r>
        <w:rPr>
          <w:spacing w:val="-17"/>
        </w:rPr>
        <w:t> </w:t>
      </w:r>
      <w:r>
        <w:rPr/>
        <w:t>apply and</w:t>
      </w:r>
      <w:r>
        <w:rPr>
          <w:spacing w:val="-6"/>
        </w:rPr>
        <w:t> </w:t>
      </w:r>
      <w:r>
        <w:rPr/>
        <w:t>test</w:t>
      </w:r>
      <w:r>
        <w:rPr>
          <w:spacing w:val="-11"/>
        </w:rPr>
        <w:t> </w:t>
      </w:r>
      <w:r>
        <w:rPr/>
        <w:t>that</w:t>
      </w:r>
      <w:r>
        <w:rPr>
          <w:spacing w:val="-10"/>
        </w:rPr>
        <w:t> </w:t>
      </w:r>
      <w:r>
        <w:rPr/>
        <w:t>research in</w:t>
      </w:r>
      <w:r>
        <w:rPr>
          <w:spacing w:val="-9"/>
        </w:rPr>
        <w:t> </w:t>
      </w:r>
      <w:r>
        <w:rPr/>
        <w:t>the</w:t>
      </w:r>
      <w:r>
        <w:rPr>
          <w:spacing w:val="-1"/>
        </w:rPr>
        <w:t> </w:t>
      </w:r>
      <w:r>
        <w:rPr/>
        <w:t>spring semester.</w:t>
      </w:r>
      <w:r>
        <w:rPr>
          <w:spacing w:val="80"/>
        </w:rPr>
        <w:t> </w:t>
      </w:r>
      <w:r>
        <w:rPr/>
        <w:t>The Tearn found this Criterion to be well</w:t>
      </w:r>
      <w:r>
        <w:rPr>
          <w:spacing w:val="-4"/>
        </w:rPr>
        <w:t> </w:t>
      </w:r>
      <w:r>
        <w:rPr/>
        <w:t>met.</w:t>
      </w:r>
    </w:p>
    <w:p>
      <w:pPr>
        <w:pStyle w:val="BodyText"/>
        <w:rPr>
          <w:sz w:val="22"/>
        </w:rPr>
      </w:pPr>
    </w:p>
    <w:p>
      <w:pPr>
        <w:pStyle w:val="ListParagraph"/>
        <w:numPr>
          <w:ilvl w:val="2"/>
          <w:numId w:val="75"/>
        </w:numPr>
        <w:tabs>
          <w:tab w:pos="1657" w:val="left" w:leader="none"/>
          <w:tab w:pos="1658" w:val="left" w:leader="none"/>
        </w:tabs>
        <w:spacing w:line="240" w:lineRule="auto" w:before="195" w:after="0"/>
        <w:ind w:left="1657" w:right="0" w:hanging="720"/>
        <w:jc w:val="left"/>
        <w:rPr>
          <w:sz w:val="21"/>
        </w:rPr>
      </w:pPr>
      <w:r>
        <w:rPr>
          <w:w w:val="105"/>
          <w:sz w:val="20"/>
        </w:rPr>
        <w:t>Formal</w:t>
      </w:r>
      <w:r>
        <w:rPr>
          <w:spacing w:val="-10"/>
          <w:w w:val="105"/>
          <w:sz w:val="20"/>
        </w:rPr>
        <w:t> </w:t>
      </w:r>
      <w:r>
        <w:rPr>
          <w:w w:val="105"/>
          <w:sz w:val="21"/>
        </w:rPr>
        <w:t>Ordering</w:t>
      </w:r>
      <w:r>
        <w:rPr>
          <w:spacing w:val="-12"/>
          <w:w w:val="105"/>
          <w:sz w:val="21"/>
        </w:rPr>
        <w:t> </w:t>
      </w:r>
      <w:r>
        <w:rPr>
          <w:spacing w:val="-2"/>
          <w:w w:val="105"/>
          <w:sz w:val="21"/>
        </w:rPr>
        <w:t>Skills</w:t>
      </w:r>
    </w:p>
    <w:p>
      <w:pPr>
        <w:pStyle w:val="BodyText"/>
        <w:spacing w:before="9"/>
      </w:pPr>
    </w:p>
    <w:p>
      <w:pPr>
        <w:spacing w:line="247" w:lineRule="auto" w:before="1"/>
        <w:ind w:left="1645" w:right="301" w:firstLine="13"/>
        <w:jc w:val="both"/>
        <w:rPr>
          <w:i/>
          <w:sz w:val="19"/>
        </w:rPr>
      </w:pPr>
      <w:r>
        <w:rPr>
          <w:w w:val="105"/>
          <w:sz w:val="20"/>
        </w:rPr>
        <w:t>Understanding</w:t>
      </w:r>
      <w:r>
        <w:rPr>
          <w:spacing w:val="-15"/>
          <w:w w:val="105"/>
          <w:sz w:val="20"/>
        </w:rPr>
        <w:t> </w:t>
      </w:r>
      <w:r>
        <w:rPr>
          <w:w w:val="105"/>
          <w:sz w:val="20"/>
        </w:rPr>
        <w:t>of</w:t>
      </w:r>
      <w:r>
        <w:rPr>
          <w:spacing w:val="-15"/>
          <w:w w:val="105"/>
          <w:sz w:val="20"/>
        </w:rPr>
        <w:t> </w:t>
      </w:r>
      <w:r>
        <w:rPr>
          <w:i/>
          <w:w w:val="105"/>
          <w:sz w:val="19"/>
        </w:rPr>
        <w:t>the</w:t>
      </w:r>
      <w:r>
        <w:rPr>
          <w:i/>
          <w:spacing w:val="-14"/>
          <w:w w:val="105"/>
          <w:sz w:val="19"/>
        </w:rPr>
        <w:t> </w:t>
      </w:r>
      <w:r>
        <w:rPr>
          <w:i/>
          <w:w w:val="105"/>
          <w:sz w:val="19"/>
        </w:rPr>
        <w:t>fundamentals</w:t>
      </w:r>
      <w:r>
        <w:rPr>
          <w:i/>
          <w:spacing w:val="-9"/>
          <w:w w:val="105"/>
          <w:sz w:val="19"/>
        </w:rPr>
        <w:t> </w:t>
      </w:r>
      <w:r>
        <w:rPr>
          <w:i/>
          <w:w w:val="105"/>
          <w:sz w:val="19"/>
        </w:rPr>
        <w:t>of</w:t>
      </w:r>
      <w:r>
        <w:rPr>
          <w:i/>
          <w:spacing w:val="-1"/>
          <w:w w:val="105"/>
          <w:sz w:val="19"/>
        </w:rPr>
        <w:t> </w:t>
      </w:r>
      <w:r>
        <w:rPr>
          <w:i/>
          <w:w w:val="105"/>
          <w:sz w:val="19"/>
        </w:rPr>
        <w:t>visual</w:t>
      </w:r>
      <w:r>
        <w:rPr>
          <w:i/>
          <w:spacing w:val="-14"/>
          <w:w w:val="105"/>
          <w:sz w:val="19"/>
        </w:rPr>
        <w:t> </w:t>
      </w:r>
      <w:r>
        <w:rPr>
          <w:i/>
          <w:w w:val="105"/>
          <w:sz w:val="19"/>
        </w:rPr>
        <w:t>perception</w:t>
      </w:r>
      <w:r>
        <w:rPr>
          <w:i/>
          <w:spacing w:val="-5"/>
          <w:w w:val="105"/>
          <w:sz w:val="19"/>
        </w:rPr>
        <w:t> </w:t>
      </w:r>
      <w:r>
        <w:rPr>
          <w:i/>
          <w:w w:val="105"/>
          <w:sz w:val="19"/>
        </w:rPr>
        <w:t>and</w:t>
      </w:r>
      <w:r>
        <w:rPr>
          <w:i/>
          <w:spacing w:val="-14"/>
          <w:w w:val="105"/>
          <w:sz w:val="19"/>
        </w:rPr>
        <w:t> </w:t>
      </w:r>
      <w:r>
        <w:rPr>
          <w:i/>
          <w:w w:val="105"/>
          <w:sz w:val="19"/>
        </w:rPr>
        <w:t>the</w:t>
      </w:r>
      <w:r>
        <w:rPr>
          <w:i/>
          <w:spacing w:val="-14"/>
          <w:w w:val="105"/>
          <w:sz w:val="19"/>
        </w:rPr>
        <w:t> </w:t>
      </w:r>
      <w:r>
        <w:rPr>
          <w:i/>
          <w:w w:val="105"/>
          <w:sz w:val="19"/>
        </w:rPr>
        <w:t>principles</w:t>
      </w:r>
      <w:r>
        <w:rPr>
          <w:i/>
          <w:spacing w:val="-11"/>
          <w:w w:val="105"/>
          <w:sz w:val="19"/>
        </w:rPr>
        <w:t> </w:t>
      </w:r>
      <w:r>
        <w:rPr>
          <w:i/>
          <w:w w:val="105"/>
          <w:sz w:val="19"/>
        </w:rPr>
        <w:t>and</w:t>
      </w:r>
      <w:r>
        <w:rPr>
          <w:i/>
          <w:spacing w:val="-14"/>
          <w:w w:val="105"/>
          <w:sz w:val="19"/>
        </w:rPr>
        <w:t> </w:t>
      </w:r>
      <w:r>
        <w:rPr>
          <w:w w:val="105"/>
          <w:sz w:val="20"/>
        </w:rPr>
        <w:t>systems</w:t>
      </w:r>
      <w:r>
        <w:rPr>
          <w:spacing w:val="-15"/>
          <w:w w:val="105"/>
          <w:sz w:val="20"/>
        </w:rPr>
        <w:t> </w:t>
      </w:r>
      <w:r>
        <w:rPr>
          <w:i/>
          <w:w w:val="105"/>
          <w:sz w:val="19"/>
        </w:rPr>
        <w:t>of order that</w:t>
      </w:r>
      <w:r>
        <w:rPr>
          <w:i/>
          <w:spacing w:val="-7"/>
          <w:w w:val="105"/>
          <w:sz w:val="19"/>
        </w:rPr>
        <w:t> </w:t>
      </w:r>
      <w:r>
        <w:rPr>
          <w:i/>
          <w:w w:val="105"/>
          <w:sz w:val="19"/>
        </w:rPr>
        <w:t>inform</w:t>
      </w:r>
      <w:r>
        <w:rPr>
          <w:i/>
          <w:spacing w:val="-4"/>
          <w:w w:val="105"/>
          <w:sz w:val="19"/>
        </w:rPr>
        <w:t> </w:t>
      </w:r>
      <w:r>
        <w:rPr>
          <w:i/>
          <w:w w:val="105"/>
          <w:sz w:val="19"/>
        </w:rPr>
        <w:t>two- and</w:t>
      </w:r>
      <w:r>
        <w:rPr>
          <w:i/>
          <w:spacing w:val="-2"/>
          <w:w w:val="105"/>
          <w:sz w:val="19"/>
        </w:rPr>
        <w:t> </w:t>
      </w:r>
      <w:r>
        <w:rPr>
          <w:i/>
          <w:w w:val="105"/>
          <w:sz w:val="19"/>
        </w:rPr>
        <w:t>three-dimensional</w:t>
      </w:r>
      <w:r>
        <w:rPr>
          <w:i/>
          <w:spacing w:val="-14"/>
          <w:w w:val="105"/>
          <w:sz w:val="19"/>
        </w:rPr>
        <w:t> </w:t>
      </w:r>
      <w:r>
        <w:rPr>
          <w:i/>
          <w:w w:val="105"/>
          <w:sz w:val="19"/>
        </w:rPr>
        <w:t>design, architectural composition, and</w:t>
      </w:r>
      <w:r>
        <w:rPr>
          <w:i/>
          <w:spacing w:val="-3"/>
          <w:w w:val="105"/>
          <w:sz w:val="19"/>
        </w:rPr>
        <w:t> </w:t>
      </w:r>
      <w:r>
        <w:rPr>
          <w:i/>
          <w:w w:val="105"/>
          <w:sz w:val="19"/>
        </w:rPr>
        <w:t>urban </w:t>
      </w:r>
      <w:r>
        <w:rPr>
          <w:i/>
          <w:spacing w:val="-2"/>
          <w:w w:val="105"/>
          <w:sz w:val="19"/>
        </w:rPr>
        <w:t>design</w:t>
      </w:r>
    </w:p>
    <w:p>
      <w:pPr>
        <w:pStyle w:val="BodyText"/>
        <w:tabs>
          <w:tab w:pos="8298" w:val="left" w:leader="none"/>
        </w:tabs>
        <w:spacing w:before="6"/>
        <w:ind w:left="7412"/>
      </w:pPr>
      <w:r>
        <w:rPr>
          <w:spacing w:val="-5"/>
        </w:rPr>
        <w:t>Met</w:t>
      </w:r>
      <w:r>
        <w:rPr/>
        <w:tab/>
      </w:r>
      <w:r>
        <w:rPr>
          <w:spacing w:val="-2"/>
        </w:rPr>
        <w:t>Not</w:t>
      </w:r>
      <w:r>
        <w:rPr>
          <w:spacing w:val="-9"/>
        </w:rPr>
        <w:t> </w:t>
      </w:r>
      <w:r>
        <w:rPr>
          <w:spacing w:val="-5"/>
        </w:rPr>
        <w:t>Met</w:t>
      </w:r>
    </w:p>
    <w:p>
      <w:pPr>
        <w:pStyle w:val="Heading7"/>
        <w:tabs>
          <w:tab w:pos="8518" w:val="left" w:leader="none"/>
        </w:tabs>
        <w:spacing w:before="12"/>
        <w:ind w:left="7477"/>
      </w:pPr>
      <w:r>
        <w:rPr>
          <w:spacing w:val="-5"/>
          <w:w w:val="90"/>
        </w:rPr>
        <w:t>[XJ</w:t>
      </w:r>
      <w:r>
        <w:rPr/>
        <w:tab/>
      </w:r>
      <w:r>
        <w:rPr>
          <w:w w:val="90"/>
        </w:rPr>
        <w:t>[</w:t>
      </w:r>
      <w:r>
        <w:rPr>
          <w:spacing w:val="69"/>
        </w:rPr>
        <w:t> </w:t>
      </w:r>
      <w:r>
        <w:rPr>
          <w:spacing w:val="-10"/>
          <w:w w:val="90"/>
        </w:rPr>
        <w:t>J</w:t>
      </w:r>
    </w:p>
    <w:p>
      <w:pPr>
        <w:pStyle w:val="BodyText"/>
        <w:spacing w:before="5"/>
        <w:rPr>
          <w:sz w:val="22"/>
        </w:rPr>
      </w:pPr>
    </w:p>
    <w:p>
      <w:pPr>
        <w:pStyle w:val="BodyText"/>
        <w:spacing w:line="230" w:lineRule="auto"/>
        <w:ind w:left="1645" w:right="475" w:firstLine="2"/>
      </w:pPr>
      <w:r>
        <w:rPr/>
        <w:t>Formal</w:t>
      </w:r>
      <w:r>
        <w:rPr>
          <w:spacing w:val="-2"/>
        </w:rPr>
        <w:t> </w:t>
      </w:r>
      <w:r>
        <w:rPr/>
        <w:t>ordering skills</w:t>
      </w:r>
      <w:r>
        <w:rPr>
          <w:spacing w:val="-2"/>
        </w:rPr>
        <w:t> </w:t>
      </w:r>
      <w:r>
        <w:rPr/>
        <w:t>are</w:t>
      </w:r>
      <w:r>
        <w:rPr>
          <w:spacing w:val="-12"/>
        </w:rPr>
        <w:t> </w:t>
      </w:r>
      <w:r>
        <w:rPr/>
        <w:t>taught in</w:t>
      </w:r>
      <w:r>
        <w:rPr>
          <w:spacing w:val="-18"/>
        </w:rPr>
        <w:t> </w:t>
      </w:r>
      <w:r>
        <w:rPr/>
        <w:t>courses ARC</w:t>
      </w:r>
      <w:r>
        <w:rPr>
          <w:spacing w:val="-7"/>
        </w:rPr>
        <w:t> </w:t>
      </w:r>
      <w:r>
        <w:rPr/>
        <w:t>101</w:t>
      </w:r>
      <w:r>
        <w:rPr>
          <w:spacing w:val="-8"/>
        </w:rPr>
        <w:t> </w:t>
      </w:r>
      <w:r>
        <w:rPr/>
        <w:t>and</w:t>
      </w:r>
      <w:r>
        <w:rPr>
          <w:spacing w:val="-7"/>
        </w:rPr>
        <w:t> </w:t>
      </w:r>
      <w:r>
        <w:rPr/>
        <w:t>102</w:t>
      </w:r>
      <w:r>
        <w:rPr>
          <w:spacing w:val="-4"/>
        </w:rPr>
        <w:t> </w:t>
      </w:r>
      <w:r>
        <w:rPr/>
        <w:t>by David</w:t>
      </w:r>
      <w:r>
        <w:rPr>
          <w:spacing w:val="-7"/>
        </w:rPr>
        <w:t> </w:t>
      </w:r>
      <w:r>
        <w:rPr/>
        <w:t>Perronet and Shannon Chance. Urban Design is</w:t>
      </w:r>
      <w:r>
        <w:rPr>
          <w:spacing w:val="-8"/>
        </w:rPr>
        <w:t> </w:t>
      </w:r>
      <w:r>
        <w:rPr/>
        <w:t>presented in ARC 305, 405-6 and 430.</w:t>
      </w:r>
    </w:p>
    <w:p>
      <w:pPr>
        <w:pStyle w:val="BodyText"/>
        <w:rPr>
          <w:sz w:val="22"/>
        </w:rPr>
      </w:pPr>
    </w:p>
    <w:p>
      <w:pPr>
        <w:pStyle w:val="ListParagraph"/>
        <w:numPr>
          <w:ilvl w:val="2"/>
          <w:numId w:val="75"/>
        </w:numPr>
        <w:tabs>
          <w:tab w:pos="1637" w:val="left" w:leader="none"/>
          <w:tab w:pos="1638" w:val="left" w:leader="none"/>
        </w:tabs>
        <w:spacing w:line="240" w:lineRule="auto" w:before="184" w:after="0"/>
        <w:ind w:left="1637" w:right="0" w:hanging="719"/>
        <w:jc w:val="left"/>
        <w:rPr>
          <w:sz w:val="21"/>
        </w:rPr>
      </w:pPr>
      <w:r>
        <w:rPr>
          <w:sz w:val="21"/>
        </w:rPr>
        <w:t>Fundamental</w:t>
      </w:r>
      <w:r>
        <w:rPr>
          <w:spacing w:val="10"/>
          <w:sz w:val="21"/>
        </w:rPr>
        <w:t> </w:t>
      </w:r>
      <w:r>
        <w:rPr>
          <w:spacing w:val="-2"/>
          <w:sz w:val="21"/>
        </w:rPr>
        <w:t>Skills</w:t>
      </w:r>
    </w:p>
    <w:p>
      <w:pPr>
        <w:pStyle w:val="BodyText"/>
        <w:spacing w:before="4"/>
        <w:rPr>
          <w:sz w:val="22"/>
        </w:rPr>
      </w:pPr>
    </w:p>
    <w:p>
      <w:pPr>
        <w:spacing w:line="230" w:lineRule="auto" w:before="0"/>
        <w:ind w:left="1647" w:right="311" w:hanging="2"/>
        <w:jc w:val="left"/>
        <w:rPr>
          <w:i/>
          <w:sz w:val="19"/>
        </w:rPr>
      </w:pPr>
      <w:r>
        <w:rPr>
          <w:w w:val="105"/>
          <w:sz w:val="20"/>
        </w:rPr>
        <w:t>Ability</w:t>
      </w:r>
      <w:r>
        <w:rPr>
          <w:spacing w:val="-10"/>
          <w:w w:val="105"/>
          <w:sz w:val="20"/>
        </w:rPr>
        <w:t> </w:t>
      </w:r>
      <w:r>
        <w:rPr>
          <w:w w:val="105"/>
          <w:sz w:val="20"/>
        </w:rPr>
        <w:t>to</w:t>
      </w:r>
      <w:r>
        <w:rPr>
          <w:spacing w:val="-12"/>
          <w:w w:val="105"/>
          <w:sz w:val="20"/>
        </w:rPr>
        <w:t> </w:t>
      </w:r>
      <w:r>
        <w:rPr>
          <w:i/>
          <w:w w:val="105"/>
          <w:sz w:val="19"/>
        </w:rPr>
        <w:t>use</w:t>
      </w:r>
      <w:r>
        <w:rPr>
          <w:i/>
          <w:spacing w:val="-14"/>
          <w:w w:val="105"/>
          <w:sz w:val="19"/>
        </w:rPr>
        <w:t> </w:t>
      </w:r>
      <w:r>
        <w:rPr>
          <w:i/>
          <w:w w:val="105"/>
          <w:sz w:val="19"/>
        </w:rPr>
        <w:t>basic</w:t>
      </w:r>
      <w:r>
        <w:rPr>
          <w:i/>
          <w:spacing w:val="-7"/>
          <w:w w:val="105"/>
          <w:sz w:val="19"/>
        </w:rPr>
        <w:t> </w:t>
      </w:r>
      <w:r>
        <w:rPr>
          <w:i/>
          <w:w w:val="105"/>
          <w:sz w:val="19"/>
        </w:rPr>
        <w:t>architectural principles</w:t>
      </w:r>
      <w:r>
        <w:rPr>
          <w:i/>
          <w:spacing w:val="12"/>
          <w:w w:val="105"/>
          <w:sz w:val="19"/>
        </w:rPr>
        <w:t> </w:t>
      </w:r>
      <w:r>
        <w:rPr>
          <w:i/>
          <w:w w:val="105"/>
          <w:sz w:val="19"/>
        </w:rPr>
        <w:t>in</w:t>
      </w:r>
      <w:r>
        <w:rPr>
          <w:i/>
          <w:spacing w:val="-5"/>
          <w:w w:val="105"/>
          <w:sz w:val="19"/>
        </w:rPr>
        <w:t> </w:t>
      </w:r>
      <w:r>
        <w:rPr>
          <w:i/>
          <w:w w:val="105"/>
          <w:sz w:val="19"/>
        </w:rPr>
        <w:t>the</w:t>
      </w:r>
      <w:r>
        <w:rPr>
          <w:i/>
          <w:spacing w:val="-12"/>
          <w:w w:val="105"/>
          <w:sz w:val="19"/>
        </w:rPr>
        <w:t> </w:t>
      </w:r>
      <w:r>
        <w:rPr>
          <w:i/>
          <w:w w:val="105"/>
          <w:sz w:val="19"/>
        </w:rPr>
        <w:t>design</w:t>
      </w:r>
      <w:r>
        <w:rPr>
          <w:i/>
          <w:spacing w:val="-12"/>
          <w:w w:val="105"/>
          <w:sz w:val="19"/>
        </w:rPr>
        <w:t> </w:t>
      </w:r>
      <w:r>
        <w:rPr>
          <w:i/>
          <w:w w:val="105"/>
          <w:sz w:val="19"/>
        </w:rPr>
        <w:t>of</w:t>
      </w:r>
      <w:r>
        <w:rPr>
          <w:i/>
          <w:spacing w:val="-8"/>
          <w:w w:val="105"/>
          <w:sz w:val="19"/>
        </w:rPr>
        <w:t> </w:t>
      </w:r>
      <w:r>
        <w:rPr>
          <w:i/>
          <w:w w:val="105"/>
          <w:sz w:val="19"/>
        </w:rPr>
        <w:t>buildings, interior</w:t>
      </w:r>
      <w:r>
        <w:rPr>
          <w:i/>
          <w:spacing w:val="-2"/>
          <w:w w:val="105"/>
          <w:sz w:val="19"/>
        </w:rPr>
        <w:t> </w:t>
      </w:r>
      <w:r>
        <w:rPr>
          <w:i/>
          <w:w w:val="105"/>
          <w:sz w:val="19"/>
        </w:rPr>
        <w:t>spaces,</w:t>
      </w:r>
      <w:r>
        <w:rPr>
          <w:i/>
          <w:spacing w:val="-2"/>
          <w:w w:val="105"/>
          <w:sz w:val="19"/>
        </w:rPr>
        <w:t> </w:t>
      </w:r>
      <w:r>
        <w:rPr>
          <w:i/>
          <w:w w:val="105"/>
          <w:sz w:val="19"/>
        </w:rPr>
        <w:t>and </w:t>
      </w:r>
      <w:r>
        <w:rPr>
          <w:i/>
          <w:spacing w:val="-2"/>
          <w:w w:val="105"/>
          <w:sz w:val="19"/>
        </w:rPr>
        <w:t>sites</w:t>
      </w:r>
    </w:p>
    <w:p>
      <w:pPr>
        <w:pStyle w:val="BodyText"/>
        <w:tabs>
          <w:tab w:pos="8298" w:val="left" w:leader="none"/>
        </w:tabs>
        <w:spacing w:before="34"/>
        <w:ind w:left="7412"/>
      </w:pPr>
      <w:r>
        <w:rPr>
          <w:spacing w:val="-5"/>
        </w:rPr>
        <w:t>Met</w:t>
      </w:r>
      <w:r>
        <w:rPr/>
        <w:tab/>
      </w:r>
      <w:r>
        <w:rPr>
          <w:spacing w:val="-2"/>
        </w:rPr>
        <w:t>Not</w:t>
      </w:r>
      <w:r>
        <w:rPr>
          <w:spacing w:val="-9"/>
        </w:rPr>
        <w:t> </w:t>
      </w:r>
      <w:r>
        <w:rPr>
          <w:spacing w:val="-5"/>
        </w:rPr>
        <w:t>Met</w:t>
      </w:r>
    </w:p>
    <w:p>
      <w:pPr>
        <w:pStyle w:val="Heading7"/>
        <w:tabs>
          <w:tab w:pos="8518" w:val="left" w:leader="none"/>
        </w:tabs>
        <w:spacing w:before="2"/>
        <w:ind w:left="7477"/>
      </w:pPr>
      <w:r>
        <w:rPr>
          <w:spacing w:val="-5"/>
          <w:w w:val="85"/>
        </w:rPr>
        <w:t>[XJ</w:t>
      </w:r>
      <w:r>
        <w:rPr/>
        <w:tab/>
      </w:r>
      <w:r>
        <w:rPr>
          <w:w w:val="85"/>
        </w:rPr>
        <w:t>[</w:t>
      </w:r>
      <w:r>
        <w:rPr>
          <w:spacing w:val="73"/>
        </w:rPr>
        <w:t> </w:t>
      </w:r>
      <w:r>
        <w:rPr>
          <w:spacing w:val="-10"/>
          <w:w w:val="85"/>
        </w:rPr>
        <w:t>J</w:t>
      </w:r>
    </w:p>
    <w:p>
      <w:pPr>
        <w:pStyle w:val="BodyText"/>
        <w:spacing w:before="1"/>
        <w:rPr>
          <w:sz w:val="22"/>
        </w:rPr>
      </w:pPr>
    </w:p>
    <w:p>
      <w:pPr>
        <w:pStyle w:val="BodyText"/>
        <w:spacing w:line="235" w:lineRule="auto"/>
        <w:ind w:left="1639" w:right="373" w:hanging="1"/>
      </w:pPr>
      <w:r>
        <w:rPr/>
        <w:t>Fundamental skills are taught each at each year level throughout the curriculum. Evidence</w:t>
      </w:r>
      <w:r>
        <w:rPr>
          <w:spacing w:val="-3"/>
        </w:rPr>
        <w:t> </w:t>
      </w:r>
      <w:r>
        <w:rPr/>
        <w:t>of</w:t>
      </w:r>
      <w:r>
        <w:rPr>
          <w:spacing w:val="-6"/>
        </w:rPr>
        <w:t> </w:t>
      </w:r>
      <w:r>
        <w:rPr/>
        <w:t>was</w:t>
      </w:r>
      <w:r>
        <w:rPr>
          <w:spacing w:val="-11"/>
        </w:rPr>
        <w:t> </w:t>
      </w:r>
      <w:r>
        <w:rPr/>
        <w:t>found</w:t>
      </w:r>
      <w:r>
        <w:rPr>
          <w:spacing w:val="-5"/>
        </w:rPr>
        <w:t> </w:t>
      </w:r>
      <w:r>
        <w:rPr/>
        <w:t>in</w:t>
      </w:r>
      <w:r>
        <w:rPr>
          <w:spacing w:val="-15"/>
        </w:rPr>
        <w:t> </w:t>
      </w:r>
      <w:r>
        <w:rPr/>
        <w:t>projects from</w:t>
      </w:r>
      <w:r>
        <w:rPr>
          <w:spacing w:val="-13"/>
        </w:rPr>
        <w:t> </w:t>
      </w:r>
      <w:r>
        <w:rPr/>
        <w:t>courses ARC</w:t>
      </w:r>
      <w:r>
        <w:rPr>
          <w:spacing w:val="-11"/>
        </w:rPr>
        <w:t> </w:t>
      </w:r>
      <w:r>
        <w:rPr/>
        <w:t>101-2,</w:t>
      </w:r>
      <w:r>
        <w:rPr>
          <w:spacing w:val="-5"/>
        </w:rPr>
        <w:t> </w:t>
      </w:r>
      <w:r>
        <w:rPr/>
        <w:t>ARC 303-4, and</w:t>
      </w:r>
      <w:r>
        <w:rPr>
          <w:spacing w:val="-7"/>
        </w:rPr>
        <w:t> </w:t>
      </w:r>
      <w:r>
        <w:rPr/>
        <w:t>ARC 405-6. Student work is sound in this area.</w:t>
      </w:r>
    </w:p>
    <w:p>
      <w:pPr>
        <w:pStyle w:val="BodyText"/>
        <w:rPr>
          <w:sz w:val="22"/>
        </w:rPr>
      </w:pPr>
    </w:p>
    <w:p>
      <w:pPr>
        <w:pStyle w:val="ListParagraph"/>
        <w:numPr>
          <w:ilvl w:val="2"/>
          <w:numId w:val="75"/>
        </w:numPr>
        <w:tabs>
          <w:tab w:pos="1644" w:val="left" w:leader="none"/>
          <w:tab w:pos="1645" w:val="left" w:leader="none"/>
        </w:tabs>
        <w:spacing w:line="240" w:lineRule="auto" w:before="185" w:after="0"/>
        <w:ind w:left="1644" w:right="0" w:hanging="726"/>
        <w:jc w:val="left"/>
        <w:rPr>
          <w:sz w:val="21"/>
        </w:rPr>
      </w:pPr>
      <w:r>
        <w:rPr>
          <w:sz w:val="21"/>
        </w:rPr>
        <w:t>Collaborative</w:t>
      </w:r>
      <w:r>
        <w:rPr>
          <w:spacing w:val="17"/>
          <w:w w:val="105"/>
          <w:sz w:val="21"/>
        </w:rPr>
        <w:t> </w:t>
      </w:r>
      <w:r>
        <w:rPr>
          <w:spacing w:val="-2"/>
          <w:w w:val="105"/>
          <w:sz w:val="21"/>
        </w:rPr>
        <w:t>Skills</w:t>
      </w:r>
    </w:p>
    <w:p>
      <w:pPr>
        <w:pStyle w:val="BodyText"/>
        <w:spacing w:before="9"/>
      </w:pPr>
    </w:p>
    <w:p>
      <w:pPr>
        <w:spacing w:line="247" w:lineRule="auto" w:before="0"/>
        <w:ind w:left="1645" w:right="475" w:firstLine="0"/>
        <w:jc w:val="left"/>
        <w:rPr>
          <w:i/>
          <w:sz w:val="19"/>
        </w:rPr>
      </w:pPr>
      <w:r>
        <w:rPr>
          <w:w w:val="105"/>
          <w:sz w:val="20"/>
        </w:rPr>
        <w:t>Ability</w:t>
      </w:r>
      <w:r>
        <w:rPr>
          <w:spacing w:val="-6"/>
          <w:w w:val="105"/>
          <w:sz w:val="20"/>
        </w:rPr>
        <w:t> </w:t>
      </w:r>
      <w:r>
        <w:rPr>
          <w:w w:val="105"/>
          <w:sz w:val="20"/>
        </w:rPr>
        <w:t>to</w:t>
      </w:r>
      <w:r>
        <w:rPr>
          <w:spacing w:val="-15"/>
          <w:w w:val="105"/>
          <w:sz w:val="20"/>
        </w:rPr>
        <w:t> </w:t>
      </w:r>
      <w:r>
        <w:rPr>
          <w:i/>
          <w:w w:val="105"/>
          <w:sz w:val="19"/>
        </w:rPr>
        <w:t>recognize the</w:t>
      </w:r>
      <w:r>
        <w:rPr>
          <w:i/>
          <w:spacing w:val="-7"/>
          <w:w w:val="105"/>
          <w:sz w:val="19"/>
        </w:rPr>
        <w:t> </w:t>
      </w:r>
      <w:r>
        <w:rPr>
          <w:i/>
          <w:w w:val="105"/>
          <w:sz w:val="19"/>
        </w:rPr>
        <w:t>varied</w:t>
      </w:r>
      <w:r>
        <w:rPr>
          <w:i/>
          <w:spacing w:val="-12"/>
          <w:w w:val="105"/>
          <w:sz w:val="19"/>
        </w:rPr>
        <w:t> </w:t>
      </w:r>
      <w:r>
        <w:rPr>
          <w:i/>
          <w:w w:val="105"/>
          <w:sz w:val="19"/>
        </w:rPr>
        <w:t>talent</w:t>
      </w:r>
      <w:r>
        <w:rPr>
          <w:i/>
          <w:spacing w:val="-9"/>
          <w:w w:val="105"/>
          <w:sz w:val="19"/>
        </w:rPr>
        <w:t> </w:t>
      </w:r>
      <w:r>
        <w:rPr>
          <w:i/>
          <w:w w:val="105"/>
          <w:sz w:val="19"/>
        </w:rPr>
        <w:t>found in</w:t>
      </w:r>
      <w:r>
        <w:rPr>
          <w:i/>
          <w:spacing w:val="-10"/>
          <w:w w:val="105"/>
          <w:sz w:val="19"/>
        </w:rPr>
        <w:t> </w:t>
      </w:r>
      <w:r>
        <w:rPr>
          <w:i/>
          <w:w w:val="105"/>
          <w:sz w:val="19"/>
        </w:rPr>
        <w:t>interdisciplinary</w:t>
      </w:r>
      <w:r>
        <w:rPr>
          <w:i/>
          <w:spacing w:val="-12"/>
          <w:w w:val="105"/>
          <w:sz w:val="19"/>
        </w:rPr>
        <w:t> </w:t>
      </w:r>
      <w:r>
        <w:rPr>
          <w:i/>
          <w:w w:val="105"/>
          <w:sz w:val="19"/>
        </w:rPr>
        <w:t>design project</w:t>
      </w:r>
      <w:r>
        <w:rPr>
          <w:i/>
          <w:spacing w:val="-1"/>
          <w:w w:val="105"/>
          <w:sz w:val="19"/>
        </w:rPr>
        <w:t> </w:t>
      </w:r>
      <w:r>
        <w:rPr>
          <w:i/>
          <w:w w:val="105"/>
          <w:sz w:val="19"/>
        </w:rPr>
        <w:t>teams in professional practice and</w:t>
      </w:r>
      <w:r>
        <w:rPr>
          <w:i/>
          <w:spacing w:val="-2"/>
          <w:w w:val="105"/>
          <w:sz w:val="19"/>
        </w:rPr>
        <w:t> </w:t>
      </w:r>
      <w:r>
        <w:rPr>
          <w:i/>
          <w:w w:val="105"/>
          <w:sz w:val="19"/>
        </w:rPr>
        <w:t>work in collaboration with</w:t>
      </w:r>
      <w:r>
        <w:rPr>
          <w:i/>
          <w:spacing w:val="-3"/>
          <w:w w:val="105"/>
          <w:sz w:val="19"/>
        </w:rPr>
        <w:t> </w:t>
      </w:r>
      <w:r>
        <w:rPr>
          <w:i/>
          <w:w w:val="105"/>
          <w:sz w:val="19"/>
        </w:rPr>
        <w:t>other</w:t>
      </w:r>
      <w:r>
        <w:rPr>
          <w:i/>
          <w:spacing w:val="-4"/>
          <w:w w:val="105"/>
          <w:sz w:val="19"/>
        </w:rPr>
        <w:t> </w:t>
      </w:r>
      <w:r>
        <w:rPr>
          <w:i/>
          <w:w w:val="105"/>
          <w:sz w:val="19"/>
        </w:rPr>
        <w:t>students as members of</w:t>
      </w:r>
      <w:r>
        <w:rPr>
          <w:i/>
          <w:spacing w:val="-1"/>
          <w:w w:val="105"/>
          <w:sz w:val="19"/>
        </w:rPr>
        <w:t> </w:t>
      </w:r>
      <w:r>
        <w:rPr>
          <w:i/>
          <w:w w:val="105"/>
          <w:sz w:val="19"/>
        </w:rPr>
        <w:t>a design team</w:t>
      </w:r>
    </w:p>
    <w:p>
      <w:pPr>
        <w:pStyle w:val="BodyText"/>
        <w:tabs>
          <w:tab w:pos="8298" w:val="left" w:leader="none"/>
        </w:tabs>
        <w:spacing w:before="16"/>
        <w:ind w:left="7421"/>
      </w:pPr>
      <w:r>
        <w:rPr>
          <w:spacing w:val="-5"/>
        </w:rPr>
        <w:t>Met</w:t>
      </w:r>
      <w:r>
        <w:rPr/>
        <w:tab/>
      </w:r>
      <w:r>
        <w:rPr>
          <w:spacing w:val="-2"/>
        </w:rPr>
        <w:t>Not</w:t>
      </w:r>
      <w:r>
        <w:rPr>
          <w:spacing w:val="-9"/>
        </w:rPr>
        <w:t> </w:t>
      </w:r>
      <w:r>
        <w:rPr>
          <w:spacing w:val="-5"/>
        </w:rPr>
        <w:t>Met</w:t>
      </w:r>
    </w:p>
    <w:p>
      <w:pPr>
        <w:tabs>
          <w:tab w:pos="8527" w:val="left" w:leader="none"/>
        </w:tabs>
        <w:spacing w:before="12"/>
        <w:ind w:left="7476" w:right="0" w:firstLine="0"/>
        <w:jc w:val="left"/>
        <w:rPr>
          <w:b/>
          <w:sz w:val="25"/>
        </w:rPr>
      </w:pPr>
      <w:r>
        <w:rPr>
          <w:b/>
          <w:spacing w:val="-5"/>
          <w:w w:val="85"/>
          <w:sz w:val="25"/>
        </w:rPr>
        <w:t>[XJ</w:t>
      </w:r>
      <w:r>
        <w:rPr>
          <w:b/>
          <w:sz w:val="25"/>
        </w:rPr>
        <w:tab/>
      </w:r>
      <w:r>
        <w:rPr>
          <w:w w:val="85"/>
          <w:sz w:val="25"/>
        </w:rPr>
        <w:t>[</w:t>
      </w:r>
      <w:r>
        <w:rPr>
          <w:spacing w:val="75"/>
          <w:sz w:val="25"/>
        </w:rPr>
        <w:t> </w:t>
      </w:r>
      <w:r>
        <w:rPr>
          <w:b/>
          <w:spacing w:val="-10"/>
          <w:w w:val="85"/>
          <w:sz w:val="25"/>
        </w:rPr>
        <w:t>J</w:t>
      </w:r>
    </w:p>
    <w:p>
      <w:pPr>
        <w:pStyle w:val="BodyText"/>
        <w:spacing w:before="193"/>
        <w:ind w:left="1638" w:right="311" w:firstLine="7"/>
      </w:pPr>
      <w:r>
        <w:rPr/>
        <w:t>Students have</w:t>
      </w:r>
      <w:r>
        <w:rPr>
          <w:spacing w:val="-5"/>
        </w:rPr>
        <w:t> </w:t>
      </w:r>
      <w:r>
        <w:rPr/>
        <w:t>been exposed to</w:t>
      </w:r>
      <w:r>
        <w:rPr>
          <w:spacing w:val="-4"/>
        </w:rPr>
        <w:t> </w:t>
      </w:r>
      <w:r>
        <w:rPr/>
        <w:t>course work that necessitates working in teams.</w:t>
      </w:r>
      <w:r>
        <w:rPr>
          <w:spacing w:val="40"/>
        </w:rPr>
        <w:t> </w:t>
      </w:r>
      <w:r>
        <w:rPr/>
        <w:t>As evident in</w:t>
      </w:r>
      <w:r>
        <w:rPr>
          <w:spacing w:val="-6"/>
        </w:rPr>
        <w:t> </w:t>
      </w:r>
      <w:r>
        <w:rPr/>
        <w:t>studio collaboration and the Professional Practice courses, students demonstrate the</w:t>
      </w:r>
      <w:r>
        <w:rPr>
          <w:spacing w:val="-10"/>
        </w:rPr>
        <w:t> </w:t>
      </w:r>
      <w:r>
        <w:rPr/>
        <w:t>ability to account for</w:t>
      </w:r>
      <w:r>
        <w:rPr>
          <w:spacing w:val="-1"/>
        </w:rPr>
        <w:t> </w:t>
      </w:r>
      <w:r>
        <w:rPr/>
        <w:t>the</w:t>
      </w:r>
      <w:r>
        <w:rPr>
          <w:spacing w:val="-5"/>
        </w:rPr>
        <w:t> </w:t>
      </w:r>
      <w:r>
        <w:rPr/>
        <w:t>multi-disciplinary</w:t>
      </w:r>
      <w:r>
        <w:rPr>
          <w:spacing w:val="-17"/>
        </w:rPr>
        <w:t> </w:t>
      </w:r>
      <w:r>
        <w:rPr/>
        <w:t>requirements of</w:t>
      </w:r>
      <w:r>
        <w:rPr>
          <w:spacing w:val="-3"/>
        </w:rPr>
        <w:t> </w:t>
      </w:r>
      <w:r>
        <w:rPr/>
        <w:t>a</w:t>
      </w:r>
      <w:r>
        <w:rPr>
          <w:spacing w:val="-9"/>
        </w:rPr>
        <w:t> </w:t>
      </w:r>
      <w:r>
        <w:rPr/>
        <w:t>project and</w:t>
      </w:r>
    </w:p>
    <w:p>
      <w:pPr>
        <w:pStyle w:val="BodyText"/>
      </w:pPr>
    </w:p>
    <w:p>
      <w:pPr>
        <w:pStyle w:val="BodyText"/>
        <w:spacing w:before="2"/>
        <w:rPr>
          <w:sz w:val="28"/>
        </w:rPr>
      </w:pPr>
    </w:p>
    <w:p>
      <w:pPr>
        <w:pStyle w:val="BodyText"/>
        <w:spacing w:before="2"/>
        <w:rPr>
          <w:sz w:val="8"/>
        </w:rPr>
      </w:pPr>
      <w:r>
        <w:rPr/>
        <w:pict>
          <v:shape style="position:absolute;margin-left:63.597477pt;margin-top:5.89961pt;width:453.4pt;height:.1pt;mso-position-horizontal-relative:page;mso-position-vertical-relative:paragraph;z-index:-15699968;mso-wrap-distance-left:0;mso-wrap-distance-right:0" id="docshape645" coordorigin="1272,118" coordsize="9068,0" path="m1272,118l10339,118e" filled="false" stroked="true" strokeweight=".481434pt" strokecolor="#000000">
            <v:path arrowok="t"/>
            <v:stroke dashstyle="solid"/>
            <w10:wrap type="topAndBottom"/>
          </v:shape>
        </w:pict>
      </w:r>
    </w:p>
    <w:p>
      <w:pPr>
        <w:pStyle w:val="BodyText"/>
        <w:ind w:left="197"/>
      </w:pPr>
      <w:r>
        <w:rPr>
          <w:spacing w:val="-5"/>
          <w:w w:val="110"/>
        </w:rPr>
        <w:t>14</w:t>
      </w:r>
    </w:p>
    <w:p>
      <w:pPr>
        <w:spacing w:after="0"/>
        <w:sectPr>
          <w:headerReference w:type="default" r:id="rId387"/>
          <w:footerReference w:type="default" r:id="rId388"/>
          <w:pgSz w:w="12180" w:h="15820"/>
          <w:pgMar w:header="609" w:footer="0" w:top="1320" w:bottom="280" w:left="1120" w:right="1180"/>
        </w:sectPr>
      </w:pPr>
    </w:p>
    <w:p>
      <w:pPr>
        <w:pStyle w:val="BodyText"/>
        <w:spacing w:before="7"/>
        <w:rPr>
          <w:sz w:val="18"/>
        </w:rPr>
      </w:pPr>
    </w:p>
    <w:p>
      <w:pPr>
        <w:pStyle w:val="BodyText"/>
        <w:spacing w:line="252" w:lineRule="auto" w:before="94"/>
        <w:ind w:left="1676" w:right="424" w:firstLine="3"/>
      </w:pPr>
      <w:r>
        <w:rPr/>
        <w:t>responsibilities to the greater whole.</w:t>
      </w:r>
      <w:r>
        <w:rPr>
          <w:spacing w:val="40"/>
        </w:rPr>
        <w:t> </w:t>
      </w:r>
      <w:r>
        <w:rPr/>
        <w:t>Students are</w:t>
      </w:r>
      <w:r>
        <w:rPr>
          <w:spacing w:val="-8"/>
        </w:rPr>
        <w:t> </w:t>
      </w:r>
      <w:r>
        <w:rPr/>
        <w:t>conscious of</w:t>
      </w:r>
      <w:r>
        <w:rPr>
          <w:spacing w:val="-4"/>
        </w:rPr>
        <w:t> </w:t>
      </w:r>
      <w:r>
        <w:rPr/>
        <w:t>contractual obligations and</w:t>
      </w:r>
      <w:r>
        <w:rPr>
          <w:spacing w:val="-6"/>
        </w:rPr>
        <w:t> </w:t>
      </w:r>
      <w:r>
        <w:rPr/>
        <w:t>their</w:t>
      </w:r>
      <w:r>
        <w:rPr>
          <w:spacing w:val="-5"/>
        </w:rPr>
        <w:t> </w:t>
      </w:r>
      <w:r>
        <w:rPr/>
        <w:t>role</w:t>
      </w:r>
      <w:r>
        <w:rPr>
          <w:spacing w:val="-4"/>
        </w:rPr>
        <w:t> </w:t>
      </w:r>
      <w:r>
        <w:rPr/>
        <w:t>as</w:t>
      </w:r>
      <w:r>
        <w:rPr>
          <w:spacing w:val="-10"/>
        </w:rPr>
        <w:t> </w:t>
      </w:r>
      <w:r>
        <w:rPr/>
        <w:t>future</w:t>
      </w:r>
      <w:r>
        <w:rPr>
          <w:spacing w:val="-5"/>
        </w:rPr>
        <w:t> </w:t>
      </w:r>
      <w:r>
        <w:rPr/>
        <w:t>practitioners.</w:t>
      </w:r>
      <w:r>
        <w:rPr>
          <w:spacing w:val="40"/>
        </w:rPr>
        <w:t> </w:t>
      </w:r>
      <w:r>
        <w:rPr/>
        <w:t>The Team</w:t>
      </w:r>
      <w:r>
        <w:rPr>
          <w:spacing w:val="-2"/>
        </w:rPr>
        <w:t> </w:t>
      </w:r>
      <w:r>
        <w:rPr/>
        <w:t>also</w:t>
      </w:r>
      <w:r>
        <w:rPr>
          <w:spacing w:val="-6"/>
        </w:rPr>
        <w:t> </w:t>
      </w:r>
      <w:r>
        <w:rPr/>
        <w:t>finds students show a unique level of</w:t>
      </w:r>
      <w:r>
        <w:rPr>
          <w:spacing w:val="-15"/>
        </w:rPr>
        <w:t> </w:t>
      </w:r>
      <w:r>
        <w:rPr/>
        <w:t>camaraderie.</w:t>
      </w:r>
    </w:p>
    <w:p>
      <w:pPr>
        <w:pStyle w:val="BodyText"/>
        <w:rPr>
          <w:sz w:val="22"/>
        </w:rPr>
      </w:pPr>
    </w:p>
    <w:p>
      <w:pPr>
        <w:pStyle w:val="ListParagraph"/>
        <w:numPr>
          <w:ilvl w:val="2"/>
          <w:numId w:val="75"/>
        </w:numPr>
        <w:tabs>
          <w:tab w:pos="1681" w:val="left" w:leader="none"/>
          <w:tab w:pos="1682" w:val="left" w:leader="none"/>
        </w:tabs>
        <w:spacing w:line="240" w:lineRule="auto" w:before="197" w:after="0"/>
        <w:ind w:left="1681" w:right="0" w:hanging="724"/>
        <w:jc w:val="left"/>
        <w:rPr>
          <w:sz w:val="20"/>
        </w:rPr>
      </w:pPr>
      <w:r>
        <w:rPr>
          <w:w w:val="105"/>
          <w:sz w:val="20"/>
        </w:rPr>
        <w:t>Western</w:t>
      </w:r>
      <w:r>
        <w:rPr>
          <w:spacing w:val="-3"/>
          <w:w w:val="105"/>
          <w:sz w:val="20"/>
        </w:rPr>
        <w:t> </w:t>
      </w:r>
      <w:r>
        <w:rPr>
          <w:spacing w:val="-2"/>
          <w:w w:val="110"/>
          <w:sz w:val="20"/>
        </w:rPr>
        <w:t>Traditions</w:t>
      </w:r>
    </w:p>
    <w:p>
      <w:pPr>
        <w:pStyle w:val="BodyText"/>
        <w:rPr>
          <w:sz w:val="19"/>
        </w:rPr>
      </w:pPr>
    </w:p>
    <w:p>
      <w:pPr>
        <w:spacing w:line="256" w:lineRule="auto" w:before="0"/>
        <w:ind w:left="1684" w:right="475" w:firstLine="3"/>
        <w:jc w:val="left"/>
        <w:rPr>
          <w:i/>
          <w:sz w:val="19"/>
        </w:rPr>
      </w:pPr>
      <w:r>
        <w:rPr>
          <w:w w:val="105"/>
          <w:sz w:val="20"/>
        </w:rPr>
        <w:t>Understanding of</w:t>
      </w:r>
      <w:r>
        <w:rPr>
          <w:spacing w:val="-10"/>
          <w:w w:val="105"/>
          <w:sz w:val="20"/>
        </w:rPr>
        <w:t> </w:t>
      </w:r>
      <w:r>
        <w:rPr>
          <w:i/>
          <w:w w:val="105"/>
          <w:sz w:val="19"/>
        </w:rPr>
        <w:t>the</w:t>
      </w:r>
      <w:r>
        <w:rPr>
          <w:i/>
          <w:spacing w:val="-12"/>
          <w:w w:val="105"/>
          <w:sz w:val="19"/>
        </w:rPr>
        <w:t> </w:t>
      </w:r>
      <w:r>
        <w:rPr>
          <w:i/>
          <w:w w:val="105"/>
          <w:sz w:val="19"/>
        </w:rPr>
        <w:t>Western architectural canons and</w:t>
      </w:r>
      <w:r>
        <w:rPr>
          <w:i/>
          <w:spacing w:val="-2"/>
          <w:w w:val="105"/>
          <w:sz w:val="19"/>
        </w:rPr>
        <w:t> </w:t>
      </w:r>
      <w:r>
        <w:rPr>
          <w:i/>
          <w:w w:val="105"/>
          <w:sz w:val="19"/>
        </w:rPr>
        <w:t>traditions in architecture, landscape and urban design,</w:t>
      </w:r>
      <w:r>
        <w:rPr>
          <w:i/>
          <w:spacing w:val="-2"/>
          <w:w w:val="105"/>
          <w:sz w:val="19"/>
        </w:rPr>
        <w:t> </w:t>
      </w:r>
      <w:r>
        <w:rPr>
          <w:i/>
          <w:w w:val="105"/>
          <w:sz w:val="19"/>
        </w:rPr>
        <w:t>as</w:t>
      </w:r>
      <w:r>
        <w:rPr>
          <w:i/>
          <w:spacing w:val="-1"/>
          <w:w w:val="105"/>
          <w:sz w:val="19"/>
        </w:rPr>
        <w:t> </w:t>
      </w:r>
      <w:r>
        <w:rPr>
          <w:i/>
          <w:w w:val="105"/>
          <w:sz w:val="19"/>
        </w:rPr>
        <w:t>well as the</w:t>
      </w:r>
      <w:r>
        <w:rPr>
          <w:i/>
          <w:spacing w:val="-13"/>
          <w:w w:val="105"/>
          <w:sz w:val="19"/>
        </w:rPr>
        <w:t> </w:t>
      </w:r>
      <w:r>
        <w:rPr>
          <w:i/>
          <w:w w:val="105"/>
          <w:sz w:val="19"/>
        </w:rPr>
        <w:t>climatic, technological, socioeconomic,</w:t>
      </w:r>
      <w:r>
        <w:rPr>
          <w:i/>
          <w:spacing w:val="-17"/>
          <w:w w:val="105"/>
          <w:sz w:val="19"/>
        </w:rPr>
        <w:t> </w:t>
      </w:r>
      <w:r>
        <w:rPr>
          <w:i/>
          <w:w w:val="105"/>
          <w:sz w:val="19"/>
        </w:rPr>
        <w:t>and other cultural factors that have shaped and sustained them</w:t>
      </w:r>
    </w:p>
    <w:p>
      <w:pPr>
        <w:pStyle w:val="BodyText"/>
        <w:tabs>
          <w:tab w:pos="895" w:val="left" w:leader="none"/>
        </w:tabs>
        <w:spacing w:line="178" w:lineRule="exact"/>
        <w:ind w:right="816"/>
        <w:jc w:val="right"/>
      </w:pPr>
      <w:r>
        <w:rPr>
          <w:spacing w:val="-5"/>
          <w:w w:val="105"/>
        </w:rPr>
        <w:t>Met</w:t>
      </w:r>
      <w:r>
        <w:rPr/>
        <w:tab/>
        <w:t>Not</w:t>
      </w:r>
      <w:r>
        <w:rPr>
          <w:spacing w:val="-4"/>
        </w:rPr>
        <w:t> </w:t>
      </w:r>
      <w:r>
        <w:rPr>
          <w:spacing w:val="-5"/>
          <w:w w:val="105"/>
        </w:rPr>
        <w:t>Met</w:t>
      </w:r>
    </w:p>
    <w:p>
      <w:pPr>
        <w:pStyle w:val="Heading4"/>
        <w:numPr>
          <w:ilvl w:val="3"/>
          <w:numId w:val="75"/>
        </w:numPr>
        <w:tabs>
          <w:tab w:pos="1058" w:val="left" w:leader="none"/>
          <w:tab w:pos="1059" w:val="left" w:leader="none"/>
        </w:tabs>
        <w:spacing w:line="328" w:lineRule="exact" w:before="0" w:after="0"/>
        <w:ind w:left="1058" w:right="1041" w:hanging="1059"/>
        <w:jc w:val="right"/>
        <w:rPr>
          <w:sz w:val="25"/>
        </w:rPr>
      </w:pPr>
      <w:r>
        <w:rPr>
          <w:w w:val="105"/>
        </w:rPr>
        <w:t>I</w:t>
      </w:r>
      <w:r>
        <w:rPr>
          <w:spacing w:val="24"/>
          <w:w w:val="105"/>
        </w:rPr>
        <w:t> </w:t>
      </w:r>
      <w:r>
        <w:rPr>
          <w:spacing w:val="-10"/>
          <w:w w:val="105"/>
        </w:rPr>
        <w:t>l</w:t>
      </w:r>
    </w:p>
    <w:p>
      <w:pPr>
        <w:pStyle w:val="BodyText"/>
        <w:spacing w:before="9"/>
        <w:rPr>
          <w:sz w:val="41"/>
        </w:rPr>
      </w:pPr>
    </w:p>
    <w:p>
      <w:pPr>
        <w:pStyle w:val="ListParagraph"/>
        <w:numPr>
          <w:ilvl w:val="2"/>
          <w:numId w:val="75"/>
        </w:numPr>
        <w:tabs>
          <w:tab w:pos="1687" w:val="left" w:leader="none"/>
          <w:tab w:pos="1689" w:val="left" w:leader="none"/>
        </w:tabs>
        <w:spacing w:line="240" w:lineRule="auto" w:before="0" w:after="0"/>
        <w:ind w:left="1688" w:right="0" w:hanging="721"/>
        <w:jc w:val="left"/>
        <w:rPr>
          <w:sz w:val="20"/>
        </w:rPr>
      </w:pPr>
      <w:r>
        <w:rPr>
          <w:w w:val="105"/>
          <w:sz w:val="20"/>
        </w:rPr>
        <w:t>Non-Western</w:t>
      </w:r>
      <w:r>
        <w:rPr>
          <w:spacing w:val="-8"/>
          <w:w w:val="105"/>
          <w:sz w:val="20"/>
        </w:rPr>
        <w:t> </w:t>
      </w:r>
      <w:r>
        <w:rPr>
          <w:spacing w:val="-2"/>
          <w:w w:val="105"/>
          <w:sz w:val="20"/>
        </w:rPr>
        <w:t>Traditions</w:t>
      </w:r>
    </w:p>
    <w:p>
      <w:pPr>
        <w:pStyle w:val="BodyText"/>
        <w:spacing w:before="1"/>
        <w:rPr>
          <w:sz w:val="18"/>
        </w:rPr>
      </w:pPr>
    </w:p>
    <w:p>
      <w:pPr>
        <w:spacing w:line="271" w:lineRule="auto" w:before="0"/>
        <w:ind w:left="1702" w:right="424" w:hanging="6"/>
        <w:jc w:val="left"/>
        <w:rPr>
          <w:i/>
          <w:sz w:val="19"/>
        </w:rPr>
      </w:pPr>
      <w:r>
        <w:rPr>
          <w:w w:val="105"/>
          <w:sz w:val="20"/>
        </w:rPr>
        <w:t>Understanding</w:t>
      </w:r>
      <w:r>
        <w:rPr>
          <w:spacing w:val="-2"/>
          <w:w w:val="105"/>
          <w:sz w:val="20"/>
        </w:rPr>
        <w:t> </w:t>
      </w:r>
      <w:r>
        <w:rPr>
          <w:w w:val="105"/>
          <w:sz w:val="20"/>
        </w:rPr>
        <w:t>of</w:t>
      </w:r>
      <w:r>
        <w:rPr>
          <w:spacing w:val="-17"/>
          <w:w w:val="105"/>
          <w:sz w:val="20"/>
        </w:rPr>
        <w:t> </w:t>
      </w:r>
      <w:r>
        <w:rPr>
          <w:i/>
          <w:w w:val="105"/>
          <w:sz w:val="19"/>
        </w:rPr>
        <w:t>parallel</w:t>
      </w:r>
      <w:r>
        <w:rPr>
          <w:i/>
          <w:spacing w:val="-9"/>
          <w:w w:val="105"/>
          <w:sz w:val="19"/>
        </w:rPr>
        <w:t> </w:t>
      </w:r>
      <w:r>
        <w:rPr>
          <w:i/>
          <w:w w:val="105"/>
          <w:sz w:val="19"/>
        </w:rPr>
        <w:t>and</w:t>
      </w:r>
      <w:r>
        <w:rPr>
          <w:i/>
          <w:spacing w:val="-10"/>
          <w:w w:val="105"/>
          <w:sz w:val="19"/>
        </w:rPr>
        <w:t> </w:t>
      </w:r>
      <w:r>
        <w:rPr>
          <w:i/>
          <w:w w:val="105"/>
          <w:sz w:val="19"/>
        </w:rPr>
        <w:t>divergent</w:t>
      </w:r>
      <w:r>
        <w:rPr>
          <w:i/>
          <w:spacing w:val="-11"/>
          <w:w w:val="105"/>
          <w:sz w:val="19"/>
        </w:rPr>
        <w:t> </w:t>
      </w:r>
      <w:r>
        <w:rPr>
          <w:i/>
          <w:w w:val="105"/>
          <w:sz w:val="19"/>
        </w:rPr>
        <w:t>canons</w:t>
      </w:r>
      <w:r>
        <w:rPr>
          <w:i/>
          <w:spacing w:val="-4"/>
          <w:w w:val="105"/>
          <w:sz w:val="19"/>
        </w:rPr>
        <w:t> </w:t>
      </w:r>
      <w:r>
        <w:rPr>
          <w:i/>
          <w:w w:val="105"/>
          <w:sz w:val="19"/>
        </w:rPr>
        <w:t>and</w:t>
      </w:r>
      <w:r>
        <w:rPr>
          <w:i/>
          <w:spacing w:val="-11"/>
          <w:w w:val="105"/>
          <w:sz w:val="19"/>
        </w:rPr>
        <w:t> </w:t>
      </w:r>
      <w:r>
        <w:rPr>
          <w:i/>
          <w:w w:val="105"/>
          <w:sz w:val="19"/>
        </w:rPr>
        <w:t>traditions </w:t>
      </w:r>
      <w:r>
        <w:rPr>
          <w:w w:val="105"/>
          <w:sz w:val="20"/>
        </w:rPr>
        <w:t>of</w:t>
      </w:r>
      <w:r>
        <w:rPr>
          <w:spacing w:val="-15"/>
          <w:w w:val="105"/>
          <w:sz w:val="20"/>
        </w:rPr>
        <w:t> </w:t>
      </w:r>
      <w:r>
        <w:rPr>
          <w:i/>
          <w:w w:val="105"/>
          <w:sz w:val="19"/>
        </w:rPr>
        <w:t>architecture</w:t>
      </w:r>
      <w:r>
        <w:rPr>
          <w:i/>
          <w:spacing w:val="-10"/>
          <w:w w:val="105"/>
          <w:sz w:val="19"/>
        </w:rPr>
        <w:t> </w:t>
      </w:r>
      <w:r>
        <w:rPr>
          <w:i/>
          <w:w w:val="105"/>
          <w:sz w:val="19"/>
        </w:rPr>
        <w:t>and</w:t>
      </w:r>
      <w:r>
        <w:rPr>
          <w:i/>
          <w:spacing w:val="-11"/>
          <w:w w:val="105"/>
          <w:sz w:val="19"/>
        </w:rPr>
        <w:t> </w:t>
      </w:r>
      <w:r>
        <w:rPr>
          <w:i/>
          <w:w w:val="105"/>
          <w:sz w:val="19"/>
        </w:rPr>
        <w:t>urban design in the non-Western world</w:t>
      </w:r>
    </w:p>
    <w:p>
      <w:pPr>
        <w:pStyle w:val="BodyText"/>
        <w:tabs>
          <w:tab w:pos="8256" w:val="left" w:leader="none"/>
        </w:tabs>
        <w:spacing w:line="144" w:lineRule="exact"/>
        <w:ind w:left="7460"/>
      </w:pPr>
      <w:r>
        <w:rPr>
          <w:spacing w:val="-5"/>
          <w:w w:val="105"/>
        </w:rPr>
        <w:t>Met</w:t>
      </w:r>
      <w:r>
        <w:rPr/>
        <w:tab/>
      </w:r>
      <w:r>
        <w:rPr>
          <w:w w:val="105"/>
        </w:rPr>
        <w:t>.</w:t>
      </w:r>
      <w:r>
        <w:rPr>
          <w:spacing w:val="-27"/>
          <w:w w:val="105"/>
        </w:rPr>
        <w:t> </w:t>
      </w:r>
      <w:r>
        <w:rPr>
          <w:w w:val="105"/>
        </w:rPr>
        <w:t>Not</w:t>
      </w:r>
      <w:r>
        <w:rPr>
          <w:spacing w:val="-13"/>
          <w:w w:val="105"/>
        </w:rPr>
        <w:t> </w:t>
      </w:r>
      <w:r>
        <w:rPr>
          <w:spacing w:val="-5"/>
          <w:w w:val="105"/>
        </w:rPr>
        <w:t>Met</w:t>
      </w:r>
    </w:p>
    <w:p>
      <w:pPr>
        <w:pStyle w:val="ListParagraph"/>
        <w:numPr>
          <w:ilvl w:val="3"/>
          <w:numId w:val="75"/>
        </w:numPr>
        <w:tabs>
          <w:tab w:pos="8585" w:val="left" w:leader="none"/>
          <w:tab w:pos="8586" w:val="left" w:leader="none"/>
        </w:tabs>
        <w:spacing w:line="332" w:lineRule="exact" w:before="0" w:after="0"/>
        <w:ind w:left="8585" w:right="0" w:hanging="1062"/>
        <w:jc w:val="left"/>
        <w:rPr>
          <w:b/>
          <w:sz w:val="25"/>
        </w:rPr>
      </w:pPr>
      <w:r>
        <w:rPr>
          <w:sz w:val="25"/>
        </w:rPr>
        <w:t>[</w:t>
      </w:r>
      <w:r>
        <w:rPr>
          <w:spacing w:val="58"/>
          <w:sz w:val="25"/>
        </w:rPr>
        <w:t> </w:t>
      </w:r>
      <w:r>
        <w:rPr>
          <w:spacing w:val="-12"/>
          <w:sz w:val="32"/>
        </w:rPr>
        <w:t>l</w:t>
      </w:r>
    </w:p>
    <w:p>
      <w:pPr>
        <w:pStyle w:val="BodyText"/>
        <w:spacing w:before="274"/>
        <w:ind w:left="1699" w:right="331" w:firstLine="3"/>
      </w:pPr>
      <w:r>
        <w:rPr/>
        <w:t>Curriculum offerings focus attention on the</w:t>
      </w:r>
      <w:r>
        <w:rPr>
          <w:spacing w:val="-4"/>
        </w:rPr>
        <w:t> </w:t>
      </w:r>
      <w:r>
        <w:rPr/>
        <w:t>importance of</w:t>
      </w:r>
      <w:r>
        <w:rPr>
          <w:spacing w:val="-2"/>
        </w:rPr>
        <w:t> </w:t>
      </w:r>
      <w:r>
        <w:rPr/>
        <w:t>study and</w:t>
      </w:r>
      <w:r>
        <w:rPr>
          <w:spacing w:val="-1"/>
        </w:rPr>
        <w:t> </w:t>
      </w:r>
      <w:r>
        <w:rPr/>
        <w:t>understanding of non-western traditions. Development of</w:t>
      </w:r>
      <w:r>
        <w:rPr>
          <w:spacing w:val="-4"/>
        </w:rPr>
        <w:t> </w:t>
      </w:r>
      <w:r>
        <w:rPr/>
        <w:t>this</w:t>
      </w:r>
      <w:r>
        <w:rPr>
          <w:spacing w:val="-7"/>
        </w:rPr>
        <w:t> </w:t>
      </w:r>
      <w:r>
        <w:rPr/>
        <w:t>understanding is</w:t>
      </w:r>
      <w:r>
        <w:rPr>
          <w:spacing w:val="-8"/>
        </w:rPr>
        <w:t> </w:t>
      </w:r>
      <w:r>
        <w:rPr/>
        <w:t>conveyed at</w:t>
      </w:r>
      <w:r>
        <w:rPr>
          <w:spacing w:val="-16"/>
        </w:rPr>
        <w:t> </w:t>
      </w:r>
      <w:r>
        <w:rPr/>
        <w:t>various levels through lectures on the</w:t>
      </w:r>
      <w:r>
        <w:rPr>
          <w:spacing w:val="-2"/>
        </w:rPr>
        <w:t> </w:t>
      </w:r>
      <w:r>
        <w:rPr/>
        <w:t>history of-architecture, seminar classes which include readings, interpretations</w:t>
      </w:r>
      <w:r>
        <w:rPr>
          <w:spacing w:val="-10"/>
        </w:rPr>
        <w:t> </w:t>
      </w:r>
      <w:r>
        <w:rPr/>
        <w:t>and</w:t>
      </w:r>
      <w:r>
        <w:rPr>
          <w:spacing w:val="-11"/>
        </w:rPr>
        <w:t> </w:t>
      </w:r>
      <w:r>
        <w:rPr/>
        <w:t>group</w:t>
      </w:r>
      <w:r>
        <w:rPr>
          <w:spacing w:val="-7"/>
        </w:rPr>
        <w:t> </w:t>
      </w:r>
      <w:r>
        <w:rPr/>
        <w:t>discussions, study of</w:t>
      </w:r>
      <w:r>
        <w:rPr>
          <w:spacing w:val="-10"/>
        </w:rPr>
        <w:t> </w:t>
      </w:r>
      <w:r>
        <w:rPr/>
        <w:t>environmental design, foreign travel, and integration</w:t>
      </w:r>
      <w:r>
        <w:rPr>
          <w:spacing w:val="-1"/>
        </w:rPr>
        <w:t> </w:t>
      </w:r>
      <w:r>
        <w:rPr/>
        <w:t>of</w:t>
      </w:r>
      <w:r>
        <w:rPr>
          <w:spacing w:val="-9"/>
        </w:rPr>
        <w:t> </w:t>
      </w:r>
      <w:r>
        <w:rPr/>
        <w:t>planning and</w:t>
      </w:r>
      <w:r>
        <w:rPr>
          <w:spacing w:val="-2"/>
        </w:rPr>
        <w:t> </w:t>
      </w:r>
      <w:r>
        <w:rPr/>
        <w:t>design</w:t>
      </w:r>
      <w:r>
        <w:rPr>
          <w:spacing w:val="-6"/>
        </w:rPr>
        <w:t> </w:t>
      </w:r>
      <w:r>
        <w:rPr/>
        <w:t>concepts</w:t>
      </w:r>
      <w:r>
        <w:rPr>
          <w:spacing w:val="-4"/>
        </w:rPr>
        <w:t> </w:t>
      </w:r>
      <w:r>
        <w:rPr/>
        <w:t>into</w:t>
      </w:r>
      <w:r>
        <w:rPr>
          <w:spacing w:val="-4"/>
        </w:rPr>
        <w:t> </w:t>
      </w:r>
      <w:r>
        <w:rPr/>
        <w:t>design</w:t>
      </w:r>
      <w:r>
        <w:rPr>
          <w:spacing w:val="-4"/>
        </w:rPr>
        <w:t> </w:t>
      </w:r>
      <w:r>
        <w:rPr/>
        <w:t>studio</w:t>
      </w:r>
      <w:r>
        <w:rPr>
          <w:spacing w:val="-2"/>
        </w:rPr>
        <w:t> </w:t>
      </w:r>
      <w:r>
        <w:rPr/>
        <w:t>assignments. Evidence of fulfilling course objectives and meeting this criterion can be found</w:t>
      </w:r>
      <w:r>
        <w:rPr>
          <w:spacing w:val="-3"/>
        </w:rPr>
        <w:t> </w:t>
      </w:r>
      <w:r>
        <w:rPr/>
        <w:t>in lecture content, reading lists and</w:t>
      </w:r>
      <w:r>
        <w:rPr>
          <w:spacing w:val="-4"/>
        </w:rPr>
        <w:t> </w:t>
      </w:r>
      <w:r>
        <w:rPr/>
        <w:t>student interpretive writings, design studio work, and examinations.</w:t>
      </w:r>
    </w:p>
    <w:p>
      <w:pPr>
        <w:pStyle w:val="BodyText"/>
        <w:rPr>
          <w:sz w:val="22"/>
        </w:rPr>
      </w:pPr>
    </w:p>
    <w:p>
      <w:pPr>
        <w:pStyle w:val="BodyText"/>
        <w:spacing w:before="10"/>
        <w:rPr>
          <w:sz w:val="18"/>
        </w:rPr>
      </w:pPr>
    </w:p>
    <w:p>
      <w:pPr>
        <w:pStyle w:val="ListParagraph"/>
        <w:numPr>
          <w:ilvl w:val="2"/>
          <w:numId w:val="75"/>
        </w:numPr>
        <w:tabs>
          <w:tab w:pos="1707" w:val="left" w:leader="none"/>
          <w:tab w:pos="1708" w:val="left" w:leader="none"/>
        </w:tabs>
        <w:spacing w:line="240" w:lineRule="auto" w:before="0" w:after="0"/>
        <w:ind w:left="1707" w:right="0" w:hanging="721"/>
        <w:jc w:val="left"/>
        <w:rPr>
          <w:sz w:val="20"/>
        </w:rPr>
      </w:pPr>
      <w:r>
        <w:rPr>
          <w:w w:val="105"/>
          <w:sz w:val="20"/>
        </w:rPr>
        <w:t>National</w:t>
      </w:r>
      <w:r>
        <w:rPr>
          <w:spacing w:val="-10"/>
          <w:w w:val="105"/>
          <w:sz w:val="20"/>
        </w:rPr>
        <w:t> </w:t>
      </w:r>
      <w:r>
        <w:rPr>
          <w:w w:val="105"/>
          <w:sz w:val="20"/>
        </w:rPr>
        <w:t>and</w:t>
      </w:r>
      <w:r>
        <w:rPr>
          <w:spacing w:val="6"/>
          <w:w w:val="105"/>
          <w:sz w:val="20"/>
        </w:rPr>
        <w:t> </w:t>
      </w:r>
      <w:r>
        <w:rPr>
          <w:w w:val="105"/>
          <w:sz w:val="20"/>
        </w:rPr>
        <w:t>Regional</w:t>
      </w:r>
      <w:r>
        <w:rPr>
          <w:spacing w:val="23"/>
          <w:w w:val="105"/>
          <w:sz w:val="20"/>
        </w:rPr>
        <w:t> </w:t>
      </w:r>
      <w:r>
        <w:rPr>
          <w:spacing w:val="-2"/>
          <w:w w:val="105"/>
          <w:sz w:val="20"/>
        </w:rPr>
        <w:t>Traditions</w:t>
      </w:r>
    </w:p>
    <w:p>
      <w:pPr>
        <w:pStyle w:val="BodyText"/>
        <w:spacing w:before="4"/>
        <w:rPr>
          <w:sz w:val="19"/>
        </w:rPr>
      </w:pPr>
    </w:p>
    <w:p>
      <w:pPr>
        <w:spacing w:line="252" w:lineRule="auto" w:before="0"/>
        <w:ind w:left="1717" w:right="475" w:hanging="1"/>
        <w:jc w:val="left"/>
        <w:rPr>
          <w:i/>
          <w:sz w:val="19"/>
        </w:rPr>
      </w:pPr>
      <w:r>
        <w:rPr>
          <w:w w:val="105"/>
          <w:sz w:val="20"/>
        </w:rPr>
        <w:t>Understanding</w:t>
      </w:r>
      <w:r>
        <w:rPr>
          <w:spacing w:val="-2"/>
          <w:w w:val="105"/>
          <w:sz w:val="20"/>
        </w:rPr>
        <w:t> </w:t>
      </w:r>
      <w:r>
        <w:rPr>
          <w:w w:val="105"/>
          <w:sz w:val="20"/>
        </w:rPr>
        <w:t>of</w:t>
      </w:r>
      <w:r>
        <w:rPr>
          <w:spacing w:val="-15"/>
          <w:w w:val="105"/>
          <w:sz w:val="20"/>
        </w:rPr>
        <w:t> </w:t>
      </w:r>
      <w:r>
        <w:rPr>
          <w:i/>
          <w:w w:val="105"/>
          <w:sz w:val="19"/>
        </w:rPr>
        <w:t>national traditions</w:t>
      </w:r>
      <w:r>
        <w:rPr>
          <w:i/>
          <w:spacing w:val="-5"/>
          <w:w w:val="105"/>
          <w:sz w:val="19"/>
        </w:rPr>
        <w:t> </w:t>
      </w:r>
      <w:r>
        <w:rPr>
          <w:i/>
          <w:w w:val="105"/>
          <w:sz w:val="19"/>
        </w:rPr>
        <w:t>and</w:t>
      </w:r>
      <w:r>
        <w:rPr>
          <w:i/>
          <w:spacing w:val="-10"/>
          <w:w w:val="105"/>
          <w:sz w:val="19"/>
        </w:rPr>
        <w:t> </w:t>
      </w:r>
      <w:r>
        <w:rPr>
          <w:i/>
          <w:w w:val="105"/>
          <w:sz w:val="19"/>
        </w:rPr>
        <w:t>the</w:t>
      </w:r>
      <w:r>
        <w:rPr>
          <w:i/>
          <w:spacing w:val="-14"/>
          <w:w w:val="105"/>
          <w:sz w:val="19"/>
        </w:rPr>
        <w:t> </w:t>
      </w:r>
      <w:r>
        <w:rPr>
          <w:i/>
          <w:w w:val="105"/>
          <w:sz w:val="19"/>
        </w:rPr>
        <w:t>local</w:t>
      </w:r>
      <w:r>
        <w:rPr>
          <w:i/>
          <w:spacing w:val="-14"/>
          <w:w w:val="105"/>
          <w:sz w:val="19"/>
        </w:rPr>
        <w:t> </w:t>
      </w:r>
      <w:r>
        <w:rPr>
          <w:i/>
          <w:w w:val="105"/>
          <w:sz w:val="19"/>
        </w:rPr>
        <w:t>regional</w:t>
      </w:r>
      <w:r>
        <w:rPr>
          <w:i/>
          <w:spacing w:val="-7"/>
          <w:w w:val="105"/>
          <w:sz w:val="19"/>
        </w:rPr>
        <w:t> </w:t>
      </w:r>
      <w:r>
        <w:rPr>
          <w:i/>
          <w:w w:val="105"/>
          <w:sz w:val="19"/>
        </w:rPr>
        <w:t>heritage</w:t>
      </w:r>
      <w:r>
        <w:rPr>
          <w:i/>
          <w:spacing w:val="-12"/>
          <w:w w:val="105"/>
          <w:sz w:val="19"/>
        </w:rPr>
        <w:t> </w:t>
      </w:r>
      <w:r>
        <w:rPr>
          <w:i/>
          <w:w w:val="105"/>
          <w:sz w:val="19"/>
        </w:rPr>
        <w:t>in</w:t>
      </w:r>
      <w:r>
        <w:rPr>
          <w:i/>
          <w:spacing w:val="-14"/>
          <w:w w:val="105"/>
          <w:sz w:val="19"/>
        </w:rPr>
        <w:t> </w:t>
      </w:r>
      <w:r>
        <w:rPr>
          <w:i/>
          <w:w w:val="105"/>
          <w:sz w:val="19"/>
        </w:rPr>
        <w:t>architecture, landscape design and urban design, including the</w:t>
      </w:r>
      <w:r>
        <w:rPr>
          <w:i/>
          <w:spacing w:val="-3"/>
          <w:w w:val="105"/>
          <w:sz w:val="19"/>
        </w:rPr>
        <w:t> </w:t>
      </w:r>
      <w:r>
        <w:rPr>
          <w:i/>
          <w:w w:val="105"/>
          <w:sz w:val="19"/>
        </w:rPr>
        <w:t>vernacular tradition</w:t>
      </w:r>
    </w:p>
    <w:p>
      <w:pPr>
        <w:pStyle w:val="BodyText"/>
        <w:spacing w:before="7"/>
        <w:rPr>
          <w:i/>
          <w:sz w:val="17"/>
        </w:rPr>
      </w:pPr>
    </w:p>
    <w:p>
      <w:pPr>
        <w:pStyle w:val="BodyText"/>
        <w:tabs>
          <w:tab w:pos="8375" w:val="left" w:leader="none"/>
        </w:tabs>
        <w:spacing w:line="198" w:lineRule="exact" w:before="1"/>
        <w:ind w:left="7489"/>
      </w:pPr>
      <w:r>
        <w:rPr>
          <w:spacing w:val="-5"/>
          <w:w w:val="105"/>
        </w:rPr>
        <w:t>Met</w:t>
      </w:r>
      <w:r>
        <w:rPr/>
        <w:tab/>
      </w:r>
      <w:r>
        <w:rPr>
          <w:w w:val="105"/>
        </w:rPr>
        <w:t>Not</w:t>
      </w:r>
      <w:r>
        <w:rPr>
          <w:spacing w:val="-13"/>
          <w:w w:val="105"/>
        </w:rPr>
        <w:t> </w:t>
      </w:r>
      <w:r>
        <w:rPr>
          <w:spacing w:val="-5"/>
          <w:w w:val="105"/>
        </w:rPr>
        <w:t>Met</w:t>
      </w:r>
    </w:p>
    <w:p>
      <w:pPr>
        <w:pStyle w:val="ListParagraph"/>
        <w:numPr>
          <w:ilvl w:val="3"/>
          <w:numId w:val="75"/>
        </w:numPr>
        <w:tabs>
          <w:tab w:pos="8614" w:val="left" w:leader="none"/>
          <w:tab w:pos="8615" w:val="left" w:leader="none"/>
        </w:tabs>
        <w:spacing w:line="336" w:lineRule="exact" w:before="0" w:after="0"/>
        <w:ind w:left="8614" w:right="0" w:hanging="1061"/>
        <w:jc w:val="left"/>
        <w:rPr>
          <w:sz w:val="25"/>
        </w:rPr>
      </w:pPr>
      <w:r>
        <w:rPr>
          <w:sz w:val="25"/>
        </w:rPr>
        <w:t>[</w:t>
      </w:r>
      <w:r>
        <w:rPr>
          <w:spacing w:val="59"/>
          <w:sz w:val="25"/>
        </w:rPr>
        <w:t> </w:t>
      </w:r>
      <w:r>
        <w:rPr>
          <w:spacing w:val="-10"/>
          <w:sz w:val="32"/>
        </w:rPr>
        <w:t>l</w:t>
      </w:r>
    </w:p>
    <w:p>
      <w:pPr>
        <w:pStyle w:val="BodyText"/>
        <w:spacing w:line="252" w:lineRule="auto" w:before="264"/>
        <w:ind w:left="1724" w:right="504" w:firstLine="8"/>
      </w:pPr>
      <w:r>
        <w:rPr/>
        <w:t>Students have an understanding</w:t>
      </w:r>
      <w:r>
        <w:rPr>
          <w:spacing w:val="33"/>
        </w:rPr>
        <w:t> </w:t>
      </w:r>
      <w:r>
        <w:rPr/>
        <w:t>of national and regional traditions evident in design work.</w:t>
      </w:r>
      <w:r>
        <w:rPr>
          <w:spacing w:val="40"/>
        </w:rPr>
        <w:t> </w:t>
      </w:r>
      <w:r>
        <w:rPr/>
        <w:t>This</w:t>
      </w:r>
      <w:r>
        <w:rPr>
          <w:spacing w:val="-10"/>
        </w:rPr>
        <w:t> </w:t>
      </w:r>
      <w:r>
        <w:rPr/>
        <w:t>knowledge</w:t>
      </w:r>
      <w:r>
        <w:rPr>
          <w:spacing w:val="-2"/>
        </w:rPr>
        <w:t> </w:t>
      </w:r>
      <w:r>
        <w:rPr/>
        <w:t>is gained</w:t>
      </w:r>
      <w:r>
        <w:rPr>
          <w:spacing w:val="-1"/>
        </w:rPr>
        <w:t> </w:t>
      </w:r>
      <w:r>
        <w:rPr/>
        <w:t>in</w:t>
      </w:r>
      <w:r>
        <w:rPr>
          <w:spacing w:val="-19"/>
        </w:rPr>
        <w:t> </w:t>
      </w:r>
      <w:r>
        <w:rPr/>
        <w:t>courses ARC 207-8, ARC 317, ARC 411,</w:t>
      </w:r>
      <w:r>
        <w:rPr>
          <w:spacing w:val="-4"/>
        </w:rPr>
        <w:t> </w:t>
      </w:r>
      <w:r>
        <w:rPr/>
        <w:t>and</w:t>
      </w:r>
      <w:r>
        <w:rPr>
          <w:spacing w:val="-6"/>
        </w:rPr>
        <w:t> </w:t>
      </w:r>
      <w:r>
        <w:rPr/>
        <w:t>ARC </w:t>
      </w:r>
      <w:r>
        <w:rPr>
          <w:spacing w:val="-2"/>
        </w:rPr>
        <w:t>617-8,</w:t>
      </w:r>
    </w:p>
    <w:p>
      <w:pPr>
        <w:pStyle w:val="BodyText"/>
        <w:rPr>
          <w:sz w:val="22"/>
        </w:rPr>
      </w:pPr>
    </w:p>
    <w:p>
      <w:pPr>
        <w:pStyle w:val="BodyText"/>
        <w:spacing w:before="6"/>
        <w:rPr>
          <w:sz w:val="25"/>
        </w:rPr>
      </w:pPr>
    </w:p>
    <w:p>
      <w:pPr>
        <w:pStyle w:val="ListParagraph"/>
        <w:numPr>
          <w:ilvl w:val="2"/>
          <w:numId w:val="75"/>
        </w:numPr>
        <w:tabs>
          <w:tab w:pos="1735" w:val="left" w:leader="none"/>
          <w:tab w:pos="1736" w:val="left" w:leader="none"/>
        </w:tabs>
        <w:spacing w:line="240" w:lineRule="auto" w:before="0" w:after="0"/>
        <w:ind w:left="1735" w:right="0" w:hanging="729"/>
        <w:jc w:val="left"/>
        <w:rPr>
          <w:sz w:val="20"/>
        </w:rPr>
      </w:pPr>
      <w:r>
        <w:rPr>
          <w:w w:val="105"/>
          <w:sz w:val="20"/>
        </w:rPr>
        <w:t>Use</w:t>
      </w:r>
      <w:r>
        <w:rPr>
          <w:spacing w:val="-12"/>
          <w:w w:val="105"/>
          <w:sz w:val="20"/>
        </w:rPr>
        <w:t> </w:t>
      </w:r>
      <w:r>
        <w:rPr>
          <w:w w:val="105"/>
          <w:sz w:val="20"/>
        </w:rPr>
        <w:t>of</w:t>
      </w:r>
      <w:r>
        <w:rPr>
          <w:spacing w:val="6"/>
          <w:w w:val="105"/>
          <w:sz w:val="20"/>
        </w:rPr>
        <w:t> </w:t>
      </w:r>
      <w:r>
        <w:rPr>
          <w:spacing w:val="-2"/>
          <w:w w:val="105"/>
          <w:sz w:val="20"/>
        </w:rPr>
        <w:t>Precedents</w:t>
      </w:r>
    </w:p>
    <w:p>
      <w:pPr>
        <w:pStyle w:val="BodyText"/>
        <w:spacing w:before="8"/>
        <w:rPr>
          <w:sz w:val="17"/>
        </w:rPr>
      </w:pPr>
    </w:p>
    <w:p>
      <w:pPr>
        <w:spacing w:before="0"/>
        <w:ind w:left="1742" w:right="0" w:firstLine="0"/>
        <w:jc w:val="left"/>
        <w:rPr>
          <w:i/>
          <w:sz w:val="19"/>
        </w:rPr>
      </w:pPr>
      <w:r>
        <w:rPr>
          <w:w w:val="105"/>
          <w:sz w:val="20"/>
        </w:rPr>
        <w:t>Ability</w:t>
      </w:r>
      <w:r>
        <w:rPr>
          <w:spacing w:val="-8"/>
          <w:w w:val="105"/>
          <w:sz w:val="20"/>
        </w:rPr>
        <w:t> </w:t>
      </w:r>
      <w:r>
        <w:rPr>
          <w:w w:val="105"/>
          <w:sz w:val="20"/>
        </w:rPr>
        <w:t>to</w:t>
      </w:r>
      <w:r>
        <w:rPr>
          <w:spacing w:val="-14"/>
          <w:w w:val="105"/>
          <w:sz w:val="20"/>
        </w:rPr>
        <w:t> </w:t>
      </w:r>
      <w:r>
        <w:rPr>
          <w:i/>
          <w:w w:val="105"/>
          <w:sz w:val="19"/>
        </w:rPr>
        <w:t>incorporate</w:t>
      </w:r>
      <w:r>
        <w:rPr>
          <w:i/>
          <w:spacing w:val="-6"/>
          <w:w w:val="105"/>
          <w:sz w:val="19"/>
        </w:rPr>
        <w:t> </w:t>
      </w:r>
      <w:r>
        <w:rPr>
          <w:i/>
          <w:w w:val="105"/>
          <w:sz w:val="19"/>
        </w:rPr>
        <w:t>relevant</w:t>
      </w:r>
      <w:r>
        <w:rPr>
          <w:i/>
          <w:spacing w:val="-5"/>
          <w:w w:val="105"/>
          <w:sz w:val="19"/>
        </w:rPr>
        <w:t> </w:t>
      </w:r>
      <w:r>
        <w:rPr>
          <w:i/>
          <w:w w:val="105"/>
          <w:sz w:val="19"/>
        </w:rPr>
        <w:t>precedents</w:t>
      </w:r>
      <w:r>
        <w:rPr>
          <w:i/>
          <w:spacing w:val="-3"/>
          <w:w w:val="105"/>
          <w:sz w:val="19"/>
        </w:rPr>
        <w:t> </w:t>
      </w:r>
      <w:r>
        <w:rPr>
          <w:i/>
          <w:w w:val="105"/>
          <w:sz w:val="19"/>
        </w:rPr>
        <w:t>into</w:t>
      </w:r>
      <w:r>
        <w:rPr>
          <w:i/>
          <w:spacing w:val="-11"/>
          <w:w w:val="105"/>
          <w:sz w:val="19"/>
        </w:rPr>
        <w:t> </w:t>
      </w:r>
      <w:r>
        <w:rPr>
          <w:i/>
          <w:w w:val="105"/>
          <w:sz w:val="19"/>
        </w:rPr>
        <w:t>architecture</w:t>
      </w:r>
      <w:r>
        <w:rPr>
          <w:i/>
          <w:spacing w:val="-2"/>
          <w:w w:val="105"/>
          <w:sz w:val="19"/>
        </w:rPr>
        <w:t> </w:t>
      </w:r>
      <w:r>
        <w:rPr>
          <w:i/>
          <w:w w:val="105"/>
          <w:sz w:val="19"/>
        </w:rPr>
        <w:t>and</w:t>
      </w:r>
      <w:r>
        <w:rPr>
          <w:i/>
          <w:spacing w:val="-12"/>
          <w:w w:val="105"/>
          <w:sz w:val="19"/>
        </w:rPr>
        <w:t> </w:t>
      </w:r>
      <w:r>
        <w:rPr>
          <w:i/>
          <w:w w:val="105"/>
          <w:sz w:val="19"/>
        </w:rPr>
        <w:t>urban</w:t>
      </w:r>
      <w:r>
        <w:rPr>
          <w:i/>
          <w:spacing w:val="-10"/>
          <w:w w:val="105"/>
          <w:sz w:val="19"/>
        </w:rPr>
        <w:t> </w:t>
      </w:r>
      <w:r>
        <w:rPr>
          <w:i/>
          <w:w w:val="105"/>
          <w:sz w:val="19"/>
        </w:rPr>
        <w:t>design</w:t>
      </w:r>
      <w:r>
        <w:rPr>
          <w:i/>
          <w:spacing w:val="-7"/>
          <w:w w:val="105"/>
          <w:sz w:val="19"/>
        </w:rPr>
        <w:t> </w:t>
      </w:r>
      <w:r>
        <w:rPr>
          <w:i/>
          <w:spacing w:val="-2"/>
          <w:w w:val="105"/>
          <w:sz w:val="19"/>
        </w:rPr>
        <w:t>projects</w:t>
      </w:r>
    </w:p>
    <w:p>
      <w:pPr>
        <w:pStyle w:val="BodyText"/>
        <w:spacing w:before="6"/>
        <w:rPr>
          <w:i/>
          <w:sz w:val="18"/>
        </w:rPr>
      </w:pPr>
    </w:p>
    <w:p>
      <w:pPr>
        <w:pStyle w:val="BodyText"/>
        <w:tabs>
          <w:tab w:pos="8413" w:val="left" w:leader="none"/>
        </w:tabs>
        <w:spacing w:line="208" w:lineRule="exact"/>
        <w:ind w:left="7518"/>
      </w:pPr>
      <w:r>
        <w:rPr>
          <w:spacing w:val="-5"/>
          <w:w w:val="105"/>
        </w:rPr>
        <w:t>Met</w:t>
      </w:r>
      <w:r>
        <w:rPr/>
        <w:tab/>
      </w:r>
      <w:r>
        <w:rPr>
          <w:w w:val="105"/>
        </w:rPr>
        <w:t>Not</w:t>
      </w:r>
      <w:r>
        <w:rPr>
          <w:spacing w:val="-14"/>
          <w:w w:val="105"/>
        </w:rPr>
        <w:t> </w:t>
      </w:r>
      <w:r>
        <w:rPr>
          <w:spacing w:val="-5"/>
          <w:w w:val="105"/>
        </w:rPr>
        <w:t>Met</w:t>
      </w:r>
    </w:p>
    <w:p>
      <w:pPr>
        <w:pStyle w:val="Heading4"/>
        <w:numPr>
          <w:ilvl w:val="3"/>
          <w:numId w:val="75"/>
        </w:numPr>
        <w:tabs>
          <w:tab w:pos="8642" w:val="left" w:leader="none"/>
          <w:tab w:pos="8643" w:val="left" w:leader="none"/>
        </w:tabs>
        <w:spacing w:line="323" w:lineRule="exact" w:before="0" w:after="0"/>
        <w:ind w:left="8642" w:right="0" w:hanging="1050"/>
        <w:jc w:val="left"/>
        <w:rPr>
          <w:sz w:val="24"/>
        </w:rPr>
      </w:pPr>
      <w:r>
        <w:rPr>
          <w:w w:val="105"/>
        </w:rPr>
        <w:t>I</w:t>
      </w:r>
      <w:r>
        <w:rPr>
          <w:spacing w:val="34"/>
          <w:w w:val="105"/>
        </w:rPr>
        <w:t> </w:t>
      </w:r>
      <w:r>
        <w:rPr>
          <w:spacing w:val="-10"/>
          <w:w w:val="105"/>
        </w:rPr>
        <w:t>l</w:t>
      </w:r>
    </w:p>
    <w:p>
      <w:pPr>
        <w:pStyle w:val="BodyText"/>
        <w:spacing w:line="247" w:lineRule="auto" w:before="259"/>
        <w:ind w:left="1753" w:right="218" w:firstLine="2"/>
      </w:pPr>
      <w:r>
        <w:rPr/>
        <w:t>Precedents are</w:t>
      </w:r>
      <w:r>
        <w:rPr>
          <w:spacing w:val="-1"/>
        </w:rPr>
        <w:t> </w:t>
      </w:r>
      <w:r>
        <w:rPr/>
        <w:t>integrated in the</w:t>
      </w:r>
      <w:r>
        <w:rPr>
          <w:spacing w:val="-6"/>
        </w:rPr>
        <w:t> </w:t>
      </w:r>
      <w:r>
        <w:rPr/>
        <w:t>design</w:t>
      </w:r>
      <w:r>
        <w:rPr>
          <w:spacing w:val="-2"/>
        </w:rPr>
        <w:t> </w:t>
      </w:r>
      <w:r>
        <w:rPr/>
        <w:t>process</w:t>
      </w:r>
      <w:r>
        <w:rPr>
          <w:spacing w:val="-4"/>
        </w:rPr>
        <w:t> </w:t>
      </w:r>
      <w:r>
        <w:rPr/>
        <w:t>in</w:t>
      </w:r>
      <w:r>
        <w:rPr>
          <w:spacing w:val="-10"/>
        </w:rPr>
        <w:t> </w:t>
      </w:r>
      <w:r>
        <w:rPr/>
        <w:t>ARC 405-6</w:t>
      </w:r>
      <w:r>
        <w:rPr>
          <w:spacing w:val="-3"/>
        </w:rPr>
        <w:t> </w:t>
      </w:r>
      <w:r>
        <w:rPr/>
        <w:t>and</w:t>
      </w:r>
      <w:r>
        <w:rPr>
          <w:spacing w:val="-3"/>
        </w:rPr>
        <w:t> </w:t>
      </w:r>
      <w:r>
        <w:rPr/>
        <w:t>are</w:t>
      </w:r>
      <w:r>
        <w:rPr>
          <w:spacing w:val="-2"/>
        </w:rPr>
        <w:t> </w:t>
      </w:r>
      <w:r>
        <w:rPr/>
        <w:t>the</w:t>
      </w:r>
      <w:r>
        <w:rPr>
          <w:spacing w:val="-8"/>
        </w:rPr>
        <w:t> </w:t>
      </w:r>
      <w:r>
        <w:rPr/>
        <w:t>centerpiece of course ARC 430.</w:t>
      </w:r>
      <w:r>
        <w:rPr>
          <w:spacing w:val="40"/>
        </w:rPr>
        <w:t> </w:t>
      </w:r>
      <w:r>
        <w:rPr/>
        <w:t>Local</w:t>
      </w:r>
      <w:r>
        <w:rPr>
          <w:spacing w:val="-12"/>
        </w:rPr>
        <w:t> </w:t>
      </w:r>
      <w:r>
        <w:rPr/>
        <w:t>precedents are studied and applied in</w:t>
      </w:r>
      <w:r>
        <w:rPr>
          <w:spacing w:val="-2"/>
        </w:rPr>
        <w:t> </w:t>
      </w:r>
      <w:r>
        <w:rPr/>
        <w:t>course ARC 305 -</w:t>
      </w:r>
      <w:r>
        <w:rPr>
          <w:spacing w:val="40"/>
        </w:rPr>
        <w:t> </w:t>
      </w:r>
      <w:r>
        <w:rPr/>
        <w:t>Urban and Community</w:t>
      </w:r>
      <w:r>
        <w:rPr>
          <w:spacing w:val="40"/>
        </w:rPr>
        <w:t> </w:t>
      </w:r>
      <w:r>
        <w:rPr/>
        <w:t>Design Travel Studio.</w:t>
      </w:r>
    </w:p>
    <w:p>
      <w:pPr>
        <w:pStyle w:val="BodyText"/>
      </w:pPr>
    </w:p>
    <w:p>
      <w:pPr>
        <w:pStyle w:val="BodyText"/>
        <w:rPr>
          <w:sz w:val="22"/>
        </w:rPr>
      </w:pPr>
      <w:r>
        <w:rPr/>
        <w:pict>
          <v:shape style="position:absolute;margin-left:69.379066pt;margin-top:13.883519pt;width:456.3pt;height:.1pt;mso-position-horizontal-relative:page;mso-position-vertical-relative:paragraph;z-index:-15699456;mso-wrap-distance-left:0;mso-wrap-distance-right:0" id="docshape647" coordorigin="1388,278" coordsize="9126,0" path="m1388,278l10513,278e" filled="false" stroked="true" strokeweight=".481434pt" strokecolor="#000000">
            <v:path arrowok="t"/>
            <v:stroke dashstyle="solid"/>
            <w10:wrap type="topAndBottom"/>
          </v:shape>
        </w:pict>
      </w:r>
    </w:p>
    <w:p>
      <w:pPr>
        <w:pStyle w:val="BodyText"/>
        <w:ind w:right="143"/>
        <w:jc w:val="right"/>
      </w:pPr>
      <w:r>
        <w:rPr>
          <w:spacing w:val="-5"/>
          <w:w w:val="105"/>
        </w:rPr>
        <w:t>15</w:t>
      </w:r>
    </w:p>
    <w:p>
      <w:pPr>
        <w:spacing w:after="0"/>
        <w:jc w:val="right"/>
        <w:sectPr>
          <w:headerReference w:type="default" r:id="rId389"/>
          <w:footerReference w:type="default" r:id="rId390"/>
          <w:pgSz w:w="12180" w:h="15820"/>
          <w:pgMar w:header="647" w:footer="0" w:top="1380" w:bottom="280" w:left="1120" w:right="1180"/>
        </w:sectPr>
      </w:pPr>
    </w:p>
    <w:p>
      <w:pPr>
        <w:pStyle w:val="BodyText"/>
        <w:spacing w:line="20" w:lineRule="exact"/>
        <w:ind w:left="229"/>
        <w:rPr>
          <w:sz w:val="2"/>
        </w:rPr>
      </w:pPr>
      <w:r>
        <w:rPr>
          <w:sz w:val="2"/>
        </w:rPr>
        <w:pict>
          <v:group style="width:472.2pt;height:1pt;mso-position-horizontal-relative:char;mso-position-vertical-relative:line" id="docshapegroup649" coordorigin="0,0" coordsize="9444,20">
            <v:line style="position:absolute" from="0,10" to="9443,10" stroked="true" strokeweight=".962868pt" strokecolor="#000000">
              <v:stroke dashstyle="solid"/>
            </v:line>
          </v:group>
        </w:pict>
      </w:r>
      <w:r>
        <w:rPr>
          <w:sz w:val="2"/>
        </w:rPr>
      </w:r>
    </w:p>
    <w:p>
      <w:pPr>
        <w:pStyle w:val="BodyText"/>
        <w:spacing w:before="2"/>
        <w:rPr>
          <w:sz w:val="17"/>
        </w:rPr>
      </w:pPr>
    </w:p>
    <w:p>
      <w:pPr>
        <w:pStyle w:val="ListParagraph"/>
        <w:numPr>
          <w:ilvl w:val="2"/>
          <w:numId w:val="75"/>
        </w:numPr>
        <w:tabs>
          <w:tab w:pos="1686" w:val="left" w:leader="none"/>
          <w:tab w:pos="1687" w:val="left" w:leader="none"/>
        </w:tabs>
        <w:spacing w:line="240" w:lineRule="auto" w:before="94" w:after="0"/>
        <w:ind w:left="1686" w:right="0" w:hanging="720"/>
        <w:jc w:val="left"/>
        <w:rPr>
          <w:sz w:val="21"/>
        </w:rPr>
      </w:pPr>
      <w:r>
        <w:rPr>
          <w:spacing w:val="-2"/>
          <w:sz w:val="21"/>
        </w:rPr>
        <w:t>Human</w:t>
      </w:r>
      <w:r>
        <w:rPr>
          <w:spacing w:val="-8"/>
          <w:sz w:val="21"/>
        </w:rPr>
        <w:t> </w:t>
      </w:r>
      <w:r>
        <w:rPr>
          <w:spacing w:val="-2"/>
          <w:sz w:val="21"/>
        </w:rPr>
        <w:t>Behavior</w:t>
      </w:r>
    </w:p>
    <w:p>
      <w:pPr>
        <w:pStyle w:val="BodyText"/>
        <w:spacing w:before="7"/>
        <w:rPr>
          <w:sz w:val="21"/>
        </w:rPr>
      </w:pPr>
    </w:p>
    <w:p>
      <w:pPr>
        <w:spacing w:line="242" w:lineRule="auto" w:before="0"/>
        <w:ind w:left="1687" w:right="0" w:firstLine="1"/>
        <w:jc w:val="left"/>
        <w:rPr>
          <w:i/>
          <w:sz w:val="19"/>
        </w:rPr>
      </w:pPr>
      <w:r>
        <w:rPr>
          <w:w w:val="105"/>
          <w:sz w:val="19"/>
        </w:rPr>
        <w:t>Understanding</w:t>
      </w:r>
      <w:r>
        <w:rPr>
          <w:spacing w:val="-3"/>
          <w:w w:val="105"/>
          <w:sz w:val="19"/>
        </w:rPr>
        <w:t> </w:t>
      </w:r>
      <w:r>
        <w:rPr>
          <w:w w:val="105"/>
          <w:sz w:val="19"/>
        </w:rPr>
        <w:t>of the</w:t>
      </w:r>
      <w:r>
        <w:rPr>
          <w:spacing w:val="-21"/>
          <w:w w:val="105"/>
          <w:sz w:val="19"/>
        </w:rPr>
        <w:t> </w:t>
      </w:r>
      <w:r>
        <w:rPr>
          <w:i/>
          <w:w w:val="105"/>
          <w:sz w:val="19"/>
        </w:rPr>
        <w:t>theories</w:t>
      </w:r>
      <w:r>
        <w:rPr>
          <w:i/>
          <w:spacing w:val="-3"/>
          <w:w w:val="105"/>
          <w:sz w:val="19"/>
        </w:rPr>
        <w:t> </w:t>
      </w:r>
      <w:r>
        <w:rPr>
          <w:i/>
          <w:w w:val="105"/>
          <w:sz w:val="19"/>
        </w:rPr>
        <w:t>and</w:t>
      </w:r>
      <w:r>
        <w:rPr>
          <w:i/>
          <w:spacing w:val="-2"/>
          <w:w w:val="105"/>
          <w:sz w:val="19"/>
        </w:rPr>
        <w:t> </w:t>
      </w:r>
      <w:r>
        <w:rPr>
          <w:i/>
          <w:w w:val="105"/>
          <w:sz w:val="19"/>
        </w:rPr>
        <w:t>methods </w:t>
      </w:r>
      <w:r>
        <w:rPr>
          <w:w w:val="105"/>
          <w:sz w:val="19"/>
        </w:rPr>
        <w:t>of</w:t>
      </w:r>
      <w:r>
        <w:rPr>
          <w:spacing w:val="-5"/>
          <w:w w:val="105"/>
          <w:sz w:val="19"/>
        </w:rPr>
        <w:t> </w:t>
      </w:r>
      <w:r>
        <w:rPr>
          <w:i/>
          <w:w w:val="105"/>
          <w:sz w:val="19"/>
        </w:rPr>
        <w:t>inquiry that</w:t>
      </w:r>
      <w:r>
        <w:rPr>
          <w:i/>
          <w:spacing w:val="-3"/>
          <w:w w:val="105"/>
          <w:sz w:val="19"/>
        </w:rPr>
        <w:t> </w:t>
      </w:r>
      <w:r>
        <w:rPr>
          <w:i/>
          <w:w w:val="105"/>
          <w:sz w:val="19"/>
        </w:rPr>
        <w:t>seek</w:t>
      </w:r>
      <w:r>
        <w:rPr>
          <w:i/>
          <w:spacing w:val="-4"/>
          <w:w w:val="105"/>
          <w:sz w:val="19"/>
        </w:rPr>
        <w:t> </w:t>
      </w:r>
      <w:r>
        <w:rPr>
          <w:i/>
          <w:w w:val="105"/>
          <w:sz w:val="19"/>
        </w:rPr>
        <w:t>to clarify the</w:t>
      </w:r>
      <w:r>
        <w:rPr>
          <w:i/>
          <w:spacing w:val="-16"/>
          <w:w w:val="105"/>
          <w:sz w:val="19"/>
        </w:rPr>
        <w:t> </w:t>
      </w:r>
      <w:r>
        <w:rPr>
          <w:i/>
          <w:w w:val="105"/>
          <w:sz w:val="19"/>
        </w:rPr>
        <w:t>relationship between human behavior and the physical environment</w:t>
      </w:r>
    </w:p>
    <w:p>
      <w:pPr>
        <w:tabs>
          <w:tab w:pos="886" w:val="left" w:leader="none"/>
        </w:tabs>
        <w:spacing w:line="189" w:lineRule="exact" w:before="21"/>
        <w:ind w:left="0" w:right="843" w:firstLine="0"/>
        <w:jc w:val="right"/>
        <w:rPr>
          <w:sz w:val="19"/>
        </w:rPr>
      </w:pPr>
      <w:r>
        <w:rPr>
          <w:spacing w:val="-5"/>
          <w:w w:val="110"/>
          <w:sz w:val="19"/>
        </w:rPr>
        <w:t>Met</w:t>
      </w:r>
      <w:r>
        <w:rPr>
          <w:sz w:val="19"/>
        </w:rPr>
        <w:tab/>
      </w:r>
      <w:r>
        <w:rPr>
          <w:w w:val="105"/>
          <w:sz w:val="19"/>
        </w:rPr>
        <w:t>Not</w:t>
      </w:r>
      <w:r>
        <w:rPr>
          <w:spacing w:val="-3"/>
          <w:w w:val="105"/>
          <w:sz w:val="19"/>
        </w:rPr>
        <w:t> </w:t>
      </w:r>
      <w:r>
        <w:rPr>
          <w:spacing w:val="-5"/>
          <w:w w:val="110"/>
          <w:sz w:val="19"/>
        </w:rPr>
        <w:t>Met</w:t>
      </w:r>
    </w:p>
    <w:p>
      <w:pPr>
        <w:pStyle w:val="ListParagraph"/>
        <w:numPr>
          <w:ilvl w:val="3"/>
          <w:numId w:val="75"/>
        </w:numPr>
        <w:tabs>
          <w:tab w:pos="1051" w:val="left" w:leader="none"/>
          <w:tab w:pos="1052" w:val="left" w:leader="none"/>
        </w:tabs>
        <w:spacing w:line="338" w:lineRule="exact" w:before="0" w:after="0"/>
        <w:ind w:left="1051" w:right="1052" w:hanging="1052"/>
        <w:jc w:val="right"/>
        <w:rPr>
          <w:b/>
          <w:sz w:val="25"/>
        </w:rPr>
      </w:pPr>
      <w:r>
        <w:rPr>
          <w:w w:val="95"/>
          <w:sz w:val="25"/>
        </w:rPr>
        <w:t>[</w:t>
      </w:r>
      <w:r>
        <w:rPr>
          <w:spacing w:val="72"/>
          <w:sz w:val="25"/>
        </w:rPr>
        <w:t> </w:t>
      </w:r>
      <w:r>
        <w:rPr>
          <w:rFonts w:ascii="Times New Roman"/>
          <w:spacing w:val="-10"/>
          <w:w w:val="95"/>
          <w:sz w:val="32"/>
        </w:rPr>
        <w:t>l</w:t>
      </w:r>
    </w:p>
    <w:p>
      <w:pPr>
        <w:spacing w:line="254" w:lineRule="auto" w:before="253"/>
        <w:ind w:left="1677" w:right="311" w:firstLine="2"/>
        <w:jc w:val="left"/>
        <w:rPr>
          <w:sz w:val="19"/>
        </w:rPr>
      </w:pPr>
      <w:r>
        <w:rPr>
          <w:w w:val="105"/>
          <w:sz w:val="19"/>
        </w:rPr>
        <w:t>There is evidence this</w:t>
      </w:r>
      <w:r>
        <w:rPr>
          <w:spacing w:val="-7"/>
          <w:w w:val="105"/>
          <w:sz w:val="19"/>
        </w:rPr>
        <w:t> </w:t>
      </w:r>
      <w:r>
        <w:rPr>
          <w:w w:val="105"/>
          <w:sz w:val="19"/>
        </w:rPr>
        <w:t>criterion is met through stated</w:t>
      </w:r>
      <w:r>
        <w:rPr>
          <w:spacing w:val="-11"/>
          <w:w w:val="105"/>
          <w:sz w:val="19"/>
        </w:rPr>
        <w:t> </w:t>
      </w:r>
      <w:r>
        <w:rPr>
          <w:w w:val="105"/>
          <w:sz w:val="19"/>
        </w:rPr>
        <w:t>curriculum objectives,</w:t>
      </w:r>
      <w:r>
        <w:rPr>
          <w:spacing w:val="40"/>
          <w:w w:val="105"/>
          <w:sz w:val="19"/>
        </w:rPr>
        <w:t> </w:t>
      </w:r>
      <w:r>
        <w:rPr>
          <w:w w:val="105"/>
          <w:sz w:val="19"/>
        </w:rPr>
        <w:t>student writing,</w:t>
      </w:r>
      <w:r>
        <w:rPr>
          <w:spacing w:val="-3"/>
          <w:w w:val="105"/>
          <w:sz w:val="19"/>
        </w:rPr>
        <w:t> </w:t>
      </w:r>
      <w:r>
        <w:rPr>
          <w:w w:val="105"/>
          <w:sz w:val="19"/>
        </w:rPr>
        <w:t>reading</w:t>
      </w:r>
      <w:r>
        <w:rPr>
          <w:spacing w:val="-11"/>
          <w:w w:val="105"/>
          <w:sz w:val="19"/>
        </w:rPr>
        <w:t> </w:t>
      </w:r>
      <w:r>
        <w:rPr>
          <w:w w:val="105"/>
          <w:sz w:val="19"/>
        </w:rPr>
        <w:t>lists,</w:t>
      </w:r>
      <w:r>
        <w:rPr>
          <w:spacing w:val="-8"/>
          <w:w w:val="105"/>
          <w:sz w:val="19"/>
        </w:rPr>
        <w:t> </w:t>
      </w:r>
      <w:r>
        <w:rPr>
          <w:w w:val="105"/>
          <w:sz w:val="19"/>
        </w:rPr>
        <w:t>lecture subjects, foreign</w:t>
      </w:r>
      <w:r>
        <w:rPr>
          <w:spacing w:val="-3"/>
          <w:w w:val="105"/>
          <w:sz w:val="19"/>
        </w:rPr>
        <w:t> </w:t>
      </w:r>
      <w:r>
        <w:rPr>
          <w:w w:val="105"/>
          <w:sz w:val="19"/>
        </w:rPr>
        <w:t>travel, and</w:t>
      </w:r>
      <w:r>
        <w:rPr>
          <w:spacing w:val="-11"/>
          <w:w w:val="105"/>
          <w:sz w:val="19"/>
        </w:rPr>
        <w:t> </w:t>
      </w:r>
      <w:r>
        <w:rPr>
          <w:w w:val="105"/>
          <w:sz w:val="19"/>
        </w:rPr>
        <w:t>application in the</w:t>
      </w:r>
      <w:r>
        <w:rPr>
          <w:spacing w:val="-5"/>
          <w:w w:val="105"/>
          <w:sz w:val="19"/>
        </w:rPr>
        <w:t> </w:t>
      </w:r>
      <w:r>
        <w:rPr>
          <w:w w:val="105"/>
          <w:sz w:val="19"/>
        </w:rPr>
        <w:t>design</w:t>
      </w:r>
      <w:r>
        <w:rPr>
          <w:spacing w:val="-3"/>
          <w:w w:val="105"/>
          <w:sz w:val="19"/>
        </w:rPr>
        <w:t> </w:t>
      </w:r>
      <w:r>
        <w:rPr>
          <w:w w:val="105"/>
          <w:sz w:val="19"/>
        </w:rPr>
        <w:t>studio and</w:t>
      </w:r>
      <w:r>
        <w:rPr>
          <w:spacing w:val="-5"/>
          <w:w w:val="105"/>
          <w:sz w:val="19"/>
        </w:rPr>
        <w:t> </w:t>
      </w:r>
      <w:r>
        <w:rPr>
          <w:w w:val="105"/>
          <w:sz w:val="19"/>
        </w:rPr>
        <w:t>research.</w:t>
      </w:r>
    </w:p>
    <w:p>
      <w:pPr>
        <w:pStyle w:val="BodyText"/>
      </w:pPr>
    </w:p>
    <w:p>
      <w:pPr>
        <w:pStyle w:val="BodyText"/>
        <w:spacing w:before="5"/>
        <w:rPr>
          <w:sz w:val="18"/>
        </w:rPr>
      </w:pPr>
    </w:p>
    <w:p>
      <w:pPr>
        <w:pStyle w:val="ListParagraph"/>
        <w:numPr>
          <w:ilvl w:val="2"/>
          <w:numId w:val="75"/>
        </w:numPr>
        <w:tabs>
          <w:tab w:pos="1666" w:val="left" w:leader="none"/>
          <w:tab w:pos="1667" w:val="left" w:leader="none"/>
        </w:tabs>
        <w:spacing w:line="240" w:lineRule="auto" w:before="0" w:after="0"/>
        <w:ind w:left="1667" w:right="0" w:hanging="719"/>
        <w:jc w:val="left"/>
        <w:rPr>
          <w:sz w:val="21"/>
        </w:rPr>
      </w:pPr>
      <w:r>
        <w:rPr>
          <w:sz w:val="21"/>
        </w:rPr>
        <w:t>Human</w:t>
      </w:r>
      <w:r>
        <w:rPr>
          <w:spacing w:val="-19"/>
          <w:sz w:val="21"/>
        </w:rPr>
        <w:t> </w:t>
      </w:r>
      <w:r>
        <w:rPr>
          <w:spacing w:val="-2"/>
          <w:w w:val="105"/>
          <w:sz w:val="21"/>
        </w:rPr>
        <w:t>Diversity</w:t>
      </w:r>
    </w:p>
    <w:p>
      <w:pPr>
        <w:pStyle w:val="BodyText"/>
        <w:spacing w:before="8"/>
        <w:rPr>
          <w:sz w:val="21"/>
        </w:rPr>
      </w:pPr>
    </w:p>
    <w:p>
      <w:pPr>
        <w:spacing w:line="254" w:lineRule="auto" w:before="0"/>
        <w:ind w:left="1675" w:right="297" w:hanging="7"/>
        <w:jc w:val="both"/>
        <w:rPr>
          <w:i/>
          <w:sz w:val="19"/>
        </w:rPr>
      </w:pPr>
      <w:r>
        <w:rPr>
          <w:w w:val="105"/>
          <w:sz w:val="19"/>
        </w:rPr>
        <w:t>Understanding</w:t>
      </w:r>
      <w:r>
        <w:rPr>
          <w:spacing w:val="-8"/>
          <w:w w:val="105"/>
          <w:sz w:val="19"/>
        </w:rPr>
        <w:t> </w:t>
      </w:r>
      <w:r>
        <w:rPr>
          <w:w w:val="105"/>
          <w:sz w:val="19"/>
        </w:rPr>
        <w:t>of the</w:t>
      </w:r>
      <w:r>
        <w:rPr>
          <w:spacing w:val="-14"/>
          <w:w w:val="105"/>
          <w:sz w:val="19"/>
        </w:rPr>
        <w:t> </w:t>
      </w:r>
      <w:r>
        <w:rPr>
          <w:i/>
          <w:w w:val="105"/>
          <w:sz w:val="19"/>
        </w:rPr>
        <w:t>diverse</w:t>
      </w:r>
      <w:r>
        <w:rPr>
          <w:i/>
          <w:spacing w:val="-2"/>
          <w:w w:val="105"/>
          <w:sz w:val="19"/>
        </w:rPr>
        <w:t> </w:t>
      </w:r>
      <w:r>
        <w:rPr>
          <w:i/>
          <w:w w:val="105"/>
          <w:sz w:val="19"/>
        </w:rPr>
        <w:t>needs,</w:t>
      </w:r>
      <w:r>
        <w:rPr>
          <w:i/>
          <w:spacing w:val="-6"/>
          <w:w w:val="105"/>
          <w:sz w:val="19"/>
        </w:rPr>
        <w:t> </w:t>
      </w:r>
      <w:r>
        <w:rPr>
          <w:i/>
          <w:w w:val="105"/>
          <w:sz w:val="19"/>
        </w:rPr>
        <w:t>values, behavioral norms,</w:t>
      </w:r>
      <w:r>
        <w:rPr>
          <w:i/>
          <w:spacing w:val="-10"/>
          <w:w w:val="105"/>
          <w:sz w:val="19"/>
        </w:rPr>
        <w:t> </w:t>
      </w:r>
      <w:r>
        <w:rPr>
          <w:i/>
          <w:w w:val="105"/>
          <w:sz w:val="19"/>
        </w:rPr>
        <w:t>physical ability, and</w:t>
      </w:r>
      <w:r>
        <w:rPr>
          <w:i/>
          <w:spacing w:val="-11"/>
          <w:w w:val="105"/>
          <w:sz w:val="19"/>
        </w:rPr>
        <w:t> </w:t>
      </w:r>
      <w:r>
        <w:rPr>
          <w:i/>
          <w:w w:val="105"/>
          <w:sz w:val="19"/>
        </w:rPr>
        <w:t>social and</w:t>
      </w:r>
      <w:r>
        <w:rPr>
          <w:i/>
          <w:spacing w:val="-12"/>
          <w:w w:val="105"/>
          <w:sz w:val="19"/>
        </w:rPr>
        <w:t> </w:t>
      </w:r>
      <w:r>
        <w:rPr>
          <w:i/>
          <w:w w:val="105"/>
          <w:sz w:val="19"/>
        </w:rPr>
        <w:t>spatial</w:t>
      </w:r>
      <w:r>
        <w:rPr>
          <w:i/>
          <w:spacing w:val="-5"/>
          <w:w w:val="105"/>
          <w:sz w:val="19"/>
        </w:rPr>
        <w:t> </w:t>
      </w:r>
      <w:r>
        <w:rPr>
          <w:i/>
          <w:w w:val="105"/>
          <w:sz w:val="19"/>
        </w:rPr>
        <w:t>patterns that</w:t>
      </w:r>
      <w:r>
        <w:rPr>
          <w:i/>
          <w:spacing w:val="-14"/>
          <w:w w:val="105"/>
          <w:sz w:val="19"/>
        </w:rPr>
        <w:t> </w:t>
      </w:r>
      <w:r>
        <w:rPr>
          <w:i/>
          <w:w w:val="105"/>
          <w:sz w:val="19"/>
        </w:rPr>
        <w:t>characterize different cultures and individuals</w:t>
      </w:r>
      <w:r>
        <w:rPr>
          <w:i/>
          <w:spacing w:val="-2"/>
          <w:w w:val="105"/>
          <w:sz w:val="19"/>
        </w:rPr>
        <w:t> </w:t>
      </w:r>
      <w:r>
        <w:rPr>
          <w:i/>
          <w:w w:val="105"/>
          <w:sz w:val="19"/>
        </w:rPr>
        <w:t>and</w:t>
      </w:r>
      <w:r>
        <w:rPr>
          <w:i/>
          <w:spacing w:val="-4"/>
          <w:w w:val="105"/>
          <w:sz w:val="19"/>
        </w:rPr>
        <w:t> </w:t>
      </w:r>
      <w:r>
        <w:rPr>
          <w:i/>
          <w:w w:val="105"/>
          <w:sz w:val="19"/>
        </w:rPr>
        <w:t>the</w:t>
      </w:r>
      <w:r>
        <w:rPr>
          <w:i/>
          <w:spacing w:val="-14"/>
          <w:w w:val="105"/>
          <w:sz w:val="19"/>
        </w:rPr>
        <w:t> </w:t>
      </w:r>
      <w:r>
        <w:rPr>
          <w:i/>
          <w:w w:val="105"/>
          <w:sz w:val="19"/>
        </w:rPr>
        <w:t>implication </w:t>
      </w:r>
      <w:r>
        <w:rPr>
          <w:w w:val="105"/>
          <w:sz w:val="19"/>
        </w:rPr>
        <w:t>of</w:t>
      </w:r>
      <w:r>
        <w:rPr>
          <w:spacing w:val="-1"/>
          <w:w w:val="105"/>
          <w:sz w:val="19"/>
        </w:rPr>
        <w:t> </w:t>
      </w:r>
      <w:r>
        <w:rPr>
          <w:i/>
          <w:w w:val="105"/>
          <w:sz w:val="19"/>
        </w:rPr>
        <w:t>this diversity for the societal roles and responsibilities</w:t>
      </w:r>
      <w:r>
        <w:rPr>
          <w:i/>
          <w:spacing w:val="-3"/>
          <w:w w:val="105"/>
          <w:sz w:val="19"/>
        </w:rPr>
        <w:t> </w:t>
      </w:r>
      <w:r>
        <w:rPr>
          <w:i/>
          <w:w w:val="105"/>
          <w:sz w:val="19"/>
        </w:rPr>
        <w:t>of architects</w:t>
      </w:r>
    </w:p>
    <w:p>
      <w:pPr>
        <w:spacing w:after="0" w:line="254" w:lineRule="auto"/>
        <w:jc w:val="both"/>
        <w:rPr>
          <w:sz w:val="19"/>
        </w:rPr>
        <w:sectPr>
          <w:headerReference w:type="default" r:id="rId391"/>
          <w:footerReference w:type="default" r:id="rId392"/>
          <w:pgSz w:w="12180" w:h="15820"/>
          <w:pgMar w:header="570" w:footer="0" w:top="1260" w:bottom="280" w:left="1120" w:right="1180"/>
        </w:sectPr>
      </w:pPr>
    </w:p>
    <w:p>
      <w:pPr>
        <w:spacing w:before="8"/>
        <w:ind w:left="7422" w:right="0" w:firstLine="0"/>
        <w:jc w:val="left"/>
        <w:rPr>
          <w:sz w:val="19"/>
        </w:rPr>
      </w:pPr>
      <w:r>
        <w:rPr>
          <w:spacing w:val="-5"/>
          <w:w w:val="105"/>
          <w:sz w:val="19"/>
        </w:rPr>
        <w:t>Met</w:t>
      </w:r>
    </w:p>
    <w:p>
      <w:pPr>
        <w:spacing w:before="4"/>
        <w:ind w:left="7477" w:right="0" w:firstLine="0"/>
        <w:jc w:val="left"/>
        <w:rPr>
          <w:b/>
          <w:sz w:val="23"/>
        </w:rPr>
      </w:pPr>
      <w:r>
        <w:rPr>
          <w:b/>
          <w:spacing w:val="-5"/>
          <w:sz w:val="23"/>
        </w:rPr>
        <w:t>[X]</w:t>
      </w:r>
    </w:p>
    <w:p>
      <w:pPr>
        <w:spacing w:line="207" w:lineRule="exact" w:before="8"/>
        <w:ind w:left="460" w:right="848" w:firstLine="0"/>
        <w:jc w:val="center"/>
        <w:rPr>
          <w:sz w:val="19"/>
        </w:rPr>
      </w:pPr>
      <w:r>
        <w:rPr/>
        <w:br w:type="column"/>
      </w:r>
      <w:r>
        <w:rPr>
          <w:w w:val="105"/>
          <w:sz w:val="19"/>
        </w:rPr>
        <w:t>Not</w:t>
      </w:r>
      <w:r>
        <w:rPr>
          <w:spacing w:val="-3"/>
          <w:w w:val="105"/>
          <w:sz w:val="19"/>
        </w:rPr>
        <w:t> </w:t>
      </w:r>
      <w:r>
        <w:rPr>
          <w:spacing w:val="-5"/>
          <w:w w:val="110"/>
          <w:sz w:val="19"/>
        </w:rPr>
        <w:t>Met</w:t>
      </w:r>
    </w:p>
    <w:p>
      <w:pPr>
        <w:pStyle w:val="Heading3"/>
        <w:spacing w:line="357" w:lineRule="exact"/>
        <w:ind w:left="677" w:right="1061"/>
      </w:pPr>
      <w:r>
        <w:rPr>
          <w:w w:val="105"/>
        </w:rPr>
        <w:t>I</w:t>
      </w:r>
      <w:r>
        <w:rPr>
          <w:spacing w:val="14"/>
          <w:w w:val="105"/>
        </w:rPr>
        <w:t> </w:t>
      </w:r>
      <w:r>
        <w:rPr>
          <w:spacing w:val="-10"/>
          <w:w w:val="105"/>
        </w:rPr>
        <w:t>l</w:t>
      </w:r>
    </w:p>
    <w:p>
      <w:pPr>
        <w:spacing w:after="0" w:line="357" w:lineRule="exact"/>
        <w:sectPr>
          <w:type w:val="continuous"/>
          <w:pgSz w:w="12180" w:h="15820"/>
          <w:pgMar w:header="570" w:footer="0" w:top="1360" w:bottom="280" w:left="1120" w:right="1180"/>
          <w:cols w:num="2" w:equalWidth="0">
            <w:col w:w="7795" w:space="40"/>
            <w:col w:w="2045"/>
          </w:cols>
        </w:sectPr>
      </w:pPr>
    </w:p>
    <w:p>
      <w:pPr>
        <w:spacing w:line="249" w:lineRule="auto" w:before="168"/>
        <w:ind w:left="1660" w:right="311" w:firstLine="4"/>
        <w:jc w:val="left"/>
        <w:rPr>
          <w:sz w:val="19"/>
        </w:rPr>
      </w:pPr>
      <w:r>
        <w:rPr>
          <w:w w:val="105"/>
          <w:sz w:val="19"/>
        </w:rPr>
        <w:t>Coursework has</w:t>
      </w:r>
      <w:r>
        <w:rPr>
          <w:spacing w:val="-1"/>
          <w:w w:val="105"/>
          <w:sz w:val="19"/>
        </w:rPr>
        <w:t> </w:t>
      </w:r>
      <w:r>
        <w:rPr>
          <w:w w:val="105"/>
          <w:sz w:val="19"/>
        </w:rPr>
        <w:t>introduced students to the socio-cultural</w:t>
      </w:r>
      <w:r>
        <w:rPr>
          <w:spacing w:val="-12"/>
          <w:w w:val="105"/>
          <w:sz w:val="19"/>
        </w:rPr>
        <w:t> </w:t>
      </w:r>
      <w:r>
        <w:rPr>
          <w:w w:val="105"/>
          <w:sz w:val="19"/>
        </w:rPr>
        <w:t>differences of civilizations. Through travel and</w:t>
      </w:r>
      <w:r>
        <w:rPr>
          <w:spacing w:val="-20"/>
          <w:w w:val="105"/>
          <w:sz w:val="19"/>
        </w:rPr>
        <w:t> </w:t>
      </w:r>
      <w:r>
        <w:rPr>
          <w:w w:val="105"/>
          <w:sz w:val="19"/>
        </w:rPr>
        <w:t>research, students</w:t>
      </w:r>
      <w:r>
        <w:rPr>
          <w:spacing w:val="-8"/>
          <w:w w:val="105"/>
          <w:sz w:val="19"/>
        </w:rPr>
        <w:t> </w:t>
      </w:r>
      <w:r>
        <w:rPr>
          <w:w w:val="105"/>
          <w:sz w:val="19"/>
        </w:rPr>
        <w:t>have</w:t>
      </w:r>
      <w:r>
        <w:rPr>
          <w:spacing w:val="-5"/>
          <w:w w:val="105"/>
          <w:sz w:val="19"/>
        </w:rPr>
        <w:t> </w:t>
      </w:r>
      <w:r>
        <w:rPr>
          <w:w w:val="105"/>
          <w:sz w:val="19"/>
        </w:rPr>
        <w:t>developed an</w:t>
      </w:r>
      <w:r>
        <w:rPr>
          <w:spacing w:val="-11"/>
          <w:w w:val="105"/>
          <w:sz w:val="19"/>
        </w:rPr>
        <w:t> </w:t>
      </w:r>
      <w:r>
        <w:rPr>
          <w:w w:val="105"/>
          <w:sz w:val="19"/>
        </w:rPr>
        <w:t>understanding of the</w:t>
      </w:r>
      <w:r>
        <w:rPr>
          <w:spacing w:val="-15"/>
          <w:w w:val="105"/>
          <w:sz w:val="19"/>
        </w:rPr>
        <w:t> </w:t>
      </w:r>
      <w:r>
        <w:rPr>
          <w:w w:val="105"/>
          <w:sz w:val="19"/>
        </w:rPr>
        <w:t>history of architecture,</w:t>
      </w:r>
      <w:r>
        <w:rPr>
          <w:spacing w:val="40"/>
          <w:w w:val="105"/>
          <w:sz w:val="19"/>
        </w:rPr>
        <w:t> </w:t>
      </w:r>
      <w:r>
        <w:rPr>
          <w:w w:val="105"/>
          <w:sz w:val="19"/>
        </w:rPr>
        <w:t>and people and works that shape the profession.</w:t>
      </w:r>
    </w:p>
    <w:p>
      <w:pPr>
        <w:pStyle w:val="BodyText"/>
      </w:pPr>
    </w:p>
    <w:p>
      <w:pPr>
        <w:pStyle w:val="BodyText"/>
        <w:spacing w:before="8"/>
        <w:rPr>
          <w:sz w:val="18"/>
        </w:rPr>
      </w:pPr>
    </w:p>
    <w:p>
      <w:pPr>
        <w:pStyle w:val="ListParagraph"/>
        <w:numPr>
          <w:ilvl w:val="2"/>
          <w:numId w:val="75"/>
        </w:numPr>
        <w:tabs>
          <w:tab w:pos="1665" w:val="left" w:leader="none"/>
          <w:tab w:pos="1666" w:val="left" w:leader="none"/>
        </w:tabs>
        <w:spacing w:line="240" w:lineRule="auto" w:before="0" w:after="0"/>
        <w:ind w:left="1665" w:right="0" w:hanging="728"/>
        <w:jc w:val="left"/>
        <w:rPr>
          <w:sz w:val="21"/>
        </w:rPr>
      </w:pPr>
      <w:r>
        <w:rPr>
          <w:spacing w:val="-2"/>
          <w:w w:val="105"/>
          <w:sz w:val="21"/>
        </w:rPr>
        <w:t>Accessibility</w:t>
      </w:r>
    </w:p>
    <w:p>
      <w:pPr>
        <w:pStyle w:val="BodyText"/>
        <w:spacing w:before="10"/>
      </w:pPr>
    </w:p>
    <w:p>
      <w:pPr>
        <w:spacing w:line="242" w:lineRule="auto" w:before="0"/>
        <w:ind w:left="1656" w:right="0" w:firstLine="8"/>
        <w:jc w:val="left"/>
        <w:rPr>
          <w:i/>
          <w:sz w:val="19"/>
        </w:rPr>
      </w:pPr>
      <w:r>
        <w:rPr>
          <w:w w:val="105"/>
          <w:sz w:val="19"/>
        </w:rPr>
        <w:t>Ability to</w:t>
      </w:r>
      <w:r>
        <w:rPr>
          <w:spacing w:val="-13"/>
          <w:w w:val="105"/>
          <w:sz w:val="19"/>
        </w:rPr>
        <w:t> </w:t>
      </w:r>
      <w:r>
        <w:rPr>
          <w:i/>
          <w:w w:val="105"/>
          <w:sz w:val="19"/>
        </w:rPr>
        <w:t>design both</w:t>
      </w:r>
      <w:r>
        <w:rPr>
          <w:i/>
          <w:spacing w:val="-15"/>
          <w:w w:val="105"/>
          <w:sz w:val="19"/>
        </w:rPr>
        <w:t> </w:t>
      </w:r>
      <w:r>
        <w:rPr>
          <w:w w:val="105"/>
          <w:sz w:val="19"/>
        </w:rPr>
        <w:t>site</w:t>
      </w:r>
      <w:r>
        <w:rPr>
          <w:spacing w:val="-12"/>
          <w:w w:val="105"/>
          <w:sz w:val="19"/>
        </w:rPr>
        <w:t> </w:t>
      </w:r>
      <w:r>
        <w:rPr>
          <w:i/>
          <w:w w:val="105"/>
          <w:sz w:val="19"/>
        </w:rPr>
        <w:t>and</w:t>
      </w:r>
      <w:r>
        <w:rPr>
          <w:i/>
          <w:spacing w:val="-9"/>
          <w:w w:val="105"/>
          <w:sz w:val="19"/>
        </w:rPr>
        <w:t> </w:t>
      </w:r>
      <w:r>
        <w:rPr>
          <w:i/>
          <w:w w:val="105"/>
          <w:sz w:val="19"/>
        </w:rPr>
        <w:t>building to accommodate</w:t>
      </w:r>
      <w:r>
        <w:rPr>
          <w:i/>
          <w:spacing w:val="-1"/>
          <w:w w:val="105"/>
          <w:sz w:val="19"/>
        </w:rPr>
        <w:t> </w:t>
      </w:r>
      <w:r>
        <w:rPr>
          <w:i/>
          <w:w w:val="105"/>
          <w:sz w:val="19"/>
        </w:rPr>
        <w:t>individuals with</w:t>
      </w:r>
      <w:r>
        <w:rPr>
          <w:i/>
          <w:spacing w:val="-4"/>
          <w:w w:val="105"/>
          <w:sz w:val="19"/>
        </w:rPr>
        <w:t> </w:t>
      </w:r>
      <w:r>
        <w:rPr>
          <w:i/>
          <w:w w:val="105"/>
          <w:sz w:val="19"/>
        </w:rPr>
        <w:t>varying</w:t>
      </w:r>
      <w:r>
        <w:rPr>
          <w:i/>
          <w:spacing w:val="-1"/>
          <w:w w:val="105"/>
          <w:sz w:val="19"/>
        </w:rPr>
        <w:t> </w:t>
      </w:r>
      <w:r>
        <w:rPr>
          <w:i/>
          <w:w w:val="105"/>
          <w:sz w:val="19"/>
        </w:rPr>
        <w:t>physical </w:t>
      </w:r>
      <w:r>
        <w:rPr>
          <w:i/>
          <w:spacing w:val="-2"/>
          <w:w w:val="105"/>
          <w:sz w:val="19"/>
        </w:rPr>
        <w:t>abilities</w:t>
      </w:r>
    </w:p>
    <w:p>
      <w:pPr>
        <w:tabs>
          <w:tab w:pos="8299" w:val="left" w:leader="none"/>
        </w:tabs>
        <w:spacing w:line="197" w:lineRule="exact" w:before="30"/>
        <w:ind w:left="7412" w:right="0" w:firstLine="0"/>
        <w:jc w:val="left"/>
        <w:rPr>
          <w:sz w:val="19"/>
        </w:rPr>
      </w:pPr>
      <w:r>
        <w:rPr>
          <w:spacing w:val="-5"/>
          <w:w w:val="110"/>
          <w:sz w:val="19"/>
        </w:rPr>
        <w:t>Met</w:t>
      </w:r>
      <w:r>
        <w:rPr>
          <w:sz w:val="19"/>
        </w:rPr>
        <w:tab/>
      </w:r>
      <w:r>
        <w:rPr>
          <w:w w:val="105"/>
          <w:sz w:val="19"/>
        </w:rPr>
        <w:t>Not</w:t>
      </w:r>
      <w:r>
        <w:rPr>
          <w:spacing w:val="-3"/>
          <w:w w:val="105"/>
          <w:sz w:val="19"/>
        </w:rPr>
        <w:t> </w:t>
      </w:r>
      <w:r>
        <w:rPr>
          <w:spacing w:val="-5"/>
          <w:w w:val="110"/>
          <w:sz w:val="19"/>
        </w:rPr>
        <w:t>Met</w:t>
      </w:r>
    </w:p>
    <w:p>
      <w:pPr>
        <w:tabs>
          <w:tab w:pos="8528" w:val="left" w:leader="none"/>
        </w:tabs>
        <w:spacing w:line="324" w:lineRule="exact" w:before="0"/>
        <w:ind w:left="7466" w:right="0" w:firstLine="0"/>
        <w:jc w:val="left"/>
        <w:rPr>
          <w:sz w:val="24"/>
        </w:rPr>
      </w:pPr>
      <w:r>
        <w:rPr>
          <w:w w:val="110"/>
          <w:sz w:val="30"/>
        </w:rPr>
        <w:t>I</w:t>
      </w:r>
      <w:r>
        <w:rPr>
          <w:spacing w:val="17"/>
          <w:w w:val="110"/>
          <w:sz w:val="30"/>
        </w:rPr>
        <w:t> </w:t>
      </w:r>
      <w:r>
        <w:rPr>
          <w:spacing w:val="-10"/>
          <w:w w:val="110"/>
          <w:sz w:val="30"/>
        </w:rPr>
        <w:t>l</w:t>
      </w:r>
      <w:r>
        <w:rPr>
          <w:sz w:val="30"/>
        </w:rPr>
        <w:tab/>
      </w:r>
      <w:r>
        <w:rPr>
          <w:spacing w:val="-5"/>
          <w:w w:val="110"/>
          <w:sz w:val="24"/>
        </w:rPr>
        <w:t>[X]</w:t>
      </w:r>
    </w:p>
    <w:p>
      <w:pPr>
        <w:spacing w:line="254" w:lineRule="auto" w:before="202"/>
        <w:ind w:left="1648" w:right="311" w:firstLine="11"/>
        <w:jc w:val="left"/>
        <w:rPr>
          <w:sz w:val="19"/>
        </w:rPr>
      </w:pPr>
      <w:r>
        <w:rPr>
          <w:w w:val="105"/>
          <w:sz w:val="19"/>
        </w:rPr>
        <w:t>Understanding and</w:t>
      </w:r>
      <w:r>
        <w:rPr>
          <w:spacing w:val="-5"/>
          <w:w w:val="105"/>
          <w:sz w:val="19"/>
        </w:rPr>
        <w:t> </w:t>
      </w:r>
      <w:r>
        <w:rPr>
          <w:w w:val="105"/>
          <w:sz w:val="19"/>
        </w:rPr>
        <w:t>application of universal design parameters associated with the Americans</w:t>
      </w:r>
      <w:r>
        <w:rPr>
          <w:spacing w:val="-1"/>
          <w:w w:val="105"/>
          <w:sz w:val="19"/>
        </w:rPr>
        <w:t> </w:t>
      </w:r>
      <w:r>
        <w:rPr>
          <w:w w:val="105"/>
          <w:sz w:val="19"/>
        </w:rPr>
        <w:t>with</w:t>
      </w:r>
      <w:r>
        <w:rPr>
          <w:spacing w:val="-14"/>
          <w:w w:val="105"/>
          <w:sz w:val="19"/>
        </w:rPr>
        <w:t> </w:t>
      </w:r>
      <w:r>
        <w:rPr>
          <w:w w:val="105"/>
          <w:sz w:val="19"/>
        </w:rPr>
        <w:t>Disabilities legislation</w:t>
      </w:r>
      <w:r>
        <w:rPr>
          <w:spacing w:val="-4"/>
          <w:w w:val="105"/>
          <w:sz w:val="19"/>
        </w:rPr>
        <w:t> </w:t>
      </w:r>
      <w:r>
        <w:rPr>
          <w:w w:val="105"/>
          <w:sz w:val="19"/>
        </w:rPr>
        <w:t>including additional requirements imposed</w:t>
      </w:r>
      <w:r>
        <w:rPr>
          <w:spacing w:val="-4"/>
          <w:w w:val="105"/>
          <w:sz w:val="19"/>
        </w:rPr>
        <w:t> </w:t>
      </w:r>
      <w:r>
        <w:rPr>
          <w:w w:val="105"/>
          <w:sz w:val="19"/>
        </w:rPr>
        <w:t>by</w:t>
      </w:r>
      <w:r>
        <w:rPr>
          <w:spacing w:val="-4"/>
          <w:w w:val="105"/>
          <w:sz w:val="19"/>
        </w:rPr>
        <w:t> </w:t>
      </w:r>
      <w:r>
        <w:rPr>
          <w:w w:val="105"/>
          <w:sz w:val="19"/>
        </w:rPr>
        <w:t>state and</w:t>
      </w:r>
      <w:r>
        <w:rPr>
          <w:spacing w:val="-4"/>
          <w:w w:val="105"/>
          <w:sz w:val="19"/>
        </w:rPr>
        <w:t> </w:t>
      </w:r>
      <w:r>
        <w:rPr>
          <w:w w:val="105"/>
          <w:sz w:val="19"/>
        </w:rPr>
        <w:t>local</w:t>
      </w:r>
      <w:r>
        <w:rPr>
          <w:spacing w:val="-11"/>
          <w:w w:val="105"/>
          <w:sz w:val="19"/>
        </w:rPr>
        <w:t> </w:t>
      </w:r>
      <w:r>
        <w:rPr>
          <w:w w:val="105"/>
          <w:sz w:val="19"/>
        </w:rPr>
        <w:t>jurisdictions is an integral</w:t>
      </w:r>
      <w:r>
        <w:rPr>
          <w:spacing w:val="-11"/>
          <w:w w:val="105"/>
          <w:sz w:val="19"/>
        </w:rPr>
        <w:t> </w:t>
      </w:r>
      <w:r>
        <w:rPr>
          <w:w w:val="105"/>
          <w:sz w:val="19"/>
        </w:rPr>
        <w:t>part</w:t>
      </w:r>
      <w:r>
        <w:rPr>
          <w:spacing w:val="-4"/>
          <w:w w:val="105"/>
          <w:sz w:val="19"/>
        </w:rPr>
        <w:t> </w:t>
      </w:r>
      <w:r>
        <w:rPr>
          <w:w w:val="105"/>
          <w:sz w:val="19"/>
        </w:rPr>
        <w:t>of contemporary design, licensure, and</w:t>
      </w:r>
      <w:r>
        <w:rPr>
          <w:spacing w:val="-5"/>
          <w:w w:val="105"/>
          <w:sz w:val="19"/>
        </w:rPr>
        <w:t> </w:t>
      </w:r>
      <w:r>
        <w:rPr>
          <w:w w:val="105"/>
          <w:sz w:val="19"/>
        </w:rPr>
        <w:t>practice. This</w:t>
      </w:r>
      <w:r>
        <w:rPr>
          <w:spacing w:val="-4"/>
          <w:w w:val="105"/>
          <w:sz w:val="19"/>
        </w:rPr>
        <w:t> </w:t>
      </w:r>
      <w:r>
        <w:rPr>
          <w:w w:val="105"/>
          <w:sz w:val="19"/>
        </w:rPr>
        <w:t>ability was not</w:t>
      </w:r>
      <w:r>
        <w:rPr>
          <w:spacing w:val="-20"/>
          <w:w w:val="105"/>
          <w:sz w:val="19"/>
        </w:rPr>
        <w:t> </w:t>
      </w:r>
      <w:r>
        <w:rPr>
          <w:w w:val="105"/>
          <w:sz w:val="19"/>
        </w:rPr>
        <w:t>consistently</w:t>
      </w:r>
      <w:r>
        <w:rPr>
          <w:spacing w:val="22"/>
          <w:w w:val="105"/>
          <w:sz w:val="19"/>
        </w:rPr>
        <w:t> </w:t>
      </w:r>
      <w:r>
        <w:rPr>
          <w:w w:val="105"/>
          <w:sz w:val="19"/>
        </w:rPr>
        <w:t>seen in</w:t>
      </w:r>
      <w:r>
        <w:rPr>
          <w:spacing w:val="-1"/>
          <w:w w:val="105"/>
          <w:sz w:val="19"/>
        </w:rPr>
        <w:t> </w:t>
      </w:r>
      <w:r>
        <w:rPr>
          <w:w w:val="105"/>
          <w:sz w:val="19"/>
        </w:rPr>
        <w:t>the</w:t>
      </w:r>
      <w:r>
        <w:rPr>
          <w:spacing w:val="-5"/>
          <w:w w:val="105"/>
          <w:sz w:val="19"/>
        </w:rPr>
        <w:t> </w:t>
      </w:r>
      <w:r>
        <w:rPr>
          <w:w w:val="105"/>
          <w:sz w:val="19"/>
        </w:rPr>
        <w:t>studio work.</w:t>
      </w:r>
      <w:r>
        <w:rPr>
          <w:spacing w:val="40"/>
          <w:w w:val="105"/>
          <w:sz w:val="19"/>
        </w:rPr>
        <w:t> </w:t>
      </w:r>
      <w:r>
        <w:rPr>
          <w:w w:val="105"/>
          <w:sz w:val="19"/>
        </w:rPr>
        <w:t>This</w:t>
      </w:r>
      <w:r>
        <w:rPr>
          <w:spacing w:val="-5"/>
          <w:w w:val="105"/>
          <w:sz w:val="19"/>
        </w:rPr>
        <w:t> </w:t>
      </w:r>
      <w:r>
        <w:rPr>
          <w:w w:val="105"/>
          <w:sz w:val="19"/>
        </w:rPr>
        <w:t>criterion</w:t>
      </w:r>
      <w:r>
        <w:rPr>
          <w:spacing w:val="-1"/>
          <w:w w:val="105"/>
          <w:sz w:val="19"/>
        </w:rPr>
        <w:t> </w:t>
      </w:r>
      <w:r>
        <w:rPr>
          <w:w w:val="105"/>
          <w:sz w:val="19"/>
        </w:rPr>
        <w:t>has not</w:t>
      </w:r>
      <w:r>
        <w:rPr>
          <w:spacing w:val="-5"/>
          <w:w w:val="105"/>
          <w:sz w:val="19"/>
        </w:rPr>
        <w:t> </w:t>
      </w:r>
      <w:r>
        <w:rPr>
          <w:w w:val="105"/>
          <w:sz w:val="19"/>
        </w:rPr>
        <w:t>been</w:t>
      </w:r>
      <w:r>
        <w:rPr>
          <w:spacing w:val="-6"/>
          <w:w w:val="105"/>
          <w:sz w:val="19"/>
        </w:rPr>
        <w:t> </w:t>
      </w:r>
      <w:r>
        <w:rPr>
          <w:w w:val="105"/>
          <w:sz w:val="19"/>
        </w:rPr>
        <w:t>met.</w:t>
      </w:r>
    </w:p>
    <w:p>
      <w:pPr>
        <w:pStyle w:val="BodyText"/>
      </w:pPr>
    </w:p>
    <w:p>
      <w:pPr>
        <w:pStyle w:val="BodyText"/>
        <w:spacing w:before="8"/>
        <w:rPr>
          <w:sz w:val="16"/>
        </w:rPr>
      </w:pPr>
    </w:p>
    <w:p>
      <w:pPr>
        <w:pStyle w:val="ListParagraph"/>
        <w:numPr>
          <w:ilvl w:val="2"/>
          <w:numId w:val="75"/>
        </w:numPr>
        <w:tabs>
          <w:tab w:pos="1655" w:val="left" w:leader="none"/>
          <w:tab w:pos="1656" w:val="left" w:leader="none"/>
        </w:tabs>
        <w:spacing w:line="240" w:lineRule="auto" w:before="0" w:after="0"/>
        <w:ind w:left="1655" w:right="0" w:hanging="728"/>
        <w:jc w:val="left"/>
        <w:rPr>
          <w:sz w:val="21"/>
        </w:rPr>
      </w:pPr>
      <w:r>
        <w:rPr>
          <w:sz w:val="21"/>
        </w:rPr>
        <w:t>Sustainable</w:t>
      </w:r>
      <w:r>
        <w:rPr>
          <w:spacing w:val="7"/>
          <w:sz w:val="21"/>
        </w:rPr>
        <w:t> </w:t>
      </w:r>
      <w:r>
        <w:rPr>
          <w:spacing w:val="-2"/>
          <w:sz w:val="21"/>
        </w:rPr>
        <w:t>Design</w:t>
      </w:r>
    </w:p>
    <w:p>
      <w:pPr>
        <w:pStyle w:val="BodyText"/>
        <w:spacing w:before="7"/>
        <w:rPr>
          <w:sz w:val="21"/>
        </w:rPr>
      </w:pPr>
    </w:p>
    <w:p>
      <w:pPr>
        <w:spacing w:line="254" w:lineRule="auto" w:before="0"/>
        <w:ind w:left="1645" w:right="373" w:firstLine="4"/>
        <w:jc w:val="left"/>
        <w:rPr>
          <w:i/>
          <w:sz w:val="19"/>
        </w:rPr>
      </w:pPr>
      <w:r>
        <w:rPr>
          <w:w w:val="105"/>
          <w:sz w:val="19"/>
        </w:rPr>
        <w:t>Understanding of</w:t>
      </w:r>
      <w:r>
        <w:rPr>
          <w:spacing w:val="-9"/>
          <w:w w:val="105"/>
          <w:sz w:val="19"/>
        </w:rPr>
        <w:t> </w:t>
      </w:r>
      <w:r>
        <w:rPr>
          <w:i/>
          <w:w w:val="105"/>
          <w:sz w:val="19"/>
        </w:rPr>
        <w:t>the</w:t>
      </w:r>
      <w:r>
        <w:rPr>
          <w:i/>
          <w:spacing w:val="-17"/>
          <w:w w:val="105"/>
          <w:sz w:val="19"/>
        </w:rPr>
        <w:t> </w:t>
      </w:r>
      <w:r>
        <w:rPr>
          <w:i/>
          <w:w w:val="105"/>
          <w:sz w:val="19"/>
        </w:rPr>
        <w:t>principles of</w:t>
      </w:r>
      <w:r>
        <w:rPr>
          <w:i/>
          <w:spacing w:val="-6"/>
          <w:w w:val="105"/>
          <w:sz w:val="19"/>
        </w:rPr>
        <w:t> </w:t>
      </w:r>
      <w:r>
        <w:rPr>
          <w:i/>
          <w:w w:val="105"/>
          <w:sz w:val="19"/>
        </w:rPr>
        <w:t>sustainability in</w:t>
      </w:r>
      <w:r>
        <w:rPr>
          <w:i/>
          <w:spacing w:val="-8"/>
          <w:w w:val="105"/>
          <w:sz w:val="19"/>
        </w:rPr>
        <w:t> </w:t>
      </w:r>
      <w:r>
        <w:rPr>
          <w:i/>
          <w:w w:val="105"/>
          <w:sz w:val="19"/>
        </w:rPr>
        <w:t>making</w:t>
      </w:r>
      <w:r>
        <w:rPr>
          <w:i/>
          <w:spacing w:val="-4"/>
          <w:w w:val="105"/>
          <w:sz w:val="19"/>
        </w:rPr>
        <w:t> </w:t>
      </w:r>
      <w:r>
        <w:rPr>
          <w:i/>
          <w:w w:val="105"/>
          <w:sz w:val="19"/>
        </w:rPr>
        <w:t>architecture and</w:t>
      </w:r>
      <w:r>
        <w:rPr>
          <w:i/>
          <w:spacing w:val="-5"/>
          <w:w w:val="105"/>
          <w:sz w:val="19"/>
        </w:rPr>
        <w:t> </w:t>
      </w:r>
      <w:r>
        <w:rPr>
          <w:i/>
          <w:w w:val="105"/>
          <w:sz w:val="19"/>
        </w:rPr>
        <w:t>urban</w:t>
      </w:r>
      <w:r>
        <w:rPr>
          <w:i/>
          <w:spacing w:val="-3"/>
          <w:w w:val="105"/>
          <w:sz w:val="19"/>
        </w:rPr>
        <w:t> </w:t>
      </w:r>
      <w:r>
        <w:rPr>
          <w:i/>
          <w:w w:val="105"/>
          <w:sz w:val="19"/>
        </w:rPr>
        <w:t>design decisions that conseNe natural and built resources, including cuftura/fy important buildings and sites, and in the creation of healthful buildings and communities</w:t>
      </w:r>
    </w:p>
    <w:p>
      <w:pPr>
        <w:pStyle w:val="BodyText"/>
        <w:spacing w:before="9"/>
        <w:rPr>
          <w:i/>
        </w:rPr>
      </w:pPr>
    </w:p>
    <w:p>
      <w:pPr>
        <w:tabs>
          <w:tab w:pos="8299" w:val="left" w:leader="none"/>
        </w:tabs>
        <w:spacing w:line="193" w:lineRule="exact" w:before="1"/>
        <w:ind w:left="7412" w:right="0" w:firstLine="0"/>
        <w:jc w:val="left"/>
        <w:rPr>
          <w:sz w:val="19"/>
        </w:rPr>
      </w:pPr>
      <w:r>
        <w:rPr>
          <w:spacing w:val="-5"/>
          <w:w w:val="110"/>
          <w:sz w:val="19"/>
        </w:rPr>
        <w:t>Met</w:t>
      </w:r>
      <w:r>
        <w:rPr>
          <w:sz w:val="19"/>
        </w:rPr>
        <w:tab/>
      </w:r>
      <w:r>
        <w:rPr>
          <w:w w:val="105"/>
          <w:sz w:val="19"/>
        </w:rPr>
        <w:t>Not</w:t>
      </w:r>
      <w:r>
        <w:rPr>
          <w:spacing w:val="-3"/>
          <w:w w:val="105"/>
          <w:sz w:val="19"/>
        </w:rPr>
        <w:t> </w:t>
      </w:r>
      <w:r>
        <w:rPr>
          <w:spacing w:val="-5"/>
          <w:w w:val="110"/>
          <w:sz w:val="19"/>
        </w:rPr>
        <w:t>Met</w:t>
      </w:r>
    </w:p>
    <w:p>
      <w:pPr>
        <w:tabs>
          <w:tab w:pos="8514" w:val="left" w:leader="none"/>
        </w:tabs>
        <w:spacing w:line="342" w:lineRule="exact" w:before="0"/>
        <w:ind w:left="7478" w:right="0" w:firstLine="0"/>
        <w:jc w:val="left"/>
        <w:rPr>
          <w:sz w:val="32"/>
        </w:rPr>
      </w:pPr>
      <w:r>
        <w:rPr>
          <w:spacing w:val="-5"/>
          <w:w w:val="95"/>
          <w:sz w:val="24"/>
        </w:rPr>
        <w:t>[XJ</w:t>
      </w:r>
      <w:r>
        <w:rPr>
          <w:sz w:val="24"/>
        </w:rPr>
        <w:tab/>
      </w:r>
      <w:r>
        <w:rPr>
          <w:w w:val="95"/>
          <w:sz w:val="32"/>
        </w:rPr>
        <w:t>I</w:t>
      </w:r>
      <w:r>
        <w:rPr>
          <w:spacing w:val="36"/>
          <w:sz w:val="32"/>
        </w:rPr>
        <w:t> </w:t>
      </w:r>
      <w:r>
        <w:rPr>
          <w:spacing w:val="-10"/>
          <w:w w:val="95"/>
          <w:sz w:val="32"/>
        </w:rPr>
        <w:t>l</w:t>
      </w:r>
    </w:p>
    <w:p>
      <w:pPr>
        <w:spacing w:line="252" w:lineRule="auto" w:before="187"/>
        <w:ind w:left="1649" w:right="475" w:firstLine="1"/>
        <w:jc w:val="left"/>
        <w:rPr>
          <w:sz w:val="19"/>
        </w:rPr>
      </w:pPr>
      <w:r>
        <w:rPr>
          <w:w w:val="105"/>
          <w:sz w:val="19"/>
        </w:rPr>
        <w:t>This</w:t>
      </w:r>
      <w:r>
        <w:rPr>
          <w:spacing w:val="-3"/>
          <w:w w:val="105"/>
          <w:sz w:val="19"/>
        </w:rPr>
        <w:t> </w:t>
      </w:r>
      <w:r>
        <w:rPr>
          <w:w w:val="105"/>
          <w:sz w:val="19"/>
        </w:rPr>
        <w:t>area</w:t>
      </w:r>
      <w:r>
        <w:rPr>
          <w:spacing w:val="-3"/>
          <w:w w:val="105"/>
          <w:sz w:val="19"/>
        </w:rPr>
        <w:t> </w:t>
      </w:r>
      <w:r>
        <w:rPr>
          <w:w w:val="105"/>
          <w:sz w:val="19"/>
        </w:rPr>
        <w:t>of study</w:t>
      </w:r>
      <w:r>
        <w:rPr>
          <w:spacing w:val="-3"/>
          <w:w w:val="105"/>
          <w:sz w:val="19"/>
        </w:rPr>
        <w:t> </w:t>
      </w:r>
      <w:r>
        <w:rPr>
          <w:w w:val="105"/>
          <w:sz w:val="19"/>
        </w:rPr>
        <w:t>holds a</w:t>
      </w:r>
      <w:r>
        <w:rPr>
          <w:spacing w:val="-2"/>
          <w:w w:val="105"/>
          <w:sz w:val="19"/>
        </w:rPr>
        <w:t> </w:t>
      </w:r>
      <w:r>
        <w:rPr>
          <w:w w:val="105"/>
          <w:sz w:val="19"/>
        </w:rPr>
        <w:t>critical</w:t>
      </w:r>
      <w:r>
        <w:rPr>
          <w:spacing w:val="-5"/>
          <w:w w:val="105"/>
          <w:sz w:val="19"/>
        </w:rPr>
        <w:t> </w:t>
      </w:r>
      <w:r>
        <w:rPr>
          <w:w w:val="105"/>
          <w:sz w:val="19"/>
        </w:rPr>
        <w:t>place</w:t>
      </w:r>
      <w:r>
        <w:rPr>
          <w:spacing w:val="-5"/>
          <w:w w:val="105"/>
          <w:sz w:val="19"/>
        </w:rPr>
        <w:t> </w:t>
      </w:r>
      <w:r>
        <w:rPr>
          <w:w w:val="105"/>
          <w:sz w:val="19"/>
        </w:rPr>
        <w:t>in the</w:t>
      </w:r>
      <w:r>
        <w:rPr>
          <w:spacing w:val="-4"/>
          <w:w w:val="105"/>
          <w:sz w:val="19"/>
        </w:rPr>
        <w:t> </w:t>
      </w:r>
      <w:r>
        <w:rPr>
          <w:w w:val="105"/>
          <w:sz w:val="19"/>
        </w:rPr>
        <w:t>department's curriculum and</w:t>
      </w:r>
      <w:r>
        <w:rPr>
          <w:spacing w:val="-9"/>
          <w:w w:val="105"/>
          <w:sz w:val="19"/>
        </w:rPr>
        <w:t> </w:t>
      </w:r>
      <w:r>
        <w:rPr>
          <w:w w:val="105"/>
          <w:sz w:val="19"/>
        </w:rPr>
        <w:t>should be seen</w:t>
      </w:r>
      <w:r>
        <w:rPr>
          <w:spacing w:val="-10"/>
          <w:w w:val="105"/>
          <w:sz w:val="19"/>
        </w:rPr>
        <w:t> </w:t>
      </w:r>
      <w:r>
        <w:rPr>
          <w:w w:val="105"/>
          <w:sz w:val="19"/>
        </w:rPr>
        <w:t>through</w:t>
      </w:r>
      <w:r>
        <w:rPr>
          <w:spacing w:val="-2"/>
          <w:w w:val="105"/>
          <w:sz w:val="19"/>
        </w:rPr>
        <w:t> </w:t>
      </w:r>
      <w:r>
        <w:rPr>
          <w:w w:val="105"/>
          <w:sz w:val="19"/>
        </w:rPr>
        <w:t>the student's work at all levels of</w:t>
      </w:r>
      <w:r>
        <w:rPr>
          <w:spacing w:val="-5"/>
          <w:w w:val="105"/>
          <w:sz w:val="19"/>
        </w:rPr>
        <w:t> </w:t>
      </w:r>
      <w:r>
        <w:rPr>
          <w:w w:val="105"/>
          <w:sz w:val="19"/>
        </w:rPr>
        <w:t>achievement. There</w:t>
      </w:r>
      <w:r>
        <w:rPr>
          <w:spacing w:val="-9"/>
          <w:w w:val="105"/>
          <w:sz w:val="19"/>
        </w:rPr>
        <w:t> </w:t>
      </w:r>
      <w:r>
        <w:rPr>
          <w:w w:val="105"/>
          <w:sz w:val="19"/>
        </w:rPr>
        <w:t>is</w:t>
      </w:r>
      <w:r>
        <w:rPr>
          <w:spacing w:val="-5"/>
          <w:w w:val="105"/>
          <w:sz w:val="19"/>
        </w:rPr>
        <w:t> </w:t>
      </w:r>
      <w:r>
        <w:rPr>
          <w:w w:val="105"/>
          <w:sz w:val="19"/>
        </w:rPr>
        <w:t>evidence</w:t>
      </w:r>
      <w:r>
        <w:rPr>
          <w:spacing w:val="-5"/>
          <w:w w:val="105"/>
          <w:sz w:val="19"/>
        </w:rPr>
        <w:t> </w:t>
      </w:r>
      <w:r>
        <w:rPr>
          <w:w w:val="105"/>
          <w:sz w:val="19"/>
        </w:rPr>
        <w:t>basic principles of sustainable design theory are being taught appropriately by faculty and understood by the students through courses like ARC 200 Architectural Ecology, Environmental Systems ARC 315 to various thesis level</w:t>
      </w:r>
      <w:r>
        <w:rPr>
          <w:spacing w:val="-6"/>
          <w:w w:val="105"/>
          <w:sz w:val="19"/>
        </w:rPr>
        <w:t> </w:t>
      </w:r>
      <w:r>
        <w:rPr>
          <w:w w:val="105"/>
          <w:sz w:val="19"/>
        </w:rPr>
        <w:t>assignments.</w:t>
      </w:r>
    </w:p>
    <w:p>
      <w:pPr>
        <w:pStyle w:val="BodyText"/>
      </w:pPr>
    </w:p>
    <w:p>
      <w:pPr>
        <w:pStyle w:val="BodyText"/>
      </w:pPr>
    </w:p>
    <w:p>
      <w:pPr>
        <w:pStyle w:val="BodyText"/>
      </w:pPr>
    </w:p>
    <w:p>
      <w:pPr>
        <w:pStyle w:val="BodyText"/>
        <w:spacing w:before="7"/>
        <w:rPr>
          <w:sz w:val="18"/>
        </w:rPr>
      </w:pPr>
      <w:r>
        <w:rPr/>
        <w:pict>
          <v:shape style="position:absolute;margin-left:65.524673pt;margin-top:11.899121pt;width:451.45pt;height:.1pt;mso-position-horizontal-relative:page;mso-position-vertical-relative:paragraph;z-index:-15698432;mso-wrap-distance-left:0;mso-wrap-distance-right:0" id="docshape650" coordorigin="1310,238" coordsize="9029,0" path="m1310,238l10339,238e" filled="false" stroked="true" strokeweight=".481434pt" strokecolor="#000000">
            <v:path arrowok="t"/>
            <v:stroke dashstyle="solid"/>
            <w10:wrap type="topAndBottom"/>
          </v:shape>
        </w:pict>
      </w:r>
    </w:p>
    <w:p>
      <w:pPr>
        <w:spacing w:line="199" w:lineRule="exact" w:before="0"/>
        <w:ind w:left="208" w:right="0" w:firstLine="0"/>
        <w:jc w:val="left"/>
        <w:rPr>
          <w:sz w:val="19"/>
        </w:rPr>
      </w:pPr>
      <w:r>
        <w:rPr>
          <w:spacing w:val="-5"/>
          <w:w w:val="105"/>
          <w:sz w:val="19"/>
        </w:rPr>
        <w:t>16</w:t>
      </w:r>
    </w:p>
    <w:p>
      <w:pPr>
        <w:spacing w:after="0" w:line="199" w:lineRule="exact"/>
        <w:jc w:val="left"/>
        <w:rPr>
          <w:sz w:val="19"/>
        </w:rPr>
        <w:sectPr>
          <w:type w:val="continuous"/>
          <w:pgSz w:w="12180" w:h="15820"/>
          <w:pgMar w:header="570" w:footer="0" w:top="1360" w:bottom="280" w:left="1120" w:right="1180"/>
        </w:sectPr>
      </w:pPr>
    </w:p>
    <w:p>
      <w:pPr>
        <w:pStyle w:val="BodyText"/>
        <w:rPr>
          <w:sz w:val="3"/>
        </w:rPr>
      </w:pPr>
    </w:p>
    <w:p>
      <w:pPr>
        <w:pStyle w:val="BodyText"/>
        <w:spacing w:line="20" w:lineRule="exact"/>
        <w:ind w:left="229"/>
        <w:rPr>
          <w:sz w:val="2"/>
        </w:rPr>
      </w:pPr>
      <w:r>
        <w:rPr>
          <w:sz w:val="2"/>
        </w:rPr>
        <w:pict>
          <v:group style="width:472.2pt;height:.5pt;mso-position-horizontal-relative:char;mso-position-vertical-relative:line" id="docshapegroup652" coordorigin="0,0" coordsize="9444,10">
            <v:line style="position:absolute" from="0,5" to="9443,5" stroked="true" strokeweight=".481434pt" strokecolor="#000000">
              <v:stroke dashstyle="solid"/>
            </v:line>
          </v:group>
        </w:pict>
      </w:r>
      <w:r>
        <w:rPr>
          <w:sz w:val="2"/>
        </w:rPr>
      </w:r>
    </w:p>
    <w:p>
      <w:pPr>
        <w:pStyle w:val="BodyText"/>
        <w:spacing w:before="5"/>
        <w:rPr>
          <w:sz w:val="16"/>
        </w:rPr>
      </w:pPr>
    </w:p>
    <w:p>
      <w:pPr>
        <w:pStyle w:val="BodyText"/>
        <w:spacing w:before="94"/>
        <w:ind w:left="1695" w:right="311" w:firstLine="3"/>
      </w:pPr>
      <w:r>
        <w:rPr/>
        <w:t>The</w:t>
      </w:r>
      <w:r>
        <w:rPr>
          <w:spacing w:val="-9"/>
        </w:rPr>
        <w:t> </w:t>
      </w:r>
      <w:r>
        <w:rPr/>
        <w:t>program could</w:t>
      </w:r>
      <w:r>
        <w:rPr>
          <w:spacing w:val="-3"/>
        </w:rPr>
        <w:t> </w:t>
      </w:r>
      <w:r>
        <w:rPr/>
        <w:t>benefit from an</w:t>
      </w:r>
      <w:r>
        <w:rPr>
          <w:spacing w:val="-13"/>
        </w:rPr>
        <w:t> </w:t>
      </w:r>
      <w:r>
        <w:rPr/>
        <w:t>elevated importance placed</w:t>
      </w:r>
      <w:r>
        <w:rPr>
          <w:spacing w:val="-8"/>
        </w:rPr>
        <w:t> </w:t>
      </w:r>
      <w:r>
        <w:rPr/>
        <w:t>on</w:t>
      </w:r>
      <w:r>
        <w:rPr>
          <w:spacing w:val="-9"/>
        </w:rPr>
        <w:t> </w:t>
      </w:r>
      <w:r>
        <w:rPr/>
        <w:t>this</w:t>
      </w:r>
      <w:r>
        <w:rPr>
          <w:spacing w:val="-9"/>
        </w:rPr>
        <w:t> </w:t>
      </w:r>
      <w:r>
        <w:rPr/>
        <w:t>particular subject, manifested</w:t>
      </w:r>
      <w:r>
        <w:rPr>
          <w:spacing w:val="-1"/>
        </w:rPr>
        <w:t> </w:t>
      </w:r>
      <w:r>
        <w:rPr/>
        <w:t>through</w:t>
      </w:r>
      <w:r>
        <w:rPr>
          <w:spacing w:val="-1"/>
        </w:rPr>
        <w:t> </w:t>
      </w:r>
      <w:r>
        <w:rPr/>
        <w:t>even</w:t>
      </w:r>
      <w:r>
        <w:rPr>
          <w:spacing w:val="-9"/>
        </w:rPr>
        <w:t> </w:t>
      </w:r>
      <w:r>
        <w:rPr/>
        <w:t>more</w:t>
      </w:r>
      <w:r>
        <w:rPr>
          <w:spacing w:val="-9"/>
        </w:rPr>
        <w:t> </w:t>
      </w:r>
      <w:r>
        <w:rPr/>
        <w:t>deliberately focused</w:t>
      </w:r>
      <w:r>
        <w:rPr>
          <w:spacing w:val="-4"/>
        </w:rPr>
        <w:t> </w:t>
      </w:r>
      <w:r>
        <w:rPr/>
        <w:t>teaching,</w:t>
      </w:r>
      <w:r>
        <w:rPr>
          <w:spacing w:val="-7"/>
        </w:rPr>
        <w:t> </w:t>
      </w:r>
      <w:r>
        <w:rPr/>
        <w:t>hands-on experimentation, and theoretical research in</w:t>
      </w:r>
      <w:r>
        <w:rPr>
          <w:spacing w:val="-9"/>
        </w:rPr>
        <w:t> </w:t>
      </w:r>
      <w:r>
        <w:rPr/>
        <w:t>collaboration with allied</w:t>
      </w:r>
      <w:r>
        <w:rPr>
          <w:spacing w:val="-2"/>
        </w:rPr>
        <w:t> </w:t>
      </w:r>
      <w:r>
        <w:rPr/>
        <w:t>engineering disciplines.</w:t>
      </w:r>
      <w:r>
        <w:rPr>
          <w:spacing w:val="40"/>
        </w:rPr>
        <w:t> </w:t>
      </w:r>
      <w:r>
        <w:rPr/>
        <w:t>Design assignments might be directed toward specific responses to real-time environmental challenges at the Master of Architecture level.</w:t>
      </w:r>
    </w:p>
    <w:p>
      <w:pPr>
        <w:pStyle w:val="BodyText"/>
        <w:rPr>
          <w:sz w:val="22"/>
        </w:rPr>
      </w:pPr>
    </w:p>
    <w:p>
      <w:pPr>
        <w:pStyle w:val="BodyText"/>
        <w:spacing w:before="8"/>
        <w:rPr>
          <w:sz w:val="18"/>
        </w:rPr>
      </w:pPr>
    </w:p>
    <w:p>
      <w:pPr>
        <w:pStyle w:val="ListParagraph"/>
        <w:numPr>
          <w:ilvl w:val="2"/>
          <w:numId w:val="75"/>
        </w:numPr>
        <w:tabs>
          <w:tab w:pos="1687" w:val="left" w:leader="none"/>
          <w:tab w:pos="1688" w:val="left" w:leader="none"/>
        </w:tabs>
        <w:spacing w:line="240" w:lineRule="auto" w:before="0" w:after="0"/>
        <w:ind w:left="1687" w:right="0" w:hanging="711"/>
        <w:jc w:val="left"/>
        <w:rPr>
          <w:sz w:val="21"/>
        </w:rPr>
      </w:pPr>
      <w:r>
        <w:rPr>
          <w:w w:val="105"/>
          <w:sz w:val="20"/>
        </w:rPr>
        <w:t>Program</w:t>
      </w:r>
      <w:r>
        <w:rPr>
          <w:spacing w:val="15"/>
          <w:w w:val="110"/>
          <w:sz w:val="20"/>
        </w:rPr>
        <w:t> </w:t>
      </w:r>
      <w:r>
        <w:rPr>
          <w:spacing w:val="-2"/>
          <w:w w:val="110"/>
          <w:sz w:val="20"/>
        </w:rPr>
        <w:t>Preparation</w:t>
      </w:r>
    </w:p>
    <w:p>
      <w:pPr>
        <w:pStyle w:val="BodyText"/>
        <w:spacing w:before="2"/>
        <w:rPr>
          <w:sz w:val="19"/>
        </w:rPr>
      </w:pPr>
    </w:p>
    <w:p>
      <w:pPr>
        <w:spacing w:line="242" w:lineRule="auto" w:before="0"/>
        <w:ind w:left="1693" w:right="475" w:firstLine="0"/>
        <w:jc w:val="left"/>
        <w:rPr>
          <w:i/>
          <w:sz w:val="19"/>
        </w:rPr>
      </w:pPr>
      <w:r>
        <w:rPr>
          <w:w w:val="105"/>
          <w:sz w:val="20"/>
        </w:rPr>
        <w:t>Ability </w:t>
      </w:r>
      <w:r>
        <w:rPr>
          <w:w w:val="105"/>
          <w:sz w:val="21"/>
        </w:rPr>
        <w:t>to</w:t>
      </w:r>
      <w:r>
        <w:rPr>
          <w:spacing w:val="-12"/>
          <w:w w:val="105"/>
          <w:sz w:val="21"/>
        </w:rPr>
        <w:t> </w:t>
      </w:r>
      <w:r>
        <w:rPr>
          <w:i/>
          <w:w w:val="105"/>
          <w:sz w:val="19"/>
        </w:rPr>
        <w:t>prepare a comprehensive program for an</w:t>
      </w:r>
      <w:r>
        <w:rPr>
          <w:i/>
          <w:spacing w:val="-2"/>
          <w:w w:val="105"/>
          <w:sz w:val="19"/>
        </w:rPr>
        <w:t> </w:t>
      </w:r>
      <w:r>
        <w:rPr>
          <w:i/>
          <w:w w:val="105"/>
          <w:sz w:val="19"/>
        </w:rPr>
        <w:t>architectural project, including assessment of client and</w:t>
      </w:r>
      <w:r>
        <w:rPr>
          <w:i/>
          <w:spacing w:val="-1"/>
          <w:w w:val="105"/>
          <w:sz w:val="19"/>
        </w:rPr>
        <w:t> </w:t>
      </w:r>
      <w:r>
        <w:rPr>
          <w:w w:val="105"/>
          <w:sz w:val="22"/>
        </w:rPr>
        <w:t>user</w:t>
      </w:r>
      <w:r>
        <w:rPr>
          <w:spacing w:val="-26"/>
          <w:w w:val="105"/>
          <w:sz w:val="22"/>
        </w:rPr>
        <w:t> </w:t>
      </w:r>
      <w:r>
        <w:rPr>
          <w:i/>
          <w:w w:val="105"/>
          <w:sz w:val="19"/>
        </w:rPr>
        <w:t>needs, a critical</w:t>
      </w:r>
      <w:r>
        <w:rPr>
          <w:i/>
          <w:spacing w:val="-2"/>
          <w:w w:val="105"/>
          <w:sz w:val="19"/>
        </w:rPr>
        <w:t> </w:t>
      </w:r>
      <w:r>
        <w:rPr>
          <w:i/>
          <w:w w:val="105"/>
          <w:sz w:val="19"/>
        </w:rPr>
        <w:t>review of appropriate precedents, an inventory of</w:t>
      </w:r>
      <w:r>
        <w:rPr>
          <w:i/>
          <w:spacing w:val="-12"/>
          <w:w w:val="105"/>
          <w:sz w:val="19"/>
        </w:rPr>
        <w:t> </w:t>
      </w:r>
      <w:r>
        <w:rPr>
          <w:i/>
          <w:w w:val="105"/>
          <w:sz w:val="19"/>
        </w:rPr>
        <w:t>space</w:t>
      </w:r>
      <w:r>
        <w:rPr>
          <w:i/>
          <w:spacing w:val="-10"/>
          <w:w w:val="105"/>
          <w:sz w:val="19"/>
        </w:rPr>
        <w:t> </w:t>
      </w:r>
      <w:r>
        <w:rPr>
          <w:i/>
          <w:w w:val="105"/>
          <w:sz w:val="19"/>
        </w:rPr>
        <w:t>and</w:t>
      </w:r>
      <w:r>
        <w:rPr>
          <w:i/>
          <w:spacing w:val="-9"/>
          <w:w w:val="105"/>
          <w:sz w:val="19"/>
        </w:rPr>
        <w:t> </w:t>
      </w:r>
      <w:r>
        <w:rPr>
          <w:i/>
          <w:w w:val="105"/>
          <w:sz w:val="19"/>
        </w:rPr>
        <w:t>equipment requirements, an</w:t>
      </w:r>
      <w:r>
        <w:rPr>
          <w:i/>
          <w:spacing w:val="-3"/>
          <w:w w:val="105"/>
          <w:sz w:val="19"/>
        </w:rPr>
        <w:t> </w:t>
      </w:r>
      <w:r>
        <w:rPr>
          <w:i/>
          <w:w w:val="105"/>
          <w:sz w:val="19"/>
        </w:rPr>
        <w:t>analysis of</w:t>
      </w:r>
      <w:r>
        <w:rPr>
          <w:i/>
          <w:spacing w:val="-12"/>
          <w:w w:val="105"/>
          <w:sz w:val="19"/>
        </w:rPr>
        <w:t> </w:t>
      </w:r>
      <w:r>
        <w:rPr>
          <w:i/>
          <w:w w:val="105"/>
          <w:sz w:val="19"/>
        </w:rPr>
        <w:t>site</w:t>
      </w:r>
      <w:r>
        <w:rPr>
          <w:i/>
          <w:spacing w:val="-17"/>
          <w:w w:val="105"/>
          <w:sz w:val="19"/>
        </w:rPr>
        <w:t> </w:t>
      </w:r>
      <w:r>
        <w:rPr>
          <w:i/>
          <w:w w:val="105"/>
          <w:sz w:val="19"/>
        </w:rPr>
        <w:t>conditions, a review of the</w:t>
      </w:r>
      <w:r>
        <w:rPr>
          <w:i/>
          <w:spacing w:val="-5"/>
          <w:w w:val="105"/>
          <w:sz w:val="19"/>
        </w:rPr>
        <w:t> </w:t>
      </w:r>
      <w:r>
        <w:rPr>
          <w:i/>
          <w:w w:val="105"/>
          <w:sz w:val="19"/>
        </w:rPr>
        <w:t>relevant laws and standards and assessment</w:t>
      </w:r>
      <w:r>
        <w:rPr>
          <w:i/>
          <w:spacing w:val="32"/>
          <w:w w:val="105"/>
          <w:sz w:val="19"/>
        </w:rPr>
        <w:t> </w:t>
      </w:r>
      <w:r>
        <w:rPr>
          <w:i/>
          <w:w w:val="105"/>
          <w:sz w:val="19"/>
        </w:rPr>
        <w:t>of their implication for the project,</w:t>
      </w:r>
    </w:p>
    <w:p>
      <w:pPr>
        <w:spacing w:before="12"/>
        <w:ind w:left="1694" w:right="0" w:firstLine="0"/>
        <w:jc w:val="left"/>
        <w:rPr>
          <w:i/>
          <w:sz w:val="19"/>
        </w:rPr>
      </w:pPr>
      <w:r>
        <w:rPr>
          <w:i/>
          <w:w w:val="105"/>
          <w:sz w:val="19"/>
        </w:rPr>
        <w:t>and</w:t>
      </w:r>
      <w:r>
        <w:rPr>
          <w:i/>
          <w:spacing w:val="-7"/>
          <w:w w:val="105"/>
          <w:sz w:val="19"/>
        </w:rPr>
        <w:t> </w:t>
      </w:r>
      <w:r>
        <w:rPr>
          <w:i/>
          <w:w w:val="105"/>
          <w:sz w:val="19"/>
        </w:rPr>
        <w:t>a</w:t>
      </w:r>
      <w:r>
        <w:rPr>
          <w:i/>
          <w:spacing w:val="2"/>
          <w:w w:val="105"/>
          <w:sz w:val="19"/>
        </w:rPr>
        <w:t> </w:t>
      </w:r>
      <w:r>
        <w:rPr>
          <w:i/>
          <w:w w:val="105"/>
          <w:sz w:val="19"/>
        </w:rPr>
        <w:t>definition</w:t>
      </w:r>
      <w:r>
        <w:rPr>
          <w:i/>
          <w:spacing w:val="-2"/>
          <w:w w:val="105"/>
          <w:sz w:val="19"/>
        </w:rPr>
        <w:t> </w:t>
      </w:r>
      <w:r>
        <w:rPr>
          <w:i/>
          <w:w w:val="105"/>
          <w:sz w:val="19"/>
        </w:rPr>
        <w:t>of</w:t>
      </w:r>
      <w:r>
        <w:rPr>
          <w:i/>
          <w:spacing w:val="-8"/>
          <w:w w:val="105"/>
          <w:sz w:val="19"/>
        </w:rPr>
        <w:t> </w:t>
      </w:r>
      <w:r>
        <w:rPr>
          <w:i/>
          <w:w w:val="105"/>
          <w:sz w:val="19"/>
        </w:rPr>
        <w:t>site</w:t>
      </w:r>
      <w:r>
        <w:rPr>
          <w:i/>
          <w:spacing w:val="-14"/>
          <w:w w:val="105"/>
          <w:sz w:val="19"/>
        </w:rPr>
        <w:t> </w:t>
      </w:r>
      <w:r>
        <w:rPr>
          <w:i/>
          <w:w w:val="105"/>
          <w:sz w:val="19"/>
        </w:rPr>
        <w:t>selection</w:t>
      </w:r>
      <w:r>
        <w:rPr>
          <w:i/>
          <w:spacing w:val="7"/>
          <w:w w:val="105"/>
          <w:sz w:val="19"/>
        </w:rPr>
        <w:t> </w:t>
      </w:r>
      <w:r>
        <w:rPr>
          <w:i/>
          <w:w w:val="105"/>
          <w:sz w:val="19"/>
        </w:rPr>
        <w:t>and</w:t>
      </w:r>
      <w:r>
        <w:rPr>
          <w:i/>
          <w:spacing w:val="-6"/>
          <w:w w:val="105"/>
          <w:sz w:val="19"/>
        </w:rPr>
        <w:t> </w:t>
      </w:r>
      <w:r>
        <w:rPr>
          <w:i/>
          <w:w w:val="105"/>
          <w:sz w:val="19"/>
        </w:rPr>
        <w:t>design</w:t>
      </w:r>
      <w:r>
        <w:rPr>
          <w:i/>
          <w:spacing w:val="-1"/>
          <w:w w:val="105"/>
          <w:sz w:val="19"/>
        </w:rPr>
        <w:t> </w:t>
      </w:r>
      <w:r>
        <w:rPr>
          <w:i/>
          <w:w w:val="105"/>
          <w:sz w:val="19"/>
        </w:rPr>
        <w:t>assessment</w:t>
      </w:r>
      <w:r>
        <w:rPr>
          <w:i/>
          <w:spacing w:val="-2"/>
          <w:w w:val="105"/>
          <w:sz w:val="19"/>
        </w:rPr>
        <w:t> criteria</w:t>
      </w:r>
    </w:p>
    <w:p>
      <w:pPr>
        <w:pStyle w:val="BodyText"/>
        <w:spacing w:before="5"/>
        <w:rPr>
          <w:i/>
        </w:rPr>
      </w:pPr>
    </w:p>
    <w:p>
      <w:pPr>
        <w:pStyle w:val="BodyText"/>
        <w:tabs>
          <w:tab w:pos="8336" w:val="left" w:leader="none"/>
        </w:tabs>
        <w:spacing w:line="199" w:lineRule="exact"/>
        <w:ind w:left="7450"/>
      </w:pPr>
      <w:r>
        <w:rPr>
          <w:spacing w:val="-5"/>
          <w:w w:val="105"/>
        </w:rPr>
        <w:t>Met</w:t>
      </w:r>
      <w:r>
        <w:rPr/>
        <w:tab/>
        <w:t>Not</w:t>
      </w:r>
      <w:r>
        <w:rPr>
          <w:spacing w:val="-4"/>
        </w:rPr>
        <w:t> </w:t>
      </w:r>
      <w:r>
        <w:rPr>
          <w:spacing w:val="-5"/>
          <w:w w:val="105"/>
        </w:rPr>
        <w:t>Met</w:t>
      </w:r>
    </w:p>
    <w:p>
      <w:pPr>
        <w:pStyle w:val="ListParagraph"/>
        <w:numPr>
          <w:ilvl w:val="3"/>
          <w:numId w:val="75"/>
        </w:numPr>
        <w:tabs>
          <w:tab w:pos="8566" w:val="left" w:leader="none"/>
          <w:tab w:pos="8567" w:val="left" w:leader="none"/>
        </w:tabs>
        <w:spacing w:line="337" w:lineRule="exact" w:before="0" w:after="0"/>
        <w:ind w:left="8566" w:right="0" w:hanging="1052"/>
        <w:jc w:val="left"/>
        <w:rPr>
          <w:b/>
          <w:sz w:val="25"/>
        </w:rPr>
      </w:pPr>
      <w:r>
        <w:rPr>
          <w:w w:val="95"/>
          <w:sz w:val="25"/>
        </w:rPr>
        <w:t>[</w:t>
      </w:r>
      <w:r>
        <w:rPr>
          <w:spacing w:val="73"/>
          <w:sz w:val="25"/>
        </w:rPr>
        <w:t> </w:t>
      </w:r>
      <w:r>
        <w:rPr>
          <w:rFonts w:ascii="Times New Roman"/>
          <w:spacing w:val="-12"/>
          <w:w w:val="95"/>
          <w:sz w:val="32"/>
        </w:rPr>
        <w:t>l</w:t>
      </w:r>
    </w:p>
    <w:p>
      <w:pPr>
        <w:pStyle w:val="BodyText"/>
        <w:spacing w:line="247" w:lineRule="auto" w:before="253"/>
        <w:ind w:left="1690" w:right="475" w:hanging="3"/>
      </w:pPr>
      <w:r>
        <w:rPr/>
        <w:t>Program preparation is taught at</w:t>
      </w:r>
      <w:r>
        <w:rPr>
          <w:spacing w:val="-9"/>
        </w:rPr>
        <w:t> </w:t>
      </w:r>
      <w:r>
        <w:rPr/>
        <w:t>each studio year level and</w:t>
      </w:r>
      <w:r>
        <w:rPr>
          <w:spacing w:val="-10"/>
        </w:rPr>
        <w:t> </w:t>
      </w:r>
      <w:r>
        <w:rPr/>
        <w:t>culminates in</w:t>
      </w:r>
      <w:r>
        <w:rPr>
          <w:spacing w:val="-15"/>
        </w:rPr>
        <w:t> </w:t>
      </w:r>
      <w:r>
        <w:rPr/>
        <w:t>aourse ARC 405, the</w:t>
      </w:r>
      <w:r>
        <w:rPr>
          <w:spacing w:val="-11"/>
        </w:rPr>
        <w:t> </w:t>
      </w:r>
      <w:r>
        <w:rPr/>
        <w:t>terminal</w:t>
      </w:r>
      <w:r>
        <w:rPr>
          <w:spacing w:val="-4"/>
        </w:rPr>
        <w:t> </w:t>
      </w:r>
      <w:r>
        <w:rPr/>
        <w:t>project prior</w:t>
      </w:r>
      <w:r>
        <w:rPr>
          <w:spacing w:val="-4"/>
        </w:rPr>
        <w:t> </w:t>
      </w:r>
      <w:r>
        <w:rPr/>
        <w:t>to</w:t>
      </w:r>
      <w:r>
        <w:rPr>
          <w:spacing w:val="-14"/>
        </w:rPr>
        <w:t> </w:t>
      </w:r>
      <w:r>
        <w:rPr/>
        <w:t>the</w:t>
      </w:r>
      <w:r>
        <w:rPr>
          <w:spacing w:val="-2"/>
        </w:rPr>
        <w:t> </w:t>
      </w:r>
      <w:r>
        <w:rPr/>
        <w:t>thesis year.</w:t>
      </w:r>
      <w:r>
        <w:rPr>
          <w:spacing w:val="40"/>
        </w:rPr>
        <w:t> </w:t>
      </w:r>
      <w:r>
        <w:rPr/>
        <w:t>Students are</w:t>
      </w:r>
      <w:r>
        <w:rPr>
          <w:spacing w:val="-10"/>
        </w:rPr>
        <w:t> </w:t>
      </w:r>
      <w:r>
        <w:rPr/>
        <w:t>very</w:t>
      </w:r>
      <w:r>
        <w:rPr>
          <w:spacing w:val="-8"/>
        </w:rPr>
        <w:t> </w:t>
      </w:r>
      <w:r>
        <w:rPr/>
        <w:t>capable in</w:t>
      </w:r>
      <w:r>
        <w:rPr>
          <w:spacing w:val="-13"/>
        </w:rPr>
        <w:t> </w:t>
      </w:r>
      <w:r>
        <w:rPr/>
        <w:t>program </w:t>
      </w:r>
      <w:r>
        <w:rPr>
          <w:spacing w:val="-2"/>
        </w:rPr>
        <w:t>preparation.</w:t>
      </w:r>
    </w:p>
    <w:p>
      <w:pPr>
        <w:pStyle w:val="BodyText"/>
        <w:rPr>
          <w:sz w:val="22"/>
        </w:rPr>
      </w:pPr>
    </w:p>
    <w:p>
      <w:pPr>
        <w:pStyle w:val="ListParagraph"/>
        <w:numPr>
          <w:ilvl w:val="2"/>
          <w:numId w:val="75"/>
        </w:numPr>
        <w:tabs>
          <w:tab w:pos="1683" w:val="left" w:leader="none"/>
          <w:tab w:pos="1684" w:val="left" w:leader="none"/>
        </w:tabs>
        <w:spacing w:line="240" w:lineRule="auto" w:before="183" w:after="0"/>
        <w:ind w:left="1684" w:right="0" w:hanging="717"/>
        <w:jc w:val="left"/>
        <w:rPr>
          <w:sz w:val="21"/>
        </w:rPr>
      </w:pPr>
      <w:r>
        <w:rPr>
          <w:sz w:val="21"/>
        </w:rPr>
        <w:t>Site</w:t>
      </w:r>
      <w:r>
        <w:rPr>
          <w:spacing w:val="-2"/>
          <w:sz w:val="21"/>
        </w:rPr>
        <w:t> </w:t>
      </w:r>
      <w:r>
        <w:rPr>
          <w:spacing w:val="-2"/>
          <w:w w:val="105"/>
          <w:sz w:val="21"/>
        </w:rPr>
        <w:t>Conditions</w:t>
      </w:r>
    </w:p>
    <w:p>
      <w:pPr>
        <w:pStyle w:val="BodyText"/>
        <w:spacing w:before="1"/>
        <w:rPr>
          <w:sz w:val="19"/>
        </w:rPr>
      </w:pPr>
    </w:p>
    <w:p>
      <w:pPr>
        <w:spacing w:line="252" w:lineRule="auto" w:before="1"/>
        <w:ind w:left="1685" w:right="295" w:hanging="1"/>
        <w:jc w:val="left"/>
        <w:rPr>
          <w:i/>
          <w:sz w:val="19"/>
        </w:rPr>
      </w:pPr>
      <w:r>
        <w:rPr>
          <w:w w:val="105"/>
          <w:sz w:val="20"/>
        </w:rPr>
        <w:t>Ability to</w:t>
      </w:r>
      <w:r>
        <w:rPr>
          <w:spacing w:val="-14"/>
          <w:w w:val="105"/>
          <w:sz w:val="20"/>
        </w:rPr>
        <w:t> </w:t>
      </w:r>
      <w:r>
        <w:rPr>
          <w:i/>
          <w:w w:val="105"/>
          <w:sz w:val="19"/>
        </w:rPr>
        <w:t>respond to</w:t>
      </w:r>
      <w:r>
        <w:rPr>
          <w:i/>
          <w:spacing w:val="-6"/>
          <w:w w:val="105"/>
          <w:sz w:val="19"/>
        </w:rPr>
        <w:t> </w:t>
      </w:r>
      <w:r>
        <w:rPr>
          <w:i/>
          <w:w w:val="105"/>
          <w:sz w:val="19"/>
        </w:rPr>
        <w:t>natural and</w:t>
      </w:r>
      <w:r>
        <w:rPr>
          <w:i/>
          <w:spacing w:val="-1"/>
          <w:w w:val="105"/>
          <w:sz w:val="19"/>
        </w:rPr>
        <w:t> </w:t>
      </w:r>
      <w:r>
        <w:rPr>
          <w:i/>
          <w:w w:val="105"/>
          <w:sz w:val="19"/>
        </w:rPr>
        <w:t>built</w:t>
      </w:r>
      <w:r>
        <w:rPr>
          <w:i/>
          <w:spacing w:val="-12"/>
          <w:w w:val="105"/>
          <w:sz w:val="19"/>
        </w:rPr>
        <w:t> </w:t>
      </w:r>
      <w:r>
        <w:rPr>
          <w:i/>
          <w:w w:val="105"/>
          <w:sz w:val="19"/>
        </w:rPr>
        <w:t>site</w:t>
      </w:r>
      <w:r>
        <w:rPr>
          <w:i/>
          <w:spacing w:val="-11"/>
          <w:w w:val="105"/>
          <w:sz w:val="19"/>
        </w:rPr>
        <w:t> </w:t>
      </w:r>
      <w:r>
        <w:rPr>
          <w:i/>
          <w:w w:val="105"/>
          <w:sz w:val="19"/>
        </w:rPr>
        <w:t>characteristics</w:t>
      </w:r>
      <w:r>
        <w:rPr>
          <w:i/>
          <w:spacing w:val="-14"/>
          <w:w w:val="105"/>
          <w:sz w:val="19"/>
        </w:rPr>
        <w:t> </w:t>
      </w:r>
      <w:r>
        <w:rPr>
          <w:i/>
          <w:w w:val="105"/>
          <w:sz w:val="19"/>
        </w:rPr>
        <w:t>in</w:t>
      </w:r>
      <w:r>
        <w:rPr>
          <w:i/>
          <w:spacing w:val="-12"/>
          <w:w w:val="105"/>
          <w:sz w:val="19"/>
        </w:rPr>
        <w:t> </w:t>
      </w:r>
      <w:r>
        <w:rPr>
          <w:i/>
          <w:w w:val="105"/>
          <w:sz w:val="19"/>
        </w:rPr>
        <w:t>the</w:t>
      </w:r>
      <w:r>
        <w:rPr>
          <w:i/>
          <w:spacing w:val="-10"/>
          <w:w w:val="105"/>
          <w:sz w:val="19"/>
        </w:rPr>
        <w:t> </w:t>
      </w:r>
      <w:r>
        <w:rPr>
          <w:i/>
          <w:w w:val="105"/>
          <w:sz w:val="19"/>
        </w:rPr>
        <w:t>development of </w:t>
      </w:r>
      <w:r>
        <w:rPr>
          <w:w w:val="105"/>
          <w:sz w:val="20"/>
        </w:rPr>
        <w:t>a</w:t>
      </w:r>
      <w:r>
        <w:rPr>
          <w:spacing w:val="-17"/>
          <w:w w:val="105"/>
          <w:sz w:val="20"/>
        </w:rPr>
        <w:t> </w:t>
      </w:r>
      <w:r>
        <w:rPr>
          <w:i/>
          <w:w w:val="105"/>
          <w:sz w:val="19"/>
        </w:rPr>
        <w:t>program and the design of a project</w:t>
      </w:r>
    </w:p>
    <w:p>
      <w:pPr>
        <w:pStyle w:val="BodyText"/>
        <w:spacing w:before="3"/>
        <w:rPr>
          <w:i/>
          <w:sz w:val="19"/>
        </w:rPr>
      </w:pPr>
    </w:p>
    <w:p>
      <w:pPr>
        <w:pStyle w:val="BodyText"/>
        <w:tabs>
          <w:tab w:pos="8327" w:val="left" w:leader="none"/>
        </w:tabs>
        <w:spacing w:line="199" w:lineRule="exact" w:before="1"/>
        <w:ind w:left="7450"/>
      </w:pPr>
      <w:r>
        <w:rPr>
          <w:spacing w:val="-5"/>
        </w:rPr>
        <w:t>Met</w:t>
      </w:r>
      <w:r>
        <w:rPr/>
        <w:tab/>
        <w:t>Not</w:t>
      </w:r>
      <w:r>
        <w:rPr>
          <w:spacing w:val="-4"/>
        </w:rPr>
        <w:t> </w:t>
      </w:r>
      <w:r>
        <w:rPr>
          <w:spacing w:val="-5"/>
        </w:rPr>
        <w:t>Met</w:t>
      </w:r>
    </w:p>
    <w:p>
      <w:pPr>
        <w:pStyle w:val="ListParagraph"/>
        <w:numPr>
          <w:ilvl w:val="3"/>
          <w:numId w:val="75"/>
        </w:numPr>
        <w:tabs>
          <w:tab w:pos="8566" w:val="left" w:leader="none"/>
          <w:tab w:pos="8567" w:val="left" w:leader="none"/>
        </w:tabs>
        <w:spacing w:line="337" w:lineRule="exact" w:before="0" w:after="0"/>
        <w:ind w:left="8566" w:right="0" w:hanging="1052"/>
        <w:jc w:val="left"/>
        <w:rPr>
          <w:b/>
          <w:sz w:val="25"/>
        </w:rPr>
      </w:pPr>
      <w:r>
        <w:rPr>
          <w:sz w:val="25"/>
        </w:rPr>
        <w:t>[</w:t>
      </w:r>
      <w:r>
        <w:rPr>
          <w:spacing w:val="59"/>
          <w:sz w:val="25"/>
        </w:rPr>
        <w:t> </w:t>
      </w:r>
      <w:r>
        <w:rPr>
          <w:rFonts w:ascii="Times New Roman"/>
          <w:spacing w:val="-10"/>
          <w:sz w:val="32"/>
        </w:rPr>
        <w:t>l</w:t>
      </w:r>
    </w:p>
    <w:p>
      <w:pPr>
        <w:pStyle w:val="BodyText"/>
        <w:spacing w:line="247" w:lineRule="auto" w:before="243"/>
        <w:ind w:left="1690" w:right="311" w:hanging="7"/>
      </w:pPr>
      <w:r>
        <w:rPr/>
        <w:t>Course</w:t>
      </w:r>
      <w:r>
        <w:rPr>
          <w:spacing w:val="-5"/>
        </w:rPr>
        <w:t> </w:t>
      </w:r>
      <w:r>
        <w:rPr/>
        <w:t>ARC</w:t>
      </w:r>
      <w:r>
        <w:rPr>
          <w:spacing w:val="-4"/>
        </w:rPr>
        <w:t> </w:t>
      </w:r>
      <w:r>
        <w:rPr/>
        <w:t>200</w:t>
      </w:r>
      <w:r>
        <w:rPr>
          <w:spacing w:val="-3"/>
        </w:rPr>
        <w:t> </w:t>
      </w:r>
      <w:r>
        <w:rPr/>
        <w:t>Architectural Ecology and</w:t>
      </w:r>
      <w:r>
        <w:rPr>
          <w:spacing w:val="-16"/>
        </w:rPr>
        <w:t> </w:t>
      </w:r>
      <w:r>
        <w:rPr/>
        <w:t>all</w:t>
      </w:r>
      <w:r>
        <w:rPr>
          <w:spacing w:val="-2"/>
        </w:rPr>
        <w:t> </w:t>
      </w:r>
      <w:r>
        <w:rPr/>
        <w:t>design studios deal</w:t>
      </w:r>
      <w:r>
        <w:rPr>
          <w:spacing w:val="-7"/>
        </w:rPr>
        <w:t> </w:t>
      </w:r>
      <w:r>
        <w:rPr/>
        <w:t>with</w:t>
      </w:r>
      <w:r>
        <w:rPr>
          <w:spacing w:val="-8"/>
        </w:rPr>
        <w:t> </w:t>
      </w:r>
      <w:r>
        <w:rPr/>
        <w:t>issues impacting the</w:t>
      </w:r>
      <w:r>
        <w:rPr>
          <w:spacing w:val="-7"/>
        </w:rPr>
        <w:t> </w:t>
      </w:r>
      <w:r>
        <w:rPr/>
        <w:t>interaction of the building and</w:t>
      </w:r>
      <w:r>
        <w:rPr>
          <w:spacing w:val="-2"/>
        </w:rPr>
        <w:t> </w:t>
      </w:r>
      <w:r>
        <w:rPr/>
        <w:t>the site.</w:t>
      </w:r>
      <w:r>
        <w:rPr>
          <w:spacing w:val="80"/>
        </w:rPr>
        <w:t> </w:t>
      </w:r>
      <w:r>
        <w:rPr/>
        <w:t>Students are able</w:t>
      </w:r>
      <w:r>
        <w:rPr>
          <w:spacing w:val="-1"/>
        </w:rPr>
        <w:t> </w:t>
      </w:r>
      <w:r>
        <w:rPr/>
        <w:t>to</w:t>
      </w:r>
      <w:r>
        <w:rPr>
          <w:spacing w:val="-1"/>
        </w:rPr>
        <w:t> </w:t>
      </w:r>
      <w:r>
        <w:rPr/>
        <w:t>analyze and site plan their</w:t>
      </w:r>
      <w:r>
        <w:rPr>
          <w:spacing w:val="-3"/>
        </w:rPr>
        <w:t> </w:t>
      </w:r>
      <w:r>
        <w:rPr/>
        <w:t>projects.</w:t>
      </w:r>
    </w:p>
    <w:p>
      <w:pPr>
        <w:pStyle w:val="BodyText"/>
        <w:rPr>
          <w:sz w:val="22"/>
        </w:rPr>
      </w:pPr>
    </w:p>
    <w:p>
      <w:pPr>
        <w:pStyle w:val="BodyText"/>
        <w:spacing w:before="1"/>
      </w:pPr>
    </w:p>
    <w:p>
      <w:pPr>
        <w:pStyle w:val="ListParagraph"/>
        <w:numPr>
          <w:ilvl w:val="2"/>
          <w:numId w:val="75"/>
        </w:numPr>
        <w:tabs>
          <w:tab w:pos="1683" w:val="left" w:leader="none"/>
          <w:tab w:pos="1684" w:val="left" w:leader="none"/>
        </w:tabs>
        <w:spacing w:line="240" w:lineRule="auto" w:before="0" w:after="0"/>
        <w:ind w:left="1684" w:right="0" w:hanging="717"/>
        <w:jc w:val="left"/>
        <w:rPr>
          <w:sz w:val="21"/>
        </w:rPr>
      </w:pPr>
      <w:r>
        <w:rPr>
          <w:w w:val="105"/>
          <w:sz w:val="21"/>
        </w:rPr>
        <w:t>Structural</w:t>
      </w:r>
      <w:r>
        <w:rPr>
          <w:spacing w:val="-8"/>
          <w:w w:val="105"/>
          <w:sz w:val="21"/>
        </w:rPr>
        <w:t> </w:t>
      </w:r>
      <w:r>
        <w:rPr>
          <w:spacing w:val="-2"/>
          <w:w w:val="105"/>
          <w:sz w:val="21"/>
        </w:rPr>
        <w:t>Systems</w:t>
      </w:r>
    </w:p>
    <w:p>
      <w:pPr>
        <w:pStyle w:val="BodyText"/>
      </w:pPr>
    </w:p>
    <w:p>
      <w:pPr>
        <w:spacing w:line="252" w:lineRule="auto" w:before="0"/>
        <w:ind w:left="1686" w:right="475" w:firstLine="1"/>
        <w:jc w:val="left"/>
        <w:rPr>
          <w:i/>
          <w:sz w:val="19"/>
        </w:rPr>
      </w:pPr>
      <w:r>
        <w:rPr>
          <w:w w:val="105"/>
          <w:sz w:val="20"/>
        </w:rPr>
        <w:t>Understanding of</w:t>
      </w:r>
      <w:r>
        <w:rPr>
          <w:spacing w:val="-6"/>
          <w:w w:val="105"/>
          <w:sz w:val="20"/>
        </w:rPr>
        <w:t> </w:t>
      </w:r>
      <w:r>
        <w:rPr>
          <w:i/>
          <w:w w:val="105"/>
          <w:sz w:val="19"/>
        </w:rPr>
        <w:t>principles </w:t>
      </w:r>
      <w:r>
        <w:rPr>
          <w:w w:val="105"/>
          <w:sz w:val="20"/>
        </w:rPr>
        <w:t>of</w:t>
      </w:r>
      <w:r>
        <w:rPr>
          <w:spacing w:val="-11"/>
          <w:w w:val="105"/>
          <w:sz w:val="20"/>
        </w:rPr>
        <w:t> </w:t>
      </w:r>
      <w:r>
        <w:rPr>
          <w:i/>
          <w:w w:val="105"/>
          <w:sz w:val="19"/>
        </w:rPr>
        <w:t>structural behavior</w:t>
      </w:r>
      <w:r>
        <w:rPr>
          <w:i/>
          <w:spacing w:val="-3"/>
          <w:w w:val="105"/>
          <w:sz w:val="19"/>
        </w:rPr>
        <w:t> </w:t>
      </w:r>
      <w:r>
        <w:rPr>
          <w:i/>
          <w:w w:val="105"/>
          <w:sz w:val="19"/>
        </w:rPr>
        <w:t>in</w:t>
      </w:r>
      <w:r>
        <w:rPr>
          <w:i/>
          <w:spacing w:val="-5"/>
          <w:w w:val="105"/>
          <w:sz w:val="19"/>
        </w:rPr>
        <w:t> </w:t>
      </w:r>
      <w:r>
        <w:rPr>
          <w:i/>
          <w:w w:val="105"/>
          <w:sz w:val="19"/>
        </w:rPr>
        <w:t>withstanding gravity and lateral forces</w:t>
      </w:r>
      <w:r>
        <w:rPr>
          <w:i/>
          <w:spacing w:val="-4"/>
          <w:w w:val="105"/>
          <w:sz w:val="19"/>
        </w:rPr>
        <w:t> </w:t>
      </w:r>
      <w:r>
        <w:rPr>
          <w:i/>
          <w:w w:val="105"/>
          <w:sz w:val="19"/>
        </w:rPr>
        <w:t>and</w:t>
      </w:r>
      <w:r>
        <w:rPr>
          <w:i/>
          <w:spacing w:val="-4"/>
          <w:w w:val="105"/>
          <w:sz w:val="19"/>
        </w:rPr>
        <w:t> </w:t>
      </w:r>
      <w:r>
        <w:rPr>
          <w:i/>
          <w:w w:val="105"/>
          <w:sz w:val="19"/>
        </w:rPr>
        <w:t>the</w:t>
      </w:r>
      <w:r>
        <w:rPr>
          <w:i/>
          <w:spacing w:val="-9"/>
          <w:w w:val="105"/>
          <w:sz w:val="19"/>
        </w:rPr>
        <w:t> </w:t>
      </w:r>
      <w:r>
        <w:rPr>
          <w:i/>
          <w:w w:val="105"/>
          <w:sz w:val="19"/>
        </w:rPr>
        <w:t>evolution, range, and</w:t>
      </w:r>
      <w:r>
        <w:rPr>
          <w:i/>
          <w:spacing w:val="-2"/>
          <w:w w:val="105"/>
          <w:sz w:val="19"/>
        </w:rPr>
        <w:t> </w:t>
      </w:r>
      <w:r>
        <w:rPr>
          <w:i/>
          <w:w w:val="105"/>
          <w:sz w:val="19"/>
        </w:rPr>
        <w:t>appropriate application of</w:t>
      </w:r>
      <w:r>
        <w:rPr>
          <w:i/>
          <w:spacing w:val="-19"/>
          <w:w w:val="105"/>
          <w:sz w:val="19"/>
        </w:rPr>
        <w:t> </w:t>
      </w:r>
      <w:r>
        <w:rPr>
          <w:i/>
          <w:w w:val="105"/>
          <w:sz w:val="19"/>
        </w:rPr>
        <w:t>contemporary structural </w:t>
      </w:r>
      <w:r>
        <w:rPr>
          <w:i/>
          <w:spacing w:val="-2"/>
          <w:w w:val="105"/>
          <w:sz w:val="19"/>
        </w:rPr>
        <w:t>systems</w:t>
      </w:r>
    </w:p>
    <w:p>
      <w:pPr>
        <w:pStyle w:val="BodyText"/>
        <w:tabs>
          <w:tab w:pos="886" w:val="left" w:leader="none"/>
        </w:tabs>
        <w:spacing w:line="199" w:lineRule="exact" w:before="3"/>
        <w:ind w:right="817"/>
        <w:jc w:val="right"/>
      </w:pPr>
      <w:r>
        <w:rPr>
          <w:spacing w:val="-5"/>
          <w:w w:val="105"/>
        </w:rPr>
        <w:t>Met</w:t>
      </w:r>
      <w:r>
        <w:rPr/>
        <w:tab/>
        <w:t>Not</w:t>
      </w:r>
      <w:r>
        <w:rPr>
          <w:spacing w:val="-4"/>
        </w:rPr>
        <w:t> </w:t>
      </w:r>
      <w:r>
        <w:rPr>
          <w:spacing w:val="-5"/>
          <w:w w:val="105"/>
        </w:rPr>
        <w:t>Met</w:t>
      </w:r>
    </w:p>
    <w:p>
      <w:pPr>
        <w:pStyle w:val="ListParagraph"/>
        <w:numPr>
          <w:ilvl w:val="3"/>
          <w:numId w:val="75"/>
        </w:numPr>
        <w:tabs>
          <w:tab w:pos="1051" w:val="left" w:leader="none"/>
          <w:tab w:pos="1052" w:val="left" w:leader="none"/>
        </w:tabs>
        <w:spacing w:line="325" w:lineRule="exact" w:before="0" w:after="0"/>
        <w:ind w:left="1051" w:right="1023" w:hanging="1052"/>
        <w:jc w:val="right"/>
        <w:rPr>
          <w:b/>
          <w:sz w:val="24"/>
        </w:rPr>
      </w:pPr>
      <w:r>
        <w:rPr>
          <w:sz w:val="24"/>
        </w:rPr>
        <w:t>[</w:t>
      </w:r>
      <w:r>
        <w:rPr>
          <w:spacing w:val="74"/>
          <w:sz w:val="24"/>
        </w:rPr>
        <w:t> </w:t>
      </w:r>
      <w:r>
        <w:rPr>
          <w:rFonts w:ascii="Times New Roman"/>
          <w:spacing w:val="-10"/>
          <w:sz w:val="31"/>
        </w:rPr>
        <w:t>l</w:t>
      </w:r>
    </w:p>
    <w:p>
      <w:pPr>
        <w:pStyle w:val="BodyText"/>
        <w:spacing w:before="255"/>
        <w:ind w:left="1696" w:right="311" w:hanging="3"/>
      </w:pPr>
      <w:r>
        <w:rPr/>
        <w:t>Structural principles are</w:t>
      </w:r>
      <w:r>
        <w:rPr>
          <w:spacing w:val="-13"/>
        </w:rPr>
        <w:t> </w:t>
      </w:r>
      <w:r>
        <w:rPr/>
        <w:t>taught through</w:t>
      </w:r>
      <w:r>
        <w:rPr>
          <w:spacing w:val="-9"/>
        </w:rPr>
        <w:t> </w:t>
      </w:r>
      <w:r>
        <w:rPr/>
        <w:t>courses ARC</w:t>
      </w:r>
      <w:r>
        <w:rPr>
          <w:spacing w:val="-5"/>
        </w:rPr>
        <w:t> </w:t>
      </w:r>
      <w:r>
        <w:rPr/>
        <w:t>309-10, ARC 414</w:t>
      </w:r>
      <w:r>
        <w:rPr>
          <w:spacing w:val="-6"/>
        </w:rPr>
        <w:t> </w:t>
      </w:r>
      <w:r>
        <w:rPr/>
        <w:t>and</w:t>
      </w:r>
      <w:r>
        <w:rPr>
          <w:spacing w:val="-11"/>
        </w:rPr>
        <w:t> </w:t>
      </w:r>
      <w:r>
        <w:rPr/>
        <w:t>reinforced</w:t>
      </w:r>
      <w:r>
        <w:rPr>
          <w:spacing w:val="-2"/>
        </w:rPr>
        <w:t> </w:t>
      </w:r>
      <w:r>
        <w:rPr/>
        <w:t>in design studios. Students have an adequate understanding of</w:t>
      </w:r>
      <w:r>
        <w:rPr>
          <w:spacing w:val="-1"/>
        </w:rPr>
        <w:t> </w:t>
      </w:r>
      <w:r>
        <w:rPr/>
        <w:t>basic force resisting </w:t>
      </w:r>
      <w:r>
        <w:rPr>
          <w:spacing w:val="-2"/>
        </w:rPr>
        <w:t>systems.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12"/>
        </w:rPr>
      </w:pPr>
      <w:r>
        <w:rPr/>
        <w:pict>
          <v:shape style="position:absolute;margin-left:67.451866pt;margin-top:8.099524pt;width:454.85pt;height:.1pt;mso-position-horizontal-relative:page;mso-position-vertical-relative:paragraph;z-index:-15697408;mso-wrap-distance-left:0;mso-wrap-distance-right:0" id="docshape653" coordorigin="1349,162" coordsize="9097,0" path="m1349,162l10445,162e" filled="false" stroked="true" strokeweight=".481434pt" strokecolor="#000000">
            <v:path arrowok="t"/>
            <v:stroke dashstyle="solid"/>
            <w10:wrap type="topAndBottom"/>
          </v:shape>
        </w:pict>
      </w:r>
    </w:p>
    <w:p>
      <w:pPr>
        <w:pStyle w:val="BodyText"/>
        <w:ind w:right="217"/>
        <w:jc w:val="right"/>
      </w:pPr>
      <w:r>
        <w:rPr>
          <w:spacing w:val="-5"/>
          <w:w w:val="110"/>
        </w:rPr>
        <w:t>17</w:t>
      </w:r>
    </w:p>
    <w:p>
      <w:pPr>
        <w:spacing w:after="0"/>
        <w:jc w:val="right"/>
        <w:sectPr>
          <w:headerReference w:type="default" r:id="rId393"/>
          <w:footerReference w:type="default" r:id="rId394"/>
          <w:pgSz w:w="12180" w:h="15820"/>
          <w:pgMar w:header="686" w:footer="0" w:top="1380" w:bottom="280" w:left="1120" w:right="1180"/>
        </w:sectPr>
      </w:pPr>
    </w:p>
    <w:p>
      <w:pPr>
        <w:pStyle w:val="BodyText"/>
        <w:spacing w:before="3"/>
        <w:rPr>
          <w:sz w:val="18"/>
        </w:rPr>
      </w:pPr>
    </w:p>
    <w:p>
      <w:pPr>
        <w:pStyle w:val="ListParagraph"/>
        <w:numPr>
          <w:ilvl w:val="2"/>
          <w:numId w:val="75"/>
        </w:numPr>
        <w:tabs>
          <w:tab w:pos="1676" w:val="left" w:leader="none"/>
          <w:tab w:pos="1678" w:val="left" w:leader="none"/>
        </w:tabs>
        <w:spacing w:line="240" w:lineRule="auto" w:before="93" w:after="0"/>
        <w:ind w:left="1677" w:right="0" w:hanging="721"/>
        <w:jc w:val="left"/>
        <w:rPr>
          <w:sz w:val="21"/>
        </w:rPr>
      </w:pPr>
      <w:r>
        <w:rPr>
          <w:sz w:val="21"/>
        </w:rPr>
        <w:t>Environmental</w:t>
      </w:r>
      <w:r>
        <w:rPr>
          <w:spacing w:val="34"/>
          <w:sz w:val="21"/>
        </w:rPr>
        <w:t> </w:t>
      </w:r>
      <w:r>
        <w:rPr>
          <w:spacing w:val="-2"/>
          <w:sz w:val="21"/>
        </w:rPr>
        <w:t>Systems</w:t>
      </w:r>
    </w:p>
    <w:p>
      <w:pPr>
        <w:spacing w:line="252" w:lineRule="auto" w:before="207"/>
        <w:ind w:left="1675" w:right="475" w:firstLine="1"/>
        <w:jc w:val="left"/>
        <w:rPr>
          <w:i/>
          <w:sz w:val="19"/>
        </w:rPr>
      </w:pPr>
      <w:r>
        <w:rPr>
          <w:w w:val="105"/>
          <w:sz w:val="21"/>
        </w:rPr>
        <w:t>Understanding</w:t>
      </w:r>
      <w:r>
        <w:rPr>
          <w:spacing w:val="-16"/>
          <w:w w:val="105"/>
          <w:sz w:val="21"/>
        </w:rPr>
        <w:t> </w:t>
      </w:r>
      <w:r>
        <w:rPr>
          <w:w w:val="105"/>
          <w:sz w:val="21"/>
        </w:rPr>
        <w:t>of</w:t>
      </w:r>
      <w:r>
        <w:rPr>
          <w:spacing w:val="-15"/>
          <w:w w:val="105"/>
          <w:sz w:val="21"/>
        </w:rPr>
        <w:t> </w:t>
      </w:r>
      <w:r>
        <w:rPr>
          <w:i/>
          <w:w w:val="105"/>
          <w:sz w:val="19"/>
        </w:rPr>
        <w:t>the</w:t>
      </w:r>
      <w:r>
        <w:rPr>
          <w:i/>
          <w:spacing w:val="-15"/>
          <w:w w:val="105"/>
          <w:sz w:val="19"/>
        </w:rPr>
        <w:t> </w:t>
      </w:r>
      <w:r>
        <w:rPr>
          <w:i/>
          <w:w w:val="105"/>
          <w:sz w:val="19"/>
        </w:rPr>
        <w:t>basic</w:t>
      </w:r>
      <w:r>
        <w:rPr>
          <w:i/>
          <w:spacing w:val="-13"/>
          <w:w w:val="105"/>
          <w:sz w:val="19"/>
        </w:rPr>
        <w:t> </w:t>
      </w:r>
      <w:r>
        <w:rPr>
          <w:i/>
          <w:w w:val="105"/>
          <w:sz w:val="19"/>
        </w:rPr>
        <w:t>principles and</w:t>
      </w:r>
      <w:r>
        <w:rPr>
          <w:i/>
          <w:spacing w:val="-8"/>
          <w:w w:val="105"/>
          <w:sz w:val="19"/>
        </w:rPr>
        <w:t> </w:t>
      </w:r>
      <w:r>
        <w:rPr>
          <w:i/>
          <w:w w:val="105"/>
          <w:sz w:val="19"/>
        </w:rPr>
        <w:t>appropriate</w:t>
      </w:r>
      <w:r>
        <w:rPr>
          <w:i/>
          <w:spacing w:val="-6"/>
          <w:w w:val="105"/>
          <w:sz w:val="19"/>
        </w:rPr>
        <w:t> </w:t>
      </w:r>
      <w:r>
        <w:rPr>
          <w:i/>
          <w:w w:val="105"/>
          <w:sz w:val="19"/>
        </w:rPr>
        <w:t>application</w:t>
      </w:r>
      <w:r>
        <w:rPr>
          <w:i/>
          <w:spacing w:val="8"/>
          <w:w w:val="105"/>
          <w:sz w:val="19"/>
        </w:rPr>
        <w:t> </w:t>
      </w:r>
      <w:r>
        <w:rPr>
          <w:i/>
          <w:w w:val="105"/>
          <w:sz w:val="19"/>
        </w:rPr>
        <w:t>and</w:t>
      </w:r>
      <w:r>
        <w:rPr>
          <w:i/>
          <w:spacing w:val="-14"/>
          <w:w w:val="105"/>
          <w:sz w:val="19"/>
        </w:rPr>
        <w:t> </w:t>
      </w:r>
      <w:r>
        <w:rPr>
          <w:i/>
          <w:w w:val="105"/>
          <w:sz w:val="19"/>
        </w:rPr>
        <w:t>performance</w:t>
      </w:r>
      <w:r>
        <w:rPr>
          <w:i/>
          <w:spacing w:val="-3"/>
          <w:w w:val="105"/>
          <w:sz w:val="19"/>
        </w:rPr>
        <w:t> </w:t>
      </w:r>
      <w:r>
        <w:rPr>
          <w:i/>
          <w:w w:val="105"/>
          <w:sz w:val="19"/>
        </w:rPr>
        <w:t>of environmental</w:t>
      </w:r>
      <w:r>
        <w:rPr>
          <w:i/>
          <w:spacing w:val="-1"/>
          <w:w w:val="105"/>
          <w:sz w:val="19"/>
        </w:rPr>
        <w:t> </w:t>
      </w:r>
      <w:r>
        <w:rPr>
          <w:i/>
          <w:w w:val="105"/>
          <w:sz w:val="19"/>
        </w:rPr>
        <w:t>systems,</w:t>
      </w:r>
      <w:r>
        <w:rPr>
          <w:i/>
          <w:spacing w:val="-8"/>
          <w:w w:val="105"/>
          <w:sz w:val="19"/>
        </w:rPr>
        <w:t> </w:t>
      </w:r>
      <w:r>
        <w:rPr>
          <w:i/>
          <w:w w:val="105"/>
          <w:sz w:val="19"/>
        </w:rPr>
        <w:t>including</w:t>
      </w:r>
      <w:r>
        <w:rPr>
          <w:i/>
          <w:spacing w:val="-6"/>
          <w:w w:val="105"/>
          <w:sz w:val="19"/>
        </w:rPr>
        <w:t> </w:t>
      </w:r>
      <w:r>
        <w:rPr>
          <w:i/>
          <w:w w:val="105"/>
          <w:sz w:val="19"/>
        </w:rPr>
        <w:t>acoustical,</w:t>
      </w:r>
      <w:r>
        <w:rPr>
          <w:i/>
          <w:spacing w:val="-2"/>
          <w:w w:val="105"/>
          <w:sz w:val="19"/>
        </w:rPr>
        <w:t> </w:t>
      </w:r>
      <w:r>
        <w:rPr>
          <w:i/>
          <w:w w:val="105"/>
          <w:sz w:val="19"/>
        </w:rPr>
        <w:t>lighting,</w:t>
      </w:r>
      <w:r>
        <w:rPr>
          <w:i/>
          <w:spacing w:val="-3"/>
          <w:w w:val="105"/>
          <w:sz w:val="19"/>
        </w:rPr>
        <w:t> </w:t>
      </w:r>
      <w:r>
        <w:rPr>
          <w:i/>
          <w:w w:val="105"/>
          <w:sz w:val="19"/>
        </w:rPr>
        <w:t>and</w:t>
      </w:r>
      <w:r>
        <w:rPr>
          <w:i/>
          <w:spacing w:val="-8"/>
          <w:w w:val="105"/>
          <w:sz w:val="19"/>
        </w:rPr>
        <w:t> </w:t>
      </w:r>
      <w:r>
        <w:rPr>
          <w:i/>
          <w:w w:val="105"/>
          <w:sz w:val="19"/>
        </w:rPr>
        <w:t>climate</w:t>
      </w:r>
      <w:r>
        <w:rPr>
          <w:i/>
          <w:spacing w:val="-10"/>
          <w:w w:val="105"/>
          <w:sz w:val="19"/>
        </w:rPr>
        <w:t> </w:t>
      </w:r>
      <w:r>
        <w:rPr>
          <w:i/>
          <w:w w:val="105"/>
          <w:sz w:val="19"/>
        </w:rPr>
        <w:t>modification</w:t>
      </w:r>
      <w:r>
        <w:rPr>
          <w:i/>
          <w:spacing w:val="-3"/>
          <w:w w:val="105"/>
          <w:sz w:val="19"/>
        </w:rPr>
        <w:t> </w:t>
      </w:r>
      <w:r>
        <w:rPr>
          <w:i/>
          <w:w w:val="105"/>
          <w:sz w:val="19"/>
        </w:rPr>
        <w:t>systems, and energy use, integrated with the building envelope</w:t>
      </w:r>
    </w:p>
    <w:p>
      <w:pPr>
        <w:tabs>
          <w:tab w:pos="8297" w:val="left" w:leader="none"/>
        </w:tabs>
        <w:spacing w:line="190" w:lineRule="exact" w:before="0"/>
        <w:ind w:left="7411" w:right="0" w:firstLine="0"/>
        <w:jc w:val="left"/>
        <w:rPr>
          <w:sz w:val="21"/>
        </w:rPr>
      </w:pPr>
      <w:r>
        <w:rPr>
          <w:spacing w:val="-5"/>
          <w:sz w:val="21"/>
        </w:rPr>
        <w:t>Met</w:t>
      </w:r>
      <w:r>
        <w:rPr>
          <w:sz w:val="21"/>
        </w:rPr>
        <w:tab/>
      </w:r>
      <w:r>
        <w:rPr>
          <w:w w:val="95"/>
          <w:sz w:val="21"/>
        </w:rPr>
        <w:t>Not</w:t>
      </w:r>
      <w:r>
        <w:rPr>
          <w:spacing w:val="-4"/>
          <w:w w:val="95"/>
          <w:sz w:val="21"/>
        </w:rPr>
        <w:t> </w:t>
      </w:r>
      <w:r>
        <w:rPr>
          <w:spacing w:val="-5"/>
          <w:sz w:val="21"/>
        </w:rPr>
        <w:t>Met</w:t>
      </w:r>
    </w:p>
    <w:p>
      <w:pPr>
        <w:tabs>
          <w:tab w:pos="8529" w:val="left" w:leader="none"/>
        </w:tabs>
        <w:spacing w:line="340" w:lineRule="exact" w:before="0"/>
        <w:ind w:left="7477" w:right="0" w:firstLine="0"/>
        <w:jc w:val="left"/>
        <w:rPr>
          <w:sz w:val="32"/>
        </w:rPr>
      </w:pPr>
      <w:r>
        <w:rPr>
          <w:b/>
          <w:spacing w:val="-5"/>
          <w:w w:val="105"/>
          <w:sz w:val="23"/>
        </w:rPr>
        <w:t>[XI</w:t>
      </w:r>
      <w:r>
        <w:rPr>
          <w:b/>
          <w:sz w:val="23"/>
        </w:rPr>
        <w:tab/>
      </w:r>
      <w:r>
        <w:rPr>
          <w:w w:val="105"/>
          <w:sz w:val="23"/>
        </w:rPr>
        <w:t>[</w:t>
      </w:r>
      <w:r>
        <w:rPr>
          <w:spacing w:val="52"/>
          <w:w w:val="105"/>
          <w:sz w:val="23"/>
        </w:rPr>
        <w:t> </w:t>
      </w:r>
      <w:r>
        <w:rPr>
          <w:spacing w:val="-10"/>
          <w:w w:val="105"/>
          <w:sz w:val="32"/>
        </w:rPr>
        <w:t>l</w:t>
      </w:r>
    </w:p>
    <w:p>
      <w:pPr>
        <w:spacing w:line="230" w:lineRule="auto" w:before="215"/>
        <w:ind w:left="1670" w:right="424" w:firstLine="8"/>
        <w:jc w:val="left"/>
        <w:rPr>
          <w:sz w:val="21"/>
        </w:rPr>
      </w:pPr>
      <w:r>
        <w:rPr>
          <w:w w:val="95"/>
          <w:sz w:val="21"/>
        </w:rPr>
        <w:t>Basic</w:t>
      </w:r>
      <w:r>
        <w:rPr>
          <w:spacing w:val="-7"/>
          <w:w w:val="95"/>
          <w:sz w:val="21"/>
        </w:rPr>
        <w:t> </w:t>
      </w:r>
      <w:r>
        <w:rPr>
          <w:w w:val="95"/>
          <w:sz w:val="21"/>
        </w:rPr>
        <w:t>principles of</w:t>
      </w:r>
      <w:r>
        <w:rPr>
          <w:spacing w:val="-8"/>
          <w:w w:val="95"/>
          <w:sz w:val="21"/>
        </w:rPr>
        <w:t> </w:t>
      </w:r>
      <w:r>
        <w:rPr>
          <w:w w:val="95"/>
          <w:sz w:val="21"/>
        </w:rPr>
        <w:t>environmental systems</w:t>
      </w:r>
      <w:r>
        <w:rPr>
          <w:spacing w:val="-3"/>
          <w:w w:val="95"/>
          <w:sz w:val="21"/>
        </w:rPr>
        <w:t> </w:t>
      </w:r>
      <w:r>
        <w:rPr>
          <w:w w:val="95"/>
          <w:sz w:val="21"/>
        </w:rPr>
        <w:t>design are</w:t>
      </w:r>
      <w:r>
        <w:rPr>
          <w:spacing w:val="-8"/>
          <w:w w:val="95"/>
          <w:sz w:val="21"/>
        </w:rPr>
        <w:t> </w:t>
      </w:r>
      <w:r>
        <w:rPr>
          <w:w w:val="95"/>
          <w:sz w:val="21"/>
        </w:rPr>
        <w:t>presented through a</w:t>
      </w:r>
      <w:r>
        <w:rPr>
          <w:spacing w:val="-6"/>
          <w:w w:val="95"/>
          <w:sz w:val="21"/>
        </w:rPr>
        <w:t> </w:t>
      </w:r>
      <w:r>
        <w:rPr>
          <w:w w:val="95"/>
          <w:sz w:val="21"/>
        </w:rPr>
        <w:t>single core subject course ARC 315 and</w:t>
      </w:r>
      <w:r>
        <w:rPr>
          <w:spacing w:val="-1"/>
          <w:w w:val="95"/>
          <w:sz w:val="21"/>
        </w:rPr>
        <w:t> </w:t>
      </w:r>
      <w:r>
        <w:rPr>
          <w:w w:val="95"/>
          <w:sz w:val="21"/>
        </w:rPr>
        <w:t>integrated through the 3ril and</w:t>
      </w:r>
      <w:r>
        <w:rPr>
          <w:spacing w:val="-10"/>
          <w:w w:val="95"/>
          <w:sz w:val="21"/>
        </w:rPr>
        <w:t> </w:t>
      </w:r>
      <w:r>
        <w:rPr>
          <w:w w:val="95"/>
          <w:sz w:val="21"/>
        </w:rPr>
        <w:t>4</w:t>
      </w:r>
      <w:r>
        <w:rPr>
          <w:w w:val="95"/>
          <w:sz w:val="21"/>
          <w:vertAlign w:val="superscript"/>
        </w:rPr>
        <w:t>th</w:t>
      </w:r>
      <w:r>
        <w:rPr>
          <w:w w:val="95"/>
          <w:sz w:val="21"/>
          <w:vertAlign w:val="baseline"/>
        </w:rPr>
        <w:t> year</w:t>
      </w:r>
      <w:r>
        <w:rPr>
          <w:spacing w:val="-1"/>
          <w:w w:val="95"/>
          <w:sz w:val="21"/>
          <w:vertAlign w:val="baseline"/>
        </w:rPr>
        <w:t> </w:t>
      </w:r>
      <w:r>
        <w:rPr>
          <w:w w:val="95"/>
          <w:sz w:val="21"/>
          <w:vertAlign w:val="baseline"/>
        </w:rPr>
        <w:t>comprehensive project assignments. Course content and exam results suggest basic principals are understood by the</w:t>
      </w:r>
      <w:r>
        <w:rPr>
          <w:spacing w:val="-9"/>
          <w:w w:val="95"/>
          <w:sz w:val="21"/>
          <w:vertAlign w:val="baseline"/>
        </w:rPr>
        <w:t> </w:t>
      </w:r>
      <w:r>
        <w:rPr>
          <w:w w:val="95"/>
          <w:sz w:val="21"/>
          <w:vertAlign w:val="baseline"/>
        </w:rPr>
        <w:t>students</w:t>
      </w:r>
      <w:r>
        <w:rPr>
          <w:spacing w:val="-3"/>
          <w:w w:val="95"/>
          <w:sz w:val="21"/>
          <w:vertAlign w:val="baseline"/>
        </w:rPr>
        <w:t> </w:t>
      </w:r>
      <w:r>
        <w:rPr>
          <w:w w:val="95"/>
          <w:sz w:val="21"/>
          <w:vertAlign w:val="baseline"/>
        </w:rPr>
        <w:t>but</w:t>
      </w:r>
      <w:r>
        <w:rPr>
          <w:spacing w:val="-17"/>
          <w:w w:val="95"/>
          <w:sz w:val="21"/>
          <w:vertAlign w:val="baseline"/>
        </w:rPr>
        <w:t> </w:t>
      </w:r>
      <w:r>
        <w:rPr>
          <w:w w:val="95"/>
          <w:sz w:val="21"/>
          <w:vertAlign w:val="baseline"/>
        </w:rPr>
        <w:t>there</w:t>
      </w:r>
      <w:r>
        <w:rPr>
          <w:spacing w:val="-2"/>
          <w:w w:val="95"/>
          <w:sz w:val="21"/>
          <w:vertAlign w:val="baseline"/>
        </w:rPr>
        <w:t> </w:t>
      </w:r>
      <w:r>
        <w:rPr>
          <w:w w:val="95"/>
          <w:sz w:val="21"/>
          <w:vertAlign w:val="baseline"/>
        </w:rPr>
        <w:t>is</w:t>
      </w:r>
      <w:r>
        <w:rPr>
          <w:spacing w:val="-15"/>
          <w:w w:val="95"/>
          <w:sz w:val="21"/>
          <w:vertAlign w:val="baseline"/>
        </w:rPr>
        <w:t> </w:t>
      </w:r>
      <w:r>
        <w:rPr>
          <w:w w:val="95"/>
          <w:sz w:val="21"/>
          <w:vertAlign w:val="baseline"/>
        </w:rPr>
        <w:t>weak</w:t>
      </w:r>
      <w:r>
        <w:rPr>
          <w:spacing w:val="-5"/>
          <w:w w:val="95"/>
          <w:sz w:val="21"/>
          <w:vertAlign w:val="baseline"/>
        </w:rPr>
        <w:t> </w:t>
      </w:r>
      <w:r>
        <w:rPr>
          <w:w w:val="95"/>
          <w:sz w:val="21"/>
          <w:vertAlign w:val="baseline"/>
        </w:rPr>
        <w:t>evidence this</w:t>
      </w:r>
      <w:r>
        <w:rPr>
          <w:spacing w:val="-11"/>
          <w:w w:val="95"/>
          <w:sz w:val="21"/>
          <w:vertAlign w:val="baseline"/>
        </w:rPr>
        <w:t> </w:t>
      </w:r>
      <w:r>
        <w:rPr>
          <w:w w:val="95"/>
          <w:sz w:val="21"/>
          <w:vertAlign w:val="baseline"/>
        </w:rPr>
        <w:t>understanding</w:t>
      </w:r>
      <w:r>
        <w:rPr>
          <w:spacing w:val="19"/>
          <w:sz w:val="21"/>
          <w:vertAlign w:val="baseline"/>
        </w:rPr>
        <w:t> </w:t>
      </w:r>
      <w:r>
        <w:rPr>
          <w:w w:val="95"/>
          <w:sz w:val="21"/>
          <w:vertAlign w:val="baseline"/>
        </w:rPr>
        <w:t>is</w:t>
      </w:r>
      <w:r>
        <w:rPr>
          <w:spacing w:val="-8"/>
          <w:w w:val="95"/>
          <w:sz w:val="21"/>
          <w:vertAlign w:val="baseline"/>
        </w:rPr>
        <w:t> </w:t>
      </w:r>
      <w:r>
        <w:rPr>
          <w:w w:val="95"/>
          <w:sz w:val="21"/>
          <w:vertAlign w:val="baseline"/>
        </w:rPr>
        <w:t>translated into application at the</w:t>
      </w:r>
      <w:r>
        <w:rPr>
          <w:spacing w:val="-6"/>
          <w:w w:val="95"/>
          <w:sz w:val="21"/>
          <w:vertAlign w:val="baseline"/>
        </w:rPr>
        <w:t> </w:t>
      </w:r>
      <w:r>
        <w:rPr>
          <w:w w:val="95"/>
          <w:sz w:val="21"/>
          <w:vertAlign w:val="baseline"/>
        </w:rPr>
        <w:t>4</w:t>
      </w:r>
      <w:r>
        <w:rPr>
          <w:w w:val="95"/>
          <w:sz w:val="21"/>
          <w:vertAlign w:val="superscript"/>
        </w:rPr>
        <w:t>111</w:t>
      </w:r>
      <w:r>
        <w:rPr>
          <w:w w:val="95"/>
          <w:sz w:val="21"/>
          <w:vertAlign w:val="baseline"/>
        </w:rPr>
        <w:t>year comprehensive project appropriate</w:t>
      </w:r>
      <w:r>
        <w:rPr>
          <w:spacing w:val="29"/>
          <w:sz w:val="21"/>
          <w:vertAlign w:val="baseline"/>
        </w:rPr>
        <w:t> </w:t>
      </w:r>
      <w:r>
        <w:rPr>
          <w:w w:val="95"/>
          <w:sz w:val="21"/>
          <w:vertAlign w:val="baseline"/>
        </w:rPr>
        <w:t>to</w:t>
      </w:r>
      <w:r>
        <w:rPr>
          <w:spacing w:val="-13"/>
          <w:w w:val="95"/>
          <w:sz w:val="21"/>
          <w:vertAlign w:val="baseline"/>
        </w:rPr>
        <w:t> </w:t>
      </w:r>
      <w:r>
        <w:rPr>
          <w:w w:val="95"/>
          <w:sz w:val="21"/>
          <w:vertAlign w:val="baseline"/>
        </w:rPr>
        <w:t>a Master of Architecture professional degree.</w:t>
      </w:r>
      <w:r>
        <w:rPr>
          <w:spacing w:val="40"/>
          <w:sz w:val="21"/>
          <w:vertAlign w:val="baseline"/>
        </w:rPr>
        <w:t> </w:t>
      </w:r>
      <w:r>
        <w:rPr>
          <w:w w:val="95"/>
          <w:sz w:val="21"/>
          <w:vertAlign w:val="baseline"/>
        </w:rPr>
        <w:t>The</w:t>
      </w:r>
      <w:r>
        <w:rPr>
          <w:spacing w:val="-3"/>
          <w:w w:val="95"/>
          <w:sz w:val="21"/>
          <w:vertAlign w:val="baseline"/>
        </w:rPr>
        <w:t> </w:t>
      </w:r>
      <w:r>
        <w:rPr>
          <w:w w:val="95"/>
          <w:sz w:val="21"/>
          <w:vertAlign w:val="baseline"/>
        </w:rPr>
        <w:t>Team found this criterion a</w:t>
      </w:r>
      <w:r>
        <w:rPr>
          <w:spacing w:val="-4"/>
          <w:w w:val="95"/>
          <w:sz w:val="21"/>
          <w:vertAlign w:val="baseline"/>
        </w:rPr>
        <w:t> </w:t>
      </w:r>
      <w:r>
        <w:rPr>
          <w:w w:val="95"/>
          <w:sz w:val="21"/>
          <w:vertAlign w:val="baseline"/>
        </w:rPr>
        <w:t>cause for concern.</w:t>
      </w:r>
    </w:p>
    <w:p>
      <w:pPr>
        <w:pStyle w:val="BodyText"/>
        <w:rPr>
          <w:sz w:val="24"/>
        </w:rPr>
      </w:pPr>
    </w:p>
    <w:p>
      <w:pPr>
        <w:pStyle w:val="Heading9"/>
        <w:numPr>
          <w:ilvl w:val="2"/>
          <w:numId w:val="75"/>
        </w:numPr>
        <w:tabs>
          <w:tab w:pos="1677" w:val="left" w:leader="none"/>
          <w:tab w:pos="1678" w:val="left" w:leader="none"/>
        </w:tabs>
        <w:spacing w:line="240" w:lineRule="auto" w:before="183" w:after="0"/>
        <w:ind w:left="1677" w:right="0" w:hanging="715"/>
        <w:jc w:val="left"/>
      </w:pPr>
      <w:r>
        <w:rPr>
          <w:w w:val="90"/>
        </w:rPr>
        <w:t>LHe-</w:t>
      </w:r>
      <w:r>
        <w:rPr>
          <w:spacing w:val="-2"/>
          <w:w w:val="95"/>
        </w:rPr>
        <w:t>Safety</w:t>
      </w:r>
    </w:p>
    <w:p>
      <w:pPr>
        <w:spacing w:before="211"/>
        <w:ind w:left="1677" w:right="0" w:firstLine="0"/>
        <w:jc w:val="left"/>
        <w:rPr>
          <w:i/>
          <w:sz w:val="19"/>
        </w:rPr>
      </w:pPr>
      <w:r>
        <w:rPr>
          <w:sz w:val="21"/>
        </w:rPr>
        <w:t>Understanding</w:t>
      </w:r>
      <w:r>
        <w:rPr>
          <w:spacing w:val="26"/>
          <w:sz w:val="21"/>
        </w:rPr>
        <w:t> </w:t>
      </w:r>
      <w:r>
        <w:rPr>
          <w:sz w:val="21"/>
        </w:rPr>
        <w:t>of</w:t>
      </w:r>
      <w:r>
        <w:rPr>
          <w:spacing w:val="-4"/>
          <w:sz w:val="21"/>
        </w:rPr>
        <w:t> </w:t>
      </w:r>
      <w:r>
        <w:rPr>
          <w:i/>
          <w:sz w:val="19"/>
        </w:rPr>
        <w:t>the</w:t>
      </w:r>
      <w:r>
        <w:rPr>
          <w:i/>
          <w:spacing w:val="-7"/>
          <w:sz w:val="19"/>
        </w:rPr>
        <w:t> </w:t>
      </w:r>
      <w:r>
        <w:rPr>
          <w:i/>
          <w:sz w:val="19"/>
        </w:rPr>
        <w:t>basic</w:t>
      </w:r>
      <w:r>
        <w:rPr>
          <w:i/>
          <w:spacing w:val="7"/>
          <w:sz w:val="19"/>
        </w:rPr>
        <w:t> </w:t>
      </w:r>
      <w:r>
        <w:rPr>
          <w:i/>
          <w:sz w:val="19"/>
        </w:rPr>
        <w:t>principles</w:t>
      </w:r>
      <w:r>
        <w:rPr>
          <w:i/>
          <w:spacing w:val="23"/>
          <w:sz w:val="19"/>
        </w:rPr>
        <w:t> </w:t>
      </w:r>
      <w:r>
        <w:rPr>
          <w:i/>
          <w:sz w:val="19"/>
        </w:rPr>
        <w:t>of</w:t>
      </w:r>
      <w:r>
        <w:rPr>
          <w:i/>
          <w:spacing w:val="-5"/>
          <w:sz w:val="19"/>
        </w:rPr>
        <w:t> </w:t>
      </w:r>
      <w:r>
        <w:rPr>
          <w:i/>
          <w:sz w:val="19"/>
        </w:rPr>
        <w:t>lffe-safety</w:t>
      </w:r>
      <w:r>
        <w:rPr>
          <w:i/>
          <w:spacing w:val="18"/>
          <w:sz w:val="19"/>
        </w:rPr>
        <w:t> </w:t>
      </w:r>
      <w:r>
        <w:rPr>
          <w:i/>
          <w:sz w:val="19"/>
        </w:rPr>
        <w:t>systems</w:t>
      </w:r>
      <w:r>
        <w:rPr>
          <w:i/>
          <w:spacing w:val="10"/>
          <w:sz w:val="19"/>
        </w:rPr>
        <w:t> </w:t>
      </w:r>
      <w:r>
        <w:rPr>
          <w:i/>
          <w:sz w:val="19"/>
        </w:rPr>
        <w:t>with</w:t>
      </w:r>
      <w:r>
        <w:rPr>
          <w:i/>
          <w:spacing w:val="1"/>
          <w:sz w:val="19"/>
        </w:rPr>
        <w:t> </w:t>
      </w:r>
      <w:r>
        <w:rPr>
          <w:i/>
          <w:sz w:val="19"/>
        </w:rPr>
        <w:t>an emphasis</w:t>
      </w:r>
      <w:r>
        <w:rPr>
          <w:i/>
          <w:spacing w:val="22"/>
          <w:sz w:val="19"/>
        </w:rPr>
        <w:t> </w:t>
      </w:r>
      <w:r>
        <w:rPr>
          <w:i/>
          <w:sz w:val="19"/>
        </w:rPr>
        <w:t>on</w:t>
      </w:r>
      <w:r>
        <w:rPr>
          <w:i/>
          <w:spacing w:val="-2"/>
          <w:sz w:val="19"/>
        </w:rPr>
        <w:t> egress</w:t>
      </w:r>
    </w:p>
    <w:p>
      <w:pPr>
        <w:pStyle w:val="BodyText"/>
        <w:spacing w:before="2"/>
        <w:rPr>
          <w:i/>
          <w:sz w:val="19"/>
        </w:rPr>
      </w:pPr>
    </w:p>
    <w:p>
      <w:pPr>
        <w:tabs>
          <w:tab w:pos="8297" w:val="left" w:leader="none"/>
        </w:tabs>
        <w:spacing w:line="205" w:lineRule="exact" w:before="0"/>
        <w:ind w:left="7411" w:right="0" w:firstLine="0"/>
        <w:jc w:val="left"/>
        <w:rPr>
          <w:sz w:val="21"/>
        </w:rPr>
      </w:pPr>
      <w:r>
        <w:rPr>
          <w:spacing w:val="-5"/>
          <w:sz w:val="21"/>
        </w:rPr>
        <w:t>Met</w:t>
      </w:r>
      <w:r>
        <w:rPr>
          <w:sz w:val="21"/>
        </w:rPr>
        <w:tab/>
        <w:t>Not</w:t>
      </w:r>
      <w:r>
        <w:rPr>
          <w:spacing w:val="-23"/>
          <w:sz w:val="21"/>
        </w:rPr>
        <w:t> </w:t>
      </w:r>
      <w:r>
        <w:rPr>
          <w:spacing w:val="-5"/>
          <w:sz w:val="21"/>
        </w:rPr>
        <w:t>Met</w:t>
      </w:r>
    </w:p>
    <w:p>
      <w:pPr>
        <w:tabs>
          <w:tab w:pos="8529" w:val="left" w:leader="none"/>
        </w:tabs>
        <w:spacing w:line="343" w:lineRule="exact" w:before="0"/>
        <w:ind w:left="7477" w:right="0" w:firstLine="0"/>
        <w:jc w:val="left"/>
        <w:rPr>
          <w:rFonts w:ascii="Times New Roman"/>
          <w:sz w:val="33"/>
        </w:rPr>
      </w:pPr>
      <w:r>
        <w:rPr>
          <w:b/>
          <w:spacing w:val="-5"/>
          <w:sz w:val="23"/>
        </w:rPr>
        <w:t>[XI</w:t>
      </w:r>
      <w:r>
        <w:rPr>
          <w:b/>
          <w:sz w:val="23"/>
        </w:rPr>
        <w:tab/>
      </w:r>
      <w:r>
        <w:rPr>
          <w:sz w:val="23"/>
        </w:rPr>
        <w:t>[</w:t>
      </w:r>
      <w:r>
        <w:rPr>
          <w:spacing w:val="48"/>
          <w:w w:val="150"/>
          <w:sz w:val="23"/>
        </w:rPr>
        <w:t> </w:t>
      </w:r>
      <w:r>
        <w:rPr>
          <w:rFonts w:ascii="Times New Roman"/>
          <w:spacing w:val="-10"/>
          <w:sz w:val="33"/>
        </w:rPr>
        <w:t>I</w:t>
      </w:r>
    </w:p>
    <w:p>
      <w:pPr>
        <w:spacing w:line="230" w:lineRule="auto" w:before="241"/>
        <w:ind w:left="1675" w:right="0" w:hanging="2"/>
        <w:jc w:val="left"/>
        <w:rPr>
          <w:sz w:val="21"/>
        </w:rPr>
      </w:pPr>
      <w:r>
        <w:rPr>
          <w:w w:val="95"/>
          <w:sz w:val="21"/>
        </w:rPr>
        <w:t>Students</w:t>
      </w:r>
      <w:r>
        <w:rPr>
          <w:spacing w:val="-4"/>
          <w:w w:val="95"/>
          <w:sz w:val="21"/>
        </w:rPr>
        <w:t> </w:t>
      </w:r>
      <w:r>
        <w:rPr>
          <w:w w:val="95"/>
          <w:sz w:val="21"/>
        </w:rPr>
        <w:t>develop an</w:t>
      </w:r>
      <w:r>
        <w:rPr>
          <w:spacing w:val="-22"/>
          <w:w w:val="95"/>
          <w:sz w:val="21"/>
        </w:rPr>
        <w:t> </w:t>
      </w:r>
      <w:r>
        <w:rPr>
          <w:w w:val="95"/>
          <w:sz w:val="21"/>
        </w:rPr>
        <w:t>understanding of</w:t>
      </w:r>
      <w:r>
        <w:rPr>
          <w:spacing w:val="-20"/>
          <w:w w:val="95"/>
          <w:sz w:val="21"/>
        </w:rPr>
        <w:t> </w:t>
      </w:r>
      <w:r>
        <w:rPr>
          <w:w w:val="95"/>
          <w:sz w:val="21"/>
        </w:rPr>
        <w:t>life</w:t>
      </w:r>
      <w:r>
        <w:rPr>
          <w:spacing w:val="-10"/>
          <w:w w:val="95"/>
          <w:sz w:val="21"/>
        </w:rPr>
        <w:t> </w:t>
      </w:r>
      <w:r>
        <w:rPr>
          <w:w w:val="95"/>
          <w:sz w:val="21"/>
        </w:rPr>
        <w:t>safety</w:t>
      </w:r>
      <w:r>
        <w:rPr>
          <w:spacing w:val="-4"/>
          <w:w w:val="95"/>
          <w:sz w:val="21"/>
        </w:rPr>
        <w:t> </w:t>
      </w:r>
      <w:r>
        <w:rPr>
          <w:w w:val="95"/>
          <w:sz w:val="21"/>
        </w:rPr>
        <w:t>principles and</w:t>
      </w:r>
      <w:r>
        <w:rPr>
          <w:spacing w:val="-5"/>
          <w:w w:val="95"/>
          <w:sz w:val="21"/>
        </w:rPr>
        <w:t> </w:t>
      </w:r>
      <w:r>
        <w:rPr>
          <w:w w:val="95"/>
          <w:sz w:val="21"/>
        </w:rPr>
        <w:t>egress concepts through </w:t>
      </w:r>
      <w:r>
        <w:rPr>
          <w:spacing w:val="-2"/>
          <w:sz w:val="21"/>
        </w:rPr>
        <w:t>courses</w:t>
      </w:r>
      <w:r>
        <w:rPr>
          <w:spacing w:val="-13"/>
          <w:sz w:val="21"/>
        </w:rPr>
        <w:t> </w:t>
      </w:r>
      <w:r>
        <w:rPr>
          <w:spacing w:val="-2"/>
          <w:sz w:val="21"/>
        </w:rPr>
        <w:t>ARC</w:t>
      </w:r>
      <w:r>
        <w:rPr>
          <w:spacing w:val="-13"/>
          <w:sz w:val="21"/>
        </w:rPr>
        <w:t> </w:t>
      </w:r>
      <w:r>
        <w:rPr>
          <w:spacing w:val="-2"/>
          <w:sz w:val="21"/>
        </w:rPr>
        <w:t>405-6</w:t>
      </w:r>
      <w:r>
        <w:rPr>
          <w:spacing w:val="-13"/>
          <w:sz w:val="21"/>
        </w:rPr>
        <w:t> </w:t>
      </w:r>
      <w:r>
        <w:rPr>
          <w:spacing w:val="-2"/>
          <w:sz w:val="21"/>
        </w:rPr>
        <w:t>and</w:t>
      </w:r>
      <w:r>
        <w:rPr>
          <w:spacing w:val="-12"/>
          <w:sz w:val="21"/>
        </w:rPr>
        <w:t> </w:t>
      </w:r>
      <w:r>
        <w:rPr>
          <w:spacing w:val="-2"/>
          <w:sz w:val="21"/>
        </w:rPr>
        <w:t>ARC</w:t>
      </w:r>
      <w:r>
        <w:rPr>
          <w:spacing w:val="-11"/>
          <w:sz w:val="21"/>
        </w:rPr>
        <w:t> </w:t>
      </w:r>
      <w:r>
        <w:rPr>
          <w:spacing w:val="-2"/>
          <w:sz w:val="21"/>
        </w:rPr>
        <w:t>414</w:t>
      </w:r>
      <w:r>
        <w:rPr>
          <w:spacing w:val="-15"/>
          <w:sz w:val="21"/>
        </w:rPr>
        <w:t> </w:t>
      </w:r>
      <w:r>
        <w:rPr>
          <w:spacing w:val="-2"/>
          <w:sz w:val="21"/>
        </w:rPr>
        <w:t>Advanced Structures and</w:t>
      </w:r>
      <w:r>
        <w:rPr>
          <w:spacing w:val="-11"/>
          <w:sz w:val="21"/>
        </w:rPr>
        <w:t> </w:t>
      </w:r>
      <w:r>
        <w:rPr>
          <w:spacing w:val="-2"/>
          <w:sz w:val="21"/>
        </w:rPr>
        <w:t>Building</w:t>
      </w:r>
      <w:r>
        <w:rPr>
          <w:spacing w:val="-4"/>
          <w:sz w:val="21"/>
        </w:rPr>
        <w:t> </w:t>
      </w:r>
      <w:r>
        <w:rPr>
          <w:spacing w:val="-2"/>
          <w:sz w:val="21"/>
        </w:rPr>
        <w:t>Systems</w:t>
      </w:r>
      <w:r>
        <w:rPr>
          <w:spacing w:val="-5"/>
          <w:sz w:val="21"/>
        </w:rPr>
        <w:t> </w:t>
      </w:r>
      <w:r>
        <w:rPr>
          <w:spacing w:val="-2"/>
          <w:sz w:val="21"/>
        </w:rPr>
        <w:t>Ill.</w:t>
      </w:r>
    </w:p>
    <w:p>
      <w:pPr>
        <w:pStyle w:val="BodyText"/>
        <w:rPr>
          <w:sz w:val="24"/>
        </w:rPr>
      </w:pPr>
    </w:p>
    <w:p>
      <w:pPr>
        <w:pStyle w:val="ListParagraph"/>
        <w:numPr>
          <w:ilvl w:val="2"/>
          <w:numId w:val="75"/>
        </w:numPr>
        <w:tabs>
          <w:tab w:pos="1678" w:val="left" w:leader="none"/>
          <w:tab w:pos="1679" w:val="left" w:leader="none"/>
        </w:tabs>
        <w:spacing w:line="240" w:lineRule="auto" w:before="177" w:after="0"/>
        <w:ind w:left="1678" w:right="0" w:hanging="722"/>
        <w:jc w:val="left"/>
        <w:rPr>
          <w:sz w:val="21"/>
        </w:rPr>
      </w:pPr>
      <w:r>
        <w:rPr>
          <w:sz w:val="21"/>
        </w:rPr>
        <w:t>Building</w:t>
      </w:r>
      <w:r>
        <w:rPr>
          <w:spacing w:val="12"/>
          <w:sz w:val="21"/>
        </w:rPr>
        <w:t> </w:t>
      </w:r>
      <w:r>
        <w:rPr>
          <w:sz w:val="21"/>
        </w:rPr>
        <w:t>Envelope</w:t>
      </w:r>
      <w:r>
        <w:rPr>
          <w:spacing w:val="30"/>
          <w:sz w:val="21"/>
        </w:rPr>
        <w:t> </w:t>
      </w:r>
      <w:r>
        <w:rPr>
          <w:spacing w:val="-2"/>
          <w:sz w:val="21"/>
        </w:rPr>
        <w:t>Systems</w:t>
      </w:r>
    </w:p>
    <w:p>
      <w:pPr>
        <w:spacing w:line="256" w:lineRule="auto" w:before="206"/>
        <w:ind w:left="1677" w:right="424" w:hanging="1"/>
        <w:jc w:val="left"/>
        <w:rPr>
          <w:i/>
          <w:sz w:val="19"/>
        </w:rPr>
      </w:pPr>
      <w:r>
        <w:rPr>
          <w:spacing w:val="-2"/>
          <w:w w:val="105"/>
          <w:sz w:val="21"/>
        </w:rPr>
        <w:t>Understanding</w:t>
      </w:r>
      <w:r>
        <w:rPr>
          <w:spacing w:val="-4"/>
          <w:w w:val="105"/>
          <w:sz w:val="21"/>
        </w:rPr>
        <w:t> </w:t>
      </w:r>
      <w:r>
        <w:rPr>
          <w:spacing w:val="-2"/>
          <w:w w:val="105"/>
          <w:sz w:val="21"/>
        </w:rPr>
        <w:t>of</w:t>
      </w:r>
      <w:r>
        <w:rPr>
          <w:spacing w:val="-14"/>
          <w:w w:val="105"/>
          <w:sz w:val="21"/>
        </w:rPr>
        <w:t> </w:t>
      </w:r>
      <w:r>
        <w:rPr>
          <w:i/>
          <w:spacing w:val="-2"/>
          <w:w w:val="105"/>
          <w:sz w:val="19"/>
        </w:rPr>
        <w:t>the</w:t>
      </w:r>
      <w:r>
        <w:rPr>
          <w:i/>
          <w:spacing w:val="-11"/>
          <w:w w:val="105"/>
          <w:sz w:val="19"/>
        </w:rPr>
        <w:t> </w:t>
      </w:r>
      <w:r>
        <w:rPr>
          <w:i/>
          <w:spacing w:val="-2"/>
          <w:w w:val="105"/>
          <w:sz w:val="19"/>
        </w:rPr>
        <w:t>basic principles and</w:t>
      </w:r>
      <w:r>
        <w:rPr>
          <w:i/>
          <w:spacing w:val="-12"/>
          <w:w w:val="105"/>
          <w:sz w:val="19"/>
        </w:rPr>
        <w:t> </w:t>
      </w:r>
      <w:r>
        <w:rPr>
          <w:i/>
          <w:spacing w:val="-2"/>
          <w:w w:val="105"/>
          <w:sz w:val="19"/>
        </w:rPr>
        <w:t>appropriate application and</w:t>
      </w:r>
      <w:r>
        <w:rPr>
          <w:i/>
          <w:spacing w:val="-7"/>
          <w:w w:val="105"/>
          <w:sz w:val="19"/>
        </w:rPr>
        <w:t> </w:t>
      </w:r>
      <w:r>
        <w:rPr>
          <w:i/>
          <w:spacing w:val="-2"/>
          <w:w w:val="105"/>
          <w:sz w:val="19"/>
        </w:rPr>
        <w:t>performance</w:t>
      </w:r>
      <w:r>
        <w:rPr>
          <w:i/>
          <w:spacing w:val="-3"/>
          <w:w w:val="105"/>
          <w:sz w:val="19"/>
        </w:rPr>
        <w:t> </w:t>
      </w:r>
      <w:r>
        <w:rPr>
          <w:i/>
          <w:spacing w:val="-2"/>
          <w:w w:val="105"/>
          <w:sz w:val="19"/>
        </w:rPr>
        <w:t>of </w:t>
      </w:r>
      <w:r>
        <w:rPr>
          <w:i/>
          <w:w w:val="105"/>
          <w:sz w:val="19"/>
        </w:rPr>
        <w:t>building envelope materials and assemblies</w:t>
      </w:r>
    </w:p>
    <w:p>
      <w:pPr>
        <w:tabs>
          <w:tab w:pos="8307" w:val="left" w:leader="none"/>
        </w:tabs>
        <w:spacing w:line="188" w:lineRule="exact" w:before="0"/>
        <w:ind w:left="7420" w:right="0" w:firstLine="0"/>
        <w:jc w:val="left"/>
        <w:rPr>
          <w:sz w:val="21"/>
        </w:rPr>
      </w:pPr>
      <w:r>
        <w:rPr>
          <w:spacing w:val="-5"/>
          <w:sz w:val="21"/>
        </w:rPr>
        <w:t>Met</w:t>
      </w:r>
      <w:r>
        <w:rPr>
          <w:sz w:val="21"/>
        </w:rPr>
        <w:tab/>
      </w:r>
      <w:r>
        <w:rPr>
          <w:w w:val="95"/>
          <w:sz w:val="21"/>
        </w:rPr>
        <w:t>Not</w:t>
      </w:r>
      <w:r>
        <w:rPr>
          <w:spacing w:val="-4"/>
          <w:w w:val="95"/>
          <w:sz w:val="21"/>
        </w:rPr>
        <w:t> </w:t>
      </w:r>
      <w:r>
        <w:rPr>
          <w:spacing w:val="-5"/>
          <w:sz w:val="21"/>
        </w:rPr>
        <w:t>Met</w:t>
      </w:r>
    </w:p>
    <w:p>
      <w:pPr>
        <w:tabs>
          <w:tab w:pos="8537" w:val="left" w:leader="none"/>
        </w:tabs>
        <w:spacing w:line="340" w:lineRule="exact" w:before="0"/>
        <w:ind w:left="7486" w:right="0" w:firstLine="0"/>
        <w:jc w:val="left"/>
        <w:rPr>
          <w:sz w:val="32"/>
        </w:rPr>
      </w:pPr>
      <w:r>
        <w:rPr>
          <w:b/>
          <w:spacing w:val="-5"/>
          <w:w w:val="85"/>
          <w:sz w:val="25"/>
        </w:rPr>
        <w:t>[XJ</w:t>
      </w:r>
      <w:r>
        <w:rPr>
          <w:b/>
          <w:sz w:val="25"/>
        </w:rPr>
        <w:tab/>
      </w:r>
      <w:r>
        <w:rPr>
          <w:w w:val="85"/>
          <w:sz w:val="25"/>
        </w:rPr>
        <w:t>[</w:t>
      </w:r>
      <w:r>
        <w:rPr>
          <w:spacing w:val="59"/>
          <w:sz w:val="25"/>
        </w:rPr>
        <w:t> </w:t>
      </w:r>
      <w:r>
        <w:rPr>
          <w:spacing w:val="-10"/>
          <w:w w:val="85"/>
          <w:sz w:val="32"/>
        </w:rPr>
        <w:t>l</w:t>
      </w:r>
    </w:p>
    <w:p>
      <w:pPr>
        <w:spacing w:line="232" w:lineRule="auto" w:before="232"/>
        <w:ind w:left="1676" w:right="475" w:firstLine="1"/>
        <w:jc w:val="left"/>
        <w:rPr>
          <w:sz w:val="21"/>
        </w:rPr>
      </w:pPr>
      <w:r>
        <w:rPr>
          <w:w w:val="95"/>
          <w:sz w:val="21"/>
        </w:rPr>
        <w:t>Basic principles of</w:t>
      </w:r>
      <w:r>
        <w:rPr>
          <w:spacing w:val="-7"/>
          <w:w w:val="95"/>
          <w:sz w:val="21"/>
        </w:rPr>
        <w:t> </w:t>
      </w:r>
      <w:r>
        <w:rPr>
          <w:w w:val="95"/>
          <w:sz w:val="21"/>
        </w:rPr>
        <w:t>application and</w:t>
      </w:r>
      <w:r>
        <w:rPr>
          <w:spacing w:val="-4"/>
          <w:w w:val="95"/>
          <w:sz w:val="21"/>
        </w:rPr>
        <w:t> </w:t>
      </w:r>
      <w:r>
        <w:rPr>
          <w:w w:val="95"/>
          <w:sz w:val="21"/>
        </w:rPr>
        <w:t>performance of building envelope materials and assembltes</w:t>
      </w:r>
      <w:r>
        <w:rPr>
          <w:spacing w:val="-9"/>
          <w:w w:val="95"/>
          <w:sz w:val="21"/>
        </w:rPr>
        <w:t> </w:t>
      </w:r>
      <w:r>
        <w:rPr>
          <w:w w:val="95"/>
          <w:sz w:val="21"/>
        </w:rPr>
        <w:t>is</w:t>
      </w:r>
      <w:r>
        <w:rPr>
          <w:spacing w:val="-12"/>
          <w:w w:val="95"/>
          <w:sz w:val="21"/>
        </w:rPr>
        <w:t> </w:t>
      </w:r>
      <w:r>
        <w:rPr>
          <w:w w:val="95"/>
          <w:sz w:val="21"/>
        </w:rPr>
        <w:t>taught</w:t>
      </w:r>
      <w:r>
        <w:rPr>
          <w:spacing w:val="-4"/>
          <w:w w:val="95"/>
          <w:sz w:val="21"/>
        </w:rPr>
        <w:t> </w:t>
      </w:r>
      <w:r>
        <w:rPr>
          <w:w w:val="95"/>
          <w:sz w:val="21"/>
        </w:rPr>
        <w:t>in</w:t>
      </w:r>
      <w:r>
        <w:rPr>
          <w:spacing w:val="-21"/>
          <w:w w:val="95"/>
          <w:sz w:val="21"/>
        </w:rPr>
        <w:t> </w:t>
      </w:r>
      <w:r>
        <w:rPr>
          <w:w w:val="95"/>
          <w:sz w:val="21"/>
        </w:rPr>
        <w:t>courses ARC</w:t>
      </w:r>
      <w:r>
        <w:rPr>
          <w:spacing w:val="-1"/>
          <w:w w:val="95"/>
          <w:sz w:val="21"/>
        </w:rPr>
        <w:t> </w:t>
      </w:r>
      <w:r>
        <w:rPr>
          <w:w w:val="95"/>
          <w:sz w:val="21"/>
        </w:rPr>
        <w:t>304</w:t>
      </w:r>
      <w:r>
        <w:rPr>
          <w:spacing w:val="-12"/>
          <w:w w:val="95"/>
          <w:sz w:val="21"/>
        </w:rPr>
        <w:t> </w:t>
      </w:r>
      <w:r>
        <w:rPr>
          <w:w w:val="95"/>
          <w:sz w:val="21"/>
        </w:rPr>
        <w:t>Intermediate Architectural Design</w:t>
      </w:r>
      <w:r>
        <w:rPr>
          <w:spacing w:val="-2"/>
          <w:w w:val="95"/>
          <w:sz w:val="21"/>
        </w:rPr>
        <w:t> </w:t>
      </w:r>
      <w:r>
        <w:rPr>
          <w:w w:val="95"/>
          <w:sz w:val="21"/>
        </w:rPr>
        <w:t>Studio VI, Environmental Systems ARC 315, and</w:t>
      </w:r>
      <w:r>
        <w:rPr>
          <w:spacing w:val="-8"/>
          <w:w w:val="95"/>
          <w:sz w:val="21"/>
        </w:rPr>
        <w:t> </w:t>
      </w:r>
      <w:r>
        <w:rPr>
          <w:w w:val="95"/>
          <w:sz w:val="21"/>
        </w:rPr>
        <w:t>ARC 405-6 Advanced Architectural Design </w:t>
      </w:r>
      <w:r>
        <w:rPr>
          <w:spacing w:val="-2"/>
          <w:sz w:val="21"/>
        </w:rPr>
        <w:t>Studio.</w:t>
      </w:r>
    </w:p>
    <w:p>
      <w:pPr>
        <w:pStyle w:val="BodyText"/>
        <w:rPr>
          <w:sz w:val="24"/>
        </w:rPr>
      </w:pPr>
    </w:p>
    <w:p>
      <w:pPr>
        <w:pStyle w:val="ListParagraph"/>
        <w:numPr>
          <w:ilvl w:val="2"/>
          <w:numId w:val="75"/>
        </w:numPr>
        <w:tabs>
          <w:tab w:pos="1678" w:val="left" w:leader="none"/>
          <w:tab w:pos="1679" w:val="left" w:leader="none"/>
        </w:tabs>
        <w:spacing w:line="240" w:lineRule="auto" w:before="168" w:after="0"/>
        <w:ind w:left="1678" w:right="0" w:hanging="722"/>
        <w:jc w:val="left"/>
        <w:rPr>
          <w:sz w:val="21"/>
        </w:rPr>
      </w:pPr>
      <w:r>
        <w:rPr>
          <w:sz w:val="21"/>
        </w:rPr>
        <w:t>Building</w:t>
      </w:r>
      <w:r>
        <w:rPr>
          <w:spacing w:val="8"/>
          <w:sz w:val="21"/>
        </w:rPr>
        <w:t> </w:t>
      </w:r>
      <w:r>
        <w:rPr>
          <w:sz w:val="21"/>
        </w:rPr>
        <w:t>Service</w:t>
      </w:r>
      <w:r>
        <w:rPr>
          <w:spacing w:val="37"/>
          <w:sz w:val="21"/>
        </w:rPr>
        <w:t> </w:t>
      </w:r>
      <w:r>
        <w:rPr>
          <w:spacing w:val="-2"/>
          <w:sz w:val="21"/>
        </w:rPr>
        <w:t>Systems</w:t>
      </w:r>
    </w:p>
    <w:p>
      <w:pPr>
        <w:spacing w:line="256" w:lineRule="auto" w:before="206"/>
        <w:ind w:left="1685" w:right="0" w:firstLine="1"/>
        <w:jc w:val="left"/>
        <w:rPr>
          <w:i/>
          <w:sz w:val="19"/>
        </w:rPr>
      </w:pPr>
      <w:r>
        <w:rPr>
          <w:w w:val="105"/>
          <w:sz w:val="21"/>
        </w:rPr>
        <w:t>Understanding</w:t>
      </w:r>
      <w:r>
        <w:rPr>
          <w:spacing w:val="-1"/>
          <w:w w:val="105"/>
          <w:sz w:val="21"/>
        </w:rPr>
        <w:t> </w:t>
      </w:r>
      <w:r>
        <w:rPr>
          <w:w w:val="105"/>
          <w:sz w:val="21"/>
        </w:rPr>
        <w:t>of</w:t>
      </w:r>
      <w:r>
        <w:rPr>
          <w:spacing w:val="-13"/>
          <w:w w:val="105"/>
          <w:sz w:val="21"/>
        </w:rPr>
        <w:t> </w:t>
      </w:r>
      <w:r>
        <w:rPr>
          <w:i/>
          <w:w w:val="105"/>
          <w:sz w:val="19"/>
        </w:rPr>
        <w:t>the</w:t>
      </w:r>
      <w:r>
        <w:rPr>
          <w:i/>
          <w:spacing w:val="-12"/>
          <w:w w:val="105"/>
          <w:sz w:val="19"/>
        </w:rPr>
        <w:t> </w:t>
      </w:r>
      <w:r>
        <w:rPr>
          <w:i/>
          <w:w w:val="105"/>
          <w:sz w:val="19"/>
        </w:rPr>
        <w:t>basic</w:t>
      </w:r>
      <w:r>
        <w:rPr>
          <w:i/>
          <w:spacing w:val="-12"/>
          <w:w w:val="105"/>
          <w:sz w:val="19"/>
        </w:rPr>
        <w:t> </w:t>
      </w:r>
      <w:r>
        <w:rPr>
          <w:i/>
          <w:w w:val="105"/>
          <w:sz w:val="19"/>
        </w:rPr>
        <w:t>principles and</w:t>
      </w:r>
      <w:r>
        <w:rPr>
          <w:i/>
          <w:spacing w:val="-10"/>
          <w:w w:val="105"/>
          <w:sz w:val="19"/>
        </w:rPr>
        <w:t> </w:t>
      </w:r>
      <w:r>
        <w:rPr>
          <w:i/>
          <w:w w:val="105"/>
          <w:sz w:val="19"/>
        </w:rPr>
        <w:t>appropriate</w:t>
      </w:r>
      <w:r>
        <w:rPr>
          <w:i/>
          <w:spacing w:val="-7"/>
          <w:w w:val="105"/>
          <w:sz w:val="19"/>
        </w:rPr>
        <w:t> </w:t>
      </w:r>
      <w:r>
        <w:rPr>
          <w:i/>
          <w:w w:val="105"/>
          <w:sz w:val="19"/>
        </w:rPr>
        <w:t>application and</w:t>
      </w:r>
      <w:r>
        <w:rPr>
          <w:i/>
          <w:spacing w:val="-14"/>
          <w:w w:val="105"/>
          <w:sz w:val="19"/>
        </w:rPr>
        <w:t> </w:t>
      </w:r>
      <w:r>
        <w:rPr>
          <w:i/>
          <w:w w:val="105"/>
          <w:sz w:val="19"/>
        </w:rPr>
        <w:t>performance</w:t>
      </w:r>
      <w:r>
        <w:rPr>
          <w:i/>
          <w:spacing w:val="-4"/>
          <w:w w:val="105"/>
          <w:sz w:val="19"/>
        </w:rPr>
        <w:t> </w:t>
      </w:r>
      <w:r>
        <w:rPr>
          <w:i/>
          <w:w w:val="105"/>
          <w:sz w:val="19"/>
        </w:rPr>
        <w:t>of plumbing,</w:t>
      </w:r>
      <w:r>
        <w:rPr>
          <w:i/>
          <w:spacing w:val="-2"/>
          <w:w w:val="105"/>
          <w:sz w:val="19"/>
        </w:rPr>
        <w:t> </w:t>
      </w:r>
      <w:r>
        <w:rPr>
          <w:i/>
          <w:w w:val="105"/>
          <w:sz w:val="19"/>
        </w:rPr>
        <w:t>electrical, vertical</w:t>
      </w:r>
      <w:r>
        <w:rPr>
          <w:i/>
          <w:spacing w:val="-7"/>
          <w:w w:val="105"/>
          <w:sz w:val="19"/>
        </w:rPr>
        <w:t> </w:t>
      </w:r>
      <w:r>
        <w:rPr>
          <w:i/>
          <w:w w:val="105"/>
          <w:sz w:val="19"/>
        </w:rPr>
        <w:t>transportation,</w:t>
      </w:r>
      <w:r>
        <w:rPr>
          <w:i/>
          <w:spacing w:val="-8"/>
          <w:w w:val="105"/>
          <w:sz w:val="19"/>
        </w:rPr>
        <w:t> </w:t>
      </w:r>
      <w:r>
        <w:rPr>
          <w:i/>
          <w:w w:val="105"/>
          <w:sz w:val="19"/>
        </w:rPr>
        <w:t>communication,</w:t>
      </w:r>
      <w:r>
        <w:rPr>
          <w:i/>
          <w:spacing w:val="-14"/>
          <w:w w:val="105"/>
          <w:sz w:val="19"/>
        </w:rPr>
        <w:t> </w:t>
      </w:r>
      <w:r>
        <w:rPr>
          <w:i/>
          <w:w w:val="105"/>
          <w:sz w:val="19"/>
        </w:rPr>
        <w:t>security, and fire</w:t>
      </w:r>
      <w:r>
        <w:rPr>
          <w:i/>
          <w:spacing w:val="-10"/>
          <w:w w:val="105"/>
          <w:sz w:val="19"/>
        </w:rPr>
        <w:t> </w:t>
      </w:r>
      <w:r>
        <w:rPr>
          <w:i/>
          <w:w w:val="105"/>
          <w:sz w:val="19"/>
        </w:rPr>
        <w:t>protection </w:t>
      </w:r>
      <w:r>
        <w:rPr>
          <w:i/>
          <w:spacing w:val="-2"/>
          <w:w w:val="105"/>
          <w:sz w:val="19"/>
        </w:rPr>
        <w:t>systems</w:t>
      </w:r>
    </w:p>
    <w:p>
      <w:pPr>
        <w:tabs>
          <w:tab w:pos="886" w:val="left" w:leader="none"/>
        </w:tabs>
        <w:spacing w:line="177" w:lineRule="exact" w:before="0"/>
        <w:ind w:left="0" w:right="847" w:firstLine="0"/>
        <w:jc w:val="right"/>
        <w:rPr>
          <w:sz w:val="21"/>
        </w:rPr>
      </w:pPr>
      <w:r>
        <w:rPr>
          <w:spacing w:val="-5"/>
          <w:sz w:val="21"/>
        </w:rPr>
        <w:t>Met</w:t>
      </w:r>
      <w:r>
        <w:rPr>
          <w:sz w:val="21"/>
        </w:rPr>
        <w:tab/>
      </w:r>
      <w:r>
        <w:rPr>
          <w:w w:val="95"/>
          <w:sz w:val="21"/>
        </w:rPr>
        <w:t>Not</w:t>
      </w:r>
      <w:r>
        <w:rPr>
          <w:spacing w:val="-4"/>
          <w:w w:val="95"/>
          <w:sz w:val="21"/>
        </w:rPr>
        <w:t> </w:t>
      </w:r>
      <w:r>
        <w:rPr>
          <w:spacing w:val="-5"/>
          <w:sz w:val="21"/>
        </w:rPr>
        <w:t>Met</w:t>
      </w:r>
    </w:p>
    <w:p>
      <w:pPr>
        <w:pStyle w:val="ListParagraph"/>
        <w:numPr>
          <w:ilvl w:val="3"/>
          <w:numId w:val="75"/>
        </w:numPr>
        <w:tabs>
          <w:tab w:pos="1051" w:val="left" w:leader="none"/>
          <w:tab w:pos="1052" w:val="left" w:leader="none"/>
        </w:tabs>
        <w:spacing w:line="329" w:lineRule="exact" w:before="0" w:after="0"/>
        <w:ind w:left="1051" w:right="1040" w:hanging="1052"/>
        <w:jc w:val="right"/>
        <w:rPr>
          <w:b/>
          <w:sz w:val="23"/>
        </w:rPr>
      </w:pPr>
      <w:r>
        <w:rPr>
          <w:sz w:val="23"/>
        </w:rPr>
        <w:t>[</w:t>
      </w:r>
      <w:r>
        <w:rPr>
          <w:spacing w:val="69"/>
          <w:sz w:val="23"/>
        </w:rPr>
        <w:t> </w:t>
      </w:r>
      <w:r>
        <w:rPr>
          <w:rFonts w:ascii="Times New Roman"/>
          <w:spacing w:val="-10"/>
          <w:sz w:val="31"/>
        </w:rPr>
        <w:t>l</w: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0"/>
        <w:rPr>
          <w:rFonts w:ascii="Times New Roman"/>
          <w:sz w:val="12"/>
        </w:rPr>
      </w:pPr>
      <w:r>
        <w:rPr/>
        <w:pict>
          <v:shape style="position:absolute;margin-left:67.451866pt;margin-top:8.645037pt;width:451.95pt;height:.1pt;mso-position-horizontal-relative:page;mso-position-vertical-relative:paragraph;z-index:-15696896;mso-wrap-distance-left:0;mso-wrap-distance-right:0" id="docshape655" coordorigin="1349,173" coordsize="9039,0" path="m1349,173l10388,173e" filled="false" stroked="true" strokeweight=".481434pt" strokecolor="#000000">
            <v:path arrowok="t"/>
            <v:stroke dashstyle="solid"/>
            <w10:wrap type="topAndBottom"/>
          </v:shape>
        </w:pict>
      </w:r>
    </w:p>
    <w:p>
      <w:pPr>
        <w:pStyle w:val="BodyText"/>
        <w:spacing w:before="9"/>
        <w:ind w:left="265"/>
      </w:pPr>
      <w:r>
        <w:rPr>
          <w:spacing w:val="-5"/>
          <w:w w:val="105"/>
        </w:rPr>
        <w:t>18</w:t>
      </w:r>
    </w:p>
    <w:p>
      <w:pPr>
        <w:spacing w:after="0"/>
        <w:sectPr>
          <w:headerReference w:type="default" r:id="rId395"/>
          <w:footerReference w:type="default" r:id="rId396"/>
          <w:pgSz w:w="12180" w:h="15820"/>
          <w:pgMar w:header="599" w:footer="0" w:top="1300" w:bottom="280" w:left="1120" w:right="1180"/>
        </w:sectPr>
      </w:pPr>
    </w:p>
    <w:p>
      <w:pPr>
        <w:pStyle w:val="BodyText"/>
        <w:spacing w:before="9"/>
        <w:rPr>
          <w:sz w:val="17"/>
        </w:rPr>
      </w:pPr>
    </w:p>
    <w:p>
      <w:pPr>
        <w:pStyle w:val="ListParagraph"/>
        <w:numPr>
          <w:ilvl w:val="2"/>
          <w:numId w:val="75"/>
        </w:numPr>
        <w:tabs>
          <w:tab w:pos="1668" w:val="left" w:leader="none"/>
          <w:tab w:pos="1669" w:val="left" w:leader="none"/>
        </w:tabs>
        <w:spacing w:line="240" w:lineRule="auto" w:before="94" w:after="0"/>
        <w:ind w:left="1668" w:right="0" w:hanging="721"/>
        <w:jc w:val="left"/>
        <w:rPr>
          <w:sz w:val="21"/>
        </w:rPr>
      </w:pPr>
      <w:r>
        <w:rPr>
          <w:spacing w:val="-2"/>
          <w:w w:val="105"/>
          <w:sz w:val="21"/>
        </w:rPr>
        <w:t>Building</w:t>
      </w:r>
      <w:r>
        <w:rPr>
          <w:spacing w:val="-1"/>
          <w:w w:val="105"/>
          <w:sz w:val="21"/>
        </w:rPr>
        <w:t> </w:t>
      </w:r>
      <w:r>
        <w:rPr>
          <w:spacing w:val="-2"/>
          <w:w w:val="105"/>
          <w:sz w:val="21"/>
        </w:rPr>
        <w:t>Systems</w:t>
      </w:r>
      <w:r>
        <w:rPr>
          <w:spacing w:val="-6"/>
          <w:w w:val="105"/>
          <w:sz w:val="21"/>
        </w:rPr>
        <w:t> </w:t>
      </w:r>
      <w:r>
        <w:rPr>
          <w:spacing w:val="-2"/>
          <w:w w:val="105"/>
          <w:sz w:val="21"/>
        </w:rPr>
        <w:t>Integration</w:t>
      </w:r>
    </w:p>
    <w:p>
      <w:pPr>
        <w:spacing w:before="211"/>
        <w:ind w:left="1666" w:right="0" w:hanging="1"/>
        <w:jc w:val="left"/>
        <w:rPr>
          <w:i/>
          <w:sz w:val="21"/>
        </w:rPr>
      </w:pPr>
      <w:r>
        <w:rPr>
          <w:w w:val="95"/>
          <w:sz w:val="19"/>
        </w:rPr>
        <w:t>Ability</w:t>
      </w:r>
      <w:r>
        <w:rPr>
          <w:sz w:val="19"/>
        </w:rPr>
        <w:t> </w:t>
      </w:r>
      <w:r>
        <w:rPr>
          <w:w w:val="95"/>
          <w:sz w:val="19"/>
        </w:rPr>
        <w:t>to</w:t>
      </w:r>
      <w:r>
        <w:rPr>
          <w:spacing w:val="-2"/>
          <w:w w:val="95"/>
          <w:sz w:val="19"/>
        </w:rPr>
        <w:t> </w:t>
      </w:r>
      <w:r>
        <w:rPr>
          <w:i/>
          <w:w w:val="95"/>
          <w:sz w:val="21"/>
        </w:rPr>
        <w:t>assess, select,</w:t>
      </w:r>
      <w:r>
        <w:rPr>
          <w:i/>
          <w:spacing w:val="-4"/>
          <w:w w:val="95"/>
          <w:sz w:val="21"/>
        </w:rPr>
        <w:t> </w:t>
      </w:r>
      <w:r>
        <w:rPr>
          <w:i/>
          <w:w w:val="95"/>
          <w:sz w:val="21"/>
        </w:rPr>
        <w:t>and conceptually integrate</w:t>
      </w:r>
      <w:r>
        <w:rPr>
          <w:i/>
          <w:spacing w:val="-3"/>
          <w:w w:val="95"/>
          <w:sz w:val="21"/>
        </w:rPr>
        <w:t> </w:t>
      </w:r>
      <w:r>
        <w:rPr>
          <w:i/>
          <w:w w:val="95"/>
          <w:sz w:val="21"/>
        </w:rPr>
        <w:t>structural systems, building envelope systems, environmental systems, life-safety systems, and building service systems into </w:t>
      </w:r>
      <w:r>
        <w:rPr>
          <w:i/>
          <w:sz w:val="21"/>
        </w:rPr>
        <w:t>building design</w:t>
      </w:r>
    </w:p>
    <w:p>
      <w:pPr>
        <w:tabs>
          <w:tab w:pos="8308" w:val="left" w:leader="none"/>
        </w:tabs>
        <w:spacing w:line="196" w:lineRule="exact" w:before="0"/>
        <w:ind w:left="7432" w:right="0" w:firstLine="0"/>
        <w:jc w:val="left"/>
        <w:rPr>
          <w:sz w:val="19"/>
        </w:rPr>
      </w:pPr>
      <w:r>
        <w:rPr>
          <w:spacing w:val="-5"/>
          <w:w w:val="105"/>
          <w:sz w:val="19"/>
        </w:rPr>
        <w:t>Met</w:t>
      </w:r>
      <w:r>
        <w:rPr>
          <w:sz w:val="19"/>
        </w:rPr>
        <w:tab/>
      </w:r>
      <w:r>
        <w:rPr>
          <w:w w:val="105"/>
          <w:sz w:val="19"/>
        </w:rPr>
        <w:t>Not</w:t>
      </w:r>
      <w:r>
        <w:rPr>
          <w:spacing w:val="-3"/>
          <w:w w:val="105"/>
          <w:sz w:val="19"/>
        </w:rPr>
        <w:t> </w:t>
      </w:r>
      <w:r>
        <w:rPr>
          <w:spacing w:val="-5"/>
          <w:w w:val="105"/>
          <w:sz w:val="19"/>
        </w:rPr>
        <w:t>Met</w:t>
      </w:r>
    </w:p>
    <w:p>
      <w:pPr>
        <w:pStyle w:val="Heading2"/>
        <w:tabs>
          <w:tab w:pos="8555" w:val="left" w:leader="none"/>
        </w:tabs>
        <w:spacing w:line="371" w:lineRule="exact"/>
      </w:pPr>
      <w:r>
        <w:rPr>
          <w:w w:val="75"/>
        </w:rPr>
        <w:t>I</w:t>
      </w:r>
      <w:r>
        <w:rPr>
          <w:spacing w:val="-10"/>
        </w:rPr>
        <w:t> </w:t>
      </w:r>
      <w:r>
        <w:rPr>
          <w:spacing w:val="-10"/>
          <w:w w:val="75"/>
        </w:rPr>
        <w:t>1</w:t>
      </w:r>
      <w:r>
        <w:rPr/>
        <w:tab/>
      </w:r>
      <w:r>
        <w:rPr>
          <w:spacing w:val="-5"/>
          <w:w w:val="75"/>
        </w:rPr>
        <w:t>IXl</w:t>
      </w:r>
    </w:p>
    <w:p>
      <w:pPr>
        <w:spacing w:line="256" w:lineRule="auto" w:before="181"/>
        <w:ind w:left="1671" w:right="311" w:hanging="2"/>
        <w:jc w:val="left"/>
        <w:rPr>
          <w:sz w:val="19"/>
        </w:rPr>
      </w:pPr>
      <w:r>
        <w:rPr>
          <w:w w:val="105"/>
          <w:sz w:val="19"/>
        </w:rPr>
        <w:t>This</w:t>
      </w:r>
      <w:r>
        <w:rPr>
          <w:spacing w:val="-1"/>
          <w:w w:val="105"/>
          <w:sz w:val="19"/>
        </w:rPr>
        <w:t> </w:t>
      </w:r>
      <w:r>
        <w:rPr>
          <w:w w:val="105"/>
          <w:sz w:val="19"/>
        </w:rPr>
        <w:t>criterion is first</w:t>
      </w:r>
      <w:r>
        <w:rPr>
          <w:spacing w:val="-3"/>
          <w:w w:val="105"/>
          <w:sz w:val="19"/>
        </w:rPr>
        <w:t> </w:t>
      </w:r>
      <w:r>
        <w:rPr>
          <w:w w:val="105"/>
          <w:sz w:val="19"/>
        </w:rPr>
        <w:t>addressed in ARC</w:t>
      </w:r>
      <w:r>
        <w:rPr>
          <w:spacing w:val="-1"/>
          <w:w w:val="105"/>
          <w:sz w:val="19"/>
        </w:rPr>
        <w:t> </w:t>
      </w:r>
      <w:r>
        <w:rPr>
          <w:w w:val="105"/>
          <w:sz w:val="19"/>
        </w:rPr>
        <w:t>304</w:t>
      </w:r>
      <w:r>
        <w:rPr>
          <w:spacing w:val="-3"/>
          <w:w w:val="105"/>
          <w:sz w:val="19"/>
        </w:rPr>
        <w:t> </w:t>
      </w:r>
      <w:r>
        <w:rPr>
          <w:w w:val="105"/>
          <w:sz w:val="19"/>
        </w:rPr>
        <w:t>and</w:t>
      </w:r>
      <w:r>
        <w:rPr>
          <w:spacing w:val="-3"/>
          <w:w w:val="105"/>
          <w:sz w:val="19"/>
        </w:rPr>
        <w:t> </w:t>
      </w:r>
      <w:r>
        <w:rPr>
          <w:w w:val="105"/>
          <w:sz w:val="19"/>
        </w:rPr>
        <w:t>later</w:t>
      </w:r>
      <w:r>
        <w:rPr>
          <w:spacing w:val="-5"/>
          <w:w w:val="105"/>
          <w:sz w:val="19"/>
        </w:rPr>
        <w:t> </w:t>
      </w:r>
      <w:r>
        <w:rPr>
          <w:w w:val="105"/>
          <w:sz w:val="19"/>
        </w:rPr>
        <w:t>in ARC 405--6.</w:t>
      </w:r>
      <w:r>
        <w:rPr>
          <w:spacing w:val="80"/>
          <w:w w:val="105"/>
          <w:sz w:val="19"/>
        </w:rPr>
        <w:t> </w:t>
      </w:r>
      <w:r>
        <w:rPr>
          <w:w w:val="105"/>
          <w:sz w:val="19"/>
        </w:rPr>
        <w:t>New faulty have been</w:t>
      </w:r>
      <w:r>
        <w:rPr>
          <w:spacing w:val="-5"/>
          <w:w w:val="105"/>
          <w:sz w:val="19"/>
        </w:rPr>
        <w:t> </w:t>
      </w:r>
      <w:r>
        <w:rPr>
          <w:w w:val="105"/>
          <w:sz w:val="19"/>
        </w:rPr>
        <w:t>hired</w:t>
      </w:r>
      <w:r>
        <w:rPr>
          <w:spacing w:val="-5"/>
          <w:w w:val="105"/>
          <w:sz w:val="19"/>
        </w:rPr>
        <w:t> </w:t>
      </w:r>
      <w:r>
        <w:rPr>
          <w:w w:val="105"/>
          <w:sz w:val="19"/>
        </w:rPr>
        <w:t>to teach ARC</w:t>
      </w:r>
      <w:r>
        <w:rPr>
          <w:spacing w:val="-1"/>
          <w:w w:val="105"/>
          <w:sz w:val="19"/>
        </w:rPr>
        <w:t> </w:t>
      </w:r>
      <w:r>
        <w:rPr>
          <w:w w:val="105"/>
          <w:sz w:val="19"/>
        </w:rPr>
        <w:t>304;</w:t>
      </w:r>
      <w:r>
        <w:rPr>
          <w:spacing w:val="-11"/>
          <w:w w:val="105"/>
          <w:sz w:val="19"/>
        </w:rPr>
        <w:t> </w:t>
      </w:r>
      <w:r>
        <w:rPr>
          <w:w w:val="105"/>
          <w:sz w:val="19"/>
        </w:rPr>
        <w:t>the</w:t>
      </w:r>
      <w:r>
        <w:rPr>
          <w:spacing w:val="-2"/>
          <w:w w:val="105"/>
          <w:sz w:val="19"/>
        </w:rPr>
        <w:t> </w:t>
      </w:r>
      <w:r>
        <w:rPr>
          <w:w w:val="105"/>
          <w:sz w:val="19"/>
        </w:rPr>
        <w:t>outlook for</w:t>
      </w:r>
      <w:r>
        <w:rPr>
          <w:spacing w:val="-10"/>
          <w:w w:val="105"/>
          <w:sz w:val="19"/>
        </w:rPr>
        <w:t> </w:t>
      </w:r>
      <w:r>
        <w:rPr>
          <w:w w:val="105"/>
          <w:sz w:val="19"/>
        </w:rPr>
        <w:t>meeting</w:t>
      </w:r>
      <w:r>
        <w:rPr>
          <w:spacing w:val="-1"/>
          <w:w w:val="105"/>
          <w:sz w:val="19"/>
        </w:rPr>
        <w:t> </w:t>
      </w:r>
      <w:r>
        <w:rPr>
          <w:w w:val="105"/>
          <w:sz w:val="19"/>
        </w:rPr>
        <w:t>this</w:t>
      </w:r>
      <w:r>
        <w:rPr>
          <w:spacing w:val="-5"/>
          <w:w w:val="105"/>
          <w:sz w:val="19"/>
        </w:rPr>
        <w:t> </w:t>
      </w:r>
      <w:r>
        <w:rPr>
          <w:w w:val="105"/>
          <w:sz w:val="19"/>
        </w:rPr>
        <w:t>criterion in the</w:t>
      </w:r>
      <w:r>
        <w:rPr>
          <w:spacing w:val="-9"/>
          <w:w w:val="105"/>
          <w:sz w:val="19"/>
        </w:rPr>
        <w:t> </w:t>
      </w:r>
      <w:r>
        <w:rPr>
          <w:w w:val="105"/>
          <w:sz w:val="19"/>
        </w:rPr>
        <w:t>future</w:t>
      </w:r>
      <w:r>
        <w:rPr>
          <w:spacing w:val="-6"/>
          <w:w w:val="105"/>
          <w:sz w:val="19"/>
        </w:rPr>
        <w:t> </w:t>
      </w:r>
      <w:r>
        <w:rPr>
          <w:w w:val="105"/>
          <w:sz w:val="19"/>
        </w:rPr>
        <w:t>is certain. Current fourth year student work falls short in demonstrating</w:t>
      </w:r>
      <w:r>
        <w:rPr>
          <w:spacing w:val="30"/>
          <w:w w:val="105"/>
          <w:sz w:val="19"/>
        </w:rPr>
        <w:t> </w:t>
      </w:r>
      <w:r>
        <w:rPr>
          <w:w w:val="105"/>
          <w:sz w:val="19"/>
        </w:rPr>
        <w:t>the ability to capably and fully integrate building systems in the designs.</w:t>
      </w:r>
    </w:p>
    <w:p>
      <w:pPr>
        <w:pStyle w:val="BodyText"/>
      </w:pPr>
    </w:p>
    <w:p>
      <w:pPr>
        <w:pStyle w:val="BodyText"/>
        <w:spacing w:before="4"/>
        <w:rPr>
          <w:sz w:val="19"/>
        </w:rPr>
      </w:pPr>
    </w:p>
    <w:p>
      <w:pPr>
        <w:pStyle w:val="ListParagraph"/>
        <w:numPr>
          <w:ilvl w:val="2"/>
          <w:numId w:val="75"/>
        </w:numPr>
        <w:tabs>
          <w:tab w:pos="1668" w:val="left" w:leader="none"/>
          <w:tab w:pos="1669" w:val="left" w:leader="none"/>
        </w:tabs>
        <w:spacing w:line="240" w:lineRule="auto" w:before="0" w:after="0"/>
        <w:ind w:left="1668" w:right="0" w:hanging="712"/>
        <w:jc w:val="left"/>
        <w:rPr>
          <w:sz w:val="21"/>
        </w:rPr>
      </w:pPr>
      <w:r>
        <w:rPr>
          <w:w w:val="105"/>
          <w:sz w:val="21"/>
        </w:rPr>
        <w:t>Building</w:t>
      </w:r>
      <w:r>
        <w:rPr>
          <w:spacing w:val="-16"/>
          <w:w w:val="105"/>
          <w:sz w:val="21"/>
        </w:rPr>
        <w:t> </w:t>
      </w:r>
      <w:r>
        <w:rPr>
          <w:w w:val="105"/>
          <w:sz w:val="21"/>
        </w:rPr>
        <w:t>Materials</w:t>
      </w:r>
      <w:r>
        <w:rPr>
          <w:spacing w:val="-14"/>
          <w:w w:val="105"/>
          <w:sz w:val="21"/>
        </w:rPr>
        <w:t> </w:t>
      </w:r>
      <w:r>
        <w:rPr>
          <w:w w:val="105"/>
          <w:sz w:val="21"/>
        </w:rPr>
        <w:t>and</w:t>
      </w:r>
      <w:r>
        <w:rPr>
          <w:spacing w:val="-15"/>
          <w:w w:val="105"/>
          <w:sz w:val="21"/>
        </w:rPr>
        <w:t> </w:t>
      </w:r>
      <w:r>
        <w:rPr>
          <w:spacing w:val="-2"/>
          <w:w w:val="105"/>
          <w:sz w:val="21"/>
        </w:rPr>
        <w:t>Assemblies</w:t>
      </w:r>
    </w:p>
    <w:p>
      <w:pPr>
        <w:spacing w:line="235" w:lineRule="auto" w:before="215"/>
        <w:ind w:left="1672" w:right="475" w:firstLine="6"/>
        <w:jc w:val="left"/>
        <w:rPr>
          <w:i/>
          <w:sz w:val="21"/>
        </w:rPr>
      </w:pPr>
      <w:r>
        <w:rPr>
          <w:w w:val="95"/>
          <w:sz w:val="19"/>
        </w:rPr>
        <w:t>Understanding of </w:t>
      </w:r>
      <w:r>
        <w:rPr>
          <w:i/>
          <w:w w:val="95"/>
          <w:sz w:val="21"/>
        </w:rPr>
        <w:t>the</w:t>
      </w:r>
      <w:r>
        <w:rPr>
          <w:i/>
          <w:spacing w:val="-4"/>
          <w:w w:val="95"/>
          <w:sz w:val="21"/>
        </w:rPr>
        <w:t> </w:t>
      </w:r>
      <w:r>
        <w:rPr>
          <w:i/>
          <w:w w:val="95"/>
          <w:sz w:val="21"/>
        </w:rPr>
        <w:t>basic principles and appropriate application and performance</w:t>
      </w:r>
      <w:r>
        <w:rPr>
          <w:i/>
          <w:sz w:val="21"/>
        </w:rPr>
        <w:t> </w:t>
      </w:r>
      <w:r>
        <w:rPr>
          <w:i/>
          <w:w w:val="95"/>
          <w:sz w:val="21"/>
        </w:rPr>
        <w:t>of construction materials, products, components, and assemblies, including their </w:t>
      </w:r>
      <w:r>
        <w:rPr>
          <w:i/>
          <w:sz w:val="21"/>
        </w:rPr>
        <w:t>environmental</w:t>
      </w:r>
      <w:r>
        <w:rPr>
          <w:i/>
          <w:spacing w:val="19"/>
          <w:sz w:val="21"/>
        </w:rPr>
        <w:t> </w:t>
      </w:r>
      <w:r>
        <w:rPr>
          <w:i/>
          <w:sz w:val="21"/>
        </w:rPr>
        <w:t>impact</w:t>
      </w:r>
      <w:r>
        <w:rPr>
          <w:i/>
          <w:spacing w:val="-10"/>
          <w:sz w:val="21"/>
        </w:rPr>
        <w:t> </w:t>
      </w:r>
      <w:r>
        <w:rPr>
          <w:i/>
          <w:sz w:val="21"/>
        </w:rPr>
        <w:t>and</w:t>
      </w:r>
      <w:r>
        <w:rPr>
          <w:i/>
          <w:spacing w:val="-13"/>
          <w:sz w:val="21"/>
        </w:rPr>
        <w:t> </w:t>
      </w:r>
      <w:r>
        <w:rPr>
          <w:i/>
          <w:sz w:val="21"/>
        </w:rPr>
        <w:t>reuse</w:t>
      </w:r>
    </w:p>
    <w:p>
      <w:pPr>
        <w:tabs>
          <w:tab w:pos="876" w:val="left" w:leader="none"/>
        </w:tabs>
        <w:spacing w:line="187" w:lineRule="exact" w:before="0"/>
        <w:ind w:left="0" w:right="843" w:firstLine="0"/>
        <w:jc w:val="right"/>
        <w:rPr>
          <w:sz w:val="19"/>
        </w:rPr>
      </w:pPr>
      <w:r>
        <w:rPr>
          <w:spacing w:val="-5"/>
          <w:w w:val="110"/>
          <w:sz w:val="19"/>
        </w:rPr>
        <w:t>Met</w:t>
      </w:r>
      <w:r>
        <w:rPr>
          <w:sz w:val="19"/>
        </w:rPr>
        <w:tab/>
      </w:r>
      <w:r>
        <w:rPr>
          <w:spacing w:val="-2"/>
          <w:w w:val="110"/>
          <w:sz w:val="19"/>
        </w:rPr>
        <w:t>Not</w:t>
      </w:r>
      <w:r>
        <w:rPr>
          <w:spacing w:val="-15"/>
          <w:w w:val="110"/>
          <w:sz w:val="19"/>
        </w:rPr>
        <w:t> </w:t>
      </w:r>
      <w:r>
        <w:rPr>
          <w:spacing w:val="-5"/>
          <w:w w:val="110"/>
          <w:sz w:val="19"/>
        </w:rPr>
        <w:t>Met</w:t>
      </w:r>
    </w:p>
    <w:p>
      <w:pPr>
        <w:pStyle w:val="Heading3"/>
        <w:numPr>
          <w:ilvl w:val="3"/>
          <w:numId w:val="75"/>
        </w:numPr>
        <w:tabs>
          <w:tab w:pos="1058" w:val="left" w:leader="none"/>
          <w:tab w:pos="1059" w:val="left" w:leader="none"/>
        </w:tabs>
        <w:spacing w:line="338" w:lineRule="exact" w:before="0" w:after="0"/>
        <w:ind w:left="1058" w:right="1023" w:hanging="1059"/>
        <w:jc w:val="right"/>
        <w:rPr>
          <w:sz w:val="24"/>
        </w:rPr>
      </w:pPr>
      <w:r>
        <w:rPr>
          <w:rFonts w:ascii="Times New Roman"/>
          <w:w w:val="80"/>
        </w:rPr>
        <w:t>I</w:t>
      </w:r>
      <w:r>
        <w:rPr>
          <w:rFonts w:ascii="Times New Roman"/>
          <w:spacing w:val="-3"/>
        </w:rPr>
        <w:t> </w:t>
      </w:r>
      <w:r>
        <w:rPr>
          <w:rFonts w:ascii="Times New Roman"/>
          <w:spacing w:val="-12"/>
          <w:w w:val="80"/>
        </w:rPr>
        <w:t>1</w:t>
      </w:r>
    </w:p>
    <w:p>
      <w:pPr>
        <w:pStyle w:val="BodyText"/>
        <w:spacing w:before="1"/>
        <w:rPr>
          <w:rFonts w:ascii="Times New Roman"/>
          <w:sz w:val="37"/>
        </w:rPr>
      </w:pPr>
    </w:p>
    <w:p>
      <w:pPr>
        <w:pStyle w:val="ListParagraph"/>
        <w:numPr>
          <w:ilvl w:val="2"/>
          <w:numId w:val="75"/>
        </w:numPr>
        <w:tabs>
          <w:tab w:pos="1673" w:val="left" w:leader="none"/>
          <w:tab w:pos="1674" w:val="left" w:leader="none"/>
        </w:tabs>
        <w:spacing w:line="240" w:lineRule="auto" w:before="0" w:after="0"/>
        <w:ind w:left="1673" w:right="0" w:hanging="717"/>
        <w:jc w:val="left"/>
        <w:rPr>
          <w:sz w:val="21"/>
        </w:rPr>
      </w:pPr>
      <w:r>
        <w:rPr>
          <w:spacing w:val="-2"/>
          <w:w w:val="105"/>
          <w:sz w:val="21"/>
        </w:rPr>
        <w:t>Construction</w:t>
      </w:r>
      <w:r>
        <w:rPr>
          <w:spacing w:val="12"/>
          <w:w w:val="105"/>
          <w:sz w:val="21"/>
        </w:rPr>
        <w:t> </w:t>
      </w:r>
      <w:r>
        <w:rPr>
          <w:spacing w:val="-2"/>
          <w:w w:val="105"/>
          <w:sz w:val="21"/>
        </w:rPr>
        <w:t>Cost</w:t>
      </w:r>
      <w:r>
        <w:rPr>
          <w:spacing w:val="-13"/>
          <w:w w:val="105"/>
          <w:sz w:val="21"/>
        </w:rPr>
        <w:t> </w:t>
      </w:r>
      <w:r>
        <w:rPr>
          <w:spacing w:val="-2"/>
          <w:w w:val="105"/>
          <w:sz w:val="21"/>
        </w:rPr>
        <w:t>Control</w:t>
      </w:r>
    </w:p>
    <w:p>
      <w:pPr>
        <w:spacing w:before="211"/>
        <w:ind w:left="1673" w:right="424" w:firstLine="5"/>
        <w:jc w:val="left"/>
        <w:rPr>
          <w:i/>
          <w:sz w:val="21"/>
        </w:rPr>
      </w:pPr>
      <w:r>
        <w:rPr>
          <w:w w:val="95"/>
          <w:sz w:val="19"/>
        </w:rPr>
        <w:t>Understanding</w:t>
      </w:r>
      <w:r>
        <w:rPr>
          <w:sz w:val="19"/>
        </w:rPr>
        <w:t> </w:t>
      </w:r>
      <w:r>
        <w:rPr>
          <w:w w:val="95"/>
          <w:sz w:val="19"/>
        </w:rPr>
        <w:t>of </w:t>
      </w:r>
      <w:r>
        <w:rPr>
          <w:i/>
          <w:w w:val="95"/>
          <w:sz w:val="21"/>
        </w:rPr>
        <w:t>the</w:t>
      </w:r>
      <w:r>
        <w:rPr>
          <w:i/>
          <w:spacing w:val="-11"/>
          <w:w w:val="95"/>
          <w:sz w:val="21"/>
        </w:rPr>
        <w:t> </w:t>
      </w:r>
      <w:r>
        <w:rPr>
          <w:i/>
          <w:w w:val="95"/>
          <w:sz w:val="21"/>
        </w:rPr>
        <w:t>fundamentals</w:t>
      </w:r>
      <w:r>
        <w:rPr>
          <w:i/>
          <w:spacing w:val="21"/>
          <w:sz w:val="21"/>
        </w:rPr>
        <w:t> </w:t>
      </w:r>
      <w:r>
        <w:rPr>
          <w:i/>
          <w:w w:val="95"/>
          <w:sz w:val="21"/>
        </w:rPr>
        <w:t>of building</w:t>
      </w:r>
      <w:r>
        <w:rPr>
          <w:i/>
          <w:spacing w:val="-1"/>
          <w:w w:val="95"/>
          <w:sz w:val="21"/>
        </w:rPr>
        <w:t> </w:t>
      </w:r>
      <w:r>
        <w:rPr>
          <w:i/>
          <w:w w:val="95"/>
          <w:sz w:val="21"/>
        </w:rPr>
        <w:t>cost, fife--cycle cost, and</w:t>
      </w:r>
      <w:r>
        <w:rPr>
          <w:i/>
          <w:spacing w:val="-9"/>
          <w:w w:val="95"/>
          <w:sz w:val="21"/>
        </w:rPr>
        <w:t> </w:t>
      </w:r>
      <w:r>
        <w:rPr>
          <w:i/>
          <w:w w:val="95"/>
          <w:sz w:val="21"/>
        </w:rPr>
        <w:t>construction </w:t>
      </w:r>
      <w:r>
        <w:rPr>
          <w:i/>
          <w:spacing w:val="-2"/>
          <w:sz w:val="21"/>
        </w:rPr>
        <w:t>estimating</w:t>
      </w:r>
    </w:p>
    <w:p>
      <w:pPr>
        <w:tabs>
          <w:tab w:pos="886" w:val="left" w:leader="none"/>
        </w:tabs>
        <w:spacing w:line="187" w:lineRule="exact" w:before="0"/>
        <w:ind w:left="0" w:right="833" w:firstLine="0"/>
        <w:jc w:val="right"/>
        <w:rPr>
          <w:sz w:val="19"/>
        </w:rPr>
      </w:pPr>
      <w:r>
        <w:rPr>
          <w:spacing w:val="-5"/>
          <w:w w:val="110"/>
          <w:sz w:val="19"/>
        </w:rPr>
        <w:t>Met</w:t>
      </w:r>
      <w:r>
        <w:rPr>
          <w:sz w:val="19"/>
        </w:rPr>
        <w:tab/>
      </w:r>
      <w:r>
        <w:rPr>
          <w:w w:val="105"/>
          <w:sz w:val="19"/>
        </w:rPr>
        <w:t>Not</w:t>
      </w:r>
      <w:r>
        <w:rPr>
          <w:spacing w:val="-3"/>
          <w:w w:val="105"/>
          <w:sz w:val="19"/>
        </w:rPr>
        <w:t> </w:t>
      </w:r>
      <w:r>
        <w:rPr>
          <w:spacing w:val="-5"/>
          <w:w w:val="110"/>
          <w:sz w:val="19"/>
        </w:rPr>
        <w:t>Met</w:t>
      </w:r>
    </w:p>
    <w:p>
      <w:pPr>
        <w:pStyle w:val="Heading3"/>
        <w:numPr>
          <w:ilvl w:val="3"/>
          <w:numId w:val="75"/>
        </w:numPr>
        <w:tabs>
          <w:tab w:pos="1036" w:val="left" w:leader="none"/>
          <w:tab w:pos="1037" w:val="left" w:leader="none"/>
        </w:tabs>
        <w:spacing w:line="337" w:lineRule="exact" w:before="0" w:after="0"/>
        <w:ind w:left="1036" w:right="1045" w:hanging="1037"/>
        <w:jc w:val="right"/>
        <w:rPr>
          <w:sz w:val="24"/>
        </w:rPr>
      </w:pPr>
      <w:r>
        <w:rPr>
          <w:w w:val="110"/>
        </w:rPr>
        <w:t>I</w:t>
      </w:r>
      <w:r>
        <w:rPr>
          <w:spacing w:val="15"/>
          <w:w w:val="110"/>
        </w:rPr>
        <w:t> </w:t>
      </w:r>
      <w:r>
        <w:rPr>
          <w:spacing w:val="-10"/>
          <w:w w:val="110"/>
        </w:rPr>
        <w:t>l</w:t>
      </w:r>
    </w:p>
    <w:p>
      <w:pPr>
        <w:spacing w:line="256" w:lineRule="auto" w:before="254"/>
        <w:ind w:left="1681" w:right="903" w:firstLine="3"/>
        <w:jc w:val="left"/>
        <w:rPr>
          <w:sz w:val="19"/>
        </w:rPr>
      </w:pPr>
      <w:r>
        <w:rPr>
          <w:w w:val="105"/>
          <w:sz w:val="19"/>
        </w:rPr>
        <w:t>Construction cost control is taught through courses ARC 314 and ARC 406 Advanced Architectural</w:t>
      </w:r>
      <w:r>
        <w:rPr>
          <w:spacing w:val="-7"/>
          <w:w w:val="105"/>
          <w:sz w:val="19"/>
        </w:rPr>
        <w:t> </w:t>
      </w:r>
      <w:r>
        <w:rPr>
          <w:w w:val="105"/>
          <w:sz w:val="19"/>
        </w:rPr>
        <w:t>Design</w:t>
      </w:r>
      <w:r>
        <w:rPr>
          <w:spacing w:val="-9"/>
          <w:w w:val="105"/>
          <w:sz w:val="19"/>
        </w:rPr>
        <w:t> </w:t>
      </w:r>
      <w:r>
        <w:rPr>
          <w:w w:val="105"/>
          <w:sz w:val="19"/>
        </w:rPr>
        <w:t>studio.</w:t>
      </w:r>
      <w:r>
        <w:rPr>
          <w:spacing w:val="40"/>
          <w:w w:val="105"/>
          <w:sz w:val="19"/>
        </w:rPr>
        <w:t> </w:t>
      </w:r>
      <w:r>
        <w:rPr>
          <w:w w:val="105"/>
          <w:sz w:val="19"/>
        </w:rPr>
        <w:t>Preliminary construction cost</w:t>
      </w:r>
      <w:r>
        <w:rPr>
          <w:spacing w:val="-10"/>
          <w:w w:val="105"/>
          <w:sz w:val="19"/>
        </w:rPr>
        <w:t> </w:t>
      </w:r>
      <w:r>
        <w:rPr>
          <w:w w:val="105"/>
          <w:sz w:val="19"/>
        </w:rPr>
        <w:t>estimates</w:t>
      </w:r>
      <w:r>
        <w:rPr>
          <w:spacing w:val="-1"/>
          <w:w w:val="105"/>
          <w:sz w:val="19"/>
        </w:rPr>
        <w:t> </w:t>
      </w:r>
      <w:r>
        <w:rPr>
          <w:w w:val="105"/>
          <w:sz w:val="19"/>
        </w:rPr>
        <w:t>are prepared in ARC 406.</w:t>
      </w:r>
      <w:r>
        <w:rPr>
          <w:spacing w:val="40"/>
          <w:w w:val="105"/>
          <w:sz w:val="19"/>
        </w:rPr>
        <w:t> </w:t>
      </w:r>
      <w:r>
        <w:rPr>
          <w:w w:val="105"/>
          <w:sz w:val="19"/>
        </w:rPr>
        <w:t>Projects designed in lower level design studios like the "sleeper keeper" and</w:t>
      </w:r>
      <w:r>
        <w:rPr>
          <w:spacing w:val="-4"/>
          <w:w w:val="105"/>
          <w:sz w:val="19"/>
        </w:rPr>
        <w:t> </w:t>
      </w:r>
      <w:r>
        <w:rPr>
          <w:w w:val="105"/>
          <w:sz w:val="19"/>
        </w:rPr>
        <w:t>"aqua totter" are good exercises in design, budgeting, cost control,</w:t>
      </w:r>
      <w:r>
        <w:rPr>
          <w:spacing w:val="-2"/>
          <w:w w:val="105"/>
          <w:sz w:val="19"/>
        </w:rPr>
        <w:t> </w:t>
      </w:r>
      <w:r>
        <w:rPr>
          <w:w w:val="105"/>
          <w:sz w:val="19"/>
        </w:rPr>
        <w:t>and</w:t>
      </w:r>
      <w:r>
        <w:rPr>
          <w:spacing w:val="-12"/>
          <w:w w:val="105"/>
          <w:sz w:val="19"/>
        </w:rPr>
        <w:t> </w:t>
      </w:r>
      <w:r>
        <w:rPr>
          <w:w w:val="105"/>
          <w:sz w:val="19"/>
        </w:rPr>
        <w:t>construction.</w:t>
      </w:r>
      <w:r>
        <w:rPr>
          <w:spacing w:val="40"/>
          <w:w w:val="105"/>
          <w:sz w:val="19"/>
        </w:rPr>
        <w:t> </w:t>
      </w:r>
      <w:r>
        <w:rPr>
          <w:w w:val="105"/>
          <w:sz w:val="19"/>
        </w:rPr>
        <w:t>The projects</w:t>
      </w:r>
      <w:r>
        <w:rPr>
          <w:spacing w:val="-1"/>
          <w:w w:val="105"/>
          <w:sz w:val="19"/>
        </w:rPr>
        <w:t> </w:t>
      </w:r>
      <w:r>
        <w:rPr>
          <w:w w:val="105"/>
          <w:sz w:val="19"/>
        </w:rPr>
        <w:t>are</w:t>
      </w:r>
      <w:r>
        <w:rPr>
          <w:spacing w:val="-18"/>
          <w:w w:val="105"/>
          <w:sz w:val="19"/>
        </w:rPr>
        <w:t> </w:t>
      </w:r>
      <w:r>
        <w:rPr>
          <w:w w:val="105"/>
          <w:sz w:val="19"/>
        </w:rPr>
        <w:t>conceived, procured, built,</w:t>
      </w:r>
      <w:r>
        <w:rPr>
          <w:spacing w:val="-2"/>
          <w:w w:val="105"/>
          <w:sz w:val="19"/>
        </w:rPr>
        <w:t> </w:t>
      </w:r>
      <w:r>
        <w:rPr>
          <w:w w:val="105"/>
          <w:sz w:val="19"/>
        </w:rPr>
        <w:t>and</w:t>
      </w:r>
      <w:r>
        <w:rPr>
          <w:spacing w:val="-8"/>
          <w:w w:val="105"/>
          <w:sz w:val="19"/>
        </w:rPr>
        <w:t> </w:t>
      </w:r>
      <w:r>
        <w:rPr>
          <w:w w:val="105"/>
          <w:sz w:val="19"/>
        </w:rPr>
        <w:t>paid-for by each design team.</w:t>
      </w:r>
    </w:p>
    <w:p>
      <w:pPr>
        <w:pStyle w:val="BodyText"/>
      </w:pPr>
    </w:p>
    <w:p>
      <w:pPr>
        <w:pStyle w:val="BodyText"/>
        <w:spacing w:before="2"/>
        <w:rPr>
          <w:sz w:val="17"/>
        </w:rPr>
      </w:pPr>
    </w:p>
    <w:p>
      <w:pPr>
        <w:pStyle w:val="ListParagraph"/>
        <w:numPr>
          <w:ilvl w:val="2"/>
          <w:numId w:val="75"/>
        </w:numPr>
        <w:tabs>
          <w:tab w:pos="1688" w:val="left" w:leader="none"/>
          <w:tab w:pos="1689" w:val="left" w:leader="none"/>
        </w:tabs>
        <w:spacing w:line="240" w:lineRule="auto" w:before="0" w:after="0"/>
        <w:ind w:left="1688" w:right="0" w:hanging="722"/>
        <w:jc w:val="left"/>
        <w:rPr>
          <w:sz w:val="21"/>
        </w:rPr>
      </w:pPr>
      <w:r>
        <w:rPr>
          <w:sz w:val="21"/>
        </w:rPr>
        <w:t>Technical</w:t>
      </w:r>
      <w:r>
        <w:rPr>
          <w:spacing w:val="11"/>
          <w:w w:val="105"/>
          <w:sz w:val="21"/>
        </w:rPr>
        <w:t> </w:t>
      </w:r>
      <w:r>
        <w:rPr>
          <w:spacing w:val="-2"/>
          <w:w w:val="105"/>
          <w:sz w:val="21"/>
        </w:rPr>
        <w:t>Documentation</w:t>
      </w:r>
    </w:p>
    <w:p>
      <w:pPr>
        <w:pStyle w:val="BodyText"/>
        <w:spacing w:before="2"/>
        <w:rPr>
          <w:sz w:val="19"/>
        </w:rPr>
      </w:pPr>
    </w:p>
    <w:p>
      <w:pPr>
        <w:spacing w:line="241" w:lineRule="exact" w:before="0"/>
        <w:ind w:left="1693" w:right="0" w:firstLine="0"/>
        <w:jc w:val="left"/>
        <w:rPr>
          <w:sz w:val="19"/>
        </w:rPr>
      </w:pPr>
      <w:r>
        <w:rPr>
          <w:w w:val="95"/>
          <w:sz w:val="19"/>
        </w:rPr>
        <w:t>Ability</w:t>
      </w:r>
      <w:r>
        <w:rPr>
          <w:spacing w:val="18"/>
          <w:sz w:val="19"/>
        </w:rPr>
        <w:t> </w:t>
      </w:r>
      <w:r>
        <w:rPr>
          <w:w w:val="95"/>
          <w:sz w:val="19"/>
        </w:rPr>
        <w:t>to</w:t>
      </w:r>
      <w:r>
        <w:rPr>
          <w:spacing w:val="-3"/>
          <w:sz w:val="19"/>
        </w:rPr>
        <w:t> </w:t>
      </w:r>
      <w:r>
        <w:rPr>
          <w:i/>
          <w:w w:val="95"/>
          <w:sz w:val="21"/>
        </w:rPr>
        <w:t>make</w:t>
      </w:r>
      <w:r>
        <w:rPr>
          <w:i/>
          <w:spacing w:val="-3"/>
          <w:w w:val="95"/>
          <w:sz w:val="21"/>
        </w:rPr>
        <w:t> </w:t>
      </w:r>
      <w:r>
        <w:rPr>
          <w:i/>
          <w:w w:val="95"/>
          <w:sz w:val="21"/>
        </w:rPr>
        <w:t>technically</w:t>
      </w:r>
      <w:r>
        <w:rPr>
          <w:i/>
          <w:spacing w:val="21"/>
          <w:sz w:val="21"/>
        </w:rPr>
        <w:t> </w:t>
      </w:r>
      <w:r>
        <w:rPr>
          <w:i/>
          <w:w w:val="95"/>
          <w:sz w:val="21"/>
        </w:rPr>
        <w:t>precise</w:t>
      </w:r>
      <w:r>
        <w:rPr>
          <w:i/>
          <w:sz w:val="21"/>
        </w:rPr>
        <w:t> </w:t>
      </w:r>
      <w:r>
        <w:rPr>
          <w:i/>
          <w:w w:val="95"/>
          <w:sz w:val="21"/>
        </w:rPr>
        <w:t>drawings</w:t>
      </w:r>
      <w:r>
        <w:rPr>
          <w:i/>
          <w:spacing w:val="4"/>
          <w:sz w:val="21"/>
        </w:rPr>
        <w:t> </w:t>
      </w:r>
      <w:r>
        <w:rPr>
          <w:i/>
          <w:w w:val="95"/>
          <w:sz w:val="21"/>
        </w:rPr>
        <w:t>and</w:t>
      </w:r>
      <w:r>
        <w:rPr>
          <w:i/>
          <w:spacing w:val="-5"/>
          <w:w w:val="95"/>
          <w:sz w:val="21"/>
        </w:rPr>
        <w:t> </w:t>
      </w:r>
      <w:r>
        <w:rPr>
          <w:i/>
          <w:w w:val="95"/>
          <w:sz w:val="21"/>
        </w:rPr>
        <w:t>write</w:t>
      </w:r>
      <w:r>
        <w:rPr>
          <w:i/>
          <w:spacing w:val="-2"/>
          <w:sz w:val="21"/>
        </w:rPr>
        <w:t> </w:t>
      </w:r>
      <w:r>
        <w:rPr>
          <w:i/>
          <w:w w:val="95"/>
          <w:sz w:val="21"/>
        </w:rPr>
        <w:t>outline</w:t>
      </w:r>
      <w:r>
        <w:rPr>
          <w:i/>
          <w:spacing w:val="-1"/>
          <w:w w:val="95"/>
          <w:sz w:val="21"/>
        </w:rPr>
        <w:t> </w:t>
      </w:r>
      <w:r>
        <w:rPr>
          <w:i/>
          <w:w w:val="95"/>
          <w:sz w:val="21"/>
        </w:rPr>
        <w:t>specifications</w:t>
      </w:r>
      <w:r>
        <w:rPr>
          <w:i/>
          <w:spacing w:val="-5"/>
          <w:w w:val="95"/>
          <w:sz w:val="21"/>
        </w:rPr>
        <w:t> </w:t>
      </w:r>
      <w:r>
        <w:rPr>
          <w:i/>
          <w:w w:val="95"/>
          <w:sz w:val="21"/>
        </w:rPr>
        <w:t>for</w:t>
      </w:r>
      <w:r>
        <w:rPr>
          <w:i/>
          <w:spacing w:val="-6"/>
          <w:w w:val="95"/>
          <w:sz w:val="21"/>
        </w:rPr>
        <w:t> </w:t>
      </w:r>
      <w:r>
        <w:rPr>
          <w:spacing w:val="-10"/>
          <w:w w:val="95"/>
          <w:sz w:val="19"/>
        </w:rPr>
        <w:t>a</w:t>
      </w:r>
    </w:p>
    <w:p>
      <w:pPr>
        <w:spacing w:line="236" w:lineRule="exact" w:before="0"/>
        <w:ind w:left="1695" w:right="0" w:firstLine="0"/>
        <w:jc w:val="left"/>
        <w:rPr>
          <w:i/>
          <w:sz w:val="21"/>
        </w:rPr>
      </w:pPr>
      <w:r>
        <w:rPr>
          <w:i/>
          <w:w w:val="95"/>
          <w:sz w:val="21"/>
        </w:rPr>
        <w:t>proposed</w:t>
      </w:r>
      <w:r>
        <w:rPr>
          <w:i/>
          <w:spacing w:val="-5"/>
          <w:w w:val="95"/>
          <w:sz w:val="21"/>
        </w:rPr>
        <w:t> </w:t>
      </w:r>
      <w:r>
        <w:rPr>
          <w:i/>
          <w:spacing w:val="-2"/>
          <w:sz w:val="21"/>
        </w:rPr>
        <w:t>design</w:t>
      </w:r>
    </w:p>
    <w:p>
      <w:pPr>
        <w:tabs>
          <w:tab w:pos="886" w:val="left" w:leader="none"/>
        </w:tabs>
        <w:spacing w:line="188" w:lineRule="exact" w:before="0"/>
        <w:ind w:left="0" w:right="833" w:firstLine="0"/>
        <w:jc w:val="right"/>
        <w:rPr>
          <w:sz w:val="19"/>
        </w:rPr>
      </w:pPr>
      <w:r>
        <w:rPr>
          <w:spacing w:val="-5"/>
          <w:w w:val="105"/>
          <w:sz w:val="19"/>
        </w:rPr>
        <w:t>Met</w:t>
      </w:r>
      <w:r>
        <w:rPr>
          <w:sz w:val="19"/>
        </w:rPr>
        <w:tab/>
      </w:r>
      <w:r>
        <w:rPr>
          <w:w w:val="105"/>
          <w:sz w:val="19"/>
        </w:rPr>
        <w:t>Not</w:t>
      </w:r>
      <w:r>
        <w:rPr>
          <w:spacing w:val="-13"/>
          <w:w w:val="105"/>
          <w:sz w:val="19"/>
        </w:rPr>
        <w:t> </w:t>
      </w:r>
      <w:r>
        <w:rPr>
          <w:spacing w:val="-5"/>
          <w:w w:val="105"/>
          <w:sz w:val="19"/>
        </w:rPr>
        <w:t>Met</w:t>
      </w:r>
    </w:p>
    <w:p>
      <w:pPr>
        <w:pStyle w:val="Heading3"/>
        <w:numPr>
          <w:ilvl w:val="3"/>
          <w:numId w:val="75"/>
        </w:numPr>
        <w:tabs>
          <w:tab w:pos="1036" w:val="left" w:leader="none"/>
          <w:tab w:pos="1037" w:val="left" w:leader="none"/>
        </w:tabs>
        <w:spacing w:line="342" w:lineRule="exact" w:before="0" w:after="0"/>
        <w:ind w:left="1036" w:right="1016" w:hanging="1037"/>
        <w:jc w:val="right"/>
        <w:rPr>
          <w:sz w:val="24"/>
        </w:rPr>
      </w:pPr>
      <w:r>
        <w:rPr>
          <w:w w:val="110"/>
        </w:rPr>
        <w:t>I</w:t>
      </w:r>
      <w:r>
        <w:rPr>
          <w:spacing w:val="15"/>
          <w:w w:val="110"/>
        </w:rPr>
        <w:t> </w:t>
      </w:r>
      <w:r>
        <w:rPr>
          <w:spacing w:val="-10"/>
          <w:w w:val="110"/>
        </w:rPr>
        <w:t>l</w:t>
      </w:r>
    </w:p>
    <w:p>
      <w:pPr>
        <w:spacing w:line="259" w:lineRule="auto" w:before="206"/>
        <w:ind w:left="1702" w:right="311" w:firstLine="1"/>
        <w:jc w:val="left"/>
        <w:rPr>
          <w:sz w:val="19"/>
        </w:rPr>
      </w:pPr>
      <w:r>
        <w:rPr>
          <w:w w:val="105"/>
          <w:sz w:val="19"/>
        </w:rPr>
        <w:t>Students are</w:t>
      </w:r>
      <w:r>
        <w:rPr>
          <w:spacing w:val="-7"/>
          <w:w w:val="105"/>
          <w:sz w:val="19"/>
        </w:rPr>
        <w:t> </w:t>
      </w:r>
      <w:r>
        <w:rPr>
          <w:w w:val="105"/>
          <w:sz w:val="19"/>
        </w:rPr>
        <w:t>required to</w:t>
      </w:r>
      <w:r>
        <w:rPr>
          <w:spacing w:val="-7"/>
          <w:w w:val="105"/>
          <w:sz w:val="19"/>
        </w:rPr>
        <w:t> </w:t>
      </w:r>
      <w:r>
        <w:rPr>
          <w:w w:val="105"/>
          <w:sz w:val="19"/>
        </w:rPr>
        <w:t>prepare technical</w:t>
      </w:r>
      <w:r>
        <w:rPr>
          <w:spacing w:val="-7"/>
          <w:w w:val="105"/>
          <w:sz w:val="19"/>
        </w:rPr>
        <w:t> </w:t>
      </w:r>
      <w:r>
        <w:rPr>
          <w:w w:val="105"/>
          <w:sz w:val="19"/>
        </w:rPr>
        <w:t>drawings</w:t>
      </w:r>
      <w:r>
        <w:rPr>
          <w:spacing w:val="-7"/>
          <w:w w:val="105"/>
          <w:sz w:val="19"/>
        </w:rPr>
        <w:t> </w:t>
      </w:r>
      <w:r>
        <w:rPr>
          <w:w w:val="105"/>
          <w:sz w:val="19"/>
        </w:rPr>
        <w:t>in ARC</w:t>
      </w:r>
      <w:r>
        <w:rPr>
          <w:spacing w:val="-2"/>
          <w:w w:val="105"/>
          <w:sz w:val="19"/>
        </w:rPr>
        <w:t> </w:t>
      </w:r>
      <w:r>
        <w:rPr>
          <w:w w:val="105"/>
          <w:sz w:val="19"/>
        </w:rPr>
        <w:t>406</w:t>
      </w:r>
      <w:r>
        <w:rPr>
          <w:spacing w:val="-3"/>
          <w:w w:val="105"/>
          <w:sz w:val="19"/>
        </w:rPr>
        <w:t> </w:t>
      </w:r>
      <w:r>
        <w:rPr>
          <w:w w:val="105"/>
          <w:sz w:val="19"/>
        </w:rPr>
        <w:t>Advanced Architectural Design Studio IX of designs conceived and developed in ARC 405.</w:t>
      </w:r>
      <w:r>
        <w:rPr>
          <w:spacing w:val="40"/>
          <w:w w:val="105"/>
          <w:sz w:val="19"/>
        </w:rPr>
        <w:t> </w:t>
      </w:r>
      <w:r>
        <w:rPr>
          <w:w w:val="105"/>
          <w:sz w:val="19"/>
        </w:rPr>
        <w:t>Detailed</w:t>
      </w:r>
      <w:r>
        <w:rPr>
          <w:spacing w:val="-6"/>
          <w:w w:val="105"/>
          <w:sz w:val="19"/>
        </w:rPr>
        <w:t> </w:t>
      </w:r>
      <w:r>
        <w:rPr>
          <w:w w:val="105"/>
          <w:sz w:val="19"/>
        </w:rPr>
        <w:t>plans</w:t>
      </w:r>
      <w:r>
        <w:rPr>
          <w:spacing w:val="-2"/>
          <w:w w:val="105"/>
          <w:sz w:val="19"/>
        </w:rPr>
        <w:t> </w:t>
      </w:r>
      <w:r>
        <w:rPr>
          <w:w w:val="105"/>
          <w:sz w:val="19"/>
        </w:rPr>
        <w:t>and walls sections are prepared in these courses.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8"/>
        </w:rPr>
      </w:pPr>
      <w:r>
        <w:rPr/>
        <w:pict>
          <v:shape style="position:absolute;margin-left:67.451866pt;margin-top:11.964004pt;width:454.35pt;height:.1pt;mso-position-horizontal-relative:page;mso-position-vertical-relative:paragraph;z-index:-15696384;mso-wrap-distance-left:0;mso-wrap-distance-right:0" id="docshape657" coordorigin="1349,239" coordsize="9087,0" path="m1349,239l10436,239e" filled="false" stroked="true" strokeweight=".481434pt" strokecolor="#000000">
            <v:path arrowok="t"/>
            <v:stroke dashstyle="solid"/>
            <w10:wrap type="topAndBottom"/>
          </v:shape>
        </w:pict>
      </w:r>
    </w:p>
    <w:p>
      <w:pPr>
        <w:spacing w:before="9"/>
        <w:ind w:left="0" w:right="213" w:firstLine="0"/>
        <w:jc w:val="right"/>
        <w:rPr>
          <w:sz w:val="19"/>
        </w:rPr>
      </w:pPr>
      <w:r>
        <w:rPr>
          <w:spacing w:val="-5"/>
          <w:w w:val="105"/>
          <w:sz w:val="19"/>
        </w:rPr>
        <w:t>19</w:t>
      </w:r>
    </w:p>
    <w:p>
      <w:pPr>
        <w:spacing w:after="0"/>
        <w:jc w:val="right"/>
        <w:rPr>
          <w:sz w:val="19"/>
        </w:rPr>
        <w:sectPr>
          <w:headerReference w:type="default" r:id="rId397"/>
          <w:footerReference w:type="default" r:id="rId398"/>
          <w:pgSz w:w="12180" w:h="15820"/>
          <w:pgMar w:header="666" w:footer="0" w:top="1400" w:bottom="280" w:left="1120" w:right="1180"/>
        </w:sectPr>
      </w:pPr>
    </w:p>
    <w:p>
      <w:pPr>
        <w:pStyle w:val="BodyText"/>
        <w:spacing w:before="2"/>
        <w:rPr>
          <w:sz w:val="18"/>
        </w:rPr>
      </w:pPr>
    </w:p>
    <w:p>
      <w:pPr>
        <w:numPr>
          <w:ilvl w:val="2"/>
          <w:numId w:val="75"/>
        </w:numPr>
        <w:tabs>
          <w:tab w:pos="1693" w:val="left" w:leader="none"/>
          <w:tab w:pos="1694" w:val="left" w:leader="none"/>
        </w:tabs>
        <w:spacing w:before="94"/>
        <w:ind w:left="1693" w:right="0" w:hanging="710"/>
        <w:jc w:val="left"/>
        <w:rPr>
          <w:b/>
          <w:sz w:val="20"/>
        </w:rPr>
      </w:pPr>
      <w:r>
        <w:rPr>
          <w:b/>
          <w:sz w:val="20"/>
        </w:rPr>
        <w:t>Client</w:t>
      </w:r>
      <w:r>
        <w:rPr>
          <w:b/>
          <w:spacing w:val="-4"/>
          <w:sz w:val="20"/>
        </w:rPr>
        <w:t> </w:t>
      </w:r>
      <w:r>
        <w:rPr>
          <w:b/>
          <w:sz w:val="20"/>
        </w:rPr>
        <w:t>Role</w:t>
      </w:r>
      <w:r>
        <w:rPr>
          <w:b/>
          <w:spacing w:val="1"/>
          <w:sz w:val="20"/>
        </w:rPr>
        <w:t> </w:t>
      </w:r>
      <w:r>
        <w:rPr>
          <w:b/>
          <w:sz w:val="20"/>
        </w:rPr>
        <w:t>in</w:t>
      </w:r>
      <w:r>
        <w:rPr>
          <w:b/>
          <w:spacing w:val="-7"/>
          <w:sz w:val="20"/>
        </w:rPr>
        <w:t> </w:t>
      </w:r>
      <w:r>
        <w:rPr>
          <w:b/>
          <w:spacing w:val="-2"/>
          <w:sz w:val="20"/>
        </w:rPr>
        <w:t>Architecture</w:t>
      </w:r>
    </w:p>
    <w:p>
      <w:pPr>
        <w:pStyle w:val="BodyText"/>
        <w:rPr>
          <w:b/>
          <w:sz w:val="21"/>
        </w:rPr>
      </w:pPr>
    </w:p>
    <w:p>
      <w:pPr>
        <w:spacing w:line="254" w:lineRule="auto" w:before="0"/>
        <w:ind w:left="1697" w:right="475" w:hanging="9"/>
        <w:jc w:val="left"/>
        <w:rPr>
          <w:i/>
          <w:sz w:val="19"/>
        </w:rPr>
      </w:pPr>
      <w:r>
        <w:rPr>
          <w:w w:val="105"/>
          <w:sz w:val="19"/>
        </w:rPr>
        <w:t>Understanding of</w:t>
      </w:r>
      <w:r>
        <w:rPr>
          <w:spacing w:val="-8"/>
          <w:w w:val="105"/>
          <w:sz w:val="19"/>
        </w:rPr>
        <w:t> </w:t>
      </w:r>
      <w:r>
        <w:rPr>
          <w:i/>
          <w:w w:val="105"/>
          <w:sz w:val="19"/>
        </w:rPr>
        <w:t>the</w:t>
      </w:r>
      <w:r>
        <w:rPr>
          <w:i/>
          <w:spacing w:val="-15"/>
          <w:w w:val="105"/>
          <w:sz w:val="19"/>
        </w:rPr>
        <w:t> </w:t>
      </w:r>
      <w:r>
        <w:rPr>
          <w:i/>
          <w:w w:val="105"/>
          <w:sz w:val="19"/>
        </w:rPr>
        <w:t>responsibility</w:t>
      </w:r>
      <w:r>
        <w:rPr>
          <w:i/>
          <w:spacing w:val="-22"/>
          <w:w w:val="105"/>
          <w:sz w:val="19"/>
        </w:rPr>
        <w:t> </w:t>
      </w:r>
      <w:r>
        <w:rPr>
          <w:i/>
          <w:w w:val="105"/>
          <w:sz w:val="19"/>
        </w:rPr>
        <w:t>of the</w:t>
      </w:r>
      <w:r>
        <w:rPr>
          <w:i/>
          <w:spacing w:val="-6"/>
          <w:w w:val="105"/>
          <w:sz w:val="19"/>
        </w:rPr>
        <w:t> </w:t>
      </w:r>
      <w:r>
        <w:rPr>
          <w:i/>
          <w:w w:val="105"/>
          <w:sz w:val="19"/>
        </w:rPr>
        <w:t>architect</w:t>
      </w:r>
      <w:r>
        <w:rPr>
          <w:i/>
          <w:spacing w:val="-5"/>
          <w:w w:val="105"/>
          <w:sz w:val="19"/>
        </w:rPr>
        <w:t> </w:t>
      </w:r>
      <w:r>
        <w:rPr>
          <w:i/>
          <w:w w:val="105"/>
          <w:sz w:val="19"/>
        </w:rPr>
        <w:t>to elicit,</w:t>
      </w:r>
      <w:r>
        <w:rPr>
          <w:i/>
          <w:spacing w:val="-3"/>
          <w:w w:val="105"/>
          <w:sz w:val="19"/>
        </w:rPr>
        <w:t> </w:t>
      </w:r>
      <w:r>
        <w:rPr>
          <w:i/>
          <w:w w:val="105"/>
          <w:sz w:val="19"/>
        </w:rPr>
        <w:t>understand, and resolve</w:t>
      </w:r>
      <w:r>
        <w:rPr>
          <w:i/>
          <w:spacing w:val="-4"/>
          <w:w w:val="105"/>
          <w:sz w:val="19"/>
        </w:rPr>
        <w:t> </w:t>
      </w:r>
      <w:r>
        <w:rPr>
          <w:i/>
          <w:w w:val="105"/>
          <w:sz w:val="19"/>
        </w:rPr>
        <w:t>the needs </w:t>
      </w:r>
      <w:r>
        <w:rPr>
          <w:w w:val="105"/>
          <w:sz w:val="19"/>
        </w:rPr>
        <w:t>of </w:t>
      </w:r>
      <w:r>
        <w:rPr>
          <w:i/>
          <w:w w:val="105"/>
          <w:sz w:val="19"/>
        </w:rPr>
        <w:t>the</w:t>
      </w:r>
      <w:r>
        <w:rPr>
          <w:i/>
          <w:spacing w:val="-2"/>
          <w:w w:val="105"/>
          <w:sz w:val="19"/>
        </w:rPr>
        <w:t> </w:t>
      </w:r>
      <w:r>
        <w:rPr>
          <w:i/>
          <w:w w:val="105"/>
          <w:sz w:val="19"/>
        </w:rPr>
        <w:t>client, owner, and user</w:t>
      </w:r>
    </w:p>
    <w:p>
      <w:pPr>
        <w:tabs>
          <w:tab w:pos="8299" w:val="left" w:leader="none"/>
        </w:tabs>
        <w:spacing w:line="192" w:lineRule="exact" w:before="0"/>
        <w:ind w:left="7422" w:right="0" w:firstLine="0"/>
        <w:jc w:val="left"/>
        <w:rPr>
          <w:sz w:val="19"/>
        </w:rPr>
      </w:pPr>
      <w:r>
        <w:rPr>
          <w:spacing w:val="-5"/>
          <w:w w:val="110"/>
          <w:sz w:val="19"/>
        </w:rPr>
        <w:t>Met</w:t>
      </w:r>
      <w:r>
        <w:rPr>
          <w:sz w:val="19"/>
        </w:rPr>
        <w:tab/>
      </w:r>
      <w:r>
        <w:rPr>
          <w:w w:val="105"/>
          <w:sz w:val="19"/>
        </w:rPr>
        <w:t>Not</w:t>
      </w:r>
      <w:r>
        <w:rPr>
          <w:spacing w:val="-3"/>
          <w:w w:val="105"/>
          <w:sz w:val="19"/>
        </w:rPr>
        <w:t> </w:t>
      </w:r>
      <w:r>
        <w:rPr>
          <w:spacing w:val="-5"/>
          <w:w w:val="110"/>
          <w:sz w:val="19"/>
        </w:rPr>
        <w:t>Met</w:t>
      </w:r>
    </w:p>
    <w:p>
      <w:pPr>
        <w:pStyle w:val="ListParagraph"/>
        <w:numPr>
          <w:ilvl w:val="3"/>
          <w:numId w:val="75"/>
        </w:numPr>
        <w:tabs>
          <w:tab w:pos="1051" w:val="left" w:leader="none"/>
          <w:tab w:pos="1052" w:val="left" w:leader="none"/>
        </w:tabs>
        <w:spacing w:line="319" w:lineRule="exact" w:before="0" w:after="0"/>
        <w:ind w:left="1051" w:right="1083" w:hanging="1052"/>
        <w:jc w:val="right"/>
        <w:rPr>
          <w:b/>
          <w:sz w:val="24"/>
        </w:rPr>
      </w:pPr>
      <w:r>
        <w:rPr>
          <w:sz w:val="24"/>
        </w:rPr>
        <w:t>[</w:t>
      </w:r>
      <w:r>
        <w:rPr>
          <w:spacing w:val="64"/>
          <w:sz w:val="24"/>
        </w:rPr>
        <w:t> </w:t>
      </w:r>
      <w:r>
        <w:rPr>
          <w:spacing w:val="-10"/>
          <w:sz w:val="30"/>
        </w:rPr>
        <w:t>l</w:t>
      </w:r>
    </w:p>
    <w:p>
      <w:pPr>
        <w:spacing w:line="261" w:lineRule="auto" w:before="259"/>
        <w:ind w:left="1687" w:right="0" w:hanging="10"/>
        <w:jc w:val="left"/>
        <w:rPr>
          <w:sz w:val="19"/>
        </w:rPr>
      </w:pPr>
      <w:r>
        <w:rPr>
          <w:w w:val="105"/>
          <w:sz w:val="19"/>
        </w:rPr>
        <w:t>Evidence</w:t>
      </w:r>
      <w:r>
        <w:rPr>
          <w:spacing w:val="-9"/>
          <w:w w:val="105"/>
          <w:sz w:val="19"/>
        </w:rPr>
        <w:t> </w:t>
      </w:r>
      <w:r>
        <w:rPr>
          <w:w w:val="105"/>
          <w:sz w:val="19"/>
        </w:rPr>
        <w:t>of</w:t>
      </w:r>
      <w:r>
        <w:rPr>
          <w:spacing w:val="-13"/>
          <w:w w:val="105"/>
          <w:sz w:val="19"/>
        </w:rPr>
        <w:t> </w:t>
      </w:r>
      <w:r>
        <w:rPr>
          <w:w w:val="105"/>
          <w:sz w:val="19"/>
        </w:rPr>
        <w:t>understanding was</w:t>
      </w:r>
      <w:r>
        <w:rPr>
          <w:spacing w:val="-7"/>
          <w:w w:val="105"/>
          <w:sz w:val="19"/>
        </w:rPr>
        <w:t> </w:t>
      </w:r>
      <w:r>
        <w:rPr>
          <w:w w:val="105"/>
          <w:sz w:val="19"/>
        </w:rPr>
        <w:t>found</w:t>
      </w:r>
      <w:r>
        <w:rPr>
          <w:spacing w:val="-13"/>
          <w:w w:val="105"/>
          <w:sz w:val="19"/>
        </w:rPr>
        <w:t> </w:t>
      </w:r>
      <w:r>
        <w:rPr>
          <w:w w:val="105"/>
          <w:sz w:val="19"/>
        </w:rPr>
        <w:t>in</w:t>
      </w:r>
      <w:r>
        <w:rPr>
          <w:spacing w:val="-9"/>
          <w:w w:val="105"/>
          <w:sz w:val="19"/>
        </w:rPr>
        <w:t> </w:t>
      </w:r>
      <w:r>
        <w:rPr>
          <w:w w:val="105"/>
          <w:sz w:val="19"/>
        </w:rPr>
        <w:t>courses ARC</w:t>
      </w:r>
      <w:r>
        <w:rPr>
          <w:spacing w:val="-5"/>
          <w:w w:val="105"/>
          <w:sz w:val="19"/>
        </w:rPr>
        <w:t> </w:t>
      </w:r>
      <w:r>
        <w:rPr>
          <w:w w:val="105"/>
          <w:sz w:val="19"/>
        </w:rPr>
        <w:t>405-6 and</w:t>
      </w:r>
      <w:r>
        <w:rPr>
          <w:spacing w:val="-17"/>
          <w:w w:val="105"/>
          <w:sz w:val="19"/>
        </w:rPr>
        <w:t> </w:t>
      </w:r>
      <w:r>
        <w:rPr>
          <w:w w:val="105"/>
          <w:sz w:val="19"/>
        </w:rPr>
        <w:t>ARC</w:t>
      </w:r>
      <w:r>
        <w:rPr>
          <w:spacing w:val="-3"/>
          <w:w w:val="105"/>
          <w:sz w:val="19"/>
        </w:rPr>
        <w:t> </w:t>
      </w:r>
      <w:r>
        <w:rPr>
          <w:w w:val="105"/>
          <w:sz w:val="19"/>
        </w:rPr>
        <w:t>417-1</w:t>
      </w:r>
      <w:r>
        <w:rPr>
          <w:i/>
          <w:w w:val="105"/>
          <w:sz w:val="20"/>
        </w:rPr>
        <w:t>B </w:t>
      </w:r>
      <w:r>
        <w:rPr>
          <w:w w:val="105"/>
          <w:sz w:val="19"/>
        </w:rPr>
        <w:t>and supplemented by extramural community outreach projects.</w:t>
      </w:r>
    </w:p>
    <w:p>
      <w:pPr>
        <w:pStyle w:val="BodyText"/>
      </w:pPr>
    </w:p>
    <w:p>
      <w:pPr>
        <w:pStyle w:val="BodyText"/>
        <w:spacing w:before="8"/>
        <w:rPr>
          <w:sz w:val="18"/>
        </w:rPr>
      </w:pPr>
    </w:p>
    <w:p>
      <w:pPr>
        <w:numPr>
          <w:ilvl w:val="2"/>
          <w:numId w:val="75"/>
        </w:numPr>
        <w:tabs>
          <w:tab w:pos="1674" w:val="left" w:leader="none"/>
          <w:tab w:pos="1675" w:val="left" w:leader="none"/>
        </w:tabs>
        <w:spacing w:before="0"/>
        <w:ind w:left="1674" w:right="0" w:hanging="711"/>
        <w:jc w:val="left"/>
        <w:rPr>
          <w:b/>
          <w:sz w:val="20"/>
        </w:rPr>
      </w:pPr>
      <w:r>
        <w:rPr>
          <w:b/>
          <w:spacing w:val="-2"/>
          <w:sz w:val="20"/>
        </w:rPr>
        <w:t>Comprehensive</w:t>
      </w:r>
      <w:r>
        <w:rPr>
          <w:b/>
          <w:spacing w:val="6"/>
          <w:sz w:val="20"/>
        </w:rPr>
        <w:t> </w:t>
      </w:r>
      <w:r>
        <w:rPr>
          <w:b/>
          <w:spacing w:val="-2"/>
          <w:sz w:val="20"/>
        </w:rPr>
        <w:t>Design</w:t>
      </w:r>
    </w:p>
    <w:p>
      <w:pPr>
        <w:pStyle w:val="BodyText"/>
        <w:rPr>
          <w:b/>
          <w:sz w:val="21"/>
        </w:rPr>
      </w:pPr>
    </w:p>
    <w:p>
      <w:pPr>
        <w:spacing w:line="254" w:lineRule="auto" w:before="0"/>
        <w:ind w:left="1674" w:right="331" w:firstLine="9"/>
        <w:jc w:val="left"/>
        <w:rPr>
          <w:i/>
          <w:sz w:val="19"/>
        </w:rPr>
      </w:pPr>
      <w:r>
        <w:rPr>
          <w:w w:val="105"/>
          <w:sz w:val="19"/>
        </w:rPr>
        <w:t>Ability</w:t>
      </w:r>
      <w:r>
        <w:rPr>
          <w:spacing w:val="-1"/>
          <w:w w:val="105"/>
          <w:sz w:val="19"/>
        </w:rPr>
        <w:t> </w:t>
      </w:r>
      <w:r>
        <w:rPr>
          <w:w w:val="105"/>
          <w:sz w:val="19"/>
        </w:rPr>
        <w:t>to</w:t>
      </w:r>
      <w:r>
        <w:rPr>
          <w:spacing w:val="-5"/>
          <w:w w:val="105"/>
          <w:sz w:val="19"/>
        </w:rPr>
        <w:t> </w:t>
      </w:r>
      <w:r>
        <w:rPr>
          <w:i/>
          <w:w w:val="105"/>
          <w:sz w:val="19"/>
        </w:rPr>
        <w:t>produce </w:t>
      </w:r>
      <w:r>
        <w:rPr>
          <w:w w:val="105"/>
          <w:sz w:val="19"/>
        </w:rPr>
        <w:t>a</w:t>
      </w:r>
      <w:r>
        <w:rPr>
          <w:spacing w:val="-8"/>
          <w:w w:val="105"/>
          <w:sz w:val="19"/>
        </w:rPr>
        <w:t> </w:t>
      </w:r>
      <w:r>
        <w:rPr>
          <w:i/>
          <w:w w:val="105"/>
          <w:sz w:val="19"/>
        </w:rPr>
        <w:t>comprehensive architectural project</w:t>
      </w:r>
      <w:r>
        <w:rPr>
          <w:i/>
          <w:spacing w:val="-6"/>
          <w:w w:val="105"/>
          <w:sz w:val="19"/>
        </w:rPr>
        <w:t> </w:t>
      </w:r>
      <w:r>
        <w:rPr>
          <w:i/>
          <w:w w:val="105"/>
          <w:sz w:val="19"/>
        </w:rPr>
        <w:t>based on</w:t>
      </w:r>
      <w:r>
        <w:rPr>
          <w:i/>
          <w:spacing w:val="-17"/>
          <w:w w:val="105"/>
          <w:sz w:val="19"/>
        </w:rPr>
        <w:t> </w:t>
      </w:r>
      <w:r>
        <w:rPr>
          <w:w w:val="105"/>
          <w:sz w:val="19"/>
        </w:rPr>
        <w:t>a</w:t>
      </w:r>
      <w:r>
        <w:rPr>
          <w:spacing w:val="-9"/>
          <w:w w:val="105"/>
          <w:sz w:val="19"/>
        </w:rPr>
        <w:t> </w:t>
      </w:r>
      <w:r>
        <w:rPr>
          <w:i/>
          <w:w w:val="105"/>
          <w:sz w:val="19"/>
        </w:rPr>
        <w:t>building</w:t>
      </w:r>
      <w:r>
        <w:rPr>
          <w:i/>
          <w:spacing w:val="-13"/>
          <w:w w:val="105"/>
          <w:sz w:val="19"/>
        </w:rPr>
        <w:t> </w:t>
      </w:r>
      <w:r>
        <w:rPr>
          <w:i/>
          <w:w w:val="105"/>
          <w:sz w:val="19"/>
        </w:rPr>
        <w:t>program and site</w:t>
      </w:r>
      <w:r>
        <w:rPr>
          <w:i/>
          <w:spacing w:val="-13"/>
          <w:w w:val="105"/>
          <w:sz w:val="19"/>
        </w:rPr>
        <w:t> </w:t>
      </w:r>
      <w:r>
        <w:rPr>
          <w:i/>
          <w:w w:val="105"/>
          <w:sz w:val="19"/>
        </w:rPr>
        <w:t>that includes development of programmed spaces demonstrating</w:t>
      </w:r>
      <w:r>
        <w:rPr>
          <w:i/>
          <w:spacing w:val="36"/>
          <w:w w:val="105"/>
          <w:sz w:val="19"/>
        </w:rPr>
        <w:t> </w:t>
      </w:r>
      <w:r>
        <w:rPr>
          <w:i/>
          <w:w w:val="105"/>
          <w:sz w:val="19"/>
        </w:rPr>
        <w:t>an</w:t>
      </w:r>
      <w:r>
        <w:rPr>
          <w:i/>
          <w:spacing w:val="-2"/>
          <w:w w:val="105"/>
          <w:sz w:val="19"/>
        </w:rPr>
        <w:t> </w:t>
      </w:r>
      <w:r>
        <w:rPr>
          <w:i/>
          <w:w w:val="105"/>
          <w:sz w:val="19"/>
        </w:rPr>
        <w:t>understanding</w:t>
      </w:r>
      <w:r>
        <w:rPr>
          <w:i/>
          <w:w w:val="105"/>
          <w:sz w:val="19"/>
        </w:rPr>
        <w:t> of structural and</w:t>
      </w:r>
      <w:r>
        <w:rPr>
          <w:i/>
          <w:spacing w:val="-9"/>
          <w:w w:val="105"/>
          <w:sz w:val="19"/>
        </w:rPr>
        <w:t> </w:t>
      </w:r>
      <w:r>
        <w:rPr>
          <w:i/>
          <w:w w:val="105"/>
          <w:sz w:val="19"/>
        </w:rPr>
        <w:t>environmental systems, building envelope </w:t>
      </w:r>
      <w:r>
        <w:rPr>
          <w:w w:val="105"/>
          <w:sz w:val="19"/>
        </w:rPr>
        <w:t>systems, </w:t>
      </w:r>
      <w:r>
        <w:rPr>
          <w:i/>
          <w:w w:val="105"/>
          <w:sz w:val="19"/>
        </w:rPr>
        <w:t>fife-safety provisions, wall</w:t>
      </w:r>
      <w:r>
        <w:rPr>
          <w:i/>
          <w:spacing w:val="-2"/>
          <w:w w:val="105"/>
          <w:sz w:val="19"/>
        </w:rPr>
        <w:t> </w:t>
      </w:r>
      <w:r>
        <w:rPr>
          <w:i/>
          <w:w w:val="105"/>
          <w:sz w:val="19"/>
        </w:rPr>
        <w:t>sections and building assemblies, and the</w:t>
      </w:r>
      <w:r>
        <w:rPr>
          <w:i/>
          <w:spacing w:val="-7"/>
          <w:w w:val="105"/>
          <w:sz w:val="19"/>
        </w:rPr>
        <w:t> </w:t>
      </w:r>
      <w:r>
        <w:rPr>
          <w:i/>
          <w:w w:val="105"/>
          <w:sz w:val="19"/>
        </w:rPr>
        <w:t>principles of</w:t>
      </w:r>
      <w:r>
        <w:rPr>
          <w:i/>
          <w:spacing w:val="-7"/>
          <w:w w:val="105"/>
          <w:sz w:val="19"/>
        </w:rPr>
        <w:t> </w:t>
      </w:r>
      <w:r>
        <w:rPr>
          <w:i/>
          <w:w w:val="105"/>
          <w:sz w:val="19"/>
        </w:rPr>
        <w:t>sustainability.</w:t>
      </w:r>
    </w:p>
    <w:p>
      <w:pPr>
        <w:pStyle w:val="BodyText"/>
        <w:spacing w:before="9"/>
        <w:rPr>
          <w:i/>
        </w:rPr>
      </w:pPr>
    </w:p>
    <w:p>
      <w:pPr>
        <w:tabs>
          <w:tab w:pos="8268" w:val="left" w:leader="none"/>
        </w:tabs>
        <w:spacing w:line="179" w:lineRule="exact" w:before="0"/>
        <w:ind w:left="7412" w:right="0" w:firstLine="0"/>
        <w:jc w:val="left"/>
        <w:rPr>
          <w:sz w:val="19"/>
        </w:rPr>
      </w:pPr>
      <w:r>
        <w:rPr>
          <w:spacing w:val="-5"/>
          <w:w w:val="105"/>
          <w:sz w:val="19"/>
        </w:rPr>
        <w:t>Met</w:t>
      </w:r>
      <w:r>
        <w:rPr>
          <w:sz w:val="19"/>
        </w:rPr>
        <w:tab/>
      </w:r>
      <w:r>
        <w:rPr>
          <w:spacing w:val="-2"/>
          <w:sz w:val="19"/>
        </w:rPr>
        <w:t>,Not</w:t>
      </w:r>
      <w:r>
        <w:rPr>
          <w:spacing w:val="-11"/>
          <w:sz w:val="19"/>
        </w:rPr>
        <w:t> </w:t>
      </w:r>
      <w:r>
        <w:rPr>
          <w:spacing w:val="-5"/>
          <w:sz w:val="19"/>
        </w:rPr>
        <w:t>Met</w:t>
      </w:r>
    </w:p>
    <w:p>
      <w:pPr>
        <w:tabs>
          <w:tab w:pos="8517" w:val="left" w:leader="none"/>
        </w:tabs>
        <w:spacing w:line="352" w:lineRule="exact" w:before="0"/>
        <w:ind w:left="7466" w:right="0" w:firstLine="0"/>
        <w:jc w:val="left"/>
        <w:rPr>
          <w:b/>
          <w:sz w:val="25"/>
        </w:rPr>
      </w:pPr>
      <w:r>
        <w:rPr>
          <w:rFonts w:ascii="Times New Roman"/>
          <w:w w:val="95"/>
          <w:sz w:val="34"/>
        </w:rPr>
        <w:t>[</w:t>
      </w:r>
      <w:r>
        <w:rPr>
          <w:rFonts w:ascii="Times New Roman"/>
          <w:spacing w:val="20"/>
          <w:sz w:val="34"/>
        </w:rPr>
        <w:t> </w:t>
      </w:r>
      <w:r>
        <w:rPr>
          <w:rFonts w:ascii="Times New Roman"/>
          <w:b/>
          <w:spacing w:val="-10"/>
          <w:w w:val="95"/>
          <w:sz w:val="34"/>
        </w:rPr>
        <w:t>l</w:t>
      </w:r>
      <w:r>
        <w:rPr>
          <w:rFonts w:ascii="Times New Roman"/>
          <w:b/>
          <w:sz w:val="34"/>
        </w:rPr>
        <w:tab/>
      </w:r>
      <w:r>
        <w:rPr>
          <w:b/>
          <w:spacing w:val="-5"/>
          <w:w w:val="95"/>
          <w:sz w:val="25"/>
        </w:rPr>
        <w:t>[X]</w:t>
      </w:r>
    </w:p>
    <w:p>
      <w:pPr>
        <w:spacing w:line="254" w:lineRule="auto" w:before="249"/>
        <w:ind w:left="1671" w:right="424" w:firstLine="2"/>
        <w:jc w:val="left"/>
        <w:rPr>
          <w:sz w:val="19"/>
        </w:rPr>
      </w:pPr>
      <w:r>
        <w:rPr>
          <w:w w:val="105"/>
          <w:sz w:val="19"/>
        </w:rPr>
        <w:t>Comprehensive design ability is to be demonstrated in courses</w:t>
      </w:r>
      <w:r>
        <w:rPr>
          <w:spacing w:val="-7"/>
          <w:w w:val="105"/>
          <w:sz w:val="19"/>
        </w:rPr>
        <w:t> </w:t>
      </w:r>
      <w:r>
        <w:rPr>
          <w:w w:val="105"/>
          <w:sz w:val="19"/>
        </w:rPr>
        <w:t>ARC 405-6, Advanced Architectural Design</w:t>
      </w:r>
      <w:r>
        <w:rPr>
          <w:spacing w:val="-3"/>
          <w:w w:val="105"/>
          <w:sz w:val="19"/>
        </w:rPr>
        <w:t> </w:t>
      </w:r>
      <w:r>
        <w:rPr>
          <w:w w:val="105"/>
          <w:sz w:val="19"/>
        </w:rPr>
        <w:t>Studios.</w:t>
      </w:r>
      <w:r>
        <w:rPr>
          <w:spacing w:val="40"/>
          <w:w w:val="105"/>
          <w:sz w:val="19"/>
        </w:rPr>
        <w:t> </w:t>
      </w:r>
      <w:r>
        <w:rPr>
          <w:w w:val="105"/>
          <w:sz w:val="19"/>
        </w:rPr>
        <w:t>The</w:t>
      </w:r>
      <w:r>
        <w:rPr>
          <w:spacing w:val="-16"/>
          <w:w w:val="105"/>
          <w:sz w:val="19"/>
        </w:rPr>
        <w:t> </w:t>
      </w:r>
      <w:r>
        <w:rPr>
          <w:w w:val="105"/>
          <w:sz w:val="19"/>
        </w:rPr>
        <w:t>Team</w:t>
      </w:r>
      <w:r>
        <w:rPr>
          <w:spacing w:val="-6"/>
          <w:w w:val="105"/>
          <w:sz w:val="19"/>
        </w:rPr>
        <w:t> </w:t>
      </w:r>
      <w:r>
        <w:rPr>
          <w:w w:val="105"/>
          <w:sz w:val="19"/>
        </w:rPr>
        <w:t>did</w:t>
      </w:r>
      <w:r>
        <w:rPr>
          <w:spacing w:val="-12"/>
          <w:w w:val="105"/>
          <w:sz w:val="19"/>
        </w:rPr>
        <w:t> </w:t>
      </w:r>
      <w:r>
        <w:rPr>
          <w:w w:val="105"/>
          <w:sz w:val="19"/>
        </w:rPr>
        <w:t>not</w:t>
      </w:r>
      <w:r>
        <w:rPr>
          <w:spacing w:val="-8"/>
          <w:w w:val="105"/>
          <w:sz w:val="19"/>
        </w:rPr>
        <w:t> </w:t>
      </w:r>
      <w:r>
        <w:rPr>
          <w:w w:val="105"/>
          <w:sz w:val="19"/>
        </w:rPr>
        <w:t>find</w:t>
      </w:r>
      <w:r>
        <w:rPr>
          <w:spacing w:val="-14"/>
          <w:w w:val="105"/>
          <w:sz w:val="19"/>
        </w:rPr>
        <w:t> </w:t>
      </w:r>
      <w:r>
        <w:rPr>
          <w:w w:val="105"/>
          <w:sz w:val="19"/>
        </w:rPr>
        <w:t>a</w:t>
      </w:r>
      <w:r>
        <w:rPr>
          <w:spacing w:val="-10"/>
          <w:w w:val="105"/>
          <w:sz w:val="19"/>
        </w:rPr>
        <w:t> </w:t>
      </w:r>
      <w:r>
        <w:rPr>
          <w:w w:val="105"/>
          <w:sz w:val="19"/>
        </w:rPr>
        <w:t>comprehensive understanding of structural, environmental, and life-safety systems shown</w:t>
      </w:r>
      <w:r>
        <w:rPr>
          <w:spacing w:val="-4"/>
          <w:w w:val="105"/>
          <w:sz w:val="19"/>
        </w:rPr>
        <w:t> </w:t>
      </w:r>
      <w:r>
        <w:rPr>
          <w:w w:val="105"/>
          <w:sz w:val="19"/>
        </w:rPr>
        <w:t>in the design work.</w:t>
      </w:r>
      <w:r>
        <w:rPr>
          <w:spacing w:val="40"/>
          <w:w w:val="105"/>
          <w:sz w:val="19"/>
        </w:rPr>
        <w:t> </w:t>
      </w:r>
      <w:r>
        <w:rPr>
          <w:w w:val="105"/>
          <w:sz w:val="19"/>
        </w:rPr>
        <w:t>An understanding of some conditions was</w:t>
      </w:r>
      <w:r>
        <w:rPr>
          <w:spacing w:val="-3"/>
          <w:w w:val="105"/>
          <w:sz w:val="19"/>
        </w:rPr>
        <w:t> </w:t>
      </w:r>
      <w:r>
        <w:rPr>
          <w:w w:val="105"/>
          <w:sz w:val="19"/>
        </w:rPr>
        <w:t>found, but projects, in general, fell</w:t>
      </w:r>
      <w:r>
        <w:rPr>
          <w:spacing w:val="-6"/>
          <w:w w:val="105"/>
          <w:sz w:val="19"/>
        </w:rPr>
        <w:t> </w:t>
      </w:r>
      <w:r>
        <w:rPr>
          <w:w w:val="105"/>
          <w:sz w:val="19"/>
        </w:rPr>
        <w:t>short of comprehensive solutions.</w:t>
      </w:r>
    </w:p>
    <w:p>
      <w:pPr>
        <w:pStyle w:val="BodyText"/>
      </w:pPr>
    </w:p>
    <w:p>
      <w:pPr>
        <w:pStyle w:val="BodyText"/>
        <w:spacing w:before="3"/>
        <w:rPr>
          <w:sz w:val="18"/>
        </w:rPr>
      </w:pPr>
    </w:p>
    <w:p>
      <w:pPr>
        <w:numPr>
          <w:ilvl w:val="2"/>
          <w:numId w:val="75"/>
        </w:numPr>
        <w:tabs>
          <w:tab w:pos="1674" w:val="left" w:leader="none"/>
          <w:tab w:pos="1675" w:val="left" w:leader="none"/>
        </w:tabs>
        <w:spacing w:before="0"/>
        <w:ind w:left="1674" w:right="0" w:hanging="720"/>
        <w:jc w:val="left"/>
        <w:rPr>
          <w:b/>
          <w:sz w:val="20"/>
        </w:rPr>
      </w:pPr>
      <w:r>
        <w:rPr>
          <w:b/>
          <w:spacing w:val="-2"/>
          <w:sz w:val="20"/>
        </w:rPr>
        <w:t>Architect's</w:t>
      </w:r>
      <w:r>
        <w:rPr>
          <w:b/>
          <w:spacing w:val="15"/>
          <w:sz w:val="20"/>
        </w:rPr>
        <w:t> </w:t>
      </w:r>
      <w:r>
        <w:rPr>
          <w:b/>
          <w:spacing w:val="-2"/>
          <w:sz w:val="20"/>
        </w:rPr>
        <w:t>Administrative</w:t>
      </w:r>
      <w:r>
        <w:rPr>
          <w:b/>
          <w:spacing w:val="-4"/>
          <w:sz w:val="20"/>
        </w:rPr>
        <w:t> </w:t>
      </w:r>
      <w:r>
        <w:rPr>
          <w:b/>
          <w:spacing w:val="-2"/>
          <w:sz w:val="20"/>
        </w:rPr>
        <w:t>Roles</w:t>
      </w:r>
    </w:p>
    <w:p>
      <w:pPr>
        <w:pStyle w:val="BodyText"/>
        <w:rPr>
          <w:b/>
          <w:sz w:val="21"/>
        </w:rPr>
      </w:pPr>
    </w:p>
    <w:p>
      <w:pPr>
        <w:spacing w:line="254" w:lineRule="auto" w:before="1"/>
        <w:ind w:left="1663" w:right="417" w:firstLine="5"/>
        <w:jc w:val="both"/>
        <w:rPr>
          <w:i/>
          <w:sz w:val="19"/>
        </w:rPr>
      </w:pPr>
      <w:r>
        <w:rPr>
          <w:w w:val="105"/>
          <w:sz w:val="19"/>
        </w:rPr>
        <w:t>Understanding</w:t>
      </w:r>
      <w:r>
        <w:rPr>
          <w:spacing w:val="-10"/>
          <w:w w:val="105"/>
          <w:sz w:val="19"/>
        </w:rPr>
        <w:t> </w:t>
      </w:r>
      <w:r>
        <w:rPr>
          <w:w w:val="105"/>
          <w:sz w:val="19"/>
        </w:rPr>
        <w:t>of</w:t>
      </w:r>
      <w:r>
        <w:rPr>
          <w:spacing w:val="-14"/>
          <w:w w:val="105"/>
          <w:sz w:val="19"/>
        </w:rPr>
        <w:t> </w:t>
      </w:r>
      <w:r>
        <w:rPr>
          <w:i/>
          <w:w w:val="105"/>
          <w:sz w:val="19"/>
        </w:rPr>
        <w:t>obtaining</w:t>
      </w:r>
      <w:r>
        <w:rPr>
          <w:i/>
          <w:spacing w:val="-12"/>
          <w:w w:val="105"/>
          <w:sz w:val="19"/>
        </w:rPr>
        <w:t> </w:t>
      </w:r>
      <w:r>
        <w:rPr>
          <w:i/>
          <w:w w:val="105"/>
          <w:sz w:val="19"/>
        </w:rPr>
        <w:t>commissions and</w:t>
      </w:r>
      <w:r>
        <w:rPr>
          <w:i/>
          <w:spacing w:val="-14"/>
          <w:w w:val="105"/>
          <w:sz w:val="19"/>
        </w:rPr>
        <w:t> </w:t>
      </w:r>
      <w:r>
        <w:rPr>
          <w:i/>
          <w:w w:val="105"/>
          <w:sz w:val="19"/>
        </w:rPr>
        <w:t>negotiating</w:t>
      </w:r>
      <w:r>
        <w:rPr>
          <w:i/>
          <w:spacing w:val="-7"/>
          <w:w w:val="105"/>
          <w:sz w:val="19"/>
        </w:rPr>
        <w:t> </w:t>
      </w:r>
      <w:r>
        <w:rPr>
          <w:i/>
          <w:w w:val="105"/>
          <w:sz w:val="19"/>
        </w:rPr>
        <w:t>contracts, managing personnel and</w:t>
      </w:r>
      <w:r>
        <w:rPr>
          <w:i/>
          <w:spacing w:val="-13"/>
          <w:w w:val="105"/>
          <w:sz w:val="19"/>
        </w:rPr>
        <w:t> </w:t>
      </w:r>
      <w:r>
        <w:rPr>
          <w:i/>
          <w:w w:val="105"/>
          <w:sz w:val="19"/>
        </w:rPr>
        <w:t>selecting</w:t>
      </w:r>
      <w:r>
        <w:rPr>
          <w:i/>
          <w:spacing w:val="-5"/>
          <w:w w:val="105"/>
          <w:sz w:val="19"/>
        </w:rPr>
        <w:t> </w:t>
      </w:r>
      <w:r>
        <w:rPr>
          <w:i/>
          <w:w w:val="105"/>
          <w:sz w:val="19"/>
        </w:rPr>
        <w:t>consultants, recommending project</w:t>
      </w:r>
      <w:r>
        <w:rPr>
          <w:i/>
          <w:spacing w:val="-12"/>
          <w:w w:val="105"/>
          <w:sz w:val="19"/>
        </w:rPr>
        <w:t> </w:t>
      </w:r>
      <w:r>
        <w:rPr>
          <w:i/>
          <w:w w:val="105"/>
          <w:sz w:val="19"/>
        </w:rPr>
        <w:t>delivery</w:t>
      </w:r>
      <w:r>
        <w:rPr>
          <w:i/>
          <w:spacing w:val="-3"/>
          <w:w w:val="105"/>
          <w:sz w:val="19"/>
        </w:rPr>
        <w:t> </w:t>
      </w:r>
      <w:r>
        <w:rPr>
          <w:i/>
          <w:w w:val="105"/>
          <w:sz w:val="19"/>
        </w:rPr>
        <w:t>methods,</w:t>
      </w:r>
      <w:r>
        <w:rPr>
          <w:i/>
          <w:spacing w:val="-2"/>
          <w:w w:val="105"/>
          <w:sz w:val="19"/>
        </w:rPr>
        <w:t> </w:t>
      </w:r>
      <w:r>
        <w:rPr>
          <w:i/>
          <w:w w:val="105"/>
          <w:sz w:val="19"/>
        </w:rPr>
        <w:t>and </w:t>
      </w:r>
      <w:r>
        <w:rPr>
          <w:w w:val="105"/>
          <w:sz w:val="19"/>
        </w:rPr>
        <w:t>forms</w:t>
      </w:r>
      <w:r>
        <w:rPr>
          <w:spacing w:val="-8"/>
          <w:w w:val="105"/>
          <w:sz w:val="19"/>
        </w:rPr>
        <w:t> </w:t>
      </w:r>
      <w:r>
        <w:rPr>
          <w:i/>
          <w:w w:val="105"/>
          <w:sz w:val="19"/>
        </w:rPr>
        <w:t>of</w:t>
      </w:r>
      <w:r>
        <w:rPr>
          <w:i/>
          <w:spacing w:val="-9"/>
          <w:w w:val="105"/>
          <w:sz w:val="19"/>
        </w:rPr>
        <w:t> </w:t>
      </w:r>
      <w:r>
        <w:rPr>
          <w:i/>
          <w:w w:val="105"/>
          <w:sz w:val="19"/>
        </w:rPr>
        <w:t>service </w:t>
      </w:r>
      <w:r>
        <w:rPr>
          <w:i/>
          <w:spacing w:val="-2"/>
          <w:w w:val="105"/>
          <w:sz w:val="19"/>
        </w:rPr>
        <w:t>contracts</w:t>
      </w:r>
    </w:p>
    <w:p>
      <w:pPr>
        <w:tabs>
          <w:tab w:pos="876" w:val="left" w:leader="none"/>
        </w:tabs>
        <w:spacing w:line="196" w:lineRule="exact" w:before="0"/>
        <w:ind w:left="0" w:right="872" w:firstLine="0"/>
        <w:jc w:val="right"/>
        <w:rPr>
          <w:sz w:val="19"/>
        </w:rPr>
      </w:pPr>
      <w:r>
        <w:rPr>
          <w:spacing w:val="-5"/>
          <w:w w:val="110"/>
          <w:sz w:val="19"/>
        </w:rPr>
        <w:t>Met</w:t>
      </w:r>
      <w:r>
        <w:rPr>
          <w:sz w:val="19"/>
        </w:rPr>
        <w:tab/>
      </w:r>
      <w:r>
        <w:rPr>
          <w:w w:val="105"/>
          <w:sz w:val="19"/>
        </w:rPr>
        <w:t>Not</w:t>
      </w:r>
      <w:r>
        <w:rPr>
          <w:spacing w:val="-3"/>
          <w:w w:val="105"/>
          <w:sz w:val="19"/>
        </w:rPr>
        <w:t> </w:t>
      </w:r>
      <w:r>
        <w:rPr>
          <w:spacing w:val="-5"/>
          <w:w w:val="110"/>
          <w:sz w:val="19"/>
        </w:rPr>
        <w:t>Met</w:t>
      </w:r>
    </w:p>
    <w:p>
      <w:pPr>
        <w:pStyle w:val="ListParagraph"/>
        <w:numPr>
          <w:ilvl w:val="3"/>
          <w:numId w:val="75"/>
        </w:numPr>
        <w:tabs>
          <w:tab w:pos="1041" w:val="left" w:leader="none"/>
          <w:tab w:pos="1042" w:val="left" w:leader="none"/>
        </w:tabs>
        <w:spacing w:line="324" w:lineRule="exact" w:before="0" w:after="0"/>
        <w:ind w:left="1041" w:right="1095" w:hanging="1042"/>
        <w:jc w:val="right"/>
        <w:rPr>
          <w:b/>
          <w:sz w:val="24"/>
        </w:rPr>
      </w:pPr>
      <w:r>
        <w:rPr>
          <w:sz w:val="24"/>
        </w:rPr>
        <w:t>[</w:t>
      </w:r>
      <w:r>
        <w:rPr>
          <w:spacing w:val="64"/>
          <w:sz w:val="24"/>
        </w:rPr>
        <w:t> </w:t>
      </w:r>
      <w:r>
        <w:rPr>
          <w:spacing w:val="-10"/>
          <w:sz w:val="30"/>
        </w:rPr>
        <w:t>l</w:t>
      </w:r>
    </w:p>
    <w:p>
      <w:pPr>
        <w:spacing w:line="254" w:lineRule="auto" w:before="210"/>
        <w:ind w:left="1667" w:right="311" w:hanging="3"/>
        <w:jc w:val="left"/>
        <w:rPr>
          <w:sz w:val="19"/>
        </w:rPr>
      </w:pPr>
      <w:r>
        <w:rPr>
          <w:w w:val="105"/>
          <w:sz w:val="19"/>
        </w:rPr>
        <w:t>Course content satisfying this</w:t>
      </w:r>
      <w:r>
        <w:rPr>
          <w:spacing w:val="-6"/>
          <w:w w:val="105"/>
          <w:sz w:val="19"/>
        </w:rPr>
        <w:t> </w:t>
      </w:r>
      <w:r>
        <w:rPr>
          <w:w w:val="105"/>
          <w:sz w:val="19"/>
        </w:rPr>
        <w:t>criterion is through</w:t>
      </w:r>
      <w:r>
        <w:rPr>
          <w:spacing w:val="33"/>
          <w:w w:val="105"/>
          <w:sz w:val="19"/>
        </w:rPr>
        <w:t> </w:t>
      </w:r>
      <w:r>
        <w:rPr>
          <w:w w:val="105"/>
          <w:sz w:val="19"/>
        </w:rPr>
        <w:t>ARC 417 and</w:t>
      </w:r>
      <w:r>
        <w:rPr>
          <w:spacing w:val="-4"/>
          <w:w w:val="105"/>
          <w:sz w:val="19"/>
        </w:rPr>
        <w:t> </w:t>
      </w:r>
      <w:r>
        <w:rPr>
          <w:w w:val="105"/>
          <w:sz w:val="19"/>
        </w:rPr>
        <w:t>ARC 418 over two semesters, using readings from certain</w:t>
      </w:r>
      <w:r>
        <w:rPr>
          <w:spacing w:val="-1"/>
          <w:w w:val="105"/>
          <w:sz w:val="19"/>
        </w:rPr>
        <w:t> </w:t>
      </w:r>
      <w:r>
        <w:rPr>
          <w:w w:val="105"/>
          <w:sz w:val="19"/>
        </w:rPr>
        <w:t>required text, class discussions,</w:t>
      </w:r>
      <w:r>
        <w:rPr>
          <w:spacing w:val="40"/>
          <w:w w:val="105"/>
          <w:sz w:val="19"/>
        </w:rPr>
        <w:t> </w:t>
      </w:r>
      <w:r>
        <w:rPr>
          <w:w w:val="105"/>
          <w:sz w:val="19"/>
        </w:rPr>
        <w:t>student reports, mock-ups, and</w:t>
      </w:r>
      <w:r>
        <w:rPr>
          <w:spacing w:val="-3"/>
          <w:w w:val="105"/>
          <w:sz w:val="19"/>
        </w:rPr>
        <w:t> </w:t>
      </w:r>
      <w:r>
        <w:rPr>
          <w:w w:val="105"/>
          <w:sz w:val="19"/>
        </w:rPr>
        <w:t>examinations. Students are encouraged to</w:t>
      </w:r>
      <w:r>
        <w:rPr>
          <w:spacing w:val="-4"/>
          <w:w w:val="105"/>
          <w:sz w:val="19"/>
        </w:rPr>
        <w:t> </w:t>
      </w:r>
      <w:r>
        <w:rPr>
          <w:w w:val="105"/>
          <w:sz w:val="19"/>
        </w:rPr>
        <w:t>participate in professional activities</w:t>
      </w:r>
      <w:r>
        <w:rPr>
          <w:spacing w:val="-2"/>
          <w:w w:val="105"/>
          <w:sz w:val="19"/>
        </w:rPr>
        <w:t> </w:t>
      </w:r>
      <w:r>
        <w:rPr>
          <w:w w:val="105"/>
          <w:sz w:val="19"/>
        </w:rPr>
        <w:t>off-campus</w:t>
      </w:r>
      <w:r>
        <w:rPr>
          <w:spacing w:val="-3"/>
          <w:w w:val="105"/>
          <w:sz w:val="19"/>
        </w:rPr>
        <w:t> </w:t>
      </w:r>
      <w:r>
        <w:rPr>
          <w:w w:val="105"/>
          <w:sz w:val="19"/>
        </w:rPr>
        <w:t>to increase their</w:t>
      </w:r>
      <w:r>
        <w:rPr>
          <w:spacing w:val="-11"/>
          <w:w w:val="105"/>
          <w:sz w:val="19"/>
        </w:rPr>
        <w:t> </w:t>
      </w:r>
      <w:r>
        <w:rPr>
          <w:w w:val="105"/>
          <w:sz w:val="19"/>
        </w:rPr>
        <w:t>understanding of</w:t>
      </w:r>
      <w:r>
        <w:rPr>
          <w:spacing w:val="-2"/>
          <w:w w:val="105"/>
          <w:sz w:val="19"/>
        </w:rPr>
        <w:t> </w:t>
      </w:r>
      <w:r>
        <w:rPr>
          <w:w w:val="105"/>
          <w:sz w:val="19"/>
        </w:rPr>
        <w:t>the architect's administrative</w:t>
      </w:r>
      <w:r>
        <w:rPr>
          <w:spacing w:val="-17"/>
          <w:w w:val="105"/>
          <w:sz w:val="19"/>
        </w:rPr>
        <w:t> </w:t>
      </w:r>
      <w:r>
        <w:rPr>
          <w:w w:val="105"/>
          <w:sz w:val="19"/>
        </w:rPr>
        <w:t>roles through AIA</w:t>
      </w:r>
      <w:r>
        <w:rPr>
          <w:spacing w:val="-5"/>
          <w:w w:val="105"/>
          <w:sz w:val="19"/>
        </w:rPr>
        <w:t> </w:t>
      </w:r>
      <w:r>
        <w:rPr>
          <w:w w:val="105"/>
          <w:sz w:val="19"/>
        </w:rPr>
        <w:t>meetings and lectures, hardhat tours, interaction with practitioners, and</w:t>
      </w:r>
      <w:r>
        <w:rPr>
          <w:w w:val="105"/>
          <w:sz w:val="19"/>
        </w:rPr>
        <w:t> active</w:t>
      </w:r>
      <w:r>
        <w:rPr>
          <w:spacing w:val="-9"/>
          <w:w w:val="105"/>
          <w:sz w:val="19"/>
        </w:rPr>
        <w:t> </w:t>
      </w:r>
      <w:r>
        <w:rPr>
          <w:w w:val="105"/>
          <w:sz w:val="19"/>
        </w:rPr>
        <w:t>internships.</w:t>
      </w:r>
    </w:p>
    <w:p>
      <w:pPr>
        <w:pStyle w:val="BodyText"/>
      </w:pPr>
    </w:p>
    <w:p>
      <w:pPr>
        <w:pStyle w:val="BodyText"/>
        <w:spacing w:before="3"/>
        <w:rPr>
          <w:sz w:val="18"/>
        </w:rPr>
      </w:pPr>
    </w:p>
    <w:p>
      <w:pPr>
        <w:numPr>
          <w:ilvl w:val="2"/>
          <w:numId w:val="75"/>
        </w:numPr>
        <w:tabs>
          <w:tab w:pos="1674" w:val="left" w:leader="none"/>
          <w:tab w:pos="1675" w:val="left" w:leader="none"/>
        </w:tabs>
        <w:spacing w:before="1"/>
        <w:ind w:left="1674" w:right="0" w:hanging="720"/>
        <w:jc w:val="left"/>
        <w:rPr>
          <w:b/>
          <w:sz w:val="20"/>
        </w:rPr>
      </w:pPr>
      <w:r>
        <w:rPr>
          <w:b/>
          <w:spacing w:val="-2"/>
          <w:sz w:val="20"/>
        </w:rPr>
        <w:t>Architectural</w:t>
      </w:r>
      <w:r>
        <w:rPr>
          <w:b/>
          <w:spacing w:val="6"/>
          <w:sz w:val="20"/>
        </w:rPr>
        <w:t> </w:t>
      </w:r>
      <w:r>
        <w:rPr>
          <w:b/>
          <w:spacing w:val="-2"/>
          <w:sz w:val="20"/>
        </w:rPr>
        <w:t>Practice</w:t>
      </w:r>
    </w:p>
    <w:p>
      <w:pPr>
        <w:pStyle w:val="BodyText"/>
        <w:spacing w:before="1"/>
        <w:rPr>
          <w:b/>
        </w:rPr>
      </w:pPr>
    </w:p>
    <w:p>
      <w:pPr>
        <w:spacing w:line="252" w:lineRule="auto" w:before="1"/>
        <w:ind w:left="1677" w:right="295" w:firstLine="1"/>
        <w:jc w:val="left"/>
        <w:rPr>
          <w:sz w:val="19"/>
        </w:rPr>
      </w:pPr>
      <w:r>
        <w:rPr>
          <w:w w:val="105"/>
          <w:sz w:val="19"/>
        </w:rPr>
        <w:t>Understanding of</w:t>
      </w:r>
      <w:r>
        <w:rPr>
          <w:spacing w:val="-13"/>
          <w:w w:val="105"/>
          <w:sz w:val="19"/>
        </w:rPr>
        <w:t> </w:t>
      </w:r>
      <w:r>
        <w:rPr>
          <w:i/>
          <w:w w:val="105"/>
          <w:sz w:val="19"/>
        </w:rPr>
        <w:t>the</w:t>
      </w:r>
      <w:r>
        <w:rPr>
          <w:i/>
          <w:spacing w:val="-9"/>
          <w:w w:val="105"/>
          <w:sz w:val="19"/>
        </w:rPr>
        <w:t> </w:t>
      </w:r>
      <w:r>
        <w:rPr>
          <w:i/>
          <w:w w:val="105"/>
          <w:sz w:val="19"/>
        </w:rPr>
        <w:t>basic</w:t>
      </w:r>
      <w:r>
        <w:rPr>
          <w:i/>
          <w:spacing w:val="-9"/>
          <w:w w:val="105"/>
          <w:sz w:val="19"/>
        </w:rPr>
        <w:t> </w:t>
      </w:r>
      <w:r>
        <w:rPr>
          <w:i/>
          <w:w w:val="105"/>
          <w:sz w:val="19"/>
        </w:rPr>
        <w:t>principles</w:t>
      </w:r>
      <w:r>
        <w:rPr>
          <w:i/>
          <w:spacing w:val="-1"/>
          <w:w w:val="105"/>
          <w:sz w:val="19"/>
        </w:rPr>
        <w:t> </w:t>
      </w:r>
      <w:r>
        <w:rPr>
          <w:i/>
          <w:w w:val="105"/>
          <w:sz w:val="19"/>
        </w:rPr>
        <w:t>and</w:t>
      </w:r>
      <w:r>
        <w:rPr>
          <w:i/>
          <w:spacing w:val="-3"/>
          <w:w w:val="105"/>
          <w:sz w:val="19"/>
        </w:rPr>
        <w:t> </w:t>
      </w:r>
      <w:r>
        <w:rPr>
          <w:i/>
          <w:w w:val="105"/>
          <w:sz w:val="19"/>
        </w:rPr>
        <w:t>legal</w:t>
      </w:r>
      <w:r>
        <w:rPr>
          <w:i/>
          <w:spacing w:val="-5"/>
          <w:w w:val="105"/>
          <w:sz w:val="19"/>
        </w:rPr>
        <w:t> </w:t>
      </w:r>
      <w:r>
        <w:rPr>
          <w:i/>
          <w:w w:val="105"/>
          <w:sz w:val="19"/>
        </w:rPr>
        <w:t>aspects</w:t>
      </w:r>
      <w:r>
        <w:rPr>
          <w:i/>
          <w:spacing w:val="-9"/>
          <w:w w:val="105"/>
          <w:sz w:val="19"/>
        </w:rPr>
        <w:t> </w:t>
      </w:r>
      <w:r>
        <w:rPr>
          <w:i/>
          <w:w w:val="105"/>
          <w:sz w:val="19"/>
        </w:rPr>
        <w:t>of</w:t>
      </w:r>
      <w:r>
        <w:rPr>
          <w:i/>
          <w:spacing w:val="-11"/>
          <w:w w:val="105"/>
          <w:sz w:val="19"/>
        </w:rPr>
        <w:t> </w:t>
      </w:r>
      <w:r>
        <w:rPr>
          <w:i/>
          <w:w w:val="105"/>
          <w:sz w:val="19"/>
        </w:rPr>
        <w:t>practice</w:t>
      </w:r>
      <w:r>
        <w:rPr>
          <w:i/>
          <w:spacing w:val="-4"/>
          <w:w w:val="105"/>
          <w:sz w:val="19"/>
        </w:rPr>
        <w:t> </w:t>
      </w:r>
      <w:r>
        <w:rPr>
          <w:i/>
          <w:w w:val="105"/>
          <w:sz w:val="19"/>
        </w:rPr>
        <w:t>organization, financial management, </w:t>
      </w:r>
      <w:r>
        <w:rPr>
          <w:w w:val="105"/>
          <w:sz w:val="19"/>
        </w:rPr>
        <w:t>business </w:t>
      </w:r>
      <w:r>
        <w:rPr>
          <w:i/>
          <w:w w:val="105"/>
          <w:sz w:val="19"/>
        </w:rPr>
        <w:t>planning, time and project management, risk mitigation, and mediation and arbitration </w:t>
      </w:r>
      <w:r>
        <w:rPr>
          <w:w w:val="105"/>
          <w:sz w:val="19"/>
        </w:rPr>
        <w:t>as </w:t>
      </w:r>
      <w:r>
        <w:rPr>
          <w:i/>
          <w:w w:val="105"/>
          <w:sz w:val="19"/>
        </w:rPr>
        <w:t>well</w:t>
      </w:r>
      <w:r>
        <w:rPr>
          <w:i/>
          <w:spacing w:val="-9"/>
          <w:w w:val="105"/>
          <w:sz w:val="19"/>
        </w:rPr>
        <w:t> </w:t>
      </w:r>
      <w:r>
        <w:rPr>
          <w:w w:val="105"/>
          <w:sz w:val="19"/>
        </w:rPr>
        <w:t>as</w:t>
      </w:r>
      <w:r>
        <w:rPr>
          <w:spacing w:val="-6"/>
          <w:w w:val="105"/>
          <w:sz w:val="19"/>
        </w:rPr>
        <w:t> </w:t>
      </w:r>
      <w:r>
        <w:rPr>
          <w:i/>
          <w:w w:val="105"/>
          <w:sz w:val="19"/>
        </w:rPr>
        <w:t>an</w:t>
      </w:r>
      <w:r>
        <w:rPr>
          <w:i/>
          <w:spacing w:val="-10"/>
          <w:w w:val="105"/>
          <w:sz w:val="19"/>
        </w:rPr>
        <w:t> </w:t>
      </w:r>
      <w:r>
        <w:rPr>
          <w:i/>
          <w:w w:val="105"/>
          <w:sz w:val="19"/>
        </w:rPr>
        <w:t>understanding</w:t>
      </w:r>
      <w:r>
        <w:rPr>
          <w:i/>
          <w:spacing w:val="25"/>
          <w:w w:val="105"/>
          <w:sz w:val="19"/>
        </w:rPr>
        <w:t> </w:t>
      </w:r>
      <w:r>
        <w:rPr>
          <w:i/>
          <w:w w:val="105"/>
          <w:sz w:val="19"/>
        </w:rPr>
        <w:t>of trends that affect</w:t>
      </w:r>
      <w:r>
        <w:rPr>
          <w:i/>
          <w:spacing w:val="-9"/>
          <w:w w:val="105"/>
          <w:sz w:val="19"/>
        </w:rPr>
        <w:t> </w:t>
      </w:r>
      <w:r>
        <w:rPr>
          <w:i/>
          <w:w w:val="105"/>
          <w:sz w:val="19"/>
        </w:rPr>
        <w:t>practice, such </w:t>
      </w:r>
      <w:r>
        <w:rPr>
          <w:w w:val="105"/>
          <w:sz w:val="19"/>
        </w:rPr>
        <w:t>as</w:t>
      </w:r>
      <w:r>
        <w:rPr>
          <w:spacing w:val="-8"/>
          <w:w w:val="105"/>
          <w:sz w:val="19"/>
        </w:rPr>
        <w:t> </w:t>
      </w:r>
      <w:r>
        <w:rPr>
          <w:i/>
          <w:w w:val="105"/>
          <w:sz w:val="19"/>
        </w:rPr>
        <w:t>globalization,</w:t>
      </w:r>
      <w:r>
        <w:rPr>
          <w:i/>
          <w:spacing w:val="-15"/>
          <w:w w:val="105"/>
          <w:sz w:val="19"/>
        </w:rPr>
        <w:t> </w:t>
      </w:r>
      <w:r>
        <w:rPr>
          <w:i/>
          <w:w w:val="105"/>
          <w:sz w:val="19"/>
        </w:rPr>
        <w:t>outsourcing, </w:t>
      </w:r>
      <w:r>
        <w:rPr>
          <w:w w:val="105"/>
          <w:sz w:val="19"/>
        </w:rPr>
        <w:t>project</w:t>
      </w:r>
      <w:r>
        <w:rPr>
          <w:spacing w:val="-3"/>
          <w:w w:val="105"/>
          <w:sz w:val="19"/>
        </w:rPr>
        <w:t> </w:t>
      </w:r>
      <w:r>
        <w:rPr>
          <w:w w:val="105"/>
          <w:sz w:val="19"/>
        </w:rPr>
        <w:t>delivery, expanding practice settings, diversity, and </w:t>
      </w:r>
      <w:r>
        <w:rPr>
          <w:spacing w:val="-2"/>
          <w:w w:val="105"/>
          <w:sz w:val="19"/>
        </w:rPr>
        <w:t>others</w:t>
      </w:r>
    </w:p>
    <w:p>
      <w:pPr>
        <w:tabs>
          <w:tab w:pos="886" w:val="left" w:leader="none"/>
        </w:tabs>
        <w:spacing w:line="202" w:lineRule="exact" w:before="8"/>
        <w:ind w:left="0" w:right="862" w:firstLine="0"/>
        <w:jc w:val="right"/>
        <w:rPr>
          <w:sz w:val="19"/>
        </w:rPr>
      </w:pPr>
      <w:r>
        <w:rPr>
          <w:spacing w:val="-5"/>
          <w:w w:val="110"/>
          <w:sz w:val="19"/>
        </w:rPr>
        <w:t>Met</w:t>
      </w:r>
      <w:r>
        <w:rPr>
          <w:sz w:val="19"/>
        </w:rPr>
        <w:tab/>
      </w:r>
      <w:r>
        <w:rPr>
          <w:w w:val="105"/>
          <w:sz w:val="19"/>
        </w:rPr>
        <w:t>Not</w:t>
      </w:r>
      <w:r>
        <w:rPr>
          <w:spacing w:val="-3"/>
          <w:w w:val="105"/>
          <w:sz w:val="19"/>
        </w:rPr>
        <w:t> </w:t>
      </w:r>
      <w:r>
        <w:rPr>
          <w:spacing w:val="-5"/>
          <w:w w:val="110"/>
          <w:sz w:val="19"/>
        </w:rPr>
        <w:t>Met</w:t>
      </w:r>
    </w:p>
    <w:p>
      <w:pPr>
        <w:pStyle w:val="Heading4"/>
        <w:numPr>
          <w:ilvl w:val="3"/>
          <w:numId w:val="75"/>
        </w:numPr>
        <w:tabs>
          <w:tab w:pos="1038" w:val="left" w:leader="none"/>
          <w:tab w:pos="1039" w:val="left" w:leader="none"/>
        </w:tabs>
        <w:spacing w:line="329" w:lineRule="exact" w:before="0" w:after="0"/>
        <w:ind w:left="1038" w:right="1070" w:hanging="1039"/>
        <w:jc w:val="right"/>
        <w:rPr>
          <w:sz w:val="24"/>
        </w:rPr>
      </w:pPr>
      <w:r>
        <w:rPr>
          <w:w w:val="105"/>
        </w:rPr>
        <w:t>I</w:t>
      </w:r>
      <w:r>
        <w:rPr>
          <w:spacing w:val="34"/>
          <w:w w:val="105"/>
        </w:rPr>
        <w:t> </w:t>
      </w:r>
      <w:r>
        <w:rPr>
          <w:spacing w:val="-10"/>
          <w:w w:val="105"/>
        </w:rPr>
        <w:t>l</w:t>
      </w:r>
    </w:p>
    <w:p>
      <w:pPr>
        <w:pStyle w:val="BodyText"/>
      </w:pPr>
    </w:p>
    <w:p>
      <w:pPr>
        <w:pStyle w:val="BodyText"/>
      </w:pPr>
    </w:p>
    <w:p>
      <w:pPr>
        <w:pStyle w:val="BodyText"/>
        <w:spacing w:before="8"/>
        <w:rPr>
          <w:sz w:val="12"/>
        </w:rPr>
      </w:pPr>
      <w:r>
        <w:rPr/>
        <w:pict>
          <v:shape style="position:absolute;margin-left:65.524673pt;margin-top:8.503158pt;width:454.85pt;height:.1pt;mso-position-horizontal-relative:page;mso-position-vertical-relative:paragraph;z-index:-15695872;mso-wrap-distance-left:0;mso-wrap-distance-right:0" id="docshape659" coordorigin="1310,170" coordsize="9097,0" path="m1310,170l10407,170e" filled="false" stroked="true" strokeweight=".481434pt" strokecolor="#000000">
            <v:path arrowok="t"/>
            <v:stroke dashstyle="solid"/>
            <w10:wrap type="topAndBottom"/>
          </v:shape>
        </w:pict>
      </w:r>
    </w:p>
    <w:p>
      <w:pPr>
        <w:spacing w:line="209" w:lineRule="exact" w:before="0"/>
        <w:ind w:left="242" w:right="0" w:firstLine="0"/>
        <w:jc w:val="left"/>
        <w:rPr>
          <w:sz w:val="19"/>
        </w:rPr>
      </w:pPr>
      <w:r>
        <w:rPr>
          <w:spacing w:val="-5"/>
          <w:w w:val="110"/>
          <w:sz w:val="19"/>
        </w:rPr>
        <w:t>20</w:t>
      </w:r>
    </w:p>
    <w:p>
      <w:pPr>
        <w:spacing w:after="0" w:line="209" w:lineRule="exact"/>
        <w:jc w:val="left"/>
        <w:rPr>
          <w:sz w:val="19"/>
        </w:rPr>
        <w:sectPr>
          <w:headerReference w:type="default" r:id="rId399"/>
          <w:footerReference w:type="default" r:id="rId400"/>
          <w:pgSz w:w="12180" w:h="15820"/>
          <w:pgMar w:header="647" w:footer="0" w:top="1340" w:bottom="280" w:left="1120" w:right="1180"/>
        </w:sectPr>
      </w:pPr>
    </w:p>
    <w:p>
      <w:pPr>
        <w:pStyle w:val="BodyText"/>
        <w:spacing w:before="1"/>
        <w:rPr>
          <w:sz w:val="18"/>
        </w:rPr>
      </w:pPr>
    </w:p>
    <w:p>
      <w:pPr>
        <w:spacing w:line="256" w:lineRule="auto" w:before="95"/>
        <w:ind w:left="1705" w:right="475" w:firstLine="7"/>
        <w:jc w:val="left"/>
        <w:rPr>
          <w:sz w:val="19"/>
        </w:rPr>
      </w:pPr>
      <w:r>
        <w:rPr>
          <w:w w:val="105"/>
          <w:sz w:val="19"/>
        </w:rPr>
        <w:t>Students</w:t>
      </w:r>
      <w:r>
        <w:rPr>
          <w:spacing w:val="-5"/>
          <w:w w:val="105"/>
          <w:sz w:val="19"/>
        </w:rPr>
        <w:t> </w:t>
      </w:r>
      <w:r>
        <w:rPr>
          <w:w w:val="105"/>
          <w:sz w:val="19"/>
        </w:rPr>
        <w:t>clearly</w:t>
      </w:r>
      <w:r>
        <w:rPr>
          <w:spacing w:val="-2"/>
          <w:w w:val="105"/>
          <w:sz w:val="19"/>
        </w:rPr>
        <w:t> </w:t>
      </w:r>
      <w:r>
        <w:rPr>
          <w:w w:val="105"/>
          <w:sz w:val="19"/>
        </w:rPr>
        <w:t>understand the</w:t>
      </w:r>
      <w:r>
        <w:rPr>
          <w:spacing w:val="-13"/>
          <w:w w:val="105"/>
          <w:sz w:val="19"/>
        </w:rPr>
        <w:t> </w:t>
      </w:r>
      <w:r>
        <w:rPr>
          <w:w w:val="105"/>
          <w:sz w:val="19"/>
        </w:rPr>
        <w:t>importance of internship and</w:t>
      </w:r>
      <w:r>
        <w:rPr>
          <w:spacing w:val="-2"/>
          <w:w w:val="105"/>
          <w:sz w:val="19"/>
        </w:rPr>
        <w:t> </w:t>
      </w:r>
      <w:r>
        <w:rPr>
          <w:w w:val="105"/>
          <w:sz w:val="19"/>
        </w:rPr>
        <w:t>awareness of the</w:t>
      </w:r>
      <w:r>
        <w:rPr>
          <w:spacing w:val="-18"/>
          <w:w w:val="105"/>
          <w:sz w:val="19"/>
        </w:rPr>
        <w:t> </w:t>
      </w:r>
      <w:r>
        <w:rPr>
          <w:w w:val="105"/>
          <w:sz w:val="19"/>
        </w:rPr>
        <w:t>Intern Development Program (IDP).</w:t>
      </w:r>
      <w:r>
        <w:rPr>
          <w:spacing w:val="40"/>
          <w:w w:val="105"/>
          <w:sz w:val="19"/>
        </w:rPr>
        <w:t> </w:t>
      </w:r>
      <w:r>
        <w:rPr>
          <w:w w:val="105"/>
          <w:sz w:val="19"/>
        </w:rPr>
        <w:t>Students are encouraged</w:t>
      </w:r>
      <w:r>
        <w:rPr>
          <w:spacing w:val="-5"/>
          <w:w w:val="105"/>
          <w:sz w:val="19"/>
        </w:rPr>
        <w:t> </w:t>
      </w:r>
      <w:r>
        <w:rPr>
          <w:w w:val="105"/>
          <w:sz w:val="19"/>
        </w:rPr>
        <w:t>to enroll</w:t>
      </w:r>
      <w:r>
        <w:rPr>
          <w:spacing w:val="-1"/>
          <w:w w:val="105"/>
          <w:sz w:val="19"/>
        </w:rPr>
        <w:t> </w:t>
      </w:r>
      <w:r>
        <w:rPr>
          <w:w w:val="105"/>
          <w:sz w:val="19"/>
        </w:rPr>
        <w:t>in IDP</w:t>
      </w:r>
      <w:r>
        <w:rPr>
          <w:spacing w:val="-3"/>
          <w:w w:val="105"/>
          <w:sz w:val="19"/>
        </w:rPr>
        <w:t> </w:t>
      </w:r>
      <w:r>
        <w:rPr>
          <w:w w:val="105"/>
          <w:sz w:val="19"/>
        </w:rPr>
        <w:t>after</w:t>
      </w:r>
      <w:r>
        <w:rPr>
          <w:spacing w:val="-6"/>
          <w:w w:val="105"/>
          <w:sz w:val="19"/>
        </w:rPr>
        <w:t> </w:t>
      </w:r>
      <w:r>
        <w:rPr>
          <w:w w:val="105"/>
          <w:sz w:val="19"/>
        </w:rPr>
        <w:t>their 3</w:t>
      </w:r>
      <w:r>
        <w:rPr>
          <w:w w:val="105"/>
          <w:sz w:val="19"/>
          <w:vertAlign w:val="superscript"/>
        </w:rPr>
        <w:t>rd</w:t>
      </w:r>
      <w:r>
        <w:rPr>
          <w:w w:val="105"/>
          <w:sz w:val="19"/>
          <w:vertAlign w:val="baseline"/>
        </w:rPr>
        <w:t> year and pursue employment in architecture firms.</w:t>
      </w:r>
      <w:r>
        <w:rPr>
          <w:spacing w:val="40"/>
          <w:w w:val="105"/>
          <w:sz w:val="19"/>
          <w:vertAlign w:val="baseline"/>
        </w:rPr>
        <w:t> </w:t>
      </w:r>
      <w:r>
        <w:rPr>
          <w:w w:val="105"/>
          <w:sz w:val="19"/>
          <w:vertAlign w:val="baseline"/>
        </w:rPr>
        <w:t>However, while the majority of students acknowledged working while</w:t>
      </w:r>
      <w:r>
        <w:rPr>
          <w:spacing w:val="-20"/>
          <w:w w:val="105"/>
          <w:sz w:val="19"/>
          <w:vertAlign w:val="baseline"/>
        </w:rPr>
        <w:t> </w:t>
      </w:r>
      <w:r>
        <w:rPr>
          <w:w w:val="105"/>
          <w:sz w:val="19"/>
          <w:vertAlign w:val="baseline"/>
        </w:rPr>
        <w:t>in school, only</w:t>
      </w:r>
      <w:r>
        <w:rPr>
          <w:spacing w:val="-6"/>
          <w:w w:val="105"/>
          <w:sz w:val="19"/>
          <w:vertAlign w:val="baseline"/>
        </w:rPr>
        <w:t> </w:t>
      </w:r>
      <w:r>
        <w:rPr>
          <w:w w:val="105"/>
          <w:sz w:val="19"/>
          <w:vertAlign w:val="baseline"/>
        </w:rPr>
        <w:t>a few were</w:t>
      </w:r>
      <w:r>
        <w:rPr>
          <w:spacing w:val="-7"/>
          <w:w w:val="105"/>
          <w:sz w:val="19"/>
          <w:vertAlign w:val="baseline"/>
        </w:rPr>
        <w:t> </w:t>
      </w:r>
      <w:r>
        <w:rPr>
          <w:w w:val="105"/>
          <w:sz w:val="19"/>
          <w:vertAlign w:val="baseline"/>
        </w:rPr>
        <w:t>in</w:t>
      </w:r>
      <w:r>
        <w:rPr>
          <w:spacing w:val="-1"/>
          <w:w w:val="105"/>
          <w:sz w:val="19"/>
          <w:vertAlign w:val="baseline"/>
        </w:rPr>
        <w:t> </w:t>
      </w:r>
      <w:r>
        <w:rPr>
          <w:w w:val="105"/>
          <w:sz w:val="19"/>
          <w:vertAlign w:val="baseline"/>
        </w:rPr>
        <w:t>IDP</w:t>
      </w:r>
      <w:r>
        <w:rPr>
          <w:spacing w:val="-17"/>
          <w:w w:val="105"/>
          <w:sz w:val="19"/>
          <w:vertAlign w:val="baseline"/>
        </w:rPr>
        <w:t> </w:t>
      </w:r>
      <w:r>
        <w:rPr>
          <w:w w:val="105"/>
          <w:sz w:val="19"/>
          <w:vertAlign w:val="baseline"/>
        </w:rPr>
        <w:t>credit-gaining environments.</w:t>
      </w:r>
      <w:r>
        <w:rPr>
          <w:spacing w:val="80"/>
          <w:w w:val="105"/>
          <w:sz w:val="19"/>
          <w:vertAlign w:val="baseline"/>
        </w:rPr>
        <w:t> </w:t>
      </w:r>
      <w:r>
        <w:rPr>
          <w:w w:val="105"/>
          <w:sz w:val="19"/>
          <w:vertAlign w:val="baseline"/>
        </w:rPr>
        <w:t>The students seem to understand their roles</w:t>
      </w:r>
      <w:r>
        <w:rPr>
          <w:spacing w:val="-6"/>
          <w:w w:val="105"/>
          <w:sz w:val="19"/>
          <w:vertAlign w:val="baseline"/>
        </w:rPr>
        <w:t> </w:t>
      </w:r>
      <w:r>
        <w:rPr>
          <w:w w:val="105"/>
          <w:sz w:val="19"/>
          <w:vertAlign w:val="baseline"/>
        </w:rPr>
        <w:t>as future</w:t>
      </w:r>
      <w:r>
        <w:rPr>
          <w:spacing w:val="-1"/>
          <w:w w:val="105"/>
          <w:sz w:val="19"/>
          <w:vertAlign w:val="baseline"/>
        </w:rPr>
        <w:t> </w:t>
      </w:r>
      <w:r>
        <w:rPr>
          <w:w w:val="105"/>
          <w:sz w:val="19"/>
          <w:vertAlign w:val="baseline"/>
        </w:rPr>
        <w:t>graduates, emerging professionals,</w:t>
      </w:r>
      <w:r>
        <w:rPr>
          <w:spacing w:val="-10"/>
          <w:w w:val="105"/>
          <w:sz w:val="19"/>
          <w:vertAlign w:val="baseline"/>
        </w:rPr>
        <w:t> </w:t>
      </w:r>
      <w:r>
        <w:rPr>
          <w:w w:val="105"/>
          <w:sz w:val="19"/>
          <w:vertAlign w:val="baseline"/>
        </w:rPr>
        <w:t>and future</w:t>
      </w:r>
      <w:r>
        <w:rPr>
          <w:spacing w:val="-3"/>
          <w:w w:val="105"/>
          <w:sz w:val="19"/>
          <w:vertAlign w:val="baseline"/>
        </w:rPr>
        <w:t> </w:t>
      </w:r>
      <w:r>
        <w:rPr>
          <w:w w:val="105"/>
          <w:sz w:val="19"/>
          <w:vertAlign w:val="baseline"/>
        </w:rPr>
        <w:t>practitioners.</w:t>
      </w:r>
      <w:r>
        <w:rPr>
          <w:spacing w:val="40"/>
          <w:w w:val="105"/>
          <w:sz w:val="19"/>
          <w:vertAlign w:val="baseline"/>
        </w:rPr>
        <w:t> </w:t>
      </w:r>
      <w:r>
        <w:rPr>
          <w:w w:val="105"/>
          <w:sz w:val="19"/>
          <w:vertAlign w:val="baseline"/>
        </w:rPr>
        <w:t>Professional practice</w:t>
      </w:r>
      <w:r>
        <w:rPr>
          <w:spacing w:val="-3"/>
          <w:w w:val="105"/>
          <w:sz w:val="19"/>
          <w:vertAlign w:val="baseline"/>
        </w:rPr>
        <w:t> </w:t>
      </w:r>
      <w:r>
        <w:rPr>
          <w:w w:val="105"/>
          <w:sz w:val="19"/>
          <w:vertAlign w:val="baseline"/>
        </w:rPr>
        <w:t>courses show ample evidence of understanding the importance of becoming licensed architects.</w:t>
      </w:r>
    </w:p>
    <w:p>
      <w:pPr>
        <w:pStyle w:val="BodyText"/>
      </w:pPr>
    </w:p>
    <w:p>
      <w:pPr>
        <w:pStyle w:val="BodyText"/>
        <w:spacing w:before="5"/>
        <w:rPr>
          <w:sz w:val="19"/>
        </w:rPr>
      </w:pPr>
    </w:p>
    <w:p>
      <w:pPr>
        <w:pStyle w:val="ListParagraph"/>
        <w:numPr>
          <w:ilvl w:val="2"/>
          <w:numId w:val="75"/>
        </w:numPr>
        <w:tabs>
          <w:tab w:pos="1707" w:val="left" w:leader="none"/>
        </w:tabs>
        <w:spacing w:line="240" w:lineRule="auto" w:before="0" w:after="0"/>
        <w:ind w:left="1706" w:right="0" w:hanging="721"/>
        <w:jc w:val="left"/>
        <w:rPr>
          <w:sz w:val="21"/>
        </w:rPr>
      </w:pPr>
      <w:r>
        <w:rPr>
          <w:sz w:val="21"/>
        </w:rPr>
        <w:t>Professional</w:t>
      </w:r>
      <w:r>
        <w:rPr>
          <w:spacing w:val="32"/>
          <w:sz w:val="21"/>
        </w:rPr>
        <w:t> </w:t>
      </w:r>
      <w:r>
        <w:rPr>
          <w:spacing w:val="-2"/>
          <w:sz w:val="21"/>
        </w:rPr>
        <w:t>Development</w:t>
      </w:r>
    </w:p>
    <w:p>
      <w:pPr>
        <w:pStyle w:val="BodyText"/>
        <w:spacing w:before="8"/>
        <w:rPr>
          <w:sz w:val="19"/>
        </w:rPr>
      </w:pPr>
    </w:p>
    <w:p>
      <w:pPr>
        <w:spacing w:line="264" w:lineRule="auto" w:before="0"/>
        <w:ind w:left="1706" w:right="424" w:firstLine="0"/>
        <w:jc w:val="left"/>
        <w:rPr>
          <w:i/>
          <w:sz w:val="19"/>
        </w:rPr>
      </w:pPr>
      <w:r>
        <w:rPr>
          <w:w w:val="105"/>
          <w:sz w:val="19"/>
        </w:rPr>
        <w:t>Understanding of </w:t>
      </w:r>
      <w:r>
        <w:rPr>
          <w:i/>
          <w:w w:val="105"/>
          <w:sz w:val="19"/>
        </w:rPr>
        <w:t>the</w:t>
      </w:r>
      <w:r>
        <w:rPr>
          <w:i/>
          <w:spacing w:val="-14"/>
          <w:w w:val="105"/>
          <w:sz w:val="19"/>
        </w:rPr>
        <w:t> </w:t>
      </w:r>
      <w:r>
        <w:rPr>
          <w:i/>
          <w:w w:val="105"/>
          <w:sz w:val="19"/>
        </w:rPr>
        <w:t>role</w:t>
      </w:r>
      <w:r>
        <w:rPr>
          <w:i/>
          <w:spacing w:val="-16"/>
          <w:w w:val="105"/>
          <w:sz w:val="19"/>
        </w:rPr>
        <w:t> </w:t>
      </w:r>
      <w:r>
        <w:rPr>
          <w:i/>
          <w:w w:val="105"/>
          <w:sz w:val="19"/>
        </w:rPr>
        <w:t>of</w:t>
      </w:r>
      <w:r>
        <w:rPr>
          <w:i/>
          <w:spacing w:val="-7"/>
          <w:w w:val="105"/>
          <w:sz w:val="19"/>
        </w:rPr>
        <w:t> </w:t>
      </w:r>
      <w:r>
        <w:rPr>
          <w:i/>
          <w:w w:val="105"/>
          <w:sz w:val="19"/>
        </w:rPr>
        <w:t>internship in</w:t>
      </w:r>
      <w:r>
        <w:rPr>
          <w:i/>
          <w:spacing w:val="-10"/>
          <w:w w:val="105"/>
          <w:sz w:val="19"/>
        </w:rPr>
        <w:t> </w:t>
      </w:r>
      <w:r>
        <w:rPr>
          <w:i/>
          <w:w w:val="105"/>
          <w:sz w:val="19"/>
        </w:rPr>
        <w:t>obtaining licensure</w:t>
      </w:r>
      <w:r>
        <w:rPr>
          <w:i/>
          <w:spacing w:val="-4"/>
          <w:w w:val="105"/>
          <w:sz w:val="19"/>
        </w:rPr>
        <w:t> </w:t>
      </w:r>
      <w:r>
        <w:rPr>
          <w:i/>
          <w:w w:val="105"/>
          <w:sz w:val="19"/>
        </w:rPr>
        <w:t>and registration and</w:t>
      </w:r>
      <w:r>
        <w:rPr>
          <w:i/>
          <w:spacing w:val="-13"/>
          <w:w w:val="105"/>
          <w:sz w:val="19"/>
        </w:rPr>
        <w:t> </w:t>
      </w:r>
      <w:r>
        <w:rPr>
          <w:i/>
          <w:w w:val="105"/>
          <w:sz w:val="19"/>
        </w:rPr>
        <w:t>the mutual rights and responsibilities of interns and employers</w:t>
      </w:r>
    </w:p>
    <w:p>
      <w:pPr>
        <w:tabs>
          <w:tab w:pos="895" w:val="left" w:leader="none"/>
        </w:tabs>
        <w:spacing w:line="183" w:lineRule="exact" w:before="0"/>
        <w:ind w:left="0" w:right="806" w:firstLine="0"/>
        <w:jc w:val="right"/>
        <w:rPr>
          <w:sz w:val="19"/>
        </w:rPr>
      </w:pPr>
      <w:r>
        <w:rPr>
          <w:spacing w:val="-5"/>
          <w:w w:val="110"/>
          <w:sz w:val="19"/>
        </w:rPr>
        <w:t>Met</w:t>
      </w:r>
      <w:r>
        <w:rPr>
          <w:sz w:val="19"/>
        </w:rPr>
        <w:tab/>
      </w:r>
      <w:r>
        <w:rPr>
          <w:w w:val="105"/>
          <w:sz w:val="19"/>
        </w:rPr>
        <w:t>Not</w:t>
      </w:r>
      <w:r>
        <w:rPr>
          <w:spacing w:val="-3"/>
          <w:w w:val="105"/>
          <w:sz w:val="19"/>
        </w:rPr>
        <w:t> </w:t>
      </w:r>
      <w:r>
        <w:rPr>
          <w:spacing w:val="-5"/>
          <w:w w:val="110"/>
          <w:sz w:val="19"/>
        </w:rPr>
        <w:t>Met</w:t>
      </w:r>
    </w:p>
    <w:p>
      <w:pPr>
        <w:pStyle w:val="ListParagraph"/>
        <w:numPr>
          <w:ilvl w:val="3"/>
          <w:numId w:val="75"/>
        </w:numPr>
        <w:tabs>
          <w:tab w:pos="1060" w:val="left" w:leader="none"/>
          <w:tab w:pos="1061" w:val="left" w:leader="none"/>
        </w:tabs>
        <w:spacing w:line="337" w:lineRule="exact" w:before="0" w:after="0"/>
        <w:ind w:left="1060" w:right="1035" w:hanging="1061"/>
        <w:jc w:val="right"/>
        <w:rPr>
          <w:b/>
          <w:sz w:val="25"/>
        </w:rPr>
      </w:pPr>
      <w:r>
        <w:rPr>
          <w:sz w:val="25"/>
        </w:rPr>
        <w:t>[</w:t>
      </w:r>
      <w:r>
        <w:rPr>
          <w:spacing w:val="49"/>
          <w:sz w:val="25"/>
        </w:rPr>
        <w:t> </w:t>
      </w:r>
      <w:r>
        <w:rPr>
          <w:spacing w:val="-10"/>
          <w:sz w:val="32"/>
        </w:rPr>
        <w:t>l</w:t>
      </w:r>
    </w:p>
    <w:p>
      <w:pPr>
        <w:tabs>
          <w:tab w:pos="8183" w:val="left" w:leader="none"/>
        </w:tabs>
        <w:spacing w:line="256" w:lineRule="auto" w:before="216"/>
        <w:ind w:left="1705" w:right="903" w:hanging="2"/>
        <w:jc w:val="left"/>
        <w:rPr>
          <w:sz w:val="19"/>
        </w:rPr>
      </w:pPr>
      <w:r>
        <w:rPr>
          <w:w w:val="105"/>
          <w:sz w:val="19"/>
        </w:rPr>
        <w:t>Students gain</w:t>
      </w:r>
      <w:r>
        <w:rPr>
          <w:spacing w:val="-8"/>
          <w:w w:val="105"/>
          <w:sz w:val="19"/>
        </w:rPr>
        <w:t> </w:t>
      </w:r>
      <w:r>
        <w:rPr>
          <w:w w:val="105"/>
          <w:sz w:val="19"/>
        </w:rPr>
        <w:t>an understanding of</w:t>
      </w:r>
      <w:r>
        <w:rPr>
          <w:spacing w:val="-6"/>
          <w:w w:val="105"/>
          <w:sz w:val="19"/>
        </w:rPr>
        <w:t> </w:t>
      </w:r>
      <w:r>
        <w:rPr>
          <w:w w:val="105"/>
          <w:sz w:val="19"/>
        </w:rPr>
        <w:t>legal aspects of the practice through</w:t>
      </w:r>
      <w:r>
        <w:rPr>
          <w:spacing w:val="-3"/>
          <w:w w:val="105"/>
          <w:sz w:val="19"/>
        </w:rPr>
        <w:t> </w:t>
      </w:r>
      <w:r>
        <w:rPr>
          <w:w w:val="105"/>
          <w:sz w:val="19"/>
        </w:rPr>
        <w:t>Associate Professor Easter's and visiting Professor Loomis's courses ARC 417-8 Professional</w:t>
      </w:r>
      <w:r>
        <w:rPr>
          <w:spacing w:val="-3"/>
          <w:w w:val="105"/>
          <w:sz w:val="19"/>
        </w:rPr>
        <w:t> </w:t>
      </w:r>
      <w:r>
        <w:rPr>
          <w:w w:val="105"/>
          <w:sz w:val="19"/>
        </w:rPr>
        <w:t>and</w:t>
      </w:r>
      <w:r>
        <w:rPr>
          <w:spacing w:val="-17"/>
          <w:w w:val="105"/>
          <w:sz w:val="19"/>
        </w:rPr>
        <w:t> </w:t>
      </w:r>
      <w:r>
        <w:rPr>
          <w:w w:val="105"/>
          <w:sz w:val="19"/>
        </w:rPr>
        <w:t>Community Design</w:t>
      </w:r>
      <w:r>
        <w:rPr>
          <w:spacing w:val="-6"/>
          <w:w w:val="105"/>
          <w:sz w:val="19"/>
        </w:rPr>
        <w:t> </w:t>
      </w:r>
      <w:r>
        <w:rPr>
          <w:w w:val="105"/>
          <w:sz w:val="19"/>
        </w:rPr>
        <w:t>Practice.</w:t>
      </w:r>
      <w:r>
        <w:rPr>
          <w:spacing w:val="40"/>
          <w:w w:val="105"/>
          <w:sz w:val="19"/>
        </w:rPr>
        <w:t> </w:t>
      </w:r>
      <w:r>
        <w:rPr>
          <w:w w:val="105"/>
          <w:sz w:val="19"/>
        </w:rPr>
        <w:t>Additional insight</w:t>
      </w:r>
      <w:r>
        <w:rPr>
          <w:spacing w:val="-4"/>
          <w:w w:val="105"/>
          <w:sz w:val="19"/>
        </w:rPr>
        <w:t> </w:t>
      </w:r>
      <w:r>
        <w:rPr>
          <w:w w:val="105"/>
          <w:sz w:val="19"/>
        </w:rPr>
        <w:t>is</w:t>
      </w:r>
      <w:r>
        <w:rPr>
          <w:spacing w:val="-1"/>
          <w:w w:val="105"/>
          <w:sz w:val="19"/>
        </w:rPr>
        <w:t> </w:t>
      </w:r>
      <w:r>
        <w:rPr>
          <w:w w:val="105"/>
          <w:sz w:val="19"/>
        </w:rPr>
        <w:t>gained</w:t>
      </w:r>
      <w:r>
        <w:rPr>
          <w:spacing w:val="-8"/>
          <w:w w:val="105"/>
          <w:sz w:val="19"/>
        </w:rPr>
        <w:t> </w:t>
      </w:r>
      <w:r>
        <w:rPr>
          <w:w w:val="105"/>
          <w:sz w:val="19"/>
        </w:rPr>
        <w:t>through courses ARC 417-8 (IDP and registration requirements).</w:t>
      </w:r>
      <w:r>
        <w:rPr>
          <w:sz w:val="19"/>
        </w:rPr>
        <w:tab/>
      </w:r>
      <w:r>
        <w:rPr>
          <w:spacing w:val="-10"/>
          <w:w w:val="105"/>
          <w:sz w:val="19"/>
        </w:rPr>
        <w:t>•</w:t>
      </w:r>
    </w:p>
    <w:p>
      <w:pPr>
        <w:pStyle w:val="BodyText"/>
      </w:pPr>
    </w:p>
    <w:p>
      <w:pPr>
        <w:pStyle w:val="BodyText"/>
        <w:spacing w:before="5"/>
        <w:rPr>
          <w:sz w:val="18"/>
        </w:rPr>
      </w:pPr>
    </w:p>
    <w:p>
      <w:pPr>
        <w:pStyle w:val="ListParagraph"/>
        <w:numPr>
          <w:ilvl w:val="2"/>
          <w:numId w:val="75"/>
        </w:numPr>
        <w:tabs>
          <w:tab w:pos="1707" w:val="left" w:leader="none"/>
          <w:tab w:pos="1708" w:val="left" w:leader="none"/>
        </w:tabs>
        <w:spacing w:line="240" w:lineRule="auto" w:before="0" w:after="0"/>
        <w:ind w:left="1707" w:right="0" w:hanging="731"/>
        <w:jc w:val="left"/>
        <w:rPr>
          <w:sz w:val="21"/>
        </w:rPr>
      </w:pPr>
      <w:r>
        <w:rPr>
          <w:spacing w:val="-2"/>
          <w:sz w:val="21"/>
        </w:rPr>
        <w:t>Leadership</w:t>
      </w:r>
    </w:p>
    <w:p>
      <w:pPr>
        <w:pStyle w:val="BodyText"/>
        <w:spacing w:before="9"/>
        <w:rPr>
          <w:sz w:val="18"/>
        </w:rPr>
      </w:pPr>
    </w:p>
    <w:p>
      <w:pPr>
        <w:spacing w:line="259" w:lineRule="auto" w:before="0"/>
        <w:ind w:left="1702" w:right="0" w:firstLine="5"/>
        <w:jc w:val="left"/>
        <w:rPr>
          <w:i/>
          <w:sz w:val="19"/>
        </w:rPr>
      </w:pPr>
      <w:r>
        <w:rPr>
          <w:w w:val="105"/>
          <w:sz w:val="19"/>
        </w:rPr>
        <w:t>Understanding</w:t>
      </w:r>
      <w:r>
        <w:rPr>
          <w:spacing w:val="-3"/>
          <w:w w:val="105"/>
          <w:sz w:val="19"/>
        </w:rPr>
        <w:t> </w:t>
      </w:r>
      <w:r>
        <w:rPr>
          <w:w w:val="105"/>
          <w:sz w:val="19"/>
        </w:rPr>
        <w:t>of</w:t>
      </w:r>
      <w:r>
        <w:rPr>
          <w:spacing w:val="-8"/>
          <w:w w:val="105"/>
          <w:sz w:val="19"/>
        </w:rPr>
        <w:t> </w:t>
      </w:r>
      <w:r>
        <w:rPr>
          <w:i/>
          <w:w w:val="105"/>
          <w:sz w:val="19"/>
        </w:rPr>
        <w:t>the</w:t>
      </w:r>
      <w:r>
        <w:rPr>
          <w:i/>
          <w:spacing w:val="-15"/>
          <w:w w:val="105"/>
          <w:sz w:val="19"/>
        </w:rPr>
        <w:t> </w:t>
      </w:r>
      <w:r>
        <w:rPr>
          <w:i/>
          <w:w w:val="105"/>
          <w:sz w:val="19"/>
        </w:rPr>
        <w:t>need</w:t>
      </w:r>
      <w:r>
        <w:rPr>
          <w:i/>
          <w:spacing w:val="-8"/>
          <w:w w:val="105"/>
          <w:sz w:val="19"/>
        </w:rPr>
        <w:t> </w:t>
      </w:r>
      <w:r>
        <w:rPr>
          <w:i/>
          <w:w w:val="105"/>
          <w:sz w:val="19"/>
        </w:rPr>
        <w:t>for</w:t>
      </w:r>
      <w:r>
        <w:rPr>
          <w:i/>
          <w:spacing w:val="-12"/>
          <w:w w:val="105"/>
          <w:sz w:val="19"/>
        </w:rPr>
        <w:t> </w:t>
      </w:r>
      <w:r>
        <w:rPr>
          <w:i/>
          <w:w w:val="105"/>
          <w:sz w:val="19"/>
        </w:rPr>
        <w:t>af'Chitects</w:t>
      </w:r>
      <w:r>
        <w:rPr>
          <w:i/>
          <w:spacing w:val="-1"/>
          <w:w w:val="105"/>
          <w:sz w:val="19"/>
        </w:rPr>
        <w:t> </w:t>
      </w:r>
      <w:r>
        <w:rPr>
          <w:i/>
          <w:w w:val="105"/>
          <w:sz w:val="19"/>
        </w:rPr>
        <w:t>to provide</w:t>
      </w:r>
      <w:r>
        <w:rPr>
          <w:i/>
          <w:spacing w:val="-5"/>
          <w:w w:val="105"/>
          <w:sz w:val="19"/>
        </w:rPr>
        <w:t> </w:t>
      </w:r>
      <w:r>
        <w:rPr>
          <w:i/>
          <w:w w:val="105"/>
          <w:sz w:val="19"/>
        </w:rPr>
        <w:t>leadership in</w:t>
      </w:r>
      <w:r>
        <w:rPr>
          <w:i/>
          <w:spacing w:val="-9"/>
          <w:w w:val="105"/>
          <w:sz w:val="19"/>
        </w:rPr>
        <w:t> </w:t>
      </w:r>
      <w:r>
        <w:rPr>
          <w:i/>
          <w:w w:val="105"/>
          <w:sz w:val="19"/>
        </w:rPr>
        <w:t>the</w:t>
      </w:r>
      <w:r>
        <w:rPr>
          <w:i/>
          <w:spacing w:val="-12"/>
          <w:w w:val="105"/>
          <w:sz w:val="19"/>
        </w:rPr>
        <w:t> </w:t>
      </w:r>
      <w:r>
        <w:rPr>
          <w:i/>
          <w:w w:val="105"/>
          <w:sz w:val="19"/>
        </w:rPr>
        <w:t>building</w:t>
      </w:r>
      <w:r>
        <w:rPr>
          <w:i/>
          <w:spacing w:val="-12"/>
          <w:w w:val="105"/>
          <w:sz w:val="19"/>
        </w:rPr>
        <w:t> </w:t>
      </w:r>
      <w:r>
        <w:rPr>
          <w:i/>
          <w:w w:val="105"/>
          <w:sz w:val="19"/>
        </w:rPr>
        <w:t>design</w:t>
      </w:r>
      <w:r>
        <w:rPr>
          <w:i/>
          <w:spacing w:val="-7"/>
          <w:w w:val="105"/>
          <w:sz w:val="19"/>
        </w:rPr>
        <w:t> </w:t>
      </w:r>
      <w:r>
        <w:rPr>
          <w:i/>
          <w:w w:val="105"/>
          <w:sz w:val="19"/>
        </w:rPr>
        <w:t>and construction process and on</w:t>
      </w:r>
      <w:r>
        <w:rPr>
          <w:i/>
          <w:spacing w:val="-7"/>
          <w:w w:val="105"/>
          <w:sz w:val="19"/>
        </w:rPr>
        <w:t> </w:t>
      </w:r>
      <w:r>
        <w:rPr>
          <w:i/>
          <w:w w:val="105"/>
          <w:sz w:val="19"/>
        </w:rPr>
        <w:t>issues of growth, development,</w:t>
      </w:r>
      <w:r>
        <w:rPr>
          <w:i/>
          <w:spacing w:val="37"/>
          <w:w w:val="105"/>
          <w:sz w:val="19"/>
        </w:rPr>
        <w:t> </w:t>
      </w:r>
      <w:r>
        <w:rPr>
          <w:i/>
          <w:w w:val="105"/>
          <w:sz w:val="19"/>
        </w:rPr>
        <w:t>and aesthetics in their </w:t>
      </w:r>
      <w:r>
        <w:rPr>
          <w:i/>
          <w:spacing w:val="-2"/>
          <w:w w:val="105"/>
          <w:sz w:val="19"/>
        </w:rPr>
        <w:t>communities</w:t>
      </w:r>
    </w:p>
    <w:p>
      <w:pPr>
        <w:tabs>
          <w:tab w:pos="8356" w:val="left" w:leader="none"/>
        </w:tabs>
        <w:spacing w:line="178" w:lineRule="exact" w:before="0"/>
        <w:ind w:left="7460" w:right="0" w:firstLine="0"/>
        <w:jc w:val="left"/>
        <w:rPr>
          <w:sz w:val="19"/>
        </w:rPr>
      </w:pPr>
      <w:r>
        <w:rPr>
          <w:spacing w:val="-5"/>
          <w:w w:val="110"/>
          <w:sz w:val="19"/>
        </w:rPr>
        <w:t>Met</w:t>
      </w:r>
      <w:r>
        <w:rPr>
          <w:sz w:val="19"/>
        </w:rPr>
        <w:tab/>
      </w:r>
      <w:r>
        <w:rPr>
          <w:w w:val="105"/>
          <w:sz w:val="19"/>
        </w:rPr>
        <w:t>Not</w:t>
      </w:r>
      <w:r>
        <w:rPr>
          <w:spacing w:val="-3"/>
          <w:w w:val="105"/>
          <w:sz w:val="19"/>
        </w:rPr>
        <w:t> </w:t>
      </w:r>
      <w:r>
        <w:rPr>
          <w:spacing w:val="-5"/>
          <w:w w:val="110"/>
          <w:sz w:val="19"/>
        </w:rPr>
        <w:t>Met</w:t>
      </w:r>
    </w:p>
    <w:p>
      <w:pPr>
        <w:pStyle w:val="ListParagraph"/>
        <w:numPr>
          <w:ilvl w:val="3"/>
          <w:numId w:val="75"/>
        </w:numPr>
        <w:tabs>
          <w:tab w:pos="8586" w:val="left" w:leader="none"/>
          <w:tab w:pos="8587" w:val="left" w:leader="none"/>
        </w:tabs>
        <w:spacing w:line="337" w:lineRule="exact" w:before="0" w:after="0"/>
        <w:ind w:left="8586" w:right="0" w:hanging="1052"/>
        <w:jc w:val="left"/>
        <w:rPr>
          <w:b/>
          <w:sz w:val="24"/>
        </w:rPr>
      </w:pPr>
      <w:r>
        <w:rPr>
          <w:sz w:val="24"/>
        </w:rPr>
        <w:t>[</w:t>
      </w:r>
      <w:r>
        <w:rPr>
          <w:spacing w:val="53"/>
          <w:sz w:val="24"/>
        </w:rPr>
        <w:t> </w:t>
      </w:r>
      <w:r>
        <w:rPr>
          <w:spacing w:val="-10"/>
          <w:sz w:val="32"/>
        </w:rPr>
        <w:t>l</w:t>
      </w:r>
    </w:p>
    <w:p>
      <w:pPr>
        <w:spacing w:line="252" w:lineRule="auto" w:before="225"/>
        <w:ind w:left="1705" w:right="311" w:hanging="2"/>
        <w:jc w:val="left"/>
        <w:rPr>
          <w:sz w:val="19"/>
        </w:rPr>
      </w:pPr>
      <w:r>
        <w:rPr>
          <w:w w:val="105"/>
          <w:sz w:val="19"/>
        </w:rPr>
        <w:t>Students aspire</w:t>
      </w:r>
      <w:r>
        <w:rPr>
          <w:spacing w:val="-11"/>
          <w:w w:val="105"/>
          <w:sz w:val="19"/>
        </w:rPr>
        <w:t> </w:t>
      </w:r>
      <w:r>
        <w:rPr>
          <w:w w:val="105"/>
          <w:sz w:val="19"/>
        </w:rPr>
        <w:t>to become</w:t>
      </w:r>
      <w:r>
        <w:rPr>
          <w:spacing w:val="-7"/>
          <w:w w:val="105"/>
          <w:sz w:val="19"/>
        </w:rPr>
        <w:t> </w:t>
      </w:r>
      <w:r>
        <w:rPr>
          <w:w w:val="105"/>
          <w:sz w:val="19"/>
        </w:rPr>
        <w:t>models</w:t>
      </w:r>
      <w:r>
        <w:rPr>
          <w:spacing w:val="-14"/>
          <w:w w:val="105"/>
          <w:sz w:val="19"/>
        </w:rPr>
        <w:t> </w:t>
      </w:r>
      <w:r>
        <w:rPr>
          <w:w w:val="105"/>
          <w:sz w:val="19"/>
        </w:rPr>
        <w:t>of collaboration in</w:t>
      </w:r>
      <w:r>
        <w:rPr>
          <w:spacing w:val="-10"/>
          <w:w w:val="105"/>
          <w:sz w:val="19"/>
        </w:rPr>
        <w:t> </w:t>
      </w:r>
      <w:r>
        <w:rPr>
          <w:w w:val="105"/>
          <w:sz w:val="19"/>
        </w:rPr>
        <w:t>the</w:t>
      </w:r>
      <w:r>
        <w:rPr>
          <w:spacing w:val="-2"/>
          <w:w w:val="105"/>
          <w:sz w:val="19"/>
        </w:rPr>
        <w:t> </w:t>
      </w:r>
      <w:r>
        <w:rPr>
          <w:w w:val="105"/>
          <w:sz w:val="19"/>
        </w:rPr>
        <w:t>construction industry.</w:t>
      </w:r>
      <w:r>
        <w:rPr>
          <w:spacing w:val="40"/>
          <w:w w:val="105"/>
          <w:sz w:val="19"/>
        </w:rPr>
        <w:t> </w:t>
      </w:r>
      <w:r>
        <w:rPr>
          <w:w w:val="105"/>
          <w:sz w:val="19"/>
        </w:rPr>
        <w:t>Students are expanding knowledge in areas</w:t>
      </w:r>
      <w:r>
        <w:rPr>
          <w:spacing w:val="-10"/>
          <w:w w:val="105"/>
          <w:sz w:val="19"/>
        </w:rPr>
        <w:t> </w:t>
      </w:r>
      <w:r>
        <w:rPr>
          <w:w w:val="105"/>
          <w:sz w:val="19"/>
        </w:rPr>
        <w:t>of sustainability and technical knowledge through guided research</w:t>
      </w:r>
      <w:r>
        <w:rPr>
          <w:spacing w:val="-5"/>
          <w:w w:val="105"/>
          <w:sz w:val="19"/>
        </w:rPr>
        <w:t> </w:t>
      </w:r>
      <w:r>
        <w:rPr>
          <w:w w:val="105"/>
          <w:sz w:val="19"/>
        </w:rPr>
        <w:t>and travel.</w:t>
      </w:r>
      <w:r>
        <w:rPr>
          <w:spacing w:val="40"/>
          <w:w w:val="105"/>
          <w:sz w:val="19"/>
        </w:rPr>
        <w:t> </w:t>
      </w:r>
      <w:r>
        <w:rPr>
          <w:w w:val="105"/>
          <w:sz w:val="19"/>
        </w:rPr>
        <w:t>They realize the importance of finding new solutions to complex problems, likewfse,</w:t>
      </w:r>
      <w:r>
        <w:rPr>
          <w:spacing w:val="31"/>
          <w:w w:val="105"/>
          <w:sz w:val="19"/>
        </w:rPr>
        <w:t> </w:t>
      </w:r>
      <w:r>
        <w:rPr>
          <w:w w:val="105"/>
          <w:sz w:val="19"/>
        </w:rPr>
        <w:t>devising new</w:t>
      </w:r>
      <w:r>
        <w:rPr>
          <w:spacing w:val="-7"/>
          <w:w w:val="105"/>
          <w:sz w:val="19"/>
        </w:rPr>
        <w:t> </w:t>
      </w:r>
      <w:r>
        <w:rPr>
          <w:w w:val="105"/>
          <w:sz w:val="19"/>
        </w:rPr>
        <w:t>research methods to arrive at new conclusions.</w:t>
      </w:r>
      <w:r>
        <w:rPr>
          <w:spacing w:val="40"/>
          <w:w w:val="105"/>
          <w:sz w:val="19"/>
        </w:rPr>
        <w:t> </w:t>
      </w:r>
      <w:r>
        <w:rPr>
          <w:w w:val="105"/>
          <w:sz w:val="19"/>
        </w:rPr>
        <w:t>They also</w:t>
      </w:r>
      <w:r>
        <w:rPr>
          <w:spacing w:val="-13"/>
          <w:w w:val="105"/>
          <w:sz w:val="19"/>
        </w:rPr>
        <w:t> </w:t>
      </w:r>
      <w:r>
        <w:rPr>
          <w:w w:val="105"/>
          <w:sz w:val="19"/>
        </w:rPr>
        <w:t>investigate emerging</w:t>
      </w:r>
      <w:r>
        <w:rPr>
          <w:spacing w:val="-2"/>
          <w:w w:val="105"/>
          <w:sz w:val="19"/>
        </w:rPr>
        <w:t> </w:t>
      </w:r>
      <w:r>
        <w:rPr>
          <w:w w:val="105"/>
          <w:sz w:val="19"/>
        </w:rPr>
        <w:t>technologies, building</w:t>
      </w:r>
      <w:r>
        <w:rPr>
          <w:spacing w:val="-4"/>
          <w:w w:val="105"/>
          <w:sz w:val="19"/>
        </w:rPr>
        <w:t> </w:t>
      </w:r>
      <w:r>
        <w:rPr>
          <w:w w:val="105"/>
          <w:sz w:val="19"/>
        </w:rPr>
        <w:t>products, and</w:t>
      </w:r>
      <w:r>
        <w:rPr>
          <w:spacing w:val="-7"/>
          <w:w w:val="105"/>
          <w:sz w:val="19"/>
        </w:rPr>
        <w:t> </w:t>
      </w:r>
      <w:r>
        <w:rPr>
          <w:w w:val="105"/>
          <w:sz w:val="19"/>
        </w:rPr>
        <w:t>design </w:t>
      </w:r>
      <w:r>
        <w:rPr>
          <w:spacing w:val="-2"/>
          <w:w w:val="105"/>
          <w:sz w:val="19"/>
        </w:rPr>
        <w:t>practices.</w:t>
      </w:r>
    </w:p>
    <w:p>
      <w:pPr>
        <w:pStyle w:val="BodyText"/>
      </w:pPr>
    </w:p>
    <w:p>
      <w:pPr>
        <w:pStyle w:val="BodyText"/>
        <w:spacing w:before="9"/>
        <w:rPr>
          <w:sz w:val="17"/>
        </w:rPr>
      </w:pPr>
    </w:p>
    <w:p>
      <w:pPr>
        <w:pStyle w:val="ListParagraph"/>
        <w:numPr>
          <w:ilvl w:val="2"/>
          <w:numId w:val="75"/>
        </w:numPr>
        <w:tabs>
          <w:tab w:pos="1707" w:val="left" w:leader="none"/>
          <w:tab w:pos="1708" w:val="left" w:leader="none"/>
        </w:tabs>
        <w:spacing w:line="240" w:lineRule="auto" w:before="0" w:after="0"/>
        <w:ind w:left="1707" w:right="0" w:hanging="731"/>
        <w:jc w:val="left"/>
        <w:rPr>
          <w:sz w:val="21"/>
        </w:rPr>
      </w:pPr>
      <w:r>
        <w:rPr>
          <w:sz w:val="21"/>
        </w:rPr>
        <w:t>Legal</w:t>
      </w:r>
      <w:r>
        <w:rPr>
          <w:spacing w:val="-12"/>
          <w:sz w:val="21"/>
        </w:rPr>
        <w:t> </w:t>
      </w:r>
      <w:r>
        <w:rPr>
          <w:spacing w:val="-2"/>
          <w:w w:val="105"/>
          <w:sz w:val="21"/>
        </w:rPr>
        <w:t>Responsibilities</w:t>
      </w:r>
    </w:p>
    <w:p>
      <w:pPr>
        <w:pStyle w:val="BodyText"/>
        <w:spacing w:before="10"/>
      </w:pPr>
    </w:p>
    <w:p>
      <w:pPr>
        <w:spacing w:line="254" w:lineRule="auto" w:before="0"/>
        <w:ind w:left="1711" w:right="354" w:hanging="5"/>
        <w:jc w:val="left"/>
        <w:rPr>
          <w:i/>
          <w:sz w:val="19"/>
        </w:rPr>
      </w:pPr>
      <w:r>
        <w:rPr>
          <w:w w:val="105"/>
          <w:sz w:val="19"/>
        </w:rPr>
        <w:t>Understanding of</w:t>
      </w:r>
      <w:r>
        <w:rPr>
          <w:spacing w:val="-8"/>
          <w:w w:val="105"/>
          <w:sz w:val="19"/>
        </w:rPr>
        <w:t> </w:t>
      </w:r>
      <w:r>
        <w:rPr>
          <w:i/>
          <w:w w:val="105"/>
          <w:sz w:val="19"/>
        </w:rPr>
        <w:t>the</w:t>
      </w:r>
      <w:r>
        <w:rPr>
          <w:i/>
          <w:spacing w:val="-6"/>
          <w:w w:val="105"/>
          <w:sz w:val="19"/>
        </w:rPr>
        <w:t> </w:t>
      </w:r>
      <w:r>
        <w:rPr>
          <w:i/>
          <w:w w:val="105"/>
          <w:sz w:val="19"/>
        </w:rPr>
        <w:t>architect's responsibility</w:t>
      </w:r>
      <w:r>
        <w:rPr>
          <w:i/>
          <w:spacing w:val="-2"/>
          <w:w w:val="105"/>
          <w:sz w:val="19"/>
        </w:rPr>
        <w:t> </w:t>
      </w:r>
      <w:r>
        <w:rPr>
          <w:i/>
          <w:w w:val="105"/>
          <w:sz w:val="19"/>
        </w:rPr>
        <w:t>as</w:t>
      </w:r>
      <w:r>
        <w:rPr>
          <w:i/>
          <w:spacing w:val="-5"/>
          <w:w w:val="105"/>
          <w:sz w:val="19"/>
        </w:rPr>
        <w:t> </w:t>
      </w:r>
      <w:r>
        <w:rPr>
          <w:i/>
          <w:w w:val="105"/>
          <w:sz w:val="19"/>
        </w:rPr>
        <w:t>determined by registration</w:t>
      </w:r>
      <w:r>
        <w:rPr>
          <w:i/>
          <w:spacing w:val="-4"/>
          <w:w w:val="105"/>
          <w:sz w:val="19"/>
        </w:rPr>
        <w:t> </w:t>
      </w:r>
      <w:r>
        <w:rPr>
          <w:i/>
          <w:w w:val="105"/>
          <w:sz w:val="19"/>
        </w:rPr>
        <w:t>law,</w:t>
      </w:r>
      <w:r>
        <w:rPr>
          <w:i/>
          <w:spacing w:val="-8"/>
          <w:w w:val="105"/>
          <w:sz w:val="19"/>
        </w:rPr>
        <w:t> </w:t>
      </w:r>
      <w:r>
        <w:rPr>
          <w:i/>
          <w:w w:val="105"/>
          <w:sz w:val="19"/>
        </w:rPr>
        <w:t>building codes and regulations, professional service contracts, zoning and subdivision ordinances, environmental</w:t>
      </w:r>
      <w:r>
        <w:rPr>
          <w:i/>
          <w:spacing w:val="40"/>
          <w:w w:val="105"/>
          <w:sz w:val="19"/>
        </w:rPr>
        <w:t> </w:t>
      </w:r>
      <w:r>
        <w:rPr>
          <w:i/>
          <w:w w:val="105"/>
          <w:sz w:val="19"/>
        </w:rPr>
        <w:t>regulation, historic preservation laws, and accessibility laws</w:t>
      </w:r>
    </w:p>
    <w:p>
      <w:pPr>
        <w:tabs>
          <w:tab w:pos="8376" w:val="left" w:leader="none"/>
        </w:tabs>
        <w:spacing w:line="188" w:lineRule="exact" w:before="8"/>
        <w:ind w:left="7480" w:right="0" w:firstLine="0"/>
        <w:jc w:val="left"/>
        <w:rPr>
          <w:sz w:val="19"/>
        </w:rPr>
      </w:pPr>
      <w:r>
        <w:rPr>
          <w:spacing w:val="-5"/>
          <w:w w:val="110"/>
          <w:sz w:val="19"/>
        </w:rPr>
        <w:t>Met</w:t>
      </w:r>
      <w:r>
        <w:rPr>
          <w:sz w:val="19"/>
        </w:rPr>
        <w:tab/>
      </w:r>
      <w:r>
        <w:rPr>
          <w:w w:val="105"/>
          <w:sz w:val="19"/>
        </w:rPr>
        <w:t>Not</w:t>
      </w:r>
      <w:r>
        <w:rPr>
          <w:spacing w:val="-3"/>
          <w:w w:val="105"/>
          <w:sz w:val="19"/>
        </w:rPr>
        <w:t> </w:t>
      </w:r>
      <w:r>
        <w:rPr>
          <w:spacing w:val="-5"/>
          <w:w w:val="110"/>
          <w:sz w:val="19"/>
        </w:rPr>
        <w:t>Met</w:t>
      </w:r>
    </w:p>
    <w:p>
      <w:pPr>
        <w:pStyle w:val="ListParagraph"/>
        <w:numPr>
          <w:ilvl w:val="3"/>
          <w:numId w:val="75"/>
        </w:numPr>
        <w:tabs>
          <w:tab w:pos="8605" w:val="left" w:leader="none"/>
          <w:tab w:pos="8606" w:val="left" w:leader="none"/>
        </w:tabs>
        <w:spacing w:line="326" w:lineRule="exact" w:before="0" w:after="0"/>
        <w:ind w:left="8605" w:right="0" w:hanging="1062"/>
        <w:jc w:val="left"/>
        <w:rPr>
          <w:b/>
          <w:sz w:val="24"/>
        </w:rPr>
      </w:pPr>
      <w:r>
        <w:rPr>
          <w:sz w:val="24"/>
        </w:rPr>
        <w:t>[</w:t>
      </w:r>
      <w:r>
        <w:rPr>
          <w:spacing w:val="64"/>
          <w:sz w:val="24"/>
        </w:rPr>
        <w:t> </w:t>
      </w:r>
      <w:r>
        <w:rPr>
          <w:rFonts w:ascii="Times New Roman"/>
          <w:spacing w:val="-10"/>
          <w:sz w:val="31"/>
        </w:rPr>
        <w:t>l</w:t>
      </w:r>
    </w:p>
    <w:p>
      <w:pPr>
        <w:spacing w:line="254" w:lineRule="auto" w:before="217"/>
        <w:ind w:left="1716" w:right="283" w:firstLine="1"/>
        <w:jc w:val="left"/>
        <w:rPr>
          <w:sz w:val="19"/>
        </w:rPr>
      </w:pPr>
      <w:r>
        <w:rPr>
          <w:w w:val="105"/>
          <w:sz w:val="19"/>
        </w:rPr>
        <w:t>The team finds most of</w:t>
      </w:r>
      <w:r>
        <w:rPr>
          <w:spacing w:val="-5"/>
          <w:w w:val="105"/>
          <w:sz w:val="19"/>
        </w:rPr>
        <w:t> </w:t>
      </w:r>
      <w:r>
        <w:rPr>
          <w:w w:val="105"/>
          <w:sz w:val="19"/>
        </w:rPr>
        <w:t>these</w:t>
      </w:r>
      <w:r>
        <w:rPr>
          <w:spacing w:val="-4"/>
          <w:w w:val="105"/>
          <w:sz w:val="19"/>
        </w:rPr>
        <w:t> </w:t>
      </w:r>
      <w:r>
        <w:rPr>
          <w:w w:val="105"/>
          <w:sz w:val="19"/>
        </w:rPr>
        <w:t>topics covered in</w:t>
      </w:r>
      <w:r>
        <w:rPr>
          <w:spacing w:val="-3"/>
          <w:w w:val="105"/>
          <w:sz w:val="19"/>
        </w:rPr>
        <w:t> </w:t>
      </w:r>
      <w:r>
        <w:rPr>
          <w:w w:val="105"/>
          <w:sz w:val="19"/>
        </w:rPr>
        <w:t>coursework.</w:t>
      </w:r>
      <w:r>
        <w:rPr>
          <w:spacing w:val="40"/>
          <w:w w:val="105"/>
          <w:sz w:val="19"/>
        </w:rPr>
        <w:t> </w:t>
      </w:r>
      <w:r>
        <w:rPr>
          <w:w w:val="105"/>
          <w:sz w:val="19"/>
        </w:rPr>
        <w:t>Students are</w:t>
      </w:r>
      <w:r>
        <w:rPr>
          <w:spacing w:val="-4"/>
          <w:w w:val="105"/>
          <w:sz w:val="19"/>
        </w:rPr>
        <w:t> </w:t>
      </w:r>
      <w:r>
        <w:rPr>
          <w:w w:val="105"/>
          <w:sz w:val="19"/>
        </w:rPr>
        <w:t>encouraged to seek</w:t>
      </w:r>
      <w:r>
        <w:rPr>
          <w:spacing w:val="-2"/>
          <w:w w:val="105"/>
          <w:sz w:val="19"/>
        </w:rPr>
        <w:t> </w:t>
      </w:r>
      <w:r>
        <w:rPr>
          <w:w w:val="105"/>
          <w:sz w:val="19"/>
        </w:rPr>
        <w:t>codes,</w:t>
      </w:r>
      <w:r>
        <w:rPr>
          <w:spacing w:val="-8"/>
          <w:w w:val="105"/>
          <w:sz w:val="19"/>
        </w:rPr>
        <w:t> </w:t>
      </w:r>
      <w:r>
        <w:rPr>
          <w:w w:val="105"/>
          <w:sz w:val="19"/>
        </w:rPr>
        <w:t>zoning</w:t>
      </w:r>
      <w:r>
        <w:rPr>
          <w:spacing w:val="-2"/>
          <w:w w:val="105"/>
          <w:sz w:val="19"/>
        </w:rPr>
        <w:t> </w:t>
      </w:r>
      <w:r>
        <w:rPr>
          <w:w w:val="105"/>
          <w:sz w:val="19"/>
        </w:rPr>
        <w:t>requirements, and</w:t>
      </w:r>
      <w:r>
        <w:rPr>
          <w:spacing w:val="-10"/>
          <w:w w:val="105"/>
          <w:sz w:val="19"/>
        </w:rPr>
        <w:t> </w:t>
      </w:r>
      <w:r>
        <w:rPr>
          <w:w w:val="105"/>
          <w:sz w:val="19"/>
        </w:rPr>
        <w:t>accessibility guidelines in studios and</w:t>
      </w:r>
      <w:r>
        <w:rPr>
          <w:spacing w:val="-7"/>
          <w:w w:val="105"/>
          <w:sz w:val="19"/>
        </w:rPr>
        <w:t> </w:t>
      </w:r>
      <w:r>
        <w:rPr>
          <w:w w:val="105"/>
          <w:sz w:val="19"/>
        </w:rPr>
        <w:t>professional practice courses.</w:t>
      </w:r>
      <w:r>
        <w:rPr>
          <w:spacing w:val="40"/>
          <w:w w:val="105"/>
          <w:sz w:val="19"/>
        </w:rPr>
        <w:t> </w:t>
      </w:r>
      <w:r>
        <w:rPr>
          <w:w w:val="105"/>
          <w:sz w:val="19"/>
        </w:rPr>
        <w:t>Emphasis on urban</w:t>
      </w:r>
      <w:r>
        <w:rPr>
          <w:spacing w:val="-5"/>
          <w:w w:val="105"/>
          <w:sz w:val="19"/>
        </w:rPr>
        <w:t> </w:t>
      </w:r>
      <w:r>
        <w:rPr>
          <w:w w:val="105"/>
          <w:sz w:val="19"/>
        </w:rPr>
        <w:t>planning has aided an understanding of preservation issues.</w:t>
      </w:r>
      <w:r>
        <w:rPr>
          <w:spacing w:val="40"/>
          <w:w w:val="105"/>
          <w:sz w:val="19"/>
        </w:rPr>
        <w:t> </w:t>
      </w:r>
      <w:r>
        <w:rPr>
          <w:w w:val="105"/>
          <w:sz w:val="19"/>
        </w:rPr>
        <w:t>These topics should continue to</w:t>
      </w:r>
      <w:r>
        <w:rPr>
          <w:spacing w:val="-4"/>
          <w:w w:val="105"/>
          <w:sz w:val="19"/>
        </w:rPr>
        <w:t> </w:t>
      </w:r>
      <w:r>
        <w:rPr>
          <w:w w:val="105"/>
          <w:sz w:val="19"/>
        </w:rPr>
        <w:t>be a focus through repetition and further development.</w:t>
      </w:r>
    </w:p>
    <w:p>
      <w:pPr>
        <w:pStyle w:val="BodyText"/>
      </w:pPr>
    </w:p>
    <w:p>
      <w:pPr>
        <w:pStyle w:val="BodyText"/>
      </w:pPr>
    </w:p>
    <w:p>
      <w:pPr>
        <w:pStyle w:val="BodyText"/>
      </w:pPr>
    </w:p>
    <w:p>
      <w:pPr>
        <w:pStyle w:val="BodyText"/>
      </w:pPr>
    </w:p>
    <w:p>
      <w:pPr>
        <w:pStyle w:val="BodyText"/>
        <w:spacing w:before="9"/>
        <w:rPr>
          <w:sz w:val="27"/>
        </w:rPr>
      </w:pPr>
      <w:r>
        <w:rPr/>
        <w:pict>
          <v:shape style="position:absolute;margin-left:67.451866pt;margin-top:17.194881pt;width:456.75pt;height:.1pt;mso-position-horizontal-relative:page;mso-position-vertical-relative:paragraph;z-index:-15695360;mso-wrap-distance-left:0;mso-wrap-distance-right:0" id="docshape661" coordorigin="1349,344" coordsize="9135,0" path="m1349,344l10484,344e" filled="false" stroked="true" strokeweight=".481434pt" strokecolor="#000000">
            <v:path arrowok="t"/>
            <v:stroke dashstyle="solid"/>
            <w10:wrap type="topAndBottom"/>
          </v:shape>
        </w:pict>
      </w:r>
    </w:p>
    <w:p>
      <w:pPr>
        <w:spacing w:before="0"/>
        <w:ind w:left="0" w:right="199" w:firstLine="0"/>
        <w:jc w:val="right"/>
        <w:rPr>
          <w:sz w:val="19"/>
        </w:rPr>
      </w:pPr>
      <w:r>
        <w:rPr>
          <w:spacing w:val="-5"/>
          <w:w w:val="110"/>
          <w:sz w:val="19"/>
        </w:rPr>
        <w:t>21</w:t>
      </w:r>
    </w:p>
    <w:p>
      <w:pPr>
        <w:spacing w:after="0"/>
        <w:jc w:val="right"/>
        <w:rPr>
          <w:sz w:val="19"/>
        </w:rPr>
        <w:sectPr>
          <w:headerReference w:type="default" r:id="rId401"/>
          <w:footerReference w:type="default" r:id="rId402"/>
          <w:pgSz w:w="12180" w:h="15820"/>
          <w:pgMar w:header="628" w:footer="0" w:top="1340" w:bottom="280" w:left="1120" w:right="1180"/>
        </w:sectPr>
      </w:pPr>
    </w:p>
    <w:p>
      <w:pPr>
        <w:pStyle w:val="BodyText"/>
        <w:spacing w:before="7"/>
        <w:rPr>
          <w:sz w:val="18"/>
        </w:rPr>
      </w:pPr>
    </w:p>
    <w:p>
      <w:pPr>
        <w:numPr>
          <w:ilvl w:val="2"/>
          <w:numId w:val="75"/>
        </w:numPr>
        <w:tabs>
          <w:tab w:pos="1688" w:val="left" w:leader="none"/>
          <w:tab w:pos="1689" w:val="left" w:leader="none"/>
        </w:tabs>
        <w:spacing w:before="94"/>
        <w:ind w:left="1688" w:right="0" w:hanging="725"/>
        <w:jc w:val="left"/>
        <w:rPr>
          <w:b/>
          <w:sz w:val="20"/>
        </w:rPr>
      </w:pPr>
      <w:r>
        <w:rPr>
          <w:b/>
          <w:sz w:val="20"/>
        </w:rPr>
        <w:t>Ethics</w:t>
      </w:r>
      <w:r>
        <w:rPr>
          <w:b/>
          <w:spacing w:val="-12"/>
          <w:sz w:val="20"/>
        </w:rPr>
        <w:t> </w:t>
      </w:r>
      <w:r>
        <w:rPr>
          <w:b/>
          <w:sz w:val="20"/>
        </w:rPr>
        <w:t>and</w:t>
      </w:r>
      <w:r>
        <w:rPr>
          <w:b/>
          <w:spacing w:val="-20"/>
          <w:sz w:val="20"/>
        </w:rPr>
        <w:t> </w:t>
      </w:r>
      <w:r>
        <w:rPr>
          <w:b/>
          <w:sz w:val="20"/>
        </w:rPr>
        <w:t>Professional</w:t>
      </w:r>
      <w:r>
        <w:rPr>
          <w:b/>
          <w:spacing w:val="-10"/>
          <w:sz w:val="20"/>
        </w:rPr>
        <w:t> </w:t>
      </w:r>
      <w:r>
        <w:rPr>
          <w:b/>
          <w:spacing w:val="-2"/>
          <w:sz w:val="20"/>
        </w:rPr>
        <w:t>Judgment</w:t>
      </w:r>
    </w:p>
    <w:p>
      <w:pPr>
        <w:pStyle w:val="BodyText"/>
        <w:rPr>
          <w:b/>
          <w:sz w:val="19"/>
        </w:rPr>
      </w:pPr>
    </w:p>
    <w:p>
      <w:pPr>
        <w:spacing w:line="261" w:lineRule="auto" w:before="0"/>
        <w:ind w:left="1685" w:right="0" w:hanging="8"/>
        <w:jc w:val="left"/>
        <w:rPr>
          <w:i/>
          <w:sz w:val="19"/>
        </w:rPr>
      </w:pPr>
      <w:r>
        <w:rPr>
          <w:w w:val="105"/>
          <w:sz w:val="20"/>
        </w:rPr>
        <w:t>Understanding</w:t>
      </w:r>
      <w:r>
        <w:rPr>
          <w:spacing w:val="-8"/>
          <w:w w:val="105"/>
          <w:sz w:val="20"/>
        </w:rPr>
        <w:t> </w:t>
      </w:r>
      <w:r>
        <w:rPr>
          <w:w w:val="105"/>
          <w:sz w:val="20"/>
        </w:rPr>
        <w:t>of</w:t>
      </w:r>
      <w:r>
        <w:rPr>
          <w:spacing w:val="-14"/>
          <w:w w:val="105"/>
          <w:sz w:val="20"/>
        </w:rPr>
        <w:t> </w:t>
      </w:r>
      <w:r>
        <w:rPr>
          <w:i/>
          <w:w w:val="105"/>
          <w:sz w:val="19"/>
        </w:rPr>
        <w:t>the</w:t>
      </w:r>
      <w:r>
        <w:rPr>
          <w:i/>
          <w:spacing w:val="-14"/>
          <w:w w:val="105"/>
          <w:sz w:val="19"/>
        </w:rPr>
        <w:t> </w:t>
      </w:r>
      <w:r>
        <w:rPr>
          <w:i/>
          <w:w w:val="105"/>
          <w:sz w:val="19"/>
        </w:rPr>
        <w:t>ethical</w:t>
      </w:r>
      <w:r>
        <w:rPr>
          <w:i/>
          <w:spacing w:val="-11"/>
          <w:w w:val="105"/>
          <w:sz w:val="19"/>
        </w:rPr>
        <w:t> </w:t>
      </w:r>
      <w:r>
        <w:rPr>
          <w:i/>
          <w:w w:val="105"/>
          <w:sz w:val="19"/>
        </w:rPr>
        <w:t>issues</w:t>
      </w:r>
      <w:r>
        <w:rPr>
          <w:i/>
          <w:spacing w:val="-5"/>
          <w:w w:val="105"/>
          <w:sz w:val="19"/>
        </w:rPr>
        <w:t> </w:t>
      </w:r>
      <w:r>
        <w:rPr>
          <w:i/>
          <w:w w:val="105"/>
          <w:sz w:val="19"/>
        </w:rPr>
        <w:t>involved</w:t>
      </w:r>
      <w:r>
        <w:rPr>
          <w:i/>
          <w:spacing w:val="-14"/>
          <w:w w:val="105"/>
          <w:sz w:val="19"/>
        </w:rPr>
        <w:t> </w:t>
      </w:r>
      <w:r>
        <w:rPr>
          <w:i/>
          <w:w w:val="105"/>
          <w:sz w:val="19"/>
        </w:rPr>
        <w:t>in</w:t>
      </w:r>
      <w:r>
        <w:rPr>
          <w:i/>
          <w:spacing w:val="-14"/>
          <w:w w:val="105"/>
          <w:sz w:val="19"/>
        </w:rPr>
        <w:t> </w:t>
      </w:r>
      <w:r>
        <w:rPr>
          <w:i/>
          <w:w w:val="105"/>
          <w:sz w:val="19"/>
        </w:rPr>
        <w:t>the</w:t>
      </w:r>
      <w:r>
        <w:rPr>
          <w:i/>
          <w:spacing w:val="-14"/>
          <w:w w:val="105"/>
          <w:sz w:val="19"/>
        </w:rPr>
        <w:t> </w:t>
      </w:r>
      <w:r>
        <w:rPr>
          <w:i/>
          <w:w w:val="105"/>
          <w:sz w:val="19"/>
        </w:rPr>
        <w:t>fonnation</w:t>
      </w:r>
      <w:r>
        <w:rPr>
          <w:i/>
          <w:spacing w:val="-8"/>
          <w:w w:val="105"/>
          <w:sz w:val="19"/>
        </w:rPr>
        <w:t> </w:t>
      </w:r>
      <w:r>
        <w:rPr>
          <w:i/>
          <w:w w:val="105"/>
          <w:sz w:val="19"/>
        </w:rPr>
        <w:t>of</w:t>
      </w:r>
      <w:r>
        <w:rPr>
          <w:i/>
          <w:spacing w:val="-16"/>
          <w:w w:val="105"/>
          <w:sz w:val="19"/>
        </w:rPr>
        <w:t> </w:t>
      </w:r>
      <w:r>
        <w:rPr>
          <w:i/>
          <w:w w:val="105"/>
          <w:sz w:val="19"/>
        </w:rPr>
        <w:t>professional</w:t>
      </w:r>
      <w:r>
        <w:rPr>
          <w:i/>
          <w:spacing w:val="-1"/>
          <w:w w:val="105"/>
          <w:sz w:val="19"/>
        </w:rPr>
        <w:t> </w:t>
      </w:r>
      <w:r>
        <w:rPr>
          <w:i/>
          <w:w w:val="105"/>
          <w:sz w:val="19"/>
        </w:rPr>
        <w:t>judgment</w:t>
      </w:r>
      <w:r>
        <w:rPr>
          <w:i/>
          <w:spacing w:val="-8"/>
          <w:w w:val="105"/>
          <w:sz w:val="19"/>
        </w:rPr>
        <w:t> </w:t>
      </w:r>
      <w:r>
        <w:rPr>
          <w:i/>
          <w:w w:val="105"/>
          <w:sz w:val="19"/>
        </w:rPr>
        <w:t>in architectural design and practice</w:t>
      </w:r>
    </w:p>
    <w:p>
      <w:pPr>
        <w:pStyle w:val="BodyText"/>
        <w:tabs>
          <w:tab w:pos="8288" w:val="left" w:leader="none"/>
        </w:tabs>
        <w:spacing w:line="186" w:lineRule="exact"/>
        <w:ind w:left="7412"/>
      </w:pPr>
      <w:r>
        <w:rPr>
          <w:spacing w:val="-5"/>
        </w:rPr>
        <w:t>Met</w:t>
      </w:r>
      <w:r>
        <w:rPr/>
        <w:tab/>
        <w:t>Not</w:t>
      </w:r>
      <w:r>
        <w:rPr>
          <w:spacing w:val="-4"/>
        </w:rPr>
        <w:t> </w:t>
      </w:r>
      <w:r>
        <w:rPr>
          <w:spacing w:val="-5"/>
        </w:rPr>
        <w:t>Met</w:t>
      </w:r>
    </w:p>
    <w:p>
      <w:pPr>
        <w:tabs>
          <w:tab w:pos="8527" w:val="left" w:leader="none"/>
        </w:tabs>
        <w:spacing w:line="335" w:lineRule="exact" w:before="0"/>
        <w:ind w:left="7486" w:right="0" w:firstLine="0"/>
        <w:jc w:val="left"/>
        <w:rPr>
          <w:rFonts w:ascii="Times New Roman"/>
          <w:sz w:val="31"/>
        </w:rPr>
      </w:pPr>
      <w:r>
        <w:rPr>
          <w:rFonts w:ascii="Times New Roman"/>
          <w:spacing w:val="-5"/>
          <w:w w:val="85"/>
          <w:sz w:val="31"/>
        </w:rPr>
        <w:t>IX]</w:t>
      </w:r>
      <w:r>
        <w:rPr>
          <w:rFonts w:ascii="Times New Roman"/>
          <w:sz w:val="31"/>
        </w:rPr>
        <w:tab/>
      </w:r>
      <w:r>
        <w:rPr>
          <w:rFonts w:ascii="Times New Roman"/>
          <w:w w:val="85"/>
          <w:sz w:val="31"/>
        </w:rPr>
        <w:t>I</w:t>
      </w:r>
      <w:r>
        <w:rPr>
          <w:rFonts w:ascii="Times New Roman"/>
          <w:spacing w:val="24"/>
          <w:sz w:val="31"/>
        </w:rPr>
        <w:t> </w:t>
      </w:r>
      <w:r>
        <w:rPr>
          <w:rFonts w:ascii="Times New Roman"/>
          <w:spacing w:val="-10"/>
          <w:w w:val="85"/>
          <w:sz w:val="31"/>
        </w:rPr>
        <w:t>l</w:t>
      </w:r>
    </w:p>
    <w:p>
      <w:pPr>
        <w:spacing w:after="0" w:line="335" w:lineRule="exact"/>
        <w:jc w:val="left"/>
        <w:rPr>
          <w:rFonts w:ascii="Times New Roman"/>
          <w:sz w:val="31"/>
        </w:rPr>
        <w:sectPr>
          <w:headerReference w:type="default" r:id="rId403"/>
          <w:footerReference w:type="default" r:id="rId404"/>
          <w:pgSz w:w="12180" w:h="15820"/>
          <w:pgMar w:header="560" w:footer="893" w:top="1260" w:bottom="1080" w:left="1120" w:right="1180"/>
        </w:sectPr>
      </w:pPr>
    </w:p>
    <w:p>
      <w:pPr>
        <w:pStyle w:val="BodyText"/>
        <w:spacing w:before="6"/>
        <w:rPr>
          <w:rFonts w:ascii="Times New Roman"/>
          <w:sz w:val="18"/>
        </w:rPr>
      </w:pPr>
    </w:p>
    <w:p>
      <w:pPr>
        <w:tabs>
          <w:tab w:pos="951" w:val="left" w:leader="none"/>
        </w:tabs>
        <w:spacing w:before="95"/>
        <w:ind w:left="220" w:right="0" w:firstLine="0"/>
        <w:jc w:val="left"/>
        <w:rPr>
          <w:sz w:val="19"/>
        </w:rPr>
      </w:pPr>
      <w:r>
        <w:rPr>
          <w:spacing w:val="-4"/>
          <w:w w:val="120"/>
          <w:sz w:val="19"/>
        </w:rPr>
        <w:t>Ill.</w:t>
      </w:r>
      <w:r>
        <w:rPr>
          <w:sz w:val="19"/>
        </w:rPr>
        <w:tab/>
      </w:r>
      <w:r>
        <w:rPr>
          <w:spacing w:val="-2"/>
          <w:w w:val="120"/>
          <w:sz w:val="19"/>
        </w:rPr>
        <w:t>Appendices</w:t>
      </w:r>
    </w:p>
    <w:p>
      <w:pPr>
        <w:pStyle w:val="BodyText"/>
        <w:spacing w:before="2"/>
        <w:rPr>
          <w:sz w:val="21"/>
        </w:rPr>
      </w:pPr>
    </w:p>
    <w:p>
      <w:pPr>
        <w:tabs>
          <w:tab w:pos="1659" w:val="left" w:leader="none"/>
        </w:tabs>
        <w:spacing w:before="0"/>
        <w:ind w:left="229" w:right="0" w:firstLine="0"/>
        <w:jc w:val="left"/>
        <w:rPr>
          <w:sz w:val="19"/>
        </w:rPr>
      </w:pPr>
      <w:r>
        <w:rPr>
          <w:w w:val="115"/>
          <w:sz w:val="19"/>
        </w:rPr>
        <w:t>Appendix</w:t>
      </w:r>
      <w:r>
        <w:rPr>
          <w:spacing w:val="-8"/>
          <w:w w:val="115"/>
          <w:sz w:val="19"/>
        </w:rPr>
        <w:t> </w:t>
      </w:r>
      <w:r>
        <w:rPr>
          <w:spacing w:val="-5"/>
          <w:w w:val="110"/>
          <w:sz w:val="19"/>
        </w:rPr>
        <w:t>A:</w:t>
      </w:r>
      <w:r>
        <w:rPr>
          <w:sz w:val="19"/>
        </w:rPr>
        <w:tab/>
      </w:r>
      <w:r>
        <w:rPr>
          <w:w w:val="110"/>
          <w:sz w:val="19"/>
        </w:rPr>
        <w:t>Program</w:t>
      </w:r>
      <w:r>
        <w:rPr>
          <w:spacing w:val="3"/>
          <w:w w:val="115"/>
          <w:sz w:val="19"/>
        </w:rPr>
        <w:t> </w:t>
      </w:r>
      <w:r>
        <w:rPr>
          <w:spacing w:val="-2"/>
          <w:w w:val="115"/>
          <w:sz w:val="19"/>
        </w:rPr>
        <w:t>lnfonnatlon</w:t>
      </w:r>
    </w:p>
    <w:p>
      <w:pPr>
        <w:pStyle w:val="BodyText"/>
        <w:spacing w:before="4"/>
      </w:pPr>
    </w:p>
    <w:p>
      <w:pPr>
        <w:pStyle w:val="ListParagraph"/>
        <w:numPr>
          <w:ilvl w:val="0"/>
          <w:numId w:val="79"/>
        </w:numPr>
        <w:tabs>
          <w:tab w:pos="1658" w:val="left" w:leader="none"/>
          <w:tab w:pos="1659" w:val="left" w:leader="none"/>
        </w:tabs>
        <w:spacing w:line="240" w:lineRule="auto" w:before="0" w:after="0"/>
        <w:ind w:left="1658" w:right="0" w:hanging="719"/>
        <w:jc w:val="left"/>
        <w:rPr>
          <w:sz w:val="19"/>
        </w:rPr>
      </w:pPr>
      <w:r>
        <w:rPr>
          <w:w w:val="115"/>
          <w:sz w:val="19"/>
        </w:rPr>
        <w:t>History</w:t>
      </w:r>
      <w:r>
        <w:rPr>
          <w:spacing w:val="-15"/>
          <w:w w:val="115"/>
          <w:sz w:val="19"/>
        </w:rPr>
        <w:t> </w:t>
      </w:r>
      <w:r>
        <w:rPr>
          <w:w w:val="115"/>
          <w:sz w:val="19"/>
        </w:rPr>
        <w:t>and</w:t>
      </w:r>
      <w:r>
        <w:rPr>
          <w:spacing w:val="-15"/>
          <w:w w:val="115"/>
          <w:sz w:val="19"/>
        </w:rPr>
        <w:t> </w:t>
      </w:r>
      <w:r>
        <w:rPr>
          <w:w w:val="115"/>
          <w:sz w:val="19"/>
        </w:rPr>
        <w:t>Description</w:t>
      </w:r>
      <w:r>
        <w:rPr>
          <w:spacing w:val="-15"/>
          <w:w w:val="115"/>
          <w:sz w:val="19"/>
        </w:rPr>
        <w:t> </w:t>
      </w:r>
      <w:r>
        <w:rPr>
          <w:w w:val="115"/>
          <w:sz w:val="19"/>
        </w:rPr>
        <w:t>of</w:t>
      </w:r>
      <w:r>
        <w:rPr>
          <w:spacing w:val="1"/>
          <w:w w:val="115"/>
          <w:sz w:val="19"/>
        </w:rPr>
        <w:t> </w:t>
      </w:r>
      <w:r>
        <w:rPr>
          <w:w w:val="115"/>
          <w:sz w:val="19"/>
        </w:rPr>
        <w:t>the</w:t>
      </w:r>
      <w:r>
        <w:rPr>
          <w:spacing w:val="-17"/>
          <w:w w:val="115"/>
          <w:sz w:val="19"/>
        </w:rPr>
        <w:t> </w:t>
      </w:r>
      <w:r>
        <w:rPr>
          <w:spacing w:val="-2"/>
          <w:w w:val="115"/>
          <w:sz w:val="19"/>
        </w:rPr>
        <w:t>Institution</w:t>
      </w:r>
    </w:p>
    <w:p>
      <w:pPr>
        <w:pStyle w:val="BodyText"/>
        <w:spacing w:before="6"/>
        <w:rPr>
          <w:sz w:val="19"/>
        </w:rPr>
      </w:pPr>
    </w:p>
    <w:p>
      <w:pPr>
        <w:spacing w:line="256" w:lineRule="auto" w:before="0"/>
        <w:ind w:left="1659" w:right="424" w:hanging="2"/>
        <w:jc w:val="left"/>
        <w:rPr>
          <w:sz w:val="19"/>
        </w:rPr>
      </w:pPr>
      <w:r>
        <w:rPr>
          <w:i/>
          <w:spacing w:val="-2"/>
          <w:sz w:val="21"/>
        </w:rPr>
        <w:t>The</w:t>
      </w:r>
      <w:r>
        <w:rPr>
          <w:i/>
          <w:spacing w:val="-11"/>
          <w:sz w:val="21"/>
        </w:rPr>
        <w:t> </w:t>
      </w:r>
      <w:r>
        <w:rPr>
          <w:i/>
          <w:spacing w:val="-2"/>
          <w:sz w:val="21"/>
        </w:rPr>
        <w:t>following</w:t>
      </w:r>
      <w:r>
        <w:rPr>
          <w:i/>
          <w:spacing w:val="-6"/>
          <w:sz w:val="21"/>
        </w:rPr>
        <w:t> </w:t>
      </w:r>
      <w:r>
        <w:rPr>
          <w:i/>
          <w:spacing w:val="-2"/>
          <w:sz w:val="21"/>
        </w:rPr>
        <w:t>text</w:t>
      </w:r>
      <w:r>
        <w:rPr>
          <w:i/>
          <w:spacing w:val="-12"/>
          <w:sz w:val="21"/>
        </w:rPr>
        <w:t> </w:t>
      </w:r>
      <w:r>
        <w:rPr>
          <w:i/>
          <w:spacing w:val="-2"/>
          <w:sz w:val="21"/>
        </w:rPr>
        <w:t>is</w:t>
      </w:r>
      <w:r>
        <w:rPr>
          <w:i/>
          <w:spacing w:val="-11"/>
          <w:sz w:val="21"/>
        </w:rPr>
        <w:t> </w:t>
      </w:r>
      <w:r>
        <w:rPr>
          <w:i/>
          <w:spacing w:val="-2"/>
          <w:sz w:val="21"/>
        </w:rPr>
        <w:t>taken</w:t>
      </w:r>
      <w:r>
        <w:rPr>
          <w:i/>
          <w:spacing w:val="-9"/>
          <w:sz w:val="21"/>
        </w:rPr>
        <w:t> </w:t>
      </w:r>
      <w:r>
        <w:rPr>
          <w:i/>
          <w:spacing w:val="-2"/>
          <w:sz w:val="21"/>
        </w:rPr>
        <w:t>from</w:t>
      </w:r>
      <w:r>
        <w:rPr>
          <w:i/>
          <w:spacing w:val="-10"/>
          <w:sz w:val="21"/>
        </w:rPr>
        <w:t> </w:t>
      </w:r>
      <w:r>
        <w:rPr>
          <w:i/>
          <w:spacing w:val="-2"/>
          <w:sz w:val="21"/>
        </w:rPr>
        <w:t>the</w:t>
      </w:r>
      <w:r>
        <w:rPr>
          <w:i/>
          <w:spacing w:val="-22"/>
          <w:sz w:val="21"/>
        </w:rPr>
        <w:t> </w:t>
      </w:r>
      <w:r>
        <w:rPr>
          <w:i/>
          <w:spacing w:val="-2"/>
          <w:sz w:val="21"/>
        </w:rPr>
        <w:t>2009</w:t>
      </w:r>
      <w:r>
        <w:rPr>
          <w:i/>
          <w:spacing w:val="-11"/>
          <w:sz w:val="21"/>
        </w:rPr>
        <w:t> </w:t>
      </w:r>
      <w:r>
        <w:rPr>
          <w:i/>
          <w:spacing w:val="-2"/>
          <w:sz w:val="21"/>
        </w:rPr>
        <w:t>Hampton University</w:t>
      </w:r>
      <w:r>
        <w:rPr>
          <w:i/>
          <w:spacing w:val="-5"/>
          <w:sz w:val="21"/>
        </w:rPr>
        <w:t> </w:t>
      </w:r>
      <w:r>
        <w:rPr>
          <w:spacing w:val="-2"/>
          <w:sz w:val="19"/>
        </w:rPr>
        <w:t>Architecture Program Report</w:t>
      </w:r>
    </w:p>
    <w:p>
      <w:pPr>
        <w:pStyle w:val="BodyText"/>
        <w:spacing w:before="2"/>
        <w:rPr>
          <w:sz w:val="19"/>
        </w:rPr>
      </w:pPr>
    </w:p>
    <w:p>
      <w:pPr>
        <w:spacing w:line="254" w:lineRule="auto" w:before="0"/>
        <w:ind w:left="1653" w:right="373" w:hanging="3"/>
        <w:jc w:val="left"/>
        <w:rPr>
          <w:sz w:val="19"/>
        </w:rPr>
      </w:pPr>
      <w:r>
        <w:rPr>
          <w:w w:val="105"/>
          <w:sz w:val="19"/>
        </w:rPr>
        <w:t>The University is organized into</w:t>
      </w:r>
      <w:r>
        <w:rPr>
          <w:spacing w:val="-2"/>
          <w:w w:val="105"/>
          <w:sz w:val="19"/>
        </w:rPr>
        <w:t> </w:t>
      </w:r>
      <w:r>
        <w:rPr>
          <w:w w:val="105"/>
          <w:sz w:val="19"/>
        </w:rPr>
        <w:t>four colleges: Hampton Institute, which</w:t>
      </w:r>
      <w:r>
        <w:rPr>
          <w:spacing w:val="-6"/>
          <w:w w:val="105"/>
          <w:sz w:val="19"/>
        </w:rPr>
        <w:t> </w:t>
      </w:r>
      <w:r>
        <w:rPr>
          <w:w w:val="105"/>
          <w:sz w:val="19"/>
        </w:rPr>
        <w:t>is the Undergraduate College; the Graduate College; the</w:t>
      </w:r>
      <w:r>
        <w:rPr>
          <w:spacing w:val="-6"/>
          <w:w w:val="105"/>
          <w:sz w:val="19"/>
        </w:rPr>
        <w:t> </w:t>
      </w:r>
      <w:r>
        <w:rPr>
          <w:w w:val="105"/>
          <w:sz w:val="19"/>
        </w:rPr>
        <w:t>College of Education and</w:t>
      </w:r>
      <w:r>
        <w:rPr>
          <w:spacing w:val="-13"/>
          <w:w w:val="105"/>
          <w:sz w:val="19"/>
        </w:rPr>
        <w:t> </w:t>
      </w:r>
      <w:r>
        <w:rPr>
          <w:w w:val="105"/>
          <w:sz w:val="19"/>
        </w:rPr>
        <w:t>Continuing Studies; and the College of Virginia Beach. The Undergraduate College has seven schools: Business,</w:t>
      </w:r>
      <w:r>
        <w:rPr>
          <w:spacing w:val="-3"/>
          <w:w w:val="105"/>
          <w:sz w:val="19"/>
        </w:rPr>
        <w:t> </w:t>
      </w:r>
      <w:r>
        <w:rPr>
          <w:w w:val="105"/>
          <w:sz w:val="19"/>
        </w:rPr>
        <w:t>Engineering &amp; Technology, Journalism and</w:t>
      </w:r>
      <w:r>
        <w:rPr>
          <w:spacing w:val="-3"/>
          <w:w w:val="105"/>
          <w:sz w:val="19"/>
        </w:rPr>
        <w:t> </w:t>
      </w:r>
      <w:r>
        <w:rPr>
          <w:w w:val="105"/>
          <w:sz w:val="19"/>
        </w:rPr>
        <w:t>Communications,</w:t>
      </w:r>
      <w:r>
        <w:rPr>
          <w:spacing w:val="-13"/>
          <w:w w:val="105"/>
          <w:sz w:val="19"/>
        </w:rPr>
        <w:t> </w:t>
      </w:r>
      <w:r>
        <w:rPr>
          <w:w w:val="105"/>
          <w:sz w:val="19"/>
        </w:rPr>
        <w:t>Liberal Arts,</w:t>
      </w:r>
      <w:r>
        <w:rPr>
          <w:spacing w:val="-8"/>
          <w:w w:val="105"/>
          <w:sz w:val="19"/>
        </w:rPr>
        <w:t> </w:t>
      </w:r>
      <w:r>
        <w:rPr>
          <w:w w:val="105"/>
          <w:sz w:val="19"/>
        </w:rPr>
        <w:t>Nursing,</w:t>
      </w:r>
      <w:r>
        <w:rPr>
          <w:spacing w:val="-2"/>
          <w:w w:val="105"/>
          <w:sz w:val="19"/>
        </w:rPr>
        <w:t> </w:t>
      </w:r>
      <w:r>
        <w:rPr>
          <w:w w:val="105"/>
          <w:sz w:val="19"/>
        </w:rPr>
        <w:t>Pharmacy and Science. Within the</w:t>
      </w:r>
      <w:r>
        <w:rPr>
          <w:spacing w:val="-11"/>
          <w:w w:val="105"/>
          <w:sz w:val="19"/>
        </w:rPr>
        <w:t> </w:t>
      </w:r>
      <w:r>
        <w:rPr>
          <w:w w:val="105"/>
          <w:sz w:val="19"/>
        </w:rPr>
        <w:t>Undergraduate College</w:t>
      </w:r>
      <w:r>
        <w:rPr>
          <w:spacing w:val="-3"/>
          <w:w w:val="105"/>
          <w:sz w:val="19"/>
        </w:rPr>
        <w:t> </w:t>
      </w:r>
      <w:r>
        <w:rPr>
          <w:w w:val="105"/>
          <w:sz w:val="19"/>
        </w:rPr>
        <w:t>and</w:t>
      </w:r>
      <w:r>
        <w:rPr>
          <w:spacing w:val="-11"/>
          <w:w w:val="105"/>
          <w:sz w:val="19"/>
        </w:rPr>
        <w:t> </w:t>
      </w:r>
      <w:r>
        <w:rPr>
          <w:w w:val="105"/>
          <w:sz w:val="19"/>
        </w:rPr>
        <w:t>College of Education</w:t>
      </w:r>
      <w:r>
        <w:rPr>
          <w:spacing w:val="-2"/>
          <w:w w:val="105"/>
          <w:sz w:val="19"/>
        </w:rPr>
        <w:t> </w:t>
      </w:r>
      <w:r>
        <w:rPr>
          <w:w w:val="105"/>
          <w:sz w:val="19"/>
        </w:rPr>
        <w:t>and</w:t>
      </w:r>
      <w:r>
        <w:rPr>
          <w:spacing w:val="-16"/>
          <w:w w:val="105"/>
          <w:sz w:val="19"/>
        </w:rPr>
        <w:t> </w:t>
      </w:r>
      <w:r>
        <w:rPr>
          <w:w w:val="105"/>
          <w:sz w:val="19"/>
        </w:rPr>
        <w:t>Continuing Studies, the</w:t>
      </w:r>
      <w:r>
        <w:rPr>
          <w:spacing w:val="-13"/>
          <w:w w:val="105"/>
          <w:sz w:val="19"/>
        </w:rPr>
        <w:t> </w:t>
      </w:r>
      <w:r>
        <w:rPr>
          <w:w w:val="105"/>
          <w:sz w:val="19"/>
        </w:rPr>
        <w:t>bachelor's</w:t>
      </w:r>
      <w:r>
        <w:rPr>
          <w:spacing w:val="20"/>
          <w:w w:val="105"/>
          <w:sz w:val="19"/>
        </w:rPr>
        <w:t> </w:t>
      </w:r>
      <w:r>
        <w:rPr>
          <w:w w:val="105"/>
          <w:sz w:val="19"/>
        </w:rPr>
        <w:t>degree</w:t>
      </w:r>
      <w:r>
        <w:rPr>
          <w:spacing w:val="-6"/>
          <w:w w:val="105"/>
          <w:sz w:val="19"/>
        </w:rPr>
        <w:t> </w:t>
      </w:r>
      <w:r>
        <w:rPr>
          <w:w w:val="105"/>
          <w:sz w:val="19"/>
        </w:rPr>
        <w:t>(Bachelor of</w:t>
      </w:r>
      <w:r>
        <w:rPr>
          <w:spacing w:val="-1"/>
          <w:w w:val="105"/>
          <w:sz w:val="19"/>
        </w:rPr>
        <w:t> </w:t>
      </w:r>
      <w:r>
        <w:rPr>
          <w:w w:val="105"/>
          <w:sz w:val="19"/>
        </w:rPr>
        <w:t>Arts</w:t>
      </w:r>
      <w:r>
        <w:rPr>
          <w:spacing w:val="-3"/>
          <w:w w:val="105"/>
          <w:sz w:val="19"/>
        </w:rPr>
        <w:t> </w:t>
      </w:r>
      <w:r>
        <w:rPr>
          <w:w w:val="105"/>
          <w:sz w:val="19"/>
        </w:rPr>
        <w:t>and</w:t>
      </w:r>
      <w:r>
        <w:rPr>
          <w:spacing w:val="-11"/>
          <w:w w:val="105"/>
          <w:sz w:val="19"/>
        </w:rPr>
        <w:t> </w:t>
      </w:r>
      <w:r>
        <w:rPr>
          <w:w w:val="105"/>
          <w:sz w:val="19"/>
        </w:rPr>
        <w:t>Bachelor of Science) is offered</w:t>
      </w:r>
      <w:r>
        <w:rPr>
          <w:spacing w:val="-3"/>
          <w:w w:val="105"/>
          <w:sz w:val="19"/>
        </w:rPr>
        <w:t> </w:t>
      </w:r>
      <w:r>
        <w:rPr>
          <w:w w:val="105"/>
          <w:sz w:val="19"/>
        </w:rPr>
        <w:t>in 52</w:t>
      </w:r>
      <w:r>
        <w:rPr>
          <w:spacing w:val="-1"/>
          <w:w w:val="105"/>
          <w:sz w:val="19"/>
        </w:rPr>
        <w:t> </w:t>
      </w:r>
      <w:r>
        <w:rPr>
          <w:w w:val="105"/>
          <w:sz w:val="19"/>
        </w:rPr>
        <w:t>areas. The Graduate College offers the</w:t>
      </w:r>
      <w:r>
        <w:rPr>
          <w:spacing w:val="-4"/>
          <w:w w:val="105"/>
          <w:sz w:val="19"/>
        </w:rPr>
        <w:t> </w:t>
      </w:r>
      <w:r>
        <w:rPr>
          <w:w w:val="105"/>
          <w:sz w:val="19"/>
        </w:rPr>
        <w:t>master's degree (Master of Arts,</w:t>
      </w:r>
      <w:r>
        <w:rPr>
          <w:spacing w:val="-3"/>
          <w:w w:val="105"/>
          <w:sz w:val="19"/>
        </w:rPr>
        <w:t> </w:t>
      </w:r>
      <w:r>
        <w:rPr>
          <w:w w:val="105"/>
          <w:sz w:val="19"/>
        </w:rPr>
        <w:t>Master of Science, Master of Business Administration</w:t>
      </w:r>
      <w:r>
        <w:rPr>
          <w:spacing w:val="-14"/>
          <w:w w:val="105"/>
          <w:sz w:val="19"/>
        </w:rPr>
        <w:t> </w:t>
      </w:r>
      <w:r>
        <w:rPr>
          <w:w w:val="105"/>
          <w:sz w:val="19"/>
        </w:rPr>
        <w:t>and Masters in Teaching) in 17 areas among which</w:t>
      </w:r>
      <w:r>
        <w:rPr>
          <w:spacing w:val="-1"/>
          <w:w w:val="105"/>
          <w:sz w:val="19"/>
        </w:rPr>
        <w:t> </w:t>
      </w:r>
      <w:r>
        <w:rPr>
          <w:w w:val="105"/>
          <w:sz w:val="19"/>
        </w:rPr>
        <w:t>are biology, chemistry, applied mathematics, planetary sciences, communicative sciences and disorders, nursing, architecture, atmospheric sciences, counseling, computer science, business administration, physics, elementary education, special education, teaching and</w:t>
      </w:r>
      <w:r>
        <w:rPr>
          <w:spacing w:val="-2"/>
          <w:w w:val="105"/>
          <w:sz w:val="19"/>
        </w:rPr>
        <w:t> </w:t>
      </w:r>
      <w:r>
        <w:rPr>
          <w:w w:val="105"/>
          <w:sz w:val="19"/>
        </w:rPr>
        <w:t>medical science. In addition, the Graduate College offers the</w:t>
      </w:r>
      <w:r>
        <w:rPr>
          <w:spacing w:val="-10"/>
          <w:w w:val="105"/>
          <w:sz w:val="19"/>
        </w:rPr>
        <w:t> </w:t>
      </w:r>
      <w:r>
        <w:rPr>
          <w:w w:val="105"/>
          <w:sz w:val="19"/>
        </w:rPr>
        <w:t>doctoral degree (Ph.D.) in atmospheric sciences, nursing, physics, and</w:t>
      </w:r>
      <w:r>
        <w:rPr>
          <w:spacing w:val="-6"/>
          <w:w w:val="105"/>
          <w:sz w:val="19"/>
        </w:rPr>
        <w:t> </w:t>
      </w:r>
      <w:r>
        <w:rPr>
          <w:w w:val="105"/>
          <w:sz w:val="19"/>
        </w:rPr>
        <w:t>planetary sciences and the</w:t>
      </w:r>
      <w:r>
        <w:rPr>
          <w:spacing w:val="-2"/>
          <w:w w:val="105"/>
          <w:sz w:val="19"/>
        </w:rPr>
        <w:t> </w:t>
      </w:r>
      <w:r>
        <w:rPr>
          <w:w w:val="105"/>
          <w:sz w:val="19"/>
        </w:rPr>
        <w:t>Pharm.D degree</w:t>
      </w:r>
      <w:r>
        <w:rPr>
          <w:spacing w:val="-4"/>
          <w:w w:val="105"/>
          <w:sz w:val="19"/>
        </w:rPr>
        <w:t> </w:t>
      </w:r>
      <w:r>
        <w:rPr>
          <w:w w:val="105"/>
          <w:sz w:val="19"/>
        </w:rPr>
        <w:t>in Pharmacy. The</w:t>
      </w:r>
      <w:r>
        <w:rPr>
          <w:spacing w:val="-13"/>
          <w:w w:val="105"/>
          <w:sz w:val="19"/>
        </w:rPr>
        <w:t> </w:t>
      </w:r>
      <w:r>
        <w:rPr>
          <w:w w:val="105"/>
          <w:sz w:val="19"/>
        </w:rPr>
        <w:t>University's newest college</w:t>
      </w:r>
      <w:r>
        <w:rPr>
          <w:spacing w:val="-5"/>
          <w:w w:val="105"/>
          <w:sz w:val="19"/>
        </w:rPr>
        <w:t> </w:t>
      </w:r>
      <w:r>
        <w:rPr>
          <w:w w:val="105"/>
          <w:sz w:val="19"/>
        </w:rPr>
        <w:t>is located</w:t>
      </w:r>
      <w:r>
        <w:rPr>
          <w:spacing w:val="-8"/>
          <w:w w:val="105"/>
          <w:sz w:val="19"/>
        </w:rPr>
        <w:t> </w:t>
      </w:r>
      <w:r>
        <w:rPr>
          <w:w w:val="105"/>
          <w:sz w:val="19"/>
        </w:rPr>
        <w:t>at</w:t>
      </w:r>
      <w:r>
        <w:rPr>
          <w:spacing w:val="-2"/>
          <w:w w:val="105"/>
          <w:sz w:val="19"/>
        </w:rPr>
        <w:t> </w:t>
      </w:r>
      <w:r>
        <w:rPr>
          <w:w w:val="105"/>
          <w:sz w:val="19"/>
        </w:rPr>
        <w:t>a satellite</w:t>
      </w:r>
      <w:r>
        <w:rPr>
          <w:spacing w:val="-14"/>
          <w:w w:val="105"/>
          <w:sz w:val="19"/>
        </w:rPr>
        <w:t> </w:t>
      </w:r>
      <w:r>
        <w:rPr>
          <w:w w:val="105"/>
          <w:sz w:val="19"/>
        </w:rPr>
        <w:t>campus</w:t>
      </w:r>
      <w:r>
        <w:rPr>
          <w:spacing w:val="-4"/>
          <w:w w:val="105"/>
          <w:sz w:val="19"/>
        </w:rPr>
        <w:t> </w:t>
      </w:r>
      <w:r>
        <w:rPr>
          <w:w w:val="105"/>
          <w:sz w:val="19"/>
        </w:rPr>
        <w:t>in</w:t>
      </w:r>
      <w:r>
        <w:rPr>
          <w:spacing w:val="-2"/>
          <w:w w:val="105"/>
          <w:sz w:val="19"/>
        </w:rPr>
        <w:t> </w:t>
      </w:r>
      <w:r>
        <w:rPr>
          <w:w w:val="105"/>
          <w:sz w:val="19"/>
        </w:rPr>
        <w:t>the</w:t>
      </w:r>
      <w:r>
        <w:rPr>
          <w:spacing w:val="-10"/>
          <w:w w:val="105"/>
          <w:sz w:val="19"/>
        </w:rPr>
        <w:t> </w:t>
      </w:r>
      <w:r>
        <w:rPr>
          <w:w w:val="105"/>
          <w:sz w:val="19"/>
        </w:rPr>
        <w:t>City of</w:t>
      </w:r>
      <w:r>
        <w:rPr>
          <w:spacing w:val="-3"/>
          <w:w w:val="105"/>
          <w:sz w:val="19"/>
        </w:rPr>
        <w:t> </w:t>
      </w:r>
      <w:r>
        <w:rPr>
          <w:w w:val="105"/>
          <w:sz w:val="19"/>
        </w:rPr>
        <w:t>Virginia</w:t>
      </w:r>
      <w:r>
        <w:rPr>
          <w:spacing w:val="-10"/>
          <w:w w:val="105"/>
          <w:sz w:val="19"/>
        </w:rPr>
        <w:t> </w:t>
      </w:r>
      <w:r>
        <w:rPr>
          <w:w w:val="105"/>
          <w:sz w:val="19"/>
        </w:rPr>
        <w:t>Beach, Virginia. The College of Virginia Beach offers programs in nursing, hotel/resort management, and</w:t>
      </w:r>
      <w:r>
        <w:rPr>
          <w:spacing w:val="-5"/>
          <w:w w:val="105"/>
          <w:sz w:val="19"/>
        </w:rPr>
        <w:t> </w:t>
      </w:r>
      <w:r>
        <w:rPr>
          <w:w w:val="105"/>
          <w:sz w:val="19"/>
        </w:rPr>
        <w:t>an Educational Leadership Program.</w:t>
      </w:r>
    </w:p>
    <w:p>
      <w:pPr>
        <w:pStyle w:val="BodyText"/>
        <w:spacing w:before="4"/>
      </w:pPr>
    </w:p>
    <w:p>
      <w:pPr>
        <w:spacing w:line="237" w:lineRule="auto" w:before="0"/>
        <w:ind w:left="1657" w:right="311" w:hanging="9"/>
        <w:jc w:val="left"/>
        <w:rPr>
          <w:sz w:val="19"/>
        </w:rPr>
      </w:pPr>
      <w:r>
        <w:rPr>
          <w:w w:val="105"/>
          <w:sz w:val="19"/>
        </w:rPr>
        <w:t>Hampton University's libraries include</w:t>
      </w:r>
      <w:r>
        <w:rPr>
          <w:spacing w:val="-8"/>
          <w:w w:val="105"/>
          <w:sz w:val="19"/>
        </w:rPr>
        <w:t> </w:t>
      </w:r>
      <w:r>
        <w:rPr>
          <w:w w:val="105"/>
          <w:sz w:val="19"/>
        </w:rPr>
        <w:t>the</w:t>
      </w:r>
      <w:r>
        <w:rPr>
          <w:spacing w:val="-14"/>
          <w:w w:val="105"/>
          <w:sz w:val="19"/>
        </w:rPr>
        <w:t> </w:t>
      </w:r>
      <w:r>
        <w:rPr>
          <w:w w:val="105"/>
          <w:sz w:val="19"/>
        </w:rPr>
        <w:t>William</w:t>
      </w:r>
      <w:r>
        <w:rPr>
          <w:spacing w:val="-3"/>
          <w:w w:val="105"/>
          <w:sz w:val="19"/>
        </w:rPr>
        <w:t> </w:t>
      </w:r>
      <w:r>
        <w:rPr>
          <w:w w:val="105"/>
          <w:sz w:val="19"/>
        </w:rPr>
        <w:t>R.</w:t>
      </w:r>
      <w:r>
        <w:rPr>
          <w:spacing w:val="-3"/>
          <w:w w:val="105"/>
          <w:sz w:val="19"/>
        </w:rPr>
        <w:t> </w:t>
      </w:r>
      <w:r>
        <w:rPr>
          <w:w w:val="105"/>
          <w:sz w:val="19"/>
        </w:rPr>
        <w:t>and</w:t>
      </w:r>
      <w:r>
        <w:rPr>
          <w:spacing w:val="-14"/>
          <w:w w:val="105"/>
          <w:sz w:val="19"/>
        </w:rPr>
        <w:t> </w:t>
      </w:r>
      <w:r>
        <w:rPr>
          <w:w w:val="105"/>
          <w:sz w:val="19"/>
        </w:rPr>
        <w:t>Norma</w:t>
      </w:r>
      <w:r>
        <w:rPr>
          <w:spacing w:val="-1"/>
          <w:w w:val="105"/>
          <w:sz w:val="19"/>
        </w:rPr>
        <w:t> </w:t>
      </w:r>
      <w:r>
        <w:rPr>
          <w:w w:val="105"/>
          <w:sz w:val="19"/>
        </w:rPr>
        <w:t>B.</w:t>
      </w:r>
      <w:r>
        <w:rPr>
          <w:spacing w:val="-12"/>
          <w:w w:val="105"/>
          <w:sz w:val="19"/>
        </w:rPr>
        <w:t> </w:t>
      </w:r>
      <w:r>
        <w:rPr>
          <w:w w:val="105"/>
          <w:sz w:val="19"/>
        </w:rPr>
        <w:t>Harvey</w:t>
      </w:r>
      <w:r>
        <w:rPr>
          <w:spacing w:val="-6"/>
          <w:w w:val="105"/>
          <w:sz w:val="19"/>
        </w:rPr>
        <w:t> </w:t>
      </w:r>
      <w:r>
        <w:rPr>
          <w:w w:val="105"/>
          <w:sz w:val="19"/>
        </w:rPr>
        <w:t>Library (main) and satellite libraries in the School</w:t>
      </w:r>
      <w:r>
        <w:rPr>
          <w:spacing w:val="-3"/>
          <w:w w:val="105"/>
          <w:sz w:val="19"/>
        </w:rPr>
        <w:t> </w:t>
      </w:r>
      <w:r>
        <w:rPr>
          <w:w w:val="105"/>
          <w:sz w:val="19"/>
        </w:rPr>
        <w:t>of Nursing, the</w:t>
      </w:r>
      <w:r>
        <w:rPr>
          <w:spacing w:val="-11"/>
          <w:w w:val="105"/>
          <w:sz w:val="19"/>
        </w:rPr>
        <w:t> </w:t>
      </w:r>
      <w:r>
        <w:rPr>
          <w:w w:val="105"/>
          <w:sz w:val="19"/>
        </w:rPr>
        <w:t>Department of Architecture, the Department of Music, and</w:t>
      </w:r>
      <w:r>
        <w:rPr>
          <w:spacing w:val="-3"/>
          <w:w w:val="105"/>
          <w:sz w:val="19"/>
        </w:rPr>
        <w:t> </w:t>
      </w:r>
      <w:r>
        <w:rPr>
          <w:w w:val="105"/>
          <w:sz w:val="19"/>
        </w:rPr>
        <w:t>the</w:t>
      </w:r>
      <w:r>
        <w:rPr>
          <w:spacing w:val="-3"/>
          <w:w w:val="105"/>
          <w:sz w:val="19"/>
        </w:rPr>
        <w:t> </w:t>
      </w:r>
      <w:r>
        <w:rPr>
          <w:w w:val="105"/>
          <w:sz w:val="19"/>
        </w:rPr>
        <w:t>College of Virginia Beach. The</w:t>
      </w:r>
      <w:r>
        <w:rPr>
          <w:spacing w:val="-17"/>
          <w:w w:val="105"/>
          <w:sz w:val="19"/>
        </w:rPr>
        <w:t> </w:t>
      </w:r>
      <w:r>
        <w:rPr>
          <w:w w:val="105"/>
          <w:sz w:val="19"/>
        </w:rPr>
        <w:t>William </w:t>
      </w:r>
      <w:r>
        <w:rPr>
          <w:w w:val="105"/>
          <w:sz w:val="21"/>
        </w:rPr>
        <w:t>R.</w:t>
      </w:r>
      <w:r>
        <w:rPr>
          <w:spacing w:val="-9"/>
          <w:w w:val="105"/>
          <w:sz w:val="21"/>
        </w:rPr>
        <w:t> </w:t>
      </w:r>
      <w:r>
        <w:rPr>
          <w:w w:val="105"/>
          <w:sz w:val="19"/>
        </w:rPr>
        <w:t>and</w:t>
      </w:r>
      <w:r>
        <w:rPr>
          <w:spacing w:val="-5"/>
          <w:w w:val="105"/>
          <w:sz w:val="19"/>
        </w:rPr>
        <w:t> </w:t>
      </w:r>
      <w:r>
        <w:rPr>
          <w:w w:val="105"/>
          <w:sz w:val="19"/>
        </w:rPr>
        <w:t>Norma 8.</w:t>
      </w:r>
    </w:p>
    <w:p>
      <w:pPr>
        <w:spacing w:line="254" w:lineRule="auto" w:before="10"/>
        <w:ind w:left="1652" w:right="331" w:firstLine="6"/>
        <w:jc w:val="left"/>
        <w:rPr>
          <w:sz w:val="19"/>
        </w:rPr>
      </w:pPr>
      <w:r>
        <w:rPr>
          <w:w w:val="105"/>
          <w:sz w:val="19"/>
        </w:rPr>
        <w:t>Harvey Library was dedicated and</w:t>
      </w:r>
      <w:r>
        <w:rPr>
          <w:spacing w:val="-6"/>
          <w:w w:val="105"/>
          <w:sz w:val="19"/>
        </w:rPr>
        <w:t> </w:t>
      </w:r>
      <w:r>
        <w:rPr>
          <w:w w:val="105"/>
          <w:sz w:val="19"/>
        </w:rPr>
        <w:t>opened officially on January 26, 1992. The</w:t>
      </w:r>
      <w:r>
        <w:rPr>
          <w:spacing w:val="-5"/>
          <w:w w:val="105"/>
          <w:sz w:val="19"/>
        </w:rPr>
        <w:t> </w:t>
      </w:r>
      <w:r>
        <w:rPr>
          <w:w w:val="105"/>
          <w:sz w:val="19"/>
        </w:rPr>
        <w:t>facility's collection includes over 450,000 books and bound periodicals, and more than</w:t>
      </w:r>
      <w:r>
        <w:rPr>
          <w:spacing w:val="-7"/>
          <w:w w:val="105"/>
          <w:sz w:val="19"/>
        </w:rPr>
        <w:t> </w:t>
      </w:r>
      <w:r>
        <w:rPr>
          <w:w w:val="105"/>
          <w:sz w:val="19"/>
        </w:rPr>
        <w:t>725,000 microfilms. The library regularly receives 1,000 current periodicals and</w:t>
      </w:r>
      <w:r>
        <w:rPr>
          <w:spacing w:val="-3"/>
          <w:w w:val="105"/>
          <w:sz w:val="19"/>
        </w:rPr>
        <w:t> </w:t>
      </w:r>
      <w:r>
        <w:rPr>
          <w:w w:val="105"/>
          <w:sz w:val="19"/>
        </w:rPr>
        <w:t>subscribes to 29 newspapers.</w:t>
      </w:r>
      <w:r>
        <w:rPr>
          <w:spacing w:val="34"/>
          <w:w w:val="105"/>
          <w:sz w:val="19"/>
        </w:rPr>
        <w:t> </w:t>
      </w:r>
      <w:r>
        <w:rPr>
          <w:w w:val="105"/>
          <w:sz w:val="19"/>
        </w:rPr>
        <w:t>The</w:t>
      </w:r>
      <w:r>
        <w:rPr>
          <w:spacing w:val="-2"/>
          <w:w w:val="105"/>
          <w:sz w:val="19"/>
        </w:rPr>
        <w:t> </w:t>
      </w:r>
      <w:r>
        <w:rPr>
          <w:w w:val="105"/>
          <w:sz w:val="19"/>
        </w:rPr>
        <w:t>library has access to 12,000 journals, magazines and newspapers through</w:t>
      </w:r>
      <w:r>
        <w:rPr>
          <w:spacing w:val="-2"/>
          <w:w w:val="105"/>
          <w:sz w:val="19"/>
        </w:rPr>
        <w:t> </w:t>
      </w:r>
      <w:r>
        <w:rPr>
          <w:w w:val="105"/>
          <w:sz w:val="19"/>
        </w:rPr>
        <w:t>its electronic database</w:t>
      </w:r>
      <w:r>
        <w:rPr>
          <w:spacing w:val="-2"/>
          <w:w w:val="105"/>
          <w:sz w:val="19"/>
        </w:rPr>
        <w:t> </w:t>
      </w:r>
      <w:r>
        <w:rPr>
          <w:w w:val="105"/>
          <w:sz w:val="19"/>
        </w:rPr>
        <w:t>collections, which is also able</w:t>
      </w:r>
      <w:r>
        <w:rPr>
          <w:spacing w:val="-4"/>
          <w:w w:val="105"/>
          <w:sz w:val="19"/>
        </w:rPr>
        <w:t> </w:t>
      </w:r>
      <w:r>
        <w:rPr>
          <w:w w:val="105"/>
          <w:sz w:val="19"/>
        </w:rPr>
        <w:t>to access the full</w:t>
      </w:r>
      <w:r>
        <w:rPr>
          <w:spacing w:val="-2"/>
          <w:w w:val="105"/>
          <w:sz w:val="19"/>
        </w:rPr>
        <w:t> </w:t>
      </w:r>
      <w:r>
        <w:rPr>
          <w:w w:val="105"/>
          <w:sz w:val="19"/>
        </w:rPr>
        <w:t>text</w:t>
      </w:r>
      <w:r>
        <w:rPr>
          <w:spacing w:val="-2"/>
          <w:w w:val="105"/>
          <w:sz w:val="19"/>
        </w:rPr>
        <w:t> </w:t>
      </w:r>
      <w:r>
        <w:rPr>
          <w:w w:val="105"/>
          <w:sz w:val="19"/>
        </w:rPr>
        <w:t>of 40,000 books</w:t>
      </w:r>
      <w:r>
        <w:rPr>
          <w:spacing w:val="-13"/>
          <w:w w:val="105"/>
          <w:sz w:val="19"/>
        </w:rPr>
        <w:t> </w:t>
      </w:r>
      <w:r>
        <w:rPr>
          <w:w w:val="105"/>
          <w:sz w:val="19"/>
        </w:rPr>
        <w:t>and</w:t>
      </w:r>
      <w:r>
        <w:rPr>
          <w:spacing w:val="-11"/>
          <w:w w:val="105"/>
          <w:sz w:val="19"/>
        </w:rPr>
        <w:t> </w:t>
      </w:r>
      <w:r>
        <w:rPr>
          <w:w w:val="105"/>
          <w:sz w:val="19"/>
        </w:rPr>
        <w:t>monographs. The</w:t>
      </w:r>
      <w:r>
        <w:rPr>
          <w:spacing w:val="-6"/>
          <w:w w:val="105"/>
          <w:sz w:val="19"/>
        </w:rPr>
        <w:t> </w:t>
      </w:r>
      <w:r>
        <w:rPr>
          <w:w w:val="105"/>
          <w:sz w:val="19"/>
        </w:rPr>
        <w:t>library is</w:t>
      </w:r>
      <w:r>
        <w:rPr>
          <w:spacing w:val="-4"/>
          <w:w w:val="105"/>
          <w:sz w:val="19"/>
        </w:rPr>
        <w:t> </w:t>
      </w:r>
      <w:r>
        <w:rPr>
          <w:w w:val="105"/>
          <w:sz w:val="19"/>
        </w:rPr>
        <w:t>a</w:t>
      </w:r>
      <w:r>
        <w:rPr>
          <w:spacing w:val="-5"/>
          <w:w w:val="105"/>
          <w:sz w:val="19"/>
        </w:rPr>
        <w:t> </w:t>
      </w:r>
      <w:r>
        <w:rPr>
          <w:w w:val="105"/>
          <w:sz w:val="19"/>
        </w:rPr>
        <w:t>selective</w:t>
      </w:r>
      <w:r>
        <w:rPr>
          <w:spacing w:val="-10"/>
          <w:w w:val="105"/>
          <w:sz w:val="19"/>
        </w:rPr>
        <w:t> </w:t>
      </w:r>
      <w:r>
        <w:rPr>
          <w:w w:val="105"/>
          <w:sz w:val="19"/>
        </w:rPr>
        <w:t>Federal</w:t>
      </w:r>
      <w:r>
        <w:rPr>
          <w:spacing w:val="-10"/>
          <w:w w:val="105"/>
          <w:sz w:val="19"/>
        </w:rPr>
        <w:t> </w:t>
      </w:r>
      <w:r>
        <w:rPr>
          <w:w w:val="105"/>
          <w:sz w:val="19"/>
        </w:rPr>
        <w:t>Government Depository collecting 22% of the</w:t>
      </w:r>
      <w:r>
        <w:rPr>
          <w:spacing w:val="-4"/>
          <w:w w:val="105"/>
          <w:sz w:val="19"/>
        </w:rPr>
        <w:t> </w:t>
      </w:r>
      <w:r>
        <w:rPr>
          <w:w w:val="105"/>
          <w:sz w:val="19"/>
        </w:rPr>
        <w:t>publications made available from federal agencies and the Government</w:t>
      </w:r>
      <w:r>
        <w:rPr>
          <w:spacing w:val="19"/>
          <w:w w:val="105"/>
          <w:sz w:val="19"/>
        </w:rPr>
        <w:t> </w:t>
      </w:r>
      <w:r>
        <w:rPr>
          <w:w w:val="105"/>
          <w:sz w:val="19"/>
        </w:rPr>
        <w:t>Printing Office. To</w:t>
      </w:r>
      <w:r>
        <w:rPr>
          <w:spacing w:val="18"/>
          <w:w w:val="105"/>
          <w:sz w:val="19"/>
        </w:rPr>
        <w:t> </w:t>
      </w:r>
      <w:r>
        <w:rPr>
          <w:w w:val="105"/>
          <w:sz w:val="19"/>
        </w:rPr>
        <w:t>serve</w:t>
      </w:r>
      <w:r>
        <w:rPr>
          <w:spacing w:val="-4"/>
          <w:w w:val="105"/>
          <w:sz w:val="19"/>
        </w:rPr>
        <w:t> </w:t>
      </w:r>
      <w:r>
        <w:rPr>
          <w:w w:val="105"/>
          <w:sz w:val="19"/>
        </w:rPr>
        <w:t>the needs of</w:t>
      </w:r>
      <w:r>
        <w:rPr>
          <w:spacing w:val="-1"/>
          <w:w w:val="105"/>
          <w:sz w:val="19"/>
        </w:rPr>
        <w:t> </w:t>
      </w:r>
      <w:r>
        <w:rPr>
          <w:w w:val="105"/>
          <w:sz w:val="19"/>
        </w:rPr>
        <w:t>its patrons,</w:t>
      </w:r>
      <w:r>
        <w:rPr>
          <w:spacing w:val="18"/>
          <w:w w:val="105"/>
          <w:sz w:val="19"/>
        </w:rPr>
        <w:t> </w:t>
      </w:r>
      <w:r>
        <w:rPr>
          <w:w w:val="105"/>
          <w:sz w:val="19"/>
        </w:rPr>
        <w:t>the</w:t>
      </w:r>
      <w:r>
        <w:rPr>
          <w:spacing w:val="-9"/>
          <w:w w:val="105"/>
          <w:sz w:val="19"/>
        </w:rPr>
        <w:t> </w:t>
      </w:r>
      <w:r>
        <w:rPr>
          <w:w w:val="105"/>
          <w:sz w:val="19"/>
        </w:rPr>
        <w:t>Harvey Library has</w:t>
      </w:r>
      <w:r>
        <w:rPr>
          <w:w w:val="105"/>
          <w:sz w:val="19"/>
        </w:rPr>
        <w:t> four computer labs and an electronic classroom.</w:t>
      </w:r>
    </w:p>
    <w:p>
      <w:pPr>
        <w:pStyle w:val="BodyText"/>
        <w:spacing w:before="8"/>
        <w:rPr>
          <w:sz w:val="19"/>
        </w:rPr>
      </w:pPr>
    </w:p>
    <w:p>
      <w:pPr>
        <w:spacing w:line="254" w:lineRule="auto" w:before="0"/>
        <w:ind w:left="1661" w:right="475" w:hanging="2"/>
        <w:jc w:val="left"/>
        <w:rPr>
          <w:sz w:val="19"/>
        </w:rPr>
      </w:pPr>
      <w:r>
        <w:rPr>
          <w:w w:val="105"/>
          <w:sz w:val="19"/>
        </w:rPr>
        <w:t>The</w:t>
      </w:r>
      <w:r>
        <w:rPr>
          <w:spacing w:val="-14"/>
          <w:w w:val="105"/>
          <w:sz w:val="19"/>
        </w:rPr>
        <w:t> </w:t>
      </w:r>
      <w:r>
        <w:rPr>
          <w:w w:val="105"/>
          <w:sz w:val="19"/>
        </w:rPr>
        <w:t>University owns approximately 285</w:t>
      </w:r>
      <w:r>
        <w:rPr>
          <w:spacing w:val="-3"/>
          <w:w w:val="105"/>
          <w:sz w:val="19"/>
        </w:rPr>
        <w:t> </w:t>
      </w:r>
      <w:r>
        <w:rPr>
          <w:w w:val="105"/>
          <w:sz w:val="19"/>
        </w:rPr>
        <w:t>acres, most</w:t>
      </w:r>
      <w:r>
        <w:rPr>
          <w:spacing w:val="-7"/>
          <w:w w:val="105"/>
          <w:sz w:val="19"/>
        </w:rPr>
        <w:t> </w:t>
      </w:r>
      <w:r>
        <w:rPr>
          <w:w w:val="105"/>
          <w:sz w:val="19"/>
        </w:rPr>
        <w:t>of</w:t>
      </w:r>
      <w:r>
        <w:rPr>
          <w:spacing w:val="-6"/>
          <w:w w:val="105"/>
          <w:sz w:val="19"/>
        </w:rPr>
        <w:t> </w:t>
      </w:r>
      <w:r>
        <w:rPr>
          <w:w w:val="105"/>
          <w:sz w:val="19"/>
        </w:rPr>
        <w:t>which</w:t>
      </w:r>
      <w:r>
        <w:rPr>
          <w:spacing w:val="-4"/>
          <w:w w:val="105"/>
          <w:sz w:val="19"/>
        </w:rPr>
        <w:t> </w:t>
      </w:r>
      <w:r>
        <w:rPr>
          <w:w w:val="105"/>
          <w:sz w:val="19"/>
        </w:rPr>
        <w:t>is located in Hampton, Virginia.</w:t>
      </w:r>
      <w:r>
        <w:rPr>
          <w:spacing w:val="-10"/>
          <w:w w:val="105"/>
          <w:sz w:val="19"/>
        </w:rPr>
        <w:t> </w:t>
      </w:r>
      <w:r>
        <w:rPr>
          <w:w w:val="105"/>
          <w:sz w:val="19"/>
        </w:rPr>
        <w:t>The main</w:t>
      </w:r>
      <w:r>
        <w:rPr>
          <w:spacing w:val="-5"/>
          <w:w w:val="105"/>
          <w:sz w:val="19"/>
        </w:rPr>
        <w:t> </w:t>
      </w:r>
      <w:r>
        <w:rPr>
          <w:w w:val="105"/>
          <w:sz w:val="19"/>
        </w:rPr>
        <w:t>campus,</w:t>
      </w:r>
      <w:r>
        <w:rPr>
          <w:spacing w:val="-5"/>
          <w:w w:val="105"/>
          <w:sz w:val="19"/>
        </w:rPr>
        <w:t> </w:t>
      </w:r>
      <w:r>
        <w:rPr>
          <w:w w:val="105"/>
          <w:sz w:val="19"/>
        </w:rPr>
        <w:t>surrounded on three</w:t>
      </w:r>
      <w:r>
        <w:rPr>
          <w:spacing w:val="-7"/>
          <w:w w:val="105"/>
          <w:sz w:val="19"/>
        </w:rPr>
        <w:t> </w:t>
      </w:r>
      <w:r>
        <w:rPr>
          <w:w w:val="105"/>
          <w:sz w:val="19"/>
        </w:rPr>
        <w:t>sides</w:t>
      </w:r>
      <w:r>
        <w:rPr>
          <w:spacing w:val="-3"/>
          <w:w w:val="105"/>
          <w:sz w:val="19"/>
        </w:rPr>
        <w:t> </w:t>
      </w:r>
      <w:r>
        <w:rPr>
          <w:w w:val="105"/>
          <w:sz w:val="19"/>
        </w:rPr>
        <w:t>by</w:t>
      </w:r>
      <w:r>
        <w:rPr>
          <w:spacing w:val="-10"/>
          <w:w w:val="105"/>
          <w:sz w:val="19"/>
        </w:rPr>
        <w:t> </w:t>
      </w:r>
      <w:r>
        <w:rPr>
          <w:w w:val="105"/>
          <w:sz w:val="19"/>
        </w:rPr>
        <w:t>water,</w:t>
      </w:r>
      <w:r>
        <w:rPr>
          <w:spacing w:val="-10"/>
          <w:w w:val="105"/>
          <w:sz w:val="19"/>
        </w:rPr>
        <w:t> </w:t>
      </w:r>
      <w:r>
        <w:rPr>
          <w:w w:val="105"/>
          <w:sz w:val="19"/>
        </w:rPr>
        <w:t>comprises some</w:t>
      </w:r>
      <w:r>
        <w:rPr>
          <w:spacing w:val="-11"/>
          <w:w w:val="105"/>
          <w:sz w:val="19"/>
        </w:rPr>
        <w:t> </w:t>
      </w:r>
      <w:r>
        <w:rPr>
          <w:w w:val="105"/>
          <w:sz w:val="19"/>
        </w:rPr>
        <w:t>50 main buildings and 75 auxiliary structures.</w:t>
      </w:r>
    </w:p>
    <w:p>
      <w:pPr>
        <w:pStyle w:val="BodyText"/>
        <w:spacing w:before="1"/>
        <w:rPr>
          <w:sz w:val="19"/>
        </w:rPr>
      </w:pPr>
    </w:p>
    <w:p>
      <w:pPr>
        <w:spacing w:line="252" w:lineRule="auto" w:before="1"/>
        <w:ind w:left="1662" w:right="311" w:hanging="2"/>
        <w:jc w:val="left"/>
        <w:rPr>
          <w:sz w:val="19"/>
        </w:rPr>
      </w:pPr>
      <w:r>
        <w:rPr>
          <w:w w:val="105"/>
          <w:sz w:val="19"/>
        </w:rPr>
        <w:t>The</w:t>
      </w:r>
      <w:r>
        <w:rPr>
          <w:spacing w:val="-17"/>
          <w:w w:val="105"/>
          <w:sz w:val="19"/>
        </w:rPr>
        <w:t> </w:t>
      </w:r>
      <w:r>
        <w:rPr>
          <w:w w:val="105"/>
          <w:sz w:val="19"/>
        </w:rPr>
        <w:t>University employs</w:t>
      </w:r>
      <w:r>
        <w:rPr>
          <w:spacing w:val="-1"/>
          <w:w w:val="105"/>
          <w:sz w:val="19"/>
        </w:rPr>
        <w:t> </w:t>
      </w:r>
      <w:r>
        <w:rPr>
          <w:w w:val="105"/>
          <w:sz w:val="19"/>
        </w:rPr>
        <w:t>approximately 1,200</w:t>
      </w:r>
      <w:r>
        <w:rPr>
          <w:spacing w:val="-12"/>
          <w:w w:val="105"/>
          <w:sz w:val="19"/>
        </w:rPr>
        <w:t> </w:t>
      </w:r>
      <w:r>
        <w:rPr>
          <w:w w:val="105"/>
          <w:sz w:val="19"/>
        </w:rPr>
        <w:t>full-time</w:t>
      </w:r>
      <w:r>
        <w:rPr>
          <w:spacing w:val="-5"/>
          <w:w w:val="105"/>
          <w:sz w:val="19"/>
        </w:rPr>
        <w:t> </w:t>
      </w:r>
      <w:r>
        <w:rPr>
          <w:w w:val="105"/>
          <w:sz w:val="19"/>
        </w:rPr>
        <w:t>persons</w:t>
      </w:r>
      <w:r>
        <w:rPr>
          <w:spacing w:val="-6"/>
          <w:w w:val="105"/>
          <w:sz w:val="19"/>
        </w:rPr>
        <w:t> </w:t>
      </w:r>
      <w:r>
        <w:rPr>
          <w:w w:val="105"/>
          <w:sz w:val="19"/>
        </w:rPr>
        <w:t>including faculty, staff</w:t>
      </w:r>
      <w:r>
        <w:rPr>
          <w:spacing w:val="-2"/>
          <w:w w:val="105"/>
          <w:sz w:val="19"/>
        </w:rPr>
        <w:t> </w:t>
      </w:r>
      <w:r>
        <w:rPr>
          <w:w w:val="105"/>
          <w:sz w:val="19"/>
        </w:rPr>
        <w:t>and administrative</w:t>
      </w:r>
      <w:r>
        <w:rPr>
          <w:spacing w:val="-6"/>
          <w:w w:val="105"/>
          <w:sz w:val="19"/>
        </w:rPr>
        <w:t> </w:t>
      </w:r>
      <w:r>
        <w:rPr>
          <w:w w:val="105"/>
          <w:sz w:val="19"/>
        </w:rPr>
        <w:t>personnel.</w:t>
      </w:r>
      <w:r>
        <w:rPr>
          <w:spacing w:val="33"/>
          <w:w w:val="105"/>
          <w:sz w:val="19"/>
        </w:rPr>
        <w:t> </w:t>
      </w:r>
      <w:r>
        <w:rPr>
          <w:w w:val="105"/>
          <w:sz w:val="19"/>
        </w:rPr>
        <w:t>None of these employees is represented by any collective bargaining organization. The University employs approximately 400</w:t>
      </w:r>
      <w:r>
        <w:rPr>
          <w:spacing w:val="-9"/>
          <w:w w:val="105"/>
          <w:sz w:val="19"/>
        </w:rPr>
        <w:t> </w:t>
      </w:r>
      <w:r>
        <w:rPr>
          <w:w w:val="105"/>
          <w:sz w:val="19"/>
        </w:rPr>
        <w:t>faculty members of whom</w:t>
      </w:r>
      <w:r>
        <w:rPr>
          <w:spacing w:val="-4"/>
          <w:w w:val="105"/>
          <w:sz w:val="19"/>
        </w:rPr>
        <w:t> </w:t>
      </w:r>
      <w:r>
        <w:rPr>
          <w:w w:val="105"/>
          <w:sz w:val="19"/>
        </w:rPr>
        <w:t>nearly 30%</w:t>
      </w:r>
      <w:r>
        <w:rPr>
          <w:spacing w:val="-2"/>
          <w:w w:val="105"/>
          <w:sz w:val="19"/>
        </w:rPr>
        <w:t> </w:t>
      </w:r>
      <w:r>
        <w:rPr>
          <w:w w:val="105"/>
          <w:sz w:val="19"/>
        </w:rPr>
        <w:t>are</w:t>
      </w:r>
      <w:r>
        <w:rPr>
          <w:spacing w:val="-4"/>
          <w:w w:val="105"/>
          <w:sz w:val="19"/>
        </w:rPr>
        <w:t> </w:t>
      </w:r>
      <w:r>
        <w:rPr>
          <w:w w:val="105"/>
          <w:sz w:val="19"/>
        </w:rPr>
        <w:t>tenured.</w:t>
      </w:r>
      <w:r>
        <w:rPr>
          <w:spacing w:val="-2"/>
          <w:w w:val="105"/>
          <w:sz w:val="19"/>
        </w:rPr>
        <w:t> </w:t>
      </w:r>
      <w:r>
        <w:rPr>
          <w:w w:val="105"/>
          <w:sz w:val="19"/>
        </w:rPr>
        <w:t>Approximately</w:t>
      </w:r>
      <w:r>
        <w:rPr>
          <w:spacing w:val="33"/>
          <w:w w:val="105"/>
          <w:sz w:val="19"/>
        </w:rPr>
        <w:t> </w:t>
      </w:r>
      <w:r>
        <w:rPr>
          <w:w w:val="105"/>
          <w:sz w:val="19"/>
        </w:rPr>
        <w:t>76%</w:t>
      </w:r>
      <w:r>
        <w:rPr>
          <w:spacing w:val="-10"/>
          <w:w w:val="105"/>
          <w:sz w:val="19"/>
        </w:rPr>
        <w:t> </w:t>
      </w:r>
      <w:r>
        <w:rPr>
          <w:w w:val="105"/>
          <w:sz w:val="19"/>
        </w:rPr>
        <w:t>of the</w:t>
      </w:r>
      <w:r>
        <w:rPr>
          <w:spacing w:val="-12"/>
          <w:w w:val="105"/>
          <w:sz w:val="19"/>
        </w:rPr>
        <w:t> </w:t>
      </w:r>
      <w:r>
        <w:rPr>
          <w:w w:val="105"/>
          <w:sz w:val="19"/>
        </w:rPr>
        <w:t>full-time faculty holds terminal degrees</w:t>
      </w:r>
      <w:r>
        <w:rPr>
          <w:spacing w:val="-3"/>
          <w:w w:val="105"/>
          <w:sz w:val="19"/>
        </w:rPr>
        <w:t> </w:t>
      </w:r>
      <w:r>
        <w:rPr>
          <w:w w:val="105"/>
          <w:sz w:val="19"/>
        </w:rPr>
        <w:t>in their</w:t>
      </w:r>
      <w:r>
        <w:rPr>
          <w:spacing w:val="-4"/>
          <w:w w:val="105"/>
          <w:sz w:val="19"/>
        </w:rPr>
        <w:t> </w:t>
      </w:r>
      <w:r>
        <w:rPr>
          <w:w w:val="105"/>
          <w:sz w:val="19"/>
        </w:rPr>
        <w:t>respective areas of specialty. The</w:t>
      </w:r>
      <w:r>
        <w:rPr>
          <w:spacing w:val="-9"/>
          <w:w w:val="105"/>
          <w:sz w:val="19"/>
        </w:rPr>
        <w:t> </w:t>
      </w:r>
      <w:r>
        <w:rPr>
          <w:w w:val="105"/>
          <w:sz w:val="19"/>
        </w:rPr>
        <w:t>undergraduate student/faculty</w:t>
      </w:r>
      <w:r>
        <w:rPr>
          <w:spacing w:val="-11"/>
          <w:w w:val="105"/>
          <w:sz w:val="19"/>
        </w:rPr>
        <w:t> </w:t>
      </w:r>
      <w:r>
        <w:rPr>
          <w:w w:val="105"/>
          <w:sz w:val="19"/>
        </w:rPr>
        <w:t>ratio is approximately 16 to 1.</w:t>
      </w:r>
    </w:p>
    <w:p>
      <w:pPr>
        <w:pStyle w:val="BodyText"/>
        <w:spacing w:before="1"/>
      </w:pPr>
    </w:p>
    <w:p>
      <w:pPr>
        <w:spacing w:line="254" w:lineRule="auto" w:before="0"/>
        <w:ind w:left="1663" w:right="373" w:hanging="4"/>
        <w:jc w:val="left"/>
        <w:rPr>
          <w:sz w:val="19"/>
        </w:rPr>
      </w:pPr>
      <w:r>
        <w:rPr>
          <w:w w:val="105"/>
          <w:sz w:val="19"/>
        </w:rPr>
        <w:t>The University is a privately endowed, co-educational, nonsectarian institution of higher education with</w:t>
      </w:r>
      <w:r>
        <w:rPr>
          <w:spacing w:val="-9"/>
          <w:w w:val="105"/>
          <w:sz w:val="19"/>
        </w:rPr>
        <w:t> </w:t>
      </w:r>
      <w:r>
        <w:rPr>
          <w:w w:val="105"/>
          <w:sz w:val="19"/>
        </w:rPr>
        <w:t>accreditation</w:t>
      </w:r>
      <w:r>
        <w:rPr>
          <w:spacing w:val="-5"/>
          <w:w w:val="105"/>
          <w:sz w:val="19"/>
        </w:rPr>
        <w:t> </w:t>
      </w:r>
      <w:r>
        <w:rPr>
          <w:w w:val="105"/>
          <w:sz w:val="19"/>
        </w:rPr>
        <w:t>by the</w:t>
      </w:r>
      <w:r>
        <w:rPr>
          <w:spacing w:val="-5"/>
          <w:w w:val="105"/>
          <w:sz w:val="19"/>
        </w:rPr>
        <w:t> </w:t>
      </w:r>
      <w:r>
        <w:rPr>
          <w:w w:val="105"/>
          <w:sz w:val="19"/>
        </w:rPr>
        <w:t>Commission on</w:t>
      </w:r>
      <w:r>
        <w:rPr>
          <w:spacing w:val="-12"/>
          <w:w w:val="105"/>
          <w:sz w:val="19"/>
        </w:rPr>
        <w:t> </w:t>
      </w:r>
      <w:r>
        <w:rPr>
          <w:w w:val="105"/>
          <w:sz w:val="19"/>
        </w:rPr>
        <w:t>Colleges of</w:t>
      </w:r>
      <w:r>
        <w:rPr>
          <w:spacing w:val="-14"/>
          <w:w w:val="105"/>
          <w:sz w:val="19"/>
        </w:rPr>
        <w:t> </w:t>
      </w:r>
      <w:r>
        <w:rPr>
          <w:w w:val="105"/>
          <w:sz w:val="19"/>
        </w:rPr>
        <w:t>the</w:t>
      </w:r>
      <w:r>
        <w:rPr>
          <w:spacing w:val="-14"/>
          <w:w w:val="105"/>
          <w:sz w:val="19"/>
        </w:rPr>
        <w:t> </w:t>
      </w:r>
      <w:r>
        <w:rPr>
          <w:w w:val="105"/>
          <w:sz w:val="19"/>
        </w:rPr>
        <w:t>Southern Association of Colleges and Schools, and the</w:t>
      </w:r>
      <w:r>
        <w:rPr>
          <w:spacing w:val="-10"/>
          <w:w w:val="105"/>
          <w:sz w:val="19"/>
        </w:rPr>
        <w:t> </w:t>
      </w:r>
      <w:r>
        <w:rPr>
          <w:w w:val="105"/>
          <w:sz w:val="19"/>
        </w:rPr>
        <w:t>Department of Education of</w:t>
      </w:r>
      <w:r>
        <w:rPr>
          <w:spacing w:val="-3"/>
          <w:w w:val="105"/>
          <w:sz w:val="19"/>
        </w:rPr>
        <w:t> </w:t>
      </w:r>
      <w:r>
        <w:rPr>
          <w:w w:val="105"/>
          <w:sz w:val="19"/>
        </w:rPr>
        <w:t>the Commonwealth</w:t>
      </w:r>
      <w:r>
        <w:rPr>
          <w:spacing w:val="31"/>
          <w:w w:val="105"/>
          <w:sz w:val="19"/>
        </w:rPr>
        <w:t> </w:t>
      </w:r>
      <w:r>
        <w:rPr>
          <w:w w:val="105"/>
          <w:sz w:val="19"/>
        </w:rPr>
        <w:t>of Virginia to</w:t>
      </w:r>
      <w:r>
        <w:rPr>
          <w:spacing w:val="-7"/>
          <w:w w:val="105"/>
          <w:sz w:val="19"/>
        </w:rPr>
        <w:t> </w:t>
      </w:r>
      <w:r>
        <w:rPr>
          <w:w w:val="105"/>
          <w:sz w:val="19"/>
        </w:rPr>
        <w:t>award</w:t>
      </w:r>
      <w:r>
        <w:rPr>
          <w:spacing w:val="-6"/>
          <w:w w:val="105"/>
          <w:sz w:val="19"/>
        </w:rPr>
        <w:t> </w:t>
      </w:r>
      <w:r>
        <w:rPr>
          <w:w w:val="105"/>
          <w:sz w:val="19"/>
        </w:rPr>
        <w:t>degrees at the associate, bachelor's,</w:t>
      </w:r>
      <w:r>
        <w:rPr>
          <w:spacing w:val="-3"/>
          <w:w w:val="105"/>
          <w:sz w:val="19"/>
        </w:rPr>
        <w:t> </w:t>
      </w:r>
      <w:r>
        <w:rPr>
          <w:w w:val="105"/>
          <w:sz w:val="19"/>
        </w:rPr>
        <w:t>master's and</w:t>
      </w:r>
      <w:r>
        <w:rPr>
          <w:spacing w:val="-1"/>
          <w:w w:val="105"/>
          <w:sz w:val="19"/>
        </w:rPr>
        <w:t> </w:t>
      </w:r>
      <w:r>
        <w:rPr>
          <w:w w:val="105"/>
          <w:sz w:val="19"/>
        </w:rPr>
        <w:t>doctoral</w:t>
      </w:r>
      <w:r>
        <w:rPr>
          <w:spacing w:val="-11"/>
          <w:w w:val="105"/>
          <w:sz w:val="19"/>
        </w:rPr>
        <w:t> </w:t>
      </w:r>
      <w:r>
        <w:rPr>
          <w:w w:val="105"/>
          <w:sz w:val="19"/>
        </w:rPr>
        <w:t>levels, The</w:t>
      </w:r>
    </w:p>
    <w:p>
      <w:pPr>
        <w:spacing w:after="0" w:line="254" w:lineRule="auto"/>
        <w:jc w:val="left"/>
        <w:rPr>
          <w:sz w:val="19"/>
        </w:rPr>
        <w:sectPr>
          <w:headerReference w:type="default" r:id="rId405"/>
          <w:footerReference w:type="default" r:id="rId406"/>
          <w:pgSz w:w="12180" w:h="15820"/>
          <w:pgMar w:header="598" w:footer="854" w:top="1300" w:bottom="1040" w:left="1120" w:right="1180"/>
        </w:sectPr>
      </w:pPr>
    </w:p>
    <w:p>
      <w:pPr>
        <w:pStyle w:val="BodyText"/>
        <w:spacing w:before="7"/>
        <w:rPr>
          <w:sz w:val="23"/>
        </w:rPr>
      </w:pPr>
    </w:p>
    <w:p>
      <w:pPr>
        <w:spacing w:line="256" w:lineRule="auto" w:before="94"/>
        <w:ind w:left="1637" w:right="354" w:firstLine="2"/>
        <w:jc w:val="left"/>
        <w:rPr>
          <w:sz w:val="19"/>
        </w:rPr>
      </w:pPr>
      <w:r>
        <w:rPr>
          <w:w w:val="105"/>
          <w:sz w:val="19"/>
        </w:rPr>
        <w:t>University holds membership in the Council of Graduate Schools, the Council of Independent</w:t>
      </w:r>
      <w:r>
        <w:rPr>
          <w:spacing w:val="29"/>
          <w:w w:val="105"/>
          <w:sz w:val="19"/>
        </w:rPr>
        <w:t> </w:t>
      </w:r>
      <w:r>
        <w:rPr>
          <w:w w:val="105"/>
          <w:sz w:val="19"/>
        </w:rPr>
        <w:t>Colleges in Virginia, and the</w:t>
      </w:r>
      <w:r>
        <w:rPr>
          <w:spacing w:val="-3"/>
          <w:w w:val="105"/>
          <w:sz w:val="19"/>
        </w:rPr>
        <w:t> </w:t>
      </w:r>
      <w:r>
        <w:rPr>
          <w:w w:val="105"/>
          <w:sz w:val="19"/>
        </w:rPr>
        <w:t>American Council on</w:t>
      </w:r>
      <w:r>
        <w:rPr>
          <w:spacing w:val="-8"/>
          <w:w w:val="105"/>
          <w:sz w:val="19"/>
        </w:rPr>
        <w:t> </w:t>
      </w:r>
      <w:r>
        <w:rPr>
          <w:w w:val="105"/>
          <w:sz w:val="19"/>
        </w:rPr>
        <w:t>Education.</w:t>
      </w:r>
      <w:r>
        <w:rPr>
          <w:spacing w:val="36"/>
          <w:w w:val="105"/>
          <w:sz w:val="19"/>
        </w:rPr>
        <w:t> </w:t>
      </w:r>
      <w:r>
        <w:rPr>
          <w:w w:val="105"/>
          <w:sz w:val="19"/>
        </w:rPr>
        <w:t>tts</w:t>
      </w:r>
      <w:r>
        <w:rPr>
          <w:spacing w:val="-8"/>
          <w:w w:val="105"/>
          <w:sz w:val="19"/>
        </w:rPr>
        <w:t> </w:t>
      </w:r>
      <w:r>
        <w:rPr>
          <w:w w:val="105"/>
          <w:sz w:val="19"/>
        </w:rPr>
        <w:t>programs in architecture, aviation</w:t>
      </w:r>
      <w:r>
        <w:rPr>
          <w:spacing w:val="-12"/>
          <w:w w:val="105"/>
          <w:sz w:val="19"/>
        </w:rPr>
        <w:t> </w:t>
      </w:r>
      <w:r>
        <w:rPr>
          <w:w w:val="105"/>
          <w:sz w:val="19"/>
        </w:rPr>
        <w:t>(computer science</w:t>
      </w:r>
      <w:r>
        <w:rPr>
          <w:spacing w:val="-3"/>
          <w:w w:val="105"/>
          <w:sz w:val="19"/>
        </w:rPr>
        <w:t> </w:t>
      </w:r>
      <w:r>
        <w:rPr>
          <w:w w:val="105"/>
          <w:sz w:val="19"/>
        </w:rPr>
        <w:t>and</w:t>
      </w:r>
      <w:r>
        <w:rPr>
          <w:spacing w:val="-4"/>
          <w:w w:val="105"/>
          <w:sz w:val="19"/>
        </w:rPr>
        <w:t> </w:t>
      </w:r>
      <w:r>
        <w:rPr>
          <w:w w:val="105"/>
          <w:sz w:val="19"/>
        </w:rPr>
        <w:t>electronic systems),</w:t>
      </w:r>
      <w:r>
        <w:rPr>
          <w:spacing w:val="-3"/>
          <w:w w:val="105"/>
          <w:sz w:val="19"/>
        </w:rPr>
        <w:t> </w:t>
      </w:r>
      <w:r>
        <w:rPr>
          <w:w w:val="105"/>
          <w:sz w:val="19"/>
        </w:rPr>
        <w:t>business,</w:t>
      </w:r>
      <w:r>
        <w:rPr>
          <w:spacing w:val="-2"/>
          <w:w w:val="105"/>
          <w:sz w:val="19"/>
        </w:rPr>
        <w:t> </w:t>
      </w:r>
      <w:r>
        <w:rPr>
          <w:w w:val="105"/>
          <w:sz w:val="19"/>
        </w:rPr>
        <w:t>chemistry, communicative sciences and disorders, computer science, chemical and electrical engineering, music, nursing, pharmacy, physical therapy, and teacher education are accredited by their respective accrediting agencies.</w:t>
      </w:r>
    </w:p>
    <w:p>
      <w:pPr>
        <w:pStyle w:val="BodyText"/>
        <w:spacing w:before="4"/>
      </w:pPr>
    </w:p>
    <w:p>
      <w:pPr>
        <w:spacing w:line="254" w:lineRule="auto" w:before="0"/>
        <w:ind w:left="1635" w:right="406" w:firstLine="5"/>
        <w:jc w:val="left"/>
        <w:rPr>
          <w:sz w:val="19"/>
        </w:rPr>
      </w:pPr>
      <w:r>
        <w:rPr>
          <w:w w:val="105"/>
          <w:sz w:val="19"/>
        </w:rPr>
        <w:t>The programs in nursing, pharmacy and physical therapy have</w:t>
      </w:r>
      <w:r>
        <w:rPr>
          <w:spacing w:val="-4"/>
          <w:w w:val="105"/>
          <w:sz w:val="19"/>
        </w:rPr>
        <w:t> </w:t>
      </w:r>
      <w:r>
        <w:rPr>
          <w:w w:val="105"/>
          <w:sz w:val="19"/>
        </w:rPr>
        <w:t>obtained approval to confer the doctoral degree from the State Council on Higher Education in Virginia, and each</w:t>
      </w:r>
      <w:r>
        <w:rPr>
          <w:spacing w:val="-5"/>
          <w:w w:val="105"/>
          <w:sz w:val="19"/>
        </w:rPr>
        <w:t> </w:t>
      </w:r>
      <w:r>
        <w:rPr>
          <w:w w:val="105"/>
          <w:sz w:val="19"/>
        </w:rPr>
        <w:t>has achieved accreditation from their respective accrediting agencies. The architecture program is accredited by the</w:t>
      </w:r>
      <w:r>
        <w:rPr>
          <w:spacing w:val="-6"/>
          <w:w w:val="105"/>
          <w:sz w:val="19"/>
        </w:rPr>
        <w:t> </w:t>
      </w:r>
      <w:r>
        <w:rPr>
          <w:w w:val="105"/>
          <w:sz w:val="19"/>
        </w:rPr>
        <w:t>National Architectural Accrediting Board. The aviation computer science and aviation electronic systems programs are accredited by the Council on Aviation</w:t>
      </w:r>
      <w:r>
        <w:rPr>
          <w:spacing w:val="-4"/>
          <w:w w:val="105"/>
          <w:sz w:val="19"/>
        </w:rPr>
        <w:t> </w:t>
      </w:r>
      <w:r>
        <w:rPr>
          <w:w w:val="105"/>
          <w:sz w:val="19"/>
        </w:rPr>
        <w:t>Accreditation. The</w:t>
      </w:r>
      <w:r>
        <w:rPr>
          <w:spacing w:val="-1"/>
          <w:w w:val="105"/>
          <w:sz w:val="19"/>
        </w:rPr>
        <w:t> </w:t>
      </w:r>
      <w:r>
        <w:rPr>
          <w:w w:val="105"/>
          <w:sz w:val="19"/>
        </w:rPr>
        <w:t>chemical and</w:t>
      </w:r>
      <w:r>
        <w:rPr>
          <w:spacing w:val="-8"/>
          <w:w w:val="105"/>
          <w:sz w:val="19"/>
        </w:rPr>
        <w:t> </w:t>
      </w:r>
      <w:r>
        <w:rPr>
          <w:w w:val="105"/>
          <w:sz w:val="19"/>
        </w:rPr>
        <w:t>electrical engineering programs are approved by the Engineering Accreditation Commission of the</w:t>
      </w:r>
      <w:r>
        <w:rPr>
          <w:spacing w:val="-7"/>
          <w:w w:val="105"/>
          <w:sz w:val="19"/>
        </w:rPr>
        <w:t> </w:t>
      </w:r>
      <w:r>
        <w:rPr>
          <w:w w:val="105"/>
          <w:sz w:val="19"/>
        </w:rPr>
        <w:t>Accrediting Board for Engineering and Technology (ABET). The chemistry program is approved by the Committee on</w:t>
      </w:r>
      <w:r>
        <w:rPr>
          <w:spacing w:val="-1"/>
          <w:w w:val="105"/>
          <w:sz w:val="19"/>
        </w:rPr>
        <w:t> </w:t>
      </w:r>
      <w:r>
        <w:rPr>
          <w:w w:val="105"/>
          <w:sz w:val="19"/>
        </w:rPr>
        <w:t>Professional Training of the American Chemical society. The</w:t>
      </w:r>
      <w:r>
        <w:rPr>
          <w:spacing w:val="-1"/>
          <w:w w:val="105"/>
          <w:sz w:val="19"/>
        </w:rPr>
        <w:t> </w:t>
      </w:r>
      <w:r>
        <w:rPr>
          <w:w w:val="105"/>
          <w:sz w:val="19"/>
        </w:rPr>
        <w:t>program in Communicative</w:t>
      </w:r>
      <w:r>
        <w:rPr>
          <w:spacing w:val="40"/>
          <w:w w:val="105"/>
          <w:sz w:val="19"/>
        </w:rPr>
        <w:t> </w:t>
      </w:r>
      <w:r>
        <w:rPr>
          <w:w w:val="105"/>
          <w:sz w:val="19"/>
        </w:rPr>
        <w:t>Sciences and Disorders is accredited at the graduate level by the American Speech-Language-Hearing</w:t>
      </w:r>
      <w:r>
        <w:rPr>
          <w:spacing w:val="-1"/>
          <w:w w:val="105"/>
          <w:sz w:val="19"/>
        </w:rPr>
        <w:t> </w:t>
      </w:r>
      <w:r>
        <w:rPr>
          <w:w w:val="105"/>
          <w:sz w:val="19"/>
        </w:rPr>
        <w:t>Association. The Computer Science program is accredited by the Computing Accreditation Commission of ABET, a specialized accrediting body recognized by the Council for Higher Education Accreditaiion. The music</w:t>
      </w:r>
      <w:r>
        <w:rPr>
          <w:spacing w:val="-6"/>
          <w:w w:val="105"/>
          <w:sz w:val="19"/>
        </w:rPr>
        <w:t> </w:t>
      </w:r>
      <w:r>
        <w:rPr>
          <w:w w:val="105"/>
          <w:sz w:val="19"/>
        </w:rPr>
        <w:t>programs are accredited by the National Association of Schools of Music. The undergraduate and graduate nursing programs are fully accredited by the</w:t>
      </w:r>
      <w:r>
        <w:rPr>
          <w:spacing w:val="-5"/>
          <w:w w:val="105"/>
          <w:sz w:val="19"/>
        </w:rPr>
        <w:t> </w:t>
      </w:r>
      <w:r>
        <w:rPr>
          <w:w w:val="105"/>
          <w:sz w:val="19"/>
        </w:rPr>
        <w:t>National League for Nursing Accrediting Commission and</w:t>
      </w:r>
      <w:r>
        <w:rPr>
          <w:spacing w:val="-5"/>
          <w:w w:val="105"/>
          <w:sz w:val="19"/>
        </w:rPr>
        <w:t> </w:t>
      </w:r>
      <w:r>
        <w:rPr>
          <w:w w:val="105"/>
          <w:sz w:val="19"/>
        </w:rPr>
        <w:t>the Commission on</w:t>
      </w:r>
      <w:r>
        <w:rPr>
          <w:spacing w:val="-2"/>
          <w:w w:val="105"/>
          <w:sz w:val="19"/>
        </w:rPr>
        <w:t> </w:t>
      </w:r>
      <w:r>
        <w:rPr>
          <w:w w:val="105"/>
          <w:sz w:val="19"/>
        </w:rPr>
        <w:t>Collegiate Nursing Education. The</w:t>
      </w:r>
      <w:r>
        <w:rPr>
          <w:spacing w:val="-1"/>
          <w:w w:val="105"/>
          <w:sz w:val="19"/>
        </w:rPr>
        <w:t> </w:t>
      </w:r>
      <w:r>
        <w:rPr>
          <w:w w:val="105"/>
          <w:sz w:val="19"/>
        </w:rPr>
        <w:t>undergraduate program is approved by the Virginia Board of Nursing.</w:t>
      </w:r>
    </w:p>
    <w:p>
      <w:pPr>
        <w:spacing w:line="252" w:lineRule="auto" w:before="0"/>
        <w:ind w:left="1636" w:right="311" w:firstLine="4"/>
        <w:jc w:val="left"/>
        <w:rPr>
          <w:sz w:val="19"/>
        </w:rPr>
      </w:pPr>
      <w:r>
        <w:rPr>
          <w:w w:val="105"/>
          <w:sz w:val="19"/>
        </w:rPr>
        <w:t>The doctoral program is approved</w:t>
      </w:r>
      <w:r>
        <w:rPr>
          <w:spacing w:val="-2"/>
          <w:w w:val="105"/>
          <w:sz w:val="19"/>
        </w:rPr>
        <w:t> </w:t>
      </w:r>
      <w:r>
        <w:rPr>
          <w:w w:val="105"/>
          <w:sz w:val="19"/>
        </w:rPr>
        <w:t>by the state Council of Higher Education for Virginia and the</w:t>
      </w:r>
      <w:r>
        <w:rPr>
          <w:spacing w:val="-7"/>
          <w:w w:val="105"/>
          <w:sz w:val="19"/>
        </w:rPr>
        <w:t> </w:t>
      </w:r>
      <w:r>
        <w:rPr>
          <w:w w:val="105"/>
          <w:sz w:val="19"/>
        </w:rPr>
        <w:t>Southern Association of Colleges</w:t>
      </w:r>
      <w:r>
        <w:rPr>
          <w:spacing w:val="-5"/>
          <w:w w:val="105"/>
          <w:sz w:val="19"/>
        </w:rPr>
        <w:t> </w:t>
      </w:r>
      <w:r>
        <w:rPr>
          <w:w w:val="105"/>
          <w:sz w:val="19"/>
        </w:rPr>
        <w:t>and</w:t>
      </w:r>
      <w:r>
        <w:rPr>
          <w:spacing w:val="-2"/>
          <w:w w:val="105"/>
          <w:sz w:val="19"/>
        </w:rPr>
        <w:t> </w:t>
      </w:r>
      <w:r>
        <w:rPr>
          <w:w w:val="105"/>
          <w:sz w:val="19"/>
        </w:rPr>
        <w:t>Schools. The</w:t>
      </w:r>
      <w:r>
        <w:rPr>
          <w:spacing w:val="-6"/>
          <w:w w:val="105"/>
          <w:sz w:val="19"/>
        </w:rPr>
        <w:t> </w:t>
      </w:r>
      <w:r>
        <w:rPr>
          <w:w w:val="105"/>
          <w:sz w:val="19"/>
        </w:rPr>
        <w:t>School</w:t>
      </w:r>
      <w:r>
        <w:rPr>
          <w:spacing w:val="-2"/>
          <w:w w:val="105"/>
          <w:sz w:val="19"/>
        </w:rPr>
        <w:t> </w:t>
      </w:r>
      <w:r>
        <w:rPr>
          <w:w w:val="105"/>
          <w:sz w:val="19"/>
        </w:rPr>
        <w:t>of</w:t>
      </w:r>
      <w:r>
        <w:rPr>
          <w:spacing w:val="-7"/>
          <w:w w:val="105"/>
          <w:sz w:val="19"/>
        </w:rPr>
        <w:t> </w:t>
      </w:r>
      <w:r>
        <w:rPr>
          <w:w w:val="105"/>
          <w:sz w:val="19"/>
        </w:rPr>
        <w:t>Nursing</w:t>
      </w:r>
      <w:r>
        <w:rPr>
          <w:spacing w:val="-1"/>
          <w:w w:val="105"/>
          <w:sz w:val="19"/>
        </w:rPr>
        <w:t> </w:t>
      </w:r>
      <w:r>
        <w:rPr>
          <w:w w:val="105"/>
          <w:sz w:val="19"/>
        </w:rPr>
        <w:t>is also</w:t>
      </w:r>
      <w:r>
        <w:rPr>
          <w:spacing w:val="-2"/>
          <w:w w:val="105"/>
          <w:sz w:val="19"/>
        </w:rPr>
        <w:t> </w:t>
      </w:r>
      <w:r>
        <w:rPr>
          <w:w w:val="105"/>
          <w:sz w:val="19"/>
        </w:rPr>
        <w:t>an agency member</w:t>
      </w:r>
      <w:r>
        <w:rPr>
          <w:spacing w:val="-2"/>
          <w:w w:val="105"/>
          <w:sz w:val="19"/>
        </w:rPr>
        <w:t> </w:t>
      </w:r>
      <w:r>
        <w:rPr>
          <w:w w:val="105"/>
          <w:sz w:val="19"/>
        </w:rPr>
        <w:t>of the</w:t>
      </w:r>
      <w:r>
        <w:rPr>
          <w:spacing w:val="-1"/>
          <w:w w:val="105"/>
          <w:sz w:val="19"/>
        </w:rPr>
        <w:t> </w:t>
      </w:r>
      <w:r>
        <w:rPr>
          <w:w w:val="105"/>
          <w:sz w:val="19"/>
        </w:rPr>
        <w:t>National League for Nursing, the</w:t>
      </w:r>
      <w:r>
        <w:rPr>
          <w:spacing w:val="-11"/>
          <w:w w:val="105"/>
          <w:sz w:val="19"/>
        </w:rPr>
        <w:t> </w:t>
      </w:r>
      <w:r>
        <w:rPr>
          <w:w w:val="105"/>
          <w:sz w:val="19"/>
        </w:rPr>
        <w:t>Nursing</w:t>
      </w:r>
      <w:r>
        <w:rPr>
          <w:spacing w:val="-3"/>
          <w:w w:val="105"/>
          <w:sz w:val="19"/>
        </w:rPr>
        <w:t> </w:t>
      </w:r>
      <w:r>
        <w:rPr>
          <w:w w:val="105"/>
          <w:sz w:val="19"/>
        </w:rPr>
        <w:t>Council of</w:t>
      </w:r>
      <w:r>
        <w:rPr>
          <w:spacing w:val="-5"/>
          <w:w w:val="105"/>
          <w:sz w:val="19"/>
        </w:rPr>
        <w:t> </w:t>
      </w:r>
      <w:r>
        <w:rPr>
          <w:w w:val="105"/>
          <w:sz w:val="19"/>
        </w:rPr>
        <w:t>the Southern Regional Education Board, and the American Association of Colleges of Nursing. The teacher education programs are accredited by the National Council for Accreditation of Teacher Education. The School of Pharmacy is accredited by the American Council</w:t>
      </w:r>
      <w:r>
        <w:rPr>
          <w:spacing w:val="-7"/>
          <w:w w:val="105"/>
          <w:sz w:val="19"/>
        </w:rPr>
        <w:t> </w:t>
      </w:r>
      <w:r>
        <w:rPr>
          <w:w w:val="105"/>
          <w:sz w:val="19"/>
        </w:rPr>
        <w:t>on Pharmaceutical</w:t>
      </w:r>
      <w:r>
        <w:rPr>
          <w:spacing w:val="-3"/>
          <w:w w:val="105"/>
          <w:sz w:val="19"/>
        </w:rPr>
        <w:t> </w:t>
      </w:r>
      <w:r>
        <w:rPr>
          <w:w w:val="105"/>
          <w:sz w:val="19"/>
        </w:rPr>
        <w:t>Education and the physical therapy program by the Commission on Accreditation in Physical Therapy Education.</w:t>
      </w:r>
    </w:p>
    <w:p>
      <w:pPr>
        <w:pStyle w:val="BodyText"/>
        <w:spacing w:before="8"/>
        <w:rPr>
          <w:sz w:val="19"/>
        </w:rPr>
      </w:pPr>
    </w:p>
    <w:p>
      <w:pPr>
        <w:spacing w:line="254" w:lineRule="auto" w:before="0"/>
        <w:ind w:left="1639" w:right="475" w:firstLine="1"/>
        <w:jc w:val="left"/>
        <w:rPr>
          <w:sz w:val="19"/>
        </w:rPr>
      </w:pPr>
      <w:r>
        <w:rPr>
          <w:w w:val="105"/>
          <w:sz w:val="19"/>
        </w:rPr>
        <w:t>The Hampton University Department of</w:t>
      </w:r>
      <w:r>
        <w:rPr>
          <w:spacing w:val="-1"/>
          <w:w w:val="105"/>
          <w:sz w:val="19"/>
        </w:rPr>
        <w:t> </w:t>
      </w:r>
      <w:r>
        <w:rPr>
          <w:w w:val="105"/>
          <w:sz w:val="19"/>
        </w:rPr>
        <w:t>Architecture benefits from</w:t>
      </w:r>
      <w:r>
        <w:rPr>
          <w:spacing w:val="-3"/>
          <w:w w:val="105"/>
          <w:sz w:val="19"/>
        </w:rPr>
        <w:t> </w:t>
      </w:r>
      <w:r>
        <w:rPr>
          <w:w w:val="105"/>
          <w:sz w:val="19"/>
        </w:rPr>
        <w:t>a unique setting. It is the only architecture program in the Hampton Roads area, and indeed within a 150 to 200</w:t>
      </w:r>
      <w:r>
        <w:rPr>
          <w:spacing w:val="-1"/>
          <w:w w:val="105"/>
          <w:sz w:val="19"/>
        </w:rPr>
        <w:t> </w:t>
      </w:r>
      <w:r>
        <w:rPr>
          <w:w w:val="105"/>
          <w:sz w:val="19"/>
        </w:rPr>
        <w:t>mile</w:t>
      </w:r>
      <w:r>
        <w:rPr>
          <w:spacing w:val="-9"/>
          <w:w w:val="105"/>
          <w:sz w:val="19"/>
        </w:rPr>
        <w:t> </w:t>
      </w:r>
      <w:r>
        <w:rPr>
          <w:w w:val="105"/>
          <w:sz w:val="19"/>
        </w:rPr>
        <w:t>radius.</w:t>
      </w:r>
      <w:r>
        <w:rPr>
          <w:spacing w:val="-5"/>
          <w:w w:val="105"/>
          <w:sz w:val="19"/>
        </w:rPr>
        <w:t> </w:t>
      </w:r>
      <w:r>
        <w:rPr>
          <w:w w:val="105"/>
          <w:sz w:val="19"/>
        </w:rPr>
        <w:t>The Department is located</w:t>
      </w:r>
      <w:r>
        <w:rPr>
          <w:spacing w:val="-4"/>
          <w:w w:val="105"/>
          <w:sz w:val="19"/>
        </w:rPr>
        <w:t> </w:t>
      </w:r>
      <w:r>
        <w:rPr>
          <w:w w:val="105"/>
          <w:sz w:val="19"/>
        </w:rPr>
        <w:t>on "the water's edge," near the</w:t>
      </w:r>
      <w:r>
        <w:rPr>
          <w:spacing w:val="-11"/>
          <w:w w:val="105"/>
          <w:sz w:val="19"/>
        </w:rPr>
        <w:t> </w:t>
      </w:r>
      <w:r>
        <w:rPr>
          <w:w w:val="105"/>
          <w:sz w:val="19"/>
        </w:rPr>
        <w:t>mouth of the Chesapeake Bay, in a region formerly known as</w:t>
      </w:r>
      <w:r>
        <w:rPr>
          <w:spacing w:val="-1"/>
          <w:w w:val="105"/>
          <w:sz w:val="19"/>
        </w:rPr>
        <w:t> </w:t>
      </w:r>
      <w:r>
        <w:rPr>
          <w:w w:val="105"/>
          <w:sz w:val="19"/>
        </w:rPr>
        <w:t>"Tidewater." This offers a variety of settings not found in many areas. And the program is situated in a student-focused HBCU (Historically Black College and University).</w:t>
      </w:r>
    </w:p>
    <w:p>
      <w:pPr>
        <w:pStyle w:val="BodyText"/>
        <w:rPr>
          <w:sz w:val="19"/>
        </w:rPr>
      </w:pPr>
    </w:p>
    <w:p>
      <w:pPr>
        <w:spacing w:line="254" w:lineRule="auto" w:before="0"/>
        <w:ind w:left="1643" w:right="311" w:firstLine="2"/>
        <w:jc w:val="left"/>
        <w:rPr>
          <w:sz w:val="19"/>
        </w:rPr>
      </w:pPr>
      <w:r>
        <w:rPr>
          <w:w w:val="105"/>
          <w:sz w:val="19"/>
        </w:rPr>
        <w:t>As</w:t>
      </w:r>
      <w:r>
        <w:rPr>
          <w:spacing w:val="-2"/>
          <w:w w:val="105"/>
          <w:sz w:val="19"/>
        </w:rPr>
        <w:t> </w:t>
      </w:r>
      <w:r>
        <w:rPr>
          <w:w w:val="105"/>
          <w:sz w:val="19"/>
        </w:rPr>
        <w:t>a</w:t>
      </w:r>
      <w:r>
        <w:rPr>
          <w:spacing w:val="-1"/>
          <w:w w:val="105"/>
          <w:sz w:val="19"/>
        </w:rPr>
        <w:t> </w:t>
      </w:r>
      <w:r>
        <w:rPr>
          <w:w w:val="105"/>
          <w:sz w:val="19"/>
        </w:rPr>
        <w:t>Historically Black College/University,</w:t>
      </w:r>
      <w:r>
        <w:rPr>
          <w:spacing w:val="-14"/>
          <w:w w:val="105"/>
          <w:sz w:val="19"/>
        </w:rPr>
        <w:t> </w:t>
      </w:r>
      <w:r>
        <w:rPr>
          <w:w w:val="105"/>
          <w:sz w:val="19"/>
        </w:rPr>
        <w:t>Hampton University dates to</w:t>
      </w:r>
      <w:r>
        <w:rPr>
          <w:spacing w:val="-8"/>
          <w:w w:val="105"/>
          <w:sz w:val="19"/>
        </w:rPr>
        <w:t> </w:t>
      </w:r>
      <w:r>
        <w:rPr>
          <w:w w:val="105"/>
          <w:sz w:val="19"/>
        </w:rPr>
        <w:t>1868, when it was founded by General Samuel Chapman Armstrong.</w:t>
      </w:r>
      <w:r>
        <w:rPr>
          <w:spacing w:val="40"/>
          <w:w w:val="105"/>
          <w:sz w:val="19"/>
        </w:rPr>
        <w:t> </w:t>
      </w:r>
      <w:r>
        <w:rPr>
          <w:w w:val="105"/>
          <w:sz w:val="19"/>
        </w:rPr>
        <w:t>Since then Hampton University has remained a conservative institution. Booker T. Washington journeyed first to Hampton before founding Tuskegee Institute in Alabama. The University places its students at the center of its planning, providing a holistic educational environment. Leaming is facilitated by a range of educational offerings, including a rigorous curriculum, good teaching, professional experiences, multiple leadership and service opportunities, along with the development of character which values respect, dignity, integrity, and decency.</w:t>
      </w:r>
    </w:p>
    <w:p>
      <w:pPr>
        <w:spacing w:line="252" w:lineRule="auto" w:before="6"/>
        <w:ind w:left="1649" w:right="311" w:hanging="1"/>
        <w:jc w:val="left"/>
        <w:rPr>
          <w:sz w:val="19"/>
        </w:rPr>
      </w:pPr>
      <w:r>
        <w:rPr>
          <w:w w:val="105"/>
          <w:sz w:val="19"/>
        </w:rPr>
        <w:t>Freshmen are</w:t>
      </w:r>
      <w:r>
        <w:rPr>
          <w:spacing w:val="-3"/>
          <w:w w:val="105"/>
          <w:sz w:val="19"/>
        </w:rPr>
        <w:t> </w:t>
      </w:r>
      <w:r>
        <w:rPr>
          <w:w w:val="105"/>
          <w:sz w:val="19"/>
        </w:rPr>
        <w:t>required to take University 101, which helps them adjust to</w:t>
      </w:r>
      <w:r>
        <w:rPr>
          <w:spacing w:val="-3"/>
          <w:w w:val="105"/>
          <w:sz w:val="19"/>
        </w:rPr>
        <w:t> </w:t>
      </w:r>
      <w:r>
        <w:rPr>
          <w:w w:val="105"/>
          <w:sz w:val="19"/>
        </w:rPr>
        <w:t>university life, and also indoctrinates</w:t>
      </w:r>
      <w:r>
        <w:rPr>
          <w:spacing w:val="33"/>
          <w:w w:val="105"/>
          <w:sz w:val="19"/>
        </w:rPr>
        <w:t> </w:t>
      </w:r>
      <w:r>
        <w:rPr>
          <w:w w:val="105"/>
          <w:sz w:val="19"/>
        </w:rPr>
        <w:t>them to the values of the institution. Students in</w:t>
      </w:r>
      <w:r>
        <w:rPr>
          <w:spacing w:val="-2"/>
          <w:w w:val="105"/>
          <w:sz w:val="19"/>
        </w:rPr>
        <w:t> </w:t>
      </w:r>
      <w:r>
        <w:rPr>
          <w:w w:val="105"/>
          <w:sz w:val="19"/>
        </w:rPr>
        <w:t>the</w:t>
      </w:r>
      <w:r>
        <w:rPr>
          <w:spacing w:val="-4"/>
          <w:w w:val="105"/>
          <w:sz w:val="19"/>
        </w:rPr>
        <w:t> </w:t>
      </w:r>
      <w:r>
        <w:rPr>
          <w:w w:val="105"/>
          <w:sz w:val="19"/>
        </w:rPr>
        <w:t>program are very much members of both the Department of Architecture and also of Hampton University. At the</w:t>
      </w:r>
      <w:r>
        <w:rPr>
          <w:spacing w:val="-10"/>
          <w:w w:val="105"/>
          <w:sz w:val="19"/>
        </w:rPr>
        <w:t> </w:t>
      </w:r>
      <w:r>
        <w:rPr>
          <w:w w:val="105"/>
          <w:sz w:val="19"/>
        </w:rPr>
        <w:t>forefront of HBCUs, it is not</w:t>
      </w:r>
      <w:r>
        <w:rPr>
          <w:spacing w:val="-5"/>
          <w:w w:val="105"/>
          <w:sz w:val="19"/>
        </w:rPr>
        <w:t> </w:t>
      </w:r>
      <w:r>
        <w:rPr>
          <w:w w:val="105"/>
          <w:sz w:val="19"/>
        </w:rPr>
        <w:t>uncommon to find</w:t>
      </w:r>
      <w:r>
        <w:rPr>
          <w:spacing w:val="-10"/>
          <w:w w:val="105"/>
          <w:sz w:val="19"/>
        </w:rPr>
        <w:t> </w:t>
      </w:r>
      <w:r>
        <w:rPr>
          <w:w w:val="105"/>
          <w:sz w:val="19"/>
        </w:rPr>
        <w:t>students who have been preceded to Hampton by several generations of family.</w:t>
      </w:r>
    </w:p>
    <w:p>
      <w:pPr>
        <w:pStyle w:val="BodyText"/>
      </w:pPr>
    </w:p>
    <w:p>
      <w:pPr>
        <w:pStyle w:val="BodyText"/>
      </w:pPr>
    </w:p>
    <w:p>
      <w:pPr>
        <w:pStyle w:val="BodyText"/>
      </w:pPr>
    </w:p>
    <w:p>
      <w:pPr>
        <w:pStyle w:val="BodyText"/>
        <w:spacing w:before="5"/>
        <w:rPr>
          <w:sz w:val="19"/>
        </w:rPr>
      </w:pPr>
      <w:r>
        <w:rPr/>
        <w:pict>
          <v:shape style="position:absolute;margin-left:63.597477pt;margin-top:12.388775pt;width:456.75pt;height:.1pt;mso-position-horizontal-relative:page;mso-position-vertical-relative:paragraph;z-index:-15694848;mso-wrap-distance-left:0;mso-wrap-distance-right:0" id="docshape667" coordorigin="1272,248" coordsize="9135,0" path="m1272,248l10407,248e" filled="false" stroked="true" strokeweight=".481434pt" strokecolor="#000000">
            <v:path arrowok="t"/>
            <v:stroke dashstyle="solid"/>
            <w10:wrap type="topAndBottom"/>
          </v:shape>
        </w:pict>
      </w:r>
    </w:p>
    <w:p>
      <w:pPr>
        <w:spacing w:before="9"/>
        <w:ind w:left="0" w:right="249" w:firstLine="0"/>
        <w:jc w:val="right"/>
        <w:rPr>
          <w:sz w:val="19"/>
        </w:rPr>
      </w:pPr>
      <w:r>
        <w:rPr>
          <w:spacing w:val="-5"/>
          <w:w w:val="110"/>
          <w:sz w:val="19"/>
        </w:rPr>
        <w:t>25</w:t>
      </w:r>
    </w:p>
    <w:p>
      <w:pPr>
        <w:spacing w:after="0"/>
        <w:jc w:val="right"/>
        <w:rPr>
          <w:sz w:val="19"/>
        </w:rPr>
        <w:sectPr>
          <w:headerReference w:type="default" r:id="rId407"/>
          <w:footerReference w:type="default" r:id="rId408"/>
          <w:pgSz w:w="12180" w:h="15820"/>
          <w:pgMar w:header="694" w:footer="0" w:top="1340" w:bottom="280" w:left="1120" w:right="1180"/>
        </w:sectPr>
      </w:pPr>
    </w:p>
    <w:p>
      <w:pPr>
        <w:pStyle w:val="BodyText"/>
        <w:spacing w:before="8"/>
        <w:rPr>
          <w:sz w:val="17"/>
        </w:rPr>
      </w:pPr>
    </w:p>
    <w:p>
      <w:pPr>
        <w:pStyle w:val="ListParagraph"/>
        <w:numPr>
          <w:ilvl w:val="0"/>
          <w:numId w:val="79"/>
        </w:numPr>
        <w:tabs>
          <w:tab w:pos="1685" w:val="left" w:leader="none"/>
          <w:tab w:pos="1686" w:val="left" w:leader="none"/>
        </w:tabs>
        <w:spacing w:line="240" w:lineRule="auto" w:before="95" w:after="0"/>
        <w:ind w:left="1685" w:right="0" w:hanging="711"/>
        <w:jc w:val="left"/>
        <w:rPr>
          <w:sz w:val="19"/>
        </w:rPr>
      </w:pPr>
      <w:r>
        <w:rPr>
          <w:w w:val="115"/>
          <w:sz w:val="19"/>
        </w:rPr>
        <w:t>Institutional</w:t>
      </w:r>
      <w:r>
        <w:rPr>
          <w:spacing w:val="7"/>
          <w:w w:val="115"/>
          <w:sz w:val="19"/>
        </w:rPr>
        <w:t> </w:t>
      </w:r>
      <w:r>
        <w:rPr>
          <w:spacing w:val="-2"/>
          <w:w w:val="115"/>
          <w:sz w:val="19"/>
        </w:rPr>
        <w:t>Mission</w:t>
      </w:r>
    </w:p>
    <w:p>
      <w:pPr>
        <w:pStyle w:val="BodyText"/>
        <w:spacing w:before="2"/>
        <w:rPr>
          <w:sz w:val="21"/>
        </w:rPr>
      </w:pPr>
    </w:p>
    <w:p>
      <w:pPr>
        <w:spacing w:line="254" w:lineRule="auto" w:before="0"/>
        <w:ind w:left="1688" w:right="424" w:firstLine="0"/>
        <w:jc w:val="left"/>
        <w:rPr>
          <w:sz w:val="19"/>
        </w:rPr>
      </w:pPr>
      <w:r>
        <w:rPr>
          <w:i/>
          <w:w w:val="105"/>
          <w:sz w:val="19"/>
        </w:rPr>
        <w:t>The</w:t>
      </w:r>
      <w:r>
        <w:rPr>
          <w:i/>
          <w:spacing w:val="-9"/>
          <w:w w:val="105"/>
          <w:sz w:val="19"/>
        </w:rPr>
        <w:t> </w:t>
      </w:r>
      <w:r>
        <w:rPr>
          <w:i/>
          <w:w w:val="105"/>
          <w:sz w:val="19"/>
        </w:rPr>
        <w:t>following text</w:t>
      </w:r>
      <w:r>
        <w:rPr>
          <w:i/>
          <w:spacing w:val="-12"/>
          <w:w w:val="105"/>
          <w:sz w:val="19"/>
        </w:rPr>
        <w:t> </w:t>
      </w:r>
      <w:r>
        <w:rPr>
          <w:i/>
          <w:w w:val="105"/>
          <w:sz w:val="19"/>
        </w:rPr>
        <w:t>is</w:t>
      </w:r>
      <w:r>
        <w:rPr>
          <w:i/>
          <w:spacing w:val="-9"/>
          <w:w w:val="105"/>
          <w:sz w:val="19"/>
        </w:rPr>
        <w:t> </w:t>
      </w:r>
      <w:r>
        <w:rPr>
          <w:i/>
          <w:w w:val="105"/>
          <w:sz w:val="19"/>
        </w:rPr>
        <w:t>taken</w:t>
      </w:r>
      <w:r>
        <w:rPr>
          <w:i/>
          <w:spacing w:val="-14"/>
          <w:w w:val="105"/>
          <w:sz w:val="19"/>
        </w:rPr>
        <w:t> </w:t>
      </w:r>
      <w:r>
        <w:rPr>
          <w:i/>
          <w:w w:val="105"/>
          <w:sz w:val="19"/>
        </w:rPr>
        <w:t>from</w:t>
      </w:r>
      <w:r>
        <w:rPr>
          <w:i/>
          <w:spacing w:val="-10"/>
          <w:w w:val="105"/>
          <w:sz w:val="19"/>
        </w:rPr>
        <w:t> </w:t>
      </w:r>
      <w:r>
        <w:rPr>
          <w:i/>
          <w:w w:val="105"/>
          <w:sz w:val="19"/>
        </w:rPr>
        <w:t>the</w:t>
      </w:r>
      <w:r>
        <w:rPr>
          <w:i/>
          <w:spacing w:val="-12"/>
          <w:w w:val="105"/>
          <w:sz w:val="19"/>
        </w:rPr>
        <w:t> </w:t>
      </w:r>
      <w:r>
        <w:rPr>
          <w:i/>
          <w:w w:val="105"/>
          <w:sz w:val="19"/>
        </w:rPr>
        <w:t>2009</w:t>
      </w:r>
      <w:r>
        <w:rPr>
          <w:i/>
          <w:spacing w:val="-4"/>
          <w:w w:val="105"/>
          <w:sz w:val="19"/>
        </w:rPr>
        <w:t> </w:t>
      </w:r>
      <w:r>
        <w:rPr>
          <w:i/>
          <w:w w:val="105"/>
          <w:sz w:val="19"/>
        </w:rPr>
        <w:t>Hampton University </w:t>
      </w:r>
      <w:r>
        <w:rPr>
          <w:w w:val="105"/>
          <w:sz w:val="19"/>
        </w:rPr>
        <w:t>Architecture Program </w:t>
      </w:r>
      <w:r>
        <w:rPr>
          <w:spacing w:val="-2"/>
          <w:w w:val="105"/>
          <w:sz w:val="19"/>
        </w:rPr>
        <w:t>Report</w:t>
      </w:r>
    </w:p>
    <w:p>
      <w:pPr>
        <w:pStyle w:val="BodyText"/>
      </w:pPr>
    </w:p>
    <w:p>
      <w:pPr>
        <w:spacing w:line="256" w:lineRule="auto" w:before="0"/>
        <w:ind w:left="1681" w:right="311" w:firstLine="6"/>
        <w:jc w:val="left"/>
        <w:rPr>
          <w:sz w:val="19"/>
        </w:rPr>
      </w:pPr>
      <w:r>
        <w:rPr>
          <w:w w:val="105"/>
          <w:sz w:val="19"/>
        </w:rPr>
        <w:t>Hampton</w:t>
      </w:r>
      <w:r>
        <w:rPr>
          <w:spacing w:val="-12"/>
          <w:w w:val="105"/>
          <w:sz w:val="19"/>
        </w:rPr>
        <w:t> </w:t>
      </w:r>
      <w:r>
        <w:rPr>
          <w:w w:val="105"/>
          <w:sz w:val="19"/>
        </w:rPr>
        <w:t>University is</w:t>
      </w:r>
      <w:r>
        <w:rPr>
          <w:spacing w:val="-1"/>
          <w:w w:val="105"/>
          <w:sz w:val="19"/>
        </w:rPr>
        <w:t> </w:t>
      </w:r>
      <w:r>
        <w:rPr>
          <w:w w:val="105"/>
          <w:sz w:val="19"/>
        </w:rPr>
        <w:t>a</w:t>
      </w:r>
      <w:r>
        <w:rPr>
          <w:spacing w:val="-12"/>
          <w:w w:val="105"/>
          <w:sz w:val="19"/>
        </w:rPr>
        <w:t> </w:t>
      </w:r>
      <w:r>
        <w:rPr>
          <w:w w:val="105"/>
          <w:sz w:val="19"/>
        </w:rPr>
        <w:t>comprehensive institution of</w:t>
      </w:r>
      <w:r>
        <w:rPr>
          <w:spacing w:val="-10"/>
          <w:w w:val="105"/>
          <w:sz w:val="19"/>
        </w:rPr>
        <w:t> </w:t>
      </w:r>
      <w:r>
        <w:rPr>
          <w:w w:val="105"/>
          <w:sz w:val="19"/>
        </w:rPr>
        <w:t>higher</w:t>
      </w:r>
      <w:r>
        <w:rPr>
          <w:spacing w:val="-4"/>
          <w:w w:val="105"/>
          <w:sz w:val="19"/>
        </w:rPr>
        <w:t> </w:t>
      </w:r>
      <w:r>
        <w:rPr>
          <w:w w:val="105"/>
          <w:sz w:val="19"/>
        </w:rPr>
        <w:t>education, dedicated</w:t>
      </w:r>
      <w:r>
        <w:rPr>
          <w:spacing w:val="-3"/>
          <w:w w:val="105"/>
          <w:sz w:val="19"/>
        </w:rPr>
        <w:t> </w:t>
      </w:r>
      <w:r>
        <w:rPr>
          <w:w w:val="105"/>
          <w:sz w:val="19"/>
        </w:rPr>
        <w:t>to</w:t>
      </w:r>
      <w:r>
        <w:rPr>
          <w:spacing w:val="-5"/>
          <w:w w:val="105"/>
          <w:sz w:val="19"/>
        </w:rPr>
        <w:t> </w:t>
      </w:r>
      <w:r>
        <w:rPr>
          <w:w w:val="105"/>
          <w:sz w:val="19"/>
        </w:rPr>
        <w:t>the promotion of learning, building of</w:t>
      </w:r>
      <w:r>
        <w:rPr>
          <w:spacing w:val="-8"/>
          <w:w w:val="105"/>
          <w:sz w:val="19"/>
        </w:rPr>
        <w:t> </w:t>
      </w:r>
      <w:r>
        <w:rPr>
          <w:w w:val="105"/>
          <w:sz w:val="19"/>
        </w:rPr>
        <w:t>character, and preparation of promising students for positions</w:t>
      </w:r>
      <w:r>
        <w:rPr>
          <w:spacing w:val="-6"/>
          <w:w w:val="105"/>
          <w:sz w:val="19"/>
        </w:rPr>
        <w:t> </w:t>
      </w:r>
      <w:r>
        <w:rPr>
          <w:w w:val="105"/>
          <w:sz w:val="19"/>
        </w:rPr>
        <w:t>of</w:t>
      </w:r>
      <w:r>
        <w:rPr>
          <w:spacing w:val="-3"/>
          <w:w w:val="105"/>
          <w:sz w:val="19"/>
        </w:rPr>
        <w:t> </w:t>
      </w:r>
      <w:r>
        <w:rPr>
          <w:w w:val="105"/>
          <w:sz w:val="19"/>
        </w:rPr>
        <w:t>leadership</w:t>
      </w:r>
      <w:r>
        <w:rPr>
          <w:spacing w:val="-1"/>
          <w:w w:val="105"/>
          <w:sz w:val="19"/>
        </w:rPr>
        <w:t> </w:t>
      </w:r>
      <w:r>
        <w:rPr>
          <w:w w:val="105"/>
          <w:sz w:val="19"/>
        </w:rPr>
        <w:t>and</w:t>
      </w:r>
      <w:r>
        <w:rPr>
          <w:spacing w:val="-11"/>
          <w:w w:val="105"/>
          <w:sz w:val="19"/>
        </w:rPr>
        <w:t> </w:t>
      </w:r>
      <w:r>
        <w:rPr>
          <w:w w:val="105"/>
          <w:sz w:val="19"/>
        </w:rPr>
        <w:t>service.</w:t>
      </w:r>
      <w:r>
        <w:rPr>
          <w:spacing w:val="-10"/>
          <w:w w:val="105"/>
          <w:sz w:val="19"/>
        </w:rPr>
        <w:t> </w:t>
      </w:r>
      <w:r>
        <w:rPr>
          <w:w w:val="105"/>
          <w:sz w:val="19"/>
        </w:rPr>
        <w:t>Its</w:t>
      </w:r>
      <w:r>
        <w:rPr>
          <w:spacing w:val="-1"/>
          <w:w w:val="105"/>
          <w:sz w:val="19"/>
        </w:rPr>
        <w:t> </w:t>
      </w:r>
      <w:r>
        <w:rPr>
          <w:w w:val="105"/>
          <w:sz w:val="19"/>
        </w:rPr>
        <w:t>curricular emphasis</w:t>
      </w:r>
      <w:r>
        <w:rPr>
          <w:spacing w:val="-12"/>
          <w:w w:val="105"/>
          <w:sz w:val="19"/>
        </w:rPr>
        <w:t> </w:t>
      </w:r>
      <w:r>
        <w:rPr>
          <w:w w:val="105"/>
          <w:sz w:val="19"/>
        </w:rPr>
        <w:t>is</w:t>
      </w:r>
      <w:r>
        <w:rPr>
          <w:spacing w:val="-6"/>
          <w:w w:val="105"/>
          <w:sz w:val="19"/>
        </w:rPr>
        <w:t> </w:t>
      </w:r>
      <w:r>
        <w:rPr>
          <w:w w:val="105"/>
          <w:sz w:val="19"/>
        </w:rPr>
        <w:t>scientific</w:t>
      </w:r>
      <w:r>
        <w:rPr>
          <w:spacing w:val="-12"/>
          <w:w w:val="105"/>
          <w:sz w:val="19"/>
        </w:rPr>
        <w:t> </w:t>
      </w:r>
      <w:r>
        <w:rPr>
          <w:w w:val="105"/>
          <w:sz w:val="19"/>
        </w:rPr>
        <w:t>and</w:t>
      </w:r>
      <w:r>
        <w:rPr>
          <w:spacing w:val="-14"/>
          <w:w w:val="105"/>
          <w:sz w:val="19"/>
        </w:rPr>
        <w:t> </w:t>
      </w:r>
      <w:r>
        <w:rPr>
          <w:w w:val="105"/>
          <w:sz w:val="19"/>
        </w:rPr>
        <w:t>professional, with</w:t>
      </w:r>
      <w:r>
        <w:rPr>
          <w:spacing w:val="-3"/>
          <w:w w:val="105"/>
          <w:sz w:val="19"/>
        </w:rPr>
        <w:t> </w:t>
      </w:r>
      <w:r>
        <w:rPr>
          <w:w w:val="105"/>
          <w:sz w:val="19"/>
        </w:rPr>
        <w:t>a</w:t>
      </w:r>
      <w:r>
        <w:rPr>
          <w:spacing w:val="-10"/>
          <w:w w:val="105"/>
          <w:sz w:val="19"/>
        </w:rPr>
        <w:t> </w:t>
      </w:r>
      <w:r>
        <w:rPr>
          <w:w w:val="105"/>
          <w:sz w:val="19"/>
        </w:rPr>
        <w:t>strong</w:t>
      </w:r>
      <w:r>
        <w:rPr>
          <w:spacing w:val="-1"/>
          <w:w w:val="105"/>
          <w:sz w:val="19"/>
        </w:rPr>
        <w:t> </w:t>
      </w:r>
      <w:r>
        <w:rPr>
          <w:w w:val="105"/>
          <w:sz w:val="19"/>
        </w:rPr>
        <w:t>liberal</w:t>
      </w:r>
      <w:r>
        <w:rPr>
          <w:spacing w:val="-11"/>
          <w:w w:val="105"/>
          <w:sz w:val="19"/>
        </w:rPr>
        <w:t> </w:t>
      </w:r>
      <w:r>
        <w:rPr>
          <w:w w:val="105"/>
          <w:sz w:val="19"/>
        </w:rPr>
        <w:t>arts</w:t>
      </w:r>
      <w:r>
        <w:rPr>
          <w:spacing w:val="-2"/>
          <w:w w:val="105"/>
          <w:sz w:val="19"/>
        </w:rPr>
        <w:t> </w:t>
      </w:r>
      <w:r>
        <w:rPr>
          <w:w w:val="105"/>
          <w:sz w:val="19"/>
        </w:rPr>
        <w:t>undergirding. In carrying</w:t>
      </w:r>
      <w:r>
        <w:rPr>
          <w:spacing w:val="-5"/>
          <w:w w:val="105"/>
          <w:sz w:val="19"/>
        </w:rPr>
        <w:t> </w:t>
      </w:r>
      <w:r>
        <w:rPr>
          <w:w w:val="105"/>
          <w:sz w:val="19"/>
        </w:rPr>
        <w:t>out</w:t>
      </w:r>
      <w:r>
        <w:rPr>
          <w:spacing w:val="-8"/>
          <w:w w:val="105"/>
          <w:sz w:val="19"/>
        </w:rPr>
        <w:t> </w:t>
      </w:r>
      <w:r>
        <w:rPr>
          <w:w w:val="105"/>
          <w:sz w:val="19"/>
        </w:rPr>
        <w:t>its</w:t>
      </w:r>
      <w:r>
        <w:rPr>
          <w:spacing w:val="-9"/>
          <w:w w:val="105"/>
          <w:sz w:val="19"/>
        </w:rPr>
        <w:t> </w:t>
      </w:r>
      <w:r>
        <w:rPr>
          <w:w w:val="105"/>
          <w:sz w:val="19"/>
        </w:rPr>
        <w:t>mission,</w:t>
      </w:r>
      <w:r>
        <w:rPr>
          <w:spacing w:val="-2"/>
          <w:w w:val="105"/>
          <w:sz w:val="19"/>
        </w:rPr>
        <w:t> </w:t>
      </w:r>
      <w:r>
        <w:rPr>
          <w:w w:val="105"/>
          <w:sz w:val="19"/>
        </w:rPr>
        <w:t>the</w:t>
      </w:r>
      <w:r>
        <w:rPr>
          <w:spacing w:val="-6"/>
          <w:w w:val="105"/>
          <w:sz w:val="19"/>
        </w:rPr>
        <w:t> </w:t>
      </w:r>
      <w:r>
        <w:rPr>
          <w:w w:val="105"/>
          <w:sz w:val="19"/>
        </w:rPr>
        <w:t>University requires that everything that it does be of the highest quality.</w:t>
      </w:r>
    </w:p>
    <w:p>
      <w:pPr>
        <w:pStyle w:val="BodyText"/>
        <w:spacing w:before="9"/>
        <w:rPr>
          <w:sz w:val="19"/>
        </w:rPr>
      </w:pPr>
    </w:p>
    <w:p>
      <w:pPr>
        <w:spacing w:line="254" w:lineRule="auto" w:before="0"/>
        <w:ind w:left="1662" w:right="331" w:firstLine="12"/>
        <w:jc w:val="left"/>
        <w:rPr>
          <w:sz w:val="19"/>
        </w:rPr>
      </w:pPr>
      <w:r>
        <w:rPr>
          <w:w w:val="105"/>
          <w:sz w:val="19"/>
        </w:rPr>
        <w:t>A historically black</w:t>
      </w:r>
      <w:r>
        <w:rPr>
          <w:spacing w:val="-1"/>
          <w:w w:val="105"/>
          <w:sz w:val="19"/>
        </w:rPr>
        <w:t> </w:t>
      </w:r>
      <w:r>
        <w:rPr>
          <w:w w:val="105"/>
          <w:sz w:val="19"/>
        </w:rPr>
        <w:t>institution, Hampton University is committed to</w:t>
      </w:r>
      <w:r>
        <w:rPr>
          <w:spacing w:val="-6"/>
          <w:w w:val="105"/>
          <w:sz w:val="19"/>
        </w:rPr>
        <w:t> </w:t>
      </w:r>
      <w:r>
        <w:rPr>
          <w:w w:val="105"/>
          <w:sz w:val="19"/>
        </w:rPr>
        <w:t>multiculturalism.</w:t>
      </w:r>
      <w:r>
        <w:rPr>
          <w:spacing w:val="-2"/>
          <w:w w:val="105"/>
          <w:sz w:val="19"/>
        </w:rPr>
        <w:t> </w:t>
      </w:r>
      <w:r>
        <w:rPr>
          <w:w w:val="105"/>
          <w:sz w:val="19"/>
        </w:rPr>
        <w:t>The University serves students from</w:t>
      </w:r>
      <w:r>
        <w:rPr>
          <w:spacing w:val="-2"/>
          <w:w w:val="105"/>
          <w:sz w:val="19"/>
        </w:rPr>
        <w:t> </w:t>
      </w:r>
      <w:r>
        <w:rPr>
          <w:w w:val="105"/>
          <w:sz w:val="19"/>
        </w:rPr>
        <w:t>diverse</w:t>
      </w:r>
      <w:r>
        <w:rPr>
          <w:spacing w:val="-3"/>
          <w:w w:val="105"/>
          <w:sz w:val="19"/>
        </w:rPr>
        <w:t> </w:t>
      </w:r>
      <w:r>
        <w:rPr>
          <w:w w:val="105"/>
          <w:sz w:val="19"/>
        </w:rPr>
        <w:t>national, cultural, and economic backgrounds. From</w:t>
      </w:r>
      <w:r>
        <w:rPr>
          <w:spacing w:val="-8"/>
          <w:w w:val="105"/>
          <w:sz w:val="19"/>
        </w:rPr>
        <w:t> </w:t>
      </w:r>
      <w:r>
        <w:rPr>
          <w:w w:val="105"/>
          <w:sz w:val="19"/>
        </w:rPr>
        <w:t>its beginning to the</w:t>
      </w:r>
      <w:r>
        <w:rPr>
          <w:spacing w:val="-3"/>
          <w:w w:val="105"/>
          <w:sz w:val="19"/>
        </w:rPr>
        <w:t> </w:t>
      </w:r>
      <w:r>
        <w:rPr>
          <w:w w:val="105"/>
          <w:sz w:val="19"/>
        </w:rPr>
        <w:t>present, the institution</w:t>
      </w:r>
      <w:r>
        <w:rPr>
          <w:spacing w:val="-3"/>
          <w:w w:val="105"/>
          <w:sz w:val="19"/>
        </w:rPr>
        <w:t> </w:t>
      </w:r>
      <w:r>
        <w:rPr>
          <w:w w:val="105"/>
          <w:sz w:val="19"/>
        </w:rPr>
        <w:t>has enrolled students from five continents: North</w:t>
      </w:r>
      <w:r>
        <w:rPr>
          <w:spacing w:val="-8"/>
          <w:w w:val="105"/>
          <w:sz w:val="19"/>
        </w:rPr>
        <w:t> </w:t>
      </w:r>
      <w:r>
        <w:rPr>
          <w:w w:val="105"/>
          <w:sz w:val="19"/>
        </w:rPr>
        <w:t>America,</w:t>
      </w:r>
      <w:r>
        <w:rPr>
          <w:spacing w:val="-1"/>
          <w:w w:val="105"/>
          <w:sz w:val="19"/>
        </w:rPr>
        <w:t> </w:t>
      </w:r>
      <w:r>
        <w:rPr>
          <w:w w:val="105"/>
          <w:sz w:val="19"/>
        </w:rPr>
        <w:t>South</w:t>
      </w:r>
      <w:r>
        <w:rPr>
          <w:spacing w:val="-3"/>
          <w:w w:val="105"/>
          <w:sz w:val="19"/>
        </w:rPr>
        <w:t> </w:t>
      </w:r>
      <w:r>
        <w:rPr>
          <w:w w:val="105"/>
          <w:sz w:val="19"/>
        </w:rPr>
        <w:t>America, Africa,</w:t>
      </w:r>
      <w:r>
        <w:rPr>
          <w:spacing w:val="-8"/>
          <w:w w:val="105"/>
          <w:sz w:val="19"/>
        </w:rPr>
        <w:t> </w:t>
      </w:r>
      <w:r>
        <w:rPr>
          <w:w w:val="105"/>
          <w:sz w:val="19"/>
        </w:rPr>
        <w:t>Asia,</w:t>
      </w:r>
      <w:r>
        <w:rPr>
          <w:spacing w:val="-16"/>
          <w:w w:val="105"/>
          <w:sz w:val="19"/>
        </w:rPr>
        <w:t> </w:t>
      </w:r>
      <w:r>
        <w:rPr>
          <w:w w:val="105"/>
          <w:sz w:val="19"/>
        </w:rPr>
        <w:t>and</w:t>
      </w:r>
      <w:r>
        <w:rPr>
          <w:spacing w:val="-14"/>
          <w:w w:val="105"/>
          <w:sz w:val="19"/>
        </w:rPr>
        <w:t> </w:t>
      </w:r>
      <w:r>
        <w:rPr>
          <w:w w:val="105"/>
          <w:sz w:val="19"/>
        </w:rPr>
        <w:t>Europe; and,</w:t>
      </w:r>
      <w:r>
        <w:rPr>
          <w:spacing w:val="-3"/>
          <w:w w:val="105"/>
          <w:sz w:val="19"/>
        </w:rPr>
        <w:t> </w:t>
      </w:r>
      <w:r>
        <w:rPr>
          <w:w w:val="105"/>
          <w:sz w:val="19"/>
        </w:rPr>
        <w:t>many</w:t>
      </w:r>
      <w:r>
        <w:rPr>
          <w:spacing w:val="-13"/>
          <w:w w:val="105"/>
          <w:sz w:val="19"/>
        </w:rPr>
        <w:t> </w:t>
      </w:r>
      <w:r>
        <w:rPr>
          <w:w w:val="105"/>
          <w:sz w:val="19"/>
        </w:rPr>
        <w:t>countries including Gabon, Kenya, Ghana, Japan, China, Armenia, Great</w:t>
      </w:r>
      <w:r>
        <w:rPr>
          <w:spacing w:val="-6"/>
          <w:w w:val="105"/>
          <w:sz w:val="19"/>
        </w:rPr>
        <w:t> </w:t>
      </w:r>
      <w:r>
        <w:rPr>
          <w:w w:val="105"/>
          <w:sz w:val="19"/>
        </w:rPr>
        <w:t>Britain and</w:t>
      </w:r>
      <w:r>
        <w:rPr>
          <w:spacing w:val="-2"/>
          <w:w w:val="105"/>
          <w:sz w:val="19"/>
        </w:rPr>
        <w:t> </w:t>
      </w:r>
      <w:r>
        <w:rPr>
          <w:w w:val="105"/>
          <w:sz w:val="19"/>
        </w:rPr>
        <w:t>Russia, as well</w:t>
      </w:r>
      <w:r>
        <w:rPr>
          <w:spacing w:val="-2"/>
          <w:w w:val="105"/>
          <w:sz w:val="19"/>
        </w:rPr>
        <w:t> </w:t>
      </w:r>
      <w:r>
        <w:rPr>
          <w:w w:val="105"/>
          <w:sz w:val="19"/>
        </w:rPr>
        <w:t>as the Hawaiian and</w:t>
      </w:r>
      <w:r>
        <w:rPr>
          <w:spacing w:val="-7"/>
          <w:w w:val="105"/>
          <w:sz w:val="19"/>
        </w:rPr>
        <w:t> </w:t>
      </w:r>
      <w:r>
        <w:rPr>
          <w:w w:val="105"/>
          <w:sz w:val="19"/>
        </w:rPr>
        <w:t>Caribbean Islands and numerous Indian nations. Placing its students at the</w:t>
      </w:r>
      <w:r>
        <w:rPr>
          <w:spacing w:val="-13"/>
          <w:w w:val="105"/>
          <w:sz w:val="19"/>
        </w:rPr>
        <w:t> </w:t>
      </w:r>
      <w:r>
        <w:rPr>
          <w:w w:val="105"/>
          <w:sz w:val="19"/>
        </w:rPr>
        <w:t>center of</w:t>
      </w:r>
      <w:r>
        <w:rPr>
          <w:spacing w:val="-4"/>
          <w:w w:val="105"/>
          <w:sz w:val="19"/>
        </w:rPr>
        <w:t> </w:t>
      </w:r>
      <w:r>
        <w:rPr>
          <w:w w:val="105"/>
          <w:sz w:val="19"/>
        </w:rPr>
        <w:t>its planning, the University provides a holistic educational environment. Leaming</w:t>
      </w:r>
      <w:r>
        <w:rPr>
          <w:spacing w:val="-1"/>
          <w:w w:val="105"/>
          <w:sz w:val="19"/>
        </w:rPr>
        <w:t> </w:t>
      </w:r>
      <w:r>
        <w:rPr>
          <w:w w:val="105"/>
          <w:sz w:val="19"/>
        </w:rPr>
        <w:t>is facilitated by a range of educational offerings, a rigorous curriculum, excellent teaching, professional experiences, multiple leadership opportunities,</w:t>
      </w:r>
      <w:r>
        <w:rPr>
          <w:spacing w:val="-5"/>
          <w:w w:val="105"/>
          <w:sz w:val="19"/>
        </w:rPr>
        <w:t> </w:t>
      </w:r>
      <w:r>
        <w:rPr>
          <w:w w:val="105"/>
          <w:sz w:val="19"/>
        </w:rPr>
        <w:t>and</w:t>
      </w:r>
      <w:r>
        <w:rPr>
          <w:spacing w:val="-1"/>
          <w:w w:val="105"/>
          <w:sz w:val="19"/>
        </w:rPr>
        <w:t> </w:t>
      </w:r>
      <w:r>
        <w:rPr>
          <w:w w:val="105"/>
          <w:sz w:val="19"/>
        </w:rPr>
        <w:t>an emphasis on the development of character which</w:t>
      </w:r>
      <w:r>
        <w:rPr>
          <w:spacing w:val="-3"/>
          <w:w w:val="105"/>
          <w:sz w:val="19"/>
        </w:rPr>
        <w:t> </w:t>
      </w:r>
      <w:r>
        <w:rPr>
          <w:w w:val="105"/>
          <w:sz w:val="19"/>
        </w:rPr>
        <w:t>values integrity, respect, decency, dignity, and responsibility.</w:t>
      </w:r>
    </w:p>
    <w:p>
      <w:pPr>
        <w:pStyle w:val="BodyText"/>
        <w:spacing w:before="5"/>
      </w:pPr>
    </w:p>
    <w:p>
      <w:pPr>
        <w:spacing w:line="247" w:lineRule="auto" w:before="0"/>
        <w:ind w:left="1657" w:right="311" w:firstLine="11"/>
        <w:jc w:val="left"/>
        <w:rPr>
          <w:sz w:val="19"/>
        </w:rPr>
      </w:pPr>
      <w:r>
        <w:rPr>
          <w:w w:val="105"/>
          <w:sz w:val="19"/>
        </w:rPr>
        <w:t>Research</w:t>
      </w:r>
      <w:r>
        <w:rPr>
          <w:spacing w:val="-3"/>
          <w:w w:val="105"/>
          <w:sz w:val="19"/>
        </w:rPr>
        <w:t> </w:t>
      </w:r>
      <w:r>
        <w:rPr>
          <w:w w:val="105"/>
          <w:sz w:val="19"/>
        </w:rPr>
        <w:t>and</w:t>
      </w:r>
      <w:r>
        <w:rPr>
          <w:spacing w:val="-12"/>
          <w:w w:val="105"/>
          <w:sz w:val="19"/>
        </w:rPr>
        <w:t> </w:t>
      </w:r>
      <w:r>
        <w:rPr>
          <w:w w:val="105"/>
          <w:sz w:val="19"/>
        </w:rPr>
        <w:t>public</w:t>
      </w:r>
      <w:r>
        <w:rPr>
          <w:spacing w:val="-10"/>
          <w:w w:val="105"/>
          <w:sz w:val="19"/>
        </w:rPr>
        <w:t> </w:t>
      </w:r>
      <w:r>
        <w:rPr>
          <w:w w:val="105"/>
          <w:sz w:val="19"/>
        </w:rPr>
        <w:t>service</w:t>
      </w:r>
      <w:r>
        <w:rPr>
          <w:spacing w:val="-2"/>
          <w:w w:val="105"/>
          <w:sz w:val="19"/>
        </w:rPr>
        <w:t> </w:t>
      </w:r>
      <w:r>
        <w:rPr>
          <w:w w:val="105"/>
          <w:sz w:val="19"/>
        </w:rPr>
        <w:t>are</w:t>
      </w:r>
      <w:r>
        <w:rPr>
          <w:spacing w:val="-15"/>
          <w:w w:val="105"/>
          <w:sz w:val="19"/>
        </w:rPr>
        <w:t> </w:t>
      </w:r>
      <w:r>
        <w:rPr>
          <w:w w:val="105"/>
          <w:sz w:val="19"/>
        </w:rPr>
        <w:t>integral</w:t>
      </w:r>
      <w:r>
        <w:rPr>
          <w:spacing w:val="-6"/>
          <w:w w:val="105"/>
          <w:sz w:val="19"/>
        </w:rPr>
        <w:t> </w:t>
      </w:r>
      <w:r>
        <w:rPr>
          <w:w w:val="105"/>
          <w:sz w:val="19"/>
        </w:rPr>
        <w:t>parts</w:t>
      </w:r>
      <w:r>
        <w:rPr>
          <w:spacing w:val="-5"/>
          <w:w w:val="105"/>
          <w:sz w:val="19"/>
        </w:rPr>
        <w:t> </w:t>
      </w:r>
      <w:r>
        <w:rPr>
          <w:w w:val="105"/>
          <w:sz w:val="19"/>
        </w:rPr>
        <w:t>of</w:t>
      </w:r>
      <w:r>
        <w:rPr>
          <w:spacing w:val="-2"/>
          <w:w w:val="105"/>
          <w:sz w:val="19"/>
        </w:rPr>
        <w:t> </w:t>
      </w:r>
      <w:r>
        <w:rPr>
          <w:w w:val="105"/>
          <w:sz w:val="19"/>
        </w:rPr>
        <w:t>Hampton's mission.</w:t>
      </w:r>
      <w:r>
        <w:rPr>
          <w:spacing w:val="-9"/>
          <w:w w:val="105"/>
          <w:sz w:val="19"/>
        </w:rPr>
        <w:t> </w:t>
      </w:r>
      <w:r>
        <w:rPr>
          <w:w w:val="105"/>
          <w:sz w:val="19"/>
        </w:rPr>
        <w:t>In order</w:t>
      </w:r>
      <w:r>
        <w:rPr>
          <w:spacing w:val="-1"/>
          <w:w w:val="105"/>
          <w:sz w:val="19"/>
        </w:rPr>
        <w:t> </w:t>
      </w:r>
      <w:r>
        <w:rPr>
          <w:w w:val="105"/>
          <w:sz w:val="19"/>
        </w:rPr>
        <w:t>to</w:t>
      </w:r>
      <w:r>
        <w:rPr>
          <w:spacing w:val="-2"/>
          <w:w w:val="105"/>
          <w:sz w:val="19"/>
        </w:rPr>
        <w:t> </w:t>
      </w:r>
      <w:r>
        <w:rPr>
          <w:w w:val="105"/>
          <w:sz w:val="19"/>
        </w:rPr>
        <w:t>enhance scholarship and discovery, faculty-are engaged in writing,</w:t>
      </w:r>
      <w:r>
        <w:rPr>
          <w:spacing w:val="-3"/>
          <w:w w:val="105"/>
          <w:sz w:val="19"/>
        </w:rPr>
        <w:t> </w:t>
      </w:r>
      <w:r>
        <w:rPr>
          <w:w w:val="105"/>
          <w:sz w:val="19"/>
        </w:rPr>
        <w:t>research, and</w:t>
      </w:r>
      <w:r>
        <w:rPr>
          <w:spacing w:val="-1"/>
          <w:w w:val="105"/>
          <w:sz w:val="19"/>
        </w:rPr>
        <w:t> </w:t>
      </w:r>
      <w:r>
        <w:rPr>
          <w:w w:val="105"/>
          <w:sz w:val="19"/>
        </w:rPr>
        <w:t>grantsmanship. Faculty, staff,</w:t>
      </w:r>
      <w:r>
        <w:rPr>
          <w:spacing w:val="-8"/>
          <w:w w:val="105"/>
          <w:sz w:val="19"/>
        </w:rPr>
        <w:t> </w:t>
      </w:r>
      <w:r>
        <w:rPr>
          <w:w w:val="105"/>
          <w:sz w:val="19"/>
        </w:rPr>
        <w:t>and</w:t>
      </w:r>
      <w:r>
        <w:rPr>
          <w:spacing w:val="-4"/>
          <w:w w:val="105"/>
          <w:sz w:val="19"/>
        </w:rPr>
        <w:t> </w:t>
      </w:r>
      <w:r>
        <w:rPr>
          <w:w w:val="105"/>
          <w:sz w:val="19"/>
        </w:rPr>
        <w:t>students provide leadership and</w:t>
      </w:r>
      <w:r>
        <w:rPr>
          <w:spacing w:val="-4"/>
          <w:w w:val="105"/>
          <w:sz w:val="19"/>
        </w:rPr>
        <w:t> </w:t>
      </w:r>
      <w:r>
        <w:rPr>
          <w:w w:val="105"/>
          <w:sz w:val="19"/>
        </w:rPr>
        <w:t>service</w:t>
      </w:r>
      <w:r>
        <w:rPr>
          <w:spacing w:val="-1"/>
          <w:w w:val="105"/>
          <w:sz w:val="19"/>
        </w:rPr>
        <w:t> </w:t>
      </w:r>
      <w:r>
        <w:rPr>
          <w:w w:val="105"/>
          <w:sz w:val="19"/>
        </w:rPr>
        <w:t>to</w:t>
      </w:r>
      <w:r>
        <w:rPr>
          <w:spacing w:val="-19"/>
          <w:w w:val="105"/>
          <w:sz w:val="19"/>
        </w:rPr>
        <w:t> </w:t>
      </w:r>
      <w:r>
        <w:rPr>
          <w:w w:val="105"/>
          <w:sz w:val="19"/>
        </w:rPr>
        <w:t>Hampton</w:t>
      </w:r>
      <w:r>
        <w:rPr>
          <w:spacing w:val="-1"/>
          <w:w w:val="105"/>
          <w:sz w:val="19"/>
        </w:rPr>
        <w:t> </w:t>
      </w:r>
      <w:r>
        <w:rPr>
          <w:w w:val="105"/>
          <w:sz w:val="19"/>
        </w:rPr>
        <w:t>University as well as the global community.</w:t>
      </w:r>
    </w:p>
    <w:p>
      <w:pPr>
        <w:pStyle w:val="BodyText"/>
        <w:spacing w:before="4"/>
        <w:rPr>
          <w:sz w:val="21"/>
        </w:rPr>
      </w:pPr>
    </w:p>
    <w:p>
      <w:pPr>
        <w:spacing w:line="249" w:lineRule="auto" w:before="0"/>
        <w:ind w:left="1658" w:right="475" w:hanging="2"/>
        <w:jc w:val="left"/>
        <w:rPr>
          <w:sz w:val="19"/>
        </w:rPr>
      </w:pPr>
      <w:r>
        <w:rPr>
          <w:w w:val="105"/>
          <w:sz w:val="19"/>
        </w:rPr>
        <w:t>In achieving its mission, Hampton University offers exemplary programs and opportunities which</w:t>
      </w:r>
      <w:r>
        <w:rPr>
          <w:spacing w:val="-1"/>
          <w:w w:val="105"/>
          <w:sz w:val="19"/>
        </w:rPr>
        <w:t> </w:t>
      </w:r>
      <w:r>
        <w:rPr>
          <w:w w:val="105"/>
          <w:sz w:val="19"/>
        </w:rPr>
        <w:t>enable students, faculty and</w:t>
      </w:r>
      <w:r>
        <w:rPr>
          <w:spacing w:val="-13"/>
          <w:w w:val="105"/>
          <w:sz w:val="19"/>
        </w:rPr>
        <w:t> </w:t>
      </w:r>
      <w:r>
        <w:rPr>
          <w:w w:val="105"/>
          <w:sz w:val="19"/>
        </w:rPr>
        <w:t>staff</w:t>
      </w:r>
      <w:r>
        <w:rPr>
          <w:spacing w:val="-9"/>
          <w:w w:val="105"/>
          <w:sz w:val="19"/>
        </w:rPr>
        <w:t> </w:t>
      </w:r>
      <w:r>
        <w:rPr>
          <w:w w:val="105"/>
          <w:sz w:val="19"/>
        </w:rPr>
        <w:t>to</w:t>
      </w:r>
      <w:r>
        <w:rPr>
          <w:spacing w:val="-19"/>
          <w:w w:val="105"/>
          <w:sz w:val="19"/>
        </w:rPr>
        <w:t> </w:t>
      </w:r>
      <w:r>
        <w:rPr>
          <w:w w:val="105"/>
          <w:sz w:val="19"/>
        </w:rPr>
        <w:t>grow,</w:t>
      </w:r>
      <w:r>
        <w:rPr>
          <w:spacing w:val="-6"/>
          <w:w w:val="105"/>
          <w:sz w:val="19"/>
        </w:rPr>
        <w:t> </w:t>
      </w:r>
      <w:r>
        <w:rPr>
          <w:w w:val="105"/>
          <w:sz w:val="19"/>
        </w:rPr>
        <w:t>develop and</w:t>
      </w:r>
      <w:r>
        <w:rPr>
          <w:spacing w:val="-15"/>
          <w:w w:val="105"/>
          <w:sz w:val="19"/>
        </w:rPr>
        <w:t> </w:t>
      </w:r>
      <w:r>
        <w:rPr>
          <w:w w:val="105"/>
          <w:sz w:val="19"/>
        </w:rPr>
        <w:t>contribute to our society in a productive, useful manner.</w:t>
      </w:r>
    </w:p>
    <w:p>
      <w:pPr>
        <w:pStyle w:val="BodyText"/>
        <w:spacing w:before="3"/>
      </w:pPr>
    </w:p>
    <w:p>
      <w:pPr>
        <w:spacing w:before="0"/>
        <w:ind w:left="1653" w:right="0" w:firstLine="0"/>
        <w:jc w:val="left"/>
        <w:rPr>
          <w:sz w:val="19"/>
        </w:rPr>
      </w:pPr>
      <w:r>
        <w:rPr>
          <w:w w:val="105"/>
          <w:sz w:val="19"/>
        </w:rPr>
        <w:t>1.2.2</w:t>
      </w:r>
      <w:r>
        <w:rPr>
          <w:spacing w:val="-14"/>
          <w:w w:val="105"/>
          <w:sz w:val="19"/>
        </w:rPr>
        <w:t> </w:t>
      </w:r>
      <w:r>
        <w:rPr>
          <w:w w:val="105"/>
          <w:sz w:val="19"/>
        </w:rPr>
        <w:t>School</w:t>
      </w:r>
      <w:r>
        <w:rPr>
          <w:spacing w:val="-14"/>
          <w:w w:val="105"/>
          <w:sz w:val="19"/>
        </w:rPr>
        <w:t> </w:t>
      </w:r>
      <w:r>
        <w:rPr>
          <w:w w:val="105"/>
          <w:sz w:val="19"/>
        </w:rPr>
        <w:t>of</w:t>
      </w:r>
      <w:r>
        <w:rPr>
          <w:spacing w:val="-8"/>
          <w:w w:val="105"/>
          <w:sz w:val="19"/>
        </w:rPr>
        <w:t> </w:t>
      </w:r>
      <w:r>
        <w:rPr>
          <w:w w:val="105"/>
          <w:sz w:val="19"/>
        </w:rPr>
        <w:t>Engineering</w:t>
      </w:r>
      <w:r>
        <w:rPr>
          <w:spacing w:val="8"/>
          <w:w w:val="105"/>
          <w:sz w:val="19"/>
        </w:rPr>
        <w:t> </w:t>
      </w:r>
      <w:r>
        <w:rPr>
          <w:w w:val="105"/>
          <w:sz w:val="19"/>
        </w:rPr>
        <w:t>and</w:t>
      </w:r>
      <w:r>
        <w:rPr>
          <w:spacing w:val="-22"/>
          <w:w w:val="105"/>
          <w:sz w:val="19"/>
        </w:rPr>
        <w:t> </w:t>
      </w:r>
      <w:r>
        <w:rPr>
          <w:w w:val="105"/>
          <w:sz w:val="19"/>
        </w:rPr>
        <w:t>Technology</w:t>
      </w:r>
      <w:r>
        <w:rPr>
          <w:spacing w:val="12"/>
          <w:w w:val="105"/>
          <w:sz w:val="19"/>
        </w:rPr>
        <w:t> </w:t>
      </w:r>
      <w:r>
        <w:rPr>
          <w:w w:val="105"/>
          <w:sz w:val="19"/>
        </w:rPr>
        <w:t>Mission</w:t>
      </w:r>
      <w:r>
        <w:rPr>
          <w:spacing w:val="-4"/>
          <w:w w:val="105"/>
          <w:sz w:val="19"/>
        </w:rPr>
        <w:t> </w:t>
      </w:r>
      <w:r>
        <w:rPr>
          <w:spacing w:val="-2"/>
          <w:w w:val="105"/>
          <w:sz w:val="19"/>
        </w:rPr>
        <w:t>Statement</w:t>
      </w:r>
    </w:p>
    <w:p>
      <w:pPr>
        <w:pStyle w:val="BodyText"/>
        <w:spacing w:before="2"/>
        <w:rPr>
          <w:sz w:val="21"/>
        </w:rPr>
      </w:pPr>
    </w:p>
    <w:p>
      <w:pPr>
        <w:spacing w:line="252" w:lineRule="auto" w:before="0"/>
        <w:ind w:left="1649" w:right="475" w:firstLine="1"/>
        <w:jc w:val="left"/>
        <w:rPr>
          <w:sz w:val="19"/>
        </w:rPr>
      </w:pPr>
      <w:r>
        <w:rPr>
          <w:w w:val="105"/>
          <w:sz w:val="19"/>
        </w:rPr>
        <w:t>The</w:t>
      </w:r>
      <w:r>
        <w:rPr>
          <w:spacing w:val="-5"/>
          <w:w w:val="105"/>
          <w:sz w:val="19"/>
        </w:rPr>
        <w:t> </w:t>
      </w:r>
      <w:r>
        <w:rPr>
          <w:w w:val="105"/>
          <w:sz w:val="19"/>
        </w:rPr>
        <w:t>School</w:t>
      </w:r>
      <w:r>
        <w:rPr>
          <w:spacing w:val="-11"/>
          <w:w w:val="105"/>
          <w:sz w:val="19"/>
        </w:rPr>
        <w:t> </w:t>
      </w:r>
      <w:r>
        <w:rPr>
          <w:w w:val="105"/>
          <w:sz w:val="19"/>
        </w:rPr>
        <w:t>of Engineering and</w:t>
      </w:r>
      <w:r>
        <w:rPr>
          <w:spacing w:val="-6"/>
          <w:w w:val="105"/>
          <w:sz w:val="19"/>
        </w:rPr>
        <w:t> </w:t>
      </w:r>
      <w:r>
        <w:rPr>
          <w:w w:val="105"/>
          <w:sz w:val="19"/>
        </w:rPr>
        <w:t>Technology</w:t>
      </w:r>
      <w:r>
        <w:rPr>
          <w:spacing w:val="27"/>
          <w:w w:val="105"/>
          <w:sz w:val="19"/>
        </w:rPr>
        <w:t> </w:t>
      </w:r>
      <w:r>
        <w:rPr>
          <w:w w:val="105"/>
          <w:sz w:val="19"/>
        </w:rPr>
        <w:t>offers</w:t>
      </w:r>
      <w:r>
        <w:rPr>
          <w:spacing w:val="-3"/>
          <w:w w:val="105"/>
          <w:sz w:val="19"/>
        </w:rPr>
        <w:t> </w:t>
      </w:r>
      <w:r>
        <w:rPr>
          <w:w w:val="105"/>
          <w:sz w:val="19"/>
        </w:rPr>
        <w:t>programs reading to baccalaureate degrees in Aviation, Chemical Engineering, Computer Engineering,</w:t>
      </w:r>
      <w:r>
        <w:rPr>
          <w:spacing w:val="34"/>
          <w:w w:val="105"/>
          <w:sz w:val="19"/>
        </w:rPr>
        <w:t> </w:t>
      </w:r>
      <w:r>
        <w:rPr>
          <w:w w:val="105"/>
          <w:sz w:val="19"/>
        </w:rPr>
        <w:t>Electrical Engineering, and</w:t>
      </w:r>
      <w:r>
        <w:rPr>
          <w:spacing w:val="-2"/>
          <w:w w:val="105"/>
          <w:sz w:val="19"/>
        </w:rPr>
        <w:t> </w:t>
      </w:r>
      <w:r>
        <w:rPr>
          <w:w w:val="105"/>
          <w:sz w:val="19"/>
        </w:rPr>
        <w:t>leading to a Masters of Architecture first</w:t>
      </w:r>
      <w:r>
        <w:rPr>
          <w:spacing w:val="-9"/>
          <w:w w:val="105"/>
          <w:sz w:val="19"/>
        </w:rPr>
        <w:t> </w:t>
      </w:r>
      <w:r>
        <w:rPr>
          <w:w w:val="105"/>
          <w:sz w:val="19"/>
        </w:rPr>
        <w:t>professional degree. These programs</w:t>
      </w:r>
      <w:r>
        <w:rPr>
          <w:spacing w:val="-9"/>
          <w:w w:val="105"/>
          <w:sz w:val="19"/>
        </w:rPr>
        <w:t> </w:t>
      </w:r>
      <w:r>
        <w:rPr>
          <w:w w:val="105"/>
          <w:sz w:val="19"/>
        </w:rPr>
        <w:t>are</w:t>
      </w:r>
      <w:r>
        <w:rPr>
          <w:spacing w:val="-8"/>
          <w:w w:val="105"/>
          <w:sz w:val="19"/>
        </w:rPr>
        <w:t> </w:t>
      </w:r>
      <w:r>
        <w:rPr>
          <w:w w:val="105"/>
          <w:sz w:val="19"/>
        </w:rPr>
        <w:t>designed</w:t>
      </w:r>
      <w:r>
        <w:rPr>
          <w:spacing w:val="-7"/>
          <w:w w:val="105"/>
          <w:sz w:val="19"/>
        </w:rPr>
        <w:t> </w:t>
      </w:r>
      <w:r>
        <w:rPr>
          <w:w w:val="105"/>
          <w:sz w:val="19"/>
        </w:rPr>
        <w:t>not</w:t>
      </w:r>
      <w:r>
        <w:rPr>
          <w:spacing w:val="-10"/>
          <w:w w:val="105"/>
          <w:sz w:val="19"/>
        </w:rPr>
        <w:t> </w:t>
      </w:r>
      <w:r>
        <w:rPr>
          <w:w w:val="105"/>
          <w:sz w:val="19"/>
        </w:rPr>
        <w:t>only to</w:t>
      </w:r>
      <w:r>
        <w:rPr>
          <w:spacing w:val="-16"/>
          <w:w w:val="105"/>
          <w:sz w:val="19"/>
        </w:rPr>
        <w:t> </w:t>
      </w:r>
      <w:r>
        <w:rPr>
          <w:w w:val="105"/>
          <w:sz w:val="19"/>
        </w:rPr>
        <w:t>prepare graduates for</w:t>
      </w:r>
      <w:r>
        <w:rPr>
          <w:spacing w:val="-7"/>
          <w:w w:val="105"/>
          <w:sz w:val="19"/>
        </w:rPr>
        <w:t> </w:t>
      </w:r>
      <w:r>
        <w:rPr>
          <w:w w:val="105"/>
          <w:sz w:val="19"/>
        </w:rPr>
        <w:t>advanced study</w:t>
      </w:r>
      <w:r>
        <w:rPr>
          <w:spacing w:val="-1"/>
          <w:w w:val="105"/>
          <w:sz w:val="19"/>
        </w:rPr>
        <w:t> </w:t>
      </w:r>
      <w:r>
        <w:rPr>
          <w:w w:val="105"/>
          <w:sz w:val="19"/>
        </w:rPr>
        <w:t>in the</w:t>
      </w:r>
      <w:r>
        <w:rPr>
          <w:spacing w:val="-15"/>
          <w:w w:val="105"/>
          <w:sz w:val="19"/>
        </w:rPr>
        <w:t> </w:t>
      </w:r>
      <w:r>
        <w:rPr>
          <w:w w:val="105"/>
          <w:sz w:val="19"/>
        </w:rPr>
        <w:t>major or related fields;</w:t>
      </w:r>
      <w:r>
        <w:rPr>
          <w:spacing w:val="-1"/>
          <w:w w:val="105"/>
          <w:sz w:val="19"/>
        </w:rPr>
        <w:t> </w:t>
      </w:r>
      <w:r>
        <w:rPr>
          <w:w w:val="105"/>
          <w:sz w:val="19"/>
        </w:rPr>
        <w:t>they are also designed to prepare graduates for the</w:t>
      </w:r>
      <w:r>
        <w:rPr>
          <w:spacing w:val="-6"/>
          <w:w w:val="105"/>
          <w:sz w:val="19"/>
        </w:rPr>
        <w:t> </w:t>
      </w:r>
      <w:r>
        <w:rPr>
          <w:w w:val="105"/>
          <w:sz w:val="19"/>
        </w:rPr>
        <w:t>interdisciplinary and global</w:t>
      </w:r>
      <w:r>
        <w:rPr>
          <w:spacing w:val="-9"/>
          <w:w w:val="105"/>
          <w:sz w:val="19"/>
        </w:rPr>
        <w:t> </w:t>
      </w:r>
      <w:r>
        <w:rPr>
          <w:w w:val="105"/>
          <w:sz w:val="19"/>
        </w:rPr>
        <w:t>workplace.</w:t>
      </w:r>
    </w:p>
    <w:p>
      <w:pPr>
        <w:pStyle w:val="BodyText"/>
        <w:rPr>
          <w:sz w:val="21"/>
        </w:rPr>
      </w:pPr>
    </w:p>
    <w:p>
      <w:pPr>
        <w:spacing w:line="249" w:lineRule="auto" w:before="0"/>
        <w:ind w:left="1648" w:right="475" w:firstLine="7"/>
        <w:jc w:val="left"/>
        <w:rPr>
          <w:sz w:val="19"/>
        </w:rPr>
      </w:pPr>
      <w:r>
        <w:rPr>
          <w:w w:val="105"/>
          <w:sz w:val="19"/>
        </w:rPr>
        <w:t>Additionally, graduates</w:t>
      </w:r>
      <w:r>
        <w:rPr>
          <w:spacing w:val="-1"/>
          <w:w w:val="105"/>
          <w:sz w:val="19"/>
        </w:rPr>
        <w:t> </w:t>
      </w:r>
      <w:r>
        <w:rPr>
          <w:w w:val="105"/>
          <w:sz w:val="19"/>
        </w:rPr>
        <w:t>will</w:t>
      </w:r>
      <w:r>
        <w:rPr>
          <w:spacing w:val="-14"/>
          <w:w w:val="105"/>
          <w:sz w:val="19"/>
        </w:rPr>
        <w:t> </w:t>
      </w:r>
      <w:r>
        <w:rPr>
          <w:w w:val="105"/>
          <w:sz w:val="19"/>
        </w:rPr>
        <w:t>possess</w:t>
      </w:r>
      <w:r>
        <w:rPr>
          <w:spacing w:val="-5"/>
          <w:w w:val="105"/>
          <w:sz w:val="19"/>
        </w:rPr>
        <w:t> </w:t>
      </w:r>
      <w:r>
        <w:rPr>
          <w:w w:val="105"/>
          <w:sz w:val="19"/>
        </w:rPr>
        <w:t>a</w:t>
      </w:r>
      <w:r>
        <w:rPr>
          <w:spacing w:val="-7"/>
          <w:w w:val="105"/>
          <w:sz w:val="19"/>
        </w:rPr>
        <w:t> </w:t>
      </w:r>
      <w:r>
        <w:rPr>
          <w:w w:val="105"/>
          <w:sz w:val="19"/>
        </w:rPr>
        <w:t>general</w:t>
      </w:r>
      <w:r>
        <w:rPr>
          <w:spacing w:val="-12"/>
          <w:w w:val="105"/>
          <w:sz w:val="19"/>
        </w:rPr>
        <w:t> </w:t>
      </w:r>
      <w:r>
        <w:rPr>
          <w:w w:val="105"/>
          <w:sz w:val="19"/>
        </w:rPr>
        <w:t>educational</w:t>
      </w:r>
      <w:r>
        <w:rPr>
          <w:spacing w:val="-1"/>
          <w:w w:val="105"/>
          <w:sz w:val="19"/>
        </w:rPr>
        <w:t> </w:t>
      </w:r>
      <w:r>
        <w:rPr>
          <w:w w:val="105"/>
          <w:sz w:val="19"/>
        </w:rPr>
        <w:t>background that</w:t>
      </w:r>
      <w:r>
        <w:rPr>
          <w:spacing w:val="-9"/>
          <w:w w:val="105"/>
          <w:sz w:val="19"/>
        </w:rPr>
        <w:t> </w:t>
      </w:r>
      <w:r>
        <w:rPr>
          <w:w w:val="105"/>
          <w:sz w:val="19"/>
        </w:rPr>
        <w:t>facilitates an awareness of the professional's</w:t>
      </w:r>
      <w:r>
        <w:rPr>
          <w:spacing w:val="-9"/>
          <w:w w:val="105"/>
          <w:sz w:val="19"/>
        </w:rPr>
        <w:t> </w:t>
      </w:r>
      <w:r>
        <w:rPr>
          <w:w w:val="105"/>
          <w:sz w:val="19"/>
        </w:rPr>
        <w:t>social</w:t>
      </w:r>
      <w:r>
        <w:rPr>
          <w:spacing w:val="-5"/>
          <w:w w:val="105"/>
          <w:sz w:val="19"/>
        </w:rPr>
        <w:t> </w:t>
      </w:r>
      <w:r>
        <w:rPr>
          <w:w w:val="105"/>
          <w:sz w:val="19"/>
        </w:rPr>
        <w:t>responsibility to the community as well as an appreciation for the importance of continuing professional development and</w:t>
      </w:r>
      <w:r>
        <w:rPr>
          <w:spacing w:val="-1"/>
          <w:w w:val="105"/>
          <w:sz w:val="19"/>
        </w:rPr>
        <w:t> </w:t>
      </w:r>
      <w:r>
        <w:rPr>
          <w:w w:val="105"/>
          <w:sz w:val="19"/>
        </w:rPr>
        <w:t>lifelong </w:t>
      </w:r>
      <w:r>
        <w:rPr>
          <w:spacing w:val="-2"/>
          <w:w w:val="105"/>
          <w:sz w:val="19"/>
        </w:rPr>
        <w:t>learning.</w:t>
      </w:r>
    </w:p>
    <w:p>
      <w:pPr>
        <w:pStyle w:val="BodyText"/>
        <w:spacing w:before="7"/>
      </w:pPr>
    </w:p>
    <w:p>
      <w:pPr>
        <w:spacing w:line="249" w:lineRule="auto" w:before="0"/>
        <w:ind w:left="1648" w:right="311" w:firstLine="2"/>
        <w:jc w:val="left"/>
        <w:rPr>
          <w:sz w:val="19"/>
        </w:rPr>
      </w:pPr>
      <w:r>
        <w:rPr>
          <w:w w:val="105"/>
          <w:sz w:val="19"/>
        </w:rPr>
        <w:t>The</w:t>
      </w:r>
      <w:r>
        <w:rPr>
          <w:spacing w:val="-14"/>
          <w:w w:val="105"/>
          <w:sz w:val="19"/>
        </w:rPr>
        <w:t> </w:t>
      </w:r>
      <w:r>
        <w:rPr>
          <w:w w:val="105"/>
          <w:sz w:val="19"/>
        </w:rPr>
        <w:t>School</w:t>
      </w:r>
      <w:r>
        <w:rPr>
          <w:spacing w:val="-14"/>
          <w:w w:val="105"/>
          <w:sz w:val="19"/>
        </w:rPr>
        <w:t> </w:t>
      </w:r>
      <w:r>
        <w:rPr>
          <w:w w:val="105"/>
          <w:sz w:val="19"/>
        </w:rPr>
        <w:t>of</w:t>
      </w:r>
      <w:r>
        <w:rPr>
          <w:spacing w:val="-4"/>
          <w:w w:val="105"/>
          <w:sz w:val="19"/>
        </w:rPr>
        <w:t> </w:t>
      </w:r>
      <w:r>
        <w:rPr>
          <w:w w:val="105"/>
          <w:sz w:val="19"/>
        </w:rPr>
        <w:t>Engineering and</w:t>
      </w:r>
      <w:r>
        <w:rPr>
          <w:spacing w:val="-5"/>
          <w:w w:val="105"/>
          <w:sz w:val="19"/>
        </w:rPr>
        <w:t> </w:t>
      </w:r>
      <w:r>
        <w:rPr>
          <w:w w:val="105"/>
          <w:sz w:val="19"/>
        </w:rPr>
        <w:t>Technology</w:t>
      </w:r>
      <w:r>
        <w:rPr>
          <w:spacing w:val="15"/>
          <w:w w:val="105"/>
          <w:sz w:val="19"/>
        </w:rPr>
        <w:t> </w:t>
      </w:r>
      <w:r>
        <w:rPr>
          <w:w w:val="105"/>
          <w:sz w:val="19"/>
        </w:rPr>
        <w:t>is</w:t>
      </w:r>
      <w:r>
        <w:rPr>
          <w:spacing w:val="-3"/>
          <w:w w:val="105"/>
          <w:sz w:val="19"/>
        </w:rPr>
        <w:t> </w:t>
      </w:r>
      <w:r>
        <w:rPr>
          <w:w w:val="105"/>
          <w:sz w:val="19"/>
        </w:rPr>
        <w:t>committed</w:t>
      </w:r>
      <w:r>
        <w:rPr>
          <w:spacing w:val="-6"/>
          <w:w w:val="105"/>
          <w:sz w:val="19"/>
        </w:rPr>
        <w:t> </w:t>
      </w:r>
      <w:r>
        <w:rPr>
          <w:w w:val="105"/>
          <w:sz w:val="19"/>
        </w:rPr>
        <w:t>to</w:t>
      </w:r>
      <w:r>
        <w:rPr>
          <w:spacing w:val="-3"/>
          <w:w w:val="105"/>
          <w:sz w:val="19"/>
        </w:rPr>
        <w:t> </w:t>
      </w:r>
      <w:r>
        <w:rPr>
          <w:w w:val="105"/>
          <w:sz w:val="19"/>
        </w:rPr>
        <w:t>insuring</w:t>
      </w:r>
      <w:r>
        <w:rPr>
          <w:spacing w:val="-9"/>
          <w:w w:val="105"/>
          <w:sz w:val="19"/>
        </w:rPr>
        <w:t> </w:t>
      </w:r>
      <w:r>
        <w:rPr>
          <w:w w:val="105"/>
          <w:sz w:val="19"/>
        </w:rPr>
        <w:t>that</w:t>
      </w:r>
      <w:r>
        <w:rPr>
          <w:spacing w:val="-17"/>
          <w:w w:val="105"/>
          <w:sz w:val="19"/>
        </w:rPr>
        <w:t> </w:t>
      </w:r>
      <w:r>
        <w:rPr>
          <w:w w:val="105"/>
          <w:sz w:val="19"/>
        </w:rPr>
        <w:t>higher</w:t>
      </w:r>
      <w:r>
        <w:rPr>
          <w:spacing w:val="-3"/>
          <w:w w:val="105"/>
          <w:sz w:val="19"/>
        </w:rPr>
        <w:t> </w:t>
      </w:r>
      <w:r>
        <w:rPr>
          <w:w w:val="105"/>
          <w:sz w:val="19"/>
        </w:rPr>
        <w:t>education opportunities</w:t>
      </w:r>
      <w:r>
        <w:rPr>
          <w:spacing w:val="31"/>
          <w:w w:val="105"/>
          <w:sz w:val="19"/>
        </w:rPr>
        <w:t> </w:t>
      </w:r>
      <w:r>
        <w:rPr>
          <w:w w:val="105"/>
          <w:sz w:val="19"/>
        </w:rPr>
        <w:t>in the Engineering and</w:t>
      </w:r>
      <w:r>
        <w:rPr>
          <w:spacing w:val="-4"/>
          <w:w w:val="105"/>
          <w:sz w:val="19"/>
        </w:rPr>
        <w:t> </w:t>
      </w:r>
      <w:r>
        <w:rPr>
          <w:w w:val="105"/>
          <w:sz w:val="19"/>
        </w:rPr>
        <w:t>Technology professions are available to</w:t>
      </w:r>
      <w:r>
        <w:rPr>
          <w:spacing w:val="-5"/>
          <w:w w:val="105"/>
          <w:sz w:val="19"/>
        </w:rPr>
        <w:t> </w:t>
      </w:r>
      <w:r>
        <w:rPr>
          <w:w w:val="105"/>
          <w:sz w:val="19"/>
        </w:rPr>
        <w:t>African Americans, and to informing the community of significant contributions made</w:t>
      </w:r>
      <w:r>
        <w:rPr>
          <w:spacing w:val="-2"/>
          <w:w w:val="105"/>
          <w:sz w:val="19"/>
        </w:rPr>
        <w:t> </w:t>
      </w:r>
      <w:r>
        <w:rPr>
          <w:w w:val="105"/>
          <w:sz w:val="19"/>
        </w:rPr>
        <w:t>to the professions by African Americans. The School of Engineering and</w:t>
      </w:r>
      <w:r>
        <w:rPr>
          <w:spacing w:val="-5"/>
          <w:w w:val="105"/>
          <w:sz w:val="19"/>
        </w:rPr>
        <w:t> </w:t>
      </w:r>
      <w:r>
        <w:rPr>
          <w:w w:val="105"/>
          <w:sz w:val="19"/>
        </w:rPr>
        <w:t>Technology also provides service functions to other units at the</w:t>
      </w:r>
      <w:r>
        <w:rPr>
          <w:spacing w:val="-11"/>
          <w:w w:val="105"/>
          <w:sz w:val="19"/>
        </w:rPr>
        <w:t> </w:t>
      </w:r>
      <w:r>
        <w:rPr>
          <w:w w:val="105"/>
          <w:sz w:val="19"/>
        </w:rPr>
        <w:t>University, including the departments of Physics, Music Engineering, Marine and</w:t>
      </w:r>
      <w:r>
        <w:rPr>
          <w:spacing w:val="-1"/>
          <w:w w:val="105"/>
          <w:sz w:val="19"/>
        </w:rPr>
        <w:t> </w:t>
      </w:r>
      <w:r>
        <w:rPr>
          <w:w w:val="105"/>
          <w:sz w:val="19"/>
        </w:rPr>
        <w:t>Environmental Science and Computer Science and the School of Business.</w:t>
      </w:r>
    </w:p>
    <w:p>
      <w:pPr>
        <w:pStyle w:val="BodyText"/>
      </w:pPr>
    </w:p>
    <w:p>
      <w:pPr>
        <w:pStyle w:val="BodyText"/>
      </w:pPr>
    </w:p>
    <w:p>
      <w:pPr>
        <w:pStyle w:val="BodyText"/>
      </w:pPr>
    </w:p>
    <w:p>
      <w:pPr>
        <w:pStyle w:val="BodyText"/>
        <w:spacing w:before="1"/>
        <w:rPr>
          <w:sz w:val="21"/>
        </w:rPr>
      </w:pPr>
      <w:r>
        <w:rPr/>
        <w:pict>
          <v:shape style="position:absolute;margin-left:63.597477pt;margin-top:13.323975pt;width:453.4pt;height:.1pt;mso-position-horizontal-relative:page;mso-position-vertical-relative:paragraph;z-index:-15694336;mso-wrap-distance-left:0;mso-wrap-distance-right:0" id="docshape669" coordorigin="1272,266" coordsize="9068,0" path="m1272,266l10339,266e" filled="false" stroked="true" strokeweight=".481434pt" strokecolor="#000000">
            <v:path arrowok="t"/>
            <v:stroke dashstyle="solid"/>
            <w10:wrap type="topAndBottom"/>
          </v:shape>
        </w:pict>
      </w:r>
    </w:p>
    <w:p>
      <w:pPr>
        <w:pStyle w:val="BodyText"/>
        <w:spacing w:line="211" w:lineRule="exact"/>
        <w:ind w:left="194"/>
      </w:pPr>
      <w:r>
        <w:rPr>
          <w:spacing w:val="-5"/>
          <w:w w:val="110"/>
        </w:rPr>
        <w:t>26</w:t>
      </w:r>
    </w:p>
    <w:p>
      <w:pPr>
        <w:spacing w:after="0" w:line="211" w:lineRule="exact"/>
        <w:sectPr>
          <w:headerReference w:type="default" r:id="rId409"/>
          <w:footerReference w:type="default" r:id="rId410"/>
          <w:pgSz w:w="12180" w:h="15820"/>
          <w:pgMar w:header="685" w:footer="0" w:top="1380" w:bottom="280" w:left="1120" w:right="1180"/>
        </w:sectPr>
      </w:pPr>
    </w:p>
    <w:p>
      <w:pPr>
        <w:pStyle w:val="BodyText"/>
        <w:spacing w:before="9"/>
        <w:rPr>
          <w:sz w:val="19"/>
        </w:rPr>
      </w:pPr>
    </w:p>
    <w:p>
      <w:pPr>
        <w:pStyle w:val="ListParagraph"/>
        <w:numPr>
          <w:ilvl w:val="0"/>
          <w:numId w:val="79"/>
        </w:numPr>
        <w:tabs>
          <w:tab w:pos="1650" w:val="left" w:leader="none"/>
          <w:tab w:pos="1651" w:val="left" w:leader="none"/>
        </w:tabs>
        <w:spacing w:line="240" w:lineRule="auto" w:before="95" w:after="0"/>
        <w:ind w:left="1650" w:right="0" w:hanging="708"/>
        <w:jc w:val="left"/>
        <w:rPr>
          <w:sz w:val="19"/>
        </w:rPr>
      </w:pPr>
      <w:r>
        <w:rPr>
          <w:w w:val="110"/>
          <w:sz w:val="19"/>
        </w:rPr>
        <w:t>Program</w:t>
      </w:r>
      <w:r>
        <w:rPr>
          <w:spacing w:val="11"/>
          <w:w w:val="110"/>
          <w:sz w:val="19"/>
        </w:rPr>
        <w:t> </w:t>
      </w:r>
      <w:r>
        <w:rPr>
          <w:spacing w:val="-2"/>
          <w:w w:val="110"/>
          <w:sz w:val="19"/>
        </w:rPr>
        <w:t>History</w:t>
      </w:r>
    </w:p>
    <w:p>
      <w:pPr>
        <w:pStyle w:val="BodyText"/>
        <w:spacing w:before="2"/>
        <w:rPr>
          <w:sz w:val="21"/>
        </w:rPr>
      </w:pPr>
    </w:p>
    <w:p>
      <w:pPr>
        <w:spacing w:line="276" w:lineRule="auto" w:before="0"/>
        <w:ind w:left="1649" w:right="475" w:firstLine="0"/>
        <w:jc w:val="left"/>
        <w:rPr>
          <w:sz w:val="19"/>
        </w:rPr>
      </w:pPr>
      <w:r>
        <w:rPr>
          <w:i/>
          <w:w w:val="105"/>
          <w:sz w:val="19"/>
        </w:rPr>
        <w:t>The</w:t>
      </w:r>
      <w:r>
        <w:rPr>
          <w:i/>
          <w:spacing w:val="-3"/>
          <w:w w:val="105"/>
          <w:sz w:val="19"/>
        </w:rPr>
        <w:t> </w:t>
      </w:r>
      <w:r>
        <w:rPr>
          <w:i/>
          <w:w w:val="105"/>
          <w:sz w:val="19"/>
        </w:rPr>
        <w:t>following text</w:t>
      </w:r>
      <w:r>
        <w:rPr>
          <w:i/>
          <w:spacing w:val="-8"/>
          <w:w w:val="105"/>
          <w:sz w:val="19"/>
        </w:rPr>
        <w:t> </w:t>
      </w:r>
      <w:r>
        <w:rPr>
          <w:i/>
          <w:w w:val="105"/>
          <w:sz w:val="19"/>
        </w:rPr>
        <w:t>is</w:t>
      </w:r>
      <w:r>
        <w:rPr>
          <w:i/>
          <w:spacing w:val="-1"/>
          <w:w w:val="105"/>
          <w:sz w:val="19"/>
        </w:rPr>
        <w:t> </w:t>
      </w:r>
      <w:r>
        <w:rPr>
          <w:i/>
          <w:w w:val="105"/>
          <w:sz w:val="19"/>
        </w:rPr>
        <w:t>taken from</w:t>
      </w:r>
      <w:r>
        <w:rPr>
          <w:i/>
          <w:spacing w:val="-5"/>
          <w:w w:val="105"/>
          <w:sz w:val="19"/>
        </w:rPr>
        <w:t> </w:t>
      </w:r>
      <w:r>
        <w:rPr>
          <w:i/>
          <w:w w:val="105"/>
          <w:sz w:val="19"/>
        </w:rPr>
        <w:t>the</w:t>
      </w:r>
      <w:r>
        <w:rPr>
          <w:i/>
          <w:spacing w:val="-8"/>
          <w:w w:val="105"/>
          <w:sz w:val="19"/>
        </w:rPr>
        <w:t> </w:t>
      </w:r>
      <w:r>
        <w:rPr>
          <w:i/>
          <w:w w:val="105"/>
          <w:sz w:val="19"/>
        </w:rPr>
        <w:t>2009 Hampton University </w:t>
      </w:r>
      <w:r>
        <w:rPr>
          <w:w w:val="105"/>
          <w:sz w:val="19"/>
        </w:rPr>
        <w:t>Architecture Program </w:t>
      </w:r>
      <w:r>
        <w:rPr>
          <w:spacing w:val="-2"/>
          <w:w w:val="105"/>
          <w:sz w:val="19"/>
        </w:rPr>
        <w:t>Report</w:t>
      </w:r>
    </w:p>
    <w:p>
      <w:pPr>
        <w:pStyle w:val="BodyText"/>
        <w:spacing w:before="5"/>
        <w:rPr>
          <w:sz w:val="17"/>
        </w:rPr>
      </w:pPr>
    </w:p>
    <w:p>
      <w:pPr>
        <w:spacing w:line="256" w:lineRule="auto" w:before="0"/>
        <w:ind w:left="1648" w:right="475" w:firstLine="0"/>
        <w:jc w:val="left"/>
        <w:rPr>
          <w:sz w:val="19"/>
        </w:rPr>
      </w:pPr>
      <w:r>
        <w:rPr>
          <w:w w:val="105"/>
          <w:sz w:val="19"/>
        </w:rPr>
        <w:t>Research indicated that course work in architecture drafting was being offered to students in</w:t>
      </w:r>
      <w:r>
        <w:rPr>
          <w:spacing w:val="-4"/>
          <w:w w:val="105"/>
          <w:sz w:val="19"/>
        </w:rPr>
        <w:t> </w:t>
      </w:r>
      <w:r>
        <w:rPr>
          <w:w w:val="105"/>
          <w:sz w:val="19"/>
        </w:rPr>
        <w:t>Industrial Arts</w:t>
      </w:r>
      <w:r>
        <w:rPr>
          <w:spacing w:val="-2"/>
          <w:w w:val="105"/>
          <w:sz w:val="19"/>
        </w:rPr>
        <w:t> </w:t>
      </w:r>
      <w:r>
        <w:rPr>
          <w:w w:val="105"/>
          <w:sz w:val="19"/>
        </w:rPr>
        <w:t>Technology and</w:t>
      </w:r>
      <w:r>
        <w:rPr>
          <w:spacing w:val="-12"/>
          <w:w w:val="105"/>
          <w:sz w:val="19"/>
        </w:rPr>
        <w:t> </w:t>
      </w:r>
      <w:r>
        <w:rPr>
          <w:w w:val="105"/>
          <w:sz w:val="19"/>
        </w:rPr>
        <w:t>Building</w:t>
      </w:r>
      <w:r>
        <w:rPr>
          <w:spacing w:val="-5"/>
          <w:w w:val="105"/>
          <w:sz w:val="19"/>
        </w:rPr>
        <w:t> </w:t>
      </w:r>
      <w:r>
        <w:rPr>
          <w:w w:val="105"/>
          <w:sz w:val="19"/>
        </w:rPr>
        <w:t>Technology as early as 1889.</w:t>
      </w:r>
      <w:r>
        <w:rPr>
          <w:spacing w:val="-6"/>
          <w:w w:val="105"/>
          <w:sz w:val="19"/>
        </w:rPr>
        <w:t> </w:t>
      </w:r>
      <w:r>
        <w:rPr>
          <w:w w:val="105"/>
          <w:sz w:val="19"/>
        </w:rPr>
        <w:t>Many of the old buildings on campus, including Bemis Laboratories, Memorial Chapel, and Ogden Hall</w:t>
      </w:r>
      <w:r>
        <w:rPr>
          <w:spacing w:val="-11"/>
          <w:w w:val="105"/>
          <w:sz w:val="19"/>
        </w:rPr>
        <w:t> </w:t>
      </w:r>
      <w:r>
        <w:rPr>
          <w:w w:val="105"/>
          <w:sz w:val="19"/>
        </w:rPr>
        <w:t>Auditorium were either</w:t>
      </w:r>
      <w:r>
        <w:rPr>
          <w:spacing w:val="-1"/>
          <w:w w:val="105"/>
          <w:sz w:val="19"/>
        </w:rPr>
        <w:t> </w:t>
      </w:r>
      <w:r>
        <w:rPr>
          <w:w w:val="105"/>
          <w:sz w:val="19"/>
        </w:rPr>
        <w:t>designed by faculty or built</w:t>
      </w:r>
      <w:r>
        <w:rPr>
          <w:spacing w:val="-8"/>
          <w:w w:val="105"/>
          <w:sz w:val="19"/>
        </w:rPr>
        <w:t> </w:t>
      </w:r>
      <w:r>
        <w:rPr>
          <w:w w:val="105"/>
          <w:sz w:val="19"/>
        </w:rPr>
        <w:t>by faculty and students.</w:t>
      </w:r>
    </w:p>
    <w:p>
      <w:pPr>
        <w:pStyle w:val="BodyText"/>
      </w:pPr>
    </w:p>
    <w:p>
      <w:pPr>
        <w:spacing w:line="254" w:lineRule="auto" w:before="0"/>
        <w:ind w:left="1652" w:right="311" w:firstLine="3"/>
        <w:jc w:val="left"/>
        <w:rPr>
          <w:sz w:val="19"/>
        </w:rPr>
      </w:pPr>
      <w:r>
        <w:rPr>
          <w:w w:val="105"/>
          <w:sz w:val="19"/>
        </w:rPr>
        <w:t>Architecture, as a separate and distinct study, has</w:t>
      </w:r>
      <w:r>
        <w:rPr>
          <w:spacing w:val="-4"/>
          <w:w w:val="105"/>
          <w:sz w:val="19"/>
        </w:rPr>
        <w:t> </w:t>
      </w:r>
      <w:r>
        <w:rPr>
          <w:w w:val="105"/>
          <w:sz w:val="19"/>
        </w:rPr>
        <w:t>its beginning in the 1930's, when the Division</w:t>
      </w:r>
      <w:r>
        <w:rPr>
          <w:spacing w:val="-4"/>
          <w:w w:val="105"/>
          <w:sz w:val="19"/>
        </w:rPr>
        <w:t> </w:t>
      </w:r>
      <w:r>
        <w:rPr>
          <w:w w:val="105"/>
          <w:sz w:val="19"/>
        </w:rPr>
        <w:t>of Technology added</w:t>
      </w:r>
      <w:r>
        <w:rPr>
          <w:spacing w:val="-10"/>
          <w:w w:val="105"/>
          <w:sz w:val="19"/>
        </w:rPr>
        <w:t> </w:t>
      </w:r>
      <w:r>
        <w:rPr>
          <w:w w:val="105"/>
          <w:sz w:val="19"/>
        </w:rPr>
        <w:t>course</w:t>
      </w:r>
      <w:r>
        <w:rPr>
          <w:spacing w:val="-5"/>
          <w:w w:val="105"/>
          <w:sz w:val="19"/>
        </w:rPr>
        <w:t> </w:t>
      </w:r>
      <w:r>
        <w:rPr>
          <w:w w:val="105"/>
          <w:sz w:val="19"/>
        </w:rPr>
        <w:t>work</w:t>
      </w:r>
      <w:r>
        <w:rPr>
          <w:spacing w:val="-1"/>
          <w:w w:val="105"/>
          <w:sz w:val="19"/>
        </w:rPr>
        <w:t> </w:t>
      </w:r>
      <w:r>
        <w:rPr>
          <w:w w:val="105"/>
          <w:sz w:val="19"/>
        </w:rPr>
        <w:t>in architectural design</w:t>
      </w:r>
      <w:r>
        <w:rPr>
          <w:spacing w:val="-10"/>
          <w:w w:val="105"/>
          <w:sz w:val="19"/>
        </w:rPr>
        <w:t> </w:t>
      </w:r>
      <w:r>
        <w:rPr>
          <w:w w:val="105"/>
          <w:sz w:val="19"/>
        </w:rPr>
        <w:t>to the</w:t>
      </w:r>
      <w:r>
        <w:rPr>
          <w:spacing w:val="-1"/>
          <w:w w:val="105"/>
          <w:sz w:val="19"/>
        </w:rPr>
        <w:t> </w:t>
      </w:r>
      <w:r>
        <w:rPr>
          <w:w w:val="105"/>
          <w:sz w:val="19"/>
        </w:rPr>
        <w:t>technical courses already offered in mechanical drawing. In 1934, William H. Moses, Jr.,</w:t>
      </w:r>
      <w:r>
        <w:rPr>
          <w:spacing w:val="-1"/>
          <w:w w:val="105"/>
          <w:sz w:val="19"/>
        </w:rPr>
        <w:t> </w:t>
      </w:r>
      <w:r>
        <w:rPr>
          <w:w w:val="105"/>
          <w:sz w:val="19"/>
        </w:rPr>
        <w:t>became the first professionally</w:t>
      </w:r>
      <w:r>
        <w:rPr>
          <w:spacing w:val="-6"/>
          <w:w w:val="105"/>
          <w:sz w:val="19"/>
        </w:rPr>
        <w:t> </w:t>
      </w:r>
      <w:r>
        <w:rPr>
          <w:w w:val="105"/>
          <w:sz w:val="19"/>
        </w:rPr>
        <w:t>trained</w:t>
      </w:r>
      <w:r>
        <w:rPr>
          <w:spacing w:val="-2"/>
          <w:w w:val="105"/>
          <w:sz w:val="19"/>
        </w:rPr>
        <w:t> </w:t>
      </w:r>
      <w:r>
        <w:rPr>
          <w:w w:val="105"/>
          <w:sz w:val="19"/>
        </w:rPr>
        <w:t>African American Architect to join</w:t>
      </w:r>
      <w:r>
        <w:rPr>
          <w:spacing w:val="-3"/>
          <w:w w:val="105"/>
          <w:sz w:val="19"/>
        </w:rPr>
        <w:t> </w:t>
      </w:r>
      <w:r>
        <w:rPr>
          <w:w w:val="105"/>
          <w:sz w:val="19"/>
        </w:rPr>
        <w:t>the faculty, replacing Theo</w:t>
      </w:r>
      <w:r>
        <w:rPr>
          <w:spacing w:val="-7"/>
          <w:w w:val="105"/>
          <w:sz w:val="19"/>
        </w:rPr>
        <w:t> </w:t>
      </w:r>
      <w:r>
        <w:rPr>
          <w:w w:val="105"/>
          <w:sz w:val="19"/>
        </w:rPr>
        <w:t>Ballou White. Through William Moses' initiative, a full four year professional curriculum was established within the Division of Technology in</w:t>
      </w:r>
      <w:r>
        <w:rPr>
          <w:spacing w:val="-2"/>
          <w:w w:val="105"/>
          <w:sz w:val="19"/>
        </w:rPr>
        <w:t> </w:t>
      </w:r>
      <w:r>
        <w:rPr>
          <w:w w:val="105"/>
          <w:sz w:val="19"/>
        </w:rPr>
        <w:t>1941. Bachelor of Science degrees were given to students majoring in architecture for the first time in</w:t>
      </w:r>
      <w:r>
        <w:rPr>
          <w:spacing w:val="-5"/>
          <w:w w:val="105"/>
          <w:sz w:val="19"/>
        </w:rPr>
        <w:t> </w:t>
      </w:r>
      <w:r>
        <w:rPr>
          <w:w w:val="105"/>
          <w:sz w:val="19"/>
        </w:rPr>
        <w:t>1948. By 1953, a comprehensive</w:t>
      </w:r>
      <w:r>
        <w:rPr>
          <w:spacing w:val="29"/>
          <w:w w:val="105"/>
          <w:sz w:val="19"/>
        </w:rPr>
        <w:t> </w:t>
      </w:r>
      <w:r>
        <w:rPr>
          <w:w w:val="105"/>
          <w:sz w:val="19"/>
        </w:rPr>
        <w:t>engineering sequence had become a part of the program in architecture. In 1951, this</w:t>
      </w:r>
      <w:r>
        <w:rPr>
          <w:spacing w:val="-3"/>
          <w:w w:val="105"/>
          <w:sz w:val="19"/>
        </w:rPr>
        <w:t> </w:t>
      </w:r>
      <w:r>
        <w:rPr>
          <w:w w:val="105"/>
          <w:sz w:val="19"/>
        </w:rPr>
        <w:t>program was lengthened to five years</w:t>
      </w:r>
      <w:r>
        <w:rPr>
          <w:spacing w:val="-1"/>
          <w:w w:val="105"/>
          <w:sz w:val="19"/>
        </w:rPr>
        <w:t> </w:t>
      </w:r>
      <w:r>
        <w:rPr>
          <w:w w:val="105"/>
          <w:sz w:val="19"/>
        </w:rPr>
        <w:t>in recognition of the</w:t>
      </w:r>
      <w:r>
        <w:rPr>
          <w:spacing w:val="-6"/>
          <w:w w:val="105"/>
          <w:sz w:val="19"/>
        </w:rPr>
        <w:t> </w:t>
      </w:r>
      <w:r>
        <w:rPr>
          <w:w w:val="105"/>
          <w:sz w:val="19"/>
        </w:rPr>
        <w:t>net;!d for broadening the non-professional</w:t>
      </w:r>
      <w:r>
        <w:rPr>
          <w:spacing w:val="-19"/>
          <w:w w:val="105"/>
          <w:sz w:val="19"/>
        </w:rPr>
        <w:t> </w:t>
      </w:r>
      <w:r>
        <w:rPr>
          <w:w w:val="105"/>
          <w:sz w:val="19"/>
        </w:rPr>
        <w:t>aspects of the</w:t>
      </w:r>
      <w:r>
        <w:rPr>
          <w:spacing w:val="-3"/>
          <w:w w:val="105"/>
          <w:sz w:val="19"/>
        </w:rPr>
        <w:t> </w:t>
      </w:r>
      <w:r>
        <w:rPr>
          <w:w w:val="105"/>
          <w:sz w:val="19"/>
        </w:rPr>
        <w:t>program and</w:t>
      </w:r>
      <w:r>
        <w:rPr>
          <w:spacing w:val="-10"/>
          <w:w w:val="105"/>
          <w:sz w:val="19"/>
        </w:rPr>
        <w:t> </w:t>
      </w:r>
      <w:r>
        <w:rPr>
          <w:w w:val="105"/>
          <w:sz w:val="19"/>
        </w:rPr>
        <w:t>in line</w:t>
      </w:r>
      <w:r>
        <w:rPr>
          <w:spacing w:val="-2"/>
          <w:w w:val="105"/>
          <w:sz w:val="19"/>
        </w:rPr>
        <w:t> </w:t>
      </w:r>
      <w:r>
        <w:rPr>
          <w:w w:val="105"/>
          <w:sz w:val="19"/>
        </w:rPr>
        <w:t>with the expansion at other institutions of</w:t>
      </w:r>
      <w:r>
        <w:rPr>
          <w:spacing w:val="-3"/>
          <w:w w:val="105"/>
          <w:sz w:val="19"/>
        </w:rPr>
        <w:t> </w:t>
      </w:r>
      <w:r>
        <w:rPr>
          <w:w w:val="105"/>
          <w:sz w:val="19"/>
        </w:rPr>
        <w:t>undergraduate programs in architecture. Course work in construction, which has been traditional at Hampton, was retained.</w:t>
      </w:r>
    </w:p>
    <w:p>
      <w:pPr>
        <w:pStyle w:val="BodyText"/>
        <w:spacing w:before="6"/>
        <w:rPr>
          <w:sz w:val="19"/>
        </w:rPr>
      </w:pPr>
    </w:p>
    <w:p>
      <w:pPr>
        <w:spacing w:line="252" w:lineRule="auto" w:before="0"/>
        <w:ind w:left="1654" w:right="283" w:firstLine="2"/>
        <w:jc w:val="left"/>
        <w:rPr>
          <w:sz w:val="19"/>
        </w:rPr>
      </w:pPr>
      <w:r>
        <w:rPr>
          <w:w w:val="105"/>
          <w:sz w:val="19"/>
        </w:rPr>
        <w:t>In 1965, Bertram Berenson became the second</w:t>
      </w:r>
      <w:r>
        <w:rPr>
          <w:spacing w:val="-10"/>
          <w:w w:val="105"/>
          <w:sz w:val="19"/>
        </w:rPr>
        <w:t> </w:t>
      </w:r>
      <w:r>
        <w:rPr>
          <w:w w:val="105"/>
          <w:sz w:val="19"/>
        </w:rPr>
        <w:t>Head</w:t>
      </w:r>
      <w:r>
        <w:rPr>
          <w:spacing w:val="-6"/>
          <w:w w:val="105"/>
          <w:sz w:val="19"/>
        </w:rPr>
        <w:t> </w:t>
      </w:r>
      <w:r>
        <w:rPr>
          <w:w w:val="105"/>
          <w:sz w:val="19"/>
        </w:rPr>
        <w:t>of the program in Architecture, and with administrative</w:t>
      </w:r>
      <w:r>
        <w:rPr>
          <w:spacing w:val="-1"/>
          <w:w w:val="105"/>
          <w:sz w:val="19"/>
        </w:rPr>
        <w:t> </w:t>
      </w:r>
      <w:r>
        <w:rPr>
          <w:w w:val="105"/>
          <w:sz w:val="19"/>
        </w:rPr>
        <w:t>and faculty support, began to revise and improve the curriculum. The department was</w:t>
      </w:r>
      <w:r>
        <w:rPr>
          <w:spacing w:val="-13"/>
          <w:w w:val="105"/>
          <w:sz w:val="19"/>
        </w:rPr>
        <w:t> </w:t>
      </w:r>
      <w:r>
        <w:rPr>
          <w:w w:val="105"/>
          <w:sz w:val="19"/>
        </w:rPr>
        <w:t>given full</w:t>
      </w:r>
      <w:r>
        <w:rPr>
          <w:spacing w:val="-1"/>
          <w:w w:val="105"/>
          <w:sz w:val="19"/>
        </w:rPr>
        <w:t> </w:t>
      </w:r>
      <w:r>
        <w:rPr>
          <w:w w:val="105"/>
          <w:sz w:val="19"/>
        </w:rPr>
        <w:t>divisional status in the</w:t>
      </w:r>
      <w:r>
        <w:rPr>
          <w:spacing w:val="-3"/>
          <w:w w:val="105"/>
          <w:sz w:val="19"/>
        </w:rPr>
        <w:t> </w:t>
      </w:r>
      <w:r>
        <w:rPr>
          <w:w w:val="105"/>
          <w:sz w:val="19"/>
        </w:rPr>
        <w:t>summer of 1966. In May 1967, Hampton Institute</w:t>
      </w:r>
      <w:r>
        <w:rPr>
          <w:spacing w:val="20"/>
          <w:w w:val="105"/>
          <w:sz w:val="19"/>
        </w:rPr>
        <w:t> </w:t>
      </w:r>
      <w:r>
        <w:rPr>
          <w:w w:val="105"/>
          <w:sz w:val="19"/>
        </w:rPr>
        <w:t>graduated its</w:t>
      </w:r>
      <w:r>
        <w:rPr>
          <w:spacing w:val="24"/>
          <w:w w:val="105"/>
          <w:sz w:val="19"/>
        </w:rPr>
        <w:t> </w:t>
      </w:r>
      <w:r>
        <w:rPr>
          <w:w w:val="105"/>
          <w:sz w:val="19"/>
        </w:rPr>
        <w:t>first class with the professional degree,</w:t>
      </w:r>
      <w:r>
        <w:rPr>
          <w:spacing w:val="34"/>
          <w:w w:val="105"/>
          <w:sz w:val="19"/>
        </w:rPr>
        <w:t> </w:t>
      </w:r>
      <w:r>
        <w:rPr>
          <w:w w:val="105"/>
          <w:sz w:val="19"/>
        </w:rPr>
        <w:t>the</w:t>
      </w:r>
      <w:r>
        <w:rPr>
          <w:spacing w:val="-2"/>
          <w:w w:val="105"/>
          <w:sz w:val="19"/>
        </w:rPr>
        <w:t> </w:t>
      </w:r>
      <w:r>
        <w:rPr>
          <w:w w:val="105"/>
          <w:sz w:val="19"/>
        </w:rPr>
        <w:t>Bachelor</w:t>
      </w:r>
      <w:r>
        <w:rPr>
          <w:spacing w:val="22"/>
          <w:w w:val="105"/>
          <w:sz w:val="19"/>
        </w:rPr>
        <w:t> </w:t>
      </w:r>
      <w:r>
        <w:rPr>
          <w:w w:val="105"/>
          <w:sz w:val="19"/>
        </w:rPr>
        <w:t>of</w:t>
      </w:r>
      <w:r>
        <w:rPr>
          <w:w w:val="105"/>
          <w:sz w:val="19"/>
        </w:rPr>
        <w:t> Architecture. In 1969</w:t>
      </w:r>
      <w:r>
        <w:rPr>
          <w:spacing w:val="-4"/>
          <w:w w:val="105"/>
          <w:sz w:val="19"/>
        </w:rPr>
        <w:t> </w:t>
      </w:r>
      <w:r>
        <w:rPr>
          <w:w w:val="105"/>
          <w:sz w:val="19"/>
        </w:rPr>
        <w:t>the Division of Architecture received its first</w:t>
      </w:r>
      <w:r>
        <w:rPr>
          <w:spacing w:val="-9"/>
          <w:w w:val="105"/>
          <w:sz w:val="19"/>
        </w:rPr>
        <w:t> </w:t>
      </w:r>
      <w:r>
        <w:rPr>
          <w:w w:val="105"/>
          <w:sz w:val="19"/>
        </w:rPr>
        <w:t>accreditation, for a two year period, from the National Architectural Accrediting Board.</w:t>
      </w:r>
    </w:p>
    <w:p>
      <w:pPr>
        <w:pStyle w:val="BodyText"/>
        <w:spacing w:before="2"/>
      </w:pPr>
    </w:p>
    <w:p>
      <w:pPr>
        <w:spacing w:line="249" w:lineRule="auto" w:before="0"/>
        <w:ind w:left="1660" w:right="475" w:hanging="4"/>
        <w:jc w:val="left"/>
        <w:rPr>
          <w:sz w:val="19"/>
        </w:rPr>
      </w:pPr>
      <w:r>
        <w:rPr>
          <w:w w:val="105"/>
          <w:sz w:val="19"/>
        </w:rPr>
        <w:t>In 1970, John</w:t>
      </w:r>
      <w:r>
        <w:rPr>
          <w:spacing w:val="-13"/>
          <w:w w:val="105"/>
          <w:sz w:val="19"/>
        </w:rPr>
        <w:t> </w:t>
      </w:r>
      <w:r>
        <w:rPr>
          <w:w w:val="105"/>
          <w:sz w:val="19"/>
        </w:rPr>
        <w:t>H. Spencer became the Division Director following the resignation of Bertram Berenson. Spencer</w:t>
      </w:r>
      <w:r>
        <w:rPr>
          <w:spacing w:val="-5"/>
          <w:w w:val="105"/>
          <w:sz w:val="19"/>
        </w:rPr>
        <w:t> </w:t>
      </w:r>
      <w:r>
        <w:rPr>
          <w:w w:val="105"/>
          <w:sz w:val="19"/>
        </w:rPr>
        <w:t>continued the</w:t>
      </w:r>
      <w:r>
        <w:rPr>
          <w:spacing w:val="-3"/>
          <w:w w:val="105"/>
          <w:sz w:val="19"/>
        </w:rPr>
        <w:t> </w:t>
      </w:r>
      <w:r>
        <w:rPr>
          <w:w w:val="105"/>
          <w:sz w:val="19"/>
        </w:rPr>
        <w:t>program</w:t>
      </w:r>
      <w:r>
        <w:rPr>
          <w:spacing w:val="-1"/>
          <w:w w:val="105"/>
          <w:sz w:val="19"/>
        </w:rPr>
        <w:t> </w:t>
      </w:r>
      <w:r>
        <w:rPr>
          <w:w w:val="105"/>
          <w:sz w:val="19"/>
        </w:rPr>
        <w:t>development started</w:t>
      </w:r>
      <w:r>
        <w:rPr>
          <w:spacing w:val="-2"/>
          <w:w w:val="105"/>
          <w:sz w:val="19"/>
        </w:rPr>
        <w:t> </w:t>
      </w:r>
      <w:r>
        <w:rPr>
          <w:w w:val="105"/>
          <w:sz w:val="19"/>
        </w:rPr>
        <w:t>by Berenson, The Division of Architecture received a full five year</w:t>
      </w:r>
      <w:r>
        <w:rPr>
          <w:spacing w:val="-3"/>
          <w:w w:val="105"/>
          <w:sz w:val="19"/>
        </w:rPr>
        <w:t> </w:t>
      </w:r>
      <w:r>
        <w:rPr>
          <w:w w:val="105"/>
          <w:sz w:val="19"/>
        </w:rPr>
        <w:t>accreditation in 1972.</w:t>
      </w:r>
    </w:p>
    <w:p>
      <w:pPr>
        <w:pStyle w:val="BodyText"/>
        <w:spacing w:before="3"/>
      </w:pPr>
    </w:p>
    <w:p>
      <w:pPr>
        <w:spacing w:line="254" w:lineRule="auto" w:before="0"/>
        <w:ind w:left="1665" w:right="283" w:firstLine="7"/>
        <w:jc w:val="left"/>
        <w:rPr>
          <w:sz w:val="19"/>
        </w:rPr>
      </w:pPr>
      <w:r>
        <w:rPr>
          <w:w w:val="105"/>
          <w:sz w:val="19"/>
        </w:rPr>
        <w:t>With changes in the structure of Hampton Institute in 1972, the autonomous Division of Architecture became the Department of Architecture in the Division of Social and Environmental Studies. Further</w:t>
      </w:r>
      <w:r>
        <w:rPr>
          <w:spacing w:val="-1"/>
          <w:w w:val="105"/>
          <w:sz w:val="19"/>
        </w:rPr>
        <w:t> </w:t>
      </w:r>
      <w:r>
        <w:rPr>
          <w:w w:val="105"/>
          <w:sz w:val="19"/>
        </w:rPr>
        <w:t>changes</w:t>
      </w:r>
      <w:r>
        <w:rPr>
          <w:spacing w:val="-3"/>
          <w:w w:val="105"/>
          <w:sz w:val="19"/>
        </w:rPr>
        <w:t> </w:t>
      </w:r>
      <w:r>
        <w:rPr>
          <w:w w:val="105"/>
          <w:sz w:val="19"/>
        </w:rPr>
        <w:t>in 1979</w:t>
      </w:r>
      <w:r>
        <w:rPr>
          <w:spacing w:val="-4"/>
          <w:w w:val="105"/>
          <w:sz w:val="19"/>
        </w:rPr>
        <w:t> </w:t>
      </w:r>
      <w:r>
        <w:rPr>
          <w:w w:val="105"/>
          <w:sz w:val="19"/>
        </w:rPr>
        <w:t>placed</w:t>
      </w:r>
      <w:r>
        <w:rPr>
          <w:spacing w:val="-5"/>
          <w:w w:val="105"/>
          <w:sz w:val="19"/>
        </w:rPr>
        <w:t> </w:t>
      </w:r>
      <w:r>
        <w:rPr>
          <w:w w:val="105"/>
          <w:sz w:val="19"/>
        </w:rPr>
        <w:t>the</w:t>
      </w:r>
      <w:r>
        <w:rPr>
          <w:spacing w:val="-6"/>
          <w:w w:val="105"/>
          <w:sz w:val="19"/>
        </w:rPr>
        <w:t> </w:t>
      </w:r>
      <w:r>
        <w:rPr>
          <w:w w:val="105"/>
          <w:sz w:val="19"/>
        </w:rPr>
        <w:t>Department of Architecture in the School of Pure and Applied Sciences.</w:t>
      </w:r>
    </w:p>
    <w:p>
      <w:pPr>
        <w:pStyle w:val="BodyText"/>
        <w:spacing w:before="1"/>
        <w:rPr>
          <w:sz w:val="19"/>
        </w:rPr>
      </w:pPr>
    </w:p>
    <w:p>
      <w:pPr>
        <w:spacing w:line="256" w:lineRule="auto" w:before="0"/>
        <w:ind w:left="1677" w:right="295" w:hanging="11"/>
        <w:jc w:val="left"/>
        <w:rPr>
          <w:sz w:val="19"/>
        </w:rPr>
      </w:pPr>
      <w:r>
        <w:rPr>
          <w:w w:val="105"/>
          <w:sz w:val="19"/>
        </w:rPr>
        <w:t>In 1993</w:t>
      </w:r>
      <w:r>
        <w:rPr>
          <w:spacing w:val="-13"/>
          <w:w w:val="105"/>
          <w:sz w:val="19"/>
        </w:rPr>
        <w:t> </w:t>
      </w:r>
      <w:r>
        <w:rPr>
          <w:w w:val="105"/>
          <w:sz w:val="19"/>
        </w:rPr>
        <w:t>the Department</w:t>
      </w:r>
      <w:r>
        <w:rPr>
          <w:spacing w:val="-3"/>
          <w:w w:val="105"/>
          <w:sz w:val="19"/>
        </w:rPr>
        <w:t> </w:t>
      </w:r>
      <w:r>
        <w:rPr>
          <w:w w:val="105"/>
          <w:sz w:val="19"/>
        </w:rPr>
        <w:t>of Architecture was shifted</w:t>
      </w:r>
      <w:r>
        <w:rPr>
          <w:spacing w:val="-5"/>
          <w:w w:val="105"/>
          <w:sz w:val="19"/>
        </w:rPr>
        <w:t> </w:t>
      </w:r>
      <w:r>
        <w:rPr>
          <w:w w:val="105"/>
          <w:sz w:val="19"/>
        </w:rPr>
        <w:t>to its present</w:t>
      </w:r>
      <w:r>
        <w:rPr>
          <w:spacing w:val="-5"/>
          <w:w w:val="105"/>
          <w:sz w:val="19"/>
        </w:rPr>
        <w:t> </w:t>
      </w:r>
      <w:r>
        <w:rPr>
          <w:w w:val="105"/>
          <w:sz w:val="19"/>
        </w:rPr>
        <w:t>location</w:t>
      </w:r>
      <w:r>
        <w:rPr>
          <w:spacing w:val="-3"/>
          <w:w w:val="105"/>
          <w:sz w:val="19"/>
        </w:rPr>
        <w:t> </w:t>
      </w:r>
      <w:r>
        <w:rPr>
          <w:w w:val="105"/>
          <w:sz w:val="19"/>
        </w:rPr>
        <w:t>in the School</w:t>
      </w:r>
      <w:r>
        <w:rPr>
          <w:spacing w:val="-5"/>
          <w:w w:val="105"/>
          <w:sz w:val="19"/>
        </w:rPr>
        <w:t> </w:t>
      </w:r>
      <w:r>
        <w:rPr>
          <w:w w:val="105"/>
          <w:sz w:val="19"/>
        </w:rPr>
        <w:t>of Engineering and Technology. In</w:t>
      </w:r>
      <w:r>
        <w:rPr>
          <w:spacing w:val="30"/>
          <w:w w:val="105"/>
          <w:sz w:val="19"/>
        </w:rPr>
        <w:t> </w:t>
      </w:r>
      <w:r>
        <w:rPr>
          <w:w w:val="105"/>
          <w:sz w:val="19"/>
        </w:rPr>
        <w:t>January,</w:t>
      </w:r>
      <w:r>
        <w:rPr>
          <w:spacing w:val="26"/>
          <w:w w:val="105"/>
          <w:sz w:val="19"/>
        </w:rPr>
        <w:t> </w:t>
      </w:r>
      <w:r>
        <w:rPr>
          <w:w w:val="105"/>
          <w:sz w:val="19"/>
        </w:rPr>
        <w:t>1997 Bradford Grant became the</w:t>
      </w:r>
      <w:r>
        <w:rPr>
          <w:spacing w:val="-11"/>
          <w:w w:val="105"/>
          <w:sz w:val="19"/>
        </w:rPr>
        <w:t> </w:t>
      </w:r>
      <w:r>
        <w:rPr>
          <w:w w:val="105"/>
          <w:sz w:val="19"/>
        </w:rPr>
        <w:t>Chairperson of</w:t>
      </w:r>
      <w:r>
        <w:rPr>
          <w:spacing w:val="24"/>
          <w:w w:val="105"/>
          <w:sz w:val="19"/>
        </w:rPr>
        <w:t> </w:t>
      </w:r>
      <w:r>
        <w:rPr>
          <w:w w:val="105"/>
          <w:sz w:val="19"/>
        </w:rPr>
        <w:t>the</w:t>
      </w:r>
      <w:r>
        <w:rPr>
          <w:spacing w:val="-3"/>
          <w:w w:val="105"/>
          <w:sz w:val="19"/>
        </w:rPr>
        <w:t> </w:t>
      </w:r>
      <w:r>
        <w:rPr>
          <w:w w:val="105"/>
          <w:sz w:val="19"/>
        </w:rPr>
        <w:t>Department, following the retirement</w:t>
      </w:r>
      <w:r>
        <w:rPr>
          <w:spacing w:val="25"/>
          <w:w w:val="105"/>
          <w:sz w:val="19"/>
        </w:rPr>
        <w:t> </w:t>
      </w:r>
      <w:r>
        <w:rPr>
          <w:w w:val="105"/>
          <w:sz w:val="19"/>
        </w:rPr>
        <w:t>of John Spencer,</w:t>
      </w:r>
      <w:r>
        <w:rPr>
          <w:spacing w:val="25"/>
          <w:w w:val="105"/>
          <w:sz w:val="19"/>
        </w:rPr>
        <w:t> </w:t>
      </w:r>
      <w:r>
        <w:rPr>
          <w:w w:val="105"/>
          <w:sz w:val="19"/>
        </w:rPr>
        <w:t>and the University eliminated</w:t>
      </w:r>
      <w:r>
        <w:rPr>
          <w:spacing w:val="28"/>
          <w:w w:val="105"/>
          <w:sz w:val="19"/>
        </w:rPr>
        <w:t> </w:t>
      </w:r>
      <w:r>
        <w:rPr>
          <w:w w:val="105"/>
          <w:sz w:val="19"/>
        </w:rPr>
        <w:t>the</w:t>
      </w:r>
      <w:r>
        <w:rPr>
          <w:spacing w:val="-2"/>
          <w:w w:val="105"/>
          <w:sz w:val="19"/>
        </w:rPr>
        <w:t> </w:t>
      </w:r>
      <w:r>
        <w:rPr>
          <w:w w:val="105"/>
          <w:sz w:val="19"/>
        </w:rPr>
        <w:t>program</w:t>
      </w:r>
      <w:r>
        <w:rPr>
          <w:spacing w:val="-1"/>
          <w:w w:val="105"/>
          <w:sz w:val="19"/>
        </w:rPr>
        <w:t> </w:t>
      </w:r>
      <w:r>
        <w:rPr>
          <w:w w:val="105"/>
          <w:sz w:val="19"/>
        </w:rPr>
        <w:t>in Building Construction Technology,</w:t>
      </w:r>
      <w:r>
        <w:rPr>
          <w:spacing w:val="34"/>
          <w:w w:val="105"/>
          <w:sz w:val="19"/>
        </w:rPr>
        <w:t> </w:t>
      </w:r>
      <w:r>
        <w:rPr>
          <w:w w:val="105"/>
          <w:sz w:val="19"/>
        </w:rPr>
        <w:t>traditionally</w:t>
      </w:r>
      <w:r>
        <w:rPr>
          <w:spacing w:val="40"/>
          <w:w w:val="105"/>
          <w:sz w:val="19"/>
        </w:rPr>
        <w:t> </w:t>
      </w:r>
      <w:r>
        <w:rPr>
          <w:w w:val="105"/>
          <w:sz w:val="19"/>
        </w:rPr>
        <w:t>connected</w:t>
      </w:r>
      <w:r>
        <w:rPr>
          <w:spacing w:val="27"/>
          <w:w w:val="105"/>
          <w:sz w:val="19"/>
        </w:rPr>
        <w:t> </w:t>
      </w:r>
      <w:r>
        <w:rPr>
          <w:w w:val="105"/>
          <w:sz w:val="19"/>
        </w:rPr>
        <w:t>to the Department of Architecture.</w:t>
      </w:r>
    </w:p>
    <w:p>
      <w:pPr>
        <w:pStyle w:val="BodyText"/>
        <w:spacing w:before="9"/>
        <w:rPr>
          <w:sz w:val="19"/>
        </w:rPr>
      </w:pPr>
    </w:p>
    <w:p>
      <w:pPr>
        <w:spacing w:line="254" w:lineRule="auto" w:before="0"/>
        <w:ind w:left="1686" w:right="311" w:hanging="5"/>
        <w:jc w:val="left"/>
        <w:rPr>
          <w:sz w:val="19"/>
        </w:rPr>
      </w:pPr>
      <w:r>
        <w:rPr>
          <w:w w:val="105"/>
          <w:sz w:val="19"/>
        </w:rPr>
        <w:t>ln 2002-2003 the Department began the process of University approval for a revised curriculum, and</w:t>
      </w:r>
      <w:r>
        <w:rPr>
          <w:spacing w:val="-2"/>
          <w:w w:val="105"/>
          <w:sz w:val="19"/>
        </w:rPr>
        <w:t> </w:t>
      </w:r>
      <w:r>
        <w:rPr>
          <w:w w:val="105"/>
          <w:sz w:val="19"/>
        </w:rPr>
        <w:t>the conversion of the 5 year Bachelor of Architecture degree to a 5-1/2 year</w:t>
      </w:r>
      <w:r>
        <w:rPr>
          <w:spacing w:val="-2"/>
          <w:w w:val="105"/>
          <w:sz w:val="19"/>
        </w:rPr>
        <w:t> </w:t>
      </w:r>
      <w:r>
        <w:rPr>
          <w:w w:val="105"/>
          <w:sz w:val="19"/>
        </w:rPr>
        <w:t>Master of Architecture First</w:t>
      </w:r>
      <w:r>
        <w:rPr>
          <w:spacing w:val="-6"/>
          <w:w w:val="105"/>
          <w:sz w:val="19"/>
        </w:rPr>
        <w:t> </w:t>
      </w:r>
      <w:r>
        <w:rPr>
          <w:w w:val="105"/>
          <w:sz w:val="19"/>
        </w:rPr>
        <w:t>Professional</w:t>
      </w:r>
      <w:r>
        <w:rPr>
          <w:spacing w:val="-1"/>
          <w:w w:val="105"/>
          <w:sz w:val="19"/>
        </w:rPr>
        <w:t> </w:t>
      </w:r>
      <w:r>
        <w:rPr>
          <w:w w:val="105"/>
          <w:sz w:val="19"/>
        </w:rPr>
        <w:t>Degree. With University</w:t>
      </w:r>
      <w:r>
        <w:rPr>
          <w:spacing w:val="-1"/>
          <w:w w:val="105"/>
          <w:sz w:val="19"/>
        </w:rPr>
        <w:t> </w:t>
      </w:r>
      <w:r>
        <w:rPr>
          <w:w w:val="105"/>
          <w:sz w:val="19"/>
        </w:rPr>
        <w:t>approval, the</w:t>
      </w:r>
      <w:r>
        <w:rPr>
          <w:spacing w:val="-3"/>
          <w:w w:val="105"/>
          <w:sz w:val="19"/>
        </w:rPr>
        <w:t> </w:t>
      </w:r>
      <w:r>
        <w:rPr>
          <w:w w:val="105"/>
          <w:sz w:val="19"/>
        </w:rPr>
        <w:t>new curriculum was initiated with the entering freshman class in Fall Semester 2003.</w:t>
      </w:r>
    </w:p>
    <w:p>
      <w:pPr>
        <w:pStyle w:val="BodyText"/>
        <w:spacing w:before="10"/>
        <w:rPr>
          <w:sz w:val="19"/>
        </w:rPr>
      </w:pPr>
    </w:p>
    <w:p>
      <w:pPr>
        <w:spacing w:line="254" w:lineRule="auto" w:before="0"/>
        <w:ind w:left="1697" w:right="475" w:hanging="12"/>
        <w:jc w:val="left"/>
        <w:rPr>
          <w:sz w:val="19"/>
        </w:rPr>
      </w:pPr>
      <w:r>
        <w:rPr>
          <w:w w:val="105"/>
          <w:sz w:val="19"/>
        </w:rPr>
        <w:t>In January, 2004 the 5-1/2 year Master</w:t>
      </w:r>
      <w:r>
        <w:rPr>
          <w:spacing w:val="-3"/>
          <w:w w:val="105"/>
          <w:sz w:val="19"/>
        </w:rPr>
        <w:t> </w:t>
      </w:r>
      <w:r>
        <w:rPr>
          <w:w w:val="105"/>
          <w:sz w:val="19"/>
        </w:rPr>
        <w:t>of Architecture First Professional Degree was granted</w:t>
      </w:r>
      <w:r>
        <w:rPr>
          <w:spacing w:val="-6"/>
          <w:w w:val="105"/>
          <w:sz w:val="19"/>
        </w:rPr>
        <w:t> </w:t>
      </w:r>
      <w:r>
        <w:rPr>
          <w:w w:val="105"/>
          <w:sz w:val="19"/>
        </w:rPr>
        <w:t>accredited status by NAAB,</w:t>
      </w:r>
      <w:r>
        <w:rPr>
          <w:spacing w:val="-2"/>
          <w:w w:val="105"/>
          <w:sz w:val="19"/>
        </w:rPr>
        <w:t> </w:t>
      </w:r>
      <w:r>
        <w:rPr>
          <w:w w:val="105"/>
          <w:sz w:val="19"/>
        </w:rPr>
        <w:t>and included</w:t>
      </w:r>
      <w:r>
        <w:rPr>
          <w:spacing w:val="-3"/>
          <w:w w:val="105"/>
          <w:sz w:val="19"/>
        </w:rPr>
        <w:t> </w:t>
      </w:r>
      <w:r>
        <w:rPr>
          <w:w w:val="105"/>
          <w:sz w:val="19"/>
        </w:rPr>
        <w:t>in the</w:t>
      </w:r>
      <w:r>
        <w:rPr>
          <w:spacing w:val="-4"/>
          <w:w w:val="105"/>
          <w:sz w:val="19"/>
        </w:rPr>
        <w:t> </w:t>
      </w:r>
      <w:r>
        <w:rPr>
          <w:w w:val="105"/>
          <w:sz w:val="19"/>
        </w:rPr>
        <w:t>six-year term.</w:t>
      </w:r>
      <w:r>
        <w:rPr>
          <w:spacing w:val="-3"/>
          <w:w w:val="105"/>
          <w:sz w:val="19"/>
        </w:rPr>
        <w:t> </w:t>
      </w:r>
      <w:r>
        <w:rPr>
          <w:w w:val="105"/>
          <w:sz w:val="19"/>
        </w:rPr>
        <w:t>Also</w:t>
      </w:r>
      <w:r>
        <w:rPr>
          <w:spacing w:val="-10"/>
          <w:w w:val="105"/>
          <w:sz w:val="19"/>
        </w:rPr>
        <w:t> </w:t>
      </w:r>
      <w:r>
        <w:rPr>
          <w:w w:val="105"/>
          <w:sz w:val="19"/>
        </w:rPr>
        <w:t>in January, Dr. Eric Sheppard was appointed Dean</w:t>
      </w:r>
      <w:r>
        <w:rPr>
          <w:spacing w:val="-2"/>
          <w:w w:val="105"/>
          <w:sz w:val="19"/>
        </w:rPr>
        <w:t> </w:t>
      </w:r>
      <w:r>
        <w:rPr>
          <w:w w:val="105"/>
          <w:sz w:val="19"/>
        </w:rPr>
        <w:t>of the School</w:t>
      </w:r>
      <w:r>
        <w:rPr>
          <w:spacing w:val="-2"/>
          <w:w w:val="105"/>
          <w:sz w:val="19"/>
        </w:rPr>
        <w:t> </w:t>
      </w:r>
      <w:r>
        <w:rPr>
          <w:w w:val="105"/>
          <w:sz w:val="19"/>
        </w:rPr>
        <w:t>of Engineering and</w:t>
      </w:r>
      <w:r>
        <w:rPr>
          <w:spacing w:val="-5"/>
          <w:w w:val="105"/>
          <w:sz w:val="19"/>
        </w:rPr>
        <w:t> </w:t>
      </w:r>
      <w:r>
        <w:rPr>
          <w:w w:val="105"/>
          <w:sz w:val="19"/>
        </w:rPr>
        <w:t>Technology.</w:t>
      </w:r>
    </w:p>
    <w:p>
      <w:pPr>
        <w:pStyle w:val="BodyText"/>
      </w:pPr>
    </w:p>
    <w:p>
      <w:pPr>
        <w:pStyle w:val="BodyText"/>
      </w:pPr>
    </w:p>
    <w:p>
      <w:pPr>
        <w:pStyle w:val="BodyText"/>
      </w:pPr>
    </w:p>
    <w:p>
      <w:pPr>
        <w:pStyle w:val="BodyText"/>
        <w:spacing w:before="7"/>
        <w:rPr>
          <w:sz w:val="18"/>
        </w:rPr>
      </w:pPr>
      <w:r>
        <w:rPr/>
        <w:pict>
          <v:shape style="position:absolute;margin-left:65.524673pt;margin-top:11.925607pt;width:458.2pt;height:.1pt;mso-position-horizontal-relative:page;mso-position-vertical-relative:paragraph;z-index:-15693824;mso-wrap-distance-left:0;mso-wrap-distance-right:0" id="docshape671" coordorigin="1310,239" coordsize="9164,0" path="m1310,239l10474,239e" filled="false" stroked="true" strokeweight=".481434pt" strokecolor="#000000">
            <v:path arrowok="t"/>
            <v:stroke dashstyle="solid"/>
            <w10:wrap type="topAndBottom"/>
          </v:shape>
        </w:pict>
      </w:r>
    </w:p>
    <w:p>
      <w:pPr>
        <w:pStyle w:val="BodyText"/>
        <w:ind w:right="189"/>
        <w:jc w:val="right"/>
      </w:pPr>
      <w:r>
        <w:rPr>
          <w:spacing w:val="-5"/>
          <w:w w:val="110"/>
        </w:rPr>
        <w:t>27</w:t>
      </w:r>
    </w:p>
    <w:p>
      <w:pPr>
        <w:spacing w:after="0"/>
        <w:jc w:val="right"/>
        <w:sectPr>
          <w:headerReference w:type="default" r:id="rId411"/>
          <w:footerReference w:type="default" r:id="rId412"/>
          <w:pgSz w:w="12180" w:h="15820"/>
          <w:pgMar w:header="694" w:footer="0" w:top="1400" w:bottom="280" w:left="1120" w:right="1180"/>
        </w:sectPr>
      </w:pPr>
    </w:p>
    <w:p>
      <w:pPr>
        <w:pStyle w:val="BodyText"/>
        <w:spacing w:before="6"/>
        <w:rPr>
          <w:sz w:val="18"/>
        </w:rPr>
      </w:pPr>
    </w:p>
    <w:p>
      <w:pPr>
        <w:spacing w:line="242" w:lineRule="auto" w:before="95"/>
        <w:ind w:left="1657" w:right="475" w:firstLine="3"/>
        <w:jc w:val="left"/>
        <w:rPr>
          <w:sz w:val="19"/>
        </w:rPr>
      </w:pPr>
      <w:r>
        <w:rPr>
          <w:w w:val="105"/>
          <w:sz w:val="19"/>
        </w:rPr>
        <w:t>The</w:t>
      </w:r>
      <w:r>
        <w:rPr>
          <w:spacing w:val="-16"/>
          <w:w w:val="105"/>
          <w:sz w:val="19"/>
        </w:rPr>
        <w:t> </w:t>
      </w:r>
      <w:r>
        <w:rPr>
          <w:w w:val="105"/>
          <w:sz w:val="19"/>
        </w:rPr>
        <w:t>Master</w:t>
      </w:r>
      <w:r>
        <w:rPr>
          <w:spacing w:val="-14"/>
          <w:w w:val="105"/>
          <w:sz w:val="19"/>
        </w:rPr>
        <w:t> </w:t>
      </w:r>
      <w:r>
        <w:rPr>
          <w:w w:val="105"/>
          <w:sz w:val="19"/>
        </w:rPr>
        <w:t>of Architecture curriculum was</w:t>
      </w:r>
      <w:r>
        <w:rPr>
          <w:spacing w:val="-6"/>
          <w:w w:val="105"/>
          <w:sz w:val="19"/>
        </w:rPr>
        <w:t> </w:t>
      </w:r>
      <w:r>
        <w:rPr>
          <w:w w:val="105"/>
          <w:sz w:val="19"/>
        </w:rPr>
        <w:t>introduced</w:t>
      </w:r>
      <w:r>
        <w:rPr>
          <w:spacing w:val="-2"/>
          <w:w w:val="105"/>
          <w:sz w:val="19"/>
        </w:rPr>
        <w:t> </w:t>
      </w:r>
      <w:r>
        <w:rPr>
          <w:w w:val="105"/>
          <w:sz w:val="19"/>
        </w:rPr>
        <w:t>in annual</w:t>
      </w:r>
      <w:r>
        <w:rPr>
          <w:spacing w:val="-8"/>
          <w:w w:val="105"/>
          <w:sz w:val="19"/>
        </w:rPr>
        <w:t> </w:t>
      </w:r>
      <w:r>
        <w:rPr>
          <w:w w:val="105"/>
          <w:sz w:val="19"/>
        </w:rPr>
        <w:t>increments, and</w:t>
      </w:r>
      <w:r>
        <w:rPr>
          <w:spacing w:val="-13"/>
          <w:w w:val="105"/>
          <w:sz w:val="19"/>
        </w:rPr>
        <w:t> </w:t>
      </w:r>
      <w:r>
        <w:rPr>
          <w:w w:val="105"/>
          <w:sz w:val="19"/>
        </w:rPr>
        <w:t>in</w:t>
      </w:r>
      <w:r>
        <w:rPr>
          <w:spacing w:val="-8"/>
          <w:w w:val="105"/>
          <w:sz w:val="19"/>
        </w:rPr>
        <w:t> </w:t>
      </w:r>
      <w:r>
        <w:rPr>
          <w:w w:val="105"/>
          <w:sz w:val="19"/>
        </w:rPr>
        <w:t>May, 2008 the</w:t>
      </w:r>
      <w:r>
        <w:rPr>
          <w:spacing w:val="-1"/>
          <w:w w:val="105"/>
          <w:sz w:val="19"/>
        </w:rPr>
        <w:t> </w:t>
      </w:r>
      <w:r>
        <w:rPr>
          <w:w w:val="105"/>
          <w:sz w:val="19"/>
        </w:rPr>
        <w:t>Hampton University Department of Architecture witnessed the first</w:t>
      </w:r>
      <w:r>
        <w:rPr>
          <w:spacing w:val="-5"/>
          <w:w w:val="105"/>
          <w:sz w:val="19"/>
        </w:rPr>
        <w:t> </w:t>
      </w:r>
      <w:r>
        <w:rPr>
          <w:w w:val="105"/>
          <w:sz w:val="19"/>
        </w:rPr>
        <w:t>graduating class </w:t>
      </w:r>
      <w:r>
        <w:rPr>
          <w:w w:val="105"/>
          <w:sz w:val="21"/>
        </w:rPr>
        <w:t>to</w:t>
      </w:r>
      <w:r>
        <w:rPr>
          <w:spacing w:val="-8"/>
          <w:w w:val="105"/>
          <w:sz w:val="21"/>
        </w:rPr>
        <w:t> </w:t>
      </w:r>
      <w:r>
        <w:rPr>
          <w:w w:val="105"/>
          <w:sz w:val="19"/>
        </w:rPr>
        <w:t>receive the Master of Architecture degree.</w:t>
      </w:r>
    </w:p>
    <w:p>
      <w:pPr>
        <w:pStyle w:val="BodyText"/>
        <w:spacing w:before="9"/>
      </w:pPr>
    </w:p>
    <w:p>
      <w:pPr>
        <w:spacing w:line="256" w:lineRule="auto" w:before="0"/>
        <w:ind w:left="1647" w:right="311" w:firstLine="9"/>
        <w:jc w:val="left"/>
        <w:rPr>
          <w:sz w:val="19"/>
        </w:rPr>
      </w:pPr>
      <w:r>
        <w:rPr>
          <w:w w:val="105"/>
          <w:sz w:val="19"/>
        </w:rPr>
        <w:t>In 2006 Prof. Ronald Kloster, Assistant Professor of Architecture,</w:t>
      </w:r>
      <w:r>
        <w:rPr>
          <w:spacing w:val="32"/>
          <w:w w:val="105"/>
          <w:sz w:val="19"/>
        </w:rPr>
        <w:t> </w:t>
      </w:r>
      <w:r>
        <w:rPr>
          <w:w w:val="105"/>
          <w:sz w:val="19"/>
        </w:rPr>
        <w:t>was</w:t>
      </w:r>
      <w:r>
        <w:rPr>
          <w:spacing w:val="-1"/>
          <w:w w:val="105"/>
          <w:sz w:val="19"/>
        </w:rPr>
        <w:t> </w:t>
      </w:r>
      <w:r>
        <w:rPr>
          <w:w w:val="105"/>
          <w:sz w:val="19"/>
        </w:rPr>
        <w:t>appointed as Assistant to the</w:t>
      </w:r>
      <w:r>
        <w:rPr>
          <w:spacing w:val="-6"/>
          <w:w w:val="105"/>
          <w:sz w:val="19"/>
        </w:rPr>
        <w:t> </w:t>
      </w:r>
      <w:r>
        <w:rPr>
          <w:w w:val="105"/>
          <w:sz w:val="19"/>
        </w:rPr>
        <w:t>Dean</w:t>
      </w:r>
      <w:r>
        <w:rPr>
          <w:spacing w:val="-1"/>
          <w:w w:val="105"/>
          <w:sz w:val="19"/>
        </w:rPr>
        <w:t> </w:t>
      </w:r>
      <w:r>
        <w:rPr>
          <w:w w:val="105"/>
          <w:sz w:val="19"/>
        </w:rPr>
        <w:t>of the School</w:t>
      </w:r>
      <w:r>
        <w:rPr>
          <w:spacing w:val="-9"/>
          <w:w w:val="105"/>
          <w:sz w:val="19"/>
        </w:rPr>
        <w:t> </w:t>
      </w:r>
      <w:r>
        <w:rPr>
          <w:w w:val="105"/>
          <w:sz w:val="19"/>
        </w:rPr>
        <w:t>of</w:t>
      </w:r>
      <w:r>
        <w:rPr>
          <w:spacing w:val="-1"/>
          <w:w w:val="105"/>
          <w:sz w:val="19"/>
        </w:rPr>
        <w:t> </w:t>
      </w:r>
      <w:r>
        <w:rPr>
          <w:w w:val="105"/>
          <w:sz w:val="19"/>
        </w:rPr>
        <w:t>engineering</w:t>
      </w:r>
      <w:r>
        <w:rPr>
          <w:spacing w:val="-3"/>
          <w:w w:val="105"/>
          <w:sz w:val="19"/>
        </w:rPr>
        <w:t> </w:t>
      </w:r>
      <w:r>
        <w:rPr>
          <w:w w:val="105"/>
          <w:sz w:val="19"/>
        </w:rPr>
        <w:t>and</w:t>
      </w:r>
      <w:r>
        <w:rPr>
          <w:spacing w:val="-11"/>
          <w:w w:val="105"/>
          <w:sz w:val="19"/>
        </w:rPr>
        <w:t> </w:t>
      </w:r>
      <w:r>
        <w:rPr>
          <w:w w:val="105"/>
          <w:sz w:val="19"/>
        </w:rPr>
        <w:t>Technology. With</w:t>
      </w:r>
      <w:r>
        <w:rPr>
          <w:spacing w:val="-9"/>
          <w:w w:val="105"/>
          <w:sz w:val="19"/>
        </w:rPr>
        <w:t> </w:t>
      </w:r>
      <w:r>
        <w:rPr>
          <w:w w:val="105"/>
          <w:sz w:val="19"/>
        </w:rPr>
        <w:t>the</w:t>
      </w:r>
      <w:r>
        <w:rPr>
          <w:spacing w:val="-18"/>
          <w:w w:val="105"/>
          <w:sz w:val="19"/>
        </w:rPr>
        <w:t> </w:t>
      </w:r>
      <w:r>
        <w:rPr>
          <w:w w:val="105"/>
          <w:sz w:val="19"/>
        </w:rPr>
        <w:t>departure of Bradford C.</w:t>
      </w:r>
      <w:r>
        <w:rPr>
          <w:spacing w:val="-3"/>
          <w:w w:val="105"/>
          <w:sz w:val="19"/>
        </w:rPr>
        <w:t> </w:t>
      </w:r>
      <w:r>
        <w:rPr>
          <w:w w:val="105"/>
          <w:sz w:val="19"/>
        </w:rPr>
        <w:t>Grant in May 2007, Prof. Kloster was</w:t>
      </w:r>
      <w:r>
        <w:rPr>
          <w:spacing w:val="-3"/>
          <w:w w:val="105"/>
          <w:sz w:val="19"/>
        </w:rPr>
        <w:t> </w:t>
      </w:r>
      <w:r>
        <w:rPr>
          <w:w w:val="105"/>
          <w:sz w:val="19"/>
        </w:rPr>
        <w:t>named Acting Chair. A search committee was appointed by the</w:t>
      </w:r>
      <w:r>
        <w:rPr>
          <w:spacing w:val="-9"/>
          <w:w w:val="105"/>
          <w:sz w:val="19"/>
        </w:rPr>
        <w:t> </w:t>
      </w:r>
      <w:r>
        <w:rPr>
          <w:w w:val="105"/>
          <w:sz w:val="19"/>
        </w:rPr>
        <w:t>University Provost to be</w:t>
      </w:r>
      <w:r>
        <w:rPr>
          <w:spacing w:val="-4"/>
          <w:w w:val="105"/>
          <w:sz w:val="19"/>
        </w:rPr>
        <w:t> </w:t>
      </w:r>
      <w:r>
        <w:rPr>
          <w:w w:val="105"/>
          <w:sz w:val="19"/>
        </w:rPr>
        <w:t>chaired by Professor Emeritus and former Architecture Chair Mr. John Spencer.</w:t>
      </w:r>
    </w:p>
    <w:p>
      <w:pPr>
        <w:spacing w:line="462" w:lineRule="exact" w:before="36"/>
        <w:ind w:left="1646" w:right="0" w:firstLine="0"/>
        <w:jc w:val="left"/>
        <w:rPr>
          <w:sz w:val="19"/>
        </w:rPr>
      </w:pPr>
      <w:r>
        <w:rPr>
          <w:w w:val="105"/>
          <w:sz w:val="19"/>
        </w:rPr>
        <w:t>In September, 2008 Robert L.</w:t>
      </w:r>
      <w:r>
        <w:rPr>
          <w:spacing w:val="-3"/>
          <w:w w:val="105"/>
          <w:sz w:val="19"/>
        </w:rPr>
        <w:t> </w:t>
      </w:r>
      <w:r>
        <w:rPr>
          <w:w w:val="105"/>
          <w:sz w:val="19"/>
        </w:rPr>
        <w:t>Easter became Chair of</w:t>
      </w:r>
      <w:r>
        <w:rPr>
          <w:spacing w:val="-3"/>
          <w:w w:val="105"/>
          <w:sz w:val="19"/>
        </w:rPr>
        <w:t> </w:t>
      </w:r>
      <w:r>
        <w:rPr>
          <w:w w:val="105"/>
          <w:sz w:val="19"/>
        </w:rPr>
        <w:t>the</w:t>
      </w:r>
      <w:r>
        <w:rPr>
          <w:spacing w:val="-10"/>
          <w:w w:val="105"/>
          <w:sz w:val="19"/>
        </w:rPr>
        <w:t> </w:t>
      </w:r>
      <w:r>
        <w:rPr>
          <w:w w:val="105"/>
          <w:sz w:val="19"/>
        </w:rPr>
        <w:t>Department of Architecture. SIGNIFICANT</w:t>
      </w:r>
      <w:r>
        <w:rPr>
          <w:spacing w:val="-1"/>
          <w:w w:val="105"/>
          <w:sz w:val="19"/>
        </w:rPr>
        <w:t> </w:t>
      </w:r>
      <w:r>
        <w:rPr>
          <w:w w:val="105"/>
          <w:sz w:val="19"/>
        </w:rPr>
        <w:t>DATES</w:t>
      </w:r>
      <w:r>
        <w:rPr>
          <w:spacing w:val="-7"/>
          <w:w w:val="105"/>
          <w:sz w:val="19"/>
        </w:rPr>
        <w:t> </w:t>
      </w:r>
      <w:r>
        <w:rPr>
          <w:w w:val="105"/>
          <w:sz w:val="19"/>
        </w:rPr>
        <w:t>IN</w:t>
      </w:r>
      <w:r>
        <w:rPr>
          <w:spacing w:val="4"/>
          <w:w w:val="105"/>
          <w:sz w:val="19"/>
        </w:rPr>
        <w:t> </w:t>
      </w:r>
      <w:r>
        <w:rPr>
          <w:w w:val="105"/>
          <w:sz w:val="19"/>
        </w:rPr>
        <w:t>THE</w:t>
      </w:r>
      <w:r>
        <w:rPr>
          <w:spacing w:val="-8"/>
          <w:w w:val="105"/>
          <w:sz w:val="19"/>
        </w:rPr>
        <w:t> </w:t>
      </w:r>
      <w:r>
        <w:rPr>
          <w:w w:val="105"/>
          <w:sz w:val="19"/>
        </w:rPr>
        <w:t>HISTORY</w:t>
      </w:r>
      <w:r>
        <w:rPr>
          <w:spacing w:val="4"/>
          <w:w w:val="105"/>
          <w:sz w:val="19"/>
        </w:rPr>
        <w:t> </w:t>
      </w:r>
      <w:r>
        <w:rPr>
          <w:w w:val="105"/>
          <w:sz w:val="19"/>
        </w:rPr>
        <w:t>OF</w:t>
      </w:r>
      <w:r>
        <w:rPr>
          <w:spacing w:val="-17"/>
          <w:w w:val="105"/>
          <w:sz w:val="19"/>
        </w:rPr>
        <w:t> </w:t>
      </w:r>
      <w:r>
        <w:rPr>
          <w:w w:val="105"/>
          <w:sz w:val="19"/>
        </w:rPr>
        <w:t>THE</w:t>
      </w:r>
      <w:r>
        <w:rPr>
          <w:spacing w:val="-6"/>
          <w:w w:val="105"/>
          <w:sz w:val="19"/>
        </w:rPr>
        <w:t> </w:t>
      </w:r>
      <w:r>
        <w:rPr>
          <w:w w:val="105"/>
          <w:sz w:val="19"/>
        </w:rPr>
        <w:t>DEPARTMENT</w:t>
      </w:r>
      <w:r>
        <w:rPr>
          <w:spacing w:val="-1"/>
          <w:w w:val="105"/>
          <w:sz w:val="19"/>
        </w:rPr>
        <w:t> </w:t>
      </w:r>
      <w:r>
        <w:rPr>
          <w:w w:val="105"/>
          <w:sz w:val="19"/>
        </w:rPr>
        <w:t>OF</w:t>
      </w:r>
      <w:r>
        <w:rPr>
          <w:spacing w:val="6"/>
          <w:w w:val="105"/>
          <w:sz w:val="19"/>
        </w:rPr>
        <w:t> </w:t>
      </w:r>
      <w:r>
        <w:rPr>
          <w:spacing w:val="-2"/>
          <w:w w:val="105"/>
          <w:sz w:val="19"/>
        </w:rPr>
        <w:t>ARCHITECTURE</w:t>
      </w:r>
    </w:p>
    <w:p>
      <w:pPr>
        <w:tabs>
          <w:tab w:pos="2362" w:val="left" w:leader="none"/>
        </w:tabs>
        <w:spacing w:line="189" w:lineRule="exact" w:before="0"/>
        <w:ind w:left="1644" w:right="0" w:firstLine="0"/>
        <w:jc w:val="left"/>
        <w:rPr>
          <w:sz w:val="19"/>
        </w:rPr>
      </w:pPr>
      <w:r>
        <w:rPr>
          <w:spacing w:val="-4"/>
          <w:w w:val="105"/>
          <w:sz w:val="19"/>
        </w:rPr>
        <w:t>1889</w:t>
      </w:r>
      <w:r>
        <w:rPr>
          <w:sz w:val="19"/>
        </w:rPr>
        <w:tab/>
      </w:r>
      <w:r>
        <w:rPr>
          <w:w w:val="105"/>
          <w:sz w:val="19"/>
        </w:rPr>
        <w:t>Hampton</w:t>
      </w:r>
      <w:r>
        <w:rPr>
          <w:spacing w:val="-9"/>
          <w:w w:val="105"/>
          <w:sz w:val="19"/>
        </w:rPr>
        <w:t> </w:t>
      </w:r>
      <w:r>
        <w:rPr>
          <w:w w:val="105"/>
          <w:sz w:val="19"/>
        </w:rPr>
        <w:t>Institute</w:t>
      </w:r>
      <w:r>
        <w:rPr>
          <w:spacing w:val="-2"/>
          <w:w w:val="105"/>
          <w:sz w:val="19"/>
        </w:rPr>
        <w:t> </w:t>
      </w:r>
      <w:r>
        <w:rPr>
          <w:w w:val="105"/>
          <w:sz w:val="19"/>
        </w:rPr>
        <w:t>offered</w:t>
      </w:r>
      <w:r>
        <w:rPr>
          <w:spacing w:val="-14"/>
          <w:w w:val="105"/>
          <w:sz w:val="19"/>
        </w:rPr>
        <w:t> </w:t>
      </w:r>
      <w:r>
        <w:rPr>
          <w:w w:val="105"/>
          <w:sz w:val="19"/>
        </w:rPr>
        <w:t>course</w:t>
      </w:r>
      <w:r>
        <w:rPr>
          <w:spacing w:val="-8"/>
          <w:w w:val="105"/>
          <w:sz w:val="19"/>
        </w:rPr>
        <w:t> </w:t>
      </w:r>
      <w:r>
        <w:rPr>
          <w:w w:val="105"/>
          <w:sz w:val="19"/>
        </w:rPr>
        <w:t>work</w:t>
      </w:r>
      <w:r>
        <w:rPr>
          <w:spacing w:val="1"/>
          <w:w w:val="105"/>
          <w:sz w:val="19"/>
        </w:rPr>
        <w:t> </w:t>
      </w:r>
      <w:r>
        <w:rPr>
          <w:w w:val="105"/>
          <w:sz w:val="19"/>
        </w:rPr>
        <w:t>in</w:t>
      </w:r>
      <w:r>
        <w:rPr>
          <w:spacing w:val="-7"/>
          <w:w w:val="105"/>
          <w:sz w:val="19"/>
        </w:rPr>
        <w:t> </w:t>
      </w:r>
      <w:r>
        <w:rPr>
          <w:w w:val="105"/>
          <w:sz w:val="19"/>
        </w:rPr>
        <w:t>Architectural</w:t>
      </w:r>
      <w:r>
        <w:rPr>
          <w:spacing w:val="2"/>
          <w:w w:val="105"/>
          <w:sz w:val="19"/>
        </w:rPr>
        <w:t> </w:t>
      </w:r>
      <w:r>
        <w:rPr>
          <w:w w:val="105"/>
          <w:sz w:val="19"/>
        </w:rPr>
        <w:t>Drafting</w:t>
      </w:r>
      <w:r>
        <w:rPr>
          <w:spacing w:val="-9"/>
          <w:w w:val="105"/>
          <w:sz w:val="19"/>
        </w:rPr>
        <w:t> </w:t>
      </w:r>
      <w:r>
        <w:rPr>
          <w:w w:val="105"/>
          <w:sz w:val="19"/>
        </w:rPr>
        <w:t>along</w:t>
      </w:r>
      <w:r>
        <w:rPr>
          <w:spacing w:val="-7"/>
          <w:w w:val="105"/>
          <w:sz w:val="19"/>
        </w:rPr>
        <w:t> </w:t>
      </w:r>
      <w:r>
        <w:rPr>
          <w:w w:val="105"/>
          <w:sz w:val="19"/>
        </w:rPr>
        <w:t>with</w:t>
      </w:r>
      <w:r>
        <w:rPr>
          <w:spacing w:val="-18"/>
          <w:w w:val="105"/>
          <w:sz w:val="19"/>
        </w:rPr>
        <w:t> </w:t>
      </w:r>
      <w:r>
        <w:rPr>
          <w:w w:val="105"/>
          <w:sz w:val="19"/>
        </w:rPr>
        <w:t>work</w:t>
      </w:r>
      <w:r>
        <w:rPr>
          <w:spacing w:val="-4"/>
          <w:w w:val="105"/>
          <w:sz w:val="19"/>
        </w:rPr>
        <w:t> </w:t>
      </w:r>
      <w:r>
        <w:rPr>
          <w:spacing w:val="-5"/>
          <w:w w:val="105"/>
          <w:sz w:val="19"/>
        </w:rPr>
        <w:t>in</w:t>
      </w:r>
    </w:p>
    <w:p>
      <w:pPr>
        <w:spacing w:line="217" w:lineRule="exact" w:before="12"/>
        <w:ind w:left="2363" w:right="0" w:firstLine="0"/>
        <w:jc w:val="left"/>
        <w:rPr>
          <w:sz w:val="19"/>
        </w:rPr>
      </w:pPr>
      <w:r>
        <w:rPr>
          <w:w w:val="105"/>
          <w:sz w:val="19"/>
        </w:rPr>
        <w:t>Mechanical</w:t>
      </w:r>
      <w:r>
        <w:rPr>
          <w:spacing w:val="-10"/>
          <w:w w:val="105"/>
          <w:sz w:val="19"/>
        </w:rPr>
        <w:t> </w:t>
      </w:r>
      <w:r>
        <w:rPr>
          <w:spacing w:val="-2"/>
          <w:w w:val="105"/>
          <w:sz w:val="19"/>
        </w:rPr>
        <w:t>Drawing.</w:t>
      </w:r>
    </w:p>
    <w:p>
      <w:pPr>
        <w:spacing w:after="0" w:line="217" w:lineRule="exact"/>
        <w:jc w:val="left"/>
        <w:rPr>
          <w:sz w:val="19"/>
        </w:rPr>
        <w:sectPr>
          <w:headerReference w:type="default" r:id="rId413"/>
          <w:footerReference w:type="default" r:id="rId414"/>
          <w:pgSz w:w="12180" w:h="15820"/>
          <w:pgMar w:header="646" w:footer="0" w:top="1340" w:bottom="280" w:left="1120" w:right="1180"/>
        </w:sectPr>
      </w:pPr>
    </w:p>
    <w:p>
      <w:pPr>
        <w:spacing w:line="246" w:lineRule="exact" w:before="1"/>
        <w:ind w:left="0" w:right="0" w:firstLine="0"/>
        <w:jc w:val="right"/>
        <w:rPr>
          <w:rFonts w:ascii="Courier New"/>
          <w:sz w:val="23"/>
        </w:rPr>
      </w:pPr>
      <w:r>
        <w:rPr>
          <w:rFonts w:ascii="Courier New"/>
          <w:spacing w:val="-4"/>
          <w:w w:val="95"/>
          <w:sz w:val="23"/>
        </w:rPr>
        <w:t>1932</w:t>
      </w:r>
    </w:p>
    <w:p>
      <w:pPr>
        <w:spacing w:line="246" w:lineRule="exact" w:before="0"/>
        <w:ind w:left="0" w:right="0" w:firstLine="0"/>
        <w:jc w:val="right"/>
        <w:rPr>
          <w:rFonts w:ascii="Courier New"/>
          <w:sz w:val="23"/>
        </w:rPr>
      </w:pPr>
      <w:r>
        <w:rPr>
          <w:rFonts w:ascii="Courier New"/>
          <w:spacing w:val="-4"/>
          <w:w w:val="95"/>
          <w:sz w:val="23"/>
        </w:rPr>
        <w:t>1934</w:t>
      </w:r>
    </w:p>
    <w:p>
      <w:pPr>
        <w:spacing w:line="252" w:lineRule="auto" w:before="0"/>
        <w:ind w:left="226" w:right="354" w:firstLine="2"/>
        <w:jc w:val="left"/>
        <w:rPr>
          <w:sz w:val="19"/>
        </w:rPr>
      </w:pPr>
      <w:r>
        <w:rPr/>
        <w:br w:type="column"/>
      </w:r>
      <w:r>
        <w:rPr>
          <w:w w:val="105"/>
          <w:sz w:val="19"/>
        </w:rPr>
        <w:t>Course </w:t>
      </w:r>
      <w:r>
        <w:rPr>
          <w:w w:val="105"/>
          <w:sz w:val="21"/>
        </w:rPr>
        <w:t>work</w:t>
      </w:r>
      <w:r>
        <w:rPr>
          <w:spacing w:val="-13"/>
          <w:w w:val="105"/>
          <w:sz w:val="21"/>
        </w:rPr>
        <w:t> </w:t>
      </w:r>
      <w:r>
        <w:rPr>
          <w:w w:val="105"/>
          <w:sz w:val="19"/>
        </w:rPr>
        <w:t>in</w:t>
      </w:r>
      <w:r>
        <w:rPr>
          <w:spacing w:val="27"/>
          <w:w w:val="105"/>
          <w:sz w:val="19"/>
        </w:rPr>
        <w:t> </w:t>
      </w:r>
      <w:r>
        <w:rPr>
          <w:w w:val="105"/>
          <w:sz w:val="19"/>
        </w:rPr>
        <w:t>Architectural Design added by</w:t>
      </w:r>
      <w:r>
        <w:rPr>
          <w:spacing w:val="-7"/>
          <w:w w:val="105"/>
          <w:sz w:val="19"/>
        </w:rPr>
        <w:t> </w:t>
      </w:r>
      <w:r>
        <w:rPr>
          <w:w w:val="105"/>
          <w:sz w:val="19"/>
        </w:rPr>
        <w:t>architect</w:t>
      </w:r>
      <w:r>
        <w:rPr>
          <w:spacing w:val="-4"/>
          <w:w w:val="105"/>
          <w:sz w:val="19"/>
        </w:rPr>
        <w:t> </w:t>
      </w:r>
      <w:r>
        <w:rPr>
          <w:w w:val="105"/>
          <w:sz w:val="19"/>
        </w:rPr>
        <w:t>Theo Ballou</w:t>
      </w:r>
      <w:r>
        <w:rPr>
          <w:spacing w:val="-6"/>
          <w:w w:val="105"/>
          <w:sz w:val="19"/>
        </w:rPr>
        <w:t> </w:t>
      </w:r>
      <w:r>
        <w:rPr>
          <w:w w:val="105"/>
          <w:sz w:val="19"/>
        </w:rPr>
        <w:t>White. William H. Moses, Jr., first</w:t>
      </w:r>
      <w:r>
        <w:rPr>
          <w:spacing w:val="-5"/>
          <w:w w:val="105"/>
          <w:sz w:val="19"/>
        </w:rPr>
        <w:t> </w:t>
      </w:r>
      <w:r>
        <w:rPr>
          <w:w w:val="105"/>
          <w:sz w:val="19"/>
        </w:rPr>
        <w:t>professionally trained African American Architect to join</w:t>
      </w:r>
      <w:r>
        <w:rPr>
          <w:spacing w:val="-19"/>
          <w:w w:val="105"/>
          <w:sz w:val="19"/>
        </w:rPr>
        <w:t> </w:t>
      </w:r>
      <w:r>
        <w:rPr>
          <w:w w:val="105"/>
          <w:sz w:val="19"/>
        </w:rPr>
        <w:t>the</w:t>
      </w:r>
      <w:r>
        <w:rPr>
          <w:spacing w:val="-2"/>
          <w:w w:val="105"/>
          <w:sz w:val="19"/>
        </w:rPr>
        <w:t> </w:t>
      </w:r>
      <w:r>
        <w:rPr>
          <w:w w:val="105"/>
          <w:sz w:val="19"/>
        </w:rPr>
        <w:t>faculty. He taught</w:t>
      </w:r>
      <w:r>
        <w:rPr>
          <w:spacing w:val="-8"/>
          <w:w w:val="105"/>
          <w:sz w:val="19"/>
        </w:rPr>
        <w:t> </w:t>
      </w:r>
      <w:r>
        <w:rPr>
          <w:w w:val="105"/>
          <w:sz w:val="19"/>
        </w:rPr>
        <w:t>Architectural Drafting</w:t>
      </w:r>
      <w:r>
        <w:rPr>
          <w:spacing w:val="-5"/>
          <w:w w:val="105"/>
          <w:sz w:val="19"/>
        </w:rPr>
        <w:t> </w:t>
      </w:r>
      <w:r>
        <w:rPr>
          <w:w w:val="105"/>
          <w:sz w:val="19"/>
        </w:rPr>
        <w:t>to</w:t>
      </w:r>
      <w:r>
        <w:rPr>
          <w:spacing w:val="-17"/>
          <w:w w:val="105"/>
          <w:sz w:val="19"/>
        </w:rPr>
        <w:t> </w:t>
      </w:r>
      <w:r>
        <w:rPr>
          <w:w w:val="105"/>
          <w:sz w:val="19"/>
        </w:rPr>
        <w:t>Building</w:t>
      </w:r>
      <w:r>
        <w:rPr>
          <w:spacing w:val="-11"/>
          <w:w w:val="105"/>
          <w:sz w:val="19"/>
        </w:rPr>
        <w:t> </w:t>
      </w:r>
      <w:r>
        <w:rPr>
          <w:w w:val="105"/>
          <w:sz w:val="19"/>
        </w:rPr>
        <w:t>Construction</w:t>
      </w:r>
      <w:r>
        <w:rPr>
          <w:spacing w:val="-8"/>
          <w:w w:val="105"/>
          <w:sz w:val="19"/>
        </w:rPr>
        <w:t> </w:t>
      </w:r>
      <w:r>
        <w:rPr>
          <w:w w:val="105"/>
          <w:sz w:val="19"/>
        </w:rPr>
        <w:t>majors.</w:t>
      </w:r>
    </w:p>
    <w:p>
      <w:pPr>
        <w:spacing w:after="0" w:line="252" w:lineRule="auto"/>
        <w:jc w:val="left"/>
        <w:rPr>
          <w:sz w:val="19"/>
        </w:rPr>
        <w:sectPr>
          <w:type w:val="continuous"/>
          <w:pgSz w:w="12180" w:h="15820"/>
          <w:pgMar w:header="646" w:footer="0" w:top="1360" w:bottom="280" w:left="1120" w:right="1180"/>
          <w:cols w:num="2" w:equalWidth="0">
            <w:col w:w="2100" w:space="40"/>
            <w:col w:w="7740"/>
          </w:cols>
        </w:sectPr>
      </w:pPr>
    </w:p>
    <w:p>
      <w:pPr>
        <w:tabs>
          <w:tab w:pos="2368" w:val="left" w:leader="none"/>
        </w:tabs>
        <w:spacing w:line="254" w:lineRule="auto" w:before="0"/>
        <w:ind w:left="2365" w:right="439" w:hanging="722"/>
        <w:jc w:val="left"/>
        <w:rPr>
          <w:sz w:val="19"/>
        </w:rPr>
      </w:pPr>
      <w:r>
        <w:rPr>
          <w:spacing w:val="-4"/>
          <w:w w:val="105"/>
          <w:sz w:val="19"/>
        </w:rPr>
        <w:t>1941</w:t>
      </w:r>
      <w:r>
        <w:rPr>
          <w:sz w:val="19"/>
        </w:rPr>
        <w:tab/>
        <w:tab/>
      </w:r>
      <w:r>
        <w:rPr>
          <w:w w:val="105"/>
          <w:sz w:val="19"/>
        </w:rPr>
        <w:t>Architectural</w:t>
      </w:r>
      <w:r>
        <w:rPr>
          <w:spacing w:val="-8"/>
          <w:w w:val="105"/>
          <w:sz w:val="19"/>
        </w:rPr>
        <w:t> </w:t>
      </w:r>
      <w:r>
        <w:rPr>
          <w:w w:val="105"/>
          <w:sz w:val="19"/>
        </w:rPr>
        <w:t>Design and</w:t>
      </w:r>
      <w:r>
        <w:rPr>
          <w:spacing w:val="-8"/>
          <w:w w:val="105"/>
          <w:sz w:val="19"/>
        </w:rPr>
        <w:t> </w:t>
      </w:r>
      <w:r>
        <w:rPr>
          <w:w w:val="105"/>
          <w:sz w:val="19"/>
        </w:rPr>
        <w:t>Architectural Engineering were</w:t>
      </w:r>
      <w:r>
        <w:rPr>
          <w:spacing w:val="-15"/>
          <w:w w:val="105"/>
          <w:sz w:val="19"/>
        </w:rPr>
        <w:t> </w:t>
      </w:r>
      <w:r>
        <w:rPr>
          <w:w w:val="105"/>
          <w:sz w:val="19"/>
        </w:rPr>
        <w:t>added</w:t>
      </w:r>
      <w:r>
        <w:rPr>
          <w:spacing w:val="-8"/>
          <w:w w:val="105"/>
          <w:sz w:val="19"/>
        </w:rPr>
        <w:t> </w:t>
      </w:r>
      <w:r>
        <w:rPr>
          <w:w w:val="105"/>
          <w:sz w:val="19"/>
        </w:rPr>
        <w:t>to</w:t>
      </w:r>
      <w:r>
        <w:rPr>
          <w:spacing w:val="-7"/>
          <w:w w:val="105"/>
          <w:sz w:val="19"/>
        </w:rPr>
        <w:t> </w:t>
      </w:r>
      <w:r>
        <w:rPr>
          <w:w w:val="105"/>
          <w:sz w:val="19"/>
        </w:rPr>
        <w:t>the</w:t>
      </w:r>
      <w:r>
        <w:rPr>
          <w:spacing w:val="-19"/>
          <w:w w:val="105"/>
          <w:sz w:val="19"/>
        </w:rPr>
        <w:t> </w:t>
      </w:r>
      <w:r>
        <w:rPr>
          <w:w w:val="105"/>
          <w:sz w:val="19"/>
        </w:rPr>
        <w:t>curriculum n Building Construction.</w:t>
      </w:r>
    </w:p>
    <w:p>
      <w:pPr>
        <w:tabs>
          <w:tab w:pos="2362" w:val="left" w:leader="none"/>
        </w:tabs>
        <w:spacing w:line="242" w:lineRule="auto" w:before="0"/>
        <w:ind w:left="2363" w:right="439" w:hanging="720"/>
        <w:jc w:val="left"/>
        <w:rPr>
          <w:sz w:val="19"/>
        </w:rPr>
      </w:pPr>
      <w:r>
        <w:rPr>
          <w:spacing w:val="-4"/>
          <w:w w:val="105"/>
          <w:sz w:val="19"/>
        </w:rPr>
        <w:t>1942</w:t>
      </w:r>
      <w:r>
        <w:rPr>
          <w:sz w:val="19"/>
        </w:rPr>
        <w:tab/>
      </w:r>
      <w:r>
        <w:rPr>
          <w:w w:val="105"/>
          <w:sz w:val="19"/>
        </w:rPr>
        <w:t>Four</w:t>
      </w:r>
      <w:r>
        <w:rPr>
          <w:spacing w:val="-4"/>
          <w:w w:val="105"/>
          <w:sz w:val="19"/>
        </w:rPr>
        <w:t> </w:t>
      </w:r>
      <w:r>
        <w:rPr>
          <w:w w:val="105"/>
          <w:sz w:val="19"/>
        </w:rPr>
        <w:t>year</w:t>
      </w:r>
      <w:r>
        <w:rPr>
          <w:spacing w:val="-14"/>
          <w:w w:val="105"/>
          <w:sz w:val="19"/>
        </w:rPr>
        <w:t> </w:t>
      </w:r>
      <w:r>
        <w:rPr>
          <w:w w:val="105"/>
          <w:sz w:val="19"/>
        </w:rPr>
        <w:t>programs in</w:t>
      </w:r>
      <w:r>
        <w:rPr>
          <w:spacing w:val="-10"/>
          <w:w w:val="105"/>
          <w:sz w:val="19"/>
        </w:rPr>
        <w:t> </w:t>
      </w:r>
      <w:r>
        <w:rPr>
          <w:w w:val="105"/>
          <w:sz w:val="19"/>
        </w:rPr>
        <w:t>Architectural Engineering were</w:t>
      </w:r>
      <w:r>
        <w:rPr>
          <w:spacing w:val="-9"/>
          <w:w w:val="105"/>
          <w:sz w:val="19"/>
        </w:rPr>
        <w:t> </w:t>
      </w:r>
      <w:r>
        <w:rPr>
          <w:w w:val="105"/>
          <w:sz w:val="19"/>
        </w:rPr>
        <w:t>added</w:t>
      </w:r>
      <w:r>
        <w:rPr>
          <w:spacing w:val="-8"/>
          <w:w w:val="105"/>
          <w:sz w:val="19"/>
        </w:rPr>
        <w:t> </w:t>
      </w:r>
      <w:r>
        <w:rPr>
          <w:w w:val="105"/>
          <w:sz w:val="19"/>
        </w:rPr>
        <w:t>to</w:t>
      </w:r>
      <w:r>
        <w:rPr>
          <w:spacing w:val="-8"/>
          <w:w w:val="105"/>
          <w:sz w:val="19"/>
        </w:rPr>
        <w:t> </w:t>
      </w:r>
      <w:r>
        <w:rPr>
          <w:w w:val="105"/>
          <w:sz w:val="19"/>
        </w:rPr>
        <w:t>the</w:t>
      </w:r>
      <w:r>
        <w:rPr>
          <w:spacing w:val="-12"/>
          <w:w w:val="105"/>
          <w:sz w:val="19"/>
        </w:rPr>
        <w:t> </w:t>
      </w:r>
      <w:r>
        <w:rPr>
          <w:w w:val="105"/>
          <w:sz w:val="19"/>
        </w:rPr>
        <w:t>curriculum in Building</w:t>
      </w:r>
      <w:r>
        <w:rPr>
          <w:spacing w:val="-7"/>
          <w:w w:val="105"/>
          <w:sz w:val="19"/>
        </w:rPr>
        <w:t> </w:t>
      </w:r>
      <w:r>
        <w:rPr>
          <w:w w:val="105"/>
          <w:sz w:val="19"/>
        </w:rPr>
        <w:t>Construction.</w:t>
      </w:r>
    </w:p>
    <w:p>
      <w:pPr>
        <w:spacing w:after="0" w:line="242" w:lineRule="auto"/>
        <w:jc w:val="left"/>
        <w:rPr>
          <w:sz w:val="19"/>
        </w:rPr>
        <w:sectPr>
          <w:type w:val="continuous"/>
          <w:pgSz w:w="12180" w:h="15820"/>
          <w:pgMar w:header="646" w:footer="0" w:top="1360" w:bottom="280" w:left="1120" w:right="1180"/>
        </w:sectPr>
      </w:pPr>
    </w:p>
    <w:p>
      <w:pPr>
        <w:spacing w:line="238" w:lineRule="exact" w:before="0"/>
        <w:ind w:left="0" w:right="25" w:firstLine="0"/>
        <w:jc w:val="right"/>
        <w:rPr>
          <w:rFonts w:ascii="Courier New"/>
          <w:sz w:val="23"/>
        </w:rPr>
      </w:pPr>
      <w:r>
        <w:rPr>
          <w:rFonts w:ascii="Courier New"/>
          <w:spacing w:val="-4"/>
          <w:w w:val="85"/>
          <w:sz w:val="23"/>
        </w:rPr>
        <w:t>1951</w:t>
      </w:r>
    </w:p>
    <w:p>
      <w:pPr>
        <w:spacing w:line="246" w:lineRule="exact" w:before="0"/>
        <w:ind w:left="0" w:right="0" w:firstLine="0"/>
        <w:jc w:val="right"/>
        <w:rPr>
          <w:rFonts w:ascii="Courier New"/>
          <w:sz w:val="23"/>
        </w:rPr>
      </w:pPr>
      <w:r>
        <w:rPr>
          <w:rFonts w:ascii="Courier New"/>
          <w:spacing w:val="-4"/>
          <w:w w:val="90"/>
          <w:sz w:val="23"/>
        </w:rPr>
        <w:t>1965</w:t>
      </w:r>
    </w:p>
    <w:p>
      <w:pPr>
        <w:spacing w:before="15"/>
        <w:ind w:left="220" w:right="0" w:firstLine="0"/>
        <w:jc w:val="left"/>
        <w:rPr>
          <w:sz w:val="19"/>
        </w:rPr>
      </w:pPr>
      <w:r>
        <w:rPr/>
        <w:br w:type="column"/>
      </w:r>
      <w:r>
        <w:rPr>
          <w:w w:val="105"/>
          <w:sz w:val="19"/>
        </w:rPr>
        <w:t>The</w:t>
      </w:r>
      <w:r>
        <w:rPr>
          <w:spacing w:val="-1"/>
          <w:w w:val="105"/>
          <w:sz w:val="19"/>
        </w:rPr>
        <w:t> </w:t>
      </w:r>
      <w:r>
        <w:rPr>
          <w:w w:val="105"/>
          <w:sz w:val="19"/>
        </w:rPr>
        <w:t>program</w:t>
      </w:r>
      <w:r>
        <w:rPr>
          <w:spacing w:val="-7"/>
          <w:w w:val="105"/>
          <w:sz w:val="19"/>
        </w:rPr>
        <w:t> </w:t>
      </w:r>
      <w:r>
        <w:rPr>
          <w:w w:val="105"/>
          <w:sz w:val="19"/>
        </w:rPr>
        <w:t>was</w:t>
      </w:r>
      <w:r>
        <w:rPr>
          <w:spacing w:val="-14"/>
          <w:w w:val="105"/>
          <w:sz w:val="19"/>
        </w:rPr>
        <w:t> </w:t>
      </w:r>
      <w:r>
        <w:rPr>
          <w:w w:val="105"/>
          <w:sz w:val="19"/>
        </w:rPr>
        <w:t>lengthened</w:t>
      </w:r>
      <w:r>
        <w:rPr>
          <w:spacing w:val="3"/>
          <w:w w:val="105"/>
          <w:sz w:val="19"/>
        </w:rPr>
        <w:t> </w:t>
      </w:r>
      <w:r>
        <w:rPr>
          <w:w w:val="105"/>
          <w:sz w:val="19"/>
        </w:rPr>
        <w:t>to</w:t>
      </w:r>
      <w:r>
        <w:rPr>
          <w:spacing w:val="-4"/>
          <w:w w:val="105"/>
          <w:sz w:val="19"/>
        </w:rPr>
        <w:t> </w:t>
      </w:r>
      <w:r>
        <w:rPr>
          <w:w w:val="105"/>
          <w:sz w:val="19"/>
        </w:rPr>
        <w:t>five</w:t>
      </w:r>
      <w:r>
        <w:rPr>
          <w:spacing w:val="-3"/>
          <w:w w:val="105"/>
          <w:sz w:val="19"/>
        </w:rPr>
        <w:t> </w:t>
      </w:r>
      <w:r>
        <w:rPr>
          <w:spacing w:val="-2"/>
          <w:w w:val="105"/>
          <w:sz w:val="19"/>
        </w:rPr>
        <w:t>years.</w:t>
      </w:r>
    </w:p>
    <w:p>
      <w:pPr>
        <w:spacing w:line="242" w:lineRule="auto" w:before="13"/>
        <w:ind w:left="222" w:right="0" w:firstLine="0"/>
        <w:jc w:val="left"/>
        <w:rPr>
          <w:sz w:val="19"/>
        </w:rPr>
      </w:pPr>
      <w:r>
        <w:rPr>
          <w:w w:val="105"/>
          <w:sz w:val="19"/>
        </w:rPr>
        <w:t>William</w:t>
      </w:r>
      <w:r>
        <w:rPr>
          <w:spacing w:val="-8"/>
          <w:w w:val="105"/>
          <w:sz w:val="19"/>
        </w:rPr>
        <w:t> </w:t>
      </w:r>
      <w:r>
        <w:rPr>
          <w:w w:val="105"/>
          <w:sz w:val="19"/>
        </w:rPr>
        <w:t>H.</w:t>
      </w:r>
      <w:r>
        <w:rPr>
          <w:spacing w:val="-9"/>
          <w:w w:val="105"/>
          <w:sz w:val="19"/>
        </w:rPr>
        <w:t> </w:t>
      </w:r>
      <w:r>
        <w:rPr>
          <w:w w:val="105"/>
          <w:sz w:val="19"/>
        </w:rPr>
        <w:t>Moses, Jr.</w:t>
      </w:r>
      <w:r>
        <w:rPr>
          <w:spacing w:val="-7"/>
          <w:w w:val="105"/>
          <w:sz w:val="19"/>
        </w:rPr>
        <w:t> </w:t>
      </w:r>
      <w:r>
        <w:rPr>
          <w:w w:val="105"/>
          <w:sz w:val="19"/>
        </w:rPr>
        <w:t>resigns. Bertram Berenson</w:t>
      </w:r>
      <w:r>
        <w:rPr>
          <w:spacing w:val="-1"/>
          <w:w w:val="105"/>
          <w:sz w:val="19"/>
        </w:rPr>
        <w:t> </w:t>
      </w:r>
      <w:r>
        <w:rPr>
          <w:w w:val="105"/>
          <w:sz w:val="19"/>
        </w:rPr>
        <w:t>as</w:t>
      </w:r>
      <w:r>
        <w:rPr>
          <w:spacing w:val="-2"/>
          <w:w w:val="105"/>
          <w:sz w:val="19"/>
        </w:rPr>
        <w:t> </w:t>
      </w:r>
      <w:r>
        <w:rPr>
          <w:w w:val="105"/>
          <w:sz w:val="19"/>
        </w:rPr>
        <w:t>the</w:t>
      </w:r>
      <w:r>
        <w:rPr>
          <w:spacing w:val="-15"/>
          <w:w w:val="105"/>
          <w:sz w:val="19"/>
        </w:rPr>
        <w:t> </w:t>
      </w:r>
      <w:r>
        <w:rPr>
          <w:w w:val="105"/>
          <w:sz w:val="19"/>
        </w:rPr>
        <w:t>new</w:t>
      </w:r>
      <w:r>
        <w:rPr>
          <w:spacing w:val="-8"/>
          <w:w w:val="105"/>
          <w:sz w:val="19"/>
        </w:rPr>
        <w:t> </w:t>
      </w:r>
      <w:r>
        <w:rPr>
          <w:w w:val="105"/>
          <w:sz w:val="19"/>
        </w:rPr>
        <w:t>Department Chair initiated curriculum changes.</w:t>
      </w:r>
    </w:p>
    <w:p>
      <w:pPr>
        <w:spacing w:after="0" w:line="242" w:lineRule="auto"/>
        <w:jc w:val="left"/>
        <w:rPr>
          <w:sz w:val="19"/>
        </w:rPr>
        <w:sectPr>
          <w:type w:val="continuous"/>
          <w:pgSz w:w="12180" w:h="15820"/>
          <w:pgMar w:header="646" w:footer="0" w:top="1360" w:bottom="280" w:left="1120" w:right="1180"/>
          <w:cols w:num="2" w:equalWidth="0">
            <w:col w:w="2094" w:space="40"/>
            <w:col w:w="7746"/>
          </w:cols>
        </w:sectPr>
      </w:pPr>
    </w:p>
    <w:p>
      <w:pPr>
        <w:tabs>
          <w:tab w:pos="2354" w:val="left" w:leader="none"/>
        </w:tabs>
        <w:spacing w:line="254" w:lineRule="auto" w:before="20"/>
        <w:ind w:left="2353" w:right="406" w:hanging="719"/>
        <w:jc w:val="left"/>
        <w:rPr>
          <w:sz w:val="19"/>
        </w:rPr>
      </w:pPr>
      <w:r>
        <w:rPr>
          <w:spacing w:val="-4"/>
          <w:w w:val="105"/>
          <w:sz w:val="19"/>
        </w:rPr>
        <w:t>1966</w:t>
      </w:r>
      <w:r>
        <w:rPr>
          <w:sz w:val="19"/>
        </w:rPr>
        <w:tab/>
        <w:tab/>
      </w:r>
      <w:r>
        <w:rPr>
          <w:w w:val="105"/>
          <w:sz w:val="19"/>
        </w:rPr>
        <w:t>The</w:t>
      </w:r>
      <w:r>
        <w:rPr>
          <w:spacing w:val="-7"/>
          <w:w w:val="105"/>
          <w:sz w:val="19"/>
        </w:rPr>
        <w:t> </w:t>
      </w:r>
      <w:r>
        <w:rPr>
          <w:w w:val="105"/>
          <w:sz w:val="19"/>
        </w:rPr>
        <w:t>Department of Architecture was elevated to Division status. First</w:t>
      </w:r>
      <w:r>
        <w:rPr>
          <w:spacing w:val="-8"/>
          <w:w w:val="105"/>
          <w:sz w:val="19"/>
        </w:rPr>
        <w:t> </w:t>
      </w:r>
      <w:r>
        <w:rPr>
          <w:w w:val="105"/>
          <w:sz w:val="19"/>
        </w:rPr>
        <w:t>listing as Division</w:t>
      </w:r>
      <w:r>
        <w:rPr>
          <w:spacing w:val="-14"/>
          <w:w w:val="105"/>
          <w:sz w:val="19"/>
        </w:rPr>
        <w:t> </w:t>
      </w:r>
      <w:r>
        <w:rPr>
          <w:w w:val="105"/>
          <w:sz w:val="19"/>
        </w:rPr>
        <w:t>of</w:t>
      </w:r>
      <w:r>
        <w:rPr>
          <w:spacing w:val="-2"/>
          <w:w w:val="105"/>
          <w:sz w:val="19"/>
        </w:rPr>
        <w:t> </w:t>
      </w:r>
      <w:r>
        <w:rPr>
          <w:w w:val="105"/>
          <w:sz w:val="19"/>
        </w:rPr>
        <w:t>Architecture</w:t>
      </w:r>
      <w:r>
        <w:rPr>
          <w:spacing w:val="-7"/>
          <w:w w:val="105"/>
          <w:sz w:val="19"/>
        </w:rPr>
        <w:t> </w:t>
      </w:r>
      <w:r>
        <w:rPr>
          <w:w w:val="105"/>
          <w:sz w:val="19"/>
        </w:rPr>
        <w:t>offering</w:t>
      </w:r>
      <w:r>
        <w:rPr>
          <w:spacing w:val="-9"/>
          <w:w w:val="105"/>
          <w:sz w:val="19"/>
        </w:rPr>
        <w:t> </w:t>
      </w:r>
      <w:r>
        <w:rPr>
          <w:w w:val="105"/>
          <w:sz w:val="19"/>
        </w:rPr>
        <w:t>the</w:t>
      </w:r>
      <w:r>
        <w:rPr>
          <w:spacing w:val="-15"/>
          <w:w w:val="105"/>
          <w:sz w:val="19"/>
        </w:rPr>
        <w:t> </w:t>
      </w:r>
      <w:r>
        <w:rPr>
          <w:w w:val="105"/>
          <w:sz w:val="19"/>
        </w:rPr>
        <w:t>professional</w:t>
      </w:r>
      <w:r>
        <w:rPr>
          <w:spacing w:val="-7"/>
          <w:w w:val="105"/>
          <w:sz w:val="19"/>
        </w:rPr>
        <w:t> </w:t>
      </w:r>
      <w:r>
        <w:rPr>
          <w:w w:val="105"/>
          <w:sz w:val="19"/>
        </w:rPr>
        <w:t>degree</w:t>
      </w:r>
      <w:r>
        <w:rPr>
          <w:spacing w:val="-12"/>
          <w:w w:val="105"/>
          <w:sz w:val="19"/>
        </w:rPr>
        <w:t> </w:t>
      </w:r>
      <w:r>
        <w:rPr>
          <w:w w:val="105"/>
          <w:sz w:val="19"/>
        </w:rPr>
        <w:t>Bachelor of Architecture.</w:t>
      </w:r>
    </w:p>
    <w:p>
      <w:pPr>
        <w:tabs>
          <w:tab w:pos="2352" w:val="left" w:leader="none"/>
        </w:tabs>
        <w:spacing w:line="242" w:lineRule="auto" w:before="0"/>
        <w:ind w:left="2352" w:right="481" w:hanging="718"/>
        <w:jc w:val="left"/>
        <w:rPr>
          <w:sz w:val="19"/>
        </w:rPr>
      </w:pPr>
      <w:r>
        <w:rPr>
          <w:spacing w:val="-4"/>
          <w:w w:val="105"/>
          <w:sz w:val="19"/>
        </w:rPr>
        <w:t>1967</w:t>
      </w:r>
      <w:r>
        <w:rPr>
          <w:sz w:val="19"/>
        </w:rPr>
        <w:tab/>
      </w:r>
      <w:r>
        <w:rPr>
          <w:w w:val="105"/>
          <w:sz w:val="19"/>
        </w:rPr>
        <w:t>Hampton</w:t>
      </w:r>
      <w:r>
        <w:rPr>
          <w:spacing w:val="-6"/>
          <w:w w:val="105"/>
          <w:sz w:val="19"/>
        </w:rPr>
        <w:t> </w:t>
      </w:r>
      <w:r>
        <w:rPr>
          <w:w w:val="105"/>
          <w:sz w:val="19"/>
        </w:rPr>
        <w:t>Institute</w:t>
      </w:r>
      <w:r>
        <w:rPr>
          <w:spacing w:val="-3"/>
          <w:w w:val="105"/>
          <w:sz w:val="19"/>
        </w:rPr>
        <w:t> </w:t>
      </w:r>
      <w:r>
        <w:rPr>
          <w:w w:val="105"/>
          <w:sz w:val="19"/>
        </w:rPr>
        <w:t>graduated</w:t>
      </w:r>
      <w:r>
        <w:rPr>
          <w:spacing w:val="-1"/>
          <w:w w:val="105"/>
          <w:sz w:val="19"/>
        </w:rPr>
        <w:t> </w:t>
      </w:r>
      <w:r>
        <w:rPr>
          <w:w w:val="105"/>
          <w:sz w:val="19"/>
        </w:rPr>
        <w:t>its</w:t>
      </w:r>
      <w:r>
        <w:rPr>
          <w:spacing w:val="-5"/>
          <w:w w:val="105"/>
          <w:sz w:val="19"/>
        </w:rPr>
        <w:t> </w:t>
      </w:r>
      <w:r>
        <w:rPr>
          <w:w w:val="105"/>
          <w:sz w:val="19"/>
        </w:rPr>
        <w:t>first</w:t>
      </w:r>
      <w:r>
        <w:rPr>
          <w:spacing w:val="-11"/>
          <w:w w:val="105"/>
          <w:sz w:val="19"/>
        </w:rPr>
        <w:t> </w:t>
      </w:r>
      <w:r>
        <w:rPr>
          <w:w w:val="105"/>
          <w:sz w:val="19"/>
        </w:rPr>
        <w:t>class</w:t>
      </w:r>
      <w:r>
        <w:rPr>
          <w:spacing w:val="-9"/>
          <w:w w:val="105"/>
          <w:sz w:val="19"/>
        </w:rPr>
        <w:t> </w:t>
      </w:r>
      <w:r>
        <w:rPr>
          <w:w w:val="105"/>
          <w:sz w:val="19"/>
        </w:rPr>
        <w:t>with</w:t>
      </w:r>
      <w:r>
        <w:rPr>
          <w:spacing w:val="-1"/>
          <w:w w:val="105"/>
          <w:sz w:val="19"/>
        </w:rPr>
        <w:t> </w:t>
      </w:r>
      <w:r>
        <w:rPr>
          <w:w w:val="105"/>
          <w:sz w:val="19"/>
        </w:rPr>
        <w:t>the</w:t>
      </w:r>
      <w:r>
        <w:rPr>
          <w:spacing w:val="-15"/>
          <w:w w:val="105"/>
          <w:sz w:val="19"/>
        </w:rPr>
        <w:t> </w:t>
      </w:r>
      <w:r>
        <w:rPr>
          <w:w w:val="105"/>
          <w:sz w:val="19"/>
        </w:rPr>
        <w:t>professional</w:t>
      </w:r>
      <w:r>
        <w:rPr>
          <w:spacing w:val="-1"/>
          <w:w w:val="105"/>
          <w:sz w:val="19"/>
        </w:rPr>
        <w:t> </w:t>
      </w:r>
      <w:r>
        <w:rPr>
          <w:w w:val="105"/>
          <w:sz w:val="19"/>
        </w:rPr>
        <w:t>degree Bachelor of Architecture.</w:t>
      </w:r>
    </w:p>
    <w:p>
      <w:pPr>
        <w:spacing w:after="0" w:line="242" w:lineRule="auto"/>
        <w:jc w:val="left"/>
        <w:rPr>
          <w:sz w:val="19"/>
        </w:rPr>
        <w:sectPr>
          <w:type w:val="continuous"/>
          <w:pgSz w:w="12180" w:h="15820"/>
          <w:pgMar w:header="646" w:footer="0" w:top="1360" w:bottom="280" w:left="1120" w:right="1180"/>
        </w:sectPr>
      </w:pPr>
    </w:p>
    <w:p>
      <w:pPr>
        <w:spacing w:line="224" w:lineRule="exact" w:before="0"/>
        <w:ind w:left="0" w:right="3" w:firstLine="0"/>
        <w:jc w:val="right"/>
        <w:rPr>
          <w:rFonts w:ascii="Courier New"/>
          <w:sz w:val="23"/>
        </w:rPr>
      </w:pPr>
      <w:r>
        <w:rPr>
          <w:rFonts w:ascii="Courier New"/>
          <w:spacing w:val="-4"/>
          <w:w w:val="90"/>
          <w:sz w:val="23"/>
        </w:rPr>
        <w:t>1969</w:t>
      </w:r>
    </w:p>
    <w:p>
      <w:pPr>
        <w:spacing w:line="246" w:lineRule="exact" w:before="0"/>
        <w:ind w:left="0" w:right="0" w:firstLine="0"/>
        <w:jc w:val="right"/>
        <w:rPr>
          <w:rFonts w:ascii="Courier New"/>
          <w:sz w:val="23"/>
        </w:rPr>
      </w:pPr>
      <w:r>
        <w:rPr>
          <w:rFonts w:ascii="Courier New"/>
          <w:spacing w:val="-4"/>
          <w:w w:val="90"/>
          <w:sz w:val="23"/>
        </w:rPr>
        <w:t>1970</w:t>
      </w:r>
    </w:p>
    <w:p>
      <w:pPr>
        <w:spacing w:line="254" w:lineRule="auto" w:before="1"/>
        <w:ind w:left="227" w:right="323" w:firstLine="3"/>
        <w:jc w:val="left"/>
        <w:rPr>
          <w:sz w:val="19"/>
        </w:rPr>
      </w:pPr>
      <w:r>
        <w:rPr/>
        <w:br w:type="column"/>
      </w:r>
      <w:r>
        <w:rPr>
          <w:w w:val="105"/>
          <w:sz w:val="19"/>
        </w:rPr>
        <w:t>The</w:t>
      </w:r>
      <w:r>
        <w:rPr>
          <w:spacing w:val="-7"/>
          <w:w w:val="105"/>
          <w:sz w:val="19"/>
        </w:rPr>
        <w:t> </w:t>
      </w:r>
      <w:r>
        <w:rPr>
          <w:w w:val="105"/>
          <w:sz w:val="19"/>
        </w:rPr>
        <w:t>Division of Architecture received a two year accreditation from NAAB. Bertram</w:t>
      </w:r>
      <w:r>
        <w:rPr>
          <w:spacing w:val="-2"/>
          <w:w w:val="105"/>
          <w:sz w:val="19"/>
        </w:rPr>
        <w:t> </w:t>
      </w:r>
      <w:r>
        <w:rPr>
          <w:w w:val="105"/>
          <w:sz w:val="19"/>
        </w:rPr>
        <w:t>Berenson</w:t>
      </w:r>
      <w:r>
        <w:rPr>
          <w:spacing w:val="-7"/>
          <w:w w:val="105"/>
          <w:sz w:val="19"/>
        </w:rPr>
        <w:t> </w:t>
      </w:r>
      <w:r>
        <w:rPr>
          <w:w w:val="105"/>
          <w:sz w:val="19"/>
        </w:rPr>
        <w:t>resigns. John</w:t>
      </w:r>
      <w:r>
        <w:rPr>
          <w:spacing w:val="-11"/>
          <w:w w:val="105"/>
          <w:sz w:val="19"/>
        </w:rPr>
        <w:t> </w:t>
      </w:r>
      <w:r>
        <w:rPr>
          <w:w w:val="105"/>
          <w:sz w:val="19"/>
        </w:rPr>
        <w:t>H.</w:t>
      </w:r>
      <w:r>
        <w:rPr>
          <w:spacing w:val="-2"/>
          <w:w w:val="105"/>
          <w:sz w:val="19"/>
        </w:rPr>
        <w:t> </w:t>
      </w:r>
      <w:r>
        <w:rPr>
          <w:w w:val="105"/>
          <w:sz w:val="19"/>
        </w:rPr>
        <w:t>Spencer</w:t>
      </w:r>
      <w:r>
        <w:rPr>
          <w:spacing w:val="-2"/>
          <w:w w:val="105"/>
          <w:sz w:val="19"/>
        </w:rPr>
        <w:t> </w:t>
      </w:r>
      <w:r>
        <w:rPr>
          <w:w w:val="105"/>
          <w:sz w:val="19"/>
        </w:rPr>
        <w:t>as</w:t>
      </w:r>
      <w:r>
        <w:rPr>
          <w:spacing w:val="-8"/>
          <w:w w:val="105"/>
          <w:sz w:val="19"/>
        </w:rPr>
        <w:t> </w:t>
      </w:r>
      <w:r>
        <w:rPr>
          <w:w w:val="105"/>
          <w:sz w:val="19"/>
        </w:rPr>
        <w:t>new</w:t>
      </w:r>
      <w:r>
        <w:rPr>
          <w:spacing w:val="-10"/>
          <w:w w:val="105"/>
          <w:sz w:val="19"/>
        </w:rPr>
        <w:t> </w:t>
      </w:r>
      <w:r>
        <w:rPr>
          <w:w w:val="105"/>
          <w:sz w:val="19"/>
        </w:rPr>
        <w:t>Division</w:t>
      </w:r>
      <w:r>
        <w:rPr>
          <w:spacing w:val="-4"/>
          <w:w w:val="105"/>
          <w:sz w:val="19"/>
        </w:rPr>
        <w:t> </w:t>
      </w:r>
      <w:r>
        <w:rPr>
          <w:w w:val="105"/>
          <w:sz w:val="19"/>
        </w:rPr>
        <w:t>Director</w:t>
      </w:r>
      <w:r>
        <w:rPr>
          <w:spacing w:val="-10"/>
          <w:w w:val="105"/>
          <w:sz w:val="19"/>
        </w:rPr>
        <w:t> </w:t>
      </w:r>
      <w:r>
        <w:rPr>
          <w:w w:val="105"/>
          <w:sz w:val="19"/>
        </w:rPr>
        <w:t>continued curriculum development, program revision and consolidation.</w:t>
      </w:r>
    </w:p>
    <w:p>
      <w:pPr>
        <w:spacing w:after="0" w:line="254" w:lineRule="auto"/>
        <w:jc w:val="left"/>
        <w:rPr>
          <w:sz w:val="19"/>
        </w:rPr>
        <w:sectPr>
          <w:type w:val="continuous"/>
          <w:pgSz w:w="12180" w:h="15820"/>
          <w:pgMar w:header="646" w:footer="0" w:top="1360" w:bottom="280" w:left="1120" w:right="1180"/>
          <w:cols w:num="2" w:equalWidth="0">
            <w:col w:w="2084" w:space="40"/>
            <w:col w:w="7756"/>
          </w:cols>
        </w:sectPr>
      </w:pPr>
    </w:p>
    <w:p>
      <w:pPr>
        <w:tabs>
          <w:tab w:pos="2354" w:val="left" w:leader="none"/>
        </w:tabs>
        <w:spacing w:line="254" w:lineRule="auto" w:before="0"/>
        <w:ind w:left="2351" w:right="532" w:hanging="718"/>
        <w:jc w:val="left"/>
        <w:rPr>
          <w:sz w:val="19"/>
        </w:rPr>
      </w:pPr>
      <w:r>
        <w:rPr>
          <w:spacing w:val="-4"/>
          <w:w w:val="105"/>
          <w:sz w:val="19"/>
        </w:rPr>
        <w:t>1972</w:t>
      </w:r>
      <w:r>
        <w:rPr>
          <w:sz w:val="19"/>
        </w:rPr>
        <w:tab/>
        <w:tab/>
      </w:r>
      <w:r>
        <w:rPr>
          <w:w w:val="105"/>
          <w:sz w:val="19"/>
        </w:rPr>
        <w:t>The</w:t>
      </w:r>
      <w:r>
        <w:rPr>
          <w:spacing w:val="-16"/>
          <w:w w:val="105"/>
          <w:sz w:val="19"/>
        </w:rPr>
        <w:t> </w:t>
      </w:r>
      <w:r>
        <w:rPr>
          <w:w w:val="105"/>
          <w:sz w:val="19"/>
        </w:rPr>
        <w:t>Division</w:t>
      </w:r>
      <w:r>
        <w:rPr>
          <w:spacing w:val="-7"/>
          <w:w w:val="105"/>
          <w:sz w:val="19"/>
        </w:rPr>
        <w:t> </w:t>
      </w:r>
      <w:r>
        <w:rPr>
          <w:w w:val="105"/>
          <w:sz w:val="19"/>
        </w:rPr>
        <w:t>of Architecture was</w:t>
      </w:r>
      <w:r>
        <w:rPr>
          <w:spacing w:val="-4"/>
          <w:w w:val="105"/>
          <w:sz w:val="19"/>
        </w:rPr>
        <w:t> </w:t>
      </w:r>
      <w:r>
        <w:rPr>
          <w:w w:val="105"/>
          <w:sz w:val="19"/>
        </w:rPr>
        <w:t>revisited</w:t>
      </w:r>
      <w:r>
        <w:rPr>
          <w:spacing w:val="-2"/>
          <w:w w:val="105"/>
          <w:sz w:val="19"/>
        </w:rPr>
        <w:t> </w:t>
      </w:r>
      <w:r>
        <w:rPr>
          <w:w w:val="105"/>
          <w:sz w:val="19"/>
        </w:rPr>
        <w:t>by</w:t>
      </w:r>
      <w:r>
        <w:rPr>
          <w:spacing w:val="-2"/>
          <w:w w:val="105"/>
          <w:sz w:val="19"/>
        </w:rPr>
        <w:t> </w:t>
      </w:r>
      <w:r>
        <w:rPr>
          <w:w w:val="105"/>
          <w:sz w:val="19"/>
        </w:rPr>
        <w:t>NAAB</w:t>
      </w:r>
      <w:r>
        <w:rPr>
          <w:spacing w:val="-5"/>
          <w:w w:val="105"/>
          <w:sz w:val="19"/>
        </w:rPr>
        <w:t> </w:t>
      </w:r>
      <w:r>
        <w:rPr>
          <w:w w:val="105"/>
          <w:sz w:val="19"/>
        </w:rPr>
        <w:t>and</w:t>
      </w:r>
      <w:r>
        <w:rPr>
          <w:spacing w:val="-10"/>
          <w:w w:val="105"/>
          <w:sz w:val="19"/>
        </w:rPr>
        <w:t> </w:t>
      </w:r>
      <w:r>
        <w:rPr>
          <w:w w:val="105"/>
          <w:sz w:val="19"/>
        </w:rPr>
        <w:t>received</w:t>
      </w:r>
      <w:r>
        <w:rPr>
          <w:spacing w:val="-3"/>
          <w:w w:val="105"/>
          <w:sz w:val="19"/>
        </w:rPr>
        <w:t> </w:t>
      </w:r>
      <w:r>
        <w:rPr>
          <w:w w:val="105"/>
          <w:sz w:val="19"/>
        </w:rPr>
        <w:t>a full</w:t>
      </w:r>
      <w:r>
        <w:rPr>
          <w:spacing w:val="-11"/>
          <w:w w:val="105"/>
          <w:sz w:val="19"/>
        </w:rPr>
        <w:t> </w:t>
      </w:r>
      <w:r>
        <w:rPr>
          <w:w w:val="105"/>
          <w:sz w:val="19"/>
        </w:rPr>
        <w:t>five</w:t>
      </w:r>
      <w:r>
        <w:rPr>
          <w:spacing w:val="-3"/>
          <w:w w:val="105"/>
          <w:sz w:val="19"/>
        </w:rPr>
        <w:t> </w:t>
      </w:r>
      <w:r>
        <w:rPr>
          <w:w w:val="105"/>
          <w:sz w:val="19"/>
        </w:rPr>
        <w:t>year </w:t>
      </w:r>
      <w:r>
        <w:rPr>
          <w:spacing w:val="-2"/>
          <w:w w:val="105"/>
          <w:sz w:val="19"/>
        </w:rPr>
        <w:t>accreditation.</w:t>
      </w:r>
    </w:p>
    <w:p>
      <w:pPr>
        <w:tabs>
          <w:tab w:pos="2349" w:val="left" w:leader="none"/>
        </w:tabs>
        <w:spacing w:line="254" w:lineRule="auto" w:before="0"/>
        <w:ind w:left="2349" w:right="479" w:hanging="716"/>
        <w:jc w:val="left"/>
        <w:rPr>
          <w:sz w:val="19"/>
        </w:rPr>
      </w:pPr>
      <w:r>
        <w:rPr>
          <w:spacing w:val="-4"/>
          <w:w w:val="105"/>
          <w:sz w:val="19"/>
        </w:rPr>
        <w:t>1972</w:t>
      </w:r>
      <w:r>
        <w:rPr>
          <w:sz w:val="19"/>
        </w:rPr>
        <w:tab/>
      </w:r>
      <w:r>
        <w:rPr>
          <w:w w:val="105"/>
          <w:sz w:val="19"/>
        </w:rPr>
        <w:t>Academic</w:t>
      </w:r>
      <w:r>
        <w:rPr>
          <w:spacing w:val="9"/>
          <w:w w:val="105"/>
          <w:sz w:val="19"/>
        </w:rPr>
        <w:t> </w:t>
      </w:r>
      <w:r>
        <w:rPr>
          <w:w w:val="105"/>
          <w:sz w:val="19"/>
        </w:rPr>
        <w:t>restructuring at</w:t>
      </w:r>
      <w:r>
        <w:rPr>
          <w:spacing w:val="-9"/>
          <w:w w:val="105"/>
          <w:sz w:val="19"/>
        </w:rPr>
        <w:t> </w:t>
      </w:r>
      <w:r>
        <w:rPr>
          <w:w w:val="105"/>
          <w:sz w:val="19"/>
        </w:rPr>
        <w:t>the</w:t>
      </w:r>
      <w:r>
        <w:rPr>
          <w:spacing w:val="-4"/>
          <w:w w:val="105"/>
          <w:sz w:val="19"/>
        </w:rPr>
        <w:t> </w:t>
      </w:r>
      <w:r>
        <w:rPr>
          <w:w w:val="105"/>
          <w:sz w:val="19"/>
        </w:rPr>
        <w:t>Institute</w:t>
      </w:r>
      <w:r>
        <w:rPr>
          <w:spacing w:val="-8"/>
          <w:w w:val="105"/>
          <w:sz w:val="19"/>
        </w:rPr>
        <w:t> </w:t>
      </w:r>
      <w:r>
        <w:rPr>
          <w:w w:val="105"/>
          <w:sz w:val="19"/>
        </w:rPr>
        <w:t>level</w:t>
      </w:r>
      <w:r>
        <w:rPr>
          <w:spacing w:val="-14"/>
          <w:w w:val="105"/>
          <w:sz w:val="19"/>
        </w:rPr>
        <w:t> </w:t>
      </w:r>
      <w:r>
        <w:rPr>
          <w:w w:val="105"/>
          <w:sz w:val="19"/>
        </w:rPr>
        <w:t>changed</w:t>
      </w:r>
      <w:r>
        <w:rPr>
          <w:spacing w:val="-5"/>
          <w:w w:val="105"/>
          <w:sz w:val="19"/>
        </w:rPr>
        <w:t> </w:t>
      </w:r>
      <w:r>
        <w:rPr>
          <w:w w:val="105"/>
          <w:sz w:val="19"/>
        </w:rPr>
        <w:t>the</w:t>
      </w:r>
      <w:r>
        <w:rPr>
          <w:spacing w:val="-17"/>
          <w:w w:val="105"/>
          <w:sz w:val="19"/>
        </w:rPr>
        <w:t> </w:t>
      </w:r>
      <w:r>
        <w:rPr>
          <w:w w:val="105"/>
          <w:sz w:val="19"/>
        </w:rPr>
        <w:t>Division</w:t>
      </w:r>
      <w:r>
        <w:rPr>
          <w:spacing w:val="-9"/>
          <w:w w:val="105"/>
          <w:sz w:val="19"/>
        </w:rPr>
        <w:t> </w:t>
      </w:r>
      <w:r>
        <w:rPr>
          <w:w w:val="105"/>
          <w:sz w:val="19"/>
        </w:rPr>
        <w:t>of Architecture to</w:t>
      </w:r>
      <w:r>
        <w:rPr>
          <w:spacing w:val="-11"/>
          <w:w w:val="105"/>
          <w:sz w:val="19"/>
        </w:rPr>
        <w:t> </w:t>
      </w:r>
      <w:r>
        <w:rPr>
          <w:w w:val="105"/>
          <w:sz w:val="19"/>
        </w:rPr>
        <w:t>a Department of Architecture in the Division of Social</w:t>
      </w:r>
      <w:r>
        <w:rPr>
          <w:spacing w:val="-12"/>
          <w:w w:val="105"/>
          <w:sz w:val="19"/>
        </w:rPr>
        <w:t> </w:t>
      </w:r>
      <w:r>
        <w:rPr>
          <w:w w:val="105"/>
          <w:sz w:val="19"/>
        </w:rPr>
        <w:t>and</w:t>
      </w:r>
      <w:r>
        <w:rPr>
          <w:spacing w:val="-2"/>
          <w:w w:val="105"/>
          <w:sz w:val="19"/>
        </w:rPr>
        <w:t> </w:t>
      </w:r>
      <w:r>
        <w:rPr>
          <w:w w:val="105"/>
          <w:sz w:val="19"/>
        </w:rPr>
        <w:t>Environmental </w:t>
      </w:r>
      <w:r>
        <w:rPr>
          <w:spacing w:val="-2"/>
          <w:w w:val="105"/>
          <w:sz w:val="19"/>
        </w:rPr>
        <w:t>Studies.</w:t>
      </w:r>
    </w:p>
    <w:p>
      <w:pPr>
        <w:tabs>
          <w:tab w:pos="2349" w:val="left" w:leader="none"/>
        </w:tabs>
        <w:spacing w:line="242" w:lineRule="auto" w:before="0"/>
        <w:ind w:left="2349" w:right="992" w:hanging="716"/>
        <w:jc w:val="left"/>
        <w:rPr>
          <w:sz w:val="19"/>
        </w:rPr>
      </w:pPr>
      <w:r>
        <w:rPr>
          <w:spacing w:val="-4"/>
          <w:w w:val="105"/>
          <w:sz w:val="19"/>
        </w:rPr>
        <w:t>1979</w:t>
      </w:r>
      <w:r>
        <w:rPr>
          <w:sz w:val="19"/>
        </w:rPr>
        <w:tab/>
      </w:r>
      <w:r>
        <w:rPr>
          <w:w w:val="105"/>
          <w:sz w:val="19"/>
        </w:rPr>
        <w:t>A</w:t>
      </w:r>
      <w:r>
        <w:rPr>
          <w:spacing w:val="-6"/>
          <w:w w:val="105"/>
          <w:sz w:val="19"/>
        </w:rPr>
        <w:t> </w:t>
      </w:r>
      <w:r>
        <w:rPr>
          <w:w w:val="105"/>
          <w:sz w:val="19"/>
        </w:rPr>
        <w:t>second</w:t>
      </w:r>
      <w:r>
        <w:rPr>
          <w:spacing w:val="-7"/>
          <w:w w:val="105"/>
          <w:sz w:val="19"/>
        </w:rPr>
        <w:t> </w:t>
      </w:r>
      <w:r>
        <w:rPr>
          <w:w w:val="105"/>
          <w:sz w:val="19"/>
        </w:rPr>
        <w:t>major</w:t>
      </w:r>
      <w:r>
        <w:rPr>
          <w:spacing w:val="-9"/>
          <w:w w:val="105"/>
          <w:sz w:val="19"/>
        </w:rPr>
        <w:t> </w:t>
      </w:r>
      <w:r>
        <w:rPr>
          <w:w w:val="105"/>
          <w:sz w:val="19"/>
        </w:rPr>
        <w:t>restructuring moved the</w:t>
      </w:r>
      <w:r>
        <w:rPr>
          <w:spacing w:val="-17"/>
          <w:w w:val="105"/>
          <w:sz w:val="19"/>
        </w:rPr>
        <w:t> </w:t>
      </w:r>
      <w:r>
        <w:rPr>
          <w:w w:val="105"/>
          <w:sz w:val="19"/>
        </w:rPr>
        <w:t>Department of</w:t>
      </w:r>
      <w:r>
        <w:rPr>
          <w:spacing w:val="-10"/>
          <w:w w:val="105"/>
          <w:sz w:val="19"/>
        </w:rPr>
        <w:t> </w:t>
      </w:r>
      <w:r>
        <w:rPr>
          <w:w w:val="105"/>
          <w:sz w:val="19"/>
        </w:rPr>
        <w:t>Architecture to</w:t>
      </w:r>
      <w:r>
        <w:rPr>
          <w:spacing w:val="-8"/>
          <w:w w:val="105"/>
          <w:sz w:val="19"/>
        </w:rPr>
        <w:t> </w:t>
      </w:r>
      <w:r>
        <w:rPr>
          <w:w w:val="105"/>
          <w:sz w:val="19"/>
        </w:rPr>
        <w:t>the School of Pure and Applied Sciences.</w:t>
      </w:r>
    </w:p>
    <w:p>
      <w:pPr>
        <w:spacing w:line="242" w:lineRule="auto" w:before="17"/>
        <w:ind w:left="2343" w:right="0" w:firstLine="0"/>
        <w:jc w:val="left"/>
        <w:rPr>
          <w:sz w:val="19"/>
        </w:rPr>
      </w:pPr>
      <w:r>
        <w:rPr>
          <w:w w:val="105"/>
          <w:sz w:val="19"/>
        </w:rPr>
        <w:t>The</w:t>
      </w:r>
      <w:r>
        <w:rPr>
          <w:spacing w:val="-14"/>
          <w:w w:val="105"/>
          <w:sz w:val="19"/>
        </w:rPr>
        <w:t> </w:t>
      </w:r>
      <w:r>
        <w:rPr>
          <w:w w:val="105"/>
          <w:sz w:val="19"/>
        </w:rPr>
        <w:t>program</w:t>
      </w:r>
      <w:r>
        <w:rPr>
          <w:spacing w:val="-9"/>
          <w:w w:val="105"/>
          <w:sz w:val="19"/>
        </w:rPr>
        <w:t> </w:t>
      </w:r>
      <w:r>
        <w:rPr>
          <w:w w:val="105"/>
          <w:sz w:val="19"/>
        </w:rPr>
        <w:t>in Building</w:t>
      </w:r>
      <w:r>
        <w:rPr>
          <w:spacing w:val="-2"/>
          <w:w w:val="105"/>
          <w:sz w:val="19"/>
        </w:rPr>
        <w:t> </w:t>
      </w:r>
      <w:r>
        <w:rPr>
          <w:w w:val="105"/>
          <w:sz w:val="19"/>
        </w:rPr>
        <w:t>Construction Technology (BCT)</w:t>
      </w:r>
      <w:r>
        <w:rPr>
          <w:spacing w:val="-5"/>
          <w:w w:val="105"/>
          <w:sz w:val="19"/>
        </w:rPr>
        <w:t> </w:t>
      </w:r>
      <w:r>
        <w:rPr>
          <w:w w:val="105"/>
          <w:sz w:val="19"/>
        </w:rPr>
        <w:t>was</w:t>
      </w:r>
      <w:r>
        <w:rPr>
          <w:spacing w:val="-13"/>
          <w:w w:val="105"/>
          <w:sz w:val="19"/>
        </w:rPr>
        <w:t> </w:t>
      </w:r>
      <w:r>
        <w:rPr>
          <w:w w:val="105"/>
          <w:sz w:val="19"/>
        </w:rPr>
        <w:t>returned</w:t>
      </w:r>
      <w:r>
        <w:rPr>
          <w:spacing w:val="-3"/>
          <w:w w:val="105"/>
          <w:sz w:val="19"/>
        </w:rPr>
        <w:t> </w:t>
      </w:r>
      <w:r>
        <w:rPr>
          <w:w w:val="105"/>
          <w:sz w:val="19"/>
        </w:rPr>
        <w:t>to the Department of Architecture.</w:t>
      </w:r>
    </w:p>
    <w:p>
      <w:pPr>
        <w:spacing w:line="208" w:lineRule="exact" w:before="11"/>
        <w:ind w:left="2344" w:right="0" w:firstLine="0"/>
        <w:jc w:val="left"/>
        <w:rPr>
          <w:sz w:val="19"/>
        </w:rPr>
      </w:pPr>
      <w:r>
        <w:rPr>
          <w:w w:val="105"/>
          <w:sz w:val="19"/>
        </w:rPr>
        <w:t>The</w:t>
      </w:r>
      <w:r>
        <w:rPr>
          <w:spacing w:val="-14"/>
          <w:w w:val="105"/>
          <w:sz w:val="19"/>
        </w:rPr>
        <w:t> </w:t>
      </w:r>
      <w:r>
        <w:rPr>
          <w:w w:val="105"/>
          <w:sz w:val="19"/>
        </w:rPr>
        <w:t>program</w:t>
      </w:r>
      <w:r>
        <w:rPr>
          <w:spacing w:val="-14"/>
          <w:w w:val="105"/>
          <w:sz w:val="19"/>
        </w:rPr>
        <w:t> </w:t>
      </w:r>
      <w:r>
        <w:rPr>
          <w:w w:val="105"/>
          <w:sz w:val="19"/>
        </w:rPr>
        <w:t>received</w:t>
      </w:r>
      <w:r>
        <w:rPr>
          <w:spacing w:val="-7"/>
          <w:w w:val="105"/>
          <w:sz w:val="19"/>
        </w:rPr>
        <w:t> </w:t>
      </w:r>
      <w:r>
        <w:rPr>
          <w:w w:val="105"/>
          <w:sz w:val="19"/>
        </w:rPr>
        <w:t>accreditation</w:t>
      </w:r>
      <w:r>
        <w:rPr>
          <w:spacing w:val="13"/>
          <w:w w:val="105"/>
          <w:sz w:val="19"/>
        </w:rPr>
        <w:t> </w:t>
      </w:r>
      <w:r>
        <w:rPr>
          <w:w w:val="105"/>
          <w:sz w:val="19"/>
        </w:rPr>
        <w:t>for</w:t>
      </w:r>
      <w:r>
        <w:rPr>
          <w:spacing w:val="-13"/>
          <w:w w:val="105"/>
          <w:sz w:val="19"/>
        </w:rPr>
        <w:t> </w:t>
      </w:r>
      <w:r>
        <w:rPr>
          <w:w w:val="105"/>
          <w:sz w:val="19"/>
        </w:rPr>
        <w:t>a</w:t>
      </w:r>
      <w:r>
        <w:rPr>
          <w:spacing w:val="-6"/>
          <w:w w:val="105"/>
          <w:sz w:val="19"/>
        </w:rPr>
        <w:t> </w:t>
      </w:r>
      <w:r>
        <w:rPr>
          <w:w w:val="105"/>
          <w:sz w:val="19"/>
        </w:rPr>
        <w:t>three-year</w:t>
      </w:r>
      <w:r>
        <w:rPr>
          <w:spacing w:val="-2"/>
          <w:w w:val="105"/>
          <w:sz w:val="19"/>
        </w:rPr>
        <w:t> term.</w:t>
      </w:r>
    </w:p>
    <w:p>
      <w:pPr>
        <w:spacing w:after="0" w:line="208" w:lineRule="exact"/>
        <w:jc w:val="left"/>
        <w:rPr>
          <w:sz w:val="19"/>
        </w:rPr>
        <w:sectPr>
          <w:type w:val="continuous"/>
          <w:pgSz w:w="12180" w:h="15820"/>
          <w:pgMar w:header="646" w:footer="0" w:top="1360" w:bottom="280" w:left="1120" w:right="1180"/>
        </w:sectPr>
      </w:pPr>
    </w:p>
    <w:p>
      <w:pPr>
        <w:spacing w:line="246" w:lineRule="exact" w:before="1"/>
        <w:ind w:left="0" w:right="0" w:firstLine="0"/>
        <w:jc w:val="right"/>
        <w:rPr>
          <w:rFonts w:ascii="Courier New"/>
          <w:sz w:val="23"/>
        </w:rPr>
      </w:pPr>
      <w:r>
        <w:rPr>
          <w:rFonts w:ascii="Courier New"/>
          <w:spacing w:val="-4"/>
          <w:w w:val="95"/>
          <w:sz w:val="23"/>
        </w:rPr>
        <w:t>1982</w:t>
      </w:r>
    </w:p>
    <w:p>
      <w:pPr>
        <w:spacing w:line="231" w:lineRule="exact" w:before="0"/>
        <w:ind w:left="0" w:right="1" w:firstLine="0"/>
        <w:jc w:val="right"/>
        <w:rPr>
          <w:rFonts w:ascii="Courier New"/>
          <w:sz w:val="23"/>
        </w:rPr>
      </w:pPr>
      <w:r>
        <w:rPr>
          <w:rFonts w:ascii="Courier New"/>
          <w:spacing w:val="-4"/>
          <w:w w:val="90"/>
          <w:sz w:val="23"/>
        </w:rPr>
        <w:t>1987</w:t>
      </w:r>
    </w:p>
    <w:p>
      <w:pPr>
        <w:spacing w:line="231" w:lineRule="exact" w:before="0"/>
        <w:ind w:left="0" w:right="0" w:firstLine="0"/>
        <w:jc w:val="right"/>
        <w:rPr>
          <w:rFonts w:ascii="Courier New"/>
          <w:sz w:val="23"/>
        </w:rPr>
      </w:pPr>
      <w:r>
        <w:rPr>
          <w:rFonts w:ascii="Courier New"/>
          <w:spacing w:val="-4"/>
          <w:w w:val="95"/>
          <w:sz w:val="23"/>
        </w:rPr>
        <w:t>1992</w:t>
      </w:r>
    </w:p>
    <w:p>
      <w:pPr>
        <w:spacing w:line="246" w:lineRule="exact" w:before="0"/>
        <w:ind w:left="0" w:right="4" w:firstLine="0"/>
        <w:jc w:val="right"/>
        <w:rPr>
          <w:rFonts w:ascii="Courier New"/>
          <w:sz w:val="23"/>
        </w:rPr>
      </w:pPr>
      <w:r>
        <w:rPr>
          <w:rFonts w:ascii="Courier New"/>
          <w:spacing w:val="-4"/>
          <w:w w:val="90"/>
          <w:sz w:val="23"/>
        </w:rPr>
        <w:t>1993</w:t>
      </w:r>
    </w:p>
    <w:p>
      <w:pPr>
        <w:spacing w:line="254" w:lineRule="auto" w:before="24"/>
        <w:ind w:left="224" w:right="2289" w:firstLine="0"/>
        <w:jc w:val="left"/>
        <w:rPr>
          <w:sz w:val="19"/>
        </w:rPr>
      </w:pPr>
      <w:r>
        <w:rPr/>
        <w:br w:type="column"/>
      </w:r>
      <w:r>
        <w:rPr>
          <w:w w:val="105"/>
          <w:sz w:val="19"/>
        </w:rPr>
        <w:t>The program received accreditation for a five-year term. The program received accreditation for a five-year term. The</w:t>
      </w:r>
      <w:r>
        <w:rPr>
          <w:spacing w:val="-8"/>
          <w:w w:val="105"/>
          <w:sz w:val="19"/>
        </w:rPr>
        <w:t> </w:t>
      </w:r>
      <w:r>
        <w:rPr>
          <w:w w:val="105"/>
          <w:sz w:val="19"/>
        </w:rPr>
        <w:t>program</w:t>
      </w:r>
      <w:r>
        <w:rPr>
          <w:spacing w:val="-13"/>
          <w:w w:val="105"/>
          <w:sz w:val="19"/>
        </w:rPr>
        <w:t> </w:t>
      </w:r>
      <w:r>
        <w:rPr>
          <w:w w:val="105"/>
          <w:sz w:val="19"/>
        </w:rPr>
        <w:t>received</w:t>
      </w:r>
      <w:r>
        <w:rPr>
          <w:spacing w:val="-1"/>
          <w:w w:val="105"/>
          <w:sz w:val="19"/>
        </w:rPr>
        <w:t> </w:t>
      </w:r>
      <w:r>
        <w:rPr>
          <w:w w:val="105"/>
          <w:sz w:val="19"/>
        </w:rPr>
        <w:t>accreditation for</w:t>
      </w:r>
      <w:r>
        <w:rPr>
          <w:spacing w:val="-12"/>
          <w:w w:val="105"/>
          <w:sz w:val="19"/>
        </w:rPr>
        <w:t> </w:t>
      </w:r>
      <w:r>
        <w:rPr>
          <w:w w:val="105"/>
          <w:sz w:val="19"/>
        </w:rPr>
        <w:t>a</w:t>
      </w:r>
      <w:r>
        <w:rPr>
          <w:spacing w:val="-5"/>
          <w:w w:val="105"/>
          <w:sz w:val="19"/>
        </w:rPr>
        <w:t> </w:t>
      </w:r>
      <w:r>
        <w:rPr>
          <w:w w:val="105"/>
          <w:sz w:val="19"/>
        </w:rPr>
        <w:t>three-year term.</w:t>
      </w:r>
    </w:p>
    <w:p>
      <w:pPr>
        <w:spacing w:line="249" w:lineRule="auto" w:before="0"/>
        <w:ind w:left="226" w:right="318" w:firstLine="6"/>
        <w:jc w:val="left"/>
        <w:rPr>
          <w:sz w:val="19"/>
        </w:rPr>
      </w:pPr>
      <w:r>
        <w:rPr>
          <w:w w:val="105"/>
          <w:sz w:val="19"/>
        </w:rPr>
        <w:t>Following a</w:t>
      </w:r>
      <w:r>
        <w:rPr>
          <w:spacing w:val="-5"/>
          <w:w w:val="105"/>
          <w:sz w:val="19"/>
        </w:rPr>
        <w:t> </w:t>
      </w:r>
      <w:r>
        <w:rPr>
          <w:w w:val="105"/>
          <w:sz w:val="19"/>
        </w:rPr>
        <w:t>University Strategic</w:t>
      </w:r>
      <w:r>
        <w:rPr>
          <w:spacing w:val="-7"/>
          <w:w w:val="105"/>
          <w:sz w:val="19"/>
        </w:rPr>
        <w:t> </w:t>
      </w:r>
      <w:r>
        <w:rPr>
          <w:w w:val="105"/>
          <w:sz w:val="19"/>
        </w:rPr>
        <w:t>Plan,</w:t>
      </w:r>
      <w:r>
        <w:rPr>
          <w:spacing w:val="-8"/>
          <w:w w:val="105"/>
          <w:sz w:val="19"/>
        </w:rPr>
        <w:t> </w:t>
      </w:r>
      <w:r>
        <w:rPr>
          <w:w w:val="105"/>
          <w:sz w:val="19"/>
        </w:rPr>
        <w:t>the</w:t>
      </w:r>
      <w:r>
        <w:rPr>
          <w:spacing w:val="-11"/>
          <w:w w:val="105"/>
          <w:sz w:val="19"/>
        </w:rPr>
        <w:t> </w:t>
      </w:r>
      <w:r>
        <w:rPr>
          <w:w w:val="105"/>
          <w:sz w:val="19"/>
        </w:rPr>
        <w:t>Department of Architecture was</w:t>
      </w:r>
      <w:r>
        <w:rPr>
          <w:spacing w:val="-14"/>
          <w:w w:val="105"/>
          <w:sz w:val="19"/>
        </w:rPr>
        <w:t> </w:t>
      </w:r>
      <w:r>
        <w:rPr>
          <w:w w:val="105"/>
          <w:sz w:val="19"/>
        </w:rPr>
        <w:t>placed in the</w:t>
      </w:r>
      <w:r>
        <w:rPr>
          <w:spacing w:val="-7"/>
          <w:w w:val="105"/>
          <w:sz w:val="19"/>
        </w:rPr>
        <w:t> </w:t>
      </w:r>
      <w:r>
        <w:rPr>
          <w:w w:val="105"/>
          <w:sz w:val="19"/>
        </w:rPr>
        <w:t>newly created School of Engineering and</w:t>
      </w:r>
      <w:r>
        <w:rPr>
          <w:spacing w:val="-3"/>
          <w:w w:val="105"/>
          <w:sz w:val="19"/>
        </w:rPr>
        <w:t> </w:t>
      </w:r>
      <w:r>
        <w:rPr>
          <w:w w:val="105"/>
          <w:sz w:val="19"/>
        </w:rPr>
        <w:t>Technology,</w:t>
      </w:r>
      <w:r>
        <w:rPr>
          <w:spacing w:val="32"/>
          <w:w w:val="105"/>
          <w:sz w:val="19"/>
        </w:rPr>
        <w:t> </w:t>
      </w:r>
      <w:r>
        <w:rPr>
          <w:w w:val="105"/>
          <w:sz w:val="19"/>
        </w:rPr>
        <w:t>joining Aviation, Chemical Engineering,</w:t>
      </w:r>
      <w:r>
        <w:rPr>
          <w:spacing w:val="40"/>
          <w:w w:val="105"/>
          <w:sz w:val="19"/>
        </w:rPr>
        <w:t> </w:t>
      </w:r>
      <w:r>
        <w:rPr>
          <w:w w:val="105"/>
          <w:sz w:val="19"/>
        </w:rPr>
        <w:t>and Electrical Engineering.</w:t>
      </w:r>
    </w:p>
    <w:p>
      <w:pPr>
        <w:spacing w:line="242" w:lineRule="auto" w:before="10"/>
        <w:ind w:left="234" w:right="318" w:hanging="10"/>
        <w:jc w:val="left"/>
        <w:rPr>
          <w:sz w:val="19"/>
        </w:rPr>
      </w:pPr>
      <w:r>
        <w:rPr>
          <w:w w:val="105"/>
          <w:sz w:val="19"/>
        </w:rPr>
        <w:t>The Strategic</w:t>
      </w:r>
      <w:r>
        <w:rPr>
          <w:spacing w:val="-4"/>
          <w:w w:val="105"/>
          <w:sz w:val="19"/>
        </w:rPr>
        <w:t> </w:t>
      </w:r>
      <w:r>
        <w:rPr>
          <w:w w:val="105"/>
          <w:sz w:val="19"/>
        </w:rPr>
        <w:t>Plan</w:t>
      </w:r>
      <w:r>
        <w:rPr>
          <w:spacing w:val="-15"/>
          <w:w w:val="105"/>
          <w:sz w:val="19"/>
        </w:rPr>
        <w:t> </w:t>
      </w:r>
      <w:r>
        <w:rPr>
          <w:w w:val="105"/>
          <w:sz w:val="19"/>
        </w:rPr>
        <w:t>determined that</w:t>
      </w:r>
      <w:r>
        <w:rPr>
          <w:spacing w:val="-9"/>
          <w:w w:val="105"/>
          <w:sz w:val="19"/>
        </w:rPr>
        <w:t> </w:t>
      </w:r>
      <w:r>
        <w:rPr>
          <w:w w:val="105"/>
          <w:sz w:val="19"/>
        </w:rPr>
        <w:t>the</w:t>
      </w:r>
      <w:r>
        <w:rPr>
          <w:spacing w:val="-6"/>
          <w:w w:val="105"/>
          <w:sz w:val="19"/>
        </w:rPr>
        <w:t> </w:t>
      </w:r>
      <w:r>
        <w:rPr>
          <w:w w:val="105"/>
          <w:sz w:val="19"/>
        </w:rPr>
        <w:t>program</w:t>
      </w:r>
      <w:r>
        <w:rPr>
          <w:spacing w:val="-3"/>
          <w:w w:val="105"/>
          <w:sz w:val="19"/>
        </w:rPr>
        <w:t> </w:t>
      </w:r>
      <w:r>
        <w:rPr>
          <w:w w:val="105"/>
          <w:sz w:val="19"/>
        </w:rPr>
        <w:t>in</w:t>
      </w:r>
      <w:r>
        <w:rPr>
          <w:spacing w:val="-16"/>
          <w:w w:val="105"/>
          <w:sz w:val="19"/>
        </w:rPr>
        <w:t> </w:t>
      </w:r>
      <w:r>
        <w:rPr>
          <w:w w:val="105"/>
          <w:sz w:val="19"/>
        </w:rPr>
        <w:t>Building Construction Technology (BCT) would be phased out.</w:t>
      </w:r>
    </w:p>
    <w:p>
      <w:pPr>
        <w:spacing w:after="0" w:line="242" w:lineRule="auto"/>
        <w:jc w:val="left"/>
        <w:rPr>
          <w:sz w:val="19"/>
        </w:rPr>
        <w:sectPr>
          <w:type w:val="continuous"/>
          <w:pgSz w:w="12180" w:h="15820"/>
          <w:pgMar w:header="646" w:footer="0" w:top="1360" w:bottom="280" w:left="1120" w:right="1180"/>
          <w:cols w:num="2" w:equalWidth="0">
            <w:col w:w="2080" w:space="40"/>
            <w:col w:w="7760"/>
          </w:cols>
        </w:sectPr>
      </w:pPr>
    </w:p>
    <w:p>
      <w:pPr>
        <w:tabs>
          <w:tab w:pos="2402" w:val="left" w:leader="none"/>
        </w:tabs>
        <w:spacing w:line="254" w:lineRule="auto" w:before="11"/>
        <w:ind w:left="2344" w:right="1605" w:hanging="710"/>
        <w:jc w:val="left"/>
        <w:rPr>
          <w:sz w:val="19"/>
        </w:rPr>
      </w:pPr>
      <w:r>
        <w:rPr>
          <w:spacing w:val="-4"/>
          <w:w w:val="105"/>
          <w:sz w:val="19"/>
        </w:rPr>
        <w:t>1994</w:t>
      </w:r>
      <w:r>
        <w:rPr>
          <w:sz w:val="19"/>
        </w:rPr>
        <w:tab/>
        <w:tab/>
      </w:r>
      <w:r>
        <w:rPr>
          <w:w w:val="105"/>
          <w:sz w:val="19"/>
        </w:rPr>
        <w:t>Bemis</w:t>
      </w:r>
      <w:r>
        <w:rPr>
          <w:spacing w:val="-9"/>
          <w:w w:val="105"/>
          <w:sz w:val="19"/>
        </w:rPr>
        <w:t> </w:t>
      </w:r>
      <w:r>
        <w:rPr>
          <w:w w:val="105"/>
          <w:sz w:val="19"/>
        </w:rPr>
        <w:t>Hall</w:t>
      </w:r>
      <w:r>
        <w:rPr>
          <w:spacing w:val="-21"/>
          <w:w w:val="105"/>
          <w:sz w:val="19"/>
        </w:rPr>
        <w:t> </w:t>
      </w:r>
      <w:r>
        <w:rPr>
          <w:w w:val="105"/>
          <w:sz w:val="19"/>
        </w:rPr>
        <w:t>remodeled</w:t>
      </w:r>
      <w:r>
        <w:rPr>
          <w:spacing w:val="14"/>
          <w:w w:val="105"/>
          <w:sz w:val="19"/>
        </w:rPr>
        <w:t> </w:t>
      </w:r>
      <w:r>
        <w:rPr>
          <w:w w:val="105"/>
          <w:sz w:val="19"/>
        </w:rPr>
        <w:t>to</w:t>
      </w:r>
      <w:r>
        <w:rPr>
          <w:spacing w:val="-7"/>
          <w:w w:val="105"/>
          <w:sz w:val="19"/>
        </w:rPr>
        <w:t> </w:t>
      </w:r>
      <w:r>
        <w:rPr>
          <w:w w:val="105"/>
          <w:sz w:val="19"/>
        </w:rPr>
        <w:t>enlarge</w:t>
      </w:r>
      <w:r>
        <w:rPr>
          <w:spacing w:val="-4"/>
          <w:w w:val="105"/>
          <w:sz w:val="19"/>
        </w:rPr>
        <w:t> </w:t>
      </w:r>
      <w:r>
        <w:rPr>
          <w:w w:val="105"/>
          <w:sz w:val="19"/>
        </w:rPr>
        <w:t>library</w:t>
      </w:r>
      <w:r>
        <w:rPr>
          <w:spacing w:val="-6"/>
          <w:w w:val="105"/>
          <w:sz w:val="19"/>
        </w:rPr>
        <w:t> </w:t>
      </w:r>
      <w:r>
        <w:rPr>
          <w:w w:val="105"/>
          <w:sz w:val="19"/>
        </w:rPr>
        <w:t>and</w:t>
      </w:r>
      <w:r>
        <w:rPr>
          <w:spacing w:val="-8"/>
          <w:w w:val="105"/>
          <w:sz w:val="19"/>
        </w:rPr>
        <w:t> </w:t>
      </w:r>
      <w:r>
        <w:rPr>
          <w:w w:val="105"/>
          <w:sz w:val="19"/>
        </w:rPr>
        <w:t>increase accessibility, The program received accreditation for a five-year term.</w:t>
      </w:r>
    </w:p>
    <w:p>
      <w:pPr>
        <w:spacing w:line="242" w:lineRule="auto" w:before="0"/>
        <w:ind w:left="2349" w:right="903" w:firstLine="3"/>
        <w:jc w:val="left"/>
        <w:rPr>
          <w:sz w:val="19"/>
        </w:rPr>
      </w:pPr>
      <w:r>
        <w:rPr>
          <w:w w:val="105"/>
          <w:sz w:val="19"/>
        </w:rPr>
        <w:t>John</w:t>
      </w:r>
      <w:r>
        <w:rPr>
          <w:spacing w:val="-14"/>
          <w:w w:val="105"/>
          <w:sz w:val="19"/>
        </w:rPr>
        <w:t> </w:t>
      </w:r>
      <w:r>
        <w:rPr>
          <w:w w:val="105"/>
          <w:sz w:val="19"/>
        </w:rPr>
        <w:t>Spencer stepped down</w:t>
      </w:r>
      <w:r>
        <w:rPr>
          <w:spacing w:val="-12"/>
          <w:w w:val="105"/>
          <w:sz w:val="19"/>
        </w:rPr>
        <w:t> </w:t>
      </w:r>
      <w:r>
        <w:rPr>
          <w:w w:val="105"/>
          <w:sz w:val="19"/>
        </w:rPr>
        <w:t>as</w:t>
      </w:r>
      <w:r>
        <w:rPr>
          <w:spacing w:val="-10"/>
          <w:w w:val="105"/>
          <w:sz w:val="19"/>
        </w:rPr>
        <w:t> </w:t>
      </w:r>
      <w:r>
        <w:rPr>
          <w:w w:val="105"/>
          <w:sz w:val="19"/>
        </w:rPr>
        <w:t>Department</w:t>
      </w:r>
      <w:r>
        <w:rPr>
          <w:spacing w:val="-2"/>
          <w:w w:val="105"/>
          <w:sz w:val="19"/>
        </w:rPr>
        <w:t> </w:t>
      </w:r>
      <w:r>
        <w:rPr>
          <w:w w:val="105"/>
          <w:sz w:val="19"/>
        </w:rPr>
        <w:t>Chair</w:t>
      </w:r>
      <w:r>
        <w:rPr>
          <w:spacing w:val="-4"/>
          <w:w w:val="105"/>
          <w:sz w:val="19"/>
        </w:rPr>
        <w:t> </w:t>
      </w:r>
      <w:r>
        <w:rPr>
          <w:w w:val="105"/>
          <w:sz w:val="19"/>
        </w:rPr>
        <w:t>after</w:t>
      </w:r>
      <w:r>
        <w:rPr>
          <w:spacing w:val="-4"/>
          <w:w w:val="105"/>
          <w:sz w:val="19"/>
        </w:rPr>
        <w:t> </w:t>
      </w:r>
      <w:r>
        <w:rPr>
          <w:w w:val="105"/>
          <w:sz w:val="19"/>
        </w:rPr>
        <w:t>twenty-five years. Solil Banerjee appointed Interim Chair.</w:t>
      </w:r>
    </w:p>
    <w:p>
      <w:pPr>
        <w:spacing w:before="10"/>
        <w:ind w:left="2353" w:right="0" w:firstLine="0"/>
        <w:jc w:val="left"/>
        <w:rPr>
          <w:sz w:val="19"/>
        </w:rPr>
      </w:pPr>
      <w:r>
        <w:rPr>
          <w:w w:val="105"/>
          <w:sz w:val="19"/>
        </w:rPr>
        <w:t>John</w:t>
      </w:r>
      <w:r>
        <w:rPr>
          <w:spacing w:val="-11"/>
          <w:w w:val="105"/>
          <w:sz w:val="19"/>
        </w:rPr>
        <w:t> </w:t>
      </w:r>
      <w:r>
        <w:rPr>
          <w:w w:val="105"/>
          <w:sz w:val="19"/>
        </w:rPr>
        <w:t>Peter,</w:t>
      </w:r>
      <w:r>
        <w:rPr>
          <w:spacing w:val="2"/>
          <w:w w:val="105"/>
          <w:sz w:val="19"/>
        </w:rPr>
        <w:t> </w:t>
      </w:r>
      <w:r>
        <w:rPr>
          <w:w w:val="105"/>
          <w:sz w:val="19"/>
        </w:rPr>
        <w:t>Professor,</w:t>
      </w:r>
      <w:r>
        <w:rPr>
          <w:spacing w:val="-3"/>
          <w:w w:val="105"/>
          <w:sz w:val="19"/>
        </w:rPr>
        <w:t> </w:t>
      </w:r>
      <w:r>
        <w:rPr>
          <w:w w:val="105"/>
          <w:sz w:val="19"/>
        </w:rPr>
        <w:t>announced</w:t>
      </w:r>
      <w:r>
        <w:rPr>
          <w:spacing w:val="-8"/>
          <w:w w:val="105"/>
          <w:sz w:val="19"/>
        </w:rPr>
        <w:t> </w:t>
      </w:r>
      <w:r>
        <w:rPr>
          <w:w w:val="105"/>
          <w:sz w:val="19"/>
        </w:rPr>
        <w:t>his</w:t>
      </w:r>
      <w:r>
        <w:rPr>
          <w:spacing w:val="-16"/>
          <w:w w:val="105"/>
          <w:sz w:val="19"/>
        </w:rPr>
        <w:t> </w:t>
      </w:r>
      <w:r>
        <w:rPr>
          <w:spacing w:val="-2"/>
          <w:w w:val="105"/>
          <w:sz w:val="19"/>
        </w:rPr>
        <w:t>retirement.</w:t>
      </w:r>
    </w:p>
    <w:p>
      <w:pPr>
        <w:pStyle w:val="BodyText"/>
      </w:pPr>
    </w:p>
    <w:p>
      <w:pPr>
        <w:pStyle w:val="BodyText"/>
        <w:spacing w:before="5"/>
      </w:pPr>
      <w:r>
        <w:rPr/>
        <w:pict>
          <v:shape style="position:absolute;margin-left:63.597477pt;margin-top:12.949023pt;width:451.45pt;height:.1pt;mso-position-horizontal-relative:page;mso-position-vertical-relative:paragraph;z-index:-15693312;mso-wrap-distance-left:0;mso-wrap-distance-right:0" id="docshape673" coordorigin="1272,259" coordsize="9029,0" path="m1272,259l10301,259e" filled="false" stroked="true" strokeweight=".481434pt" strokecolor="#000000">
            <v:path arrowok="t"/>
            <v:stroke dashstyle="solid"/>
            <w10:wrap type="topAndBottom"/>
          </v:shape>
        </w:pict>
      </w:r>
    </w:p>
    <w:p>
      <w:pPr>
        <w:spacing w:before="0"/>
        <w:ind w:left="171" w:right="0" w:firstLine="0"/>
        <w:jc w:val="left"/>
        <w:rPr>
          <w:rFonts w:ascii="Courier New"/>
          <w:sz w:val="23"/>
        </w:rPr>
      </w:pPr>
      <w:r>
        <w:rPr>
          <w:rFonts w:ascii="Courier New"/>
          <w:spacing w:val="-5"/>
          <w:sz w:val="23"/>
        </w:rPr>
        <w:t>28</w:t>
      </w:r>
    </w:p>
    <w:p>
      <w:pPr>
        <w:spacing w:after="0"/>
        <w:jc w:val="left"/>
        <w:rPr>
          <w:rFonts w:ascii="Courier New"/>
          <w:sz w:val="23"/>
        </w:rPr>
        <w:sectPr>
          <w:type w:val="continuous"/>
          <w:pgSz w:w="12180" w:h="15820"/>
          <w:pgMar w:header="646" w:footer="0" w:top="1360" w:bottom="280" w:left="1120" w:right="1180"/>
        </w:sectPr>
      </w:pPr>
    </w:p>
    <w:p>
      <w:pPr>
        <w:pStyle w:val="BodyText"/>
        <w:spacing w:before="10"/>
        <w:rPr>
          <w:rFonts w:ascii="Courier New"/>
          <w:sz w:val="18"/>
        </w:rPr>
      </w:pPr>
    </w:p>
    <w:p>
      <w:pPr>
        <w:pStyle w:val="BodyText"/>
        <w:spacing w:line="252" w:lineRule="auto" w:before="94"/>
        <w:ind w:left="2373" w:right="407" w:firstLine="8"/>
        <w:jc w:val="both"/>
      </w:pPr>
      <w:r>
        <w:rPr/>
        <w:t>Dr.</w:t>
      </w:r>
      <w:r>
        <w:rPr>
          <w:spacing w:val="-6"/>
        </w:rPr>
        <w:t> </w:t>
      </w:r>
      <w:r>
        <w:rPr/>
        <w:t>Samuel White, Jr.</w:t>
      </w:r>
      <w:r>
        <w:rPr>
          <w:spacing w:val="-12"/>
        </w:rPr>
        <w:t> </w:t>
      </w:r>
      <w:r>
        <w:rPr/>
        <w:t>named</w:t>
      </w:r>
      <w:r>
        <w:rPr>
          <w:spacing w:val="-4"/>
        </w:rPr>
        <w:t> </w:t>
      </w:r>
      <w:r>
        <w:rPr/>
        <w:t>as the first</w:t>
      </w:r>
      <w:r>
        <w:rPr>
          <w:spacing w:val="-3"/>
        </w:rPr>
        <w:t> </w:t>
      </w:r>
      <w:r>
        <w:rPr/>
        <w:t>Dean</w:t>
      </w:r>
      <w:r>
        <w:rPr>
          <w:spacing w:val="-4"/>
        </w:rPr>
        <w:t> </w:t>
      </w:r>
      <w:r>
        <w:rPr/>
        <w:t>of</w:t>
      </w:r>
      <w:r>
        <w:rPr>
          <w:spacing w:val="-3"/>
        </w:rPr>
        <w:t> </w:t>
      </w:r>
      <w:r>
        <w:rPr/>
        <w:t>the</w:t>
      </w:r>
      <w:r>
        <w:rPr>
          <w:spacing w:val="-5"/>
        </w:rPr>
        <w:t> </w:t>
      </w:r>
      <w:r>
        <w:rPr/>
        <w:t>School of Engineering and </w:t>
      </w:r>
      <w:r>
        <w:rPr>
          <w:spacing w:val="-2"/>
        </w:rPr>
        <w:t>Technology</w:t>
      </w:r>
    </w:p>
    <w:p>
      <w:pPr>
        <w:pStyle w:val="BodyText"/>
        <w:spacing w:line="209" w:lineRule="exact"/>
        <w:ind w:left="1662"/>
        <w:jc w:val="both"/>
      </w:pPr>
      <w:r>
        <w:rPr/>
        <w:t>1996</w:t>
      </w:r>
      <w:r>
        <w:rPr>
          <w:spacing w:val="75"/>
        </w:rPr>
        <w:t>  </w:t>
      </w:r>
      <w:r>
        <w:rPr/>
        <w:t>Oscar</w:t>
      </w:r>
      <w:r>
        <w:rPr>
          <w:spacing w:val="-1"/>
        </w:rPr>
        <w:t> </w:t>
      </w:r>
      <w:r>
        <w:rPr/>
        <w:t>Northen,</w:t>
      </w:r>
      <w:r>
        <w:rPr>
          <w:spacing w:val="-5"/>
        </w:rPr>
        <w:t> </w:t>
      </w:r>
      <w:r>
        <w:rPr/>
        <w:t>Instructor,</w:t>
      </w:r>
      <w:r>
        <w:rPr>
          <w:spacing w:val="-2"/>
        </w:rPr>
        <w:t> </w:t>
      </w:r>
      <w:r>
        <w:rPr/>
        <w:t>and</w:t>
      </w:r>
      <w:r>
        <w:rPr>
          <w:spacing w:val="-14"/>
        </w:rPr>
        <w:t> </w:t>
      </w:r>
      <w:r>
        <w:rPr/>
        <w:t>John</w:t>
      </w:r>
      <w:r>
        <w:rPr>
          <w:spacing w:val="-6"/>
        </w:rPr>
        <w:t> </w:t>
      </w:r>
      <w:r>
        <w:rPr/>
        <w:t>Spencer</w:t>
      </w:r>
      <w:r>
        <w:rPr>
          <w:spacing w:val="4"/>
        </w:rPr>
        <w:t> </w:t>
      </w:r>
      <w:r>
        <w:rPr/>
        <w:t>announced</w:t>
      </w:r>
      <w:r>
        <w:rPr>
          <w:spacing w:val="2"/>
        </w:rPr>
        <w:t> </w:t>
      </w:r>
      <w:r>
        <w:rPr/>
        <w:t>their</w:t>
      </w:r>
      <w:r>
        <w:rPr>
          <w:spacing w:val="-1"/>
        </w:rPr>
        <w:t> </w:t>
      </w:r>
      <w:r>
        <w:rPr>
          <w:spacing w:val="-2"/>
        </w:rPr>
        <w:t>retirements.</w:t>
      </w:r>
    </w:p>
    <w:p>
      <w:pPr>
        <w:pStyle w:val="BodyText"/>
        <w:spacing w:before="11"/>
        <w:ind w:left="2381" w:right="2842"/>
        <w:jc w:val="both"/>
      </w:pPr>
      <w:r>
        <w:rPr/>
        <w:t>John Spencer named Professor Emeritus. Department</w:t>
      </w:r>
      <w:r>
        <w:rPr>
          <w:spacing w:val="8"/>
        </w:rPr>
        <w:t> </w:t>
      </w:r>
      <w:r>
        <w:rPr/>
        <w:t>hosted the</w:t>
      </w:r>
      <w:r>
        <w:rPr>
          <w:spacing w:val="-9"/>
        </w:rPr>
        <w:t> </w:t>
      </w:r>
      <w:r>
        <w:rPr/>
        <w:t>ACSA</w:t>
      </w:r>
      <w:r>
        <w:rPr>
          <w:spacing w:val="7"/>
        </w:rPr>
        <w:t> </w:t>
      </w:r>
      <w:r>
        <w:rPr/>
        <w:t>SE</w:t>
      </w:r>
      <w:r>
        <w:rPr>
          <w:spacing w:val="-9"/>
        </w:rPr>
        <w:t> </w:t>
      </w:r>
      <w:r>
        <w:rPr/>
        <w:t>Regional</w:t>
      </w:r>
      <w:r>
        <w:rPr>
          <w:spacing w:val="-13"/>
        </w:rPr>
        <w:t> </w:t>
      </w:r>
      <w:r>
        <w:rPr>
          <w:spacing w:val="-2"/>
        </w:rPr>
        <w:t>Meeting.</w:t>
      </w:r>
    </w:p>
    <w:p>
      <w:pPr>
        <w:pStyle w:val="BodyText"/>
        <w:spacing w:before="2"/>
        <w:ind w:left="1662"/>
        <w:jc w:val="both"/>
      </w:pPr>
      <w:r>
        <w:rPr/>
        <w:t>1997</w:t>
      </w:r>
      <w:r>
        <w:rPr>
          <w:spacing w:val="56"/>
          <w:w w:val="150"/>
        </w:rPr>
        <w:t>  </w:t>
      </w:r>
      <w:r>
        <w:rPr/>
        <w:t>In</w:t>
      </w:r>
      <w:r>
        <w:rPr>
          <w:spacing w:val="6"/>
        </w:rPr>
        <w:t> </w:t>
      </w:r>
      <w:r>
        <w:rPr/>
        <w:t>January</w:t>
      </w:r>
      <w:r>
        <w:rPr>
          <w:spacing w:val="1"/>
        </w:rPr>
        <w:t> </w:t>
      </w:r>
      <w:r>
        <w:rPr/>
        <w:t>Bradford C.</w:t>
      </w:r>
      <w:r>
        <w:rPr>
          <w:spacing w:val="-15"/>
        </w:rPr>
        <w:t> </w:t>
      </w:r>
      <w:r>
        <w:rPr/>
        <w:t>Grant</w:t>
      </w:r>
      <w:r>
        <w:rPr>
          <w:spacing w:val="5"/>
        </w:rPr>
        <w:t> </w:t>
      </w:r>
      <w:r>
        <w:rPr/>
        <w:t>assumed</w:t>
      </w:r>
      <w:r>
        <w:rPr>
          <w:spacing w:val="1"/>
        </w:rPr>
        <w:t> </w:t>
      </w:r>
      <w:r>
        <w:rPr/>
        <w:t>role</w:t>
      </w:r>
      <w:r>
        <w:rPr>
          <w:spacing w:val="-10"/>
        </w:rPr>
        <w:t> </w:t>
      </w:r>
      <w:r>
        <w:rPr/>
        <w:t>as</w:t>
      </w:r>
      <w:r>
        <w:rPr>
          <w:spacing w:val="-19"/>
        </w:rPr>
        <w:t> </w:t>
      </w:r>
      <w:r>
        <w:rPr/>
        <w:t>Department </w:t>
      </w:r>
      <w:r>
        <w:rPr>
          <w:spacing w:val="-2"/>
        </w:rPr>
        <w:t>Chair.</w:t>
      </w:r>
    </w:p>
    <w:p>
      <w:pPr>
        <w:pStyle w:val="BodyText"/>
        <w:spacing w:line="252" w:lineRule="auto" w:before="1"/>
        <w:ind w:left="2380" w:right="578" w:hanging="718"/>
        <w:jc w:val="both"/>
      </w:pPr>
      <w:r>
        <w:rPr/>
        <w:t>1998</w:t>
      </w:r>
      <w:r>
        <w:rPr>
          <w:spacing w:val="40"/>
        </w:rPr>
        <w:t>  </w:t>
      </w:r>
      <w:r>
        <w:rPr/>
        <w:t>Dr.</w:t>
      </w:r>
      <w:r>
        <w:rPr>
          <w:spacing w:val="-6"/>
        </w:rPr>
        <w:t> </w:t>
      </w:r>
      <w:r>
        <w:rPr/>
        <w:t>Morris</w:t>
      </w:r>
      <w:r>
        <w:rPr>
          <w:spacing w:val="-10"/>
        </w:rPr>
        <w:t> </w:t>
      </w:r>
      <w:r>
        <w:rPr/>
        <w:t>Morgan,</w:t>
      </w:r>
      <w:r>
        <w:rPr>
          <w:spacing w:val="-1"/>
        </w:rPr>
        <w:t> </w:t>
      </w:r>
      <w:r>
        <w:rPr/>
        <w:t>Ill appointed as</w:t>
      </w:r>
      <w:r>
        <w:rPr>
          <w:spacing w:val="-7"/>
        </w:rPr>
        <w:t> </w:t>
      </w:r>
      <w:r>
        <w:rPr/>
        <w:t>second</w:t>
      </w:r>
      <w:r>
        <w:rPr>
          <w:spacing w:val="-3"/>
        </w:rPr>
        <w:t> </w:t>
      </w:r>
      <w:r>
        <w:rPr/>
        <w:t>Dean</w:t>
      </w:r>
      <w:r>
        <w:rPr>
          <w:spacing w:val="-8"/>
        </w:rPr>
        <w:t> </w:t>
      </w:r>
      <w:r>
        <w:rPr/>
        <w:t>of the</w:t>
      </w:r>
      <w:r>
        <w:rPr>
          <w:spacing w:val="-7"/>
        </w:rPr>
        <w:t> </w:t>
      </w:r>
      <w:r>
        <w:rPr/>
        <w:t>School</w:t>
      </w:r>
      <w:r>
        <w:rPr>
          <w:spacing w:val="-5"/>
        </w:rPr>
        <w:t> </w:t>
      </w:r>
      <w:r>
        <w:rPr/>
        <w:t>of</w:t>
      </w:r>
      <w:r>
        <w:rPr>
          <w:spacing w:val="-11"/>
        </w:rPr>
        <w:t> </w:t>
      </w:r>
      <w:r>
        <w:rPr/>
        <w:t>Engineering and</w:t>
      </w:r>
      <w:r>
        <w:rPr>
          <w:spacing w:val="-23"/>
        </w:rPr>
        <w:t> </w:t>
      </w:r>
      <w:r>
        <w:rPr/>
        <w:t>Technology.</w:t>
      </w:r>
    </w:p>
    <w:p>
      <w:pPr>
        <w:pStyle w:val="BodyText"/>
        <w:spacing w:line="219" w:lineRule="exact"/>
        <w:ind w:left="2380"/>
        <w:jc w:val="both"/>
      </w:pPr>
      <w:r>
        <w:rPr/>
        <w:t>Final</w:t>
      </w:r>
      <w:r>
        <w:rPr>
          <w:spacing w:val="-14"/>
        </w:rPr>
        <w:t> </w:t>
      </w:r>
      <w:r>
        <w:rPr/>
        <w:t>student</w:t>
      </w:r>
      <w:r>
        <w:rPr>
          <w:spacing w:val="-6"/>
        </w:rPr>
        <w:t> </w:t>
      </w:r>
      <w:r>
        <w:rPr/>
        <w:t>graduated</w:t>
      </w:r>
      <w:r>
        <w:rPr>
          <w:spacing w:val="-5"/>
        </w:rPr>
        <w:t> </w:t>
      </w:r>
      <w:r>
        <w:rPr/>
        <w:t>in</w:t>
      </w:r>
      <w:r>
        <w:rPr>
          <w:spacing w:val="7"/>
        </w:rPr>
        <w:t> </w:t>
      </w:r>
      <w:r>
        <w:rPr/>
        <w:t>Building</w:t>
      </w:r>
      <w:r>
        <w:rPr>
          <w:spacing w:val="-4"/>
        </w:rPr>
        <w:t> </w:t>
      </w:r>
      <w:r>
        <w:rPr/>
        <w:t>Construction</w:t>
      </w:r>
      <w:r>
        <w:rPr>
          <w:spacing w:val="-1"/>
        </w:rPr>
        <w:t> </w:t>
      </w:r>
      <w:r>
        <w:rPr>
          <w:spacing w:val="-2"/>
        </w:rPr>
        <w:t>Technology.</w:t>
      </w:r>
    </w:p>
    <w:p>
      <w:pPr>
        <w:pStyle w:val="BodyText"/>
        <w:spacing w:line="252" w:lineRule="auto" w:before="1"/>
        <w:ind w:left="1659" w:right="630" w:firstLine="3"/>
        <w:jc w:val="both"/>
      </w:pPr>
      <w:r>
        <w:rPr/>
        <w:t>1999</w:t>
      </w:r>
      <w:r>
        <w:rPr>
          <w:spacing w:val="80"/>
          <w:w w:val="150"/>
        </w:rPr>
        <w:t> </w:t>
      </w:r>
      <w:r>
        <w:rPr/>
        <w:t>Solil</w:t>
      </w:r>
      <w:r>
        <w:rPr>
          <w:spacing w:val="-11"/>
        </w:rPr>
        <w:t> </w:t>
      </w:r>
      <w:r>
        <w:rPr/>
        <w:t>Banerjee, Associate Professor, announced his</w:t>
      </w:r>
      <w:r>
        <w:rPr>
          <w:spacing w:val="-12"/>
        </w:rPr>
        <w:t> </w:t>
      </w:r>
      <w:r>
        <w:rPr/>
        <w:t>retirement after 27</w:t>
      </w:r>
      <w:r>
        <w:rPr>
          <w:spacing w:val="-5"/>
        </w:rPr>
        <w:t> </w:t>
      </w:r>
      <w:r>
        <w:rPr/>
        <w:t>years. 2000</w:t>
      </w:r>
      <w:r>
        <w:rPr>
          <w:spacing w:val="80"/>
        </w:rPr>
        <w:t>  </w:t>
      </w:r>
      <w:r>
        <w:rPr/>
        <w:t>The</w:t>
      </w:r>
      <w:r>
        <w:rPr>
          <w:spacing w:val="-2"/>
        </w:rPr>
        <w:t> </w:t>
      </w:r>
      <w:r>
        <w:rPr/>
        <w:t>program received accreditation for</w:t>
      </w:r>
      <w:r>
        <w:rPr>
          <w:spacing w:val="-8"/>
        </w:rPr>
        <w:t> </w:t>
      </w:r>
      <w:r>
        <w:rPr/>
        <w:t>a three-year term.</w:t>
      </w:r>
    </w:p>
    <w:p>
      <w:pPr>
        <w:pStyle w:val="BodyText"/>
        <w:spacing w:line="247" w:lineRule="auto"/>
        <w:ind w:left="2381" w:right="765" w:hanging="723"/>
        <w:jc w:val="both"/>
      </w:pPr>
      <w:r>
        <w:rPr/>
        <w:t>2001</w:t>
      </w:r>
      <w:r>
        <w:rPr>
          <w:spacing w:val="80"/>
          <w:w w:val="150"/>
        </w:rPr>
        <w:t> </w:t>
      </w:r>
      <w:r>
        <w:rPr/>
        <w:t>Bradford</w:t>
      </w:r>
      <w:r>
        <w:rPr>
          <w:spacing w:val="-4"/>
        </w:rPr>
        <w:t> </w:t>
      </w:r>
      <w:r>
        <w:rPr/>
        <w:t>Grant elected Vice</w:t>
      </w:r>
      <w:r>
        <w:rPr>
          <w:spacing w:val="-9"/>
        </w:rPr>
        <w:t> </w:t>
      </w:r>
      <w:r>
        <w:rPr/>
        <w:t>President/President-Elect</w:t>
      </w:r>
      <w:r>
        <w:rPr>
          <w:spacing w:val="-14"/>
        </w:rPr>
        <w:t> </w:t>
      </w:r>
      <w:r>
        <w:rPr/>
        <w:t>of</w:t>
      </w:r>
      <w:r>
        <w:rPr>
          <w:spacing w:val="-11"/>
        </w:rPr>
        <w:t> </w:t>
      </w:r>
      <w:r>
        <w:rPr/>
        <w:t>ACSA. Prof.</w:t>
      </w:r>
      <w:r>
        <w:rPr>
          <w:spacing w:val="-6"/>
        </w:rPr>
        <w:t> </w:t>
      </w:r>
      <w:r>
        <w:rPr/>
        <w:t>Grant served for a three-year term:</w:t>
      </w:r>
      <w:r>
        <w:rPr>
          <w:spacing w:val="-1"/>
        </w:rPr>
        <w:t> </w:t>
      </w:r>
      <w:r>
        <w:rPr/>
        <w:t>president-elect,</w:t>
      </w:r>
      <w:r>
        <w:rPr>
          <w:spacing w:val="-7"/>
        </w:rPr>
        <w:t> </w:t>
      </w:r>
      <w:r>
        <w:rPr/>
        <w:t>president, and</w:t>
      </w:r>
      <w:r>
        <w:rPr>
          <w:spacing w:val="-2"/>
        </w:rPr>
        <w:t> </w:t>
      </w:r>
      <w:r>
        <w:rPr/>
        <w:t>past</w:t>
      </w:r>
      <w:r>
        <w:rPr>
          <w:spacing w:val="-9"/>
        </w:rPr>
        <w:t> </w:t>
      </w:r>
      <w:r>
        <w:rPr/>
        <w:t>president. James Hall, Professor, retired after 35 years.</w:t>
      </w:r>
    </w:p>
    <w:p>
      <w:pPr>
        <w:pStyle w:val="BodyText"/>
        <w:spacing w:line="213" w:lineRule="exact"/>
        <w:ind w:left="2381"/>
      </w:pPr>
      <w:r>
        <w:rPr/>
        <w:t>Department</w:t>
      </w:r>
      <w:r>
        <w:rPr>
          <w:spacing w:val="-2"/>
        </w:rPr>
        <w:t> </w:t>
      </w:r>
      <w:r>
        <w:rPr/>
        <w:t>hosted</w:t>
      </w:r>
      <w:r>
        <w:rPr>
          <w:spacing w:val="6"/>
        </w:rPr>
        <w:t> </w:t>
      </w:r>
      <w:r>
        <w:rPr/>
        <w:t>dinner</w:t>
      </w:r>
      <w:r>
        <w:rPr>
          <w:spacing w:val="-5"/>
        </w:rPr>
        <w:t> </w:t>
      </w:r>
      <w:r>
        <w:rPr/>
        <w:t>for</w:t>
      </w:r>
      <w:r>
        <w:rPr>
          <w:spacing w:val="-13"/>
        </w:rPr>
        <w:t> </w:t>
      </w:r>
      <w:r>
        <w:rPr/>
        <w:t>NCARB</w:t>
      </w:r>
      <w:r>
        <w:rPr>
          <w:spacing w:val="1"/>
        </w:rPr>
        <w:t> </w:t>
      </w:r>
      <w:r>
        <w:rPr/>
        <w:t>Zones</w:t>
      </w:r>
      <w:r>
        <w:rPr>
          <w:spacing w:val="-2"/>
        </w:rPr>
        <w:t> </w:t>
      </w:r>
      <w:r>
        <w:rPr/>
        <w:t>1,</w:t>
      </w:r>
      <w:r>
        <w:rPr>
          <w:spacing w:val="9"/>
        </w:rPr>
        <w:t> </w:t>
      </w:r>
      <w:r>
        <w:rPr/>
        <w:t>2,</w:t>
      </w:r>
      <w:r>
        <w:rPr>
          <w:spacing w:val="-9"/>
        </w:rPr>
        <w:t> </w:t>
      </w:r>
      <w:r>
        <w:rPr/>
        <w:t>and</w:t>
      </w:r>
      <w:r>
        <w:rPr>
          <w:spacing w:val="-4"/>
        </w:rPr>
        <w:t> </w:t>
      </w:r>
      <w:r>
        <w:rPr/>
        <w:t>3</w:t>
      </w:r>
      <w:r>
        <w:rPr>
          <w:spacing w:val="-3"/>
        </w:rPr>
        <w:t> </w:t>
      </w:r>
      <w:r>
        <w:rPr/>
        <w:t>at</w:t>
      </w:r>
      <w:r>
        <w:rPr>
          <w:spacing w:val="-7"/>
        </w:rPr>
        <w:t> </w:t>
      </w:r>
      <w:r>
        <w:rPr/>
        <w:t>their </w:t>
      </w:r>
      <w:r>
        <w:rPr>
          <w:spacing w:val="-2"/>
        </w:rPr>
        <w:t>Regional</w:t>
      </w:r>
    </w:p>
    <w:p>
      <w:pPr>
        <w:pStyle w:val="BodyText"/>
        <w:spacing w:line="221" w:lineRule="exact" w:before="9"/>
        <w:ind w:left="2382"/>
      </w:pPr>
      <w:r>
        <w:rPr>
          <w:spacing w:val="-2"/>
        </w:rPr>
        <w:t>Meeting</w:t>
      </w:r>
    </w:p>
    <w:p>
      <w:pPr>
        <w:pStyle w:val="BodyText"/>
        <w:tabs>
          <w:tab w:pos="8256" w:val="left" w:leader="none"/>
        </w:tabs>
        <w:spacing w:line="247" w:lineRule="auto"/>
        <w:ind w:left="2378" w:right="388" w:firstLine="2"/>
        <w:jc w:val="both"/>
      </w:pPr>
      <w:r>
        <w:rPr/>
        <w:t>Hampton University Architectural Alumni</w:t>
      </w:r>
      <w:r>
        <w:rPr>
          <w:spacing w:val="-7"/>
        </w:rPr>
        <w:t> </w:t>
      </w:r>
      <w:r>
        <w:rPr/>
        <w:t>Association (HUAAA) formed, only</w:t>
      </w:r>
      <w:r>
        <w:rPr>
          <w:spacing w:val="-1"/>
        </w:rPr>
        <w:t> </w:t>
      </w:r>
      <w:r>
        <w:rPr/>
        <w:t>the third</w:t>
      </w:r>
      <w:r>
        <w:rPr>
          <w:spacing w:val="-13"/>
        </w:rPr>
        <w:t> </w:t>
      </w:r>
      <w:r>
        <w:rPr/>
        <w:t>professional association within</w:t>
      </w:r>
      <w:r>
        <w:rPr>
          <w:spacing w:val="-3"/>
        </w:rPr>
        <w:t> </w:t>
      </w:r>
      <w:r>
        <w:rPr/>
        <w:t>the</w:t>
      </w:r>
      <w:r>
        <w:rPr>
          <w:spacing w:val="-14"/>
        </w:rPr>
        <w:t> </w:t>
      </w:r>
      <w:r>
        <w:rPr/>
        <w:t>Hampton</w:t>
      </w:r>
      <w:r>
        <w:rPr>
          <w:spacing w:val="-3"/>
        </w:rPr>
        <w:t> </w:t>
      </w:r>
      <w:r>
        <w:rPr/>
        <w:t>University</w:t>
      </w:r>
      <w:r>
        <w:rPr>
          <w:spacing w:val="22"/>
        </w:rPr>
        <w:t> </w:t>
      </w:r>
      <w:r>
        <w:rPr/>
        <w:t>Alumni</w:t>
      </w:r>
      <w:r>
        <w:rPr>
          <w:spacing w:val="-11"/>
        </w:rPr>
        <w:t> </w:t>
      </w:r>
      <w:r>
        <w:rPr/>
        <w:t>Association, Inc. {military and nursing)</w:t>
        <w:tab/>
      </w:r>
      <w:r>
        <w:rPr>
          <w:spacing w:val="-10"/>
        </w:rPr>
        <w:t>.</w:t>
      </w:r>
    </w:p>
    <w:p>
      <w:pPr>
        <w:pStyle w:val="BodyText"/>
        <w:spacing w:line="252" w:lineRule="auto"/>
        <w:ind w:left="2384" w:right="609" w:hanging="716"/>
        <w:jc w:val="both"/>
      </w:pPr>
      <w:r>
        <w:rPr/>
        <w:t>2003</w:t>
      </w:r>
      <w:r>
        <w:rPr>
          <w:spacing w:val="80"/>
          <w:w w:val="150"/>
        </w:rPr>
        <w:t> </w:t>
      </w:r>
      <w:r>
        <w:rPr/>
        <w:t>The</w:t>
      </w:r>
      <w:r>
        <w:rPr>
          <w:spacing w:val="-13"/>
        </w:rPr>
        <w:t> </w:t>
      </w:r>
      <w:r>
        <w:rPr/>
        <w:t>Bachelor of</w:t>
      </w:r>
      <w:r>
        <w:rPr>
          <w:spacing w:val="-3"/>
        </w:rPr>
        <w:t> </w:t>
      </w:r>
      <w:r>
        <w:rPr/>
        <w:t>Architecture degree</w:t>
      </w:r>
      <w:r>
        <w:rPr>
          <w:spacing w:val="-8"/>
        </w:rPr>
        <w:t> </w:t>
      </w:r>
      <w:r>
        <w:rPr/>
        <w:t>program received</w:t>
      </w:r>
      <w:r>
        <w:rPr>
          <w:spacing w:val="-7"/>
        </w:rPr>
        <w:t> </w:t>
      </w:r>
      <w:r>
        <w:rPr/>
        <w:t>accreditation for</w:t>
      </w:r>
      <w:r>
        <w:rPr>
          <w:spacing w:val="-6"/>
        </w:rPr>
        <w:t> </w:t>
      </w:r>
      <w:r>
        <w:rPr/>
        <w:t>a six­ year term.</w:t>
      </w:r>
    </w:p>
    <w:p>
      <w:pPr>
        <w:pStyle w:val="BodyText"/>
        <w:spacing w:line="209" w:lineRule="exact"/>
        <w:ind w:left="2382"/>
        <w:jc w:val="both"/>
      </w:pPr>
      <w:r>
        <w:rPr/>
        <w:t>The</w:t>
      </w:r>
      <w:r>
        <w:rPr>
          <w:spacing w:val="-11"/>
        </w:rPr>
        <w:t> </w:t>
      </w:r>
      <w:r>
        <w:rPr/>
        <w:t>new</w:t>
      </w:r>
      <w:r>
        <w:rPr>
          <w:spacing w:val="-14"/>
        </w:rPr>
        <w:t> </w:t>
      </w:r>
      <w:r>
        <w:rPr/>
        <w:t>Master</w:t>
      </w:r>
      <w:r>
        <w:rPr>
          <w:spacing w:val="1"/>
        </w:rPr>
        <w:t> </w:t>
      </w:r>
      <w:r>
        <w:rPr/>
        <w:t>of</w:t>
      </w:r>
      <w:r>
        <w:rPr>
          <w:spacing w:val="-4"/>
        </w:rPr>
        <w:t> </w:t>
      </w:r>
      <w:r>
        <w:rPr/>
        <w:t>Architecture</w:t>
      </w:r>
      <w:r>
        <w:rPr>
          <w:spacing w:val="8"/>
        </w:rPr>
        <w:t> </w:t>
      </w:r>
      <w:r>
        <w:rPr/>
        <w:t>curriculum</w:t>
      </w:r>
      <w:r>
        <w:rPr>
          <w:spacing w:val="13"/>
        </w:rPr>
        <w:t> </w:t>
      </w:r>
      <w:r>
        <w:rPr/>
        <w:t>was</w:t>
      </w:r>
      <w:r>
        <w:rPr>
          <w:spacing w:val="1"/>
        </w:rPr>
        <w:t> </w:t>
      </w:r>
      <w:r>
        <w:rPr/>
        <w:t>initiated</w:t>
      </w:r>
      <w:r>
        <w:rPr>
          <w:spacing w:val="1"/>
        </w:rPr>
        <w:t> </w:t>
      </w:r>
      <w:r>
        <w:rPr/>
        <w:t>with</w:t>
      </w:r>
      <w:r>
        <w:rPr>
          <w:spacing w:val="-5"/>
        </w:rPr>
        <w:t> </w:t>
      </w:r>
      <w:r>
        <w:rPr/>
        <w:t>the</w:t>
      </w:r>
      <w:r>
        <w:rPr>
          <w:spacing w:val="-14"/>
        </w:rPr>
        <w:t> </w:t>
      </w:r>
      <w:r>
        <w:rPr/>
        <w:t>incoming</w:t>
      </w:r>
      <w:r>
        <w:rPr>
          <w:spacing w:val="2"/>
        </w:rPr>
        <w:t> </w:t>
      </w:r>
      <w:r>
        <w:rPr>
          <w:spacing w:val="-2"/>
        </w:rPr>
        <w:t>2003-</w:t>
      </w:r>
    </w:p>
    <w:p>
      <w:pPr>
        <w:pStyle w:val="BodyText"/>
        <w:spacing w:line="226" w:lineRule="exact"/>
        <w:ind w:left="2381"/>
        <w:jc w:val="both"/>
      </w:pPr>
      <w:r>
        <w:rPr/>
        <w:t>2004</w:t>
      </w:r>
      <w:r>
        <w:rPr>
          <w:spacing w:val="4"/>
        </w:rPr>
        <w:t> </w:t>
      </w:r>
      <w:r>
        <w:rPr/>
        <w:t>freshmen</w:t>
      </w:r>
      <w:r>
        <w:rPr>
          <w:spacing w:val="-4"/>
        </w:rPr>
        <w:t> </w:t>
      </w:r>
      <w:r>
        <w:rPr>
          <w:spacing w:val="-2"/>
        </w:rPr>
        <w:t>class.</w:t>
      </w:r>
    </w:p>
    <w:p>
      <w:pPr>
        <w:pStyle w:val="BodyText"/>
        <w:ind w:left="2389" w:right="436" w:hanging="722"/>
        <w:jc w:val="both"/>
      </w:pPr>
      <w:r>
        <w:rPr/>
        <w:t>2004</w:t>
      </w:r>
      <w:r>
        <w:rPr>
          <w:spacing w:val="80"/>
          <w:w w:val="150"/>
        </w:rPr>
        <w:t> </w:t>
      </w:r>
      <w:r>
        <w:rPr/>
        <w:t>The</w:t>
      </w:r>
      <w:r>
        <w:rPr>
          <w:spacing w:val="-7"/>
        </w:rPr>
        <w:t> </w:t>
      </w:r>
      <w:r>
        <w:rPr/>
        <w:t>Master of Architectur degree program was</w:t>
      </w:r>
      <w:r>
        <w:rPr>
          <w:spacing w:val="-8"/>
        </w:rPr>
        <w:t> </w:t>
      </w:r>
      <w:r>
        <w:rPr/>
        <w:t>approved for accreditation and added to the six-year term of accreditation.</w:t>
      </w:r>
    </w:p>
    <w:p>
      <w:pPr>
        <w:pStyle w:val="BodyText"/>
        <w:spacing w:line="252" w:lineRule="auto"/>
        <w:ind w:left="2382" w:right="764" w:hanging="5"/>
        <w:jc w:val="both"/>
      </w:pPr>
      <w:r>
        <w:rPr/>
        <w:t>In January, Eric</w:t>
      </w:r>
      <w:r>
        <w:rPr>
          <w:spacing w:val="-4"/>
        </w:rPr>
        <w:t> </w:t>
      </w:r>
      <w:r>
        <w:rPr/>
        <w:t>J. Sheppard named</w:t>
      </w:r>
      <w:r>
        <w:rPr>
          <w:spacing w:val="-5"/>
        </w:rPr>
        <w:t> </w:t>
      </w:r>
      <w:r>
        <w:rPr/>
        <w:t>Dean</w:t>
      </w:r>
      <w:r>
        <w:rPr>
          <w:spacing w:val="-6"/>
        </w:rPr>
        <w:t> </w:t>
      </w:r>
      <w:r>
        <w:rPr/>
        <w:t>of</w:t>
      </w:r>
      <w:r>
        <w:rPr>
          <w:spacing w:val="-5"/>
        </w:rPr>
        <w:t> </w:t>
      </w:r>
      <w:r>
        <w:rPr/>
        <w:t>the</w:t>
      </w:r>
      <w:r>
        <w:rPr>
          <w:spacing w:val="-7"/>
        </w:rPr>
        <w:t> </w:t>
      </w:r>
      <w:r>
        <w:rPr/>
        <w:t>School</w:t>
      </w:r>
      <w:r>
        <w:rPr>
          <w:spacing w:val="-3"/>
        </w:rPr>
        <w:t> </w:t>
      </w:r>
      <w:r>
        <w:rPr/>
        <w:t>of</w:t>
      </w:r>
      <w:r>
        <w:rPr>
          <w:spacing w:val="-9"/>
        </w:rPr>
        <w:t> </w:t>
      </w:r>
      <w:r>
        <w:rPr/>
        <w:t>Engineering and </w:t>
      </w:r>
      <w:r>
        <w:rPr>
          <w:spacing w:val="-2"/>
        </w:rPr>
        <w:t>Technology</w:t>
      </w:r>
    </w:p>
    <w:p>
      <w:pPr>
        <w:pStyle w:val="BodyText"/>
        <w:spacing w:line="200" w:lineRule="exact"/>
        <w:ind w:left="1668"/>
        <w:jc w:val="both"/>
      </w:pPr>
      <w:r>
        <w:rPr/>
        <w:t>2006</w:t>
      </w:r>
      <w:r>
        <w:rPr>
          <w:spacing w:val="78"/>
        </w:rPr>
        <w:t>  </w:t>
      </w:r>
      <w:r>
        <w:rPr/>
        <w:t>Dr.</w:t>
      </w:r>
      <w:r>
        <w:rPr>
          <w:spacing w:val="-15"/>
        </w:rPr>
        <w:t> </w:t>
      </w:r>
      <w:r>
        <w:rPr/>
        <w:t>Carmina</w:t>
      </w:r>
      <w:r>
        <w:rPr>
          <w:spacing w:val="-3"/>
        </w:rPr>
        <w:t> </w:t>
      </w:r>
      <w:r>
        <w:rPr/>
        <w:t>Sanchez</w:t>
      </w:r>
      <w:r>
        <w:rPr>
          <w:spacing w:val="3"/>
        </w:rPr>
        <w:t> </w:t>
      </w:r>
      <w:r>
        <w:rPr/>
        <w:t>elected</w:t>
      </w:r>
      <w:r>
        <w:rPr>
          <w:spacing w:val="-9"/>
        </w:rPr>
        <w:t> </w:t>
      </w:r>
      <w:r>
        <w:rPr/>
        <w:t>Secretary</w:t>
      </w:r>
      <w:r>
        <w:rPr>
          <w:spacing w:val="3"/>
        </w:rPr>
        <w:t> </w:t>
      </w:r>
      <w:r>
        <w:rPr/>
        <w:t>of</w:t>
      </w:r>
      <w:r>
        <w:rPr>
          <w:spacing w:val="-1"/>
        </w:rPr>
        <w:t> </w:t>
      </w:r>
      <w:r>
        <w:rPr/>
        <w:t>the</w:t>
      </w:r>
      <w:r>
        <w:rPr>
          <w:spacing w:val="-3"/>
        </w:rPr>
        <w:t> </w:t>
      </w:r>
      <w:r>
        <w:rPr/>
        <w:t>Association</w:t>
      </w:r>
      <w:r>
        <w:rPr>
          <w:spacing w:val="11"/>
        </w:rPr>
        <w:t> </w:t>
      </w:r>
      <w:r>
        <w:rPr/>
        <w:t>of</w:t>
      </w:r>
      <w:r>
        <w:rPr>
          <w:spacing w:val="-17"/>
        </w:rPr>
        <w:t> </w:t>
      </w:r>
      <w:r>
        <w:rPr/>
        <w:t>Collegiate</w:t>
      </w:r>
      <w:r>
        <w:rPr>
          <w:spacing w:val="-4"/>
        </w:rPr>
        <w:t> </w:t>
      </w:r>
      <w:r>
        <w:rPr>
          <w:spacing w:val="-2"/>
        </w:rPr>
        <w:t>Schools</w:t>
      </w:r>
    </w:p>
    <w:p>
      <w:pPr>
        <w:pStyle w:val="BodyText"/>
        <w:spacing w:line="226" w:lineRule="exact"/>
        <w:ind w:left="2380"/>
        <w:jc w:val="both"/>
      </w:pPr>
      <w:r>
        <w:rPr/>
        <w:t>of</w:t>
      </w:r>
      <w:r>
        <w:rPr>
          <w:spacing w:val="20"/>
        </w:rPr>
        <w:t> </w:t>
      </w:r>
      <w:r>
        <w:rPr/>
        <w:t>Architecture</w:t>
      </w:r>
      <w:r>
        <w:rPr>
          <w:spacing w:val="6"/>
        </w:rPr>
        <w:t> </w:t>
      </w:r>
      <w:r>
        <w:rPr/>
        <w:t>(ACSA)</w:t>
      </w:r>
      <w:r>
        <w:rPr>
          <w:spacing w:val="7"/>
        </w:rPr>
        <w:t> </w:t>
      </w:r>
      <w:r>
        <w:rPr/>
        <w:t>for</w:t>
      </w:r>
      <w:r>
        <w:rPr>
          <w:spacing w:val="-15"/>
        </w:rPr>
        <w:t> </w:t>
      </w:r>
      <w:r>
        <w:rPr/>
        <w:t>a</w:t>
      </w:r>
      <w:r>
        <w:rPr>
          <w:spacing w:val="-1"/>
        </w:rPr>
        <w:t> </w:t>
      </w:r>
      <w:r>
        <w:rPr/>
        <w:t>two</w:t>
      </w:r>
      <w:r>
        <w:rPr>
          <w:spacing w:val="-10"/>
        </w:rPr>
        <w:t> </w:t>
      </w:r>
      <w:r>
        <w:rPr/>
        <w:t>year</w:t>
      </w:r>
      <w:r>
        <w:rPr>
          <w:spacing w:val="3"/>
        </w:rPr>
        <w:t> </w:t>
      </w:r>
      <w:r>
        <w:rPr>
          <w:spacing w:val="-2"/>
        </w:rPr>
        <w:t>term.</w:t>
      </w:r>
    </w:p>
    <w:p>
      <w:pPr>
        <w:pStyle w:val="BodyText"/>
        <w:spacing w:line="252" w:lineRule="auto"/>
        <w:ind w:left="2390" w:right="244" w:hanging="3"/>
        <w:jc w:val="both"/>
      </w:pPr>
      <w:r>
        <w:rPr/>
        <w:t>Assistant Professor Ronald Kloster</w:t>
      </w:r>
      <w:r>
        <w:rPr>
          <w:spacing w:val="-7"/>
        </w:rPr>
        <w:t> </w:t>
      </w:r>
      <w:r>
        <w:rPr/>
        <w:t>appointed Assistant to</w:t>
      </w:r>
      <w:r>
        <w:rPr>
          <w:spacing w:val="-3"/>
        </w:rPr>
        <w:t> </w:t>
      </w:r>
      <w:r>
        <w:rPr/>
        <w:t>the</w:t>
      </w:r>
      <w:r>
        <w:rPr>
          <w:spacing w:val="-5"/>
        </w:rPr>
        <w:t> </w:t>
      </w:r>
      <w:r>
        <w:rPr/>
        <w:t>Dean</w:t>
      </w:r>
      <w:r>
        <w:rPr>
          <w:spacing w:val="-4"/>
        </w:rPr>
        <w:t> </w:t>
      </w:r>
      <w:r>
        <w:rPr/>
        <w:t>in</w:t>
      </w:r>
      <w:r>
        <w:rPr>
          <w:spacing w:val="-1"/>
        </w:rPr>
        <w:t> </w:t>
      </w:r>
      <w:r>
        <w:rPr/>
        <w:t>the</w:t>
      </w:r>
      <w:r>
        <w:rPr>
          <w:spacing w:val="-8"/>
        </w:rPr>
        <w:t> </w:t>
      </w:r>
      <w:r>
        <w:rPr/>
        <w:t>School of Engineering and Technology</w:t>
      </w:r>
    </w:p>
    <w:p>
      <w:pPr>
        <w:pStyle w:val="BodyText"/>
        <w:spacing w:line="209" w:lineRule="exact"/>
        <w:ind w:left="1668"/>
        <w:jc w:val="both"/>
      </w:pPr>
      <w:r>
        <w:rPr/>
        <w:t>2007</w:t>
      </w:r>
      <w:r>
        <w:rPr>
          <w:spacing w:val="59"/>
          <w:w w:val="150"/>
        </w:rPr>
        <w:t>  </w:t>
      </w:r>
      <w:r>
        <w:rPr/>
        <w:t>Chair Brad</w:t>
      </w:r>
      <w:r>
        <w:rPr>
          <w:spacing w:val="-8"/>
        </w:rPr>
        <w:t> </w:t>
      </w:r>
      <w:r>
        <w:rPr/>
        <w:t>Grant</w:t>
      </w:r>
      <w:r>
        <w:rPr>
          <w:spacing w:val="-10"/>
        </w:rPr>
        <w:t> </w:t>
      </w:r>
      <w:r>
        <w:rPr/>
        <w:t>resigned</w:t>
      </w:r>
      <w:r>
        <w:rPr>
          <w:spacing w:val="-2"/>
        </w:rPr>
        <w:t> </w:t>
      </w:r>
      <w:r>
        <w:rPr/>
        <w:t>to</w:t>
      </w:r>
      <w:r>
        <w:rPr>
          <w:spacing w:val="-16"/>
        </w:rPr>
        <w:t> </w:t>
      </w:r>
      <w:r>
        <w:rPr/>
        <w:t>become</w:t>
      </w:r>
      <w:r>
        <w:rPr>
          <w:spacing w:val="-2"/>
        </w:rPr>
        <w:t> </w:t>
      </w:r>
      <w:r>
        <w:rPr/>
        <w:t>Associate</w:t>
      </w:r>
      <w:r>
        <w:rPr>
          <w:spacing w:val="5"/>
        </w:rPr>
        <w:t> </w:t>
      </w:r>
      <w:r>
        <w:rPr/>
        <w:t>Dean</w:t>
      </w:r>
      <w:r>
        <w:rPr>
          <w:spacing w:val="-8"/>
        </w:rPr>
        <w:t> </w:t>
      </w:r>
      <w:r>
        <w:rPr/>
        <w:t>in</w:t>
      </w:r>
      <w:r>
        <w:rPr>
          <w:spacing w:val="6"/>
        </w:rPr>
        <w:t> </w:t>
      </w:r>
      <w:r>
        <w:rPr/>
        <w:t>Architecture</w:t>
      </w:r>
      <w:r>
        <w:rPr>
          <w:spacing w:val="6"/>
        </w:rPr>
        <w:t> </w:t>
      </w:r>
      <w:r>
        <w:rPr/>
        <w:t>at</w:t>
      </w:r>
      <w:r>
        <w:rPr>
          <w:spacing w:val="-14"/>
        </w:rPr>
        <w:t> </w:t>
      </w:r>
      <w:r>
        <w:rPr>
          <w:spacing w:val="-2"/>
        </w:rPr>
        <w:t>Howard</w:t>
      </w:r>
    </w:p>
    <w:p>
      <w:pPr>
        <w:pStyle w:val="BodyText"/>
        <w:ind w:left="2390"/>
        <w:jc w:val="both"/>
      </w:pPr>
      <w:r>
        <w:rPr/>
        <w:t>University.</w:t>
      </w:r>
      <w:r>
        <w:rPr>
          <w:spacing w:val="2"/>
        </w:rPr>
        <w:t> </w:t>
      </w:r>
      <w:r>
        <w:rPr/>
        <w:t>Ronald</w:t>
      </w:r>
      <w:r>
        <w:rPr>
          <w:spacing w:val="-1"/>
        </w:rPr>
        <w:t> </w:t>
      </w:r>
      <w:r>
        <w:rPr/>
        <w:t>Kloster</w:t>
      </w:r>
      <w:r>
        <w:rPr>
          <w:spacing w:val="-3"/>
        </w:rPr>
        <w:t> </w:t>
      </w:r>
      <w:r>
        <w:rPr/>
        <w:t>was</w:t>
      </w:r>
      <w:r>
        <w:rPr>
          <w:spacing w:val="-1"/>
        </w:rPr>
        <w:t> </w:t>
      </w:r>
      <w:r>
        <w:rPr/>
        <w:t>named</w:t>
      </w:r>
      <w:r>
        <w:rPr>
          <w:spacing w:val="-3"/>
        </w:rPr>
        <w:t> </w:t>
      </w:r>
      <w:r>
        <w:rPr/>
        <w:t>interim</w:t>
      </w:r>
      <w:r>
        <w:rPr>
          <w:spacing w:val="-6"/>
        </w:rPr>
        <w:t> </w:t>
      </w:r>
      <w:r>
        <w:rPr>
          <w:spacing w:val="-2"/>
        </w:rPr>
        <w:t>Dean.</w:t>
      </w:r>
    </w:p>
    <w:p>
      <w:pPr>
        <w:pStyle w:val="BodyText"/>
        <w:ind w:left="2387" w:right="1112" w:hanging="720"/>
        <w:jc w:val="both"/>
      </w:pPr>
      <w:r>
        <w:rPr/>
        <w:t>2008</w:t>
      </w:r>
      <w:r>
        <w:rPr>
          <w:spacing w:val="40"/>
        </w:rPr>
        <w:t>  </w:t>
      </w:r>
      <w:r>
        <w:rPr/>
        <w:t>In May, 2008 the</w:t>
      </w:r>
      <w:r>
        <w:rPr>
          <w:spacing w:val="-14"/>
        </w:rPr>
        <w:t> </w:t>
      </w:r>
      <w:r>
        <w:rPr/>
        <w:t>Department graduated its first</w:t>
      </w:r>
      <w:r>
        <w:rPr>
          <w:spacing w:val="-8"/>
        </w:rPr>
        <w:t> </w:t>
      </w:r>
      <w:r>
        <w:rPr/>
        <w:t>class with</w:t>
      </w:r>
      <w:r>
        <w:rPr>
          <w:spacing w:val="-4"/>
        </w:rPr>
        <w:t> </w:t>
      </w:r>
      <w:r>
        <w:rPr/>
        <w:t>the</w:t>
      </w:r>
      <w:r>
        <w:rPr>
          <w:spacing w:val="-4"/>
        </w:rPr>
        <w:t> </w:t>
      </w:r>
      <w:r>
        <w:rPr/>
        <w:t>Master of Architecture Degree.</w:t>
      </w:r>
    </w:p>
    <w:p>
      <w:pPr>
        <w:pStyle w:val="BodyText"/>
        <w:spacing w:line="224" w:lineRule="exact"/>
        <w:ind w:left="2388"/>
        <w:jc w:val="both"/>
      </w:pPr>
      <w:r>
        <w:rPr/>
        <w:t>In</w:t>
      </w:r>
      <w:r>
        <w:rPr>
          <w:spacing w:val="14"/>
        </w:rPr>
        <w:t> </w:t>
      </w:r>
      <w:r>
        <w:rPr/>
        <w:t>September</w:t>
      </w:r>
      <w:r>
        <w:rPr>
          <w:spacing w:val="13"/>
        </w:rPr>
        <w:t> </w:t>
      </w:r>
      <w:r>
        <w:rPr/>
        <w:t>Robert </w:t>
      </w:r>
      <w:r>
        <w:rPr>
          <w:sz w:val="21"/>
        </w:rPr>
        <w:t>L.</w:t>
      </w:r>
      <w:r>
        <w:rPr>
          <w:spacing w:val="4"/>
          <w:sz w:val="21"/>
        </w:rPr>
        <w:t> </w:t>
      </w:r>
      <w:r>
        <w:rPr/>
        <w:t>Easter</w:t>
      </w:r>
      <w:r>
        <w:rPr>
          <w:spacing w:val="7"/>
        </w:rPr>
        <w:t> </w:t>
      </w:r>
      <w:r>
        <w:rPr/>
        <w:t>Principal of</w:t>
      </w:r>
      <w:r>
        <w:rPr>
          <w:spacing w:val="-6"/>
        </w:rPr>
        <w:t> </w:t>
      </w:r>
      <w:r>
        <w:rPr/>
        <w:t>the</w:t>
      </w:r>
      <w:r>
        <w:rPr>
          <w:spacing w:val="-5"/>
        </w:rPr>
        <w:t> </w:t>
      </w:r>
      <w:r>
        <w:rPr/>
        <w:t>Richmond</w:t>
      </w:r>
      <w:r>
        <w:rPr>
          <w:spacing w:val="-6"/>
        </w:rPr>
        <w:t> </w:t>
      </w:r>
      <w:r>
        <w:rPr/>
        <w:t>firm</w:t>
      </w:r>
      <w:r>
        <w:rPr>
          <w:spacing w:val="-5"/>
        </w:rPr>
        <w:t> </w:t>
      </w:r>
      <w:r>
        <w:rPr/>
        <w:t>Kelso+</w:t>
      </w:r>
      <w:r>
        <w:rPr>
          <w:spacing w:val="13"/>
        </w:rPr>
        <w:t> </w:t>
      </w:r>
      <w:r>
        <w:rPr>
          <w:spacing w:val="-2"/>
        </w:rPr>
        <w:t>Easter,</w:t>
      </w:r>
    </w:p>
    <w:p>
      <w:pPr>
        <w:pStyle w:val="BodyText"/>
        <w:spacing w:line="229" w:lineRule="exact"/>
        <w:ind w:left="2389"/>
        <w:jc w:val="both"/>
      </w:pPr>
      <w:r>
        <w:rPr/>
        <w:t>and</w:t>
      </w:r>
      <w:r>
        <w:rPr>
          <w:spacing w:val="-16"/>
        </w:rPr>
        <w:t> </w:t>
      </w:r>
      <w:r>
        <w:rPr/>
        <w:t>a</w:t>
      </w:r>
      <w:r>
        <w:rPr>
          <w:spacing w:val="2"/>
        </w:rPr>
        <w:t> </w:t>
      </w:r>
      <w:r>
        <w:rPr/>
        <w:t>Hampton</w:t>
      </w:r>
      <w:r>
        <w:rPr>
          <w:spacing w:val="-2"/>
        </w:rPr>
        <w:t> </w:t>
      </w:r>
      <w:r>
        <w:rPr/>
        <w:t>University</w:t>
      </w:r>
      <w:r>
        <w:rPr>
          <w:spacing w:val="7"/>
        </w:rPr>
        <w:t> </w:t>
      </w:r>
      <w:r>
        <w:rPr/>
        <w:t>alumnus</w:t>
      </w:r>
      <w:r>
        <w:rPr>
          <w:spacing w:val="-6"/>
        </w:rPr>
        <w:t> </w:t>
      </w:r>
      <w:r>
        <w:rPr/>
        <w:t>named</w:t>
      </w:r>
      <w:r>
        <w:rPr>
          <w:spacing w:val="-9"/>
        </w:rPr>
        <w:t> </w:t>
      </w:r>
      <w:r>
        <w:rPr/>
        <w:t>Department</w:t>
      </w:r>
      <w:r>
        <w:rPr>
          <w:spacing w:val="1"/>
        </w:rPr>
        <w:t> </w:t>
      </w:r>
      <w:r>
        <w:rPr>
          <w:spacing w:val="-2"/>
        </w:rPr>
        <w:t>Chair.</w:t>
      </w:r>
    </w:p>
    <w:p>
      <w:pPr>
        <w:pStyle w:val="BodyText"/>
        <w:rPr>
          <w:sz w:val="22"/>
        </w:rPr>
      </w:pPr>
    </w:p>
    <w:p>
      <w:pPr>
        <w:pStyle w:val="ListParagraph"/>
        <w:numPr>
          <w:ilvl w:val="0"/>
          <w:numId w:val="79"/>
        </w:numPr>
        <w:tabs>
          <w:tab w:pos="1668" w:val="left" w:leader="none"/>
          <w:tab w:pos="1669" w:val="left" w:leader="none"/>
        </w:tabs>
        <w:spacing w:line="240" w:lineRule="auto" w:before="193" w:after="0"/>
        <w:ind w:left="1668" w:right="0" w:hanging="712"/>
        <w:jc w:val="left"/>
        <w:rPr>
          <w:rFonts w:ascii="Times New Roman"/>
          <w:sz w:val="21"/>
        </w:rPr>
      </w:pPr>
      <w:r>
        <w:rPr>
          <w:w w:val="105"/>
          <w:sz w:val="20"/>
        </w:rPr>
        <w:t>Program</w:t>
      </w:r>
      <w:r>
        <w:rPr>
          <w:spacing w:val="16"/>
          <w:w w:val="110"/>
          <w:sz w:val="20"/>
        </w:rPr>
        <w:t> </w:t>
      </w:r>
      <w:r>
        <w:rPr>
          <w:spacing w:val="-2"/>
          <w:w w:val="110"/>
          <w:sz w:val="20"/>
        </w:rPr>
        <w:t>Mission</w:t>
      </w:r>
    </w:p>
    <w:p>
      <w:pPr>
        <w:pStyle w:val="BodyText"/>
        <w:spacing w:before="1"/>
        <w:rPr>
          <w:sz w:val="19"/>
        </w:rPr>
      </w:pPr>
    </w:p>
    <w:p>
      <w:pPr>
        <w:spacing w:line="252" w:lineRule="auto" w:before="0"/>
        <w:ind w:left="1677" w:right="804" w:firstLine="1"/>
        <w:jc w:val="both"/>
        <w:rPr>
          <w:sz w:val="20"/>
        </w:rPr>
      </w:pPr>
      <w:r>
        <w:rPr>
          <w:i/>
          <w:w w:val="105"/>
          <w:sz w:val="19"/>
        </w:rPr>
        <w:t>The</w:t>
      </w:r>
      <w:r>
        <w:rPr>
          <w:i/>
          <w:spacing w:val="-12"/>
          <w:w w:val="105"/>
          <w:sz w:val="19"/>
        </w:rPr>
        <w:t> </w:t>
      </w:r>
      <w:r>
        <w:rPr>
          <w:i/>
          <w:w w:val="105"/>
          <w:sz w:val="19"/>
        </w:rPr>
        <w:t>following</w:t>
      </w:r>
      <w:r>
        <w:rPr>
          <w:i/>
          <w:spacing w:val="-4"/>
          <w:w w:val="105"/>
          <w:sz w:val="19"/>
        </w:rPr>
        <w:t> </w:t>
      </w:r>
      <w:r>
        <w:rPr>
          <w:i/>
          <w:w w:val="105"/>
          <w:sz w:val="19"/>
        </w:rPr>
        <w:t>text</w:t>
      </w:r>
      <w:r>
        <w:rPr>
          <w:i/>
          <w:spacing w:val="-14"/>
          <w:w w:val="105"/>
          <w:sz w:val="19"/>
        </w:rPr>
        <w:t> </w:t>
      </w:r>
      <w:r>
        <w:rPr>
          <w:i/>
          <w:w w:val="105"/>
          <w:sz w:val="19"/>
        </w:rPr>
        <w:t>is</w:t>
      </w:r>
      <w:r>
        <w:rPr>
          <w:i/>
          <w:spacing w:val="-12"/>
          <w:w w:val="105"/>
          <w:sz w:val="19"/>
        </w:rPr>
        <w:t> </w:t>
      </w:r>
      <w:r>
        <w:rPr>
          <w:i/>
          <w:w w:val="105"/>
          <w:sz w:val="19"/>
        </w:rPr>
        <w:t>taken</w:t>
      </w:r>
      <w:r>
        <w:rPr>
          <w:i/>
          <w:spacing w:val="-8"/>
          <w:w w:val="105"/>
          <w:sz w:val="19"/>
        </w:rPr>
        <w:t> </w:t>
      </w:r>
      <w:r>
        <w:rPr>
          <w:i/>
          <w:w w:val="105"/>
          <w:sz w:val="19"/>
        </w:rPr>
        <w:t>from</w:t>
      </w:r>
      <w:r>
        <w:rPr>
          <w:i/>
          <w:spacing w:val="-11"/>
          <w:w w:val="105"/>
          <w:sz w:val="19"/>
        </w:rPr>
        <w:t> </w:t>
      </w:r>
      <w:r>
        <w:rPr>
          <w:i/>
          <w:w w:val="105"/>
          <w:sz w:val="19"/>
        </w:rPr>
        <w:t>the</w:t>
      </w:r>
      <w:r>
        <w:rPr>
          <w:i/>
          <w:spacing w:val="-5"/>
          <w:w w:val="105"/>
          <w:sz w:val="19"/>
        </w:rPr>
        <w:t> </w:t>
      </w:r>
      <w:r>
        <w:rPr>
          <w:i/>
          <w:w w:val="105"/>
          <w:sz w:val="19"/>
        </w:rPr>
        <w:t>2009</w:t>
      </w:r>
      <w:r>
        <w:rPr>
          <w:i/>
          <w:spacing w:val="-7"/>
          <w:w w:val="105"/>
          <w:sz w:val="19"/>
        </w:rPr>
        <w:t> </w:t>
      </w:r>
      <w:r>
        <w:rPr>
          <w:i/>
          <w:w w:val="105"/>
          <w:sz w:val="19"/>
        </w:rPr>
        <w:t>Hampton University </w:t>
      </w:r>
      <w:r>
        <w:rPr>
          <w:w w:val="105"/>
          <w:sz w:val="20"/>
        </w:rPr>
        <w:t>Architecture</w:t>
      </w:r>
      <w:r>
        <w:rPr>
          <w:spacing w:val="-2"/>
          <w:w w:val="105"/>
          <w:sz w:val="20"/>
        </w:rPr>
        <w:t> </w:t>
      </w:r>
      <w:r>
        <w:rPr>
          <w:w w:val="105"/>
          <w:sz w:val="20"/>
        </w:rPr>
        <w:t>Program </w:t>
      </w:r>
      <w:r>
        <w:rPr>
          <w:spacing w:val="-2"/>
          <w:w w:val="105"/>
          <w:sz w:val="20"/>
        </w:rPr>
        <w:t>Report</w:t>
      </w:r>
    </w:p>
    <w:p>
      <w:pPr>
        <w:pStyle w:val="BodyText"/>
        <w:spacing w:before="3"/>
        <w:rPr>
          <w:sz w:val="18"/>
        </w:rPr>
      </w:pPr>
    </w:p>
    <w:p>
      <w:pPr>
        <w:pStyle w:val="BodyText"/>
        <w:spacing w:before="1"/>
        <w:ind w:left="1677" w:right="295" w:firstLine="2"/>
      </w:pPr>
      <w:r>
        <w:rPr/>
        <w:t>The</w:t>
      </w:r>
      <w:r>
        <w:rPr>
          <w:spacing w:val="-2"/>
        </w:rPr>
        <w:t> </w:t>
      </w:r>
      <w:r>
        <w:rPr/>
        <w:t>Department of Architecture offers a professional degree program that supports the education and the</w:t>
      </w:r>
      <w:r>
        <w:rPr>
          <w:spacing w:val="-7"/>
        </w:rPr>
        <w:t> </w:t>
      </w:r>
      <w:r>
        <w:rPr/>
        <w:t>preparation of students for professional positions of environmental design practice, leadership, and</w:t>
      </w:r>
      <w:r>
        <w:rPr>
          <w:spacing w:val="-11"/>
        </w:rPr>
        <w:t> </w:t>
      </w:r>
      <w:r>
        <w:rPr/>
        <w:t>service. The Department</w:t>
      </w:r>
      <w:r>
        <w:rPr>
          <w:spacing w:val="-2"/>
        </w:rPr>
        <w:t> </w:t>
      </w:r>
      <w:r>
        <w:rPr/>
        <w:t>of Architecture is committed to the development of critical inquiry and</w:t>
      </w:r>
      <w:r>
        <w:rPr>
          <w:spacing w:val="-1"/>
        </w:rPr>
        <w:t> </w:t>
      </w:r>
      <w:r>
        <w:rPr/>
        <w:t>the pursuit of life-long learning necessary for participation in a changing society and profession.</w:t>
      </w:r>
      <w:r>
        <w:rPr>
          <w:spacing w:val="40"/>
        </w:rPr>
        <w:t> </w:t>
      </w:r>
      <w:r>
        <w:rPr/>
        <w:t>Education in</w:t>
      </w:r>
      <w:r>
        <w:rPr>
          <w:spacing w:val="-2"/>
        </w:rPr>
        <w:t> </w:t>
      </w:r>
      <w:r>
        <w:rPr/>
        <w:t>the Department of Architecture, as a connection with engineering, the fine arts, the</w:t>
      </w:r>
      <w:r>
        <w:rPr>
          <w:spacing w:val="-4"/>
        </w:rPr>
        <w:t> </w:t>
      </w:r>
      <w:r>
        <w:rPr/>
        <w:t>humanities, and</w:t>
      </w:r>
      <w:r>
        <w:rPr>
          <w:spacing w:val="-2"/>
        </w:rPr>
        <w:t> </w:t>
      </w:r>
      <w:r>
        <w:rPr/>
        <w:t>social sciences, strives to</w:t>
      </w:r>
      <w:r>
        <w:rPr>
          <w:spacing w:val="-4"/>
        </w:rPr>
        <w:t> </w:t>
      </w:r>
      <w:r>
        <w:rPr/>
        <w:t>provide an important</w:t>
      </w:r>
      <w:r>
        <w:rPr>
          <w:spacing w:val="34"/>
        </w:rPr>
        <w:t> </w:t>
      </w:r>
      <w:r>
        <w:rPr/>
        <w:t>synthesis of pragmatic, technical,</w:t>
      </w:r>
      <w:r>
        <w:rPr>
          <w:spacing w:val="40"/>
        </w:rPr>
        <w:t> </w:t>
      </w:r>
      <w:r>
        <w:rPr/>
        <w:t>and theoretical learning. The Department of Architecture sets the</w:t>
      </w:r>
      <w:r>
        <w:rPr>
          <w:spacing w:val="-1"/>
        </w:rPr>
        <w:t> </w:t>
      </w:r>
      <w:r>
        <w:rPr/>
        <w:t>framework</w:t>
      </w:r>
      <w:r>
        <w:rPr>
          <w:spacing w:val="39"/>
        </w:rPr>
        <w:t> </w:t>
      </w:r>
      <w:r>
        <w:rPr/>
        <w:t>to explore the roles of African American identity</w:t>
      </w:r>
      <w:r>
        <w:rPr>
          <w:spacing w:val="28"/>
        </w:rPr>
        <w:t> </w:t>
      </w:r>
      <w:r>
        <w:rPr/>
        <w:t>in design and</w:t>
      </w:r>
      <w:r>
        <w:rPr>
          <w:spacing w:val="-2"/>
        </w:rPr>
        <w:t> </w:t>
      </w:r>
      <w:r>
        <w:rPr/>
        <w:t>other cultural, technical,</w:t>
      </w:r>
      <w:r>
        <w:rPr>
          <w:spacing w:val="40"/>
        </w:rPr>
        <w:t> </w:t>
      </w:r>
      <w:r>
        <w:rPr/>
        <w:t>and</w:t>
      </w:r>
      <w:r>
        <w:rPr>
          <w:spacing w:val="-2"/>
        </w:rPr>
        <w:t> </w:t>
      </w:r>
      <w:r>
        <w:rPr/>
        <w:t>social factors in</w:t>
      </w:r>
      <w:r>
        <w:rPr>
          <w:spacing w:val="-7"/>
        </w:rPr>
        <w:t> </w:t>
      </w:r>
      <w:r>
        <w:rPr/>
        <w:t>architectural education. The Department is dedicated to</w:t>
      </w:r>
      <w:r>
        <w:rPr>
          <w:spacing w:val="-3"/>
        </w:rPr>
        <w:t> </w:t>
      </w:r>
      <w:r>
        <w:rPr/>
        <w:t>promoting a global environmental sensitivity and</w:t>
      </w:r>
      <w:r>
        <w:rPr>
          <w:spacing w:val="-6"/>
        </w:rPr>
        <w:t> </w:t>
      </w:r>
      <w:r>
        <w:rPr/>
        <w:t>to</w:t>
      </w:r>
      <w:r>
        <w:rPr>
          <w:spacing w:val="-5"/>
        </w:rPr>
        <w:t> </w:t>
      </w:r>
      <w:r>
        <w:rPr/>
        <w:t>developing an</w:t>
      </w:r>
      <w:r>
        <w:rPr>
          <w:spacing w:val="-1"/>
        </w:rPr>
        <w:t> </w:t>
      </w:r>
      <w:r>
        <w:rPr/>
        <w:t>ability and</w:t>
      </w:r>
      <w:r>
        <w:rPr>
          <w:spacing w:val="-9"/>
        </w:rPr>
        <w:t> </w:t>
      </w:r>
      <w:r>
        <w:rPr/>
        <w:t>desire in</w:t>
      </w:r>
      <w:r>
        <w:rPr>
          <w:spacing w:val="-1"/>
        </w:rPr>
        <w:t> </w:t>
      </w:r>
      <w:r>
        <w:rPr/>
        <w:t>students to help</w:t>
      </w:r>
      <w:r>
        <w:rPr>
          <w:spacing w:val="-7"/>
        </w:rPr>
        <w:t> </w:t>
      </w:r>
      <w:r>
        <w:rPr/>
        <w:t>bring</w:t>
      </w:r>
    </w:p>
    <w:p>
      <w:pPr>
        <w:pStyle w:val="BodyText"/>
      </w:pPr>
    </w:p>
    <w:p>
      <w:pPr>
        <w:pStyle w:val="BodyText"/>
        <w:spacing w:before="4"/>
      </w:pPr>
      <w:r>
        <w:rPr/>
        <w:pict>
          <v:shape style="position:absolute;margin-left:67.451866pt;margin-top:12.927999pt;width:456.3pt;height:.1pt;mso-position-horizontal-relative:page;mso-position-vertical-relative:paragraph;z-index:-15692800;mso-wrap-distance-left:0;mso-wrap-distance-right:0" id="docshape675" coordorigin="1349,259" coordsize="9126,0" path="m1349,259l10474,259e" filled="false" stroked="true" strokeweight=".481434pt" strokecolor="#000000">
            <v:path arrowok="t"/>
            <v:stroke dashstyle="solid"/>
            <w10:wrap type="topAndBottom"/>
          </v:shape>
        </w:pict>
      </w:r>
    </w:p>
    <w:p>
      <w:pPr>
        <w:pStyle w:val="BodyText"/>
        <w:ind w:right="191"/>
        <w:jc w:val="right"/>
      </w:pPr>
      <w:r>
        <w:rPr>
          <w:spacing w:val="-5"/>
          <w:w w:val="105"/>
        </w:rPr>
        <w:t>29</w:t>
      </w:r>
    </w:p>
    <w:p>
      <w:pPr>
        <w:spacing w:after="0"/>
        <w:jc w:val="right"/>
        <w:sectPr>
          <w:headerReference w:type="default" r:id="rId415"/>
          <w:footerReference w:type="default" r:id="rId416"/>
          <w:pgSz w:w="12180" w:h="15820"/>
          <w:pgMar w:header="724" w:footer="0" w:top="1420" w:bottom="280" w:left="1120" w:right="1180"/>
        </w:sectPr>
      </w:pPr>
    </w:p>
    <w:p>
      <w:pPr>
        <w:spacing w:line="235" w:lineRule="exact" w:before="0"/>
        <w:ind w:left="0" w:right="290" w:firstLine="0"/>
        <w:jc w:val="right"/>
        <w:rPr>
          <w:sz w:val="19"/>
        </w:rPr>
      </w:pPr>
      <w:r>
        <w:rPr/>
        <w:pict>
          <v:shape style="position:absolute;margin-left:65.524673pt;margin-top:12.4238pt;width:472.2pt;height:.1pt;mso-position-horizontal-relative:page;mso-position-vertical-relative:paragraph;z-index:-15692288;mso-wrap-distance-left:0;mso-wrap-distance-right:0" id="docshape677" coordorigin="1310,248" coordsize="9444,0" path="m1310,248l10754,248e" filled="false" stroked="true" strokeweight=".962868pt" strokecolor="#000000">
            <v:path arrowok="t"/>
            <v:stroke dashstyle="solid"/>
            <w10:wrap type="topAndBottom"/>
          </v:shape>
        </w:pict>
      </w:r>
      <w:r>
        <w:rPr>
          <w:b/>
          <w:w w:val="105"/>
          <w:sz w:val="21"/>
        </w:rPr>
        <w:t>21-25</w:t>
      </w:r>
      <w:r>
        <w:rPr>
          <w:b/>
          <w:spacing w:val="-14"/>
          <w:w w:val="105"/>
          <w:sz w:val="21"/>
        </w:rPr>
        <w:t> </w:t>
      </w:r>
      <w:r>
        <w:rPr>
          <w:w w:val="105"/>
          <w:sz w:val="19"/>
        </w:rPr>
        <w:t>March</w:t>
      </w:r>
      <w:r>
        <w:rPr>
          <w:spacing w:val="-7"/>
          <w:w w:val="105"/>
          <w:sz w:val="19"/>
        </w:rPr>
        <w:t> </w:t>
      </w:r>
      <w:r>
        <w:rPr>
          <w:spacing w:val="-4"/>
          <w:w w:val="105"/>
          <w:sz w:val="19"/>
        </w:rPr>
        <w:t>2009</w:t>
      </w:r>
    </w:p>
    <w:p>
      <w:pPr>
        <w:pStyle w:val="BodyText"/>
        <w:spacing w:before="4"/>
        <w:rPr>
          <w:sz w:val="26"/>
        </w:rPr>
      </w:pPr>
    </w:p>
    <w:p>
      <w:pPr>
        <w:spacing w:line="242" w:lineRule="auto" w:before="0"/>
        <w:ind w:left="1677" w:right="475" w:firstLine="0"/>
        <w:jc w:val="left"/>
        <w:rPr>
          <w:sz w:val="19"/>
        </w:rPr>
      </w:pPr>
      <w:r>
        <w:rPr>
          <w:w w:val="105"/>
          <w:sz w:val="19"/>
        </w:rPr>
        <w:t>about</w:t>
      </w:r>
      <w:r>
        <w:rPr>
          <w:spacing w:val="-14"/>
          <w:w w:val="105"/>
          <w:sz w:val="19"/>
        </w:rPr>
        <w:t> </w:t>
      </w:r>
      <w:r>
        <w:rPr>
          <w:w w:val="105"/>
          <w:sz w:val="19"/>
        </w:rPr>
        <w:t>important</w:t>
      </w:r>
      <w:r>
        <w:rPr>
          <w:spacing w:val="-4"/>
          <w:w w:val="105"/>
          <w:sz w:val="19"/>
        </w:rPr>
        <w:t> </w:t>
      </w:r>
      <w:r>
        <w:rPr>
          <w:w w:val="105"/>
          <w:sz w:val="19"/>
        </w:rPr>
        <w:t>social</w:t>
      </w:r>
      <w:r>
        <w:rPr>
          <w:spacing w:val="-5"/>
          <w:w w:val="105"/>
          <w:sz w:val="19"/>
        </w:rPr>
        <w:t> </w:t>
      </w:r>
      <w:r>
        <w:rPr>
          <w:w w:val="105"/>
          <w:sz w:val="19"/>
        </w:rPr>
        <w:t>and</w:t>
      </w:r>
      <w:r>
        <w:rPr>
          <w:spacing w:val="-8"/>
          <w:w w:val="105"/>
          <w:sz w:val="19"/>
        </w:rPr>
        <w:t> </w:t>
      </w:r>
      <w:r>
        <w:rPr>
          <w:w w:val="105"/>
          <w:sz w:val="19"/>
        </w:rPr>
        <w:t>environmental change, especially</w:t>
      </w:r>
      <w:r>
        <w:rPr>
          <w:spacing w:val="-3"/>
          <w:w w:val="105"/>
          <w:sz w:val="19"/>
        </w:rPr>
        <w:t> </w:t>
      </w:r>
      <w:r>
        <w:rPr>
          <w:w w:val="105"/>
          <w:sz w:val="19"/>
        </w:rPr>
        <w:t>in</w:t>
      </w:r>
      <w:r>
        <w:rPr>
          <w:spacing w:val="-1"/>
          <w:w w:val="105"/>
          <w:sz w:val="19"/>
        </w:rPr>
        <w:t> </w:t>
      </w:r>
      <w:r>
        <w:rPr>
          <w:w w:val="105"/>
          <w:sz w:val="19"/>
        </w:rPr>
        <w:t>transitional urban</w:t>
      </w:r>
      <w:r>
        <w:rPr>
          <w:spacing w:val="-12"/>
          <w:w w:val="105"/>
          <w:sz w:val="19"/>
        </w:rPr>
        <w:t> </w:t>
      </w:r>
      <w:r>
        <w:rPr>
          <w:w w:val="105"/>
          <w:sz w:val="19"/>
        </w:rPr>
        <w:t>areas and</w:t>
      </w:r>
      <w:r>
        <w:rPr>
          <w:spacing w:val="40"/>
          <w:w w:val="105"/>
          <w:sz w:val="19"/>
        </w:rPr>
        <w:t> </w:t>
      </w:r>
      <w:r>
        <w:rPr>
          <w:w w:val="105"/>
          <w:sz w:val="19"/>
        </w:rPr>
        <w:t>communities of color</w:t>
      </w:r>
      <w:r>
        <w:rPr>
          <w:rFonts w:ascii="Times New Roman"/>
          <w:i/>
          <w:w w:val="105"/>
          <w:sz w:val="13"/>
        </w:rPr>
        <w:t>n</w:t>
      </w:r>
      <w:r>
        <w:rPr>
          <w:w w:val="105"/>
          <w:sz w:val="19"/>
        </w:rPr>
        <w:t>.</w:t>
      </w:r>
    </w:p>
    <w:p>
      <w:pPr>
        <w:pStyle w:val="BodyText"/>
        <w:spacing w:before="10"/>
        <w:rPr>
          <w:sz w:val="12"/>
        </w:rPr>
      </w:pPr>
    </w:p>
    <w:p>
      <w:pPr>
        <w:spacing w:before="94"/>
        <w:ind w:left="1675" w:right="0" w:firstLine="0"/>
        <w:jc w:val="left"/>
        <w:rPr>
          <w:sz w:val="19"/>
        </w:rPr>
      </w:pPr>
      <w:r>
        <w:rPr>
          <w:w w:val="105"/>
          <w:sz w:val="19"/>
        </w:rPr>
        <w:t>In</w:t>
      </w:r>
      <w:r>
        <w:rPr>
          <w:spacing w:val="-4"/>
          <w:w w:val="105"/>
          <w:sz w:val="19"/>
        </w:rPr>
        <w:t> </w:t>
      </w:r>
      <w:r>
        <w:rPr>
          <w:w w:val="105"/>
          <w:sz w:val="19"/>
        </w:rPr>
        <w:t>the</w:t>
      </w:r>
      <w:r>
        <w:rPr>
          <w:spacing w:val="-17"/>
          <w:w w:val="105"/>
          <w:sz w:val="19"/>
        </w:rPr>
        <w:t> </w:t>
      </w:r>
      <w:r>
        <w:rPr>
          <w:w w:val="105"/>
          <w:sz w:val="19"/>
        </w:rPr>
        <w:t>Department</w:t>
      </w:r>
      <w:r>
        <w:rPr>
          <w:spacing w:val="13"/>
          <w:w w:val="105"/>
          <w:sz w:val="19"/>
        </w:rPr>
        <w:t> </w:t>
      </w:r>
      <w:r>
        <w:rPr>
          <w:w w:val="105"/>
          <w:sz w:val="19"/>
        </w:rPr>
        <w:t>of</w:t>
      </w:r>
      <w:r>
        <w:rPr>
          <w:spacing w:val="-10"/>
          <w:w w:val="105"/>
          <w:sz w:val="19"/>
        </w:rPr>
        <w:t> </w:t>
      </w:r>
      <w:r>
        <w:rPr>
          <w:spacing w:val="-2"/>
          <w:w w:val="105"/>
          <w:sz w:val="19"/>
        </w:rPr>
        <w:t>Architecture:</w:t>
      </w:r>
    </w:p>
    <w:p>
      <w:pPr>
        <w:pStyle w:val="BodyText"/>
        <w:rPr>
          <w:sz w:val="22"/>
        </w:rPr>
      </w:pPr>
    </w:p>
    <w:p>
      <w:pPr>
        <w:spacing w:line="254" w:lineRule="auto" w:before="1"/>
        <w:ind w:left="1671" w:right="311" w:firstLine="0"/>
        <w:jc w:val="left"/>
        <w:rPr>
          <w:sz w:val="19"/>
        </w:rPr>
      </w:pPr>
      <w:r>
        <w:rPr>
          <w:w w:val="105"/>
          <w:sz w:val="19"/>
        </w:rPr>
        <w:t>We are</w:t>
      </w:r>
      <w:r>
        <w:rPr>
          <w:spacing w:val="-19"/>
          <w:w w:val="105"/>
          <w:sz w:val="19"/>
        </w:rPr>
        <w:t> </w:t>
      </w:r>
      <w:r>
        <w:rPr>
          <w:w w:val="105"/>
          <w:sz w:val="19"/>
        </w:rPr>
        <w:t>about the</w:t>
      </w:r>
      <w:r>
        <w:rPr>
          <w:spacing w:val="-9"/>
          <w:w w:val="105"/>
          <w:sz w:val="19"/>
        </w:rPr>
        <w:t> </w:t>
      </w:r>
      <w:r>
        <w:rPr>
          <w:w w:val="105"/>
          <w:sz w:val="19"/>
        </w:rPr>
        <w:t>connection</w:t>
      </w:r>
      <w:r>
        <w:rPr>
          <w:spacing w:val="-2"/>
          <w:w w:val="105"/>
          <w:sz w:val="19"/>
        </w:rPr>
        <w:t> </w:t>
      </w:r>
      <w:r>
        <w:rPr>
          <w:w w:val="105"/>
          <w:sz w:val="19"/>
        </w:rPr>
        <w:t>of</w:t>
      </w:r>
      <w:r>
        <w:rPr>
          <w:spacing w:val="-4"/>
          <w:w w:val="105"/>
          <w:sz w:val="19"/>
        </w:rPr>
        <w:t> </w:t>
      </w:r>
      <w:r>
        <w:rPr>
          <w:w w:val="105"/>
          <w:sz w:val="19"/>
        </w:rPr>
        <w:t>analytical, creative, and</w:t>
      </w:r>
      <w:r>
        <w:rPr>
          <w:spacing w:val="-11"/>
          <w:w w:val="105"/>
          <w:sz w:val="19"/>
        </w:rPr>
        <w:t> </w:t>
      </w:r>
      <w:r>
        <w:rPr>
          <w:w w:val="105"/>
          <w:sz w:val="19"/>
        </w:rPr>
        <w:t>most</w:t>
      </w:r>
      <w:r>
        <w:rPr>
          <w:spacing w:val="-7"/>
          <w:w w:val="105"/>
          <w:sz w:val="19"/>
        </w:rPr>
        <w:t> </w:t>
      </w:r>
      <w:r>
        <w:rPr>
          <w:w w:val="105"/>
          <w:sz w:val="19"/>
        </w:rPr>
        <w:t>importantly, critical</w:t>
      </w:r>
      <w:r>
        <w:rPr>
          <w:spacing w:val="-8"/>
          <w:w w:val="105"/>
          <w:sz w:val="19"/>
        </w:rPr>
        <w:t> </w:t>
      </w:r>
      <w:r>
        <w:rPr>
          <w:w w:val="105"/>
          <w:sz w:val="19"/>
        </w:rPr>
        <w:t>thinking to professional and technical education.</w:t>
      </w:r>
    </w:p>
    <w:p>
      <w:pPr>
        <w:spacing w:line="217" w:lineRule="exact" w:before="0"/>
        <w:ind w:left="2381" w:right="0" w:firstLine="0"/>
        <w:jc w:val="left"/>
        <w:rPr>
          <w:sz w:val="19"/>
        </w:rPr>
      </w:pPr>
      <w:r>
        <w:rPr>
          <w:w w:val="105"/>
          <w:sz w:val="19"/>
        </w:rPr>
        <w:t>Form</w:t>
      </w:r>
      <w:r>
        <w:rPr>
          <w:spacing w:val="-1"/>
          <w:w w:val="105"/>
          <w:sz w:val="19"/>
        </w:rPr>
        <w:t> </w:t>
      </w:r>
      <w:r>
        <w:rPr>
          <w:w w:val="105"/>
          <w:sz w:val="19"/>
        </w:rPr>
        <w:t>and</w:t>
      </w:r>
      <w:r>
        <w:rPr>
          <w:spacing w:val="-9"/>
          <w:w w:val="105"/>
          <w:sz w:val="19"/>
        </w:rPr>
        <w:t> </w:t>
      </w:r>
      <w:r>
        <w:rPr>
          <w:w w:val="105"/>
          <w:sz w:val="19"/>
        </w:rPr>
        <w:t>place</w:t>
      </w:r>
      <w:r>
        <w:rPr>
          <w:spacing w:val="-2"/>
          <w:w w:val="105"/>
          <w:sz w:val="19"/>
        </w:rPr>
        <w:t> </w:t>
      </w:r>
      <w:r>
        <w:rPr>
          <w:w w:val="105"/>
          <w:sz w:val="19"/>
        </w:rPr>
        <w:t>as</w:t>
      </w:r>
      <w:r>
        <w:rPr>
          <w:spacing w:val="-4"/>
          <w:w w:val="105"/>
          <w:sz w:val="19"/>
        </w:rPr>
        <w:t> </w:t>
      </w:r>
      <w:r>
        <w:rPr>
          <w:w w:val="105"/>
          <w:sz w:val="19"/>
        </w:rPr>
        <w:t>the</w:t>
      </w:r>
      <w:r>
        <w:rPr>
          <w:spacing w:val="3"/>
          <w:w w:val="105"/>
          <w:sz w:val="19"/>
        </w:rPr>
        <w:t> </w:t>
      </w:r>
      <w:r>
        <w:rPr>
          <w:w w:val="105"/>
          <w:sz w:val="19"/>
        </w:rPr>
        <w:t>result</w:t>
      </w:r>
      <w:r>
        <w:rPr>
          <w:spacing w:val="-8"/>
          <w:w w:val="105"/>
          <w:sz w:val="19"/>
        </w:rPr>
        <w:t> </w:t>
      </w:r>
      <w:r>
        <w:rPr>
          <w:w w:val="105"/>
          <w:sz w:val="19"/>
        </w:rPr>
        <w:t>of</w:t>
      </w:r>
      <w:r>
        <w:rPr>
          <w:spacing w:val="-2"/>
          <w:w w:val="105"/>
          <w:sz w:val="19"/>
        </w:rPr>
        <w:t> </w:t>
      </w:r>
      <w:r>
        <w:rPr>
          <w:w w:val="105"/>
          <w:sz w:val="19"/>
        </w:rPr>
        <w:t>strong</w:t>
      </w:r>
      <w:r>
        <w:rPr>
          <w:spacing w:val="-1"/>
          <w:w w:val="105"/>
          <w:sz w:val="19"/>
        </w:rPr>
        <w:t> </w:t>
      </w:r>
      <w:r>
        <w:rPr>
          <w:w w:val="105"/>
          <w:sz w:val="19"/>
        </w:rPr>
        <w:t>methods</w:t>
      </w:r>
      <w:r>
        <w:rPr>
          <w:spacing w:val="11"/>
          <w:w w:val="105"/>
          <w:sz w:val="19"/>
        </w:rPr>
        <w:t> </w:t>
      </w:r>
      <w:r>
        <w:rPr>
          <w:w w:val="105"/>
          <w:sz w:val="19"/>
        </w:rPr>
        <w:t>and</w:t>
      </w:r>
      <w:r>
        <w:rPr>
          <w:spacing w:val="-9"/>
          <w:w w:val="105"/>
          <w:sz w:val="19"/>
        </w:rPr>
        <w:t> </w:t>
      </w:r>
      <w:r>
        <w:rPr>
          <w:spacing w:val="-2"/>
          <w:w w:val="105"/>
          <w:sz w:val="19"/>
        </w:rPr>
        <w:t>process.</w:t>
      </w:r>
    </w:p>
    <w:p>
      <w:pPr>
        <w:pStyle w:val="BodyText"/>
        <w:spacing w:before="2"/>
        <w:rPr>
          <w:sz w:val="21"/>
        </w:rPr>
      </w:pPr>
    </w:p>
    <w:p>
      <w:pPr>
        <w:spacing w:line="254" w:lineRule="auto" w:before="0"/>
        <w:ind w:left="2381" w:right="1427" w:hanging="719"/>
        <w:jc w:val="left"/>
        <w:rPr>
          <w:sz w:val="19"/>
        </w:rPr>
      </w:pPr>
      <w:r>
        <w:rPr>
          <w:w w:val="105"/>
          <w:sz w:val="19"/>
        </w:rPr>
        <w:t>We</w:t>
      </w:r>
      <w:r>
        <w:rPr>
          <w:spacing w:val="-7"/>
          <w:w w:val="105"/>
          <w:sz w:val="19"/>
        </w:rPr>
        <w:t> </w:t>
      </w:r>
      <w:r>
        <w:rPr>
          <w:w w:val="105"/>
          <w:sz w:val="19"/>
        </w:rPr>
        <w:t>are</w:t>
      </w:r>
      <w:r>
        <w:rPr>
          <w:spacing w:val="-14"/>
          <w:w w:val="105"/>
          <w:sz w:val="19"/>
        </w:rPr>
        <w:t> </w:t>
      </w:r>
      <w:r>
        <w:rPr>
          <w:w w:val="105"/>
          <w:sz w:val="19"/>
        </w:rPr>
        <w:t>about</w:t>
      </w:r>
      <w:r>
        <w:rPr>
          <w:spacing w:val="-14"/>
          <w:w w:val="105"/>
          <w:sz w:val="19"/>
        </w:rPr>
        <w:t> </w:t>
      </w:r>
      <w:r>
        <w:rPr>
          <w:w w:val="105"/>
          <w:sz w:val="19"/>
        </w:rPr>
        <w:t>socio--cultural</w:t>
      </w:r>
      <w:r>
        <w:rPr>
          <w:spacing w:val="-19"/>
          <w:w w:val="105"/>
          <w:sz w:val="19"/>
        </w:rPr>
        <w:t> </w:t>
      </w:r>
      <w:r>
        <w:rPr>
          <w:w w:val="105"/>
          <w:sz w:val="19"/>
        </w:rPr>
        <w:t>issues</w:t>
      </w:r>
      <w:r>
        <w:rPr>
          <w:spacing w:val="-5"/>
          <w:w w:val="105"/>
          <w:sz w:val="19"/>
        </w:rPr>
        <w:t> </w:t>
      </w:r>
      <w:r>
        <w:rPr>
          <w:w w:val="105"/>
          <w:sz w:val="19"/>
        </w:rPr>
        <w:t>in</w:t>
      </w:r>
      <w:r>
        <w:rPr>
          <w:spacing w:val="-12"/>
          <w:w w:val="105"/>
          <w:sz w:val="19"/>
        </w:rPr>
        <w:t> </w:t>
      </w:r>
      <w:r>
        <w:rPr>
          <w:w w:val="105"/>
          <w:sz w:val="19"/>
        </w:rPr>
        <w:t>architecture</w:t>
      </w:r>
      <w:r>
        <w:rPr>
          <w:spacing w:val="-3"/>
          <w:w w:val="105"/>
          <w:sz w:val="19"/>
        </w:rPr>
        <w:t> </w:t>
      </w:r>
      <w:r>
        <w:rPr>
          <w:w w:val="105"/>
          <w:sz w:val="19"/>
        </w:rPr>
        <w:t>and</w:t>
      </w:r>
      <w:r>
        <w:rPr>
          <w:spacing w:val="-13"/>
          <w:w w:val="105"/>
          <w:sz w:val="19"/>
        </w:rPr>
        <w:t> </w:t>
      </w:r>
      <w:r>
        <w:rPr>
          <w:w w:val="105"/>
          <w:sz w:val="19"/>
        </w:rPr>
        <w:t>environmental</w:t>
      </w:r>
      <w:r>
        <w:rPr>
          <w:spacing w:val="-7"/>
          <w:w w:val="105"/>
          <w:sz w:val="19"/>
        </w:rPr>
        <w:t> </w:t>
      </w:r>
      <w:r>
        <w:rPr>
          <w:w w:val="105"/>
          <w:sz w:val="19"/>
        </w:rPr>
        <w:t>design Form and place as they connect to socio--cultural</w:t>
      </w:r>
      <w:r>
        <w:rPr>
          <w:spacing w:val="-20"/>
          <w:w w:val="105"/>
          <w:sz w:val="19"/>
        </w:rPr>
        <w:t> </w:t>
      </w:r>
      <w:r>
        <w:rPr>
          <w:w w:val="105"/>
          <w:sz w:val="19"/>
        </w:rPr>
        <w:t>methodologies.</w:t>
      </w:r>
    </w:p>
    <w:p>
      <w:pPr>
        <w:pStyle w:val="BodyText"/>
      </w:pPr>
    </w:p>
    <w:p>
      <w:pPr>
        <w:spacing w:before="0"/>
        <w:ind w:left="1662" w:right="0" w:firstLine="0"/>
        <w:jc w:val="left"/>
        <w:rPr>
          <w:sz w:val="19"/>
        </w:rPr>
      </w:pPr>
      <w:r>
        <w:rPr>
          <w:w w:val="105"/>
          <w:sz w:val="19"/>
        </w:rPr>
        <w:t>We</w:t>
      </w:r>
      <w:r>
        <w:rPr>
          <w:spacing w:val="-9"/>
          <w:w w:val="105"/>
          <w:sz w:val="19"/>
        </w:rPr>
        <w:t> </w:t>
      </w:r>
      <w:r>
        <w:rPr>
          <w:w w:val="105"/>
          <w:sz w:val="19"/>
        </w:rPr>
        <w:t>are</w:t>
      </w:r>
      <w:r>
        <w:rPr>
          <w:spacing w:val="-18"/>
          <w:w w:val="105"/>
          <w:sz w:val="19"/>
        </w:rPr>
        <w:t> </w:t>
      </w:r>
      <w:r>
        <w:rPr>
          <w:w w:val="105"/>
          <w:sz w:val="19"/>
        </w:rPr>
        <w:t>about</w:t>
      </w:r>
      <w:r>
        <w:rPr>
          <w:spacing w:val="2"/>
          <w:w w:val="105"/>
          <w:sz w:val="19"/>
        </w:rPr>
        <w:t> </w:t>
      </w:r>
      <w:r>
        <w:rPr>
          <w:w w:val="105"/>
          <w:sz w:val="19"/>
        </w:rPr>
        <w:t>environmental</w:t>
      </w:r>
      <w:r>
        <w:rPr>
          <w:spacing w:val="11"/>
          <w:w w:val="105"/>
          <w:sz w:val="19"/>
        </w:rPr>
        <w:t> </w:t>
      </w:r>
      <w:r>
        <w:rPr>
          <w:w w:val="105"/>
          <w:sz w:val="19"/>
        </w:rPr>
        <w:t>design</w:t>
      </w:r>
      <w:r>
        <w:rPr>
          <w:spacing w:val="-7"/>
          <w:w w:val="105"/>
          <w:sz w:val="19"/>
        </w:rPr>
        <w:t> </w:t>
      </w:r>
      <w:r>
        <w:rPr>
          <w:w w:val="105"/>
          <w:sz w:val="19"/>
        </w:rPr>
        <w:t>ethics</w:t>
      </w:r>
      <w:r>
        <w:rPr>
          <w:spacing w:val="-5"/>
          <w:w w:val="105"/>
          <w:sz w:val="19"/>
        </w:rPr>
        <w:t> </w:t>
      </w:r>
      <w:r>
        <w:rPr>
          <w:w w:val="105"/>
          <w:sz w:val="19"/>
        </w:rPr>
        <w:t>and</w:t>
      </w:r>
      <w:r>
        <w:rPr>
          <w:spacing w:val="-9"/>
          <w:w w:val="105"/>
          <w:sz w:val="19"/>
        </w:rPr>
        <w:t> </w:t>
      </w:r>
      <w:r>
        <w:rPr>
          <w:spacing w:val="-2"/>
          <w:w w:val="105"/>
          <w:sz w:val="19"/>
        </w:rPr>
        <w:t>leadership.</w:t>
      </w:r>
    </w:p>
    <w:p>
      <w:pPr>
        <w:spacing w:before="13"/>
        <w:ind w:left="2381" w:right="0" w:firstLine="0"/>
        <w:jc w:val="left"/>
        <w:rPr>
          <w:sz w:val="19"/>
        </w:rPr>
      </w:pPr>
      <w:r>
        <w:rPr>
          <w:w w:val="105"/>
          <w:sz w:val="19"/>
        </w:rPr>
        <w:t>Form and</w:t>
      </w:r>
      <w:r>
        <w:rPr>
          <w:spacing w:val="-8"/>
          <w:w w:val="105"/>
          <w:sz w:val="19"/>
        </w:rPr>
        <w:t> </w:t>
      </w:r>
      <w:r>
        <w:rPr>
          <w:w w:val="105"/>
          <w:sz w:val="19"/>
        </w:rPr>
        <w:t>place as</w:t>
      </w:r>
      <w:r>
        <w:rPr>
          <w:spacing w:val="8"/>
          <w:w w:val="105"/>
          <w:sz w:val="19"/>
        </w:rPr>
        <w:t> </w:t>
      </w:r>
      <w:r>
        <w:rPr>
          <w:w w:val="105"/>
          <w:sz w:val="19"/>
        </w:rPr>
        <w:t>part</w:t>
      </w:r>
      <w:r>
        <w:rPr>
          <w:spacing w:val="-7"/>
          <w:w w:val="105"/>
          <w:sz w:val="19"/>
        </w:rPr>
        <w:t> </w:t>
      </w:r>
      <w:r>
        <w:rPr>
          <w:w w:val="105"/>
          <w:sz w:val="19"/>
        </w:rPr>
        <w:t>of</w:t>
      </w:r>
      <w:r>
        <w:rPr>
          <w:spacing w:val="-3"/>
          <w:w w:val="105"/>
          <w:sz w:val="19"/>
        </w:rPr>
        <w:t> </w:t>
      </w:r>
      <w:r>
        <w:rPr>
          <w:w w:val="105"/>
          <w:sz w:val="19"/>
        </w:rPr>
        <w:t>earth</w:t>
      </w:r>
      <w:r>
        <w:rPr>
          <w:spacing w:val="-8"/>
          <w:w w:val="105"/>
          <w:sz w:val="19"/>
        </w:rPr>
        <w:t> </w:t>
      </w:r>
      <w:r>
        <w:rPr>
          <w:w w:val="105"/>
          <w:sz w:val="19"/>
        </w:rPr>
        <w:t>ethics</w:t>
      </w:r>
      <w:r>
        <w:rPr>
          <w:spacing w:val="-2"/>
          <w:w w:val="105"/>
          <w:sz w:val="19"/>
        </w:rPr>
        <w:t> </w:t>
      </w:r>
      <w:r>
        <w:rPr>
          <w:w w:val="105"/>
          <w:sz w:val="19"/>
        </w:rPr>
        <w:t>and</w:t>
      </w:r>
      <w:r>
        <w:rPr>
          <w:spacing w:val="-7"/>
          <w:w w:val="105"/>
          <w:sz w:val="19"/>
        </w:rPr>
        <w:t> </w:t>
      </w:r>
      <w:r>
        <w:rPr>
          <w:spacing w:val="-2"/>
          <w:w w:val="105"/>
          <w:sz w:val="19"/>
        </w:rPr>
        <w:t>urbanization.</w:t>
      </w:r>
    </w:p>
    <w:p>
      <w:pPr>
        <w:pStyle w:val="BodyText"/>
        <w:rPr>
          <w:sz w:val="22"/>
        </w:rPr>
      </w:pPr>
    </w:p>
    <w:p>
      <w:pPr>
        <w:spacing w:before="0"/>
        <w:ind w:left="1663" w:right="0" w:firstLine="0"/>
        <w:jc w:val="left"/>
        <w:rPr>
          <w:sz w:val="19"/>
        </w:rPr>
      </w:pPr>
      <w:r>
        <w:rPr>
          <w:w w:val="105"/>
          <w:sz w:val="19"/>
        </w:rPr>
        <w:t>1.4.2</w:t>
      </w:r>
      <w:r>
        <w:rPr>
          <w:spacing w:val="-6"/>
          <w:w w:val="105"/>
          <w:sz w:val="19"/>
        </w:rPr>
        <w:t> </w:t>
      </w:r>
      <w:r>
        <w:rPr>
          <w:w w:val="105"/>
          <w:sz w:val="19"/>
        </w:rPr>
        <w:t>Mission</w:t>
      </w:r>
      <w:r>
        <w:rPr>
          <w:spacing w:val="6"/>
          <w:w w:val="105"/>
          <w:sz w:val="19"/>
        </w:rPr>
        <w:t> </w:t>
      </w:r>
      <w:r>
        <w:rPr>
          <w:w w:val="105"/>
          <w:sz w:val="19"/>
        </w:rPr>
        <w:t>Statement</w:t>
      </w:r>
      <w:r>
        <w:rPr>
          <w:spacing w:val="-4"/>
          <w:w w:val="105"/>
          <w:sz w:val="19"/>
        </w:rPr>
        <w:t> </w:t>
      </w:r>
      <w:r>
        <w:rPr>
          <w:w w:val="105"/>
          <w:sz w:val="19"/>
        </w:rPr>
        <w:t>(Adopted</w:t>
      </w:r>
      <w:r>
        <w:rPr>
          <w:spacing w:val="-16"/>
          <w:w w:val="105"/>
          <w:sz w:val="19"/>
        </w:rPr>
        <w:t> </w:t>
      </w:r>
      <w:r>
        <w:rPr>
          <w:w w:val="105"/>
          <w:sz w:val="19"/>
        </w:rPr>
        <w:t>March</w:t>
      </w:r>
      <w:r>
        <w:rPr>
          <w:spacing w:val="-4"/>
          <w:w w:val="105"/>
          <w:sz w:val="19"/>
        </w:rPr>
        <w:t> </w:t>
      </w:r>
      <w:r>
        <w:rPr>
          <w:w w:val="105"/>
          <w:sz w:val="19"/>
        </w:rPr>
        <w:t>2001,</w:t>
      </w:r>
      <w:r>
        <w:rPr>
          <w:spacing w:val="-6"/>
          <w:w w:val="105"/>
          <w:sz w:val="19"/>
        </w:rPr>
        <w:t> </w:t>
      </w:r>
      <w:r>
        <w:rPr>
          <w:w w:val="105"/>
          <w:sz w:val="19"/>
        </w:rPr>
        <w:t>with</w:t>
      </w:r>
      <w:r>
        <w:rPr>
          <w:spacing w:val="-8"/>
          <w:w w:val="105"/>
          <w:sz w:val="19"/>
        </w:rPr>
        <w:t> </w:t>
      </w:r>
      <w:r>
        <w:rPr>
          <w:w w:val="105"/>
          <w:sz w:val="19"/>
        </w:rPr>
        <w:t>minor</w:t>
      </w:r>
      <w:r>
        <w:rPr>
          <w:spacing w:val="1"/>
          <w:w w:val="105"/>
          <w:sz w:val="19"/>
        </w:rPr>
        <w:t> </w:t>
      </w:r>
      <w:r>
        <w:rPr>
          <w:spacing w:val="-2"/>
          <w:w w:val="105"/>
          <w:sz w:val="19"/>
        </w:rPr>
        <w:t>amendments}:</w:t>
      </w:r>
    </w:p>
    <w:p>
      <w:pPr>
        <w:pStyle w:val="BodyText"/>
        <w:spacing w:before="2"/>
        <w:rPr>
          <w:sz w:val="21"/>
        </w:rPr>
      </w:pPr>
    </w:p>
    <w:p>
      <w:pPr>
        <w:spacing w:line="254" w:lineRule="auto" w:before="0"/>
        <w:ind w:left="1647" w:right="311" w:firstLine="12"/>
        <w:jc w:val="left"/>
        <w:rPr>
          <w:sz w:val="19"/>
        </w:rPr>
      </w:pPr>
      <w:r>
        <w:rPr>
          <w:w w:val="105"/>
          <w:sz w:val="19"/>
        </w:rPr>
        <w:t>The Hampton University Department of Architecture is an</w:t>
      </w:r>
      <w:r>
        <w:rPr>
          <w:spacing w:val="-8"/>
          <w:w w:val="105"/>
          <w:sz w:val="19"/>
        </w:rPr>
        <w:t> </w:t>
      </w:r>
      <w:r>
        <w:rPr>
          <w:w w:val="105"/>
          <w:sz w:val="19"/>
        </w:rPr>
        <w:t>accredited Architecture Program, geared</w:t>
      </w:r>
      <w:r>
        <w:rPr>
          <w:spacing w:val="-1"/>
          <w:w w:val="105"/>
          <w:sz w:val="19"/>
        </w:rPr>
        <w:t> </w:t>
      </w:r>
      <w:r>
        <w:rPr>
          <w:w w:val="105"/>
          <w:sz w:val="19"/>
        </w:rPr>
        <w:t>towards those</w:t>
      </w:r>
      <w:r>
        <w:rPr>
          <w:spacing w:val="-7"/>
          <w:w w:val="105"/>
          <w:sz w:val="19"/>
        </w:rPr>
        <w:t> </w:t>
      </w:r>
      <w:r>
        <w:rPr>
          <w:w w:val="105"/>
          <w:sz w:val="19"/>
        </w:rPr>
        <w:t>who</w:t>
      </w:r>
      <w:r>
        <w:rPr>
          <w:spacing w:val="-4"/>
          <w:w w:val="105"/>
          <w:sz w:val="19"/>
        </w:rPr>
        <w:t> </w:t>
      </w:r>
      <w:r>
        <w:rPr>
          <w:w w:val="105"/>
          <w:sz w:val="19"/>
        </w:rPr>
        <w:t>desire</w:t>
      </w:r>
      <w:r>
        <w:rPr>
          <w:spacing w:val="-10"/>
          <w:w w:val="105"/>
          <w:sz w:val="19"/>
        </w:rPr>
        <w:t> </w:t>
      </w:r>
      <w:r>
        <w:rPr>
          <w:w w:val="105"/>
          <w:sz w:val="19"/>
        </w:rPr>
        <w:t>preparation to</w:t>
      </w:r>
      <w:r>
        <w:rPr>
          <w:spacing w:val="-9"/>
          <w:w w:val="105"/>
          <w:sz w:val="19"/>
        </w:rPr>
        <w:t> </w:t>
      </w:r>
      <w:r>
        <w:rPr>
          <w:w w:val="105"/>
          <w:sz w:val="19"/>
        </w:rPr>
        <w:t>engage</w:t>
      </w:r>
      <w:r>
        <w:rPr>
          <w:spacing w:val="-3"/>
          <w:w w:val="105"/>
          <w:sz w:val="19"/>
        </w:rPr>
        <w:t> </w:t>
      </w:r>
      <w:r>
        <w:rPr>
          <w:w w:val="105"/>
          <w:sz w:val="19"/>
        </w:rPr>
        <w:t>in a</w:t>
      </w:r>
      <w:r>
        <w:rPr>
          <w:spacing w:val="-1"/>
          <w:w w:val="105"/>
          <w:sz w:val="19"/>
        </w:rPr>
        <w:t> </w:t>
      </w:r>
      <w:r>
        <w:rPr>
          <w:w w:val="105"/>
          <w:sz w:val="19"/>
        </w:rPr>
        <w:t>critical</w:t>
      </w:r>
      <w:r>
        <w:rPr>
          <w:spacing w:val="-18"/>
          <w:w w:val="105"/>
          <w:sz w:val="19"/>
        </w:rPr>
        <w:t> </w:t>
      </w:r>
      <w:r>
        <w:rPr>
          <w:w w:val="105"/>
          <w:sz w:val="19"/>
        </w:rPr>
        <w:t>practice of architecture. We believe that architectural education offers unique possibilities, which allow</w:t>
      </w:r>
      <w:r>
        <w:rPr>
          <w:spacing w:val="-1"/>
          <w:w w:val="105"/>
          <w:sz w:val="19"/>
        </w:rPr>
        <w:t> </w:t>
      </w:r>
      <w:r>
        <w:rPr>
          <w:w w:val="105"/>
          <w:sz w:val="19"/>
        </w:rPr>
        <w:t>our</w:t>
      </w:r>
      <w:r>
        <w:rPr>
          <w:spacing w:val="-8"/>
          <w:w w:val="105"/>
          <w:sz w:val="19"/>
        </w:rPr>
        <w:t> </w:t>
      </w:r>
      <w:r>
        <w:rPr>
          <w:w w:val="105"/>
          <w:sz w:val="19"/>
        </w:rPr>
        <w:t>students to face and lead</w:t>
      </w:r>
      <w:r>
        <w:rPr>
          <w:spacing w:val="-1"/>
          <w:w w:val="105"/>
          <w:sz w:val="19"/>
        </w:rPr>
        <w:t> </w:t>
      </w:r>
      <w:r>
        <w:rPr>
          <w:w w:val="105"/>
          <w:sz w:val="19"/>
        </w:rPr>
        <w:t>the</w:t>
      </w:r>
      <w:r>
        <w:rPr>
          <w:spacing w:val="-6"/>
          <w:w w:val="105"/>
          <w:sz w:val="19"/>
        </w:rPr>
        <w:t> </w:t>
      </w:r>
      <w:r>
        <w:rPr>
          <w:w w:val="105"/>
          <w:sz w:val="19"/>
        </w:rPr>
        <w:t>broad</w:t>
      </w:r>
      <w:r>
        <w:rPr>
          <w:spacing w:val="-6"/>
          <w:w w:val="105"/>
          <w:sz w:val="19"/>
        </w:rPr>
        <w:t> </w:t>
      </w:r>
      <w:r>
        <w:rPr>
          <w:w w:val="105"/>
          <w:sz w:val="19"/>
        </w:rPr>
        <w:t>challenges confronting societies, from the level of individuals, to neighborhoods, and to nations. We</w:t>
      </w:r>
      <w:r>
        <w:rPr>
          <w:spacing w:val="-10"/>
          <w:w w:val="105"/>
          <w:sz w:val="19"/>
        </w:rPr>
        <w:t> </w:t>
      </w:r>
      <w:r>
        <w:rPr>
          <w:w w:val="105"/>
          <w:sz w:val="19"/>
        </w:rPr>
        <w:t>are dedicated to</w:t>
      </w:r>
      <w:r>
        <w:rPr>
          <w:spacing w:val="-6"/>
          <w:w w:val="105"/>
          <w:sz w:val="19"/>
        </w:rPr>
        <w:t> </w:t>
      </w:r>
      <w:r>
        <w:rPr>
          <w:w w:val="105"/>
          <w:sz w:val="19"/>
        </w:rPr>
        <w:t>promoting a global environmental sensitivity, and</w:t>
      </w:r>
      <w:r>
        <w:rPr>
          <w:spacing w:val="-3"/>
          <w:w w:val="105"/>
          <w:sz w:val="19"/>
        </w:rPr>
        <w:t> </w:t>
      </w:r>
      <w:r>
        <w:rPr>
          <w:w w:val="105"/>
          <w:sz w:val="19"/>
        </w:rPr>
        <w:t>developing an ability in students to bring</w:t>
      </w:r>
      <w:r>
        <w:rPr>
          <w:spacing w:val="-2"/>
          <w:w w:val="105"/>
          <w:sz w:val="19"/>
        </w:rPr>
        <w:t> </w:t>
      </w:r>
      <w:r>
        <w:rPr>
          <w:w w:val="105"/>
          <w:sz w:val="19"/>
        </w:rPr>
        <w:t>about important social</w:t>
      </w:r>
      <w:r>
        <w:rPr>
          <w:spacing w:val="-10"/>
          <w:w w:val="105"/>
          <w:sz w:val="19"/>
        </w:rPr>
        <w:t> </w:t>
      </w:r>
      <w:r>
        <w:rPr>
          <w:w w:val="105"/>
          <w:sz w:val="19"/>
        </w:rPr>
        <w:t>and environmental change, especially in</w:t>
      </w:r>
      <w:r>
        <w:rPr>
          <w:spacing w:val="-2"/>
          <w:w w:val="105"/>
          <w:sz w:val="19"/>
        </w:rPr>
        <w:t> </w:t>
      </w:r>
      <w:r>
        <w:rPr>
          <w:w w:val="105"/>
          <w:sz w:val="19"/>
        </w:rPr>
        <w:t>transitional urban areas</w:t>
      </w:r>
      <w:r>
        <w:rPr>
          <w:spacing w:val="-1"/>
          <w:w w:val="105"/>
          <w:sz w:val="19"/>
        </w:rPr>
        <w:t> </w:t>
      </w:r>
      <w:r>
        <w:rPr>
          <w:w w:val="105"/>
          <w:sz w:val="19"/>
        </w:rPr>
        <w:t>and communities of color. The</w:t>
      </w:r>
      <w:r>
        <w:rPr>
          <w:spacing w:val="-5"/>
          <w:w w:val="105"/>
          <w:sz w:val="19"/>
        </w:rPr>
        <w:t> </w:t>
      </w:r>
      <w:r>
        <w:rPr>
          <w:w w:val="105"/>
          <w:sz w:val="19"/>
        </w:rPr>
        <w:t>Department sets</w:t>
      </w:r>
      <w:r>
        <w:rPr>
          <w:spacing w:val="-3"/>
          <w:w w:val="105"/>
          <w:sz w:val="19"/>
        </w:rPr>
        <w:t> </w:t>
      </w:r>
      <w:r>
        <w:rPr>
          <w:w w:val="105"/>
          <w:sz w:val="19"/>
        </w:rPr>
        <w:t>the framework for the</w:t>
      </w:r>
      <w:r>
        <w:rPr>
          <w:spacing w:val="-3"/>
          <w:w w:val="105"/>
          <w:sz w:val="19"/>
        </w:rPr>
        <w:t> </w:t>
      </w:r>
      <w:r>
        <w:rPr>
          <w:w w:val="105"/>
          <w:sz w:val="19"/>
        </w:rPr>
        <w:t>investigation of architecture as a way of thinking about</w:t>
      </w:r>
      <w:r>
        <w:rPr>
          <w:spacing w:val="-11"/>
          <w:w w:val="105"/>
          <w:sz w:val="19"/>
        </w:rPr>
        <w:t> </w:t>
      </w:r>
      <w:r>
        <w:rPr>
          <w:w w:val="105"/>
          <w:sz w:val="19"/>
        </w:rPr>
        <w:t>this</w:t>
      </w:r>
      <w:r>
        <w:rPr>
          <w:spacing w:val="-7"/>
          <w:w w:val="105"/>
          <w:sz w:val="19"/>
        </w:rPr>
        <w:t> </w:t>
      </w:r>
      <w:r>
        <w:rPr>
          <w:w w:val="105"/>
          <w:sz w:val="19"/>
        </w:rPr>
        <w:t>world.</w:t>
      </w:r>
      <w:r>
        <w:rPr>
          <w:spacing w:val="-5"/>
          <w:w w:val="105"/>
          <w:sz w:val="19"/>
        </w:rPr>
        <w:t> </w:t>
      </w:r>
      <w:r>
        <w:rPr>
          <w:w w:val="105"/>
          <w:sz w:val="19"/>
        </w:rPr>
        <w:t>We</w:t>
      </w:r>
      <w:r>
        <w:rPr>
          <w:spacing w:val="-4"/>
          <w:w w:val="105"/>
          <w:sz w:val="19"/>
        </w:rPr>
        <w:t> </w:t>
      </w:r>
      <w:r>
        <w:rPr>
          <w:w w:val="105"/>
          <w:sz w:val="19"/>
        </w:rPr>
        <w:t>strive to provide</w:t>
      </w:r>
      <w:r>
        <w:rPr>
          <w:spacing w:val="-9"/>
          <w:w w:val="105"/>
          <w:sz w:val="19"/>
        </w:rPr>
        <w:t> </w:t>
      </w:r>
      <w:r>
        <w:rPr>
          <w:w w:val="105"/>
          <w:sz w:val="19"/>
        </w:rPr>
        <w:t>an integration of:</w:t>
      </w:r>
    </w:p>
    <w:p>
      <w:pPr>
        <w:spacing w:line="204" w:lineRule="exact" w:before="0"/>
        <w:ind w:left="2369" w:right="0" w:firstLine="0"/>
        <w:jc w:val="left"/>
        <w:rPr>
          <w:sz w:val="19"/>
        </w:rPr>
      </w:pPr>
      <w:r>
        <w:rPr>
          <w:w w:val="105"/>
          <w:sz w:val="19"/>
        </w:rPr>
        <w:t>Individual</w:t>
      </w:r>
      <w:r>
        <w:rPr>
          <w:spacing w:val="-1"/>
          <w:w w:val="105"/>
          <w:sz w:val="19"/>
        </w:rPr>
        <w:t> </w:t>
      </w:r>
      <w:r>
        <w:rPr>
          <w:w w:val="105"/>
          <w:sz w:val="19"/>
        </w:rPr>
        <w:t>imagination</w:t>
      </w:r>
      <w:r>
        <w:rPr>
          <w:spacing w:val="-8"/>
          <w:w w:val="105"/>
          <w:sz w:val="19"/>
        </w:rPr>
        <w:t> </w:t>
      </w:r>
      <w:r>
        <w:rPr>
          <w:w w:val="105"/>
          <w:sz w:val="19"/>
        </w:rPr>
        <w:t>with</w:t>
      </w:r>
      <w:r>
        <w:rPr>
          <w:spacing w:val="-6"/>
          <w:w w:val="105"/>
          <w:sz w:val="19"/>
        </w:rPr>
        <w:t> </w:t>
      </w:r>
      <w:r>
        <w:rPr>
          <w:w w:val="105"/>
          <w:sz w:val="19"/>
        </w:rPr>
        <w:t>communal</w:t>
      </w:r>
      <w:r>
        <w:rPr>
          <w:spacing w:val="-12"/>
          <w:w w:val="105"/>
          <w:sz w:val="19"/>
        </w:rPr>
        <w:t> </w:t>
      </w:r>
      <w:r>
        <w:rPr>
          <w:spacing w:val="-2"/>
          <w:w w:val="105"/>
          <w:sz w:val="19"/>
        </w:rPr>
        <w:t>responsibilities;</w:t>
      </w:r>
    </w:p>
    <w:p>
      <w:pPr>
        <w:spacing w:line="254" w:lineRule="auto" w:before="13"/>
        <w:ind w:left="2365" w:right="2733" w:firstLine="0"/>
        <w:jc w:val="left"/>
        <w:rPr>
          <w:sz w:val="19"/>
        </w:rPr>
      </w:pPr>
      <w:r>
        <w:rPr>
          <w:w w:val="105"/>
          <w:sz w:val="19"/>
        </w:rPr>
        <w:t>theoretical</w:t>
      </w:r>
      <w:r>
        <w:rPr>
          <w:spacing w:val="-4"/>
          <w:w w:val="105"/>
          <w:sz w:val="19"/>
        </w:rPr>
        <w:t> </w:t>
      </w:r>
      <w:r>
        <w:rPr>
          <w:w w:val="105"/>
          <w:sz w:val="19"/>
        </w:rPr>
        <w:t>insights</w:t>
      </w:r>
      <w:r>
        <w:rPr>
          <w:spacing w:val="-11"/>
          <w:w w:val="105"/>
          <w:sz w:val="19"/>
        </w:rPr>
        <w:t> </w:t>
      </w:r>
      <w:r>
        <w:rPr>
          <w:w w:val="105"/>
          <w:sz w:val="19"/>
        </w:rPr>
        <w:t>with</w:t>
      </w:r>
      <w:r>
        <w:rPr>
          <w:spacing w:val="-21"/>
          <w:w w:val="105"/>
          <w:sz w:val="19"/>
        </w:rPr>
        <w:t> </w:t>
      </w:r>
      <w:r>
        <w:rPr>
          <w:w w:val="105"/>
          <w:sz w:val="19"/>
        </w:rPr>
        <w:t>pragmatic speculations; conceptual gestures with tectonic articulation; technical competence with</w:t>
      </w:r>
      <w:r>
        <w:rPr>
          <w:spacing w:val="-4"/>
          <w:w w:val="105"/>
          <w:sz w:val="19"/>
        </w:rPr>
        <w:t> </w:t>
      </w:r>
      <w:r>
        <w:rPr>
          <w:w w:val="105"/>
          <w:sz w:val="19"/>
        </w:rPr>
        <w:t>creative articulation,</w:t>
      </w:r>
    </w:p>
    <w:p>
      <w:pPr>
        <w:spacing w:line="217" w:lineRule="exact" w:before="0"/>
        <w:ind w:left="2361" w:right="0" w:firstLine="0"/>
        <w:jc w:val="left"/>
        <w:rPr>
          <w:sz w:val="19"/>
        </w:rPr>
      </w:pPr>
      <w:r>
        <w:rPr>
          <w:w w:val="105"/>
          <w:sz w:val="19"/>
        </w:rPr>
        <w:t>and,</w:t>
      </w:r>
      <w:r>
        <w:rPr>
          <w:spacing w:val="-18"/>
          <w:w w:val="105"/>
          <w:sz w:val="19"/>
        </w:rPr>
        <w:t> </w:t>
      </w:r>
      <w:r>
        <w:rPr>
          <w:w w:val="105"/>
          <w:sz w:val="19"/>
        </w:rPr>
        <w:t>contemporary</w:t>
      </w:r>
      <w:r>
        <w:rPr>
          <w:spacing w:val="15"/>
          <w:w w:val="105"/>
          <w:sz w:val="19"/>
        </w:rPr>
        <w:t> </w:t>
      </w:r>
      <w:r>
        <w:rPr>
          <w:w w:val="105"/>
          <w:sz w:val="19"/>
        </w:rPr>
        <w:t>interpretations</w:t>
      </w:r>
      <w:r>
        <w:rPr>
          <w:spacing w:val="-17"/>
          <w:w w:val="105"/>
          <w:sz w:val="19"/>
        </w:rPr>
        <w:t> </w:t>
      </w:r>
      <w:r>
        <w:rPr>
          <w:w w:val="105"/>
          <w:sz w:val="19"/>
        </w:rPr>
        <w:t>with</w:t>
      </w:r>
      <w:r>
        <w:rPr>
          <w:spacing w:val="-1"/>
          <w:w w:val="105"/>
          <w:sz w:val="19"/>
        </w:rPr>
        <w:t> </w:t>
      </w:r>
      <w:r>
        <w:rPr>
          <w:w w:val="105"/>
          <w:sz w:val="19"/>
        </w:rPr>
        <w:t>histories</w:t>
      </w:r>
      <w:r>
        <w:rPr>
          <w:spacing w:val="2"/>
          <w:w w:val="105"/>
          <w:sz w:val="19"/>
        </w:rPr>
        <w:t> </w:t>
      </w:r>
      <w:r>
        <w:rPr>
          <w:w w:val="105"/>
          <w:sz w:val="19"/>
        </w:rPr>
        <w:t>of</w:t>
      </w:r>
      <w:r>
        <w:rPr>
          <w:spacing w:val="-6"/>
          <w:w w:val="105"/>
          <w:sz w:val="19"/>
        </w:rPr>
        <w:t> </w:t>
      </w:r>
      <w:r>
        <w:rPr>
          <w:spacing w:val="-2"/>
          <w:w w:val="105"/>
          <w:sz w:val="19"/>
        </w:rPr>
        <w:t>architecture.</w:t>
      </w:r>
    </w:p>
    <w:p>
      <w:pPr>
        <w:pStyle w:val="BodyText"/>
        <w:spacing w:before="2"/>
        <w:rPr>
          <w:sz w:val="21"/>
        </w:rPr>
      </w:pPr>
    </w:p>
    <w:p>
      <w:pPr>
        <w:spacing w:line="252" w:lineRule="auto" w:before="0"/>
        <w:ind w:left="1633" w:right="475" w:firstLine="7"/>
        <w:jc w:val="left"/>
        <w:rPr>
          <w:sz w:val="19"/>
        </w:rPr>
      </w:pPr>
      <w:r>
        <w:rPr>
          <w:w w:val="105"/>
          <w:sz w:val="19"/>
        </w:rPr>
        <w:t>The</w:t>
      </w:r>
      <w:r>
        <w:rPr>
          <w:spacing w:val="-12"/>
          <w:w w:val="105"/>
          <w:sz w:val="19"/>
        </w:rPr>
        <w:t> </w:t>
      </w:r>
      <w:r>
        <w:rPr>
          <w:w w:val="105"/>
          <w:sz w:val="19"/>
        </w:rPr>
        <w:t>Hampton</w:t>
      </w:r>
      <w:r>
        <w:rPr>
          <w:spacing w:val="-3"/>
          <w:w w:val="105"/>
          <w:sz w:val="19"/>
        </w:rPr>
        <w:t> </w:t>
      </w:r>
      <w:r>
        <w:rPr>
          <w:w w:val="105"/>
          <w:sz w:val="19"/>
        </w:rPr>
        <w:t>University Department of</w:t>
      </w:r>
      <w:r>
        <w:rPr>
          <w:spacing w:val="-10"/>
          <w:w w:val="105"/>
          <w:sz w:val="19"/>
        </w:rPr>
        <w:t> </w:t>
      </w:r>
      <w:r>
        <w:rPr>
          <w:w w:val="105"/>
          <w:sz w:val="19"/>
        </w:rPr>
        <w:t>Architecture</w:t>
      </w:r>
      <w:r>
        <w:rPr>
          <w:spacing w:val="-3"/>
          <w:w w:val="105"/>
          <w:sz w:val="19"/>
        </w:rPr>
        <w:t> </w:t>
      </w:r>
      <w:r>
        <w:rPr>
          <w:w w:val="105"/>
          <w:sz w:val="19"/>
        </w:rPr>
        <w:t>strongly believes in</w:t>
      </w:r>
      <w:r>
        <w:rPr>
          <w:spacing w:val="-14"/>
          <w:w w:val="105"/>
          <w:sz w:val="19"/>
        </w:rPr>
        <w:t> </w:t>
      </w:r>
      <w:r>
        <w:rPr>
          <w:w w:val="105"/>
          <w:sz w:val="19"/>
        </w:rPr>
        <w:t>the</w:t>
      </w:r>
      <w:r>
        <w:rPr>
          <w:spacing w:val="-1"/>
          <w:w w:val="105"/>
          <w:sz w:val="19"/>
        </w:rPr>
        <w:t> </w:t>
      </w:r>
      <w:r>
        <w:rPr>
          <w:w w:val="105"/>
          <w:sz w:val="19"/>
        </w:rPr>
        <w:t>architect as a leader who</w:t>
      </w:r>
      <w:r>
        <w:rPr>
          <w:spacing w:val="-6"/>
          <w:w w:val="105"/>
          <w:sz w:val="19"/>
        </w:rPr>
        <w:t> </w:t>
      </w:r>
      <w:r>
        <w:rPr>
          <w:w w:val="105"/>
          <w:sz w:val="19"/>
        </w:rPr>
        <w:t>must bring together a</w:t>
      </w:r>
      <w:r>
        <w:rPr>
          <w:spacing w:val="-4"/>
          <w:w w:val="105"/>
          <w:sz w:val="19"/>
        </w:rPr>
        <w:t> </w:t>
      </w:r>
      <w:r>
        <w:rPr>
          <w:w w:val="105"/>
          <w:sz w:val="19"/>
        </w:rPr>
        <w:t>broad</w:t>
      </w:r>
      <w:r>
        <w:rPr>
          <w:spacing w:val="-3"/>
          <w:w w:val="105"/>
          <w:sz w:val="19"/>
        </w:rPr>
        <w:t> </w:t>
      </w:r>
      <w:r>
        <w:rPr>
          <w:w w:val="105"/>
          <w:sz w:val="19"/>
        </w:rPr>
        <w:t>range</w:t>
      </w:r>
      <w:r>
        <w:rPr>
          <w:spacing w:val="-6"/>
          <w:w w:val="105"/>
          <w:sz w:val="19"/>
        </w:rPr>
        <w:t> </w:t>
      </w:r>
      <w:r>
        <w:rPr>
          <w:w w:val="105"/>
          <w:sz w:val="19"/>
        </w:rPr>
        <w:t>of skills to</w:t>
      </w:r>
      <w:r>
        <w:rPr>
          <w:spacing w:val="-2"/>
          <w:w w:val="105"/>
          <w:sz w:val="19"/>
        </w:rPr>
        <w:t> </w:t>
      </w:r>
      <w:r>
        <w:rPr>
          <w:w w:val="105"/>
          <w:sz w:val="19"/>
        </w:rPr>
        <w:t>solve building</w:t>
      </w:r>
      <w:r>
        <w:rPr>
          <w:spacing w:val="-1"/>
          <w:w w:val="105"/>
          <w:sz w:val="19"/>
        </w:rPr>
        <w:t> </w:t>
      </w:r>
      <w:r>
        <w:rPr>
          <w:w w:val="105"/>
          <w:sz w:val="19"/>
        </w:rPr>
        <w:t>design, urban design, and</w:t>
      </w:r>
      <w:r>
        <w:rPr>
          <w:spacing w:val="-5"/>
          <w:w w:val="105"/>
          <w:sz w:val="19"/>
        </w:rPr>
        <w:t> </w:t>
      </w:r>
      <w:r>
        <w:rPr>
          <w:w w:val="105"/>
          <w:sz w:val="19"/>
        </w:rPr>
        <w:t>community development problems. The</w:t>
      </w:r>
      <w:r>
        <w:rPr>
          <w:spacing w:val="-6"/>
          <w:w w:val="105"/>
          <w:sz w:val="19"/>
        </w:rPr>
        <w:t> </w:t>
      </w:r>
      <w:r>
        <w:rPr>
          <w:w w:val="105"/>
          <w:sz w:val="19"/>
        </w:rPr>
        <w:t>Department of Architecture is focused</w:t>
      </w:r>
      <w:r>
        <w:rPr>
          <w:spacing w:val="-2"/>
          <w:w w:val="105"/>
          <w:sz w:val="19"/>
        </w:rPr>
        <w:t> </w:t>
      </w:r>
      <w:r>
        <w:rPr>
          <w:w w:val="105"/>
          <w:sz w:val="19"/>
        </w:rPr>
        <w:t>on delivering a strong professional program leading to a professional degree, located within a small liberal arts oriented university.</w:t>
      </w:r>
    </w:p>
    <w:p>
      <w:pPr>
        <w:pStyle w:val="BodyText"/>
      </w:pPr>
    </w:p>
    <w:p>
      <w:pPr>
        <w:spacing w:line="252" w:lineRule="auto" w:before="0"/>
        <w:ind w:left="1632" w:right="331" w:hanging="2"/>
        <w:jc w:val="left"/>
        <w:rPr>
          <w:sz w:val="19"/>
        </w:rPr>
      </w:pPr>
      <w:r>
        <w:rPr>
          <w:w w:val="105"/>
          <w:sz w:val="19"/>
        </w:rPr>
        <w:t>The</w:t>
      </w:r>
      <w:r>
        <w:rPr>
          <w:spacing w:val="28"/>
          <w:w w:val="105"/>
          <w:sz w:val="19"/>
        </w:rPr>
        <w:t> </w:t>
      </w:r>
      <w:r>
        <w:rPr>
          <w:w w:val="105"/>
          <w:sz w:val="19"/>
        </w:rPr>
        <w:t>Department is unique in that</w:t>
      </w:r>
      <w:r>
        <w:rPr>
          <w:spacing w:val="-9"/>
          <w:w w:val="105"/>
          <w:sz w:val="19"/>
        </w:rPr>
        <w:t> </w:t>
      </w:r>
      <w:r>
        <w:rPr>
          <w:w w:val="105"/>
          <w:sz w:val="19"/>
        </w:rPr>
        <w:t>it is</w:t>
      </w:r>
      <w:r>
        <w:rPr>
          <w:spacing w:val="-1"/>
          <w:w w:val="105"/>
          <w:sz w:val="19"/>
        </w:rPr>
        <w:t> </w:t>
      </w:r>
      <w:r>
        <w:rPr>
          <w:w w:val="105"/>
          <w:sz w:val="19"/>
        </w:rPr>
        <w:t>one</w:t>
      </w:r>
      <w:r>
        <w:rPr>
          <w:spacing w:val="-10"/>
          <w:w w:val="105"/>
          <w:sz w:val="19"/>
        </w:rPr>
        <w:t> </w:t>
      </w:r>
      <w:r>
        <w:rPr>
          <w:w w:val="105"/>
          <w:sz w:val="19"/>
        </w:rPr>
        <w:t>of the few architecture</w:t>
      </w:r>
      <w:r>
        <w:rPr>
          <w:spacing w:val="25"/>
          <w:w w:val="105"/>
          <w:sz w:val="19"/>
        </w:rPr>
        <w:t> </w:t>
      </w:r>
      <w:r>
        <w:rPr>
          <w:w w:val="105"/>
          <w:sz w:val="19"/>
        </w:rPr>
        <w:t>programs to be located on the</w:t>
      </w:r>
      <w:r>
        <w:rPr>
          <w:spacing w:val="-18"/>
          <w:w w:val="105"/>
          <w:sz w:val="19"/>
        </w:rPr>
        <w:t> </w:t>
      </w:r>
      <w:r>
        <w:rPr>
          <w:w w:val="105"/>
          <w:sz w:val="19"/>
        </w:rPr>
        <w:t>campus</w:t>
      </w:r>
      <w:r>
        <w:rPr>
          <w:spacing w:val="-1"/>
          <w:w w:val="105"/>
          <w:sz w:val="19"/>
        </w:rPr>
        <w:t> </w:t>
      </w:r>
      <w:r>
        <w:rPr>
          <w:w w:val="105"/>
          <w:sz w:val="19"/>
        </w:rPr>
        <w:t>of</w:t>
      </w:r>
      <w:r>
        <w:rPr>
          <w:spacing w:val="-3"/>
          <w:w w:val="105"/>
          <w:sz w:val="19"/>
        </w:rPr>
        <w:t> </w:t>
      </w:r>
      <w:r>
        <w:rPr>
          <w:w w:val="105"/>
          <w:sz w:val="19"/>
        </w:rPr>
        <w:t>a</w:t>
      </w:r>
      <w:r>
        <w:rPr>
          <w:spacing w:val="-3"/>
          <w:w w:val="105"/>
          <w:sz w:val="19"/>
        </w:rPr>
        <w:t> </w:t>
      </w:r>
      <w:r>
        <w:rPr>
          <w:w w:val="105"/>
          <w:sz w:val="19"/>
        </w:rPr>
        <w:t>Historically Black College</w:t>
      </w:r>
      <w:r>
        <w:rPr>
          <w:spacing w:val="-2"/>
          <w:w w:val="105"/>
          <w:sz w:val="19"/>
        </w:rPr>
        <w:t> </w:t>
      </w:r>
      <w:r>
        <w:rPr>
          <w:w w:val="105"/>
          <w:sz w:val="19"/>
        </w:rPr>
        <w:t>or University (HBCU).</w:t>
      </w:r>
      <w:r>
        <w:rPr>
          <w:spacing w:val="-5"/>
          <w:w w:val="105"/>
          <w:sz w:val="19"/>
        </w:rPr>
        <w:t> </w:t>
      </w:r>
      <w:r>
        <w:rPr>
          <w:w w:val="105"/>
          <w:sz w:val="19"/>
        </w:rPr>
        <w:t>Within</w:t>
      </w:r>
      <w:r>
        <w:rPr>
          <w:spacing w:val="-5"/>
          <w:w w:val="105"/>
          <w:sz w:val="19"/>
        </w:rPr>
        <w:t> </w:t>
      </w:r>
      <w:r>
        <w:rPr>
          <w:w w:val="105"/>
          <w:sz w:val="19"/>
        </w:rPr>
        <w:t>the</w:t>
      </w:r>
      <w:r>
        <w:rPr>
          <w:spacing w:val="-14"/>
          <w:w w:val="105"/>
          <w:sz w:val="19"/>
        </w:rPr>
        <w:t> </w:t>
      </w:r>
      <w:r>
        <w:rPr>
          <w:w w:val="105"/>
          <w:sz w:val="19"/>
        </w:rPr>
        <w:t>tradition of the HBCU, we</w:t>
      </w:r>
      <w:r>
        <w:rPr>
          <w:spacing w:val="-1"/>
          <w:w w:val="105"/>
          <w:sz w:val="19"/>
        </w:rPr>
        <w:t> </w:t>
      </w:r>
      <w:r>
        <w:rPr>
          <w:w w:val="105"/>
          <w:sz w:val="19"/>
        </w:rPr>
        <w:t>explore the questions of African American identity in design and</w:t>
      </w:r>
      <w:r>
        <w:rPr>
          <w:spacing w:val="-5"/>
          <w:w w:val="105"/>
          <w:sz w:val="19"/>
        </w:rPr>
        <w:t> </w:t>
      </w:r>
      <w:r>
        <w:rPr>
          <w:w w:val="105"/>
          <w:sz w:val="19"/>
        </w:rPr>
        <w:t>other cultural, technical and social factors in architecture.</w:t>
      </w:r>
      <w:r>
        <w:rPr>
          <w:spacing w:val="39"/>
          <w:w w:val="105"/>
          <w:sz w:val="19"/>
        </w:rPr>
        <w:t> </w:t>
      </w:r>
      <w:r>
        <w:rPr>
          <w:w w:val="105"/>
          <w:sz w:val="19"/>
        </w:rPr>
        <w:t>We provide the</w:t>
      </w:r>
      <w:r>
        <w:rPr>
          <w:spacing w:val="-6"/>
          <w:w w:val="105"/>
          <w:sz w:val="19"/>
        </w:rPr>
        <w:t> </w:t>
      </w:r>
      <w:r>
        <w:rPr>
          <w:w w:val="105"/>
          <w:sz w:val="19"/>
        </w:rPr>
        <w:t>educational</w:t>
      </w:r>
      <w:r>
        <w:rPr>
          <w:w w:val="105"/>
          <w:sz w:val="19"/>
        </w:rPr>
        <w:t> framework</w:t>
      </w:r>
      <w:r>
        <w:rPr>
          <w:spacing w:val="22"/>
          <w:w w:val="105"/>
          <w:sz w:val="19"/>
        </w:rPr>
        <w:t> </w:t>
      </w:r>
      <w:r>
        <w:rPr>
          <w:w w:val="105"/>
          <w:sz w:val="19"/>
        </w:rPr>
        <w:t>for</w:t>
      </w:r>
      <w:r>
        <w:rPr>
          <w:spacing w:val="-3"/>
          <w:w w:val="105"/>
          <w:sz w:val="19"/>
        </w:rPr>
        <w:t> </w:t>
      </w:r>
      <w:r>
        <w:rPr>
          <w:w w:val="105"/>
          <w:sz w:val="19"/>
        </w:rPr>
        <w:t>the</w:t>
      </w:r>
      <w:r>
        <w:rPr>
          <w:spacing w:val="-8"/>
          <w:w w:val="105"/>
          <w:sz w:val="19"/>
        </w:rPr>
        <w:t> </w:t>
      </w:r>
      <w:r>
        <w:rPr>
          <w:w w:val="105"/>
          <w:sz w:val="19"/>
        </w:rPr>
        <w:t>emerging leadership</w:t>
      </w:r>
      <w:r>
        <w:rPr>
          <w:spacing w:val="-5"/>
          <w:w w:val="105"/>
          <w:sz w:val="19"/>
        </w:rPr>
        <w:t> </w:t>
      </w:r>
      <w:r>
        <w:rPr>
          <w:w w:val="105"/>
          <w:sz w:val="19"/>
        </w:rPr>
        <w:t>roles</w:t>
      </w:r>
      <w:r>
        <w:rPr>
          <w:spacing w:val="-6"/>
          <w:w w:val="105"/>
          <w:sz w:val="19"/>
        </w:rPr>
        <w:t> </w:t>
      </w:r>
      <w:r>
        <w:rPr>
          <w:w w:val="105"/>
          <w:sz w:val="19"/>
        </w:rPr>
        <w:t>of the</w:t>
      </w:r>
      <w:r>
        <w:rPr>
          <w:spacing w:val="-7"/>
          <w:w w:val="105"/>
          <w:sz w:val="19"/>
        </w:rPr>
        <w:t> </w:t>
      </w:r>
      <w:r>
        <w:rPr>
          <w:w w:val="105"/>
          <w:sz w:val="19"/>
        </w:rPr>
        <w:t>student</w:t>
      </w:r>
      <w:r>
        <w:rPr>
          <w:spacing w:val="-3"/>
          <w:w w:val="105"/>
          <w:sz w:val="19"/>
        </w:rPr>
        <w:t> </w:t>
      </w:r>
      <w:r>
        <w:rPr>
          <w:w w:val="105"/>
          <w:sz w:val="19"/>
        </w:rPr>
        <w:t>architect</w:t>
      </w:r>
      <w:r>
        <w:rPr>
          <w:spacing w:val="-1"/>
          <w:w w:val="105"/>
          <w:sz w:val="19"/>
        </w:rPr>
        <w:t> </w:t>
      </w:r>
      <w:r>
        <w:rPr>
          <w:w w:val="105"/>
          <w:sz w:val="19"/>
        </w:rPr>
        <w:t>in the</w:t>
      </w:r>
      <w:r>
        <w:rPr>
          <w:spacing w:val="-14"/>
          <w:w w:val="105"/>
          <w:sz w:val="19"/>
        </w:rPr>
        <w:t> </w:t>
      </w:r>
      <w:r>
        <w:rPr>
          <w:w w:val="105"/>
          <w:sz w:val="19"/>
        </w:rPr>
        <w:t>profession and society. Our rich</w:t>
      </w:r>
      <w:r>
        <w:rPr>
          <w:spacing w:val="-4"/>
          <w:w w:val="105"/>
          <w:sz w:val="19"/>
        </w:rPr>
        <w:t> </w:t>
      </w:r>
      <w:r>
        <w:rPr>
          <w:w w:val="105"/>
          <w:sz w:val="19"/>
        </w:rPr>
        <w:t>and</w:t>
      </w:r>
      <w:r>
        <w:rPr>
          <w:spacing w:val="-1"/>
          <w:w w:val="105"/>
          <w:sz w:val="19"/>
        </w:rPr>
        <w:t> </w:t>
      </w:r>
      <w:r>
        <w:rPr>
          <w:w w:val="105"/>
          <w:sz w:val="19"/>
        </w:rPr>
        <w:t>diverse</w:t>
      </w:r>
      <w:r>
        <w:rPr>
          <w:spacing w:val="17"/>
          <w:w w:val="105"/>
          <w:sz w:val="19"/>
        </w:rPr>
        <w:t> </w:t>
      </w:r>
      <w:r>
        <w:rPr>
          <w:w w:val="105"/>
          <w:sz w:val="19"/>
        </w:rPr>
        <w:t>student and faculty</w:t>
      </w:r>
      <w:r>
        <w:rPr>
          <w:spacing w:val="25"/>
          <w:w w:val="105"/>
          <w:sz w:val="19"/>
        </w:rPr>
        <w:t> </w:t>
      </w:r>
      <w:r>
        <w:rPr>
          <w:w w:val="105"/>
          <w:sz w:val="19"/>
        </w:rPr>
        <w:t>backgrounds</w:t>
      </w:r>
      <w:r>
        <w:rPr>
          <w:spacing w:val="30"/>
          <w:w w:val="105"/>
          <w:sz w:val="19"/>
        </w:rPr>
        <w:t> </w:t>
      </w:r>
      <w:r>
        <w:rPr>
          <w:w w:val="105"/>
          <w:sz w:val="19"/>
        </w:rPr>
        <w:t>allow us to contribute</w:t>
      </w:r>
      <w:r>
        <w:rPr>
          <w:spacing w:val="22"/>
          <w:w w:val="105"/>
          <w:sz w:val="19"/>
        </w:rPr>
        <w:t> </w:t>
      </w:r>
      <w:r>
        <w:rPr>
          <w:w w:val="105"/>
          <w:sz w:val="19"/>
        </w:rPr>
        <w:t>to the awareness of, and ability to work with, diverse groups.</w:t>
      </w:r>
    </w:p>
    <w:p>
      <w:pPr>
        <w:pStyle w:val="BodyText"/>
        <w:spacing w:before="3"/>
      </w:pPr>
    </w:p>
    <w:p>
      <w:pPr>
        <w:spacing w:line="252" w:lineRule="auto" w:before="0"/>
        <w:ind w:left="1632" w:right="373" w:firstLine="3"/>
        <w:jc w:val="left"/>
        <w:rPr>
          <w:sz w:val="19"/>
        </w:rPr>
      </w:pPr>
      <w:r>
        <w:rPr>
          <w:w w:val="105"/>
          <w:sz w:val="19"/>
        </w:rPr>
        <w:t>Architecture programs at HBCU institutions offer something the</w:t>
      </w:r>
      <w:r>
        <w:rPr>
          <w:spacing w:val="-7"/>
          <w:w w:val="105"/>
          <w:sz w:val="19"/>
        </w:rPr>
        <w:t> </w:t>
      </w:r>
      <w:r>
        <w:rPr>
          <w:w w:val="105"/>
          <w:sz w:val="19"/>
        </w:rPr>
        <w:t>mainstream</w:t>
      </w:r>
      <w:r>
        <w:rPr>
          <w:spacing w:val="26"/>
          <w:w w:val="105"/>
          <w:sz w:val="19"/>
        </w:rPr>
        <w:t> </w:t>
      </w:r>
      <w:r>
        <w:rPr>
          <w:w w:val="105"/>
          <w:sz w:val="19"/>
        </w:rPr>
        <w:t>schools in</w:t>
      </w:r>
      <w:r>
        <w:rPr>
          <w:w w:val="105"/>
          <w:sz w:val="19"/>
        </w:rPr>
        <w:t> the</w:t>
      </w:r>
      <w:r>
        <w:rPr>
          <w:spacing w:val="34"/>
          <w:w w:val="105"/>
          <w:sz w:val="19"/>
        </w:rPr>
        <w:t> </w:t>
      </w:r>
      <w:r>
        <w:rPr>
          <w:w w:val="105"/>
          <w:sz w:val="19"/>
        </w:rPr>
        <w:t>nation do</w:t>
      </w:r>
      <w:r>
        <w:rPr>
          <w:spacing w:val="-4"/>
          <w:w w:val="105"/>
          <w:sz w:val="19"/>
        </w:rPr>
        <w:t> </w:t>
      </w:r>
      <w:r>
        <w:rPr>
          <w:w w:val="105"/>
          <w:sz w:val="19"/>
        </w:rPr>
        <w:t>not: of 123 total</w:t>
      </w:r>
      <w:r>
        <w:rPr>
          <w:spacing w:val="-1"/>
          <w:w w:val="105"/>
          <w:sz w:val="19"/>
        </w:rPr>
        <w:t> </w:t>
      </w:r>
      <w:r>
        <w:rPr>
          <w:w w:val="105"/>
          <w:sz w:val="19"/>
        </w:rPr>
        <w:t>architecture programs, the seven accredited HBCU architecture programs currently enroll</w:t>
      </w:r>
      <w:r>
        <w:rPr>
          <w:spacing w:val="-2"/>
          <w:w w:val="105"/>
          <w:sz w:val="19"/>
        </w:rPr>
        <w:t> </w:t>
      </w:r>
      <w:r>
        <w:rPr>
          <w:w w:val="105"/>
          <w:sz w:val="19"/>
        </w:rPr>
        <w:t>approximately 45</w:t>
      </w:r>
      <w:r>
        <w:rPr>
          <w:spacing w:val="-8"/>
          <w:w w:val="105"/>
          <w:sz w:val="19"/>
        </w:rPr>
        <w:t> </w:t>
      </w:r>
      <w:r>
        <w:rPr>
          <w:w w:val="105"/>
          <w:sz w:val="19"/>
        </w:rPr>
        <w:t>percent of alt</w:t>
      </w:r>
      <w:r>
        <w:rPr>
          <w:spacing w:val="-2"/>
          <w:w w:val="105"/>
          <w:sz w:val="19"/>
        </w:rPr>
        <w:t> </w:t>
      </w:r>
      <w:r>
        <w:rPr>
          <w:w w:val="105"/>
          <w:sz w:val="19"/>
        </w:rPr>
        <w:t>Black students working toward architecture degrees. Roughly half of the</w:t>
      </w:r>
      <w:r>
        <w:rPr>
          <w:spacing w:val="-8"/>
          <w:w w:val="105"/>
          <w:sz w:val="19"/>
        </w:rPr>
        <w:t> </w:t>
      </w:r>
      <w:r>
        <w:rPr>
          <w:w w:val="105"/>
          <w:sz w:val="19"/>
        </w:rPr>
        <w:t>1,659 Black licensed architects in</w:t>
      </w:r>
      <w:r>
        <w:rPr>
          <w:spacing w:val="30"/>
          <w:w w:val="105"/>
          <w:sz w:val="19"/>
        </w:rPr>
        <w:t> </w:t>
      </w:r>
      <w:r>
        <w:rPr>
          <w:w w:val="105"/>
          <w:sz w:val="19"/>
        </w:rPr>
        <w:t>the</w:t>
      </w:r>
      <w:r>
        <w:rPr>
          <w:spacing w:val="-6"/>
          <w:w w:val="105"/>
          <w:sz w:val="19"/>
        </w:rPr>
        <w:t> </w:t>
      </w:r>
      <w:r>
        <w:rPr>
          <w:w w:val="105"/>
          <w:sz w:val="19"/>
        </w:rPr>
        <w:t>U.S. attended HBCU institutions.</w:t>
      </w:r>
      <w:r>
        <w:rPr>
          <w:spacing w:val="29"/>
          <w:w w:val="105"/>
          <w:sz w:val="19"/>
        </w:rPr>
        <w:t> </w:t>
      </w:r>
      <w:r>
        <w:rPr>
          <w:w w:val="105"/>
          <w:sz w:val="19"/>
        </w:rPr>
        <w:t>Eighty Seven</w:t>
      </w:r>
      <w:r>
        <w:rPr>
          <w:spacing w:val="-5"/>
          <w:w w:val="105"/>
          <w:sz w:val="19"/>
        </w:rPr>
        <w:t> </w:t>
      </w:r>
      <w:r>
        <w:rPr>
          <w:w w:val="105"/>
          <w:sz w:val="19"/>
        </w:rPr>
        <w:t>(87), or 5.24 percent,</w:t>
      </w:r>
      <w:r>
        <w:rPr>
          <w:spacing w:val="20"/>
          <w:w w:val="105"/>
          <w:sz w:val="19"/>
        </w:rPr>
        <w:t> </w:t>
      </w:r>
      <w:r>
        <w:rPr>
          <w:w w:val="105"/>
          <w:sz w:val="19"/>
        </w:rPr>
        <w:t>were educated at Hampton University. The</w:t>
      </w:r>
      <w:r>
        <w:rPr>
          <w:spacing w:val="-1"/>
          <w:w w:val="105"/>
          <w:sz w:val="19"/>
        </w:rPr>
        <w:t> </w:t>
      </w:r>
      <w:r>
        <w:rPr>
          <w:w w:val="105"/>
          <w:sz w:val="19"/>
        </w:rPr>
        <w:t>architectural</w:t>
      </w:r>
      <w:r>
        <w:rPr>
          <w:spacing w:val="27"/>
          <w:w w:val="105"/>
          <w:sz w:val="19"/>
        </w:rPr>
        <w:t> </w:t>
      </w:r>
      <w:r>
        <w:rPr>
          <w:w w:val="105"/>
          <w:sz w:val="19"/>
        </w:rPr>
        <w:t>program</w:t>
      </w:r>
      <w:r>
        <w:rPr>
          <w:spacing w:val="20"/>
          <w:w w:val="105"/>
          <w:sz w:val="19"/>
        </w:rPr>
        <w:t> </w:t>
      </w:r>
      <w:r>
        <w:rPr>
          <w:w w:val="105"/>
          <w:sz w:val="19"/>
        </w:rPr>
        <w:t>at</w:t>
      </w:r>
      <w:r>
        <w:rPr>
          <w:spacing w:val="-5"/>
          <w:w w:val="105"/>
          <w:sz w:val="19"/>
        </w:rPr>
        <w:t> </w:t>
      </w:r>
      <w:r>
        <w:rPr>
          <w:w w:val="105"/>
          <w:sz w:val="19"/>
        </w:rPr>
        <w:t>Hampton University,</w:t>
      </w:r>
      <w:r>
        <w:rPr>
          <w:spacing w:val="21"/>
          <w:w w:val="105"/>
          <w:sz w:val="19"/>
        </w:rPr>
        <w:t> </w:t>
      </w:r>
      <w:r>
        <w:rPr>
          <w:w w:val="105"/>
          <w:sz w:val="19"/>
        </w:rPr>
        <w:t>and at the other HBCU institutions meet two</w:t>
      </w:r>
      <w:r>
        <w:rPr>
          <w:spacing w:val="-6"/>
          <w:w w:val="105"/>
          <w:sz w:val="19"/>
        </w:rPr>
        <w:t> </w:t>
      </w:r>
      <w:r>
        <w:rPr>
          <w:w w:val="105"/>
          <w:sz w:val="19"/>
        </w:rPr>
        <w:t>distinct agendas: the mission of educating architects, and</w:t>
      </w:r>
      <w:r>
        <w:rPr>
          <w:spacing w:val="-12"/>
          <w:w w:val="105"/>
          <w:sz w:val="19"/>
        </w:rPr>
        <w:t> </w:t>
      </w:r>
      <w:r>
        <w:rPr>
          <w:w w:val="105"/>
          <w:sz w:val="19"/>
        </w:rPr>
        <w:t>that</w:t>
      </w:r>
      <w:r>
        <w:rPr>
          <w:spacing w:val="-12"/>
          <w:w w:val="105"/>
          <w:sz w:val="19"/>
        </w:rPr>
        <w:t> </w:t>
      </w:r>
      <w:r>
        <w:rPr>
          <w:w w:val="105"/>
          <w:sz w:val="19"/>
        </w:rPr>
        <w:t>of educating Black students. HBCU</w:t>
      </w:r>
      <w:r>
        <w:rPr>
          <w:spacing w:val="-10"/>
          <w:w w:val="105"/>
          <w:sz w:val="19"/>
        </w:rPr>
        <w:t> </w:t>
      </w:r>
      <w:r>
        <w:rPr>
          <w:w w:val="105"/>
          <w:sz w:val="19"/>
        </w:rPr>
        <w:t>pedagogy must</w:t>
      </w:r>
      <w:r>
        <w:rPr>
          <w:spacing w:val="-17"/>
          <w:w w:val="105"/>
          <w:sz w:val="19"/>
        </w:rPr>
        <w:t> </w:t>
      </w:r>
      <w:r>
        <w:rPr>
          <w:w w:val="105"/>
          <w:sz w:val="19"/>
        </w:rPr>
        <w:t>balance issues</w:t>
      </w:r>
      <w:r>
        <w:rPr>
          <w:spacing w:val="-3"/>
          <w:w w:val="105"/>
          <w:sz w:val="19"/>
        </w:rPr>
        <w:t> </w:t>
      </w:r>
      <w:r>
        <w:rPr>
          <w:w w:val="105"/>
          <w:sz w:val="19"/>
        </w:rPr>
        <w:t>of</w:t>
      </w:r>
    </w:p>
    <w:p>
      <w:pPr>
        <w:pStyle w:val="BodyText"/>
      </w:pPr>
    </w:p>
    <w:p>
      <w:pPr>
        <w:pStyle w:val="BodyText"/>
      </w:pPr>
    </w:p>
    <w:p>
      <w:pPr>
        <w:pStyle w:val="BodyText"/>
        <w:spacing w:before="9"/>
        <w:rPr>
          <w:sz w:val="19"/>
        </w:rPr>
      </w:pPr>
      <w:r>
        <w:rPr/>
        <w:pict>
          <v:shape style="position:absolute;margin-left:63.597477pt;margin-top:12.574072pt;width:453.9pt;height:.1pt;mso-position-horizontal-relative:page;mso-position-vertical-relative:paragraph;z-index:-15691776;mso-wrap-distance-left:0;mso-wrap-distance-right:0" id="docshape678" coordorigin="1272,251" coordsize="9078,0" path="m1272,251l10349,251e" filled="false" stroked="true" strokeweight=".481434pt" strokecolor="#000000">
            <v:path arrowok="t"/>
            <v:stroke dashstyle="solid"/>
            <w10:wrap type="topAndBottom"/>
          </v:shape>
        </w:pict>
      </w:r>
    </w:p>
    <w:p>
      <w:pPr>
        <w:spacing w:line="200" w:lineRule="exact" w:before="0"/>
        <w:ind w:left="192" w:right="0" w:firstLine="0"/>
        <w:jc w:val="left"/>
        <w:rPr>
          <w:sz w:val="19"/>
        </w:rPr>
      </w:pPr>
      <w:r>
        <w:rPr>
          <w:spacing w:val="-5"/>
          <w:w w:val="105"/>
          <w:sz w:val="19"/>
        </w:rPr>
        <w:t>30</w:t>
      </w:r>
    </w:p>
    <w:p>
      <w:pPr>
        <w:spacing w:after="0" w:line="200" w:lineRule="exact"/>
        <w:jc w:val="left"/>
        <w:rPr>
          <w:sz w:val="19"/>
        </w:rPr>
        <w:sectPr>
          <w:headerReference w:type="default" r:id="rId417"/>
          <w:footerReference w:type="default" r:id="rId418"/>
          <w:pgSz w:w="12180" w:h="15820"/>
          <w:pgMar w:header="646" w:footer="0" w:top="1080" w:bottom="280" w:left="1120" w:right="1180"/>
        </w:sectPr>
      </w:pPr>
    </w:p>
    <w:p>
      <w:pPr>
        <w:pStyle w:val="BodyText"/>
        <w:spacing w:before="9"/>
        <w:rPr>
          <w:sz w:val="24"/>
        </w:rPr>
      </w:pPr>
    </w:p>
    <w:p>
      <w:pPr>
        <w:spacing w:line="276" w:lineRule="auto" w:before="95"/>
        <w:ind w:left="1686" w:right="0" w:hanging="1"/>
        <w:jc w:val="left"/>
        <w:rPr>
          <w:sz w:val="19"/>
        </w:rPr>
      </w:pPr>
      <w:r>
        <w:rPr>
          <w:w w:val="105"/>
          <w:sz w:val="19"/>
        </w:rPr>
        <w:t>ethnicity,</w:t>
      </w:r>
      <w:r>
        <w:rPr>
          <w:spacing w:val="-1"/>
          <w:w w:val="105"/>
          <w:sz w:val="19"/>
        </w:rPr>
        <w:t> </w:t>
      </w:r>
      <w:r>
        <w:rPr>
          <w:w w:val="105"/>
          <w:sz w:val="19"/>
        </w:rPr>
        <w:t>race</w:t>
      </w:r>
      <w:r>
        <w:rPr>
          <w:spacing w:val="-3"/>
          <w:w w:val="105"/>
          <w:sz w:val="19"/>
        </w:rPr>
        <w:t> </w:t>
      </w:r>
      <w:r>
        <w:rPr>
          <w:w w:val="105"/>
          <w:sz w:val="19"/>
        </w:rPr>
        <w:t>and</w:t>
      </w:r>
      <w:r>
        <w:rPr>
          <w:spacing w:val="-1"/>
          <w:w w:val="105"/>
          <w:sz w:val="19"/>
        </w:rPr>
        <w:t> </w:t>
      </w:r>
      <w:r>
        <w:rPr>
          <w:w w:val="105"/>
          <w:sz w:val="19"/>
        </w:rPr>
        <w:t>culture with</w:t>
      </w:r>
      <w:r>
        <w:rPr>
          <w:spacing w:val="-7"/>
          <w:w w:val="105"/>
          <w:sz w:val="19"/>
        </w:rPr>
        <w:t> </w:t>
      </w:r>
      <w:r>
        <w:rPr>
          <w:w w:val="105"/>
          <w:sz w:val="19"/>
        </w:rPr>
        <w:t>the</w:t>
      </w:r>
      <w:r>
        <w:rPr>
          <w:spacing w:val="-3"/>
          <w:w w:val="105"/>
          <w:sz w:val="19"/>
        </w:rPr>
        <w:t> </w:t>
      </w:r>
      <w:r>
        <w:rPr>
          <w:w w:val="105"/>
          <w:sz w:val="19"/>
        </w:rPr>
        <w:t>gamut</w:t>
      </w:r>
      <w:r>
        <w:rPr>
          <w:spacing w:val="-2"/>
          <w:w w:val="105"/>
          <w:sz w:val="19"/>
        </w:rPr>
        <w:t> </w:t>
      </w:r>
      <w:r>
        <w:rPr>
          <w:w w:val="105"/>
          <w:sz w:val="19"/>
        </w:rPr>
        <w:t>of theoretical and</w:t>
      </w:r>
      <w:r>
        <w:rPr>
          <w:spacing w:val="-7"/>
          <w:w w:val="105"/>
          <w:sz w:val="19"/>
        </w:rPr>
        <w:t> </w:t>
      </w:r>
      <w:r>
        <w:rPr>
          <w:w w:val="105"/>
          <w:sz w:val="19"/>
        </w:rPr>
        <w:t>practical topics required in </w:t>
      </w:r>
      <w:r>
        <w:rPr>
          <w:spacing w:val="-2"/>
          <w:w w:val="105"/>
          <w:sz w:val="19"/>
        </w:rPr>
        <w:t>architecture.</w:t>
      </w:r>
    </w:p>
    <w:p>
      <w:pPr>
        <w:pStyle w:val="BodyText"/>
      </w:pPr>
    </w:p>
    <w:p>
      <w:pPr>
        <w:pStyle w:val="BodyText"/>
        <w:spacing w:before="4"/>
        <w:rPr>
          <w:sz w:val="18"/>
        </w:rPr>
      </w:pPr>
    </w:p>
    <w:p>
      <w:pPr>
        <w:pStyle w:val="ListParagraph"/>
        <w:numPr>
          <w:ilvl w:val="0"/>
          <w:numId w:val="79"/>
        </w:numPr>
        <w:tabs>
          <w:tab w:pos="1688" w:val="left" w:leader="none"/>
          <w:tab w:pos="1689" w:val="left" w:leader="none"/>
        </w:tabs>
        <w:spacing w:line="240" w:lineRule="auto" w:before="0" w:after="0"/>
        <w:ind w:left="1688" w:right="0" w:hanging="717"/>
        <w:jc w:val="left"/>
        <w:rPr>
          <w:sz w:val="19"/>
        </w:rPr>
      </w:pPr>
      <w:r>
        <w:rPr>
          <w:w w:val="110"/>
          <w:sz w:val="19"/>
        </w:rPr>
        <w:t>Program</w:t>
      </w:r>
      <w:r>
        <w:rPr>
          <w:spacing w:val="-15"/>
          <w:w w:val="110"/>
          <w:sz w:val="19"/>
        </w:rPr>
        <w:t> </w:t>
      </w:r>
      <w:r>
        <w:rPr>
          <w:w w:val="110"/>
          <w:sz w:val="19"/>
        </w:rPr>
        <w:t>Serf</w:t>
      </w:r>
      <w:r>
        <w:rPr>
          <w:spacing w:val="2"/>
          <w:w w:val="110"/>
          <w:sz w:val="19"/>
        </w:rPr>
        <w:t> </w:t>
      </w:r>
      <w:r>
        <w:rPr>
          <w:spacing w:val="-2"/>
          <w:w w:val="110"/>
          <w:sz w:val="19"/>
        </w:rPr>
        <w:t>Assessment</w:t>
      </w:r>
    </w:p>
    <w:p>
      <w:pPr>
        <w:pStyle w:val="BodyText"/>
        <w:spacing w:before="8"/>
        <w:rPr>
          <w:sz w:val="18"/>
        </w:rPr>
      </w:pPr>
    </w:p>
    <w:p>
      <w:pPr>
        <w:spacing w:line="276" w:lineRule="auto" w:before="0"/>
        <w:ind w:left="1688" w:right="475" w:firstLine="19"/>
        <w:jc w:val="left"/>
        <w:rPr>
          <w:sz w:val="19"/>
        </w:rPr>
      </w:pPr>
      <w:r>
        <w:rPr>
          <w:w w:val="105"/>
          <w:sz w:val="21"/>
        </w:rPr>
        <w:t>The</w:t>
      </w:r>
      <w:r>
        <w:rPr>
          <w:spacing w:val="-16"/>
          <w:w w:val="105"/>
          <w:sz w:val="21"/>
        </w:rPr>
        <w:t> </w:t>
      </w:r>
      <w:r>
        <w:rPr>
          <w:i/>
          <w:w w:val="105"/>
          <w:sz w:val="19"/>
        </w:rPr>
        <w:t>following</w:t>
      </w:r>
      <w:r>
        <w:rPr>
          <w:i/>
          <w:spacing w:val="-6"/>
          <w:w w:val="105"/>
          <w:sz w:val="19"/>
        </w:rPr>
        <w:t> </w:t>
      </w:r>
      <w:r>
        <w:rPr>
          <w:i/>
          <w:w w:val="105"/>
          <w:sz w:val="19"/>
        </w:rPr>
        <w:t>text</w:t>
      </w:r>
      <w:r>
        <w:rPr>
          <w:i/>
          <w:spacing w:val="-13"/>
          <w:w w:val="105"/>
          <w:sz w:val="19"/>
        </w:rPr>
        <w:t> </w:t>
      </w:r>
      <w:r>
        <w:rPr>
          <w:i/>
          <w:w w:val="105"/>
          <w:sz w:val="19"/>
        </w:rPr>
        <w:t>is</w:t>
      </w:r>
      <w:r>
        <w:rPr>
          <w:i/>
          <w:spacing w:val="-12"/>
          <w:w w:val="105"/>
          <w:sz w:val="19"/>
        </w:rPr>
        <w:t> </w:t>
      </w:r>
      <w:r>
        <w:rPr>
          <w:i/>
          <w:w w:val="105"/>
          <w:sz w:val="19"/>
        </w:rPr>
        <w:t>taken</w:t>
      </w:r>
      <w:r>
        <w:rPr>
          <w:i/>
          <w:spacing w:val="-6"/>
          <w:w w:val="105"/>
          <w:sz w:val="19"/>
        </w:rPr>
        <w:t> </w:t>
      </w:r>
      <w:r>
        <w:rPr>
          <w:i/>
          <w:w w:val="105"/>
          <w:sz w:val="19"/>
        </w:rPr>
        <w:t>from</w:t>
      </w:r>
      <w:r>
        <w:rPr>
          <w:i/>
          <w:spacing w:val="-3"/>
          <w:w w:val="105"/>
          <w:sz w:val="19"/>
        </w:rPr>
        <w:t> </w:t>
      </w:r>
      <w:r>
        <w:rPr>
          <w:w w:val="105"/>
          <w:sz w:val="19"/>
        </w:rPr>
        <w:t>the</w:t>
      </w:r>
      <w:r>
        <w:rPr>
          <w:spacing w:val="-14"/>
          <w:w w:val="105"/>
          <w:sz w:val="19"/>
        </w:rPr>
        <w:t> </w:t>
      </w:r>
      <w:r>
        <w:rPr>
          <w:i/>
          <w:w w:val="105"/>
          <w:sz w:val="19"/>
        </w:rPr>
        <w:t>2009</w:t>
      </w:r>
      <w:r>
        <w:rPr>
          <w:i/>
          <w:spacing w:val="-14"/>
          <w:w w:val="105"/>
          <w:sz w:val="19"/>
        </w:rPr>
        <w:t> </w:t>
      </w:r>
      <w:r>
        <w:rPr>
          <w:i/>
          <w:w w:val="105"/>
          <w:sz w:val="19"/>
        </w:rPr>
        <w:t>Hampton University </w:t>
      </w:r>
      <w:r>
        <w:rPr>
          <w:w w:val="105"/>
          <w:sz w:val="19"/>
        </w:rPr>
        <w:t>Architecture Program </w:t>
      </w:r>
      <w:r>
        <w:rPr>
          <w:spacing w:val="-2"/>
          <w:w w:val="105"/>
          <w:sz w:val="19"/>
        </w:rPr>
        <w:t>Report</w:t>
      </w:r>
    </w:p>
    <w:p>
      <w:pPr>
        <w:spacing w:line="254" w:lineRule="auto" w:before="165"/>
        <w:ind w:left="1690" w:right="311" w:firstLine="3"/>
        <w:jc w:val="left"/>
        <w:rPr>
          <w:sz w:val="19"/>
        </w:rPr>
      </w:pPr>
      <w:r>
        <w:rPr>
          <w:w w:val="105"/>
          <w:sz w:val="22"/>
        </w:rPr>
        <w:t>As</w:t>
      </w:r>
      <w:r>
        <w:rPr>
          <w:spacing w:val="-15"/>
          <w:w w:val="105"/>
          <w:sz w:val="22"/>
        </w:rPr>
        <w:t> </w:t>
      </w:r>
      <w:r>
        <w:rPr>
          <w:w w:val="105"/>
          <w:sz w:val="19"/>
        </w:rPr>
        <w:t>stated</w:t>
      </w:r>
      <w:r>
        <w:rPr>
          <w:spacing w:val="-4"/>
          <w:w w:val="105"/>
          <w:sz w:val="19"/>
        </w:rPr>
        <w:t> </w:t>
      </w:r>
      <w:r>
        <w:rPr>
          <w:w w:val="105"/>
          <w:sz w:val="19"/>
        </w:rPr>
        <w:t>in the</w:t>
      </w:r>
      <w:r>
        <w:rPr>
          <w:spacing w:val="-6"/>
          <w:w w:val="105"/>
          <w:sz w:val="19"/>
        </w:rPr>
        <w:t> </w:t>
      </w:r>
      <w:r>
        <w:rPr>
          <w:w w:val="105"/>
          <w:sz w:val="19"/>
        </w:rPr>
        <w:t>Department Mission Statement and</w:t>
      </w:r>
      <w:r>
        <w:rPr>
          <w:spacing w:val="-4"/>
          <w:w w:val="105"/>
          <w:sz w:val="19"/>
        </w:rPr>
        <w:t> </w:t>
      </w:r>
      <w:r>
        <w:rPr>
          <w:w w:val="105"/>
          <w:sz w:val="19"/>
        </w:rPr>
        <w:t>Statement of Purpose, we are dedicated through</w:t>
      </w:r>
      <w:r>
        <w:rPr>
          <w:spacing w:val="-9"/>
          <w:w w:val="105"/>
          <w:sz w:val="19"/>
        </w:rPr>
        <w:t> </w:t>
      </w:r>
      <w:r>
        <w:rPr>
          <w:w w:val="105"/>
          <w:sz w:val="19"/>
        </w:rPr>
        <w:t>teaching, research, and service to the</w:t>
      </w:r>
      <w:r>
        <w:rPr>
          <w:spacing w:val="-12"/>
          <w:w w:val="105"/>
          <w:sz w:val="19"/>
        </w:rPr>
        <w:t> </w:t>
      </w:r>
      <w:r>
        <w:rPr>
          <w:w w:val="105"/>
          <w:sz w:val="19"/>
        </w:rPr>
        <w:t>development of critical</w:t>
      </w:r>
      <w:r>
        <w:rPr>
          <w:spacing w:val="-2"/>
          <w:w w:val="105"/>
          <w:sz w:val="19"/>
        </w:rPr>
        <w:t> </w:t>
      </w:r>
      <w:r>
        <w:rPr>
          <w:w w:val="105"/>
          <w:sz w:val="19"/>
        </w:rPr>
        <w:t>inquiry, the</w:t>
      </w:r>
      <w:r>
        <w:rPr>
          <w:spacing w:val="-4"/>
          <w:w w:val="105"/>
          <w:sz w:val="19"/>
        </w:rPr>
        <w:t> </w:t>
      </w:r>
      <w:r>
        <w:rPr>
          <w:w w:val="105"/>
          <w:sz w:val="19"/>
        </w:rPr>
        <w:t>provision of a professional and technical education, and to the education</w:t>
      </w:r>
      <w:r>
        <w:rPr>
          <w:spacing w:val="-6"/>
          <w:w w:val="105"/>
          <w:sz w:val="19"/>
        </w:rPr>
        <w:t> </w:t>
      </w:r>
      <w:r>
        <w:rPr>
          <w:w w:val="105"/>
          <w:sz w:val="19"/>
        </w:rPr>
        <w:t>of future leaders</w:t>
      </w:r>
      <w:r>
        <w:rPr>
          <w:spacing w:val="-6"/>
          <w:w w:val="105"/>
          <w:sz w:val="19"/>
        </w:rPr>
        <w:t> </w:t>
      </w:r>
      <w:r>
        <w:rPr>
          <w:w w:val="105"/>
          <w:sz w:val="19"/>
        </w:rPr>
        <w:t>in our goal</w:t>
      </w:r>
      <w:r>
        <w:rPr>
          <w:spacing w:val="-20"/>
          <w:w w:val="105"/>
          <w:sz w:val="19"/>
        </w:rPr>
        <w:t> </w:t>
      </w:r>
      <w:r>
        <w:rPr>
          <w:w w:val="105"/>
          <w:sz w:val="19"/>
        </w:rPr>
        <w:t>of</w:t>
      </w:r>
      <w:r>
        <w:rPr>
          <w:spacing w:val="-11"/>
          <w:w w:val="105"/>
          <w:sz w:val="19"/>
        </w:rPr>
        <w:t> </w:t>
      </w:r>
      <w:r>
        <w:rPr>
          <w:w w:val="105"/>
          <w:sz w:val="19"/>
        </w:rPr>
        <w:t>"promoting a global</w:t>
      </w:r>
      <w:r>
        <w:rPr>
          <w:spacing w:val="-16"/>
          <w:w w:val="105"/>
          <w:sz w:val="19"/>
        </w:rPr>
        <w:t> </w:t>
      </w:r>
      <w:r>
        <w:rPr>
          <w:w w:val="105"/>
          <w:sz w:val="19"/>
        </w:rPr>
        <w:t>environmental sensitivity and</w:t>
      </w:r>
      <w:r>
        <w:rPr>
          <w:spacing w:val="-7"/>
          <w:w w:val="105"/>
          <w:sz w:val="19"/>
        </w:rPr>
        <w:t> </w:t>
      </w:r>
      <w:r>
        <w:rPr>
          <w:w w:val="105"/>
          <w:sz w:val="19"/>
        </w:rPr>
        <w:t>to</w:t>
      </w:r>
      <w:r>
        <w:rPr>
          <w:spacing w:val="-5"/>
          <w:w w:val="105"/>
          <w:sz w:val="19"/>
        </w:rPr>
        <w:t> </w:t>
      </w:r>
      <w:r>
        <w:rPr>
          <w:w w:val="105"/>
          <w:sz w:val="19"/>
        </w:rPr>
        <w:t>developing an ability and desire in students to</w:t>
      </w:r>
      <w:r>
        <w:rPr>
          <w:spacing w:val="-1"/>
          <w:w w:val="105"/>
          <w:sz w:val="19"/>
        </w:rPr>
        <w:t> </w:t>
      </w:r>
      <w:r>
        <w:rPr>
          <w:w w:val="105"/>
          <w:sz w:val="19"/>
        </w:rPr>
        <w:t>help bring about important social and environmental change, especially in transitional urban areas and</w:t>
      </w:r>
      <w:r>
        <w:rPr>
          <w:spacing w:val="-3"/>
          <w:w w:val="105"/>
          <w:sz w:val="19"/>
        </w:rPr>
        <w:t> </w:t>
      </w:r>
      <w:r>
        <w:rPr>
          <w:w w:val="105"/>
          <w:sz w:val="19"/>
        </w:rPr>
        <w:t>communities of color."</w:t>
      </w:r>
    </w:p>
    <w:p>
      <w:pPr>
        <w:pStyle w:val="BodyText"/>
        <w:spacing w:before="11"/>
        <w:rPr>
          <w:sz w:val="19"/>
        </w:rPr>
      </w:pPr>
    </w:p>
    <w:p>
      <w:pPr>
        <w:spacing w:line="256" w:lineRule="auto" w:before="0"/>
        <w:ind w:left="1697" w:right="311" w:firstLine="1"/>
        <w:jc w:val="left"/>
        <w:rPr>
          <w:sz w:val="19"/>
        </w:rPr>
      </w:pPr>
      <w:r>
        <w:rPr>
          <w:w w:val="105"/>
          <w:sz w:val="19"/>
        </w:rPr>
        <w:t>The</w:t>
      </w:r>
      <w:r>
        <w:rPr>
          <w:spacing w:val="-14"/>
          <w:w w:val="105"/>
          <w:sz w:val="19"/>
        </w:rPr>
        <w:t> </w:t>
      </w:r>
      <w:r>
        <w:rPr>
          <w:w w:val="105"/>
          <w:sz w:val="19"/>
        </w:rPr>
        <w:t>Department's Chair annually submits a five.year plan to</w:t>
      </w:r>
      <w:r>
        <w:rPr>
          <w:spacing w:val="-14"/>
          <w:w w:val="105"/>
          <w:sz w:val="19"/>
        </w:rPr>
        <w:t> </w:t>
      </w:r>
      <w:r>
        <w:rPr>
          <w:w w:val="105"/>
          <w:sz w:val="19"/>
        </w:rPr>
        <w:t>the</w:t>
      </w:r>
      <w:r>
        <w:rPr>
          <w:spacing w:val="-4"/>
          <w:w w:val="105"/>
          <w:sz w:val="19"/>
        </w:rPr>
        <w:t> </w:t>
      </w:r>
      <w:r>
        <w:rPr>
          <w:w w:val="105"/>
          <w:sz w:val="19"/>
        </w:rPr>
        <w:t>University Committee on Long Range Planning, which effectively embodies a departmental strategic plan. This report</w:t>
      </w:r>
      <w:r>
        <w:rPr>
          <w:spacing w:val="-5"/>
          <w:w w:val="105"/>
          <w:sz w:val="19"/>
        </w:rPr>
        <w:t> </w:t>
      </w:r>
      <w:r>
        <w:rPr>
          <w:w w:val="105"/>
          <w:sz w:val="19"/>
        </w:rPr>
        <w:t>is submitted for review</w:t>
      </w:r>
      <w:r>
        <w:rPr>
          <w:spacing w:val="-3"/>
          <w:w w:val="105"/>
          <w:sz w:val="19"/>
        </w:rPr>
        <w:t> </w:t>
      </w:r>
      <w:r>
        <w:rPr>
          <w:w w:val="105"/>
          <w:sz w:val="19"/>
        </w:rPr>
        <w:t>to the Dean of</w:t>
      </w:r>
      <w:r>
        <w:rPr>
          <w:spacing w:val="23"/>
          <w:w w:val="105"/>
          <w:sz w:val="19"/>
        </w:rPr>
        <w:t> </w:t>
      </w:r>
      <w:r>
        <w:rPr>
          <w:w w:val="105"/>
          <w:sz w:val="19"/>
        </w:rPr>
        <w:t>the School of Engineering</w:t>
      </w:r>
      <w:r>
        <w:rPr>
          <w:spacing w:val="19"/>
          <w:w w:val="105"/>
          <w:sz w:val="19"/>
        </w:rPr>
        <w:t> </w:t>
      </w:r>
      <w:r>
        <w:rPr>
          <w:w w:val="105"/>
          <w:sz w:val="19"/>
        </w:rPr>
        <w:t>amt</w:t>
      </w:r>
      <w:r>
        <w:rPr>
          <w:spacing w:val="16"/>
          <w:w w:val="105"/>
          <w:sz w:val="19"/>
        </w:rPr>
        <w:t> </w:t>
      </w:r>
      <w:r>
        <w:rPr>
          <w:w w:val="105"/>
          <w:sz w:val="19"/>
        </w:rPr>
        <w:t>Technology</w:t>
      </w:r>
      <w:r>
        <w:rPr>
          <w:w w:val="105"/>
          <w:sz w:val="19"/>
        </w:rPr>
        <w:t> to insure</w:t>
      </w:r>
      <w:r>
        <w:rPr>
          <w:spacing w:val="-7"/>
          <w:w w:val="105"/>
          <w:sz w:val="19"/>
        </w:rPr>
        <w:t> </w:t>
      </w:r>
      <w:r>
        <w:rPr>
          <w:w w:val="105"/>
          <w:sz w:val="19"/>
        </w:rPr>
        <w:t>its viability within the School's planning</w:t>
      </w:r>
      <w:r>
        <w:rPr>
          <w:spacing w:val="25"/>
          <w:w w:val="105"/>
          <w:sz w:val="19"/>
        </w:rPr>
        <w:t> </w:t>
      </w:r>
      <w:r>
        <w:rPr>
          <w:w w:val="105"/>
          <w:sz w:val="19"/>
        </w:rPr>
        <w:t>structure. By tracking this plan through its annual cycles, one can observe the progress of the department in</w:t>
      </w:r>
      <w:r>
        <w:rPr>
          <w:spacing w:val="-3"/>
          <w:w w:val="105"/>
          <w:sz w:val="19"/>
        </w:rPr>
        <w:t> </w:t>
      </w:r>
      <w:r>
        <w:rPr>
          <w:w w:val="105"/>
          <w:sz w:val="19"/>
        </w:rPr>
        <w:t>relation to stated Departmental Objectives. Listed below are the</w:t>
      </w:r>
      <w:r>
        <w:rPr>
          <w:spacing w:val="-1"/>
          <w:w w:val="105"/>
          <w:sz w:val="19"/>
        </w:rPr>
        <w:t> </w:t>
      </w:r>
      <w:r>
        <w:rPr>
          <w:w w:val="105"/>
          <w:sz w:val="19"/>
        </w:rPr>
        <w:t>Departmental Objectives, as stated</w:t>
      </w:r>
      <w:r>
        <w:rPr>
          <w:spacing w:val="-1"/>
          <w:w w:val="105"/>
          <w:sz w:val="19"/>
        </w:rPr>
        <w:t> </w:t>
      </w:r>
      <w:r>
        <w:rPr>
          <w:w w:val="105"/>
          <w:sz w:val="19"/>
        </w:rPr>
        <w:t>in the 2002 APR, and the progress that has been made on each objective.</w:t>
      </w:r>
    </w:p>
    <w:p>
      <w:pPr>
        <w:pStyle w:val="BodyText"/>
        <w:spacing w:before="10"/>
        <w:rPr>
          <w:sz w:val="16"/>
        </w:rPr>
      </w:pPr>
    </w:p>
    <w:p>
      <w:pPr>
        <w:pStyle w:val="ListParagraph"/>
        <w:numPr>
          <w:ilvl w:val="2"/>
          <w:numId w:val="80"/>
        </w:numPr>
        <w:tabs>
          <w:tab w:pos="2190" w:val="left" w:leader="none"/>
        </w:tabs>
        <w:spacing w:line="240" w:lineRule="auto" w:before="1" w:after="0"/>
        <w:ind w:left="2189" w:right="0" w:hanging="503"/>
        <w:jc w:val="left"/>
        <w:rPr>
          <w:rFonts w:ascii="Times New Roman"/>
          <w:sz w:val="22"/>
          <w:u w:val="thick"/>
        </w:rPr>
      </w:pPr>
      <w:r>
        <w:rPr>
          <w:w w:val="110"/>
          <w:sz w:val="19"/>
          <w:u w:val="thick"/>
        </w:rPr>
        <w:t>Departmental</w:t>
      </w:r>
      <w:r>
        <w:rPr>
          <w:spacing w:val="10"/>
          <w:w w:val="115"/>
          <w:sz w:val="19"/>
          <w:u w:val="thick"/>
        </w:rPr>
        <w:t> </w:t>
      </w:r>
      <w:r>
        <w:rPr>
          <w:spacing w:val="-2"/>
          <w:w w:val="115"/>
          <w:sz w:val="19"/>
          <w:u w:val="thick"/>
        </w:rPr>
        <w:t>Objectives</w:t>
      </w:r>
    </w:p>
    <w:p>
      <w:pPr>
        <w:pStyle w:val="BodyText"/>
        <w:spacing w:before="8"/>
        <w:rPr>
          <w:sz w:val="19"/>
        </w:rPr>
      </w:pPr>
    </w:p>
    <w:p>
      <w:pPr>
        <w:pStyle w:val="ListParagraph"/>
        <w:numPr>
          <w:ilvl w:val="0"/>
          <w:numId w:val="81"/>
        </w:numPr>
        <w:tabs>
          <w:tab w:pos="1921" w:val="left" w:leader="none"/>
        </w:tabs>
        <w:spacing w:line="240" w:lineRule="auto" w:before="0" w:after="0"/>
        <w:ind w:left="1920" w:right="0" w:hanging="219"/>
        <w:jc w:val="left"/>
        <w:rPr>
          <w:sz w:val="19"/>
        </w:rPr>
      </w:pPr>
      <w:r>
        <w:rPr>
          <w:w w:val="105"/>
          <w:sz w:val="19"/>
        </w:rPr>
        <w:t>To</w:t>
      </w:r>
      <w:r>
        <w:rPr>
          <w:spacing w:val="-19"/>
          <w:w w:val="105"/>
          <w:sz w:val="19"/>
        </w:rPr>
        <w:t> </w:t>
      </w:r>
      <w:r>
        <w:rPr>
          <w:w w:val="105"/>
          <w:sz w:val="19"/>
        </w:rPr>
        <w:t>have</w:t>
      </w:r>
      <w:r>
        <w:rPr>
          <w:spacing w:val="-6"/>
          <w:w w:val="105"/>
          <w:sz w:val="19"/>
        </w:rPr>
        <w:t> </w:t>
      </w:r>
      <w:r>
        <w:rPr>
          <w:w w:val="105"/>
          <w:sz w:val="19"/>
        </w:rPr>
        <w:t>an</w:t>
      </w:r>
      <w:r>
        <w:rPr>
          <w:spacing w:val="-15"/>
          <w:w w:val="105"/>
          <w:sz w:val="19"/>
        </w:rPr>
        <w:t> </w:t>
      </w:r>
      <w:r>
        <w:rPr>
          <w:w w:val="105"/>
          <w:sz w:val="19"/>
        </w:rPr>
        <w:t>entering</w:t>
      </w:r>
      <w:r>
        <w:rPr>
          <w:spacing w:val="-1"/>
          <w:w w:val="105"/>
          <w:sz w:val="19"/>
        </w:rPr>
        <w:t> </w:t>
      </w:r>
      <w:r>
        <w:rPr>
          <w:w w:val="105"/>
          <w:sz w:val="19"/>
        </w:rPr>
        <w:t>freshman</w:t>
      </w:r>
      <w:r>
        <w:rPr>
          <w:spacing w:val="9"/>
          <w:w w:val="105"/>
          <w:sz w:val="19"/>
        </w:rPr>
        <w:t> </w:t>
      </w:r>
      <w:r>
        <w:rPr>
          <w:w w:val="105"/>
          <w:sz w:val="19"/>
        </w:rPr>
        <w:t>class</w:t>
      </w:r>
      <w:r>
        <w:rPr>
          <w:spacing w:val="-4"/>
          <w:w w:val="105"/>
          <w:sz w:val="19"/>
        </w:rPr>
        <w:t> </w:t>
      </w:r>
      <w:r>
        <w:rPr>
          <w:w w:val="105"/>
          <w:sz w:val="19"/>
        </w:rPr>
        <w:t>of</w:t>
      </w:r>
      <w:r>
        <w:rPr>
          <w:spacing w:val="-3"/>
          <w:w w:val="105"/>
          <w:sz w:val="19"/>
        </w:rPr>
        <w:t> </w:t>
      </w:r>
      <w:r>
        <w:rPr>
          <w:w w:val="105"/>
          <w:sz w:val="19"/>
        </w:rPr>
        <w:t>60</w:t>
      </w:r>
      <w:r>
        <w:rPr>
          <w:spacing w:val="10"/>
          <w:w w:val="105"/>
          <w:sz w:val="19"/>
        </w:rPr>
        <w:t> </w:t>
      </w:r>
      <w:r>
        <w:rPr>
          <w:w w:val="105"/>
          <w:sz w:val="19"/>
        </w:rPr>
        <w:t>students</w:t>
      </w:r>
      <w:r>
        <w:rPr>
          <w:spacing w:val="-2"/>
          <w:w w:val="105"/>
          <w:sz w:val="19"/>
        </w:rPr>
        <w:t> </w:t>
      </w:r>
      <w:r>
        <w:rPr>
          <w:w w:val="105"/>
          <w:sz w:val="19"/>
        </w:rPr>
        <w:t>(15</w:t>
      </w:r>
      <w:r>
        <w:rPr>
          <w:spacing w:val="10"/>
          <w:w w:val="105"/>
          <w:sz w:val="19"/>
        </w:rPr>
        <w:t> </w:t>
      </w:r>
      <w:r>
        <w:rPr>
          <w:w w:val="105"/>
          <w:sz w:val="19"/>
        </w:rPr>
        <w:t>additional</w:t>
      </w:r>
      <w:r>
        <w:rPr>
          <w:spacing w:val="-4"/>
          <w:w w:val="105"/>
          <w:sz w:val="19"/>
        </w:rPr>
        <w:t> </w:t>
      </w:r>
      <w:r>
        <w:rPr>
          <w:spacing w:val="-2"/>
          <w:w w:val="105"/>
          <w:sz w:val="19"/>
        </w:rPr>
        <w:t>students}</w:t>
      </w:r>
    </w:p>
    <w:p>
      <w:pPr>
        <w:tabs>
          <w:tab w:pos="4813" w:val="right" w:leader="none"/>
        </w:tabs>
        <w:spacing w:before="3"/>
        <w:ind w:left="2411" w:right="0" w:firstLine="0"/>
        <w:jc w:val="left"/>
        <w:rPr>
          <w:sz w:val="19"/>
        </w:rPr>
      </w:pPr>
      <w:r>
        <w:rPr>
          <w:b/>
          <w:spacing w:val="-2"/>
          <w:w w:val="105"/>
          <w:sz w:val="20"/>
        </w:rPr>
        <w:t>TIME:</w:t>
      </w:r>
      <w:r>
        <w:rPr>
          <w:b/>
          <w:sz w:val="20"/>
        </w:rPr>
        <w:tab/>
      </w:r>
      <w:r>
        <w:rPr>
          <w:spacing w:val="-2"/>
          <w:w w:val="105"/>
          <w:sz w:val="19"/>
        </w:rPr>
        <w:t>2002-2003</w:t>
      </w:r>
    </w:p>
    <w:p>
      <w:pPr>
        <w:tabs>
          <w:tab w:pos="3859" w:val="left" w:leader="none"/>
        </w:tabs>
        <w:spacing w:before="1"/>
        <w:ind w:left="2416" w:right="0" w:firstLine="0"/>
        <w:jc w:val="left"/>
        <w:rPr>
          <w:sz w:val="19"/>
        </w:rPr>
      </w:pPr>
      <w:r>
        <w:rPr/>
        <w:pict>
          <v:shape style="position:absolute;margin-left:417.297089pt;margin-top:4.116762pt;width:6.5pt;height:19.05pt;mso-position-horizontal-relative:page;mso-position-vertical-relative:paragraph;z-index:-27010560" type="#_x0000_t202" id="docshape680" filled="false" stroked="false">
            <v:textbox inset="0,0,0,0">
              <w:txbxContent>
                <w:p>
                  <w:pPr>
                    <w:spacing w:line="381" w:lineRule="exact" w:before="0"/>
                    <w:ind w:left="0" w:right="0" w:firstLine="0"/>
                    <w:jc w:val="left"/>
                    <w:rPr>
                      <w:sz w:val="34"/>
                    </w:rPr>
                  </w:pPr>
                  <w:r>
                    <w:rPr>
                      <w:w w:val="108"/>
                      <w:sz w:val="34"/>
                    </w:rPr>
                    <w:t>•</w:t>
                  </w:r>
                </w:p>
              </w:txbxContent>
            </v:textbox>
            <w10:wrap type="none"/>
          </v:shape>
        </w:pict>
      </w:r>
      <w:r>
        <w:rPr>
          <w:spacing w:val="-2"/>
          <w:w w:val="105"/>
          <w:sz w:val="19"/>
        </w:rPr>
        <w:t>OUTCOME:</w:t>
      </w:r>
      <w:r>
        <w:rPr>
          <w:sz w:val="19"/>
        </w:rPr>
        <w:tab/>
      </w:r>
      <w:r>
        <w:rPr>
          <w:w w:val="105"/>
          <w:sz w:val="19"/>
        </w:rPr>
        <w:t>With</w:t>
      </w:r>
      <w:r>
        <w:rPr>
          <w:spacing w:val="-2"/>
          <w:w w:val="105"/>
          <w:sz w:val="19"/>
        </w:rPr>
        <w:t> </w:t>
      </w:r>
      <w:r>
        <w:rPr>
          <w:w w:val="105"/>
          <w:sz w:val="19"/>
        </w:rPr>
        <w:t>the</w:t>
      </w:r>
      <w:r>
        <w:rPr>
          <w:spacing w:val="-5"/>
          <w:w w:val="105"/>
          <w:sz w:val="19"/>
        </w:rPr>
        <w:t> </w:t>
      </w:r>
      <w:r>
        <w:rPr>
          <w:w w:val="105"/>
          <w:sz w:val="19"/>
        </w:rPr>
        <w:t>inception</w:t>
      </w:r>
      <w:r>
        <w:rPr>
          <w:spacing w:val="4"/>
          <w:w w:val="105"/>
          <w:sz w:val="19"/>
        </w:rPr>
        <w:t> </w:t>
      </w:r>
      <w:r>
        <w:rPr>
          <w:w w:val="105"/>
          <w:sz w:val="19"/>
        </w:rPr>
        <w:t>of the</w:t>
      </w:r>
      <w:r>
        <w:rPr>
          <w:spacing w:val="-7"/>
          <w:w w:val="105"/>
          <w:sz w:val="19"/>
        </w:rPr>
        <w:t> </w:t>
      </w:r>
      <w:r>
        <w:rPr>
          <w:w w:val="105"/>
          <w:sz w:val="19"/>
        </w:rPr>
        <w:t>new</w:t>
      </w:r>
      <w:r>
        <w:rPr>
          <w:spacing w:val="-1"/>
          <w:w w:val="105"/>
          <w:sz w:val="19"/>
        </w:rPr>
        <w:t> </w:t>
      </w:r>
      <w:r>
        <w:rPr>
          <w:w w:val="105"/>
          <w:sz w:val="19"/>
        </w:rPr>
        <w:t>graduate</w:t>
      </w:r>
      <w:r>
        <w:rPr>
          <w:spacing w:val="-2"/>
          <w:w w:val="105"/>
          <w:sz w:val="19"/>
        </w:rPr>
        <w:t> </w:t>
      </w:r>
      <w:r>
        <w:rPr>
          <w:w w:val="105"/>
          <w:sz w:val="19"/>
        </w:rPr>
        <w:t>curriculum</w:t>
      </w:r>
      <w:r>
        <w:rPr>
          <w:spacing w:val="-4"/>
          <w:w w:val="105"/>
          <w:sz w:val="19"/>
        </w:rPr>
        <w:t> </w:t>
      </w:r>
      <w:r>
        <w:rPr>
          <w:w w:val="105"/>
          <w:sz w:val="19"/>
        </w:rPr>
        <w:t>in</w:t>
      </w:r>
      <w:r>
        <w:rPr>
          <w:spacing w:val="6"/>
          <w:w w:val="105"/>
          <w:sz w:val="19"/>
        </w:rPr>
        <w:t> </w:t>
      </w:r>
      <w:r>
        <w:rPr>
          <w:w w:val="105"/>
          <w:sz w:val="19"/>
        </w:rPr>
        <w:t>Fall</w:t>
      </w:r>
      <w:r>
        <w:rPr>
          <w:spacing w:val="-14"/>
          <w:w w:val="105"/>
          <w:sz w:val="19"/>
        </w:rPr>
        <w:t> </w:t>
      </w:r>
      <w:r>
        <w:rPr>
          <w:spacing w:val="-2"/>
          <w:w w:val="105"/>
          <w:sz w:val="19"/>
        </w:rPr>
        <w:t>2003,</w:t>
      </w:r>
    </w:p>
    <w:p>
      <w:pPr>
        <w:spacing w:line="256" w:lineRule="auto" w:before="118"/>
        <w:ind w:left="2418" w:right="311" w:firstLine="4"/>
        <w:jc w:val="left"/>
        <w:rPr>
          <w:sz w:val="19"/>
        </w:rPr>
      </w:pPr>
      <w:r>
        <w:rPr>
          <w:w w:val="105"/>
          <w:sz w:val="19"/>
        </w:rPr>
        <w:t>the</w:t>
      </w:r>
      <w:r>
        <w:rPr>
          <w:spacing w:val="-7"/>
          <w:w w:val="105"/>
          <w:sz w:val="19"/>
        </w:rPr>
        <w:t> </w:t>
      </w:r>
      <w:r>
        <w:rPr>
          <w:w w:val="105"/>
          <w:sz w:val="19"/>
        </w:rPr>
        <w:t>number of freshmen {as defined by enrollment in 1</w:t>
      </w:r>
      <w:r>
        <w:rPr>
          <w:spacing w:val="80"/>
          <w:w w:val="105"/>
          <w:sz w:val="19"/>
        </w:rPr>
        <w:t> </w:t>
      </w:r>
      <w:r>
        <w:rPr>
          <w:w w:val="105"/>
          <w:sz w:val="19"/>
        </w:rPr>
        <w:t>year studio, ARC 101) has</w:t>
      </w:r>
      <w:r>
        <w:rPr>
          <w:spacing w:val="-11"/>
          <w:w w:val="105"/>
          <w:sz w:val="19"/>
        </w:rPr>
        <w:t> </w:t>
      </w:r>
      <w:r>
        <w:rPr>
          <w:w w:val="105"/>
          <w:sz w:val="19"/>
        </w:rPr>
        <w:t>risen</w:t>
      </w:r>
      <w:r>
        <w:rPr>
          <w:spacing w:val="-6"/>
          <w:w w:val="105"/>
          <w:sz w:val="19"/>
        </w:rPr>
        <w:t> </w:t>
      </w:r>
      <w:r>
        <w:rPr>
          <w:w w:val="105"/>
          <w:sz w:val="19"/>
        </w:rPr>
        <w:t>steadily. Previously enrollment averaged in the 50s.</w:t>
      </w:r>
      <w:r>
        <w:rPr>
          <w:spacing w:val="-2"/>
          <w:w w:val="105"/>
          <w:sz w:val="19"/>
        </w:rPr>
        <w:t> </w:t>
      </w:r>
      <w:r>
        <w:rPr>
          <w:w w:val="105"/>
          <w:sz w:val="19"/>
        </w:rPr>
        <w:t>In</w:t>
      </w:r>
      <w:r>
        <w:rPr>
          <w:spacing w:val="-2"/>
          <w:w w:val="105"/>
          <w:sz w:val="19"/>
        </w:rPr>
        <w:t> </w:t>
      </w:r>
      <w:r>
        <w:rPr>
          <w:w w:val="105"/>
          <w:sz w:val="19"/>
        </w:rPr>
        <w:t>Fall</w:t>
      </w:r>
      <w:r>
        <w:rPr>
          <w:spacing w:val="-10"/>
          <w:w w:val="105"/>
          <w:sz w:val="19"/>
        </w:rPr>
        <w:t> </w:t>
      </w:r>
      <w:r>
        <w:rPr>
          <w:w w:val="105"/>
          <w:sz w:val="19"/>
        </w:rPr>
        <w:t>2007 there were</w:t>
      </w:r>
      <w:r>
        <w:rPr>
          <w:spacing w:val="-2"/>
          <w:w w:val="105"/>
          <w:sz w:val="19"/>
        </w:rPr>
        <w:t> </w:t>
      </w:r>
      <w:r>
        <w:rPr>
          <w:w w:val="105"/>
          <w:sz w:val="19"/>
        </w:rPr>
        <w:t>60 students. This fall (2008) there are 63 freshmen and transfer students </w:t>
      </w:r>
      <w:r>
        <w:rPr>
          <w:spacing w:val="-2"/>
          <w:w w:val="105"/>
          <w:sz w:val="19"/>
        </w:rPr>
        <w:t>enrolled.</w:t>
      </w:r>
    </w:p>
    <w:p>
      <w:pPr>
        <w:pStyle w:val="BodyText"/>
        <w:spacing w:before="2"/>
        <w:rPr>
          <w:sz w:val="19"/>
        </w:rPr>
      </w:pPr>
    </w:p>
    <w:p>
      <w:pPr>
        <w:pStyle w:val="ListParagraph"/>
        <w:numPr>
          <w:ilvl w:val="0"/>
          <w:numId w:val="81"/>
        </w:numPr>
        <w:tabs>
          <w:tab w:pos="1931" w:val="left" w:leader="none"/>
        </w:tabs>
        <w:spacing w:line="240" w:lineRule="auto" w:before="0" w:after="0"/>
        <w:ind w:left="1930" w:right="0" w:hanging="214"/>
        <w:jc w:val="left"/>
        <w:rPr>
          <w:sz w:val="19"/>
        </w:rPr>
      </w:pPr>
      <w:r>
        <w:rPr>
          <w:w w:val="105"/>
          <w:sz w:val="19"/>
        </w:rPr>
        <w:t>To</w:t>
      </w:r>
      <w:r>
        <w:rPr>
          <w:spacing w:val="-10"/>
          <w:w w:val="105"/>
          <w:sz w:val="19"/>
        </w:rPr>
        <w:t> </w:t>
      </w:r>
      <w:r>
        <w:rPr>
          <w:w w:val="105"/>
          <w:sz w:val="19"/>
        </w:rPr>
        <w:t>increase</w:t>
      </w:r>
      <w:r>
        <w:rPr>
          <w:spacing w:val="-6"/>
          <w:w w:val="105"/>
          <w:sz w:val="19"/>
        </w:rPr>
        <w:t> </w:t>
      </w:r>
      <w:r>
        <w:rPr>
          <w:w w:val="105"/>
          <w:sz w:val="19"/>
        </w:rPr>
        <w:t>the</w:t>
      </w:r>
      <w:r>
        <w:rPr>
          <w:spacing w:val="5"/>
          <w:w w:val="105"/>
          <w:sz w:val="19"/>
        </w:rPr>
        <w:t> </w:t>
      </w:r>
      <w:r>
        <w:rPr>
          <w:w w:val="105"/>
          <w:sz w:val="19"/>
        </w:rPr>
        <w:t>number</w:t>
      </w:r>
      <w:r>
        <w:rPr>
          <w:spacing w:val="4"/>
          <w:w w:val="105"/>
          <w:sz w:val="19"/>
        </w:rPr>
        <w:t> </w:t>
      </w:r>
      <w:r>
        <w:rPr>
          <w:w w:val="105"/>
          <w:sz w:val="19"/>
        </w:rPr>
        <w:t>of</w:t>
      </w:r>
      <w:r>
        <w:rPr>
          <w:spacing w:val="2"/>
          <w:w w:val="105"/>
          <w:sz w:val="19"/>
        </w:rPr>
        <w:t> </w:t>
      </w:r>
      <w:r>
        <w:rPr>
          <w:w w:val="105"/>
          <w:sz w:val="19"/>
        </w:rPr>
        <w:t>majors</w:t>
      </w:r>
      <w:r>
        <w:rPr>
          <w:spacing w:val="15"/>
          <w:w w:val="105"/>
          <w:sz w:val="19"/>
        </w:rPr>
        <w:t> </w:t>
      </w:r>
      <w:r>
        <w:rPr>
          <w:w w:val="105"/>
          <w:sz w:val="19"/>
        </w:rPr>
        <w:t>from</w:t>
      </w:r>
      <w:r>
        <w:rPr>
          <w:spacing w:val="-7"/>
          <w:w w:val="105"/>
          <w:sz w:val="19"/>
        </w:rPr>
        <w:t> </w:t>
      </w:r>
      <w:r>
        <w:rPr>
          <w:w w:val="105"/>
          <w:sz w:val="19"/>
        </w:rPr>
        <w:t>130•150</w:t>
      </w:r>
      <w:r>
        <w:rPr>
          <w:spacing w:val="-7"/>
          <w:w w:val="105"/>
          <w:sz w:val="19"/>
        </w:rPr>
        <w:t> </w:t>
      </w:r>
      <w:r>
        <w:rPr>
          <w:w w:val="105"/>
          <w:sz w:val="19"/>
        </w:rPr>
        <w:t>to</w:t>
      </w:r>
      <w:r>
        <w:rPr>
          <w:spacing w:val="-13"/>
          <w:w w:val="105"/>
          <w:sz w:val="19"/>
        </w:rPr>
        <w:t> </w:t>
      </w:r>
      <w:r>
        <w:rPr>
          <w:w w:val="105"/>
          <w:sz w:val="19"/>
        </w:rPr>
        <w:t>160</w:t>
      </w:r>
      <w:r>
        <w:rPr>
          <w:spacing w:val="-9"/>
          <w:w w:val="105"/>
          <w:sz w:val="19"/>
        </w:rPr>
        <w:t> </w:t>
      </w:r>
      <w:r>
        <w:rPr>
          <w:spacing w:val="-2"/>
          <w:w w:val="105"/>
          <w:sz w:val="19"/>
        </w:rPr>
        <w:t>students</w:t>
      </w:r>
    </w:p>
    <w:p>
      <w:pPr>
        <w:spacing w:before="3"/>
        <w:ind w:left="2421" w:right="0" w:firstLine="0"/>
        <w:jc w:val="left"/>
        <w:rPr>
          <w:sz w:val="19"/>
        </w:rPr>
      </w:pPr>
      <w:r>
        <w:rPr>
          <w:b/>
          <w:sz w:val="20"/>
        </w:rPr>
        <w:t>TIME:</w:t>
      </w:r>
      <w:r>
        <w:rPr>
          <w:b/>
          <w:spacing w:val="14"/>
          <w:sz w:val="20"/>
        </w:rPr>
        <w:t> </w:t>
      </w:r>
      <w:r>
        <w:rPr>
          <w:sz w:val="19"/>
        </w:rPr>
        <w:t>2002-</w:t>
      </w:r>
      <w:r>
        <w:rPr>
          <w:spacing w:val="-4"/>
          <w:sz w:val="19"/>
        </w:rPr>
        <w:t>2003</w:t>
      </w:r>
    </w:p>
    <w:p>
      <w:pPr>
        <w:spacing w:before="1"/>
        <w:ind w:left="2426" w:right="0" w:firstLine="0"/>
        <w:jc w:val="left"/>
        <w:rPr>
          <w:sz w:val="19"/>
        </w:rPr>
      </w:pPr>
      <w:r>
        <w:rPr>
          <w:w w:val="105"/>
          <w:sz w:val="19"/>
        </w:rPr>
        <w:t>OUTCOME:</w:t>
      </w:r>
      <w:r>
        <w:rPr>
          <w:spacing w:val="-8"/>
          <w:w w:val="105"/>
          <w:sz w:val="19"/>
        </w:rPr>
        <w:t> </w:t>
      </w:r>
      <w:r>
        <w:rPr>
          <w:w w:val="105"/>
          <w:sz w:val="19"/>
        </w:rPr>
        <w:t>With</w:t>
      </w:r>
      <w:r>
        <w:rPr>
          <w:spacing w:val="-6"/>
          <w:w w:val="105"/>
          <w:sz w:val="19"/>
        </w:rPr>
        <w:t> </w:t>
      </w:r>
      <w:r>
        <w:rPr>
          <w:w w:val="105"/>
          <w:sz w:val="19"/>
        </w:rPr>
        <w:t>the</w:t>
      </w:r>
      <w:r>
        <w:rPr>
          <w:spacing w:val="-5"/>
          <w:w w:val="105"/>
          <w:sz w:val="19"/>
        </w:rPr>
        <w:t> </w:t>
      </w:r>
      <w:r>
        <w:rPr>
          <w:w w:val="105"/>
          <w:sz w:val="19"/>
        </w:rPr>
        <w:t>advent</w:t>
      </w:r>
      <w:r>
        <w:rPr>
          <w:spacing w:val="-3"/>
          <w:w w:val="105"/>
          <w:sz w:val="19"/>
        </w:rPr>
        <w:t> </w:t>
      </w:r>
      <w:r>
        <w:rPr>
          <w:w w:val="105"/>
          <w:sz w:val="19"/>
        </w:rPr>
        <w:t>of</w:t>
      </w:r>
      <w:r>
        <w:rPr>
          <w:spacing w:val="2"/>
          <w:w w:val="105"/>
          <w:sz w:val="19"/>
        </w:rPr>
        <w:t> </w:t>
      </w:r>
      <w:r>
        <w:rPr>
          <w:w w:val="105"/>
          <w:sz w:val="19"/>
        </w:rPr>
        <w:t>the</w:t>
      </w:r>
      <w:r>
        <w:rPr>
          <w:spacing w:val="7"/>
          <w:w w:val="105"/>
          <w:sz w:val="19"/>
        </w:rPr>
        <w:t> </w:t>
      </w:r>
      <w:r>
        <w:rPr>
          <w:w w:val="105"/>
          <w:sz w:val="19"/>
        </w:rPr>
        <w:t>graduate</w:t>
      </w:r>
      <w:r>
        <w:rPr>
          <w:spacing w:val="-5"/>
          <w:w w:val="105"/>
          <w:sz w:val="19"/>
        </w:rPr>
        <w:t> </w:t>
      </w:r>
      <w:r>
        <w:rPr>
          <w:w w:val="105"/>
          <w:sz w:val="19"/>
        </w:rPr>
        <w:t>degree</w:t>
      </w:r>
      <w:r>
        <w:rPr>
          <w:spacing w:val="-4"/>
          <w:w w:val="105"/>
          <w:sz w:val="19"/>
        </w:rPr>
        <w:t> </w:t>
      </w:r>
      <w:r>
        <w:rPr>
          <w:w w:val="105"/>
          <w:sz w:val="19"/>
        </w:rPr>
        <w:t>program,</w:t>
      </w:r>
      <w:r>
        <w:rPr>
          <w:spacing w:val="-3"/>
          <w:w w:val="105"/>
          <w:sz w:val="19"/>
        </w:rPr>
        <w:t> </w:t>
      </w:r>
      <w:r>
        <w:rPr>
          <w:w w:val="105"/>
          <w:sz w:val="19"/>
        </w:rPr>
        <w:t>numbers </w:t>
      </w:r>
      <w:r>
        <w:rPr>
          <w:spacing w:val="-4"/>
          <w:w w:val="105"/>
          <w:sz w:val="19"/>
        </w:rPr>
        <w:t>have</w:t>
      </w:r>
    </w:p>
    <w:p>
      <w:pPr>
        <w:spacing w:before="13"/>
        <w:ind w:left="1710" w:right="0" w:firstLine="0"/>
        <w:jc w:val="left"/>
        <w:rPr>
          <w:sz w:val="19"/>
        </w:rPr>
      </w:pPr>
      <w:r>
        <w:rPr/>
        <w:pict>
          <v:shape style="position:absolute;margin-left:146.419693pt;margin-top:4.345121pt;width:2.8pt;height:21.3pt;mso-position-horizontal-relative:page;mso-position-vertical-relative:paragraph;z-index:-27010048" type="#_x0000_t202" id="docshape681" filled="false" stroked="false">
            <v:textbox inset="0,0,0,0">
              <w:txbxContent>
                <w:p>
                  <w:pPr>
                    <w:spacing w:line="426" w:lineRule="exact" w:before="0"/>
                    <w:ind w:left="0" w:right="0" w:firstLine="0"/>
                    <w:jc w:val="left"/>
                    <w:rPr>
                      <w:sz w:val="38"/>
                    </w:rPr>
                  </w:pPr>
                  <w:r>
                    <w:rPr>
                      <w:spacing w:val="-91"/>
                      <w:w w:val="110"/>
                      <w:sz w:val="38"/>
                    </w:rPr>
                    <w:t>•</w:t>
                  </w:r>
                </w:p>
              </w:txbxContent>
            </v:textbox>
            <w10:wrap type="none"/>
          </v:shape>
        </w:pict>
      </w:r>
      <w:r>
        <w:rPr>
          <w:w w:val="105"/>
          <w:sz w:val="19"/>
        </w:rPr>
        <w:t>increased.</w:t>
      </w:r>
      <w:r>
        <w:rPr>
          <w:spacing w:val="3"/>
          <w:w w:val="105"/>
          <w:sz w:val="19"/>
        </w:rPr>
        <w:t> </w:t>
      </w:r>
      <w:r>
        <w:rPr>
          <w:w w:val="105"/>
          <w:sz w:val="19"/>
        </w:rPr>
        <w:t>This</w:t>
      </w:r>
      <w:r>
        <w:rPr>
          <w:spacing w:val="-1"/>
          <w:w w:val="105"/>
          <w:sz w:val="19"/>
        </w:rPr>
        <w:t> </w:t>
      </w:r>
      <w:r>
        <w:rPr>
          <w:w w:val="105"/>
          <w:sz w:val="19"/>
        </w:rPr>
        <w:t>fall,</w:t>
      </w:r>
      <w:r>
        <w:rPr>
          <w:spacing w:val="-3"/>
          <w:w w:val="105"/>
          <w:sz w:val="19"/>
        </w:rPr>
        <w:t> </w:t>
      </w:r>
      <w:r>
        <w:rPr>
          <w:w w:val="105"/>
          <w:sz w:val="19"/>
        </w:rPr>
        <w:t>2008,</w:t>
      </w:r>
      <w:r>
        <w:rPr>
          <w:spacing w:val="1"/>
          <w:w w:val="105"/>
          <w:sz w:val="19"/>
        </w:rPr>
        <w:t> </w:t>
      </w:r>
      <w:r>
        <w:rPr>
          <w:w w:val="105"/>
          <w:sz w:val="19"/>
        </w:rPr>
        <w:t>there</w:t>
      </w:r>
      <w:r>
        <w:rPr>
          <w:spacing w:val="-12"/>
          <w:w w:val="105"/>
          <w:sz w:val="19"/>
        </w:rPr>
        <w:t> </w:t>
      </w:r>
      <w:r>
        <w:rPr>
          <w:w w:val="105"/>
          <w:sz w:val="19"/>
        </w:rPr>
        <w:t>are</w:t>
      </w:r>
      <w:r>
        <w:rPr>
          <w:spacing w:val="3"/>
          <w:w w:val="105"/>
          <w:sz w:val="19"/>
        </w:rPr>
        <w:t> </w:t>
      </w:r>
      <w:r>
        <w:rPr>
          <w:w w:val="105"/>
          <w:sz w:val="19"/>
        </w:rPr>
        <w:t>173</w:t>
      </w:r>
      <w:r>
        <w:rPr>
          <w:spacing w:val="2"/>
          <w:w w:val="105"/>
          <w:sz w:val="19"/>
        </w:rPr>
        <w:t> </w:t>
      </w:r>
      <w:r>
        <w:rPr>
          <w:w w:val="105"/>
          <w:sz w:val="19"/>
        </w:rPr>
        <w:t>students</w:t>
      </w:r>
      <w:r>
        <w:rPr>
          <w:spacing w:val="-10"/>
          <w:w w:val="105"/>
          <w:sz w:val="19"/>
        </w:rPr>
        <w:t> </w:t>
      </w:r>
      <w:r>
        <w:rPr>
          <w:w w:val="105"/>
          <w:sz w:val="19"/>
        </w:rPr>
        <w:t>enrolled</w:t>
      </w:r>
      <w:r>
        <w:rPr>
          <w:spacing w:val="2"/>
          <w:w w:val="105"/>
          <w:sz w:val="19"/>
        </w:rPr>
        <w:t> </w:t>
      </w:r>
      <w:r>
        <w:rPr>
          <w:w w:val="105"/>
          <w:sz w:val="19"/>
        </w:rPr>
        <w:t>in</w:t>
      </w:r>
      <w:r>
        <w:rPr>
          <w:spacing w:val="-6"/>
          <w:w w:val="105"/>
          <w:sz w:val="19"/>
        </w:rPr>
        <w:t> </w:t>
      </w:r>
      <w:r>
        <w:rPr>
          <w:w w:val="105"/>
          <w:sz w:val="19"/>
        </w:rPr>
        <w:t>design</w:t>
      </w:r>
      <w:r>
        <w:rPr>
          <w:spacing w:val="-4"/>
          <w:w w:val="105"/>
          <w:sz w:val="19"/>
        </w:rPr>
        <w:t> </w:t>
      </w:r>
      <w:r>
        <w:rPr>
          <w:w w:val="105"/>
          <w:sz w:val="19"/>
        </w:rPr>
        <w:t>studio,</w:t>
      </w:r>
      <w:r>
        <w:rPr>
          <w:spacing w:val="3"/>
          <w:w w:val="105"/>
          <w:sz w:val="19"/>
        </w:rPr>
        <w:t> </w:t>
      </w:r>
      <w:r>
        <w:rPr>
          <w:w w:val="105"/>
          <w:sz w:val="19"/>
        </w:rPr>
        <w:t>with</w:t>
      </w:r>
      <w:r>
        <w:rPr>
          <w:spacing w:val="-1"/>
          <w:w w:val="105"/>
          <w:sz w:val="19"/>
        </w:rPr>
        <w:t> </w:t>
      </w:r>
      <w:r>
        <w:rPr>
          <w:w w:val="105"/>
          <w:sz w:val="19"/>
        </w:rPr>
        <w:t>28</w:t>
      </w:r>
      <w:r>
        <w:rPr>
          <w:spacing w:val="-15"/>
          <w:w w:val="105"/>
          <w:sz w:val="19"/>
        </w:rPr>
        <w:t> </w:t>
      </w:r>
      <w:r>
        <w:rPr>
          <w:w w:val="105"/>
          <w:sz w:val="19"/>
        </w:rPr>
        <w:t>in</w:t>
      </w:r>
      <w:r>
        <w:rPr>
          <w:spacing w:val="4"/>
          <w:w w:val="105"/>
          <w:sz w:val="19"/>
        </w:rPr>
        <w:t> </w:t>
      </w:r>
      <w:r>
        <w:rPr>
          <w:spacing w:val="-5"/>
          <w:w w:val="105"/>
          <w:sz w:val="19"/>
        </w:rPr>
        <w:t>the</w:t>
      </w:r>
    </w:p>
    <w:p>
      <w:pPr>
        <w:pStyle w:val="ListParagraph"/>
        <w:numPr>
          <w:ilvl w:val="0"/>
          <w:numId w:val="76"/>
        </w:numPr>
        <w:tabs>
          <w:tab w:pos="1980" w:val="left" w:leader="none"/>
        </w:tabs>
        <w:spacing w:line="256" w:lineRule="auto" w:before="118" w:after="0"/>
        <w:ind w:left="1719" w:right="216" w:firstLine="4"/>
        <w:jc w:val="left"/>
        <w:rPr>
          <w:sz w:val="19"/>
        </w:rPr>
      </w:pPr>
      <w:r>
        <w:rPr>
          <w:w w:val="105"/>
          <w:sz w:val="19"/>
        </w:rPr>
        <w:t>year thesis studio.</w:t>
      </w:r>
      <w:r>
        <w:rPr>
          <w:spacing w:val="18"/>
          <w:w w:val="105"/>
          <w:sz w:val="19"/>
        </w:rPr>
        <w:t> </w:t>
      </w:r>
      <w:r>
        <w:rPr>
          <w:w w:val="105"/>
          <w:sz w:val="19"/>
        </w:rPr>
        <w:t>Both of these numbers</w:t>
      </w:r>
      <w:r>
        <w:rPr>
          <w:spacing w:val="18"/>
          <w:w w:val="105"/>
          <w:sz w:val="19"/>
        </w:rPr>
        <w:t> </w:t>
      </w:r>
      <w:r>
        <w:rPr>
          <w:w w:val="105"/>
          <w:sz w:val="19"/>
        </w:rPr>
        <w:t>are all</w:t>
      </w:r>
      <w:r>
        <w:rPr>
          <w:spacing w:val="18"/>
          <w:w w:val="105"/>
          <w:sz w:val="19"/>
        </w:rPr>
        <w:t> </w:t>
      </w:r>
      <w:r>
        <w:rPr>
          <w:w w:val="105"/>
          <w:sz w:val="19"/>
        </w:rPr>
        <w:t>time highs, and</w:t>
      </w:r>
      <w:r>
        <w:rPr>
          <w:spacing w:val="-2"/>
          <w:w w:val="105"/>
          <w:sz w:val="19"/>
        </w:rPr>
        <w:t> </w:t>
      </w:r>
      <w:r>
        <w:rPr>
          <w:w w:val="105"/>
          <w:sz w:val="19"/>
        </w:rPr>
        <w:t>are stressing the limits of facilities and</w:t>
      </w:r>
      <w:r>
        <w:rPr>
          <w:spacing w:val="-15"/>
          <w:w w:val="105"/>
          <w:sz w:val="19"/>
        </w:rPr>
        <w:t> </w:t>
      </w:r>
      <w:r>
        <w:rPr>
          <w:w w:val="105"/>
          <w:sz w:val="19"/>
        </w:rPr>
        <w:t>faculty. While</w:t>
      </w:r>
      <w:r>
        <w:rPr>
          <w:spacing w:val="-7"/>
          <w:w w:val="105"/>
          <w:sz w:val="19"/>
        </w:rPr>
        <w:t> </w:t>
      </w:r>
      <w:r>
        <w:rPr>
          <w:w w:val="105"/>
          <w:sz w:val="19"/>
        </w:rPr>
        <w:t>there</w:t>
      </w:r>
      <w:r>
        <w:rPr>
          <w:spacing w:val="-1"/>
          <w:w w:val="105"/>
          <w:sz w:val="19"/>
        </w:rPr>
        <w:t> </w:t>
      </w:r>
      <w:r>
        <w:rPr>
          <w:w w:val="105"/>
          <w:sz w:val="19"/>
        </w:rPr>
        <w:t>was</w:t>
      </w:r>
      <w:r>
        <w:rPr>
          <w:spacing w:val="-2"/>
          <w:w w:val="105"/>
          <w:sz w:val="19"/>
        </w:rPr>
        <w:t> </w:t>
      </w:r>
      <w:r>
        <w:rPr>
          <w:w w:val="105"/>
          <w:sz w:val="19"/>
        </w:rPr>
        <w:t>an</w:t>
      </w:r>
      <w:r>
        <w:rPr>
          <w:spacing w:val="-1"/>
          <w:w w:val="105"/>
          <w:sz w:val="19"/>
        </w:rPr>
        <w:t> </w:t>
      </w:r>
      <w:r>
        <w:rPr>
          <w:w w:val="105"/>
          <w:sz w:val="19"/>
        </w:rPr>
        <w:t>objective based</w:t>
      </w:r>
      <w:r>
        <w:rPr>
          <w:spacing w:val="-4"/>
          <w:w w:val="105"/>
          <w:sz w:val="19"/>
        </w:rPr>
        <w:t> </w:t>
      </w:r>
      <w:r>
        <w:rPr>
          <w:w w:val="105"/>
          <w:sz w:val="19"/>
        </w:rPr>
        <w:t>on growth in the</w:t>
      </w:r>
      <w:r>
        <w:rPr>
          <w:spacing w:val="-2"/>
          <w:w w:val="105"/>
          <w:sz w:val="19"/>
        </w:rPr>
        <w:t> </w:t>
      </w:r>
      <w:r>
        <w:rPr>
          <w:w w:val="105"/>
          <w:sz w:val="19"/>
        </w:rPr>
        <w:t>student body, there was</w:t>
      </w:r>
      <w:r>
        <w:rPr>
          <w:spacing w:val="-3"/>
          <w:w w:val="105"/>
          <w:sz w:val="19"/>
        </w:rPr>
        <w:t> </w:t>
      </w:r>
      <w:r>
        <w:rPr>
          <w:w w:val="105"/>
          <w:sz w:val="19"/>
        </w:rPr>
        <w:t>no corresponding</w:t>
      </w:r>
      <w:r>
        <w:rPr>
          <w:spacing w:val="38"/>
          <w:w w:val="105"/>
          <w:sz w:val="19"/>
        </w:rPr>
        <w:t> </w:t>
      </w:r>
      <w:r>
        <w:rPr>
          <w:w w:val="105"/>
          <w:sz w:val="19"/>
        </w:rPr>
        <w:t>objective pertaining to a corresponding increase in faculty and</w:t>
      </w:r>
      <w:r>
        <w:rPr>
          <w:spacing w:val="-1"/>
          <w:w w:val="105"/>
          <w:sz w:val="19"/>
        </w:rPr>
        <w:t> </w:t>
      </w:r>
      <w:r>
        <w:rPr>
          <w:w w:val="105"/>
          <w:sz w:val="19"/>
        </w:rPr>
        <w:t>resources.</w:t>
      </w:r>
    </w:p>
    <w:p>
      <w:pPr>
        <w:pStyle w:val="BodyText"/>
        <w:spacing w:before="2"/>
        <w:rPr>
          <w:sz w:val="19"/>
        </w:rPr>
      </w:pPr>
    </w:p>
    <w:p>
      <w:pPr>
        <w:pStyle w:val="ListParagraph"/>
        <w:numPr>
          <w:ilvl w:val="0"/>
          <w:numId w:val="81"/>
        </w:numPr>
        <w:tabs>
          <w:tab w:pos="1950" w:val="left" w:leader="none"/>
        </w:tabs>
        <w:spacing w:line="240" w:lineRule="auto" w:before="0" w:after="0"/>
        <w:ind w:left="1949" w:right="0" w:hanging="217"/>
        <w:jc w:val="left"/>
        <w:rPr>
          <w:sz w:val="19"/>
        </w:rPr>
      </w:pPr>
      <w:r>
        <w:rPr>
          <w:w w:val="105"/>
          <w:sz w:val="19"/>
        </w:rPr>
        <w:t>To</w:t>
      </w:r>
      <w:r>
        <w:rPr>
          <w:spacing w:val="-12"/>
          <w:w w:val="105"/>
          <w:sz w:val="19"/>
        </w:rPr>
        <w:t> </w:t>
      </w:r>
      <w:r>
        <w:rPr>
          <w:w w:val="105"/>
          <w:sz w:val="19"/>
        </w:rPr>
        <w:t>develop</w:t>
      </w:r>
      <w:r>
        <w:rPr>
          <w:spacing w:val="-4"/>
          <w:w w:val="105"/>
          <w:sz w:val="19"/>
        </w:rPr>
        <w:t> </w:t>
      </w:r>
      <w:r>
        <w:rPr>
          <w:w w:val="105"/>
          <w:sz w:val="19"/>
        </w:rPr>
        <w:t>a</w:t>
      </w:r>
      <w:r>
        <w:rPr>
          <w:spacing w:val="4"/>
          <w:w w:val="105"/>
          <w:sz w:val="19"/>
        </w:rPr>
        <w:t> </w:t>
      </w:r>
      <w:r>
        <w:rPr>
          <w:w w:val="105"/>
          <w:sz w:val="19"/>
        </w:rPr>
        <w:t>stronger</w:t>
      </w:r>
      <w:r>
        <w:rPr>
          <w:spacing w:val="4"/>
          <w:w w:val="105"/>
          <w:sz w:val="19"/>
        </w:rPr>
        <w:t> </w:t>
      </w:r>
      <w:r>
        <w:rPr>
          <w:w w:val="105"/>
          <w:sz w:val="19"/>
        </w:rPr>
        <w:t>visiting</w:t>
      </w:r>
      <w:r>
        <w:rPr>
          <w:spacing w:val="-7"/>
          <w:w w:val="105"/>
          <w:sz w:val="19"/>
        </w:rPr>
        <w:t> </w:t>
      </w:r>
      <w:r>
        <w:rPr>
          <w:w w:val="105"/>
          <w:sz w:val="19"/>
        </w:rPr>
        <w:t>lecturer</w:t>
      </w:r>
      <w:r>
        <w:rPr>
          <w:spacing w:val="-2"/>
          <w:w w:val="105"/>
          <w:sz w:val="19"/>
        </w:rPr>
        <w:t> program</w:t>
      </w:r>
    </w:p>
    <w:p>
      <w:pPr>
        <w:spacing w:line="226" w:lineRule="exact" w:before="4"/>
        <w:ind w:left="2440" w:right="0" w:firstLine="0"/>
        <w:jc w:val="left"/>
        <w:rPr>
          <w:sz w:val="19"/>
        </w:rPr>
      </w:pPr>
      <w:r>
        <w:rPr>
          <w:b/>
          <w:sz w:val="20"/>
        </w:rPr>
        <w:t>TIME:</w:t>
      </w:r>
      <w:r>
        <w:rPr>
          <w:b/>
          <w:spacing w:val="14"/>
          <w:sz w:val="20"/>
        </w:rPr>
        <w:t> </w:t>
      </w:r>
      <w:r>
        <w:rPr>
          <w:sz w:val="19"/>
        </w:rPr>
        <w:t>2001-</w:t>
      </w:r>
      <w:r>
        <w:rPr>
          <w:spacing w:val="-5"/>
          <w:sz w:val="19"/>
        </w:rPr>
        <w:t>on</w:t>
      </w:r>
    </w:p>
    <w:p>
      <w:pPr>
        <w:spacing w:line="249" w:lineRule="auto" w:before="0"/>
        <w:ind w:left="1729" w:right="218" w:firstLine="716"/>
        <w:jc w:val="left"/>
        <w:rPr>
          <w:sz w:val="19"/>
        </w:rPr>
      </w:pPr>
      <w:r>
        <w:rPr>
          <w:w w:val="105"/>
          <w:sz w:val="19"/>
        </w:rPr>
        <w:t>OUTCOME: Outcome on this</w:t>
      </w:r>
      <w:r>
        <w:rPr>
          <w:spacing w:val="-1"/>
          <w:w w:val="105"/>
          <w:sz w:val="19"/>
        </w:rPr>
        <w:t> </w:t>
      </w:r>
      <w:r>
        <w:rPr>
          <w:w w:val="105"/>
          <w:sz w:val="19"/>
        </w:rPr>
        <w:t>objective is mixed. Although the Department has held</w:t>
      </w:r>
      <w:r>
        <w:rPr>
          <w:spacing w:val="-14"/>
          <w:w w:val="105"/>
          <w:sz w:val="19"/>
        </w:rPr>
        <w:t> </w:t>
      </w:r>
      <w:r>
        <w:rPr>
          <w:w w:val="105"/>
          <w:sz w:val="19"/>
        </w:rPr>
        <w:t>a weekly</w:t>
      </w:r>
      <w:r>
        <w:rPr>
          <w:spacing w:val="-2"/>
          <w:w w:val="105"/>
          <w:sz w:val="19"/>
        </w:rPr>
        <w:t> </w:t>
      </w:r>
      <w:r>
        <w:rPr>
          <w:w w:val="105"/>
          <w:sz w:val="19"/>
        </w:rPr>
        <w:t>event</w:t>
      </w:r>
      <w:r>
        <w:rPr>
          <w:spacing w:val="-3"/>
          <w:w w:val="105"/>
          <w:sz w:val="19"/>
        </w:rPr>
        <w:t> </w:t>
      </w:r>
      <w:r>
        <w:rPr>
          <w:w w:val="105"/>
          <w:sz w:val="19"/>
        </w:rPr>
        <w:t>on</w:t>
      </w:r>
      <w:r>
        <w:rPr>
          <w:spacing w:val="-5"/>
          <w:w w:val="105"/>
          <w:sz w:val="19"/>
        </w:rPr>
        <w:t> </w:t>
      </w:r>
      <w:r>
        <w:rPr>
          <w:w w:val="105"/>
          <w:sz w:val="19"/>
        </w:rPr>
        <w:t>each Friday, the</w:t>
      </w:r>
      <w:r>
        <w:rPr>
          <w:spacing w:val="-3"/>
          <w:w w:val="105"/>
          <w:sz w:val="19"/>
        </w:rPr>
        <w:t> </w:t>
      </w:r>
      <w:r>
        <w:rPr>
          <w:w w:val="105"/>
          <w:sz w:val="19"/>
        </w:rPr>
        <w:t>presenters are</w:t>
      </w:r>
      <w:r>
        <w:rPr>
          <w:spacing w:val="-14"/>
          <w:w w:val="105"/>
          <w:sz w:val="19"/>
        </w:rPr>
        <w:t> </w:t>
      </w:r>
      <w:r>
        <w:rPr>
          <w:w w:val="105"/>
          <w:sz w:val="19"/>
        </w:rPr>
        <w:t>typically students and faculty, and local architects and speakers who donate their time and are secured through</w:t>
      </w:r>
      <w:r>
        <w:rPr>
          <w:spacing w:val="25"/>
          <w:w w:val="105"/>
          <w:sz w:val="19"/>
        </w:rPr>
        <w:t> </w:t>
      </w:r>
      <w:r>
        <w:rPr>
          <w:w w:val="105"/>
          <w:sz w:val="19"/>
        </w:rPr>
        <w:t>students and faculty personal and professional connections, When there are significant local events, such as the VSAIA annual conference, these will be substituted for the Friday event. The Department has also hosted presentations by faculty from other architecture programs in the</w:t>
      </w:r>
      <w:r>
        <w:rPr>
          <w:spacing w:val="-4"/>
          <w:w w:val="105"/>
          <w:sz w:val="19"/>
        </w:rPr>
        <w:t> </w:t>
      </w:r>
      <w:r>
        <w:rPr>
          <w:w w:val="105"/>
          <w:sz w:val="19"/>
        </w:rPr>
        <w:t>regions: Maryland, North Carolina, Virginia and Washington D.C. The Department also coordinates</w:t>
      </w:r>
      <w:r>
        <w:rPr>
          <w:spacing w:val="30"/>
          <w:w w:val="105"/>
          <w:sz w:val="19"/>
        </w:rPr>
        <w:t> </w:t>
      </w:r>
      <w:r>
        <w:rPr>
          <w:w w:val="105"/>
          <w:sz w:val="19"/>
        </w:rPr>
        <w:t>with these programs to share guests who</w:t>
      </w:r>
      <w:r>
        <w:rPr>
          <w:spacing w:val="-2"/>
          <w:w w:val="105"/>
          <w:sz w:val="19"/>
        </w:rPr>
        <w:t> </w:t>
      </w:r>
      <w:r>
        <w:rPr>
          <w:w w:val="105"/>
          <w:sz w:val="19"/>
        </w:rPr>
        <w:t>may </w:t>
      </w:r>
      <w:r>
        <w:rPr>
          <w:w w:val="105"/>
          <w:sz w:val="21"/>
        </w:rPr>
        <w:t>be </w:t>
      </w:r>
      <w:r>
        <w:rPr>
          <w:w w:val="105"/>
          <w:sz w:val="19"/>
        </w:rPr>
        <w:t>visiting the</w:t>
      </w:r>
      <w:r>
        <w:rPr>
          <w:spacing w:val="-1"/>
          <w:w w:val="105"/>
          <w:sz w:val="19"/>
        </w:rPr>
        <w:t> </w:t>
      </w:r>
      <w:r>
        <w:rPr>
          <w:w w:val="105"/>
          <w:sz w:val="19"/>
        </w:rPr>
        <w:t>area</w:t>
      </w:r>
      <w:r>
        <w:rPr>
          <w:spacing w:val="-5"/>
          <w:w w:val="105"/>
          <w:sz w:val="19"/>
        </w:rPr>
        <w:t> </w:t>
      </w:r>
      <w:r>
        <w:rPr>
          <w:w w:val="105"/>
          <w:sz w:val="19"/>
        </w:rPr>
        <w:t>for the</w:t>
      </w:r>
      <w:r>
        <w:rPr>
          <w:spacing w:val="-12"/>
          <w:w w:val="105"/>
          <w:sz w:val="19"/>
        </w:rPr>
        <w:t> </w:t>
      </w:r>
      <w:r>
        <w:rPr>
          <w:w w:val="105"/>
          <w:sz w:val="19"/>
        </w:rPr>
        <w:t>Friday lecture series.</w:t>
      </w:r>
      <w:r>
        <w:rPr>
          <w:spacing w:val="-1"/>
          <w:w w:val="105"/>
          <w:sz w:val="19"/>
        </w:rPr>
        <w:t> </w:t>
      </w:r>
      <w:r>
        <w:rPr>
          <w:w w:val="105"/>
          <w:sz w:val="19"/>
        </w:rPr>
        <w:t>Naturally, funding restricts</w:t>
      </w:r>
      <w:r>
        <w:rPr>
          <w:spacing w:val="-2"/>
          <w:w w:val="105"/>
          <w:sz w:val="19"/>
        </w:rPr>
        <w:t> </w:t>
      </w:r>
      <w:r>
        <w:rPr>
          <w:w w:val="105"/>
          <w:sz w:val="19"/>
        </w:rPr>
        <w:t>the pool of professionals</w:t>
      </w:r>
    </w:p>
    <w:p>
      <w:pPr>
        <w:pStyle w:val="BodyText"/>
      </w:pPr>
    </w:p>
    <w:p>
      <w:pPr>
        <w:pStyle w:val="BodyText"/>
        <w:spacing w:before="5"/>
        <w:rPr>
          <w:sz w:val="22"/>
        </w:rPr>
      </w:pPr>
      <w:r>
        <w:rPr/>
        <w:pict>
          <v:shape style="position:absolute;margin-left:69.379066pt;margin-top:14.099181pt;width:454.35pt;height:.1pt;mso-position-horizontal-relative:page;mso-position-vertical-relative:paragraph;z-index:-15691264;mso-wrap-distance-left:0;mso-wrap-distance-right:0" id="docshape682" coordorigin="1388,282" coordsize="9087,0" path="m1388,282l10474,282e" filled="false" stroked="true" strokeweight=".481434pt" strokecolor="#000000">
            <v:path arrowok="t"/>
            <v:stroke dashstyle="solid"/>
            <w10:wrap type="topAndBottom"/>
          </v:shape>
        </w:pict>
      </w:r>
    </w:p>
    <w:p>
      <w:pPr>
        <w:spacing w:before="0"/>
        <w:ind w:left="0" w:right="183" w:firstLine="0"/>
        <w:jc w:val="right"/>
        <w:rPr>
          <w:sz w:val="19"/>
        </w:rPr>
      </w:pPr>
      <w:r>
        <w:rPr>
          <w:spacing w:val="-5"/>
          <w:w w:val="105"/>
          <w:sz w:val="19"/>
        </w:rPr>
        <w:t>31</w:t>
      </w:r>
    </w:p>
    <w:p>
      <w:pPr>
        <w:spacing w:after="0"/>
        <w:jc w:val="right"/>
        <w:rPr>
          <w:sz w:val="19"/>
        </w:rPr>
        <w:sectPr>
          <w:headerReference w:type="default" r:id="rId419"/>
          <w:footerReference w:type="default" r:id="rId420"/>
          <w:pgSz w:w="12180" w:h="15820"/>
          <w:pgMar w:header="742" w:footer="0" w:top="1380" w:bottom="280" w:left="1120" w:right="1180"/>
        </w:sectPr>
      </w:pPr>
    </w:p>
    <w:p>
      <w:pPr>
        <w:pStyle w:val="BodyText"/>
        <w:rPr>
          <w:sz w:val="19"/>
        </w:rPr>
      </w:pPr>
    </w:p>
    <w:p>
      <w:pPr>
        <w:spacing w:line="242" w:lineRule="auto" w:before="94"/>
        <w:ind w:left="1658" w:right="424" w:hanging="1"/>
        <w:jc w:val="left"/>
        <w:rPr>
          <w:sz w:val="19"/>
        </w:rPr>
      </w:pPr>
      <w:r>
        <w:rPr>
          <w:w w:val="105"/>
          <w:sz w:val="19"/>
        </w:rPr>
        <w:t>and</w:t>
      </w:r>
      <w:r>
        <w:rPr>
          <w:spacing w:val="-1"/>
          <w:w w:val="105"/>
          <w:sz w:val="19"/>
        </w:rPr>
        <w:t> </w:t>
      </w:r>
      <w:r>
        <w:rPr>
          <w:w w:val="105"/>
          <w:sz w:val="19"/>
        </w:rPr>
        <w:t>scholars the</w:t>
      </w:r>
      <w:r>
        <w:rPr>
          <w:spacing w:val="-15"/>
          <w:w w:val="105"/>
          <w:sz w:val="19"/>
        </w:rPr>
        <w:t> </w:t>
      </w:r>
      <w:r>
        <w:rPr>
          <w:w w:val="105"/>
          <w:sz w:val="19"/>
        </w:rPr>
        <w:t>Department is able</w:t>
      </w:r>
      <w:r>
        <w:rPr>
          <w:spacing w:val="-13"/>
          <w:w w:val="105"/>
          <w:sz w:val="19"/>
        </w:rPr>
        <w:t> </w:t>
      </w:r>
      <w:r>
        <w:rPr>
          <w:w w:val="105"/>
          <w:sz w:val="19"/>
        </w:rPr>
        <w:t>to</w:t>
      </w:r>
      <w:r>
        <w:rPr>
          <w:spacing w:val="-6"/>
          <w:w w:val="105"/>
          <w:sz w:val="19"/>
        </w:rPr>
        <w:t> </w:t>
      </w:r>
      <w:r>
        <w:rPr>
          <w:w w:val="105"/>
          <w:sz w:val="19"/>
        </w:rPr>
        <w:t>invite.</w:t>
      </w:r>
      <w:r>
        <w:rPr>
          <w:spacing w:val="-1"/>
          <w:w w:val="105"/>
          <w:sz w:val="19"/>
        </w:rPr>
        <w:t> </w:t>
      </w:r>
      <w:r>
        <w:rPr>
          <w:w w:val="105"/>
          <w:sz w:val="19"/>
        </w:rPr>
        <w:t>Funds spent</w:t>
      </w:r>
      <w:r>
        <w:rPr>
          <w:spacing w:val="-4"/>
          <w:w w:val="105"/>
          <w:sz w:val="19"/>
        </w:rPr>
        <w:t> </w:t>
      </w:r>
      <w:r>
        <w:rPr>
          <w:w w:val="105"/>
          <w:sz w:val="19"/>
        </w:rPr>
        <w:t>on lectures</w:t>
      </w:r>
      <w:r>
        <w:rPr>
          <w:spacing w:val="-3"/>
          <w:w w:val="105"/>
          <w:sz w:val="19"/>
        </w:rPr>
        <w:t> </w:t>
      </w:r>
      <w:r>
        <w:rPr>
          <w:w w:val="105"/>
          <w:sz w:val="19"/>
        </w:rPr>
        <w:t>would</w:t>
      </w:r>
      <w:r>
        <w:rPr>
          <w:spacing w:val="-12"/>
          <w:w w:val="105"/>
          <w:sz w:val="19"/>
        </w:rPr>
        <w:t> </w:t>
      </w:r>
      <w:r>
        <w:rPr>
          <w:w w:val="105"/>
          <w:sz w:val="19"/>
        </w:rPr>
        <w:t>come</w:t>
      </w:r>
      <w:r>
        <w:rPr>
          <w:spacing w:val="-7"/>
          <w:w w:val="105"/>
          <w:sz w:val="19"/>
        </w:rPr>
        <w:t> </w:t>
      </w:r>
      <w:r>
        <w:rPr>
          <w:w w:val="105"/>
          <w:sz w:val="19"/>
        </w:rPr>
        <w:t>from other needs, usually balanced against faculty travel and</w:t>
      </w:r>
      <w:r>
        <w:rPr>
          <w:spacing w:val="-2"/>
          <w:w w:val="105"/>
          <w:sz w:val="19"/>
        </w:rPr>
        <w:t> </w:t>
      </w:r>
      <w:r>
        <w:rPr>
          <w:w w:val="105"/>
          <w:sz w:val="19"/>
        </w:rPr>
        <w:t>development.</w:t>
      </w:r>
    </w:p>
    <w:p>
      <w:pPr>
        <w:pStyle w:val="BodyText"/>
        <w:spacing w:before="1"/>
        <w:rPr>
          <w:sz w:val="21"/>
        </w:rPr>
      </w:pPr>
    </w:p>
    <w:p>
      <w:pPr>
        <w:pStyle w:val="ListParagraph"/>
        <w:numPr>
          <w:ilvl w:val="0"/>
          <w:numId w:val="81"/>
        </w:numPr>
        <w:tabs>
          <w:tab w:pos="1869" w:val="left" w:leader="none"/>
        </w:tabs>
        <w:spacing w:line="254" w:lineRule="auto" w:before="0" w:after="0"/>
        <w:ind w:left="1831" w:right="492" w:hanging="179"/>
        <w:jc w:val="left"/>
        <w:rPr>
          <w:sz w:val="19"/>
        </w:rPr>
      </w:pPr>
      <w:r>
        <w:rPr>
          <w:w w:val="105"/>
          <w:sz w:val="19"/>
        </w:rPr>
        <w:t>Slide</w:t>
      </w:r>
      <w:r>
        <w:rPr>
          <w:spacing w:val="-2"/>
          <w:w w:val="105"/>
          <w:sz w:val="19"/>
        </w:rPr>
        <w:t> </w:t>
      </w:r>
      <w:r>
        <w:rPr>
          <w:w w:val="105"/>
          <w:sz w:val="19"/>
        </w:rPr>
        <w:t>librarian to</w:t>
      </w:r>
      <w:r>
        <w:rPr>
          <w:spacing w:val="-2"/>
          <w:w w:val="105"/>
          <w:sz w:val="19"/>
        </w:rPr>
        <w:t> </w:t>
      </w:r>
      <w:r>
        <w:rPr>
          <w:w w:val="105"/>
          <w:sz w:val="19"/>
        </w:rPr>
        <w:t>develop</w:t>
      </w:r>
      <w:r>
        <w:rPr>
          <w:spacing w:val="-2"/>
          <w:w w:val="105"/>
          <w:sz w:val="19"/>
        </w:rPr>
        <w:t> </w:t>
      </w:r>
      <w:r>
        <w:rPr>
          <w:w w:val="105"/>
          <w:sz w:val="19"/>
        </w:rPr>
        <w:t>slide</w:t>
      </w:r>
      <w:r>
        <w:rPr>
          <w:spacing w:val="-11"/>
          <w:w w:val="105"/>
          <w:sz w:val="19"/>
        </w:rPr>
        <w:t> </w:t>
      </w:r>
      <w:r>
        <w:rPr>
          <w:w w:val="105"/>
          <w:sz w:val="19"/>
        </w:rPr>
        <w:t>library to</w:t>
      </w:r>
      <w:r>
        <w:rPr>
          <w:spacing w:val="-5"/>
          <w:w w:val="105"/>
          <w:sz w:val="19"/>
        </w:rPr>
        <w:t> </w:t>
      </w:r>
      <w:r>
        <w:rPr>
          <w:w w:val="105"/>
          <w:sz w:val="19"/>
        </w:rPr>
        <w:t>include</w:t>
      </w:r>
      <w:r>
        <w:rPr>
          <w:spacing w:val="-5"/>
          <w:w w:val="105"/>
          <w:sz w:val="19"/>
        </w:rPr>
        <w:t> </w:t>
      </w:r>
      <w:r>
        <w:rPr>
          <w:w w:val="105"/>
          <w:sz w:val="19"/>
        </w:rPr>
        <w:t>works</w:t>
      </w:r>
      <w:r>
        <w:rPr>
          <w:spacing w:val="-7"/>
          <w:w w:val="105"/>
          <w:sz w:val="19"/>
        </w:rPr>
        <w:t> </w:t>
      </w:r>
      <w:r>
        <w:rPr>
          <w:w w:val="105"/>
          <w:sz w:val="19"/>
        </w:rPr>
        <w:t>by</w:t>
      </w:r>
      <w:r>
        <w:rPr>
          <w:spacing w:val="-6"/>
          <w:w w:val="105"/>
          <w:sz w:val="19"/>
        </w:rPr>
        <w:t> </w:t>
      </w:r>
      <w:r>
        <w:rPr>
          <w:w w:val="105"/>
          <w:sz w:val="19"/>
        </w:rPr>
        <w:t>African American</w:t>
      </w:r>
      <w:r>
        <w:rPr>
          <w:spacing w:val="-4"/>
          <w:w w:val="105"/>
          <w:sz w:val="19"/>
        </w:rPr>
        <w:t> </w:t>
      </w:r>
      <w:r>
        <w:rPr>
          <w:w w:val="105"/>
          <w:sz w:val="19"/>
        </w:rPr>
        <w:t>Architects and designers.</w:t>
      </w:r>
    </w:p>
    <w:p>
      <w:pPr>
        <w:spacing w:line="220" w:lineRule="exact" w:before="0"/>
        <w:ind w:left="2363" w:right="0" w:firstLine="0"/>
        <w:jc w:val="left"/>
        <w:rPr>
          <w:sz w:val="19"/>
        </w:rPr>
      </w:pPr>
      <w:r>
        <w:rPr>
          <w:b/>
          <w:sz w:val="20"/>
        </w:rPr>
        <w:t>TIME:</w:t>
      </w:r>
      <w:r>
        <w:rPr>
          <w:b/>
          <w:spacing w:val="13"/>
          <w:sz w:val="20"/>
        </w:rPr>
        <w:t> </w:t>
      </w:r>
      <w:r>
        <w:rPr>
          <w:sz w:val="19"/>
        </w:rPr>
        <w:t>1999-</w:t>
      </w:r>
      <w:r>
        <w:rPr>
          <w:spacing w:val="-5"/>
          <w:sz w:val="19"/>
        </w:rPr>
        <w:t>on</w:t>
      </w:r>
    </w:p>
    <w:p>
      <w:pPr>
        <w:spacing w:line="256" w:lineRule="auto" w:before="10"/>
        <w:ind w:left="1638" w:right="373" w:firstLine="720"/>
        <w:jc w:val="left"/>
        <w:rPr>
          <w:sz w:val="19"/>
        </w:rPr>
      </w:pPr>
      <w:r>
        <w:rPr>
          <w:w w:val="105"/>
          <w:sz w:val="19"/>
        </w:rPr>
        <w:t>OUTCOME: Originally a new slide</w:t>
      </w:r>
      <w:r>
        <w:rPr>
          <w:spacing w:val="-7"/>
          <w:w w:val="105"/>
          <w:sz w:val="19"/>
        </w:rPr>
        <w:t> </w:t>
      </w:r>
      <w:r>
        <w:rPr>
          <w:w w:val="105"/>
          <w:sz w:val="19"/>
        </w:rPr>
        <w:t>curator was targeted. Wlth increased digital reliance, new avenues have</w:t>
      </w:r>
      <w:r>
        <w:rPr>
          <w:spacing w:val="-8"/>
          <w:w w:val="105"/>
          <w:sz w:val="19"/>
        </w:rPr>
        <w:t> </w:t>
      </w:r>
      <w:r>
        <w:rPr>
          <w:w w:val="105"/>
          <w:sz w:val="19"/>
        </w:rPr>
        <w:t>emerged. There has</w:t>
      </w:r>
      <w:r>
        <w:rPr>
          <w:spacing w:val="-5"/>
          <w:w w:val="105"/>
          <w:sz w:val="19"/>
        </w:rPr>
        <w:t> </w:t>
      </w:r>
      <w:r>
        <w:rPr>
          <w:w w:val="105"/>
          <w:sz w:val="19"/>
        </w:rPr>
        <w:t>not been substantive progress on this objective. However, the Harvey Library has added</w:t>
      </w:r>
      <w:r>
        <w:rPr>
          <w:spacing w:val="-6"/>
          <w:w w:val="105"/>
          <w:sz w:val="19"/>
        </w:rPr>
        <w:t> </w:t>
      </w:r>
      <w:r>
        <w:rPr>
          <w:w w:val="105"/>
          <w:sz w:val="19"/>
        </w:rPr>
        <w:t>ARTstor as a digital image</w:t>
      </w:r>
      <w:r>
        <w:rPr>
          <w:spacing w:val="-4"/>
          <w:w w:val="105"/>
          <w:sz w:val="19"/>
        </w:rPr>
        <w:t> </w:t>
      </w:r>
      <w:r>
        <w:rPr>
          <w:w w:val="105"/>
          <w:sz w:val="19"/>
        </w:rPr>
        <w:t>database. This not</w:t>
      </w:r>
      <w:r>
        <w:rPr>
          <w:spacing w:val="-10"/>
          <w:w w:val="105"/>
          <w:sz w:val="19"/>
        </w:rPr>
        <w:t> </w:t>
      </w:r>
      <w:r>
        <w:rPr>
          <w:w w:val="105"/>
          <w:sz w:val="19"/>
        </w:rPr>
        <w:t>only meets most</w:t>
      </w:r>
      <w:r>
        <w:rPr>
          <w:spacing w:val="-7"/>
          <w:w w:val="105"/>
          <w:sz w:val="19"/>
        </w:rPr>
        <w:t> </w:t>
      </w:r>
      <w:r>
        <w:rPr>
          <w:w w:val="105"/>
          <w:sz w:val="19"/>
        </w:rPr>
        <w:t>of the slide</w:t>
      </w:r>
      <w:r>
        <w:rPr>
          <w:spacing w:val="-11"/>
          <w:w w:val="105"/>
          <w:sz w:val="19"/>
        </w:rPr>
        <w:t> </w:t>
      </w:r>
      <w:r>
        <w:rPr>
          <w:w w:val="105"/>
          <w:sz w:val="19"/>
        </w:rPr>
        <w:t>needs</w:t>
      </w:r>
      <w:r>
        <w:rPr>
          <w:spacing w:val="-5"/>
          <w:w w:val="105"/>
          <w:sz w:val="19"/>
        </w:rPr>
        <w:t> </w:t>
      </w:r>
      <w:r>
        <w:rPr>
          <w:w w:val="105"/>
          <w:sz w:val="19"/>
        </w:rPr>
        <w:t>for the</w:t>
      </w:r>
      <w:r>
        <w:rPr>
          <w:spacing w:val="-14"/>
          <w:w w:val="105"/>
          <w:sz w:val="19"/>
        </w:rPr>
        <w:t> </w:t>
      </w:r>
      <w:r>
        <w:rPr>
          <w:w w:val="105"/>
          <w:sz w:val="19"/>
        </w:rPr>
        <w:t>Department,</w:t>
      </w:r>
      <w:r>
        <w:rPr>
          <w:spacing w:val="17"/>
          <w:w w:val="105"/>
          <w:sz w:val="19"/>
        </w:rPr>
        <w:t> </w:t>
      </w:r>
      <w:r>
        <w:rPr>
          <w:w w:val="105"/>
          <w:sz w:val="19"/>
        </w:rPr>
        <w:t>it also</w:t>
      </w:r>
      <w:r>
        <w:rPr>
          <w:spacing w:val="-13"/>
          <w:w w:val="105"/>
          <w:sz w:val="19"/>
        </w:rPr>
        <w:t> </w:t>
      </w:r>
      <w:r>
        <w:rPr>
          <w:w w:val="105"/>
          <w:sz w:val="19"/>
        </w:rPr>
        <w:t>offers an</w:t>
      </w:r>
      <w:r>
        <w:rPr>
          <w:spacing w:val="-12"/>
          <w:w w:val="105"/>
          <w:sz w:val="19"/>
        </w:rPr>
        <w:t> </w:t>
      </w:r>
      <w:r>
        <w:rPr>
          <w:w w:val="105"/>
          <w:sz w:val="19"/>
        </w:rPr>
        <w:t>outlet for a potential collection of the works of African American Architects.</w:t>
      </w:r>
    </w:p>
    <w:p>
      <w:pPr>
        <w:pStyle w:val="BodyText"/>
        <w:spacing w:before="9"/>
        <w:rPr>
          <w:sz w:val="19"/>
        </w:rPr>
      </w:pPr>
    </w:p>
    <w:p>
      <w:pPr>
        <w:pStyle w:val="ListParagraph"/>
        <w:numPr>
          <w:ilvl w:val="0"/>
          <w:numId w:val="81"/>
        </w:numPr>
        <w:tabs>
          <w:tab w:pos="1854" w:val="left" w:leader="none"/>
        </w:tabs>
        <w:spacing w:line="254" w:lineRule="auto" w:before="0" w:after="0"/>
        <w:ind w:left="1825" w:right="842" w:hanging="179"/>
        <w:jc w:val="left"/>
        <w:rPr>
          <w:sz w:val="19"/>
        </w:rPr>
      </w:pPr>
      <w:r>
        <w:rPr>
          <w:w w:val="105"/>
          <w:sz w:val="19"/>
        </w:rPr>
        <w:t>To</w:t>
      </w:r>
      <w:r>
        <w:rPr>
          <w:spacing w:val="-2"/>
          <w:w w:val="105"/>
          <w:sz w:val="19"/>
        </w:rPr>
        <w:t> </w:t>
      </w:r>
      <w:r>
        <w:rPr>
          <w:w w:val="105"/>
          <w:sz w:val="19"/>
        </w:rPr>
        <w:t>provide faculty opportunities to</w:t>
      </w:r>
      <w:r>
        <w:rPr>
          <w:spacing w:val="-1"/>
          <w:w w:val="105"/>
          <w:sz w:val="19"/>
        </w:rPr>
        <w:t> </w:t>
      </w:r>
      <w:r>
        <w:rPr>
          <w:w w:val="105"/>
          <w:sz w:val="19"/>
        </w:rPr>
        <w:t>keep</w:t>
      </w:r>
      <w:r>
        <w:rPr>
          <w:spacing w:val="-6"/>
          <w:w w:val="105"/>
          <w:sz w:val="19"/>
        </w:rPr>
        <w:t> </w:t>
      </w:r>
      <w:r>
        <w:rPr>
          <w:w w:val="105"/>
          <w:sz w:val="19"/>
        </w:rPr>
        <w:t>abreast</w:t>
      </w:r>
      <w:r>
        <w:rPr>
          <w:spacing w:val="-7"/>
          <w:w w:val="105"/>
          <w:sz w:val="19"/>
        </w:rPr>
        <w:t> </w:t>
      </w:r>
      <w:r>
        <w:rPr>
          <w:w w:val="105"/>
          <w:sz w:val="19"/>
        </w:rPr>
        <w:t>of</w:t>
      </w:r>
      <w:r>
        <w:rPr>
          <w:spacing w:val="-11"/>
          <w:w w:val="105"/>
          <w:sz w:val="19"/>
        </w:rPr>
        <w:t> </w:t>
      </w:r>
      <w:r>
        <w:rPr>
          <w:w w:val="105"/>
          <w:sz w:val="19"/>
        </w:rPr>
        <w:t>professional</w:t>
      </w:r>
      <w:r>
        <w:rPr>
          <w:spacing w:val="-1"/>
          <w:w w:val="105"/>
          <w:sz w:val="19"/>
        </w:rPr>
        <w:t> </w:t>
      </w:r>
      <w:r>
        <w:rPr>
          <w:w w:val="105"/>
          <w:sz w:val="19"/>
        </w:rPr>
        <w:t>development and teaching methods.</w:t>
      </w:r>
    </w:p>
    <w:p>
      <w:pPr>
        <w:spacing w:line="220" w:lineRule="exact" w:before="0"/>
        <w:ind w:left="2354" w:right="0" w:firstLine="0"/>
        <w:jc w:val="left"/>
        <w:rPr>
          <w:sz w:val="19"/>
        </w:rPr>
      </w:pPr>
      <w:r>
        <w:rPr>
          <w:b/>
          <w:sz w:val="20"/>
        </w:rPr>
        <w:t>TIME:</w:t>
      </w:r>
      <w:r>
        <w:rPr>
          <w:b/>
          <w:spacing w:val="14"/>
          <w:sz w:val="20"/>
        </w:rPr>
        <w:t> </w:t>
      </w:r>
      <w:r>
        <w:rPr>
          <w:sz w:val="19"/>
        </w:rPr>
        <w:t>2001-</w:t>
      </w:r>
      <w:r>
        <w:rPr>
          <w:spacing w:val="-5"/>
          <w:sz w:val="19"/>
        </w:rPr>
        <w:t>on</w:t>
      </w:r>
    </w:p>
    <w:p>
      <w:pPr>
        <w:spacing w:line="256" w:lineRule="auto" w:before="11"/>
        <w:ind w:left="1633" w:right="373" w:firstLine="725"/>
        <w:jc w:val="left"/>
        <w:rPr>
          <w:sz w:val="19"/>
        </w:rPr>
      </w:pPr>
      <w:r>
        <w:rPr>
          <w:w w:val="105"/>
          <w:sz w:val="19"/>
        </w:rPr>
        <w:t>OUTCOME: Objective</w:t>
      </w:r>
      <w:r>
        <w:rPr>
          <w:spacing w:val="-1"/>
          <w:w w:val="105"/>
          <w:sz w:val="19"/>
        </w:rPr>
        <w:t> </w:t>
      </w:r>
      <w:r>
        <w:rPr>
          <w:w w:val="105"/>
          <w:sz w:val="19"/>
        </w:rPr>
        <w:t>with</w:t>
      </w:r>
      <w:r>
        <w:rPr>
          <w:spacing w:val="-10"/>
          <w:w w:val="105"/>
          <w:sz w:val="19"/>
        </w:rPr>
        <w:t> </w:t>
      </w:r>
      <w:r>
        <w:rPr>
          <w:w w:val="105"/>
          <w:sz w:val="19"/>
        </w:rPr>
        <w:t>mixed</w:t>
      </w:r>
      <w:r>
        <w:rPr>
          <w:spacing w:val="-1"/>
          <w:w w:val="105"/>
          <w:sz w:val="19"/>
        </w:rPr>
        <w:t> </w:t>
      </w:r>
      <w:r>
        <w:rPr>
          <w:w w:val="105"/>
          <w:sz w:val="19"/>
        </w:rPr>
        <w:t>outcomes. Funding limitations</w:t>
      </w:r>
      <w:r>
        <w:rPr>
          <w:spacing w:val="-2"/>
          <w:w w:val="105"/>
          <w:sz w:val="19"/>
        </w:rPr>
        <w:t> </w:t>
      </w:r>
      <w:r>
        <w:rPr>
          <w:w w:val="105"/>
          <w:sz w:val="19"/>
        </w:rPr>
        <w:t>have limited</w:t>
      </w:r>
      <w:r>
        <w:rPr>
          <w:spacing w:val="-8"/>
          <w:w w:val="105"/>
          <w:sz w:val="19"/>
        </w:rPr>
        <w:t> </w:t>
      </w:r>
      <w:r>
        <w:rPr>
          <w:w w:val="105"/>
          <w:sz w:val="19"/>
        </w:rPr>
        <w:t>the most</w:t>
      </w:r>
      <w:r>
        <w:rPr>
          <w:spacing w:val="-7"/>
          <w:w w:val="105"/>
          <w:sz w:val="19"/>
        </w:rPr>
        <w:t> </w:t>
      </w:r>
      <w:r>
        <w:rPr>
          <w:w w:val="105"/>
          <w:sz w:val="19"/>
        </w:rPr>
        <w:t>typical</w:t>
      </w:r>
      <w:r>
        <w:rPr>
          <w:spacing w:val="-7"/>
          <w:w w:val="105"/>
          <w:sz w:val="19"/>
        </w:rPr>
        <w:t> </w:t>
      </w:r>
      <w:r>
        <w:rPr>
          <w:w w:val="105"/>
          <w:sz w:val="19"/>
        </w:rPr>
        <w:t>means of fulfilling the objective to fund faculty travel</w:t>
      </w:r>
      <w:r>
        <w:rPr>
          <w:spacing w:val="-4"/>
          <w:w w:val="105"/>
          <w:sz w:val="19"/>
        </w:rPr>
        <w:t> </w:t>
      </w:r>
      <w:r>
        <w:rPr>
          <w:w w:val="105"/>
          <w:sz w:val="19"/>
        </w:rPr>
        <w:t>to and participation in seminars, workshops, and</w:t>
      </w:r>
      <w:r>
        <w:rPr>
          <w:spacing w:val="-4"/>
          <w:w w:val="105"/>
          <w:sz w:val="19"/>
        </w:rPr>
        <w:t> </w:t>
      </w:r>
      <w:r>
        <w:rPr>
          <w:w w:val="105"/>
          <w:sz w:val="19"/>
        </w:rPr>
        <w:t>conferences. A number of other strategies have thus been employed: partial</w:t>
      </w:r>
      <w:r>
        <w:rPr>
          <w:spacing w:val="-6"/>
          <w:w w:val="105"/>
          <w:sz w:val="19"/>
        </w:rPr>
        <w:t> </w:t>
      </w:r>
      <w:r>
        <w:rPr>
          <w:w w:val="105"/>
          <w:sz w:val="19"/>
        </w:rPr>
        <w:t>Department funding matched by faculty contributions;</w:t>
      </w:r>
      <w:r>
        <w:rPr>
          <w:spacing w:val="-1"/>
          <w:w w:val="105"/>
          <w:sz w:val="19"/>
        </w:rPr>
        <w:t> </w:t>
      </w:r>
      <w:r>
        <w:rPr>
          <w:w w:val="105"/>
          <w:sz w:val="19"/>
        </w:rPr>
        <w:t>discretionary funds from the</w:t>
      </w:r>
      <w:r>
        <w:rPr>
          <w:spacing w:val="-10"/>
          <w:w w:val="105"/>
          <w:sz w:val="19"/>
        </w:rPr>
        <w:t> </w:t>
      </w:r>
      <w:r>
        <w:rPr>
          <w:w w:val="105"/>
          <w:sz w:val="19"/>
        </w:rPr>
        <w:t>Office of the Dean; and research funds. This has been leveraged by the fact that the</w:t>
      </w:r>
      <w:r>
        <w:rPr>
          <w:spacing w:val="-8"/>
          <w:w w:val="105"/>
          <w:sz w:val="19"/>
        </w:rPr>
        <w:t> </w:t>
      </w:r>
      <w:r>
        <w:rPr>
          <w:w w:val="105"/>
          <w:sz w:val="19"/>
        </w:rPr>
        <w:t>Department has included the</w:t>
      </w:r>
      <w:r>
        <w:rPr>
          <w:spacing w:val="-1"/>
          <w:w w:val="105"/>
          <w:sz w:val="19"/>
        </w:rPr>
        <w:t> </w:t>
      </w:r>
      <w:r>
        <w:rPr>
          <w:w w:val="105"/>
          <w:sz w:val="19"/>
        </w:rPr>
        <w:t>ACSA president (Brad Grant) and secretary (Cam,ina Sanchez) in the last six years, which has</w:t>
      </w:r>
      <w:r>
        <w:rPr>
          <w:spacing w:val="-2"/>
          <w:w w:val="105"/>
          <w:sz w:val="19"/>
        </w:rPr>
        <w:t> </w:t>
      </w:r>
      <w:r>
        <w:rPr>
          <w:w w:val="105"/>
          <w:sz w:val="19"/>
        </w:rPr>
        <w:t>facilitated some cost sharing.</w:t>
      </w:r>
    </w:p>
    <w:p>
      <w:pPr>
        <w:spacing w:line="242" w:lineRule="auto" w:before="0"/>
        <w:ind w:left="1639" w:right="373" w:hanging="4"/>
        <w:jc w:val="left"/>
        <w:rPr>
          <w:sz w:val="19"/>
        </w:rPr>
      </w:pPr>
      <w:r>
        <w:rPr>
          <w:w w:val="105"/>
          <w:sz w:val="19"/>
        </w:rPr>
        <w:t>Additionally, the</w:t>
      </w:r>
      <w:r>
        <w:rPr>
          <w:spacing w:val="-8"/>
          <w:w w:val="105"/>
          <w:sz w:val="19"/>
        </w:rPr>
        <w:t> </w:t>
      </w:r>
      <w:r>
        <w:rPr>
          <w:w w:val="105"/>
          <w:sz w:val="19"/>
        </w:rPr>
        <w:t>Department has</w:t>
      </w:r>
      <w:r>
        <w:rPr>
          <w:spacing w:val="-7"/>
          <w:w w:val="105"/>
          <w:sz w:val="19"/>
        </w:rPr>
        <w:t> </w:t>
      </w:r>
      <w:r>
        <w:rPr>
          <w:w w:val="105"/>
          <w:sz w:val="19"/>
        </w:rPr>
        <w:t>utilized</w:t>
      </w:r>
      <w:r>
        <w:rPr>
          <w:spacing w:val="-9"/>
          <w:w w:val="105"/>
          <w:sz w:val="19"/>
        </w:rPr>
        <w:t> </w:t>
      </w:r>
      <w:r>
        <w:rPr>
          <w:w w:val="105"/>
          <w:sz w:val="19"/>
        </w:rPr>
        <w:t>the</w:t>
      </w:r>
      <w:r>
        <w:rPr>
          <w:spacing w:val="-1"/>
          <w:w w:val="105"/>
          <w:sz w:val="19"/>
        </w:rPr>
        <w:t> </w:t>
      </w:r>
      <w:r>
        <w:rPr>
          <w:w w:val="105"/>
          <w:sz w:val="19"/>
        </w:rPr>
        <w:t>weekly</w:t>
      </w:r>
      <w:r>
        <w:rPr>
          <w:spacing w:val="-4"/>
          <w:w w:val="105"/>
          <w:sz w:val="19"/>
        </w:rPr>
        <w:t> </w:t>
      </w:r>
      <w:r>
        <w:rPr>
          <w:w w:val="105"/>
          <w:sz w:val="19"/>
        </w:rPr>
        <w:t>Friday</w:t>
      </w:r>
      <w:r>
        <w:rPr>
          <w:spacing w:val="-12"/>
          <w:w w:val="105"/>
          <w:sz w:val="19"/>
        </w:rPr>
        <w:t> </w:t>
      </w:r>
      <w:r>
        <w:rPr>
          <w:w w:val="105"/>
          <w:sz w:val="19"/>
        </w:rPr>
        <w:t>lecture series</w:t>
      </w:r>
      <w:r>
        <w:rPr>
          <w:spacing w:val="-10"/>
          <w:w w:val="105"/>
          <w:sz w:val="19"/>
        </w:rPr>
        <w:t> </w:t>
      </w:r>
      <w:r>
        <w:rPr>
          <w:w w:val="105"/>
          <w:sz w:val="19"/>
        </w:rPr>
        <w:t>to</w:t>
      </w:r>
      <w:r>
        <w:rPr>
          <w:spacing w:val="-2"/>
          <w:w w:val="105"/>
          <w:sz w:val="19"/>
        </w:rPr>
        <w:t> </w:t>
      </w:r>
      <w:r>
        <w:rPr>
          <w:w w:val="105"/>
          <w:sz w:val="19"/>
        </w:rPr>
        <w:t>keep</w:t>
      </w:r>
      <w:r>
        <w:rPr>
          <w:spacing w:val="-7"/>
          <w:w w:val="105"/>
          <w:sz w:val="19"/>
        </w:rPr>
        <w:t> </w:t>
      </w:r>
      <w:r>
        <w:rPr>
          <w:w w:val="105"/>
          <w:sz w:val="19"/>
        </w:rPr>
        <w:t>abreast of local and regional professional issues.</w:t>
      </w:r>
    </w:p>
    <w:p>
      <w:pPr>
        <w:pStyle w:val="BodyText"/>
        <w:spacing w:before="3"/>
      </w:pPr>
    </w:p>
    <w:p>
      <w:pPr>
        <w:pStyle w:val="ListParagraph"/>
        <w:numPr>
          <w:ilvl w:val="0"/>
          <w:numId w:val="81"/>
        </w:numPr>
        <w:tabs>
          <w:tab w:pos="1854" w:val="left" w:leader="none"/>
        </w:tabs>
        <w:spacing w:line="249" w:lineRule="auto" w:before="0" w:after="0"/>
        <w:ind w:left="1816" w:right="666" w:hanging="178"/>
        <w:jc w:val="left"/>
        <w:rPr>
          <w:sz w:val="19"/>
        </w:rPr>
      </w:pPr>
      <w:r>
        <w:rPr>
          <w:w w:val="105"/>
          <w:sz w:val="19"/>
        </w:rPr>
        <w:t>To submit and</w:t>
      </w:r>
      <w:r>
        <w:rPr>
          <w:spacing w:val="-8"/>
          <w:w w:val="105"/>
          <w:sz w:val="19"/>
        </w:rPr>
        <w:t> </w:t>
      </w:r>
      <w:r>
        <w:rPr>
          <w:w w:val="105"/>
          <w:sz w:val="19"/>
        </w:rPr>
        <w:t>have funded at least one grant per year to supplement department funding.</w:t>
      </w:r>
      <w:r>
        <w:rPr>
          <w:spacing w:val="-11"/>
          <w:w w:val="105"/>
          <w:sz w:val="19"/>
        </w:rPr>
        <w:t> </w:t>
      </w:r>
      <w:r>
        <w:rPr>
          <w:w w:val="105"/>
          <w:sz w:val="19"/>
        </w:rPr>
        <w:t>Require</w:t>
      </w:r>
      <w:r>
        <w:rPr>
          <w:spacing w:val="-5"/>
          <w:w w:val="105"/>
          <w:sz w:val="19"/>
        </w:rPr>
        <w:t> </w:t>
      </w:r>
      <w:r>
        <w:rPr>
          <w:w w:val="105"/>
          <w:sz w:val="19"/>
        </w:rPr>
        <w:t>each</w:t>
      </w:r>
      <w:r>
        <w:rPr>
          <w:spacing w:val="-8"/>
          <w:w w:val="105"/>
          <w:sz w:val="19"/>
        </w:rPr>
        <w:t> </w:t>
      </w:r>
      <w:r>
        <w:rPr>
          <w:w w:val="105"/>
          <w:sz w:val="19"/>
        </w:rPr>
        <w:t>faculty to</w:t>
      </w:r>
      <w:r>
        <w:rPr>
          <w:spacing w:val="-11"/>
          <w:w w:val="105"/>
          <w:sz w:val="19"/>
        </w:rPr>
        <w:t> </w:t>
      </w:r>
      <w:r>
        <w:rPr>
          <w:w w:val="105"/>
          <w:sz w:val="19"/>
        </w:rPr>
        <w:t>actively seek a</w:t>
      </w:r>
      <w:r>
        <w:rPr>
          <w:spacing w:val="-1"/>
          <w:w w:val="105"/>
          <w:sz w:val="19"/>
        </w:rPr>
        <w:t> </w:t>
      </w:r>
      <w:r>
        <w:rPr>
          <w:w w:val="105"/>
          <w:sz w:val="19"/>
        </w:rPr>
        <w:t>minimum</w:t>
      </w:r>
      <w:r>
        <w:rPr>
          <w:spacing w:val="-7"/>
          <w:w w:val="105"/>
          <w:sz w:val="19"/>
        </w:rPr>
        <w:t> </w:t>
      </w:r>
      <w:r>
        <w:rPr>
          <w:w w:val="105"/>
          <w:sz w:val="19"/>
        </w:rPr>
        <w:t>of</w:t>
      </w:r>
      <w:r>
        <w:rPr>
          <w:spacing w:val="-1"/>
          <w:w w:val="105"/>
          <w:sz w:val="19"/>
        </w:rPr>
        <w:t> </w:t>
      </w:r>
      <w:r>
        <w:rPr>
          <w:w w:val="105"/>
          <w:sz w:val="19"/>
        </w:rPr>
        <w:t>one</w:t>
      </w:r>
      <w:r>
        <w:rPr>
          <w:spacing w:val="-4"/>
          <w:w w:val="105"/>
          <w:sz w:val="19"/>
        </w:rPr>
        <w:t> </w:t>
      </w:r>
      <w:r>
        <w:rPr>
          <w:w w:val="105"/>
          <w:sz w:val="19"/>
        </w:rPr>
        <w:t>funding</w:t>
      </w:r>
      <w:r>
        <w:rPr>
          <w:spacing w:val="-8"/>
          <w:w w:val="105"/>
          <w:sz w:val="19"/>
        </w:rPr>
        <w:t> </w:t>
      </w:r>
      <w:r>
        <w:rPr>
          <w:w w:val="105"/>
          <w:sz w:val="19"/>
        </w:rPr>
        <w:t>opportunity per</w:t>
      </w:r>
      <w:r>
        <w:rPr>
          <w:spacing w:val="-13"/>
          <w:w w:val="105"/>
          <w:sz w:val="19"/>
        </w:rPr>
        <w:t> </w:t>
      </w:r>
      <w:r>
        <w:rPr>
          <w:w w:val="105"/>
          <w:sz w:val="19"/>
        </w:rPr>
        <w:t>year.</w:t>
      </w:r>
    </w:p>
    <w:p>
      <w:pPr>
        <w:spacing w:before="2"/>
        <w:ind w:left="2354" w:right="0" w:firstLine="0"/>
        <w:jc w:val="left"/>
        <w:rPr>
          <w:sz w:val="19"/>
        </w:rPr>
      </w:pPr>
      <w:r>
        <w:rPr>
          <w:w w:val="105"/>
          <w:sz w:val="19"/>
        </w:rPr>
        <w:t>TIME:</w:t>
      </w:r>
      <w:r>
        <w:rPr>
          <w:spacing w:val="-3"/>
          <w:w w:val="105"/>
          <w:sz w:val="19"/>
        </w:rPr>
        <w:t> </w:t>
      </w:r>
      <w:r>
        <w:rPr>
          <w:w w:val="105"/>
          <w:sz w:val="19"/>
        </w:rPr>
        <w:t>2001-</w:t>
      </w:r>
      <w:r>
        <w:rPr>
          <w:spacing w:val="-5"/>
          <w:w w:val="105"/>
          <w:sz w:val="19"/>
        </w:rPr>
        <w:t>on</w:t>
      </w:r>
    </w:p>
    <w:p>
      <w:pPr>
        <w:spacing w:line="252" w:lineRule="auto" w:before="12"/>
        <w:ind w:left="1632" w:right="475" w:firstLine="716"/>
        <w:jc w:val="left"/>
        <w:rPr>
          <w:sz w:val="19"/>
        </w:rPr>
      </w:pPr>
      <w:r>
        <w:rPr>
          <w:w w:val="105"/>
          <w:sz w:val="19"/>
        </w:rPr>
        <w:t>OUTCOME: Submission of at least one funding proposal/faculty/year. This objective has not</w:t>
      </w:r>
      <w:r>
        <w:rPr>
          <w:spacing w:val="-5"/>
          <w:w w:val="105"/>
          <w:sz w:val="19"/>
        </w:rPr>
        <w:t> </w:t>
      </w:r>
      <w:r>
        <w:rPr>
          <w:w w:val="105"/>
          <w:sz w:val="19"/>
        </w:rPr>
        <w:t>been fully met.</w:t>
      </w:r>
      <w:r>
        <w:rPr>
          <w:spacing w:val="-5"/>
          <w:w w:val="105"/>
          <w:sz w:val="19"/>
        </w:rPr>
        <w:t> </w:t>
      </w:r>
      <w:r>
        <w:rPr>
          <w:w w:val="105"/>
          <w:sz w:val="19"/>
        </w:rPr>
        <w:t>Many faculty members have submitted funding proposals and are now assigned responsibility to produce a minimum of one</w:t>
      </w:r>
      <w:r>
        <w:rPr>
          <w:spacing w:val="-7"/>
          <w:w w:val="105"/>
          <w:sz w:val="19"/>
        </w:rPr>
        <w:t> </w:t>
      </w:r>
      <w:r>
        <w:rPr>
          <w:w w:val="105"/>
          <w:sz w:val="19"/>
        </w:rPr>
        <w:t>proposal each</w:t>
      </w:r>
      <w:r>
        <w:rPr>
          <w:spacing w:val="-11"/>
          <w:w w:val="105"/>
          <w:sz w:val="19"/>
        </w:rPr>
        <w:t> </w:t>
      </w:r>
      <w:r>
        <w:rPr>
          <w:w w:val="105"/>
          <w:sz w:val="19"/>
        </w:rPr>
        <w:t>year.</w:t>
      </w:r>
      <w:r>
        <w:rPr>
          <w:spacing w:val="-7"/>
          <w:w w:val="105"/>
          <w:sz w:val="19"/>
        </w:rPr>
        <w:t> </w:t>
      </w:r>
      <w:r>
        <w:rPr>
          <w:w w:val="105"/>
          <w:sz w:val="19"/>
        </w:rPr>
        <w:t>Since</w:t>
      </w:r>
      <w:r>
        <w:rPr>
          <w:spacing w:val="-14"/>
          <w:w w:val="105"/>
          <w:sz w:val="19"/>
        </w:rPr>
        <w:t> </w:t>
      </w:r>
      <w:r>
        <w:rPr>
          <w:w w:val="105"/>
          <w:sz w:val="19"/>
        </w:rPr>
        <w:t>2001, the</w:t>
      </w:r>
      <w:r>
        <w:rPr>
          <w:spacing w:val="-8"/>
          <w:w w:val="105"/>
          <w:sz w:val="19"/>
        </w:rPr>
        <w:t> </w:t>
      </w:r>
      <w:r>
        <w:rPr>
          <w:w w:val="105"/>
          <w:sz w:val="19"/>
        </w:rPr>
        <w:t>University</w:t>
      </w:r>
      <w:r>
        <w:rPr>
          <w:spacing w:val="17"/>
          <w:w w:val="105"/>
          <w:sz w:val="19"/>
        </w:rPr>
        <w:t> </w:t>
      </w:r>
      <w:r>
        <w:rPr>
          <w:w w:val="105"/>
          <w:sz w:val="19"/>
        </w:rPr>
        <w:t>standard has</w:t>
      </w:r>
      <w:r>
        <w:rPr>
          <w:spacing w:val="-4"/>
          <w:w w:val="105"/>
          <w:sz w:val="19"/>
        </w:rPr>
        <w:t> </w:t>
      </w:r>
      <w:r>
        <w:rPr>
          <w:w w:val="105"/>
          <w:sz w:val="19"/>
        </w:rPr>
        <w:t>increased to</w:t>
      </w:r>
      <w:r>
        <w:rPr>
          <w:spacing w:val="-16"/>
          <w:w w:val="105"/>
          <w:sz w:val="19"/>
        </w:rPr>
        <w:t> </w:t>
      </w:r>
      <w:r>
        <w:rPr>
          <w:w w:val="105"/>
          <w:sz w:val="19"/>
        </w:rPr>
        <w:t>two</w:t>
      </w:r>
      <w:r>
        <w:rPr>
          <w:spacing w:val="-4"/>
          <w:w w:val="105"/>
          <w:sz w:val="19"/>
        </w:rPr>
        <w:t> </w:t>
      </w:r>
      <w:r>
        <w:rPr>
          <w:w w:val="105"/>
          <w:sz w:val="19"/>
        </w:rPr>
        <w:t>funding</w:t>
      </w:r>
      <w:r>
        <w:rPr>
          <w:spacing w:val="-1"/>
          <w:w w:val="105"/>
          <w:sz w:val="19"/>
        </w:rPr>
        <w:t> </w:t>
      </w:r>
      <w:r>
        <w:rPr>
          <w:w w:val="105"/>
          <w:sz w:val="19"/>
        </w:rPr>
        <w:t>proposals per year.</w:t>
      </w:r>
    </w:p>
    <w:p>
      <w:pPr>
        <w:pStyle w:val="ListParagraph"/>
        <w:numPr>
          <w:ilvl w:val="0"/>
          <w:numId w:val="81"/>
        </w:numPr>
        <w:tabs>
          <w:tab w:pos="1854" w:val="left" w:leader="none"/>
        </w:tabs>
        <w:spacing w:line="247" w:lineRule="auto" w:before="107" w:after="0"/>
        <w:ind w:left="1899" w:right="514" w:hanging="264"/>
        <w:jc w:val="left"/>
        <w:rPr>
          <w:sz w:val="19"/>
        </w:rPr>
      </w:pPr>
      <w:r>
        <w:rPr>
          <w:w w:val="105"/>
          <w:sz w:val="19"/>
        </w:rPr>
        <w:t>To</w:t>
      </w:r>
      <w:r>
        <w:rPr>
          <w:spacing w:val="-9"/>
          <w:w w:val="105"/>
          <w:sz w:val="19"/>
        </w:rPr>
        <w:t> </w:t>
      </w:r>
      <w:r>
        <w:rPr>
          <w:w w:val="105"/>
          <w:sz w:val="19"/>
        </w:rPr>
        <w:t>better</w:t>
      </w:r>
      <w:r>
        <w:rPr>
          <w:spacing w:val="-11"/>
          <w:w w:val="105"/>
          <w:sz w:val="19"/>
        </w:rPr>
        <w:t> </w:t>
      </w:r>
      <w:r>
        <w:rPr>
          <w:w w:val="105"/>
          <w:sz w:val="19"/>
        </w:rPr>
        <w:t>integrate</w:t>
      </w:r>
      <w:r>
        <w:rPr>
          <w:spacing w:val="-11"/>
          <w:w w:val="105"/>
          <w:sz w:val="19"/>
        </w:rPr>
        <w:t> </w:t>
      </w:r>
      <w:r>
        <w:rPr>
          <w:w w:val="105"/>
          <w:sz w:val="19"/>
        </w:rPr>
        <w:t>computer technology</w:t>
      </w:r>
      <w:r>
        <w:rPr>
          <w:spacing w:val="14"/>
          <w:w w:val="105"/>
          <w:sz w:val="19"/>
        </w:rPr>
        <w:t> </w:t>
      </w:r>
      <w:r>
        <w:rPr>
          <w:w w:val="105"/>
          <w:sz w:val="19"/>
        </w:rPr>
        <w:t>into</w:t>
      </w:r>
      <w:r>
        <w:rPr>
          <w:spacing w:val="-16"/>
          <w:w w:val="105"/>
          <w:sz w:val="19"/>
        </w:rPr>
        <w:t> </w:t>
      </w:r>
      <w:r>
        <w:rPr>
          <w:w w:val="105"/>
          <w:sz w:val="19"/>
        </w:rPr>
        <w:t>the</w:t>
      </w:r>
      <w:r>
        <w:rPr>
          <w:spacing w:val="-10"/>
          <w:w w:val="105"/>
          <w:sz w:val="19"/>
        </w:rPr>
        <w:t> </w:t>
      </w:r>
      <w:r>
        <w:rPr>
          <w:w w:val="105"/>
          <w:sz w:val="19"/>
        </w:rPr>
        <w:t>design</w:t>
      </w:r>
      <w:r>
        <w:rPr>
          <w:spacing w:val="-14"/>
          <w:w w:val="105"/>
          <w:sz w:val="19"/>
        </w:rPr>
        <w:t> </w:t>
      </w:r>
      <w:r>
        <w:rPr>
          <w:w w:val="105"/>
          <w:sz w:val="19"/>
        </w:rPr>
        <w:t>curriculum</w:t>
      </w:r>
      <w:r>
        <w:rPr>
          <w:spacing w:val="-4"/>
          <w:w w:val="105"/>
          <w:sz w:val="19"/>
        </w:rPr>
        <w:t> </w:t>
      </w:r>
      <w:r>
        <w:rPr>
          <w:w w:val="105"/>
          <w:sz w:val="19"/>
        </w:rPr>
        <w:t>(currently 2</w:t>
      </w:r>
      <w:r>
        <w:rPr>
          <w:w w:val="105"/>
          <w:position w:val="6"/>
          <w:sz w:val="37"/>
        </w:rPr>
        <w:t>"'</w:t>
      </w:r>
      <w:r>
        <w:rPr>
          <w:w w:val="105"/>
          <w:sz w:val="19"/>
        </w:rPr>
        <w:t>year students are</w:t>
      </w:r>
      <w:r>
        <w:rPr>
          <w:spacing w:val="40"/>
          <w:w w:val="105"/>
          <w:sz w:val="19"/>
        </w:rPr>
        <w:t> </w:t>
      </w:r>
      <w:r>
        <w:rPr>
          <w:w w:val="105"/>
          <w:sz w:val="19"/>
        </w:rPr>
        <w:t>required to have a laptop and specified software).</w:t>
      </w:r>
    </w:p>
    <w:p>
      <w:pPr>
        <w:spacing w:line="226" w:lineRule="exact" w:before="0"/>
        <w:ind w:left="2354" w:right="0" w:firstLine="0"/>
        <w:jc w:val="left"/>
        <w:rPr>
          <w:sz w:val="19"/>
        </w:rPr>
      </w:pPr>
      <w:r>
        <w:rPr>
          <w:b/>
          <w:sz w:val="20"/>
        </w:rPr>
        <w:t>TIME:</w:t>
      </w:r>
      <w:r>
        <w:rPr>
          <w:b/>
          <w:spacing w:val="10"/>
          <w:sz w:val="20"/>
        </w:rPr>
        <w:t> </w:t>
      </w:r>
      <w:r>
        <w:rPr>
          <w:sz w:val="19"/>
        </w:rPr>
        <w:t>2001-</w:t>
      </w:r>
      <w:r>
        <w:rPr>
          <w:spacing w:val="-5"/>
          <w:sz w:val="19"/>
        </w:rPr>
        <w:t>on</w:t>
      </w:r>
    </w:p>
    <w:p>
      <w:pPr>
        <w:spacing w:line="254" w:lineRule="auto" w:before="11"/>
        <w:ind w:left="1632" w:right="311" w:firstLine="716"/>
        <w:jc w:val="left"/>
        <w:rPr>
          <w:sz w:val="19"/>
        </w:rPr>
      </w:pPr>
      <w:r>
        <w:rPr/>
        <w:pict>
          <v:shape style="position:absolute;margin-left:142.721893pt;margin-top:16.735004pt;width:8.5pt;height:20.75pt;mso-position-horizontal-relative:page;mso-position-vertical-relative:paragraph;z-index:-27009024" type="#_x0000_t202" id="docshape684" filled="false" stroked="false">
            <v:textbox inset="0,0,0,0">
              <w:txbxContent>
                <w:p>
                  <w:pPr>
                    <w:spacing w:line="414" w:lineRule="exact" w:before="0"/>
                    <w:ind w:left="0" w:right="0" w:firstLine="0"/>
                    <w:jc w:val="left"/>
                    <w:rPr>
                      <w:sz w:val="37"/>
                    </w:rPr>
                  </w:pPr>
                  <w:r>
                    <w:rPr>
                      <w:spacing w:val="-7"/>
                      <w:w w:val="85"/>
                      <w:sz w:val="37"/>
                    </w:rPr>
                    <w:t>"'</w:t>
                  </w:r>
                </w:p>
              </w:txbxContent>
            </v:textbox>
            <w10:wrap type="none"/>
          </v:shape>
        </w:pict>
      </w:r>
      <w:r>
        <w:rPr>
          <w:w w:val="105"/>
          <w:sz w:val="19"/>
        </w:rPr>
        <w:t>OUTCOME: While</w:t>
      </w:r>
      <w:r>
        <w:rPr>
          <w:spacing w:val="-7"/>
          <w:w w:val="105"/>
          <w:sz w:val="19"/>
        </w:rPr>
        <w:t> </w:t>
      </w:r>
      <w:r>
        <w:rPr>
          <w:w w:val="105"/>
          <w:sz w:val="19"/>
        </w:rPr>
        <w:t>this objective is a moving target</w:t>
      </w:r>
      <w:r>
        <w:rPr>
          <w:spacing w:val="-1"/>
          <w:w w:val="105"/>
          <w:sz w:val="19"/>
        </w:rPr>
        <w:t> </w:t>
      </w:r>
      <w:r>
        <w:rPr>
          <w:w w:val="105"/>
          <w:sz w:val="19"/>
        </w:rPr>
        <w:t>due</w:t>
      </w:r>
      <w:r>
        <w:rPr>
          <w:spacing w:val="-9"/>
          <w:w w:val="105"/>
          <w:sz w:val="19"/>
        </w:rPr>
        <w:t> </w:t>
      </w:r>
      <w:r>
        <w:rPr>
          <w:w w:val="105"/>
          <w:sz w:val="19"/>
        </w:rPr>
        <w:t>to</w:t>
      </w:r>
      <w:r>
        <w:rPr>
          <w:spacing w:val="-2"/>
          <w:w w:val="105"/>
          <w:sz w:val="19"/>
        </w:rPr>
        <w:t> </w:t>
      </w:r>
      <w:r>
        <w:rPr>
          <w:w w:val="105"/>
          <w:sz w:val="19"/>
        </w:rPr>
        <w:t>the</w:t>
      </w:r>
      <w:r>
        <w:rPr>
          <w:spacing w:val="-13"/>
          <w:w w:val="105"/>
          <w:sz w:val="19"/>
        </w:rPr>
        <w:t> </w:t>
      </w:r>
      <w:r>
        <w:rPr>
          <w:w w:val="105"/>
          <w:sz w:val="19"/>
        </w:rPr>
        <w:t>dynamic nature of the</w:t>
      </w:r>
      <w:r>
        <w:rPr>
          <w:spacing w:val="-5"/>
          <w:w w:val="105"/>
          <w:sz w:val="19"/>
        </w:rPr>
        <w:t> </w:t>
      </w:r>
      <w:r>
        <w:rPr>
          <w:w w:val="105"/>
          <w:sz w:val="19"/>
        </w:rPr>
        <w:t>field, considerable progress continues to be made. The</w:t>
      </w:r>
      <w:r>
        <w:rPr>
          <w:spacing w:val="-6"/>
          <w:w w:val="105"/>
          <w:sz w:val="19"/>
        </w:rPr>
        <w:t> </w:t>
      </w:r>
      <w:r>
        <w:rPr>
          <w:w w:val="105"/>
          <w:sz w:val="19"/>
        </w:rPr>
        <w:t>required laptop policy</w:t>
      </w:r>
      <w:r>
        <w:rPr>
          <w:spacing w:val="-6"/>
          <w:w w:val="105"/>
          <w:sz w:val="19"/>
        </w:rPr>
        <w:t> </w:t>
      </w:r>
      <w:r>
        <w:rPr>
          <w:w w:val="105"/>
          <w:sz w:val="19"/>
        </w:rPr>
        <w:t>in the</w:t>
      </w:r>
    </w:p>
    <w:p>
      <w:pPr>
        <w:tabs>
          <w:tab w:pos="1921" w:val="left" w:leader="none"/>
        </w:tabs>
        <w:spacing w:line="252" w:lineRule="auto" w:before="95"/>
        <w:ind w:left="1633" w:right="406" w:hanging="4"/>
        <w:jc w:val="left"/>
        <w:rPr>
          <w:sz w:val="19"/>
        </w:rPr>
      </w:pPr>
      <w:r>
        <w:rPr>
          <w:spacing w:val="-10"/>
          <w:w w:val="105"/>
          <w:sz w:val="19"/>
        </w:rPr>
        <w:t>2</w:t>
      </w:r>
      <w:r>
        <w:rPr>
          <w:sz w:val="19"/>
        </w:rPr>
        <w:tab/>
      </w:r>
      <w:r>
        <w:rPr>
          <w:w w:val="105"/>
          <w:sz w:val="19"/>
        </w:rPr>
        <w:t>year</w:t>
      </w:r>
      <w:r>
        <w:rPr>
          <w:spacing w:val="-8"/>
          <w:w w:val="105"/>
          <w:sz w:val="19"/>
        </w:rPr>
        <w:t> </w:t>
      </w:r>
      <w:r>
        <w:rPr>
          <w:w w:val="105"/>
          <w:sz w:val="19"/>
        </w:rPr>
        <w:t>is</w:t>
      </w:r>
      <w:r>
        <w:rPr>
          <w:spacing w:val="-4"/>
          <w:w w:val="105"/>
          <w:sz w:val="19"/>
        </w:rPr>
        <w:t> </w:t>
      </w:r>
      <w:r>
        <w:rPr>
          <w:w w:val="105"/>
          <w:sz w:val="19"/>
        </w:rPr>
        <w:t>coordinated with</w:t>
      </w:r>
      <w:r>
        <w:rPr>
          <w:spacing w:val="-9"/>
          <w:w w:val="105"/>
          <w:sz w:val="19"/>
        </w:rPr>
        <w:t> </w:t>
      </w:r>
      <w:r>
        <w:rPr>
          <w:w w:val="105"/>
          <w:sz w:val="19"/>
        </w:rPr>
        <w:t>the ARC</w:t>
      </w:r>
      <w:r>
        <w:rPr>
          <w:spacing w:val="-1"/>
          <w:w w:val="105"/>
          <w:sz w:val="19"/>
        </w:rPr>
        <w:t> </w:t>
      </w:r>
      <w:r>
        <w:rPr>
          <w:w w:val="105"/>
          <w:sz w:val="19"/>
        </w:rPr>
        <w:t>203</w:t>
      </w:r>
      <w:r>
        <w:rPr>
          <w:spacing w:val="-10"/>
          <w:w w:val="105"/>
          <w:sz w:val="19"/>
        </w:rPr>
        <w:t> </w:t>
      </w:r>
      <w:r>
        <w:rPr>
          <w:w w:val="105"/>
          <w:sz w:val="19"/>
        </w:rPr>
        <w:t>Architectural Representation</w:t>
      </w:r>
      <w:r>
        <w:rPr>
          <w:spacing w:val="-18"/>
          <w:w w:val="105"/>
          <w:sz w:val="19"/>
        </w:rPr>
        <w:t> </w:t>
      </w:r>
      <w:r>
        <w:rPr>
          <w:w w:val="105"/>
          <w:sz w:val="19"/>
        </w:rPr>
        <w:t>course, covering a variety of media and</w:t>
      </w:r>
      <w:r>
        <w:rPr>
          <w:spacing w:val="-4"/>
          <w:w w:val="105"/>
          <w:sz w:val="19"/>
        </w:rPr>
        <w:t> </w:t>
      </w:r>
      <w:r>
        <w:rPr>
          <w:w w:val="105"/>
          <w:sz w:val="19"/>
        </w:rPr>
        <w:t>methodologies</w:t>
      </w:r>
      <w:r>
        <w:rPr>
          <w:spacing w:val="32"/>
          <w:w w:val="105"/>
          <w:sz w:val="19"/>
        </w:rPr>
        <w:t> </w:t>
      </w:r>
      <w:r>
        <w:rPr>
          <w:w w:val="105"/>
          <w:sz w:val="19"/>
        </w:rPr>
        <w:t>focusing on the</w:t>
      </w:r>
      <w:r>
        <w:rPr>
          <w:spacing w:val="-1"/>
          <w:w w:val="105"/>
          <w:sz w:val="19"/>
        </w:rPr>
        <w:t> </w:t>
      </w:r>
      <w:r>
        <w:rPr>
          <w:w w:val="105"/>
          <w:sz w:val="19"/>
        </w:rPr>
        <w:t>digital.</w:t>
      </w:r>
      <w:r>
        <w:rPr>
          <w:spacing w:val="-9"/>
          <w:w w:val="105"/>
          <w:sz w:val="19"/>
        </w:rPr>
        <w:t> </w:t>
      </w:r>
      <w:r>
        <w:rPr>
          <w:w w:val="105"/>
          <w:sz w:val="19"/>
        </w:rPr>
        <w:t>In addition new</w:t>
      </w:r>
      <w:r>
        <w:rPr>
          <w:spacing w:val="-3"/>
          <w:w w:val="105"/>
          <w:sz w:val="19"/>
        </w:rPr>
        <w:t> </w:t>
      </w:r>
      <w:r>
        <w:rPr>
          <w:w w:val="105"/>
          <w:sz w:val="19"/>
        </w:rPr>
        <w:t>gsprint• elective</w:t>
      </w:r>
      <w:r>
        <w:rPr>
          <w:spacing w:val="-1"/>
          <w:w w:val="105"/>
          <w:sz w:val="19"/>
        </w:rPr>
        <w:t> </w:t>
      </w:r>
      <w:r>
        <w:rPr>
          <w:w w:val="105"/>
          <w:sz w:val="19"/>
        </w:rPr>
        <w:t>courses as well</w:t>
      </w:r>
      <w:r>
        <w:rPr>
          <w:spacing w:val="-1"/>
          <w:w w:val="105"/>
          <w:sz w:val="19"/>
        </w:rPr>
        <w:t> </w:t>
      </w:r>
      <w:r>
        <w:rPr>
          <w:w w:val="105"/>
          <w:sz w:val="19"/>
        </w:rPr>
        <w:t>as professional electives centered on specific techniques and software. Software is phased into each studio level.</w:t>
      </w:r>
      <w:r>
        <w:rPr>
          <w:spacing w:val="-4"/>
          <w:w w:val="105"/>
          <w:sz w:val="19"/>
        </w:rPr>
        <w:t> </w:t>
      </w:r>
      <w:r>
        <w:rPr>
          <w:w w:val="105"/>
          <w:sz w:val="19"/>
        </w:rPr>
        <w:t>Digital</w:t>
      </w:r>
      <w:r>
        <w:rPr>
          <w:spacing w:val="-2"/>
          <w:w w:val="105"/>
          <w:sz w:val="19"/>
        </w:rPr>
        <w:t> </w:t>
      </w:r>
      <w:r>
        <w:rPr>
          <w:w w:val="105"/>
          <w:sz w:val="19"/>
        </w:rPr>
        <w:t>approaches are utilized in courses other than studios.. Professors Daisy Williams and Derek Ham received the Provost's Award for technological teaching innovation based upon web-based design</w:t>
      </w:r>
    </w:p>
    <w:p>
      <w:pPr>
        <w:spacing w:line="340" w:lineRule="exact" w:before="0"/>
        <w:ind w:left="1642" w:right="0" w:firstLine="0"/>
        <w:jc w:val="left"/>
        <w:rPr>
          <w:sz w:val="19"/>
        </w:rPr>
      </w:pPr>
      <w:r>
        <w:rPr>
          <w:w w:val="105"/>
          <w:sz w:val="19"/>
        </w:rPr>
        <w:t>reviews</w:t>
      </w:r>
      <w:r>
        <w:rPr>
          <w:spacing w:val="-5"/>
          <w:w w:val="105"/>
          <w:sz w:val="19"/>
        </w:rPr>
        <w:t> </w:t>
      </w:r>
      <w:r>
        <w:rPr>
          <w:w w:val="105"/>
          <w:sz w:val="19"/>
        </w:rPr>
        <w:t>in</w:t>
      </w:r>
      <w:r>
        <w:rPr>
          <w:spacing w:val="2"/>
          <w:w w:val="105"/>
          <w:sz w:val="19"/>
        </w:rPr>
        <w:t> </w:t>
      </w:r>
      <w:r>
        <w:rPr>
          <w:w w:val="105"/>
          <w:sz w:val="19"/>
        </w:rPr>
        <w:t>third</w:t>
      </w:r>
      <w:r>
        <w:rPr>
          <w:spacing w:val="-9"/>
          <w:w w:val="105"/>
          <w:sz w:val="19"/>
        </w:rPr>
        <w:t> </w:t>
      </w:r>
      <w:r>
        <w:rPr>
          <w:w w:val="105"/>
          <w:sz w:val="19"/>
        </w:rPr>
        <w:t>year</w:t>
      </w:r>
      <w:r>
        <w:rPr>
          <w:spacing w:val="-4"/>
          <w:w w:val="105"/>
          <w:sz w:val="19"/>
        </w:rPr>
        <w:t> </w:t>
      </w:r>
      <w:r>
        <w:rPr>
          <w:w w:val="105"/>
          <w:sz w:val="19"/>
        </w:rPr>
        <w:t>studio.</w:t>
      </w:r>
      <w:r>
        <w:rPr>
          <w:spacing w:val="2"/>
          <w:w w:val="105"/>
          <w:sz w:val="19"/>
        </w:rPr>
        <w:t> </w:t>
      </w:r>
      <w:r>
        <w:rPr>
          <w:w w:val="105"/>
          <w:sz w:val="19"/>
        </w:rPr>
        <w:t>The</w:t>
      </w:r>
      <w:r>
        <w:rPr>
          <w:spacing w:val="12"/>
          <w:w w:val="105"/>
          <w:sz w:val="19"/>
        </w:rPr>
        <w:t> </w:t>
      </w:r>
      <w:r>
        <w:rPr>
          <w:w w:val="105"/>
          <w:sz w:val="19"/>
        </w:rPr>
        <w:t>computer</w:t>
      </w:r>
      <w:r>
        <w:rPr>
          <w:spacing w:val="12"/>
          <w:w w:val="105"/>
          <w:sz w:val="19"/>
        </w:rPr>
        <w:t> </w:t>
      </w:r>
      <w:r>
        <w:rPr>
          <w:w w:val="105"/>
          <w:sz w:val="19"/>
        </w:rPr>
        <w:t>is</w:t>
      </w:r>
      <w:r>
        <w:rPr>
          <w:spacing w:val="-7"/>
          <w:w w:val="105"/>
          <w:sz w:val="19"/>
        </w:rPr>
        <w:t> </w:t>
      </w:r>
      <w:r>
        <w:rPr>
          <w:w w:val="105"/>
          <w:sz w:val="19"/>
        </w:rPr>
        <w:t>used</w:t>
      </w:r>
      <w:r>
        <w:rPr>
          <w:spacing w:val="-12"/>
          <w:w w:val="105"/>
          <w:sz w:val="19"/>
        </w:rPr>
        <w:t> </w:t>
      </w:r>
      <w:r>
        <w:rPr>
          <w:w w:val="105"/>
          <w:sz w:val="19"/>
        </w:rPr>
        <w:t>successfully</w:t>
      </w:r>
      <w:r>
        <w:rPr>
          <w:spacing w:val="8"/>
          <w:w w:val="105"/>
          <w:sz w:val="19"/>
        </w:rPr>
        <w:t> </w:t>
      </w:r>
      <w:r>
        <w:rPr>
          <w:w w:val="105"/>
          <w:sz w:val="19"/>
        </w:rPr>
        <w:t>in</w:t>
      </w:r>
      <w:r>
        <w:rPr>
          <w:spacing w:val="4"/>
          <w:w w:val="105"/>
          <w:sz w:val="19"/>
        </w:rPr>
        <w:t> </w:t>
      </w:r>
      <w:r>
        <w:rPr>
          <w:w w:val="105"/>
          <w:sz w:val="19"/>
        </w:rPr>
        <w:t>the</w:t>
      </w:r>
      <w:r>
        <w:rPr>
          <w:spacing w:val="-13"/>
          <w:w w:val="105"/>
          <w:sz w:val="19"/>
        </w:rPr>
        <w:t> </w:t>
      </w:r>
      <w:r>
        <w:rPr>
          <w:w w:val="105"/>
          <w:sz w:val="19"/>
        </w:rPr>
        <w:t>4</w:t>
      </w:r>
      <w:r>
        <w:rPr>
          <w:w w:val="105"/>
          <w:position w:val="2"/>
          <w:sz w:val="37"/>
        </w:rPr>
        <w:t>"</w:t>
      </w:r>
      <w:r>
        <w:rPr>
          <w:w w:val="105"/>
          <w:sz w:val="19"/>
        </w:rPr>
        <w:t>and</w:t>
      </w:r>
      <w:r>
        <w:rPr>
          <w:spacing w:val="-4"/>
          <w:w w:val="105"/>
          <w:sz w:val="19"/>
        </w:rPr>
        <w:t> </w:t>
      </w:r>
      <w:r>
        <w:rPr>
          <w:spacing w:val="-2"/>
          <w:w w:val="105"/>
          <w:sz w:val="19"/>
        </w:rPr>
        <w:t>5</w:t>
      </w:r>
      <w:r>
        <w:rPr>
          <w:spacing w:val="-2"/>
          <w:w w:val="105"/>
          <w:position w:val="2"/>
          <w:sz w:val="37"/>
        </w:rPr>
        <w:t>"</w:t>
      </w:r>
      <w:r>
        <w:rPr>
          <w:spacing w:val="-2"/>
          <w:w w:val="105"/>
          <w:sz w:val="19"/>
        </w:rPr>
        <w:t>years,</w:t>
      </w:r>
    </w:p>
    <w:p>
      <w:pPr>
        <w:spacing w:line="216" w:lineRule="exact" w:before="0"/>
        <w:ind w:left="1645" w:right="0" w:firstLine="0"/>
        <w:jc w:val="left"/>
        <w:rPr>
          <w:sz w:val="19"/>
        </w:rPr>
      </w:pPr>
      <w:r>
        <w:rPr>
          <w:w w:val="105"/>
          <w:sz w:val="19"/>
        </w:rPr>
        <w:t>with</w:t>
      </w:r>
      <w:r>
        <w:rPr>
          <w:spacing w:val="-14"/>
          <w:w w:val="105"/>
          <w:sz w:val="19"/>
        </w:rPr>
        <w:t> </w:t>
      </w:r>
      <w:r>
        <w:rPr>
          <w:w w:val="105"/>
          <w:sz w:val="19"/>
        </w:rPr>
        <w:t>more</w:t>
      </w:r>
      <w:r>
        <w:rPr>
          <w:spacing w:val="-6"/>
          <w:w w:val="105"/>
          <w:sz w:val="19"/>
        </w:rPr>
        <w:t> </w:t>
      </w:r>
      <w:r>
        <w:rPr>
          <w:w w:val="105"/>
          <w:sz w:val="19"/>
        </w:rPr>
        <w:t>difficulty</w:t>
      </w:r>
      <w:r>
        <w:rPr>
          <w:spacing w:val="7"/>
          <w:w w:val="105"/>
          <w:sz w:val="19"/>
        </w:rPr>
        <w:t> </w:t>
      </w:r>
      <w:r>
        <w:rPr>
          <w:w w:val="105"/>
          <w:sz w:val="19"/>
        </w:rPr>
        <w:t>found</w:t>
      </w:r>
      <w:r>
        <w:rPr>
          <w:spacing w:val="-1"/>
          <w:w w:val="105"/>
          <w:sz w:val="19"/>
        </w:rPr>
        <w:t> </w:t>
      </w:r>
      <w:r>
        <w:rPr>
          <w:w w:val="105"/>
          <w:sz w:val="19"/>
        </w:rPr>
        <w:t>now</w:t>
      </w:r>
      <w:r>
        <w:rPr>
          <w:spacing w:val="-17"/>
          <w:w w:val="105"/>
          <w:sz w:val="19"/>
        </w:rPr>
        <w:t> </w:t>
      </w:r>
      <w:r>
        <w:rPr>
          <w:w w:val="105"/>
          <w:sz w:val="19"/>
        </w:rPr>
        <w:t>in the</w:t>
      </w:r>
      <w:r>
        <w:rPr>
          <w:spacing w:val="-7"/>
          <w:w w:val="105"/>
          <w:sz w:val="19"/>
        </w:rPr>
        <w:t> </w:t>
      </w:r>
      <w:r>
        <w:rPr>
          <w:w w:val="105"/>
          <w:sz w:val="19"/>
        </w:rPr>
        <w:t>incorporation</w:t>
      </w:r>
      <w:r>
        <w:rPr>
          <w:spacing w:val="5"/>
          <w:w w:val="105"/>
          <w:sz w:val="19"/>
        </w:rPr>
        <w:t> </w:t>
      </w:r>
      <w:r>
        <w:rPr>
          <w:w w:val="105"/>
          <w:sz w:val="19"/>
        </w:rPr>
        <w:t>of</w:t>
      </w:r>
      <w:r>
        <w:rPr>
          <w:spacing w:val="-5"/>
          <w:w w:val="105"/>
          <w:sz w:val="19"/>
        </w:rPr>
        <w:t> </w:t>
      </w:r>
      <w:r>
        <w:rPr>
          <w:w w:val="105"/>
          <w:sz w:val="19"/>
        </w:rPr>
        <w:t>traditional</w:t>
      </w:r>
      <w:r>
        <w:rPr>
          <w:spacing w:val="-10"/>
          <w:w w:val="105"/>
          <w:sz w:val="19"/>
        </w:rPr>
        <w:t> </w:t>
      </w:r>
      <w:r>
        <w:rPr>
          <w:w w:val="105"/>
          <w:sz w:val="19"/>
        </w:rPr>
        <w:t>media</w:t>
      </w:r>
      <w:r>
        <w:rPr>
          <w:spacing w:val="-2"/>
          <w:w w:val="105"/>
          <w:sz w:val="19"/>
        </w:rPr>
        <w:t> </w:t>
      </w:r>
      <w:r>
        <w:rPr>
          <w:w w:val="105"/>
          <w:sz w:val="19"/>
        </w:rPr>
        <w:t>into</w:t>
      </w:r>
      <w:r>
        <w:rPr>
          <w:spacing w:val="-5"/>
          <w:w w:val="105"/>
          <w:sz w:val="19"/>
        </w:rPr>
        <w:t> </w:t>
      </w:r>
      <w:r>
        <w:rPr>
          <w:spacing w:val="-2"/>
          <w:w w:val="105"/>
          <w:sz w:val="19"/>
        </w:rPr>
        <w:t>presentations,</w:t>
      </w:r>
    </w:p>
    <w:p>
      <w:pPr>
        <w:pStyle w:val="BodyText"/>
        <w:spacing w:before="4"/>
      </w:pPr>
    </w:p>
    <w:p>
      <w:pPr>
        <w:pStyle w:val="ListParagraph"/>
        <w:numPr>
          <w:ilvl w:val="0"/>
          <w:numId w:val="81"/>
        </w:numPr>
        <w:tabs>
          <w:tab w:pos="1863" w:val="left" w:leader="none"/>
        </w:tabs>
        <w:spacing w:line="254" w:lineRule="auto" w:before="0" w:after="0"/>
        <w:ind w:left="2354" w:right="3095" w:hanging="717"/>
        <w:jc w:val="left"/>
        <w:rPr>
          <w:sz w:val="19"/>
        </w:rPr>
      </w:pPr>
      <w:r>
        <w:rPr>
          <w:w w:val="105"/>
          <w:sz w:val="19"/>
        </w:rPr>
        <w:t>To</w:t>
      </w:r>
      <w:r>
        <w:rPr>
          <w:spacing w:val="-16"/>
          <w:w w:val="105"/>
          <w:sz w:val="19"/>
        </w:rPr>
        <w:t> </w:t>
      </w:r>
      <w:r>
        <w:rPr>
          <w:w w:val="105"/>
          <w:sz w:val="19"/>
        </w:rPr>
        <w:t>have</w:t>
      </w:r>
      <w:r>
        <w:rPr>
          <w:spacing w:val="-5"/>
          <w:w w:val="105"/>
          <w:sz w:val="19"/>
        </w:rPr>
        <w:t> </w:t>
      </w:r>
      <w:r>
        <w:rPr>
          <w:w w:val="105"/>
          <w:sz w:val="19"/>
        </w:rPr>
        <w:t>student and faculty e-mail and</w:t>
      </w:r>
      <w:r>
        <w:rPr>
          <w:spacing w:val="-8"/>
          <w:w w:val="105"/>
          <w:sz w:val="19"/>
        </w:rPr>
        <w:t> </w:t>
      </w:r>
      <w:r>
        <w:rPr>
          <w:w w:val="105"/>
          <w:sz w:val="19"/>
        </w:rPr>
        <w:t>web</w:t>
      </w:r>
      <w:r>
        <w:rPr>
          <w:spacing w:val="-7"/>
          <w:w w:val="105"/>
          <w:sz w:val="19"/>
        </w:rPr>
        <w:t> </w:t>
      </w:r>
      <w:r>
        <w:rPr>
          <w:w w:val="105"/>
          <w:sz w:val="19"/>
        </w:rPr>
        <w:t>accessible. TIME:</w:t>
      </w:r>
      <w:r>
        <w:rPr>
          <w:spacing w:val="-13"/>
          <w:w w:val="105"/>
          <w:sz w:val="19"/>
        </w:rPr>
        <w:t> </w:t>
      </w:r>
      <w:r>
        <w:rPr>
          <w:w w:val="105"/>
          <w:sz w:val="19"/>
        </w:rPr>
        <w:t>2001-on</w:t>
      </w:r>
    </w:p>
    <w:p>
      <w:pPr>
        <w:spacing w:line="254" w:lineRule="auto" w:before="0"/>
        <w:ind w:left="1642" w:right="475" w:firstLine="716"/>
        <w:jc w:val="left"/>
        <w:rPr>
          <w:sz w:val="19"/>
        </w:rPr>
      </w:pPr>
      <w:r>
        <w:rPr>
          <w:w w:val="105"/>
          <w:sz w:val="19"/>
        </w:rPr>
        <w:t>OUTCOME:</w:t>
      </w:r>
      <w:r>
        <w:rPr>
          <w:spacing w:val="-2"/>
          <w:w w:val="105"/>
          <w:sz w:val="19"/>
        </w:rPr>
        <w:t> </w:t>
      </w:r>
      <w:r>
        <w:rPr>
          <w:w w:val="105"/>
          <w:sz w:val="19"/>
        </w:rPr>
        <w:t>There</w:t>
      </w:r>
      <w:r>
        <w:rPr>
          <w:spacing w:val="-8"/>
          <w:w w:val="105"/>
          <w:sz w:val="19"/>
        </w:rPr>
        <w:t> </w:t>
      </w:r>
      <w:r>
        <w:rPr>
          <w:w w:val="105"/>
          <w:sz w:val="19"/>
        </w:rPr>
        <w:t>has been</w:t>
      </w:r>
      <w:r>
        <w:rPr>
          <w:spacing w:val="-12"/>
          <w:w w:val="105"/>
          <w:sz w:val="19"/>
        </w:rPr>
        <w:t> </w:t>
      </w:r>
      <w:r>
        <w:rPr>
          <w:w w:val="105"/>
          <w:sz w:val="19"/>
        </w:rPr>
        <w:t>excellent progress, All</w:t>
      </w:r>
      <w:r>
        <w:rPr>
          <w:spacing w:val="-5"/>
          <w:w w:val="105"/>
          <w:sz w:val="19"/>
        </w:rPr>
        <w:t> </w:t>
      </w:r>
      <w:r>
        <w:rPr>
          <w:w w:val="105"/>
          <w:sz w:val="19"/>
        </w:rPr>
        <w:t>students, faculty and</w:t>
      </w:r>
      <w:r>
        <w:rPr>
          <w:spacing w:val="-13"/>
          <w:w w:val="105"/>
          <w:sz w:val="19"/>
        </w:rPr>
        <w:t> </w:t>
      </w:r>
      <w:r>
        <w:rPr>
          <w:w w:val="105"/>
          <w:sz w:val="19"/>
        </w:rPr>
        <w:t>staff have email accounts and internet access. The University conducts business using</w:t>
      </w:r>
    </w:p>
    <w:p>
      <w:pPr>
        <w:pStyle w:val="BodyText"/>
      </w:pPr>
    </w:p>
    <w:p>
      <w:pPr>
        <w:pStyle w:val="BodyText"/>
      </w:pPr>
    </w:p>
    <w:p>
      <w:pPr>
        <w:pStyle w:val="BodyText"/>
        <w:spacing w:before="5"/>
        <w:rPr>
          <w:sz w:val="13"/>
        </w:rPr>
      </w:pPr>
      <w:r>
        <w:rPr/>
        <w:pict>
          <v:shape style="position:absolute;margin-left:63.597477pt;margin-top:8.924365pt;width:454.85pt;height:.1pt;mso-position-horizontal-relative:page;mso-position-vertical-relative:paragraph;z-index:-15689728;mso-wrap-distance-left:0;mso-wrap-distance-right:0" id="docshape685" coordorigin="1272,178" coordsize="9097,0" path="m1272,178l10368,178e" filled="false" stroked="true" strokeweight=".481434pt" strokecolor="#000000">
            <v:path arrowok="t"/>
            <v:stroke dashstyle="solid"/>
            <w10:wrap type="topAndBottom"/>
          </v:shape>
        </w:pict>
      </w:r>
    </w:p>
    <w:p>
      <w:pPr>
        <w:spacing w:line="200" w:lineRule="exact" w:before="0"/>
        <w:ind w:left="201" w:right="0" w:firstLine="0"/>
        <w:jc w:val="left"/>
        <w:rPr>
          <w:sz w:val="19"/>
        </w:rPr>
      </w:pPr>
      <w:r>
        <w:rPr>
          <w:spacing w:val="-5"/>
          <w:w w:val="105"/>
          <w:sz w:val="19"/>
        </w:rPr>
        <w:t>32</w:t>
      </w:r>
    </w:p>
    <w:p>
      <w:pPr>
        <w:spacing w:after="0" w:line="200" w:lineRule="exact"/>
        <w:jc w:val="left"/>
        <w:rPr>
          <w:sz w:val="19"/>
        </w:rPr>
        <w:sectPr>
          <w:headerReference w:type="default" r:id="rId421"/>
          <w:footerReference w:type="default" r:id="rId422"/>
          <w:pgSz w:w="12180" w:h="15820"/>
          <w:pgMar w:header="685" w:footer="0" w:top="1380" w:bottom="280" w:left="1120" w:right="1180"/>
        </w:sectPr>
      </w:pPr>
    </w:p>
    <w:p>
      <w:pPr>
        <w:pStyle w:val="BodyText"/>
        <w:rPr>
          <w:sz w:val="19"/>
        </w:rPr>
      </w:pPr>
    </w:p>
    <w:p>
      <w:pPr>
        <w:spacing w:line="254" w:lineRule="auto" w:before="94"/>
        <w:ind w:left="1667" w:right="311" w:hanging="8"/>
        <w:jc w:val="left"/>
        <w:rPr>
          <w:sz w:val="19"/>
        </w:rPr>
      </w:pPr>
      <w:r>
        <w:rPr>
          <w:w w:val="105"/>
          <w:sz w:val="19"/>
        </w:rPr>
        <w:t>Banner</w:t>
      </w:r>
      <w:r>
        <w:rPr>
          <w:spacing w:val="-1"/>
          <w:w w:val="105"/>
          <w:sz w:val="19"/>
        </w:rPr>
        <w:t> </w:t>
      </w:r>
      <w:r>
        <w:rPr>
          <w:w w:val="105"/>
          <w:sz w:val="19"/>
        </w:rPr>
        <w:t>(HUnet) and Blackboard. Bemis</w:t>
      </w:r>
      <w:r>
        <w:rPr>
          <w:spacing w:val="-8"/>
          <w:w w:val="105"/>
          <w:sz w:val="19"/>
        </w:rPr>
        <w:t> </w:t>
      </w:r>
      <w:r>
        <w:rPr>
          <w:w w:val="105"/>
          <w:sz w:val="19"/>
        </w:rPr>
        <w:t>Hall</w:t>
      </w:r>
      <w:r>
        <w:rPr>
          <w:spacing w:val="-9"/>
          <w:w w:val="105"/>
          <w:sz w:val="19"/>
        </w:rPr>
        <w:t> </w:t>
      </w:r>
      <w:r>
        <w:rPr>
          <w:w w:val="105"/>
          <w:sz w:val="19"/>
        </w:rPr>
        <w:t>is</w:t>
      </w:r>
      <w:r>
        <w:rPr>
          <w:spacing w:val="-3"/>
          <w:w w:val="105"/>
          <w:sz w:val="19"/>
        </w:rPr>
        <w:t> </w:t>
      </w:r>
      <w:r>
        <w:rPr>
          <w:w w:val="105"/>
          <w:sz w:val="19"/>
        </w:rPr>
        <w:t>both</w:t>
      </w:r>
      <w:r>
        <w:rPr>
          <w:spacing w:val="-10"/>
          <w:w w:val="105"/>
          <w:sz w:val="19"/>
        </w:rPr>
        <w:t> </w:t>
      </w:r>
      <w:r>
        <w:rPr>
          <w:w w:val="105"/>
          <w:sz w:val="19"/>
        </w:rPr>
        <w:t>a wired and</w:t>
      </w:r>
      <w:r>
        <w:rPr>
          <w:spacing w:val="-10"/>
          <w:w w:val="105"/>
          <w:sz w:val="19"/>
        </w:rPr>
        <w:t> </w:t>
      </w:r>
      <w:r>
        <w:rPr>
          <w:w w:val="105"/>
          <w:sz w:val="19"/>
        </w:rPr>
        <w:t>a wireless environment, as is most of the campus.</w:t>
      </w:r>
    </w:p>
    <w:p>
      <w:pPr>
        <w:pStyle w:val="BodyText"/>
      </w:pPr>
    </w:p>
    <w:p>
      <w:pPr>
        <w:pStyle w:val="ListParagraph"/>
        <w:numPr>
          <w:ilvl w:val="0"/>
          <w:numId w:val="81"/>
        </w:numPr>
        <w:tabs>
          <w:tab w:pos="1887" w:val="left" w:leader="none"/>
        </w:tabs>
        <w:spacing w:line="240" w:lineRule="auto" w:before="0" w:after="0"/>
        <w:ind w:left="1886" w:right="0" w:hanging="221"/>
        <w:jc w:val="left"/>
        <w:rPr>
          <w:sz w:val="19"/>
        </w:rPr>
      </w:pPr>
      <w:r>
        <w:rPr>
          <w:w w:val="105"/>
          <w:sz w:val="19"/>
        </w:rPr>
        <w:t>Connect</w:t>
      </w:r>
      <w:r>
        <w:rPr>
          <w:spacing w:val="4"/>
          <w:w w:val="105"/>
          <w:sz w:val="19"/>
        </w:rPr>
        <w:t> </w:t>
      </w:r>
      <w:r>
        <w:rPr>
          <w:w w:val="105"/>
          <w:sz w:val="19"/>
        </w:rPr>
        <w:t>with</w:t>
      </w:r>
      <w:r>
        <w:rPr>
          <w:spacing w:val="-10"/>
          <w:w w:val="105"/>
          <w:sz w:val="19"/>
        </w:rPr>
        <w:t> </w:t>
      </w:r>
      <w:r>
        <w:rPr>
          <w:w w:val="105"/>
          <w:sz w:val="19"/>
        </w:rPr>
        <w:t>local</w:t>
      </w:r>
      <w:r>
        <w:rPr>
          <w:spacing w:val="-24"/>
          <w:w w:val="105"/>
          <w:sz w:val="19"/>
        </w:rPr>
        <w:t> </w:t>
      </w:r>
      <w:r>
        <w:rPr>
          <w:w w:val="105"/>
          <w:sz w:val="19"/>
        </w:rPr>
        <w:t>community</w:t>
      </w:r>
      <w:r>
        <w:rPr>
          <w:spacing w:val="9"/>
          <w:w w:val="105"/>
          <w:sz w:val="19"/>
        </w:rPr>
        <w:t> </w:t>
      </w:r>
      <w:r>
        <w:rPr>
          <w:w w:val="105"/>
          <w:sz w:val="19"/>
        </w:rPr>
        <w:t>development</w:t>
      </w:r>
      <w:r>
        <w:rPr>
          <w:spacing w:val="2"/>
          <w:w w:val="105"/>
          <w:sz w:val="19"/>
        </w:rPr>
        <w:t> </w:t>
      </w:r>
      <w:r>
        <w:rPr>
          <w:w w:val="105"/>
          <w:sz w:val="19"/>
        </w:rPr>
        <w:t>organizations</w:t>
      </w:r>
      <w:r>
        <w:rPr>
          <w:spacing w:val="2"/>
          <w:w w:val="105"/>
          <w:sz w:val="19"/>
        </w:rPr>
        <w:t> </w:t>
      </w:r>
      <w:r>
        <w:rPr>
          <w:w w:val="105"/>
          <w:sz w:val="19"/>
        </w:rPr>
        <w:t>via</w:t>
      </w:r>
      <w:r>
        <w:rPr>
          <w:spacing w:val="-13"/>
          <w:w w:val="105"/>
          <w:sz w:val="19"/>
        </w:rPr>
        <w:t> </w:t>
      </w:r>
      <w:r>
        <w:rPr>
          <w:w w:val="105"/>
          <w:sz w:val="19"/>
        </w:rPr>
        <w:t>the</w:t>
      </w:r>
      <w:r>
        <w:rPr>
          <w:spacing w:val="-10"/>
          <w:w w:val="105"/>
          <w:sz w:val="19"/>
        </w:rPr>
        <w:t> </w:t>
      </w:r>
      <w:r>
        <w:rPr>
          <w:w w:val="105"/>
          <w:sz w:val="19"/>
        </w:rPr>
        <w:t>Urban</w:t>
      </w:r>
      <w:r>
        <w:rPr>
          <w:spacing w:val="-12"/>
          <w:w w:val="105"/>
          <w:sz w:val="19"/>
        </w:rPr>
        <w:t> </w:t>
      </w:r>
      <w:r>
        <w:rPr>
          <w:spacing w:val="-2"/>
          <w:w w:val="105"/>
          <w:sz w:val="19"/>
        </w:rPr>
        <w:t>Institute.</w:t>
      </w:r>
    </w:p>
    <w:p>
      <w:pPr>
        <w:spacing w:before="3"/>
        <w:ind w:left="2383" w:right="0" w:firstLine="0"/>
        <w:jc w:val="left"/>
        <w:rPr>
          <w:sz w:val="19"/>
        </w:rPr>
      </w:pPr>
      <w:r>
        <w:rPr>
          <w:b/>
          <w:sz w:val="20"/>
        </w:rPr>
        <w:t>TIME:</w:t>
      </w:r>
      <w:r>
        <w:rPr>
          <w:b/>
          <w:spacing w:val="24"/>
          <w:sz w:val="20"/>
        </w:rPr>
        <w:t> </w:t>
      </w:r>
      <w:r>
        <w:rPr>
          <w:sz w:val="19"/>
        </w:rPr>
        <w:t>2001-</w:t>
      </w:r>
      <w:r>
        <w:rPr>
          <w:spacing w:val="-5"/>
          <w:sz w:val="19"/>
        </w:rPr>
        <w:t>on</w:t>
      </w:r>
    </w:p>
    <w:p>
      <w:pPr>
        <w:spacing w:line="259" w:lineRule="auto" w:before="11"/>
        <w:ind w:left="1662" w:right="389" w:firstLine="716"/>
        <w:jc w:val="both"/>
        <w:rPr>
          <w:sz w:val="19"/>
        </w:rPr>
      </w:pPr>
      <w:r>
        <w:rPr>
          <w:w w:val="105"/>
          <w:sz w:val="19"/>
        </w:rPr>
        <w:t>OUTCOME: Students/faculty</w:t>
      </w:r>
      <w:r>
        <w:rPr>
          <w:spacing w:val="-9"/>
          <w:w w:val="105"/>
          <w:sz w:val="19"/>
        </w:rPr>
        <w:t> </w:t>
      </w:r>
      <w:r>
        <w:rPr>
          <w:w w:val="105"/>
          <w:sz w:val="19"/>
        </w:rPr>
        <w:t>and</w:t>
      </w:r>
      <w:r>
        <w:rPr>
          <w:spacing w:val="-2"/>
          <w:w w:val="105"/>
          <w:sz w:val="19"/>
        </w:rPr>
        <w:t> </w:t>
      </w:r>
      <w:r>
        <w:rPr>
          <w:w w:val="105"/>
          <w:sz w:val="19"/>
        </w:rPr>
        <w:t>the design</w:t>
      </w:r>
      <w:r>
        <w:rPr>
          <w:spacing w:val="-1"/>
          <w:w w:val="105"/>
          <w:sz w:val="19"/>
        </w:rPr>
        <w:t> </w:t>
      </w:r>
      <w:r>
        <w:rPr>
          <w:w w:val="105"/>
          <w:sz w:val="19"/>
        </w:rPr>
        <w:t>studios</w:t>
      </w:r>
      <w:r>
        <w:rPr>
          <w:spacing w:val="-1"/>
          <w:w w:val="105"/>
          <w:sz w:val="19"/>
        </w:rPr>
        <w:t> </w:t>
      </w:r>
      <w:r>
        <w:rPr>
          <w:w w:val="105"/>
          <w:sz w:val="19"/>
        </w:rPr>
        <w:t>have been</w:t>
      </w:r>
      <w:r>
        <w:rPr>
          <w:spacing w:val="-4"/>
          <w:w w:val="105"/>
          <w:sz w:val="19"/>
        </w:rPr>
        <w:t> </w:t>
      </w:r>
      <w:r>
        <w:rPr>
          <w:w w:val="105"/>
          <w:sz w:val="19"/>
        </w:rPr>
        <w:t>actively working with</w:t>
      </w:r>
      <w:r>
        <w:rPr>
          <w:spacing w:val="-12"/>
          <w:w w:val="105"/>
          <w:sz w:val="19"/>
        </w:rPr>
        <w:t> </w:t>
      </w:r>
      <w:r>
        <w:rPr>
          <w:w w:val="105"/>
          <w:sz w:val="19"/>
        </w:rPr>
        <w:t>community and</w:t>
      </w:r>
      <w:r>
        <w:rPr>
          <w:spacing w:val="-3"/>
          <w:w w:val="105"/>
          <w:sz w:val="19"/>
        </w:rPr>
        <w:t> </w:t>
      </w:r>
      <w:r>
        <w:rPr>
          <w:w w:val="105"/>
          <w:sz w:val="19"/>
        </w:rPr>
        <w:t>professional organizations.</w:t>
      </w:r>
      <w:r>
        <w:rPr>
          <w:spacing w:val="-14"/>
          <w:w w:val="105"/>
          <w:sz w:val="19"/>
        </w:rPr>
        <w:t> </w:t>
      </w:r>
      <w:r>
        <w:rPr>
          <w:w w:val="105"/>
          <w:sz w:val="19"/>
        </w:rPr>
        <w:t>The difficulty has</w:t>
      </w:r>
      <w:r>
        <w:rPr>
          <w:spacing w:val="-8"/>
          <w:w w:val="105"/>
          <w:sz w:val="19"/>
        </w:rPr>
        <w:t> </w:t>
      </w:r>
      <w:r>
        <w:rPr>
          <w:w w:val="105"/>
          <w:sz w:val="19"/>
        </w:rPr>
        <w:t>been</w:t>
      </w:r>
      <w:r>
        <w:rPr>
          <w:spacing w:val="-4"/>
          <w:w w:val="105"/>
          <w:sz w:val="19"/>
        </w:rPr>
        <w:t> </w:t>
      </w:r>
      <w:r>
        <w:rPr>
          <w:w w:val="105"/>
          <w:sz w:val="19"/>
        </w:rPr>
        <w:t>structuring those relationships through the</w:t>
      </w:r>
      <w:r>
        <w:rPr>
          <w:spacing w:val="-1"/>
          <w:w w:val="105"/>
          <w:sz w:val="19"/>
        </w:rPr>
        <w:t> </w:t>
      </w:r>
      <w:r>
        <w:rPr>
          <w:w w:val="105"/>
          <w:sz w:val="19"/>
        </w:rPr>
        <w:t>Urban Institute as a fundraising vehicle.</w:t>
      </w:r>
    </w:p>
    <w:p>
      <w:pPr>
        <w:pStyle w:val="BodyText"/>
        <w:spacing w:before="7"/>
        <w:rPr>
          <w:sz w:val="19"/>
        </w:rPr>
      </w:pPr>
    </w:p>
    <w:p>
      <w:pPr>
        <w:pStyle w:val="ListParagraph"/>
        <w:numPr>
          <w:ilvl w:val="0"/>
          <w:numId w:val="81"/>
        </w:numPr>
        <w:tabs>
          <w:tab w:pos="1994" w:val="left" w:leader="none"/>
        </w:tabs>
        <w:spacing w:line="240" w:lineRule="auto" w:before="0" w:after="0"/>
        <w:ind w:left="1993" w:right="0" w:hanging="331"/>
        <w:jc w:val="left"/>
        <w:rPr>
          <w:sz w:val="19"/>
        </w:rPr>
      </w:pPr>
      <w:r>
        <w:rPr>
          <w:w w:val="105"/>
          <w:sz w:val="19"/>
        </w:rPr>
        <w:t>Initiate</w:t>
      </w:r>
      <w:r>
        <w:rPr>
          <w:spacing w:val="-9"/>
          <w:w w:val="105"/>
          <w:sz w:val="19"/>
        </w:rPr>
        <w:t> </w:t>
      </w:r>
      <w:r>
        <w:rPr>
          <w:w w:val="105"/>
          <w:sz w:val="19"/>
        </w:rPr>
        <w:t>required</w:t>
      </w:r>
      <w:r>
        <w:rPr>
          <w:spacing w:val="-5"/>
          <w:w w:val="105"/>
          <w:sz w:val="19"/>
        </w:rPr>
        <w:t> </w:t>
      </w:r>
      <w:r>
        <w:rPr>
          <w:w w:val="105"/>
          <w:sz w:val="19"/>
        </w:rPr>
        <w:t>professional</w:t>
      </w:r>
      <w:r>
        <w:rPr>
          <w:spacing w:val="2"/>
          <w:w w:val="105"/>
          <w:sz w:val="19"/>
        </w:rPr>
        <w:t> </w:t>
      </w:r>
      <w:r>
        <w:rPr>
          <w:w w:val="105"/>
          <w:sz w:val="19"/>
        </w:rPr>
        <w:t>internship/coop</w:t>
      </w:r>
      <w:r>
        <w:rPr>
          <w:spacing w:val="-9"/>
          <w:w w:val="105"/>
          <w:sz w:val="19"/>
        </w:rPr>
        <w:t> </w:t>
      </w:r>
      <w:r>
        <w:rPr>
          <w:w w:val="105"/>
          <w:sz w:val="19"/>
        </w:rPr>
        <w:t>for</w:t>
      </w:r>
      <w:r>
        <w:rPr>
          <w:spacing w:val="-6"/>
          <w:w w:val="105"/>
          <w:sz w:val="19"/>
        </w:rPr>
        <w:t> </w:t>
      </w:r>
      <w:r>
        <w:rPr>
          <w:spacing w:val="-2"/>
          <w:w w:val="105"/>
          <w:sz w:val="19"/>
        </w:rPr>
        <w:t>graduation.</w:t>
      </w:r>
    </w:p>
    <w:p>
      <w:pPr>
        <w:spacing w:before="4"/>
        <w:ind w:left="2383" w:right="0" w:firstLine="0"/>
        <w:jc w:val="left"/>
        <w:rPr>
          <w:sz w:val="19"/>
        </w:rPr>
      </w:pPr>
      <w:r>
        <w:rPr>
          <w:b/>
          <w:sz w:val="20"/>
        </w:rPr>
        <w:t>TIME:</w:t>
      </w:r>
      <w:r>
        <w:rPr>
          <w:b/>
          <w:spacing w:val="14"/>
          <w:sz w:val="20"/>
        </w:rPr>
        <w:t> </w:t>
      </w:r>
      <w:r>
        <w:rPr>
          <w:sz w:val="19"/>
        </w:rPr>
        <w:t>2002-</w:t>
      </w:r>
      <w:r>
        <w:rPr>
          <w:spacing w:val="-4"/>
          <w:sz w:val="19"/>
        </w:rPr>
        <w:t>2004</w:t>
      </w:r>
    </w:p>
    <w:p>
      <w:pPr>
        <w:spacing w:before="20"/>
        <w:ind w:left="2378" w:right="0" w:firstLine="0"/>
        <w:jc w:val="left"/>
        <w:rPr>
          <w:sz w:val="19"/>
        </w:rPr>
      </w:pPr>
      <w:r>
        <w:rPr/>
        <w:pict>
          <v:shape style="position:absolute;margin-left:432.126495pt;margin-top:3.732294pt;width:5.55pt;height:21.3pt;mso-position-horizontal-relative:page;mso-position-vertical-relative:paragraph;z-index:-27008000" type="#_x0000_t202" id="docshape687" filled="false" stroked="false">
            <v:textbox inset="0,0,0,0">
              <w:txbxContent>
                <w:p>
                  <w:pPr>
                    <w:spacing w:line="426" w:lineRule="exact" w:before="0"/>
                    <w:ind w:left="0" w:right="0" w:firstLine="0"/>
                    <w:jc w:val="left"/>
                    <w:rPr>
                      <w:sz w:val="38"/>
                    </w:rPr>
                  </w:pPr>
                  <w:r>
                    <w:rPr>
                      <w:spacing w:val="-31"/>
                      <w:w w:val="106"/>
                      <w:sz w:val="38"/>
                    </w:rPr>
                    <w:t>•</w:t>
                  </w:r>
                </w:p>
              </w:txbxContent>
            </v:textbox>
            <w10:wrap type="none"/>
          </v:shape>
        </w:pict>
      </w:r>
      <w:r>
        <w:rPr>
          <w:w w:val="105"/>
          <w:sz w:val="19"/>
        </w:rPr>
        <w:t>OUTCOME: The</w:t>
      </w:r>
      <w:r>
        <w:rPr>
          <w:spacing w:val="-8"/>
          <w:w w:val="105"/>
          <w:sz w:val="19"/>
        </w:rPr>
        <w:t> </w:t>
      </w:r>
      <w:r>
        <w:rPr>
          <w:w w:val="105"/>
          <w:sz w:val="19"/>
        </w:rPr>
        <w:t>new</w:t>
      </w:r>
      <w:r>
        <w:rPr>
          <w:spacing w:val="-8"/>
          <w:w w:val="105"/>
          <w:sz w:val="19"/>
        </w:rPr>
        <w:t> </w:t>
      </w:r>
      <w:r>
        <w:rPr>
          <w:w w:val="105"/>
          <w:sz w:val="19"/>
        </w:rPr>
        <w:t>graduate</w:t>
      </w:r>
      <w:r>
        <w:rPr>
          <w:spacing w:val="4"/>
          <w:w w:val="105"/>
          <w:sz w:val="19"/>
        </w:rPr>
        <w:t> </w:t>
      </w:r>
      <w:r>
        <w:rPr>
          <w:w w:val="105"/>
          <w:sz w:val="19"/>
        </w:rPr>
        <w:t>degree</w:t>
      </w:r>
      <w:r>
        <w:rPr>
          <w:spacing w:val="-9"/>
          <w:w w:val="105"/>
          <w:sz w:val="19"/>
        </w:rPr>
        <w:t> </w:t>
      </w:r>
      <w:r>
        <w:rPr>
          <w:w w:val="105"/>
          <w:sz w:val="19"/>
        </w:rPr>
        <w:t>curriculum</w:t>
      </w:r>
      <w:r>
        <w:rPr>
          <w:spacing w:val="11"/>
          <w:w w:val="105"/>
          <w:sz w:val="19"/>
        </w:rPr>
        <w:t> </w:t>
      </w:r>
      <w:r>
        <w:rPr>
          <w:w w:val="105"/>
          <w:sz w:val="19"/>
        </w:rPr>
        <w:t>requires</w:t>
      </w:r>
      <w:r>
        <w:rPr>
          <w:spacing w:val="1"/>
          <w:w w:val="105"/>
          <w:sz w:val="19"/>
        </w:rPr>
        <w:t> </w:t>
      </w:r>
      <w:r>
        <w:rPr>
          <w:w w:val="105"/>
          <w:sz w:val="19"/>
        </w:rPr>
        <w:t>students</w:t>
      </w:r>
      <w:r>
        <w:rPr>
          <w:spacing w:val="-5"/>
          <w:w w:val="105"/>
          <w:sz w:val="19"/>
        </w:rPr>
        <w:t> </w:t>
      </w:r>
      <w:r>
        <w:rPr>
          <w:w w:val="105"/>
          <w:sz w:val="19"/>
        </w:rPr>
        <w:t>to</w:t>
      </w:r>
      <w:r>
        <w:rPr>
          <w:spacing w:val="6"/>
          <w:w w:val="105"/>
          <w:sz w:val="19"/>
        </w:rPr>
        <w:t> </w:t>
      </w:r>
      <w:r>
        <w:rPr>
          <w:spacing w:val="-2"/>
          <w:w w:val="105"/>
          <w:sz w:val="19"/>
        </w:rPr>
        <w:t>complete</w:t>
      </w:r>
    </w:p>
    <w:p>
      <w:pPr>
        <w:spacing w:line="254" w:lineRule="auto" w:before="118"/>
        <w:ind w:left="1661" w:right="0" w:firstLine="5"/>
        <w:jc w:val="left"/>
        <w:rPr>
          <w:sz w:val="19"/>
        </w:rPr>
      </w:pPr>
      <w:r>
        <w:rPr/>
        <w:pict>
          <v:shape style="position:absolute;margin-left:390.209991pt;margin-top:20.186735pt;width:5.4pt;height:21.3pt;mso-position-horizontal-relative:page;mso-position-vertical-relative:paragraph;z-index:-27007488" type="#_x0000_t202" id="docshape688" filled="false" stroked="false">
            <v:textbox inset="0,0,0,0">
              <w:txbxContent>
                <w:p>
                  <w:pPr>
                    <w:spacing w:line="426" w:lineRule="exact" w:before="0"/>
                    <w:ind w:left="0" w:right="0" w:firstLine="0"/>
                    <w:jc w:val="left"/>
                    <w:rPr>
                      <w:sz w:val="38"/>
                    </w:rPr>
                  </w:pPr>
                  <w:r>
                    <w:rPr>
                      <w:spacing w:val="-35"/>
                      <w:w w:val="106"/>
                      <w:sz w:val="38"/>
                    </w:rPr>
                    <w:t>•</w:t>
                  </w:r>
                </w:p>
              </w:txbxContent>
            </v:textbox>
            <w10:wrap type="none"/>
          </v:shape>
        </w:pict>
      </w:r>
      <w:r>
        <w:rPr>
          <w:w w:val="105"/>
          <w:sz w:val="19"/>
        </w:rPr>
        <w:t>a non-credit internship experience, typically in the</w:t>
      </w:r>
      <w:r>
        <w:rPr>
          <w:spacing w:val="-3"/>
          <w:w w:val="105"/>
          <w:sz w:val="19"/>
        </w:rPr>
        <w:t> </w:t>
      </w:r>
      <w:r>
        <w:rPr>
          <w:w w:val="105"/>
          <w:sz w:val="19"/>
        </w:rPr>
        <w:t>summer</w:t>
      </w:r>
      <w:r>
        <w:rPr>
          <w:spacing w:val="-4"/>
          <w:w w:val="105"/>
          <w:sz w:val="19"/>
        </w:rPr>
        <w:t> </w:t>
      </w:r>
      <w:r>
        <w:rPr>
          <w:w w:val="105"/>
          <w:sz w:val="19"/>
        </w:rPr>
        <w:t>of the</w:t>
      </w:r>
      <w:r>
        <w:rPr>
          <w:spacing w:val="-10"/>
          <w:w w:val="105"/>
          <w:sz w:val="19"/>
        </w:rPr>
        <w:t> </w:t>
      </w:r>
      <w:r>
        <w:rPr>
          <w:w w:val="105"/>
          <w:sz w:val="19"/>
        </w:rPr>
        <w:t>4</w:t>
      </w:r>
      <w:r>
        <w:rPr>
          <w:spacing w:val="80"/>
          <w:w w:val="105"/>
          <w:sz w:val="19"/>
        </w:rPr>
        <w:t> </w:t>
      </w:r>
      <w:r>
        <w:rPr>
          <w:w w:val="105"/>
          <w:sz w:val="19"/>
        </w:rPr>
        <w:t>year.</w:t>
      </w:r>
      <w:r>
        <w:rPr>
          <w:spacing w:val="-6"/>
          <w:w w:val="105"/>
          <w:sz w:val="19"/>
        </w:rPr>
        <w:t> </w:t>
      </w:r>
      <w:r>
        <w:rPr>
          <w:w w:val="105"/>
          <w:sz w:val="19"/>
        </w:rPr>
        <w:t>This</w:t>
      </w:r>
      <w:r>
        <w:rPr>
          <w:spacing w:val="-6"/>
          <w:w w:val="105"/>
          <w:sz w:val="19"/>
        </w:rPr>
        <w:t> </w:t>
      </w:r>
      <w:r>
        <w:rPr>
          <w:w w:val="105"/>
          <w:sz w:val="19"/>
        </w:rPr>
        <w:t>has</w:t>
      </w:r>
      <w:r>
        <w:rPr>
          <w:spacing w:val="-1"/>
          <w:w w:val="105"/>
          <w:sz w:val="19"/>
        </w:rPr>
        <w:t> </w:t>
      </w:r>
      <w:r>
        <w:rPr>
          <w:w w:val="105"/>
          <w:sz w:val="19"/>
        </w:rPr>
        <w:t>been handled</w:t>
      </w:r>
      <w:r>
        <w:rPr>
          <w:spacing w:val="-12"/>
          <w:w w:val="105"/>
          <w:sz w:val="19"/>
        </w:rPr>
        <w:t> </w:t>
      </w:r>
      <w:r>
        <w:rPr>
          <w:w w:val="105"/>
          <w:sz w:val="19"/>
        </w:rPr>
        <w:t>informally</w:t>
      </w:r>
      <w:r>
        <w:rPr>
          <w:spacing w:val="15"/>
          <w:w w:val="105"/>
          <w:sz w:val="19"/>
        </w:rPr>
        <w:t> </w:t>
      </w:r>
      <w:r>
        <w:rPr>
          <w:w w:val="105"/>
          <w:sz w:val="19"/>
        </w:rPr>
        <w:t>to</w:t>
      </w:r>
      <w:r>
        <w:rPr>
          <w:spacing w:val="1"/>
          <w:w w:val="105"/>
          <w:sz w:val="19"/>
        </w:rPr>
        <w:t> </w:t>
      </w:r>
      <w:r>
        <w:rPr>
          <w:w w:val="105"/>
          <w:sz w:val="19"/>
        </w:rPr>
        <w:t>this</w:t>
      </w:r>
      <w:r>
        <w:rPr>
          <w:spacing w:val="-12"/>
          <w:w w:val="105"/>
          <w:sz w:val="19"/>
        </w:rPr>
        <w:t> </w:t>
      </w:r>
      <w:r>
        <w:rPr>
          <w:w w:val="105"/>
          <w:sz w:val="19"/>
        </w:rPr>
        <w:t>point,</w:t>
      </w:r>
      <w:r>
        <w:rPr>
          <w:spacing w:val="-3"/>
          <w:w w:val="105"/>
          <w:sz w:val="19"/>
        </w:rPr>
        <w:t> </w:t>
      </w:r>
      <w:r>
        <w:rPr>
          <w:w w:val="105"/>
          <w:sz w:val="19"/>
        </w:rPr>
        <w:t>and</w:t>
      </w:r>
      <w:r>
        <w:rPr>
          <w:spacing w:val="-8"/>
          <w:w w:val="105"/>
          <w:sz w:val="19"/>
        </w:rPr>
        <w:t> </w:t>
      </w:r>
      <w:r>
        <w:rPr>
          <w:w w:val="105"/>
          <w:sz w:val="19"/>
        </w:rPr>
        <w:t>the</w:t>
      </w:r>
      <w:r>
        <w:rPr>
          <w:spacing w:val="-11"/>
          <w:w w:val="105"/>
          <w:sz w:val="19"/>
        </w:rPr>
        <w:t> </w:t>
      </w:r>
      <w:r>
        <w:rPr>
          <w:w w:val="105"/>
          <w:sz w:val="19"/>
        </w:rPr>
        <w:t>formal</w:t>
      </w:r>
      <w:r>
        <w:rPr>
          <w:spacing w:val="-4"/>
          <w:w w:val="105"/>
          <w:sz w:val="19"/>
        </w:rPr>
        <w:t> </w:t>
      </w:r>
      <w:r>
        <w:rPr>
          <w:w w:val="105"/>
          <w:sz w:val="19"/>
        </w:rPr>
        <w:t>organization</w:t>
      </w:r>
      <w:r>
        <w:rPr>
          <w:spacing w:val="9"/>
          <w:w w:val="105"/>
          <w:sz w:val="19"/>
        </w:rPr>
        <w:t> </w:t>
      </w:r>
      <w:r>
        <w:rPr>
          <w:w w:val="105"/>
          <w:sz w:val="19"/>
        </w:rPr>
        <w:t>will</w:t>
      </w:r>
      <w:r>
        <w:rPr>
          <w:spacing w:val="-19"/>
          <w:w w:val="105"/>
          <w:sz w:val="19"/>
        </w:rPr>
        <w:t> </w:t>
      </w:r>
      <w:r>
        <w:rPr>
          <w:w w:val="105"/>
          <w:sz w:val="19"/>
        </w:rPr>
        <w:t>be</w:t>
      </w:r>
      <w:r>
        <w:rPr>
          <w:spacing w:val="1"/>
          <w:w w:val="105"/>
          <w:sz w:val="19"/>
        </w:rPr>
        <w:t> </w:t>
      </w:r>
      <w:r>
        <w:rPr>
          <w:w w:val="105"/>
          <w:sz w:val="19"/>
        </w:rPr>
        <w:t>a</w:t>
      </w:r>
      <w:r>
        <w:rPr>
          <w:spacing w:val="-12"/>
          <w:w w:val="105"/>
          <w:sz w:val="19"/>
        </w:rPr>
        <w:t> </w:t>
      </w:r>
      <w:r>
        <w:rPr>
          <w:w w:val="105"/>
          <w:sz w:val="19"/>
        </w:rPr>
        <w:t>point</w:t>
      </w:r>
      <w:r>
        <w:rPr>
          <w:spacing w:val="-9"/>
          <w:w w:val="105"/>
          <w:sz w:val="19"/>
        </w:rPr>
        <w:t> </w:t>
      </w:r>
      <w:r>
        <w:rPr>
          <w:w w:val="105"/>
          <w:sz w:val="19"/>
        </w:rPr>
        <w:t>of</w:t>
      </w:r>
      <w:r>
        <w:rPr>
          <w:spacing w:val="-4"/>
          <w:w w:val="105"/>
          <w:sz w:val="19"/>
        </w:rPr>
        <w:t> </w:t>
      </w:r>
      <w:r>
        <w:rPr>
          <w:w w:val="105"/>
          <w:sz w:val="19"/>
        </w:rPr>
        <w:t>emphasis</w:t>
      </w:r>
      <w:r>
        <w:rPr>
          <w:spacing w:val="11"/>
          <w:w w:val="105"/>
          <w:sz w:val="19"/>
        </w:rPr>
        <w:t> </w:t>
      </w:r>
      <w:r>
        <w:rPr>
          <w:spacing w:val="-5"/>
          <w:w w:val="105"/>
          <w:sz w:val="19"/>
        </w:rPr>
        <w:t>in</w:t>
      </w:r>
    </w:p>
    <w:p>
      <w:pPr>
        <w:spacing w:line="254" w:lineRule="auto" w:before="105"/>
        <w:ind w:left="1661" w:right="373" w:firstLine="0"/>
        <w:jc w:val="left"/>
        <w:rPr>
          <w:sz w:val="19"/>
        </w:rPr>
      </w:pPr>
      <w:r>
        <w:rPr>
          <w:w w:val="105"/>
          <w:sz w:val="19"/>
        </w:rPr>
        <w:t>the</w:t>
      </w:r>
      <w:r>
        <w:rPr>
          <w:spacing w:val="-4"/>
          <w:w w:val="105"/>
          <w:sz w:val="19"/>
        </w:rPr>
        <w:t> </w:t>
      </w:r>
      <w:r>
        <w:rPr>
          <w:w w:val="105"/>
          <w:sz w:val="19"/>
        </w:rPr>
        <w:t>2008-2009 academic years. Beginning this year, all 4</w:t>
      </w:r>
      <w:r>
        <w:rPr>
          <w:spacing w:val="80"/>
          <w:w w:val="105"/>
          <w:sz w:val="19"/>
        </w:rPr>
        <w:t> </w:t>
      </w:r>
      <w:r>
        <w:rPr>
          <w:w w:val="105"/>
          <w:sz w:val="19"/>
        </w:rPr>
        <w:t>year students will</w:t>
      </w:r>
      <w:r>
        <w:rPr>
          <w:spacing w:val="-18"/>
          <w:w w:val="105"/>
          <w:sz w:val="19"/>
        </w:rPr>
        <w:t> </w:t>
      </w:r>
      <w:r>
        <w:rPr>
          <w:w w:val="105"/>
          <w:sz w:val="19"/>
        </w:rPr>
        <w:t>be</w:t>
      </w:r>
      <w:r>
        <w:rPr>
          <w:spacing w:val="-14"/>
          <w:w w:val="105"/>
          <w:sz w:val="19"/>
        </w:rPr>
        <w:t> </w:t>
      </w:r>
      <w:r>
        <w:rPr>
          <w:w w:val="105"/>
          <w:sz w:val="19"/>
        </w:rPr>
        <w:t>required to establish their IDP file with NCARB.</w:t>
      </w:r>
    </w:p>
    <w:p>
      <w:pPr>
        <w:pStyle w:val="BodyText"/>
      </w:pPr>
    </w:p>
    <w:p>
      <w:pPr>
        <w:pStyle w:val="ListParagraph"/>
        <w:numPr>
          <w:ilvl w:val="0"/>
          <w:numId w:val="81"/>
        </w:numPr>
        <w:tabs>
          <w:tab w:pos="1997" w:val="left" w:leader="none"/>
        </w:tabs>
        <w:spacing w:line="215" w:lineRule="exact" w:before="0" w:after="0"/>
        <w:ind w:left="1997" w:right="0" w:hanging="334"/>
        <w:jc w:val="left"/>
        <w:rPr>
          <w:sz w:val="19"/>
        </w:rPr>
      </w:pPr>
      <w:r>
        <w:rPr>
          <w:w w:val="105"/>
          <w:sz w:val="19"/>
        </w:rPr>
        <w:t>Develop</w:t>
      </w:r>
      <w:r>
        <w:rPr>
          <w:spacing w:val="-1"/>
          <w:w w:val="105"/>
          <w:sz w:val="19"/>
        </w:rPr>
        <w:t> </w:t>
      </w:r>
      <w:r>
        <w:rPr>
          <w:w w:val="105"/>
          <w:sz w:val="19"/>
        </w:rPr>
        <w:t>a</w:t>
      </w:r>
      <w:r>
        <w:rPr>
          <w:spacing w:val="-4"/>
          <w:w w:val="105"/>
          <w:sz w:val="19"/>
        </w:rPr>
        <w:t> </w:t>
      </w:r>
      <w:r>
        <w:rPr>
          <w:w w:val="105"/>
          <w:sz w:val="19"/>
        </w:rPr>
        <w:t>curriculum</w:t>
      </w:r>
      <w:r>
        <w:rPr>
          <w:spacing w:val="2"/>
          <w:w w:val="105"/>
          <w:sz w:val="19"/>
        </w:rPr>
        <w:t> </w:t>
      </w:r>
      <w:r>
        <w:rPr>
          <w:w w:val="105"/>
          <w:sz w:val="19"/>
        </w:rPr>
        <w:t>focus</w:t>
      </w:r>
      <w:r>
        <w:rPr>
          <w:spacing w:val="-3"/>
          <w:w w:val="105"/>
          <w:sz w:val="19"/>
        </w:rPr>
        <w:t> </w:t>
      </w:r>
      <w:r>
        <w:rPr>
          <w:w w:val="105"/>
          <w:sz w:val="19"/>
        </w:rPr>
        <w:t>on</w:t>
      </w:r>
      <w:r>
        <w:rPr>
          <w:spacing w:val="-5"/>
          <w:w w:val="105"/>
          <w:sz w:val="19"/>
        </w:rPr>
        <w:t> </w:t>
      </w:r>
      <w:r>
        <w:rPr>
          <w:w w:val="105"/>
          <w:sz w:val="19"/>
        </w:rPr>
        <w:t>architecture</w:t>
      </w:r>
      <w:r>
        <w:rPr>
          <w:spacing w:val="9"/>
          <w:w w:val="105"/>
          <w:sz w:val="19"/>
        </w:rPr>
        <w:t> </w:t>
      </w:r>
      <w:r>
        <w:rPr>
          <w:w w:val="105"/>
          <w:sz w:val="19"/>
        </w:rPr>
        <w:t>of</w:t>
      </w:r>
      <w:r>
        <w:rPr>
          <w:spacing w:val="4"/>
          <w:w w:val="105"/>
          <w:sz w:val="19"/>
        </w:rPr>
        <w:t> </w:t>
      </w:r>
      <w:r>
        <w:rPr>
          <w:w w:val="105"/>
          <w:sz w:val="19"/>
        </w:rPr>
        <w:t>the</w:t>
      </w:r>
      <w:r>
        <w:rPr>
          <w:spacing w:val="-16"/>
          <w:w w:val="105"/>
          <w:sz w:val="19"/>
        </w:rPr>
        <w:t> </w:t>
      </w:r>
      <w:r>
        <w:rPr>
          <w:w w:val="105"/>
          <w:sz w:val="19"/>
        </w:rPr>
        <w:t>Urban</w:t>
      </w:r>
      <w:r>
        <w:rPr>
          <w:spacing w:val="-15"/>
          <w:w w:val="105"/>
          <w:sz w:val="19"/>
        </w:rPr>
        <w:t> </w:t>
      </w:r>
      <w:r>
        <w:rPr>
          <w:w w:val="105"/>
          <w:sz w:val="19"/>
        </w:rPr>
        <w:t>Waters</w:t>
      </w:r>
      <w:r>
        <w:rPr>
          <w:spacing w:val="-10"/>
          <w:w w:val="105"/>
          <w:sz w:val="19"/>
        </w:rPr>
        <w:t> </w:t>
      </w:r>
      <w:r>
        <w:rPr>
          <w:spacing w:val="-2"/>
          <w:w w:val="105"/>
          <w:sz w:val="19"/>
        </w:rPr>
        <w:t>Edge.</w:t>
      </w:r>
    </w:p>
    <w:p>
      <w:pPr>
        <w:tabs>
          <w:tab w:pos="8219" w:val="left" w:leader="none"/>
        </w:tabs>
        <w:spacing w:line="227" w:lineRule="exact" w:before="0"/>
        <w:ind w:left="2383" w:right="0" w:firstLine="0"/>
        <w:jc w:val="left"/>
        <w:rPr>
          <w:sz w:val="19"/>
        </w:rPr>
      </w:pPr>
      <w:r>
        <w:rPr>
          <w:b/>
          <w:sz w:val="20"/>
        </w:rPr>
        <w:t>TIME:</w:t>
      </w:r>
      <w:r>
        <w:rPr>
          <w:b/>
          <w:spacing w:val="10"/>
          <w:sz w:val="20"/>
        </w:rPr>
        <w:t> </w:t>
      </w:r>
      <w:r>
        <w:rPr>
          <w:sz w:val="19"/>
        </w:rPr>
        <w:t>2002-</w:t>
      </w:r>
      <w:r>
        <w:rPr>
          <w:spacing w:val="-4"/>
          <w:sz w:val="19"/>
        </w:rPr>
        <w:t>2004</w:t>
      </w:r>
      <w:r>
        <w:rPr>
          <w:sz w:val="19"/>
        </w:rPr>
        <w:tab/>
      </w:r>
      <w:r>
        <w:rPr>
          <w:spacing w:val="-10"/>
          <w:w w:val="95"/>
          <w:sz w:val="19"/>
        </w:rPr>
        <w:t>'</w:t>
      </w:r>
    </w:p>
    <w:p>
      <w:pPr>
        <w:spacing w:before="11"/>
        <w:ind w:left="2378" w:right="0" w:firstLine="0"/>
        <w:jc w:val="left"/>
        <w:rPr>
          <w:sz w:val="19"/>
        </w:rPr>
      </w:pPr>
      <w:r>
        <w:rPr>
          <w:w w:val="105"/>
          <w:sz w:val="19"/>
        </w:rPr>
        <w:t>OUTCOME:</w:t>
      </w:r>
      <w:r>
        <w:rPr>
          <w:spacing w:val="1"/>
          <w:w w:val="105"/>
          <w:sz w:val="19"/>
        </w:rPr>
        <w:t> </w:t>
      </w:r>
      <w:r>
        <w:rPr>
          <w:w w:val="105"/>
          <w:sz w:val="19"/>
        </w:rPr>
        <w:t>There</w:t>
      </w:r>
      <w:r>
        <w:rPr>
          <w:spacing w:val="-4"/>
          <w:w w:val="105"/>
          <w:sz w:val="19"/>
        </w:rPr>
        <w:t> </w:t>
      </w:r>
      <w:r>
        <w:rPr>
          <w:w w:val="105"/>
          <w:sz w:val="19"/>
        </w:rPr>
        <w:t>has</w:t>
      </w:r>
      <w:r>
        <w:rPr>
          <w:spacing w:val="-11"/>
          <w:w w:val="105"/>
          <w:sz w:val="19"/>
        </w:rPr>
        <w:t> </w:t>
      </w:r>
      <w:r>
        <w:rPr>
          <w:w w:val="105"/>
          <w:sz w:val="19"/>
        </w:rPr>
        <w:t>been</w:t>
      </w:r>
      <w:r>
        <w:rPr>
          <w:spacing w:val="-14"/>
          <w:w w:val="105"/>
          <w:sz w:val="19"/>
        </w:rPr>
        <w:t> </w:t>
      </w:r>
      <w:r>
        <w:rPr>
          <w:w w:val="105"/>
          <w:sz w:val="19"/>
        </w:rPr>
        <w:t>limited</w:t>
      </w:r>
      <w:r>
        <w:rPr>
          <w:spacing w:val="-4"/>
          <w:w w:val="105"/>
          <w:sz w:val="19"/>
        </w:rPr>
        <w:t> </w:t>
      </w:r>
      <w:r>
        <w:rPr>
          <w:w w:val="105"/>
          <w:sz w:val="19"/>
        </w:rPr>
        <w:t>success</w:t>
      </w:r>
      <w:r>
        <w:rPr>
          <w:spacing w:val="-2"/>
          <w:w w:val="105"/>
          <w:sz w:val="19"/>
        </w:rPr>
        <w:t> </w:t>
      </w:r>
      <w:r>
        <w:rPr>
          <w:w w:val="105"/>
          <w:sz w:val="19"/>
        </w:rPr>
        <w:t>in</w:t>
      </w:r>
      <w:r>
        <w:rPr>
          <w:spacing w:val="5"/>
          <w:w w:val="105"/>
          <w:sz w:val="19"/>
        </w:rPr>
        <w:t> </w:t>
      </w:r>
      <w:r>
        <w:rPr>
          <w:w w:val="105"/>
          <w:sz w:val="19"/>
        </w:rPr>
        <w:t>the</w:t>
      </w:r>
      <w:r>
        <w:rPr>
          <w:spacing w:val="-4"/>
          <w:w w:val="105"/>
          <w:sz w:val="19"/>
        </w:rPr>
        <w:t> </w:t>
      </w:r>
      <w:r>
        <w:rPr>
          <w:w w:val="105"/>
          <w:sz w:val="19"/>
        </w:rPr>
        <w:t>application</w:t>
      </w:r>
      <w:r>
        <w:rPr>
          <w:spacing w:val="3"/>
          <w:w w:val="105"/>
          <w:sz w:val="19"/>
        </w:rPr>
        <w:t> </w:t>
      </w:r>
      <w:r>
        <w:rPr>
          <w:w w:val="105"/>
          <w:sz w:val="19"/>
        </w:rPr>
        <w:t>of</w:t>
      </w:r>
      <w:r>
        <w:rPr>
          <w:spacing w:val="8"/>
          <w:w w:val="105"/>
          <w:sz w:val="19"/>
        </w:rPr>
        <w:t> </w:t>
      </w:r>
      <w:r>
        <w:rPr>
          <w:w w:val="105"/>
          <w:sz w:val="19"/>
        </w:rPr>
        <w:t>this</w:t>
      </w:r>
      <w:r>
        <w:rPr>
          <w:spacing w:val="-2"/>
          <w:w w:val="105"/>
          <w:sz w:val="19"/>
        </w:rPr>
        <w:t> objective.</w:t>
      </w:r>
    </w:p>
    <w:p>
      <w:pPr>
        <w:spacing w:line="254" w:lineRule="auto" w:before="12"/>
        <w:ind w:left="1659" w:right="373" w:firstLine="1"/>
        <w:jc w:val="left"/>
        <w:rPr>
          <w:sz w:val="19"/>
        </w:rPr>
      </w:pPr>
      <w:r>
        <w:rPr/>
        <w:pict>
          <v:shape style="position:absolute;margin-left:311.676788pt;margin-top:14.886702pt;width:2.2pt;height:21.3pt;mso-position-horizontal-relative:page;mso-position-vertical-relative:paragraph;z-index:-27006976" type="#_x0000_t202" id="docshape689" filled="false" stroked="false">
            <v:textbox inset="0,0,0,0">
              <w:txbxContent>
                <w:p>
                  <w:pPr>
                    <w:spacing w:line="426" w:lineRule="exact" w:before="0"/>
                    <w:ind w:left="0" w:right="0" w:firstLine="0"/>
                    <w:jc w:val="left"/>
                    <w:rPr>
                      <w:sz w:val="38"/>
                    </w:rPr>
                  </w:pPr>
                  <w:r>
                    <w:rPr>
                      <w:spacing w:val="-97"/>
                      <w:w w:val="105"/>
                      <w:sz w:val="38"/>
                    </w:rPr>
                    <w:t>•</w:t>
                  </w:r>
                </w:p>
              </w:txbxContent>
            </v:textbox>
            <w10:wrap type="none"/>
          </v:shape>
        </w:pict>
      </w:r>
      <w:r>
        <w:rPr>
          <w:w w:val="105"/>
          <w:sz w:val="19"/>
        </w:rPr>
        <w:t>The Department pioneered work in this</w:t>
      </w:r>
      <w:r>
        <w:rPr>
          <w:spacing w:val="-4"/>
          <w:w w:val="105"/>
          <w:sz w:val="19"/>
        </w:rPr>
        <w:t> </w:t>
      </w:r>
      <w:r>
        <w:rPr>
          <w:w w:val="105"/>
          <w:sz w:val="19"/>
        </w:rPr>
        <w:t>area through a NREL (National Renewable Energy</w:t>
      </w:r>
      <w:r>
        <w:rPr>
          <w:spacing w:val="-1"/>
          <w:w w:val="105"/>
          <w:sz w:val="19"/>
        </w:rPr>
        <w:t> </w:t>
      </w:r>
      <w:r>
        <w:rPr>
          <w:w w:val="105"/>
          <w:sz w:val="19"/>
        </w:rPr>
        <w:t>Lab)</w:t>
      </w:r>
      <w:r>
        <w:rPr>
          <w:spacing w:val="-7"/>
          <w:w w:val="105"/>
          <w:sz w:val="19"/>
        </w:rPr>
        <w:t> </w:t>
      </w:r>
      <w:r>
        <w:rPr>
          <w:w w:val="105"/>
          <w:sz w:val="19"/>
        </w:rPr>
        <w:t>1999-2002 grant</w:t>
      </w:r>
      <w:r>
        <w:rPr>
          <w:spacing w:val="-9"/>
          <w:w w:val="105"/>
          <w:sz w:val="19"/>
        </w:rPr>
        <w:t> </w:t>
      </w:r>
      <w:r>
        <w:rPr>
          <w:w w:val="105"/>
          <w:sz w:val="19"/>
        </w:rPr>
        <w:t>contract to</w:t>
      </w:r>
      <w:r>
        <w:rPr>
          <w:spacing w:val="-2"/>
          <w:w w:val="105"/>
          <w:sz w:val="19"/>
        </w:rPr>
        <w:t> </w:t>
      </w:r>
      <w:r>
        <w:rPr>
          <w:w w:val="105"/>
          <w:sz w:val="19"/>
        </w:rPr>
        <w:t>design</w:t>
      </w:r>
      <w:r>
        <w:rPr>
          <w:spacing w:val="-6"/>
          <w:w w:val="105"/>
          <w:sz w:val="19"/>
        </w:rPr>
        <w:t> </w:t>
      </w:r>
      <w:r>
        <w:rPr>
          <w:w w:val="105"/>
          <w:sz w:val="19"/>
        </w:rPr>
        <w:t>a photovoltaic powered</w:t>
      </w:r>
      <w:r>
        <w:rPr>
          <w:spacing w:val="-1"/>
          <w:w w:val="105"/>
          <w:sz w:val="19"/>
        </w:rPr>
        <w:t> </w:t>
      </w:r>
      <w:r>
        <w:rPr>
          <w:w w:val="105"/>
          <w:sz w:val="19"/>
        </w:rPr>
        <w:t>floating theater.</w:t>
      </w:r>
    </w:p>
    <w:p>
      <w:pPr>
        <w:spacing w:line="254" w:lineRule="auto" w:before="105"/>
        <w:ind w:left="1652" w:right="373" w:firstLine="8"/>
        <w:jc w:val="left"/>
        <w:rPr>
          <w:sz w:val="19"/>
        </w:rPr>
      </w:pPr>
      <w:r>
        <w:rPr>
          <w:w w:val="105"/>
          <w:sz w:val="19"/>
        </w:rPr>
        <w:t>The</w:t>
      </w:r>
      <w:r>
        <w:rPr>
          <w:spacing w:val="-2"/>
          <w:w w:val="105"/>
          <w:sz w:val="19"/>
        </w:rPr>
        <w:t> </w:t>
      </w:r>
      <w:r>
        <w:rPr>
          <w:w w:val="105"/>
          <w:sz w:val="19"/>
        </w:rPr>
        <w:t>project was</w:t>
      </w:r>
      <w:r>
        <w:rPr>
          <w:spacing w:val="-2"/>
          <w:w w:val="105"/>
          <w:sz w:val="19"/>
        </w:rPr>
        <w:t> </w:t>
      </w:r>
      <w:r>
        <w:rPr>
          <w:w w:val="105"/>
          <w:sz w:val="19"/>
        </w:rPr>
        <w:t>incorporated into</w:t>
      </w:r>
      <w:r>
        <w:rPr>
          <w:spacing w:val="-5"/>
          <w:w w:val="105"/>
          <w:sz w:val="19"/>
        </w:rPr>
        <w:t> </w:t>
      </w:r>
      <w:r>
        <w:rPr>
          <w:w w:val="105"/>
          <w:sz w:val="19"/>
        </w:rPr>
        <w:t>the 3</w:t>
      </w:r>
      <w:r>
        <w:rPr>
          <w:spacing w:val="80"/>
          <w:w w:val="105"/>
          <w:sz w:val="19"/>
        </w:rPr>
        <w:t> </w:t>
      </w:r>
      <w:r>
        <w:rPr>
          <w:w w:val="105"/>
          <w:sz w:val="19"/>
        </w:rPr>
        <w:t>year design work. Currently, the Building Science sequence</w:t>
      </w:r>
      <w:r>
        <w:rPr>
          <w:spacing w:val="-5"/>
          <w:w w:val="105"/>
          <w:sz w:val="19"/>
        </w:rPr>
        <w:t> </w:t>
      </w:r>
      <w:r>
        <w:rPr>
          <w:w w:val="105"/>
          <w:sz w:val="19"/>
        </w:rPr>
        <w:t>(ARC</w:t>
      </w:r>
      <w:r>
        <w:rPr>
          <w:spacing w:val="-4"/>
          <w:w w:val="105"/>
          <w:sz w:val="19"/>
        </w:rPr>
        <w:t> </w:t>
      </w:r>
      <w:r>
        <w:rPr>
          <w:w w:val="105"/>
          <w:sz w:val="19"/>
        </w:rPr>
        <w:t>213</w:t>
      </w:r>
      <w:r>
        <w:rPr>
          <w:spacing w:val="-9"/>
          <w:w w:val="105"/>
          <w:sz w:val="19"/>
        </w:rPr>
        <w:t> </w:t>
      </w:r>
      <w:r>
        <w:rPr>
          <w:w w:val="105"/>
          <w:sz w:val="19"/>
        </w:rPr>
        <w:t>and</w:t>
      </w:r>
      <w:r>
        <w:rPr>
          <w:spacing w:val="-7"/>
          <w:w w:val="105"/>
          <w:sz w:val="19"/>
        </w:rPr>
        <w:t> </w:t>
      </w:r>
      <w:r>
        <w:rPr>
          <w:w w:val="105"/>
          <w:sz w:val="19"/>
        </w:rPr>
        <w:t>ARC 314) generate</w:t>
      </w:r>
      <w:r>
        <w:rPr>
          <w:spacing w:val="-1"/>
          <w:w w:val="105"/>
          <w:sz w:val="19"/>
        </w:rPr>
        <w:t> </w:t>
      </w:r>
      <w:r>
        <w:rPr>
          <w:w w:val="105"/>
          <w:sz w:val="19"/>
        </w:rPr>
        <w:t>design-built projects on the</w:t>
      </w:r>
      <w:r>
        <w:rPr>
          <w:spacing w:val="-2"/>
          <w:w w:val="105"/>
          <w:sz w:val="19"/>
        </w:rPr>
        <w:t> </w:t>
      </w:r>
      <w:r>
        <w:rPr>
          <w:w w:val="105"/>
          <w:sz w:val="19"/>
        </w:rPr>
        <w:t>water, specifically the gAqua Totter, Building Science professor David Peronnet is conducting research on the risk and impact of to catastrophic storm damage on maritime communities. A number of grant and</w:t>
      </w:r>
      <w:r>
        <w:rPr>
          <w:spacing w:val="-4"/>
          <w:w w:val="105"/>
          <w:sz w:val="19"/>
        </w:rPr>
        <w:t> </w:t>
      </w:r>
      <w:r>
        <w:rPr>
          <w:w w:val="105"/>
          <w:sz w:val="19"/>
        </w:rPr>
        <w:t>contract proposals, and white papers have been circulated. Limited funding have been granted so far.</w:t>
      </w:r>
    </w:p>
    <w:p>
      <w:pPr>
        <w:pStyle w:val="BodyText"/>
        <w:rPr>
          <w:sz w:val="19"/>
        </w:rPr>
      </w:pPr>
    </w:p>
    <w:p>
      <w:pPr>
        <w:pStyle w:val="ListParagraph"/>
        <w:numPr>
          <w:ilvl w:val="0"/>
          <w:numId w:val="81"/>
        </w:numPr>
        <w:tabs>
          <w:tab w:pos="1993" w:val="left" w:leader="none"/>
        </w:tabs>
        <w:spacing w:line="264" w:lineRule="auto" w:before="0" w:after="0"/>
        <w:ind w:left="1655" w:right="785" w:hanging="2"/>
        <w:jc w:val="left"/>
        <w:rPr>
          <w:sz w:val="19"/>
        </w:rPr>
      </w:pPr>
      <w:r>
        <w:rPr>
          <w:w w:val="105"/>
          <w:sz w:val="19"/>
        </w:rPr>
        <w:t>Convert</w:t>
      </w:r>
      <w:r>
        <w:rPr>
          <w:spacing w:val="-3"/>
          <w:w w:val="105"/>
          <w:sz w:val="19"/>
        </w:rPr>
        <w:t> </w:t>
      </w:r>
      <w:r>
        <w:rPr>
          <w:w w:val="105"/>
          <w:sz w:val="19"/>
        </w:rPr>
        <w:t>5 year</w:t>
      </w:r>
      <w:r>
        <w:rPr>
          <w:spacing w:val="-1"/>
          <w:w w:val="105"/>
          <w:sz w:val="19"/>
        </w:rPr>
        <w:t> </w:t>
      </w:r>
      <w:r>
        <w:rPr>
          <w:w w:val="105"/>
          <w:sz w:val="19"/>
        </w:rPr>
        <w:t>Bachelor of Architecture Degree</w:t>
      </w:r>
      <w:r>
        <w:rPr>
          <w:spacing w:val="-6"/>
          <w:w w:val="105"/>
          <w:sz w:val="19"/>
        </w:rPr>
        <w:t> </w:t>
      </w:r>
      <w:r>
        <w:rPr>
          <w:w w:val="105"/>
          <w:sz w:val="19"/>
        </w:rPr>
        <w:t>program to</w:t>
      </w:r>
      <w:r>
        <w:rPr>
          <w:spacing w:val="-10"/>
          <w:w w:val="105"/>
          <w:sz w:val="19"/>
        </w:rPr>
        <w:t> </w:t>
      </w:r>
      <w:r>
        <w:rPr>
          <w:w w:val="105"/>
          <w:sz w:val="19"/>
        </w:rPr>
        <w:t>5-1/2</w:t>
      </w:r>
      <w:r>
        <w:rPr>
          <w:spacing w:val="-5"/>
          <w:w w:val="105"/>
          <w:sz w:val="19"/>
        </w:rPr>
        <w:t> </w:t>
      </w:r>
      <w:r>
        <w:rPr>
          <w:w w:val="105"/>
          <w:sz w:val="19"/>
        </w:rPr>
        <w:t>year</w:t>
      </w:r>
      <w:r>
        <w:rPr>
          <w:spacing w:val="-13"/>
          <w:w w:val="105"/>
          <w:sz w:val="19"/>
        </w:rPr>
        <w:t> </w:t>
      </w:r>
      <w:r>
        <w:rPr>
          <w:w w:val="105"/>
          <w:sz w:val="19"/>
        </w:rPr>
        <w:t>Master of Architecture program.</w:t>
      </w:r>
    </w:p>
    <w:p>
      <w:pPr>
        <w:spacing w:line="202" w:lineRule="exact" w:before="0"/>
        <w:ind w:left="2373" w:right="0" w:firstLine="0"/>
        <w:jc w:val="left"/>
        <w:rPr>
          <w:sz w:val="19"/>
        </w:rPr>
      </w:pPr>
      <w:r>
        <w:rPr>
          <w:b/>
          <w:sz w:val="20"/>
        </w:rPr>
        <w:t>TIME:</w:t>
      </w:r>
      <w:r>
        <w:rPr>
          <w:b/>
          <w:spacing w:val="14"/>
          <w:sz w:val="20"/>
        </w:rPr>
        <w:t> </w:t>
      </w:r>
      <w:r>
        <w:rPr>
          <w:sz w:val="19"/>
        </w:rPr>
        <w:t>2002-</w:t>
      </w:r>
      <w:r>
        <w:rPr>
          <w:spacing w:val="-4"/>
          <w:sz w:val="19"/>
        </w:rPr>
        <w:t>2003</w:t>
      </w:r>
    </w:p>
    <w:p>
      <w:pPr>
        <w:spacing w:line="254" w:lineRule="auto" w:before="11"/>
        <w:ind w:left="1657" w:right="311" w:firstLine="720"/>
        <w:jc w:val="left"/>
        <w:rPr>
          <w:sz w:val="19"/>
        </w:rPr>
      </w:pPr>
      <w:r>
        <w:rPr>
          <w:w w:val="105"/>
          <w:sz w:val="19"/>
        </w:rPr>
        <w:t>OUTCOME: The first professional graduate degree program received accreditation in January, 2004,</w:t>
      </w:r>
      <w:r>
        <w:rPr>
          <w:spacing w:val="-7"/>
          <w:w w:val="105"/>
          <w:sz w:val="19"/>
        </w:rPr>
        <w:t> </w:t>
      </w:r>
      <w:r>
        <w:rPr>
          <w:w w:val="105"/>
          <w:sz w:val="19"/>
        </w:rPr>
        <w:t>and the first</w:t>
      </w:r>
      <w:r>
        <w:rPr>
          <w:spacing w:val="-2"/>
          <w:w w:val="105"/>
          <w:sz w:val="19"/>
        </w:rPr>
        <w:t> </w:t>
      </w:r>
      <w:r>
        <w:rPr>
          <w:w w:val="105"/>
          <w:sz w:val="19"/>
        </w:rPr>
        <w:t>graduating class</w:t>
      </w:r>
      <w:r>
        <w:rPr>
          <w:spacing w:val="-3"/>
          <w:w w:val="105"/>
          <w:sz w:val="19"/>
        </w:rPr>
        <w:t> </w:t>
      </w:r>
      <w:r>
        <w:rPr>
          <w:w w:val="105"/>
          <w:sz w:val="19"/>
        </w:rPr>
        <w:t>marched in</w:t>
      </w:r>
      <w:r>
        <w:rPr>
          <w:spacing w:val="-9"/>
          <w:w w:val="105"/>
          <w:sz w:val="19"/>
        </w:rPr>
        <w:t> </w:t>
      </w:r>
      <w:r>
        <w:rPr>
          <w:w w:val="105"/>
          <w:sz w:val="19"/>
        </w:rPr>
        <w:t>May, 2005.</w:t>
      </w:r>
      <w:r>
        <w:rPr>
          <w:spacing w:val="-4"/>
          <w:w w:val="105"/>
          <w:sz w:val="19"/>
        </w:rPr>
        <w:t> </w:t>
      </w:r>
      <w:r>
        <w:rPr>
          <w:w w:val="105"/>
          <w:sz w:val="19"/>
        </w:rPr>
        <w:t>This has</w:t>
      </w:r>
      <w:r>
        <w:rPr>
          <w:spacing w:val="-6"/>
          <w:w w:val="105"/>
          <w:sz w:val="19"/>
        </w:rPr>
        <w:t> </w:t>
      </w:r>
      <w:r>
        <w:rPr>
          <w:w w:val="105"/>
          <w:sz w:val="19"/>
        </w:rPr>
        <w:t>allowed the Department to restructure the</w:t>
      </w:r>
      <w:r>
        <w:rPr>
          <w:spacing w:val="-16"/>
          <w:w w:val="105"/>
          <w:sz w:val="19"/>
        </w:rPr>
        <w:t> </w:t>
      </w:r>
      <w:r>
        <w:rPr>
          <w:w w:val="105"/>
          <w:sz w:val="19"/>
        </w:rPr>
        <w:t>curriculum, which</w:t>
      </w:r>
      <w:r>
        <w:rPr>
          <w:spacing w:val="-3"/>
          <w:w w:val="105"/>
          <w:sz w:val="19"/>
        </w:rPr>
        <w:t> </w:t>
      </w:r>
      <w:r>
        <w:rPr>
          <w:w w:val="105"/>
          <w:sz w:val="19"/>
        </w:rPr>
        <w:t>is still</w:t>
      </w:r>
      <w:r>
        <w:rPr>
          <w:spacing w:val="-19"/>
          <w:w w:val="105"/>
          <w:sz w:val="19"/>
        </w:rPr>
        <w:t> </w:t>
      </w:r>
      <w:r>
        <w:rPr>
          <w:w w:val="105"/>
          <w:sz w:val="19"/>
        </w:rPr>
        <w:t>in</w:t>
      </w:r>
      <w:r>
        <w:rPr>
          <w:spacing w:val="-5"/>
          <w:w w:val="105"/>
          <w:sz w:val="19"/>
        </w:rPr>
        <w:t> </w:t>
      </w:r>
      <w:r>
        <w:rPr>
          <w:w w:val="105"/>
          <w:sz w:val="19"/>
        </w:rPr>
        <w:t>progress, and to raise standards. We</w:t>
      </w:r>
      <w:r>
        <w:rPr>
          <w:spacing w:val="40"/>
          <w:w w:val="105"/>
          <w:sz w:val="19"/>
        </w:rPr>
        <w:t> </w:t>
      </w:r>
      <w:r>
        <w:rPr>
          <w:w w:val="105"/>
          <w:sz w:val="19"/>
        </w:rPr>
        <w:t>feel that</w:t>
      </w:r>
      <w:r>
        <w:rPr>
          <w:spacing w:val="-5"/>
          <w:w w:val="105"/>
          <w:sz w:val="19"/>
        </w:rPr>
        <w:t> </w:t>
      </w:r>
      <w:r>
        <w:rPr>
          <w:w w:val="105"/>
          <w:sz w:val="19"/>
        </w:rPr>
        <w:t>in</w:t>
      </w:r>
      <w:r>
        <w:rPr>
          <w:spacing w:val="22"/>
          <w:w w:val="105"/>
          <w:sz w:val="19"/>
        </w:rPr>
        <w:t> </w:t>
      </w:r>
      <w:r>
        <w:rPr>
          <w:w w:val="105"/>
          <w:sz w:val="19"/>
        </w:rPr>
        <w:t>large part</w:t>
      </w:r>
      <w:r>
        <w:rPr>
          <w:spacing w:val="17"/>
          <w:w w:val="105"/>
          <w:sz w:val="19"/>
        </w:rPr>
        <w:t> </w:t>
      </w:r>
      <w:r>
        <w:rPr>
          <w:w w:val="105"/>
          <w:sz w:val="19"/>
        </w:rPr>
        <w:t>due</w:t>
      </w:r>
      <w:r>
        <w:rPr>
          <w:spacing w:val="-1"/>
          <w:w w:val="105"/>
          <w:sz w:val="19"/>
        </w:rPr>
        <w:t> </w:t>
      </w:r>
      <w:r>
        <w:rPr>
          <w:w w:val="105"/>
          <w:sz w:val="19"/>
        </w:rPr>
        <w:t>to the new degree</w:t>
      </w:r>
      <w:r>
        <w:rPr>
          <w:spacing w:val="14"/>
          <w:w w:val="105"/>
          <w:sz w:val="19"/>
        </w:rPr>
        <w:t> </w:t>
      </w:r>
      <w:r>
        <w:rPr>
          <w:w w:val="105"/>
          <w:sz w:val="19"/>
        </w:rPr>
        <w:t>and</w:t>
      </w:r>
      <w:r>
        <w:rPr>
          <w:spacing w:val="-3"/>
          <w:w w:val="105"/>
          <w:sz w:val="19"/>
        </w:rPr>
        <w:t> </w:t>
      </w:r>
      <w:r>
        <w:rPr>
          <w:w w:val="105"/>
          <w:sz w:val="19"/>
        </w:rPr>
        <w:t>curriculum,</w:t>
      </w:r>
      <w:r>
        <w:rPr>
          <w:spacing w:val="30"/>
          <w:w w:val="105"/>
          <w:sz w:val="19"/>
        </w:rPr>
        <w:t> </w:t>
      </w:r>
      <w:r>
        <w:rPr>
          <w:w w:val="105"/>
          <w:sz w:val="19"/>
        </w:rPr>
        <w:t>the</w:t>
      </w:r>
      <w:r>
        <w:rPr>
          <w:w w:val="105"/>
          <w:sz w:val="19"/>
        </w:rPr>
        <w:t> trend has</w:t>
      </w:r>
      <w:r>
        <w:rPr>
          <w:spacing w:val="-3"/>
          <w:w w:val="105"/>
          <w:sz w:val="19"/>
        </w:rPr>
        <w:t> </w:t>
      </w:r>
      <w:r>
        <w:rPr>
          <w:w w:val="105"/>
          <w:sz w:val="19"/>
        </w:rPr>
        <w:t>been toward an increase in the size</w:t>
      </w:r>
      <w:r>
        <w:rPr>
          <w:spacing w:val="-6"/>
          <w:w w:val="105"/>
          <w:sz w:val="19"/>
        </w:rPr>
        <w:t> </w:t>
      </w:r>
      <w:r>
        <w:rPr>
          <w:w w:val="105"/>
          <w:sz w:val="19"/>
        </w:rPr>
        <w:t>of the student body, with</w:t>
      </w:r>
      <w:r>
        <w:rPr>
          <w:spacing w:val="-9"/>
          <w:w w:val="105"/>
          <w:sz w:val="19"/>
        </w:rPr>
        <w:t> </w:t>
      </w:r>
      <w:r>
        <w:rPr>
          <w:w w:val="105"/>
          <w:sz w:val="19"/>
        </w:rPr>
        <w:t>higher rates</w:t>
      </w:r>
      <w:r>
        <w:rPr>
          <w:spacing w:val="-3"/>
          <w:w w:val="105"/>
          <w:sz w:val="19"/>
        </w:rPr>
        <w:t> </w:t>
      </w:r>
      <w:r>
        <w:rPr>
          <w:w w:val="105"/>
          <w:sz w:val="19"/>
        </w:rPr>
        <w:t>of retention. There has</w:t>
      </w:r>
      <w:r>
        <w:rPr>
          <w:spacing w:val="-2"/>
          <w:w w:val="105"/>
          <w:sz w:val="19"/>
        </w:rPr>
        <w:t> </w:t>
      </w:r>
      <w:r>
        <w:rPr>
          <w:w w:val="105"/>
          <w:sz w:val="19"/>
        </w:rPr>
        <w:t>been some fluctuation in class size</w:t>
      </w:r>
      <w:r>
        <w:rPr>
          <w:spacing w:val="-1"/>
          <w:w w:val="105"/>
          <w:sz w:val="19"/>
        </w:rPr>
        <w:t> </w:t>
      </w:r>
      <w:r>
        <w:rPr>
          <w:w w:val="105"/>
          <w:sz w:val="19"/>
        </w:rPr>
        <w:t>by year, which the department feels is due to faculty and students adjusting to the new curriculum and attendant </w:t>
      </w:r>
      <w:r>
        <w:rPr>
          <w:spacing w:val="-2"/>
          <w:w w:val="105"/>
          <w:sz w:val="19"/>
        </w:rPr>
        <w:t>prerequisites.</w:t>
      </w:r>
    </w:p>
    <w:p>
      <w:pPr>
        <w:pStyle w:val="BodyText"/>
        <w:spacing w:before="6"/>
        <w:rPr>
          <w:sz w:val="11"/>
        </w:rPr>
      </w:pPr>
    </w:p>
    <w:p>
      <w:pPr>
        <w:pStyle w:val="ListParagraph"/>
        <w:numPr>
          <w:ilvl w:val="2"/>
          <w:numId w:val="80"/>
        </w:numPr>
        <w:tabs>
          <w:tab w:pos="2161" w:val="left" w:leader="none"/>
        </w:tabs>
        <w:spacing w:line="240" w:lineRule="auto" w:before="94" w:after="0"/>
        <w:ind w:left="2160" w:right="0" w:hanging="498"/>
        <w:jc w:val="both"/>
        <w:rPr>
          <w:sz w:val="19"/>
          <w:u w:val="thick"/>
        </w:rPr>
      </w:pPr>
      <w:r>
        <w:rPr>
          <w:w w:val="115"/>
          <w:sz w:val="19"/>
          <w:u w:val="thick"/>
        </w:rPr>
        <w:t>Program</w:t>
      </w:r>
      <w:r>
        <w:rPr>
          <w:spacing w:val="-3"/>
          <w:w w:val="115"/>
          <w:sz w:val="19"/>
          <w:u w:val="thick"/>
        </w:rPr>
        <w:t> </w:t>
      </w:r>
      <w:r>
        <w:rPr>
          <w:spacing w:val="-2"/>
          <w:w w:val="115"/>
          <w:sz w:val="19"/>
          <w:u w:val="thick"/>
        </w:rPr>
        <w:t>Strengths</w:t>
      </w:r>
    </w:p>
    <w:p>
      <w:pPr>
        <w:spacing w:line="254" w:lineRule="auto" w:before="13"/>
        <w:ind w:left="1669" w:right="814" w:hanging="4"/>
        <w:jc w:val="both"/>
        <w:rPr>
          <w:sz w:val="19"/>
        </w:rPr>
      </w:pPr>
      <w:r>
        <w:rPr>
          <w:w w:val="105"/>
          <w:sz w:val="19"/>
        </w:rPr>
        <w:t>Since the</w:t>
      </w:r>
      <w:r>
        <w:rPr>
          <w:spacing w:val="-10"/>
          <w:w w:val="105"/>
          <w:sz w:val="19"/>
        </w:rPr>
        <w:t> </w:t>
      </w:r>
      <w:r>
        <w:rPr>
          <w:w w:val="105"/>
          <w:sz w:val="19"/>
        </w:rPr>
        <w:t>implementation</w:t>
      </w:r>
      <w:r>
        <w:rPr>
          <w:spacing w:val="-13"/>
          <w:w w:val="105"/>
          <w:sz w:val="19"/>
        </w:rPr>
        <w:t> </w:t>
      </w:r>
      <w:r>
        <w:rPr>
          <w:w w:val="105"/>
          <w:sz w:val="19"/>
        </w:rPr>
        <w:t>of the</w:t>
      </w:r>
      <w:r>
        <w:rPr>
          <w:spacing w:val="-6"/>
          <w:w w:val="105"/>
          <w:sz w:val="19"/>
        </w:rPr>
        <w:t> </w:t>
      </w:r>
      <w:r>
        <w:rPr>
          <w:w w:val="105"/>
          <w:sz w:val="19"/>
        </w:rPr>
        <w:t>5-1/2 year Master</w:t>
      </w:r>
      <w:r>
        <w:rPr>
          <w:spacing w:val="-7"/>
          <w:w w:val="105"/>
          <w:sz w:val="19"/>
        </w:rPr>
        <w:t> </w:t>
      </w:r>
      <w:r>
        <w:rPr>
          <w:w w:val="105"/>
          <w:sz w:val="19"/>
        </w:rPr>
        <w:t>of Architecture First</w:t>
      </w:r>
      <w:r>
        <w:rPr>
          <w:spacing w:val="-6"/>
          <w:w w:val="105"/>
          <w:sz w:val="19"/>
        </w:rPr>
        <w:t> </w:t>
      </w:r>
      <w:r>
        <w:rPr>
          <w:w w:val="105"/>
          <w:sz w:val="19"/>
        </w:rPr>
        <w:t>Professional Degree, the Department has developed and built on strengths in several areas.</w:t>
      </w:r>
    </w:p>
    <w:p>
      <w:pPr>
        <w:pStyle w:val="ListParagraph"/>
        <w:numPr>
          <w:ilvl w:val="3"/>
          <w:numId w:val="80"/>
        </w:numPr>
        <w:tabs>
          <w:tab w:pos="3119" w:val="left" w:leader="none"/>
          <w:tab w:pos="3120" w:val="left" w:leader="none"/>
        </w:tabs>
        <w:spacing w:line="254" w:lineRule="auto" w:before="0" w:after="0"/>
        <w:ind w:left="3113" w:right="508" w:hanging="738"/>
        <w:jc w:val="both"/>
        <w:rPr>
          <w:sz w:val="19"/>
        </w:rPr>
      </w:pPr>
      <w:r>
        <w:rPr>
          <w:w w:val="105"/>
          <w:sz w:val="19"/>
        </w:rPr>
        <w:t>Growth of Student Body: The visibility and viability of our program is gaining national reputation and</w:t>
      </w:r>
      <w:r>
        <w:rPr>
          <w:spacing w:val="-6"/>
          <w:w w:val="105"/>
          <w:sz w:val="19"/>
        </w:rPr>
        <w:t> </w:t>
      </w:r>
      <w:r>
        <w:rPr>
          <w:w w:val="105"/>
          <w:sz w:val="19"/>
        </w:rPr>
        <w:t>strength. Recent trends</w:t>
      </w:r>
      <w:r>
        <w:rPr>
          <w:spacing w:val="-3"/>
          <w:w w:val="105"/>
          <w:sz w:val="19"/>
        </w:rPr>
        <w:t> </w:t>
      </w:r>
      <w:r>
        <w:rPr>
          <w:w w:val="105"/>
          <w:sz w:val="19"/>
        </w:rPr>
        <w:t>have seen the student body grow to the</w:t>
      </w:r>
      <w:r>
        <w:rPr>
          <w:spacing w:val="-11"/>
          <w:w w:val="105"/>
          <w:sz w:val="19"/>
        </w:rPr>
        <w:t> </w:t>
      </w:r>
      <w:r>
        <w:rPr>
          <w:w w:val="105"/>
          <w:sz w:val="19"/>
        </w:rPr>
        <w:t>point that</w:t>
      </w:r>
      <w:r>
        <w:rPr>
          <w:spacing w:val="-7"/>
          <w:w w:val="105"/>
          <w:sz w:val="19"/>
        </w:rPr>
        <w:t> </w:t>
      </w:r>
      <w:r>
        <w:rPr>
          <w:w w:val="105"/>
          <w:sz w:val="19"/>
        </w:rPr>
        <w:t>our facilities and</w:t>
      </w:r>
      <w:r>
        <w:rPr>
          <w:spacing w:val="-7"/>
          <w:w w:val="105"/>
          <w:sz w:val="19"/>
        </w:rPr>
        <w:t> </w:t>
      </w:r>
      <w:r>
        <w:rPr>
          <w:w w:val="105"/>
          <w:sz w:val="19"/>
        </w:rPr>
        <w:t>human</w:t>
      </w:r>
      <w:r>
        <w:rPr>
          <w:spacing w:val="-11"/>
          <w:w w:val="105"/>
          <w:sz w:val="19"/>
        </w:rPr>
        <w:t> </w:t>
      </w:r>
      <w:r>
        <w:rPr>
          <w:w w:val="105"/>
          <w:sz w:val="19"/>
        </w:rPr>
        <w:t>resources, both faculty and support staff, are stressed.</w:t>
      </w:r>
    </w:p>
    <w:p>
      <w:pPr>
        <w:pStyle w:val="BodyText"/>
        <w:spacing w:before="9"/>
        <w:rPr>
          <w:sz w:val="19"/>
        </w:rPr>
      </w:pPr>
    </w:p>
    <w:p>
      <w:pPr>
        <w:pStyle w:val="ListParagraph"/>
        <w:numPr>
          <w:ilvl w:val="3"/>
          <w:numId w:val="80"/>
        </w:numPr>
        <w:tabs>
          <w:tab w:pos="3124" w:val="left" w:leader="none"/>
          <w:tab w:pos="3125" w:val="left" w:leader="none"/>
        </w:tabs>
        <w:spacing w:line="254" w:lineRule="auto" w:before="1" w:after="0"/>
        <w:ind w:left="3122" w:right="497" w:hanging="722"/>
        <w:jc w:val="left"/>
        <w:rPr>
          <w:sz w:val="19"/>
        </w:rPr>
      </w:pPr>
      <w:r>
        <w:rPr>
          <w:w w:val="110"/>
          <w:sz w:val="19"/>
        </w:rPr>
        <w:t>New Curriculum: Thecurriculum implemented with the</w:t>
      </w:r>
      <w:r>
        <w:rPr>
          <w:spacing w:val="-4"/>
          <w:w w:val="110"/>
          <w:sz w:val="19"/>
        </w:rPr>
        <w:t> </w:t>
      </w:r>
      <w:r>
        <w:rPr>
          <w:w w:val="110"/>
          <w:sz w:val="19"/>
        </w:rPr>
        <w:t>M. Arch. </w:t>
      </w:r>
      <w:r>
        <w:rPr>
          <w:w w:val="105"/>
          <w:sz w:val="19"/>
        </w:rPr>
        <w:t>Program</w:t>
      </w:r>
      <w:r>
        <w:rPr>
          <w:spacing w:val="-8"/>
          <w:w w:val="105"/>
          <w:sz w:val="19"/>
        </w:rPr>
        <w:t> </w:t>
      </w:r>
      <w:r>
        <w:rPr>
          <w:w w:val="105"/>
          <w:sz w:val="19"/>
        </w:rPr>
        <w:t>has</w:t>
      </w:r>
      <w:r>
        <w:rPr>
          <w:spacing w:val="-1"/>
          <w:w w:val="105"/>
          <w:sz w:val="19"/>
        </w:rPr>
        <w:t> </w:t>
      </w:r>
      <w:r>
        <w:rPr>
          <w:w w:val="105"/>
          <w:sz w:val="19"/>
        </w:rPr>
        <w:t>just completed its first</w:t>
      </w:r>
      <w:r>
        <w:rPr>
          <w:spacing w:val="-2"/>
          <w:w w:val="105"/>
          <w:sz w:val="19"/>
        </w:rPr>
        <w:t> </w:t>
      </w:r>
      <w:r>
        <w:rPr>
          <w:w w:val="105"/>
          <w:sz w:val="19"/>
        </w:rPr>
        <w:t>five year phase, and</w:t>
      </w:r>
      <w:r>
        <w:rPr>
          <w:spacing w:val="-9"/>
          <w:w w:val="105"/>
          <w:sz w:val="19"/>
        </w:rPr>
        <w:t> </w:t>
      </w:r>
      <w:r>
        <w:rPr>
          <w:w w:val="105"/>
          <w:sz w:val="19"/>
        </w:rPr>
        <w:t>is undergoing </w:t>
      </w:r>
      <w:r>
        <w:rPr>
          <w:spacing w:val="-2"/>
          <w:w w:val="110"/>
          <w:sz w:val="19"/>
        </w:rPr>
        <w:t>assessment</w:t>
      </w:r>
      <w:r>
        <w:rPr>
          <w:spacing w:val="-13"/>
          <w:w w:val="110"/>
          <w:sz w:val="19"/>
        </w:rPr>
        <w:t> </w:t>
      </w:r>
      <w:r>
        <w:rPr>
          <w:spacing w:val="-2"/>
          <w:w w:val="110"/>
          <w:sz w:val="19"/>
        </w:rPr>
        <w:t>and</w:t>
      </w:r>
      <w:r>
        <w:rPr>
          <w:spacing w:val="-12"/>
          <w:w w:val="110"/>
          <w:sz w:val="19"/>
        </w:rPr>
        <w:t> </w:t>
      </w:r>
      <w:r>
        <w:rPr>
          <w:spacing w:val="-2"/>
          <w:w w:val="110"/>
          <w:sz w:val="19"/>
        </w:rPr>
        <w:t>evaluation. The</w:t>
      </w:r>
      <w:r>
        <w:rPr>
          <w:spacing w:val="-4"/>
          <w:w w:val="110"/>
          <w:sz w:val="19"/>
        </w:rPr>
        <w:t> </w:t>
      </w:r>
      <w:r>
        <w:rPr>
          <w:spacing w:val="-2"/>
          <w:w w:val="110"/>
          <w:sz w:val="19"/>
        </w:rPr>
        <w:t>added</w:t>
      </w:r>
      <w:r>
        <w:rPr>
          <w:spacing w:val="-13"/>
          <w:w w:val="110"/>
          <w:sz w:val="19"/>
        </w:rPr>
        <w:t> </w:t>
      </w:r>
      <w:r>
        <w:rPr>
          <w:spacing w:val="-2"/>
          <w:w w:val="110"/>
          <w:sz w:val="19"/>
        </w:rPr>
        <w:t>focus</w:t>
      </w:r>
      <w:r>
        <w:rPr>
          <w:spacing w:val="-11"/>
          <w:w w:val="110"/>
          <w:sz w:val="19"/>
        </w:rPr>
        <w:t> </w:t>
      </w:r>
      <w:r>
        <w:rPr>
          <w:spacing w:val="-2"/>
          <w:w w:val="110"/>
          <w:sz w:val="19"/>
        </w:rPr>
        <w:t>on</w:t>
      </w:r>
      <w:r>
        <w:rPr>
          <w:spacing w:val="-15"/>
          <w:w w:val="110"/>
          <w:sz w:val="19"/>
        </w:rPr>
        <w:t> </w:t>
      </w:r>
      <w:r>
        <w:rPr>
          <w:spacing w:val="-2"/>
          <w:w w:val="110"/>
          <w:sz w:val="19"/>
        </w:rPr>
        <w:t>research</w:t>
      </w:r>
      <w:r>
        <w:rPr>
          <w:spacing w:val="-12"/>
          <w:w w:val="110"/>
          <w:sz w:val="19"/>
        </w:rPr>
        <w:t> </w:t>
      </w:r>
      <w:r>
        <w:rPr>
          <w:spacing w:val="-2"/>
          <w:w w:val="110"/>
          <w:sz w:val="19"/>
        </w:rPr>
        <w:t>and</w:t>
      </w:r>
      <w:r>
        <w:rPr>
          <w:spacing w:val="-3"/>
          <w:w w:val="110"/>
          <w:sz w:val="19"/>
        </w:rPr>
        <w:t> </w:t>
      </w:r>
      <w:r>
        <w:rPr>
          <w:spacing w:val="-2"/>
          <w:w w:val="110"/>
          <w:sz w:val="19"/>
        </w:rPr>
        <w:t>theory</w:t>
      </w:r>
    </w:p>
    <w:p>
      <w:pPr>
        <w:spacing w:line="331" w:lineRule="exact" w:before="0"/>
        <w:ind w:left="3126" w:right="0" w:firstLine="0"/>
        <w:jc w:val="left"/>
        <w:rPr>
          <w:sz w:val="19"/>
        </w:rPr>
      </w:pPr>
      <w:r>
        <w:rPr>
          <w:w w:val="105"/>
          <w:sz w:val="19"/>
        </w:rPr>
        <w:t>has</w:t>
      </w:r>
      <w:r>
        <w:rPr>
          <w:spacing w:val="-14"/>
          <w:w w:val="105"/>
          <w:sz w:val="19"/>
        </w:rPr>
        <w:t> </w:t>
      </w:r>
      <w:r>
        <w:rPr>
          <w:w w:val="105"/>
          <w:sz w:val="19"/>
        </w:rPr>
        <w:t>been</w:t>
      </w:r>
      <w:r>
        <w:rPr>
          <w:spacing w:val="-14"/>
          <w:w w:val="105"/>
          <w:sz w:val="19"/>
        </w:rPr>
        <w:t> </w:t>
      </w:r>
      <w:r>
        <w:rPr>
          <w:w w:val="105"/>
          <w:sz w:val="19"/>
        </w:rPr>
        <w:t>successful,</w:t>
      </w:r>
      <w:r>
        <w:rPr>
          <w:spacing w:val="-14"/>
          <w:w w:val="105"/>
          <w:sz w:val="19"/>
        </w:rPr>
        <w:t> </w:t>
      </w:r>
      <w:r>
        <w:rPr>
          <w:w w:val="105"/>
          <w:sz w:val="19"/>
        </w:rPr>
        <w:t>with</w:t>
      </w:r>
      <w:r>
        <w:rPr>
          <w:spacing w:val="-14"/>
          <w:w w:val="105"/>
          <w:sz w:val="19"/>
        </w:rPr>
        <w:t> </w:t>
      </w:r>
      <w:r>
        <w:rPr>
          <w:w w:val="105"/>
          <w:sz w:val="19"/>
        </w:rPr>
        <w:t>presentations</w:t>
      </w:r>
      <w:r>
        <w:rPr>
          <w:spacing w:val="-9"/>
          <w:w w:val="105"/>
          <w:sz w:val="19"/>
        </w:rPr>
        <w:t> </w:t>
      </w:r>
      <w:r>
        <w:rPr>
          <w:w w:val="105"/>
          <w:sz w:val="19"/>
        </w:rPr>
        <w:t>by</w:t>
      </w:r>
      <w:r>
        <w:rPr>
          <w:spacing w:val="-14"/>
          <w:w w:val="105"/>
          <w:sz w:val="19"/>
        </w:rPr>
        <w:t> </w:t>
      </w:r>
      <w:r>
        <w:rPr>
          <w:w w:val="105"/>
          <w:sz w:val="19"/>
        </w:rPr>
        <w:t>5</w:t>
      </w:r>
      <w:r>
        <w:rPr>
          <w:w w:val="105"/>
          <w:position w:val="2"/>
          <w:sz w:val="37"/>
        </w:rPr>
        <w:t>'"</w:t>
      </w:r>
      <w:r>
        <w:rPr>
          <w:spacing w:val="-74"/>
          <w:w w:val="105"/>
          <w:position w:val="2"/>
          <w:sz w:val="37"/>
        </w:rPr>
        <w:t> </w:t>
      </w:r>
      <w:r>
        <w:rPr>
          <w:w w:val="105"/>
          <w:sz w:val="19"/>
        </w:rPr>
        <w:t>year</w:t>
      </w:r>
      <w:r>
        <w:rPr>
          <w:spacing w:val="-14"/>
          <w:w w:val="105"/>
          <w:sz w:val="19"/>
        </w:rPr>
        <w:t> </w:t>
      </w:r>
      <w:r>
        <w:rPr>
          <w:w w:val="105"/>
          <w:sz w:val="19"/>
        </w:rPr>
        <w:t>students</w:t>
      </w:r>
      <w:r>
        <w:rPr>
          <w:spacing w:val="-10"/>
          <w:w w:val="105"/>
          <w:sz w:val="19"/>
        </w:rPr>
        <w:t> </w:t>
      </w:r>
      <w:r>
        <w:rPr>
          <w:w w:val="105"/>
          <w:sz w:val="19"/>
        </w:rPr>
        <w:t>at</w:t>
      </w:r>
      <w:r>
        <w:rPr>
          <w:spacing w:val="-8"/>
          <w:w w:val="105"/>
          <w:sz w:val="19"/>
        </w:rPr>
        <w:t> </w:t>
      </w:r>
      <w:r>
        <w:rPr>
          <w:w w:val="105"/>
          <w:sz w:val="19"/>
        </w:rPr>
        <w:t>the</w:t>
      </w:r>
      <w:r>
        <w:rPr>
          <w:spacing w:val="-14"/>
          <w:w w:val="105"/>
          <w:sz w:val="19"/>
        </w:rPr>
        <w:t> </w:t>
      </w:r>
      <w:r>
        <w:rPr>
          <w:spacing w:val="-4"/>
          <w:w w:val="105"/>
          <w:sz w:val="19"/>
        </w:rPr>
        <w:t>ACSA</w:t>
      </w:r>
    </w:p>
    <w:p>
      <w:pPr>
        <w:pStyle w:val="BodyText"/>
      </w:pPr>
    </w:p>
    <w:p>
      <w:pPr>
        <w:pStyle w:val="BodyText"/>
        <w:rPr>
          <w:sz w:val="23"/>
        </w:rPr>
      </w:pPr>
      <w:r>
        <w:rPr/>
        <w:pict>
          <v:shape style="position:absolute;margin-left:65.524673pt;margin-top:14.462717pt;width:456.75pt;height:.1pt;mso-position-horizontal-relative:page;mso-position-vertical-relative:paragraph;z-index:-15688704;mso-wrap-distance-left:0;mso-wrap-distance-right:0" id="docshape690" coordorigin="1310,289" coordsize="9135,0" path="m1310,289l10445,289e" filled="false" stroked="true" strokeweight=".481434pt" strokecolor="#000000">
            <v:path arrowok="t"/>
            <v:stroke dashstyle="solid"/>
            <w10:wrap type="topAndBottom"/>
          </v:shape>
        </w:pict>
      </w:r>
    </w:p>
    <w:p>
      <w:pPr>
        <w:spacing w:before="9"/>
        <w:ind w:left="0" w:right="233" w:firstLine="0"/>
        <w:jc w:val="right"/>
        <w:rPr>
          <w:sz w:val="19"/>
        </w:rPr>
      </w:pPr>
      <w:r>
        <w:rPr>
          <w:spacing w:val="-5"/>
          <w:w w:val="110"/>
          <w:sz w:val="19"/>
        </w:rPr>
        <w:t>33</w:t>
      </w:r>
    </w:p>
    <w:p>
      <w:pPr>
        <w:spacing w:after="0"/>
        <w:jc w:val="right"/>
        <w:rPr>
          <w:sz w:val="19"/>
        </w:rPr>
        <w:sectPr>
          <w:headerReference w:type="default" r:id="rId423"/>
          <w:footerReference w:type="default" r:id="rId424"/>
          <w:pgSz w:w="12180" w:h="15820"/>
          <w:pgMar w:header="723" w:footer="0" w:top="1420" w:bottom="280" w:left="1120" w:right="1180"/>
        </w:sectPr>
      </w:pPr>
    </w:p>
    <w:p>
      <w:pPr>
        <w:pStyle w:val="BodyText"/>
        <w:spacing w:before="4"/>
        <w:rPr>
          <w:sz w:val="2"/>
        </w:rPr>
      </w:pPr>
    </w:p>
    <w:p>
      <w:pPr>
        <w:pStyle w:val="BodyText"/>
        <w:spacing w:line="20" w:lineRule="exact"/>
        <w:ind w:left="229"/>
        <w:rPr>
          <w:sz w:val="2"/>
        </w:rPr>
      </w:pPr>
      <w:r>
        <w:rPr>
          <w:sz w:val="2"/>
        </w:rPr>
        <w:pict>
          <v:group style="width:472.2pt;height:.5pt;mso-position-horizontal-relative:char;mso-position-vertical-relative:line" id="docshapegroup692" coordorigin="0,0" coordsize="9444,10">
            <v:line style="position:absolute" from="0,5" to="9443,5" stroked="true" strokeweight=".481434pt" strokecolor="#000000">
              <v:stroke dashstyle="solid"/>
            </v:line>
          </v:group>
        </w:pict>
      </w:r>
      <w:r>
        <w:rPr>
          <w:sz w:val="2"/>
        </w:rPr>
      </w:r>
    </w:p>
    <w:p>
      <w:pPr>
        <w:pStyle w:val="BodyText"/>
        <w:spacing w:before="3"/>
        <w:rPr>
          <w:sz w:val="17"/>
        </w:rPr>
      </w:pPr>
    </w:p>
    <w:p>
      <w:pPr>
        <w:spacing w:line="254" w:lineRule="auto" w:before="94"/>
        <w:ind w:left="3126" w:right="475" w:firstLine="7"/>
        <w:jc w:val="left"/>
        <w:rPr>
          <w:sz w:val="19"/>
        </w:rPr>
      </w:pPr>
      <w:r>
        <w:rPr/>
        <w:pict>
          <v:shape style="position:absolute;margin-left:417.736786pt;margin-top:32.067871pt;width:8.550pt;height:23pt;mso-position-horizontal-relative:page;mso-position-vertical-relative:paragraph;z-index:-27005440" type="#_x0000_t202" id="docshape693" filled="false" stroked="false">
            <v:textbox inset="0,0,0,0">
              <w:txbxContent>
                <w:p>
                  <w:pPr>
                    <w:spacing w:line="459" w:lineRule="exact" w:before="0"/>
                    <w:ind w:left="0" w:right="0" w:firstLine="0"/>
                    <w:jc w:val="left"/>
                    <w:rPr>
                      <w:sz w:val="41"/>
                    </w:rPr>
                  </w:pPr>
                  <w:r>
                    <w:rPr>
                      <w:spacing w:val="-5"/>
                      <w:w w:val="75"/>
                      <w:sz w:val="41"/>
                    </w:rPr>
                    <w:t>"'</w:t>
                  </w:r>
                </w:p>
              </w:txbxContent>
            </v:textbox>
            <w10:wrap type="none"/>
          </v:shape>
        </w:pict>
      </w:r>
      <w:r>
        <w:rPr>
          <w:w w:val="105"/>
          <w:sz w:val="19"/>
        </w:rPr>
        <w:t>National</w:t>
      </w:r>
      <w:r>
        <w:rPr>
          <w:spacing w:val="-5"/>
          <w:w w:val="105"/>
          <w:sz w:val="19"/>
        </w:rPr>
        <w:t> </w:t>
      </w:r>
      <w:r>
        <w:rPr>
          <w:w w:val="105"/>
          <w:sz w:val="19"/>
        </w:rPr>
        <w:t>Conference and at the Virginia Society AIA Conference</w:t>
      </w:r>
      <w:r>
        <w:rPr>
          <w:spacing w:val="-6"/>
          <w:w w:val="105"/>
          <w:sz w:val="19"/>
        </w:rPr>
        <w:t> </w:t>
      </w:r>
      <w:r>
        <w:rPr>
          <w:w w:val="105"/>
          <w:sz w:val="19"/>
        </w:rPr>
        <w:t>on Research. The focus on urban and community design issues has resulted in</w:t>
      </w:r>
      <w:r>
        <w:rPr>
          <w:spacing w:val="-7"/>
          <w:w w:val="105"/>
          <w:sz w:val="19"/>
        </w:rPr>
        <w:t> </w:t>
      </w:r>
      <w:r>
        <w:rPr>
          <w:w w:val="105"/>
          <w:sz w:val="19"/>
        </w:rPr>
        <w:t>one</w:t>
      </w:r>
      <w:r>
        <w:rPr>
          <w:spacing w:val="-13"/>
          <w:w w:val="105"/>
          <w:sz w:val="19"/>
        </w:rPr>
        <w:t> </w:t>
      </w:r>
      <w:r>
        <w:rPr>
          <w:w w:val="105"/>
          <w:sz w:val="19"/>
        </w:rPr>
        <w:t>house</w:t>
      </w:r>
      <w:r>
        <w:rPr>
          <w:spacing w:val="-4"/>
          <w:w w:val="105"/>
          <w:sz w:val="19"/>
        </w:rPr>
        <w:t> </w:t>
      </w:r>
      <w:r>
        <w:rPr>
          <w:w w:val="105"/>
          <w:sz w:val="19"/>
        </w:rPr>
        <w:t>constructed for</w:t>
      </w:r>
      <w:r>
        <w:rPr>
          <w:spacing w:val="-6"/>
          <w:w w:val="105"/>
          <w:sz w:val="19"/>
        </w:rPr>
        <w:t> </w:t>
      </w:r>
      <w:r>
        <w:rPr>
          <w:w w:val="105"/>
          <w:sz w:val="19"/>
        </w:rPr>
        <w:t>Hampton</w:t>
      </w:r>
      <w:r>
        <w:rPr>
          <w:spacing w:val="-2"/>
          <w:w w:val="105"/>
          <w:sz w:val="19"/>
        </w:rPr>
        <w:t> </w:t>
      </w:r>
      <w:r>
        <w:rPr>
          <w:w w:val="105"/>
          <w:sz w:val="19"/>
        </w:rPr>
        <w:t>Redevelopment and</w:t>
      </w:r>
    </w:p>
    <w:p>
      <w:pPr>
        <w:spacing w:line="256" w:lineRule="auto" w:before="95"/>
        <w:ind w:left="3122" w:right="475" w:firstLine="1"/>
        <w:jc w:val="left"/>
        <w:rPr>
          <w:sz w:val="19"/>
        </w:rPr>
      </w:pPr>
      <w:r>
        <w:rPr>
          <w:w w:val="105"/>
          <w:sz w:val="19"/>
        </w:rPr>
        <w:t>Housing, and the active</w:t>
      </w:r>
      <w:r>
        <w:rPr>
          <w:spacing w:val="-1"/>
          <w:w w:val="105"/>
          <w:sz w:val="19"/>
        </w:rPr>
        <w:t> </w:t>
      </w:r>
      <w:r>
        <w:rPr>
          <w:w w:val="105"/>
          <w:sz w:val="19"/>
        </w:rPr>
        <w:t>participation of three</w:t>
      </w:r>
      <w:r>
        <w:rPr>
          <w:spacing w:val="-2"/>
          <w:w w:val="105"/>
          <w:sz w:val="19"/>
        </w:rPr>
        <w:t> </w:t>
      </w:r>
      <w:r>
        <w:rPr>
          <w:w w:val="105"/>
          <w:sz w:val="19"/>
        </w:rPr>
        <w:t>2</w:t>
      </w:r>
      <w:r>
        <w:rPr>
          <w:spacing w:val="80"/>
          <w:w w:val="150"/>
          <w:sz w:val="19"/>
        </w:rPr>
        <w:t> </w:t>
      </w:r>
      <w:r>
        <w:rPr>
          <w:w w:val="105"/>
          <w:sz w:val="19"/>
        </w:rPr>
        <w:t>year students in a R/UDAT</w:t>
      </w:r>
      <w:r>
        <w:rPr>
          <w:spacing w:val="-4"/>
          <w:w w:val="105"/>
          <w:sz w:val="19"/>
        </w:rPr>
        <w:t> </w:t>
      </w:r>
      <w:r>
        <w:rPr>
          <w:w w:val="105"/>
          <w:sz w:val="19"/>
        </w:rPr>
        <w:t>charrette in Petersburg, Virginia. In the</w:t>
      </w:r>
      <w:r>
        <w:rPr>
          <w:spacing w:val="-3"/>
          <w:w w:val="105"/>
          <w:sz w:val="19"/>
        </w:rPr>
        <w:t> </w:t>
      </w:r>
      <w:r>
        <w:rPr>
          <w:w w:val="105"/>
          <w:sz w:val="19"/>
        </w:rPr>
        <w:t>last</w:t>
      </w:r>
      <w:r>
        <w:rPr>
          <w:spacing w:val="-5"/>
          <w:w w:val="105"/>
          <w:sz w:val="19"/>
        </w:rPr>
        <w:t> </w:t>
      </w:r>
      <w:r>
        <w:rPr>
          <w:w w:val="105"/>
          <w:sz w:val="19"/>
        </w:rPr>
        <w:t>five</w:t>
      </w:r>
      <w:r>
        <w:rPr>
          <w:spacing w:val="-1"/>
          <w:w w:val="105"/>
          <w:sz w:val="19"/>
        </w:rPr>
        <w:t> </w:t>
      </w:r>
      <w:r>
        <w:rPr>
          <w:w w:val="105"/>
          <w:sz w:val="19"/>
        </w:rPr>
        <w:t>years</w:t>
      </w:r>
      <w:r>
        <w:rPr>
          <w:spacing w:val="-2"/>
          <w:w w:val="105"/>
          <w:sz w:val="19"/>
        </w:rPr>
        <w:t> </w:t>
      </w:r>
      <w:r>
        <w:rPr>
          <w:w w:val="105"/>
          <w:sz w:val="19"/>
        </w:rPr>
        <w:t>studios have</w:t>
      </w:r>
      <w:r>
        <w:rPr>
          <w:spacing w:val="-16"/>
          <w:w w:val="105"/>
          <w:sz w:val="19"/>
        </w:rPr>
        <w:t> </w:t>
      </w:r>
      <w:r>
        <w:rPr>
          <w:w w:val="105"/>
          <w:sz w:val="19"/>
        </w:rPr>
        <w:t>collaborated with the</w:t>
      </w:r>
      <w:r>
        <w:rPr>
          <w:spacing w:val="-8"/>
          <w:w w:val="105"/>
          <w:sz w:val="19"/>
        </w:rPr>
        <w:t> </w:t>
      </w:r>
      <w:r>
        <w:rPr>
          <w:w w:val="105"/>
          <w:sz w:val="19"/>
        </w:rPr>
        <w:t>cities</w:t>
      </w:r>
      <w:r>
        <w:rPr>
          <w:spacing w:val="-11"/>
          <w:w w:val="105"/>
          <w:sz w:val="19"/>
        </w:rPr>
        <w:t> </w:t>
      </w:r>
      <w:r>
        <w:rPr>
          <w:w w:val="105"/>
          <w:sz w:val="19"/>
        </w:rPr>
        <w:t>of</w:t>
      </w:r>
      <w:r>
        <w:rPr>
          <w:spacing w:val="-4"/>
          <w:w w:val="105"/>
          <w:sz w:val="19"/>
        </w:rPr>
        <w:t> </w:t>
      </w:r>
      <w:r>
        <w:rPr>
          <w:w w:val="105"/>
          <w:sz w:val="19"/>
        </w:rPr>
        <w:t>Hampton, Norfolk,</w:t>
      </w:r>
      <w:r>
        <w:rPr>
          <w:spacing w:val="-1"/>
          <w:w w:val="105"/>
          <w:sz w:val="19"/>
        </w:rPr>
        <w:t> </w:t>
      </w:r>
      <w:r>
        <w:rPr>
          <w:w w:val="105"/>
          <w:sz w:val="19"/>
        </w:rPr>
        <w:t>and</w:t>
      </w:r>
      <w:r>
        <w:rPr>
          <w:spacing w:val="-11"/>
          <w:w w:val="105"/>
          <w:sz w:val="19"/>
        </w:rPr>
        <w:t> </w:t>
      </w:r>
      <w:r>
        <w:rPr>
          <w:w w:val="105"/>
          <w:sz w:val="19"/>
        </w:rPr>
        <w:t>Portsmouth; and</w:t>
      </w:r>
      <w:r>
        <w:rPr>
          <w:spacing w:val="-15"/>
          <w:w w:val="105"/>
          <w:sz w:val="19"/>
        </w:rPr>
        <w:t> </w:t>
      </w:r>
      <w:r>
        <w:rPr>
          <w:w w:val="105"/>
          <w:sz w:val="19"/>
        </w:rPr>
        <w:t>with</w:t>
      </w:r>
      <w:r>
        <w:rPr>
          <w:spacing w:val="-3"/>
          <w:w w:val="105"/>
          <w:sz w:val="19"/>
        </w:rPr>
        <w:t> </w:t>
      </w:r>
      <w:r>
        <w:rPr>
          <w:w w:val="105"/>
          <w:sz w:val="19"/>
        </w:rPr>
        <w:t>Old Dominion University developing master</w:t>
      </w:r>
      <w:r>
        <w:rPr>
          <w:spacing w:val="-5"/>
          <w:w w:val="105"/>
          <w:sz w:val="19"/>
        </w:rPr>
        <w:t> </w:t>
      </w:r>
      <w:r>
        <w:rPr>
          <w:w w:val="105"/>
          <w:sz w:val="19"/>
        </w:rPr>
        <w:t>plans and design </w:t>
      </w:r>
      <w:r>
        <w:rPr>
          <w:spacing w:val="-2"/>
          <w:w w:val="105"/>
          <w:sz w:val="19"/>
        </w:rPr>
        <w:t>projects.</w:t>
      </w:r>
    </w:p>
    <w:p>
      <w:pPr>
        <w:pStyle w:val="BodyText"/>
        <w:spacing w:before="8"/>
        <w:rPr>
          <w:sz w:val="19"/>
        </w:rPr>
      </w:pPr>
    </w:p>
    <w:p>
      <w:pPr>
        <w:pStyle w:val="ListParagraph"/>
        <w:numPr>
          <w:ilvl w:val="3"/>
          <w:numId w:val="80"/>
        </w:numPr>
        <w:tabs>
          <w:tab w:pos="3123" w:val="left" w:leader="none"/>
          <w:tab w:pos="3124" w:val="left" w:leader="none"/>
        </w:tabs>
        <w:spacing w:line="254" w:lineRule="auto" w:before="1" w:after="0"/>
        <w:ind w:left="3120" w:right="294" w:hanging="722"/>
        <w:jc w:val="left"/>
        <w:rPr>
          <w:sz w:val="19"/>
        </w:rPr>
      </w:pPr>
      <w:r>
        <w:rPr>
          <w:w w:val="105"/>
          <w:sz w:val="19"/>
        </w:rPr>
        <w:t>Faculty: An</w:t>
      </w:r>
      <w:r>
        <w:rPr>
          <w:spacing w:val="-6"/>
          <w:w w:val="105"/>
          <w:sz w:val="19"/>
        </w:rPr>
        <w:t> </w:t>
      </w:r>
      <w:r>
        <w:rPr>
          <w:w w:val="105"/>
          <w:sz w:val="19"/>
        </w:rPr>
        <w:t>ongoing strength, the</w:t>
      </w:r>
      <w:r>
        <w:rPr>
          <w:spacing w:val="-5"/>
          <w:w w:val="105"/>
          <w:sz w:val="19"/>
        </w:rPr>
        <w:t> </w:t>
      </w:r>
      <w:r>
        <w:rPr>
          <w:w w:val="105"/>
          <w:sz w:val="19"/>
        </w:rPr>
        <w:t>Department has a committed, diverse and</w:t>
      </w:r>
      <w:r>
        <w:rPr>
          <w:spacing w:val="-11"/>
          <w:w w:val="105"/>
          <w:sz w:val="19"/>
        </w:rPr>
        <w:t> </w:t>
      </w:r>
      <w:r>
        <w:rPr>
          <w:w w:val="105"/>
          <w:sz w:val="19"/>
        </w:rPr>
        <w:t>professional faculty. There</w:t>
      </w:r>
      <w:r>
        <w:rPr>
          <w:spacing w:val="-9"/>
          <w:w w:val="105"/>
          <w:sz w:val="19"/>
        </w:rPr>
        <w:t> </w:t>
      </w:r>
      <w:r>
        <w:rPr>
          <w:w w:val="105"/>
          <w:sz w:val="19"/>
        </w:rPr>
        <w:t>is diversity</w:t>
      </w:r>
      <w:r>
        <w:rPr>
          <w:spacing w:val="-2"/>
          <w:w w:val="105"/>
          <w:sz w:val="19"/>
        </w:rPr>
        <w:t> </w:t>
      </w:r>
      <w:r>
        <w:rPr>
          <w:w w:val="105"/>
          <w:sz w:val="19"/>
        </w:rPr>
        <w:t>in</w:t>
      </w:r>
      <w:r>
        <w:rPr>
          <w:spacing w:val="-1"/>
          <w:w w:val="105"/>
          <w:sz w:val="19"/>
        </w:rPr>
        <w:t> </w:t>
      </w:r>
      <w:r>
        <w:rPr>
          <w:w w:val="105"/>
          <w:sz w:val="19"/>
        </w:rPr>
        <w:t>ethnicity and in</w:t>
      </w:r>
      <w:r>
        <w:rPr>
          <w:spacing w:val="-3"/>
          <w:w w:val="105"/>
          <w:sz w:val="19"/>
        </w:rPr>
        <w:t> </w:t>
      </w:r>
      <w:r>
        <w:rPr>
          <w:w w:val="105"/>
          <w:sz w:val="19"/>
        </w:rPr>
        <w:t>gender,</w:t>
      </w:r>
      <w:r>
        <w:rPr>
          <w:spacing w:val="-1"/>
          <w:w w:val="105"/>
          <w:sz w:val="19"/>
        </w:rPr>
        <w:t> </w:t>
      </w:r>
      <w:r>
        <w:rPr>
          <w:w w:val="105"/>
          <w:sz w:val="19"/>
        </w:rPr>
        <w:t>and 75% of the full-time faculty are registered architects. Faculty continually contribute to the program, the student body, and to local communities.</w:t>
      </w:r>
    </w:p>
    <w:p>
      <w:pPr>
        <w:pStyle w:val="BodyText"/>
        <w:spacing w:before="8"/>
      </w:pPr>
    </w:p>
    <w:p>
      <w:pPr>
        <w:pStyle w:val="ListParagraph"/>
        <w:numPr>
          <w:ilvl w:val="3"/>
          <w:numId w:val="80"/>
        </w:numPr>
        <w:tabs>
          <w:tab w:pos="3119" w:val="left" w:leader="none"/>
          <w:tab w:pos="3120" w:val="left" w:leader="none"/>
        </w:tabs>
        <w:spacing w:line="252" w:lineRule="auto" w:before="0" w:after="0"/>
        <w:ind w:left="3105" w:right="277" w:hanging="711"/>
        <w:jc w:val="left"/>
        <w:rPr>
          <w:sz w:val="19"/>
        </w:rPr>
      </w:pPr>
      <w:r>
        <w:rPr>
          <w:w w:val="105"/>
          <w:sz w:val="19"/>
        </w:rPr>
        <w:t>Collaborative Efforts: The faculty and student body (including the administration</w:t>
      </w:r>
      <w:r>
        <w:rPr>
          <w:spacing w:val="-12"/>
          <w:w w:val="105"/>
          <w:sz w:val="19"/>
        </w:rPr>
        <w:t> </w:t>
      </w:r>
      <w:r>
        <w:rPr>
          <w:w w:val="105"/>
          <w:sz w:val="19"/>
        </w:rPr>
        <w:t>of the School of</w:t>
      </w:r>
      <w:r>
        <w:rPr>
          <w:spacing w:val="28"/>
          <w:w w:val="105"/>
          <w:sz w:val="19"/>
        </w:rPr>
        <w:t> </w:t>
      </w:r>
      <w:r>
        <w:rPr>
          <w:w w:val="105"/>
          <w:sz w:val="19"/>
        </w:rPr>
        <w:t>Engineering</w:t>
      </w:r>
      <w:r>
        <w:rPr>
          <w:spacing w:val="38"/>
          <w:w w:val="105"/>
          <w:sz w:val="19"/>
        </w:rPr>
        <w:t> </w:t>
      </w:r>
      <w:r>
        <w:rPr>
          <w:w w:val="105"/>
          <w:sz w:val="19"/>
        </w:rPr>
        <w:t>and Technology)</w:t>
      </w:r>
      <w:r>
        <w:rPr>
          <w:spacing w:val="35"/>
          <w:w w:val="105"/>
          <w:sz w:val="19"/>
        </w:rPr>
        <w:t> </w:t>
      </w:r>
      <w:r>
        <w:rPr>
          <w:w w:val="105"/>
          <w:sz w:val="19"/>
        </w:rPr>
        <w:t>have a</w:t>
      </w:r>
      <w:r>
        <w:rPr>
          <w:w w:val="105"/>
          <w:sz w:val="19"/>
        </w:rPr>
        <w:t> great level</w:t>
      </w:r>
      <w:r>
        <w:rPr>
          <w:spacing w:val="-10"/>
          <w:w w:val="105"/>
          <w:sz w:val="19"/>
        </w:rPr>
        <w:t> </w:t>
      </w:r>
      <w:r>
        <w:rPr>
          <w:w w:val="105"/>
          <w:sz w:val="19"/>
        </w:rPr>
        <w:t>of</w:t>
      </w:r>
      <w:r>
        <w:rPr>
          <w:spacing w:val="-1"/>
          <w:w w:val="105"/>
          <w:sz w:val="19"/>
        </w:rPr>
        <w:t> </w:t>
      </w:r>
      <w:r>
        <w:rPr>
          <w:w w:val="105"/>
          <w:sz w:val="19"/>
        </w:rPr>
        <w:t>collaboration to achieve</w:t>
      </w:r>
      <w:r>
        <w:rPr>
          <w:spacing w:val="-6"/>
          <w:w w:val="105"/>
          <w:sz w:val="19"/>
        </w:rPr>
        <w:t> </w:t>
      </w:r>
      <w:r>
        <w:rPr>
          <w:w w:val="105"/>
          <w:sz w:val="19"/>
        </w:rPr>
        <w:t>important goals. The</w:t>
      </w:r>
      <w:r>
        <w:rPr>
          <w:spacing w:val="-3"/>
          <w:w w:val="105"/>
          <w:sz w:val="19"/>
        </w:rPr>
        <w:t> </w:t>
      </w:r>
      <w:r>
        <w:rPr>
          <w:w w:val="105"/>
          <w:sz w:val="19"/>
        </w:rPr>
        <w:t>Dean-, the Chair and the faculty</w:t>
      </w:r>
      <w:r>
        <w:rPr>
          <w:spacing w:val="26"/>
          <w:w w:val="105"/>
          <w:sz w:val="19"/>
        </w:rPr>
        <w:t> </w:t>
      </w:r>
      <w:r>
        <w:rPr>
          <w:w w:val="105"/>
          <w:sz w:val="19"/>
        </w:rPr>
        <w:t>meet often to discuss ways to achieve optimum ends for the program and the school. This is borne out in increased funding</w:t>
      </w:r>
      <w:r>
        <w:rPr>
          <w:spacing w:val="-6"/>
          <w:w w:val="105"/>
          <w:sz w:val="19"/>
        </w:rPr>
        <w:t> </w:t>
      </w:r>
      <w:r>
        <w:rPr>
          <w:w w:val="105"/>
          <w:sz w:val="19"/>
        </w:rPr>
        <w:t>support</w:t>
      </w:r>
      <w:r>
        <w:rPr>
          <w:spacing w:val="-9"/>
          <w:w w:val="105"/>
          <w:sz w:val="19"/>
        </w:rPr>
        <w:t> </w:t>
      </w:r>
      <w:r>
        <w:rPr>
          <w:w w:val="105"/>
          <w:sz w:val="19"/>
        </w:rPr>
        <w:t>for</w:t>
      </w:r>
      <w:r>
        <w:rPr>
          <w:spacing w:val="-1"/>
          <w:w w:val="105"/>
          <w:sz w:val="19"/>
        </w:rPr>
        <w:t> </w:t>
      </w:r>
      <w:r>
        <w:rPr>
          <w:w w:val="105"/>
          <w:sz w:val="19"/>
        </w:rPr>
        <w:t>faculty travel,</w:t>
      </w:r>
      <w:r>
        <w:rPr>
          <w:spacing w:val="-7"/>
          <w:w w:val="105"/>
          <w:sz w:val="19"/>
        </w:rPr>
        <w:t> </w:t>
      </w:r>
      <w:r>
        <w:rPr>
          <w:w w:val="105"/>
          <w:sz w:val="19"/>
        </w:rPr>
        <w:t>increased awareness ancl advocacy for providing for student and resource needs in the Department, and the availability of school</w:t>
      </w:r>
      <w:r>
        <w:rPr>
          <w:spacing w:val="-15"/>
          <w:w w:val="105"/>
          <w:sz w:val="19"/>
        </w:rPr>
        <w:t> </w:t>
      </w:r>
      <w:r>
        <w:rPr>
          <w:w w:val="105"/>
          <w:sz w:val="19"/>
        </w:rPr>
        <w:t>resources, such</w:t>
      </w:r>
      <w:r>
        <w:rPr>
          <w:spacing w:val="-10"/>
          <w:w w:val="105"/>
          <w:sz w:val="19"/>
        </w:rPr>
        <w:t> </w:t>
      </w:r>
      <w:r>
        <w:rPr>
          <w:w w:val="105"/>
          <w:sz w:val="19"/>
        </w:rPr>
        <w:t>as computer labs,</w:t>
      </w:r>
      <w:r>
        <w:rPr>
          <w:spacing w:val="-3"/>
          <w:w w:val="105"/>
          <w:sz w:val="19"/>
        </w:rPr>
        <w:t> </w:t>
      </w:r>
      <w:r>
        <w:rPr>
          <w:w w:val="105"/>
          <w:sz w:val="19"/>
        </w:rPr>
        <w:t>software</w:t>
      </w:r>
      <w:r>
        <w:rPr>
          <w:spacing w:val="-6"/>
          <w:w w:val="105"/>
          <w:sz w:val="19"/>
        </w:rPr>
        <w:t> </w:t>
      </w:r>
      <w:r>
        <w:rPr>
          <w:w w:val="105"/>
          <w:sz w:val="19"/>
        </w:rPr>
        <w:t>licenses to meet our mission. The Provost's office has also</w:t>
      </w:r>
      <w:r>
        <w:rPr>
          <w:spacing w:val="-4"/>
          <w:w w:val="105"/>
          <w:sz w:val="19"/>
        </w:rPr>
        <w:t> </w:t>
      </w:r>
      <w:r>
        <w:rPr>
          <w:w w:val="105"/>
          <w:sz w:val="19"/>
        </w:rPr>
        <w:t>worked well with our Department to assist our efforts to</w:t>
      </w:r>
      <w:r>
        <w:rPr>
          <w:spacing w:val="-7"/>
          <w:w w:val="105"/>
          <w:sz w:val="19"/>
        </w:rPr>
        <w:t> </w:t>
      </w:r>
      <w:r>
        <w:rPr>
          <w:w w:val="105"/>
          <w:sz w:val="19"/>
        </w:rPr>
        <w:t>gamer the</w:t>
      </w:r>
      <w:r>
        <w:rPr>
          <w:spacing w:val="-1"/>
          <w:w w:val="105"/>
          <w:sz w:val="19"/>
        </w:rPr>
        <w:t> </w:t>
      </w:r>
      <w:r>
        <w:rPr>
          <w:w w:val="105"/>
          <w:sz w:val="19"/>
        </w:rPr>
        <w:t>resources needed to maximize our instruction efforts, championing our efforts to gain</w:t>
      </w:r>
      <w:r>
        <w:rPr>
          <w:spacing w:val="40"/>
          <w:w w:val="105"/>
          <w:sz w:val="19"/>
        </w:rPr>
        <w:t> </w:t>
      </w:r>
      <w:r>
        <w:rPr>
          <w:w w:val="105"/>
          <w:sz w:val="19"/>
        </w:rPr>
        <w:t>additional FTE faculty positions. Students have shown increasing awareness of their responsibility to work within the limitations of the Department to get</w:t>
      </w:r>
      <w:r>
        <w:rPr>
          <w:spacing w:val="-4"/>
          <w:w w:val="105"/>
          <w:sz w:val="19"/>
        </w:rPr>
        <w:t> </w:t>
      </w:r>
      <w:r>
        <w:rPr>
          <w:w w:val="105"/>
          <w:sz w:val="19"/>
        </w:rPr>
        <w:t>the</w:t>
      </w:r>
      <w:r>
        <w:rPr>
          <w:spacing w:val="-11"/>
          <w:w w:val="105"/>
          <w:sz w:val="19"/>
        </w:rPr>
        <w:t> </w:t>
      </w:r>
      <w:r>
        <w:rPr>
          <w:w w:val="105"/>
          <w:sz w:val="19"/>
        </w:rPr>
        <w:t>most</w:t>
      </w:r>
      <w:r>
        <w:rPr>
          <w:spacing w:val="-4"/>
          <w:w w:val="105"/>
          <w:sz w:val="19"/>
        </w:rPr>
        <w:t> </w:t>
      </w:r>
      <w:r>
        <w:rPr>
          <w:w w:val="105"/>
          <w:sz w:val="19"/>
        </w:rPr>
        <w:t>out</w:t>
      </w:r>
      <w:r>
        <w:rPr>
          <w:spacing w:val="-6"/>
          <w:w w:val="105"/>
          <w:sz w:val="19"/>
        </w:rPr>
        <w:t> </w:t>
      </w:r>
      <w:r>
        <w:rPr>
          <w:w w:val="105"/>
          <w:sz w:val="19"/>
        </w:rPr>
        <w:t>of their educational experience. We</w:t>
      </w:r>
      <w:r>
        <w:rPr>
          <w:spacing w:val="-11"/>
          <w:w w:val="105"/>
          <w:sz w:val="19"/>
        </w:rPr>
        <w:t> </w:t>
      </w:r>
      <w:r>
        <w:rPr>
          <w:w w:val="105"/>
          <w:sz w:val="19"/>
        </w:rPr>
        <w:t>meet regularly with</w:t>
      </w:r>
      <w:r>
        <w:rPr>
          <w:spacing w:val="-10"/>
          <w:w w:val="105"/>
          <w:sz w:val="19"/>
        </w:rPr>
        <w:t> </w:t>
      </w:r>
      <w:r>
        <w:rPr>
          <w:w w:val="105"/>
          <w:sz w:val="19"/>
        </w:rPr>
        <w:t>the</w:t>
      </w:r>
      <w:r>
        <w:rPr>
          <w:spacing w:val="-7"/>
          <w:w w:val="105"/>
          <w:sz w:val="19"/>
        </w:rPr>
        <w:t> </w:t>
      </w:r>
      <w:r>
        <w:rPr>
          <w:w w:val="105"/>
          <w:sz w:val="19"/>
        </w:rPr>
        <w:t>student</w:t>
      </w:r>
      <w:r>
        <w:rPr>
          <w:spacing w:val="-2"/>
          <w:w w:val="105"/>
          <w:sz w:val="19"/>
        </w:rPr>
        <w:t> </w:t>
      </w:r>
      <w:r>
        <w:rPr>
          <w:w w:val="105"/>
          <w:sz w:val="19"/>
        </w:rPr>
        <w:t>leaders (AIAS and</w:t>
      </w:r>
      <w:r>
        <w:rPr>
          <w:spacing w:val="-12"/>
          <w:w w:val="105"/>
          <w:sz w:val="19"/>
        </w:rPr>
        <w:t> </w:t>
      </w:r>
      <w:r>
        <w:rPr>
          <w:w w:val="105"/>
          <w:sz w:val="19"/>
        </w:rPr>
        <w:t>NOMAS) to</w:t>
      </w:r>
      <w:r>
        <w:rPr>
          <w:spacing w:val="-4"/>
          <w:w w:val="105"/>
          <w:sz w:val="19"/>
        </w:rPr>
        <w:t> </w:t>
      </w:r>
      <w:r>
        <w:rPr>
          <w:w w:val="105"/>
          <w:sz w:val="19"/>
        </w:rPr>
        <w:t>discuss ongoing program efforts.</w:t>
      </w:r>
    </w:p>
    <w:p>
      <w:pPr>
        <w:pStyle w:val="BodyText"/>
        <w:spacing w:before="9"/>
      </w:pPr>
    </w:p>
    <w:p>
      <w:pPr>
        <w:pStyle w:val="ListParagraph"/>
        <w:numPr>
          <w:ilvl w:val="3"/>
          <w:numId w:val="80"/>
        </w:numPr>
        <w:tabs>
          <w:tab w:pos="3110" w:val="left" w:leader="none"/>
          <w:tab w:pos="3112" w:val="left" w:leader="none"/>
        </w:tabs>
        <w:spacing w:line="240" w:lineRule="auto" w:before="0" w:after="0"/>
        <w:ind w:left="3111" w:right="0" w:hanging="733"/>
        <w:jc w:val="left"/>
        <w:rPr>
          <w:sz w:val="19"/>
        </w:rPr>
      </w:pPr>
      <w:r>
        <w:rPr/>
        <w:pict>
          <v:shape style="position:absolute;margin-left:452.843903pt;margin-top:3.21373pt;width:2.4pt;height:21.3pt;mso-position-horizontal-relative:page;mso-position-vertical-relative:paragraph;z-index:-27004928" type="#_x0000_t202" id="docshape694" filled="false" stroked="false">
            <v:textbox inset="0,0,0,0">
              <w:txbxContent>
                <w:p>
                  <w:pPr>
                    <w:spacing w:line="426" w:lineRule="exact" w:before="0"/>
                    <w:ind w:left="0" w:right="0" w:firstLine="0"/>
                    <w:jc w:val="left"/>
                    <w:rPr>
                      <w:sz w:val="38"/>
                    </w:rPr>
                  </w:pPr>
                  <w:r>
                    <w:rPr>
                      <w:spacing w:val="-97"/>
                      <w:w w:val="108"/>
                      <w:sz w:val="38"/>
                    </w:rPr>
                    <w:t>•</w:t>
                  </w:r>
                </w:p>
              </w:txbxContent>
            </v:textbox>
            <w10:wrap type="none"/>
          </v:shape>
        </w:pict>
      </w:r>
      <w:r>
        <w:rPr>
          <w:w w:val="105"/>
          <w:sz w:val="19"/>
        </w:rPr>
        <w:t>Student</w:t>
      </w:r>
      <w:r>
        <w:rPr>
          <w:spacing w:val="10"/>
          <w:w w:val="105"/>
          <w:sz w:val="19"/>
        </w:rPr>
        <w:t> </w:t>
      </w:r>
      <w:r>
        <w:rPr>
          <w:w w:val="105"/>
          <w:sz w:val="19"/>
        </w:rPr>
        <w:t>Travel:</w:t>
      </w:r>
      <w:r>
        <w:rPr>
          <w:spacing w:val="12"/>
          <w:w w:val="105"/>
          <w:sz w:val="19"/>
        </w:rPr>
        <w:t> </w:t>
      </w:r>
      <w:r>
        <w:rPr>
          <w:w w:val="105"/>
          <w:sz w:val="19"/>
        </w:rPr>
        <w:t>Although</w:t>
      </w:r>
      <w:r>
        <w:rPr>
          <w:spacing w:val="12"/>
          <w:w w:val="105"/>
          <w:sz w:val="19"/>
        </w:rPr>
        <w:t> </w:t>
      </w:r>
      <w:r>
        <w:rPr>
          <w:w w:val="105"/>
          <w:sz w:val="19"/>
        </w:rPr>
        <w:t>we</w:t>
      </w:r>
      <w:r>
        <w:rPr>
          <w:spacing w:val="3"/>
          <w:w w:val="105"/>
          <w:sz w:val="19"/>
        </w:rPr>
        <w:t> </w:t>
      </w:r>
      <w:r>
        <w:rPr>
          <w:w w:val="105"/>
          <w:sz w:val="19"/>
        </w:rPr>
        <w:t>have</w:t>
      </w:r>
      <w:r>
        <w:rPr>
          <w:spacing w:val="2"/>
          <w:w w:val="105"/>
          <w:sz w:val="19"/>
        </w:rPr>
        <w:t> </w:t>
      </w:r>
      <w:r>
        <w:rPr>
          <w:w w:val="105"/>
          <w:sz w:val="19"/>
        </w:rPr>
        <w:t>a</w:t>
      </w:r>
      <w:r>
        <w:rPr>
          <w:spacing w:val="5"/>
          <w:w w:val="105"/>
          <w:sz w:val="19"/>
        </w:rPr>
        <w:t> </w:t>
      </w:r>
      <w:r>
        <w:rPr>
          <w:w w:val="105"/>
          <w:sz w:val="19"/>
        </w:rPr>
        <w:t>small</w:t>
      </w:r>
      <w:r>
        <w:rPr>
          <w:spacing w:val="-12"/>
          <w:w w:val="105"/>
          <w:sz w:val="19"/>
        </w:rPr>
        <w:t> </w:t>
      </w:r>
      <w:r>
        <w:rPr>
          <w:w w:val="105"/>
          <w:sz w:val="19"/>
        </w:rPr>
        <w:t>program,</w:t>
      </w:r>
      <w:r>
        <w:rPr>
          <w:spacing w:val="12"/>
          <w:w w:val="105"/>
          <w:sz w:val="19"/>
        </w:rPr>
        <w:t> </w:t>
      </w:r>
      <w:r>
        <w:rPr>
          <w:w w:val="105"/>
          <w:sz w:val="19"/>
        </w:rPr>
        <w:t>the</w:t>
      </w:r>
      <w:r>
        <w:rPr>
          <w:spacing w:val="6"/>
          <w:w w:val="105"/>
          <w:sz w:val="19"/>
        </w:rPr>
        <w:t> </w:t>
      </w:r>
      <w:r>
        <w:rPr>
          <w:w w:val="105"/>
          <w:sz w:val="19"/>
        </w:rPr>
        <w:t>move</w:t>
      </w:r>
      <w:r>
        <w:rPr>
          <w:spacing w:val="4"/>
          <w:w w:val="105"/>
          <w:sz w:val="19"/>
        </w:rPr>
        <w:t> </w:t>
      </w:r>
      <w:r>
        <w:rPr>
          <w:w w:val="105"/>
          <w:sz w:val="19"/>
        </w:rPr>
        <w:t>of</w:t>
      </w:r>
      <w:r>
        <w:rPr>
          <w:spacing w:val="10"/>
          <w:w w:val="105"/>
          <w:sz w:val="19"/>
        </w:rPr>
        <w:t> </w:t>
      </w:r>
      <w:r>
        <w:rPr>
          <w:spacing w:val="-5"/>
          <w:w w:val="105"/>
          <w:sz w:val="19"/>
        </w:rPr>
        <w:t>the</w:t>
      </w:r>
    </w:p>
    <w:p>
      <w:pPr>
        <w:spacing w:line="196" w:lineRule="auto" w:before="151"/>
        <w:ind w:left="3107" w:right="311" w:firstLine="0"/>
        <w:jc w:val="left"/>
        <w:rPr>
          <w:sz w:val="19"/>
        </w:rPr>
      </w:pPr>
      <w:r>
        <w:rPr>
          <w:w w:val="105"/>
          <w:sz w:val="19"/>
        </w:rPr>
        <w:t>required international urban design travel studio from 5</w:t>
      </w:r>
      <w:r>
        <w:rPr>
          <w:spacing w:val="80"/>
          <w:w w:val="105"/>
          <w:sz w:val="19"/>
        </w:rPr>
        <w:t> </w:t>
      </w:r>
      <w:r>
        <w:rPr>
          <w:w w:val="105"/>
          <w:sz w:val="19"/>
        </w:rPr>
        <w:t>year to the summer after</w:t>
      </w:r>
      <w:r>
        <w:rPr>
          <w:spacing w:val="-4"/>
          <w:w w:val="105"/>
          <w:sz w:val="19"/>
        </w:rPr>
        <w:t> </w:t>
      </w:r>
      <w:r>
        <w:rPr>
          <w:w w:val="105"/>
          <w:sz w:val="19"/>
        </w:rPr>
        <w:t>3</w:t>
      </w:r>
      <w:r>
        <w:rPr>
          <w:w w:val="105"/>
          <w:sz w:val="39"/>
        </w:rPr>
        <w:t>"</w:t>
      </w:r>
      <w:r>
        <w:rPr>
          <w:w w:val="105"/>
          <w:sz w:val="19"/>
        </w:rPr>
        <w:t>year</w:t>
      </w:r>
      <w:r>
        <w:rPr>
          <w:spacing w:val="-2"/>
          <w:w w:val="105"/>
          <w:sz w:val="19"/>
        </w:rPr>
        <w:t> </w:t>
      </w:r>
      <w:r>
        <w:rPr>
          <w:w w:val="105"/>
          <w:sz w:val="19"/>
        </w:rPr>
        <w:t>studios</w:t>
      </w:r>
      <w:r>
        <w:rPr>
          <w:spacing w:val="-3"/>
          <w:w w:val="105"/>
          <w:sz w:val="19"/>
        </w:rPr>
        <w:t> </w:t>
      </w:r>
      <w:r>
        <w:rPr>
          <w:w w:val="105"/>
          <w:sz w:val="19"/>
        </w:rPr>
        <w:t>has</w:t>
      </w:r>
      <w:r>
        <w:rPr>
          <w:spacing w:val="-12"/>
          <w:w w:val="105"/>
          <w:sz w:val="19"/>
        </w:rPr>
        <w:t> </w:t>
      </w:r>
      <w:r>
        <w:rPr>
          <w:w w:val="105"/>
          <w:sz w:val="19"/>
        </w:rPr>
        <w:t>been</w:t>
      </w:r>
      <w:r>
        <w:rPr>
          <w:spacing w:val="-1"/>
          <w:w w:val="105"/>
          <w:sz w:val="19"/>
        </w:rPr>
        <w:t> </w:t>
      </w:r>
      <w:r>
        <w:rPr>
          <w:w w:val="105"/>
          <w:sz w:val="19"/>
        </w:rPr>
        <w:t>a</w:t>
      </w:r>
      <w:r>
        <w:rPr>
          <w:spacing w:val="-2"/>
          <w:w w:val="105"/>
          <w:sz w:val="19"/>
        </w:rPr>
        <w:t> </w:t>
      </w:r>
      <w:r>
        <w:rPr>
          <w:w w:val="105"/>
          <w:sz w:val="19"/>
        </w:rPr>
        <w:t>strength. Awareness of</w:t>
      </w:r>
      <w:r>
        <w:rPr>
          <w:spacing w:val="-2"/>
          <w:w w:val="105"/>
          <w:sz w:val="19"/>
        </w:rPr>
        <w:t> </w:t>
      </w:r>
      <w:r>
        <w:rPr>
          <w:w w:val="105"/>
          <w:sz w:val="19"/>
        </w:rPr>
        <w:t>and</w:t>
      </w:r>
      <w:r>
        <w:rPr>
          <w:spacing w:val="-8"/>
          <w:w w:val="105"/>
          <w:sz w:val="19"/>
        </w:rPr>
        <w:t> </w:t>
      </w:r>
      <w:r>
        <w:rPr>
          <w:w w:val="105"/>
          <w:sz w:val="19"/>
        </w:rPr>
        <w:t>the ability to design in an urban context has</w:t>
      </w:r>
      <w:r>
        <w:rPr>
          <w:spacing w:val="-3"/>
          <w:w w:val="105"/>
          <w:sz w:val="19"/>
        </w:rPr>
        <w:t> </w:t>
      </w:r>
      <w:r>
        <w:rPr>
          <w:w w:val="105"/>
          <w:sz w:val="19"/>
        </w:rPr>
        <w:t>been advanced, and is infusing the</w:t>
      </w:r>
      <w:r>
        <w:rPr>
          <w:spacing w:val="-6"/>
          <w:w w:val="105"/>
          <w:sz w:val="19"/>
        </w:rPr>
        <w:t> </w:t>
      </w:r>
      <w:r>
        <w:rPr>
          <w:w w:val="105"/>
          <w:sz w:val="19"/>
        </w:rPr>
        <w:t>program. This also broadens internship possibilities. A current 5</w:t>
      </w:r>
      <w:r>
        <w:rPr>
          <w:w w:val="105"/>
          <w:sz w:val="41"/>
        </w:rPr>
        <w:t>" </w:t>
      </w:r>
      <w:r>
        <w:rPr>
          <w:w w:val="105"/>
          <w:sz w:val="19"/>
        </w:rPr>
        <w:t>year student has</w:t>
      </w:r>
      <w:r>
        <w:rPr>
          <w:spacing w:val="-1"/>
          <w:w w:val="105"/>
          <w:sz w:val="19"/>
        </w:rPr>
        <w:t> </w:t>
      </w:r>
      <w:r>
        <w:rPr>
          <w:w w:val="105"/>
          <w:sz w:val="19"/>
        </w:rPr>
        <w:t>been invited to join Urban Design Associates in</w:t>
      </w:r>
    </w:p>
    <w:p>
      <w:pPr>
        <w:spacing w:line="252" w:lineRule="auto" w:before="24"/>
        <w:ind w:left="3105" w:right="424" w:hanging="1"/>
        <w:jc w:val="left"/>
        <w:rPr>
          <w:sz w:val="19"/>
        </w:rPr>
      </w:pPr>
      <w:r>
        <w:rPr>
          <w:w w:val="105"/>
          <w:sz w:val="19"/>
        </w:rPr>
        <w:t>Pittsburgh for</w:t>
      </w:r>
      <w:r>
        <w:rPr>
          <w:spacing w:val="-1"/>
          <w:w w:val="105"/>
          <w:sz w:val="19"/>
        </w:rPr>
        <w:t> </w:t>
      </w:r>
      <w:r>
        <w:rPr>
          <w:w w:val="105"/>
          <w:sz w:val="19"/>
        </w:rPr>
        <w:t>their</w:t>
      </w:r>
      <w:r>
        <w:rPr>
          <w:spacing w:val="-6"/>
          <w:w w:val="105"/>
          <w:sz w:val="19"/>
        </w:rPr>
        <w:t> </w:t>
      </w:r>
      <w:r>
        <w:rPr>
          <w:w w:val="105"/>
          <w:sz w:val="19"/>
        </w:rPr>
        <w:t>formal</w:t>
      </w:r>
      <w:r>
        <w:rPr>
          <w:spacing w:val="-10"/>
          <w:w w:val="105"/>
          <w:sz w:val="19"/>
        </w:rPr>
        <w:t> </w:t>
      </w:r>
      <w:r>
        <w:rPr>
          <w:w w:val="105"/>
          <w:sz w:val="19"/>
        </w:rPr>
        <w:t>two</w:t>
      </w:r>
      <w:r>
        <w:rPr>
          <w:spacing w:val="-2"/>
          <w:w w:val="105"/>
          <w:sz w:val="19"/>
        </w:rPr>
        <w:t> </w:t>
      </w:r>
      <w:r>
        <w:rPr>
          <w:w w:val="105"/>
          <w:sz w:val="19"/>
        </w:rPr>
        <w:t>year</w:t>
      </w:r>
      <w:r>
        <w:rPr>
          <w:spacing w:val="-8"/>
          <w:w w:val="105"/>
          <w:sz w:val="19"/>
        </w:rPr>
        <w:t> </w:t>
      </w:r>
      <w:r>
        <w:rPr>
          <w:w w:val="105"/>
          <w:sz w:val="19"/>
        </w:rPr>
        <w:t>internship. Our</w:t>
      </w:r>
      <w:r>
        <w:rPr>
          <w:spacing w:val="-2"/>
          <w:w w:val="105"/>
          <w:sz w:val="19"/>
        </w:rPr>
        <w:t> </w:t>
      </w:r>
      <w:r>
        <w:rPr>
          <w:w w:val="105"/>
          <w:sz w:val="19"/>
        </w:rPr>
        <w:t>student</w:t>
      </w:r>
      <w:r>
        <w:rPr>
          <w:spacing w:val="-1"/>
          <w:w w:val="105"/>
          <w:sz w:val="19"/>
        </w:rPr>
        <w:t> </w:t>
      </w:r>
      <w:r>
        <w:rPr>
          <w:w w:val="105"/>
          <w:sz w:val="19"/>
        </w:rPr>
        <w:t>interns at the Norfolk Neighborhood Design office and at the city of Hampton and Newport News Planning offices. Professor Shannon Chance has also recently introduced a Spring Break Travel Elective (first offering to Prague) that has proven popular.</w:t>
      </w:r>
    </w:p>
    <w:p>
      <w:pPr>
        <w:pStyle w:val="BodyText"/>
      </w:pPr>
    </w:p>
    <w:p>
      <w:pPr>
        <w:pStyle w:val="ListParagraph"/>
        <w:numPr>
          <w:ilvl w:val="3"/>
          <w:numId w:val="80"/>
        </w:numPr>
        <w:tabs>
          <w:tab w:pos="3110" w:val="left" w:leader="none"/>
          <w:tab w:pos="3111" w:val="left" w:leader="none"/>
        </w:tabs>
        <w:spacing w:line="252" w:lineRule="auto" w:before="0" w:after="0"/>
        <w:ind w:left="3107" w:right="326" w:hanging="727"/>
        <w:jc w:val="left"/>
        <w:rPr>
          <w:sz w:val="19"/>
        </w:rPr>
      </w:pPr>
      <w:r>
        <w:rPr>
          <w:w w:val="105"/>
          <w:sz w:val="19"/>
        </w:rPr>
        <w:t>Community</w:t>
      </w:r>
      <w:r>
        <w:rPr>
          <w:spacing w:val="40"/>
          <w:w w:val="105"/>
          <w:sz w:val="19"/>
        </w:rPr>
        <w:t> </w:t>
      </w:r>
      <w:r>
        <w:rPr>
          <w:w w:val="105"/>
          <w:sz w:val="19"/>
        </w:rPr>
        <w:t>Connections: The</w:t>
      </w:r>
      <w:r>
        <w:rPr>
          <w:spacing w:val="-4"/>
          <w:w w:val="105"/>
          <w:sz w:val="19"/>
        </w:rPr>
        <w:t> </w:t>
      </w:r>
      <w:r>
        <w:rPr>
          <w:w w:val="105"/>
          <w:sz w:val="19"/>
        </w:rPr>
        <w:t>Hampton Roads Chapter of the AIA has become increasingly involved with the program. They sponsor the Hampton portion of the annual VSAIA Prize Design Competition, and participate with lectures and critiques. Students and faculty are also active participants</w:t>
      </w:r>
      <w:r>
        <w:rPr>
          <w:spacing w:val="32"/>
          <w:w w:val="105"/>
          <w:sz w:val="19"/>
        </w:rPr>
        <w:t> </w:t>
      </w:r>
      <w:r>
        <w:rPr>
          <w:w w:val="105"/>
          <w:sz w:val="19"/>
        </w:rPr>
        <w:t>in chapter programs.</w:t>
      </w:r>
      <w:r>
        <w:rPr>
          <w:spacing w:val="33"/>
          <w:w w:val="105"/>
          <w:sz w:val="19"/>
        </w:rPr>
        <w:t> </w:t>
      </w:r>
      <w:r>
        <w:rPr>
          <w:w w:val="105"/>
          <w:sz w:val="19"/>
        </w:rPr>
        <w:t>Studio projects have involved</w:t>
      </w:r>
      <w:r>
        <w:rPr>
          <w:w w:val="105"/>
          <w:sz w:val="19"/>
        </w:rPr>
        <w:t> the</w:t>
      </w:r>
      <w:r>
        <w:rPr>
          <w:spacing w:val="-4"/>
          <w:w w:val="105"/>
          <w:sz w:val="19"/>
        </w:rPr>
        <w:t> </w:t>
      </w:r>
      <w:r>
        <w:rPr>
          <w:w w:val="105"/>
          <w:sz w:val="19"/>
        </w:rPr>
        <w:t>municipalities</w:t>
      </w:r>
      <w:r>
        <w:rPr>
          <w:spacing w:val="-16"/>
          <w:w w:val="105"/>
          <w:sz w:val="19"/>
        </w:rPr>
        <w:t> </w:t>
      </w:r>
      <w:r>
        <w:rPr>
          <w:w w:val="105"/>
          <w:sz w:val="19"/>
        </w:rPr>
        <w:t>of Hampton, Norfolk, Newport News, and</w:t>
      </w:r>
      <w:r>
        <w:rPr>
          <w:spacing w:val="-3"/>
          <w:w w:val="105"/>
          <w:sz w:val="19"/>
        </w:rPr>
        <w:t> </w:t>
      </w:r>
      <w:r>
        <w:rPr>
          <w:w w:val="105"/>
          <w:sz w:val="19"/>
        </w:rPr>
        <w:t>Portsmouth, as welt as Old</w:t>
      </w:r>
      <w:r>
        <w:rPr>
          <w:spacing w:val="40"/>
          <w:w w:val="105"/>
          <w:sz w:val="19"/>
        </w:rPr>
        <w:t> </w:t>
      </w:r>
      <w:r>
        <w:rPr>
          <w:w w:val="105"/>
          <w:sz w:val="19"/>
        </w:rPr>
        <w:t>Dominion University.</w:t>
      </w:r>
    </w:p>
    <w:p>
      <w:pPr>
        <w:pStyle w:val="BodyText"/>
        <w:spacing w:before="3"/>
      </w:pPr>
    </w:p>
    <w:p>
      <w:pPr>
        <w:pStyle w:val="ListParagraph"/>
        <w:numPr>
          <w:ilvl w:val="3"/>
          <w:numId w:val="80"/>
        </w:numPr>
        <w:tabs>
          <w:tab w:pos="3110" w:val="left" w:leader="none"/>
          <w:tab w:pos="3112" w:val="left" w:leader="none"/>
        </w:tabs>
        <w:spacing w:line="254" w:lineRule="auto" w:before="0" w:after="0"/>
        <w:ind w:left="3109" w:right="387" w:hanging="732"/>
        <w:jc w:val="left"/>
        <w:rPr>
          <w:sz w:val="19"/>
        </w:rPr>
      </w:pPr>
      <w:r>
        <w:rPr>
          <w:w w:val="105"/>
          <w:sz w:val="19"/>
        </w:rPr>
        <w:t>Staff Support: The Department is blessed to have administrative staff with</w:t>
      </w:r>
      <w:r>
        <w:rPr>
          <w:spacing w:val="-14"/>
          <w:w w:val="105"/>
          <w:sz w:val="19"/>
        </w:rPr>
        <w:t> </w:t>
      </w:r>
      <w:r>
        <w:rPr>
          <w:w w:val="105"/>
          <w:sz w:val="19"/>
        </w:rPr>
        <w:t>a</w:t>
      </w:r>
      <w:r>
        <w:rPr>
          <w:spacing w:val="-8"/>
          <w:w w:val="105"/>
          <w:sz w:val="19"/>
        </w:rPr>
        <w:t> </w:t>
      </w:r>
      <w:r>
        <w:rPr>
          <w:w w:val="105"/>
          <w:sz w:val="19"/>
        </w:rPr>
        <w:t>strong</w:t>
      </w:r>
      <w:r>
        <w:rPr>
          <w:spacing w:val="-8"/>
          <w:w w:val="105"/>
          <w:sz w:val="19"/>
        </w:rPr>
        <w:t> </w:t>
      </w:r>
      <w:r>
        <w:rPr>
          <w:w w:val="105"/>
          <w:sz w:val="19"/>
        </w:rPr>
        <w:t>commitment</w:t>
      </w:r>
      <w:r>
        <w:rPr>
          <w:spacing w:val="-2"/>
          <w:w w:val="105"/>
          <w:sz w:val="19"/>
        </w:rPr>
        <w:t> </w:t>
      </w:r>
      <w:r>
        <w:rPr>
          <w:w w:val="105"/>
          <w:sz w:val="19"/>
        </w:rPr>
        <w:t>to the</w:t>
      </w:r>
      <w:r>
        <w:rPr>
          <w:spacing w:val="-12"/>
          <w:w w:val="105"/>
          <w:sz w:val="19"/>
        </w:rPr>
        <w:t> </w:t>
      </w:r>
      <w:r>
        <w:rPr>
          <w:w w:val="105"/>
          <w:sz w:val="19"/>
        </w:rPr>
        <w:t>Department</w:t>
      </w:r>
      <w:r>
        <w:rPr>
          <w:spacing w:val="-1"/>
          <w:w w:val="105"/>
          <w:sz w:val="19"/>
        </w:rPr>
        <w:t> </w:t>
      </w:r>
      <w:r>
        <w:rPr>
          <w:w w:val="105"/>
          <w:sz w:val="19"/>
        </w:rPr>
        <w:t>and</w:t>
      </w:r>
      <w:r>
        <w:rPr>
          <w:spacing w:val="-7"/>
          <w:w w:val="105"/>
          <w:sz w:val="19"/>
        </w:rPr>
        <w:t> </w:t>
      </w:r>
      <w:r>
        <w:rPr>
          <w:w w:val="105"/>
          <w:sz w:val="19"/>
        </w:rPr>
        <w:t>its</w:t>
      </w:r>
      <w:r>
        <w:rPr>
          <w:spacing w:val="-14"/>
          <w:w w:val="105"/>
          <w:sz w:val="19"/>
        </w:rPr>
        <w:t> </w:t>
      </w:r>
      <w:r>
        <w:rPr>
          <w:w w:val="105"/>
          <w:sz w:val="19"/>
        </w:rPr>
        <w:t>mission_</w:t>
      </w:r>
      <w:r>
        <w:rPr>
          <w:spacing w:val="16"/>
          <w:w w:val="105"/>
          <w:sz w:val="19"/>
        </w:rPr>
        <w:t> </w:t>
      </w:r>
      <w:r>
        <w:rPr>
          <w:w w:val="105"/>
          <w:sz w:val="19"/>
        </w:rPr>
        <w:t>They</w:t>
      </w:r>
      <w:r>
        <w:rPr>
          <w:spacing w:val="-9"/>
          <w:w w:val="105"/>
          <w:sz w:val="19"/>
        </w:rPr>
        <w:t> </w:t>
      </w:r>
      <w:r>
        <w:rPr>
          <w:w w:val="105"/>
          <w:sz w:val="19"/>
        </w:rPr>
        <w:t>have</w:t>
      </w:r>
    </w:p>
    <w:p>
      <w:pPr>
        <w:pStyle w:val="BodyText"/>
      </w:pPr>
    </w:p>
    <w:p>
      <w:pPr>
        <w:pStyle w:val="BodyText"/>
        <w:spacing w:before="3"/>
        <w:rPr>
          <w:sz w:val="24"/>
        </w:rPr>
      </w:pPr>
      <w:r>
        <w:rPr/>
        <w:pict>
          <v:shape style="position:absolute;margin-left:65.524673pt;margin-top:15.148829pt;width:454.85pt;height:.1pt;mso-position-horizontal-relative:page;mso-position-vertical-relative:paragraph;z-index:-15686144;mso-wrap-distance-left:0;mso-wrap-distance-right:0" id="docshape695" coordorigin="1310,303" coordsize="9097,0" path="m1310,303l10407,303e" filled="false" stroked="true" strokeweight=".481434pt" strokecolor="#000000">
            <v:path arrowok="t"/>
            <v:stroke dashstyle="solid"/>
            <w10:wrap type="topAndBottom"/>
          </v:shape>
        </w:pict>
      </w:r>
    </w:p>
    <w:p>
      <w:pPr>
        <w:spacing w:line="210" w:lineRule="exact" w:before="0"/>
        <w:ind w:left="240" w:right="0" w:firstLine="0"/>
        <w:jc w:val="left"/>
        <w:rPr>
          <w:sz w:val="19"/>
        </w:rPr>
      </w:pPr>
      <w:r>
        <w:rPr>
          <w:spacing w:val="-5"/>
          <w:w w:val="105"/>
          <w:sz w:val="19"/>
        </w:rPr>
        <w:t>34</w:t>
      </w:r>
    </w:p>
    <w:p>
      <w:pPr>
        <w:spacing w:after="0" w:line="210" w:lineRule="exact"/>
        <w:jc w:val="left"/>
        <w:rPr>
          <w:sz w:val="19"/>
        </w:rPr>
        <w:sectPr>
          <w:headerReference w:type="default" r:id="rId425"/>
          <w:footerReference w:type="default" r:id="rId426"/>
          <w:pgSz w:w="12180" w:h="15820"/>
          <w:pgMar w:header="579" w:footer="0" w:top="1240" w:bottom="280" w:left="1120" w:right="1180"/>
        </w:sectPr>
      </w:pPr>
    </w:p>
    <w:p>
      <w:pPr>
        <w:pStyle w:val="BodyText"/>
        <w:rPr>
          <w:sz w:val="19"/>
        </w:rPr>
      </w:pPr>
    </w:p>
    <w:p>
      <w:pPr>
        <w:spacing w:line="256" w:lineRule="auto" w:before="94"/>
        <w:ind w:left="3131" w:right="311" w:firstLine="0"/>
        <w:jc w:val="left"/>
        <w:rPr>
          <w:sz w:val="19"/>
        </w:rPr>
      </w:pPr>
      <w:r>
        <w:rPr>
          <w:w w:val="105"/>
          <w:sz w:val="19"/>
        </w:rPr>
        <w:t>a comprehensive understanding of institutional policies, program and curriculum requirements,</w:t>
      </w:r>
      <w:r>
        <w:rPr>
          <w:spacing w:val="40"/>
          <w:w w:val="105"/>
          <w:sz w:val="19"/>
        </w:rPr>
        <w:t> </w:t>
      </w:r>
      <w:r>
        <w:rPr>
          <w:w w:val="105"/>
          <w:sz w:val="19"/>
        </w:rPr>
        <w:t>student needs and the University's administrative</w:t>
      </w:r>
      <w:r>
        <w:rPr>
          <w:spacing w:val="-10"/>
          <w:w w:val="105"/>
          <w:sz w:val="19"/>
        </w:rPr>
        <w:t> </w:t>
      </w:r>
      <w:r>
        <w:rPr>
          <w:w w:val="105"/>
          <w:sz w:val="19"/>
        </w:rPr>
        <w:t>structure and provide and</w:t>
      </w:r>
      <w:r>
        <w:rPr>
          <w:spacing w:val="-19"/>
          <w:w w:val="105"/>
          <w:sz w:val="19"/>
        </w:rPr>
        <w:t> </w:t>
      </w:r>
      <w:r>
        <w:rPr>
          <w:w w:val="105"/>
          <w:sz w:val="19"/>
        </w:rPr>
        <w:t>invaluable assist</w:t>
      </w:r>
      <w:r>
        <w:rPr>
          <w:spacing w:val="-4"/>
          <w:w w:val="105"/>
          <w:sz w:val="19"/>
        </w:rPr>
        <w:t> </w:t>
      </w:r>
      <w:r>
        <w:rPr>
          <w:w w:val="105"/>
          <w:sz w:val="19"/>
        </w:rPr>
        <w:t>to faculty</w:t>
      </w:r>
      <w:r>
        <w:rPr>
          <w:spacing w:val="-2"/>
          <w:w w:val="105"/>
          <w:sz w:val="19"/>
        </w:rPr>
        <w:t> </w:t>
      </w:r>
      <w:r>
        <w:rPr>
          <w:w w:val="105"/>
          <w:sz w:val="19"/>
        </w:rPr>
        <w:t>and </w:t>
      </w:r>
      <w:r>
        <w:rPr>
          <w:spacing w:val="-2"/>
          <w:w w:val="105"/>
          <w:sz w:val="19"/>
        </w:rPr>
        <w:t>students.</w:t>
      </w:r>
    </w:p>
    <w:p>
      <w:pPr>
        <w:pStyle w:val="BodyText"/>
      </w:pPr>
    </w:p>
    <w:p>
      <w:pPr>
        <w:pStyle w:val="ListParagraph"/>
        <w:numPr>
          <w:ilvl w:val="3"/>
          <w:numId w:val="80"/>
        </w:numPr>
        <w:tabs>
          <w:tab w:pos="3124" w:val="left" w:leader="none"/>
          <w:tab w:pos="3125" w:val="left" w:leader="none"/>
        </w:tabs>
        <w:spacing w:line="256" w:lineRule="auto" w:before="0" w:after="0"/>
        <w:ind w:left="3123" w:right="294" w:hanging="715"/>
        <w:jc w:val="left"/>
        <w:rPr>
          <w:sz w:val="19"/>
        </w:rPr>
      </w:pPr>
      <w:r>
        <w:rPr>
          <w:w w:val="105"/>
          <w:sz w:val="19"/>
        </w:rPr>
        <w:t>Program</w:t>
      </w:r>
      <w:r>
        <w:rPr>
          <w:spacing w:val="31"/>
          <w:w w:val="105"/>
          <w:sz w:val="19"/>
        </w:rPr>
        <w:t> </w:t>
      </w:r>
      <w:r>
        <w:rPr>
          <w:w w:val="105"/>
          <w:sz w:val="19"/>
        </w:rPr>
        <w:t>Diversity: One</w:t>
      </w:r>
      <w:r>
        <w:rPr>
          <w:spacing w:val="26"/>
          <w:w w:val="105"/>
          <w:sz w:val="19"/>
        </w:rPr>
        <w:t> </w:t>
      </w:r>
      <w:r>
        <w:rPr>
          <w:w w:val="105"/>
          <w:sz w:val="19"/>
        </w:rPr>
        <w:t>of</w:t>
      </w:r>
      <w:r>
        <w:rPr>
          <w:spacing w:val="26"/>
          <w:w w:val="105"/>
          <w:sz w:val="19"/>
        </w:rPr>
        <w:t> </w:t>
      </w:r>
      <w:r>
        <w:rPr>
          <w:w w:val="105"/>
          <w:sz w:val="19"/>
        </w:rPr>
        <w:t>the</w:t>
      </w:r>
      <w:r>
        <w:rPr>
          <w:spacing w:val="23"/>
          <w:w w:val="105"/>
          <w:sz w:val="19"/>
        </w:rPr>
        <w:t> </w:t>
      </w:r>
      <w:r>
        <w:rPr>
          <w:w w:val="105"/>
          <w:sz w:val="19"/>
        </w:rPr>
        <w:t>great</w:t>
      </w:r>
      <w:r>
        <w:rPr>
          <w:spacing w:val="25"/>
          <w:w w:val="105"/>
          <w:sz w:val="19"/>
        </w:rPr>
        <w:t> </w:t>
      </w:r>
      <w:r>
        <w:rPr>
          <w:w w:val="105"/>
          <w:sz w:val="19"/>
        </w:rPr>
        <w:t>strengths</w:t>
      </w:r>
      <w:r>
        <w:rPr>
          <w:spacing w:val="40"/>
          <w:w w:val="105"/>
          <w:sz w:val="19"/>
        </w:rPr>
        <w:t> </w:t>
      </w:r>
      <w:r>
        <w:rPr>
          <w:w w:val="105"/>
          <w:sz w:val="19"/>
        </w:rPr>
        <w:t>of</w:t>
      </w:r>
      <w:r>
        <w:rPr>
          <w:spacing w:val="36"/>
          <w:w w:val="105"/>
          <w:sz w:val="19"/>
        </w:rPr>
        <w:t> </w:t>
      </w:r>
      <w:r>
        <w:rPr>
          <w:w w:val="105"/>
          <w:sz w:val="19"/>
        </w:rPr>
        <w:t>our program</w:t>
      </w:r>
      <w:r>
        <w:rPr>
          <w:spacing w:val="21"/>
          <w:w w:val="105"/>
          <w:sz w:val="19"/>
        </w:rPr>
        <w:t> </w:t>
      </w:r>
      <w:r>
        <w:rPr>
          <w:w w:val="105"/>
          <w:sz w:val="19"/>
        </w:rPr>
        <w:t>is</w:t>
      </w:r>
      <w:r>
        <w:rPr>
          <w:spacing w:val="36"/>
          <w:w w:val="105"/>
          <w:sz w:val="19"/>
        </w:rPr>
        <w:t> </w:t>
      </w:r>
      <w:r>
        <w:rPr>
          <w:w w:val="105"/>
          <w:sz w:val="19"/>
        </w:rPr>
        <w:t>the level</w:t>
      </w:r>
      <w:r>
        <w:rPr>
          <w:spacing w:val="-10"/>
          <w:w w:val="105"/>
          <w:sz w:val="19"/>
        </w:rPr>
        <w:t> </w:t>
      </w:r>
      <w:r>
        <w:rPr>
          <w:w w:val="105"/>
          <w:sz w:val="19"/>
        </w:rPr>
        <w:t>of diversity in the student body and</w:t>
      </w:r>
      <w:r>
        <w:rPr>
          <w:spacing w:val="-5"/>
          <w:w w:val="105"/>
          <w:sz w:val="19"/>
        </w:rPr>
        <w:t> </w:t>
      </w:r>
      <w:r>
        <w:rPr>
          <w:w w:val="105"/>
          <w:sz w:val="19"/>
        </w:rPr>
        <w:t>faculty populations. Hampton University is one</w:t>
      </w:r>
      <w:r>
        <w:rPr>
          <w:spacing w:val="-16"/>
          <w:w w:val="105"/>
          <w:sz w:val="19"/>
        </w:rPr>
        <w:t> </w:t>
      </w:r>
      <w:r>
        <w:rPr>
          <w:w w:val="105"/>
          <w:sz w:val="19"/>
        </w:rPr>
        <w:t>of America's</w:t>
      </w:r>
      <w:r>
        <w:rPr>
          <w:spacing w:val="-2"/>
          <w:w w:val="105"/>
          <w:sz w:val="19"/>
        </w:rPr>
        <w:t> </w:t>
      </w:r>
      <w:r>
        <w:rPr>
          <w:w w:val="105"/>
          <w:sz w:val="19"/>
        </w:rPr>
        <w:t>most</w:t>
      </w:r>
      <w:r>
        <w:rPr>
          <w:spacing w:val="-13"/>
          <w:w w:val="105"/>
          <w:sz w:val="19"/>
        </w:rPr>
        <w:t> </w:t>
      </w:r>
      <w:r>
        <w:rPr>
          <w:w w:val="105"/>
          <w:sz w:val="19"/>
        </w:rPr>
        <w:t>prestigious Historically</w:t>
      </w:r>
      <w:r>
        <w:rPr>
          <w:spacing w:val="21"/>
          <w:w w:val="105"/>
          <w:sz w:val="19"/>
        </w:rPr>
        <w:t> </w:t>
      </w:r>
      <w:r>
        <w:rPr>
          <w:w w:val="105"/>
          <w:sz w:val="19"/>
        </w:rPr>
        <w:t>Black</w:t>
      </w:r>
      <w:r>
        <w:rPr>
          <w:spacing w:val="-9"/>
          <w:w w:val="105"/>
          <w:sz w:val="19"/>
        </w:rPr>
        <w:t> </w:t>
      </w:r>
      <w:r>
        <w:rPr>
          <w:w w:val="105"/>
          <w:sz w:val="19"/>
        </w:rPr>
        <w:t>College and</w:t>
      </w:r>
      <w:r>
        <w:rPr>
          <w:spacing w:val="-5"/>
          <w:w w:val="105"/>
          <w:sz w:val="19"/>
        </w:rPr>
        <w:t> </w:t>
      </w:r>
      <w:r>
        <w:rPr>
          <w:w w:val="105"/>
          <w:sz w:val="19"/>
        </w:rPr>
        <w:t>University (HBCU), and we are</w:t>
      </w:r>
      <w:r>
        <w:rPr>
          <w:spacing w:val="-7"/>
          <w:w w:val="105"/>
          <w:sz w:val="19"/>
        </w:rPr>
        <w:t> </w:t>
      </w:r>
      <w:r>
        <w:rPr>
          <w:w w:val="105"/>
          <w:sz w:val="19"/>
        </w:rPr>
        <w:t>proud</w:t>
      </w:r>
      <w:r>
        <w:rPr>
          <w:spacing w:val="-5"/>
          <w:w w:val="105"/>
          <w:sz w:val="19"/>
        </w:rPr>
        <w:t> </w:t>
      </w:r>
      <w:r>
        <w:rPr>
          <w:w w:val="105"/>
          <w:sz w:val="19"/>
        </w:rPr>
        <w:t>of our tradition and</w:t>
      </w:r>
      <w:r>
        <w:rPr>
          <w:spacing w:val="-1"/>
          <w:w w:val="105"/>
          <w:sz w:val="19"/>
        </w:rPr>
        <w:t> </w:t>
      </w:r>
      <w:r>
        <w:rPr>
          <w:w w:val="105"/>
          <w:sz w:val="19"/>
        </w:rPr>
        <w:t>mission of meeting the higher</w:t>
      </w:r>
      <w:r>
        <w:rPr>
          <w:spacing w:val="-1"/>
          <w:w w:val="105"/>
          <w:sz w:val="19"/>
        </w:rPr>
        <w:t> </w:t>
      </w:r>
      <w:r>
        <w:rPr>
          <w:w w:val="105"/>
          <w:sz w:val="19"/>
        </w:rPr>
        <w:t>education needs</w:t>
      </w:r>
      <w:r>
        <w:rPr>
          <w:spacing w:val="-5"/>
          <w:w w:val="105"/>
          <w:sz w:val="19"/>
        </w:rPr>
        <w:t> </w:t>
      </w:r>
      <w:r>
        <w:rPr>
          <w:w w:val="105"/>
          <w:sz w:val="19"/>
        </w:rPr>
        <w:t>of</w:t>
      </w:r>
      <w:r>
        <w:rPr>
          <w:spacing w:val="-4"/>
          <w:w w:val="105"/>
          <w:sz w:val="19"/>
        </w:rPr>
        <w:t> </w:t>
      </w:r>
      <w:r>
        <w:rPr>
          <w:w w:val="105"/>
          <w:sz w:val="19"/>
        </w:rPr>
        <w:t>the</w:t>
      </w:r>
      <w:r>
        <w:rPr>
          <w:spacing w:val="-1"/>
          <w:w w:val="105"/>
          <w:sz w:val="19"/>
        </w:rPr>
        <w:t> </w:t>
      </w:r>
      <w:r>
        <w:rPr>
          <w:w w:val="105"/>
          <w:sz w:val="19"/>
        </w:rPr>
        <w:t>African American community. A substantial part of our responsibility, however, is to help our students learn to navigate in an</w:t>
      </w:r>
      <w:r>
        <w:rPr>
          <w:spacing w:val="-3"/>
          <w:w w:val="105"/>
          <w:sz w:val="19"/>
        </w:rPr>
        <w:t> </w:t>
      </w:r>
      <w:r>
        <w:rPr>
          <w:w w:val="105"/>
          <w:sz w:val="19"/>
        </w:rPr>
        <w:t>ever increasingly diverse world. The degree of diversity in our program population is a testament to our ability to draw from a variety of cultures, races, genders and ethnicities. More importantly, our ability to</w:t>
      </w:r>
      <w:r>
        <w:rPr>
          <w:spacing w:val="-9"/>
          <w:w w:val="105"/>
          <w:sz w:val="19"/>
        </w:rPr>
        <w:t> </w:t>
      </w:r>
      <w:r>
        <w:rPr>
          <w:w w:val="105"/>
          <w:sz w:val="19"/>
        </w:rPr>
        <w:t>retain this</w:t>
      </w:r>
      <w:r>
        <w:rPr>
          <w:spacing w:val="-9"/>
          <w:w w:val="105"/>
          <w:sz w:val="19"/>
        </w:rPr>
        <w:t> </w:t>
      </w:r>
      <w:r>
        <w:rPr>
          <w:w w:val="105"/>
          <w:sz w:val="19"/>
        </w:rPr>
        <w:t>diversity throughout the</w:t>
      </w:r>
      <w:r>
        <w:rPr>
          <w:spacing w:val="-8"/>
          <w:w w:val="105"/>
          <w:sz w:val="19"/>
        </w:rPr>
        <w:t> </w:t>
      </w:r>
      <w:r>
        <w:rPr>
          <w:w w:val="105"/>
          <w:sz w:val="19"/>
        </w:rPr>
        <w:t>matriculation of our students demonstrates our ability to address and meet diverse needs, while producing a highly competent candidate for</w:t>
      </w:r>
      <w:r>
        <w:rPr>
          <w:spacing w:val="-2"/>
          <w:w w:val="105"/>
          <w:sz w:val="19"/>
        </w:rPr>
        <w:t> </w:t>
      </w:r>
      <w:r>
        <w:rPr>
          <w:w w:val="105"/>
          <w:sz w:val="19"/>
        </w:rPr>
        <w:t>practice in the profession of architecture.</w:t>
      </w:r>
    </w:p>
    <w:p>
      <w:pPr>
        <w:pStyle w:val="BodyText"/>
        <w:spacing w:before="10"/>
        <w:rPr>
          <w:sz w:val="29"/>
        </w:rPr>
      </w:pPr>
    </w:p>
    <w:p>
      <w:pPr>
        <w:spacing w:before="94"/>
        <w:ind w:left="1682" w:right="0" w:firstLine="0"/>
        <w:jc w:val="left"/>
        <w:rPr>
          <w:sz w:val="19"/>
        </w:rPr>
      </w:pPr>
      <w:r>
        <w:rPr>
          <w:w w:val="110"/>
          <w:sz w:val="19"/>
          <w:u w:val="thick"/>
        </w:rPr>
        <w:t>1.5.4</w:t>
      </w:r>
      <w:r>
        <w:rPr>
          <w:spacing w:val="-8"/>
          <w:w w:val="110"/>
          <w:sz w:val="19"/>
          <w:u w:val="thick"/>
        </w:rPr>
        <w:t> </w:t>
      </w:r>
      <w:r>
        <w:rPr>
          <w:w w:val="110"/>
          <w:sz w:val="19"/>
          <w:u w:val="thick"/>
        </w:rPr>
        <w:t>Plan</w:t>
      </w:r>
      <w:r>
        <w:rPr>
          <w:spacing w:val="-10"/>
          <w:w w:val="110"/>
          <w:sz w:val="19"/>
          <w:u w:val="thick"/>
        </w:rPr>
        <w:t> </w:t>
      </w:r>
      <w:r>
        <w:rPr>
          <w:w w:val="110"/>
          <w:sz w:val="21"/>
          <w:u w:val="thick"/>
        </w:rPr>
        <w:t>to</w:t>
      </w:r>
      <w:r>
        <w:rPr>
          <w:spacing w:val="8"/>
          <w:w w:val="110"/>
          <w:sz w:val="21"/>
          <w:u w:val="thick"/>
        </w:rPr>
        <w:t> </w:t>
      </w:r>
      <w:r>
        <w:rPr>
          <w:w w:val="110"/>
          <w:sz w:val="19"/>
          <w:u w:val="thick"/>
        </w:rPr>
        <w:t>Address</w:t>
      </w:r>
      <w:r>
        <w:rPr>
          <w:spacing w:val="16"/>
          <w:w w:val="110"/>
          <w:sz w:val="19"/>
          <w:u w:val="thick"/>
        </w:rPr>
        <w:t> </w:t>
      </w:r>
      <w:r>
        <w:rPr>
          <w:spacing w:val="-2"/>
          <w:w w:val="110"/>
          <w:sz w:val="19"/>
          <w:u w:val="thick"/>
        </w:rPr>
        <w:t>Challenges</w:t>
      </w:r>
    </w:p>
    <w:p>
      <w:pPr>
        <w:pStyle w:val="BodyText"/>
        <w:spacing w:before="9"/>
      </w:pPr>
    </w:p>
    <w:p>
      <w:pPr>
        <w:spacing w:before="0"/>
        <w:ind w:left="1679" w:right="0" w:firstLine="0"/>
        <w:jc w:val="left"/>
        <w:rPr>
          <w:sz w:val="19"/>
        </w:rPr>
      </w:pPr>
      <w:r>
        <w:rPr>
          <w:w w:val="105"/>
          <w:sz w:val="19"/>
        </w:rPr>
        <w:t>To</w:t>
      </w:r>
      <w:r>
        <w:rPr>
          <w:spacing w:val="-9"/>
          <w:w w:val="105"/>
          <w:sz w:val="19"/>
        </w:rPr>
        <w:t> </w:t>
      </w:r>
      <w:r>
        <w:rPr>
          <w:w w:val="105"/>
          <w:sz w:val="19"/>
        </w:rPr>
        <w:t>address</w:t>
      </w:r>
      <w:r>
        <w:rPr>
          <w:spacing w:val="3"/>
          <w:w w:val="105"/>
          <w:sz w:val="19"/>
        </w:rPr>
        <w:t> </w:t>
      </w:r>
      <w:r>
        <w:rPr>
          <w:w w:val="105"/>
          <w:sz w:val="19"/>
        </w:rPr>
        <w:t>the</w:t>
      </w:r>
      <w:r>
        <w:rPr>
          <w:spacing w:val="-10"/>
          <w:w w:val="105"/>
          <w:sz w:val="19"/>
        </w:rPr>
        <w:t> </w:t>
      </w:r>
      <w:r>
        <w:rPr>
          <w:w w:val="105"/>
          <w:sz w:val="19"/>
        </w:rPr>
        <w:t>challenges</w:t>
      </w:r>
      <w:r>
        <w:rPr>
          <w:spacing w:val="19"/>
          <w:w w:val="105"/>
          <w:sz w:val="19"/>
        </w:rPr>
        <w:t> </w:t>
      </w:r>
      <w:r>
        <w:rPr>
          <w:w w:val="105"/>
          <w:sz w:val="19"/>
        </w:rPr>
        <w:t>above,</w:t>
      </w:r>
      <w:r>
        <w:rPr>
          <w:spacing w:val="-5"/>
          <w:w w:val="105"/>
          <w:sz w:val="19"/>
        </w:rPr>
        <w:t> </w:t>
      </w:r>
      <w:r>
        <w:rPr>
          <w:w w:val="105"/>
          <w:sz w:val="19"/>
        </w:rPr>
        <w:t>we</w:t>
      </w:r>
      <w:r>
        <w:rPr>
          <w:spacing w:val="3"/>
          <w:w w:val="105"/>
          <w:sz w:val="19"/>
        </w:rPr>
        <w:t> </w:t>
      </w:r>
      <w:r>
        <w:rPr>
          <w:w w:val="105"/>
          <w:sz w:val="19"/>
        </w:rPr>
        <w:t>propose</w:t>
      </w:r>
      <w:r>
        <w:rPr>
          <w:spacing w:val="3"/>
          <w:w w:val="105"/>
          <w:sz w:val="19"/>
        </w:rPr>
        <w:t> </w:t>
      </w:r>
      <w:r>
        <w:rPr>
          <w:w w:val="105"/>
          <w:sz w:val="19"/>
        </w:rPr>
        <w:t>the</w:t>
      </w:r>
      <w:r>
        <w:rPr>
          <w:spacing w:val="-12"/>
          <w:w w:val="105"/>
          <w:sz w:val="19"/>
        </w:rPr>
        <w:t> </w:t>
      </w:r>
      <w:r>
        <w:rPr>
          <w:spacing w:val="-2"/>
          <w:w w:val="105"/>
          <w:sz w:val="19"/>
        </w:rPr>
        <w:t>following:</w:t>
      </w:r>
    </w:p>
    <w:p>
      <w:pPr>
        <w:pStyle w:val="BodyText"/>
        <w:spacing w:before="4"/>
      </w:pPr>
    </w:p>
    <w:p>
      <w:pPr>
        <w:pStyle w:val="ListParagraph"/>
        <w:numPr>
          <w:ilvl w:val="0"/>
          <w:numId w:val="82"/>
        </w:numPr>
        <w:tabs>
          <w:tab w:pos="3123" w:val="left" w:leader="none"/>
          <w:tab w:pos="3124" w:val="left" w:leader="none"/>
        </w:tabs>
        <w:spacing w:line="254" w:lineRule="auto" w:before="1" w:after="0"/>
        <w:ind w:left="3118" w:right="353" w:hanging="732"/>
        <w:jc w:val="left"/>
        <w:rPr>
          <w:sz w:val="19"/>
        </w:rPr>
      </w:pPr>
      <w:r>
        <w:rPr>
          <w:w w:val="105"/>
          <w:sz w:val="19"/>
        </w:rPr>
        <w:t>Facilities: Our gcial is</w:t>
      </w:r>
      <w:r>
        <w:rPr>
          <w:spacing w:val="40"/>
          <w:w w:val="105"/>
          <w:sz w:val="19"/>
        </w:rPr>
        <w:t> </w:t>
      </w:r>
      <w:r>
        <w:rPr>
          <w:w w:val="105"/>
          <w:sz w:val="19"/>
        </w:rPr>
        <w:t>a new building,</w:t>
      </w:r>
      <w:r>
        <w:rPr>
          <w:spacing w:val="30"/>
          <w:w w:val="105"/>
          <w:sz w:val="19"/>
        </w:rPr>
        <w:t> </w:t>
      </w:r>
      <w:r>
        <w:rPr>
          <w:w w:val="105"/>
          <w:sz w:val="19"/>
        </w:rPr>
        <w:t>however,</w:t>
      </w:r>
      <w:r>
        <w:rPr>
          <w:spacing w:val="33"/>
          <w:w w:val="105"/>
          <w:sz w:val="19"/>
        </w:rPr>
        <w:t> </w:t>
      </w:r>
      <w:r>
        <w:rPr>
          <w:w w:val="105"/>
          <w:sz w:val="19"/>
        </w:rPr>
        <w:t>we are working with other facilities on campus to house some classes in more appropriate spaces. Some Architecture courses are being taught in Olin</w:t>
      </w:r>
      <w:r>
        <w:rPr>
          <w:spacing w:val="-6"/>
          <w:w w:val="105"/>
          <w:sz w:val="19"/>
        </w:rPr>
        <w:t> </w:t>
      </w:r>
      <w:r>
        <w:rPr>
          <w:w w:val="105"/>
          <w:sz w:val="19"/>
        </w:rPr>
        <w:t>(the Engineering Building). The Library has</w:t>
      </w:r>
      <w:r>
        <w:rPr>
          <w:spacing w:val="-3"/>
          <w:w w:val="105"/>
          <w:sz w:val="19"/>
        </w:rPr>
        <w:t> </w:t>
      </w:r>
      <w:r>
        <w:rPr>
          <w:w w:val="105"/>
          <w:sz w:val="19"/>
        </w:rPr>
        <w:t>also indicated that</w:t>
      </w:r>
      <w:r>
        <w:rPr>
          <w:spacing w:val="-3"/>
          <w:w w:val="105"/>
          <w:sz w:val="19"/>
        </w:rPr>
        <w:t> </w:t>
      </w:r>
      <w:r>
        <w:rPr>
          <w:w w:val="105"/>
          <w:sz w:val="19"/>
        </w:rPr>
        <w:t>it</w:t>
      </w:r>
      <w:r>
        <w:rPr>
          <w:spacing w:val="-4"/>
          <w:w w:val="105"/>
          <w:sz w:val="19"/>
        </w:rPr>
        <w:t> </w:t>
      </w:r>
      <w:r>
        <w:rPr>
          <w:w w:val="105"/>
          <w:sz w:val="19"/>
        </w:rPr>
        <w:t>could</w:t>
      </w:r>
      <w:r>
        <w:rPr>
          <w:spacing w:val="-6"/>
          <w:w w:val="105"/>
          <w:sz w:val="19"/>
        </w:rPr>
        <w:t> </w:t>
      </w:r>
      <w:r>
        <w:rPr>
          <w:w w:val="105"/>
          <w:sz w:val="19"/>
        </w:rPr>
        <w:t>house some of our</w:t>
      </w:r>
      <w:r>
        <w:rPr>
          <w:spacing w:val="-2"/>
          <w:w w:val="105"/>
          <w:sz w:val="19"/>
        </w:rPr>
        <w:t> </w:t>
      </w:r>
      <w:r>
        <w:rPr>
          <w:w w:val="105"/>
          <w:sz w:val="19"/>
        </w:rPr>
        <w:t>archive</w:t>
      </w:r>
      <w:r>
        <w:rPr>
          <w:spacing w:val="-4"/>
          <w:w w:val="105"/>
          <w:sz w:val="19"/>
        </w:rPr>
        <w:t> </w:t>
      </w:r>
      <w:r>
        <w:rPr>
          <w:w w:val="105"/>
          <w:sz w:val="19"/>
        </w:rPr>
        <w:t>materials, providing</w:t>
      </w:r>
      <w:r>
        <w:rPr>
          <w:spacing w:val="-6"/>
          <w:w w:val="105"/>
          <w:sz w:val="19"/>
        </w:rPr>
        <w:t> </w:t>
      </w:r>
      <w:r>
        <w:rPr>
          <w:w w:val="105"/>
          <w:sz w:val="19"/>
        </w:rPr>
        <w:t>more</w:t>
      </w:r>
      <w:r>
        <w:rPr>
          <w:spacing w:val="-4"/>
          <w:w w:val="105"/>
          <w:sz w:val="19"/>
        </w:rPr>
        <w:t> </w:t>
      </w:r>
      <w:r>
        <w:rPr>
          <w:w w:val="105"/>
          <w:sz w:val="19"/>
        </w:rPr>
        <w:t>room for</w:t>
      </w:r>
      <w:r>
        <w:rPr>
          <w:spacing w:val="-1"/>
          <w:w w:val="105"/>
          <w:sz w:val="19"/>
        </w:rPr>
        <w:t> </w:t>
      </w:r>
      <w:r>
        <w:rPr>
          <w:w w:val="105"/>
          <w:sz w:val="19"/>
        </w:rPr>
        <w:t>offices and</w:t>
      </w:r>
      <w:r>
        <w:rPr>
          <w:spacing w:val="-9"/>
          <w:w w:val="105"/>
          <w:sz w:val="19"/>
        </w:rPr>
        <w:t> </w:t>
      </w:r>
      <w:r>
        <w:rPr>
          <w:w w:val="105"/>
          <w:sz w:val="19"/>
        </w:rPr>
        <w:t>other </w:t>
      </w:r>
      <w:r>
        <w:rPr>
          <w:spacing w:val="-2"/>
          <w:w w:val="105"/>
          <w:sz w:val="19"/>
        </w:rPr>
        <w:t>functions.</w:t>
      </w:r>
    </w:p>
    <w:p>
      <w:pPr>
        <w:pStyle w:val="BodyText"/>
        <w:spacing w:before="11"/>
        <w:rPr>
          <w:sz w:val="18"/>
        </w:rPr>
      </w:pPr>
    </w:p>
    <w:p>
      <w:pPr>
        <w:pStyle w:val="ListParagraph"/>
        <w:numPr>
          <w:ilvl w:val="0"/>
          <w:numId w:val="82"/>
        </w:numPr>
        <w:tabs>
          <w:tab w:pos="3171" w:val="left" w:leader="none"/>
          <w:tab w:pos="3172" w:val="left" w:leader="none"/>
        </w:tabs>
        <w:spacing w:line="254" w:lineRule="auto" w:before="0" w:after="0"/>
        <w:ind w:left="3116" w:right="280" w:hanging="716"/>
        <w:jc w:val="left"/>
        <w:rPr>
          <w:sz w:val="19"/>
        </w:rPr>
      </w:pPr>
      <w:r>
        <w:rPr/>
        <w:tab/>
      </w:r>
      <w:r>
        <w:rPr>
          <w:w w:val="105"/>
          <w:sz w:val="19"/>
        </w:rPr>
        <w:t>Human Resources: We have submitted</w:t>
      </w:r>
      <w:r>
        <w:rPr>
          <w:spacing w:val="26"/>
          <w:w w:val="105"/>
          <w:sz w:val="19"/>
        </w:rPr>
        <w:t> </w:t>
      </w:r>
      <w:r>
        <w:rPr>
          <w:w w:val="105"/>
          <w:sz w:val="19"/>
        </w:rPr>
        <w:t>a plan to the</w:t>
      </w:r>
      <w:r>
        <w:rPr>
          <w:spacing w:val="-5"/>
          <w:w w:val="105"/>
          <w:sz w:val="19"/>
        </w:rPr>
        <w:t> </w:t>
      </w:r>
      <w:r>
        <w:rPr>
          <w:w w:val="105"/>
          <w:sz w:val="19"/>
        </w:rPr>
        <w:t>Dean and Provost to acquire two (2) additional FTE's by the end of this semester. The proposal was received favorably by both, who are now advocating that position with the University</w:t>
      </w:r>
      <w:r>
        <w:rPr>
          <w:spacing w:val="34"/>
          <w:w w:val="105"/>
          <w:sz w:val="19"/>
        </w:rPr>
        <w:t> </w:t>
      </w:r>
      <w:r>
        <w:rPr>
          <w:w w:val="105"/>
          <w:sz w:val="19"/>
        </w:rPr>
        <w:t>President. He</w:t>
      </w:r>
      <w:r>
        <w:rPr>
          <w:spacing w:val="-1"/>
          <w:w w:val="105"/>
          <w:sz w:val="19"/>
        </w:rPr>
        <w:t> </w:t>
      </w:r>
      <w:r>
        <w:rPr>
          <w:w w:val="105"/>
          <w:sz w:val="19"/>
        </w:rPr>
        <w:t>has made initial</w:t>
      </w:r>
      <w:r>
        <w:rPr>
          <w:spacing w:val="-7"/>
          <w:w w:val="105"/>
          <w:sz w:val="19"/>
        </w:rPr>
        <w:t> </w:t>
      </w:r>
      <w:r>
        <w:rPr>
          <w:w w:val="105"/>
          <w:sz w:val="19"/>
        </w:rPr>
        <w:t>inquiries and we are hopeful to have those positions authorized</w:t>
      </w:r>
      <w:r>
        <w:rPr>
          <w:spacing w:val="35"/>
          <w:w w:val="105"/>
          <w:sz w:val="19"/>
        </w:rPr>
        <w:t> </w:t>
      </w:r>
      <w:r>
        <w:rPr>
          <w:w w:val="105"/>
          <w:sz w:val="19"/>
        </w:rPr>
        <w:t>and filled expeditiously. The impact on students must be</w:t>
      </w:r>
      <w:r>
        <w:rPr>
          <w:spacing w:val="-1"/>
          <w:w w:val="105"/>
          <w:sz w:val="19"/>
        </w:rPr>
        <w:t> </w:t>
      </w:r>
      <w:r>
        <w:rPr>
          <w:w w:val="105"/>
          <w:sz w:val="19"/>
        </w:rPr>
        <w:t>mitigated. We</w:t>
      </w:r>
      <w:r>
        <w:rPr>
          <w:spacing w:val="40"/>
          <w:w w:val="105"/>
          <w:sz w:val="19"/>
        </w:rPr>
        <w:t> </w:t>
      </w:r>
      <w:r>
        <w:rPr>
          <w:w w:val="105"/>
          <w:sz w:val="19"/>
        </w:rPr>
        <w:t>have worked</w:t>
      </w:r>
      <w:r>
        <w:rPr>
          <w:spacing w:val="-8"/>
          <w:w w:val="105"/>
          <w:sz w:val="19"/>
        </w:rPr>
        <w:t> </w:t>
      </w:r>
      <w:r>
        <w:rPr>
          <w:w w:val="105"/>
          <w:sz w:val="19"/>
        </w:rPr>
        <w:t>with other departments on campus</w:t>
      </w:r>
      <w:r>
        <w:rPr>
          <w:spacing w:val="-5"/>
          <w:w w:val="105"/>
          <w:sz w:val="19"/>
        </w:rPr>
        <w:t> </w:t>
      </w:r>
      <w:r>
        <w:rPr>
          <w:w w:val="105"/>
          <w:sz w:val="19"/>
        </w:rPr>
        <w:t>to</w:t>
      </w:r>
      <w:r>
        <w:rPr>
          <w:spacing w:val="-2"/>
          <w:w w:val="105"/>
          <w:sz w:val="19"/>
        </w:rPr>
        <w:t> </w:t>
      </w:r>
      <w:r>
        <w:rPr>
          <w:w w:val="105"/>
          <w:sz w:val="19"/>
        </w:rPr>
        <w:t>set</w:t>
      </w:r>
      <w:r>
        <w:rPr>
          <w:spacing w:val="-1"/>
          <w:w w:val="105"/>
          <w:sz w:val="19"/>
        </w:rPr>
        <w:t> </w:t>
      </w:r>
      <w:r>
        <w:rPr>
          <w:w w:val="105"/>
          <w:sz w:val="19"/>
        </w:rPr>
        <w:t>up tutorial</w:t>
      </w:r>
      <w:r>
        <w:rPr>
          <w:spacing w:val="-5"/>
          <w:w w:val="105"/>
          <w:sz w:val="19"/>
        </w:rPr>
        <w:t> </w:t>
      </w:r>
      <w:r>
        <w:rPr>
          <w:w w:val="105"/>
          <w:sz w:val="19"/>
        </w:rPr>
        <w:t>opportunities (specifically in math). We have</w:t>
      </w:r>
      <w:r>
        <w:rPr>
          <w:spacing w:val="-8"/>
          <w:w w:val="105"/>
          <w:sz w:val="19"/>
        </w:rPr>
        <w:t> </w:t>
      </w:r>
      <w:r>
        <w:rPr>
          <w:w w:val="105"/>
          <w:sz w:val="19"/>
        </w:rPr>
        <w:t>also</w:t>
      </w:r>
      <w:r>
        <w:rPr>
          <w:spacing w:val="-10"/>
          <w:w w:val="105"/>
          <w:sz w:val="19"/>
        </w:rPr>
        <w:t> </w:t>
      </w:r>
      <w:r>
        <w:rPr>
          <w:w w:val="105"/>
          <w:sz w:val="19"/>
        </w:rPr>
        <w:t>encouraged formal tutoring sessions among students in the structures labs. This effort is being closely monitored by the Chair so that the effectiveness of those efforts can be reinforced where necessary. Engineering has also offered to assist the Department by having their faculty teach structures courses.</w:t>
      </w:r>
    </w:p>
    <w:p>
      <w:pPr>
        <w:pStyle w:val="BodyText"/>
        <w:spacing w:before="6"/>
        <w:rPr>
          <w:sz w:val="19"/>
        </w:rPr>
      </w:pPr>
    </w:p>
    <w:p>
      <w:pPr>
        <w:pStyle w:val="ListParagraph"/>
        <w:numPr>
          <w:ilvl w:val="0"/>
          <w:numId w:val="82"/>
        </w:numPr>
        <w:tabs>
          <w:tab w:pos="3123" w:val="left" w:leader="none"/>
          <w:tab w:pos="3124" w:val="left" w:leader="none"/>
        </w:tabs>
        <w:spacing w:line="252" w:lineRule="auto" w:before="1" w:after="0"/>
        <w:ind w:left="3122" w:right="258" w:hanging="724"/>
        <w:jc w:val="left"/>
        <w:rPr>
          <w:sz w:val="19"/>
        </w:rPr>
      </w:pPr>
      <w:r>
        <w:rPr>
          <w:w w:val="105"/>
          <w:sz w:val="19"/>
        </w:rPr>
        <w:t>Funding: TheUniversity</w:t>
      </w:r>
      <w:r>
        <w:rPr>
          <w:spacing w:val="40"/>
          <w:w w:val="105"/>
          <w:sz w:val="19"/>
        </w:rPr>
        <w:t> </w:t>
      </w:r>
      <w:r>
        <w:rPr>
          <w:w w:val="105"/>
          <w:sz w:val="19"/>
        </w:rPr>
        <w:t>has made</w:t>
      </w:r>
      <w:r>
        <w:rPr>
          <w:spacing w:val="33"/>
          <w:w w:val="105"/>
          <w:sz w:val="19"/>
        </w:rPr>
        <w:t> </w:t>
      </w:r>
      <w:r>
        <w:rPr>
          <w:w w:val="105"/>
          <w:sz w:val="19"/>
        </w:rPr>
        <w:t>additional</w:t>
      </w:r>
      <w:r>
        <w:rPr>
          <w:spacing w:val="40"/>
          <w:w w:val="105"/>
          <w:sz w:val="19"/>
        </w:rPr>
        <w:t> </w:t>
      </w:r>
      <w:r>
        <w:rPr>
          <w:w w:val="105"/>
          <w:sz w:val="19"/>
        </w:rPr>
        <w:t>funding</w:t>
      </w:r>
      <w:r>
        <w:rPr>
          <w:spacing w:val="38"/>
          <w:w w:val="105"/>
          <w:sz w:val="19"/>
        </w:rPr>
        <w:t> </w:t>
      </w:r>
      <w:r>
        <w:rPr>
          <w:w w:val="105"/>
          <w:sz w:val="19"/>
        </w:rPr>
        <w:t>available</w:t>
      </w:r>
      <w:r>
        <w:rPr>
          <w:spacing w:val="40"/>
          <w:w w:val="105"/>
          <w:sz w:val="19"/>
        </w:rPr>
        <w:t> </w:t>
      </w:r>
      <w:r>
        <w:rPr>
          <w:w w:val="105"/>
          <w:sz w:val="19"/>
        </w:rPr>
        <w:t>to acquire resources to the building and faculty, including new studio furniture, computers for the library and</w:t>
      </w:r>
      <w:r>
        <w:rPr>
          <w:spacing w:val="-6"/>
          <w:w w:val="105"/>
          <w:sz w:val="19"/>
        </w:rPr>
        <w:t> </w:t>
      </w:r>
      <w:r>
        <w:rPr>
          <w:w w:val="105"/>
          <w:sz w:val="19"/>
        </w:rPr>
        <w:t>faculty, and, new </w:t>
      </w:r>
      <w:r>
        <w:rPr>
          <w:i/>
          <w:w w:val="105"/>
          <w:sz w:val="21"/>
        </w:rPr>
        <w:t>AN </w:t>
      </w:r>
      <w:r>
        <w:rPr>
          <w:w w:val="105"/>
          <w:sz w:val="19"/>
        </w:rPr>
        <w:t>equipment for classrooms. This is a direct result of efforts by the</w:t>
      </w:r>
      <w:r>
        <w:rPr>
          <w:spacing w:val="-1"/>
          <w:w w:val="105"/>
          <w:sz w:val="19"/>
        </w:rPr>
        <w:t> </w:t>
      </w:r>
      <w:r>
        <w:rPr>
          <w:w w:val="105"/>
          <w:sz w:val="19"/>
        </w:rPr>
        <w:t>new Chair to demonstrate that</w:t>
      </w:r>
      <w:r>
        <w:rPr>
          <w:spacing w:val="-2"/>
          <w:w w:val="105"/>
          <w:sz w:val="19"/>
        </w:rPr>
        <w:t> </w:t>
      </w:r>
      <w:r>
        <w:rPr>
          <w:w w:val="105"/>
          <w:sz w:val="19"/>
        </w:rPr>
        <w:t>the</w:t>
      </w:r>
      <w:r>
        <w:rPr>
          <w:spacing w:val="-2"/>
          <w:w w:val="105"/>
          <w:sz w:val="19"/>
        </w:rPr>
        <w:t> </w:t>
      </w:r>
      <w:r>
        <w:rPr>
          <w:w w:val="105"/>
          <w:sz w:val="19"/>
        </w:rPr>
        <w:t>Department will</w:t>
      </w:r>
      <w:r>
        <w:rPr>
          <w:spacing w:val="-16"/>
          <w:w w:val="105"/>
          <w:sz w:val="19"/>
        </w:rPr>
        <w:t> </w:t>
      </w:r>
      <w:r>
        <w:rPr>
          <w:w w:val="105"/>
          <w:sz w:val="19"/>
        </w:rPr>
        <w:t>take</w:t>
      </w:r>
      <w:r>
        <w:rPr>
          <w:spacing w:val="-9"/>
          <w:w w:val="105"/>
          <w:sz w:val="19"/>
        </w:rPr>
        <w:t> </w:t>
      </w:r>
      <w:r>
        <w:rPr>
          <w:w w:val="105"/>
          <w:sz w:val="19"/>
        </w:rPr>
        <w:t>seriously its mandate to</w:t>
      </w:r>
      <w:r>
        <w:rPr>
          <w:spacing w:val="-4"/>
          <w:w w:val="105"/>
          <w:sz w:val="19"/>
        </w:rPr>
        <w:t> </w:t>
      </w:r>
      <w:r>
        <w:rPr>
          <w:w w:val="105"/>
          <w:sz w:val="19"/>
        </w:rPr>
        <w:t>obtain outside sources</w:t>
      </w:r>
      <w:r>
        <w:rPr>
          <w:spacing w:val="21"/>
          <w:w w:val="105"/>
          <w:sz w:val="19"/>
        </w:rPr>
        <w:t> </w:t>
      </w:r>
      <w:r>
        <w:rPr>
          <w:w w:val="105"/>
          <w:sz w:val="19"/>
        </w:rPr>
        <w:t>of</w:t>
      </w:r>
      <w:r>
        <w:rPr>
          <w:spacing w:val="21"/>
          <w:w w:val="105"/>
          <w:sz w:val="19"/>
        </w:rPr>
        <w:t> </w:t>
      </w:r>
      <w:r>
        <w:rPr>
          <w:w w:val="105"/>
          <w:sz w:val="19"/>
        </w:rPr>
        <w:t>funding.</w:t>
      </w:r>
      <w:r>
        <w:rPr>
          <w:spacing w:val="17"/>
          <w:w w:val="105"/>
          <w:sz w:val="19"/>
        </w:rPr>
        <w:t> </w:t>
      </w:r>
      <w:r>
        <w:rPr>
          <w:w w:val="105"/>
          <w:sz w:val="19"/>
        </w:rPr>
        <w:t>The</w:t>
      </w:r>
      <w:r>
        <w:rPr>
          <w:spacing w:val="25"/>
          <w:w w:val="105"/>
          <w:sz w:val="19"/>
        </w:rPr>
        <w:t> </w:t>
      </w:r>
      <w:r>
        <w:rPr>
          <w:w w:val="105"/>
          <w:sz w:val="19"/>
        </w:rPr>
        <w:t>faculty has</w:t>
      </w:r>
      <w:r>
        <w:rPr>
          <w:spacing w:val="20"/>
          <w:w w:val="105"/>
          <w:sz w:val="19"/>
        </w:rPr>
        <w:t> </w:t>
      </w:r>
      <w:r>
        <w:rPr>
          <w:w w:val="105"/>
          <w:sz w:val="19"/>
        </w:rPr>
        <w:t>each been tasked with</w:t>
      </w:r>
      <w:r>
        <w:rPr>
          <w:w w:val="105"/>
          <w:sz w:val="19"/>
        </w:rPr>
        <w:t> writing a minimum of one major grant proposal during the school year. One administrative staff member has been charged with managing the grant writing</w:t>
      </w:r>
      <w:r>
        <w:rPr>
          <w:spacing w:val="-1"/>
          <w:w w:val="105"/>
          <w:sz w:val="19"/>
        </w:rPr>
        <w:t> </w:t>
      </w:r>
      <w:r>
        <w:rPr>
          <w:w w:val="105"/>
          <w:sz w:val="19"/>
        </w:rPr>
        <w:t>process,</w:t>
      </w:r>
      <w:r>
        <w:rPr>
          <w:spacing w:val="-2"/>
          <w:w w:val="105"/>
          <w:sz w:val="19"/>
        </w:rPr>
        <w:t> </w:t>
      </w:r>
      <w:r>
        <w:rPr>
          <w:w w:val="105"/>
          <w:sz w:val="19"/>
        </w:rPr>
        <w:t>taking classes</w:t>
      </w:r>
      <w:r>
        <w:rPr>
          <w:spacing w:val="-8"/>
          <w:w w:val="105"/>
          <w:sz w:val="19"/>
        </w:rPr>
        <w:t> </w:t>
      </w:r>
      <w:r>
        <w:rPr>
          <w:w w:val="105"/>
          <w:sz w:val="19"/>
        </w:rPr>
        <w:t>and</w:t>
      </w:r>
      <w:r>
        <w:rPr>
          <w:spacing w:val="-4"/>
          <w:w w:val="105"/>
          <w:sz w:val="19"/>
        </w:rPr>
        <w:t> </w:t>
      </w:r>
      <w:r>
        <w:rPr>
          <w:w w:val="105"/>
          <w:sz w:val="19"/>
        </w:rPr>
        <w:t>becoming proficient in assisting faculty in their grant writing efforts. We</w:t>
      </w:r>
      <w:r>
        <w:rPr>
          <w:spacing w:val="-6"/>
          <w:w w:val="105"/>
          <w:sz w:val="19"/>
        </w:rPr>
        <w:t> </w:t>
      </w:r>
      <w:r>
        <w:rPr>
          <w:w w:val="105"/>
          <w:sz w:val="19"/>
        </w:rPr>
        <w:t>are also preparing creative methods of reaching our alumni to encourage restricted gifts to the</w:t>
      </w:r>
    </w:p>
    <w:p>
      <w:pPr>
        <w:pStyle w:val="BodyText"/>
      </w:pPr>
    </w:p>
    <w:p>
      <w:pPr>
        <w:pStyle w:val="BodyText"/>
        <w:spacing w:before="9"/>
        <w:rPr>
          <w:sz w:val="18"/>
        </w:rPr>
      </w:pPr>
      <w:r>
        <w:rPr/>
        <w:pict>
          <v:shape style="position:absolute;margin-left:65.524673pt;margin-top:12.047421pt;width:456.75pt;height:.1pt;mso-position-horizontal-relative:page;mso-position-vertical-relative:paragraph;z-index:-15684608;mso-wrap-distance-left:0;mso-wrap-distance-right:0" id="docshape697" coordorigin="1310,241" coordsize="9135,0" path="m1310,241l10445,241e" filled="false" stroked="true" strokeweight=".481434pt" strokecolor="#000000">
            <v:path arrowok="t"/>
            <v:stroke dashstyle="solid"/>
            <w10:wrap type="topAndBottom"/>
          </v:shape>
        </w:pict>
      </w:r>
    </w:p>
    <w:p>
      <w:pPr>
        <w:spacing w:before="19"/>
        <w:ind w:left="0" w:right="229" w:firstLine="0"/>
        <w:jc w:val="right"/>
        <w:rPr>
          <w:sz w:val="19"/>
        </w:rPr>
      </w:pPr>
      <w:r>
        <w:rPr>
          <w:spacing w:val="-5"/>
          <w:w w:val="105"/>
          <w:sz w:val="19"/>
        </w:rPr>
        <w:t>35</w:t>
      </w:r>
    </w:p>
    <w:p>
      <w:pPr>
        <w:spacing w:after="0"/>
        <w:jc w:val="right"/>
        <w:rPr>
          <w:sz w:val="19"/>
        </w:rPr>
        <w:sectPr>
          <w:headerReference w:type="default" r:id="rId427"/>
          <w:footerReference w:type="default" r:id="rId428"/>
          <w:pgSz w:w="12180" w:h="15820"/>
          <w:pgMar w:header="694" w:footer="0" w:top="1380" w:bottom="280" w:left="1120" w:right="1180"/>
        </w:sectPr>
      </w:pPr>
    </w:p>
    <w:p>
      <w:pPr>
        <w:pStyle w:val="BodyText"/>
        <w:spacing w:before="9"/>
        <w:rPr>
          <w:sz w:val="17"/>
        </w:rPr>
      </w:pPr>
    </w:p>
    <w:p>
      <w:pPr>
        <w:pStyle w:val="BodyText"/>
        <w:spacing w:line="252" w:lineRule="auto" w:before="94"/>
        <w:ind w:left="3113" w:right="475" w:firstLine="2"/>
      </w:pPr>
      <w:r>
        <w:rPr/>
        <w:t>program</w:t>
      </w:r>
      <w:r>
        <w:rPr>
          <w:spacing w:val="-6"/>
        </w:rPr>
        <w:t> </w:t>
      </w:r>
      <w:r>
        <w:rPr/>
        <w:t>to</w:t>
      </w:r>
      <w:r>
        <w:rPr>
          <w:spacing w:val="-14"/>
        </w:rPr>
        <w:t> </w:t>
      </w:r>
      <w:r>
        <w:rPr/>
        <w:t>assist</w:t>
      </w:r>
      <w:r>
        <w:rPr>
          <w:spacing w:val="-14"/>
        </w:rPr>
        <w:t> </w:t>
      </w:r>
      <w:r>
        <w:rPr/>
        <w:t>in</w:t>
      </w:r>
      <w:r>
        <w:rPr>
          <w:spacing w:val="-11"/>
        </w:rPr>
        <w:t> </w:t>
      </w:r>
      <w:r>
        <w:rPr/>
        <w:t>student</w:t>
      </w:r>
      <w:r>
        <w:rPr>
          <w:spacing w:val="-6"/>
        </w:rPr>
        <w:t> </w:t>
      </w:r>
      <w:r>
        <w:rPr/>
        <w:t>and</w:t>
      </w:r>
      <w:r>
        <w:rPr>
          <w:spacing w:val="-3"/>
        </w:rPr>
        <w:t> </w:t>
      </w:r>
      <w:r>
        <w:rPr/>
        <w:t>faculty travel,</w:t>
      </w:r>
      <w:r>
        <w:rPr>
          <w:spacing w:val="-5"/>
        </w:rPr>
        <w:t> </w:t>
      </w:r>
      <w:r>
        <w:rPr/>
        <w:t>operations and </w:t>
      </w:r>
      <w:r>
        <w:rPr>
          <w:spacing w:val="-2"/>
        </w:rPr>
        <w:t>scholarships.</w:t>
      </w:r>
    </w:p>
    <w:p>
      <w:pPr>
        <w:pStyle w:val="ListParagraph"/>
        <w:numPr>
          <w:ilvl w:val="0"/>
          <w:numId w:val="82"/>
        </w:numPr>
        <w:tabs>
          <w:tab w:pos="3119" w:val="left" w:leader="none"/>
          <w:tab w:pos="3120" w:val="left" w:leader="none"/>
        </w:tabs>
        <w:spacing w:line="244" w:lineRule="auto" w:before="191" w:after="0"/>
        <w:ind w:left="3113" w:right="400" w:hanging="721"/>
        <w:jc w:val="left"/>
        <w:rPr>
          <w:b/>
          <w:sz w:val="21"/>
        </w:rPr>
      </w:pPr>
      <w:r>
        <w:rPr>
          <w:b/>
          <w:sz w:val="21"/>
        </w:rPr>
        <w:t>Visibility:</w:t>
      </w:r>
      <w:r>
        <w:rPr>
          <w:b/>
          <w:spacing w:val="-12"/>
          <w:sz w:val="21"/>
        </w:rPr>
        <w:t> </w:t>
      </w:r>
      <w:r>
        <w:rPr>
          <w:sz w:val="20"/>
        </w:rPr>
        <w:t>We</w:t>
      </w:r>
      <w:r>
        <w:rPr>
          <w:spacing w:val="-7"/>
          <w:sz w:val="20"/>
        </w:rPr>
        <w:t> </w:t>
      </w:r>
      <w:r>
        <w:rPr>
          <w:sz w:val="20"/>
        </w:rPr>
        <w:t>are</w:t>
      </w:r>
      <w:r>
        <w:rPr>
          <w:spacing w:val="-8"/>
          <w:sz w:val="20"/>
        </w:rPr>
        <w:t> </w:t>
      </w:r>
      <w:r>
        <w:rPr>
          <w:sz w:val="20"/>
        </w:rPr>
        <w:t>working with</w:t>
      </w:r>
      <w:r>
        <w:rPr>
          <w:spacing w:val="-5"/>
          <w:sz w:val="20"/>
        </w:rPr>
        <w:t> </w:t>
      </w:r>
      <w:r>
        <w:rPr>
          <w:sz w:val="20"/>
        </w:rPr>
        <w:t>the</w:t>
      </w:r>
      <w:r>
        <w:rPr>
          <w:spacing w:val="-6"/>
          <w:sz w:val="20"/>
        </w:rPr>
        <w:t> </w:t>
      </w:r>
      <w:r>
        <w:rPr>
          <w:sz w:val="20"/>
        </w:rPr>
        <w:t>Dean</w:t>
      </w:r>
      <w:r>
        <w:rPr>
          <w:spacing w:val="-5"/>
          <w:sz w:val="20"/>
        </w:rPr>
        <w:t> </w:t>
      </w:r>
      <w:r>
        <w:rPr>
          <w:sz w:val="20"/>
        </w:rPr>
        <w:t>to</w:t>
      </w:r>
      <w:r>
        <w:rPr>
          <w:spacing w:val="-14"/>
          <w:sz w:val="20"/>
        </w:rPr>
        <w:t> </w:t>
      </w:r>
      <w:r>
        <w:rPr>
          <w:sz w:val="20"/>
        </w:rPr>
        <w:t>make</w:t>
      </w:r>
      <w:r>
        <w:rPr>
          <w:spacing w:val="-13"/>
          <w:sz w:val="20"/>
        </w:rPr>
        <w:t> </w:t>
      </w:r>
      <w:r>
        <w:rPr>
          <w:sz w:val="20"/>
        </w:rPr>
        <w:t>a</w:t>
      </w:r>
      <w:r>
        <w:rPr>
          <w:spacing w:val="-5"/>
          <w:sz w:val="20"/>
        </w:rPr>
        <w:t> </w:t>
      </w:r>
      <w:r>
        <w:rPr>
          <w:sz w:val="20"/>
        </w:rPr>
        <w:t>change</w:t>
      </w:r>
      <w:r>
        <w:rPr>
          <w:spacing w:val="-4"/>
          <w:sz w:val="20"/>
        </w:rPr>
        <w:t> </w:t>
      </w:r>
      <w:r>
        <w:rPr>
          <w:sz w:val="20"/>
        </w:rPr>
        <w:t>in</w:t>
      </w:r>
      <w:r>
        <w:rPr>
          <w:spacing w:val="-12"/>
          <w:sz w:val="20"/>
        </w:rPr>
        <w:t> </w:t>
      </w:r>
      <w:r>
        <w:rPr>
          <w:sz w:val="20"/>
        </w:rPr>
        <w:t>the</w:t>
      </w:r>
      <w:r>
        <w:rPr>
          <w:spacing w:val="-1"/>
          <w:sz w:val="20"/>
        </w:rPr>
        <w:t> </w:t>
      </w:r>
      <w:r>
        <w:rPr>
          <w:sz w:val="20"/>
        </w:rPr>
        <w:t>name of the School to</w:t>
      </w:r>
      <w:r>
        <w:rPr>
          <w:spacing w:val="-2"/>
          <w:sz w:val="20"/>
        </w:rPr>
        <w:t> </w:t>
      </w:r>
      <w:r>
        <w:rPr>
          <w:sz w:val="20"/>
        </w:rPr>
        <w:t>incorporate 'architecture' into the name. He</w:t>
      </w:r>
      <w:r>
        <w:rPr>
          <w:spacing w:val="-2"/>
          <w:sz w:val="20"/>
        </w:rPr>
        <w:t> </w:t>
      </w:r>
      <w:r>
        <w:rPr>
          <w:sz w:val="20"/>
        </w:rPr>
        <w:t>has been very supportive of our mission and</w:t>
      </w:r>
      <w:r>
        <w:rPr>
          <w:spacing w:val="-1"/>
          <w:sz w:val="20"/>
        </w:rPr>
        <w:t> </w:t>
      </w:r>
      <w:r>
        <w:rPr>
          <w:sz w:val="20"/>
        </w:rPr>
        <w:t>understands its</w:t>
      </w:r>
      <w:r>
        <w:rPr>
          <w:spacing w:val="-6"/>
          <w:sz w:val="20"/>
        </w:rPr>
        <w:t> </w:t>
      </w:r>
      <w:r>
        <w:rPr>
          <w:sz w:val="20"/>
        </w:rPr>
        <w:t>importance.</w:t>
      </w:r>
    </w:p>
    <w:p>
      <w:pPr>
        <w:spacing w:after="0" w:line="244" w:lineRule="auto"/>
        <w:jc w:val="left"/>
        <w:rPr>
          <w:sz w:val="21"/>
        </w:rPr>
        <w:sectPr>
          <w:headerReference w:type="default" r:id="rId429"/>
          <w:footerReference w:type="default" r:id="rId430"/>
          <w:pgSz w:w="12180" w:h="15820"/>
          <w:pgMar w:header="608" w:footer="845" w:top="1300" w:bottom="1040" w:left="1120" w:right="1180"/>
        </w:sectPr>
      </w:pPr>
    </w:p>
    <w:p>
      <w:pPr>
        <w:pStyle w:val="BodyText"/>
        <w:spacing w:before="1"/>
        <w:rPr>
          <w:sz w:val="18"/>
        </w:rPr>
      </w:pPr>
    </w:p>
    <w:p>
      <w:pPr>
        <w:tabs>
          <w:tab w:pos="1679" w:val="left" w:leader="none"/>
        </w:tabs>
        <w:spacing w:before="95"/>
        <w:ind w:left="248" w:right="0" w:firstLine="0"/>
        <w:jc w:val="left"/>
        <w:rPr>
          <w:sz w:val="19"/>
        </w:rPr>
      </w:pPr>
      <w:r>
        <w:rPr>
          <w:w w:val="110"/>
          <w:sz w:val="19"/>
        </w:rPr>
        <w:t>Appendix</w:t>
      </w:r>
      <w:r>
        <w:rPr>
          <w:spacing w:val="17"/>
          <w:w w:val="115"/>
          <w:sz w:val="19"/>
        </w:rPr>
        <w:t> </w:t>
      </w:r>
      <w:r>
        <w:rPr>
          <w:spacing w:val="-5"/>
          <w:w w:val="115"/>
          <w:sz w:val="19"/>
        </w:rPr>
        <w:t>B:</w:t>
      </w:r>
      <w:r>
        <w:rPr>
          <w:sz w:val="19"/>
        </w:rPr>
        <w:tab/>
      </w:r>
      <w:r>
        <w:rPr>
          <w:w w:val="115"/>
          <w:sz w:val="19"/>
        </w:rPr>
        <w:t>The</w:t>
      </w:r>
      <w:r>
        <w:rPr>
          <w:spacing w:val="-24"/>
          <w:w w:val="115"/>
          <w:sz w:val="19"/>
        </w:rPr>
        <w:t> </w:t>
      </w:r>
      <w:r>
        <w:rPr>
          <w:w w:val="115"/>
          <w:sz w:val="19"/>
        </w:rPr>
        <w:t>Visiting</w:t>
      </w:r>
      <w:r>
        <w:rPr>
          <w:spacing w:val="-12"/>
          <w:w w:val="115"/>
          <w:sz w:val="19"/>
        </w:rPr>
        <w:t> </w:t>
      </w:r>
      <w:r>
        <w:rPr>
          <w:spacing w:val="-4"/>
          <w:w w:val="115"/>
          <w:sz w:val="19"/>
        </w:rPr>
        <w:t>Team</w:t>
      </w:r>
    </w:p>
    <w:p>
      <w:pPr>
        <w:pStyle w:val="BodyText"/>
      </w:pPr>
    </w:p>
    <w:p>
      <w:pPr>
        <w:pStyle w:val="BodyText"/>
        <w:spacing w:before="3"/>
        <w:rPr>
          <w:sz w:val="21"/>
        </w:rPr>
      </w:pPr>
    </w:p>
    <w:p>
      <w:pPr>
        <w:spacing w:line="254" w:lineRule="auto" w:before="0"/>
        <w:ind w:left="956" w:right="4771" w:firstLine="9"/>
        <w:jc w:val="left"/>
        <w:rPr>
          <w:sz w:val="19"/>
        </w:rPr>
      </w:pPr>
      <w:r>
        <w:rPr>
          <w:w w:val="105"/>
          <w:sz w:val="19"/>
        </w:rPr>
        <w:t>Team</w:t>
      </w:r>
      <w:r>
        <w:rPr>
          <w:spacing w:val="-14"/>
          <w:w w:val="105"/>
          <w:sz w:val="19"/>
        </w:rPr>
        <w:t> </w:t>
      </w:r>
      <w:r>
        <w:rPr>
          <w:w w:val="105"/>
          <w:sz w:val="19"/>
        </w:rPr>
        <w:t>Chair,</w:t>
      </w:r>
      <w:r>
        <w:rPr>
          <w:spacing w:val="-14"/>
          <w:w w:val="105"/>
          <w:sz w:val="19"/>
        </w:rPr>
        <w:t> </w:t>
      </w:r>
      <w:r>
        <w:rPr>
          <w:w w:val="105"/>
          <w:sz w:val="19"/>
        </w:rPr>
        <w:t>Representing</w:t>
      </w:r>
      <w:r>
        <w:rPr>
          <w:spacing w:val="3"/>
          <w:w w:val="105"/>
          <w:sz w:val="19"/>
        </w:rPr>
        <w:t> </w:t>
      </w:r>
      <w:r>
        <w:rPr>
          <w:w w:val="105"/>
          <w:sz w:val="19"/>
        </w:rPr>
        <w:t>the</w:t>
      </w:r>
      <w:r>
        <w:rPr>
          <w:spacing w:val="-14"/>
          <w:w w:val="105"/>
          <w:sz w:val="19"/>
        </w:rPr>
        <w:t> </w:t>
      </w:r>
      <w:r>
        <w:rPr>
          <w:w w:val="105"/>
          <w:sz w:val="19"/>
        </w:rPr>
        <w:t>NCARB Marzette</w:t>
      </w:r>
      <w:r>
        <w:rPr>
          <w:spacing w:val="-1"/>
          <w:w w:val="105"/>
          <w:sz w:val="19"/>
        </w:rPr>
        <w:t> </w:t>
      </w:r>
      <w:r>
        <w:rPr>
          <w:w w:val="105"/>
          <w:sz w:val="19"/>
        </w:rPr>
        <w:t>Fisher</w:t>
      </w:r>
    </w:p>
    <w:p>
      <w:pPr>
        <w:spacing w:line="264" w:lineRule="auto" w:before="0"/>
        <w:ind w:left="956" w:right="6746" w:firstLine="5"/>
        <w:jc w:val="left"/>
        <w:rPr>
          <w:sz w:val="19"/>
        </w:rPr>
      </w:pPr>
      <w:r>
        <w:rPr>
          <w:w w:val="105"/>
          <w:sz w:val="19"/>
        </w:rPr>
        <w:t>ArchitectureWorks,</w:t>
      </w:r>
      <w:r>
        <w:rPr>
          <w:spacing w:val="-14"/>
          <w:w w:val="105"/>
          <w:sz w:val="19"/>
        </w:rPr>
        <w:t> </w:t>
      </w:r>
      <w:r>
        <w:rPr>
          <w:w w:val="105"/>
          <w:sz w:val="19"/>
        </w:rPr>
        <w:t>LLC PO Box 130991</w:t>
      </w:r>
    </w:p>
    <w:p>
      <w:pPr>
        <w:spacing w:line="207" w:lineRule="exact" w:before="0"/>
        <w:ind w:left="957" w:right="0" w:firstLine="0"/>
        <w:jc w:val="left"/>
        <w:rPr>
          <w:sz w:val="19"/>
        </w:rPr>
      </w:pPr>
      <w:r>
        <w:rPr>
          <w:w w:val="105"/>
          <w:sz w:val="19"/>
        </w:rPr>
        <w:t>Birmingham,</w:t>
      </w:r>
      <w:r>
        <w:rPr>
          <w:spacing w:val="-11"/>
          <w:w w:val="105"/>
          <w:sz w:val="19"/>
        </w:rPr>
        <w:t> </w:t>
      </w:r>
      <w:r>
        <w:rPr>
          <w:w w:val="105"/>
          <w:sz w:val="19"/>
        </w:rPr>
        <w:t>AL</w:t>
      </w:r>
      <w:r>
        <w:rPr>
          <w:spacing w:val="-14"/>
          <w:w w:val="105"/>
          <w:sz w:val="19"/>
        </w:rPr>
        <w:t> </w:t>
      </w:r>
      <w:r>
        <w:rPr>
          <w:w w:val="105"/>
          <w:sz w:val="19"/>
        </w:rPr>
        <w:t>35213-</w:t>
      </w:r>
      <w:r>
        <w:rPr>
          <w:spacing w:val="-4"/>
          <w:w w:val="105"/>
          <w:sz w:val="19"/>
        </w:rPr>
        <w:t>0991</w:t>
      </w:r>
    </w:p>
    <w:p>
      <w:pPr>
        <w:spacing w:line="238" w:lineRule="exact" w:before="0"/>
        <w:ind w:left="959" w:right="0" w:firstLine="0"/>
        <w:jc w:val="left"/>
        <w:rPr>
          <w:b/>
          <w:sz w:val="21"/>
        </w:rPr>
      </w:pPr>
      <w:r>
        <w:rPr>
          <w:sz w:val="19"/>
        </w:rPr>
        <w:t>(205)</w:t>
      </w:r>
      <w:r>
        <w:rPr>
          <w:spacing w:val="-12"/>
          <w:sz w:val="19"/>
        </w:rPr>
        <w:t> </w:t>
      </w:r>
      <w:r>
        <w:rPr>
          <w:b/>
          <w:sz w:val="21"/>
        </w:rPr>
        <w:t>515-</w:t>
      </w:r>
      <w:r>
        <w:rPr>
          <w:b/>
          <w:spacing w:val="-4"/>
          <w:sz w:val="21"/>
        </w:rPr>
        <w:t>4882</w:t>
      </w:r>
    </w:p>
    <w:p>
      <w:pPr>
        <w:spacing w:before="8"/>
        <w:ind w:left="958" w:right="0" w:firstLine="0"/>
        <w:jc w:val="left"/>
        <w:rPr>
          <w:sz w:val="19"/>
        </w:rPr>
      </w:pPr>
      <w:hyperlink r:id="rId433">
        <w:r>
          <w:rPr>
            <w:spacing w:val="-2"/>
            <w:w w:val="105"/>
            <w:sz w:val="19"/>
          </w:rPr>
          <w:t>marzettefisher@gmail.com</w:t>
        </w:r>
      </w:hyperlink>
    </w:p>
    <w:p>
      <w:pPr>
        <w:pStyle w:val="BodyText"/>
        <w:spacing w:before="2"/>
        <w:rPr>
          <w:sz w:val="21"/>
        </w:rPr>
      </w:pPr>
    </w:p>
    <w:p>
      <w:pPr>
        <w:spacing w:before="0"/>
        <w:ind w:left="955" w:right="0" w:firstLine="0"/>
        <w:jc w:val="left"/>
        <w:rPr>
          <w:sz w:val="19"/>
        </w:rPr>
      </w:pPr>
      <w:r>
        <w:rPr>
          <w:spacing w:val="-2"/>
          <w:w w:val="105"/>
          <w:sz w:val="19"/>
        </w:rPr>
        <w:t>Representing</w:t>
      </w:r>
      <w:r>
        <w:rPr>
          <w:spacing w:val="12"/>
          <w:w w:val="105"/>
          <w:sz w:val="19"/>
        </w:rPr>
        <w:t> </w:t>
      </w:r>
      <w:r>
        <w:rPr>
          <w:spacing w:val="-2"/>
          <w:w w:val="105"/>
          <w:sz w:val="19"/>
        </w:rPr>
        <w:t>the</w:t>
      </w:r>
      <w:r>
        <w:rPr>
          <w:spacing w:val="-9"/>
          <w:w w:val="105"/>
          <w:sz w:val="19"/>
        </w:rPr>
        <w:t> </w:t>
      </w:r>
      <w:r>
        <w:rPr>
          <w:spacing w:val="-4"/>
          <w:w w:val="105"/>
          <w:sz w:val="19"/>
        </w:rPr>
        <w:t>ACSA</w:t>
      </w:r>
    </w:p>
    <w:p>
      <w:pPr>
        <w:spacing w:line="254" w:lineRule="auto" w:before="12"/>
        <w:ind w:left="956" w:right="5983" w:hanging="1"/>
        <w:jc w:val="left"/>
        <w:rPr>
          <w:sz w:val="19"/>
        </w:rPr>
      </w:pPr>
      <w:r>
        <w:rPr>
          <w:w w:val="105"/>
          <w:sz w:val="19"/>
        </w:rPr>
        <w:t>Judith</w:t>
      </w:r>
      <w:r>
        <w:rPr>
          <w:spacing w:val="-14"/>
          <w:w w:val="105"/>
          <w:sz w:val="19"/>
        </w:rPr>
        <w:t> </w:t>
      </w:r>
      <w:r>
        <w:rPr>
          <w:w w:val="105"/>
          <w:sz w:val="19"/>
        </w:rPr>
        <w:t>Bing,</w:t>
      </w:r>
      <w:r>
        <w:rPr>
          <w:spacing w:val="-14"/>
          <w:w w:val="105"/>
          <w:sz w:val="19"/>
        </w:rPr>
        <w:t> </w:t>
      </w:r>
      <w:r>
        <w:rPr>
          <w:w w:val="105"/>
          <w:sz w:val="19"/>
        </w:rPr>
        <w:t>Associate</w:t>
      </w:r>
      <w:r>
        <w:rPr>
          <w:spacing w:val="-13"/>
          <w:w w:val="105"/>
          <w:sz w:val="19"/>
        </w:rPr>
        <w:t> </w:t>
      </w:r>
      <w:r>
        <w:rPr>
          <w:w w:val="105"/>
          <w:sz w:val="19"/>
        </w:rPr>
        <w:t>Professor Department of Architecture Drexel</w:t>
      </w:r>
      <w:r>
        <w:rPr>
          <w:spacing w:val="-18"/>
          <w:w w:val="105"/>
          <w:sz w:val="19"/>
        </w:rPr>
        <w:t> </w:t>
      </w:r>
      <w:r>
        <w:rPr>
          <w:w w:val="105"/>
          <w:sz w:val="19"/>
        </w:rPr>
        <w:t>University</w:t>
      </w:r>
    </w:p>
    <w:p>
      <w:pPr>
        <w:spacing w:line="223" w:lineRule="exact" w:before="0"/>
        <w:ind w:left="956" w:right="0" w:firstLine="0"/>
        <w:jc w:val="left"/>
        <w:rPr>
          <w:sz w:val="19"/>
        </w:rPr>
      </w:pPr>
      <w:r>
        <w:rPr>
          <w:sz w:val="19"/>
        </w:rPr>
        <w:t>Philadelphia,</w:t>
      </w:r>
      <w:r>
        <w:rPr>
          <w:spacing w:val="-2"/>
          <w:sz w:val="19"/>
        </w:rPr>
        <w:t> </w:t>
      </w:r>
      <w:r>
        <w:rPr>
          <w:b/>
          <w:sz w:val="22"/>
        </w:rPr>
        <w:t>PA</w:t>
      </w:r>
      <w:r>
        <w:rPr>
          <w:b/>
          <w:spacing w:val="-16"/>
          <w:sz w:val="22"/>
        </w:rPr>
        <w:t> </w:t>
      </w:r>
      <w:r>
        <w:rPr>
          <w:spacing w:val="-2"/>
          <w:sz w:val="19"/>
        </w:rPr>
        <w:t>19104</w:t>
      </w:r>
    </w:p>
    <w:p>
      <w:pPr>
        <w:spacing w:line="211" w:lineRule="exact" w:before="16"/>
        <w:ind w:left="949" w:right="0" w:firstLine="0"/>
        <w:jc w:val="left"/>
        <w:rPr>
          <w:sz w:val="19"/>
        </w:rPr>
      </w:pPr>
      <w:r>
        <w:rPr>
          <w:w w:val="105"/>
          <w:sz w:val="19"/>
        </w:rPr>
        <w:t>(215)</w:t>
      </w:r>
      <w:r>
        <w:rPr>
          <w:spacing w:val="-14"/>
          <w:w w:val="105"/>
          <w:sz w:val="19"/>
        </w:rPr>
        <w:t> </w:t>
      </w:r>
      <w:r>
        <w:rPr>
          <w:w w:val="105"/>
          <w:sz w:val="19"/>
        </w:rPr>
        <w:t>895-</w:t>
      </w:r>
      <w:r>
        <w:rPr>
          <w:spacing w:val="-4"/>
          <w:w w:val="105"/>
          <w:sz w:val="19"/>
        </w:rPr>
        <w:t>4922</w:t>
      </w:r>
    </w:p>
    <w:p>
      <w:pPr>
        <w:spacing w:line="245" w:lineRule="exact" w:before="0"/>
        <w:ind w:left="949" w:right="0" w:firstLine="0"/>
        <w:jc w:val="left"/>
        <w:rPr>
          <w:sz w:val="22"/>
        </w:rPr>
      </w:pPr>
      <w:r>
        <w:rPr>
          <w:w w:val="105"/>
          <w:sz w:val="19"/>
        </w:rPr>
        <w:t>(215)</w:t>
      </w:r>
      <w:r>
        <w:rPr>
          <w:spacing w:val="-11"/>
          <w:w w:val="105"/>
          <w:sz w:val="19"/>
        </w:rPr>
        <w:t> </w:t>
      </w:r>
      <w:r>
        <w:rPr>
          <w:w w:val="105"/>
          <w:sz w:val="19"/>
        </w:rPr>
        <w:t>895-4921</w:t>
      </w:r>
      <w:r>
        <w:rPr>
          <w:spacing w:val="-8"/>
          <w:w w:val="105"/>
          <w:sz w:val="19"/>
        </w:rPr>
        <w:t> </w:t>
      </w:r>
      <w:r>
        <w:rPr>
          <w:spacing w:val="-5"/>
          <w:w w:val="105"/>
          <w:sz w:val="22"/>
        </w:rPr>
        <w:t>fax</w:t>
      </w:r>
    </w:p>
    <w:p>
      <w:pPr>
        <w:spacing w:before="7"/>
        <w:ind w:left="948" w:right="0" w:firstLine="0"/>
        <w:jc w:val="left"/>
        <w:rPr>
          <w:sz w:val="19"/>
        </w:rPr>
      </w:pPr>
      <w:hyperlink r:id="rId434">
        <w:r>
          <w:rPr>
            <w:spacing w:val="-2"/>
            <w:w w:val="105"/>
            <w:sz w:val="19"/>
          </w:rPr>
          <w:t>bingj@drexel.edu</w:t>
        </w:r>
      </w:hyperlink>
    </w:p>
    <w:p>
      <w:pPr>
        <w:pStyle w:val="BodyText"/>
        <w:spacing w:before="2"/>
        <w:rPr>
          <w:sz w:val="21"/>
        </w:rPr>
      </w:pPr>
    </w:p>
    <w:p>
      <w:pPr>
        <w:spacing w:before="0"/>
        <w:ind w:left="946" w:right="0" w:firstLine="0"/>
        <w:jc w:val="left"/>
        <w:rPr>
          <w:sz w:val="19"/>
        </w:rPr>
      </w:pPr>
      <w:r>
        <w:rPr>
          <w:spacing w:val="-2"/>
          <w:w w:val="105"/>
          <w:sz w:val="19"/>
        </w:rPr>
        <w:t>Representing</w:t>
      </w:r>
      <w:r>
        <w:rPr>
          <w:spacing w:val="12"/>
          <w:w w:val="105"/>
          <w:sz w:val="19"/>
        </w:rPr>
        <w:t> </w:t>
      </w:r>
      <w:r>
        <w:rPr>
          <w:spacing w:val="-2"/>
          <w:w w:val="105"/>
          <w:sz w:val="19"/>
        </w:rPr>
        <w:t>the</w:t>
      </w:r>
      <w:r>
        <w:rPr>
          <w:spacing w:val="-9"/>
          <w:w w:val="105"/>
          <w:sz w:val="19"/>
        </w:rPr>
        <w:t> </w:t>
      </w:r>
      <w:r>
        <w:rPr>
          <w:spacing w:val="-4"/>
          <w:w w:val="105"/>
          <w:sz w:val="19"/>
        </w:rPr>
        <w:t>AIAS</w:t>
      </w:r>
    </w:p>
    <w:p>
      <w:pPr>
        <w:spacing w:line="254" w:lineRule="auto" w:before="12"/>
        <w:ind w:left="952" w:right="4160" w:hanging="7"/>
        <w:jc w:val="left"/>
        <w:rPr>
          <w:sz w:val="19"/>
        </w:rPr>
      </w:pPr>
      <w:r>
        <w:rPr>
          <w:w w:val="105"/>
          <w:sz w:val="19"/>
        </w:rPr>
        <w:t>Ryan</w:t>
      </w:r>
      <w:r>
        <w:rPr>
          <w:spacing w:val="-18"/>
          <w:w w:val="105"/>
          <w:sz w:val="19"/>
        </w:rPr>
        <w:t> </w:t>
      </w:r>
      <w:r>
        <w:rPr>
          <w:w w:val="105"/>
          <w:sz w:val="19"/>
        </w:rPr>
        <w:t>Murphy, Assoc., AIA,</w:t>
      </w:r>
      <w:r>
        <w:rPr>
          <w:spacing w:val="-8"/>
          <w:w w:val="105"/>
          <w:sz w:val="19"/>
        </w:rPr>
        <w:t> </w:t>
      </w:r>
      <w:r>
        <w:rPr>
          <w:w w:val="105"/>
          <w:sz w:val="19"/>
        </w:rPr>
        <w:t>AIAS,</w:t>
      </w:r>
      <w:r>
        <w:rPr>
          <w:spacing w:val="-6"/>
          <w:w w:val="105"/>
          <w:sz w:val="19"/>
        </w:rPr>
        <w:t> </w:t>
      </w:r>
      <w:r>
        <w:rPr>
          <w:w w:val="105"/>
          <w:sz w:val="19"/>
        </w:rPr>
        <w:t>CSl-I, LEED</w:t>
      </w:r>
      <w:r>
        <w:rPr>
          <w:w w:val="105"/>
          <w:sz w:val="19"/>
          <w:vertAlign w:val="superscript"/>
        </w:rPr>
        <w:t>9</w:t>
      </w:r>
      <w:r>
        <w:rPr>
          <w:spacing w:val="22"/>
          <w:w w:val="105"/>
          <w:sz w:val="19"/>
          <w:vertAlign w:val="baseline"/>
        </w:rPr>
        <w:t> </w:t>
      </w:r>
      <w:r>
        <w:rPr>
          <w:w w:val="105"/>
          <w:sz w:val="19"/>
          <w:vertAlign w:val="baseline"/>
        </w:rPr>
        <w:t>AP 700 N Alabama Street</w:t>
      </w:r>
    </w:p>
    <w:p>
      <w:pPr>
        <w:spacing w:line="208" w:lineRule="exact" w:before="0"/>
        <w:ind w:left="942" w:right="0" w:firstLine="0"/>
        <w:jc w:val="left"/>
        <w:rPr>
          <w:sz w:val="19"/>
        </w:rPr>
      </w:pPr>
      <w:r>
        <w:rPr>
          <w:spacing w:val="-2"/>
          <w:w w:val="110"/>
          <w:sz w:val="19"/>
        </w:rPr>
        <w:t>Apt#205</w:t>
      </w:r>
    </w:p>
    <w:p>
      <w:pPr>
        <w:spacing w:before="13"/>
        <w:ind w:left="943" w:right="0" w:firstLine="0"/>
        <w:jc w:val="left"/>
        <w:rPr>
          <w:sz w:val="19"/>
        </w:rPr>
      </w:pPr>
      <w:r>
        <w:rPr>
          <w:w w:val="105"/>
          <w:sz w:val="19"/>
        </w:rPr>
        <w:t>Indianapolis,</w:t>
      </w:r>
      <w:r>
        <w:rPr>
          <w:spacing w:val="-11"/>
          <w:w w:val="105"/>
          <w:sz w:val="19"/>
        </w:rPr>
        <w:t> </w:t>
      </w:r>
      <w:r>
        <w:rPr>
          <w:w w:val="105"/>
          <w:sz w:val="19"/>
        </w:rPr>
        <w:t>IN</w:t>
      </w:r>
      <w:r>
        <w:rPr>
          <w:spacing w:val="-14"/>
          <w:w w:val="105"/>
          <w:sz w:val="19"/>
        </w:rPr>
        <w:t> </w:t>
      </w:r>
      <w:r>
        <w:rPr>
          <w:spacing w:val="-2"/>
          <w:w w:val="105"/>
          <w:sz w:val="19"/>
        </w:rPr>
        <w:t>46204</w:t>
      </w:r>
    </w:p>
    <w:p>
      <w:pPr>
        <w:spacing w:line="254" w:lineRule="auto" w:before="13"/>
        <w:ind w:left="939" w:right="5983" w:firstLine="0"/>
        <w:jc w:val="left"/>
        <w:rPr>
          <w:sz w:val="19"/>
        </w:rPr>
      </w:pPr>
      <w:r>
        <w:rPr>
          <w:w w:val="105"/>
          <w:sz w:val="19"/>
        </w:rPr>
        <w:t>(317) 840-4771 mobile </w:t>
      </w:r>
      <w:hyperlink r:id="rId435">
        <w:r>
          <w:rPr>
            <w:spacing w:val="-2"/>
            <w:w w:val="105"/>
            <w:sz w:val="19"/>
          </w:rPr>
          <w:t>ryan.murphy19@gmail.com</w:t>
        </w:r>
      </w:hyperlink>
    </w:p>
    <w:p>
      <w:pPr>
        <w:pStyle w:val="BodyText"/>
      </w:pPr>
    </w:p>
    <w:p>
      <w:pPr>
        <w:spacing w:line="242" w:lineRule="auto" w:before="0"/>
        <w:ind w:left="936" w:right="6746" w:hanging="1"/>
        <w:jc w:val="left"/>
        <w:rPr>
          <w:sz w:val="19"/>
        </w:rPr>
      </w:pPr>
      <w:r>
        <w:rPr>
          <w:w w:val="105"/>
          <w:sz w:val="19"/>
        </w:rPr>
        <w:t>Representing the AIA Jon</w:t>
      </w:r>
      <w:r>
        <w:rPr>
          <w:spacing w:val="-7"/>
          <w:w w:val="105"/>
          <w:sz w:val="19"/>
        </w:rPr>
        <w:t> </w:t>
      </w:r>
      <w:r>
        <w:rPr>
          <w:w w:val="105"/>
          <w:sz w:val="19"/>
        </w:rPr>
        <w:t>Luft,</w:t>
      </w:r>
      <w:r>
        <w:rPr>
          <w:spacing w:val="-21"/>
          <w:w w:val="105"/>
          <w:sz w:val="19"/>
        </w:rPr>
        <w:t> </w:t>
      </w:r>
      <w:r>
        <w:rPr>
          <w:w w:val="105"/>
          <w:sz w:val="19"/>
        </w:rPr>
        <w:t>AIA,</w:t>
      </w:r>
      <w:r>
        <w:rPr>
          <w:spacing w:val="-13"/>
          <w:w w:val="105"/>
          <w:sz w:val="19"/>
        </w:rPr>
        <w:t> </w:t>
      </w:r>
      <w:r>
        <w:rPr>
          <w:w w:val="105"/>
          <w:sz w:val="19"/>
        </w:rPr>
        <w:t>LEED</w:t>
      </w:r>
      <w:r>
        <w:rPr>
          <w:w w:val="105"/>
          <w:sz w:val="19"/>
          <w:vertAlign w:val="superscript"/>
        </w:rPr>
        <w:t>9</w:t>
      </w:r>
      <w:r>
        <w:rPr>
          <w:spacing w:val="10"/>
          <w:w w:val="105"/>
          <w:sz w:val="19"/>
          <w:vertAlign w:val="baseline"/>
        </w:rPr>
        <w:t> </w:t>
      </w:r>
      <w:r>
        <w:rPr>
          <w:w w:val="105"/>
          <w:sz w:val="19"/>
          <w:vertAlign w:val="baseline"/>
        </w:rPr>
        <w:t>AP</w:t>
      </w:r>
    </w:p>
    <w:p>
      <w:pPr>
        <w:spacing w:before="11"/>
        <w:ind w:left="937" w:right="0" w:firstLine="0"/>
        <w:jc w:val="left"/>
        <w:rPr>
          <w:sz w:val="19"/>
        </w:rPr>
      </w:pPr>
      <w:r>
        <w:rPr>
          <w:spacing w:val="-2"/>
          <w:w w:val="105"/>
          <w:sz w:val="19"/>
        </w:rPr>
        <w:t>Principal</w:t>
      </w:r>
    </w:p>
    <w:p>
      <w:pPr>
        <w:spacing w:line="254" w:lineRule="auto" w:before="13"/>
        <w:ind w:left="942" w:right="6350" w:firstLine="0"/>
        <w:jc w:val="left"/>
        <w:rPr>
          <w:sz w:val="19"/>
        </w:rPr>
      </w:pPr>
      <w:r>
        <w:rPr>
          <w:w w:val="105"/>
          <w:sz w:val="19"/>
        </w:rPr>
        <w:t>Salemo</w:t>
      </w:r>
      <w:r>
        <w:rPr>
          <w:spacing w:val="-14"/>
          <w:w w:val="105"/>
          <w:sz w:val="19"/>
        </w:rPr>
        <w:t> </w:t>
      </w:r>
      <w:r>
        <w:rPr>
          <w:w w:val="105"/>
          <w:sz w:val="19"/>
        </w:rPr>
        <w:t>Livingston</w:t>
      </w:r>
      <w:r>
        <w:rPr>
          <w:spacing w:val="-14"/>
          <w:w w:val="105"/>
          <w:sz w:val="19"/>
        </w:rPr>
        <w:t> </w:t>
      </w:r>
      <w:r>
        <w:rPr>
          <w:w w:val="105"/>
          <w:sz w:val="19"/>
        </w:rPr>
        <w:t>Architects 363 5th Avenue, Suite 300 San Diego, CA 92101</w:t>
      </w:r>
    </w:p>
    <w:p>
      <w:pPr>
        <w:spacing w:line="207" w:lineRule="exact" w:before="0"/>
        <w:ind w:left="940" w:right="0" w:firstLine="0"/>
        <w:jc w:val="left"/>
        <w:rPr>
          <w:sz w:val="19"/>
        </w:rPr>
      </w:pPr>
      <w:r>
        <w:rPr>
          <w:w w:val="105"/>
          <w:sz w:val="19"/>
        </w:rPr>
        <w:t>(619)</w:t>
      </w:r>
      <w:r>
        <w:rPr>
          <w:spacing w:val="-14"/>
          <w:w w:val="105"/>
          <w:sz w:val="19"/>
        </w:rPr>
        <w:t> </w:t>
      </w:r>
      <w:r>
        <w:rPr>
          <w:w w:val="105"/>
          <w:sz w:val="19"/>
        </w:rPr>
        <w:t>234-</w:t>
      </w:r>
      <w:r>
        <w:rPr>
          <w:spacing w:val="-4"/>
          <w:w w:val="105"/>
          <w:sz w:val="19"/>
        </w:rPr>
        <w:t>7471</w:t>
      </w:r>
    </w:p>
    <w:p>
      <w:pPr>
        <w:spacing w:line="254" w:lineRule="auto" w:before="12"/>
        <w:ind w:left="941" w:right="5983" w:hanging="2"/>
        <w:jc w:val="left"/>
        <w:rPr>
          <w:sz w:val="19"/>
        </w:rPr>
      </w:pPr>
      <w:r>
        <w:rPr>
          <w:w w:val="105"/>
          <w:sz w:val="19"/>
        </w:rPr>
        <w:t>(619)</w:t>
      </w:r>
      <w:r>
        <w:rPr>
          <w:spacing w:val="-14"/>
          <w:w w:val="105"/>
          <w:sz w:val="19"/>
        </w:rPr>
        <w:t> </w:t>
      </w:r>
      <w:r>
        <w:rPr>
          <w:w w:val="105"/>
          <w:sz w:val="19"/>
        </w:rPr>
        <w:t>921-3419</w:t>
      </w:r>
      <w:r>
        <w:rPr>
          <w:spacing w:val="-14"/>
          <w:w w:val="105"/>
          <w:sz w:val="19"/>
        </w:rPr>
        <w:t> </w:t>
      </w:r>
      <w:r>
        <w:rPr>
          <w:w w:val="105"/>
          <w:sz w:val="19"/>
        </w:rPr>
        <w:t>mobile </w:t>
      </w:r>
      <w:hyperlink r:id="rId436">
        <w:r>
          <w:rPr>
            <w:spacing w:val="-2"/>
            <w:w w:val="105"/>
            <w:sz w:val="19"/>
          </w:rPr>
          <w:t>jonl@slarchitects.com</w:t>
        </w:r>
      </w:hyperlink>
    </w:p>
    <w:p>
      <w:pPr>
        <w:pStyle w:val="BodyText"/>
        <w:spacing w:before="10"/>
      </w:pPr>
    </w:p>
    <w:p>
      <w:pPr>
        <w:spacing w:before="0"/>
        <w:ind w:left="942" w:right="0" w:firstLine="0"/>
        <w:jc w:val="left"/>
        <w:rPr>
          <w:sz w:val="19"/>
        </w:rPr>
      </w:pPr>
      <w:r>
        <w:rPr>
          <w:spacing w:val="-2"/>
          <w:w w:val="105"/>
          <w:sz w:val="19"/>
        </w:rPr>
        <w:t>Observer</w:t>
      </w:r>
    </w:p>
    <w:p>
      <w:pPr>
        <w:spacing w:line="254" w:lineRule="auto" w:before="12"/>
        <w:ind w:left="937" w:right="6350" w:firstLine="0"/>
        <w:jc w:val="left"/>
        <w:rPr>
          <w:sz w:val="19"/>
        </w:rPr>
      </w:pPr>
      <w:r>
        <w:rPr>
          <w:w w:val="105"/>
          <w:sz w:val="19"/>
        </w:rPr>
        <w:t>Dale 0.</w:t>
      </w:r>
      <w:r>
        <w:rPr>
          <w:spacing w:val="40"/>
          <w:w w:val="105"/>
          <w:sz w:val="19"/>
        </w:rPr>
        <w:t> </w:t>
      </w:r>
      <w:r>
        <w:rPr>
          <w:w w:val="105"/>
          <w:sz w:val="19"/>
        </w:rPr>
        <w:t>Jackson, RA Program</w:t>
      </w:r>
      <w:r>
        <w:rPr>
          <w:spacing w:val="-14"/>
          <w:w w:val="105"/>
          <w:sz w:val="19"/>
        </w:rPr>
        <w:t> </w:t>
      </w:r>
      <w:r>
        <w:rPr>
          <w:w w:val="105"/>
          <w:sz w:val="19"/>
        </w:rPr>
        <w:t>Integration</w:t>
      </w:r>
      <w:r>
        <w:rPr>
          <w:spacing w:val="-14"/>
          <w:w w:val="105"/>
          <w:sz w:val="19"/>
        </w:rPr>
        <w:t> </w:t>
      </w:r>
      <w:r>
        <w:rPr>
          <w:w w:val="105"/>
          <w:sz w:val="19"/>
        </w:rPr>
        <w:t>Branch</w:t>
      </w:r>
    </w:p>
    <w:p>
      <w:pPr>
        <w:spacing w:line="249" w:lineRule="auto" w:before="0"/>
        <w:ind w:left="936" w:right="5983" w:firstLine="0"/>
        <w:jc w:val="left"/>
        <w:rPr>
          <w:sz w:val="19"/>
        </w:rPr>
      </w:pPr>
      <w:r>
        <w:rPr>
          <w:w w:val="105"/>
          <w:sz w:val="19"/>
        </w:rPr>
        <w:t>Directorate</w:t>
      </w:r>
      <w:r>
        <w:rPr>
          <w:spacing w:val="-9"/>
          <w:w w:val="105"/>
          <w:sz w:val="19"/>
        </w:rPr>
        <w:t> </w:t>
      </w:r>
      <w:r>
        <w:rPr>
          <w:w w:val="105"/>
          <w:sz w:val="19"/>
        </w:rPr>
        <w:t>of</w:t>
      </w:r>
      <w:r>
        <w:rPr>
          <w:spacing w:val="-14"/>
          <w:w w:val="105"/>
          <w:sz w:val="19"/>
        </w:rPr>
        <w:t> </w:t>
      </w:r>
      <w:r>
        <w:rPr>
          <w:w w:val="105"/>
          <w:sz w:val="19"/>
        </w:rPr>
        <w:t>Military</w:t>
      </w:r>
      <w:r>
        <w:rPr>
          <w:spacing w:val="-8"/>
          <w:w w:val="105"/>
          <w:sz w:val="19"/>
        </w:rPr>
        <w:t> </w:t>
      </w:r>
      <w:r>
        <w:rPr>
          <w:w w:val="105"/>
          <w:sz w:val="19"/>
        </w:rPr>
        <w:t>Programs US Army Corps of Engineers HQUSACE, Attn: CEMP-11</w:t>
      </w:r>
    </w:p>
    <w:p>
      <w:pPr>
        <w:spacing w:before="1"/>
        <w:ind w:left="939" w:right="0" w:firstLine="0"/>
        <w:jc w:val="left"/>
        <w:rPr>
          <w:sz w:val="19"/>
        </w:rPr>
      </w:pPr>
      <w:r>
        <w:rPr>
          <w:w w:val="105"/>
          <w:sz w:val="19"/>
        </w:rPr>
        <w:t>441</w:t>
      </w:r>
      <w:r>
        <w:rPr>
          <w:spacing w:val="-10"/>
          <w:w w:val="105"/>
          <w:sz w:val="19"/>
        </w:rPr>
        <w:t> </w:t>
      </w:r>
      <w:r>
        <w:rPr>
          <w:w w:val="105"/>
          <w:sz w:val="19"/>
        </w:rPr>
        <w:t>G.</w:t>
      </w:r>
      <w:r>
        <w:rPr>
          <w:spacing w:val="-8"/>
          <w:w w:val="105"/>
          <w:sz w:val="19"/>
        </w:rPr>
        <w:t> </w:t>
      </w:r>
      <w:r>
        <w:rPr>
          <w:w w:val="105"/>
          <w:sz w:val="19"/>
        </w:rPr>
        <w:t>Street,</w:t>
      </w:r>
      <w:r>
        <w:rPr>
          <w:spacing w:val="3"/>
          <w:w w:val="105"/>
          <w:sz w:val="19"/>
        </w:rPr>
        <w:t> </w:t>
      </w:r>
      <w:r>
        <w:rPr>
          <w:w w:val="105"/>
          <w:sz w:val="19"/>
        </w:rPr>
        <w:t>NW,</w:t>
      </w:r>
      <w:r>
        <w:rPr>
          <w:spacing w:val="-5"/>
          <w:w w:val="105"/>
          <w:sz w:val="19"/>
        </w:rPr>
        <w:t> </w:t>
      </w:r>
      <w:r>
        <w:rPr>
          <w:spacing w:val="-4"/>
          <w:w w:val="105"/>
          <w:sz w:val="19"/>
        </w:rPr>
        <w:t>3S93</w:t>
      </w:r>
    </w:p>
    <w:p>
      <w:pPr>
        <w:spacing w:before="3"/>
        <w:ind w:left="939" w:right="0" w:firstLine="0"/>
        <w:jc w:val="left"/>
        <w:rPr>
          <w:sz w:val="19"/>
        </w:rPr>
      </w:pPr>
      <w:r>
        <w:rPr>
          <w:spacing w:val="-2"/>
          <w:w w:val="105"/>
          <w:sz w:val="19"/>
        </w:rPr>
        <w:t>Washington,</w:t>
      </w:r>
      <w:r>
        <w:rPr>
          <w:spacing w:val="12"/>
          <w:w w:val="105"/>
          <w:sz w:val="19"/>
        </w:rPr>
        <w:t> </w:t>
      </w:r>
      <w:r>
        <w:rPr>
          <w:spacing w:val="-2"/>
          <w:w w:val="105"/>
          <w:sz w:val="19"/>
        </w:rPr>
        <w:t>DC</w:t>
      </w:r>
      <w:r>
        <w:rPr>
          <w:spacing w:val="-4"/>
          <w:w w:val="105"/>
          <w:sz w:val="19"/>
        </w:rPr>
        <w:t> </w:t>
      </w:r>
      <w:r>
        <w:rPr>
          <w:spacing w:val="-2"/>
          <w:w w:val="105"/>
          <w:sz w:val="19"/>
        </w:rPr>
        <w:t>20314-</w:t>
      </w:r>
      <w:r>
        <w:rPr>
          <w:spacing w:val="-4"/>
          <w:w w:val="105"/>
          <w:sz w:val="19"/>
        </w:rPr>
        <w:t>1000</w:t>
      </w:r>
    </w:p>
    <w:p>
      <w:pPr>
        <w:spacing w:before="13"/>
        <w:ind w:left="940" w:right="0" w:firstLine="0"/>
        <w:jc w:val="left"/>
        <w:rPr>
          <w:sz w:val="19"/>
        </w:rPr>
      </w:pPr>
      <w:r>
        <w:rPr>
          <w:spacing w:val="-2"/>
          <w:w w:val="105"/>
          <w:sz w:val="19"/>
        </w:rPr>
        <w:t>(202)</w:t>
      </w:r>
      <w:r>
        <w:rPr>
          <w:spacing w:val="3"/>
          <w:w w:val="105"/>
          <w:sz w:val="19"/>
        </w:rPr>
        <w:t> </w:t>
      </w:r>
      <w:r>
        <w:rPr>
          <w:spacing w:val="-2"/>
          <w:w w:val="105"/>
          <w:sz w:val="19"/>
        </w:rPr>
        <w:t>761-</w:t>
      </w:r>
      <w:r>
        <w:rPr>
          <w:spacing w:val="-4"/>
          <w:w w:val="105"/>
          <w:sz w:val="19"/>
        </w:rPr>
        <w:t>5737</w:t>
      </w:r>
    </w:p>
    <w:p>
      <w:pPr>
        <w:spacing w:before="13"/>
        <w:ind w:left="940" w:right="0" w:firstLine="0"/>
        <w:jc w:val="left"/>
        <w:rPr>
          <w:sz w:val="19"/>
        </w:rPr>
      </w:pPr>
      <w:r>
        <w:rPr>
          <w:w w:val="105"/>
          <w:sz w:val="19"/>
        </w:rPr>
        <w:t>(202)</w:t>
      </w:r>
      <w:r>
        <w:rPr>
          <w:spacing w:val="-12"/>
          <w:w w:val="105"/>
          <w:sz w:val="19"/>
        </w:rPr>
        <w:t> </w:t>
      </w:r>
      <w:r>
        <w:rPr>
          <w:w w:val="105"/>
          <w:sz w:val="19"/>
        </w:rPr>
        <w:t>761-1828</w:t>
      </w:r>
      <w:r>
        <w:rPr>
          <w:spacing w:val="-6"/>
          <w:w w:val="105"/>
          <w:sz w:val="19"/>
        </w:rPr>
        <w:t> </w:t>
      </w:r>
      <w:r>
        <w:rPr>
          <w:spacing w:val="-5"/>
          <w:w w:val="105"/>
          <w:sz w:val="19"/>
        </w:rPr>
        <w:t>fax</w:t>
      </w:r>
    </w:p>
    <w:p>
      <w:pPr>
        <w:spacing w:before="3"/>
        <w:ind w:left="940" w:right="0" w:firstLine="0"/>
        <w:jc w:val="left"/>
        <w:rPr>
          <w:sz w:val="19"/>
        </w:rPr>
      </w:pPr>
      <w:r>
        <w:rPr>
          <w:w w:val="105"/>
          <w:sz w:val="19"/>
        </w:rPr>
        <w:t>(757)</w:t>
      </w:r>
      <w:r>
        <w:rPr>
          <w:spacing w:val="-12"/>
          <w:w w:val="105"/>
          <w:sz w:val="19"/>
        </w:rPr>
        <w:t> </w:t>
      </w:r>
      <w:r>
        <w:rPr>
          <w:w w:val="105"/>
          <w:sz w:val="19"/>
        </w:rPr>
        <w:t>763-5737</w:t>
      </w:r>
      <w:r>
        <w:rPr>
          <w:spacing w:val="-11"/>
          <w:w w:val="105"/>
          <w:sz w:val="19"/>
        </w:rPr>
        <w:t> </w:t>
      </w:r>
      <w:r>
        <w:rPr>
          <w:spacing w:val="-5"/>
          <w:w w:val="105"/>
          <w:sz w:val="19"/>
        </w:rPr>
        <w:t>dsn</w:t>
      </w:r>
    </w:p>
    <w:p>
      <w:pPr>
        <w:spacing w:before="12"/>
        <w:ind w:left="937" w:right="0" w:firstLine="0"/>
        <w:jc w:val="left"/>
        <w:rPr>
          <w:sz w:val="19"/>
        </w:rPr>
      </w:pPr>
      <w:hyperlink r:id="rId437">
        <w:r>
          <w:rPr>
            <w:spacing w:val="-2"/>
            <w:w w:val="105"/>
            <w:sz w:val="19"/>
          </w:rPr>
          <w:t>Dale.O.Jackson@usace.army.mil</w:t>
        </w:r>
      </w:hyperlink>
    </w:p>
    <w:p>
      <w:pPr>
        <w:spacing w:after="0"/>
        <w:jc w:val="left"/>
        <w:rPr>
          <w:sz w:val="19"/>
        </w:rPr>
        <w:sectPr>
          <w:headerReference w:type="default" r:id="rId431"/>
          <w:footerReference w:type="default" r:id="rId432"/>
          <w:pgSz w:w="12180" w:h="15820"/>
          <w:pgMar w:header="599" w:footer="854" w:top="1300" w:bottom="1040" w:left="1120" w:right="1180"/>
        </w:sectPr>
      </w:pPr>
    </w:p>
    <w:p>
      <w:pPr>
        <w:pStyle w:val="BodyText"/>
        <w:spacing w:before="4"/>
        <w:rPr>
          <w:sz w:val="19"/>
        </w:rPr>
      </w:pPr>
    </w:p>
    <w:p>
      <w:pPr>
        <w:tabs>
          <w:tab w:pos="1689" w:val="left" w:leader="none"/>
        </w:tabs>
        <w:spacing w:before="95"/>
        <w:ind w:left="258" w:right="0" w:firstLine="0"/>
        <w:jc w:val="left"/>
        <w:rPr>
          <w:sz w:val="19"/>
        </w:rPr>
      </w:pPr>
      <w:r>
        <w:rPr>
          <w:spacing w:val="-2"/>
          <w:w w:val="115"/>
          <w:sz w:val="19"/>
        </w:rPr>
        <w:t>Appendix </w:t>
      </w:r>
      <w:r>
        <w:rPr>
          <w:spacing w:val="-5"/>
          <w:w w:val="115"/>
          <w:sz w:val="19"/>
        </w:rPr>
        <w:t>C:</w:t>
      </w:r>
      <w:r>
        <w:rPr>
          <w:sz w:val="19"/>
        </w:rPr>
        <w:tab/>
      </w:r>
      <w:r>
        <w:rPr>
          <w:w w:val="115"/>
          <w:sz w:val="19"/>
        </w:rPr>
        <w:t>The</w:t>
      </w:r>
      <w:r>
        <w:rPr>
          <w:spacing w:val="-16"/>
          <w:w w:val="115"/>
          <w:sz w:val="19"/>
        </w:rPr>
        <w:t> </w:t>
      </w:r>
      <w:r>
        <w:rPr>
          <w:w w:val="115"/>
          <w:sz w:val="19"/>
        </w:rPr>
        <w:t>Visit</w:t>
      </w:r>
      <w:r>
        <w:rPr>
          <w:spacing w:val="-11"/>
          <w:w w:val="115"/>
          <w:sz w:val="19"/>
        </w:rPr>
        <w:t> </w:t>
      </w:r>
      <w:r>
        <w:rPr>
          <w:spacing w:val="-2"/>
          <w:w w:val="115"/>
          <w:sz w:val="19"/>
        </w:rPr>
        <w:t>Agenda</w:t>
      </w:r>
    </w:p>
    <w:p>
      <w:pPr>
        <w:pStyle w:val="BodyText"/>
      </w:pPr>
    </w:p>
    <w:p>
      <w:pPr>
        <w:pStyle w:val="BodyText"/>
        <w:spacing w:before="6"/>
        <w:rPr>
          <w:sz w:val="17"/>
        </w:rPr>
      </w:pPr>
    </w:p>
    <w:tbl>
      <w:tblPr>
        <w:tblW w:w="0" w:type="auto"/>
        <w:jc w:val="left"/>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60"/>
        <w:gridCol w:w="3999"/>
        <w:gridCol w:w="1233"/>
        <w:gridCol w:w="2110"/>
      </w:tblGrid>
      <w:tr>
        <w:trPr>
          <w:trHeight w:val="317" w:hRule="atLeast"/>
        </w:trPr>
        <w:tc>
          <w:tcPr>
            <w:tcW w:w="9202" w:type="dxa"/>
            <w:gridSpan w:val="4"/>
          </w:tcPr>
          <w:p>
            <w:pPr>
              <w:pStyle w:val="TableParagraph"/>
              <w:spacing w:before="43"/>
              <w:ind w:left="144"/>
              <w:rPr>
                <w:sz w:val="21"/>
              </w:rPr>
            </w:pPr>
            <w:r>
              <w:rPr>
                <w:sz w:val="21"/>
              </w:rPr>
              <w:t>Saturday,</w:t>
            </w:r>
            <w:r>
              <w:rPr>
                <w:spacing w:val="-12"/>
                <w:sz w:val="21"/>
              </w:rPr>
              <w:t> </w:t>
            </w:r>
            <w:r>
              <w:rPr>
                <w:sz w:val="21"/>
              </w:rPr>
              <w:t>March</w:t>
            </w:r>
            <w:r>
              <w:rPr>
                <w:spacing w:val="1"/>
                <w:sz w:val="21"/>
              </w:rPr>
              <w:t> </w:t>
            </w:r>
            <w:r>
              <w:rPr>
                <w:sz w:val="21"/>
              </w:rPr>
              <w:t>21,</w:t>
            </w:r>
            <w:r>
              <w:rPr>
                <w:spacing w:val="-21"/>
                <w:sz w:val="21"/>
              </w:rPr>
              <w:t> </w:t>
            </w:r>
            <w:r>
              <w:rPr>
                <w:spacing w:val="-4"/>
                <w:sz w:val="21"/>
              </w:rPr>
              <w:t>2009</w:t>
            </w:r>
          </w:p>
        </w:tc>
      </w:tr>
      <w:tr>
        <w:trPr>
          <w:trHeight w:val="268" w:hRule="atLeast"/>
        </w:trPr>
        <w:tc>
          <w:tcPr>
            <w:tcW w:w="1860" w:type="dxa"/>
          </w:tcPr>
          <w:p>
            <w:pPr>
              <w:pStyle w:val="TableParagraph"/>
              <w:spacing w:before="23"/>
              <w:ind w:left="139"/>
              <w:rPr>
                <w:sz w:val="19"/>
              </w:rPr>
            </w:pPr>
            <w:r>
              <w:rPr>
                <w:spacing w:val="-4"/>
                <w:w w:val="110"/>
                <w:sz w:val="19"/>
              </w:rPr>
              <w:t>Time</w:t>
            </w:r>
          </w:p>
        </w:tc>
        <w:tc>
          <w:tcPr>
            <w:tcW w:w="3999" w:type="dxa"/>
          </w:tcPr>
          <w:p>
            <w:pPr>
              <w:pStyle w:val="TableParagraph"/>
              <w:spacing w:line="237" w:lineRule="exact"/>
              <w:ind w:left="134"/>
              <w:rPr>
                <w:sz w:val="21"/>
              </w:rPr>
            </w:pPr>
            <w:r>
              <w:rPr>
                <w:spacing w:val="-2"/>
                <w:sz w:val="21"/>
              </w:rPr>
              <w:t>ActiVity</w:t>
            </w:r>
          </w:p>
        </w:tc>
        <w:tc>
          <w:tcPr>
            <w:tcW w:w="1233" w:type="dxa"/>
          </w:tcPr>
          <w:p>
            <w:pPr>
              <w:pStyle w:val="TableParagraph"/>
              <w:spacing w:before="4"/>
              <w:ind w:left="129"/>
              <w:rPr>
                <w:sz w:val="19"/>
              </w:rPr>
            </w:pPr>
            <w:r>
              <w:rPr>
                <w:spacing w:val="-2"/>
                <w:w w:val="105"/>
                <w:sz w:val="19"/>
              </w:rPr>
              <w:t>Location</w:t>
            </w:r>
          </w:p>
        </w:tc>
        <w:tc>
          <w:tcPr>
            <w:tcW w:w="2110" w:type="dxa"/>
          </w:tcPr>
          <w:p>
            <w:pPr>
              <w:pStyle w:val="TableParagraph"/>
              <w:spacing w:line="213" w:lineRule="exact"/>
              <w:ind w:left="139"/>
              <w:rPr>
                <w:sz w:val="19"/>
              </w:rPr>
            </w:pPr>
            <w:r>
              <w:rPr>
                <w:spacing w:val="-2"/>
                <w:w w:val="105"/>
                <w:sz w:val="19"/>
              </w:rPr>
              <w:t>Participants</w:t>
            </w:r>
          </w:p>
        </w:tc>
      </w:tr>
      <w:tr>
        <w:trPr>
          <w:trHeight w:val="259" w:hRule="atLeast"/>
        </w:trPr>
        <w:tc>
          <w:tcPr>
            <w:tcW w:w="1860" w:type="dxa"/>
          </w:tcPr>
          <w:p>
            <w:pPr>
              <w:pStyle w:val="TableParagraph"/>
              <w:spacing w:before="14"/>
              <w:ind w:left="149"/>
              <w:rPr>
                <w:sz w:val="19"/>
              </w:rPr>
            </w:pPr>
            <w:r>
              <w:rPr>
                <w:w w:val="105"/>
                <w:sz w:val="19"/>
              </w:rPr>
              <w:t>TBD</w:t>
            </w:r>
            <w:r>
              <w:rPr>
                <w:spacing w:val="-13"/>
                <w:w w:val="105"/>
                <w:sz w:val="19"/>
              </w:rPr>
              <w:t> </w:t>
            </w:r>
            <w:r>
              <w:rPr>
                <w:spacing w:val="-2"/>
                <w:w w:val="105"/>
                <w:sz w:val="19"/>
              </w:rPr>
              <w:t>(morninq)</w:t>
            </w:r>
          </w:p>
        </w:tc>
        <w:tc>
          <w:tcPr>
            <w:tcW w:w="3999" w:type="dxa"/>
          </w:tcPr>
          <w:p>
            <w:pPr>
              <w:pStyle w:val="TableParagraph"/>
              <w:spacing w:before="14"/>
              <w:ind w:left="139"/>
              <w:rPr>
                <w:sz w:val="19"/>
              </w:rPr>
            </w:pPr>
            <w:r>
              <w:rPr>
                <w:w w:val="105"/>
                <w:sz w:val="19"/>
              </w:rPr>
              <w:t>Team</w:t>
            </w:r>
            <w:r>
              <w:rPr>
                <w:spacing w:val="-10"/>
                <w:w w:val="105"/>
                <w:sz w:val="19"/>
              </w:rPr>
              <w:t> </w:t>
            </w:r>
            <w:r>
              <w:rPr>
                <w:w w:val="105"/>
                <w:sz w:val="19"/>
              </w:rPr>
              <w:t>Chair</w:t>
            </w:r>
            <w:r>
              <w:rPr>
                <w:spacing w:val="-5"/>
                <w:w w:val="105"/>
                <w:sz w:val="19"/>
              </w:rPr>
              <w:t> </w:t>
            </w:r>
            <w:r>
              <w:rPr>
                <w:spacing w:val="-2"/>
                <w:w w:val="105"/>
                <w:sz w:val="19"/>
              </w:rPr>
              <w:t>Arrives</w:t>
            </w:r>
          </w:p>
        </w:tc>
        <w:tc>
          <w:tcPr>
            <w:tcW w:w="1233" w:type="dxa"/>
          </w:tcPr>
          <w:p>
            <w:pPr>
              <w:pStyle w:val="TableParagraph"/>
              <w:rPr>
                <w:rFonts w:ascii="Times New Roman"/>
                <w:sz w:val="18"/>
              </w:rPr>
            </w:pPr>
          </w:p>
        </w:tc>
        <w:tc>
          <w:tcPr>
            <w:tcW w:w="2110" w:type="dxa"/>
          </w:tcPr>
          <w:p>
            <w:pPr>
              <w:pStyle w:val="TableParagraph"/>
              <w:rPr>
                <w:rFonts w:ascii="Times New Roman"/>
                <w:sz w:val="18"/>
              </w:rPr>
            </w:pPr>
          </w:p>
        </w:tc>
      </w:tr>
      <w:tr>
        <w:trPr>
          <w:trHeight w:val="451" w:hRule="atLeast"/>
        </w:trPr>
        <w:tc>
          <w:tcPr>
            <w:tcW w:w="1860" w:type="dxa"/>
          </w:tcPr>
          <w:p>
            <w:pPr>
              <w:pStyle w:val="TableParagraph"/>
              <w:spacing w:before="5"/>
              <w:ind w:left="140"/>
              <w:rPr>
                <w:sz w:val="21"/>
              </w:rPr>
            </w:pPr>
            <w:r>
              <w:rPr>
                <w:w w:val="95"/>
                <w:sz w:val="21"/>
              </w:rPr>
              <w:t>12:oon</w:t>
            </w:r>
            <w:r>
              <w:rPr>
                <w:spacing w:val="-17"/>
                <w:w w:val="95"/>
                <w:sz w:val="21"/>
              </w:rPr>
              <w:t> </w:t>
            </w:r>
            <w:r>
              <w:rPr>
                <w:w w:val="95"/>
                <w:sz w:val="21"/>
              </w:rPr>
              <w:t>-</w:t>
            </w:r>
            <w:r>
              <w:rPr>
                <w:spacing w:val="49"/>
                <w:sz w:val="21"/>
              </w:rPr>
              <w:t> </w:t>
            </w:r>
            <w:r>
              <w:rPr>
                <w:w w:val="95"/>
                <w:sz w:val="21"/>
              </w:rPr>
              <w:t>1:30</w:t>
            </w:r>
            <w:r>
              <w:rPr>
                <w:spacing w:val="-8"/>
                <w:w w:val="95"/>
                <w:sz w:val="21"/>
              </w:rPr>
              <w:t> </w:t>
            </w:r>
            <w:r>
              <w:rPr>
                <w:spacing w:val="-10"/>
                <w:w w:val="95"/>
                <w:sz w:val="21"/>
              </w:rPr>
              <w:t>p</w:t>
            </w:r>
          </w:p>
        </w:tc>
        <w:tc>
          <w:tcPr>
            <w:tcW w:w="3999" w:type="dxa"/>
          </w:tcPr>
          <w:p>
            <w:pPr>
              <w:pStyle w:val="TableParagraph"/>
              <w:spacing w:before="14"/>
              <w:ind w:left="139"/>
              <w:rPr>
                <w:sz w:val="19"/>
              </w:rPr>
            </w:pPr>
            <w:r>
              <w:rPr>
                <w:spacing w:val="-2"/>
                <w:w w:val="105"/>
                <w:sz w:val="19"/>
              </w:rPr>
              <w:t>Lunch</w:t>
            </w:r>
          </w:p>
        </w:tc>
        <w:tc>
          <w:tcPr>
            <w:tcW w:w="1233" w:type="dxa"/>
          </w:tcPr>
          <w:p>
            <w:pPr>
              <w:pStyle w:val="TableParagraph"/>
              <w:spacing w:before="4"/>
              <w:ind w:left="128"/>
              <w:rPr>
                <w:sz w:val="19"/>
              </w:rPr>
            </w:pPr>
            <w:r>
              <w:rPr>
                <w:spacing w:val="-2"/>
                <w:w w:val="105"/>
                <w:sz w:val="19"/>
              </w:rPr>
              <w:t>Hotel</w:t>
            </w:r>
          </w:p>
        </w:tc>
        <w:tc>
          <w:tcPr>
            <w:tcW w:w="2110" w:type="dxa"/>
          </w:tcPr>
          <w:p>
            <w:pPr>
              <w:pStyle w:val="TableParagraph"/>
              <w:spacing w:line="213" w:lineRule="exact"/>
              <w:ind w:left="139"/>
              <w:rPr>
                <w:sz w:val="19"/>
              </w:rPr>
            </w:pPr>
            <w:r>
              <w:rPr>
                <w:w w:val="105"/>
                <w:sz w:val="19"/>
              </w:rPr>
              <w:t>Team</w:t>
            </w:r>
            <w:r>
              <w:rPr>
                <w:spacing w:val="-7"/>
                <w:w w:val="105"/>
                <w:sz w:val="19"/>
              </w:rPr>
              <w:t> </w:t>
            </w:r>
            <w:r>
              <w:rPr>
                <w:spacing w:val="-2"/>
                <w:w w:val="105"/>
                <w:sz w:val="19"/>
              </w:rPr>
              <w:t>Chair</w:t>
            </w:r>
          </w:p>
          <w:p>
            <w:pPr>
              <w:pStyle w:val="TableParagraph"/>
              <w:spacing w:line="196" w:lineRule="exact" w:before="22"/>
              <w:ind w:left="139"/>
              <w:rPr>
                <w:sz w:val="19"/>
              </w:rPr>
            </w:pPr>
            <w:r>
              <w:rPr>
                <w:w w:val="110"/>
                <w:sz w:val="19"/>
              </w:rPr>
              <w:t>Dept</w:t>
            </w:r>
            <w:r>
              <w:rPr>
                <w:spacing w:val="20"/>
                <w:w w:val="110"/>
                <w:sz w:val="19"/>
              </w:rPr>
              <w:t> </w:t>
            </w:r>
            <w:r>
              <w:rPr>
                <w:spacing w:val="-2"/>
                <w:w w:val="110"/>
                <w:sz w:val="19"/>
              </w:rPr>
              <w:t>Chair</w:t>
            </w:r>
          </w:p>
        </w:tc>
      </w:tr>
      <w:tr>
        <w:trPr>
          <w:trHeight w:val="548" w:hRule="atLeast"/>
        </w:trPr>
        <w:tc>
          <w:tcPr>
            <w:tcW w:w="1860" w:type="dxa"/>
          </w:tcPr>
          <w:p>
            <w:pPr>
              <w:pStyle w:val="TableParagraph"/>
              <w:spacing w:before="53"/>
              <w:ind w:left="140"/>
              <w:rPr>
                <w:sz w:val="21"/>
              </w:rPr>
            </w:pPr>
            <w:r>
              <w:rPr>
                <w:w w:val="105"/>
                <w:sz w:val="21"/>
              </w:rPr>
              <w:t>1:45p-</w:t>
            </w:r>
            <w:r>
              <w:rPr>
                <w:spacing w:val="-4"/>
                <w:w w:val="105"/>
                <w:sz w:val="21"/>
              </w:rPr>
              <w:t>4:30p</w:t>
            </w:r>
          </w:p>
        </w:tc>
        <w:tc>
          <w:tcPr>
            <w:tcW w:w="3999" w:type="dxa"/>
          </w:tcPr>
          <w:p>
            <w:pPr>
              <w:pStyle w:val="TableParagraph"/>
              <w:spacing w:line="254" w:lineRule="auto" w:before="62"/>
              <w:ind w:left="130" w:right="2165" w:firstLine="8"/>
              <w:rPr>
                <w:sz w:val="19"/>
              </w:rPr>
            </w:pPr>
            <w:r>
              <w:rPr>
                <w:w w:val="105"/>
                <w:sz w:val="19"/>
              </w:rPr>
              <w:t>T</w:t>
            </w:r>
            <w:r>
              <w:rPr>
                <w:w w:val="105"/>
                <w:sz w:val="14"/>
              </w:rPr>
              <w:t>OU</w:t>
            </w:r>
            <w:r>
              <w:rPr>
                <w:w w:val="105"/>
                <w:sz w:val="19"/>
              </w:rPr>
              <w:t>r of Facility [and</w:t>
            </w:r>
            <w:r>
              <w:rPr>
                <w:spacing w:val="-17"/>
                <w:w w:val="105"/>
                <w:sz w:val="19"/>
              </w:rPr>
              <w:t> </w:t>
            </w:r>
            <w:r>
              <w:rPr>
                <w:w w:val="105"/>
                <w:sz w:val="19"/>
              </w:rPr>
              <w:t>Team</w:t>
            </w:r>
            <w:r>
              <w:rPr>
                <w:spacing w:val="-3"/>
                <w:w w:val="105"/>
                <w:sz w:val="19"/>
              </w:rPr>
              <w:t> </w:t>
            </w:r>
            <w:r>
              <w:rPr>
                <w:w w:val="105"/>
                <w:sz w:val="19"/>
              </w:rPr>
              <w:t>Room]</w:t>
            </w:r>
          </w:p>
        </w:tc>
        <w:tc>
          <w:tcPr>
            <w:tcW w:w="1233" w:type="dxa"/>
          </w:tcPr>
          <w:p>
            <w:pPr>
              <w:pStyle w:val="TableParagraph"/>
              <w:spacing w:before="52"/>
              <w:ind w:left="129"/>
              <w:rPr>
                <w:sz w:val="19"/>
              </w:rPr>
            </w:pPr>
            <w:r>
              <w:rPr>
                <w:spacing w:val="-2"/>
                <w:w w:val="105"/>
                <w:sz w:val="19"/>
              </w:rPr>
              <w:t>Bemis</w:t>
            </w:r>
          </w:p>
        </w:tc>
        <w:tc>
          <w:tcPr>
            <w:tcW w:w="2110" w:type="dxa"/>
          </w:tcPr>
          <w:p>
            <w:pPr>
              <w:pStyle w:val="TableParagraph"/>
              <w:spacing w:line="254" w:lineRule="auto" w:before="43"/>
              <w:ind w:left="139" w:right="902"/>
              <w:rPr>
                <w:sz w:val="19"/>
              </w:rPr>
            </w:pPr>
            <w:r>
              <w:rPr>
                <w:w w:val="105"/>
                <w:sz w:val="19"/>
              </w:rPr>
              <w:t>Team</w:t>
            </w:r>
            <w:r>
              <w:rPr>
                <w:spacing w:val="-14"/>
                <w:w w:val="105"/>
                <w:sz w:val="19"/>
              </w:rPr>
              <w:t> </w:t>
            </w:r>
            <w:r>
              <w:rPr>
                <w:w w:val="105"/>
                <w:sz w:val="19"/>
              </w:rPr>
              <w:t>Chair Dept.</w:t>
            </w:r>
            <w:r>
              <w:rPr>
                <w:spacing w:val="-13"/>
                <w:w w:val="105"/>
                <w:sz w:val="19"/>
              </w:rPr>
              <w:t> </w:t>
            </w:r>
            <w:r>
              <w:rPr>
                <w:spacing w:val="-4"/>
                <w:w w:val="105"/>
                <w:sz w:val="19"/>
              </w:rPr>
              <w:t>Chair</w:t>
            </w:r>
          </w:p>
        </w:tc>
      </w:tr>
      <w:tr>
        <w:trPr>
          <w:trHeight w:val="220" w:hRule="atLeast"/>
        </w:trPr>
        <w:tc>
          <w:tcPr>
            <w:tcW w:w="1860" w:type="dxa"/>
          </w:tcPr>
          <w:p>
            <w:pPr>
              <w:pStyle w:val="TableParagraph"/>
              <w:spacing w:line="177" w:lineRule="exact" w:before="23"/>
              <w:ind w:left="139"/>
              <w:rPr>
                <w:sz w:val="19"/>
              </w:rPr>
            </w:pPr>
            <w:r>
              <w:rPr>
                <w:spacing w:val="-5"/>
                <w:w w:val="110"/>
                <w:sz w:val="19"/>
              </w:rPr>
              <w:t>TBD</w:t>
            </w:r>
          </w:p>
        </w:tc>
        <w:tc>
          <w:tcPr>
            <w:tcW w:w="3999" w:type="dxa"/>
          </w:tcPr>
          <w:p>
            <w:pPr>
              <w:pStyle w:val="TableParagraph"/>
              <w:spacing w:line="187" w:lineRule="exact" w:before="14"/>
              <w:ind w:left="139"/>
              <w:rPr>
                <w:sz w:val="19"/>
              </w:rPr>
            </w:pPr>
            <w:r>
              <w:rPr>
                <w:w w:val="105"/>
                <w:sz w:val="19"/>
              </w:rPr>
              <w:t>Team</w:t>
            </w:r>
            <w:r>
              <w:rPr>
                <w:spacing w:val="-7"/>
                <w:w w:val="105"/>
                <w:sz w:val="19"/>
              </w:rPr>
              <w:t> </w:t>
            </w:r>
            <w:r>
              <w:rPr>
                <w:w w:val="105"/>
                <w:sz w:val="19"/>
              </w:rPr>
              <w:t>Members</w:t>
            </w:r>
            <w:r>
              <w:rPr>
                <w:spacing w:val="-4"/>
                <w:w w:val="105"/>
                <w:sz w:val="19"/>
              </w:rPr>
              <w:t> </w:t>
            </w:r>
            <w:r>
              <w:rPr>
                <w:spacing w:val="-2"/>
                <w:w w:val="105"/>
                <w:sz w:val="19"/>
              </w:rPr>
              <w:t>Arrive</w:t>
            </w:r>
          </w:p>
        </w:tc>
        <w:tc>
          <w:tcPr>
            <w:tcW w:w="1233" w:type="dxa"/>
          </w:tcPr>
          <w:p>
            <w:pPr>
              <w:pStyle w:val="TableParagraph"/>
              <w:rPr>
                <w:rFonts w:ascii="Times New Roman"/>
                <w:sz w:val="14"/>
              </w:rPr>
            </w:pPr>
          </w:p>
        </w:tc>
        <w:tc>
          <w:tcPr>
            <w:tcW w:w="2110" w:type="dxa"/>
          </w:tcPr>
          <w:p>
            <w:pPr>
              <w:pStyle w:val="TableParagraph"/>
              <w:rPr>
                <w:rFonts w:ascii="Times New Roman"/>
                <w:sz w:val="14"/>
              </w:rPr>
            </w:pPr>
          </w:p>
        </w:tc>
      </w:tr>
      <w:tr>
        <w:trPr>
          <w:trHeight w:val="249" w:hRule="atLeast"/>
        </w:trPr>
        <w:tc>
          <w:tcPr>
            <w:tcW w:w="1860" w:type="dxa"/>
            <w:vMerge w:val="restart"/>
          </w:tcPr>
          <w:p>
            <w:pPr>
              <w:pStyle w:val="TableParagraph"/>
              <w:spacing w:before="43"/>
              <w:ind w:left="144"/>
              <w:rPr>
                <w:sz w:val="21"/>
              </w:rPr>
            </w:pPr>
            <w:r>
              <w:rPr>
                <w:w w:val="105"/>
                <w:sz w:val="21"/>
              </w:rPr>
              <w:t>5:00p-</w:t>
            </w:r>
            <w:r>
              <w:rPr>
                <w:spacing w:val="-4"/>
                <w:w w:val="110"/>
                <w:sz w:val="21"/>
              </w:rPr>
              <w:t>6:40</w:t>
            </w:r>
          </w:p>
        </w:tc>
        <w:tc>
          <w:tcPr>
            <w:tcW w:w="3999" w:type="dxa"/>
          </w:tcPr>
          <w:p>
            <w:pPr>
              <w:pStyle w:val="TableParagraph"/>
              <w:spacing w:line="177" w:lineRule="exact" w:before="52"/>
              <w:ind w:left="139"/>
              <w:rPr>
                <w:sz w:val="19"/>
              </w:rPr>
            </w:pPr>
            <w:r>
              <w:rPr>
                <w:w w:val="105"/>
                <w:sz w:val="19"/>
              </w:rPr>
              <w:t>Team</w:t>
            </w:r>
            <w:r>
              <w:rPr>
                <w:spacing w:val="-4"/>
                <w:w w:val="105"/>
                <w:sz w:val="19"/>
              </w:rPr>
              <w:t> </w:t>
            </w:r>
            <w:r>
              <w:rPr>
                <w:w w:val="105"/>
                <w:sz w:val="19"/>
              </w:rPr>
              <w:t>Meets</w:t>
            </w:r>
            <w:r>
              <w:rPr>
                <w:spacing w:val="-5"/>
                <w:w w:val="105"/>
                <w:sz w:val="19"/>
              </w:rPr>
              <w:t> </w:t>
            </w:r>
            <w:r>
              <w:rPr>
                <w:w w:val="105"/>
                <w:sz w:val="19"/>
              </w:rPr>
              <w:t>at </w:t>
            </w:r>
            <w:r>
              <w:rPr>
                <w:spacing w:val="-2"/>
                <w:w w:val="105"/>
                <w:sz w:val="19"/>
              </w:rPr>
              <w:t>Dinner</w:t>
            </w:r>
          </w:p>
        </w:tc>
        <w:tc>
          <w:tcPr>
            <w:tcW w:w="1233" w:type="dxa"/>
          </w:tcPr>
          <w:p>
            <w:pPr>
              <w:pStyle w:val="TableParagraph"/>
              <w:spacing w:line="187" w:lineRule="exact" w:before="43"/>
              <w:ind w:left="128"/>
              <w:rPr>
                <w:sz w:val="19"/>
              </w:rPr>
            </w:pPr>
            <w:r>
              <w:rPr>
                <w:spacing w:val="-2"/>
                <w:w w:val="105"/>
                <w:sz w:val="19"/>
              </w:rPr>
              <w:t>Hotel</w:t>
            </w:r>
          </w:p>
        </w:tc>
        <w:tc>
          <w:tcPr>
            <w:tcW w:w="2110" w:type="dxa"/>
          </w:tcPr>
          <w:p>
            <w:pPr>
              <w:pStyle w:val="TableParagraph"/>
              <w:spacing w:line="187" w:lineRule="exact" w:before="43"/>
              <w:ind w:left="139"/>
              <w:rPr>
                <w:sz w:val="19"/>
              </w:rPr>
            </w:pPr>
            <w:r>
              <w:rPr>
                <w:w w:val="105"/>
                <w:sz w:val="19"/>
              </w:rPr>
              <w:t>Team</w:t>
            </w:r>
            <w:r>
              <w:rPr>
                <w:spacing w:val="-7"/>
                <w:w w:val="105"/>
                <w:sz w:val="19"/>
              </w:rPr>
              <w:t> </w:t>
            </w:r>
            <w:r>
              <w:rPr>
                <w:spacing w:val="-4"/>
                <w:w w:val="105"/>
                <w:sz w:val="19"/>
              </w:rPr>
              <w:t>Only</w:t>
            </w:r>
          </w:p>
        </w:tc>
      </w:tr>
      <w:tr>
        <w:trPr>
          <w:trHeight w:val="268" w:hRule="atLeast"/>
        </w:trPr>
        <w:tc>
          <w:tcPr>
            <w:tcW w:w="1860" w:type="dxa"/>
            <w:vMerge/>
            <w:tcBorders>
              <w:top w:val="nil"/>
            </w:tcBorders>
          </w:tcPr>
          <w:p>
            <w:pPr>
              <w:rPr>
                <w:sz w:val="2"/>
                <w:szCs w:val="2"/>
              </w:rPr>
            </w:pPr>
          </w:p>
        </w:tc>
        <w:tc>
          <w:tcPr>
            <w:tcW w:w="3999" w:type="dxa"/>
          </w:tcPr>
          <w:p>
            <w:pPr>
              <w:pStyle w:val="TableParagraph"/>
              <w:rPr>
                <w:rFonts w:ascii="Times New Roman"/>
                <w:sz w:val="18"/>
              </w:rPr>
            </w:pPr>
          </w:p>
        </w:tc>
        <w:tc>
          <w:tcPr>
            <w:tcW w:w="1233" w:type="dxa"/>
          </w:tcPr>
          <w:p>
            <w:pPr>
              <w:pStyle w:val="TableParagraph"/>
              <w:rPr>
                <w:rFonts w:ascii="Times New Roman"/>
                <w:sz w:val="18"/>
              </w:rPr>
            </w:pPr>
          </w:p>
        </w:tc>
        <w:tc>
          <w:tcPr>
            <w:tcW w:w="2110" w:type="dxa"/>
          </w:tcPr>
          <w:p>
            <w:pPr>
              <w:pStyle w:val="TableParagraph"/>
              <w:rPr>
                <w:rFonts w:ascii="Times New Roman"/>
                <w:sz w:val="18"/>
              </w:rPr>
            </w:pPr>
          </w:p>
        </w:tc>
      </w:tr>
      <w:tr>
        <w:trPr>
          <w:trHeight w:val="326" w:hRule="atLeast"/>
        </w:trPr>
        <w:tc>
          <w:tcPr>
            <w:tcW w:w="9202" w:type="dxa"/>
            <w:gridSpan w:val="4"/>
          </w:tcPr>
          <w:p>
            <w:pPr>
              <w:pStyle w:val="TableParagraph"/>
              <w:spacing w:before="53"/>
              <w:ind w:left="144"/>
              <w:rPr>
                <w:sz w:val="21"/>
              </w:rPr>
            </w:pPr>
            <w:r>
              <w:rPr>
                <w:sz w:val="21"/>
              </w:rPr>
              <w:t>Sunday,</w:t>
            </w:r>
            <w:r>
              <w:rPr>
                <w:spacing w:val="-9"/>
                <w:sz w:val="21"/>
              </w:rPr>
              <w:t> </w:t>
            </w:r>
            <w:r>
              <w:rPr>
                <w:sz w:val="21"/>
              </w:rPr>
              <w:t>March</w:t>
            </w:r>
            <w:r>
              <w:rPr>
                <w:spacing w:val="-9"/>
                <w:sz w:val="21"/>
              </w:rPr>
              <w:t> </w:t>
            </w:r>
            <w:r>
              <w:rPr>
                <w:sz w:val="21"/>
              </w:rPr>
              <w:t>22,</w:t>
            </w:r>
            <w:r>
              <w:rPr>
                <w:spacing w:val="-12"/>
                <w:sz w:val="21"/>
              </w:rPr>
              <w:t> </w:t>
            </w:r>
            <w:r>
              <w:rPr>
                <w:spacing w:val="-4"/>
                <w:sz w:val="21"/>
              </w:rPr>
              <w:t>2009</w:t>
            </w:r>
          </w:p>
        </w:tc>
      </w:tr>
      <w:tr>
        <w:trPr>
          <w:trHeight w:val="451" w:hRule="atLeast"/>
        </w:trPr>
        <w:tc>
          <w:tcPr>
            <w:tcW w:w="1860" w:type="dxa"/>
          </w:tcPr>
          <w:p>
            <w:pPr>
              <w:pStyle w:val="TableParagraph"/>
              <w:spacing w:line="237" w:lineRule="exact"/>
              <w:ind w:left="145"/>
              <w:rPr>
                <w:sz w:val="21"/>
              </w:rPr>
            </w:pPr>
            <w:r>
              <w:rPr>
                <w:w w:val="110"/>
                <w:sz w:val="21"/>
              </w:rPr>
              <w:t>8:00a-</w:t>
            </w:r>
            <w:r>
              <w:rPr>
                <w:spacing w:val="-14"/>
                <w:w w:val="110"/>
                <w:sz w:val="21"/>
              </w:rPr>
              <w:t> </w:t>
            </w:r>
            <w:r>
              <w:rPr>
                <w:spacing w:val="-4"/>
                <w:w w:val="110"/>
                <w:sz w:val="21"/>
              </w:rPr>
              <w:t>9:00</w:t>
            </w:r>
          </w:p>
        </w:tc>
        <w:tc>
          <w:tcPr>
            <w:tcW w:w="3999" w:type="dxa"/>
          </w:tcPr>
          <w:p>
            <w:pPr>
              <w:pStyle w:val="TableParagraph"/>
              <w:spacing w:before="4"/>
              <w:ind w:left="139"/>
              <w:rPr>
                <w:sz w:val="19"/>
              </w:rPr>
            </w:pPr>
            <w:r>
              <w:rPr>
                <w:w w:val="105"/>
                <w:sz w:val="19"/>
              </w:rPr>
              <w:t>Team</w:t>
            </w:r>
            <w:r>
              <w:rPr>
                <w:spacing w:val="-10"/>
                <w:w w:val="105"/>
                <w:sz w:val="19"/>
              </w:rPr>
              <w:t> </w:t>
            </w:r>
            <w:r>
              <w:rPr>
                <w:w w:val="105"/>
                <w:sz w:val="19"/>
              </w:rPr>
              <w:t>Breakfast</w:t>
            </w:r>
            <w:r>
              <w:rPr>
                <w:spacing w:val="1"/>
                <w:w w:val="105"/>
                <w:sz w:val="19"/>
              </w:rPr>
              <w:t> </w:t>
            </w:r>
            <w:r>
              <w:rPr>
                <w:w w:val="105"/>
                <w:sz w:val="19"/>
              </w:rPr>
              <w:t>with</w:t>
            </w:r>
            <w:r>
              <w:rPr>
                <w:spacing w:val="-12"/>
                <w:w w:val="105"/>
                <w:sz w:val="19"/>
              </w:rPr>
              <w:t> </w:t>
            </w:r>
            <w:r>
              <w:rPr>
                <w:spacing w:val="-2"/>
                <w:w w:val="105"/>
                <w:sz w:val="19"/>
              </w:rPr>
              <w:t>Chair</w:t>
            </w:r>
          </w:p>
        </w:tc>
        <w:tc>
          <w:tcPr>
            <w:tcW w:w="1233" w:type="dxa"/>
          </w:tcPr>
          <w:p>
            <w:pPr>
              <w:pStyle w:val="TableParagraph"/>
              <w:spacing w:before="4"/>
              <w:ind w:left="128"/>
              <w:rPr>
                <w:sz w:val="19"/>
              </w:rPr>
            </w:pPr>
            <w:r>
              <w:rPr>
                <w:spacing w:val="-2"/>
                <w:w w:val="105"/>
                <w:sz w:val="19"/>
              </w:rPr>
              <w:t>Hotel</w:t>
            </w:r>
          </w:p>
        </w:tc>
        <w:tc>
          <w:tcPr>
            <w:tcW w:w="2110" w:type="dxa"/>
          </w:tcPr>
          <w:p>
            <w:pPr>
              <w:pStyle w:val="TableParagraph"/>
              <w:spacing w:line="213" w:lineRule="exact"/>
              <w:ind w:left="139"/>
              <w:rPr>
                <w:sz w:val="19"/>
              </w:rPr>
            </w:pPr>
            <w:r>
              <w:rPr>
                <w:w w:val="105"/>
                <w:sz w:val="19"/>
              </w:rPr>
              <w:t>Team</w:t>
            </w:r>
            <w:r>
              <w:rPr>
                <w:spacing w:val="-2"/>
                <w:w w:val="105"/>
                <w:sz w:val="19"/>
              </w:rPr>
              <w:t> Members</w:t>
            </w:r>
          </w:p>
          <w:p>
            <w:pPr>
              <w:pStyle w:val="TableParagraph"/>
              <w:spacing w:line="206" w:lineRule="exact" w:before="12"/>
              <w:ind w:left="139"/>
              <w:rPr>
                <w:sz w:val="19"/>
              </w:rPr>
            </w:pPr>
            <w:r>
              <w:rPr>
                <w:w w:val="105"/>
                <w:sz w:val="19"/>
              </w:rPr>
              <w:t>Dept</w:t>
            </w:r>
            <w:r>
              <w:rPr>
                <w:spacing w:val="-15"/>
                <w:w w:val="105"/>
                <w:sz w:val="19"/>
              </w:rPr>
              <w:t> </w:t>
            </w:r>
            <w:r>
              <w:rPr>
                <w:spacing w:val="-4"/>
                <w:w w:val="105"/>
                <w:sz w:val="19"/>
              </w:rPr>
              <w:t>Chair</w:t>
            </w:r>
          </w:p>
        </w:tc>
      </w:tr>
      <w:tr>
        <w:trPr>
          <w:trHeight w:val="721" w:hRule="atLeast"/>
        </w:trPr>
        <w:tc>
          <w:tcPr>
            <w:tcW w:w="1860" w:type="dxa"/>
          </w:tcPr>
          <w:p>
            <w:pPr>
              <w:pStyle w:val="TableParagraph"/>
              <w:spacing w:before="33"/>
              <w:ind w:left="144"/>
              <w:rPr>
                <w:sz w:val="21"/>
              </w:rPr>
            </w:pPr>
            <w:r>
              <w:rPr>
                <w:spacing w:val="-2"/>
                <w:w w:val="105"/>
                <w:sz w:val="21"/>
              </w:rPr>
              <w:t>9:15a-11:00a</w:t>
            </w:r>
          </w:p>
        </w:tc>
        <w:tc>
          <w:tcPr>
            <w:tcW w:w="3999" w:type="dxa"/>
          </w:tcPr>
          <w:p>
            <w:pPr>
              <w:pStyle w:val="TableParagraph"/>
              <w:spacing w:line="254" w:lineRule="auto" w:before="52"/>
              <w:ind w:left="138" w:hanging="1"/>
              <w:rPr>
                <w:sz w:val="19"/>
              </w:rPr>
            </w:pPr>
            <w:r>
              <w:rPr>
                <w:w w:val="105"/>
                <w:sz w:val="19"/>
              </w:rPr>
              <w:t>Review</w:t>
            </w:r>
            <w:r>
              <w:rPr>
                <w:spacing w:val="-6"/>
                <w:w w:val="105"/>
                <w:sz w:val="19"/>
              </w:rPr>
              <w:t> </w:t>
            </w:r>
            <w:r>
              <w:rPr>
                <w:w w:val="105"/>
                <w:sz w:val="19"/>
              </w:rPr>
              <w:t>of</w:t>
            </w:r>
            <w:r>
              <w:rPr>
                <w:spacing w:val="-2"/>
                <w:w w:val="105"/>
                <w:sz w:val="19"/>
              </w:rPr>
              <w:t> </w:t>
            </w:r>
            <w:r>
              <w:rPr>
                <w:w w:val="105"/>
                <w:sz w:val="19"/>
              </w:rPr>
              <w:t>and</w:t>
            </w:r>
            <w:r>
              <w:rPr>
                <w:spacing w:val="-11"/>
                <w:w w:val="105"/>
                <w:sz w:val="19"/>
              </w:rPr>
              <w:t> </w:t>
            </w:r>
            <w:r>
              <w:rPr>
                <w:w w:val="105"/>
                <w:sz w:val="19"/>
              </w:rPr>
              <w:t>Team</w:t>
            </w:r>
            <w:r>
              <w:rPr>
                <w:spacing w:val="-9"/>
                <w:w w:val="105"/>
                <w:sz w:val="19"/>
              </w:rPr>
              <w:t> </w:t>
            </w:r>
            <w:r>
              <w:rPr>
                <w:w w:val="105"/>
                <w:sz w:val="19"/>
              </w:rPr>
              <w:t>Room</w:t>
            </w:r>
            <w:r>
              <w:rPr>
                <w:spacing w:val="-10"/>
                <w:w w:val="105"/>
                <w:sz w:val="19"/>
              </w:rPr>
              <w:t> </w:t>
            </w:r>
            <w:r>
              <w:rPr>
                <w:w w:val="105"/>
                <w:sz w:val="19"/>
              </w:rPr>
              <w:t>Orientation Process Overview</w:t>
            </w:r>
          </w:p>
          <w:p>
            <w:pPr>
              <w:pStyle w:val="TableParagraph"/>
              <w:spacing w:line="186" w:lineRule="exact"/>
              <w:ind w:left="138"/>
              <w:rPr>
                <w:sz w:val="19"/>
              </w:rPr>
            </w:pPr>
            <w:r>
              <w:rPr>
                <w:w w:val="105"/>
                <w:sz w:val="19"/>
              </w:rPr>
              <w:t>Discussion</w:t>
            </w:r>
            <w:r>
              <w:rPr>
                <w:spacing w:val="2"/>
                <w:w w:val="105"/>
                <w:sz w:val="19"/>
              </w:rPr>
              <w:t> </w:t>
            </w:r>
            <w:r>
              <w:rPr>
                <w:w w:val="105"/>
                <w:sz w:val="19"/>
              </w:rPr>
              <w:t>of</w:t>
            </w:r>
            <w:r>
              <w:rPr>
                <w:spacing w:val="-8"/>
                <w:w w:val="105"/>
                <w:sz w:val="19"/>
              </w:rPr>
              <w:t> </w:t>
            </w:r>
            <w:r>
              <w:rPr>
                <w:w w:val="105"/>
                <w:sz w:val="19"/>
              </w:rPr>
              <w:t>Tasks</w:t>
            </w:r>
            <w:r>
              <w:rPr>
                <w:spacing w:val="-11"/>
                <w:w w:val="105"/>
                <w:sz w:val="19"/>
              </w:rPr>
              <w:t> </w:t>
            </w:r>
            <w:r>
              <w:rPr>
                <w:w w:val="105"/>
                <w:sz w:val="19"/>
              </w:rPr>
              <w:t>and</w:t>
            </w:r>
            <w:r>
              <w:rPr>
                <w:spacing w:val="-1"/>
                <w:w w:val="105"/>
                <w:sz w:val="19"/>
              </w:rPr>
              <w:t> </w:t>
            </w:r>
            <w:r>
              <w:rPr>
                <w:spacing w:val="-2"/>
                <w:w w:val="105"/>
                <w:sz w:val="19"/>
              </w:rPr>
              <w:t>Responsibilities</w:t>
            </w:r>
          </w:p>
        </w:tc>
        <w:tc>
          <w:tcPr>
            <w:tcW w:w="1233" w:type="dxa"/>
          </w:tcPr>
          <w:p>
            <w:pPr>
              <w:pStyle w:val="TableParagraph"/>
              <w:spacing w:before="43"/>
              <w:ind w:left="129"/>
              <w:rPr>
                <w:sz w:val="19"/>
              </w:rPr>
            </w:pPr>
            <w:r>
              <w:rPr>
                <w:spacing w:val="-2"/>
                <w:w w:val="105"/>
                <w:sz w:val="19"/>
              </w:rPr>
              <w:t>Bemis</w:t>
            </w:r>
          </w:p>
        </w:tc>
        <w:tc>
          <w:tcPr>
            <w:tcW w:w="2110" w:type="dxa"/>
          </w:tcPr>
          <w:p>
            <w:pPr>
              <w:pStyle w:val="TableParagraph"/>
              <w:spacing w:before="52"/>
              <w:ind w:left="139"/>
              <w:rPr>
                <w:sz w:val="19"/>
              </w:rPr>
            </w:pPr>
            <w:r>
              <w:rPr>
                <w:w w:val="105"/>
                <w:sz w:val="19"/>
              </w:rPr>
              <w:t>Team</w:t>
            </w:r>
            <w:r>
              <w:rPr>
                <w:spacing w:val="-7"/>
                <w:w w:val="105"/>
                <w:sz w:val="19"/>
              </w:rPr>
              <w:t> </w:t>
            </w:r>
            <w:r>
              <w:rPr>
                <w:spacing w:val="-5"/>
                <w:w w:val="125"/>
                <w:sz w:val="19"/>
              </w:rPr>
              <w:t>Onl</w:t>
            </w:r>
          </w:p>
        </w:tc>
      </w:tr>
      <w:tr>
        <w:trPr>
          <w:trHeight w:val="490" w:hRule="atLeast"/>
        </w:trPr>
        <w:tc>
          <w:tcPr>
            <w:tcW w:w="1860" w:type="dxa"/>
          </w:tcPr>
          <w:p>
            <w:pPr>
              <w:pStyle w:val="TableParagraph"/>
              <w:spacing w:before="33"/>
              <w:ind w:left="140"/>
              <w:rPr>
                <w:sz w:val="21"/>
              </w:rPr>
            </w:pPr>
            <w:r>
              <w:rPr>
                <w:spacing w:val="-2"/>
                <w:sz w:val="21"/>
              </w:rPr>
              <w:t>11:00a</w:t>
            </w:r>
            <w:r>
              <w:rPr>
                <w:spacing w:val="-16"/>
                <w:sz w:val="21"/>
              </w:rPr>
              <w:t> </w:t>
            </w:r>
            <w:r>
              <w:rPr>
                <w:spacing w:val="-2"/>
                <w:sz w:val="21"/>
              </w:rPr>
              <w:t>-</w:t>
            </w:r>
            <w:r>
              <w:rPr>
                <w:spacing w:val="21"/>
                <w:sz w:val="21"/>
              </w:rPr>
              <w:t> </w:t>
            </w:r>
            <w:r>
              <w:rPr>
                <w:spacing w:val="-2"/>
                <w:sz w:val="21"/>
              </w:rPr>
              <w:t>12:00p</w:t>
            </w:r>
          </w:p>
        </w:tc>
        <w:tc>
          <w:tcPr>
            <w:tcW w:w="3999" w:type="dxa"/>
          </w:tcPr>
          <w:p>
            <w:pPr>
              <w:pStyle w:val="TableParagraph"/>
              <w:spacing w:before="52"/>
              <w:ind w:left="134"/>
              <w:rPr>
                <w:sz w:val="19"/>
              </w:rPr>
            </w:pPr>
            <w:r>
              <w:rPr>
                <w:w w:val="105"/>
                <w:sz w:val="19"/>
              </w:rPr>
              <w:t>Chapel</w:t>
            </w:r>
            <w:r>
              <w:rPr>
                <w:spacing w:val="-8"/>
                <w:w w:val="105"/>
                <w:sz w:val="19"/>
              </w:rPr>
              <w:t> </w:t>
            </w:r>
            <w:r>
              <w:rPr>
                <w:w w:val="105"/>
                <w:sz w:val="19"/>
              </w:rPr>
              <w:t>Service</w:t>
            </w:r>
            <w:r>
              <w:rPr>
                <w:spacing w:val="-11"/>
                <w:w w:val="105"/>
                <w:sz w:val="19"/>
              </w:rPr>
              <w:t> </w:t>
            </w:r>
            <w:r>
              <w:rPr>
                <w:spacing w:val="-2"/>
                <w:w w:val="105"/>
                <w:sz w:val="19"/>
              </w:rPr>
              <w:t>(optional)</w:t>
            </w:r>
          </w:p>
        </w:tc>
        <w:tc>
          <w:tcPr>
            <w:tcW w:w="1233" w:type="dxa"/>
          </w:tcPr>
          <w:p>
            <w:pPr>
              <w:pStyle w:val="TableParagraph"/>
              <w:spacing w:line="230" w:lineRule="atLeast" w:before="21"/>
              <w:ind w:left="124" w:firstLine="4"/>
              <w:rPr>
                <w:sz w:val="19"/>
              </w:rPr>
            </w:pPr>
            <w:r>
              <w:rPr>
                <w:spacing w:val="-2"/>
                <w:sz w:val="19"/>
              </w:rPr>
              <w:t>Memorial </w:t>
            </w:r>
            <w:r>
              <w:rPr>
                <w:spacing w:val="-2"/>
                <w:w w:val="105"/>
                <w:sz w:val="19"/>
              </w:rPr>
              <w:t>Chapel</w:t>
            </w:r>
          </w:p>
        </w:tc>
        <w:tc>
          <w:tcPr>
            <w:tcW w:w="2110" w:type="dxa"/>
          </w:tcPr>
          <w:p>
            <w:pPr>
              <w:pStyle w:val="TableParagraph"/>
              <w:spacing w:line="230" w:lineRule="atLeast" w:before="21"/>
              <w:ind w:left="139" w:right="548"/>
              <w:rPr>
                <w:sz w:val="19"/>
              </w:rPr>
            </w:pPr>
            <w:r>
              <w:rPr>
                <w:w w:val="105"/>
                <w:sz w:val="19"/>
              </w:rPr>
              <w:t>Team</w:t>
            </w:r>
            <w:r>
              <w:rPr>
                <w:spacing w:val="-14"/>
                <w:w w:val="105"/>
                <w:sz w:val="19"/>
              </w:rPr>
              <w:t> </w:t>
            </w:r>
            <w:r>
              <w:rPr>
                <w:w w:val="105"/>
                <w:sz w:val="19"/>
              </w:rPr>
              <w:t>Members Dept</w:t>
            </w:r>
            <w:r>
              <w:rPr>
                <w:spacing w:val="-13"/>
                <w:w w:val="105"/>
                <w:sz w:val="19"/>
              </w:rPr>
              <w:t> </w:t>
            </w:r>
            <w:r>
              <w:rPr>
                <w:w w:val="105"/>
                <w:sz w:val="19"/>
              </w:rPr>
              <w:t>Chair</w:t>
            </w:r>
          </w:p>
        </w:tc>
      </w:tr>
      <w:tr>
        <w:trPr>
          <w:trHeight w:val="962" w:hRule="atLeast"/>
        </w:trPr>
        <w:tc>
          <w:tcPr>
            <w:tcW w:w="1860" w:type="dxa"/>
          </w:tcPr>
          <w:p>
            <w:pPr>
              <w:pStyle w:val="TableParagraph"/>
              <w:spacing w:before="33"/>
              <w:ind w:left="140"/>
              <w:rPr>
                <w:sz w:val="21"/>
              </w:rPr>
            </w:pPr>
            <w:r>
              <w:rPr>
                <w:w w:val="95"/>
                <w:sz w:val="21"/>
              </w:rPr>
              <w:t>12:00n</w:t>
            </w:r>
            <w:r>
              <w:rPr>
                <w:spacing w:val="-10"/>
                <w:w w:val="95"/>
                <w:sz w:val="21"/>
              </w:rPr>
              <w:t> </w:t>
            </w:r>
            <w:r>
              <w:rPr>
                <w:w w:val="95"/>
                <w:sz w:val="21"/>
              </w:rPr>
              <w:t>-</w:t>
            </w:r>
            <w:r>
              <w:rPr>
                <w:spacing w:val="39"/>
                <w:sz w:val="21"/>
              </w:rPr>
              <w:t> </w:t>
            </w:r>
            <w:r>
              <w:rPr>
                <w:spacing w:val="-2"/>
                <w:w w:val="95"/>
                <w:sz w:val="21"/>
              </w:rPr>
              <w:t>1:00p</w:t>
            </w:r>
          </w:p>
        </w:tc>
        <w:tc>
          <w:tcPr>
            <w:tcW w:w="3999" w:type="dxa"/>
          </w:tcPr>
          <w:p>
            <w:pPr>
              <w:pStyle w:val="TableParagraph"/>
              <w:spacing w:line="254" w:lineRule="auto" w:before="52"/>
              <w:ind w:left="135" w:right="42" w:firstLine="4"/>
              <w:rPr>
                <w:sz w:val="19"/>
              </w:rPr>
            </w:pPr>
            <w:r>
              <w:rPr>
                <w:w w:val="105"/>
                <w:sz w:val="19"/>
              </w:rPr>
              <w:t>Lunch</w:t>
            </w:r>
            <w:r>
              <w:rPr>
                <w:spacing w:val="-2"/>
                <w:w w:val="105"/>
                <w:sz w:val="19"/>
              </w:rPr>
              <w:t> </w:t>
            </w:r>
            <w:r>
              <w:rPr>
                <w:w w:val="105"/>
                <w:sz w:val="19"/>
              </w:rPr>
              <w:t>with</w:t>
            </w:r>
            <w:r>
              <w:rPr>
                <w:spacing w:val="-10"/>
                <w:w w:val="105"/>
                <w:sz w:val="19"/>
              </w:rPr>
              <w:t> </w:t>
            </w:r>
            <w:r>
              <w:rPr>
                <w:w w:val="105"/>
                <w:sz w:val="19"/>
              </w:rPr>
              <w:t>Dr.</w:t>
            </w:r>
            <w:r>
              <w:rPr>
                <w:spacing w:val="-7"/>
                <w:w w:val="105"/>
                <w:sz w:val="19"/>
              </w:rPr>
              <w:t> </w:t>
            </w:r>
            <w:r>
              <w:rPr>
                <w:w w:val="105"/>
                <w:sz w:val="19"/>
              </w:rPr>
              <w:t>Sheppard</w:t>
            </w:r>
            <w:r>
              <w:rPr>
                <w:spacing w:val="-7"/>
                <w:w w:val="105"/>
                <w:sz w:val="19"/>
              </w:rPr>
              <w:t> </w:t>
            </w:r>
            <w:r>
              <w:rPr>
                <w:w w:val="105"/>
                <w:sz w:val="19"/>
              </w:rPr>
              <w:t>(Dean</w:t>
            </w:r>
            <w:r>
              <w:rPr>
                <w:spacing w:val="-5"/>
                <w:w w:val="105"/>
                <w:sz w:val="19"/>
              </w:rPr>
              <w:t> </w:t>
            </w:r>
            <w:r>
              <w:rPr>
                <w:w w:val="105"/>
                <w:sz w:val="19"/>
              </w:rPr>
              <w:t>of School of Engineering &amp; Technology) and other School</w:t>
            </w:r>
            <w:r>
              <w:rPr>
                <w:spacing w:val="-1"/>
                <w:w w:val="105"/>
                <w:sz w:val="19"/>
              </w:rPr>
              <w:t> </w:t>
            </w:r>
            <w:r>
              <w:rPr>
                <w:w w:val="105"/>
                <w:sz w:val="19"/>
              </w:rPr>
              <w:t>chairs</w:t>
            </w:r>
          </w:p>
        </w:tc>
        <w:tc>
          <w:tcPr>
            <w:tcW w:w="1233" w:type="dxa"/>
          </w:tcPr>
          <w:p>
            <w:pPr>
              <w:pStyle w:val="TableParagraph"/>
              <w:rPr>
                <w:rFonts w:ascii="Times New Roman"/>
                <w:sz w:val="18"/>
              </w:rPr>
            </w:pPr>
          </w:p>
        </w:tc>
        <w:tc>
          <w:tcPr>
            <w:tcW w:w="2110" w:type="dxa"/>
          </w:tcPr>
          <w:p>
            <w:pPr>
              <w:pStyle w:val="TableParagraph"/>
              <w:spacing w:line="254" w:lineRule="auto" w:before="52"/>
              <w:ind w:left="139" w:right="553"/>
              <w:jc w:val="both"/>
              <w:rPr>
                <w:sz w:val="19"/>
              </w:rPr>
            </w:pPr>
            <w:r>
              <w:rPr>
                <w:w w:val="105"/>
                <w:sz w:val="19"/>
              </w:rPr>
              <w:t>Team</w:t>
            </w:r>
            <w:r>
              <w:rPr>
                <w:spacing w:val="-14"/>
                <w:w w:val="105"/>
                <w:sz w:val="19"/>
              </w:rPr>
              <w:t> </w:t>
            </w:r>
            <w:r>
              <w:rPr>
                <w:w w:val="105"/>
                <w:sz w:val="19"/>
              </w:rPr>
              <w:t>Members Dean</w:t>
            </w:r>
            <w:r>
              <w:rPr>
                <w:spacing w:val="-14"/>
                <w:w w:val="105"/>
                <w:sz w:val="19"/>
              </w:rPr>
              <w:t> </w:t>
            </w:r>
            <w:r>
              <w:rPr>
                <w:w w:val="105"/>
                <w:sz w:val="19"/>
              </w:rPr>
              <w:t>Sheppard Dept</w:t>
            </w:r>
            <w:r>
              <w:rPr>
                <w:spacing w:val="-13"/>
                <w:w w:val="105"/>
                <w:sz w:val="19"/>
              </w:rPr>
              <w:t> </w:t>
            </w:r>
            <w:r>
              <w:rPr>
                <w:w w:val="105"/>
                <w:sz w:val="19"/>
              </w:rPr>
              <w:t>Chair</w:t>
            </w:r>
          </w:p>
          <w:p>
            <w:pPr>
              <w:pStyle w:val="TableParagraph"/>
              <w:spacing w:line="195" w:lineRule="exact"/>
              <w:ind w:left="145"/>
              <w:jc w:val="both"/>
              <w:rPr>
                <w:sz w:val="19"/>
              </w:rPr>
            </w:pPr>
            <w:r>
              <w:rPr>
                <w:w w:val="105"/>
                <w:sz w:val="19"/>
              </w:rPr>
              <w:t>School</w:t>
            </w:r>
            <w:r>
              <w:rPr>
                <w:spacing w:val="-14"/>
                <w:w w:val="105"/>
                <w:sz w:val="19"/>
              </w:rPr>
              <w:t> </w:t>
            </w:r>
            <w:r>
              <w:rPr>
                <w:w w:val="105"/>
                <w:sz w:val="19"/>
              </w:rPr>
              <w:t>Dept</w:t>
            </w:r>
            <w:r>
              <w:rPr>
                <w:spacing w:val="-14"/>
                <w:w w:val="105"/>
                <w:sz w:val="19"/>
              </w:rPr>
              <w:t> </w:t>
            </w:r>
            <w:r>
              <w:rPr>
                <w:spacing w:val="-2"/>
                <w:w w:val="105"/>
                <w:sz w:val="19"/>
              </w:rPr>
              <w:t>Chairs</w:t>
            </w:r>
          </w:p>
        </w:tc>
      </w:tr>
      <w:tr>
        <w:trPr>
          <w:trHeight w:val="297" w:hRule="atLeast"/>
        </w:trPr>
        <w:tc>
          <w:tcPr>
            <w:tcW w:w="1860" w:type="dxa"/>
          </w:tcPr>
          <w:p>
            <w:pPr>
              <w:pStyle w:val="TableParagraph"/>
              <w:spacing w:before="33"/>
              <w:ind w:left="140"/>
              <w:rPr>
                <w:sz w:val="21"/>
              </w:rPr>
            </w:pPr>
            <w:r>
              <w:rPr>
                <w:sz w:val="21"/>
              </w:rPr>
              <w:t>1:00p</w:t>
            </w:r>
            <w:r>
              <w:rPr>
                <w:spacing w:val="-16"/>
                <w:sz w:val="21"/>
              </w:rPr>
              <w:t> </w:t>
            </w:r>
            <w:r>
              <w:rPr>
                <w:sz w:val="21"/>
              </w:rPr>
              <w:t>-</w:t>
            </w:r>
            <w:r>
              <w:rPr>
                <w:spacing w:val="16"/>
                <w:sz w:val="21"/>
              </w:rPr>
              <w:t> </w:t>
            </w:r>
            <w:r>
              <w:rPr>
                <w:spacing w:val="-2"/>
                <w:sz w:val="21"/>
              </w:rPr>
              <w:t>2:00p</w:t>
            </w:r>
          </w:p>
        </w:tc>
        <w:tc>
          <w:tcPr>
            <w:tcW w:w="3999" w:type="dxa"/>
          </w:tcPr>
          <w:p>
            <w:pPr>
              <w:pStyle w:val="TableParagraph"/>
              <w:spacing w:before="52"/>
              <w:ind w:left="141"/>
              <w:rPr>
                <w:sz w:val="19"/>
              </w:rPr>
            </w:pPr>
            <w:r>
              <w:rPr>
                <w:w w:val="105"/>
                <w:sz w:val="19"/>
              </w:rPr>
              <w:t>Work</w:t>
            </w:r>
            <w:r>
              <w:rPr>
                <w:spacing w:val="-9"/>
                <w:w w:val="105"/>
                <w:sz w:val="19"/>
              </w:rPr>
              <w:t> </w:t>
            </w:r>
            <w:r>
              <w:rPr>
                <w:spacing w:val="-2"/>
                <w:w w:val="105"/>
                <w:sz w:val="19"/>
              </w:rPr>
              <w:t>Reviews</w:t>
            </w:r>
          </w:p>
        </w:tc>
        <w:tc>
          <w:tcPr>
            <w:tcW w:w="1233" w:type="dxa"/>
          </w:tcPr>
          <w:p>
            <w:pPr>
              <w:pStyle w:val="TableParagraph"/>
              <w:spacing w:before="43"/>
              <w:ind w:left="129"/>
              <w:rPr>
                <w:sz w:val="19"/>
              </w:rPr>
            </w:pPr>
            <w:r>
              <w:rPr>
                <w:spacing w:val="-2"/>
                <w:w w:val="105"/>
                <w:sz w:val="19"/>
              </w:rPr>
              <w:t>Bemis</w:t>
            </w:r>
          </w:p>
        </w:tc>
        <w:tc>
          <w:tcPr>
            <w:tcW w:w="2110" w:type="dxa"/>
          </w:tcPr>
          <w:p>
            <w:pPr>
              <w:pStyle w:val="TableParagraph"/>
              <w:spacing w:before="43"/>
              <w:ind w:left="139"/>
              <w:rPr>
                <w:sz w:val="19"/>
              </w:rPr>
            </w:pPr>
            <w:r>
              <w:rPr>
                <w:w w:val="105"/>
                <w:sz w:val="19"/>
              </w:rPr>
              <w:t>Team</w:t>
            </w:r>
            <w:r>
              <w:rPr>
                <w:spacing w:val="-7"/>
                <w:w w:val="105"/>
                <w:sz w:val="19"/>
              </w:rPr>
              <w:t> </w:t>
            </w:r>
            <w:r>
              <w:rPr>
                <w:spacing w:val="-4"/>
                <w:w w:val="105"/>
                <w:sz w:val="19"/>
              </w:rPr>
              <w:t>Only</w:t>
            </w:r>
          </w:p>
        </w:tc>
      </w:tr>
      <w:tr>
        <w:trPr>
          <w:trHeight w:val="451" w:hRule="atLeast"/>
        </w:trPr>
        <w:tc>
          <w:tcPr>
            <w:tcW w:w="1860" w:type="dxa"/>
          </w:tcPr>
          <w:p>
            <w:pPr>
              <w:pStyle w:val="TableParagraph"/>
              <w:spacing w:line="237" w:lineRule="exact"/>
              <w:ind w:left="138"/>
              <w:rPr>
                <w:sz w:val="21"/>
              </w:rPr>
            </w:pPr>
            <w:r>
              <w:rPr>
                <w:sz w:val="21"/>
              </w:rPr>
              <w:t>2:00p</w:t>
            </w:r>
            <w:r>
              <w:rPr>
                <w:spacing w:val="-16"/>
                <w:sz w:val="21"/>
              </w:rPr>
              <w:t> </w:t>
            </w:r>
            <w:r>
              <w:rPr>
                <w:sz w:val="21"/>
              </w:rPr>
              <w:t>-</w:t>
            </w:r>
            <w:r>
              <w:rPr>
                <w:spacing w:val="17"/>
                <w:sz w:val="21"/>
              </w:rPr>
              <w:t> </w:t>
            </w:r>
            <w:r>
              <w:rPr>
                <w:spacing w:val="-2"/>
                <w:sz w:val="21"/>
              </w:rPr>
              <w:t>3:00p</w:t>
            </w:r>
          </w:p>
        </w:tc>
        <w:tc>
          <w:tcPr>
            <w:tcW w:w="3999" w:type="dxa"/>
          </w:tcPr>
          <w:p>
            <w:pPr>
              <w:pStyle w:val="TableParagraph"/>
              <w:spacing w:before="14"/>
              <w:ind w:left="139"/>
              <w:rPr>
                <w:sz w:val="19"/>
              </w:rPr>
            </w:pPr>
            <w:r>
              <w:rPr>
                <w:w w:val="105"/>
                <w:sz w:val="19"/>
              </w:rPr>
              <w:t>Meeting</w:t>
            </w:r>
            <w:r>
              <w:rPr>
                <w:spacing w:val="1"/>
                <w:w w:val="105"/>
                <w:sz w:val="19"/>
              </w:rPr>
              <w:t> </w:t>
            </w:r>
            <w:r>
              <w:rPr>
                <w:w w:val="105"/>
                <w:sz w:val="19"/>
              </w:rPr>
              <w:t>with</w:t>
            </w:r>
            <w:r>
              <w:rPr>
                <w:spacing w:val="-20"/>
                <w:w w:val="105"/>
                <w:sz w:val="19"/>
              </w:rPr>
              <w:t> </w:t>
            </w:r>
            <w:r>
              <w:rPr>
                <w:spacing w:val="-2"/>
                <w:w w:val="105"/>
                <w:sz w:val="19"/>
              </w:rPr>
              <w:t>Faculty</w:t>
            </w:r>
          </w:p>
          <w:p>
            <w:pPr>
              <w:pStyle w:val="TableParagraph"/>
              <w:spacing w:line="187" w:lineRule="exact" w:before="12"/>
              <w:ind w:left="139"/>
              <w:rPr>
                <w:sz w:val="19"/>
              </w:rPr>
            </w:pPr>
            <w:r>
              <w:rPr>
                <w:w w:val="105"/>
                <w:sz w:val="19"/>
              </w:rPr>
              <w:t>MF</w:t>
            </w:r>
            <w:r>
              <w:rPr>
                <w:spacing w:val="-3"/>
                <w:w w:val="105"/>
                <w:sz w:val="19"/>
              </w:rPr>
              <w:t> </w:t>
            </w:r>
            <w:r>
              <w:rPr>
                <w:w w:val="105"/>
                <w:sz w:val="19"/>
              </w:rPr>
              <w:t>intro;</w:t>
            </w:r>
            <w:r>
              <w:rPr>
                <w:spacing w:val="-2"/>
                <w:w w:val="105"/>
                <w:sz w:val="19"/>
              </w:rPr>
              <w:t> </w:t>
            </w:r>
            <w:r>
              <w:rPr>
                <w:w w:val="105"/>
                <w:sz w:val="19"/>
              </w:rPr>
              <w:t>JB</w:t>
            </w:r>
            <w:r>
              <w:rPr>
                <w:spacing w:val="-3"/>
                <w:w w:val="105"/>
                <w:sz w:val="19"/>
              </w:rPr>
              <w:t> </w:t>
            </w:r>
            <w:r>
              <w:rPr>
                <w:w w:val="105"/>
                <w:sz w:val="19"/>
              </w:rPr>
              <w:t>lead</w:t>
            </w:r>
            <w:r>
              <w:rPr>
                <w:spacing w:val="-12"/>
                <w:w w:val="105"/>
                <w:sz w:val="19"/>
              </w:rPr>
              <w:t> </w:t>
            </w:r>
            <w:r>
              <w:rPr>
                <w:spacing w:val="-2"/>
                <w:w w:val="105"/>
                <w:sz w:val="19"/>
              </w:rPr>
              <w:t>discussion</w:t>
            </w:r>
          </w:p>
        </w:tc>
        <w:tc>
          <w:tcPr>
            <w:tcW w:w="1233" w:type="dxa"/>
          </w:tcPr>
          <w:p>
            <w:pPr>
              <w:pStyle w:val="TableParagraph"/>
              <w:spacing w:line="230" w:lineRule="atLeast"/>
              <w:ind w:left="129" w:right="458" w:hanging="2"/>
              <w:rPr>
                <w:sz w:val="19"/>
              </w:rPr>
            </w:pPr>
            <w:r>
              <w:rPr>
                <w:spacing w:val="-4"/>
                <w:w w:val="105"/>
                <w:sz w:val="19"/>
              </w:rPr>
              <w:t>Harvey </w:t>
            </w:r>
            <w:r>
              <w:rPr>
                <w:spacing w:val="-2"/>
                <w:w w:val="105"/>
                <w:sz w:val="19"/>
              </w:rPr>
              <w:t>Library</w:t>
            </w:r>
          </w:p>
        </w:tc>
        <w:tc>
          <w:tcPr>
            <w:tcW w:w="2110" w:type="dxa"/>
          </w:tcPr>
          <w:p>
            <w:pPr>
              <w:pStyle w:val="TableParagraph"/>
              <w:spacing w:line="230" w:lineRule="atLeast"/>
              <w:ind w:left="147" w:hanging="9"/>
              <w:rPr>
                <w:sz w:val="19"/>
              </w:rPr>
            </w:pPr>
            <w:r>
              <w:rPr>
                <w:w w:val="105"/>
                <w:sz w:val="19"/>
              </w:rPr>
              <w:t>Team Members </w:t>
            </w:r>
            <w:r>
              <w:rPr>
                <w:spacing w:val="-2"/>
                <w:w w:val="105"/>
                <w:sz w:val="19"/>
              </w:rPr>
              <w:t>Faculty</w:t>
            </w:r>
            <w:r>
              <w:rPr>
                <w:spacing w:val="-12"/>
                <w:w w:val="105"/>
                <w:sz w:val="19"/>
              </w:rPr>
              <w:t> </w:t>
            </w:r>
            <w:r>
              <w:rPr>
                <w:spacing w:val="-2"/>
                <w:w w:val="105"/>
                <w:sz w:val="19"/>
              </w:rPr>
              <w:t>Members</w:t>
            </w:r>
          </w:p>
        </w:tc>
      </w:tr>
      <w:tr>
        <w:trPr>
          <w:trHeight w:val="260" w:hRule="atLeast"/>
        </w:trPr>
        <w:tc>
          <w:tcPr>
            <w:tcW w:w="1860" w:type="dxa"/>
          </w:tcPr>
          <w:p>
            <w:pPr>
              <w:pStyle w:val="TableParagraph"/>
              <w:spacing w:line="215" w:lineRule="exact" w:before="25"/>
              <w:ind w:left="144"/>
              <w:rPr>
                <w:sz w:val="21"/>
              </w:rPr>
            </w:pPr>
            <w:r>
              <w:rPr>
                <w:w w:val="105"/>
                <w:sz w:val="21"/>
              </w:rPr>
              <w:t>3:00p-</w:t>
            </w:r>
            <w:r>
              <w:rPr>
                <w:spacing w:val="-4"/>
                <w:w w:val="110"/>
                <w:sz w:val="21"/>
              </w:rPr>
              <w:t>5:30</w:t>
            </w:r>
          </w:p>
        </w:tc>
        <w:tc>
          <w:tcPr>
            <w:tcW w:w="3999" w:type="dxa"/>
          </w:tcPr>
          <w:p>
            <w:pPr>
              <w:pStyle w:val="TableParagraph"/>
              <w:spacing w:line="196" w:lineRule="exact" w:before="44"/>
              <w:ind w:left="141"/>
              <w:rPr>
                <w:sz w:val="19"/>
              </w:rPr>
            </w:pPr>
            <w:r>
              <w:rPr>
                <w:w w:val="105"/>
                <w:sz w:val="19"/>
              </w:rPr>
              <w:t>Work</w:t>
            </w:r>
            <w:r>
              <w:rPr>
                <w:spacing w:val="-2"/>
                <w:w w:val="105"/>
                <w:sz w:val="19"/>
              </w:rPr>
              <w:t> Session</w:t>
            </w:r>
          </w:p>
        </w:tc>
        <w:tc>
          <w:tcPr>
            <w:tcW w:w="1233" w:type="dxa"/>
          </w:tcPr>
          <w:p>
            <w:pPr>
              <w:pStyle w:val="TableParagraph"/>
              <w:spacing w:line="196" w:lineRule="exact" w:before="44"/>
              <w:ind w:left="129"/>
              <w:rPr>
                <w:sz w:val="19"/>
              </w:rPr>
            </w:pPr>
            <w:r>
              <w:rPr>
                <w:spacing w:val="-2"/>
                <w:w w:val="105"/>
                <w:sz w:val="19"/>
              </w:rPr>
              <w:t>Bemis</w:t>
            </w:r>
          </w:p>
        </w:tc>
        <w:tc>
          <w:tcPr>
            <w:tcW w:w="2110" w:type="dxa"/>
          </w:tcPr>
          <w:p>
            <w:pPr>
              <w:pStyle w:val="TableParagraph"/>
              <w:spacing w:line="196" w:lineRule="exact" w:before="44"/>
              <w:ind w:left="149"/>
              <w:rPr>
                <w:sz w:val="19"/>
              </w:rPr>
            </w:pPr>
            <w:r>
              <w:rPr>
                <w:w w:val="105"/>
                <w:sz w:val="19"/>
              </w:rPr>
              <w:t>Team</w:t>
            </w:r>
            <w:r>
              <w:rPr>
                <w:spacing w:val="-7"/>
                <w:w w:val="105"/>
                <w:sz w:val="19"/>
              </w:rPr>
              <w:t> </w:t>
            </w:r>
            <w:r>
              <w:rPr>
                <w:spacing w:val="-4"/>
                <w:w w:val="105"/>
                <w:sz w:val="19"/>
              </w:rPr>
              <w:t>Only</w:t>
            </w:r>
          </w:p>
        </w:tc>
      </w:tr>
      <w:tr>
        <w:trPr>
          <w:trHeight w:val="297" w:hRule="atLeast"/>
        </w:trPr>
        <w:tc>
          <w:tcPr>
            <w:tcW w:w="1860" w:type="dxa"/>
          </w:tcPr>
          <w:p>
            <w:pPr>
              <w:pStyle w:val="TableParagraph"/>
              <w:spacing w:before="33"/>
              <w:ind w:left="136"/>
              <w:rPr>
                <w:sz w:val="21"/>
              </w:rPr>
            </w:pPr>
            <w:r>
              <w:rPr>
                <w:sz w:val="21"/>
              </w:rPr>
              <w:t>6:00p</w:t>
            </w:r>
            <w:r>
              <w:rPr>
                <w:spacing w:val="-15"/>
                <w:sz w:val="21"/>
              </w:rPr>
              <w:t> </w:t>
            </w:r>
            <w:r>
              <w:rPr>
                <w:sz w:val="21"/>
              </w:rPr>
              <w:t>-</w:t>
            </w:r>
            <w:r>
              <w:rPr>
                <w:spacing w:val="17"/>
                <w:sz w:val="21"/>
              </w:rPr>
              <w:t> </w:t>
            </w:r>
            <w:r>
              <w:rPr>
                <w:spacing w:val="-2"/>
                <w:sz w:val="21"/>
              </w:rPr>
              <w:t>7:30p</w:t>
            </w:r>
          </w:p>
        </w:tc>
        <w:tc>
          <w:tcPr>
            <w:tcW w:w="3999" w:type="dxa"/>
          </w:tcPr>
          <w:p>
            <w:pPr>
              <w:pStyle w:val="TableParagraph"/>
              <w:spacing w:before="52"/>
              <w:ind w:left="138"/>
              <w:rPr>
                <w:sz w:val="19"/>
              </w:rPr>
            </w:pPr>
            <w:r>
              <w:rPr>
                <w:spacing w:val="-2"/>
                <w:w w:val="105"/>
                <w:sz w:val="19"/>
              </w:rPr>
              <w:t>Dinner</w:t>
            </w:r>
          </w:p>
        </w:tc>
        <w:tc>
          <w:tcPr>
            <w:tcW w:w="1233" w:type="dxa"/>
          </w:tcPr>
          <w:p>
            <w:pPr>
              <w:pStyle w:val="TableParagraph"/>
              <w:spacing w:before="52"/>
              <w:ind w:left="128"/>
              <w:rPr>
                <w:sz w:val="19"/>
              </w:rPr>
            </w:pPr>
            <w:r>
              <w:rPr>
                <w:spacing w:val="-2"/>
                <w:w w:val="105"/>
                <w:sz w:val="19"/>
              </w:rPr>
              <w:t>Hotel</w:t>
            </w:r>
          </w:p>
        </w:tc>
        <w:tc>
          <w:tcPr>
            <w:tcW w:w="2110" w:type="dxa"/>
          </w:tcPr>
          <w:p>
            <w:pPr>
              <w:pStyle w:val="TableParagraph"/>
              <w:spacing w:before="52"/>
              <w:ind w:left="149"/>
              <w:rPr>
                <w:sz w:val="19"/>
              </w:rPr>
            </w:pPr>
            <w:r>
              <w:rPr>
                <w:w w:val="105"/>
                <w:sz w:val="19"/>
              </w:rPr>
              <w:t>Team</w:t>
            </w:r>
            <w:r>
              <w:rPr>
                <w:spacing w:val="-7"/>
                <w:w w:val="105"/>
                <w:sz w:val="19"/>
              </w:rPr>
              <w:t> </w:t>
            </w:r>
            <w:r>
              <w:rPr>
                <w:spacing w:val="-4"/>
                <w:w w:val="105"/>
                <w:sz w:val="19"/>
              </w:rPr>
              <w:t>Only</w:t>
            </w:r>
          </w:p>
        </w:tc>
      </w:tr>
      <w:tr>
        <w:trPr>
          <w:trHeight w:val="230" w:hRule="atLeast"/>
        </w:trPr>
        <w:tc>
          <w:tcPr>
            <w:tcW w:w="1860" w:type="dxa"/>
          </w:tcPr>
          <w:p>
            <w:pPr>
              <w:pStyle w:val="TableParagraph"/>
              <w:spacing w:line="210" w:lineRule="exact"/>
              <w:ind w:left="143"/>
              <w:rPr>
                <w:sz w:val="21"/>
              </w:rPr>
            </w:pPr>
            <w:r>
              <w:rPr>
                <w:spacing w:val="-2"/>
                <w:w w:val="105"/>
                <w:sz w:val="21"/>
              </w:rPr>
              <w:t>7:30p-</w:t>
            </w:r>
          </w:p>
        </w:tc>
        <w:tc>
          <w:tcPr>
            <w:tcW w:w="3999" w:type="dxa"/>
          </w:tcPr>
          <w:p>
            <w:pPr>
              <w:pStyle w:val="TableParagraph"/>
              <w:spacing w:line="196" w:lineRule="exact" w:before="14"/>
              <w:ind w:left="141"/>
              <w:rPr>
                <w:sz w:val="19"/>
              </w:rPr>
            </w:pPr>
            <w:r>
              <w:rPr>
                <w:w w:val="105"/>
                <w:sz w:val="19"/>
              </w:rPr>
              <w:t>Work</w:t>
            </w:r>
            <w:r>
              <w:rPr>
                <w:spacing w:val="-2"/>
                <w:w w:val="105"/>
                <w:sz w:val="19"/>
              </w:rPr>
              <w:t> Session</w:t>
            </w:r>
          </w:p>
        </w:tc>
        <w:tc>
          <w:tcPr>
            <w:tcW w:w="1233" w:type="dxa"/>
          </w:tcPr>
          <w:p>
            <w:pPr>
              <w:pStyle w:val="TableParagraph"/>
              <w:spacing w:line="196" w:lineRule="exact" w:before="14"/>
              <w:ind w:left="129"/>
              <w:rPr>
                <w:sz w:val="19"/>
              </w:rPr>
            </w:pPr>
            <w:r>
              <w:rPr>
                <w:spacing w:val="-2"/>
                <w:w w:val="105"/>
                <w:sz w:val="19"/>
              </w:rPr>
              <w:t>Bemis</w:t>
            </w:r>
          </w:p>
        </w:tc>
        <w:tc>
          <w:tcPr>
            <w:tcW w:w="2110" w:type="dxa"/>
          </w:tcPr>
          <w:p>
            <w:pPr>
              <w:pStyle w:val="TableParagraph"/>
              <w:spacing w:line="196" w:lineRule="exact" w:before="14"/>
              <w:ind w:left="149"/>
              <w:rPr>
                <w:sz w:val="19"/>
              </w:rPr>
            </w:pPr>
            <w:r>
              <w:rPr>
                <w:w w:val="105"/>
                <w:sz w:val="19"/>
              </w:rPr>
              <w:t>Team</w:t>
            </w:r>
            <w:r>
              <w:rPr>
                <w:spacing w:val="-7"/>
                <w:w w:val="105"/>
                <w:sz w:val="19"/>
              </w:rPr>
              <w:t> </w:t>
            </w:r>
            <w:r>
              <w:rPr>
                <w:spacing w:val="-4"/>
                <w:w w:val="105"/>
                <w:sz w:val="19"/>
              </w:rPr>
              <w:t>Only</w:t>
            </w:r>
          </w:p>
        </w:tc>
      </w:tr>
    </w:tbl>
    <w:p>
      <w:pPr>
        <w:pStyle w:val="BodyText"/>
      </w:pPr>
    </w:p>
    <w:p>
      <w:pPr>
        <w:pStyle w:val="BodyText"/>
      </w:pPr>
    </w:p>
    <w:p>
      <w:pPr>
        <w:pStyle w:val="BodyText"/>
      </w:pPr>
    </w:p>
    <w:p>
      <w:pPr>
        <w:pStyle w:val="BodyText"/>
      </w:pPr>
    </w:p>
    <w:p>
      <w:pPr>
        <w:pStyle w:val="BodyText"/>
        <w:spacing w:before="9"/>
        <w:rPr>
          <w:sz w:val="23"/>
        </w:rPr>
      </w:pPr>
    </w:p>
    <w:tbl>
      <w:tblPr>
        <w:tblW w:w="0" w:type="auto"/>
        <w:jc w:val="left"/>
        <w:tblInd w:w="1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69"/>
        <w:gridCol w:w="3989"/>
        <w:gridCol w:w="1252"/>
        <w:gridCol w:w="2090"/>
      </w:tblGrid>
      <w:tr>
        <w:trPr>
          <w:trHeight w:val="307" w:hRule="atLeast"/>
        </w:trPr>
        <w:tc>
          <w:tcPr>
            <w:tcW w:w="9200" w:type="dxa"/>
            <w:gridSpan w:val="4"/>
          </w:tcPr>
          <w:p>
            <w:pPr>
              <w:pStyle w:val="TableParagraph"/>
              <w:spacing w:before="52"/>
              <w:ind w:left="129"/>
              <w:rPr>
                <w:sz w:val="19"/>
              </w:rPr>
            </w:pPr>
            <w:r>
              <w:rPr>
                <w:w w:val="105"/>
                <w:sz w:val="19"/>
              </w:rPr>
              <w:t>Monday,</w:t>
            </w:r>
            <w:r>
              <w:rPr>
                <w:spacing w:val="-1"/>
                <w:w w:val="105"/>
                <w:sz w:val="19"/>
              </w:rPr>
              <w:t> </w:t>
            </w:r>
            <w:r>
              <w:rPr>
                <w:w w:val="105"/>
                <w:sz w:val="19"/>
              </w:rPr>
              <w:t>March</w:t>
            </w:r>
            <w:r>
              <w:rPr>
                <w:spacing w:val="-9"/>
                <w:w w:val="105"/>
                <w:sz w:val="19"/>
              </w:rPr>
              <w:t> </w:t>
            </w:r>
            <w:r>
              <w:rPr>
                <w:w w:val="105"/>
                <w:sz w:val="19"/>
              </w:rPr>
              <w:t>23, </w:t>
            </w:r>
            <w:r>
              <w:rPr>
                <w:spacing w:val="-4"/>
                <w:w w:val="105"/>
                <w:sz w:val="19"/>
              </w:rPr>
              <w:t>2009</w:t>
            </w:r>
          </w:p>
        </w:tc>
      </w:tr>
      <w:tr>
        <w:trPr>
          <w:trHeight w:val="442" w:hRule="atLeast"/>
        </w:trPr>
        <w:tc>
          <w:tcPr>
            <w:tcW w:w="1869" w:type="dxa"/>
          </w:tcPr>
          <w:p>
            <w:pPr>
              <w:pStyle w:val="TableParagraph"/>
              <w:spacing w:line="237" w:lineRule="exact"/>
              <w:ind w:left="135"/>
              <w:rPr>
                <w:sz w:val="21"/>
              </w:rPr>
            </w:pPr>
            <w:r>
              <w:rPr>
                <w:w w:val="95"/>
                <w:sz w:val="21"/>
              </w:rPr>
              <w:t>8:00a</w:t>
            </w:r>
            <w:r>
              <w:rPr>
                <w:spacing w:val="-15"/>
                <w:w w:val="95"/>
                <w:sz w:val="21"/>
              </w:rPr>
              <w:t> </w:t>
            </w:r>
            <w:r>
              <w:rPr>
                <w:w w:val="95"/>
                <w:sz w:val="21"/>
              </w:rPr>
              <w:t>-</w:t>
            </w:r>
            <w:r>
              <w:rPr>
                <w:spacing w:val="41"/>
                <w:sz w:val="21"/>
              </w:rPr>
              <w:t> </w:t>
            </w:r>
            <w:r>
              <w:rPr>
                <w:spacing w:val="-2"/>
                <w:w w:val="95"/>
                <w:sz w:val="21"/>
              </w:rPr>
              <w:t>9:00a</w:t>
            </w:r>
          </w:p>
        </w:tc>
        <w:tc>
          <w:tcPr>
            <w:tcW w:w="3989" w:type="dxa"/>
          </w:tcPr>
          <w:p>
            <w:pPr>
              <w:pStyle w:val="TableParagraph"/>
              <w:spacing w:before="4"/>
              <w:ind w:left="120"/>
              <w:rPr>
                <w:sz w:val="19"/>
              </w:rPr>
            </w:pPr>
            <w:r>
              <w:rPr>
                <w:w w:val="105"/>
                <w:sz w:val="19"/>
              </w:rPr>
              <w:t>Team</w:t>
            </w:r>
            <w:r>
              <w:rPr>
                <w:spacing w:val="-10"/>
                <w:w w:val="105"/>
                <w:sz w:val="19"/>
              </w:rPr>
              <w:t> </w:t>
            </w:r>
            <w:r>
              <w:rPr>
                <w:w w:val="105"/>
                <w:sz w:val="19"/>
              </w:rPr>
              <w:t>Breakfast</w:t>
            </w:r>
            <w:r>
              <w:rPr>
                <w:spacing w:val="1"/>
                <w:w w:val="105"/>
                <w:sz w:val="19"/>
              </w:rPr>
              <w:t> </w:t>
            </w:r>
            <w:r>
              <w:rPr>
                <w:w w:val="105"/>
                <w:sz w:val="19"/>
              </w:rPr>
              <w:t>with</w:t>
            </w:r>
            <w:r>
              <w:rPr>
                <w:spacing w:val="-12"/>
                <w:w w:val="105"/>
                <w:sz w:val="19"/>
              </w:rPr>
              <w:t> </w:t>
            </w:r>
            <w:r>
              <w:rPr>
                <w:spacing w:val="-2"/>
                <w:w w:val="105"/>
                <w:sz w:val="19"/>
              </w:rPr>
              <w:t>Chair</w:t>
            </w:r>
          </w:p>
        </w:tc>
        <w:tc>
          <w:tcPr>
            <w:tcW w:w="1252" w:type="dxa"/>
          </w:tcPr>
          <w:p>
            <w:pPr>
              <w:pStyle w:val="TableParagraph"/>
              <w:spacing w:before="4"/>
              <w:ind w:left="119"/>
              <w:rPr>
                <w:sz w:val="19"/>
              </w:rPr>
            </w:pPr>
            <w:r>
              <w:rPr>
                <w:spacing w:val="-2"/>
                <w:w w:val="105"/>
                <w:sz w:val="19"/>
              </w:rPr>
              <w:t>Hotel</w:t>
            </w:r>
          </w:p>
        </w:tc>
        <w:tc>
          <w:tcPr>
            <w:tcW w:w="2090" w:type="dxa"/>
          </w:tcPr>
          <w:p>
            <w:pPr>
              <w:pStyle w:val="TableParagraph"/>
              <w:spacing w:line="220" w:lineRule="atLeast"/>
              <w:ind w:left="121" w:right="175"/>
              <w:rPr>
                <w:sz w:val="19"/>
              </w:rPr>
            </w:pPr>
            <w:r>
              <w:rPr>
                <w:spacing w:val="-2"/>
                <w:w w:val="105"/>
                <w:sz w:val="19"/>
              </w:rPr>
              <w:t>Tearn</w:t>
            </w:r>
            <w:r>
              <w:rPr>
                <w:spacing w:val="-12"/>
                <w:w w:val="105"/>
                <w:sz w:val="19"/>
              </w:rPr>
              <w:t> </w:t>
            </w:r>
            <w:r>
              <w:rPr>
                <w:spacing w:val="-2"/>
                <w:w w:val="105"/>
                <w:sz w:val="19"/>
              </w:rPr>
              <w:t>Members </w:t>
            </w:r>
            <w:r>
              <w:rPr>
                <w:w w:val="105"/>
                <w:sz w:val="19"/>
              </w:rPr>
              <w:t>Dept</w:t>
            </w:r>
            <w:r>
              <w:rPr>
                <w:spacing w:val="-7"/>
                <w:w w:val="105"/>
                <w:sz w:val="19"/>
              </w:rPr>
              <w:t> </w:t>
            </w:r>
            <w:r>
              <w:rPr>
                <w:w w:val="105"/>
                <w:sz w:val="19"/>
              </w:rPr>
              <w:t>Chair</w:t>
            </w:r>
          </w:p>
        </w:tc>
      </w:tr>
      <w:tr>
        <w:trPr>
          <w:trHeight w:val="499" w:hRule="atLeast"/>
        </w:trPr>
        <w:tc>
          <w:tcPr>
            <w:tcW w:w="1869" w:type="dxa"/>
          </w:tcPr>
          <w:p>
            <w:pPr>
              <w:pStyle w:val="TableParagraph"/>
              <w:spacing w:before="52"/>
              <w:ind w:left="136"/>
              <w:rPr>
                <w:sz w:val="19"/>
              </w:rPr>
            </w:pPr>
            <w:r>
              <w:rPr>
                <w:w w:val="115"/>
                <w:sz w:val="19"/>
              </w:rPr>
              <w:t>9:15a-</w:t>
            </w:r>
            <w:r>
              <w:rPr>
                <w:spacing w:val="31"/>
                <w:w w:val="115"/>
                <w:sz w:val="19"/>
              </w:rPr>
              <w:t> </w:t>
            </w:r>
            <w:r>
              <w:rPr>
                <w:spacing w:val="-2"/>
                <w:w w:val="115"/>
                <w:sz w:val="19"/>
              </w:rPr>
              <w:t>10:00a</w:t>
            </w:r>
          </w:p>
        </w:tc>
        <w:tc>
          <w:tcPr>
            <w:tcW w:w="3989" w:type="dxa"/>
          </w:tcPr>
          <w:p>
            <w:pPr>
              <w:pStyle w:val="TableParagraph"/>
              <w:spacing w:line="230" w:lineRule="atLeast" w:before="21"/>
              <w:ind w:left="120" w:right="1757"/>
              <w:rPr>
                <w:sz w:val="19"/>
              </w:rPr>
            </w:pPr>
            <w:r>
              <w:rPr>
                <w:w w:val="105"/>
                <w:sz w:val="19"/>
              </w:rPr>
              <w:t>Meeting</w:t>
            </w:r>
            <w:r>
              <w:rPr>
                <w:spacing w:val="-14"/>
                <w:w w:val="105"/>
                <w:sz w:val="19"/>
              </w:rPr>
              <w:t> </w:t>
            </w:r>
            <w:r>
              <w:rPr>
                <w:w w:val="105"/>
                <w:sz w:val="19"/>
              </w:rPr>
              <w:t>with</w:t>
            </w:r>
            <w:r>
              <w:rPr>
                <w:spacing w:val="-14"/>
                <w:w w:val="105"/>
                <w:sz w:val="19"/>
              </w:rPr>
              <w:t> </w:t>
            </w:r>
            <w:r>
              <w:rPr>
                <w:w w:val="105"/>
                <w:sz w:val="19"/>
              </w:rPr>
              <w:t>Provost MF lead</w:t>
            </w:r>
          </w:p>
        </w:tc>
        <w:tc>
          <w:tcPr>
            <w:tcW w:w="1252" w:type="dxa"/>
          </w:tcPr>
          <w:p>
            <w:pPr>
              <w:pStyle w:val="TableParagraph"/>
              <w:spacing w:line="230" w:lineRule="atLeast" w:before="21"/>
              <w:ind w:left="130" w:hanging="6"/>
              <w:rPr>
                <w:sz w:val="19"/>
              </w:rPr>
            </w:pPr>
            <w:r>
              <w:rPr>
                <w:spacing w:val="-2"/>
                <w:w w:val="105"/>
                <w:sz w:val="19"/>
              </w:rPr>
              <w:t>Admin </w:t>
            </w:r>
            <w:r>
              <w:rPr>
                <w:spacing w:val="-2"/>
                <w:sz w:val="19"/>
              </w:rPr>
              <w:t>Building</w:t>
            </w:r>
          </w:p>
        </w:tc>
        <w:tc>
          <w:tcPr>
            <w:tcW w:w="2090" w:type="dxa"/>
          </w:tcPr>
          <w:p>
            <w:pPr>
              <w:pStyle w:val="TableParagraph"/>
              <w:spacing w:before="52"/>
              <w:ind w:left="121"/>
              <w:rPr>
                <w:sz w:val="19"/>
              </w:rPr>
            </w:pPr>
            <w:r>
              <w:rPr>
                <w:w w:val="105"/>
                <w:sz w:val="19"/>
              </w:rPr>
              <w:t>Team</w:t>
            </w:r>
            <w:r>
              <w:rPr>
                <w:spacing w:val="-2"/>
                <w:w w:val="105"/>
                <w:sz w:val="19"/>
              </w:rPr>
              <w:t> Members</w:t>
            </w:r>
          </w:p>
        </w:tc>
      </w:tr>
      <w:tr>
        <w:trPr>
          <w:trHeight w:val="471" w:hRule="atLeast"/>
        </w:trPr>
        <w:tc>
          <w:tcPr>
            <w:tcW w:w="1869" w:type="dxa"/>
          </w:tcPr>
          <w:p>
            <w:pPr>
              <w:pStyle w:val="TableParagraph"/>
              <w:spacing w:before="33"/>
              <w:ind w:left="131"/>
              <w:rPr>
                <w:sz w:val="21"/>
              </w:rPr>
            </w:pPr>
            <w:r>
              <w:rPr>
                <w:sz w:val="21"/>
              </w:rPr>
              <w:t>10:00a</w:t>
            </w:r>
            <w:r>
              <w:rPr>
                <w:spacing w:val="-15"/>
                <w:sz w:val="21"/>
              </w:rPr>
              <w:t> </w:t>
            </w:r>
            <w:r>
              <w:rPr>
                <w:sz w:val="21"/>
              </w:rPr>
              <w:t>-</w:t>
            </w:r>
            <w:r>
              <w:rPr>
                <w:spacing w:val="15"/>
                <w:sz w:val="21"/>
              </w:rPr>
              <w:t> </w:t>
            </w:r>
            <w:r>
              <w:rPr>
                <w:spacing w:val="-2"/>
                <w:sz w:val="21"/>
              </w:rPr>
              <w:t>10:45a</w:t>
            </w:r>
          </w:p>
        </w:tc>
        <w:tc>
          <w:tcPr>
            <w:tcW w:w="3989" w:type="dxa"/>
          </w:tcPr>
          <w:p>
            <w:pPr>
              <w:pStyle w:val="TableParagraph"/>
              <w:spacing w:line="230" w:lineRule="atLeast" w:before="11"/>
              <w:ind w:left="125" w:hanging="5"/>
              <w:rPr>
                <w:sz w:val="19"/>
              </w:rPr>
            </w:pPr>
            <w:r>
              <w:rPr>
                <w:w w:val="105"/>
                <w:sz w:val="19"/>
              </w:rPr>
              <w:t>Meeting with</w:t>
            </w:r>
            <w:r>
              <w:rPr>
                <w:spacing w:val="-12"/>
                <w:w w:val="105"/>
                <w:sz w:val="19"/>
              </w:rPr>
              <w:t> </w:t>
            </w:r>
            <w:r>
              <w:rPr>
                <w:w w:val="105"/>
                <w:sz w:val="19"/>
              </w:rPr>
              <w:t>Dr.</w:t>
            </w:r>
            <w:r>
              <w:rPr>
                <w:spacing w:val="-9"/>
                <w:w w:val="105"/>
                <w:sz w:val="19"/>
              </w:rPr>
              <w:t> </w:t>
            </w:r>
            <w:r>
              <w:rPr>
                <w:w w:val="105"/>
                <w:sz w:val="19"/>
              </w:rPr>
              <w:t>Harvey or</w:t>
            </w:r>
            <w:r>
              <w:rPr>
                <w:spacing w:val="-11"/>
                <w:w w:val="105"/>
                <w:sz w:val="19"/>
              </w:rPr>
              <w:t> </w:t>
            </w:r>
            <w:r>
              <w:rPr>
                <w:w w:val="105"/>
                <w:sz w:val="19"/>
              </w:rPr>
              <w:t>Senior Administrator MF lead</w:t>
            </w:r>
          </w:p>
        </w:tc>
        <w:tc>
          <w:tcPr>
            <w:tcW w:w="1252" w:type="dxa"/>
          </w:tcPr>
          <w:p>
            <w:pPr>
              <w:pStyle w:val="TableParagraph"/>
              <w:spacing w:line="230" w:lineRule="atLeast" w:before="11"/>
              <w:ind w:left="130" w:firstLine="4"/>
              <w:rPr>
                <w:sz w:val="19"/>
              </w:rPr>
            </w:pPr>
            <w:r>
              <w:rPr>
                <w:spacing w:val="-2"/>
                <w:sz w:val="19"/>
              </w:rPr>
              <w:t>Admin </w:t>
            </w:r>
            <w:r>
              <w:rPr>
                <w:spacing w:val="-2"/>
                <w:w w:val="95"/>
                <w:sz w:val="19"/>
              </w:rPr>
              <w:t>BuildinQ</w:t>
            </w:r>
          </w:p>
        </w:tc>
        <w:tc>
          <w:tcPr>
            <w:tcW w:w="2090" w:type="dxa"/>
          </w:tcPr>
          <w:p>
            <w:pPr>
              <w:pStyle w:val="TableParagraph"/>
              <w:spacing w:before="43"/>
              <w:ind w:left="131"/>
              <w:rPr>
                <w:sz w:val="19"/>
              </w:rPr>
            </w:pPr>
            <w:r>
              <w:rPr>
                <w:w w:val="105"/>
                <w:sz w:val="19"/>
              </w:rPr>
              <w:t>Team</w:t>
            </w:r>
            <w:r>
              <w:rPr>
                <w:spacing w:val="-12"/>
                <w:w w:val="105"/>
                <w:sz w:val="19"/>
              </w:rPr>
              <w:t> </w:t>
            </w:r>
            <w:r>
              <w:rPr>
                <w:spacing w:val="-2"/>
                <w:w w:val="105"/>
                <w:sz w:val="19"/>
              </w:rPr>
              <w:t>Members</w:t>
            </w:r>
          </w:p>
        </w:tc>
      </w:tr>
      <w:tr>
        <w:trPr>
          <w:trHeight w:val="317" w:hRule="atLeast"/>
        </w:trPr>
        <w:tc>
          <w:tcPr>
            <w:tcW w:w="1869" w:type="dxa"/>
          </w:tcPr>
          <w:p>
            <w:pPr>
              <w:pStyle w:val="TableParagraph"/>
              <w:spacing w:before="62"/>
              <w:ind w:left="142"/>
              <w:rPr>
                <w:sz w:val="19"/>
              </w:rPr>
            </w:pPr>
            <w:r>
              <w:rPr>
                <w:spacing w:val="-2"/>
                <w:w w:val="115"/>
                <w:sz w:val="19"/>
              </w:rPr>
              <w:t>11:00a-11:45a</w:t>
            </w:r>
          </w:p>
        </w:tc>
        <w:tc>
          <w:tcPr>
            <w:tcW w:w="3989" w:type="dxa"/>
          </w:tcPr>
          <w:p>
            <w:pPr>
              <w:pStyle w:val="TableParagraph"/>
              <w:spacing w:before="62"/>
              <w:ind w:left="120"/>
              <w:rPr>
                <w:sz w:val="19"/>
              </w:rPr>
            </w:pPr>
            <w:r>
              <w:rPr>
                <w:w w:val="105"/>
                <w:sz w:val="19"/>
              </w:rPr>
              <w:t>Meeting</w:t>
            </w:r>
            <w:r>
              <w:rPr>
                <w:spacing w:val="4"/>
                <w:w w:val="105"/>
                <w:sz w:val="19"/>
              </w:rPr>
              <w:t> </w:t>
            </w:r>
            <w:r>
              <w:rPr>
                <w:w w:val="105"/>
                <w:sz w:val="19"/>
              </w:rPr>
              <w:t>with</w:t>
            </w:r>
            <w:r>
              <w:rPr>
                <w:spacing w:val="-9"/>
                <w:w w:val="105"/>
                <w:sz w:val="19"/>
              </w:rPr>
              <w:t> </w:t>
            </w:r>
            <w:r>
              <w:rPr>
                <w:w w:val="105"/>
                <w:sz w:val="19"/>
              </w:rPr>
              <w:t>Dean</w:t>
            </w:r>
            <w:r>
              <w:rPr>
                <w:spacing w:val="1"/>
                <w:w w:val="105"/>
                <w:sz w:val="19"/>
              </w:rPr>
              <w:t> </w:t>
            </w:r>
            <w:r>
              <w:rPr>
                <w:w w:val="105"/>
                <w:sz w:val="19"/>
              </w:rPr>
              <w:t>Sheppard MF,</w:t>
            </w:r>
            <w:r>
              <w:rPr>
                <w:spacing w:val="-5"/>
                <w:w w:val="105"/>
                <w:sz w:val="19"/>
              </w:rPr>
              <w:t> </w:t>
            </w:r>
            <w:r>
              <w:rPr>
                <w:spacing w:val="-4"/>
                <w:w w:val="105"/>
                <w:sz w:val="19"/>
              </w:rPr>
              <w:t>etal</w:t>
            </w:r>
          </w:p>
        </w:tc>
        <w:tc>
          <w:tcPr>
            <w:tcW w:w="1252" w:type="dxa"/>
          </w:tcPr>
          <w:p>
            <w:pPr>
              <w:pStyle w:val="TableParagraph"/>
              <w:spacing w:before="62"/>
              <w:ind w:left="135"/>
              <w:rPr>
                <w:sz w:val="19"/>
              </w:rPr>
            </w:pPr>
            <w:r>
              <w:rPr>
                <w:spacing w:val="-2"/>
                <w:w w:val="105"/>
                <w:sz w:val="19"/>
              </w:rPr>
              <w:t>Olin</w:t>
            </w:r>
            <w:r>
              <w:rPr>
                <w:spacing w:val="-8"/>
                <w:w w:val="105"/>
                <w:sz w:val="19"/>
              </w:rPr>
              <w:t> </w:t>
            </w:r>
            <w:r>
              <w:rPr>
                <w:spacing w:val="-4"/>
                <w:w w:val="105"/>
                <w:sz w:val="19"/>
              </w:rPr>
              <w:t>Halt</w:t>
            </w:r>
          </w:p>
        </w:tc>
        <w:tc>
          <w:tcPr>
            <w:tcW w:w="2090" w:type="dxa"/>
          </w:tcPr>
          <w:p>
            <w:pPr>
              <w:pStyle w:val="TableParagraph"/>
              <w:spacing w:before="62"/>
              <w:ind w:left="131"/>
              <w:rPr>
                <w:sz w:val="19"/>
              </w:rPr>
            </w:pPr>
            <w:r>
              <w:rPr>
                <w:w w:val="105"/>
                <w:sz w:val="19"/>
              </w:rPr>
              <w:t>Team</w:t>
            </w:r>
            <w:r>
              <w:rPr>
                <w:spacing w:val="-12"/>
                <w:w w:val="105"/>
                <w:sz w:val="19"/>
              </w:rPr>
              <w:t> </w:t>
            </w:r>
            <w:r>
              <w:rPr>
                <w:spacing w:val="-2"/>
                <w:w w:val="105"/>
                <w:sz w:val="19"/>
              </w:rPr>
              <w:t>Members</w:t>
            </w:r>
          </w:p>
        </w:tc>
      </w:tr>
      <w:tr>
        <w:trPr>
          <w:trHeight w:val="451" w:hRule="atLeast"/>
        </w:trPr>
        <w:tc>
          <w:tcPr>
            <w:tcW w:w="1869" w:type="dxa"/>
          </w:tcPr>
          <w:p>
            <w:pPr>
              <w:pStyle w:val="TableParagraph"/>
              <w:spacing w:line="237" w:lineRule="exact"/>
              <w:ind w:left="131"/>
              <w:rPr>
                <w:sz w:val="21"/>
              </w:rPr>
            </w:pPr>
            <w:r>
              <w:rPr>
                <w:sz w:val="21"/>
              </w:rPr>
              <w:t>12:00n</w:t>
            </w:r>
            <w:r>
              <w:rPr>
                <w:spacing w:val="-15"/>
                <w:sz w:val="21"/>
              </w:rPr>
              <w:t> </w:t>
            </w:r>
            <w:r>
              <w:rPr>
                <w:sz w:val="21"/>
              </w:rPr>
              <w:t>-</w:t>
            </w:r>
            <w:r>
              <w:rPr>
                <w:spacing w:val="16"/>
                <w:sz w:val="21"/>
              </w:rPr>
              <w:t> </w:t>
            </w:r>
            <w:r>
              <w:rPr>
                <w:spacing w:val="-2"/>
                <w:sz w:val="21"/>
              </w:rPr>
              <w:t>1:30p</w:t>
            </w:r>
          </w:p>
        </w:tc>
        <w:tc>
          <w:tcPr>
            <w:tcW w:w="3989" w:type="dxa"/>
          </w:tcPr>
          <w:p>
            <w:pPr>
              <w:pStyle w:val="TableParagraph"/>
              <w:spacing w:before="14"/>
              <w:ind w:left="120"/>
              <w:rPr>
                <w:sz w:val="19"/>
              </w:rPr>
            </w:pPr>
            <w:r>
              <w:rPr>
                <w:spacing w:val="-2"/>
                <w:w w:val="105"/>
                <w:sz w:val="19"/>
              </w:rPr>
              <w:t>Lunch</w:t>
            </w:r>
          </w:p>
        </w:tc>
        <w:tc>
          <w:tcPr>
            <w:tcW w:w="1252" w:type="dxa"/>
          </w:tcPr>
          <w:p>
            <w:pPr>
              <w:pStyle w:val="TableParagraph"/>
              <w:spacing w:line="211" w:lineRule="exact" w:before="14"/>
              <w:ind w:left="129"/>
              <w:rPr>
                <w:sz w:val="19"/>
              </w:rPr>
            </w:pPr>
            <w:r>
              <w:rPr>
                <w:w w:val="105"/>
                <w:sz w:val="19"/>
              </w:rPr>
              <w:t>Holly</w:t>
            </w:r>
            <w:r>
              <w:rPr>
                <w:spacing w:val="-12"/>
                <w:w w:val="105"/>
                <w:sz w:val="19"/>
              </w:rPr>
              <w:t> </w:t>
            </w:r>
            <w:r>
              <w:rPr>
                <w:spacing w:val="-4"/>
                <w:w w:val="105"/>
                <w:sz w:val="19"/>
              </w:rPr>
              <w:t>Tree</w:t>
            </w:r>
          </w:p>
          <w:p>
            <w:pPr>
              <w:pStyle w:val="TableParagraph"/>
              <w:spacing w:line="207" w:lineRule="exact"/>
              <w:ind w:left="125"/>
              <w:rPr>
                <w:sz w:val="21"/>
              </w:rPr>
            </w:pPr>
            <w:r>
              <w:rPr>
                <w:spacing w:val="-5"/>
                <w:sz w:val="21"/>
              </w:rPr>
              <w:t>Inn</w:t>
            </w:r>
          </w:p>
        </w:tc>
        <w:tc>
          <w:tcPr>
            <w:tcW w:w="2090" w:type="dxa"/>
          </w:tcPr>
          <w:p>
            <w:pPr>
              <w:pStyle w:val="TableParagraph"/>
              <w:spacing w:line="230" w:lineRule="atLeast"/>
              <w:ind w:left="136" w:right="175" w:hanging="6"/>
              <w:rPr>
                <w:sz w:val="19"/>
              </w:rPr>
            </w:pPr>
            <w:r>
              <w:rPr>
                <w:w w:val="105"/>
                <w:sz w:val="19"/>
              </w:rPr>
              <w:t>Team Members </w:t>
            </w:r>
            <w:r>
              <w:rPr>
                <w:spacing w:val="-2"/>
                <w:w w:val="105"/>
                <w:sz w:val="19"/>
              </w:rPr>
              <w:t>Selected</w:t>
            </w:r>
            <w:r>
              <w:rPr>
                <w:spacing w:val="-12"/>
                <w:w w:val="105"/>
                <w:sz w:val="19"/>
              </w:rPr>
              <w:t> </w:t>
            </w:r>
            <w:r>
              <w:rPr>
                <w:spacing w:val="-2"/>
                <w:w w:val="105"/>
                <w:sz w:val="19"/>
              </w:rPr>
              <w:t>Faculty</w:t>
            </w:r>
          </w:p>
        </w:tc>
      </w:tr>
      <w:tr>
        <w:trPr>
          <w:trHeight w:val="520" w:hRule="atLeast"/>
        </w:trPr>
        <w:tc>
          <w:tcPr>
            <w:tcW w:w="1869" w:type="dxa"/>
          </w:tcPr>
          <w:p>
            <w:pPr>
              <w:pStyle w:val="TableParagraph"/>
              <w:spacing w:before="16"/>
              <w:ind w:left="140"/>
              <w:rPr>
                <w:sz w:val="21"/>
              </w:rPr>
            </w:pPr>
            <w:r>
              <w:rPr>
                <w:w w:val="105"/>
                <w:sz w:val="21"/>
              </w:rPr>
              <w:t>1:30p-</w:t>
            </w:r>
            <w:r>
              <w:rPr>
                <w:spacing w:val="-4"/>
                <w:w w:val="105"/>
                <w:sz w:val="21"/>
              </w:rPr>
              <w:t>3:00p</w:t>
            </w:r>
          </w:p>
        </w:tc>
        <w:tc>
          <w:tcPr>
            <w:tcW w:w="3989" w:type="dxa"/>
          </w:tcPr>
          <w:p>
            <w:pPr>
              <w:pStyle w:val="TableParagraph"/>
              <w:spacing w:line="254" w:lineRule="auto" w:before="34"/>
              <w:ind w:left="120" w:right="791" w:firstLine="8"/>
              <w:rPr>
                <w:sz w:val="19"/>
              </w:rPr>
            </w:pPr>
            <w:r>
              <w:rPr>
                <w:w w:val="105"/>
                <w:sz w:val="19"/>
              </w:rPr>
              <w:t>Entrance</w:t>
            </w:r>
            <w:r>
              <w:rPr>
                <w:spacing w:val="-8"/>
                <w:w w:val="105"/>
                <w:sz w:val="19"/>
              </w:rPr>
              <w:t> </w:t>
            </w:r>
            <w:r>
              <w:rPr>
                <w:w w:val="105"/>
                <w:sz w:val="19"/>
              </w:rPr>
              <w:t>Meeting</w:t>
            </w:r>
            <w:r>
              <w:rPr>
                <w:spacing w:val="-10"/>
                <w:w w:val="105"/>
                <w:sz w:val="19"/>
              </w:rPr>
              <w:t> </w:t>
            </w:r>
            <w:r>
              <w:rPr>
                <w:w w:val="105"/>
                <w:sz w:val="19"/>
              </w:rPr>
              <w:t>with</w:t>
            </w:r>
            <w:r>
              <w:rPr>
                <w:spacing w:val="-17"/>
                <w:w w:val="105"/>
                <w:sz w:val="19"/>
              </w:rPr>
              <w:t> </w:t>
            </w:r>
            <w:r>
              <w:rPr>
                <w:w w:val="105"/>
                <w:sz w:val="19"/>
              </w:rPr>
              <w:t>Students MF intro; RM lead discussion</w:t>
            </w:r>
          </w:p>
        </w:tc>
        <w:tc>
          <w:tcPr>
            <w:tcW w:w="1252" w:type="dxa"/>
          </w:tcPr>
          <w:p>
            <w:pPr>
              <w:pStyle w:val="TableParagraph"/>
              <w:spacing w:before="44"/>
              <w:ind w:left="130"/>
              <w:rPr>
                <w:sz w:val="19"/>
              </w:rPr>
            </w:pPr>
            <w:r>
              <w:rPr>
                <w:spacing w:val="-2"/>
                <w:w w:val="105"/>
                <w:sz w:val="19"/>
              </w:rPr>
              <w:t>Bemis</w:t>
            </w:r>
          </w:p>
        </w:tc>
        <w:tc>
          <w:tcPr>
            <w:tcW w:w="2090" w:type="dxa"/>
          </w:tcPr>
          <w:p>
            <w:pPr>
              <w:pStyle w:val="TableParagraph"/>
              <w:spacing w:line="230" w:lineRule="atLeast" w:before="32"/>
              <w:ind w:left="136" w:right="537" w:hanging="6"/>
              <w:rPr>
                <w:sz w:val="19"/>
              </w:rPr>
            </w:pPr>
            <w:r>
              <w:rPr>
                <w:w w:val="105"/>
                <w:sz w:val="19"/>
              </w:rPr>
              <w:t>Team</w:t>
            </w:r>
            <w:r>
              <w:rPr>
                <w:spacing w:val="-14"/>
                <w:w w:val="105"/>
                <w:sz w:val="19"/>
              </w:rPr>
              <w:t> </w:t>
            </w:r>
            <w:r>
              <w:rPr>
                <w:w w:val="105"/>
                <w:sz w:val="19"/>
              </w:rPr>
              <w:t>Members Student Body</w:t>
            </w:r>
          </w:p>
        </w:tc>
      </w:tr>
    </w:tbl>
    <w:p>
      <w:pPr>
        <w:spacing w:after="0" w:line="230" w:lineRule="atLeast"/>
        <w:rPr>
          <w:sz w:val="19"/>
        </w:rPr>
        <w:sectPr>
          <w:headerReference w:type="default" r:id="rId438"/>
          <w:footerReference w:type="default" r:id="rId439"/>
          <w:pgSz w:w="12180" w:h="15820"/>
          <w:pgMar w:header="627" w:footer="828" w:top="1320" w:bottom="1020" w:left="1120" w:right="1180"/>
        </w:sectPr>
      </w:pPr>
    </w:p>
    <w:p>
      <w:pPr>
        <w:spacing w:line="215" w:lineRule="exact" w:before="108"/>
        <w:ind w:left="0" w:right="225" w:firstLine="0"/>
        <w:jc w:val="right"/>
        <w:rPr>
          <w:sz w:val="19"/>
        </w:rPr>
      </w:pPr>
      <w:r>
        <w:rPr>
          <w:w w:val="105"/>
          <w:sz w:val="19"/>
        </w:rPr>
        <w:t>Visiting</w:t>
      </w:r>
      <w:r>
        <w:rPr>
          <w:spacing w:val="-1"/>
          <w:w w:val="105"/>
          <w:sz w:val="19"/>
        </w:rPr>
        <w:t> </w:t>
      </w:r>
      <w:r>
        <w:rPr>
          <w:w w:val="105"/>
          <w:sz w:val="19"/>
        </w:rPr>
        <w:t>Tearn</w:t>
      </w:r>
      <w:r>
        <w:rPr>
          <w:spacing w:val="-8"/>
          <w:w w:val="105"/>
          <w:sz w:val="19"/>
        </w:rPr>
        <w:t> </w:t>
      </w:r>
      <w:r>
        <w:rPr>
          <w:spacing w:val="-2"/>
          <w:w w:val="105"/>
          <w:sz w:val="19"/>
        </w:rPr>
        <w:t>Report</w:t>
      </w:r>
    </w:p>
    <w:p>
      <w:pPr>
        <w:spacing w:line="238" w:lineRule="exact" w:before="0" w:after="4"/>
        <w:ind w:left="0" w:right="224" w:firstLine="0"/>
        <w:jc w:val="right"/>
        <w:rPr>
          <w:sz w:val="21"/>
        </w:rPr>
      </w:pPr>
      <w:r>
        <w:rPr>
          <w:sz w:val="21"/>
        </w:rPr>
        <w:t>21-25</w:t>
      </w:r>
      <w:r>
        <w:rPr>
          <w:spacing w:val="-16"/>
          <w:sz w:val="21"/>
        </w:rPr>
        <w:t> </w:t>
      </w:r>
      <w:r>
        <w:rPr>
          <w:sz w:val="21"/>
        </w:rPr>
        <w:t>March</w:t>
      </w:r>
      <w:r>
        <w:rPr>
          <w:spacing w:val="-7"/>
          <w:sz w:val="21"/>
        </w:rPr>
        <w:t> </w:t>
      </w:r>
      <w:r>
        <w:rPr>
          <w:spacing w:val="-4"/>
          <w:sz w:val="21"/>
        </w:rPr>
        <w:t>2009</w:t>
      </w:r>
    </w:p>
    <w:p>
      <w:pPr>
        <w:pStyle w:val="BodyText"/>
        <w:spacing w:line="20" w:lineRule="exact"/>
        <w:ind w:left="229"/>
        <w:rPr>
          <w:sz w:val="2"/>
        </w:rPr>
      </w:pPr>
      <w:r>
        <w:rPr>
          <w:sz w:val="2"/>
        </w:rPr>
        <w:pict>
          <v:group style="width:474.1pt;height:1pt;mso-position-horizontal-relative:char;mso-position-vertical-relative:line" id="docshapegroup705" coordorigin="0,0" coordsize="9482,20">
            <v:line style="position:absolute" from="0,10" to="9482,10" stroked="true" strokeweight=".962868pt" strokecolor="#000000">
              <v:stroke dashstyle="solid"/>
            </v:line>
          </v:group>
        </w:pict>
      </w:r>
      <w:r>
        <w:rPr>
          <w:sz w:val="2"/>
        </w:rPr>
      </w:r>
    </w:p>
    <w:p>
      <w:pPr>
        <w:pStyle w:val="BodyText"/>
        <w:spacing w:before="6"/>
        <w:rPr>
          <w:sz w:val="22"/>
        </w:rPr>
      </w:pPr>
    </w:p>
    <w:tbl>
      <w:tblPr>
        <w:tblW w:w="0" w:type="auto"/>
        <w:jc w:val="left"/>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69"/>
        <w:gridCol w:w="4008"/>
        <w:gridCol w:w="1252"/>
        <w:gridCol w:w="2110"/>
      </w:tblGrid>
      <w:tr>
        <w:trPr>
          <w:trHeight w:val="499" w:hRule="atLeast"/>
        </w:trPr>
        <w:tc>
          <w:tcPr>
            <w:tcW w:w="1869" w:type="dxa"/>
          </w:tcPr>
          <w:p>
            <w:pPr>
              <w:pStyle w:val="TableParagraph"/>
              <w:spacing w:before="43"/>
              <w:ind w:left="144"/>
              <w:rPr>
                <w:sz w:val="21"/>
              </w:rPr>
            </w:pPr>
            <w:r>
              <w:rPr>
                <w:sz w:val="21"/>
              </w:rPr>
              <w:t>3:00p</w:t>
            </w:r>
            <w:r>
              <w:rPr>
                <w:spacing w:val="-15"/>
                <w:sz w:val="21"/>
              </w:rPr>
              <w:t> </w:t>
            </w:r>
            <w:r>
              <w:rPr>
                <w:sz w:val="21"/>
              </w:rPr>
              <w:t>-</w:t>
            </w:r>
            <w:r>
              <w:rPr>
                <w:spacing w:val="24"/>
                <w:sz w:val="21"/>
              </w:rPr>
              <w:t> </w:t>
            </w:r>
            <w:r>
              <w:rPr>
                <w:spacing w:val="-2"/>
                <w:sz w:val="21"/>
              </w:rPr>
              <w:t>4:00p</w:t>
            </w:r>
          </w:p>
        </w:tc>
        <w:tc>
          <w:tcPr>
            <w:tcW w:w="4008" w:type="dxa"/>
          </w:tcPr>
          <w:p>
            <w:pPr>
              <w:pStyle w:val="TableParagraph"/>
              <w:spacing w:before="52"/>
              <w:ind w:left="139"/>
              <w:rPr>
                <w:sz w:val="19"/>
              </w:rPr>
            </w:pPr>
            <w:r>
              <w:rPr>
                <w:w w:val="105"/>
                <w:sz w:val="19"/>
              </w:rPr>
              <w:t>Meeting w/</w:t>
            </w:r>
            <w:r>
              <w:rPr>
                <w:spacing w:val="-3"/>
                <w:w w:val="105"/>
                <w:sz w:val="19"/>
              </w:rPr>
              <w:t> </w:t>
            </w:r>
            <w:r>
              <w:rPr>
                <w:w w:val="105"/>
                <w:sz w:val="19"/>
              </w:rPr>
              <w:t>Advisory</w:t>
            </w:r>
            <w:r>
              <w:rPr>
                <w:spacing w:val="3"/>
                <w:w w:val="105"/>
                <w:sz w:val="19"/>
              </w:rPr>
              <w:t> </w:t>
            </w:r>
            <w:r>
              <w:rPr>
                <w:spacing w:val="-2"/>
                <w:w w:val="105"/>
                <w:sz w:val="19"/>
              </w:rPr>
              <w:t>Committee</w:t>
            </w:r>
          </w:p>
        </w:tc>
        <w:tc>
          <w:tcPr>
            <w:tcW w:w="1252" w:type="dxa"/>
          </w:tcPr>
          <w:p>
            <w:pPr>
              <w:pStyle w:val="TableParagraph"/>
              <w:spacing w:before="62"/>
              <w:ind w:left="150"/>
              <w:rPr>
                <w:sz w:val="19"/>
              </w:rPr>
            </w:pPr>
            <w:r>
              <w:rPr>
                <w:spacing w:val="-2"/>
                <w:w w:val="105"/>
                <w:sz w:val="19"/>
              </w:rPr>
              <w:t>Bemis</w:t>
            </w:r>
          </w:p>
        </w:tc>
        <w:tc>
          <w:tcPr>
            <w:tcW w:w="2110" w:type="dxa"/>
          </w:tcPr>
          <w:p>
            <w:pPr>
              <w:pStyle w:val="TableParagraph"/>
              <w:spacing w:line="230" w:lineRule="atLeast" w:before="30"/>
              <w:ind w:left="146" w:firstLine="4"/>
              <w:rPr>
                <w:sz w:val="19"/>
              </w:rPr>
            </w:pPr>
            <w:r>
              <w:rPr>
                <w:w w:val="105"/>
                <w:sz w:val="19"/>
              </w:rPr>
              <w:t>Tearn</w:t>
            </w:r>
            <w:r>
              <w:rPr>
                <w:spacing w:val="-21"/>
                <w:w w:val="105"/>
                <w:sz w:val="19"/>
              </w:rPr>
              <w:t> </w:t>
            </w:r>
            <w:r>
              <w:rPr>
                <w:w w:val="105"/>
                <w:sz w:val="19"/>
              </w:rPr>
              <w:t>Members Advisorv</w:t>
            </w:r>
            <w:r>
              <w:rPr>
                <w:spacing w:val="-14"/>
                <w:w w:val="105"/>
                <w:sz w:val="19"/>
              </w:rPr>
              <w:t> </w:t>
            </w:r>
            <w:r>
              <w:rPr>
                <w:w w:val="105"/>
                <w:sz w:val="19"/>
              </w:rPr>
              <w:t>Comm.</w:t>
            </w:r>
          </w:p>
        </w:tc>
      </w:tr>
      <w:tr>
        <w:trPr>
          <w:trHeight w:val="731" w:hRule="atLeast"/>
        </w:trPr>
        <w:tc>
          <w:tcPr>
            <w:tcW w:w="1869" w:type="dxa"/>
          </w:tcPr>
          <w:p>
            <w:pPr>
              <w:pStyle w:val="TableParagraph"/>
              <w:spacing w:before="43"/>
              <w:ind w:left="141"/>
              <w:rPr>
                <w:sz w:val="21"/>
              </w:rPr>
            </w:pPr>
            <w:r>
              <w:rPr>
                <w:w w:val="105"/>
                <w:sz w:val="21"/>
              </w:rPr>
              <w:t>4:00</w:t>
            </w:r>
            <w:r>
              <w:rPr>
                <w:spacing w:val="-16"/>
                <w:w w:val="105"/>
                <w:sz w:val="21"/>
              </w:rPr>
              <w:t> </w:t>
            </w:r>
            <w:r>
              <w:rPr>
                <w:w w:val="105"/>
                <w:sz w:val="21"/>
              </w:rPr>
              <w:t>p</w:t>
            </w:r>
            <w:r>
              <w:rPr>
                <w:spacing w:val="-29"/>
                <w:w w:val="105"/>
                <w:sz w:val="21"/>
              </w:rPr>
              <w:t> </w:t>
            </w:r>
            <w:r>
              <w:rPr>
                <w:w w:val="105"/>
                <w:sz w:val="21"/>
              </w:rPr>
              <w:t>-</w:t>
            </w:r>
            <w:r>
              <w:rPr>
                <w:spacing w:val="12"/>
                <w:w w:val="105"/>
                <w:sz w:val="21"/>
              </w:rPr>
              <w:t> </w:t>
            </w:r>
            <w:r>
              <w:rPr>
                <w:spacing w:val="-2"/>
                <w:w w:val="105"/>
                <w:sz w:val="21"/>
              </w:rPr>
              <w:t>5:30p</w:t>
            </w:r>
          </w:p>
        </w:tc>
        <w:tc>
          <w:tcPr>
            <w:tcW w:w="4008" w:type="dxa"/>
          </w:tcPr>
          <w:p>
            <w:pPr>
              <w:pStyle w:val="TableParagraph"/>
              <w:spacing w:before="52"/>
              <w:ind w:left="139"/>
              <w:rPr>
                <w:sz w:val="19"/>
              </w:rPr>
            </w:pPr>
            <w:r>
              <w:rPr>
                <w:spacing w:val="-2"/>
                <w:w w:val="105"/>
                <w:sz w:val="19"/>
              </w:rPr>
              <w:t>Reception</w:t>
            </w:r>
          </w:p>
        </w:tc>
        <w:tc>
          <w:tcPr>
            <w:tcW w:w="1252" w:type="dxa"/>
          </w:tcPr>
          <w:p>
            <w:pPr>
              <w:pStyle w:val="TableParagraph"/>
              <w:rPr>
                <w:rFonts w:ascii="Times New Roman"/>
                <w:sz w:val="18"/>
              </w:rPr>
            </w:pPr>
          </w:p>
        </w:tc>
        <w:tc>
          <w:tcPr>
            <w:tcW w:w="2110" w:type="dxa"/>
          </w:tcPr>
          <w:p>
            <w:pPr>
              <w:pStyle w:val="TableParagraph"/>
              <w:spacing w:line="230" w:lineRule="atLeast" w:before="30"/>
              <w:ind w:left="146" w:firstLine="4"/>
              <w:rPr>
                <w:sz w:val="19"/>
              </w:rPr>
            </w:pPr>
            <w:r>
              <w:rPr>
                <w:w w:val="105"/>
                <w:sz w:val="19"/>
              </w:rPr>
              <w:t>Team Members Advisory</w:t>
            </w:r>
            <w:r>
              <w:rPr>
                <w:spacing w:val="-14"/>
                <w:w w:val="105"/>
                <w:sz w:val="19"/>
              </w:rPr>
              <w:t> </w:t>
            </w:r>
            <w:r>
              <w:rPr>
                <w:w w:val="105"/>
                <w:sz w:val="19"/>
              </w:rPr>
              <w:t>Comm. </w:t>
            </w:r>
            <w:r>
              <w:rPr>
                <w:spacing w:val="-2"/>
                <w:w w:val="105"/>
                <w:sz w:val="19"/>
              </w:rPr>
              <w:t>Alumni</w:t>
            </w:r>
          </w:p>
        </w:tc>
      </w:tr>
      <w:tr>
        <w:trPr>
          <w:trHeight w:val="317" w:hRule="atLeast"/>
        </w:trPr>
        <w:tc>
          <w:tcPr>
            <w:tcW w:w="1869" w:type="dxa"/>
          </w:tcPr>
          <w:p>
            <w:pPr>
              <w:pStyle w:val="TableParagraph"/>
              <w:spacing w:before="53"/>
              <w:ind w:left="144"/>
              <w:rPr>
                <w:sz w:val="21"/>
              </w:rPr>
            </w:pPr>
            <w:r>
              <w:rPr>
                <w:sz w:val="21"/>
              </w:rPr>
              <w:t>5:30p</w:t>
            </w:r>
            <w:r>
              <w:rPr>
                <w:spacing w:val="-15"/>
                <w:sz w:val="21"/>
              </w:rPr>
              <w:t> </w:t>
            </w:r>
            <w:r>
              <w:rPr>
                <w:sz w:val="21"/>
              </w:rPr>
              <w:t>-</w:t>
            </w:r>
            <w:r>
              <w:rPr>
                <w:spacing w:val="17"/>
                <w:sz w:val="21"/>
              </w:rPr>
              <w:t> </w:t>
            </w:r>
            <w:r>
              <w:rPr>
                <w:spacing w:val="-2"/>
                <w:sz w:val="21"/>
              </w:rPr>
              <w:t>7:00p</w:t>
            </w:r>
          </w:p>
        </w:tc>
        <w:tc>
          <w:tcPr>
            <w:tcW w:w="4008" w:type="dxa"/>
          </w:tcPr>
          <w:p>
            <w:pPr>
              <w:pStyle w:val="TableParagraph"/>
              <w:spacing w:before="62"/>
              <w:ind w:left="139"/>
              <w:rPr>
                <w:sz w:val="19"/>
              </w:rPr>
            </w:pPr>
            <w:r>
              <w:rPr>
                <w:spacing w:val="-2"/>
                <w:w w:val="105"/>
                <w:sz w:val="19"/>
              </w:rPr>
              <w:t>Dinner</w:t>
            </w:r>
          </w:p>
        </w:tc>
        <w:tc>
          <w:tcPr>
            <w:tcW w:w="1252" w:type="dxa"/>
          </w:tcPr>
          <w:p>
            <w:pPr>
              <w:pStyle w:val="TableParagraph"/>
              <w:rPr>
                <w:rFonts w:ascii="Times New Roman"/>
                <w:sz w:val="18"/>
              </w:rPr>
            </w:pPr>
          </w:p>
        </w:tc>
        <w:tc>
          <w:tcPr>
            <w:tcW w:w="2110" w:type="dxa"/>
          </w:tcPr>
          <w:p>
            <w:pPr>
              <w:pStyle w:val="TableParagraph"/>
              <w:spacing w:before="62"/>
              <w:ind w:left="141"/>
              <w:rPr>
                <w:sz w:val="19"/>
              </w:rPr>
            </w:pPr>
            <w:r>
              <w:rPr>
                <w:w w:val="105"/>
                <w:sz w:val="19"/>
              </w:rPr>
              <w:t>Team</w:t>
            </w:r>
            <w:r>
              <w:rPr>
                <w:spacing w:val="-2"/>
                <w:w w:val="105"/>
                <w:sz w:val="19"/>
              </w:rPr>
              <w:t> Members</w:t>
            </w:r>
          </w:p>
        </w:tc>
      </w:tr>
      <w:tr>
        <w:trPr>
          <w:trHeight w:val="268" w:hRule="atLeast"/>
        </w:trPr>
        <w:tc>
          <w:tcPr>
            <w:tcW w:w="1869" w:type="dxa"/>
          </w:tcPr>
          <w:p>
            <w:pPr>
              <w:pStyle w:val="TableParagraph"/>
              <w:spacing w:before="5"/>
              <w:ind w:left="134"/>
              <w:rPr>
                <w:sz w:val="21"/>
              </w:rPr>
            </w:pPr>
            <w:r>
              <w:rPr>
                <w:w w:val="95"/>
                <w:sz w:val="21"/>
              </w:rPr>
              <w:t>7:30p</w:t>
            </w:r>
            <w:r>
              <w:rPr>
                <w:spacing w:val="7"/>
                <w:sz w:val="21"/>
              </w:rPr>
              <w:t> </w:t>
            </w:r>
            <w:r>
              <w:rPr>
                <w:spacing w:val="-10"/>
                <w:sz w:val="21"/>
              </w:rPr>
              <w:t>-</w:t>
            </w:r>
          </w:p>
        </w:tc>
        <w:tc>
          <w:tcPr>
            <w:tcW w:w="4008" w:type="dxa"/>
          </w:tcPr>
          <w:p>
            <w:pPr>
              <w:pStyle w:val="TableParagraph"/>
              <w:spacing w:before="4"/>
              <w:ind w:left="142"/>
              <w:rPr>
                <w:sz w:val="19"/>
              </w:rPr>
            </w:pPr>
            <w:r>
              <w:rPr>
                <w:w w:val="105"/>
                <w:sz w:val="19"/>
              </w:rPr>
              <w:t>Work</w:t>
            </w:r>
            <w:r>
              <w:rPr>
                <w:spacing w:val="7"/>
                <w:w w:val="105"/>
                <w:sz w:val="19"/>
              </w:rPr>
              <w:t> </w:t>
            </w:r>
            <w:r>
              <w:rPr>
                <w:spacing w:val="-2"/>
                <w:w w:val="105"/>
                <w:sz w:val="19"/>
              </w:rPr>
              <w:t>Session</w:t>
            </w:r>
          </w:p>
        </w:tc>
        <w:tc>
          <w:tcPr>
            <w:tcW w:w="1252" w:type="dxa"/>
          </w:tcPr>
          <w:p>
            <w:pPr>
              <w:pStyle w:val="TableParagraph"/>
              <w:spacing w:before="4"/>
              <w:ind w:left="140"/>
              <w:rPr>
                <w:sz w:val="19"/>
              </w:rPr>
            </w:pPr>
            <w:r>
              <w:rPr>
                <w:spacing w:val="-2"/>
                <w:w w:val="105"/>
                <w:sz w:val="19"/>
              </w:rPr>
              <w:t>Bemis</w:t>
            </w:r>
          </w:p>
        </w:tc>
        <w:tc>
          <w:tcPr>
            <w:tcW w:w="2110" w:type="dxa"/>
          </w:tcPr>
          <w:p>
            <w:pPr>
              <w:pStyle w:val="TableParagraph"/>
              <w:spacing w:before="4"/>
              <w:ind w:left="141"/>
              <w:rPr>
                <w:sz w:val="19"/>
              </w:rPr>
            </w:pPr>
            <w:r>
              <w:rPr>
                <w:w w:val="105"/>
                <w:sz w:val="19"/>
              </w:rPr>
              <w:t>Team</w:t>
            </w:r>
            <w:r>
              <w:rPr>
                <w:spacing w:val="-7"/>
                <w:w w:val="105"/>
                <w:sz w:val="19"/>
              </w:rPr>
              <w:t> </w:t>
            </w:r>
            <w:r>
              <w:rPr>
                <w:spacing w:val="-4"/>
                <w:w w:val="110"/>
                <w:sz w:val="19"/>
              </w:rPr>
              <w:t>Only</w:t>
            </w:r>
          </w:p>
        </w:tc>
      </w:tr>
      <w:tr>
        <w:trPr>
          <w:trHeight w:val="220" w:hRule="atLeast"/>
        </w:trPr>
        <w:tc>
          <w:tcPr>
            <w:tcW w:w="9239" w:type="dxa"/>
            <w:gridSpan w:val="4"/>
          </w:tcPr>
          <w:p>
            <w:pPr>
              <w:pStyle w:val="TableParagraph"/>
              <w:spacing w:line="196" w:lineRule="exact" w:before="4"/>
              <w:ind w:left="139"/>
              <w:rPr>
                <w:b/>
                <w:sz w:val="19"/>
              </w:rPr>
            </w:pPr>
            <w:r>
              <w:rPr>
                <w:b/>
                <w:w w:val="105"/>
                <w:sz w:val="19"/>
              </w:rPr>
              <w:t>Tuesday,</w:t>
            </w:r>
            <w:r>
              <w:rPr>
                <w:b/>
                <w:spacing w:val="-9"/>
                <w:w w:val="105"/>
                <w:sz w:val="19"/>
              </w:rPr>
              <w:t> </w:t>
            </w:r>
            <w:r>
              <w:rPr>
                <w:b/>
                <w:w w:val="105"/>
                <w:sz w:val="19"/>
              </w:rPr>
              <w:t>March</w:t>
            </w:r>
            <w:r>
              <w:rPr>
                <w:b/>
                <w:spacing w:val="11"/>
                <w:w w:val="105"/>
                <w:sz w:val="19"/>
              </w:rPr>
              <w:t> </w:t>
            </w:r>
            <w:r>
              <w:rPr>
                <w:b/>
                <w:w w:val="105"/>
                <w:sz w:val="19"/>
              </w:rPr>
              <w:t>24,</w:t>
            </w:r>
            <w:r>
              <w:rPr>
                <w:b/>
                <w:spacing w:val="-6"/>
                <w:w w:val="105"/>
                <w:sz w:val="19"/>
              </w:rPr>
              <w:t> </w:t>
            </w:r>
            <w:r>
              <w:rPr>
                <w:b/>
                <w:spacing w:val="-4"/>
                <w:w w:val="105"/>
                <w:sz w:val="19"/>
              </w:rPr>
              <w:t>2009</w:t>
            </w:r>
          </w:p>
        </w:tc>
      </w:tr>
      <w:tr>
        <w:trPr>
          <w:trHeight w:val="499" w:hRule="atLeast"/>
        </w:trPr>
        <w:tc>
          <w:tcPr>
            <w:tcW w:w="1869" w:type="dxa"/>
          </w:tcPr>
          <w:p>
            <w:pPr>
              <w:pStyle w:val="TableParagraph"/>
              <w:spacing w:before="52"/>
              <w:ind w:left="136"/>
              <w:rPr>
                <w:sz w:val="19"/>
              </w:rPr>
            </w:pPr>
            <w:r>
              <w:rPr>
                <w:w w:val="110"/>
                <w:sz w:val="19"/>
              </w:rPr>
              <w:t>8:00a</w:t>
            </w:r>
            <w:r>
              <w:rPr>
                <w:spacing w:val="-19"/>
                <w:w w:val="110"/>
                <w:sz w:val="19"/>
              </w:rPr>
              <w:t> </w:t>
            </w:r>
            <w:r>
              <w:rPr>
                <w:w w:val="110"/>
                <w:sz w:val="19"/>
              </w:rPr>
              <w:t>-</w:t>
            </w:r>
            <w:r>
              <w:rPr>
                <w:spacing w:val="34"/>
                <w:w w:val="110"/>
                <w:sz w:val="19"/>
              </w:rPr>
              <w:t> </w:t>
            </w:r>
            <w:r>
              <w:rPr>
                <w:spacing w:val="-2"/>
                <w:w w:val="110"/>
                <w:sz w:val="19"/>
              </w:rPr>
              <w:t>9:00a</w:t>
            </w:r>
          </w:p>
        </w:tc>
        <w:tc>
          <w:tcPr>
            <w:tcW w:w="4008" w:type="dxa"/>
          </w:tcPr>
          <w:p>
            <w:pPr>
              <w:pStyle w:val="TableParagraph"/>
              <w:spacing w:before="43"/>
              <w:ind w:left="140"/>
              <w:rPr>
                <w:sz w:val="19"/>
              </w:rPr>
            </w:pPr>
            <w:r>
              <w:rPr>
                <w:w w:val="105"/>
                <w:sz w:val="19"/>
              </w:rPr>
              <w:t>Team</w:t>
            </w:r>
            <w:r>
              <w:rPr>
                <w:spacing w:val="-4"/>
                <w:w w:val="105"/>
                <w:sz w:val="19"/>
              </w:rPr>
              <w:t> </w:t>
            </w:r>
            <w:r>
              <w:rPr>
                <w:w w:val="105"/>
                <w:sz w:val="19"/>
              </w:rPr>
              <w:t>Breakfast</w:t>
            </w:r>
            <w:r>
              <w:rPr>
                <w:spacing w:val="5"/>
                <w:w w:val="105"/>
                <w:sz w:val="19"/>
              </w:rPr>
              <w:t> </w:t>
            </w:r>
            <w:r>
              <w:rPr>
                <w:w w:val="105"/>
                <w:sz w:val="19"/>
              </w:rPr>
              <w:t>with</w:t>
            </w:r>
            <w:r>
              <w:rPr>
                <w:spacing w:val="-12"/>
                <w:w w:val="105"/>
                <w:sz w:val="19"/>
              </w:rPr>
              <w:t> </w:t>
            </w:r>
            <w:r>
              <w:rPr>
                <w:spacing w:val="-2"/>
                <w:w w:val="105"/>
                <w:sz w:val="19"/>
              </w:rPr>
              <w:t>Chair</w:t>
            </w:r>
          </w:p>
        </w:tc>
        <w:tc>
          <w:tcPr>
            <w:tcW w:w="1252" w:type="dxa"/>
          </w:tcPr>
          <w:p>
            <w:pPr>
              <w:pStyle w:val="TableParagraph"/>
              <w:spacing w:before="52"/>
              <w:ind w:left="139"/>
              <w:rPr>
                <w:sz w:val="19"/>
              </w:rPr>
            </w:pPr>
            <w:r>
              <w:rPr>
                <w:spacing w:val="-2"/>
                <w:w w:val="105"/>
                <w:sz w:val="19"/>
              </w:rPr>
              <w:t>Hotel</w:t>
            </w:r>
          </w:p>
        </w:tc>
        <w:tc>
          <w:tcPr>
            <w:tcW w:w="2110" w:type="dxa"/>
          </w:tcPr>
          <w:p>
            <w:pPr>
              <w:pStyle w:val="TableParagraph"/>
              <w:spacing w:line="230" w:lineRule="atLeast" w:before="21"/>
              <w:ind w:left="140" w:right="473"/>
              <w:rPr>
                <w:sz w:val="19"/>
              </w:rPr>
            </w:pPr>
            <w:r>
              <w:rPr>
                <w:w w:val="105"/>
                <w:sz w:val="19"/>
              </w:rPr>
              <w:t>Team</w:t>
            </w:r>
            <w:r>
              <w:rPr>
                <w:spacing w:val="-14"/>
                <w:w w:val="105"/>
                <w:sz w:val="19"/>
              </w:rPr>
              <w:t> </w:t>
            </w:r>
            <w:r>
              <w:rPr>
                <w:w w:val="105"/>
                <w:sz w:val="19"/>
              </w:rPr>
              <w:t>Members Dept</w:t>
            </w:r>
            <w:r>
              <w:rPr>
                <w:spacing w:val="-13"/>
                <w:w w:val="105"/>
                <w:sz w:val="19"/>
              </w:rPr>
              <w:t> </w:t>
            </w:r>
            <w:r>
              <w:rPr>
                <w:w w:val="105"/>
                <w:sz w:val="19"/>
              </w:rPr>
              <w:t>Chair</w:t>
            </w:r>
          </w:p>
        </w:tc>
      </w:tr>
      <w:tr>
        <w:trPr>
          <w:trHeight w:val="480" w:hRule="atLeast"/>
        </w:trPr>
        <w:tc>
          <w:tcPr>
            <w:tcW w:w="1869" w:type="dxa"/>
          </w:tcPr>
          <w:p>
            <w:pPr>
              <w:pStyle w:val="TableParagraph"/>
              <w:spacing w:line="236" w:lineRule="exact" w:before="24"/>
              <w:ind w:left="135"/>
              <w:rPr>
                <w:sz w:val="21"/>
              </w:rPr>
            </w:pPr>
            <w:r>
              <w:rPr>
                <w:w w:val="105"/>
                <w:sz w:val="21"/>
              </w:rPr>
              <w:t>9:15a-</w:t>
            </w:r>
            <w:r>
              <w:rPr>
                <w:spacing w:val="-2"/>
                <w:w w:val="105"/>
                <w:sz w:val="21"/>
              </w:rPr>
              <w:t>10:15a</w:t>
            </w:r>
          </w:p>
          <w:p>
            <w:pPr>
              <w:pStyle w:val="TableParagraph"/>
              <w:spacing w:line="200" w:lineRule="exact"/>
              <w:ind w:left="131"/>
              <w:rPr>
                <w:sz w:val="21"/>
              </w:rPr>
            </w:pPr>
            <w:r>
              <w:rPr>
                <w:w w:val="105"/>
                <w:sz w:val="21"/>
              </w:rPr>
              <w:t>10:30a-</w:t>
            </w:r>
            <w:r>
              <w:rPr>
                <w:spacing w:val="-2"/>
                <w:w w:val="105"/>
                <w:sz w:val="21"/>
              </w:rPr>
              <w:t>12:00n</w:t>
            </w:r>
          </w:p>
        </w:tc>
        <w:tc>
          <w:tcPr>
            <w:tcW w:w="4008" w:type="dxa"/>
          </w:tcPr>
          <w:p>
            <w:pPr>
              <w:pStyle w:val="TableParagraph"/>
              <w:spacing w:line="230" w:lineRule="atLeast" w:before="11"/>
              <w:ind w:left="142" w:right="1514" w:hanging="4"/>
              <w:rPr>
                <w:sz w:val="19"/>
              </w:rPr>
            </w:pPr>
            <w:r>
              <w:rPr>
                <w:w w:val="105"/>
                <w:sz w:val="19"/>
              </w:rPr>
              <w:t>Harvey</w:t>
            </w:r>
            <w:r>
              <w:rPr>
                <w:spacing w:val="-14"/>
                <w:w w:val="105"/>
                <w:sz w:val="19"/>
              </w:rPr>
              <w:t> </w:t>
            </w:r>
            <w:r>
              <w:rPr>
                <w:w w:val="105"/>
                <w:sz w:val="19"/>
              </w:rPr>
              <w:t>(main)</w:t>
            </w:r>
            <w:r>
              <w:rPr>
                <w:spacing w:val="-14"/>
                <w:w w:val="105"/>
                <w:sz w:val="19"/>
              </w:rPr>
              <w:t> </w:t>
            </w:r>
            <w:r>
              <w:rPr>
                <w:w w:val="105"/>
                <w:sz w:val="19"/>
              </w:rPr>
              <w:t>Library Work</w:t>
            </w:r>
            <w:r>
              <w:rPr>
                <w:spacing w:val="-1"/>
                <w:w w:val="105"/>
                <w:sz w:val="19"/>
              </w:rPr>
              <w:t> </w:t>
            </w:r>
            <w:r>
              <w:rPr>
                <w:w w:val="105"/>
                <w:sz w:val="19"/>
              </w:rPr>
              <w:t>Session</w:t>
            </w:r>
          </w:p>
        </w:tc>
        <w:tc>
          <w:tcPr>
            <w:tcW w:w="1252" w:type="dxa"/>
          </w:tcPr>
          <w:p>
            <w:pPr>
              <w:pStyle w:val="TableParagraph"/>
              <w:spacing w:before="52"/>
              <w:ind w:left="140"/>
              <w:rPr>
                <w:sz w:val="19"/>
              </w:rPr>
            </w:pPr>
            <w:r>
              <w:rPr>
                <w:spacing w:val="-2"/>
                <w:w w:val="105"/>
                <w:sz w:val="19"/>
              </w:rPr>
              <w:t>Bemis</w:t>
            </w:r>
          </w:p>
        </w:tc>
        <w:tc>
          <w:tcPr>
            <w:tcW w:w="2110" w:type="dxa"/>
          </w:tcPr>
          <w:p>
            <w:pPr>
              <w:pStyle w:val="TableParagraph"/>
              <w:spacing w:before="52"/>
              <w:ind w:left="141"/>
              <w:rPr>
                <w:sz w:val="19"/>
              </w:rPr>
            </w:pPr>
            <w:r>
              <w:rPr>
                <w:w w:val="105"/>
                <w:sz w:val="19"/>
              </w:rPr>
              <w:t>Team</w:t>
            </w:r>
            <w:r>
              <w:rPr>
                <w:spacing w:val="-7"/>
                <w:w w:val="105"/>
                <w:sz w:val="19"/>
              </w:rPr>
              <w:t> </w:t>
            </w:r>
            <w:r>
              <w:rPr>
                <w:spacing w:val="-4"/>
                <w:w w:val="105"/>
                <w:sz w:val="19"/>
              </w:rPr>
              <w:t>Only</w:t>
            </w:r>
          </w:p>
        </w:tc>
      </w:tr>
      <w:tr>
        <w:trPr>
          <w:trHeight w:val="519" w:hRule="atLeast"/>
        </w:trPr>
        <w:tc>
          <w:tcPr>
            <w:tcW w:w="1869" w:type="dxa"/>
          </w:tcPr>
          <w:p>
            <w:pPr>
              <w:pStyle w:val="TableParagraph"/>
              <w:spacing w:before="43"/>
              <w:ind w:left="131"/>
              <w:rPr>
                <w:sz w:val="21"/>
              </w:rPr>
            </w:pPr>
            <w:r>
              <w:rPr>
                <w:sz w:val="21"/>
              </w:rPr>
              <w:t>12:00n</w:t>
            </w:r>
            <w:r>
              <w:rPr>
                <w:spacing w:val="-19"/>
                <w:sz w:val="21"/>
              </w:rPr>
              <w:t> </w:t>
            </w:r>
            <w:r>
              <w:rPr>
                <w:sz w:val="21"/>
              </w:rPr>
              <w:t>-</w:t>
            </w:r>
            <w:r>
              <w:rPr>
                <w:spacing w:val="29"/>
                <w:sz w:val="21"/>
              </w:rPr>
              <w:t> </w:t>
            </w:r>
            <w:r>
              <w:rPr>
                <w:spacing w:val="-4"/>
                <w:sz w:val="21"/>
              </w:rPr>
              <w:t>1:30p</w:t>
            </w:r>
          </w:p>
        </w:tc>
        <w:tc>
          <w:tcPr>
            <w:tcW w:w="4008" w:type="dxa"/>
          </w:tcPr>
          <w:p>
            <w:pPr>
              <w:pStyle w:val="TableParagraph"/>
              <w:spacing w:before="62"/>
              <w:ind w:left="140"/>
              <w:rPr>
                <w:sz w:val="19"/>
              </w:rPr>
            </w:pPr>
            <w:r>
              <w:rPr>
                <w:spacing w:val="-2"/>
                <w:w w:val="105"/>
                <w:sz w:val="19"/>
              </w:rPr>
              <w:t>Lunch</w:t>
            </w:r>
          </w:p>
        </w:tc>
        <w:tc>
          <w:tcPr>
            <w:tcW w:w="1252" w:type="dxa"/>
          </w:tcPr>
          <w:p>
            <w:pPr>
              <w:pStyle w:val="TableParagraph"/>
              <w:spacing w:before="62"/>
              <w:ind w:left="139"/>
              <w:rPr>
                <w:sz w:val="19"/>
              </w:rPr>
            </w:pPr>
            <w:r>
              <w:rPr>
                <w:w w:val="105"/>
                <w:sz w:val="19"/>
              </w:rPr>
              <w:t>Holly</w:t>
            </w:r>
            <w:r>
              <w:rPr>
                <w:spacing w:val="-12"/>
                <w:w w:val="105"/>
                <w:sz w:val="19"/>
              </w:rPr>
              <w:t> </w:t>
            </w:r>
            <w:r>
              <w:rPr>
                <w:spacing w:val="-4"/>
                <w:w w:val="110"/>
                <w:sz w:val="19"/>
              </w:rPr>
              <w:t>Tree</w:t>
            </w:r>
          </w:p>
          <w:p>
            <w:pPr>
              <w:pStyle w:val="TableParagraph"/>
              <w:spacing w:line="215" w:lineRule="exact" w:before="3"/>
              <w:ind w:left="135"/>
              <w:rPr>
                <w:sz w:val="21"/>
              </w:rPr>
            </w:pPr>
            <w:r>
              <w:rPr>
                <w:spacing w:val="-5"/>
                <w:sz w:val="21"/>
              </w:rPr>
              <w:t>Inn</w:t>
            </w:r>
          </w:p>
        </w:tc>
        <w:tc>
          <w:tcPr>
            <w:tcW w:w="2110" w:type="dxa"/>
          </w:tcPr>
          <w:p>
            <w:pPr>
              <w:pStyle w:val="TableParagraph"/>
              <w:spacing w:line="240" w:lineRule="atLeast" w:before="20"/>
              <w:ind w:left="146" w:right="473" w:hanging="6"/>
              <w:rPr>
                <w:sz w:val="19"/>
              </w:rPr>
            </w:pPr>
            <w:r>
              <w:rPr>
                <w:w w:val="105"/>
                <w:sz w:val="19"/>
              </w:rPr>
              <w:t>Team Members Student</w:t>
            </w:r>
            <w:r>
              <w:rPr>
                <w:spacing w:val="-14"/>
                <w:w w:val="105"/>
                <w:sz w:val="19"/>
              </w:rPr>
              <w:t> </w:t>
            </w:r>
            <w:r>
              <w:rPr>
                <w:w w:val="105"/>
                <w:sz w:val="19"/>
              </w:rPr>
              <w:t>Leaders</w:t>
            </w:r>
          </w:p>
        </w:tc>
      </w:tr>
      <w:tr>
        <w:trPr>
          <w:trHeight w:val="528" w:hRule="atLeast"/>
        </w:trPr>
        <w:tc>
          <w:tcPr>
            <w:tcW w:w="1869" w:type="dxa"/>
          </w:tcPr>
          <w:p>
            <w:pPr>
              <w:pStyle w:val="TableParagraph"/>
              <w:spacing w:before="24"/>
              <w:ind w:left="131"/>
              <w:rPr>
                <w:sz w:val="21"/>
              </w:rPr>
            </w:pPr>
            <w:r>
              <w:rPr>
                <w:w w:val="110"/>
                <w:sz w:val="21"/>
              </w:rPr>
              <w:t>1:30p-</w:t>
            </w:r>
            <w:r>
              <w:rPr>
                <w:spacing w:val="12"/>
                <w:w w:val="110"/>
                <w:sz w:val="21"/>
              </w:rPr>
              <w:t> </w:t>
            </w:r>
            <w:r>
              <w:rPr>
                <w:spacing w:val="-4"/>
                <w:w w:val="110"/>
                <w:sz w:val="21"/>
              </w:rPr>
              <w:t>2:30p</w:t>
            </w:r>
          </w:p>
        </w:tc>
        <w:tc>
          <w:tcPr>
            <w:tcW w:w="4008" w:type="dxa"/>
          </w:tcPr>
          <w:p>
            <w:pPr>
              <w:pStyle w:val="TableParagraph"/>
              <w:spacing w:line="215" w:lineRule="exact" w:before="43"/>
              <w:ind w:left="139"/>
              <w:rPr>
                <w:sz w:val="19"/>
              </w:rPr>
            </w:pPr>
            <w:r>
              <w:rPr>
                <w:w w:val="105"/>
                <w:sz w:val="19"/>
              </w:rPr>
              <w:t>Exit</w:t>
            </w:r>
            <w:r>
              <w:rPr>
                <w:spacing w:val="-11"/>
                <w:w w:val="105"/>
                <w:sz w:val="19"/>
              </w:rPr>
              <w:t> </w:t>
            </w:r>
            <w:r>
              <w:rPr>
                <w:w w:val="105"/>
                <w:sz w:val="19"/>
              </w:rPr>
              <w:t>Meeting</w:t>
            </w:r>
            <w:r>
              <w:rPr>
                <w:spacing w:val="9"/>
                <w:w w:val="105"/>
                <w:sz w:val="19"/>
              </w:rPr>
              <w:t> </w:t>
            </w:r>
            <w:r>
              <w:rPr>
                <w:w w:val="105"/>
                <w:sz w:val="19"/>
              </w:rPr>
              <w:t>with</w:t>
            </w:r>
            <w:r>
              <w:rPr>
                <w:spacing w:val="-2"/>
                <w:w w:val="105"/>
                <w:sz w:val="19"/>
              </w:rPr>
              <w:t> Faculty</w:t>
            </w:r>
          </w:p>
          <w:p>
            <w:pPr>
              <w:pStyle w:val="TableParagraph"/>
              <w:spacing w:line="238" w:lineRule="exact"/>
              <w:ind w:left="138"/>
              <w:rPr>
                <w:sz w:val="21"/>
              </w:rPr>
            </w:pPr>
            <w:r>
              <w:rPr>
                <w:spacing w:val="-2"/>
                <w:w w:val="115"/>
                <w:sz w:val="21"/>
              </w:rPr>
              <w:t>MF-</w:t>
            </w:r>
            <w:r>
              <w:rPr>
                <w:spacing w:val="-5"/>
                <w:w w:val="115"/>
                <w:sz w:val="21"/>
              </w:rPr>
              <w:t>JB</w:t>
            </w:r>
          </w:p>
        </w:tc>
        <w:tc>
          <w:tcPr>
            <w:tcW w:w="1252" w:type="dxa"/>
          </w:tcPr>
          <w:p>
            <w:pPr>
              <w:pStyle w:val="TableParagraph"/>
              <w:spacing w:before="52"/>
              <w:ind w:left="140"/>
              <w:rPr>
                <w:sz w:val="19"/>
              </w:rPr>
            </w:pPr>
            <w:r>
              <w:rPr>
                <w:spacing w:val="-2"/>
                <w:w w:val="105"/>
                <w:sz w:val="19"/>
              </w:rPr>
              <w:t>Bemis</w:t>
            </w:r>
          </w:p>
        </w:tc>
        <w:tc>
          <w:tcPr>
            <w:tcW w:w="2110" w:type="dxa"/>
          </w:tcPr>
          <w:p>
            <w:pPr>
              <w:pStyle w:val="TableParagraph"/>
              <w:spacing w:line="240" w:lineRule="atLeast" w:before="21"/>
              <w:ind w:left="139" w:firstLine="1"/>
              <w:rPr>
                <w:sz w:val="19"/>
              </w:rPr>
            </w:pPr>
            <w:r>
              <w:rPr>
                <w:w w:val="105"/>
                <w:sz w:val="19"/>
              </w:rPr>
              <w:t>Team</w:t>
            </w:r>
            <w:r>
              <w:rPr>
                <w:spacing w:val="-13"/>
                <w:w w:val="105"/>
                <w:sz w:val="19"/>
              </w:rPr>
              <w:t> </w:t>
            </w:r>
            <w:r>
              <w:rPr>
                <w:w w:val="105"/>
                <w:sz w:val="19"/>
              </w:rPr>
              <w:t>Members Faculty</w:t>
            </w:r>
            <w:r>
              <w:rPr>
                <w:spacing w:val="-14"/>
                <w:w w:val="105"/>
                <w:sz w:val="19"/>
              </w:rPr>
              <w:t> </w:t>
            </w:r>
            <w:r>
              <w:rPr>
                <w:w w:val="105"/>
                <w:sz w:val="19"/>
              </w:rPr>
              <w:t>Members</w:t>
            </w:r>
          </w:p>
        </w:tc>
      </w:tr>
      <w:tr>
        <w:trPr>
          <w:trHeight w:val="230" w:hRule="atLeast"/>
        </w:trPr>
        <w:tc>
          <w:tcPr>
            <w:tcW w:w="1869" w:type="dxa"/>
          </w:tcPr>
          <w:p>
            <w:pPr>
              <w:pStyle w:val="TableParagraph"/>
              <w:spacing w:line="210" w:lineRule="exact"/>
              <w:ind w:left="128"/>
              <w:rPr>
                <w:sz w:val="21"/>
              </w:rPr>
            </w:pPr>
            <w:r>
              <w:rPr>
                <w:sz w:val="21"/>
              </w:rPr>
              <w:t>2:30p</w:t>
            </w:r>
            <w:r>
              <w:rPr>
                <w:spacing w:val="-15"/>
                <w:sz w:val="21"/>
              </w:rPr>
              <w:t> </w:t>
            </w:r>
            <w:r>
              <w:rPr>
                <w:sz w:val="21"/>
              </w:rPr>
              <w:t>-</w:t>
            </w:r>
            <w:r>
              <w:rPr>
                <w:spacing w:val="34"/>
                <w:sz w:val="21"/>
              </w:rPr>
              <w:t> </w:t>
            </w:r>
            <w:r>
              <w:rPr>
                <w:spacing w:val="-2"/>
                <w:sz w:val="21"/>
              </w:rPr>
              <w:t>5:30p</w:t>
            </w:r>
          </w:p>
        </w:tc>
        <w:tc>
          <w:tcPr>
            <w:tcW w:w="4008" w:type="dxa"/>
          </w:tcPr>
          <w:p>
            <w:pPr>
              <w:pStyle w:val="TableParagraph"/>
              <w:spacing w:line="187" w:lineRule="exact" w:before="23"/>
              <w:ind w:left="142"/>
              <w:rPr>
                <w:sz w:val="19"/>
              </w:rPr>
            </w:pPr>
            <w:r>
              <w:rPr>
                <w:w w:val="105"/>
                <w:sz w:val="19"/>
              </w:rPr>
              <w:t>Work</w:t>
            </w:r>
            <w:r>
              <w:rPr>
                <w:spacing w:val="-1"/>
                <w:w w:val="105"/>
                <w:sz w:val="19"/>
              </w:rPr>
              <w:t> </w:t>
            </w:r>
            <w:r>
              <w:rPr>
                <w:w w:val="105"/>
                <w:sz w:val="19"/>
              </w:rPr>
              <w:t>Session</w:t>
            </w:r>
            <w:r>
              <w:rPr>
                <w:spacing w:val="-26"/>
                <w:w w:val="105"/>
                <w:sz w:val="19"/>
              </w:rPr>
              <w:t> </w:t>
            </w:r>
            <w:r>
              <w:rPr>
                <w:w w:val="105"/>
                <w:sz w:val="19"/>
              </w:rPr>
              <w:t>-</w:t>
            </w:r>
            <w:r>
              <w:rPr>
                <w:spacing w:val="56"/>
                <w:w w:val="105"/>
                <w:sz w:val="19"/>
              </w:rPr>
              <w:t> </w:t>
            </w:r>
            <w:r>
              <w:rPr>
                <w:w w:val="105"/>
                <w:sz w:val="19"/>
              </w:rPr>
              <w:t>Finat</w:t>
            </w:r>
            <w:r>
              <w:rPr>
                <w:spacing w:val="6"/>
                <w:w w:val="105"/>
                <w:sz w:val="19"/>
              </w:rPr>
              <w:t> </w:t>
            </w:r>
            <w:r>
              <w:rPr>
                <w:w w:val="105"/>
                <w:sz w:val="19"/>
              </w:rPr>
              <w:t>VTR</w:t>
            </w:r>
            <w:r>
              <w:rPr>
                <w:spacing w:val="-9"/>
                <w:w w:val="105"/>
                <w:sz w:val="19"/>
              </w:rPr>
              <w:t> </w:t>
            </w:r>
            <w:r>
              <w:rPr>
                <w:spacing w:val="-2"/>
                <w:w w:val="105"/>
                <w:sz w:val="19"/>
              </w:rPr>
              <w:t>review</w:t>
            </w:r>
          </w:p>
        </w:tc>
        <w:tc>
          <w:tcPr>
            <w:tcW w:w="1252" w:type="dxa"/>
          </w:tcPr>
          <w:p>
            <w:pPr>
              <w:pStyle w:val="TableParagraph"/>
              <w:spacing w:line="187" w:lineRule="exact" w:before="23"/>
              <w:ind w:left="140"/>
              <w:rPr>
                <w:sz w:val="19"/>
              </w:rPr>
            </w:pPr>
            <w:r>
              <w:rPr>
                <w:spacing w:val="-2"/>
                <w:w w:val="105"/>
                <w:sz w:val="19"/>
              </w:rPr>
              <w:t>Bemis</w:t>
            </w:r>
          </w:p>
        </w:tc>
        <w:tc>
          <w:tcPr>
            <w:tcW w:w="2110" w:type="dxa"/>
          </w:tcPr>
          <w:p>
            <w:pPr>
              <w:pStyle w:val="TableParagraph"/>
              <w:spacing w:line="196" w:lineRule="exact" w:before="14"/>
              <w:ind w:left="141"/>
              <w:rPr>
                <w:sz w:val="19"/>
              </w:rPr>
            </w:pPr>
            <w:r>
              <w:rPr>
                <w:w w:val="105"/>
                <w:sz w:val="19"/>
              </w:rPr>
              <w:t>Team</w:t>
            </w:r>
            <w:r>
              <w:rPr>
                <w:spacing w:val="-7"/>
                <w:w w:val="105"/>
                <w:sz w:val="19"/>
              </w:rPr>
              <w:t> </w:t>
            </w:r>
            <w:r>
              <w:rPr>
                <w:spacing w:val="-4"/>
                <w:w w:val="105"/>
                <w:sz w:val="19"/>
              </w:rPr>
              <w:t>Only</w:t>
            </w:r>
          </w:p>
        </w:tc>
      </w:tr>
      <w:tr>
        <w:trPr>
          <w:trHeight w:val="259" w:hRule="atLeast"/>
        </w:trPr>
        <w:tc>
          <w:tcPr>
            <w:tcW w:w="1869" w:type="dxa"/>
          </w:tcPr>
          <w:p>
            <w:pPr>
              <w:pStyle w:val="TableParagraph"/>
              <w:spacing w:line="205" w:lineRule="exact" w:before="33"/>
              <w:ind w:left="135"/>
              <w:rPr>
                <w:sz w:val="21"/>
              </w:rPr>
            </w:pPr>
            <w:r>
              <w:rPr>
                <w:sz w:val="21"/>
              </w:rPr>
              <w:t>5:30p</w:t>
            </w:r>
            <w:r>
              <w:rPr>
                <w:spacing w:val="-15"/>
                <w:sz w:val="21"/>
              </w:rPr>
              <w:t> </w:t>
            </w:r>
            <w:r>
              <w:rPr>
                <w:sz w:val="21"/>
              </w:rPr>
              <w:t>-</w:t>
            </w:r>
            <w:r>
              <w:rPr>
                <w:spacing w:val="27"/>
                <w:sz w:val="21"/>
              </w:rPr>
              <w:t> </w:t>
            </w:r>
            <w:r>
              <w:rPr>
                <w:spacing w:val="-2"/>
                <w:sz w:val="21"/>
              </w:rPr>
              <w:t>7:00p</w:t>
            </w:r>
          </w:p>
        </w:tc>
        <w:tc>
          <w:tcPr>
            <w:tcW w:w="4008" w:type="dxa"/>
          </w:tcPr>
          <w:p>
            <w:pPr>
              <w:pStyle w:val="TableParagraph"/>
              <w:spacing w:line="187" w:lineRule="exact" w:before="52"/>
              <w:ind w:left="139"/>
              <w:rPr>
                <w:sz w:val="19"/>
              </w:rPr>
            </w:pPr>
            <w:r>
              <w:rPr>
                <w:spacing w:val="-2"/>
                <w:w w:val="105"/>
                <w:sz w:val="19"/>
              </w:rPr>
              <w:t>Dinner</w:t>
            </w:r>
          </w:p>
        </w:tc>
        <w:tc>
          <w:tcPr>
            <w:tcW w:w="1252" w:type="dxa"/>
          </w:tcPr>
          <w:p>
            <w:pPr>
              <w:pStyle w:val="TableParagraph"/>
              <w:spacing w:line="187" w:lineRule="exact" w:before="52"/>
              <w:ind w:left="139"/>
              <w:rPr>
                <w:sz w:val="19"/>
              </w:rPr>
            </w:pPr>
            <w:r>
              <w:rPr>
                <w:spacing w:val="-2"/>
                <w:w w:val="105"/>
                <w:sz w:val="19"/>
              </w:rPr>
              <w:t>Hotel</w:t>
            </w:r>
          </w:p>
        </w:tc>
        <w:tc>
          <w:tcPr>
            <w:tcW w:w="2110" w:type="dxa"/>
          </w:tcPr>
          <w:p>
            <w:pPr>
              <w:pStyle w:val="TableParagraph"/>
              <w:spacing w:line="187" w:lineRule="exact" w:before="52"/>
              <w:ind w:left="141"/>
              <w:rPr>
                <w:sz w:val="19"/>
              </w:rPr>
            </w:pPr>
            <w:r>
              <w:rPr>
                <w:w w:val="105"/>
                <w:sz w:val="19"/>
              </w:rPr>
              <w:t>Team</w:t>
            </w:r>
            <w:r>
              <w:rPr>
                <w:spacing w:val="-12"/>
                <w:w w:val="105"/>
                <w:sz w:val="19"/>
              </w:rPr>
              <w:t> </w:t>
            </w:r>
            <w:r>
              <w:rPr>
                <w:spacing w:val="-2"/>
                <w:w w:val="105"/>
                <w:sz w:val="19"/>
              </w:rPr>
              <w:t>Members</w:t>
            </w:r>
          </w:p>
        </w:tc>
      </w:tr>
      <w:tr>
        <w:trPr>
          <w:trHeight w:val="268" w:hRule="atLeast"/>
        </w:trPr>
        <w:tc>
          <w:tcPr>
            <w:tcW w:w="1869" w:type="dxa"/>
          </w:tcPr>
          <w:p>
            <w:pPr>
              <w:pStyle w:val="TableParagraph"/>
              <w:spacing w:line="205" w:lineRule="exact" w:before="43"/>
              <w:ind w:left="134"/>
              <w:rPr>
                <w:sz w:val="21"/>
              </w:rPr>
            </w:pPr>
            <w:r>
              <w:rPr>
                <w:w w:val="95"/>
                <w:sz w:val="21"/>
              </w:rPr>
              <w:t>7:30p</w:t>
            </w:r>
            <w:r>
              <w:rPr>
                <w:spacing w:val="-2"/>
                <w:sz w:val="21"/>
              </w:rPr>
              <w:t> </w:t>
            </w:r>
            <w:r>
              <w:rPr>
                <w:spacing w:val="-10"/>
                <w:sz w:val="21"/>
              </w:rPr>
              <w:t>-</w:t>
            </w:r>
          </w:p>
        </w:tc>
        <w:tc>
          <w:tcPr>
            <w:tcW w:w="4008" w:type="dxa"/>
          </w:tcPr>
          <w:p>
            <w:pPr>
              <w:pStyle w:val="TableParagraph"/>
              <w:spacing w:line="187" w:lineRule="exact" w:before="62"/>
              <w:ind w:left="142"/>
              <w:rPr>
                <w:sz w:val="19"/>
              </w:rPr>
            </w:pPr>
            <w:r>
              <w:rPr>
                <w:w w:val="105"/>
                <w:sz w:val="19"/>
              </w:rPr>
              <w:t>Work</w:t>
            </w:r>
            <w:r>
              <w:rPr>
                <w:spacing w:val="-1"/>
                <w:w w:val="105"/>
                <w:sz w:val="19"/>
              </w:rPr>
              <w:t> </w:t>
            </w:r>
            <w:r>
              <w:rPr>
                <w:w w:val="105"/>
                <w:sz w:val="19"/>
              </w:rPr>
              <w:t>Session</w:t>
            </w:r>
            <w:r>
              <w:rPr>
                <w:spacing w:val="-14"/>
                <w:w w:val="105"/>
                <w:sz w:val="19"/>
              </w:rPr>
              <w:t> </w:t>
            </w:r>
            <w:r>
              <w:rPr>
                <w:w w:val="105"/>
                <w:sz w:val="19"/>
              </w:rPr>
              <w:t>-</w:t>
            </w:r>
            <w:r>
              <w:rPr>
                <w:spacing w:val="55"/>
                <w:w w:val="105"/>
                <w:sz w:val="19"/>
              </w:rPr>
              <w:t> </w:t>
            </w:r>
            <w:r>
              <w:rPr>
                <w:w w:val="105"/>
                <w:sz w:val="19"/>
              </w:rPr>
              <w:t>Final</w:t>
            </w:r>
            <w:r>
              <w:rPr>
                <w:spacing w:val="-8"/>
                <w:w w:val="105"/>
                <w:sz w:val="19"/>
              </w:rPr>
              <w:t> </w:t>
            </w:r>
            <w:r>
              <w:rPr>
                <w:w w:val="105"/>
                <w:sz w:val="19"/>
              </w:rPr>
              <w:t>VTR</w:t>
            </w:r>
            <w:r>
              <w:rPr>
                <w:spacing w:val="-1"/>
                <w:w w:val="105"/>
                <w:sz w:val="19"/>
              </w:rPr>
              <w:t> </w:t>
            </w:r>
            <w:r>
              <w:rPr>
                <w:spacing w:val="-2"/>
                <w:w w:val="105"/>
                <w:sz w:val="19"/>
              </w:rPr>
              <w:t>draft</w:t>
            </w:r>
          </w:p>
        </w:tc>
        <w:tc>
          <w:tcPr>
            <w:tcW w:w="1252" w:type="dxa"/>
          </w:tcPr>
          <w:p>
            <w:pPr>
              <w:pStyle w:val="TableParagraph"/>
              <w:spacing w:line="187" w:lineRule="exact" w:before="62"/>
              <w:ind w:left="140"/>
              <w:rPr>
                <w:sz w:val="19"/>
              </w:rPr>
            </w:pPr>
            <w:r>
              <w:rPr>
                <w:spacing w:val="-2"/>
                <w:w w:val="105"/>
                <w:sz w:val="19"/>
              </w:rPr>
              <w:t>Bemis</w:t>
            </w:r>
          </w:p>
        </w:tc>
        <w:tc>
          <w:tcPr>
            <w:tcW w:w="2110" w:type="dxa"/>
          </w:tcPr>
          <w:p>
            <w:pPr>
              <w:pStyle w:val="TableParagraph"/>
              <w:spacing w:line="196" w:lineRule="exact" w:before="52"/>
              <w:ind w:left="129"/>
              <w:rPr>
                <w:sz w:val="19"/>
              </w:rPr>
            </w:pPr>
            <w:r>
              <w:rPr>
                <w:spacing w:val="-2"/>
                <w:w w:val="90"/>
                <w:sz w:val="19"/>
              </w:rPr>
              <w:t>_Team</w:t>
            </w:r>
            <w:r>
              <w:rPr>
                <w:spacing w:val="-6"/>
                <w:sz w:val="19"/>
              </w:rPr>
              <w:t> </w:t>
            </w:r>
            <w:r>
              <w:rPr>
                <w:spacing w:val="-4"/>
                <w:sz w:val="19"/>
              </w:rPr>
              <w:t>Only</w:t>
            </w:r>
          </w:p>
        </w:tc>
      </w:tr>
      <w:tr>
        <w:trPr>
          <w:trHeight w:val="268" w:hRule="atLeast"/>
        </w:trPr>
        <w:tc>
          <w:tcPr>
            <w:tcW w:w="9239" w:type="dxa"/>
            <w:gridSpan w:val="4"/>
          </w:tcPr>
          <w:p>
            <w:pPr>
              <w:pStyle w:val="TableParagraph"/>
              <w:spacing w:line="206" w:lineRule="exact" w:before="43"/>
              <w:ind w:left="133"/>
              <w:rPr>
                <w:b/>
                <w:sz w:val="19"/>
              </w:rPr>
            </w:pPr>
            <w:r>
              <w:rPr>
                <w:b/>
                <w:w w:val="105"/>
                <w:sz w:val="19"/>
              </w:rPr>
              <w:t>Wednesday,</w:t>
            </w:r>
            <w:r>
              <w:rPr>
                <w:b/>
                <w:spacing w:val="6"/>
                <w:w w:val="105"/>
                <w:sz w:val="19"/>
              </w:rPr>
              <w:t> </w:t>
            </w:r>
            <w:r>
              <w:rPr>
                <w:b/>
                <w:w w:val="105"/>
                <w:sz w:val="19"/>
              </w:rPr>
              <w:t>March</w:t>
            </w:r>
            <w:r>
              <w:rPr>
                <w:b/>
                <w:spacing w:val="-8"/>
                <w:w w:val="105"/>
                <w:sz w:val="19"/>
              </w:rPr>
              <w:t> </w:t>
            </w:r>
            <w:r>
              <w:rPr>
                <w:b/>
                <w:w w:val="105"/>
                <w:sz w:val="19"/>
              </w:rPr>
              <w:t>25, </w:t>
            </w:r>
            <w:r>
              <w:rPr>
                <w:b/>
                <w:spacing w:val="-4"/>
                <w:w w:val="105"/>
                <w:sz w:val="19"/>
              </w:rPr>
              <w:t>2009</w:t>
            </w:r>
          </w:p>
        </w:tc>
      </w:tr>
      <w:tr>
        <w:trPr>
          <w:trHeight w:val="480" w:hRule="atLeast"/>
        </w:trPr>
        <w:tc>
          <w:tcPr>
            <w:tcW w:w="1869" w:type="dxa"/>
          </w:tcPr>
          <w:p>
            <w:pPr>
              <w:pStyle w:val="TableParagraph"/>
              <w:spacing w:before="43"/>
              <w:ind w:left="130"/>
              <w:rPr>
                <w:sz w:val="19"/>
              </w:rPr>
            </w:pPr>
            <w:r>
              <w:rPr>
                <w:w w:val="105"/>
                <w:sz w:val="19"/>
              </w:rPr>
              <w:t>B:00a</w:t>
            </w:r>
            <w:r>
              <w:rPr>
                <w:spacing w:val="-14"/>
                <w:w w:val="105"/>
                <w:sz w:val="19"/>
              </w:rPr>
              <w:t> </w:t>
            </w:r>
            <w:r>
              <w:rPr>
                <w:w w:val="105"/>
                <w:sz w:val="19"/>
              </w:rPr>
              <w:t>-</w:t>
            </w:r>
            <w:r>
              <w:rPr>
                <w:spacing w:val="37"/>
                <w:w w:val="105"/>
                <w:sz w:val="19"/>
              </w:rPr>
              <w:t> </w:t>
            </w:r>
            <w:r>
              <w:rPr>
                <w:spacing w:val="-2"/>
                <w:w w:val="105"/>
                <w:sz w:val="19"/>
              </w:rPr>
              <w:t>9:00a</w:t>
            </w:r>
          </w:p>
        </w:tc>
        <w:tc>
          <w:tcPr>
            <w:tcW w:w="4008" w:type="dxa"/>
          </w:tcPr>
          <w:p>
            <w:pPr>
              <w:pStyle w:val="TableParagraph"/>
              <w:spacing w:before="43"/>
              <w:ind w:left="140"/>
              <w:rPr>
                <w:sz w:val="19"/>
              </w:rPr>
            </w:pPr>
            <w:r>
              <w:rPr>
                <w:w w:val="105"/>
                <w:sz w:val="19"/>
              </w:rPr>
              <w:t>Team</w:t>
            </w:r>
            <w:r>
              <w:rPr>
                <w:spacing w:val="-9"/>
                <w:w w:val="105"/>
                <w:sz w:val="19"/>
              </w:rPr>
              <w:t> </w:t>
            </w:r>
            <w:r>
              <w:rPr>
                <w:w w:val="105"/>
                <w:sz w:val="19"/>
              </w:rPr>
              <w:t>Breakfast</w:t>
            </w:r>
            <w:r>
              <w:rPr>
                <w:spacing w:val="5"/>
                <w:w w:val="105"/>
                <w:sz w:val="19"/>
              </w:rPr>
              <w:t> </w:t>
            </w:r>
            <w:r>
              <w:rPr>
                <w:w w:val="105"/>
                <w:sz w:val="19"/>
              </w:rPr>
              <w:t>with</w:t>
            </w:r>
            <w:r>
              <w:rPr>
                <w:spacing w:val="-17"/>
                <w:w w:val="105"/>
                <w:sz w:val="19"/>
              </w:rPr>
              <w:t> </w:t>
            </w:r>
            <w:r>
              <w:rPr>
                <w:spacing w:val="-2"/>
                <w:w w:val="105"/>
                <w:sz w:val="19"/>
              </w:rPr>
              <w:t>Chair</w:t>
            </w:r>
          </w:p>
        </w:tc>
        <w:tc>
          <w:tcPr>
            <w:tcW w:w="1252" w:type="dxa"/>
          </w:tcPr>
          <w:p>
            <w:pPr>
              <w:pStyle w:val="TableParagraph"/>
              <w:spacing w:before="43"/>
              <w:ind w:left="139"/>
              <w:rPr>
                <w:sz w:val="19"/>
              </w:rPr>
            </w:pPr>
            <w:r>
              <w:rPr>
                <w:spacing w:val="-2"/>
                <w:w w:val="105"/>
                <w:sz w:val="19"/>
              </w:rPr>
              <w:t>Hotel</w:t>
            </w:r>
          </w:p>
        </w:tc>
        <w:tc>
          <w:tcPr>
            <w:tcW w:w="2110" w:type="dxa"/>
          </w:tcPr>
          <w:p>
            <w:pPr>
              <w:pStyle w:val="TableParagraph"/>
              <w:spacing w:line="230" w:lineRule="atLeast" w:before="11"/>
              <w:ind w:left="140" w:right="473"/>
              <w:rPr>
                <w:sz w:val="19"/>
              </w:rPr>
            </w:pPr>
            <w:r>
              <w:rPr>
                <w:w w:val="105"/>
                <w:sz w:val="19"/>
              </w:rPr>
              <w:t>Team</w:t>
            </w:r>
            <w:r>
              <w:rPr>
                <w:spacing w:val="-14"/>
                <w:w w:val="105"/>
                <w:sz w:val="19"/>
              </w:rPr>
              <w:t> </w:t>
            </w:r>
            <w:r>
              <w:rPr>
                <w:w w:val="105"/>
                <w:sz w:val="19"/>
              </w:rPr>
              <w:t>Members Dept</w:t>
            </w:r>
            <w:r>
              <w:rPr>
                <w:spacing w:val="-7"/>
                <w:w w:val="105"/>
                <w:sz w:val="19"/>
              </w:rPr>
              <w:t> </w:t>
            </w:r>
            <w:r>
              <w:rPr>
                <w:w w:val="105"/>
                <w:sz w:val="19"/>
              </w:rPr>
              <w:t>Chair</w:t>
            </w:r>
          </w:p>
        </w:tc>
      </w:tr>
      <w:tr>
        <w:trPr>
          <w:trHeight w:val="538" w:hRule="atLeast"/>
        </w:trPr>
        <w:tc>
          <w:tcPr>
            <w:tcW w:w="1869" w:type="dxa"/>
          </w:tcPr>
          <w:p>
            <w:pPr>
              <w:pStyle w:val="TableParagraph"/>
              <w:spacing w:before="52"/>
              <w:ind w:left="126"/>
              <w:rPr>
                <w:sz w:val="19"/>
              </w:rPr>
            </w:pPr>
            <w:r>
              <w:rPr>
                <w:w w:val="120"/>
                <w:sz w:val="19"/>
              </w:rPr>
              <w:t>9:15a-</w:t>
            </w:r>
            <w:r>
              <w:rPr>
                <w:spacing w:val="14"/>
                <w:w w:val="120"/>
                <w:sz w:val="19"/>
              </w:rPr>
              <w:t> </w:t>
            </w:r>
            <w:r>
              <w:rPr>
                <w:spacing w:val="-2"/>
                <w:w w:val="120"/>
                <w:sz w:val="19"/>
              </w:rPr>
              <w:t>9:45a</w:t>
            </w:r>
          </w:p>
        </w:tc>
        <w:tc>
          <w:tcPr>
            <w:tcW w:w="4008" w:type="dxa"/>
          </w:tcPr>
          <w:p>
            <w:pPr>
              <w:pStyle w:val="TableParagraph"/>
              <w:spacing w:before="52"/>
              <w:ind w:left="139"/>
              <w:rPr>
                <w:sz w:val="19"/>
              </w:rPr>
            </w:pPr>
            <w:r>
              <w:rPr>
                <w:w w:val="105"/>
                <w:sz w:val="19"/>
              </w:rPr>
              <w:t>Exit</w:t>
            </w:r>
            <w:r>
              <w:rPr>
                <w:spacing w:val="-4"/>
                <w:w w:val="105"/>
                <w:sz w:val="19"/>
              </w:rPr>
              <w:t> </w:t>
            </w:r>
            <w:r>
              <w:rPr>
                <w:w w:val="105"/>
                <w:sz w:val="19"/>
              </w:rPr>
              <w:t>Meeting</w:t>
            </w:r>
            <w:r>
              <w:rPr>
                <w:spacing w:val="8"/>
                <w:w w:val="105"/>
                <w:sz w:val="19"/>
              </w:rPr>
              <w:t> </w:t>
            </w:r>
            <w:r>
              <w:rPr>
                <w:w w:val="105"/>
                <w:sz w:val="19"/>
              </w:rPr>
              <w:t>with</w:t>
            </w:r>
            <w:r>
              <w:rPr>
                <w:spacing w:val="-7"/>
                <w:w w:val="105"/>
                <w:sz w:val="19"/>
              </w:rPr>
              <w:t> </w:t>
            </w:r>
            <w:r>
              <w:rPr>
                <w:spacing w:val="-2"/>
                <w:w w:val="105"/>
                <w:sz w:val="19"/>
              </w:rPr>
              <w:t>Provost</w:t>
            </w:r>
          </w:p>
          <w:p>
            <w:pPr>
              <w:pStyle w:val="TableParagraph"/>
              <w:spacing w:before="13"/>
              <w:ind w:left="131"/>
              <w:rPr>
                <w:b/>
                <w:sz w:val="19"/>
              </w:rPr>
            </w:pPr>
            <w:r>
              <w:rPr>
                <w:b/>
                <w:spacing w:val="-5"/>
                <w:w w:val="105"/>
                <w:sz w:val="19"/>
              </w:rPr>
              <w:t>MF</w:t>
            </w:r>
          </w:p>
        </w:tc>
        <w:tc>
          <w:tcPr>
            <w:tcW w:w="1252" w:type="dxa"/>
          </w:tcPr>
          <w:p>
            <w:pPr>
              <w:pStyle w:val="TableParagraph"/>
              <w:spacing w:line="254" w:lineRule="auto" w:before="52"/>
              <w:ind w:left="140" w:hanging="6"/>
              <w:rPr>
                <w:sz w:val="19"/>
              </w:rPr>
            </w:pPr>
            <w:r>
              <w:rPr>
                <w:spacing w:val="-2"/>
                <w:w w:val="105"/>
                <w:sz w:val="19"/>
              </w:rPr>
              <w:t>Admin </w:t>
            </w:r>
            <w:r>
              <w:rPr>
                <w:spacing w:val="-2"/>
                <w:sz w:val="19"/>
              </w:rPr>
              <w:t>Building</w:t>
            </w:r>
          </w:p>
        </w:tc>
        <w:tc>
          <w:tcPr>
            <w:tcW w:w="2110" w:type="dxa"/>
          </w:tcPr>
          <w:p>
            <w:pPr>
              <w:pStyle w:val="TableParagraph"/>
              <w:spacing w:before="52"/>
              <w:ind w:left="141"/>
              <w:rPr>
                <w:sz w:val="19"/>
              </w:rPr>
            </w:pPr>
            <w:r>
              <w:rPr>
                <w:w w:val="105"/>
                <w:sz w:val="19"/>
              </w:rPr>
              <w:t>Team</w:t>
            </w:r>
            <w:r>
              <w:rPr>
                <w:spacing w:val="-12"/>
                <w:w w:val="105"/>
                <w:sz w:val="19"/>
              </w:rPr>
              <w:t> </w:t>
            </w:r>
            <w:r>
              <w:rPr>
                <w:spacing w:val="-2"/>
                <w:w w:val="105"/>
                <w:sz w:val="19"/>
              </w:rPr>
              <w:t>Members</w:t>
            </w:r>
          </w:p>
        </w:tc>
      </w:tr>
      <w:tr>
        <w:trPr>
          <w:trHeight w:val="451" w:hRule="atLeast"/>
        </w:trPr>
        <w:tc>
          <w:tcPr>
            <w:tcW w:w="1869" w:type="dxa"/>
          </w:tcPr>
          <w:p>
            <w:pPr>
              <w:pStyle w:val="TableParagraph"/>
              <w:spacing w:before="4"/>
              <w:ind w:left="126"/>
              <w:rPr>
                <w:sz w:val="19"/>
              </w:rPr>
            </w:pPr>
            <w:r>
              <w:rPr>
                <w:w w:val="120"/>
                <w:sz w:val="19"/>
              </w:rPr>
              <w:t>9:45a-</w:t>
            </w:r>
            <w:r>
              <w:rPr>
                <w:spacing w:val="21"/>
                <w:w w:val="120"/>
                <w:sz w:val="19"/>
              </w:rPr>
              <w:t> </w:t>
            </w:r>
            <w:r>
              <w:rPr>
                <w:spacing w:val="-2"/>
                <w:w w:val="120"/>
                <w:sz w:val="19"/>
              </w:rPr>
              <w:t>10:15a</w:t>
            </w:r>
          </w:p>
        </w:tc>
        <w:tc>
          <w:tcPr>
            <w:tcW w:w="4008" w:type="dxa"/>
          </w:tcPr>
          <w:p>
            <w:pPr>
              <w:pStyle w:val="TableParagraph"/>
              <w:spacing w:before="4"/>
              <w:ind w:left="139"/>
              <w:rPr>
                <w:sz w:val="19"/>
              </w:rPr>
            </w:pPr>
            <w:r>
              <w:rPr>
                <w:w w:val="105"/>
                <w:sz w:val="19"/>
              </w:rPr>
              <w:t>Exit</w:t>
            </w:r>
            <w:r>
              <w:rPr>
                <w:spacing w:val="-6"/>
                <w:w w:val="105"/>
                <w:sz w:val="19"/>
              </w:rPr>
              <w:t> </w:t>
            </w:r>
            <w:r>
              <w:rPr>
                <w:w w:val="105"/>
                <w:sz w:val="19"/>
              </w:rPr>
              <w:t>Meeting</w:t>
            </w:r>
            <w:r>
              <w:rPr>
                <w:spacing w:val="5"/>
                <w:w w:val="105"/>
                <w:sz w:val="19"/>
              </w:rPr>
              <w:t> </w:t>
            </w:r>
            <w:r>
              <w:rPr>
                <w:w w:val="105"/>
                <w:sz w:val="19"/>
              </w:rPr>
              <w:t>with</w:t>
            </w:r>
            <w:r>
              <w:rPr>
                <w:spacing w:val="-9"/>
                <w:w w:val="105"/>
                <w:sz w:val="19"/>
              </w:rPr>
              <w:t> </w:t>
            </w:r>
            <w:r>
              <w:rPr>
                <w:w w:val="105"/>
                <w:sz w:val="19"/>
              </w:rPr>
              <w:t>Dr.</w:t>
            </w:r>
            <w:r>
              <w:rPr>
                <w:spacing w:val="-4"/>
                <w:w w:val="105"/>
                <w:sz w:val="19"/>
              </w:rPr>
              <w:t> </w:t>
            </w:r>
            <w:r>
              <w:rPr>
                <w:w w:val="105"/>
                <w:sz w:val="19"/>
              </w:rPr>
              <w:t>Harvey</w:t>
            </w:r>
            <w:r>
              <w:rPr>
                <w:spacing w:val="2"/>
                <w:w w:val="105"/>
                <w:sz w:val="19"/>
              </w:rPr>
              <w:t> </w:t>
            </w:r>
            <w:r>
              <w:rPr>
                <w:w w:val="105"/>
                <w:sz w:val="19"/>
              </w:rPr>
              <w:t>or</w:t>
            </w:r>
            <w:r>
              <w:rPr>
                <w:spacing w:val="4"/>
                <w:w w:val="105"/>
                <w:sz w:val="19"/>
              </w:rPr>
              <w:t> </w:t>
            </w:r>
            <w:r>
              <w:rPr>
                <w:spacing w:val="-2"/>
                <w:w w:val="105"/>
                <w:sz w:val="19"/>
              </w:rPr>
              <w:t>Senior</w:t>
            </w:r>
          </w:p>
          <w:p>
            <w:pPr>
              <w:pStyle w:val="TableParagraph"/>
              <w:spacing w:line="196" w:lineRule="exact" w:before="13"/>
              <w:ind w:left="135"/>
              <w:rPr>
                <w:sz w:val="19"/>
              </w:rPr>
            </w:pPr>
            <w:r>
              <w:rPr>
                <w:w w:val="105"/>
                <w:sz w:val="19"/>
              </w:rPr>
              <w:t>Administrator</w:t>
            </w:r>
            <w:r>
              <w:rPr>
                <w:spacing w:val="-7"/>
                <w:w w:val="105"/>
                <w:sz w:val="19"/>
              </w:rPr>
              <w:t> MF</w:t>
            </w:r>
          </w:p>
        </w:tc>
        <w:tc>
          <w:tcPr>
            <w:tcW w:w="1252" w:type="dxa"/>
          </w:tcPr>
          <w:p>
            <w:pPr>
              <w:pStyle w:val="TableParagraph"/>
              <w:spacing w:line="230" w:lineRule="atLeast"/>
              <w:ind w:left="140" w:hanging="6"/>
              <w:rPr>
                <w:sz w:val="19"/>
              </w:rPr>
            </w:pPr>
            <w:r>
              <w:rPr>
                <w:spacing w:val="-2"/>
                <w:w w:val="105"/>
                <w:sz w:val="19"/>
              </w:rPr>
              <w:t>Admin </w:t>
            </w:r>
            <w:r>
              <w:rPr>
                <w:spacing w:val="-2"/>
                <w:sz w:val="19"/>
              </w:rPr>
              <w:t>Building</w:t>
            </w:r>
          </w:p>
        </w:tc>
        <w:tc>
          <w:tcPr>
            <w:tcW w:w="2110" w:type="dxa"/>
          </w:tcPr>
          <w:p>
            <w:pPr>
              <w:pStyle w:val="TableParagraph"/>
              <w:spacing w:before="14"/>
              <w:ind w:left="141"/>
              <w:rPr>
                <w:sz w:val="19"/>
              </w:rPr>
            </w:pPr>
            <w:r>
              <w:rPr>
                <w:w w:val="105"/>
                <w:sz w:val="19"/>
              </w:rPr>
              <w:t>Team</w:t>
            </w:r>
            <w:r>
              <w:rPr>
                <w:spacing w:val="-12"/>
                <w:w w:val="105"/>
                <w:sz w:val="19"/>
              </w:rPr>
              <w:t> </w:t>
            </w:r>
            <w:r>
              <w:rPr>
                <w:spacing w:val="-2"/>
                <w:w w:val="105"/>
                <w:sz w:val="19"/>
              </w:rPr>
              <w:t>Members</w:t>
            </w:r>
          </w:p>
        </w:tc>
      </w:tr>
      <w:tr>
        <w:trPr>
          <w:trHeight w:val="251" w:hRule="atLeast"/>
        </w:trPr>
        <w:tc>
          <w:tcPr>
            <w:tcW w:w="1869" w:type="dxa"/>
          </w:tcPr>
          <w:p>
            <w:pPr>
              <w:pStyle w:val="TableParagraph"/>
              <w:spacing w:line="215" w:lineRule="exact" w:before="16"/>
              <w:ind w:left="131"/>
              <w:rPr>
                <w:sz w:val="21"/>
              </w:rPr>
            </w:pPr>
            <w:r>
              <w:rPr>
                <w:w w:val="105"/>
                <w:sz w:val="21"/>
              </w:rPr>
              <w:t>10:15a-</w:t>
            </w:r>
            <w:r>
              <w:rPr>
                <w:spacing w:val="-2"/>
                <w:w w:val="105"/>
                <w:sz w:val="21"/>
              </w:rPr>
              <w:t>10:45a</w:t>
            </w:r>
          </w:p>
        </w:tc>
        <w:tc>
          <w:tcPr>
            <w:tcW w:w="4008" w:type="dxa"/>
          </w:tcPr>
          <w:p>
            <w:pPr>
              <w:pStyle w:val="TableParagraph"/>
              <w:spacing w:line="187" w:lineRule="exact" w:before="44"/>
              <w:ind w:left="139"/>
              <w:rPr>
                <w:sz w:val="19"/>
              </w:rPr>
            </w:pPr>
            <w:r>
              <w:rPr>
                <w:w w:val="105"/>
                <w:sz w:val="19"/>
              </w:rPr>
              <w:t>Exit</w:t>
            </w:r>
            <w:r>
              <w:rPr>
                <w:spacing w:val="-8"/>
                <w:w w:val="105"/>
                <w:sz w:val="19"/>
              </w:rPr>
              <w:t> </w:t>
            </w:r>
            <w:r>
              <w:rPr>
                <w:w w:val="105"/>
                <w:sz w:val="19"/>
              </w:rPr>
              <w:t>Meeting</w:t>
            </w:r>
            <w:r>
              <w:rPr>
                <w:spacing w:val="4"/>
                <w:w w:val="105"/>
                <w:sz w:val="19"/>
              </w:rPr>
              <w:t> </w:t>
            </w:r>
            <w:r>
              <w:rPr>
                <w:w w:val="105"/>
                <w:sz w:val="19"/>
              </w:rPr>
              <w:t>with</w:t>
            </w:r>
            <w:r>
              <w:rPr>
                <w:spacing w:val="-10"/>
                <w:w w:val="105"/>
                <w:sz w:val="19"/>
              </w:rPr>
              <w:t> </w:t>
            </w:r>
            <w:r>
              <w:rPr>
                <w:w w:val="105"/>
                <w:sz w:val="19"/>
              </w:rPr>
              <w:t>Dean</w:t>
            </w:r>
            <w:r>
              <w:rPr>
                <w:spacing w:val="-1"/>
                <w:w w:val="105"/>
                <w:sz w:val="19"/>
              </w:rPr>
              <w:t> </w:t>
            </w:r>
            <w:r>
              <w:rPr>
                <w:w w:val="105"/>
                <w:sz w:val="19"/>
              </w:rPr>
              <w:t>Sheppard</w:t>
            </w:r>
            <w:r>
              <w:rPr>
                <w:spacing w:val="-1"/>
                <w:w w:val="105"/>
                <w:sz w:val="19"/>
              </w:rPr>
              <w:t> </w:t>
            </w:r>
            <w:r>
              <w:rPr>
                <w:spacing w:val="-5"/>
                <w:w w:val="105"/>
                <w:sz w:val="19"/>
              </w:rPr>
              <w:t>MF</w:t>
            </w:r>
          </w:p>
        </w:tc>
        <w:tc>
          <w:tcPr>
            <w:tcW w:w="1252" w:type="dxa"/>
          </w:tcPr>
          <w:p>
            <w:pPr>
              <w:pStyle w:val="TableParagraph"/>
              <w:spacing w:line="187" w:lineRule="exact" w:before="44"/>
              <w:ind w:left="135"/>
              <w:rPr>
                <w:sz w:val="19"/>
              </w:rPr>
            </w:pPr>
            <w:r>
              <w:rPr>
                <w:w w:val="105"/>
                <w:sz w:val="19"/>
              </w:rPr>
              <w:t>Olin</w:t>
            </w:r>
            <w:r>
              <w:rPr>
                <w:spacing w:val="-7"/>
                <w:w w:val="105"/>
                <w:sz w:val="19"/>
              </w:rPr>
              <w:t> </w:t>
            </w:r>
            <w:r>
              <w:rPr>
                <w:spacing w:val="-4"/>
                <w:w w:val="110"/>
                <w:sz w:val="19"/>
              </w:rPr>
              <w:t>Hall</w:t>
            </w:r>
          </w:p>
        </w:tc>
        <w:tc>
          <w:tcPr>
            <w:tcW w:w="2110" w:type="dxa"/>
          </w:tcPr>
          <w:p>
            <w:pPr>
              <w:pStyle w:val="TableParagraph"/>
              <w:spacing w:line="187" w:lineRule="exact" w:before="44"/>
              <w:ind w:left="131"/>
              <w:rPr>
                <w:sz w:val="19"/>
              </w:rPr>
            </w:pPr>
            <w:r>
              <w:rPr>
                <w:w w:val="105"/>
                <w:sz w:val="19"/>
              </w:rPr>
              <w:t>Team</w:t>
            </w:r>
            <w:r>
              <w:rPr>
                <w:spacing w:val="-2"/>
                <w:w w:val="105"/>
                <w:sz w:val="19"/>
              </w:rPr>
              <w:t> Members</w:t>
            </w:r>
          </w:p>
        </w:tc>
      </w:tr>
      <w:tr>
        <w:trPr>
          <w:trHeight w:val="1231" w:hRule="atLeast"/>
        </w:trPr>
        <w:tc>
          <w:tcPr>
            <w:tcW w:w="1869" w:type="dxa"/>
          </w:tcPr>
          <w:p>
            <w:pPr>
              <w:pStyle w:val="TableParagraph"/>
              <w:spacing w:before="43"/>
              <w:ind w:left="133"/>
              <w:rPr>
                <w:sz w:val="19"/>
              </w:rPr>
            </w:pPr>
            <w:r>
              <w:rPr>
                <w:w w:val="115"/>
                <w:sz w:val="19"/>
              </w:rPr>
              <w:t>11:00a-</w:t>
            </w:r>
            <w:r>
              <w:rPr>
                <w:spacing w:val="-2"/>
                <w:w w:val="115"/>
                <w:sz w:val="19"/>
              </w:rPr>
              <w:t>12:00n</w:t>
            </w:r>
          </w:p>
        </w:tc>
        <w:tc>
          <w:tcPr>
            <w:tcW w:w="4008" w:type="dxa"/>
          </w:tcPr>
          <w:p>
            <w:pPr>
              <w:pStyle w:val="TableParagraph"/>
              <w:spacing w:line="254" w:lineRule="auto" w:before="52"/>
              <w:ind w:left="135" w:firstLine="3"/>
              <w:rPr>
                <w:sz w:val="19"/>
              </w:rPr>
            </w:pPr>
            <w:r>
              <w:rPr>
                <w:w w:val="105"/>
                <w:sz w:val="19"/>
              </w:rPr>
              <w:t>Formal</w:t>
            </w:r>
            <w:r>
              <w:rPr>
                <w:spacing w:val="-12"/>
                <w:w w:val="105"/>
                <w:sz w:val="19"/>
              </w:rPr>
              <w:t> </w:t>
            </w:r>
            <w:r>
              <w:rPr>
                <w:w w:val="105"/>
                <w:sz w:val="19"/>
              </w:rPr>
              <w:t>Presentation to</w:t>
            </w:r>
            <w:r>
              <w:rPr>
                <w:spacing w:val="-5"/>
                <w:w w:val="105"/>
                <w:sz w:val="19"/>
              </w:rPr>
              <w:t> </w:t>
            </w:r>
            <w:r>
              <w:rPr>
                <w:w w:val="105"/>
                <w:sz w:val="19"/>
              </w:rPr>
              <w:t>School</w:t>
            </w:r>
            <w:r>
              <w:rPr>
                <w:spacing w:val="-10"/>
                <w:w w:val="105"/>
                <w:sz w:val="19"/>
              </w:rPr>
              <w:t> </w:t>
            </w:r>
            <w:r>
              <w:rPr>
                <w:w w:val="105"/>
                <w:sz w:val="19"/>
              </w:rPr>
              <w:t>and Administration MF, JL, JB, RM</w:t>
            </w:r>
          </w:p>
        </w:tc>
        <w:tc>
          <w:tcPr>
            <w:tcW w:w="1252" w:type="dxa"/>
          </w:tcPr>
          <w:p>
            <w:pPr>
              <w:pStyle w:val="TableParagraph"/>
              <w:spacing w:before="52"/>
              <w:ind w:left="140"/>
              <w:rPr>
                <w:sz w:val="19"/>
              </w:rPr>
            </w:pPr>
            <w:r>
              <w:rPr>
                <w:spacing w:val="-2"/>
                <w:w w:val="105"/>
                <w:sz w:val="19"/>
              </w:rPr>
              <w:t>Bemis</w:t>
            </w:r>
          </w:p>
        </w:tc>
        <w:tc>
          <w:tcPr>
            <w:tcW w:w="2110" w:type="dxa"/>
          </w:tcPr>
          <w:p>
            <w:pPr>
              <w:pStyle w:val="TableParagraph"/>
              <w:spacing w:line="249" w:lineRule="auto" w:before="62"/>
              <w:ind w:left="140" w:right="137" w:hanging="9"/>
              <w:rPr>
                <w:sz w:val="19"/>
              </w:rPr>
            </w:pPr>
            <w:r>
              <w:rPr>
                <w:w w:val="105"/>
                <w:sz w:val="19"/>
              </w:rPr>
              <w:t>Team Members </w:t>
            </w:r>
            <w:r>
              <w:rPr>
                <w:spacing w:val="-2"/>
                <w:w w:val="105"/>
                <w:sz w:val="19"/>
              </w:rPr>
              <w:t>Univ.</w:t>
            </w:r>
            <w:r>
              <w:rPr>
                <w:spacing w:val="-12"/>
                <w:w w:val="105"/>
                <w:sz w:val="19"/>
              </w:rPr>
              <w:t> </w:t>
            </w:r>
            <w:r>
              <w:rPr>
                <w:spacing w:val="-2"/>
                <w:w w:val="105"/>
                <w:sz w:val="19"/>
              </w:rPr>
              <w:t>Administrat. </w:t>
            </w:r>
            <w:r>
              <w:rPr>
                <w:spacing w:val="-4"/>
                <w:w w:val="105"/>
                <w:sz w:val="19"/>
              </w:rPr>
              <w:t>Dean</w:t>
            </w:r>
          </w:p>
          <w:p>
            <w:pPr>
              <w:pStyle w:val="TableParagraph"/>
              <w:spacing w:line="254" w:lineRule="auto" w:before="2"/>
              <w:ind w:left="146" w:hanging="6"/>
              <w:rPr>
                <w:sz w:val="19"/>
              </w:rPr>
            </w:pPr>
            <w:r>
              <w:rPr>
                <w:w w:val="105"/>
                <w:sz w:val="19"/>
              </w:rPr>
              <w:t>Dept.</w:t>
            </w:r>
            <w:r>
              <w:rPr>
                <w:spacing w:val="-3"/>
                <w:w w:val="105"/>
                <w:sz w:val="19"/>
              </w:rPr>
              <w:t> </w:t>
            </w:r>
            <w:r>
              <w:rPr>
                <w:w w:val="105"/>
                <w:sz w:val="19"/>
              </w:rPr>
              <w:t>Chair </w:t>
            </w:r>
            <w:r>
              <w:rPr>
                <w:spacing w:val="-2"/>
                <w:w w:val="105"/>
                <w:sz w:val="19"/>
              </w:rPr>
              <w:t>StudentsFaculty</w:t>
            </w: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4"/>
        </w:rPr>
      </w:pPr>
      <w:r>
        <w:rPr/>
        <w:pict>
          <v:shape style="position:absolute;margin-left:65.524673pt;margin-top:9.778102pt;width:456.75pt;height:.1pt;mso-position-horizontal-relative:page;mso-position-vertical-relative:paragraph;z-index:-15683584;mso-wrap-distance-left:0;mso-wrap-distance-right:0" id="docshape706" coordorigin="1310,196" coordsize="9135,0" path="m1310,196l10445,196e" filled="false" stroked="true" strokeweight=".481434pt" strokecolor="#000000">
            <v:path arrowok="t"/>
            <v:stroke dashstyle="solid"/>
            <w10:wrap type="topAndBottom"/>
          </v:shape>
        </w:pict>
      </w:r>
    </w:p>
    <w:p>
      <w:pPr>
        <w:spacing w:before="0"/>
        <w:ind w:left="0" w:right="207" w:firstLine="0"/>
        <w:jc w:val="right"/>
        <w:rPr>
          <w:sz w:val="21"/>
        </w:rPr>
      </w:pPr>
      <w:r>
        <w:rPr>
          <w:spacing w:val="-5"/>
          <w:w w:val="105"/>
          <w:sz w:val="21"/>
        </w:rPr>
        <w:t>41</w:t>
      </w:r>
    </w:p>
    <w:p>
      <w:pPr>
        <w:spacing w:after="0"/>
        <w:jc w:val="right"/>
        <w:rPr>
          <w:sz w:val="21"/>
        </w:rPr>
        <w:sectPr>
          <w:headerReference w:type="default" r:id="rId440"/>
          <w:footerReference w:type="default" r:id="rId441"/>
          <w:pgSz w:w="12180" w:h="15820"/>
          <w:pgMar w:header="733" w:footer="0" w:top="840" w:bottom="280" w:left="1120" w:right="1180"/>
        </w:sectPr>
      </w:pPr>
    </w:p>
    <w:p>
      <w:pPr>
        <w:spacing w:line="254" w:lineRule="auto" w:before="12"/>
        <w:ind w:left="7922" w:right="273" w:hanging="189"/>
        <w:jc w:val="right"/>
        <w:rPr>
          <w:sz w:val="19"/>
        </w:rPr>
      </w:pPr>
      <w:r>
        <w:rPr/>
        <w:pict>
          <v:shape style="position:absolute;margin-left:67.451866pt;margin-top:24.435301pt;width:470.25pt;height:.1pt;mso-position-horizontal-relative:page;mso-position-vertical-relative:paragraph;z-index:-15683072;mso-wrap-distance-left:0;mso-wrap-distance-right:0" id="docshape708" coordorigin="1349,489" coordsize="9405,0" path="m1349,489l10754,489e" filled="false" stroked="true" strokeweight=".481434pt" strokecolor="#000000">
            <v:path arrowok="t"/>
            <v:stroke dashstyle="solid"/>
            <w10:wrap type="topAndBottom"/>
          </v:shape>
        </w:pict>
      </w:r>
      <w:r>
        <w:rPr>
          <w:w w:val="105"/>
          <w:sz w:val="19"/>
        </w:rPr>
        <w:t>Visiting</w:t>
      </w:r>
      <w:r>
        <w:rPr>
          <w:spacing w:val="-14"/>
          <w:w w:val="105"/>
          <w:sz w:val="19"/>
        </w:rPr>
        <w:t> </w:t>
      </w:r>
      <w:r>
        <w:rPr>
          <w:w w:val="105"/>
          <w:sz w:val="19"/>
        </w:rPr>
        <w:t>Team</w:t>
      </w:r>
      <w:r>
        <w:rPr>
          <w:spacing w:val="-14"/>
          <w:w w:val="105"/>
          <w:sz w:val="19"/>
        </w:rPr>
        <w:t> </w:t>
      </w:r>
      <w:r>
        <w:rPr>
          <w:w w:val="105"/>
          <w:sz w:val="19"/>
        </w:rPr>
        <w:t>Report 21-25</w:t>
      </w:r>
      <w:r>
        <w:rPr>
          <w:spacing w:val="6"/>
          <w:w w:val="105"/>
          <w:sz w:val="19"/>
        </w:rPr>
        <w:t> </w:t>
      </w:r>
      <w:r>
        <w:rPr>
          <w:w w:val="105"/>
          <w:sz w:val="19"/>
        </w:rPr>
        <w:t>March</w:t>
      </w:r>
      <w:r>
        <w:rPr>
          <w:spacing w:val="33"/>
          <w:w w:val="105"/>
          <w:sz w:val="19"/>
        </w:rPr>
        <w:t> </w:t>
      </w:r>
      <w:r>
        <w:rPr>
          <w:spacing w:val="-4"/>
          <w:w w:val="105"/>
          <w:sz w:val="19"/>
        </w:rPr>
        <w:t>2009</w:t>
      </w:r>
    </w:p>
    <w:p>
      <w:pPr>
        <w:pStyle w:val="BodyText"/>
        <w:spacing w:before="9"/>
        <w:rPr>
          <w:sz w:val="17"/>
        </w:rPr>
      </w:pPr>
    </w:p>
    <w:p>
      <w:pPr>
        <w:tabs>
          <w:tab w:pos="976" w:val="left" w:leader="none"/>
        </w:tabs>
        <w:spacing w:line="491" w:lineRule="auto" w:before="94"/>
        <w:ind w:left="272" w:right="7187" w:hanging="5"/>
        <w:jc w:val="left"/>
        <w:rPr>
          <w:b/>
          <w:sz w:val="19"/>
        </w:rPr>
      </w:pPr>
      <w:r>
        <w:rPr>
          <w:spacing w:val="-4"/>
          <w:w w:val="105"/>
          <w:sz w:val="20"/>
        </w:rPr>
        <w:t>IV.</w:t>
      </w:r>
      <w:r>
        <w:rPr>
          <w:sz w:val="20"/>
        </w:rPr>
        <w:tab/>
      </w:r>
      <w:r>
        <w:rPr>
          <w:b/>
          <w:spacing w:val="-2"/>
          <w:w w:val="105"/>
          <w:sz w:val="19"/>
        </w:rPr>
        <w:t>Report</w:t>
      </w:r>
      <w:r>
        <w:rPr>
          <w:b/>
          <w:spacing w:val="-12"/>
          <w:w w:val="105"/>
          <w:sz w:val="19"/>
        </w:rPr>
        <w:t> </w:t>
      </w:r>
      <w:r>
        <w:rPr>
          <w:b/>
          <w:spacing w:val="-2"/>
          <w:w w:val="105"/>
          <w:sz w:val="19"/>
        </w:rPr>
        <w:t>Signatures </w:t>
      </w:r>
      <w:r>
        <w:rPr>
          <w:b/>
          <w:w w:val="105"/>
          <w:sz w:val="19"/>
        </w:rPr>
        <w:t>Respectfully submitted,</w:t>
      </w:r>
    </w:p>
    <w:p>
      <w:pPr>
        <w:pStyle w:val="BodyText"/>
        <w:rPr>
          <w:b/>
        </w:rPr>
      </w:pPr>
    </w:p>
    <w:p>
      <w:pPr>
        <w:pStyle w:val="BodyText"/>
        <w:rPr>
          <w:b/>
        </w:rPr>
      </w:pPr>
    </w:p>
    <w:p>
      <w:pPr>
        <w:pStyle w:val="BodyText"/>
        <w:rPr>
          <w:b/>
        </w:rPr>
      </w:pPr>
    </w:p>
    <w:p>
      <w:pPr>
        <w:pStyle w:val="BodyText"/>
        <w:rPr>
          <w:b/>
        </w:rPr>
      </w:pPr>
    </w:p>
    <w:p>
      <w:pPr>
        <w:pStyle w:val="BodyText"/>
        <w:spacing w:before="4"/>
        <w:rPr>
          <w:b/>
          <w:sz w:val="19"/>
        </w:rPr>
      </w:pPr>
    </w:p>
    <w:p>
      <w:pPr>
        <w:spacing w:line="206" w:lineRule="exact" w:before="95"/>
        <w:ind w:left="6844" w:right="0" w:firstLine="0"/>
        <w:jc w:val="left"/>
        <w:rPr>
          <w:b/>
          <w:sz w:val="19"/>
        </w:rPr>
      </w:pPr>
      <w:r>
        <w:rPr/>
        <w:drawing>
          <wp:anchor distT="0" distB="0" distL="0" distR="0" allowOverlap="1" layoutInCell="1" locked="0" behindDoc="0" simplePos="0" relativeHeight="15776256">
            <wp:simplePos x="0" y="0"/>
            <wp:positionH relativeFrom="page">
              <wp:posOffset>930064</wp:posOffset>
            </wp:positionH>
            <wp:positionV relativeFrom="paragraph">
              <wp:posOffset>-462383</wp:posOffset>
            </wp:positionV>
            <wp:extent cx="1321671" cy="660334"/>
            <wp:effectExtent l="0" t="0" r="0" b="0"/>
            <wp:wrapNone/>
            <wp:docPr id="29" name="image17.png"/>
            <wp:cNvGraphicFramePr>
              <a:graphicFrameLocks noChangeAspect="1"/>
            </wp:cNvGraphicFramePr>
            <a:graphic>
              <a:graphicData uri="http://schemas.openxmlformats.org/drawingml/2006/picture">
                <pic:pic>
                  <pic:nvPicPr>
                    <pic:cNvPr id="30" name="image17.png"/>
                    <pic:cNvPicPr/>
                  </pic:nvPicPr>
                  <pic:blipFill>
                    <a:blip r:embed="rId444" cstate="print"/>
                    <a:stretch>
                      <a:fillRect/>
                    </a:stretch>
                  </pic:blipFill>
                  <pic:spPr>
                    <a:xfrm>
                      <a:off x="0" y="0"/>
                      <a:ext cx="1321671" cy="660334"/>
                    </a:xfrm>
                    <a:prstGeom prst="rect">
                      <a:avLst/>
                    </a:prstGeom>
                  </pic:spPr>
                </pic:pic>
              </a:graphicData>
            </a:graphic>
          </wp:anchor>
        </w:drawing>
      </w:r>
      <w:r>
        <w:rPr>
          <w:b/>
          <w:w w:val="105"/>
          <w:sz w:val="19"/>
        </w:rPr>
        <w:t>Representing</w:t>
      </w:r>
      <w:r>
        <w:rPr>
          <w:b/>
          <w:spacing w:val="-2"/>
          <w:w w:val="105"/>
          <w:sz w:val="19"/>
        </w:rPr>
        <w:t> </w:t>
      </w:r>
      <w:r>
        <w:rPr>
          <w:b/>
          <w:w w:val="105"/>
          <w:sz w:val="19"/>
        </w:rPr>
        <w:t>the</w:t>
      </w:r>
      <w:r>
        <w:rPr>
          <w:b/>
          <w:spacing w:val="-24"/>
          <w:w w:val="105"/>
          <w:sz w:val="19"/>
        </w:rPr>
        <w:t> </w:t>
      </w:r>
      <w:r>
        <w:rPr>
          <w:b/>
          <w:spacing w:val="-2"/>
          <w:w w:val="105"/>
          <w:sz w:val="19"/>
        </w:rPr>
        <w:t>NCARB</w:t>
      </w:r>
    </w:p>
    <w:p>
      <w:pPr>
        <w:spacing w:line="240" w:lineRule="exact" w:before="0"/>
        <w:ind w:left="359" w:right="0" w:firstLine="0"/>
        <w:jc w:val="left"/>
        <w:rPr>
          <w:b/>
          <w:sz w:val="22"/>
        </w:rPr>
      </w:pPr>
      <w:r>
        <w:rPr>
          <w:b/>
          <w:w w:val="90"/>
          <w:sz w:val="22"/>
        </w:rPr>
        <w:t>Team</w:t>
      </w:r>
      <w:r>
        <w:rPr>
          <w:b/>
          <w:spacing w:val="-15"/>
          <w:w w:val="90"/>
          <w:sz w:val="22"/>
        </w:rPr>
        <w:t> </w:t>
      </w:r>
      <w:r>
        <w:rPr>
          <w:b/>
          <w:spacing w:val="-2"/>
          <w:sz w:val="22"/>
        </w:rPr>
        <w:t>Chair</w:t>
      </w:r>
    </w:p>
    <w:p>
      <w:pPr>
        <w:spacing w:before="84"/>
        <w:ind w:left="2914" w:right="0" w:firstLine="0"/>
        <w:jc w:val="left"/>
        <w:rPr>
          <w:sz w:val="23"/>
        </w:rPr>
      </w:pPr>
      <w:r>
        <w:rPr/>
        <w:pict>
          <v:group style="position:absolute;margin-left:64.801971pt;margin-top:15.468287pt;width:480.15pt;height:75.6pt;mso-position-horizontal-relative:page;mso-position-vertical-relative:paragraph;z-index:15776768" id="docshapegroup709" coordorigin="1296,309" coordsize="9603,1512">
            <v:shape style="position:absolute;left:1310;top:309;width:3200;height:1387" type="#_x0000_t75" id="docshape710" stroked="false">
              <v:imagedata r:id="rId445" o:title=""/>
            </v:shape>
            <v:line style="position:absolute" from="1310,1821" to="1310,1195" stroked="true" strokeweight="1.445397pt" strokecolor="#000000">
              <v:stroke dashstyle="solid"/>
            </v:line>
            <v:line style="position:absolute" from="4741,1783" to="4741,849" stroked="true" strokeweight="2.408995pt" strokecolor="#000000">
              <v:stroke dashstyle="solid"/>
            </v:line>
            <v:line style="position:absolute" from="4510,1186" to="10898,1186" stroked="true" strokeweight=".962868pt" strokecolor="#000000">
              <v:stroke dashstyle="solid"/>
            </v:line>
            <v:shape style="position:absolute;left:1296;top:309;width:9603;height:1512" type="#_x0000_t202" id="docshape711" filled="false"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
                      <w:rPr>
                        <w:sz w:val="19"/>
                      </w:rPr>
                    </w:pPr>
                  </w:p>
                  <w:p>
                    <w:pPr>
                      <w:spacing w:before="0"/>
                      <w:ind w:left="0" w:right="683" w:firstLine="0"/>
                      <w:jc w:val="right"/>
                      <w:rPr>
                        <w:b/>
                        <w:sz w:val="19"/>
                      </w:rPr>
                    </w:pPr>
                    <w:r>
                      <w:rPr>
                        <w:b/>
                        <w:w w:val="105"/>
                        <w:sz w:val="19"/>
                      </w:rPr>
                      <w:t>Representing</w:t>
                    </w:r>
                    <w:r>
                      <w:rPr>
                        <w:b/>
                        <w:spacing w:val="-2"/>
                        <w:w w:val="105"/>
                        <w:sz w:val="19"/>
                      </w:rPr>
                      <w:t> </w:t>
                    </w:r>
                    <w:r>
                      <w:rPr>
                        <w:b/>
                        <w:w w:val="105"/>
                        <w:sz w:val="19"/>
                      </w:rPr>
                      <w:t>the</w:t>
                    </w:r>
                    <w:r>
                      <w:rPr>
                        <w:b/>
                        <w:spacing w:val="-11"/>
                        <w:w w:val="105"/>
                        <w:sz w:val="19"/>
                      </w:rPr>
                      <w:t> </w:t>
                    </w:r>
                    <w:r>
                      <w:rPr>
                        <w:b/>
                        <w:spacing w:val="-4"/>
                        <w:w w:val="105"/>
                        <w:sz w:val="19"/>
                      </w:rPr>
                      <w:t>ACSA</w:t>
                    </w:r>
                  </w:p>
                </w:txbxContent>
              </v:textbox>
              <w10:wrap type="none"/>
            </v:shape>
            <w10:wrap type="none"/>
          </v:group>
        </w:pict>
      </w:r>
      <w:r>
        <w:rPr>
          <w:w w:val="107"/>
          <w:sz w:val="23"/>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6"/>
        </w:rPr>
      </w:pPr>
      <w:r>
        <w:rPr/>
        <w:pict>
          <v:group style="position:absolute;margin-left:60.224873pt;margin-top:16.258221pt;width:484.7pt;height:50.65pt;mso-position-horizontal-relative:page;mso-position-vertical-relative:paragraph;z-index:-15682560;mso-wrap-distance-left:0;mso-wrap-distance-right:0" id="docshapegroup712" coordorigin="1204,325" coordsize="9694,1013">
            <v:shape style="position:absolute;left:1204;top:325;width:4231;height:954" type="#_x0000_t75" id="docshape713" stroked="false">
              <v:imagedata r:id="rId446" o:title=""/>
            </v:shape>
            <v:line style="position:absolute" from="5435,864" to="10898,864" stroked="true" strokeweight=".962868pt" strokecolor="#000000">
              <v:stroke dashstyle="solid"/>
            </v:line>
            <v:shape style="position:absolute;left:7955;top:913;width:2193;height:213" type="#_x0000_t202" id="docshape714" filled="false" stroked="false">
              <v:textbox inset="0,0,0,0">
                <w:txbxContent>
                  <w:p>
                    <w:pPr>
                      <w:spacing w:line="213" w:lineRule="exact" w:before="0"/>
                      <w:ind w:left="0" w:right="0" w:firstLine="0"/>
                      <w:jc w:val="left"/>
                      <w:rPr>
                        <w:b/>
                        <w:sz w:val="19"/>
                      </w:rPr>
                    </w:pPr>
                    <w:r>
                      <w:rPr>
                        <w:b/>
                        <w:w w:val="105"/>
                        <w:sz w:val="19"/>
                      </w:rPr>
                      <w:t>Representing</w:t>
                    </w:r>
                    <w:r>
                      <w:rPr>
                        <w:b/>
                        <w:spacing w:val="-2"/>
                        <w:w w:val="105"/>
                        <w:sz w:val="19"/>
                      </w:rPr>
                      <w:t> </w:t>
                    </w:r>
                    <w:r>
                      <w:rPr>
                        <w:b/>
                        <w:w w:val="105"/>
                        <w:sz w:val="19"/>
                      </w:rPr>
                      <w:t>the</w:t>
                    </w:r>
                    <w:r>
                      <w:rPr>
                        <w:b/>
                        <w:spacing w:val="-11"/>
                        <w:w w:val="105"/>
                        <w:sz w:val="19"/>
                      </w:rPr>
                      <w:t> </w:t>
                    </w:r>
                    <w:r>
                      <w:rPr>
                        <w:b/>
                        <w:spacing w:val="-4"/>
                        <w:w w:val="105"/>
                        <w:sz w:val="19"/>
                      </w:rPr>
                      <w:t>AIAS</w:t>
                    </w:r>
                  </w:p>
                </w:txbxContent>
              </v:textbox>
              <w10:wrap type="none"/>
            </v:shape>
            <v:shape style="position:absolute;left:1583;top:1125;width:1260;height:213" type="#_x0000_t202" id="docshape715" filled="false" stroked="false">
              <v:textbox inset="0,0,0,0">
                <w:txbxContent>
                  <w:p>
                    <w:pPr>
                      <w:tabs>
                        <w:tab w:pos="736" w:val="left" w:leader="none"/>
                      </w:tabs>
                      <w:spacing w:line="213" w:lineRule="exact" w:before="0"/>
                      <w:ind w:left="0" w:right="0" w:firstLine="0"/>
                      <w:jc w:val="left"/>
                      <w:rPr>
                        <w:b/>
                        <w:sz w:val="19"/>
                      </w:rPr>
                    </w:pPr>
                    <w:r>
                      <w:rPr>
                        <w:b/>
                        <w:spacing w:val="-5"/>
                        <w:w w:val="110"/>
                        <w:sz w:val="19"/>
                      </w:rPr>
                      <w:t>eam</w:t>
                    </w:r>
                    <w:r>
                      <w:rPr>
                        <w:b/>
                        <w:sz w:val="19"/>
                      </w:rPr>
                      <w:tab/>
                    </w:r>
                    <w:r>
                      <w:rPr>
                        <w:b/>
                        <w:spacing w:val="-4"/>
                        <w:w w:val="110"/>
                        <w:sz w:val="19"/>
                      </w:rPr>
                      <w:t>mber</w:t>
                    </w:r>
                  </w:p>
                </w:txbxContent>
              </v:textbox>
              <w10:wrap type="none"/>
            </v:shape>
            <w10:wrap type="topAndBottom"/>
          </v:group>
        </w:pict>
      </w:r>
    </w:p>
    <w:p>
      <w:pPr>
        <w:pStyle w:val="BodyText"/>
      </w:pPr>
    </w:p>
    <w:p>
      <w:pPr>
        <w:pStyle w:val="BodyText"/>
      </w:pPr>
    </w:p>
    <w:p>
      <w:pPr>
        <w:pStyle w:val="BodyText"/>
      </w:pPr>
    </w:p>
    <w:p>
      <w:pPr>
        <w:pStyle w:val="BodyText"/>
      </w:pPr>
    </w:p>
    <w:p>
      <w:pPr>
        <w:pStyle w:val="BodyText"/>
        <w:spacing w:before="5"/>
        <w:rPr>
          <w:sz w:val="22"/>
        </w:rPr>
      </w:pPr>
    </w:p>
    <w:p>
      <w:pPr>
        <w:spacing w:before="0"/>
        <w:ind w:left="0" w:right="1010" w:firstLine="0"/>
        <w:jc w:val="right"/>
        <w:rPr>
          <w:b/>
          <w:sz w:val="19"/>
        </w:rPr>
      </w:pPr>
      <w:r>
        <w:rPr/>
        <w:drawing>
          <wp:anchor distT="0" distB="0" distL="0" distR="0" allowOverlap="1" layoutInCell="1" locked="0" behindDoc="0" simplePos="0" relativeHeight="15777280">
            <wp:simplePos x="0" y="0"/>
            <wp:positionH relativeFrom="page">
              <wp:posOffset>930064</wp:posOffset>
            </wp:positionH>
            <wp:positionV relativeFrom="paragraph">
              <wp:posOffset>-394784</wp:posOffset>
            </wp:positionV>
            <wp:extent cx="2374112" cy="684791"/>
            <wp:effectExtent l="0" t="0" r="0" b="0"/>
            <wp:wrapNone/>
            <wp:docPr id="31" name="image20.png"/>
            <wp:cNvGraphicFramePr>
              <a:graphicFrameLocks noChangeAspect="1"/>
            </wp:cNvGraphicFramePr>
            <a:graphic>
              <a:graphicData uri="http://schemas.openxmlformats.org/drawingml/2006/picture">
                <pic:pic>
                  <pic:nvPicPr>
                    <pic:cNvPr id="32" name="image20.png"/>
                    <pic:cNvPicPr/>
                  </pic:nvPicPr>
                  <pic:blipFill>
                    <a:blip r:embed="rId447" cstate="print"/>
                    <a:stretch>
                      <a:fillRect/>
                    </a:stretch>
                  </pic:blipFill>
                  <pic:spPr>
                    <a:xfrm>
                      <a:off x="0" y="0"/>
                      <a:ext cx="2374112" cy="684791"/>
                    </a:xfrm>
                    <a:prstGeom prst="rect">
                      <a:avLst/>
                    </a:prstGeom>
                  </pic:spPr>
                </pic:pic>
              </a:graphicData>
            </a:graphic>
          </wp:anchor>
        </w:drawing>
      </w:r>
      <w:r>
        <w:rPr>
          <w:b/>
          <w:sz w:val="19"/>
        </w:rPr>
        <w:t>Representing</w:t>
      </w:r>
      <w:r>
        <w:rPr>
          <w:b/>
          <w:spacing w:val="15"/>
          <w:sz w:val="19"/>
        </w:rPr>
        <w:t> </w:t>
      </w:r>
      <w:r>
        <w:rPr>
          <w:b/>
          <w:sz w:val="22"/>
        </w:rPr>
        <w:t>the </w:t>
      </w:r>
      <w:r>
        <w:rPr>
          <w:b/>
          <w:spacing w:val="-5"/>
          <w:sz w:val="19"/>
        </w:rPr>
        <w:t>AIA</w:t>
      </w:r>
    </w:p>
    <w:p>
      <w:pPr>
        <w:pStyle w:val="BodyText"/>
        <w:rPr>
          <w:b/>
        </w:rPr>
      </w:pPr>
    </w:p>
    <w:p>
      <w:pPr>
        <w:pStyle w:val="BodyText"/>
        <w:spacing w:before="7"/>
        <w:rPr>
          <w:b/>
          <w:sz w:val="26"/>
        </w:rPr>
      </w:pPr>
      <w:r>
        <w:rPr/>
        <w:drawing>
          <wp:anchor distT="0" distB="0" distL="0" distR="0" allowOverlap="1" layoutInCell="1" locked="0" behindDoc="0" simplePos="0" relativeHeight="91">
            <wp:simplePos x="0" y="0"/>
            <wp:positionH relativeFrom="page">
              <wp:posOffset>930064</wp:posOffset>
            </wp:positionH>
            <wp:positionV relativeFrom="paragraph">
              <wp:posOffset>209807</wp:posOffset>
            </wp:positionV>
            <wp:extent cx="3221131" cy="798576"/>
            <wp:effectExtent l="0" t="0" r="0" b="0"/>
            <wp:wrapTopAndBottom/>
            <wp:docPr id="33" name="image21.png"/>
            <wp:cNvGraphicFramePr>
              <a:graphicFrameLocks noChangeAspect="1"/>
            </wp:cNvGraphicFramePr>
            <a:graphic>
              <a:graphicData uri="http://schemas.openxmlformats.org/drawingml/2006/picture">
                <pic:pic>
                  <pic:nvPicPr>
                    <pic:cNvPr id="34" name="image21.png"/>
                    <pic:cNvPicPr/>
                  </pic:nvPicPr>
                  <pic:blipFill>
                    <a:blip r:embed="rId448" cstate="print"/>
                    <a:stretch>
                      <a:fillRect/>
                    </a:stretch>
                  </pic:blipFill>
                  <pic:spPr>
                    <a:xfrm>
                      <a:off x="0" y="0"/>
                      <a:ext cx="3221131" cy="798576"/>
                    </a:xfrm>
                    <a:prstGeom prst="rect">
                      <a:avLst/>
                    </a:prstGeom>
                  </pic:spPr>
                </pic:pic>
              </a:graphicData>
            </a:graphic>
          </wp:anchor>
        </w:drawing>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4"/>
        <w:rPr>
          <w:b/>
          <w:sz w:val="27"/>
        </w:rPr>
      </w:pPr>
      <w:r>
        <w:rPr/>
        <w:pict>
          <v:shape style="position:absolute;margin-left:67.451866pt;margin-top:16.961536pt;width:451.45pt;height:.1pt;mso-position-horizontal-relative:page;mso-position-vertical-relative:paragraph;z-index:-15681536;mso-wrap-distance-left:0;mso-wrap-distance-right:0" id="docshape716" coordorigin="1349,339" coordsize="9029,0" path="m1349,339l10378,339e" filled="false" stroked="true" strokeweight=".481434pt" strokecolor="#000000">
            <v:path arrowok="t"/>
            <v:stroke dashstyle="solid"/>
            <w10:wrap type="topAndBottom"/>
          </v:shape>
        </w:pict>
      </w:r>
    </w:p>
    <w:p>
      <w:pPr>
        <w:spacing w:before="0"/>
        <w:ind w:left="265" w:right="0" w:firstLine="0"/>
        <w:jc w:val="left"/>
        <w:rPr>
          <w:sz w:val="19"/>
        </w:rPr>
      </w:pPr>
      <w:r>
        <w:rPr>
          <w:spacing w:val="-5"/>
          <w:w w:val="105"/>
          <w:sz w:val="19"/>
        </w:rPr>
        <w:t>42</w:t>
      </w:r>
    </w:p>
    <w:p>
      <w:pPr>
        <w:spacing w:after="0"/>
        <w:jc w:val="left"/>
        <w:rPr>
          <w:sz w:val="19"/>
        </w:rPr>
        <w:sectPr>
          <w:headerReference w:type="default" r:id="rId442"/>
          <w:footerReference w:type="default" r:id="rId443"/>
          <w:pgSz w:w="12180" w:h="15820"/>
          <w:pgMar w:header="646" w:footer="0" w:top="840" w:bottom="280" w:left="1120" w:right="1180"/>
        </w:sectPr>
      </w:pPr>
    </w:p>
    <w:p>
      <w:pPr>
        <w:tabs>
          <w:tab w:pos="6008" w:val="left" w:leader="none"/>
        </w:tabs>
        <w:spacing w:before="74"/>
        <w:ind w:left="2694" w:right="0" w:firstLine="0"/>
        <w:jc w:val="left"/>
        <w:rPr>
          <w:sz w:val="22"/>
        </w:rPr>
      </w:pPr>
      <w:r>
        <w:rPr>
          <w:color w:val="383838"/>
          <w:w w:val="140"/>
          <w:sz w:val="22"/>
        </w:rPr>
        <w:t>National</w:t>
      </w:r>
      <w:r>
        <w:rPr>
          <w:color w:val="383838"/>
          <w:spacing w:val="71"/>
          <w:w w:val="140"/>
          <w:sz w:val="22"/>
        </w:rPr>
        <w:t> </w:t>
      </w:r>
      <w:r>
        <w:rPr>
          <w:color w:val="383838"/>
          <w:spacing w:val="-2"/>
          <w:w w:val="140"/>
          <w:sz w:val="22"/>
        </w:rPr>
        <w:t>Architectural</w:t>
      </w:r>
      <w:r>
        <w:rPr>
          <w:color w:val="383838"/>
          <w:sz w:val="22"/>
        </w:rPr>
        <w:tab/>
      </w:r>
      <w:r>
        <w:rPr>
          <w:color w:val="383838"/>
          <w:spacing w:val="-2"/>
          <w:w w:val="140"/>
          <w:sz w:val="22"/>
        </w:rPr>
        <w:t>Accrediting-</w:t>
      </w:r>
      <w:r>
        <w:rPr>
          <w:color w:val="383838"/>
          <w:spacing w:val="36"/>
          <w:w w:val="140"/>
          <w:sz w:val="22"/>
        </w:rPr>
        <w:t> </w:t>
      </w:r>
      <w:r>
        <w:rPr>
          <w:color w:val="383838"/>
          <w:spacing w:val="-2"/>
          <w:w w:val="140"/>
          <w:sz w:val="22"/>
        </w:rPr>
        <w:t>Board,</w:t>
      </w:r>
      <w:r>
        <w:rPr>
          <w:color w:val="383838"/>
          <w:spacing w:val="-3"/>
          <w:w w:val="140"/>
          <w:sz w:val="22"/>
        </w:rPr>
        <w:t> </w:t>
      </w:r>
      <w:r>
        <w:rPr>
          <w:color w:val="383838"/>
          <w:spacing w:val="-4"/>
          <w:w w:val="140"/>
          <w:sz w:val="22"/>
        </w:rPr>
        <w:t>Inc</w:t>
      </w:r>
      <w:r>
        <w:rPr>
          <w:color w:val="6D6D6D"/>
          <w:spacing w:val="-4"/>
          <w:w w:val="140"/>
          <w:sz w:val="22"/>
        </w:rPr>
        <w:t>.</w:t>
      </w:r>
    </w:p>
    <w:p>
      <w:pPr>
        <w:pStyle w:val="BodyText"/>
        <w:rPr>
          <w:sz w:val="24"/>
        </w:rPr>
      </w:pPr>
    </w:p>
    <w:p>
      <w:pPr>
        <w:pStyle w:val="BodyText"/>
        <w:spacing w:before="11"/>
        <w:rPr>
          <w:sz w:val="22"/>
        </w:rPr>
      </w:pPr>
    </w:p>
    <w:p>
      <w:pPr>
        <w:pStyle w:val="BodyText"/>
        <w:ind w:left="2628"/>
      </w:pPr>
      <w:r>
        <w:rPr>
          <w:color w:val="383838"/>
        </w:rPr>
        <w:t>November</w:t>
      </w:r>
      <w:r>
        <w:rPr>
          <w:color w:val="383838"/>
          <w:spacing w:val="10"/>
        </w:rPr>
        <w:t> </w:t>
      </w:r>
      <w:r>
        <w:rPr>
          <w:color w:val="383838"/>
        </w:rPr>
        <w:t>5,</w:t>
      </w:r>
      <w:r>
        <w:rPr>
          <w:color w:val="383838"/>
          <w:spacing w:val="-15"/>
        </w:rPr>
        <w:t> </w:t>
      </w:r>
      <w:r>
        <w:rPr>
          <w:color w:val="383838"/>
          <w:spacing w:val="-4"/>
        </w:rPr>
        <w:t>2012</w:t>
      </w:r>
    </w:p>
    <w:p>
      <w:pPr>
        <w:pStyle w:val="BodyText"/>
        <w:spacing w:before="5"/>
      </w:pPr>
    </w:p>
    <w:p>
      <w:pPr>
        <w:spacing w:line="213" w:lineRule="auto" w:before="0"/>
        <w:ind w:left="2621" w:right="4180" w:firstLine="7"/>
        <w:jc w:val="left"/>
        <w:rPr>
          <w:sz w:val="22"/>
        </w:rPr>
      </w:pPr>
      <w:r>
        <w:rPr>
          <w:color w:val="383838"/>
          <w:w w:val="90"/>
          <w:sz w:val="22"/>
        </w:rPr>
        <w:t>Or.</w:t>
      </w:r>
      <w:r>
        <w:rPr>
          <w:color w:val="383838"/>
          <w:spacing w:val="-10"/>
          <w:w w:val="90"/>
          <w:sz w:val="22"/>
        </w:rPr>
        <w:t> </w:t>
      </w:r>
      <w:r>
        <w:rPr>
          <w:color w:val="383838"/>
          <w:w w:val="90"/>
          <w:sz w:val="22"/>
        </w:rPr>
        <w:t>William</w:t>
      </w:r>
      <w:r>
        <w:rPr>
          <w:color w:val="383838"/>
          <w:spacing w:val="-11"/>
          <w:w w:val="90"/>
          <w:sz w:val="22"/>
        </w:rPr>
        <w:t> </w:t>
      </w:r>
      <w:r>
        <w:rPr>
          <w:color w:val="383838"/>
          <w:w w:val="90"/>
          <w:sz w:val="22"/>
        </w:rPr>
        <w:t>R</w:t>
      </w:r>
      <w:r>
        <w:rPr>
          <w:color w:val="383838"/>
          <w:spacing w:val="39"/>
          <w:sz w:val="22"/>
        </w:rPr>
        <w:t> </w:t>
      </w:r>
      <w:r>
        <w:rPr>
          <w:color w:val="383838"/>
          <w:w w:val="90"/>
          <w:sz w:val="22"/>
        </w:rPr>
        <w:t>Harvey, President </w:t>
      </w:r>
      <w:r>
        <w:rPr>
          <w:color w:val="383838"/>
          <w:sz w:val="22"/>
        </w:rPr>
        <w:t>Hampton</w:t>
      </w:r>
      <w:r>
        <w:rPr>
          <w:color w:val="383838"/>
          <w:spacing w:val="-16"/>
          <w:sz w:val="22"/>
        </w:rPr>
        <w:t> </w:t>
      </w:r>
      <w:r>
        <w:rPr>
          <w:color w:val="383838"/>
          <w:sz w:val="22"/>
        </w:rPr>
        <w:t>University</w:t>
      </w:r>
    </w:p>
    <w:p>
      <w:pPr>
        <w:spacing w:line="243" w:lineRule="exact" w:before="0"/>
        <w:ind w:left="2616" w:right="0" w:firstLine="0"/>
        <w:jc w:val="left"/>
        <w:rPr>
          <w:sz w:val="22"/>
        </w:rPr>
      </w:pPr>
      <w:r>
        <w:rPr>
          <w:color w:val="383838"/>
          <w:w w:val="85"/>
          <w:sz w:val="22"/>
        </w:rPr>
        <w:t>Hampton</w:t>
      </w:r>
      <w:r>
        <w:rPr>
          <w:color w:val="6D6D6D"/>
          <w:w w:val="85"/>
          <w:sz w:val="22"/>
        </w:rPr>
        <w:t>,</w:t>
      </w:r>
      <w:r>
        <w:rPr>
          <w:color w:val="6D6D6D"/>
          <w:spacing w:val="-4"/>
          <w:sz w:val="22"/>
        </w:rPr>
        <w:t> </w:t>
      </w:r>
      <w:r>
        <w:rPr>
          <w:color w:val="383838"/>
          <w:w w:val="85"/>
          <w:sz w:val="23"/>
        </w:rPr>
        <w:t>V,</w:t>
      </w:r>
      <w:r>
        <w:rPr>
          <w:color w:val="383838"/>
          <w:w w:val="85"/>
          <w:sz w:val="22"/>
        </w:rPr>
        <w:t>A</w:t>
      </w:r>
      <w:r>
        <w:rPr>
          <w:color w:val="383838"/>
          <w:spacing w:val="6"/>
          <w:sz w:val="22"/>
        </w:rPr>
        <w:t> </w:t>
      </w:r>
      <w:r>
        <w:rPr>
          <w:color w:val="383838"/>
          <w:spacing w:val="-2"/>
          <w:w w:val="85"/>
          <w:sz w:val="22"/>
        </w:rPr>
        <w:t>23668</w:t>
      </w:r>
    </w:p>
    <w:p>
      <w:pPr>
        <w:pStyle w:val="BodyText"/>
      </w:pPr>
    </w:p>
    <w:p>
      <w:pPr>
        <w:pStyle w:val="BodyText"/>
        <w:spacing w:before="7"/>
        <w:rPr>
          <w:sz w:val="29"/>
        </w:rPr>
      </w:pPr>
    </w:p>
    <w:p>
      <w:pPr>
        <w:spacing w:after="0"/>
        <w:rPr>
          <w:sz w:val="29"/>
        </w:rPr>
        <w:sectPr>
          <w:headerReference w:type="default" r:id="rId449"/>
          <w:footerReference w:type="default" r:id="rId450"/>
          <w:pgSz w:w="12180" w:h="15740"/>
          <w:pgMar w:header="0" w:footer="0" w:top="560" w:bottom="280" w:left="240" w:right="1440"/>
        </w:sectPr>
      </w:pPr>
    </w:p>
    <w:p>
      <w:pPr>
        <w:pStyle w:val="BodyText"/>
      </w:pPr>
    </w:p>
    <w:p>
      <w:pPr>
        <w:pStyle w:val="BodyText"/>
        <w:spacing w:before="7"/>
        <w:rPr>
          <w:sz w:val="10"/>
        </w:rPr>
      </w:pPr>
    </w:p>
    <w:p>
      <w:pPr>
        <w:pStyle w:val="BodyText"/>
        <w:ind w:left="144"/>
      </w:pPr>
      <w:r>
        <w:rPr/>
        <w:drawing>
          <wp:inline distT="0" distB="0" distL="0" distR="0">
            <wp:extent cx="804758" cy="426720"/>
            <wp:effectExtent l="0" t="0" r="0" b="0"/>
            <wp:docPr id="35" name="image22.jpeg"/>
            <wp:cNvGraphicFramePr>
              <a:graphicFrameLocks noChangeAspect="1"/>
            </wp:cNvGraphicFramePr>
            <a:graphic>
              <a:graphicData uri="http://schemas.openxmlformats.org/drawingml/2006/picture">
                <pic:pic>
                  <pic:nvPicPr>
                    <pic:cNvPr id="36" name="image22.jpeg"/>
                    <pic:cNvPicPr/>
                  </pic:nvPicPr>
                  <pic:blipFill>
                    <a:blip r:embed="rId451" cstate="print"/>
                    <a:stretch>
                      <a:fillRect/>
                    </a:stretch>
                  </pic:blipFill>
                  <pic:spPr>
                    <a:xfrm>
                      <a:off x="0" y="0"/>
                      <a:ext cx="804758" cy="426720"/>
                    </a:xfrm>
                    <a:prstGeom prst="rect">
                      <a:avLst/>
                    </a:prstGeom>
                  </pic:spPr>
                </pic:pic>
              </a:graphicData>
            </a:graphic>
          </wp:inline>
        </w:drawing>
      </w:r>
      <w:r>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6"/>
        <w:rPr>
          <w:sz w:val="16"/>
        </w:rPr>
      </w:pPr>
    </w:p>
    <w:p>
      <w:pPr>
        <w:spacing w:before="0"/>
        <w:ind w:left="128" w:right="0" w:firstLine="0"/>
        <w:jc w:val="left"/>
        <w:rPr>
          <w:i/>
          <w:sz w:val="16"/>
        </w:rPr>
      </w:pPr>
      <w:r>
        <w:rPr>
          <w:i/>
          <w:color w:val="6D6D6D"/>
          <w:w w:val="90"/>
          <w:sz w:val="14"/>
        </w:rPr>
        <w:t>11</w:t>
      </w:r>
      <w:r>
        <w:rPr>
          <w:i/>
          <w:color w:val="383838"/>
          <w:w w:val="90"/>
          <w:sz w:val="14"/>
        </w:rPr>
        <w:t>:is</w:t>
      </w:r>
      <w:r>
        <w:rPr>
          <w:i/>
          <w:color w:val="383838"/>
          <w:spacing w:val="-1"/>
          <w:sz w:val="14"/>
        </w:rPr>
        <w:t> </w:t>
      </w:r>
      <w:r>
        <w:rPr>
          <w:i/>
          <w:color w:val="383838"/>
          <w:w w:val="90"/>
          <w:sz w:val="16"/>
        </w:rPr>
        <w:t>WewJorl&lt;</w:t>
      </w:r>
      <w:r>
        <w:rPr>
          <w:i/>
          <w:color w:val="383838"/>
          <w:spacing w:val="2"/>
          <w:sz w:val="16"/>
        </w:rPr>
        <w:t> </w:t>
      </w:r>
      <w:r>
        <w:rPr>
          <w:i/>
          <w:color w:val="5B5B5B"/>
          <w:w w:val="90"/>
          <w:sz w:val="16"/>
        </w:rPr>
        <w:t>Averiwr.</w:t>
      </w:r>
      <w:r>
        <w:rPr>
          <w:i/>
          <w:color w:val="5B5B5B"/>
          <w:spacing w:val="-5"/>
          <w:w w:val="90"/>
          <w:sz w:val="16"/>
        </w:rPr>
        <w:t> </w:t>
      </w:r>
      <w:r>
        <w:rPr>
          <w:i/>
          <w:color w:val="383838"/>
          <w:spacing w:val="-5"/>
          <w:w w:val="90"/>
          <w:sz w:val="16"/>
        </w:rPr>
        <w:t>NW</w:t>
      </w:r>
    </w:p>
    <w:p>
      <w:pPr>
        <w:pStyle w:val="BodyText"/>
        <w:spacing w:before="6"/>
        <w:rPr>
          <w:i/>
          <w:sz w:val="26"/>
        </w:rPr>
      </w:pPr>
    </w:p>
    <w:p>
      <w:pPr>
        <w:spacing w:before="1"/>
        <w:ind w:left="131" w:right="0" w:firstLine="0"/>
        <w:jc w:val="left"/>
        <w:rPr>
          <w:i/>
          <w:sz w:val="14"/>
        </w:rPr>
      </w:pPr>
      <w:r>
        <w:rPr>
          <w:i/>
          <w:color w:val="383838"/>
          <w:w w:val="105"/>
          <w:sz w:val="14"/>
        </w:rPr>
        <w:t>W</w:t>
      </w:r>
      <w:r>
        <w:rPr>
          <w:i/>
          <w:color w:val="5B5B5B"/>
          <w:w w:val="105"/>
          <w:sz w:val="14"/>
        </w:rPr>
        <w:t>tu</w:t>
      </w:r>
      <w:r>
        <w:rPr>
          <w:i/>
          <w:color w:val="828282"/>
          <w:w w:val="105"/>
          <w:sz w:val="14"/>
        </w:rPr>
        <w:t>ld</w:t>
      </w:r>
      <w:r>
        <w:rPr>
          <w:i/>
          <w:color w:val="5B5B5B"/>
          <w:w w:val="105"/>
          <w:sz w:val="14"/>
        </w:rPr>
        <w:t>n</w:t>
      </w:r>
      <w:r>
        <w:rPr>
          <w:i/>
          <w:color w:val="383838"/>
          <w:w w:val="105"/>
          <w:sz w:val="14"/>
        </w:rPr>
        <w:t>gt</w:t>
      </w:r>
      <w:r>
        <w:rPr>
          <w:i/>
          <w:color w:val="6D6D6D"/>
          <w:w w:val="105"/>
          <w:sz w:val="14"/>
        </w:rPr>
        <w:t>o</w:t>
      </w:r>
      <w:r>
        <w:rPr>
          <w:i/>
          <w:color w:val="383838"/>
          <w:w w:val="105"/>
          <w:sz w:val="14"/>
        </w:rPr>
        <w:t>n</w:t>
      </w:r>
      <w:r>
        <w:rPr>
          <w:i/>
          <w:color w:val="6D6D6D"/>
          <w:w w:val="105"/>
          <w:sz w:val="14"/>
        </w:rPr>
        <w:t>,</w:t>
      </w:r>
      <w:r>
        <w:rPr>
          <w:i/>
          <w:color w:val="6D6D6D"/>
          <w:spacing w:val="9"/>
          <w:w w:val="105"/>
          <w:sz w:val="14"/>
        </w:rPr>
        <w:t> </w:t>
      </w:r>
      <w:r>
        <w:rPr>
          <w:i/>
          <w:color w:val="383838"/>
          <w:w w:val="105"/>
          <w:sz w:val="14"/>
        </w:rPr>
        <w:t>D</w:t>
      </w:r>
      <w:r>
        <w:rPr>
          <w:i/>
          <w:color w:val="6D6D6D"/>
          <w:w w:val="105"/>
          <w:sz w:val="14"/>
        </w:rPr>
        <w:t>C</w:t>
      </w:r>
      <w:r>
        <w:rPr>
          <w:i/>
          <w:color w:val="6D6D6D"/>
          <w:spacing w:val="8"/>
          <w:w w:val="105"/>
          <w:sz w:val="14"/>
        </w:rPr>
        <w:t> </w:t>
      </w:r>
      <w:r>
        <w:rPr>
          <w:i/>
          <w:color w:val="5B5B5B"/>
          <w:spacing w:val="-2"/>
          <w:w w:val="105"/>
          <w:sz w:val="14"/>
        </w:rPr>
        <w:t>20006</w:t>
      </w:r>
    </w:p>
    <w:p>
      <w:pPr>
        <w:spacing w:before="93"/>
        <w:ind w:left="159" w:right="0" w:firstLine="0"/>
        <w:jc w:val="left"/>
        <w:rPr>
          <w:sz w:val="22"/>
        </w:rPr>
      </w:pPr>
      <w:r>
        <w:rPr/>
        <w:br w:type="column"/>
      </w:r>
      <w:r>
        <w:rPr>
          <w:color w:val="383838"/>
          <w:w w:val="90"/>
          <w:sz w:val="22"/>
        </w:rPr>
        <w:t>Dear</w:t>
      </w:r>
      <w:r>
        <w:rPr>
          <w:color w:val="383838"/>
          <w:spacing w:val="-5"/>
          <w:sz w:val="22"/>
        </w:rPr>
        <w:t> </w:t>
      </w:r>
      <w:r>
        <w:rPr>
          <w:color w:val="383838"/>
          <w:w w:val="90"/>
          <w:sz w:val="22"/>
        </w:rPr>
        <w:t>Or</w:t>
      </w:r>
      <w:r>
        <w:rPr>
          <w:color w:val="6D6D6D"/>
          <w:w w:val="90"/>
          <w:sz w:val="22"/>
        </w:rPr>
        <w:t>.</w:t>
      </w:r>
      <w:r>
        <w:rPr>
          <w:color w:val="6D6D6D"/>
          <w:spacing w:val="-15"/>
          <w:w w:val="90"/>
          <w:sz w:val="22"/>
        </w:rPr>
        <w:t> </w:t>
      </w:r>
      <w:r>
        <w:rPr>
          <w:color w:val="383838"/>
          <w:spacing w:val="-2"/>
          <w:w w:val="90"/>
          <w:sz w:val="22"/>
        </w:rPr>
        <w:t>HaNey</w:t>
      </w:r>
      <w:r>
        <w:rPr>
          <w:color w:val="828282"/>
          <w:spacing w:val="-2"/>
          <w:w w:val="90"/>
          <w:sz w:val="22"/>
        </w:rPr>
        <w:t>:</w:t>
      </w:r>
    </w:p>
    <w:p>
      <w:pPr>
        <w:pStyle w:val="BodyText"/>
        <w:spacing w:before="10"/>
        <w:rPr>
          <w:sz w:val="18"/>
        </w:rPr>
      </w:pPr>
    </w:p>
    <w:p>
      <w:pPr>
        <w:spacing w:line="218" w:lineRule="auto" w:before="0"/>
        <w:ind w:left="147" w:right="0" w:firstLine="10"/>
        <w:jc w:val="left"/>
        <w:rPr>
          <w:sz w:val="22"/>
        </w:rPr>
      </w:pPr>
      <w:r>
        <w:rPr>
          <w:color w:val="383838"/>
          <w:w w:val="95"/>
          <w:sz w:val="22"/>
        </w:rPr>
        <w:t>After</w:t>
      </w:r>
      <w:r>
        <w:rPr>
          <w:color w:val="383838"/>
          <w:spacing w:val="-18"/>
          <w:w w:val="95"/>
          <w:sz w:val="22"/>
        </w:rPr>
        <w:t> </w:t>
      </w:r>
      <w:r>
        <w:rPr>
          <w:color w:val="383838"/>
          <w:w w:val="95"/>
          <w:sz w:val="22"/>
        </w:rPr>
        <w:t>reviewing the</w:t>
      </w:r>
      <w:r>
        <w:rPr>
          <w:color w:val="383838"/>
          <w:spacing w:val="-3"/>
          <w:w w:val="95"/>
          <w:sz w:val="22"/>
        </w:rPr>
        <w:t> </w:t>
      </w:r>
      <w:r>
        <w:rPr>
          <w:i/>
          <w:color w:val="383838"/>
          <w:w w:val="95"/>
          <w:sz w:val="20"/>
        </w:rPr>
        <w:t>Focused Evalus,tJon</w:t>
      </w:r>
      <w:r>
        <w:rPr>
          <w:i/>
          <w:color w:val="383838"/>
          <w:spacing w:val="26"/>
          <w:sz w:val="20"/>
        </w:rPr>
        <w:t> </w:t>
      </w:r>
      <w:r>
        <w:rPr>
          <w:i/>
          <w:color w:val="383838"/>
          <w:w w:val="95"/>
          <w:sz w:val="20"/>
        </w:rPr>
        <w:t>Program Report </w:t>
      </w:r>
      <w:r>
        <w:rPr>
          <w:color w:val="383838"/>
          <w:w w:val="95"/>
          <w:sz w:val="22"/>
        </w:rPr>
        <w:t>submitted</w:t>
      </w:r>
      <w:r>
        <w:rPr>
          <w:color w:val="383838"/>
          <w:spacing w:val="-1"/>
          <w:w w:val="95"/>
          <w:sz w:val="22"/>
        </w:rPr>
        <w:t> </w:t>
      </w:r>
      <w:r>
        <w:rPr>
          <w:color w:val="383838"/>
          <w:w w:val="95"/>
          <w:sz w:val="20"/>
        </w:rPr>
        <w:t>by</w:t>
      </w:r>
      <w:r>
        <w:rPr>
          <w:color w:val="383838"/>
          <w:spacing w:val="-21"/>
          <w:w w:val="95"/>
          <w:sz w:val="20"/>
        </w:rPr>
        <w:t> </w:t>
      </w:r>
      <w:r>
        <w:rPr>
          <w:color w:val="383838"/>
          <w:w w:val="95"/>
          <w:sz w:val="22"/>
        </w:rPr>
        <w:t>Hampton </w:t>
      </w:r>
      <w:r>
        <w:rPr>
          <w:color w:val="383838"/>
          <w:w w:val="90"/>
          <w:sz w:val="22"/>
        </w:rPr>
        <w:t>University Department of Architecture</w:t>
      </w:r>
      <w:r>
        <w:rPr>
          <w:color w:val="383838"/>
          <w:sz w:val="22"/>
        </w:rPr>
        <w:t> </w:t>
      </w:r>
      <w:r>
        <w:rPr>
          <w:color w:val="383838"/>
          <w:w w:val="90"/>
          <w:sz w:val="22"/>
        </w:rPr>
        <w:t>as</w:t>
      </w:r>
      <w:r>
        <w:rPr>
          <w:color w:val="383838"/>
          <w:spacing w:val="-6"/>
          <w:w w:val="90"/>
          <w:sz w:val="22"/>
        </w:rPr>
        <w:t> </w:t>
      </w:r>
      <w:r>
        <w:rPr>
          <w:color w:val="383838"/>
          <w:w w:val="90"/>
          <w:sz w:val="22"/>
        </w:rPr>
        <w:t>part</w:t>
      </w:r>
      <w:r>
        <w:rPr>
          <w:color w:val="383838"/>
          <w:spacing w:val="-5"/>
          <w:w w:val="90"/>
          <w:sz w:val="22"/>
        </w:rPr>
        <w:t> </w:t>
      </w:r>
      <w:r>
        <w:rPr>
          <w:color w:val="383838"/>
          <w:w w:val="90"/>
          <w:sz w:val="22"/>
        </w:rPr>
        <w:t>of</w:t>
      </w:r>
      <w:r>
        <w:rPr>
          <w:color w:val="383838"/>
          <w:spacing w:val="-16"/>
          <w:w w:val="90"/>
          <w:sz w:val="22"/>
        </w:rPr>
        <w:t> </w:t>
      </w:r>
      <w:r>
        <w:rPr>
          <w:color w:val="383838"/>
          <w:w w:val="90"/>
          <w:sz w:val="22"/>
        </w:rPr>
        <w:t>the focused evaluation</w:t>
      </w:r>
      <w:r>
        <w:rPr>
          <w:color w:val="383838"/>
          <w:sz w:val="22"/>
        </w:rPr>
        <w:t> </w:t>
      </w:r>
      <w:r>
        <w:rPr>
          <w:color w:val="383838"/>
          <w:w w:val="90"/>
          <w:sz w:val="22"/>
        </w:rPr>
        <w:t>of</w:t>
      </w:r>
      <w:r>
        <w:rPr>
          <w:color w:val="383838"/>
          <w:spacing w:val="-7"/>
          <w:w w:val="90"/>
          <w:sz w:val="22"/>
        </w:rPr>
        <w:t> </w:t>
      </w:r>
      <w:r>
        <w:rPr>
          <w:color w:val="383838"/>
          <w:w w:val="90"/>
          <w:sz w:val="22"/>
        </w:rPr>
        <w:t>its</w:t>
      </w:r>
      <w:r>
        <w:rPr>
          <w:color w:val="383838"/>
          <w:spacing w:val="-10"/>
          <w:w w:val="90"/>
          <w:sz w:val="22"/>
        </w:rPr>
        <w:t> </w:t>
      </w:r>
      <w:r>
        <w:rPr>
          <w:color w:val="383838"/>
          <w:w w:val="90"/>
          <w:sz w:val="22"/>
        </w:rPr>
        <w:t>Master of </w:t>
      </w:r>
      <w:r>
        <w:rPr>
          <w:color w:val="383838"/>
          <w:w w:val="95"/>
          <w:sz w:val="22"/>
        </w:rPr>
        <w:t>Architecture program. in</w:t>
      </w:r>
      <w:r>
        <w:rPr>
          <w:color w:val="383838"/>
          <w:spacing w:val="-22"/>
          <w:w w:val="95"/>
          <w:sz w:val="22"/>
        </w:rPr>
        <w:t> </w:t>
      </w:r>
      <w:r>
        <w:rPr>
          <w:color w:val="383838"/>
          <w:w w:val="95"/>
          <w:sz w:val="22"/>
        </w:rPr>
        <w:t>conjunction </w:t>
      </w:r>
      <w:r>
        <w:rPr>
          <w:color w:val="383838"/>
          <w:w w:val="95"/>
          <w:sz w:val="20"/>
        </w:rPr>
        <w:t>with </w:t>
      </w:r>
      <w:r>
        <w:rPr>
          <w:color w:val="383838"/>
          <w:w w:val="95"/>
          <w:sz w:val="22"/>
        </w:rPr>
        <w:t>the </w:t>
      </w:r>
      <w:r>
        <w:rPr>
          <w:i/>
          <w:color w:val="383838"/>
          <w:w w:val="95"/>
          <w:sz w:val="20"/>
        </w:rPr>
        <w:t>Focused Evaluation Team Report</w:t>
      </w:r>
      <w:r>
        <w:rPr>
          <w:i/>
          <w:color w:val="6D6D6D"/>
          <w:w w:val="95"/>
          <w:sz w:val="20"/>
        </w:rPr>
        <w:t>, </w:t>
      </w:r>
      <w:r>
        <w:rPr>
          <w:color w:val="383838"/>
          <w:w w:val="95"/>
          <w:sz w:val="22"/>
        </w:rPr>
        <w:t>the </w:t>
      </w:r>
      <w:r>
        <w:rPr>
          <w:color w:val="383838"/>
          <w:w w:val="90"/>
          <w:sz w:val="22"/>
        </w:rPr>
        <w:t>National Architectural</w:t>
      </w:r>
      <w:r>
        <w:rPr>
          <w:color w:val="383838"/>
          <w:sz w:val="22"/>
        </w:rPr>
        <w:t> </w:t>
      </w:r>
      <w:r>
        <w:rPr>
          <w:color w:val="383838"/>
          <w:w w:val="90"/>
          <w:sz w:val="22"/>
        </w:rPr>
        <w:t>Accrediting Board (NAAB) has found that the changes made or planned</w:t>
      </w:r>
      <w:r>
        <w:rPr>
          <w:color w:val="383838"/>
          <w:spacing w:val="-6"/>
          <w:w w:val="90"/>
          <w:sz w:val="22"/>
        </w:rPr>
        <w:t> </w:t>
      </w:r>
      <w:r>
        <w:rPr>
          <w:color w:val="383838"/>
          <w:w w:val="90"/>
          <w:sz w:val="20"/>
        </w:rPr>
        <w:t>by </w:t>
      </w:r>
      <w:r>
        <w:rPr>
          <w:color w:val="383838"/>
          <w:w w:val="90"/>
          <w:sz w:val="22"/>
        </w:rPr>
        <w:t>the</w:t>
      </w:r>
      <w:r>
        <w:rPr>
          <w:color w:val="383838"/>
          <w:spacing w:val="-16"/>
          <w:w w:val="90"/>
          <w:sz w:val="22"/>
        </w:rPr>
        <w:t> </w:t>
      </w:r>
      <w:r>
        <w:rPr>
          <w:color w:val="383838"/>
          <w:w w:val="90"/>
          <w:sz w:val="22"/>
        </w:rPr>
        <w:t>prog,ram to</w:t>
      </w:r>
      <w:r>
        <w:rPr>
          <w:color w:val="383838"/>
          <w:spacing w:val="-17"/>
          <w:w w:val="90"/>
          <w:sz w:val="22"/>
        </w:rPr>
        <w:t> </w:t>
      </w:r>
      <w:r>
        <w:rPr>
          <w:color w:val="383838"/>
          <w:w w:val="90"/>
          <w:sz w:val="22"/>
        </w:rPr>
        <w:t>remove the</w:t>
      </w:r>
      <w:r>
        <w:rPr>
          <w:color w:val="383838"/>
          <w:spacing w:val="-29"/>
          <w:w w:val="90"/>
          <w:sz w:val="22"/>
        </w:rPr>
        <w:t> </w:t>
      </w:r>
      <w:r>
        <w:rPr>
          <w:color w:val="383838"/>
          <w:w w:val="90"/>
          <w:sz w:val="22"/>
        </w:rPr>
        <w:t>Identified deficiencies</w:t>
      </w:r>
      <w:r>
        <w:rPr>
          <w:color w:val="383838"/>
          <w:sz w:val="22"/>
        </w:rPr>
        <w:t> </w:t>
      </w:r>
      <w:r>
        <w:rPr>
          <w:color w:val="383838"/>
          <w:w w:val="90"/>
          <w:sz w:val="22"/>
        </w:rPr>
        <w:t>ar-e satisfactory</w:t>
      </w:r>
      <w:r>
        <w:rPr>
          <w:color w:val="6D6D6D"/>
          <w:w w:val="90"/>
          <w:sz w:val="22"/>
        </w:rPr>
        <w:t>.</w:t>
      </w:r>
    </w:p>
    <w:p>
      <w:pPr>
        <w:pStyle w:val="BodyText"/>
        <w:spacing w:before="3"/>
      </w:pPr>
    </w:p>
    <w:p>
      <w:pPr>
        <w:spacing w:line="218" w:lineRule="auto" w:before="0"/>
        <w:ind w:left="130" w:right="0" w:firstLine="11"/>
        <w:jc w:val="left"/>
        <w:rPr>
          <w:sz w:val="22"/>
        </w:rPr>
      </w:pPr>
      <w:r>
        <w:rPr>
          <w:color w:val="383838"/>
          <w:w w:val="90"/>
          <w:sz w:val="22"/>
        </w:rPr>
        <w:t>The</w:t>
      </w:r>
      <w:r>
        <w:rPr>
          <w:color w:val="383838"/>
          <w:spacing w:val="-2"/>
          <w:w w:val="90"/>
          <w:sz w:val="22"/>
        </w:rPr>
        <w:t> </w:t>
      </w:r>
      <w:r>
        <w:rPr>
          <w:color w:val="383838"/>
          <w:w w:val="90"/>
          <w:sz w:val="22"/>
        </w:rPr>
        <w:t>term of accreditation</w:t>
      </w:r>
      <w:r>
        <w:rPr>
          <w:color w:val="383838"/>
          <w:spacing w:val="25"/>
          <w:sz w:val="22"/>
        </w:rPr>
        <w:t> </w:t>
      </w:r>
      <w:r>
        <w:rPr>
          <w:color w:val="383838"/>
          <w:w w:val="90"/>
          <w:sz w:val="22"/>
        </w:rPr>
        <w:t>stands</w:t>
      </w:r>
      <w:r>
        <w:rPr>
          <w:color w:val="6D6D6D"/>
          <w:w w:val="90"/>
          <w:sz w:val="22"/>
        </w:rPr>
        <w:t>.</w:t>
      </w:r>
      <w:r>
        <w:rPr>
          <w:color w:val="6D6D6D"/>
          <w:spacing w:val="-6"/>
          <w:w w:val="90"/>
          <w:sz w:val="22"/>
        </w:rPr>
        <w:t> </w:t>
      </w:r>
      <w:r>
        <w:rPr>
          <w:color w:val="383838"/>
          <w:w w:val="90"/>
          <w:sz w:val="22"/>
        </w:rPr>
        <w:t>The</w:t>
      </w:r>
      <w:r>
        <w:rPr>
          <w:color w:val="383838"/>
          <w:spacing w:val="-1"/>
          <w:w w:val="90"/>
          <w:sz w:val="22"/>
        </w:rPr>
        <w:t> </w:t>
      </w:r>
      <w:r>
        <w:rPr>
          <w:color w:val="383838"/>
          <w:w w:val="90"/>
          <w:sz w:val="22"/>
        </w:rPr>
        <w:t>next visit </w:t>
      </w:r>
      <w:r>
        <w:rPr>
          <w:color w:val="383838"/>
          <w:w w:val="90"/>
          <w:sz w:val="20"/>
        </w:rPr>
        <w:t>will</w:t>
      </w:r>
      <w:r>
        <w:rPr>
          <w:color w:val="383838"/>
          <w:spacing w:val="-4"/>
          <w:w w:val="90"/>
          <w:sz w:val="20"/>
        </w:rPr>
        <w:t> </w:t>
      </w:r>
      <w:r>
        <w:rPr>
          <w:color w:val="383838"/>
          <w:w w:val="90"/>
          <w:sz w:val="22"/>
        </w:rPr>
        <w:t>be</w:t>
      </w:r>
      <w:r>
        <w:rPr>
          <w:color w:val="383838"/>
          <w:spacing w:val="-2"/>
          <w:w w:val="90"/>
          <w:sz w:val="22"/>
        </w:rPr>
        <w:t> </w:t>
      </w:r>
      <w:r>
        <w:rPr>
          <w:color w:val="383838"/>
          <w:w w:val="90"/>
          <w:sz w:val="22"/>
        </w:rPr>
        <w:t>in</w:t>
      </w:r>
      <w:r>
        <w:rPr>
          <w:color w:val="383838"/>
          <w:spacing w:val="-8"/>
          <w:w w:val="90"/>
          <w:sz w:val="22"/>
        </w:rPr>
        <w:t> </w:t>
      </w:r>
      <w:r>
        <w:rPr>
          <w:color w:val="383838"/>
          <w:w w:val="90"/>
          <w:sz w:val="22"/>
        </w:rPr>
        <w:t>2015. The</w:t>
      </w:r>
      <w:r>
        <w:rPr>
          <w:color w:val="383838"/>
          <w:spacing w:val="-15"/>
          <w:w w:val="90"/>
          <w:sz w:val="22"/>
        </w:rPr>
        <w:t> </w:t>
      </w:r>
      <w:r>
        <w:rPr>
          <w:color w:val="383838"/>
          <w:w w:val="90"/>
          <w:sz w:val="22"/>
        </w:rPr>
        <w:t>program is</w:t>
      </w:r>
      <w:r>
        <w:rPr>
          <w:color w:val="383838"/>
          <w:spacing w:val="-3"/>
          <w:w w:val="90"/>
          <w:sz w:val="22"/>
        </w:rPr>
        <w:t> </w:t>
      </w:r>
      <w:r>
        <w:rPr>
          <w:color w:val="383838"/>
          <w:w w:val="90"/>
          <w:sz w:val="22"/>
        </w:rPr>
        <w:t>released </w:t>
      </w:r>
      <w:r>
        <w:rPr>
          <w:color w:val="383838"/>
          <w:w w:val="95"/>
          <w:sz w:val="22"/>
        </w:rPr>
        <w:t>from</w:t>
      </w:r>
      <w:r>
        <w:rPr>
          <w:color w:val="383838"/>
          <w:spacing w:val="-15"/>
          <w:w w:val="95"/>
          <w:sz w:val="22"/>
        </w:rPr>
        <w:t> </w:t>
      </w:r>
      <w:r>
        <w:rPr>
          <w:color w:val="383838"/>
          <w:w w:val="95"/>
          <w:sz w:val="22"/>
        </w:rPr>
        <w:t>further</w:t>
      </w:r>
      <w:r>
        <w:rPr>
          <w:color w:val="383838"/>
          <w:spacing w:val="-13"/>
          <w:w w:val="95"/>
          <w:sz w:val="22"/>
        </w:rPr>
        <w:t> </w:t>
      </w:r>
      <w:r>
        <w:rPr>
          <w:color w:val="383838"/>
          <w:w w:val="95"/>
          <w:sz w:val="22"/>
        </w:rPr>
        <w:t>reporting</w:t>
      </w:r>
      <w:r>
        <w:rPr>
          <w:color w:val="383838"/>
          <w:spacing w:val="-12"/>
          <w:w w:val="95"/>
          <w:sz w:val="22"/>
        </w:rPr>
        <w:t> </w:t>
      </w:r>
      <w:r>
        <w:rPr>
          <w:color w:val="383838"/>
          <w:w w:val="95"/>
          <w:sz w:val="22"/>
        </w:rPr>
        <w:t>through</w:t>
      </w:r>
      <w:r>
        <w:rPr>
          <w:color w:val="383838"/>
          <w:spacing w:val="-12"/>
          <w:w w:val="95"/>
          <w:sz w:val="22"/>
        </w:rPr>
        <w:t> </w:t>
      </w:r>
      <w:r>
        <w:rPr>
          <w:color w:val="383838"/>
          <w:w w:val="95"/>
          <w:sz w:val="22"/>
        </w:rPr>
        <w:t>the</w:t>
      </w:r>
      <w:r>
        <w:rPr>
          <w:color w:val="383838"/>
          <w:spacing w:val="-14"/>
          <w:w w:val="95"/>
          <w:sz w:val="22"/>
        </w:rPr>
        <w:t> </w:t>
      </w:r>
      <w:r>
        <w:rPr>
          <w:color w:val="383838"/>
          <w:w w:val="95"/>
          <w:sz w:val="22"/>
        </w:rPr>
        <w:t>ARS</w:t>
      </w:r>
      <w:r>
        <w:rPr>
          <w:color w:val="383838"/>
          <w:spacing w:val="-12"/>
          <w:w w:val="95"/>
          <w:sz w:val="22"/>
        </w:rPr>
        <w:t> </w:t>
      </w:r>
      <w:r>
        <w:rPr>
          <w:color w:val="383838"/>
          <w:w w:val="95"/>
          <w:sz w:val="22"/>
        </w:rPr>
        <w:t>on</w:t>
      </w:r>
      <w:r>
        <w:rPr>
          <w:color w:val="383838"/>
          <w:spacing w:val="-13"/>
          <w:w w:val="95"/>
          <w:sz w:val="22"/>
        </w:rPr>
        <w:t> </w:t>
      </w:r>
      <w:r>
        <w:rPr>
          <w:color w:val="383838"/>
          <w:w w:val="95"/>
          <w:sz w:val="22"/>
        </w:rPr>
        <w:t>those</w:t>
      </w:r>
      <w:r>
        <w:rPr>
          <w:color w:val="383838"/>
          <w:spacing w:val="-12"/>
          <w:w w:val="95"/>
          <w:sz w:val="22"/>
        </w:rPr>
        <w:t> </w:t>
      </w:r>
      <w:r>
        <w:rPr>
          <w:color w:val="383838"/>
          <w:w w:val="95"/>
          <w:sz w:val="22"/>
        </w:rPr>
        <w:t>items</w:t>
      </w:r>
      <w:r>
        <w:rPr>
          <w:color w:val="383838"/>
          <w:spacing w:val="-12"/>
          <w:w w:val="95"/>
          <w:sz w:val="22"/>
        </w:rPr>
        <w:t> </w:t>
      </w:r>
      <w:r>
        <w:rPr>
          <w:color w:val="383838"/>
          <w:w w:val="95"/>
          <w:sz w:val="21"/>
        </w:rPr>
        <w:t>that</w:t>
      </w:r>
      <w:r>
        <w:rPr>
          <w:color w:val="383838"/>
          <w:spacing w:val="-12"/>
          <w:w w:val="95"/>
          <w:sz w:val="21"/>
        </w:rPr>
        <w:t> </w:t>
      </w:r>
      <w:r>
        <w:rPr>
          <w:color w:val="383838"/>
          <w:w w:val="95"/>
          <w:sz w:val="22"/>
        </w:rPr>
        <w:t>formed</w:t>
      </w:r>
      <w:r>
        <w:rPr>
          <w:color w:val="383838"/>
          <w:spacing w:val="-12"/>
          <w:w w:val="95"/>
          <w:sz w:val="22"/>
        </w:rPr>
        <w:t> </w:t>
      </w:r>
      <w:r>
        <w:rPr>
          <w:color w:val="383838"/>
          <w:w w:val="95"/>
          <w:sz w:val="22"/>
        </w:rPr>
        <w:t>the</w:t>
      </w:r>
      <w:r>
        <w:rPr>
          <w:color w:val="383838"/>
          <w:spacing w:val="-12"/>
          <w:w w:val="95"/>
          <w:sz w:val="22"/>
        </w:rPr>
        <w:t> </w:t>
      </w:r>
      <w:r>
        <w:rPr>
          <w:color w:val="383838"/>
          <w:w w:val="95"/>
          <w:sz w:val="22"/>
        </w:rPr>
        <w:t>scope</w:t>
      </w:r>
      <w:r>
        <w:rPr>
          <w:color w:val="383838"/>
          <w:spacing w:val="-12"/>
          <w:w w:val="95"/>
          <w:sz w:val="22"/>
        </w:rPr>
        <w:t> </w:t>
      </w:r>
      <w:r>
        <w:rPr>
          <w:color w:val="383838"/>
          <w:w w:val="95"/>
          <w:sz w:val="22"/>
        </w:rPr>
        <w:t>of</w:t>
      </w:r>
      <w:r>
        <w:rPr>
          <w:color w:val="383838"/>
          <w:spacing w:val="-17"/>
          <w:w w:val="95"/>
          <w:sz w:val="22"/>
        </w:rPr>
        <w:t> </w:t>
      </w:r>
      <w:r>
        <w:rPr>
          <w:color w:val="383838"/>
          <w:w w:val="95"/>
          <w:sz w:val="22"/>
        </w:rPr>
        <w:t>the focused</w:t>
      </w:r>
      <w:r>
        <w:rPr>
          <w:color w:val="383838"/>
          <w:spacing w:val="-13"/>
          <w:w w:val="95"/>
          <w:sz w:val="22"/>
        </w:rPr>
        <w:t> </w:t>
      </w:r>
      <w:r>
        <w:rPr>
          <w:color w:val="383838"/>
          <w:w w:val="95"/>
          <w:sz w:val="22"/>
        </w:rPr>
        <w:t>evaluation</w:t>
      </w:r>
      <w:r>
        <w:rPr>
          <w:color w:val="828282"/>
          <w:w w:val="95"/>
          <w:sz w:val="22"/>
        </w:rPr>
        <w:t>.</w:t>
      </w:r>
      <w:r>
        <w:rPr>
          <w:color w:val="828282"/>
          <w:spacing w:val="-12"/>
          <w:w w:val="95"/>
          <w:sz w:val="22"/>
        </w:rPr>
        <w:t> </w:t>
      </w:r>
      <w:r>
        <w:rPr>
          <w:color w:val="383838"/>
          <w:w w:val="95"/>
          <w:sz w:val="22"/>
        </w:rPr>
        <w:t>The</w:t>
      </w:r>
      <w:r>
        <w:rPr>
          <w:color w:val="383838"/>
          <w:spacing w:val="-20"/>
          <w:w w:val="95"/>
          <w:sz w:val="22"/>
        </w:rPr>
        <w:t> </w:t>
      </w:r>
      <w:r>
        <w:rPr>
          <w:color w:val="383838"/>
          <w:w w:val="95"/>
          <w:sz w:val="22"/>
        </w:rPr>
        <w:t>program</w:t>
      </w:r>
      <w:r>
        <w:rPr>
          <w:color w:val="383838"/>
          <w:spacing w:val="-12"/>
          <w:w w:val="95"/>
          <w:sz w:val="22"/>
        </w:rPr>
        <w:t> </w:t>
      </w:r>
      <w:r>
        <w:rPr>
          <w:color w:val="383838"/>
          <w:w w:val="95"/>
          <w:sz w:val="22"/>
        </w:rPr>
        <w:t>is</w:t>
      </w:r>
      <w:r>
        <w:rPr>
          <w:color w:val="383838"/>
          <w:spacing w:val="-16"/>
          <w:w w:val="95"/>
          <w:sz w:val="22"/>
        </w:rPr>
        <w:t> </w:t>
      </w:r>
      <w:r>
        <w:rPr>
          <w:color w:val="383838"/>
          <w:w w:val="95"/>
          <w:sz w:val="22"/>
        </w:rPr>
        <w:t>required</w:t>
      </w:r>
      <w:r>
        <w:rPr>
          <w:color w:val="383838"/>
          <w:spacing w:val="-12"/>
          <w:w w:val="95"/>
          <w:sz w:val="22"/>
        </w:rPr>
        <w:t> </w:t>
      </w:r>
      <w:r>
        <w:rPr>
          <w:color w:val="383838"/>
          <w:w w:val="95"/>
          <w:sz w:val="21"/>
        </w:rPr>
        <w:t>to</w:t>
      </w:r>
      <w:r>
        <w:rPr>
          <w:color w:val="383838"/>
          <w:spacing w:val="-12"/>
          <w:w w:val="95"/>
          <w:sz w:val="21"/>
        </w:rPr>
        <w:t> </w:t>
      </w:r>
      <w:r>
        <w:rPr>
          <w:color w:val="383838"/>
          <w:w w:val="95"/>
          <w:sz w:val="22"/>
        </w:rPr>
        <w:t>continue</w:t>
      </w:r>
      <w:r>
        <w:rPr>
          <w:color w:val="383838"/>
          <w:spacing w:val="-12"/>
          <w:w w:val="95"/>
          <w:sz w:val="22"/>
        </w:rPr>
        <w:t> </w:t>
      </w:r>
      <w:r>
        <w:rPr>
          <w:color w:val="383838"/>
          <w:w w:val="95"/>
          <w:sz w:val="22"/>
        </w:rPr>
        <w:t>reporting</w:t>
      </w:r>
      <w:r>
        <w:rPr>
          <w:color w:val="383838"/>
          <w:spacing w:val="-12"/>
          <w:w w:val="95"/>
          <w:sz w:val="22"/>
        </w:rPr>
        <w:t> </w:t>
      </w:r>
      <w:r>
        <w:rPr>
          <w:color w:val="383838"/>
          <w:w w:val="95"/>
          <w:sz w:val="22"/>
        </w:rPr>
        <w:t>on</w:t>
      </w:r>
      <w:r>
        <w:rPr>
          <w:color w:val="383838"/>
          <w:spacing w:val="-16"/>
          <w:w w:val="95"/>
          <w:sz w:val="22"/>
        </w:rPr>
        <w:t> </w:t>
      </w:r>
      <w:r>
        <w:rPr>
          <w:color w:val="383838"/>
          <w:w w:val="95"/>
          <w:sz w:val="22"/>
        </w:rPr>
        <w:t>any</w:t>
      </w:r>
      <w:r>
        <w:rPr>
          <w:color w:val="383838"/>
          <w:spacing w:val="-13"/>
          <w:w w:val="95"/>
          <w:sz w:val="22"/>
        </w:rPr>
        <w:t> </w:t>
      </w:r>
      <w:r>
        <w:rPr>
          <w:color w:val="383838"/>
          <w:w w:val="95"/>
          <w:sz w:val="22"/>
        </w:rPr>
        <w:t>other deficiencies</w:t>
      </w:r>
      <w:r>
        <w:rPr>
          <w:color w:val="383838"/>
          <w:spacing w:val="-10"/>
          <w:w w:val="95"/>
          <w:sz w:val="22"/>
        </w:rPr>
        <w:t> </w:t>
      </w:r>
      <w:r>
        <w:rPr>
          <w:color w:val="383838"/>
          <w:w w:val="95"/>
          <w:sz w:val="22"/>
        </w:rPr>
        <w:t>or</w:t>
      </w:r>
      <w:r>
        <w:rPr>
          <w:color w:val="383838"/>
          <w:spacing w:val="-14"/>
          <w:w w:val="95"/>
          <w:sz w:val="22"/>
        </w:rPr>
        <w:t> </w:t>
      </w:r>
      <w:r>
        <w:rPr>
          <w:color w:val="383838"/>
          <w:w w:val="95"/>
          <w:sz w:val="22"/>
        </w:rPr>
        <w:t>Causes</w:t>
      </w:r>
      <w:r>
        <w:rPr>
          <w:color w:val="383838"/>
          <w:spacing w:val="-18"/>
          <w:w w:val="95"/>
          <w:sz w:val="22"/>
        </w:rPr>
        <w:t> </w:t>
      </w:r>
      <w:r>
        <w:rPr>
          <w:color w:val="383838"/>
          <w:w w:val="95"/>
          <w:sz w:val="22"/>
        </w:rPr>
        <w:t>of</w:t>
      </w:r>
      <w:r>
        <w:rPr>
          <w:color w:val="383838"/>
          <w:spacing w:val="-15"/>
          <w:w w:val="95"/>
          <w:sz w:val="22"/>
        </w:rPr>
        <w:t> </w:t>
      </w:r>
      <w:r>
        <w:rPr>
          <w:color w:val="383838"/>
          <w:w w:val="95"/>
          <w:sz w:val="22"/>
        </w:rPr>
        <w:t>Concem</w:t>
      </w:r>
      <w:r>
        <w:rPr>
          <w:color w:val="383838"/>
          <w:spacing w:val="-9"/>
          <w:w w:val="95"/>
          <w:sz w:val="22"/>
        </w:rPr>
        <w:t> </w:t>
      </w:r>
      <w:r>
        <w:rPr>
          <w:color w:val="383838"/>
          <w:w w:val="95"/>
          <w:sz w:val="22"/>
        </w:rPr>
        <w:t>from</w:t>
      </w:r>
      <w:r>
        <w:rPr>
          <w:color w:val="383838"/>
          <w:spacing w:val="-17"/>
          <w:w w:val="95"/>
          <w:sz w:val="22"/>
        </w:rPr>
        <w:t> </w:t>
      </w:r>
      <w:r>
        <w:rPr>
          <w:color w:val="383838"/>
          <w:w w:val="95"/>
          <w:sz w:val="22"/>
        </w:rPr>
        <w:t>the</w:t>
      </w:r>
      <w:r>
        <w:rPr>
          <w:color w:val="383838"/>
          <w:spacing w:val="-14"/>
          <w:w w:val="95"/>
          <w:sz w:val="22"/>
        </w:rPr>
        <w:t> </w:t>
      </w:r>
      <w:r>
        <w:rPr>
          <w:color w:val="383838"/>
          <w:w w:val="95"/>
          <w:sz w:val="22"/>
        </w:rPr>
        <w:t>previous</w:t>
      </w:r>
      <w:r>
        <w:rPr>
          <w:color w:val="383838"/>
          <w:sz w:val="22"/>
        </w:rPr>
        <w:t> </w:t>
      </w:r>
      <w:r>
        <w:rPr>
          <w:color w:val="383838"/>
          <w:w w:val="95"/>
          <w:sz w:val="22"/>
        </w:rPr>
        <w:t>VTR.</w:t>
      </w:r>
    </w:p>
    <w:p>
      <w:pPr>
        <w:spacing w:before="210"/>
        <w:ind w:left="128" w:right="0" w:firstLine="0"/>
        <w:jc w:val="left"/>
        <w:rPr>
          <w:sz w:val="22"/>
        </w:rPr>
      </w:pPr>
      <w:r>
        <w:rPr>
          <w:color w:val="212121"/>
          <w:w w:val="95"/>
          <w:sz w:val="20"/>
        </w:rPr>
        <w:t>If</w:t>
      </w:r>
      <w:r>
        <w:rPr>
          <w:color w:val="212121"/>
          <w:spacing w:val="1"/>
          <w:sz w:val="20"/>
        </w:rPr>
        <w:t> </w:t>
      </w:r>
      <w:r>
        <w:rPr>
          <w:color w:val="383838"/>
          <w:w w:val="95"/>
          <w:sz w:val="22"/>
        </w:rPr>
        <w:t>you</w:t>
      </w:r>
      <w:r>
        <w:rPr>
          <w:color w:val="383838"/>
          <w:spacing w:val="-12"/>
          <w:w w:val="95"/>
          <w:sz w:val="22"/>
        </w:rPr>
        <w:t> </w:t>
      </w:r>
      <w:r>
        <w:rPr>
          <w:color w:val="383838"/>
          <w:w w:val="95"/>
          <w:sz w:val="22"/>
        </w:rPr>
        <w:t>have</w:t>
      </w:r>
      <w:r>
        <w:rPr>
          <w:color w:val="383838"/>
          <w:spacing w:val="-16"/>
          <w:w w:val="95"/>
          <w:sz w:val="22"/>
        </w:rPr>
        <w:t> </w:t>
      </w:r>
      <w:r>
        <w:rPr>
          <w:color w:val="383838"/>
          <w:w w:val="95"/>
          <w:sz w:val="22"/>
        </w:rPr>
        <w:t>any</w:t>
      </w:r>
      <w:r>
        <w:rPr>
          <w:color w:val="383838"/>
          <w:spacing w:val="-3"/>
          <w:w w:val="95"/>
          <w:sz w:val="22"/>
        </w:rPr>
        <w:t> </w:t>
      </w:r>
      <w:r>
        <w:rPr>
          <w:color w:val="383838"/>
          <w:w w:val="95"/>
          <w:sz w:val="22"/>
        </w:rPr>
        <w:t>questions</w:t>
      </w:r>
      <w:r>
        <w:rPr>
          <w:color w:val="383838"/>
          <w:spacing w:val="-3"/>
          <w:w w:val="95"/>
          <w:sz w:val="22"/>
        </w:rPr>
        <w:t> </w:t>
      </w:r>
      <w:r>
        <w:rPr>
          <w:color w:val="383838"/>
          <w:w w:val="95"/>
          <w:sz w:val="20"/>
        </w:rPr>
        <w:t>regarding</w:t>
      </w:r>
      <w:r>
        <w:rPr>
          <w:color w:val="383838"/>
          <w:spacing w:val="6"/>
          <w:sz w:val="20"/>
        </w:rPr>
        <w:t> </w:t>
      </w:r>
      <w:r>
        <w:rPr>
          <w:color w:val="383838"/>
          <w:w w:val="95"/>
          <w:sz w:val="20"/>
        </w:rPr>
        <w:t>this</w:t>
      </w:r>
      <w:r>
        <w:rPr>
          <w:color w:val="383838"/>
          <w:spacing w:val="-10"/>
          <w:w w:val="95"/>
          <w:sz w:val="20"/>
        </w:rPr>
        <w:t> </w:t>
      </w:r>
      <w:r>
        <w:rPr>
          <w:color w:val="383838"/>
          <w:w w:val="95"/>
          <w:sz w:val="20"/>
        </w:rPr>
        <w:t>matter,</w:t>
      </w:r>
      <w:r>
        <w:rPr>
          <w:color w:val="383838"/>
          <w:spacing w:val="-11"/>
          <w:w w:val="95"/>
          <w:sz w:val="20"/>
        </w:rPr>
        <w:t> </w:t>
      </w:r>
      <w:r>
        <w:rPr>
          <w:color w:val="383838"/>
          <w:w w:val="95"/>
          <w:sz w:val="20"/>
        </w:rPr>
        <w:t>please</w:t>
      </w:r>
      <w:r>
        <w:rPr>
          <w:color w:val="383838"/>
          <w:spacing w:val="-13"/>
          <w:w w:val="95"/>
          <w:sz w:val="20"/>
        </w:rPr>
        <w:t> </w:t>
      </w:r>
      <w:r>
        <w:rPr>
          <w:color w:val="383838"/>
          <w:w w:val="95"/>
          <w:sz w:val="22"/>
        </w:rPr>
        <w:t>contact</w:t>
      </w:r>
      <w:r>
        <w:rPr>
          <w:color w:val="383838"/>
          <w:spacing w:val="-4"/>
          <w:w w:val="95"/>
          <w:sz w:val="22"/>
        </w:rPr>
        <w:t> </w:t>
      </w:r>
      <w:r>
        <w:rPr>
          <w:color w:val="383838"/>
          <w:w w:val="95"/>
          <w:sz w:val="22"/>
        </w:rPr>
        <w:t>the</w:t>
      </w:r>
      <w:r>
        <w:rPr>
          <w:color w:val="383838"/>
          <w:spacing w:val="-19"/>
          <w:w w:val="95"/>
          <w:sz w:val="22"/>
        </w:rPr>
        <w:t> </w:t>
      </w:r>
      <w:r>
        <w:rPr>
          <w:b/>
          <w:color w:val="383838"/>
          <w:w w:val="95"/>
          <w:sz w:val="21"/>
        </w:rPr>
        <w:t>NAAB</w:t>
      </w:r>
      <w:r>
        <w:rPr>
          <w:b/>
          <w:color w:val="383838"/>
          <w:spacing w:val="-12"/>
          <w:w w:val="95"/>
          <w:sz w:val="21"/>
        </w:rPr>
        <w:t> </w:t>
      </w:r>
      <w:r>
        <w:rPr>
          <w:color w:val="383838"/>
          <w:spacing w:val="-2"/>
          <w:w w:val="95"/>
          <w:sz w:val="22"/>
        </w:rPr>
        <w:t>office</w:t>
      </w:r>
      <w:r>
        <w:rPr>
          <w:color w:val="6D6D6D"/>
          <w:spacing w:val="-2"/>
          <w:w w:val="95"/>
          <w:sz w:val="22"/>
        </w:rPr>
        <w:t>.</w:t>
      </w:r>
    </w:p>
    <w:p>
      <w:pPr>
        <w:spacing w:after="0"/>
        <w:jc w:val="left"/>
        <w:rPr>
          <w:sz w:val="22"/>
        </w:rPr>
        <w:sectPr>
          <w:type w:val="continuous"/>
          <w:pgSz w:w="12180" w:h="15740"/>
          <w:pgMar w:header="0" w:footer="0" w:top="1360" w:bottom="280" w:left="240" w:right="1440"/>
          <w:cols w:num="2" w:equalWidth="0">
            <w:col w:w="1942" w:space="522"/>
            <w:col w:w="8036"/>
          </w:cols>
        </w:sectPr>
      </w:pPr>
    </w:p>
    <w:p>
      <w:pPr>
        <w:tabs>
          <w:tab w:pos="3687" w:val="left" w:leader="none"/>
        </w:tabs>
        <w:spacing w:line="1638" w:lineRule="exact" w:before="0"/>
        <w:ind w:left="2512" w:right="0" w:firstLine="0"/>
        <w:jc w:val="left"/>
        <w:rPr>
          <w:i/>
          <w:sz w:val="144"/>
        </w:rPr>
      </w:pPr>
      <w:r>
        <w:rPr/>
        <w:drawing>
          <wp:anchor distT="0" distB="0" distL="0" distR="0" allowOverlap="1" layoutInCell="1" locked="0" behindDoc="0" simplePos="0" relativeHeight="15777792">
            <wp:simplePos x="0" y="0"/>
            <wp:positionH relativeFrom="page">
              <wp:posOffset>231967</wp:posOffset>
            </wp:positionH>
            <wp:positionV relativeFrom="paragraph">
              <wp:posOffset>61871</wp:posOffset>
            </wp:positionV>
            <wp:extent cx="634858" cy="97659"/>
            <wp:effectExtent l="0" t="0" r="0" b="0"/>
            <wp:wrapNone/>
            <wp:docPr id="37" name="image23.jpeg"/>
            <wp:cNvGraphicFramePr>
              <a:graphicFrameLocks noChangeAspect="1"/>
            </wp:cNvGraphicFramePr>
            <a:graphic>
              <a:graphicData uri="http://schemas.openxmlformats.org/drawingml/2006/picture">
                <pic:pic>
                  <pic:nvPicPr>
                    <pic:cNvPr id="38" name="image23.jpeg"/>
                    <pic:cNvPicPr/>
                  </pic:nvPicPr>
                  <pic:blipFill>
                    <a:blip r:embed="rId452" cstate="print"/>
                    <a:stretch>
                      <a:fillRect/>
                    </a:stretch>
                  </pic:blipFill>
                  <pic:spPr>
                    <a:xfrm>
                      <a:off x="0" y="0"/>
                      <a:ext cx="634858" cy="97659"/>
                    </a:xfrm>
                    <a:prstGeom prst="rect">
                      <a:avLst/>
                    </a:prstGeom>
                  </pic:spPr>
                </pic:pic>
              </a:graphicData>
            </a:graphic>
          </wp:anchor>
        </w:drawing>
      </w:r>
      <w:r>
        <w:rPr/>
        <w:drawing>
          <wp:anchor distT="0" distB="0" distL="0" distR="0" allowOverlap="1" layoutInCell="1" locked="0" behindDoc="0" simplePos="0" relativeHeight="15778304">
            <wp:simplePos x="0" y="0"/>
            <wp:positionH relativeFrom="page">
              <wp:posOffset>219758</wp:posOffset>
            </wp:positionH>
            <wp:positionV relativeFrom="paragraph">
              <wp:posOffset>367058</wp:posOffset>
            </wp:positionV>
            <wp:extent cx="720319" cy="109867"/>
            <wp:effectExtent l="0" t="0" r="0" b="0"/>
            <wp:wrapNone/>
            <wp:docPr id="39" name="image24.jpeg"/>
            <wp:cNvGraphicFramePr>
              <a:graphicFrameLocks noChangeAspect="1"/>
            </wp:cNvGraphicFramePr>
            <a:graphic>
              <a:graphicData uri="http://schemas.openxmlformats.org/drawingml/2006/picture">
                <pic:pic>
                  <pic:nvPicPr>
                    <pic:cNvPr id="40" name="image24.jpeg"/>
                    <pic:cNvPicPr/>
                  </pic:nvPicPr>
                  <pic:blipFill>
                    <a:blip r:embed="rId453" cstate="print"/>
                    <a:stretch>
                      <a:fillRect/>
                    </a:stretch>
                  </pic:blipFill>
                  <pic:spPr>
                    <a:xfrm>
                      <a:off x="0" y="0"/>
                      <a:ext cx="720319" cy="109867"/>
                    </a:xfrm>
                    <a:prstGeom prst="rect">
                      <a:avLst/>
                    </a:prstGeom>
                  </pic:spPr>
                </pic:pic>
              </a:graphicData>
            </a:graphic>
          </wp:anchor>
        </w:drawing>
      </w:r>
      <w:r>
        <w:rPr/>
        <w:drawing>
          <wp:anchor distT="0" distB="0" distL="0" distR="0" allowOverlap="1" layoutInCell="1" locked="0" behindDoc="0" simplePos="0" relativeHeight="15778816">
            <wp:simplePos x="0" y="0"/>
            <wp:positionH relativeFrom="page">
              <wp:posOffset>219758</wp:posOffset>
            </wp:positionH>
            <wp:positionV relativeFrom="paragraph">
              <wp:posOffset>660039</wp:posOffset>
            </wp:positionV>
            <wp:extent cx="720319" cy="109867"/>
            <wp:effectExtent l="0" t="0" r="0" b="0"/>
            <wp:wrapNone/>
            <wp:docPr id="41" name="image25.jpeg"/>
            <wp:cNvGraphicFramePr>
              <a:graphicFrameLocks noChangeAspect="1"/>
            </wp:cNvGraphicFramePr>
            <a:graphic>
              <a:graphicData uri="http://schemas.openxmlformats.org/drawingml/2006/picture">
                <pic:pic>
                  <pic:nvPicPr>
                    <pic:cNvPr id="42" name="image25.jpeg"/>
                    <pic:cNvPicPr/>
                  </pic:nvPicPr>
                  <pic:blipFill>
                    <a:blip r:embed="rId454" cstate="print"/>
                    <a:stretch>
                      <a:fillRect/>
                    </a:stretch>
                  </pic:blipFill>
                  <pic:spPr>
                    <a:xfrm>
                      <a:off x="0" y="0"/>
                      <a:ext cx="720319" cy="109867"/>
                    </a:xfrm>
                    <a:prstGeom prst="rect">
                      <a:avLst/>
                    </a:prstGeom>
                  </pic:spPr>
                </pic:pic>
              </a:graphicData>
            </a:graphic>
          </wp:anchor>
        </w:drawing>
      </w:r>
      <w:r>
        <w:rPr/>
        <w:drawing>
          <wp:anchor distT="0" distB="0" distL="0" distR="0" allowOverlap="1" layoutInCell="1" locked="0" behindDoc="0" simplePos="0" relativeHeight="15779328">
            <wp:simplePos x="0" y="0"/>
            <wp:positionH relativeFrom="page">
              <wp:posOffset>317429</wp:posOffset>
            </wp:positionH>
            <wp:positionV relativeFrom="paragraph">
              <wp:posOffset>977433</wp:posOffset>
            </wp:positionV>
            <wp:extent cx="769154" cy="97659"/>
            <wp:effectExtent l="0" t="0" r="0" b="0"/>
            <wp:wrapNone/>
            <wp:docPr id="43" name="image26.jpeg"/>
            <wp:cNvGraphicFramePr>
              <a:graphicFrameLocks noChangeAspect="1"/>
            </wp:cNvGraphicFramePr>
            <a:graphic>
              <a:graphicData uri="http://schemas.openxmlformats.org/drawingml/2006/picture">
                <pic:pic>
                  <pic:nvPicPr>
                    <pic:cNvPr id="44" name="image26.jpeg"/>
                    <pic:cNvPicPr/>
                  </pic:nvPicPr>
                  <pic:blipFill>
                    <a:blip r:embed="rId455" cstate="print"/>
                    <a:stretch>
                      <a:fillRect/>
                    </a:stretch>
                  </pic:blipFill>
                  <pic:spPr>
                    <a:xfrm>
                      <a:off x="0" y="0"/>
                      <a:ext cx="769154" cy="97659"/>
                    </a:xfrm>
                    <a:prstGeom prst="rect">
                      <a:avLst/>
                    </a:prstGeom>
                  </pic:spPr>
                </pic:pic>
              </a:graphicData>
            </a:graphic>
          </wp:anchor>
        </w:drawing>
      </w:r>
      <w:r>
        <w:rPr>
          <w:i/>
          <w:color w:val="383838"/>
          <w:spacing w:val="-393"/>
          <w:w w:val="121"/>
          <w:position w:val="23"/>
          <w:sz w:val="144"/>
        </w:rPr>
        <w:t>I</w:t>
      </w:r>
      <w:r>
        <w:rPr>
          <w:color w:val="383838"/>
          <w:spacing w:val="-3"/>
          <w:w w:val="99"/>
          <w:sz w:val="22"/>
        </w:rPr>
        <w:t>Pre</w:t>
      </w:r>
      <w:r>
        <w:rPr>
          <w:color w:val="383838"/>
          <w:spacing w:val="-25"/>
          <w:w w:val="99"/>
          <w:sz w:val="22"/>
        </w:rPr>
        <w:t>s</w:t>
      </w:r>
      <w:r>
        <w:rPr>
          <w:i/>
          <w:color w:val="383838"/>
          <w:spacing w:val="-343"/>
          <w:w w:val="121"/>
          <w:position w:val="23"/>
          <w:sz w:val="144"/>
        </w:rPr>
        <w:t>i</w:t>
      </w:r>
      <w:r>
        <w:rPr>
          <w:color w:val="383838"/>
          <w:spacing w:val="-3"/>
          <w:w w:val="99"/>
          <w:sz w:val="22"/>
        </w:rPr>
        <w:t>ide</w:t>
      </w:r>
      <w:r>
        <w:rPr>
          <w:color w:val="383838"/>
          <w:spacing w:val="-41"/>
          <w:w w:val="99"/>
          <w:sz w:val="22"/>
        </w:rPr>
        <w:t>n</w:t>
      </w:r>
      <w:r>
        <w:rPr>
          <w:i/>
          <w:color w:val="383838"/>
          <w:spacing w:val="-326"/>
          <w:w w:val="121"/>
          <w:position w:val="23"/>
          <w:sz w:val="144"/>
        </w:rPr>
        <w:t>l</w:t>
      </w:r>
      <w:r>
        <w:rPr>
          <w:color w:val="383838"/>
          <w:spacing w:val="-2"/>
          <w:w w:val="99"/>
          <w:sz w:val="22"/>
        </w:rPr>
        <w:t>t</w:t>
      </w:r>
      <w:r>
        <w:rPr>
          <w:color w:val="383838"/>
          <w:sz w:val="22"/>
        </w:rPr>
        <w:tab/>
      </w:r>
      <w:r>
        <w:rPr>
          <w:i/>
          <w:color w:val="383838"/>
          <w:spacing w:val="-12"/>
          <w:w w:val="105"/>
          <w:position w:val="23"/>
          <w:sz w:val="144"/>
        </w:rPr>
        <w:t>b</w:t>
      </w:r>
    </w:p>
    <w:p>
      <w:pPr>
        <w:pStyle w:val="BodyText"/>
        <w:spacing w:before="6"/>
        <w:rPr>
          <w:i/>
          <w:sz w:val="26"/>
        </w:rPr>
      </w:pPr>
    </w:p>
    <w:p>
      <w:pPr>
        <w:tabs>
          <w:tab w:pos="3294" w:val="left" w:leader="none"/>
        </w:tabs>
        <w:spacing w:line="224" w:lineRule="exact" w:before="92"/>
        <w:ind w:left="2578" w:right="0" w:firstLine="0"/>
        <w:jc w:val="left"/>
        <w:rPr>
          <w:b/>
          <w:sz w:val="18"/>
        </w:rPr>
      </w:pPr>
      <w:r>
        <w:rPr>
          <w:color w:val="383838"/>
          <w:spacing w:val="-5"/>
          <w:sz w:val="19"/>
        </w:rPr>
        <w:t>cc:</w:t>
      </w:r>
      <w:r>
        <w:rPr>
          <w:color w:val="383838"/>
          <w:sz w:val="19"/>
        </w:rPr>
        <w:tab/>
      </w:r>
      <w:r>
        <w:rPr>
          <w:b/>
          <w:color w:val="383838"/>
          <w:w w:val="85"/>
          <w:sz w:val="18"/>
        </w:rPr>
        <w:t>Rotielt</w:t>
      </w:r>
      <w:r>
        <w:rPr>
          <w:b/>
          <w:color w:val="383838"/>
          <w:spacing w:val="5"/>
          <w:sz w:val="18"/>
        </w:rPr>
        <w:t> </w:t>
      </w:r>
      <w:r>
        <w:rPr>
          <w:rFonts w:ascii="Times New Roman"/>
          <w:color w:val="383838"/>
          <w:w w:val="85"/>
          <w:sz w:val="21"/>
        </w:rPr>
        <w:t>L</w:t>
      </w:r>
      <w:r>
        <w:rPr>
          <w:rFonts w:ascii="Times New Roman"/>
          <w:color w:val="383838"/>
          <w:spacing w:val="-6"/>
          <w:sz w:val="21"/>
        </w:rPr>
        <w:t> </w:t>
      </w:r>
      <w:r>
        <w:rPr>
          <w:b/>
          <w:color w:val="383838"/>
          <w:w w:val="85"/>
          <w:sz w:val="16"/>
        </w:rPr>
        <w:t>Easier,</w:t>
      </w:r>
      <w:r>
        <w:rPr>
          <w:b/>
          <w:color w:val="383838"/>
          <w:spacing w:val="-6"/>
          <w:w w:val="85"/>
          <w:sz w:val="16"/>
        </w:rPr>
        <w:t> </w:t>
      </w:r>
      <w:r>
        <w:rPr>
          <w:b/>
          <w:color w:val="383838"/>
          <w:w w:val="85"/>
          <w:sz w:val="17"/>
        </w:rPr>
        <w:t>AJA,</w:t>
      </w:r>
      <w:r>
        <w:rPr>
          <w:b/>
          <w:color w:val="383838"/>
          <w:spacing w:val="-3"/>
          <w:sz w:val="17"/>
        </w:rPr>
        <w:t> </w:t>
      </w:r>
      <w:r>
        <w:rPr>
          <w:b/>
          <w:color w:val="383838"/>
          <w:w w:val="85"/>
          <w:sz w:val="18"/>
        </w:rPr>
        <w:t>NOMA.,</w:t>
      </w:r>
      <w:r>
        <w:rPr>
          <w:b/>
          <w:color w:val="383838"/>
          <w:spacing w:val="-2"/>
          <w:sz w:val="18"/>
        </w:rPr>
        <w:t> </w:t>
      </w:r>
      <w:r>
        <w:rPr>
          <w:b/>
          <w:color w:val="383838"/>
          <w:spacing w:val="-4"/>
          <w:w w:val="85"/>
          <w:sz w:val="18"/>
        </w:rPr>
        <w:t>Cha.-</w:t>
      </w:r>
    </w:p>
    <w:p>
      <w:pPr>
        <w:tabs>
          <w:tab w:pos="5981" w:val="left" w:leader="none"/>
        </w:tabs>
        <w:spacing w:line="180" w:lineRule="exact" w:before="0"/>
        <w:ind w:left="3300" w:right="0" w:firstLine="0"/>
        <w:jc w:val="left"/>
        <w:rPr>
          <w:rFonts w:ascii="Times New Roman"/>
          <w:sz w:val="19"/>
        </w:rPr>
      </w:pPr>
      <w:r>
        <w:rPr>
          <w:b/>
          <w:color w:val="383838"/>
          <w:spacing w:val="-2"/>
          <w:w w:val="120"/>
          <w:sz w:val="16"/>
        </w:rPr>
        <w:t>O</w:t>
      </w:r>
      <w:r>
        <w:rPr>
          <w:b/>
          <w:color w:val="383838"/>
          <w:spacing w:val="-13"/>
          <w:w w:val="120"/>
          <w:sz w:val="16"/>
        </w:rPr>
        <w:t> </w:t>
      </w:r>
      <w:r>
        <w:rPr>
          <w:b/>
          <w:color w:val="383838"/>
          <w:spacing w:val="-2"/>
          <w:w w:val="120"/>
          <w:sz w:val="16"/>
        </w:rPr>
        <w:t>g s</w:t>
      </w:r>
      <w:r>
        <w:rPr>
          <w:b/>
          <w:color w:val="383838"/>
          <w:spacing w:val="-25"/>
          <w:w w:val="120"/>
          <w:sz w:val="16"/>
        </w:rPr>
        <w:t> </w:t>
      </w:r>
      <w:r>
        <w:rPr>
          <w:b/>
          <w:color w:val="383838"/>
          <w:spacing w:val="-2"/>
          <w:w w:val="105"/>
          <w:sz w:val="16"/>
        </w:rPr>
        <w:t>K.</w:t>
      </w:r>
      <w:r>
        <w:rPr>
          <w:b/>
          <w:color w:val="383838"/>
          <w:spacing w:val="-10"/>
          <w:w w:val="105"/>
          <w:sz w:val="16"/>
        </w:rPr>
        <w:t> </w:t>
      </w:r>
      <w:r>
        <w:rPr>
          <w:b/>
          <w:color w:val="383838"/>
          <w:spacing w:val="-2"/>
          <w:w w:val="105"/>
          <w:sz w:val="16"/>
        </w:rPr>
        <w:t>Engebretsoo,</w:t>
      </w:r>
      <w:r>
        <w:rPr>
          <w:b/>
          <w:color w:val="383838"/>
          <w:spacing w:val="5"/>
          <w:w w:val="105"/>
          <w:sz w:val="16"/>
        </w:rPr>
        <w:t> </w:t>
      </w:r>
      <w:r>
        <w:rPr>
          <w:b/>
          <w:color w:val="383838"/>
          <w:spacing w:val="-2"/>
          <w:w w:val="105"/>
          <w:sz w:val="16"/>
        </w:rPr>
        <w:t>FAIA,</w:t>
      </w:r>
      <w:r>
        <w:rPr>
          <w:b/>
          <w:color w:val="383838"/>
          <w:spacing w:val="32"/>
          <w:w w:val="105"/>
          <w:sz w:val="16"/>
        </w:rPr>
        <w:t> </w:t>
      </w:r>
      <w:r>
        <w:rPr>
          <w:rFonts w:ascii="Times New Roman"/>
          <w:color w:val="383838"/>
          <w:spacing w:val="-10"/>
          <w:w w:val="105"/>
          <w:sz w:val="18"/>
        </w:rPr>
        <w:t>d</w:t>
      </w:r>
      <w:r>
        <w:rPr>
          <w:rFonts w:ascii="Times New Roman"/>
          <w:color w:val="383838"/>
          <w:sz w:val="18"/>
        </w:rPr>
        <w:tab/>
      </w:r>
      <w:r>
        <w:rPr>
          <w:rFonts w:ascii="Times New Roman"/>
          <w:color w:val="383838"/>
          <w:spacing w:val="-2"/>
          <w:w w:val="105"/>
          <w:sz w:val="19"/>
        </w:rPr>
        <w:t>Reviewer</w:t>
      </w:r>
    </w:p>
    <w:p>
      <w:pPr>
        <w:spacing w:line="198" w:lineRule="exact" w:before="0"/>
        <w:ind w:left="3302" w:right="0" w:firstLine="0"/>
        <w:jc w:val="left"/>
        <w:rPr>
          <w:b/>
          <w:sz w:val="17"/>
        </w:rPr>
      </w:pPr>
      <w:r>
        <w:rPr>
          <w:b/>
          <w:color w:val="383838"/>
          <w:spacing w:val="-2"/>
          <w:w w:val="90"/>
          <w:sz w:val="17"/>
        </w:rPr>
        <w:t>A</w:t>
      </w:r>
      <w:r>
        <w:rPr>
          <w:b/>
          <w:color w:val="6D6D6D"/>
          <w:spacing w:val="-2"/>
          <w:w w:val="90"/>
          <w:sz w:val="17"/>
        </w:rPr>
        <w:t>.</w:t>
      </w:r>
      <w:r>
        <w:rPr>
          <w:b/>
          <w:color w:val="6D6D6D"/>
          <w:spacing w:val="-5"/>
          <w:w w:val="90"/>
          <w:sz w:val="17"/>
        </w:rPr>
        <w:t> </w:t>
      </w:r>
      <w:r>
        <w:rPr>
          <w:b/>
          <w:color w:val="383838"/>
          <w:spacing w:val="-2"/>
          <w:w w:val="90"/>
          <w:sz w:val="17"/>
        </w:rPr>
        <w:t>Spencer</w:t>
      </w:r>
      <w:r>
        <w:rPr>
          <w:b/>
          <w:color w:val="383838"/>
          <w:spacing w:val="9"/>
          <w:sz w:val="17"/>
        </w:rPr>
        <w:t> </w:t>
      </w:r>
      <w:r>
        <w:rPr>
          <w:b/>
          <w:color w:val="383838"/>
          <w:spacing w:val="-2"/>
          <w:w w:val="90"/>
          <w:sz w:val="16"/>
        </w:rPr>
        <w:t>A.</w:t>
      </w:r>
      <w:r>
        <w:rPr>
          <w:b/>
          <w:color w:val="383838"/>
          <w:spacing w:val="-11"/>
          <w:w w:val="90"/>
          <w:sz w:val="16"/>
        </w:rPr>
        <w:t> </w:t>
      </w:r>
      <w:r>
        <w:rPr>
          <w:b/>
          <w:color w:val="383838"/>
          <w:spacing w:val="-2"/>
          <w:w w:val="90"/>
          <w:sz w:val="19"/>
        </w:rPr>
        <w:t>lelneweber,</w:t>
      </w:r>
      <w:r>
        <w:rPr>
          <w:b/>
          <w:color w:val="383838"/>
          <w:spacing w:val="6"/>
          <w:sz w:val="19"/>
        </w:rPr>
        <w:t> </w:t>
      </w:r>
      <w:r>
        <w:rPr>
          <w:b/>
          <w:color w:val="383838"/>
          <w:spacing w:val="-2"/>
          <w:w w:val="90"/>
          <w:sz w:val="17"/>
        </w:rPr>
        <w:t>FAIA</w:t>
      </w:r>
      <w:r>
        <w:rPr>
          <w:b/>
          <w:color w:val="6D6D6D"/>
          <w:spacing w:val="-2"/>
          <w:w w:val="90"/>
          <w:sz w:val="17"/>
        </w:rPr>
        <w:t>,</w:t>
      </w:r>
      <w:r>
        <w:rPr>
          <w:b/>
          <w:color w:val="6D6D6D"/>
          <w:spacing w:val="-4"/>
          <w:sz w:val="17"/>
        </w:rPr>
        <w:t> </w:t>
      </w:r>
      <w:r>
        <w:rPr>
          <w:b/>
          <w:color w:val="383838"/>
          <w:spacing w:val="-2"/>
          <w:w w:val="90"/>
          <w:sz w:val="17"/>
        </w:rPr>
        <w:t>Second;iy</w:t>
      </w:r>
      <w:r>
        <w:rPr>
          <w:b/>
          <w:color w:val="383838"/>
          <w:spacing w:val="-22"/>
          <w:w w:val="90"/>
          <w:sz w:val="17"/>
        </w:rPr>
        <w:t> </w:t>
      </w:r>
      <w:r>
        <w:rPr>
          <w:b/>
          <w:color w:val="383838"/>
          <w:spacing w:val="-2"/>
          <w:w w:val="90"/>
          <w:sz w:val="17"/>
        </w:rPr>
        <w:t>Reviewer</w:t>
      </w:r>
    </w:p>
    <w:p>
      <w:pPr>
        <w:pStyle w:val="BodyText"/>
        <w:spacing w:before="1"/>
        <w:rPr>
          <w:b/>
          <w:sz w:val="10"/>
        </w:rPr>
      </w:pPr>
    </w:p>
    <w:p>
      <w:pPr>
        <w:spacing w:before="94"/>
        <w:ind w:left="2568" w:right="0" w:firstLine="0"/>
        <w:jc w:val="left"/>
        <w:rPr>
          <w:sz w:val="22"/>
        </w:rPr>
      </w:pPr>
      <w:r>
        <w:rPr>
          <w:color w:val="383838"/>
          <w:spacing w:val="-4"/>
          <w:sz w:val="22"/>
        </w:rPr>
        <w:t>enc.</w:t>
      </w:r>
    </w:p>
    <w:p>
      <w:pPr>
        <w:spacing w:after="0"/>
        <w:jc w:val="left"/>
        <w:rPr>
          <w:sz w:val="22"/>
        </w:rPr>
        <w:sectPr>
          <w:type w:val="continuous"/>
          <w:pgSz w:w="12180" w:h="15740"/>
          <w:pgMar w:header="0" w:footer="0" w:top="1360" w:bottom="280" w:left="240" w:right="144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19"/>
        </w:rPr>
      </w:pPr>
    </w:p>
    <w:p>
      <w:pPr>
        <w:spacing w:line="244" w:lineRule="auto" w:before="92"/>
        <w:ind w:left="1087" w:right="6080" w:hanging="5"/>
        <w:jc w:val="left"/>
        <w:rPr>
          <w:b/>
          <w:sz w:val="25"/>
        </w:rPr>
      </w:pPr>
      <w:r>
        <w:rPr>
          <w:b/>
          <w:color w:val="282828"/>
          <w:w w:val="105"/>
          <w:sz w:val="25"/>
        </w:rPr>
        <w:t>Hampton University </w:t>
      </w:r>
      <w:r>
        <w:rPr>
          <w:b/>
          <w:color w:val="282828"/>
          <w:sz w:val="25"/>
        </w:rPr>
        <w:t>Department of Architecture</w:t>
      </w:r>
    </w:p>
    <w:p>
      <w:pPr>
        <w:pStyle w:val="BodyText"/>
        <w:spacing w:before="8"/>
        <w:rPr>
          <w:b/>
          <w:sz w:val="32"/>
        </w:rPr>
      </w:pPr>
    </w:p>
    <w:p>
      <w:pPr>
        <w:spacing w:before="0"/>
        <w:ind w:left="1068" w:right="0" w:firstLine="0"/>
        <w:jc w:val="left"/>
        <w:rPr>
          <w:b/>
          <w:sz w:val="31"/>
        </w:rPr>
      </w:pPr>
      <w:r>
        <w:rPr>
          <w:b/>
          <w:color w:val="282828"/>
          <w:sz w:val="31"/>
        </w:rPr>
        <w:t>Focused</w:t>
      </w:r>
      <w:r>
        <w:rPr>
          <w:b/>
          <w:color w:val="282828"/>
          <w:spacing w:val="12"/>
          <w:sz w:val="31"/>
        </w:rPr>
        <w:t> </w:t>
      </w:r>
      <w:r>
        <w:rPr>
          <w:b/>
          <w:color w:val="282828"/>
          <w:sz w:val="31"/>
        </w:rPr>
        <w:t>Evaluation</w:t>
      </w:r>
      <w:r>
        <w:rPr>
          <w:b/>
          <w:color w:val="282828"/>
          <w:spacing w:val="41"/>
          <w:sz w:val="31"/>
        </w:rPr>
        <w:t> </w:t>
      </w:r>
      <w:r>
        <w:rPr>
          <w:b/>
          <w:color w:val="282828"/>
          <w:sz w:val="31"/>
        </w:rPr>
        <w:t>Team</w:t>
      </w:r>
      <w:r>
        <w:rPr>
          <w:b/>
          <w:color w:val="282828"/>
          <w:spacing w:val="22"/>
          <w:sz w:val="31"/>
        </w:rPr>
        <w:t> </w:t>
      </w:r>
      <w:r>
        <w:rPr>
          <w:b/>
          <w:color w:val="282828"/>
          <w:spacing w:val="-2"/>
          <w:sz w:val="31"/>
        </w:rPr>
        <w:t>Report</w:t>
      </w:r>
    </w:p>
    <w:p>
      <w:pPr>
        <w:pStyle w:val="BodyText"/>
        <w:rPr>
          <w:b/>
          <w:sz w:val="27"/>
        </w:rPr>
      </w:pPr>
    </w:p>
    <w:p>
      <w:pPr>
        <w:spacing w:before="0"/>
        <w:ind w:left="1064" w:right="0" w:firstLine="0"/>
        <w:jc w:val="left"/>
        <w:rPr>
          <w:b/>
          <w:sz w:val="25"/>
        </w:rPr>
      </w:pPr>
      <w:r>
        <w:rPr>
          <w:b/>
          <w:color w:val="282828"/>
          <w:spacing w:val="-2"/>
          <w:w w:val="105"/>
          <w:sz w:val="25"/>
        </w:rPr>
        <w:t>Master</w:t>
      </w:r>
      <w:r>
        <w:rPr>
          <w:b/>
          <w:color w:val="282828"/>
          <w:spacing w:val="4"/>
          <w:w w:val="105"/>
          <w:sz w:val="25"/>
        </w:rPr>
        <w:t> </w:t>
      </w:r>
      <w:r>
        <w:rPr>
          <w:b/>
          <w:color w:val="282828"/>
          <w:spacing w:val="-2"/>
          <w:w w:val="105"/>
          <w:sz w:val="25"/>
        </w:rPr>
        <w:t>of</w:t>
      </w:r>
      <w:r>
        <w:rPr>
          <w:b/>
          <w:color w:val="282828"/>
          <w:spacing w:val="-12"/>
          <w:w w:val="105"/>
          <w:sz w:val="25"/>
        </w:rPr>
        <w:t> </w:t>
      </w:r>
      <w:r>
        <w:rPr>
          <w:b/>
          <w:color w:val="282828"/>
          <w:spacing w:val="-2"/>
          <w:w w:val="105"/>
          <w:sz w:val="25"/>
        </w:rPr>
        <w:t>Architecture</w:t>
      </w:r>
      <w:r>
        <w:rPr>
          <w:b/>
          <w:color w:val="282828"/>
          <w:spacing w:val="1"/>
          <w:w w:val="105"/>
          <w:sz w:val="25"/>
        </w:rPr>
        <w:t> </w:t>
      </w:r>
      <w:r>
        <w:rPr>
          <w:b/>
          <w:color w:val="282828"/>
          <w:spacing w:val="-2"/>
          <w:w w:val="105"/>
          <w:sz w:val="25"/>
        </w:rPr>
        <w:t>(171</w:t>
      </w:r>
      <w:r>
        <w:rPr>
          <w:b/>
          <w:color w:val="282828"/>
          <w:spacing w:val="-16"/>
          <w:w w:val="105"/>
          <w:sz w:val="25"/>
        </w:rPr>
        <w:t> </w:t>
      </w:r>
      <w:r>
        <w:rPr>
          <w:b/>
          <w:color w:val="282828"/>
          <w:spacing w:val="-2"/>
          <w:w w:val="105"/>
          <w:sz w:val="25"/>
        </w:rPr>
        <w:t>credit</w:t>
      </w:r>
      <w:r>
        <w:rPr>
          <w:b/>
          <w:color w:val="282828"/>
          <w:spacing w:val="-11"/>
          <w:w w:val="105"/>
          <w:sz w:val="25"/>
        </w:rPr>
        <w:t> </w:t>
      </w:r>
      <w:r>
        <w:rPr>
          <w:b/>
          <w:color w:val="282828"/>
          <w:spacing w:val="-2"/>
          <w:w w:val="105"/>
          <w:sz w:val="25"/>
        </w:rPr>
        <w:t>hours)</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36"/>
        </w:rPr>
      </w:pPr>
    </w:p>
    <w:p>
      <w:pPr>
        <w:spacing w:before="0"/>
        <w:ind w:left="1042" w:right="0" w:firstLine="0"/>
        <w:jc w:val="left"/>
        <w:rPr>
          <w:sz w:val="23"/>
        </w:rPr>
      </w:pPr>
      <w:r>
        <w:rPr>
          <w:color w:val="3D3D3D"/>
          <w:w w:val="105"/>
          <w:sz w:val="23"/>
        </w:rPr>
        <w:t>The</w:t>
      </w:r>
      <w:r>
        <w:rPr>
          <w:color w:val="3D3D3D"/>
          <w:spacing w:val="-17"/>
          <w:w w:val="105"/>
          <w:sz w:val="23"/>
        </w:rPr>
        <w:t> </w:t>
      </w:r>
      <w:r>
        <w:rPr>
          <w:color w:val="282828"/>
          <w:w w:val="105"/>
          <w:sz w:val="23"/>
        </w:rPr>
        <w:t>National</w:t>
      </w:r>
      <w:r>
        <w:rPr>
          <w:color w:val="282828"/>
          <w:spacing w:val="-17"/>
          <w:w w:val="105"/>
          <w:sz w:val="23"/>
        </w:rPr>
        <w:t> </w:t>
      </w:r>
      <w:r>
        <w:rPr>
          <w:color w:val="282828"/>
          <w:w w:val="105"/>
          <w:sz w:val="23"/>
        </w:rPr>
        <w:t>Architectural</w:t>
      </w:r>
      <w:r>
        <w:rPr>
          <w:color w:val="282828"/>
          <w:spacing w:val="-17"/>
          <w:w w:val="105"/>
          <w:sz w:val="23"/>
        </w:rPr>
        <w:t> </w:t>
      </w:r>
      <w:r>
        <w:rPr>
          <w:color w:val="282828"/>
          <w:w w:val="105"/>
          <w:sz w:val="23"/>
        </w:rPr>
        <w:t>Acc</w:t>
      </w:r>
      <w:r>
        <w:rPr>
          <w:color w:val="525252"/>
          <w:w w:val="105"/>
          <w:sz w:val="23"/>
        </w:rPr>
        <w:t>rediting</w:t>
      </w:r>
      <w:r>
        <w:rPr>
          <w:color w:val="525252"/>
          <w:spacing w:val="-14"/>
          <w:w w:val="105"/>
          <w:sz w:val="23"/>
        </w:rPr>
        <w:t> </w:t>
      </w:r>
      <w:r>
        <w:rPr>
          <w:color w:val="282828"/>
          <w:spacing w:val="-2"/>
          <w:w w:val="105"/>
          <w:sz w:val="23"/>
        </w:rPr>
        <w:t>Board</w:t>
      </w:r>
    </w:p>
    <w:p>
      <w:pPr>
        <w:spacing w:before="14"/>
        <w:ind w:left="1043" w:right="0" w:firstLine="0"/>
        <w:jc w:val="left"/>
        <w:rPr>
          <w:sz w:val="19"/>
        </w:rPr>
      </w:pPr>
      <w:r>
        <w:rPr>
          <w:color w:val="3D3D3D"/>
          <w:w w:val="105"/>
          <w:sz w:val="19"/>
        </w:rPr>
        <w:t>October</w:t>
      </w:r>
      <w:r>
        <w:rPr>
          <w:color w:val="3D3D3D"/>
          <w:spacing w:val="-4"/>
          <w:w w:val="105"/>
          <w:sz w:val="19"/>
        </w:rPr>
        <w:t> 2012</w:t>
      </w:r>
    </w:p>
    <w:p>
      <w:pPr>
        <w:pStyle w:val="BodyText"/>
      </w:pPr>
    </w:p>
    <w:p>
      <w:pPr>
        <w:pStyle w:val="BodyText"/>
      </w:pPr>
    </w:p>
    <w:p>
      <w:pPr>
        <w:pStyle w:val="BodyText"/>
      </w:pPr>
    </w:p>
    <w:p>
      <w:pPr>
        <w:pStyle w:val="BodyText"/>
      </w:pPr>
    </w:p>
    <w:p>
      <w:pPr>
        <w:pStyle w:val="BodyText"/>
      </w:pPr>
    </w:p>
    <w:p>
      <w:pPr>
        <w:pStyle w:val="BodyText"/>
        <w:spacing w:before="10"/>
        <w:rPr>
          <w:sz w:val="18"/>
        </w:rPr>
      </w:pPr>
    </w:p>
    <w:p>
      <w:pPr>
        <w:spacing w:line="235" w:lineRule="auto" w:before="0"/>
        <w:ind w:left="1028" w:right="138" w:firstLine="8"/>
        <w:jc w:val="left"/>
        <w:rPr>
          <w:i/>
          <w:sz w:val="20"/>
        </w:rPr>
      </w:pPr>
      <w:r>
        <w:rPr>
          <w:i/>
          <w:color w:val="3D3D3D"/>
          <w:sz w:val="20"/>
        </w:rPr>
        <w:t>The</w:t>
      </w:r>
      <w:r>
        <w:rPr>
          <w:i/>
          <w:color w:val="3D3D3D"/>
          <w:spacing w:val="-1"/>
          <w:sz w:val="20"/>
        </w:rPr>
        <w:t> </w:t>
      </w:r>
      <w:r>
        <w:rPr>
          <w:i/>
          <w:color w:val="3D3D3D"/>
          <w:sz w:val="20"/>
        </w:rPr>
        <w:t>National Architectural Accrediting</w:t>
      </w:r>
      <w:r>
        <w:rPr>
          <w:i/>
          <w:color w:val="3D3D3D"/>
          <w:spacing w:val="20"/>
          <w:sz w:val="20"/>
        </w:rPr>
        <w:t> </w:t>
      </w:r>
      <w:r>
        <w:rPr>
          <w:i/>
          <w:color w:val="3D3D3D"/>
          <w:sz w:val="20"/>
        </w:rPr>
        <w:t>Bosrd (NAAB), established </w:t>
      </w:r>
      <w:r>
        <w:rPr>
          <w:i/>
          <w:color w:val="525252"/>
          <w:sz w:val="20"/>
        </w:rPr>
        <w:t>i</w:t>
      </w:r>
      <w:r>
        <w:rPr>
          <w:i/>
          <w:color w:val="282828"/>
          <w:sz w:val="20"/>
        </w:rPr>
        <w:t>n</w:t>
      </w:r>
      <w:r>
        <w:rPr>
          <w:i/>
          <w:color w:val="282828"/>
          <w:spacing w:val="-21"/>
          <w:sz w:val="20"/>
        </w:rPr>
        <w:t> </w:t>
      </w:r>
      <w:r>
        <w:rPr>
          <w:i/>
          <w:color w:val="3D3D3D"/>
          <w:sz w:val="20"/>
        </w:rPr>
        <w:t>1940, </w:t>
      </w:r>
      <w:r>
        <w:rPr>
          <w:i/>
          <w:color w:val="525252"/>
          <w:sz w:val="20"/>
        </w:rPr>
        <w:t>is</w:t>
      </w:r>
      <w:r>
        <w:rPr>
          <w:i/>
          <w:color w:val="525252"/>
          <w:spacing w:val="-7"/>
          <w:sz w:val="20"/>
        </w:rPr>
        <w:t> </w:t>
      </w:r>
      <w:r>
        <w:rPr>
          <w:i/>
          <w:color w:val="3D3D3D"/>
          <w:sz w:val="20"/>
        </w:rPr>
        <w:t>the</w:t>
      </w:r>
      <w:r>
        <w:rPr>
          <w:i/>
          <w:color w:val="3D3D3D"/>
          <w:spacing w:val="-13"/>
          <w:sz w:val="20"/>
        </w:rPr>
        <w:t> </w:t>
      </w:r>
      <w:r>
        <w:rPr>
          <w:color w:val="3D3D3D"/>
          <w:sz w:val="22"/>
        </w:rPr>
        <w:t>sole</w:t>
      </w:r>
      <w:r>
        <w:rPr>
          <w:color w:val="3D3D3D"/>
          <w:spacing w:val="-12"/>
          <w:sz w:val="22"/>
        </w:rPr>
        <w:t> </w:t>
      </w:r>
      <w:r>
        <w:rPr>
          <w:i/>
          <w:color w:val="3D3D3D"/>
          <w:sz w:val="20"/>
        </w:rPr>
        <w:t>agency </w:t>
      </w:r>
      <w:r>
        <w:rPr>
          <w:i/>
          <w:color w:val="282828"/>
          <w:sz w:val="20"/>
        </w:rPr>
        <w:t>authorized </w:t>
      </w:r>
      <w:r>
        <w:rPr>
          <w:i/>
          <w:color w:val="3D3D3D"/>
          <w:sz w:val="20"/>
        </w:rPr>
        <w:t>to </w:t>
      </w:r>
      <w:r>
        <w:rPr>
          <w:i/>
          <w:color w:val="282828"/>
          <w:sz w:val="20"/>
        </w:rPr>
        <w:t>accredit </w:t>
      </w:r>
      <w:r>
        <w:rPr>
          <w:i/>
          <w:color w:val="3D3D3D"/>
          <w:sz w:val="20"/>
        </w:rPr>
        <w:t>U</w:t>
      </w:r>
      <w:r>
        <w:rPr>
          <w:i/>
          <w:color w:val="797979"/>
          <w:sz w:val="20"/>
        </w:rPr>
        <w:t>.</w:t>
      </w:r>
      <w:r>
        <w:rPr>
          <w:i/>
          <w:color w:val="3D3D3D"/>
          <w:sz w:val="20"/>
        </w:rPr>
        <w:t>S</w:t>
      </w:r>
      <w:r>
        <w:rPr>
          <w:i/>
          <w:color w:val="797979"/>
          <w:sz w:val="20"/>
        </w:rPr>
        <w:t>.</w:t>
      </w:r>
      <w:r>
        <w:rPr>
          <w:i/>
          <w:color w:val="797979"/>
          <w:spacing w:val="-4"/>
          <w:sz w:val="20"/>
        </w:rPr>
        <w:t> </w:t>
      </w:r>
      <w:r>
        <w:rPr>
          <w:i/>
          <w:color w:val="3D3D3D"/>
          <w:sz w:val="20"/>
        </w:rPr>
        <w:t>professional </w:t>
      </w:r>
      <w:r>
        <w:rPr>
          <w:i/>
          <w:color w:val="525252"/>
          <w:sz w:val="20"/>
        </w:rPr>
        <w:t>degree </w:t>
      </w:r>
      <w:r>
        <w:rPr>
          <w:i/>
          <w:color w:val="3D3D3D"/>
          <w:sz w:val="20"/>
        </w:rPr>
        <w:t>programs </w:t>
      </w:r>
      <w:r>
        <w:rPr>
          <w:i/>
          <w:color w:val="525252"/>
          <w:sz w:val="20"/>
        </w:rPr>
        <w:t>in </w:t>
      </w:r>
      <w:r>
        <w:rPr>
          <w:i/>
          <w:color w:val="3D3D3D"/>
          <w:sz w:val="20"/>
        </w:rPr>
        <w:t>architectura</w:t>
      </w:r>
      <w:r>
        <w:rPr>
          <w:i/>
          <w:color w:val="797979"/>
          <w:sz w:val="20"/>
        </w:rPr>
        <w:t>. </w:t>
      </w:r>
      <w:r>
        <w:rPr>
          <w:i/>
          <w:color w:val="282828"/>
          <w:sz w:val="20"/>
        </w:rPr>
        <w:t>Because </w:t>
      </w:r>
      <w:r>
        <w:rPr>
          <w:i/>
          <w:color w:val="3D3D3D"/>
          <w:sz w:val="20"/>
        </w:rPr>
        <w:t>most state</w:t>
      </w:r>
      <w:r>
        <w:rPr>
          <w:i/>
          <w:color w:val="3D3D3D"/>
          <w:spacing w:val="-4"/>
          <w:sz w:val="20"/>
        </w:rPr>
        <w:t> </w:t>
      </w:r>
      <w:r>
        <w:rPr>
          <w:i/>
          <w:color w:val="3D3D3D"/>
          <w:sz w:val="20"/>
        </w:rPr>
        <w:t>registration boards</w:t>
      </w:r>
      <w:r>
        <w:rPr>
          <w:i/>
          <w:color w:val="3D3D3D"/>
          <w:spacing w:val="-1"/>
          <w:sz w:val="20"/>
        </w:rPr>
        <w:t> </w:t>
      </w:r>
      <w:r>
        <w:rPr>
          <w:i/>
          <w:color w:val="525252"/>
          <w:sz w:val="20"/>
        </w:rPr>
        <w:t>in </w:t>
      </w:r>
      <w:r>
        <w:rPr>
          <w:i/>
          <w:color w:val="3D3D3D"/>
          <w:sz w:val="20"/>
        </w:rPr>
        <w:t>(he</w:t>
      </w:r>
      <w:r>
        <w:rPr>
          <w:i/>
          <w:color w:val="3D3D3D"/>
          <w:spacing w:val="-14"/>
          <w:sz w:val="20"/>
        </w:rPr>
        <w:t> </w:t>
      </w:r>
      <w:r>
        <w:rPr>
          <w:i/>
          <w:color w:val="3D3D3D"/>
          <w:sz w:val="20"/>
        </w:rPr>
        <w:t>United</w:t>
      </w:r>
      <w:r>
        <w:rPr>
          <w:i/>
          <w:color w:val="3D3D3D"/>
          <w:spacing w:val="-14"/>
          <w:sz w:val="20"/>
        </w:rPr>
        <w:t> </w:t>
      </w:r>
      <w:r>
        <w:rPr>
          <w:i/>
          <w:color w:val="282828"/>
          <w:sz w:val="20"/>
        </w:rPr>
        <w:t>States</w:t>
      </w:r>
      <w:r>
        <w:rPr>
          <w:i/>
          <w:color w:val="282828"/>
          <w:spacing w:val="-14"/>
          <w:sz w:val="20"/>
        </w:rPr>
        <w:t> </w:t>
      </w:r>
      <w:r>
        <w:rPr>
          <w:i/>
          <w:color w:val="3D3D3D"/>
          <w:sz w:val="20"/>
        </w:rPr>
        <w:t>require</w:t>
      </w:r>
      <w:r>
        <w:rPr>
          <w:i/>
          <w:color w:val="3D3D3D"/>
          <w:spacing w:val="-14"/>
          <w:sz w:val="20"/>
        </w:rPr>
        <w:t> </w:t>
      </w:r>
      <w:r>
        <w:rPr>
          <w:i/>
          <w:color w:val="3D3D3D"/>
          <w:sz w:val="20"/>
        </w:rPr>
        <w:t>any</w:t>
      </w:r>
      <w:r>
        <w:rPr>
          <w:i/>
          <w:color w:val="3D3D3D"/>
          <w:spacing w:val="-14"/>
          <w:sz w:val="20"/>
        </w:rPr>
        <w:t> </w:t>
      </w:r>
      <w:r>
        <w:rPr>
          <w:i/>
          <w:color w:val="525252"/>
          <w:sz w:val="20"/>
        </w:rPr>
        <w:t>applicant</w:t>
      </w:r>
      <w:r>
        <w:rPr>
          <w:i/>
          <w:color w:val="525252"/>
          <w:spacing w:val="-14"/>
          <w:sz w:val="20"/>
        </w:rPr>
        <w:t> </w:t>
      </w:r>
      <w:r>
        <w:rPr>
          <w:i/>
          <w:color w:val="3D3D3D"/>
          <w:sz w:val="20"/>
        </w:rPr>
        <w:t>for</w:t>
      </w:r>
      <w:r>
        <w:rPr>
          <w:i/>
          <w:color w:val="3D3D3D"/>
          <w:spacing w:val="-16"/>
          <w:sz w:val="20"/>
        </w:rPr>
        <w:t> </w:t>
      </w:r>
      <w:r>
        <w:rPr>
          <w:i/>
          <w:color w:val="3D3D3D"/>
          <w:sz w:val="20"/>
        </w:rPr>
        <w:t>I/censure</w:t>
      </w:r>
      <w:r>
        <w:rPr>
          <w:i/>
          <w:color w:val="3D3D3D"/>
          <w:spacing w:val="-8"/>
          <w:sz w:val="20"/>
        </w:rPr>
        <w:t> </w:t>
      </w:r>
      <w:r>
        <w:rPr>
          <w:i/>
          <w:color w:val="3D3D3D"/>
          <w:sz w:val="20"/>
        </w:rPr>
        <w:t>to</w:t>
      </w:r>
      <w:r>
        <w:rPr>
          <w:i/>
          <w:color w:val="3D3D3D"/>
          <w:spacing w:val="-14"/>
          <w:sz w:val="20"/>
        </w:rPr>
        <w:t> </w:t>
      </w:r>
      <w:r>
        <w:rPr>
          <w:i/>
          <w:color w:val="3D3D3D"/>
          <w:sz w:val="20"/>
        </w:rPr>
        <w:t>have</w:t>
      </w:r>
      <w:r>
        <w:rPr>
          <w:i/>
          <w:color w:val="3D3D3D"/>
          <w:spacing w:val="-14"/>
          <w:sz w:val="20"/>
        </w:rPr>
        <w:t> </w:t>
      </w:r>
      <w:r>
        <w:rPr>
          <w:i/>
          <w:color w:val="3D3D3D"/>
          <w:sz w:val="20"/>
        </w:rPr>
        <w:t>graduated from</w:t>
      </w:r>
      <w:r>
        <w:rPr>
          <w:i/>
          <w:color w:val="3D3D3D"/>
          <w:spacing w:val="-7"/>
          <w:sz w:val="20"/>
        </w:rPr>
        <w:t> </w:t>
      </w:r>
      <w:r>
        <w:rPr>
          <w:i/>
          <w:color w:val="3D3D3D"/>
          <w:sz w:val="20"/>
        </w:rPr>
        <w:t>a</w:t>
      </w:r>
      <w:r>
        <w:rPr>
          <w:i/>
          <w:color w:val="3D3D3D"/>
          <w:spacing w:val="-18"/>
          <w:sz w:val="20"/>
        </w:rPr>
        <w:t> </w:t>
      </w:r>
      <w:r>
        <w:rPr>
          <w:i/>
          <w:color w:val="3D3D3D"/>
          <w:sz w:val="20"/>
        </w:rPr>
        <w:t>NAAB--accredfted</w:t>
      </w:r>
      <w:r>
        <w:rPr>
          <w:i/>
          <w:color w:val="3D3D3D"/>
          <w:spacing w:val="-7"/>
          <w:sz w:val="20"/>
        </w:rPr>
        <w:t> </w:t>
      </w:r>
      <w:r>
        <w:rPr>
          <w:i/>
          <w:color w:val="282828"/>
          <w:sz w:val="20"/>
        </w:rPr>
        <w:t>program</w:t>
      </w:r>
      <w:r>
        <w:rPr>
          <w:i/>
          <w:color w:val="797979"/>
          <w:sz w:val="20"/>
        </w:rPr>
        <w:t>, </w:t>
      </w:r>
      <w:r>
        <w:rPr>
          <w:i/>
          <w:color w:val="3D3D3D"/>
          <w:sz w:val="20"/>
        </w:rPr>
        <w:t>obtaining such</w:t>
      </w:r>
      <w:r>
        <w:rPr>
          <w:i/>
          <w:color w:val="3D3D3D"/>
          <w:spacing w:val="-5"/>
          <w:sz w:val="20"/>
        </w:rPr>
        <w:t> </w:t>
      </w:r>
      <w:r>
        <w:rPr>
          <w:color w:val="3D3D3D"/>
          <w:sz w:val="21"/>
        </w:rPr>
        <w:t>a</w:t>
      </w:r>
      <w:r>
        <w:rPr>
          <w:color w:val="3D3D3D"/>
          <w:spacing w:val="-8"/>
          <w:sz w:val="21"/>
        </w:rPr>
        <w:t> </w:t>
      </w:r>
      <w:r>
        <w:rPr>
          <w:i/>
          <w:color w:val="282828"/>
          <w:sz w:val="20"/>
        </w:rPr>
        <w:t>degree </w:t>
      </w:r>
      <w:r>
        <w:rPr>
          <w:color w:val="525252"/>
          <w:sz w:val="21"/>
        </w:rPr>
        <w:t>is</w:t>
      </w:r>
      <w:r>
        <w:rPr>
          <w:color w:val="525252"/>
          <w:spacing w:val="-5"/>
          <w:sz w:val="21"/>
        </w:rPr>
        <w:t> </w:t>
      </w:r>
      <w:r>
        <w:rPr>
          <w:i/>
          <w:color w:val="3D3D3D"/>
          <w:sz w:val="20"/>
        </w:rPr>
        <w:t>an essential </w:t>
      </w:r>
      <w:r>
        <w:rPr>
          <w:i/>
          <w:color w:val="282828"/>
          <w:sz w:val="20"/>
        </w:rPr>
        <w:t>aspect</w:t>
      </w:r>
      <w:r>
        <w:rPr>
          <w:i/>
          <w:color w:val="282828"/>
          <w:spacing w:val="-1"/>
          <w:sz w:val="20"/>
        </w:rPr>
        <w:t> </w:t>
      </w:r>
      <w:r>
        <w:rPr>
          <w:i/>
          <w:color w:val="3D3D3D"/>
          <w:sz w:val="20"/>
        </w:rPr>
        <w:t>of preparing for the</w:t>
      </w:r>
      <w:r>
        <w:rPr>
          <w:i/>
          <w:color w:val="3D3D3D"/>
          <w:spacing w:val="-1"/>
          <w:sz w:val="20"/>
        </w:rPr>
        <w:t> </w:t>
      </w:r>
      <w:r>
        <w:rPr>
          <w:i/>
          <w:color w:val="282828"/>
          <w:sz w:val="20"/>
        </w:rPr>
        <w:t>profess</w:t>
      </w:r>
      <w:r>
        <w:rPr>
          <w:i/>
          <w:color w:val="525252"/>
          <w:sz w:val="20"/>
        </w:rPr>
        <w:t>io</w:t>
      </w:r>
      <w:r>
        <w:rPr>
          <w:i/>
          <w:color w:val="282828"/>
          <w:sz w:val="20"/>
        </w:rPr>
        <w:t>nal </w:t>
      </w:r>
      <w:r>
        <w:rPr>
          <w:i/>
          <w:color w:val="3D3D3D"/>
          <w:sz w:val="20"/>
        </w:rPr>
        <w:t>practice </w:t>
      </w:r>
      <w:r>
        <w:rPr>
          <w:color w:val="3D3D3D"/>
          <w:sz w:val="21"/>
        </w:rPr>
        <w:t>of</w:t>
      </w:r>
      <w:r>
        <w:rPr>
          <w:color w:val="3D3D3D"/>
          <w:spacing w:val="-19"/>
          <w:sz w:val="21"/>
        </w:rPr>
        <w:t> </w:t>
      </w:r>
      <w:r>
        <w:rPr>
          <w:i/>
          <w:color w:val="3D3D3D"/>
          <w:sz w:val="20"/>
        </w:rPr>
        <w:t>architecture</w:t>
      </w:r>
      <w:r>
        <w:rPr>
          <w:i/>
          <w:color w:val="797979"/>
          <w:sz w:val="20"/>
        </w:rPr>
        <w:t>.</w:t>
      </w:r>
    </w:p>
    <w:p>
      <w:pPr>
        <w:spacing w:after="0" w:line="235" w:lineRule="auto"/>
        <w:jc w:val="left"/>
        <w:rPr>
          <w:sz w:val="20"/>
        </w:rPr>
        <w:sectPr>
          <w:headerReference w:type="default" r:id="rId456"/>
          <w:footerReference w:type="default" r:id="rId457"/>
          <w:pgSz w:w="12180" w:h="15740"/>
          <w:pgMar w:header="0" w:footer="0" w:top="1800" w:bottom="280" w:left="240" w:right="1440"/>
        </w:sectPr>
      </w:pPr>
    </w:p>
    <w:p>
      <w:pPr>
        <w:spacing w:before="80"/>
        <w:ind w:left="4750" w:right="3702" w:firstLine="0"/>
        <w:jc w:val="center"/>
        <w:rPr>
          <w:b/>
          <w:sz w:val="23"/>
        </w:rPr>
      </w:pPr>
      <w:r>
        <w:rPr>
          <w:b/>
          <w:color w:val="383838"/>
          <w:w w:val="105"/>
          <w:sz w:val="23"/>
        </w:rPr>
        <w:t>Table</w:t>
      </w:r>
      <w:r>
        <w:rPr>
          <w:b/>
          <w:color w:val="383838"/>
          <w:spacing w:val="-9"/>
          <w:w w:val="105"/>
          <w:sz w:val="23"/>
        </w:rPr>
        <w:t> </w:t>
      </w:r>
      <w:r>
        <w:rPr>
          <w:b/>
          <w:color w:val="383838"/>
          <w:w w:val="105"/>
          <w:sz w:val="23"/>
        </w:rPr>
        <w:t>of</w:t>
      </w:r>
      <w:r>
        <w:rPr>
          <w:b/>
          <w:color w:val="383838"/>
          <w:spacing w:val="-7"/>
          <w:w w:val="105"/>
          <w:sz w:val="23"/>
        </w:rPr>
        <w:t> </w:t>
      </w:r>
      <w:r>
        <w:rPr>
          <w:b/>
          <w:color w:val="383838"/>
          <w:spacing w:val="-2"/>
          <w:w w:val="105"/>
          <w:sz w:val="23"/>
        </w:rPr>
        <w:t>Contents</w:t>
      </w:r>
    </w:p>
    <w:p>
      <w:pPr>
        <w:pStyle w:val="BodyText"/>
        <w:spacing w:before="5"/>
        <w:rPr>
          <w:b/>
          <w:sz w:val="13"/>
        </w:rPr>
      </w:pPr>
    </w:p>
    <w:p>
      <w:pPr>
        <w:spacing w:before="94"/>
        <w:ind w:left="1123" w:right="0" w:firstLine="0"/>
        <w:jc w:val="left"/>
        <w:rPr>
          <w:b/>
          <w:sz w:val="19"/>
        </w:rPr>
      </w:pPr>
      <w:r>
        <w:rPr>
          <w:b/>
          <w:color w:val="383838"/>
          <w:spacing w:val="-2"/>
          <w:w w:val="105"/>
          <w:sz w:val="19"/>
          <w:u w:val="thick" w:color="383838"/>
        </w:rPr>
        <w:t>Section</w:t>
      </w:r>
    </w:p>
    <w:p>
      <w:pPr>
        <w:pStyle w:val="BodyText"/>
        <w:spacing w:before="4"/>
        <w:rPr>
          <w:b/>
        </w:rPr>
      </w:pPr>
    </w:p>
    <w:p>
      <w:pPr>
        <w:pStyle w:val="ListParagraph"/>
        <w:numPr>
          <w:ilvl w:val="0"/>
          <w:numId w:val="83"/>
        </w:numPr>
        <w:tabs>
          <w:tab w:pos="1654" w:val="left" w:leader="none"/>
          <w:tab w:pos="1655" w:val="left" w:leader="none"/>
        </w:tabs>
        <w:spacing w:line="240" w:lineRule="auto" w:before="0" w:after="0"/>
        <w:ind w:left="1654" w:right="0" w:hanging="544"/>
        <w:jc w:val="left"/>
        <w:rPr>
          <w:color w:val="383838"/>
          <w:sz w:val="20"/>
        </w:rPr>
      </w:pPr>
      <w:r>
        <w:rPr>
          <w:color w:val="383838"/>
          <w:sz w:val="20"/>
        </w:rPr>
        <w:t>Summary of</w:t>
      </w:r>
      <w:r>
        <w:rPr>
          <w:color w:val="383838"/>
          <w:spacing w:val="-16"/>
          <w:sz w:val="20"/>
        </w:rPr>
        <w:t> </w:t>
      </w:r>
      <w:r>
        <w:rPr>
          <w:color w:val="383838"/>
          <w:sz w:val="20"/>
        </w:rPr>
        <w:t>Team</w:t>
      </w:r>
      <w:r>
        <w:rPr>
          <w:color w:val="383838"/>
          <w:spacing w:val="-2"/>
          <w:sz w:val="20"/>
        </w:rPr>
        <w:t> Findings</w:t>
      </w:r>
    </w:p>
    <w:p>
      <w:pPr>
        <w:pStyle w:val="ListParagraph"/>
        <w:numPr>
          <w:ilvl w:val="1"/>
          <w:numId w:val="83"/>
        </w:numPr>
        <w:tabs>
          <w:tab w:pos="2546" w:val="left" w:leader="none"/>
          <w:tab w:pos="2547" w:val="left" w:leader="none"/>
          <w:tab w:pos="10038" w:val="right" w:leader="none"/>
        </w:tabs>
        <w:spacing w:line="240" w:lineRule="auto" w:before="221" w:after="0"/>
        <w:ind w:left="2546" w:right="0" w:hanging="901"/>
        <w:jc w:val="left"/>
        <w:rPr>
          <w:sz w:val="20"/>
        </w:rPr>
      </w:pPr>
      <w:r>
        <w:rPr>
          <w:color w:val="383838"/>
          <w:sz w:val="20"/>
        </w:rPr>
        <w:t>Rev</w:t>
      </w:r>
      <w:r>
        <w:rPr>
          <w:color w:val="6B6B6B"/>
          <w:sz w:val="20"/>
        </w:rPr>
        <w:t>i</w:t>
      </w:r>
      <w:r>
        <w:rPr>
          <w:color w:val="383838"/>
          <w:sz w:val="20"/>
        </w:rPr>
        <w:t>ew</w:t>
      </w:r>
      <w:r>
        <w:rPr>
          <w:color w:val="383838"/>
          <w:spacing w:val="-5"/>
          <w:sz w:val="20"/>
        </w:rPr>
        <w:t> </w:t>
      </w:r>
      <w:r>
        <w:rPr>
          <w:color w:val="383838"/>
          <w:sz w:val="20"/>
        </w:rPr>
        <w:t>Team</w:t>
      </w:r>
      <w:r>
        <w:rPr>
          <w:color w:val="383838"/>
          <w:spacing w:val="-16"/>
          <w:sz w:val="20"/>
        </w:rPr>
        <w:t> </w:t>
      </w:r>
      <w:r>
        <w:rPr>
          <w:color w:val="383838"/>
          <w:spacing w:val="-2"/>
          <w:sz w:val="20"/>
        </w:rPr>
        <w:t>Comments</w:t>
      </w:r>
      <w:r>
        <w:rPr>
          <w:color w:val="383838"/>
          <w:sz w:val="20"/>
        </w:rPr>
        <w:tab/>
      </w:r>
      <w:r>
        <w:rPr>
          <w:color w:val="383838"/>
          <w:spacing w:val="-12"/>
          <w:w w:val="95"/>
          <w:position w:val="1"/>
          <w:sz w:val="20"/>
        </w:rPr>
        <w:t>3</w:t>
      </w:r>
    </w:p>
    <w:p>
      <w:pPr>
        <w:pStyle w:val="BodyText"/>
        <w:tabs>
          <w:tab w:pos="1648" w:val="left" w:leader="none"/>
        </w:tabs>
        <w:spacing w:before="458"/>
        <w:ind w:left="1101"/>
      </w:pPr>
      <w:r>
        <w:rPr>
          <w:color w:val="383838"/>
          <w:spacing w:val="-5"/>
        </w:rPr>
        <w:t>IL</w:t>
      </w:r>
      <w:r>
        <w:rPr>
          <w:color w:val="383838"/>
        </w:rPr>
        <w:tab/>
        <w:t>Compliance</w:t>
      </w:r>
      <w:r>
        <w:rPr>
          <w:color w:val="383838"/>
          <w:spacing w:val="-8"/>
        </w:rPr>
        <w:t> </w:t>
      </w:r>
      <w:r>
        <w:rPr>
          <w:color w:val="383838"/>
        </w:rPr>
        <w:t>with</w:t>
      </w:r>
      <w:r>
        <w:rPr>
          <w:color w:val="383838"/>
          <w:spacing w:val="-14"/>
        </w:rPr>
        <w:t> </w:t>
      </w:r>
      <w:r>
        <w:rPr>
          <w:color w:val="494949"/>
        </w:rPr>
        <w:t>the</w:t>
      </w:r>
      <w:r>
        <w:rPr>
          <w:color w:val="494949"/>
          <w:spacing w:val="-13"/>
        </w:rPr>
        <w:t> </w:t>
      </w:r>
      <w:r>
        <w:rPr>
          <w:color w:val="383838"/>
        </w:rPr>
        <w:t>Conditions</w:t>
      </w:r>
      <w:r>
        <w:rPr>
          <w:color w:val="383838"/>
          <w:spacing w:val="3"/>
        </w:rPr>
        <w:t> </w:t>
      </w:r>
      <w:r>
        <w:rPr>
          <w:color w:val="383838"/>
        </w:rPr>
        <w:t>for</w:t>
      </w:r>
      <w:r>
        <w:rPr>
          <w:color w:val="383838"/>
          <w:spacing w:val="-11"/>
        </w:rPr>
        <w:t> </w:t>
      </w:r>
      <w:r>
        <w:rPr>
          <w:color w:val="383838"/>
          <w:spacing w:val="-2"/>
        </w:rPr>
        <w:t>Accred</w:t>
      </w:r>
      <w:r>
        <w:rPr>
          <w:color w:val="6B6B6B"/>
          <w:spacing w:val="-2"/>
        </w:rPr>
        <w:t>i</w:t>
      </w:r>
      <w:r>
        <w:rPr>
          <w:color w:val="383838"/>
          <w:spacing w:val="-2"/>
        </w:rPr>
        <w:t>tation</w:t>
      </w:r>
    </w:p>
    <w:p>
      <w:pPr>
        <w:pStyle w:val="BodyText"/>
        <w:spacing w:line="482" w:lineRule="auto" w:before="231"/>
        <w:ind w:left="1638" w:right="2221" w:firstLine="3"/>
      </w:pPr>
      <w:r>
        <w:rPr>
          <w:color w:val="383838"/>
        </w:rPr>
        <w:t>Responses</w:t>
      </w:r>
      <w:r>
        <w:rPr>
          <w:color w:val="383838"/>
          <w:spacing w:val="-5"/>
        </w:rPr>
        <w:t> </w:t>
      </w:r>
      <w:r>
        <w:rPr>
          <w:color w:val="494949"/>
        </w:rPr>
        <w:t>to</w:t>
      </w:r>
      <w:r>
        <w:rPr>
          <w:color w:val="494949"/>
          <w:spacing w:val="-15"/>
        </w:rPr>
        <w:t> </w:t>
      </w:r>
      <w:r>
        <w:rPr>
          <w:color w:val="383838"/>
        </w:rPr>
        <w:t>Focused</w:t>
      </w:r>
      <w:r>
        <w:rPr>
          <w:color w:val="383838"/>
          <w:spacing w:val="-4"/>
        </w:rPr>
        <w:t> </w:t>
      </w:r>
      <w:r>
        <w:rPr>
          <w:color w:val="383838"/>
        </w:rPr>
        <w:t>Criteria</w:t>
      </w:r>
      <w:r>
        <w:rPr>
          <w:color w:val="383838"/>
          <w:spacing w:val="-13"/>
        </w:rPr>
        <w:t> </w:t>
      </w:r>
      <w:r>
        <w:rPr>
          <w:color w:val="383838"/>
        </w:rPr>
        <w:t>Identified from</w:t>
      </w:r>
      <w:r>
        <w:rPr>
          <w:color w:val="383838"/>
          <w:spacing w:val="-14"/>
        </w:rPr>
        <w:t> </w:t>
      </w:r>
      <w:r>
        <w:rPr>
          <w:color w:val="383838"/>
        </w:rPr>
        <w:t>Previous</w:t>
      </w:r>
      <w:r>
        <w:rPr>
          <w:color w:val="383838"/>
          <w:spacing w:val="-1"/>
        </w:rPr>
        <w:t> </w:t>
      </w:r>
      <w:r>
        <w:rPr>
          <w:color w:val="383838"/>
        </w:rPr>
        <w:t>Site</w:t>
      </w:r>
      <w:r>
        <w:rPr>
          <w:color w:val="383838"/>
          <w:spacing w:val="-5"/>
        </w:rPr>
        <w:t> </w:t>
      </w:r>
      <w:r>
        <w:rPr>
          <w:color w:val="383838"/>
        </w:rPr>
        <w:t>Visit </w:t>
      </w:r>
      <w:r>
        <w:rPr>
          <w:color w:val="383838"/>
          <w:spacing w:val="-2"/>
        </w:rPr>
        <w:t>Conditions</w:t>
      </w:r>
      <w:r>
        <w:rPr>
          <w:color w:val="9E9E9E"/>
          <w:spacing w:val="-2"/>
        </w:rPr>
        <w:t>:</w:t>
      </w:r>
    </w:p>
    <w:p>
      <w:pPr>
        <w:pStyle w:val="BodyText"/>
        <w:tabs>
          <w:tab w:pos="3060" w:val="left" w:leader="none"/>
          <w:tab w:pos="10020" w:val="right" w:leader="none"/>
        </w:tabs>
        <w:spacing w:before="3"/>
        <w:ind w:left="2578"/>
      </w:pPr>
      <w:r>
        <w:rPr>
          <w:color w:val="383838"/>
          <w:spacing w:val="-10"/>
        </w:rPr>
        <w:t>6</w:t>
      </w:r>
      <w:r>
        <w:rPr>
          <w:color w:val="383838"/>
        </w:rPr>
        <w:tab/>
        <w:t>Human</w:t>
      </w:r>
      <w:r>
        <w:rPr>
          <w:color w:val="383838"/>
          <w:spacing w:val="-3"/>
        </w:rPr>
        <w:t> </w:t>
      </w:r>
      <w:r>
        <w:rPr>
          <w:color w:val="383838"/>
          <w:spacing w:val="-2"/>
        </w:rPr>
        <w:t>Resources</w:t>
      </w:r>
      <w:r>
        <w:rPr>
          <w:color w:val="383838"/>
        </w:rPr>
        <w:tab/>
      </w:r>
      <w:r>
        <w:rPr>
          <w:color w:val="383838"/>
          <w:spacing w:val="-10"/>
        </w:rPr>
        <w:t>4</w:t>
      </w:r>
    </w:p>
    <w:p>
      <w:pPr>
        <w:pStyle w:val="BodyText"/>
        <w:tabs>
          <w:tab w:pos="3061" w:val="left" w:leader="none"/>
          <w:tab w:pos="10020" w:val="right" w:leader="none"/>
        </w:tabs>
        <w:spacing w:before="1"/>
        <w:ind w:left="2578"/>
      </w:pPr>
      <w:r>
        <w:rPr>
          <w:color w:val="383838"/>
          <w:spacing w:val="-10"/>
        </w:rPr>
        <w:t>8</w:t>
      </w:r>
      <w:r>
        <w:rPr>
          <w:color w:val="383838"/>
        </w:rPr>
        <w:tab/>
      </w:r>
      <w:r>
        <w:rPr>
          <w:color w:val="383838"/>
          <w:spacing w:val="-2"/>
        </w:rPr>
        <w:t>Physical</w:t>
      </w:r>
      <w:r>
        <w:rPr>
          <w:color w:val="383838"/>
          <w:spacing w:val="1"/>
        </w:rPr>
        <w:t> </w:t>
      </w:r>
      <w:r>
        <w:rPr>
          <w:color w:val="383838"/>
          <w:spacing w:val="-2"/>
        </w:rPr>
        <w:t>Resources</w:t>
      </w:r>
      <w:r>
        <w:rPr>
          <w:color w:val="383838"/>
        </w:rPr>
        <w:tab/>
      </w:r>
      <w:r>
        <w:rPr>
          <w:color w:val="383838"/>
          <w:spacing w:val="-10"/>
        </w:rPr>
        <w:t>4</w:t>
      </w:r>
    </w:p>
    <w:p>
      <w:pPr>
        <w:pStyle w:val="ListParagraph"/>
        <w:numPr>
          <w:ilvl w:val="0"/>
          <w:numId w:val="84"/>
        </w:numPr>
        <w:tabs>
          <w:tab w:pos="1625" w:val="left" w:leader="none"/>
          <w:tab w:pos="1626" w:val="left" w:leader="none"/>
        </w:tabs>
        <w:spacing w:line="240" w:lineRule="auto" w:before="462" w:after="0"/>
        <w:ind w:left="1625" w:right="0" w:hanging="552"/>
        <w:jc w:val="left"/>
        <w:rPr>
          <w:sz w:val="20"/>
        </w:rPr>
      </w:pPr>
      <w:r>
        <w:rPr>
          <w:color w:val="383838"/>
          <w:spacing w:val="-2"/>
          <w:sz w:val="20"/>
        </w:rPr>
        <w:t>Appendices</w:t>
      </w:r>
      <w:r>
        <w:rPr>
          <w:color w:val="6B6B6B"/>
          <w:spacing w:val="-2"/>
          <w:sz w:val="20"/>
        </w:rPr>
        <w:t>:</w:t>
      </w:r>
    </w:p>
    <w:p>
      <w:pPr>
        <w:pStyle w:val="ListParagraph"/>
        <w:numPr>
          <w:ilvl w:val="1"/>
          <w:numId w:val="84"/>
        </w:numPr>
        <w:tabs>
          <w:tab w:pos="2519" w:val="left" w:leader="none"/>
          <w:tab w:pos="2520" w:val="left" w:leader="none"/>
          <w:tab w:pos="9897" w:val="left" w:leader="none"/>
        </w:tabs>
        <w:spacing w:line="240" w:lineRule="auto" w:before="222" w:after="0"/>
        <w:ind w:left="2519" w:right="0" w:hanging="722"/>
        <w:jc w:val="left"/>
        <w:rPr>
          <w:sz w:val="22"/>
        </w:rPr>
      </w:pPr>
      <w:r>
        <w:rPr>
          <w:color w:val="383838"/>
          <w:position w:val="1"/>
          <w:sz w:val="20"/>
        </w:rPr>
        <w:t>The</w:t>
      </w:r>
      <w:r>
        <w:rPr>
          <w:color w:val="383838"/>
          <w:spacing w:val="-14"/>
          <w:position w:val="1"/>
          <w:sz w:val="20"/>
        </w:rPr>
        <w:t> </w:t>
      </w:r>
      <w:r>
        <w:rPr>
          <w:color w:val="383838"/>
          <w:position w:val="1"/>
          <w:sz w:val="20"/>
        </w:rPr>
        <w:t>Review</w:t>
      </w:r>
      <w:r>
        <w:rPr>
          <w:color w:val="383838"/>
          <w:spacing w:val="-11"/>
          <w:position w:val="1"/>
          <w:sz w:val="20"/>
        </w:rPr>
        <w:t> </w:t>
      </w:r>
      <w:r>
        <w:rPr>
          <w:color w:val="383838"/>
          <w:spacing w:val="-4"/>
          <w:position w:val="1"/>
          <w:sz w:val="20"/>
        </w:rPr>
        <w:t>Team</w:t>
      </w:r>
      <w:r>
        <w:rPr>
          <w:color w:val="383838"/>
          <w:position w:val="1"/>
          <w:sz w:val="20"/>
        </w:rPr>
        <w:tab/>
      </w:r>
      <w:r>
        <w:rPr>
          <w:color w:val="383838"/>
          <w:spacing w:val="-10"/>
          <w:sz w:val="22"/>
        </w:rPr>
        <w:t>5</w:t>
      </w:r>
    </w:p>
    <w:p>
      <w:pPr>
        <w:pStyle w:val="BodyText"/>
        <w:tabs>
          <w:tab w:pos="1613" w:val="left" w:leader="none"/>
          <w:tab w:pos="9879" w:val="left" w:leader="none"/>
        </w:tabs>
        <w:spacing w:before="669"/>
        <w:ind w:left="1068"/>
      </w:pPr>
      <w:r>
        <w:rPr>
          <w:color w:val="383838"/>
          <w:spacing w:val="-5"/>
          <w:position w:val="2"/>
        </w:rPr>
        <w:t>IV</w:t>
      </w:r>
      <w:r>
        <w:rPr>
          <w:color w:val="6B6B6B"/>
          <w:spacing w:val="-5"/>
          <w:position w:val="2"/>
        </w:rPr>
        <w:t>.</w:t>
      </w:r>
      <w:r>
        <w:rPr>
          <w:color w:val="6B6B6B"/>
          <w:position w:val="2"/>
        </w:rPr>
        <w:tab/>
      </w:r>
      <w:r>
        <w:rPr>
          <w:color w:val="383838"/>
          <w:position w:val="2"/>
        </w:rPr>
        <w:t>Report</w:t>
      </w:r>
      <w:r>
        <w:rPr>
          <w:color w:val="383838"/>
          <w:spacing w:val="-7"/>
          <w:position w:val="2"/>
        </w:rPr>
        <w:t> </w:t>
      </w:r>
      <w:r>
        <w:rPr>
          <w:color w:val="383838"/>
          <w:spacing w:val="-2"/>
          <w:position w:val="2"/>
        </w:rPr>
        <w:t>Signatures</w:t>
      </w:r>
      <w:r>
        <w:rPr>
          <w:color w:val="383838"/>
          <w:position w:val="2"/>
        </w:rPr>
        <w:tab/>
      </w:r>
      <w:r>
        <w:rPr>
          <w:color w:val="383838"/>
          <w:spacing w:val="-10"/>
        </w:rPr>
        <w:t>6</w:t>
      </w:r>
    </w:p>
    <w:p>
      <w:pPr>
        <w:spacing w:after="0"/>
        <w:sectPr>
          <w:headerReference w:type="default" r:id="rId458"/>
          <w:footerReference w:type="default" r:id="rId459"/>
          <w:pgSz w:w="12180" w:h="15740"/>
          <w:pgMar w:header="0" w:footer="0" w:top="1540" w:bottom="280" w:left="240" w:right="1440"/>
        </w:sectPr>
      </w:pPr>
    </w:p>
    <w:p>
      <w:pPr>
        <w:pStyle w:val="ListParagraph"/>
        <w:numPr>
          <w:ilvl w:val="0"/>
          <w:numId w:val="85"/>
        </w:numPr>
        <w:tabs>
          <w:tab w:pos="1814" w:val="left" w:leader="none"/>
          <w:tab w:pos="1815" w:val="left" w:leader="none"/>
        </w:tabs>
        <w:spacing w:line="240" w:lineRule="auto" w:before="67" w:after="0"/>
        <w:ind w:left="1814" w:right="0" w:hanging="716"/>
        <w:jc w:val="left"/>
        <w:rPr>
          <w:b/>
          <w:sz w:val="22"/>
        </w:rPr>
      </w:pPr>
      <w:r>
        <w:rPr>
          <w:b/>
          <w:color w:val="3A3A3A"/>
          <w:w w:val="90"/>
          <w:sz w:val="22"/>
        </w:rPr>
        <w:t>Summary</w:t>
      </w:r>
      <w:r>
        <w:rPr>
          <w:b/>
          <w:color w:val="3A3A3A"/>
          <w:spacing w:val="-1"/>
          <w:w w:val="90"/>
          <w:sz w:val="22"/>
        </w:rPr>
        <w:t> </w:t>
      </w:r>
      <w:r>
        <w:rPr>
          <w:b/>
          <w:color w:val="3A3A3A"/>
          <w:w w:val="90"/>
          <w:sz w:val="22"/>
        </w:rPr>
        <w:t>of</w:t>
      </w:r>
      <w:r>
        <w:rPr>
          <w:b/>
          <w:color w:val="3A3A3A"/>
          <w:spacing w:val="-10"/>
          <w:w w:val="90"/>
          <w:sz w:val="22"/>
        </w:rPr>
        <w:t> </w:t>
      </w:r>
      <w:r>
        <w:rPr>
          <w:b/>
          <w:color w:val="3A3A3A"/>
          <w:w w:val="90"/>
          <w:sz w:val="22"/>
        </w:rPr>
        <w:t>Team</w:t>
      </w:r>
      <w:r>
        <w:rPr>
          <w:b/>
          <w:color w:val="3A3A3A"/>
          <w:spacing w:val="-8"/>
          <w:w w:val="90"/>
          <w:sz w:val="22"/>
        </w:rPr>
        <w:t> </w:t>
      </w:r>
      <w:r>
        <w:rPr>
          <w:b/>
          <w:color w:val="3A3A3A"/>
          <w:spacing w:val="-2"/>
          <w:w w:val="90"/>
          <w:sz w:val="22"/>
        </w:rPr>
        <w:t>Findings</w:t>
      </w:r>
    </w:p>
    <w:p>
      <w:pPr>
        <w:pStyle w:val="BodyText"/>
        <w:spacing w:before="2"/>
        <w:rPr>
          <w:b/>
        </w:rPr>
      </w:pPr>
    </w:p>
    <w:p>
      <w:pPr>
        <w:pStyle w:val="ListParagraph"/>
        <w:numPr>
          <w:ilvl w:val="1"/>
          <w:numId w:val="85"/>
        </w:numPr>
        <w:tabs>
          <w:tab w:pos="1807" w:val="left" w:leader="none"/>
          <w:tab w:pos="1809" w:val="left" w:leader="none"/>
        </w:tabs>
        <w:spacing w:line="240" w:lineRule="auto" w:before="0" w:after="0"/>
        <w:ind w:left="1808" w:right="0" w:hanging="719"/>
        <w:jc w:val="left"/>
        <w:rPr>
          <w:b/>
          <w:sz w:val="20"/>
        </w:rPr>
      </w:pPr>
      <w:r>
        <w:rPr>
          <w:b/>
          <w:color w:val="3A3A3A"/>
          <w:w w:val="95"/>
          <w:sz w:val="20"/>
        </w:rPr>
        <w:t>Team</w:t>
      </w:r>
      <w:r>
        <w:rPr>
          <w:b/>
          <w:color w:val="3A3A3A"/>
          <w:spacing w:val="-1"/>
          <w:w w:val="95"/>
          <w:sz w:val="20"/>
        </w:rPr>
        <w:t> </w:t>
      </w:r>
      <w:r>
        <w:rPr>
          <w:b/>
          <w:color w:val="3A3A3A"/>
          <w:spacing w:val="-2"/>
          <w:sz w:val="20"/>
        </w:rPr>
        <w:t>Comments</w:t>
      </w:r>
    </w:p>
    <w:p>
      <w:pPr>
        <w:pStyle w:val="BodyText"/>
        <w:spacing w:before="2"/>
        <w:rPr>
          <w:b/>
          <w:sz w:val="19"/>
        </w:rPr>
      </w:pPr>
    </w:p>
    <w:p>
      <w:pPr>
        <w:spacing w:line="213" w:lineRule="auto" w:before="0"/>
        <w:ind w:left="1803" w:right="138" w:firstLine="3"/>
        <w:jc w:val="left"/>
        <w:rPr>
          <w:sz w:val="22"/>
        </w:rPr>
      </w:pPr>
      <w:r>
        <w:rPr>
          <w:color w:val="3A3A3A"/>
          <w:spacing w:val="-2"/>
          <w:w w:val="95"/>
          <w:sz w:val="22"/>
        </w:rPr>
        <w:t>The</w:t>
      </w:r>
      <w:r>
        <w:rPr>
          <w:color w:val="3A3A3A"/>
          <w:spacing w:val="-13"/>
          <w:w w:val="95"/>
          <w:sz w:val="22"/>
        </w:rPr>
        <w:t> </w:t>
      </w:r>
      <w:r>
        <w:rPr>
          <w:color w:val="3A3A3A"/>
          <w:spacing w:val="-2"/>
          <w:w w:val="95"/>
          <w:sz w:val="22"/>
        </w:rPr>
        <w:t>team</w:t>
      </w:r>
      <w:r>
        <w:rPr>
          <w:color w:val="3A3A3A"/>
          <w:spacing w:val="-11"/>
          <w:w w:val="95"/>
          <w:sz w:val="22"/>
        </w:rPr>
        <w:t> </w:t>
      </w:r>
      <w:r>
        <w:rPr>
          <w:color w:val="3A3A3A"/>
          <w:spacing w:val="-2"/>
          <w:w w:val="95"/>
          <w:sz w:val="22"/>
        </w:rPr>
        <w:t>rev</w:t>
      </w:r>
      <w:r>
        <w:rPr>
          <w:color w:val="646464"/>
          <w:spacing w:val="-2"/>
          <w:w w:val="95"/>
          <w:sz w:val="22"/>
        </w:rPr>
        <w:t>l</w:t>
      </w:r>
      <w:r>
        <w:rPr>
          <w:color w:val="3A3A3A"/>
          <w:spacing w:val="-2"/>
          <w:w w:val="95"/>
          <w:sz w:val="22"/>
        </w:rPr>
        <w:t>ewed</w:t>
      </w:r>
      <w:r>
        <w:rPr>
          <w:color w:val="3A3A3A"/>
          <w:spacing w:val="-10"/>
          <w:w w:val="95"/>
          <w:sz w:val="22"/>
        </w:rPr>
        <w:t> </w:t>
      </w:r>
      <w:r>
        <w:rPr>
          <w:color w:val="3A3A3A"/>
          <w:spacing w:val="-2"/>
          <w:w w:val="95"/>
          <w:sz w:val="22"/>
        </w:rPr>
        <w:t>the</w:t>
      </w:r>
      <w:r>
        <w:rPr>
          <w:color w:val="3A3A3A"/>
          <w:spacing w:val="-14"/>
          <w:w w:val="95"/>
          <w:sz w:val="22"/>
        </w:rPr>
        <w:t> </w:t>
      </w:r>
      <w:r>
        <w:rPr>
          <w:color w:val="3A3A3A"/>
          <w:spacing w:val="-2"/>
          <w:w w:val="95"/>
          <w:sz w:val="22"/>
        </w:rPr>
        <w:t>Visiting</w:t>
      </w:r>
      <w:r>
        <w:rPr>
          <w:color w:val="3A3A3A"/>
          <w:spacing w:val="-5"/>
          <w:w w:val="95"/>
          <w:sz w:val="22"/>
        </w:rPr>
        <w:t> </w:t>
      </w:r>
      <w:r>
        <w:rPr>
          <w:color w:val="525252"/>
          <w:spacing w:val="-2"/>
          <w:w w:val="95"/>
          <w:sz w:val="22"/>
        </w:rPr>
        <w:t>Team </w:t>
      </w:r>
      <w:r>
        <w:rPr>
          <w:color w:val="3A3A3A"/>
          <w:spacing w:val="-2"/>
          <w:w w:val="95"/>
          <w:sz w:val="22"/>
        </w:rPr>
        <w:t>Report</w:t>
      </w:r>
      <w:r>
        <w:rPr>
          <w:color w:val="3A3A3A"/>
          <w:spacing w:val="7"/>
          <w:sz w:val="22"/>
        </w:rPr>
        <w:t> </w:t>
      </w:r>
      <w:r>
        <w:rPr>
          <w:color w:val="3A3A3A"/>
          <w:spacing w:val="-2"/>
          <w:w w:val="95"/>
          <w:sz w:val="22"/>
        </w:rPr>
        <w:t>for</w:t>
      </w:r>
      <w:r>
        <w:rPr>
          <w:color w:val="3A3A3A"/>
          <w:spacing w:val="-8"/>
          <w:w w:val="95"/>
          <w:sz w:val="22"/>
        </w:rPr>
        <w:t> </w:t>
      </w:r>
      <w:r>
        <w:rPr>
          <w:color w:val="3A3A3A"/>
          <w:spacing w:val="-2"/>
          <w:w w:val="95"/>
          <w:sz w:val="22"/>
        </w:rPr>
        <w:t>the</w:t>
      </w:r>
      <w:r>
        <w:rPr>
          <w:color w:val="3A3A3A"/>
          <w:spacing w:val="-17"/>
          <w:w w:val="95"/>
          <w:sz w:val="22"/>
        </w:rPr>
        <w:t> </w:t>
      </w:r>
      <w:r>
        <w:rPr>
          <w:color w:val="3A3A3A"/>
          <w:spacing w:val="-2"/>
          <w:w w:val="95"/>
          <w:sz w:val="22"/>
        </w:rPr>
        <w:t>Hampton</w:t>
      </w:r>
      <w:r>
        <w:rPr>
          <w:color w:val="3A3A3A"/>
          <w:spacing w:val="-11"/>
          <w:w w:val="95"/>
          <w:sz w:val="22"/>
        </w:rPr>
        <w:t> </w:t>
      </w:r>
      <w:r>
        <w:rPr>
          <w:color w:val="3A3A3A"/>
          <w:spacing w:val="-2"/>
          <w:w w:val="95"/>
          <w:sz w:val="22"/>
        </w:rPr>
        <w:t>University-</w:t>
      </w:r>
      <w:r>
        <w:rPr>
          <w:color w:val="3A3A3A"/>
          <w:sz w:val="22"/>
        </w:rPr>
        <w:t> </w:t>
      </w:r>
      <w:r>
        <w:rPr>
          <w:color w:val="3A3A3A"/>
          <w:spacing w:val="-2"/>
          <w:w w:val="95"/>
          <w:sz w:val="22"/>
        </w:rPr>
        <w:t>Department of </w:t>
      </w:r>
      <w:r>
        <w:rPr>
          <w:color w:val="3A3A3A"/>
          <w:w w:val="90"/>
          <w:sz w:val="22"/>
        </w:rPr>
        <w:t>Architec</w:t>
      </w:r>
      <w:r>
        <w:rPr>
          <w:color w:val="3A3A3A"/>
          <w:sz w:val="22"/>
        </w:rPr>
        <w:t> </w:t>
      </w:r>
      <w:r>
        <w:rPr>
          <w:color w:val="3A3A3A"/>
          <w:w w:val="90"/>
          <w:sz w:val="22"/>
        </w:rPr>
        <w:t>ure</w:t>
      </w:r>
      <w:r>
        <w:rPr>
          <w:color w:val="7E7E7E"/>
          <w:w w:val="90"/>
          <w:position w:val="-3"/>
          <w:sz w:val="10"/>
        </w:rPr>
        <w:t>1</w:t>
      </w:r>
      <w:r>
        <w:rPr>
          <w:color w:val="7E7E7E"/>
          <w:spacing w:val="27"/>
          <w:position w:val="-3"/>
          <w:sz w:val="10"/>
        </w:rPr>
        <w:t> </w:t>
      </w:r>
      <w:r>
        <w:rPr>
          <w:color w:val="3A3A3A"/>
          <w:w w:val="90"/>
          <w:sz w:val="22"/>
        </w:rPr>
        <w:t>Master of Architec</w:t>
      </w:r>
      <w:r>
        <w:rPr>
          <w:color w:val="525252"/>
          <w:w w:val="90"/>
          <w:sz w:val="22"/>
        </w:rPr>
        <w:t>tu</w:t>
      </w:r>
      <w:r>
        <w:rPr>
          <w:color w:val="3A3A3A"/>
          <w:w w:val="90"/>
          <w:sz w:val="22"/>
        </w:rPr>
        <w:t>re</w:t>
      </w:r>
      <w:r>
        <w:rPr>
          <w:color w:val="646464"/>
          <w:w w:val="90"/>
          <w:sz w:val="22"/>
        </w:rPr>
        <w:t>,</w:t>
      </w:r>
      <w:r>
        <w:rPr>
          <w:color w:val="646464"/>
          <w:spacing w:val="-12"/>
          <w:w w:val="90"/>
          <w:sz w:val="22"/>
        </w:rPr>
        <w:t> </w:t>
      </w:r>
      <w:r>
        <w:rPr>
          <w:color w:val="3A3A3A"/>
          <w:w w:val="90"/>
          <w:sz w:val="22"/>
        </w:rPr>
        <w:t>dated 25</w:t>
      </w:r>
      <w:r>
        <w:rPr>
          <w:color w:val="3A3A3A"/>
          <w:spacing w:val="-1"/>
          <w:w w:val="90"/>
          <w:sz w:val="22"/>
        </w:rPr>
        <w:t> </w:t>
      </w:r>
      <w:r>
        <w:rPr>
          <w:color w:val="3A3A3A"/>
          <w:w w:val="90"/>
          <w:sz w:val="22"/>
        </w:rPr>
        <w:t>March 2009</w:t>
      </w:r>
      <w:r>
        <w:rPr>
          <w:color w:val="646464"/>
          <w:w w:val="90"/>
          <w:sz w:val="22"/>
        </w:rPr>
        <w:t>.</w:t>
      </w:r>
      <w:r>
        <w:rPr>
          <w:color w:val="646464"/>
          <w:spacing w:val="-16"/>
          <w:w w:val="90"/>
          <w:sz w:val="22"/>
        </w:rPr>
        <w:t> </w:t>
      </w:r>
      <w:r>
        <w:rPr>
          <w:color w:val="3A3A3A"/>
          <w:w w:val="90"/>
          <w:sz w:val="22"/>
        </w:rPr>
        <w:t>Special attention was given to the commentary</w:t>
      </w:r>
      <w:r>
        <w:rPr>
          <w:color w:val="3A3A3A"/>
          <w:spacing w:val="26"/>
          <w:sz w:val="22"/>
        </w:rPr>
        <w:t> </w:t>
      </w:r>
      <w:r>
        <w:rPr>
          <w:color w:val="3A3A3A"/>
          <w:w w:val="90"/>
          <w:sz w:val="22"/>
        </w:rPr>
        <w:t>regard</w:t>
      </w:r>
      <w:r>
        <w:rPr>
          <w:color w:val="646464"/>
          <w:w w:val="90"/>
          <w:sz w:val="22"/>
        </w:rPr>
        <w:t>i</w:t>
      </w:r>
      <w:r>
        <w:rPr>
          <w:color w:val="3A3A3A"/>
          <w:w w:val="90"/>
          <w:sz w:val="22"/>
        </w:rPr>
        <w:t>ng the</w:t>
      </w:r>
      <w:r>
        <w:rPr>
          <w:color w:val="3A3A3A"/>
          <w:spacing w:val="-8"/>
          <w:w w:val="90"/>
          <w:sz w:val="22"/>
        </w:rPr>
        <w:t> </w:t>
      </w:r>
      <w:r>
        <w:rPr>
          <w:color w:val="3A3A3A"/>
          <w:w w:val="90"/>
          <w:sz w:val="22"/>
        </w:rPr>
        <w:t>two</w:t>
      </w:r>
      <w:r>
        <w:rPr>
          <w:color w:val="3A3A3A"/>
          <w:spacing w:val="-5"/>
          <w:w w:val="90"/>
          <w:sz w:val="22"/>
        </w:rPr>
        <w:t> </w:t>
      </w:r>
      <w:r>
        <w:rPr>
          <w:color w:val="3A3A3A"/>
          <w:w w:val="90"/>
          <w:sz w:val="19"/>
        </w:rPr>
        <w:t>(2)</w:t>
      </w:r>
      <w:r>
        <w:rPr>
          <w:color w:val="3A3A3A"/>
          <w:spacing w:val="-2"/>
          <w:w w:val="90"/>
          <w:sz w:val="19"/>
        </w:rPr>
        <w:t> </w:t>
      </w:r>
      <w:r>
        <w:rPr>
          <w:color w:val="3A3A3A"/>
          <w:w w:val="90"/>
          <w:sz w:val="22"/>
        </w:rPr>
        <w:t>Conditions that</w:t>
      </w:r>
      <w:r>
        <w:rPr>
          <w:color w:val="3A3A3A"/>
          <w:spacing w:val="-3"/>
          <w:w w:val="90"/>
          <w:sz w:val="22"/>
        </w:rPr>
        <w:t> </w:t>
      </w:r>
      <w:r>
        <w:rPr>
          <w:color w:val="3A3A3A"/>
          <w:w w:val="90"/>
          <w:sz w:val="22"/>
        </w:rPr>
        <w:t>are the</w:t>
      </w:r>
      <w:r>
        <w:rPr>
          <w:color w:val="3A3A3A"/>
          <w:spacing w:val="-14"/>
          <w:w w:val="90"/>
          <w:sz w:val="22"/>
        </w:rPr>
        <w:t> </w:t>
      </w:r>
      <w:r>
        <w:rPr>
          <w:color w:val="3A3A3A"/>
          <w:w w:val="90"/>
          <w:sz w:val="22"/>
        </w:rPr>
        <w:t>subject of</w:t>
      </w:r>
      <w:r>
        <w:rPr>
          <w:color w:val="3A3A3A"/>
          <w:sz w:val="22"/>
        </w:rPr>
        <w:t> </w:t>
      </w:r>
      <w:r>
        <w:rPr>
          <w:color w:val="3A3A3A"/>
          <w:w w:val="90"/>
          <w:sz w:val="22"/>
        </w:rPr>
        <w:t>th</w:t>
      </w:r>
      <w:r>
        <w:rPr>
          <w:color w:val="646464"/>
          <w:w w:val="90"/>
          <w:sz w:val="22"/>
        </w:rPr>
        <w:t>i</w:t>
      </w:r>
      <w:r>
        <w:rPr>
          <w:color w:val="3A3A3A"/>
          <w:w w:val="90"/>
          <w:sz w:val="22"/>
        </w:rPr>
        <w:t>s</w:t>
      </w:r>
      <w:r>
        <w:rPr>
          <w:color w:val="3A3A3A"/>
          <w:spacing w:val="-19"/>
          <w:w w:val="90"/>
          <w:sz w:val="22"/>
        </w:rPr>
        <w:t> </w:t>
      </w:r>
      <w:r>
        <w:rPr>
          <w:color w:val="3A3A3A"/>
          <w:w w:val="90"/>
          <w:sz w:val="22"/>
        </w:rPr>
        <w:t>Focused Evaluation</w:t>
      </w:r>
      <w:r>
        <w:rPr>
          <w:color w:val="3A3A3A"/>
          <w:sz w:val="22"/>
        </w:rPr>
        <w:t> </w:t>
      </w:r>
      <w:r>
        <w:rPr>
          <w:color w:val="3A3A3A"/>
          <w:w w:val="90"/>
          <w:sz w:val="22"/>
        </w:rPr>
        <w:t>of</w:t>
      </w:r>
    </w:p>
    <w:p>
      <w:pPr>
        <w:spacing w:line="218" w:lineRule="auto" w:before="0"/>
        <w:ind w:left="1790" w:right="138" w:firstLine="18"/>
        <w:jc w:val="both"/>
        <w:rPr>
          <w:sz w:val="22"/>
        </w:rPr>
      </w:pPr>
      <w:r>
        <w:rPr>
          <w:color w:val="3A3A3A"/>
          <w:w w:val="90"/>
          <w:sz w:val="22"/>
        </w:rPr>
        <w:t>the</w:t>
      </w:r>
      <w:r>
        <w:rPr>
          <w:color w:val="3A3A3A"/>
          <w:spacing w:val="-6"/>
          <w:w w:val="90"/>
          <w:sz w:val="22"/>
        </w:rPr>
        <w:t> </w:t>
      </w:r>
      <w:r>
        <w:rPr>
          <w:color w:val="3A3A3A"/>
          <w:w w:val="90"/>
          <w:sz w:val="22"/>
        </w:rPr>
        <w:t>department in</w:t>
      </w:r>
      <w:r>
        <w:rPr>
          <w:color w:val="3A3A3A"/>
          <w:spacing w:val="-6"/>
          <w:w w:val="90"/>
          <w:sz w:val="22"/>
        </w:rPr>
        <w:t> </w:t>
      </w:r>
      <w:r>
        <w:rPr>
          <w:color w:val="3A3A3A"/>
          <w:w w:val="90"/>
          <w:sz w:val="22"/>
        </w:rPr>
        <w:t>Bemis Hall.</w:t>
      </w:r>
      <w:r>
        <w:rPr>
          <w:color w:val="3A3A3A"/>
          <w:spacing w:val="-4"/>
          <w:w w:val="90"/>
          <w:sz w:val="22"/>
        </w:rPr>
        <w:t> </w:t>
      </w:r>
      <w:r>
        <w:rPr>
          <w:color w:val="3A3A3A"/>
          <w:w w:val="90"/>
          <w:sz w:val="22"/>
        </w:rPr>
        <w:t>The</w:t>
      </w:r>
      <w:r>
        <w:rPr>
          <w:color w:val="3A3A3A"/>
          <w:spacing w:val="-4"/>
          <w:w w:val="90"/>
          <w:sz w:val="22"/>
        </w:rPr>
        <w:t> </w:t>
      </w:r>
      <w:r>
        <w:rPr>
          <w:color w:val="3A3A3A"/>
          <w:w w:val="90"/>
          <w:sz w:val="22"/>
        </w:rPr>
        <w:t>updated</w:t>
      </w:r>
      <w:r>
        <w:rPr>
          <w:color w:val="3A3A3A"/>
          <w:spacing w:val="-10"/>
          <w:w w:val="90"/>
          <w:sz w:val="22"/>
        </w:rPr>
        <w:t> </w:t>
      </w:r>
      <w:r>
        <w:rPr>
          <w:color w:val="3A3A3A"/>
          <w:w w:val="90"/>
          <w:sz w:val="22"/>
        </w:rPr>
        <w:t>information prov</w:t>
      </w:r>
      <w:r>
        <w:rPr>
          <w:color w:val="7E7E7E"/>
          <w:w w:val="90"/>
          <w:sz w:val="22"/>
        </w:rPr>
        <w:t>'</w:t>
      </w:r>
      <w:r>
        <w:rPr>
          <w:color w:val="3A3A3A"/>
          <w:w w:val="90"/>
          <w:sz w:val="22"/>
        </w:rPr>
        <w:t>ded</w:t>
      </w:r>
      <w:r>
        <w:rPr>
          <w:color w:val="3A3A3A"/>
          <w:spacing w:val="-10"/>
          <w:w w:val="90"/>
          <w:sz w:val="22"/>
        </w:rPr>
        <w:t> </w:t>
      </w:r>
      <w:r>
        <w:rPr>
          <w:color w:val="3A3A3A"/>
          <w:w w:val="90"/>
          <w:sz w:val="22"/>
        </w:rPr>
        <w:t>by</w:t>
      </w:r>
      <w:r>
        <w:rPr>
          <w:color w:val="3A3A3A"/>
          <w:sz w:val="22"/>
        </w:rPr>
        <w:t> </w:t>
      </w:r>
      <w:r>
        <w:rPr>
          <w:color w:val="3A3A3A"/>
          <w:w w:val="90"/>
          <w:sz w:val="22"/>
        </w:rPr>
        <w:t>Department</w:t>
      </w:r>
      <w:r>
        <w:rPr>
          <w:color w:val="3A3A3A"/>
          <w:sz w:val="22"/>
        </w:rPr>
        <w:t> </w:t>
      </w:r>
      <w:r>
        <w:rPr>
          <w:color w:val="3A3A3A"/>
          <w:w w:val="90"/>
          <w:sz w:val="22"/>
        </w:rPr>
        <w:t>of</w:t>
      </w:r>
      <w:r>
        <w:rPr>
          <w:color w:val="3A3A3A"/>
          <w:spacing w:val="-8"/>
          <w:w w:val="90"/>
          <w:sz w:val="22"/>
        </w:rPr>
        <w:t> </w:t>
      </w:r>
      <w:r>
        <w:rPr>
          <w:color w:val="3A3A3A"/>
          <w:w w:val="90"/>
          <w:sz w:val="22"/>
        </w:rPr>
        <w:t>Architecture in their</w:t>
      </w:r>
      <w:r>
        <w:rPr>
          <w:color w:val="3A3A3A"/>
          <w:spacing w:val="-10"/>
          <w:w w:val="90"/>
          <w:sz w:val="22"/>
        </w:rPr>
        <w:t> </w:t>
      </w:r>
      <w:r>
        <w:rPr>
          <w:color w:val="3A3A3A"/>
          <w:w w:val="90"/>
          <w:sz w:val="22"/>
        </w:rPr>
        <w:t>Program</w:t>
      </w:r>
      <w:r>
        <w:rPr>
          <w:color w:val="3A3A3A"/>
          <w:spacing w:val="-2"/>
          <w:w w:val="90"/>
          <w:sz w:val="22"/>
        </w:rPr>
        <w:t> </w:t>
      </w:r>
      <w:r>
        <w:rPr>
          <w:color w:val="3A3A3A"/>
          <w:w w:val="90"/>
          <w:sz w:val="22"/>
        </w:rPr>
        <w:t>Focused Evalua6on Report</w:t>
      </w:r>
      <w:r>
        <w:rPr>
          <w:color w:val="7E7E7E"/>
          <w:w w:val="90"/>
          <w:sz w:val="22"/>
        </w:rPr>
        <w:t>,</w:t>
      </w:r>
      <w:r>
        <w:rPr>
          <w:color w:val="7E7E7E"/>
          <w:spacing w:val="-10"/>
          <w:w w:val="90"/>
          <w:sz w:val="22"/>
        </w:rPr>
        <w:t> </w:t>
      </w:r>
      <w:r>
        <w:rPr>
          <w:color w:val="3A3A3A"/>
          <w:w w:val="90"/>
          <w:sz w:val="22"/>
        </w:rPr>
        <w:t>dated</w:t>
      </w:r>
      <w:r>
        <w:rPr>
          <w:color w:val="3A3A3A"/>
          <w:spacing w:val="-1"/>
          <w:w w:val="90"/>
          <w:sz w:val="22"/>
        </w:rPr>
        <w:t> </w:t>
      </w:r>
      <w:r>
        <w:rPr>
          <w:color w:val="3A3A3A"/>
          <w:w w:val="90"/>
          <w:sz w:val="22"/>
        </w:rPr>
        <w:t>29</w:t>
      </w:r>
      <w:r>
        <w:rPr>
          <w:color w:val="3A3A3A"/>
          <w:spacing w:val="-10"/>
          <w:w w:val="90"/>
          <w:sz w:val="22"/>
        </w:rPr>
        <w:t> </w:t>
      </w:r>
      <w:r>
        <w:rPr>
          <w:color w:val="3A3A3A"/>
          <w:w w:val="90"/>
          <w:sz w:val="22"/>
        </w:rPr>
        <w:t>May 2012, responded</w:t>
      </w:r>
      <w:r>
        <w:rPr>
          <w:color w:val="3A3A3A"/>
          <w:sz w:val="22"/>
        </w:rPr>
        <w:t> </w:t>
      </w:r>
      <w:r>
        <w:rPr>
          <w:color w:val="3A3A3A"/>
          <w:w w:val="90"/>
          <w:sz w:val="22"/>
        </w:rPr>
        <w:t>to the</w:t>
      </w:r>
      <w:r>
        <w:rPr>
          <w:color w:val="3A3A3A"/>
          <w:spacing w:val="-2"/>
          <w:w w:val="90"/>
          <w:sz w:val="22"/>
        </w:rPr>
        <w:t> </w:t>
      </w:r>
      <w:r>
        <w:rPr>
          <w:color w:val="3A3A3A"/>
          <w:w w:val="90"/>
          <w:sz w:val="22"/>
        </w:rPr>
        <w:t>concerns raised </w:t>
      </w:r>
      <w:r>
        <w:rPr>
          <w:color w:val="3A3A3A"/>
          <w:w w:val="95"/>
          <w:sz w:val="22"/>
        </w:rPr>
        <w:t>about</w:t>
      </w:r>
      <w:r>
        <w:rPr>
          <w:color w:val="3A3A3A"/>
          <w:spacing w:val="-13"/>
          <w:w w:val="95"/>
          <w:sz w:val="22"/>
        </w:rPr>
        <w:t> </w:t>
      </w:r>
      <w:r>
        <w:rPr>
          <w:color w:val="3A3A3A"/>
          <w:w w:val="95"/>
          <w:sz w:val="22"/>
        </w:rPr>
        <w:t>the</w:t>
      </w:r>
      <w:r>
        <w:rPr>
          <w:color w:val="3A3A3A"/>
          <w:spacing w:val="-15"/>
          <w:w w:val="95"/>
          <w:sz w:val="22"/>
        </w:rPr>
        <w:t> </w:t>
      </w:r>
      <w:r>
        <w:rPr>
          <w:color w:val="3A3A3A"/>
          <w:w w:val="95"/>
          <w:sz w:val="22"/>
        </w:rPr>
        <w:t>Cond</w:t>
      </w:r>
      <w:r>
        <w:rPr>
          <w:color w:val="646464"/>
          <w:w w:val="95"/>
          <w:sz w:val="22"/>
        </w:rPr>
        <w:t>i</w:t>
      </w:r>
      <w:r>
        <w:rPr>
          <w:color w:val="3A3A3A"/>
          <w:w w:val="95"/>
          <w:sz w:val="22"/>
        </w:rPr>
        <w:t>tions</w:t>
      </w:r>
      <w:r>
        <w:rPr>
          <w:color w:val="3A3A3A"/>
          <w:spacing w:val="-30"/>
          <w:w w:val="95"/>
          <w:sz w:val="22"/>
        </w:rPr>
        <w:t> </w:t>
      </w:r>
      <w:r>
        <w:rPr>
          <w:color w:val="3A3A3A"/>
          <w:w w:val="95"/>
          <w:sz w:val="22"/>
        </w:rPr>
        <w:t>and</w:t>
      </w:r>
      <w:r>
        <w:rPr>
          <w:color w:val="3A3A3A"/>
          <w:spacing w:val="-12"/>
          <w:w w:val="95"/>
          <w:sz w:val="22"/>
        </w:rPr>
        <w:t> </w:t>
      </w:r>
      <w:r>
        <w:rPr>
          <w:color w:val="3A3A3A"/>
          <w:w w:val="95"/>
          <w:sz w:val="22"/>
        </w:rPr>
        <w:t>seNed</w:t>
      </w:r>
      <w:r>
        <w:rPr>
          <w:color w:val="3A3A3A"/>
          <w:spacing w:val="-12"/>
          <w:w w:val="95"/>
          <w:sz w:val="22"/>
        </w:rPr>
        <w:t> </w:t>
      </w:r>
      <w:r>
        <w:rPr>
          <w:color w:val="3A3A3A"/>
          <w:w w:val="95"/>
          <w:sz w:val="22"/>
        </w:rPr>
        <w:t>as</w:t>
      </w:r>
      <w:r>
        <w:rPr>
          <w:color w:val="3A3A3A"/>
          <w:spacing w:val="-12"/>
          <w:w w:val="95"/>
          <w:sz w:val="22"/>
        </w:rPr>
        <w:t> </w:t>
      </w:r>
      <w:r>
        <w:rPr>
          <w:color w:val="3A3A3A"/>
          <w:w w:val="95"/>
          <w:sz w:val="22"/>
        </w:rPr>
        <w:t>the</w:t>
      </w:r>
      <w:r>
        <w:rPr>
          <w:color w:val="3A3A3A"/>
          <w:spacing w:val="-13"/>
          <w:w w:val="95"/>
          <w:sz w:val="22"/>
        </w:rPr>
        <w:t> </w:t>
      </w:r>
      <w:r>
        <w:rPr>
          <w:color w:val="3A3A3A"/>
          <w:w w:val="95"/>
          <w:sz w:val="22"/>
        </w:rPr>
        <w:t>basis</w:t>
      </w:r>
      <w:r>
        <w:rPr>
          <w:color w:val="3A3A3A"/>
          <w:spacing w:val="-12"/>
          <w:w w:val="95"/>
          <w:sz w:val="22"/>
        </w:rPr>
        <w:t> </w:t>
      </w:r>
      <w:r>
        <w:rPr>
          <w:color w:val="3A3A3A"/>
          <w:w w:val="95"/>
          <w:sz w:val="22"/>
        </w:rPr>
        <w:t>for</w:t>
      </w:r>
      <w:r>
        <w:rPr>
          <w:color w:val="3A3A3A"/>
          <w:spacing w:val="-13"/>
          <w:w w:val="95"/>
          <w:sz w:val="22"/>
        </w:rPr>
        <w:t> </w:t>
      </w:r>
      <w:r>
        <w:rPr>
          <w:color w:val="3A3A3A"/>
          <w:w w:val="95"/>
          <w:sz w:val="22"/>
        </w:rPr>
        <w:t>our</w:t>
      </w:r>
      <w:r>
        <w:rPr>
          <w:color w:val="3A3A3A"/>
          <w:spacing w:val="-12"/>
          <w:w w:val="95"/>
          <w:sz w:val="22"/>
        </w:rPr>
        <w:t> </w:t>
      </w:r>
      <w:r>
        <w:rPr>
          <w:color w:val="525252"/>
          <w:w w:val="95"/>
          <w:sz w:val="22"/>
        </w:rPr>
        <w:t>findings</w:t>
      </w:r>
      <w:r>
        <w:rPr>
          <w:color w:val="525252"/>
          <w:spacing w:val="-12"/>
          <w:w w:val="95"/>
          <w:sz w:val="22"/>
        </w:rPr>
        <w:t> </w:t>
      </w:r>
      <w:r>
        <w:rPr>
          <w:color w:val="3A3A3A"/>
          <w:w w:val="95"/>
          <w:sz w:val="22"/>
        </w:rPr>
        <w:t>presented</w:t>
      </w:r>
      <w:r>
        <w:rPr>
          <w:color w:val="3A3A3A"/>
          <w:spacing w:val="-12"/>
          <w:w w:val="95"/>
          <w:sz w:val="22"/>
        </w:rPr>
        <w:t> </w:t>
      </w:r>
      <w:r>
        <w:rPr>
          <w:color w:val="3A3A3A"/>
          <w:w w:val="95"/>
          <w:sz w:val="22"/>
        </w:rPr>
        <w:t>herein</w:t>
      </w:r>
      <w:r>
        <w:rPr>
          <w:color w:val="7E7E7E"/>
          <w:w w:val="95"/>
          <w:sz w:val="22"/>
        </w:rPr>
        <w:t>.</w:t>
      </w:r>
    </w:p>
    <w:p>
      <w:pPr>
        <w:pStyle w:val="BodyText"/>
        <w:spacing w:before="5"/>
        <w:rPr>
          <w:sz w:val="19"/>
        </w:rPr>
      </w:pPr>
    </w:p>
    <w:p>
      <w:pPr>
        <w:spacing w:line="220" w:lineRule="auto" w:before="0"/>
        <w:ind w:left="1788" w:right="0" w:firstLine="9"/>
        <w:jc w:val="left"/>
        <w:rPr>
          <w:sz w:val="22"/>
        </w:rPr>
      </w:pPr>
      <w:r>
        <w:rPr>
          <w:color w:val="3A3A3A"/>
          <w:spacing w:val="-2"/>
          <w:w w:val="95"/>
          <w:sz w:val="22"/>
        </w:rPr>
        <w:t>The</w:t>
      </w:r>
      <w:r>
        <w:rPr>
          <w:color w:val="3A3A3A"/>
          <w:spacing w:val="-23"/>
          <w:w w:val="95"/>
          <w:sz w:val="22"/>
        </w:rPr>
        <w:t> </w:t>
      </w:r>
      <w:r>
        <w:rPr>
          <w:color w:val="3A3A3A"/>
          <w:spacing w:val="-2"/>
          <w:w w:val="95"/>
          <w:sz w:val="22"/>
        </w:rPr>
        <w:t>leadership</w:t>
      </w:r>
      <w:r>
        <w:rPr>
          <w:color w:val="3A3A3A"/>
          <w:spacing w:val="-4"/>
          <w:w w:val="95"/>
          <w:sz w:val="22"/>
        </w:rPr>
        <w:t> </w:t>
      </w:r>
      <w:r>
        <w:rPr>
          <w:color w:val="3A3A3A"/>
          <w:spacing w:val="-2"/>
          <w:w w:val="95"/>
          <w:sz w:val="22"/>
        </w:rPr>
        <w:t>of</w:t>
      </w:r>
      <w:r>
        <w:rPr>
          <w:color w:val="3A3A3A"/>
          <w:spacing w:val="-4"/>
          <w:w w:val="95"/>
          <w:sz w:val="22"/>
        </w:rPr>
        <w:t> </w:t>
      </w:r>
      <w:r>
        <w:rPr>
          <w:color w:val="3A3A3A"/>
          <w:spacing w:val="-2"/>
          <w:w w:val="95"/>
          <w:sz w:val="22"/>
        </w:rPr>
        <w:t>the</w:t>
      </w:r>
      <w:r>
        <w:rPr>
          <w:color w:val="3A3A3A"/>
          <w:spacing w:val="-20"/>
          <w:w w:val="95"/>
          <w:sz w:val="22"/>
        </w:rPr>
        <w:t> </w:t>
      </w:r>
      <w:r>
        <w:rPr>
          <w:color w:val="3A3A3A"/>
          <w:spacing w:val="-2"/>
          <w:w w:val="95"/>
          <w:sz w:val="22"/>
        </w:rPr>
        <w:t>Hampton</w:t>
      </w:r>
      <w:r>
        <w:rPr>
          <w:color w:val="3A3A3A"/>
          <w:spacing w:val="-5"/>
          <w:w w:val="95"/>
          <w:sz w:val="22"/>
        </w:rPr>
        <w:t> </w:t>
      </w:r>
      <w:r>
        <w:rPr>
          <w:color w:val="3A3A3A"/>
          <w:spacing w:val="-2"/>
          <w:w w:val="95"/>
          <w:sz w:val="22"/>
        </w:rPr>
        <w:t>University Department</w:t>
      </w:r>
      <w:r>
        <w:rPr>
          <w:color w:val="3A3A3A"/>
          <w:spacing w:val="-3"/>
          <w:w w:val="95"/>
          <w:sz w:val="22"/>
        </w:rPr>
        <w:t> </w:t>
      </w:r>
      <w:r>
        <w:rPr>
          <w:color w:val="3A3A3A"/>
          <w:spacing w:val="-2"/>
          <w:w w:val="95"/>
          <w:sz w:val="22"/>
        </w:rPr>
        <w:t>of Architecture</w:t>
      </w:r>
      <w:r>
        <w:rPr>
          <w:color w:val="3A3A3A"/>
          <w:spacing w:val="-12"/>
          <w:w w:val="95"/>
          <w:sz w:val="22"/>
        </w:rPr>
        <w:t> </w:t>
      </w:r>
      <w:r>
        <w:rPr>
          <w:color w:val="3A3A3A"/>
          <w:spacing w:val="-2"/>
          <w:w w:val="95"/>
          <w:sz w:val="22"/>
        </w:rPr>
        <w:t>has</w:t>
      </w:r>
      <w:r>
        <w:rPr>
          <w:color w:val="3A3A3A"/>
          <w:spacing w:val="-13"/>
          <w:w w:val="95"/>
          <w:sz w:val="22"/>
        </w:rPr>
        <w:t> </w:t>
      </w:r>
      <w:r>
        <w:rPr>
          <w:color w:val="3A3A3A"/>
          <w:spacing w:val="-2"/>
          <w:w w:val="95"/>
          <w:sz w:val="22"/>
        </w:rPr>
        <w:t>done</w:t>
      </w:r>
      <w:r>
        <w:rPr>
          <w:color w:val="3A3A3A"/>
          <w:spacing w:val="-15"/>
          <w:w w:val="95"/>
          <w:sz w:val="22"/>
        </w:rPr>
        <w:t> </w:t>
      </w:r>
      <w:r>
        <w:rPr>
          <w:color w:val="3A3A3A"/>
          <w:spacing w:val="-2"/>
          <w:w w:val="95"/>
          <w:sz w:val="22"/>
        </w:rPr>
        <w:t>a</w:t>
      </w:r>
      <w:r>
        <w:rPr>
          <w:color w:val="3A3A3A"/>
          <w:spacing w:val="-31"/>
          <w:w w:val="95"/>
          <w:sz w:val="22"/>
        </w:rPr>
        <w:t> </w:t>
      </w:r>
      <w:r>
        <w:rPr>
          <w:color w:val="3A3A3A"/>
          <w:spacing w:val="-2"/>
          <w:w w:val="95"/>
          <w:sz w:val="22"/>
        </w:rPr>
        <w:t>good</w:t>
      </w:r>
      <w:r>
        <w:rPr>
          <w:color w:val="3A3A3A"/>
          <w:spacing w:val="-9"/>
          <w:w w:val="95"/>
          <w:sz w:val="22"/>
        </w:rPr>
        <w:t> </w:t>
      </w:r>
      <w:r>
        <w:rPr>
          <w:color w:val="646464"/>
          <w:spacing w:val="-2"/>
          <w:w w:val="95"/>
          <w:sz w:val="22"/>
        </w:rPr>
        <w:t>j</w:t>
      </w:r>
      <w:r>
        <w:rPr>
          <w:color w:val="3A3A3A"/>
          <w:spacing w:val="-2"/>
          <w:w w:val="95"/>
          <w:sz w:val="22"/>
        </w:rPr>
        <w:t>ob</w:t>
      </w:r>
      <w:r>
        <w:rPr>
          <w:color w:val="3A3A3A"/>
          <w:spacing w:val="-20"/>
          <w:w w:val="95"/>
          <w:sz w:val="22"/>
        </w:rPr>
        <w:t> </w:t>
      </w:r>
      <w:r>
        <w:rPr>
          <w:color w:val="525252"/>
          <w:spacing w:val="-2"/>
          <w:w w:val="95"/>
          <w:sz w:val="22"/>
        </w:rPr>
        <w:t>in </w:t>
      </w:r>
      <w:r>
        <w:rPr>
          <w:color w:val="3A3A3A"/>
          <w:w w:val="90"/>
          <w:sz w:val="22"/>
        </w:rPr>
        <w:t>reporting</w:t>
      </w:r>
      <w:r>
        <w:rPr>
          <w:color w:val="3A3A3A"/>
          <w:spacing w:val="-10"/>
          <w:w w:val="90"/>
          <w:sz w:val="22"/>
        </w:rPr>
        <w:t> </w:t>
      </w:r>
      <w:r>
        <w:rPr>
          <w:color w:val="3A3A3A"/>
          <w:w w:val="90"/>
          <w:sz w:val="22"/>
        </w:rPr>
        <w:t>the</w:t>
      </w:r>
      <w:r>
        <w:rPr>
          <w:color w:val="3A3A3A"/>
          <w:spacing w:val="-9"/>
          <w:w w:val="90"/>
          <w:sz w:val="22"/>
        </w:rPr>
        <w:t> </w:t>
      </w:r>
      <w:r>
        <w:rPr>
          <w:color w:val="3A3A3A"/>
          <w:w w:val="90"/>
          <w:sz w:val="22"/>
        </w:rPr>
        <w:t>subsequent</w:t>
      </w:r>
      <w:r>
        <w:rPr>
          <w:color w:val="3A3A3A"/>
          <w:spacing w:val="-3"/>
          <w:w w:val="90"/>
          <w:sz w:val="22"/>
        </w:rPr>
        <w:t> </w:t>
      </w:r>
      <w:r>
        <w:rPr>
          <w:color w:val="3A3A3A"/>
          <w:w w:val="90"/>
          <w:sz w:val="22"/>
        </w:rPr>
        <w:t>changes</w:t>
      </w:r>
      <w:r>
        <w:rPr>
          <w:color w:val="3A3A3A"/>
          <w:spacing w:val="-10"/>
          <w:w w:val="90"/>
          <w:sz w:val="22"/>
        </w:rPr>
        <w:t> </w:t>
      </w:r>
      <w:r>
        <w:rPr>
          <w:color w:val="3A3A3A"/>
          <w:w w:val="90"/>
          <w:sz w:val="22"/>
        </w:rPr>
        <w:t>perta</w:t>
      </w:r>
      <w:r>
        <w:rPr>
          <w:color w:val="646464"/>
          <w:w w:val="90"/>
          <w:sz w:val="22"/>
        </w:rPr>
        <w:t>i</w:t>
      </w:r>
      <w:r>
        <w:rPr>
          <w:color w:val="3A3A3A"/>
          <w:w w:val="90"/>
          <w:sz w:val="22"/>
        </w:rPr>
        <w:t>n</w:t>
      </w:r>
      <w:r>
        <w:rPr>
          <w:color w:val="525252"/>
          <w:w w:val="90"/>
          <w:sz w:val="22"/>
        </w:rPr>
        <w:t>i</w:t>
      </w:r>
      <w:r>
        <w:rPr>
          <w:color w:val="3A3A3A"/>
          <w:w w:val="90"/>
          <w:sz w:val="22"/>
        </w:rPr>
        <w:t>ng</w:t>
      </w:r>
      <w:r>
        <w:rPr>
          <w:color w:val="3A3A3A"/>
          <w:spacing w:val="-9"/>
          <w:w w:val="90"/>
          <w:sz w:val="22"/>
        </w:rPr>
        <w:t> </w:t>
      </w:r>
      <w:r>
        <w:rPr>
          <w:color w:val="3A3A3A"/>
          <w:w w:val="90"/>
          <w:sz w:val="22"/>
        </w:rPr>
        <w:t>to</w:t>
      </w:r>
      <w:r>
        <w:rPr>
          <w:color w:val="3A3A3A"/>
          <w:spacing w:val="-11"/>
          <w:w w:val="90"/>
          <w:sz w:val="22"/>
        </w:rPr>
        <w:t> </w:t>
      </w:r>
      <w:r>
        <w:rPr>
          <w:color w:val="3A3A3A"/>
          <w:w w:val="90"/>
          <w:sz w:val="22"/>
        </w:rPr>
        <w:t>the</w:t>
      </w:r>
      <w:r>
        <w:rPr>
          <w:color w:val="3A3A3A"/>
          <w:spacing w:val="-13"/>
          <w:w w:val="90"/>
          <w:sz w:val="22"/>
        </w:rPr>
        <w:t> </w:t>
      </w:r>
      <w:r>
        <w:rPr>
          <w:color w:val="3A3A3A"/>
          <w:w w:val="90"/>
          <w:sz w:val="22"/>
        </w:rPr>
        <w:t>Human</w:t>
      </w:r>
      <w:r>
        <w:rPr>
          <w:color w:val="3A3A3A"/>
          <w:spacing w:val="-9"/>
          <w:w w:val="90"/>
          <w:sz w:val="22"/>
        </w:rPr>
        <w:t> </w:t>
      </w:r>
      <w:r>
        <w:rPr>
          <w:color w:val="3A3A3A"/>
          <w:w w:val="90"/>
          <w:sz w:val="22"/>
        </w:rPr>
        <w:t>Resources</w:t>
      </w:r>
      <w:r>
        <w:rPr>
          <w:color w:val="3A3A3A"/>
          <w:spacing w:val="-10"/>
          <w:w w:val="90"/>
          <w:sz w:val="22"/>
        </w:rPr>
        <w:t> </w:t>
      </w:r>
      <w:r>
        <w:rPr>
          <w:color w:val="3A3A3A"/>
          <w:w w:val="90"/>
          <w:sz w:val="22"/>
        </w:rPr>
        <w:t>and</w:t>
      </w:r>
      <w:r>
        <w:rPr>
          <w:color w:val="3A3A3A"/>
          <w:spacing w:val="-16"/>
          <w:w w:val="90"/>
          <w:sz w:val="22"/>
        </w:rPr>
        <w:t> </w:t>
      </w:r>
      <w:r>
        <w:rPr>
          <w:color w:val="3A3A3A"/>
          <w:w w:val="90"/>
          <w:sz w:val="22"/>
        </w:rPr>
        <w:t>PhysicaJ</w:t>
      </w:r>
      <w:r>
        <w:rPr>
          <w:color w:val="3A3A3A"/>
          <w:spacing w:val="-10"/>
          <w:w w:val="90"/>
          <w:sz w:val="22"/>
        </w:rPr>
        <w:t> </w:t>
      </w:r>
      <w:r>
        <w:rPr>
          <w:color w:val="3A3A3A"/>
          <w:w w:val="90"/>
          <w:sz w:val="22"/>
        </w:rPr>
        <w:t>Resour-ces </w:t>
      </w:r>
      <w:r>
        <w:rPr>
          <w:color w:val="3A3A3A"/>
          <w:spacing w:val="-2"/>
          <w:w w:val="95"/>
          <w:sz w:val="22"/>
        </w:rPr>
        <w:t>Conditions deemed</w:t>
      </w:r>
      <w:r>
        <w:rPr>
          <w:color w:val="3A3A3A"/>
          <w:spacing w:val="-5"/>
          <w:w w:val="95"/>
          <w:sz w:val="22"/>
        </w:rPr>
        <w:t> </w:t>
      </w:r>
      <w:r>
        <w:rPr>
          <w:color w:val="3A3A3A"/>
          <w:spacing w:val="-2"/>
          <w:w w:val="95"/>
          <w:sz w:val="22"/>
        </w:rPr>
        <w:t>to</w:t>
      </w:r>
      <w:r>
        <w:rPr>
          <w:color w:val="3A3A3A"/>
          <w:spacing w:val="-29"/>
          <w:w w:val="95"/>
          <w:sz w:val="22"/>
        </w:rPr>
        <w:t> </w:t>
      </w:r>
      <w:r>
        <w:rPr>
          <w:color w:val="3A3A3A"/>
          <w:spacing w:val="-2"/>
          <w:w w:val="95"/>
          <w:sz w:val="22"/>
        </w:rPr>
        <w:t>be</w:t>
      </w:r>
      <w:r>
        <w:rPr>
          <w:color w:val="3A3A3A"/>
          <w:spacing w:val="-4"/>
          <w:w w:val="95"/>
          <w:sz w:val="22"/>
        </w:rPr>
        <w:t> </w:t>
      </w:r>
      <w:r>
        <w:rPr>
          <w:color w:val="3A3A3A"/>
          <w:spacing w:val="-2"/>
          <w:w w:val="95"/>
          <w:sz w:val="22"/>
        </w:rPr>
        <w:t>need</w:t>
      </w:r>
      <w:r>
        <w:rPr>
          <w:color w:val="646464"/>
          <w:spacing w:val="-2"/>
          <w:w w:val="95"/>
          <w:sz w:val="22"/>
        </w:rPr>
        <w:t>i</w:t>
      </w:r>
      <w:r>
        <w:rPr>
          <w:color w:val="3A3A3A"/>
          <w:spacing w:val="-2"/>
          <w:w w:val="95"/>
          <w:sz w:val="22"/>
        </w:rPr>
        <w:t>ng</w:t>
      </w:r>
      <w:r>
        <w:rPr>
          <w:color w:val="3A3A3A"/>
          <w:spacing w:val="-13"/>
          <w:w w:val="95"/>
          <w:sz w:val="22"/>
        </w:rPr>
        <w:t> </w:t>
      </w:r>
      <w:r>
        <w:rPr>
          <w:color w:val="646464"/>
          <w:spacing w:val="-2"/>
          <w:w w:val="95"/>
          <w:sz w:val="22"/>
        </w:rPr>
        <w:t>i</w:t>
      </w:r>
      <w:r>
        <w:rPr>
          <w:color w:val="3A3A3A"/>
          <w:spacing w:val="-2"/>
          <w:w w:val="95"/>
          <w:sz w:val="22"/>
        </w:rPr>
        <w:t>mprovemen</w:t>
      </w:r>
      <w:r>
        <w:rPr>
          <w:color w:val="525252"/>
          <w:spacing w:val="-2"/>
          <w:w w:val="95"/>
          <w:sz w:val="22"/>
        </w:rPr>
        <w:t>t</w:t>
      </w:r>
      <w:r>
        <w:rPr>
          <w:color w:val="525252"/>
          <w:spacing w:val="-15"/>
          <w:w w:val="95"/>
          <w:sz w:val="22"/>
        </w:rPr>
        <w:t> </w:t>
      </w:r>
      <w:r>
        <w:rPr>
          <w:color w:val="3A3A3A"/>
          <w:spacing w:val="-2"/>
          <w:w w:val="95"/>
          <w:sz w:val="22"/>
        </w:rPr>
        <w:t>by</w:t>
      </w:r>
      <w:r>
        <w:rPr>
          <w:color w:val="3A3A3A"/>
          <w:sz w:val="22"/>
        </w:rPr>
        <w:t> </w:t>
      </w:r>
      <w:r>
        <w:rPr>
          <w:color w:val="3A3A3A"/>
          <w:spacing w:val="-2"/>
          <w:w w:val="95"/>
          <w:sz w:val="22"/>
        </w:rPr>
        <w:t>the</w:t>
      </w:r>
      <w:r>
        <w:rPr>
          <w:color w:val="3A3A3A"/>
          <w:spacing w:val="-17"/>
          <w:w w:val="95"/>
          <w:sz w:val="22"/>
        </w:rPr>
        <w:t> </w:t>
      </w:r>
      <w:r>
        <w:rPr>
          <w:color w:val="3A3A3A"/>
          <w:spacing w:val="-2"/>
          <w:w w:val="95"/>
          <w:sz w:val="22"/>
        </w:rPr>
        <w:t>2009</w:t>
      </w:r>
      <w:r>
        <w:rPr>
          <w:color w:val="3A3A3A"/>
          <w:spacing w:val="-9"/>
          <w:w w:val="95"/>
          <w:sz w:val="22"/>
        </w:rPr>
        <w:t> </w:t>
      </w:r>
      <w:r>
        <w:rPr>
          <w:color w:val="3A3A3A"/>
          <w:spacing w:val="-2"/>
          <w:w w:val="95"/>
          <w:sz w:val="22"/>
        </w:rPr>
        <w:t>visitlng team</w:t>
      </w:r>
      <w:r>
        <w:rPr>
          <w:color w:val="7E7E7E"/>
          <w:spacing w:val="-2"/>
          <w:w w:val="95"/>
          <w:sz w:val="22"/>
        </w:rPr>
        <w:t>.</w:t>
      </w:r>
    </w:p>
    <w:p>
      <w:pPr>
        <w:pStyle w:val="BodyText"/>
        <w:rPr>
          <w:sz w:val="12"/>
        </w:rPr>
      </w:pPr>
    </w:p>
    <w:p>
      <w:pPr>
        <w:spacing w:before="94"/>
        <w:ind w:left="1778" w:right="0" w:firstLine="0"/>
        <w:jc w:val="left"/>
        <w:rPr>
          <w:b/>
          <w:sz w:val="20"/>
        </w:rPr>
      </w:pPr>
      <w:r>
        <w:rPr>
          <w:b/>
          <w:color w:val="212121"/>
          <w:w w:val="95"/>
          <w:sz w:val="20"/>
          <w:u w:val="thick" w:color="212121"/>
        </w:rPr>
        <w:t>Human</w:t>
      </w:r>
      <w:r>
        <w:rPr>
          <w:b/>
          <w:color w:val="212121"/>
          <w:spacing w:val="16"/>
          <w:sz w:val="20"/>
          <w:u w:val="thick" w:color="212121"/>
        </w:rPr>
        <w:t> </w:t>
      </w:r>
      <w:r>
        <w:rPr>
          <w:b/>
          <w:color w:val="212121"/>
          <w:spacing w:val="-2"/>
          <w:sz w:val="20"/>
          <w:u w:val="thick" w:color="212121"/>
        </w:rPr>
        <w:t>Resources</w:t>
      </w:r>
    </w:p>
    <w:p>
      <w:pPr>
        <w:pStyle w:val="BodyText"/>
        <w:spacing w:before="1"/>
        <w:rPr>
          <w:b/>
        </w:rPr>
      </w:pPr>
    </w:p>
    <w:p>
      <w:pPr>
        <w:spacing w:line="218" w:lineRule="auto" w:before="0"/>
        <w:ind w:left="1762" w:right="138" w:hanging="9"/>
        <w:jc w:val="left"/>
        <w:rPr>
          <w:sz w:val="22"/>
        </w:rPr>
      </w:pPr>
      <w:r>
        <w:rPr/>
        <w:pict>
          <v:rect style="position:absolute;margin-left:311.45932pt;margin-top:68.25219pt;width:1.682317pt;height:13.809039pt;mso-position-horizontal-relative:page;mso-position-vertical-relative:paragraph;z-index:-26997248" id="docshape717" filled="true" fillcolor="#dfdfdf" stroked="false">
            <v:fill type="solid"/>
            <w10:wrap type="none"/>
          </v:rect>
        </w:pict>
      </w:r>
      <w:r>
        <w:rPr>
          <w:i/>
          <w:color w:val="3A3A3A"/>
          <w:spacing w:val="-2"/>
          <w:w w:val="95"/>
          <w:sz w:val="20"/>
        </w:rPr>
        <w:t>With</w:t>
      </w:r>
      <w:r>
        <w:rPr>
          <w:i/>
          <w:color w:val="3A3A3A"/>
          <w:spacing w:val="-4"/>
          <w:w w:val="95"/>
          <w:sz w:val="20"/>
        </w:rPr>
        <w:t> </w:t>
      </w:r>
      <w:r>
        <w:rPr>
          <w:color w:val="3A3A3A"/>
          <w:spacing w:val="-2"/>
          <w:w w:val="95"/>
          <w:sz w:val="22"/>
        </w:rPr>
        <w:t>regard </w:t>
      </w:r>
      <w:r>
        <w:rPr>
          <w:color w:val="525252"/>
          <w:spacing w:val="-2"/>
          <w:w w:val="95"/>
          <w:sz w:val="22"/>
        </w:rPr>
        <w:t>to</w:t>
      </w:r>
      <w:r>
        <w:rPr>
          <w:color w:val="525252"/>
          <w:spacing w:val="-3"/>
          <w:w w:val="95"/>
          <w:sz w:val="22"/>
        </w:rPr>
        <w:t> </w:t>
      </w:r>
      <w:r>
        <w:rPr>
          <w:color w:val="3A3A3A"/>
          <w:spacing w:val="-2"/>
          <w:w w:val="95"/>
          <w:sz w:val="22"/>
        </w:rPr>
        <w:t>Human Reso</w:t>
      </w:r>
      <w:r>
        <w:rPr>
          <w:color w:val="525252"/>
          <w:spacing w:val="-2"/>
          <w:w w:val="95"/>
          <w:sz w:val="22"/>
        </w:rPr>
        <w:t>u</w:t>
      </w:r>
      <w:r>
        <w:rPr>
          <w:color w:val="3A3A3A"/>
          <w:spacing w:val="-2"/>
          <w:w w:val="95"/>
          <w:sz w:val="22"/>
        </w:rPr>
        <w:t>rces</w:t>
      </w:r>
      <w:r>
        <w:rPr>
          <w:color w:val="646464"/>
          <w:spacing w:val="-2"/>
          <w:w w:val="95"/>
          <w:sz w:val="22"/>
        </w:rPr>
        <w:t>,</w:t>
      </w:r>
      <w:r>
        <w:rPr>
          <w:color w:val="646464"/>
          <w:spacing w:val="-32"/>
          <w:w w:val="95"/>
          <w:sz w:val="22"/>
        </w:rPr>
        <w:t> </w:t>
      </w:r>
      <w:r>
        <w:rPr>
          <w:color w:val="3A3A3A"/>
          <w:spacing w:val="-2"/>
          <w:w w:val="95"/>
          <w:sz w:val="22"/>
        </w:rPr>
        <w:t>we</w:t>
      </w:r>
      <w:r>
        <w:rPr>
          <w:color w:val="3A3A3A"/>
          <w:spacing w:val="-27"/>
          <w:w w:val="95"/>
          <w:sz w:val="22"/>
        </w:rPr>
        <w:t> </w:t>
      </w:r>
      <w:r>
        <w:rPr>
          <w:color w:val="3A3A3A"/>
          <w:spacing w:val="-2"/>
          <w:w w:val="95"/>
          <w:sz w:val="22"/>
        </w:rPr>
        <w:t>noted</w:t>
      </w:r>
      <w:r>
        <w:rPr>
          <w:color w:val="3A3A3A"/>
          <w:spacing w:val="13"/>
          <w:sz w:val="22"/>
        </w:rPr>
        <w:t> </w:t>
      </w:r>
      <w:r>
        <w:rPr>
          <w:color w:val="3A3A3A"/>
          <w:spacing w:val="-2"/>
          <w:w w:val="95"/>
          <w:sz w:val="22"/>
        </w:rPr>
        <w:t>that an</w:t>
      </w:r>
      <w:r>
        <w:rPr>
          <w:color w:val="3A3A3A"/>
          <w:spacing w:val="-18"/>
          <w:w w:val="95"/>
          <w:sz w:val="22"/>
        </w:rPr>
        <w:t> </w:t>
      </w:r>
      <w:r>
        <w:rPr>
          <w:color w:val="3A3A3A"/>
          <w:spacing w:val="-2"/>
          <w:w w:val="95"/>
          <w:sz w:val="22"/>
        </w:rPr>
        <w:t>unusual</w:t>
      </w:r>
      <w:r>
        <w:rPr>
          <w:color w:val="3A3A3A"/>
          <w:spacing w:val="-17"/>
          <w:w w:val="95"/>
          <w:sz w:val="22"/>
        </w:rPr>
        <w:t> </w:t>
      </w:r>
      <w:r>
        <w:rPr>
          <w:color w:val="525252"/>
          <w:spacing w:val="-2"/>
          <w:w w:val="95"/>
          <w:sz w:val="22"/>
        </w:rPr>
        <w:t>Increase</w:t>
      </w:r>
      <w:r>
        <w:rPr>
          <w:color w:val="525252"/>
          <w:spacing w:val="-5"/>
          <w:w w:val="95"/>
          <w:sz w:val="22"/>
        </w:rPr>
        <w:t> </w:t>
      </w:r>
      <w:r>
        <w:rPr>
          <w:color w:val="3A3A3A"/>
          <w:spacing w:val="-2"/>
          <w:w w:val="95"/>
          <w:sz w:val="22"/>
        </w:rPr>
        <w:t>in</w:t>
      </w:r>
      <w:r>
        <w:rPr>
          <w:color w:val="3A3A3A"/>
          <w:spacing w:val="-12"/>
          <w:w w:val="95"/>
          <w:sz w:val="22"/>
        </w:rPr>
        <w:t> </w:t>
      </w:r>
      <w:r>
        <w:rPr>
          <w:color w:val="3A3A3A"/>
          <w:spacing w:val="-2"/>
          <w:w w:val="95"/>
          <w:sz w:val="22"/>
        </w:rPr>
        <w:t>the</w:t>
      </w:r>
      <w:r>
        <w:rPr>
          <w:color w:val="3A3A3A"/>
          <w:spacing w:val="-5"/>
          <w:w w:val="95"/>
          <w:sz w:val="22"/>
        </w:rPr>
        <w:t> </w:t>
      </w:r>
      <w:r>
        <w:rPr>
          <w:color w:val="3A3A3A"/>
          <w:spacing w:val="-2"/>
          <w:w w:val="95"/>
          <w:sz w:val="22"/>
        </w:rPr>
        <w:t>student</w:t>
      </w:r>
      <w:r>
        <w:rPr>
          <w:color w:val="3A3A3A"/>
          <w:spacing w:val="-14"/>
          <w:w w:val="95"/>
          <w:sz w:val="22"/>
        </w:rPr>
        <w:t> </w:t>
      </w:r>
      <w:r>
        <w:rPr>
          <w:color w:val="3A3A3A"/>
          <w:spacing w:val="-2"/>
          <w:w w:val="95"/>
          <w:sz w:val="22"/>
        </w:rPr>
        <w:t>population </w:t>
      </w:r>
      <w:r>
        <w:rPr>
          <w:color w:val="3A3A3A"/>
          <w:w w:val="90"/>
          <w:sz w:val="22"/>
        </w:rPr>
        <w:t>occurred </w:t>
      </w:r>
      <w:r>
        <w:rPr>
          <w:color w:val="525252"/>
          <w:w w:val="90"/>
          <w:sz w:val="22"/>
        </w:rPr>
        <w:t>in </w:t>
      </w:r>
      <w:r>
        <w:rPr>
          <w:color w:val="3A3A3A"/>
          <w:w w:val="90"/>
          <w:sz w:val="22"/>
        </w:rPr>
        <w:t>the 2009-2010 academic year</w:t>
      </w:r>
      <w:r>
        <w:rPr>
          <w:color w:val="3A3A3A"/>
          <w:spacing w:val="-12"/>
          <w:w w:val="90"/>
          <w:sz w:val="22"/>
        </w:rPr>
        <w:t> </w:t>
      </w:r>
      <w:r>
        <w:rPr>
          <w:color w:val="3A3A3A"/>
          <w:w w:val="90"/>
          <w:sz w:val="22"/>
        </w:rPr>
        <w:t>because of</w:t>
      </w:r>
      <w:r>
        <w:rPr>
          <w:color w:val="3A3A3A"/>
          <w:spacing w:val="-9"/>
          <w:w w:val="90"/>
          <w:sz w:val="22"/>
        </w:rPr>
        <w:t> </w:t>
      </w:r>
      <w:r>
        <w:rPr>
          <w:color w:val="3A3A3A"/>
          <w:w w:val="90"/>
          <w:sz w:val="22"/>
        </w:rPr>
        <w:t>an</w:t>
      </w:r>
      <w:r>
        <w:rPr>
          <w:color w:val="3A3A3A"/>
          <w:spacing w:val="-3"/>
          <w:w w:val="90"/>
          <w:sz w:val="22"/>
        </w:rPr>
        <w:t> </w:t>
      </w:r>
      <w:r>
        <w:rPr>
          <w:color w:val="525252"/>
          <w:w w:val="90"/>
          <w:sz w:val="22"/>
        </w:rPr>
        <w:t>Influx </w:t>
      </w:r>
      <w:r>
        <w:rPr>
          <w:color w:val="3A3A3A"/>
          <w:w w:val="90"/>
          <w:sz w:val="22"/>
        </w:rPr>
        <w:t>of students</w:t>
      </w:r>
      <w:r>
        <w:rPr>
          <w:color w:val="3A3A3A"/>
          <w:sz w:val="22"/>
        </w:rPr>
        <w:t> </w:t>
      </w:r>
      <w:r>
        <w:rPr>
          <w:color w:val="3A3A3A"/>
          <w:w w:val="90"/>
          <w:sz w:val="22"/>
        </w:rPr>
        <w:t>from another</w:t>
      </w:r>
      <w:r>
        <w:rPr>
          <w:color w:val="3A3A3A"/>
          <w:sz w:val="22"/>
        </w:rPr>
        <w:t> </w:t>
      </w:r>
      <w:r>
        <w:rPr>
          <w:color w:val="3A3A3A"/>
          <w:w w:val="90"/>
          <w:sz w:val="22"/>
        </w:rPr>
        <w:t>school that</w:t>
      </w:r>
      <w:r>
        <w:rPr>
          <w:color w:val="3A3A3A"/>
          <w:spacing w:val="-7"/>
          <w:w w:val="90"/>
          <w:sz w:val="22"/>
        </w:rPr>
        <w:t> </w:t>
      </w:r>
      <w:r>
        <w:rPr>
          <w:color w:val="3A3A3A"/>
          <w:w w:val="90"/>
          <w:sz w:val="22"/>
        </w:rPr>
        <w:t>was</w:t>
      </w:r>
      <w:r>
        <w:rPr>
          <w:color w:val="3A3A3A"/>
          <w:spacing w:val="-10"/>
          <w:w w:val="90"/>
          <w:sz w:val="22"/>
        </w:rPr>
        <w:t> </w:t>
      </w:r>
      <w:r>
        <w:rPr>
          <w:color w:val="3A3A3A"/>
          <w:w w:val="90"/>
          <w:sz w:val="22"/>
        </w:rPr>
        <w:t>undergo</w:t>
      </w:r>
      <w:r>
        <w:rPr>
          <w:color w:val="646464"/>
          <w:w w:val="90"/>
          <w:sz w:val="22"/>
        </w:rPr>
        <w:t>i</w:t>
      </w:r>
      <w:r>
        <w:rPr>
          <w:color w:val="3A3A3A"/>
          <w:w w:val="90"/>
          <w:sz w:val="22"/>
        </w:rPr>
        <w:t>ng difficulties with</w:t>
      </w:r>
      <w:r>
        <w:rPr>
          <w:color w:val="3A3A3A"/>
          <w:spacing w:val="-8"/>
          <w:w w:val="90"/>
          <w:sz w:val="22"/>
        </w:rPr>
        <w:t> </w:t>
      </w:r>
      <w:r>
        <w:rPr>
          <w:color w:val="646464"/>
          <w:w w:val="90"/>
          <w:sz w:val="22"/>
        </w:rPr>
        <w:t>i</w:t>
      </w:r>
      <w:r>
        <w:rPr>
          <w:color w:val="3A3A3A"/>
          <w:w w:val="90"/>
          <w:sz w:val="22"/>
        </w:rPr>
        <w:t>ts</w:t>
      </w:r>
      <w:r>
        <w:rPr>
          <w:color w:val="3A3A3A"/>
          <w:spacing w:val="-28"/>
          <w:w w:val="90"/>
          <w:sz w:val="22"/>
        </w:rPr>
        <w:t> </w:t>
      </w:r>
      <w:r>
        <w:rPr>
          <w:color w:val="3A3A3A"/>
          <w:w w:val="90"/>
          <w:sz w:val="22"/>
        </w:rPr>
        <w:t>accreditation</w:t>
      </w:r>
      <w:r>
        <w:rPr>
          <w:color w:val="3A3A3A"/>
          <w:sz w:val="22"/>
        </w:rPr>
        <w:t> </w:t>
      </w:r>
      <w:r>
        <w:rPr>
          <w:color w:val="3A3A3A"/>
          <w:w w:val="90"/>
          <w:sz w:val="22"/>
        </w:rPr>
        <w:t>status. This placed a</w:t>
      </w:r>
      <w:r>
        <w:rPr>
          <w:color w:val="3A3A3A"/>
          <w:spacing w:val="-7"/>
          <w:w w:val="90"/>
          <w:sz w:val="22"/>
        </w:rPr>
        <w:t> </w:t>
      </w:r>
      <w:r>
        <w:rPr>
          <w:color w:val="3A3A3A"/>
          <w:w w:val="90"/>
          <w:sz w:val="22"/>
        </w:rPr>
        <w:t>burden on the</w:t>
      </w:r>
      <w:r>
        <w:rPr>
          <w:color w:val="3A3A3A"/>
          <w:spacing w:val="-4"/>
          <w:w w:val="90"/>
          <w:sz w:val="22"/>
        </w:rPr>
        <w:t> </w:t>
      </w:r>
      <w:r>
        <w:rPr>
          <w:color w:val="3A3A3A"/>
          <w:w w:val="90"/>
          <w:sz w:val="22"/>
        </w:rPr>
        <w:t>Hampton program,</w:t>
      </w:r>
      <w:r>
        <w:rPr>
          <w:color w:val="3A3A3A"/>
          <w:spacing w:val="32"/>
          <w:sz w:val="22"/>
        </w:rPr>
        <w:t> </w:t>
      </w:r>
      <w:r>
        <w:rPr>
          <w:color w:val="3A3A3A"/>
          <w:w w:val="90"/>
          <w:sz w:val="22"/>
        </w:rPr>
        <w:t>which was</w:t>
      </w:r>
      <w:r>
        <w:rPr>
          <w:color w:val="3A3A3A"/>
          <w:spacing w:val="-1"/>
          <w:w w:val="90"/>
          <w:sz w:val="22"/>
        </w:rPr>
        <w:t> </w:t>
      </w:r>
      <w:r>
        <w:rPr>
          <w:color w:val="525252"/>
          <w:w w:val="90"/>
          <w:sz w:val="22"/>
        </w:rPr>
        <w:t>resolved </w:t>
      </w:r>
      <w:r>
        <w:rPr>
          <w:color w:val="3A3A3A"/>
          <w:w w:val="90"/>
          <w:sz w:val="22"/>
        </w:rPr>
        <w:t>in 2010 by reducing the student popu</w:t>
      </w:r>
      <w:r>
        <w:rPr>
          <w:color w:val="646464"/>
          <w:w w:val="90"/>
          <w:sz w:val="22"/>
        </w:rPr>
        <w:t>l</w:t>
      </w:r>
      <w:r>
        <w:rPr>
          <w:color w:val="3A3A3A"/>
          <w:w w:val="90"/>
          <w:sz w:val="22"/>
        </w:rPr>
        <w:t>ation</w:t>
      </w:r>
      <w:r>
        <w:rPr>
          <w:color w:val="3A3A3A"/>
          <w:spacing w:val="-7"/>
          <w:w w:val="90"/>
          <w:sz w:val="22"/>
        </w:rPr>
        <w:t> </w:t>
      </w:r>
      <w:r>
        <w:rPr>
          <w:color w:val="3A3A3A"/>
          <w:w w:val="90"/>
          <w:sz w:val="22"/>
        </w:rPr>
        <w:t>back</w:t>
      </w:r>
      <w:r>
        <w:rPr>
          <w:color w:val="3A3A3A"/>
          <w:sz w:val="22"/>
        </w:rPr>
        <w:t> </w:t>
      </w:r>
      <w:r>
        <w:rPr>
          <w:color w:val="3A3A3A"/>
          <w:w w:val="90"/>
          <w:sz w:val="22"/>
        </w:rPr>
        <w:t>to</w:t>
      </w:r>
      <w:r>
        <w:rPr>
          <w:color w:val="3A3A3A"/>
          <w:spacing w:val="-11"/>
          <w:w w:val="90"/>
          <w:sz w:val="22"/>
        </w:rPr>
        <w:t> </w:t>
      </w:r>
      <w:r>
        <w:rPr>
          <w:color w:val="3A3A3A"/>
          <w:w w:val="90"/>
          <w:sz w:val="22"/>
        </w:rPr>
        <w:t>a</w:t>
      </w:r>
      <w:r>
        <w:rPr>
          <w:color w:val="3A3A3A"/>
          <w:spacing w:val="-5"/>
          <w:w w:val="90"/>
          <w:sz w:val="22"/>
        </w:rPr>
        <w:t> </w:t>
      </w:r>
      <w:r>
        <w:rPr>
          <w:color w:val="3A3A3A"/>
          <w:w w:val="90"/>
          <w:sz w:val="22"/>
        </w:rPr>
        <w:t>manageable </w:t>
      </w:r>
      <w:r>
        <w:rPr>
          <w:color w:val="3A3A3A"/>
          <w:spacing w:val="-2"/>
          <w:w w:val="95"/>
          <w:sz w:val="22"/>
        </w:rPr>
        <w:t>level</w:t>
      </w:r>
      <w:r>
        <w:rPr>
          <w:color w:val="3A3A3A"/>
          <w:spacing w:val="-21"/>
          <w:w w:val="95"/>
          <w:sz w:val="22"/>
        </w:rPr>
        <w:t> </w:t>
      </w:r>
      <w:r>
        <w:rPr>
          <w:color w:val="3A3A3A"/>
          <w:spacing w:val="-2"/>
          <w:w w:val="95"/>
          <w:sz w:val="22"/>
        </w:rPr>
        <w:t>of</w:t>
      </w:r>
      <w:r>
        <w:rPr>
          <w:color w:val="3A3A3A"/>
          <w:spacing w:val="-11"/>
          <w:w w:val="95"/>
          <w:sz w:val="22"/>
        </w:rPr>
        <w:t> </w:t>
      </w:r>
      <w:r>
        <w:rPr>
          <w:color w:val="3A3A3A"/>
          <w:spacing w:val="-2"/>
          <w:w w:val="95"/>
          <w:sz w:val="22"/>
        </w:rPr>
        <w:t>180</w:t>
      </w:r>
      <w:r>
        <w:rPr>
          <w:color w:val="3A3A3A"/>
          <w:spacing w:val="-10"/>
          <w:w w:val="95"/>
          <w:sz w:val="22"/>
        </w:rPr>
        <w:t> </w:t>
      </w:r>
      <w:r>
        <w:rPr>
          <w:color w:val="3A3A3A"/>
          <w:spacing w:val="-2"/>
          <w:w w:val="95"/>
          <w:sz w:val="22"/>
        </w:rPr>
        <w:t>students</w:t>
      </w:r>
      <w:r>
        <w:rPr>
          <w:color w:val="3A3A3A"/>
          <w:spacing w:val="-6"/>
          <w:w w:val="95"/>
          <w:sz w:val="22"/>
        </w:rPr>
        <w:t> </w:t>
      </w:r>
      <w:r>
        <w:rPr>
          <w:color w:val="3A3A3A"/>
          <w:spacing w:val="-2"/>
          <w:w w:val="95"/>
          <w:sz w:val="22"/>
        </w:rPr>
        <w:t>for</w:t>
      </w:r>
      <w:r>
        <w:rPr>
          <w:color w:val="3A3A3A"/>
          <w:spacing w:val="-10"/>
          <w:w w:val="95"/>
          <w:sz w:val="22"/>
        </w:rPr>
        <w:t> </w:t>
      </w:r>
      <w:r>
        <w:rPr>
          <w:color w:val="3A3A3A"/>
          <w:spacing w:val="-2"/>
          <w:w w:val="95"/>
          <w:sz w:val="22"/>
        </w:rPr>
        <w:t>the</w:t>
      </w:r>
      <w:r>
        <w:rPr>
          <w:color w:val="3A3A3A"/>
          <w:spacing w:val="-10"/>
          <w:w w:val="95"/>
          <w:sz w:val="22"/>
        </w:rPr>
        <w:t> </w:t>
      </w:r>
      <w:r>
        <w:rPr>
          <w:color w:val="3A3A3A"/>
          <w:spacing w:val="-2"/>
          <w:w w:val="95"/>
          <w:sz w:val="22"/>
        </w:rPr>
        <w:t>2010-2011 academic year</w:t>
      </w:r>
      <w:r>
        <w:rPr>
          <w:color w:val="646464"/>
          <w:spacing w:val="-2"/>
          <w:w w:val="95"/>
          <w:sz w:val="22"/>
        </w:rPr>
        <w:t>.</w:t>
      </w:r>
      <w:r>
        <w:rPr>
          <w:color w:val="646464"/>
          <w:spacing w:val="-17"/>
          <w:w w:val="95"/>
          <w:sz w:val="22"/>
        </w:rPr>
        <w:t> </w:t>
      </w:r>
      <w:r>
        <w:rPr>
          <w:color w:val="3A3A3A"/>
          <w:spacing w:val="-2"/>
          <w:w w:val="95"/>
          <w:sz w:val="19"/>
        </w:rPr>
        <w:t>By</w:t>
      </w:r>
      <w:r>
        <w:rPr>
          <w:color w:val="3A3A3A"/>
          <w:spacing w:val="-6"/>
          <w:w w:val="95"/>
          <w:sz w:val="19"/>
        </w:rPr>
        <w:t> </w:t>
      </w:r>
      <w:r>
        <w:rPr>
          <w:color w:val="3A3A3A"/>
          <w:spacing w:val="-2"/>
          <w:w w:val="95"/>
          <w:sz w:val="22"/>
        </w:rPr>
        <w:t>the</w:t>
      </w:r>
      <w:r>
        <w:rPr>
          <w:color w:val="3A3A3A"/>
          <w:spacing w:val="-14"/>
          <w:w w:val="95"/>
          <w:sz w:val="22"/>
        </w:rPr>
        <w:t> </w:t>
      </w:r>
      <w:r>
        <w:rPr>
          <w:color w:val="3A3A3A"/>
          <w:spacing w:val="-2"/>
          <w:w w:val="95"/>
          <w:sz w:val="22"/>
        </w:rPr>
        <w:t>2011-2012</w:t>
      </w:r>
      <w:r>
        <w:rPr>
          <w:color w:val="3A3A3A"/>
          <w:sz w:val="22"/>
        </w:rPr>
        <w:t> </w:t>
      </w:r>
      <w:r>
        <w:rPr>
          <w:color w:val="3A3A3A"/>
          <w:spacing w:val="-2"/>
          <w:w w:val="95"/>
          <w:sz w:val="22"/>
        </w:rPr>
        <w:t>academic year, the </w:t>
      </w:r>
      <w:r>
        <w:rPr>
          <w:color w:val="3A3A3A"/>
          <w:w w:val="90"/>
          <w:sz w:val="22"/>
        </w:rPr>
        <w:t>stooent</w:t>
      </w:r>
      <w:r>
        <w:rPr>
          <w:color w:val="3A3A3A"/>
          <w:spacing w:val="19"/>
          <w:sz w:val="22"/>
        </w:rPr>
        <w:t> </w:t>
      </w:r>
      <w:r>
        <w:rPr>
          <w:color w:val="3A3A3A"/>
          <w:w w:val="90"/>
          <w:sz w:val="22"/>
        </w:rPr>
        <w:t>population</w:t>
      </w:r>
      <w:r>
        <w:rPr>
          <w:color w:val="3A3A3A"/>
          <w:spacing w:val="24"/>
          <w:sz w:val="22"/>
        </w:rPr>
        <w:t> </w:t>
      </w:r>
      <w:r>
        <w:rPr>
          <w:color w:val="3A3A3A"/>
          <w:w w:val="90"/>
          <w:sz w:val="22"/>
        </w:rPr>
        <w:t>tota</w:t>
      </w:r>
      <w:r>
        <w:rPr>
          <w:color w:val="646464"/>
          <w:w w:val="90"/>
          <w:sz w:val="22"/>
        </w:rPr>
        <w:t>l</w:t>
      </w:r>
      <w:r>
        <w:rPr>
          <w:color w:val="3A3A3A"/>
          <w:w w:val="90"/>
          <w:sz w:val="22"/>
        </w:rPr>
        <w:t>ed</w:t>
      </w:r>
      <w:r>
        <w:rPr>
          <w:color w:val="3A3A3A"/>
          <w:spacing w:val="-5"/>
          <w:w w:val="90"/>
          <w:sz w:val="22"/>
        </w:rPr>
        <w:t> </w:t>
      </w:r>
      <w:r>
        <w:rPr>
          <w:color w:val="3A3A3A"/>
          <w:w w:val="90"/>
          <w:sz w:val="22"/>
        </w:rPr>
        <w:t>159</w:t>
      </w:r>
      <w:r>
        <w:rPr>
          <w:color w:val="7E7E7E"/>
          <w:w w:val="90"/>
          <w:sz w:val="22"/>
        </w:rPr>
        <w:t>.</w:t>
      </w:r>
      <w:r>
        <w:rPr>
          <w:color w:val="7E7E7E"/>
          <w:spacing w:val="-4"/>
          <w:w w:val="90"/>
          <w:sz w:val="22"/>
        </w:rPr>
        <w:t> </w:t>
      </w:r>
      <w:r>
        <w:rPr>
          <w:color w:val="3A3A3A"/>
          <w:w w:val="90"/>
          <w:sz w:val="22"/>
        </w:rPr>
        <w:t>Th</w:t>
      </w:r>
      <w:r>
        <w:rPr>
          <w:color w:val="646464"/>
          <w:w w:val="90"/>
          <w:sz w:val="22"/>
        </w:rPr>
        <w:t>i</w:t>
      </w:r>
      <w:r>
        <w:rPr>
          <w:color w:val="3A3A3A"/>
          <w:w w:val="90"/>
          <w:sz w:val="22"/>
        </w:rPr>
        <w:t>s</w:t>
      </w:r>
      <w:r>
        <w:rPr>
          <w:color w:val="3A3A3A"/>
          <w:spacing w:val="-15"/>
          <w:w w:val="90"/>
          <w:sz w:val="22"/>
        </w:rPr>
        <w:t> </w:t>
      </w:r>
      <w:r>
        <w:rPr>
          <w:color w:val="3A3A3A"/>
          <w:w w:val="90"/>
          <w:sz w:val="22"/>
        </w:rPr>
        <w:t>populatlon</w:t>
      </w:r>
      <w:r>
        <w:rPr>
          <w:color w:val="3A3A3A"/>
          <w:spacing w:val="24"/>
          <w:sz w:val="22"/>
        </w:rPr>
        <w:t> </w:t>
      </w:r>
      <w:r>
        <w:rPr>
          <w:color w:val="3A3A3A"/>
          <w:w w:val="90"/>
          <w:sz w:val="22"/>
        </w:rPr>
        <w:t>together</w:t>
      </w:r>
      <w:r>
        <w:rPr>
          <w:color w:val="3A3A3A"/>
          <w:spacing w:val="30"/>
          <w:sz w:val="22"/>
        </w:rPr>
        <w:t> </w:t>
      </w:r>
      <w:r>
        <w:rPr>
          <w:color w:val="3A3A3A"/>
          <w:w w:val="90"/>
          <w:sz w:val="22"/>
        </w:rPr>
        <w:t>with</w:t>
      </w:r>
      <w:r>
        <w:rPr>
          <w:color w:val="3A3A3A"/>
          <w:sz w:val="22"/>
        </w:rPr>
        <w:t> </w:t>
      </w:r>
      <w:r>
        <w:rPr>
          <w:color w:val="3A3A3A"/>
          <w:w w:val="90"/>
          <w:sz w:val="22"/>
        </w:rPr>
        <w:t>the changes</w:t>
      </w:r>
      <w:r>
        <w:rPr>
          <w:color w:val="3A3A3A"/>
          <w:sz w:val="22"/>
        </w:rPr>
        <w:t> </w:t>
      </w:r>
      <w:r>
        <w:rPr>
          <w:color w:val="646464"/>
          <w:w w:val="90"/>
          <w:sz w:val="22"/>
        </w:rPr>
        <w:t>i</w:t>
      </w:r>
      <w:r>
        <w:rPr>
          <w:color w:val="3A3A3A"/>
          <w:w w:val="90"/>
          <w:sz w:val="22"/>
        </w:rPr>
        <w:t>n</w:t>
      </w:r>
      <w:r>
        <w:rPr>
          <w:color w:val="3A3A3A"/>
          <w:spacing w:val="-8"/>
          <w:w w:val="90"/>
          <w:sz w:val="22"/>
        </w:rPr>
        <w:t> </w:t>
      </w:r>
      <w:r>
        <w:rPr>
          <w:color w:val="3A3A3A"/>
          <w:w w:val="90"/>
          <w:sz w:val="22"/>
        </w:rPr>
        <w:t>faculty</w:t>
      </w:r>
      <w:r>
        <w:rPr>
          <w:color w:val="3A3A3A"/>
          <w:sz w:val="22"/>
        </w:rPr>
        <w:t> </w:t>
      </w:r>
      <w:r>
        <w:rPr>
          <w:color w:val="3A3A3A"/>
          <w:w w:val="90"/>
          <w:sz w:val="22"/>
        </w:rPr>
        <w:t>member</w:t>
      </w:r>
      <w:r>
        <w:rPr>
          <w:color w:val="3A3A3A"/>
          <w:w w:val="90"/>
          <w:sz w:val="22"/>
        </w:rPr>
        <w:t> </w:t>
      </w:r>
      <w:r>
        <w:rPr>
          <w:color w:val="3A3A3A"/>
          <w:spacing w:val="-2"/>
          <w:w w:val="95"/>
          <w:sz w:val="22"/>
        </w:rPr>
        <w:t>totals</w:t>
      </w:r>
      <w:r>
        <w:rPr>
          <w:color w:val="3A3A3A"/>
          <w:spacing w:val="-8"/>
          <w:w w:val="95"/>
          <w:sz w:val="22"/>
        </w:rPr>
        <w:t> </w:t>
      </w:r>
      <w:r>
        <w:rPr>
          <w:color w:val="3A3A3A"/>
          <w:spacing w:val="-2"/>
          <w:w w:val="95"/>
          <w:sz w:val="22"/>
        </w:rPr>
        <w:t>brought</w:t>
      </w:r>
      <w:r>
        <w:rPr>
          <w:color w:val="3A3A3A"/>
          <w:spacing w:val="-39"/>
          <w:w w:val="95"/>
          <w:sz w:val="22"/>
        </w:rPr>
        <w:t> </w:t>
      </w:r>
      <w:r>
        <w:rPr>
          <w:color w:val="3A3A3A"/>
          <w:spacing w:val="-2"/>
          <w:w w:val="95"/>
          <w:sz w:val="22"/>
        </w:rPr>
        <w:t>1he</w:t>
      </w:r>
      <w:r>
        <w:rPr>
          <w:color w:val="3A3A3A"/>
          <w:spacing w:val="-17"/>
          <w:w w:val="95"/>
          <w:sz w:val="22"/>
        </w:rPr>
        <w:t> </w:t>
      </w:r>
      <w:r>
        <w:rPr>
          <w:color w:val="3A3A3A"/>
          <w:spacing w:val="-2"/>
          <w:w w:val="95"/>
          <w:sz w:val="22"/>
        </w:rPr>
        <w:t>student-</w:t>
      </w:r>
      <w:r>
        <w:rPr>
          <w:color w:val="3A3A3A"/>
          <w:spacing w:val="-4"/>
          <w:w w:val="95"/>
          <w:sz w:val="22"/>
        </w:rPr>
        <w:t> </w:t>
      </w:r>
      <w:r>
        <w:rPr>
          <w:color w:val="3A3A3A"/>
          <w:spacing w:val="-2"/>
          <w:w w:val="95"/>
          <w:sz w:val="22"/>
        </w:rPr>
        <w:t>o-factifty</w:t>
      </w:r>
      <w:r>
        <w:rPr>
          <w:color w:val="3A3A3A"/>
          <w:spacing w:val="9"/>
          <w:sz w:val="22"/>
        </w:rPr>
        <w:t> </w:t>
      </w:r>
      <w:r>
        <w:rPr>
          <w:color w:val="3A3A3A"/>
          <w:spacing w:val="-2"/>
          <w:w w:val="95"/>
          <w:sz w:val="22"/>
        </w:rPr>
        <w:t>ratio tp</w:t>
      </w:r>
      <w:r>
        <w:rPr>
          <w:color w:val="3A3A3A"/>
          <w:spacing w:val="-9"/>
          <w:w w:val="95"/>
          <w:sz w:val="22"/>
        </w:rPr>
        <w:t> </w:t>
      </w:r>
      <w:r>
        <w:rPr>
          <w:color w:val="3A3A3A"/>
          <w:spacing w:val="-2"/>
          <w:w w:val="95"/>
          <w:sz w:val="22"/>
        </w:rPr>
        <w:t>1</w:t>
      </w:r>
      <w:r>
        <w:rPr>
          <w:color w:val="646464"/>
          <w:spacing w:val="-2"/>
          <w:w w:val="95"/>
          <w:sz w:val="22"/>
        </w:rPr>
        <w:t>:</w:t>
      </w:r>
      <w:r>
        <w:rPr>
          <w:rFonts w:ascii="Times New Roman"/>
          <w:color w:val="3A3A3A"/>
          <w:spacing w:val="-2"/>
          <w:w w:val="95"/>
          <w:sz w:val="21"/>
        </w:rPr>
        <w:t>18</w:t>
      </w:r>
      <w:r>
        <w:rPr>
          <w:rFonts w:ascii="Times New Roman"/>
          <w:color w:val="AEAEAE"/>
          <w:spacing w:val="-2"/>
          <w:w w:val="95"/>
          <w:sz w:val="21"/>
        </w:rPr>
        <w:t>. </w:t>
      </w:r>
      <w:r>
        <w:rPr>
          <w:color w:val="3A3A3A"/>
          <w:spacing w:val="-2"/>
          <w:w w:val="95"/>
          <w:sz w:val="22"/>
        </w:rPr>
        <w:t>The</w:t>
      </w:r>
      <w:r>
        <w:rPr>
          <w:color w:val="3A3A3A"/>
          <w:spacing w:val="-12"/>
          <w:w w:val="95"/>
          <w:sz w:val="22"/>
        </w:rPr>
        <w:t> </w:t>
      </w:r>
      <w:r>
        <w:rPr>
          <w:color w:val="3A3A3A"/>
          <w:spacing w:val="-2"/>
          <w:w w:val="95"/>
          <w:sz w:val="22"/>
        </w:rPr>
        <w:t>FE</w:t>
      </w:r>
      <w:r>
        <w:rPr>
          <w:color w:val="3A3A3A"/>
          <w:spacing w:val="-14"/>
          <w:w w:val="95"/>
          <w:sz w:val="22"/>
        </w:rPr>
        <w:t> </w:t>
      </w:r>
      <w:r>
        <w:rPr>
          <w:color w:val="3A3A3A"/>
          <w:spacing w:val="-2"/>
          <w:w w:val="95"/>
          <w:sz w:val="22"/>
        </w:rPr>
        <w:t>team</w:t>
      </w:r>
      <w:r>
        <w:rPr>
          <w:color w:val="3A3A3A"/>
          <w:spacing w:val="-6"/>
          <w:w w:val="95"/>
          <w:sz w:val="22"/>
        </w:rPr>
        <w:t> </w:t>
      </w:r>
      <w:r>
        <w:rPr>
          <w:color w:val="3A3A3A"/>
          <w:spacing w:val="-2"/>
          <w:w w:val="95"/>
          <w:sz w:val="22"/>
        </w:rPr>
        <w:t>sees a</w:t>
      </w:r>
      <w:r>
        <w:rPr>
          <w:color w:val="3A3A3A"/>
          <w:spacing w:val="-27"/>
          <w:w w:val="95"/>
          <w:sz w:val="22"/>
        </w:rPr>
        <w:t> </w:t>
      </w:r>
      <w:r>
        <w:rPr>
          <w:color w:val="3A3A3A"/>
          <w:spacing w:val="-2"/>
          <w:w w:val="95"/>
          <w:sz w:val="22"/>
        </w:rPr>
        <w:t>commitment</w:t>
      </w:r>
      <w:r>
        <w:rPr>
          <w:color w:val="3A3A3A"/>
          <w:sz w:val="22"/>
        </w:rPr>
        <w:t> </w:t>
      </w:r>
      <w:r>
        <w:rPr>
          <w:color w:val="3A3A3A"/>
          <w:spacing w:val="-2"/>
          <w:w w:val="95"/>
          <w:sz w:val="22"/>
        </w:rPr>
        <w:t>in</w:t>
      </w:r>
      <w:r>
        <w:rPr>
          <w:color w:val="3A3A3A"/>
          <w:spacing w:val="-11"/>
          <w:w w:val="95"/>
          <w:sz w:val="22"/>
        </w:rPr>
        <w:t> </w:t>
      </w:r>
      <w:r>
        <w:rPr>
          <w:color w:val="3A3A3A"/>
          <w:spacing w:val="-2"/>
          <w:w w:val="95"/>
          <w:sz w:val="22"/>
        </w:rPr>
        <w:t>the </w:t>
      </w:r>
      <w:r>
        <w:rPr>
          <w:color w:val="3A3A3A"/>
          <w:w w:val="90"/>
          <w:sz w:val="22"/>
        </w:rPr>
        <w:t>admissions process</w:t>
      </w:r>
      <w:r>
        <w:rPr>
          <w:color w:val="3A3A3A"/>
          <w:sz w:val="22"/>
        </w:rPr>
        <w:t> </w:t>
      </w:r>
      <w:r>
        <w:rPr>
          <w:color w:val="3A3A3A"/>
          <w:w w:val="90"/>
          <w:sz w:val="22"/>
        </w:rPr>
        <w:t>to</w:t>
      </w:r>
      <w:r>
        <w:rPr>
          <w:color w:val="3A3A3A"/>
          <w:spacing w:val="-14"/>
          <w:w w:val="90"/>
          <w:sz w:val="22"/>
        </w:rPr>
        <w:t> </w:t>
      </w:r>
      <w:r>
        <w:rPr>
          <w:color w:val="3A3A3A"/>
          <w:w w:val="90"/>
          <w:sz w:val="22"/>
        </w:rPr>
        <w:t>reduce </w:t>
      </w:r>
      <w:r>
        <w:rPr>
          <w:color w:val="3A3A3A"/>
          <w:w w:val="90"/>
          <w:sz w:val="19"/>
        </w:rPr>
        <w:t>the </w:t>
      </w:r>
      <w:r>
        <w:rPr>
          <w:color w:val="3A3A3A"/>
          <w:w w:val="90"/>
          <w:sz w:val="22"/>
        </w:rPr>
        <w:t>,:.umber</w:t>
      </w:r>
      <w:r>
        <w:rPr>
          <w:color w:val="3A3A3A"/>
          <w:sz w:val="22"/>
        </w:rPr>
        <w:t> </w:t>
      </w:r>
      <w:r>
        <w:rPr>
          <w:color w:val="3A3A3A"/>
          <w:w w:val="90"/>
          <w:sz w:val="22"/>
        </w:rPr>
        <w:t>of students accepted</w:t>
      </w:r>
      <w:r>
        <w:rPr>
          <w:color w:val="3A3A3A"/>
          <w:sz w:val="22"/>
        </w:rPr>
        <w:t> </w:t>
      </w:r>
      <w:r>
        <w:rPr>
          <w:color w:val="3A3A3A"/>
          <w:w w:val="90"/>
          <w:sz w:val="22"/>
        </w:rPr>
        <w:t>to a leve</w:t>
      </w:r>
      <w:r>
        <w:rPr>
          <w:color w:val="646464"/>
          <w:w w:val="90"/>
          <w:sz w:val="22"/>
        </w:rPr>
        <w:t>l </w:t>
      </w:r>
      <w:r>
        <w:rPr>
          <w:color w:val="3A3A3A"/>
          <w:w w:val="90"/>
          <w:sz w:val="22"/>
        </w:rPr>
        <w:t>appropriate to the faculty and fae3lity support ava</w:t>
      </w:r>
      <w:r>
        <w:rPr>
          <w:color w:val="7E7E7E"/>
          <w:w w:val="90"/>
          <w:sz w:val="22"/>
        </w:rPr>
        <w:t>i</w:t>
      </w:r>
      <w:r>
        <w:rPr>
          <w:color w:val="3A3A3A"/>
          <w:w w:val="90"/>
          <w:sz w:val="22"/>
        </w:rPr>
        <w:t>lable</w:t>
      </w:r>
      <w:r>
        <w:rPr>
          <w:color w:val="7E7E7E"/>
          <w:w w:val="90"/>
          <w:sz w:val="22"/>
        </w:rPr>
        <w:t>.</w:t>
      </w:r>
    </w:p>
    <w:p>
      <w:pPr>
        <w:pStyle w:val="BodyText"/>
        <w:spacing w:before="10"/>
      </w:pPr>
    </w:p>
    <w:p>
      <w:pPr>
        <w:spacing w:line="218" w:lineRule="auto" w:before="0"/>
        <w:ind w:left="1747" w:right="138" w:firstLine="16"/>
        <w:jc w:val="left"/>
        <w:rPr>
          <w:sz w:val="22"/>
        </w:rPr>
      </w:pPr>
      <w:r>
        <w:rPr>
          <w:color w:val="3A3A3A"/>
          <w:w w:val="90"/>
          <w:sz w:val="22"/>
        </w:rPr>
        <w:t>The</w:t>
      </w:r>
      <w:r>
        <w:rPr>
          <w:color w:val="3A3A3A"/>
          <w:spacing w:val="-8"/>
          <w:w w:val="90"/>
          <w:sz w:val="22"/>
        </w:rPr>
        <w:t> </w:t>
      </w:r>
      <w:r>
        <w:rPr>
          <w:color w:val="3A3A3A"/>
          <w:w w:val="90"/>
          <w:sz w:val="22"/>
        </w:rPr>
        <w:t>reassignment</w:t>
      </w:r>
      <w:r>
        <w:rPr>
          <w:color w:val="3A3A3A"/>
          <w:sz w:val="22"/>
        </w:rPr>
        <w:t> </w:t>
      </w:r>
      <w:r>
        <w:rPr>
          <w:color w:val="3A3A3A"/>
          <w:w w:val="90"/>
          <w:sz w:val="22"/>
        </w:rPr>
        <w:t>of</w:t>
      </w:r>
      <w:r>
        <w:rPr>
          <w:color w:val="3A3A3A"/>
          <w:spacing w:val="-4"/>
          <w:w w:val="90"/>
          <w:sz w:val="22"/>
        </w:rPr>
        <w:t> </w:t>
      </w:r>
      <w:r>
        <w:rPr>
          <w:color w:val="3A3A3A"/>
          <w:w w:val="90"/>
          <w:sz w:val="22"/>
        </w:rPr>
        <w:t>a</w:t>
      </w:r>
      <w:r>
        <w:rPr>
          <w:color w:val="3A3A3A"/>
          <w:spacing w:val="-17"/>
          <w:w w:val="90"/>
          <w:sz w:val="22"/>
        </w:rPr>
        <w:t> </w:t>
      </w:r>
      <w:r>
        <w:rPr>
          <w:color w:val="3A3A3A"/>
          <w:w w:val="90"/>
          <w:sz w:val="22"/>
        </w:rPr>
        <w:t>faculty</w:t>
      </w:r>
      <w:r>
        <w:rPr>
          <w:color w:val="3A3A3A"/>
          <w:sz w:val="22"/>
        </w:rPr>
        <w:t> </w:t>
      </w:r>
      <w:r>
        <w:rPr>
          <w:color w:val="3A3A3A"/>
          <w:w w:val="90"/>
          <w:sz w:val="22"/>
        </w:rPr>
        <w:t>member</w:t>
      </w:r>
      <w:r>
        <w:rPr>
          <w:color w:val="3A3A3A"/>
          <w:spacing w:val="-1"/>
          <w:w w:val="90"/>
          <w:sz w:val="22"/>
        </w:rPr>
        <w:t> </w:t>
      </w:r>
      <w:r>
        <w:rPr>
          <w:color w:val="3A3A3A"/>
          <w:w w:val="90"/>
          <w:sz w:val="22"/>
        </w:rPr>
        <w:t>from part-time to</w:t>
      </w:r>
      <w:r>
        <w:rPr>
          <w:color w:val="3A3A3A"/>
          <w:spacing w:val="-8"/>
          <w:w w:val="90"/>
          <w:sz w:val="22"/>
        </w:rPr>
        <w:t> </w:t>
      </w:r>
      <w:r>
        <w:rPr>
          <w:color w:val="3A3A3A"/>
          <w:w w:val="90"/>
          <w:sz w:val="22"/>
        </w:rPr>
        <w:t>full-time and</w:t>
      </w:r>
      <w:r>
        <w:rPr>
          <w:color w:val="3A3A3A"/>
          <w:spacing w:val="-3"/>
          <w:w w:val="90"/>
          <w:sz w:val="22"/>
        </w:rPr>
        <w:t> </w:t>
      </w:r>
      <w:r>
        <w:rPr>
          <w:color w:val="3A3A3A"/>
          <w:w w:val="90"/>
          <w:sz w:val="22"/>
        </w:rPr>
        <w:t>the</w:t>
      </w:r>
      <w:r>
        <w:rPr>
          <w:color w:val="3A3A3A"/>
          <w:spacing w:val="-11"/>
          <w:w w:val="90"/>
          <w:sz w:val="22"/>
        </w:rPr>
        <w:t> </w:t>
      </w:r>
      <w:r>
        <w:rPr>
          <w:color w:val="3A3A3A"/>
          <w:w w:val="90"/>
          <w:sz w:val="22"/>
        </w:rPr>
        <w:t>involvement of</w:t>
      </w:r>
      <w:r>
        <w:rPr>
          <w:color w:val="3A3A3A"/>
          <w:spacing w:val="-18"/>
          <w:w w:val="90"/>
          <w:sz w:val="22"/>
        </w:rPr>
        <w:t> </w:t>
      </w:r>
      <w:r>
        <w:rPr>
          <w:color w:val="3A3A3A"/>
          <w:w w:val="90"/>
          <w:sz w:val="22"/>
        </w:rPr>
        <w:t>adjunct </w:t>
      </w:r>
      <w:r>
        <w:rPr>
          <w:color w:val="3A3A3A"/>
          <w:spacing w:val="-2"/>
          <w:w w:val="95"/>
          <w:sz w:val="22"/>
        </w:rPr>
        <w:t>faculty</w:t>
      </w:r>
      <w:r>
        <w:rPr>
          <w:color w:val="3A3A3A"/>
          <w:spacing w:val="-6"/>
          <w:w w:val="95"/>
          <w:sz w:val="22"/>
        </w:rPr>
        <w:t> </w:t>
      </w:r>
      <w:r>
        <w:rPr>
          <w:color w:val="3A3A3A"/>
          <w:spacing w:val="-2"/>
          <w:w w:val="95"/>
          <w:sz w:val="22"/>
        </w:rPr>
        <w:t>have</w:t>
      </w:r>
      <w:r>
        <w:rPr>
          <w:color w:val="3A3A3A"/>
          <w:spacing w:val="-9"/>
          <w:w w:val="95"/>
          <w:sz w:val="22"/>
        </w:rPr>
        <w:t> </w:t>
      </w:r>
      <w:r>
        <w:rPr>
          <w:color w:val="3A3A3A"/>
          <w:spacing w:val="-2"/>
          <w:w w:val="95"/>
          <w:sz w:val="22"/>
        </w:rPr>
        <w:t>had</w:t>
      </w:r>
      <w:r>
        <w:rPr>
          <w:color w:val="3A3A3A"/>
          <w:spacing w:val="-9"/>
          <w:w w:val="95"/>
          <w:sz w:val="22"/>
        </w:rPr>
        <w:t> </w:t>
      </w:r>
      <w:r>
        <w:rPr>
          <w:i/>
          <w:color w:val="3A3A3A"/>
          <w:spacing w:val="-2"/>
          <w:w w:val="95"/>
          <w:sz w:val="20"/>
        </w:rPr>
        <w:t>a</w:t>
      </w:r>
      <w:r>
        <w:rPr>
          <w:i/>
          <w:color w:val="3A3A3A"/>
          <w:spacing w:val="10"/>
          <w:sz w:val="20"/>
        </w:rPr>
        <w:t> </w:t>
      </w:r>
      <w:r>
        <w:rPr>
          <w:color w:val="3A3A3A"/>
          <w:spacing w:val="-2"/>
          <w:w w:val="95"/>
          <w:sz w:val="22"/>
        </w:rPr>
        <w:t>positive </w:t>
      </w:r>
      <w:r>
        <w:rPr>
          <w:color w:val="525252"/>
          <w:spacing w:val="-2"/>
          <w:w w:val="95"/>
          <w:sz w:val="22"/>
        </w:rPr>
        <w:t>impact</w:t>
      </w:r>
      <w:r>
        <w:rPr>
          <w:color w:val="525252"/>
          <w:spacing w:val="-3"/>
          <w:w w:val="95"/>
          <w:sz w:val="22"/>
        </w:rPr>
        <w:t> </w:t>
      </w:r>
      <w:r>
        <w:rPr>
          <w:color w:val="3A3A3A"/>
          <w:spacing w:val="-2"/>
          <w:w w:val="95"/>
          <w:sz w:val="22"/>
        </w:rPr>
        <w:t>on</w:t>
      </w:r>
      <w:r>
        <w:rPr>
          <w:color w:val="3A3A3A"/>
          <w:spacing w:val="-5"/>
          <w:w w:val="95"/>
          <w:sz w:val="22"/>
        </w:rPr>
        <w:t> </w:t>
      </w:r>
      <w:r>
        <w:rPr>
          <w:color w:val="3A3A3A"/>
          <w:spacing w:val="-2"/>
          <w:w w:val="95"/>
          <w:sz w:val="22"/>
        </w:rPr>
        <w:t>the</w:t>
      </w:r>
      <w:r>
        <w:rPr>
          <w:color w:val="3A3A3A"/>
          <w:spacing w:val="-9"/>
          <w:w w:val="95"/>
          <w:sz w:val="22"/>
        </w:rPr>
        <w:t> </w:t>
      </w:r>
      <w:r>
        <w:rPr>
          <w:color w:val="3A3A3A"/>
          <w:spacing w:val="-2"/>
          <w:w w:val="95"/>
          <w:sz w:val="22"/>
        </w:rPr>
        <w:t>program</w:t>
      </w:r>
      <w:r>
        <w:rPr>
          <w:color w:val="7E7E7E"/>
          <w:spacing w:val="-2"/>
          <w:w w:val="95"/>
          <w:sz w:val="22"/>
        </w:rPr>
        <w:t>.</w:t>
      </w:r>
      <w:r>
        <w:rPr>
          <w:color w:val="7E7E7E"/>
          <w:spacing w:val="-37"/>
          <w:w w:val="95"/>
          <w:sz w:val="22"/>
        </w:rPr>
        <w:t> </w:t>
      </w:r>
      <w:r>
        <w:rPr>
          <w:color w:val="3A3A3A"/>
          <w:spacing w:val="-2"/>
          <w:w w:val="95"/>
          <w:sz w:val="22"/>
        </w:rPr>
        <w:t>In</w:t>
      </w:r>
      <w:r>
        <w:rPr>
          <w:color w:val="3A3A3A"/>
          <w:spacing w:val="-14"/>
          <w:w w:val="95"/>
          <w:sz w:val="22"/>
        </w:rPr>
        <w:t> </w:t>
      </w:r>
      <w:r>
        <w:rPr>
          <w:color w:val="3A3A3A"/>
          <w:spacing w:val="-2"/>
          <w:w w:val="95"/>
          <w:sz w:val="22"/>
        </w:rPr>
        <w:t>addition</w:t>
      </w:r>
      <w:r>
        <w:rPr>
          <w:color w:val="646464"/>
          <w:spacing w:val="-2"/>
          <w:w w:val="95"/>
          <w:sz w:val="22"/>
        </w:rPr>
        <w:t>,</w:t>
      </w:r>
      <w:r>
        <w:rPr>
          <w:color w:val="646464"/>
          <w:spacing w:val="-30"/>
          <w:w w:val="95"/>
          <w:sz w:val="22"/>
        </w:rPr>
        <w:t> </w:t>
      </w:r>
      <w:r>
        <w:rPr>
          <w:color w:val="3A3A3A"/>
          <w:spacing w:val="-2"/>
          <w:w w:val="95"/>
          <w:sz w:val="22"/>
        </w:rPr>
        <w:t>local</w:t>
      </w:r>
      <w:r>
        <w:rPr>
          <w:color w:val="3A3A3A"/>
          <w:spacing w:val="-8"/>
          <w:w w:val="95"/>
          <w:sz w:val="22"/>
        </w:rPr>
        <w:t> </w:t>
      </w:r>
      <w:r>
        <w:rPr>
          <w:color w:val="3A3A3A"/>
          <w:spacing w:val="-2"/>
          <w:w w:val="95"/>
          <w:sz w:val="22"/>
        </w:rPr>
        <w:t>architecture</w:t>
      </w:r>
      <w:r>
        <w:rPr>
          <w:color w:val="3A3A3A"/>
          <w:sz w:val="22"/>
        </w:rPr>
        <w:t> </w:t>
      </w:r>
      <w:r>
        <w:rPr>
          <w:color w:val="3A3A3A"/>
          <w:spacing w:val="-2"/>
          <w:w w:val="95"/>
          <w:sz w:val="22"/>
        </w:rPr>
        <w:t>firms</w:t>
      </w:r>
      <w:r>
        <w:rPr>
          <w:color w:val="3A3A3A"/>
          <w:spacing w:val="-16"/>
          <w:w w:val="95"/>
          <w:sz w:val="22"/>
        </w:rPr>
        <w:t> </w:t>
      </w:r>
      <w:r>
        <w:rPr>
          <w:color w:val="3A3A3A"/>
          <w:spacing w:val="-2"/>
          <w:w w:val="95"/>
          <w:sz w:val="22"/>
        </w:rPr>
        <w:t>have </w:t>
      </w:r>
      <w:r>
        <w:rPr>
          <w:color w:val="3A3A3A"/>
          <w:w w:val="90"/>
          <w:sz w:val="22"/>
        </w:rPr>
        <w:t>added to the improvements</w:t>
      </w:r>
      <w:r>
        <w:rPr>
          <w:color w:val="3A3A3A"/>
          <w:spacing w:val="40"/>
          <w:sz w:val="22"/>
        </w:rPr>
        <w:t> </w:t>
      </w:r>
      <w:r>
        <w:rPr>
          <w:color w:val="525252"/>
          <w:w w:val="90"/>
          <w:sz w:val="22"/>
        </w:rPr>
        <w:t>in </w:t>
      </w:r>
      <w:r>
        <w:rPr>
          <w:color w:val="3A3A3A"/>
          <w:w w:val="90"/>
          <w:sz w:val="22"/>
        </w:rPr>
        <w:t>the student-to-faculty</w:t>
      </w:r>
      <w:r>
        <w:rPr>
          <w:color w:val="3A3A3A"/>
          <w:spacing w:val="-7"/>
          <w:w w:val="90"/>
          <w:sz w:val="22"/>
        </w:rPr>
        <w:t> </w:t>
      </w:r>
      <w:r>
        <w:rPr>
          <w:color w:val="3A3A3A"/>
          <w:w w:val="90"/>
          <w:sz w:val="22"/>
        </w:rPr>
        <w:t>ratio and have assisted</w:t>
      </w:r>
      <w:r>
        <w:rPr>
          <w:color w:val="3A3A3A"/>
          <w:spacing w:val="40"/>
          <w:sz w:val="22"/>
        </w:rPr>
        <w:t> </w:t>
      </w:r>
      <w:r>
        <w:rPr>
          <w:color w:val="525252"/>
          <w:w w:val="90"/>
          <w:sz w:val="22"/>
        </w:rPr>
        <w:t>in </w:t>
      </w:r>
      <w:r>
        <w:rPr>
          <w:color w:val="3A3A3A"/>
          <w:w w:val="90"/>
          <w:sz w:val="22"/>
        </w:rPr>
        <w:t>design studio courses.</w:t>
      </w:r>
      <w:r>
        <w:rPr>
          <w:color w:val="3A3A3A"/>
          <w:spacing w:val="-1"/>
          <w:w w:val="90"/>
          <w:sz w:val="22"/>
        </w:rPr>
        <w:t> </w:t>
      </w:r>
      <w:r>
        <w:rPr>
          <w:color w:val="3A3A3A"/>
          <w:w w:val="90"/>
          <w:sz w:val="22"/>
        </w:rPr>
        <w:t>Last year, the</w:t>
      </w:r>
      <w:r>
        <w:rPr>
          <w:color w:val="3A3A3A"/>
          <w:spacing w:val="-2"/>
          <w:w w:val="90"/>
          <w:sz w:val="22"/>
        </w:rPr>
        <w:t> </w:t>
      </w:r>
      <w:r>
        <w:rPr>
          <w:color w:val="3A3A3A"/>
          <w:w w:val="90"/>
          <w:sz w:val="22"/>
        </w:rPr>
        <w:t>Department of Architecture experienced asuccessful oollaboration</w:t>
      </w:r>
      <w:r>
        <w:rPr>
          <w:color w:val="3A3A3A"/>
          <w:spacing w:val="40"/>
          <w:sz w:val="22"/>
        </w:rPr>
        <w:t> </w:t>
      </w:r>
      <w:r>
        <w:rPr>
          <w:color w:val="3A3A3A"/>
          <w:w w:val="90"/>
          <w:sz w:val="22"/>
        </w:rPr>
        <w:t>with </w:t>
      </w:r>
      <w:r>
        <w:rPr>
          <w:color w:val="3A3A3A"/>
          <w:spacing w:val="-2"/>
          <w:w w:val="95"/>
          <w:sz w:val="22"/>
        </w:rPr>
        <w:t>another</w:t>
      </w:r>
      <w:r>
        <w:rPr>
          <w:color w:val="3A3A3A"/>
          <w:spacing w:val="-9"/>
          <w:w w:val="95"/>
          <w:sz w:val="22"/>
        </w:rPr>
        <w:t> </w:t>
      </w:r>
      <w:r>
        <w:rPr>
          <w:color w:val="3A3A3A"/>
          <w:spacing w:val="-2"/>
          <w:w w:val="95"/>
          <w:sz w:val="22"/>
        </w:rPr>
        <w:t>institution to</w:t>
      </w:r>
      <w:r>
        <w:rPr>
          <w:color w:val="3A3A3A"/>
          <w:spacing w:val="-11"/>
          <w:w w:val="95"/>
          <w:sz w:val="22"/>
        </w:rPr>
        <w:t> </w:t>
      </w:r>
      <w:r>
        <w:rPr>
          <w:color w:val="3A3A3A"/>
          <w:spacing w:val="-2"/>
          <w:w w:val="95"/>
          <w:sz w:val="22"/>
        </w:rPr>
        <w:t>compete </w:t>
      </w:r>
      <w:r>
        <w:rPr>
          <w:color w:val="525252"/>
          <w:spacing w:val="-2"/>
          <w:w w:val="95"/>
          <w:sz w:val="22"/>
        </w:rPr>
        <w:t>in</w:t>
      </w:r>
      <w:r>
        <w:rPr>
          <w:color w:val="525252"/>
          <w:spacing w:val="-11"/>
          <w:w w:val="95"/>
          <w:sz w:val="22"/>
        </w:rPr>
        <w:t> </w:t>
      </w:r>
      <w:r>
        <w:rPr>
          <w:color w:val="3A3A3A"/>
          <w:spacing w:val="-2"/>
          <w:w w:val="95"/>
          <w:sz w:val="22"/>
        </w:rPr>
        <w:t>the</w:t>
      </w:r>
      <w:r>
        <w:rPr>
          <w:color w:val="3A3A3A"/>
          <w:spacing w:val="-16"/>
          <w:w w:val="95"/>
          <w:sz w:val="22"/>
        </w:rPr>
        <w:t> </w:t>
      </w:r>
      <w:r>
        <w:rPr>
          <w:color w:val="3A3A3A"/>
          <w:spacing w:val="-2"/>
          <w:w w:val="95"/>
          <w:sz w:val="22"/>
        </w:rPr>
        <w:t>U</w:t>
      </w:r>
      <w:r>
        <w:rPr>
          <w:color w:val="7E7E7E"/>
          <w:spacing w:val="-2"/>
          <w:w w:val="95"/>
          <w:sz w:val="22"/>
        </w:rPr>
        <w:t>.</w:t>
      </w:r>
      <w:r>
        <w:rPr>
          <w:color w:val="3A3A3A"/>
          <w:spacing w:val="-2"/>
          <w:w w:val="95"/>
          <w:sz w:val="22"/>
        </w:rPr>
        <w:t>S</w:t>
      </w:r>
      <w:r>
        <w:rPr>
          <w:color w:val="7E7E7E"/>
          <w:spacing w:val="-2"/>
          <w:w w:val="95"/>
          <w:sz w:val="22"/>
        </w:rPr>
        <w:t>.</w:t>
      </w:r>
      <w:r>
        <w:rPr>
          <w:color w:val="7E7E7E"/>
          <w:spacing w:val="-29"/>
          <w:w w:val="95"/>
          <w:sz w:val="22"/>
        </w:rPr>
        <w:t> </w:t>
      </w:r>
      <w:r>
        <w:rPr>
          <w:color w:val="3A3A3A"/>
          <w:spacing w:val="-2"/>
          <w:w w:val="95"/>
          <w:sz w:val="22"/>
        </w:rPr>
        <w:t>Department of</w:t>
      </w:r>
      <w:r>
        <w:rPr>
          <w:color w:val="3A3A3A"/>
          <w:spacing w:val="-16"/>
          <w:w w:val="95"/>
          <w:sz w:val="22"/>
        </w:rPr>
        <w:t> </w:t>
      </w:r>
      <w:r>
        <w:rPr>
          <w:color w:val="3A3A3A"/>
          <w:spacing w:val="-2"/>
          <w:w w:val="95"/>
          <w:sz w:val="22"/>
        </w:rPr>
        <w:t>Energy's</w:t>
      </w:r>
      <w:r>
        <w:rPr>
          <w:color w:val="3A3A3A"/>
          <w:spacing w:val="-4"/>
          <w:w w:val="95"/>
          <w:sz w:val="22"/>
        </w:rPr>
        <w:t> </w:t>
      </w:r>
      <w:r>
        <w:rPr>
          <w:color w:val="3A3A3A"/>
          <w:spacing w:val="-2"/>
          <w:w w:val="95"/>
          <w:sz w:val="22"/>
        </w:rPr>
        <w:t>Solar</w:t>
      </w:r>
      <w:r>
        <w:rPr>
          <w:color w:val="3A3A3A"/>
          <w:spacing w:val="-14"/>
          <w:w w:val="95"/>
          <w:sz w:val="22"/>
        </w:rPr>
        <w:t> </w:t>
      </w:r>
      <w:r>
        <w:rPr>
          <w:color w:val="3A3A3A"/>
          <w:spacing w:val="-2"/>
          <w:w w:val="95"/>
          <w:sz w:val="22"/>
        </w:rPr>
        <w:t>Decathlon and</w:t>
      </w:r>
      <w:r>
        <w:rPr>
          <w:color w:val="3A3A3A"/>
          <w:spacing w:val="-6"/>
          <w:w w:val="95"/>
          <w:sz w:val="22"/>
        </w:rPr>
        <w:t> </w:t>
      </w:r>
      <w:r>
        <w:rPr>
          <w:color w:val="525252"/>
          <w:spacing w:val="-2"/>
          <w:w w:val="95"/>
          <w:sz w:val="22"/>
        </w:rPr>
        <w:t>is </w:t>
      </w:r>
      <w:r>
        <w:rPr>
          <w:color w:val="3A3A3A"/>
          <w:w w:val="95"/>
          <w:sz w:val="22"/>
        </w:rPr>
        <w:t>oonttnu</w:t>
      </w:r>
      <w:r>
        <w:rPr>
          <w:color w:val="646464"/>
          <w:w w:val="95"/>
          <w:sz w:val="22"/>
        </w:rPr>
        <w:t>i</w:t>
      </w:r>
      <w:r>
        <w:rPr>
          <w:color w:val="3A3A3A"/>
          <w:w w:val="95"/>
          <w:sz w:val="22"/>
        </w:rPr>
        <w:t>ng</w:t>
      </w:r>
      <w:r>
        <w:rPr>
          <w:color w:val="3A3A3A"/>
          <w:spacing w:val="-24"/>
          <w:w w:val="95"/>
          <w:sz w:val="22"/>
        </w:rPr>
        <w:t> </w:t>
      </w:r>
      <w:r>
        <w:rPr>
          <w:color w:val="3A3A3A"/>
          <w:w w:val="95"/>
          <w:sz w:val="22"/>
        </w:rPr>
        <w:t>that</w:t>
      </w:r>
      <w:r>
        <w:rPr>
          <w:color w:val="3A3A3A"/>
          <w:spacing w:val="-13"/>
          <w:w w:val="95"/>
          <w:sz w:val="22"/>
        </w:rPr>
        <w:t> </w:t>
      </w:r>
      <w:r>
        <w:rPr>
          <w:color w:val="3A3A3A"/>
          <w:w w:val="95"/>
          <w:sz w:val="22"/>
        </w:rPr>
        <w:t>collaboration</w:t>
      </w:r>
      <w:r>
        <w:rPr>
          <w:color w:val="3A3A3A"/>
          <w:spacing w:val="-12"/>
          <w:w w:val="95"/>
          <w:sz w:val="22"/>
        </w:rPr>
        <w:t> </w:t>
      </w:r>
      <w:r>
        <w:rPr>
          <w:color w:val="3A3A3A"/>
          <w:w w:val="95"/>
          <w:sz w:val="22"/>
        </w:rPr>
        <w:t>Into</w:t>
      </w:r>
      <w:r>
        <w:rPr>
          <w:color w:val="3A3A3A"/>
          <w:spacing w:val="-14"/>
          <w:w w:val="95"/>
          <w:sz w:val="22"/>
        </w:rPr>
        <w:t> </w:t>
      </w:r>
      <w:r>
        <w:rPr>
          <w:color w:val="3A3A3A"/>
          <w:w w:val="95"/>
          <w:sz w:val="22"/>
        </w:rPr>
        <w:t>the</w:t>
      </w:r>
      <w:r>
        <w:rPr>
          <w:color w:val="3A3A3A"/>
          <w:spacing w:val="-22"/>
          <w:w w:val="95"/>
          <w:sz w:val="22"/>
        </w:rPr>
        <w:t> </w:t>
      </w:r>
      <w:r>
        <w:rPr>
          <w:color w:val="3A3A3A"/>
          <w:w w:val="95"/>
          <w:sz w:val="22"/>
        </w:rPr>
        <w:t>current</w:t>
      </w:r>
      <w:r>
        <w:rPr>
          <w:color w:val="3A3A3A"/>
          <w:spacing w:val="-12"/>
          <w:w w:val="95"/>
          <w:sz w:val="22"/>
        </w:rPr>
        <w:t> </w:t>
      </w:r>
      <w:r>
        <w:rPr>
          <w:color w:val="3A3A3A"/>
          <w:w w:val="95"/>
          <w:sz w:val="22"/>
        </w:rPr>
        <w:t>academ</w:t>
      </w:r>
      <w:r>
        <w:rPr>
          <w:color w:val="646464"/>
          <w:w w:val="95"/>
          <w:sz w:val="22"/>
        </w:rPr>
        <w:t>i</w:t>
      </w:r>
      <w:r>
        <w:rPr>
          <w:color w:val="3A3A3A"/>
          <w:w w:val="95"/>
          <w:sz w:val="22"/>
        </w:rPr>
        <w:t>c</w:t>
      </w:r>
      <w:r>
        <w:rPr>
          <w:color w:val="3A3A3A"/>
          <w:spacing w:val="-25"/>
          <w:w w:val="95"/>
          <w:sz w:val="22"/>
        </w:rPr>
        <w:t> </w:t>
      </w:r>
      <w:r>
        <w:rPr>
          <w:color w:val="3A3A3A"/>
          <w:w w:val="95"/>
          <w:sz w:val="22"/>
        </w:rPr>
        <w:t>year</w:t>
      </w:r>
      <w:r>
        <w:rPr>
          <w:color w:val="7E7E7E"/>
          <w:w w:val="95"/>
          <w:sz w:val="22"/>
        </w:rPr>
        <w:t>.</w:t>
      </w:r>
    </w:p>
    <w:p>
      <w:pPr>
        <w:spacing w:before="205"/>
        <w:ind w:left="1748" w:right="0" w:firstLine="0"/>
        <w:jc w:val="left"/>
        <w:rPr>
          <w:b/>
          <w:sz w:val="20"/>
        </w:rPr>
      </w:pPr>
      <w:r>
        <w:rPr>
          <w:b/>
          <w:color w:val="212121"/>
          <w:w w:val="85"/>
          <w:sz w:val="22"/>
          <w:u w:val="thick" w:color="212121"/>
        </w:rPr>
        <w:t>Physical</w:t>
      </w:r>
      <w:r>
        <w:rPr>
          <w:b/>
          <w:color w:val="212121"/>
          <w:spacing w:val="16"/>
          <w:sz w:val="22"/>
          <w:u w:val="thick" w:color="212121"/>
        </w:rPr>
        <w:t> </w:t>
      </w:r>
      <w:r>
        <w:rPr>
          <w:b/>
          <w:color w:val="212121"/>
          <w:spacing w:val="-2"/>
          <w:sz w:val="20"/>
          <w:u w:val="thick" w:color="212121"/>
        </w:rPr>
        <w:t>Resou_rces</w:t>
      </w:r>
    </w:p>
    <w:p>
      <w:pPr>
        <w:pStyle w:val="BodyText"/>
        <w:spacing w:before="7"/>
        <w:rPr>
          <w:b/>
        </w:rPr>
      </w:pPr>
    </w:p>
    <w:p>
      <w:pPr>
        <w:spacing w:line="218" w:lineRule="auto" w:before="0"/>
        <w:ind w:left="1740" w:right="279" w:hanging="5"/>
        <w:jc w:val="left"/>
        <w:rPr>
          <w:sz w:val="22"/>
        </w:rPr>
      </w:pPr>
      <w:r>
        <w:rPr>
          <w:color w:val="3A3A3A"/>
          <w:w w:val="90"/>
          <w:sz w:val="22"/>
        </w:rPr>
        <w:t>The overcrowding</w:t>
      </w:r>
      <w:r>
        <w:rPr>
          <w:color w:val="3A3A3A"/>
          <w:spacing w:val="27"/>
          <w:sz w:val="22"/>
        </w:rPr>
        <w:t> </w:t>
      </w:r>
      <w:r>
        <w:rPr>
          <w:color w:val="3A3A3A"/>
          <w:w w:val="90"/>
          <w:sz w:val="22"/>
        </w:rPr>
        <w:t>witnessed by</w:t>
      </w:r>
      <w:r>
        <w:rPr>
          <w:color w:val="3A3A3A"/>
          <w:spacing w:val="-3"/>
          <w:w w:val="90"/>
          <w:sz w:val="22"/>
        </w:rPr>
        <w:t> </w:t>
      </w:r>
      <w:r>
        <w:rPr>
          <w:rFonts w:ascii="Times New Roman"/>
          <w:color w:val="3A3A3A"/>
          <w:w w:val="90"/>
          <w:sz w:val="21"/>
        </w:rPr>
        <w:t>the-</w:t>
      </w:r>
      <w:r>
        <w:rPr>
          <w:rFonts w:ascii="Times New Roman"/>
          <w:color w:val="3A3A3A"/>
          <w:spacing w:val="-15"/>
          <w:w w:val="90"/>
          <w:sz w:val="21"/>
        </w:rPr>
        <w:t> </w:t>
      </w:r>
      <w:r>
        <w:rPr>
          <w:color w:val="3A3A3A"/>
          <w:w w:val="90"/>
          <w:sz w:val="22"/>
        </w:rPr>
        <w:t>2009 visit</w:t>
      </w:r>
      <w:r>
        <w:rPr>
          <w:color w:val="646464"/>
          <w:w w:val="90"/>
          <w:sz w:val="22"/>
        </w:rPr>
        <w:t>i</w:t>
      </w:r>
      <w:r>
        <w:rPr>
          <w:color w:val="3A3A3A"/>
          <w:w w:val="90"/>
          <w:sz w:val="22"/>
        </w:rPr>
        <w:t>ng</w:t>
      </w:r>
      <w:r>
        <w:rPr>
          <w:color w:val="3A3A3A"/>
          <w:spacing w:val="-1"/>
          <w:w w:val="90"/>
          <w:sz w:val="22"/>
        </w:rPr>
        <w:t> </w:t>
      </w:r>
      <w:r>
        <w:rPr>
          <w:color w:val="3A3A3A"/>
          <w:w w:val="90"/>
          <w:sz w:val="22"/>
        </w:rPr>
        <w:t>team</w:t>
      </w:r>
      <w:r>
        <w:rPr>
          <w:color w:val="3A3A3A"/>
          <w:spacing w:val="-8"/>
          <w:w w:val="90"/>
          <w:sz w:val="22"/>
        </w:rPr>
        <w:t> </w:t>
      </w:r>
      <w:r>
        <w:rPr>
          <w:color w:val="3A3A3A"/>
          <w:w w:val="90"/>
          <w:sz w:val="22"/>
        </w:rPr>
        <w:t>has</w:t>
      </w:r>
      <w:r>
        <w:rPr>
          <w:color w:val="3A3A3A"/>
          <w:spacing w:val="-4"/>
          <w:w w:val="90"/>
          <w:sz w:val="22"/>
        </w:rPr>
        <w:t> </w:t>
      </w:r>
      <w:r>
        <w:rPr>
          <w:color w:val="3A3A3A"/>
          <w:w w:val="90"/>
          <w:sz w:val="22"/>
        </w:rPr>
        <w:t>been</w:t>
      </w:r>
      <w:r>
        <w:rPr>
          <w:color w:val="3A3A3A"/>
          <w:spacing w:val="-8"/>
          <w:w w:val="90"/>
          <w:sz w:val="22"/>
        </w:rPr>
        <w:t> </w:t>
      </w:r>
      <w:r>
        <w:rPr>
          <w:color w:val="3A3A3A"/>
          <w:w w:val="90"/>
          <w:sz w:val="22"/>
        </w:rPr>
        <w:t>m</w:t>
      </w:r>
      <w:r>
        <w:rPr>
          <w:color w:val="525252"/>
          <w:w w:val="90"/>
          <w:sz w:val="22"/>
        </w:rPr>
        <w:t>i</w:t>
      </w:r>
      <w:r>
        <w:rPr>
          <w:color w:val="3A3A3A"/>
          <w:w w:val="90"/>
          <w:sz w:val="22"/>
        </w:rPr>
        <w:t>t</w:t>
      </w:r>
      <w:r>
        <w:rPr>
          <w:color w:val="646464"/>
          <w:w w:val="90"/>
          <w:sz w:val="22"/>
        </w:rPr>
        <w:t>i</w:t>
      </w:r>
      <w:r>
        <w:rPr>
          <w:color w:val="3A3A3A"/>
          <w:w w:val="90"/>
          <w:sz w:val="22"/>
        </w:rPr>
        <w:t>gated</w:t>
      </w:r>
      <w:r>
        <w:rPr>
          <w:color w:val="3A3A3A"/>
          <w:spacing w:val="-14"/>
          <w:w w:val="90"/>
          <w:sz w:val="22"/>
        </w:rPr>
        <w:t> </w:t>
      </w:r>
      <w:r>
        <w:rPr>
          <w:color w:val="3A3A3A"/>
          <w:w w:val="90"/>
          <w:sz w:val="22"/>
        </w:rPr>
        <w:t>by the</w:t>
      </w:r>
      <w:r>
        <w:rPr>
          <w:color w:val="3A3A3A"/>
          <w:spacing w:val="-6"/>
          <w:w w:val="90"/>
          <w:sz w:val="22"/>
        </w:rPr>
        <w:t> </w:t>
      </w:r>
      <w:r>
        <w:rPr>
          <w:color w:val="3A3A3A"/>
          <w:w w:val="90"/>
          <w:sz w:val="22"/>
        </w:rPr>
        <w:t>reduction</w:t>
      </w:r>
      <w:r>
        <w:rPr>
          <w:color w:val="3A3A3A"/>
          <w:sz w:val="22"/>
        </w:rPr>
        <w:t> </w:t>
      </w:r>
      <w:r>
        <w:rPr>
          <w:color w:val="3A3A3A"/>
          <w:w w:val="90"/>
          <w:sz w:val="22"/>
        </w:rPr>
        <w:t>from the</w:t>
      </w:r>
      <w:r>
        <w:rPr>
          <w:color w:val="3A3A3A"/>
          <w:spacing w:val="-20"/>
          <w:w w:val="90"/>
          <w:sz w:val="22"/>
        </w:rPr>
        <w:t> </w:t>
      </w:r>
      <w:r>
        <w:rPr>
          <w:color w:val="3A3A3A"/>
          <w:w w:val="90"/>
          <w:sz w:val="22"/>
        </w:rPr>
        <w:t>previous 192 students</w:t>
      </w:r>
      <w:r>
        <w:rPr>
          <w:color w:val="3A3A3A"/>
          <w:sz w:val="22"/>
        </w:rPr>
        <w:t> </w:t>
      </w:r>
      <w:r>
        <w:rPr>
          <w:color w:val="3A3A3A"/>
          <w:w w:val="90"/>
          <w:sz w:val="19"/>
        </w:rPr>
        <w:t>to </w:t>
      </w:r>
      <w:r>
        <w:rPr>
          <w:color w:val="3A3A3A"/>
          <w:w w:val="90"/>
          <w:sz w:val="22"/>
        </w:rPr>
        <w:t>the</w:t>
      </w:r>
      <w:r>
        <w:rPr>
          <w:color w:val="3A3A3A"/>
          <w:spacing w:val="-13"/>
          <w:w w:val="90"/>
          <w:sz w:val="22"/>
        </w:rPr>
        <w:t> </w:t>
      </w:r>
      <w:r>
        <w:rPr>
          <w:color w:val="3A3A3A"/>
          <w:w w:val="90"/>
          <w:sz w:val="22"/>
        </w:rPr>
        <w:t>current population of</w:t>
      </w:r>
      <w:r>
        <w:rPr>
          <w:color w:val="3A3A3A"/>
          <w:spacing w:val="-3"/>
          <w:w w:val="90"/>
          <w:sz w:val="22"/>
        </w:rPr>
        <w:t> </w:t>
      </w:r>
      <w:r>
        <w:rPr>
          <w:color w:val="3A3A3A"/>
          <w:w w:val="90"/>
          <w:sz w:val="22"/>
        </w:rPr>
        <w:t>159.</w:t>
      </w:r>
      <w:r>
        <w:rPr>
          <w:color w:val="3A3A3A"/>
          <w:sz w:val="22"/>
        </w:rPr>
        <w:t> </w:t>
      </w:r>
      <w:r>
        <w:rPr>
          <w:color w:val="3A3A3A"/>
          <w:w w:val="90"/>
          <w:sz w:val="22"/>
        </w:rPr>
        <w:t>While</w:t>
      </w:r>
      <w:r>
        <w:rPr>
          <w:color w:val="3A3A3A"/>
          <w:spacing w:val="-7"/>
          <w:w w:val="90"/>
          <w:sz w:val="22"/>
        </w:rPr>
        <w:t> </w:t>
      </w:r>
      <w:r>
        <w:rPr>
          <w:color w:val="3A3A3A"/>
          <w:w w:val="90"/>
          <w:sz w:val="22"/>
        </w:rPr>
        <w:t>efforts to find</w:t>
      </w:r>
      <w:r>
        <w:rPr>
          <w:color w:val="3A3A3A"/>
          <w:spacing w:val="-2"/>
          <w:w w:val="90"/>
          <w:sz w:val="22"/>
        </w:rPr>
        <w:t> </w:t>
      </w:r>
      <w:r>
        <w:rPr>
          <w:color w:val="3A3A3A"/>
          <w:w w:val="90"/>
          <w:sz w:val="22"/>
        </w:rPr>
        <w:t>additional space by relocat</w:t>
      </w:r>
      <w:r>
        <w:rPr>
          <w:color w:val="646464"/>
          <w:w w:val="90"/>
          <w:sz w:val="22"/>
        </w:rPr>
        <w:t>i</w:t>
      </w:r>
      <w:r>
        <w:rPr>
          <w:color w:val="3A3A3A"/>
          <w:w w:val="90"/>
          <w:sz w:val="22"/>
        </w:rPr>
        <w:t>ng some program</w:t>
      </w:r>
      <w:r>
        <w:rPr>
          <w:color w:val="3A3A3A"/>
          <w:sz w:val="22"/>
        </w:rPr>
        <w:t> </w:t>
      </w:r>
      <w:r>
        <w:rPr>
          <w:color w:val="3A3A3A"/>
          <w:w w:val="90"/>
          <w:sz w:val="22"/>
        </w:rPr>
        <w:t>and/or' considering adding add</w:t>
      </w:r>
      <w:r>
        <w:rPr>
          <w:color w:val="646464"/>
          <w:w w:val="90"/>
          <w:sz w:val="22"/>
        </w:rPr>
        <w:t>i</w:t>
      </w:r>
      <w:r>
        <w:rPr>
          <w:color w:val="3A3A3A"/>
          <w:w w:val="90"/>
          <w:sz w:val="22"/>
        </w:rPr>
        <w:t>tiona</w:t>
      </w:r>
      <w:r>
        <w:rPr>
          <w:color w:val="525252"/>
          <w:w w:val="90"/>
          <w:sz w:val="22"/>
        </w:rPr>
        <w:t>l </w:t>
      </w:r>
      <w:r>
        <w:rPr>
          <w:color w:val="3A3A3A"/>
          <w:w w:val="90"/>
          <w:sz w:val="22"/>
        </w:rPr>
        <w:t>space</w:t>
      </w:r>
      <w:r>
        <w:rPr>
          <w:color w:val="3A3A3A"/>
          <w:sz w:val="22"/>
        </w:rPr>
        <w:t> </w:t>
      </w:r>
      <w:r>
        <w:rPr>
          <w:color w:val="3A3A3A"/>
          <w:w w:val="90"/>
          <w:sz w:val="22"/>
        </w:rPr>
        <w:t>to </w:t>
      </w:r>
      <w:r>
        <w:rPr>
          <w:color w:val="525252"/>
          <w:w w:val="90"/>
          <w:sz w:val="22"/>
        </w:rPr>
        <w:t>the </w:t>
      </w:r>
      <w:r>
        <w:rPr>
          <w:color w:val="3A3A3A"/>
          <w:w w:val="90"/>
          <w:sz w:val="22"/>
        </w:rPr>
        <w:t>Bemis bu</w:t>
      </w:r>
      <w:r>
        <w:rPr>
          <w:color w:val="7E7E7E"/>
          <w:w w:val="90"/>
          <w:sz w:val="22"/>
        </w:rPr>
        <w:t>i</w:t>
      </w:r>
      <w:r>
        <w:rPr>
          <w:color w:val="3A3A3A"/>
          <w:w w:val="90"/>
          <w:sz w:val="22"/>
        </w:rPr>
        <w:t>ld</w:t>
      </w:r>
      <w:r>
        <w:rPr>
          <w:color w:val="646464"/>
          <w:w w:val="90"/>
          <w:sz w:val="22"/>
        </w:rPr>
        <w:t>i</w:t>
      </w:r>
      <w:r>
        <w:rPr>
          <w:color w:val="3A3A3A"/>
          <w:w w:val="90"/>
          <w:sz w:val="22"/>
        </w:rPr>
        <w:t>ng </w:t>
      </w:r>
      <w:r>
        <w:rPr>
          <w:color w:val="3A3A3A"/>
          <w:w w:val="95"/>
          <w:sz w:val="22"/>
        </w:rPr>
        <w:t>have</w:t>
      </w:r>
      <w:r>
        <w:rPr>
          <w:color w:val="3A3A3A"/>
          <w:spacing w:val="-13"/>
          <w:w w:val="95"/>
          <w:sz w:val="22"/>
        </w:rPr>
        <w:t> </w:t>
      </w:r>
      <w:r>
        <w:rPr>
          <w:color w:val="3A3A3A"/>
          <w:w w:val="95"/>
          <w:sz w:val="22"/>
        </w:rPr>
        <w:t>not</w:t>
      </w:r>
      <w:r>
        <w:rPr>
          <w:color w:val="3A3A3A"/>
          <w:spacing w:val="-35"/>
          <w:w w:val="95"/>
          <w:sz w:val="22"/>
        </w:rPr>
        <w:t> </w:t>
      </w:r>
      <w:r>
        <w:rPr>
          <w:color w:val="3A3A3A"/>
          <w:w w:val="95"/>
          <w:sz w:val="22"/>
        </w:rPr>
        <w:t>been</w:t>
      </w:r>
      <w:r>
        <w:rPr>
          <w:color w:val="3A3A3A"/>
          <w:spacing w:val="-13"/>
          <w:w w:val="95"/>
          <w:sz w:val="22"/>
        </w:rPr>
        <w:t> </w:t>
      </w:r>
      <w:r>
        <w:rPr>
          <w:color w:val="3A3A3A"/>
          <w:w w:val="95"/>
          <w:sz w:val="22"/>
        </w:rPr>
        <w:t>successful,</w:t>
      </w:r>
      <w:r>
        <w:rPr>
          <w:color w:val="3A3A3A"/>
          <w:spacing w:val="-11"/>
          <w:w w:val="95"/>
          <w:sz w:val="22"/>
        </w:rPr>
        <w:t> </w:t>
      </w:r>
      <w:r>
        <w:rPr>
          <w:color w:val="3A3A3A"/>
          <w:w w:val="95"/>
          <w:sz w:val="22"/>
        </w:rPr>
        <w:t>several</w:t>
      </w:r>
      <w:r>
        <w:rPr>
          <w:color w:val="3A3A3A"/>
          <w:spacing w:val="-13"/>
          <w:w w:val="95"/>
          <w:sz w:val="22"/>
        </w:rPr>
        <w:t> </w:t>
      </w:r>
      <w:r>
        <w:rPr>
          <w:color w:val="525252"/>
          <w:w w:val="95"/>
          <w:sz w:val="22"/>
        </w:rPr>
        <w:t>improvements</w:t>
      </w:r>
      <w:r>
        <w:rPr>
          <w:color w:val="525252"/>
          <w:spacing w:val="-9"/>
          <w:w w:val="95"/>
          <w:sz w:val="22"/>
        </w:rPr>
        <w:t> </w:t>
      </w:r>
      <w:r>
        <w:rPr>
          <w:color w:val="3A3A3A"/>
          <w:w w:val="95"/>
          <w:sz w:val="22"/>
        </w:rPr>
        <w:t>have</w:t>
      </w:r>
      <w:r>
        <w:rPr>
          <w:color w:val="3A3A3A"/>
          <w:spacing w:val="-12"/>
          <w:w w:val="95"/>
          <w:sz w:val="22"/>
        </w:rPr>
        <w:t> </w:t>
      </w:r>
      <w:r>
        <w:rPr>
          <w:color w:val="3A3A3A"/>
          <w:w w:val="95"/>
          <w:sz w:val="22"/>
        </w:rPr>
        <w:t>been</w:t>
      </w:r>
      <w:r>
        <w:rPr>
          <w:color w:val="3A3A3A"/>
          <w:spacing w:val="-15"/>
          <w:w w:val="95"/>
          <w:sz w:val="22"/>
        </w:rPr>
        <w:t> </w:t>
      </w:r>
      <w:r>
        <w:rPr>
          <w:color w:val="3A3A3A"/>
          <w:w w:val="95"/>
          <w:sz w:val="22"/>
        </w:rPr>
        <w:t>made</w:t>
      </w:r>
      <w:r>
        <w:rPr>
          <w:color w:val="7E7E7E"/>
          <w:w w:val="95"/>
          <w:sz w:val="22"/>
        </w:rPr>
        <w:t>.</w:t>
      </w:r>
    </w:p>
    <w:p>
      <w:pPr>
        <w:pStyle w:val="BodyText"/>
        <w:spacing w:before="2"/>
      </w:pPr>
    </w:p>
    <w:p>
      <w:pPr>
        <w:spacing w:line="218" w:lineRule="auto" w:before="0"/>
        <w:ind w:left="1730" w:right="279" w:firstLine="12"/>
        <w:jc w:val="left"/>
        <w:rPr>
          <w:sz w:val="22"/>
        </w:rPr>
      </w:pPr>
      <w:r>
        <w:rPr>
          <w:color w:val="3A3A3A"/>
          <w:w w:val="90"/>
          <w:sz w:val="22"/>
        </w:rPr>
        <w:t>New desks</w:t>
      </w:r>
      <w:r>
        <w:rPr>
          <w:color w:val="646464"/>
          <w:w w:val="90"/>
          <w:sz w:val="22"/>
        </w:rPr>
        <w:t>, </w:t>
      </w:r>
      <w:r>
        <w:rPr>
          <w:color w:val="3A3A3A"/>
          <w:w w:val="90"/>
          <w:sz w:val="22"/>
        </w:rPr>
        <w:t>computers,</w:t>
      </w:r>
      <w:r>
        <w:rPr>
          <w:color w:val="3A3A3A"/>
          <w:sz w:val="22"/>
        </w:rPr>
        <w:t> </w:t>
      </w:r>
      <w:r>
        <w:rPr>
          <w:color w:val="3A3A3A"/>
          <w:w w:val="90"/>
          <w:sz w:val="22"/>
        </w:rPr>
        <w:t>and</w:t>
      </w:r>
      <w:r>
        <w:rPr>
          <w:color w:val="3A3A3A"/>
          <w:sz w:val="22"/>
        </w:rPr>
        <w:t> </w:t>
      </w:r>
      <w:r>
        <w:rPr>
          <w:color w:val="3A3A3A"/>
          <w:w w:val="90"/>
          <w:sz w:val="22"/>
        </w:rPr>
        <w:t>a</w:t>
      </w:r>
      <w:r>
        <w:rPr>
          <w:color w:val="3A3A3A"/>
          <w:spacing w:val="-5"/>
          <w:w w:val="90"/>
          <w:sz w:val="22"/>
        </w:rPr>
        <w:t> </w:t>
      </w:r>
      <w:r>
        <w:rPr>
          <w:color w:val="3A3A3A"/>
          <w:w w:val="90"/>
          <w:sz w:val="22"/>
        </w:rPr>
        <w:t>large-format scanner have been secured</w:t>
      </w:r>
      <w:r>
        <w:rPr>
          <w:color w:val="7E7E7E"/>
          <w:w w:val="90"/>
          <w:sz w:val="22"/>
        </w:rPr>
        <w:t>,</w:t>
      </w:r>
      <w:r>
        <w:rPr>
          <w:color w:val="7E7E7E"/>
          <w:spacing w:val="-11"/>
          <w:w w:val="90"/>
          <w:sz w:val="22"/>
        </w:rPr>
        <w:t> </w:t>
      </w:r>
      <w:r>
        <w:rPr>
          <w:color w:val="3A3A3A"/>
          <w:w w:val="90"/>
          <w:sz w:val="22"/>
        </w:rPr>
        <w:t>as well as upgrades</w:t>
      </w:r>
      <w:r>
        <w:rPr>
          <w:color w:val="3A3A3A"/>
          <w:sz w:val="22"/>
        </w:rPr>
        <w:t> </w:t>
      </w:r>
      <w:r>
        <w:rPr>
          <w:color w:val="3A3A3A"/>
          <w:w w:val="90"/>
          <w:sz w:val="22"/>
        </w:rPr>
        <w:t>to </w:t>
      </w:r>
      <w:r>
        <w:rPr>
          <w:color w:val="3A3A3A"/>
          <w:spacing w:val="-2"/>
          <w:w w:val="95"/>
          <w:sz w:val="22"/>
        </w:rPr>
        <w:t>mechanical</w:t>
      </w:r>
      <w:r>
        <w:rPr>
          <w:color w:val="3A3A3A"/>
          <w:sz w:val="22"/>
        </w:rPr>
        <w:t> </w:t>
      </w:r>
      <w:r>
        <w:rPr>
          <w:color w:val="3A3A3A"/>
          <w:spacing w:val="-2"/>
          <w:w w:val="95"/>
          <w:sz w:val="22"/>
        </w:rPr>
        <w:t>systems</w:t>
      </w:r>
      <w:r>
        <w:rPr>
          <w:color w:val="3A3A3A"/>
          <w:spacing w:val="-4"/>
          <w:w w:val="95"/>
          <w:sz w:val="22"/>
        </w:rPr>
        <w:t> </w:t>
      </w:r>
      <w:r>
        <w:rPr>
          <w:color w:val="3A3A3A"/>
          <w:spacing w:val="-2"/>
          <w:w w:val="95"/>
          <w:sz w:val="22"/>
        </w:rPr>
        <w:t>for</w:t>
      </w:r>
      <w:r>
        <w:rPr>
          <w:color w:val="3A3A3A"/>
          <w:spacing w:val="-22"/>
          <w:w w:val="95"/>
          <w:sz w:val="22"/>
        </w:rPr>
        <w:t> </w:t>
      </w:r>
      <w:r>
        <w:rPr>
          <w:color w:val="3A3A3A"/>
          <w:spacing w:val="-2"/>
          <w:w w:val="95"/>
          <w:sz w:val="22"/>
        </w:rPr>
        <w:t>bu</w:t>
      </w:r>
      <w:r>
        <w:rPr>
          <w:color w:val="646464"/>
          <w:spacing w:val="-2"/>
          <w:w w:val="95"/>
          <w:sz w:val="22"/>
        </w:rPr>
        <w:t>i</w:t>
      </w:r>
      <w:r>
        <w:rPr>
          <w:color w:val="3A3A3A"/>
          <w:spacing w:val="-2"/>
          <w:w w:val="95"/>
          <w:sz w:val="22"/>
        </w:rPr>
        <w:t>lding</w:t>
      </w:r>
      <w:r>
        <w:rPr>
          <w:color w:val="3A3A3A"/>
          <w:spacing w:val="-28"/>
          <w:w w:val="95"/>
          <w:sz w:val="22"/>
        </w:rPr>
        <w:t> </w:t>
      </w:r>
      <w:r>
        <w:rPr>
          <w:color w:val="3A3A3A"/>
          <w:spacing w:val="-2"/>
          <w:w w:val="95"/>
          <w:sz w:val="22"/>
        </w:rPr>
        <w:t>comfort</w:t>
      </w:r>
      <w:r>
        <w:rPr>
          <w:color w:val="3A3A3A"/>
          <w:sz w:val="22"/>
        </w:rPr>
        <w:t> </w:t>
      </w:r>
      <w:r>
        <w:rPr>
          <w:color w:val="3A3A3A"/>
          <w:spacing w:val="-2"/>
          <w:w w:val="95"/>
          <w:sz w:val="22"/>
        </w:rPr>
        <w:t>and</w:t>
      </w:r>
      <w:r>
        <w:rPr>
          <w:color w:val="3A3A3A"/>
          <w:spacing w:val="-6"/>
          <w:w w:val="95"/>
          <w:sz w:val="22"/>
        </w:rPr>
        <w:t> </w:t>
      </w:r>
      <w:r>
        <w:rPr>
          <w:color w:val="3A3A3A"/>
          <w:spacing w:val="-2"/>
          <w:w w:val="95"/>
          <w:sz w:val="22"/>
        </w:rPr>
        <w:t>a</w:t>
      </w:r>
      <w:r>
        <w:rPr>
          <w:color w:val="3A3A3A"/>
          <w:spacing w:val="-17"/>
          <w:w w:val="95"/>
          <w:sz w:val="22"/>
        </w:rPr>
        <w:t> </w:t>
      </w:r>
      <w:r>
        <w:rPr>
          <w:color w:val="3A3A3A"/>
          <w:spacing w:val="-2"/>
          <w:w w:val="95"/>
          <w:sz w:val="22"/>
        </w:rPr>
        <w:t>new roof</w:t>
      </w:r>
      <w:r>
        <w:rPr>
          <w:color w:val="3A3A3A"/>
          <w:spacing w:val="-11"/>
          <w:w w:val="95"/>
          <w:sz w:val="22"/>
        </w:rPr>
        <w:t> </w:t>
      </w:r>
      <w:r>
        <w:rPr>
          <w:color w:val="3A3A3A"/>
          <w:spacing w:val="-2"/>
          <w:w w:val="95"/>
          <w:sz w:val="22"/>
        </w:rPr>
        <w:t>on</w:t>
      </w:r>
      <w:r>
        <w:rPr>
          <w:color w:val="3A3A3A"/>
          <w:sz w:val="22"/>
        </w:rPr>
        <w:t> </w:t>
      </w:r>
      <w:r>
        <w:rPr>
          <w:color w:val="3A3A3A"/>
          <w:spacing w:val="-2"/>
          <w:w w:val="95"/>
          <w:sz w:val="22"/>
        </w:rPr>
        <w:t>the</w:t>
      </w:r>
      <w:r>
        <w:rPr>
          <w:color w:val="3A3A3A"/>
          <w:spacing w:val="-15"/>
          <w:w w:val="95"/>
          <w:sz w:val="22"/>
        </w:rPr>
        <w:t> </w:t>
      </w:r>
      <w:r>
        <w:rPr>
          <w:color w:val="3A3A3A"/>
          <w:spacing w:val="-2"/>
          <w:w w:val="95"/>
          <w:sz w:val="22"/>
        </w:rPr>
        <w:t>Bemis buikting</w:t>
      </w:r>
      <w:r>
        <w:rPr>
          <w:color w:val="7E7E7E"/>
          <w:spacing w:val="-2"/>
          <w:w w:val="95"/>
          <w:sz w:val="22"/>
        </w:rPr>
        <w:t>.</w:t>
      </w:r>
      <w:r>
        <w:rPr>
          <w:color w:val="7E7E7E"/>
          <w:spacing w:val="-34"/>
          <w:w w:val="95"/>
          <w:sz w:val="22"/>
        </w:rPr>
        <w:t> </w:t>
      </w:r>
      <w:r>
        <w:rPr>
          <w:color w:val="3A3A3A"/>
          <w:spacing w:val="-2"/>
          <w:w w:val="95"/>
          <w:sz w:val="22"/>
        </w:rPr>
        <w:t>Maintaining</w:t>
      </w:r>
      <w:r>
        <w:rPr>
          <w:color w:val="3A3A3A"/>
          <w:spacing w:val="-9"/>
          <w:w w:val="95"/>
          <w:sz w:val="22"/>
        </w:rPr>
        <w:t> </w:t>
      </w:r>
      <w:r>
        <w:rPr>
          <w:color w:val="3A3A3A"/>
          <w:spacing w:val="-2"/>
          <w:w w:val="95"/>
          <w:sz w:val="22"/>
        </w:rPr>
        <w:t>the </w:t>
      </w:r>
      <w:r>
        <w:rPr>
          <w:color w:val="525252"/>
          <w:w w:val="90"/>
          <w:sz w:val="19"/>
        </w:rPr>
        <w:t>library</w:t>
      </w:r>
      <w:r>
        <w:rPr>
          <w:color w:val="525252"/>
          <w:spacing w:val="18"/>
          <w:sz w:val="19"/>
        </w:rPr>
        <w:t> </w:t>
      </w:r>
      <w:r>
        <w:rPr>
          <w:color w:val="3A3A3A"/>
          <w:w w:val="90"/>
          <w:sz w:val="22"/>
        </w:rPr>
        <w:t>space in</w:t>
      </w:r>
      <w:r>
        <w:rPr>
          <w:color w:val="3A3A3A"/>
          <w:spacing w:val="-15"/>
          <w:w w:val="90"/>
          <w:sz w:val="22"/>
        </w:rPr>
        <w:t> </w:t>
      </w:r>
      <w:r>
        <w:rPr>
          <w:color w:val="3A3A3A"/>
          <w:w w:val="90"/>
          <w:sz w:val="22"/>
        </w:rPr>
        <w:t>Bemis</w:t>
      </w:r>
      <w:r>
        <w:rPr>
          <w:color w:val="3A3A3A"/>
          <w:sz w:val="22"/>
        </w:rPr>
        <w:t> </w:t>
      </w:r>
      <w:r>
        <w:rPr>
          <w:color w:val="3A3A3A"/>
          <w:w w:val="90"/>
          <w:sz w:val="22"/>
        </w:rPr>
        <w:t>HaH</w:t>
      </w:r>
      <w:r>
        <w:rPr>
          <w:color w:val="646464"/>
          <w:w w:val="90"/>
          <w:sz w:val="22"/>
        </w:rPr>
        <w:t>,</w:t>
      </w:r>
      <w:r>
        <w:rPr>
          <w:color w:val="646464"/>
          <w:spacing w:val="-10"/>
          <w:w w:val="90"/>
          <w:sz w:val="22"/>
        </w:rPr>
        <w:t> </w:t>
      </w:r>
      <w:r>
        <w:rPr>
          <w:color w:val="3A3A3A"/>
          <w:w w:val="90"/>
          <w:sz w:val="22"/>
        </w:rPr>
        <w:t>with tfle</w:t>
      </w:r>
      <w:r>
        <w:rPr>
          <w:color w:val="3A3A3A"/>
          <w:spacing w:val="-1"/>
          <w:w w:val="90"/>
          <w:sz w:val="22"/>
        </w:rPr>
        <w:t> </w:t>
      </w:r>
      <w:r>
        <w:rPr>
          <w:color w:val="3A3A3A"/>
          <w:w w:val="90"/>
          <w:sz w:val="22"/>
        </w:rPr>
        <w:t>CAOO Lab</w:t>
      </w:r>
      <w:r>
        <w:rPr>
          <w:color w:val="3A3A3A"/>
          <w:spacing w:val="-1"/>
          <w:w w:val="90"/>
          <w:sz w:val="22"/>
        </w:rPr>
        <w:t> </w:t>
      </w:r>
      <w:r>
        <w:rPr>
          <w:color w:val="3A3A3A"/>
          <w:w w:val="90"/>
          <w:sz w:val="22"/>
        </w:rPr>
        <w:t>now integral to</w:t>
      </w:r>
      <w:r>
        <w:rPr>
          <w:color w:val="3A3A3A"/>
          <w:spacing w:val="-6"/>
          <w:w w:val="90"/>
          <w:sz w:val="22"/>
        </w:rPr>
        <w:t> </w:t>
      </w:r>
      <w:r>
        <w:rPr>
          <w:color w:val="3A3A3A"/>
          <w:w w:val="90"/>
          <w:sz w:val="22"/>
        </w:rPr>
        <w:t>it</w:t>
      </w:r>
      <w:r>
        <w:rPr>
          <w:color w:val="3A3A3A"/>
          <w:spacing w:val="74"/>
          <w:sz w:val="22"/>
        </w:rPr>
        <w:t> </w:t>
      </w:r>
      <w:r>
        <w:rPr>
          <w:color w:val="3A3A3A"/>
          <w:w w:val="90"/>
          <w:sz w:val="22"/>
        </w:rPr>
        <w:t>has</w:t>
      </w:r>
      <w:r>
        <w:rPr>
          <w:color w:val="3A3A3A"/>
          <w:spacing w:val="-1"/>
          <w:w w:val="90"/>
          <w:sz w:val="22"/>
        </w:rPr>
        <w:t> </w:t>
      </w:r>
      <w:r>
        <w:rPr>
          <w:color w:val="3A3A3A"/>
          <w:w w:val="90"/>
          <w:sz w:val="22"/>
        </w:rPr>
        <w:t>resulted</w:t>
      </w:r>
      <w:r>
        <w:rPr>
          <w:color w:val="3A3A3A"/>
          <w:spacing w:val="-7"/>
          <w:w w:val="90"/>
          <w:sz w:val="22"/>
        </w:rPr>
        <w:t> </w:t>
      </w:r>
      <w:r>
        <w:rPr>
          <w:color w:val="646464"/>
          <w:w w:val="90"/>
          <w:sz w:val="22"/>
        </w:rPr>
        <w:t>i</w:t>
      </w:r>
      <w:r>
        <w:rPr>
          <w:color w:val="3A3A3A"/>
          <w:w w:val="90"/>
          <w:sz w:val="22"/>
        </w:rPr>
        <w:t>n</w:t>
      </w:r>
      <w:r>
        <w:rPr>
          <w:color w:val="3A3A3A"/>
          <w:spacing w:val="-14"/>
          <w:w w:val="90"/>
          <w:sz w:val="22"/>
        </w:rPr>
        <w:t> </w:t>
      </w:r>
      <w:r>
        <w:rPr>
          <w:color w:val="3A3A3A"/>
          <w:w w:val="90"/>
          <w:sz w:val="22"/>
        </w:rPr>
        <w:t>a</w:t>
      </w:r>
      <w:r>
        <w:rPr>
          <w:color w:val="3A3A3A"/>
          <w:spacing w:val="-15"/>
          <w:w w:val="90"/>
          <w:sz w:val="22"/>
        </w:rPr>
        <w:t> </w:t>
      </w:r>
      <w:r>
        <w:rPr>
          <w:color w:val="3A3A3A"/>
          <w:w w:val="90"/>
          <w:sz w:val="22"/>
        </w:rPr>
        <w:t>hub of</w:t>
      </w:r>
      <w:r>
        <w:rPr>
          <w:color w:val="3A3A3A"/>
          <w:spacing w:val="-13"/>
          <w:w w:val="90"/>
          <w:sz w:val="22"/>
        </w:rPr>
        <w:t> </w:t>
      </w:r>
      <w:r>
        <w:rPr>
          <w:color w:val="3A3A3A"/>
          <w:w w:val="90"/>
          <w:sz w:val="22"/>
        </w:rPr>
        <w:t>activity </w:t>
      </w:r>
      <w:r>
        <w:rPr>
          <w:color w:val="646464"/>
          <w:w w:val="95"/>
          <w:sz w:val="22"/>
        </w:rPr>
        <w:t>i</w:t>
      </w:r>
      <w:r>
        <w:rPr>
          <w:color w:val="3A3A3A"/>
          <w:w w:val="95"/>
          <w:sz w:val="22"/>
        </w:rPr>
        <w:t>n</w:t>
      </w:r>
      <w:r>
        <w:rPr>
          <w:color w:val="3A3A3A"/>
          <w:spacing w:val="-21"/>
          <w:w w:val="95"/>
          <w:sz w:val="22"/>
        </w:rPr>
        <w:t> </w:t>
      </w:r>
      <w:r>
        <w:rPr>
          <w:color w:val="3A3A3A"/>
          <w:w w:val="95"/>
          <w:sz w:val="22"/>
        </w:rPr>
        <w:t>Bemis</w:t>
      </w:r>
      <w:r>
        <w:rPr>
          <w:color w:val="3A3A3A"/>
          <w:spacing w:val="-10"/>
          <w:w w:val="95"/>
          <w:sz w:val="22"/>
        </w:rPr>
        <w:t> </w:t>
      </w:r>
      <w:r>
        <w:rPr>
          <w:color w:val="3A3A3A"/>
          <w:w w:val="95"/>
          <w:sz w:val="22"/>
        </w:rPr>
        <w:t>and</w:t>
      </w:r>
      <w:r>
        <w:rPr>
          <w:color w:val="3A3A3A"/>
          <w:spacing w:val="-16"/>
          <w:w w:val="95"/>
          <w:sz w:val="22"/>
        </w:rPr>
        <w:t> </w:t>
      </w:r>
      <w:r>
        <w:rPr>
          <w:color w:val="3A3A3A"/>
          <w:w w:val="95"/>
          <w:sz w:val="22"/>
        </w:rPr>
        <w:t>adds </w:t>
      </w:r>
      <w:r>
        <w:rPr>
          <w:color w:val="3A3A3A"/>
          <w:w w:val="95"/>
          <w:sz w:val="21"/>
        </w:rPr>
        <w:t>to </w:t>
      </w:r>
      <w:r>
        <w:rPr>
          <w:color w:val="3A3A3A"/>
          <w:w w:val="95"/>
          <w:sz w:val="22"/>
        </w:rPr>
        <w:t>the</w:t>
      </w:r>
      <w:r>
        <w:rPr>
          <w:color w:val="3A3A3A"/>
          <w:spacing w:val="-17"/>
          <w:w w:val="95"/>
          <w:sz w:val="22"/>
        </w:rPr>
        <w:t> </w:t>
      </w:r>
      <w:r>
        <w:rPr>
          <w:color w:val="3A3A3A"/>
          <w:w w:val="95"/>
          <w:sz w:val="22"/>
        </w:rPr>
        <w:t>community culture</w:t>
      </w:r>
      <w:r>
        <w:rPr>
          <w:color w:val="3A3A3A"/>
          <w:spacing w:val="-12"/>
          <w:w w:val="95"/>
          <w:sz w:val="22"/>
        </w:rPr>
        <w:t> </w:t>
      </w:r>
      <w:r>
        <w:rPr>
          <w:color w:val="3A3A3A"/>
          <w:w w:val="95"/>
          <w:sz w:val="22"/>
        </w:rPr>
        <w:t>of</w:t>
      </w:r>
      <w:r>
        <w:rPr>
          <w:color w:val="3A3A3A"/>
          <w:spacing w:val="-4"/>
          <w:w w:val="95"/>
          <w:sz w:val="22"/>
        </w:rPr>
        <w:t> </w:t>
      </w:r>
      <w:r>
        <w:rPr>
          <w:color w:val="3A3A3A"/>
          <w:w w:val="95"/>
          <w:sz w:val="22"/>
        </w:rPr>
        <w:t>the</w:t>
      </w:r>
      <w:r>
        <w:rPr>
          <w:color w:val="3A3A3A"/>
          <w:spacing w:val="-20"/>
          <w:w w:val="95"/>
          <w:sz w:val="22"/>
        </w:rPr>
        <w:t> </w:t>
      </w:r>
      <w:r>
        <w:rPr>
          <w:color w:val="3A3A3A"/>
          <w:w w:val="95"/>
          <w:sz w:val="22"/>
        </w:rPr>
        <w:t>school.</w:t>
      </w:r>
    </w:p>
    <w:p>
      <w:pPr>
        <w:pStyle w:val="BodyText"/>
        <w:spacing w:before="3"/>
      </w:pPr>
    </w:p>
    <w:p>
      <w:pPr>
        <w:spacing w:line="218" w:lineRule="auto" w:before="0"/>
        <w:ind w:left="1732" w:right="260" w:hanging="2"/>
        <w:jc w:val="both"/>
        <w:rPr>
          <w:sz w:val="22"/>
        </w:rPr>
      </w:pPr>
      <w:r>
        <w:rPr/>
        <w:pict>
          <v:rect style="position:absolute;margin-left:441.20047pt;margin-top:21.380136pt;width:1.682317pt;height:14.654833pt;mso-position-horizontal-relative:page;mso-position-vertical-relative:paragraph;z-index:-26996736" id="docshape718" filled="true" fillcolor="#dfdfdf" stroked="false">
            <v:fill type="solid"/>
            <w10:wrap type="none"/>
          </v:rect>
        </w:pict>
      </w:r>
      <w:r>
        <w:rPr>
          <w:color w:val="3A3A3A"/>
          <w:w w:val="90"/>
          <w:sz w:val="22"/>
        </w:rPr>
        <w:t>The</w:t>
      </w:r>
      <w:r>
        <w:rPr>
          <w:color w:val="3A3A3A"/>
          <w:spacing w:val="-5"/>
          <w:w w:val="90"/>
          <w:sz w:val="22"/>
        </w:rPr>
        <w:t> </w:t>
      </w:r>
      <w:r>
        <w:rPr>
          <w:color w:val="525252"/>
          <w:w w:val="90"/>
          <w:sz w:val="22"/>
        </w:rPr>
        <w:t>university </w:t>
      </w:r>
      <w:r>
        <w:rPr>
          <w:color w:val="3A3A3A"/>
          <w:w w:val="90"/>
          <w:sz w:val="22"/>
        </w:rPr>
        <w:t>continues to</w:t>
      </w:r>
      <w:r>
        <w:rPr>
          <w:color w:val="3A3A3A"/>
          <w:spacing w:val="-3"/>
          <w:w w:val="90"/>
          <w:sz w:val="22"/>
        </w:rPr>
        <w:t> </w:t>
      </w:r>
      <w:r>
        <w:rPr>
          <w:color w:val="3A3A3A"/>
          <w:w w:val="90"/>
          <w:sz w:val="22"/>
        </w:rPr>
        <w:t>study</w:t>
      </w:r>
      <w:r>
        <w:rPr>
          <w:color w:val="3A3A3A"/>
          <w:spacing w:val="-10"/>
          <w:w w:val="90"/>
          <w:sz w:val="22"/>
        </w:rPr>
        <w:t> </w:t>
      </w:r>
      <w:r>
        <w:rPr>
          <w:color w:val="3A3A3A"/>
          <w:w w:val="90"/>
          <w:sz w:val="22"/>
        </w:rPr>
        <w:t>options for</w:t>
      </w:r>
      <w:r>
        <w:rPr>
          <w:color w:val="3A3A3A"/>
          <w:spacing w:val="-6"/>
          <w:w w:val="90"/>
          <w:sz w:val="22"/>
        </w:rPr>
        <w:t> </w:t>
      </w:r>
      <w:r>
        <w:rPr>
          <w:color w:val="3A3A3A"/>
          <w:w w:val="90"/>
          <w:sz w:val="22"/>
        </w:rPr>
        <w:t>expanding</w:t>
      </w:r>
      <w:r>
        <w:rPr>
          <w:color w:val="3A3A3A"/>
          <w:sz w:val="22"/>
        </w:rPr>
        <w:t> </w:t>
      </w:r>
      <w:r>
        <w:rPr>
          <w:color w:val="3A3A3A"/>
          <w:w w:val="90"/>
          <w:sz w:val="22"/>
        </w:rPr>
        <w:t>the physical</w:t>
      </w:r>
      <w:r>
        <w:rPr>
          <w:color w:val="3A3A3A"/>
          <w:spacing w:val="-6"/>
          <w:w w:val="90"/>
          <w:sz w:val="22"/>
        </w:rPr>
        <w:t> </w:t>
      </w:r>
      <w:r>
        <w:rPr>
          <w:color w:val="3A3A3A"/>
          <w:w w:val="90"/>
          <w:sz w:val="22"/>
        </w:rPr>
        <w:t>resources</w:t>
      </w:r>
      <w:r>
        <w:rPr>
          <w:color w:val="3A3A3A"/>
          <w:spacing w:val="-7"/>
          <w:w w:val="90"/>
          <w:sz w:val="22"/>
        </w:rPr>
        <w:t> </w:t>
      </w:r>
      <w:r>
        <w:rPr>
          <w:i/>
          <w:color w:val="3A3A3A"/>
          <w:w w:val="90"/>
          <w:sz w:val="20"/>
        </w:rPr>
        <w:t>of</w:t>
      </w:r>
      <w:r>
        <w:rPr>
          <w:i/>
          <w:color w:val="3A3A3A"/>
          <w:spacing w:val="19"/>
          <w:sz w:val="20"/>
        </w:rPr>
        <w:t> </w:t>
      </w:r>
      <w:r>
        <w:rPr>
          <w:color w:val="3A3A3A"/>
          <w:w w:val="90"/>
          <w:sz w:val="22"/>
        </w:rPr>
        <w:t>the</w:t>
      </w:r>
      <w:r>
        <w:rPr>
          <w:color w:val="3A3A3A"/>
          <w:spacing w:val="-2"/>
          <w:w w:val="90"/>
          <w:sz w:val="22"/>
        </w:rPr>
        <w:t> </w:t>
      </w:r>
      <w:r>
        <w:rPr>
          <w:color w:val="3A3A3A"/>
          <w:w w:val="90"/>
          <w:sz w:val="22"/>
        </w:rPr>
        <w:t>department </w:t>
      </w:r>
      <w:r>
        <w:rPr>
          <w:color w:val="525252"/>
          <w:w w:val="90"/>
          <w:sz w:val="22"/>
        </w:rPr>
        <w:t>in</w:t>
      </w:r>
      <w:r>
        <w:rPr>
          <w:color w:val="525252"/>
          <w:spacing w:val="-9"/>
          <w:w w:val="90"/>
          <w:sz w:val="22"/>
        </w:rPr>
        <w:t> </w:t>
      </w:r>
      <w:r>
        <w:rPr>
          <w:color w:val="3A3A3A"/>
          <w:w w:val="90"/>
          <w:sz w:val="22"/>
        </w:rPr>
        <w:t>addition to</w:t>
      </w:r>
      <w:r>
        <w:rPr>
          <w:color w:val="3A3A3A"/>
          <w:spacing w:val="-7"/>
          <w:w w:val="90"/>
          <w:sz w:val="22"/>
        </w:rPr>
        <w:t> </w:t>
      </w:r>
      <w:r>
        <w:rPr>
          <w:color w:val="3A3A3A"/>
          <w:w w:val="90"/>
          <w:sz w:val="22"/>
        </w:rPr>
        <w:t>mak</w:t>
      </w:r>
      <w:r>
        <w:rPr>
          <w:color w:val="646464"/>
          <w:w w:val="90"/>
          <w:sz w:val="22"/>
        </w:rPr>
        <w:t>i</w:t>
      </w:r>
      <w:r>
        <w:rPr>
          <w:color w:val="3A3A3A"/>
          <w:w w:val="90"/>
          <w:sz w:val="22"/>
        </w:rPr>
        <w:t>ng</w:t>
      </w:r>
      <w:r>
        <w:rPr>
          <w:color w:val="3A3A3A"/>
          <w:spacing w:val="-5"/>
          <w:w w:val="90"/>
          <w:sz w:val="22"/>
        </w:rPr>
        <w:t> </w:t>
      </w:r>
      <w:r>
        <w:rPr>
          <w:color w:val="3A3A3A"/>
          <w:w w:val="90"/>
          <w:sz w:val="22"/>
        </w:rPr>
        <w:t>an</w:t>
      </w:r>
      <w:r>
        <w:rPr>
          <w:color w:val="3A3A3A"/>
          <w:spacing w:val="-3"/>
          <w:w w:val="90"/>
          <w:sz w:val="22"/>
        </w:rPr>
        <w:t> </w:t>
      </w:r>
      <w:r>
        <w:rPr>
          <w:color w:val="3A3A3A"/>
          <w:w w:val="90"/>
          <w:sz w:val="22"/>
        </w:rPr>
        <w:t>auditorium </w:t>
      </w:r>
      <w:r>
        <w:rPr>
          <w:color w:val="525252"/>
          <w:w w:val="90"/>
          <w:sz w:val="22"/>
        </w:rPr>
        <w:t>in</w:t>
      </w:r>
      <w:r>
        <w:rPr>
          <w:color w:val="525252"/>
          <w:spacing w:val="-7"/>
          <w:w w:val="90"/>
          <w:sz w:val="22"/>
        </w:rPr>
        <w:t> </w:t>
      </w:r>
      <w:r>
        <w:rPr>
          <w:color w:val="3A3A3A"/>
          <w:w w:val="90"/>
          <w:sz w:val="22"/>
        </w:rPr>
        <w:t>another building available for the</w:t>
      </w:r>
      <w:r>
        <w:rPr>
          <w:color w:val="3A3A3A"/>
          <w:spacing w:val="-10"/>
          <w:w w:val="90"/>
          <w:sz w:val="22"/>
        </w:rPr>
        <w:t> </w:t>
      </w:r>
      <w:r>
        <w:rPr>
          <w:color w:val="3A3A3A"/>
          <w:w w:val="90"/>
          <w:sz w:val="22"/>
        </w:rPr>
        <w:t>lecture</w:t>
      </w:r>
      <w:r>
        <w:rPr>
          <w:color w:val="3A3A3A"/>
          <w:sz w:val="22"/>
        </w:rPr>
        <w:t> </w:t>
      </w:r>
      <w:r>
        <w:rPr>
          <w:color w:val="3A3A3A"/>
          <w:w w:val="90"/>
          <w:sz w:val="22"/>
        </w:rPr>
        <w:t>series,</w:t>
      </w:r>
      <w:r>
        <w:rPr>
          <w:color w:val="3A3A3A"/>
          <w:sz w:val="22"/>
        </w:rPr>
        <w:t> </w:t>
      </w:r>
      <w:r>
        <w:rPr>
          <w:color w:val="3A3A3A"/>
          <w:w w:val="90"/>
          <w:sz w:val="22"/>
        </w:rPr>
        <w:t>which has </w:t>
      </w:r>
      <w:r>
        <w:rPr>
          <w:color w:val="3A3A3A"/>
          <w:w w:val="95"/>
          <w:sz w:val="22"/>
        </w:rPr>
        <w:t>alfowed</w:t>
      </w:r>
      <w:r>
        <w:rPr>
          <w:color w:val="3A3A3A"/>
          <w:spacing w:val="-13"/>
          <w:w w:val="95"/>
          <w:sz w:val="22"/>
        </w:rPr>
        <w:t> </w:t>
      </w:r>
      <w:r>
        <w:rPr>
          <w:color w:val="3A3A3A"/>
          <w:w w:val="95"/>
          <w:sz w:val="22"/>
        </w:rPr>
        <w:t>more</w:t>
      </w:r>
      <w:r>
        <w:rPr>
          <w:color w:val="3A3A3A"/>
          <w:spacing w:val="-13"/>
          <w:w w:val="95"/>
          <w:sz w:val="22"/>
        </w:rPr>
        <w:t> </w:t>
      </w:r>
      <w:r>
        <w:rPr>
          <w:color w:val="3A3A3A"/>
          <w:w w:val="95"/>
          <w:sz w:val="22"/>
        </w:rPr>
        <w:t>flexible</w:t>
      </w:r>
      <w:r>
        <w:rPr>
          <w:color w:val="3A3A3A"/>
          <w:spacing w:val="-12"/>
          <w:w w:val="95"/>
          <w:sz w:val="22"/>
        </w:rPr>
        <w:t> </w:t>
      </w:r>
      <w:r>
        <w:rPr>
          <w:color w:val="3A3A3A"/>
          <w:w w:val="95"/>
          <w:sz w:val="22"/>
        </w:rPr>
        <w:t>use</w:t>
      </w:r>
      <w:r>
        <w:rPr>
          <w:color w:val="3A3A3A"/>
          <w:spacing w:val="-14"/>
          <w:w w:val="95"/>
          <w:sz w:val="22"/>
        </w:rPr>
        <w:t> </w:t>
      </w:r>
      <w:r>
        <w:rPr>
          <w:color w:val="3A3A3A"/>
          <w:w w:val="95"/>
          <w:sz w:val="22"/>
        </w:rPr>
        <w:t>of</w:t>
      </w:r>
      <w:r>
        <w:rPr>
          <w:color w:val="3A3A3A"/>
          <w:spacing w:val="-12"/>
          <w:w w:val="95"/>
          <w:sz w:val="22"/>
        </w:rPr>
        <w:t> </w:t>
      </w:r>
      <w:r>
        <w:rPr>
          <w:color w:val="3A3A3A"/>
          <w:w w:val="95"/>
          <w:sz w:val="22"/>
        </w:rPr>
        <w:t>the</w:t>
      </w:r>
      <w:r>
        <w:rPr>
          <w:color w:val="3A3A3A"/>
          <w:spacing w:val="-18"/>
          <w:w w:val="95"/>
          <w:sz w:val="22"/>
        </w:rPr>
        <w:t> </w:t>
      </w:r>
      <w:r>
        <w:rPr>
          <w:color w:val="3A3A3A"/>
          <w:w w:val="95"/>
          <w:sz w:val="22"/>
        </w:rPr>
        <w:t>large</w:t>
      </w:r>
      <w:r>
        <w:rPr>
          <w:color w:val="3A3A3A"/>
          <w:spacing w:val="-23"/>
          <w:w w:val="95"/>
          <w:sz w:val="22"/>
        </w:rPr>
        <w:t> </w:t>
      </w:r>
      <w:r>
        <w:rPr>
          <w:color w:val="3A3A3A"/>
          <w:w w:val="95"/>
          <w:sz w:val="22"/>
        </w:rPr>
        <w:t>classroom</w:t>
      </w:r>
      <w:r>
        <w:rPr>
          <w:color w:val="3A3A3A"/>
          <w:spacing w:val="-12"/>
          <w:w w:val="95"/>
          <w:sz w:val="22"/>
        </w:rPr>
        <w:t> </w:t>
      </w:r>
      <w:r>
        <w:rPr>
          <w:color w:val="3A3A3A"/>
          <w:w w:val="95"/>
          <w:sz w:val="22"/>
        </w:rPr>
        <w:t>spaces</w:t>
      </w:r>
      <w:r>
        <w:rPr>
          <w:color w:val="3A3A3A"/>
          <w:spacing w:val="-12"/>
          <w:w w:val="95"/>
          <w:sz w:val="22"/>
        </w:rPr>
        <w:t> </w:t>
      </w:r>
      <w:r>
        <w:rPr>
          <w:color w:val="525252"/>
          <w:w w:val="95"/>
          <w:sz w:val="22"/>
        </w:rPr>
        <w:t>ln</w:t>
      </w:r>
      <w:r>
        <w:rPr>
          <w:color w:val="525252"/>
          <w:spacing w:val="-23"/>
          <w:w w:val="95"/>
          <w:sz w:val="22"/>
        </w:rPr>
        <w:t> </w:t>
      </w:r>
      <w:r>
        <w:rPr>
          <w:color w:val="3A3A3A"/>
          <w:w w:val="95"/>
          <w:sz w:val="22"/>
        </w:rPr>
        <w:t>the</w:t>
      </w:r>
      <w:r>
        <w:rPr>
          <w:color w:val="3A3A3A"/>
          <w:spacing w:val="-14"/>
          <w:w w:val="95"/>
          <w:sz w:val="22"/>
        </w:rPr>
        <w:t> </w:t>
      </w:r>
      <w:r>
        <w:rPr>
          <w:color w:val="3A3A3A"/>
          <w:w w:val="95"/>
          <w:sz w:val="22"/>
        </w:rPr>
        <w:t>Bemis</w:t>
      </w:r>
      <w:r>
        <w:rPr>
          <w:color w:val="3A3A3A"/>
          <w:spacing w:val="-13"/>
          <w:w w:val="95"/>
          <w:sz w:val="22"/>
        </w:rPr>
        <w:t> </w:t>
      </w:r>
      <w:r>
        <w:rPr>
          <w:color w:val="3A3A3A"/>
          <w:w w:val="95"/>
          <w:sz w:val="22"/>
        </w:rPr>
        <w:t>building</w:t>
      </w:r>
      <w:r>
        <w:rPr>
          <w:color w:val="AEAEAE"/>
          <w:w w:val="95"/>
          <w:sz w:val="22"/>
        </w:rPr>
        <w:t>.</w:t>
      </w:r>
    </w:p>
    <w:p>
      <w:pPr>
        <w:spacing w:after="0" w:line="218" w:lineRule="auto"/>
        <w:jc w:val="both"/>
        <w:rPr>
          <w:sz w:val="22"/>
        </w:rPr>
        <w:sectPr>
          <w:headerReference w:type="default" r:id="rId460"/>
          <w:footerReference w:type="default" r:id="rId461"/>
          <w:pgSz w:w="12180" w:h="15740"/>
          <w:pgMar w:header="0" w:footer="0" w:top="1620" w:bottom="280" w:left="240" w:right="1440"/>
        </w:sectPr>
      </w:pPr>
    </w:p>
    <w:p>
      <w:pPr>
        <w:pStyle w:val="ListParagraph"/>
        <w:numPr>
          <w:ilvl w:val="0"/>
          <w:numId w:val="83"/>
        </w:numPr>
        <w:tabs>
          <w:tab w:pos="1835" w:val="left" w:leader="none"/>
          <w:tab w:pos="1836" w:val="left" w:leader="none"/>
        </w:tabs>
        <w:spacing w:line="441" w:lineRule="auto" w:before="72" w:after="0"/>
        <w:ind w:left="1834" w:right="4006" w:hanging="710"/>
        <w:jc w:val="left"/>
        <w:rPr>
          <w:color w:val="2A2A2A"/>
          <w:sz w:val="21"/>
        </w:rPr>
      </w:pPr>
      <w:r>
        <w:rPr>
          <w:color w:val="2A2A2A"/>
          <w:sz w:val="21"/>
        </w:rPr>
        <w:t>Compffance with the</w:t>
      </w:r>
      <w:r>
        <w:rPr>
          <w:color w:val="2A2A2A"/>
          <w:spacing w:val="-4"/>
          <w:sz w:val="21"/>
        </w:rPr>
        <w:t> </w:t>
      </w:r>
      <w:r>
        <w:rPr>
          <w:color w:val="2A2A2A"/>
          <w:sz w:val="21"/>
        </w:rPr>
        <w:t>Conditions for</w:t>
      </w:r>
      <w:r>
        <w:rPr>
          <w:color w:val="2A2A2A"/>
          <w:spacing w:val="40"/>
          <w:sz w:val="21"/>
        </w:rPr>
        <w:t> </w:t>
      </w:r>
      <w:r>
        <w:rPr>
          <w:color w:val="2A2A2A"/>
          <w:sz w:val="21"/>
        </w:rPr>
        <w:t>Accreditation Program</w:t>
      </w:r>
      <w:r>
        <w:rPr>
          <w:color w:val="2A2A2A"/>
          <w:spacing w:val="-15"/>
          <w:sz w:val="21"/>
        </w:rPr>
        <w:t> </w:t>
      </w:r>
      <w:r>
        <w:rPr>
          <w:color w:val="2A2A2A"/>
          <w:sz w:val="21"/>
        </w:rPr>
        <w:t>Response</w:t>
      </w:r>
      <w:r>
        <w:rPr>
          <w:color w:val="2A2A2A"/>
          <w:spacing w:val="-15"/>
          <w:sz w:val="21"/>
        </w:rPr>
        <w:t> </w:t>
      </w:r>
      <w:r>
        <w:rPr>
          <w:color w:val="2A2A2A"/>
          <w:sz w:val="21"/>
        </w:rPr>
        <w:t>to</w:t>
      </w:r>
      <w:r>
        <w:rPr>
          <w:color w:val="2A2A2A"/>
          <w:spacing w:val="-12"/>
          <w:sz w:val="21"/>
        </w:rPr>
        <w:t> </w:t>
      </w:r>
      <w:r>
        <w:rPr>
          <w:color w:val="2A2A2A"/>
          <w:sz w:val="21"/>
        </w:rPr>
        <w:t>the</w:t>
      </w:r>
      <w:r>
        <w:rPr>
          <w:color w:val="2A2A2A"/>
          <w:spacing w:val="-14"/>
          <w:sz w:val="21"/>
        </w:rPr>
        <w:t> </w:t>
      </w:r>
      <w:r>
        <w:rPr>
          <w:rFonts w:ascii="Times New Roman"/>
          <w:b/>
          <w:color w:val="3D3D3D"/>
          <w:sz w:val="23"/>
        </w:rPr>
        <w:t>NAAB</w:t>
      </w:r>
      <w:r>
        <w:rPr>
          <w:rFonts w:ascii="Times New Roman"/>
          <w:b/>
          <w:color w:val="3D3D3D"/>
          <w:spacing w:val="-12"/>
          <w:sz w:val="23"/>
        </w:rPr>
        <w:t> </w:t>
      </w:r>
      <w:r>
        <w:rPr>
          <w:color w:val="2A2A2A"/>
          <w:sz w:val="21"/>
        </w:rPr>
        <w:t>Focused</w:t>
      </w:r>
      <w:r>
        <w:rPr>
          <w:color w:val="2A2A2A"/>
          <w:spacing w:val="-15"/>
          <w:sz w:val="21"/>
        </w:rPr>
        <w:t> </w:t>
      </w:r>
      <w:r>
        <w:rPr>
          <w:color w:val="2A2A2A"/>
          <w:sz w:val="21"/>
        </w:rPr>
        <w:t>Criteria</w:t>
      </w:r>
    </w:p>
    <w:p>
      <w:pPr>
        <w:spacing w:line="216" w:lineRule="auto" w:before="0"/>
        <w:ind w:left="1832" w:right="138" w:firstLine="4"/>
        <w:jc w:val="left"/>
        <w:rPr>
          <w:i/>
          <w:sz w:val="21"/>
        </w:rPr>
      </w:pPr>
      <w:r>
        <w:rPr>
          <w:i/>
          <w:color w:val="3D3D3D"/>
          <w:w w:val="95"/>
          <w:sz w:val="21"/>
        </w:rPr>
        <w:t>Schools</w:t>
      </w:r>
      <w:r>
        <w:rPr>
          <w:i/>
          <w:color w:val="3D3D3D"/>
          <w:spacing w:val="-3"/>
          <w:w w:val="95"/>
          <w:sz w:val="21"/>
        </w:rPr>
        <w:t> </w:t>
      </w:r>
      <w:r>
        <w:rPr>
          <w:i/>
          <w:color w:val="3D3D3D"/>
          <w:w w:val="95"/>
          <w:sz w:val="21"/>
        </w:rPr>
        <w:t>must respond</w:t>
      </w:r>
      <w:r>
        <w:rPr>
          <w:i/>
          <w:color w:val="3D3D3D"/>
          <w:spacing w:val="-2"/>
          <w:w w:val="95"/>
          <w:sz w:val="21"/>
        </w:rPr>
        <w:t> </w:t>
      </w:r>
      <w:r>
        <w:rPr>
          <w:i/>
          <w:color w:val="3D3D3D"/>
          <w:w w:val="95"/>
          <w:sz w:val="21"/>
        </w:rPr>
        <w:t>to</w:t>
      </w:r>
      <w:r>
        <w:rPr>
          <w:i/>
          <w:color w:val="3D3D3D"/>
          <w:spacing w:val="-11"/>
          <w:w w:val="95"/>
          <w:sz w:val="21"/>
        </w:rPr>
        <w:t> </w:t>
      </w:r>
      <w:r>
        <w:rPr>
          <w:i/>
          <w:color w:val="3D3D3D"/>
          <w:w w:val="95"/>
          <w:sz w:val="21"/>
        </w:rPr>
        <w:t>the</w:t>
      </w:r>
      <w:r>
        <w:rPr>
          <w:i/>
          <w:color w:val="3D3D3D"/>
          <w:spacing w:val="-15"/>
          <w:w w:val="95"/>
          <w:sz w:val="21"/>
        </w:rPr>
        <w:t> </w:t>
      </w:r>
      <w:r>
        <w:rPr>
          <w:i/>
          <w:color w:val="4F4F4F"/>
          <w:w w:val="95"/>
          <w:sz w:val="21"/>
        </w:rPr>
        <w:t>interests</w:t>
      </w:r>
      <w:r>
        <w:rPr>
          <w:i/>
          <w:color w:val="4F4F4F"/>
          <w:spacing w:val="-5"/>
          <w:w w:val="95"/>
          <w:sz w:val="21"/>
        </w:rPr>
        <w:t> </w:t>
      </w:r>
      <w:r>
        <w:rPr>
          <w:i/>
          <w:color w:val="3D3D3D"/>
          <w:w w:val="95"/>
          <w:sz w:val="21"/>
        </w:rPr>
        <w:t>of</w:t>
      </w:r>
      <w:r>
        <w:rPr>
          <w:i/>
          <w:color w:val="3D3D3D"/>
          <w:spacing w:val="-10"/>
          <w:w w:val="95"/>
          <w:sz w:val="21"/>
        </w:rPr>
        <w:t> </w:t>
      </w:r>
      <w:r>
        <w:rPr>
          <w:i/>
          <w:color w:val="3D3D3D"/>
          <w:w w:val="95"/>
          <w:sz w:val="21"/>
        </w:rPr>
        <w:t>the</w:t>
      </w:r>
      <w:r>
        <w:rPr>
          <w:i/>
          <w:color w:val="3D3D3D"/>
          <w:spacing w:val="-10"/>
          <w:w w:val="95"/>
          <w:sz w:val="21"/>
        </w:rPr>
        <w:t> </w:t>
      </w:r>
      <w:r>
        <w:rPr>
          <w:i/>
          <w:color w:val="3D3D3D"/>
          <w:w w:val="95"/>
          <w:sz w:val="21"/>
        </w:rPr>
        <w:t>collateral organizations</w:t>
      </w:r>
      <w:r>
        <w:rPr>
          <w:i/>
          <w:color w:val="3D3D3D"/>
          <w:sz w:val="21"/>
        </w:rPr>
        <w:t> </w:t>
      </w:r>
      <w:r>
        <w:rPr>
          <w:i/>
          <w:color w:val="3D3D3D"/>
          <w:w w:val="95"/>
          <w:sz w:val="21"/>
        </w:rPr>
        <w:t>that make</w:t>
      </w:r>
      <w:r>
        <w:rPr>
          <w:i/>
          <w:color w:val="3D3D3D"/>
          <w:spacing w:val="-18"/>
          <w:w w:val="95"/>
          <w:sz w:val="21"/>
        </w:rPr>
        <w:t> </w:t>
      </w:r>
      <w:r>
        <w:rPr>
          <w:i/>
          <w:color w:val="3D3D3D"/>
          <w:w w:val="95"/>
          <w:sz w:val="21"/>
        </w:rPr>
        <w:t>up</w:t>
      </w:r>
      <w:r>
        <w:rPr>
          <w:i/>
          <w:color w:val="3D3D3D"/>
          <w:spacing w:val="-10"/>
          <w:w w:val="95"/>
          <w:sz w:val="21"/>
        </w:rPr>
        <w:t> </w:t>
      </w:r>
      <w:r>
        <w:rPr>
          <w:i/>
          <w:color w:val="3D3D3D"/>
          <w:w w:val="95"/>
          <w:sz w:val="21"/>
        </w:rPr>
        <w:t>the</w:t>
      </w:r>
      <w:r>
        <w:rPr>
          <w:i/>
          <w:color w:val="3D3D3D"/>
          <w:spacing w:val="-12"/>
          <w:w w:val="95"/>
          <w:sz w:val="21"/>
        </w:rPr>
        <w:t> </w:t>
      </w:r>
      <w:r>
        <w:rPr>
          <w:i/>
          <w:color w:val="3D3D3D"/>
          <w:w w:val="95"/>
          <w:sz w:val="21"/>
        </w:rPr>
        <w:t>NAAB as set</w:t>
      </w:r>
      <w:r>
        <w:rPr>
          <w:i/>
          <w:color w:val="3D3D3D"/>
          <w:spacing w:val="-12"/>
          <w:w w:val="95"/>
          <w:sz w:val="21"/>
        </w:rPr>
        <w:t> </w:t>
      </w:r>
      <w:r>
        <w:rPr>
          <w:i/>
          <w:color w:val="3D3D3D"/>
          <w:w w:val="95"/>
          <w:sz w:val="21"/>
        </w:rPr>
        <w:t>forth</w:t>
      </w:r>
      <w:r>
        <w:rPr>
          <w:i/>
          <w:color w:val="3D3D3D"/>
          <w:spacing w:val="-7"/>
          <w:w w:val="95"/>
          <w:sz w:val="21"/>
        </w:rPr>
        <w:t> </w:t>
      </w:r>
      <w:r>
        <w:rPr>
          <w:i/>
          <w:color w:val="3D3D3D"/>
          <w:w w:val="95"/>
          <w:sz w:val="21"/>
        </w:rPr>
        <w:t>by</w:t>
      </w:r>
      <w:r>
        <w:rPr>
          <w:i/>
          <w:color w:val="3D3D3D"/>
          <w:spacing w:val="-5"/>
          <w:w w:val="95"/>
          <w:sz w:val="21"/>
        </w:rPr>
        <w:t> </w:t>
      </w:r>
      <w:r>
        <w:rPr>
          <w:i/>
          <w:color w:val="3D3D3D"/>
          <w:w w:val="95"/>
          <w:sz w:val="21"/>
        </w:rPr>
        <w:t>this</w:t>
      </w:r>
      <w:r>
        <w:rPr>
          <w:i/>
          <w:color w:val="3D3D3D"/>
          <w:spacing w:val="-11"/>
          <w:w w:val="95"/>
          <w:sz w:val="21"/>
        </w:rPr>
        <w:t> </w:t>
      </w:r>
      <w:r>
        <w:rPr>
          <w:i/>
          <w:color w:val="3D3D3D"/>
          <w:w w:val="95"/>
          <w:sz w:val="21"/>
        </w:rPr>
        <w:t>edition of</w:t>
      </w:r>
      <w:r>
        <w:rPr>
          <w:i/>
          <w:color w:val="3D3D3D"/>
          <w:spacing w:val="-8"/>
          <w:w w:val="95"/>
          <w:sz w:val="21"/>
        </w:rPr>
        <w:t> </w:t>
      </w:r>
      <w:r>
        <w:rPr>
          <w:i/>
          <w:color w:val="3D3D3D"/>
          <w:w w:val="95"/>
          <w:sz w:val="21"/>
        </w:rPr>
        <w:t>the </w:t>
      </w:r>
      <w:r>
        <w:rPr>
          <w:rFonts w:ascii="Times New Roman"/>
          <w:b/>
          <w:color w:val="3D3D3D"/>
          <w:w w:val="95"/>
          <w:sz w:val="24"/>
        </w:rPr>
        <w:t>NAAB</w:t>
      </w:r>
      <w:r>
        <w:rPr>
          <w:rFonts w:ascii="Times New Roman"/>
          <w:b/>
          <w:color w:val="3D3D3D"/>
          <w:sz w:val="24"/>
        </w:rPr>
        <w:t> </w:t>
      </w:r>
      <w:r>
        <w:rPr>
          <w:color w:val="3D3D3D"/>
          <w:w w:val="95"/>
          <w:sz w:val="21"/>
        </w:rPr>
        <w:t>Conditions for</w:t>
      </w:r>
      <w:r>
        <w:rPr>
          <w:color w:val="3D3D3D"/>
          <w:spacing w:val="-12"/>
          <w:w w:val="95"/>
          <w:sz w:val="21"/>
        </w:rPr>
        <w:t> </w:t>
      </w:r>
      <w:r>
        <w:rPr>
          <w:color w:val="3D3D3D"/>
          <w:w w:val="95"/>
          <w:sz w:val="21"/>
        </w:rPr>
        <w:t>Accreditatfon</w:t>
      </w:r>
      <w:r>
        <w:rPr>
          <w:color w:val="7E7E7E"/>
          <w:w w:val="95"/>
          <w:sz w:val="21"/>
        </w:rPr>
        <w:t>.</w:t>
      </w:r>
      <w:r>
        <w:rPr>
          <w:color w:val="7E7E7E"/>
          <w:spacing w:val="-12"/>
          <w:w w:val="95"/>
          <w:sz w:val="21"/>
        </w:rPr>
        <w:t> </w:t>
      </w:r>
      <w:r>
        <w:rPr>
          <w:i/>
          <w:color w:val="3D3D3D"/>
          <w:w w:val="95"/>
          <w:sz w:val="21"/>
        </w:rPr>
        <w:t>Each school </w:t>
      </w:r>
      <w:r>
        <w:rPr>
          <w:i/>
          <w:color w:val="3D3D3D"/>
          <w:w w:val="95"/>
          <w:sz w:val="20"/>
        </w:rPr>
        <w:t>is</w:t>
      </w:r>
      <w:r>
        <w:rPr>
          <w:i/>
          <w:color w:val="3D3D3D"/>
          <w:spacing w:val="-13"/>
          <w:w w:val="95"/>
          <w:sz w:val="20"/>
        </w:rPr>
        <w:t> </w:t>
      </w:r>
      <w:r>
        <w:rPr>
          <w:i/>
          <w:color w:val="3D3D3D"/>
          <w:w w:val="95"/>
          <w:sz w:val="21"/>
        </w:rPr>
        <w:t>expected to address these interests consistent wllh its</w:t>
      </w:r>
      <w:r>
        <w:rPr>
          <w:i/>
          <w:color w:val="3D3D3D"/>
          <w:spacing w:val="-1"/>
          <w:w w:val="95"/>
          <w:sz w:val="21"/>
        </w:rPr>
        <w:t> </w:t>
      </w:r>
      <w:r>
        <w:rPr>
          <w:i/>
          <w:color w:val="3D3D3D"/>
          <w:w w:val="95"/>
          <w:sz w:val="21"/>
        </w:rPr>
        <w:t>scholastic Identity and</w:t>
      </w:r>
      <w:r>
        <w:rPr>
          <w:i/>
          <w:color w:val="3D3D3D"/>
          <w:spacing w:val="-1"/>
          <w:w w:val="95"/>
          <w:sz w:val="21"/>
        </w:rPr>
        <w:t> </w:t>
      </w:r>
      <w:r>
        <w:rPr>
          <w:i/>
          <w:color w:val="3D3D3D"/>
          <w:w w:val="95"/>
          <w:sz w:val="21"/>
        </w:rPr>
        <w:t>mission.</w:t>
      </w:r>
    </w:p>
    <w:p>
      <w:pPr>
        <w:pStyle w:val="BodyText"/>
        <w:rPr>
          <w:i/>
          <w:sz w:val="22"/>
        </w:rPr>
      </w:pPr>
    </w:p>
    <w:p>
      <w:pPr>
        <w:pStyle w:val="BodyText"/>
        <w:spacing w:before="2"/>
        <w:rPr>
          <w:i/>
          <w:sz w:val="18"/>
        </w:rPr>
      </w:pPr>
    </w:p>
    <w:p>
      <w:pPr>
        <w:pStyle w:val="Heading9"/>
        <w:numPr>
          <w:ilvl w:val="0"/>
          <w:numId w:val="79"/>
        </w:numPr>
        <w:tabs>
          <w:tab w:pos="1821" w:val="left" w:leader="none"/>
          <w:tab w:pos="1822" w:val="left" w:leader="none"/>
        </w:tabs>
        <w:spacing w:line="240" w:lineRule="auto" w:before="0" w:after="0"/>
        <w:ind w:left="1821" w:right="0" w:hanging="706"/>
        <w:jc w:val="left"/>
        <w:rPr>
          <w:color w:val="2A2A2A"/>
        </w:rPr>
      </w:pPr>
      <w:r>
        <w:rPr>
          <w:color w:val="3D3D3D"/>
          <w:w w:val="95"/>
        </w:rPr>
        <w:t>Human</w:t>
      </w:r>
      <w:r>
        <w:rPr>
          <w:color w:val="3D3D3D"/>
          <w:spacing w:val="-7"/>
          <w:w w:val="95"/>
        </w:rPr>
        <w:t> </w:t>
      </w:r>
      <w:r>
        <w:rPr>
          <w:color w:val="2A2A2A"/>
          <w:spacing w:val="-2"/>
        </w:rPr>
        <w:t>Resources</w:t>
      </w:r>
    </w:p>
    <w:p>
      <w:pPr>
        <w:pStyle w:val="BodyText"/>
        <w:spacing w:before="11"/>
        <w:rPr>
          <w:b/>
          <w:sz w:val="18"/>
        </w:rPr>
      </w:pPr>
    </w:p>
    <w:p>
      <w:pPr>
        <w:spacing w:line="230" w:lineRule="auto" w:before="0"/>
        <w:ind w:left="1790" w:right="63" w:firstLine="38"/>
        <w:jc w:val="left"/>
        <w:rPr>
          <w:i/>
          <w:sz w:val="21"/>
        </w:rPr>
      </w:pPr>
      <w:r>
        <w:rPr>
          <w:i/>
          <w:color w:val="3D3D3D"/>
          <w:w w:val="95"/>
          <w:sz w:val="21"/>
        </w:rPr>
        <w:t>rt,e</w:t>
      </w:r>
      <w:r>
        <w:rPr>
          <w:i/>
          <w:color w:val="3D3D3D"/>
          <w:spacing w:val="-7"/>
          <w:w w:val="95"/>
          <w:sz w:val="21"/>
        </w:rPr>
        <w:t> </w:t>
      </w:r>
      <w:r>
        <w:rPr>
          <w:i/>
          <w:color w:val="3D3D3D"/>
          <w:w w:val="95"/>
          <w:sz w:val="21"/>
        </w:rPr>
        <w:t>a&lt;:credited</w:t>
      </w:r>
      <w:r>
        <w:rPr>
          <w:i/>
          <w:color w:val="3D3D3D"/>
          <w:spacing w:val="-4"/>
          <w:w w:val="95"/>
          <w:sz w:val="21"/>
        </w:rPr>
        <w:t> </w:t>
      </w:r>
      <w:r>
        <w:rPr>
          <w:i/>
          <w:color w:val="3D3D3D"/>
          <w:w w:val="95"/>
          <w:sz w:val="21"/>
        </w:rPr>
        <w:t>degree program</w:t>
      </w:r>
      <w:r>
        <w:rPr>
          <w:i/>
          <w:color w:val="3D3D3D"/>
          <w:spacing w:val="-3"/>
          <w:w w:val="95"/>
          <w:sz w:val="21"/>
        </w:rPr>
        <w:t> </w:t>
      </w:r>
      <w:r>
        <w:rPr>
          <w:i/>
          <w:color w:val="3D3D3D"/>
          <w:w w:val="95"/>
          <w:sz w:val="21"/>
        </w:rPr>
        <w:t>must</w:t>
      </w:r>
      <w:r>
        <w:rPr>
          <w:i/>
          <w:color w:val="3D3D3D"/>
          <w:spacing w:val="-13"/>
          <w:w w:val="95"/>
          <w:sz w:val="21"/>
        </w:rPr>
        <w:t> </w:t>
      </w:r>
      <w:r>
        <w:rPr>
          <w:i/>
          <w:color w:val="3D3D3D"/>
          <w:w w:val="95"/>
          <w:sz w:val="21"/>
        </w:rPr>
        <w:t>demonstrate that</w:t>
      </w:r>
      <w:r>
        <w:rPr>
          <w:i/>
          <w:color w:val="3D3D3D"/>
          <w:spacing w:val="-22"/>
          <w:w w:val="95"/>
          <w:sz w:val="21"/>
        </w:rPr>
        <w:t> </w:t>
      </w:r>
      <w:r>
        <w:rPr>
          <w:i/>
          <w:color w:val="4F4F4F"/>
          <w:w w:val="95"/>
          <w:sz w:val="21"/>
        </w:rPr>
        <w:t>it</w:t>
      </w:r>
      <w:r>
        <w:rPr>
          <w:i/>
          <w:color w:val="4F4F4F"/>
          <w:spacing w:val="-10"/>
          <w:w w:val="95"/>
          <w:sz w:val="21"/>
        </w:rPr>
        <w:t> </w:t>
      </w:r>
      <w:r>
        <w:rPr>
          <w:i/>
          <w:color w:val="3D3D3D"/>
          <w:w w:val="95"/>
          <w:sz w:val="21"/>
        </w:rPr>
        <w:t>provides</w:t>
      </w:r>
      <w:r>
        <w:rPr>
          <w:i/>
          <w:color w:val="3D3D3D"/>
          <w:spacing w:val="-2"/>
          <w:w w:val="95"/>
          <w:sz w:val="21"/>
        </w:rPr>
        <w:t> </w:t>
      </w:r>
      <w:r>
        <w:rPr>
          <w:i/>
          <w:color w:val="3D3D3D"/>
          <w:w w:val="95"/>
          <w:sz w:val="21"/>
        </w:rPr>
        <w:t>adequate</w:t>
      </w:r>
      <w:r>
        <w:rPr>
          <w:i/>
          <w:color w:val="3D3D3D"/>
          <w:spacing w:val="-1"/>
          <w:w w:val="95"/>
          <w:sz w:val="21"/>
        </w:rPr>
        <w:t> </w:t>
      </w:r>
      <w:r>
        <w:rPr>
          <w:i/>
          <w:color w:val="3D3D3D"/>
          <w:w w:val="95"/>
          <w:sz w:val="21"/>
        </w:rPr>
        <w:t>human</w:t>
      </w:r>
      <w:r>
        <w:rPr>
          <w:i/>
          <w:color w:val="3D3D3D"/>
          <w:spacing w:val="-5"/>
          <w:w w:val="95"/>
          <w:sz w:val="21"/>
        </w:rPr>
        <w:t> </w:t>
      </w:r>
      <w:r>
        <w:rPr>
          <w:i/>
          <w:color w:val="3D3D3D"/>
          <w:w w:val="95"/>
          <w:sz w:val="21"/>
        </w:rPr>
        <w:t>resources</w:t>
      </w:r>
      <w:r>
        <w:rPr>
          <w:i/>
          <w:color w:val="3D3D3D"/>
          <w:spacing w:val="-4"/>
          <w:w w:val="95"/>
          <w:sz w:val="21"/>
        </w:rPr>
        <w:t> </w:t>
      </w:r>
      <w:r>
        <w:rPr>
          <w:i/>
          <w:color w:val="3D3D3D"/>
          <w:w w:val="95"/>
          <w:sz w:val="21"/>
        </w:rPr>
        <w:t>for a</w:t>
      </w:r>
      <w:r>
        <w:rPr>
          <w:i/>
          <w:color w:val="3D3D3D"/>
          <w:spacing w:val="-8"/>
          <w:w w:val="95"/>
          <w:sz w:val="21"/>
        </w:rPr>
        <w:t> </w:t>
      </w:r>
      <w:r>
        <w:rPr>
          <w:i/>
          <w:color w:val="3D3D3D"/>
          <w:w w:val="95"/>
          <w:sz w:val="21"/>
        </w:rPr>
        <w:t>professional</w:t>
      </w:r>
      <w:r>
        <w:rPr>
          <w:i/>
          <w:color w:val="3D3D3D"/>
          <w:spacing w:val="29"/>
          <w:sz w:val="21"/>
        </w:rPr>
        <w:t> </w:t>
      </w:r>
      <w:r>
        <w:rPr>
          <w:i/>
          <w:color w:val="3D3D3D"/>
          <w:w w:val="95"/>
          <w:sz w:val="21"/>
        </w:rPr>
        <w:t>degree program </w:t>
      </w:r>
      <w:r>
        <w:rPr>
          <w:i/>
          <w:color w:val="4F4F4F"/>
          <w:w w:val="95"/>
          <w:sz w:val="21"/>
        </w:rPr>
        <w:t>in</w:t>
      </w:r>
      <w:r>
        <w:rPr>
          <w:i/>
          <w:color w:val="4F4F4F"/>
          <w:spacing w:val="-13"/>
          <w:w w:val="95"/>
          <w:sz w:val="21"/>
        </w:rPr>
        <w:t> </w:t>
      </w:r>
      <w:r>
        <w:rPr>
          <w:i/>
          <w:color w:val="3D3D3D"/>
          <w:w w:val="95"/>
          <w:sz w:val="21"/>
        </w:rPr>
        <w:t>architecture</w:t>
      </w:r>
      <w:r>
        <w:rPr>
          <w:i/>
          <w:color w:val="6E6E6E"/>
          <w:w w:val="95"/>
          <w:sz w:val="21"/>
        </w:rPr>
        <w:t>, </w:t>
      </w:r>
      <w:r>
        <w:rPr>
          <w:i/>
          <w:color w:val="4F4F4F"/>
          <w:w w:val="95"/>
          <w:sz w:val="21"/>
        </w:rPr>
        <w:t>including </w:t>
      </w:r>
      <w:r>
        <w:rPr>
          <w:i/>
          <w:color w:val="3D3D3D"/>
          <w:w w:val="95"/>
          <w:sz w:val="21"/>
        </w:rPr>
        <w:t>a</w:t>
      </w:r>
      <w:r>
        <w:rPr>
          <w:i/>
          <w:color w:val="3D3D3D"/>
          <w:spacing w:val="-15"/>
          <w:w w:val="95"/>
          <w:sz w:val="21"/>
        </w:rPr>
        <w:t> </w:t>
      </w:r>
      <w:r>
        <w:rPr>
          <w:i/>
          <w:color w:val="3D3D3D"/>
          <w:w w:val="95"/>
          <w:sz w:val="21"/>
        </w:rPr>
        <w:t>sufficient faculty complement,</w:t>
      </w:r>
      <w:r>
        <w:rPr>
          <w:i/>
          <w:color w:val="3D3D3D"/>
          <w:sz w:val="21"/>
        </w:rPr>
        <w:t> </w:t>
      </w:r>
      <w:r>
        <w:rPr>
          <w:i/>
          <w:color w:val="3D3D3D"/>
          <w:w w:val="95"/>
          <w:sz w:val="21"/>
        </w:rPr>
        <w:t>an administrative </w:t>
      </w:r>
      <w:r>
        <w:rPr>
          <w:i/>
          <w:color w:val="2A2A2A"/>
          <w:w w:val="95"/>
          <w:sz w:val="21"/>
        </w:rPr>
        <w:t>head </w:t>
      </w:r>
      <w:r>
        <w:rPr>
          <w:i/>
          <w:color w:val="3D3D3D"/>
          <w:w w:val="95"/>
          <w:sz w:val="21"/>
        </w:rPr>
        <w:t>with</w:t>
      </w:r>
      <w:r>
        <w:rPr>
          <w:i/>
          <w:color w:val="3D3D3D"/>
          <w:spacing w:val="-12"/>
          <w:w w:val="95"/>
          <w:sz w:val="21"/>
        </w:rPr>
        <w:t> </w:t>
      </w:r>
      <w:r>
        <w:rPr>
          <w:i/>
          <w:color w:val="3D3D3D"/>
          <w:w w:val="95"/>
          <w:sz w:val="21"/>
        </w:rPr>
        <w:t>enough time for</w:t>
      </w:r>
      <w:r>
        <w:rPr>
          <w:i/>
          <w:color w:val="3D3D3D"/>
          <w:spacing w:val="-2"/>
          <w:w w:val="95"/>
          <w:sz w:val="21"/>
        </w:rPr>
        <w:t> </w:t>
      </w:r>
      <w:r>
        <w:rPr>
          <w:i/>
          <w:color w:val="3D3D3D"/>
          <w:w w:val="95"/>
          <w:sz w:val="21"/>
        </w:rPr>
        <w:t>effective administration</w:t>
      </w:r>
      <w:r>
        <w:rPr>
          <w:i/>
          <w:color w:val="6E6E6E"/>
          <w:w w:val="95"/>
          <w:sz w:val="21"/>
        </w:rPr>
        <w:t>, </w:t>
      </w:r>
      <w:r>
        <w:rPr>
          <w:i/>
          <w:color w:val="3D3D3D"/>
          <w:w w:val="95"/>
          <w:sz w:val="21"/>
        </w:rPr>
        <w:t>and adequate administrative, </w:t>
      </w:r>
      <w:r>
        <w:rPr>
          <w:i/>
          <w:color w:val="4F4F4F"/>
          <w:w w:val="95"/>
          <w:sz w:val="21"/>
        </w:rPr>
        <w:t>technicali</w:t>
      </w:r>
      <w:r>
        <w:rPr>
          <w:i/>
          <w:color w:val="4F4F4F"/>
          <w:spacing w:val="40"/>
          <w:sz w:val="21"/>
        </w:rPr>
        <w:t> </w:t>
      </w:r>
      <w:r>
        <w:rPr>
          <w:i/>
          <w:color w:val="3D3D3D"/>
          <w:w w:val="95"/>
          <w:sz w:val="21"/>
        </w:rPr>
        <w:t>and filcufty support staff. Student enrollment </w:t>
      </w:r>
      <w:r>
        <w:rPr>
          <w:i/>
          <w:color w:val="4F4F4F"/>
          <w:w w:val="95"/>
          <w:sz w:val="21"/>
        </w:rPr>
        <w:t>In</w:t>
      </w:r>
      <w:r>
        <w:rPr>
          <w:i/>
          <w:color w:val="4F4F4F"/>
          <w:spacing w:val="-3"/>
          <w:w w:val="95"/>
          <w:sz w:val="21"/>
        </w:rPr>
        <w:t> </w:t>
      </w:r>
      <w:r>
        <w:rPr>
          <w:i/>
          <w:color w:val="3D3D3D"/>
          <w:w w:val="95"/>
          <w:sz w:val="21"/>
        </w:rPr>
        <w:t>and scheduling of</w:t>
      </w:r>
      <w:r>
        <w:rPr>
          <w:i/>
          <w:color w:val="3D3D3D"/>
          <w:spacing w:val="-13"/>
          <w:w w:val="95"/>
          <w:sz w:val="21"/>
        </w:rPr>
        <w:t> </w:t>
      </w:r>
      <w:r>
        <w:rPr>
          <w:i/>
          <w:color w:val="3D3D3D"/>
          <w:w w:val="95"/>
          <w:sz w:val="21"/>
        </w:rPr>
        <w:t>design</w:t>
      </w:r>
      <w:r>
        <w:rPr>
          <w:i/>
          <w:color w:val="3D3D3D"/>
          <w:spacing w:val="-1"/>
          <w:w w:val="95"/>
          <w:sz w:val="21"/>
        </w:rPr>
        <w:t> </w:t>
      </w:r>
      <w:r>
        <w:rPr>
          <w:i/>
          <w:color w:val="3D3D3D"/>
          <w:w w:val="95"/>
          <w:sz w:val="21"/>
        </w:rPr>
        <w:t>studios must ensure</w:t>
      </w:r>
      <w:r>
        <w:rPr>
          <w:i/>
          <w:color w:val="3D3D3D"/>
          <w:spacing w:val="-12"/>
          <w:w w:val="95"/>
          <w:sz w:val="21"/>
        </w:rPr>
        <w:t> </w:t>
      </w:r>
      <w:r>
        <w:rPr>
          <w:i/>
          <w:color w:val="3D3D3D"/>
          <w:w w:val="95"/>
          <w:sz w:val="21"/>
        </w:rPr>
        <w:t>adequate </w:t>
      </w:r>
      <w:r>
        <w:rPr>
          <w:i/>
          <w:color w:val="4F4F4F"/>
          <w:w w:val="95"/>
          <w:sz w:val="21"/>
        </w:rPr>
        <w:t>time</w:t>
      </w:r>
      <w:r>
        <w:rPr>
          <w:i/>
          <w:color w:val="4F4F4F"/>
          <w:spacing w:val="-2"/>
          <w:w w:val="95"/>
          <w:sz w:val="21"/>
        </w:rPr>
        <w:t> </w:t>
      </w:r>
      <w:r>
        <w:rPr>
          <w:i/>
          <w:color w:val="3D3D3D"/>
          <w:w w:val="95"/>
          <w:sz w:val="21"/>
        </w:rPr>
        <w:t>for</w:t>
      </w:r>
      <w:r>
        <w:rPr>
          <w:i/>
          <w:color w:val="3D3D3D"/>
          <w:spacing w:val="-12"/>
          <w:w w:val="95"/>
          <w:sz w:val="21"/>
        </w:rPr>
        <w:t> </w:t>
      </w:r>
      <w:r>
        <w:rPr>
          <w:i/>
          <w:color w:val="3D3D3D"/>
          <w:w w:val="95"/>
          <w:sz w:val="21"/>
        </w:rPr>
        <w:t>an</w:t>
      </w:r>
      <w:r>
        <w:rPr>
          <w:i/>
          <w:color w:val="3D3D3D"/>
          <w:spacing w:val="-9"/>
          <w:w w:val="95"/>
          <w:sz w:val="21"/>
        </w:rPr>
        <w:t> </w:t>
      </w:r>
      <w:r>
        <w:rPr>
          <w:i/>
          <w:color w:val="3D3D3D"/>
          <w:w w:val="95"/>
          <w:sz w:val="21"/>
        </w:rPr>
        <w:t>effeciive</w:t>
      </w:r>
      <w:r>
        <w:rPr>
          <w:i/>
          <w:color w:val="3D3D3D"/>
          <w:spacing w:val="-1"/>
          <w:w w:val="95"/>
          <w:sz w:val="21"/>
        </w:rPr>
        <w:t> </w:t>
      </w:r>
      <w:r>
        <w:rPr>
          <w:i/>
          <w:color w:val="3D3D3D"/>
          <w:w w:val="95"/>
          <w:sz w:val="21"/>
        </w:rPr>
        <w:t>tutorial</w:t>
      </w:r>
      <w:r>
        <w:rPr>
          <w:i/>
          <w:color w:val="3D3D3D"/>
          <w:spacing w:val="-3"/>
          <w:w w:val="95"/>
          <w:sz w:val="21"/>
        </w:rPr>
        <w:t> </w:t>
      </w:r>
      <w:r>
        <w:rPr>
          <w:i/>
          <w:color w:val="3D3D3D"/>
          <w:w w:val="95"/>
          <w:sz w:val="21"/>
        </w:rPr>
        <w:t>exchange between </w:t>
      </w:r>
      <w:r>
        <w:rPr>
          <w:i/>
          <w:color w:val="4F4F4F"/>
          <w:w w:val="95"/>
          <w:sz w:val="21"/>
        </w:rPr>
        <w:t>the</w:t>
      </w:r>
      <w:r>
        <w:rPr>
          <w:i/>
          <w:color w:val="4F4F4F"/>
          <w:spacing w:val="-8"/>
          <w:w w:val="95"/>
          <w:sz w:val="21"/>
        </w:rPr>
        <w:t> </w:t>
      </w:r>
      <w:r>
        <w:rPr>
          <w:i/>
          <w:color w:val="3D3D3D"/>
          <w:w w:val="95"/>
          <w:sz w:val="21"/>
        </w:rPr>
        <w:t>teacher</w:t>
      </w:r>
      <w:r>
        <w:rPr>
          <w:i/>
          <w:color w:val="3D3D3D"/>
          <w:spacing w:val="-3"/>
          <w:w w:val="95"/>
          <w:sz w:val="21"/>
        </w:rPr>
        <w:t> </w:t>
      </w:r>
      <w:r>
        <w:rPr>
          <w:i/>
          <w:color w:val="3D3D3D"/>
          <w:w w:val="95"/>
          <w:sz w:val="21"/>
        </w:rPr>
        <w:t>and</w:t>
      </w:r>
      <w:r>
        <w:rPr>
          <w:i/>
          <w:color w:val="3D3D3D"/>
          <w:spacing w:val="-8"/>
          <w:w w:val="95"/>
          <w:sz w:val="21"/>
        </w:rPr>
        <w:t> </w:t>
      </w:r>
      <w:r>
        <w:rPr>
          <w:i/>
          <w:color w:val="3D3D3D"/>
          <w:w w:val="95"/>
          <w:sz w:val="21"/>
        </w:rPr>
        <w:t>the</w:t>
      </w:r>
      <w:r>
        <w:rPr>
          <w:i/>
          <w:color w:val="3D3D3D"/>
          <w:spacing w:val="-12"/>
          <w:w w:val="95"/>
          <w:sz w:val="21"/>
        </w:rPr>
        <w:t> </w:t>
      </w:r>
      <w:r>
        <w:rPr>
          <w:i/>
          <w:color w:val="3D3D3D"/>
          <w:w w:val="95"/>
          <w:sz w:val="21"/>
        </w:rPr>
        <w:t>studenL</w:t>
      </w:r>
      <w:r>
        <w:rPr>
          <w:i/>
          <w:color w:val="3D3D3D"/>
          <w:sz w:val="21"/>
        </w:rPr>
        <w:t> </w:t>
      </w:r>
      <w:r>
        <w:rPr>
          <w:i/>
          <w:color w:val="3D3D3D"/>
          <w:w w:val="95"/>
          <w:sz w:val="21"/>
        </w:rPr>
        <w:t>The total</w:t>
      </w:r>
      <w:r>
        <w:rPr>
          <w:i/>
          <w:color w:val="3D3D3D"/>
          <w:spacing w:val="-1"/>
          <w:w w:val="95"/>
          <w:sz w:val="21"/>
        </w:rPr>
        <w:t> </w:t>
      </w:r>
      <w:r>
        <w:rPr>
          <w:i/>
          <w:color w:val="3D3D3D"/>
          <w:w w:val="95"/>
          <w:sz w:val="21"/>
        </w:rPr>
        <w:t>teaching </w:t>
      </w:r>
      <w:r>
        <w:rPr>
          <w:i/>
          <w:color w:val="4F4F4F"/>
          <w:w w:val="95"/>
          <w:sz w:val="21"/>
        </w:rPr>
        <w:t>load </w:t>
      </w:r>
      <w:r>
        <w:rPr>
          <w:i/>
          <w:color w:val="3D3D3D"/>
          <w:w w:val="95"/>
          <w:sz w:val="21"/>
        </w:rPr>
        <w:t>should allow faculty members adequate </w:t>
      </w:r>
      <w:r>
        <w:rPr>
          <w:i/>
          <w:color w:val="4F4F4F"/>
          <w:w w:val="95"/>
          <w:sz w:val="21"/>
        </w:rPr>
        <w:t>time </w:t>
      </w:r>
      <w:r>
        <w:rPr>
          <w:i/>
          <w:color w:val="3D3D3D"/>
          <w:w w:val="95"/>
          <w:sz w:val="21"/>
        </w:rPr>
        <w:t>to</w:t>
      </w:r>
      <w:r>
        <w:rPr>
          <w:i/>
          <w:color w:val="3D3D3D"/>
          <w:spacing w:val="-14"/>
          <w:w w:val="95"/>
          <w:sz w:val="21"/>
        </w:rPr>
        <w:t> </w:t>
      </w:r>
      <w:r>
        <w:rPr>
          <w:i/>
          <w:color w:val="3D3D3D"/>
          <w:w w:val="95"/>
          <w:sz w:val="21"/>
        </w:rPr>
        <w:t>pursue</w:t>
      </w:r>
      <w:r>
        <w:rPr>
          <w:i/>
          <w:color w:val="3D3D3D"/>
          <w:spacing w:val="-1"/>
          <w:w w:val="95"/>
          <w:sz w:val="21"/>
        </w:rPr>
        <w:t> </w:t>
      </w:r>
      <w:r>
        <w:rPr>
          <w:i/>
          <w:color w:val="3D3D3D"/>
          <w:w w:val="95"/>
          <w:sz w:val="21"/>
        </w:rPr>
        <w:t>research. scho/arsh;p, </w:t>
      </w:r>
      <w:r>
        <w:rPr>
          <w:i/>
          <w:color w:val="3D3D3D"/>
          <w:spacing w:val="-2"/>
          <w:sz w:val="21"/>
        </w:rPr>
        <w:t>and</w:t>
      </w:r>
      <w:r>
        <w:rPr>
          <w:i/>
          <w:color w:val="3D3D3D"/>
          <w:spacing w:val="-13"/>
          <w:sz w:val="21"/>
        </w:rPr>
        <w:t> </w:t>
      </w:r>
      <w:r>
        <w:rPr>
          <w:i/>
          <w:color w:val="3D3D3D"/>
          <w:spacing w:val="-2"/>
          <w:sz w:val="21"/>
        </w:rPr>
        <w:t>practice</w:t>
      </w:r>
      <w:r>
        <w:rPr>
          <w:i/>
          <w:color w:val="3D3D3D"/>
          <w:spacing w:val="-9"/>
          <w:sz w:val="21"/>
        </w:rPr>
        <w:t> </w:t>
      </w:r>
      <w:r>
        <w:rPr>
          <w:i/>
          <w:color w:val="3D3D3D"/>
          <w:spacing w:val="-2"/>
          <w:sz w:val="21"/>
        </w:rPr>
        <w:t>to</w:t>
      </w:r>
      <w:r>
        <w:rPr>
          <w:i/>
          <w:color w:val="3D3D3D"/>
          <w:spacing w:val="-22"/>
          <w:sz w:val="21"/>
        </w:rPr>
        <w:t> </w:t>
      </w:r>
      <w:r>
        <w:rPr>
          <w:i/>
          <w:color w:val="3D3D3D"/>
          <w:spacing w:val="-2"/>
          <w:sz w:val="21"/>
        </w:rPr>
        <w:t>enhance</w:t>
      </w:r>
      <w:r>
        <w:rPr>
          <w:i/>
          <w:color w:val="3D3D3D"/>
          <w:spacing w:val="-3"/>
          <w:sz w:val="21"/>
        </w:rPr>
        <w:t> </w:t>
      </w:r>
      <w:r>
        <w:rPr>
          <w:i/>
          <w:color w:val="3D3D3D"/>
          <w:spacing w:val="-2"/>
          <w:sz w:val="21"/>
        </w:rPr>
        <w:t>their</w:t>
      </w:r>
      <w:r>
        <w:rPr>
          <w:i/>
          <w:color w:val="3D3D3D"/>
          <w:spacing w:val="-8"/>
          <w:sz w:val="21"/>
        </w:rPr>
        <w:t> </w:t>
      </w:r>
      <w:r>
        <w:rPr>
          <w:i/>
          <w:color w:val="3D3D3D"/>
          <w:spacing w:val="-2"/>
          <w:sz w:val="21"/>
        </w:rPr>
        <w:t>professional</w:t>
      </w:r>
      <w:r>
        <w:rPr>
          <w:i/>
          <w:color w:val="3D3D3D"/>
          <w:spacing w:val="9"/>
          <w:sz w:val="21"/>
        </w:rPr>
        <w:t> </w:t>
      </w:r>
      <w:r>
        <w:rPr>
          <w:i/>
          <w:color w:val="3D3D3D"/>
          <w:spacing w:val="-2"/>
          <w:sz w:val="21"/>
        </w:rPr>
        <w:t>devefopmenl</w:t>
      </w:r>
    </w:p>
    <w:p>
      <w:pPr>
        <w:pStyle w:val="BodyText"/>
        <w:spacing w:before="2"/>
        <w:rPr>
          <w:i/>
          <w:sz w:val="10"/>
        </w:rPr>
      </w:pPr>
    </w:p>
    <w:p>
      <w:pPr>
        <w:tabs>
          <w:tab w:pos="9063" w:val="left" w:leader="none"/>
        </w:tabs>
        <w:spacing w:line="213" w:lineRule="exact" w:before="93"/>
        <w:ind w:left="8241" w:right="0" w:firstLine="0"/>
        <w:jc w:val="left"/>
        <w:rPr>
          <w:sz w:val="22"/>
        </w:rPr>
      </w:pPr>
      <w:r>
        <w:rPr>
          <w:color w:val="2A2A2A"/>
          <w:spacing w:val="-5"/>
          <w:sz w:val="22"/>
        </w:rPr>
        <w:t>Met</w:t>
      </w:r>
      <w:r>
        <w:rPr>
          <w:color w:val="2A2A2A"/>
          <w:sz w:val="22"/>
        </w:rPr>
        <w:tab/>
      </w:r>
      <w:r>
        <w:rPr>
          <w:color w:val="3D3D3D"/>
          <w:w w:val="90"/>
          <w:sz w:val="22"/>
        </w:rPr>
        <w:t>Not</w:t>
      </w:r>
      <w:r>
        <w:rPr>
          <w:color w:val="3D3D3D"/>
          <w:spacing w:val="-6"/>
          <w:w w:val="90"/>
          <w:sz w:val="22"/>
        </w:rPr>
        <w:t> </w:t>
      </w:r>
      <w:r>
        <w:rPr>
          <w:color w:val="3D3D3D"/>
          <w:spacing w:val="-5"/>
          <w:sz w:val="22"/>
        </w:rPr>
        <w:t>Met</w:t>
      </w:r>
    </w:p>
    <w:p>
      <w:pPr>
        <w:tabs>
          <w:tab w:pos="9155" w:val="left" w:leader="none"/>
        </w:tabs>
        <w:spacing w:line="339" w:lineRule="exact" w:before="0"/>
        <w:ind w:left="8307" w:right="0" w:firstLine="0"/>
        <w:jc w:val="left"/>
        <w:rPr>
          <w:rFonts w:ascii="Times New Roman"/>
          <w:sz w:val="33"/>
        </w:rPr>
      </w:pPr>
      <w:r>
        <w:rPr>
          <w:b/>
          <w:color w:val="3D3D3D"/>
          <w:spacing w:val="-5"/>
          <w:w w:val="90"/>
          <w:sz w:val="25"/>
        </w:rPr>
        <w:t>(X]</w:t>
      </w:r>
      <w:r>
        <w:rPr>
          <w:b/>
          <w:color w:val="3D3D3D"/>
          <w:sz w:val="25"/>
        </w:rPr>
        <w:tab/>
      </w:r>
      <w:r>
        <w:rPr>
          <w:color w:val="3D3D3D"/>
          <w:w w:val="90"/>
          <w:sz w:val="25"/>
        </w:rPr>
        <w:t>(</w:t>
      </w:r>
      <w:r>
        <w:rPr>
          <w:color w:val="3D3D3D"/>
          <w:spacing w:val="-5"/>
          <w:w w:val="90"/>
          <w:sz w:val="25"/>
        </w:rPr>
        <w:t> </w:t>
      </w:r>
      <w:r>
        <w:rPr>
          <w:rFonts w:ascii="Times New Roman"/>
          <w:color w:val="2A2A2A"/>
          <w:spacing w:val="-10"/>
          <w:w w:val="90"/>
          <w:sz w:val="33"/>
        </w:rPr>
        <w:t>J</w:t>
      </w:r>
    </w:p>
    <w:p>
      <w:pPr>
        <w:pStyle w:val="Heading9"/>
        <w:spacing w:line="225" w:lineRule="auto" w:before="205"/>
        <w:ind w:left="1783"/>
      </w:pPr>
      <w:r>
        <w:rPr>
          <w:color w:val="2A2A2A"/>
          <w:w w:val="95"/>
        </w:rPr>
        <w:t>Reductions of</w:t>
      </w:r>
      <w:r>
        <w:rPr>
          <w:color w:val="2A2A2A"/>
          <w:spacing w:val="-10"/>
          <w:w w:val="95"/>
        </w:rPr>
        <w:t> </w:t>
      </w:r>
      <w:r>
        <w:rPr>
          <w:color w:val="3D3D3D"/>
          <w:w w:val="95"/>
        </w:rPr>
        <w:t>the</w:t>
      </w:r>
      <w:r>
        <w:rPr>
          <w:color w:val="3D3D3D"/>
          <w:spacing w:val="-14"/>
          <w:w w:val="95"/>
        </w:rPr>
        <w:t> </w:t>
      </w:r>
      <w:r>
        <w:rPr>
          <w:color w:val="3D3D3D"/>
          <w:w w:val="95"/>
        </w:rPr>
        <w:t>student </w:t>
      </w:r>
      <w:r>
        <w:rPr>
          <w:color w:val="2A2A2A"/>
          <w:w w:val="95"/>
        </w:rPr>
        <w:t>population and</w:t>
      </w:r>
      <w:r>
        <w:rPr>
          <w:color w:val="2A2A2A"/>
          <w:spacing w:val="-14"/>
          <w:w w:val="95"/>
        </w:rPr>
        <w:t> </w:t>
      </w:r>
      <w:r>
        <w:rPr>
          <w:color w:val="2A2A2A"/>
          <w:w w:val="95"/>
        </w:rPr>
        <w:t>Increases</w:t>
      </w:r>
      <w:r>
        <w:rPr>
          <w:color w:val="2A2A2A"/>
          <w:spacing w:val="-1"/>
          <w:w w:val="95"/>
        </w:rPr>
        <w:t> </w:t>
      </w:r>
      <w:r>
        <w:rPr>
          <w:color w:val="3D3D3D"/>
          <w:w w:val="95"/>
        </w:rPr>
        <w:t>in</w:t>
      </w:r>
      <w:r>
        <w:rPr>
          <w:color w:val="3D3D3D"/>
          <w:spacing w:val="-3"/>
          <w:w w:val="95"/>
        </w:rPr>
        <w:t> </w:t>
      </w:r>
      <w:r>
        <w:rPr>
          <w:color w:val="2A2A2A"/>
          <w:w w:val="95"/>
        </w:rPr>
        <w:t>faculty </w:t>
      </w:r>
      <w:r>
        <w:rPr>
          <w:b w:val="0"/>
          <w:color w:val="2A2A2A"/>
          <w:w w:val="95"/>
        </w:rPr>
        <w:t>count</w:t>
      </w:r>
      <w:r>
        <w:rPr>
          <w:b w:val="0"/>
          <w:color w:val="2A2A2A"/>
          <w:spacing w:val="-2"/>
          <w:w w:val="95"/>
        </w:rPr>
        <w:t> </w:t>
      </w:r>
      <w:r>
        <w:rPr>
          <w:color w:val="2A2A2A"/>
          <w:w w:val="95"/>
        </w:rPr>
        <w:t>have</w:t>
      </w:r>
      <w:r>
        <w:rPr>
          <w:color w:val="2A2A2A"/>
          <w:spacing w:val="-4"/>
          <w:w w:val="95"/>
        </w:rPr>
        <w:t> </w:t>
      </w:r>
      <w:r>
        <w:rPr>
          <w:color w:val="3D3D3D"/>
          <w:w w:val="95"/>
        </w:rPr>
        <w:t>mitigated </w:t>
      </w:r>
      <w:r>
        <w:rPr>
          <w:color w:val="2A2A2A"/>
          <w:w w:val="95"/>
        </w:rPr>
        <w:t>the probaems</w:t>
      </w:r>
      <w:r>
        <w:rPr>
          <w:color w:val="2A2A2A"/>
          <w:spacing w:val="26"/>
        </w:rPr>
        <w:t> </w:t>
      </w:r>
      <w:r>
        <w:rPr>
          <w:color w:val="2A2A2A"/>
          <w:w w:val="95"/>
        </w:rPr>
        <w:t>that were</w:t>
      </w:r>
      <w:r>
        <w:rPr>
          <w:color w:val="2A2A2A"/>
          <w:spacing w:val="-4"/>
          <w:w w:val="95"/>
        </w:rPr>
        <w:t> </w:t>
      </w:r>
      <w:r>
        <w:rPr>
          <w:color w:val="3D3D3D"/>
          <w:w w:val="95"/>
        </w:rPr>
        <w:t>Identified </w:t>
      </w:r>
      <w:r>
        <w:rPr>
          <w:color w:val="2A2A2A"/>
          <w:w w:val="95"/>
        </w:rPr>
        <w:t>by</w:t>
      </w:r>
      <w:r>
        <w:rPr>
          <w:color w:val="2A2A2A"/>
          <w:spacing w:val="-3"/>
          <w:w w:val="95"/>
        </w:rPr>
        <w:t> </w:t>
      </w:r>
      <w:r>
        <w:rPr>
          <w:color w:val="2A2A2A"/>
          <w:w w:val="95"/>
        </w:rPr>
        <w:t>the</w:t>
      </w:r>
      <w:r>
        <w:rPr>
          <w:color w:val="2A2A2A"/>
          <w:spacing w:val="-4"/>
          <w:w w:val="95"/>
        </w:rPr>
        <w:t> </w:t>
      </w:r>
      <w:r>
        <w:rPr>
          <w:color w:val="2A2A2A"/>
          <w:w w:val="95"/>
        </w:rPr>
        <w:t>2009 visiting </w:t>
      </w:r>
      <w:r>
        <w:rPr>
          <w:color w:val="3D3D3D"/>
          <w:w w:val="95"/>
        </w:rPr>
        <w:t>team.</w:t>
      </w:r>
    </w:p>
    <w:p>
      <w:pPr>
        <w:pStyle w:val="BodyText"/>
        <w:rPr>
          <w:b/>
          <w:sz w:val="22"/>
        </w:rPr>
      </w:pPr>
    </w:p>
    <w:p>
      <w:pPr>
        <w:pStyle w:val="BodyText"/>
        <w:rPr>
          <w:b/>
          <w:sz w:val="22"/>
        </w:rPr>
      </w:pPr>
    </w:p>
    <w:p>
      <w:pPr>
        <w:tabs>
          <w:tab w:pos="1792" w:val="left" w:leader="none"/>
        </w:tabs>
        <w:spacing w:before="177"/>
        <w:ind w:left="1078" w:right="0" w:firstLine="0"/>
        <w:jc w:val="left"/>
        <w:rPr>
          <w:b/>
          <w:sz w:val="21"/>
        </w:rPr>
      </w:pPr>
      <w:r>
        <w:rPr>
          <w:b/>
          <w:color w:val="2A2A2A"/>
          <w:spacing w:val="-5"/>
          <w:sz w:val="21"/>
        </w:rPr>
        <w:t>8.</w:t>
      </w:r>
      <w:r>
        <w:rPr>
          <w:b/>
          <w:color w:val="2A2A2A"/>
          <w:sz w:val="21"/>
        </w:rPr>
        <w:tab/>
      </w:r>
      <w:r>
        <w:rPr>
          <w:b/>
          <w:color w:val="2A2A2A"/>
          <w:w w:val="95"/>
          <w:sz w:val="21"/>
        </w:rPr>
        <w:t>Physical</w:t>
      </w:r>
      <w:r>
        <w:rPr>
          <w:b/>
          <w:color w:val="2A2A2A"/>
          <w:spacing w:val="-12"/>
          <w:w w:val="95"/>
          <w:sz w:val="21"/>
        </w:rPr>
        <w:t> </w:t>
      </w:r>
      <w:r>
        <w:rPr>
          <w:b/>
          <w:color w:val="2A2A2A"/>
          <w:spacing w:val="-2"/>
          <w:w w:val="95"/>
          <w:sz w:val="21"/>
        </w:rPr>
        <w:t>Resources</w:t>
      </w:r>
    </w:p>
    <w:p>
      <w:pPr>
        <w:pStyle w:val="BodyText"/>
        <w:spacing w:before="6"/>
        <w:rPr>
          <w:b/>
          <w:sz w:val="21"/>
        </w:rPr>
      </w:pPr>
    </w:p>
    <w:p>
      <w:pPr>
        <w:spacing w:line="206" w:lineRule="auto" w:before="0"/>
        <w:ind w:left="1792" w:right="279" w:firstLine="3"/>
        <w:jc w:val="left"/>
        <w:rPr>
          <w:i/>
          <w:sz w:val="21"/>
        </w:rPr>
      </w:pPr>
      <w:r>
        <w:rPr/>
        <w:pict>
          <v:rect style="position:absolute;margin-left:243.056915pt;margin-top:32.826633pt;width:.961324pt;height:13.901436pt;mso-position-horizontal-relative:page;mso-position-vertical-relative:paragraph;z-index:-26996224" id="docshape719" filled="true" fillcolor="#dddddd" stroked="false">
            <v:fill type="solid"/>
            <w10:wrap type="none"/>
          </v:rect>
        </w:pict>
      </w:r>
      <w:r>
        <w:rPr>
          <w:i/>
          <w:color w:val="3D3D3D"/>
          <w:w w:val="95"/>
          <w:sz w:val="21"/>
        </w:rPr>
        <w:t>The accredited aegres program must</w:t>
      </w:r>
      <w:r>
        <w:rPr>
          <w:i/>
          <w:color w:val="3D3D3D"/>
          <w:spacing w:val="-13"/>
          <w:w w:val="95"/>
          <w:sz w:val="21"/>
        </w:rPr>
        <w:t> </w:t>
      </w:r>
      <w:r>
        <w:rPr>
          <w:i/>
          <w:color w:val="3D3D3D"/>
          <w:w w:val="95"/>
          <w:sz w:val="21"/>
        </w:rPr>
        <w:t>provide the</w:t>
      </w:r>
      <w:r>
        <w:rPr>
          <w:i/>
          <w:color w:val="3D3D3D"/>
          <w:spacing w:val="-4"/>
          <w:w w:val="95"/>
          <w:sz w:val="21"/>
        </w:rPr>
        <w:t> </w:t>
      </w:r>
      <w:r>
        <w:rPr>
          <w:i/>
          <w:color w:val="2A2A2A"/>
          <w:w w:val="95"/>
          <w:sz w:val="21"/>
        </w:rPr>
        <w:t>physical </w:t>
      </w:r>
      <w:r>
        <w:rPr>
          <w:i/>
          <w:color w:val="4F4F4F"/>
          <w:w w:val="95"/>
          <w:sz w:val="21"/>
        </w:rPr>
        <w:t>resources</w:t>
      </w:r>
      <w:r>
        <w:rPr>
          <w:i/>
          <w:color w:val="4F4F4F"/>
          <w:spacing w:val="29"/>
          <w:sz w:val="21"/>
        </w:rPr>
        <w:t> </w:t>
      </w:r>
      <w:r>
        <w:rPr>
          <w:i/>
          <w:color w:val="3D3D3D"/>
          <w:w w:val="95"/>
          <w:sz w:val="21"/>
        </w:rPr>
        <w:t>appropriate for </w:t>
      </w:r>
      <w:r>
        <w:rPr>
          <w:color w:val="3D3D3D"/>
          <w:w w:val="95"/>
          <w:sz w:val="21"/>
        </w:rPr>
        <w:t>a </w:t>
      </w:r>
      <w:r>
        <w:rPr>
          <w:i/>
          <w:color w:val="3D3D3D"/>
          <w:w w:val="95"/>
          <w:sz w:val="21"/>
        </w:rPr>
        <w:t>professional degree</w:t>
      </w:r>
      <w:r>
        <w:rPr>
          <w:i/>
          <w:color w:val="3D3D3D"/>
          <w:spacing w:val="-1"/>
          <w:w w:val="95"/>
          <w:sz w:val="21"/>
        </w:rPr>
        <w:t> </w:t>
      </w:r>
      <w:r>
        <w:rPr>
          <w:i/>
          <w:color w:val="3D3D3D"/>
          <w:w w:val="95"/>
          <w:sz w:val="21"/>
        </w:rPr>
        <w:t>program</w:t>
      </w:r>
      <w:r>
        <w:rPr>
          <w:i/>
          <w:color w:val="3D3D3D"/>
          <w:spacing w:val="-6"/>
          <w:w w:val="95"/>
          <w:sz w:val="21"/>
        </w:rPr>
        <w:t> </w:t>
      </w:r>
      <w:r>
        <w:rPr>
          <w:i/>
          <w:color w:val="4F4F4F"/>
          <w:w w:val="95"/>
          <w:sz w:val="21"/>
        </w:rPr>
        <w:t>in</w:t>
      </w:r>
      <w:r>
        <w:rPr>
          <w:i/>
          <w:color w:val="4F4F4F"/>
          <w:spacing w:val="-9"/>
          <w:w w:val="95"/>
          <w:sz w:val="21"/>
        </w:rPr>
        <w:t> </w:t>
      </w:r>
      <w:r>
        <w:rPr>
          <w:i/>
          <w:color w:val="3D3D3D"/>
          <w:w w:val="95"/>
          <w:sz w:val="21"/>
        </w:rPr>
        <w:t>architecture, </w:t>
      </w:r>
      <w:r>
        <w:rPr>
          <w:i/>
          <w:color w:val="4F4F4F"/>
          <w:w w:val="95"/>
          <w:sz w:val="21"/>
        </w:rPr>
        <w:t>including</w:t>
      </w:r>
      <w:r>
        <w:rPr>
          <w:i/>
          <w:color w:val="4F4F4F"/>
          <w:spacing w:val="-9"/>
          <w:w w:val="95"/>
          <w:sz w:val="21"/>
        </w:rPr>
        <w:t> </w:t>
      </w:r>
      <w:r>
        <w:rPr>
          <w:i/>
          <w:color w:val="3D3D3D"/>
          <w:w w:val="95"/>
          <w:sz w:val="21"/>
        </w:rPr>
        <w:t>design</w:t>
      </w:r>
      <w:r>
        <w:rPr>
          <w:i/>
          <w:color w:val="3D3D3D"/>
          <w:spacing w:val="-12"/>
          <w:w w:val="95"/>
          <w:sz w:val="21"/>
        </w:rPr>
        <w:t> </w:t>
      </w:r>
      <w:r>
        <w:rPr>
          <w:i/>
          <w:color w:val="3D3D3D"/>
          <w:w w:val="95"/>
          <w:sz w:val="21"/>
        </w:rPr>
        <w:t>studio space</w:t>
      </w:r>
      <w:r>
        <w:rPr>
          <w:i/>
          <w:color w:val="3D3D3D"/>
          <w:spacing w:val="-12"/>
          <w:w w:val="95"/>
          <w:sz w:val="21"/>
        </w:rPr>
        <w:t> </w:t>
      </w:r>
      <w:r>
        <w:rPr>
          <w:i/>
          <w:color w:val="3D3D3D"/>
          <w:w w:val="95"/>
          <w:sz w:val="21"/>
        </w:rPr>
        <w:t>for</w:t>
      </w:r>
      <w:r>
        <w:rPr>
          <w:i/>
          <w:color w:val="3D3D3D"/>
          <w:spacing w:val="-11"/>
          <w:w w:val="95"/>
          <w:sz w:val="21"/>
        </w:rPr>
        <w:t> </w:t>
      </w:r>
      <w:r>
        <w:rPr>
          <w:i/>
          <w:color w:val="3D3D3D"/>
          <w:w w:val="95"/>
          <w:sz w:val="21"/>
        </w:rPr>
        <w:t>the</w:t>
      </w:r>
      <w:r>
        <w:rPr>
          <w:i/>
          <w:color w:val="3D3D3D"/>
          <w:spacing w:val="-4"/>
          <w:w w:val="95"/>
          <w:sz w:val="21"/>
        </w:rPr>
        <w:t> </w:t>
      </w:r>
      <w:r>
        <w:rPr>
          <w:i/>
          <w:color w:val="3D3D3D"/>
          <w:w w:val="95"/>
          <w:sz w:val="21"/>
        </w:rPr>
        <w:t>exclusive</w:t>
      </w:r>
      <w:r>
        <w:rPr>
          <w:i/>
          <w:color w:val="3D3D3D"/>
          <w:spacing w:val="-12"/>
          <w:w w:val="95"/>
          <w:sz w:val="21"/>
        </w:rPr>
        <w:t> </w:t>
      </w:r>
      <w:r>
        <w:rPr>
          <w:i/>
          <w:color w:val="3D3D3D"/>
          <w:w w:val="95"/>
          <w:sz w:val="21"/>
        </w:rPr>
        <w:t>use </w:t>
      </w:r>
      <w:r>
        <w:rPr>
          <w:i/>
          <w:color w:val="4F4F4F"/>
          <w:w w:val="95"/>
          <w:sz w:val="21"/>
        </w:rPr>
        <w:t>of</w:t>
      </w:r>
      <w:r>
        <w:rPr>
          <w:i/>
          <w:color w:val="4F4F4F"/>
          <w:spacing w:val="-17"/>
          <w:w w:val="95"/>
          <w:sz w:val="21"/>
        </w:rPr>
        <w:t> </w:t>
      </w:r>
      <w:r>
        <w:rPr>
          <w:i/>
          <w:color w:val="3D3D3D"/>
          <w:w w:val="95"/>
          <w:sz w:val="21"/>
        </w:rPr>
        <w:t>each</w:t>
      </w:r>
      <w:r>
        <w:rPr>
          <w:i/>
          <w:color w:val="3D3D3D"/>
          <w:spacing w:val="-1"/>
          <w:w w:val="95"/>
          <w:sz w:val="21"/>
        </w:rPr>
        <w:t> </w:t>
      </w:r>
      <w:r>
        <w:rPr>
          <w:i/>
          <w:color w:val="3D3D3D"/>
          <w:w w:val="95"/>
          <w:sz w:val="21"/>
        </w:rPr>
        <w:t>student </w:t>
      </w:r>
      <w:r>
        <w:rPr>
          <w:i/>
          <w:color w:val="4F4F4F"/>
          <w:w w:val="95"/>
          <w:sz w:val="21"/>
        </w:rPr>
        <w:t>in</w:t>
      </w:r>
      <w:r>
        <w:rPr>
          <w:i/>
          <w:color w:val="4F4F4F"/>
          <w:spacing w:val="-8"/>
          <w:w w:val="95"/>
          <w:sz w:val="21"/>
        </w:rPr>
        <w:t> </w:t>
      </w:r>
      <w:r>
        <w:rPr>
          <w:color w:val="3D3D3D"/>
          <w:w w:val="95"/>
          <w:sz w:val="22"/>
        </w:rPr>
        <w:t>a</w:t>
      </w:r>
      <w:r>
        <w:rPr>
          <w:color w:val="3D3D3D"/>
          <w:spacing w:val="-11"/>
          <w:w w:val="95"/>
          <w:sz w:val="22"/>
        </w:rPr>
        <w:t> </w:t>
      </w:r>
      <w:r>
        <w:rPr>
          <w:i/>
          <w:color w:val="3D3D3D"/>
          <w:w w:val="95"/>
          <w:sz w:val="21"/>
        </w:rPr>
        <w:t>studio cfass</w:t>
      </w:r>
      <w:r>
        <w:rPr>
          <w:i/>
          <w:color w:val="6E6E6E"/>
          <w:w w:val="95"/>
          <w:sz w:val="21"/>
        </w:rPr>
        <w:t>; </w:t>
      </w:r>
      <w:r>
        <w:rPr>
          <w:i/>
          <w:color w:val="3D3D3D"/>
          <w:w w:val="95"/>
          <w:sz w:val="21"/>
        </w:rPr>
        <w:t>lecture and</w:t>
      </w:r>
      <w:r>
        <w:rPr>
          <w:i/>
          <w:color w:val="3D3D3D"/>
          <w:spacing w:val="-13"/>
          <w:w w:val="95"/>
          <w:sz w:val="21"/>
        </w:rPr>
        <w:t> </w:t>
      </w:r>
      <w:r>
        <w:rPr>
          <w:i/>
          <w:color w:val="3D3D3D"/>
          <w:w w:val="95"/>
          <w:sz w:val="21"/>
        </w:rPr>
        <w:t>seminar space</w:t>
      </w:r>
      <w:r>
        <w:rPr>
          <w:i/>
          <w:color w:val="3D3D3D"/>
          <w:spacing w:val="-7"/>
          <w:w w:val="95"/>
          <w:sz w:val="21"/>
        </w:rPr>
        <w:t> </w:t>
      </w:r>
      <w:r>
        <w:rPr>
          <w:color w:val="3D3D3D"/>
          <w:w w:val="95"/>
          <w:sz w:val="27"/>
        </w:rPr>
        <w:t>ro</w:t>
      </w:r>
      <w:r>
        <w:rPr>
          <w:i/>
          <w:color w:val="3D3D3D"/>
          <w:w w:val="95"/>
          <w:sz w:val="21"/>
        </w:rPr>
        <w:t>accommodate both</w:t>
      </w:r>
      <w:r>
        <w:rPr>
          <w:i/>
          <w:color w:val="3D3D3D"/>
          <w:spacing w:val="-11"/>
          <w:w w:val="95"/>
          <w:sz w:val="21"/>
        </w:rPr>
        <w:t> </w:t>
      </w:r>
      <w:r>
        <w:rPr>
          <w:i/>
          <w:color w:val="3D3D3D"/>
          <w:w w:val="95"/>
          <w:sz w:val="21"/>
        </w:rPr>
        <w:t>didactic and</w:t>
      </w:r>
    </w:p>
    <w:p>
      <w:pPr>
        <w:spacing w:line="228" w:lineRule="auto" w:before="0"/>
        <w:ind w:left="1786" w:right="138" w:firstLine="7"/>
        <w:jc w:val="left"/>
        <w:rPr>
          <w:i/>
          <w:sz w:val="21"/>
        </w:rPr>
      </w:pPr>
      <w:r>
        <w:rPr>
          <w:i/>
          <w:color w:val="4F4F4F"/>
          <w:w w:val="95"/>
          <w:sz w:val="21"/>
        </w:rPr>
        <w:t>fmeracUve learning; </w:t>
      </w:r>
      <w:r>
        <w:rPr>
          <w:i/>
          <w:color w:val="2A2A2A"/>
          <w:w w:val="95"/>
          <w:sz w:val="21"/>
        </w:rPr>
        <w:t>office</w:t>
      </w:r>
      <w:r>
        <w:rPr>
          <w:i/>
          <w:color w:val="2A2A2A"/>
          <w:spacing w:val="-5"/>
          <w:w w:val="95"/>
          <w:sz w:val="21"/>
        </w:rPr>
        <w:t> </w:t>
      </w:r>
      <w:r>
        <w:rPr>
          <w:i/>
          <w:color w:val="3D3D3D"/>
          <w:w w:val="95"/>
          <w:sz w:val="21"/>
        </w:rPr>
        <w:t>space</w:t>
      </w:r>
      <w:r>
        <w:rPr>
          <w:i/>
          <w:color w:val="AFAFAF"/>
          <w:w w:val="95"/>
          <w:sz w:val="21"/>
        </w:rPr>
        <w:t>.</w:t>
      </w:r>
      <w:r>
        <w:rPr>
          <w:i/>
          <w:color w:val="3D3D3D"/>
          <w:w w:val="95"/>
          <w:sz w:val="21"/>
        </w:rPr>
        <w:t>for</w:t>
      </w:r>
      <w:r>
        <w:rPr>
          <w:i/>
          <w:color w:val="3D3D3D"/>
          <w:spacing w:val="-2"/>
          <w:w w:val="95"/>
          <w:sz w:val="21"/>
        </w:rPr>
        <w:t> </w:t>
      </w:r>
      <w:r>
        <w:rPr>
          <w:i/>
          <w:color w:val="3D3D3D"/>
          <w:w w:val="95"/>
          <w:sz w:val="21"/>
        </w:rPr>
        <w:t>the</w:t>
      </w:r>
      <w:r>
        <w:rPr>
          <w:i/>
          <w:color w:val="3D3D3D"/>
          <w:spacing w:val="-1"/>
          <w:w w:val="95"/>
          <w:sz w:val="21"/>
        </w:rPr>
        <w:t> </w:t>
      </w:r>
      <w:r>
        <w:rPr>
          <w:i/>
          <w:color w:val="3D3D3D"/>
          <w:w w:val="95"/>
          <w:sz w:val="21"/>
        </w:rPr>
        <w:t>exdusive</w:t>
      </w:r>
      <w:r>
        <w:rPr>
          <w:i/>
          <w:color w:val="3D3D3D"/>
          <w:spacing w:val="-3"/>
          <w:w w:val="95"/>
          <w:sz w:val="21"/>
        </w:rPr>
        <w:t> </w:t>
      </w:r>
      <w:r>
        <w:rPr>
          <w:i/>
          <w:color w:val="3D3D3D"/>
          <w:w w:val="95"/>
          <w:sz w:val="21"/>
        </w:rPr>
        <w:t>use of</w:t>
      </w:r>
      <w:r>
        <w:rPr>
          <w:i/>
          <w:color w:val="3D3D3D"/>
          <w:spacing w:val="-10"/>
          <w:w w:val="95"/>
          <w:sz w:val="21"/>
        </w:rPr>
        <w:t> </w:t>
      </w:r>
      <w:r>
        <w:rPr>
          <w:i/>
          <w:color w:val="3D3D3D"/>
          <w:w w:val="95"/>
          <w:sz w:val="21"/>
        </w:rPr>
        <w:t>each full-time faculty member; and related</w:t>
      </w:r>
      <w:r>
        <w:rPr>
          <w:i/>
          <w:color w:val="3D3D3D"/>
          <w:spacing w:val="-12"/>
          <w:w w:val="95"/>
          <w:sz w:val="21"/>
        </w:rPr>
        <w:t> </w:t>
      </w:r>
      <w:r>
        <w:rPr>
          <w:i/>
          <w:color w:val="4F4F4F"/>
          <w:w w:val="95"/>
          <w:sz w:val="21"/>
        </w:rPr>
        <w:t>lnstrucffonal</w:t>
      </w:r>
      <w:r>
        <w:rPr>
          <w:i/>
          <w:color w:val="4F4F4F"/>
          <w:spacing w:val="3"/>
          <w:sz w:val="21"/>
        </w:rPr>
        <w:t> </w:t>
      </w:r>
      <w:r>
        <w:rPr>
          <w:i/>
          <w:color w:val="3D3D3D"/>
          <w:w w:val="95"/>
          <w:sz w:val="21"/>
        </w:rPr>
        <w:t>support space</w:t>
      </w:r>
      <w:r>
        <w:rPr>
          <w:i/>
          <w:color w:val="7E7E7E"/>
          <w:w w:val="95"/>
          <w:sz w:val="21"/>
        </w:rPr>
        <w:t>.</w:t>
      </w:r>
      <w:r>
        <w:rPr>
          <w:i/>
          <w:color w:val="7E7E7E"/>
          <w:spacing w:val="-24"/>
          <w:w w:val="95"/>
          <w:sz w:val="21"/>
        </w:rPr>
        <w:t> </w:t>
      </w:r>
      <w:r>
        <w:rPr>
          <w:i/>
          <w:color w:val="4F4F4F"/>
          <w:w w:val="95"/>
          <w:sz w:val="21"/>
        </w:rPr>
        <w:t>The</w:t>
      </w:r>
      <w:r>
        <w:rPr>
          <w:i/>
          <w:color w:val="4F4F4F"/>
          <w:spacing w:val="-15"/>
          <w:w w:val="95"/>
          <w:sz w:val="21"/>
        </w:rPr>
        <w:t> </w:t>
      </w:r>
      <w:r>
        <w:rPr>
          <w:i/>
          <w:color w:val="3D3D3D"/>
          <w:w w:val="95"/>
          <w:sz w:val="21"/>
        </w:rPr>
        <w:t>facilfties must</w:t>
      </w:r>
      <w:r>
        <w:rPr>
          <w:i/>
          <w:color w:val="3D3D3D"/>
          <w:spacing w:val="-6"/>
          <w:w w:val="95"/>
          <w:sz w:val="21"/>
        </w:rPr>
        <w:t> </w:t>
      </w:r>
      <w:r>
        <w:rPr>
          <w:i/>
          <w:color w:val="3D3D3D"/>
          <w:w w:val="95"/>
          <w:sz w:val="21"/>
        </w:rPr>
        <w:t>also</w:t>
      </w:r>
      <w:r>
        <w:rPr>
          <w:i/>
          <w:color w:val="3D3D3D"/>
          <w:spacing w:val="-12"/>
          <w:w w:val="95"/>
          <w:sz w:val="21"/>
        </w:rPr>
        <w:t> </w:t>
      </w:r>
      <w:r>
        <w:rPr>
          <w:i/>
          <w:color w:val="3D3D3D"/>
          <w:w w:val="95"/>
          <w:sz w:val="21"/>
        </w:rPr>
        <w:t>be</w:t>
      </w:r>
      <w:r>
        <w:rPr>
          <w:i/>
          <w:color w:val="3D3D3D"/>
          <w:spacing w:val="-12"/>
          <w:w w:val="95"/>
          <w:sz w:val="21"/>
        </w:rPr>
        <w:t> </w:t>
      </w:r>
      <w:r>
        <w:rPr>
          <w:i/>
          <w:color w:val="4F4F4F"/>
          <w:w w:val="95"/>
          <w:sz w:val="21"/>
        </w:rPr>
        <w:t>in</w:t>
      </w:r>
      <w:r>
        <w:rPr>
          <w:i/>
          <w:color w:val="4F4F4F"/>
          <w:spacing w:val="-6"/>
          <w:w w:val="95"/>
          <w:sz w:val="21"/>
        </w:rPr>
        <w:t> </w:t>
      </w:r>
      <w:r>
        <w:rPr>
          <w:i/>
          <w:color w:val="3D3D3D"/>
          <w:w w:val="95"/>
          <w:sz w:val="21"/>
        </w:rPr>
        <w:t>compliance</w:t>
      </w:r>
      <w:r>
        <w:rPr>
          <w:i/>
          <w:color w:val="3D3D3D"/>
          <w:spacing w:val="-3"/>
          <w:w w:val="95"/>
          <w:sz w:val="21"/>
        </w:rPr>
        <w:t> </w:t>
      </w:r>
      <w:r>
        <w:rPr>
          <w:i/>
          <w:color w:val="3D3D3D"/>
          <w:w w:val="95"/>
          <w:sz w:val="21"/>
        </w:rPr>
        <w:t>with</w:t>
      </w:r>
      <w:r>
        <w:rPr>
          <w:i/>
          <w:color w:val="3D3D3D"/>
          <w:spacing w:val="-8"/>
          <w:w w:val="95"/>
          <w:sz w:val="21"/>
        </w:rPr>
        <w:t> </w:t>
      </w:r>
      <w:r>
        <w:rPr>
          <w:i/>
          <w:color w:val="3D3D3D"/>
          <w:w w:val="95"/>
          <w:sz w:val="21"/>
        </w:rPr>
        <w:t>the</w:t>
      </w:r>
      <w:r>
        <w:rPr>
          <w:i/>
          <w:color w:val="3D3D3D"/>
          <w:spacing w:val="-8"/>
          <w:w w:val="95"/>
          <w:sz w:val="21"/>
        </w:rPr>
        <w:t> </w:t>
      </w:r>
      <w:r>
        <w:rPr>
          <w:i/>
          <w:color w:val="3D3D3D"/>
          <w:w w:val="95"/>
          <w:sz w:val="21"/>
        </w:rPr>
        <w:t>Americans </w:t>
      </w:r>
      <w:r>
        <w:rPr>
          <w:i/>
          <w:color w:val="4F4F4F"/>
          <w:spacing w:val="-2"/>
          <w:sz w:val="21"/>
        </w:rPr>
        <w:t>with</w:t>
      </w:r>
      <w:r>
        <w:rPr>
          <w:i/>
          <w:color w:val="4F4F4F"/>
          <w:spacing w:val="-13"/>
          <w:sz w:val="21"/>
        </w:rPr>
        <w:t> </w:t>
      </w:r>
      <w:r>
        <w:rPr>
          <w:i/>
          <w:color w:val="3D3D3D"/>
          <w:spacing w:val="-2"/>
          <w:sz w:val="21"/>
        </w:rPr>
        <w:t>Disabilities</w:t>
      </w:r>
      <w:r>
        <w:rPr>
          <w:i/>
          <w:color w:val="3D3D3D"/>
          <w:sz w:val="21"/>
        </w:rPr>
        <w:t> </w:t>
      </w:r>
      <w:r>
        <w:rPr>
          <w:i/>
          <w:color w:val="3D3D3D"/>
          <w:spacing w:val="-2"/>
          <w:sz w:val="21"/>
        </w:rPr>
        <w:t>Act</w:t>
      </w:r>
      <w:r>
        <w:rPr>
          <w:i/>
          <w:color w:val="3D3D3D"/>
          <w:spacing w:val="-23"/>
          <w:sz w:val="21"/>
        </w:rPr>
        <w:t> </w:t>
      </w:r>
      <w:r>
        <w:rPr>
          <w:i/>
          <w:color w:val="4F4F4F"/>
          <w:spacing w:val="-2"/>
          <w:sz w:val="21"/>
        </w:rPr>
        <w:t>(ADA) </w:t>
      </w:r>
      <w:r>
        <w:rPr>
          <w:i/>
          <w:color w:val="3D3D3D"/>
          <w:spacing w:val="-2"/>
          <w:sz w:val="21"/>
        </w:rPr>
        <w:t>and</w:t>
      </w:r>
      <w:r>
        <w:rPr>
          <w:i/>
          <w:color w:val="3D3D3D"/>
          <w:spacing w:val="-6"/>
          <w:sz w:val="21"/>
        </w:rPr>
        <w:t> </w:t>
      </w:r>
      <w:r>
        <w:rPr>
          <w:i/>
          <w:color w:val="3D3D3D"/>
          <w:spacing w:val="-2"/>
          <w:sz w:val="21"/>
        </w:rPr>
        <w:t>applicable building</w:t>
      </w:r>
      <w:r>
        <w:rPr>
          <w:i/>
          <w:color w:val="3D3D3D"/>
          <w:spacing w:val="-13"/>
          <w:sz w:val="21"/>
        </w:rPr>
        <w:t> </w:t>
      </w:r>
      <w:r>
        <w:rPr>
          <w:i/>
          <w:color w:val="3D3D3D"/>
          <w:spacing w:val="-2"/>
          <w:sz w:val="21"/>
        </w:rPr>
        <w:t>codes</w:t>
      </w:r>
      <w:r>
        <w:rPr>
          <w:i/>
          <w:color w:val="959595"/>
          <w:spacing w:val="-2"/>
          <w:sz w:val="21"/>
        </w:rPr>
        <w:t>,</w:t>
      </w:r>
    </w:p>
    <w:p>
      <w:pPr>
        <w:pStyle w:val="BodyText"/>
        <w:rPr>
          <w:i/>
          <w:sz w:val="22"/>
        </w:rPr>
      </w:pPr>
    </w:p>
    <w:p>
      <w:pPr>
        <w:pStyle w:val="BodyText"/>
        <w:spacing w:before="8"/>
        <w:rPr>
          <w:i/>
          <w:sz w:val="17"/>
        </w:rPr>
      </w:pPr>
    </w:p>
    <w:p>
      <w:pPr>
        <w:tabs>
          <w:tab w:pos="9054" w:val="left" w:leader="none"/>
        </w:tabs>
        <w:spacing w:line="237" w:lineRule="exact" w:before="1"/>
        <w:ind w:left="8218" w:right="0" w:firstLine="0"/>
        <w:jc w:val="left"/>
        <w:rPr>
          <w:sz w:val="21"/>
        </w:rPr>
      </w:pPr>
      <w:r>
        <w:rPr>
          <w:color w:val="3D3D3D"/>
          <w:spacing w:val="-5"/>
          <w:sz w:val="21"/>
        </w:rPr>
        <w:t>Met</w:t>
      </w:r>
      <w:r>
        <w:rPr>
          <w:color w:val="3D3D3D"/>
          <w:sz w:val="21"/>
        </w:rPr>
        <w:tab/>
      </w:r>
      <w:r>
        <w:rPr>
          <w:color w:val="3D3D3D"/>
          <w:w w:val="95"/>
          <w:sz w:val="21"/>
        </w:rPr>
        <w:t>Not</w:t>
      </w:r>
      <w:r>
        <w:rPr>
          <w:color w:val="3D3D3D"/>
          <w:spacing w:val="-9"/>
          <w:w w:val="95"/>
          <w:sz w:val="21"/>
        </w:rPr>
        <w:t> </w:t>
      </w:r>
      <w:r>
        <w:rPr>
          <w:color w:val="3D3D3D"/>
          <w:spacing w:val="-5"/>
          <w:sz w:val="21"/>
        </w:rPr>
        <w:t>Met</w:t>
      </w:r>
    </w:p>
    <w:p>
      <w:pPr>
        <w:tabs>
          <w:tab w:pos="851" w:val="left" w:leader="none"/>
        </w:tabs>
        <w:spacing w:line="283" w:lineRule="exact" w:before="0"/>
        <w:ind w:left="0" w:right="1229" w:firstLine="0"/>
        <w:jc w:val="right"/>
        <w:rPr>
          <w:sz w:val="25"/>
        </w:rPr>
      </w:pPr>
      <w:r>
        <w:rPr>
          <w:b/>
          <w:color w:val="2A2A2A"/>
          <w:spacing w:val="-5"/>
          <w:sz w:val="25"/>
        </w:rPr>
        <w:t>[X]</w:t>
      </w:r>
      <w:r>
        <w:rPr>
          <w:b/>
          <w:color w:val="2A2A2A"/>
          <w:sz w:val="25"/>
        </w:rPr>
        <w:tab/>
      </w:r>
      <w:r>
        <w:rPr>
          <w:color w:val="2A2A2A"/>
          <w:spacing w:val="-5"/>
          <w:sz w:val="25"/>
        </w:rPr>
        <w:t>[]</w:t>
      </w:r>
    </w:p>
    <w:p>
      <w:pPr>
        <w:pStyle w:val="Heading9"/>
        <w:spacing w:line="230" w:lineRule="auto" w:before="214"/>
        <w:ind w:left="1760" w:right="138"/>
      </w:pPr>
      <w:r>
        <w:rPr>
          <w:color w:val="2A2A2A"/>
          <w:w w:val="95"/>
        </w:rPr>
        <w:t>Building</w:t>
      </w:r>
      <w:r>
        <w:rPr>
          <w:color w:val="2A2A2A"/>
          <w:spacing w:val="-12"/>
          <w:w w:val="95"/>
        </w:rPr>
        <w:t> </w:t>
      </w:r>
      <w:r>
        <w:rPr>
          <w:color w:val="2A2A2A"/>
          <w:w w:val="95"/>
        </w:rPr>
        <w:t>and</w:t>
      </w:r>
      <w:r>
        <w:rPr>
          <w:color w:val="2A2A2A"/>
          <w:spacing w:val="-13"/>
          <w:w w:val="95"/>
        </w:rPr>
        <w:t> </w:t>
      </w:r>
      <w:r>
        <w:rPr>
          <w:color w:val="3D3D3D"/>
          <w:w w:val="95"/>
        </w:rPr>
        <w:t>mechanical</w:t>
      </w:r>
      <w:r>
        <w:rPr>
          <w:color w:val="3D3D3D"/>
          <w:spacing w:val="-10"/>
          <w:w w:val="95"/>
        </w:rPr>
        <w:t> </w:t>
      </w:r>
      <w:r>
        <w:rPr>
          <w:color w:val="2A2A2A"/>
          <w:w w:val="95"/>
        </w:rPr>
        <w:t>system</w:t>
      </w:r>
      <w:r>
        <w:rPr>
          <w:color w:val="2A2A2A"/>
          <w:spacing w:val="-5"/>
          <w:w w:val="95"/>
        </w:rPr>
        <w:t> </w:t>
      </w:r>
      <w:r>
        <w:rPr>
          <w:color w:val="2A2A2A"/>
          <w:w w:val="95"/>
        </w:rPr>
        <w:t>Improvements, </w:t>
      </w:r>
      <w:r>
        <w:rPr>
          <w:color w:val="3D3D3D"/>
          <w:w w:val="95"/>
        </w:rPr>
        <w:t>furnishing</w:t>
      </w:r>
      <w:r>
        <w:rPr>
          <w:color w:val="3D3D3D"/>
          <w:spacing w:val="-3"/>
          <w:w w:val="95"/>
        </w:rPr>
        <w:t> </w:t>
      </w:r>
      <w:r>
        <w:rPr>
          <w:color w:val="2A2A2A"/>
          <w:w w:val="95"/>
        </w:rPr>
        <w:t>and</w:t>
      </w:r>
      <w:r>
        <w:rPr>
          <w:color w:val="2A2A2A"/>
          <w:spacing w:val="-4"/>
          <w:w w:val="95"/>
        </w:rPr>
        <w:t> </w:t>
      </w:r>
      <w:r>
        <w:rPr>
          <w:color w:val="2A2A2A"/>
          <w:w w:val="95"/>
        </w:rPr>
        <w:t>equipment</w:t>
      </w:r>
      <w:r>
        <w:rPr>
          <w:color w:val="2A2A2A"/>
          <w:spacing w:val="-9"/>
          <w:w w:val="95"/>
        </w:rPr>
        <w:t> </w:t>
      </w:r>
      <w:r>
        <w:rPr>
          <w:color w:val="2A2A2A"/>
          <w:w w:val="95"/>
        </w:rPr>
        <w:t>upgrades,</w:t>
      </w:r>
      <w:r>
        <w:rPr>
          <w:color w:val="2A2A2A"/>
          <w:spacing w:val="-7"/>
          <w:w w:val="95"/>
        </w:rPr>
        <w:t> </w:t>
      </w:r>
      <w:r>
        <w:rPr>
          <w:color w:val="2A2A2A"/>
          <w:w w:val="95"/>
        </w:rPr>
        <w:t>and the availability</w:t>
      </w:r>
      <w:r>
        <w:rPr>
          <w:color w:val="2A2A2A"/>
          <w:spacing w:val="34"/>
        </w:rPr>
        <w:t> </w:t>
      </w:r>
      <w:r>
        <w:rPr>
          <w:color w:val="2A2A2A"/>
          <w:w w:val="95"/>
        </w:rPr>
        <w:t>of</w:t>
      </w:r>
      <w:r>
        <w:rPr>
          <w:color w:val="2A2A2A"/>
          <w:spacing w:val="-8"/>
          <w:w w:val="95"/>
        </w:rPr>
        <w:t> </w:t>
      </w:r>
      <w:r>
        <w:rPr>
          <w:color w:val="2A2A2A"/>
          <w:w w:val="95"/>
        </w:rPr>
        <w:t>space</w:t>
      </w:r>
      <w:r>
        <w:rPr>
          <w:color w:val="2A2A2A"/>
          <w:spacing w:val="-4"/>
          <w:w w:val="95"/>
        </w:rPr>
        <w:t> </w:t>
      </w:r>
      <w:r>
        <w:rPr>
          <w:color w:val="3D3D3D"/>
          <w:w w:val="95"/>
        </w:rPr>
        <w:t>In</w:t>
      </w:r>
      <w:r>
        <w:rPr>
          <w:color w:val="3D3D3D"/>
          <w:spacing w:val="-11"/>
          <w:w w:val="95"/>
        </w:rPr>
        <w:t> </w:t>
      </w:r>
      <w:r>
        <w:rPr>
          <w:color w:val="2A2A2A"/>
          <w:w w:val="95"/>
        </w:rPr>
        <w:t>other</w:t>
      </w:r>
      <w:r>
        <w:rPr>
          <w:color w:val="2A2A2A"/>
          <w:spacing w:val="-4"/>
          <w:w w:val="95"/>
        </w:rPr>
        <w:t> </w:t>
      </w:r>
      <w:r>
        <w:rPr>
          <w:color w:val="2A2A2A"/>
          <w:w w:val="95"/>
        </w:rPr>
        <w:t>buildings on</w:t>
      </w:r>
      <w:r>
        <w:rPr>
          <w:color w:val="2A2A2A"/>
          <w:spacing w:val="-10"/>
          <w:w w:val="95"/>
        </w:rPr>
        <w:t> </w:t>
      </w:r>
      <w:r>
        <w:rPr>
          <w:color w:val="2A2A2A"/>
          <w:w w:val="95"/>
        </w:rPr>
        <w:t>campus have</w:t>
      </w:r>
      <w:r>
        <w:rPr>
          <w:color w:val="2A2A2A"/>
          <w:spacing w:val="-5"/>
          <w:w w:val="95"/>
        </w:rPr>
        <w:t> </w:t>
      </w:r>
      <w:r>
        <w:rPr>
          <w:color w:val="2A2A2A"/>
          <w:w w:val="95"/>
        </w:rPr>
        <w:t>achieved better physlcat </w:t>
      </w:r>
      <w:r>
        <w:rPr>
          <w:color w:val="2A2A2A"/>
        </w:rPr>
        <w:t>resources for</w:t>
      </w:r>
      <w:r>
        <w:rPr>
          <w:color w:val="2A2A2A"/>
          <w:spacing w:val="-20"/>
        </w:rPr>
        <w:t> </w:t>
      </w:r>
      <w:r>
        <w:rPr>
          <w:color w:val="3D3D3D"/>
        </w:rPr>
        <w:t>the</w:t>
      </w:r>
      <w:r>
        <w:rPr>
          <w:color w:val="3D3D3D"/>
          <w:spacing w:val="-12"/>
        </w:rPr>
        <w:t> </w:t>
      </w:r>
      <w:r>
        <w:rPr>
          <w:color w:val="2A2A2A"/>
        </w:rPr>
        <w:t>department.</w:t>
      </w:r>
    </w:p>
    <w:p>
      <w:pPr>
        <w:spacing w:after="0" w:line="230" w:lineRule="auto"/>
        <w:sectPr>
          <w:headerReference w:type="default" r:id="rId462"/>
          <w:footerReference w:type="default" r:id="rId463"/>
          <w:pgSz w:w="12180" w:h="15740"/>
          <w:pgMar w:header="0" w:footer="0" w:top="1620" w:bottom="280" w:left="240" w:right="1440"/>
        </w:sectPr>
      </w:pPr>
    </w:p>
    <w:p>
      <w:pPr>
        <w:tabs>
          <w:tab w:pos="1855" w:val="left" w:leader="none"/>
        </w:tabs>
        <w:spacing w:before="72"/>
        <w:ind w:left="1136" w:right="0" w:firstLine="0"/>
        <w:jc w:val="left"/>
        <w:rPr>
          <w:b/>
          <w:sz w:val="20"/>
        </w:rPr>
      </w:pPr>
      <w:r>
        <w:rPr>
          <w:color w:val="2B2B2B"/>
          <w:spacing w:val="-5"/>
          <w:sz w:val="27"/>
        </w:rPr>
        <w:t>ur.</w:t>
      </w:r>
      <w:r>
        <w:rPr>
          <w:color w:val="2B2B2B"/>
          <w:sz w:val="27"/>
        </w:rPr>
        <w:tab/>
      </w:r>
      <w:r>
        <w:rPr>
          <w:b/>
          <w:color w:val="2B2B2B"/>
          <w:spacing w:val="-2"/>
          <w:sz w:val="20"/>
        </w:rPr>
        <w:t>Appendices</w:t>
      </w:r>
    </w:p>
    <w:p>
      <w:pPr>
        <w:tabs>
          <w:tab w:pos="2552" w:val="left" w:leader="none"/>
        </w:tabs>
        <w:spacing w:before="202"/>
        <w:ind w:left="1129" w:right="0" w:firstLine="0"/>
        <w:jc w:val="left"/>
        <w:rPr>
          <w:b/>
          <w:sz w:val="20"/>
        </w:rPr>
      </w:pPr>
      <w:r>
        <w:rPr>
          <w:b/>
          <w:color w:val="2B2B2B"/>
          <w:spacing w:val="-2"/>
          <w:sz w:val="20"/>
        </w:rPr>
        <w:t>Appendix</w:t>
      </w:r>
      <w:r>
        <w:rPr>
          <w:b/>
          <w:color w:val="2B2B2B"/>
          <w:spacing w:val="6"/>
          <w:sz w:val="20"/>
        </w:rPr>
        <w:t> </w:t>
      </w:r>
      <w:r>
        <w:rPr>
          <w:b/>
          <w:color w:val="2B2B2B"/>
          <w:spacing w:val="-5"/>
          <w:sz w:val="20"/>
        </w:rPr>
        <w:t>A;</w:t>
      </w:r>
      <w:r>
        <w:rPr>
          <w:b/>
          <w:color w:val="2B2B2B"/>
          <w:sz w:val="20"/>
        </w:rPr>
        <w:tab/>
        <w:t>The</w:t>
      </w:r>
      <w:r>
        <w:rPr>
          <w:b/>
          <w:color w:val="2B2B2B"/>
          <w:spacing w:val="-14"/>
          <w:sz w:val="20"/>
        </w:rPr>
        <w:t> </w:t>
      </w:r>
      <w:r>
        <w:rPr>
          <w:b/>
          <w:color w:val="2B2B2B"/>
          <w:sz w:val="20"/>
        </w:rPr>
        <w:t>Visiting</w:t>
      </w:r>
      <w:r>
        <w:rPr>
          <w:b/>
          <w:color w:val="2B2B2B"/>
          <w:spacing w:val="-7"/>
          <w:sz w:val="20"/>
        </w:rPr>
        <w:t> </w:t>
      </w:r>
      <w:r>
        <w:rPr>
          <w:b/>
          <w:color w:val="2B2B2B"/>
          <w:spacing w:val="-4"/>
          <w:sz w:val="20"/>
        </w:rPr>
        <w:t>Team</w:t>
      </w:r>
    </w:p>
    <w:p>
      <w:pPr>
        <w:pStyle w:val="BodyText"/>
        <w:spacing w:before="2"/>
        <w:rPr>
          <w:b/>
        </w:rPr>
      </w:pPr>
    </w:p>
    <w:p>
      <w:pPr>
        <w:pStyle w:val="BodyText"/>
        <w:ind w:left="1840" w:right="4180"/>
      </w:pPr>
      <w:r>
        <w:rPr>
          <w:color w:val="3D3D3D"/>
        </w:rPr>
        <w:t>Lead</w:t>
      </w:r>
      <w:r>
        <w:rPr>
          <w:color w:val="3D3D3D"/>
          <w:spacing w:val="-14"/>
        </w:rPr>
        <w:t> </w:t>
      </w:r>
      <w:r>
        <w:rPr>
          <w:color w:val="3D3D3D"/>
        </w:rPr>
        <w:t>Reviewer</w:t>
      </w:r>
      <w:r>
        <w:rPr>
          <w:color w:val="7B7B7B"/>
        </w:rPr>
        <w:t>,</w:t>
      </w:r>
      <w:r>
        <w:rPr>
          <w:color w:val="7B7B7B"/>
          <w:spacing w:val="-16"/>
        </w:rPr>
        <w:t> </w:t>
      </w:r>
      <w:r>
        <w:rPr>
          <w:color w:val="3D3D3D"/>
        </w:rPr>
        <w:t>Representing</w:t>
      </w:r>
      <w:r>
        <w:rPr>
          <w:color w:val="3D3D3D"/>
          <w:spacing w:val="-8"/>
        </w:rPr>
        <w:t> </w:t>
      </w:r>
      <w:r>
        <w:rPr>
          <w:color w:val="3D3D3D"/>
        </w:rPr>
        <w:t>the</w:t>
      </w:r>
      <w:r>
        <w:rPr>
          <w:color w:val="3D3D3D"/>
          <w:spacing w:val="-14"/>
        </w:rPr>
        <w:t> </w:t>
      </w:r>
      <w:r>
        <w:rPr>
          <w:color w:val="3D3D3D"/>
        </w:rPr>
        <w:t>Proress</w:t>
      </w:r>
      <w:r>
        <w:rPr>
          <w:color w:val="696969"/>
        </w:rPr>
        <w:t>l</w:t>
      </w:r>
      <w:r>
        <w:rPr>
          <w:color w:val="3D3D3D"/>
        </w:rPr>
        <w:t>on Douglas K. Engebretson, FAIA</w:t>
      </w:r>
    </w:p>
    <w:p>
      <w:pPr>
        <w:pStyle w:val="BodyText"/>
        <w:spacing w:before="6"/>
        <w:ind w:left="1829" w:right="6080" w:firstLine="12"/>
      </w:pPr>
      <w:r>
        <w:rPr>
          <w:color w:val="3D3D3D"/>
        </w:rPr>
        <w:t>Tessier Associates, Inc</w:t>
      </w:r>
      <w:r>
        <w:rPr>
          <w:color w:val="7B7B7B"/>
        </w:rPr>
        <w:t>. </w:t>
      </w:r>
      <w:r>
        <w:rPr>
          <w:color w:val="3D3D3D"/>
        </w:rPr>
        <w:t>Tower</w:t>
      </w:r>
      <w:r>
        <w:rPr>
          <w:color w:val="3D3D3D"/>
          <w:spacing w:val="-14"/>
        </w:rPr>
        <w:t> </w:t>
      </w:r>
      <w:r>
        <w:rPr>
          <w:color w:val="3D3D3D"/>
        </w:rPr>
        <w:t>Square</w:t>
      </w:r>
      <w:r>
        <w:rPr>
          <w:color w:val="696969"/>
        </w:rPr>
        <w:t>,</w:t>
      </w:r>
      <w:r>
        <w:rPr>
          <w:color w:val="696969"/>
          <w:spacing w:val="-19"/>
        </w:rPr>
        <w:t> </w:t>
      </w:r>
      <w:r>
        <w:rPr>
          <w:color w:val="3D3D3D"/>
        </w:rPr>
        <w:t>Suite</w:t>
      </w:r>
      <w:r>
        <w:rPr>
          <w:color w:val="3D3D3D"/>
          <w:spacing w:val="-14"/>
        </w:rPr>
        <w:t> </w:t>
      </w:r>
      <w:r>
        <w:rPr>
          <w:color w:val="3D3D3D"/>
        </w:rPr>
        <w:t>250 1500 Main Street</w:t>
      </w:r>
    </w:p>
    <w:p>
      <w:pPr>
        <w:pStyle w:val="BodyText"/>
        <w:spacing w:line="225" w:lineRule="exact"/>
        <w:ind w:left="1835"/>
      </w:pPr>
      <w:r>
        <w:rPr>
          <w:color w:val="3D3D3D"/>
        </w:rPr>
        <w:t>POB</w:t>
      </w:r>
      <w:r>
        <w:rPr>
          <w:color w:val="3D3D3D"/>
          <w:spacing w:val="-12"/>
        </w:rPr>
        <w:t> </w:t>
      </w:r>
      <w:r>
        <w:rPr>
          <w:color w:val="3D3D3D"/>
          <w:spacing w:val="-2"/>
        </w:rPr>
        <w:t>15169</w:t>
      </w:r>
    </w:p>
    <w:p>
      <w:pPr>
        <w:pStyle w:val="BodyText"/>
        <w:spacing w:line="228" w:lineRule="exact"/>
        <w:ind w:left="1832"/>
      </w:pPr>
      <w:r>
        <w:rPr>
          <w:color w:val="3D3D3D"/>
          <w:w w:val="95"/>
        </w:rPr>
        <w:t>Springfield,</w:t>
      </w:r>
      <w:r>
        <w:rPr>
          <w:color w:val="3D3D3D"/>
          <w:spacing w:val="18"/>
        </w:rPr>
        <w:t> </w:t>
      </w:r>
      <w:r>
        <w:rPr>
          <w:color w:val="3D3D3D"/>
          <w:w w:val="95"/>
        </w:rPr>
        <w:t>MA</w:t>
      </w:r>
      <w:r>
        <w:rPr>
          <w:color w:val="3D3D3D"/>
          <w:spacing w:val="-1"/>
          <w:w w:val="95"/>
        </w:rPr>
        <w:t> </w:t>
      </w:r>
      <w:r>
        <w:rPr>
          <w:i/>
          <w:color w:val="3D3D3D"/>
          <w:w w:val="95"/>
        </w:rPr>
        <w:t>O</w:t>
      </w:r>
      <w:r>
        <w:rPr>
          <w:color w:val="3D3D3D"/>
          <w:w w:val="95"/>
        </w:rPr>
        <w:t>1115-</w:t>
      </w:r>
      <w:r>
        <w:rPr>
          <w:color w:val="3D3D3D"/>
          <w:spacing w:val="-4"/>
          <w:w w:val="95"/>
        </w:rPr>
        <w:t>5169</w:t>
      </w:r>
    </w:p>
    <w:p>
      <w:pPr>
        <w:spacing w:line="223" w:lineRule="exact" w:before="1"/>
        <w:ind w:left="1835" w:right="0" w:firstLine="0"/>
        <w:jc w:val="left"/>
        <w:rPr>
          <w:sz w:val="20"/>
        </w:rPr>
      </w:pPr>
      <w:r>
        <w:rPr>
          <w:b/>
          <w:color w:val="3D3D3D"/>
          <w:w w:val="95"/>
          <w:sz w:val="20"/>
        </w:rPr>
        <w:t>(413)</w:t>
      </w:r>
      <w:r>
        <w:rPr>
          <w:b/>
          <w:color w:val="3D3D3D"/>
          <w:spacing w:val="5"/>
          <w:sz w:val="20"/>
        </w:rPr>
        <w:t> </w:t>
      </w:r>
      <w:r>
        <w:rPr>
          <w:color w:val="3D3D3D"/>
          <w:w w:val="95"/>
          <w:sz w:val="20"/>
        </w:rPr>
        <w:t>736-</w:t>
      </w:r>
      <w:r>
        <w:rPr>
          <w:color w:val="3D3D3D"/>
          <w:spacing w:val="-4"/>
          <w:w w:val="95"/>
          <w:sz w:val="20"/>
        </w:rPr>
        <w:t>5857</w:t>
      </w:r>
    </w:p>
    <w:p>
      <w:pPr>
        <w:pStyle w:val="BodyText"/>
        <w:spacing w:line="235" w:lineRule="exact"/>
        <w:ind w:left="1829"/>
        <w:rPr>
          <w:sz w:val="21"/>
        </w:rPr>
      </w:pPr>
      <w:r>
        <w:rPr>
          <w:color w:val="3D3D3D"/>
          <w:spacing w:val="-2"/>
        </w:rPr>
        <w:t>(413)</w:t>
      </w:r>
      <w:r>
        <w:rPr>
          <w:color w:val="3D3D3D"/>
          <w:spacing w:val="-7"/>
        </w:rPr>
        <w:t> </w:t>
      </w:r>
      <w:r>
        <w:rPr>
          <w:color w:val="3D3D3D"/>
          <w:spacing w:val="-2"/>
        </w:rPr>
        <w:t>736-2757</w:t>
      </w:r>
      <w:r>
        <w:rPr>
          <w:color w:val="3D3D3D"/>
          <w:spacing w:val="1"/>
        </w:rPr>
        <w:t> </w:t>
      </w:r>
      <w:r>
        <w:rPr>
          <w:color w:val="3D3D3D"/>
          <w:spacing w:val="-5"/>
          <w:sz w:val="21"/>
        </w:rPr>
        <w:t>fax</w:t>
      </w:r>
    </w:p>
    <w:p>
      <w:pPr>
        <w:pStyle w:val="BodyText"/>
        <w:spacing w:before="3"/>
        <w:ind w:left="1825"/>
      </w:pPr>
      <w:hyperlink r:id="rId466">
        <w:r>
          <w:rPr>
            <w:color w:val="3D3D3D"/>
            <w:spacing w:val="-2"/>
          </w:rPr>
          <w:t>douglase@tess</w:t>
        </w:r>
        <w:r>
          <w:rPr>
            <w:color w:val="696969"/>
            <w:spacing w:val="-2"/>
          </w:rPr>
          <w:t>i</w:t>
        </w:r>
        <w:r>
          <w:rPr>
            <w:color w:val="3D3D3D"/>
            <w:spacing w:val="-2"/>
          </w:rPr>
          <w:t>erarch</w:t>
        </w:r>
        <w:r>
          <w:rPr>
            <w:color w:val="696969"/>
            <w:spacing w:val="-2"/>
          </w:rPr>
          <w:t>it</w:t>
        </w:r>
        <w:r>
          <w:rPr>
            <w:color w:val="3D3D3D"/>
            <w:spacing w:val="-2"/>
          </w:rPr>
          <w:t>ects</w:t>
        </w:r>
        <w:r>
          <w:rPr>
            <w:color w:val="7B7B7B"/>
            <w:spacing w:val="-2"/>
          </w:rPr>
          <w:t>.</w:t>
        </w:r>
        <w:r>
          <w:rPr>
            <w:color w:val="3D3D3D"/>
            <w:spacing w:val="-2"/>
          </w:rPr>
          <w:t>com</w:t>
        </w:r>
      </w:hyperlink>
    </w:p>
    <w:p>
      <w:pPr>
        <w:pStyle w:val="BodyText"/>
        <w:spacing w:before="1"/>
      </w:pPr>
    </w:p>
    <w:p>
      <w:pPr>
        <w:pStyle w:val="BodyText"/>
        <w:spacing w:before="1"/>
        <w:ind w:left="1817"/>
      </w:pPr>
      <w:r>
        <w:rPr>
          <w:color w:val="3D3D3D"/>
        </w:rPr>
        <w:t>Secondary</w:t>
      </w:r>
      <w:r>
        <w:rPr>
          <w:color w:val="3D3D3D"/>
          <w:spacing w:val="-10"/>
        </w:rPr>
        <w:t> </w:t>
      </w:r>
      <w:r>
        <w:rPr>
          <w:color w:val="2B2B2B"/>
        </w:rPr>
        <w:t>Reviewer</w:t>
      </w:r>
      <w:r>
        <w:rPr>
          <w:color w:val="565656"/>
        </w:rPr>
        <w:t>,</w:t>
      </w:r>
      <w:r>
        <w:rPr>
          <w:color w:val="565656"/>
          <w:spacing w:val="-25"/>
        </w:rPr>
        <w:t> </w:t>
      </w:r>
      <w:r>
        <w:rPr>
          <w:color w:val="3D3D3D"/>
        </w:rPr>
        <w:t>Representing</w:t>
      </w:r>
      <w:r>
        <w:rPr>
          <w:color w:val="3D3D3D"/>
          <w:spacing w:val="7"/>
        </w:rPr>
        <w:t> </w:t>
      </w:r>
      <w:r>
        <w:rPr>
          <w:color w:val="3D3D3D"/>
        </w:rPr>
        <w:t>the</w:t>
      </w:r>
      <w:r>
        <w:rPr>
          <w:color w:val="3D3D3D"/>
          <w:spacing w:val="-14"/>
        </w:rPr>
        <w:t> </w:t>
      </w:r>
      <w:r>
        <w:rPr>
          <w:color w:val="3D3D3D"/>
          <w:spacing w:val="-2"/>
        </w:rPr>
        <w:t>Academy</w:t>
      </w:r>
    </w:p>
    <w:p>
      <w:pPr>
        <w:pStyle w:val="BodyText"/>
        <w:spacing w:line="244" w:lineRule="auto"/>
        <w:ind w:left="1822" w:right="5137" w:hanging="11"/>
      </w:pPr>
      <w:r>
        <w:rPr>
          <w:b/>
          <w:color w:val="3D3D3D"/>
        </w:rPr>
        <w:t>A</w:t>
      </w:r>
      <w:r>
        <w:rPr>
          <w:b/>
          <w:color w:val="3D3D3D"/>
          <w:spacing w:val="28"/>
        </w:rPr>
        <w:t> </w:t>
      </w:r>
      <w:r>
        <w:rPr>
          <w:color w:val="3D3D3D"/>
        </w:rPr>
        <w:t>Spencer</w:t>
      </w:r>
      <w:r>
        <w:rPr>
          <w:color w:val="3D3D3D"/>
          <w:spacing w:val="-5"/>
        </w:rPr>
        <w:t> </w:t>
      </w:r>
      <w:r>
        <w:rPr>
          <w:color w:val="3D3D3D"/>
        </w:rPr>
        <w:t>A</w:t>
      </w:r>
      <w:r>
        <w:rPr>
          <w:color w:val="3D3D3D"/>
          <w:spacing w:val="28"/>
        </w:rPr>
        <w:t> </w:t>
      </w:r>
      <w:r>
        <w:rPr>
          <w:color w:val="3D3D3D"/>
        </w:rPr>
        <w:t>Leineweber,</w:t>
      </w:r>
      <w:r>
        <w:rPr>
          <w:color w:val="3D3D3D"/>
          <w:spacing w:val="-4"/>
        </w:rPr>
        <w:t> </w:t>
      </w:r>
      <w:r>
        <w:rPr>
          <w:color w:val="3D3D3D"/>
        </w:rPr>
        <w:t>FAIA Spencer Architects, Inc</w:t>
      </w:r>
      <w:r>
        <w:rPr>
          <w:color w:val="8C8C8C"/>
        </w:rPr>
        <w:t>.</w:t>
      </w:r>
    </w:p>
    <w:p>
      <w:pPr>
        <w:pStyle w:val="BodyText"/>
        <w:spacing w:line="227" w:lineRule="exact"/>
        <w:ind w:left="1811"/>
      </w:pPr>
      <w:r>
        <w:rPr>
          <w:color w:val="3D3D3D"/>
        </w:rPr>
        <w:t>2366</w:t>
      </w:r>
      <w:r>
        <w:rPr>
          <w:color w:val="3D3D3D"/>
          <w:spacing w:val="-10"/>
        </w:rPr>
        <w:t> </w:t>
      </w:r>
      <w:r>
        <w:rPr>
          <w:color w:val="3D3D3D"/>
        </w:rPr>
        <w:t>Liloa</w:t>
      </w:r>
      <w:r>
        <w:rPr>
          <w:color w:val="3D3D3D"/>
          <w:spacing w:val="-22"/>
        </w:rPr>
        <w:t> </w:t>
      </w:r>
      <w:r>
        <w:rPr>
          <w:color w:val="3D3D3D"/>
          <w:spacing w:val="-4"/>
        </w:rPr>
        <w:t>Rise</w:t>
      </w:r>
    </w:p>
    <w:p>
      <w:pPr>
        <w:pStyle w:val="BodyText"/>
        <w:spacing w:before="1"/>
        <w:ind w:left="1805"/>
      </w:pPr>
      <w:r>
        <w:rPr>
          <w:color w:val="3D3D3D"/>
        </w:rPr>
        <w:t>Honolulu</w:t>
      </w:r>
      <w:r>
        <w:rPr>
          <w:color w:val="7B7B7B"/>
        </w:rPr>
        <w:t>,</w:t>
      </w:r>
      <w:r>
        <w:rPr>
          <w:color w:val="7B7B7B"/>
          <w:spacing w:val="-7"/>
        </w:rPr>
        <w:t> </w:t>
      </w:r>
      <w:r>
        <w:rPr>
          <w:color w:val="2B2B2B"/>
        </w:rPr>
        <w:t>HI</w:t>
      </w:r>
      <w:r>
        <w:rPr>
          <w:color w:val="2B2B2B"/>
          <w:spacing w:val="-16"/>
        </w:rPr>
        <w:t> </w:t>
      </w:r>
      <w:r>
        <w:rPr>
          <w:color w:val="3D3D3D"/>
          <w:spacing w:val="-2"/>
        </w:rPr>
        <w:t>96822</w:t>
      </w:r>
    </w:p>
    <w:p>
      <w:pPr>
        <w:pStyle w:val="BodyText"/>
        <w:spacing w:line="228" w:lineRule="exact" w:before="1"/>
        <w:ind w:left="1809"/>
      </w:pPr>
      <w:r>
        <w:rPr>
          <w:color w:val="3D3D3D"/>
          <w:w w:val="95"/>
        </w:rPr>
        <w:t>(808}</w:t>
      </w:r>
      <w:r>
        <w:rPr>
          <w:color w:val="3D3D3D"/>
          <w:spacing w:val="18"/>
        </w:rPr>
        <w:t> </w:t>
      </w:r>
      <w:r>
        <w:rPr>
          <w:color w:val="3D3D3D"/>
          <w:w w:val="95"/>
        </w:rPr>
        <w:t>956-</w:t>
      </w:r>
      <w:r>
        <w:rPr>
          <w:color w:val="3D3D3D"/>
          <w:spacing w:val="-4"/>
          <w:w w:val="95"/>
        </w:rPr>
        <w:t>7225</w:t>
      </w:r>
    </w:p>
    <w:p>
      <w:pPr>
        <w:pStyle w:val="BodyText"/>
        <w:ind w:left="1806" w:right="4180" w:hanging="2"/>
      </w:pPr>
      <w:r>
        <w:rPr>
          <w:color w:val="3D3D3D"/>
        </w:rPr>
        <w:t>(808) </w:t>
      </w:r>
      <w:r>
        <w:rPr>
          <w:color w:val="2B2B2B"/>
        </w:rPr>
        <w:t>955-9595 </w:t>
      </w:r>
      <w:r>
        <w:rPr>
          <w:color w:val="3D3D3D"/>
        </w:rPr>
        <w:t>mob</w:t>
      </w:r>
      <w:r>
        <w:rPr>
          <w:color w:val="696969"/>
        </w:rPr>
        <w:t>i</w:t>
      </w:r>
      <w:r>
        <w:rPr>
          <w:color w:val="3D3D3D"/>
        </w:rPr>
        <w:t>le </w:t>
      </w:r>
      <w:hyperlink r:id="rId467">
        <w:r>
          <w:rPr>
            <w:color w:val="3D3D3D"/>
            <w:spacing w:val="-2"/>
            <w:w w:val="95"/>
          </w:rPr>
          <w:t>spencer.telneweber@gmarl</w:t>
        </w:r>
        <w:r>
          <w:rPr>
            <w:color w:val="8C8C8C"/>
            <w:spacing w:val="-2"/>
            <w:w w:val="95"/>
          </w:rPr>
          <w:t>.</w:t>
        </w:r>
        <w:r>
          <w:rPr>
            <w:color w:val="3D3D3D"/>
            <w:spacing w:val="-2"/>
            <w:w w:val="95"/>
          </w:rPr>
          <w:t>com</w:t>
        </w:r>
      </w:hyperlink>
    </w:p>
    <w:p>
      <w:pPr>
        <w:spacing w:after="0"/>
        <w:sectPr>
          <w:headerReference w:type="default" r:id="rId464"/>
          <w:footerReference w:type="default" r:id="rId465"/>
          <w:pgSz w:w="12180" w:h="15740"/>
          <w:pgMar w:header="0" w:footer="0" w:top="1640" w:bottom="280" w:left="240" w:right="1440"/>
        </w:sectPr>
      </w:pPr>
    </w:p>
    <w:p>
      <w:pPr>
        <w:tabs>
          <w:tab w:pos="1790" w:val="left" w:leader="none"/>
        </w:tabs>
        <w:spacing w:line="386" w:lineRule="auto" w:before="64"/>
        <w:ind w:left="1070" w:right="6998" w:hanging="3"/>
        <w:jc w:val="left"/>
        <w:rPr>
          <w:sz w:val="21"/>
        </w:rPr>
      </w:pPr>
      <w:r>
        <w:rPr>
          <w:color w:val="2B2B2B"/>
          <w:spacing w:val="-4"/>
          <w:sz w:val="30"/>
        </w:rPr>
        <w:t>rv</w:t>
      </w:r>
      <w:r>
        <w:rPr>
          <w:color w:val="5B5B5B"/>
          <w:spacing w:val="-4"/>
          <w:sz w:val="30"/>
        </w:rPr>
        <w:t>.</w:t>
      </w:r>
      <w:r>
        <w:rPr>
          <w:color w:val="5B5B5B"/>
          <w:sz w:val="30"/>
        </w:rPr>
        <w:tab/>
      </w:r>
      <w:r>
        <w:rPr>
          <w:color w:val="2B2B2B"/>
          <w:sz w:val="21"/>
        </w:rPr>
        <w:t>Report</w:t>
      </w:r>
      <w:r>
        <w:rPr>
          <w:color w:val="2B2B2B"/>
          <w:spacing w:val="-15"/>
          <w:sz w:val="21"/>
        </w:rPr>
        <w:t> </w:t>
      </w:r>
      <w:r>
        <w:rPr>
          <w:color w:val="2B2B2B"/>
          <w:sz w:val="21"/>
        </w:rPr>
        <w:t>Signatures Respectfully submitted</w:t>
      </w:r>
      <w:r>
        <w:rPr>
          <w:color w:val="5B5B5B"/>
          <w:sz w:val="21"/>
        </w:rPr>
        <w:t>.</w:t>
      </w:r>
    </w:p>
    <w:p>
      <w:pPr>
        <w:pStyle w:val="BodyText"/>
        <w:spacing w:before="8"/>
        <w:rPr>
          <w:sz w:val="24"/>
        </w:rPr>
      </w:pPr>
      <w:r>
        <w:rPr/>
        <w:drawing>
          <wp:anchor distT="0" distB="0" distL="0" distR="0" allowOverlap="1" layoutInCell="1" locked="0" behindDoc="0" simplePos="0" relativeHeight="103">
            <wp:simplePos x="0" y="0"/>
            <wp:positionH relativeFrom="page">
              <wp:posOffset>879034</wp:posOffset>
            </wp:positionH>
            <wp:positionV relativeFrom="paragraph">
              <wp:posOffset>195715</wp:posOffset>
            </wp:positionV>
            <wp:extent cx="2353308" cy="487679"/>
            <wp:effectExtent l="0" t="0" r="0" b="0"/>
            <wp:wrapTopAndBottom/>
            <wp:docPr id="45" name="image27.jpeg"/>
            <wp:cNvGraphicFramePr>
              <a:graphicFrameLocks noChangeAspect="1"/>
            </wp:cNvGraphicFramePr>
            <a:graphic>
              <a:graphicData uri="http://schemas.openxmlformats.org/drawingml/2006/picture">
                <pic:pic>
                  <pic:nvPicPr>
                    <pic:cNvPr id="46" name="image27.jpeg"/>
                    <pic:cNvPicPr/>
                  </pic:nvPicPr>
                  <pic:blipFill>
                    <a:blip r:embed="rId470" cstate="print"/>
                    <a:stretch>
                      <a:fillRect/>
                    </a:stretch>
                  </pic:blipFill>
                  <pic:spPr>
                    <a:xfrm>
                      <a:off x="0" y="0"/>
                      <a:ext cx="2353308" cy="487679"/>
                    </a:xfrm>
                    <a:prstGeom prst="rect">
                      <a:avLst/>
                    </a:prstGeom>
                  </pic:spPr>
                </pic:pic>
              </a:graphicData>
            </a:graphic>
          </wp:anchor>
        </w:drawing>
      </w:r>
    </w:p>
    <w:p>
      <w:pPr>
        <w:pStyle w:val="BodyText"/>
        <w:rPr>
          <w:sz w:val="13"/>
        </w:rPr>
      </w:pPr>
    </w:p>
    <w:p>
      <w:pPr>
        <w:pStyle w:val="BodyText"/>
        <w:spacing w:line="20" w:lineRule="exact"/>
        <w:ind w:left="1009"/>
        <w:rPr>
          <w:sz w:val="2"/>
        </w:rPr>
      </w:pPr>
      <w:r>
        <w:rPr>
          <w:sz w:val="2"/>
        </w:rPr>
        <w:pict>
          <v:group style="width:471.05pt;height:1pt;mso-position-horizontal-relative:char;mso-position-vertical-relative:line" id="docshapegroup720" coordorigin="0,0" coordsize="9421,20">
            <v:line style="position:absolute" from="0,10" to="9421,10" stroked="true" strokeweight=".96122pt" strokecolor="#000000">
              <v:stroke dashstyle="solid"/>
            </v:line>
          </v:group>
        </w:pict>
      </w:r>
      <w:r>
        <w:rPr>
          <w:sz w:val="2"/>
        </w:rPr>
      </w:r>
    </w:p>
    <w:p>
      <w:pPr>
        <w:spacing w:after="0" w:line="20" w:lineRule="exact"/>
        <w:rPr>
          <w:sz w:val="2"/>
        </w:rPr>
        <w:sectPr>
          <w:headerReference w:type="default" r:id="rId468"/>
          <w:footerReference w:type="default" r:id="rId469"/>
          <w:pgSz w:w="12180" w:h="15740"/>
          <w:pgMar w:header="0" w:footer="0" w:top="1500" w:bottom="280" w:left="240" w:right="1440"/>
        </w:sectPr>
      </w:pPr>
    </w:p>
    <w:p>
      <w:pPr>
        <w:spacing w:line="230" w:lineRule="auto" w:before="12"/>
        <w:ind w:left="1052" w:right="599" w:firstLine="8"/>
        <w:jc w:val="left"/>
        <w:rPr>
          <w:sz w:val="21"/>
        </w:rPr>
      </w:pPr>
      <w:r>
        <w:rPr>
          <w:color w:val="2B2B2B"/>
          <w:w w:val="95"/>
          <w:sz w:val="21"/>
        </w:rPr>
        <w:t>Dougras K.</w:t>
      </w:r>
      <w:r>
        <w:rPr>
          <w:color w:val="2B2B2B"/>
          <w:spacing w:val="-5"/>
          <w:w w:val="95"/>
          <w:sz w:val="21"/>
        </w:rPr>
        <w:t> </w:t>
      </w:r>
      <w:r>
        <w:rPr>
          <w:color w:val="2B2B2B"/>
          <w:w w:val="95"/>
          <w:sz w:val="21"/>
        </w:rPr>
        <w:t>Engebretson, FA.IA </w:t>
      </w:r>
      <w:r>
        <w:rPr>
          <w:color w:val="3B3B3B"/>
          <w:sz w:val="21"/>
        </w:rPr>
        <w:t>Lead</w:t>
      </w:r>
      <w:r>
        <w:rPr>
          <w:color w:val="3B3B3B"/>
          <w:spacing w:val="-18"/>
          <w:sz w:val="21"/>
        </w:rPr>
        <w:t> </w:t>
      </w:r>
      <w:r>
        <w:rPr>
          <w:color w:val="2B2B2B"/>
          <w:sz w:val="21"/>
        </w:rPr>
        <w:t>Reviewer</w:t>
      </w:r>
    </w:p>
    <w:p>
      <w:pPr>
        <w:spacing w:line="241" w:lineRule="exact" w:before="0"/>
        <w:ind w:left="1052" w:right="0" w:firstLine="0"/>
        <w:jc w:val="left"/>
        <w:rPr>
          <w:sz w:val="21"/>
        </w:rPr>
      </w:pPr>
      <w:r>
        <w:rPr/>
        <w:br w:type="column"/>
      </w:r>
      <w:r>
        <w:rPr>
          <w:color w:val="2B2B2B"/>
          <w:sz w:val="21"/>
        </w:rPr>
        <w:t>Representing</w:t>
      </w:r>
      <w:r>
        <w:rPr>
          <w:color w:val="2B2B2B"/>
          <w:spacing w:val="14"/>
          <w:sz w:val="21"/>
        </w:rPr>
        <w:t> </w:t>
      </w:r>
      <w:r>
        <w:rPr>
          <w:color w:val="2B2B2B"/>
          <w:sz w:val="21"/>
        </w:rPr>
        <w:t>the</w:t>
      </w:r>
      <w:r>
        <w:rPr>
          <w:color w:val="2B2B2B"/>
          <w:spacing w:val="-15"/>
          <w:sz w:val="21"/>
        </w:rPr>
        <w:t> </w:t>
      </w:r>
      <w:r>
        <w:rPr>
          <w:color w:val="2B2B2B"/>
          <w:spacing w:val="-2"/>
          <w:sz w:val="21"/>
        </w:rPr>
        <w:t>Profession</w:t>
      </w:r>
    </w:p>
    <w:p>
      <w:pPr>
        <w:spacing w:after="0" w:line="241" w:lineRule="exact"/>
        <w:jc w:val="left"/>
        <w:rPr>
          <w:sz w:val="21"/>
        </w:rPr>
        <w:sectPr>
          <w:type w:val="continuous"/>
          <w:pgSz w:w="12180" w:h="15740"/>
          <w:pgMar w:header="0" w:footer="0" w:top="1360" w:bottom="280" w:left="240" w:right="1440"/>
          <w:cols w:num="2" w:equalWidth="0">
            <w:col w:w="4896" w:space="1549"/>
            <w:col w:w="4055"/>
          </w:cols>
        </w:sectPr>
      </w:pPr>
    </w:p>
    <w:p>
      <w:pPr>
        <w:pStyle w:val="BodyText"/>
      </w:pPr>
    </w:p>
    <w:p>
      <w:pPr>
        <w:pStyle w:val="BodyText"/>
      </w:pPr>
    </w:p>
    <w:p>
      <w:pPr>
        <w:pStyle w:val="BodyText"/>
      </w:pPr>
    </w:p>
    <w:p>
      <w:pPr>
        <w:pStyle w:val="BodyText"/>
        <w:spacing w:before="4"/>
        <w:rPr>
          <w:sz w:val="19"/>
        </w:rPr>
      </w:pPr>
    </w:p>
    <w:p>
      <w:pPr>
        <w:pStyle w:val="BodyText"/>
        <w:ind w:left="1067"/>
      </w:pPr>
      <w:r>
        <w:rPr/>
        <w:drawing>
          <wp:inline distT="0" distB="0" distL="0" distR="0">
            <wp:extent cx="2633756" cy="426720"/>
            <wp:effectExtent l="0" t="0" r="0" b="0"/>
            <wp:docPr id="47" name="image28.jpeg"/>
            <wp:cNvGraphicFramePr>
              <a:graphicFrameLocks noChangeAspect="1"/>
            </wp:cNvGraphicFramePr>
            <a:graphic>
              <a:graphicData uri="http://schemas.openxmlformats.org/drawingml/2006/picture">
                <pic:pic>
                  <pic:nvPicPr>
                    <pic:cNvPr id="48" name="image28.jpeg"/>
                    <pic:cNvPicPr/>
                  </pic:nvPicPr>
                  <pic:blipFill>
                    <a:blip r:embed="rId471" cstate="print"/>
                    <a:stretch>
                      <a:fillRect/>
                    </a:stretch>
                  </pic:blipFill>
                  <pic:spPr>
                    <a:xfrm>
                      <a:off x="0" y="0"/>
                      <a:ext cx="2633756" cy="426720"/>
                    </a:xfrm>
                    <a:prstGeom prst="rect">
                      <a:avLst/>
                    </a:prstGeom>
                  </pic:spPr>
                </pic:pic>
              </a:graphicData>
            </a:graphic>
          </wp:inline>
        </w:drawing>
      </w:r>
      <w:r>
        <w:rPr/>
      </w:r>
    </w:p>
    <w:p>
      <w:pPr>
        <w:pStyle w:val="BodyText"/>
        <w:spacing w:before="10"/>
        <w:rPr>
          <w:sz w:val="18"/>
        </w:rPr>
      </w:pPr>
    </w:p>
    <w:p>
      <w:pPr>
        <w:pStyle w:val="BodyText"/>
        <w:spacing w:line="20" w:lineRule="exact"/>
        <w:ind w:left="1009"/>
        <w:rPr>
          <w:sz w:val="2"/>
        </w:rPr>
      </w:pPr>
      <w:r>
        <w:rPr>
          <w:sz w:val="2"/>
        </w:rPr>
        <w:pict>
          <v:group style="width:469.15pt;height:1pt;mso-position-horizontal-relative:char;mso-position-vertical-relative:line" id="docshapegroup721" coordorigin="0,0" coordsize="9383,20">
            <v:line style="position:absolute" from="0,10" to="9383,10" stroked="true" strokeweight=".96122pt" strokecolor="#000000">
              <v:stroke dashstyle="solid"/>
            </v:line>
          </v:group>
        </w:pict>
      </w:r>
      <w:r>
        <w:rPr>
          <w:sz w:val="2"/>
        </w:rPr>
      </w:r>
    </w:p>
    <w:p>
      <w:pPr>
        <w:spacing w:after="0" w:line="20" w:lineRule="exact"/>
        <w:rPr>
          <w:sz w:val="2"/>
        </w:rPr>
        <w:sectPr>
          <w:type w:val="continuous"/>
          <w:pgSz w:w="12180" w:h="15740"/>
          <w:pgMar w:header="0" w:footer="0" w:top="1360" w:bottom="280" w:left="240" w:right="1440"/>
        </w:sectPr>
      </w:pPr>
    </w:p>
    <w:p>
      <w:pPr>
        <w:spacing w:line="220" w:lineRule="auto" w:before="15"/>
        <w:ind w:left="1033" w:right="269" w:firstLine="5"/>
        <w:jc w:val="left"/>
        <w:rPr>
          <w:sz w:val="21"/>
        </w:rPr>
      </w:pPr>
      <w:r>
        <w:rPr>
          <w:color w:val="2B2B2B"/>
          <w:spacing w:val="-2"/>
          <w:sz w:val="21"/>
        </w:rPr>
        <w:t>A.</w:t>
      </w:r>
      <w:r>
        <w:rPr>
          <w:color w:val="2B2B2B"/>
          <w:spacing w:val="-22"/>
          <w:sz w:val="21"/>
        </w:rPr>
        <w:t> </w:t>
      </w:r>
      <w:r>
        <w:rPr>
          <w:color w:val="2B2B2B"/>
          <w:spacing w:val="-2"/>
          <w:sz w:val="21"/>
        </w:rPr>
        <w:t>Spencer</w:t>
      </w:r>
      <w:r>
        <w:rPr>
          <w:color w:val="2B2B2B"/>
          <w:spacing w:val="-4"/>
          <w:sz w:val="21"/>
        </w:rPr>
        <w:t> </w:t>
      </w:r>
      <w:r>
        <w:rPr>
          <w:color w:val="2B2B2B"/>
          <w:spacing w:val="-2"/>
          <w:sz w:val="21"/>
        </w:rPr>
        <w:t>A.</w:t>
      </w:r>
      <w:r>
        <w:rPr>
          <w:color w:val="2B2B2B"/>
          <w:spacing w:val="-26"/>
          <w:sz w:val="21"/>
        </w:rPr>
        <w:t> </w:t>
      </w:r>
      <w:r>
        <w:rPr>
          <w:color w:val="3B3B3B"/>
          <w:spacing w:val="-2"/>
          <w:sz w:val="21"/>
        </w:rPr>
        <w:t>LeJneweber,</w:t>
      </w:r>
      <w:r>
        <w:rPr>
          <w:color w:val="3B3B3B"/>
          <w:spacing w:val="-8"/>
          <w:sz w:val="21"/>
        </w:rPr>
        <w:t> </w:t>
      </w:r>
      <w:r>
        <w:rPr>
          <w:color w:val="2B2B2B"/>
          <w:spacing w:val="-2"/>
          <w:sz w:val="21"/>
        </w:rPr>
        <w:t>FAfA </w:t>
      </w:r>
      <w:r>
        <w:rPr>
          <w:color w:val="2B2B2B"/>
          <w:sz w:val="21"/>
        </w:rPr>
        <w:t>Secondary Reviewer</w:t>
      </w:r>
    </w:p>
    <w:p>
      <w:pPr>
        <w:spacing w:before="4"/>
        <w:ind w:left="1033" w:right="0" w:firstLine="0"/>
        <w:jc w:val="left"/>
        <w:rPr>
          <w:sz w:val="21"/>
        </w:rPr>
      </w:pPr>
      <w:r>
        <w:rPr/>
        <w:br w:type="column"/>
      </w:r>
      <w:r>
        <w:rPr>
          <w:color w:val="2B2B2B"/>
          <w:sz w:val="21"/>
        </w:rPr>
        <w:t>Representing</w:t>
      </w:r>
      <w:r>
        <w:rPr>
          <w:color w:val="2B2B2B"/>
          <w:spacing w:val="10"/>
          <w:sz w:val="21"/>
        </w:rPr>
        <w:t> </w:t>
      </w:r>
      <w:r>
        <w:rPr>
          <w:color w:val="2B2B2B"/>
          <w:sz w:val="21"/>
        </w:rPr>
        <w:t>the</w:t>
      </w:r>
      <w:r>
        <w:rPr>
          <w:color w:val="2B2B2B"/>
          <w:spacing w:val="1"/>
          <w:sz w:val="21"/>
        </w:rPr>
        <w:t> </w:t>
      </w:r>
      <w:r>
        <w:rPr>
          <w:color w:val="2B2B2B"/>
          <w:spacing w:val="-2"/>
          <w:sz w:val="21"/>
        </w:rPr>
        <w:t>Academy</w:t>
      </w:r>
    </w:p>
    <w:sectPr>
      <w:type w:val="continuous"/>
      <w:pgSz w:w="12180" w:h="15740"/>
      <w:pgMar w:header="0" w:footer="0" w:top="1360" w:bottom="280" w:left="240" w:right="1440"/>
      <w:cols w:num="2" w:equalWidth="0">
        <w:col w:w="5261" w:space="1183"/>
        <w:col w:w="4056"/>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roman"/>
    <w:pitch w:val="fixed"/>
  </w:font>
  <w:font w:name="Arial-BoldItalicMT">
    <w:altName w:val="Arial-BoldItalicMT"/>
    <w:charset w:val="0"/>
    <w:family w:val="swiss"/>
    <w:pitch w:val="variable"/>
  </w:font>
  <w:font w:name="Arial Narrow">
    <w:altName w:val="Arial Narrow"/>
    <w:charset w:val="0"/>
    <w:family w:val="swiss"/>
    <w:pitch w:val="variable"/>
  </w:font>
  <w:font w:name="Arial Rounded MT Bold">
    <w:altName w:val="Arial Rounded MT Bold"/>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7048448" id="docshape1" filled="true" fillcolor="#000000" stroked="false">
          <v:fill type="solid"/>
          <w10:wrap type="none"/>
        </v:rect>
      </w:pict>
    </w:r>
    <w:r>
      <w:rPr/>
      <w:pict>
        <v:shapetype id="_x0000_t202" o:spt="202" coordsize="21600,21600" path="m,l,21600r21600,l21600,xe">
          <v:stroke joinstyle="miter"/>
          <v:path gradientshapeok="t" o:connecttype="rect"/>
        </v:shapetype>
        <v:shape style="position:absolute;margin-left:71pt;margin-top:734.809998pt;width:178.95pt;height:21.95pt;mso-position-horizontal-relative:page;mso-position-vertical-relative:page;z-index:-27047936" type="#_x0000_t202" id="docshape2"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35pt;height:11pt;mso-position-horizontal-relative:page;mso-position-vertical-relative:page;z-index:-27047424" type="#_x0000_t202" id="docshape3" filled="false" stroked="false">
          <v:textbox inset="0,0,0,0">
            <w:txbxContent>
              <w:p>
                <w:pPr>
                  <w:spacing w:line="193" w:lineRule="exact" w:before="0"/>
                  <w:ind w:left="20" w:right="0" w:firstLine="0"/>
                  <w:jc w:val="left"/>
                  <w:rPr>
                    <w:sz w:val="18"/>
                  </w:rPr>
                </w:pPr>
                <w:r>
                  <w:rPr>
                    <w:w w:val="85"/>
                    <w:sz w:val="18"/>
                  </w:rPr>
                  <w:t>page</w:t>
                </w:r>
                <w:r>
                  <w:rPr>
                    <w:spacing w:val="-5"/>
                    <w:w w:val="85"/>
                    <w:sz w:val="18"/>
                  </w:rPr>
                  <w:t> </w:t>
                </w:r>
                <w:r>
                  <w:rPr>
                    <w:w w:val="85"/>
                    <w:sz w:val="18"/>
                  </w:rPr>
                  <w:t>TC</w:t>
                </w:r>
                <w:r>
                  <w:rPr>
                    <w:spacing w:val="-3"/>
                    <w:w w:val="85"/>
                    <w:sz w:val="18"/>
                  </w:rPr>
                  <w:t> </w:t>
                </w:r>
                <w:r>
                  <w:rPr>
                    <w:w w:val="85"/>
                    <w:sz w:val="18"/>
                  </w:rPr>
                  <w:t>-</w:t>
                </w:r>
                <w:r>
                  <w:rPr>
                    <w:spacing w:val="-3"/>
                    <w:w w:val="85"/>
                    <w:sz w:val="18"/>
                  </w:rPr>
                  <w:t> </w:t>
                </w:r>
                <w:r>
                  <w:rPr>
                    <w:spacing w:val="-10"/>
                    <w:w w:val="85"/>
                    <w:sz w:val="18"/>
                  </w:rPr>
                  <w:fldChar w:fldCharType="begin"/>
                </w:r>
                <w:r>
                  <w:rPr>
                    <w:spacing w:val="-10"/>
                    <w:w w:val="85"/>
                    <w:sz w:val="18"/>
                  </w:rPr>
                  <w:instrText> PAGE </w:instrText>
                </w:r>
                <w:r>
                  <w:rPr>
                    <w:spacing w:val="-10"/>
                    <w:w w:val="85"/>
                    <w:sz w:val="18"/>
                  </w:rPr>
                  <w:fldChar w:fldCharType="separate"/>
                </w:r>
                <w:r>
                  <w:rPr>
                    <w:spacing w:val="-10"/>
                    <w:w w:val="85"/>
                    <w:sz w:val="18"/>
                  </w:rPr>
                  <w:t>3</w:t>
                </w:r>
                <w:r>
                  <w:rPr>
                    <w:spacing w:val="-10"/>
                    <w:w w:val="85"/>
                    <w:sz w:val="18"/>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7033088" id="docshape31" filled="true" fillcolor="#000000" stroked="false">
          <v:fill type="solid"/>
          <w10:wrap type="none"/>
        </v:rect>
      </w:pict>
    </w:r>
    <w:r>
      <w:rPr/>
      <w:pict>
        <v:shape style="position:absolute;margin-left:71pt;margin-top:734.809998pt;width:178.95pt;height:21.95pt;mso-position-horizontal-relative:page;mso-position-vertical-relative:page;z-index:-27032576" type="#_x0000_t202" id="docshape32"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7032064" type="#_x0000_t202" id="docshape33"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1</w:t>
                </w:r>
                <w:r>
                  <w:rPr>
                    <w:spacing w:val="-7"/>
                    <w:w w:val="90"/>
                    <w:sz w:val="18"/>
                  </w:rPr>
                  <w:t> </w:t>
                </w:r>
                <w:r>
                  <w:rPr>
                    <w:w w:val="90"/>
                    <w:sz w:val="18"/>
                  </w:rPr>
                  <w:t>-</w:t>
                </w:r>
                <w:r>
                  <w:rPr>
                    <w:spacing w:val="-7"/>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58</w:t>
                </w:r>
                <w:r>
                  <w:rPr>
                    <w:spacing w:val="-5"/>
                    <w:w w:val="90"/>
                    <w:sz w:val="18"/>
                  </w:rPr>
                  <w:fldChar w:fldCharType="end"/>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865664" id="docshape396" filled="true" fillcolor="#000000" stroked="false">
          <v:fill type="solid"/>
          <w10:wrap type="none"/>
        </v:rect>
      </w:pict>
    </w:r>
    <w:r>
      <w:rPr/>
      <w:pict>
        <v:shape style="position:absolute;margin-left:71pt;margin-top:734.809998pt;width:178.95pt;height:21.95pt;mso-position-horizontal-relative:page;mso-position-vertical-relative:page;z-index:-26865152" type="#_x0000_t202" id="docshape397"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864640" type="#_x0000_t202" id="docshape398"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4</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18</w:t>
                </w:r>
                <w:r>
                  <w:rPr>
                    <w:spacing w:val="-5"/>
                    <w:w w:val="90"/>
                    <w:sz w:val="18"/>
                  </w:rPr>
                  <w:fldChar w:fldCharType="end"/>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862080" id="docshape403" filled="true" fillcolor="#000000" stroked="false">
          <v:fill type="solid"/>
          <w10:wrap type="none"/>
        </v:rect>
      </w:pict>
    </w:r>
    <w:r>
      <w:rPr/>
      <w:pict>
        <v:shape style="position:absolute;margin-left:71pt;margin-top:734.809998pt;width:178.95pt;height:21.95pt;mso-position-horizontal-relative:page;mso-position-vertical-relative:page;z-index:-26861568" type="#_x0000_t202" id="docshape404"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861056" type="#_x0000_t202" id="docshape405"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4</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19</w:t>
                </w:r>
                <w:r>
                  <w:rPr>
                    <w:spacing w:val="-5"/>
                    <w:w w:val="90"/>
                    <w:sz w:val="18"/>
                  </w:rPr>
                  <w:fldChar w:fldCharType="end"/>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858496" id="docshape410" filled="true" fillcolor="#000000" stroked="false">
          <v:fill type="solid"/>
          <w10:wrap type="none"/>
        </v:rect>
      </w:pict>
    </w:r>
    <w:r>
      <w:rPr/>
      <w:pict>
        <v:shape style="position:absolute;margin-left:71pt;margin-top:734.809998pt;width:178.95pt;height:21.95pt;mso-position-horizontal-relative:page;mso-position-vertical-relative:page;z-index:-26857984" type="#_x0000_t202" id="docshape411"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857472" type="#_x0000_t202" id="docshape412"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4</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20</w:t>
                </w:r>
                <w:r>
                  <w:rPr>
                    <w:spacing w:val="-5"/>
                    <w:w w:val="90"/>
                    <w:sz w:val="18"/>
                  </w:rPr>
                  <w:fldChar w:fldCharType="end"/>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854912" id="docshape417" filled="true" fillcolor="#000000" stroked="false">
          <v:fill type="solid"/>
          <w10:wrap type="none"/>
        </v:rect>
      </w:pict>
    </w:r>
    <w:r>
      <w:rPr/>
      <w:pict>
        <v:shape style="position:absolute;margin-left:71pt;margin-top:734.809998pt;width:178.95pt;height:21.95pt;mso-position-horizontal-relative:page;mso-position-vertical-relative:page;z-index:-26854400" type="#_x0000_t202" id="docshape418"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853888" type="#_x0000_t202" id="docshape419"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4</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21</w:t>
                </w:r>
                <w:r>
                  <w:rPr>
                    <w:spacing w:val="-5"/>
                    <w:w w:val="90"/>
                    <w:sz w:val="18"/>
                  </w:rPr>
                  <w:fldChar w:fldCharType="end"/>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851328" id="docshape424" filled="true" fillcolor="#000000" stroked="false">
          <v:fill type="solid"/>
          <w10:wrap type="none"/>
        </v:rect>
      </w:pict>
    </w:r>
    <w:r>
      <w:rPr/>
      <w:pict>
        <v:shape style="position:absolute;margin-left:71pt;margin-top:734.809998pt;width:178.95pt;height:21.95pt;mso-position-horizontal-relative:page;mso-position-vertical-relative:page;z-index:-26850816" type="#_x0000_t202" id="docshape425"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850304" type="#_x0000_t202" id="docshape426"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4</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22</w:t>
                </w:r>
                <w:r>
                  <w:rPr>
                    <w:spacing w:val="-5"/>
                    <w:w w:val="90"/>
                    <w:sz w:val="18"/>
                  </w:rPr>
                  <w:fldChar w:fldCharType="end"/>
                </w:r>
              </w:p>
            </w:txbxContent>
          </v:textbox>
          <w10:wrap type="non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847744" id="docshape431" filled="true" fillcolor="#000000" stroked="false">
          <v:fill type="solid"/>
          <w10:wrap type="none"/>
        </v:rect>
      </w:pict>
    </w:r>
    <w:r>
      <w:rPr/>
      <w:pict>
        <v:shape style="position:absolute;margin-left:71pt;margin-top:734.809998pt;width:178.95pt;height:21.95pt;mso-position-horizontal-relative:page;mso-position-vertical-relative:page;z-index:-26847232" type="#_x0000_t202" id="docshape432"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846720" type="#_x0000_t202" id="docshape433"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4</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23</w:t>
                </w:r>
                <w:r>
                  <w:rPr>
                    <w:spacing w:val="-5"/>
                    <w:w w:val="90"/>
                    <w:sz w:val="18"/>
                  </w:rPr>
                  <w:fldChar w:fldCharType="end"/>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844160" id="docshape438" filled="true" fillcolor="#000000" stroked="false">
          <v:fill type="solid"/>
          <w10:wrap type="none"/>
        </v:rect>
      </w:pict>
    </w:r>
    <w:r>
      <w:rPr/>
      <w:pict>
        <v:shape style="position:absolute;margin-left:71pt;margin-top:734.809998pt;width:178.95pt;height:21.95pt;mso-position-horizontal-relative:page;mso-position-vertical-relative:page;z-index:-26843648" type="#_x0000_t202" id="docshape439"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843136" type="#_x0000_t202" id="docshape440"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4</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24</w:t>
                </w:r>
                <w:r>
                  <w:rPr>
                    <w:spacing w:val="-5"/>
                    <w:w w:val="90"/>
                    <w:sz w:val="18"/>
                  </w:rPr>
                  <w:fldChar w:fldCharType="end"/>
                </w:r>
              </w:p>
            </w:txbxContent>
          </v:textbox>
          <w10:wrap type="non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840576" id="docshape445" filled="true" fillcolor="#000000" stroked="false">
          <v:fill type="solid"/>
          <w10:wrap type="none"/>
        </v:rect>
      </w:pict>
    </w:r>
    <w:r>
      <w:rPr/>
      <w:pict>
        <v:shape style="position:absolute;margin-left:71pt;margin-top:734.809998pt;width:178.95pt;height:21.95pt;mso-position-horizontal-relative:page;mso-position-vertical-relative:page;z-index:-26840064" type="#_x0000_t202" id="docshape446"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839552" type="#_x0000_t202" id="docshape447"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4</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25</w:t>
                </w:r>
                <w:r>
                  <w:rPr>
                    <w:spacing w:val="-5"/>
                    <w:w w:val="90"/>
                    <w:sz w:val="18"/>
                  </w:rPr>
                  <w:fldChar w:fldCharType="end"/>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836992" id="docshape452" filled="true" fillcolor="#000000" stroked="false">
          <v:fill type="solid"/>
          <w10:wrap type="none"/>
        </v:rect>
      </w:pict>
    </w:r>
    <w:r>
      <w:rPr/>
      <w:pict>
        <v:shape style="position:absolute;margin-left:71pt;margin-top:734.809998pt;width:178.95pt;height:21.95pt;mso-position-horizontal-relative:page;mso-position-vertical-relative:page;z-index:-26836480" type="#_x0000_t202" id="docshape453"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835968" type="#_x0000_t202" id="docshape454"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4</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26</w:t>
                </w:r>
                <w:r>
                  <w:rPr>
                    <w:spacing w:val="-5"/>
                    <w:w w:val="90"/>
                    <w:sz w:val="18"/>
                  </w:rPr>
                  <w:fldChar w:fldCharType="end"/>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833408" id="docshape459" filled="true" fillcolor="#000000" stroked="false">
          <v:fill type="solid"/>
          <w10:wrap type="none"/>
        </v:rect>
      </w:pict>
    </w:r>
    <w:r>
      <w:rPr/>
      <w:pict>
        <v:shape style="position:absolute;margin-left:71pt;margin-top:734.809998pt;width:178.95pt;height:21.95pt;mso-position-horizontal-relative:page;mso-position-vertical-relative:page;z-index:-26832896" type="#_x0000_t202" id="docshape460"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832384" type="#_x0000_t202" id="docshape461"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4</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27</w:t>
                </w:r>
                <w:r>
                  <w:rPr>
                    <w:spacing w:val="-5"/>
                    <w:w w:val="90"/>
                    <w:sz w:val="18"/>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7031552" id="docshape34" filled="true" fillcolor="#000000" stroked="false">
          <v:fill type="solid"/>
          <w10:wrap type="none"/>
        </v:rect>
      </w:pict>
    </w:r>
    <w:r>
      <w:rPr/>
      <w:pict>
        <v:shape style="position:absolute;margin-left:71pt;margin-top:734.809998pt;width:178.95pt;height:21.95pt;mso-position-horizontal-relative:page;mso-position-vertical-relative:page;z-index:-27031040" type="#_x0000_t202" id="docshape35"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7030528" type="#_x0000_t202" id="docshape36"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1</w:t>
                </w:r>
                <w:r>
                  <w:rPr>
                    <w:spacing w:val="-7"/>
                    <w:w w:val="90"/>
                    <w:sz w:val="18"/>
                  </w:rPr>
                  <w:t> </w:t>
                </w:r>
                <w:r>
                  <w:rPr>
                    <w:w w:val="90"/>
                    <w:sz w:val="18"/>
                  </w:rPr>
                  <w:t>-</w:t>
                </w:r>
                <w:r>
                  <w:rPr>
                    <w:spacing w:val="-7"/>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59</w:t>
                </w:r>
                <w:r>
                  <w:rPr>
                    <w:spacing w:val="-5"/>
                    <w:w w:val="90"/>
                    <w:sz w:val="18"/>
                  </w:rPr>
                  <w:fldChar w:fldCharType="end"/>
                </w:r>
              </w:p>
            </w:txbxContent>
          </v:textbox>
          <w10:wrap type="non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829824" id="docshape466" filled="true" fillcolor="#000000" stroked="false">
          <v:fill type="solid"/>
          <w10:wrap type="none"/>
        </v:rect>
      </w:pict>
    </w:r>
    <w:r>
      <w:rPr/>
      <w:pict>
        <v:shape style="position:absolute;margin-left:71pt;margin-top:734.809998pt;width:178.95pt;height:21.95pt;mso-position-horizontal-relative:page;mso-position-vertical-relative:page;z-index:-26829312" type="#_x0000_t202" id="docshape467"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828800" type="#_x0000_t202" id="docshape468"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4</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28</w:t>
                </w:r>
                <w:r>
                  <w:rPr>
                    <w:spacing w:val="-5"/>
                    <w:w w:val="90"/>
                    <w:sz w:val="18"/>
                  </w:rPr>
                  <w:fldChar w:fldCharType="end"/>
                </w:r>
              </w:p>
            </w:txbxContent>
          </v:textbox>
          <w10:wrap type="non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826240" id="docshape473" filled="true" fillcolor="#000000" stroked="false">
          <v:fill type="solid"/>
          <w10:wrap type="none"/>
        </v:rect>
      </w:pict>
    </w:r>
    <w:r>
      <w:rPr/>
      <w:pict>
        <v:shape style="position:absolute;margin-left:71pt;margin-top:734.809998pt;width:178.95pt;height:21.95pt;mso-position-horizontal-relative:page;mso-position-vertical-relative:page;z-index:-26825728" type="#_x0000_t202" id="docshape474"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825216" type="#_x0000_t202" id="docshape475"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4</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29</w:t>
                </w:r>
                <w:r>
                  <w:rPr>
                    <w:spacing w:val="-5"/>
                    <w:w w:val="90"/>
                    <w:sz w:val="18"/>
                  </w:rPr>
                  <w:fldChar w:fldCharType="end"/>
                </w:r>
              </w:p>
            </w:txbxContent>
          </v:textbox>
          <w10:wrap type="non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822656" id="docshape480" filled="true" fillcolor="#000000" stroked="false">
          <v:fill type="solid"/>
          <w10:wrap type="none"/>
        </v:rect>
      </w:pict>
    </w:r>
    <w:r>
      <w:rPr/>
      <w:pict>
        <v:shape style="position:absolute;margin-left:71pt;margin-top:734.809998pt;width:178.95pt;height:21.95pt;mso-position-horizontal-relative:page;mso-position-vertical-relative:page;z-index:-26822144" type="#_x0000_t202" id="docshape481"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821632" type="#_x0000_t202" id="docshape482"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4</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30</w:t>
                </w:r>
                <w:r>
                  <w:rPr>
                    <w:spacing w:val="-5"/>
                    <w:w w:val="90"/>
                    <w:sz w:val="18"/>
                  </w:rPr>
                  <w:fldChar w:fldCharType="end"/>
                </w:r>
              </w:p>
            </w:txbxContent>
          </v:textbox>
          <w10:wrap type="non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819072" id="docshape487" filled="true" fillcolor="#000000" stroked="false">
          <v:fill type="solid"/>
          <w10:wrap type="none"/>
        </v:rect>
      </w:pict>
    </w:r>
    <w:r>
      <w:rPr/>
      <w:pict>
        <v:shape style="position:absolute;margin-left:71pt;margin-top:734.809998pt;width:178.95pt;height:21.95pt;mso-position-horizontal-relative:page;mso-position-vertical-relative:page;z-index:-26818560" type="#_x0000_t202" id="docshape488"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818048" type="#_x0000_t202" id="docshape489"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4</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31</w:t>
                </w:r>
                <w:r>
                  <w:rPr>
                    <w:spacing w:val="-5"/>
                    <w:w w:val="90"/>
                    <w:sz w:val="18"/>
                  </w:rPr>
                  <w:fldChar w:fldCharType="end"/>
                </w:r>
              </w:p>
            </w:txbxContent>
          </v:textbox>
          <w10:wrap type="non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815488" id="docshape494" filled="true" fillcolor="#000000" stroked="false">
          <v:fill type="solid"/>
          <w10:wrap type="none"/>
        </v:rect>
      </w:pict>
    </w:r>
    <w:r>
      <w:rPr/>
      <w:pict>
        <v:shape style="position:absolute;margin-left:71pt;margin-top:734.809998pt;width:178.95pt;height:21.95pt;mso-position-horizontal-relative:page;mso-position-vertical-relative:page;z-index:-26814976" type="#_x0000_t202" id="docshape495"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814464" type="#_x0000_t202" id="docshape496"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4</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32</w:t>
                </w:r>
                <w:r>
                  <w:rPr>
                    <w:spacing w:val="-5"/>
                    <w:w w:val="90"/>
                    <w:sz w:val="18"/>
                  </w:rPr>
                  <w:fldChar w:fldCharType="end"/>
                </w:r>
              </w:p>
            </w:txbxContent>
          </v:textbox>
          <w10:wrap type="non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813952" id="docshape497" filled="true" fillcolor="#000000" stroked="false">
          <v:fill type="solid"/>
          <w10:wrap type="none"/>
        </v:rect>
      </w:pict>
    </w:r>
    <w:r>
      <w:rPr/>
      <w:pict>
        <v:shape style="position:absolute;margin-left:71pt;margin-top:734.809998pt;width:178.95pt;height:21.95pt;mso-position-horizontal-relative:page;mso-position-vertical-relative:page;z-index:-26813440" type="#_x0000_t202" id="docshape498"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812928" type="#_x0000_t202" id="docshape499"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4</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33</w:t>
                </w:r>
                <w:r>
                  <w:rPr>
                    <w:spacing w:val="-5"/>
                    <w:w w:val="90"/>
                    <w:sz w:val="18"/>
                  </w:rPr>
                  <w:fldChar w:fldCharType="end"/>
                </w:r>
              </w:p>
            </w:txbxContent>
          </v:textbox>
          <w10:wrap type="non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812416" id="docshape500" filled="true" fillcolor="#000000" stroked="false">
          <v:fill type="solid"/>
          <w10:wrap type="none"/>
        </v:rect>
      </w:pict>
    </w:r>
    <w:r>
      <w:rPr/>
      <w:pict>
        <v:shape style="position:absolute;margin-left:71pt;margin-top:734.809998pt;width:178.95pt;height:21.95pt;mso-position-horizontal-relative:page;mso-position-vertical-relative:page;z-index:-26811904" type="#_x0000_t202" id="docshape501"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811392" type="#_x0000_t202" id="docshape502"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4</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34</w:t>
                </w:r>
                <w:r>
                  <w:rPr>
                    <w:spacing w:val="-5"/>
                    <w:w w:val="90"/>
                    <w:sz w:val="18"/>
                  </w:rPr>
                  <w:fldChar w:fldCharType="end"/>
                </w:r>
              </w:p>
            </w:txbxContent>
          </v:textbox>
          <w10:wrap type="non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810880" id="docshape503" filled="true" fillcolor="#000000" stroked="false">
          <v:fill type="solid"/>
          <w10:wrap type="none"/>
        </v:rect>
      </w:pict>
    </w:r>
    <w:r>
      <w:rPr/>
      <w:pict>
        <v:shape style="position:absolute;margin-left:71pt;margin-top:734.809998pt;width:178.95pt;height:21.95pt;mso-position-horizontal-relative:page;mso-position-vertical-relative:page;z-index:-26810368" type="#_x0000_t202" id="docshape504"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809856" type="#_x0000_t202" id="docshape505"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4</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35</w:t>
                </w:r>
                <w:r>
                  <w:rPr>
                    <w:spacing w:val="-5"/>
                    <w:w w:val="90"/>
                    <w:sz w:val="18"/>
                  </w:rPr>
                  <w:fldChar w:fldCharType="end"/>
                </w:r>
              </w:p>
            </w:txbxContent>
          </v:textbox>
          <w10:wrap type="non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809344" id="docshape506" filled="true" fillcolor="#000000" stroked="false">
          <v:fill type="solid"/>
          <w10:wrap type="none"/>
        </v:rect>
      </w:pict>
    </w:r>
    <w:r>
      <w:rPr/>
      <w:pict>
        <v:shape style="position:absolute;margin-left:71pt;margin-top:734.809998pt;width:178.95pt;height:21.95pt;mso-position-horizontal-relative:page;mso-position-vertical-relative:page;z-index:-26808832" type="#_x0000_t202" id="docshape507"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808320" type="#_x0000_t202" id="docshape508"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4</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36</w:t>
                </w:r>
                <w:r>
                  <w:rPr>
                    <w:spacing w:val="-5"/>
                    <w:w w:val="90"/>
                    <w:sz w:val="18"/>
                  </w:rPr>
                  <w:fldChar w:fldCharType="end"/>
                </w:r>
              </w:p>
            </w:txbxContent>
          </v:textbox>
          <w10:wrap type="non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807808" id="docshape509" filled="true" fillcolor="#000000" stroked="false">
          <v:fill type="solid"/>
          <w10:wrap type="none"/>
        </v:rect>
      </w:pict>
    </w:r>
    <w:r>
      <w:rPr/>
      <w:pict>
        <v:shape style="position:absolute;margin-left:71pt;margin-top:734.809998pt;width:178.95pt;height:21.95pt;mso-position-horizontal-relative:page;mso-position-vertical-relative:page;z-index:-26807296" type="#_x0000_t202" id="docshape510"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806784" type="#_x0000_t202" id="docshape511"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4</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37</w:t>
                </w:r>
                <w:r>
                  <w:rPr>
                    <w:spacing w:val="-5"/>
                    <w:w w:val="90"/>
                    <w:sz w:val="18"/>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7030016" id="docshape37" filled="true" fillcolor="#000000" stroked="false">
          <v:fill type="solid"/>
          <w10:wrap type="none"/>
        </v:rect>
      </w:pict>
    </w:r>
    <w:r>
      <w:rPr/>
      <w:pict>
        <v:shape style="position:absolute;margin-left:71pt;margin-top:734.809998pt;width:178.95pt;height:21.95pt;mso-position-horizontal-relative:page;mso-position-vertical-relative:page;z-index:-27029504" type="#_x0000_t202" id="docshape38"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7028992" type="#_x0000_t202" id="docshape39"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1</w:t>
                </w:r>
                <w:r>
                  <w:rPr>
                    <w:spacing w:val="-7"/>
                    <w:w w:val="90"/>
                    <w:sz w:val="18"/>
                  </w:rPr>
                  <w:t> </w:t>
                </w:r>
                <w:r>
                  <w:rPr>
                    <w:w w:val="90"/>
                    <w:sz w:val="18"/>
                  </w:rPr>
                  <w:t>-</w:t>
                </w:r>
                <w:r>
                  <w:rPr>
                    <w:spacing w:val="-7"/>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60</w:t>
                </w:r>
                <w:r>
                  <w:rPr>
                    <w:spacing w:val="-5"/>
                    <w:w w:val="90"/>
                    <w:sz w:val="18"/>
                  </w:rPr>
                  <w:fldChar w:fldCharType="end"/>
                </w:r>
              </w:p>
            </w:txbxContent>
          </v:textbox>
          <w10:wrap type="non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806272" id="docshape512" filled="true" fillcolor="#000000" stroked="false">
          <v:fill type="solid"/>
          <w10:wrap type="none"/>
        </v:rect>
      </w:pict>
    </w:r>
    <w:r>
      <w:rPr/>
      <w:pict>
        <v:shape style="position:absolute;margin-left:71pt;margin-top:734.809998pt;width:178.95pt;height:21.95pt;mso-position-horizontal-relative:page;mso-position-vertical-relative:page;z-index:-26805760" type="#_x0000_t202" id="docshape513"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805248" type="#_x0000_t202" id="docshape514"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4</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38</w:t>
                </w:r>
                <w:r>
                  <w:rPr>
                    <w:spacing w:val="-5"/>
                    <w:w w:val="90"/>
                    <w:sz w:val="18"/>
                  </w:rPr>
                  <w:fldChar w:fldCharType="end"/>
                </w:r>
              </w:p>
            </w:txbxContent>
          </v:textbox>
          <w10:wrap type="non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804736" id="docshape515" filled="true" fillcolor="#000000" stroked="false">
          <v:fill type="solid"/>
          <w10:wrap type="none"/>
        </v:rect>
      </w:pict>
    </w:r>
    <w:r>
      <w:rPr/>
      <w:pict>
        <v:shape style="position:absolute;margin-left:71pt;margin-top:734.809998pt;width:178.95pt;height:21.95pt;mso-position-horizontal-relative:page;mso-position-vertical-relative:page;z-index:-26804224" type="#_x0000_t202" id="docshape516"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803712" type="#_x0000_t202" id="docshape517"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4</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39</w:t>
                </w:r>
                <w:r>
                  <w:rPr>
                    <w:spacing w:val="-5"/>
                    <w:w w:val="90"/>
                    <w:sz w:val="18"/>
                  </w:rPr>
                  <w:fldChar w:fldCharType="end"/>
                </w:r>
              </w:p>
            </w:txbxContent>
          </v:textbox>
          <w10:wrap type="non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803200" id="docshape518" filled="true" fillcolor="#000000" stroked="false">
          <v:fill type="solid"/>
          <w10:wrap type="none"/>
        </v:rect>
      </w:pict>
    </w:r>
    <w:r>
      <w:rPr/>
      <w:pict>
        <v:shape style="position:absolute;margin-left:71pt;margin-top:734.809998pt;width:178.95pt;height:21.95pt;mso-position-horizontal-relative:page;mso-position-vertical-relative:page;z-index:-26802688" type="#_x0000_t202" id="docshape519"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802176" type="#_x0000_t202" id="docshape520"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4</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40</w:t>
                </w:r>
                <w:r>
                  <w:rPr>
                    <w:spacing w:val="-5"/>
                    <w:w w:val="90"/>
                    <w:sz w:val="18"/>
                  </w:rPr>
                  <w:fldChar w:fldCharType="end"/>
                </w:r>
              </w:p>
            </w:txbxContent>
          </v:textbox>
          <w10:wrap type="non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801664" id="docshape521" filled="true" fillcolor="#000000" stroked="false">
          <v:fill type="solid"/>
          <w10:wrap type="none"/>
        </v:rect>
      </w:pict>
    </w:r>
    <w:r>
      <w:rPr/>
      <w:pict>
        <v:shape style="position:absolute;margin-left:71pt;margin-top:734.809998pt;width:178.95pt;height:21.95pt;mso-position-horizontal-relative:page;mso-position-vertical-relative:page;z-index:-26801152" type="#_x0000_t202" id="docshape522"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800640" type="#_x0000_t202" id="docshape523"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4</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41</w:t>
                </w:r>
                <w:r>
                  <w:rPr>
                    <w:spacing w:val="-5"/>
                    <w:w w:val="90"/>
                    <w:sz w:val="18"/>
                  </w:rPr>
                  <w:fldChar w:fldCharType="end"/>
                </w:r>
              </w:p>
            </w:txbxContent>
          </v:textbox>
          <w10:wrap type="non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800128" id="docshape524" filled="true" fillcolor="#000000" stroked="false">
          <v:fill type="solid"/>
          <w10:wrap type="none"/>
        </v:rect>
      </w:pict>
    </w:r>
    <w:r>
      <w:rPr/>
      <w:pict>
        <v:shape style="position:absolute;margin-left:71pt;margin-top:734.809998pt;width:178.95pt;height:21.95pt;mso-position-horizontal-relative:page;mso-position-vertical-relative:page;z-index:-26799616" type="#_x0000_t202" id="docshape525"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799104" type="#_x0000_t202" id="docshape526"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4</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42</w:t>
                </w:r>
                <w:r>
                  <w:rPr>
                    <w:spacing w:val="-5"/>
                    <w:w w:val="90"/>
                    <w:sz w:val="18"/>
                  </w:rPr>
                  <w:fldChar w:fldCharType="end"/>
                </w:r>
              </w:p>
            </w:txbxContent>
          </v:textbox>
          <w10:wrap type="non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798592" id="docshape527" filled="true" fillcolor="#000000" stroked="false">
          <v:fill type="solid"/>
          <w10:wrap type="none"/>
        </v:rect>
      </w:pict>
    </w:r>
    <w:r>
      <w:rPr/>
      <w:pict>
        <v:shape style="position:absolute;margin-left:71pt;margin-top:734.809998pt;width:178.95pt;height:21.95pt;mso-position-horizontal-relative:page;mso-position-vertical-relative:page;z-index:-26798080" type="#_x0000_t202" id="docshape528"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797568" type="#_x0000_t202" id="docshape529"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4</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43</w:t>
                </w:r>
                <w:r>
                  <w:rPr>
                    <w:spacing w:val="-5"/>
                    <w:w w:val="90"/>
                    <w:sz w:val="18"/>
                  </w:rPr>
                  <w:fldChar w:fldCharType="end"/>
                </w:r>
              </w:p>
            </w:txbxContent>
          </v:textbox>
          <w10:wrap type="non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797056" id="docshape530" filled="true" fillcolor="#000000" stroked="false">
          <v:fill type="solid"/>
          <w10:wrap type="none"/>
        </v:rect>
      </w:pict>
    </w:r>
    <w:r>
      <w:rPr/>
      <w:pict>
        <v:shape style="position:absolute;margin-left:71pt;margin-top:734.809998pt;width:178.95pt;height:21.95pt;mso-position-horizontal-relative:page;mso-position-vertical-relative:page;z-index:-26796544" type="#_x0000_t202" id="docshape531"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796032" type="#_x0000_t202" id="docshape532"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4</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44</w:t>
                </w:r>
                <w:r>
                  <w:rPr>
                    <w:spacing w:val="-5"/>
                    <w:w w:val="90"/>
                    <w:sz w:val="18"/>
                  </w:rPr>
                  <w:fldChar w:fldCharType="end"/>
                </w:r>
              </w:p>
            </w:txbxContent>
          </v:textbox>
          <w10:wrap type="non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795520" id="docshape533" filled="true" fillcolor="#000000" stroked="false">
          <v:fill type="solid"/>
          <w10:wrap type="none"/>
        </v:rect>
      </w:pict>
    </w:r>
    <w:r>
      <w:rPr/>
      <w:pict>
        <v:shape style="position:absolute;margin-left:71pt;margin-top:734.809998pt;width:178.95pt;height:21.95pt;mso-position-horizontal-relative:page;mso-position-vertical-relative:page;z-index:-26795008" type="#_x0000_t202" id="docshape534"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794496" type="#_x0000_t202" id="docshape535"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4</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45</w:t>
                </w:r>
                <w:r>
                  <w:rPr>
                    <w:spacing w:val="-5"/>
                    <w:w w:val="90"/>
                    <w:sz w:val="18"/>
                  </w:rPr>
                  <w:fldChar w:fldCharType="end"/>
                </w:r>
              </w:p>
            </w:txbxContent>
          </v:textbox>
          <w10:wrap type="non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793984" id="docshape536" filled="true" fillcolor="#000000" stroked="false">
          <v:fill type="solid"/>
          <w10:wrap type="none"/>
        </v:rect>
      </w:pict>
    </w:r>
    <w:r>
      <w:rPr/>
      <w:pict>
        <v:shape style="position:absolute;margin-left:71pt;margin-top:734.809998pt;width:178.95pt;height:21.95pt;mso-position-horizontal-relative:page;mso-position-vertical-relative:page;z-index:-26793472" type="#_x0000_t202" id="docshape537"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792960" type="#_x0000_t202" id="docshape538"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4</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46</w:t>
                </w:r>
                <w:r>
                  <w:rPr>
                    <w:spacing w:val="-5"/>
                    <w:w w:val="90"/>
                    <w:sz w:val="18"/>
                  </w:rPr>
                  <w:fldChar w:fldCharType="end"/>
                </w:r>
              </w:p>
            </w:txbxContent>
          </v:textbox>
          <w10:wrap type="non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792448" id="docshape539" filled="true" fillcolor="#000000" stroked="false">
          <v:fill type="solid"/>
          <w10:wrap type="none"/>
        </v:rect>
      </w:pict>
    </w:r>
    <w:r>
      <w:rPr/>
      <w:pict>
        <v:shape style="position:absolute;margin-left:71pt;margin-top:734.809998pt;width:178.95pt;height:21.95pt;mso-position-horizontal-relative:page;mso-position-vertical-relative:page;z-index:-26791936" type="#_x0000_t202" id="docshape540"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791424" type="#_x0000_t202" id="docshape541"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4</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47</w:t>
                </w:r>
                <w:r>
                  <w:rPr>
                    <w:spacing w:val="-5"/>
                    <w:w w:val="90"/>
                    <w:sz w:val="18"/>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7028480" id="docshape40" filled="true" fillcolor="#000000" stroked="false">
          <v:fill type="solid"/>
          <w10:wrap type="none"/>
        </v:rect>
      </w:pict>
    </w:r>
    <w:r>
      <w:rPr/>
      <w:pict>
        <v:shape style="position:absolute;margin-left:71pt;margin-top:734.809998pt;width:178.95pt;height:21.95pt;mso-position-horizontal-relative:page;mso-position-vertical-relative:page;z-index:-27027968" type="#_x0000_t202" id="docshape41"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7027456" type="#_x0000_t202" id="docshape42"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1</w:t>
                </w:r>
                <w:r>
                  <w:rPr>
                    <w:spacing w:val="-7"/>
                    <w:w w:val="90"/>
                    <w:sz w:val="18"/>
                  </w:rPr>
                  <w:t> </w:t>
                </w:r>
                <w:r>
                  <w:rPr>
                    <w:w w:val="90"/>
                    <w:sz w:val="18"/>
                  </w:rPr>
                  <w:t>-</w:t>
                </w:r>
                <w:r>
                  <w:rPr>
                    <w:spacing w:val="-7"/>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61</w:t>
                </w:r>
                <w:r>
                  <w:rPr>
                    <w:spacing w:val="-5"/>
                    <w:w w:val="90"/>
                    <w:sz w:val="18"/>
                  </w:rPr>
                  <w:fldChar w:fldCharType="end"/>
                </w:r>
              </w:p>
            </w:txbxContent>
          </v:textbox>
          <w10:wrap type="non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790912" id="docshape542" filled="true" fillcolor="#000000" stroked="false">
          <v:fill type="solid"/>
          <w10:wrap type="none"/>
        </v:rect>
      </w:pict>
    </w:r>
    <w:r>
      <w:rPr/>
      <w:pict>
        <v:shape style="position:absolute;margin-left:71pt;margin-top:734.809998pt;width:178.95pt;height:21.95pt;mso-position-horizontal-relative:page;mso-position-vertical-relative:page;z-index:-26790400" type="#_x0000_t202" id="docshape543"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789888" type="#_x0000_t202" id="docshape544"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4</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48</w:t>
                </w:r>
                <w:r>
                  <w:rPr>
                    <w:spacing w:val="-5"/>
                    <w:w w:val="90"/>
                    <w:sz w:val="18"/>
                  </w:rPr>
                  <w:fldChar w:fldCharType="end"/>
                </w:r>
              </w:p>
            </w:txbxContent>
          </v:textbox>
          <w10:wrap type="non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789376" id="docshape545" filled="true" fillcolor="#000000" stroked="false">
          <v:fill type="solid"/>
          <w10:wrap type="none"/>
        </v:rect>
      </w:pict>
    </w:r>
    <w:r>
      <w:rPr/>
      <w:pict>
        <v:shape style="position:absolute;margin-left:71pt;margin-top:734.809998pt;width:178.95pt;height:21.95pt;mso-position-horizontal-relative:page;mso-position-vertical-relative:page;z-index:-26788864" type="#_x0000_t202" id="docshape546"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788352" type="#_x0000_t202" id="docshape547"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4</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49</w:t>
                </w:r>
                <w:r>
                  <w:rPr>
                    <w:spacing w:val="-5"/>
                    <w:w w:val="90"/>
                    <w:sz w:val="18"/>
                  </w:rPr>
                  <w:fldChar w:fldCharType="end"/>
                </w:r>
              </w:p>
            </w:txbxContent>
          </v:textbox>
          <w10:wrap type="non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787840" id="docshape548" filled="true" fillcolor="#000000" stroked="false">
          <v:fill type="solid"/>
          <w10:wrap type="none"/>
        </v:rect>
      </w:pict>
    </w:r>
    <w:r>
      <w:rPr/>
      <w:pict>
        <v:shape style="position:absolute;margin-left:71pt;margin-top:734.809998pt;width:178.95pt;height:21.95pt;mso-position-horizontal-relative:page;mso-position-vertical-relative:page;z-index:-26787328" type="#_x0000_t202" id="docshape549"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786816" type="#_x0000_t202" id="docshape550"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4</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50</w:t>
                </w:r>
                <w:r>
                  <w:rPr>
                    <w:spacing w:val="-5"/>
                    <w:w w:val="90"/>
                    <w:sz w:val="18"/>
                  </w:rPr>
                  <w:fldChar w:fldCharType="end"/>
                </w:r>
              </w:p>
            </w:txbxContent>
          </v:textbox>
          <w10:wrap type="non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743.599976pt;width:263.25pt;height:13.05pt;mso-position-horizontal-relative:page;mso-position-vertical-relative:page;z-index:-26786304" type="#_x0000_t202" id="docshape551" filled="false" stroked="false">
          <v:textbox inset="0,0,0,0">
            <w:txbxContent>
              <w:p>
                <w:pPr>
                  <w:spacing w:line="232" w:lineRule="exact" w:before="0"/>
                  <w:ind w:left="20" w:right="0" w:firstLine="0"/>
                  <w:jc w:val="left"/>
                  <w:rPr>
                    <w:sz w:val="22"/>
                  </w:rPr>
                </w:pPr>
                <w:r>
                  <w:rPr>
                    <w:w w:val="90"/>
                    <w:sz w:val="22"/>
                  </w:rPr>
                  <w:t>Department</w:t>
                </w:r>
                <w:r>
                  <w:rPr>
                    <w:spacing w:val="17"/>
                    <w:sz w:val="22"/>
                  </w:rPr>
                  <w:t> </w:t>
                </w:r>
                <w:r>
                  <w:rPr>
                    <w:w w:val="90"/>
                    <w:sz w:val="22"/>
                  </w:rPr>
                  <w:t>of</w:t>
                </w:r>
                <w:r>
                  <w:rPr>
                    <w:spacing w:val="12"/>
                    <w:sz w:val="22"/>
                  </w:rPr>
                  <w:t> </w:t>
                </w:r>
                <w:r>
                  <w:rPr>
                    <w:w w:val="90"/>
                    <w:sz w:val="22"/>
                  </w:rPr>
                  <w:t>Architecture</w:t>
                </w:r>
                <w:r>
                  <w:rPr>
                    <w:spacing w:val="18"/>
                    <w:sz w:val="22"/>
                  </w:rPr>
                  <w:t> </w:t>
                </w:r>
                <w:r>
                  <w:rPr>
                    <w:w w:val="90"/>
                    <w:sz w:val="22"/>
                  </w:rPr>
                  <w:t>Student</w:t>
                </w:r>
                <w:r>
                  <w:rPr>
                    <w:spacing w:val="17"/>
                    <w:sz w:val="22"/>
                  </w:rPr>
                  <w:t> </w:t>
                </w:r>
                <w:r>
                  <w:rPr>
                    <w:w w:val="90"/>
                    <w:sz w:val="22"/>
                  </w:rPr>
                  <w:t>Handbook</w:t>
                </w:r>
                <w:r>
                  <w:rPr>
                    <w:spacing w:val="14"/>
                    <w:sz w:val="22"/>
                  </w:rPr>
                  <w:t> </w:t>
                </w:r>
                <w:r>
                  <w:rPr>
                    <w:w w:val="90"/>
                    <w:sz w:val="22"/>
                  </w:rPr>
                  <w:t>2014-</w:t>
                </w:r>
                <w:r>
                  <w:rPr>
                    <w:spacing w:val="-4"/>
                    <w:w w:val="90"/>
                    <w:sz w:val="22"/>
                  </w:rPr>
                  <w:t>2015</w:t>
                </w:r>
              </w:p>
            </w:txbxContent>
          </v:textbox>
          <w10:wrap type="none"/>
        </v:shape>
      </w:pict>
    </w:r>
    <w:r>
      <w:rPr/>
      <w:pict>
        <v:shape style="position:absolute;margin-left:496.161438pt;margin-top:743.599976pt;width:48pt;height:13.05pt;mso-position-horizontal-relative:page;mso-position-vertical-relative:page;z-index:-26785792" type="#_x0000_t202" id="docshape552" filled="false" stroked="false">
          <v:textbox inset="0,0,0,0">
            <w:txbxContent>
              <w:p>
                <w:pPr>
                  <w:spacing w:line="232" w:lineRule="exact" w:before="0"/>
                  <w:ind w:left="20" w:right="0" w:firstLine="0"/>
                  <w:jc w:val="left"/>
                  <w:rPr>
                    <w:sz w:val="22"/>
                  </w:rPr>
                </w:pPr>
                <w:r>
                  <w:rPr>
                    <w:w w:val="90"/>
                    <w:sz w:val="22"/>
                  </w:rPr>
                  <w:t>Page</w:t>
                </w:r>
                <w:r>
                  <w:rPr>
                    <w:spacing w:val="-3"/>
                    <w:sz w:val="22"/>
                  </w:rPr>
                  <w:t> </w:t>
                </w:r>
                <w:r>
                  <w:rPr>
                    <w:w w:val="90"/>
                    <w:sz w:val="22"/>
                  </w:rPr>
                  <w:t>|</w:t>
                </w:r>
                <w:r>
                  <w:rPr>
                    <w:spacing w:val="-5"/>
                    <w:sz w:val="22"/>
                  </w:rPr>
                  <w:t> </w:t>
                </w:r>
                <w:r>
                  <w:rPr>
                    <w:spacing w:val="-5"/>
                    <w:w w:val="90"/>
                    <w:sz w:val="22"/>
                  </w:rPr>
                  <w:fldChar w:fldCharType="begin"/>
                </w:r>
                <w:r>
                  <w:rPr>
                    <w:spacing w:val="-5"/>
                    <w:w w:val="90"/>
                    <w:sz w:val="22"/>
                  </w:rPr>
                  <w:instrText> PAGE </w:instrText>
                </w:r>
                <w:r>
                  <w:rPr>
                    <w:spacing w:val="-5"/>
                    <w:w w:val="90"/>
                    <w:sz w:val="22"/>
                  </w:rPr>
                  <w:fldChar w:fldCharType="separate"/>
                </w:r>
                <w:r>
                  <w:rPr>
                    <w:spacing w:val="-5"/>
                    <w:w w:val="90"/>
                    <w:sz w:val="22"/>
                  </w:rPr>
                  <w:t>10</w:t>
                </w:r>
                <w:r>
                  <w:rPr>
                    <w:spacing w:val="-5"/>
                    <w:w w:val="90"/>
                    <w:sz w:val="22"/>
                  </w:rPr>
                  <w:fldChar w:fldCharType="end"/>
                </w:r>
              </w:p>
            </w:txbxContent>
          </v:textbox>
          <w10:wrap type="non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743.5755pt;width:263.25pt;height:13.05pt;mso-position-horizontal-relative:page;mso-position-vertical-relative:page;z-index:-26785280" type="#_x0000_t202" id="docshape553" filled="false" stroked="false">
          <v:textbox inset="0,0,0,0">
            <w:txbxContent>
              <w:p>
                <w:pPr>
                  <w:spacing w:line="232" w:lineRule="exact" w:before="0"/>
                  <w:ind w:left="20" w:right="0" w:firstLine="0"/>
                  <w:jc w:val="left"/>
                  <w:rPr>
                    <w:sz w:val="22"/>
                  </w:rPr>
                </w:pPr>
                <w:r>
                  <w:rPr>
                    <w:w w:val="90"/>
                    <w:sz w:val="22"/>
                  </w:rPr>
                  <w:t>Department</w:t>
                </w:r>
                <w:r>
                  <w:rPr>
                    <w:spacing w:val="17"/>
                    <w:sz w:val="22"/>
                  </w:rPr>
                  <w:t> </w:t>
                </w:r>
                <w:r>
                  <w:rPr>
                    <w:w w:val="90"/>
                    <w:sz w:val="22"/>
                  </w:rPr>
                  <w:t>of</w:t>
                </w:r>
                <w:r>
                  <w:rPr>
                    <w:spacing w:val="12"/>
                    <w:sz w:val="22"/>
                  </w:rPr>
                  <w:t> </w:t>
                </w:r>
                <w:r>
                  <w:rPr>
                    <w:w w:val="90"/>
                    <w:sz w:val="22"/>
                  </w:rPr>
                  <w:t>Architecture</w:t>
                </w:r>
                <w:r>
                  <w:rPr>
                    <w:spacing w:val="18"/>
                    <w:sz w:val="22"/>
                  </w:rPr>
                  <w:t> </w:t>
                </w:r>
                <w:r>
                  <w:rPr>
                    <w:w w:val="90"/>
                    <w:sz w:val="22"/>
                  </w:rPr>
                  <w:t>Student</w:t>
                </w:r>
                <w:r>
                  <w:rPr>
                    <w:spacing w:val="17"/>
                    <w:sz w:val="22"/>
                  </w:rPr>
                  <w:t> </w:t>
                </w:r>
                <w:r>
                  <w:rPr>
                    <w:w w:val="90"/>
                    <w:sz w:val="22"/>
                  </w:rPr>
                  <w:t>Handbook</w:t>
                </w:r>
                <w:r>
                  <w:rPr>
                    <w:spacing w:val="14"/>
                    <w:sz w:val="22"/>
                  </w:rPr>
                  <w:t> </w:t>
                </w:r>
                <w:r>
                  <w:rPr>
                    <w:w w:val="90"/>
                    <w:sz w:val="22"/>
                  </w:rPr>
                  <w:t>2014-</w:t>
                </w:r>
                <w:r>
                  <w:rPr>
                    <w:spacing w:val="-4"/>
                    <w:w w:val="90"/>
                    <w:sz w:val="22"/>
                  </w:rPr>
                  <w:t>2015</w:t>
                </w:r>
              </w:p>
            </w:txbxContent>
          </v:textbox>
          <w10:wrap type="none"/>
        </v:shape>
      </w:pict>
    </w:r>
    <w:r>
      <w:rPr/>
      <w:pict>
        <v:shape style="position:absolute;margin-left:501.681427pt;margin-top:743.5755pt;width:42.3pt;height:13.05pt;mso-position-horizontal-relative:page;mso-position-vertical-relative:page;z-index:-26784768" type="#_x0000_t202" id="docshape554" filled="false" stroked="false">
          <v:textbox inset="0,0,0,0">
            <w:txbxContent>
              <w:p>
                <w:pPr>
                  <w:spacing w:line="232" w:lineRule="exact" w:before="0"/>
                  <w:ind w:left="20" w:right="0" w:firstLine="0"/>
                  <w:jc w:val="left"/>
                  <w:rPr>
                    <w:sz w:val="22"/>
                  </w:rPr>
                </w:pPr>
                <w:r>
                  <w:rPr>
                    <w:w w:val="90"/>
                    <w:sz w:val="22"/>
                  </w:rPr>
                  <w:t>Page</w:t>
                </w:r>
                <w:r>
                  <w:rPr>
                    <w:spacing w:val="-3"/>
                    <w:sz w:val="22"/>
                  </w:rPr>
                  <w:t> </w:t>
                </w:r>
                <w:r>
                  <w:rPr>
                    <w:w w:val="90"/>
                    <w:sz w:val="22"/>
                  </w:rPr>
                  <w:t>|</w:t>
                </w:r>
                <w:r>
                  <w:rPr>
                    <w:spacing w:val="-5"/>
                    <w:sz w:val="22"/>
                  </w:rPr>
                  <w:t> </w:t>
                </w:r>
                <w:r>
                  <w:rPr>
                    <w:spacing w:val="-10"/>
                    <w:w w:val="90"/>
                    <w:sz w:val="22"/>
                  </w:rPr>
                  <w:fldChar w:fldCharType="begin"/>
                </w:r>
                <w:r>
                  <w:rPr>
                    <w:spacing w:val="-10"/>
                    <w:w w:val="90"/>
                    <w:sz w:val="22"/>
                  </w:rPr>
                  <w:instrText> PAGE </w:instrText>
                </w:r>
                <w:r>
                  <w:rPr>
                    <w:spacing w:val="-10"/>
                    <w:w w:val="90"/>
                    <w:sz w:val="22"/>
                  </w:rPr>
                  <w:fldChar w:fldCharType="separate"/>
                </w:r>
                <w:r>
                  <w:rPr>
                    <w:spacing w:val="-10"/>
                    <w:w w:val="90"/>
                    <w:sz w:val="22"/>
                  </w:rPr>
                  <w:t>2</w:t>
                </w:r>
                <w:r>
                  <w:rPr>
                    <w:spacing w:val="-10"/>
                    <w:w w:val="90"/>
                    <w:sz w:val="22"/>
                  </w:rPr>
                  <w:fldChar w:fldCharType="end"/>
                </w:r>
              </w:p>
            </w:txbxContent>
          </v:textbox>
          <w10:wrap type="non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033119pt;margin-top:743.571655pt;width:263.25pt;height:13.05pt;mso-position-horizontal-relative:page;mso-position-vertical-relative:page;z-index:-26784256" type="#_x0000_t202" id="docshape556" filled="false" stroked="false">
          <v:textbox inset="0,0,0,0">
            <w:txbxContent>
              <w:p>
                <w:pPr>
                  <w:spacing w:line="232" w:lineRule="exact" w:before="0"/>
                  <w:ind w:left="20" w:right="0" w:firstLine="0"/>
                  <w:jc w:val="left"/>
                  <w:rPr>
                    <w:sz w:val="22"/>
                  </w:rPr>
                </w:pPr>
                <w:r>
                  <w:rPr>
                    <w:w w:val="90"/>
                    <w:sz w:val="22"/>
                  </w:rPr>
                  <w:t>Department</w:t>
                </w:r>
                <w:r>
                  <w:rPr>
                    <w:spacing w:val="17"/>
                    <w:sz w:val="22"/>
                  </w:rPr>
                  <w:t> </w:t>
                </w:r>
                <w:r>
                  <w:rPr>
                    <w:w w:val="90"/>
                    <w:sz w:val="22"/>
                  </w:rPr>
                  <w:t>of</w:t>
                </w:r>
                <w:r>
                  <w:rPr>
                    <w:spacing w:val="12"/>
                    <w:sz w:val="22"/>
                  </w:rPr>
                  <w:t> </w:t>
                </w:r>
                <w:r>
                  <w:rPr>
                    <w:w w:val="90"/>
                    <w:sz w:val="22"/>
                  </w:rPr>
                  <w:t>Architecture</w:t>
                </w:r>
                <w:r>
                  <w:rPr>
                    <w:spacing w:val="18"/>
                    <w:sz w:val="22"/>
                  </w:rPr>
                  <w:t> </w:t>
                </w:r>
                <w:r>
                  <w:rPr>
                    <w:w w:val="90"/>
                    <w:sz w:val="22"/>
                  </w:rPr>
                  <w:t>Student</w:t>
                </w:r>
                <w:r>
                  <w:rPr>
                    <w:spacing w:val="17"/>
                    <w:sz w:val="22"/>
                  </w:rPr>
                  <w:t> </w:t>
                </w:r>
                <w:r>
                  <w:rPr>
                    <w:w w:val="90"/>
                    <w:sz w:val="22"/>
                  </w:rPr>
                  <w:t>Handbook</w:t>
                </w:r>
                <w:r>
                  <w:rPr>
                    <w:spacing w:val="14"/>
                    <w:sz w:val="22"/>
                  </w:rPr>
                  <w:t> </w:t>
                </w:r>
                <w:r>
                  <w:rPr>
                    <w:w w:val="90"/>
                    <w:sz w:val="22"/>
                  </w:rPr>
                  <w:t>2014-</w:t>
                </w:r>
                <w:r>
                  <w:rPr>
                    <w:spacing w:val="-4"/>
                    <w:w w:val="90"/>
                    <w:sz w:val="22"/>
                  </w:rPr>
                  <w:t>2015</w:t>
                </w:r>
              </w:p>
            </w:txbxContent>
          </v:textbox>
          <w10:wrap type="none"/>
        </v:shape>
      </w:pict>
    </w:r>
    <w:r>
      <w:rPr/>
      <w:pict>
        <v:shape style="position:absolute;margin-left:501.714569pt;margin-top:743.571655pt;width:42.3pt;height:13.05pt;mso-position-horizontal-relative:page;mso-position-vertical-relative:page;z-index:-26783744" type="#_x0000_t202" id="docshape557" filled="false" stroked="false">
          <v:textbox inset="0,0,0,0">
            <w:txbxContent>
              <w:p>
                <w:pPr>
                  <w:spacing w:line="232" w:lineRule="exact" w:before="0"/>
                  <w:ind w:left="20" w:right="0" w:firstLine="0"/>
                  <w:jc w:val="left"/>
                  <w:rPr>
                    <w:sz w:val="22"/>
                  </w:rPr>
                </w:pPr>
                <w:r>
                  <w:rPr>
                    <w:w w:val="90"/>
                    <w:sz w:val="22"/>
                  </w:rPr>
                  <w:t>Page</w:t>
                </w:r>
                <w:r>
                  <w:rPr>
                    <w:spacing w:val="-3"/>
                    <w:sz w:val="22"/>
                  </w:rPr>
                  <w:t> </w:t>
                </w:r>
                <w:r>
                  <w:rPr>
                    <w:w w:val="90"/>
                    <w:sz w:val="22"/>
                  </w:rPr>
                  <w:t>|</w:t>
                </w:r>
                <w:r>
                  <w:rPr>
                    <w:spacing w:val="-5"/>
                    <w:sz w:val="22"/>
                  </w:rPr>
                  <w:t> </w:t>
                </w:r>
                <w:r>
                  <w:rPr>
                    <w:spacing w:val="-10"/>
                    <w:w w:val="90"/>
                    <w:sz w:val="22"/>
                  </w:rPr>
                  <w:fldChar w:fldCharType="begin"/>
                </w:r>
                <w:r>
                  <w:rPr>
                    <w:spacing w:val="-10"/>
                    <w:w w:val="90"/>
                    <w:sz w:val="22"/>
                  </w:rPr>
                  <w:instrText> PAGE </w:instrText>
                </w:r>
                <w:r>
                  <w:rPr>
                    <w:spacing w:val="-10"/>
                    <w:w w:val="90"/>
                    <w:sz w:val="22"/>
                  </w:rPr>
                  <w:fldChar w:fldCharType="separate"/>
                </w:r>
                <w:r>
                  <w:rPr>
                    <w:spacing w:val="-10"/>
                    <w:w w:val="90"/>
                    <w:sz w:val="22"/>
                  </w:rPr>
                  <w:t>3</w:t>
                </w:r>
                <w:r>
                  <w:rPr>
                    <w:spacing w:val="-10"/>
                    <w:w w:val="90"/>
                    <w:sz w:val="22"/>
                  </w:rPr>
                  <w:fldChar w:fldCharType="end"/>
                </w:r>
              </w:p>
            </w:txbxContent>
          </v:textbox>
          <w10:wrap type="non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743.586548pt;width:263.25pt;height:13.05pt;mso-position-horizontal-relative:page;mso-position-vertical-relative:page;z-index:-26783232" type="#_x0000_t202" id="docshape559" filled="false" stroked="false">
          <v:textbox inset="0,0,0,0">
            <w:txbxContent>
              <w:p>
                <w:pPr>
                  <w:spacing w:line="232" w:lineRule="exact" w:before="0"/>
                  <w:ind w:left="20" w:right="0" w:firstLine="0"/>
                  <w:jc w:val="left"/>
                  <w:rPr>
                    <w:sz w:val="22"/>
                  </w:rPr>
                </w:pPr>
                <w:r>
                  <w:rPr>
                    <w:w w:val="90"/>
                    <w:sz w:val="22"/>
                  </w:rPr>
                  <w:t>Department</w:t>
                </w:r>
                <w:r>
                  <w:rPr>
                    <w:spacing w:val="17"/>
                    <w:sz w:val="22"/>
                  </w:rPr>
                  <w:t> </w:t>
                </w:r>
                <w:r>
                  <w:rPr>
                    <w:w w:val="90"/>
                    <w:sz w:val="22"/>
                  </w:rPr>
                  <w:t>of</w:t>
                </w:r>
                <w:r>
                  <w:rPr>
                    <w:spacing w:val="12"/>
                    <w:sz w:val="22"/>
                  </w:rPr>
                  <w:t> </w:t>
                </w:r>
                <w:r>
                  <w:rPr>
                    <w:w w:val="90"/>
                    <w:sz w:val="22"/>
                  </w:rPr>
                  <w:t>Architecture</w:t>
                </w:r>
                <w:r>
                  <w:rPr>
                    <w:spacing w:val="18"/>
                    <w:sz w:val="22"/>
                  </w:rPr>
                  <w:t> </w:t>
                </w:r>
                <w:r>
                  <w:rPr>
                    <w:w w:val="90"/>
                    <w:sz w:val="22"/>
                  </w:rPr>
                  <w:t>Student</w:t>
                </w:r>
                <w:r>
                  <w:rPr>
                    <w:spacing w:val="17"/>
                    <w:sz w:val="22"/>
                  </w:rPr>
                  <w:t> </w:t>
                </w:r>
                <w:r>
                  <w:rPr>
                    <w:w w:val="90"/>
                    <w:sz w:val="22"/>
                  </w:rPr>
                  <w:t>Handbook</w:t>
                </w:r>
                <w:r>
                  <w:rPr>
                    <w:spacing w:val="14"/>
                    <w:sz w:val="22"/>
                  </w:rPr>
                  <w:t> </w:t>
                </w:r>
                <w:r>
                  <w:rPr>
                    <w:w w:val="90"/>
                    <w:sz w:val="22"/>
                  </w:rPr>
                  <w:t>2014-</w:t>
                </w:r>
                <w:r>
                  <w:rPr>
                    <w:spacing w:val="-4"/>
                    <w:w w:val="90"/>
                    <w:sz w:val="22"/>
                  </w:rPr>
                  <w:t>2015</w:t>
                </w:r>
              </w:p>
            </w:txbxContent>
          </v:textbox>
          <w10:wrap type="none"/>
        </v:shape>
      </w:pict>
    </w:r>
    <w:r>
      <w:rPr/>
      <w:pict>
        <v:shape style="position:absolute;margin-left:501.681427pt;margin-top:743.586548pt;width:42.3pt;height:13.05pt;mso-position-horizontal-relative:page;mso-position-vertical-relative:page;z-index:-26782720" type="#_x0000_t202" id="docshape560" filled="false" stroked="false">
          <v:textbox inset="0,0,0,0">
            <w:txbxContent>
              <w:p>
                <w:pPr>
                  <w:spacing w:line="232" w:lineRule="exact" w:before="0"/>
                  <w:ind w:left="20" w:right="0" w:firstLine="0"/>
                  <w:jc w:val="left"/>
                  <w:rPr>
                    <w:sz w:val="22"/>
                  </w:rPr>
                </w:pPr>
                <w:r>
                  <w:rPr>
                    <w:w w:val="90"/>
                    <w:sz w:val="22"/>
                  </w:rPr>
                  <w:t>Page</w:t>
                </w:r>
                <w:r>
                  <w:rPr>
                    <w:spacing w:val="-3"/>
                    <w:sz w:val="22"/>
                  </w:rPr>
                  <w:t> </w:t>
                </w:r>
                <w:r>
                  <w:rPr>
                    <w:w w:val="90"/>
                    <w:sz w:val="22"/>
                  </w:rPr>
                  <w:t>|</w:t>
                </w:r>
                <w:r>
                  <w:rPr>
                    <w:spacing w:val="-5"/>
                    <w:sz w:val="22"/>
                  </w:rPr>
                  <w:t> </w:t>
                </w:r>
                <w:r>
                  <w:rPr>
                    <w:spacing w:val="-10"/>
                    <w:w w:val="90"/>
                    <w:sz w:val="22"/>
                  </w:rPr>
                  <w:fldChar w:fldCharType="begin"/>
                </w:r>
                <w:r>
                  <w:rPr>
                    <w:spacing w:val="-10"/>
                    <w:w w:val="90"/>
                    <w:sz w:val="22"/>
                  </w:rPr>
                  <w:instrText> PAGE </w:instrText>
                </w:r>
                <w:r>
                  <w:rPr>
                    <w:spacing w:val="-10"/>
                    <w:w w:val="90"/>
                    <w:sz w:val="22"/>
                  </w:rPr>
                  <w:fldChar w:fldCharType="separate"/>
                </w:r>
                <w:r>
                  <w:rPr>
                    <w:spacing w:val="-10"/>
                    <w:w w:val="90"/>
                    <w:sz w:val="22"/>
                  </w:rPr>
                  <w:t>4</w:t>
                </w:r>
                <w:r>
                  <w:rPr>
                    <w:spacing w:val="-10"/>
                    <w:w w:val="90"/>
                    <w:sz w:val="22"/>
                  </w:rPr>
                  <w:fldChar w:fldCharType="end"/>
                </w:r>
              </w:p>
            </w:txbxContent>
          </v:textbox>
          <w10:wrap type="non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033119pt;margin-top:743.579346pt;width:263.25pt;height:13.05pt;mso-position-horizontal-relative:page;mso-position-vertical-relative:page;z-index:-26782208" type="#_x0000_t202" id="docshape561" filled="false" stroked="false">
          <v:textbox inset="0,0,0,0">
            <w:txbxContent>
              <w:p>
                <w:pPr>
                  <w:spacing w:line="232" w:lineRule="exact" w:before="0"/>
                  <w:ind w:left="20" w:right="0" w:firstLine="0"/>
                  <w:jc w:val="left"/>
                  <w:rPr>
                    <w:sz w:val="22"/>
                  </w:rPr>
                </w:pPr>
                <w:r>
                  <w:rPr>
                    <w:w w:val="90"/>
                    <w:sz w:val="22"/>
                  </w:rPr>
                  <w:t>Department</w:t>
                </w:r>
                <w:r>
                  <w:rPr>
                    <w:spacing w:val="17"/>
                    <w:sz w:val="22"/>
                  </w:rPr>
                  <w:t> </w:t>
                </w:r>
                <w:r>
                  <w:rPr>
                    <w:w w:val="90"/>
                    <w:sz w:val="22"/>
                  </w:rPr>
                  <w:t>of</w:t>
                </w:r>
                <w:r>
                  <w:rPr>
                    <w:spacing w:val="12"/>
                    <w:sz w:val="22"/>
                  </w:rPr>
                  <w:t> </w:t>
                </w:r>
                <w:r>
                  <w:rPr>
                    <w:w w:val="90"/>
                    <w:sz w:val="22"/>
                  </w:rPr>
                  <w:t>Architecture</w:t>
                </w:r>
                <w:r>
                  <w:rPr>
                    <w:spacing w:val="18"/>
                    <w:sz w:val="22"/>
                  </w:rPr>
                  <w:t> </w:t>
                </w:r>
                <w:r>
                  <w:rPr>
                    <w:w w:val="90"/>
                    <w:sz w:val="22"/>
                  </w:rPr>
                  <w:t>Student</w:t>
                </w:r>
                <w:r>
                  <w:rPr>
                    <w:spacing w:val="17"/>
                    <w:sz w:val="22"/>
                  </w:rPr>
                  <w:t> </w:t>
                </w:r>
                <w:r>
                  <w:rPr>
                    <w:w w:val="90"/>
                    <w:sz w:val="22"/>
                  </w:rPr>
                  <w:t>Handbook</w:t>
                </w:r>
                <w:r>
                  <w:rPr>
                    <w:spacing w:val="14"/>
                    <w:sz w:val="22"/>
                  </w:rPr>
                  <w:t> </w:t>
                </w:r>
                <w:r>
                  <w:rPr>
                    <w:w w:val="90"/>
                    <w:sz w:val="22"/>
                  </w:rPr>
                  <w:t>2014-</w:t>
                </w:r>
                <w:r>
                  <w:rPr>
                    <w:spacing w:val="-4"/>
                    <w:w w:val="90"/>
                    <w:sz w:val="22"/>
                  </w:rPr>
                  <w:t>2015</w:t>
                </w:r>
              </w:p>
            </w:txbxContent>
          </v:textbox>
          <w10:wrap type="none"/>
        </v:shape>
      </w:pict>
    </w:r>
    <w:r>
      <w:rPr/>
      <w:pict>
        <v:shape style="position:absolute;margin-left:501.714569pt;margin-top:743.579346pt;width:42.3pt;height:13.05pt;mso-position-horizontal-relative:page;mso-position-vertical-relative:page;z-index:-26781696" type="#_x0000_t202" id="docshape562" filled="false" stroked="false">
          <v:textbox inset="0,0,0,0">
            <w:txbxContent>
              <w:p>
                <w:pPr>
                  <w:spacing w:line="232" w:lineRule="exact" w:before="0"/>
                  <w:ind w:left="20" w:right="0" w:firstLine="0"/>
                  <w:jc w:val="left"/>
                  <w:rPr>
                    <w:sz w:val="22"/>
                  </w:rPr>
                </w:pPr>
                <w:r>
                  <w:rPr>
                    <w:w w:val="90"/>
                    <w:sz w:val="22"/>
                  </w:rPr>
                  <w:t>Page</w:t>
                </w:r>
                <w:r>
                  <w:rPr>
                    <w:spacing w:val="-3"/>
                    <w:sz w:val="22"/>
                  </w:rPr>
                  <w:t> </w:t>
                </w:r>
                <w:r>
                  <w:rPr>
                    <w:w w:val="90"/>
                    <w:sz w:val="22"/>
                  </w:rPr>
                  <w:t>|</w:t>
                </w:r>
                <w:r>
                  <w:rPr>
                    <w:spacing w:val="-5"/>
                    <w:sz w:val="22"/>
                  </w:rPr>
                  <w:t> </w:t>
                </w:r>
                <w:r>
                  <w:rPr>
                    <w:spacing w:val="-10"/>
                    <w:w w:val="90"/>
                    <w:sz w:val="22"/>
                  </w:rPr>
                  <w:fldChar w:fldCharType="begin"/>
                </w:r>
                <w:r>
                  <w:rPr>
                    <w:spacing w:val="-10"/>
                    <w:w w:val="90"/>
                    <w:sz w:val="22"/>
                  </w:rPr>
                  <w:instrText> PAGE </w:instrText>
                </w:r>
                <w:r>
                  <w:rPr>
                    <w:spacing w:val="-10"/>
                    <w:w w:val="90"/>
                    <w:sz w:val="22"/>
                  </w:rPr>
                  <w:fldChar w:fldCharType="separate"/>
                </w:r>
                <w:r>
                  <w:rPr>
                    <w:spacing w:val="-10"/>
                    <w:w w:val="90"/>
                    <w:sz w:val="22"/>
                  </w:rPr>
                  <w:t>5</w:t>
                </w:r>
                <w:r>
                  <w:rPr>
                    <w:spacing w:val="-10"/>
                    <w:w w:val="90"/>
                    <w:sz w:val="22"/>
                  </w:rPr>
                  <w:fldChar w:fldCharType="end"/>
                </w:r>
              </w:p>
            </w:txbxContent>
          </v:textbox>
          <w10:wrap type="non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022079pt;margin-top:743.581787pt;width:263.25pt;height:13.05pt;mso-position-horizontal-relative:page;mso-position-vertical-relative:page;z-index:-26781184" type="#_x0000_t202" id="docshape563" filled="false" stroked="false">
          <v:textbox inset="0,0,0,0">
            <w:txbxContent>
              <w:p>
                <w:pPr>
                  <w:spacing w:line="232" w:lineRule="exact" w:before="0"/>
                  <w:ind w:left="20" w:right="0" w:firstLine="0"/>
                  <w:jc w:val="left"/>
                  <w:rPr>
                    <w:sz w:val="22"/>
                  </w:rPr>
                </w:pPr>
                <w:r>
                  <w:rPr>
                    <w:w w:val="90"/>
                    <w:sz w:val="22"/>
                  </w:rPr>
                  <w:t>Department</w:t>
                </w:r>
                <w:r>
                  <w:rPr>
                    <w:spacing w:val="17"/>
                    <w:sz w:val="22"/>
                  </w:rPr>
                  <w:t> </w:t>
                </w:r>
                <w:r>
                  <w:rPr>
                    <w:w w:val="90"/>
                    <w:sz w:val="22"/>
                  </w:rPr>
                  <w:t>of</w:t>
                </w:r>
                <w:r>
                  <w:rPr>
                    <w:spacing w:val="12"/>
                    <w:sz w:val="22"/>
                  </w:rPr>
                  <w:t> </w:t>
                </w:r>
                <w:r>
                  <w:rPr>
                    <w:w w:val="90"/>
                    <w:sz w:val="22"/>
                  </w:rPr>
                  <w:t>Architecture</w:t>
                </w:r>
                <w:r>
                  <w:rPr>
                    <w:spacing w:val="18"/>
                    <w:sz w:val="22"/>
                  </w:rPr>
                  <w:t> </w:t>
                </w:r>
                <w:r>
                  <w:rPr>
                    <w:w w:val="90"/>
                    <w:sz w:val="22"/>
                  </w:rPr>
                  <w:t>Student</w:t>
                </w:r>
                <w:r>
                  <w:rPr>
                    <w:spacing w:val="17"/>
                    <w:sz w:val="22"/>
                  </w:rPr>
                  <w:t> </w:t>
                </w:r>
                <w:r>
                  <w:rPr>
                    <w:w w:val="90"/>
                    <w:sz w:val="22"/>
                  </w:rPr>
                  <w:t>Handbook</w:t>
                </w:r>
                <w:r>
                  <w:rPr>
                    <w:spacing w:val="14"/>
                    <w:sz w:val="22"/>
                  </w:rPr>
                  <w:t> </w:t>
                </w:r>
                <w:r>
                  <w:rPr>
                    <w:w w:val="90"/>
                    <w:sz w:val="22"/>
                  </w:rPr>
                  <w:t>2014-</w:t>
                </w:r>
                <w:r>
                  <w:rPr>
                    <w:spacing w:val="-4"/>
                    <w:w w:val="90"/>
                    <w:sz w:val="22"/>
                  </w:rPr>
                  <w:t>2015</w:t>
                </w:r>
              </w:p>
            </w:txbxContent>
          </v:textbox>
          <w10:wrap type="none"/>
        </v:shape>
      </w:pict>
    </w:r>
    <w:r>
      <w:rPr/>
      <w:pict>
        <v:shape style="position:absolute;margin-left:501.703522pt;margin-top:743.581787pt;width:42.3pt;height:13.05pt;mso-position-horizontal-relative:page;mso-position-vertical-relative:page;z-index:-26780672" type="#_x0000_t202" id="docshape564" filled="false" stroked="false">
          <v:textbox inset="0,0,0,0">
            <w:txbxContent>
              <w:p>
                <w:pPr>
                  <w:spacing w:line="232" w:lineRule="exact" w:before="0"/>
                  <w:ind w:left="20" w:right="0" w:firstLine="0"/>
                  <w:jc w:val="left"/>
                  <w:rPr>
                    <w:sz w:val="22"/>
                  </w:rPr>
                </w:pPr>
                <w:r>
                  <w:rPr>
                    <w:w w:val="90"/>
                    <w:sz w:val="22"/>
                  </w:rPr>
                  <w:t>Page</w:t>
                </w:r>
                <w:r>
                  <w:rPr>
                    <w:spacing w:val="-3"/>
                    <w:sz w:val="22"/>
                  </w:rPr>
                  <w:t> </w:t>
                </w:r>
                <w:r>
                  <w:rPr>
                    <w:w w:val="90"/>
                    <w:sz w:val="22"/>
                  </w:rPr>
                  <w:t>|</w:t>
                </w:r>
                <w:r>
                  <w:rPr>
                    <w:spacing w:val="-5"/>
                    <w:sz w:val="22"/>
                  </w:rPr>
                  <w:t> </w:t>
                </w:r>
                <w:r>
                  <w:rPr>
                    <w:spacing w:val="-10"/>
                    <w:w w:val="90"/>
                    <w:sz w:val="22"/>
                  </w:rPr>
                  <w:fldChar w:fldCharType="begin"/>
                </w:r>
                <w:r>
                  <w:rPr>
                    <w:spacing w:val="-10"/>
                    <w:w w:val="90"/>
                    <w:sz w:val="22"/>
                  </w:rPr>
                  <w:instrText> PAGE </w:instrText>
                </w:r>
                <w:r>
                  <w:rPr>
                    <w:spacing w:val="-10"/>
                    <w:w w:val="90"/>
                    <w:sz w:val="22"/>
                  </w:rPr>
                  <w:fldChar w:fldCharType="separate"/>
                </w:r>
                <w:r>
                  <w:rPr>
                    <w:spacing w:val="-10"/>
                    <w:w w:val="90"/>
                    <w:sz w:val="22"/>
                  </w:rPr>
                  <w:t>6</w:t>
                </w:r>
                <w:r>
                  <w:rPr>
                    <w:spacing w:val="-10"/>
                    <w:w w:val="90"/>
                    <w:sz w:val="22"/>
                  </w:rPr>
                  <w:fldChar w:fldCharType="end"/>
                </w:r>
              </w:p>
            </w:txbxContent>
          </v:textbox>
          <w10:wrap type="non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743.599976pt;width:263.25pt;height:13.05pt;mso-position-horizontal-relative:page;mso-position-vertical-relative:page;z-index:-26780160" type="#_x0000_t202" id="docshape565" filled="false" stroked="false">
          <v:textbox inset="0,0,0,0">
            <w:txbxContent>
              <w:p>
                <w:pPr>
                  <w:spacing w:line="232" w:lineRule="exact" w:before="0"/>
                  <w:ind w:left="20" w:right="0" w:firstLine="0"/>
                  <w:jc w:val="left"/>
                  <w:rPr>
                    <w:sz w:val="22"/>
                  </w:rPr>
                </w:pPr>
                <w:r>
                  <w:rPr>
                    <w:w w:val="90"/>
                    <w:sz w:val="22"/>
                  </w:rPr>
                  <w:t>Department</w:t>
                </w:r>
                <w:r>
                  <w:rPr>
                    <w:spacing w:val="17"/>
                    <w:sz w:val="22"/>
                  </w:rPr>
                  <w:t> </w:t>
                </w:r>
                <w:r>
                  <w:rPr>
                    <w:w w:val="90"/>
                    <w:sz w:val="22"/>
                  </w:rPr>
                  <w:t>of</w:t>
                </w:r>
                <w:r>
                  <w:rPr>
                    <w:spacing w:val="12"/>
                    <w:sz w:val="22"/>
                  </w:rPr>
                  <w:t> </w:t>
                </w:r>
                <w:r>
                  <w:rPr>
                    <w:w w:val="90"/>
                    <w:sz w:val="22"/>
                  </w:rPr>
                  <w:t>Architecture</w:t>
                </w:r>
                <w:r>
                  <w:rPr>
                    <w:spacing w:val="18"/>
                    <w:sz w:val="22"/>
                  </w:rPr>
                  <w:t> </w:t>
                </w:r>
                <w:r>
                  <w:rPr>
                    <w:w w:val="90"/>
                    <w:sz w:val="22"/>
                  </w:rPr>
                  <w:t>Student</w:t>
                </w:r>
                <w:r>
                  <w:rPr>
                    <w:spacing w:val="17"/>
                    <w:sz w:val="22"/>
                  </w:rPr>
                  <w:t> </w:t>
                </w:r>
                <w:r>
                  <w:rPr>
                    <w:w w:val="90"/>
                    <w:sz w:val="22"/>
                  </w:rPr>
                  <w:t>Handbook</w:t>
                </w:r>
                <w:r>
                  <w:rPr>
                    <w:spacing w:val="14"/>
                    <w:sz w:val="22"/>
                  </w:rPr>
                  <w:t> </w:t>
                </w:r>
                <w:r>
                  <w:rPr>
                    <w:w w:val="90"/>
                    <w:sz w:val="22"/>
                  </w:rPr>
                  <w:t>2014-</w:t>
                </w:r>
                <w:r>
                  <w:rPr>
                    <w:spacing w:val="-4"/>
                    <w:w w:val="90"/>
                    <w:sz w:val="22"/>
                  </w:rPr>
                  <w:t>2015</w:t>
                </w:r>
              </w:p>
            </w:txbxContent>
          </v:textbox>
          <w10:wrap type="none"/>
        </v:shape>
      </w:pict>
    </w:r>
    <w:r>
      <w:rPr/>
      <w:pict>
        <v:shape style="position:absolute;margin-left:501.681427pt;margin-top:743.599976pt;width:42.3pt;height:13.05pt;mso-position-horizontal-relative:page;mso-position-vertical-relative:page;z-index:-26779648" type="#_x0000_t202" id="docshape566" filled="false" stroked="false">
          <v:textbox inset="0,0,0,0">
            <w:txbxContent>
              <w:p>
                <w:pPr>
                  <w:spacing w:line="232" w:lineRule="exact" w:before="0"/>
                  <w:ind w:left="20" w:right="0" w:firstLine="0"/>
                  <w:jc w:val="left"/>
                  <w:rPr>
                    <w:sz w:val="22"/>
                  </w:rPr>
                </w:pPr>
                <w:r>
                  <w:rPr>
                    <w:w w:val="90"/>
                    <w:sz w:val="22"/>
                  </w:rPr>
                  <w:t>Page</w:t>
                </w:r>
                <w:r>
                  <w:rPr>
                    <w:spacing w:val="-3"/>
                    <w:sz w:val="22"/>
                  </w:rPr>
                  <w:t> </w:t>
                </w:r>
                <w:r>
                  <w:rPr>
                    <w:w w:val="90"/>
                    <w:sz w:val="22"/>
                  </w:rPr>
                  <w:t>|</w:t>
                </w:r>
                <w:r>
                  <w:rPr>
                    <w:spacing w:val="-5"/>
                    <w:sz w:val="22"/>
                  </w:rPr>
                  <w:t> </w:t>
                </w:r>
                <w:r>
                  <w:rPr>
                    <w:spacing w:val="-10"/>
                    <w:w w:val="90"/>
                    <w:sz w:val="22"/>
                  </w:rPr>
                  <w:fldChar w:fldCharType="begin"/>
                </w:r>
                <w:r>
                  <w:rPr>
                    <w:spacing w:val="-10"/>
                    <w:w w:val="90"/>
                    <w:sz w:val="22"/>
                  </w:rPr>
                  <w:instrText> PAGE </w:instrText>
                </w:r>
                <w:r>
                  <w:rPr>
                    <w:spacing w:val="-10"/>
                    <w:w w:val="90"/>
                    <w:sz w:val="22"/>
                  </w:rPr>
                  <w:fldChar w:fldCharType="separate"/>
                </w:r>
                <w:r>
                  <w:rPr>
                    <w:spacing w:val="-10"/>
                    <w:w w:val="90"/>
                    <w:sz w:val="22"/>
                  </w:rPr>
                  <w:t>7</w:t>
                </w:r>
                <w:r>
                  <w:rPr>
                    <w:spacing w:val="-10"/>
                    <w:w w:val="90"/>
                    <w:sz w:val="22"/>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7026944" id="docshape43" filled="true" fillcolor="#000000" stroked="false">
          <v:fill type="solid"/>
          <w10:wrap type="none"/>
        </v:rect>
      </w:pict>
    </w:r>
    <w:r>
      <w:rPr/>
      <w:pict>
        <v:shape style="position:absolute;margin-left:71pt;margin-top:734.809998pt;width:178.95pt;height:21.95pt;mso-position-horizontal-relative:page;mso-position-vertical-relative:page;z-index:-27026432" type="#_x0000_t202" id="docshape44"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7025920" type="#_x0000_t202" id="docshape45"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1</w:t>
                </w:r>
                <w:r>
                  <w:rPr>
                    <w:spacing w:val="-7"/>
                    <w:w w:val="90"/>
                    <w:sz w:val="18"/>
                  </w:rPr>
                  <w:t> </w:t>
                </w:r>
                <w:r>
                  <w:rPr>
                    <w:w w:val="90"/>
                    <w:sz w:val="18"/>
                  </w:rPr>
                  <w:t>-</w:t>
                </w:r>
                <w:r>
                  <w:rPr>
                    <w:spacing w:val="-7"/>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62</w:t>
                </w:r>
                <w:r>
                  <w:rPr>
                    <w:spacing w:val="-5"/>
                    <w:w w:val="90"/>
                    <w:sz w:val="18"/>
                  </w:rPr>
                  <w:fldChar w:fldCharType="end"/>
                </w:r>
              </w:p>
            </w:txbxContent>
          </v:textbox>
          <w10:wrap type="non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021118pt;margin-top:743.576965pt;width:263.25pt;height:13.05pt;mso-position-horizontal-relative:page;mso-position-vertical-relative:page;z-index:-26779136" type="#_x0000_t202" id="docshape568" filled="false" stroked="false">
          <v:textbox inset="0,0,0,0">
            <w:txbxContent>
              <w:p>
                <w:pPr>
                  <w:spacing w:line="232" w:lineRule="exact" w:before="0"/>
                  <w:ind w:left="20" w:right="0" w:firstLine="0"/>
                  <w:jc w:val="left"/>
                  <w:rPr>
                    <w:sz w:val="22"/>
                  </w:rPr>
                </w:pPr>
                <w:r>
                  <w:rPr>
                    <w:w w:val="90"/>
                    <w:sz w:val="22"/>
                  </w:rPr>
                  <w:t>Department</w:t>
                </w:r>
                <w:r>
                  <w:rPr>
                    <w:spacing w:val="17"/>
                    <w:sz w:val="22"/>
                  </w:rPr>
                  <w:t> </w:t>
                </w:r>
                <w:r>
                  <w:rPr>
                    <w:w w:val="90"/>
                    <w:sz w:val="22"/>
                  </w:rPr>
                  <w:t>of</w:t>
                </w:r>
                <w:r>
                  <w:rPr>
                    <w:spacing w:val="12"/>
                    <w:sz w:val="22"/>
                  </w:rPr>
                  <w:t> </w:t>
                </w:r>
                <w:r>
                  <w:rPr>
                    <w:w w:val="90"/>
                    <w:sz w:val="22"/>
                  </w:rPr>
                  <w:t>Architecture</w:t>
                </w:r>
                <w:r>
                  <w:rPr>
                    <w:spacing w:val="18"/>
                    <w:sz w:val="22"/>
                  </w:rPr>
                  <w:t> </w:t>
                </w:r>
                <w:r>
                  <w:rPr>
                    <w:w w:val="90"/>
                    <w:sz w:val="22"/>
                  </w:rPr>
                  <w:t>Student</w:t>
                </w:r>
                <w:r>
                  <w:rPr>
                    <w:spacing w:val="17"/>
                    <w:sz w:val="22"/>
                  </w:rPr>
                  <w:t> </w:t>
                </w:r>
                <w:r>
                  <w:rPr>
                    <w:w w:val="90"/>
                    <w:sz w:val="22"/>
                  </w:rPr>
                  <w:t>Handbook</w:t>
                </w:r>
                <w:r>
                  <w:rPr>
                    <w:spacing w:val="14"/>
                    <w:sz w:val="22"/>
                  </w:rPr>
                  <w:t> </w:t>
                </w:r>
                <w:r>
                  <w:rPr>
                    <w:w w:val="90"/>
                    <w:sz w:val="22"/>
                  </w:rPr>
                  <w:t>2014-</w:t>
                </w:r>
                <w:r>
                  <w:rPr>
                    <w:spacing w:val="-4"/>
                    <w:w w:val="90"/>
                    <w:sz w:val="22"/>
                  </w:rPr>
                  <w:t>2015</w:t>
                </w:r>
              </w:p>
            </w:txbxContent>
          </v:textbox>
          <w10:wrap type="none"/>
        </v:shape>
      </w:pict>
    </w:r>
    <w:r>
      <w:rPr/>
      <w:pict>
        <v:shape style="position:absolute;margin-left:501.702545pt;margin-top:743.576965pt;width:42.3pt;height:13.05pt;mso-position-horizontal-relative:page;mso-position-vertical-relative:page;z-index:-26778624" type="#_x0000_t202" id="docshape569" filled="false" stroked="false">
          <v:textbox inset="0,0,0,0">
            <w:txbxContent>
              <w:p>
                <w:pPr>
                  <w:spacing w:line="232" w:lineRule="exact" w:before="0"/>
                  <w:ind w:left="20" w:right="0" w:firstLine="0"/>
                  <w:jc w:val="left"/>
                  <w:rPr>
                    <w:sz w:val="22"/>
                  </w:rPr>
                </w:pPr>
                <w:r>
                  <w:rPr>
                    <w:w w:val="90"/>
                    <w:sz w:val="22"/>
                  </w:rPr>
                  <w:t>Page</w:t>
                </w:r>
                <w:r>
                  <w:rPr>
                    <w:spacing w:val="-3"/>
                    <w:sz w:val="22"/>
                  </w:rPr>
                  <w:t> </w:t>
                </w:r>
                <w:r>
                  <w:rPr>
                    <w:w w:val="90"/>
                    <w:sz w:val="22"/>
                  </w:rPr>
                  <w:t>|</w:t>
                </w:r>
                <w:r>
                  <w:rPr>
                    <w:spacing w:val="-5"/>
                    <w:sz w:val="22"/>
                  </w:rPr>
                  <w:t> </w:t>
                </w:r>
                <w:r>
                  <w:rPr>
                    <w:spacing w:val="-10"/>
                    <w:w w:val="90"/>
                    <w:sz w:val="22"/>
                  </w:rPr>
                  <w:fldChar w:fldCharType="begin"/>
                </w:r>
                <w:r>
                  <w:rPr>
                    <w:spacing w:val="-10"/>
                    <w:w w:val="90"/>
                    <w:sz w:val="22"/>
                  </w:rPr>
                  <w:instrText> PAGE </w:instrText>
                </w:r>
                <w:r>
                  <w:rPr>
                    <w:spacing w:val="-10"/>
                    <w:w w:val="90"/>
                    <w:sz w:val="22"/>
                  </w:rPr>
                  <w:fldChar w:fldCharType="separate"/>
                </w:r>
                <w:r>
                  <w:rPr>
                    <w:spacing w:val="-10"/>
                    <w:w w:val="90"/>
                    <w:sz w:val="22"/>
                  </w:rPr>
                  <w:t>8</w:t>
                </w:r>
                <w:r>
                  <w:rPr>
                    <w:spacing w:val="-10"/>
                    <w:w w:val="90"/>
                    <w:sz w:val="22"/>
                  </w:rPr>
                  <w:fldChar w:fldCharType="end"/>
                </w:r>
              </w:p>
            </w:txbxContent>
          </v:textbox>
          <w10:wrap type="non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743.599976pt;width:263.25pt;height:13.05pt;mso-position-horizontal-relative:page;mso-position-vertical-relative:page;z-index:-26778112" type="#_x0000_t202" id="docshape571" filled="false" stroked="false">
          <v:textbox inset="0,0,0,0">
            <w:txbxContent>
              <w:p>
                <w:pPr>
                  <w:spacing w:line="232" w:lineRule="exact" w:before="0"/>
                  <w:ind w:left="20" w:right="0" w:firstLine="0"/>
                  <w:jc w:val="left"/>
                  <w:rPr>
                    <w:sz w:val="22"/>
                  </w:rPr>
                </w:pPr>
                <w:r>
                  <w:rPr>
                    <w:w w:val="90"/>
                    <w:sz w:val="22"/>
                  </w:rPr>
                  <w:t>Department</w:t>
                </w:r>
                <w:r>
                  <w:rPr>
                    <w:spacing w:val="17"/>
                    <w:sz w:val="22"/>
                  </w:rPr>
                  <w:t> </w:t>
                </w:r>
                <w:r>
                  <w:rPr>
                    <w:w w:val="90"/>
                    <w:sz w:val="22"/>
                  </w:rPr>
                  <w:t>of</w:t>
                </w:r>
                <w:r>
                  <w:rPr>
                    <w:spacing w:val="12"/>
                    <w:sz w:val="22"/>
                  </w:rPr>
                  <w:t> </w:t>
                </w:r>
                <w:r>
                  <w:rPr>
                    <w:w w:val="90"/>
                    <w:sz w:val="22"/>
                  </w:rPr>
                  <w:t>Architecture</w:t>
                </w:r>
                <w:r>
                  <w:rPr>
                    <w:spacing w:val="18"/>
                    <w:sz w:val="22"/>
                  </w:rPr>
                  <w:t> </w:t>
                </w:r>
                <w:r>
                  <w:rPr>
                    <w:w w:val="90"/>
                    <w:sz w:val="22"/>
                  </w:rPr>
                  <w:t>Student</w:t>
                </w:r>
                <w:r>
                  <w:rPr>
                    <w:spacing w:val="17"/>
                    <w:sz w:val="22"/>
                  </w:rPr>
                  <w:t> </w:t>
                </w:r>
                <w:r>
                  <w:rPr>
                    <w:w w:val="90"/>
                    <w:sz w:val="22"/>
                  </w:rPr>
                  <w:t>Handbook</w:t>
                </w:r>
                <w:r>
                  <w:rPr>
                    <w:spacing w:val="14"/>
                    <w:sz w:val="22"/>
                  </w:rPr>
                  <w:t> </w:t>
                </w:r>
                <w:r>
                  <w:rPr>
                    <w:w w:val="90"/>
                    <w:sz w:val="22"/>
                  </w:rPr>
                  <w:t>2014-</w:t>
                </w:r>
                <w:r>
                  <w:rPr>
                    <w:spacing w:val="-4"/>
                    <w:w w:val="90"/>
                    <w:sz w:val="22"/>
                  </w:rPr>
                  <w:t>2015</w:t>
                </w:r>
              </w:p>
            </w:txbxContent>
          </v:textbox>
          <w10:wrap type="none"/>
        </v:shape>
      </w:pict>
    </w:r>
    <w:r>
      <w:rPr/>
      <w:pict>
        <v:shape style="position:absolute;margin-left:501.681427pt;margin-top:743.599976pt;width:42.3pt;height:13.05pt;mso-position-horizontal-relative:page;mso-position-vertical-relative:page;z-index:-26777600" type="#_x0000_t202" id="docshape572" filled="false" stroked="false">
          <v:textbox inset="0,0,0,0">
            <w:txbxContent>
              <w:p>
                <w:pPr>
                  <w:spacing w:line="232" w:lineRule="exact" w:before="0"/>
                  <w:ind w:left="20" w:right="0" w:firstLine="0"/>
                  <w:jc w:val="left"/>
                  <w:rPr>
                    <w:sz w:val="22"/>
                  </w:rPr>
                </w:pPr>
                <w:r>
                  <w:rPr>
                    <w:w w:val="90"/>
                    <w:sz w:val="22"/>
                  </w:rPr>
                  <w:t>Page</w:t>
                </w:r>
                <w:r>
                  <w:rPr>
                    <w:spacing w:val="-3"/>
                    <w:sz w:val="22"/>
                  </w:rPr>
                  <w:t> </w:t>
                </w:r>
                <w:r>
                  <w:rPr>
                    <w:w w:val="90"/>
                    <w:sz w:val="22"/>
                  </w:rPr>
                  <w:t>|</w:t>
                </w:r>
                <w:r>
                  <w:rPr>
                    <w:spacing w:val="-5"/>
                    <w:sz w:val="22"/>
                  </w:rPr>
                  <w:t> </w:t>
                </w:r>
                <w:r>
                  <w:rPr>
                    <w:spacing w:val="-10"/>
                    <w:w w:val="90"/>
                    <w:sz w:val="22"/>
                  </w:rPr>
                  <w:fldChar w:fldCharType="begin"/>
                </w:r>
                <w:r>
                  <w:rPr>
                    <w:spacing w:val="-10"/>
                    <w:w w:val="90"/>
                    <w:sz w:val="22"/>
                  </w:rPr>
                  <w:instrText> PAGE </w:instrText>
                </w:r>
                <w:r>
                  <w:rPr>
                    <w:spacing w:val="-10"/>
                    <w:w w:val="90"/>
                    <w:sz w:val="22"/>
                  </w:rPr>
                  <w:fldChar w:fldCharType="separate"/>
                </w:r>
                <w:r>
                  <w:rPr>
                    <w:spacing w:val="-10"/>
                    <w:w w:val="90"/>
                    <w:sz w:val="22"/>
                  </w:rPr>
                  <w:t>9</w:t>
                </w:r>
                <w:r>
                  <w:rPr>
                    <w:spacing w:val="-10"/>
                    <w:w w:val="90"/>
                    <w:sz w:val="22"/>
                  </w:rPr>
                  <w:fldChar w:fldCharType="end"/>
                </w:r>
              </w:p>
            </w:txbxContent>
          </v:textbox>
          <w10:wrap type="non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743.599976pt;width:263.25pt;height:13.05pt;mso-position-horizontal-relative:page;mso-position-vertical-relative:page;z-index:-26777088" type="#_x0000_t202" id="docshape573" filled="false" stroked="false">
          <v:textbox inset="0,0,0,0">
            <w:txbxContent>
              <w:p>
                <w:pPr>
                  <w:spacing w:line="232" w:lineRule="exact" w:before="0"/>
                  <w:ind w:left="20" w:right="0" w:firstLine="0"/>
                  <w:jc w:val="left"/>
                  <w:rPr>
                    <w:sz w:val="22"/>
                  </w:rPr>
                </w:pPr>
                <w:r>
                  <w:rPr>
                    <w:w w:val="90"/>
                    <w:sz w:val="22"/>
                  </w:rPr>
                  <w:t>Department</w:t>
                </w:r>
                <w:r>
                  <w:rPr>
                    <w:spacing w:val="17"/>
                    <w:sz w:val="22"/>
                  </w:rPr>
                  <w:t> </w:t>
                </w:r>
                <w:r>
                  <w:rPr>
                    <w:w w:val="90"/>
                    <w:sz w:val="22"/>
                  </w:rPr>
                  <w:t>of</w:t>
                </w:r>
                <w:r>
                  <w:rPr>
                    <w:spacing w:val="12"/>
                    <w:sz w:val="22"/>
                  </w:rPr>
                  <w:t> </w:t>
                </w:r>
                <w:r>
                  <w:rPr>
                    <w:w w:val="90"/>
                    <w:sz w:val="22"/>
                  </w:rPr>
                  <w:t>Architecture</w:t>
                </w:r>
                <w:r>
                  <w:rPr>
                    <w:spacing w:val="18"/>
                    <w:sz w:val="22"/>
                  </w:rPr>
                  <w:t> </w:t>
                </w:r>
                <w:r>
                  <w:rPr>
                    <w:w w:val="90"/>
                    <w:sz w:val="22"/>
                  </w:rPr>
                  <w:t>Student</w:t>
                </w:r>
                <w:r>
                  <w:rPr>
                    <w:spacing w:val="17"/>
                    <w:sz w:val="22"/>
                  </w:rPr>
                  <w:t> </w:t>
                </w:r>
                <w:r>
                  <w:rPr>
                    <w:w w:val="90"/>
                    <w:sz w:val="22"/>
                  </w:rPr>
                  <w:t>Handbook</w:t>
                </w:r>
                <w:r>
                  <w:rPr>
                    <w:spacing w:val="14"/>
                    <w:sz w:val="22"/>
                  </w:rPr>
                  <w:t> </w:t>
                </w:r>
                <w:r>
                  <w:rPr>
                    <w:w w:val="90"/>
                    <w:sz w:val="22"/>
                  </w:rPr>
                  <w:t>2014-</w:t>
                </w:r>
                <w:r>
                  <w:rPr>
                    <w:spacing w:val="-4"/>
                    <w:w w:val="90"/>
                    <w:sz w:val="22"/>
                  </w:rPr>
                  <w:t>2015</w:t>
                </w:r>
              </w:p>
            </w:txbxContent>
          </v:textbox>
          <w10:wrap type="none"/>
        </v:shape>
      </w:pict>
    </w:r>
    <w:r>
      <w:rPr/>
      <w:pict>
        <v:shape style="position:absolute;margin-left:496.161438pt;margin-top:743.599976pt;width:48pt;height:13.05pt;mso-position-horizontal-relative:page;mso-position-vertical-relative:page;z-index:-26776576" type="#_x0000_t202" id="docshape574" filled="false" stroked="false">
          <v:textbox inset="0,0,0,0">
            <w:txbxContent>
              <w:p>
                <w:pPr>
                  <w:spacing w:line="232" w:lineRule="exact" w:before="0"/>
                  <w:ind w:left="20" w:right="0" w:firstLine="0"/>
                  <w:jc w:val="left"/>
                  <w:rPr>
                    <w:sz w:val="22"/>
                  </w:rPr>
                </w:pPr>
                <w:r>
                  <w:rPr>
                    <w:w w:val="90"/>
                    <w:sz w:val="22"/>
                  </w:rPr>
                  <w:t>Page</w:t>
                </w:r>
                <w:r>
                  <w:rPr>
                    <w:spacing w:val="-3"/>
                    <w:sz w:val="22"/>
                  </w:rPr>
                  <w:t> </w:t>
                </w:r>
                <w:r>
                  <w:rPr>
                    <w:w w:val="90"/>
                    <w:sz w:val="22"/>
                  </w:rPr>
                  <w:t>|</w:t>
                </w:r>
                <w:r>
                  <w:rPr>
                    <w:spacing w:val="-5"/>
                    <w:sz w:val="22"/>
                  </w:rPr>
                  <w:t> </w:t>
                </w:r>
                <w:r>
                  <w:rPr>
                    <w:spacing w:val="-5"/>
                    <w:w w:val="90"/>
                    <w:sz w:val="22"/>
                  </w:rPr>
                  <w:fldChar w:fldCharType="begin"/>
                </w:r>
                <w:r>
                  <w:rPr>
                    <w:spacing w:val="-5"/>
                    <w:w w:val="90"/>
                    <w:sz w:val="22"/>
                  </w:rPr>
                  <w:instrText> PAGE </w:instrText>
                </w:r>
                <w:r>
                  <w:rPr>
                    <w:spacing w:val="-5"/>
                    <w:w w:val="90"/>
                    <w:sz w:val="22"/>
                  </w:rPr>
                  <w:fldChar w:fldCharType="separate"/>
                </w:r>
                <w:r>
                  <w:rPr>
                    <w:spacing w:val="-5"/>
                    <w:w w:val="90"/>
                    <w:sz w:val="22"/>
                  </w:rPr>
                  <w:t>10</w:t>
                </w:r>
                <w:r>
                  <w:rPr>
                    <w:spacing w:val="-5"/>
                    <w:w w:val="90"/>
                    <w:sz w:val="22"/>
                  </w:rPr>
                  <w:fldChar w:fldCharType="end"/>
                </w:r>
              </w:p>
            </w:txbxContent>
          </v:textbox>
          <w10:wrap type="non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743.599976pt;width:263.25pt;height:13.05pt;mso-position-horizontal-relative:page;mso-position-vertical-relative:page;z-index:-26776064" type="#_x0000_t202" id="docshape576" filled="false" stroked="false">
          <v:textbox inset="0,0,0,0">
            <w:txbxContent>
              <w:p>
                <w:pPr>
                  <w:spacing w:line="232" w:lineRule="exact" w:before="0"/>
                  <w:ind w:left="20" w:right="0" w:firstLine="0"/>
                  <w:jc w:val="left"/>
                  <w:rPr>
                    <w:sz w:val="22"/>
                  </w:rPr>
                </w:pPr>
                <w:r>
                  <w:rPr>
                    <w:w w:val="90"/>
                    <w:sz w:val="22"/>
                  </w:rPr>
                  <w:t>Department</w:t>
                </w:r>
                <w:r>
                  <w:rPr>
                    <w:spacing w:val="17"/>
                    <w:sz w:val="22"/>
                  </w:rPr>
                  <w:t> </w:t>
                </w:r>
                <w:r>
                  <w:rPr>
                    <w:w w:val="90"/>
                    <w:sz w:val="22"/>
                  </w:rPr>
                  <w:t>of</w:t>
                </w:r>
                <w:r>
                  <w:rPr>
                    <w:spacing w:val="12"/>
                    <w:sz w:val="22"/>
                  </w:rPr>
                  <w:t> </w:t>
                </w:r>
                <w:r>
                  <w:rPr>
                    <w:w w:val="90"/>
                    <w:sz w:val="22"/>
                  </w:rPr>
                  <w:t>Architecture</w:t>
                </w:r>
                <w:r>
                  <w:rPr>
                    <w:spacing w:val="18"/>
                    <w:sz w:val="22"/>
                  </w:rPr>
                  <w:t> </w:t>
                </w:r>
                <w:r>
                  <w:rPr>
                    <w:w w:val="90"/>
                    <w:sz w:val="22"/>
                  </w:rPr>
                  <w:t>Student</w:t>
                </w:r>
                <w:r>
                  <w:rPr>
                    <w:spacing w:val="17"/>
                    <w:sz w:val="22"/>
                  </w:rPr>
                  <w:t> </w:t>
                </w:r>
                <w:r>
                  <w:rPr>
                    <w:w w:val="90"/>
                    <w:sz w:val="22"/>
                  </w:rPr>
                  <w:t>Handbook</w:t>
                </w:r>
                <w:r>
                  <w:rPr>
                    <w:spacing w:val="14"/>
                    <w:sz w:val="22"/>
                  </w:rPr>
                  <w:t> </w:t>
                </w:r>
                <w:r>
                  <w:rPr>
                    <w:w w:val="90"/>
                    <w:sz w:val="22"/>
                  </w:rPr>
                  <w:t>2014-</w:t>
                </w:r>
                <w:r>
                  <w:rPr>
                    <w:spacing w:val="-4"/>
                    <w:w w:val="90"/>
                    <w:sz w:val="22"/>
                  </w:rPr>
                  <w:t>2015</w:t>
                </w:r>
              </w:p>
            </w:txbxContent>
          </v:textbox>
          <w10:wrap type="none"/>
        </v:shape>
      </w:pict>
    </w:r>
    <w:r>
      <w:rPr/>
      <w:pict>
        <v:shape style="position:absolute;margin-left:496.161438pt;margin-top:743.599976pt;width:48pt;height:13.05pt;mso-position-horizontal-relative:page;mso-position-vertical-relative:page;z-index:-26775552" type="#_x0000_t202" id="docshape577" filled="false" stroked="false">
          <v:textbox inset="0,0,0,0">
            <w:txbxContent>
              <w:p>
                <w:pPr>
                  <w:spacing w:line="232" w:lineRule="exact" w:before="0"/>
                  <w:ind w:left="20" w:right="0" w:firstLine="0"/>
                  <w:jc w:val="left"/>
                  <w:rPr>
                    <w:sz w:val="22"/>
                  </w:rPr>
                </w:pPr>
                <w:r>
                  <w:rPr>
                    <w:w w:val="90"/>
                    <w:sz w:val="22"/>
                  </w:rPr>
                  <w:t>Page</w:t>
                </w:r>
                <w:r>
                  <w:rPr>
                    <w:spacing w:val="-3"/>
                    <w:sz w:val="22"/>
                  </w:rPr>
                  <w:t> </w:t>
                </w:r>
                <w:r>
                  <w:rPr>
                    <w:w w:val="90"/>
                    <w:sz w:val="22"/>
                  </w:rPr>
                  <w:t>|</w:t>
                </w:r>
                <w:r>
                  <w:rPr>
                    <w:spacing w:val="-5"/>
                    <w:sz w:val="22"/>
                  </w:rPr>
                  <w:t> </w:t>
                </w:r>
                <w:r>
                  <w:rPr>
                    <w:spacing w:val="-5"/>
                    <w:w w:val="90"/>
                    <w:sz w:val="22"/>
                  </w:rPr>
                  <w:fldChar w:fldCharType="begin"/>
                </w:r>
                <w:r>
                  <w:rPr>
                    <w:spacing w:val="-5"/>
                    <w:w w:val="90"/>
                    <w:sz w:val="22"/>
                  </w:rPr>
                  <w:instrText> PAGE </w:instrText>
                </w:r>
                <w:r>
                  <w:rPr>
                    <w:spacing w:val="-5"/>
                    <w:w w:val="90"/>
                    <w:sz w:val="22"/>
                  </w:rPr>
                  <w:fldChar w:fldCharType="separate"/>
                </w:r>
                <w:r>
                  <w:rPr>
                    <w:spacing w:val="-5"/>
                    <w:w w:val="90"/>
                    <w:sz w:val="22"/>
                  </w:rPr>
                  <w:t>11</w:t>
                </w:r>
                <w:r>
                  <w:rPr>
                    <w:spacing w:val="-5"/>
                    <w:w w:val="90"/>
                    <w:sz w:val="22"/>
                  </w:rPr>
                  <w:fldChar w:fldCharType="end"/>
                </w:r>
              </w:p>
            </w:txbxContent>
          </v:textbox>
          <w10:wrap type="non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743.599976pt;width:263.25pt;height:13.05pt;mso-position-horizontal-relative:page;mso-position-vertical-relative:page;z-index:-26775040" type="#_x0000_t202" id="docshape579" filled="false" stroked="false">
          <v:textbox inset="0,0,0,0">
            <w:txbxContent>
              <w:p>
                <w:pPr>
                  <w:spacing w:line="232" w:lineRule="exact" w:before="0"/>
                  <w:ind w:left="20" w:right="0" w:firstLine="0"/>
                  <w:jc w:val="left"/>
                  <w:rPr>
                    <w:sz w:val="22"/>
                  </w:rPr>
                </w:pPr>
                <w:r>
                  <w:rPr>
                    <w:w w:val="90"/>
                    <w:sz w:val="22"/>
                  </w:rPr>
                  <w:t>Department</w:t>
                </w:r>
                <w:r>
                  <w:rPr>
                    <w:spacing w:val="17"/>
                    <w:sz w:val="22"/>
                  </w:rPr>
                  <w:t> </w:t>
                </w:r>
                <w:r>
                  <w:rPr>
                    <w:w w:val="90"/>
                    <w:sz w:val="22"/>
                  </w:rPr>
                  <w:t>of</w:t>
                </w:r>
                <w:r>
                  <w:rPr>
                    <w:spacing w:val="12"/>
                    <w:sz w:val="22"/>
                  </w:rPr>
                  <w:t> </w:t>
                </w:r>
                <w:r>
                  <w:rPr>
                    <w:w w:val="90"/>
                    <w:sz w:val="22"/>
                  </w:rPr>
                  <w:t>Architecture</w:t>
                </w:r>
                <w:r>
                  <w:rPr>
                    <w:spacing w:val="18"/>
                    <w:sz w:val="22"/>
                  </w:rPr>
                  <w:t> </w:t>
                </w:r>
                <w:r>
                  <w:rPr>
                    <w:w w:val="90"/>
                    <w:sz w:val="22"/>
                  </w:rPr>
                  <w:t>Student</w:t>
                </w:r>
                <w:r>
                  <w:rPr>
                    <w:spacing w:val="17"/>
                    <w:sz w:val="22"/>
                  </w:rPr>
                  <w:t> </w:t>
                </w:r>
                <w:r>
                  <w:rPr>
                    <w:w w:val="90"/>
                    <w:sz w:val="22"/>
                  </w:rPr>
                  <w:t>Handbook</w:t>
                </w:r>
                <w:r>
                  <w:rPr>
                    <w:spacing w:val="14"/>
                    <w:sz w:val="22"/>
                  </w:rPr>
                  <w:t> </w:t>
                </w:r>
                <w:r>
                  <w:rPr>
                    <w:w w:val="90"/>
                    <w:sz w:val="22"/>
                  </w:rPr>
                  <w:t>2014-</w:t>
                </w:r>
                <w:r>
                  <w:rPr>
                    <w:spacing w:val="-4"/>
                    <w:w w:val="90"/>
                    <w:sz w:val="22"/>
                  </w:rPr>
                  <w:t>2015</w:t>
                </w:r>
              </w:p>
            </w:txbxContent>
          </v:textbox>
          <w10:wrap type="none"/>
        </v:shape>
      </w:pict>
    </w:r>
    <w:r>
      <w:rPr/>
      <w:pict>
        <v:shape style="position:absolute;margin-left:496.161438pt;margin-top:743.599976pt;width:48pt;height:13.05pt;mso-position-horizontal-relative:page;mso-position-vertical-relative:page;z-index:-26774528" type="#_x0000_t202" id="docshape580" filled="false" stroked="false">
          <v:textbox inset="0,0,0,0">
            <w:txbxContent>
              <w:p>
                <w:pPr>
                  <w:spacing w:line="232" w:lineRule="exact" w:before="0"/>
                  <w:ind w:left="20" w:right="0" w:firstLine="0"/>
                  <w:jc w:val="left"/>
                  <w:rPr>
                    <w:sz w:val="22"/>
                  </w:rPr>
                </w:pPr>
                <w:r>
                  <w:rPr>
                    <w:w w:val="90"/>
                    <w:sz w:val="22"/>
                  </w:rPr>
                  <w:t>Page</w:t>
                </w:r>
                <w:r>
                  <w:rPr>
                    <w:spacing w:val="-3"/>
                    <w:sz w:val="22"/>
                  </w:rPr>
                  <w:t> </w:t>
                </w:r>
                <w:r>
                  <w:rPr>
                    <w:w w:val="90"/>
                    <w:sz w:val="22"/>
                  </w:rPr>
                  <w:t>|</w:t>
                </w:r>
                <w:r>
                  <w:rPr>
                    <w:spacing w:val="-5"/>
                    <w:sz w:val="22"/>
                  </w:rPr>
                  <w:t> </w:t>
                </w:r>
                <w:r>
                  <w:rPr>
                    <w:spacing w:val="-5"/>
                    <w:w w:val="90"/>
                    <w:sz w:val="22"/>
                  </w:rPr>
                  <w:fldChar w:fldCharType="begin"/>
                </w:r>
                <w:r>
                  <w:rPr>
                    <w:spacing w:val="-5"/>
                    <w:w w:val="90"/>
                    <w:sz w:val="22"/>
                  </w:rPr>
                  <w:instrText> PAGE </w:instrText>
                </w:r>
                <w:r>
                  <w:rPr>
                    <w:spacing w:val="-5"/>
                    <w:w w:val="90"/>
                    <w:sz w:val="22"/>
                  </w:rPr>
                  <w:fldChar w:fldCharType="separate"/>
                </w:r>
                <w:r>
                  <w:rPr>
                    <w:spacing w:val="-5"/>
                    <w:w w:val="90"/>
                    <w:sz w:val="22"/>
                  </w:rPr>
                  <w:t>12</w:t>
                </w:r>
                <w:r>
                  <w:rPr>
                    <w:spacing w:val="-5"/>
                    <w:w w:val="90"/>
                    <w:sz w:val="22"/>
                  </w:rPr>
                  <w:fldChar w:fldCharType="end"/>
                </w:r>
              </w:p>
            </w:txbxContent>
          </v:textbox>
          <w10:wrap type="non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743.599976pt;width:263.25pt;height:13.05pt;mso-position-horizontal-relative:page;mso-position-vertical-relative:page;z-index:-26774016" type="#_x0000_t202" id="docshape581" filled="false" stroked="false">
          <v:textbox inset="0,0,0,0">
            <w:txbxContent>
              <w:p>
                <w:pPr>
                  <w:spacing w:line="232" w:lineRule="exact" w:before="0"/>
                  <w:ind w:left="20" w:right="0" w:firstLine="0"/>
                  <w:jc w:val="left"/>
                  <w:rPr>
                    <w:sz w:val="22"/>
                  </w:rPr>
                </w:pPr>
                <w:r>
                  <w:rPr>
                    <w:w w:val="90"/>
                    <w:sz w:val="22"/>
                  </w:rPr>
                  <w:t>Department</w:t>
                </w:r>
                <w:r>
                  <w:rPr>
                    <w:spacing w:val="17"/>
                    <w:sz w:val="22"/>
                  </w:rPr>
                  <w:t> </w:t>
                </w:r>
                <w:r>
                  <w:rPr>
                    <w:w w:val="90"/>
                    <w:sz w:val="22"/>
                  </w:rPr>
                  <w:t>of</w:t>
                </w:r>
                <w:r>
                  <w:rPr>
                    <w:spacing w:val="12"/>
                    <w:sz w:val="22"/>
                  </w:rPr>
                  <w:t> </w:t>
                </w:r>
                <w:r>
                  <w:rPr>
                    <w:w w:val="90"/>
                    <w:sz w:val="22"/>
                  </w:rPr>
                  <w:t>Architecture</w:t>
                </w:r>
                <w:r>
                  <w:rPr>
                    <w:spacing w:val="18"/>
                    <w:sz w:val="22"/>
                  </w:rPr>
                  <w:t> </w:t>
                </w:r>
                <w:r>
                  <w:rPr>
                    <w:w w:val="90"/>
                    <w:sz w:val="22"/>
                  </w:rPr>
                  <w:t>Student</w:t>
                </w:r>
                <w:r>
                  <w:rPr>
                    <w:spacing w:val="17"/>
                    <w:sz w:val="22"/>
                  </w:rPr>
                  <w:t> </w:t>
                </w:r>
                <w:r>
                  <w:rPr>
                    <w:w w:val="90"/>
                    <w:sz w:val="22"/>
                  </w:rPr>
                  <w:t>Handbook</w:t>
                </w:r>
                <w:r>
                  <w:rPr>
                    <w:spacing w:val="14"/>
                    <w:sz w:val="22"/>
                  </w:rPr>
                  <w:t> </w:t>
                </w:r>
                <w:r>
                  <w:rPr>
                    <w:w w:val="90"/>
                    <w:sz w:val="22"/>
                  </w:rPr>
                  <w:t>2014-</w:t>
                </w:r>
                <w:r>
                  <w:rPr>
                    <w:spacing w:val="-4"/>
                    <w:w w:val="90"/>
                    <w:sz w:val="22"/>
                  </w:rPr>
                  <w:t>2015</w:t>
                </w:r>
              </w:p>
            </w:txbxContent>
          </v:textbox>
          <w10:wrap type="none"/>
        </v:shape>
      </w:pict>
    </w:r>
    <w:r>
      <w:rPr/>
      <w:pict>
        <v:shape style="position:absolute;margin-left:496.161438pt;margin-top:743.599976pt;width:48pt;height:13.05pt;mso-position-horizontal-relative:page;mso-position-vertical-relative:page;z-index:-26773504" type="#_x0000_t202" id="docshape582" filled="false" stroked="false">
          <v:textbox inset="0,0,0,0">
            <w:txbxContent>
              <w:p>
                <w:pPr>
                  <w:spacing w:line="232" w:lineRule="exact" w:before="0"/>
                  <w:ind w:left="20" w:right="0" w:firstLine="0"/>
                  <w:jc w:val="left"/>
                  <w:rPr>
                    <w:sz w:val="22"/>
                  </w:rPr>
                </w:pPr>
                <w:r>
                  <w:rPr>
                    <w:w w:val="90"/>
                    <w:sz w:val="22"/>
                  </w:rPr>
                  <w:t>Page</w:t>
                </w:r>
                <w:r>
                  <w:rPr>
                    <w:spacing w:val="-3"/>
                    <w:sz w:val="22"/>
                  </w:rPr>
                  <w:t> </w:t>
                </w:r>
                <w:r>
                  <w:rPr>
                    <w:w w:val="90"/>
                    <w:sz w:val="22"/>
                  </w:rPr>
                  <w:t>|</w:t>
                </w:r>
                <w:r>
                  <w:rPr>
                    <w:spacing w:val="-5"/>
                    <w:sz w:val="22"/>
                  </w:rPr>
                  <w:t> </w:t>
                </w:r>
                <w:r>
                  <w:rPr>
                    <w:spacing w:val="-5"/>
                    <w:w w:val="90"/>
                    <w:sz w:val="22"/>
                  </w:rPr>
                  <w:fldChar w:fldCharType="begin"/>
                </w:r>
                <w:r>
                  <w:rPr>
                    <w:spacing w:val="-5"/>
                    <w:w w:val="90"/>
                    <w:sz w:val="22"/>
                  </w:rPr>
                  <w:instrText> PAGE </w:instrText>
                </w:r>
                <w:r>
                  <w:rPr>
                    <w:spacing w:val="-5"/>
                    <w:w w:val="90"/>
                    <w:sz w:val="22"/>
                  </w:rPr>
                  <w:fldChar w:fldCharType="separate"/>
                </w:r>
                <w:r>
                  <w:rPr>
                    <w:spacing w:val="-5"/>
                    <w:w w:val="90"/>
                    <w:sz w:val="22"/>
                  </w:rPr>
                  <w:t>13</w:t>
                </w:r>
                <w:r>
                  <w:rPr>
                    <w:spacing w:val="-5"/>
                    <w:w w:val="90"/>
                    <w:sz w:val="22"/>
                  </w:rPr>
                  <w:fldChar w:fldCharType="end"/>
                </w:r>
              </w:p>
            </w:txbxContent>
          </v:textbox>
          <w10:wrap type="none"/>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033119pt;margin-top:743.573608pt;width:263.25pt;height:13.05pt;mso-position-horizontal-relative:page;mso-position-vertical-relative:page;z-index:-26772992" type="#_x0000_t202" id="docshape583" filled="false" stroked="false">
          <v:textbox inset="0,0,0,0">
            <w:txbxContent>
              <w:p>
                <w:pPr>
                  <w:spacing w:line="232" w:lineRule="exact" w:before="0"/>
                  <w:ind w:left="20" w:right="0" w:firstLine="0"/>
                  <w:jc w:val="left"/>
                  <w:rPr>
                    <w:sz w:val="22"/>
                  </w:rPr>
                </w:pPr>
                <w:r>
                  <w:rPr>
                    <w:w w:val="90"/>
                    <w:sz w:val="22"/>
                  </w:rPr>
                  <w:t>Department</w:t>
                </w:r>
                <w:r>
                  <w:rPr>
                    <w:spacing w:val="17"/>
                    <w:sz w:val="22"/>
                  </w:rPr>
                  <w:t> </w:t>
                </w:r>
                <w:r>
                  <w:rPr>
                    <w:w w:val="90"/>
                    <w:sz w:val="22"/>
                  </w:rPr>
                  <w:t>of</w:t>
                </w:r>
                <w:r>
                  <w:rPr>
                    <w:spacing w:val="12"/>
                    <w:sz w:val="22"/>
                  </w:rPr>
                  <w:t> </w:t>
                </w:r>
                <w:r>
                  <w:rPr>
                    <w:w w:val="90"/>
                    <w:sz w:val="22"/>
                  </w:rPr>
                  <w:t>Architecture</w:t>
                </w:r>
                <w:r>
                  <w:rPr>
                    <w:spacing w:val="18"/>
                    <w:sz w:val="22"/>
                  </w:rPr>
                  <w:t> </w:t>
                </w:r>
                <w:r>
                  <w:rPr>
                    <w:w w:val="90"/>
                    <w:sz w:val="22"/>
                  </w:rPr>
                  <w:t>Student</w:t>
                </w:r>
                <w:r>
                  <w:rPr>
                    <w:spacing w:val="17"/>
                    <w:sz w:val="22"/>
                  </w:rPr>
                  <w:t> </w:t>
                </w:r>
                <w:r>
                  <w:rPr>
                    <w:w w:val="90"/>
                    <w:sz w:val="22"/>
                  </w:rPr>
                  <w:t>Handbook</w:t>
                </w:r>
                <w:r>
                  <w:rPr>
                    <w:spacing w:val="14"/>
                    <w:sz w:val="22"/>
                  </w:rPr>
                  <w:t> </w:t>
                </w:r>
                <w:r>
                  <w:rPr>
                    <w:w w:val="90"/>
                    <w:sz w:val="22"/>
                  </w:rPr>
                  <w:t>2014-</w:t>
                </w:r>
                <w:r>
                  <w:rPr>
                    <w:spacing w:val="-4"/>
                    <w:w w:val="90"/>
                    <w:sz w:val="22"/>
                  </w:rPr>
                  <w:t>2015</w:t>
                </w:r>
              </w:p>
            </w:txbxContent>
          </v:textbox>
          <w10:wrap type="none"/>
        </v:shape>
      </w:pict>
    </w:r>
    <w:r>
      <w:rPr/>
      <w:pict>
        <v:shape style="position:absolute;margin-left:496.19455pt;margin-top:743.573608pt;width:48pt;height:13.05pt;mso-position-horizontal-relative:page;mso-position-vertical-relative:page;z-index:-26772480" type="#_x0000_t202" id="docshape584" filled="false" stroked="false">
          <v:textbox inset="0,0,0,0">
            <w:txbxContent>
              <w:p>
                <w:pPr>
                  <w:spacing w:line="232" w:lineRule="exact" w:before="0"/>
                  <w:ind w:left="20" w:right="0" w:firstLine="0"/>
                  <w:jc w:val="left"/>
                  <w:rPr>
                    <w:sz w:val="22"/>
                  </w:rPr>
                </w:pPr>
                <w:r>
                  <w:rPr>
                    <w:w w:val="90"/>
                    <w:sz w:val="22"/>
                  </w:rPr>
                  <w:t>Page</w:t>
                </w:r>
                <w:r>
                  <w:rPr>
                    <w:spacing w:val="-3"/>
                    <w:sz w:val="22"/>
                  </w:rPr>
                  <w:t> </w:t>
                </w:r>
                <w:r>
                  <w:rPr>
                    <w:w w:val="90"/>
                    <w:sz w:val="22"/>
                  </w:rPr>
                  <w:t>|</w:t>
                </w:r>
                <w:r>
                  <w:rPr>
                    <w:spacing w:val="-5"/>
                    <w:sz w:val="22"/>
                  </w:rPr>
                  <w:t> </w:t>
                </w:r>
                <w:r>
                  <w:rPr>
                    <w:spacing w:val="-5"/>
                    <w:w w:val="90"/>
                    <w:sz w:val="22"/>
                  </w:rPr>
                  <w:fldChar w:fldCharType="begin"/>
                </w:r>
                <w:r>
                  <w:rPr>
                    <w:spacing w:val="-5"/>
                    <w:w w:val="90"/>
                    <w:sz w:val="22"/>
                  </w:rPr>
                  <w:instrText> PAGE </w:instrText>
                </w:r>
                <w:r>
                  <w:rPr>
                    <w:spacing w:val="-5"/>
                    <w:w w:val="90"/>
                    <w:sz w:val="22"/>
                  </w:rPr>
                  <w:fldChar w:fldCharType="separate"/>
                </w:r>
                <w:r>
                  <w:rPr>
                    <w:spacing w:val="-5"/>
                    <w:w w:val="90"/>
                    <w:sz w:val="22"/>
                  </w:rPr>
                  <w:t>14</w:t>
                </w:r>
                <w:r>
                  <w:rPr>
                    <w:spacing w:val="-5"/>
                    <w:w w:val="90"/>
                    <w:sz w:val="22"/>
                  </w:rPr>
                  <w:fldChar w:fldCharType="end"/>
                </w:r>
              </w:p>
            </w:txbxContent>
          </v:textbox>
          <w10:wrap type="none"/>
        </v:shape>
      </w:pict>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743.599976pt;width:263.25pt;height:13.05pt;mso-position-horizontal-relative:page;mso-position-vertical-relative:page;z-index:-26771968" type="#_x0000_t202" id="docshape585" filled="false" stroked="false">
          <v:textbox inset="0,0,0,0">
            <w:txbxContent>
              <w:p>
                <w:pPr>
                  <w:spacing w:line="232" w:lineRule="exact" w:before="0"/>
                  <w:ind w:left="20" w:right="0" w:firstLine="0"/>
                  <w:jc w:val="left"/>
                  <w:rPr>
                    <w:sz w:val="22"/>
                  </w:rPr>
                </w:pPr>
                <w:r>
                  <w:rPr>
                    <w:w w:val="90"/>
                    <w:sz w:val="22"/>
                  </w:rPr>
                  <w:t>Department</w:t>
                </w:r>
                <w:r>
                  <w:rPr>
                    <w:spacing w:val="17"/>
                    <w:sz w:val="22"/>
                  </w:rPr>
                  <w:t> </w:t>
                </w:r>
                <w:r>
                  <w:rPr>
                    <w:w w:val="90"/>
                    <w:sz w:val="22"/>
                  </w:rPr>
                  <w:t>of</w:t>
                </w:r>
                <w:r>
                  <w:rPr>
                    <w:spacing w:val="12"/>
                    <w:sz w:val="22"/>
                  </w:rPr>
                  <w:t> </w:t>
                </w:r>
                <w:r>
                  <w:rPr>
                    <w:w w:val="90"/>
                    <w:sz w:val="22"/>
                  </w:rPr>
                  <w:t>Architecture</w:t>
                </w:r>
                <w:r>
                  <w:rPr>
                    <w:spacing w:val="18"/>
                    <w:sz w:val="22"/>
                  </w:rPr>
                  <w:t> </w:t>
                </w:r>
                <w:r>
                  <w:rPr>
                    <w:w w:val="90"/>
                    <w:sz w:val="22"/>
                  </w:rPr>
                  <w:t>Student</w:t>
                </w:r>
                <w:r>
                  <w:rPr>
                    <w:spacing w:val="17"/>
                    <w:sz w:val="22"/>
                  </w:rPr>
                  <w:t> </w:t>
                </w:r>
                <w:r>
                  <w:rPr>
                    <w:w w:val="90"/>
                    <w:sz w:val="22"/>
                  </w:rPr>
                  <w:t>Handbook</w:t>
                </w:r>
                <w:r>
                  <w:rPr>
                    <w:spacing w:val="14"/>
                    <w:sz w:val="22"/>
                  </w:rPr>
                  <w:t> </w:t>
                </w:r>
                <w:r>
                  <w:rPr>
                    <w:w w:val="90"/>
                    <w:sz w:val="22"/>
                  </w:rPr>
                  <w:t>2014-</w:t>
                </w:r>
                <w:r>
                  <w:rPr>
                    <w:spacing w:val="-4"/>
                    <w:w w:val="90"/>
                    <w:sz w:val="22"/>
                  </w:rPr>
                  <w:t>2015</w:t>
                </w:r>
              </w:p>
            </w:txbxContent>
          </v:textbox>
          <w10:wrap type="none"/>
        </v:shape>
      </w:pict>
    </w:r>
    <w:r>
      <w:rPr/>
      <w:pict>
        <v:shape style="position:absolute;margin-left:496.161438pt;margin-top:743.599976pt;width:48pt;height:13.05pt;mso-position-horizontal-relative:page;mso-position-vertical-relative:page;z-index:-26771456" type="#_x0000_t202" id="docshape586" filled="false" stroked="false">
          <v:textbox inset="0,0,0,0">
            <w:txbxContent>
              <w:p>
                <w:pPr>
                  <w:spacing w:line="232" w:lineRule="exact" w:before="0"/>
                  <w:ind w:left="20" w:right="0" w:firstLine="0"/>
                  <w:jc w:val="left"/>
                  <w:rPr>
                    <w:sz w:val="22"/>
                  </w:rPr>
                </w:pPr>
                <w:r>
                  <w:rPr>
                    <w:w w:val="90"/>
                    <w:sz w:val="22"/>
                  </w:rPr>
                  <w:t>Page</w:t>
                </w:r>
                <w:r>
                  <w:rPr>
                    <w:spacing w:val="-3"/>
                    <w:sz w:val="22"/>
                  </w:rPr>
                  <w:t> </w:t>
                </w:r>
                <w:r>
                  <w:rPr>
                    <w:w w:val="90"/>
                    <w:sz w:val="22"/>
                  </w:rPr>
                  <w:t>|</w:t>
                </w:r>
                <w:r>
                  <w:rPr>
                    <w:spacing w:val="-5"/>
                    <w:sz w:val="22"/>
                  </w:rPr>
                  <w:t> </w:t>
                </w:r>
                <w:r>
                  <w:rPr>
                    <w:spacing w:val="-5"/>
                    <w:w w:val="90"/>
                    <w:sz w:val="22"/>
                  </w:rPr>
                  <w:fldChar w:fldCharType="begin"/>
                </w:r>
                <w:r>
                  <w:rPr>
                    <w:spacing w:val="-5"/>
                    <w:w w:val="90"/>
                    <w:sz w:val="22"/>
                  </w:rPr>
                  <w:instrText> PAGE </w:instrText>
                </w:r>
                <w:r>
                  <w:rPr>
                    <w:spacing w:val="-5"/>
                    <w:w w:val="90"/>
                    <w:sz w:val="22"/>
                  </w:rPr>
                  <w:fldChar w:fldCharType="separate"/>
                </w:r>
                <w:r>
                  <w:rPr>
                    <w:spacing w:val="-5"/>
                    <w:w w:val="90"/>
                    <w:sz w:val="22"/>
                  </w:rPr>
                  <w:t>15</w:t>
                </w:r>
                <w:r>
                  <w:rPr>
                    <w:spacing w:val="-5"/>
                    <w:w w:val="90"/>
                    <w:sz w:val="22"/>
                  </w:rPr>
                  <w:fldChar w:fldCharType="end"/>
                </w:r>
              </w:p>
            </w:txbxContent>
          </v:textbox>
          <w10:wrap type="non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011040pt;margin-top:743.545288pt;width:263.25pt;height:13.05pt;mso-position-horizontal-relative:page;mso-position-vertical-relative:page;z-index:-26770944" type="#_x0000_t202" id="docshape588" filled="false" stroked="false">
          <v:textbox inset="0,0,0,0">
            <w:txbxContent>
              <w:p>
                <w:pPr>
                  <w:spacing w:line="232" w:lineRule="exact" w:before="0"/>
                  <w:ind w:left="20" w:right="0" w:firstLine="0"/>
                  <w:jc w:val="left"/>
                  <w:rPr>
                    <w:sz w:val="22"/>
                  </w:rPr>
                </w:pPr>
                <w:r>
                  <w:rPr>
                    <w:w w:val="90"/>
                    <w:sz w:val="22"/>
                  </w:rPr>
                  <w:t>Department</w:t>
                </w:r>
                <w:r>
                  <w:rPr>
                    <w:spacing w:val="17"/>
                    <w:sz w:val="22"/>
                  </w:rPr>
                  <w:t> </w:t>
                </w:r>
                <w:r>
                  <w:rPr>
                    <w:w w:val="90"/>
                    <w:sz w:val="22"/>
                  </w:rPr>
                  <w:t>of</w:t>
                </w:r>
                <w:r>
                  <w:rPr>
                    <w:spacing w:val="12"/>
                    <w:sz w:val="22"/>
                  </w:rPr>
                  <w:t> </w:t>
                </w:r>
                <w:r>
                  <w:rPr>
                    <w:w w:val="90"/>
                    <w:sz w:val="22"/>
                  </w:rPr>
                  <w:t>Architecture</w:t>
                </w:r>
                <w:r>
                  <w:rPr>
                    <w:spacing w:val="18"/>
                    <w:sz w:val="22"/>
                  </w:rPr>
                  <w:t> </w:t>
                </w:r>
                <w:r>
                  <w:rPr>
                    <w:w w:val="90"/>
                    <w:sz w:val="22"/>
                  </w:rPr>
                  <w:t>Student</w:t>
                </w:r>
                <w:r>
                  <w:rPr>
                    <w:spacing w:val="17"/>
                    <w:sz w:val="22"/>
                  </w:rPr>
                  <w:t> </w:t>
                </w:r>
                <w:r>
                  <w:rPr>
                    <w:w w:val="90"/>
                    <w:sz w:val="22"/>
                  </w:rPr>
                  <w:t>Handbook</w:t>
                </w:r>
                <w:r>
                  <w:rPr>
                    <w:spacing w:val="14"/>
                    <w:sz w:val="22"/>
                  </w:rPr>
                  <w:t> </w:t>
                </w:r>
                <w:r>
                  <w:rPr>
                    <w:w w:val="90"/>
                    <w:sz w:val="22"/>
                  </w:rPr>
                  <w:t>2014-</w:t>
                </w:r>
                <w:r>
                  <w:rPr>
                    <w:spacing w:val="-4"/>
                    <w:w w:val="90"/>
                    <w:sz w:val="22"/>
                  </w:rPr>
                  <w:t>2015</w:t>
                </w:r>
              </w:p>
            </w:txbxContent>
          </v:textbox>
          <w10:wrap type="none"/>
        </v:shape>
      </w:pict>
    </w:r>
    <w:r>
      <w:rPr/>
      <w:pict>
        <v:shape style="position:absolute;margin-left:496.172485pt;margin-top:743.545288pt;width:48pt;height:13.05pt;mso-position-horizontal-relative:page;mso-position-vertical-relative:page;z-index:-26770432" type="#_x0000_t202" id="docshape589" filled="false" stroked="false">
          <v:textbox inset="0,0,0,0">
            <w:txbxContent>
              <w:p>
                <w:pPr>
                  <w:spacing w:line="232" w:lineRule="exact" w:before="0"/>
                  <w:ind w:left="20" w:right="0" w:firstLine="0"/>
                  <w:jc w:val="left"/>
                  <w:rPr>
                    <w:sz w:val="22"/>
                  </w:rPr>
                </w:pPr>
                <w:r>
                  <w:rPr>
                    <w:w w:val="90"/>
                    <w:sz w:val="22"/>
                  </w:rPr>
                  <w:t>Page</w:t>
                </w:r>
                <w:r>
                  <w:rPr>
                    <w:spacing w:val="-3"/>
                    <w:sz w:val="22"/>
                  </w:rPr>
                  <w:t> </w:t>
                </w:r>
                <w:r>
                  <w:rPr>
                    <w:w w:val="90"/>
                    <w:sz w:val="22"/>
                  </w:rPr>
                  <w:t>|</w:t>
                </w:r>
                <w:r>
                  <w:rPr>
                    <w:spacing w:val="-5"/>
                    <w:sz w:val="22"/>
                  </w:rPr>
                  <w:t> </w:t>
                </w:r>
                <w:r>
                  <w:rPr>
                    <w:spacing w:val="-5"/>
                    <w:w w:val="90"/>
                    <w:sz w:val="22"/>
                  </w:rPr>
                  <w:fldChar w:fldCharType="begin"/>
                </w:r>
                <w:r>
                  <w:rPr>
                    <w:spacing w:val="-5"/>
                    <w:w w:val="90"/>
                    <w:sz w:val="22"/>
                  </w:rPr>
                  <w:instrText> PAGE </w:instrText>
                </w:r>
                <w:r>
                  <w:rPr>
                    <w:spacing w:val="-5"/>
                    <w:w w:val="90"/>
                    <w:sz w:val="22"/>
                  </w:rPr>
                  <w:fldChar w:fldCharType="separate"/>
                </w:r>
                <w:r>
                  <w:rPr>
                    <w:spacing w:val="-5"/>
                    <w:w w:val="90"/>
                    <w:sz w:val="22"/>
                  </w:rPr>
                  <w:t>16</w:t>
                </w:r>
                <w:r>
                  <w:rPr>
                    <w:spacing w:val="-5"/>
                    <w:w w:val="90"/>
                    <w:sz w:val="22"/>
                  </w:rPr>
                  <w:fldChar w:fldCharType="end"/>
                </w:r>
              </w:p>
            </w:txbxContent>
          </v:textbox>
          <w10:wrap type="non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088318pt;margin-top:743.5448pt;width:263.25pt;height:13.05pt;mso-position-horizontal-relative:page;mso-position-vertical-relative:page;z-index:-26769920" type="#_x0000_t202" id="docshape591" filled="false" stroked="false">
          <v:textbox inset="0,0,0,0">
            <w:txbxContent>
              <w:p>
                <w:pPr>
                  <w:spacing w:line="232" w:lineRule="exact" w:before="0"/>
                  <w:ind w:left="20" w:right="0" w:firstLine="0"/>
                  <w:jc w:val="left"/>
                  <w:rPr>
                    <w:sz w:val="22"/>
                  </w:rPr>
                </w:pPr>
                <w:r>
                  <w:rPr>
                    <w:w w:val="90"/>
                    <w:sz w:val="22"/>
                  </w:rPr>
                  <w:t>Department</w:t>
                </w:r>
                <w:r>
                  <w:rPr>
                    <w:spacing w:val="17"/>
                    <w:sz w:val="22"/>
                  </w:rPr>
                  <w:t> </w:t>
                </w:r>
                <w:r>
                  <w:rPr>
                    <w:w w:val="90"/>
                    <w:sz w:val="22"/>
                  </w:rPr>
                  <w:t>of</w:t>
                </w:r>
                <w:r>
                  <w:rPr>
                    <w:spacing w:val="12"/>
                    <w:sz w:val="22"/>
                  </w:rPr>
                  <w:t> </w:t>
                </w:r>
                <w:r>
                  <w:rPr>
                    <w:w w:val="90"/>
                    <w:sz w:val="22"/>
                  </w:rPr>
                  <w:t>Architecture</w:t>
                </w:r>
                <w:r>
                  <w:rPr>
                    <w:spacing w:val="18"/>
                    <w:sz w:val="22"/>
                  </w:rPr>
                  <w:t> </w:t>
                </w:r>
                <w:r>
                  <w:rPr>
                    <w:w w:val="90"/>
                    <w:sz w:val="22"/>
                  </w:rPr>
                  <w:t>Student</w:t>
                </w:r>
                <w:r>
                  <w:rPr>
                    <w:spacing w:val="17"/>
                    <w:sz w:val="22"/>
                  </w:rPr>
                  <w:t> </w:t>
                </w:r>
                <w:r>
                  <w:rPr>
                    <w:w w:val="90"/>
                    <w:sz w:val="22"/>
                  </w:rPr>
                  <w:t>Handbook</w:t>
                </w:r>
                <w:r>
                  <w:rPr>
                    <w:spacing w:val="14"/>
                    <w:sz w:val="22"/>
                  </w:rPr>
                  <w:t> </w:t>
                </w:r>
                <w:r>
                  <w:rPr>
                    <w:w w:val="90"/>
                    <w:sz w:val="22"/>
                  </w:rPr>
                  <w:t>2014-</w:t>
                </w:r>
                <w:r>
                  <w:rPr>
                    <w:spacing w:val="-4"/>
                    <w:w w:val="90"/>
                    <w:sz w:val="22"/>
                  </w:rPr>
                  <w:t>2015</w:t>
                </w:r>
              </w:p>
            </w:txbxContent>
          </v:textbox>
          <w10:wrap type="none"/>
        </v:shape>
      </w:pict>
    </w:r>
    <w:r>
      <w:rPr/>
      <w:pict>
        <v:shape style="position:absolute;margin-left:496.249756pt;margin-top:743.5448pt;width:48pt;height:13.05pt;mso-position-horizontal-relative:page;mso-position-vertical-relative:page;z-index:-26769408" type="#_x0000_t202" id="docshape592" filled="false" stroked="false">
          <v:textbox inset="0,0,0,0">
            <w:txbxContent>
              <w:p>
                <w:pPr>
                  <w:spacing w:line="232" w:lineRule="exact" w:before="0"/>
                  <w:ind w:left="20" w:right="0" w:firstLine="0"/>
                  <w:jc w:val="left"/>
                  <w:rPr>
                    <w:sz w:val="22"/>
                  </w:rPr>
                </w:pPr>
                <w:r>
                  <w:rPr>
                    <w:w w:val="90"/>
                    <w:sz w:val="22"/>
                  </w:rPr>
                  <w:t>Page</w:t>
                </w:r>
                <w:r>
                  <w:rPr>
                    <w:spacing w:val="-3"/>
                    <w:sz w:val="22"/>
                  </w:rPr>
                  <w:t> </w:t>
                </w:r>
                <w:r>
                  <w:rPr>
                    <w:w w:val="90"/>
                    <w:sz w:val="22"/>
                  </w:rPr>
                  <w:t>|</w:t>
                </w:r>
                <w:r>
                  <w:rPr>
                    <w:spacing w:val="-5"/>
                    <w:sz w:val="22"/>
                  </w:rPr>
                  <w:t> </w:t>
                </w:r>
                <w:r>
                  <w:rPr>
                    <w:spacing w:val="-5"/>
                    <w:w w:val="90"/>
                    <w:sz w:val="22"/>
                  </w:rPr>
                  <w:fldChar w:fldCharType="begin"/>
                </w:r>
                <w:r>
                  <w:rPr>
                    <w:spacing w:val="-5"/>
                    <w:w w:val="90"/>
                    <w:sz w:val="22"/>
                  </w:rPr>
                  <w:instrText> PAGE </w:instrText>
                </w:r>
                <w:r>
                  <w:rPr>
                    <w:spacing w:val="-5"/>
                    <w:w w:val="90"/>
                    <w:sz w:val="22"/>
                  </w:rPr>
                  <w:fldChar w:fldCharType="separate"/>
                </w:r>
                <w:r>
                  <w:rPr>
                    <w:spacing w:val="-5"/>
                    <w:w w:val="90"/>
                    <w:sz w:val="22"/>
                  </w:rPr>
                  <w:t>17</w:t>
                </w:r>
                <w:r>
                  <w:rPr>
                    <w:spacing w:val="-5"/>
                    <w:w w:val="90"/>
                    <w:sz w:val="22"/>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7025408" id="docshape46" filled="true" fillcolor="#000000" stroked="false">
          <v:fill type="solid"/>
          <w10:wrap type="none"/>
        </v:rect>
      </w:pict>
    </w:r>
    <w:r>
      <w:rPr/>
      <w:pict>
        <v:shape style="position:absolute;margin-left:71pt;margin-top:734.809998pt;width:178.95pt;height:21.95pt;mso-position-horizontal-relative:page;mso-position-vertical-relative:page;z-index:-27024896" type="#_x0000_t202" id="docshape47"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7024384" type="#_x0000_t202" id="docshape48"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1</w:t>
                </w:r>
                <w:r>
                  <w:rPr>
                    <w:spacing w:val="-7"/>
                    <w:w w:val="90"/>
                    <w:sz w:val="18"/>
                  </w:rPr>
                  <w:t> </w:t>
                </w:r>
                <w:r>
                  <w:rPr>
                    <w:w w:val="90"/>
                    <w:sz w:val="18"/>
                  </w:rPr>
                  <w:t>-</w:t>
                </w:r>
                <w:r>
                  <w:rPr>
                    <w:spacing w:val="-7"/>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63</w:t>
                </w:r>
                <w:r>
                  <w:rPr>
                    <w:spacing w:val="-5"/>
                    <w:w w:val="90"/>
                    <w:sz w:val="18"/>
                  </w:rPr>
                  <w:fldChar w:fldCharType="end"/>
                </w:r>
              </w:p>
            </w:txbxContent>
          </v:textbox>
          <w10:wrap type="none"/>
        </v:shape>
      </w:pic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743.599976pt;width:263.25pt;height:13.05pt;mso-position-horizontal-relative:page;mso-position-vertical-relative:page;z-index:-26768896" type="#_x0000_t202" id="docshape593" filled="false" stroked="false">
          <v:textbox inset="0,0,0,0">
            <w:txbxContent>
              <w:p>
                <w:pPr>
                  <w:spacing w:line="232" w:lineRule="exact" w:before="0"/>
                  <w:ind w:left="20" w:right="0" w:firstLine="0"/>
                  <w:jc w:val="left"/>
                  <w:rPr>
                    <w:sz w:val="22"/>
                  </w:rPr>
                </w:pPr>
                <w:r>
                  <w:rPr>
                    <w:w w:val="90"/>
                    <w:sz w:val="22"/>
                  </w:rPr>
                  <w:t>Department</w:t>
                </w:r>
                <w:r>
                  <w:rPr>
                    <w:spacing w:val="17"/>
                    <w:sz w:val="22"/>
                  </w:rPr>
                  <w:t> </w:t>
                </w:r>
                <w:r>
                  <w:rPr>
                    <w:w w:val="90"/>
                    <w:sz w:val="22"/>
                  </w:rPr>
                  <w:t>of</w:t>
                </w:r>
                <w:r>
                  <w:rPr>
                    <w:spacing w:val="12"/>
                    <w:sz w:val="22"/>
                  </w:rPr>
                  <w:t> </w:t>
                </w:r>
                <w:r>
                  <w:rPr>
                    <w:w w:val="90"/>
                    <w:sz w:val="22"/>
                  </w:rPr>
                  <w:t>Architecture</w:t>
                </w:r>
                <w:r>
                  <w:rPr>
                    <w:spacing w:val="18"/>
                    <w:sz w:val="22"/>
                  </w:rPr>
                  <w:t> </w:t>
                </w:r>
                <w:r>
                  <w:rPr>
                    <w:w w:val="90"/>
                    <w:sz w:val="22"/>
                  </w:rPr>
                  <w:t>Student</w:t>
                </w:r>
                <w:r>
                  <w:rPr>
                    <w:spacing w:val="17"/>
                    <w:sz w:val="22"/>
                  </w:rPr>
                  <w:t> </w:t>
                </w:r>
                <w:r>
                  <w:rPr>
                    <w:w w:val="90"/>
                    <w:sz w:val="22"/>
                  </w:rPr>
                  <w:t>Handbook</w:t>
                </w:r>
                <w:r>
                  <w:rPr>
                    <w:spacing w:val="14"/>
                    <w:sz w:val="22"/>
                  </w:rPr>
                  <w:t> </w:t>
                </w:r>
                <w:r>
                  <w:rPr>
                    <w:w w:val="90"/>
                    <w:sz w:val="22"/>
                  </w:rPr>
                  <w:t>2014-</w:t>
                </w:r>
                <w:r>
                  <w:rPr>
                    <w:spacing w:val="-4"/>
                    <w:w w:val="90"/>
                    <w:sz w:val="22"/>
                  </w:rPr>
                  <w:t>2015</w:t>
                </w:r>
              </w:p>
            </w:txbxContent>
          </v:textbox>
          <w10:wrap type="none"/>
        </v:shape>
      </w:pict>
    </w:r>
    <w:r>
      <w:rPr/>
      <w:pict>
        <v:shape style="position:absolute;margin-left:496.161438pt;margin-top:743.599976pt;width:48pt;height:13.05pt;mso-position-horizontal-relative:page;mso-position-vertical-relative:page;z-index:-26768384" type="#_x0000_t202" id="docshape594" filled="false" stroked="false">
          <v:textbox inset="0,0,0,0">
            <w:txbxContent>
              <w:p>
                <w:pPr>
                  <w:spacing w:line="232" w:lineRule="exact" w:before="0"/>
                  <w:ind w:left="20" w:right="0" w:firstLine="0"/>
                  <w:jc w:val="left"/>
                  <w:rPr>
                    <w:sz w:val="22"/>
                  </w:rPr>
                </w:pPr>
                <w:r>
                  <w:rPr>
                    <w:w w:val="90"/>
                    <w:sz w:val="22"/>
                  </w:rPr>
                  <w:t>Page</w:t>
                </w:r>
                <w:r>
                  <w:rPr>
                    <w:spacing w:val="-3"/>
                    <w:sz w:val="22"/>
                  </w:rPr>
                  <w:t> </w:t>
                </w:r>
                <w:r>
                  <w:rPr>
                    <w:w w:val="90"/>
                    <w:sz w:val="22"/>
                  </w:rPr>
                  <w:t>|</w:t>
                </w:r>
                <w:r>
                  <w:rPr>
                    <w:spacing w:val="-5"/>
                    <w:sz w:val="22"/>
                  </w:rPr>
                  <w:t> </w:t>
                </w:r>
                <w:r>
                  <w:rPr>
                    <w:spacing w:val="-5"/>
                    <w:w w:val="90"/>
                    <w:sz w:val="22"/>
                  </w:rPr>
                  <w:fldChar w:fldCharType="begin"/>
                </w:r>
                <w:r>
                  <w:rPr>
                    <w:spacing w:val="-5"/>
                    <w:w w:val="90"/>
                    <w:sz w:val="22"/>
                  </w:rPr>
                  <w:instrText> PAGE </w:instrText>
                </w:r>
                <w:r>
                  <w:rPr>
                    <w:spacing w:val="-5"/>
                    <w:w w:val="90"/>
                    <w:sz w:val="22"/>
                  </w:rPr>
                  <w:fldChar w:fldCharType="separate"/>
                </w:r>
                <w:r>
                  <w:rPr>
                    <w:spacing w:val="-5"/>
                    <w:w w:val="90"/>
                    <w:sz w:val="22"/>
                  </w:rPr>
                  <w:t>18</w:t>
                </w:r>
                <w:r>
                  <w:rPr>
                    <w:spacing w:val="-5"/>
                    <w:w w:val="90"/>
                    <w:sz w:val="22"/>
                  </w:rPr>
                  <w:fldChar w:fldCharType="end"/>
                </w:r>
              </w:p>
            </w:txbxContent>
          </v:textbox>
          <w10:wrap type="non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011040pt;margin-top:743.484802pt;width:263.25pt;height:13.05pt;mso-position-horizontal-relative:page;mso-position-vertical-relative:page;z-index:-26767872" type="#_x0000_t202" id="docshape595" filled="false" stroked="false">
          <v:textbox inset="0,0,0,0">
            <w:txbxContent>
              <w:p>
                <w:pPr>
                  <w:spacing w:line="232" w:lineRule="exact" w:before="0"/>
                  <w:ind w:left="20" w:right="0" w:firstLine="0"/>
                  <w:jc w:val="left"/>
                  <w:rPr>
                    <w:sz w:val="22"/>
                  </w:rPr>
                </w:pPr>
                <w:r>
                  <w:rPr>
                    <w:w w:val="90"/>
                    <w:sz w:val="22"/>
                  </w:rPr>
                  <w:t>Department</w:t>
                </w:r>
                <w:r>
                  <w:rPr>
                    <w:spacing w:val="17"/>
                    <w:sz w:val="22"/>
                  </w:rPr>
                  <w:t> </w:t>
                </w:r>
                <w:r>
                  <w:rPr>
                    <w:w w:val="90"/>
                    <w:sz w:val="22"/>
                  </w:rPr>
                  <w:t>of</w:t>
                </w:r>
                <w:r>
                  <w:rPr>
                    <w:spacing w:val="12"/>
                    <w:sz w:val="22"/>
                  </w:rPr>
                  <w:t> </w:t>
                </w:r>
                <w:r>
                  <w:rPr>
                    <w:w w:val="90"/>
                    <w:sz w:val="22"/>
                  </w:rPr>
                  <w:t>Architecture</w:t>
                </w:r>
                <w:r>
                  <w:rPr>
                    <w:spacing w:val="18"/>
                    <w:sz w:val="22"/>
                  </w:rPr>
                  <w:t> </w:t>
                </w:r>
                <w:r>
                  <w:rPr>
                    <w:w w:val="90"/>
                    <w:sz w:val="22"/>
                  </w:rPr>
                  <w:t>Student</w:t>
                </w:r>
                <w:r>
                  <w:rPr>
                    <w:spacing w:val="17"/>
                    <w:sz w:val="22"/>
                  </w:rPr>
                  <w:t> </w:t>
                </w:r>
                <w:r>
                  <w:rPr>
                    <w:w w:val="90"/>
                    <w:sz w:val="22"/>
                  </w:rPr>
                  <w:t>Handbook</w:t>
                </w:r>
                <w:r>
                  <w:rPr>
                    <w:spacing w:val="14"/>
                    <w:sz w:val="22"/>
                  </w:rPr>
                  <w:t> </w:t>
                </w:r>
                <w:r>
                  <w:rPr>
                    <w:w w:val="90"/>
                    <w:sz w:val="22"/>
                  </w:rPr>
                  <w:t>2014-</w:t>
                </w:r>
                <w:r>
                  <w:rPr>
                    <w:spacing w:val="-4"/>
                    <w:w w:val="90"/>
                    <w:sz w:val="22"/>
                  </w:rPr>
                  <w:t>2015</w:t>
                </w:r>
              </w:p>
            </w:txbxContent>
          </v:textbox>
          <w10:wrap type="none"/>
        </v:shape>
      </w:pict>
    </w:r>
    <w:r>
      <w:rPr/>
      <w:pict>
        <v:shape style="position:absolute;margin-left:496.172485pt;margin-top:743.484802pt;width:48pt;height:13.05pt;mso-position-horizontal-relative:page;mso-position-vertical-relative:page;z-index:-26767360" type="#_x0000_t202" id="docshape596" filled="false" stroked="false">
          <v:textbox inset="0,0,0,0">
            <w:txbxContent>
              <w:p>
                <w:pPr>
                  <w:spacing w:line="232" w:lineRule="exact" w:before="0"/>
                  <w:ind w:left="20" w:right="0" w:firstLine="0"/>
                  <w:jc w:val="left"/>
                  <w:rPr>
                    <w:sz w:val="22"/>
                  </w:rPr>
                </w:pPr>
                <w:r>
                  <w:rPr>
                    <w:w w:val="90"/>
                    <w:sz w:val="22"/>
                  </w:rPr>
                  <w:t>Page</w:t>
                </w:r>
                <w:r>
                  <w:rPr>
                    <w:spacing w:val="-3"/>
                    <w:sz w:val="22"/>
                  </w:rPr>
                  <w:t> </w:t>
                </w:r>
                <w:r>
                  <w:rPr>
                    <w:w w:val="90"/>
                    <w:sz w:val="22"/>
                  </w:rPr>
                  <w:t>|</w:t>
                </w:r>
                <w:r>
                  <w:rPr>
                    <w:spacing w:val="-5"/>
                    <w:sz w:val="22"/>
                  </w:rPr>
                  <w:t> </w:t>
                </w:r>
                <w:r>
                  <w:rPr>
                    <w:spacing w:val="-5"/>
                    <w:w w:val="90"/>
                    <w:sz w:val="22"/>
                  </w:rPr>
                  <w:fldChar w:fldCharType="begin"/>
                </w:r>
                <w:r>
                  <w:rPr>
                    <w:spacing w:val="-5"/>
                    <w:w w:val="90"/>
                    <w:sz w:val="22"/>
                  </w:rPr>
                  <w:instrText> PAGE </w:instrText>
                </w:r>
                <w:r>
                  <w:rPr>
                    <w:spacing w:val="-5"/>
                    <w:w w:val="90"/>
                    <w:sz w:val="22"/>
                  </w:rPr>
                  <w:fldChar w:fldCharType="separate"/>
                </w:r>
                <w:r>
                  <w:rPr>
                    <w:spacing w:val="-5"/>
                    <w:w w:val="90"/>
                    <w:sz w:val="22"/>
                  </w:rPr>
                  <w:t>19</w:t>
                </w:r>
                <w:r>
                  <w:rPr>
                    <w:spacing w:val="-5"/>
                    <w:w w:val="90"/>
                    <w:sz w:val="22"/>
                  </w:rPr>
                  <w:fldChar w:fldCharType="end"/>
                </w:r>
              </w:p>
            </w:txbxContent>
          </v:textbox>
          <w10:wrap type="non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011040pt;margin-top:743.58606pt;width:263.25pt;height:13.05pt;mso-position-horizontal-relative:page;mso-position-vertical-relative:page;z-index:-26766848" type="#_x0000_t202" id="docshape597" filled="false" stroked="false">
          <v:textbox inset="0,0,0,0">
            <w:txbxContent>
              <w:p>
                <w:pPr>
                  <w:spacing w:line="232" w:lineRule="exact" w:before="0"/>
                  <w:ind w:left="20" w:right="0" w:firstLine="0"/>
                  <w:jc w:val="left"/>
                  <w:rPr>
                    <w:sz w:val="22"/>
                  </w:rPr>
                </w:pPr>
                <w:r>
                  <w:rPr>
                    <w:w w:val="90"/>
                    <w:sz w:val="22"/>
                  </w:rPr>
                  <w:t>Department</w:t>
                </w:r>
                <w:r>
                  <w:rPr>
                    <w:spacing w:val="17"/>
                    <w:sz w:val="22"/>
                  </w:rPr>
                  <w:t> </w:t>
                </w:r>
                <w:r>
                  <w:rPr>
                    <w:w w:val="90"/>
                    <w:sz w:val="22"/>
                  </w:rPr>
                  <w:t>of</w:t>
                </w:r>
                <w:r>
                  <w:rPr>
                    <w:spacing w:val="12"/>
                    <w:sz w:val="22"/>
                  </w:rPr>
                  <w:t> </w:t>
                </w:r>
                <w:r>
                  <w:rPr>
                    <w:w w:val="90"/>
                    <w:sz w:val="22"/>
                  </w:rPr>
                  <w:t>Architecture</w:t>
                </w:r>
                <w:r>
                  <w:rPr>
                    <w:spacing w:val="18"/>
                    <w:sz w:val="22"/>
                  </w:rPr>
                  <w:t> </w:t>
                </w:r>
                <w:r>
                  <w:rPr>
                    <w:w w:val="90"/>
                    <w:sz w:val="22"/>
                  </w:rPr>
                  <w:t>Student</w:t>
                </w:r>
                <w:r>
                  <w:rPr>
                    <w:spacing w:val="17"/>
                    <w:sz w:val="22"/>
                  </w:rPr>
                  <w:t> </w:t>
                </w:r>
                <w:r>
                  <w:rPr>
                    <w:w w:val="90"/>
                    <w:sz w:val="22"/>
                  </w:rPr>
                  <w:t>Handbook</w:t>
                </w:r>
                <w:r>
                  <w:rPr>
                    <w:spacing w:val="14"/>
                    <w:sz w:val="22"/>
                  </w:rPr>
                  <w:t> </w:t>
                </w:r>
                <w:r>
                  <w:rPr>
                    <w:w w:val="90"/>
                    <w:sz w:val="22"/>
                  </w:rPr>
                  <w:t>2014-</w:t>
                </w:r>
                <w:r>
                  <w:rPr>
                    <w:spacing w:val="-4"/>
                    <w:w w:val="90"/>
                    <w:sz w:val="22"/>
                  </w:rPr>
                  <w:t>2015</w:t>
                </w:r>
              </w:p>
            </w:txbxContent>
          </v:textbox>
          <w10:wrap type="none"/>
        </v:shape>
      </w:pict>
    </w:r>
    <w:r>
      <w:rPr/>
      <w:pict>
        <v:shape style="position:absolute;margin-left:496.172485pt;margin-top:743.58606pt;width:48pt;height:13.05pt;mso-position-horizontal-relative:page;mso-position-vertical-relative:page;z-index:-26766336" type="#_x0000_t202" id="docshape598" filled="false" stroked="false">
          <v:textbox inset="0,0,0,0">
            <w:txbxContent>
              <w:p>
                <w:pPr>
                  <w:spacing w:line="232" w:lineRule="exact" w:before="0"/>
                  <w:ind w:left="20" w:right="0" w:firstLine="0"/>
                  <w:jc w:val="left"/>
                  <w:rPr>
                    <w:sz w:val="22"/>
                  </w:rPr>
                </w:pPr>
                <w:r>
                  <w:rPr>
                    <w:w w:val="90"/>
                    <w:sz w:val="22"/>
                  </w:rPr>
                  <w:t>Page</w:t>
                </w:r>
                <w:r>
                  <w:rPr>
                    <w:spacing w:val="-3"/>
                    <w:sz w:val="22"/>
                  </w:rPr>
                  <w:t> </w:t>
                </w:r>
                <w:r>
                  <w:rPr>
                    <w:w w:val="90"/>
                    <w:sz w:val="22"/>
                  </w:rPr>
                  <w:t>|</w:t>
                </w:r>
                <w:r>
                  <w:rPr>
                    <w:spacing w:val="-5"/>
                    <w:sz w:val="22"/>
                  </w:rPr>
                  <w:t> </w:t>
                </w:r>
                <w:r>
                  <w:rPr>
                    <w:spacing w:val="-5"/>
                    <w:w w:val="90"/>
                    <w:sz w:val="22"/>
                  </w:rPr>
                  <w:fldChar w:fldCharType="begin"/>
                </w:r>
                <w:r>
                  <w:rPr>
                    <w:spacing w:val="-5"/>
                    <w:w w:val="90"/>
                    <w:sz w:val="22"/>
                  </w:rPr>
                  <w:instrText> PAGE </w:instrText>
                </w:r>
                <w:r>
                  <w:rPr>
                    <w:spacing w:val="-5"/>
                    <w:w w:val="90"/>
                    <w:sz w:val="22"/>
                  </w:rPr>
                  <w:fldChar w:fldCharType="separate"/>
                </w:r>
                <w:r>
                  <w:rPr>
                    <w:spacing w:val="-5"/>
                    <w:w w:val="90"/>
                    <w:sz w:val="22"/>
                  </w:rPr>
                  <w:t>20</w:t>
                </w:r>
                <w:r>
                  <w:rPr>
                    <w:spacing w:val="-5"/>
                    <w:w w:val="90"/>
                    <w:sz w:val="22"/>
                  </w:rPr>
                  <w:fldChar w:fldCharType="end"/>
                </w:r>
              </w:p>
            </w:txbxContent>
          </v:textbox>
          <w10:wrap type="non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011040pt;margin-top:743.445435pt;width:263.25pt;height:13.05pt;mso-position-horizontal-relative:page;mso-position-vertical-relative:page;z-index:-26765312" type="#_x0000_t202" id="docshape600" filled="false" stroked="false">
          <v:textbox inset="0,0,0,0">
            <w:txbxContent>
              <w:p>
                <w:pPr>
                  <w:spacing w:line="232" w:lineRule="exact" w:before="0"/>
                  <w:ind w:left="20" w:right="0" w:firstLine="0"/>
                  <w:jc w:val="left"/>
                  <w:rPr>
                    <w:sz w:val="22"/>
                  </w:rPr>
                </w:pPr>
                <w:r>
                  <w:rPr>
                    <w:w w:val="90"/>
                    <w:sz w:val="22"/>
                  </w:rPr>
                  <w:t>Department</w:t>
                </w:r>
                <w:r>
                  <w:rPr>
                    <w:spacing w:val="17"/>
                    <w:sz w:val="22"/>
                  </w:rPr>
                  <w:t> </w:t>
                </w:r>
                <w:r>
                  <w:rPr>
                    <w:w w:val="90"/>
                    <w:sz w:val="22"/>
                  </w:rPr>
                  <w:t>of</w:t>
                </w:r>
                <w:r>
                  <w:rPr>
                    <w:spacing w:val="12"/>
                    <w:sz w:val="22"/>
                  </w:rPr>
                  <w:t> </w:t>
                </w:r>
                <w:r>
                  <w:rPr>
                    <w:w w:val="90"/>
                    <w:sz w:val="22"/>
                  </w:rPr>
                  <w:t>Architecture</w:t>
                </w:r>
                <w:r>
                  <w:rPr>
                    <w:spacing w:val="18"/>
                    <w:sz w:val="22"/>
                  </w:rPr>
                  <w:t> </w:t>
                </w:r>
                <w:r>
                  <w:rPr>
                    <w:w w:val="90"/>
                    <w:sz w:val="22"/>
                  </w:rPr>
                  <w:t>Student</w:t>
                </w:r>
                <w:r>
                  <w:rPr>
                    <w:spacing w:val="17"/>
                    <w:sz w:val="22"/>
                  </w:rPr>
                  <w:t> </w:t>
                </w:r>
                <w:r>
                  <w:rPr>
                    <w:w w:val="90"/>
                    <w:sz w:val="22"/>
                  </w:rPr>
                  <w:t>Handbook</w:t>
                </w:r>
                <w:r>
                  <w:rPr>
                    <w:spacing w:val="14"/>
                    <w:sz w:val="22"/>
                  </w:rPr>
                  <w:t> </w:t>
                </w:r>
                <w:r>
                  <w:rPr>
                    <w:w w:val="90"/>
                    <w:sz w:val="22"/>
                  </w:rPr>
                  <w:t>2014-</w:t>
                </w:r>
                <w:r>
                  <w:rPr>
                    <w:spacing w:val="-4"/>
                    <w:w w:val="90"/>
                    <w:sz w:val="22"/>
                  </w:rPr>
                  <w:t>2015</w:t>
                </w:r>
              </w:p>
            </w:txbxContent>
          </v:textbox>
          <w10:wrap type="none"/>
        </v:shape>
      </w:pict>
    </w:r>
    <w:r>
      <w:rPr/>
      <w:pict>
        <v:shape style="position:absolute;margin-left:496.172485pt;margin-top:743.445435pt;width:48pt;height:13.05pt;mso-position-horizontal-relative:page;mso-position-vertical-relative:page;z-index:-26764800" type="#_x0000_t202" id="docshape601" filled="false" stroked="false">
          <v:textbox inset="0,0,0,0">
            <w:txbxContent>
              <w:p>
                <w:pPr>
                  <w:spacing w:line="232" w:lineRule="exact" w:before="0"/>
                  <w:ind w:left="20" w:right="0" w:firstLine="0"/>
                  <w:jc w:val="left"/>
                  <w:rPr>
                    <w:sz w:val="22"/>
                  </w:rPr>
                </w:pPr>
                <w:r>
                  <w:rPr>
                    <w:w w:val="90"/>
                    <w:sz w:val="22"/>
                  </w:rPr>
                  <w:t>Page</w:t>
                </w:r>
                <w:r>
                  <w:rPr>
                    <w:spacing w:val="-3"/>
                    <w:sz w:val="22"/>
                  </w:rPr>
                  <w:t> </w:t>
                </w:r>
                <w:r>
                  <w:rPr>
                    <w:w w:val="90"/>
                    <w:sz w:val="22"/>
                  </w:rPr>
                  <w:t>|</w:t>
                </w:r>
                <w:r>
                  <w:rPr>
                    <w:spacing w:val="-5"/>
                    <w:sz w:val="22"/>
                  </w:rPr>
                  <w:t> </w:t>
                </w:r>
                <w:r>
                  <w:rPr>
                    <w:spacing w:val="-5"/>
                    <w:w w:val="90"/>
                    <w:sz w:val="22"/>
                  </w:rPr>
                  <w:fldChar w:fldCharType="begin"/>
                </w:r>
                <w:r>
                  <w:rPr>
                    <w:spacing w:val="-5"/>
                    <w:w w:val="90"/>
                    <w:sz w:val="22"/>
                  </w:rPr>
                  <w:instrText> PAGE </w:instrText>
                </w:r>
                <w:r>
                  <w:rPr>
                    <w:spacing w:val="-5"/>
                    <w:w w:val="90"/>
                    <w:sz w:val="22"/>
                  </w:rPr>
                  <w:fldChar w:fldCharType="separate"/>
                </w:r>
                <w:r>
                  <w:rPr>
                    <w:spacing w:val="-5"/>
                    <w:w w:val="90"/>
                    <w:sz w:val="22"/>
                  </w:rPr>
                  <w:t>21</w:t>
                </w:r>
                <w:r>
                  <w:rPr>
                    <w:spacing w:val="-5"/>
                    <w:w w:val="90"/>
                    <w:sz w:val="22"/>
                  </w:rPr>
                  <w:fldChar w:fldCharType="end"/>
                </w:r>
              </w:p>
            </w:txbxContent>
          </v:textbox>
          <w10:wrap type="non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743.599976pt;width:263.25pt;height:13.05pt;mso-position-horizontal-relative:page;mso-position-vertical-relative:page;z-index:-26763776" type="#_x0000_t202" id="docshape603" filled="false" stroked="false">
          <v:textbox inset="0,0,0,0">
            <w:txbxContent>
              <w:p>
                <w:pPr>
                  <w:spacing w:line="232" w:lineRule="exact" w:before="0"/>
                  <w:ind w:left="20" w:right="0" w:firstLine="0"/>
                  <w:jc w:val="left"/>
                  <w:rPr>
                    <w:sz w:val="22"/>
                  </w:rPr>
                </w:pPr>
                <w:r>
                  <w:rPr>
                    <w:w w:val="90"/>
                    <w:sz w:val="22"/>
                  </w:rPr>
                  <w:t>Department</w:t>
                </w:r>
                <w:r>
                  <w:rPr>
                    <w:spacing w:val="17"/>
                    <w:sz w:val="22"/>
                  </w:rPr>
                  <w:t> </w:t>
                </w:r>
                <w:r>
                  <w:rPr>
                    <w:w w:val="90"/>
                    <w:sz w:val="22"/>
                  </w:rPr>
                  <w:t>of</w:t>
                </w:r>
                <w:r>
                  <w:rPr>
                    <w:spacing w:val="12"/>
                    <w:sz w:val="22"/>
                  </w:rPr>
                  <w:t> </w:t>
                </w:r>
                <w:r>
                  <w:rPr>
                    <w:w w:val="90"/>
                    <w:sz w:val="22"/>
                  </w:rPr>
                  <w:t>Architecture</w:t>
                </w:r>
                <w:r>
                  <w:rPr>
                    <w:spacing w:val="18"/>
                    <w:sz w:val="22"/>
                  </w:rPr>
                  <w:t> </w:t>
                </w:r>
                <w:r>
                  <w:rPr>
                    <w:w w:val="90"/>
                    <w:sz w:val="22"/>
                  </w:rPr>
                  <w:t>Student</w:t>
                </w:r>
                <w:r>
                  <w:rPr>
                    <w:spacing w:val="17"/>
                    <w:sz w:val="22"/>
                  </w:rPr>
                  <w:t> </w:t>
                </w:r>
                <w:r>
                  <w:rPr>
                    <w:w w:val="90"/>
                    <w:sz w:val="22"/>
                  </w:rPr>
                  <w:t>Handbook</w:t>
                </w:r>
                <w:r>
                  <w:rPr>
                    <w:spacing w:val="14"/>
                    <w:sz w:val="22"/>
                  </w:rPr>
                  <w:t> </w:t>
                </w:r>
                <w:r>
                  <w:rPr>
                    <w:w w:val="90"/>
                    <w:sz w:val="22"/>
                  </w:rPr>
                  <w:t>2014-</w:t>
                </w:r>
                <w:r>
                  <w:rPr>
                    <w:spacing w:val="-4"/>
                    <w:w w:val="90"/>
                    <w:sz w:val="22"/>
                  </w:rPr>
                  <w:t>2015</w:t>
                </w:r>
              </w:p>
            </w:txbxContent>
          </v:textbox>
          <w10:wrap type="none"/>
        </v:shape>
      </w:pict>
    </w:r>
    <w:r>
      <w:rPr/>
      <w:pict>
        <v:shape style="position:absolute;margin-left:496.161438pt;margin-top:743.599976pt;width:48pt;height:13.05pt;mso-position-horizontal-relative:page;mso-position-vertical-relative:page;z-index:-26763264" type="#_x0000_t202" id="docshape604" filled="false" stroked="false">
          <v:textbox inset="0,0,0,0">
            <w:txbxContent>
              <w:p>
                <w:pPr>
                  <w:spacing w:line="232" w:lineRule="exact" w:before="0"/>
                  <w:ind w:left="20" w:right="0" w:firstLine="0"/>
                  <w:jc w:val="left"/>
                  <w:rPr>
                    <w:sz w:val="22"/>
                  </w:rPr>
                </w:pPr>
                <w:r>
                  <w:rPr>
                    <w:w w:val="90"/>
                    <w:sz w:val="22"/>
                  </w:rPr>
                  <w:t>Page</w:t>
                </w:r>
                <w:r>
                  <w:rPr>
                    <w:spacing w:val="-3"/>
                    <w:sz w:val="22"/>
                  </w:rPr>
                  <w:t> </w:t>
                </w:r>
                <w:r>
                  <w:rPr>
                    <w:w w:val="90"/>
                    <w:sz w:val="22"/>
                  </w:rPr>
                  <w:t>|</w:t>
                </w:r>
                <w:r>
                  <w:rPr>
                    <w:spacing w:val="-5"/>
                    <w:sz w:val="22"/>
                  </w:rPr>
                  <w:t> </w:t>
                </w:r>
                <w:r>
                  <w:rPr>
                    <w:spacing w:val="-5"/>
                    <w:w w:val="90"/>
                    <w:sz w:val="22"/>
                  </w:rPr>
                  <w:fldChar w:fldCharType="begin"/>
                </w:r>
                <w:r>
                  <w:rPr>
                    <w:spacing w:val="-5"/>
                    <w:w w:val="90"/>
                    <w:sz w:val="22"/>
                  </w:rPr>
                  <w:instrText> PAGE </w:instrText>
                </w:r>
                <w:r>
                  <w:rPr>
                    <w:spacing w:val="-5"/>
                    <w:w w:val="90"/>
                    <w:sz w:val="22"/>
                  </w:rPr>
                  <w:fldChar w:fldCharType="separate"/>
                </w:r>
                <w:r>
                  <w:rPr>
                    <w:spacing w:val="-5"/>
                    <w:w w:val="90"/>
                    <w:sz w:val="22"/>
                  </w:rPr>
                  <w:t>22</w:t>
                </w:r>
                <w:r>
                  <w:rPr>
                    <w:spacing w:val="-5"/>
                    <w:w w:val="90"/>
                    <w:sz w:val="22"/>
                  </w:rPr>
                  <w:fldChar w:fldCharType="end"/>
                </w:r>
              </w:p>
            </w:txbxContent>
          </v:textbox>
          <w10:wrap type="non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743.599976pt;width:263.25pt;height:13.05pt;mso-position-horizontal-relative:page;mso-position-vertical-relative:page;z-index:-26762752" type="#_x0000_t202" id="docshape605" filled="false" stroked="false">
          <v:textbox inset="0,0,0,0">
            <w:txbxContent>
              <w:p>
                <w:pPr>
                  <w:spacing w:line="232" w:lineRule="exact" w:before="0"/>
                  <w:ind w:left="20" w:right="0" w:firstLine="0"/>
                  <w:jc w:val="left"/>
                  <w:rPr>
                    <w:sz w:val="22"/>
                  </w:rPr>
                </w:pPr>
                <w:r>
                  <w:rPr>
                    <w:w w:val="90"/>
                    <w:sz w:val="22"/>
                  </w:rPr>
                  <w:t>Department</w:t>
                </w:r>
                <w:r>
                  <w:rPr>
                    <w:spacing w:val="17"/>
                    <w:sz w:val="22"/>
                  </w:rPr>
                  <w:t> </w:t>
                </w:r>
                <w:r>
                  <w:rPr>
                    <w:w w:val="90"/>
                    <w:sz w:val="22"/>
                  </w:rPr>
                  <w:t>of</w:t>
                </w:r>
                <w:r>
                  <w:rPr>
                    <w:spacing w:val="12"/>
                    <w:sz w:val="22"/>
                  </w:rPr>
                  <w:t> </w:t>
                </w:r>
                <w:r>
                  <w:rPr>
                    <w:w w:val="90"/>
                    <w:sz w:val="22"/>
                  </w:rPr>
                  <w:t>Architecture</w:t>
                </w:r>
                <w:r>
                  <w:rPr>
                    <w:spacing w:val="18"/>
                    <w:sz w:val="22"/>
                  </w:rPr>
                  <w:t> </w:t>
                </w:r>
                <w:r>
                  <w:rPr>
                    <w:w w:val="90"/>
                    <w:sz w:val="22"/>
                  </w:rPr>
                  <w:t>Student</w:t>
                </w:r>
                <w:r>
                  <w:rPr>
                    <w:spacing w:val="17"/>
                    <w:sz w:val="22"/>
                  </w:rPr>
                  <w:t> </w:t>
                </w:r>
                <w:r>
                  <w:rPr>
                    <w:w w:val="90"/>
                    <w:sz w:val="22"/>
                  </w:rPr>
                  <w:t>Handbook</w:t>
                </w:r>
                <w:r>
                  <w:rPr>
                    <w:spacing w:val="14"/>
                    <w:sz w:val="22"/>
                  </w:rPr>
                  <w:t> </w:t>
                </w:r>
                <w:r>
                  <w:rPr>
                    <w:w w:val="90"/>
                    <w:sz w:val="22"/>
                  </w:rPr>
                  <w:t>2014-</w:t>
                </w:r>
                <w:r>
                  <w:rPr>
                    <w:spacing w:val="-4"/>
                    <w:w w:val="90"/>
                    <w:sz w:val="22"/>
                  </w:rPr>
                  <w:t>2015</w:t>
                </w:r>
              </w:p>
            </w:txbxContent>
          </v:textbox>
          <w10:wrap type="none"/>
        </v:shape>
      </w:pict>
    </w:r>
    <w:r>
      <w:rPr/>
      <w:pict>
        <v:shape style="position:absolute;margin-left:496.161438pt;margin-top:743.585571pt;width:48pt;height:13.1pt;mso-position-horizontal-relative:page;mso-position-vertical-relative:page;z-index:-26762240" type="#_x0000_t202" id="docshape606" filled="false" stroked="false">
          <v:textbox inset="0,0,0,0">
            <w:txbxContent>
              <w:p>
                <w:pPr>
                  <w:spacing w:line="233" w:lineRule="exact" w:before="0"/>
                  <w:ind w:left="20" w:right="0" w:firstLine="0"/>
                  <w:jc w:val="left"/>
                  <w:rPr>
                    <w:sz w:val="22"/>
                  </w:rPr>
                </w:pPr>
                <w:r>
                  <w:rPr>
                    <w:w w:val="90"/>
                    <w:sz w:val="22"/>
                  </w:rPr>
                  <w:t>Page</w:t>
                </w:r>
                <w:r>
                  <w:rPr>
                    <w:spacing w:val="-3"/>
                    <w:sz w:val="22"/>
                  </w:rPr>
                  <w:t> </w:t>
                </w:r>
                <w:r>
                  <w:rPr>
                    <w:w w:val="90"/>
                    <w:sz w:val="22"/>
                  </w:rPr>
                  <w:t>|</w:t>
                </w:r>
                <w:r>
                  <w:rPr>
                    <w:spacing w:val="-5"/>
                    <w:sz w:val="22"/>
                  </w:rPr>
                  <w:t> </w:t>
                </w:r>
                <w:r>
                  <w:rPr>
                    <w:spacing w:val="-5"/>
                    <w:w w:val="90"/>
                    <w:sz w:val="22"/>
                  </w:rPr>
                  <w:fldChar w:fldCharType="begin"/>
                </w:r>
                <w:r>
                  <w:rPr>
                    <w:spacing w:val="-5"/>
                    <w:w w:val="90"/>
                    <w:sz w:val="22"/>
                  </w:rPr>
                  <w:instrText> PAGE </w:instrText>
                </w:r>
                <w:r>
                  <w:rPr>
                    <w:spacing w:val="-5"/>
                    <w:w w:val="90"/>
                    <w:sz w:val="22"/>
                  </w:rPr>
                  <w:fldChar w:fldCharType="separate"/>
                </w:r>
                <w:r>
                  <w:rPr>
                    <w:spacing w:val="-5"/>
                    <w:w w:val="90"/>
                    <w:sz w:val="22"/>
                  </w:rPr>
                  <w:t>24</w:t>
                </w:r>
                <w:r>
                  <w:rPr>
                    <w:spacing w:val="-5"/>
                    <w:w w:val="90"/>
                    <w:sz w:val="22"/>
                  </w:rPr>
                  <w:fldChar w:fldCharType="end"/>
                </w:r>
              </w:p>
            </w:txbxContent>
          </v:textbox>
          <w10:wrap type="non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743.599976pt;width:263.25pt;height:13.05pt;mso-position-horizontal-relative:page;mso-position-vertical-relative:page;z-index:-26761728" type="#_x0000_t202" id="docshape607" filled="false" stroked="false">
          <v:textbox inset="0,0,0,0">
            <w:txbxContent>
              <w:p>
                <w:pPr>
                  <w:spacing w:line="232" w:lineRule="exact" w:before="0"/>
                  <w:ind w:left="20" w:right="0" w:firstLine="0"/>
                  <w:jc w:val="left"/>
                  <w:rPr>
                    <w:sz w:val="22"/>
                  </w:rPr>
                </w:pPr>
                <w:r>
                  <w:rPr>
                    <w:w w:val="90"/>
                    <w:sz w:val="22"/>
                  </w:rPr>
                  <w:t>Department</w:t>
                </w:r>
                <w:r>
                  <w:rPr>
                    <w:spacing w:val="17"/>
                    <w:sz w:val="22"/>
                  </w:rPr>
                  <w:t> </w:t>
                </w:r>
                <w:r>
                  <w:rPr>
                    <w:w w:val="90"/>
                    <w:sz w:val="22"/>
                  </w:rPr>
                  <w:t>of</w:t>
                </w:r>
                <w:r>
                  <w:rPr>
                    <w:spacing w:val="12"/>
                    <w:sz w:val="22"/>
                  </w:rPr>
                  <w:t> </w:t>
                </w:r>
                <w:r>
                  <w:rPr>
                    <w:w w:val="90"/>
                    <w:sz w:val="22"/>
                  </w:rPr>
                  <w:t>Architecture</w:t>
                </w:r>
                <w:r>
                  <w:rPr>
                    <w:spacing w:val="18"/>
                    <w:sz w:val="22"/>
                  </w:rPr>
                  <w:t> </w:t>
                </w:r>
                <w:r>
                  <w:rPr>
                    <w:w w:val="90"/>
                    <w:sz w:val="22"/>
                  </w:rPr>
                  <w:t>Student</w:t>
                </w:r>
                <w:r>
                  <w:rPr>
                    <w:spacing w:val="17"/>
                    <w:sz w:val="22"/>
                  </w:rPr>
                  <w:t> </w:t>
                </w:r>
                <w:r>
                  <w:rPr>
                    <w:w w:val="90"/>
                    <w:sz w:val="22"/>
                  </w:rPr>
                  <w:t>Handbook</w:t>
                </w:r>
                <w:r>
                  <w:rPr>
                    <w:spacing w:val="14"/>
                    <w:sz w:val="22"/>
                  </w:rPr>
                  <w:t> </w:t>
                </w:r>
                <w:r>
                  <w:rPr>
                    <w:w w:val="90"/>
                    <w:sz w:val="22"/>
                  </w:rPr>
                  <w:t>2014-</w:t>
                </w:r>
                <w:r>
                  <w:rPr>
                    <w:spacing w:val="-4"/>
                    <w:w w:val="90"/>
                    <w:sz w:val="22"/>
                  </w:rPr>
                  <w:t>2015</w:t>
                </w:r>
              </w:p>
            </w:txbxContent>
          </v:textbox>
          <w10:wrap type="none"/>
        </v:shape>
      </w:pict>
    </w:r>
    <w:r>
      <w:rPr/>
      <w:pict>
        <v:shape style="position:absolute;margin-left:496.161438pt;margin-top:743.599976pt;width:48pt;height:13.05pt;mso-position-horizontal-relative:page;mso-position-vertical-relative:page;z-index:-26761216" type="#_x0000_t202" id="docshape608" filled="false" stroked="false">
          <v:textbox inset="0,0,0,0">
            <w:txbxContent>
              <w:p>
                <w:pPr>
                  <w:spacing w:line="232" w:lineRule="exact" w:before="0"/>
                  <w:ind w:left="20" w:right="0" w:firstLine="0"/>
                  <w:jc w:val="left"/>
                  <w:rPr>
                    <w:sz w:val="22"/>
                  </w:rPr>
                </w:pPr>
                <w:r>
                  <w:rPr>
                    <w:w w:val="90"/>
                    <w:sz w:val="22"/>
                  </w:rPr>
                  <w:t>Page</w:t>
                </w:r>
                <w:r>
                  <w:rPr>
                    <w:spacing w:val="-3"/>
                    <w:sz w:val="22"/>
                  </w:rPr>
                  <w:t> </w:t>
                </w:r>
                <w:r>
                  <w:rPr>
                    <w:w w:val="90"/>
                    <w:sz w:val="22"/>
                  </w:rPr>
                  <w:t>|</w:t>
                </w:r>
                <w:r>
                  <w:rPr>
                    <w:spacing w:val="-5"/>
                    <w:sz w:val="22"/>
                  </w:rPr>
                  <w:t> </w:t>
                </w:r>
                <w:r>
                  <w:rPr>
                    <w:spacing w:val="-5"/>
                    <w:w w:val="90"/>
                    <w:sz w:val="22"/>
                  </w:rPr>
                  <w:fldChar w:fldCharType="begin"/>
                </w:r>
                <w:r>
                  <w:rPr>
                    <w:spacing w:val="-5"/>
                    <w:w w:val="90"/>
                    <w:sz w:val="22"/>
                  </w:rPr>
                  <w:instrText> PAGE </w:instrText>
                </w:r>
                <w:r>
                  <w:rPr>
                    <w:spacing w:val="-5"/>
                    <w:w w:val="90"/>
                    <w:sz w:val="22"/>
                  </w:rPr>
                  <w:fldChar w:fldCharType="separate"/>
                </w:r>
                <w:r>
                  <w:rPr>
                    <w:spacing w:val="-5"/>
                    <w:w w:val="90"/>
                    <w:sz w:val="22"/>
                  </w:rPr>
                  <w:t>24</w:t>
                </w:r>
                <w:r>
                  <w:rPr>
                    <w:spacing w:val="-5"/>
                    <w:w w:val="90"/>
                    <w:sz w:val="22"/>
                  </w:rPr>
                  <w:fldChar w:fldCharType="end"/>
                </w:r>
              </w:p>
            </w:txbxContent>
          </v:textbox>
          <w10:wrap type="none"/>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988960pt;margin-top:743.533752pt;width:263.25pt;height:13.05pt;mso-position-horizontal-relative:page;mso-position-vertical-relative:page;z-index:-26760704" type="#_x0000_t202" id="docshape610" filled="false" stroked="false">
          <v:textbox inset="0,0,0,0">
            <w:txbxContent>
              <w:p>
                <w:pPr>
                  <w:spacing w:line="232" w:lineRule="exact" w:before="0"/>
                  <w:ind w:left="20" w:right="0" w:firstLine="0"/>
                  <w:jc w:val="left"/>
                  <w:rPr>
                    <w:sz w:val="22"/>
                  </w:rPr>
                </w:pPr>
                <w:r>
                  <w:rPr>
                    <w:w w:val="90"/>
                    <w:sz w:val="22"/>
                  </w:rPr>
                  <w:t>Department</w:t>
                </w:r>
                <w:r>
                  <w:rPr>
                    <w:spacing w:val="17"/>
                    <w:sz w:val="22"/>
                  </w:rPr>
                  <w:t> </w:t>
                </w:r>
                <w:r>
                  <w:rPr>
                    <w:w w:val="90"/>
                    <w:sz w:val="22"/>
                  </w:rPr>
                  <w:t>of</w:t>
                </w:r>
                <w:r>
                  <w:rPr>
                    <w:spacing w:val="12"/>
                    <w:sz w:val="22"/>
                  </w:rPr>
                  <w:t> </w:t>
                </w:r>
                <w:r>
                  <w:rPr>
                    <w:w w:val="90"/>
                    <w:sz w:val="22"/>
                  </w:rPr>
                  <w:t>Architecture</w:t>
                </w:r>
                <w:r>
                  <w:rPr>
                    <w:spacing w:val="18"/>
                    <w:sz w:val="22"/>
                  </w:rPr>
                  <w:t> </w:t>
                </w:r>
                <w:r>
                  <w:rPr>
                    <w:w w:val="90"/>
                    <w:sz w:val="22"/>
                  </w:rPr>
                  <w:t>Student</w:t>
                </w:r>
                <w:r>
                  <w:rPr>
                    <w:spacing w:val="17"/>
                    <w:sz w:val="22"/>
                  </w:rPr>
                  <w:t> </w:t>
                </w:r>
                <w:r>
                  <w:rPr>
                    <w:w w:val="90"/>
                    <w:sz w:val="22"/>
                  </w:rPr>
                  <w:t>Handbook</w:t>
                </w:r>
                <w:r>
                  <w:rPr>
                    <w:spacing w:val="14"/>
                    <w:sz w:val="22"/>
                  </w:rPr>
                  <w:t> </w:t>
                </w:r>
                <w:r>
                  <w:rPr>
                    <w:w w:val="90"/>
                    <w:sz w:val="22"/>
                  </w:rPr>
                  <w:t>2014-</w:t>
                </w:r>
                <w:r>
                  <w:rPr>
                    <w:spacing w:val="-4"/>
                    <w:w w:val="90"/>
                    <w:sz w:val="22"/>
                  </w:rPr>
                  <w:t>2015</w:t>
                </w:r>
              </w:p>
            </w:txbxContent>
          </v:textbox>
          <w10:wrap type="none"/>
        </v:shape>
      </w:pict>
    </w:r>
    <w:r>
      <w:rPr/>
      <w:pict>
        <v:shape style="position:absolute;margin-left:496.150391pt;margin-top:743.533752pt;width:48pt;height:13.05pt;mso-position-horizontal-relative:page;mso-position-vertical-relative:page;z-index:-26760192" type="#_x0000_t202" id="docshape611" filled="false" stroked="false">
          <v:textbox inset="0,0,0,0">
            <w:txbxContent>
              <w:p>
                <w:pPr>
                  <w:spacing w:line="232" w:lineRule="exact" w:before="0"/>
                  <w:ind w:left="20" w:right="0" w:firstLine="0"/>
                  <w:jc w:val="left"/>
                  <w:rPr>
                    <w:sz w:val="22"/>
                  </w:rPr>
                </w:pPr>
                <w:r>
                  <w:rPr>
                    <w:w w:val="90"/>
                    <w:sz w:val="22"/>
                  </w:rPr>
                  <w:t>Page</w:t>
                </w:r>
                <w:r>
                  <w:rPr>
                    <w:spacing w:val="-3"/>
                    <w:sz w:val="22"/>
                  </w:rPr>
                  <w:t> </w:t>
                </w:r>
                <w:r>
                  <w:rPr>
                    <w:w w:val="90"/>
                    <w:sz w:val="22"/>
                  </w:rPr>
                  <w:t>|</w:t>
                </w:r>
                <w:r>
                  <w:rPr>
                    <w:spacing w:val="-5"/>
                    <w:sz w:val="22"/>
                  </w:rPr>
                  <w:t> </w:t>
                </w:r>
                <w:r>
                  <w:rPr>
                    <w:spacing w:val="-5"/>
                    <w:w w:val="90"/>
                    <w:sz w:val="22"/>
                  </w:rPr>
                  <w:fldChar w:fldCharType="begin"/>
                </w:r>
                <w:r>
                  <w:rPr>
                    <w:spacing w:val="-5"/>
                    <w:w w:val="90"/>
                    <w:sz w:val="22"/>
                  </w:rPr>
                  <w:instrText> PAGE </w:instrText>
                </w:r>
                <w:r>
                  <w:rPr>
                    <w:spacing w:val="-5"/>
                    <w:w w:val="90"/>
                    <w:sz w:val="22"/>
                  </w:rPr>
                  <w:fldChar w:fldCharType="separate"/>
                </w:r>
                <w:r>
                  <w:rPr>
                    <w:spacing w:val="-5"/>
                    <w:w w:val="90"/>
                    <w:sz w:val="22"/>
                  </w:rPr>
                  <w:t>25</w:t>
                </w:r>
                <w:r>
                  <w:rPr>
                    <w:spacing w:val="-5"/>
                    <w:w w:val="90"/>
                    <w:sz w:val="22"/>
                  </w:rPr>
                  <w:fldChar w:fldCharType="end"/>
                </w:r>
              </w:p>
            </w:txbxContent>
          </v:textbox>
          <w10:wrap type="none"/>
        </v:shape>
      </w:pic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743.563049pt;width:263.25pt;height:13.05pt;mso-position-horizontal-relative:page;mso-position-vertical-relative:page;z-index:-26759680" type="#_x0000_t202" id="docshape612" filled="false" stroked="false">
          <v:textbox inset="0,0,0,0">
            <w:txbxContent>
              <w:p>
                <w:pPr>
                  <w:spacing w:line="232" w:lineRule="exact" w:before="0"/>
                  <w:ind w:left="20" w:right="0" w:firstLine="0"/>
                  <w:jc w:val="left"/>
                  <w:rPr>
                    <w:sz w:val="22"/>
                  </w:rPr>
                </w:pPr>
                <w:r>
                  <w:rPr>
                    <w:w w:val="90"/>
                    <w:sz w:val="22"/>
                  </w:rPr>
                  <w:t>Department</w:t>
                </w:r>
                <w:r>
                  <w:rPr>
                    <w:spacing w:val="17"/>
                    <w:sz w:val="22"/>
                  </w:rPr>
                  <w:t> </w:t>
                </w:r>
                <w:r>
                  <w:rPr>
                    <w:w w:val="90"/>
                    <w:sz w:val="22"/>
                  </w:rPr>
                  <w:t>of</w:t>
                </w:r>
                <w:r>
                  <w:rPr>
                    <w:spacing w:val="12"/>
                    <w:sz w:val="22"/>
                  </w:rPr>
                  <w:t> </w:t>
                </w:r>
                <w:r>
                  <w:rPr>
                    <w:w w:val="90"/>
                    <w:sz w:val="22"/>
                  </w:rPr>
                  <w:t>Architecture</w:t>
                </w:r>
                <w:r>
                  <w:rPr>
                    <w:spacing w:val="18"/>
                    <w:sz w:val="22"/>
                  </w:rPr>
                  <w:t> </w:t>
                </w:r>
                <w:r>
                  <w:rPr>
                    <w:w w:val="90"/>
                    <w:sz w:val="22"/>
                  </w:rPr>
                  <w:t>Student</w:t>
                </w:r>
                <w:r>
                  <w:rPr>
                    <w:spacing w:val="17"/>
                    <w:sz w:val="22"/>
                  </w:rPr>
                  <w:t> </w:t>
                </w:r>
                <w:r>
                  <w:rPr>
                    <w:w w:val="90"/>
                    <w:sz w:val="22"/>
                  </w:rPr>
                  <w:t>Handbook</w:t>
                </w:r>
                <w:r>
                  <w:rPr>
                    <w:spacing w:val="14"/>
                    <w:sz w:val="22"/>
                  </w:rPr>
                  <w:t> </w:t>
                </w:r>
                <w:r>
                  <w:rPr>
                    <w:w w:val="90"/>
                    <w:sz w:val="22"/>
                  </w:rPr>
                  <w:t>2014-</w:t>
                </w:r>
                <w:r>
                  <w:rPr>
                    <w:spacing w:val="-4"/>
                    <w:w w:val="90"/>
                    <w:sz w:val="22"/>
                  </w:rPr>
                  <w:t>2015</w:t>
                </w:r>
              </w:p>
            </w:txbxContent>
          </v:textbox>
          <w10:wrap type="none"/>
        </v:shape>
      </w:pict>
    </w:r>
    <w:r>
      <w:rPr/>
      <w:pict>
        <v:shape style="position:absolute;margin-left:496.161438pt;margin-top:743.563049pt;width:48pt;height:13.05pt;mso-position-horizontal-relative:page;mso-position-vertical-relative:page;z-index:-26759168" type="#_x0000_t202" id="docshape613" filled="false" stroked="false">
          <v:textbox inset="0,0,0,0">
            <w:txbxContent>
              <w:p>
                <w:pPr>
                  <w:spacing w:line="232" w:lineRule="exact" w:before="0"/>
                  <w:ind w:left="20" w:right="0" w:firstLine="0"/>
                  <w:jc w:val="left"/>
                  <w:rPr>
                    <w:sz w:val="22"/>
                  </w:rPr>
                </w:pPr>
                <w:r>
                  <w:rPr>
                    <w:w w:val="90"/>
                    <w:sz w:val="22"/>
                  </w:rPr>
                  <w:t>Page</w:t>
                </w:r>
                <w:r>
                  <w:rPr>
                    <w:spacing w:val="-3"/>
                    <w:sz w:val="22"/>
                  </w:rPr>
                  <w:t> </w:t>
                </w:r>
                <w:r>
                  <w:rPr>
                    <w:w w:val="90"/>
                    <w:sz w:val="22"/>
                  </w:rPr>
                  <w:t>|</w:t>
                </w:r>
                <w:r>
                  <w:rPr>
                    <w:spacing w:val="-5"/>
                    <w:sz w:val="22"/>
                  </w:rPr>
                  <w:t> </w:t>
                </w:r>
                <w:r>
                  <w:rPr>
                    <w:spacing w:val="-5"/>
                    <w:w w:val="90"/>
                    <w:sz w:val="22"/>
                  </w:rPr>
                  <w:fldChar w:fldCharType="begin"/>
                </w:r>
                <w:r>
                  <w:rPr>
                    <w:spacing w:val="-5"/>
                    <w:w w:val="90"/>
                    <w:sz w:val="22"/>
                  </w:rPr>
                  <w:instrText> PAGE </w:instrText>
                </w:r>
                <w:r>
                  <w:rPr>
                    <w:spacing w:val="-5"/>
                    <w:w w:val="90"/>
                    <w:sz w:val="22"/>
                  </w:rPr>
                  <w:fldChar w:fldCharType="separate"/>
                </w:r>
                <w:r>
                  <w:rPr>
                    <w:spacing w:val="-5"/>
                    <w:w w:val="90"/>
                    <w:sz w:val="22"/>
                  </w:rPr>
                  <w:t>26</w:t>
                </w:r>
                <w:r>
                  <w:rPr>
                    <w:spacing w:val="-5"/>
                    <w:w w:val="90"/>
                    <w:sz w:val="22"/>
                  </w:rPr>
                  <w:fldChar w:fldCharType="end"/>
                </w:r>
              </w:p>
            </w:txbxContent>
          </v:textbox>
          <w10:wrap type="none"/>
        </v:shape>
      </w:pic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743.599976pt;width:263.25pt;height:13.05pt;mso-position-horizontal-relative:page;mso-position-vertical-relative:page;z-index:-26758656" type="#_x0000_t202" id="docshape614" filled="false" stroked="false">
          <v:textbox inset="0,0,0,0">
            <w:txbxContent>
              <w:p>
                <w:pPr>
                  <w:spacing w:line="232" w:lineRule="exact" w:before="0"/>
                  <w:ind w:left="20" w:right="0" w:firstLine="0"/>
                  <w:jc w:val="left"/>
                  <w:rPr>
                    <w:sz w:val="22"/>
                  </w:rPr>
                </w:pPr>
                <w:r>
                  <w:rPr>
                    <w:w w:val="90"/>
                    <w:sz w:val="22"/>
                  </w:rPr>
                  <w:t>Department</w:t>
                </w:r>
                <w:r>
                  <w:rPr>
                    <w:spacing w:val="17"/>
                    <w:sz w:val="22"/>
                  </w:rPr>
                  <w:t> </w:t>
                </w:r>
                <w:r>
                  <w:rPr>
                    <w:w w:val="90"/>
                    <w:sz w:val="22"/>
                  </w:rPr>
                  <w:t>of</w:t>
                </w:r>
                <w:r>
                  <w:rPr>
                    <w:spacing w:val="12"/>
                    <w:sz w:val="22"/>
                  </w:rPr>
                  <w:t> </w:t>
                </w:r>
                <w:r>
                  <w:rPr>
                    <w:w w:val="90"/>
                    <w:sz w:val="22"/>
                  </w:rPr>
                  <w:t>Architecture</w:t>
                </w:r>
                <w:r>
                  <w:rPr>
                    <w:spacing w:val="18"/>
                    <w:sz w:val="22"/>
                  </w:rPr>
                  <w:t> </w:t>
                </w:r>
                <w:r>
                  <w:rPr>
                    <w:w w:val="90"/>
                    <w:sz w:val="22"/>
                  </w:rPr>
                  <w:t>Student</w:t>
                </w:r>
                <w:r>
                  <w:rPr>
                    <w:spacing w:val="17"/>
                    <w:sz w:val="22"/>
                  </w:rPr>
                  <w:t> </w:t>
                </w:r>
                <w:r>
                  <w:rPr>
                    <w:w w:val="90"/>
                    <w:sz w:val="22"/>
                  </w:rPr>
                  <w:t>Handbook</w:t>
                </w:r>
                <w:r>
                  <w:rPr>
                    <w:spacing w:val="14"/>
                    <w:sz w:val="22"/>
                  </w:rPr>
                  <w:t> </w:t>
                </w:r>
                <w:r>
                  <w:rPr>
                    <w:w w:val="90"/>
                    <w:sz w:val="22"/>
                  </w:rPr>
                  <w:t>2014-</w:t>
                </w:r>
                <w:r>
                  <w:rPr>
                    <w:spacing w:val="-4"/>
                    <w:w w:val="90"/>
                    <w:sz w:val="22"/>
                  </w:rPr>
                  <w:t>2015</w:t>
                </w:r>
              </w:p>
            </w:txbxContent>
          </v:textbox>
          <w10:wrap type="none"/>
        </v:shape>
      </w:pict>
    </w:r>
    <w:r>
      <w:rPr/>
      <w:pict>
        <v:shape style="position:absolute;margin-left:496.161438pt;margin-top:743.599976pt;width:48pt;height:13.05pt;mso-position-horizontal-relative:page;mso-position-vertical-relative:page;z-index:-26758144" type="#_x0000_t202" id="docshape615" filled="false" stroked="false">
          <v:textbox inset="0,0,0,0">
            <w:txbxContent>
              <w:p>
                <w:pPr>
                  <w:spacing w:line="232" w:lineRule="exact" w:before="0"/>
                  <w:ind w:left="20" w:right="0" w:firstLine="0"/>
                  <w:jc w:val="left"/>
                  <w:rPr>
                    <w:sz w:val="22"/>
                  </w:rPr>
                </w:pPr>
                <w:r>
                  <w:rPr>
                    <w:w w:val="90"/>
                    <w:sz w:val="22"/>
                  </w:rPr>
                  <w:t>Page</w:t>
                </w:r>
                <w:r>
                  <w:rPr>
                    <w:spacing w:val="-3"/>
                    <w:sz w:val="22"/>
                  </w:rPr>
                  <w:t> </w:t>
                </w:r>
                <w:r>
                  <w:rPr>
                    <w:w w:val="90"/>
                    <w:sz w:val="22"/>
                  </w:rPr>
                  <w:t>|</w:t>
                </w:r>
                <w:r>
                  <w:rPr>
                    <w:spacing w:val="-5"/>
                    <w:sz w:val="22"/>
                  </w:rPr>
                  <w:t> </w:t>
                </w:r>
                <w:r>
                  <w:rPr>
                    <w:spacing w:val="-5"/>
                    <w:w w:val="90"/>
                    <w:sz w:val="22"/>
                  </w:rPr>
                  <w:fldChar w:fldCharType="begin"/>
                </w:r>
                <w:r>
                  <w:rPr>
                    <w:spacing w:val="-5"/>
                    <w:w w:val="90"/>
                    <w:sz w:val="22"/>
                  </w:rPr>
                  <w:instrText> PAGE </w:instrText>
                </w:r>
                <w:r>
                  <w:rPr>
                    <w:spacing w:val="-5"/>
                    <w:w w:val="90"/>
                    <w:sz w:val="22"/>
                  </w:rPr>
                  <w:fldChar w:fldCharType="separate"/>
                </w:r>
                <w:r>
                  <w:rPr>
                    <w:spacing w:val="-5"/>
                    <w:w w:val="90"/>
                    <w:sz w:val="22"/>
                  </w:rPr>
                  <w:t>27</w:t>
                </w:r>
                <w:r>
                  <w:rPr>
                    <w:spacing w:val="-5"/>
                    <w:w w:val="90"/>
                    <w:sz w:val="22"/>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7023872" id="docshape49" filled="true" fillcolor="#000000" stroked="false">
          <v:fill type="solid"/>
          <w10:wrap type="none"/>
        </v:rect>
      </w:pict>
    </w:r>
    <w:r>
      <w:rPr/>
      <w:pict>
        <v:shape style="position:absolute;margin-left:71pt;margin-top:734.809998pt;width:178.95pt;height:21.95pt;mso-position-horizontal-relative:page;mso-position-vertical-relative:page;z-index:-27023360" type="#_x0000_t202" id="docshape50"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7022848" type="#_x0000_t202" id="docshape51"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1</w:t>
                </w:r>
                <w:r>
                  <w:rPr>
                    <w:spacing w:val="-7"/>
                    <w:w w:val="90"/>
                    <w:sz w:val="18"/>
                  </w:rPr>
                  <w:t> </w:t>
                </w:r>
                <w:r>
                  <w:rPr>
                    <w:w w:val="90"/>
                    <w:sz w:val="18"/>
                  </w:rPr>
                  <w:t>-</w:t>
                </w:r>
                <w:r>
                  <w:rPr>
                    <w:spacing w:val="-7"/>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64</w:t>
                </w:r>
                <w:r>
                  <w:rPr>
                    <w:spacing w:val="-5"/>
                    <w:w w:val="90"/>
                    <w:sz w:val="18"/>
                  </w:rPr>
                  <w:fldChar w:fldCharType="end"/>
                </w:r>
              </w:p>
            </w:txbxContent>
          </v:textbox>
          <w10:wrap type="none"/>
        </v:shape>
      </w:pic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9.761780pt;margin-top:741.442688pt;width:8.9pt;height:13.25pt;mso-position-horizontal-relative:page;mso-position-vertical-relative:page;z-index:-26756608" type="#_x0000_t202" id="docshape617" filled="false" stroked="false">
          <v:textbox inset="0,0,0,0">
            <w:txbxContent>
              <w:p>
                <w:pPr>
                  <w:pStyle w:val="BodyText"/>
                  <w:spacing w:before="14"/>
                  <w:ind w:left="20"/>
                </w:pPr>
                <w:r>
                  <w:rPr>
                    <w:spacing w:val="-5"/>
                    <w:w w:val="105"/>
                  </w:rPr>
                  <w:t>iii</w:t>
                </w:r>
              </w:p>
            </w:txbxContent>
          </v:textbox>
          <w10:wrap type="none"/>
        </v:shape>
      </w:pict>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1.695007pt;margin-top:746.765869pt;width:7.9pt;height:13.8pt;mso-position-horizontal-relative:page;mso-position-vertical-relative:page;z-index:-26755072" type="#_x0000_t202" id="docshape619" filled="false" stroked="false">
          <v:textbox inset="0,0,0,0">
            <w:txbxContent>
              <w:p>
                <w:pPr>
                  <w:spacing w:before="13"/>
                  <w:ind w:left="20" w:right="0" w:firstLine="0"/>
                  <w:jc w:val="left"/>
                  <w:rPr>
                    <w:sz w:val="21"/>
                  </w:rPr>
                </w:pPr>
                <w:r>
                  <w:rPr>
                    <w:w w:val="100"/>
                    <w:sz w:val="21"/>
                  </w:rPr>
                  <w:t>1</w:t>
                </w:r>
              </w:p>
            </w:txbxContent>
          </v:textbox>
          <w10:wrap type="none"/>
        </v:shape>
      </w:pict>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7022336" id="docshape52" filled="true" fillcolor="#000000" stroked="false">
          <v:fill type="solid"/>
          <w10:wrap type="none"/>
        </v:rect>
      </w:pict>
    </w:r>
    <w:r>
      <w:rPr/>
      <w:pict>
        <v:shape style="position:absolute;margin-left:71pt;margin-top:734.809998pt;width:178.95pt;height:21.95pt;mso-position-horizontal-relative:page;mso-position-vertical-relative:page;z-index:-27021824" type="#_x0000_t202" id="docshape53"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7021312" type="#_x0000_t202" id="docshape54"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1</w:t>
                </w:r>
                <w:r>
                  <w:rPr>
                    <w:spacing w:val="-7"/>
                    <w:w w:val="90"/>
                    <w:sz w:val="18"/>
                  </w:rPr>
                  <w:t> </w:t>
                </w:r>
                <w:r>
                  <w:rPr>
                    <w:w w:val="90"/>
                    <w:sz w:val="18"/>
                  </w:rPr>
                  <w:t>-</w:t>
                </w:r>
                <w:r>
                  <w:rPr>
                    <w:spacing w:val="-7"/>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65</w:t>
                </w:r>
                <w:r>
                  <w:rPr>
                    <w:spacing w:val="-5"/>
                    <w:w w:val="90"/>
                    <w:sz w:val="18"/>
                  </w:rPr>
                  <w:fldChar w:fldCharType="end"/>
                </w:r>
              </w:p>
            </w:txbxContent>
          </v:textbox>
          <w10:wrap type="none"/>
        </v:shape>
      </w:pict>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7020800" id="docshape55" filled="true" fillcolor="#000000" stroked="false">
          <v:fill type="solid"/>
          <w10:wrap type="none"/>
        </v:rect>
      </w:pict>
    </w:r>
    <w:r>
      <w:rPr/>
      <w:pict>
        <v:shape style="position:absolute;margin-left:71pt;margin-top:734.809998pt;width:178.95pt;height:21.95pt;mso-position-horizontal-relative:page;mso-position-vertical-relative:page;z-index:-27020288" type="#_x0000_t202" id="docshape56"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7019776" type="#_x0000_t202" id="docshape57"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1</w:t>
                </w:r>
                <w:r>
                  <w:rPr>
                    <w:spacing w:val="-7"/>
                    <w:w w:val="90"/>
                    <w:sz w:val="18"/>
                  </w:rPr>
                  <w:t> </w:t>
                </w:r>
                <w:r>
                  <w:rPr>
                    <w:w w:val="90"/>
                    <w:sz w:val="18"/>
                  </w:rPr>
                  <w:t>-</w:t>
                </w:r>
                <w:r>
                  <w:rPr>
                    <w:spacing w:val="-7"/>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66</w:t>
                </w:r>
                <w:r>
                  <w:rPr>
                    <w:spacing w:val="-5"/>
                    <w:w w:val="90"/>
                    <w:sz w:val="18"/>
                  </w:rPr>
                  <w:fldChar w:fldCharType="end"/>
                </w:r>
              </w:p>
            </w:txbxContent>
          </v:textbox>
          <w10:wrap type="none"/>
        </v:shape>
      </w:pict>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34080" from="67.451866pt,736.598389pt" to="519.379392pt,736.598389pt" stroked="true" strokeweight=".481434pt" strokecolor="#000000">
          <v:stroke dashstyle="solid"/>
          <w10:wrap type="none"/>
        </v:line>
      </w:pict>
    </w:r>
    <w:r>
      <w:rPr/>
      <w:pict>
        <v:shape style="position:absolute;margin-left:67.612762pt;margin-top:736.146912pt;width:13.75pt;height:13.25pt;mso-position-horizontal-relative:page;mso-position-vertical-relative:page;z-index:-26733568" type="#_x0000_t202" id="docshape663" filled="false" stroked="false">
          <v:textbox inset="0,0,0,0">
            <w:txbxContent>
              <w:p>
                <w:pPr>
                  <w:pStyle w:val="BodyText"/>
                  <w:spacing w:before="14"/>
                  <w:ind w:left="20"/>
                </w:pPr>
                <w:r>
                  <w:rPr>
                    <w:spacing w:val="-5"/>
                    <w:w w:val="105"/>
                  </w:rPr>
                  <w:t>22</w:t>
                </w:r>
              </w:p>
            </w:txbxContent>
          </v:textbox>
          <w10:wrap type="none"/>
        </v:shape>
      </w:pict>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32032" from="65.524673pt,738.524109pt" to="518.415798pt,738.524109pt" stroked="true" strokeweight=".481434pt" strokecolor="#000000">
          <v:stroke dashstyle="solid"/>
          <w10:wrap type="none"/>
        </v:line>
      </w:pict>
    </w:r>
    <w:r>
      <w:rPr/>
      <w:pict>
        <v:shape style="position:absolute;margin-left:66.663383pt;margin-top:738.045166pt;width:13.15pt;height:12.65pt;mso-position-horizontal-relative:page;mso-position-vertical-relative:page;z-index:-26731520" type="#_x0000_t202" id="docshape665" filled="false" stroked="false">
          <v:textbox inset="0,0,0,0">
            <w:txbxContent>
              <w:p>
                <w:pPr>
                  <w:spacing w:before="14"/>
                  <w:ind w:left="20" w:right="0" w:firstLine="0"/>
                  <w:jc w:val="left"/>
                  <w:rPr>
                    <w:sz w:val="19"/>
                  </w:rPr>
                </w:pPr>
                <w:r>
                  <w:rPr>
                    <w:spacing w:val="-5"/>
                    <w:w w:val="105"/>
                    <w:sz w:val="19"/>
                  </w:rPr>
                  <w:t>24</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7019264" id="docshape58" filled="true" fillcolor="#000000" stroked="false">
          <v:fill type="solid"/>
          <w10:wrap type="none"/>
        </v:rect>
      </w:pict>
    </w:r>
    <w:r>
      <w:rPr/>
      <w:pict>
        <v:shape style="position:absolute;margin-left:71pt;margin-top:734.809998pt;width:178.95pt;height:21.95pt;mso-position-horizontal-relative:page;mso-position-vertical-relative:page;z-index:-27018752" type="#_x0000_t202" id="docshape59"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7018240" type="#_x0000_t202" id="docshape60"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1</w:t>
                </w:r>
                <w:r>
                  <w:rPr>
                    <w:spacing w:val="-7"/>
                    <w:w w:val="90"/>
                    <w:sz w:val="18"/>
                  </w:rPr>
                  <w:t> </w:t>
                </w:r>
                <w:r>
                  <w:rPr>
                    <w:w w:val="90"/>
                    <w:sz w:val="18"/>
                  </w:rPr>
                  <w:t>-</w:t>
                </w:r>
                <w:r>
                  <w:rPr>
                    <w:spacing w:val="-7"/>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67</w:t>
                </w:r>
                <w:r>
                  <w:rPr>
                    <w:spacing w:val="-5"/>
                    <w:w w:val="90"/>
                    <w:sz w:val="18"/>
                  </w:rPr>
                  <w:fldChar w:fldCharType="end"/>
                </w:r>
              </w:p>
            </w:txbxContent>
          </v:textbox>
          <w10:wrap type="none"/>
        </v:shape>
      </w:pict>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7046912" id="docshape4" filled="true" fillcolor="#000000" stroked="false">
          <v:fill type="solid"/>
          <w10:wrap type="none"/>
        </v:rect>
      </w:pict>
    </w:r>
    <w:r>
      <w:rPr/>
      <w:pict>
        <v:shape style="position:absolute;margin-left:71pt;margin-top:734.809998pt;width:178.95pt;height:21.95pt;mso-position-horizontal-relative:page;mso-position-vertical-relative:page;z-index:-27046400" type="#_x0000_t202" id="docshape5"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7045888" type="#_x0000_t202" id="docshape6"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1</w:t>
                </w:r>
                <w:r>
                  <w:rPr>
                    <w:spacing w:val="-7"/>
                    <w:w w:val="90"/>
                    <w:sz w:val="18"/>
                  </w:rPr>
                  <w:t> </w:t>
                </w:r>
                <w:r>
                  <w:rPr>
                    <w:w w:val="90"/>
                    <w:sz w:val="18"/>
                  </w:rPr>
                  <w:t>-</w:t>
                </w:r>
                <w:r>
                  <w:rPr>
                    <w:spacing w:val="-7"/>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10</w:t>
                </w:r>
                <w:r>
                  <w:rPr>
                    <w:spacing w:val="-5"/>
                    <w:w w:val="90"/>
                    <w:sz w:val="18"/>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7017728" id="docshape61" filled="true" fillcolor="#000000" stroked="false">
          <v:fill type="solid"/>
          <w10:wrap type="none"/>
        </v:rect>
      </w:pict>
    </w:r>
    <w:r>
      <w:rPr/>
      <w:pict>
        <v:shape style="position:absolute;margin-left:71pt;margin-top:734.809998pt;width:178.95pt;height:21.95pt;mso-position-horizontal-relative:page;mso-position-vertical-relative:page;z-index:-27017216" type="#_x0000_t202" id="docshape62"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7016704" type="#_x0000_t202" id="docshape63"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1</w:t>
                </w:r>
                <w:r>
                  <w:rPr>
                    <w:spacing w:val="-7"/>
                    <w:w w:val="90"/>
                    <w:sz w:val="18"/>
                  </w:rPr>
                  <w:t> </w:t>
                </w:r>
                <w:r>
                  <w:rPr>
                    <w:w w:val="90"/>
                    <w:sz w:val="18"/>
                  </w:rPr>
                  <w:t>-</w:t>
                </w:r>
                <w:r>
                  <w:rPr>
                    <w:spacing w:val="-7"/>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68</w:t>
                </w:r>
                <w:r>
                  <w:rPr>
                    <w:spacing w:val="-5"/>
                    <w:w w:val="90"/>
                    <w:sz w:val="18"/>
                  </w:rPr>
                  <w:fldChar w:fldCharType="end"/>
                </w:r>
              </w:p>
            </w:txbxContent>
          </v:textbox>
          <w10:wrap type="none"/>
        </v:shape>
      </w:pict>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19744" from="67.451866pt,739.005554pt" to="521.306589pt,739.005554pt" stroked="true" strokeweight=".481434pt" strokecolor="#000000">
          <v:stroke dashstyle="solid"/>
          <w10:wrap type="none"/>
        </v:line>
      </w:pict>
    </w:r>
    <w:r>
      <w:rPr/>
      <w:pict>
        <v:shape style="position:absolute;margin-left:67.957481pt;margin-top:738.554077pt;width:13.85pt;height:13.25pt;mso-position-horizontal-relative:page;mso-position-vertical-relative:page;z-index:-26719232" type="#_x0000_t202" id="docshape699" filled="false" stroked="false">
          <v:textbox inset="0,0,0,0">
            <w:txbxContent>
              <w:p>
                <w:pPr>
                  <w:pStyle w:val="BodyText"/>
                  <w:spacing w:before="14"/>
                  <w:ind w:left="20"/>
                </w:pPr>
                <w:r>
                  <w:rPr>
                    <w:spacing w:val="-5"/>
                    <w:w w:val="105"/>
                  </w:rPr>
                  <w:t>36</w:t>
                </w:r>
              </w:p>
            </w:txbxContent>
          </v:textbox>
          <w10:wrap type="none"/>
        </v:shape>
      </w:pict>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17696" from="65.524673pt,738.524109pt" to="518.415798pt,738.524109pt" stroked="true" strokeweight=".481434pt" strokecolor="#000000">
          <v:stroke dashstyle="solid"/>
          <w10:wrap type="none"/>
        </v:line>
      </w:pict>
    </w:r>
    <w:r>
      <w:rPr/>
      <w:pict>
        <v:shape style="position:absolute;margin-left:66.051361pt;margin-top:738.045166pt;width:13.25pt;height:12.65pt;mso-position-horizontal-relative:page;mso-position-vertical-relative:page;z-index:-26717184" type="#_x0000_t202" id="docshape701" filled="false" stroked="false">
          <v:textbox inset="0,0,0,0">
            <w:txbxContent>
              <w:p>
                <w:pPr>
                  <w:spacing w:before="14"/>
                  <w:ind w:left="20" w:right="0" w:firstLine="0"/>
                  <w:jc w:val="left"/>
                  <w:rPr>
                    <w:sz w:val="19"/>
                  </w:rPr>
                </w:pPr>
                <w:r>
                  <w:rPr>
                    <w:spacing w:val="-5"/>
                    <w:w w:val="105"/>
                    <w:sz w:val="19"/>
                  </w:rPr>
                  <w:t>38</w:t>
                </w:r>
              </w:p>
            </w:txbxContent>
          </v:textbox>
          <w10:wrap type="none"/>
        </v:shape>
      </w:pict>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15648" from="67.451866pt,740.449829pt" to="520.34299pt,740.449829pt" stroked="true" strokeweight=".481434pt" strokecolor="#000000">
          <v:stroke dashstyle="solid"/>
          <w10:wrap type="none"/>
        </v:line>
      </w:pict>
    </w:r>
    <w:r>
      <w:rPr/>
      <w:pict>
        <v:shape style="position:absolute;margin-left:68.734383pt;margin-top:738.581543pt;width:13.5pt;height:13.8pt;mso-position-horizontal-relative:page;mso-position-vertical-relative:page;z-index:-26715136" type="#_x0000_t202" id="docshape703" filled="false" stroked="false">
          <v:textbox inset="0,0,0,0">
            <w:txbxContent>
              <w:p>
                <w:pPr>
                  <w:spacing w:before="13"/>
                  <w:ind w:left="20" w:right="0" w:firstLine="0"/>
                  <w:jc w:val="left"/>
                  <w:rPr>
                    <w:sz w:val="21"/>
                  </w:rPr>
                </w:pPr>
                <w:r>
                  <w:rPr>
                    <w:spacing w:val="-5"/>
                    <w:sz w:val="21"/>
                  </w:rPr>
                  <w:t>40</w:t>
                </w:r>
              </w:p>
            </w:txbxContent>
          </v:textbox>
          <w10:wrap type="none"/>
        </v:shape>
      </w:pict>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7016192" id="docshape64" filled="true" fillcolor="#000000" stroked="false">
          <v:fill type="solid"/>
          <w10:wrap type="none"/>
        </v:rect>
      </w:pict>
    </w:r>
    <w:r>
      <w:rPr/>
      <w:pict>
        <v:shape style="position:absolute;margin-left:71pt;margin-top:734.809998pt;width:178.95pt;height:21.95pt;mso-position-horizontal-relative:page;mso-position-vertical-relative:page;z-index:-27015680" type="#_x0000_t202" id="docshape65"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7015168" type="#_x0000_t202" id="docshape66"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1</w:t>
                </w:r>
                <w:r>
                  <w:rPr>
                    <w:spacing w:val="-7"/>
                    <w:w w:val="90"/>
                    <w:sz w:val="18"/>
                  </w:rPr>
                  <w:t> </w:t>
                </w:r>
                <w:r>
                  <w:rPr>
                    <w:w w:val="90"/>
                    <w:sz w:val="18"/>
                  </w:rPr>
                  <w:t>-</w:t>
                </w:r>
                <w:r>
                  <w:rPr>
                    <w:spacing w:val="-7"/>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69</w:t>
                </w:r>
                <w:r>
                  <w:rPr>
                    <w:spacing w:val="-5"/>
                    <w:w w:val="90"/>
                    <w:sz w:val="18"/>
                  </w:rPr>
                  <w:fldChar w:fldCharType="end"/>
                </w:r>
              </w:p>
            </w:txbxContent>
          </v:textbox>
          <w10:wrap type="none"/>
        </v:shape>
      </w:pict>
    </w: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7014656" id="docshape67" filled="true" fillcolor="#000000" stroked="false">
          <v:fill type="solid"/>
          <w10:wrap type="none"/>
        </v:rect>
      </w:pict>
    </w:r>
    <w:r>
      <w:rPr/>
      <w:pict>
        <v:shape style="position:absolute;margin-left:71pt;margin-top:734.809998pt;width:178.95pt;height:21.95pt;mso-position-horizontal-relative:page;mso-position-vertical-relative:page;z-index:-27014144" type="#_x0000_t202" id="docshape68"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7013632" type="#_x0000_t202" id="docshape69"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1</w:t>
                </w:r>
                <w:r>
                  <w:rPr>
                    <w:spacing w:val="-7"/>
                    <w:w w:val="90"/>
                    <w:sz w:val="18"/>
                  </w:rPr>
                  <w:t> </w:t>
                </w:r>
                <w:r>
                  <w:rPr>
                    <w:w w:val="90"/>
                    <w:sz w:val="18"/>
                  </w:rPr>
                  <w:t>-</w:t>
                </w:r>
                <w:r>
                  <w:rPr>
                    <w:spacing w:val="-7"/>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70</w:t>
                </w:r>
                <w:r>
                  <w:rPr>
                    <w:spacing w:val="-5"/>
                    <w:w w:val="90"/>
                    <w:sz w:val="18"/>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7013120" id="docshape70" filled="true" fillcolor="#000000" stroked="false">
          <v:fill type="solid"/>
          <w10:wrap type="none"/>
        </v:rect>
      </w:pict>
    </w:r>
    <w:r>
      <w:rPr/>
      <w:pict>
        <v:shape style="position:absolute;margin-left:71pt;margin-top:734.809998pt;width:178.95pt;height:21.95pt;mso-position-horizontal-relative:page;mso-position-vertical-relative:page;z-index:-27012608" type="#_x0000_t202" id="docshape71"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7012096" type="#_x0000_t202" id="docshape72"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1</w:t>
                </w:r>
                <w:r>
                  <w:rPr>
                    <w:spacing w:val="-7"/>
                    <w:w w:val="90"/>
                    <w:sz w:val="18"/>
                  </w:rPr>
                  <w:t> </w:t>
                </w:r>
                <w:r>
                  <w:rPr>
                    <w:w w:val="90"/>
                    <w:sz w:val="18"/>
                  </w:rPr>
                  <w:t>-</w:t>
                </w:r>
                <w:r>
                  <w:rPr>
                    <w:spacing w:val="-7"/>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71</w:t>
                </w:r>
                <w:r>
                  <w:rPr>
                    <w:spacing w:val="-5"/>
                    <w:w w:val="90"/>
                    <w:sz w:val="18"/>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7011584" id="docshape73" filled="true" fillcolor="#000000" stroked="false">
          <v:fill type="solid"/>
          <w10:wrap type="none"/>
        </v:rect>
      </w:pict>
    </w:r>
    <w:r>
      <w:rPr/>
      <w:pict>
        <v:shape style="position:absolute;margin-left:71pt;margin-top:734.809998pt;width:178.95pt;height:21.95pt;mso-position-horizontal-relative:page;mso-position-vertical-relative:page;z-index:-27011072" type="#_x0000_t202" id="docshape74"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7010560" type="#_x0000_t202" id="docshape75"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1</w:t>
                </w:r>
                <w:r>
                  <w:rPr>
                    <w:spacing w:val="-7"/>
                    <w:w w:val="90"/>
                    <w:sz w:val="18"/>
                  </w:rPr>
                  <w:t> </w:t>
                </w:r>
                <w:r>
                  <w:rPr>
                    <w:w w:val="90"/>
                    <w:sz w:val="18"/>
                  </w:rPr>
                  <w:t>-</w:t>
                </w:r>
                <w:r>
                  <w:rPr>
                    <w:spacing w:val="-7"/>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72</w:t>
                </w:r>
                <w:r>
                  <w:rPr>
                    <w:spacing w:val="-5"/>
                    <w:w w:val="90"/>
                    <w:sz w:val="18"/>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7010048" id="docshape87" filled="true" fillcolor="#000000" stroked="false">
          <v:fill type="solid"/>
          <w10:wrap type="none"/>
        </v:rect>
      </w:pict>
    </w:r>
    <w:r>
      <w:rPr/>
      <w:pict>
        <v:shape style="position:absolute;margin-left:71pt;margin-top:734.809998pt;width:178.95pt;height:21.95pt;mso-position-horizontal-relative:page;mso-position-vertical-relative:page;z-index:-27009536" type="#_x0000_t202" id="docshape88"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7009024" type="#_x0000_t202" id="docshape89"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1</w:t>
                </w:r>
                <w:r>
                  <w:rPr>
                    <w:spacing w:val="-7"/>
                    <w:w w:val="90"/>
                    <w:sz w:val="18"/>
                  </w:rPr>
                  <w:t> </w:t>
                </w:r>
                <w:r>
                  <w:rPr>
                    <w:w w:val="90"/>
                    <w:sz w:val="18"/>
                  </w:rPr>
                  <w:t>-</w:t>
                </w:r>
                <w:r>
                  <w:rPr>
                    <w:spacing w:val="-7"/>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76</w:t>
                </w:r>
                <w:r>
                  <w:rPr>
                    <w:spacing w:val="-5"/>
                    <w:w w:val="90"/>
                    <w:sz w:val="18"/>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7008512" id="docshape90" filled="true" fillcolor="#000000" stroked="false">
          <v:fill type="solid"/>
          <w10:wrap type="none"/>
        </v:rect>
      </w:pict>
    </w:r>
    <w:r>
      <w:rPr/>
      <w:pict>
        <v:shape style="position:absolute;margin-left:71pt;margin-top:734.809998pt;width:178.95pt;height:21.95pt;mso-position-horizontal-relative:page;mso-position-vertical-relative:page;z-index:-27008000" type="#_x0000_t202" id="docshape91"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7007488" type="#_x0000_t202" id="docshape92"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1</w:t>
                </w:r>
                <w:r>
                  <w:rPr>
                    <w:spacing w:val="-7"/>
                    <w:w w:val="90"/>
                    <w:sz w:val="18"/>
                  </w:rPr>
                  <w:t> </w:t>
                </w:r>
                <w:r>
                  <w:rPr>
                    <w:w w:val="90"/>
                    <w:sz w:val="18"/>
                  </w:rPr>
                  <w:t>-</w:t>
                </w:r>
                <w:r>
                  <w:rPr>
                    <w:spacing w:val="-7"/>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77</w:t>
                </w:r>
                <w:r>
                  <w:rPr>
                    <w:spacing w:val="-5"/>
                    <w:w w:val="90"/>
                    <w:sz w:val="18"/>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7044864" id="docshape8" filled="true" fillcolor="#000000" stroked="false">
          <v:fill type="solid"/>
          <w10:wrap type="none"/>
        </v:rect>
      </w:pict>
    </w:r>
    <w:r>
      <w:rPr/>
      <w:pict>
        <v:shape style="position:absolute;margin-left:71pt;margin-top:734.809998pt;width:178.95pt;height:21.95pt;mso-position-horizontal-relative:page;mso-position-vertical-relative:page;z-index:-27044352" type="#_x0000_t202" id="docshape9"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7043840" type="#_x0000_t202" id="docshape10"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1</w:t>
                </w:r>
                <w:r>
                  <w:rPr>
                    <w:spacing w:val="-7"/>
                    <w:w w:val="90"/>
                    <w:sz w:val="18"/>
                  </w:rPr>
                  <w:t> </w:t>
                </w:r>
                <w:r>
                  <w:rPr>
                    <w:w w:val="90"/>
                    <w:sz w:val="18"/>
                  </w:rPr>
                  <w:t>-</w:t>
                </w:r>
                <w:r>
                  <w:rPr>
                    <w:spacing w:val="-7"/>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51</w:t>
                </w:r>
                <w:r>
                  <w:rPr>
                    <w:spacing w:val="-5"/>
                    <w:w w:val="90"/>
                    <w:sz w:val="18"/>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7006976" id="docshape93" filled="true" fillcolor="#000000" stroked="false">
          <v:fill type="solid"/>
          <w10:wrap type="none"/>
        </v:rect>
      </w:pict>
    </w:r>
    <w:r>
      <w:rPr/>
      <w:pict>
        <v:shape style="position:absolute;margin-left:71pt;margin-top:734.809998pt;width:178.95pt;height:21.95pt;mso-position-horizontal-relative:page;mso-position-vertical-relative:page;z-index:-27006464" type="#_x0000_t202" id="docshape94"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7005952" type="#_x0000_t202" id="docshape95"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1</w:t>
                </w:r>
                <w:r>
                  <w:rPr>
                    <w:spacing w:val="-7"/>
                    <w:w w:val="90"/>
                    <w:sz w:val="18"/>
                  </w:rPr>
                  <w:t> </w:t>
                </w:r>
                <w:r>
                  <w:rPr>
                    <w:w w:val="90"/>
                    <w:sz w:val="18"/>
                  </w:rPr>
                  <w:t>-</w:t>
                </w:r>
                <w:r>
                  <w:rPr>
                    <w:spacing w:val="-7"/>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78</w:t>
                </w:r>
                <w:r>
                  <w:rPr>
                    <w:spacing w:val="-5"/>
                    <w:w w:val="90"/>
                    <w:sz w:val="18"/>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7005440" id="docshape96" filled="true" fillcolor="#000000" stroked="false">
          <v:fill type="solid"/>
          <w10:wrap type="none"/>
        </v:rect>
      </w:pict>
    </w:r>
    <w:r>
      <w:rPr/>
      <w:pict>
        <v:shape style="position:absolute;margin-left:71pt;margin-top:734.809998pt;width:178.95pt;height:21.95pt;mso-position-horizontal-relative:page;mso-position-vertical-relative:page;z-index:-27004928" type="#_x0000_t202" id="docshape97"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7004416" type="#_x0000_t202" id="docshape98"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1</w:t>
                </w:r>
                <w:r>
                  <w:rPr>
                    <w:spacing w:val="-7"/>
                    <w:w w:val="90"/>
                    <w:sz w:val="18"/>
                  </w:rPr>
                  <w:t> </w:t>
                </w:r>
                <w:r>
                  <w:rPr>
                    <w:w w:val="90"/>
                    <w:sz w:val="18"/>
                  </w:rPr>
                  <w:t>-</w:t>
                </w:r>
                <w:r>
                  <w:rPr>
                    <w:spacing w:val="-7"/>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79</w:t>
                </w:r>
                <w:r>
                  <w:rPr>
                    <w:spacing w:val="-5"/>
                    <w:w w:val="90"/>
                    <w:sz w:val="18"/>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7003904" id="docshape99" filled="true" fillcolor="#000000" stroked="false">
          <v:fill type="solid"/>
          <w10:wrap type="none"/>
        </v:rect>
      </w:pict>
    </w:r>
    <w:r>
      <w:rPr/>
      <w:pict>
        <v:shape style="position:absolute;margin-left:71pt;margin-top:734.809998pt;width:178.95pt;height:21.95pt;mso-position-horizontal-relative:page;mso-position-vertical-relative:page;z-index:-27003392" type="#_x0000_t202" id="docshape100"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7002880" type="#_x0000_t202" id="docshape101"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1</w:t>
                </w:r>
                <w:r>
                  <w:rPr>
                    <w:spacing w:val="-7"/>
                    <w:w w:val="90"/>
                    <w:sz w:val="18"/>
                  </w:rPr>
                  <w:t> </w:t>
                </w:r>
                <w:r>
                  <w:rPr>
                    <w:w w:val="90"/>
                    <w:sz w:val="18"/>
                  </w:rPr>
                  <w:t>-</w:t>
                </w:r>
                <w:r>
                  <w:rPr>
                    <w:spacing w:val="-7"/>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80</w:t>
                </w:r>
                <w:r>
                  <w:rPr>
                    <w:spacing w:val="-5"/>
                    <w:w w:val="90"/>
                    <w:sz w:val="18"/>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7002368" id="docshape102" filled="true" fillcolor="#000000" stroked="false">
          <v:fill type="solid"/>
          <w10:wrap type="none"/>
        </v:rect>
      </w:pict>
    </w:r>
    <w:r>
      <w:rPr/>
      <w:pict>
        <v:shape style="position:absolute;margin-left:71pt;margin-top:734.809998pt;width:178.95pt;height:21.95pt;mso-position-horizontal-relative:page;mso-position-vertical-relative:page;z-index:-27001856" type="#_x0000_t202" id="docshape103"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7001344" type="#_x0000_t202" id="docshape104"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1</w:t>
                </w:r>
                <w:r>
                  <w:rPr>
                    <w:spacing w:val="-7"/>
                    <w:w w:val="90"/>
                    <w:sz w:val="18"/>
                  </w:rPr>
                  <w:t> </w:t>
                </w:r>
                <w:r>
                  <w:rPr>
                    <w:w w:val="90"/>
                    <w:sz w:val="18"/>
                  </w:rPr>
                  <w:t>-</w:t>
                </w:r>
                <w:r>
                  <w:rPr>
                    <w:spacing w:val="-7"/>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81</w:t>
                </w:r>
                <w:r>
                  <w:rPr>
                    <w:spacing w:val="-5"/>
                    <w:w w:val="90"/>
                    <w:sz w:val="18"/>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7000832" id="docshape105" filled="true" fillcolor="#000000" stroked="false">
          <v:fill type="solid"/>
          <w10:wrap type="none"/>
        </v:rect>
      </w:pict>
    </w:r>
    <w:r>
      <w:rPr/>
      <w:pict>
        <v:shape style="position:absolute;margin-left:71pt;margin-top:734.809998pt;width:178.95pt;height:21.95pt;mso-position-horizontal-relative:page;mso-position-vertical-relative:page;z-index:-27000320" type="#_x0000_t202" id="docshape106"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999808" type="#_x0000_t202" id="docshape107"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1</w:t>
                </w:r>
                <w:r>
                  <w:rPr>
                    <w:spacing w:val="-7"/>
                    <w:w w:val="90"/>
                    <w:sz w:val="18"/>
                  </w:rPr>
                  <w:t> </w:t>
                </w:r>
                <w:r>
                  <w:rPr>
                    <w:w w:val="90"/>
                    <w:sz w:val="18"/>
                  </w:rPr>
                  <w:t>-</w:t>
                </w:r>
                <w:r>
                  <w:rPr>
                    <w:spacing w:val="-7"/>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82</w:t>
                </w:r>
                <w:r>
                  <w:rPr>
                    <w:spacing w:val="-5"/>
                    <w:w w:val="90"/>
                    <w:sz w:val="18"/>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99296" id="docshape108" filled="true" fillcolor="#000000" stroked="false">
          <v:fill type="solid"/>
          <w10:wrap type="none"/>
        </v:rect>
      </w:pict>
    </w:r>
    <w:r>
      <w:rPr/>
      <w:pict>
        <v:shape style="position:absolute;margin-left:71pt;margin-top:734.809998pt;width:178.95pt;height:21.95pt;mso-position-horizontal-relative:page;mso-position-vertical-relative:page;z-index:-26998784" type="#_x0000_t202" id="docshape109"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998272" type="#_x0000_t202" id="docshape110"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1</w:t>
                </w:r>
                <w:r>
                  <w:rPr>
                    <w:spacing w:val="-7"/>
                    <w:w w:val="90"/>
                    <w:sz w:val="18"/>
                  </w:rPr>
                  <w:t> </w:t>
                </w:r>
                <w:r>
                  <w:rPr>
                    <w:w w:val="90"/>
                    <w:sz w:val="18"/>
                  </w:rPr>
                  <w:t>-</w:t>
                </w:r>
                <w:r>
                  <w:rPr>
                    <w:spacing w:val="-7"/>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83</w:t>
                </w:r>
                <w:r>
                  <w:rPr>
                    <w:spacing w:val="-5"/>
                    <w:w w:val="90"/>
                    <w:sz w:val="18"/>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97760" id="docshape111" filled="true" fillcolor="#000000" stroked="false">
          <v:fill type="solid"/>
          <w10:wrap type="none"/>
        </v:rect>
      </w:pict>
    </w:r>
    <w:r>
      <w:rPr/>
      <w:pict>
        <v:shape style="position:absolute;margin-left:71pt;margin-top:734.809998pt;width:178.95pt;height:21.95pt;mso-position-horizontal-relative:page;mso-position-vertical-relative:page;z-index:-26997248" type="#_x0000_t202" id="docshape112"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996736" type="#_x0000_t202" id="docshape113"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1</w:t>
                </w:r>
                <w:r>
                  <w:rPr>
                    <w:spacing w:val="-7"/>
                    <w:w w:val="90"/>
                    <w:sz w:val="18"/>
                  </w:rPr>
                  <w:t> </w:t>
                </w:r>
                <w:r>
                  <w:rPr>
                    <w:w w:val="90"/>
                    <w:sz w:val="18"/>
                  </w:rPr>
                  <w:t>-</w:t>
                </w:r>
                <w:r>
                  <w:rPr>
                    <w:spacing w:val="-7"/>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84</w:t>
                </w:r>
                <w:r>
                  <w:rPr>
                    <w:spacing w:val="-5"/>
                    <w:w w:val="90"/>
                    <w:sz w:val="18"/>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96224" id="docshape114" filled="true" fillcolor="#000000" stroked="false">
          <v:fill type="solid"/>
          <w10:wrap type="none"/>
        </v:rect>
      </w:pict>
    </w:r>
    <w:r>
      <w:rPr/>
      <w:pict>
        <v:shape style="position:absolute;margin-left:71pt;margin-top:734.809998pt;width:178.95pt;height:21.95pt;mso-position-horizontal-relative:page;mso-position-vertical-relative:page;z-index:-26995712" type="#_x0000_t202" id="docshape115"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995200" type="#_x0000_t202" id="docshape116"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1</w:t>
                </w:r>
                <w:r>
                  <w:rPr>
                    <w:spacing w:val="-7"/>
                    <w:w w:val="90"/>
                    <w:sz w:val="18"/>
                  </w:rPr>
                  <w:t> </w:t>
                </w:r>
                <w:r>
                  <w:rPr>
                    <w:w w:val="90"/>
                    <w:sz w:val="18"/>
                  </w:rPr>
                  <w:t>-</w:t>
                </w:r>
                <w:r>
                  <w:rPr>
                    <w:spacing w:val="-7"/>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85</w:t>
                </w:r>
                <w:r>
                  <w:rPr>
                    <w:spacing w:val="-5"/>
                    <w:w w:val="90"/>
                    <w:sz w:val="18"/>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94688" id="docshape117" filled="true" fillcolor="#000000" stroked="false">
          <v:fill type="solid"/>
          <w10:wrap type="none"/>
        </v:rect>
      </w:pict>
    </w:r>
    <w:r>
      <w:rPr/>
      <w:pict>
        <v:shape style="position:absolute;margin-left:71pt;margin-top:734.809998pt;width:178.95pt;height:21.95pt;mso-position-horizontal-relative:page;mso-position-vertical-relative:page;z-index:-26994176" type="#_x0000_t202" id="docshape118"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993664" type="#_x0000_t202" id="docshape119"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1</w:t>
                </w:r>
                <w:r>
                  <w:rPr>
                    <w:spacing w:val="-7"/>
                    <w:w w:val="90"/>
                    <w:sz w:val="18"/>
                  </w:rPr>
                  <w:t> </w:t>
                </w:r>
                <w:r>
                  <w:rPr>
                    <w:w w:val="90"/>
                    <w:sz w:val="18"/>
                  </w:rPr>
                  <w:t>-</w:t>
                </w:r>
                <w:r>
                  <w:rPr>
                    <w:spacing w:val="-7"/>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86</w:t>
                </w:r>
                <w:r>
                  <w:rPr>
                    <w:spacing w:val="-5"/>
                    <w:w w:val="90"/>
                    <w:sz w:val="18"/>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93152" id="docshape120" filled="true" fillcolor="#000000" stroked="false">
          <v:fill type="solid"/>
          <w10:wrap type="none"/>
        </v:rect>
      </w:pict>
    </w:r>
    <w:r>
      <w:rPr/>
      <w:pict>
        <v:shape style="position:absolute;margin-left:71pt;margin-top:734.809998pt;width:178.95pt;height:21.95pt;mso-position-horizontal-relative:page;mso-position-vertical-relative:page;z-index:-26992640" type="#_x0000_t202" id="docshape121"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992128" type="#_x0000_t202" id="docshape122"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1</w:t>
                </w:r>
                <w:r>
                  <w:rPr>
                    <w:spacing w:val="-7"/>
                    <w:w w:val="90"/>
                    <w:sz w:val="18"/>
                  </w:rPr>
                  <w:t> </w:t>
                </w:r>
                <w:r>
                  <w:rPr>
                    <w:w w:val="90"/>
                    <w:sz w:val="18"/>
                  </w:rPr>
                  <w:t>-</w:t>
                </w:r>
                <w:r>
                  <w:rPr>
                    <w:spacing w:val="-7"/>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87</w:t>
                </w:r>
                <w:r>
                  <w:rPr>
                    <w:spacing w:val="-5"/>
                    <w:w w:val="90"/>
                    <w:sz w:val="18"/>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7042816" id="docshape12" filled="true" fillcolor="#000000" stroked="false">
          <v:fill type="solid"/>
          <w10:wrap type="none"/>
        </v:rect>
      </w:pict>
    </w:r>
    <w:r>
      <w:rPr/>
      <w:pict>
        <v:shape style="position:absolute;margin-left:71pt;margin-top:734.809998pt;width:178.95pt;height:21.95pt;mso-position-horizontal-relative:page;mso-position-vertical-relative:page;z-index:-27042304" type="#_x0000_t202" id="docshape13"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7041792" type="#_x0000_t202" id="docshape14"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1</w:t>
                </w:r>
                <w:r>
                  <w:rPr>
                    <w:spacing w:val="-7"/>
                    <w:w w:val="90"/>
                    <w:sz w:val="18"/>
                  </w:rPr>
                  <w:t> </w:t>
                </w:r>
                <w:r>
                  <w:rPr>
                    <w:w w:val="90"/>
                    <w:sz w:val="18"/>
                  </w:rPr>
                  <w:t>-</w:t>
                </w:r>
                <w:r>
                  <w:rPr>
                    <w:spacing w:val="-7"/>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52</w:t>
                </w:r>
                <w:r>
                  <w:rPr>
                    <w:spacing w:val="-5"/>
                    <w:w w:val="90"/>
                    <w:sz w:val="18"/>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91616" id="docshape123" filled="true" fillcolor="#000000" stroked="false">
          <v:fill type="solid"/>
          <w10:wrap type="none"/>
        </v:rect>
      </w:pict>
    </w:r>
    <w:r>
      <w:rPr/>
      <w:pict>
        <v:shape style="position:absolute;margin-left:71pt;margin-top:734.809998pt;width:178.95pt;height:21.95pt;mso-position-horizontal-relative:page;mso-position-vertical-relative:page;z-index:-26991104" type="#_x0000_t202" id="docshape124"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990592" type="#_x0000_t202" id="docshape125"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1</w:t>
                </w:r>
                <w:r>
                  <w:rPr>
                    <w:spacing w:val="-7"/>
                    <w:w w:val="90"/>
                    <w:sz w:val="18"/>
                  </w:rPr>
                  <w:t> </w:t>
                </w:r>
                <w:r>
                  <w:rPr>
                    <w:w w:val="90"/>
                    <w:sz w:val="18"/>
                  </w:rPr>
                  <w:t>-</w:t>
                </w:r>
                <w:r>
                  <w:rPr>
                    <w:spacing w:val="-7"/>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88</w:t>
                </w:r>
                <w:r>
                  <w:rPr>
                    <w:spacing w:val="-5"/>
                    <w:w w:val="90"/>
                    <w:sz w:val="18"/>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90080" id="docshape126" filled="true" fillcolor="#000000" stroked="false">
          <v:fill type="solid"/>
          <w10:wrap type="none"/>
        </v:rect>
      </w:pict>
    </w:r>
    <w:r>
      <w:rPr/>
      <w:pict>
        <v:shape style="position:absolute;margin-left:71pt;margin-top:734.809998pt;width:178.95pt;height:21.95pt;mso-position-horizontal-relative:page;mso-position-vertical-relative:page;z-index:-26989568" type="#_x0000_t202" id="docshape127"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989056" type="#_x0000_t202" id="docshape128"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1</w:t>
                </w:r>
                <w:r>
                  <w:rPr>
                    <w:spacing w:val="-7"/>
                    <w:w w:val="90"/>
                    <w:sz w:val="18"/>
                  </w:rPr>
                  <w:t> </w:t>
                </w:r>
                <w:r>
                  <w:rPr>
                    <w:w w:val="90"/>
                    <w:sz w:val="18"/>
                  </w:rPr>
                  <w:t>-</w:t>
                </w:r>
                <w:r>
                  <w:rPr>
                    <w:spacing w:val="-7"/>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89</w:t>
                </w:r>
                <w:r>
                  <w:rPr>
                    <w:spacing w:val="-5"/>
                    <w:w w:val="90"/>
                    <w:sz w:val="18"/>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88544" id="docshape129" filled="true" fillcolor="#000000" stroked="false">
          <v:fill type="solid"/>
          <w10:wrap type="none"/>
        </v:rect>
      </w:pict>
    </w:r>
    <w:r>
      <w:rPr/>
      <w:pict>
        <v:shape style="position:absolute;margin-left:71pt;margin-top:734.809998pt;width:178.95pt;height:21.95pt;mso-position-horizontal-relative:page;mso-position-vertical-relative:page;z-index:-26988032" type="#_x0000_t202" id="docshape130"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987520" type="#_x0000_t202" id="docshape131"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1</w:t>
                </w:r>
                <w:r>
                  <w:rPr>
                    <w:spacing w:val="-7"/>
                    <w:w w:val="90"/>
                    <w:sz w:val="18"/>
                  </w:rPr>
                  <w:t> </w:t>
                </w:r>
                <w:r>
                  <w:rPr>
                    <w:w w:val="90"/>
                    <w:sz w:val="18"/>
                  </w:rPr>
                  <w:t>-</w:t>
                </w:r>
                <w:r>
                  <w:rPr>
                    <w:spacing w:val="-7"/>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90</w:t>
                </w:r>
                <w:r>
                  <w:rPr>
                    <w:spacing w:val="-5"/>
                    <w:w w:val="90"/>
                    <w:sz w:val="18"/>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87008" id="docshape132" filled="true" fillcolor="#000000" stroked="false">
          <v:fill type="solid"/>
          <w10:wrap type="none"/>
        </v:rect>
      </w:pict>
    </w:r>
    <w:r>
      <w:rPr/>
      <w:pict>
        <v:shape style="position:absolute;margin-left:71pt;margin-top:734.809998pt;width:178.95pt;height:21.95pt;mso-position-horizontal-relative:page;mso-position-vertical-relative:page;z-index:-26986496" type="#_x0000_t202" id="docshape133"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985984" type="#_x0000_t202" id="docshape134"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1</w:t>
                </w:r>
                <w:r>
                  <w:rPr>
                    <w:spacing w:val="-7"/>
                    <w:w w:val="90"/>
                    <w:sz w:val="18"/>
                  </w:rPr>
                  <w:t> </w:t>
                </w:r>
                <w:r>
                  <w:rPr>
                    <w:w w:val="90"/>
                    <w:sz w:val="18"/>
                  </w:rPr>
                  <w:t>-</w:t>
                </w:r>
                <w:r>
                  <w:rPr>
                    <w:spacing w:val="-7"/>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91</w:t>
                </w:r>
                <w:r>
                  <w:rPr>
                    <w:spacing w:val="-5"/>
                    <w:w w:val="90"/>
                    <w:sz w:val="18"/>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85472" id="docshape135" filled="true" fillcolor="#000000" stroked="false">
          <v:fill type="solid"/>
          <w10:wrap type="none"/>
        </v:rect>
      </w:pict>
    </w:r>
    <w:r>
      <w:rPr/>
      <w:pict>
        <v:shape style="position:absolute;margin-left:71pt;margin-top:734.809998pt;width:178.95pt;height:21.95pt;mso-position-horizontal-relative:page;mso-position-vertical-relative:page;z-index:-26984960" type="#_x0000_t202" id="docshape136"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984448" type="#_x0000_t202" id="docshape137"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1</w:t>
                </w:r>
                <w:r>
                  <w:rPr>
                    <w:spacing w:val="-7"/>
                    <w:w w:val="90"/>
                    <w:sz w:val="18"/>
                  </w:rPr>
                  <w:t> </w:t>
                </w:r>
                <w:r>
                  <w:rPr>
                    <w:w w:val="90"/>
                    <w:sz w:val="18"/>
                  </w:rPr>
                  <w:t>-</w:t>
                </w:r>
                <w:r>
                  <w:rPr>
                    <w:spacing w:val="-7"/>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92</w:t>
                </w:r>
                <w:r>
                  <w:rPr>
                    <w:spacing w:val="-5"/>
                    <w:w w:val="90"/>
                    <w:sz w:val="18"/>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83936" id="docshape138" filled="true" fillcolor="#000000" stroked="false">
          <v:fill type="solid"/>
          <w10:wrap type="none"/>
        </v:rect>
      </w:pict>
    </w:r>
    <w:r>
      <w:rPr/>
      <w:pict>
        <v:shape style="position:absolute;margin-left:71pt;margin-top:734.809998pt;width:178.95pt;height:21.95pt;mso-position-horizontal-relative:page;mso-position-vertical-relative:page;z-index:-26983424" type="#_x0000_t202" id="docshape139"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982912" type="#_x0000_t202" id="docshape140"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2</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10</w:t>
                </w:r>
                <w:r>
                  <w:rPr>
                    <w:spacing w:val="-5"/>
                    <w:w w:val="90"/>
                    <w:sz w:val="18"/>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82400" id="docshape141" filled="true" fillcolor="#000000" stroked="false">
          <v:fill type="solid"/>
          <w10:wrap type="none"/>
        </v:rect>
      </w:pict>
    </w:r>
    <w:r>
      <w:rPr/>
      <w:pict>
        <v:shape style="position:absolute;margin-left:71pt;margin-top:734.809998pt;width:178.95pt;height:21.95pt;mso-position-horizontal-relative:page;mso-position-vertical-relative:page;z-index:-26981888" type="#_x0000_t202" id="docshape142"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503.243011pt;margin-top:745.72699pt;width:40.65pt;height:11pt;mso-position-horizontal-relative:page;mso-position-vertical-relative:page;z-index:-26981376" type="#_x0000_t202" id="docshape143"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2</w:t>
                </w:r>
                <w:r>
                  <w:rPr>
                    <w:spacing w:val="-7"/>
                    <w:w w:val="90"/>
                    <w:sz w:val="18"/>
                  </w:rPr>
                  <w:t> </w:t>
                </w:r>
                <w:r>
                  <w:rPr>
                    <w:w w:val="90"/>
                    <w:sz w:val="18"/>
                  </w:rPr>
                  <w:t>-</w:t>
                </w:r>
                <w:r>
                  <w:rPr>
                    <w:spacing w:val="-6"/>
                    <w:w w:val="90"/>
                    <w:sz w:val="18"/>
                  </w:rPr>
                  <w:t> </w:t>
                </w:r>
                <w:r>
                  <w:rPr>
                    <w:spacing w:val="-10"/>
                    <w:w w:val="90"/>
                    <w:sz w:val="18"/>
                  </w:rPr>
                  <w:fldChar w:fldCharType="begin"/>
                </w:r>
                <w:r>
                  <w:rPr>
                    <w:spacing w:val="-10"/>
                    <w:w w:val="90"/>
                    <w:sz w:val="18"/>
                  </w:rPr>
                  <w:instrText> PAGE </w:instrText>
                </w:r>
                <w:r>
                  <w:rPr>
                    <w:spacing w:val="-10"/>
                    <w:w w:val="90"/>
                    <w:sz w:val="18"/>
                  </w:rPr>
                  <w:fldChar w:fldCharType="separate"/>
                </w:r>
                <w:r>
                  <w:rPr>
                    <w:spacing w:val="-10"/>
                    <w:w w:val="90"/>
                    <w:sz w:val="18"/>
                  </w:rPr>
                  <w:t>2</w:t>
                </w:r>
                <w:r>
                  <w:rPr>
                    <w:spacing w:val="-10"/>
                    <w:w w:val="90"/>
                    <w:sz w:val="18"/>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80864" id="docshape144" filled="true" fillcolor="#000000" stroked="false">
          <v:fill type="solid"/>
          <w10:wrap type="none"/>
        </v:rect>
      </w:pict>
    </w:r>
    <w:r>
      <w:rPr/>
      <w:pict>
        <v:shape style="position:absolute;margin-left:71pt;margin-top:734.809998pt;width:178.95pt;height:21.95pt;mso-position-horizontal-relative:page;mso-position-vertical-relative:page;z-index:-26980352" type="#_x0000_t202" id="docshape145"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503.243011pt;margin-top:745.72699pt;width:40.65pt;height:11pt;mso-position-horizontal-relative:page;mso-position-vertical-relative:page;z-index:-26979840" type="#_x0000_t202" id="docshape146"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2</w:t>
                </w:r>
                <w:r>
                  <w:rPr>
                    <w:spacing w:val="-7"/>
                    <w:w w:val="90"/>
                    <w:sz w:val="18"/>
                  </w:rPr>
                  <w:t> </w:t>
                </w:r>
                <w:r>
                  <w:rPr>
                    <w:w w:val="90"/>
                    <w:sz w:val="18"/>
                  </w:rPr>
                  <w:t>-</w:t>
                </w:r>
                <w:r>
                  <w:rPr>
                    <w:spacing w:val="-6"/>
                    <w:w w:val="90"/>
                    <w:sz w:val="18"/>
                  </w:rPr>
                  <w:t> </w:t>
                </w:r>
                <w:r>
                  <w:rPr>
                    <w:spacing w:val="-10"/>
                    <w:w w:val="90"/>
                    <w:sz w:val="18"/>
                  </w:rPr>
                  <w:fldChar w:fldCharType="begin"/>
                </w:r>
                <w:r>
                  <w:rPr>
                    <w:spacing w:val="-10"/>
                    <w:w w:val="90"/>
                    <w:sz w:val="18"/>
                  </w:rPr>
                  <w:instrText> PAGE </w:instrText>
                </w:r>
                <w:r>
                  <w:rPr>
                    <w:spacing w:val="-10"/>
                    <w:w w:val="90"/>
                    <w:sz w:val="18"/>
                  </w:rPr>
                  <w:fldChar w:fldCharType="separate"/>
                </w:r>
                <w:r>
                  <w:rPr>
                    <w:spacing w:val="-10"/>
                    <w:w w:val="90"/>
                    <w:sz w:val="18"/>
                  </w:rPr>
                  <w:t>3</w:t>
                </w:r>
                <w:r>
                  <w:rPr>
                    <w:spacing w:val="-10"/>
                    <w:w w:val="90"/>
                    <w:sz w:val="18"/>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79328" id="docshape147" filled="true" fillcolor="#000000" stroked="false">
          <v:fill type="solid"/>
          <w10:wrap type="none"/>
        </v:rect>
      </w:pict>
    </w:r>
    <w:r>
      <w:rPr/>
      <w:pict>
        <v:shape style="position:absolute;margin-left:71pt;margin-top:734.809998pt;width:178.95pt;height:21.95pt;mso-position-horizontal-relative:page;mso-position-vertical-relative:page;z-index:-26978816" type="#_x0000_t202" id="docshape148"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503.243011pt;margin-top:745.72699pt;width:40.65pt;height:11pt;mso-position-horizontal-relative:page;mso-position-vertical-relative:page;z-index:-26978304" type="#_x0000_t202" id="docshape149"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2</w:t>
                </w:r>
                <w:r>
                  <w:rPr>
                    <w:spacing w:val="-7"/>
                    <w:w w:val="90"/>
                    <w:sz w:val="18"/>
                  </w:rPr>
                  <w:t> </w:t>
                </w:r>
                <w:r>
                  <w:rPr>
                    <w:w w:val="90"/>
                    <w:sz w:val="18"/>
                  </w:rPr>
                  <w:t>-</w:t>
                </w:r>
                <w:r>
                  <w:rPr>
                    <w:spacing w:val="-6"/>
                    <w:w w:val="90"/>
                    <w:sz w:val="18"/>
                  </w:rPr>
                  <w:t> </w:t>
                </w:r>
                <w:r>
                  <w:rPr>
                    <w:spacing w:val="-10"/>
                    <w:w w:val="90"/>
                    <w:sz w:val="18"/>
                  </w:rPr>
                  <w:fldChar w:fldCharType="begin"/>
                </w:r>
                <w:r>
                  <w:rPr>
                    <w:spacing w:val="-10"/>
                    <w:w w:val="90"/>
                    <w:sz w:val="18"/>
                  </w:rPr>
                  <w:instrText> PAGE </w:instrText>
                </w:r>
                <w:r>
                  <w:rPr>
                    <w:spacing w:val="-10"/>
                    <w:w w:val="90"/>
                    <w:sz w:val="18"/>
                  </w:rPr>
                  <w:fldChar w:fldCharType="separate"/>
                </w:r>
                <w:r>
                  <w:rPr>
                    <w:spacing w:val="-10"/>
                    <w:w w:val="90"/>
                    <w:sz w:val="18"/>
                  </w:rPr>
                  <w:t>4</w:t>
                </w:r>
                <w:r>
                  <w:rPr>
                    <w:spacing w:val="-10"/>
                    <w:w w:val="90"/>
                    <w:sz w:val="18"/>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77792" id="docshape150" filled="true" fillcolor="#000000" stroked="false">
          <v:fill type="solid"/>
          <w10:wrap type="none"/>
        </v:rect>
      </w:pict>
    </w:r>
    <w:r>
      <w:rPr/>
      <w:pict>
        <v:shape style="position:absolute;margin-left:71pt;margin-top:734.809998pt;width:178.95pt;height:21.95pt;mso-position-horizontal-relative:page;mso-position-vertical-relative:page;z-index:-26977280" type="#_x0000_t202" id="docshape151"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503.243011pt;margin-top:745.72699pt;width:40.65pt;height:11pt;mso-position-horizontal-relative:page;mso-position-vertical-relative:page;z-index:-26976768" type="#_x0000_t202" id="docshape152"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2</w:t>
                </w:r>
                <w:r>
                  <w:rPr>
                    <w:spacing w:val="-7"/>
                    <w:w w:val="90"/>
                    <w:sz w:val="18"/>
                  </w:rPr>
                  <w:t> </w:t>
                </w:r>
                <w:r>
                  <w:rPr>
                    <w:w w:val="90"/>
                    <w:sz w:val="18"/>
                  </w:rPr>
                  <w:t>-</w:t>
                </w:r>
                <w:r>
                  <w:rPr>
                    <w:spacing w:val="-6"/>
                    <w:w w:val="90"/>
                    <w:sz w:val="18"/>
                  </w:rPr>
                  <w:t> </w:t>
                </w:r>
                <w:r>
                  <w:rPr>
                    <w:spacing w:val="-10"/>
                    <w:w w:val="90"/>
                    <w:sz w:val="18"/>
                  </w:rPr>
                  <w:fldChar w:fldCharType="begin"/>
                </w:r>
                <w:r>
                  <w:rPr>
                    <w:spacing w:val="-10"/>
                    <w:w w:val="90"/>
                    <w:sz w:val="18"/>
                  </w:rPr>
                  <w:instrText> PAGE </w:instrText>
                </w:r>
                <w:r>
                  <w:rPr>
                    <w:spacing w:val="-10"/>
                    <w:w w:val="90"/>
                    <w:sz w:val="18"/>
                  </w:rPr>
                  <w:fldChar w:fldCharType="separate"/>
                </w:r>
                <w:r>
                  <w:rPr>
                    <w:spacing w:val="-10"/>
                    <w:w w:val="90"/>
                    <w:sz w:val="18"/>
                  </w:rPr>
                  <w:t>5</w:t>
                </w:r>
                <w:r>
                  <w:rPr>
                    <w:spacing w:val="-10"/>
                    <w:w w:val="90"/>
                    <w:sz w:val="18"/>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7040768" id="docshape16" filled="true" fillcolor="#000000" stroked="false">
          <v:fill type="solid"/>
          <w10:wrap type="none"/>
        </v:rect>
      </w:pict>
    </w:r>
    <w:r>
      <w:rPr/>
      <w:pict>
        <v:shape style="position:absolute;margin-left:71pt;margin-top:734.809998pt;width:178.95pt;height:21.95pt;mso-position-horizontal-relative:page;mso-position-vertical-relative:page;z-index:-27040256" type="#_x0000_t202" id="docshape17"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7039744" type="#_x0000_t202" id="docshape18"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1</w:t>
                </w:r>
                <w:r>
                  <w:rPr>
                    <w:spacing w:val="-7"/>
                    <w:w w:val="90"/>
                    <w:sz w:val="18"/>
                  </w:rPr>
                  <w:t> </w:t>
                </w:r>
                <w:r>
                  <w:rPr>
                    <w:w w:val="90"/>
                    <w:sz w:val="18"/>
                  </w:rPr>
                  <w:t>-</w:t>
                </w:r>
                <w:r>
                  <w:rPr>
                    <w:spacing w:val="-7"/>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53</w:t>
                </w:r>
                <w:r>
                  <w:rPr>
                    <w:spacing w:val="-5"/>
                    <w:w w:val="90"/>
                    <w:sz w:val="18"/>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76256" id="docshape153" filled="true" fillcolor="#000000" stroked="false">
          <v:fill type="solid"/>
          <w10:wrap type="none"/>
        </v:rect>
      </w:pict>
    </w:r>
    <w:r>
      <w:rPr/>
      <w:pict>
        <v:shape style="position:absolute;margin-left:71pt;margin-top:734.809998pt;width:178.95pt;height:21.95pt;mso-position-horizontal-relative:page;mso-position-vertical-relative:page;z-index:-26975744" type="#_x0000_t202" id="docshape154"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503.243011pt;margin-top:745.72699pt;width:40.65pt;height:11pt;mso-position-horizontal-relative:page;mso-position-vertical-relative:page;z-index:-26975232" type="#_x0000_t202" id="docshape155"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2</w:t>
                </w:r>
                <w:r>
                  <w:rPr>
                    <w:spacing w:val="-7"/>
                    <w:w w:val="90"/>
                    <w:sz w:val="18"/>
                  </w:rPr>
                  <w:t> </w:t>
                </w:r>
                <w:r>
                  <w:rPr>
                    <w:w w:val="90"/>
                    <w:sz w:val="18"/>
                  </w:rPr>
                  <w:t>-</w:t>
                </w:r>
                <w:r>
                  <w:rPr>
                    <w:spacing w:val="-6"/>
                    <w:w w:val="90"/>
                    <w:sz w:val="18"/>
                  </w:rPr>
                  <w:t> </w:t>
                </w:r>
                <w:r>
                  <w:rPr>
                    <w:spacing w:val="-10"/>
                    <w:w w:val="90"/>
                    <w:sz w:val="18"/>
                  </w:rPr>
                  <w:fldChar w:fldCharType="begin"/>
                </w:r>
                <w:r>
                  <w:rPr>
                    <w:spacing w:val="-10"/>
                    <w:w w:val="90"/>
                    <w:sz w:val="18"/>
                  </w:rPr>
                  <w:instrText> PAGE </w:instrText>
                </w:r>
                <w:r>
                  <w:rPr>
                    <w:spacing w:val="-10"/>
                    <w:w w:val="90"/>
                    <w:sz w:val="18"/>
                  </w:rPr>
                  <w:fldChar w:fldCharType="separate"/>
                </w:r>
                <w:r>
                  <w:rPr>
                    <w:spacing w:val="-10"/>
                    <w:w w:val="90"/>
                    <w:sz w:val="18"/>
                  </w:rPr>
                  <w:t>6</w:t>
                </w:r>
                <w:r>
                  <w:rPr>
                    <w:spacing w:val="-10"/>
                    <w:w w:val="90"/>
                    <w:sz w:val="18"/>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74720" id="docshape156" filled="true" fillcolor="#000000" stroked="false">
          <v:fill type="solid"/>
          <w10:wrap type="none"/>
        </v:rect>
      </w:pict>
    </w:r>
    <w:r>
      <w:rPr/>
      <w:pict>
        <v:shape style="position:absolute;margin-left:71pt;margin-top:734.809998pt;width:178.95pt;height:21.95pt;mso-position-horizontal-relative:page;mso-position-vertical-relative:page;z-index:-26974208" type="#_x0000_t202" id="docshape157"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503.243011pt;margin-top:745.72699pt;width:40.65pt;height:11pt;mso-position-horizontal-relative:page;mso-position-vertical-relative:page;z-index:-26973696" type="#_x0000_t202" id="docshape158"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2</w:t>
                </w:r>
                <w:r>
                  <w:rPr>
                    <w:spacing w:val="-7"/>
                    <w:w w:val="90"/>
                    <w:sz w:val="18"/>
                  </w:rPr>
                  <w:t> </w:t>
                </w:r>
                <w:r>
                  <w:rPr>
                    <w:w w:val="90"/>
                    <w:sz w:val="18"/>
                  </w:rPr>
                  <w:t>-</w:t>
                </w:r>
                <w:r>
                  <w:rPr>
                    <w:spacing w:val="-6"/>
                    <w:w w:val="90"/>
                    <w:sz w:val="18"/>
                  </w:rPr>
                  <w:t> </w:t>
                </w:r>
                <w:r>
                  <w:rPr>
                    <w:spacing w:val="-10"/>
                    <w:w w:val="90"/>
                    <w:sz w:val="18"/>
                  </w:rPr>
                  <w:fldChar w:fldCharType="begin"/>
                </w:r>
                <w:r>
                  <w:rPr>
                    <w:spacing w:val="-10"/>
                    <w:w w:val="90"/>
                    <w:sz w:val="18"/>
                  </w:rPr>
                  <w:instrText> PAGE </w:instrText>
                </w:r>
                <w:r>
                  <w:rPr>
                    <w:spacing w:val="-10"/>
                    <w:w w:val="90"/>
                    <w:sz w:val="18"/>
                  </w:rPr>
                  <w:fldChar w:fldCharType="separate"/>
                </w:r>
                <w:r>
                  <w:rPr>
                    <w:spacing w:val="-10"/>
                    <w:w w:val="90"/>
                    <w:sz w:val="18"/>
                  </w:rPr>
                  <w:t>7</w:t>
                </w:r>
                <w:r>
                  <w:rPr>
                    <w:spacing w:val="-10"/>
                    <w:w w:val="90"/>
                    <w:sz w:val="18"/>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73184" id="docshape159" filled="true" fillcolor="#000000" stroked="false">
          <v:fill type="solid"/>
          <w10:wrap type="none"/>
        </v:rect>
      </w:pict>
    </w:r>
    <w:r>
      <w:rPr/>
      <w:pict>
        <v:shape style="position:absolute;margin-left:71pt;margin-top:734.809998pt;width:178.95pt;height:21.95pt;mso-position-horizontal-relative:page;mso-position-vertical-relative:page;z-index:-26972672" type="#_x0000_t202" id="docshape160"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503.243011pt;margin-top:745.72699pt;width:40.65pt;height:11pt;mso-position-horizontal-relative:page;mso-position-vertical-relative:page;z-index:-26972160" type="#_x0000_t202" id="docshape161"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2</w:t>
                </w:r>
                <w:r>
                  <w:rPr>
                    <w:spacing w:val="-7"/>
                    <w:w w:val="90"/>
                    <w:sz w:val="18"/>
                  </w:rPr>
                  <w:t> </w:t>
                </w:r>
                <w:r>
                  <w:rPr>
                    <w:w w:val="90"/>
                    <w:sz w:val="18"/>
                  </w:rPr>
                  <w:t>-</w:t>
                </w:r>
                <w:r>
                  <w:rPr>
                    <w:spacing w:val="-6"/>
                    <w:w w:val="90"/>
                    <w:sz w:val="18"/>
                  </w:rPr>
                  <w:t> </w:t>
                </w:r>
                <w:r>
                  <w:rPr>
                    <w:spacing w:val="-10"/>
                    <w:w w:val="90"/>
                    <w:sz w:val="18"/>
                  </w:rPr>
                  <w:fldChar w:fldCharType="begin"/>
                </w:r>
                <w:r>
                  <w:rPr>
                    <w:spacing w:val="-10"/>
                    <w:w w:val="90"/>
                    <w:sz w:val="18"/>
                  </w:rPr>
                  <w:instrText> PAGE </w:instrText>
                </w:r>
                <w:r>
                  <w:rPr>
                    <w:spacing w:val="-10"/>
                    <w:w w:val="90"/>
                    <w:sz w:val="18"/>
                  </w:rPr>
                  <w:fldChar w:fldCharType="separate"/>
                </w:r>
                <w:r>
                  <w:rPr>
                    <w:spacing w:val="-10"/>
                    <w:w w:val="90"/>
                    <w:sz w:val="18"/>
                  </w:rPr>
                  <w:t>8</w:t>
                </w:r>
                <w:r>
                  <w:rPr>
                    <w:spacing w:val="-10"/>
                    <w:w w:val="90"/>
                    <w:sz w:val="18"/>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71648" id="docshape162" filled="true" fillcolor="#000000" stroked="false">
          <v:fill type="solid"/>
          <w10:wrap type="none"/>
        </v:rect>
      </w:pict>
    </w:r>
    <w:r>
      <w:rPr/>
      <w:pict>
        <v:shape style="position:absolute;margin-left:71pt;margin-top:734.809998pt;width:178.95pt;height:21.95pt;mso-position-horizontal-relative:page;mso-position-vertical-relative:page;z-index:-26971136" type="#_x0000_t202" id="docshape163"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503.243011pt;margin-top:745.72699pt;width:40.65pt;height:11pt;mso-position-horizontal-relative:page;mso-position-vertical-relative:page;z-index:-26970624" type="#_x0000_t202" id="docshape164"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2</w:t>
                </w:r>
                <w:r>
                  <w:rPr>
                    <w:spacing w:val="-7"/>
                    <w:w w:val="90"/>
                    <w:sz w:val="18"/>
                  </w:rPr>
                  <w:t> </w:t>
                </w:r>
                <w:r>
                  <w:rPr>
                    <w:w w:val="90"/>
                    <w:sz w:val="18"/>
                  </w:rPr>
                  <w:t>-</w:t>
                </w:r>
                <w:r>
                  <w:rPr>
                    <w:spacing w:val="-6"/>
                    <w:w w:val="90"/>
                    <w:sz w:val="18"/>
                  </w:rPr>
                  <w:t> </w:t>
                </w:r>
                <w:r>
                  <w:rPr>
                    <w:spacing w:val="-10"/>
                    <w:w w:val="90"/>
                    <w:sz w:val="18"/>
                  </w:rPr>
                  <w:fldChar w:fldCharType="begin"/>
                </w:r>
                <w:r>
                  <w:rPr>
                    <w:spacing w:val="-10"/>
                    <w:w w:val="90"/>
                    <w:sz w:val="18"/>
                  </w:rPr>
                  <w:instrText> PAGE </w:instrText>
                </w:r>
                <w:r>
                  <w:rPr>
                    <w:spacing w:val="-10"/>
                    <w:w w:val="90"/>
                    <w:sz w:val="18"/>
                  </w:rPr>
                  <w:fldChar w:fldCharType="separate"/>
                </w:r>
                <w:r>
                  <w:rPr>
                    <w:spacing w:val="-10"/>
                    <w:w w:val="90"/>
                    <w:sz w:val="18"/>
                  </w:rPr>
                  <w:t>9</w:t>
                </w:r>
                <w:r>
                  <w:rPr>
                    <w:spacing w:val="-10"/>
                    <w:w w:val="90"/>
                    <w:sz w:val="18"/>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70112" id="docshape165" filled="true" fillcolor="#000000" stroked="false">
          <v:fill type="solid"/>
          <w10:wrap type="none"/>
        </v:rect>
      </w:pict>
    </w:r>
    <w:r>
      <w:rPr/>
      <w:pict>
        <v:shape style="position:absolute;margin-left:71pt;margin-top:734.809998pt;width:178.95pt;height:21.95pt;mso-position-horizontal-relative:page;mso-position-vertical-relative:page;z-index:-26969600" type="#_x0000_t202" id="docshape166"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969088" type="#_x0000_t202" id="docshape167"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2</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10</w:t>
                </w:r>
                <w:r>
                  <w:rPr>
                    <w:spacing w:val="-5"/>
                    <w:w w:val="90"/>
                    <w:sz w:val="18"/>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554.809998pt;width:178.95pt;height:21.95pt;mso-position-horizontal-relative:page;mso-position-vertical-relative:page;z-index:-26968576" type="#_x0000_t202" id="docshape171"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565.72699pt;width:45.25pt;height:11pt;mso-position-horizontal-relative:page;mso-position-vertical-relative:page;z-index:-26968064" type="#_x0000_t202" id="docshape172"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2</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12</w:t>
                </w:r>
                <w:r>
                  <w:rPr>
                    <w:spacing w:val="-5"/>
                    <w:w w:val="90"/>
                    <w:sz w:val="18"/>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67552" id="docshape186" filled="true" fillcolor="#000000" stroked="false">
          <v:fill type="solid"/>
          <w10:wrap type="none"/>
        </v:rect>
      </w:pict>
    </w:r>
    <w:r>
      <w:rPr/>
      <w:pict>
        <v:shape style="position:absolute;margin-left:71pt;margin-top:734.809998pt;width:178.95pt;height:21.95pt;mso-position-horizontal-relative:page;mso-position-vertical-relative:page;z-index:-26967040" type="#_x0000_t202" id="docshape187"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966528" type="#_x0000_t202" id="docshape188"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2</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13</w:t>
                </w:r>
                <w:r>
                  <w:rPr>
                    <w:spacing w:val="-5"/>
                    <w:w w:val="90"/>
                    <w:sz w:val="18"/>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66016" id="docshape189" filled="true" fillcolor="#000000" stroked="false">
          <v:fill type="solid"/>
          <w10:wrap type="none"/>
        </v:rect>
      </w:pict>
    </w:r>
    <w:r>
      <w:rPr/>
      <w:pict>
        <v:shape style="position:absolute;margin-left:71pt;margin-top:734.809998pt;width:178.95pt;height:21.95pt;mso-position-horizontal-relative:page;mso-position-vertical-relative:page;z-index:-26965504" type="#_x0000_t202" id="docshape190"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964992" type="#_x0000_t202" id="docshape191"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2</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14</w:t>
                </w:r>
                <w:r>
                  <w:rPr>
                    <w:spacing w:val="-5"/>
                    <w:w w:val="90"/>
                    <w:sz w:val="18"/>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64480" id="docshape192" filled="true" fillcolor="#000000" stroked="false">
          <v:fill type="solid"/>
          <w10:wrap type="none"/>
        </v:rect>
      </w:pict>
    </w:r>
    <w:r>
      <w:rPr/>
      <w:pict>
        <v:shape style="position:absolute;margin-left:71pt;margin-top:734.809998pt;width:178.95pt;height:21.95pt;mso-position-horizontal-relative:page;mso-position-vertical-relative:page;z-index:-26963968" type="#_x0000_t202" id="docshape193"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963456" type="#_x0000_t202" id="docshape194"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2</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15</w:t>
                </w:r>
                <w:r>
                  <w:rPr>
                    <w:spacing w:val="-5"/>
                    <w:w w:val="90"/>
                    <w:sz w:val="18"/>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7039232" id="docshape19" filled="true" fillcolor="#000000" stroked="false">
          <v:fill type="solid"/>
          <w10:wrap type="none"/>
        </v:rect>
      </w:pict>
    </w:r>
    <w:r>
      <w:rPr/>
      <w:pict>
        <v:shape style="position:absolute;margin-left:71pt;margin-top:734.809998pt;width:178.95pt;height:21.95pt;mso-position-horizontal-relative:page;mso-position-vertical-relative:page;z-index:-27038720" type="#_x0000_t202" id="docshape20"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7038208" type="#_x0000_t202" id="docshape21"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1</w:t>
                </w:r>
                <w:r>
                  <w:rPr>
                    <w:spacing w:val="-7"/>
                    <w:w w:val="90"/>
                    <w:sz w:val="18"/>
                  </w:rPr>
                  <w:t> </w:t>
                </w:r>
                <w:r>
                  <w:rPr>
                    <w:w w:val="90"/>
                    <w:sz w:val="18"/>
                  </w:rPr>
                  <w:t>-</w:t>
                </w:r>
                <w:r>
                  <w:rPr>
                    <w:spacing w:val="-7"/>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54</w:t>
                </w:r>
                <w:r>
                  <w:rPr>
                    <w:spacing w:val="-5"/>
                    <w:w w:val="90"/>
                    <w:sz w:val="18"/>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62944" id="docshape206" filled="true" fillcolor="#000000" stroked="false">
          <v:fill type="solid"/>
          <w10:wrap type="none"/>
        </v:rect>
      </w:pict>
    </w:r>
    <w:r>
      <w:rPr/>
      <w:pict>
        <v:shape style="position:absolute;margin-left:71pt;margin-top:734.809998pt;width:178.95pt;height:21.95pt;mso-position-horizontal-relative:page;mso-position-vertical-relative:page;z-index:-26962432" type="#_x0000_t202" id="docshape207"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961920" type="#_x0000_t202" id="docshape208"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2</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16</w:t>
                </w:r>
                <w:r>
                  <w:rPr>
                    <w:spacing w:val="-5"/>
                    <w:w w:val="90"/>
                    <w:sz w:val="18"/>
                  </w:rPr>
                  <w:fldChar w:fldCharType="end"/>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61408" id="docshape209" filled="true" fillcolor="#000000" stroked="false">
          <v:fill type="solid"/>
          <w10:wrap type="none"/>
        </v:rect>
      </w:pict>
    </w:r>
    <w:r>
      <w:rPr/>
      <w:pict>
        <v:shape style="position:absolute;margin-left:71pt;margin-top:734.809998pt;width:178.95pt;height:21.95pt;mso-position-horizontal-relative:page;mso-position-vertical-relative:page;z-index:-26960896" type="#_x0000_t202" id="docshape210"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960384" type="#_x0000_t202" id="docshape211"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2</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17</w:t>
                </w:r>
                <w:r>
                  <w:rPr>
                    <w:spacing w:val="-5"/>
                    <w:w w:val="90"/>
                    <w:sz w:val="18"/>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59872" id="docshape212" filled="true" fillcolor="#000000" stroked="false">
          <v:fill type="solid"/>
          <w10:wrap type="none"/>
        </v:rect>
      </w:pict>
    </w:r>
    <w:r>
      <w:rPr/>
      <w:pict>
        <v:shape style="position:absolute;margin-left:71pt;margin-top:734.809998pt;width:178.95pt;height:21.95pt;mso-position-horizontal-relative:page;mso-position-vertical-relative:page;z-index:-26959360" type="#_x0000_t202" id="docshape213"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958848" type="#_x0000_t202" id="docshape214"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2</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18</w:t>
                </w:r>
                <w:r>
                  <w:rPr>
                    <w:spacing w:val="-5"/>
                    <w:w w:val="90"/>
                    <w:sz w:val="18"/>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58336" id="docshape215" filled="true" fillcolor="#000000" stroked="false">
          <v:fill type="solid"/>
          <w10:wrap type="none"/>
        </v:rect>
      </w:pict>
    </w:r>
    <w:r>
      <w:rPr/>
      <w:pict>
        <v:shape style="position:absolute;margin-left:71pt;margin-top:734.809998pt;width:178.95pt;height:21.95pt;mso-position-horizontal-relative:page;mso-position-vertical-relative:page;z-index:-26957824" type="#_x0000_t202" id="docshape216"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957312" type="#_x0000_t202" id="docshape217"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2</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19</w:t>
                </w:r>
                <w:r>
                  <w:rPr>
                    <w:spacing w:val="-5"/>
                    <w:w w:val="90"/>
                    <w:sz w:val="18"/>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56800" id="docshape218" filled="true" fillcolor="#000000" stroked="false">
          <v:fill type="solid"/>
          <w10:wrap type="none"/>
        </v:rect>
      </w:pict>
    </w:r>
    <w:r>
      <w:rPr/>
      <w:pict>
        <v:shape style="position:absolute;margin-left:71pt;margin-top:734.809998pt;width:178.95pt;height:21.95pt;mso-position-horizontal-relative:page;mso-position-vertical-relative:page;z-index:-26956288" type="#_x0000_t202" id="docshape219"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955776" type="#_x0000_t202" id="docshape220"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2</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20</w:t>
                </w:r>
                <w:r>
                  <w:rPr>
                    <w:spacing w:val="-5"/>
                    <w:w w:val="90"/>
                    <w:sz w:val="18"/>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55264" id="docshape221" filled="true" fillcolor="#000000" stroked="false">
          <v:fill type="solid"/>
          <w10:wrap type="none"/>
        </v:rect>
      </w:pict>
    </w:r>
    <w:r>
      <w:rPr/>
      <w:pict>
        <v:shape style="position:absolute;margin-left:71pt;margin-top:734.809998pt;width:178.95pt;height:21.95pt;mso-position-horizontal-relative:page;mso-position-vertical-relative:page;z-index:-26954752" type="#_x0000_t202" id="docshape222"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954240" type="#_x0000_t202" id="docshape223"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2</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21</w:t>
                </w:r>
                <w:r>
                  <w:rPr>
                    <w:spacing w:val="-5"/>
                    <w:w w:val="90"/>
                    <w:sz w:val="18"/>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53728" id="docshape224" filled="true" fillcolor="#000000" stroked="false">
          <v:fill type="solid"/>
          <w10:wrap type="none"/>
        </v:rect>
      </w:pict>
    </w:r>
    <w:r>
      <w:rPr/>
      <w:pict>
        <v:shape style="position:absolute;margin-left:71pt;margin-top:734.809998pt;width:178.95pt;height:21.95pt;mso-position-horizontal-relative:page;mso-position-vertical-relative:page;z-index:-26953216" type="#_x0000_t202" id="docshape225"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952704" type="#_x0000_t202" id="docshape226"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3</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10</w:t>
                </w:r>
                <w:r>
                  <w:rPr>
                    <w:spacing w:val="-5"/>
                    <w:w w:val="90"/>
                    <w:sz w:val="18"/>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52192" id="docshape227" filled="true" fillcolor="#000000" stroked="false">
          <v:fill type="solid"/>
          <w10:wrap type="none"/>
        </v:rect>
      </w:pict>
    </w:r>
    <w:r>
      <w:rPr/>
      <w:pict>
        <v:shape style="position:absolute;margin-left:71pt;margin-top:734.809998pt;width:178.95pt;height:21.95pt;mso-position-horizontal-relative:page;mso-position-vertical-relative:page;z-index:-26951680" type="#_x0000_t202" id="docshape228"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503.243011pt;margin-top:745.72699pt;width:40.65pt;height:11pt;mso-position-horizontal-relative:page;mso-position-vertical-relative:page;z-index:-26951168" type="#_x0000_t202" id="docshape229"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3</w:t>
                </w:r>
                <w:r>
                  <w:rPr>
                    <w:spacing w:val="-7"/>
                    <w:w w:val="90"/>
                    <w:sz w:val="18"/>
                  </w:rPr>
                  <w:t> </w:t>
                </w:r>
                <w:r>
                  <w:rPr>
                    <w:w w:val="90"/>
                    <w:sz w:val="18"/>
                  </w:rPr>
                  <w:t>-</w:t>
                </w:r>
                <w:r>
                  <w:rPr>
                    <w:spacing w:val="-6"/>
                    <w:w w:val="90"/>
                    <w:sz w:val="18"/>
                  </w:rPr>
                  <w:t> </w:t>
                </w:r>
                <w:r>
                  <w:rPr>
                    <w:spacing w:val="-10"/>
                    <w:w w:val="90"/>
                    <w:sz w:val="18"/>
                  </w:rPr>
                  <w:fldChar w:fldCharType="begin"/>
                </w:r>
                <w:r>
                  <w:rPr>
                    <w:spacing w:val="-10"/>
                    <w:w w:val="90"/>
                    <w:sz w:val="18"/>
                  </w:rPr>
                  <w:instrText> PAGE </w:instrText>
                </w:r>
                <w:r>
                  <w:rPr>
                    <w:spacing w:val="-10"/>
                    <w:w w:val="90"/>
                    <w:sz w:val="18"/>
                  </w:rPr>
                  <w:fldChar w:fldCharType="separate"/>
                </w:r>
                <w:r>
                  <w:rPr>
                    <w:spacing w:val="-10"/>
                    <w:w w:val="90"/>
                    <w:sz w:val="18"/>
                  </w:rPr>
                  <w:t>2</w:t>
                </w:r>
                <w:r>
                  <w:rPr>
                    <w:spacing w:val="-10"/>
                    <w:w w:val="90"/>
                    <w:sz w:val="18"/>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50656" id="docshape230" filled="true" fillcolor="#000000" stroked="false">
          <v:fill type="solid"/>
          <w10:wrap type="none"/>
        </v:rect>
      </w:pict>
    </w:r>
    <w:r>
      <w:rPr/>
      <w:pict>
        <v:shape style="position:absolute;margin-left:71pt;margin-top:734.809998pt;width:178.95pt;height:21.95pt;mso-position-horizontal-relative:page;mso-position-vertical-relative:page;z-index:-26950144" type="#_x0000_t202" id="docshape231"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503.243011pt;margin-top:745.72699pt;width:40.65pt;height:11pt;mso-position-horizontal-relative:page;mso-position-vertical-relative:page;z-index:-26949632" type="#_x0000_t202" id="docshape232"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3</w:t>
                </w:r>
                <w:r>
                  <w:rPr>
                    <w:spacing w:val="-7"/>
                    <w:w w:val="90"/>
                    <w:sz w:val="18"/>
                  </w:rPr>
                  <w:t> </w:t>
                </w:r>
                <w:r>
                  <w:rPr>
                    <w:w w:val="90"/>
                    <w:sz w:val="18"/>
                  </w:rPr>
                  <w:t>-</w:t>
                </w:r>
                <w:r>
                  <w:rPr>
                    <w:spacing w:val="-6"/>
                    <w:w w:val="90"/>
                    <w:sz w:val="18"/>
                  </w:rPr>
                  <w:t> </w:t>
                </w:r>
                <w:r>
                  <w:rPr>
                    <w:spacing w:val="-10"/>
                    <w:w w:val="90"/>
                    <w:sz w:val="18"/>
                  </w:rPr>
                  <w:fldChar w:fldCharType="begin"/>
                </w:r>
                <w:r>
                  <w:rPr>
                    <w:spacing w:val="-10"/>
                    <w:w w:val="90"/>
                    <w:sz w:val="18"/>
                  </w:rPr>
                  <w:instrText> PAGE </w:instrText>
                </w:r>
                <w:r>
                  <w:rPr>
                    <w:spacing w:val="-10"/>
                    <w:w w:val="90"/>
                    <w:sz w:val="18"/>
                  </w:rPr>
                  <w:fldChar w:fldCharType="separate"/>
                </w:r>
                <w:r>
                  <w:rPr>
                    <w:spacing w:val="-10"/>
                    <w:w w:val="90"/>
                    <w:sz w:val="18"/>
                  </w:rPr>
                  <w:t>3</w:t>
                </w:r>
                <w:r>
                  <w:rPr>
                    <w:spacing w:val="-10"/>
                    <w:w w:val="90"/>
                    <w:sz w:val="18"/>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49120" id="docshape233" filled="true" fillcolor="#000000" stroked="false">
          <v:fill type="solid"/>
          <w10:wrap type="none"/>
        </v:rect>
      </w:pict>
    </w:r>
    <w:r>
      <w:rPr/>
      <w:pict>
        <v:shape style="position:absolute;margin-left:71pt;margin-top:734.809998pt;width:178.95pt;height:21.95pt;mso-position-horizontal-relative:page;mso-position-vertical-relative:page;z-index:-26948608" type="#_x0000_t202" id="docshape234"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503.243011pt;margin-top:745.72699pt;width:40.65pt;height:11pt;mso-position-horizontal-relative:page;mso-position-vertical-relative:page;z-index:-26948096" type="#_x0000_t202" id="docshape235"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3</w:t>
                </w:r>
                <w:r>
                  <w:rPr>
                    <w:spacing w:val="-7"/>
                    <w:w w:val="90"/>
                    <w:sz w:val="18"/>
                  </w:rPr>
                  <w:t> </w:t>
                </w:r>
                <w:r>
                  <w:rPr>
                    <w:w w:val="90"/>
                    <w:sz w:val="18"/>
                  </w:rPr>
                  <w:t>-</w:t>
                </w:r>
                <w:r>
                  <w:rPr>
                    <w:spacing w:val="-6"/>
                    <w:w w:val="90"/>
                    <w:sz w:val="18"/>
                  </w:rPr>
                  <w:t> </w:t>
                </w:r>
                <w:r>
                  <w:rPr>
                    <w:spacing w:val="-10"/>
                    <w:w w:val="90"/>
                    <w:sz w:val="18"/>
                  </w:rPr>
                  <w:fldChar w:fldCharType="begin"/>
                </w:r>
                <w:r>
                  <w:rPr>
                    <w:spacing w:val="-10"/>
                    <w:w w:val="90"/>
                    <w:sz w:val="18"/>
                  </w:rPr>
                  <w:instrText> PAGE </w:instrText>
                </w:r>
                <w:r>
                  <w:rPr>
                    <w:spacing w:val="-10"/>
                    <w:w w:val="90"/>
                    <w:sz w:val="18"/>
                  </w:rPr>
                  <w:fldChar w:fldCharType="separate"/>
                </w:r>
                <w:r>
                  <w:rPr>
                    <w:spacing w:val="-10"/>
                    <w:w w:val="90"/>
                    <w:sz w:val="18"/>
                  </w:rPr>
                  <w:t>4</w:t>
                </w:r>
                <w:r>
                  <w:rPr>
                    <w:spacing w:val="-10"/>
                    <w:w w:val="90"/>
                    <w:sz w:val="18"/>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7037696" id="docshape22" filled="true" fillcolor="#000000" stroked="false">
          <v:fill type="solid"/>
          <w10:wrap type="none"/>
        </v:rect>
      </w:pict>
    </w:r>
    <w:r>
      <w:rPr/>
      <w:pict>
        <v:shape style="position:absolute;margin-left:71pt;margin-top:734.809998pt;width:178.95pt;height:21.95pt;mso-position-horizontal-relative:page;mso-position-vertical-relative:page;z-index:-27037184" type="#_x0000_t202" id="docshape23"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7036672" type="#_x0000_t202" id="docshape24"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1</w:t>
                </w:r>
                <w:r>
                  <w:rPr>
                    <w:spacing w:val="-7"/>
                    <w:w w:val="90"/>
                    <w:sz w:val="18"/>
                  </w:rPr>
                  <w:t> </w:t>
                </w:r>
                <w:r>
                  <w:rPr>
                    <w:w w:val="90"/>
                    <w:sz w:val="18"/>
                  </w:rPr>
                  <w:t>-</w:t>
                </w:r>
                <w:r>
                  <w:rPr>
                    <w:spacing w:val="-7"/>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55</w:t>
                </w:r>
                <w:r>
                  <w:rPr>
                    <w:spacing w:val="-5"/>
                    <w:w w:val="90"/>
                    <w:sz w:val="18"/>
                  </w:rPr>
                  <w:fldChar w:fldCharType="end"/>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47584" id="docshape236" filled="true" fillcolor="#000000" stroked="false">
          <v:fill type="solid"/>
          <w10:wrap type="none"/>
        </v:rect>
      </w:pict>
    </w:r>
    <w:r>
      <w:rPr/>
      <w:pict>
        <v:shape style="position:absolute;margin-left:71pt;margin-top:734.809998pt;width:178.95pt;height:21.95pt;mso-position-horizontal-relative:page;mso-position-vertical-relative:page;z-index:-26947072" type="#_x0000_t202" id="docshape237"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503.243011pt;margin-top:745.72699pt;width:40.65pt;height:11pt;mso-position-horizontal-relative:page;mso-position-vertical-relative:page;z-index:-26946560" type="#_x0000_t202" id="docshape238"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3</w:t>
                </w:r>
                <w:r>
                  <w:rPr>
                    <w:spacing w:val="-7"/>
                    <w:w w:val="90"/>
                    <w:sz w:val="18"/>
                  </w:rPr>
                  <w:t> </w:t>
                </w:r>
                <w:r>
                  <w:rPr>
                    <w:w w:val="90"/>
                    <w:sz w:val="18"/>
                  </w:rPr>
                  <w:t>-</w:t>
                </w:r>
                <w:r>
                  <w:rPr>
                    <w:spacing w:val="-6"/>
                    <w:w w:val="90"/>
                    <w:sz w:val="18"/>
                  </w:rPr>
                  <w:t> </w:t>
                </w:r>
                <w:r>
                  <w:rPr>
                    <w:spacing w:val="-10"/>
                    <w:w w:val="90"/>
                    <w:sz w:val="18"/>
                  </w:rPr>
                  <w:fldChar w:fldCharType="begin"/>
                </w:r>
                <w:r>
                  <w:rPr>
                    <w:spacing w:val="-10"/>
                    <w:w w:val="90"/>
                    <w:sz w:val="18"/>
                  </w:rPr>
                  <w:instrText> PAGE </w:instrText>
                </w:r>
                <w:r>
                  <w:rPr>
                    <w:spacing w:val="-10"/>
                    <w:w w:val="90"/>
                    <w:sz w:val="18"/>
                  </w:rPr>
                  <w:fldChar w:fldCharType="separate"/>
                </w:r>
                <w:r>
                  <w:rPr>
                    <w:spacing w:val="-10"/>
                    <w:w w:val="90"/>
                    <w:sz w:val="18"/>
                  </w:rPr>
                  <w:t>5</w:t>
                </w:r>
                <w:r>
                  <w:rPr>
                    <w:spacing w:val="-10"/>
                    <w:w w:val="90"/>
                    <w:sz w:val="18"/>
                  </w:rPr>
                  <w:fldChar w:fldCharType="end"/>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46048" id="docshape239" filled="true" fillcolor="#000000" stroked="false">
          <v:fill type="solid"/>
          <w10:wrap type="none"/>
        </v:rect>
      </w:pict>
    </w:r>
    <w:r>
      <w:rPr/>
      <w:pict>
        <v:shape style="position:absolute;margin-left:71pt;margin-top:734.809998pt;width:178.95pt;height:21.95pt;mso-position-horizontal-relative:page;mso-position-vertical-relative:page;z-index:-26945536" type="#_x0000_t202" id="docshape240"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503.243011pt;margin-top:745.72699pt;width:40.65pt;height:11pt;mso-position-horizontal-relative:page;mso-position-vertical-relative:page;z-index:-26945024" type="#_x0000_t202" id="docshape241"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3</w:t>
                </w:r>
                <w:r>
                  <w:rPr>
                    <w:spacing w:val="-7"/>
                    <w:w w:val="90"/>
                    <w:sz w:val="18"/>
                  </w:rPr>
                  <w:t> </w:t>
                </w:r>
                <w:r>
                  <w:rPr>
                    <w:w w:val="90"/>
                    <w:sz w:val="18"/>
                  </w:rPr>
                  <w:t>-</w:t>
                </w:r>
                <w:r>
                  <w:rPr>
                    <w:spacing w:val="-6"/>
                    <w:w w:val="90"/>
                    <w:sz w:val="18"/>
                  </w:rPr>
                  <w:t> </w:t>
                </w:r>
                <w:r>
                  <w:rPr>
                    <w:spacing w:val="-10"/>
                    <w:w w:val="90"/>
                    <w:sz w:val="18"/>
                  </w:rPr>
                  <w:fldChar w:fldCharType="begin"/>
                </w:r>
                <w:r>
                  <w:rPr>
                    <w:spacing w:val="-10"/>
                    <w:w w:val="90"/>
                    <w:sz w:val="18"/>
                  </w:rPr>
                  <w:instrText> PAGE </w:instrText>
                </w:r>
                <w:r>
                  <w:rPr>
                    <w:spacing w:val="-10"/>
                    <w:w w:val="90"/>
                    <w:sz w:val="18"/>
                  </w:rPr>
                  <w:fldChar w:fldCharType="separate"/>
                </w:r>
                <w:r>
                  <w:rPr>
                    <w:spacing w:val="-10"/>
                    <w:w w:val="90"/>
                    <w:sz w:val="18"/>
                  </w:rPr>
                  <w:t>6</w:t>
                </w:r>
                <w:r>
                  <w:rPr>
                    <w:spacing w:val="-10"/>
                    <w:w w:val="90"/>
                    <w:sz w:val="18"/>
                  </w:rPr>
                  <w:fldChar w:fldCharType="end"/>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44512" id="docshape242" filled="true" fillcolor="#000000" stroked="false">
          <v:fill type="solid"/>
          <w10:wrap type="none"/>
        </v:rect>
      </w:pict>
    </w:r>
    <w:r>
      <w:rPr/>
      <w:pict>
        <v:shape style="position:absolute;margin-left:71pt;margin-top:734.809998pt;width:178.95pt;height:21.95pt;mso-position-horizontal-relative:page;mso-position-vertical-relative:page;z-index:-26944000" type="#_x0000_t202" id="docshape243"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503.243011pt;margin-top:745.72699pt;width:40.65pt;height:11pt;mso-position-horizontal-relative:page;mso-position-vertical-relative:page;z-index:-26943488" type="#_x0000_t202" id="docshape244"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3</w:t>
                </w:r>
                <w:r>
                  <w:rPr>
                    <w:spacing w:val="-7"/>
                    <w:w w:val="90"/>
                    <w:sz w:val="18"/>
                  </w:rPr>
                  <w:t> </w:t>
                </w:r>
                <w:r>
                  <w:rPr>
                    <w:w w:val="90"/>
                    <w:sz w:val="18"/>
                  </w:rPr>
                  <w:t>-</w:t>
                </w:r>
                <w:r>
                  <w:rPr>
                    <w:spacing w:val="-6"/>
                    <w:w w:val="90"/>
                    <w:sz w:val="18"/>
                  </w:rPr>
                  <w:t> </w:t>
                </w:r>
                <w:r>
                  <w:rPr>
                    <w:spacing w:val="-10"/>
                    <w:w w:val="90"/>
                    <w:sz w:val="18"/>
                  </w:rPr>
                  <w:fldChar w:fldCharType="begin"/>
                </w:r>
                <w:r>
                  <w:rPr>
                    <w:spacing w:val="-10"/>
                    <w:w w:val="90"/>
                    <w:sz w:val="18"/>
                  </w:rPr>
                  <w:instrText> PAGE </w:instrText>
                </w:r>
                <w:r>
                  <w:rPr>
                    <w:spacing w:val="-10"/>
                    <w:w w:val="90"/>
                    <w:sz w:val="18"/>
                  </w:rPr>
                  <w:fldChar w:fldCharType="separate"/>
                </w:r>
                <w:r>
                  <w:rPr>
                    <w:spacing w:val="-10"/>
                    <w:w w:val="90"/>
                    <w:sz w:val="18"/>
                  </w:rPr>
                  <w:t>7</w:t>
                </w:r>
                <w:r>
                  <w:rPr>
                    <w:spacing w:val="-10"/>
                    <w:w w:val="90"/>
                    <w:sz w:val="18"/>
                  </w:rPr>
                  <w:fldChar w:fldCharType="end"/>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42976" id="docshape245" filled="true" fillcolor="#000000" stroked="false">
          <v:fill type="solid"/>
          <w10:wrap type="none"/>
        </v:rect>
      </w:pict>
    </w:r>
    <w:r>
      <w:rPr/>
      <w:pict>
        <v:shape style="position:absolute;margin-left:71pt;margin-top:734.809998pt;width:178.95pt;height:21.95pt;mso-position-horizontal-relative:page;mso-position-vertical-relative:page;z-index:-26942464" type="#_x0000_t202" id="docshape246"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503.243011pt;margin-top:745.72699pt;width:40.65pt;height:11pt;mso-position-horizontal-relative:page;mso-position-vertical-relative:page;z-index:-26941952" type="#_x0000_t202" id="docshape247"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3</w:t>
                </w:r>
                <w:r>
                  <w:rPr>
                    <w:spacing w:val="-7"/>
                    <w:w w:val="90"/>
                    <w:sz w:val="18"/>
                  </w:rPr>
                  <w:t> </w:t>
                </w:r>
                <w:r>
                  <w:rPr>
                    <w:w w:val="90"/>
                    <w:sz w:val="18"/>
                  </w:rPr>
                  <w:t>-</w:t>
                </w:r>
                <w:r>
                  <w:rPr>
                    <w:spacing w:val="-6"/>
                    <w:w w:val="90"/>
                    <w:sz w:val="18"/>
                  </w:rPr>
                  <w:t> </w:t>
                </w:r>
                <w:r>
                  <w:rPr>
                    <w:spacing w:val="-10"/>
                    <w:w w:val="90"/>
                    <w:sz w:val="18"/>
                  </w:rPr>
                  <w:fldChar w:fldCharType="begin"/>
                </w:r>
                <w:r>
                  <w:rPr>
                    <w:spacing w:val="-10"/>
                    <w:w w:val="90"/>
                    <w:sz w:val="18"/>
                  </w:rPr>
                  <w:instrText> PAGE </w:instrText>
                </w:r>
                <w:r>
                  <w:rPr>
                    <w:spacing w:val="-10"/>
                    <w:w w:val="90"/>
                    <w:sz w:val="18"/>
                  </w:rPr>
                  <w:fldChar w:fldCharType="separate"/>
                </w:r>
                <w:r>
                  <w:rPr>
                    <w:spacing w:val="-10"/>
                    <w:w w:val="90"/>
                    <w:sz w:val="18"/>
                  </w:rPr>
                  <w:t>8</w:t>
                </w:r>
                <w:r>
                  <w:rPr>
                    <w:spacing w:val="-10"/>
                    <w:w w:val="90"/>
                    <w:sz w:val="18"/>
                  </w:rPr>
                  <w:fldChar w:fldCharType="end"/>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41440" id="docshape248" filled="true" fillcolor="#000000" stroked="false">
          <v:fill type="solid"/>
          <w10:wrap type="none"/>
        </v:rect>
      </w:pict>
    </w:r>
    <w:r>
      <w:rPr/>
      <w:pict>
        <v:shape style="position:absolute;margin-left:71pt;margin-top:734.809998pt;width:178.95pt;height:21.95pt;mso-position-horizontal-relative:page;mso-position-vertical-relative:page;z-index:-26940928" type="#_x0000_t202" id="docshape249"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503.243011pt;margin-top:745.72699pt;width:40.65pt;height:11pt;mso-position-horizontal-relative:page;mso-position-vertical-relative:page;z-index:-26940416" type="#_x0000_t202" id="docshape250"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3</w:t>
                </w:r>
                <w:r>
                  <w:rPr>
                    <w:spacing w:val="-7"/>
                    <w:w w:val="90"/>
                    <w:sz w:val="18"/>
                  </w:rPr>
                  <w:t> </w:t>
                </w:r>
                <w:r>
                  <w:rPr>
                    <w:w w:val="90"/>
                    <w:sz w:val="18"/>
                  </w:rPr>
                  <w:t>-</w:t>
                </w:r>
                <w:r>
                  <w:rPr>
                    <w:spacing w:val="-6"/>
                    <w:w w:val="90"/>
                    <w:sz w:val="18"/>
                  </w:rPr>
                  <w:t> </w:t>
                </w:r>
                <w:r>
                  <w:rPr>
                    <w:spacing w:val="-10"/>
                    <w:w w:val="90"/>
                    <w:sz w:val="18"/>
                  </w:rPr>
                  <w:fldChar w:fldCharType="begin"/>
                </w:r>
                <w:r>
                  <w:rPr>
                    <w:spacing w:val="-10"/>
                    <w:w w:val="90"/>
                    <w:sz w:val="18"/>
                  </w:rPr>
                  <w:instrText> PAGE </w:instrText>
                </w:r>
                <w:r>
                  <w:rPr>
                    <w:spacing w:val="-10"/>
                    <w:w w:val="90"/>
                    <w:sz w:val="18"/>
                  </w:rPr>
                  <w:fldChar w:fldCharType="separate"/>
                </w:r>
                <w:r>
                  <w:rPr>
                    <w:spacing w:val="-10"/>
                    <w:w w:val="90"/>
                    <w:sz w:val="18"/>
                  </w:rPr>
                  <w:t>9</w:t>
                </w:r>
                <w:r>
                  <w:rPr>
                    <w:spacing w:val="-10"/>
                    <w:w w:val="90"/>
                    <w:sz w:val="18"/>
                  </w:rPr>
                  <w:fldChar w:fldCharType="end"/>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39904" id="docshape251" filled="true" fillcolor="#000000" stroked="false">
          <v:fill type="solid"/>
          <w10:wrap type="none"/>
        </v:rect>
      </w:pict>
    </w:r>
    <w:r>
      <w:rPr/>
      <w:pict>
        <v:shape style="position:absolute;margin-left:71pt;margin-top:734.809998pt;width:178.95pt;height:21.95pt;mso-position-horizontal-relative:page;mso-position-vertical-relative:page;z-index:-26939392" type="#_x0000_t202" id="docshape252"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938880" type="#_x0000_t202" id="docshape253"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3</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10</w:t>
                </w:r>
                <w:r>
                  <w:rPr>
                    <w:spacing w:val="-5"/>
                    <w:w w:val="90"/>
                    <w:sz w:val="18"/>
                  </w:rPr>
                  <w:fldChar w:fldCharType="end"/>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38368" id="docshape254" filled="true" fillcolor="#000000" stroked="false">
          <v:fill type="solid"/>
          <w10:wrap type="none"/>
        </v:rect>
      </w:pict>
    </w:r>
    <w:r>
      <w:rPr/>
      <w:pict>
        <v:shape style="position:absolute;margin-left:71pt;margin-top:734.809998pt;width:178.95pt;height:21.95pt;mso-position-horizontal-relative:page;mso-position-vertical-relative:page;z-index:-26937856" type="#_x0000_t202" id="docshape255"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937344" type="#_x0000_t202" id="docshape256"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3</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11</w:t>
                </w:r>
                <w:r>
                  <w:rPr>
                    <w:spacing w:val="-5"/>
                    <w:w w:val="90"/>
                    <w:sz w:val="18"/>
                  </w:rPr>
                  <w:fldChar w:fldCharType="end"/>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36832" id="docshape257" filled="true" fillcolor="#000000" stroked="false">
          <v:fill type="solid"/>
          <w10:wrap type="none"/>
        </v:rect>
      </w:pict>
    </w:r>
    <w:r>
      <w:rPr/>
      <w:pict>
        <v:shape style="position:absolute;margin-left:71pt;margin-top:734.809998pt;width:178.95pt;height:21.95pt;mso-position-horizontal-relative:page;mso-position-vertical-relative:page;z-index:-26936320" type="#_x0000_t202" id="docshape258"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935808" type="#_x0000_t202" id="docshape259"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3</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12</w:t>
                </w:r>
                <w:r>
                  <w:rPr>
                    <w:spacing w:val="-5"/>
                    <w:w w:val="90"/>
                    <w:sz w:val="18"/>
                  </w:rPr>
                  <w:fldChar w:fldCharType="end"/>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35296" id="docshape260" filled="true" fillcolor="#000000" stroked="false">
          <v:fill type="solid"/>
          <w10:wrap type="none"/>
        </v:rect>
      </w:pict>
    </w:r>
    <w:r>
      <w:rPr/>
      <w:pict>
        <v:shape style="position:absolute;margin-left:71pt;margin-top:734.809998pt;width:178.95pt;height:21.95pt;mso-position-horizontal-relative:page;mso-position-vertical-relative:page;z-index:-26934784" type="#_x0000_t202" id="docshape261"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934272" type="#_x0000_t202" id="docshape262"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3</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13</w:t>
                </w:r>
                <w:r>
                  <w:rPr>
                    <w:spacing w:val="-5"/>
                    <w:w w:val="90"/>
                    <w:sz w:val="18"/>
                  </w:rPr>
                  <w:fldChar w:fldCharType="end"/>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33248" id="docshape264" filled="true" fillcolor="#000000" stroked="false">
          <v:fill type="solid"/>
          <w10:wrap type="none"/>
        </v:rect>
      </w:pict>
    </w:r>
    <w:r>
      <w:rPr/>
      <w:pict>
        <v:shape style="position:absolute;margin-left:71pt;margin-top:734.809998pt;width:178.95pt;height:21.95pt;mso-position-horizontal-relative:page;mso-position-vertical-relative:page;z-index:-26932736" type="#_x0000_t202" id="docshape265"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932224" type="#_x0000_t202" id="docshape266"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3</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14</w:t>
                </w:r>
                <w:r>
                  <w:rPr>
                    <w:spacing w:val="-5"/>
                    <w:w w:val="90"/>
                    <w:sz w:val="18"/>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7036160" id="docshape25" filled="true" fillcolor="#000000" stroked="false">
          <v:fill type="solid"/>
          <w10:wrap type="none"/>
        </v:rect>
      </w:pict>
    </w:r>
    <w:r>
      <w:rPr/>
      <w:pict>
        <v:shape style="position:absolute;margin-left:71pt;margin-top:734.809998pt;width:178.95pt;height:21.95pt;mso-position-horizontal-relative:page;mso-position-vertical-relative:page;z-index:-27035648" type="#_x0000_t202" id="docshape26"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7035136" type="#_x0000_t202" id="docshape27"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1</w:t>
                </w:r>
                <w:r>
                  <w:rPr>
                    <w:spacing w:val="-7"/>
                    <w:w w:val="90"/>
                    <w:sz w:val="18"/>
                  </w:rPr>
                  <w:t> </w:t>
                </w:r>
                <w:r>
                  <w:rPr>
                    <w:w w:val="90"/>
                    <w:sz w:val="18"/>
                  </w:rPr>
                  <w:t>-</w:t>
                </w:r>
                <w:r>
                  <w:rPr>
                    <w:spacing w:val="-7"/>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56</w:t>
                </w:r>
                <w:r>
                  <w:rPr>
                    <w:spacing w:val="-5"/>
                    <w:w w:val="90"/>
                    <w:sz w:val="18"/>
                  </w:rPr>
                  <w:fldChar w:fldCharType="end"/>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31200" id="docshape268" filled="true" fillcolor="#000000" stroked="false">
          <v:fill type="solid"/>
          <w10:wrap type="none"/>
        </v:rect>
      </w:pict>
    </w:r>
    <w:r>
      <w:rPr/>
      <w:pict>
        <v:shape style="position:absolute;margin-left:71pt;margin-top:734.809998pt;width:178.95pt;height:21.95pt;mso-position-horizontal-relative:page;mso-position-vertical-relative:page;z-index:-26930688" type="#_x0000_t202" id="docshape269"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930176" type="#_x0000_t202" id="docshape270"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3</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15</w:t>
                </w:r>
                <w:r>
                  <w:rPr>
                    <w:spacing w:val="-5"/>
                    <w:w w:val="90"/>
                    <w:sz w:val="18"/>
                  </w:rPr>
                  <w:fldChar w:fldCharType="end"/>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29152" id="docshape272" filled="true" fillcolor="#000000" stroked="false">
          <v:fill type="solid"/>
          <w10:wrap type="none"/>
        </v:rect>
      </w:pict>
    </w:r>
    <w:r>
      <w:rPr/>
      <w:pict>
        <v:shape style="position:absolute;margin-left:71pt;margin-top:734.809998pt;width:178.95pt;height:21.95pt;mso-position-horizontal-relative:page;mso-position-vertical-relative:page;z-index:-26928640" type="#_x0000_t202" id="docshape273"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928128" type="#_x0000_t202" id="docshape274"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3</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16</w:t>
                </w:r>
                <w:r>
                  <w:rPr>
                    <w:spacing w:val="-5"/>
                    <w:w w:val="90"/>
                    <w:sz w:val="18"/>
                  </w:rPr>
                  <w:fldChar w:fldCharType="end"/>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27616" id="docshape275" filled="true" fillcolor="#000000" stroked="false">
          <v:fill type="solid"/>
          <w10:wrap type="none"/>
        </v:rect>
      </w:pict>
    </w:r>
    <w:r>
      <w:rPr/>
      <w:pict>
        <v:shape style="position:absolute;margin-left:71pt;margin-top:734.809998pt;width:178.95pt;height:21.95pt;mso-position-horizontal-relative:page;mso-position-vertical-relative:page;z-index:-26927104" type="#_x0000_t202" id="docshape276"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926592" type="#_x0000_t202" id="docshape277"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3</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17</w:t>
                </w:r>
                <w:r>
                  <w:rPr>
                    <w:spacing w:val="-5"/>
                    <w:w w:val="90"/>
                    <w:sz w:val="18"/>
                  </w:rPr>
                  <w:fldChar w:fldCharType="end"/>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26080" id="docshape278" filled="true" fillcolor="#000000" stroked="false">
          <v:fill type="solid"/>
          <w10:wrap type="none"/>
        </v:rect>
      </w:pict>
    </w:r>
    <w:r>
      <w:rPr/>
      <w:pict>
        <v:shape style="position:absolute;margin-left:71pt;margin-top:734.809998pt;width:178.95pt;height:21.95pt;mso-position-horizontal-relative:page;mso-position-vertical-relative:page;z-index:-26925568" type="#_x0000_t202" id="docshape279"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503.243011pt;margin-top:745.72699pt;width:40.65pt;height:11pt;mso-position-horizontal-relative:page;mso-position-vertical-relative:page;z-index:-26925056" type="#_x0000_t202" id="docshape280"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4</w:t>
                </w:r>
                <w:r>
                  <w:rPr>
                    <w:spacing w:val="-7"/>
                    <w:w w:val="90"/>
                    <w:sz w:val="18"/>
                  </w:rPr>
                  <w:t> </w:t>
                </w:r>
                <w:r>
                  <w:rPr>
                    <w:w w:val="90"/>
                    <w:sz w:val="18"/>
                  </w:rPr>
                  <w:t>-</w:t>
                </w:r>
                <w:r>
                  <w:rPr>
                    <w:spacing w:val="-6"/>
                    <w:w w:val="90"/>
                    <w:sz w:val="18"/>
                  </w:rPr>
                  <w:t> </w:t>
                </w:r>
                <w:r>
                  <w:rPr>
                    <w:spacing w:val="-10"/>
                    <w:w w:val="90"/>
                    <w:sz w:val="18"/>
                  </w:rPr>
                  <w:fldChar w:fldCharType="begin"/>
                </w:r>
                <w:r>
                  <w:rPr>
                    <w:spacing w:val="-10"/>
                    <w:w w:val="90"/>
                    <w:sz w:val="18"/>
                  </w:rPr>
                  <w:instrText> PAGE </w:instrText>
                </w:r>
                <w:r>
                  <w:rPr>
                    <w:spacing w:val="-10"/>
                    <w:w w:val="90"/>
                    <w:sz w:val="18"/>
                  </w:rPr>
                  <w:fldChar w:fldCharType="separate"/>
                </w:r>
                <w:r>
                  <w:rPr>
                    <w:spacing w:val="-10"/>
                    <w:w w:val="90"/>
                    <w:sz w:val="18"/>
                  </w:rPr>
                  <w:t>1</w:t>
                </w:r>
                <w:r>
                  <w:rPr>
                    <w:spacing w:val="-10"/>
                    <w:w w:val="90"/>
                    <w:sz w:val="18"/>
                  </w:rPr>
                  <w:fldChar w:fldCharType="end"/>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22496" id="docshape285" filled="true" fillcolor="#000000" stroked="false">
          <v:fill type="solid"/>
          <w10:wrap type="none"/>
        </v:rect>
      </w:pict>
    </w:r>
    <w:r>
      <w:rPr/>
      <w:pict>
        <v:shape style="position:absolute;margin-left:71pt;margin-top:734.809998pt;width:178.95pt;height:21.95pt;mso-position-horizontal-relative:page;mso-position-vertical-relative:page;z-index:-26921984" type="#_x0000_t202" id="docshape286"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503.243011pt;margin-top:745.72699pt;width:40.65pt;height:11pt;mso-position-horizontal-relative:page;mso-position-vertical-relative:page;z-index:-26921472" type="#_x0000_t202" id="docshape287"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4</w:t>
                </w:r>
                <w:r>
                  <w:rPr>
                    <w:spacing w:val="-7"/>
                    <w:w w:val="90"/>
                    <w:sz w:val="18"/>
                  </w:rPr>
                  <w:t> </w:t>
                </w:r>
                <w:r>
                  <w:rPr>
                    <w:w w:val="90"/>
                    <w:sz w:val="18"/>
                  </w:rPr>
                  <w:t>-</w:t>
                </w:r>
                <w:r>
                  <w:rPr>
                    <w:spacing w:val="-6"/>
                    <w:w w:val="90"/>
                    <w:sz w:val="18"/>
                  </w:rPr>
                  <w:t> </w:t>
                </w:r>
                <w:r>
                  <w:rPr>
                    <w:spacing w:val="-10"/>
                    <w:w w:val="90"/>
                    <w:sz w:val="18"/>
                  </w:rPr>
                  <w:fldChar w:fldCharType="begin"/>
                </w:r>
                <w:r>
                  <w:rPr>
                    <w:spacing w:val="-10"/>
                    <w:w w:val="90"/>
                    <w:sz w:val="18"/>
                  </w:rPr>
                  <w:instrText> PAGE </w:instrText>
                </w:r>
                <w:r>
                  <w:rPr>
                    <w:spacing w:val="-10"/>
                    <w:w w:val="90"/>
                    <w:sz w:val="18"/>
                  </w:rPr>
                  <w:fldChar w:fldCharType="separate"/>
                </w:r>
                <w:r>
                  <w:rPr>
                    <w:spacing w:val="-10"/>
                    <w:w w:val="90"/>
                    <w:sz w:val="18"/>
                  </w:rPr>
                  <w:t>2</w:t>
                </w:r>
                <w:r>
                  <w:rPr>
                    <w:spacing w:val="-10"/>
                    <w:w w:val="90"/>
                    <w:sz w:val="18"/>
                  </w:rPr>
                  <w:fldChar w:fldCharType="end"/>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19424" id="docshape291" filled="true" fillcolor="#000000" stroked="false">
          <v:fill type="solid"/>
          <w10:wrap type="none"/>
        </v:rect>
      </w:pict>
    </w:r>
    <w:r>
      <w:rPr/>
      <w:pict>
        <v:shape style="position:absolute;margin-left:71pt;margin-top:734.809998pt;width:178.95pt;height:21.95pt;mso-position-horizontal-relative:page;mso-position-vertical-relative:page;z-index:-26918912" type="#_x0000_t202" id="docshape292"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503.243011pt;margin-top:745.72699pt;width:40.65pt;height:11pt;mso-position-horizontal-relative:page;mso-position-vertical-relative:page;z-index:-26918400" type="#_x0000_t202" id="docshape293"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4</w:t>
                </w:r>
                <w:r>
                  <w:rPr>
                    <w:spacing w:val="-7"/>
                    <w:w w:val="90"/>
                    <w:sz w:val="18"/>
                  </w:rPr>
                  <w:t> </w:t>
                </w:r>
                <w:r>
                  <w:rPr>
                    <w:w w:val="90"/>
                    <w:sz w:val="18"/>
                  </w:rPr>
                  <w:t>-</w:t>
                </w:r>
                <w:r>
                  <w:rPr>
                    <w:spacing w:val="-6"/>
                    <w:w w:val="90"/>
                    <w:sz w:val="18"/>
                  </w:rPr>
                  <w:t> </w:t>
                </w:r>
                <w:r>
                  <w:rPr>
                    <w:spacing w:val="-10"/>
                    <w:w w:val="90"/>
                    <w:sz w:val="18"/>
                  </w:rPr>
                  <w:fldChar w:fldCharType="begin"/>
                </w:r>
                <w:r>
                  <w:rPr>
                    <w:spacing w:val="-10"/>
                    <w:w w:val="90"/>
                    <w:sz w:val="18"/>
                  </w:rPr>
                  <w:instrText> PAGE </w:instrText>
                </w:r>
                <w:r>
                  <w:rPr>
                    <w:spacing w:val="-10"/>
                    <w:w w:val="90"/>
                    <w:sz w:val="18"/>
                  </w:rPr>
                  <w:fldChar w:fldCharType="separate"/>
                </w:r>
                <w:r>
                  <w:rPr>
                    <w:spacing w:val="-10"/>
                    <w:w w:val="90"/>
                    <w:sz w:val="18"/>
                  </w:rPr>
                  <w:t>3</w:t>
                </w:r>
                <w:r>
                  <w:rPr>
                    <w:spacing w:val="-10"/>
                    <w:w w:val="90"/>
                    <w:sz w:val="18"/>
                  </w:rPr>
                  <w:fldChar w:fldCharType="end"/>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15840" id="docshape298" filled="true" fillcolor="#000000" stroked="false">
          <v:fill type="solid"/>
          <w10:wrap type="none"/>
        </v:rect>
      </w:pict>
    </w:r>
    <w:r>
      <w:rPr/>
      <w:pict>
        <v:shape style="position:absolute;margin-left:71pt;margin-top:734.809998pt;width:178.95pt;height:21.95pt;mso-position-horizontal-relative:page;mso-position-vertical-relative:page;z-index:-26915328" type="#_x0000_t202" id="docshape299"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503.243011pt;margin-top:745.72699pt;width:40.65pt;height:11pt;mso-position-horizontal-relative:page;mso-position-vertical-relative:page;z-index:-26914816" type="#_x0000_t202" id="docshape300"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4</w:t>
                </w:r>
                <w:r>
                  <w:rPr>
                    <w:spacing w:val="-7"/>
                    <w:w w:val="90"/>
                    <w:sz w:val="18"/>
                  </w:rPr>
                  <w:t> </w:t>
                </w:r>
                <w:r>
                  <w:rPr>
                    <w:w w:val="90"/>
                    <w:sz w:val="18"/>
                  </w:rPr>
                  <w:t>-</w:t>
                </w:r>
                <w:r>
                  <w:rPr>
                    <w:spacing w:val="-6"/>
                    <w:w w:val="90"/>
                    <w:sz w:val="18"/>
                  </w:rPr>
                  <w:t> </w:t>
                </w:r>
                <w:r>
                  <w:rPr>
                    <w:spacing w:val="-10"/>
                    <w:w w:val="90"/>
                    <w:sz w:val="18"/>
                  </w:rPr>
                  <w:fldChar w:fldCharType="begin"/>
                </w:r>
                <w:r>
                  <w:rPr>
                    <w:spacing w:val="-10"/>
                    <w:w w:val="90"/>
                    <w:sz w:val="18"/>
                  </w:rPr>
                  <w:instrText> PAGE </w:instrText>
                </w:r>
                <w:r>
                  <w:rPr>
                    <w:spacing w:val="-10"/>
                    <w:w w:val="90"/>
                    <w:sz w:val="18"/>
                  </w:rPr>
                  <w:fldChar w:fldCharType="separate"/>
                </w:r>
                <w:r>
                  <w:rPr>
                    <w:spacing w:val="-10"/>
                    <w:w w:val="90"/>
                    <w:sz w:val="18"/>
                  </w:rPr>
                  <w:t>4</w:t>
                </w:r>
                <w:r>
                  <w:rPr>
                    <w:spacing w:val="-10"/>
                    <w:w w:val="90"/>
                    <w:sz w:val="18"/>
                  </w:rPr>
                  <w:fldChar w:fldCharType="end"/>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12256" id="docshape305" filled="true" fillcolor="#000000" stroked="false">
          <v:fill type="solid"/>
          <w10:wrap type="none"/>
        </v:rect>
      </w:pict>
    </w:r>
    <w:r>
      <w:rPr/>
      <w:pict>
        <v:shape style="position:absolute;margin-left:71pt;margin-top:734.809998pt;width:178.95pt;height:21.95pt;mso-position-horizontal-relative:page;mso-position-vertical-relative:page;z-index:-26911744" type="#_x0000_t202" id="docshape306"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503.243011pt;margin-top:745.72699pt;width:40.65pt;height:11pt;mso-position-horizontal-relative:page;mso-position-vertical-relative:page;z-index:-26911232" type="#_x0000_t202" id="docshape307"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4</w:t>
                </w:r>
                <w:r>
                  <w:rPr>
                    <w:spacing w:val="-7"/>
                    <w:w w:val="90"/>
                    <w:sz w:val="18"/>
                  </w:rPr>
                  <w:t> </w:t>
                </w:r>
                <w:r>
                  <w:rPr>
                    <w:w w:val="90"/>
                    <w:sz w:val="18"/>
                  </w:rPr>
                  <w:t>-</w:t>
                </w:r>
                <w:r>
                  <w:rPr>
                    <w:spacing w:val="-6"/>
                    <w:w w:val="90"/>
                    <w:sz w:val="18"/>
                  </w:rPr>
                  <w:t> </w:t>
                </w:r>
                <w:r>
                  <w:rPr>
                    <w:spacing w:val="-10"/>
                    <w:w w:val="90"/>
                    <w:sz w:val="18"/>
                  </w:rPr>
                  <w:fldChar w:fldCharType="begin"/>
                </w:r>
                <w:r>
                  <w:rPr>
                    <w:spacing w:val="-10"/>
                    <w:w w:val="90"/>
                    <w:sz w:val="18"/>
                  </w:rPr>
                  <w:instrText> PAGE </w:instrText>
                </w:r>
                <w:r>
                  <w:rPr>
                    <w:spacing w:val="-10"/>
                    <w:w w:val="90"/>
                    <w:sz w:val="18"/>
                  </w:rPr>
                  <w:fldChar w:fldCharType="separate"/>
                </w:r>
                <w:r>
                  <w:rPr>
                    <w:spacing w:val="-10"/>
                    <w:w w:val="90"/>
                    <w:sz w:val="18"/>
                  </w:rPr>
                  <w:t>5</w:t>
                </w:r>
                <w:r>
                  <w:rPr>
                    <w:spacing w:val="-10"/>
                    <w:w w:val="90"/>
                    <w:sz w:val="18"/>
                  </w:rPr>
                  <w:fldChar w:fldCharType="end"/>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08672" id="docshape312" filled="true" fillcolor="#000000" stroked="false">
          <v:fill type="solid"/>
          <w10:wrap type="none"/>
        </v:rect>
      </w:pict>
    </w:r>
    <w:r>
      <w:rPr/>
      <w:pict>
        <v:shape style="position:absolute;margin-left:71pt;margin-top:734.809998pt;width:178.95pt;height:21.95pt;mso-position-horizontal-relative:page;mso-position-vertical-relative:page;z-index:-26908160" type="#_x0000_t202" id="docshape313"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503.243011pt;margin-top:745.72699pt;width:40.65pt;height:11pt;mso-position-horizontal-relative:page;mso-position-vertical-relative:page;z-index:-26907648" type="#_x0000_t202" id="docshape314"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4</w:t>
                </w:r>
                <w:r>
                  <w:rPr>
                    <w:spacing w:val="-7"/>
                    <w:w w:val="90"/>
                    <w:sz w:val="18"/>
                  </w:rPr>
                  <w:t> </w:t>
                </w:r>
                <w:r>
                  <w:rPr>
                    <w:w w:val="90"/>
                    <w:sz w:val="18"/>
                  </w:rPr>
                  <w:t>-</w:t>
                </w:r>
                <w:r>
                  <w:rPr>
                    <w:spacing w:val="-6"/>
                    <w:w w:val="90"/>
                    <w:sz w:val="18"/>
                  </w:rPr>
                  <w:t> </w:t>
                </w:r>
                <w:r>
                  <w:rPr>
                    <w:spacing w:val="-10"/>
                    <w:w w:val="90"/>
                    <w:sz w:val="18"/>
                  </w:rPr>
                  <w:fldChar w:fldCharType="begin"/>
                </w:r>
                <w:r>
                  <w:rPr>
                    <w:spacing w:val="-10"/>
                    <w:w w:val="90"/>
                    <w:sz w:val="18"/>
                  </w:rPr>
                  <w:instrText> PAGE </w:instrText>
                </w:r>
                <w:r>
                  <w:rPr>
                    <w:spacing w:val="-10"/>
                    <w:w w:val="90"/>
                    <w:sz w:val="18"/>
                  </w:rPr>
                  <w:fldChar w:fldCharType="separate"/>
                </w:r>
                <w:r>
                  <w:rPr>
                    <w:spacing w:val="-10"/>
                    <w:w w:val="90"/>
                    <w:sz w:val="18"/>
                  </w:rPr>
                  <w:t>6</w:t>
                </w:r>
                <w:r>
                  <w:rPr>
                    <w:spacing w:val="-10"/>
                    <w:w w:val="90"/>
                    <w:sz w:val="18"/>
                  </w:rPr>
                  <w:fldChar w:fldCharType="end"/>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05088" id="docshape319" filled="true" fillcolor="#000000" stroked="false">
          <v:fill type="solid"/>
          <w10:wrap type="none"/>
        </v:rect>
      </w:pict>
    </w:r>
    <w:r>
      <w:rPr/>
      <w:pict>
        <v:shape style="position:absolute;margin-left:71pt;margin-top:734.809998pt;width:178.95pt;height:21.95pt;mso-position-horizontal-relative:page;mso-position-vertical-relative:page;z-index:-26904576" type="#_x0000_t202" id="docshape320"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503.243011pt;margin-top:745.72699pt;width:40.65pt;height:11pt;mso-position-horizontal-relative:page;mso-position-vertical-relative:page;z-index:-26904064" type="#_x0000_t202" id="docshape321"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4</w:t>
                </w:r>
                <w:r>
                  <w:rPr>
                    <w:spacing w:val="-7"/>
                    <w:w w:val="90"/>
                    <w:sz w:val="18"/>
                  </w:rPr>
                  <w:t> </w:t>
                </w:r>
                <w:r>
                  <w:rPr>
                    <w:w w:val="90"/>
                    <w:sz w:val="18"/>
                  </w:rPr>
                  <w:t>-</w:t>
                </w:r>
                <w:r>
                  <w:rPr>
                    <w:spacing w:val="-6"/>
                    <w:w w:val="90"/>
                    <w:sz w:val="18"/>
                  </w:rPr>
                  <w:t> </w:t>
                </w:r>
                <w:r>
                  <w:rPr>
                    <w:spacing w:val="-10"/>
                    <w:w w:val="90"/>
                    <w:sz w:val="18"/>
                  </w:rPr>
                  <w:fldChar w:fldCharType="begin"/>
                </w:r>
                <w:r>
                  <w:rPr>
                    <w:spacing w:val="-10"/>
                    <w:w w:val="90"/>
                    <w:sz w:val="18"/>
                  </w:rPr>
                  <w:instrText> PAGE </w:instrText>
                </w:r>
                <w:r>
                  <w:rPr>
                    <w:spacing w:val="-10"/>
                    <w:w w:val="90"/>
                    <w:sz w:val="18"/>
                  </w:rPr>
                  <w:fldChar w:fldCharType="separate"/>
                </w:r>
                <w:r>
                  <w:rPr>
                    <w:spacing w:val="-10"/>
                    <w:w w:val="90"/>
                    <w:sz w:val="18"/>
                  </w:rPr>
                  <w:t>7</w:t>
                </w:r>
                <w:r>
                  <w:rPr>
                    <w:spacing w:val="-10"/>
                    <w:w w:val="90"/>
                    <w:sz w:val="18"/>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7034624" id="docshape28" filled="true" fillcolor="#000000" stroked="false">
          <v:fill type="solid"/>
          <w10:wrap type="none"/>
        </v:rect>
      </w:pict>
    </w:r>
    <w:r>
      <w:rPr/>
      <w:pict>
        <v:shape style="position:absolute;margin-left:71pt;margin-top:734.809998pt;width:178.95pt;height:21.95pt;mso-position-horizontal-relative:page;mso-position-vertical-relative:page;z-index:-27034112" type="#_x0000_t202" id="docshape29"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7033600" type="#_x0000_t202" id="docshape30"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1</w:t>
                </w:r>
                <w:r>
                  <w:rPr>
                    <w:spacing w:val="-7"/>
                    <w:w w:val="90"/>
                    <w:sz w:val="18"/>
                  </w:rPr>
                  <w:t> </w:t>
                </w:r>
                <w:r>
                  <w:rPr>
                    <w:w w:val="90"/>
                    <w:sz w:val="18"/>
                  </w:rPr>
                  <w:t>-</w:t>
                </w:r>
                <w:r>
                  <w:rPr>
                    <w:spacing w:val="-7"/>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57</w:t>
                </w:r>
                <w:r>
                  <w:rPr>
                    <w:spacing w:val="-5"/>
                    <w:w w:val="90"/>
                    <w:sz w:val="18"/>
                  </w:rPr>
                  <w:fldChar w:fldCharType="end"/>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901504" id="docshape326" filled="true" fillcolor="#000000" stroked="false">
          <v:fill type="solid"/>
          <w10:wrap type="none"/>
        </v:rect>
      </w:pict>
    </w:r>
    <w:r>
      <w:rPr/>
      <w:pict>
        <v:shape style="position:absolute;margin-left:71pt;margin-top:734.809998pt;width:178.95pt;height:21.95pt;mso-position-horizontal-relative:page;mso-position-vertical-relative:page;z-index:-26900992" type="#_x0000_t202" id="docshape327"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503.243011pt;margin-top:745.72699pt;width:40.65pt;height:11pt;mso-position-horizontal-relative:page;mso-position-vertical-relative:page;z-index:-26900480" type="#_x0000_t202" id="docshape328"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4</w:t>
                </w:r>
                <w:r>
                  <w:rPr>
                    <w:spacing w:val="-7"/>
                    <w:w w:val="90"/>
                    <w:sz w:val="18"/>
                  </w:rPr>
                  <w:t> </w:t>
                </w:r>
                <w:r>
                  <w:rPr>
                    <w:w w:val="90"/>
                    <w:sz w:val="18"/>
                  </w:rPr>
                  <w:t>-</w:t>
                </w:r>
                <w:r>
                  <w:rPr>
                    <w:spacing w:val="-6"/>
                    <w:w w:val="90"/>
                    <w:sz w:val="18"/>
                  </w:rPr>
                  <w:t> </w:t>
                </w:r>
                <w:r>
                  <w:rPr>
                    <w:spacing w:val="-10"/>
                    <w:w w:val="90"/>
                    <w:sz w:val="18"/>
                  </w:rPr>
                  <w:fldChar w:fldCharType="begin"/>
                </w:r>
                <w:r>
                  <w:rPr>
                    <w:spacing w:val="-10"/>
                    <w:w w:val="90"/>
                    <w:sz w:val="18"/>
                  </w:rPr>
                  <w:instrText> PAGE </w:instrText>
                </w:r>
                <w:r>
                  <w:rPr>
                    <w:spacing w:val="-10"/>
                    <w:w w:val="90"/>
                    <w:sz w:val="18"/>
                  </w:rPr>
                  <w:fldChar w:fldCharType="separate"/>
                </w:r>
                <w:r>
                  <w:rPr>
                    <w:spacing w:val="-10"/>
                    <w:w w:val="90"/>
                    <w:sz w:val="18"/>
                  </w:rPr>
                  <w:t>8</w:t>
                </w:r>
                <w:r>
                  <w:rPr>
                    <w:spacing w:val="-10"/>
                    <w:w w:val="90"/>
                    <w:sz w:val="18"/>
                  </w:rPr>
                  <w:fldChar w:fldCharType="end"/>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897920" id="docshape333" filled="true" fillcolor="#000000" stroked="false">
          <v:fill type="solid"/>
          <w10:wrap type="none"/>
        </v:rect>
      </w:pict>
    </w:r>
    <w:r>
      <w:rPr/>
      <w:pict>
        <v:shape style="position:absolute;margin-left:71pt;margin-top:734.809998pt;width:178.95pt;height:21.95pt;mso-position-horizontal-relative:page;mso-position-vertical-relative:page;z-index:-26897408" type="#_x0000_t202" id="docshape334"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503.243011pt;margin-top:745.72699pt;width:40.65pt;height:11pt;mso-position-horizontal-relative:page;mso-position-vertical-relative:page;z-index:-26896896" type="#_x0000_t202" id="docshape335"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4</w:t>
                </w:r>
                <w:r>
                  <w:rPr>
                    <w:spacing w:val="-7"/>
                    <w:w w:val="90"/>
                    <w:sz w:val="18"/>
                  </w:rPr>
                  <w:t> </w:t>
                </w:r>
                <w:r>
                  <w:rPr>
                    <w:w w:val="90"/>
                    <w:sz w:val="18"/>
                  </w:rPr>
                  <w:t>-</w:t>
                </w:r>
                <w:r>
                  <w:rPr>
                    <w:spacing w:val="-6"/>
                    <w:w w:val="90"/>
                    <w:sz w:val="18"/>
                  </w:rPr>
                  <w:t> </w:t>
                </w:r>
                <w:r>
                  <w:rPr>
                    <w:spacing w:val="-10"/>
                    <w:w w:val="90"/>
                    <w:sz w:val="18"/>
                  </w:rPr>
                  <w:fldChar w:fldCharType="begin"/>
                </w:r>
                <w:r>
                  <w:rPr>
                    <w:spacing w:val="-10"/>
                    <w:w w:val="90"/>
                    <w:sz w:val="18"/>
                  </w:rPr>
                  <w:instrText> PAGE </w:instrText>
                </w:r>
                <w:r>
                  <w:rPr>
                    <w:spacing w:val="-10"/>
                    <w:w w:val="90"/>
                    <w:sz w:val="18"/>
                  </w:rPr>
                  <w:fldChar w:fldCharType="separate"/>
                </w:r>
                <w:r>
                  <w:rPr>
                    <w:spacing w:val="-10"/>
                    <w:w w:val="90"/>
                    <w:sz w:val="18"/>
                  </w:rPr>
                  <w:t>9</w:t>
                </w:r>
                <w:r>
                  <w:rPr>
                    <w:spacing w:val="-10"/>
                    <w:w w:val="90"/>
                    <w:sz w:val="18"/>
                  </w:rPr>
                  <w:fldChar w:fldCharType="end"/>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894336" id="docshape340" filled="true" fillcolor="#000000" stroked="false">
          <v:fill type="solid"/>
          <w10:wrap type="none"/>
        </v:rect>
      </w:pict>
    </w:r>
    <w:r>
      <w:rPr/>
      <w:pict>
        <v:shape style="position:absolute;margin-left:71pt;margin-top:734.809998pt;width:178.95pt;height:21.95pt;mso-position-horizontal-relative:page;mso-position-vertical-relative:page;z-index:-26893824" type="#_x0000_t202" id="docshape341"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893312" type="#_x0000_t202" id="docshape342"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4</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10</w:t>
                </w:r>
                <w:r>
                  <w:rPr>
                    <w:spacing w:val="-5"/>
                    <w:w w:val="90"/>
                    <w:sz w:val="18"/>
                  </w:rPr>
                  <w:fldChar w:fldCharType="end"/>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890752" id="docshape347" filled="true" fillcolor="#000000" stroked="false">
          <v:fill type="solid"/>
          <w10:wrap type="none"/>
        </v:rect>
      </w:pict>
    </w:r>
    <w:r>
      <w:rPr/>
      <w:pict>
        <v:shape style="position:absolute;margin-left:71pt;margin-top:734.809998pt;width:178.95pt;height:21.95pt;mso-position-horizontal-relative:page;mso-position-vertical-relative:page;z-index:-26890240" type="#_x0000_t202" id="docshape348"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889728" type="#_x0000_t202" id="docshape349"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4</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11</w:t>
                </w:r>
                <w:r>
                  <w:rPr>
                    <w:spacing w:val="-5"/>
                    <w:w w:val="90"/>
                    <w:sz w:val="18"/>
                  </w:rPr>
                  <w:fldChar w:fldCharType="end"/>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887168" id="docshape354" filled="true" fillcolor="#000000" stroked="false">
          <v:fill type="solid"/>
          <w10:wrap type="none"/>
        </v:rect>
      </w:pict>
    </w:r>
    <w:r>
      <w:rPr/>
      <w:pict>
        <v:shape style="position:absolute;margin-left:71pt;margin-top:734.809998pt;width:178.95pt;height:21.95pt;mso-position-horizontal-relative:page;mso-position-vertical-relative:page;z-index:-26886656" type="#_x0000_t202" id="docshape355"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886144" type="#_x0000_t202" id="docshape356"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4</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12</w:t>
                </w:r>
                <w:r>
                  <w:rPr>
                    <w:spacing w:val="-5"/>
                    <w:w w:val="90"/>
                    <w:sz w:val="18"/>
                  </w:rPr>
                  <w:fldChar w:fldCharType="end"/>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883584" id="docshape361" filled="true" fillcolor="#000000" stroked="false">
          <v:fill type="solid"/>
          <w10:wrap type="none"/>
        </v:rect>
      </w:pict>
    </w:r>
    <w:r>
      <w:rPr/>
      <w:pict>
        <v:shape style="position:absolute;margin-left:71pt;margin-top:734.809998pt;width:178.95pt;height:21.95pt;mso-position-horizontal-relative:page;mso-position-vertical-relative:page;z-index:-26883072" type="#_x0000_t202" id="docshape362"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882560" type="#_x0000_t202" id="docshape363"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4</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13</w:t>
                </w:r>
                <w:r>
                  <w:rPr>
                    <w:spacing w:val="-5"/>
                    <w:w w:val="90"/>
                    <w:sz w:val="18"/>
                  </w:rPr>
                  <w:fldChar w:fldCharType="end"/>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880000" id="docshape368" filled="true" fillcolor="#000000" stroked="false">
          <v:fill type="solid"/>
          <w10:wrap type="none"/>
        </v:rect>
      </w:pict>
    </w:r>
    <w:r>
      <w:rPr/>
      <w:pict>
        <v:shape style="position:absolute;margin-left:71pt;margin-top:734.809998pt;width:178.95pt;height:21.95pt;mso-position-horizontal-relative:page;mso-position-vertical-relative:page;z-index:-26879488" type="#_x0000_t202" id="docshape369"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878976" type="#_x0000_t202" id="docshape370"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4</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14</w:t>
                </w:r>
                <w:r>
                  <w:rPr>
                    <w:spacing w:val="-5"/>
                    <w:w w:val="90"/>
                    <w:sz w:val="18"/>
                  </w:rPr>
                  <w:fldChar w:fldCharType="end"/>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876416" id="docshape375" filled="true" fillcolor="#000000" stroked="false">
          <v:fill type="solid"/>
          <w10:wrap type="none"/>
        </v:rect>
      </w:pict>
    </w:r>
    <w:r>
      <w:rPr/>
      <w:pict>
        <v:shape style="position:absolute;margin-left:71pt;margin-top:734.809998pt;width:178.95pt;height:21.95pt;mso-position-horizontal-relative:page;mso-position-vertical-relative:page;z-index:-26875904" type="#_x0000_t202" id="docshape376"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875392" type="#_x0000_t202" id="docshape377"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4</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15</w:t>
                </w:r>
                <w:r>
                  <w:rPr>
                    <w:spacing w:val="-5"/>
                    <w:w w:val="90"/>
                    <w:sz w:val="18"/>
                  </w:rPr>
                  <w:fldChar w:fldCharType="end"/>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872832" id="docshape382" filled="true" fillcolor="#000000" stroked="false">
          <v:fill type="solid"/>
          <w10:wrap type="none"/>
        </v:rect>
      </w:pict>
    </w:r>
    <w:r>
      <w:rPr/>
      <w:pict>
        <v:shape style="position:absolute;margin-left:71pt;margin-top:734.809998pt;width:178.95pt;height:21.95pt;mso-position-horizontal-relative:page;mso-position-vertical-relative:page;z-index:-26872320" type="#_x0000_t202" id="docshape383"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871808" type="#_x0000_t202" id="docshape384"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4</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16</w:t>
                </w:r>
                <w:r>
                  <w:rPr>
                    <w:spacing w:val="-5"/>
                    <w:w w:val="90"/>
                    <w:sz w:val="18"/>
                  </w:rPr>
                  <w:fldChar w:fldCharType="end"/>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3.320007pt;width:470.88pt;height:.72pt;mso-position-horizontal-relative:page;mso-position-vertical-relative:page;z-index:-26869248" id="docshape389" filled="true" fillcolor="#000000" stroked="false">
          <v:fill type="solid"/>
          <w10:wrap type="none"/>
        </v:rect>
      </w:pict>
    </w:r>
    <w:r>
      <w:rPr/>
      <w:pict>
        <v:shape style="position:absolute;margin-left:71pt;margin-top:734.809998pt;width:178.95pt;height:21.95pt;mso-position-horizontal-relative:page;mso-position-vertical-relative:page;z-index:-26868736" type="#_x0000_t202" id="docshape390" filled="false" stroked="false">
          <v:textbox inset="0,0,0,0">
            <w:txbxContent>
              <w:p>
                <w:pPr>
                  <w:spacing w:line="193" w:lineRule="exact" w:before="0"/>
                  <w:ind w:left="20" w:right="0" w:firstLine="0"/>
                  <w:jc w:val="left"/>
                  <w:rPr>
                    <w:sz w:val="18"/>
                  </w:rPr>
                </w:pPr>
                <w:r>
                  <w:rPr>
                    <w:w w:val="90"/>
                    <w:sz w:val="18"/>
                  </w:rPr>
                  <w:t>Architecture</w:t>
                </w:r>
                <w:r>
                  <w:rPr>
                    <w:spacing w:val="6"/>
                    <w:sz w:val="18"/>
                  </w:rPr>
                  <w:t> </w:t>
                </w:r>
                <w:r>
                  <w:rPr>
                    <w:w w:val="90"/>
                    <w:sz w:val="18"/>
                  </w:rPr>
                  <w:t>Program</w:t>
                </w:r>
                <w:r>
                  <w:rPr>
                    <w:spacing w:val="8"/>
                    <w:sz w:val="18"/>
                  </w:rPr>
                  <w:t> </w:t>
                </w:r>
                <w:r>
                  <w:rPr>
                    <w:w w:val="90"/>
                    <w:sz w:val="18"/>
                  </w:rPr>
                  <w:t>Report</w:t>
                </w:r>
                <w:r>
                  <w:rPr>
                    <w:spacing w:val="7"/>
                    <w:sz w:val="18"/>
                  </w:rPr>
                  <w:t> </w:t>
                </w:r>
                <w:r>
                  <w:rPr>
                    <w:w w:val="90"/>
                    <w:sz w:val="18"/>
                  </w:rPr>
                  <w:t>2014-</w:t>
                </w:r>
                <w:r>
                  <w:rPr>
                    <w:spacing w:val="-4"/>
                    <w:w w:val="90"/>
                    <w:sz w:val="18"/>
                  </w:rPr>
                  <w:t>1015</w:t>
                </w:r>
              </w:p>
              <w:p>
                <w:pPr>
                  <w:spacing w:before="11"/>
                  <w:ind w:left="20" w:right="0" w:firstLine="0"/>
                  <w:jc w:val="left"/>
                  <w:rPr>
                    <w:sz w:val="18"/>
                  </w:rPr>
                </w:pPr>
                <w:r>
                  <w:rPr>
                    <w:w w:val="90"/>
                    <w:sz w:val="18"/>
                  </w:rPr>
                  <w:t>Hampton</w:t>
                </w:r>
                <w:r>
                  <w:rPr>
                    <w:spacing w:val="12"/>
                    <w:sz w:val="18"/>
                  </w:rPr>
                  <w:t> </w:t>
                </w:r>
                <w:r>
                  <w:rPr>
                    <w:w w:val="90"/>
                    <w:sz w:val="18"/>
                  </w:rPr>
                  <w:t>University</w:t>
                </w:r>
                <w:r>
                  <w:rPr>
                    <w:spacing w:val="14"/>
                    <w:sz w:val="18"/>
                  </w:rPr>
                  <w:t> </w:t>
                </w:r>
                <w:r>
                  <w:rPr>
                    <w:w w:val="90"/>
                    <w:sz w:val="18"/>
                  </w:rPr>
                  <w:t>Department</w:t>
                </w:r>
                <w:r>
                  <w:rPr>
                    <w:spacing w:val="14"/>
                    <w:sz w:val="18"/>
                  </w:rPr>
                  <w:t> </w:t>
                </w:r>
                <w:r>
                  <w:rPr>
                    <w:w w:val="90"/>
                    <w:sz w:val="18"/>
                  </w:rPr>
                  <w:t>of</w:t>
                </w:r>
                <w:r>
                  <w:rPr>
                    <w:spacing w:val="15"/>
                    <w:sz w:val="18"/>
                  </w:rPr>
                  <w:t> </w:t>
                </w:r>
                <w:r>
                  <w:rPr>
                    <w:spacing w:val="-2"/>
                    <w:w w:val="90"/>
                    <w:sz w:val="18"/>
                  </w:rPr>
                  <w:t>Architecture</w:t>
                </w:r>
              </w:p>
            </w:txbxContent>
          </v:textbox>
          <w10:wrap type="none"/>
        </v:shape>
      </w:pict>
    </w:r>
    <w:r>
      <w:rPr/>
      <w:pict>
        <v:shape style="position:absolute;margin-left:498.679993pt;margin-top:745.72699pt;width:45.25pt;height:11pt;mso-position-horizontal-relative:page;mso-position-vertical-relative:page;z-index:-26868224" type="#_x0000_t202" id="docshape391" filled="false" stroked="false">
          <v:textbox inset="0,0,0,0">
            <w:txbxContent>
              <w:p>
                <w:pPr>
                  <w:spacing w:line="193" w:lineRule="exact" w:before="0"/>
                  <w:ind w:left="20" w:right="0" w:firstLine="0"/>
                  <w:jc w:val="left"/>
                  <w:rPr>
                    <w:sz w:val="18"/>
                  </w:rPr>
                </w:pPr>
                <w:r>
                  <w:rPr>
                    <w:w w:val="90"/>
                    <w:sz w:val="18"/>
                  </w:rPr>
                  <w:t>page</w:t>
                </w:r>
                <w:r>
                  <w:rPr>
                    <w:spacing w:val="-8"/>
                    <w:w w:val="90"/>
                    <w:sz w:val="18"/>
                  </w:rPr>
                  <w:t> </w:t>
                </w:r>
                <w:r>
                  <w:rPr>
                    <w:w w:val="90"/>
                    <w:sz w:val="18"/>
                  </w:rPr>
                  <w:t>4</w:t>
                </w:r>
                <w:r>
                  <w:rPr>
                    <w:spacing w:val="-7"/>
                    <w:w w:val="90"/>
                    <w:sz w:val="18"/>
                  </w:rPr>
                  <w:t> </w:t>
                </w:r>
                <w:r>
                  <w:rPr>
                    <w:w w:val="90"/>
                    <w:sz w:val="18"/>
                  </w:rPr>
                  <w:t>-</w:t>
                </w:r>
                <w:r>
                  <w:rPr>
                    <w:spacing w:val="-6"/>
                    <w:w w:val="90"/>
                    <w:sz w:val="18"/>
                  </w:rPr>
                  <w:t> </w:t>
                </w:r>
                <w:r>
                  <w:rPr>
                    <w:spacing w:val="-5"/>
                    <w:w w:val="90"/>
                    <w:sz w:val="18"/>
                  </w:rPr>
                  <w:fldChar w:fldCharType="begin"/>
                </w:r>
                <w:r>
                  <w:rPr>
                    <w:spacing w:val="-5"/>
                    <w:w w:val="90"/>
                    <w:sz w:val="18"/>
                  </w:rPr>
                  <w:instrText> PAGE </w:instrText>
                </w:r>
                <w:r>
                  <w:rPr>
                    <w:spacing w:val="-5"/>
                    <w:w w:val="90"/>
                    <w:sz w:val="18"/>
                  </w:rPr>
                  <w:fldChar w:fldCharType="separate"/>
                </w:r>
                <w:r>
                  <w:rPr>
                    <w:spacing w:val="-5"/>
                    <w:w w:val="90"/>
                    <w:sz w:val="18"/>
                  </w:rPr>
                  <w:t>17</w:t>
                </w:r>
                <w:r>
                  <w:rPr>
                    <w:spacing w:val="-5"/>
                    <w:w w:val="90"/>
                    <w:sz w:val="18"/>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32.199997pt;margin-top:71.103477pt;width:183.15pt;height:13.15pt;mso-position-horizontal-relative:page;mso-position-vertical-relative:page;z-index:-27045376" type="#_x0000_t202" id="docshape7" filled="false" stroked="false">
          <v:textbox inset="0,0,0,0">
            <w:txbxContent>
              <w:p>
                <w:pPr>
                  <w:spacing w:before="12"/>
                  <w:ind w:left="20" w:right="0" w:firstLine="0"/>
                  <w:jc w:val="left"/>
                  <w:rPr>
                    <w:b/>
                    <w:sz w:val="20"/>
                  </w:rPr>
                </w:pPr>
                <w:r>
                  <w:rPr>
                    <w:b/>
                    <w:sz w:val="20"/>
                  </w:rPr>
                  <w:t>Summer</w:t>
                </w:r>
                <w:r>
                  <w:rPr>
                    <w:b/>
                    <w:spacing w:val="-7"/>
                    <w:sz w:val="20"/>
                  </w:rPr>
                  <w:t> </w:t>
                </w:r>
                <w:r>
                  <w:rPr>
                    <w:b/>
                    <w:sz w:val="20"/>
                  </w:rPr>
                  <w:t>2013</w:t>
                </w:r>
                <w:r>
                  <w:rPr>
                    <w:b/>
                    <w:spacing w:val="-9"/>
                    <w:sz w:val="20"/>
                  </w:rPr>
                  <w:t> </w:t>
                </w:r>
                <w:r>
                  <w:rPr>
                    <w:b/>
                    <w:sz w:val="20"/>
                  </w:rPr>
                  <w:t>Teaching</w:t>
                </w:r>
                <w:r>
                  <w:rPr>
                    <w:b/>
                    <w:spacing w:val="-4"/>
                    <w:sz w:val="20"/>
                  </w:rPr>
                  <w:t> </w:t>
                </w:r>
                <w:r>
                  <w:rPr>
                    <w:b/>
                    <w:spacing w:val="-2"/>
                    <w:sz w:val="20"/>
                  </w:rPr>
                  <w:t>Assignments*</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61.919998pt;width:470.88pt;height:.72pt;mso-position-horizontal-relative:page;mso-position-vertical-relative:page;z-index:-26860544" id="docshape406" filled="true" fillcolor="#000000" stroked="false">
          <v:fill type="solid"/>
          <w10:wrap type="none"/>
        </v:rect>
      </w:pict>
    </w:r>
    <w:r>
      <w:rPr/>
      <w:pict>
        <v:shape style="position:absolute;margin-left:71pt;margin-top:48.663475pt;width:40.3pt;height:13.15pt;mso-position-horizontal-relative:page;mso-position-vertical-relative:page;z-index:-26860032" type="#_x0000_t202" id="docshape407" filled="false" stroked="false">
          <v:textbox inset="0,0,0,0">
            <w:txbxContent>
              <w:p>
                <w:pPr>
                  <w:spacing w:before="12"/>
                  <w:ind w:left="20" w:right="0" w:firstLine="0"/>
                  <w:jc w:val="left"/>
                  <w:rPr>
                    <w:b/>
                    <w:sz w:val="20"/>
                  </w:rPr>
                </w:pPr>
                <w:r>
                  <w:rPr>
                    <w:b/>
                    <w:spacing w:val="-2"/>
                    <w:sz w:val="20"/>
                  </w:rPr>
                  <w:t>ARC315</w:t>
                </w:r>
              </w:p>
            </w:txbxContent>
          </v:textbox>
          <w10:wrap type="none"/>
        </v:shape>
      </w:pict>
    </w:r>
    <w:r>
      <w:rPr/>
      <w:pict>
        <v:shape style="position:absolute;margin-left:248.357727pt;margin-top:48.663475pt;width:115.3pt;height:13.15pt;mso-position-horizontal-relative:page;mso-position-vertical-relative:page;z-index:-26859520" type="#_x0000_t202" id="docshape408" filled="false" stroked="false">
          <v:textbox inset="0,0,0,0">
            <w:txbxContent>
              <w:p>
                <w:pPr>
                  <w:spacing w:before="12"/>
                  <w:ind w:left="20" w:right="0" w:firstLine="0"/>
                  <w:jc w:val="left"/>
                  <w:rPr>
                    <w:b/>
                    <w:sz w:val="20"/>
                  </w:rPr>
                </w:pPr>
                <w:r>
                  <w:rPr>
                    <w:b/>
                    <w:spacing w:val="-2"/>
                    <w:sz w:val="20"/>
                  </w:rPr>
                  <w:t>Environmental</w:t>
                </w:r>
                <w:r>
                  <w:rPr>
                    <w:b/>
                    <w:spacing w:val="10"/>
                    <w:sz w:val="20"/>
                  </w:rPr>
                  <w:t> </w:t>
                </w:r>
                <w:r>
                  <w:rPr>
                    <w:b/>
                    <w:spacing w:val="-2"/>
                    <w:sz w:val="20"/>
                  </w:rPr>
                  <w:t>Systems</w:t>
                </w:r>
              </w:p>
            </w:txbxContent>
          </v:textbox>
          <w10:wrap type="none"/>
        </v:shape>
      </w:pict>
    </w:r>
    <w:r>
      <w:rPr/>
      <w:pict>
        <v:shape style="position:absolute;margin-left:501.799866pt;margin-top:48.663475pt;width:39.1pt;height:13.15pt;mso-position-horizontal-relative:page;mso-position-vertical-relative:page;z-index:-26859008" type="#_x0000_t202" id="docshape409" filled="false" stroked="false">
          <v:textbox inset="0,0,0,0">
            <w:txbxContent>
              <w:p>
                <w:pPr>
                  <w:spacing w:before="12"/>
                  <w:ind w:left="20" w:right="0" w:firstLine="0"/>
                  <w:jc w:val="left"/>
                  <w:rPr>
                    <w:b/>
                    <w:sz w:val="20"/>
                  </w:rPr>
                </w:pPr>
                <w:r>
                  <w:rPr>
                    <w:b/>
                    <w:sz w:val="20"/>
                  </w:rPr>
                  <w:t>Credit</w:t>
                </w:r>
                <w:r>
                  <w:rPr>
                    <w:b/>
                    <w:spacing w:val="-9"/>
                    <w:sz w:val="20"/>
                  </w:rPr>
                  <w:t> </w:t>
                </w:r>
                <w:r>
                  <w:rPr>
                    <w:b/>
                    <w:spacing w:val="-10"/>
                    <w:sz w:val="20"/>
                  </w:rPr>
                  <w:t>3</w:t>
                </w:r>
              </w:p>
            </w:txbxContent>
          </v:textbox>
          <w10:wrap type="non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61.919998pt;width:470.88pt;height:.72pt;mso-position-horizontal-relative:page;mso-position-vertical-relative:page;z-index:-26856960" id="docshape413" filled="true" fillcolor="#000000" stroked="false">
          <v:fill type="solid"/>
          <w10:wrap type="none"/>
        </v:rect>
      </w:pict>
    </w:r>
    <w:r>
      <w:rPr/>
      <w:pict>
        <v:shape style="position:absolute;margin-left:71pt;margin-top:48.663475pt;width:43.1pt;height:13.15pt;mso-position-horizontal-relative:page;mso-position-vertical-relative:page;z-index:-26856448" type="#_x0000_t202" id="docshape414" filled="false" stroked="false">
          <v:textbox inset="0,0,0,0">
            <w:txbxContent>
              <w:p>
                <w:pPr>
                  <w:spacing w:before="12"/>
                  <w:ind w:left="20" w:right="0" w:firstLine="0"/>
                  <w:jc w:val="left"/>
                  <w:rPr>
                    <w:b/>
                    <w:sz w:val="20"/>
                  </w:rPr>
                </w:pPr>
                <w:r>
                  <w:rPr>
                    <w:b/>
                    <w:sz w:val="20"/>
                  </w:rPr>
                  <w:t>ARC</w:t>
                </w:r>
                <w:r>
                  <w:rPr>
                    <w:b/>
                    <w:spacing w:val="-6"/>
                    <w:sz w:val="20"/>
                  </w:rPr>
                  <w:t> </w:t>
                </w:r>
                <w:r>
                  <w:rPr>
                    <w:b/>
                    <w:spacing w:val="-5"/>
                    <w:sz w:val="20"/>
                  </w:rPr>
                  <w:t>317</w:t>
                </w:r>
              </w:p>
            </w:txbxContent>
          </v:textbox>
          <w10:wrap type="none"/>
        </v:shape>
      </w:pict>
    </w:r>
    <w:r>
      <w:rPr/>
      <w:pict>
        <v:shape style="position:absolute;margin-left:227.242523pt;margin-top:48.663475pt;width:157.5pt;height:13.15pt;mso-position-horizontal-relative:page;mso-position-vertical-relative:page;z-index:-26855936" type="#_x0000_t202" id="docshape415" filled="false" stroked="false">
          <v:textbox inset="0,0,0,0">
            <w:txbxContent>
              <w:p>
                <w:pPr>
                  <w:spacing w:before="12"/>
                  <w:ind w:left="20" w:right="0" w:firstLine="0"/>
                  <w:jc w:val="left"/>
                  <w:rPr>
                    <w:b/>
                    <w:sz w:val="20"/>
                  </w:rPr>
                </w:pPr>
                <w:r>
                  <w:rPr>
                    <w:b/>
                    <w:sz w:val="20"/>
                  </w:rPr>
                  <w:t>Global</w:t>
                </w:r>
                <w:r>
                  <w:rPr>
                    <w:b/>
                    <w:spacing w:val="-7"/>
                    <w:sz w:val="20"/>
                  </w:rPr>
                  <w:t> </w:t>
                </w:r>
                <w:r>
                  <w:rPr>
                    <w:b/>
                    <w:sz w:val="20"/>
                  </w:rPr>
                  <w:t>Theories</w:t>
                </w:r>
                <w:r>
                  <w:rPr>
                    <w:b/>
                    <w:spacing w:val="-7"/>
                    <w:sz w:val="20"/>
                  </w:rPr>
                  <w:t> </w:t>
                </w:r>
                <w:r>
                  <w:rPr>
                    <w:b/>
                    <w:sz w:val="20"/>
                  </w:rPr>
                  <w:t>of</w:t>
                </w:r>
                <w:r>
                  <w:rPr>
                    <w:b/>
                    <w:spacing w:val="-6"/>
                    <w:sz w:val="20"/>
                  </w:rPr>
                  <w:t> </w:t>
                </w:r>
                <w:r>
                  <w:rPr>
                    <w:b/>
                    <w:sz w:val="20"/>
                  </w:rPr>
                  <w:t>Urban</w:t>
                </w:r>
                <w:r>
                  <w:rPr>
                    <w:b/>
                    <w:spacing w:val="-4"/>
                    <w:sz w:val="20"/>
                  </w:rPr>
                  <w:t> </w:t>
                </w:r>
                <w:r>
                  <w:rPr>
                    <w:b/>
                    <w:spacing w:val="-2"/>
                    <w:sz w:val="20"/>
                  </w:rPr>
                  <w:t>Design</w:t>
                </w:r>
              </w:p>
            </w:txbxContent>
          </v:textbox>
          <w10:wrap type="none"/>
        </v:shape>
      </w:pict>
    </w:r>
    <w:r>
      <w:rPr/>
      <w:pict>
        <v:shape style="position:absolute;margin-left:501.809845pt;margin-top:48.663475pt;width:39.1pt;height:13.15pt;mso-position-horizontal-relative:page;mso-position-vertical-relative:page;z-index:-26855424" type="#_x0000_t202" id="docshape416" filled="false" stroked="false">
          <v:textbox inset="0,0,0,0">
            <w:txbxContent>
              <w:p>
                <w:pPr>
                  <w:spacing w:before="12"/>
                  <w:ind w:left="20" w:right="0" w:firstLine="0"/>
                  <w:jc w:val="left"/>
                  <w:rPr>
                    <w:b/>
                    <w:sz w:val="20"/>
                  </w:rPr>
                </w:pPr>
                <w:r>
                  <w:rPr>
                    <w:b/>
                    <w:sz w:val="20"/>
                  </w:rPr>
                  <w:t>Credit</w:t>
                </w:r>
                <w:r>
                  <w:rPr>
                    <w:b/>
                    <w:spacing w:val="-9"/>
                    <w:sz w:val="20"/>
                  </w:rPr>
                  <w:t> </w:t>
                </w:r>
                <w:r>
                  <w:rPr>
                    <w:b/>
                    <w:spacing w:val="-10"/>
                    <w:sz w:val="20"/>
                  </w:rPr>
                  <w:t>3</w:t>
                </w:r>
              </w:p>
            </w:txbxContent>
          </v:textbox>
          <w10:wrap type="non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61.919998pt;width:470.88pt;height:.72pt;mso-position-horizontal-relative:page;mso-position-vertical-relative:page;z-index:-26853376" id="docshape420" filled="true" fillcolor="#000000" stroked="false">
          <v:fill type="solid"/>
          <w10:wrap type="none"/>
        </v:rect>
      </w:pict>
    </w:r>
    <w:r>
      <w:rPr/>
      <w:pict>
        <v:shape style="position:absolute;margin-left:71pt;margin-top:48.663475pt;width:43.1pt;height:13.15pt;mso-position-horizontal-relative:page;mso-position-vertical-relative:page;z-index:-26852864" type="#_x0000_t202" id="docshape421" filled="false" stroked="false">
          <v:textbox inset="0,0,0,0">
            <w:txbxContent>
              <w:p>
                <w:pPr>
                  <w:spacing w:before="12"/>
                  <w:ind w:left="20" w:right="0" w:firstLine="0"/>
                  <w:jc w:val="left"/>
                  <w:rPr>
                    <w:b/>
                    <w:sz w:val="20"/>
                  </w:rPr>
                </w:pPr>
                <w:r>
                  <w:rPr>
                    <w:b/>
                    <w:sz w:val="20"/>
                  </w:rPr>
                  <w:t>ARC</w:t>
                </w:r>
                <w:r>
                  <w:rPr>
                    <w:b/>
                    <w:spacing w:val="-6"/>
                    <w:sz w:val="20"/>
                  </w:rPr>
                  <w:t> </w:t>
                </w:r>
                <w:r>
                  <w:rPr>
                    <w:b/>
                    <w:spacing w:val="-5"/>
                    <w:sz w:val="20"/>
                  </w:rPr>
                  <w:t>405</w:t>
                </w:r>
              </w:p>
            </w:txbxContent>
          </v:textbox>
          <w10:wrap type="none"/>
        </v:shape>
      </w:pict>
    </w:r>
    <w:r>
      <w:rPr/>
      <w:pict>
        <v:shape style="position:absolute;margin-left:205.041687pt;margin-top:48.663475pt;width:201.95pt;height:13.15pt;mso-position-horizontal-relative:page;mso-position-vertical-relative:page;z-index:-26852352" type="#_x0000_t202" id="docshape422" filled="false" stroked="false">
          <v:textbox inset="0,0,0,0">
            <w:txbxContent>
              <w:p>
                <w:pPr>
                  <w:spacing w:before="12"/>
                  <w:ind w:left="20" w:right="0" w:firstLine="0"/>
                  <w:jc w:val="left"/>
                  <w:rPr>
                    <w:b/>
                    <w:sz w:val="20"/>
                  </w:rPr>
                </w:pPr>
                <w:r>
                  <w:rPr>
                    <w:b/>
                    <w:sz w:val="20"/>
                  </w:rPr>
                  <w:t>Advanced</w:t>
                </w:r>
                <w:r>
                  <w:rPr>
                    <w:b/>
                    <w:spacing w:val="-8"/>
                    <w:sz w:val="20"/>
                  </w:rPr>
                  <w:t> </w:t>
                </w:r>
                <w:r>
                  <w:rPr>
                    <w:b/>
                    <w:sz w:val="20"/>
                  </w:rPr>
                  <w:t>Architectural</w:t>
                </w:r>
                <w:r>
                  <w:rPr>
                    <w:b/>
                    <w:spacing w:val="-12"/>
                    <w:sz w:val="20"/>
                  </w:rPr>
                  <w:t> </w:t>
                </w:r>
                <w:r>
                  <w:rPr>
                    <w:b/>
                    <w:sz w:val="20"/>
                  </w:rPr>
                  <w:t>Design</w:t>
                </w:r>
                <w:r>
                  <w:rPr>
                    <w:b/>
                    <w:spacing w:val="-11"/>
                    <w:sz w:val="20"/>
                  </w:rPr>
                  <w:t> </w:t>
                </w:r>
                <w:r>
                  <w:rPr>
                    <w:b/>
                    <w:sz w:val="20"/>
                  </w:rPr>
                  <w:t>Studio</w:t>
                </w:r>
                <w:r>
                  <w:rPr>
                    <w:b/>
                    <w:spacing w:val="-9"/>
                    <w:sz w:val="20"/>
                  </w:rPr>
                  <w:t> </w:t>
                </w:r>
                <w:r>
                  <w:rPr>
                    <w:b/>
                    <w:spacing w:val="-4"/>
                    <w:sz w:val="20"/>
                  </w:rPr>
                  <w:t>VIII</w:t>
                </w:r>
              </w:p>
            </w:txbxContent>
          </v:textbox>
          <w10:wrap type="none"/>
        </v:shape>
      </w:pict>
    </w:r>
    <w:r>
      <w:rPr/>
      <w:pict>
        <v:shape style="position:absolute;margin-left:495.076874pt;margin-top:48.663475pt;width:45.8pt;height:13.15pt;mso-position-horizontal-relative:page;mso-position-vertical-relative:page;z-index:-26851840" type="#_x0000_t202" id="docshape423" filled="false" stroked="false">
          <v:textbox inset="0,0,0,0">
            <w:txbxContent>
              <w:p>
                <w:pPr>
                  <w:spacing w:before="12"/>
                  <w:ind w:left="20" w:right="0" w:firstLine="0"/>
                  <w:jc w:val="left"/>
                  <w:rPr>
                    <w:b/>
                    <w:sz w:val="20"/>
                  </w:rPr>
                </w:pPr>
                <w:r>
                  <w:rPr>
                    <w:b/>
                    <w:sz w:val="20"/>
                  </w:rPr>
                  <w:t>6</w:t>
                </w:r>
                <w:r>
                  <w:rPr>
                    <w:b/>
                    <w:spacing w:val="-3"/>
                    <w:sz w:val="20"/>
                  </w:rPr>
                  <w:t> </w:t>
                </w:r>
                <w:r>
                  <w:rPr>
                    <w:b/>
                    <w:spacing w:val="-2"/>
                    <w:sz w:val="20"/>
                  </w:rPr>
                  <w:t>credits.</w:t>
                </w:r>
              </w:p>
            </w:txbxContent>
          </v:textbox>
          <w10:wrap type="non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61.919998pt;width:470.88pt;height:.72pt;mso-position-horizontal-relative:page;mso-position-vertical-relative:page;z-index:-26849792" id="docshape427" filled="true" fillcolor="#000000" stroked="false">
          <v:fill type="solid"/>
          <w10:wrap type="none"/>
        </v:rect>
      </w:pict>
    </w:r>
    <w:r>
      <w:rPr/>
      <w:pict>
        <v:shape style="position:absolute;margin-left:71pt;margin-top:48.663475pt;width:43.1pt;height:13.15pt;mso-position-horizontal-relative:page;mso-position-vertical-relative:page;z-index:-26849280" type="#_x0000_t202" id="docshape428" filled="false" stroked="false">
          <v:textbox inset="0,0,0,0">
            <w:txbxContent>
              <w:p>
                <w:pPr>
                  <w:spacing w:before="12"/>
                  <w:ind w:left="20" w:right="0" w:firstLine="0"/>
                  <w:jc w:val="left"/>
                  <w:rPr>
                    <w:b/>
                    <w:sz w:val="20"/>
                  </w:rPr>
                </w:pPr>
                <w:r>
                  <w:rPr>
                    <w:b/>
                    <w:sz w:val="20"/>
                  </w:rPr>
                  <w:t>ARC</w:t>
                </w:r>
                <w:r>
                  <w:rPr>
                    <w:b/>
                    <w:spacing w:val="-6"/>
                    <w:sz w:val="20"/>
                  </w:rPr>
                  <w:t> </w:t>
                </w:r>
                <w:r>
                  <w:rPr>
                    <w:b/>
                    <w:spacing w:val="-5"/>
                    <w:sz w:val="20"/>
                  </w:rPr>
                  <w:t>406</w:t>
                </w:r>
              </w:p>
            </w:txbxContent>
          </v:textbox>
          <w10:wrap type="none"/>
        </v:shape>
      </w:pict>
    </w:r>
    <w:r>
      <w:rPr/>
      <w:pict>
        <v:shape style="position:absolute;margin-left:207.800598pt;margin-top:48.663475pt;width:196.45pt;height:13.15pt;mso-position-horizontal-relative:page;mso-position-vertical-relative:page;z-index:-26848768" type="#_x0000_t202" id="docshape429" filled="false" stroked="false">
          <v:textbox inset="0,0,0,0">
            <w:txbxContent>
              <w:p>
                <w:pPr>
                  <w:spacing w:before="12"/>
                  <w:ind w:left="20" w:right="0" w:firstLine="0"/>
                  <w:jc w:val="left"/>
                  <w:rPr>
                    <w:b/>
                    <w:sz w:val="20"/>
                  </w:rPr>
                </w:pPr>
                <w:r>
                  <w:rPr>
                    <w:b/>
                    <w:sz w:val="20"/>
                  </w:rPr>
                  <w:t>Advanced</w:t>
                </w:r>
                <w:r>
                  <w:rPr>
                    <w:b/>
                    <w:spacing w:val="-8"/>
                    <w:sz w:val="20"/>
                  </w:rPr>
                  <w:t> </w:t>
                </w:r>
                <w:r>
                  <w:rPr>
                    <w:b/>
                    <w:sz w:val="20"/>
                  </w:rPr>
                  <w:t>Architectural</w:t>
                </w:r>
                <w:r>
                  <w:rPr>
                    <w:b/>
                    <w:spacing w:val="-12"/>
                    <w:sz w:val="20"/>
                  </w:rPr>
                  <w:t> </w:t>
                </w:r>
                <w:r>
                  <w:rPr>
                    <w:b/>
                    <w:sz w:val="20"/>
                  </w:rPr>
                  <w:t>Design</w:t>
                </w:r>
                <w:r>
                  <w:rPr>
                    <w:b/>
                    <w:spacing w:val="-11"/>
                    <w:sz w:val="20"/>
                  </w:rPr>
                  <w:t> </w:t>
                </w:r>
                <w:r>
                  <w:rPr>
                    <w:b/>
                    <w:sz w:val="20"/>
                  </w:rPr>
                  <w:t>Studio</w:t>
                </w:r>
                <w:r>
                  <w:rPr>
                    <w:b/>
                    <w:spacing w:val="-11"/>
                    <w:sz w:val="20"/>
                  </w:rPr>
                  <w:t> </w:t>
                </w:r>
                <w:r>
                  <w:rPr>
                    <w:b/>
                    <w:spacing w:val="-5"/>
                    <w:sz w:val="20"/>
                  </w:rPr>
                  <w:t>IX</w:t>
                </w:r>
              </w:p>
            </w:txbxContent>
          </v:textbox>
          <w10:wrap type="none"/>
        </v:shape>
      </w:pict>
    </w:r>
    <w:r>
      <w:rPr/>
      <w:pict>
        <v:shape style="position:absolute;margin-left:495.076874pt;margin-top:48.663475pt;width:45.8pt;height:13.15pt;mso-position-horizontal-relative:page;mso-position-vertical-relative:page;z-index:-26848256" type="#_x0000_t202" id="docshape430" filled="false" stroked="false">
          <v:textbox inset="0,0,0,0">
            <w:txbxContent>
              <w:p>
                <w:pPr>
                  <w:spacing w:before="12"/>
                  <w:ind w:left="20" w:right="0" w:firstLine="0"/>
                  <w:jc w:val="left"/>
                  <w:rPr>
                    <w:b/>
                    <w:sz w:val="20"/>
                  </w:rPr>
                </w:pPr>
                <w:r>
                  <w:rPr>
                    <w:b/>
                    <w:sz w:val="20"/>
                  </w:rPr>
                  <w:t>6</w:t>
                </w:r>
                <w:r>
                  <w:rPr>
                    <w:b/>
                    <w:spacing w:val="-3"/>
                    <w:sz w:val="20"/>
                  </w:rPr>
                  <w:t> </w:t>
                </w:r>
                <w:r>
                  <w:rPr>
                    <w:b/>
                    <w:spacing w:val="-2"/>
                    <w:sz w:val="20"/>
                  </w:rPr>
                  <w:t>credits.</w:t>
                </w:r>
              </w:p>
            </w:txbxContent>
          </v:textbox>
          <w10:wrap type="non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61.919998pt;width:470.88pt;height:.72pt;mso-position-horizontal-relative:page;mso-position-vertical-relative:page;z-index:-26846208" id="docshape434" filled="true" fillcolor="#000000" stroked="false">
          <v:fill type="solid"/>
          <w10:wrap type="none"/>
        </v:rect>
      </w:pict>
    </w:r>
    <w:r>
      <w:rPr/>
      <w:pict>
        <v:shape style="position:absolute;margin-left:71pt;margin-top:48.663475pt;width:43.1pt;height:13.15pt;mso-position-horizontal-relative:page;mso-position-vertical-relative:page;z-index:-26845696" type="#_x0000_t202" id="docshape435" filled="false" stroked="false">
          <v:textbox inset="0,0,0,0">
            <w:txbxContent>
              <w:p>
                <w:pPr>
                  <w:spacing w:before="12"/>
                  <w:ind w:left="20" w:right="0" w:firstLine="0"/>
                  <w:jc w:val="left"/>
                  <w:rPr>
                    <w:b/>
                    <w:sz w:val="20"/>
                  </w:rPr>
                </w:pPr>
                <w:r>
                  <w:rPr>
                    <w:b/>
                    <w:sz w:val="20"/>
                  </w:rPr>
                  <w:t>ARC</w:t>
                </w:r>
                <w:r>
                  <w:rPr>
                    <w:b/>
                    <w:spacing w:val="-6"/>
                    <w:sz w:val="20"/>
                  </w:rPr>
                  <w:t> </w:t>
                </w:r>
                <w:r>
                  <w:rPr>
                    <w:b/>
                    <w:spacing w:val="-5"/>
                    <w:sz w:val="20"/>
                  </w:rPr>
                  <w:t>411</w:t>
                </w:r>
              </w:p>
            </w:txbxContent>
          </v:textbox>
          <w10:wrap type="none"/>
        </v:shape>
      </w:pict>
    </w:r>
    <w:r>
      <w:rPr/>
      <w:pict>
        <v:shape style="position:absolute;margin-left:220.52948pt;margin-top:48.663475pt;width:171pt;height:13.15pt;mso-position-horizontal-relative:page;mso-position-vertical-relative:page;z-index:-26845184" type="#_x0000_t202" id="docshape436" filled="false" stroked="false">
          <v:textbox inset="0,0,0,0">
            <w:txbxContent>
              <w:p>
                <w:pPr>
                  <w:spacing w:before="12"/>
                  <w:ind w:left="20" w:right="0" w:firstLine="0"/>
                  <w:jc w:val="left"/>
                  <w:rPr>
                    <w:b/>
                    <w:sz w:val="20"/>
                  </w:rPr>
                </w:pPr>
                <w:r>
                  <w:rPr>
                    <w:b/>
                    <w:spacing w:val="-2"/>
                    <w:sz w:val="20"/>
                  </w:rPr>
                  <w:t>Contemporary</w:t>
                </w:r>
                <w:r>
                  <w:rPr>
                    <w:b/>
                    <w:spacing w:val="9"/>
                    <w:sz w:val="20"/>
                  </w:rPr>
                  <w:t> </w:t>
                </w:r>
                <w:r>
                  <w:rPr>
                    <w:b/>
                    <w:spacing w:val="-2"/>
                    <w:sz w:val="20"/>
                  </w:rPr>
                  <w:t>Architectural</w:t>
                </w:r>
                <w:r>
                  <w:rPr>
                    <w:b/>
                    <w:spacing w:val="7"/>
                    <w:sz w:val="20"/>
                  </w:rPr>
                  <w:t> </w:t>
                </w:r>
                <w:r>
                  <w:rPr>
                    <w:b/>
                    <w:spacing w:val="-2"/>
                    <w:sz w:val="20"/>
                  </w:rPr>
                  <w:t>Theory</w:t>
                </w:r>
              </w:p>
            </w:txbxContent>
          </v:textbox>
          <w10:wrap type="none"/>
        </v:shape>
      </w:pict>
    </w:r>
    <w:r>
      <w:rPr/>
      <w:pict>
        <v:shape style="position:absolute;margin-left:501.809845pt;margin-top:48.663475pt;width:39.1pt;height:13.15pt;mso-position-horizontal-relative:page;mso-position-vertical-relative:page;z-index:-26844672" type="#_x0000_t202" id="docshape437" filled="false" stroked="false">
          <v:textbox inset="0,0,0,0">
            <w:txbxContent>
              <w:p>
                <w:pPr>
                  <w:spacing w:before="12"/>
                  <w:ind w:left="20" w:right="0" w:firstLine="0"/>
                  <w:jc w:val="left"/>
                  <w:rPr>
                    <w:b/>
                    <w:sz w:val="20"/>
                  </w:rPr>
                </w:pPr>
                <w:r>
                  <w:rPr>
                    <w:b/>
                    <w:sz w:val="20"/>
                  </w:rPr>
                  <w:t>Credit</w:t>
                </w:r>
                <w:r>
                  <w:rPr>
                    <w:b/>
                    <w:spacing w:val="-9"/>
                    <w:sz w:val="20"/>
                  </w:rPr>
                  <w:t> </w:t>
                </w:r>
                <w:r>
                  <w:rPr>
                    <w:b/>
                    <w:spacing w:val="-10"/>
                    <w:sz w:val="20"/>
                  </w:rPr>
                  <w:t>3</w:t>
                </w:r>
              </w:p>
            </w:txbxContent>
          </v:textbox>
          <w10:wrap type="non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61.919998pt;width:470.88pt;height:.72pt;mso-position-horizontal-relative:page;mso-position-vertical-relative:page;z-index:-26842624" id="docshape441" filled="true" fillcolor="#000000" stroked="false">
          <v:fill type="solid"/>
          <w10:wrap type="none"/>
        </v:rect>
      </w:pict>
    </w:r>
    <w:r>
      <w:rPr/>
      <w:pict>
        <v:shape style="position:absolute;margin-left:71pt;margin-top:48.663475pt;width:43.1pt;height:13.15pt;mso-position-horizontal-relative:page;mso-position-vertical-relative:page;z-index:-26842112" type="#_x0000_t202" id="docshape442" filled="false" stroked="false">
          <v:textbox inset="0,0,0,0">
            <w:txbxContent>
              <w:p>
                <w:pPr>
                  <w:spacing w:before="12"/>
                  <w:ind w:left="20" w:right="0" w:firstLine="0"/>
                  <w:jc w:val="left"/>
                  <w:rPr>
                    <w:b/>
                    <w:sz w:val="20"/>
                  </w:rPr>
                </w:pPr>
                <w:r>
                  <w:rPr>
                    <w:b/>
                    <w:sz w:val="20"/>
                  </w:rPr>
                  <w:t>ARC</w:t>
                </w:r>
                <w:r>
                  <w:rPr>
                    <w:b/>
                    <w:spacing w:val="-6"/>
                    <w:sz w:val="20"/>
                  </w:rPr>
                  <w:t> </w:t>
                </w:r>
                <w:r>
                  <w:rPr>
                    <w:b/>
                    <w:spacing w:val="-5"/>
                    <w:sz w:val="20"/>
                  </w:rPr>
                  <w:t>414</w:t>
                </w:r>
              </w:p>
            </w:txbxContent>
          </v:textbox>
          <w10:wrap type="none"/>
        </v:shape>
      </w:pict>
    </w:r>
    <w:r>
      <w:rPr/>
      <w:pict>
        <v:shape style="position:absolute;margin-left:274.522644pt;margin-top:48.663475pt;width:63pt;height:13.15pt;mso-position-horizontal-relative:page;mso-position-vertical-relative:page;z-index:-26841600" type="#_x0000_t202" id="docshape443" filled="false" stroked="false">
          <v:textbox inset="0,0,0,0">
            <w:txbxContent>
              <w:p>
                <w:pPr>
                  <w:spacing w:before="12"/>
                  <w:ind w:left="20" w:right="0" w:firstLine="0"/>
                  <w:jc w:val="left"/>
                  <w:rPr>
                    <w:b/>
                    <w:sz w:val="20"/>
                  </w:rPr>
                </w:pPr>
                <w:r>
                  <w:rPr>
                    <w:b/>
                    <w:sz w:val="20"/>
                  </w:rPr>
                  <w:t>Structures</w:t>
                </w:r>
                <w:r>
                  <w:rPr>
                    <w:b/>
                    <w:spacing w:val="-15"/>
                    <w:sz w:val="20"/>
                  </w:rPr>
                  <w:t> </w:t>
                </w:r>
                <w:r>
                  <w:rPr>
                    <w:b/>
                    <w:spacing w:val="-5"/>
                    <w:sz w:val="20"/>
                  </w:rPr>
                  <w:t>III</w:t>
                </w:r>
              </w:p>
            </w:txbxContent>
          </v:textbox>
          <w10:wrap type="none"/>
        </v:shape>
      </w:pict>
    </w:r>
    <w:r>
      <w:rPr/>
      <w:pict>
        <v:shape style="position:absolute;margin-left:501.809845pt;margin-top:48.663475pt;width:39.1pt;height:13.15pt;mso-position-horizontal-relative:page;mso-position-vertical-relative:page;z-index:-26841088" type="#_x0000_t202" id="docshape444" filled="false" stroked="false">
          <v:textbox inset="0,0,0,0">
            <w:txbxContent>
              <w:p>
                <w:pPr>
                  <w:spacing w:before="12"/>
                  <w:ind w:left="20" w:right="0" w:firstLine="0"/>
                  <w:jc w:val="left"/>
                  <w:rPr>
                    <w:b/>
                    <w:sz w:val="20"/>
                  </w:rPr>
                </w:pPr>
                <w:r>
                  <w:rPr>
                    <w:b/>
                    <w:sz w:val="20"/>
                  </w:rPr>
                  <w:t>Credit</w:t>
                </w:r>
                <w:r>
                  <w:rPr>
                    <w:b/>
                    <w:spacing w:val="-9"/>
                    <w:sz w:val="20"/>
                  </w:rPr>
                  <w:t> </w:t>
                </w:r>
                <w:r>
                  <w:rPr>
                    <w:b/>
                    <w:spacing w:val="-10"/>
                    <w:sz w:val="20"/>
                  </w:rPr>
                  <w:t>3</w:t>
                </w:r>
              </w:p>
            </w:txbxContent>
          </v:textbox>
          <w10:wrap type="non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61.919998pt;width:470.88pt;height:.72pt;mso-position-horizontal-relative:page;mso-position-vertical-relative:page;z-index:-26839040" id="docshape448" filled="true" fillcolor="#000000" stroked="false">
          <v:fill type="solid"/>
          <w10:wrap type="none"/>
        </v:rect>
      </w:pict>
    </w:r>
    <w:r>
      <w:rPr/>
      <w:pict>
        <v:shape style="position:absolute;margin-left:71pt;margin-top:48.663475pt;width:43.1pt;height:13.15pt;mso-position-horizontal-relative:page;mso-position-vertical-relative:page;z-index:-26838528" type="#_x0000_t202" id="docshape449" filled="false" stroked="false">
          <v:textbox inset="0,0,0,0">
            <w:txbxContent>
              <w:p>
                <w:pPr>
                  <w:spacing w:before="12"/>
                  <w:ind w:left="20" w:right="0" w:firstLine="0"/>
                  <w:jc w:val="left"/>
                  <w:rPr>
                    <w:b/>
                    <w:sz w:val="20"/>
                  </w:rPr>
                </w:pPr>
                <w:r>
                  <w:rPr>
                    <w:b/>
                    <w:sz w:val="20"/>
                  </w:rPr>
                  <w:t>ARC</w:t>
                </w:r>
                <w:r>
                  <w:rPr>
                    <w:b/>
                    <w:spacing w:val="-6"/>
                    <w:sz w:val="20"/>
                  </w:rPr>
                  <w:t> </w:t>
                </w:r>
                <w:r>
                  <w:rPr>
                    <w:b/>
                    <w:spacing w:val="-5"/>
                    <w:sz w:val="20"/>
                  </w:rPr>
                  <w:t>516</w:t>
                </w:r>
              </w:p>
            </w:txbxContent>
          </v:textbox>
          <w10:wrap type="none"/>
        </v:shape>
      </w:pict>
    </w:r>
    <w:r>
      <w:rPr/>
      <w:pict>
        <v:shape style="position:absolute;margin-left:210.081436pt;margin-top:48.663475pt;width:191.95pt;height:13.15pt;mso-position-horizontal-relative:page;mso-position-vertical-relative:page;z-index:-26838016" type="#_x0000_t202" id="docshape450" filled="false" stroked="false">
          <v:textbox inset="0,0,0,0">
            <w:txbxContent>
              <w:p>
                <w:pPr>
                  <w:spacing w:before="12"/>
                  <w:ind w:left="20" w:right="0" w:firstLine="0"/>
                  <w:jc w:val="left"/>
                  <w:rPr>
                    <w:b/>
                    <w:sz w:val="20"/>
                  </w:rPr>
                </w:pPr>
                <w:r>
                  <w:rPr>
                    <w:b/>
                    <w:sz w:val="20"/>
                  </w:rPr>
                  <w:t>Building</w:t>
                </w:r>
                <w:r>
                  <w:rPr>
                    <w:b/>
                    <w:spacing w:val="-12"/>
                    <w:sz w:val="20"/>
                  </w:rPr>
                  <w:t> </w:t>
                </w:r>
                <w:r>
                  <w:rPr>
                    <w:b/>
                    <w:sz w:val="20"/>
                  </w:rPr>
                  <w:t>Systems</w:t>
                </w:r>
                <w:r>
                  <w:rPr>
                    <w:b/>
                    <w:spacing w:val="-10"/>
                    <w:sz w:val="20"/>
                  </w:rPr>
                  <w:t> </w:t>
                </w:r>
                <w:r>
                  <w:rPr>
                    <w:b/>
                    <w:sz w:val="20"/>
                  </w:rPr>
                  <w:t>Integration</w:t>
                </w:r>
                <w:r>
                  <w:rPr>
                    <w:b/>
                    <w:spacing w:val="-11"/>
                    <w:sz w:val="20"/>
                  </w:rPr>
                  <w:t> </w:t>
                </w:r>
                <w:r>
                  <w:rPr>
                    <w:b/>
                    <w:spacing w:val="-2"/>
                    <w:sz w:val="20"/>
                  </w:rPr>
                  <w:t>Workshop</w:t>
                </w:r>
              </w:p>
            </w:txbxContent>
          </v:textbox>
          <w10:wrap type="none"/>
        </v:shape>
      </w:pict>
    </w:r>
    <w:r>
      <w:rPr/>
      <w:pict>
        <v:shape style="position:absolute;margin-left:500.833771pt;margin-top:48.663475pt;width:39.1pt;height:13.15pt;mso-position-horizontal-relative:page;mso-position-vertical-relative:page;z-index:-26837504" type="#_x0000_t202" id="docshape451" filled="false" stroked="false">
          <v:textbox inset="0,0,0,0">
            <w:txbxContent>
              <w:p>
                <w:pPr>
                  <w:spacing w:before="12"/>
                  <w:ind w:left="20" w:right="0" w:firstLine="0"/>
                  <w:jc w:val="left"/>
                  <w:rPr>
                    <w:b/>
                    <w:sz w:val="20"/>
                  </w:rPr>
                </w:pPr>
                <w:r>
                  <w:rPr>
                    <w:b/>
                    <w:sz w:val="20"/>
                  </w:rPr>
                  <w:t>Credit</w:t>
                </w:r>
                <w:r>
                  <w:rPr>
                    <w:b/>
                    <w:spacing w:val="-9"/>
                    <w:sz w:val="20"/>
                  </w:rPr>
                  <w:t> </w:t>
                </w:r>
                <w:r>
                  <w:rPr>
                    <w:b/>
                    <w:spacing w:val="-10"/>
                    <w:sz w:val="20"/>
                  </w:rPr>
                  <w:t>3</w:t>
                </w:r>
              </w:p>
            </w:txbxContent>
          </v:textbox>
          <w10:wrap type="non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61.919998pt;width:470.88pt;height:.72pt;mso-position-horizontal-relative:page;mso-position-vertical-relative:page;z-index:-26835456" id="docshape455" filled="true" fillcolor="#000000" stroked="false">
          <v:fill type="solid"/>
          <w10:wrap type="none"/>
        </v:rect>
      </w:pict>
    </w:r>
    <w:r>
      <w:rPr/>
      <w:pict>
        <v:shape style="position:absolute;margin-left:71pt;margin-top:48.663475pt;width:46.1pt;height:13.15pt;mso-position-horizontal-relative:page;mso-position-vertical-relative:page;z-index:-26834944" type="#_x0000_t202" id="docshape456" filled="false" stroked="false">
          <v:textbox inset="0,0,0,0">
            <w:txbxContent>
              <w:p>
                <w:pPr>
                  <w:spacing w:before="12"/>
                  <w:ind w:left="20" w:right="0" w:firstLine="0"/>
                  <w:jc w:val="left"/>
                  <w:rPr>
                    <w:b/>
                    <w:sz w:val="20"/>
                  </w:rPr>
                </w:pPr>
                <w:r>
                  <w:rPr>
                    <w:b/>
                    <w:sz w:val="20"/>
                  </w:rPr>
                  <w:t>ARC</w:t>
                </w:r>
                <w:r>
                  <w:rPr>
                    <w:b/>
                    <w:spacing w:val="-6"/>
                    <w:sz w:val="20"/>
                  </w:rPr>
                  <w:t> </w:t>
                </w:r>
                <w:r>
                  <w:rPr>
                    <w:b/>
                    <w:spacing w:val="-5"/>
                    <w:sz w:val="20"/>
                  </w:rPr>
                  <w:fldChar w:fldCharType="begin"/>
                </w:r>
                <w:r>
                  <w:rPr>
                    <w:b/>
                    <w:spacing w:val="-5"/>
                    <w:sz w:val="20"/>
                  </w:rPr>
                  <w:instrText> PAGE </w:instrText>
                </w:r>
                <w:r>
                  <w:rPr>
                    <w:b/>
                    <w:spacing w:val="-5"/>
                    <w:sz w:val="20"/>
                  </w:rPr>
                  <w:fldChar w:fldCharType="separate"/>
                </w:r>
                <w:r>
                  <w:rPr>
                    <w:b/>
                    <w:spacing w:val="-5"/>
                    <w:sz w:val="20"/>
                  </w:rPr>
                  <w:t>517</w:t>
                </w:r>
                <w:r>
                  <w:rPr>
                    <w:b/>
                    <w:spacing w:val="-5"/>
                    <w:sz w:val="20"/>
                  </w:rPr>
                  <w:fldChar w:fldCharType="end"/>
                </w:r>
              </w:p>
            </w:txbxContent>
          </v:textbox>
          <w10:wrap type="none"/>
        </v:shape>
      </w:pict>
    </w:r>
    <w:r>
      <w:rPr/>
      <w:pict>
        <v:shape style="position:absolute;margin-left:194.245041pt;margin-top:48.663475pt;width:223.65pt;height:13.15pt;mso-position-horizontal-relative:page;mso-position-vertical-relative:page;z-index:-26834432" type="#_x0000_t202" id="docshape457" filled="false" stroked="false">
          <v:textbox inset="0,0,0,0">
            <w:txbxContent>
              <w:p>
                <w:pPr>
                  <w:spacing w:before="12"/>
                  <w:ind w:left="20" w:right="0" w:firstLine="0"/>
                  <w:jc w:val="left"/>
                  <w:rPr>
                    <w:b/>
                    <w:sz w:val="20"/>
                  </w:rPr>
                </w:pPr>
                <w:r>
                  <w:rPr>
                    <w:b/>
                    <w:sz w:val="20"/>
                  </w:rPr>
                  <w:t>Professional</w:t>
                </w:r>
                <w:r>
                  <w:rPr>
                    <w:b/>
                    <w:spacing w:val="-9"/>
                    <w:sz w:val="20"/>
                  </w:rPr>
                  <w:t> </w:t>
                </w:r>
                <w:r>
                  <w:rPr>
                    <w:b/>
                    <w:sz w:val="20"/>
                  </w:rPr>
                  <w:t>and</w:t>
                </w:r>
                <w:r>
                  <w:rPr>
                    <w:b/>
                    <w:spacing w:val="-10"/>
                    <w:sz w:val="20"/>
                  </w:rPr>
                  <w:t> </w:t>
                </w:r>
                <w:r>
                  <w:rPr>
                    <w:b/>
                    <w:sz w:val="20"/>
                  </w:rPr>
                  <w:t>Community</w:t>
                </w:r>
                <w:r>
                  <w:rPr>
                    <w:b/>
                    <w:spacing w:val="-10"/>
                    <w:sz w:val="20"/>
                  </w:rPr>
                  <w:t> </w:t>
                </w:r>
                <w:r>
                  <w:rPr>
                    <w:b/>
                    <w:sz w:val="20"/>
                  </w:rPr>
                  <w:t>Design</w:t>
                </w:r>
                <w:r>
                  <w:rPr>
                    <w:b/>
                    <w:spacing w:val="-8"/>
                    <w:sz w:val="20"/>
                  </w:rPr>
                  <w:t> </w:t>
                </w:r>
                <w:r>
                  <w:rPr>
                    <w:b/>
                    <w:sz w:val="20"/>
                  </w:rPr>
                  <w:t>Practice</w:t>
                </w:r>
                <w:r>
                  <w:rPr>
                    <w:b/>
                    <w:spacing w:val="-11"/>
                    <w:sz w:val="20"/>
                  </w:rPr>
                  <w:t> </w:t>
                </w:r>
                <w:r>
                  <w:rPr>
                    <w:b/>
                    <w:spacing w:val="-10"/>
                    <w:sz w:val="20"/>
                  </w:rPr>
                  <w:t>I</w:t>
                </w:r>
              </w:p>
            </w:txbxContent>
          </v:textbox>
          <w10:wrap type="none"/>
        </v:shape>
      </w:pict>
    </w:r>
    <w:r>
      <w:rPr/>
      <w:pict>
        <v:shape style="position:absolute;margin-left:495.086853pt;margin-top:48.663475pt;width:45.8pt;height:13.15pt;mso-position-horizontal-relative:page;mso-position-vertical-relative:page;z-index:-26833920" type="#_x0000_t202" id="docshape458" filled="false" stroked="false">
          <v:textbox inset="0,0,0,0">
            <w:txbxContent>
              <w:p>
                <w:pPr>
                  <w:spacing w:before="12"/>
                  <w:ind w:left="20" w:right="0" w:firstLine="0"/>
                  <w:jc w:val="left"/>
                  <w:rPr>
                    <w:b/>
                    <w:sz w:val="20"/>
                  </w:rPr>
                </w:pPr>
                <w:r>
                  <w:rPr>
                    <w:b/>
                    <w:sz w:val="20"/>
                  </w:rPr>
                  <w:t>3</w:t>
                </w:r>
                <w:r>
                  <w:rPr>
                    <w:b/>
                    <w:spacing w:val="-3"/>
                    <w:sz w:val="20"/>
                  </w:rPr>
                  <w:t> </w:t>
                </w:r>
                <w:r>
                  <w:rPr>
                    <w:b/>
                    <w:spacing w:val="-2"/>
                    <w:sz w:val="20"/>
                  </w:rPr>
                  <w:t>credits.</w:t>
                </w:r>
              </w:p>
            </w:txbxContent>
          </v:textbox>
          <w10:wrap type="non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61.919998pt;width:470.88pt;height:.72pt;mso-position-horizontal-relative:page;mso-position-vertical-relative:page;z-index:-26831872" id="docshape462" filled="true" fillcolor="#000000" stroked="false">
          <v:fill type="solid"/>
          <w10:wrap type="none"/>
        </v:rect>
      </w:pict>
    </w:r>
    <w:r>
      <w:rPr/>
      <w:pict>
        <v:shape style="position:absolute;margin-left:71pt;margin-top:48.663475pt;width:46.1pt;height:13.15pt;mso-position-horizontal-relative:page;mso-position-vertical-relative:page;z-index:-26831360" type="#_x0000_t202" id="docshape463" filled="false" stroked="false">
          <v:textbox inset="0,0,0,0">
            <w:txbxContent>
              <w:p>
                <w:pPr>
                  <w:spacing w:before="12"/>
                  <w:ind w:left="20" w:right="0" w:firstLine="0"/>
                  <w:jc w:val="left"/>
                  <w:rPr>
                    <w:b/>
                    <w:sz w:val="20"/>
                  </w:rPr>
                </w:pPr>
                <w:r>
                  <w:rPr>
                    <w:b/>
                    <w:sz w:val="20"/>
                  </w:rPr>
                  <w:t>ARC</w:t>
                </w:r>
                <w:r>
                  <w:rPr>
                    <w:b/>
                    <w:spacing w:val="-6"/>
                    <w:sz w:val="20"/>
                  </w:rPr>
                  <w:t> </w:t>
                </w:r>
                <w:r>
                  <w:rPr>
                    <w:b/>
                    <w:spacing w:val="-5"/>
                    <w:sz w:val="20"/>
                  </w:rPr>
                  <w:fldChar w:fldCharType="begin"/>
                </w:r>
                <w:r>
                  <w:rPr>
                    <w:b/>
                    <w:spacing w:val="-5"/>
                    <w:sz w:val="20"/>
                  </w:rPr>
                  <w:instrText> PAGE </w:instrText>
                </w:r>
                <w:r>
                  <w:rPr>
                    <w:b/>
                    <w:spacing w:val="-5"/>
                    <w:sz w:val="20"/>
                  </w:rPr>
                  <w:fldChar w:fldCharType="separate"/>
                </w:r>
                <w:r>
                  <w:rPr>
                    <w:b/>
                    <w:spacing w:val="-5"/>
                    <w:sz w:val="20"/>
                  </w:rPr>
                  <w:t>518</w:t>
                </w:r>
                <w:r>
                  <w:rPr>
                    <w:b/>
                    <w:spacing w:val="-5"/>
                    <w:sz w:val="20"/>
                  </w:rPr>
                  <w:fldChar w:fldCharType="end"/>
                </w:r>
              </w:p>
            </w:txbxContent>
          </v:textbox>
          <w10:wrap type="none"/>
        </v:shape>
      </w:pict>
    </w:r>
    <w:r>
      <w:rPr/>
      <w:pict>
        <v:shape style="position:absolute;margin-left:192.800842pt;margin-top:48.663475pt;width:226.4pt;height:13.15pt;mso-position-horizontal-relative:page;mso-position-vertical-relative:page;z-index:-26830848" type="#_x0000_t202" id="docshape464" filled="false" stroked="false">
          <v:textbox inset="0,0,0,0">
            <w:txbxContent>
              <w:p>
                <w:pPr>
                  <w:spacing w:before="12"/>
                  <w:ind w:left="20" w:right="0" w:firstLine="0"/>
                  <w:jc w:val="left"/>
                  <w:rPr>
                    <w:b/>
                    <w:sz w:val="20"/>
                  </w:rPr>
                </w:pPr>
                <w:r>
                  <w:rPr>
                    <w:b/>
                    <w:sz w:val="20"/>
                  </w:rPr>
                  <w:t>Professional</w:t>
                </w:r>
                <w:r>
                  <w:rPr>
                    <w:b/>
                    <w:spacing w:val="-9"/>
                    <w:sz w:val="20"/>
                  </w:rPr>
                  <w:t> </w:t>
                </w:r>
                <w:r>
                  <w:rPr>
                    <w:b/>
                    <w:sz w:val="20"/>
                  </w:rPr>
                  <w:t>and</w:t>
                </w:r>
                <w:r>
                  <w:rPr>
                    <w:b/>
                    <w:spacing w:val="-10"/>
                    <w:sz w:val="20"/>
                  </w:rPr>
                  <w:t> </w:t>
                </w:r>
                <w:r>
                  <w:rPr>
                    <w:b/>
                    <w:sz w:val="20"/>
                  </w:rPr>
                  <w:t>Community</w:t>
                </w:r>
                <w:r>
                  <w:rPr>
                    <w:b/>
                    <w:spacing w:val="-10"/>
                    <w:sz w:val="20"/>
                  </w:rPr>
                  <w:t> </w:t>
                </w:r>
                <w:r>
                  <w:rPr>
                    <w:b/>
                    <w:sz w:val="20"/>
                  </w:rPr>
                  <w:t>Design</w:t>
                </w:r>
                <w:r>
                  <w:rPr>
                    <w:b/>
                    <w:spacing w:val="-8"/>
                    <w:sz w:val="20"/>
                  </w:rPr>
                  <w:t> </w:t>
                </w:r>
                <w:r>
                  <w:rPr>
                    <w:b/>
                    <w:sz w:val="20"/>
                  </w:rPr>
                  <w:t>Practice</w:t>
                </w:r>
                <w:r>
                  <w:rPr>
                    <w:b/>
                    <w:spacing w:val="-11"/>
                    <w:sz w:val="20"/>
                  </w:rPr>
                  <w:t> </w:t>
                </w:r>
                <w:r>
                  <w:rPr>
                    <w:b/>
                    <w:spacing w:val="-5"/>
                    <w:sz w:val="20"/>
                  </w:rPr>
                  <w:t>II</w:t>
                </w:r>
              </w:p>
            </w:txbxContent>
          </v:textbox>
          <w10:wrap type="none"/>
        </v:shape>
      </w:pict>
    </w:r>
    <w:r>
      <w:rPr/>
      <w:pict>
        <v:shape style="position:absolute;margin-left:495.076874pt;margin-top:48.663475pt;width:45.8pt;height:13.15pt;mso-position-horizontal-relative:page;mso-position-vertical-relative:page;z-index:-26830336" type="#_x0000_t202" id="docshape465" filled="false" stroked="false">
          <v:textbox inset="0,0,0,0">
            <w:txbxContent>
              <w:p>
                <w:pPr>
                  <w:spacing w:before="12"/>
                  <w:ind w:left="20" w:right="0" w:firstLine="0"/>
                  <w:jc w:val="left"/>
                  <w:rPr>
                    <w:b/>
                    <w:sz w:val="20"/>
                  </w:rPr>
                </w:pPr>
                <w:r>
                  <w:rPr>
                    <w:b/>
                    <w:sz w:val="20"/>
                  </w:rPr>
                  <w:t>3</w:t>
                </w:r>
                <w:r>
                  <w:rPr>
                    <w:b/>
                    <w:spacing w:val="-3"/>
                    <w:sz w:val="20"/>
                  </w:rPr>
                  <w:t> </w:t>
                </w:r>
                <w:r>
                  <w:rPr>
                    <w:b/>
                    <w:spacing w:val="-2"/>
                    <w:sz w:val="20"/>
                  </w:rPr>
                  <w:t>credits.</w:t>
                </w:r>
              </w:p>
            </w:txbxContent>
          </v:textbox>
          <w10:wrap type="non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61.919998pt;width:470.88pt;height:.72pt;mso-position-horizontal-relative:page;mso-position-vertical-relative:page;z-index:-26828288" id="docshape469" filled="true" fillcolor="#000000" stroked="false">
          <v:fill type="solid"/>
          <w10:wrap type="none"/>
        </v:rect>
      </w:pict>
    </w:r>
    <w:r>
      <w:rPr/>
      <w:pict>
        <v:shape style="position:absolute;margin-left:71pt;margin-top:48.663475pt;width:43.1pt;height:13.15pt;mso-position-horizontal-relative:page;mso-position-vertical-relative:page;z-index:-26827776" type="#_x0000_t202" id="docshape470" filled="false" stroked="false">
          <v:textbox inset="0,0,0,0">
            <w:txbxContent>
              <w:p>
                <w:pPr>
                  <w:spacing w:before="12"/>
                  <w:ind w:left="20" w:right="0" w:firstLine="0"/>
                  <w:jc w:val="left"/>
                  <w:rPr>
                    <w:b/>
                    <w:sz w:val="20"/>
                  </w:rPr>
                </w:pPr>
                <w:r>
                  <w:rPr>
                    <w:b/>
                    <w:sz w:val="20"/>
                  </w:rPr>
                  <w:t>ARC</w:t>
                </w:r>
                <w:r>
                  <w:rPr>
                    <w:b/>
                    <w:spacing w:val="-6"/>
                    <w:sz w:val="20"/>
                  </w:rPr>
                  <w:t> </w:t>
                </w:r>
                <w:r>
                  <w:rPr>
                    <w:b/>
                    <w:spacing w:val="-5"/>
                    <w:sz w:val="20"/>
                  </w:rPr>
                  <w:t>601</w:t>
                </w:r>
              </w:p>
            </w:txbxContent>
          </v:textbox>
          <w10:wrap type="none"/>
        </v:shape>
      </w:pict>
    </w:r>
    <w:r>
      <w:rPr/>
      <w:pict>
        <v:shape style="position:absolute;margin-left:227.481567pt;margin-top:48.663475pt;width:157.050pt;height:13.15pt;mso-position-horizontal-relative:page;mso-position-vertical-relative:page;z-index:-26827264" type="#_x0000_t202" id="docshape471" filled="false" stroked="false">
          <v:textbox inset="0,0,0,0">
            <w:txbxContent>
              <w:p>
                <w:pPr>
                  <w:spacing w:before="12"/>
                  <w:ind w:left="20" w:right="0" w:firstLine="0"/>
                  <w:jc w:val="left"/>
                  <w:rPr>
                    <w:b/>
                    <w:sz w:val="20"/>
                  </w:rPr>
                </w:pPr>
                <w:r>
                  <w:rPr>
                    <w:b/>
                    <w:sz w:val="20"/>
                  </w:rPr>
                  <w:t>Thesis</w:t>
                </w:r>
                <w:r>
                  <w:rPr>
                    <w:b/>
                    <w:spacing w:val="-9"/>
                    <w:sz w:val="20"/>
                  </w:rPr>
                  <w:t> </w:t>
                </w:r>
                <w:r>
                  <w:rPr>
                    <w:b/>
                    <w:sz w:val="20"/>
                  </w:rPr>
                  <w:t>Design</w:t>
                </w:r>
                <w:r>
                  <w:rPr>
                    <w:b/>
                    <w:spacing w:val="-8"/>
                    <w:sz w:val="20"/>
                  </w:rPr>
                  <w:t> </w:t>
                </w:r>
                <w:r>
                  <w:rPr>
                    <w:b/>
                    <w:sz w:val="20"/>
                  </w:rPr>
                  <w:t>Research</w:t>
                </w:r>
                <w:r>
                  <w:rPr>
                    <w:b/>
                    <w:spacing w:val="-7"/>
                    <w:sz w:val="20"/>
                  </w:rPr>
                  <w:t> </w:t>
                </w:r>
                <w:r>
                  <w:rPr>
                    <w:b/>
                    <w:sz w:val="20"/>
                  </w:rPr>
                  <w:t>Studio</w:t>
                </w:r>
                <w:r>
                  <w:rPr>
                    <w:b/>
                    <w:spacing w:val="-8"/>
                    <w:sz w:val="20"/>
                  </w:rPr>
                  <w:t> </w:t>
                </w:r>
                <w:r>
                  <w:rPr>
                    <w:b/>
                    <w:spacing w:val="-10"/>
                    <w:sz w:val="20"/>
                  </w:rPr>
                  <w:t>I</w:t>
                </w:r>
              </w:p>
            </w:txbxContent>
          </v:textbox>
          <w10:wrap type="none"/>
        </v:shape>
      </w:pict>
    </w:r>
    <w:r>
      <w:rPr/>
      <w:pict>
        <v:shape style="position:absolute;margin-left:497.835785pt;margin-top:48.663475pt;width:43.05pt;height:13.15pt;mso-position-horizontal-relative:page;mso-position-vertical-relative:page;z-index:-26826752" type="#_x0000_t202" id="docshape472" filled="false" stroked="false">
          <v:textbox inset="0,0,0,0">
            <w:txbxContent>
              <w:p>
                <w:pPr>
                  <w:spacing w:before="12"/>
                  <w:ind w:left="20" w:right="0" w:firstLine="0"/>
                  <w:jc w:val="left"/>
                  <w:rPr>
                    <w:b/>
                    <w:sz w:val="20"/>
                  </w:rPr>
                </w:pPr>
                <w:r>
                  <w:rPr>
                    <w:b/>
                    <w:sz w:val="20"/>
                  </w:rPr>
                  <w:t>6</w:t>
                </w:r>
                <w:r>
                  <w:rPr>
                    <w:b/>
                    <w:spacing w:val="-3"/>
                    <w:sz w:val="20"/>
                  </w:rPr>
                  <w:t> </w:t>
                </w:r>
                <w:r>
                  <w:rPr>
                    <w:b/>
                    <w:spacing w:val="-2"/>
                    <w:sz w:val="20"/>
                  </w:rPr>
                  <w:t>credits</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61.919998pt;width:470.88pt;height:.72pt;mso-position-horizontal-relative:page;mso-position-vertical-relative:page;z-index:-26824704" id="docshape476" filled="true" fillcolor="#000000" stroked="false">
          <v:fill type="solid"/>
          <w10:wrap type="none"/>
        </v:rect>
      </w:pict>
    </w:r>
    <w:r>
      <w:rPr/>
      <w:pict>
        <v:shape style="position:absolute;margin-left:71pt;margin-top:48.663475pt;width:43.1pt;height:13.15pt;mso-position-horizontal-relative:page;mso-position-vertical-relative:page;z-index:-26824192" type="#_x0000_t202" id="docshape477" filled="false" stroked="false">
          <v:textbox inset="0,0,0,0">
            <w:txbxContent>
              <w:p>
                <w:pPr>
                  <w:spacing w:before="12"/>
                  <w:ind w:left="20" w:right="0" w:firstLine="0"/>
                  <w:jc w:val="left"/>
                  <w:rPr>
                    <w:b/>
                    <w:sz w:val="20"/>
                  </w:rPr>
                </w:pPr>
                <w:r>
                  <w:rPr>
                    <w:b/>
                    <w:sz w:val="20"/>
                  </w:rPr>
                  <w:t>ARC</w:t>
                </w:r>
                <w:r>
                  <w:rPr>
                    <w:b/>
                    <w:spacing w:val="-6"/>
                    <w:sz w:val="20"/>
                  </w:rPr>
                  <w:t> </w:t>
                </w:r>
                <w:r>
                  <w:rPr>
                    <w:b/>
                    <w:spacing w:val="-5"/>
                    <w:sz w:val="20"/>
                  </w:rPr>
                  <w:t>602</w:t>
                </w:r>
              </w:p>
            </w:txbxContent>
          </v:textbox>
          <w10:wrap type="none"/>
        </v:shape>
      </w:pict>
    </w:r>
    <w:r>
      <w:rPr/>
      <w:pict>
        <v:shape style="position:absolute;margin-left:226.16684pt;margin-top:48.663475pt;width:159.8pt;height:13.15pt;mso-position-horizontal-relative:page;mso-position-vertical-relative:page;z-index:-26823680" type="#_x0000_t202" id="docshape478" filled="false" stroked="false">
          <v:textbox inset="0,0,0,0">
            <w:txbxContent>
              <w:p>
                <w:pPr>
                  <w:spacing w:before="12"/>
                  <w:ind w:left="20" w:right="0" w:firstLine="0"/>
                  <w:jc w:val="left"/>
                  <w:rPr>
                    <w:b/>
                    <w:sz w:val="20"/>
                  </w:rPr>
                </w:pPr>
                <w:r>
                  <w:rPr>
                    <w:b/>
                    <w:sz w:val="20"/>
                  </w:rPr>
                  <w:t>Thesis</w:t>
                </w:r>
                <w:r>
                  <w:rPr>
                    <w:b/>
                    <w:spacing w:val="-9"/>
                    <w:sz w:val="20"/>
                  </w:rPr>
                  <w:t> </w:t>
                </w:r>
                <w:r>
                  <w:rPr>
                    <w:b/>
                    <w:sz w:val="20"/>
                  </w:rPr>
                  <w:t>Design</w:t>
                </w:r>
                <w:r>
                  <w:rPr>
                    <w:b/>
                    <w:spacing w:val="-8"/>
                    <w:sz w:val="20"/>
                  </w:rPr>
                  <w:t> </w:t>
                </w:r>
                <w:r>
                  <w:rPr>
                    <w:b/>
                    <w:sz w:val="20"/>
                  </w:rPr>
                  <w:t>Research</w:t>
                </w:r>
                <w:r>
                  <w:rPr>
                    <w:b/>
                    <w:spacing w:val="-7"/>
                    <w:sz w:val="20"/>
                  </w:rPr>
                  <w:t> </w:t>
                </w:r>
                <w:r>
                  <w:rPr>
                    <w:b/>
                    <w:sz w:val="20"/>
                  </w:rPr>
                  <w:t>Studio</w:t>
                </w:r>
                <w:r>
                  <w:rPr>
                    <w:b/>
                    <w:spacing w:val="-8"/>
                    <w:sz w:val="20"/>
                  </w:rPr>
                  <w:t> </w:t>
                </w:r>
                <w:r>
                  <w:rPr>
                    <w:b/>
                    <w:spacing w:val="-5"/>
                    <w:sz w:val="20"/>
                  </w:rPr>
                  <w:t>II</w:t>
                </w:r>
              </w:p>
            </w:txbxContent>
          </v:textbox>
          <w10:wrap type="none"/>
        </v:shape>
      </w:pict>
    </w:r>
    <w:r>
      <w:rPr/>
      <w:pict>
        <v:shape style="position:absolute;margin-left:495.086853pt;margin-top:48.663475pt;width:45.8pt;height:13.15pt;mso-position-horizontal-relative:page;mso-position-vertical-relative:page;z-index:-26823168" type="#_x0000_t202" id="docshape479" filled="false" stroked="false">
          <v:textbox inset="0,0,0,0">
            <w:txbxContent>
              <w:p>
                <w:pPr>
                  <w:spacing w:before="12"/>
                  <w:ind w:left="20" w:right="0" w:firstLine="0"/>
                  <w:jc w:val="left"/>
                  <w:rPr>
                    <w:b/>
                    <w:sz w:val="20"/>
                  </w:rPr>
                </w:pPr>
                <w:r>
                  <w:rPr>
                    <w:b/>
                    <w:sz w:val="20"/>
                  </w:rPr>
                  <w:t>6</w:t>
                </w:r>
                <w:r>
                  <w:rPr>
                    <w:b/>
                    <w:spacing w:val="-3"/>
                    <w:sz w:val="20"/>
                  </w:rPr>
                  <w:t> </w:t>
                </w:r>
                <w:r>
                  <w:rPr>
                    <w:b/>
                    <w:spacing w:val="-2"/>
                    <w:sz w:val="20"/>
                  </w:rPr>
                  <w:t>credits.</w:t>
                </w:r>
              </w:p>
            </w:txbxContent>
          </v:textbox>
          <w10:wrap type="non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61.919998pt;width:470.88pt;height:.72pt;mso-position-horizontal-relative:page;mso-position-vertical-relative:page;z-index:-26821120" id="docshape483" filled="true" fillcolor="#000000" stroked="false">
          <v:fill type="solid"/>
          <w10:wrap type="none"/>
        </v:rect>
      </w:pict>
    </w:r>
    <w:r>
      <w:rPr/>
      <w:pict>
        <v:shape style="position:absolute;margin-left:71pt;margin-top:48.663475pt;width:43.1pt;height:13.15pt;mso-position-horizontal-relative:page;mso-position-vertical-relative:page;z-index:-26820608" type="#_x0000_t202" id="docshape484" filled="false" stroked="false">
          <v:textbox inset="0,0,0,0">
            <w:txbxContent>
              <w:p>
                <w:pPr>
                  <w:spacing w:before="12"/>
                  <w:ind w:left="20" w:right="0" w:firstLine="0"/>
                  <w:jc w:val="left"/>
                  <w:rPr>
                    <w:b/>
                    <w:sz w:val="20"/>
                  </w:rPr>
                </w:pPr>
                <w:r>
                  <w:rPr>
                    <w:b/>
                    <w:sz w:val="20"/>
                  </w:rPr>
                  <w:t>ARC</w:t>
                </w:r>
                <w:r>
                  <w:rPr>
                    <w:b/>
                    <w:spacing w:val="-6"/>
                    <w:sz w:val="20"/>
                  </w:rPr>
                  <w:t> </w:t>
                </w:r>
                <w:r>
                  <w:rPr>
                    <w:b/>
                    <w:spacing w:val="-5"/>
                    <w:sz w:val="20"/>
                  </w:rPr>
                  <w:t>617</w:t>
                </w:r>
              </w:p>
            </w:txbxContent>
          </v:textbox>
          <w10:wrap type="none"/>
        </v:shape>
      </w:pict>
    </w:r>
    <w:r>
      <w:rPr/>
      <w:pict>
        <v:shape style="position:absolute;margin-left:242.481323pt;margin-top:48.663475pt;width:127.1pt;height:13.15pt;mso-position-horizontal-relative:page;mso-position-vertical-relative:page;z-index:-26820096" type="#_x0000_t202" id="docshape485" filled="false" stroked="false">
          <v:textbox inset="0,0,0,0">
            <w:txbxContent>
              <w:p>
                <w:pPr>
                  <w:spacing w:before="12"/>
                  <w:ind w:left="20" w:right="0" w:firstLine="0"/>
                  <w:jc w:val="left"/>
                  <w:rPr>
                    <w:b/>
                    <w:sz w:val="20"/>
                  </w:rPr>
                </w:pPr>
                <w:r>
                  <w:rPr>
                    <w:b/>
                    <w:sz w:val="20"/>
                  </w:rPr>
                  <w:t>Community</w:t>
                </w:r>
                <w:r>
                  <w:rPr>
                    <w:b/>
                    <w:spacing w:val="-11"/>
                    <w:sz w:val="20"/>
                  </w:rPr>
                  <w:t> </w:t>
                </w:r>
                <w:r>
                  <w:rPr>
                    <w:b/>
                    <w:sz w:val="20"/>
                  </w:rPr>
                  <w:t>Design</w:t>
                </w:r>
                <w:r>
                  <w:rPr>
                    <w:b/>
                    <w:spacing w:val="-9"/>
                    <w:sz w:val="20"/>
                  </w:rPr>
                  <w:t> </w:t>
                </w:r>
                <w:r>
                  <w:rPr>
                    <w:b/>
                    <w:spacing w:val="-2"/>
                    <w:sz w:val="20"/>
                  </w:rPr>
                  <w:t>Issues</w:t>
                </w:r>
              </w:p>
            </w:txbxContent>
          </v:textbox>
          <w10:wrap type="none"/>
        </v:shape>
      </w:pict>
    </w:r>
    <w:r>
      <w:rPr/>
      <w:pict>
        <v:shape style="position:absolute;margin-left:495.076874pt;margin-top:48.663475pt;width:45.8pt;height:13.15pt;mso-position-horizontal-relative:page;mso-position-vertical-relative:page;z-index:-26819584" type="#_x0000_t202" id="docshape486" filled="false" stroked="false">
          <v:textbox inset="0,0,0,0">
            <w:txbxContent>
              <w:p>
                <w:pPr>
                  <w:spacing w:before="12"/>
                  <w:ind w:left="20" w:right="0" w:firstLine="0"/>
                  <w:jc w:val="left"/>
                  <w:rPr>
                    <w:b/>
                    <w:sz w:val="20"/>
                  </w:rPr>
                </w:pPr>
                <w:r>
                  <w:rPr>
                    <w:b/>
                    <w:sz w:val="20"/>
                  </w:rPr>
                  <w:t>3</w:t>
                </w:r>
                <w:r>
                  <w:rPr>
                    <w:b/>
                    <w:spacing w:val="-3"/>
                    <w:sz w:val="20"/>
                  </w:rPr>
                  <w:t> </w:t>
                </w:r>
                <w:r>
                  <w:rPr>
                    <w:b/>
                    <w:spacing w:val="-2"/>
                    <w:sz w:val="20"/>
                  </w:rPr>
                  <w:t>credits.</w:t>
                </w:r>
              </w:p>
            </w:txbxContent>
          </v:textbox>
          <w10:wrap type="none"/>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61.919998pt;width:470.88pt;height:.72pt;mso-position-horizontal-relative:page;mso-position-vertical-relative:page;z-index:-26817536" id="docshape490" filled="true" fillcolor="#000000" stroked="false">
          <v:fill type="solid"/>
          <w10:wrap type="none"/>
        </v:rect>
      </w:pict>
    </w:r>
    <w:r>
      <w:rPr/>
      <w:pict>
        <v:shape style="position:absolute;margin-left:71pt;margin-top:48.663475pt;width:43.1pt;height:13.15pt;mso-position-horizontal-relative:page;mso-position-vertical-relative:page;z-index:-26817024" type="#_x0000_t202" id="docshape491" filled="false" stroked="false">
          <v:textbox inset="0,0,0,0">
            <w:txbxContent>
              <w:p>
                <w:pPr>
                  <w:spacing w:before="12"/>
                  <w:ind w:left="20" w:right="0" w:firstLine="0"/>
                  <w:jc w:val="left"/>
                  <w:rPr>
                    <w:b/>
                    <w:sz w:val="20"/>
                  </w:rPr>
                </w:pPr>
                <w:r>
                  <w:rPr>
                    <w:b/>
                    <w:sz w:val="20"/>
                  </w:rPr>
                  <w:t>ARC</w:t>
                </w:r>
                <w:r>
                  <w:rPr>
                    <w:b/>
                    <w:spacing w:val="-6"/>
                    <w:sz w:val="20"/>
                  </w:rPr>
                  <w:t> </w:t>
                </w:r>
                <w:r>
                  <w:rPr>
                    <w:b/>
                    <w:spacing w:val="-5"/>
                    <w:sz w:val="20"/>
                  </w:rPr>
                  <w:t>618</w:t>
                </w:r>
              </w:p>
            </w:txbxContent>
          </v:textbox>
          <w10:wrap type="none"/>
        </v:shape>
      </w:pict>
    </w:r>
    <w:r>
      <w:rPr/>
      <w:pict>
        <v:shape style="position:absolute;margin-left:213.447922pt;margin-top:48.663475pt;width:185.3pt;height:13.15pt;mso-position-horizontal-relative:page;mso-position-vertical-relative:page;z-index:-26816512" type="#_x0000_t202" id="docshape492" filled="false" stroked="false">
          <v:textbox inset="0,0,0,0">
            <w:txbxContent>
              <w:p>
                <w:pPr>
                  <w:spacing w:before="12"/>
                  <w:ind w:left="20" w:right="0" w:firstLine="0"/>
                  <w:jc w:val="left"/>
                  <w:rPr>
                    <w:b/>
                    <w:sz w:val="20"/>
                  </w:rPr>
                </w:pPr>
                <w:r>
                  <w:rPr>
                    <w:b/>
                    <w:sz w:val="20"/>
                  </w:rPr>
                  <w:t>Advanced</w:t>
                </w:r>
                <w:r>
                  <w:rPr>
                    <w:b/>
                    <w:spacing w:val="-11"/>
                    <w:sz w:val="20"/>
                  </w:rPr>
                  <w:t> </w:t>
                </w:r>
                <w:r>
                  <w:rPr>
                    <w:b/>
                    <w:sz w:val="20"/>
                  </w:rPr>
                  <w:t>Building</w:t>
                </w:r>
                <w:r>
                  <w:rPr>
                    <w:b/>
                    <w:spacing w:val="-12"/>
                    <w:sz w:val="20"/>
                  </w:rPr>
                  <w:t> </w:t>
                </w:r>
                <w:r>
                  <w:rPr>
                    <w:b/>
                    <w:sz w:val="20"/>
                  </w:rPr>
                  <w:t>Technology</w:t>
                </w:r>
                <w:r>
                  <w:rPr>
                    <w:b/>
                    <w:spacing w:val="-12"/>
                    <w:sz w:val="20"/>
                  </w:rPr>
                  <w:t> </w:t>
                </w:r>
                <w:r>
                  <w:rPr>
                    <w:b/>
                    <w:spacing w:val="-2"/>
                    <w:sz w:val="20"/>
                  </w:rPr>
                  <w:t>Issues</w:t>
                </w:r>
              </w:p>
            </w:txbxContent>
          </v:textbox>
          <w10:wrap type="none"/>
        </v:shape>
      </w:pict>
    </w:r>
    <w:r>
      <w:rPr/>
      <w:pict>
        <v:shape style="position:absolute;margin-left:497.845764pt;margin-top:48.663475pt;width:43.05pt;height:13.15pt;mso-position-horizontal-relative:page;mso-position-vertical-relative:page;z-index:-26816000" type="#_x0000_t202" id="docshape493" filled="false" stroked="false">
          <v:textbox inset="0,0,0,0">
            <w:txbxContent>
              <w:p>
                <w:pPr>
                  <w:spacing w:before="12"/>
                  <w:ind w:left="20" w:right="0" w:firstLine="0"/>
                  <w:jc w:val="left"/>
                  <w:rPr>
                    <w:b/>
                    <w:sz w:val="20"/>
                  </w:rPr>
                </w:pPr>
                <w:r>
                  <w:rPr>
                    <w:b/>
                    <w:sz w:val="20"/>
                  </w:rPr>
                  <w:t>3</w:t>
                </w:r>
                <w:r>
                  <w:rPr>
                    <w:b/>
                    <w:spacing w:val="-3"/>
                    <w:sz w:val="20"/>
                  </w:rPr>
                  <w:t> </w:t>
                </w:r>
                <w:r>
                  <w:rPr>
                    <w:b/>
                    <w:spacing w:val="-2"/>
                    <w:sz w:val="20"/>
                  </w:rPr>
                  <w:t>credits</w:t>
                </w:r>
              </w:p>
            </w:txbxContent>
          </v:textbox>
          <w10:wrap type="none"/>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72.166260pt;width:454.85pt;height:14.35pt;mso-position-horizontal-relative:page;mso-position-vertical-relative:page;z-index:-26765824" type="#_x0000_t202" id="docshape599" filled="false" stroked="false">
          <v:textbox inset="0,0,0,0">
            <w:txbxContent>
              <w:p>
                <w:pPr>
                  <w:spacing w:before="13"/>
                  <w:ind w:left="20" w:right="0" w:firstLine="0"/>
                  <w:jc w:val="left"/>
                  <w:rPr>
                    <w:sz w:val="22"/>
                  </w:rPr>
                </w:pPr>
                <w:r>
                  <w:rPr>
                    <w:sz w:val="22"/>
                  </w:rPr>
                  <w:t>If</w:t>
                </w:r>
                <w:r>
                  <w:rPr>
                    <w:spacing w:val="7"/>
                    <w:sz w:val="22"/>
                  </w:rPr>
                  <w:t> </w:t>
                </w:r>
                <w:r>
                  <w:rPr>
                    <w:sz w:val="22"/>
                  </w:rPr>
                  <w:t>a</w:t>
                </w:r>
                <w:r>
                  <w:rPr>
                    <w:spacing w:val="4"/>
                    <w:sz w:val="22"/>
                  </w:rPr>
                  <w:t> </w:t>
                </w:r>
                <w:r>
                  <w:rPr>
                    <w:spacing w:val="13"/>
                    <w:sz w:val="22"/>
                  </w:rPr>
                  <w:t>student</w:t>
                </w:r>
                <w:r>
                  <w:rPr>
                    <w:spacing w:val="12"/>
                    <w:sz w:val="22"/>
                  </w:rPr>
                  <w:t> </w:t>
                </w:r>
                <w:r>
                  <w:rPr>
                    <w:spacing w:val="10"/>
                    <w:sz w:val="22"/>
                  </w:rPr>
                  <w:t>believes</w:t>
                </w:r>
                <w:r>
                  <w:rPr>
                    <w:spacing w:val="1"/>
                    <w:sz w:val="22"/>
                  </w:rPr>
                  <w:t> </w:t>
                </w:r>
                <w:r>
                  <w:rPr>
                    <w:spacing w:val="13"/>
                    <w:sz w:val="22"/>
                  </w:rPr>
                  <w:t>that</w:t>
                </w:r>
                <w:r>
                  <w:rPr>
                    <w:spacing w:val="5"/>
                    <w:sz w:val="22"/>
                  </w:rPr>
                  <w:t> </w:t>
                </w:r>
                <w:r>
                  <w:rPr>
                    <w:sz w:val="22"/>
                  </w:rPr>
                  <w:t>he</w:t>
                </w:r>
                <w:r>
                  <w:rPr>
                    <w:spacing w:val="13"/>
                    <w:sz w:val="22"/>
                  </w:rPr>
                  <w:t> </w:t>
                </w:r>
                <w:r>
                  <w:rPr>
                    <w:sz w:val="22"/>
                  </w:rPr>
                  <w:t>or</w:t>
                </w:r>
                <w:r>
                  <w:rPr>
                    <w:spacing w:val="-6"/>
                    <w:sz w:val="22"/>
                  </w:rPr>
                  <w:t> </w:t>
                </w:r>
                <w:r>
                  <w:rPr>
                    <w:sz w:val="22"/>
                  </w:rPr>
                  <w:t>she</w:t>
                </w:r>
                <w:r>
                  <w:rPr>
                    <w:spacing w:val="8"/>
                    <w:sz w:val="22"/>
                  </w:rPr>
                  <w:t> </w:t>
                </w:r>
                <w:r>
                  <w:rPr>
                    <w:spacing w:val="10"/>
                    <w:sz w:val="22"/>
                  </w:rPr>
                  <w:t>has</w:t>
                </w:r>
                <w:r>
                  <w:rPr>
                    <w:spacing w:val="7"/>
                    <w:sz w:val="22"/>
                  </w:rPr>
                  <w:t> </w:t>
                </w:r>
                <w:r>
                  <w:rPr>
                    <w:spacing w:val="12"/>
                    <w:sz w:val="22"/>
                  </w:rPr>
                  <w:t>been</w:t>
                </w:r>
                <w:r>
                  <w:rPr>
                    <w:spacing w:val="9"/>
                    <w:sz w:val="22"/>
                  </w:rPr>
                  <w:t> </w:t>
                </w:r>
                <w:r>
                  <w:rPr>
                    <w:spacing w:val="11"/>
                    <w:sz w:val="22"/>
                  </w:rPr>
                  <w:t>mistreated</w:t>
                </w:r>
                <w:r>
                  <w:rPr>
                    <w:spacing w:val="20"/>
                    <w:sz w:val="22"/>
                  </w:rPr>
                  <w:t> </w:t>
                </w:r>
                <w:r>
                  <w:rPr>
                    <w:sz w:val="22"/>
                  </w:rPr>
                  <w:t>as</w:t>
                </w:r>
                <w:r>
                  <w:rPr>
                    <w:spacing w:val="6"/>
                    <w:sz w:val="22"/>
                  </w:rPr>
                  <w:t> </w:t>
                </w:r>
                <w:r>
                  <w:rPr>
                    <w:sz w:val="22"/>
                  </w:rPr>
                  <w:t>a</w:t>
                </w:r>
                <w:r>
                  <w:rPr>
                    <w:spacing w:val="7"/>
                    <w:sz w:val="22"/>
                  </w:rPr>
                  <w:t> </w:t>
                </w:r>
                <w:r>
                  <w:rPr>
                    <w:sz w:val="22"/>
                  </w:rPr>
                  <w:t>result</w:t>
                </w:r>
                <w:r>
                  <w:rPr>
                    <w:spacing w:val="7"/>
                    <w:sz w:val="22"/>
                  </w:rPr>
                  <w:t> </w:t>
                </w:r>
                <w:r>
                  <w:rPr>
                    <w:sz w:val="22"/>
                  </w:rPr>
                  <w:t>of</w:t>
                </w:r>
                <w:r>
                  <w:rPr>
                    <w:spacing w:val="10"/>
                    <w:sz w:val="22"/>
                  </w:rPr>
                  <w:t> an</w:t>
                </w:r>
                <w:r>
                  <w:rPr>
                    <w:spacing w:val="12"/>
                    <w:sz w:val="22"/>
                  </w:rPr>
                  <w:t> </w:t>
                </w:r>
                <w:r>
                  <w:rPr>
                    <w:sz w:val="22"/>
                  </w:rPr>
                  <w:t>a</w:t>
                </w:r>
                <w:r>
                  <w:rPr>
                    <w:spacing w:val="-31"/>
                    <w:sz w:val="22"/>
                  </w:rPr>
                  <w:t> </w:t>
                </w:r>
                <w:r>
                  <w:rPr>
                    <w:spacing w:val="11"/>
                    <w:sz w:val="22"/>
                  </w:rPr>
                  <w:t>ction</w:t>
                </w:r>
                <w:r>
                  <w:rPr>
                    <w:spacing w:val="4"/>
                    <w:sz w:val="22"/>
                  </w:rPr>
                  <w:t> </w:t>
                </w:r>
                <w:r>
                  <w:rPr>
                    <w:spacing w:val="10"/>
                    <w:sz w:val="22"/>
                  </w:rPr>
                  <w:t>taken</w:t>
                </w:r>
              </w:p>
            </w:txbxContent>
          </v:textbox>
          <w10:wrap type="none"/>
        </v:shape>
      </w:pic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319229pt;margin-top:72.166260pt;width:266.3pt;height:14.35pt;mso-position-horizontal-relative:page;mso-position-vertical-relative:page;z-index:-26764288" type="#_x0000_t202" id="docshape602" filled="false" stroked="false">
          <v:textbox inset="0,0,0,0">
            <w:txbxContent>
              <w:p>
                <w:pPr>
                  <w:spacing w:before="13"/>
                  <w:ind w:left="20" w:right="0" w:firstLine="0"/>
                  <w:jc w:val="left"/>
                  <w:rPr>
                    <w:b/>
                    <w:sz w:val="22"/>
                  </w:rPr>
                </w:pPr>
                <w:r>
                  <w:rPr>
                    <w:b/>
                    <w:w w:val="95"/>
                    <w:sz w:val="22"/>
                  </w:rPr>
                  <w:t>CONDITIONS</w:t>
                </w:r>
                <w:r>
                  <w:rPr>
                    <w:b/>
                    <w:spacing w:val="31"/>
                    <w:sz w:val="22"/>
                  </w:rPr>
                  <w:t> </w:t>
                </w:r>
                <w:r>
                  <w:rPr>
                    <w:b/>
                    <w:w w:val="95"/>
                    <w:sz w:val="22"/>
                  </w:rPr>
                  <w:t>impacting</w:t>
                </w:r>
                <w:r>
                  <w:rPr>
                    <w:b/>
                    <w:spacing w:val="53"/>
                    <w:sz w:val="22"/>
                  </w:rPr>
                  <w:t> </w:t>
                </w:r>
                <w:r>
                  <w:rPr>
                    <w:b/>
                    <w:spacing w:val="9"/>
                    <w:w w:val="95"/>
                    <w:sz w:val="22"/>
                  </w:rPr>
                  <w:t>grade</w:t>
                </w:r>
                <w:r>
                  <w:rPr>
                    <w:b/>
                    <w:spacing w:val="63"/>
                    <w:sz w:val="22"/>
                  </w:rPr>
                  <w:t> </w:t>
                </w:r>
                <w:r>
                  <w:rPr>
                    <w:b/>
                    <w:spacing w:val="11"/>
                    <w:w w:val="95"/>
                    <w:sz w:val="22"/>
                  </w:rPr>
                  <w:t>appeal</w:t>
                </w:r>
                <w:r>
                  <w:rPr>
                    <w:b/>
                    <w:spacing w:val="40"/>
                    <w:sz w:val="22"/>
                  </w:rPr>
                  <w:t> </w:t>
                </w:r>
                <w:r>
                  <w:rPr>
                    <w:b/>
                    <w:spacing w:val="-2"/>
                    <w:w w:val="95"/>
                    <w:sz w:val="22"/>
                  </w:rPr>
                  <w:t>procedure:</w:t>
                </w:r>
              </w:p>
            </w:txbxContent>
          </v:textbox>
          <w10:wrap type="none"/>
        </v:shape>
      </w:pic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57632" from="65.524673pt,66.442566pt" to="539.614957pt,66.442566pt" stroked="true" strokeweight=".481434pt" strokecolor="#000000">
          <v:stroke dashstyle="solid"/>
          <w10:wrap type="none"/>
        </v:line>
      </w:pict>
    </w:r>
    <w:r>
      <w:rPr/>
      <w:pict>
        <v:shape style="position:absolute;margin-left:440.478394pt;margin-top:29.883924pt;width:97.8pt;height:36.8pt;mso-position-horizontal-relative:page;mso-position-vertical-relative:page;z-index:-26757120" type="#_x0000_t202" id="docshape616" filled="false" stroked="false">
          <v:textbox inset="0,0,0,0">
            <w:txbxContent>
              <w:p>
                <w:pPr>
                  <w:pStyle w:val="BodyText"/>
                  <w:spacing w:line="247" w:lineRule="auto" w:before="14"/>
                  <w:ind w:left="35" w:right="18" w:hanging="16"/>
                  <w:jc w:val="right"/>
                </w:pPr>
                <w:r>
                  <w:rPr>
                    <w:w w:val="110"/>
                  </w:rPr>
                  <w:t>Hampton</w:t>
                </w:r>
                <w:r>
                  <w:rPr>
                    <w:spacing w:val="-16"/>
                    <w:w w:val="110"/>
                  </w:rPr>
                  <w:t> </w:t>
                </w:r>
                <w:r>
                  <w:rPr>
                    <w:w w:val="110"/>
                  </w:rPr>
                  <w:t>University </w:t>
                </w:r>
                <w:r>
                  <w:rPr/>
                  <w:t>Visiting</w:t>
                </w:r>
                <w:r>
                  <w:rPr>
                    <w:spacing w:val="-2"/>
                  </w:rPr>
                  <w:t> </w:t>
                </w:r>
                <w:r>
                  <w:rPr/>
                  <w:t>Team</w:t>
                </w:r>
                <w:r>
                  <w:rPr>
                    <w:spacing w:val="-4"/>
                  </w:rPr>
                  <w:t> </w:t>
                </w:r>
                <w:r>
                  <w:rPr/>
                  <w:t>Report </w:t>
                </w:r>
                <w:r>
                  <w:rPr>
                    <w:w w:val="110"/>
                  </w:rPr>
                  <w:t>21-25 March</w:t>
                </w:r>
                <w:r>
                  <w:rPr>
                    <w:spacing w:val="-9"/>
                    <w:w w:val="110"/>
                  </w:rPr>
                  <w:t> </w:t>
                </w:r>
                <w:r>
                  <w:rPr>
                    <w:w w:val="110"/>
                  </w:rPr>
                  <w:t>2009</w:t>
                </w:r>
              </w:p>
            </w:txbxContent>
          </v:textbox>
          <w10:wrap type="none"/>
        </v:shape>
      </w:pic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56096" from="65.524673pt,71.256905pt" to="537.687761pt,71.256905pt" stroked="true" strokeweight=".962868pt" strokecolor="#000000">
          <v:stroke dashstyle="solid"/>
          <w10:wrap type="none"/>
        </v:line>
      </w:pict>
    </w:r>
    <w:r>
      <w:rPr/>
      <w:pict>
        <v:shape style="position:absolute;margin-left:439.955994pt;margin-top:34.725735pt;width:97.5pt;height:37.15pt;mso-position-horizontal-relative:page;mso-position-vertical-relative:page;z-index:-26755584" type="#_x0000_t202" id="docshape618" filled="false" stroked="false">
          <v:textbox inset="0,0,0,0">
            <w:txbxContent>
              <w:p>
                <w:pPr>
                  <w:spacing w:line="256" w:lineRule="auto" w:before="13"/>
                  <w:ind w:left="45" w:right="18" w:hanging="26"/>
                  <w:jc w:val="right"/>
                  <w:rPr>
                    <w:sz w:val="19"/>
                  </w:rPr>
                </w:pPr>
                <w:r>
                  <w:rPr>
                    <w:spacing w:val="-2"/>
                    <w:w w:val="105"/>
                    <w:sz w:val="21"/>
                  </w:rPr>
                  <w:t>Hampton</w:t>
                </w:r>
                <w:r>
                  <w:rPr>
                    <w:spacing w:val="-14"/>
                    <w:w w:val="105"/>
                    <w:sz w:val="21"/>
                  </w:rPr>
                  <w:t> </w:t>
                </w:r>
                <w:r>
                  <w:rPr>
                    <w:spacing w:val="-2"/>
                    <w:w w:val="105"/>
                    <w:sz w:val="21"/>
                  </w:rPr>
                  <w:t>University </w:t>
                </w:r>
                <w:r>
                  <w:rPr>
                    <w:w w:val="105"/>
                    <w:sz w:val="19"/>
                  </w:rPr>
                  <w:t>Visiting</w:t>
                </w:r>
                <w:r>
                  <w:rPr>
                    <w:spacing w:val="-4"/>
                    <w:w w:val="105"/>
                    <w:sz w:val="19"/>
                  </w:rPr>
                  <w:t> </w:t>
                </w:r>
                <w:r>
                  <w:rPr>
                    <w:w w:val="105"/>
                    <w:sz w:val="19"/>
                  </w:rPr>
                  <w:t>Team</w:t>
                </w:r>
                <w:r>
                  <w:rPr>
                    <w:spacing w:val="-13"/>
                    <w:w w:val="105"/>
                    <w:sz w:val="19"/>
                  </w:rPr>
                  <w:t> </w:t>
                </w:r>
                <w:r>
                  <w:rPr>
                    <w:w w:val="105"/>
                    <w:sz w:val="19"/>
                  </w:rPr>
                  <w:t>Report 21-25 March 2009</w:t>
                </w:r>
              </w:p>
            </w:txbxContent>
          </v:textbox>
          <w10:wrap type="none"/>
        </v:shape>
      </w:pic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54560" from="67.451866pt,64.99826pt" to="537.687757pt,64.99826pt" stroked="true" strokeweight=".481434pt" strokecolor="#000000">
          <v:stroke dashstyle="solid"/>
          <w10:wrap type="none"/>
        </v:line>
      </w:pict>
    </w:r>
    <w:r>
      <w:rPr/>
      <w:pict>
        <v:shape style="position:absolute;margin-left:438.069397pt;margin-top:26.995325pt;width:97.35pt;height:36.35pt;mso-position-horizontal-relative:page;mso-position-vertical-relative:page;z-index:-26754048" type="#_x0000_t202" id="docshape620" filled="false" stroked="false">
          <v:textbox inset="0,0,0,0">
            <w:txbxContent>
              <w:p>
                <w:pPr>
                  <w:pStyle w:val="BodyText"/>
                  <w:spacing w:before="14"/>
                  <w:ind w:left="45" w:right="18" w:hanging="26"/>
                  <w:jc w:val="right"/>
                </w:pPr>
                <w:r>
                  <w:rPr>
                    <w:w w:val="105"/>
                  </w:rPr>
                  <w:t>Hampton University </w:t>
                </w:r>
                <w:r>
                  <w:rPr/>
                  <w:t>Visiting</w:t>
                </w:r>
                <w:r>
                  <w:rPr>
                    <w:spacing w:val="-10"/>
                  </w:rPr>
                  <w:t> </w:t>
                </w:r>
                <w:r>
                  <w:rPr/>
                  <w:t>Team</w:t>
                </w:r>
                <w:r>
                  <w:rPr>
                    <w:spacing w:val="-14"/>
                  </w:rPr>
                  <w:t> </w:t>
                </w:r>
                <w:r>
                  <w:rPr/>
                  <w:t>Report </w:t>
                </w:r>
                <w:r>
                  <w:rPr>
                    <w:w w:val="105"/>
                  </w:rPr>
                  <w:t>21-25 March 2009</w:t>
                </w:r>
              </w:p>
            </w:txbxContent>
          </v:textbox>
          <w10:wrap type="none"/>
        </v:shape>
      </w:pic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53536" from="63.597477pt,67.405434pt" to="536.242363pt,67.405434pt" stroked="true" strokeweight=".962868pt" strokecolor="#000000">
          <v:stroke dashstyle="solid"/>
          <w10:wrap type="none"/>
        </v:line>
      </w:pict>
    </w:r>
    <w:r>
      <w:rPr/>
      <w:pict>
        <v:shape style="position:absolute;margin-left:438.551208pt;margin-top:30.846825pt;width:97.35pt;height:36.8pt;mso-position-horizontal-relative:page;mso-position-vertical-relative:page;z-index:-26753024" type="#_x0000_t202" id="docshape622" filled="false" stroked="false">
          <v:textbox inset="0,0,0,0">
            <w:txbxContent>
              <w:p>
                <w:pPr>
                  <w:pStyle w:val="BodyText"/>
                  <w:spacing w:line="247" w:lineRule="auto" w:before="14"/>
                  <w:ind w:left="35" w:right="18" w:hanging="16"/>
                  <w:jc w:val="right"/>
                </w:pPr>
                <w:r>
                  <w:rPr>
                    <w:w w:val="105"/>
                  </w:rPr>
                  <w:t>Hampton University </w:t>
                </w:r>
                <w:r>
                  <w:rPr/>
                  <w:t>Visiting</w:t>
                </w:r>
                <w:r>
                  <w:rPr>
                    <w:spacing w:val="-4"/>
                  </w:rPr>
                  <w:t> </w:t>
                </w:r>
                <w:r>
                  <w:rPr/>
                  <w:t>Team</w:t>
                </w:r>
                <w:r>
                  <w:rPr>
                    <w:spacing w:val="-10"/>
                  </w:rPr>
                  <w:t> </w:t>
                </w:r>
                <w:r>
                  <w:rPr/>
                  <w:t>Report </w:t>
                </w:r>
                <w:r>
                  <w:rPr>
                    <w:w w:val="105"/>
                  </w:rPr>
                  <w:t>21-25 March 2009</w:t>
                </w:r>
              </w:p>
            </w:txbxContent>
          </v:textbox>
          <w10:wrap type="none"/>
        </v:shape>
      </w:pic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52512" from="65.524673pt,63.072525pt" to="535.760564pt,63.072525pt" stroked="true" strokeweight=".962868pt" strokecolor="#000000">
          <v:stroke dashstyle="solid"/>
          <w10:wrap type="none"/>
        </v:line>
      </w:pict>
    </w:r>
    <w:r>
      <w:rPr/>
      <w:pict>
        <v:shape style="position:absolute;margin-left:438.069397pt;margin-top:26.995325pt;width:97.35pt;height:36.35pt;mso-position-horizontal-relative:page;mso-position-vertical-relative:page;z-index:-26752000" type="#_x0000_t202" id="docshape624" filled="false" stroked="false">
          <v:textbox inset="0,0,0,0">
            <w:txbxContent>
              <w:p>
                <w:pPr>
                  <w:pStyle w:val="BodyText"/>
                  <w:spacing w:before="14"/>
                  <w:ind w:left="45" w:right="18" w:hanging="26"/>
                  <w:jc w:val="right"/>
                </w:pPr>
                <w:r>
                  <w:rPr>
                    <w:w w:val="105"/>
                  </w:rPr>
                  <w:t>Hampton University </w:t>
                </w:r>
                <w:r>
                  <w:rPr/>
                  <w:t>Visiting</w:t>
                </w:r>
                <w:r>
                  <w:rPr>
                    <w:spacing w:val="-10"/>
                  </w:rPr>
                  <w:t> </w:t>
                </w:r>
                <w:r>
                  <w:rPr/>
                  <w:t>Team</w:t>
                </w:r>
                <w:r>
                  <w:rPr>
                    <w:spacing w:val="-14"/>
                  </w:rPr>
                  <w:t> </w:t>
                </w:r>
                <w:r>
                  <w:rPr/>
                  <w:t>Report </w:t>
                </w:r>
                <w:r>
                  <w:rPr>
                    <w:w w:val="105"/>
                  </w:rPr>
                  <w:t>21-25 March 2009</w:t>
                </w:r>
              </w:p>
            </w:txbxContent>
          </v:textbox>
          <w10:wrap type="none"/>
        </v:shape>
      </w:pic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51488" from="65.524673pt,67.886864pt" to="537.687761pt,67.886864pt" stroked="true" strokeweight=".481434pt" strokecolor="#000000">
          <v:stroke dashstyle="solid"/>
          <w10:wrap type="none"/>
        </v:line>
      </w:pict>
    </w:r>
    <w:r>
      <w:rPr/>
      <w:pict>
        <v:shape style="position:absolute;margin-left:440.437805pt;margin-top:26.541336pt;width:97.3pt;height:37.15pt;mso-position-horizontal-relative:page;mso-position-vertical-relative:page;z-index:-26750976" type="#_x0000_t202" id="docshape626" filled="false" stroked="false">
          <v:textbox inset="0,0,0,0">
            <w:txbxContent>
              <w:p>
                <w:pPr>
                  <w:spacing w:line="256" w:lineRule="auto" w:before="13"/>
                  <w:ind w:left="45" w:right="18" w:hanging="26"/>
                  <w:jc w:val="right"/>
                  <w:rPr>
                    <w:sz w:val="19"/>
                  </w:rPr>
                </w:pPr>
                <w:r>
                  <w:rPr>
                    <w:spacing w:val="-2"/>
                    <w:w w:val="105"/>
                    <w:sz w:val="21"/>
                  </w:rPr>
                  <w:t>Hampton</w:t>
                </w:r>
                <w:r>
                  <w:rPr>
                    <w:spacing w:val="-14"/>
                    <w:w w:val="105"/>
                    <w:sz w:val="21"/>
                  </w:rPr>
                  <w:t> </w:t>
                </w:r>
                <w:r>
                  <w:rPr>
                    <w:spacing w:val="-2"/>
                    <w:w w:val="105"/>
                    <w:sz w:val="21"/>
                  </w:rPr>
                  <w:t>University </w:t>
                </w:r>
                <w:r>
                  <w:rPr>
                    <w:w w:val="105"/>
                    <w:sz w:val="19"/>
                  </w:rPr>
                  <w:t>Visiting</w:t>
                </w:r>
                <w:r>
                  <w:rPr>
                    <w:spacing w:val="-10"/>
                    <w:w w:val="105"/>
                    <w:sz w:val="19"/>
                  </w:rPr>
                  <w:t> </w:t>
                </w:r>
                <w:r>
                  <w:rPr>
                    <w:w w:val="105"/>
                    <w:sz w:val="19"/>
                  </w:rPr>
                  <w:t>Team</w:t>
                </w:r>
                <w:r>
                  <w:rPr>
                    <w:spacing w:val="-10"/>
                    <w:w w:val="105"/>
                    <w:sz w:val="19"/>
                  </w:rPr>
                  <w:t> </w:t>
                </w:r>
                <w:r>
                  <w:rPr>
                    <w:w w:val="105"/>
                    <w:sz w:val="19"/>
                  </w:rPr>
                  <w:t>Report 21-25 March 2009</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50464" from="67.451866pt,64.035393pt" to="537.687757pt,64.035393pt" stroked="true" strokeweight=".962868pt" strokecolor="#000000">
          <v:stroke dashstyle="solid"/>
          <w10:wrap type="none"/>
        </v:line>
      </w:pict>
    </w:r>
    <w:r>
      <w:rPr/>
      <w:pict>
        <v:shape style="position:absolute;margin-left:439.996613pt;margin-top:27.476725pt;width:96.85pt;height:36.8pt;mso-position-horizontal-relative:page;mso-position-vertical-relative:page;z-index:-26749952" type="#_x0000_t202" id="docshape628" filled="false" stroked="false">
          <v:textbox inset="0,0,0,0">
            <w:txbxContent>
              <w:p>
                <w:pPr>
                  <w:pStyle w:val="BodyText"/>
                  <w:spacing w:line="247" w:lineRule="auto" w:before="14"/>
                  <w:ind w:left="45" w:right="18" w:hanging="26"/>
                  <w:jc w:val="right"/>
                </w:pPr>
                <w:r>
                  <w:rPr>
                    <w:w w:val="105"/>
                  </w:rPr>
                  <w:t>Hampton University </w:t>
                </w:r>
                <w:r>
                  <w:rPr/>
                  <w:t>Visiting</w:t>
                </w:r>
                <w:r>
                  <w:rPr>
                    <w:spacing w:val="-14"/>
                  </w:rPr>
                  <w:t> </w:t>
                </w:r>
                <w:r>
                  <w:rPr/>
                  <w:t>Team</w:t>
                </w:r>
                <w:r>
                  <w:rPr>
                    <w:spacing w:val="-14"/>
                  </w:rPr>
                  <w:t> </w:t>
                </w:r>
                <w:r>
                  <w:rPr/>
                  <w:t>Report </w:t>
                </w:r>
                <w:r>
                  <w:rPr>
                    <w:w w:val="105"/>
                  </w:rPr>
                  <w:t>21-25 March 2009</w:t>
                </w:r>
              </w:p>
            </w:txbxContent>
          </v:textbox>
          <w10:wrap type="none"/>
        </v:shape>
      </w:pic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49440" from="65.524673pt,65.961128pt" to="538.651359pt,65.961128pt" stroked="true" strokeweight=".962868pt" strokecolor="#000000">
          <v:stroke dashstyle="solid"/>
          <w10:wrap type="none"/>
        </v:line>
      </w:pict>
    </w:r>
    <w:r>
      <w:rPr/>
      <w:pict>
        <v:shape style="position:absolute;margin-left:440.478394pt;margin-top:29.402426pt;width:97.35pt;height:36.8pt;mso-position-horizontal-relative:page;mso-position-vertical-relative:page;z-index:-26748928" type="#_x0000_t202" id="docshape630" filled="false" stroked="false">
          <v:textbox inset="0,0,0,0">
            <w:txbxContent>
              <w:p>
                <w:pPr>
                  <w:pStyle w:val="BodyText"/>
                  <w:spacing w:line="247" w:lineRule="auto" w:before="14"/>
                  <w:ind w:left="45" w:right="18" w:hanging="26"/>
                  <w:jc w:val="right"/>
                </w:pPr>
                <w:r>
                  <w:rPr>
                    <w:w w:val="105"/>
                  </w:rPr>
                  <w:t>Hampton University </w:t>
                </w:r>
                <w:r>
                  <w:rPr/>
                  <w:t>Visiting</w:t>
                </w:r>
                <w:r>
                  <w:rPr>
                    <w:spacing w:val="-10"/>
                  </w:rPr>
                  <w:t> </w:t>
                </w:r>
                <w:r>
                  <w:rPr/>
                  <w:t>Team</w:t>
                </w:r>
                <w:r>
                  <w:rPr>
                    <w:spacing w:val="-14"/>
                  </w:rPr>
                  <w:t> </w:t>
                </w:r>
                <w:r>
                  <w:rPr/>
                  <w:t>Report </w:t>
                </w:r>
                <w:r>
                  <w:rPr>
                    <w:w w:val="105"/>
                  </w:rPr>
                  <w:t>21-25 March 2009</w:t>
                </w:r>
              </w:p>
            </w:txbxContent>
          </v:textbox>
          <w10:wrap type="none"/>
        </v:shape>
      </w:pic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48416" from="67.451866pt,63.072525pt" to="539.614953pt,63.072525pt" stroked="true" strokeweight=".481434pt" strokecolor="#000000">
          <v:stroke dashstyle="solid"/>
          <w10:wrap type="none"/>
        </v:line>
      </w:pict>
    </w:r>
    <w:r>
      <w:rPr/>
      <w:pict>
        <v:shape style="position:absolute;margin-left:440.437805pt;margin-top:26.541336pt;width:97.3pt;height:37.15pt;mso-position-horizontal-relative:page;mso-position-vertical-relative:page;z-index:-26747904" type="#_x0000_t202" id="docshape632" filled="false" stroked="false">
          <v:textbox inset="0,0,0,0">
            <w:txbxContent>
              <w:p>
                <w:pPr>
                  <w:spacing w:line="256" w:lineRule="auto" w:before="13"/>
                  <w:ind w:left="45" w:right="18" w:hanging="26"/>
                  <w:jc w:val="right"/>
                  <w:rPr>
                    <w:sz w:val="19"/>
                  </w:rPr>
                </w:pPr>
                <w:r>
                  <w:rPr>
                    <w:spacing w:val="-2"/>
                    <w:w w:val="105"/>
                    <w:sz w:val="21"/>
                  </w:rPr>
                  <w:t>Hampton</w:t>
                </w:r>
                <w:r>
                  <w:rPr>
                    <w:spacing w:val="-14"/>
                    <w:w w:val="105"/>
                    <w:sz w:val="21"/>
                  </w:rPr>
                  <w:t> </w:t>
                </w:r>
                <w:r>
                  <w:rPr>
                    <w:spacing w:val="-2"/>
                    <w:w w:val="105"/>
                    <w:sz w:val="21"/>
                  </w:rPr>
                  <w:t>University </w:t>
                </w:r>
                <w:r>
                  <w:rPr>
                    <w:w w:val="105"/>
                    <w:sz w:val="19"/>
                  </w:rPr>
                  <w:t>Visiting</w:t>
                </w:r>
                <w:r>
                  <w:rPr>
                    <w:spacing w:val="-10"/>
                    <w:w w:val="105"/>
                    <w:sz w:val="19"/>
                  </w:rPr>
                  <w:t> </w:t>
                </w:r>
                <w:r>
                  <w:rPr>
                    <w:w w:val="105"/>
                    <w:sz w:val="19"/>
                  </w:rPr>
                  <w:t>Team</w:t>
                </w:r>
                <w:r>
                  <w:rPr>
                    <w:spacing w:val="-10"/>
                    <w:w w:val="105"/>
                    <w:sz w:val="19"/>
                  </w:rPr>
                  <w:t> </w:t>
                </w:r>
                <w:r>
                  <w:rPr>
                    <w:w w:val="105"/>
                    <w:sz w:val="19"/>
                  </w:rPr>
                  <w:t>Report 21-25 March 2009</w:t>
                </w:r>
              </w:p>
            </w:txbxContent>
          </v:textbox>
          <w10:wrap type="none"/>
        </v:shape>
      </w:pic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47392" from="63.597477pt,68.368301pt" to="537.68776pt,68.368301pt" stroked="true" strokeweight=".962868pt" strokecolor="#000000">
          <v:stroke dashstyle="solid"/>
          <w10:wrap type="none"/>
        </v:line>
      </w:pict>
    </w:r>
    <w:r>
      <w:rPr/>
      <w:pict>
        <v:shape style="position:absolute;margin-left:440.519104pt;margin-top:27.930714pt;width:96.95pt;height:35.8pt;mso-position-horizontal-relative:page;mso-position-vertical-relative:page;z-index:-26746880" type="#_x0000_t202" id="docshape634" filled="false" stroked="false">
          <v:textbox inset="0,0,0,0">
            <w:txbxContent>
              <w:p>
                <w:pPr>
                  <w:spacing w:line="254" w:lineRule="auto" w:before="14"/>
                  <w:ind w:left="44" w:right="18" w:hanging="25"/>
                  <w:jc w:val="right"/>
                  <w:rPr>
                    <w:sz w:val="19"/>
                  </w:rPr>
                </w:pPr>
                <w:r>
                  <w:rPr>
                    <w:w w:val="115"/>
                    <w:sz w:val="19"/>
                  </w:rPr>
                  <w:t>Hampton</w:t>
                </w:r>
                <w:r>
                  <w:rPr>
                    <w:spacing w:val="-16"/>
                    <w:w w:val="115"/>
                    <w:sz w:val="19"/>
                  </w:rPr>
                  <w:t> </w:t>
                </w:r>
                <w:r>
                  <w:rPr>
                    <w:w w:val="115"/>
                    <w:sz w:val="19"/>
                  </w:rPr>
                  <w:t>University </w:t>
                </w:r>
                <w:r>
                  <w:rPr>
                    <w:w w:val="105"/>
                    <w:sz w:val="19"/>
                  </w:rPr>
                  <w:t>Visiting</w:t>
                </w:r>
                <w:r>
                  <w:rPr>
                    <w:spacing w:val="-13"/>
                    <w:w w:val="105"/>
                    <w:sz w:val="19"/>
                  </w:rPr>
                  <w:t> </w:t>
                </w:r>
                <w:r>
                  <w:rPr>
                    <w:w w:val="105"/>
                    <w:sz w:val="19"/>
                  </w:rPr>
                  <w:t>Team</w:t>
                </w:r>
                <w:r>
                  <w:rPr>
                    <w:spacing w:val="-13"/>
                    <w:w w:val="105"/>
                    <w:sz w:val="19"/>
                  </w:rPr>
                  <w:t> </w:t>
                </w:r>
                <w:r>
                  <w:rPr>
                    <w:w w:val="105"/>
                    <w:sz w:val="19"/>
                  </w:rPr>
                  <w:t>Report </w:t>
                </w:r>
                <w:r>
                  <w:rPr>
                    <w:w w:val="115"/>
                    <w:sz w:val="19"/>
                  </w:rPr>
                  <w:t>21-25 March</w:t>
                </w:r>
                <w:r>
                  <w:rPr>
                    <w:spacing w:val="-5"/>
                    <w:w w:val="115"/>
                    <w:sz w:val="19"/>
                  </w:rPr>
                  <w:t> </w:t>
                </w:r>
                <w:r>
                  <w:rPr>
                    <w:w w:val="115"/>
                    <w:sz w:val="19"/>
                  </w:rPr>
                  <w:t>2009</w:t>
                </w:r>
              </w:p>
            </w:txbxContent>
          </v:textbox>
          <w10:wrap type="none"/>
        </v:shape>
      </w:pic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46368" from="67.451866pt,63.553959pt" to="537.687757pt,63.553959pt" stroked="true" strokeweight=".962868pt" strokecolor="#000000">
          <v:stroke dashstyle="solid"/>
          <w10:wrap type="none"/>
        </v:line>
      </w:pict>
    </w:r>
    <w:r>
      <w:rPr/>
      <w:pict>
        <v:shape style="position:absolute;margin-left:440.519104pt;margin-top:27.930714pt;width:96.95pt;height:35.8pt;mso-position-horizontal-relative:page;mso-position-vertical-relative:page;z-index:-26745856" type="#_x0000_t202" id="docshape636" filled="false" stroked="false">
          <v:textbox inset="0,0,0,0">
            <w:txbxContent>
              <w:p>
                <w:pPr>
                  <w:spacing w:line="254" w:lineRule="auto" w:before="14"/>
                  <w:ind w:left="44" w:right="18" w:hanging="25"/>
                  <w:jc w:val="right"/>
                  <w:rPr>
                    <w:sz w:val="19"/>
                  </w:rPr>
                </w:pPr>
                <w:r>
                  <w:rPr>
                    <w:w w:val="115"/>
                    <w:sz w:val="19"/>
                  </w:rPr>
                  <w:t>Hampton</w:t>
                </w:r>
                <w:r>
                  <w:rPr>
                    <w:spacing w:val="-16"/>
                    <w:w w:val="115"/>
                    <w:sz w:val="19"/>
                  </w:rPr>
                  <w:t> </w:t>
                </w:r>
                <w:r>
                  <w:rPr>
                    <w:w w:val="115"/>
                    <w:sz w:val="19"/>
                  </w:rPr>
                  <w:t>University </w:t>
                </w:r>
                <w:r>
                  <w:rPr>
                    <w:w w:val="105"/>
                    <w:sz w:val="19"/>
                  </w:rPr>
                  <w:t>Visiting</w:t>
                </w:r>
                <w:r>
                  <w:rPr>
                    <w:spacing w:val="-13"/>
                    <w:w w:val="105"/>
                    <w:sz w:val="19"/>
                  </w:rPr>
                  <w:t> </w:t>
                </w:r>
                <w:r>
                  <w:rPr>
                    <w:w w:val="105"/>
                    <w:sz w:val="19"/>
                  </w:rPr>
                  <w:t>Team</w:t>
                </w:r>
                <w:r>
                  <w:rPr>
                    <w:spacing w:val="-13"/>
                    <w:w w:val="105"/>
                    <w:sz w:val="19"/>
                  </w:rPr>
                  <w:t> </w:t>
                </w:r>
                <w:r>
                  <w:rPr>
                    <w:w w:val="105"/>
                    <w:sz w:val="19"/>
                  </w:rPr>
                  <w:t>Report </w:t>
                </w:r>
                <w:r>
                  <w:rPr>
                    <w:w w:val="115"/>
                    <w:sz w:val="19"/>
                  </w:rPr>
                  <w:t>21-25 March</w:t>
                </w:r>
                <w:r>
                  <w:rPr>
                    <w:spacing w:val="-5"/>
                    <w:w w:val="115"/>
                    <w:sz w:val="19"/>
                  </w:rPr>
                  <w:t> </w:t>
                </w:r>
                <w:r>
                  <w:rPr>
                    <w:w w:val="115"/>
                    <w:sz w:val="19"/>
                  </w:rPr>
                  <w:t>2009</w:t>
                </w:r>
              </w:p>
            </w:txbxContent>
          </v:textbox>
          <w10:wrap type="none"/>
        </v:shape>
      </w:pic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45344" from="65.524673pt,65.479698pt" to="539.614957pt,65.479698pt" stroked="true" strokeweight=".962868pt" strokecolor="#000000">
          <v:stroke dashstyle="solid"/>
          <w10:wrap type="none"/>
        </v:line>
      </w:pict>
    </w:r>
    <w:r>
      <w:rPr/>
      <w:pict>
        <v:shape style="position:absolute;margin-left:440.478394pt;margin-top:28.921024pt;width:97.8pt;height:36.8pt;mso-position-horizontal-relative:page;mso-position-vertical-relative:page;z-index:-26744832" type="#_x0000_t202" id="docshape638" filled="false" stroked="false">
          <v:textbox inset="0,0,0,0">
            <w:txbxContent>
              <w:p>
                <w:pPr>
                  <w:pStyle w:val="BodyText"/>
                  <w:spacing w:line="247" w:lineRule="auto" w:before="14"/>
                  <w:ind w:left="45" w:right="18" w:hanging="26"/>
                  <w:jc w:val="right"/>
                </w:pPr>
                <w:r>
                  <w:rPr>
                    <w:w w:val="110"/>
                  </w:rPr>
                  <w:t>Hampton</w:t>
                </w:r>
                <w:r>
                  <w:rPr>
                    <w:spacing w:val="-16"/>
                    <w:w w:val="110"/>
                  </w:rPr>
                  <w:t> </w:t>
                </w:r>
                <w:r>
                  <w:rPr>
                    <w:w w:val="110"/>
                  </w:rPr>
                  <w:t>University </w:t>
                </w:r>
                <w:r>
                  <w:rPr/>
                  <w:t>Visiting</w:t>
                </w:r>
                <w:r>
                  <w:rPr>
                    <w:spacing w:val="-5"/>
                  </w:rPr>
                  <w:t> </w:t>
                </w:r>
                <w:r>
                  <w:rPr/>
                  <w:t>Team</w:t>
                </w:r>
                <w:r>
                  <w:rPr>
                    <w:spacing w:val="-11"/>
                  </w:rPr>
                  <w:t> </w:t>
                </w:r>
                <w:r>
                  <w:rPr/>
                  <w:t>Report </w:t>
                </w:r>
                <w:r>
                  <w:rPr>
                    <w:w w:val="110"/>
                  </w:rPr>
                  <w:t>21-25 March 2009</w:t>
                </w:r>
              </w:p>
            </w:txbxContent>
          </v:textbox>
          <w10:wrap type="none"/>
        </v:shape>
      </w:pic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44320" from="63.597477pt,65.479698pt" to="533.833368pt,65.479698pt" stroked="true" strokeweight=".481434pt" strokecolor="#000000">
          <v:stroke dashstyle="solid"/>
          <w10:wrap type="none"/>
        </v:line>
      </w:pict>
    </w:r>
    <w:r>
      <w:rPr/>
      <w:pict>
        <v:shape style="position:absolute;margin-left:438.110107pt;margin-top:29.856413pt;width:97.4pt;height:36.25pt;mso-position-horizontal-relative:page;mso-position-vertical-relative:page;z-index:-26743808" type="#_x0000_t202" id="docshape640" filled="false" stroked="false">
          <v:textbox inset="0,0,0,0">
            <w:txbxContent>
              <w:p>
                <w:pPr>
                  <w:spacing w:line="259" w:lineRule="auto" w:before="14"/>
                  <w:ind w:left="44" w:right="18" w:hanging="25"/>
                  <w:jc w:val="right"/>
                  <w:rPr>
                    <w:sz w:val="19"/>
                  </w:rPr>
                </w:pPr>
                <w:r>
                  <w:rPr>
                    <w:w w:val="115"/>
                    <w:sz w:val="19"/>
                  </w:rPr>
                  <w:t>Hampton</w:t>
                </w:r>
                <w:r>
                  <w:rPr>
                    <w:spacing w:val="-16"/>
                    <w:w w:val="115"/>
                    <w:sz w:val="19"/>
                  </w:rPr>
                  <w:t> </w:t>
                </w:r>
                <w:r>
                  <w:rPr>
                    <w:w w:val="115"/>
                    <w:sz w:val="19"/>
                  </w:rPr>
                  <w:t>University </w:t>
                </w:r>
                <w:r>
                  <w:rPr>
                    <w:w w:val="105"/>
                    <w:sz w:val="19"/>
                  </w:rPr>
                  <w:t>Visiting</w:t>
                </w:r>
                <w:r>
                  <w:rPr>
                    <w:spacing w:val="-11"/>
                    <w:w w:val="105"/>
                    <w:sz w:val="19"/>
                  </w:rPr>
                  <w:t> </w:t>
                </w:r>
                <w:r>
                  <w:rPr>
                    <w:w w:val="105"/>
                    <w:sz w:val="19"/>
                  </w:rPr>
                  <w:t>Team</w:t>
                </w:r>
                <w:r>
                  <w:rPr>
                    <w:spacing w:val="-7"/>
                    <w:w w:val="105"/>
                    <w:sz w:val="19"/>
                  </w:rPr>
                  <w:t> </w:t>
                </w:r>
                <w:r>
                  <w:rPr>
                    <w:w w:val="105"/>
                    <w:sz w:val="19"/>
                  </w:rPr>
                  <w:t>Report </w:t>
                </w:r>
                <w:r>
                  <w:rPr>
                    <w:w w:val="115"/>
                    <w:sz w:val="19"/>
                  </w:rPr>
                  <w:t>21-25 March 2009</w:t>
                </w:r>
              </w:p>
            </w:txbxContent>
          </v:textbox>
          <w10:wrap type="none"/>
        </v:shape>
      </w:pic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43296" from="65.524673pt,65.961128pt" to="538.169560pt,65.961128pt" stroked="true" strokeweight=".481434pt" strokecolor="#000000">
          <v:stroke dashstyle="solid"/>
          <w10:wrap type="none"/>
        </v:line>
      </w:pict>
    </w:r>
    <w:r>
      <w:rPr/>
      <w:pict>
        <v:shape style="position:absolute;margin-left:439.955994pt;margin-top:28.467035pt;width:97.85pt;height:37.25pt;mso-position-horizontal-relative:page;mso-position-vertical-relative:page;z-index:-26742784" type="#_x0000_t202" id="docshape642" filled="false" stroked="false">
          <v:textbox inset="0,0,0,0">
            <w:txbxContent>
              <w:p>
                <w:pPr>
                  <w:spacing w:line="244" w:lineRule="auto" w:before="13"/>
                  <w:ind w:left="45" w:right="18" w:hanging="26"/>
                  <w:jc w:val="right"/>
                  <w:rPr>
                    <w:sz w:val="20"/>
                  </w:rPr>
                </w:pPr>
                <w:r>
                  <w:rPr>
                    <w:w w:val="105"/>
                    <w:sz w:val="21"/>
                  </w:rPr>
                  <w:t>Hampton</w:t>
                </w:r>
                <w:r>
                  <w:rPr>
                    <w:spacing w:val="-16"/>
                    <w:w w:val="105"/>
                    <w:sz w:val="21"/>
                  </w:rPr>
                  <w:t> </w:t>
                </w:r>
                <w:r>
                  <w:rPr>
                    <w:w w:val="105"/>
                    <w:sz w:val="21"/>
                  </w:rPr>
                  <w:t>University </w:t>
                </w:r>
                <w:r>
                  <w:rPr>
                    <w:sz w:val="20"/>
                  </w:rPr>
                  <w:t>Visiting</w:t>
                </w:r>
                <w:r>
                  <w:rPr>
                    <w:spacing w:val="-4"/>
                    <w:sz w:val="20"/>
                  </w:rPr>
                  <w:t> </w:t>
                </w:r>
                <w:r>
                  <w:rPr>
                    <w:sz w:val="20"/>
                  </w:rPr>
                  <w:t>Team</w:t>
                </w:r>
                <w:r>
                  <w:rPr>
                    <w:spacing w:val="-10"/>
                    <w:sz w:val="20"/>
                  </w:rPr>
                  <w:t> </w:t>
                </w:r>
                <w:r>
                  <w:rPr>
                    <w:sz w:val="20"/>
                  </w:rPr>
                  <w:t>Report </w:t>
                </w:r>
                <w:r>
                  <w:rPr>
                    <w:w w:val="105"/>
                    <w:sz w:val="20"/>
                  </w:rPr>
                  <w:t>21-25 March 2009</w:t>
                </w:r>
              </w:p>
            </w:txbxContent>
          </v:textbox>
          <w10:wrap type="none"/>
        </v:shape>
      </w:pic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42272" from="65.524673pt,66.442566pt" to="537.687761pt,66.442566pt" stroked="true" strokeweight=".481434pt" strokecolor="#000000">
          <v:stroke dashstyle="solid"/>
          <w10:wrap type="none"/>
        </v:line>
      </w:pict>
    </w:r>
    <w:r>
      <w:rPr/>
      <w:pict>
        <v:shape style="position:absolute;margin-left:440.437805pt;margin-top:29.429935pt;width:96.45pt;height:36.8pt;mso-position-horizontal-relative:page;mso-position-vertical-relative:page;z-index:-26741760" type="#_x0000_t202" id="docshape644" filled="false" stroked="false">
          <v:textbox inset="0,0,0,0">
            <w:txbxContent>
              <w:p>
                <w:pPr>
                  <w:spacing w:line="240" w:lineRule="auto" w:before="13"/>
                  <w:ind w:left="45" w:right="18" w:hanging="26"/>
                  <w:jc w:val="right"/>
                  <w:rPr>
                    <w:sz w:val="20"/>
                  </w:rPr>
                </w:pPr>
                <w:r>
                  <w:rPr>
                    <w:spacing w:val="-2"/>
                    <w:w w:val="105"/>
                    <w:sz w:val="21"/>
                  </w:rPr>
                  <w:t>Hampton</w:t>
                </w:r>
                <w:r>
                  <w:rPr>
                    <w:spacing w:val="-19"/>
                    <w:w w:val="105"/>
                    <w:sz w:val="21"/>
                  </w:rPr>
                  <w:t> </w:t>
                </w:r>
                <w:r>
                  <w:rPr>
                    <w:spacing w:val="-2"/>
                    <w:w w:val="105"/>
                    <w:sz w:val="21"/>
                  </w:rPr>
                  <w:t>University </w:t>
                </w:r>
                <w:r>
                  <w:rPr>
                    <w:sz w:val="20"/>
                  </w:rPr>
                  <w:t>Visiting</w:t>
                </w:r>
                <w:r>
                  <w:rPr>
                    <w:spacing w:val="-14"/>
                    <w:sz w:val="20"/>
                  </w:rPr>
                  <w:t> </w:t>
                </w:r>
                <w:r>
                  <w:rPr>
                    <w:sz w:val="20"/>
                  </w:rPr>
                  <w:t>Team</w:t>
                </w:r>
                <w:r>
                  <w:rPr>
                    <w:spacing w:val="-14"/>
                    <w:sz w:val="20"/>
                  </w:rPr>
                  <w:t> </w:t>
                </w:r>
                <w:r>
                  <w:rPr>
                    <w:sz w:val="20"/>
                  </w:rPr>
                  <w:t>Report </w:t>
                </w:r>
                <w:r>
                  <w:rPr>
                    <w:w w:val="105"/>
                    <w:sz w:val="20"/>
                  </w:rPr>
                  <w:t>21-25 March 2009</w:t>
                </w:r>
              </w:p>
            </w:txbxContent>
          </v:textbox>
          <w10:wrap type="none"/>
        </v:shape>
      </w:pic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41248" from="65.524673pt,68.849731pt" to="538.651359pt,68.849731pt" stroked="true" strokeweight=".481434pt" strokecolor="#000000">
          <v:stroke dashstyle="solid"/>
          <w10:wrap type="none"/>
        </v:line>
      </w:pict>
    </w:r>
    <w:r>
      <w:rPr/>
      <w:pict>
        <v:shape style="position:absolute;margin-left:439.996613pt;margin-top:31.328224pt;width:98.3pt;height:36.8pt;mso-position-horizontal-relative:page;mso-position-vertical-relative:page;z-index:-26740736" type="#_x0000_t202" id="docshape646" filled="false" stroked="false">
          <v:textbox inset="0,0,0,0">
            <w:txbxContent>
              <w:p>
                <w:pPr>
                  <w:pStyle w:val="BodyText"/>
                  <w:spacing w:line="247" w:lineRule="auto" w:before="14"/>
                  <w:ind w:left="45" w:right="18" w:hanging="26"/>
                  <w:jc w:val="right"/>
                </w:pPr>
                <w:r>
                  <w:rPr>
                    <w:w w:val="105"/>
                  </w:rPr>
                  <w:t>Hampton Unfversity </w:t>
                </w:r>
                <w:r>
                  <w:rPr/>
                  <w:t>Visiting Team</w:t>
                </w:r>
                <w:r>
                  <w:rPr>
                    <w:spacing w:val="-6"/>
                  </w:rPr>
                  <w:t> </w:t>
                </w:r>
                <w:r>
                  <w:rPr/>
                  <w:t>Report </w:t>
                </w:r>
                <w:r>
                  <w:rPr>
                    <w:w w:val="105"/>
                  </w:rPr>
                  <w:t>21-25 March 2009</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40.437805pt;margin-top:27.504236pt;width:97.3pt;height:36.7pt;mso-position-horizontal-relative:page;mso-position-vertical-relative:page;z-index:-26740224" type="#_x0000_t202" id="docshape648" filled="false" stroked="false">
          <v:textbox inset="0,0,0,0">
            <w:txbxContent>
              <w:p>
                <w:pPr>
                  <w:spacing w:line="252" w:lineRule="auto" w:before="13"/>
                  <w:ind w:left="45" w:right="18" w:hanging="26"/>
                  <w:jc w:val="right"/>
                  <w:rPr>
                    <w:sz w:val="19"/>
                  </w:rPr>
                </w:pPr>
                <w:r>
                  <w:rPr>
                    <w:spacing w:val="-2"/>
                    <w:w w:val="105"/>
                    <w:sz w:val="21"/>
                  </w:rPr>
                  <w:t>Hampton</w:t>
                </w:r>
                <w:r>
                  <w:rPr>
                    <w:spacing w:val="-14"/>
                    <w:w w:val="105"/>
                    <w:sz w:val="21"/>
                  </w:rPr>
                  <w:t> </w:t>
                </w:r>
                <w:r>
                  <w:rPr>
                    <w:spacing w:val="-2"/>
                    <w:w w:val="105"/>
                    <w:sz w:val="21"/>
                  </w:rPr>
                  <w:t>University </w:t>
                </w:r>
                <w:r>
                  <w:rPr>
                    <w:w w:val="105"/>
                    <w:sz w:val="19"/>
                  </w:rPr>
                  <w:t>Visiting</w:t>
                </w:r>
                <w:r>
                  <w:rPr>
                    <w:spacing w:val="-10"/>
                    <w:w w:val="105"/>
                    <w:sz w:val="19"/>
                  </w:rPr>
                  <w:t> </w:t>
                </w:r>
                <w:r>
                  <w:rPr>
                    <w:w w:val="105"/>
                    <w:sz w:val="19"/>
                  </w:rPr>
                  <w:t>Team</w:t>
                </w:r>
                <w:r>
                  <w:rPr>
                    <w:spacing w:val="-10"/>
                    <w:w w:val="105"/>
                    <w:sz w:val="19"/>
                  </w:rPr>
                  <w:t> </w:t>
                </w:r>
                <w:r>
                  <w:rPr>
                    <w:w w:val="105"/>
                    <w:sz w:val="19"/>
                  </w:rPr>
                  <w:t>Report 21-25 March 2009</w:t>
                </w:r>
              </w:p>
            </w:txbxContent>
          </v:textbox>
          <w10:wrap type="none"/>
        </v:shape>
      </w:pic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41.401398pt;margin-top:33.281338pt;width:97.35pt;height:36.8pt;mso-position-horizontal-relative:page;mso-position-vertical-relative:page;z-index:-26739712" type="#_x0000_t202" id="docshape651" filled="false" stroked="false">
          <v:textbox inset="0,0,0,0">
            <w:txbxContent>
              <w:p>
                <w:pPr>
                  <w:spacing w:before="13"/>
                  <w:ind w:left="45" w:right="18" w:hanging="26"/>
                  <w:jc w:val="right"/>
                  <w:rPr>
                    <w:sz w:val="20"/>
                  </w:rPr>
                </w:pPr>
                <w:r>
                  <w:rPr>
                    <w:spacing w:val="-2"/>
                    <w:w w:val="105"/>
                    <w:sz w:val="21"/>
                  </w:rPr>
                  <w:t>Hampton</w:t>
                </w:r>
                <w:r>
                  <w:rPr>
                    <w:spacing w:val="-14"/>
                    <w:w w:val="105"/>
                    <w:sz w:val="21"/>
                  </w:rPr>
                  <w:t> </w:t>
                </w:r>
                <w:r>
                  <w:rPr>
                    <w:spacing w:val="-2"/>
                    <w:w w:val="105"/>
                    <w:sz w:val="21"/>
                  </w:rPr>
                  <w:t>University </w:t>
                </w:r>
                <w:r>
                  <w:rPr>
                    <w:sz w:val="20"/>
                  </w:rPr>
                  <w:t>Visiting</w:t>
                </w:r>
                <w:r>
                  <w:rPr>
                    <w:spacing w:val="-11"/>
                    <w:sz w:val="20"/>
                  </w:rPr>
                  <w:t> </w:t>
                </w:r>
                <w:r>
                  <w:rPr>
                    <w:sz w:val="20"/>
                  </w:rPr>
                  <w:t>Team</w:t>
                </w:r>
                <w:r>
                  <w:rPr>
                    <w:spacing w:val="-14"/>
                    <w:sz w:val="20"/>
                  </w:rPr>
                  <w:t> </w:t>
                </w:r>
                <w:r>
                  <w:rPr>
                    <w:sz w:val="20"/>
                  </w:rPr>
                  <w:t>Report </w:t>
                </w:r>
                <w:r>
                  <w:rPr>
                    <w:w w:val="105"/>
                    <w:sz w:val="20"/>
                  </w:rPr>
                  <w:t>21-25 March 2009</w:t>
                </w:r>
              </w:p>
            </w:txbxContent>
          </v:textbox>
          <w10:wrap type="none"/>
        </v:shape>
      </w:pic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39200" from="67.451866pt,65.479698pt" to="535.760561pt,65.479698pt" stroked="true" strokeweight=".962868pt" strokecolor="#000000">
          <v:stroke dashstyle="solid"/>
          <w10:wrap type="none"/>
        </v:line>
      </w:pict>
    </w:r>
    <w:r>
      <w:rPr/>
      <w:pict>
        <v:shape style="position:absolute;margin-left:438.992401pt;margin-top:28.948437pt;width:97.35pt;height:36.9pt;mso-position-horizontal-relative:page;mso-position-vertical-relative:page;z-index:-26738688" type="#_x0000_t202" id="docshape654" filled="false" stroked="false">
          <v:textbox inset="0,0,0,0">
            <w:txbxContent>
              <w:p>
                <w:pPr>
                  <w:spacing w:line="230" w:lineRule="auto" w:before="21"/>
                  <w:ind w:left="45" w:right="18" w:hanging="26"/>
                  <w:jc w:val="right"/>
                  <w:rPr>
                    <w:sz w:val="21"/>
                  </w:rPr>
                </w:pPr>
                <w:r>
                  <w:rPr>
                    <w:sz w:val="21"/>
                  </w:rPr>
                  <w:t>Hampton University </w:t>
                </w:r>
                <w:r>
                  <w:rPr>
                    <w:w w:val="95"/>
                    <w:sz w:val="21"/>
                  </w:rPr>
                  <w:t>Visiting</w:t>
                </w:r>
                <w:r>
                  <w:rPr>
                    <w:spacing w:val="-11"/>
                    <w:w w:val="95"/>
                    <w:sz w:val="21"/>
                  </w:rPr>
                  <w:t> </w:t>
                </w:r>
                <w:r>
                  <w:rPr>
                    <w:w w:val="95"/>
                    <w:sz w:val="21"/>
                  </w:rPr>
                  <w:t>Team</w:t>
                </w:r>
                <w:r>
                  <w:rPr>
                    <w:spacing w:val="-9"/>
                    <w:w w:val="95"/>
                    <w:sz w:val="21"/>
                  </w:rPr>
                  <w:t> </w:t>
                </w:r>
                <w:r>
                  <w:rPr>
                    <w:w w:val="95"/>
                    <w:sz w:val="21"/>
                  </w:rPr>
                  <w:t>Report </w:t>
                </w:r>
                <w:r>
                  <w:rPr>
                    <w:sz w:val="21"/>
                  </w:rPr>
                  <w:t>21-25 March 2009</w:t>
                </w:r>
              </w:p>
            </w:txbxContent>
          </v:textbox>
          <w10:wrap type="none"/>
        </v:shape>
      </w:pic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38176" from="65.524673pt,69.812599pt" to="536.242363pt,69.812599pt" stroked="true" strokeweight=".481434pt" strokecolor="#000000">
          <v:stroke dashstyle="solid"/>
          <w10:wrap type="none"/>
        </v:line>
      </w:pict>
    </w:r>
    <w:r>
      <w:rPr/>
      <w:pict>
        <v:shape style="position:absolute;margin-left:439.474213pt;margin-top:32.318535pt;width:97.8pt;height:37.15pt;mso-position-horizontal-relative:page;mso-position-vertical-relative:page;z-index:-26737664" type="#_x0000_t202" id="docshape656" filled="false" stroked="false">
          <v:textbox inset="0,0,0,0">
            <w:txbxContent>
              <w:p>
                <w:pPr>
                  <w:spacing w:line="256" w:lineRule="auto" w:before="13"/>
                  <w:ind w:left="45" w:right="18" w:hanging="26"/>
                  <w:jc w:val="right"/>
                  <w:rPr>
                    <w:sz w:val="19"/>
                  </w:rPr>
                </w:pPr>
                <w:r>
                  <w:rPr>
                    <w:w w:val="105"/>
                    <w:sz w:val="21"/>
                  </w:rPr>
                  <w:t>Hampton</w:t>
                </w:r>
                <w:r>
                  <w:rPr>
                    <w:spacing w:val="-16"/>
                    <w:w w:val="105"/>
                    <w:sz w:val="21"/>
                  </w:rPr>
                  <w:t> </w:t>
                </w:r>
                <w:r>
                  <w:rPr>
                    <w:w w:val="105"/>
                    <w:sz w:val="21"/>
                  </w:rPr>
                  <w:t>University </w:t>
                </w:r>
                <w:r>
                  <w:rPr>
                    <w:w w:val="105"/>
                    <w:sz w:val="19"/>
                  </w:rPr>
                  <w:t>Visiting</w:t>
                </w:r>
                <w:r>
                  <w:rPr>
                    <w:spacing w:val="-5"/>
                    <w:w w:val="105"/>
                    <w:sz w:val="19"/>
                  </w:rPr>
                  <w:t> </w:t>
                </w:r>
                <w:r>
                  <w:rPr>
                    <w:w w:val="105"/>
                    <w:sz w:val="19"/>
                  </w:rPr>
                  <w:t>Team</w:t>
                </w:r>
                <w:r>
                  <w:rPr>
                    <w:spacing w:val="-5"/>
                    <w:w w:val="105"/>
                    <w:sz w:val="19"/>
                  </w:rPr>
                  <w:t> </w:t>
                </w:r>
                <w:r>
                  <w:rPr>
                    <w:w w:val="105"/>
                    <w:sz w:val="19"/>
                  </w:rPr>
                  <w:t>Report 21-25 March 2009</w:t>
                </w:r>
              </w:p>
            </w:txbxContent>
          </v:textbox>
          <w10:wrap type="none"/>
        </v:shape>
      </w:pict>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37152" from="67.451866pt,67.405434pt" to="537.687757pt,67.405434pt" stroked="true" strokeweight=".962868pt" strokecolor="#000000">
          <v:stroke dashstyle="solid"/>
          <w10:wrap type="none"/>
        </v:line>
      </w:pict>
    </w:r>
    <w:r>
      <w:rPr/>
      <w:pict>
        <v:shape style="position:absolute;margin-left:440.076904pt;margin-top:31.328224pt;width:96.9pt;height:36.25pt;mso-position-horizontal-relative:page;mso-position-vertical-relative:page;z-index:-26736640" type="#_x0000_t202" id="docshape658" filled="false" stroked="false">
          <v:textbox inset="0,0,0,0">
            <w:txbxContent>
              <w:p>
                <w:pPr>
                  <w:spacing w:line="252" w:lineRule="auto" w:before="14"/>
                  <w:ind w:left="33" w:right="18" w:hanging="14"/>
                  <w:jc w:val="right"/>
                  <w:rPr>
                    <w:sz w:val="19"/>
                  </w:rPr>
                </w:pPr>
                <w:r>
                  <w:rPr>
                    <w:b/>
                    <w:sz w:val="20"/>
                  </w:rPr>
                  <w:t>Hampton</w:t>
                </w:r>
                <w:r>
                  <w:rPr>
                    <w:b/>
                    <w:spacing w:val="-14"/>
                    <w:sz w:val="20"/>
                  </w:rPr>
                  <w:t> </w:t>
                </w:r>
                <w:r>
                  <w:rPr>
                    <w:b/>
                    <w:sz w:val="20"/>
                  </w:rPr>
                  <w:t>University </w:t>
                </w:r>
                <w:r>
                  <w:rPr>
                    <w:w w:val="105"/>
                    <w:sz w:val="19"/>
                  </w:rPr>
                  <w:t>Visiting</w:t>
                </w:r>
                <w:r>
                  <w:rPr>
                    <w:spacing w:val="-11"/>
                    <w:w w:val="105"/>
                    <w:sz w:val="19"/>
                  </w:rPr>
                  <w:t> </w:t>
                </w:r>
                <w:r>
                  <w:rPr>
                    <w:w w:val="105"/>
                    <w:sz w:val="19"/>
                  </w:rPr>
                  <w:t>Team</w:t>
                </w:r>
                <w:r>
                  <w:rPr>
                    <w:spacing w:val="-6"/>
                    <w:w w:val="105"/>
                    <w:sz w:val="19"/>
                  </w:rPr>
                  <w:t> </w:t>
                </w:r>
                <w:r>
                  <w:rPr>
                    <w:w w:val="105"/>
                    <w:sz w:val="19"/>
                  </w:rPr>
                  <w:t>Report 21-25 March 2009</w:t>
                </w:r>
              </w:p>
            </w:txbxContent>
          </v:textbox>
          <w10:wrap type="none"/>
        </v:shape>
      </w:pic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36128" from="67.451866pt,67.405434pt" to="539.614953pt,67.405434pt" stroked="true" strokeweight=".962868pt" strokecolor="#000000">
          <v:stroke dashstyle="solid"/>
          <w10:wrap type="none"/>
        </v:line>
      </w:pict>
    </w:r>
    <w:r>
      <w:rPr/>
      <w:pict>
        <v:shape style="position:absolute;margin-left:441.883209pt;margin-top:30.392836pt;width:97.5pt;height:36.9pt;mso-position-horizontal-relative:page;mso-position-vertical-relative:page;z-index:-26735616" type="#_x0000_t202" id="docshape660" filled="false" stroked="false">
          <v:textbox inset="0,0,0,0">
            <w:txbxContent>
              <w:p>
                <w:pPr>
                  <w:spacing w:line="240" w:lineRule="auto" w:before="13"/>
                  <w:ind w:left="45" w:right="18" w:hanging="26"/>
                  <w:jc w:val="right"/>
                  <w:rPr>
                    <w:sz w:val="21"/>
                  </w:rPr>
                </w:pPr>
                <w:r>
                  <w:rPr>
                    <w:spacing w:val="-2"/>
                    <w:w w:val="105"/>
                    <w:sz w:val="21"/>
                  </w:rPr>
                  <w:t>Hampton</w:t>
                </w:r>
                <w:r>
                  <w:rPr>
                    <w:spacing w:val="-14"/>
                    <w:w w:val="105"/>
                    <w:sz w:val="21"/>
                  </w:rPr>
                  <w:t> </w:t>
                </w:r>
                <w:r>
                  <w:rPr>
                    <w:spacing w:val="-2"/>
                    <w:w w:val="105"/>
                    <w:sz w:val="21"/>
                  </w:rPr>
                  <w:t>University </w:t>
                </w:r>
                <w:r>
                  <w:rPr>
                    <w:w w:val="105"/>
                    <w:sz w:val="19"/>
                  </w:rPr>
                  <w:t>Visiting</w:t>
                </w:r>
                <w:r>
                  <w:rPr>
                    <w:spacing w:val="-11"/>
                    <w:w w:val="105"/>
                    <w:sz w:val="19"/>
                  </w:rPr>
                  <w:t> </w:t>
                </w:r>
                <w:r>
                  <w:rPr>
                    <w:w w:val="105"/>
                    <w:sz w:val="19"/>
                  </w:rPr>
                  <w:t>Team</w:t>
                </w:r>
                <w:r>
                  <w:rPr>
                    <w:spacing w:val="-6"/>
                    <w:w w:val="105"/>
                    <w:sz w:val="19"/>
                  </w:rPr>
                  <w:t> </w:t>
                </w:r>
                <w:r>
                  <w:rPr>
                    <w:w w:val="105"/>
                    <w:sz w:val="19"/>
                  </w:rPr>
                  <w:t>Report </w:t>
                </w:r>
                <w:r>
                  <w:rPr>
                    <w:w w:val="105"/>
                    <w:sz w:val="21"/>
                  </w:rPr>
                  <w:t>21-25 </w:t>
                </w:r>
                <w:r>
                  <w:rPr>
                    <w:w w:val="105"/>
                    <w:sz w:val="19"/>
                  </w:rPr>
                  <w:t>March </w:t>
                </w:r>
                <w:r>
                  <w:rPr>
                    <w:w w:val="105"/>
                    <w:sz w:val="21"/>
                  </w:rPr>
                  <w:t>2009</w:t>
                </w:r>
              </w:p>
            </w:txbxContent>
          </v:textbox>
          <w10:wrap type="none"/>
        </v:shape>
      </w:pic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35104" from="67.451866pt,63.553959pt" to="536.242360pt,63.553959pt" stroked="true" strokeweight=".481434pt" strokecolor="#000000">
          <v:stroke dashstyle="solid"/>
          <w10:wrap type="none"/>
        </v:line>
      </w:pict>
    </w:r>
    <w:r>
      <w:rPr/>
      <w:pict>
        <v:shape style="position:absolute;margin-left:439.595093pt;margin-top:26.995325pt;width:96.75pt;height:36.35pt;mso-position-horizontal-relative:page;mso-position-vertical-relative:page;z-index:-26734592" type="#_x0000_t202" id="docshape662" filled="false" stroked="false">
          <v:textbox inset="0,0,0,0">
            <w:txbxContent>
              <w:p>
                <w:pPr>
                  <w:spacing w:before="14"/>
                  <w:ind w:left="33" w:right="18" w:hanging="14"/>
                  <w:jc w:val="right"/>
                  <w:rPr>
                    <w:sz w:val="20"/>
                  </w:rPr>
                </w:pPr>
                <w:r>
                  <w:rPr>
                    <w:b/>
                    <w:sz w:val="20"/>
                  </w:rPr>
                  <w:t>Hampton</w:t>
                </w:r>
                <w:r>
                  <w:rPr>
                    <w:b/>
                    <w:spacing w:val="-14"/>
                    <w:sz w:val="20"/>
                  </w:rPr>
                  <w:t> </w:t>
                </w:r>
                <w:r>
                  <w:rPr>
                    <w:b/>
                    <w:sz w:val="20"/>
                  </w:rPr>
                  <w:t>University </w:t>
                </w:r>
                <w:r>
                  <w:rPr>
                    <w:sz w:val="20"/>
                  </w:rPr>
                  <w:t>Visiting</w:t>
                </w:r>
                <w:r>
                  <w:rPr>
                    <w:spacing w:val="-10"/>
                    <w:sz w:val="20"/>
                  </w:rPr>
                  <w:t> </w:t>
                </w:r>
                <w:r>
                  <w:rPr>
                    <w:sz w:val="20"/>
                  </w:rPr>
                  <w:t>Team</w:t>
                </w:r>
                <w:r>
                  <w:rPr>
                    <w:spacing w:val="-14"/>
                    <w:sz w:val="20"/>
                  </w:rPr>
                  <w:t> </w:t>
                </w:r>
                <w:r>
                  <w:rPr>
                    <w:sz w:val="20"/>
                  </w:rPr>
                  <w:t>Report 21-25 March 2009</w:t>
                </w:r>
              </w:p>
            </w:txbxContent>
          </v:textbox>
          <w10:wrap type="none"/>
        </v:shape>
      </w:pict>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33056" from="65.524673pt,65.479698pt" to="535.760564pt,65.479698pt" stroked="true" strokeweight=".481434pt" strokecolor="#000000">
          <v:stroke dashstyle="solid"/>
          <w10:wrap type="none"/>
        </v:line>
      </w:pict>
    </w:r>
    <w:r>
      <w:rPr/>
      <w:pict>
        <v:shape style="position:absolute;margin-left:438.591888pt;margin-top:28.893614pt;width:96.35pt;height:35.8pt;mso-position-horizontal-relative:page;mso-position-vertical-relative:page;z-index:-26732544" type="#_x0000_t202" id="docshape664" filled="false" stroked="false">
          <v:textbox inset="0,0,0,0">
            <w:txbxContent>
              <w:p>
                <w:pPr>
                  <w:spacing w:line="254" w:lineRule="auto" w:before="14"/>
                  <w:ind w:left="44" w:right="18" w:hanging="25"/>
                  <w:jc w:val="right"/>
                  <w:rPr>
                    <w:sz w:val="19"/>
                  </w:rPr>
                </w:pPr>
                <w:r>
                  <w:rPr>
                    <w:w w:val="110"/>
                    <w:sz w:val="19"/>
                  </w:rPr>
                  <w:t>Hampton</w:t>
                </w:r>
                <w:r>
                  <w:rPr>
                    <w:spacing w:val="-1"/>
                    <w:w w:val="110"/>
                    <w:sz w:val="19"/>
                  </w:rPr>
                  <w:t> </w:t>
                </w:r>
                <w:r>
                  <w:rPr>
                    <w:w w:val="110"/>
                    <w:sz w:val="19"/>
                  </w:rPr>
                  <w:t>University </w:t>
                </w:r>
                <w:r>
                  <w:rPr>
                    <w:w w:val="105"/>
                    <w:sz w:val="19"/>
                  </w:rPr>
                  <w:t>Visiting</w:t>
                </w:r>
                <w:r>
                  <w:rPr>
                    <w:spacing w:val="-14"/>
                    <w:w w:val="105"/>
                    <w:sz w:val="19"/>
                  </w:rPr>
                  <w:t> </w:t>
                </w:r>
                <w:r>
                  <w:rPr>
                    <w:w w:val="105"/>
                    <w:sz w:val="19"/>
                  </w:rPr>
                  <w:t>Team</w:t>
                </w:r>
                <w:r>
                  <w:rPr>
                    <w:spacing w:val="-14"/>
                    <w:w w:val="105"/>
                    <w:sz w:val="19"/>
                  </w:rPr>
                  <w:t> </w:t>
                </w:r>
                <w:r>
                  <w:rPr>
                    <w:w w:val="105"/>
                    <w:sz w:val="19"/>
                  </w:rPr>
                  <w:t>Report </w:t>
                </w:r>
                <w:r>
                  <w:rPr>
                    <w:w w:val="110"/>
                    <w:sz w:val="19"/>
                  </w:rPr>
                  <w:t>21-25 March 2009</w:t>
                </w:r>
              </w:p>
            </w:txbxContent>
          </v:textbox>
          <w10:wrap type="none"/>
        </v:shape>
      </w:pic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31008" from="63.597477pt,69.812599pt" to="537.68776pt,69.812599pt" stroked="true" strokeweight=".481434pt" strokecolor="#000000">
          <v:stroke dashstyle="solid"/>
          <w10:wrap type="none"/>
        </v:line>
      </w:pict>
    </w:r>
    <w:r>
      <w:rPr/>
      <w:pict>
        <v:shape style="position:absolute;margin-left:438.668213pt;margin-top:31.300814pt;width:96.85pt;height:35.8pt;mso-position-horizontal-relative:page;mso-position-vertical-relative:page;z-index:-26730496" type="#_x0000_t202" id="docshape666" filled="false" stroked="false">
          <v:textbox inset="0,0,0,0">
            <w:txbxContent>
              <w:p>
                <w:pPr>
                  <w:spacing w:line="254" w:lineRule="auto" w:before="14"/>
                  <w:ind w:left="42" w:right="18" w:hanging="23"/>
                  <w:jc w:val="right"/>
                  <w:rPr>
                    <w:sz w:val="19"/>
                  </w:rPr>
                </w:pPr>
                <w:r>
                  <w:rPr>
                    <w:b/>
                    <w:w w:val="105"/>
                    <w:sz w:val="19"/>
                  </w:rPr>
                  <w:t>Hampton</w:t>
                </w:r>
                <w:r>
                  <w:rPr>
                    <w:b/>
                    <w:spacing w:val="-14"/>
                    <w:w w:val="105"/>
                    <w:sz w:val="19"/>
                  </w:rPr>
                  <w:t> </w:t>
                </w:r>
                <w:r>
                  <w:rPr>
                    <w:b/>
                    <w:w w:val="105"/>
                    <w:sz w:val="19"/>
                  </w:rPr>
                  <w:t>University </w:t>
                </w:r>
                <w:r>
                  <w:rPr>
                    <w:w w:val="105"/>
                    <w:sz w:val="19"/>
                  </w:rPr>
                  <w:t>Visiting</w:t>
                </w:r>
                <w:r>
                  <w:rPr>
                    <w:spacing w:val="-14"/>
                    <w:w w:val="105"/>
                    <w:sz w:val="19"/>
                  </w:rPr>
                  <w:t> </w:t>
                </w:r>
                <w:r>
                  <w:rPr>
                    <w:w w:val="105"/>
                    <w:sz w:val="19"/>
                  </w:rPr>
                  <w:t>Team</w:t>
                </w:r>
                <w:r>
                  <w:rPr>
                    <w:spacing w:val="-12"/>
                    <w:w w:val="105"/>
                    <w:sz w:val="19"/>
                  </w:rPr>
                  <w:t> </w:t>
                </w:r>
                <w:r>
                  <w:rPr>
                    <w:w w:val="105"/>
                    <w:sz w:val="19"/>
                  </w:rPr>
                  <w:t>Report 21-25 March 2009</w:t>
                </w:r>
              </w:p>
            </w:txbxContent>
          </v:textbox>
          <w10:wrap type="none"/>
        </v:shape>
      </w:pic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29984" from="67.451866pt,68.849731pt" to="537.687757pt,68.849731pt" stroked="true" strokeweight=".481434pt" strokecolor="#000000">
          <v:stroke dashstyle="solid"/>
          <w10:wrap type="none"/>
        </v:line>
      </w:pict>
    </w:r>
    <w:r>
      <w:rPr/>
      <w:pict>
        <v:shape style="position:absolute;margin-left:439.555511pt;margin-top:33.226513pt;width:96.95pt;height:35.8pt;mso-position-horizontal-relative:page;mso-position-vertical-relative:page;z-index:-26729472" type="#_x0000_t202" id="docshape668" filled="false" stroked="false">
          <v:textbox inset="0,0,0,0">
            <w:txbxContent>
              <w:p>
                <w:pPr>
                  <w:spacing w:line="254" w:lineRule="auto" w:before="14"/>
                  <w:ind w:left="44" w:right="18" w:hanging="25"/>
                  <w:jc w:val="right"/>
                  <w:rPr>
                    <w:sz w:val="19"/>
                  </w:rPr>
                </w:pPr>
                <w:r>
                  <w:rPr>
                    <w:w w:val="115"/>
                    <w:sz w:val="19"/>
                  </w:rPr>
                  <w:t>Hampton</w:t>
                </w:r>
                <w:r>
                  <w:rPr>
                    <w:spacing w:val="-16"/>
                    <w:w w:val="115"/>
                    <w:sz w:val="19"/>
                  </w:rPr>
                  <w:t> </w:t>
                </w:r>
                <w:r>
                  <w:rPr>
                    <w:w w:val="115"/>
                    <w:sz w:val="19"/>
                  </w:rPr>
                  <w:t>University </w:t>
                </w:r>
                <w:r>
                  <w:rPr>
                    <w:w w:val="105"/>
                    <w:sz w:val="19"/>
                  </w:rPr>
                  <w:t>Visiting</w:t>
                </w:r>
                <w:r>
                  <w:rPr>
                    <w:spacing w:val="-13"/>
                    <w:w w:val="105"/>
                    <w:sz w:val="19"/>
                  </w:rPr>
                  <w:t> </w:t>
                </w:r>
                <w:r>
                  <w:rPr>
                    <w:w w:val="105"/>
                    <w:sz w:val="19"/>
                  </w:rPr>
                  <w:t>Team</w:t>
                </w:r>
                <w:r>
                  <w:rPr>
                    <w:spacing w:val="-13"/>
                    <w:w w:val="105"/>
                    <w:sz w:val="19"/>
                  </w:rPr>
                  <w:t> </w:t>
                </w:r>
                <w:r>
                  <w:rPr>
                    <w:w w:val="105"/>
                    <w:sz w:val="19"/>
                  </w:rPr>
                  <w:t>Report </w:t>
                </w:r>
                <w:r>
                  <w:rPr>
                    <w:w w:val="115"/>
                    <w:sz w:val="19"/>
                  </w:rPr>
                  <w:t>21-25 March 2009</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28960" from="63.597477pt,69.812599pt" to="538.169559pt,69.812599pt" stroked="true" strokeweight=".962868pt" strokecolor="#000000">
          <v:stroke dashstyle="solid"/>
          <w10:wrap type="none"/>
        </v:line>
      </w:pict>
    </w:r>
    <w:r>
      <w:rPr/>
      <w:pict>
        <v:shape style="position:absolute;margin-left:440.519104pt;margin-top:33.707912pt;width:97.4pt;height:36.25pt;mso-position-horizontal-relative:page;mso-position-vertical-relative:page;z-index:-26728448" type="#_x0000_t202" id="docshape670" filled="false" stroked="false">
          <v:textbox inset="0,0,0,0">
            <w:txbxContent>
              <w:p>
                <w:pPr>
                  <w:spacing w:line="259" w:lineRule="auto" w:before="14"/>
                  <w:ind w:left="44" w:right="18" w:hanging="25"/>
                  <w:jc w:val="right"/>
                  <w:rPr>
                    <w:sz w:val="19"/>
                  </w:rPr>
                </w:pPr>
                <w:r>
                  <w:rPr>
                    <w:w w:val="110"/>
                    <w:sz w:val="19"/>
                  </w:rPr>
                  <w:t>Hampton University </w:t>
                </w:r>
                <w:r>
                  <w:rPr>
                    <w:w w:val="105"/>
                    <w:sz w:val="19"/>
                  </w:rPr>
                  <w:t>Visiting</w:t>
                </w:r>
                <w:r>
                  <w:rPr>
                    <w:spacing w:val="-11"/>
                    <w:w w:val="105"/>
                    <w:sz w:val="19"/>
                  </w:rPr>
                  <w:t> </w:t>
                </w:r>
                <w:r>
                  <w:rPr>
                    <w:w w:val="105"/>
                    <w:sz w:val="19"/>
                  </w:rPr>
                  <w:t>Team</w:t>
                </w:r>
                <w:r>
                  <w:rPr>
                    <w:spacing w:val="-7"/>
                    <w:w w:val="105"/>
                    <w:sz w:val="19"/>
                  </w:rPr>
                  <w:t> </w:t>
                </w:r>
                <w:r>
                  <w:rPr>
                    <w:w w:val="105"/>
                    <w:sz w:val="19"/>
                  </w:rPr>
                  <w:t>Report </w:t>
                </w:r>
                <w:r>
                  <w:rPr>
                    <w:w w:val="110"/>
                    <w:sz w:val="19"/>
                  </w:rPr>
                  <w:t>21-25 March 2009</w:t>
                </w:r>
              </w:p>
            </w:txbxContent>
          </v:textbox>
          <w10:wrap type="none"/>
        </v:shape>
      </w:pic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27936" from="65.524673pt,66.923996pt" to="535.760564pt,66.923996pt" stroked="true" strokeweight=".481434pt" strokecolor="#000000">
          <v:stroke dashstyle="solid"/>
          <w10:wrap type="none"/>
        </v:line>
      </w:pict>
    </w:r>
    <w:r>
      <w:rPr/>
      <w:pict>
        <v:shape style="position:absolute;margin-left:438.668213pt;margin-top:31.300814pt;width:96.85pt;height:35.8pt;mso-position-horizontal-relative:page;mso-position-vertical-relative:page;z-index:-26727424" type="#_x0000_t202" id="docshape672" filled="false" stroked="false">
          <v:textbox inset="0,0,0,0">
            <w:txbxContent>
              <w:p>
                <w:pPr>
                  <w:spacing w:line="254" w:lineRule="auto" w:before="14"/>
                  <w:ind w:left="42" w:right="18" w:hanging="23"/>
                  <w:jc w:val="right"/>
                  <w:rPr>
                    <w:sz w:val="19"/>
                  </w:rPr>
                </w:pPr>
                <w:r>
                  <w:rPr>
                    <w:b/>
                    <w:w w:val="105"/>
                    <w:sz w:val="19"/>
                  </w:rPr>
                  <w:t>Hampton</w:t>
                </w:r>
                <w:r>
                  <w:rPr>
                    <w:b/>
                    <w:spacing w:val="-14"/>
                    <w:w w:val="105"/>
                    <w:sz w:val="19"/>
                  </w:rPr>
                  <w:t> </w:t>
                </w:r>
                <w:r>
                  <w:rPr>
                    <w:b/>
                    <w:w w:val="105"/>
                    <w:sz w:val="19"/>
                  </w:rPr>
                  <w:t>University </w:t>
                </w:r>
                <w:r>
                  <w:rPr>
                    <w:w w:val="105"/>
                    <w:sz w:val="19"/>
                  </w:rPr>
                  <w:t>Visiting</w:t>
                </w:r>
                <w:r>
                  <w:rPr>
                    <w:spacing w:val="-14"/>
                    <w:w w:val="105"/>
                    <w:sz w:val="19"/>
                  </w:rPr>
                  <w:t> </w:t>
                </w:r>
                <w:r>
                  <w:rPr>
                    <w:w w:val="105"/>
                    <w:sz w:val="19"/>
                  </w:rPr>
                  <w:t>Team</w:t>
                </w:r>
                <w:r>
                  <w:rPr>
                    <w:spacing w:val="-12"/>
                    <w:w w:val="105"/>
                    <w:sz w:val="19"/>
                  </w:rPr>
                  <w:t> </w:t>
                </w:r>
                <w:r>
                  <w:rPr>
                    <w:w w:val="105"/>
                    <w:sz w:val="19"/>
                  </w:rPr>
                  <w:t>Report 21-25 March 2009</w:t>
                </w:r>
              </w:p>
            </w:txbxContent>
          </v:textbox>
          <w10:wrap type="none"/>
        </v:shape>
      </w:pic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26912" from="65.524673pt,71.738335pt" to="537.687761pt,71.738335pt" stroked="true" strokeweight=".481434pt" strokecolor="#000000">
          <v:stroke dashstyle="solid"/>
          <w10:wrap type="none"/>
        </v:line>
      </w:pict>
    </w:r>
    <w:r>
      <w:rPr/>
      <w:pict>
        <v:shape style="position:absolute;margin-left:440.478394pt;margin-top:35.179726pt;width:97.8pt;height:36.8pt;mso-position-horizontal-relative:page;mso-position-vertical-relative:page;z-index:-26726400" type="#_x0000_t202" id="docshape674" filled="false" stroked="false">
          <v:textbox inset="0,0,0,0">
            <w:txbxContent>
              <w:p>
                <w:pPr>
                  <w:pStyle w:val="BodyText"/>
                  <w:spacing w:line="247" w:lineRule="auto" w:before="14"/>
                  <w:ind w:left="54" w:right="18" w:hanging="35"/>
                  <w:jc w:val="right"/>
                </w:pPr>
                <w:r>
                  <w:rPr>
                    <w:w w:val="105"/>
                  </w:rPr>
                  <w:t>Hampton</w:t>
                </w:r>
                <w:r>
                  <w:rPr>
                    <w:spacing w:val="-6"/>
                    <w:w w:val="105"/>
                  </w:rPr>
                  <w:t> </w:t>
                </w:r>
                <w:r>
                  <w:rPr>
                    <w:w w:val="105"/>
                  </w:rPr>
                  <w:t>University </w:t>
                </w:r>
                <w:r>
                  <w:rPr/>
                  <w:t>Visiting</w:t>
                </w:r>
                <w:r>
                  <w:rPr>
                    <w:spacing w:val="-14"/>
                  </w:rPr>
                  <w:t> </w:t>
                </w:r>
                <w:r>
                  <w:rPr/>
                  <w:t>Team</w:t>
                </w:r>
                <w:r>
                  <w:rPr>
                    <w:spacing w:val="-10"/>
                  </w:rPr>
                  <w:t> </w:t>
                </w:r>
                <w:r>
                  <w:rPr/>
                  <w:t>Report </w:t>
                </w:r>
                <w:r>
                  <w:rPr>
                    <w:w w:val="105"/>
                  </w:rPr>
                  <w:t>21-25 March 2009</w:t>
                </w:r>
              </w:p>
            </w:txbxContent>
          </v:textbox>
          <w10:wrap type="none"/>
        </v:shape>
      </w:pict>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40.037292pt;margin-top:31.300814pt;width:96.95pt;height:24.2pt;mso-position-horizontal-relative:page;mso-position-vertical-relative:page;z-index:-26725888" type="#_x0000_t202" id="docshape676" filled="false" stroked="false">
          <v:textbox inset="0,0,0,0">
            <w:txbxContent>
              <w:p>
                <w:pPr>
                  <w:spacing w:line="254" w:lineRule="auto" w:before="14"/>
                  <w:ind w:left="44" w:right="0" w:hanging="25"/>
                  <w:jc w:val="left"/>
                  <w:rPr>
                    <w:sz w:val="19"/>
                  </w:rPr>
                </w:pPr>
                <w:r>
                  <w:rPr>
                    <w:w w:val="110"/>
                    <w:sz w:val="19"/>
                  </w:rPr>
                  <w:t>Hampton Untversity </w:t>
                </w:r>
                <w:r>
                  <w:rPr>
                    <w:w w:val="105"/>
                    <w:sz w:val="19"/>
                  </w:rPr>
                  <w:t>Visiting</w:t>
                </w:r>
                <w:r>
                  <w:rPr>
                    <w:spacing w:val="-8"/>
                    <w:w w:val="105"/>
                    <w:sz w:val="19"/>
                  </w:rPr>
                  <w:t> </w:t>
                </w:r>
                <w:r>
                  <w:rPr>
                    <w:w w:val="105"/>
                    <w:sz w:val="19"/>
                  </w:rPr>
                  <w:t>Team</w:t>
                </w:r>
                <w:r>
                  <w:rPr>
                    <w:spacing w:val="-3"/>
                    <w:w w:val="105"/>
                    <w:sz w:val="19"/>
                  </w:rPr>
                  <w:t> </w:t>
                </w:r>
                <w:r>
                  <w:rPr>
                    <w:spacing w:val="-2"/>
                    <w:w w:val="105"/>
                    <w:sz w:val="19"/>
                  </w:rPr>
                  <w:t>Report</w:t>
                </w:r>
              </w:p>
            </w:txbxContent>
          </v:textbox>
          <w10:wrap type="none"/>
        </v:shape>
      </w:pic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25376" from="65.524673pt,72.219772pt" to="538.169560pt,72.219772pt" stroked="true" strokeweight=".481434pt" strokecolor="#000000">
          <v:stroke dashstyle="solid"/>
          <w10:wrap type="none"/>
        </v:line>
      </w:pict>
    </w:r>
    <w:r>
      <w:rPr/>
      <w:pict>
        <v:shape style="position:absolute;margin-left:439.0737pt;margin-top:33.226513pt;width:96.85pt;height:36.25pt;mso-position-horizontal-relative:page;mso-position-vertical-relative:page;z-index:-26724864" type="#_x0000_t202" id="docshape679" filled="false" stroked="false">
          <v:textbox inset="0,0,0,0">
            <w:txbxContent>
              <w:p>
                <w:pPr>
                  <w:spacing w:line="259" w:lineRule="auto" w:before="14"/>
                  <w:ind w:left="44" w:right="18" w:hanging="25"/>
                  <w:jc w:val="right"/>
                  <w:rPr>
                    <w:sz w:val="19"/>
                  </w:rPr>
                </w:pPr>
                <w:r>
                  <w:rPr>
                    <w:w w:val="110"/>
                    <w:sz w:val="19"/>
                  </w:rPr>
                  <w:t>Hampton University </w:t>
                </w:r>
                <w:r>
                  <w:rPr>
                    <w:w w:val="105"/>
                    <w:sz w:val="19"/>
                  </w:rPr>
                  <w:t>Visiting</w:t>
                </w:r>
                <w:r>
                  <w:rPr>
                    <w:spacing w:val="-14"/>
                    <w:w w:val="105"/>
                    <w:sz w:val="19"/>
                  </w:rPr>
                  <w:t> </w:t>
                </w:r>
                <w:r>
                  <w:rPr>
                    <w:w w:val="105"/>
                    <w:sz w:val="19"/>
                  </w:rPr>
                  <w:t>Team</w:t>
                </w:r>
                <w:r>
                  <w:rPr>
                    <w:spacing w:val="-14"/>
                    <w:w w:val="105"/>
                    <w:sz w:val="19"/>
                  </w:rPr>
                  <w:t> </w:t>
                </w:r>
                <w:r>
                  <w:rPr>
                    <w:w w:val="105"/>
                    <w:sz w:val="19"/>
                  </w:rPr>
                  <w:t>Report </w:t>
                </w:r>
                <w:r>
                  <w:rPr>
                    <w:w w:val="110"/>
                    <w:sz w:val="19"/>
                  </w:rPr>
                  <w:t>21-25 March 2009</w:t>
                </w:r>
              </w:p>
            </w:txbxContent>
          </v:textbox>
          <w10:wrap type="none"/>
        </v:shape>
      </w:pict>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24352" from="65.524673pt,68.849731pt" to="537.687761pt,68.849731pt" stroked="true" strokeweight=".962868pt" strokecolor="#000000">
          <v:stroke dashstyle="solid"/>
          <w10:wrap type="none"/>
        </v:line>
      </w:pict>
    </w:r>
    <w:r>
      <w:rPr/>
      <w:pict>
        <v:shape style="position:absolute;margin-left:439.0737pt;margin-top:33.226513pt;width:96.85pt;height:36.25pt;mso-position-horizontal-relative:page;mso-position-vertical-relative:page;z-index:-26723840" type="#_x0000_t202" id="docshape683" filled="false" stroked="false">
          <v:textbox inset="0,0,0,0">
            <w:txbxContent>
              <w:p>
                <w:pPr>
                  <w:spacing w:line="259" w:lineRule="auto" w:before="14"/>
                  <w:ind w:left="44" w:right="18" w:hanging="25"/>
                  <w:jc w:val="right"/>
                  <w:rPr>
                    <w:sz w:val="19"/>
                  </w:rPr>
                </w:pPr>
                <w:r>
                  <w:rPr>
                    <w:w w:val="110"/>
                    <w:sz w:val="19"/>
                  </w:rPr>
                  <w:t>Hampton University </w:t>
                </w:r>
                <w:r>
                  <w:rPr>
                    <w:w w:val="105"/>
                    <w:sz w:val="19"/>
                  </w:rPr>
                  <w:t>Visiting</w:t>
                </w:r>
                <w:r>
                  <w:rPr>
                    <w:spacing w:val="-14"/>
                    <w:w w:val="105"/>
                    <w:sz w:val="19"/>
                  </w:rPr>
                  <w:t> </w:t>
                </w:r>
                <w:r>
                  <w:rPr>
                    <w:w w:val="105"/>
                    <w:sz w:val="19"/>
                  </w:rPr>
                  <w:t>Team</w:t>
                </w:r>
                <w:r>
                  <w:rPr>
                    <w:spacing w:val="-14"/>
                    <w:w w:val="105"/>
                    <w:sz w:val="19"/>
                  </w:rPr>
                  <w:t> </w:t>
                </w:r>
                <w:r>
                  <w:rPr>
                    <w:w w:val="105"/>
                    <w:sz w:val="19"/>
                  </w:rPr>
                  <w:t>Report </w:t>
                </w:r>
                <w:r>
                  <w:rPr>
                    <w:w w:val="110"/>
                    <w:sz w:val="19"/>
                  </w:rPr>
                  <w:t>21-25 March 2009</w:t>
                </w:r>
              </w:p>
            </w:txbxContent>
          </v:textbox>
          <w10:wrap type="none"/>
        </v:shape>
      </w:pic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23328" from="65.524673pt,71.256905pt" to="539.614957pt,71.256905pt" stroked="true" strokeweight=".962868pt" strokecolor="#000000">
          <v:stroke dashstyle="solid"/>
          <w10:wrap type="none"/>
        </v:line>
      </w:pict>
    </w:r>
    <w:r>
      <w:rPr/>
      <w:pict>
        <v:shape style="position:absolute;margin-left:440.037292pt;margin-top:35.152214pt;width:98.35pt;height:36.25pt;mso-position-horizontal-relative:page;mso-position-vertical-relative:page;z-index:-26722816" type="#_x0000_t202" id="docshape686" filled="false" stroked="false">
          <v:textbox inset="0,0,0,0">
            <w:txbxContent>
              <w:p>
                <w:pPr>
                  <w:spacing w:line="259" w:lineRule="auto" w:before="14"/>
                  <w:ind w:left="44" w:right="18" w:hanging="25"/>
                  <w:jc w:val="right"/>
                  <w:rPr>
                    <w:sz w:val="19"/>
                  </w:rPr>
                </w:pPr>
                <w:r>
                  <w:rPr>
                    <w:w w:val="110"/>
                    <w:sz w:val="19"/>
                  </w:rPr>
                  <w:t>Hampton University </w:t>
                </w:r>
                <w:r>
                  <w:rPr>
                    <w:w w:val="105"/>
                    <w:sz w:val="19"/>
                  </w:rPr>
                  <w:t>Visiting Team Report </w:t>
                </w:r>
                <w:r>
                  <w:rPr>
                    <w:w w:val="110"/>
                    <w:sz w:val="19"/>
                  </w:rPr>
                  <w:t>21-25 March 2009</w:t>
                </w:r>
              </w:p>
            </w:txbxContent>
          </v:textbox>
          <w10:wrap type="none"/>
        </v:shape>
      </w:pic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41.000885pt;margin-top:27.930714pt;width:97.4pt;height:35.8pt;mso-position-horizontal-relative:page;mso-position-vertical-relative:page;z-index:-26722304" type="#_x0000_t202" id="docshape691" filled="false" stroked="false">
          <v:textbox inset="0,0,0,0">
            <w:txbxContent>
              <w:p>
                <w:pPr>
                  <w:spacing w:line="254" w:lineRule="auto" w:before="14"/>
                  <w:ind w:left="44" w:right="18" w:hanging="25"/>
                  <w:jc w:val="right"/>
                  <w:rPr>
                    <w:sz w:val="19"/>
                  </w:rPr>
                </w:pPr>
                <w:r>
                  <w:rPr>
                    <w:w w:val="115"/>
                    <w:sz w:val="19"/>
                  </w:rPr>
                  <w:t>Hampton</w:t>
                </w:r>
                <w:r>
                  <w:rPr>
                    <w:spacing w:val="-16"/>
                    <w:w w:val="115"/>
                    <w:sz w:val="19"/>
                  </w:rPr>
                  <w:t> </w:t>
                </w:r>
                <w:r>
                  <w:rPr>
                    <w:w w:val="115"/>
                    <w:sz w:val="19"/>
                  </w:rPr>
                  <w:t>University </w:t>
                </w:r>
                <w:r>
                  <w:rPr>
                    <w:w w:val="105"/>
                    <w:sz w:val="19"/>
                  </w:rPr>
                  <w:t>Visiting</w:t>
                </w:r>
                <w:r>
                  <w:rPr>
                    <w:spacing w:val="-5"/>
                    <w:w w:val="105"/>
                    <w:sz w:val="19"/>
                  </w:rPr>
                  <w:t> </w:t>
                </w:r>
                <w:r>
                  <w:rPr>
                    <w:w w:val="105"/>
                    <w:sz w:val="19"/>
                  </w:rPr>
                  <w:t>Team</w:t>
                </w:r>
                <w:r>
                  <w:rPr>
                    <w:spacing w:val="-13"/>
                    <w:w w:val="105"/>
                    <w:sz w:val="19"/>
                  </w:rPr>
                  <w:t> </w:t>
                </w:r>
                <w:r>
                  <w:rPr>
                    <w:w w:val="105"/>
                    <w:sz w:val="19"/>
                  </w:rPr>
                  <w:t>Report </w:t>
                </w:r>
                <w:r>
                  <w:rPr>
                    <w:w w:val="115"/>
                    <w:sz w:val="19"/>
                  </w:rPr>
                  <w:t>21-25 March 2009</w:t>
                </w:r>
              </w:p>
            </w:txbxContent>
          </v:textbox>
          <w10:wrap type="none"/>
        </v:shape>
      </w:pic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21792" from="67.451866pt,69.331169pt" to="539.614953pt,69.331169pt" stroked="true" strokeweight=".962868pt" strokecolor="#000000">
          <v:stroke dashstyle="solid"/>
          <w10:wrap type="none"/>
        </v:line>
      </w:pict>
    </w:r>
    <w:r>
      <w:rPr/>
      <w:pict>
        <v:shape style="position:absolute;margin-left:441.964508pt;margin-top:33.707912pt;width:96.75pt;height:36.25pt;mso-position-horizontal-relative:page;mso-position-vertical-relative:page;z-index:-26721280" type="#_x0000_t202" id="docshape696" filled="false" stroked="false">
          <v:textbox inset="0,0,0,0">
            <w:txbxContent>
              <w:p>
                <w:pPr>
                  <w:spacing w:line="259" w:lineRule="auto" w:before="14"/>
                  <w:ind w:left="34" w:right="18" w:hanging="15"/>
                  <w:jc w:val="right"/>
                  <w:rPr>
                    <w:sz w:val="19"/>
                  </w:rPr>
                </w:pPr>
                <w:r>
                  <w:rPr>
                    <w:spacing w:val="-2"/>
                    <w:w w:val="115"/>
                    <w:sz w:val="19"/>
                  </w:rPr>
                  <w:t>Hampton</w:t>
                </w:r>
                <w:r>
                  <w:rPr>
                    <w:spacing w:val="-14"/>
                    <w:w w:val="115"/>
                    <w:sz w:val="19"/>
                  </w:rPr>
                  <w:t> </w:t>
                </w:r>
                <w:r>
                  <w:rPr>
                    <w:spacing w:val="-2"/>
                    <w:w w:val="115"/>
                    <w:sz w:val="19"/>
                  </w:rPr>
                  <w:t>University </w:t>
                </w:r>
                <w:r>
                  <w:rPr>
                    <w:w w:val="105"/>
                    <w:sz w:val="19"/>
                  </w:rPr>
                  <w:t>Visiting</w:t>
                </w:r>
                <w:r>
                  <w:rPr>
                    <w:spacing w:val="-10"/>
                    <w:w w:val="105"/>
                    <w:sz w:val="19"/>
                  </w:rPr>
                  <w:t> </w:t>
                </w:r>
                <w:r>
                  <w:rPr>
                    <w:w w:val="105"/>
                    <w:sz w:val="19"/>
                  </w:rPr>
                  <w:t>Team</w:t>
                </w:r>
                <w:r>
                  <w:rPr>
                    <w:spacing w:val="-10"/>
                    <w:w w:val="105"/>
                    <w:sz w:val="19"/>
                  </w:rPr>
                  <w:t> </w:t>
                </w:r>
                <w:r>
                  <w:rPr>
                    <w:w w:val="105"/>
                    <w:sz w:val="19"/>
                  </w:rPr>
                  <w:t>Report </w:t>
                </w:r>
                <w:r>
                  <w:rPr>
                    <w:w w:val="115"/>
                    <w:sz w:val="19"/>
                  </w:rPr>
                  <w:t>21-25 March 2009</w:t>
                </w:r>
              </w:p>
            </w:txbxContent>
          </v:textbox>
          <w10:wrap type="none"/>
        </v:shape>
      </w:pict>
    </w: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20768" from="65.524673pt,65.479698pt" to="536.242363pt,65.479698pt" stroked="true" strokeweight=".481434pt" strokecolor="#000000">
          <v:stroke dashstyle="solid"/>
          <w10:wrap type="none"/>
        </v:line>
      </w:pict>
    </w:r>
    <w:r>
      <w:rPr/>
      <w:pict>
        <v:shape style="position:absolute;margin-left:439.631805pt;margin-top:29.375013pt;width:97.7pt;height:35.9pt;mso-position-horizontal-relative:page;mso-position-vertical-relative:page;z-index:-26720256" type="#_x0000_t202" id="docshape698" filled="false" stroked="false">
          <v:textbox inset="0,0,0,0">
            <w:txbxContent>
              <w:p>
                <w:pPr>
                  <w:spacing w:line="242" w:lineRule="auto" w:before="14"/>
                  <w:ind w:left="42" w:right="18" w:hanging="23"/>
                  <w:jc w:val="right"/>
                  <w:rPr>
                    <w:sz w:val="20"/>
                  </w:rPr>
                </w:pPr>
                <w:r>
                  <w:rPr>
                    <w:b/>
                    <w:w w:val="105"/>
                    <w:sz w:val="19"/>
                  </w:rPr>
                  <w:t>Hampton</w:t>
                </w:r>
                <w:r>
                  <w:rPr>
                    <w:b/>
                    <w:spacing w:val="-8"/>
                    <w:w w:val="105"/>
                    <w:sz w:val="19"/>
                  </w:rPr>
                  <w:t> </w:t>
                </w:r>
                <w:r>
                  <w:rPr>
                    <w:b/>
                    <w:w w:val="105"/>
                    <w:sz w:val="19"/>
                  </w:rPr>
                  <w:t>University </w:t>
                </w:r>
                <w:r>
                  <w:rPr>
                    <w:sz w:val="20"/>
                  </w:rPr>
                  <w:t>Visiting</w:t>
                </w:r>
                <w:r>
                  <w:rPr>
                    <w:spacing w:val="-9"/>
                    <w:sz w:val="20"/>
                  </w:rPr>
                  <w:t> </w:t>
                </w:r>
                <w:r>
                  <w:rPr>
                    <w:sz w:val="20"/>
                  </w:rPr>
                  <w:t>Team</w:t>
                </w:r>
                <w:r>
                  <w:rPr>
                    <w:spacing w:val="-5"/>
                    <w:sz w:val="20"/>
                  </w:rPr>
                  <w:t> </w:t>
                </w:r>
                <w:r>
                  <w:rPr>
                    <w:sz w:val="20"/>
                  </w:rPr>
                  <w:t>Report </w:t>
                </w:r>
                <w:r>
                  <w:rPr>
                    <w:w w:val="105"/>
                    <w:sz w:val="20"/>
                  </w:rPr>
                  <w:t>21-25 March 2009</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32.199997pt;margin-top:71.103477pt;width:170.9pt;height:13.15pt;mso-position-horizontal-relative:page;mso-position-vertical-relative:page;z-index:-27043328" type="#_x0000_t202" id="docshape11" filled="false" stroked="false">
          <v:textbox inset="0,0,0,0">
            <w:txbxContent>
              <w:p>
                <w:pPr>
                  <w:spacing w:before="12"/>
                  <w:ind w:left="20" w:right="0" w:firstLine="0"/>
                  <w:jc w:val="left"/>
                  <w:rPr>
                    <w:b/>
                    <w:sz w:val="20"/>
                  </w:rPr>
                </w:pPr>
                <w:r>
                  <w:rPr>
                    <w:b/>
                    <w:sz w:val="20"/>
                  </w:rPr>
                  <w:t>Spring</w:t>
                </w:r>
                <w:r>
                  <w:rPr>
                    <w:b/>
                    <w:spacing w:val="-8"/>
                    <w:sz w:val="20"/>
                  </w:rPr>
                  <w:t> </w:t>
                </w:r>
                <w:r>
                  <w:rPr>
                    <w:b/>
                    <w:sz w:val="20"/>
                  </w:rPr>
                  <w:t>2014</w:t>
                </w:r>
                <w:r>
                  <w:rPr>
                    <w:b/>
                    <w:spacing w:val="-7"/>
                    <w:sz w:val="20"/>
                  </w:rPr>
                  <w:t> </w:t>
                </w:r>
                <w:r>
                  <w:rPr>
                    <w:b/>
                    <w:sz w:val="20"/>
                  </w:rPr>
                  <w:t>Teaching</w:t>
                </w:r>
                <w:r>
                  <w:rPr>
                    <w:b/>
                    <w:spacing w:val="-3"/>
                    <w:sz w:val="20"/>
                  </w:rPr>
                  <w:t> </w:t>
                </w:r>
                <w:r>
                  <w:rPr>
                    <w:b/>
                    <w:spacing w:val="-2"/>
                    <w:sz w:val="20"/>
                  </w:rPr>
                  <w:t>Assignments</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18720" from="65.524673pt,65.479698pt" to="537.687761pt,65.479698pt" stroked="true" strokeweight=".962868pt" strokecolor="#000000">
          <v:stroke dashstyle="solid"/>
          <w10:wrap type="none"/>
        </v:line>
      </w:pict>
    </w:r>
    <w:r>
      <w:rPr/>
      <w:pict>
        <v:shape style="position:absolute;margin-left:438.992401pt;margin-top:28.948437pt;width:97.3pt;height:36.2pt;mso-position-horizontal-relative:page;mso-position-vertical-relative:page;z-index:-26718208" type="#_x0000_t202" id="docshape700" filled="false" stroked="false">
          <v:textbox inset="0,0,0,0">
            <w:txbxContent>
              <w:p>
                <w:pPr>
                  <w:spacing w:line="244" w:lineRule="auto" w:before="13"/>
                  <w:ind w:left="45" w:right="18" w:hanging="26"/>
                  <w:jc w:val="right"/>
                  <w:rPr>
                    <w:sz w:val="19"/>
                  </w:rPr>
                </w:pPr>
                <w:r>
                  <w:rPr>
                    <w:spacing w:val="-2"/>
                    <w:w w:val="105"/>
                    <w:sz w:val="21"/>
                  </w:rPr>
                  <w:t>Hampton</w:t>
                </w:r>
                <w:r>
                  <w:rPr>
                    <w:spacing w:val="-14"/>
                    <w:w w:val="105"/>
                    <w:sz w:val="21"/>
                  </w:rPr>
                  <w:t> </w:t>
                </w:r>
                <w:r>
                  <w:rPr>
                    <w:spacing w:val="-2"/>
                    <w:w w:val="105"/>
                    <w:sz w:val="21"/>
                  </w:rPr>
                  <w:t>University </w:t>
                </w:r>
                <w:r>
                  <w:rPr>
                    <w:w w:val="105"/>
                    <w:sz w:val="19"/>
                  </w:rPr>
                  <w:t>Visiting</w:t>
                </w:r>
                <w:r>
                  <w:rPr>
                    <w:spacing w:val="-14"/>
                    <w:w w:val="105"/>
                    <w:sz w:val="19"/>
                  </w:rPr>
                  <w:t> </w:t>
                </w:r>
                <w:r>
                  <w:rPr>
                    <w:w w:val="105"/>
                    <w:sz w:val="19"/>
                  </w:rPr>
                  <w:t>Team</w:t>
                </w:r>
                <w:r>
                  <w:rPr>
                    <w:spacing w:val="-7"/>
                    <w:w w:val="105"/>
                    <w:sz w:val="19"/>
                  </w:rPr>
                  <w:t> </w:t>
                </w:r>
                <w:r>
                  <w:rPr>
                    <w:w w:val="105"/>
                    <w:sz w:val="19"/>
                  </w:rPr>
                  <w:t>Report 21-25 March 2009</w:t>
                </w:r>
              </w:p>
            </w:txbxContent>
          </v:textbox>
          <w10:wrap type="none"/>
        </v:shape>
      </w:pic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16672" from="67.451866pt,66.442566pt" to="537.687757pt,66.442566pt" stroked="true" strokeweight=".481434pt" strokecolor="#000000">
          <v:stroke dashstyle="solid"/>
          <w10:wrap type="none"/>
        </v:line>
      </w:pict>
    </w:r>
    <w:r>
      <w:rPr/>
      <w:pict>
        <v:shape style="position:absolute;margin-left:440.037292pt;margin-top:30.337914pt;width:96.95pt;height:36pt;mso-position-horizontal-relative:page;mso-position-vertical-relative:page;z-index:-26716160" type="#_x0000_t202" id="docshape702" filled="false" stroked="false">
          <v:textbox inset="0,0,0,0">
            <w:txbxContent>
              <w:p>
                <w:pPr>
                  <w:spacing w:line="242" w:lineRule="auto" w:before="14"/>
                  <w:ind w:left="44" w:right="18" w:hanging="25"/>
                  <w:jc w:val="right"/>
                  <w:rPr>
                    <w:sz w:val="21"/>
                  </w:rPr>
                </w:pPr>
                <w:r>
                  <w:rPr>
                    <w:w w:val="105"/>
                    <w:sz w:val="19"/>
                  </w:rPr>
                  <w:t>Hampton University Visiting</w:t>
                </w:r>
                <w:r>
                  <w:rPr>
                    <w:spacing w:val="-14"/>
                    <w:w w:val="105"/>
                    <w:sz w:val="19"/>
                  </w:rPr>
                  <w:t> </w:t>
                </w:r>
                <w:r>
                  <w:rPr>
                    <w:w w:val="105"/>
                    <w:sz w:val="19"/>
                  </w:rPr>
                  <w:t>Team</w:t>
                </w:r>
                <w:r>
                  <w:rPr>
                    <w:spacing w:val="-12"/>
                    <w:w w:val="105"/>
                    <w:sz w:val="19"/>
                  </w:rPr>
                  <w:t> </w:t>
                </w:r>
                <w:r>
                  <w:rPr>
                    <w:w w:val="105"/>
                    <w:sz w:val="19"/>
                  </w:rPr>
                  <w:t>Report </w:t>
                </w:r>
                <w:r>
                  <w:rPr>
                    <w:w w:val="105"/>
                    <w:sz w:val="21"/>
                  </w:rPr>
                  <w:t>21-25 March 2009</w:t>
                </w:r>
              </w:p>
            </w:txbxContent>
          </v:textbox>
          <w10:wrap type="none"/>
        </v:shape>
      </w:pict>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3"/>
      </w:rPr>
    </w:pPr>
    <w:r>
      <w:rPr/>
      <w:pict>
        <v:shape style="position:absolute;margin-left:440.595398pt;margin-top:31.300814pt;width:96.15pt;height:12.65pt;mso-position-horizontal-relative:page;mso-position-vertical-relative:page;z-index:-26714624" type="#_x0000_t202" id="docshape704" filled="false" stroked="false">
          <v:textbox inset="0,0,0,0">
            <w:txbxContent>
              <w:p>
                <w:pPr>
                  <w:spacing w:before="14"/>
                  <w:ind w:left="20" w:right="0" w:firstLine="0"/>
                  <w:jc w:val="left"/>
                  <w:rPr>
                    <w:b/>
                    <w:sz w:val="19"/>
                  </w:rPr>
                </w:pPr>
                <w:r>
                  <w:rPr>
                    <w:b/>
                    <w:sz w:val="19"/>
                  </w:rPr>
                  <w:t>Hampton</w:t>
                </w:r>
                <w:r>
                  <w:rPr>
                    <w:b/>
                    <w:spacing w:val="18"/>
                    <w:w w:val="105"/>
                    <w:sz w:val="19"/>
                  </w:rPr>
                  <w:t> </w:t>
                </w:r>
                <w:r>
                  <w:rPr>
                    <w:b/>
                    <w:spacing w:val="-2"/>
                    <w:w w:val="105"/>
                    <w:sz w:val="19"/>
                  </w:rPr>
                  <w:t>University</w:t>
                </w:r>
              </w:p>
            </w:txbxContent>
          </v:textbox>
          <w10:wrap type="none"/>
        </v:shape>
      </w:pict>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40.595398pt;margin-top:31.300814pt;width:96.15pt;height:12.65pt;mso-position-horizontal-relative:page;mso-position-vertical-relative:page;z-index:-26714112" type="#_x0000_t202" id="docshape707" filled="false" stroked="false">
          <v:textbox inset="0,0,0,0">
            <w:txbxContent>
              <w:p>
                <w:pPr>
                  <w:spacing w:before="14"/>
                  <w:ind w:left="20" w:right="0" w:firstLine="0"/>
                  <w:jc w:val="left"/>
                  <w:rPr>
                    <w:b/>
                    <w:sz w:val="19"/>
                  </w:rPr>
                </w:pPr>
                <w:r>
                  <w:rPr>
                    <w:b/>
                    <w:sz w:val="19"/>
                  </w:rPr>
                  <w:t>Hampton</w:t>
                </w:r>
                <w:r>
                  <w:rPr>
                    <w:b/>
                    <w:spacing w:val="18"/>
                    <w:w w:val="105"/>
                    <w:sz w:val="19"/>
                  </w:rPr>
                  <w:t> </w:t>
                </w:r>
                <w:r>
                  <w:rPr>
                    <w:b/>
                    <w:spacing w:val="-2"/>
                    <w:w w:val="105"/>
                    <w:sz w:val="19"/>
                  </w:rPr>
                  <w:t>University</w:t>
                </w:r>
              </w:p>
            </w:txbxContent>
          </v:textbox>
          <w10:wrap type="none"/>
        </v:shape>
      </w:pict>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32.199997pt;margin-top:71.103477pt;width:156.450pt;height:13.15pt;mso-position-horizontal-relative:page;mso-position-vertical-relative:page;z-index:-27041280" type="#_x0000_t202" id="docshape15" filled="false" stroked="false">
          <v:textbox inset="0,0,0,0">
            <w:txbxContent>
              <w:p>
                <w:pPr>
                  <w:spacing w:before="12"/>
                  <w:ind w:left="20" w:right="0" w:firstLine="0"/>
                  <w:jc w:val="left"/>
                  <w:rPr>
                    <w:b/>
                    <w:sz w:val="20"/>
                  </w:rPr>
                </w:pPr>
                <w:r>
                  <w:rPr>
                    <w:b/>
                    <w:sz w:val="20"/>
                  </w:rPr>
                  <w:t>Fall</w:t>
                </w:r>
                <w:r>
                  <w:rPr>
                    <w:b/>
                    <w:spacing w:val="-8"/>
                    <w:sz w:val="20"/>
                  </w:rPr>
                  <w:t> </w:t>
                </w:r>
                <w:r>
                  <w:rPr>
                    <w:b/>
                    <w:sz w:val="20"/>
                  </w:rPr>
                  <w:t>2014</w:t>
                </w:r>
                <w:r>
                  <w:rPr>
                    <w:b/>
                    <w:spacing w:val="-7"/>
                    <w:sz w:val="20"/>
                  </w:rPr>
                  <w:t> </w:t>
                </w:r>
                <w:r>
                  <w:rPr>
                    <w:b/>
                    <w:sz w:val="20"/>
                  </w:rPr>
                  <w:t>Teaching</w:t>
                </w:r>
                <w:r>
                  <w:rPr>
                    <w:b/>
                    <w:spacing w:val="-2"/>
                    <w:sz w:val="20"/>
                  </w:rPr>
                  <w:t> Assignments</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71.103477pt;width:120.75pt;height:13.15pt;mso-position-horizontal-relative:page;mso-position-vertical-relative:page;z-index:-26933760" type="#_x0000_t202" id="docshape263" filled="false" stroked="false">
          <v:textbox inset="0,0,0,0">
            <w:txbxContent>
              <w:p>
                <w:pPr>
                  <w:spacing w:before="12"/>
                  <w:ind w:left="20" w:right="0" w:firstLine="0"/>
                  <w:jc w:val="left"/>
                  <w:rPr>
                    <w:b/>
                    <w:sz w:val="20"/>
                  </w:rPr>
                </w:pPr>
                <w:r>
                  <w:rPr>
                    <w:b/>
                    <w:sz w:val="20"/>
                  </w:rPr>
                  <w:t>Graphic</w:t>
                </w:r>
                <w:r>
                  <w:rPr>
                    <w:b/>
                    <w:spacing w:val="-7"/>
                    <w:sz w:val="20"/>
                  </w:rPr>
                  <w:t> </w:t>
                </w:r>
                <w:r>
                  <w:rPr>
                    <w:b/>
                    <w:sz w:val="20"/>
                  </w:rPr>
                  <w:t>Skills</w:t>
                </w:r>
                <w:r>
                  <w:rPr>
                    <w:b/>
                    <w:spacing w:val="-8"/>
                    <w:sz w:val="20"/>
                  </w:rPr>
                  <w:t> </w:t>
                </w:r>
                <w:r>
                  <w:rPr>
                    <w:b/>
                    <w:sz w:val="20"/>
                  </w:rPr>
                  <w:t>(SPC</w:t>
                </w:r>
                <w:r>
                  <w:rPr>
                    <w:b/>
                    <w:spacing w:val="-5"/>
                    <w:sz w:val="20"/>
                  </w:rPr>
                  <w:t> </w:t>
                </w:r>
                <w:r>
                  <w:rPr>
                    <w:b/>
                    <w:spacing w:val="-4"/>
                    <w:sz w:val="20"/>
                  </w:rPr>
                  <w:t>13.3)</w:t>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71.103477pt;width:150.85pt;height:13.15pt;mso-position-horizontal-relative:page;mso-position-vertical-relative:page;z-index:-26931712" type="#_x0000_t202" id="docshape267" filled="false" stroked="false">
          <v:textbox inset="0,0,0,0">
            <w:txbxContent>
              <w:p>
                <w:pPr>
                  <w:spacing w:before="12"/>
                  <w:ind w:left="20" w:right="0" w:firstLine="0"/>
                  <w:jc w:val="left"/>
                  <w:rPr>
                    <w:b/>
                    <w:sz w:val="20"/>
                  </w:rPr>
                </w:pPr>
                <w:r>
                  <w:rPr>
                    <w:b/>
                    <w:sz w:val="20"/>
                  </w:rPr>
                  <w:t>Structural</w:t>
                </w:r>
                <w:r>
                  <w:rPr>
                    <w:b/>
                    <w:spacing w:val="-9"/>
                    <w:sz w:val="20"/>
                  </w:rPr>
                  <w:t> </w:t>
                </w:r>
                <w:r>
                  <w:rPr>
                    <w:b/>
                    <w:sz w:val="20"/>
                  </w:rPr>
                  <w:t>Systems</w:t>
                </w:r>
                <w:r>
                  <w:rPr>
                    <w:b/>
                    <w:spacing w:val="-9"/>
                    <w:sz w:val="20"/>
                  </w:rPr>
                  <w:t> </w:t>
                </w:r>
                <w:r>
                  <w:rPr>
                    <w:b/>
                    <w:sz w:val="20"/>
                  </w:rPr>
                  <w:t>(SPC</w:t>
                </w:r>
                <w:r>
                  <w:rPr>
                    <w:b/>
                    <w:spacing w:val="-7"/>
                    <w:sz w:val="20"/>
                  </w:rPr>
                  <w:t> </w:t>
                </w:r>
                <w:r>
                  <w:rPr>
                    <w:b/>
                    <w:spacing w:val="-2"/>
                    <w:sz w:val="20"/>
                  </w:rPr>
                  <w:t>13.18)</w:t>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71.103477pt;width:173.05pt;height:13.15pt;mso-position-horizontal-relative:page;mso-position-vertical-relative:page;z-index:-26929664" type="#_x0000_t202" id="docshape271" filled="false" stroked="false">
          <v:textbox inset="0,0,0,0">
            <w:txbxContent>
              <w:p>
                <w:pPr>
                  <w:spacing w:before="12"/>
                  <w:ind w:left="20" w:right="0" w:firstLine="0"/>
                  <w:jc w:val="left"/>
                  <w:rPr>
                    <w:b/>
                    <w:sz w:val="20"/>
                  </w:rPr>
                </w:pPr>
                <w:r>
                  <w:rPr>
                    <w:b/>
                    <w:sz w:val="20"/>
                  </w:rPr>
                  <w:t>Environmental</w:t>
                </w:r>
                <w:r>
                  <w:rPr>
                    <w:b/>
                    <w:spacing w:val="-10"/>
                    <w:sz w:val="20"/>
                  </w:rPr>
                  <w:t> </w:t>
                </w:r>
                <w:r>
                  <w:rPr>
                    <w:b/>
                    <w:sz w:val="20"/>
                  </w:rPr>
                  <w:t>Systems</w:t>
                </w:r>
                <w:r>
                  <w:rPr>
                    <w:b/>
                    <w:spacing w:val="-10"/>
                    <w:sz w:val="20"/>
                  </w:rPr>
                  <w:t> </w:t>
                </w:r>
                <w:r>
                  <w:rPr>
                    <w:b/>
                    <w:sz w:val="20"/>
                  </w:rPr>
                  <w:t>(SPC</w:t>
                </w:r>
                <w:r>
                  <w:rPr>
                    <w:b/>
                    <w:spacing w:val="-8"/>
                    <w:sz w:val="20"/>
                  </w:rPr>
                  <w:t> </w:t>
                </w:r>
                <w:r>
                  <w:rPr>
                    <w:b/>
                    <w:spacing w:val="-2"/>
                    <w:sz w:val="20"/>
                  </w:rPr>
                  <w:t>13.19)</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61.919998pt;width:470.88pt;height:.72pt;mso-position-horizontal-relative:page;mso-position-vertical-relative:page;z-index:-26924544" id="docshape281" filled="true" fillcolor="#000000" stroked="false">
          <v:fill type="solid"/>
          <w10:wrap type="none"/>
        </v:rect>
      </w:pict>
    </w:r>
    <w:r>
      <w:rPr/>
      <w:pict>
        <v:shape style="position:absolute;margin-left:71pt;margin-top:48.663475pt;width:43.1pt;height:13.15pt;mso-position-horizontal-relative:page;mso-position-vertical-relative:page;z-index:-26924032" type="#_x0000_t202" id="docshape282" filled="false" stroked="false">
          <v:textbox inset="0,0,0,0">
            <w:txbxContent>
              <w:p>
                <w:pPr>
                  <w:spacing w:before="12"/>
                  <w:ind w:left="20" w:right="0" w:firstLine="0"/>
                  <w:jc w:val="left"/>
                  <w:rPr>
                    <w:b/>
                    <w:sz w:val="20"/>
                  </w:rPr>
                </w:pPr>
                <w:r>
                  <w:rPr>
                    <w:b/>
                    <w:sz w:val="20"/>
                  </w:rPr>
                  <w:t>ARC</w:t>
                </w:r>
                <w:r>
                  <w:rPr>
                    <w:b/>
                    <w:spacing w:val="-6"/>
                    <w:sz w:val="20"/>
                  </w:rPr>
                  <w:t> </w:t>
                </w:r>
                <w:r>
                  <w:rPr>
                    <w:b/>
                    <w:spacing w:val="-5"/>
                    <w:sz w:val="20"/>
                  </w:rPr>
                  <w:t>101</w:t>
                </w:r>
              </w:p>
            </w:txbxContent>
          </v:textbox>
          <w10:wrap type="none"/>
        </v:shape>
      </w:pict>
    </w:r>
    <w:r>
      <w:rPr/>
      <w:pict>
        <v:shape style="position:absolute;margin-left:161.725647pt;margin-top:48.663475pt;width:288.6pt;height:13.15pt;mso-position-horizontal-relative:page;mso-position-vertical-relative:page;z-index:-26923520" type="#_x0000_t202" id="docshape283" filled="false" stroked="false">
          <v:textbox inset="0,0,0,0">
            <w:txbxContent>
              <w:p>
                <w:pPr>
                  <w:spacing w:before="12"/>
                  <w:ind w:left="20" w:right="0" w:firstLine="0"/>
                  <w:jc w:val="left"/>
                  <w:rPr>
                    <w:b/>
                    <w:sz w:val="20"/>
                  </w:rPr>
                </w:pPr>
                <w:r>
                  <w:rPr>
                    <w:b/>
                    <w:sz w:val="20"/>
                  </w:rPr>
                  <w:t>Intro</w:t>
                </w:r>
                <w:r>
                  <w:rPr>
                    <w:b/>
                    <w:spacing w:val="-11"/>
                    <w:sz w:val="20"/>
                  </w:rPr>
                  <w:t> </w:t>
                </w:r>
                <w:r>
                  <w:rPr>
                    <w:b/>
                    <w:sz w:val="20"/>
                  </w:rPr>
                  <w:t>to</w:t>
                </w:r>
                <w:r>
                  <w:rPr>
                    <w:b/>
                    <w:spacing w:val="-10"/>
                    <w:sz w:val="20"/>
                  </w:rPr>
                  <w:t> </w:t>
                </w:r>
                <w:r>
                  <w:rPr>
                    <w:b/>
                    <w:sz w:val="20"/>
                  </w:rPr>
                  <w:t>Communication</w:t>
                </w:r>
                <w:r>
                  <w:rPr>
                    <w:b/>
                    <w:spacing w:val="-10"/>
                    <w:sz w:val="20"/>
                  </w:rPr>
                  <w:t> </w:t>
                </w:r>
                <w:r>
                  <w:rPr>
                    <w:b/>
                    <w:sz w:val="20"/>
                  </w:rPr>
                  <w:t>and</w:t>
                </w:r>
                <w:r>
                  <w:rPr>
                    <w:b/>
                    <w:spacing w:val="-10"/>
                    <w:sz w:val="20"/>
                  </w:rPr>
                  <w:t> </w:t>
                </w:r>
                <w:r>
                  <w:rPr>
                    <w:b/>
                    <w:sz w:val="20"/>
                  </w:rPr>
                  <w:t>Design</w:t>
                </w:r>
                <w:r>
                  <w:rPr>
                    <w:b/>
                    <w:spacing w:val="-11"/>
                    <w:sz w:val="20"/>
                  </w:rPr>
                  <w:t> </w:t>
                </w:r>
                <w:r>
                  <w:rPr>
                    <w:b/>
                    <w:sz w:val="20"/>
                  </w:rPr>
                  <w:t>Fundamentals—Studio</w:t>
                </w:r>
                <w:r>
                  <w:rPr>
                    <w:b/>
                    <w:spacing w:val="-10"/>
                    <w:sz w:val="20"/>
                  </w:rPr>
                  <w:t> I</w:t>
                </w:r>
              </w:p>
            </w:txbxContent>
          </v:textbox>
          <w10:wrap type="none"/>
        </v:shape>
      </w:pict>
    </w:r>
    <w:r>
      <w:rPr/>
      <w:pict>
        <v:shape style="position:absolute;margin-left:501.799866pt;margin-top:48.663475pt;width:39.1pt;height:13.15pt;mso-position-horizontal-relative:page;mso-position-vertical-relative:page;z-index:-26923008" type="#_x0000_t202" id="docshape284" filled="false" stroked="false">
          <v:textbox inset="0,0,0,0">
            <w:txbxContent>
              <w:p>
                <w:pPr>
                  <w:spacing w:before="12"/>
                  <w:ind w:left="20" w:right="0" w:firstLine="0"/>
                  <w:jc w:val="left"/>
                  <w:rPr>
                    <w:b/>
                    <w:sz w:val="20"/>
                  </w:rPr>
                </w:pPr>
                <w:r>
                  <w:rPr>
                    <w:b/>
                    <w:sz w:val="20"/>
                  </w:rPr>
                  <w:t>Credit</w:t>
                </w:r>
                <w:r>
                  <w:rPr>
                    <w:b/>
                    <w:spacing w:val="-9"/>
                    <w:sz w:val="20"/>
                  </w:rPr>
                  <w:t> </w:t>
                </w:r>
                <w:r>
                  <w:rPr>
                    <w:b/>
                    <w:spacing w:val="-10"/>
                    <w:sz w:val="20"/>
                  </w:rPr>
                  <w:t>5</w:t>
                </w:r>
              </w:p>
            </w:txbxContent>
          </v:textbox>
          <w10:wrap type="non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61.919998pt;width:470.88pt;height:.72pt;mso-position-horizontal-relative:page;mso-position-vertical-relative:page;z-index:-26920960" id="docshape288" filled="true" fillcolor="#000000" stroked="false">
          <v:fill type="solid"/>
          <w10:wrap type="none"/>
        </v:rect>
      </w:pict>
    </w:r>
    <w:r>
      <w:rPr/>
      <w:pict>
        <v:shape style="position:absolute;margin-left:71pt;margin-top:48.663475pt;width:298.05pt;height:13.15pt;mso-position-horizontal-relative:page;mso-position-vertical-relative:page;z-index:-26920448" type="#_x0000_t202" id="docshape289" filled="false" stroked="false">
          <v:textbox inset="0,0,0,0">
            <w:txbxContent>
              <w:p>
                <w:pPr>
                  <w:spacing w:before="12"/>
                  <w:ind w:left="20" w:right="0" w:firstLine="0"/>
                  <w:jc w:val="left"/>
                  <w:rPr>
                    <w:b/>
                    <w:sz w:val="20"/>
                  </w:rPr>
                </w:pPr>
                <w:r>
                  <w:rPr>
                    <w:b/>
                    <w:sz w:val="20"/>
                  </w:rPr>
                  <w:t>ARC</w:t>
                </w:r>
                <w:r>
                  <w:rPr>
                    <w:b/>
                    <w:spacing w:val="-9"/>
                    <w:sz w:val="20"/>
                  </w:rPr>
                  <w:t> </w:t>
                </w:r>
                <w:r>
                  <w:rPr>
                    <w:b/>
                    <w:sz w:val="20"/>
                  </w:rPr>
                  <w:t>102:</w:t>
                </w:r>
                <w:r>
                  <w:rPr>
                    <w:b/>
                    <w:spacing w:val="-11"/>
                    <w:sz w:val="20"/>
                  </w:rPr>
                  <w:t> </w:t>
                </w:r>
                <w:r>
                  <w:rPr>
                    <w:b/>
                    <w:sz w:val="20"/>
                  </w:rPr>
                  <w:t>Communication</w:t>
                </w:r>
                <w:r>
                  <w:rPr>
                    <w:b/>
                    <w:spacing w:val="-11"/>
                    <w:sz w:val="20"/>
                  </w:rPr>
                  <w:t> </w:t>
                </w:r>
                <w:r>
                  <w:rPr>
                    <w:b/>
                    <w:sz w:val="20"/>
                  </w:rPr>
                  <w:t>and</w:t>
                </w:r>
                <w:r>
                  <w:rPr>
                    <w:b/>
                    <w:spacing w:val="-10"/>
                    <w:sz w:val="20"/>
                  </w:rPr>
                  <w:t> </w:t>
                </w:r>
                <w:r>
                  <w:rPr>
                    <w:b/>
                    <w:sz w:val="20"/>
                  </w:rPr>
                  <w:t>Design</w:t>
                </w:r>
                <w:r>
                  <w:rPr>
                    <w:b/>
                    <w:spacing w:val="-11"/>
                    <w:sz w:val="20"/>
                  </w:rPr>
                  <w:t> </w:t>
                </w:r>
                <w:r>
                  <w:rPr>
                    <w:b/>
                    <w:sz w:val="20"/>
                  </w:rPr>
                  <w:t>Fundamentals--Studio</w:t>
                </w:r>
                <w:r>
                  <w:rPr>
                    <w:b/>
                    <w:spacing w:val="-10"/>
                    <w:sz w:val="20"/>
                  </w:rPr>
                  <w:t> </w:t>
                </w:r>
                <w:r>
                  <w:rPr>
                    <w:b/>
                    <w:spacing w:val="-5"/>
                    <w:sz w:val="20"/>
                  </w:rPr>
                  <w:t>II</w:t>
                </w:r>
              </w:p>
            </w:txbxContent>
          </v:textbox>
          <w10:wrap type="none"/>
        </v:shape>
      </w:pict>
    </w:r>
    <w:r>
      <w:rPr/>
      <w:pict>
        <v:shape style="position:absolute;margin-left:501.799866pt;margin-top:48.663475pt;width:39.1pt;height:13.15pt;mso-position-horizontal-relative:page;mso-position-vertical-relative:page;z-index:-26919936" type="#_x0000_t202" id="docshape290" filled="false" stroked="false">
          <v:textbox inset="0,0,0,0">
            <w:txbxContent>
              <w:p>
                <w:pPr>
                  <w:spacing w:before="12"/>
                  <w:ind w:left="20" w:right="0" w:firstLine="0"/>
                  <w:jc w:val="left"/>
                  <w:rPr>
                    <w:b/>
                    <w:sz w:val="20"/>
                  </w:rPr>
                </w:pPr>
                <w:r>
                  <w:rPr>
                    <w:b/>
                    <w:sz w:val="20"/>
                  </w:rPr>
                  <w:t>Credit</w:t>
                </w:r>
                <w:r>
                  <w:rPr>
                    <w:b/>
                    <w:spacing w:val="-9"/>
                    <w:sz w:val="20"/>
                  </w:rPr>
                  <w:t> </w:t>
                </w:r>
                <w:r>
                  <w:rPr>
                    <w:b/>
                    <w:spacing w:val="-10"/>
                    <w:sz w:val="20"/>
                  </w:rPr>
                  <w:t>5</w:t>
                </w:r>
              </w:p>
            </w:txbxContent>
          </v:textbox>
          <w10:wrap type="non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61.919998pt;width:470.88pt;height:.72pt;mso-position-horizontal-relative:page;mso-position-vertical-relative:page;z-index:-26917888" id="docshape294" filled="true" fillcolor="#000000" stroked="false">
          <v:fill type="solid"/>
          <w10:wrap type="none"/>
        </v:rect>
      </w:pict>
    </w:r>
    <w:r>
      <w:rPr/>
      <w:pict>
        <v:shape style="position:absolute;margin-left:71pt;margin-top:48.663475pt;width:43.1pt;height:13.15pt;mso-position-horizontal-relative:page;mso-position-vertical-relative:page;z-index:-26917376" type="#_x0000_t202" id="docshape295" filled="false" stroked="false">
          <v:textbox inset="0,0,0,0">
            <w:txbxContent>
              <w:p>
                <w:pPr>
                  <w:spacing w:before="12"/>
                  <w:ind w:left="20" w:right="0" w:firstLine="0"/>
                  <w:jc w:val="left"/>
                  <w:rPr>
                    <w:b/>
                    <w:sz w:val="20"/>
                  </w:rPr>
                </w:pPr>
                <w:r>
                  <w:rPr>
                    <w:b/>
                    <w:sz w:val="20"/>
                  </w:rPr>
                  <w:t>ARC</w:t>
                </w:r>
                <w:r>
                  <w:rPr>
                    <w:b/>
                    <w:spacing w:val="-6"/>
                    <w:sz w:val="20"/>
                  </w:rPr>
                  <w:t> </w:t>
                </w:r>
                <w:r>
                  <w:rPr>
                    <w:b/>
                    <w:spacing w:val="-5"/>
                    <w:sz w:val="20"/>
                  </w:rPr>
                  <w:t>200</w:t>
                </w:r>
              </w:p>
            </w:txbxContent>
          </v:textbox>
          <w10:wrap type="none"/>
        </v:shape>
      </w:pict>
    </w:r>
    <w:r>
      <w:rPr/>
      <w:pict>
        <v:shape style="position:absolute;margin-left:253.40744pt;margin-top:48.663475pt;width:105.35pt;height:13.15pt;mso-position-horizontal-relative:page;mso-position-vertical-relative:page;z-index:-26916864" type="#_x0000_t202" id="docshape296" filled="false" stroked="false">
          <v:textbox inset="0,0,0,0">
            <w:txbxContent>
              <w:p>
                <w:pPr>
                  <w:spacing w:before="12"/>
                  <w:ind w:left="20" w:right="0" w:firstLine="0"/>
                  <w:jc w:val="left"/>
                  <w:rPr>
                    <w:b/>
                    <w:sz w:val="20"/>
                  </w:rPr>
                </w:pPr>
                <w:r>
                  <w:rPr>
                    <w:b/>
                    <w:spacing w:val="-2"/>
                    <w:sz w:val="20"/>
                  </w:rPr>
                  <w:t>Architectural</w:t>
                </w:r>
                <w:r>
                  <w:rPr>
                    <w:b/>
                    <w:spacing w:val="9"/>
                    <w:sz w:val="20"/>
                  </w:rPr>
                  <w:t> </w:t>
                </w:r>
                <w:r>
                  <w:rPr>
                    <w:b/>
                    <w:spacing w:val="-2"/>
                    <w:sz w:val="20"/>
                  </w:rPr>
                  <w:t>Ecology</w:t>
                </w:r>
              </w:p>
            </w:txbxContent>
          </v:textbox>
          <w10:wrap type="none"/>
        </v:shape>
      </w:pict>
    </w:r>
    <w:r>
      <w:rPr/>
      <w:pict>
        <v:shape style="position:absolute;margin-left:501.809845pt;margin-top:48.663475pt;width:39.1pt;height:13.15pt;mso-position-horizontal-relative:page;mso-position-vertical-relative:page;z-index:-26916352" type="#_x0000_t202" id="docshape297" filled="false" stroked="false">
          <v:textbox inset="0,0,0,0">
            <w:txbxContent>
              <w:p>
                <w:pPr>
                  <w:spacing w:before="12"/>
                  <w:ind w:left="20" w:right="0" w:firstLine="0"/>
                  <w:jc w:val="left"/>
                  <w:rPr>
                    <w:b/>
                    <w:sz w:val="20"/>
                  </w:rPr>
                </w:pPr>
                <w:r>
                  <w:rPr>
                    <w:b/>
                    <w:sz w:val="20"/>
                  </w:rPr>
                  <w:t>Credit</w:t>
                </w:r>
                <w:r>
                  <w:rPr>
                    <w:b/>
                    <w:spacing w:val="-9"/>
                    <w:sz w:val="20"/>
                  </w:rPr>
                  <w:t> </w:t>
                </w:r>
                <w:r>
                  <w:rPr>
                    <w:b/>
                    <w:spacing w:val="-10"/>
                    <w:sz w:val="20"/>
                  </w:rPr>
                  <w:t>3</w:t>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61.919998pt;width:470.88pt;height:.72pt;mso-position-horizontal-relative:page;mso-position-vertical-relative:page;z-index:-26914304" id="docshape301" filled="true" fillcolor="#000000" stroked="false">
          <v:fill type="solid"/>
          <w10:wrap type="none"/>
        </v:rect>
      </w:pict>
    </w:r>
    <w:r>
      <w:rPr/>
      <w:pict>
        <v:shape style="position:absolute;margin-left:71pt;margin-top:48.663475pt;width:43.1pt;height:13.15pt;mso-position-horizontal-relative:page;mso-position-vertical-relative:page;z-index:-26913792" type="#_x0000_t202" id="docshape302" filled="false" stroked="false">
          <v:textbox inset="0,0,0,0">
            <w:txbxContent>
              <w:p>
                <w:pPr>
                  <w:spacing w:before="12"/>
                  <w:ind w:left="20" w:right="0" w:firstLine="0"/>
                  <w:jc w:val="left"/>
                  <w:rPr>
                    <w:b/>
                    <w:sz w:val="20"/>
                  </w:rPr>
                </w:pPr>
                <w:r>
                  <w:rPr>
                    <w:b/>
                    <w:sz w:val="20"/>
                  </w:rPr>
                  <w:t>ARC</w:t>
                </w:r>
                <w:r>
                  <w:rPr>
                    <w:b/>
                    <w:spacing w:val="-6"/>
                    <w:sz w:val="20"/>
                  </w:rPr>
                  <w:t> </w:t>
                </w:r>
                <w:r>
                  <w:rPr>
                    <w:b/>
                    <w:spacing w:val="-5"/>
                    <w:sz w:val="20"/>
                  </w:rPr>
                  <w:t>201</w:t>
                </w:r>
              </w:p>
            </w:txbxContent>
          </v:textbox>
          <w10:wrap type="none"/>
        </v:shape>
      </w:pict>
    </w:r>
    <w:r>
      <w:rPr/>
      <w:pict>
        <v:shape style="position:absolute;margin-left:170.480484pt;margin-top:48.663475pt;width:270.95pt;height:13.15pt;mso-position-horizontal-relative:page;mso-position-vertical-relative:page;z-index:-26913280" type="#_x0000_t202" id="docshape303" filled="false" stroked="false">
          <v:textbox inset="0,0,0,0">
            <w:txbxContent>
              <w:p>
                <w:pPr>
                  <w:spacing w:before="12"/>
                  <w:ind w:left="20" w:right="0" w:firstLine="0"/>
                  <w:jc w:val="left"/>
                  <w:rPr>
                    <w:b/>
                    <w:sz w:val="20"/>
                  </w:rPr>
                </w:pPr>
                <w:r>
                  <w:rPr>
                    <w:b/>
                    <w:sz w:val="20"/>
                  </w:rPr>
                  <w:t>Basic</w:t>
                </w:r>
                <w:r>
                  <w:rPr>
                    <w:b/>
                    <w:spacing w:val="-8"/>
                    <w:sz w:val="20"/>
                  </w:rPr>
                  <w:t> </w:t>
                </w:r>
                <w:r>
                  <w:rPr>
                    <w:b/>
                    <w:sz w:val="20"/>
                  </w:rPr>
                  <w:t>Architectural</w:t>
                </w:r>
                <w:r>
                  <w:rPr>
                    <w:b/>
                    <w:spacing w:val="-13"/>
                    <w:sz w:val="20"/>
                  </w:rPr>
                  <w:t> </w:t>
                </w:r>
                <w:r>
                  <w:rPr>
                    <w:b/>
                    <w:sz w:val="20"/>
                  </w:rPr>
                  <w:t>and</w:t>
                </w:r>
                <w:r>
                  <w:rPr>
                    <w:b/>
                    <w:spacing w:val="-11"/>
                    <w:sz w:val="20"/>
                  </w:rPr>
                  <w:t> </w:t>
                </w:r>
                <w:r>
                  <w:rPr>
                    <w:b/>
                    <w:sz w:val="20"/>
                  </w:rPr>
                  <w:t>Environmental</w:t>
                </w:r>
                <w:r>
                  <w:rPr>
                    <w:b/>
                    <w:spacing w:val="-13"/>
                    <w:sz w:val="20"/>
                  </w:rPr>
                  <w:t> </w:t>
                </w:r>
                <w:r>
                  <w:rPr>
                    <w:b/>
                    <w:sz w:val="20"/>
                  </w:rPr>
                  <w:t>Design--Studio</w:t>
                </w:r>
                <w:r>
                  <w:rPr>
                    <w:b/>
                    <w:spacing w:val="-13"/>
                    <w:sz w:val="20"/>
                  </w:rPr>
                  <w:t> </w:t>
                </w:r>
                <w:r>
                  <w:rPr>
                    <w:b/>
                    <w:spacing w:val="-5"/>
                    <w:sz w:val="20"/>
                  </w:rPr>
                  <w:t>III</w:t>
                </w:r>
              </w:p>
            </w:txbxContent>
          </v:textbox>
          <w10:wrap type="none"/>
        </v:shape>
      </w:pict>
    </w:r>
    <w:r>
      <w:rPr/>
      <w:pict>
        <v:shape style="position:absolute;margin-left:501.799866pt;margin-top:48.663475pt;width:39.1pt;height:13.15pt;mso-position-horizontal-relative:page;mso-position-vertical-relative:page;z-index:-26912768" type="#_x0000_t202" id="docshape304" filled="false" stroked="false">
          <v:textbox inset="0,0,0,0">
            <w:txbxContent>
              <w:p>
                <w:pPr>
                  <w:spacing w:before="12"/>
                  <w:ind w:left="20" w:right="0" w:firstLine="0"/>
                  <w:jc w:val="left"/>
                  <w:rPr>
                    <w:b/>
                    <w:sz w:val="20"/>
                  </w:rPr>
                </w:pPr>
                <w:r>
                  <w:rPr>
                    <w:b/>
                    <w:sz w:val="20"/>
                  </w:rPr>
                  <w:t>Credit</w:t>
                </w:r>
                <w:r>
                  <w:rPr>
                    <w:b/>
                    <w:spacing w:val="-9"/>
                    <w:sz w:val="20"/>
                  </w:rPr>
                  <w:t> </w:t>
                </w:r>
                <w:r>
                  <w:rPr>
                    <w:b/>
                    <w:spacing w:val="-10"/>
                    <w:sz w:val="20"/>
                  </w:rPr>
                  <w:t>5</w:t>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61.919998pt;width:470.88pt;height:.72pt;mso-position-horizontal-relative:page;mso-position-vertical-relative:page;z-index:-26910720" id="docshape308" filled="true" fillcolor="#000000" stroked="false">
          <v:fill type="solid"/>
          <w10:wrap type="none"/>
        </v:rect>
      </w:pict>
    </w:r>
    <w:r>
      <w:rPr/>
      <w:pict>
        <v:shape style="position:absolute;margin-left:71pt;margin-top:48.663475pt;width:43.1pt;height:13.15pt;mso-position-horizontal-relative:page;mso-position-vertical-relative:page;z-index:-26910208" type="#_x0000_t202" id="docshape309" filled="false" stroked="false">
          <v:textbox inset="0,0,0,0">
            <w:txbxContent>
              <w:p>
                <w:pPr>
                  <w:spacing w:before="12"/>
                  <w:ind w:left="20" w:right="0" w:firstLine="0"/>
                  <w:jc w:val="left"/>
                  <w:rPr>
                    <w:b/>
                    <w:sz w:val="20"/>
                  </w:rPr>
                </w:pPr>
                <w:r>
                  <w:rPr>
                    <w:b/>
                    <w:sz w:val="20"/>
                  </w:rPr>
                  <w:t>ARC</w:t>
                </w:r>
                <w:r>
                  <w:rPr>
                    <w:b/>
                    <w:spacing w:val="-6"/>
                    <w:sz w:val="20"/>
                  </w:rPr>
                  <w:t> </w:t>
                </w:r>
                <w:r>
                  <w:rPr>
                    <w:b/>
                    <w:spacing w:val="-5"/>
                    <w:sz w:val="20"/>
                  </w:rPr>
                  <w:t>202</w:t>
                </w:r>
              </w:p>
            </w:txbxContent>
          </v:textbox>
          <w10:wrap type="none"/>
        </v:shape>
      </w:pict>
    </w:r>
    <w:r>
      <w:rPr/>
      <w:pict>
        <v:shape style="position:absolute;margin-left:170.002396pt;margin-top:48.663475pt;width:272.05pt;height:13.15pt;mso-position-horizontal-relative:page;mso-position-vertical-relative:page;z-index:-26909696" type="#_x0000_t202" id="docshape310" filled="false" stroked="false">
          <v:textbox inset="0,0,0,0">
            <w:txbxContent>
              <w:p>
                <w:pPr>
                  <w:spacing w:before="12"/>
                  <w:ind w:left="20" w:right="0" w:firstLine="0"/>
                  <w:jc w:val="left"/>
                  <w:rPr>
                    <w:b/>
                    <w:sz w:val="20"/>
                  </w:rPr>
                </w:pPr>
                <w:r>
                  <w:rPr>
                    <w:b/>
                    <w:sz w:val="20"/>
                  </w:rPr>
                  <w:t>Basic</w:t>
                </w:r>
                <w:r>
                  <w:rPr>
                    <w:b/>
                    <w:spacing w:val="-8"/>
                    <w:sz w:val="20"/>
                  </w:rPr>
                  <w:t> </w:t>
                </w:r>
                <w:r>
                  <w:rPr>
                    <w:b/>
                    <w:sz w:val="20"/>
                  </w:rPr>
                  <w:t>Architectural</w:t>
                </w:r>
                <w:r>
                  <w:rPr>
                    <w:b/>
                    <w:spacing w:val="-13"/>
                    <w:sz w:val="20"/>
                  </w:rPr>
                  <w:t> </w:t>
                </w:r>
                <w:r>
                  <w:rPr>
                    <w:b/>
                    <w:sz w:val="20"/>
                  </w:rPr>
                  <w:t>and</w:t>
                </w:r>
                <w:r>
                  <w:rPr>
                    <w:b/>
                    <w:spacing w:val="-11"/>
                    <w:sz w:val="20"/>
                  </w:rPr>
                  <w:t> </w:t>
                </w:r>
                <w:r>
                  <w:rPr>
                    <w:b/>
                    <w:sz w:val="20"/>
                  </w:rPr>
                  <w:t>Environmental</w:t>
                </w:r>
                <w:r>
                  <w:rPr>
                    <w:b/>
                    <w:spacing w:val="-13"/>
                    <w:sz w:val="20"/>
                  </w:rPr>
                  <w:t> </w:t>
                </w:r>
                <w:r>
                  <w:rPr>
                    <w:b/>
                    <w:sz w:val="20"/>
                  </w:rPr>
                  <w:t>Design--Studio</w:t>
                </w:r>
                <w:r>
                  <w:rPr>
                    <w:b/>
                    <w:spacing w:val="-13"/>
                    <w:sz w:val="20"/>
                  </w:rPr>
                  <w:t> </w:t>
                </w:r>
                <w:r>
                  <w:rPr>
                    <w:b/>
                    <w:spacing w:val="-5"/>
                    <w:sz w:val="20"/>
                  </w:rPr>
                  <w:t>IV</w:t>
                </w:r>
              </w:p>
            </w:txbxContent>
          </v:textbox>
          <w10:wrap type="none"/>
        </v:shape>
      </w:pict>
    </w:r>
    <w:r>
      <w:rPr/>
      <w:pict>
        <v:shape style="position:absolute;margin-left:501.799866pt;margin-top:48.663475pt;width:39.1pt;height:13.15pt;mso-position-horizontal-relative:page;mso-position-vertical-relative:page;z-index:-26909184" type="#_x0000_t202" id="docshape311" filled="false" stroked="false">
          <v:textbox inset="0,0,0,0">
            <w:txbxContent>
              <w:p>
                <w:pPr>
                  <w:spacing w:before="12"/>
                  <w:ind w:left="20" w:right="0" w:firstLine="0"/>
                  <w:jc w:val="left"/>
                  <w:rPr>
                    <w:b/>
                    <w:sz w:val="20"/>
                  </w:rPr>
                </w:pPr>
                <w:r>
                  <w:rPr>
                    <w:b/>
                    <w:sz w:val="20"/>
                  </w:rPr>
                  <w:t>Credit</w:t>
                </w:r>
                <w:r>
                  <w:rPr>
                    <w:b/>
                    <w:spacing w:val="-9"/>
                    <w:sz w:val="20"/>
                  </w:rPr>
                  <w:t> </w:t>
                </w:r>
                <w:r>
                  <w:rPr>
                    <w:b/>
                    <w:spacing w:val="-10"/>
                    <w:sz w:val="20"/>
                  </w:rPr>
                  <w:t>5</w:t>
                </w:r>
              </w:p>
            </w:txbxContent>
          </v:textbox>
          <w10:wrap type="non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61.919998pt;width:470.88pt;height:.72pt;mso-position-horizontal-relative:page;mso-position-vertical-relative:page;z-index:-26907136" id="docshape315" filled="true" fillcolor="#000000" stroked="false">
          <v:fill type="solid"/>
          <w10:wrap type="none"/>
        </v:rect>
      </w:pict>
    </w:r>
    <w:r>
      <w:rPr/>
      <w:pict>
        <v:shape style="position:absolute;margin-left:71pt;margin-top:48.663475pt;width:46.1pt;height:13.15pt;mso-position-horizontal-relative:page;mso-position-vertical-relative:page;z-index:-26906624" type="#_x0000_t202" id="docshape316" filled="false" stroked="false">
          <v:textbox inset="0,0,0,0">
            <w:txbxContent>
              <w:p>
                <w:pPr>
                  <w:spacing w:before="12"/>
                  <w:ind w:left="20" w:right="0" w:firstLine="0"/>
                  <w:jc w:val="left"/>
                  <w:rPr>
                    <w:b/>
                    <w:sz w:val="20"/>
                  </w:rPr>
                </w:pPr>
                <w:r>
                  <w:rPr>
                    <w:b/>
                    <w:sz w:val="20"/>
                  </w:rPr>
                  <w:t>ARC</w:t>
                </w:r>
                <w:r>
                  <w:rPr>
                    <w:b/>
                    <w:spacing w:val="-6"/>
                    <w:sz w:val="20"/>
                  </w:rPr>
                  <w:t> </w:t>
                </w:r>
                <w:r>
                  <w:rPr>
                    <w:b/>
                    <w:spacing w:val="-5"/>
                    <w:sz w:val="20"/>
                  </w:rPr>
                  <w:fldChar w:fldCharType="begin"/>
                </w:r>
                <w:r>
                  <w:rPr>
                    <w:b/>
                    <w:spacing w:val="-5"/>
                    <w:sz w:val="20"/>
                  </w:rPr>
                  <w:instrText> PAGE </w:instrText>
                </w:r>
                <w:r>
                  <w:rPr>
                    <w:b/>
                    <w:spacing w:val="-5"/>
                    <w:sz w:val="20"/>
                  </w:rPr>
                  <w:fldChar w:fldCharType="separate"/>
                </w:r>
                <w:r>
                  <w:rPr>
                    <w:b/>
                    <w:spacing w:val="-5"/>
                    <w:sz w:val="20"/>
                  </w:rPr>
                  <w:t>203</w:t>
                </w:r>
                <w:r>
                  <w:rPr>
                    <w:b/>
                    <w:spacing w:val="-5"/>
                    <w:sz w:val="20"/>
                  </w:rPr>
                  <w:fldChar w:fldCharType="end"/>
                </w:r>
              </w:p>
            </w:txbxContent>
          </v:textbox>
          <w10:wrap type="none"/>
        </v:shape>
      </w:pict>
    </w:r>
    <w:r>
      <w:rPr/>
      <w:pict>
        <v:shape style="position:absolute;margin-left:207.800598pt;margin-top:48.663475pt;width:196.45pt;height:13.15pt;mso-position-horizontal-relative:page;mso-position-vertical-relative:page;z-index:-26906112" type="#_x0000_t202" id="docshape317" filled="false" stroked="false">
          <v:textbox inset="0,0,0,0">
            <w:txbxContent>
              <w:p>
                <w:pPr>
                  <w:spacing w:before="12"/>
                  <w:ind w:left="20" w:right="0" w:firstLine="0"/>
                  <w:jc w:val="left"/>
                  <w:rPr>
                    <w:b/>
                    <w:sz w:val="20"/>
                  </w:rPr>
                </w:pPr>
                <w:r>
                  <w:rPr>
                    <w:b/>
                    <w:sz w:val="20"/>
                  </w:rPr>
                  <w:t>Theory</w:t>
                </w:r>
                <w:r>
                  <w:rPr>
                    <w:b/>
                    <w:spacing w:val="-12"/>
                    <w:sz w:val="20"/>
                  </w:rPr>
                  <w:t> </w:t>
                </w:r>
                <w:r>
                  <w:rPr>
                    <w:b/>
                    <w:sz w:val="20"/>
                  </w:rPr>
                  <w:t>and</w:t>
                </w:r>
                <w:r>
                  <w:rPr>
                    <w:b/>
                    <w:spacing w:val="-7"/>
                    <w:sz w:val="20"/>
                  </w:rPr>
                  <w:t> </w:t>
                </w:r>
                <w:r>
                  <w:rPr>
                    <w:b/>
                    <w:sz w:val="20"/>
                  </w:rPr>
                  <w:t>Practices</w:t>
                </w:r>
                <w:r>
                  <w:rPr>
                    <w:b/>
                    <w:spacing w:val="-9"/>
                    <w:sz w:val="20"/>
                  </w:rPr>
                  <w:t> </w:t>
                </w:r>
                <w:r>
                  <w:rPr>
                    <w:b/>
                    <w:sz w:val="20"/>
                  </w:rPr>
                  <w:t>of</w:t>
                </w:r>
                <w:r>
                  <w:rPr>
                    <w:b/>
                    <w:spacing w:val="-6"/>
                    <w:sz w:val="20"/>
                  </w:rPr>
                  <w:t> </w:t>
                </w:r>
                <w:r>
                  <w:rPr>
                    <w:b/>
                    <w:sz w:val="20"/>
                  </w:rPr>
                  <w:t>Representation</w:t>
                </w:r>
                <w:r>
                  <w:rPr>
                    <w:b/>
                    <w:spacing w:val="-8"/>
                    <w:sz w:val="20"/>
                  </w:rPr>
                  <w:t> </w:t>
                </w:r>
                <w:r>
                  <w:rPr>
                    <w:b/>
                    <w:spacing w:val="-10"/>
                    <w:sz w:val="20"/>
                  </w:rPr>
                  <w:t>I</w:t>
                </w:r>
              </w:p>
            </w:txbxContent>
          </v:textbox>
          <w10:wrap type="none"/>
        </v:shape>
      </w:pict>
    </w:r>
    <w:r>
      <w:rPr/>
      <w:pict>
        <v:shape style="position:absolute;margin-left:501.799866pt;margin-top:48.663475pt;width:39.1pt;height:13.15pt;mso-position-horizontal-relative:page;mso-position-vertical-relative:page;z-index:-26905600" type="#_x0000_t202" id="docshape318" filled="false" stroked="false">
          <v:textbox inset="0,0,0,0">
            <w:txbxContent>
              <w:p>
                <w:pPr>
                  <w:spacing w:before="12"/>
                  <w:ind w:left="20" w:right="0" w:firstLine="0"/>
                  <w:jc w:val="left"/>
                  <w:rPr>
                    <w:b/>
                    <w:sz w:val="20"/>
                  </w:rPr>
                </w:pPr>
                <w:r>
                  <w:rPr>
                    <w:b/>
                    <w:sz w:val="20"/>
                  </w:rPr>
                  <w:t>Credit</w:t>
                </w:r>
                <w:r>
                  <w:rPr>
                    <w:b/>
                    <w:spacing w:val="-9"/>
                    <w:sz w:val="20"/>
                  </w:rPr>
                  <w:t> </w:t>
                </w:r>
                <w:r>
                  <w:rPr>
                    <w:b/>
                    <w:spacing w:val="-10"/>
                    <w:sz w:val="20"/>
                  </w:rPr>
                  <w:t>3</w:t>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61.919998pt;width:470.88pt;height:.72pt;mso-position-horizontal-relative:page;mso-position-vertical-relative:page;z-index:-26903552" id="docshape322" filled="true" fillcolor="#000000" stroked="false">
          <v:fill type="solid"/>
          <w10:wrap type="none"/>
        </v:rect>
      </w:pict>
    </w:r>
    <w:r>
      <w:rPr/>
      <w:pict>
        <v:shape style="position:absolute;margin-left:71pt;margin-top:48.663475pt;width:46.1pt;height:13.15pt;mso-position-horizontal-relative:page;mso-position-vertical-relative:page;z-index:-26903040" type="#_x0000_t202" id="docshape323" filled="false" stroked="false">
          <v:textbox inset="0,0,0,0">
            <w:txbxContent>
              <w:p>
                <w:pPr>
                  <w:spacing w:before="12"/>
                  <w:ind w:left="20" w:right="0" w:firstLine="0"/>
                  <w:jc w:val="left"/>
                  <w:rPr>
                    <w:b/>
                    <w:sz w:val="20"/>
                  </w:rPr>
                </w:pPr>
                <w:r>
                  <w:rPr>
                    <w:b/>
                    <w:sz w:val="20"/>
                  </w:rPr>
                  <w:t>ARC</w:t>
                </w:r>
                <w:r>
                  <w:rPr>
                    <w:b/>
                    <w:spacing w:val="-6"/>
                    <w:sz w:val="20"/>
                  </w:rPr>
                  <w:t> </w:t>
                </w:r>
                <w:r>
                  <w:rPr>
                    <w:b/>
                    <w:spacing w:val="-5"/>
                    <w:sz w:val="20"/>
                  </w:rPr>
                  <w:fldChar w:fldCharType="begin"/>
                </w:r>
                <w:r>
                  <w:rPr>
                    <w:b/>
                    <w:spacing w:val="-5"/>
                    <w:sz w:val="20"/>
                  </w:rPr>
                  <w:instrText> PAGE </w:instrText>
                </w:r>
                <w:r>
                  <w:rPr>
                    <w:b/>
                    <w:spacing w:val="-5"/>
                    <w:sz w:val="20"/>
                  </w:rPr>
                  <w:fldChar w:fldCharType="separate"/>
                </w:r>
                <w:r>
                  <w:rPr>
                    <w:b/>
                    <w:spacing w:val="-5"/>
                    <w:sz w:val="20"/>
                  </w:rPr>
                  <w:t>204</w:t>
                </w:r>
                <w:r>
                  <w:rPr>
                    <w:b/>
                    <w:spacing w:val="-5"/>
                    <w:sz w:val="20"/>
                  </w:rPr>
                  <w:fldChar w:fldCharType="end"/>
                </w:r>
              </w:p>
            </w:txbxContent>
          </v:textbox>
          <w10:wrap type="none"/>
        </v:shape>
      </w:pict>
    </w:r>
    <w:r>
      <w:rPr/>
      <w:pict>
        <v:shape style="position:absolute;margin-left:206.366364pt;margin-top:48.663475pt;width:199.2pt;height:13.15pt;mso-position-horizontal-relative:page;mso-position-vertical-relative:page;z-index:-26902528" type="#_x0000_t202" id="docshape324" filled="false" stroked="false">
          <v:textbox inset="0,0,0,0">
            <w:txbxContent>
              <w:p>
                <w:pPr>
                  <w:spacing w:before="12"/>
                  <w:ind w:left="20" w:right="0" w:firstLine="0"/>
                  <w:jc w:val="left"/>
                  <w:rPr>
                    <w:b/>
                    <w:sz w:val="20"/>
                  </w:rPr>
                </w:pPr>
                <w:r>
                  <w:rPr>
                    <w:b/>
                    <w:sz w:val="20"/>
                  </w:rPr>
                  <w:t>Theory</w:t>
                </w:r>
                <w:r>
                  <w:rPr>
                    <w:b/>
                    <w:spacing w:val="-12"/>
                    <w:sz w:val="20"/>
                  </w:rPr>
                  <w:t> </w:t>
                </w:r>
                <w:r>
                  <w:rPr>
                    <w:b/>
                    <w:sz w:val="20"/>
                  </w:rPr>
                  <w:t>and</w:t>
                </w:r>
                <w:r>
                  <w:rPr>
                    <w:b/>
                    <w:spacing w:val="-7"/>
                    <w:sz w:val="20"/>
                  </w:rPr>
                  <w:t> </w:t>
                </w:r>
                <w:r>
                  <w:rPr>
                    <w:b/>
                    <w:sz w:val="20"/>
                  </w:rPr>
                  <w:t>Practices</w:t>
                </w:r>
                <w:r>
                  <w:rPr>
                    <w:b/>
                    <w:spacing w:val="-9"/>
                    <w:sz w:val="20"/>
                  </w:rPr>
                  <w:t> </w:t>
                </w:r>
                <w:r>
                  <w:rPr>
                    <w:b/>
                    <w:sz w:val="20"/>
                  </w:rPr>
                  <w:t>of</w:t>
                </w:r>
                <w:r>
                  <w:rPr>
                    <w:b/>
                    <w:spacing w:val="-7"/>
                    <w:sz w:val="20"/>
                  </w:rPr>
                  <w:t> </w:t>
                </w:r>
                <w:r>
                  <w:rPr>
                    <w:b/>
                    <w:sz w:val="20"/>
                  </w:rPr>
                  <w:t>Representation</w:t>
                </w:r>
                <w:r>
                  <w:rPr>
                    <w:b/>
                    <w:spacing w:val="-8"/>
                    <w:sz w:val="20"/>
                  </w:rPr>
                  <w:t> </w:t>
                </w:r>
                <w:r>
                  <w:rPr>
                    <w:b/>
                    <w:spacing w:val="-5"/>
                    <w:sz w:val="20"/>
                  </w:rPr>
                  <w:t>II</w:t>
                </w:r>
              </w:p>
            </w:txbxContent>
          </v:textbox>
          <w10:wrap type="none"/>
        </v:shape>
      </w:pict>
    </w:r>
    <w:r>
      <w:rPr/>
      <w:pict>
        <v:shape style="position:absolute;margin-left:501.799866pt;margin-top:48.663475pt;width:39.1pt;height:13.15pt;mso-position-horizontal-relative:page;mso-position-vertical-relative:page;z-index:-26902016" type="#_x0000_t202" id="docshape325" filled="false" stroked="false">
          <v:textbox inset="0,0,0,0">
            <w:txbxContent>
              <w:p>
                <w:pPr>
                  <w:spacing w:before="12"/>
                  <w:ind w:left="20" w:right="0" w:firstLine="0"/>
                  <w:jc w:val="left"/>
                  <w:rPr>
                    <w:b/>
                    <w:sz w:val="20"/>
                  </w:rPr>
                </w:pPr>
                <w:r>
                  <w:rPr>
                    <w:b/>
                    <w:sz w:val="20"/>
                  </w:rPr>
                  <w:t>Credit</w:t>
                </w:r>
                <w:r>
                  <w:rPr>
                    <w:b/>
                    <w:spacing w:val="-9"/>
                    <w:sz w:val="20"/>
                  </w:rPr>
                  <w:t> </w:t>
                </w:r>
                <w:r>
                  <w:rPr>
                    <w:b/>
                    <w:spacing w:val="-10"/>
                    <w:sz w:val="20"/>
                  </w:rPr>
                  <w:t>3</w:t>
                </w:r>
              </w:p>
            </w:txbxContent>
          </v:textbox>
          <w10:wrap type="non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61.919998pt;width:470.88pt;height:.72pt;mso-position-horizontal-relative:page;mso-position-vertical-relative:page;z-index:-26899968" id="docshape329" filled="true" fillcolor="#000000" stroked="false">
          <v:fill type="solid"/>
          <w10:wrap type="none"/>
        </v:rect>
      </w:pict>
    </w:r>
    <w:r>
      <w:rPr/>
      <w:pict>
        <v:shape style="position:absolute;margin-left:71pt;margin-top:48.663475pt;width:43.3pt;height:13.15pt;mso-position-horizontal-relative:page;mso-position-vertical-relative:page;z-index:-26899456" type="#_x0000_t202" id="docshape330" filled="false" stroked="false">
          <v:textbox inset="0,0,0,0">
            <w:txbxContent>
              <w:p>
                <w:pPr>
                  <w:spacing w:before="12"/>
                  <w:ind w:left="20" w:right="0" w:firstLine="0"/>
                  <w:jc w:val="left"/>
                  <w:rPr>
                    <w:b/>
                    <w:sz w:val="20"/>
                  </w:rPr>
                </w:pPr>
                <w:r>
                  <w:rPr>
                    <w:b/>
                    <w:spacing w:val="-2"/>
                    <w:sz w:val="20"/>
                  </w:rPr>
                  <w:t>ARC</w:t>
                </w:r>
                <w:r>
                  <w:rPr>
                    <w:b/>
                    <w:spacing w:val="-2"/>
                    <w:sz w:val="20"/>
                  </w:rPr>
                  <w:fldChar w:fldCharType="begin"/>
                </w:r>
                <w:r>
                  <w:rPr>
                    <w:b/>
                    <w:spacing w:val="-2"/>
                    <w:sz w:val="20"/>
                  </w:rPr>
                  <w:instrText> PAGE </w:instrText>
                </w:r>
                <w:r>
                  <w:rPr>
                    <w:b/>
                    <w:spacing w:val="-2"/>
                    <w:sz w:val="20"/>
                  </w:rPr>
                  <w:fldChar w:fldCharType="separate"/>
                </w:r>
                <w:r>
                  <w:rPr>
                    <w:b/>
                    <w:spacing w:val="-2"/>
                    <w:sz w:val="20"/>
                  </w:rPr>
                  <w:t>207</w:t>
                </w:r>
                <w:r>
                  <w:rPr>
                    <w:b/>
                    <w:spacing w:val="-2"/>
                    <w:sz w:val="20"/>
                  </w:rPr>
                  <w:fldChar w:fldCharType="end"/>
                </w:r>
              </w:p>
            </w:txbxContent>
          </v:textbox>
          <w10:wrap type="none"/>
        </v:shape>
      </w:pict>
    </w:r>
    <w:r>
      <w:rPr/>
      <w:pict>
        <v:shape style="position:absolute;margin-left:248.118683pt;margin-top:48.663475pt;width:115.8pt;height:13.15pt;mso-position-horizontal-relative:page;mso-position-vertical-relative:page;z-index:-26898944" type="#_x0000_t202" id="docshape331" filled="false" stroked="false">
          <v:textbox inset="0,0,0,0">
            <w:txbxContent>
              <w:p>
                <w:pPr>
                  <w:spacing w:before="12"/>
                  <w:ind w:left="20" w:right="0" w:firstLine="0"/>
                  <w:jc w:val="left"/>
                  <w:rPr>
                    <w:b/>
                    <w:sz w:val="20"/>
                  </w:rPr>
                </w:pPr>
                <w:r>
                  <w:rPr>
                    <w:b/>
                    <w:sz w:val="20"/>
                  </w:rPr>
                  <w:t>History</w:t>
                </w:r>
                <w:r>
                  <w:rPr>
                    <w:b/>
                    <w:spacing w:val="-13"/>
                    <w:sz w:val="20"/>
                  </w:rPr>
                  <w:t> </w:t>
                </w:r>
                <w:r>
                  <w:rPr>
                    <w:b/>
                    <w:sz w:val="20"/>
                  </w:rPr>
                  <w:t>of</w:t>
                </w:r>
                <w:r>
                  <w:rPr>
                    <w:b/>
                    <w:spacing w:val="-5"/>
                    <w:sz w:val="20"/>
                  </w:rPr>
                  <w:t> </w:t>
                </w:r>
                <w:r>
                  <w:rPr>
                    <w:b/>
                    <w:sz w:val="20"/>
                  </w:rPr>
                  <w:t>Architecture</w:t>
                </w:r>
                <w:r>
                  <w:rPr>
                    <w:b/>
                    <w:spacing w:val="-10"/>
                    <w:sz w:val="20"/>
                  </w:rPr>
                  <w:t> I</w:t>
                </w:r>
              </w:p>
            </w:txbxContent>
          </v:textbox>
          <w10:wrap type="none"/>
        </v:shape>
      </w:pict>
    </w:r>
    <w:r>
      <w:rPr/>
      <w:pict>
        <v:shape style="position:absolute;margin-left:501.799866pt;margin-top:48.663475pt;width:39.1pt;height:13.15pt;mso-position-horizontal-relative:page;mso-position-vertical-relative:page;z-index:-26898432" type="#_x0000_t202" id="docshape332" filled="false" stroked="false">
          <v:textbox inset="0,0,0,0">
            <w:txbxContent>
              <w:p>
                <w:pPr>
                  <w:spacing w:before="12"/>
                  <w:ind w:left="20" w:right="0" w:firstLine="0"/>
                  <w:jc w:val="left"/>
                  <w:rPr>
                    <w:b/>
                    <w:sz w:val="20"/>
                  </w:rPr>
                </w:pPr>
                <w:r>
                  <w:rPr>
                    <w:b/>
                    <w:sz w:val="20"/>
                  </w:rPr>
                  <w:t>Credit</w:t>
                </w:r>
                <w:r>
                  <w:rPr>
                    <w:b/>
                    <w:spacing w:val="-9"/>
                    <w:sz w:val="20"/>
                  </w:rPr>
                  <w:t> </w:t>
                </w:r>
                <w:r>
                  <w:rPr>
                    <w:b/>
                    <w:spacing w:val="-10"/>
                    <w:sz w:val="20"/>
                  </w:rPr>
                  <w:t>3</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61.919998pt;width:470.88pt;height:.72pt;mso-position-horizontal-relative:page;mso-position-vertical-relative:page;z-index:-26896384" id="docshape336" filled="true" fillcolor="#000000" stroked="false">
          <v:fill type="solid"/>
          <w10:wrap type="none"/>
        </v:rect>
      </w:pict>
    </w:r>
    <w:r>
      <w:rPr/>
      <w:pict>
        <v:shape style="position:absolute;margin-left:71pt;margin-top:48.663475pt;width:43.3pt;height:13.15pt;mso-position-horizontal-relative:page;mso-position-vertical-relative:page;z-index:-26895872" type="#_x0000_t202" id="docshape337" filled="false" stroked="false">
          <v:textbox inset="0,0,0,0">
            <w:txbxContent>
              <w:p>
                <w:pPr>
                  <w:spacing w:before="12"/>
                  <w:ind w:left="20" w:right="0" w:firstLine="0"/>
                  <w:jc w:val="left"/>
                  <w:rPr>
                    <w:b/>
                    <w:sz w:val="20"/>
                  </w:rPr>
                </w:pPr>
                <w:r>
                  <w:rPr>
                    <w:b/>
                    <w:spacing w:val="-2"/>
                    <w:sz w:val="20"/>
                  </w:rPr>
                  <w:t>ARC</w:t>
                </w:r>
                <w:r>
                  <w:rPr>
                    <w:b/>
                    <w:spacing w:val="-2"/>
                    <w:sz w:val="20"/>
                  </w:rPr>
                  <w:fldChar w:fldCharType="begin"/>
                </w:r>
                <w:r>
                  <w:rPr>
                    <w:b/>
                    <w:spacing w:val="-2"/>
                    <w:sz w:val="20"/>
                  </w:rPr>
                  <w:instrText> PAGE </w:instrText>
                </w:r>
                <w:r>
                  <w:rPr>
                    <w:b/>
                    <w:spacing w:val="-2"/>
                    <w:sz w:val="20"/>
                  </w:rPr>
                  <w:fldChar w:fldCharType="separate"/>
                </w:r>
                <w:r>
                  <w:rPr>
                    <w:b/>
                    <w:spacing w:val="-2"/>
                    <w:sz w:val="20"/>
                  </w:rPr>
                  <w:t>208</w:t>
                </w:r>
                <w:r>
                  <w:rPr>
                    <w:b/>
                    <w:spacing w:val="-2"/>
                    <w:sz w:val="20"/>
                  </w:rPr>
                  <w:fldChar w:fldCharType="end"/>
                </w:r>
              </w:p>
            </w:txbxContent>
          </v:textbox>
          <w10:wrap type="none"/>
        </v:shape>
      </w:pict>
    </w:r>
    <w:r>
      <w:rPr/>
      <w:pict>
        <v:shape style="position:absolute;margin-left:246.674484pt;margin-top:48.663475pt;width:118.55pt;height:13.15pt;mso-position-horizontal-relative:page;mso-position-vertical-relative:page;z-index:-26895360" type="#_x0000_t202" id="docshape338" filled="false" stroked="false">
          <v:textbox inset="0,0,0,0">
            <w:txbxContent>
              <w:p>
                <w:pPr>
                  <w:spacing w:before="12"/>
                  <w:ind w:left="20" w:right="0" w:firstLine="0"/>
                  <w:jc w:val="left"/>
                  <w:rPr>
                    <w:b/>
                    <w:sz w:val="20"/>
                  </w:rPr>
                </w:pPr>
                <w:r>
                  <w:rPr>
                    <w:b/>
                    <w:sz w:val="20"/>
                  </w:rPr>
                  <w:t>History</w:t>
                </w:r>
                <w:r>
                  <w:rPr>
                    <w:b/>
                    <w:spacing w:val="-13"/>
                    <w:sz w:val="20"/>
                  </w:rPr>
                  <w:t> </w:t>
                </w:r>
                <w:r>
                  <w:rPr>
                    <w:b/>
                    <w:sz w:val="20"/>
                  </w:rPr>
                  <w:t>of</w:t>
                </w:r>
                <w:r>
                  <w:rPr>
                    <w:b/>
                    <w:spacing w:val="-5"/>
                    <w:sz w:val="20"/>
                  </w:rPr>
                  <w:t> </w:t>
                </w:r>
                <w:r>
                  <w:rPr>
                    <w:b/>
                    <w:sz w:val="20"/>
                  </w:rPr>
                  <w:t>Architecture</w:t>
                </w:r>
                <w:r>
                  <w:rPr>
                    <w:b/>
                    <w:spacing w:val="-10"/>
                    <w:sz w:val="20"/>
                  </w:rPr>
                  <w:t> </w:t>
                </w:r>
                <w:r>
                  <w:rPr>
                    <w:b/>
                    <w:spacing w:val="-5"/>
                    <w:sz w:val="20"/>
                  </w:rPr>
                  <w:t>II</w:t>
                </w:r>
              </w:p>
            </w:txbxContent>
          </v:textbox>
          <w10:wrap type="none"/>
        </v:shape>
      </w:pict>
    </w:r>
    <w:r>
      <w:rPr/>
      <w:pict>
        <v:shape style="position:absolute;margin-left:501.789917pt;margin-top:48.663475pt;width:39.1pt;height:13.15pt;mso-position-horizontal-relative:page;mso-position-vertical-relative:page;z-index:-26894848" type="#_x0000_t202" id="docshape339" filled="false" stroked="false">
          <v:textbox inset="0,0,0,0">
            <w:txbxContent>
              <w:p>
                <w:pPr>
                  <w:spacing w:before="12"/>
                  <w:ind w:left="20" w:right="0" w:firstLine="0"/>
                  <w:jc w:val="left"/>
                  <w:rPr>
                    <w:b/>
                    <w:sz w:val="20"/>
                  </w:rPr>
                </w:pPr>
                <w:r>
                  <w:rPr>
                    <w:b/>
                    <w:sz w:val="20"/>
                  </w:rPr>
                  <w:t>Credit</w:t>
                </w:r>
                <w:r>
                  <w:rPr>
                    <w:b/>
                    <w:spacing w:val="-9"/>
                    <w:sz w:val="20"/>
                  </w:rPr>
                  <w:t> </w:t>
                </w:r>
                <w:r>
                  <w:rPr>
                    <w:b/>
                    <w:spacing w:val="-10"/>
                    <w:sz w:val="20"/>
                  </w:rPr>
                  <w:t>3</w:t>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61.919998pt;width:470.88pt;height:.72pt;mso-position-horizontal-relative:page;mso-position-vertical-relative:page;z-index:-26892800" id="docshape343" filled="true" fillcolor="#000000" stroked="false">
          <v:fill type="solid"/>
          <w10:wrap type="none"/>
        </v:rect>
      </w:pict>
    </w:r>
    <w:r>
      <w:rPr/>
      <w:pict>
        <v:shape style="position:absolute;margin-left:71pt;margin-top:48.663475pt;width:43.1pt;height:13.15pt;mso-position-horizontal-relative:page;mso-position-vertical-relative:page;z-index:-26892288" type="#_x0000_t202" id="docshape344" filled="false" stroked="false">
          <v:textbox inset="0,0,0,0">
            <w:txbxContent>
              <w:p>
                <w:pPr>
                  <w:spacing w:before="12"/>
                  <w:ind w:left="20" w:right="0" w:firstLine="0"/>
                  <w:jc w:val="left"/>
                  <w:rPr>
                    <w:b/>
                    <w:sz w:val="20"/>
                  </w:rPr>
                </w:pPr>
                <w:r>
                  <w:rPr>
                    <w:b/>
                    <w:sz w:val="20"/>
                  </w:rPr>
                  <w:t>ARC</w:t>
                </w:r>
                <w:r>
                  <w:rPr>
                    <w:b/>
                    <w:spacing w:val="-6"/>
                    <w:sz w:val="20"/>
                  </w:rPr>
                  <w:t> </w:t>
                </w:r>
                <w:r>
                  <w:rPr>
                    <w:b/>
                    <w:spacing w:val="-5"/>
                    <w:sz w:val="20"/>
                  </w:rPr>
                  <w:t>213</w:t>
                </w:r>
              </w:p>
            </w:txbxContent>
          </v:textbox>
          <w10:wrap type="none"/>
        </v:shape>
      </w:pict>
    </w:r>
    <w:r>
      <w:rPr/>
      <w:pict>
        <v:shape style="position:absolute;margin-left:230.360001pt;margin-top:48.663475pt;width:151.550pt;height:13.15pt;mso-position-horizontal-relative:page;mso-position-vertical-relative:page;z-index:-26891776" type="#_x0000_t202" id="docshape345" filled="false" stroked="false">
          <v:textbox inset="0,0,0,0">
            <w:txbxContent>
              <w:p>
                <w:pPr>
                  <w:spacing w:before="12"/>
                  <w:ind w:left="20" w:right="0" w:firstLine="0"/>
                  <w:jc w:val="left"/>
                  <w:rPr>
                    <w:b/>
                    <w:sz w:val="20"/>
                  </w:rPr>
                </w:pPr>
                <w:r>
                  <w:rPr>
                    <w:b/>
                    <w:sz w:val="20"/>
                  </w:rPr>
                  <w:t>Elements</w:t>
                </w:r>
                <w:r>
                  <w:rPr>
                    <w:b/>
                    <w:spacing w:val="-9"/>
                    <w:sz w:val="20"/>
                  </w:rPr>
                  <w:t> </w:t>
                </w:r>
                <w:r>
                  <w:rPr>
                    <w:b/>
                    <w:sz w:val="20"/>
                  </w:rPr>
                  <w:t>of</w:t>
                </w:r>
                <w:r>
                  <w:rPr>
                    <w:b/>
                    <w:spacing w:val="-8"/>
                    <w:sz w:val="20"/>
                  </w:rPr>
                  <w:t> </w:t>
                </w:r>
                <w:r>
                  <w:rPr>
                    <w:b/>
                    <w:sz w:val="20"/>
                  </w:rPr>
                  <w:t>Building</w:t>
                </w:r>
                <w:r>
                  <w:rPr>
                    <w:b/>
                    <w:spacing w:val="-3"/>
                    <w:sz w:val="20"/>
                  </w:rPr>
                  <w:t> </w:t>
                </w:r>
                <w:r>
                  <w:rPr>
                    <w:b/>
                    <w:spacing w:val="-2"/>
                    <w:sz w:val="20"/>
                  </w:rPr>
                  <w:t>Assembly</w:t>
                </w:r>
              </w:p>
            </w:txbxContent>
          </v:textbox>
          <w10:wrap type="none"/>
        </v:shape>
      </w:pict>
    </w:r>
    <w:r>
      <w:rPr/>
      <w:pict>
        <v:shape style="position:absolute;margin-left:501.799866pt;margin-top:48.663475pt;width:39.1pt;height:13.15pt;mso-position-horizontal-relative:page;mso-position-vertical-relative:page;z-index:-26891264" type="#_x0000_t202" id="docshape346" filled="false" stroked="false">
          <v:textbox inset="0,0,0,0">
            <w:txbxContent>
              <w:p>
                <w:pPr>
                  <w:spacing w:before="12"/>
                  <w:ind w:left="20" w:right="0" w:firstLine="0"/>
                  <w:jc w:val="left"/>
                  <w:rPr>
                    <w:b/>
                    <w:sz w:val="20"/>
                  </w:rPr>
                </w:pPr>
                <w:r>
                  <w:rPr>
                    <w:b/>
                    <w:sz w:val="20"/>
                  </w:rPr>
                  <w:t>Credit</w:t>
                </w:r>
                <w:r>
                  <w:rPr>
                    <w:b/>
                    <w:spacing w:val="-9"/>
                    <w:sz w:val="20"/>
                  </w:rPr>
                  <w:t> </w:t>
                </w:r>
                <w:r>
                  <w:rPr>
                    <w:b/>
                    <w:spacing w:val="-10"/>
                    <w:sz w:val="20"/>
                  </w:rPr>
                  <w:t>3</w:t>
                </w:r>
              </w:p>
            </w:txbxContent>
          </v:textbox>
          <w10:wrap type="non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61.919998pt;width:470.88pt;height:.72pt;mso-position-horizontal-relative:page;mso-position-vertical-relative:page;z-index:-26889216" id="docshape350" filled="true" fillcolor="#000000" stroked="false">
          <v:fill type="solid"/>
          <w10:wrap type="none"/>
        </v:rect>
      </w:pict>
    </w:r>
    <w:r>
      <w:rPr/>
      <w:pict>
        <v:shape style="position:absolute;margin-left:71pt;margin-top:48.663475pt;width:43.1pt;height:13.15pt;mso-position-horizontal-relative:page;mso-position-vertical-relative:page;z-index:-26888704" type="#_x0000_t202" id="docshape351" filled="false" stroked="false">
          <v:textbox inset="0,0,0,0">
            <w:txbxContent>
              <w:p>
                <w:pPr>
                  <w:spacing w:before="12"/>
                  <w:ind w:left="20" w:right="0" w:firstLine="0"/>
                  <w:jc w:val="left"/>
                  <w:rPr>
                    <w:b/>
                    <w:sz w:val="20"/>
                  </w:rPr>
                </w:pPr>
                <w:r>
                  <w:rPr>
                    <w:b/>
                    <w:sz w:val="20"/>
                  </w:rPr>
                  <w:t>ARC</w:t>
                </w:r>
                <w:r>
                  <w:rPr>
                    <w:b/>
                    <w:spacing w:val="-6"/>
                    <w:sz w:val="20"/>
                  </w:rPr>
                  <w:t> </w:t>
                </w:r>
                <w:r>
                  <w:rPr>
                    <w:b/>
                    <w:spacing w:val="-5"/>
                    <w:sz w:val="20"/>
                  </w:rPr>
                  <w:t>301</w:t>
                </w:r>
              </w:p>
            </w:txbxContent>
          </v:textbox>
          <w10:wrap type="none"/>
        </v:shape>
      </w:pict>
    </w:r>
    <w:r>
      <w:rPr/>
      <w:pict>
        <v:shape style="position:absolute;margin-left:229.762405pt;margin-top:48.663475pt;width:152.450pt;height:13.15pt;mso-position-horizontal-relative:page;mso-position-vertical-relative:page;z-index:-26888192" type="#_x0000_t202" id="docshape352" filled="false" stroked="false">
          <v:textbox inset="0,0,0,0">
            <w:txbxContent>
              <w:p>
                <w:pPr>
                  <w:spacing w:before="12"/>
                  <w:ind w:left="20" w:right="0" w:firstLine="0"/>
                  <w:jc w:val="left"/>
                  <w:rPr>
                    <w:b/>
                    <w:sz w:val="20"/>
                  </w:rPr>
                </w:pPr>
                <w:r>
                  <w:rPr>
                    <w:b/>
                    <w:sz w:val="20"/>
                  </w:rPr>
                  <w:t>International</w:t>
                </w:r>
                <w:r>
                  <w:rPr>
                    <w:b/>
                    <w:spacing w:val="-12"/>
                    <w:sz w:val="20"/>
                  </w:rPr>
                  <w:t> </w:t>
                </w:r>
                <w:r>
                  <w:rPr>
                    <w:b/>
                    <w:sz w:val="20"/>
                  </w:rPr>
                  <w:t>Travel</w:t>
                </w:r>
                <w:r>
                  <w:rPr>
                    <w:b/>
                    <w:spacing w:val="-10"/>
                    <w:sz w:val="20"/>
                  </w:rPr>
                  <w:t> </w:t>
                </w:r>
                <w:r>
                  <w:rPr>
                    <w:b/>
                    <w:spacing w:val="-2"/>
                    <w:sz w:val="20"/>
                  </w:rPr>
                  <w:t>Preparation</w:t>
                </w:r>
              </w:p>
            </w:txbxContent>
          </v:textbox>
          <w10:wrap type="none"/>
        </v:shape>
      </w:pict>
    </w:r>
    <w:r>
      <w:rPr/>
      <w:pict>
        <v:shape style="position:absolute;margin-left:501.809845pt;margin-top:48.663475pt;width:39.1pt;height:13.15pt;mso-position-horizontal-relative:page;mso-position-vertical-relative:page;z-index:-26887680" type="#_x0000_t202" id="docshape353" filled="false" stroked="false">
          <v:textbox inset="0,0,0,0">
            <w:txbxContent>
              <w:p>
                <w:pPr>
                  <w:spacing w:before="12"/>
                  <w:ind w:left="20" w:right="0" w:firstLine="0"/>
                  <w:jc w:val="left"/>
                  <w:rPr>
                    <w:b/>
                    <w:sz w:val="20"/>
                  </w:rPr>
                </w:pPr>
                <w:r>
                  <w:rPr>
                    <w:b/>
                    <w:sz w:val="20"/>
                  </w:rPr>
                  <w:t>Credit</w:t>
                </w:r>
                <w:r>
                  <w:rPr>
                    <w:b/>
                    <w:spacing w:val="-9"/>
                    <w:sz w:val="20"/>
                  </w:rPr>
                  <w:t> </w:t>
                </w:r>
                <w:r>
                  <w:rPr>
                    <w:b/>
                    <w:spacing w:val="-10"/>
                    <w:sz w:val="20"/>
                  </w:rPr>
                  <w:t>1</w:t>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61.919998pt;width:470.88pt;height:.72pt;mso-position-horizontal-relative:page;mso-position-vertical-relative:page;z-index:-26885632" id="docshape357" filled="true" fillcolor="#000000" stroked="false">
          <v:fill type="solid"/>
          <w10:wrap type="none"/>
        </v:rect>
      </w:pict>
    </w:r>
    <w:r>
      <w:rPr/>
      <w:pict>
        <v:shape style="position:absolute;margin-left:71pt;margin-top:48.663475pt;width:46.1pt;height:13.15pt;mso-position-horizontal-relative:page;mso-position-vertical-relative:page;z-index:-26885120" type="#_x0000_t202" id="docshape358" filled="false" stroked="false">
          <v:textbox inset="0,0,0,0">
            <w:txbxContent>
              <w:p>
                <w:pPr>
                  <w:spacing w:before="12"/>
                  <w:ind w:left="20" w:right="0" w:firstLine="0"/>
                  <w:jc w:val="left"/>
                  <w:rPr>
                    <w:b/>
                    <w:sz w:val="20"/>
                  </w:rPr>
                </w:pPr>
                <w:r>
                  <w:rPr>
                    <w:b/>
                    <w:sz w:val="20"/>
                  </w:rPr>
                  <w:t>ARC</w:t>
                </w:r>
                <w:r>
                  <w:rPr>
                    <w:b/>
                    <w:spacing w:val="-6"/>
                    <w:sz w:val="20"/>
                  </w:rPr>
                  <w:t> </w:t>
                </w:r>
                <w:r>
                  <w:rPr>
                    <w:b/>
                    <w:spacing w:val="-5"/>
                    <w:sz w:val="20"/>
                  </w:rPr>
                  <w:fldChar w:fldCharType="begin"/>
                </w:r>
                <w:r>
                  <w:rPr>
                    <w:b/>
                    <w:spacing w:val="-5"/>
                    <w:sz w:val="20"/>
                  </w:rPr>
                  <w:instrText> PAGE </w:instrText>
                </w:r>
                <w:r>
                  <w:rPr>
                    <w:b/>
                    <w:spacing w:val="-5"/>
                    <w:sz w:val="20"/>
                  </w:rPr>
                  <w:fldChar w:fldCharType="separate"/>
                </w:r>
                <w:r>
                  <w:rPr>
                    <w:b/>
                    <w:spacing w:val="-5"/>
                    <w:sz w:val="20"/>
                  </w:rPr>
                  <w:t>303</w:t>
                </w:r>
                <w:r>
                  <w:rPr>
                    <w:b/>
                    <w:spacing w:val="-5"/>
                    <w:sz w:val="20"/>
                  </w:rPr>
                  <w:fldChar w:fldCharType="end"/>
                </w:r>
              </w:p>
            </w:txbxContent>
          </v:textbox>
          <w10:wrap type="none"/>
        </v:shape>
      </w:pict>
    </w:r>
    <w:r>
      <w:rPr/>
      <w:pict>
        <v:shape style="position:absolute;margin-left:202.760834pt;margin-top:48.663475pt;width:206.4pt;height:13.15pt;mso-position-horizontal-relative:page;mso-position-vertical-relative:page;z-index:-26884608" type="#_x0000_t202" id="docshape359" filled="false" stroked="false">
          <v:textbox inset="0,0,0,0">
            <w:txbxContent>
              <w:p>
                <w:pPr>
                  <w:spacing w:before="12"/>
                  <w:ind w:left="20" w:right="0" w:firstLine="0"/>
                  <w:jc w:val="left"/>
                  <w:rPr>
                    <w:b/>
                    <w:sz w:val="20"/>
                  </w:rPr>
                </w:pPr>
                <w:r>
                  <w:rPr>
                    <w:b/>
                    <w:spacing w:val="-2"/>
                    <w:sz w:val="20"/>
                  </w:rPr>
                  <w:t>Intermediate</w:t>
                </w:r>
                <w:r>
                  <w:rPr>
                    <w:b/>
                    <w:spacing w:val="11"/>
                    <w:sz w:val="20"/>
                  </w:rPr>
                  <w:t> </w:t>
                </w:r>
                <w:r>
                  <w:rPr>
                    <w:b/>
                    <w:spacing w:val="-2"/>
                    <w:sz w:val="20"/>
                  </w:rPr>
                  <w:t>Architecture</w:t>
                </w:r>
                <w:r>
                  <w:rPr>
                    <w:b/>
                    <w:spacing w:val="9"/>
                    <w:sz w:val="20"/>
                  </w:rPr>
                  <w:t> </w:t>
                </w:r>
                <w:r>
                  <w:rPr>
                    <w:b/>
                    <w:spacing w:val="-2"/>
                    <w:sz w:val="20"/>
                  </w:rPr>
                  <w:t>Design--Studio</w:t>
                </w:r>
                <w:r>
                  <w:rPr>
                    <w:b/>
                    <w:spacing w:val="8"/>
                    <w:sz w:val="20"/>
                  </w:rPr>
                  <w:t> </w:t>
                </w:r>
                <w:r>
                  <w:rPr>
                    <w:b/>
                    <w:spacing w:val="-10"/>
                    <w:sz w:val="20"/>
                  </w:rPr>
                  <w:t>V</w:t>
                </w:r>
              </w:p>
            </w:txbxContent>
          </v:textbox>
          <w10:wrap type="none"/>
        </v:shape>
      </w:pict>
    </w:r>
    <w:r>
      <w:rPr/>
      <w:pict>
        <v:shape style="position:absolute;margin-left:501.799866pt;margin-top:48.663475pt;width:39.1pt;height:13.15pt;mso-position-horizontal-relative:page;mso-position-vertical-relative:page;z-index:-26884096" type="#_x0000_t202" id="docshape360" filled="false" stroked="false">
          <v:textbox inset="0,0,0,0">
            <w:txbxContent>
              <w:p>
                <w:pPr>
                  <w:spacing w:before="12"/>
                  <w:ind w:left="20" w:right="0" w:firstLine="0"/>
                  <w:jc w:val="left"/>
                  <w:rPr>
                    <w:b/>
                    <w:sz w:val="20"/>
                  </w:rPr>
                </w:pPr>
                <w:r>
                  <w:rPr>
                    <w:b/>
                    <w:sz w:val="20"/>
                  </w:rPr>
                  <w:t>Credit</w:t>
                </w:r>
                <w:r>
                  <w:rPr>
                    <w:b/>
                    <w:spacing w:val="-9"/>
                    <w:sz w:val="20"/>
                  </w:rPr>
                  <w:t> </w:t>
                </w:r>
                <w:r>
                  <w:rPr>
                    <w:b/>
                    <w:spacing w:val="-10"/>
                    <w:sz w:val="20"/>
                  </w:rPr>
                  <w:t>6</w:t>
                </w:r>
              </w:p>
            </w:txbxContent>
          </v:textbox>
          <w10:wrap type="non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61.919998pt;width:470.88pt;height:.72pt;mso-position-horizontal-relative:page;mso-position-vertical-relative:page;z-index:-26882048" id="docshape364" filled="true" fillcolor="#000000" stroked="false">
          <v:fill type="solid"/>
          <w10:wrap type="none"/>
        </v:rect>
      </w:pict>
    </w:r>
    <w:r>
      <w:rPr/>
      <w:pict>
        <v:shape style="position:absolute;margin-left:71pt;margin-top:48.663475pt;width:46.1pt;height:13.15pt;mso-position-horizontal-relative:page;mso-position-vertical-relative:page;z-index:-26881536" type="#_x0000_t202" id="docshape365" filled="false" stroked="false">
          <v:textbox inset="0,0,0,0">
            <w:txbxContent>
              <w:p>
                <w:pPr>
                  <w:spacing w:before="12"/>
                  <w:ind w:left="20" w:right="0" w:firstLine="0"/>
                  <w:jc w:val="left"/>
                  <w:rPr>
                    <w:b/>
                    <w:sz w:val="20"/>
                  </w:rPr>
                </w:pPr>
                <w:r>
                  <w:rPr>
                    <w:b/>
                    <w:sz w:val="20"/>
                  </w:rPr>
                  <w:t>ARC</w:t>
                </w:r>
                <w:r>
                  <w:rPr>
                    <w:b/>
                    <w:spacing w:val="-6"/>
                    <w:sz w:val="20"/>
                  </w:rPr>
                  <w:t> </w:t>
                </w:r>
                <w:r>
                  <w:rPr>
                    <w:b/>
                    <w:spacing w:val="-5"/>
                    <w:sz w:val="20"/>
                  </w:rPr>
                  <w:fldChar w:fldCharType="begin"/>
                </w:r>
                <w:r>
                  <w:rPr>
                    <w:b/>
                    <w:spacing w:val="-5"/>
                    <w:sz w:val="20"/>
                  </w:rPr>
                  <w:instrText> PAGE </w:instrText>
                </w:r>
                <w:r>
                  <w:rPr>
                    <w:b/>
                    <w:spacing w:val="-5"/>
                    <w:sz w:val="20"/>
                  </w:rPr>
                  <w:fldChar w:fldCharType="separate"/>
                </w:r>
                <w:r>
                  <w:rPr>
                    <w:b/>
                    <w:spacing w:val="-5"/>
                    <w:sz w:val="20"/>
                  </w:rPr>
                  <w:t>304</w:t>
                </w:r>
                <w:r>
                  <w:rPr>
                    <w:b/>
                    <w:spacing w:val="-5"/>
                    <w:sz w:val="20"/>
                  </w:rPr>
                  <w:fldChar w:fldCharType="end"/>
                </w:r>
              </w:p>
            </w:txbxContent>
          </v:textbox>
          <w10:wrap type="none"/>
        </v:shape>
      </w:pict>
    </w:r>
    <w:r>
      <w:rPr/>
      <w:pict>
        <v:shape style="position:absolute;margin-left:201.326599pt;margin-top:48.663475pt;width:209.25pt;height:13.15pt;mso-position-horizontal-relative:page;mso-position-vertical-relative:page;z-index:-26881024" type="#_x0000_t202" id="docshape366" filled="false" stroked="false">
          <v:textbox inset="0,0,0,0">
            <w:txbxContent>
              <w:p>
                <w:pPr>
                  <w:spacing w:before="12"/>
                  <w:ind w:left="20" w:right="0" w:firstLine="0"/>
                  <w:jc w:val="left"/>
                  <w:rPr>
                    <w:b/>
                    <w:sz w:val="20"/>
                  </w:rPr>
                </w:pPr>
                <w:r>
                  <w:rPr>
                    <w:b/>
                    <w:spacing w:val="-2"/>
                    <w:sz w:val="20"/>
                  </w:rPr>
                  <w:t>Intermediate</w:t>
                </w:r>
                <w:r>
                  <w:rPr>
                    <w:b/>
                    <w:spacing w:val="10"/>
                    <w:sz w:val="20"/>
                  </w:rPr>
                  <w:t> </w:t>
                </w:r>
                <w:r>
                  <w:rPr>
                    <w:b/>
                    <w:spacing w:val="-2"/>
                    <w:sz w:val="20"/>
                  </w:rPr>
                  <w:t>Architecture</w:t>
                </w:r>
                <w:r>
                  <w:rPr>
                    <w:b/>
                    <w:spacing w:val="10"/>
                    <w:sz w:val="20"/>
                  </w:rPr>
                  <w:t> </w:t>
                </w:r>
                <w:r>
                  <w:rPr>
                    <w:b/>
                    <w:spacing w:val="-2"/>
                    <w:sz w:val="20"/>
                  </w:rPr>
                  <w:t>Design--Studio</w:t>
                </w:r>
                <w:r>
                  <w:rPr>
                    <w:b/>
                    <w:spacing w:val="8"/>
                    <w:sz w:val="20"/>
                  </w:rPr>
                  <w:t> </w:t>
                </w:r>
                <w:r>
                  <w:rPr>
                    <w:b/>
                    <w:spacing w:val="-5"/>
                    <w:sz w:val="20"/>
                  </w:rPr>
                  <w:t>VI</w:t>
                </w:r>
              </w:p>
            </w:txbxContent>
          </v:textbox>
          <w10:wrap type="none"/>
        </v:shape>
      </w:pict>
    </w:r>
    <w:r>
      <w:rPr/>
      <w:pict>
        <v:shape style="position:absolute;margin-left:501.799866pt;margin-top:48.663475pt;width:39.1pt;height:13.15pt;mso-position-horizontal-relative:page;mso-position-vertical-relative:page;z-index:-26880512" type="#_x0000_t202" id="docshape367" filled="false" stroked="false">
          <v:textbox inset="0,0,0,0">
            <w:txbxContent>
              <w:p>
                <w:pPr>
                  <w:spacing w:before="12"/>
                  <w:ind w:left="20" w:right="0" w:firstLine="0"/>
                  <w:jc w:val="left"/>
                  <w:rPr>
                    <w:b/>
                    <w:sz w:val="20"/>
                  </w:rPr>
                </w:pPr>
                <w:r>
                  <w:rPr>
                    <w:b/>
                    <w:sz w:val="20"/>
                  </w:rPr>
                  <w:t>Credit</w:t>
                </w:r>
                <w:r>
                  <w:rPr>
                    <w:b/>
                    <w:spacing w:val="-9"/>
                    <w:sz w:val="20"/>
                  </w:rPr>
                  <w:t> </w:t>
                </w:r>
                <w:r>
                  <w:rPr>
                    <w:b/>
                    <w:spacing w:val="-10"/>
                    <w:sz w:val="20"/>
                  </w:rPr>
                  <w:t>6</w:t>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61.919998pt;width:470.88pt;height:.72pt;mso-position-horizontal-relative:page;mso-position-vertical-relative:page;z-index:-26878464" id="docshape371" filled="true" fillcolor="#000000" stroked="false">
          <v:fill type="solid"/>
          <w10:wrap type="none"/>
        </v:rect>
      </w:pict>
    </w:r>
    <w:r>
      <w:rPr/>
      <w:pict>
        <v:shape style="position:absolute;margin-left:71pt;margin-top:48.663475pt;width:43.1pt;height:13.15pt;mso-position-horizontal-relative:page;mso-position-vertical-relative:page;z-index:-26877952" type="#_x0000_t202" id="docshape372" filled="false" stroked="false">
          <v:textbox inset="0,0,0,0">
            <w:txbxContent>
              <w:p>
                <w:pPr>
                  <w:spacing w:before="12"/>
                  <w:ind w:left="20" w:right="0" w:firstLine="0"/>
                  <w:jc w:val="left"/>
                  <w:rPr>
                    <w:b/>
                    <w:sz w:val="20"/>
                  </w:rPr>
                </w:pPr>
                <w:r>
                  <w:rPr>
                    <w:b/>
                    <w:sz w:val="20"/>
                  </w:rPr>
                  <w:t>ARC</w:t>
                </w:r>
                <w:r>
                  <w:rPr>
                    <w:b/>
                    <w:spacing w:val="-6"/>
                    <w:sz w:val="20"/>
                  </w:rPr>
                  <w:t> </w:t>
                </w:r>
                <w:r>
                  <w:rPr>
                    <w:b/>
                    <w:spacing w:val="-5"/>
                    <w:sz w:val="20"/>
                  </w:rPr>
                  <w:t>305</w:t>
                </w:r>
              </w:p>
            </w:txbxContent>
          </v:textbox>
          <w10:wrap type="none"/>
        </v:shape>
      </w:pict>
    </w:r>
    <w:r>
      <w:rPr/>
      <w:pict>
        <v:shape style="position:absolute;margin-left:218.009598pt;margin-top:48.663475pt;width:175.9pt;height:13.15pt;mso-position-horizontal-relative:page;mso-position-vertical-relative:page;z-index:-26877440" type="#_x0000_t202" id="docshape373" filled="false" stroked="false">
          <v:textbox inset="0,0,0,0">
            <w:txbxContent>
              <w:p>
                <w:pPr>
                  <w:spacing w:before="12"/>
                  <w:ind w:left="20" w:right="0" w:firstLine="0"/>
                  <w:jc w:val="left"/>
                  <w:rPr>
                    <w:b/>
                    <w:sz w:val="20"/>
                  </w:rPr>
                </w:pPr>
                <w:r>
                  <w:rPr>
                    <w:b/>
                    <w:sz w:val="20"/>
                  </w:rPr>
                  <w:t>International</w:t>
                </w:r>
                <w:r>
                  <w:rPr>
                    <w:b/>
                    <w:spacing w:val="-16"/>
                    <w:sz w:val="20"/>
                  </w:rPr>
                  <w:t> </w:t>
                </w:r>
                <w:r>
                  <w:rPr>
                    <w:b/>
                    <w:sz w:val="20"/>
                  </w:rPr>
                  <w:t>Urban</w:t>
                </w:r>
                <w:r>
                  <w:rPr>
                    <w:b/>
                    <w:spacing w:val="-13"/>
                    <w:sz w:val="20"/>
                  </w:rPr>
                  <w:t> </w:t>
                </w:r>
                <w:r>
                  <w:rPr>
                    <w:b/>
                    <w:sz w:val="20"/>
                  </w:rPr>
                  <w:t>Travel--</w:t>
                </w:r>
                <w:r>
                  <w:rPr>
                    <w:b/>
                    <w:spacing w:val="-2"/>
                    <w:sz w:val="20"/>
                  </w:rPr>
                  <w:t>StudioVII</w:t>
                </w:r>
              </w:p>
            </w:txbxContent>
          </v:textbox>
          <w10:wrap type="none"/>
        </v:shape>
      </w:pict>
    </w:r>
    <w:r>
      <w:rPr/>
      <w:pict>
        <v:shape style="position:absolute;margin-left:501.809845pt;margin-top:48.663475pt;width:39.1pt;height:13.15pt;mso-position-horizontal-relative:page;mso-position-vertical-relative:page;z-index:-26876928" type="#_x0000_t202" id="docshape374" filled="false" stroked="false">
          <v:textbox inset="0,0,0,0">
            <w:txbxContent>
              <w:p>
                <w:pPr>
                  <w:spacing w:before="12"/>
                  <w:ind w:left="20" w:right="0" w:firstLine="0"/>
                  <w:jc w:val="left"/>
                  <w:rPr>
                    <w:b/>
                    <w:sz w:val="20"/>
                  </w:rPr>
                </w:pPr>
                <w:r>
                  <w:rPr>
                    <w:b/>
                    <w:sz w:val="20"/>
                  </w:rPr>
                  <w:t>Credit</w:t>
                </w:r>
                <w:r>
                  <w:rPr>
                    <w:b/>
                    <w:spacing w:val="-9"/>
                    <w:sz w:val="20"/>
                  </w:rPr>
                  <w:t> </w:t>
                </w:r>
                <w:r>
                  <w:rPr>
                    <w:b/>
                    <w:spacing w:val="-10"/>
                    <w:sz w:val="20"/>
                  </w:rPr>
                  <w:t>3</w:t>
                </w:r>
              </w:p>
            </w:txbxContent>
          </v:textbox>
          <w10:wrap type="non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61.919998pt;width:470.88pt;height:.72pt;mso-position-horizontal-relative:page;mso-position-vertical-relative:page;z-index:-26874880" id="docshape378" filled="true" fillcolor="#000000" stroked="false">
          <v:fill type="solid"/>
          <w10:wrap type="none"/>
        </v:rect>
      </w:pict>
    </w:r>
    <w:r>
      <w:rPr/>
      <w:pict>
        <v:shape style="position:absolute;margin-left:71pt;margin-top:48.663475pt;width:43.1pt;height:13.15pt;mso-position-horizontal-relative:page;mso-position-vertical-relative:page;z-index:-26874368" type="#_x0000_t202" id="docshape379" filled="false" stroked="false">
          <v:textbox inset="0,0,0,0">
            <w:txbxContent>
              <w:p>
                <w:pPr>
                  <w:spacing w:before="12"/>
                  <w:ind w:left="20" w:right="0" w:firstLine="0"/>
                  <w:jc w:val="left"/>
                  <w:rPr>
                    <w:b/>
                    <w:sz w:val="20"/>
                  </w:rPr>
                </w:pPr>
                <w:r>
                  <w:rPr>
                    <w:b/>
                    <w:sz w:val="20"/>
                  </w:rPr>
                  <w:t>ARC</w:t>
                </w:r>
                <w:r>
                  <w:rPr>
                    <w:b/>
                    <w:spacing w:val="-6"/>
                    <w:sz w:val="20"/>
                  </w:rPr>
                  <w:t> </w:t>
                </w:r>
                <w:r>
                  <w:rPr>
                    <w:b/>
                    <w:spacing w:val="-5"/>
                    <w:sz w:val="20"/>
                  </w:rPr>
                  <w:t>306</w:t>
                </w:r>
              </w:p>
            </w:txbxContent>
          </v:textbox>
          <w10:wrap type="none"/>
        </v:shape>
      </w:pict>
    </w:r>
    <w:r>
      <w:rPr/>
      <w:pict>
        <v:shape style="position:absolute;margin-left:197.242996pt;margin-top:48.663475pt;width:217.55pt;height:13.15pt;mso-position-horizontal-relative:page;mso-position-vertical-relative:page;z-index:-26873856" type="#_x0000_t202" id="docshape380" filled="false" stroked="false">
          <v:textbox inset="0,0,0,0">
            <w:txbxContent>
              <w:p>
                <w:pPr>
                  <w:spacing w:before="12"/>
                  <w:ind w:left="20" w:right="0" w:firstLine="0"/>
                  <w:jc w:val="left"/>
                  <w:rPr>
                    <w:b/>
                    <w:sz w:val="20"/>
                  </w:rPr>
                </w:pPr>
                <w:r>
                  <w:rPr>
                    <w:b/>
                    <w:sz w:val="20"/>
                  </w:rPr>
                  <w:t>International</w:t>
                </w:r>
                <w:r>
                  <w:rPr>
                    <w:b/>
                    <w:spacing w:val="-12"/>
                    <w:sz w:val="20"/>
                  </w:rPr>
                  <w:t> </w:t>
                </w:r>
                <w:r>
                  <w:rPr>
                    <w:b/>
                    <w:sz w:val="20"/>
                  </w:rPr>
                  <w:t>Urban</w:t>
                </w:r>
                <w:r>
                  <w:rPr>
                    <w:b/>
                    <w:spacing w:val="-11"/>
                    <w:sz w:val="20"/>
                  </w:rPr>
                  <w:t> </w:t>
                </w:r>
                <w:r>
                  <w:rPr>
                    <w:b/>
                    <w:sz w:val="20"/>
                  </w:rPr>
                  <w:t>Travel</w:t>
                </w:r>
                <w:r>
                  <w:rPr>
                    <w:b/>
                    <w:spacing w:val="-12"/>
                    <w:sz w:val="20"/>
                  </w:rPr>
                  <w:t> </w:t>
                </w:r>
                <w:r>
                  <w:rPr>
                    <w:b/>
                    <w:sz w:val="20"/>
                  </w:rPr>
                  <w:t>Design--Studio</w:t>
                </w:r>
                <w:r>
                  <w:rPr>
                    <w:b/>
                    <w:spacing w:val="-9"/>
                    <w:sz w:val="20"/>
                  </w:rPr>
                  <w:t> </w:t>
                </w:r>
                <w:r>
                  <w:rPr>
                    <w:b/>
                    <w:spacing w:val="-4"/>
                    <w:sz w:val="20"/>
                  </w:rPr>
                  <w:t>VIII</w:t>
                </w:r>
              </w:p>
            </w:txbxContent>
          </v:textbox>
          <w10:wrap type="none"/>
        </v:shape>
      </w:pict>
    </w:r>
    <w:r>
      <w:rPr/>
      <w:pict>
        <v:shape style="position:absolute;margin-left:501.799866pt;margin-top:48.663475pt;width:39.1pt;height:13.15pt;mso-position-horizontal-relative:page;mso-position-vertical-relative:page;z-index:-26873344" type="#_x0000_t202" id="docshape381" filled="false" stroked="false">
          <v:textbox inset="0,0,0,0">
            <w:txbxContent>
              <w:p>
                <w:pPr>
                  <w:spacing w:before="12"/>
                  <w:ind w:left="20" w:right="0" w:firstLine="0"/>
                  <w:jc w:val="left"/>
                  <w:rPr>
                    <w:b/>
                    <w:sz w:val="20"/>
                  </w:rPr>
                </w:pPr>
                <w:r>
                  <w:rPr>
                    <w:b/>
                    <w:sz w:val="20"/>
                  </w:rPr>
                  <w:t>Credit</w:t>
                </w:r>
                <w:r>
                  <w:rPr>
                    <w:b/>
                    <w:spacing w:val="-9"/>
                    <w:sz w:val="20"/>
                  </w:rPr>
                  <w:t> </w:t>
                </w:r>
                <w:r>
                  <w:rPr>
                    <w:b/>
                    <w:spacing w:val="-10"/>
                    <w:sz w:val="20"/>
                  </w:rPr>
                  <w:t>3</w:t>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61.919998pt;width:470.88pt;height:.72pt;mso-position-horizontal-relative:page;mso-position-vertical-relative:page;z-index:-26871296" id="docshape385" filled="true" fillcolor="#000000" stroked="false">
          <v:fill type="solid"/>
          <w10:wrap type="none"/>
        </v:rect>
      </w:pict>
    </w:r>
    <w:r>
      <w:rPr/>
      <w:pict>
        <v:shape style="position:absolute;margin-left:71pt;margin-top:48.663475pt;width:46.1pt;height:13.15pt;mso-position-horizontal-relative:page;mso-position-vertical-relative:page;z-index:-26870784" type="#_x0000_t202" id="docshape386" filled="false" stroked="false">
          <v:textbox inset="0,0,0,0">
            <w:txbxContent>
              <w:p>
                <w:pPr>
                  <w:spacing w:before="12"/>
                  <w:ind w:left="20" w:right="0" w:firstLine="0"/>
                  <w:jc w:val="left"/>
                  <w:rPr>
                    <w:b/>
                    <w:sz w:val="20"/>
                  </w:rPr>
                </w:pPr>
                <w:r>
                  <w:rPr>
                    <w:b/>
                    <w:sz w:val="20"/>
                  </w:rPr>
                  <w:t>ARC</w:t>
                </w:r>
                <w:r>
                  <w:rPr>
                    <w:b/>
                    <w:spacing w:val="-6"/>
                    <w:sz w:val="20"/>
                  </w:rPr>
                  <w:t> </w:t>
                </w:r>
                <w:r>
                  <w:rPr>
                    <w:b/>
                    <w:spacing w:val="-5"/>
                    <w:sz w:val="20"/>
                  </w:rPr>
                  <w:fldChar w:fldCharType="begin"/>
                </w:r>
                <w:r>
                  <w:rPr>
                    <w:b/>
                    <w:spacing w:val="-5"/>
                    <w:sz w:val="20"/>
                  </w:rPr>
                  <w:instrText> PAGE </w:instrText>
                </w:r>
                <w:r>
                  <w:rPr>
                    <w:b/>
                    <w:spacing w:val="-5"/>
                    <w:sz w:val="20"/>
                  </w:rPr>
                  <w:fldChar w:fldCharType="separate"/>
                </w:r>
                <w:r>
                  <w:rPr>
                    <w:b/>
                    <w:spacing w:val="-5"/>
                    <w:sz w:val="20"/>
                  </w:rPr>
                  <w:t>309</w:t>
                </w:r>
                <w:r>
                  <w:rPr>
                    <w:b/>
                    <w:spacing w:val="-5"/>
                    <w:sz w:val="20"/>
                  </w:rPr>
                  <w:fldChar w:fldCharType="end"/>
                </w:r>
              </w:p>
            </w:txbxContent>
          </v:textbox>
          <w10:wrap type="none"/>
        </v:shape>
      </w:pict>
    </w:r>
    <w:r>
      <w:rPr/>
      <w:pict>
        <v:shape style="position:absolute;margin-left:277.281555pt;margin-top:48.663475pt;width:57.45pt;height:13.15pt;mso-position-horizontal-relative:page;mso-position-vertical-relative:page;z-index:-26870272" type="#_x0000_t202" id="docshape387" filled="false" stroked="false">
          <v:textbox inset="0,0,0,0">
            <w:txbxContent>
              <w:p>
                <w:pPr>
                  <w:spacing w:before="12"/>
                  <w:ind w:left="20" w:right="0" w:firstLine="0"/>
                  <w:jc w:val="left"/>
                  <w:rPr>
                    <w:b/>
                    <w:sz w:val="20"/>
                  </w:rPr>
                </w:pPr>
                <w:r>
                  <w:rPr>
                    <w:b/>
                    <w:sz w:val="20"/>
                  </w:rPr>
                  <w:t>Structures</w:t>
                </w:r>
                <w:r>
                  <w:rPr>
                    <w:b/>
                    <w:spacing w:val="-15"/>
                    <w:sz w:val="20"/>
                  </w:rPr>
                  <w:t> </w:t>
                </w:r>
                <w:r>
                  <w:rPr>
                    <w:b/>
                    <w:spacing w:val="-10"/>
                    <w:sz w:val="20"/>
                  </w:rPr>
                  <w:t>I</w:t>
                </w:r>
              </w:p>
            </w:txbxContent>
          </v:textbox>
          <w10:wrap type="none"/>
        </v:shape>
      </w:pict>
    </w:r>
    <w:r>
      <w:rPr/>
      <w:pict>
        <v:shape style="position:absolute;margin-left:501.799866pt;margin-top:48.663475pt;width:39.1pt;height:13.15pt;mso-position-horizontal-relative:page;mso-position-vertical-relative:page;z-index:-26869760" type="#_x0000_t202" id="docshape388" filled="false" stroked="false">
          <v:textbox inset="0,0,0,0">
            <w:txbxContent>
              <w:p>
                <w:pPr>
                  <w:spacing w:before="12"/>
                  <w:ind w:left="20" w:right="0" w:firstLine="0"/>
                  <w:jc w:val="left"/>
                  <w:rPr>
                    <w:b/>
                    <w:sz w:val="20"/>
                  </w:rPr>
                </w:pPr>
                <w:r>
                  <w:rPr>
                    <w:b/>
                    <w:sz w:val="20"/>
                  </w:rPr>
                  <w:t>Credit</w:t>
                </w:r>
                <w:r>
                  <w:rPr>
                    <w:b/>
                    <w:spacing w:val="-9"/>
                    <w:sz w:val="20"/>
                  </w:rPr>
                  <w:t> </w:t>
                </w:r>
                <w:r>
                  <w:rPr>
                    <w:b/>
                    <w:spacing w:val="-10"/>
                    <w:sz w:val="20"/>
                  </w:rPr>
                  <w:t>3</w:t>
                </w:r>
              </w:p>
            </w:txbxContent>
          </v:textbox>
          <w10:wrap type="non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61.919998pt;width:470.88pt;height:.72pt;mso-position-horizontal-relative:page;mso-position-vertical-relative:page;z-index:-26867712" id="docshape392" filled="true" fillcolor="#000000" stroked="false">
          <v:fill type="solid"/>
          <w10:wrap type="none"/>
        </v:rect>
      </w:pict>
    </w:r>
    <w:r>
      <w:rPr/>
      <w:pict>
        <v:shape style="position:absolute;margin-left:71pt;margin-top:48.663475pt;width:46.1pt;height:13.15pt;mso-position-horizontal-relative:page;mso-position-vertical-relative:page;z-index:-26867200" type="#_x0000_t202" id="docshape393" filled="false" stroked="false">
          <v:textbox inset="0,0,0,0">
            <w:txbxContent>
              <w:p>
                <w:pPr>
                  <w:spacing w:before="12"/>
                  <w:ind w:left="20" w:right="0" w:firstLine="0"/>
                  <w:jc w:val="left"/>
                  <w:rPr>
                    <w:b/>
                    <w:sz w:val="20"/>
                  </w:rPr>
                </w:pPr>
                <w:r>
                  <w:rPr>
                    <w:b/>
                    <w:sz w:val="20"/>
                  </w:rPr>
                  <w:t>ARC</w:t>
                </w:r>
                <w:r>
                  <w:rPr>
                    <w:b/>
                    <w:spacing w:val="-6"/>
                    <w:sz w:val="20"/>
                  </w:rPr>
                  <w:t> </w:t>
                </w:r>
                <w:r>
                  <w:rPr>
                    <w:b/>
                    <w:spacing w:val="-5"/>
                    <w:sz w:val="20"/>
                  </w:rPr>
                  <w:fldChar w:fldCharType="begin"/>
                </w:r>
                <w:r>
                  <w:rPr>
                    <w:b/>
                    <w:spacing w:val="-5"/>
                    <w:sz w:val="20"/>
                  </w:rPr>
                  <w:instrText> PAGE </w:instrText>
                </w:r>
                <w:r>
                  <w:rPr>
                    <w:b/>
                    <w:spacing w:val="-5"/>
                    <w:sz w:val="20"/>
                  </w:rPr>
                  <w:fldChar w:fldCharType="separate"/>
                </w:r>
                <w:r>
                  <w:rPr>
                    <w:b/>
                    <w:spacing w:val="-5"/>
                    <w:sz w:val="20"/>
                  </w:rPr>
                  <w:t>310</w:t>
                </w:r>
                <w:r>
                  <w:rPr>
                    <w:b/>
                    <w:spacing w:val="-5"/>
                    <w:sz w:val="20"/>
                  </w:rPr>
                  <w:fldChar w:fldCharType="end"/>
                </w:r>
              </w:p>
            </w:txbxContent>
          </v:textbox>
          <w10:wrap type="none"/>
        </v:shape>
      </w:pict>
    </w:r>
    <w:r>
      <w:rPr/>
      <w:pict>
        <v:shape style="position:absolute;margin-left:275.966827pt;margin-top:48.663475pt;width:60.2pt;height:13.15pt;mso-position-horizontal-relative:page;mso-position-vertical-relative:page;z-index:-26866688" type="#_x0000_t202" id="docshape394" filled="false" stroked="false">
          <v:textbox inset="0,0,0,0">
            <w:txbxContent>
              <w:p>
                <w:pPr>
                  <w:spacing w:before="12"/>
                  <w:ind w:left="20" w:right="0" w:firstLine="0"/>
                  <w:jc w:val="left"/>
                  <w:rPr>
                    <w:b/>
                    <w:sz w:val="20"/>
                  </w:rPr>
                </w:pPr>
                <w:r>
                  <w:rPr>
                    <w:b/>
                    <w:sz w:val="20"/>
                  </w:rPr>
                  <w:t>Structures</w:t>
                </w:r>
                <w:r>
                  <w:rPr>
                    <w:b/>
                    <w:spacing w:val="-15"/>
                    <w:sz w:val="20"/>
                  </w:rPr>
                  <w:t> </w:t>
                </w:r>
                <w:r>
                  <w:rPr>
                    <w:b/>
                    <w:spacing w:val="-5"/>
                    <w:sz w:val="20"/>
                  </w:rPr>
                  <w:t>II</w:t>
                </w:r>
              </w:p>
            </w:txbxContent>
          </v:textbox>
          <w10:wrap type="none"/>
        </v:shape>
      </w:pict>
    </w:r>
    <w:r>
      <w:rPr/>
      <w:pict>
        <v:shape style="position:absolute;margin-left:501.809845pt;margin-top:48.663475pt;width:39.1pt;height:13.15pt;mso-position-horizontal-relative:page;mso-position-vertical-relative:page;z-index:-26866176" type="#_x0000_t202" id="docshape395" filled="false" stroked="false">
          <v:textbox inset="0,0,0,0">
            <w:txbxContent>
              <w:p>
                <w:pPr>
                  <w:spacing w:before="12"/>
                  <w:ind w:left="20" w:right="0" w:firstLine="0"/>
                  <w:jc w:val="left"/>
                  <w:rPr>
                    <w:b/>
                    <w:sz w:val="20"/>
                  </w:rPr>
                </w:pPr>
                <w:r>
                  <w:rPr>
                    <w:b/>
                    <w:sz w:val="20"/>
                  </w:rPr>
                  <w:t>Credit</w:t>
                </w:r>
                <w:r>
                  <w:rPr>
                    <w:b/>
                    <w:spacing w:val="-9"/>
                    <w:sz w:val="20"/>
                  </w:rPr>
                  <w:t> </w:t>
                </w:r>
                <w:r>
                  <w:rPr>
                    <w:b/>
                    <w:spacing w:val="-10"/>
                    <w:sz w:val="20"/>
                  </w:rPr>
                  <w:t>3</w:t>
                </w:r>
              </w:p>
            </w:txbxContent>
          </v:textbox>
          <w10:wrap type="non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61.919998pt;width:470.88pt;height:.72pt;mso-position-horizontal-relative:page;mso-position-vertical-relative:page;z-index:-26864128" id="docshape399" filled="true" fillcolor="#000000" stroked="false">
          <v:fill type="solid"/>
          <w10:wrap type="none"/>
        </v:rect>
      </w:pict>
    </w:r>
    <w:r>
      <w:rPr/>
      <w:pict>
        <v:shape style="position:absolute;margin-left:71pt;margin-top:48.663475pt;width:43.1pt;height:13.15pt;mso-position-horizontal-relative:page;mso-position-vertical-relative:page;z-index:-26863616" type="#_x0000_t202" id="docshape400" filled="false" stroked="false">
          <v:textbox inset="0,0,0,0">
            <w:txbxContent>
              <w:p>
                <w:pPr>
                  <w:spacing w:before="12"/>
                  <w:ind w:left="20" w:right="0" w:firstLine="0"/>
                  <w:jc w:val="left"/>
                  <w:rPr>
                    <w:b/>
                    <w:sz w:val="20"/>
                  </w:rPr>
                </w:pPr>
                <w:r>
                  <w:rPr>
                    <w:b/>
                    <w:sz w:val="20"/>
                  </w:rPr>
                  <w:t>ARC</w:t>
                </w:r>
                <w:r>
                  <w:rPr>
                    <w:b/>
                    <w:spacing w:val="-6"/>
                    <w:sz w:val="20"/>
                  </w:rPr>
                  <w:t> </w:t>
                </w:r>
                <w:r>
                  <w:rPr>
                    <w:b/>
                    <w:spacing w:val="-5"/>
                    <w:sz w:val="20"/>
                  </w:rPr>
                  <w:t>314</w:t>
                </w:r>
              </w:p>
            </w:txbxContent>
          </v:textbox>
          <w10:wrap type="none"/>
        </v:shape>
      </w:pict>
    </w:r>
    <w:r>
      <w:rPr/>
      <w:pict>
        <v:shape style="position:absolute;margin-left:255.927322pt;margin-top:48.663475pt;width:100.3pt;height:13.15pt;mso-position-horizontal-relative:page;mso-position-vertical-relative:page;z-index:-26863104" type="#_x0000_t202" id="docshape401" filled="false" stroked="false">
          <v:textbox inset="0,0,0,0">
            <w:txbxContent>
              <w:p>
                <w:pPr>
                  <w:spacing w:before="12"/>
                  <w:ind w:left="20" w:right="0" w:firstLine="0"/>
                  <w:jc w:val="left"/>
                  <w:rPr>
                    <w:b/>
                    <w:sz w:val="20"/>
                  </w:rPr>
                </w:pPr>
                <w:r>
                  <w:rPr>
                    <w:b/>
                    <w:sz w:val="20"/>
                  </w:rPr>
                  <w:t>Building</w:t>
                </w:r>
                <w:r>
                  <w:rPr>
                    <w:b/>
                    <w:spacing w:val="-6"/>
                    <w:sz w:val="20"/>
                  </w:rPr>
                  <w:t> </w:t>
                </w:r>
                <w:r>
                  <w:rPr>
                    <w:b/>
                    <w:spacing w:val="-2"/>
                    <w:sz w:val="20"/>
                  </w:rPr>
                  <w:t>Assemblies</w:t>
                </w:r>
              </w:p>
            </w:txbxContent>
          </v:textbox>
          <w10:wrap type="none"/>
        </v:shape>
      </w:pict>
    </w:r>
    <w:r>
      <w:rPr/>
      <w:pict>
        <v:shape style="position:absolute;margin-left:501.809845pt;margin-top:48.663475pt;width:39.1pt;height:13.15pt;mso-position-horizontal-relative:page;mso-position-vertical-relative:page;z-index:-26862592" type="#_x0000_t202" id="docshape402" filled="false" stroked="false">
          <v:textbox inset="0,0,0,0">
            <w:txbxContent>
              <w:p>
                <w:pPr>
                  <w:spacing w:before="12"/>
                  <w:ind w:left="20" w:right="0" w:firstLine="0"/>
                  <w:jc w:val="left"/>
                  <w:rPr>
                    <w:b/>
                    <w:sz w:val="20"/>
                  </w:rPr>
                </w:pPr>
                <w:r>
                  <w:rPr>
                    <w:b/>
                    <w:sz w:val="20"/>
                  </w:rPr>
                  <w:t>Credit</w:t>
                </w:r>
                <w:r>
                  <w:rPr>
                    <w:b/>
                    <w:spacing w:val="-9"/>
                    <w:sz w:val="20"/>
                  </w:rPr>
                  <w:t> </w:t>
                </w:r>
                <w:r>
                  <w:rPr>
                    <w:b/>
                    <w:spacing w:val="-10"/>
                    <w:sz w:val="20"/>
                  </w:rPr>
                  <w:t>3</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1">
    <w:multiLevelType w:val="hybridMultilevel"/>
    <w:lvl w:ilvl="0">
      <w:start w:val="1"/>
      <w:numFmt w:val="decimal"/>
      <w:lvlText w:val="%1."/>
      <w:lvlJc w:val="left"/>
      <w:pPr>
        <w:ind w:left="3118" w:hanging="738"/>
        <w:jc w:val="left"/>
      </w:pPr>
      <w:rPr>
        <w:rFonts w:hint="default"/>
        <w:spacing w:val="-1"/>
        <w:w w:val="104"/>
        <w:lang w:val="en-US" w:eastAsia="en-US" w:bidi="ar-SA"/>
      </w:rPr>
    </w:lvl>
    <w:lvl w:ilvl="1">
      <w:start w:val="0"/>
      <w:numFmt w:val="bullet"/>
      <w:lvlText w:val="•"/>
      <w:lvlJc w:val="left"/>
      <w:pPr>
        <w:ind w:left="3796" w:hanging="738"/>
      </w:pPr>
      <w:rPr>
        <w:rFonts w:hint="default"/>
        <w:lang w:val="en-US" w:eastAsia="en-US" w:bidi="ar-SA"/>
      </w:rPr>
    </w:lvl>
    <w:lvl w:ilvl="2">
      <w:start w:val="0"/>
      <w:numFmt w:val="bullet"/>
      <w:lvlText w:val="•"/>
      <w:lvlJc w:val="left"/>
      <w:pPr>
        <w:ind w:left="4472" w:hanging="738"/>
      </w:pPr>
      <w:rPr>
        <w:rFonts w:hint="default"/>
        <w:lang w:val="en-US" w:eastAsia="en-US" w:bidi="ar-SA"/>
      </w:rPr>
    </w:lvl>
    <w:lvl w:ilvl="3">
      <w:start w:val="0"/>
      <w:numFmt w:val="bullet"/>
      <w:lvlText w:val="•"/>
      <w:lvlJc w:val="left"/>
      <w:pPr>
        <w:ind w:left="5148" w:hanging="738"/>
      </w:pPr>
      <w:rPr>
        <w:rFonts w:hint="default"/>
        <w:lang w:val="en-US" w:eastAsia="en-US" w:bidi="ar-SA"/>
      </w:rPr>
    </w:lvl>
    <w:lvl w:ilvl="4">
      <w:start w:val="0"/>
      <w:numFmt w:val="bullet"/>
      <w:lvlText w:val="•"/>
      <w:lvlJc w:val="left"/>
      <w:pPr>
        <w:ind w:left="5824" w:hanging="738"/>
      </w:pPr>
      <w:rPr>
        <w:rFonts w:hint="default"/>
        <w:lang w:val="en-US" w:eastAsia="en-US" w:bidi="ar-SA"/>
      </w:rPr>
    </w:lvl>
    <w:lvl w:ilvl="5">
      <w:start w:val="0"/>
      <w:numFmt w:val="bullet"/>
      <w:lvlText w:val="•"/>
      <w:lvlJc w:val="left"/>
      <w:pPr>
        <w:ind w:left="6500" w:hanging="738"/>
      </w:pPr>
      <w:rPr>
        <w:rFonts w:hint="default"/>
        <w:lang w:val="en-US" w:eastAsia="en-US" w:bidi="ar-SA"/>
      </w:rPr>
    </w:lvl>
    <w:lvl w:ilvl="6">
      <w:start w:val="0"/>
      <w:numFmt w:val="bullet"/>
      <w:lvlText w:val="•"/>
      <w:lvlJc w:val="left"/>
      <w:pPr>
        <w:ind w:left="7176" w:hanging="738"/>
      </w:pPr>
      <w:rPr>
        <w:rFonts w:hint="default"/>
        <w:lang w:val="en-US" w:eastAsia="en-US" w:bidi="ar-SA"/>
      </w:rPr>
    </w:lvl>
    <w:lvl w:ilvl="7">
      <w:start w:val="0"/>
      <w:numFmt w:val="bullet"/>
      <w:lvlText w:val="•"/>
      <w:lvlJc w:val="left"/>
      <w:pPr>
        <w:ind w:left="7852" w:hanging="738"/>
      </w:pPr>
      <w:rPr>
        <w:rFonts w:hint="default"/>
        <w:lang w:val="en-US" w:eastAsia="en-US" w:bidi="ar-SA"/>
      </w:rPr>
    </w:lvl>
    <w:lvl w:ilvl="8">
      <w:start w:val="0"/>
      <w:numFmt w:val="bullet"/>
      <w:lvlText w:val="•"/>
      <w:lvlJc w:val="left"/>
      <w:pPr>
        <w:ind w:left="8528" w:hanging="738"/>
      </w:pPr>
      <w:rPr>
        <w:rFonts w:hint="default"/>
        <w:lang w:val="en-US" w:eastAsia="en-US" w:bidi="ar-SA"/>
      </w:rPr>
    </w:lvl>
  </w:abstractNum>
  <w:abstractNum w:abstractNumId="41">
    <w:multiLevelType w:val="hybridMultilevel"/>
    <w:lvl w:ilvl="0">
      <w:start w:val="0"/>
      <w:numFmt w:val="bullet"/>
      <w:lvlText w:val="•"/>
      <w:lvlJc w:val="left"/>
      <w:pPr>
        <w:ind w:left="1951" w:hanging="360"/>
      </w:pPr>
      <w:rPr>
        <w:rFonts w:hint="default" w:ascii="Arial" w:hAnsi="Arial" w:eastAsia="Arial" w:cs="Arial"/>
        <w:b w:val="0"/>
        <w:bCs w:val="0"/>
        <w:i w:val="0"/>
        <w:iCs w:val="0"/>
        <w:w w:val="130"/>
        <w:sz w:val="20"/>
        <w:szCs w:val="20"/>
        <w:lang w:val="en-US" w:eastAsia="en-US" w:bidi="ar-SA"/>
      </w:rPr>
    </w:lvl>
    <w:lvl w:ilvl="1">
      <w:start w:val="0"/>
      <w:numFmt w:val="bullet"/>
      <w:lvlText w:val="o"/>
      <w:lvlJc w:val="left"/>
      <w:pPr>
        <w:ind w:left="2671" w:hanging="360"/>
      </w:pPr>
      <w:rPr>
        <w:rFonts w:hint="default" w:ascii="Courier New" w:hAnsi="Courier New" w:eastAsia="Courier New" w:cs="Courier New"/>
        <w:b w:val="0"/>
        <w:bCs w:val="0"/>
        <w:i w:val="0"/>
        <w:iCs w:val="0"/>
        <w:w w:val="99"/>
        <w:sz w:val="20"/>
        <w:szCs w:val="20"/>
        <w:lang w:val="en-US" w:eastAsia="en-US" w:bidi="ar-SA"/>
      </w:rPr>
    </w:lvl>
    <w:lvl w:ilvl="2">
      <w:start w:val="0"/>
      <w:numFmt w:val="bullet"/>
      <w:lvlText w:val="•"/>
      <w:lvlJc w:val="left"/>
      <w:pPr>
        <w:ind w:left="3540" w:hanging="360"/>
      </w:pPr>
      <w:rPr>
        <w:rFonts w:hint="default"/>
        <w:lang w:val="en-US" w:eastAsia="en-US" w:bidi="ar-SA"/>
      </w:rPr>
    </w:lvl>
    <w:lvl w:ilvl="3">
      <w:start w:val="0"/>
      <w:numFmt w:val="bullet"/>
      <w:lvlText w:val="•"/>
      <w:lvlJc w:val="left"/>
      <w:pPr>
        <w:ind w:left="4400" w:hanging="360"/>
      </w:pPr>
      <w:rPr>
        <w:rFonts w:hint="default"/>
        <w:lang w:val="en-US" w:eastAsia="en-US" w:bidi="ar-SA"/>
      </w:rPr>
    </w:lvl>
    <w:lvl w:ilvl="4">
      <w:start w:val="0"/>
      <w:numFmt w:val="bullet"/>
      <w:lvlText w:val="•"/>
      <w:lvlJc w:val="left"/>
      <w:pPr>
        <w:ind w:left="5260" w:hanging="360"/>
      </w:pPr>
      <w:rPr>
        <w:rFonts w:hint="default"/>
        <w:lang w:val="en-US" w:eastAsia="en-US" w:bidi="ar-SA"/>
      </w:rPr>
    </w:lvl>
    <w:lvl w:ilvl="5">
      <w:start w:val="0"/>
      <w:numFmt w:val="bullet"/>
      <w:lvlText w:val="•"/>
      <w:lvlJc w:val="left"/>
      <w:pPr>
        <w:ind w:left="6120" w:hanging="360"/>
      </w:pPr>
      <w:rPr>
        <w:rFonts w:hint="default"/>
        <w:lang w:val="en-US" w:eastAsia="en-US" w:bidi="ar-SA"/>
      </w:rPr>
    </w:lvl>
    <w:lvl w:ilvl="6">
      <w:start w:val="0"/>
      <w:numFmt w:val="bullet"/>
      <w:lvlText w:val="•"/>
      <w:lvlJc w:val="left"/>
      <w:pPr>
        <w:ind w:left="6980" w:hanging="360"/>
      </w:pPr>
      <w:rPr>
        <w:rFonts w:hint="default"/>
        <w:lang w:val="en-US" w:eastAsia="en-US" w:bidi="ar-SA"/>
      </w:rPr>
    </w:lvl>
    <w:lvl w:ilvl="7">
      <w:start w:val="0"/>
      <w:numFmt w:val="bullet"/>
      <w:lvlText w:val="•"/>
      <w:lvlJc w:val="left"/>
      <w:pPr>
        <w:ind w:left="7840" w:hanging="360"/>
      </w:pPr>
      <w:rPr>
        <w:rFonts w:hint="default"/>
        <w:lang w:val="en-US" w:eastAsia="en-US" w:bidi="ar-SA"/>
      </w:rPr>
    </w:lvl>
    <w:lvl w:ilvl="8">
      <w:start w:val="0"/>
      <w:numFmt w:val="bullet"/>
      <w:lvlText w:val="•"/>
      <w:lvlJc w:val="left"/>
      <w:pPr>
        <w:ind w:left="8700" w:hanging="360"/>
      </w:pPr>
      <w:rPr>
        <w:rFonts w:hint="default"/>
        <w:lang w:val="en-US" w:eastAsia="en-US" w:bidi="ar-SA"/>
      </w:rPr>
    </w:lvl>
  </w:abstractNum>
  <w:abstractNum w:abstractNumId="84">
    <w:multiLevelType w:val="hybridMultilevel"/>
    <w:lvl w:ilvl="0">
      <w:start w:val="6"/>
      <w:numFmt w:val="lowerLetter"/>
      <w:lvlText w:val="%1."/>
      <w:lvlJc w:val="left"/>
      <w:pPr>
        <w:ind w:left="1814" w:hanging="716"/>
        <w:jc w:val="left"/>
      </w:pPr>
      <w:rPr>
        <w:rFonts w:hint="default" w:ascii="Arial" w:hAnsi="Arial" w:eastAsia="Arial" w:cs="Arial"/>
        <w:b w:val="0"/>
        <w:bCs w:val="0"/>
        <w:i w:val="0"/>
        <w:iCs w:val="0"/>
        <w:color w:val="3A3A3A"/>
        <w:spacing w:val="-1"/>
        <w:w w:val="103"/>
        <w:sz w:val="22"/>
        <w:szCs w:val="22"/>
        <w:lang w:val="en-US" w:eastAsia="en-US" w:bidi="ar-SA"/>
      </w:rPr>
    </w:lvl>
    <w:lvl w:ilvl="1">
      <w:start w:val="1"/>
      <w:numFmt w:val="decimal"/>
      <w:lvlText w:val="%2."/>
      <w:lvlJc w:val="left"/>
      <w:pPr>
        <w:ind w:left="1808" w:hanging="718"/>
        <w:jc w:val="left"/>
      </w:pPr>
      <w:rPr>
        <w:rFonts w:hint="default" w:ascii="Arial" w:hAnsi="Arial" w:eastAsia="Arial" w:cs="Arial"/>
        <w:b/>
        <w:bCs/>
        <w:i w:val="0"/>
        <w:iCs w:val="0"/>
        <w:color w:val="3A3A3A"/>
        <w:spacing w:val="-1"/>
        <w:w w:val="110"/>
        <w:sz w:val="20"/>
        <w:szCs w:val="20"/>
        <w:lang w:val="en-US" w:eastAsia="en-US" w:bidi="ar-SA"/>
      </w:rPr>
    </w:lvl>
    <w:lvl w:ilvl="2">
      <w:start w:val="0"/>
      <w:numFmt w:val="bullet"/>
      <w:lvlText w:val="•"/>
      <w:lvlJc w:val="left"/>
      <w:pPr>
        <w:ind w:left="2784" w:hanging="718"/>
      </w:pPr>
      <w:rPr>
        <w:rFonts w:hint="default"/>
        <w:lang w:val="en-US" w:eastAsia="en-US" w:bidi="ar-SA"/>
      </w:rPr>
    </w:lvl>
    <w:lvl w:ilvl="3">
      <w:start w:val="0"/>
      <w:numFmt w:val="bullet"/>
      <w:lvlText w:val="•"/>
      <w:lvlJc w:val="left"/>
      <w:pPr>
        <w:ind w:left="3748" w:hanging="718"/>
      </w:pPr>
      <w:rPr>
        <w:rFonts w:hint="default"/>
        <w:lang w:val="en-US" w:eastAsia="en-US" w:bidi="ar-SA"/>
      </w:rPr>
    </w:lvl>
    <w:lvl w:ilvl="4">
      <w:start w:val="0"/>
      <w:numFmt w:val="bullet"/>
      <w:lvlText w:val="•"/>
      <w:lvlJc w:val="left"/>
      <w:pPr>
        <w:ind w:left="4713" w:hanging="718"/>
      </w:pPr>
      <w:rPr>
        <w:rFonts w:hint="default"/>
        <w:lang w:val="en-US" w:eastAsia="en-US" w:bidi="ar-SA"/>
      </w:rPr>
    </w:lvl>
    <w:lvl w:ilvl="5">
      <w:start w:val="0"/>
      <w:numFmt w:val="bullet"/>
      <w:lvlText w:val="•"/>
      <w:lvlJc w:val="left"/>
      <w:pPr>
        <w:ind w:left="5677" w:hanging="718"/>
      </w:pPr>
      <w:rPr>
        <w:rFonts w:hint="default"/>
        <w:lang w:val="en-US" w:eastAsia="en-US" w:bidi="ar-SA"/>
      </w:rPr>
    </w:lvl>
    <w:lvl w:ilvl="6">
      <w:start w:val="0"/>
      <w:numFmt w:val="bullet"/>
      <w:lvlText w:val="•"/>
      <w:lvlJc w:val="left"/>
      <w:pPr>
        <w:ind w:left="6642" w:hanging="718"/>
      </w:pPr>
      <w:rPr>
        <w:rFonts w:hint="default"/>
        <w:lang w:val="en-US" w:eastAsia="en-US" w:bidi="ar-SA"/>
      </w:rPr>
    </w:lvl>
    <w:lvl w:ilvl="7">
      <w:start w:val="0"/>
      <w:numFmt w:val="bullet"/>
      <w:lvlText w:val="•"/>
      <w:lvlJc w:val="left"/>
      <w:pPr>
        <w:ind w:left="7606" w:hanging="718"/>
      </w:pPr>
      <w:rPr>
        <w:rFonts w:hint="default"/>
        <w:lang w:val="en-US" w:eastAsia="en-US" w:bidi="ar-SA"/>
      </w:rPr>
    </w:lvl>
    <w:lvl w:ilvl="8">
      <w:start w:val="0"/>
      <w:numFmt w:val="bullet"/>
      <w:lvlText w:val="•"/>
      <w:lvlJc w:val="left"/>
      <w:pPr>
        <w:ind w:left="8571" w:hanging="718"/>
      </w:pPr>
      <w:rPr>
        <w:rFonts w:hint="default"/>
        <w:lang w:val="en-US" w:eastAsia="en-US" w:bidi="ar-SA"/>
      </w:rPr>
    </w:lvl>
  </w:abstractNum>
  <w:abstractNum w:abstractNumId="83">
    <w:multiLevelType w:val="hybridMultilevel"/>
    <w:lvl w:ilvl="0">
      <w:start w:val="11"/>
      <w:numFmt w:val="decimal"/>
      <w:lvlText w:val="%1."/>
      <w:lvlJc w:val="left"/>
      <w:pPr>
        <w:ind w:left="1625" w:hanging="551"/>
        <w:jc w:val="left"/>
      </w:pPr>
      <w:rPr>
        <w:rFonts w:hint="default" w:ascii="Arial" w:hAnsi="Arial" w:eastAsia="Arial" w:cs="Arial"/>
        <w:b w:val="0"/>
        <w:bCs w:val="0"/>
        <w:i w:val="0"/>
        <w:iCs w:val="0"/>
        <w:color w:val="383838"/>
        <w:spacing w:val="-1"/>
        <w:w w:val="60"/>
        <w:sz w:val="20"/>
        <w:szCs w:val="20"/>
        <w:lang w:val="en-US" w:eastAsia="en-US" w:bidi="ar-SA"/>
      </w:rPr>
    </w:lvl>
    <w:lvl w:ilvl="1">
      <w:start w:val="1"/>
      <w:numFmt w:val="upperLetter"/>
      <w:lvlText w:val="%2."/>
      <w:lvlJc w:val="left"/>
      <w:pPr>
        <w:ind w:left="2519" w:hanging="721"/>
        <w:jc w:val="left"/>
      </w:pPr>
      <w:rPr>
        <w:rFonts w:hint="default" w:ascii="Arial" w:hAnsi="Arial" w:eastAsia="Arial" w:cs="Arial"/>
        <w:b w:val="0"/>
        <w:bCs w:val="0"/>
        <w:i w:val="0"/>
        <w:iCs w:val="0"/>
        <w:color w:val="383838"/>
        <w:spacing w:val="-1"/>
        <w:w w:val="99"/>
        <w:position w:val="1"/>
        <w:sz w:val="20"/>
        <w:szCs w:val="20"/>
        <w:lang w:val="en-US" w:eastAsia="en-US" w:bidi="ar-SA"/>
      </w:rPr>
    </w:lvl>
    <w:lvl w:ilvl="2">
      <w:start w:val="0"/>
      <w:numFmt w:val="bullet"/>
      <w:lvlText w:val="•"/>
      <w:lvlJc w:val="left"/>
      <w:pPr>
        <w:ind w:left="3406" w:hanging="721"/>
      </w:pPr>
      <w:rPr>
        <w:rFonts w:hint="default"/>
        <w:lang w:val="en-US" w:eastAsia="en-US" w:bidi="ar-SA"/>
      </w:rPr>
    </w:lvl>
    <w:lvl w:ilvl="3">
      <w:start w:val="0"/>
      <w:numFmt w:val="bullet"/>
      <w:lvlText w:val="•"/>
      <w:lvlJc w:val="left"/>
      <w:pPr>
        <w:ind w:left="4293" w:hanging="721"/>
      </w:pPr>
      <w:rPr>
        <w:rFonts w:hint="default"/>
        <w:lang w:val="en-US" w:eastAsia="en-US" w:bidi="ar-SA"/>
      </w:rPr>
    </w:lvl>
    <w:lvl w:ilvl="4">
      <w:start w:val="0"/>
      <w:numFmt w:val="bullet"/>
      <w:lvlText w:val="•"/>
      <w:lvlJc w:val="left"/>
      <w:pPr>
        <w:ind w:left="5180" w:hanging="721"/>
      </w:pPr>
      <w:rPr>
        <w:rFonts w:hint="default"/>
        <w:lang w:val="en-US" w:eastAsia="en-US" w:bidi="ar-SA"/>
      </w:rPr>
    </w:lvl>
    <w:lvl w:ilvl="5">
      <w:start w:val="0"/>
      <w:numFmt w:val="bullet"/>
      <w:lvlText w:val="•"/>
      <w:lvlJc w:val="left"/>
      <w:pPr>
        <w:ind w:left="6066" w:hanging="721"/>
      </w:pPr>
      <w:rPr>
        <w:rFonts w:hint="default"/>
        <w:lang w:val="en-US" w:eastAsia="en-US" w:bidi="ar-SA"/>
      </w:rPr>
    </w:lvl>
    <w:lvl w:ilvl="6">
      <w:start w:val="0"/>
      <w:numFmt w:val="bullet"/>
      <w:lvlText w:val="•"/>
      <w:lvlJc w:val="left"/>
      <w:pPr>
        <w:ind w:left="6953" w:hanging="721"/>
      </w:pPr>
      <w:rPr>
        <w:rFonts w:hint="default"/>
        <w:lang w:val="en-US" w:eastAsia="en-US" w:bidi="ar-SA"/>
      </w:rPr>
    </w:lvl>
    <w:lvl w:ilvl="7">
      <w:start w:val="0"/>
      <w:numFmt w:val="bullet"/>
      <w:lvlText w:val="•"/>
      <w:lvlJc w:val="left"/>
      <w:pPr>
        <w:ind w:left="7840" w:hanging="721"/>
      </w:pPr>
      <w:rPr>
        <w:rFonts w:hint="default"/>
        <w:lang w:val="en-US" w:eastAsia="en-US" w:bidi="ar-SA"/>
      </w:rPr>
    </w:lvl>
    <w:lvl w:ilvl="8">
      <w:start w:val="0"/>
      <w:numFmt w:val="bullet"/>
      <w:lvlText w:val="•"/>
      <w:lvlJc w:val="left"/>
      <w:pPr>
        <w:ind w:left="8726" w:hanging="721"/>
      </w:pPr>
      <w:rPr>
        <w:rFonts w:hint="default"/>
        <w:lang w:val="en-US" w:eastAsia="en-US" w:bidi="ar-SA"/>
      </w:rPr>
    </w:lvl>
  </w:abstractNum>
  <w:abstractNum w:abstractNumId="82">
    <w:multiLevelType w:val="hybridMultilevel"/>
    <w:lvl w:ilvl="0">
      <w:start w:val="1"/>
      <w:numFmt w:val="upperRoman"/>
      <w:lvlText w:val="%1."/>
      <w:lvlJc w:val="left"/>
      <w:pPr>
        <w:ind w:left="1654" w:hanging="543"/>
        <w:jc w:val="left"/>
      </w:pPr>
      <w:rPr>
        <w:rFonts w:hint="default"/>
        <w:w w:val="113"/>
        <w:lang w:val="en-US" w:eastAsia="en-US" w:bidi="ar-SA"/>
      </w:rPr>
    </w:lvl>
    <w:lvl w:ilvl="1">
      <w:start w:val="1"/>
      <w:numFmt w:val="decimal"/>
      <w:lvlText w:val="%2."/>
      <w:lvlJc w:val="left"/>
      <w:pPr>
        <w:ind w:left="2546" w:hanging="900"/>
        <w:jc w:val="left"/>
      </w:pPr>
      <w:rPr>
        <w:rFonts w:hint="default" w:ascii="Arial" w:hAnsi="Arial" w:eastAsia="Arial" w:cs="Arial"/>
        <w:b w:val="0"/>
        <w:bCs w:val="0"/>
        <w:i w:val="0"/>
        <w:iCs w:val="0"/>
        <w:color w:val="383838"/>
        <w:w w:val="114"/>
        <w:sz w:val="20"/>
        <w:szCs w:val="20"/>
        <w:lang w:val="en-US" w:eastAsia="en-US" w:bidi="ar-SA"/>
      </w:rPr>
    </w:lvl>
    <w:lvl w:ilvl="2">
      <w:start w:val="0"/>
      <w:numFmt w:val="bullet"/>
      <w:lvlText w:val="•"/>
      <w:lvlJc w:val="left"/>
      <w:pPr>
        <w:ind w:left="3424" w:hanging="900"/>
      </w:pPr>
      <w:rPr>
        <w:rFonts w:hint="default"/>
        <w:lang w:val="en-US" w:eastAsia="en-US" w:bidi="ar-SA"/>
      </w:rPr>
    </w:lvl>
    <w:lvl w:ilvl="3">
      <w:start w:val="0"/>
      <w:numFmt w:val="bullet"/>
      <w:lvlText w:val="•"/>
      <w:lvlJc w:val="left"/>
      <w:pPr>
        <w:ind w:left="4308" w:hanging="900"/>
      </w:pPr>
      <w:rPr>
        <w:rFonts w:hint="default"/>
        <w:lang w:val="en-US" w:eastAsia="en-US" w:bidi="ar-SA"/>
      </w:rPr>
    </w:lvl>
    <w:lvl w:ilvl="4">
      <w:start w:val="0"/>
      <w:numFmt w:val="bullet"/>
      <w:lvlText w:val="•"/>
      <w:lvlJc w:val="left"/>
      <w:pPr>
        <w:ind w:left="5193" w:hanging="900"/>
      </w:pPr>
      <w:rPr>
        <w:rFonts w:hint="default"/>
        <w:lang w:val="en-US" w:eastAsia="en-US" w:bidi="ar-SA"/>
      </w:rPr>
    </w:lvl>
    <w:lvl w:ilvl="5">
      <w:start w:val="0"/>
      <w:numFmt w:val="bullet"/>
      <w:lvlText w:val="•"/>
      <w:lvlJc w:val="left"/>
      <w:pPr>
        <w:ind w:left="6077" w:hanging="900"/>
      </w:pPr>
      <w:rPr>
        <w:rFonts w:hint="default"/>
        <w:lang w:val="en-US" w:eastAsia="en-US" w:bidi="ar-SA"/>
      </w:rPr>
    </w:lvl>
    <w:lvl w:ilvl="6">
      <w:start w:val="0"/>
      <w:numFmt w:val="bullet"/>
      <w:lvlText w:val="•"/>
      <w:lvlJc w:val="left"/>
      <w:pPr>
        <w:ind w:left="6962" w:hanging="900"/>
      </w:pPr>
      <w:rPr>
        <w:rFonts w:hint="default"/>
        <w:lang w:val="en-US" w:eastAsia="en-US" w:bidi="ar-SA"/>
      </w:rPr>
    </w:lvl>
    <w:lvl w:ilvl="7">
      <w:start w:val="0"/>
      <w:numFmt w:val="bullet"/>
      <w:lvlText w:val="•"/>
      <w:lvlJc w:val="left"/>
      <w:pPr>
        <w:ind w:left="7846" w:hanging="900"/>
      </w:pPr>
      <w:rPr>
        <w:rFonts w:hint="default"/>
        <w:lang w:val="en-US" w:eastAsia="en-US" w:bidi="ar-SA"/>
      </w:rPr>
    </w:lvl>
    <w:lvl w:ilvl="8">
      <w:start w:val="0"/>
      <w:numFmt w:val="bullet"/>
      <w:lvlText w:val="•"/>
      <w:lvlJc w:val="left"/>
      <w:pPr>
        <w:ind w:left="8731" w:hanging="900"/>
      </w:pPr>
      <w:rPr>
        <w:rFonts w:hint="default"/>
        <w:lang w:val="en-US" w:eastAsia="en-US" w:bidi="ar-SA"/>
      </w:rPr>
    </w:lvl>
  </w:abstractNum>
  <w:abstractNum w:abstractNumId="80">
    <w:multiLevelType w:val="hybridMultilevel"/>
    <w:lvl w:ilvl="0">
      <w:start w:val="1"/>
      <w:numFmt w:val="decimal"/>
      <w:lvlText w:val="%1."/>
      <w:lvlJc w:val="left"/>
      <w:pPr>
        <w:ind w:left="1920" w:hanging="219"/>
        <w:jc w:val="right"/>
      </w:pPr>
      <w:rPr>
        <w:rFonts w:hint="default" w:ascii="Arial" w:hAnsi="Arial" w:eastAsia="Arial" w:cs="Arial"/>
        <w:b w:val="0"/>
        <w:bCs w:val="0"/>
        <w:i w:val="0"/>
        <w:iCs w:val="0"/>
        <w:spacing w:val="-1"/>
        <w:w w:val="114"/>
        <w:sz w:val="19"/>
        <w:szCs w:val="19"/>
        <w:lang w:val="en-US" w:eastAsia="en-US" w:bidi="ar-SA"/>
      </w:rPr>
    </w:lvl>
    <w:lvl w:ilvl="1">
      <w:start w:val="0"/>
      <w:numFmt w:val="bullet"/>
      <w:lvlText w:val="•"/>
      <w:lvlJc w:val="left"/>
      <w:pPr>
        <w:ind w:left="2716" w:hanging="219"/>
      </w:pPr>
      <w:rPr>
        <w:rFonts w:hint="default"/>
        <w:lang w:val="en-US" w:eastAsia="en-US" w:bidi="ar-SA"/>
      </w:rPr>
    </w:lvl>
    <w:lvl w:ilvl="2">
      <w:start w:val="0"/>
      <w:numFmt w:val="bullet"/>
      <w:lvlText w:val="•"/>
      <w:lvlJc w:val="left"/>
      <w:pPr>
        <w:ind w:left="3512" w:hanging="219"/>
      </w:pPr>
      <w:rPr>
        <w:rFonts w:hint="default"/>
        <w:lang w:val="en-US" w:eastAsia="en-US" w:bidi="ar-SA"/>
      </w:rPr>
    </w:lvl>
    <w:lvl w:ilvl="3">
      <w:start w:val="0"/>
      <w:numFmt w:val="bullet"/>
      <w:lvlText w:val="•"/>
      <w:lvlJc w:val="left"/>
      <w:pPr>
        <w:ind w:left="4308" w:hanging="219"/>
      </w:pPr>
      <w:rPr>
        <w:rFonts w:hint="default"/>
        <w:lang w:val="en-US" w:eastAsia="en-US" w:bidi="ar-SA"/>
      </w:rPr>
    </w:lvl>
    <w:lvl w:ilvl="4">
      <w:start w:val="0"/>
      <w:numFmt w:val="bullet"/>
      <w:lvlText w:val="•"/>
      <w:lvlJc w:val="left"/>
      <w:pPr>
        <w:ind w:left="5104" w:hanging="219"/>
      </w:pPr>
      <w:rPr>
        <w:rFonts w:hint="default"/>
        <w:lang w:val="en-US" w:eastAsia="en-US" w:bidi="ar-SA"/>
      </w:rPr>
    </w:lvl>
    <w:lvl w:ilvl="5">
      <w:start w:val="0"/>
      <w:numFmt w:val="bullet"/>
      <w:lvlText w:val="•"/>
      <w:lvlJc w:val="left"/>
      <w:pPr>
        <w:ind w:left="5900" w:hanging="219"/>
      </w:pPr>
      <w:rPr>
        <w:rFonts w:hint="default"/>
        <w:lang w:val="en-US" w:eastAsia="en-US" w:bidi="ar-SA"/>
      </w:rPr>
    </w:lvl>
    <w:lvl w:ilvl="6">
      <w:start w:val="0"/>
      <w:numFmt w:val="bullet"/>
      <w:lvlText w:val="•"/>
      <w:lvlJc w:val="left"/>
      <w:pPr>
        <w:ind w:left="6696" w:hanging="219"/>
      </w:pPr>
      <w:rPr>
        <w:rFonts w:hint="default"/>
        <w:lang w:val="en-US" w:eastAsia="en-US" w:bidi="ar-SA"/>
      </w:rPr>
    </w:lvl>
    <w:lvl w:ilvl="7">
      <w:start w:val="0"/>
      <w:numFmt w:val="bullet"/>
      <w:lvlText w:val="•"/>
      <w:lvlJc w:val="left"/>
      <w:pPr>
        <w:ind w:left="7492" w:hanging="219"/>
      </w:pPr>
      <w:rPr>
        <w:rFonts w:hint="default"/>
        <w:lang w:val="en-US" w:eastAsia="en-US" w:bidi="ar-SA"/>
      </w:rPr>
    </w:lvl>
    <w:lvl w:ilvl="8">
      <w:start w:val="0"/>
      <w:numFmt w:val="bullet"/>
      <w:lvlText w:val="•"/>
      <w:lvlJc w:val="left"/>
      <w:pPr>
        <w:ind w:left="8288" w:hanging="219"/>
      </w:pPr>
      <w:rPr>
        <w:rFonts w:hint="default"/>
        <w:lang w:val="en-US" w:eastAsia="en-US" w:bidi="ar-SA"/>
      </w:rPr>
    </w:lvl>
  </w:abstractNum>
  <w:abstractNum w:abstractNumId="79">
    <w:multiLevelType w:val="hybridMultilevel"/>
    <w:lvl w:ilvl="0">
      <w:start w:val="1"/>
      <w:numFmt w:val="decimal"/>
      <w:lvlText w:val="%1"/>
      <w:lvlJc w:val="left"/>
      <w:pPr>
        <w:ind w:left="2189" w:hanging="503"/>
        <w:jc w:val="left"/>
      </w:pPr>
      <w:rPr>
        <w:rFonts w:hint="default"/>
        <w:lang w:val="en-US" w:eastAsia="en-US" w:bidi="ar-SA"/>
      </w:rPr>
    </w:lvl>
    <w:lvl w:ilvl="1">
      <w:start w:val="5"/>
      <w:numFmt w:val="decimal"/>
      <w:lvlText w:val="%1.%2"/>
      <w:lvlJc w:val="left"/>
      <w:pPr>
        <w:ind w:left="2189" w:hanging="503"/>
        <w:jc w:val="left"/>
      </w:pPr>
      <w:rPr>
        <w:rFonts w:hint="default"/>
        <w:lang w:val="en-US" w:eastAsia="en-US" w:bidi="ar-SA"/>
      </w:rPr>
    </w:lvl>
    <w:lvl w:ilvl="2">
      <w:start w:val="1"/>
      <w:numFmt w:val="decimal"/>
      <w:lvlText w:val="%1.%2.%3"/>
      <w:lvlJc w:val="left"/>
      <w:pPr>
        <w:ind w:left="2189" w:hanging="503"/>
        <w:jc w:val="left"/>
      </w:pPr>
      <w:rPr>
        <w:rFonts w:hint="default"/>
        <w:w w:val="104"/>
        <w:u w:val="thick" w:color="000000"/>
        <w:lang w:val="en-US" w:eastAsia="en-US" w:bidi="ar-SA"/>
      </w:rPr>
    </w:lvl>
    <w:lvl w:ilvl="3">
      <w:start w:val="1"/>
      <w:numFmt w:val="decimal"/>
      <w:lvlText w:val="%4."/>
      <w:lvlJc w:val="left"/>
      <w:pPr>
        <w:ind w:left="3113" w:hanging="743"/>
        <w:jc w:val="left"/>
      </w:pPr>
      <w:rPr>
        <w:rFonts w:hint="default" w:ascii="Arial" w:hAnsi="Arial" w:eastAsia="Arial" w:cs="Arial"/>
        <w:b w:val="0"/>
        <w:bCs w:val="0"/>
        <w:i w:val="0"/>
        <w:iCs w:val="0"/>
        <w:spacing w:val="-1"/>
        <w:w w:val="106"/>
        <w:sz w:val="19"/>
        <w:szCs w:val="19"/>
        <w:lang w:val="en-US" w:eastAsia="en-US" w:bidi="ar-SA"/>
      </w:rPr>
    </w:lvl>
    <w:lvl w:ilvl="4">
      <w:start w:val="0"/>
      <w:numFmt w:val="bullet"/>
      <w:lvlText w:val="•"/>
      <w:lvlJc w:val="left"/>
      <w:pPr>
        <w:ind w:left="5373" w:hanging="743"/>
      </w:pPr>
      <w:rPr>
        <w:rFonts w:hint="default"/>
        <w:lang w:val="en-US" w:eastAsia="en-US" w:bidi="ar-SA"/>
      </w:rPr>
    </w:lvl>
    <w:lvl w:ilvl="5">
      <w:start w:val="0"/>
      <w:numFmt w:val="bullet"/>
      <w:lvlText w:val="•"/>
      <w:lvlJc w:val="left"/>
      <w:pPr>
        <w:ind w:left="6124" w:hanging="743"/>
      </w:pPr>
      <w:rPr>
        <w:rFonts w:hint="default"/>
        <w:lang w:val="en-US" w:eastAsia="en-US" w:bidi="ar-SA"/>
      </w:rPr>
    </w:lvl>
    <w:lvl w:ilvl="6">
      <w:start w:val="0"/>
      <w:numFmt w:val="bullet"/>
      <w:lvlText w:val="•"/>
      <w:lvlJc w:val="left"/>
      <w:pPr>
        <w:ind w:left="6875" w:hanging="743"/>
      </w:pPr>
      <w:rPr>
        <w:rFonts w:hint="default"/>
        <w:lang w:val="en-US" w:eastAsia="en-US" w:bidi="ar-SA"/>
      </w:rPr>
    </w:lvl>
    <w:lvl w:ilvl="7">
      <w:start w:val="0"/>
      <w:numFmt w:val="bullet"/>
      <w:lvlText w:val="•"/>
      <w:lvlJc w:val="left"/>
      <w:pPr>
        <w:ind w:left="7626" w:hanging="743"/>
      </w:pPr>
      <w:rPr>
        <w:rFonts w:hint="default"/>
        <w:lang w:val="en-US" w:eastAsia="en-US" w:bidi="ar-SA"/>
      </w:rPr>
    </w:lvl>
    <w:lvl w:ilvl="8">
      <w:start w:val="0"/>
      <w:numFmt w:val="bullet"/>
      <w:lvlText w:val="•"/>
      <w:lvlJc w:val="left"/>
      <w:pPr>
        <w:ind w:left="8377" w:hanging="743"/>
      </w:pPr>
      <w:rPr>
        <w:rFonts w:hint="default"/>
        <w:lang w:val="en-US" w:eastAsia="en-US" w:bidi="ar-SA"/>
      </w:rPr>
    </w:lvl>
  </w:abstractNum>
  <w:abstractNum w:abstractNumId="78">
    <w:multiLevelType w:val="hybridMultilevel"/>
    <w:lvl w:ilvl="0">
      <w:start w:val="1"/>
      <w:numFmt w:val="decimal"/>
      <w:lvlText w:val="%1."/>
      <w:lvlJc w:val="left"/>
      <w:pPr>
        <w:ind w:left="1658" w:hanging="719"/>
        <w:jc w:val="right"/>
      </w:pPr>
      <w:rPr>
        <w:rFonts w:hint="default"/>
        <w:spacing w:val="-1"/>
        <w:w w:val="117"/>
        <w:lang w:val="en-US" w:eastAsia="en-US" w:bidi="ar-SA"/>
      </w:rPr>
    </w:lvl>
    <w:lvl w:ilvl="1">
      <w:start w:val="0"/>
      <w:numFmt w:val="bullet"/>
      <w:lvlText w:val="•"/>
      <w:lvlJc w:val="left"/>
      <w:pPr>
        <w:ind w:left="2482" w:hanging="719"/>
      </w:pPr>
      <w:rPr>
        <w:rFonts w:hint="default"/>
        <w:lang w:val="en-US" w:eastAsia="en-US" w:bidi="ar-SA"/>
      </w:rPr>
    </w:lvl>
    <w:lvl w:ilvl="2">
      <w:start w:val="0"/>
      <w:numFmt w:val="bullet"/>
      <w:lvlText w:val="•"/>
      <w:lvlJc w:val="left"/>
      <w:pPr>
        <w:ind w:left="3304" w:hanging="719"/>
      </w:pPr>
      <w:rPr>
        <w:rFonts w:hint="default"/>
        <w:lang w:val="en-US" w:eastAsia="en-US" w:bidi="ar-SA"/>
      </w:rPr>
    </w:lvl>
    <w:lvl w:ilvl="3">
      <w:start w:val="0"/>
      <w:numFmt w:val="bullet"/>
      <w:lvlText w:val="•"/>
      <w:lvlJc w:val="left"/>
      <w:pPr>
        <w:ind w:left="4126" w:hanging="719"/>
      </w:pPr>
      <w:rPr>
        <w:rFonts w:hint="default"/>
        <w:lang w:val="en-US" w:eastAsia="en-US" w:bidi="ar-SA"/>
      </w:rPr>
    </w:lvl>
    <w:lvl w:ilvl="4">
      <w:start w:val="0"/>
      <w:numFmt w:val="bullet"/>
      <w:lvlText w:val="•"/>
      <w:lvlJc w:val="left"/>
      <w:pPr>
        <w:ind w:left="4948" w:hanging="719"/>
      </w:pPr>
      <w:rPr>
        <w:rFonts w:hint="default"/>
        <w:lang w:val="en-US" w:eastAsia="en-US" w:bidi="ar-SA"/>
      </w:rPr>
    </w:lvl>
    <w:lvl w:ilvl="5">
      <w:start w:val="0"/>
      <w:numFmt w:val="bullet"/>
      <w:lvlText w:val="•"/>
      <w:lvlJc w:val="left"/>
      <w:pPr>
        <w:ind w:left="5770" w:hanging="719"/>
      </w:pPr>
      <w:rPr>
        <w:rFonts w:hint="default"/>
        <w:lang w:val="en-US" w:eastAsia="en-US" w:bidi="ar-SA"/>
      </w:rPr>
    </w:lvl>
    <w:lvl w:ilvl="6">
      <w:start w:val="0"/>
      <w:numFmt w:val="bullet"/>
      <w:lvlText w:val="•"/>
      <w:lvlJc w:val="left"/>
      <w:pPr>
        <w:ind w:left="6592" w:hanging="719"/>
      </w:pPr>
      <w:rPr>
        <w:rFonts w:hint="default"/>
        <w:lang w:val="en-US" w:eastAsia="en-US" w:bidi="ar-SA"/>
      </w:rPr>
    </w:lvl>
    <w:lvl w:ilvl="7">
      <w:start w:val="0"/>
      <w:numFmt w:val="bullet"/>
      <w:lvlText w:val="•"/>
      <w:lvlJc w:val="left"/>
      <w:pPr>
        <w:ind w:left="7414" w:hanging="719"/>
      </w:pPr>
      <w:rPr>
        <w:rFonts w:hint="default"/>
        <w:lang w:val="en-US" w:eastAsia="en-US" w:bidi="ar-SA"/>
      </w:rPr>
    </w:lvl>
    <w:lvl w:ilvl="8">
      <w:start w:val="0"/>
      <w:numFmt w:val="bullet"/>
      <w:lvlText w:val="•"/>
      <w:lvlJc w:val="left"/>
      <w:pPr>
        <w:ind w:left="8236" w:hanging="719"/>
      </w:pPr>
      <w:rPr>
        <w:rFonts w:hint="default"/>
        <w:lang w:val="en-US" w:eastAsia="en-US" w:bidi="ar-SA"/>
      </w:rPr>
    </w:lvl>
  </w:abstractNum>
  <w:abstractNum w:abstractNumId="77">
    <w:multiLevelType w:val="hybridMultilevel"/>
    <w:lvl w:ilvl="0">
      <w:start w:val="13"/>
      <w:numFmt w:val="decimal"/>
      <w:lvlText w:val="%1"/>
      <w:lvlJc w:val="left"/>
      <w:pPr>
        <w:ind w:left="1645" w:hanging="716"/>
        <w:jc w:val="left"/>
      </w:pPr>
      <w:rPr>
        <w:rFonts w:hint="default"/>
        <w:lang w:val="en-US" w:eastAsia="en-US" w:bidi="ar-SA"/>
      </w:rPr>
    </w:lvl>
    <w:lvl w:ilvl="1">
      <w:start w:val="18"/>
      <w:numFmt w:val="decimal"/>
      <w:lvlText w:val="%1.%2"/>
      <w:lvlJc w:val="left"/>
      <w:pPr>
        <w:ind w:left="1645" w:hanging="716"/>
        <w:jc w:val="left"/>
      </w:pPr>
      <w:rPr>
        <w:rFonts w:hint="default" w:ascii="Arial" w:hAnsi="Arial" w:eastAsia="Arial" w:cs="Arial"/>
        <w:b w:val="0"/>
        <w:bCs w:val="0"/>
        <w:i w:val="0"/>
        <w:iCs w:val="0"/>
        <w:spacing w:val="-1"/>
        <w:w w:val="100"/>
        <w:sz w:val="20"/>
        <w:szCs w:val="20"/>
        <w:lang w:val="en-US" w:eastAsia="en-US" w:bidi="ar-SA"/>
      </w:rPr>
    </w:lvl>
    <w:lvl w:ilvl="2">
      <w:start w:val="0"/>
      <w:numFmt w:val="bullet"/>
      <w:lvlText w:val="•"/>
      <w:lvlJc w:val="left"/>
      <w:pPr>
        <w:ind w:left="3288" w:hanging="716"/>
      </w:pPr>
      <w:rPr>
        <w:rFonts w:hint="default"/>
        <w:lang w:val="en-US" w:eastAsia="en-US" w:bidi="ar-SA"/>
      </w:rPr>
    </w:lvl>
    <w:lvl w:ilvl="3">
      <w:start w:val="0"/>
      <w:numFmt w:val="bullet"/>
      <w:lvlText w:val="•"/>
      <w:lvlJc w:val="left"/>
      <w:pPr>
        <w:ind w:left="4112" w:hanging="716"/>
      </w:pPr>
      <w:rPr>
        <w:rFonts w:hint="default"/>
        <w:lang w:val="en-US" w:eastAsia="en-US" w:bidi="ar-SA"/>
      </w:rPr>
    </w:lvl>
    <w:lvl w:ilvl="4">
      <w:start w:val="0"/>
      <w:numFmt w:val="bullet"/>
      <w:lvlText w:val="•"/>
      <w:lvlJc w:val="left"/>
      <w:pPr>
        <w:ind w:left="4936" w:hanging="716"/>
      </w:pPr>
      <w:rPr>
        <w:rFonts w:hint="default"/>
        <w:lang w:val="en-US" w:eastAsia="en-US" w:bidi="ar-SA"/>
      </w:rPr>
    </w:lvl>
    <w:lvl w:ilvl="5">
      <w:start w:val="0"/>
      <w:numFmt w:val="bullet"/>
      <w:lvlText w:val="•"/>
      <w:lvlJc w:val="left"/>
      <w:pPr>
        <w:ind w:left="5760" w:hanging="716"/>
      </w:pPr>
      <w:rPr>
        <w:rFonts w:hint="default"/>
        <w:lang w:val="en-US" w:eastAsia="en-US" w:bidi="ar-SA"/>
      </w:rPr>
    </w:lvl>
    <w:lvl w:ilvl="6">
      <w:start w:val="0"/>
      <w:numFmt w:val="bullet"/>
      <w:lvlText w:val="•"/>
      <w:lvlJc w:val="left"/>
      <w:pPr>
        <w:ind w:left="6584" w:hanging="716"/>
      </w:pPr>
      <w:rPr>
        <w:rFonts w:hint="default"/>
        <w:lang w:val="en-US" w:eastAsia="en-US" w:bidi="ar-SA"/>
      </w:rPr>
    </w:lvl>
    <w:lvl w:ilvl="7">
      <w:start w:val="0"/>
      <w:numFmt w:val="bullet"/>
      <w:lvlText w:val="•"/>
      <w:lvlJc w:val="left"/>
      <w:pPr>
        <w:ind w:left="7408" w:hanging="716"/>
      </w:pPr>
      <w:rPr>
        <w:rFonts w:hint="default"/>
        <w:lang w:val="en-US" w:eastAsia="en-US" w:bidi="ar-SA"/>
      </w:rPr>
    </w:lvl>
    <w:lvl w:ilvl="8">
      <w:start w:val="0"/>
      <w:numFmt w:val="bullet"/>
      <w:lvlText w:val="•"/>
      <w:lvlJc w:val="left"/>
      <w:pPr>
        <w:ind w:left="8232" w:hanging="716"/>
      </w:pPr>
      <w:rPr>
        <w:rFonts w:hint="default"/>
        <w:lang w:val="en-US" w:eastAsia="en-US" w:bidi="ar-SA"/>
      </w:rPr>
    </w:lvl>
  </w:abstractNum>
  <w:abstractNum w:abstractNumId="76">
    <w:multiLevelType w:val="hybridMultilevel"/>
    <w:lvl w:ilvl="0">
      <w:start w:val="6"/>
      <w:numFmt w:val="decimal"/>
      <w:lvlText w:val="%1"/>
      <w:lvlJc w:val="left"/>
      <w:pPr>
        <w:ind w:left="1649" w:hanging="706"/>
        <w:jc w:val="left"/>
      </w:pPr>
      <w:rPr>
        <w:rFonts w:hint="default" w:ascii="Arial" w:hAnsi="Arial" w:eastAsia="Arial" w:cs="Arial"/>
        <w:b w:val="0"/>
        <w:bCs w:val="0"/>
        <w:i w:val="0"/>
        <w:iCs w:val="0"/>
        <w:w w:val="110"/>
        <w:sz w:val="20"/>
        <w:szCs w:val="20"/>
        <w:lang w:val="en-US" w:eastAsia="en-US" w:bidi="ar-SA"/>
      </w:rPr>
    </w:lvl>
    <w:lvl w:ilvl="1">
      <w:start w:val="0"/>
      <w:numFmt w:val="bullet"/>
      <w:lvlText w:val="•"/>
      <w:lvlJc w:val="left"/>
      <w:pPr>
        <w:ind w:left="2464" w:hanging="706"/>
      </w:pPr>
      <w:rPr>
        <w:rFonts w:hint="default"/>
        <w:lang w:val="en-US" w:eastAsia="en-US" w:bidi="ar-SA"/>
      </w:rPr>
    </w:lvl>
    <w:lvl w:ilvl="2">
      <w:start w:val="0"/>
      <w:numFmt w:val="bullet"/>
      <w:lvlText w:val="•"/>
      <w:lvlJc w:val="left"/>
      <w:pPr>
        <w:ind w:left="3288" w:hanging="706"/>
      </w:pPr>
      <w:rPr>
        <w:rFonts w:hint="default"/>
        <w:lang w:val="en-US" w:eastAsia="en-US" w:bidi="ar-SA"/>
      </w:rPr>
    </w:lvl>
    <w:lvl w:ilvl="3">
      <w:start w:val="0"/>
      <w:numFmt w:val="bullet"/>
      <w:lvlText w:val="•"/>
      <w:lvlJc w:val="left"/>
      <w:pPr>
        <w:ind w:left="4112" w:hanging="706"/>
      </w:pPr>
      <w:rPr>
        <w:rFonts w:hint="default"/>
        <w:lang w:val="en-US" w:eastAsia="en-US" w:bidi="ar-SA"/>
      </w:rPr>
    </w:lvl>
    <w:lvl w:ilvl="4">
      <w:start w:val="0"/>
      <w:numFmt w:val="bullet"/>
      <w:lvlText w:val="•"/>
      <w:lvlJc w:val="left"/>
      <w:pPr>
        <w:ind w:left="4936" w:hanging="706"/>
      </w:pPr>
      <w:rPr>
        <w:rFonts w:hint="default"/>
        <w:lang w:val="en-US" w:eastAsia="en-US" w:bidi="ar-SA"/>
      </w:rPr>
    </w:lvl>
    <w:lvl w:ilvl="5">
      <w:start w:val="0"/>
      <w:numFmt w:val="bullet"/>
      <w:lvlText w:val="•"/>
      <w:lvlJc w:val="left"/>
      <w:pPr>
        <w:ind w:left="5760" w:hanging="706"/>
      </w:pPr>
      <w:rPr>
        <w:rFonts w:hint="default"/>
        <w:lang w:val="en-US" w:eastAsia="en-US" w:bidi="ar-SA"/>
      </w:rPr>
    </w:lvl>
    <w:lvl w:ilvl="6">
      <w:start w:val="0"/>
      <w:numFmt w:val="bullet"/>
      <w:lvlText w:val="•"/>
      <w:lvlJc w:val="left"/>
      <w:pPr>
        <w:ind w:left="6584" w:hanging="706"/>
      </w:pPr>
      <w:rPr>
        <w:rFonts w:hint="default"/>
        <w:lang w:val="en-US" w:eastAsia="en-US" w:bidi="ar-SA"/>
      </w:rPr>
    </w:lvl>
    <w:lvl w:ilvl="7">
      <w:start w:val="0"/>
      <w:numFmt w:val="bullet"/>
      <w:lvlText w:val="•"/>
      <w:lvlJc w:val="left"/>
      <w:pPr>
        <w:ind w:left="7408" w:hanging="706"/>
      </w:pPr>
      <w:rPr>
        <w:rFonts w:hint="default"/>
        <w:lang w:val="en-US" w:eastAsia="en-US" w:bidi="ar-SA"/>
      </w:rPr>
    </w:lvl>
    <w:lvl w:ilvl="8">
      <w:start w:val="0"/>
      <w:numFmt w:val="bullet"/>
      <w:lvlText w:val="•"/>
      <w:lvlJc w:val="left"/>
      <w:pPr>
        <w:ind w:left="8232" w:hanging="706"/>
      </w:pPr>
      <w:rPr>
        <w:rFonts w:hint="default"/>
        <w:lang w:val="en-US" w:eastAsia="en-US" w:bidi="ar-SA"/>
      </w:rPr>
    </w:lvl>
  </w:abstractNum>
  <w:abstractNum w:abstractNumId="75">
    <w:multiLevelType w:val="hybridMultilevel"/>
    <w:lvl w:ilvl="0">
      <w:start w:val="4"/>
      <w:numFmt w:val="decimal"/>
      <w:lvlText w:val="%1"/>
      <w:lvlJc w:val="left"/>
      <w:pPr>
        <w:ind w:left="1655" w:hanging="707"/>
        <w:jc w:val="right"/>
      </w:pPr>
      <w:rPr>
        <w:rFonts w:hint="default" w:ascii="Arial" w:hAnsi="Arial" w:eastAsia="Arial" w:cs="Arial"/>
        <w:b w:val="0"/>
        <w:bCs w:val="0"/>
        <w:i w:val="0"/>
        <w:iCs w:val="0"/>
        <w:w w:val="110"/>
        <w:sz w:val="19"/>
        <w:szCs w:val="19"/>
        <w:lang w:val="en-US" w:eastAsia="en-US" w:bidi="ar-SA"/>
      </w:rPr>
    </w:lvl>
    <w:lvl w:ilvl="1">
      <w:start w:val="0"/>
      <w:numFmt w:val="bullet"/>
      <w:lvlText w:val="•"/>
      <w:lvlJc w:val="left"/>
      <w:pPr>
        <w:ind w:left="2482" w:hanging="707"/>
      </w:pPr>
      <w:rPr>
        <w:rFonts w:hint="default"/>
        <w:lang w:val="en-US" w:eastAsia="en-US" w:bidi="ar-SA"/>
      </w:rPr>
    </w:lvl>
    <w:lvl w:ilvl="2">
      <w:start w:val="0"/>
      <w:numFmt w:val="bullet"/>
      <w:lvlText w:val="•"/>
      <w:lvlJc w:val="left"/>
      <w:pPr>
        <w:ind w:left="3304" w:hanging="707"/>
      </w:pPr>
      <w:rPr>
        <w:rFonts w:hint="default"/>
        <w:lang w:val="en-US" w:eastAsia="en-US" w:bidi="ar-SA"/>
      </w:rPr>
    </w:lvl>
    <w:lvl w:ilvl="3">
      <w:start w:val="0"/>
      <w:numFmt w:val="bullet"/>
      <w:lvlText w:val="•"/>
      <w:lvlJc w:val="left"/>
      <w:pPr>
        <w:ind w:left="4126" w:hanging="707"/>
      </w:pPr>
      <w:rPr>
        <w:rFonts w:hint="default"/>
        <w:lang w:val="en-US" w:eastAsia="en-US" w:bidi="ar-SA"/>
      </w:rPr>
    </w:lvl>
    <w:lvl w:ilvl="4">
      <w:start w:val="0"/>
      <w:numFmt w:val="bullet"/>
      <w:lvlText w:val="•"/>
      <w:lvlJc w:val="left"/>
      <w:pPr>
        <w:ind w:left="4948" w:hanging="707"/>
      </w:pPr>
      <w:rPr>
        <w:rFonts w:hint="default"/>
        <w:lang w:val="en-US" w:eastAsia="en-US" w:bidi="ar-SA"/>
      </w:rPr>
    </w:lvl>
    <w:lvl w:ilvl="5">
      <w:start w:val="0"/>
      <w:numFmt w:val="bullet"/>
      <w:lvlText w:val="•"/>
      <w:lvlJc w:val="left"/>
      <w:pPr>
        <w:ind w:left="5770" w:hanging="707"/>
      </w:pPr>
      <w:rPr>
        <w:rFonts w:hint="default"/>
        <w:lang w:val="en-US" w:eastAsia="en-US" w:bidi="ar-SA"/>
      </w:rPr>
    </w:lvl>
    <w:lvl w:ilvl="6">
      <w:start w:val="0"/>
      <w:numFmt w:val="bullet"/>
      <w:lvlText w:val="•"/>
      <w:lvlJc w:val="left"/>
      <w:pPr>
        <w:ind w:left="6592" w:hanging="707"/>
      </w:pPr>
      <w:rPr>
        <w:rFonts w:hint="default"/>
        <w:lang w:val="en-US" w:eastAsia="en-US" w:bidi="ar-SA"/>
      </w:rPr>
    </w:lvl>
    <w:lvl w:ilvl="7">
      <w:start w:val="0"/>
      <w:numFmt w:val="bullet"/>
      <w:lvlText w:val="•"/>
      <w:lvlJc w:val="left"/>
      <w:pPr>
        <w:ind w:left="7414" w:hanging="707"/>
      </w:pPr>
      <w:rPr>
        <w:rFonts w:hint="default"/>
        <w:lang w:val="en-US" w:eastAsia="en-US" w:bidi="ar-SA"/>
      </w:rPr>
    </w:lvl>
    <w:lvl w:ilvl="8">
      <w:start w:val="0"/>
      <w:numFmt w:val="bullet"/>
      <w:lvlText w:val="•"/>
      <w:lvlJc w:val="left"/>
      <w:pPr>
        <w:ind w:left="8236" w:hanging="707"/>
      </w:pPr>
      <w:rPr>
        <w:rFonts w:hint="default"/>
        <w:lang w:val="en-US" w:eastAsia="en-US" w:bidi="ar-SA"/>
      </w:rPr>
    </w:lvl>
  </w:abstractNum>
  <w:abstractNum w:abstractNumId="74">
    <w:multiLevelType w:val="hybridMultilevel"/>
    <w:lvl w:ilvl="0">
      <w:start w:val="1"/>
      <w:numFmt w:val="upperRoman"/>
      <w:lvlText w:val="%1."/>
      <w:lvlJc w:val="left"/>
      <w:pPr>
        <w:ind w:left="942" w:hanging="722"/>
        <w:jc w:val="left"/>
      </w:pPr>
      <w:rPr>
        <w:rFonts w:hint="default"/>
        <w:spacing w:val="-1"/>
        <w:w w:val="106"/>
        <w:lang w:val="en-US" w:eastAsia="en-US" w:bidi="ar-SA"/>
      </w:rPr>
    </w:lvl>
    <w:lvl w:ilvl="1">
      <w:start w:val="1"/>
      <w:numFmt w:val="decimal"/>
      <w:lvlText w:val="%2."/>
      <w:lvlJc w:val="left"/>
      <w:pPr>
        <w:ind w:left="954" w:hanging="730"/>
        <w:jc w:val="left"/>
      </w:pPr>
      <w:rPr>
        <w:rFonts w:hint="default"/>
        <w:spacing w:val="-1"/>
        <w:w w:val="104"/>
        <w:lang w:val="en-US" w:eastAsia="en-US" w:bidi="ar-SA"/>
      </w:rPr>
    </w:lvl>
    <w:lvl w:ilvl="2">
      <w:start w:val="1"/>
      <w:numFmt w:val="decimal"/>
      <w:lvlText w:val="%2.%3"/>
      <w:lvlJc w:val="left"/>
      <w:pPr>
        <w:ind w:left="1664" w:hanging="727"/>
        <w:jc w:val="right"/>
      </w:pPr>
      <w:rPr>
        <w:rFonts w:hint="default"/>
        <w:spacing w:val="-1"/>
        <w:w w:val="100"/>
        <w:lang w:val="en-US" w:eastAsia="en-US" w:bidi="ar-SA"/>
      </w:rPr>
    </w:lvl>
    <w:lvl w:ilvl="3">
      <w:start w:val="10"/>
      <w:numFmt w:val="upperRoman"/>
      <w:lvlText w:val="[%4]"/>
      <w:lvlJc w:val="left"/>
      <w:pPr>
        <w:ind w:left="8593" w:hanging="727"/>
        <w:jc w:val="left"/>
      </w:pPr>
      <w:rPr>
        <w:rFonts w:hint="default" w:ascii="Arial" w:hAnsi="Arial" w:eastAsia="Arial" w:cs="Arial"/>
        <w:b w:val="0"/>
        <w:bCs w:val="0"/>
        <w:i w:val="0"/>
        <w:iCs w:val="0"/>
        <w:spacing w:val="-1"/>
        <w:w w:val="105"/>
        <w:sz w:val="24"/>
        <w:szCs w:val="24"/>
        <w:lang w:val="en-US" w:eastAsia="en-US" w:bidi="ar-SA"/>
      </w:rPr>
    </w:lvl>
    <w:lvl w:ilvl="4">
      <w:start w:val="0"/>
      <w:numFmt w:val="bullet"/>
      <w:lvlText w:val="•"/>
      <w:lvlJc w:val="left"/>
      <w:pPr>
        <w:ind w:left="8520" w:hanging="727"/>
      </w:pPr>
      <w:rPr>
        <w:rFonts w:hint="default"/>
        <w:lang w:val="en-US" w:eastAsia="en-US" w:bidi="ar-SA"/>
      </w:rPr>
    </w:lvl>
    <w:lvl w:ilvl="5">
      <w:start w:val="0"/>
      <w:numFmt w:val="bullet"/>
      <w:lvlText w:val="•"/>
      <w:lvlJc w:val="left"/>
      <w:pPr>
        <w:ind w:left="8540" w:hanging="727"/>
      </w:pPr>
      <w:rPr>
        <w:rFonts w:hint="default"/>
        <w:lang w:val="en-US" w:eastAsia="en-US" w:bidi="ar-SA"/>
      </w:rPr>
    </w:lvl>
    <w:lvl w:ilvl="6">
      <w:start w:val="0"/>
      <w:numFmt w:val="bullet"/>
      <w:lvlText w:val="•"/>
      <w:lvlJc w:val="left"/>
      <w:pPr>
        <w:ind w:left="8560" w:hanging="727"/>
      </w:pPr>
      <w:rPr>
        <w:rFonts w:hint="default"/>
        <w:lang w:val="en-US" w:eastAsia="en-US" w:bidi="ar-SA"/>
      </w:rPr>
    </w:lvl>
    <w:lvl w:ilvl="7">
      <w:start w:val="0"/>
      <w:numFmt w:val="bullet"/>
      <w:lvlText w:val="•"/>
      <w:lvlJc w:val="left"/>
      <w:pPr>
        <w:ind w:left="8580" w:hanging="727"/>
      </w:pPr>
      <w:rPr>
        <w:rFonts w:hint="default"/>
        <w:lang w:val="en-US" w:eastAsia="en-US" w:bidi="ar-SA"/>
      </w:rPr>
    </w:lvl>
    <w:lvl w:ilvl="8">
      <w:start w:val="0"/>
      <w:numFmt w:val="bullet"/>
      <w:lvlText w:val="•"/>
      <w:lvlJc w:val="left"/>
      <w:pPr>
        <w:ind w:left="8600" w:hanging="727"/>
      </w:pPr>
      <w:rPr>
        <w:rFonts w:hint="default"/>
        <w:lang w:val="en-US" w:eastAsia="en-US" w:bidi="ar-SA"/>
      </w:rPr>
    </w:lvl>
  </w:abstractNum>
  <w:abstractNum w:abstractNumId="73">
    <w:multiLevelType w:val="hybridMultilevel"/>
    <w:lvl w:ilvl="0">
      <w:start w:val="1"/>
      <w:numFmt w:val="decimal"/>
      <w:lvlText w:val="%1."/>
      <w:lvlJc w:val="left"/>
      <w:pPr>
        <w:ind w:left="1165" w:hanging="721"/>
        <w:jc w:val="left"/>
      </w:pPr>
      <w:rPr>
        <w:rFonts w:hint="default" w:ascii="Arial" w:hAnsi="Arial" w:eastAsia="Arial" w:cs="Arial"/>
        <w:b w:val="0"/>
        <w:bCs w:val="0"/>
        <w:i w:val="0"/>
        <w:iCs w:val="0"/>
        <w:w w:val="100"/>
        <w:sz w:val="22"/>
        <w:szCs w:val="22"/>
        <w:lang w:val="en-US" w:eastAsia="en-US" w:bidi="ar-SA"/>
      </w:rPr>
    </w:lvl>
    <w:lvl w:ilvl="1">
      <w:start w:val="1"/>
      <w:numFmt w:val="decimal"/>
      <w:lvlText w:val="%2."/>
      <w:lvlJc w:val="left"/>
      <w:pPr>
        <w:ind w:left="1160" w:hanging="360"/>
        <w:jc w:val="left"/>
      </w:pPr>
      <w:rPr>
        <w:rFonts w:hint="default" w:ascii="Arial" w:hAnsi="Arial" w:eastAsia="Arial" w:cs="Arial"/>
        <w:b w:val="0"/>
        <w:bCs w:val="0"/>
        <w:i w:val="0"/>
        <w:iCs w:val="0"/>
        <w:w w:val="100"/>
        <w:sz w:val="22"/>
        <w:szCs w:val="22"/>
        <w:lang w:val="en-US" w:eastAsia="en-US" w:bidi="ar-SA"/>
      </w:rPr>
    </w:lvl>
    <w:lvl w:ilvl="2">
      <w:start w:val="1"/>
      <w:numFmt w:val="lowerLetter"/>
      <w:lvlText w:val="%3)"/>
      <w:lvlJc w:val="left"/>
      <w:pPr>
        <w:ind w:left="2960" w:hanging="345"/>
        <w:jc w:val="left"/>
      </w:pPr>
      <w:rPr>
        <w:rFonts w:hint="default" w:ascii="Arial" w:hAnsi="Arial" w:eastAsia="Arial" w:cs="Arial"/>
        <w:b w:val="0"/>
        <w:bCs w:val="0"/>
        <w:i w:val="0"/>
        <w:iCs w:val="0"/>
        <w:spacing w:val="0"/>
        <w:w w:val="100"/>
        <w:sz w:val="24"/>
        <w:szCs w:val="24"/>
        <w:lang w:val="en-US" w:eastAsia="en-US" w:bidi="ar-SA"/>
      </w:rPr>
    </w:lvl>
    <w:lvl w:ilvl="3">
      <w:start w:val="0"/>
      <w:numFmt w:val="bullet"/>
      <w:lvlText w:val="•"/>
      <w:lvlJc w:val="left"/>
      <w:pPr>
        <w:ind w:left="4617" w:hanging="345"/>
      </w:pPr>
      <w:rPr>
        <w:rFonts w:hint="default"/>
        <w:lang w:val="en-US" w:eastAsia="en-US" w:bidi="ar-SA"/>
      </w:rPr>
    </w:lvl>
    <w:lvl w:ilvl="4">
      <w:start w:val="0"/>
      <w:numFmt w:val="bullet"/>
      <w:lvlText w:val="•"/>
      <w:lvlJc w:val="left"/>
      <w:pPr>
        <w:ind w:left="5446" w:hanging="345"/>
      </w:pPr>
      <w:rPr>
        <w:rFonts w:hint="default"/>
        <w:lang w:val="en-US" w:eastAsia="en-US" w:bidi="ar-SA"/>
      </w:rPr>
    </w:lvl>
    <w:lvl w:ilvl="5">
      <w:start w:val="0"/>
      <w:numFmt w:val="bullet"/>
      <w:lvlText w:val="•"/>
      <w:lvlJc w:val="left"/>
      <w:pPr>
        <w:ind w:left="6275" w:hanging="345"/>
      </w:pPr>
      <w:rPr>
        <w:rFonts w:hint="default"/>
        <w:lang w:val="en-US" w:eastAsia="en-US" w:bidi="ar-SA"/>
      </w:rPr>
    </w:lvl>
    <w:lvl w:ilvl="6">
      <w:start w:val="0"/>
      <w:numFmt w:val="bullet"/>
      <w:lvlText w:val="•"/>
      <w:lvlJc w:val="left"/>
      <w:pPr>
        <w:ind w:left="7104" w:hanging="345"/>
      </w:pPr>
      <w:rPr>
        <w:rFonts w:hint="default"/>
        <w:lang w:val="en-US" w:eastAsia="en-US" w:bidi="ar-SA"/>
      </w:rPr>
    </w:lvl>
    <w:lvl w:ilvl="7">
      <w:start w:val="0"/>
      <w:numFmt w:val="bullet"/>
      <w:lvlText w:val="•"/>
      <w:lvlJc w:val="left"/>
      <w:pPr>
        <w:ind w:left="7933" w:hanging="345"/>
      </w:pPr>
      <w:rPr>
        <w:rFonts w:hint="default"/>
        <w:lang w:val="en-US" w:eastAsia="en-US" w:bidi="ar-SA"/>
      </w:rPr>
    </w:lvl>
    <w:lvl w:ilvl="8">
      <w:start w:val="0"/>
      <w:numFmt w:val="bullet"/>
      <w:lvlText w:val="•"/>
      <w:lvlJc w:val="left"/>
      <w:pPr>
        <w:ind w:left="8762" w:hanging="345"/>
      </w:pPr>
      <w:rPr>
        <w:rFonts w:hint="default"/>
        <w:lang w:val="en-US" w:eastAsia="en-US" w:bidi="ar-SA"/>
      </w:rPr>
    </w:lvl>
  </w:abstractNum>
  <w:abstractNum w:abstractNumId="72">
    <w:multiLevelType w:val="hybridMultilevel"/>
    <w:lvl w:ilvl="0">
      <w:start w:val="1"/>
      <w:numFmt w:val="decimal"/>
      <w:lvlText w:val="%1."/>
      <w:lvlJc w:val="left"/>
      <w:pPr>
        <w:ind w:left="1170" w:hanging="731"/>
        <w:jc w:val="left"/>
      </w:pPr>
      <w:rPr>
        <w:rFonts w:hint="default" w:ascii="Arial" w:hAnsi="Arial" w:eastAsia="Arial" w:cs="Arial"/>
        <w:b w:val="0"/>
        <w:bCs w:val="0"/>
        <w:i w:val="0"/>
        <w:iCs w:val="0"/>
        <w:w w:val="100"/>
        <w:sz w:val="22"/>
        <w:szCs w:val="22"/>
        <w:lang w:val="en-US" w:eastAsia="en-US" w:bidi="ar-SA"/>
      </w:rPr>
    </w:lvl>
    <w:lvl w:ilvl="1">
      <w:start w:val="0"/>
      <w:numFmt w:val="bullet"/>
      <w:lvlText w:val="•"/>
      <w:lvlJc w:val="left"/>
      <w:pPr>
        <w:ind w:left="1880" w:hanging="721"/>
      </w:pPr>
      <w:rPr>
        <w:rFonts w:hint="default" w:ascii="Arial" w:hAnsi="Arial" w:eastAsia="Arial" w:cs="Arial"/>
        <w:b w:val="0"/>
        <w:bCs w:val="0"/>
        <w:i w:val="0"/>
        <w:iCs w:val="0"/>
        <w:w w:val="131"/>
        <w:sz w:val="22"/>
        <w:szCs w:val="22"/>
        <w:lang w:val="en-US" w:eastAsia="en-US" w:bidi="ar-SA"/>
      </w:rPr>
    </w:lvl>
    <w:lvl w:ilvl="2">
      <w:start w:val="0"/>
      <w:numFmt w:val="bullet"/>
      <w:lvlText w:val="•"/>
      <w:lvlJc w:val="left"/>
      <w:pPr>
        <w:ind w:left="2828" w:hanging="721"/>
      </w:pPr>
      <w:rPr>
        <w:rFonts w:hint="default"/>
        <w:lang w:val="en-US" w:eastAsia="en-US" w:bidi="ar-SA"/>
      </w:rPr>
    </w:lvl>
    <w:lvl w:ilvl="3">
      <w:start w:val="0"/>
      <w:numFmt w:val="bullet"/>
      <w:lvlText w:val="•"/>
      <w:lvlJc w:val="left"/>
      <w:pPr>
        <w:ind w:left="3777" w:hanging="721"/>
      </w:pPr>
      <w:rPr>
        <w:rFonts w:hint="default"/>
        <w:lang w:val="en-US" w:eastAsia="en-US" w:bidi="ar-SA"/>
      </w:rPr>
    </w:lvl>
    <w:lvl w:ilvl="4">
      <w:start w:val="0"/>
      <w:numFmt w:val="bullet"/>
      <w:lvlText w:val="•"/>
      <w:lvlJc w:val="left"/>
      <w:pPr>
        <w:ind w:left="4726" w:hanging="721"/>
      </w:pPr>
      <w:rPr>
        <w:rFonts w:hint="default"/>
        <w:lang w:val="en-US" w:eastAsia="en-US" w:bidi="ar-SA"/>
      </w:rPr>
    </w:lvl>
    <w:lvl w:ilvl="5">
      <w:start w:val="0"/>
      <w:numFmt w:val="bullet"/>
      <w:lvlText w:val="•"/>
      <w:lvlJc w:val="left"/>
      <w:pPr>
        <w:ind w:left="5675" w:hanging="721"/>
      </w:pPr>
      <w:rPr>
        <w:rFonts w:hint="default"/>
        <w:lang w:val="en-US" w:eastAsia="en-US" w:bidi="ar-SA"/>
      </w:rPr>
    </w:lvl>
    <w:lvl w:ilvl="6">
      <w:start w:val="0"/>
      <w:numFmt w:val="bullet"/>
      <w:lvlText w:val="•"/>
      <w:lvlJc w:val="left"/>
      <w:pPr>
        <w:ind w:left="6624" w:hanging="721"/>
      </w:pPr>
      <w:rPr>
        <w:rFonts w:hint="default"/>
        <w:lang w:val="en-US" w:eastAsia="en-US" w:bidi="ar-SA"/>
      </w:rPr>
    </w:lvl>
    <w:lvl w:ilvl="7">
      <w:start w:val="0"/>
      <w:numFmt w:val="bullet"/>
      <w:lvlText w:val="•"/>
      <w:lvlJc w:val="left"/>
      <w:pPr>
        <w:ind w:left="7573" w:hanging="721"/>
      </w:pPr>
      <w:rPr>
        <w:rFonts w:hint="default"/>
        <w:lang w:val="en-US" w:eastAsia="en-US" w:bidi="ar-SA"/>
      </w:rPr>
    </w:lvl>
    <w:lvl w:ilvl="8">
      <w:start w:val="0"/>
      <w:numFmt w:val="bullet"/>
      <w:lvlText w:val="•"/>
      <w:lvlJc w:val="left"/>
      <w:pPr>
        <w:ind w:left="8522" w:hanging="721"/>
      </w:pPr>
      <w:rPr>
        <w:rFonts w:hint="default"/>
        <w:lang w:val="en-US" w:eastAsia="en-US" w:bidi="ar-SA"/>
      </w:rPr>
    </w:lvl>
  </w:abstractNum>
  <w:abstractNum w:abstractNumId="71">
    <w:multiLevelType w:val="hybridMultilevel"/>
    <w:lvl w:ilvl="0">
      <w:start w:val="1"/>
      <w:numFmt w:val="decimal"/>
      <w:lvlText w:val="%1."/>
      <w:lvlJc w:val="left"/>
      <w:pPr>
        <w:ind w:left="1519" w:hanging="721"/>
        <w:jc w:val="left"/>
      </w:pPr>
      <w:rPr>
        <w:rFonts w:hint="default" w:ascii="Arial" w:hAnsi="Arial" w:eastAsia="Arial" w:cs="Arial"/>
        <w:b w:val="0"/>
        <w:bCs w:val="0"/>
        <w:i w:val="0"/>
        <w:iCs w:val="0"/>
        <w:w w:val="100"/>
        <w:sz w:val="22"/>
        <w:szCs w:val="22"/>
        <w:lang w:val="en-US" w:eastAsia="en-US" w:bidi="ar-SA"/>
      </w:rPr>
    </w:lvl>
    <w:lvl w:ilvl="1">
      <w:start w:val="1"/>
      <w:numFmt w:val="lowerLetter"/>
      <w:lvlText w:val="%2."/>
      <w:lvlJc w:val="left"/>
      <w:pPr>
        <w:ind w:left="1888" w:hanging="355"/>
        <w:jc w:val="left"/>
      </w:pPr>
      <w:rPr>
        <w:rFonts w:hint="default" w:ascii="Arial" w:hAnsi="Arial" w:eastAsia="Arial" w:cs="Arial"/>
        <w:b w:val="0"/>
        <w:bCs w:val="0"/>
        <w:i w:val="0"/>
        <w:iCs w:val="0"/>
        <w:spacing w:val="0"/>
        <w:w w:val="100"/>
        <w:sz w:val="22"/>
        <w:szCs w:val="22"/>
        <w:lang w:val="en-US" w:eastAsia="en-US" w:bidi="ar-SA"/>
      </w:rPr>
    </w:lvl>
    <w:lvl w:ilvl="2">
      <w:start w:val="0"/>
      <w:numFmt w:val="bullet"/>
      <w:lvlText w:val="•"/>
      <w:lvlJc w:val="left"/>
      <w:pPr>
        <w:ind w:left="2828" w:hanging="355"/>
      </w:pPr>
      <w:rPr>
        <w:rFonts w:hint="default"/>
        <w:lang w:val="en-US" w:eastAsia="en-US" w:bidi="ar-SA"/>
      </w:rPr>
    </w:lvl>
    <w:lvl w:ilvl="3">
      <w:start w:val="0"/>
      <w:numFmt w:val="bullet"/>
      <w:lvlText w:val="•"/>
      <w:lvlJc w:val="left"/>
      <w:pPr>
        <w:ind w:left="3777" w:hanging="355"/>
      </w:pPr>
      <w:rPr>
        <w:rFonts w:hint="default"/>
        <w:lang w:val="en-US" w:eastAsia="en-US" w:bidi="ar-SA"/>
      </w:rPr>
    </w:lvl>
    <w:lvl w:ilvl="4">
      <w:start w:val="0"/>
      <w:numFmt w:val="bullet"/>
      <w:lvlText w:val="•"/>
      <w:lvlJc w:val="left"/>
      <w:pPr>
        <w:ind w:left="4726" w:hanging="355"/>
      </w:pPr>
      <w:rPr>
        <w:rFonts w:hint="default"/>
        <w:lang w:val="en-US" w:eastAsia="en-US" w:bidi="ar-SA"/>
      </w:rPr>
    </w:lvl>
    <w:lvl w:ilvl="5">
      <w:start w:val="0"/>
      <w:numFmt w:val="bullet"/>
      <w:lvlText w:val="•"/>
      <w:lvlJc w:val="left"/>
      <w:pPr>
        <w:ind w:left="5675" w:hanging="355"/>
      </w:pPr>
      <w:rPr>
        <w:rFonts w:hint="default"/>
        <w:lang w:val="en-US" w:eastAsia="en-US" w:bidi="ar-SA"/>
      </w:rPr>
    </w:lvl>
    <w:lvl w:ilvl="6">
      <w:start w:val="0"/>
      <w:numFmt w:val="bullet"/>
      <w:lvlText w:val="•"/>
      <w:lvlJc w:val="left"/>
      <w:pPr>
        <w:ind w:left="6624" w:hanging="355"/>
      </w:pPr>
      <w:rPr>
        <w:rFonts w:hint="default"/>
        <w:lang w:val="en-US" w:eastAsia="en-US" w:bidi="ar-SA"/>
      </w:rPr>
    </w:lvl>
    <w:lvl w:ilvl="7">
      <w:start w:val="0"/>
      <w:numFmt w:val="bullet"/>
      <w:lvlText w:val="•"/>
      <w:lvlJc w:val="left"/>
      <w:pPr>
        <w:ind w:left="7573" w:hanging="355"/>
      </w:pPr>
      <w:rPr>
        <w:rFonts w:hint="default"/>
        <w:lang w:val="en-US" w:eastAsia="en-US" w:bidi="ar-SA"/>
      </w:rPr>
    </w:lvl>
    <w:lvl w:ilvl="8">
      <w:start w:val="0"/>
      <w:numFmt w:val="bullet"/>
      <w:lvlText w:val="•"/>
      <w:lvlJc w:val="left"/>
      <w:pPr>
        <w:ind w:left="8522" w:hanging="355"/>
      </w:pPr>
      <w:rPr>
        <w:rFonts w:hint="default"/>
        <w:lang w:val="en-US" w:eastAsia="en-US" w:bidi="ar-SA"/>
      </w:rPr>
    </w:lvl>
  </w:abstractNum>
  <w:abstractNum w:abstractNumId="70">
    <w:multiLevelType w:val="hybridMultilevel"/>
    <w:lvl w:ilvl="0">
      <w:start w:val="1"/>
      <w:numFmt w:val="decimal"/>
      <w:lvlText w:val="%1."/>
      <w:lvlJc w:val="left"/>
      <w:pPr>
        <w:ind w:left="1526" w:hanging="721"/>
        <w:jc w:val="left"/>
      </w:pPr>
      <w:rPr>
        <w:rFonts w:hint="default" w:ascii="Arial" w:hAnsi="Arial" w:eastAsia="Arial" w:cs="Arial"/>
        <w:b w:val="0"/>
        <w:bCs w:val="0"/>
        <w:i w:val="0"/>
        <w:iCs w:val="0"/>
        <w:w w:val="100"/>
        <w:sz w:val="22"/>
        <w:szCs w:val="22"/>
        <w:lang w:val="en-US" w:eastAsia="en-US" w:bidi="ar-SA"/>
      </w:rPr>
    </w:lvl>
    <w:lvl w:ilvl="1">
      <w:start w:val="0"/>
      <w:numFmt w:val="bullet"/>
      <w:lvlText w:val="•"/>
      <w:lvlJc w:val="left"/>
      <w:pPr>
        <w:ind w:left="2410" w:hanging="721"/>
      </w:pPr>
      <w:rPr>
        <w:rFonts w:hint="default"/>
        <w:lang w:val="en-US" w:eastAsia="en-US" w:bidi="ar-SA"/>
      </w:rPr>
    </w:lvl>
    <w:lvl w:ilvl="2">
      <w:start w:val="0"/>
      <w:numFmt w:val="bullet"/>
      <w:lvlText w:val="•"/>
      <w:lvlJc w:val="left"/>
      <w:pPr>
        <w:ind w:left="3300" w:hanging="721"/>
      </w:pPr>
      <w:rPr>
        <w:rFonts w:hint="default"/>
        <w:lang w:val="en-US" w:eastAsia="en-US" w:bidi="ar-SA"/>
      </w:rPr>
    </w:lvl>
    <w:lvl w:ilvl="3">
      <w:start w:val="0"/>
      <w:numFmt w:val="bullet"/>
      <w:lvlText w:val="•"/>
      <w:lvlJc w:val="left"/>
      <w:pPr>
        <w:ind w:left="4190" w:hanging="721"/>
      </w:pPr>
      <w:rPr>
        <w:rFonts w:hint="default"/>
        <w:lang w:val="en-US" w:eastAsia="en-US" w:bidi="ar-SA"/>
      </w:rPr>
    </w:lvl>
    <w:lvl w:ilvl="4">
      <w:start w:val="0"/>
      <w:numFmt w:val="bullet"/>
      <w:lvlText w:val="•"/>
      <w:lvlJc w:val="left"/>
      <w:pPr>
        <w:ind w:left="5080" w:hanging="721"/>
      </w:pPr>
      <w:rPr>
        <w:rFonts w:hint="default"/>
        <w:lang w:val="en-US" w:eastAsia="en-US" w:bidi="ar-SA"/>
      </w:rPr>
    </w:lvl>
    <w:lvl w:ilvl="5">
      <w:start w:val="0"/>
      <w:numFmt w:val="bullet"/>
      <w:lvlText w:val="•"/>
      <w:lvlJc w:val="left"/>
      <w:pPr>
        <w:ind w:left="5970" w:hanging="721"/>
      </w:pPr>
      <w:rPr>
        <w:rFonts w:hint="default"/>
        <w:lang w:val="en-US" w:eastAsia="en-US" w:bidi="ar-SA"/>
      </w:rPr>
    </w:lvl>
    <w:lvl w:ilvl="6">
      <w:start w:val="0"/>
      <w:numFmt w:val="bullet"/>
      <w:lvlText w:val="•"/>
      <w:lvlJc w:val="left"/>
      <w:pPr>
        <w:ind w:left="6860" w:hanging="721"/>
      </w:pPr>
      <w:rPr>
        <w:rFonts w:hint="default"/>
        <w:lang w:val="en-US" w:eastAsia="en-US" w:bidi="ar-SA"/>
      </w:rPr>
    </w:lvl>
    <w:lvl w:ilvl="7">
      <w:start w:val="0"/>
      <w:numFmt w:val="bullet"/>
      <w:lvlText w:val="•"/>
      <w:lvlJc w:val="left"/>
      <w:pPr>
        <w:ind w:left="7750" w:hanging="721"/>
      </w:pPr>
      <w:rPr>
        <w:rFonts w:hint="default"/>
        <w:lang w:val="en-US" w:eastAsia="en-US" w:bidi="ar-SA"/>
      </w:rPr>
    </w:lvl>
    <w:lvl w:ilvl="8">
      <w:start w:val="0"/>
      <w:numFmt w:val="bullet"/>
      <w:lvlText w:val="•"/>
      <w:lvlJc w:val="left"/>
      <w:pPr>
        <w:ind w:left="8640" w:hanging="721"/>
      </w:pPr>
      <w:rPr>
        <w:rFonts w:hint="default"/>
        <w:lang w:val="en-US" w:eastAsia="en-US" w:bidi="ar-SA"/>
      </w:rPr>
    </w:lvl>
  </w:abstractNum>
  <w:abstractNum w:abstractNumId="69">
    <w:multiLevelType w:val="hybridMultilevel"/>
    <w:lvl w:ilvl="0">
      <w:start w:val="0"/>
      <w:numFmt w:val="bullet"/>
      <w:lvlText w:val="•"/>
      <w:lvlJc w:val="left"/>
      <w:pPr>
        <w:ind w:left="1164" w:hanging="371"/>
      </w:pPr>
      <w:rPr>
        <w:rFonts w:hint="default" w:ascii="Arial" w:hAnsi="Arial" w:eastAsia="Arial" w:cs="Arial"/>
        <w:w w:val="130"/>
        <w:lang w:val="en-US" w:eastAsia="en-US" w:bidi="ar-SA"/>
      </w:rPr>
    </w:lvl>
    <w:lvl w:ilvl="1">
      <w:start w:val="0"/>
      <w:numFmt w:val="bullet"/>
      <w:lvlText w:val="o"/>
      <w:lvlJc w:val="left"/>
      <w:pPr>
        <w:ind w:left="1882" w:hanging="363"/>
      </w:pPr>
      <w:rPr>
        <w:rFonts w:hint="default" w:ascii="Courier New" w:hAnsi="Courier New" w:eastAsia="Courier New" w:cs="Courier New"/>
        <w:b w:val="0"/>
        <w:bCs w:val="0"/>
        <w:i w:val="0"/>
        <w:iCs w:val="0"/>
        <w:w w:val="100"/>
        <w:sz w:val="22"/>
        <w:szCs w:val="22"/>
        <w:lang w:val="en-US" w:eastAsia="en-US" w:bidi="ar-SA"/>
      </w:rPr>
    </w:lvl>
    <w:lvl w:ilvl="2">
      <w:start w:val="0"/>
      <w:numFmt w:val="bullet"/>
      <w:lvlText w:val="•"/>
      <w:lvlJc w:val="left"/>
      <w:pPr>
        <w:ind w:left="2828" w:hanging="363"/>
      </w:pPr>
      <w:rPr>
        <w:rFonts w:hint="default"/>
        <w:lang w:val="en-US" w:eastAsia="en-US" w:bidi="ar-SA"/>
      </w:rPr>
    </w:lvl>
    <w:lvl w:ilvl="3">
      <w:start w:val="0"/>
      <w:numFmt w:val="bullet"/>
      <w:lvlText w:val="•"/>
      <w:lvlJc w:val="left"/>
      <w:pPr>
        <w:ind w:left="3777" w:hanging="363"/>
      </w:pPr>
      <w:rPr>
        <w:rFonts w:hint="default"/>
        <w:lang w:val="en-US" w:eastAsia="en-US" w:bidi="ar-SA"/>
      </w:rPr>
    </w:lvl>
    <w:lvl w:ilvl="4">
      <w:start w:val="0"/>
      <w:numFmt w:val="bullet"/>
      <w:lvlText w:val="•"/>
      <w:lvlJc w:val="left"/>
      <w:pPr>
        <w:ind w:left="4726" w:hanging="363"/>
      </w:pPr>
      <w:rPr>
        <w:rFonts w:hint="default"/>
        <w:lang w:val="en-US" w:eastAsia="en-US" w:bidi="ar-SA"/>
      </w:rPr>
    </w:lvl>
    <w:lvl w:ilvl="5">
      <w:start w:val="0"/>
      <w:numFmt w:val="bullet"/>
      <w:lvlText w:val="•"/>
      <w:lvlJc w:val="left"/>
      <w:pPr>
        <w:ind w:left="5675" w:hanging="363"/>
      </w:pPr>
      <w:rPr>
        <w:rFonts w:hint="default"/>
        <w:lang w:val="en-US" w:eastAsia="en-US" w:bidi="ar-SA"/>
      </w:rPr>
    </w:lvl>
    <w:lvl w:ilvl="6">
      <w:start w:val="0"/>
      <w:numFmt w:val="bullet"/>
      <w:lvlText w:val="•"/>
      <w:lvlJc w:val="left"/>
      <w:pPr>
        <w:ind w:left="6624" w:hanging="363"/>
      </w:pPr>
      <w:rPr>
        <w:rFonts w:hint="default"/>
        <w:lang w:val="en-US" w:eastAsia="en-US" w:bidi="ar-SA"/>
      </w:rPr>
    </w:lvl>
    <w:lvl w:ilvl="7">
      <w:start w:val="0"/>
      <w:numFmt w:val="bullet"/>
      <w:lvlText w:val="•"/>
      <w:lvlJc w:val="left"/>
      <w:pPr>
        <w:ind w:left="7573" w:hanging="363"/>
      </w:pPr>
      <w:rPr>
        <w:rFonts w:hint="default"/>
        <w:lang w:val="en-US" w:eastAsia="en-US" w:bidi="ar-SA"/>
      </w:rPr>
    </w:lvl>
    <w:lvl w:ilvl="8">
      <w:start w:val="0"/>
      <w:numFmt w:val="bullet"/>
      <w:lvlText w:val="•"/>
      <w:lvlJc w:val="left"/>
      <w:pPr>
        <w:ind w:left="8522" w:hanging="363"/>
      </w:pPr>
      <w:rPr>
        <w:rFonts w:hint="default"/>
        <w:lang w:val="en-US" w:eastAsia="en-US" w:bidi="ar-SA"/>
      </w:rPr>
    </w:lvl>
  </w:abstractNum>
  <w:abstractNum w:abstractNumId="68">
    <w:multiLevelType w:val="hybridMultilevel"/>
    <w:lvl w:ilvl="0">
      <w:start w:val="1"/>
      <w:numFmt w:val="decimal"/>
      <w:lvlText w:val="%1."/>
      <w:lvlJc w:val="left"/>
      <w:pPr>
        <w:ind w:left="824" w:hanging="361"/>
        <w:jc w:val="left"/>
      </w:pPr>
      <w:rPr>
        <w:rFonts w:hint="default" w:ascii="Arial" w:hAnsi="Arial" w:eastAsia="Arial" w:cs="Arial"/>
        <w:b/>
        <w:bCs/>
        <w:i w:val="0"/>
        <w:iCs w:val="0"/>
        <w:w w:val="93"/>
        <w:sz w:val="22"/>
        <w:szCs w:val="22"/>
        <w:lang w:val="en-US" w:eastAsia="en-US" w:bidi="ar-SA"/>
      </w:rPr>
    </w:lvl>
    <w:lvl w:ilvl="1">
      <w:start w:val="0"/>
      <w:numFmt w:val="bullet"/>
      <w:lvlText w:val="•"/>
      <w:lvlJc w:val="left"/>
      <w:pPr>
        <w:ind w:left="1780" w:hanging="361"/>
      </w:pPr>
      <w:rPr>
        <w:rFonts w:hint="default"/>
        <w:lang w:val="en-US" w:eastAsia="en-US" w:bidi="ar-SA"/>
      </w:rPr>
    </w:lvl>
    <w:lvl w:ilvl="2">
      <w:start w:val="0"/>
      <w:numFmt w:val="bullet"/>
      <w:lvlText w:val="•"/>
      <w:lvlJc w:val="left"/>
      <w:pPr>
        <w:ind w:left="2740" w:hanging="361"/>
      </w:pPr>
      <w:rPr>
        <w:rFonts w:hint="default"/>
        <w:lang w:val="en-US" w:eastAsia="en-US" w:bidi="ar-SA"/>
      </w:rPr>
    </w:lvl>
    <w:lvl w:ilvl="3">
      <w:start w:val="0"/>
      <w:numFmt w:val="bullet"/>
      <w:lvlText w:val="•"/>
      <w:lvlJc w:val="left"/>
      <w:pPr>
        <w:ind w:left="3700" w:hanging="361"/>
      </w:pPr>
      <w:rPr>
        <w:rFonts w:hint="default"/>
        <w:lang w:val="en-US" w:eastAsia="en-US" w:bidi="ar-SA"/>
      </w:rPr>
    </w:lvl>
    <w:lvl w:ilvl="4">
      <w:start w:val="0"/>
      <w:numFmt w:val="bullet"/>
      <w:lvlText w:val="•"/>
      <w:lvlJc w:val="left"/>
      <w:pPr>
        <w:ind w:left="4660" w:hanging="361"/>
      </w:pPr>
      <w:rPr>
        <w:rFonts w:hint="default"/>
        <w:lang w:val="en-US" w:eastAsia="en-US" w:bidi="ar-SA"/>
      </w:rPr>
    </w:lvl>
    <w:lvl w:ilvl="5">
      <w:start w:val="0"/>
      <w:numFmt w:val="bullet"/>
      <w:lvlText w:val="•"/>
      <w:lvlJc w:val="left"/>
      <w:pPr>
        <w:ind w:left="5620" w:hanging="361"/>
      </w:pPr>
      <w:rPr>
        <w:rFonts w:hint="default"/>
        <w:lang w:val="en-US" w:eastAsia="en-US" w:bidi="ar-SA"/>
      </w:rPr>
    </w:lvl>
    <w:lvl w:ilvl="6">
      <w:start w:val="0"/>
      <w:numFmt w:val="bullet"/>
      <w:lvlText w:val="•"/>
      <w:lvlJc w:val="left"/>
      <w:pPr>
        <w:ind w:left="6580" w:hanging="361"/>
      </w:pPr>
      <w:rPr>
        <w:rFonts w:hint="default"/>
        <w:lang w:val="en-US" w:eastAsia="en-US" w:bidi="ar-SA"/>
      </w:rPr>
    </w:lvl>
    <w:lvl w:ilvl="7">
      <w:start w:val="0"/>
      <w:numFmt w:val="bullet"/>
      <w:lvlText w:val="•"/>
      <w:lvlJc w:val="left"/>
      <w:pPr>
        <w:ind w:left="7540" w:hanging="361"/>
      </w:pPr>
      <w:rPr>
        <w:rFonts w:hint="default"/>
        <w:lang w:val="en-US" w:eastAsia="en-US" w:bidi="ar-SA"/>
      </w:rPr>
    </w:lvl>
    <w:lvl w:ilvl="8">
      <w:start w:val="0"/>
      <w:numFmt w:val="bullet"/>
      <w:lvlText w:val="•"/>
      <w:lvlJc w:val="left"/>
      <w:pPr>
        <w:ind w:left="8500" w:hanging="361"/>
      </w:pPr>
      <w:rPr>
        <w:rFonts w:hint="default"/>
        <w:lang w:val="en-US" w:eastAsia="en-US" w:bidi="ar-SA"/>
      </w:rPr>
    </w:lvl>
  </w:abstractNum>
  <w:abstractNum w:abstractNumId="67">
    <w:multiLevelType w:val="hybridMultilevel"/>
    <w:lvl w:ilvl="0">
      <w:start w:val="1"/>
      <w:numFmt w:val="decimal"/>
      <w:lvlText w:val="%1."/>
      <w:lvlJc w:val="left"/>
      <w:pPr>
        <w:ind w:left="824" w:hanging="361"/>
        <w:jc w:val="left"/>
      </w:pPr>
      <w:rPr>
        <w:rFonts w:hint="default" w:ascii="Arial" w:hAnsi="Arial" w:eastAsia="Arial" w:cs="Arial"/>
        <w:b/>
        <w:bCs/>
        <w:i w:val="0"/>
        <w:iCs w:val="0"/>
        <w:w w:val="93"/>
        <w:sz w:val="22"/>
        <w:szCs w:val="22"/>
        <w:lang w:val="en-US" w:eastAsia="en-US" w:bidi="ar-SA"/>
      </w:rPr>
    </w:lvl>
    <w:lvl w:ilvl="1">
      <w:start w:val="0"/>
      <w:numFmt w:val="bullet"/>
      <w:lvlText w:val="•"/>
      <w:lvlJc w:val="left"/>
      <w:pPr>
        <w:ind w:left="1780" w:hanging="361"/>
      </w:pPr>
      <w:rPr>
        <w:rFonts w:hint="default"/>
        <w:lang w:val="en-US" w:eastAsia="en-US" w:bidi="ar-SA"/>
      </w:rPr>
    </w:lvl>
    <w:lvl w:ilvl="2">
      <w:start w:val="0"/>
      <w:numFmt w:val="bullet"/>
      <w:lvlText w:val="•"/>
      <w:lvlJc w:val="left"/>
      <w:pPr>
        <w:ind w:left="2740" w:hanging="361"/>
      </w:pPr>
      <w:rPr>
        <w:rFonts w:hint="default"/>
        <w:lang w:val="en-US" w:eastAsia="en-US" w:bidi="ar-SA"/>
      </w:rPr>
    </w:lvl>
    <w:lvl w:ilvl="3">
      <w:start w:val="0"/>
      <w:numFmt w:val="bullet"/>
      <w:lvlText w:val="•"/>
      <w:lvlJc w:val="left"/>
      <w:pPr>
        <w:ind w:left="3700" w:hanging="361"/>
      </w:pPr>
      <w:rPr>
        <w:rFonts w:hint="default"/>
        <w:lang w:val="en-US" w:eastAsia="en-US" w:bidi="ar-SA"/>
      </w:rPr>
    </w:lvl>
    <w:lvl w:ilvl="4">
      <w:start w:val="0"/>
      <w:numFmt w:val="bullet"/>
      <w:lvlText w:val="•"/>
      <w:lvlJc w:val="left"/>
      <w:pPr>
        <w:ind w:left="4660" w:hanging="361"/>
      </w:pPr>
      <w:rPr>
        <w:rFonts w:hint="default"/>
        <w:lang w:val="en-US" w:eastAsia="en-US" w:bidi="ar-SA"/>
      </w:rPr>
    </w:lvl>
    <w:lvl w:ilvl="5">
      <w:start w:val="0"/>
      <w:numFmt w:val="bullet"/>
      <w:lvlText w:val="•"/>
      <w:lvlJc w:val="left"/>
      <w:pPr>
        <w:ind w:left="5620" w:hanging="361"/>
      </w:pPr>
      <w:rPr>
        <w:rFonts w:hint="default"/>
        <w:lang w:val="en-US" w:eastAsia="en-US" w:bidi="ar-SA"/>
      </w:rPr>
    </w:lvl>
    <w:lvl w:ilvl="6">
      <w:start w:val="0"/>
      <w:numFmt w:val="bullet"/>
      <w:lvlText w:val="•"/>
      <w:lvlJc w:val="left"/>
      <w:pPr>
        <w:ind w:left="6580" w:hanging="361"/>
      </w:pPr>
      <w:rPr>
        <w:rFonts w:hint="default"/>
        <w:lang w:val="en-US" w:eastAsia="en-US" w:bidi="ar-SA"/>
      </w:rPr>
    </w:lvl>
    <w:lvl w:ilvl="7">
      <w:start w:val="0"/>
      <w:numFmt w:val="bullet"/>
      <w:lvlText w:val="•"/>
      <w:lvlJc w:val="left"/>
      <w:pPr>
        <w:ind w:left="7540" w:hanging="361"/>
      </w:pPr>
      <w:rPr>
        <w:rFonts w:hint="default"/>
        <w:lang w:val="en-US" w:eastAsia="en-US" w:bidi="ar-SA"/>
      </w:rPr>
    </w:lvl>
    <w:lvl w:ilvl="8">
      <w:start w:val="0"/>
      <w:numFmt w:val="bullet"/>
      <w:lvlText w:val="•"/>
      <w:lvlJc w:val="left"/>
      <w:pPr>
        <w:ind w:left="8500" w:hanging="361"/>
      </w:pPr>
      <w:rPr>
        <w:rFonts w:hint="default"/>
        <w:lang w:val="en-US" w:eastAsia="en-US" w:bidi="ar-SA"/>
      </w:rPr>
    </w:lvl>
  </w:abstractNum>
  <w:abstractNum w:abstractNumId="66">
    <w:multiLevelType w:val="hybridMultilevel"/>
    <w:lvl w:ilvl="0">
      <w:start w:val="1"/>
      <w:numFmt w:val="lowerLetter"/>
      <w:lvlText w:val="%1."/>
      <w:lvlJc w:val="left"/>
      <w:pPr>
        <w:ind w:left="1431" w:hanging="258"/>
        <w:jc w:val="left"/>
      </w:pPr>
      <w:rPr>
        <w:rFonts w:hint="default" w:ascii="Arial" w:hAnsi="Arial" w:eastAsia="Arial" w:cs="Arial"/>
        <w:b w:val="0"/>
        <w:bCs w:val="0"/>
        <w:i w:val="0"/>
        <w:iCs w:val="0"/>
        <w:spacing w:val="0"/>
        <w:w w:val="100"/>
        <w:sz w:val="22"/>
        <w:szCs w:val="22"/>
        <w:lang w:val="en-US" w:eastAsia="en-US" w:bidi="ar-SA"/>
      </w:rPr>
    </w:lvl>
    <w:lvl w:ilvl="1">
      <w:start w:val="0"/>
      <w:numFmt w:val="bullet"/>
      <w:lvlText w:val="•"/>
      <w:lvlJc w:val="left"/>
      <w:pPr>
        <w:ind w:left="2338" w:hanging="258"/>
      </w:pPr>
      <w:rPr>
        <w:rFonts w:hint="default"/>
        <w:lang w:val="en-US" w:eastAsia="en-US" w:bidi="ar-SA"/>
      </w:rPr>
    </w:lvl>
    <w:lvl w:ilvl="2">
      <w:start w:val="0"/>
      <w:numFmt w:val="bullet"/>
      <w:lvlText w:val="•"/>
      <w:lvlJc w:val="left"/>
      <w:pPr>
        <w:ind w:left="3236" w:hanging="258"/>
      </w:pPr>
      <w:rPr>
        <w:rFonts w:hint="default"/>
        <w:lang w:val="en-US" w:eastAsia="en-US" w:bidi="ar-SA"/>
      </w:rPr>
    </w:lvl>
    <w:lvl w:ilvl="3">
      <w:start w:val="0"/>
      <w:numFmt w:val="bullet"/>
      <w:lvlText w:val="•"/>
      <w:lvlJc w:val="left"/>
      <w:pPr>
        <w:ind w:left="4134" w:hanging="258"/>
      </w:pPr>
      <w:rPr>
        <w:rFonts w:hint="default"/>
        <w:lang w:val="en-US" w:eastAsia="en-US" w:bidi="ar-SA"/>
      </w:rPr>
    </w:lvl>
    <w:lvl w:ilvl="4">
      <w:start w:val="0"/>
      <w:numFmt w:val="bullet"/>
      <w:lvlText w:val="•"/>
      <w:lvlJc w:val="left"/>
      <w:pPr>
        <w:ind w:left="5032" w:hanging="258"/>
      </w:pPr>
      <w:rPr>
        <w:rFonts w:hint="default"/>
        <w:lang w:val="en-US" w:eastAsia="en-US" w:bidi="ar-SA"/>
      </w:rPr>
    </w:lvl>
    <w:lvl w:ilvl="5">
      <w:start w:val="0"/>
      <w:numFmt w:val="bullet"/>
      <w:lvlText w:val="•"/>
      <w:lvlJc w:val="left"/>
      <w:pPr>
        <w:ind w:left="5930" w:hanging="258"/>
      </w:pPr>
      <w:rPr>
        <w:rFonts w:hint="default"/>
        <w:lang w:val="en-US" w:eastAsia="en-US" w:bidi="ar-SA"/>
      </w:rPr>
    </w:lvl>
    <w:lvl w:ilvl="6">
      <w:start w:val="0"/>
      <w:numFmt w:val="bullet"/>
      <w:lvlText w:val="•"/>
      <w:lvlJc w:val="left"/>
      <w:pPr>
        <w:ind w:left="6828" w:hanging="258"/>
      </w:pPr>
      <w:rPr>
        <w:rFonts w:hint="default"/>
        <w:lang w:val="en-US" w:eastAsia="en-US" w:bidi="ar-SA"/>
      </w:rPr>
    </w:lvl>
    <w:lvl w:ilvl="7">
      <w:start w:val="0"/>
      <w:numFmt w:val="bullet"/>
      <w:lvlText w:val="•"/>
      <w:lvlJc w:val="left"/>
      <w:pPr>
        <w:ind w:left="7726" w:hanging="258"/>
      </w:pPr>
      <w:rPr>
        <w:rFonts w:hint="default"/>
        <w:lang w:val="en-US" w:eastAsia="en-US" w:bidi="ar-SA"/>
      </w:rPr>
    </w:lvl>
    <w:lvl w:ilvl="8">
      <w:start w:val="0"/>
      <w:numFmt w:val="bullet"/>
      <w:lvlText w:val="•"/>
      <w:lvlJc w:val="left"/>
      <w:pPr>
        <w:ind w:left="8624" w:hanging="258"/>
      </w:pPr>
      <w:rPr>
        <w:rFonts w:hint="default"/>
        <w:lang w:val="en-US" w:eastAsia="en-US" w:bidi="ar-SA"/>
      </w:rPr>
    </w:lvl>
  </w:abstractNum>
  <w:abstractNum w:abstractNumId="65">
    <w:multiLevelType w:val="hybridMultilevel"/>
    <w:lvl w:ilvl="0">
      <w:start w:val="1"/>
      <w:numFmt w:val="upperRoman"/>
      <w:lvlText w:val="%1."/>
      <w:lvlJc w:val="left"/>
      <w:pPr>
        <w:ind w:left="1160" w:hanging="516"/>
        <w:jc w:val="right"/>
      </w:pPr>
      <w:rPr>
        <w:rFonts w:hint="default" w:ascii="Arial" w:hAnsi="Arial" w:eastAsia="Arial" w:cs="Arial"/>
        <w:b/>
        <w:bCs/>
        <w:i w:val="0"/>
        <w:iCs w:val="0"/>
        <w:w w:val="100"/>
        <w:sz w:val="28"/>
        <w:szCs w:val="28"/>
        <w:lang w:val="en-US" w:eastAsia="en-US" w:bidi="ar-SA"/>
      </w:rPr>
    </w:lvl>
    <w:lvl w:ilvl="1">
      <w:start w:val="1"/>
      <w:numFmt w:val="lowerLetter"/>
      <w:lvlText w:val="%2."/>
      <w:lvlJc w:val="left"/>
      <w:pPr>
        <w:ind w:left="1883" w:hanging="346"/>
        <w:jc w:val="left"/>
      </w:pPr>
      <w:rPr>
        <w:rFonts w:hint="default" w:ascii="Arial" w:hAnsi="Arial" w:eastAsia="Arial" w:cs="Arial"/>
        <w:b w:val="0"/>
        <w:bCs w:val="0"/>
        <w:i w:val="0"/>
        <w:iCs w:val="0"/>
        <w:spacing w:val="0"/>
        <w:w w:val="99"/>
        <w:sz w:val="28"/>
        <w:szCs w:val="28"/>
        <w:lang w:val="en-US" w:eastAsia="en-US" w:bidi="ar-SA"/>
      </w:rPr>
    </w:lvl>
    <w:lvl w:ilvl="2">
      <w:start w:val="0"/>
      <w:numFmt w:val="bullet"/>
      <w:lvlText w:val="•"/>
      <w:lvlJc w:val="left"/>
      <w:pPr>
        <w:ind w:left="1900" w:hanging="346"/>
      </w:pPr>
      <w:rPr>
        <w:rFonts w:hint="default"/>
        <w:lang w:val="en-US" w:eastAsia="en-US" w:bidi="ar-SA"/>
      </w:rPr>
    </w:lvl>
    <w:lvl w:ilvl="3">
      <w:start w:val="0"/>
      <w:numFmt w:val="bullet"/>
      <w:lvlText w:val="•"/>
      <w:lvlJc w:val="left"/>
      <w:pPr>
        <w:ind w:left="2965" w:hanging="346"/>
      </w:pPr>
      <w:rPr>
        <w:rFonts w:hint="default"/>
        <w:lang w:val="en-US" w:eastAsia="en-US" w:bidi="ar-SA"/>
      </w:rPr>
    </w:lvl>
    <w:lvl w:ilvl="4">
      <w:start w:val="0"/>
      <w:numFmt w:val="bullet"/>
      <w:lvlText w:val="•"/>
      <w:lvlJc w:val="left"/>
      <w:pPr>
        <w:ind w:left="4030" w:hanging="346"/>
      </w:pPr>
      <w:rPr>
        <w:rFonts w:hint="default"/>
        <w:lang w:val="en-US" w:eastAsia="en-US" w:bidi="ar-SA"/>
      </w:rPr>
    </w:lvl>
    <w:lvl w:ilvl="5">
      <w:start w:val="0"/>
      <w:numFmt w:val="bullet"/>
      <w:lvlText w:val="•"/>
      <w:lvlJc w:val="left"/>
      <w:pPr>
        <w:ind w:left="5095" w:hanging="346"/>
      </w:pPr>
      <w:rPr>
        <w:rFonts w:hint="default"/>
        <w:lang w:val="en-US" w:eastAsia="en-US" w:bidi="ar-SA"/>
      </w:rPr>
    </w:lvl>
    <w:lvl w:ilvl="6">
      <w:start w:val="0"/>
      <w:numFmt w:val="bullet"/>
      <w:lvlText w:val="•"/>
      <w:lvlJc w:val="left"/>
      <w:pPr>
        <w:ind w:left="6160" w:hanging="346"/>
      </w:pPr>
      <w:rPr>
        <w:rFonts w:hint="default"/>
        <w:lang w:val="en-US" w:eastAsia="en-US" w:bidi="ar-SA"/>
      </w:rPr>
    </w:lvl>
    <w:lvl w:ilvl="7">
      <w:start w:val="0"/>
      <w:numFmt w:val="bullet"/>
      <w:lvlText w:val="•"/>
      <w:lvlJc w:val="left"/>
      <w:pPr>
        <w:ind w:left="7225" w:hanging="346"/>
      </w:pPr>
      <w:rPr>
        <w:rFonts w:hint="default"/>
        <w:lang w:val="en-US" w:eastAsia="en-US" w:bidi="ar-SA"/>
      </w:rPr>
    </w:lvl>
    <w:lvl w:ilvl="8">
      <w:start w:val="0"/>
      <w:numFmt w:val="bullet"/>
      <w:lvlText w:val="•"/>
      <w:lvlJc w:val="left"/>
      <w:pPr>
        <w:ind w:left="8290" w:hanging="346"/>
      </w:pPr>
      <w:rPr>
        <w:rFonts w:hint="default"/>
        <w:lang w:val="en-US" w:eastAsia="en-US" w:bidi="ar-SA"/>
      </w:rPr>
    </w:lvl>
  </w:abstractNum>
  <w:abstractNum w:abstractNumId="64">
    <w:multiLevelType w:val="hybridMultilevel"/>
    <w:lvl w:ilvl="0">
      <w:start w:val="1"/>
      <w:numFmt w:val="decimal"/>
      <w:lvlText w:val="%1."/>
      <w:lvlJc w:val="left"/>
      <w:pPr>
        <w:ind w:left="1158" w:hanging="360"/>
        <w:jc w:val="left"/>
      </w:pPr>
      <w:rPr>
        <w:rFonts w:hint="default" w:ascii="Arial" w:hAnsi="Arial" w:eastAsia="Arial" w:cs="Arial"/>
        <w:b w:val="0"/>
        <w:bCs w:val="0"/>
        <w:i w:val="0"/>
        <w:iCs w:val="0"/>
        <w:spacing w:val="-1"/>
        <w:w w:val="99"/>
        <w:sz w:val="20"/>
        <w:szCs w:val="20"/>
        <w:lang w:val="en-US" w:eastAsia="en-US" w:bidi="ar-SA"/>
      </w:rPr>
    </w:lvl>
    <w:lvl w:ilvl="1">
      <w:start w:val="0"/>
      <w:numFmt w:val="bullet"/>
      <w:lvlText w:val="•"/>
      <w:lvlJc w:val="left"/>
      <w:pPr>
        <w:ind w:left="2086" w:hanging="360"/>
      </w:pPr>
      <w:rPr>
        <w:rFonts w:hint="default"/>
        <w:lang w:val="en-US" w:eastAsia="en-US" w:bidi="ar-SA"/>
      </w:rPr>
    </w:lvl>
    <w:lvl w:ilvl="2">
      <w:start w:val="0"/>
      <w:numFmt w:val="bullet"/>
      <w:lvlText w:val="•"/>
      <w:lvlJc w:val="left"/>
      <w:pPr>
        <w:ind w:left="3012" w:hanging="360"/>
      </w:pPr>
      <w:rPr>
        <w:rFonts w:hint="default"/>
        <w:lang w:val="en-US" w:eastAsia="en-US" w:bidi="ar-SA"/>
      </w:rPr>
    </w:lvl>
    <w:lvl w:ilvl="3">
      <w:start w:val="0"/>
      <w:numFmt w:val="bullet"/>
      <w:lvlText w:val="•"/>
      <w:lvlJc w:val="left"/>
      <w:pPr>
        <w:ind w:left="3938" w:hanging="360"/>
      </w:pPr>
      <w:rPr>
        <w:rFonts w:hint="default"/>
        <w:lang w:val="en-US" w:eastAsia="en-US" w:bidi="ar-SA"/>
      </w:rPr>
    </w:lvl>
    <w:lvl w:ilvl="4">
      <w:start w:val="0"/>
      <w:numFmt w:val="bullet"/>
      <w:lvlText w:val="•"/>
      <w:lvlJc w:val="left"/>
      <w:pPr>
        <w:ind w:left="4864" w:hanging="360"/>
      </w:pPr>
      <w:rPr>
        <w:rFonts w:hint="default"/>
        <w:lang w:val="en-US" w:eastAsia="en-US" w:bidi="ar-SA"/>
      </w:rPr>
    </w:lvl>
    <w:lvl w:ilvl="5">
      <w:start w:val="0"/>
      <w:numFmt w:val="bullet"/>
      <w:lvlText w:val="•"/>
      <w:lvlJc w:val="left"/>
      <w:pPr>
        <w:ind w:left="5790" w:hanging="360"/>
      </w:pPr>
      <w:rPr>
        <w:rFonts w:hint="default"/>
        <w:lang w:val="en-US" w:eastAsia="en-US" w:bidi="ar-SA"/>
      </w:rPr>
    </w:lvl>
    <w:lvl w:ilvl="6">
      <w:start w:val="0"/>
      <w:numFmt w:val="bullet"/>
      <w:lvlText w:val="•"/>
      <w:lvlJc w:val="left"/>
      <w:pPr>
        <w:ind w:left="6716" w:hanging="360"/>
      </w:pPr>
      <w:rPr>
        <w:rFonts w:hint="default"/>
        <w:lang w:val="en-US" w:eastAsia="en-US" w:bidi="ar-SA"/>
      </w:rPr>
    </w:lvl>
    <w:lvl w:ilvl="7">
      <w:start w:val="0"/>
      <w:numFmt w:val="bullet"/>
      <w:lvlText w:val="•"/>
      <w:lvlJc w:val="left"/>
      <w:pPr>
        <w:ind w:left="7642" w:hanging="360"/>
      </w:pPr>
      <w:rPr>
        <w:rFonts w:hint="default"/>
        <w:lang w:val="en-US" w:eastAsia="en-US" w:bidi="ar-SA"/>
      </w:rPr>
    </w:lvl>
    <w:lvl w:ilvl="8">
      <w:start w:val="0"/>
      <w:numFmt w:val="bullet"/>
      <w:lvlText w:val="•"/>
      <w:lvlJc w:val="left"/>
      <w:pPr>
        <w:ind w:left="8568" w:hanging="360"/>
      </w:pPr>
      <w:rPr>
        <w:rFonts w:hint="default"/>
        <w:lang w:val="en-US" w:eastAsia="en-US" w:bidi="ar-SA"/>
      </w:rPr>
    </w:lvl>
  </w:abstractNum>
  <w:abstractNum w:abstractNumId="63">
    <w:multiLevelType w:val="hybridMultilevel"/>
    <w:lvl w:ilvl="0">
      <w:start w:val="4"/>
      <w:numFmt w:val="decimal"/>
      <w:lvlText w:val="%1"/>
      <w:lvlJc w:val="left"/>
      <w:pPr>
        <w:ind w:left="1232" w:hanging="433"/>
        <w:jc w:val="left"/>
      </w:pPr>
      <w:rPr>
        <w:rFonts w:hint="default"/>
        <w:lang w:val="en-US" w:eastAsia="en-US" w:bidi="ar-SA"/>
      </w:rPr>
    </w:lvl>
    <w:lvl w:ilvl="1">
      <w:start w:val="1"/>
      <w:numFmt w:val="decimal"/>
      <w:lvlText w:val="%1.%2."/>
      <w:lvlJc w:val="left"/>
      <w:pPr>
        <w:ind w:left="1232" w:hanging="433"/>
        <w:jc w:val="left"/>
      </w:pPr>
      <w:rPr>
        <w:rFonts w:hint="default"/>
        <w:spacing w:val="-1"/>
        <w:w w:val="99"/>
        <w:lang w:val="en-US" w:eastAsia="en-US" w:bidi="ar-SA"/>
      </w:rPr>
    </w:lvl>
    <w:lvl w:ilvl="2">
      <w:start w:val="1"/>
      <w:numFmt w:val="decimal"/>
      <w:lvlText w:val="%1.%2.%3."/>
      <w:lvlJc w:val="left"/>
      <w:pPr>
        <w:ind w:left="1663" w:hanging="504"/>
        <w:jc w:val="left"/>
      </w:pPr>
      <w:rPr>
        <w:rFonts w:hint="default" w:ascii="Arial" w:hAnsi="Arial" w:eastAsia="Arial" w:cs="Arial"/>
        <w:b w:val="0"/>
        <w:bCs w:val="0"/>
        <w:i w:val="0"/>
        <w:iCs w:val="0"/>
        <w:spacing w:val="-1"/>
        <w:w w:val="99"/>
        <w:sz w:val="18"/>
        <w:szCs w:val="18"/>
        <w:lang w:val="en-US" w:eastAsia="en-US" w:bidi="ar-SA"/>
      </w:rPr>
    </w:lvl>
    <w:lvl w:ilvl="3">
      <w:start w:val="0"/>
      <w:numFmt w:val="bullet"/>
      <w:lvlText w:val="•"/>
      <w:lvlJc w:val="left"/>
      <w:pPr>
        <w:ind w:left="3606" w:hanging="504"/>
      </w:pPr>
      <w:rPr>
        <w:rFonts w:hint="default"/>
        <w:lang w:val="en-US" w:eastAsia="en-US" w:bidi="ar-SA"/>
      </w:rPr>
    </w:lvl>
    <w:lvl w:ilvl="4">
      <w:start w:val="0"/>
      <w:numFmt w:val="bullet"/>
      <w:lvlText w:val="•"/>
      <w:lvlJc w:val="left"/>
      <w:pPr>
        <w:ind w:left="4580" w:hanging="504"/>
      </w:pPr>
      <w:rPr>
        <w:rFonts w:hint="default"/>
        <w:lang w:val="en-US" w:eastAsia="en-US" w:bidi="ar-SA"/>
      </w:rPr>
    </w:lvl>
    <w:lvl w:ilvl="5">
      <w:start w:val="0"/>
      <w:numFmt w:val="bullet"/>
      <w:lvlText w:val="•"/>
      <w:lvlJc w:val="left"/>
      <w:pPr>
        <w:ind w:left="5553" w:hanging="504"/>
      </w:pPr>
      <w:rPr>
        <w:rFonts w:hint="default"/>
        <w:lang w:val="en-US" w:eastAsia="en-US" w:bidi="ar-SA"/>
      </w:rPr>
    </w:lvl>
    <w:lvl w:ilvl="6">
      <w:start w:val="0"/>
      <w:numFmt w:val="bullet"/>
      <w:lvlText w:val="•"/>
      <w:lvlJc w:val="left"/>
      <w:pPr>
        <w:ind w:left="6526" w:hanging="504"/>
      </w:pPr>
      <w:rPr>
        <w:rFonts w:hint="default"/>
        <w:lang w:val="en-US" w:eastAsia="en-US" w:bidi="ar-SA"/>
      </w:rPr>
    </w:lvl>
    <w:lvl w:ilvl="7">
      <w:start w:val="0"/>
      <w:numFmt w:val="bullet"/>
      <w:lvlText w:val="•"/>
      <w:lvlJc w:val="left"/>
      <w:pPr>
        <w:ind w:left="7500" w:hanging="504"/>
      </w:pPr>
      <w:rPr>
        <w:rFonts w:hint="default"/>
        <w:lang w:val="en-US" w:eastAsia="en-US" w:bidi="ar-SA"/>
      </w:rPr>
    </w:lvl>
    <w:lvl w:ilvl="8">
      <w:start w:val="0"/>
      <w:numFmt w:val="bullet"/>
      <w:lvlText w:val="•"/>
      <w:lvlJc w:val="left"/>
      <w:pPr>
        <w:ind w:left="8473" w:hanging="504"/>
      </w:pPr>
      <w:rPr>
        <w:rFonts w:hint="default"/>
        <w:lang w:val="en-US" w:eastAsia="en-US" w:bidi="ar-SA"/>
      </w:rPr>
    </w:lvl>
  </w:abstractNum>
  <w:abstractNum w:abstractNumId="62">
    <w:multiLevelType w:val="hybridMultilevel"/>
    <w:lvl w:ilvl="0">
      <w:start w:val="1"/>
      <w:numFmt w:val="decimal"/>
      <w:lvlText w:val="%1."/>
      <w:lvlJc w:val="left"/>
      <w:pPr>
        <w:ind w:left="1160" w:hanging="221"/>
        <w:jc w:val="left"/>
      </w:pPr>
      <w:rPr>
        <w:rFonts w:hint="default" w:ascii="Arial" w:hAnsi="Arial" w:eastAsia="Arial" w:cs="Arial"/>
        <w:b w:val="0"/>
        <w:bCs w:val="0"/>
        <w:i w:val="0"/>
        <w:iCs w:val="0"/>
        <w:spacing w:val="-1"/>
        <w:w w:val="99"/>
        <w:sz w:val="20"/>
        <w:szCs w:val="20"/>
        <w:lang w:val="en-US" w:eastAsia="en-US" w:bidi="ar-SA"/>
      </w:rPr>
    </w:lvl>
    <w:lvl w:ilvl="1">
      <w:start w:val="0"/>
      <w:numFmt w:val="bullet"/>
      <w:lvlText w:val="•"/>
      <w:lvlJc w:val="left"/>
      <w:pPr>
        <w:ind w:left="1520" w:hanging="360"/>
      </w:pPr>
      <w:rPr>
        <w:rFonts w:hint="default" w:ascii="Arial" w:hAnsi="Arial" w:eastAsia="Arial" w:cs="Arial"/>
        <w:b w:val="0"/>
        <w:bCs w:val="0"/>
        <w:i w:val="0"/>
        <w:iCs w:val="0"/>
        <w:w w:val="130"/>
        <w:sz w:val="20"/>
        <w:szCs w:val="20"/>
        <w:lang w:val="en-US" w:eastAsia="en-US" w:bidi="ar-SA"/>
      </w:rPr>
    </w:lvl>
    <w:lvl w:ilvl="2">
      <w:start w:val="0"/>
      <w:numFmt w:val="bullet"/>
      <w:lvlText w:val="•"/>
      <w:lvlJc w:val="left"/>
      <w:pPr>
        <w:ind w:left="2508" w:hanging="360"/>
      </w:pPr>
      <w:rPr>
        <w:rFonts w:hint="default"/>
        <w:lang w:val="en-US" w:eastAsia="en-US" w:bidi="ar-SA"/>
      </w:rPr>
    </w:lvl>
    <w:lvl w:ilvl="3">
      <w:start w:val="0"/>
      <w:numFmt w:val="bullet"/>
      <w:lvlText w:val="•"/>
      <w:lvlJc w:val="left"/>
      <w:pPr>
        <w:ind w:left="3497" w:hanging="360"/>
      </w:pPr>
      <w:rPr>
        <w:rFonts w:hint="default"/>
        <w:lang w:val="en-US" w:eastAsia="en-US" w:bidi="ar-SA"/>
      </w:rPr>
    </w:lvl>
    <w:lvl w:ilvl="4">
      <w:start w:val="0"/>
      <w:numFmt w:val="bullet"/>
      <w:lvlText w:val="•"/>
      <w:lvlJc w:val="left"/>
      <w:pPr>
        <w:ind w:left="4486" w:hanging="360"/>
      </w:pPr>
      <w:rPr>
        <w:rFonts w:hint="default"/>
        <w:lang w:val="en-US" w:eastAsia="en-US" w:bidi="ar-SA"/>
      </w:rPr>
    </w:lvl>
    <w:lvl w:ilvl="5">
      <w:start w:val="0"/>
      <w:numFmt w:val="bullet"/>
      <w:lvlText w:val="•"/>
      <w:lvlJc w:val="left"/>
      <w:pPr>
        <w:ind w:left="5475" w:hanging="360"/>
      </w:pPr>
      <w:rPr>
        <w:rFonts w:hint="default"/>
        <w:lang w:val="en-US" w:eastAsia="en-US" w:bidi="ar-SA"/>
      </w:rPr>
    </w:lvl>
    <w:lvl w:ilvl="6">
      <w:start w:val="0"/>
      <w:numFmt w:val="bullet"/>
      <w:lvlText w:val="•"/>
      <w:lvlJc w:val="left"/>
      <w:pPr>
        <w:ind w:left="6464" w:hanging="360"/>
      </w:pPr>
      <w:rPr>
        <w:rFonts w:hint="default"/>
        <w:lang w:val="en-US" w:eastAsia="en-US" w:bidi="ar-SA"/>
      </w:rPr>
    </w:lvl>
    <w:lvl w:ilvl="7">
      <w:start w:val="0"/>
      <w:numFmt w:val="bullet"/>
      <w:lvlText w:val="•"/>
      <w:lvlJc w:val="left"/>
      <w:pPr>
        <w:ind w:left="7453" w:hanging="360"/>
      </w:pPr>
      <w:rPr>
        <w:rFonts w:hint="default"/>
        <w:lang w:val="en-US" w:eastAsia="en-US" w:bidi="ar-SA"/>
      </w:rPr>
    </w:lvl>
    <w:lvl w:ilvl="8">
      <w:start w:val="0"/>
      <w:numFmt w:val="bullet"/>
      <w:lvlText w:val="•"/>
      <w:lvlJc w:val="left"/>
      <w:pPr>
        <w:ind w:left="8442" w:hanging="360"/>
      </w:pPr>
      <w:rPr>
        <w:rFonts w:hint="default"/>
        <w:lang w:val="en-US" w:eastAsia="en-US" w:bidi="ar-SA"/>
      </w:rPr>
    </w:lvl>
  </w:abstractNum>
  <w:abstractNum w:abstractNumId="61">
    <w:multiLevelType w:val="hybridMultilevel"/>
    <w:lvl w:ilvl="0">
      <w:start w:val="0"/>
      <w:numFmt w:val="bullet"/>
      <w:lvlText w:val="•"/>
      <w:lvlJc w:val="left"/>
      <w:pPr>
        <w:ind w:left="1159" w:hanging="360"/>
      </w:pPr>
      <w:rPr>
        <w:rFonts w:hint="default" w:ascii="Arial" w:hAnsi="Arial" w:eastAsia="Arial" w:cs="Arial"/>
        <w:b w:val="0"/>
        <w:bCs w:val="0"/>
        <w:i w:val="0"/>
        <w:iCs w:val="0"/>
        <w:w w:val="130"/>
        <w:sz w:val="20"/>
        <w:szCs w:val="20"/>
        <w:lang w:val="en-US" w:eastAsia="en-US" w:bidi="ar-SA"/>
      </w:rPr>
    </w:lvl>
    <w:lvl w:ilvl="1">
      <w:start w:val="0"/>
      <w:numFmt w:val="bullet"/>
      <w:lvlText w:val="•"/>
      <w:lvlJc w:val="left"/>
      <w:pPr>
        <w:ind w:left="2086" w:hanging="360"/>
      </w:pPr>
      <w:rPr>
        <w:rFonts w:hint="default"/>
        <w:lang w:val="en-US" w:eastAsia="en-US" w:bidi="ar-SA"/>
      </w:rPr>
    </w:lvl>
    <w:lvl w:ilvl="2">
      <w:start w:val="0"/>
      <w:numFmt w:val="bullet"/>
      <w:lvlText w:val="•"/>
      <w:lvlJc w:val="left"/>
      <w:pPr>
        <w:ind w:left="3012" w:hanging="360"/>
      </w:pPr>
      <w:rPr>
        <w:rFonts w:hint="default"/>
        <w:lang w:val="en-US" w:eastAsia="en-US" w:bidi="ar-SA"/>
      </w:rPr>
    </w:lvl>
    <w:lvl w:ilvl="3">
      <w:start w:val="0"/>
      <w:numFmt w:val="bullet"/>
      <w:lvlText w:val="•"/>
      <w:lvlJc w:val="left"/>
      <w:pPr>
        <w:ind w:left="3938" w:hanging="360"/>
      </w:pPr>
      <w:rPr>
        <w:rFonts w:hint="default"/>
        <w:lang w:val="en-US" w:eastAsia="en-US" w:bidi="ar-SA"/>
      </w:rPr>
    </w:lvl>
    <w:lvl w:ilvl="4">
      <w:start w:val="0"/>
      <w:numFmt w:val="bullet"/>
      <w:lvlText w:val="•"/>
      <w:lvlJc w:val="left"/>
      <w:pPr>
        <w:ind w:left="4864" w:hanging="360"/>
      </w:pPr>
      <w:rPr>
        <w:rFonts w:hint="default"/>
        <w:lang w:val="en-US" w:eastAsia="en-US" w:bidi="ar-SA"/>
      </w:rPr>
    </w:lvl>
    <w:lvl w:ilvl="5">
      <w:start w:val="0"/>
      <w:numFmt w:val="bullet"/>
      <w:lvlText w:val="•"/>
      <w:lvlJc w:val="left"/>
      <w:pPr>
        <w:ind w:left="5790" w:hanging="360"/>
      </w:pPr>
      <w:rPr>
        <w:rFonts w:hint="default"/>
        <w:lang w:val="en-US" w:eastAsia="en-US" w:bidi="ar-SA"/>
      </w:rPr>
    </w:lvl>
    <w:lvl w:ilvl="6">
      <w:start w:val="0"/>
      <w:numFmt w:val="bullet"/>
      <w:lvlText w:val="•"/>
      <w:lvlJc w:val="left"/>
      <w:pPr>
        <w:ind w:left="6716" w:hanging="360"/>
      </w:pPr>
      <w:rPr>
        <w:rFonts w:hint="default"/>
        <w:lang w:val="en-US" w:eastAsia="en-US" w:bidi="ar-SA"/>
      </w:rPr>
    </w:lvl>
    <w:lvl w:ilvl="7">
      <w:start w:val="0"/>
      <w:numFmt w:val="bullet"/>
      <w:lvlText w:val="•"/>
      <w:lvlJc w:val="left"/>
      <w:pPr>
        <w:ind w:left="7642" w:hanging="360"/>
      </w:pPr>
      <w:rPr>
        <w:rFonts w:hint="default"/>
        <w:lang w:val="en-US" w:eastAsia="en-US" w:bidi="ar-SA"/>
      </w:rPr>
    </w:lvl>
    <w:lvl w:ilvl="8">
      <w:start w:val="0"/>
      <w:numFmt w:val="bullet"/>
      <w:lvlText w:val="•"/>
      <w:lvlJc w:val="left"/>
      <w:pPr>
        <w:ind w:left="8568" w:hanging="360"/>
      </w:pPr>
      <w:rPr>
        <w:rFonts w:hint="default"/>
        <w:lang w:val="en-US" w:eastAsia="en-US" w:bidi="ar-SA"/>
      </w:rPr>
    </w:lvl>
  </w:abstractNum>
  <w:abstractNum w:abstractNumId="60">
    <w:multiLevelType w:val="hybridMultilevel"/>
    <w:lvl w:ilvl="0">
      <w:start w:val="0"/>
      <w:numFmt w:val="bullet"/>
      <w:lvlText w:val="•"/>
      <w:lvlJc w:val="left"/>
      <w:pPr>
        <w:ind w:left="1520" w:hanging="360"/>
      </w:pPr>
      <w:rPr>
        <w:rFonts w:hint="default" w:ascii="Arial" w:hAnsi="Arial" w:eastAsia="Arial" w:cs="Arial"/>
        <w:b w:val="0"/>
        <w:bCs w:val="0"/>
        <w:i w:val="0"/>
        <w:iCs w:val="0"/>
        <w:w w:val="130"/>
        <w:sz w:val="20"/>
        <w:szCs w:val="20"/>
        <w:lang w:val="en-US" w:eastAsia="en-US" w:bidi="ar-SA"/>
      </w:rPr>
    </w:lvl>
    <w:lvl w:ilvl="1">
      <w:start w:val="0"/>
      <w:numFmt w:val="bullet"/>
      <w:lvlText w:val="•"/>
      <w:lvlJc w:val="left"/>
      <w:pPr>
        <w:ind w:left="2410" w:hanging="360"/>
      </w:pPr>
      <w:rPr>
        <w:rFonts w:hint="default"/>
        <w:lang w:val="en-US" w:eastAsia="en-US" w:bidi="ar-SA"/>
      </w:rPr>
    </w:lvl>
    <w:lvl w:ilvl="2">
      <w:start w:val="0"/>
      <w:numFmt w:val="bullet"/>
      <w:lvlText w:val="•"/>
      <w:lvlJc w:val="left"/>
      <w:pPr>
        <w:ind w:left="3300" w:hanging="360"/>
      </w:pPr>
      <w:rPr>
        <w:rFonts w:hint="default"/>
        <w:lang w:val="en-US" w:eastAsia="en-US" w:bidi="ar-SA"/>
      </w:rPr>
    </w:lvl>
    <w:lvl w:ilvl="3">
      <w:start w:val="0"/>
      <w:numFmt w:val="bullet"/>
      <w:lvlText w:val="•"/>
      <w:lvlJc w:val="left"/>
      <w:pPr>
        <w:ind w:left="4190" w:hanging="360"/>
      </w:pPr>
      <w:rPr>
        <w:rFonts w:hint="default"/>
        <w:lang w:val="en-US" w:eastAsia="en-US" w:bidi="ar-SA"/>
      </w:rPr>
    </w:lvl>
    <w:lvl w:ilvl="4">
      <w:start w:val="0"/>
      <w:numFmt w:val="bullet"/>
      <w:lvlText w:val="•"/>
      <w:lvlJc w:val="left"/>
      <w:pPr>
        <w:ind w:left="5080" w:hanging="360"/>
      </w:pPr>
      <w:rPr>
        <w:rFonts w:hint="default"/>
        <w:lang w:val="en-US" w:eastAsia="en-US" w:bidi="ar-SA"/>
      </w:rPr>
    </w:lvl>
    <w:lvl w:ilvl="5">
      <w:start w:val="0"/>
      <w:numFmt w:val="bullet"/>
      <w:lvlText w:val="•"/>
      <w:lvlJc w:val="left"/>
      <w:pPr>
        <w:ind w:left="5970" w:hanging="360"/>
      </w:pPr>
      <w:rPr>
        <w:rFonts w:hint="default"/>
        <w:lang w:val="en-US" w:eastAsia="en-US" w:bidi="ar-SA"/>
      </w:rPr>
    </w:lvl>
    <w:lvl w:ilvl="6">
      <w:start w:val="0"/>
      <w:numFmt w:val="bullet"/>
      <w:lvlText w:val="•"/>
      <w:lvlJc w:val="left"/>
      <w:pPr>
        <w:ind w:left="6860" w:hanging="360"/>
      </w:pPr>
      <w:rPr>
        <w:rFonts w:hint="default"/>
        <w:lang w:val="en-US" w:eastAsia="en-US" w:bidi="ar-SA"/>
      </w:rPr>
    </w:lvl>
    <w:lvl w:ilvl="7">
      <w:start w:val="0"/>
      <w:numFmt w:val="bullet"/>
      <w:lvlText w:val="•"/>
      <w:lvlJc w:val="left"/>
      <w:pPr>
        <w:ind w:left="7750" w:hanging="360"/>
      </w:pPr>
      <w:rPr>
        <w:rFonts w:hint="default"/>
        <w:lang w:val="en-US" w:eastAsia="en-US" w:bidi="ar-SA"/>
      </w:rPr>
    </w:lvl>
    <w:lvl w:ilvl="8">
      <w:start w:val="0"/>
      <w:numFmt w:val="bullet"/>
      <w:lvlText w:val="•"/>
      <w:lvlJc w:val="left"/>
      <w:pPr>
        <w:ind w:left="8640" w:hanging="360"/>
      </w:pPr>
      <w:rPr>
        <w:rFonts w:hint="default"/>
        <w:lang w:val="en-US" w:eastAsia="en-US" w:bidi="ar-SA"/>
      </w:rPr>
    </w:lvl>
  </w:abstractNum>
  <w:abstractNum w:abstractNumId="59">
    <w:multiLevelType w:val="hybridMultilevel"/>
    <w:lvl w:ilvl="0">
      <w:start w:val="0"/>
      <w:numFmt w:val="bullet"/>
      <w:lvlText w:val="•"/>
      <w:lvlJc w:val="left"/>
      <w:pPr>
        <w:ind w:left="1520" w:hanging="360"/>
      </w:pPr>
      <w:rPr>
        <w:rFonts w:hint="default" w:ascii="Arial Narrow" w:hAnsi="Arial Narrow" w:eastAsia="Arial Narrow" w:cs="Arial Narrow"/>
        <w:b w:val="0"/>
        <w:bCs w:val="0"/>
        <w:i w:val="0"/>
        <w:iCs w:val="0"/>
        <w:w w:val="99"/>
        <w:sz w:val="20"/>
        <w:szCs w:val="20"/>
        <w:lang w:val="en-US" w:eastAsia="en-US" w:bidi="ar-SA"/>
      </w:rPr>
    </w:lvl>
    <w:lvl w:ilvl="1">
      <w:start w:val="0"/>
      <w:numFmt w:val="bullet"/>
      <w:lvlText w:val="•"/>
      <w:lvlJc w:val="left"/>
      <w:pPr>
        <w:ind w:left="2410" w:hanging="360"/>
      </w:pPr>
      <w:rPr>
        <w:rFonts w:hint="default"/>
        <w:lang w:val="en-US" w:eastAsia="en-US" w:bidi="ar-SA"/>
      </w:rPr>
    </w:lvl>
    <w:lvl w:ilvl="2">
      <w:start w:val="0"/>
      <w:numFmt w:val="bullet"/>
      <w:lvlText w:val="•"/>
      <w:lvlJc w:val="left"/>
      <w:pPr>
        <w:ind w:left="3300" w:hanging="360"/>
      </w:pPr>
      <w:rPr>
        <w:rFonts w:hint="default"/>
        <w:lang w:val="en-US" w:eastAsia="en-US" w:bidi="ar-SA"/>
      </w:rPr>
    </w:lvl>
    <w:lvl w:ilvl="3">
      <w:start w:val="0"/>
      <w:numFmt w:val="bullet"/>
      <w:lvlText w:val="•"/>
      <w:lvlJc w:val="left"/>
      <w:pPr>
        <w:ind w:left="4190" w:hanging="360"/>
      </w:pPr>
      <w:rPr>
        <w:rFonts w:hint="default"/>
        <w:lang w:val="en-US" w:eastAsia="en-US" w:bidi="ar-SA"/>
      </w:rPr>
    </w:lvl>
    <w:lvl w:ilvl="4">
      <w:start w:val="0"/>
      <w:numFmt w:val="bullet"/>
      <w:lvlText w:val="•"/>
      <w:lvlJc w:val="left"/>
      <w:pPr>
        <w:ind w:left="5080" w:hanging="360"/>
      </w:pPr>
      <w:rPr>
        <w:rFonts w:hint="default"/>
        <w:lang w:val="en-US" w:eastAsia="en-US" w:bidi="ar-SA"/>
      </w:rPr>
    </w:lvl>
    <w:lvl w:ilvl="5">
      <w:start w:val="0"/>
      <w:numFmt w:val="bullet"/>
      <w:lvlText w:val="•"/>
      <w:lvlJc w:val="left"/>
      <w:pPr>
        <w:ind w:left="5970" w:hanging="360"/>
      </w:pPr>
      <w:rPr>
        <w:rFonts w:hint="default"/>
        <w:lang w:val="en-US" w:eastAsia="en-US" w:bidi="ar-SA"/>
      </w:rPr>
    </w:lvl>
    <w:lvl w:ilvl="6">
      <w:start w:val="0"/>
      <w:numFmt w:val="bullet"/>
      <w:lvlText w:val="•"/>
      <w:lvlJc w:val="left"/>
      <w:pPr>
        <w:ind w:left="6860" w:hanging="360"/>
      </w:pPr>
      <w:rPr>
        <w:rFonts w:hint="default"/>
        <w:lang w:val="en-US" w:eastAsia="en-US" w:bidi="ar-SA"/>
      </w:rPr>
    </w:lvl>
    <w:lvl w:ilvl="7">
      <w:start w:val="0"/>
      <w:numFmt w:val="bullet"/>
      <w:lvlText w:val="•"/>
      <w:lvlJc w:val="left"/>
      <w:pPr>
        <w:ind w:left="7750" w:hanging="360"/>
      </w:pPr>
      <w:rPr>
        <w:rFonts w:hint="default"/>
        <w:lang w:val="en-US" w:eastAsia="en-US" w:bidi="ar-SA"/>
      </w:rPr>
    </w:lvl>
    <w:lvl w:ilvl="8">
      <w:start w:val="0"/>
      <w:numFmt w:val="bullet"/>
      <w:lvlText w:val="•"/>
      <w:lvlJc w:val="left"/>
      <w:pPr>
        <w:ind w:left="8640" w:hanging="360"/>
      </w:pPr>
      <w:rPr>
        <w:rFonts w:hint="default"/>
        <w:lang w:val="en-US" w:eastAsia="en-US" w:bidi="ar-SA"/>
      </w:rPr>
    </w:lvl>
  </w:abstractNum>
  <w:abstractNum w:abstractNumId="58">
    <w:multiLevelType w:val="hybridMultilevel"/>
    <w:lvl w:ilvl="0">
      <w:start w:val="0"/>
      <w:numFmt w:val="bullet"/>
      <w:lvlText w:val="•"/>
      <w:lvlJc w:val="left"/>
      <w:pPr>
        <w:ind w:left="1519" w:hanging="360"/>
      </w:pPr>
      <w:rPr>
        <w:rFonts w:hint="default" w:ascii="Arial" w:hAnsi="Arial" w:eastAsia="Arial" w:cs="Arial"/>
        <w:b w:val="0"/>
        <w:bCs w:val="0"/>
        <w:i w:val="0"/>
        <w:iCs w:val="0"/>
        <w:w w:val="130"/>
        <w:sz w:val="20"/>
        <w:szCs w:val="20"/>
        <w:lang w:val="en-US" w:eastAsia="en-US" w:bidi="ar-SA"/>
      </w:rPr>
    </w:lvl>
    <w:lvl w:ilvl="1">
      <w:start w:val="0"/>
      <w:numFmt w:val="bullet"/>
      <w:lvlText w:val="•"/>
      <w:lvlJc w:val="left"/>
      <w:pPr>
        <w:ind w:left="2410" w:hanging="360"/>
      </w:pPr>
      <w:rPr>
        <w:rFonts w:hint="default"/>
        <w:lang w:val="en-US" w:eastAsia="en-US" w:bidi="ar-SA"/>
      </w:rPr>
    </w:lvl>
    <w:lvl w:ilvl="2">
      <w:start w:val="0"/>
      <w:numFmt w:val="bullet"/>
      <w:lvlText w:val="•"/>
      <w:lvlJc w:val="left"/>
      <w:pPr>
        <w:ind w:left="3300" w:hanging="360"/>
      </w:pPr>
      <w:rPr>
        <w:rFonts w:hint="default"/>
        <w:lang w:val="en-US" w:eastAsia="en-US" w:bidi="ar-SA"/>
      </w:rPr>
    </w:lvl>
    <w:lvl w:ilvl="3">
      <w:start w:val="0"/>
      <w:numFmt w:val="bullet"/>
      <w:lvlText w:val="•"/>
      <w:lvlJc w:val="left"/>
      <w:pPr>
        <w:ind w:left="4190" w:hanging="360"/>
      </w:pPr>
      <w:rPr>
        <w:rFonts w:hint="default"/>
        <w:lang w:val="en-US" w:eastAsia="en-US" w:bidi="ar-SA"/>
      </w:rPr>
    </w:lvl>
    <w:lvl w:ilvl="4">
      <w:start w:val="0"/>
      <w:numFmt w:val="bullet"/>
      <w:lvlText w:val="•"/>
      <w:lvlJc w:val="left"/>
      <w:pPr>
        <w:ind w:left="5080" w:hanging="360"/>
      </w:pPr>
      <w:rPr>
        <w:rFonts w:hint="default"/>
        <w:lang w:val="en-US" w:eastAsia="en-US" w:bidi="ar-SA"/>
      </w:rPr>
    </w:lvl>
    <w:lvl w:ilvl="5">
      <w:start w:val="0"/>
      <w:numFmt w:val="bullet"/>
      <w:lvlText w:val="•"/>
      <w:lvlJc w:val="left"/>
      <w:pPr>
        <w:ind w:left="5970" w:hanging="360"/>
      </w:pPr>
      <w:rPr>
        <w:rFonts w:hint="default"/>
        <w:lang w:val="en-US" w:eastAsia="en-US" w:bidi="ar-SA"/>
      </w:rPr>
    </w:lvl>
    <w:lvl w:ilvl="6">
      <w:start w:val="0"/>
      <w:numFmt w:val="bullet"/>
      <w:lvlText w:val="•"/>
      <w:lvlJc w:val="left"/>
      <w:pPr>
        <w:ind w:left="6860" w:hanging="360"/>
      </w:pPr>
      <w:rPr>
        <w:rFonts w:hint="default"/>
        <w:lang w:val="en-US" w:eastAsia="en-US" w:bidi="ar-SA"/>
      </w:rPr>
    </w:lvl>
    <w:lvl w:ilvl="7">
      <w:start w:val="0"/>
      <w:numFmt w:val="bullet"/>
      <w:lvlText w:val="•"/>
      <w:lvlJc w:val="left"/>
      <w:pPr>
        <w:ind w:left="7750" w:hanging="360"/>
      </w:pPr>
      <w:rPr>
        <w:rFonts w:hint="default"/>
        <w:lang w:val="en-US" w:eastAsia="en-US" w:bidi="ar-SA"/>
      </w:rPr>
    </w:lvl>
    <w:lvl w:ilvl="8">
      <w:start w:val="0"/>
      <w:numFmt w:val="bullet"/>
      <w:lvlText w:val="•"/>
      <w:lvlJc w:val="left"/>
      <w:pPr>
        <w:ind w:left="8640" w:hanging="360"/>
      </w:pPr>
      <w:rPr>
        <w:rFonts w:hint="default"/>
        <w:lang w:val="en-US" w:eastAsia="en-US" w:bidi="ar-SA"/>
      </w:rPr>
    </w:lvl>
  </w:abstractNum>
  <w:abstractNum w:abstractNumId="57">
    <w:multiLevelType w:val="hybridMultilevel"/>
    <w:lvl w:ilvl="0">
      <w:start w:val="0"/>
      <w:numFmt w:val="bullet"/>
      <w:lvlText w:val="•"/>
      <w:lvlJc w:val="left"/>
      <w:pPr>
        <w:ind w:left="1663" w:hanging="360"/>
      </w:pPr>
      <w:rPr>
        <w:rFonts w:hint="default" w:ascii="Arial" w:hAnsi="Arial" w:eastAsia="Arial" w:cs="Arial"/>
        <w:b w:val="0"/>
        <w:bCs w:val="0"/>
        <w:i w:val="0"/>
        <w:iCs w:val="0"/>
        <w:w w:val="130"/>
        <w:sz w:val="20"/>
        <w:szCs w:val="20"/>
        <w:lang w:val="en-US" w:eastAsia="en-US" w:bidi="ar-SA"/>
      </w:rPr>
    </w:lvl>
    <w:lvl w:ilvl="1">
      <w:start w:val="0"/>
      <w:numFmt w:val="bullet"/>
      <w:lvlText w:val="•"/>
      <w:lvlJc w:val="left"/>
      <w:pPr>
        <w:ind w:left="2536" w:hanging="360"/>
      </w:pPr>
      <w:rPr>
        <w:rFonts w:hint="default"/>
        <w:lang w:val="en-US" w:eastAsia="en-US" w:bidi="ar-SA"/>
      </w:rPr>
    </w:lvl>
    <w:lvl w:ilvl="2">
      <w:start w:val="0"/>
      <w:numFmt w:val="bullet"/>
      <w:lvlText w:val="•"/>
      <w:lvlJc w:val="left"/>
      <w:pPr>
        <w:ind w:left="3412" w:hanging="360"/>
      </w:pPr>
      <w:rPr>
        <w:rFonts w:hint="default"/>
        <w:lang w:val="en-US" w:eastAsia="en-US" w:bidi="ar-SA"/>
      </w:rPr>
    </w:lvl>
    <w:lvl w:ilvl="3">
      <w:start w:val="0"/>
      <w:numFmt w:val="bullet"/>
      <w:lvlText w:val="•"/>
      <w:lvlJc w:val="left"/>
      <w:pPr>
        <w:ind w:left="4288" w:hanging="360"/>
      </w:pPr>
      <w:rPr>
        <w:rFonts w:hint="default"/>
        <w:lang w:val="en-US" w:eastAsia="en-US" w:bidi="ar-SA"/>
      </w:rPr>
    </w:lvl>
    <w:lvl w:ilvl="4">
      <w:start w:val="0"/>
      <w:numFmt w:val="bullet"/>
      <w:lvlText w:val="•"/>
      <w:lvlJc w:val="left"/>
      <w:pPr>
        <w:ind w:left="5164" w:hanging="360"/>
      </w:pPr>
      <w:rPr>
        <w:rFonts w:hint="default"/>
        <w:lang w:val="en-US" w:eastAsia="en-US" w:bidi="ar-SA"/>
      </w:rPr>
    </w:lvl>
    <w:lvl w:ilvl="5">
      <w:start w:val="0"/>
      <w:numFmt w:val="bullet"/>
      <w:lvlText w:val="•"/>
      <w:lvlJc w:val="left"/>
      <w:pPr>
        <w:ind w:left="6040" w:hanging="360"/>
      </w:pPr>
      <w:rPr>
        <w:rFonts w:hint="default"/>
        <w:lang w:val="en-US" w:eastAsia="en-US" w:bidi="ar-SA"/>
      </w:rPr>
    </w:lvl>
    <w:lvl w:ilvl="6">
      <w:start w:val="0"/>
      <w:numFmt w:val="bullet"/>
      <w:lvlText w:val="•"/>
      <w:lvlJc w:val="left"/>
      <w:pPr>
        <w:ind w:left="6916" w:hanging="360"/>
      </w:pPr>
      <w:rPr>
        <w:rFonts w:hint="default"/>
        <w:lang w:val="en-US" w:eastAsia="en-US" w:bidi="ar-SA"/>
      </w:rPr>
    </w:lvl>
    <w:lvl w:ilvl="7">
      <w:start w:val="0"/>
      <w:numFmt w:val="bullet"/>
      <w:lvlText w:val="•"/>
      <w:lvlJc w:val="left"/>
      <w:pPr>
        <w:ind w:left="7792" w:hanging="360"/>
      </w:pPr>
      <w:rPr>
        <w:rFonts w:hint="default"/>
        <w:lang w:val="en-US" w:eastAsia="en-US" w:bidi="ar-SA"/>
      </w:rPr>
    </w:lvl>
    <w:lvl w:ilvl="8">
      <w:start w:val="0"/>
      <w:numFmt w:val="bullet"/>
      <w:lvlText w:val="•"/>
      <w:lvlJc w:val="left"/>
      <w:pPr>
        <w:ind w:left="8668" w:hanging="360"/>
      </w:pPr>
      <w:rPr>
        <w:rFonts w:hint="default"/>
        <w:lang w:val="en-US" w:eastAsia="en-US" w:bidi="ar-SA"/>
      </w:rPr>
    </w:lvl>
  </w:abstractNum>
  <w:abstractNum w:abstractNumId="56">
    <w:multiLevelType w:val="hybridMultilevel"/>
    <w:lvl w:ilvl="0">
      <w:start w:val="0"/>
      <w:numFmt w:val="bullet"/>
      <w:lvlText w:val="•"/>
      <w:lvlJc w:val="left"/>
      <w:pPr>
        <w:ind w:left="1519" w:hanging="360"/>
      </w:pPr>
      <w:rPr>
        <w:rFonts w:hint="default" w:ascii="Arial Narrow" w:hAnsi="Arial Narrow" w:eastAsia="Arial Narrow" w:cs="Arial Narrow"/>
        <w:b w:val="0"/>
        <w:bCs w:val="0"/>
        <w:i w:val="0"/>
        <w:iCs w:val="0"/>
        <w:w w:val="99"/>
        <w:sz w:val="20"/>
        <w:szCs w:val="20"/>
        <w:lang w:val="en-US" w:eastAsia="en-US" w:bidi="ar-SA"/>
      </w:rPr>
    </w:lvl>
    <w:lvl w:ilvl="1">
      <w:start w:val="0"/>
      <w:numFmt w:val="bullet"/>
      <w:lvlText w:val="•"/>
      <w:lvlJc w:val="left"/>
      <w:pPr>
        <w:ind w:left="2410" w:hanging="360"/>
      </w:pPr>
      <w:rPr>
        <w:rFonts w:hint="default"/>
        <w:lang w:val="en-US" w:eastAsia="en-US" w:bidi="ar-SA"/>
      </w:rPr>
    </w:lvl>
    <w:lvl w:ilvl="2">
      <w:start w:val="0"/>
      <w:numFmt w:val="bullet"/>
      <w:lvlText w:val="•"/>
      <w:lvlJc w:val="left"/>
      <w:pPr>
        <w:ind w:left="3300" w:hanging="360"/>
      </w:pPr>
      <w:rPr>
        <w:rFonts w:hint="default"/>
        <w:lang w:val="en-US" w:eastAsia="en-US" w:bidi="ar-SA"/>
      </w:rPr>
    </w:lvl>
    <w:lvl w:ilvl="3">
      <w:start w:val="0"/>
      <w:numFmt w:val="bullet"/>
      <w:lvlText w:val="•"/>
      <w:lvlJc w:val="left"/>
      <w:pPr>
        <w:ind w:left="4190" w:hanging="360"/>
      </w:pPr>
      <w:rPr>
        <w:rFonts w:hint="default"/>
        <w:lang w:val="en-US" w:eastAsia="en-US" w:bidi="ar-SA"/>
      </w:rPr>
    </w:lvl>
    <w:lvl w:ilvl="4">
      <w:start w:val="0"/>
      <w:numFmt w:val="bullet"/>
      <w:lvlText w:val="•"/>
      <w:lvlJc w:val="left"/>
      <w:pPr>
        <w:ind w:left="5080" w:hanging="360"/>
      </w:pPr>
      <w:rPr>
        <w:rFonts w:hint="default"/>
        <w:lang w:val="en-US" w:eastAsia="en-US" w:bidi="ar-SA"/>
      </w:rPr>
    </w:lvl>
    <w:lvl w:ilvl="5">
      <w:start w:val="0"/>
      <w:numFmt w:val="bullet"/>
      <w:lvlText w:val="•"/>
      <w:lvlJc w:val="left"/>
      <w:pPr>
        <w:ind w:left="5970" w:hanging="360"/>
      </w:pPr>
      <w:rPr>
        <w:rFonts w:hint="default"/>
        <w:lang w:val="en-US" w:eastAsia="en-US" w:bidi="ar-SA"/>
      </w:rPr>
    </w:lvl>
    <w:lvl w:ilvl="6">
      <w:start w:val="0"/>
      <w:numFmt w:val="bullet"/>
      <w:lvlText w:val="•"/>
      <w:lvlJc w:val="left"/>
      <w:pPr>
        <w:ind w:left="6860" w:hanging="360"/>
      </w:pPr>
      <w:rPr>
        <w:rFonts w:hint="default"/>
        <w:lang w:val="en-US" w:eastAsia="en-US" w:bidi="ar-SA"/>
      </w:rPr>
    </w:lvl>
    <w:lvl w:ilvl="7">
      <w:start w:val="0"/>
      <w:numFmt w:val="bullet"/>
      <w:lvlText w:val="•"/>
      <w:lvlJc w:val="left"/>
      <w:pPr>
        <w:ind w:left="7750" w:hanging="360"/>
      </w:pPr>
      <w:rPr>
        <w:rFonts w:hint="default"/>
        <w:lang w:val="en-US" w:eastAsia="en-US" w:bidi="ar-SA"/>
      </w:rPr>
    </w:lvl>
    <w:lvl w:ilvl="8">
      <w:start w:val="0"/>
      <w:numFmt w:val="bullet"/>
      <w:lvlText w:val="•"/>
      <w:lvlJc w:val="left"/>
      <w:pPr>
        <w:ind w:left="8640" w:hanging="360"/>
      </w:pPr>
      <w:rPr>
        <w:rFonts w:hint="default"/>
        <w:lang w:val="en-US" w:eastAsia="en-US" w:bidi="ar-SA"/>
      </w:rPr>
    </w:lvl>
  </w:abstractNum>
  <w:abstractNum w:abstractNumId="55">
    <w:multiLevelType w:val="hybridMultilevel"/>
    <w:lvl w:ilvl="0">
      <w:start w:val="2"/>
      <w:numFmt w:val="upperLetter"/>
      <w:lvlText w:val="%1"/>
      <w:lvlJc w:val="left"/>
      <w:pPr>
        <w:ind w:left="1524" w:hanging="365"/>
        <w:jc w:val="left"/>
      </w:pPr>
      <w:rPr>
        <w:rFonts w:hint="default"/>
        <w:lang w:val="en-US" w:eastAsia="en-US" w:bidi="ar-SA"/>
      </w:rPr>
    </w:lvl>
    <w:lvl w:ilvl="1">
      <w:start w:val="9"/>
      <w:numFmt w:val="decimal"/>
      <w:lvlText w:val="%1-%2"/>
      <w:lvlJc w:val="left"/>
      <w:pPr>
        <w:ind w:left="1524" w:hanging="365"/>
        <w:jc w:val="left"/>
      </w:pPr>
      <w:rPr>
        <w:rFonts w:hint="default" w:ascii="Arial" w:hAnsi="Arial" w:eastAsia="Arial" w:cs="Arial"/>
        <w:b w:val="0"/>
        <w:bCs w:val="0"/>
        <w:i w:val="0"/>
        <w:iCs w:val="0"/>
        <w:spacing w:val="-1"/>
        <w:w w:val="99"/>
        <w:sz w:val="20"/>
        <w:szCs w:val="20"/>
        <w:lang w:val="en-US" w:eastAsia="en-US" w:bidi="ar-SA"/>
      </w:rPr>
    </w:lvl>
    <w:lvl w:ilvl="2">
      <w:start w:val="0"/>
      <w:numFmt w:val="bullet"/>
      <w:lvlText w:val="•"/>
      <w:lvlJc w:val="left"/>
      <w:pPr>
        <w:ind w:left="3300" w:hanging="365"/>
      </w:pPr>
      <w:rPr>
        <w:rFonts w:hint="default"/>
        <w:lang w:val="en-US" w:eastAsia="en-US" w:bidi="ar-SA"/>
      </w:rPr>
    </w:lvl>
    <w:lvl w:ilvl="3">
      <w:start w:val="0"/>
      <w:numFmt w:val="bullet"/>
      <w:lvlText w:val="•"/>
      <w:lvlJc w:val="left"/>
      <w:pPr>
        <w:ind w:left="4190" w:hanging="365"/>
      </w:pPr>
      <w:rPr>
        <w:rFonts w:hint="default"/>
        <w:lang w:val="en-US" w:eastAsia="en-US" w:bidi="ar-SA"/>
      </w:rPr>
    </w:lvl>
    <w:lvl w:ilvl="4">
      <w:start w:val="0"/>
      <w:numFmt w:val="bullet"/>
      <w:lvlText w:val="•"/>
      <w:lvlJc w:val="left"/>
      <w:pPr>
        <w:ind w:left="5080" w:hanging="365"/>
      </w:pPr>
      <w:rPr>
        <w:rFonts w:hint="default"/>
        <w:lang w:val="en-US" w:eastAsia="en-US" w:bidi="ar-SA"/>
      </w:rPr>
    </w:lvl>
    <w:lvl w:ilvl="5">
      <w:start w:val="0"/>
      <w:numFmt w:val="bullet"/>
      <w:lvlText w:val="•"/>
      <w:lvlJc w:val="left"/>
      <w:pPr>
        <w:ind w:left="5970" w:hanging="365"/>
      </w:pPr>
      <w:rPr>
        <w:rFonts w:hint="default"/>
        <w:lang w:val="en-US" w:eastAsia="en-US" w:bidi="ar-SA"/>
      </w:rPr>
    </w:lvl>
    <w:lvl w:ilvl="6">
      <w:start w:val="0"/>
      <w:numFmt w:val="bullet"/>
      <w:lvlText w:val="•"/>
      <w:lvlJc w:val="left"/>
      <w:pPr>
        <w:ind w:left="6860" w:hanging="365"/>
      </w:pPr>
      <w:rPr>
        <w:rFonts w:hint="default"/>
        <w:lang w:val="en-US" w:eastAsia="en-US" w:bidi="ar-SA"/>
      </w:rPr>
    </w:lvl>
    <w:lvl w:ilvl="7">
      <w:start w:val="0"/>
      <w:numFmt w:val="bullet"/>
      <w:lvlText w:val="•"/>
      <w:lvlJc w:val="left"/>
      <w:pPr>
        <w:ind w:left="7750" w:hanging="365"/>
      </w:pPr>
      <w:rPr>
        <w:rFonts w:hint="default"/>
        <w:lang w:val="en-US" w:eastAsia="en-US" w:bidi="ar-SA"/>
      </w:rPr>
    </w:lvl>
    <w:lvl w:ilvl="8">
      <w:start w:val="0"/>
      <w:numFmt w:val="bullet"/>
      <w:lvlText w:val="•"/>
      <w:lvlJc w:val="left"/>
      <w:pPr>
        <w:ind w:left="8640" w:hanging="365"/>
      </w:pPr>
      <w:rPr>
        <w:rFonts w:hint="default"/>
        <w:lang w:val="en-US" w:eastAsia="en-US" w:bidi="ar-SA"/>
      </w:rPr>
    </w:lvl>
  </w:abstractNum>
  <w:abstractNum w:abstractNumId="54">
    <w:multiLevelType w:val="hybridMultilevel"/>
    <w:lvl w:ilvl="0">
      <w:start w:val="1"/>
      <w:numFmt w:val="upperLetter"/>
      <w:lvlText w:val="%1"/>
      <w:lvlJc w:val="left"/>
      <w:pPr>
        <w:ind w:left="1519" w:hanging="360"/>
        <w:jc w:val="left"/>
      </w:pPr>
      <w:rPr>
        <w:rFonts w:hint="default"/>
        <w:lang w:val="en-US" w:eastAsia="en-US" w:bidi="ar-SA"/>
      </w:rPr>
    </w:lvl>
    <w:lvl w:ilvl="1">
      <w:start w:val="1"/>
      <w:numFmt w:val="decimal"/>
      <w:lvlText w:val="%1.%2"/>
      <w:lvlJc w:val="left"/>
      <w:pPr>
        <w:ind w:left="1519" w:hanging="360"/>
        <w:jc w:val="left"/>
      </w:pPr>
      <w:rPr>
        <w:rFonts w:hint="default" w:ascii="Arial" w:hAnsi="Arial" w:eastAsia="Arial" w:cs="Arial"/>
        <w:b w:val="0"/>
        <w:bCs w:val="0"/>
        <w:i w:val="0"/>
        <w:iCs w:val="0"/>
        <w:spacing w:val="-1"/>
        <w:w w:val="99"/>
        <w:sz w:val="20"/>
        <w:szCs w:val="20"/>
        <w:lang w:val="en-US" w:eastAsia="en-US" w:bidi="ar-SA"/>
      </w:rPr>
    </w:lvl>
    <w:lvl w:ilvl="2">
      <w:start w:val="0"/>
      <w:numFmt w:val="bullet"/>
      <w:lvlText w:val="•"/>
      <w:lvlJc w:val="left"/>
      <w:pPr>
        <w:ind w:left="3300" w:hanging="360"/>
      </w:pPr>
      <w:rPr>
        <w:rFonts w:hint="default"/>
        <w:lang w:val="en-US" w:eastAsia="en-US" w:bidi="ar-SA"/>
      </w:rPr>
    </w:lvl>
    <w:lvl w:ilvl="3">
      <w:start w:val="0"/>
      <w:numFmt w:val="bullet"/>
      <w:lvlText w:val="•"/>
      <w:lvlJc w:val="left"/>
      <w:pPr>
        <w:ind w:left="4190" w:hanging="360"/>
      </w:pPr>
      <w:rPr>
        <w:rFonts w:hint="default"/>
        <w:lang w:val="en-US" w:eastAsia="en-US" w:bidi="ar-SA"/>
      </w:rPr>
    </w:lvl>
    <w:lvl w:ilvl="4">
      <w:start w:val="0"/>
      <w:numFmt w:val="bullet"/>
      <w:lvlText w:val="•"/>
      <w:lvlJc w:val="left"/>
      <w:pPr>
        <w:ind w:left="5080" w:hanging="360"/>
      </w:pPr>
      <w:rPr>
        <w:rFonts w:hint="default"/>
        <w:lang w:val="en-US" w:eastAsia="en-US" w:bidi="ar-SA"/>
      </w:rPr>
    </w:lvl>
    <w:lvl w:ilvl="5">
      <w:start w:val="0"/>
      <w:numFmt w:val="bullet"/>
      <w:lvlText w:val="•"/>
      <w:lvlJc w:val="left"/>
      <w:pPr>
        <w:ind w:left="5970" w:hanging="360"/>
      </w:pPr>
      <w:rPr>
        <w:rFonts w:hint="default"/>
        <w:lang w:val="en-US" w:eastAsia="en-US" w:bidi="ar-SA"/>
      </w:rPr>
    </w:lvl>
    <w:lvl w:ilvl="6">
      <w:start w:val="0"/>
      <w:numFmt w:val="bullet"/>
      <w:lvlText w:val="•"/>
      <w:lvlJc w:val="left"/>
      <w:pPr>
        <w:ind w:left="6860" w:hanging="360"/>
      </w:pPr>
      <w:rPr>
        <w:rFonts w:hint="default"/>
        <w:lang w:val="en-US" w:eastAsia="en-US" w:bidi="ar-SA"/>
      </w:rPr>
    </w:lvl>
    <w:lvl w:ilvl="7">
      <w:start w:val="0"/>
      <w:numFmt w:val="bullet"/>
      <w:lvlText w:val="•"/>
      <w:lvlJc w:val="left"/>
      <w:pPr>
        <w:ind w:left="7750" w:hanging="360"/>
      </w:pPr>
      <w:rPr>
        <w:rFonts w:hint="default"/>
        <w:lang w:val="en-US" w:eastAsia="en-US" w:bidi="ar-SA"/>
      </w:rPr>
    </w:lvl>
    <w:lvl w:ilvl="8">
      <w:start w:val="0"/>
      <w:numFmt w:val="bullet"/>
      <w:lvlText w:val="•"/>
      <w:lvlJc w:val="left"/>
      <w:pPr>
        <w:ind w:left="8640" w:hanging="360"/>
      </w:pPr>
      <w:rPr>
        <w:rFonts w:hint="default"/>
        <w:lang w:val="en-US" w:eastAsia="en-US" w:bidi="ar-SA"/>
      </w:rPr>
    </w:lvl>
  </w:abstractNum>
  <w:abstractNum w:abstractNumId="53">
    <w:multiLevelType w:val="hybridMultilevel"/>
    <w:lvl w:ilvl="0">
      <w:start w:val="4"/>
      <w:numFmt w:val="decimal"/>
      <w:lvlText w:val="%1."/>
      <w:lvlJc w:val="left"/>
      <w:pPr>
        <w:ind w:left="1159" w:hanging="221"/>
        <w:jc w:val="left"/>
      </w:pPr>
      <w:rPr>
        <w:rFonts w:hint="default" w:ascii="Arial" w:hAnsi="Arial" w:eastAsia="Arial" w:cs="Arial"/>
        <w:b w:val="0"/>
        <w:bCs w:val="0"/>
        <w:i w:val="0"/>
        <w:iCs w:val="0"/>
        <w:spacing w:val="-1"/>
        <w:w w:val="99"/>
        <w:sz w:val="20"/>
        <w:szCs w:val="20"/>
        <w:lang w:val="en-US" w:eastAsia="en-US" w:bidi="ar-SA"/>
      </w:rPr>
    </w:lvl>
    <w:lvl w:ilvl="1">
      <w:start w:val="0"/>
      <w:numFmt w:val="bullet"/>
      <w:lvlText w:val="•"/>
      <w:lvlJc w:val="left"/>
      <w:pPr>
        <w:ind w:left="2086" w:hanging="221"/>
      </w:pPr>
      <w:rPr>
        <w:rFonts w:hint="default"/>
        <w:lang w:val="en-US" w:eastAsia="en-US" w:bidi="ar-SA"/>
      </w:rPr>
    </w:lvl>
    <w:lvl w:ilvl="2">
      <w:start w:val="0"/>
      <w:numFmt w:val="bullet"/>
      <w:lvlText w:val="•"/>
      <w:lvlJc w:val="left"/>
      <w:pPr>
        <w:ind w:left="3012" w:hanging="221"/>
      </w:pPr>
      <w:rPr>
        <w:rFonts w:hint="default"/>
        <w:lang w:val="en-US" w:eastAsia="en-US" w:bidi="ar-SA"/>
      </w:rPr>
    </w:lvl>
    <w:lvl w:ilvl="3">
      <w:start w:val="0"/>
      <w:numFmt w:val="bullet"/>
      <w:lvlText w:val="•"/>
      <w:lvlJc w:val="left"/>
      <w:pPr>
        <w:ind w:left="3938" w:hanging="221"/>
      </w:pPr>
      <w:rPr>
        <w:rFonts w:hint="default"/>
        <w:lang w:val="en-US" w:eastAsia="en-US" w:bidi="ar-SA"/>
      </w:rPr>
    </w:lvl>
    <w:lvl w:ilvl="4">
      <w:start w:val="0"/>
      <w:numFmt w:val="bullet"/>
      <w:lvlText w:val="•"/>
      <w:lvlJc w:val="left"/>
      <w:pPr>
        <w:ind w:left="4864" w:hanging="221"/>
      </w:pPr>
      <w:rPr>
        <w:rFonts w:hint="default"/>
        <w:lang w:val="en-US" w:eastAsia="en-US" w:bidi="ar-SA"/>
      </w:rPr>
    </w:lvl>
    <w:lvl w:ilvl="5">
      <w:start w:val="0"/>
      <w:numFmt w:val="bullet"/>
      <w:lvlText w:val="•"/>
      <w:lvlJc w:val="left"/>
      <w:pPr>
        <w:ind w:left="5790" w:hanging="221"/>
      </w:pPr>
      <w:rPr>
        <w:rFonts w:hint="default"/>
        <w:lang w:val="en-US" w:eastAsia="en-US" w:bidi="ar-SA"/>
      </w:rPr>
    </w:lvl>
    <w:lvl w:ilvl="6">
      <w:start w:val="0"/>
      <w:numFmt w:val="bullet"/>
      <w:lvlText w:val="•"/>
      <w:lvlJc w:val="left"/>
      <w:pPr>
        <w:ind w:left="6716" w:hanging="221"/>
      </w:pPr>
      <w:rPr>
        <w:rFonts w:hint="default"/>
        <w:lang w:val="en-US" w:eastAsia="en-US" w:bidi="ar-SA"/>
      </w:rPr>
    </w:lvl>
    <w:lvl w:ilvl="7">
      <w:start w:val="0"/>
      <w:numFmt w:val="bullet"/>
      <w:lvlText w:val="•"/>
      <w:lvlJc w:val="left"/>
      <w:pPr>
        <w:ind w:left="7642" w:hanging="221"/>
      </w:pPr>
      <w:rPr>
        <w:rFonts w:hint="default"/>
        <w:lang w:val="en-US" w:eastAsia="en-US" w:bidi="ar-SA"/>
      </w:rPr>
    </w:lvl>
    <w:lvl w:ilvl="8">
      <w:start w:val="0"/>
      <w:numFmt w:val="bullet"/>
      <w:lvlText w:val="•"/>
      <w:lvlJc w:val="left"/>
      <w:pPr>
        <w:ind w:left="8568" w:hanging="221"/>
      </w:pPr>
      <w:rPr>
        <w:rFonts w:hint="default"/>
        <w:lang w:val="en-US" w:eastAsia="en-US" w:bidi="ar-SA"/>
      </w:rPr>
    </w:lvl>
  </w:abstractNum>
  <w:abstractNum w:abstractNumId="52">
    <w:multiLevelType w:val="hybridMultilevel"/>
    <w:lvl w:ilvl="0">
      <w:start w:val="1"/>
      <w:numFmt w:val="decimal"/>
      <w:lvlText w:val="%1"/>
      <w:lvlJc w:val="left"/>
      <w:pPr>
        <w:ind w:left="2079" w:hanging="920"/>
        <w:jc w:val="left"/>
      </w:pPr>
      <w:rPr>
        <w:rFonts w:hint="default"/>
        <w:lang w:val="en-US" w:eastAsia="en-US" w:bidi="ar-SA"/>
      </w:rPr>
    </w:lvl>
    <w:lvl w:ilvl="1">
      <w:start w:val="1"/>
      <w:numFmt w:val="decimal"/>
      <w:lvlText w:val="%1.%2"/>
      <w:lvlJc w:val="left"/>
      <w:pPr>
        <w:ind w:left="2079" w:hanging="920"/>
        <w:jc w:val="left"/>
      </w:pPr>
      <w:rPr>
        <w:rFonts w:hint="default"/>
        <w:lang w:val="en-US" w:eastAsia="en-US" w:bidi="ar-SA"/>
      </w:rPr>
    </w:lvl>
    <w:lvl w:ilvl="2">
      <w:start w:val="1"/>
      <w:numFmt w:val="decimal"/>
      <w:lvlText w:val="%1.%2.%3."/>
      <w:lvlJc w:val="left"/>
      <w:pPr>
        <w:ind w:left="2079" w:hanging="920"/>
        <w:jc w:val="left"/>
      </w:pPr>
      <w:rPr>
        <w:rFonts w:hint="default" w:ascii="Arial" w:hAnsi="Arial" w:eastAsia="Arial" w:cs="Arial"/>
        <w:b w:val="0"/>
        <w:bCs w:val="0"/>
        <w:i w:val="0"/>
        <w:iCs w:val="0"/>
        <w:spacing w:val="-3"/>
        <w:w w:val="100"/>
        <w:sz w:val="22"/>
        <w:szCs w:val="22"/>
        <w:lang w:val="en-US" w:eastAsia="en-US" w:bidi="ar-SA"/>
      </w:rPr>
    </w:lvl>
    <w:lvl w:ilvl="3">
      <w:start w:val="0"/>
      <w:numFmt w:val="bullet"/>
      <w:lvlText w:val="•"/>
      <w:lvlJc w:val="left"/>
      <w:pPr>
        <w:ind w:left="4582" w:hanging="920"/>
      </w:pPr>
      <w:rPr>
        <w:rFonts w:hint="default"/>
        <w:lang w:val="en-US" w:eastAsia="en-US" w:bidi="ar-SA"/>
      </w:rPr>
    </w:lvl>
    <w:lvl w:ilvl="4">
      <w:start w:val="0"/>
      <w:numFmt w:val="bullet"/>
      <w:lvlText w:val="•"/>
      <w:lvlJc w:val="left"/>
      <w:pPr>
        <w:ind w:left="5416" w:hanging="920"/>
      </w:pPr>
      <w:rPr>
        <w:rFonts w:hint="default"/>
        <w:lang w:val="en-US" w:eastAsia="en-US" w:bidi="ar-SA"/>
      </w:rPr>
    </w:lvl>
    <w:lvl w:ilvl="5">
      <w:start w:val="0"/>
      <w:numFmt w:val="bullet"/>
      <w:lvlText w:val="•"/>
      <w:lvlJc w:val="left"/>
      <w:pPr>
        <w:ind w:left="6250" w:hanging="920"/>
      </w:pPr>
      <w:rPr>
        <w:rFonts w:hint="default"/>
        <w:lang w:val="en-US" w:eastAsia="en-US" w:bidi="ar-SA"/>
      </w:rPr>
    </w:lvl>
    <w:lvl w:ilvl="6">
      <w:start w:val="0"/>
      <w:numFmt w:val="bullet"/>
      <w:lvlText w:val="•"/>
      <w:lvlJc w:val="left"/>
      <w:pPr>
        <w:ind w:left="7084" w:hanging="920"/>
      </w:pPr>
      <w:rPr>
        <w:rFonts w:hint="default"/>
        <w:lang w:val="en-US" w:eastAsia="en-US" w:bidi="ar-SA"/>
      </w:rPr>
    </w:lvl>
    <w:lvl w:ilvl="7">
      <w:start w:val="0"/>
      <w:numFmt w:val="bullet"/>
      <w:lvlText w:val="•"/>
      <w:lvlJc w:val="left"/>
      <w:pPr>
        <w:ind w:left="7918" w:hanging="920"/>
      </w:pPr>
      <w:rPr>
        <w:rFonts w:hint="default"/>
        <w:lang w:val="en-US" w:eastAsia="en-US" w:bidi="ar-SA"/>
      </w:rPr>
    </w:lvl>
    <w:lvl w:ilvl="8">
      <w:start w:val="0"/>
      <w:numFmt w:val="bullet"/>
      <w:lvlText w:val="•"/>
      <w:lvlJc w:val="left"/>
      <w:pPr>
        <w:ind w:left="8752" w:hanging="920"/>
      </w:pPr>
      <w:rPr>
        <w:rFonts w:hint="default"/>
        <w:lang w:val="en-US" w:eastAsia="en-US" w:bidi="ar-SA"/>
      </w:rPr>
    </w:lvl>
  </w:abstractNum>
  <w:abstractNum w:abstractNumId="51">
    <w:multiLevelType w:val="hybridMultilevel"/>
    <w:lvl w:ilvl="0">
      <w:start w:val="1"/>
      <w:numFmt w:val="decimal"/>
      <w:lvlText w:val="%1."/>
      <w:lvlJc w:val="left"/>
      <w:pPr>
        <w:ind w:left="1399" w:hanging="240"/>
        <w:jc w:val="left"/>
      </w:pPr>
      <w:rPr>
        <w:rFonts w:hint="default" w:ascii="Arial" w:hAnsi="Arial" w:eastAsia="Arial" w:cs="Arial"/>
        <w:b w:val="0"/>
        <w:bCs w:val="0"/>
        <w:i w:val="0"/>
        <w:iCs w:val="0"/>
        <w:spacing w:val="-1"/>
        <w:w w:val="99"/>
        <w:sz w:val="20"/>
        <w:szCs w:val="20"/>
        <w:lang w:val="en-US" w:eastAsia="en-US" w:bidi="ar-SA"/>
      </w:rPr>
    </w:lvl>
    <w:lvl w:ilvl="1">
      <w:start w:val="0"/>
      <w:numFmt w:val="bullet"/>
      <w:lvlText w:val="•"/>
      <w:lvlJc w:val="left"/>
      <w:pPr>
        <w:ind w:left="2302" w:hanging="240"/>
      </w:pPr>
      <w:rPr>
        <w:rFonts w:hint="default"/>
        <w:lang w:val="en-US" w:eastAsia="en-US" w:bidi="ar-SA"/>
      </w:rPr>
    </w:lvl>
    <w:lvl w:ilvl="2">
      <w:start w:val="0"/>
      <w:numFmt w:val="bullet"/>
      <w:lvlText w:val="•"/>
      <w:lvlJc w:val="left"/>
      <w:pPr>
        <w:ind w:left="3204" w:hanging="240"/>
      </w:pPr>
      <w:rPr>
        <w:rFonts w:hint="default"/>
        <w:lang w:val="en-US" w:eastAsia="en-US" w:bidi="ar-SA"/>
      </w:rPr>
    </w:lvl>
    <w:lvl w:ilvl="3">
      <w:start w:val="0"/>
      <w:numFmt w:val="bullet"/>
      <w:lvlText w:val="•"/>
      <w:lvlJc w:val="left"/>
      <w:pPr>
        <w:ind w:left="4106" w:hanging="240"/>
      </w:pPr>
      <w:rPr>
        <w:rFonts w:hint="default"/>
        <w:lang w:val="en-US" w:eastAsia="en-US" w:bidi="ar-SA"/>
      </w:rPr>
    </w:lvl>
    <w:lvl w:ilvl="4">
      <w:start w:val="0"/>
      <w:numFmt w:val="bullet"/>
      <w:lvlText w:val="•"/>
      <w:lvlJc w:val="left"/>
      <w:pPr>
        <w:ind w:left="5008" w:hanging="240"/>
      </w:pPr>
      <w:rPr>
        <w:rFonts w:hint="default"/>
        <w:lang w:val="en-US" w:eastAsia="en-US" w:bidi="ar-SA"/>
      </w:rPr>
    </w:lvl>
    <w:lvl w:ilvl="5">
      <w:start w:val="0"/>
      <w:numFmt w:val="bullet"/>
      <w:lvlText w:val="•"/>
      <w:lvlJc w:val="left"/>
      <w:pPr>
        <w:ind w:left="5910" w:hanging="240"/>
      </w:pPr>
      <w:rPr>
        <w:rFonts w:hint="default"/>
        <w:lang w:val="en-US" w:eastAsia="en-US" w:bidi="ar-SA"/>
      </w:rPr>
    </w:lvl>
    <w:lvl w:ilvl="6">
      <w:start w:val="0"/>
      <w:numFmt w:val="bullet"/>
      <w:lvlText w:val="•"/>
      <w:lvlJc w:val="left"/>
      <w:pPr>
        <w:ind w:left="6812" w:hanging="240"/>
      </w:pPr>
      <w:rPr>
        <w:rFonts w:hint="default"/>
        <w:lang w:val="en-US" w:eastAsia="en-US" w:bidi="ar-SA"/>
      </w:rPr>
    </w:lvl>
    <w:lvl w:ilvl="7">
      <w:start w:val="0"/>
      <w:numFmt w:val="bullet"/>
      <w:lvlText w:val="•"/>
      <w:lvlJc w:val="left"/>
      <w:pPr>
        <w:ind w:left="7714" w:hanging="240"/>
      </w:pPr>
      <w:rPr>
        <w:rFonts w:hint="default"/>
        <w:lang w:val="en-US" w:eastAsia="en-US" w:bidi="ar-SA"/>
      </w:rPr>
    </w:lvl>
    <w:lvl w:ilvl="8">
      <w:start w:val="0"/>
      <w:numFmt w:val="bullet"/>
      <w:lvlText w:val="•"/>
      <w:lvlJc w:val="left"/>
      <w:pPr>
        <w:ind w:left="8616" w:hanging="240"/>
      </w:pPr>
      <w:rPr>
        <w:rFonts w:hint="default"/>
        <w:lang w:val="en-US" w:eastAsia="en-US" w:bidi="ar-SA"/>
      </w:rPr>
    </w:lvl>
  </w:abstractNum>
  <w:abstractNum w:abstractNumId="50">
    <w:multiLevelType w:val="hybridMultilevel"/>
    <w:lvl w:ilvl="0">
      <w:start w:val="0"/>
      <w:numFmt w:val="bullet"/>
      <w:lvlText w:val="•"/>
      <w:lvlJc w:val="left"/>
      <w:pPr>
        <w:ind w:left="1519" w:hanging="360"/>
      </w:pPr>
      <w:rPr>
        <w:rFonts w:hint="default" w:ascii="Arial" w:hAnsi="Arial" w:eastAsia="Arial" w:cs="Arial"/>
        <w:b w:val="0"/>
        <w:bCs w:val="0"/>
        <w:i w:val="0"/>
        <w:iCs w:val="0"/>
        <w:w w:val="130"/>
        <w:sz w:val="20"/>
        <w:szCs w:val="20"/>
        <w:lang w:val="en-US" w:eastAsia="en-US" w:bidi="ar-SA"/>
      </w:rPr>
    </w:lvl>
    <w:lvl w:ilvl="1">
      <w:start w:val="0"/>
      <w:numFmt w:val="bullet"/>
      <w:lvlText w:val="•"/>
      <w:lvlJc w:val="left"/>
      <w:pPr>
        <w:ind w:left="2410" w:hanging="360"/>
      </w:pPr>
      <w:rPr>
        <w:rFonts w:hint="default"/>
        <w:lang w:val="en-US" w:eastAsia="en-US" w:bidi="ar-SA"/>
      </w:rPr>
    </w:lvl>
    <w:lvl w:ilvl="2">
      <w:start w:val="0"/>
      <w:numFmt w:val="bullet"/>
      <w:lvlText w:val="•"/>
      <w:lvlJc w:val="left"/>
      <w:pPr>
        <w:ind w:left="3300" w:hanging="360"/>
      </w:pPr>
      <w:rPr>
        <w:rFonts w:hint="default"/>
        <w:lang w:val="en-US" w:eastAsia="en-US" w:bidi="ar-SA"/>
      </w:rPr>
    </w:lvl>
    <w:lvl w:ilvl="3">
      <w:start w:val="0"/>
      <w:numFmt w:val="bullet"/>
      <w:lvlText w:val="•"/>
      <w:lvlJc w:val="left"/>
      <w:pPr>
        <w:ind w:left="4190" w:hanging="360"/>
      </w:pPr>
      <w:rPr>
        <w:rFonts w:hint="default"/>
        <w:lang w:val="en-US" w:eastAsia="en-US" w:bidi="ar-SA"/>
      </w:rPr>
    </w:lvl>
    <w:lvl w:ilvl="4">
      <w:start w:val="0"/>
      <w:numFmt w:val="bullet"/>
      <w:lvlText w:val="•"/>
      <w:lvlJc w:val="left"/>
      <w:pPr>
        <w:ind w:left="5080" w:hanging="360"/>
      </w:pPr>
      <w:rPr>
        <w:rFonts w:hint="default"/>
        <w:lang w:val="en-US" w:eastAsia="en-US" w:bidi="ar-SA"/>
      </w:rPr>
    </w:lvl>
    <w:lvl w:ilvl="5">
      <w:start w:val="0"/>
      <w:numFmt w:val="bullet"/>
      <w:lvlText w:val="•"/>
      <w:lvlJc w:val="left"/>
      <w:pPr>
        <w:ind w:left="5970" w:hanging="360"/>
      </w:pPr>
      <w:rPr>
        <w:rFonts w:hint="default"/>
        <w:lang w:val="en-US" w:eastAsia="en-US" w:bidi="ar-SA"/>
      </w:rPr>
    </w:lvl>
    <w:lvl w:ilvl="6">
      <w:start w:val="0"/>
      <w:numFmt w:val="bullet"/>
      <w:lvlText w:val="•"/>
      <w:lvlJc w:val="left"/>
      <w:pPr>
        <w:ind w:left="6860" w:hanging="360"/>
      </w:pPr>
      <w:rPr>
        <w:rFonts w:hint="default"/>
        <w:lang w:val="en-US" w:eastAsia="en-US" w:bidi="ar-SA"/>
      </w:rPr>
    </w:lvl>
    <w:lvl w:ilvl="7">
      <w:start w:val="0"/>
      <w:numFmt w:val="bullet"/>
      <w:lvlText w:val="•"/>
      <w:lvlJc w:val="left"/>
      <w:pPr>
        <w:ind w:left="7750" w:hanging="360"/>
      </w:pPr>
      <w:rPr>
        <w:rFonts w:hint="default"/>
        <w:lang w:val="en-US" w:eastAsia="en-US" w:bidi="ar-SA"/>
      </w:rPr>
    </w:lvl>
    <w:lvl w:ilvl="8">
      <w:start w:val="0"/>
      <w:numFmt w:val="bullet"/>
      <w:lvlText w:val="•"/>
      <w:lvlJc w:val="left"/>
      <w:pPr>
        <w:ind w:left="8640" w:hanging="360"/>
      </w:pPr>
      <w:rPr>
        <w:rFonts w:hint="default"/>
        <w:lang w:val="en-US" w:eastAsia="en-US" w:bidi="ar-SA"/>
      </w:rPr>
    </w:lvl>
  </w:abstractNum>
  <w:abstractNum w:abstractNumId="49">
    <w:multiLevelType w:val="hybridMultilevel"/>
    <w:lvl w:ilvl="0">
      <w:start w:val="1"/>
      <w:numFmt w:val="decimal"/>
      <w:lvlText w:val="%1."/>
      <w:lvlJc w:val="left"/>
      <w:pPr>
        <w:ind w:left="1519" w:hanging="360"/>
        <w:jc w:val="left"/>
      </w:pPr>
      <w:rPr>
        <w:rFonts w:hint="default" w:ascii="Arial" w:hAnsi="Arial" w:eastAsia="Arial" w:cs="Arial"/>
        <w:b w:val="0"/>
        <w:bCs w:val="0"/>
        <w:i w:val="0"/>
        <w:iCs w:val="0"/>
        <w:spacing w:val="-1"/>
        <w:w w:val="99"/>
        <w:sz w:val="20"/>
        <w:szCs w:val="20"/>
        <w:lang w:val="en-US" w:eastAsia="en-US" w:bidi="ar-SA"/>
      </w:rPr>
    </w:lvl>
    <w:lvl w:ilvl="1">
      <w:start w:val="0"/>
      <w:numFmt w:val="bullet"/>
      <w:lvlText w:val="•"/>
      <w:lvlJc w:val="left"/>
      <w:pPr>
        <w:ind w:left="2410" w:hanging="360"/>
      </w:pPr>
      <w:rPr>
        <w:rFonts w:hint="default"/>
        <w:lang w:val="en-US" w:eastAsia="en-US" w:bidi="ar-SA"/>
      </w:rPr>
    </w:lvl>
    <w:lvl w:ilvl="2">
      <w:start w:val="0"/>
      <w:numFmt w:val="bullet"/>
      <w:lvlText w:val="•"/>
      <w:lvlJc w:val="left"/>
      <w:pPr>
        <w:ind w:left="3300" w:hanging="360"/>
      </w:pPr>
      <w:rPr>
        <w:rFonts w:hint="default"/>
        <w:lang w:val="en-US" w:eastAsia="en-US" w:bidi="ar-SA"/>
      </w:rPr>
    </w:lvl>
    <w:lvl w:ilvl="3">
      <w:start w:val="0"/>
      <w:numFmt w:val="bullet"/>
      <w:lvlText w:val="•"/>
      <w:lvlJc w:val="left"/>
      <w:pPr>
        <w:ind w:left="4190" w:hanging="360"/>
      </w:pPr>
      <w:rPr>
        <w:rFonts w:hint="default"/>
        <w:lang w:val="en-US" w:eastAsia="en-US" w:bidi="ar-SA"/>
      </w:rPr>
    </w:lvl>
    <w:lvl w:ilvl="4">
      <w:start w:val="0"/>
      <w:numFmt w:val="bullet"/>
      <w:lvlText w:val="•"/>
      <w:lvlJc w:val="left"/>
      <w:pPr>
        <w:ind w:left="5080" w:hanging="360"/>
      </w:pPr>
      <w:rPr>
        <w:rFonts w:hint="default"/>
        <w:lang w:val="en-US" w:eastAsia="en-US" w:bidi="ar-SA"/>
      </w:rPr>
    </w:lvl>
    <w:lvl w:ilvl="5">
      <w:start w:val="0"/>
      <w:numFmt w:val="bullet"/>
      <w:lvlText w:val="•"/>
      <w:lvlJc w:val="left"/>
      <w:pPr>
        <w:ind w:left="5970" w:hanging="360"/>
      </w:pPr>
      <w:rPr>
        <w:rFonts w:hint="default"/>
        <w:lang w:val="en-US" w:eastAsia="en-US" w:bidi="ar-SA"/>
      </w:rPr>
    </w:lvl>
    <w:lvl w:ilvl="6">
      <w:start w:val="0"/>
      <w:numFmt w:val="bullet"/>
      <w:lvlText w:val="•"/>
      <w:lvlJc w:val="left"/>
      <w:pPr>
        <w:ind w:left="6860" w:hanging="360"/>
      </w:pPr>
      <w:rPr>
        <w:rFonts w:hint="default"/>
        <w:lang w:val="en-US" w:eastAsia="en-US" w:bidi="ar-SA"/>
      </w:rPr>
    </w:lvl>
    <w:lvl w:ilvl="7">
      <w:start w:val="0"/>
      <w:numFmt w:val="bullet"/>
      <w:lvlText w:val="•"/>
      <w:lvlJc w:val="left"/>
      <w:pPr>
        <w:ind w:left="7750" w:hanging="360"/>
      </w:pPr>
      <w:rPr>
        <w:rFonts w:hint="default"/>
        <w:lang w:val="en-US" w:eastAsia="en-US" w:bidi="ar-SA"/>
      </w:rPr>
    </w:lvl>
    <w:lvl w:ilvl="8">
      <w:start w:val="0"/>
      <w:numFmt w:val="bullet"/>
      <w:lvlText w:val="•"/>
      <w:lvlJc w:val="left"/>
      <w:pPr>
        <w:ind w:left="8640" w:hanging="360"/>
      </w:pPr>
      <w:rPr>
        <w:rFonts w:hint="default"/>
        <w:lang w:val="en-US" w:eastAsia="en-US" w:bidi="ar-SA"/>
      </w:rPr>
    </w:lvl>
  </w:abstractNum>
  <w:abstractNum w:abstractNumId="48">
    <w:multiLevelType w:val="hybridMultilevel"/>
    <w:lvl w:ilvl="0">
      <w:start w:val="2"/>
      <w:numFmt w:val="upperLetter"/>
      <w:lvlText w:val="%1"/>
      <w:lvlJc w:val="left"/>
      <w:pPr>
        <w:ind w:left="1879" w:hanging="720"/>
        <w:jc w:val="left"/>
      </w:pPr>
      <w:rPr>
        <w:rFonts w:hint="default"/>
        <w:lang w:val="en-US" w:eastAsia="en-US" w:bidi="ar-SA"/>
      </w:rPr>
    </w:lvl>
    <w:lvl w:ilvl="1">
      <w:start w:val="7"/>
      <w:numFmt w:val="decimal"/>
      <w:lvlText w:val="%1-%2"/>
      <w:lvlJc w:val="left"/>
      <w:pPr>
        <w:ind w:left="1879" w:hanging="720"/>
        <w:jc w:val="left"/>
      </w:pPr>
      <w:rPr>
        <w:rFonts w:hint="default" w:ascii="Arial" w:hAnsi="Arial" w:eastAsia="Arial" w:cs="Arial"/>
        <w:b w:val="0"/>
        <w:bCs w:val="0"/>
        <w:i w:val="0"/>
        <w:iCs w:val="0"/>
        <w:spacing w:val="-1"/>
        <w:w w:val="99"/>
        <w:sz w:val="20"/>
        <w:szCs w:val="20"/>
        <w:lang w:val="en-US" w:eastAsia="en-US" w:bidi="ar-SA"/>
      </w:rPr>
    </w:lvl>
    <w:lvl w:ilvl="2">
      <w:start w:val="0"/>
      <w:numFmt w:val="bullet"/>
      <w:lvlText w:val="•"/>
      <w:lvlJc w:val="left"/>
      <w:pPr>
        <w:ind w:left="3588" w:hanging="720"/>
      </w:pPr>
      <w:rPr>
        <w:rFonts w:hint="default"/>
        <w:lang w:val="en-US" w:eastAsia="en-US" w:bidi="ar-SA"/>
      </w:rPr>
    </w:lvl>
    <w:lvl w:ilvl="3">
      <w:start w:val="0"/>
      <w:numFmt w:val="bullet"/>
      <w:lvlText w:val="•"/>
      <w:lvlJc w:val="left"/>
      <w:pPr>
        <w:ind w:left="4442" w:hanging="720"/>
      </w:pPr>
      <w:rPr>
        <w:rFonts w:hint="default"/>
        <w:lang w:val="en-US" w:eastAsia="en-US" w:bidi="ar-SA"/>
      </w:rPr>
    </w:lvl>
    <w:lvl w:ilvl="4">
      <w:start w:val="0"/>
      <w:numFmt w:val="bullet"/>
      <w:lvlText w:val="•"/>
      <w:lvlJc w:val="left"/>
      <w:pPr>
        <w:ind w:left="5296" w:hanging="720"/>
      </w:pPr>
      <w:rPr>
        <w:rFonts w:hint="default"/>
        <w:lang w:val="en-US" w:eastAsia="en-US" w:bidi="ar-SA"/>
      </w:rPr>
    </w:lvl>
    <w:lvl w:ilvl="5">
      <w:start w:val="0"/>
      <w:numFmt w:val="bullet"/>
      <w:lvlText w:val="•"/>
      <w:lvlJc w:val="left"/>
      <w:pPr>
        <w:ind w:left="6150" w:hanging="720"/>
      </w:pPr>
      <w:rPr>
        <w:rFonts w:hint="default"/>
        <w:lang w:val="en-US" w:eastAsia="en-US" w:bidi="ar-SA"/>
      </w:rPr>
    </w:lvl>
    <w:lvl w:ilvl="6">
      <w:start w:val="0"/>
      <w:numFmt w:val="bullet"/>
      <w:lvlText w:val="•"/>
      <w:lvlJc w:val="left"/>
      <w:pPr>
        <w:ind w:left="7004" w:hanging="720"/>
      </w:pPr>
      <w:rPr>
        <w:rFonts w:hint="default"/>
        <w:lang w:val="en-US" w:eastAsia="en-US" w:bidi="ar-SA"/>
      </w:rPr>
    </w:lvl>
    <w:lvl w:ilvl="7">
      <w:start w:val="0"/>
      <w:numFmt w:val="bullet"/>
      <w:lvlText w:val="•"/>
      <w:lvlJc w:val="left"/>
      <w:pPr>
        <w:ind w:left="7858" w:hanging="720"/>
      </w:pPr>
      <w:rPr>
        <w:rFonts w:hint="default"/>
        <w:lang w:val="en-US" w:eastAsia="en-US" w:bidi="ar-SA"/>
      </w:rPr>
    </w:lvl>
    <w:lvl w:ilvl="8">
      <w:start w:val="0"/>
      <w:numFmt w:val="bullet"/>
      <w:lvlText w:val="•"/>
      <w:lvlJc w:val="left"/>
      <w:pPr>
        <w:ind w:left="8712" w:hanging="720"/>
      </w:pPr>
      <w:rPr>
        <w:rFonts w:hint="default"/>
        <w:lang w:val="en-US" w:eastAsia="en-US" w:bidi="ar-SA"/>
      </w:rPr>
    </w:lvl>
  </w:abstractNum>
  <w:abstractNum w:abstractNumId="47">
    <w:multiLevelType w:val="hybridMultilevel"/>
    <w:lvl w:ilvl="0">
      <w:start w:val="0"/>
      <w:numFmt w:val="bullet"/>
      <w:lvlText w:val="•"/>
      <w:lvlJc w:val="left"/>
      <w:pPr>
        <w:ind w:left="1519" w:hanging="360"/>
      </w:pPr>
      <w:rPr>
        <w:rFonts w:hint="default" w:ascii="Arial" w:hAnsi="Arial" w:eastAsia="Arial" w:cs="Arial"/>
        <w:b w:val="0"/>
        <w:bCs w:val="0"/>
        <w:i w:val="0"/>
        <w:iCs w:val="0"/>
        <w:w w:val="130"/>
        <w:sz w:val="20"/>
        <w:szCs w:val="20"/>
        <w:lang w:val="en-US" w:eastAsia="en-US" w:bidi="ar-SA"/>
      </w:rPr>
    </w:lvl>
    <w:lvl w:ilvl="1">
      <w:start w:val="0"/>
      <w:numFmt w:val="bullet"/>
      <w:lvlText w:val="•"/>
      <w:lvlJc w:val="left"/>
      <w:pPr>
        <w:ind w:left="2410" w:hanging="360"/>
      </w:pPr>
      <w:rPr>
        <w:rFonts w:hint="default"/>
        <w:lang w:val="en-US" w:eastAsia="en-US" w:bidi="ar-SA"/>
      </w:rPr>
    </w:lvl>
    <w:lvl w:ilvl="2">
      <w:start w:val="0"/>
      <w:numFmt w:val="bullet"/>
      <w:lvlText w:val="•"/>
      <w:lvlJc w:val="left"/>
      <w:pPr>
        <w:ind w:left="3300" w:hanging="360"/>
      </w:pPr>
      <w:rPr>
        <w:rFonts w:hint="default"/>
        <w:lang w:val="en-US" w:eastAsia="en-US" w:bidi="ar-SA"/>
      </w:rPr>
    </w:lvl>
    <w:lvl w:ilvl="3">
      <w:start w:val="0"/>
      <w:numFmt w:val="bullet"/>
      <w:lvlText w:val="•"/>
      <w:lvlJc w:val="left"/>
      <w:pPr>
        <w:ind w:left="4190" w:hanging="360"/>
      </w:pPr>
      <w:rPr>
        <w:rFonts w:hint="default"/>
        <w:lang w:val="en-US" w:eastAsia="en-US" w:bidi="ar-SA"/>
      </w:rPr>
    </w:lvl>
    <w:lvl w:ilvl="4">
      <w:start w:val="0"/>
      <w:numFmt w:val="bullet"/>
      <w:lvlText w:val="•"/>
      <w:lvlJc w:val="left"/>
      <w:pPr>
        <w:ind w:left="5080" w:hanging="360"/>
      </w:pPr>
      <w:rPr>
        <w:rFonts w:hint="default"/>
        <w:lang w:val="en-US" w:eastAsia="en-US" w:bidi="ar-SA"/>
      </w:rPr>
    </w:lvl>
    <w:lvl w:ilvl="5">
      <w:start w:val="0"/>
      <w:numFmt w:val="bullet"/>
      <w:lvlText w:val="•"/>
      <w:lvlJc w:val="left"/>
      <w:pPr>
        <w:ind w:left="5970" w:hanging="360"/>
      </w:pPr>
      <w:rPr>
        <w:rFonts w:hint="default"/>
        <w:lang w:val="en-US" w:eastAsia="en-US" w:bidi="ar-SA"/>
      </w:rPr>
    </w:lvl>
    <w:lvl w:ilvl="6">
      <w:start w:val="0"/>
      <w:numFmt w:val="bullet"/>
      <w:lvlText w:val="•"/>
      <w:lvlJc w:val="left"/>
      <w:pPr>
        <w:ind w:left="6860" w:hanging="360"/>
      </w:pPr>
      <w:rPr>
        <w:rFonts w:hint="default"/>
        <w:lang w:val="en-US" w:eastAsia="en-US" w:bidi="ar-SA"/>
      </w:rPr>
    </w:lvl>
    <w:lvl w:ilvl="7">
      <w:start w:val="0"/>
      <w:numFmt w:val="bullet"/>
      <w:lvlText w:val="•"/>
      <w:lvlJc w:val="left"/>
      <w:pPr>
        <w:ind w:left="7750" w:hanging="360"/>
      </w:pPr>
      <w:rPr>
        <w:rFonts w:hint="default"/>
        <w:lang w:val="en-US" w:eastAsia="en-US" w:bidi="ar-SA"/>
      </w:rPr>
    </w:lvl>
    <w:lvl w:ilvl="8">
      <w:start w:val="0"/>
      <w:numFmt w:val="bullet"/>
      <w:lvlText w:val="•"/>
      <w:lvlJc w:val="left"/>
      <w:pPr>
        <w:ind w:left="8640" w:hanging="360"/>
      </w:pPr>
      <w:rPr>
        <w:rFonts w:hint="default"/>
        <w:lang w:val="en-US" w:eastAsia="en-US" w:bidi="ar-SA"/>
      </w:rPr>
    </w:lvl>
  </w:abstractNum>
  <w:abstractNum w:abstractNumId="46">
    <w:multiLevelType w:val="hybridMultilevel"/>
    <w:lvl w:ilvl="0">
      <w:start w:val="1"/>
      <w:numFmt w:val="upperLetter"/>
      <w:lvlText w:val="%1"/>
      <w:lvlJc w:val="left"/>
      <w:pPr>
        <w:ind w:left="1159" w:hanging="720"/>
        <w:jc w:val="left"/>
      </w:pPr>
      <w:rPr>
        <w:rFonts w:hint="default"/>
        <w:lang w:val="en-US" w:eastAsia="en-US" w:bidi="ar-SA"/>
      </w:rPr>
    </w:lvl>
    <w:lvl w:ilvl="1">
      <w:start w:val="3"/>
      <w:numFmt w:val="decimal"/>
      <w:lvlText w:val="%1-%2"/>
      <w:lvlJc w:val="left"/>
      <w:pPr>
        <w:ind w:left="1159" w:hanging="720"/>
        <w:jc w:val="left"/>
      </w:pPr>
      <w:rPr>
        <w:rFonts w:hint="default" w:ascii="Arial" w:hAnsi="Arial" w:eastAsia="Arial" w:cs="Arial"/>
        <w:b w:val="0"/>
        <w:bCs w:val="0"/>
        <w:i w:val="0"/>
        <w:iCs w:val="0"/>
        <w:spacing w:val="-1"/>
        <w:w w:val="99"/>
        <w:sz w:val="20"/>
        <w:szCs w:val="20"/>
        <w:lang w:val="en-US" w:eastAsia="en-US" w:bidi="ar-SA"/>
      </w:rPr>
    </w:lvl>
    <w:lvl w:ilvl="2">
      <w:start w:val="0"/>
      <w:numFmt w:val="bullet"/>
      <w:lvlText w:val="•"/>
      <w:lvlJc w:val="left"/>
      <w:pPr>
        <w:ind w:left="3012" w:hanging="720"/>
      </w:pPr>
      <w:rPr>
        <w:rFonts w:hint="default"/>
        <w:lang w:val="en-US" w:eastAsia="en-US" w:bidi="ar-SA"/>
      </w:rPr>
    </w:lvl>
    <w:lvl w:ilvl="3">
      <w:start w:val="0"/>
      <w:numFmt w:val="bullet"/>
      <w:lvlText w:val="•"/>
      <w:lvlJc w:val="left"/>
      <w:pPr>
        <w:ind w:left="3938" w:hanging="720"/>
      </w:pPr>
      <w:rPr>
        <w:rFonts w:hint="default"/>
        <w:lang w:val="en-US" w:eastAsia="en-US" w:bidi="ar-SA"/>
      </w:rPr>
    </w:lvl>
    <w:lvl w:ilvl="4">
      <w:start w:val="0"/>
      <w:numFmt w:val="bullet"/>
      <w:lvlText w:val="•"/>
      <w:lvlJc w:val="left"/>
      <w:pPr>
        <w:ind w:left="4864" w:hanging="720"/>
      </w:pPr>
      <w:rPr>
        <w:rFonts w:hint="default"/>
        <w:lang w:val="en-US" w:eastAsia="en-US" w:bidi="ar-SA"/>
      </w:rPr>
    </w:lvl>
    <w:lvl w:ilvl="5">
      <w:start w:val="0"/>
      <w:numFmt w:val="bullet"/>
      <w:lvlText w:val="•"/>
      <w:lvlJc w:val="left"/>
      <w:pPr>
        <w:ind w:left="5790" w:hanging="720"/>
      </w:pPr>
      <w:rPr>
        <w:rFonts w:hint="default"/>
        <w:lang w:val="en-US" w:eastAsia="en-US" w:bidi="ar-SA"/>
      </w:rPr>
    </w:lvl>
    <w:lvl w:ilvl="6">
      <w:start w:val="0"/>
      <w:numFmt w:val="bullet"/>
      <w:lvlText w:val="•"/>
      <w:lvlJc w:val="left"/>
      <w:pPr>
        <w:ind w:left="6716" w:hanging="720"/>
      </w:pPr>
      <w:rPr>
        <w:rFonts w:hint="default"/>
        <w:lang w:val="en-US" w:eastAsia="en-US" w:bidi="ar-SA"/>
      </w:rPr>
    </w:lvl>
    <w:lvl w:ilvl="7">
      <w:start w:val="0"/>
      <w:numFmt w:val="bullet"/>
      <w:lvlText w:val="•"/>
      <w:lvlJc w:val="left"/>
      <w:pPr>
        <w:ind w:left="7642" w:hanging="720"/>
      </w:pPr>
      <w:rPr>
        <w:rFonts w:hint="default"/>
        <w:lang w:val="en-US" w:eastAsia="en-US" w:bidi="ar-SA"/>
      </w:rPr>
    </w:lvl>
    <w:lvl w:ilvl="8">
      <w:start w:val="0"/>
      <w:numFmt w:val="bullet"/>
      <w:lvlText w:val="•"/>
      <w:lvlJc w:val="left"/>
      <w:pPr>
        <w:ind w:left="8568" w:hanging="720"/>
      </w:pPr>
      <w:rPr>
        <w:rFonts w:hint="default"/>
        <w:lang w:val="en-US" w:eastAsia="en-US" w:bidi="ar-SA"/>
      </w:rPr>
    </w:lvl>
  </w:abstractNum>
  <w:abstractNum w:abstractNumId="45">
    <w:multiLevelType w:val="hybridMultilevel"/>
    <w:lvl w:ilvl="0">
      <w:start w:val="1"/>
      <w:numFmt w:val="upperLetter"/>
      <w:lvlText w:val="%1"/>
      <w:lvlJc w:val="left"/>
      <w:pPr>
        <w:ind w:left="1159" w:hanging="720"/>
        <w:jc w:val="left"/>
      </w:pPr>
      <w:rPr>
        <w:rFonts w:hint="default"/>
        <w:lang w:val="en-US" w:eastAsia="en-US" w:bidi="ar-SA"/>
      </w:rPr>
    </w:lvl>
    <w:lvl w:ilvl="1">
      <w:start w:val="3"/>
      <w:numFmt w:val="decimal"/>
      <w:lvlText w:val="%1-%2"/>
      <w:lvlJc w:val="left"/>
      <w:pPr>
        <w:ind w:left="1159" w:hanging="720"/>
        <w:jc w:val="left"/>
      </w:pPr>
      <w:rPr>
        <w:rFonts w:hint="default" w:ascii="Arial" w:hAnsi="Arial" w:eastAsia="Arial" w:cs="Arial"/>
        <w:b w:val="0"/>
        <w:bCs w:val="0"/>
        <w:i w:val="0"/>
        <w:iCs w:val="0"/>
        <w:spacing w:val="-1"/>
        <w:w w:val="99"/>
        <w:sz w:val="20"/>
        <w:szCs w:val="20"/>
        <w:lang w:val="en-US" w:eastAsia="en-US" w:bidi="ar-SA"/>
      </w:rPr>
    </w:lvl>
    <w:lvl w:ilvl="2">
      <w:start w:val="0"/>
      <w:numFmt w:val="bullet"/>
      <w:lvlText w:val="•"/>
      <w:lvlJc w:val="left"/>
      <w:pPr>
        <w:ind w:left="3012" w:hanging="720"/>
      </w:pPr>
      <w:rPr>
        <w:rFonts w:hint="default"/>
        <w:lang w:val="en-US" w:eastAsia="en-US" w:bidi="ar-SA"/>
      </w:rPr>
    </w:lvl>
    <w:lvl w:ilvl="3">
      <w:start w:val="0"/>
      <w:numFmt w:val="bullet"/>
      <w:lvlText w:val="•"/>
      <w:lvlJc w:val="left"/>
      <w:pPr>
        <w:ind w:left="3938" w:hanging="720"/>
      </w:pPr>
      <w:rPr>
        <w:rFonts w:hint="default"/>
        <w:lang w:val="en-US" w:eastAsia="en-US" w:bidi="ar-SA"/>
      </w:rPr>
    </w:lvl>
    <w:lvl w:ilvl="4">
      <w:start w:val="0"/>
      <w:numFmt w:val="bullet"/>
      <w:lvlText w:val="•"/>
      <w:lvlJc w:val="left"/>
      <w:pPr>
        <w:ind w:left="4864" w:hanging="720"/>
      </w:pPr>
      <w:rPr>
        <w:rFonts w:hint="default"/>
        <w:lang w:val="en-US" w:eastAsia="en-US" w:bidi="ar-SA"/>
      </w:rPr>
    </w:lvl>
    <w:lvl w:ilvl="5">
      <w:start w:val="0"/>
      <w:numFmt w:val="bullet"/>
      <w:lvlText w:val="•"/>
      <w:lvlJc w:val="left"/>
      <w:pPr>
        <w:ind w:left="5790" w:hanging="720"/>
      </w:pPr>
      <w:rPr>
        <w:rFonts w:hint="default"/>
        <w:lang w:val="en-US" w:eastAsia="en-US" w:bidi="ar-SA"/>
      </w:rPr>
    </w:lvl>
    <w:lvl w:ilvl="6">
      <w:start w:val="0"/>
      <w:numFmt w:val="bullet"/>
      <w:lvlText w:val="•"/>
      <w:lvlJc w:val="left"/>
      <w:pPr>
        <w:ind w:left="6716" w:hanging="720"/>
      </w:pPr>
      <w:rPr>
        <w:rFonts w:hint="default"/>
        <w:lang w:val="en-US" w:eastAsia="en-US" w:bidi="ar-SA"/>
      </w:rPr>
    </w:lvl>
    <w:lvl w:ilvl="7">
      <w:start w:val="0"/>
      <w:numFmt w:val="bullet"/>
      <w:lvlText w:val="•"/>
      <w:lvlJc w:val="left"/>
      <w:pPr>
        <w:ind w:left="7642" w:hanging="720"/>
      </w:pPr>
      <w:rPr>
        <w:rFonts w:hint="default"/>
        <w:lang w:val="en-US" w:eastAsia="en-US" w:bidi="ar-SA"/>
      </w:rPr>
    </w:lvl>
    <w:lvl w:ilvl="8">
      <w:start w:val="0"/>
      <w:numFmt w:val="bullet"/>
      <w:lvlText w:val="•"/>
      <w:lvlJc w:val="left"/>
      <w:pPr>
        <w:ind w:left="8568" w:hanging="720"/>
      </w:pPr>
      <w:rPr>
        <w:rFonts w:hint="default"/>
        <w:lang w:val="en-US" w:eastAsia="en-US" w:bidi="ar-SA"/>
      </w:rPr>
    </w:lvl>
  </w:abstractNum>
  <w:abstractNum w:abstractNumId="44">
    <w:multiLevelType w:val="hybridMultilevel"/>
    <w:lvl w:ilvl="0">
      <w:start w:val="1"/>
      <w:numFmt w:val="upperLetter"/>
      <w:lvlText w:val="%1"/>
      <w:lvlJc w:val="left"/>
      <w:pPr>
        <w:ind w:left="1159" w:hanging="360"/>
        <w:jc w:val="left"/>
      </w:pPr>
      <w:rPr>
        <w:rFonts w:hint="default"/>
        <w:lang w:val="en-US" w:eastAsia="en-US" w:bidi="ar-SA"/>
      </w:rPr>
    </w:lvl>
    <w:lvl w:ilvl="1">
      <w:start w:val="3"/>
      <w:numFmt w:val="decimal"/>
      <w:lvlText w:val="%1-%2"/>
      <w:lvlJc w:val="left"/>
      <w:pPr>
        <w:ind w:left="1159" w:hanging="360"/>
        <w:jc w:val="left"/>
      </w:pPr>
      <w:rPr>
        <w:rFonts w:hint="default" w:ascii="Arial" w:hAnsi="Arial" w:eastAsia="Arial" w:cs="Arial"/>
        <w:b w:val="0"/>
        <w:bCs w:val="0"/>
        <w:i w:val="0"/>
        <w:iCs w:val="0"/>
        <w:spacing w:val="-1"/>
        <w:w w:val="99"/>
        <w:sz w:val="20"/>
        <w:szCs w:val="20"/>
        <w:lang w:val="en-US" w:eastAsia="en-US" w:bidi="ar-SA"/>
      </w:rPr>
    </w:lvl>
    <w:lvl w:ilvl="2">
      <w:start w:val="0"/>
      <w:numFmt w:val="bullet"/>
      <w:lvlText w:val="•"/>
      <w:lvlJc w:val="left"/>
      <w:pPr>
        <w:ind w:left="3012" w:hanging="360"/>
      </w:pPr>
      <w:rPr>
        <w:rFonts w:hint="default"/>
        <w:lang w:val="en-US" w:eastAsia="en-US" w:bidi="ar-SA"/>
      </w:rPr>
    </w:lvl>
    <w:lvl w:ilvl="3">
      <w:start w:val="0"/>
      <w:numFmt w:val="bullet"/>
      <w:lvlText w:val="•"/>
      <w:lvlJc w:val="left"/>
      <w:pPr>
        <w:ind w:left="3938" w:hanging="360"/>
      </w:pPr>
      <w:rPr>
        <w:rFonts w:hint="default"/>
        <w:lang w:val="en-US" w:eastAsia="en-US" w:bidi="ar-SA"/>
      </w:rPr>
    </w:lvl>
    <w:lvl w:ilvl="4">
      <w:start w:val="0"/>
      <w:numFmt w:val="bullet"/>
      <w:lvlText w:val="•"/>
      <w:lvlJc w:val="left"/>
      <w:pPr>
        <w:ind w:left="4864" w:hanging="360"/>
      </w:pPr>
      <w:rPr>
        <w:rFonts w:hint="default"/>
        <w:lang w:val="en-US" w:eastAsia="en-US" w:bidi="ar-SA"/>
      </w:rPr>
    </w:lvl>
    <w:lvl w:ilvl="5">
      <w:start w:val="0"/>
      <w:numFmt w:val="bullet"/>
      <w:lvlText w:val="•"/>
      <w:lvlJc w:val="left"/>
      <w:pPr>
        <w:ind w:left="5790" w:hanging="360"/>
      </w:pPr>
      <w:rPr>
        <w:rFonts w:hint="default"/>
        <w:lang w:val="en-US" w:eastAsia="en-US" w:bidi="ar-SA"/>
      </w:rPr>
    </w:lvl>
    <w:lvl w:ilvl="6">
      <w:start w:val="0"/>
      <w:numFmt w:val="bullet"/>
      <w:lvlText w:val="•"/>
      <w:lvlJc w:val="left"/>
      <w:pPr>
        <w:ind w:left="6716" w:hanging="360"/>
      </w:pPr>
      <w:rPr>
        <w:rFonts w:hint="default"/>
        <w:lang w:val="en-US" w:eastAsia="en-US" w:bidi="ar-SA"/>
      </w:rPr>
    </w:lvl>
    <w:lvl w:ilvl="7">
      <w:start w:val="0"/>
      <w:numFmt w:val="bullet"/>
      <w:lvlText w:val="•"/>
      <w:lvlJc w:val="left"/>
      <w:pPr>
        <w:ind w:left="7642" w:hanging="360"/>
      </w:pPr>
      <w:rPr>
        <w:rFonts w:hint="default"/>
        <w:lang w:val="en-US" w:eastAsia="en-US" w:bidi="ar-SA"/>
      </w:rPr>
    </w:lvl>
    <w:lvl w:ilvl="8">
      <w:start w:val="0"/>
      <w:numFmt w:val="bullet"/>
      <w:lvlText w:val="•"/>
      <w:lvlJc w:val="left"/>
      <w:pPr>
        <w:ind w:left="8568" w:hanging="360"/>
      </w:pPr>
      <w:rPr>
        <w:rFonts w:hint="default"/>
        <w:lang w:val="en-US" w:eastAsia="en-US" w:bidi="ar-SA"/>
      </w:rPr>
    </w:lvl>
  </w:abstractNum>
  <w:abstractNum w:abstractNumId="43">
    <w:multiLevelType w:val="hybridMultilevel"/>
    <w:lvl w:ilvl="0">
      <w:start w:val="1"/>
      <w:numFmt w:val="upperLetter"/>
      <w:lvlText w:val="%1"/>
      <w:lvlJc w:val="left"/>
      <w:pPr>
        <w:ind w:left="1159" w:hanging="360"/>
        <w:jc w:val="left"/>
      </w:pPr>
      <w:rPr>
        <w:rFonts w:hint="default"/>
        <w:lang w:val="en-US" w:eastAsia="en-US" w:bidi="ar-SA"/>
      </w:rPr>
    </w:lvl>
    <w:lvl w:ilvl="1">
      <w:start w:val="3"/>
      <w:numFmt w:val="decimal"/>
      <w:lvlText w:val="%1-%2"/>
      <w:lvlJc w:val="left"/>
      <w:pPr>
        <w:ind w:left="1159" w:hanging="360"/>
        <w:jc w:val="left"/>
      </w:pPr>
      <w:rPr>
        <w:rFonts w:hint="default" w:ascii="Arial" w:hAnsi="Arial" w:eastAsia="Arial" w:cs="Arial"/>
        <w:b w:val="0"/>
        <w:bCs w:val="0"/>
        <w:i w:val="0"/>
        <w:iCs w:val="0"/>
        <w:spacing w:val="-1"/>
        <w:w w:val="99"/>
        <w:sz w:val="20"/>
        <w:szCs w:val="20"/>
        <w:lang w:val="en-US" w:eastAsia="en-US" w:bidi="ar-SA"/>
      </w:rPr>
    </w:lvl>
    <w:lvl w:ilvl="2">
      <w:start w:val="0"/>
      <w:numFmt w:val="bullet"/>
      <w:lvlText w:val="•"/>
      <w:lvlJc w:val="left"/>
      <w:pPr>
        <w:ind w:left="3012" w:hanging="360"/>
      </w:pPr>
      <w:rPr>
        <w:rFonts w:hint="default"/>
        <w:lang w:val="en-US" w:eastAsia="en-US" w:bidi="ar-SA"/>
      </w:rPr>
    </w:lvl>
    <w:lvl w:ilvl="3">
      <w:start w:val="0"/>
      <w:numFmt w:val="bullet"/>
      <w:lvlText w:val="•"/>
      <w:lvlJc w:val="left"/>
      <w:pPr>
        <w:ind w:left="3938" w:hanging="360"/>
      </w:pPr>
      <w:rPr>
        <w:rFonts w:hint="default"/>
        <w:lang w:val="en-US" w:eastAsia="en-US" w:bidi="ar-SA"/>
      </w:rPr>
    </w:lvl>
    <w:lvl w:ilvl="4">
      <w:start w:val="0"/>
      <w:numFmt w:val="bullet"/>
      <w:lvlText w:val="•"/>
      <w:lvlJc w:val="left"/>
      <w:pPr>
        <w:ind w:left="4864" w:hanging="360"/>
      </w:pPr>
      <w:rPr>
        <w:rFonts w:hint="default"/>
        <w:lang w:val="en-US" w:eastAsia="en-US" w:bidi="ar-SA"/>
      </w:rPr>
    </w:lvl>
    <w:lvl w:ilvl="5">
      <w:start w:val="0"/>
      <w:numFmt w:val="bullet"/>
      <w:lvlText w:val="•"/>
      <w:lvlJc w:val="left"/>
      <w:pPr>
        <w:ind w:left="5790" w:hanging="360"/>
      </w:pPr>
      <w:rPr>
        <w:rFonts w:hint="default"/>
        <w:lang w:val="en-US" w:eastAsia="en-US" w:bidi="ar-SA"/>
      </w:rPr>
    </w:lvl>
    <w:lvl w:ilvl="6">
      <w:start w:val="0"/>
      <w:numFmt w:val="bullet"/>
      <w:lvlText w:val="•"/>
      <w:lvlJc w:val="left"/>
      <w:pPr>
        <w:ind w:left="6716" w:hanging="360"/>
      </w:pPr>
      <w:rPr>
        <w:rFonts w:hint="default"/>
        <w:lang w:val="en-US" w:eastAsia="en-US" w:bidi="ar-SA"/>
      </w:rPr>
    </w:lvl>
    <w:lvl w:ilvl="7">
      <w:start w:val="0"/>
      <w:numFmt w:val="bullet"/>
      <w:lvlText w:val="•"/>
      <w:lvlJc w:val="left"/>
      <w:pPr>
        <w:ind w:left="7642" w:hanging="360"/>
      </w:pPr>
      <w:rPr>
        <w:rFonts w:hint="default"/>
        <w:lang w:val="en-US" w:eastAsia="en-US" w:bidi="ar-SA"/>
      </w:rPr>
    </w:lvl>
    <w:lvl w:ilvl="8">
      <w:start w:val="0"/>
      <w:numFmt w:val="bullet"/>
      <w:lvlText w:val="•"/>
      <w:lvlJc w:val="left"/>
      <w:pPr>
        <w:ind w:left="8568" w:hanging="360"/>
      </w:pPr>
      <w:rPr>
        <w:rFonts w:hint="default"/>
        <w:lang w:val="en-US" w:eastAsia="en-US" w:bidi="ar-SA"/>
      </w:rPr>
    </w:lvl>
  </w:abstractNum>
  <w:abstractNum w:abstractNumId="42">
    <w:multiLevelType w:val="hybridMultilevel"/>
    <w:lvl w:ilvl="0">
      <w:start w:val="0"/>
      <w:numFmt w:val="bullet"/>
      <w:lvlText w:val="•"/>
      <w:lvlJc w:val="left"/>
      <w:pPr>
        <w:ind w:left="1159" w:hanging="360"/>
      </w:pPr>
      <w:rPr>
        <w:rFonts w:hint="default" w:ascii="Arial" w:hAnsi="Arial" w:eastAsia="Arial" w:cs="Arial"/>
        <w:w w:val="130"/>
        <w:lang w:val="en-US" w:eastAsia="en-US" w:bidi="ar-SA"/>
      </w:rPr>
    </w:lvl>
    <w:lvl w:ilvl="1">
      <w:start w:val="0"/>
      <w:numFmt w:val="bullet"/>
      <w:lvlText w:val="•"/>
      <w:lvlJc w:val="left"/>
      <w:pPr>
        <w:ind w:left="2086" w:hanging="360"/>
      </w:pPr>
      <w:rPr>
        <w:rFonts w:hint="default"/>
        <w:lang w:val="en-US" w:eastAsia="en-US" w:bidi="ar-SA"/>
      </w:rPr>
    </w:lvl>
    <w:lvl w:ilvl="2">
      <w:start w:val="0"/>
      <w:numFmt w:val="bullet"/>
      <w:lvlText w:val="•"/>
      <w:lvlJc w:val="left"/>
      <w:pPr>
        <w:ind w:left="3012" w:hanging="360"/>
      </w:pPr>
      <w:rPr>
        <w:rFonts w:hint="default"/>
        <w:lang w:val="en-US" w:eastAsia="en-US" w:bidi="ar-SA"/>
      </w:rPr>
    </w:lvl>
    <w:lvl w:ilvl="3">
      <w:start w:val="0"/>
      <w:numFmt w:val="bullet"/>
      <w:lvlText w:val="•"/>
      <w:lvlJc w:val="left"/>
      <w:pPr>
        <w:ind w:left="3938" w:hanging="360"/>
      </w:pPr>
      <w:rPr>
        <w:rFonts w:hint="default"/>
        <w:lang w:val="en-US" w:eastAsia="en-US" w:bidi="ar-SA"/>
      </w:rPr>
    </w:lvl>
    <w:lvl w:ilvl="4">
      <w:start w:val="0"/>
      <w:numFmt w:val="bullet"/>
      <w:lvlText w:val="•"/>
      <w:lvlJc w:val="left"/>
      <w:pPr>
        <w:ind w:left="4864" w:hanging="360"/>
      </w:pPr>
      <w:rPr>
        <w:rFonts w:hint="default"/>
        <w:lang w:val="en-US" w:eastAsia="en-US" w:bidi="ar-SA"/>
      </w:rPr>
    </w:lvl>
    <w:lvl w:ilvl="5">
      <w:start w:val="0"/>
      <w:numFmt w:val="bullet"/>
      <w:lvlText w:val="•"/>
      <w:lvlJc w:val="left"/>
      <w:pPr>
        <w:ind w:left="5790" w:hanging="360"/>
      </w:pPr>
      <w:rPr>
        <w:rFonts w:hint="default"/>
        <w:lang w:val="en-US" w:eastAsia="en-US" w:bidi="ar-SA"/>
      </w:rPr>
    </w:lvl>
    <w:lvl w:ilvl="6">
      <w:start w:val="0"/>
      <w:numFmt w:val="bullet"/>
      <w:lvlText w:val="•"/>
      <w:lvlJc w:val="left"/>
      <w:pPr>
        <w:ind w:left="6716" w:hanging="360"/>
      </w:pPr>
      <w:rPr>
        <w:rFonts w:hint="default"/>
        <w:lang w:val="en-US" w:eastAsia="en-US" w:bidi="ar-SA"/>
      </w:rPr>
    </w:lvl>
    <w:lvl w:ilvl="7">
      <w:start w:val="0"/>
      <w:numFmt w:val="bullet"/>
      <w:lvlText w:val="•"/>
      <w:lvlJc w:val="left"/>
      <w:pPr>
        <w:ind w:left="7642" w:hanging="360"/>
      </w:pPr>
      <w:rPr>
        <w:rFonts w:hint="default"/>
        <w:lang w:val="en-US" w:eastAsia="en-US" w:bidi="ar-SA"/>
      </w:rPr>
    </w:lvl>
    <w:lvl w:ilvl="8">
      <w:start w:val="0"/>
      <w:numFmt w:val="bullet"/>
      <w:lvlText w:val="•"/>
      <w:lvlJc w:val="left"/>
      <w:pPr>
        <w:ind w:left="8568" w:hanging="360"/>
      </w:pPr>
      <w:rPr>
        <w:rFonts w:hint="default"/>
        <w:lang w:val="en-US" w:eastAsia="en-US" w:bidi="ar-SA"/>
      </w:rPr>
    </w:lvl>
  </w:abstractNum>
  <w:abstractNum w:abstractNumId="40">
    <w:multiLevelType w:val="hybridMultilevel"/>
    <w:lvl w:ilvl="0">
      <w:start w:val="0"/>
      <w:numFmt w:val="bullet"/>
      <w:lvlText w:val="•"/>
      <w:lvlJc w:val="left"/>
      <w:pPr>
        <w:ind w:left="1952" w:hanging="360"/>
      </w:pPr>
      <w:rPr>
        <w:rFonts w:hint="default" w:ascii="Arial" w:hAnsi="Arial" w:eastAsia="Arial" w:cs="Arial"/>
        <w:b w:val="0"/>
        <w:bCs w:val="0"/>
        <w:i w:val="0"/>
        <w:iCs w:val="0"/>
        <w:w w:val="130"/>
        <w:sz w:val="20"/>
        <w:szCs w:val="20"/>
        <w:lang w:val="en-US" w:eastAsia="en-US" w:bidi="ar-SA"/>
      </w:rPr>
    </w:lvl>
    <w:lvl w:ilvl="1">
      <w:start w:val="1"/>
      <w:numFmt w:val="decimal"/>
      <w:lvlText w:val="%2."/>
      <w:lvlJc w:val="left"/>
      <w:pPr>
        <w:ind w:left="2311" w:hanging="360"/>
        <w:jc w:val="left"/>
      </w:pPr>
      <w:rPr>
        <w:rFonts w:hint="default" w:ascii="Arial" w:hAnsi="Arial" w:eastAsia="Arial" w:cs="Arial"/>
        <w:b w:val="0"/>
        <w:bCs w:val="0"/>
        <w:i w:val="0"/>
        <w:iCs w:val="0"/>
        <w:spacing w:val="-1"/>
        <w:w w:val="99"/>
        <w:sz w:val="20"/>
        <w:szCs w:val="20"/>
        <w:lang w:val="en-US" w:eastAsia="en-US" w:bidi="ar-SA"/>
      </w:rPr>
    </w:lvl>
    <w:lvl w:ilvl="2">
      <w:start w:val="1"/>
      <w:numFmt w:val="lowerLetter"/>
      <w:lvlText w:val="%3."/>
      <w:lvlJc w:val="left"/>
      <w:pPr>
        <w:ind w:left="2672" w:hanging="360"/>
        <w:jc w:val="left"/>
      </w:pPr>
      <w:rPr>
        <w:rFonts w:hint="default" w:ascii="Arial" w:hAnsi="Arial" w:eastAsia="Arial" w:cs="Arial"/>
        <w:b w:val="0"/>
        <w:bCs w:val="0"/>
        <w:i w:val="0"/>
        <w:iCs w:val="0"/>
        <w:spacing w:val="-1"/>
        <w:w w:val="99"/>
        <w:sz w:val="20"/>
        <w:szCs w:val="20"/>
        <w:lang w:val="en-US" w:eastAsia="en-US" w:bidi="ar-SA"/>
      </w:rPr>
    </w:lvl>
    <w:lvl w:ilvl="3">
      <w:start w:val="0"/>
      <w:numFmt w:val="bullet"/>
      <w:lvlText w:val="•"/>
      <w:lvlJc w:val="left"/>
      <w:pPr>
        <w:ind w:left="3647" w:hanging="360"/>
      </w:pPr>
      <w:rPr>
        <w:rFonts w:hint="default"/>
        <w:lang w:val="en-US" w:eastAsia="en-US" w:bidi="ar-SA"/>
      </w:rPr>
    </w:lvl>
    <w:lvl w:ilvl="4">
      <w:start w:val="0"/>
      <w:numFmt w:val="bullet"/>
      <w:lvlText w:val="•"/>
      <w:lvlJc w:val="left"/>
      <w:pPr>
        <w:ind w:left="4615" w:hanging="360"/>
      </w:pPr>
      <w:rPr>
        <w:rFonts w:hint="default"/>
        <w:lang w:val="en-US" w:eastAsia="en-US" w:bidi="ar-SA"/>
      </w:rPr>
    </w:lvl>
    <w:lvl w:ilvl="5">
      <w:start w:val="0"/>
      <w:numFmt w:val="bullet"/>
      <w:lvlText w:val="•"/>
      <w:lvlJc w:val="left"/>
      <w:pPr>
        <w:ind w:left="5582" w:hanging="360"/>
      </w:pPr>
      <w:rPr>
        <w:rFonts w:hint="default"/>
        <w:lang w:val="en-US" w:eastAsia="en-US" w:bidi="ar-SA"/>
      </w:rPr>
    </w:lvl>
    <w:lvl w:ilvl="6">
      <w:start w:val="0"/>
      <w:numFmt w:val="bullet"/>
      <w:lvlText w:val="•"/>
      <w:lvlJc w:val="left"/>
      <w:pPr>
        <w:ind w:left="6550" w:hanging="360"/>
      </w:pPr>
      <w:rPr>
        <w:rFonts w:hint="default"/>
        <w:lang w:val="en-US" w:eastAsia="en-US" w:bidi="ar-SA"/>
      </w:rPr>
    </w:lvl>
    <w:lvl w:ilvl="7">
      <w:start w:val="0"/>
      <w:numFmt w:val="bullet"/>
      <w:lvlText w:val="•"/>
      <w:lvlJc w:val="left"/>
      <w:pPr>
        <w:ind w:left="7517" w:hanging="360"/>
      </w:pPr>
      <w:rPr>
        <w:rFonts w:hint="default"/>
        <w:lang w:val="en-US" w:eastAsia="en-US" w:bidi="ar-SA"/>
      </w:rPr>
    </w:lvl>
    <w:lvl w:ilvl="8">
      <w:start w:val="0"/>
      <w:numFmt w:val="bullet"/>
      <w:lvlText w:val="•"/>
      <w:lvlJc w:val="left"/>
      <w:pPr>
        <w:ind w:left="8485" w:hanging="360"/>
      </w:pPr>
      <w:rPr>
        <w:rFonts w:hint="default"/>
        <w:lang w:val="en-US" w:eastAsia="en-US" w:bidi="ar-SA"/>
      </w:rPr>
    </w:lvl>
  </w:abstractNum>
  <w:abstractNum w:abstractNumId="39">
    <w:multiLevelType w:val="hybridMultilevel"/>
    <w:lvl w:ilvl="0">
      <w:start w:val="0"/>
      <w:numFmt w:val="bullet"/>
      <w:lvlText w:val="•"/>
      <w:lvlJc w:val="left"/>
      <w:pPr>
        <w:ind w:left="1952" w:hanging="360"/>
      </w:pPr>
      <w:rPr>
        <w:rFonts w:hint="default" w:ascii="Arial" w:hAnsi="Arial" w:eastAsia="Arial" w:cs="Arial"/>
        <w:b w:val="0"/>
        <w:bCs w:val="0"/>
        <w:i w:val="0"/>
        <w:iCs w:val="0"/>
        <w:w w:val="130"/>
        <w:sz w:val="20"/>
        <w:szCs w:val="20"/>
        <w:lang w:val="en-US" w:eastAsia="en-US" w:bidi="ar-SA"/>
      </w:rPr>
    </w:lvl>
    <w:lvl w:ilvl="1">
      <w:start w:val="1"/>
      <w:numFmt w:val="decimal"/>
      <w:lvlText w:val="%2."/>
      <w:lvlJc w:val="left"/>
      <w:pPr>
        <w:ind w:left="2311" w:hanging="360"/>
        <w:jc w:val="left"/>
      </w:pPr>
      <w:rPr>
        <w:rFonts w:hint="default" w:ascii="Arial" w:hAnsi="Arial" w:eastAsia="Arial" w:cs="Arial"/>
        <w:b w:val="0"/>
        <w:bCs w:val="0"/>
        <w:i w:val="0"/>
        <w:iCs w:val="0"/>
        <w:spacing w:val="-1"/>
        <w:w w:val="99"/>
        <w:sz w:val="20"/>
        <w:szCs w:val="20"/>
        <w:lang w:val="en-US" w:eastAsia="en-US" w:bidi="ar-SA"/>
      </w:rPr>
    </w:lvl>
    <w:lvl w:ilvl="2">
      <w:start w:val="0"/>
      <w:numFmt w:val="bullet"/>
      <w:lvlText w:val="•"/>
      <w:lvlJc w:val="left"/>
      <w:pPr>
        <w:ind w:left="3220" w:hanging="360"/>
      </w:pPr>
      <w:rPr>
        <w:rFonts w:hint="default"/>
        <w:lang w:val="en-US" w:eastAsia="en-US" w:bidi="ar-SA"/>
      </w:rPr>
    </w:lvl>
    <w:lvl w:ilvl="3">
      <w:start w:val="0"/>
      <w:numFmt w:val="bullet"/>
      <w:lvlText w:val="•"/>
      <w:lvlJc w:val="left"/>
      <w:pPr>
        <w:ind w:left="4120" w:hanging="360"/>
      </w:pPr>
      <w:rPr>
        <w:rFonts w:hint="default"/>
        <w:lang w:val="en-US" w:eastAsia="en-US" w:bidi="ar-SA"/>
      </w:rPr>
    </w:lvl>
    <w:lvl w:ilvl="4">
      <w:start w:val="0"/>
      <w:numFmt w:val="bullet"/>
      <w:lvlText w:val="•"/>
      <w:lvlJc w:val="left"/>
      <w:pPr>
        <w:ind w:left="5020" w:hanging="360"/>
      </w:pPr>
      <w:rPr>
        <w:rFonts w:hint="default"/>
        <w:lang w:val="en-US" w:eastAsia="en-US" w:bidi="ar-SA"/>
      </w:rPr>
    </w:lvl>
    <w:lvl w:ilvl="5">
      <w:start w:val="0"/>
      <w:numFmt w:val="bullet"/>
      <w:lvlText w:val="•"/>
      <w:lvlJc w:val="left"/>
      <w:pPr>
        <w:ind w:left="5920" w:hanging="360"/>
      </w:pPr>
      <w:rPr>
        <w:rFonts w:hint="default"/>
        <w:lang w:val="en-US" w:eastAsia="en-US" w:bidi="ar-SA"/>
      </w:rPr>
    </w:lvl>
    <w:lvl w:ilvl="6">
      <w:start w:val="0"/>
      <w:numFmt w:val="bullet"/>
      <w:lvlText w:val="•"/>
      <w:lvlJc w:val="left"/>
      <w:pPr>
        <w:ind w:left="6820" w:hanging="360"/>
      </w:pPr>
      <w:rPr>
        <w:rFonts w:hint="default"/>
        <w:lang w:val="en-US" w:eastAsia="en-US" w:bidi="ar-SA"/>
      </w:rPr>
    </w:lvl>
    <w:lvl w:ilvl="7">
      <w:start w:val="0"/>
      <w:numFmt w:val="bullet"/>
      <w:lvlText w:val="•"/>
      <w:lvlJc w:val="left"/>
      <w:pPr>
        <w:ind w:left="7720" w:hanging="360"/>
      </w:pPr>
      <w:rPr>
        <w:rFonts w:hint="default"/>
        <w:lang w:val="en-US" w:eastAsia="en-US" w:bidi="ar-SA"/>
      </w:rPr>
    </w:lvl>
    <w:lvl w:ilvl="8">
      <w:start w:val="0"/>
      <w:numFmt w:val="bullet"/>
      <w:lvlText w:val="•"/>
      <w:lvlJc w:val="left"/>
      <w:pPr>
        <w:ind w:left="8620" w:hanging="360"/>
      </w:pPr>
      <w:rPr>
        <w:rFonts w:hint="default"/>
        <w:lang w:val="en-US" w:eastAsia="en-US" w:bidi="ar-SA"/>
      </w:rPr>
    </w:lvl>
  </w:abstractNum>
  <w:abstractNum w:abstractNumId="38">
    <w:multiLevelType w:val="hybridMultilevel"/>
    <w:lvl w:ilvl="0">
      <w:start w:val="3"/>
      <w:numFmt w:val="decimal"/>
      <w:lvlText w:val="%1."/>
      <w:lvlJc w:val="left"/>
      <w:pPr>
        <w:ind w:left="799" w:hanging="360"/>
        <w:jc w:val="left"/>
      </w:pPr>
      <w:rPr>
        <w:rFonts w:hint="default" w:ascii="Arial" w:hAnsi="Arial" w:eastAsia="Arial" w:cs="Arial"/>
        <w:b/>
        <w:bCs/>
        <w:i w:val="0"/>
        <w:iCs w:val="0"/>
        <w:spacing w:val="-1"/>
        <w:w w:val="100"/>
        <w:sz w:val="28"/>
        <w:szCs w:val="28"/>
        <w:lang w:val="en-US" w:eastAsia="en-US" w:bidi="ar-SA"/>
      </w:rPr>
    </w:lvl>
    <w:lvl w:ilvl="1">
      <w:start w:val="1"/>
      <w:numFmt w:val="decimal"/>
      <w:lvlText w:val="%1.%2."/>
      <w:lvlJc w:val="left"/>
      <w:pPr>
        <w:ind w:left="1160" w:hanging="433"/>
        <w:jc w:val="right"/>
      </w:pPr>
      <w:rPr>
        <w:rFonts w:hint="default" w:ascii="Arial" w:hAnsi="Arial" w:eastAsia="Arial" w:cs="Arial"/>
        <w:b w:val="0"/>
        <w:bCs w:val="0"/>
        <w:i w:val="0"/>
        <w:iCs w:val="0"/>
        <w:spacing w:val="-1"/>
        <w:w w:val="99"/>
        <w:sz w:val="20"/>
        <w:szCs w:val="20"/>
        <w:lang w:val="en-US" w:eastAsia="en-US" w:bidi="ar-SA"/>
      </w:rPr>
    </w:lvl>
    <w:lvl w:ilvl="2">
      <w:start w:val="1"/>
      <w:numFmt w:val="decimal"/>
      <w:lvlText w:val="%1.%2.%3."/>
      <w:lvlJc w:val="left"/>
      <w:pPr>
        <w:ind w:left="1663" w:hanging="504"/>
        <w:jc w:val="left"/>
      </w:pPr>
      <w:rPr>
        <w:rFonts w:hint="default" w:ascii="Arial" w:hAnsi="Arial" w:eastAsia="Arial" w:cs="Arial"/>
        <w:b w:val="0"/>
        <w:bCs w:val="0"/>
        <w:i w:val="0"/>
        <w:iCs w:val="0"/>
        <w:spacing w:val="-1"/>
        <w:w w:val="99"/>
        <w:sz w:val="18"/>
        <w:szCs w:val="18"/>
        <w:lang w:val="en-US" w:eastAsia="en-US" w:bidi="ar-SA"/>
      </w:rPr>
    </w:lvl>
    <w:lvl w:ilvl="3">
      <w:start w:val="1"/>
      <w:numFmt w:val="decimal"/>
      <w:lvlText w:val="%4."/>
      <w:lvlJc w:val="left"/>
      <w:pPr>
        <w:ind w:left="2023" w:hanging="360"/>
        <w:jc w:val="left"/>
      </w:pPr>
      <w:rPr>
        <w:rFonts w:hint="default" w:ascii="Arial" w:hAnsi="Arial" w:eastAsia="Arial" w:cs="Arial"/>
        <w:b/>
        <w:bCs/>
        <w:i w:val="0"/>
        <w:iCs w:val="0"/>
        <w:spacing w:val="-1"/>
        <w:w w:val="99"/>
        <w:sz w:val="20"/>
        <w:szCs w:val="20"/>
        <w:lang w:val="en-US" w:eastAsia="en-US" w:bidi="ar-SA"/>
      </w:rPr>
    </w:lvl>
    <w:lvl w:ilvl="4">
      <w:start w:val="0"/>
      <w:numFmt w:val="bullet"/>
      <w:lvlText w:val="•"/>
      <w:lvlJc w:val="left"/>
      <w:pPr>
        <w:ind w:left="3220" w:hanging="360"/>
      </w:pPr>
      <w:rPr>
        <w:rFonts w:hint="default"/>
        <w:lang w:val="en-US" w:eastAsia="en-US" w:bidi="ar-SA"/>
      </w:rPr>
    </w:lvl>
    <w:lvl w:ilvl="5">
      <w:start w:val="0"/>
      <w:numFmt w:val="bullet"/>
      <w:lvlText w:val="•"/>
      <w:lvlJc w:val="left"/>
      <w:pPr>
        <w:ind w:left="4420" w:hanging="360"/>
      </w:pPr>
      <w:rPr>
        <w:rFonts w:hint="default"/>
        <w:lang w:val="en-US" w:eastAsia="en-US" w:bidi="ar-SA"/>
      </w:rPr>
    </w:lvl>
    <w:lvl w:ilvl="6">
      <w:start w:val="0"/>
      <w:numFmt w:val="bullet"/>
      <w:lvlText w:val="•"/>
      <w:lvlJc w:val="left"/>
      <w:pPr>
        <w:ind w:left="5620" w:hanging="360"/>
      </w:pPr>
      <w:rPr>
        <w:rFonts w:hint="default"/>
        <w:lang w:val="en-US" w:eastAsia="en-US" w:bidi="ar-SA"/>
      </w:rPr>
    </w:lvl>
    <w:lvl w:ilvl="7">
      <w:start w:val="0"/>
      <w:numFmt w:val="bullet"/>
      <w:lvlText w:val="•"/>
      <w:lvlJc w:val="left"/>
      <w:pPr>
        <w:ind w:left="6820" w:hanging="360"/>
      </w:pPr>
      <w:rPr>
        <w:rFonts w:hint="default"/>
        <w:lang w:val="en-US" w:eastAsia="en-US" w:bidi="ar-SA"/>
      </w:rPr>
    </w:lvl>
    <w:lvl w:ilvl="8">
      <w:start w:val="0"/>
      <w:numFmt w:val="bullet"/>
      <w:lvlText w:val="•"/>
      <w:lvlJc w:val="left"/>
      <w:pPr>
        <w:ind w:left="8020" w:hanging="360"/>
      </w:pPr>
      <w:rPr>
        <w:rFonts w:hint="default"/>
        <w:lang w:val="en-US" w:eastAsia="en-US" w:bidi="ar-SA"/>
      </w:rPr>
    </w:lvl>
  </w:abstractNum>
  <w:abstractNum w:abstractNumId="37">
    <w:multiLevelType w:val="hybridMultilevel"/>
    <w:lvl w:ilvl="0">
      <w:start w:val="2"/>
      <w:numFmt w:val="decimal"/>
      <w:lvlText w:val="%1"/>
      <w:lvlJc w:val="left"/>
      <w:pPr>
        <w:ind w:left="1519" w:hanging="720"/>
        <w:jc w:val="left"/>
      </w:pPr>
      <w:rPr>
        <w:rFonts w:hint="default"/>
        <w:lang w:val="en-US" w:eastAsia="en-US" w:bidi="ar-SA"/>
      </w:rPr>
    </w:lvl>
    <w:lvl w:ilvl="1">
      <w:start w:val="2"/>
      <w:numFmt w:val="decimal"/>
      <w:lvlText w:val="%1.%2."/>
      <w:lvlJc w:val="left"/>
      <w:pPr>
        <w:ind w:left="1519" w:hanging="720"/>
        <w:jc w:val="left"/>
      </w:pPr>
      <w:rPr>
        <w:rFonts w:hint="default" w:ascii="Arial" w:hAnsi="Arial" w:eastAsia="Arial" w:cs="Arial"/>
        <w:b/>
        <w:bCs/>
        <w:i w:val="0"/>
        <w:iCs w:val="0"/>
        <w:spacing w:val="-1"/>
        <w:w w:val="100"/>
        <w:sz w:val="28"/>
        <w:szCs w:val="28"/>
        <w:lang w:val="en-US" w:eastAsia="en-US" w:bidi="ar-SA"/>
      </w:rPr>
    </w:lvl>
    <w:lvl w:ilvl="2">
      <w:start w:val="1"/>
      <w:numFmt w:val="decimal"/>
      <w:lvlText w:val="%1.%2.%3."/>
      <w:lvlJc w:val="left"/>
      <w:pPr>
        <w:ind w:left="1663" w:hanging="504"/>
        <w:jc w:val="left"/>
      </w:pPr>
      <w:rPr>
        <w:rFonts w:hint="default"/>
        <w:spacing w:val="-1"/>
        <w:w w:val="99"/>
        <w:lang w:val="en-US" w:eastAsia="en-US" w:bidi="ar-SA"/>
      </w:rPr>
    </w:lvl>
    <w:lvl w:ilvl="3">
      <w:start w:val="1"/>
      <w:numFmt w:val="lowerLetter"/>
      <w:lvlText w:val="%4."/>
      <w:lvlJc w:val="left"/>
      <w:pPr>
        <w:ind w:left="2527" w:hanging="504"/>
        <w:jc w:val="left"/>
      </w:pPr>
      <w:rPr>
        <w:rFonts w:hint="default" w:ascii="Arial" w:hAnsi="Arial" w:eastAsia="Arial" w:cs="Arial"/>
        <w:b w:val="0"/>
        <w:bCs w:val="0"/>
        <w:i w:val="0"/>
        <w:iCs w:val="0"/>
        <w:spacing w:val="-1"/>
        <w:w w:val="99"/>
        <w:sz w:val="20"/>
        <w:szCs w:val="20"/>
        <w:lang w:val="en-US" w:eastAsia="en-US" w:bidi="ar-SA"/>
      </w:rPr>
    </w:lvl>
    <w:lvl w:ilvl="4">
      <w:start w:val="0"/>
      <w:numFmt w:val="bullet"/>
      <w:lvlText w:val="•"/>
      <w:lvlJc w:val="left"/>
      <w:pPr>
        <w:ind w:left="4495" w:hanging="504"/>
      </w:pPr>
      <w:rPr>
        <w:rFonts w:hint="default"/>
        <w:lang w:val="en-US" w:eastAsia="en-US" w:bidi="ar-SA"/>
      </w:rPr>
    </w:lvl>
    <w:lvl w:ilvl="5">
      <w:start w:val="0"/>
      <w:numFmt w:val="bullet"/>
      <w:lvlText w:val="•"/>
      <w:lvlJc w:val="left"/>
      <w:pPr>
        <w:ind w:left="5482" w:hanging="504"/>
      </w:pPr>
      <w:rPr>
        <w:rFonts w:hint="default"/>
        <w:lang w:val="en-US" w:eastAsia="en-US" w:bidi="ar-SA"/>
      </w:rPr>
    </w:lvl>
    <w:lvl w:ilvl="6">
      <w:start w:val="0"/>
      <w:numFmt w:val="bullet"/>
      <w:lvlText w:val="•"/>
      <w:lvlJc w:val="left"/>
      <w:pPr>
        <w:ind w:left="6470" w:hanging="504"/>
      </w:pPr>
      <w:rPr>
        <w:rFonts w:hint="default"/>
        <w:lang w:val="en-US" w:eastAsia="en-US" w:bidi="ar-SA"/>
      </w:rPr>
    </w:lvl>
    <w:lvl w:ilvl="7">
      <w:start w:val="0"/>
      <w:numFmt w:val="bullet"/>
      <w:lvlText w:val="•"/>
      <w:lvlJc w:val="left"/>
      <w:pPr>
        <w:ind w:left="7457" w:hanging="504"/>
      </w:pPr>
      <w:rPr>
        <w:rFonts w:hint="default"/>
        <w:lang w:val="en-US" w:eastAsia="en-US" w:bidi="ar-SA"/>
      </w:rPr>
    </w:lvl>
    <w:lvl w:ilvl="8">
      <w:start w:val="0"/>
      <w:numFmt w:val="bullet"/>
      <w:lvlText w:val="•"/>
      <w:lvlJc w:val="left"/>
      <w:pPr>
        <w:ind w:left="8445" w:hanging="504"/>
      </w:pPr>
      <w:rPr>
        <w:rFonts w:hint="default"/>
        <w:lang w:val="en-US" w:eastAsia="en-US" w:bidi="ar-SA"/>
      </w:rPr>
    </w:lvl>
  </w:abstractNum>
  <w:abstractNum w:abstractNumId="36">
    <w:multiLevelType w:val="hybridMultilevel"/>
    <w:lvl w:ilvl="0">
      <w:start w:val="3"/>
      <w:numFmt w:val="upperLetter"/>
      <w:lvlText w:val="%1"/>
      <w:lvlJc w:val="left"/>
      <w:pPr>
        <w:ind w:left="2433" w:hanging="929"/>
        <w:jc w:val="left"/>
      </w:pPr>
      <w:rPr>
        <w:rFonts w:hint="default"/>
        <w:lang w:val="en-US" w:eastAsia="en-US" w:bidi="ar-SA"/>
      </w:rPr>
    </w:lvl>
    <w:lvl w:ilvl="1">
      <w:start w:val="1"/>
      <w:numFmt w:val="decimal"/>
      <w:lvlText w:val="%1-%2"/>
      <w:lvlJc w:val="left"/>
      <w:pPr>
        <w:ind w:left="2433" w:hanging="929"/>
        <w:jc w:val="left"/>
      </w:pPr>
      <w:rPr>
        <w:rFonts w:hint="default" w:ascii="Arial" w:hAnsi="Arial" w:eastAsia="Arial" w:cs="Arial"/>
        <w:b w:val="0"/>
        <w:bCs w:val="0"/>
        <w:i w:val="0"/>
        <w:iCs w:val="0"/>
        <w:w w:val="99"/>
        <w:sz w:val="20"/>
        <w:szCs w:val="20"/>
        <w:lang w:val="en-US" w:eastAsia="en-US" w:bidi="ar-SA"/>
      </w:rPr>
    </w:lvl>
    <w:lvl w:ilvl="2">
      <w:start w:val="1"/>
      <w:numFmt w:val="lowerLetter"/>
      <w:lvlText w:val="%3."/>
      <w:lvlJc w:val="left"/>
      <w:pPr>
        <w:ind w:left="3519" w:hanging="360"/>
        <w:jc w:val="left"/>
      </w:pPr>
      <w:rPr>
        <w:rFonts w:hint="default" w:ascii="Arial" w:hAnsi="Arial" w:eastAsia="Arial" w:cs="Arial"/>
        <w:b w:val="0"/>
        <w:bCs w:val="0"/>
        <w:i w:val="0"/>
        <w:iCs w:val="0"/>
        <w:spacing w:val="-1"/>
        <w:w w:val="99"/>
        <w:sz w:val="20"/>
        <w:szCs w:val="20"/>
        <w:lang w:val="en-US" w:eastAsia="en-US" w:bidi="ar-SA"/>
      </w:rPr>
    </w:lvl>
    <w:lvl w:ilvl="3">
      <w:start w:val="0"/>
      <w:numFmt w:val="bullet"/>
      <w:lvlText w:val="•"/>
      <w:lvlJc w:val="left"/>
      <w:pPr>
        <w:ind w:left="5128" w:hanging="360"/>
      </w:pPr>
      <w:rPr>
        <w:rFonts w:hint="default"/>
        <w:lang w:val="en-US" w:eastAsia="en-US" w:bidi="ar-SA"/>
      </w:rPr>
    </w:lvl>
    <w:lvl w:ilvl="4">
      <w:start w:val="0"/>
      <w:numFmt w:val="bullet"/>
      <w:lvlText w:val="•"/>
      <w:lvlJc w:val="left"/>
      <w:pPr>
        <w:ind w:left="5933" w:hanging="360"/>
      </w:pPr>
      <w:rPr>
        <w:rFonts w:hint="default"/>
        <w:lang w:val="en-US" w:eastAsia="en-US" w:bidi="ar-SA"/>
      </w:rPr>
    </w:lvl>
    <w:lvl w:ilvl="5">
      <w:start w:val="0"/>
      <w:numFmt w:val="bullet"/>
      <w:lvlText w:val="•"/>
      <w:lvlJc w:val="left"/>
      <w:pPr>
        <w:ind w:left="6737" w:hanging="360"/>
      </w:pPr>
      <w:rPr>
        <w:rFonts w:hint="default"/>
        <w:lang w:val="en-US" w:eastAsia="en-US" w:bidi="ar-SA"/>
      </w:rPr>
    </w:lvl>
    <w:lvl w:ilvl="6">
      <w:start w:val="0"/>
      <w:numFmt w:val="bullet"/>
      <w:lvlText w:val="•"/>
      <w:lvlJc w:val="left"/>
      <w:pPr>
        <w:ind w:left="7542" w:hanging="360"/>
      </w:pPr>
      <w:rPr>
        <w:rFonts w:hint="default"/>
        <w:lang w:val="en-US" w:eastAsia="en-US" w:bidi="ar-SA"/>
      </w:rPr>
    </w:lvl>
    <w:lvl w:ilvl="7">
      <w:start w:val="0"/>
      <w:numFmt w:val="bullet"/>
      <w:lvlText w:val="•"/>
      <w:lvlJc w:val="left"/>
      <w:pPr>
        <w:ind w:left="8346" w:hanging="360"/>
      </w:pPr>
      <w:rPr>
        <w:rFonts w:hint="default"/>
        <w:lang w:val="en-US" w:eastAsia="en-US" w:bidi="ar-SA"/>
      </w:rPr>
    </w:lvl>
    <w:lvl w:ilvl="8">
      <w:start w:val="0"/>
      <w:numFmt w:val="bullet"/>
      <w:lvlText w:val="•"/>
      <w:lvlJc w:val="left"/>
      <w:pPr>
        <w:ind w:left="9151" w:hanging="360"/>
      </w:pPr>
      <w:rPr>
        <w:rFonts w:hint="default"/>
        <w:lang w:val="en-US" w:eastAsia="en-US" w:bidi="ar-SA"/>
      </w:rPr>
    </w:lvl>
  </w:abstractNum>
  <w:abstractNum w:abstractNumId="35">
    <w:multiLevelType w:val="hybridMultilevel"/>
    <w:lvl w:ilvl="0">
      <w:start w:val="2"/>
      <w:numFmt w:val="decimal"/>
      <w:lvlText w:val="%1"/>
      <w:lvlJc w:val="left"/>
      <w:pPr>
        <w:ind w:left="1505" w:hanging="504"/>
        <w:jc w:val="left"/>
      </w:pPr>
      <w:rPr>
        <w:rFonts w:hint="default"/>
        <w:lang w:val="en-US" w:eastAsia="en-US" w:bidi="ar-SA"/>
      </w:rPr>
    </w:lvl>
    <w:lvl w:ilvl="1">
      <w:start w:val="1"/>
      <w:numFmt w:val="decimal"/>
      <w:lvlText w:val="%1.%2"/>
      <w:lvlJc w:val="left"/>
      <w:pPr>
        <w:ind w:left="1505" w:hanging="504"/>
        <w:jc w:val="left"/>
      </w:pPr>
      <w:rPr>
        <w:rFonts w:hint="default"/>
        <w:lang w:val="en-US" w:eastAsia="en-US" w:bidi="ar-SA"/>
      </w:rPr>
    </w:lvl>
    <w:lvl w:ilvl="2">
      <w:start w:val="3"/>
      <w:numFmt w:val="decimal"/>
      <w:lvlText w:val="%1.%2.%3."/>
      <w:lvlJc w:val="left"/>
      <w:pPr>
        <w:ind w:left="1505" w:hanging="504"/>
        <w:jc w:val="left"/>
      </w:pPr>
      <w:rPr>
        <w:rFonts w:hint="default" w:ascii="Arial" w:hAnsi="Arial" w:eastAsia="Arial" w:cs="Arial"/>
        <w:b w:val="0"/>
        <w:bCs w:val="0"/>
        <w:i w:val="0"/>
        <w:iCs w:val="0"/>
        <w:spacing w:val="-1"/>
        <w:w w:val="99"/>
        <w:sz w:val="18"/>
        <w:szCs w:val="18"/>
        <w:lang w:val="en-US" w:eastAsia="en-US" w:bidi="ar-SA"/>
      </w:rPr>
    </w:lvl>
    <w:lvl w:ilvl="3">
      <w:start w:val="0"/>
      <w:numFmt w:val="bullet"/>
      <w:lvlText w:val="•"/>
      <w:lvlJc w:val="left"/>
      <w:pPr>
        <w:ind w:left="4278" w:hanging="504"/>
      </w:pPr>
      <w:rPr>
        <w:rFonts w:hint="default"/>
        <w:lang w:val="en-US" w:eastAsia="en-US" w:bidi="ar-SA"/>
      </w:rPr>
    </w:lvl>
    <w:lvl w:ilvl="4">
      <w:start w:val="0"/>
      <w:numFmt w:val="bullet"/>
      <w:lvlText w:val="•"/>
      <w:lvlJc w:val="left"/>
      <w:pPr>
        <w:ind w:left="5204" w:hanging="504"/>
      </w:pPr>
      <w:rPr>
        <w:rFonts w:hint="default"/>
        <w:lang w:val="en-US" w:eastAsia="en-US" w:bidi="ar-SA"/>
      </w:rPr>
    </w:lvl>
    <w:lvl w:ilvl="5">
      <w:start w:val="0"/>
      <w:numFmt w:val="bullet"/>
      <w:lvlText w:val="•"/>
      <w:lvlJc w:val="left"/>
      <w:pPr>
        <w:ind w:left="6130" w:hanging="504"/>
      </w:pPr>
      <w:rPr>
        <w:rFonts w:hint="default"/>
        <w:lang w:val="en-US" w:eastAsia="en-US" w:bidi="ar-SA"/>
      </w:rPr>
    </w:lvl>
    <w:lvl w:ilvl="6">
      <w:start w:val="0"/>
      <w:numFmt w:val="bullet"/>
      <w:lvlText w:val="•"/>
      <w:lvlJc w:val="left"/>
      <w:pPr>
        <w:ind w:left="7056" w:hanging="504"/>
      </w:pPr>
      <w:rPr>
        <w:rFonts w:hint="default"/>
        <w:lang w:val="en-US" w:eastAsia="en-US" w:bidi="ar-SA"/>
      </w:rPr>
    </w:lvl>
    <w:lvl w:ilvl="7">
      <w:start w:val="0"/>
      <w:numFmt w:val="bullet"/>
      <w:lvlText w:val="•"/>
      <w:lvlJc w:val="left"/>
      <w:pPr>
        <w:ind w:left="7982" w:hanging="504"/>
      </w:pPr>
      <w:rPr>
        <w:rFonts w:hint="default"/>
        <w:lang w:val="en-US" w:eastAsia="en-US" w:bidi="ar-SA"/>
      </w:rPr>
    </w:lvl>
    <w:lvl w:ilvl="8">
      <w:start w:val="0"/>
      <w:numFmt w:val="bullet"/>
      <w:lvlText w:val="•"/>
      <w:lvlJc w:val="left"/>
      <w:pPr>
        <w:ind w:left="8908" w:hanging="504"/>
      </w:pPr>
      <w:rPr>
        <w:rFonts w:hint="default"/>
        <w:lang w:val="en-US" w:eastAsia="en-US" w:bidi="ar-SA"/>
      </w:rPr>
    </w:lvl>
  </w:abstractNum>
  <w:abstractNum w:abstractNumId="34">
    <w:multiLevelType w:val="hybridMultilevel"/>
    <w:lvl w:ilvl="0">
      <w:start w:val="2"/>
      <w:numFmt w:val="upperLetter"/>
      <w:lvlText w:val="%1"/>
      <w:lvlJc w:val="left"/>
      <w:pPr>
        <w:ind w:left="2439" w:hanging="425"/>
        <w:jc w:val="left"/>
      </w:pPr>
      <w:rPr>
        <w:rFonts w:hint="default"/>
        <w:lang w:val="en-US" w:eastAsia="en-US" w:bidi="ar-SA"/>
      </w:rPr>
    </w:lvl>
    <w:lvl w:ilvl="1">
      <w:start w:val="2"/>
      <w:numFmt w:val="decimal"/>
      <w:lvlText w:val="%1.%2."/>
      <w:lvlJc w:val="left"/>
      <w:pPr>
        <w:ind w:left="2439" w:hanging="425"/>
        <w:jc w:val="left"/>
      </w:pPr>
      <w:rPr>
        <w:rFonts w:hint="default" w:ascii="Arial" w:hAnsi="Arial" w:eastAsia="Arial" w:cs="Arial"/>
        <w:b/>
        <w:bCs/>
        <w:i w:val="0"/>
        <w:iCs w:val="0"/>
        <w:spacing w:val="-1"/>
        <w:w w:val="99"/>
        <w:sz w:val="20"/>
        <w:szCs w:val="20"/>
        <w:lang w:val="en-US" w:eastAsia="en-US" w:bidi="ar-SA"/>
      </w:rPr>
    </w:lvl>
    <w:lvl w:ilvl="2">
      <w:start w:val="0"/>
      <w:numFmt w:val="bullet"/>
      <w:lvlText w:val="•"/>
      <w:lvlJc w:val="left"/>
      <w:pPr>
        <w:ind w:left="4104" w:hanging="425"/>
      </w:pPr>
      <w:rPr>
        <w:rFonts w:hint="default"/>
        <w:lang w:val="en-US" w:eastAsia="en-US" w:bidi="ar-SA"/>
      </w:rPr>
    </w:lvl>
    <w:lvl w:ilvl="3">
      <w:start w:val="0"/>
      <w:numFmt w:val="bullet"/>
      <w:lvlText w:val="•"/>
      <w:lvlJc w:val="left"/>
      <w:pPr>
        <w:ind w:left="4936" w:hanging="425"/>
      </w:pPr>
      <w:rPr>
        <w:rFonts w:hint="default"/>
        <w:lang w:val="en-US" w:eastAsia="en-US" w:bidi="ar-SA"/>
      </w:rPr>
    </w:lvl>
    <w:lvl w:ilvl="4">
      <w:start w:val="0"/>
      <w:numFmt w:val="bullet"/>
      <w:lvlText w:val="•"/>
      <w:lvlJc w:val="left"/>
      <w:pPr>
        <w:ind w:left="5768" w:hanging="425"/>
      </w:pPr>
      <w:rPr>
        <w:rFonts w:hint="default"/>
        <w:lang w:val="en-US" w:eastAsia="en-US" w:bidi="ar-SA"/>
      </w:rPr>
    </w:lvl>
    <w:lvl w:ilvl="5">
      <w:start w:val="0"/>
      <w:numFmt w:val="bullet"/>
      <w:lvlText w:val="•"/>
      <w:lvlJc w:val="left"/>
      <w:pPr>
        <w:ind w:left="6600" w:hanging="425"/>
      </w:pPr>
      <w:rPr>
        <w:rFonts w:hint="default"/>
        <w:lang w:val="en-US" w:eastAsia="en-US" w:bidi="ar-SA"/>
      </w:rPr>
    </w:lvl>
    <w:lvl w:ilvl="6">
      <w:start w:val="0"/>
      <w:numFmt w:val="bullet"/>
      <w:lvlText w:val="•"/>
      <w:lvlJc w:val="left"/>
      <w:pPr>
        <w:ind w:left="7432" w:hanging="425"/>
      </w:pPr>
      <w:rPr>
        <w:rFonts w:hint="default"/>
        <w:lang w:val="en-US" w:eastAsia="en-US" w:bidi="ar-SA"/>
      </w:rPr>
    </w:lvl>
    <w:lvl w:ilvl="7">
      <w:start w:val="0"/>
      <w:numFmt w:val="bullet"/>
      <w:lvlText w:val="•"/>
      <w:lvlJc w:val="left"/>
      <w:pPr>
        <w:ind w:left="8264" w:hanging="425"/>
      </w:pPr>
      <w:rPr>
        <w:rFonts w:hint="default"/>
        <w:lang w:val="en-US" w:eastAsia="en-US" w:bidi="ar-SA"/>
      </w:rPr>
    </w:lvl>
    <w:lvl w:ilvl="8">
      <w:start w:val="0"/>
      <w:numFmt w:val="bullet"/>
      <w:lvlText w:val="•"/>
      <w:lvlJc w:val="left"/>
      <w:pPr>
        <w:ind w:left="9096" w:hanging="425"/>
      </w:pPr>
      <w:rPr>
        <w:rFonts w:hint="default"/>
        <w:lang w:val="en-US" w:eastAsia="en-US" w:bidi="ar-SA"/>
      </w:rPr>
    </w:lvl>
  </w:abstractNum>
  <w:abstractNum w:abstractNumId="33">
    <w:multiLevelType w:val="hybridMultilevel"/>
    <w:lvl w:ilvl="0">
      <w:start w:val="1"/>
      <w:numFmt w:val="upperLetter"/>
      <w:lvlText w:val="%1"/>
      <w:lvlJc w:val="left"/>
      <w:pPr>
        <w:ind w:left="2439" w:hanging="420"/>
        <w:jc w:val="left"/>
      </w:pPr>
      <w:rPr>
        <w:rFonts w:hint="default"/>
        <w:lang w:val="en-US" w:eastAsia="en-US" w:bidi="ar-SA"/>
      </w:rPr>
    </w:lvl>
    <w:lvl w:ilvl="1">
      <w:start w:val="8"/>
      <w:numFmt w:val="decimal"/>
      <w:lvlText w:val="%1.%2."/>
      <w:lvlJc w:val="left"/>
      <w:pPr>
        <w:ind w:left="2439" w:hanging="420"/>
        <w:jc w:val="left"/>
      </w:pPr>
      <w:rPr>
        <w:rFonts w:hint="default" w:ascii="Arial" w:hAnsi="Arial" w:eastAsia="Arial" w:cs="Arial"/>
        <w:b/>
        <w:bCs/>
        <w:i w:val="0"/>
        <w:iCs w:val="0"/>
        <w:spacing w:val="-5"/>
        <w:w w:val="99"/>
        <w:sz w:val="20"/>
        <w:szCs w:val="20"/>
        <w:lang w:val="en-US" w:eastAsia="en-US" w:bidi="ar-SA"/>
      </w:rPr>
    </w:lvl>
    <w:lvl w:ilvl="2">
      <w:start w:val="0"/>
      <w:numFmt w:val="bullet"/>
      <w:lvlText w:val="•"/>
      <w:lvlJc w:val="left"/>
      <w:pPr>
        <w:ind w:left="4104" w:hanging="420"/>
      </w:pPr>
      <w:rPr>
        <w:rFonts w:hint="default"/>
        <w:lang w:val="en-US" w:eastAsia="en-US" w:bidi="ar-SA"/>
      </w:rPr>
    </w:lvl>
    <w:lvl w:ilvl="3">
      <w:start w:val="0"/>
      <w:numFmt w:val="bullet"/>
      <w:lvlText w:val="•"/>
      <w:lvlJc w:val="left"/>
      <w:pPr>
        <w:ind w:left="4936" w:hanging="420"/>
      </w:pPr>
      <w:rPr>
        <w:rFonts w:hint="default"/>
        <w:lang w:val="en-US" w:eastAsia="en-US" w:bidi="ar-SA"/>
      </w:rPr>
    </w:lvl>
    <w:lvl w:ilvl="4">
      <w:start w:val="0"/>
      <w:numFmt w:val="bullet"/>
      <w:lvlText w:val="•"/>
      <w:lvlJc w:val="left"/>
      <w:pPr>
        <w:ind w:left="5768" w:hanging="420"/>
      </w:pPr>
      <w:rPr>
        <w:rFonts w:hint="default"/>
        <w:lang w:val="en-US" w:eastAsia="en-US" w:bidi="ar-SA"/>
      </w:rPr>
    </w:lvl>
    <w:lvl w:ilvl="5">
      <w:start w:val="0"/>
      <w:numFmt w:val="bullet"/>
      <w:lvlText w:val="•"/>
      <w:lvlJc w:val="left"/>
      <w:pPr>
        <w:ind w:left="6600" w:hanging="420"/>
      </w:pPr>
      <w:rPr>
        <w:rFonts w:hint="default"/>
        <w:lang w:val="en-US" w:eastAsia="en-US" w:bidi="ar-SA"/>
      </w:rPr>
    </w:lvl>
    <w:lvl w:ilvl="6">
      <w:start w:val="0"/>
      <w:numFmt w:val="bullet"/>
      <w:lvlText w:val="•"/>
      <w:lvlJc w:val="left"/>
      <w:pPr>
        <w:ind w:left="7432" w:hanging="420"/>
      </w:pPr>
      <w:rPr>
        <w:rFonts w:hint="default"/>
        <w:lang w:val="en-US" w:eastAsia="en-US" w:bidi="ar-SA"/>
      </w:rPr>
    </w:lvl>
    <w:lvl w:ilvl="7">
      <w:start w:val="0"/>
      <w:numFmt w:val="bullet"/>
      <w:lvlText w:val="•"/>
      <w:lvlJc w:val="left"/>
      <w:pPr>
        <w:ind w:left="8264" w:hanging="420"/>
      </w:pPr>
      <w:rPr>
        <w:rFonts w:hint="default"/>
        <w:lang w:val="en-US" w:eastAsia="en-US" w:bidi="ar-SA"/>
      </w:rPr>
    </w:lvl>
    <w:lvl w:ilvl="8">
      <w:start w:val="0"/>
      <w:numFmt w:val="bullet"/>
      <w:lvlText w:val="•"/>
      <w:lvlJc w:val="left"/>
      <w:pPr>
        <w:ind w:left="9096" w:hanging="420"/>
      </w:pPr>
      <w:rPr>
        <w:rFonts w:hint="default"/>
        <w:lang w:val="en-US" w:eastAsia="en-US" w:bidi="ar-SA"/>
      </w:rPr>
    </w:lvl>
  </w:abstractNum>
  <w:abstractNum w:abstractNumId="32">
    <w:multiLevelType w:val="hybridMultilevel"/>
    <w:lvl w:ilvl="0">
      <w:start w:val="1"/>
      <w:numFmt w:val="upperLetter"/>
      <w:lvlText w:val="%1"/>
      <w:lvlJc w:val="left"/>
      <w:pPr>
        <w:ind w:left="2439" w:hanging="420"/>
        <w:jc w:val="left"/>
      </w:pPr>
      <w:rPr>
        <w:rFonts w:hint="default"/>
        <w:lang w:val="en-US" w:eastAsia="en-US" w:bidi="ar-SA"/>
      </w:rPr>
    </w:lvl>
    <w:lvl w:ilvl="1">
      <w:start w:val="4"/>
      <w:numFmt w:val="decimal"/>
      <w:lvlText w:val="%1.%2."/>
      <w:lvlJc w:val="left"/>
      <w:pPr>
        <w:ind w:left="2439" w:hanging="420"/>
        <w:jc w:val="left"/>
      </w:pPr>
      <w:rPr>
        <w:rFonts w:hint="default" w:ascii="Arial" w:hAnsi="Arial" w:eastAsia="Arial" w:cs="Arial"/>
        <w:b/>
        <w:bCs/>
        <w:i w:val="0"/>
        <w:iCs w:val="0"/>
        <w:spacing w:val="-5"/>
        <w:w w:val="99"/>
        <w:sz w:val="20"/>
        <w:szCs w:val="20"/>
        <w:lang w:val="en-US" w:eastAsia="en-US" w:bidi="ar-SA"/>
      </w:rPr>
    </w:lvl>
    <w:lvl w:ilvl="2">
      <w:start w:val="0"/>
      <w:numFmt w:val="bullet"/>
      <w:lvlText w:val="•"/>
      <w:lvlJc w:val="left"/>
      <w:pPr>
        <w:ind w:left="4104" w:hanging="420"/>
      </w:pPr>
      <w:rPr>
        <w:rFonts w:hint="default"/>
        <w:lang w:val="en-US" w:eastAsia="en-US" w:bidi="ar-SA"/>
      </w:rPr>
    </w:lvl>
    <w:lvl w:ilvl="3">
      <w:start w:val="0"/>
      <w:numFmt w:val="bullet"/>
      <w:lvlText w:val="•"/>
      <w:lvlJc w:val="left"/>
      <w:pPr>
        <w:ind w:left="4936" w:hanging="420"/>
      </w:pPr>
      <w:rPr>
        <w:rFonts w:hint="default"/>
        <w:lang w:val="en-US" w:eastAsia="en-US" w:bidi="ar-SA"/>
      </w:rPr>
    </w:lvl>
    <w:lvl w:ilvl="4">
      <w:start w:val="0"/>
      <w:numFmt w:val="bullet"/>
      <w:lvlText w:val="•"/>
      <w:lvlJc w:val="left"/>
      <w:pPr>
        <w:ind w:left="5768" w:hanging="420"/>
      </w:pPr>
      <w:rPr>
        <w:rFonts w:hint="default"/>
        <w:lang w:val="en-US" w:eastAsia="en-US" w:bidi="ar-SA"/>
      </w:rPr>
    </w:lvl>
    <w:lvl w:ilvl="5">
      <w:start w:val="0"/>
      <w:numFmt w:val="bullet"/>
      <w:lvlText w:val="•"/>
      <w:lvlJc w:val="left"/>
      <w:pPr>
        <w:ind w:left="6600" w:hanging="420"/>
      </w:pPr>
      <w:rPr>
        <w:rFonts w:hint="default"/>
        <w:lang w:val="en-US" w:eastAsia="en-US" w:bidi="ar-SA"/>
      </w:rPr>
    </w:lvl>
    <w:lvl w:ilvl="6">
      <w:start w:val="0"/>
      <w:numFmt w:val="bullet"/>
      <w:lvlText w:val="•"/>
      <w:lvlJc w:val="left"/>
      <w:pPr>
        <w:ind w:left="7432" w:hanging="420"/>
      </w:pPr>
      <w:rPr>
        <w:rFonts w:hint="default"/>
        <w:lang w:val="en-US" w:eastAsia="en-US" w:bidi="ar-SA"/>
      </w:rPr>
    </w:lvl>
    <w:lvl w:ilvl="7">
      <w:start w:val="0"/>
      <w:numFmt w:val="bullet"/>
      <w:lvlText w:val="•"/>
      <w:lvlJc w:val="left"/>
      <w:pPr>
        <w:ind w:left="8264" w:hanging="420"/>
      </w:pPr>
      <w:rPr>
        <w:rFonts w:hint="default"/>
        <w:lang w:val="en-US" w:eastAsia="en-US" w:bidi="ar-SA"/>
      </w:rPr>
    </w:lvl>
    <w:lvl w:ilvl="8">
      <w:start w:val="0"/>
      <w:numFmt w:val="bullet"/>
      <w:lvlText w:val="•"/>
      <w:lvlJc w:val="left"/>
      <w:pPr>
        <w:ind w:left="9096" w:hanging="420"/>
      </w:pPr>
      <w:rPr>
        <w:rFonts w:hint="default"/>
        <w:lang w:val="en-US" w:eastAsia="en-US" w:bidi="ar-SA"/>
      </w:rPr>
    </w:lvl>
  </w:abstractNum>
  <w:abstractNum w:abstractNumId="31">
    <w:multiLevelType w:val="hybridMultilevel"/>
    <w:lvl w:ilvl="0">
      <w:start w:val="1"/>
      <w:numFmt w:val="upperLetter"/>
      <w:lvlText w:val="%1"/>
      <w:lvlJc w:val="left"/>
      <w:pPr>
        <w:ind w:left="2439" w:hanging="420"/>
        <w:jc w:val="left"/>
      </w:pPr>
      <w:rPr>
        <w:rFonts w:hint="default"/>
        <w:lang w:val="en-US" w:eastAsia="en-US" w:bidi="ar-SA"/>
      </w:rPr>
    </w:lvl>
    <w:lvl w:ilvl="1">
      <w:start w:val="2"/>
      <w:numFmt w:val="decimal"/>
      <w:lvlText w:val="%1.%2."/>
      <w:lvlJc w:val="left"/>
      <w:pPr>
        <w:ind w:left="2439" w:hanging="420"/>
        <w:jc w:val="right"/>
      </w:pPr>
      <w:rPr>
        <w:rFonts w:hint="default"/>
        <w:spacing w:val="-5"/>
        <w:w w:val="99"/>
        <w:lang w:val="en-US" w:eastAsia="en-US" w:bidi="ar-SA"/>
      </w:rPr>
    </w:lvl>
    <w:lvl w:ilvl="2">
      <w:start w:val="0"/>
      <w:numFmt w:val="bullet"/>
      <w:lvlText w:val="•"/>
      <w:lvlJc w:val="left"/>
      <w:pPr>
        <w:ind w:left="4104" w:hanging="420"/>
      </w:pPr>
      <w:rPr>
        <w:rFonts w:hint="default"/>
        <w:lang w:val="en-US" w:eastAsia="en-US" w:bidi="ar-SA"/>
      </w:rPr>
    </w:lvl>
    <w:lvl w:ilvl="3">
      <w:start w:val="0"/>
      <w:numFmt w:val="bullet"/>
      <w:lvlText w:val="•"/>
      <w:lvlJc w:val="left"/>
      <w:pPr>
        <w:ind w:left="4936" w:hanging="420"/>
      </w:pPr>
      <w:rPr>
        <w:rFonts w:hint="default"/>
        <w:lang w:val="en-US" w:eastAsia="en-US" w:bidi="ar-SA"/>
      </w:rPr>
    </w:lvl>
    <w:lvl w:ilvl="4">
      <w:start w:val="0"/>
      <w:numFmt w:val="bullet"/>
      <w:lvlText w:val="•"/>
      <w:lvlJc w:val="left"/>
      <w:pPr>
        <w:ind w:left="5768" w:hanging="420"/>
      </w:pPr>
      <w:rPr>
        <w:rFonts w:hint="default"/>
        <w:lang w:val="en-US" w:eastAsia="en-US" w:bidi="ar-SA"/>
      </w:rPr>
    </w:lvl>
    <w:lvl w:ilvl="5">
      <w:start w:val="0"/>
      <w:numFmt w:val="bullet"/>
      <w:lvlText w:val="•"/>
      <w:lvlJc w:val="left"/>
      <w:pPr>
        <w:ind w:left="6600" w:hanging="420"/>
      </w:pPr>
      <w:rPr>
        <w:rFonts w:hint="default"/>
        <w:lang w:val="en-US" w:eastAsia="en-US" w:bidi="ar-SA"/>
      </w:rPr>
    </w:lvl>
    <w:lvl w:ilvl="6">
      <w:start w:val="0"/>
      <w:numFmt w:val="bullet"/>
      <w:lvlText w:val="•"/>
      <w:lvlJc w:val="left"/>
      <w:pPr>
        <w:ind w:left="7432" w:hanging="420"/>
      </w:pPr>
      <w:rPr>
        <w:rFonts w:hint="default"/>
        <w:lang w:val="en-US" w:eastAsia="en-US" w:bidi="ar-SA"/>
      </w:rPr>
    </w:lvl>
    <w:lvl w:ilvl="7">
      <w:start w:val="0"/>
      <w:numFmt w:val="bullet"/>
      <w:lvlText w:val="•"/>
      <w:lvlJc w:val="left"/>
      <w:pPr>
        <w:ind w:left="8264" w:hanging="420"/>
      </w:pPr>
      <w:rPr>
        <w:rFonts w:hint="default"/>
        <w:lang w:val="en-US" w:eastAsia="en-US" w:bidi="ar-SA"/>
      </w:rPr>
    </w:lvl>
    <w:lvl w:ilvl="8">
      <w:start w:val="0"/>
      <w:numFmt w:val="bullet"/>
      <w:lvlText w:val="•"/>
      <w:lvlJc w:val="left"/>
      <w:pPr>
        <w:ind w:left="9096" w:hanging="420"/>
      </w:pPr>
      <w:rPr>
        <w:rFonts w:hint="default"/>
        <w:lang w:val="en-US" w:eastAsia="en-US" w:bidi="ar-SA"/>
      </w:rPr>
    </w:lvl>
  </w:abstractNum>
  <w:abstractNum w:abstractNumId="30">
    <w:multiLevelType w:val="hybridMultilevel"/>
    <w:lvl w:ilvl="0">
      <w:start w:val="2"/>
      <w:numFmt w:val="upperLetter"/>
      <w:lvlText w:val="%1"/>
      <w:lvlJc w:val="left"/>
      <w:pPr>
        <w:ind w:left="2432" w:hanging="929"/>
        <w:jc w:val="left"/>
      </w:pPr>
      <w:rPr>
        <w:rFonts w:hint="default"/>
        <w:lang w:val="en-US" w:eastAsia="en-US" w:bidi="ar-SA"/>
      </w:rPr>
    </w:lvl>
    <w:lvl w:ilvl="1">
      <w:start w:val="1"/>
      <w:numFmt w:val="decimal"/>
      <w:lvlText w:val="%1-%2"/>
      <w:lvlJc w:val="left"/>
      <w:pPr>
        <w:ind w:left="2432" w:hanging="929"/>
        <w:jc w:val="left"/>
      </w:pPr>
      <w:rPr>
        <w:rFonts w:hint="default" w:ascii="Arial" w:hAnsi="Arial" w:eastAsia="Arial" w:cs="Arial"/>
        <w:b w:val="0"/>
        <w:bCs w:val="0"/>
        <w:i w:val="0"/>
        <w:iCs w:val="0"/>
        <w:spacing w:val="-1"/>
        <w:w w:val="99"/>
        <w:sz w:val="20"/>
        <w:szCs w:val="20"/>
        <w:lang w:val="en-US" w:eastAsia="en-US" w:bidi="ar-SA"/>
      </w:rPr>
    </w:lvl>
    <w:lvl w:ilvl="2">
      <w:start w:val="0"/>
      <w:numFmt w:val="bullet"/>
      <w:lvlText w:val="•"/>
      <w:lvlJc w:val="left"/>
      <w:pPr>
        <w:ind w:left="4104" w:hanging="929"/>
      </w:pPr>
      <w:rPr>
        <w:rFonts w:hint="default"/>
        <w:lang w:val="en-US" w:eastAsia="en-US" w:bidi="ar-SA"/>
      </w:rPr>
    </w:lvl>
    <w:lvl w:ilvl="3">
      <w:start w:val="0"/>
      <w:numFmt w:val="bullet"/>
      <w:lvlText w:val="•"/>
      <w:lvlJc w:val="left"/>
      <w:pPr>
        <w:ind w:left="4936" w:hanging="929"/>
      </w:pPr>
      <w:rPr>
        <w:rFonts w:hint="default"/>
        <w:lang w:val="en-US" w:eastAsia="en-US" w:bidi="ar-SA"/>
      </w:rPr>
    </w:lvl>
    <w:lvl w:ilvl="4">
      <w:start w:val="0"/>
      <w:numFmt w:val="bullet"/>
      <w:lvlText w:val="•"/>
      <w:lvlJc w:val="left"/>
      <w:pPr>
        <w:ind w:left="5768" w:hanging="929"/>
      </w:pPr>
      <w:rPr>
        <w:rFonts w:hint="default"/>
        <w:lang w:val="en-US" w:eastAsia="en-US" w:bidi="ar-SA"/>
      </w:rPr>
    </w:lvl>
    <w:lvl w:ilvl="5">
      <w:start w:val="0"/>
      <w:numFmt w:val="bullet"/>
      <w:lvlText w:val="•"/>
      <w:lvlJc w:val="left"/>
      <w:pPr>
        <w:ind w:left="6600" w:hanging="929"/>
      </w:pPr>
      <w:rPr>
        <w:rFonts w:hint="default"/>
        <w:lang w:val="en-US" w:eastAsia="en-US" w:bidi="ar-SA"/>
      </w:rPr>
    </w:lvl>
    <w:lvl w:ilvl="6">
      <w:start w:val="0"/>
      <w:numFmt w:val="bullet"/>
      <w:lvlText w:val="•"/>
      <w:lvlJc w:val="left"/>
      <w:pPr>
        <w:ind w:left="7432" w:hanging="929"/>
      </w:pPr>
      <w:rPr>
        <w:rFonts w:hint="default"/>
        <w:lang w:val="en-US" w:eastAsia="en-US" w:bidi="ar-SA"/>
      </w:rPr>
    </w:lvl>
    <w:lvl w:ilvl="7">
      <w:start w:val="0"/>
      <w:numFmt w:val="bullet"/>
      <w:lvlText w:val="•"/>
      <w:lvlJc w:val="left"/>
      <w:pPr>
        <w:ind w:left="8264" w:hanging="929"/>
      </w:pPr>
      <w:rPr>
        <w:rFonts w:hint="default"/>
        <w:lang w:val="en-US" w:eastAsia="en-US" w:bidi="ar-SA"/>
      </w:rPr>
    </w:lvl>
    <w:lvl w:ilvl="8">
      <w:start w:val="0"/>
      <w:numFmt w:val="bullet"/>
      <w:lvlText w:val="•"/>
      <w:lvlJc w:val="left"/>
      <w:pPr>
        <w:ind w:left="9096" w:hanging="929"/>
      </w:pPr>
      <w:rPr>
        <w:rFonts w:hint="default"/>
        <w:lang w:val="en-US" w:eastAsia="en-US" w:bidi="ar-SA"/>
      </w:rPr>
    </w:lvl>
  </w:abstractNum>
  <w:abstractNum w:abstractNumId="29">
    <w:multiLevelType w:val="hybridMultilevel"/>
    <w:lvl w:ilvl="0">
      <w:start w:val="1"/>
      <w:numFmt w:val="upperLetter"/>
      <w:lvlText w:val="%1"/>
      <w:lvlJc w:val="left"/>
      <w:pPr>
        <w:ind w:left="2080" w:hanging="576"/>
        <w:jc w:val="left"/>
      </w:pPr>
      <w:rPr>
        <w:rFonts w:hint="default"/>
        <w:lang w:val="en-US" w:eastAsia="en-US" w:bidi="ar-SA"/>
      </w:rPr>
    </w:lvl>
    <w:lvl w:ilvl="1">
      <w:start w:val="1"/>
      <w:numFmt w:val="decimal"/>
      <w:lvlText w:val="%1-%2"/>
      <w:lvlJc w:val="left"/>
      <w:pPr>
        <w:ind w:left="2080" w:hanging="576"/>
        <w:jc w:val="left"/>
      </w:pPr>
      <w:rPr>
        <w:rFonts w:hint="default" w:ascii="Arial" w:hAnsi="Arial" w:eastAsia="Arial" w:cs="Arial"/>
        <w:b w:val="0"/>
        <w:bCs w:val="0"/>
        <w:i w:val="0"/>
        <w:iCs w:val="0"/>
        <w:spacing w:val="-1"/>
        <w:w w:val="99"/>
        <w:sz w:val="20"/>
        <w:szCs w:val="20"/>
        <w:lang w:val="en-US" w:eastAsia="en-US" w:bidi="ar-SA"/>
      </w:rPr>
    </w:lvl>
    <w:lvl w:ilvl="2">
      <w:start w:val="0"/>
      <w:numFmt w:val="bullet"/>
      <w:lvlText w:val="•"/>
      <w:lvlJc w:val="left"/>
      <w:pPr>
        <w:ind w:left="3816" w:hanging="576"/>
      </w:pPr>
      <w:rPr>
        <w:rFonts w:hint="default"/>
        <w:lang w:val="en-US" w:eastAsia="en-US" w:bidi="ar-SA"/>
      </w:rPr>
    </w:lvl>
    <w:lvl w:ilvl="3">
      <w:start w:val="0"/>
      <w:numFmt w:val="bullet"/>
      <w:lvlText w:val="•"/>
      <w:lvlJc w:val="left"/>
      <w:pPr>
        <w:ind w:left="4684" w:hanging="576"/>
      </w:pPr>
      <w:rPr>
        <w:rFonts w:hint="default"/>
        <w:lang w:val="en-US" w:eastAsia="en-US" w:bidi="ar-SA"/>
      </w:rPr>
    </w:lvl>
    <w:lvl w:ilvl="4">
      <w:start w:val="0"/>
      <w:numFmt w:val="bullet"/>
      <w:lvlText w:val="•"/>
      <w:lvlJc w:val="left"/>
      <w:pPr>
        <w:ind w:left="5552" w:hanging="576"/>
      </w:pPr>
      <w:rPr>
        <w:rFonts w:hint="default"/>
        <w:lang w:val="en-US" w:eastAsia="en-US" w:bidi="ar-SA"/>
      </w:rPr>
    </w:lvl>
    <w:lvl w:ilvl="5">
      <w:start w:val="0"/>
      <w:numFmt w:val="bullet"/>
      <w:lvlText w:val="•"/>
      <w:lvlJc w:val="left"/>
      <w:pPr>
        <w:ind w:left="6420" w:hanging="576"/>
      </w:pPr>
      <w:rPr>
        <w:rFonts w:hint="default"/>
        <w:lang w:val="en-US" w:eastAsia="en-US" w:bidi="ar-SA"/>
      </w:rPr>
    </w:lvl>
    <w:lvl w:ilvl="6">
      <w:start w:val="0"/>
      <w:numFmt w:val="bullet"/>
      <w:lvlText w:val="•"/>
      <w:lvlJc w:val="left"/>
      <w:pPr>
        <w:ind w:left="7288" w:hanging="576"/>
      </w:pPr>
      <w:rPr>
        <w:rFonts w:hint="default"/>
        <w:lang w:val="en-US" w:eastAsia="en-US" w:bidi="ar-SA"/>
      </w:rPr>
    </w:lvl>
    <w:lvl w:ilvl="7">
      <w:start w:val="0"/>
      <w:numFmt w:val="bullet"/>
      <w:lvlText w:val="•"/>
      <w:lvlJc w:val="left"/>
      <w:pPr>
        <w:ind w:left="8156" w:hanging="576"/>
      </w:pPr>
      <w:rPr>
        <w:rFonts w:hint="default"/>
        <w:lang w:val="en-US" w:eastAsia="en-US" w:bidi="ar-SA"/>
      </w:rPr>
    </w:lvl>
    <w:lvl w:ilvl="8">
      <w:start w:val="0"/>
      <w:numFmt w:val="bullet"/>
      <w:lvlText w:val="•"/>
      <w:lvlJc w:val="left"/>
      <w:pPr>
        <w:ind w:left="9024" w:hanging="576"/>
      </w:pPr>
      <w:rPr>
        <w:rFonts w:hint="default"/>
        <w:lang w:val="en-US" w:eastAsia="en-US" w:bidi="ar-SA"/>
      </w:rPr>
    </w:lvl>
  </w:abstractNum>
  <w:abstractNum w:abstractNumId="28">
    <w:multiLevelType w:val="hybridMultilevel"/>
    <w:lvl w:ilvl="0">
      <w:start w:val="2"/>
      <w:numFmt w:val="decimal"/>
      <w:lvlText w:val="%1"/>
      <w:lvlJc w:val="left"/>
      <w:pPr>
        <w:ind w:left="1072" w:hanging="433"/>
        <w:jc w:val="left"/>
      </w:pPr>
      <w:rPr>
        <w:rFonts w:hint="default"/>
        <w:lang w:val="en-US" w:eastAsia="en-US" w:bidi="ar-SA"/>
      </w:rPr>
    </w:lvl>
    <w:lvl w:ilvl="1">
      <w:start w:val="1"/>
      <w:numFmt w:val="decimal"/>
      <w:lvlText w:val="%1.%2."/>
      <w:lvlJc w:val="left"/>
      <w:pPr>
        <w:ind w:left="1072" w:hanging="433"/>
        <w:jc w:val="left"/>
      </w:pPr>
      <w:rPr>
        <w:rFonts w:hint="default" w:ascii="Arial" w:hAnsi="Arial" w:eastAsia="Arial" w:cs="Arial"/>
        <w:b w:val="0"/>
        <w:bCs w:val="0"/>
        <w:i w:val="0"/>
        <w:iCs w:val="0"/>
        <w:spacing w:val="-1"/>
        <w:w w:val="99"/>
        <w:sz w:val="20"/>
        <w:szCs w:val="20"/>
        <w:lang w:val="en-US" w:eastAsia="en-US" w:bidi="ar-SA"/>
      </w:rPr>
    </w:lvl>
    <w:lvl w:ilvl="2">
      <w:start w:val="1"/>
      <w:numFmt w:val="decimal"/>
      <w:lvlText w:val="%1.%2.%3."/>
      <w:lvlJc w:val="left"/>
      <w:pPr>
        <w:ind w:left="1504" w:hanging="504"/>
        <w:jc w:val="left"/>
      </w:pPr>
      <w:rPr>
        <w:rFonts w:hint="default" w:ascii="Arial" w:hAnsi="Arial" w:eastAsia="Arial" w:cs="Arial"/>
        <w:b w:val="0"/>
        <w:bCs w:val="0"/>
        <w:i w:val="0"/>
        <w:iCs w:val="0"/>
        <w:spacing w:val="-1"/>
        <w:w w:val="99"/>
        <w:sz w:val="18"/>
        <w:szCs w:val="18"/>
        <w:lang w:val="en-US" w:eastAsia="en-US" w:bidi="ar-SA"/>
      </w:rPr>
    </w:lvl>
    <w:lvl w:ilvl="3">
      <w:start w:val="0"/>
      <w:numFmt w:val="bullet"/>
      <w:lvlText w:val="•"/>
      <w:lvlJc w:val="left"/>
      <w:pPr>
        <w:ind w:left="3557" w:hanging="504"/>
      </w:pPr>
      <w:rPr>
        <w:rFonts w:hint="default"/>
        <w:lang w:val="en-US" w:eastAsia="en-US" w:bidi="ar-SA"/>
      </w:rPr>
    </w:lvl>
    <w:lvl w:ilvl="4">
      <w:start w:val="0"/>
      <w:numFmt w:val="bullet"/>
      <w:lvlText w:val="•"/>
      <w:lvlJc w:val="left"/>
      <w:pPr>
        <w:ind w:left="4586" w:hanging="504"/>
      </w:pPr>
      <w:rPr>
        <w:rFonts w:hint="default"/>
        <w:lang w:val="en-US" w:eastAsia="en-US" w:bidi="ar-SA"/>
      </w:rPr>
    </w:lvl>
    <w:lvl w:ilvl="5">
      <w:start w:val="0"/>
      <w:numFmt w:val="bullet"/>
      <w:lvlText w:val="•"/>
      <w:lvlJc w:val="left"/>
      <w:pPr>
        <w:ind w:left="5615" w:hanging="504"/>
      </w:pPr>
      <w:rPr>
        <w:rFonts w:hint="default"/>
        <w:lang w:val="en-US" w:eastAsia="en-US" w:bidi="ar-SA"/>
      </w:rPr>
    </w:lvl>
    <w:lvl w:ilvl="6">
      <w:start w:val="0"/>
      <w:numFmt w:val="bullet"/>
      <w:lvlText w:val="•"/>
      <w:lvlJc w:val="left"/>
      <w:pPr>
        <w:ind w:left="6644" w:hanging="504"/>
      </w:pPr>
      <w:rPr>
        <w:rFonts w:hint="default"/>
        <w:lang w:val="en-US" w:eastAsia="en-US" w:bidi="ar-SA"/>
      </w:rPr>
    </w:lvl>
    <w:lvl w:ilvl="7">
      <w:start w:val="0"/>
      <w:numFmt w:val="bullet"/>
      <w:lvlText w:val="•"/>
      <w:lvlJc w:val="left"/>
      <w:pPr>
        <w:ind w:left="7673" w:hanging="504"/>
      </w:pPr>
      <w:rPr>
        <w:rFonts w:hint="default"/>
        <w:lang w:val="en-US" w:eastAsia="en-US" w:bidi="ar-SA"/>
      </w:rPr>
    </w:lvl>
    <w:lvl w:ilvl="8">
      <w:start w:val="0"/>
      <w:numFmt w:val="bullet"/>
      <w:lvlText w:val="•"/>
      <w:lvlJc w:val="left"/>
      <w:pPr>
        <w:ind w:left="8702" w:hanging="504"/>
      </w:pPr>
      <w:rPr>
        <w:rFonts w:hint="default"/>
        <w:lang w:val="en-US" w:eastAsia="en-US" w:bidi="ar-SA"/>
      </w:rPr>
    </w:lvl>
  </w:abstractNum>
  <w:abstractNum w:abstractNumId="27">
    <w:multiLevelType w:val="hybridMultilevel"/>
    <w:lvl w:ilvl="0">
      <w:start w:val="1"/>
      <w:numFmt w:val="decimal"/>
      <w:lvlText w:val="%1"/>
      <w:lvlJc w:val="left"/>
      <w:pPr>
        <w:ind w:left="1405" w:hanging="886"/>
        <w:jc w:val="left"/>
      </w:pPr>
      <w:rPr>
        <w:rFonts w:hint="default"/>
        <w:lang w:val="en-US" w:eastAsia="en-US" w:bidi="ar-SA"/>
      </w:rPr>
    </w:lvl>
    <w:lvl w:ilvl="1">
      <w:start w:val="3"/>
      <w:numFmt w:val="decimal"/>
      <w:lvlText w:val="%1.%2"/>
      <w:lvlJc w:val="left"/>
      <w:pPr>
        <w:ind w:left="1405" w:hanging="886"/>
        <w:jc w:val="left"/>
      </w:pPr>
      <w:rPr>
        <w:rFonts w:hint="default" w:ascii="Arial" w:hAnsi="Arial" w:eastAsia="Arial" w:cs="Arial"/>
        <w:b/>
        <w:bCs/>
        <w:i w:val="0"/>
        <w:iCs w:val="0"/>
        <w:spacing w:val="-1"/>
        <w:w w:val="100"/>
        <w:sz w:val="28"/>
        <w:szCs w:val="28"/>
        <w:lang w:val="en-US" w:eastAsia="en-US" w:bidi="ar-SA"/>
      </w:rPr>
    </w:lvl>
    <w:lvl w:ilvl="2">
      <w:start w:val="1"/>
      <w:numFmt w:val="decimal"/>
      <w:lvlText w:val="%1.%2.%3"/>
      <w:lvlJc w:val="left"/>
      <w:pPr>
        <w:ind w:left="1645" w:hanging="886"/>
        <w:jc w:val="right"/>
      </w:pPr>
      <w:rPr>
        <w:rFonts w:hint="default"/>
        <w:spacing w:val="-1"/>
        <w:w w:val="99"/>
        <w:lang w:val="en-US" w:eastAsia="en-US" w:bidi="ar-SA"/>
      </w:rPr>
    </w:lvl>
    <w:lvl w:ilvl="3">
      <w:start w:val="2"/>
      <w:numFmt w:val="decimal"/>
      <w:lvlText w:val="%1.%2.%3.%4"/>
      <w:lvlJc w:val="left"/>
      <w:pPr>
        <w:ind w:left="2079" w:hanging="1080"/>
        <w:jc w:val="left"/>
      </w:pPr>
      <w:rPr>
        <w:rFonts w:hint="default"/>
        <w:spacing w:val="-1"/>
        <w:w w:val="99"/>
        <w:lang w:val="en-US" w:eastAsia="en-US" w:bidi="ar-SA"/>
      </w:rPr>
    </w:lvl>
    <w:lvl w:ilvl="4">
      <w:start w:val="0"/>
      <w:numFmt w:val="bullet"/>
      <w:lvlText w:val="•"/>
      <w:lvlJc w:val="left"/>
      <w:pPr>
        <w:ind w:left="4250" w:hanging="1080"/>
      </w:pPr>
      <w:rPr>
        <w:rFonts w:hint="default"/>
        <w:lang w:val="en-US" w:eastAsia="en-US" w:bidi="ar-SA"/>
      </w:rPr>
    </w:lvl>
    <w:lvl w:ilvl="5">
      <w:start w:val="0"/>
      <w:numFmt w:val="bullet"/>
      <w:lvlText w:val="•"/>
      <w:lvlJc w:val="left"/>
      <w:pPr>
        <w:ind w:left="5335" w:hanging="1080"/>
      </w:pPr>
      <w:rPr>
        <w:rFonts w:hint="default"/>
        <w:lang w:val="en-US" w:eastAsia="en-US" w:bidi="ar-SA"/>
      </w:rPr>
    </w:lvl>
    <w:lvl w:ilvl="6">
      <w:start w:val="0"/>
      <w:numFmt w:val="bullet"/>
      <w:lvlText w:val="•"/>
      <w:lvlJc w:val="left"/>
      <w:pPr>
        <w:ind w:left="6420" w:hanging="1080"/>
      </w:pPr>
      <w:rPr>
        <w:rFonts w:hint="default"/>
        <w:lang w:val="en-US" w:eastAsia="en-US" w:bidi="ar-SA"/>
      </w:rPr>
    </w:lvl>
    <w:lvl w:ilvl="7">
      <w:start w:val="0"/>
      <w:numFmt w:val="bullet"/>
      <w:lvlText w:val="•"/>
      <w:lvlJc w:val="left"/>
      <w:pPr>
        <w:ind w:left="7505" w:hanging="1080"/>
      </w:pPr>
      <w:rPr>
        <w:rFonts w:hint="default"/>
        <w:lang w:val="en-US" w:eastAsia="en-US" w:bidi="ar-SA"/>
      </w:rPr>
    </w:lvl>
    <w:lvl w:ilvl="8">
      <w:start w:val="0"/>
      <w:numFmt w:val="bullet"/>
      <w:lvlText w:val="•"/>
      <w:lvlJc w:val="left"/>
      <w:pPr>
        <w:ind w:left="8590" w:hanging="1080"/>
      </w:pPr>
      <w:rPr>
        <w:rFonts w:hint="default"/>
        <w:lang w:val="en-US" w:eastAsia="en-US" w:bidi="ar-SA"/>
      </w:rPr>
    </w:lvl>
  </w:abstractNum>
  <w:abstractNum w:abstractNumId="26">
    <w:multiLevelType w:val="hybridMultilevel"/>
    <w:lvl w:ilvl="0">
      <w:start w:val="1"/>
      <w:numFmt w:val="decimal"/>
      <w:lvlText w:val="%1."/>
      <w:lvlJc w:val="left"/>
      <w:pPr>
        <w:ind w:left="1863" w:hanging="360"/>
        <w:jc w:val="left"/>
      </w:pPr>
      <w:rPr>
        <w:rFonts w:hint="default" w:ascii="Arial" w:hAnsi="Arial" w:eastAsia="Arial" w:cs="Arial"/>
        <w:b w:val="0"/>
        <w:bCs w:val="0"/>
        <w:i w:val="0"/>
        <w:iCs w:val="0"/>
        <w:spacing w:val="-1"/>
        <w:w w:val="99"/>
        <w:sz w:val="20"/>
        <w:szCs w:val="20"/>
        <w:lang w:val="en-US" w:eastAsia="en-US" w:bidi="ar-SA"/>
      </w:rPr>
    </w:lvl>
    <w:lvl w:ilvl="1">
      <w:start w:val="0"/>
      <w:numFmt w:val="bullet"/>
      <w:lvlText w:val="•"/>
      <w:lvlJc w:val="left"/>
      <w:pPr>
        <w:ind w:left="2750" w:hanging="360"/>
      </w:pPr>
      <w:rPr>
        <w:rFonts w:hint="default"/>
        <w:lang w:val="en-US" w:eastAsia="en-US" w:bidi="ar-SA"/>
      </w:rPr>
    </w:lvl>
    <w:lvl w:ilvl="2">
      <w:start w:val="0"/>
      <w:numFmt w:val="bullet"/>
      <w:lvlText w:val="•"/>
      <w:lvlJc w:val="left"/>
      <w:pPr>
        <w:ind w:left="3640" w:hanging="360"/>
      </w:pPr>
      <w:rPr>
        <w:rFonts w:hint="default"/>
        <w:lang w:val="en-US" w:eastAsia="en-US" w:bidi="ar-SA"/>
      </w:rPr>
    </w:lvl>
    <w:lvl w:ilvl="3">
      <w:start w:val="0"/>
      <w:numFmt w:val="bullet"/>
      <w:lvlText w:val="•"/>
      <w:lvlJc w:val="left"/>
      <w:pPr>
        <w:ind w:left="4530" w:hanging="360"/>
      </w:pPr>
      <w:rPr>
        <w:rFonts w:hint="default"/>
        <w:lang w:val="en-US" w:eastAsia="en-US" w:bidi="ar-SA"/>
      </w:rPr>
    </w:lvl>
    <w:lvl w:ilvl="4">
      <w:start w:val="0"/>
      <w:numFmt w:val="bullet"/>
      <w:lvlText w:val="•"/>
      <w:lvlJc w:val="left"/>
      <w:pPr>
        <w:ind w:left="5420" w:hanging="360"/>
      </w:pPr>
      <w:rPr>
        <w:rFonts w:hint="default"/>
        <w:lang w:val="en-US" w:eastAsia="en-US" w:bidi="ar-SA"/>
      </w:rPr>
    </w:lvl>
    <w:lvl w:ilvl="5">
      <w:start w:val="0"/>
      <w:numFmt w:val="bullet"/>
      <w:lvlText w:val="•"/>
      <w:lvlJc w:val="left"/>
      <w:pPr>
        <w:ind w:left="6310" w:hanging="360"/>
      </w:pPr>
      <w:rPr>
        <w:rFonts w:hint="default"/>
        <w:lang w:val="en-US" w:eastAsia="en-US" w:bidi="ar-SA"/>
      </w:rPr>
    </w:lvl>
    <w:lvl w:ilvl="6">
      <w:start w:val="0"/>
      <w:numFmt w:val="bullet"/>
      <w:lvlText w:val="•"/>
      <w:lvlJc w:val="left"/>
      <w:pPr>
        <w:ind w:left="7200" w:hanging="360"/>
      </w:pPr>
      <w:rPr>
        <w:rFonts w:hint="default"/>
        <w:lang w:val="en-US" w:eastAsia="en-US" w:bidi="ar-SA"/>
      </w:rPr>
    </w:lvl>
    <w:lvl w:ilvl="7">
      <w:start w:val="0"/>
      <w:numFmt w:val="bullet"/>
      <w:lvlText w:val="•"/>
      <w:lvlJc w:val="left"/>
      <w:pPr>
        <w:ind w:left="8090" w:hanging="360"/>
      </w:pPr>
      <w:rPr>
        <w:rFonts w:hint="default"/>
        <w:lang w:val="en-US" w:eastAsia="en-US" w:bidi="ar-SA"/>
      </w:rPr>
    </w:lvl>
    <w:lvl w:ilvl="8">
      <w:start w:val="0"/>
      <w:numFmt w:val="bullet"/>
      <w:lvlText w:val="•"/>
      <w:lvlJc w:val="left"/>
      <w:pPr>
        <w:ind w:left="8980" w:hanging="360"/>
      </w:pPr>
      <w:rPr>
        <w:rFonts w:hint="default"/>
        <w:lang w:val="en-US" w:eastAsia="en-US" w:bidi="ar-SA"/>
      </w:rPr>
    </w:lvl>
  </w:abstractNum>
  <w:abstractNum w:abstractNumId="25">
    <w:multiLevelType w:val="hybridMultilevel"/>
    <w:lvl w:ilvl="0">
      <w:start w:val="1"/>
      <w:numFmt w:val="lowerLetter"/>
      <w:lvlText w:val="%1."/>
      <w:lvlJc w:val="left"/>
      <w:pPr>
        <w:ind w:left="2439" w:hanging="360"/>
        <w:jc w:val="left"/>
      </w:pPr>
      <w:rPr>
        <w:rFonts w:hint="default" w:ascii="Arial" w:hAnsi="Arial" w:eastAsia="Arial" w:cs="Arial"/>
        <w:b w:val="0"/>
        <w:bCs w:val="0"/>
        <w:i w:val="0"/>
        <w:iCs w:val="0"/>
        <w:spacing w:val="-1"/>
        <w:w w:val="99"/>
        <w:sz w:val="20"/>
        <w:szCs w:val="20"/>
        <w:lang w:val="en-US" w:eastAsia="en-US" w:bidi="ar-SA"/>
      </w:rPr>
    </w:lvl>
    <w:lvl w:ilvl="1">
      <w:start w:val="0"/>
      <w:numFmt w:val="bullet"/>
      <w:lvlText w:val="•"/>
      <w:lvlJc w:val="left"/>
      <w:pPr>
        <w:ind w:left="3272" w:hanging="360"/>
      </w:pPr>
      <w:rPr>
        <w:rFonts w:hint="default"/>
        <w:lang w:val="en-US" w:eastAsia="en-US" w:bidi="ar-SA"/>
      </w:rPr>
    </w:lvl>
    <w:lvl w:ilvl="2">
      <w:start w:val="0"/>
      <w:numFmt w:val="bullet"/>
      <w:lvlText w:val="•"/>
      <w:lvlJc w:val="left"/>
      <w:pPr>
        <w:ind w:left="4104" w:hanging="360"/>
      </w:pPr>
      <w:rPr>
        <w:rFonts w:hint="default"/>
        <w:lang w:val="en-US" w:eastAsia="en-US" w:bidi="ar-SA"/>
      </w:rPr>
    </w:lvl>
    <w:lvl w:ilvl="3">
      <w:start w:val="0"/>
      <w:numFmt w:val="bullet"/>
      <w:lvlText w:val="•"/>
      <w:lvlJc w:val="left"/>
      <w:pPr>
        <w:ind w:left="4936" w:hanging="360"/>
      </w:pPr>
      <w:rPr>
        <w:rFonts w:hint="default"/>
        <w:lang w:val="en-US" w:eastAsia="en-US" w:bidi="ar-SA"/>
      </w:rPr>
    </w:lvl>
    <w:lvl w:ilvl="4">
      <w:start w:val="0"/>
      <w:numFmt w:val="bullet"/>
      <w:lvlText w:val="•"/>
      <w:lvlJc w:val="left"/>
      <w:pPr>
        <w:ind w:left="5768" w:hanging="360"/>
      </w:pPr>
      <w:rPr>
        <w:rFonts w:hint="default"/>
        <w:lang w:val="en-US" w:eastAsia="en-US" w:bidi="ar-SA"/>
      </w:rPr>
    </w:lvl>
    <w:lvl w:ilvl="5">
      <w:start w:val="0"/>
      <w:numFmt w:val="bullet"/>
      <w:lvlText w:val="•"/>
      <w:lvlJc w:val="left"/>
      <w:pPr>
        <w:ind w:left="6600" w:hanging="360"/>
      </w:pPr>
      <w:rPr>
        <w:rFonts w:hint="default"/>
        <w:lang w:val="en-US" w:eastAsia="en-US" w:bidi="ar-SA"/>
      </w:rPr>
    </w:lvl>
    <w:lvl w:ilvl="6">
      <w:start w:val="0"/>
      <w:numFmt w:val="bullet"/>
      <w:lvlText w:val="•"/>
      <w:lvlJc w:val="left"/>
      <w:pPr>
        <w:ind w:left="7432" w:hanging="360"/>
      </w:pPr>
      <w:rPr>
        <w:rFonts w:hint="default"/>
        <w:lang w:val="en-US" w:eastAsia="en-US" w:bidi="ar-SA"/>
      </w:rPr>
    </w:lvl>
    <w:lvl w:ilvl="7">
      <w:start w:val="0"/>
      <w:numFmt w:val="bullet"/>
      <w:lvlText w:val="•"/>
      <w:lvlJc w:val="left"/>
      <w:pPr>
        <w:ind w:left="8264" w:hanging="360"/>
      </w:pPr>
      <w:rPr>
        <w:rFonts w:hint="default"/>
        <w:lang w:val="en-US" w:eastAsia="en-US" w:bidi="ar-SA"/>
      </w:rPr>
    </w:lvl>
    <w:lvl w:ilvl="8">
      <w:start w:val="0"/>
      <w:numFmt w:val="bullet"/>
      <w:lvlText w:val="•"/>
      <w:lvlJc w:val="left"/>
      <w:pPr>
        <w:ind w:left="9096" w:hanging="360"/>
      </w:pPr>
      <w:rPr>
        <w:rFonts w:hint="default"/>
        <w:lang w:val="en-US" w:eastAsia="en-US" w:bidi="ar-SA"/>
      </w:rPr>
    </w:lvl>
  </w:abstractNum>
  <w:abstractNum w:abstractNumId="24">
    <w:multiLevelType w:val="hybridMultilevel"/>
    <w:lvl w:ilvl="0">
      <w:start w:val="1"/>
      <w:numFmt w:val="decimal"/>
      <w:lvlText w:val="%1"/>
      <w:lvlJc w:val="left"/>
      <w:pPr>
        <w:ind w:left="1220" w:hanging="886"/>
        <w:jc w:val="left"/>
      </w:pPr>
      <w:rPr>
        <w:rFonts w:hint="default"/>
        <w:lang w:val="en-US" w:eastAsia="en-US" w:bidi="ar-SA"/>
      </w:rPr>
    </w:lvl>
    <w:lvl w:ilvl="1">
      <w:start w:val="2"/>
      <w:numFmt w:val="decimal"/>
      <w:lvlText w:val="%1.%2"/>
      <w:lvlJc w:val="left"/>
      <w:pPr>
        <w:ind w:left="1220" w:hanging="886"/>
        <w:jc w:val="left"/>
      </w:pPr>
      <w:rPr>
        <w:rFonts w:hint="default"/>
        <w:lang w:val="en-US" w:eastAsia="en-US" w:bidi="ar-SA"/>
      </w:rPr>
    </w:lvl>
    <w:lvl w:ilvl="2">
      <w:start w:val="2"/>
      <w:numFmt w:val="decimal"/>
      <w:lvlText w:val="%1.%2.%3"/>
      <w:lvlJc w:val="left"/>
      <w:pPr>
        <w:ind w:left="1220" w:hanging="886"/>
        <w:jc w:val="right"/>
      </w:pPr>
      <w:rPr>
        <w:rFonts w:hint="default" w:ascii="Arial" w:hAnsi="Arial" w:eastAsia="Arial" w:cs="Arial"/>
        <w:b/>
        <w:bCs/>
        <w:i w:val="0"/>
        <w:iCs w:val="0"/>
        <w:spacing w:val="-1"/>
        <w:w w:val="100"/>
        <w:sz w:val="28"/>
        <w:szCs w:val="28"/>
        <w:lang w:val="en-US" w:eastAsia="en-US" w:bidi="ar-SA"/>
      </w:rPr>
    </w:lvl>
    <w:lvl w:ilvl="3">
      <w:start w:val="0"/>
      <w:numFmt w:val="bullet"/>
      <w:lvlText w:val="•"/>
      <w:lvlJc w:val="left"/>
      <w:pPr>
        <w:ind w:left="3956" w:hanging="886"/>
      </w:pPr>
      <w:rPr>
        <w:rFonts w:hint="default"/>
        <w:lang w:val="en-US" w:eastAsia="en-US" w:bidi="ar-SA"/>
      </w:rPr>
    </w:lvl>
    <w:lvl w:ilvl="4">
      <w:start w:val="0"/>
      <w:numFmt w:val="bullet"/>
      <w:lvlText w:val="•"/>
      <w:lvlJc w:val="left"/>
      <w:pPr>
        <w:ind w:left="4868" w:hanging="886"/>
      </w:pPr>
      <w:rPr>
        <w:rFonts w:hint="default"/>
        <w:lang w:val="en-US" w:eastAsia="en-US" w:bidi="ar-SA"/>
      </w:rPr>
    </w:lvl>
    <w:lvl w:ilvl="5">
      <w:start w:val="0"/>
      <w:numFmt w:val="bullet"/>
      <w:lvlText w:val="•"/>
      <w:lvlJc w:val="left"/>
      <w:pPr>
        <w:ind w:left="5780" w:hanging="886"/>
      </w:pPr>
      <w:rPr>
        <w:rFonts w:hint="default"/>
        <w:lang w:val="en-US" w:eastAsia="en-US" w:bidi="ar-SA"/>
      </w:rPr>
    </w:lvl>
    <w:lvl w:ilvl="6">
      <w:start w:val="0"/>
      <w:numFmt w:val="bullet"/>
      <w:lvlText w:val="•"/>
      <w:lvlJc w:val="left"/>
      <w:pPr>
        <w:ind w:left="6692" w:hanging="886"/>
      </w:pPr>
      <w:rPr>
        <w:rFonts w:hint="default"/>
        <w:lang w:val="en-US" w:eastAsia="en-US" w:bidi="ar-SA"/>
      </w:rPr>
    </w:lvl>
    <w:lvl w:ilvl="7">
      <w:start w:val="0"/>
      <w:numFmt w:val="bullet"/>
      <w:lvlText w:val="•"/>
      <w:lvlJc w:val="left"/>
      <w:pPr>
        <w:ind w:left="7604" w:hanging="886"/>
      </w:pPr>
      <w:rPr>
        <w:rFonts w:hint="default"/>
        <w:lang w:val="en-US" w:eastAsia="en-US" w:bidi="ar-SA"/>
      </w:rPr>
    </w:lvl>
    <w:lvl w:ilvl="8">
      <w:start w:val="0"/>
      <w:numFmt w:val="bullet"/>
      <w:lvlText w:val="•"/>
      <w:lvlJc w:val="left"/>
      <w:pPr>
        <w:ind w:left="8516" w:hanging="886"/>
      </w:pPr>
      <w:rPr>
        <w:rFonts w:hint="default"/>
        <w:lang w:val="en-US" w:eastAsia="en-US" w:bidi="ar-SA"/>
      </w:rPr>
    </w:lvl>
  </w:abstractNum>
  <w:abstractNum w:abstractNumId="23">
    <w:multiLevelType w:val="hybridMultilevel"/>
    <w:lvl w:ilvl="0">
      <w:start w:val="0"/>
      <w:numFmt w:val="bullet"/>
      <w:lvlText w:val="•"/>
      <w:lvlJc w:val="left"/>
      <w:pPr>
        <w:ind w:left="2083" w:hanging="360"/>
      </w:pPr>
      <w:rPr>
        <w:rFonts w:hint="default" w:ascii="Arial" w:hAnsi="Arial" w:eastAsia="Arial" w:cs="Arial"/>
        <w:b w:val="0"/>
        <w:bCs w:val="0"/>
        <w:i w:val="0"/>
        <w:iCs w:val="0"/>
        <w:w w:val="130"/>
        <w:sz w:val="20"/>
        <w:szCs w:val="20"/>
        <w:lang w:val="en-US" w:eastAsia="en-US" w:bidi="ar-SA"/>
      </w:rPr>
    </w:lvl>
    <w:lvl w:ilvl="1">
      <w:start w:val="0"/>
      <w:numFmt w:val="bullet"/>
      <w:lvlText w:val="•"/>
      <w:lvlJc w:val="left"/>
      <w:pPr>
        <w:ind w:left="2906" w:hanging="360"/>
      </w:pPr>
      <w:rPr>
        <w:rFonts w:hint="default"/>
        <w:lang w:val="en-US" w:eastAsia="en-US" w:bidi="ar-SA"/>
      </w:rPr>
    </w:lvl>
    <w:lvl w:ilvl="2">
      <w:start w:val="0"/>
      <w:numFmt w:val="bullet"/>
      <w:lvlText w:val="•"/>
      <w:lvlJc w:val="left"/>
      <w:pPr>
        <w:ind w:left="3732" w:hanging="360"/>
      </w:pPr>
      <w:rPr>
        <w:rFonts w:hint="default"/>
        <w:lang w:val="en-US" w:eastAsia="en-US" w:bidi="ar-SA"/>
      </w:rPr>
    </w:lvl>
    <w:lvl w:ilvl="3">
      <w:start w:val="0"/>
      <w:numFmt w:val="bullet"/>
      <w:lvlText w:val="•"/>
      <w:lvlJc w:val="left"/>
      <w:pPr>
        <w:ind w:left="4558" w:hanging="360"/>
      </w:pPr>
      <w:rPr>
        <w:rFonts w:hint="default"/>
        <w:lang w:val="en-US" w:eastAsia="en-US" w:bidi="ar-SA"/>
      </w:rPr>
    </w:lvl>
    <w:lvl w:ilvl="4">
      <w:start w:val="0"/>
      <w:numFmt w:val="bullet"/>
      <w:lvlText w:val="•"/>
      <w:lvlJc w:val="left"/>
      <w:pPr>
        <w:ind w:left="5384" w:hanging="360"/>
      </w:pPr>
      <w:rPr>
        <w:rFonts w:hint="default"/>
        <w:lang w:val="en-US" w:eastAsia="en-US" w:bidi="ar-SA"/>
      </w:rPr>
    </w:lvl>
    <w:lvl w:ilvl="5">
      <w:start w:val="0"/>
      <w:numFmt w:val="bullet"/>
      <w:lvlText w:val="•"/>
      <w:lvlJc w:val="left"/>
      <w:pPr>
        <w:ind w:left="6210" w:hanging="360"/>
      </w:pPr>
      <w:rPr>
        <w:rFonts w:hint="default"/>
        <w:lang w:val="en-US" w:eastAsia="en-US" w:bidi="ar-SA"/>
      </w:rPr>
    </w:lvl>
    <w:lvl w:ilvl="6">
      <w:start w:val="0"/>
      <w:numFmt w:val="bullet"/>
      <w:lvlText w:val="•"/>
      <w:lvlJc w:val="left"/>
      <w:pPr>
        <w:ind w:left="7036" w:hanging="360"/>
      </w:pPr>
      <w:rPr>
        <w:rFonts w:hint="default"/>
        <w:lang w:val="en-US" w:eastAsia="en-US" w:bidi="ar-SA"/>
      </w:rPr>
    </w:lvl>
    <w:lvl w:ilvl="7">
      <w:start w:val="0"/>
      <w:numFmt w:val="bullet"/>
      <w:lvlText w:val="•"/>
      <w:lvlJc w:val="left"/>
      <w:pPr>
        <w:ind w:left="7862" w:hanging="360"/>
      </w:pPr>
      <w:rPr>
        <w:rFonts w:hint="default"/>
        <w:lang w:val="en-US" w:eastAsia="en-US" w:bidi="ar-SA"/>
      </w:rPr>
    </w:lvl>
    <w:lvl w:ilvl="8">
      <w:start w:val="0"/>
      <w:numFmt w:val="bullet"/>
      <w:lvlText w:val="•"/>
      <w:lvlJc w:val="left"/>
      <w:pPr>
        <w:ind w:left="8688" w:hanging="360"/>
      </w:pPr>
      <w:rPr>
        <w:rFonts w:hint="default"/>
        <w:lang w:val="en-US" w:eastAsia="en-US" w:bidi="ar-SA"/>
      </w:rPr>
    </w:lvl>
  </w:abstractNum>
  <w:abstractNum w:abstractNumId="22">
    <w:multiLevelType w:val="hybridMultilevel"/>
    <w:lvl w:ilvl="0">
      <w:start w:val="0"/>
      <w:numFmt w:val="bullet"/>
      <w:lvlText w:val="*"/>
      <w:lvlJc w:val="left"/>
      <w:pPr>
        <w:ind w:left="500" w:hanging="132"/>
      </w:pPr>
      <w:rPr>
        <w:rFonts w:hint="default" w:ascii="Arial" w:hAnsi="Arial" w:eastAsia="Arial" w:cs="Arial"/>
        <w:b w:val="0"/>
        <w:bCs w:val="0"/>
        <w:i w:val="0"/>
        <w:iCs w:val="0"/>
        <w:w w:val="99"/>
        <w:sz w:val="20"/>
        <w:szCs w:val="20"/>
        <w:lang w:val="en-US" w:eastAsia="en-US" w:bidi="ar-SA"/>
      </w:rPr>
    </w:lvl>
    <w:lvl w:ilvl="1">
      <w:start w:val="0"/>
      <w:numFmt w:val="bullet"/>
      <w:lvlText w:val="•"/>
      <w:lvlJc w:val="left"/>
      <w:pPr>
        <w:ind w:left="1484" w:hanging="132"/>
      </w:pPr>
      <w:rPr>
        <w:rFonts w:hint="default"/>
        <w:lang w:val="en-US" w:eastAsia="en-US" w:bidi="ar-SA"/>
      </w:rPr>
    </w:lvl>
    <w:lvl w:ilvl="2">
      <w:start w:val="0"/>
      <w:numFmt w:val="bullet"/>
      <w:lvlText w:val="•"/>
      <w:lvlJc w:val="left"/>
      <w:pPr>
        <w:ind w:left="2468" w:hanging="132"/>
      </w:pPr>
      <w:rPr>
        <w:rFonts w:hint="default"/>
        <w:lang w:val="en-US" w:eastAsia="en-US" w:bidi="ar-SA"/>
      </w:rPr>
    </w:lvl>
    <w:lvl w:ilvl="3">
      <w:start w:val="0"/>
      <w:numFmt w:val="bullet"/>
      <w:lvlText w:val="•"/>
      <w:lvlJc w:val="left"/>
      <w:pPr>
        <w:ind w:left="3452" w:hanging="132"/>
      </w:pPr>
      <w:rPr>
        <w:rFonts w:hint="default"/>
        <w:lang w:val="en-US" w:eastAsia="en-US" w:bidi="ar-SA"/>
      </w:rPr>
    </w:lvl>
    <w:lvl w:ilvl="4">
      <w:start w:val="0"/>
      <w:numFmt w:val="bullet"/>
      <w:lvlText w:val="•"/>
      <w:lvlJc w:val="left"/>
      <w:pPr>
        <w:ind w:left="4436" w:hanging="132"/>
      </w:pPr>
      <w:rPr>
        <w:rFonts w:hint="default"/>
        <w:lang w:val="en-US" w:eastAsia="en-US" w:bidi="ar-SA"/>
      </w:rPr>
    </w:lvl>
    <w:lvl w:ilvl="5">
      <w:start w:val="0"/>
      <w:numFmt w:val="bullet"/>
      <w:lvlText w:val="•"/>
      <w:lvlJc w:val="left"/>
      <w:pPr>
        <w:ind w:left="5420" w:hanging="132"/>
      </w:pPr>
      <w:rPr>
        <w:rFonts w:hint="default"/>
        <w:lang w:val="en-US" w:eastAsia="en-US" w:bidi="ar-SA"/>
      </w:rPr>
    </w:lvl>
    <w:lvl w:ilvl="6">
      <w:start w:val="0"/>
      <w:numFmt w:val="bullet"/>
      <w:lvlText w:val="•"/>
      <w:lvlJc w:val="left"/>
      <w:pPr>
        <w:ind w:left="6404" w:hanging="132"/>
      </w:pPr>
      <w:rPr>
        <w:rFonts w:hint="default"/>
        <w:lang w:val="en-US" w:eastAsia="en-US" w:bidi="ar-SA"/>
      </w:rPr>
    </w:lvl>
    <w:lvl w:ilvl="7">
      <w:start w:val="0"/>
      <w:numFmt w:val="bullet"/>
      <w:lvlText w:val="•"/>
      <w:lvlJc w:val="left"/>
      <w:pPr>
        <w:ind w:left="7388" w:hanging="132"/>
      </w:pPr>
      <w:rPr>
        <w:rFonts w:hint="default"/>
        <w:lang w:val="en-US" w:eastAsia="en-US" w:bidi="ar-SA"/>
      </w:rPr>
    </w:lvl>
    <w:lvl w:ilvl="8">
      <w:start w:val="0"/>
      <w:numFmt w:val="bullet"/>
      <w:lvlText w:val="•"/>
      <w:lvlJc w:val="left"/>
      <w:pPr>
        <w:ind w:left="8372" w:hanging="132"/>
      </w:pPr>
      <w:rPr>
        <w:rFonts w:hint="default"/>
        <w:lang w:val="en-US" w:eastAsia="en-US" w:bidi="ar-SA"/>
      </w:rPr>
    </w:lvl>
  </w:abstractNum>
  <w:abstractNum w:abstractNumId="21">
    <w:multiLevelType w:val="hybridMultilevel"/>
    <w:lvl w:ilvl="0">
      <w:start w:val="2"/>
      <w:numFmt w:val="decimal"/>
      <w:lvlText w:val="%1"/>
      <w:lvlJc w:val="left"/>
      <w:pPr>
        <w:ind w:left="1940" w:hanging="721"/>
        <w:jc w:val="left"/>
      </w:pPr>
      <w:rPr>
        <w:rFonts w:hint="default"/>
        <w:lang w:val="en-US" w:eastAsia="en-US" w:bidi="ar-SA"/>
      </w:rPr>
    </w:lvl>
    <w:lvl w:ilvl="1">
      <w:start w:val="2"/>
      <w:numFmt w:val="decimal"/>
      <w:lvlText w:val="%1.%2"/>
      <w:lvlJc w:val="left"/>
      <w:pPr>
        <w:ind w:left="1940" w:hanging="721"/>
        <w:jc w:val="left"/>
      </w:pPr>
      <w:rPr>
        <w:rFonts w:hint="default"/>
        <w:lang w:val="en-US" w:eastAsia="en-US" w:bidi="ar-SA"/>
      </w:rPr>
    </w:lvl>
    <w:lvl w:ilvl="2">
      <w:start w:val="1"/>
      <w:numFmt w:val="decimal"/>
      <w:lvlText w:val="%1.%2.%3"/>
      <w:lvlJc w:val="left"/>
      <w:pPr>
        <w:ind w:left="1940" w:hanging="721"/>
        <w:jc w:val="left"/>
      </w:pPr>
      <w:rPr>
        <w:rFonts w:hint="default" w:ascii="Arial" w:hAnsi="Arial" w:eastAsia="Arial" w:cs="Arial"/>
        <w:b w:val="0"/>
        <w:bCs w:val="0"/>
        <w:i w:val="0"/>
        <w:iCs w:val="0"/>
        <w:spacing w:val="-1"/>
        <w:w w:val="99"/>
        <w:sz w:val="20"/>
        <w:szCs w:val="20"/>
        <w:lang w:val="en-US" w:eastAsia="en-US" w:bidi="ar-SA"/>
      </w:rPr>
    </w:lvl>
    <w:lvl w:ilvl="3">
      <w:start w:val="1"/>
      <w:numFmt w:val="decimal"/>
      <w:lvlText w:val="%1.%2.%3.%4"/>
      <w:lvlJc w:val="left"/>
      <w:pPr>
        <w:ind w:left="2299" w:hanging="1080"/>
        <w:jc w:val="left"/>
      </w:pPr>
      <w:rPr>
        <w:rFonts w:hint="default" w:ascii="Arial" w:hAnsi="Arial" w:eastAsia="Arial" w:cs="Arial"/>
        <w:b w:val="0"/>
        <w:bCs w:val="0"/>
        <w:i w:val="0"/>
        <w:iCs w:val="0"/>
        <w:spacing w:val="-1"/>
        <w:w w:val="99"/>
        <w:sz w:val="20"/>
        <w:szCs w:val="20"/>
        <w:lang w:val="en-US" w:eastAsia="en-US" w:bidi="ar-SA"/>
      </w:rPr>
    </w:lvl>
    <w:lvl w:ilvl="4">
      <w:start w:val="0"/>
      <w:numFmt w:val="bullet"/>
      <w:lvlText w:val="•"/>
      <w:lvlJc w:val="left"/>
      <w:pPr>
        <w:ind w:left="4980" w:hanging="1080"/>
      </w:pPr>
      <w:rPr>
        <w:rFonts w:hint="default"/>
        <w:lang w:val="en-US" w:eastAsia="en-US" w:bidi="ar-SA"/>
      </w:rPr>
    </w:lvl>
    <w:lvl w:ilvl="5">
      <w:start w:val="0"/>
      <w:numFmt w:val="bullet"/>
      <w:lvlText w:val="•"/>
      <w:lvlJc w:val="left"/>
      <w:pPr>
        <w:ind w:left="5873" w:hanging="1080"/>
      </w:pPr>
      <w:rPr>
        <w:rFonts w:hint="default"/>
        <w:lang w:val="en-US" w:eastAsia="en-US" w:bidi="ar-SA"/>
      </w:rPr>
    </w:lvl>
    <w:lvl w:ilvl="6">
      <w:start w:val="0"/>
      <w:numFmt w:val="bullet"/>
      <w:lvlText w:val="•"/>
      <w:lvlJc w:val="left"/>
      <w:pPr>
        <w:ind w:left="6766" w:hanging="1080"/>
      </w:pPr>
      <w:rPr>
        <w:rFonts w:hint="default"/>
        <w:lang w:val="en-US" w:eastAsia="en-US" w:bidi="ar-SA"/>
      </w:rPr>
    </w:lvl>
    <w:lvl w:ilvl="7">
      <w:start w:val="0"/>
      <w:numFmt w:val="bullet"/>
      <w:lvlText w:val="•"/>
      <w:lvlJc w:val="left"/>
      <w:pPr>
        <w:ind w:left="7660" w:hanging="1080"/>
      </w:pPr>
      <w:rPr>
        <w:rFonts w:hint="default"/>
        <w:lang w:val="en-US" w:eastAsia="en-US" w:bidi="ar-SA"/>
      </w:rPr>
    </w:lvl>
    <w:lvl w:ilvl="8">
      <w:start w:val="0"/>
      <w:numFmt w:val="bullet"/>
      <w:lvlText w:val="•"/>
      <w:lvlJc w:val="left"/>
      <w:pPr>
        <w:ind w:left="8553" w:hanging="1080"/>
      </w:pPr>
      <w:rPr>
        <w:rFonts w:hint="default"/>
        <w:lang w:val="en-US" w:eastAsia="en-US" w:bidi="ar-SA"/>
      </w:rPr>
    </w:lvl>
  </w:abstractNum>
  <w:abstractNum w:abstractNumId="20">
    <w:multiLevelType w:val="hybridMultilevel"/>
    <w:lvl w:ilvl="0">
      <w:start w:val="1"/>
      <w:numFmt w:val="decimal"/>
      <w:lvlText w:val="%1"/>
      <w:lvlJc w:val="left"/>
      <w:pPr>
        <w:ind w:left="1579" w:hanging="720"/>
        <w:jc w:val="left"/>
      </w:pPr>
      <w:rPr>
        <w:rFonts w:hint="default"/>
        <w:lang w:val="en-US" w:eastAsia="en-US" w:bidi="ar-SA"/>
      </w:rPr>
    </w:lvl>
    <w:lvl w:ilvl="1">
      <w:start w:val="2"/>
      <w:numFmt w:val="decimal"/>
      <w:lvlText w:val="%1.%2."/>
      <w:lvlJc w:val="left"/>
      <w:pPr>
        <w:ind w:left="1579" w:hanging="720"/>
        <w:jc w:val="left"/>
      </w:pPr>
      <w:rPr>
        <w:rFonts w:hint="default" w:ascii="Arial" w:hAnsi="Arial" w:eastAsia="Arial" w:cs="Arial"/>
        <w:b/>
        <w:bCs/>
        <w:i w:val="0"/>
        <w:iCs w:val="0"/>
        <w:spacing w:val="-1"/>
        <w:w w:val="100"/>
        <w:sz w:val="28"/>
        <w:szCs w:val="28"/>
        <w:lang w:val="en-US" w:eastAsia="en-US" w:bidi="ar-SA"/>
      </w:rPr>
    </w:lvl>
    <w:lvl w:ilvl="2">
      <w:start w:val="0"/>
      <w:numFmt w:val="bullet"/>
      <w:lvlText w:val="•"/>
      <w:lvlJc w:val="left"/>
      <w:pPr>
        <w:ind w:left="3332" w:hanging="720"/>
      </w:pPr>
      <w:rPr>
        <w:rFonts w:hint="default"/>
        <w:lang w:val="en-US" w:eastAsia="en-US" w:bidi="ar-SA"/>
      </w:rPr>
    </w:lvl>
    <w:lvl w:ilvl="3">
      <w:start w:val="0"/>
      <w:numFmt w:val="bullet"/>
      <w:lvlText w:val="•"/>
      <w:lvlJc w:val="left"/>
      <w:pPr>
        <w:ind w:left="4208" w:hanging="720"/>
      </w:pPr>
      <w:rPr>
        <w:rFonts w:hint="default"/>
        <w:lang w:val="en-US" w:eastAsia="en-US" w:bidi="ar-SA"/>
      </w:rPr>
    </w:lvl>
    <w:lvl w:ilvl="4">
      <w:start w:val="0"/>
      <w:numFmt w:val="bullet"/>
      <w:lvlText w:val="•"/>
      <w:lvlJc w:val="left"/>
      <w:pPr>
        <w:ind w:left="5084" w:hanging="720"/>
      </w:pPr>
      <w:rPr>
        <w:rFonts w:hint="default"/>
        <w:lang w:val="en-US" w:eastAsia="en-US" w:bidi="ar-SA"/>
      </w:rPr>
    </w:lvl>
    <w:lvl w:ilvl="5">
      <w:start w:val="0"/>
      <w:numFmt w:val="bullet"/>
      <w:lvlText w:val="•"/>
      <w:lvlJc w:val="left"/>
      <w:pPr>
        <w:ind w:left="5960" w:hanging="720"/>
      </w:pPr>
      <w:rPr>
        <w:rFonts w:hint="default"/>
        <w:lang w:val="en-US" w:eastAsia="en-US" w:bidi="ar-SA"/>
      </w:rPr>
    </w:lvl>
    <w:lvl w:ilvl="6">
      <w:start w:val="0"/>
      <w:numFmt w:val="bullet"/>
      <w:lvlText w:val="•"/>
      <w:lvlJc w:val="left"/>
      <w:pPr>
        <w:ind w:left="6836" w:hanging="720"/>
      </w:pPr>
      <w:rPr>
        <w:rFonts w:hint="default"/>
        <w:lang w:val="en-US" w:eastAsia="en-US" w:bidi="ar-SA"/>
      </w:rPr>
    </w:lvl>
    <w:lvl w:ilvl="7">
      <w:start w:val="0"/>
      <w:numFmt w:val="bullet"/>
      <w:lvlText w:val="•"/>
      <w:lvlJc w:val="left"/>
      <w:pPr>
        <w:ind w:left="7712" w:hanging="720"/>
      </w:pPr>
      <w:rPr>
        <w:rFonts w:hint="default"/>
        <w:lang w:val="en-US" w:eastAsia="en-US" w:bidi="ar-SA"/>
      </w:rPr>
    </w:lvl>
    <w:lvl w:ilvl="8">
      <w:start w:val="0"/>
      <w:numFmt w:val="bullet"/>
      <w:lvlText w:val="•"/>
      <w:lvlJc w:val="left"/>
      <w:pPr>
        <w:ind w:left="8588" w:hanging="720"/>
      </w:pPr>
      <w:rPr>
        <w:rFonts w:hint="default"/>
        <w:lang w:val="en-US" w:eastAsia="en-US" w:bidi="ar-SA"/>
      </w:rPr>
    </w:lvl>
  </w:abstractNum>
  <w:abstractNum w:abstractNumId="19">
    <w:multiLevelType w:val="hybridMultilevel"/>
    <w:lvl w:ilvl="0">
      <w:start w:val="1"/>
      <w:numFmt w:val="decimal"/>
      <w:lvlText w:val="%1"/>
      <w:lvlJc w:val="left"/>
      <w:pPr>
        <w:ind w:left="2659" w:hanging="1080"/>
        <w:jc w:val="left"/>
      </w:pPr>
      <w:rPr>
        <w:rFonts w:hint="default"/>
        <w:lang w:val="en-US" w:eastAsia="en-US" w:bidi="ar-SA"/>
      </w:rPr>
    </w:lvl>
    <w:lvl w:ilvl="1">
      <w:start w:val="1"/>
      <w:numFmt w:val="decimal"/>
      <w:lvlText w:val="%1.%2"/>
      <w:lvlJc w:val="left"/>
      <w:pPr>
        <w:ind w:left="2659" w:hanging="1080"/>
        <w:jc w:val="left"/>
      </w:pPr>
      <w:rPr>
        <w:rFonts w:hint="default"/>
        <w:lang w:val="en-US" w:eastAsia="en-US" w:bidi="ar-SA"/>
      </w:rPr>
    </w:lvl>
    <w:lvl w:ilvl="2">
      <w:start w:val="5"/>
      <w:numFmt w:val="decimal"/>
      <w:lvlText w:val="%1.%2.%3"/>
      <w:lvlJc w:val="left"/>
      <w:pPr>
        <w:ind w:left="2659" w:hanging="1080"/>
        <w:jc w:val="left"/>
      </w:pPr>
      <w:rPr>
        <w:rFonts w:hint="default"/>
        <w:lang w:val="en-US" w:eastAsia="en-US" w:bidi="ar-SA"/>
      </w:rPr>
    </w:lvl>
    <w:lvl w:ilvl="3">
      <w:start w:val="3"/>
      <w:numFmt w:val="decimal"/>
      <w:lvlText w:val="%1.%2.%3.%4."/>
      <w:lvlJc w:val="left"/>
      <w:pPr>
        <w:ind w:left="2659" w:hanging="1080"/>
        <w:jc w:val="left"/>
      </w:pPr>
      <w:rPr>
        <w:rFonts w:hint="default"/>
        <w:spacing w:val="-3"/>
        <w:w w:val="100"/>
        <w:lang w:val="en-US" w:eastAsia="en-US" w:bidi="ar-SA"/>
      </w:rPr>
    </w:lvl>
    <w:lvl w:ilvl="4">
      <w:start w:val="1"/>
      <w:numFmt w:val="decimal"/>
      <w:lvlText w:val="%5."/>
      <w:lvlJc w:val="left"/>
      <w:pPr>
        <w:ind w:left="2732" w:hanging="793"/>
        <w:jc w:val="left"/>
      </w:pPr>
      <w:rPr>
        <w:rFonts w:hint="default" w:ascii="Arial" w:hAnsi="Arial" w:eastAsia="Arial" w:cs="Arial"/>
        <w:b w:val="0"/>
        <w:bCs w:val="0"/>
        <w:i w:val="0"/>
        <w:iCs w:val="0"/>
        <w:spacing w:val="-1"/>
        <w:w w:val="99"/>
        <w:sz w:val="20"/>
        <w:szCs w:val="20"/>
        <w:lang w:val="en-US" w:eastAsia="en-US" w:bidi="ar-SA"/>
      </w:rPr>
    </w:lvl>
    <w:lvl w:ilvl="5">
      <w:start w:val="0"/>
      <w:numFmt w:val="bullet"/>
      <w:lvlText w:val="•"/>
      <w:lvlJc w:val="left"/>
      <w:pPr>
        <w:ind w:left="6117" w:hanging="793"/>
      </w:pPr>
      <w:rPr>
        <w:rFonts w:hint="default"/>
        <w:lang w:val="en-US" w:eastAsia="en-US" w:bidi="ar-SA"/>
      </w:rPr>
    </w:lvl>
    <w:lvl w:ilvl="6">
      <w:start w:val="0"/>
      <w:numFmt w:val="bullet"/>
      <w:lvlText w:val="•"/>
      <w:lvlJc w:val="left"/>
      <w:pPr>
        <w:ind w:left="6962" w:hanging="793"/>
      </w:pPr>
      <w:rPr>
        <w:rFonts w:hint="default"/>
        <w:lang w:val="en-US" w:eastAsia="en-US" w:bidi="ar-SA"/>
      </w:rPr>
    </w:lvl>
    <w:lvl w:ilvl="7">
      <w:start w:val="0"/>
      <w:numFmt w:val="bullet"/>
      <w:lvlText w:val="•"/>
      <w:lvlJc w:val="left"/>
      <w:pPr>
        <w:ind w:left="7806" w:hanging="793"/>
      </w:pPr>
      <w:rPr>
        <w:rFonts w:hint="default"/>
        <w:lang w:val="en-US" w:eastAsia="en-US" w:bidi="ar-SA"/>
      </w:rPr>
    </w:lvl>
    <w:lvl w:ilvl="8">
      <w:start w:val="0"/>
      <w:numFmt w:val="bullet"/>
      <w:lvlText w:val="•"/>
      <w:lvlJc w:val="left"/>
      <w:pPr>
        <w:ind w:left="8651" w:hanging="793"/>
      </w:pPr>
      <w:rPr>
        <w:rFonts w:hint="default"/>
        <w:lang w:val="en-US" w:eastAsia="en-US" w:bidi="ar-SA"/>
      </w:rPr>
    </w:lvl>
  </w:abstractNum>
  <w:abstractNum w:abstractNumId="18">
    <w:multiLevelType w:val="hybridMultilevel"/>
    <w:lvl w:ilvl="0">
      <w:start w:val="1"/>
      <w:numFmt w:val="decimal"/>
      <w:lvlText w:val="%1."/>
      <w:lvlJc w:val="left"/>
      <w:pPr>
        <w:ind w:left="1579" w:hanging="360"/>
        <w:jc w:val="left"/>
      </w:pPr>
      <w:rPr>
        <w:rFonts w:hint="default" w:ascii="Arial" w:hAnsi="Arial" w:eastAsia="Arial" w:cs="Arial"/>
        <w:b w:val="0"/>
        <w:bCs w:val="0"/>
        <w:i w:val="0"/>
        <w:iCs w:val="0"/>
        <w:spacing w:val="-1"/>
        <w:w w:val="99"/>
        <w:sz w:val="20"/>
        <w:szCs w:val="20"/>
        <w:lang w:val="en-US" w:eastAsia="en-US" w:bidi="ar-SA"/>
      </w:rPr>
    </w:lvl>
    <w:lvl w:ilvl="1">
      <w:start w:val="0"/>
      <w:numFmt w:val="bullet"/>
      <w:lvlText w:val="•"/>
      <w:lvlJc w:val="left"/>
      <w:pPr>
        <w:ind w:left="2456" w:hanging="360"/>
      </w:pPr>
      <w:rPr>
        <w:rFonts w:hint="default"/>
        <w:lang w:val="en-US" w:eastAsia="en-US" w:bidi="ar-SA"/>
      </w:rPr>
    </w:lvl>
    <w:lvl w:ilvl="2">
      <w:start w:val="0"/>
      <w:numFmt w:val="bullet"/>
      <w:lvlText w:val="•"/>
      <w:lvlJc w:val="left"/>
      <w:pPr>
        <w:ind w:left="3332" w:hanging="360"/>
      </w:pPr>
      <w:rPr>
        <w:rFonts w:hint="default"/>
        <w:lang w:val="en-US" w:eastAsia="en-US" w:bidi="ar-SA"/>
      </w:rPr>
    </w:lvl>
    <w:lvl w:ilvl="3">
      <w:start w:val="0"/>
      <w:numFmt w:val="bullet"/>
      <w:lvlText w:val="•"/>
      <w:lvlJc w:val="left"/>
      <w:pPr>
        <w:ind w:left="4208" w:hanging="360"/>
      </w:pPr>
      <w:rPr>
        <w:rFonts w:hint="default"/>
        <w:lang w:val="en-US" w:eastAsia="en-US" w:bidi="ar-SA"/>
      </w:rPr>
    </w:lvl>
    <w:lvl w:ilvl="4">
      <w:start w:val="0"/>
      <w:numFmt w:val="bullet"/>
      <w:lvlText w:val="•"/>
      <w:lvlJc w:val="left"/>
      <w:pPr>
        <w:ind w:left="5084" w:hanging="360"/>
      </w:pPr>
      <w:rPr>
        <w:rFonts w:hint="default"/>
        <w:lang w:val="en-US" w:eastAsia="en-US" w:bidi="ar-SA"/>
      </w:rPr>
    </w:lvl>
    <w:lvl w:ilvl="5">
      <w:start w:val="0"/>
      <w:numFmt w:val="bullet"/>
      <w:lvlText w:val="•"/>
      <w:lvlJc w:val="left"/>
      <w:pPr>
        <w:ind w:left="5960" w:hanging="360"/>
      </w:pPr>
      <w:rPr>
        <w:rFonts w:hint="default"/>
        <w:lang w:val="en-US" w:eastAsia="en-US" w:bidi="ar-SA"/>
      </w:rPr>
    </w:lvl>
    <w:lvl w:ilvl="6">
      <w:start w:val="0"/>
      <w:numFmt w:val="bullet"/>
      <w:lvlText w:val="•"/>
      <w:lvlJc w:val="left"/>
      <w:pPr>
        <w:ind w:left="6836" w:hanging="360"/>
      </w:pPr>
      <w:rPr>
        <w:rFonts w:hint="default"/>
        <w:lang w:val="en-US" w:eastAsia="en-US" w:bidi="ar-SA"/>
      </w:rPr>
    </w:lvl>
    <w:lvl w:ilvl="7">
      <w:start w:val="0"/>
      <w:numFmt w:val="bullet"/>
      <w:lvlText w:val="•"/>
      <w:lvlJc w:val="left"/>
      <w:pPr>
        <w:ind w:left="7712" w:hanging="360"/>
      </w:pPr>
      <w:rPr>
        <w:rFonts w:hint="default"/>
        <w:lang w:val="en-US" w:eastAsia="en-US" w:bidi="ar-SA"/>
      </w:rPr>
    </w:lvl>
    <w:lvl w:ilvl="8">
      <w:start w:val="0"/>
      <w:numFmt w:val="bullet"/>
      <w:lvlText w:val="•"/>
      <w:lvlJc w:val="left"/>
      <w:pPr>
        <w:ind w:left="8588" w:hanging="360"/>
      </w:pPr>
      <w:rPr>
        <w:rFonts w:hint="default"/>
        <w:lang w:val="en-US" w:eastAsia="en-US" w:bidi="ar-SA"/>
      </w:rPr>
    </w:lvl>
  </w:abstractNum>
  <w:abstractNum w:abstractNumId="17">
    <w:multiLevelType w:val="hybridMultilevel"/>
    <w:lvl w:ilvl="0">
      <w:start w:val="0"/>
      <w:numFmt w:val="bullet"/>
      <w:lvlText w:val="•"/>
      <w:lvlJc w:val="left"/>
      <w:pPr>
        <w:ind w:left="1939" w:hanging="721"/>
      </w:pPr>
      <w:rPr>
        <w:rFonts w:hint="default" w:ascii="Arial" w:hAnsi="Arial" w:eastAsia="Arial" w:cs="Arial"/>
        <w:b w:val="0"/>
        <w:bCs w:val="0"/>
        <w:i w:val="0"/>
        <w:iCs w:val="0"/>
        <w:w w:val="130"/>
        <w:sz w:val="20"/>
        <w:szCs w:val="20"/>
        <w:lang w:val="en-US" w:eastAsia="en-US" w:bidi="ar-SA"/>
      </w:rPr>
    </w:lvl>
    <w:lvl w:ilvl="1">
      <w:start w:val="0"/>
      <w:numFmt w:val="bullet"/>
      <w:lvlText w:val="o"/>
      <w:lvlJc w:val="left"/>
      <w:pPr>
        <w:ind w:left="2479" w:hanging="540"/>
      </w:pPr>
      <w:rPr>
        <w:rFonts w:hint="default" w:ascii="Courier New" w:hAnsi="Courier New" w:eastAsia="Courier New" w:cs="Courier New"/>
        <w:b w:val="0"/>
        <w:bCs w:val="0"/>
        <w:i w:val="0"/>
        <w:iCs w:val="0"/>
        <w:w w:val="99"/>
        <w:sz w:val="20"/>
        <w:szCs w:val="20"/>
        <w:lang w:val="en-US" w:eastAsia="en-US" w:bidi="ar-SA"/>
      </w:rPr>
    </w:lvl>
    <w:lvl w:ilvl="2">
      <w:start w:val="0"/>
      <w:numFmt w:val="bullet"/>
      <w:lvlText w:val="•"/>
      <w:lvlJc w:val="left"/>
      <w:pPr>
        <w:ind w:left="3353" w:hanging="540"/>
      </w:pPr>
      <w:rPr>
        <w:rFonts w:hint="default"/>
        <w:lang w:val="en-US" w:eastAsia="en-US" w:bidi="ar-SA"/>
      </w:rPr>
    </w:lvl>
    <w:lvl w:ilvl="3">
      <w:start w:val="0"/>
      <w:numFmt w:val="bullet"/>
      <w:lvlText w:val="•"/>
      <w:lvlJc w:val="left"/>
      <w:pPr>
        <w:ind w:left="4226" w:hanging="540"/>
      </w:pPr>
      <w:rPr>
        <w:rFonts w:hint="default"/>
        <w:lang w:val="en-US" w:eastAsia="en-US" w:bidi="ar-SA"/>
      </w:rPr>
    </w:lvl>
    <w:lvl w:ilvl="4">
      <w:start w:val="0"/>
      <w:numFmt w:val="bullet"/>
      <w:lvlText w:val="•"/>
      <w:lvlJc w:val="left"/>
      <w:pPr>
        <w:ind w:left="5100" w:hanging="540"/>
      </w:pPr>
      <w:rPr>
        <w:rFonts w:hint="default"/>
        <w:lang w:val="en-US" w:eastAsia="en-US" w:bidi="ar-SA"/>
      </w:rPr>
    </w:lvl>
    <w:lvl w:ilvl="5">
      <w:start w:val="0"/>
      <w:numFmt w:val="bullet"/>
      <w:lvlText w:val="•"/>
      <w:lvlJc w:val="left"/>
      <w:pPr>
        <w:ind w:left="5973" w:hanging="540"/>
      </w:pPr>
      <w:rPr>
        <w:rFonts w:hint="default"/>
        <w:lang w:val="en-US" w:eastAsia="en-US" w:bidi="ar-SA"/>
      </w:rPr>
    </w:lvl>
    <w:lvl w:ilvl="6">
      <w:start w:val="0"/>
      <w:numFmt w:val="bullet"/>
      <w:lvlText w:val="•"/>
      <w:lvlJc w:val="left"/>
      <w:pPr>
        <w:ind w:left="6846" w:hanging="540"/>
      </w:pPr>
      <w:rPr>
        <w:rFonts w:hint="default"/>
        <w:lang w:val="en-US" w:eastAsia="en-US" w:bidi="ar-SA"/>
      </w:rPr>
    </w:lvl>
    <w:lvl w:ilvl="7">
      <w:start w:val="0"/>
      <w:numFmt w:val="bullet"/>
      <w:lvlText w:val="•"/>
      <w:lvlJc w:val="left"/>
      <w:pPr>
        <w:ind w:left="7720" w:hanging="540"/>
      </w:pPr>
      <w:rPr>
        <w:rFonts w:hint="default"/>
        <w:lang w:val="en-US" w:eastAsia="en-US" w:bidi="ar-SA"/>
      </w:rPr>
    </w:lvl>
    <w:lvl w:ilvl="8">
      <w:start w:val="0"/>
      <w:numFmt w:val="bullet"/>
      <w:lvlText w:val="•"/>
      <w:lvlJc w:val="left"/>
      <w:pPr>
        <w:ind w:left="8593" w:hanging="540"/>
      </w:pPr>
      <w:rPr>
        <w:rFonts w:hint="default"/>
        <w:lang w:val="en-US" w:eastAsia="en-US" w:bidi="ar-SA"/>
      </w:rPr>
    </w:lvl>
  </w:abstractNum>
  <w:abstractNum w:abstractNumId="16">
    <w:multiLevelType w:val="hybridMultilevel"/>
    <w:lvl w:ilvl="0">
      <w:start w:val="1"/>
      <w:numFmt w:val="decimal"/>
      <w:lvlText w:val="%1."/>
      <w:lvlJc w:val="left"/>
      <w:pPr>
        <w:ind w:left="1795" w:hanging="360"/>
        <w:jc w:val="left"/>
      </w:pPr>
      <w:rPr>
        <w:rFonts w:hint="default" w:ascii="Arial" w:hAnsi="Arial" w:eastAsia="Arial" w:cs="Arial"/>
        <w:b w:val="0"/>
        <w:bCs w:val="0"/>
        <w:i w:val="0"/>
        <w:iCs w:val="0"/>
        <w:spacing w:val="-1"/>
        <w:w w:val="99"/>
        <w:sz w:val="20"/>
        <w:szCs w:val="20"/>
        <w:lang w:val="en-US" w:eastAsia="en-US" w:bidi="ar-SA"/>
      </w:rPr>
    </w:lvl>
    <w:lvl w:ilvl="1">
      <w:start w:val="0"/>
      <w:numFmt w:val="bullet"/>
      <w:lvlText w:val="•"/>
      <w:lvlJc w:val="left"/>
      <w:pPr>
        <w:ind w:left="2654" w:hanging="360"/>
      </w:pPr>
      <w:rPr>
        <w:rFonts w:hint="default"/>
        <w:lang w:val="en-US" w:eastAsia="en-US" w:bidi="ar-SA"/>
      </w:rPr>
    </w:lvl>
    <w:lvl w:ilvl="2">
      <w:start w:val="0"/>
      <w:numFmt w:val="bullet"/>
      <w:lvlText w:val="•"/>
      <w:lvlJc w:val="left"/>
      <w:pPr>
        <w:ind w:left="3508" w:hanging="360"/>
      </w:pPr>
      <w:rPr>
        <w:rFonts w:hint="default"/>
        <w:lang w:val="en-US" w:eastAsia="en-US" w:bidi="ar-SA"/>
      </w:rPr>
    </w:lvl>
    <w:lvl w:ilvl="3">
      <w:start w:val="0"/>
      <w:numFmt w:val="bullet"/>
      <w:lvlText w:val="•"/>
      <w:lvlJc w:val="left"/>
      <w:pPr>
        <w:ind w:left="4362" w:hanging="360"/>
      </w:pPr>
      <w:rPr>
        <w:rFonts w:hint="default"/>
        <w:lang w:val="en-US" w:eastAsia="en-US" w:bidi="ar-SA"/>
      </w:rPr>
    </w:lvl>
    <w:lvl w:ilvl="4">
      <w:start w:val="0"/>
      <w:numFmt w:val="bullet"/>
      <w:lvlText w:val="•"/>
      <w:lvlJc w:val="left"/>
      <w:pPr>
        <w:ind w:left="5216" w:hanging="360"/>
      </w:pPr>
      <w:rPr>
        <w:rFonts w:hint="default"/>
        <w:lang w:val="en-US" w:eastAsia="en-US" w:bidi="ar-SA"/>
      </w:rPr>
    </w:lvl>
    <w:lvl w:ilvl="5">
      <w:start w:val="0"/>
      <w:numFmt w:val="bullet"/>
      <w:lvlText w:val="•"/>
      <w:lvlJc w:val="left"/>
      <w:pPr>
        <w:ind w:left="6070" w:hanging="360"/>
      </w:pPr>
      <w:rPr>
        <w:rFonts w:hint="default"/>
        <w:lang w:val="en-US" w:eastAsia="en-US" w:bidi="ar-SA"/>
      </w:rPr>
    </w:lvl>
    <w:lvl w:ilvl="6">
      <w:start w:val="0"/>
      <w:numFmt w:val="bullet"/>
      <w:lvlText w:val="•"/>
      <w:lvlJc w:val="left"/>
      <w:pPr>
        <w:ind w:left="6924" w:hanging="360"/>
      </w:pPr>
      <w:rPr>
        <w:rFonts w:hint="default"/>
        <w:lang w:val="en-US" w:eastAsia="en-US" w:bidi="ar-SA"/>
      </w:rPr>
    </w:lvl>
    <w:lvl w:ilvl="7">
      <w:start w:val="0"/>
      <w:numFmt w:val="bullet"/>
      <w:lvlText w:val="•"/>
      <w:lvlJc w:val="left"/>
      <w:pPr>
        <w:ind w:left="7778" w:hanging="360"/>
      </w:pPr>
      <w:rPr>
        <w:rFonts w:hint="default"/>
        <w:lang w:val="en-US" w:eastAsia="en-US" w:bidi="ar-SA"/>
      </w:rPr>
    </w:lvl>
    <w:lvl w:ilvl="8">
      <w:start w:val="0"/>
      <w:numFmt w:val="bullet"/>
      <w:lvlText w:val="•"/>
      <w:lvlJc w:val="left"/>
      <w:pPr>
        <w:ind w:left="8632" w:hanging="360"/>
      </w:pPr>
      <w:rPr>
        <w:rFonts w:hint="default"/>
        <w:lang w:val="en-US" w:eastAsia="en-US" w:bidi="ar-SA"/>
      </w:rPr>
    </w:lvl>
  </w:abstractNum>
  <w:abstractNum w:abstractNumId="15">
    <w:multiLevelType w:val="hybridMultilevel"/>
    <w:lvl w:ilvl="0">
      <w:start w:val="1"/>
      <w:numFmt w:val="decimal"/>
      <w:lvlText w:val="%1."/>
      <w:lvlJc w:val="left"/>
      <w:pPr>
        <w:ind w:left="1723" w:hanging="360"/>
        <w:jc w:val="left"/>
      </w:pPr>
      <w:rPr>
        <w:rFonts w:hint="default" w:ascii="Arial" w:hAnsi="Arial" w:eastAsia="Arial" w:cs="Arial"/>
        <w:b w:val="0"/>
        <w:bCs w:val="0"/>
        <w:i w:val="0"/>
        <w:iCs w:val="0"/>
        <w:spacing w:val="-1"/>
        <w:w w:val="99"/>
        <w:sz w:val="20"/>
        <w:szCs w:val="20"/>
        <w:lang w:val="en-US" w:eastAsia="en-US" w:bidi="ar-SA"/>
      </w:rPr>
    </w:lvl>
    <w:lvl w:ilvl="1">
      <w:start w:val="0"/>
      <w:numFmt w:val="bullet"/>
      <w:lvlText w:val="•"/>
      <w:lvlJc w:val="left"/>
      <w:pPr>
        <w:ind w:left="2582" w:hanging="360"/>
      </w:pPr>
      <w:rPr>
        <w:rFonts w:hint="default"/>
        <w:lang w:val="en-US" w:eastAsia="en-US" w:bidi="ar-SA"/>
      </w:rPr>
    </w:lvl>
    <w:lvl w:ilvl="2">
      <w:start w:val="0"/>
      <w:numFmt w:val="bullet"/>
      <w:lvlText w:val="•"/>
      <w:lvlJc w:val="left"/>
      <w:pPr>
        <w:ind w:left="3444" w:hanging="360"/>
      </w:pPr>
      <w:rPr>
        <w:rFonts w:hint="default"/>
        <w:lang w:val="en-US" w:eastAsia="en-US" w:bidi="ar-SA"/>
      </w:rPr>
    </w:lvl>
    <w:lvl w:ilvl="3">
      <w:start w:val="0"/>
      <w:numFmt w:val="bullet"/>
      <w:lvlText w:val="•"/>
      <w:lvlJc w:val="left"/>
      <w:pPr>
        <w:ind w:left="4306" w:hanging="360"/>
      </w:pPr>
      <w:rPr>
        <w:rFonts w:hint="default"/>
        <w:lang w:val="en-US" w:eastAsia="en-US" w:bidi="ar-SA"/>
      </w:rPr>
    </w:lvl>
    <w:lvl w:ilvl="4">
      <w:start w:val="0"/>
      <w:numFmt w:val="bullet"/>
      <w:lvlText w:val="•"/>
      <w:lvlJc w:val="left"/>
      <w:pPr>
        <w:ind w:left="5168" w:hanging="360"/>
      </w:pPr>
      <w:rPr>
        <w:rFonts w:hint="default"/>
        <w:lang w:val="en-US" w:eastAsia="en-US" w:bidi="ar-SA"/>
      </w:rPr>
    </w:lvl>
    <w:lvl w:ilvl="5">
      <w:start w:val="0"/>
      <w:numFmt w:val="bullet"/>
      <w:lvlText w:val="•"/>
      <w:lvlJc w:val="left"/>
      <w:pPr>
        <w:ind w:left="6030" w:hanging="360"/>
      </w:pPr>
      <w:rPr>
        <w:rFonts w:hint="default"/>
        <w:lang w:val="en-US" w:eastAsia="en-US" w:bidi="ar-SA"/>
      </w:rPr>
    </w:lvl>
    <w:lvl w:ilvl="6">
      <w:start w:val="0"/>
      <w:numFmt w:val="bullet"/>
      <w:lvlText w:val="•"/>
      <w:lvlJc w:val="left"/>
      <w:pPr>
        <w:ind w:left="6892" w:hanging="360"/>
      </w:pPr>
      <w:rPr>
        <w:rFonts w:hint="default"/>
        <w:lang w:val="en-US" w:eastAsia="en-US" w:bidi="ar-SA"/>
      </w:rPr>
    </w:lvl>
    <w:lvl w:ilvl="7">
      <w:start w:val="0"/>
      <w:numFmt w:val="bullet"/>
      <w:lvlText w:val="•"/>
      <w:lvlJc w:val="left"/>
      <w:pPr>
        <w:ind w:left="7754" w:hanging="360"/>
      </w:pPr>
      <w:rPr>
        <w:rFonts w:hint="default"/>
        <w:lang w:val="en-US" w:eastAsia="en-US" w:bidi="ar-SA"/>
      </w:rPr>
    </w:lvl>
    <w:lvl w:ilvl="8">
      <w:start w:val="0"/>
      <w:numFmt w:val="bullet"/>
      <w:lvlText w:val="•"/>
      <w:lvlJc w:val="left"/>
      <w:pPr>
        <w:ind w:left="8616" w:hanging="360"/>
      </w:pPr>
      <w:rPr>
        <w:rFonts w:hint="default"/>
        <w:lang w:val="en-US" w:eastAsia="en-US" w:bidi="ar-SA"/>
      </w:rPr>
    </w:lvl>
  </w:abstractNum>
  <w:abstractNum w:abstractNumId="14">
    <w:multiLevelType w:val="hybridMultilevel"/>
    <w:lvl w:ilvl="0">
      <w:start w:val="1"/>
      <w:numFmt w:val="decimal"/>
      <w:lvlText w:val="%1."/>
      <w:lvlJc w:val="left"/>
      <w:pPr>
        <w:ind w:left="1579" w:hanging="360"/>
        <w:jc w:val="left"/>
      </w:pPr>
      <w:rPr>
        <w:rFonts w:hint="default" w:ascii="Arial" w:hAnsi="Arial" w:eastAsia="Arial" w:cs="Arial"/>
        <w:b w:val="0"/>
        <w:bCs w:val="0"/>
        <w:i w:val="0"/>
        <w:iCs w:val="0"/>
        <w:spacing w:val="-1"/>
        <w:w w:val="99"/>
        <w:sz w:val="20"/>
        <w:szCs w:val="20"/>
        <w:lang w:val="en-US" w:eastAsia="en-US" w:bidi="ar-SA"/>
      </w:rPr>
    </w:lvl>
    <w:lvl w:ilvl="1">
      <w:start w:val="1"/>
      <w:numFmt w:val="lowerLetter"/>
      <w:lvlText w:val="%2."/>
      <w:lvlJc w:val="left"/>
      <w:pPr>
        <w:ind w:left="2298" w:hanging="360"/>
        <w:jc w:val="left"/>
      </w:pPr>
      <w:rPr>
        <w:rFonts w:hint="default" w:ascii="Arial" w:hAnsi="Arial" w:eastAsia="Arial" w:cs="Arial"/>
        <w:b w:val="0"/>
        <w:bCs w:val="0"/>
        <w:i w:val="0"/>
        <w:iCs w:val="0"/>
        <w:spacing w:val="-1"/>
        <w:w w:val="99"/>
        <w:sz w:val="20"/>
        <w:szCs w:val="20"/>
        <w:lang w:val="en-US" w:eastAsia="en-US" w:bidi="ar-SA"/>
      </w:rPr>
    </w:lvl>
    <w:lvl w:ilvl="2">
      <w:start w:val="0"/>
      <w:numFmt w:val="bullet"/>
      <w:lvlText w:val="•"/>
      <w:lvlJc w:val="left"/>
      <w:pPr>
        <w:ind w:left="3193" w:hanging="360"/>
      </w:pPr>
      <w:rPr>
        <w:rFonts w:hint="default"/>
        <w:lang w:val="en-US" w:eastAsia="en-US" w:bidi="ar-SA"/>
      </w:rPr>
    </w:lvl>
    <w:lvl w:ilvl="3">
      <w:start w:val="0"/>
      <w:numFmt w:val="bullet"/>
      <w:lvlText w:val="•"/>
      <w:lvlJc w:val="left"/>
      <w:pPr>
        <w:ind w:left="4086" w:hanging="360"/>
      </w:pPr>
      <w:rPr>
        <w:rFonts w:hint="default"/>
        <w:lang w:val="en-US" w:eastAsia="en-US" w:bidi="ar-SA"/>
      </w:rPr>
    </w:lvl>
    <w:lvl w:ilvl="4">
      <w:start w:val="0"/>
      <w:numFmt w:val="bullet"/>
      <w:lvlText w:val="•"/>
      <w:lvlJc w:val="left"/>
      <w:pPr>
        <w:ind w:left="4980" w:hanging="360"/>
      </w:pPr>
      <w:rPr>
        <w:rFonts w:hint="default"/>
        <w:lang w:val="en-US" w:eastAsia="en-US" w:bidi="ar-SA"/>
      </w:rPr>
    </w:lvl>
    <w:lvl w:ilvl="5">
      <w:start w:val="0"/>
      <w:numFmt w:val="bullet"/>
      <w:lvlText w:val="•"/>
      <w:lvlJc w:val="left"/>
      <w:pPr>
        <w:ind w:left="5873" w:hanging="360"/>
      </w:pPr>
      <w:rPr>
        <w:rFonts w:hint="default"/>
        <w:lang w:val="en-US" w:eastAsia="en-US" w:bidi="ar-SA"/>
      </w:rPr>
    </w:lvl>
    <w:lvl w:ilvl="6">
      <w:start w:val="0"/>
      <w:numFmt w:val="bullet"/>
      <w:lvlText w:val="•"/>
      <w:lvlJc w:val="left"/>
      <w:pPr>
        <w:ind w:left="6766" w:hanging="360"/>
      </w:pPr>
      <w:rPr>
        <w:rFonts w:hint="default"/>
        <w:lang w:val="en-US" w:eastAsia="en-US" w:bidi="ar-SA"/>
      </w:rPr>
    </w:lvl>
    <w:lvl w:ilvl="7">
      <w:start w:val="0"/>
      <w:numFmt w:val="bullet"/>
      <w:lvlText w:val="•"/>
      <w:lvlJc w:val="left"/>
      <w:pPr>
        <w:ind w:left="7660" w:hanging="360"/>
      </w:pPr>
      <w:rPr>
        <w:rFonts w:hint="default"/>
        <w:lang w:val="en-US" w:eastAsia="en-US" w:bidi="ar-SA"/>
      </w:rPr>
    </w:lvl>
    <w:lvl w:ilvl="8">
      <w:start w:val="0"/>
      <w:numFmt w:val="bullet"/>
      <w:lvlText w:val="•"/>
      <w:lvlJc w:val="left"/>
      <w:pPr>
        <w:ind w:left="8553" w:hanging="360"/>
      </w:pPr>
      <w:rPr>
        <w:rFonts w:hint="default"/>
        <w:lang w:val="en-US" w:eastAsia="en-US" w:bidi="ar-SA"/>
      </w:rPr>
    </w:lvl>
  </w:abstractNum>
  <w:abstractNum w:abstractNumId="13">
    <w:multiLevelType w:val="hybridMultilevel"/>
    <w:lvl w:ilvl="0">
      <w:start w:val="1"/>
      <w:numFmt w:val="decimal"/>
      <w:lvlText w:val="%1."/>
      <w:lvlJc w:val="left"/>
      <w:pPr>
        <w:ind w:left="1666" w:hanging="447"/>
        <w:jc w:val="left"/>
      </w:pPr>
      <w:rPr>
        <w:rFonts w:hint="default" w:ascii="Arial" w:hAnsi="Arial" w:eastAsia="Arial" w:cs="Arial"/>
        <w:b/>
        <w:bCs/>
        <w:i w:val="0"/>
        <w:iCs w:val="0"/>
        <w:spacing w:val="-1"/>
        <w:w w:val="99"/>
        <w:sz w:val="20"/>
        <w:szCs w:val="20"/>
        <w:lang w:val="en-US" w:eastAsia="en-US" w:bidi="ar-SA"/>
      </w:rPr>
    </w:lvl>
    <w:lvl w:ilvl="1">
      <w:start w:val="1"/>
      <w:numFmt w:val="lowerLetter"/>
      <w:lvlText w:val="%2."/>
      <w:lvlJc w:val="left"/>
      <w:pPr>
        <w:ind w:left="2300" w:hanging="634"/>
        <w:jc w:val="left"/>
      </w:pPr>
      <w:rPr>
        <w:rFonts w:hint="default" w:ascii="Arial" w:hAnsi="Arial" w:eastAsia="Arial" w:cs="Arial"/>
        <w:b w:val="0"/>
        <w:bCs w:val="0"/>
        <w:i w:val="0"/>
        <w:iCs w:val="0"/>
        <w:spacing w:val="-1"/>
        <w:w w:val="99"/>
        <w:sz w:val="20"/>
        <w:szCs w:val="20"/>
        <w:lang w:val="en-US" w:eastAsia="en-US" w:bidi="ar-SA"/>
      </w:rPr>
    </w:lvl>
    <w:lvl w:ilvl="2">
      <w:start w:val="0"/>
      <w:numFmt w:val="bullet"/>
      <w:lvlText w:val="•"/>
      <w:lvlJc w:val="left"/>
      <w:pPr>
        <w:ind w:left="3193" w:hanging="634"/>
      </w:pPr>
      <w:rPr>
        <w:rFonts w:hint="default"/>
        <w:lang w:val="en-US" w:eastAsia="en-US" w:bidi="ar-SA"/>
      </w:rPr>
    </w:lvl>
    <w:lvl w:ilvl="3">
      <w:start w:val="0"/>
      <w:numFmt w:val="bullet"/>
      <w:lvlText w:val="•"/>
      <w:lvlJc w:val="left"/>
      <w:pPr>
        <w:ind w:left="4086" w:hanging="634"/>
      </w:pPr>
      <w:rPr>
        <w:rFonts w:hint="default"/>
        <w:lang w:val="en-US" w:eastAsia="en-US" w:bidi="ar-SA"/>
      </w:rPr>
    </w:lvl>
    <w:lvl w:ilvl="4">
      <w:start w:val="0"/>
      <w:numFmt w:val="bullet"/>
      <w:lvlText w:val="•"/>
      <w:lvlJc w:val="left"/>
      <w:pPr>
        <w:ind w:left="4980" w:hanging="634"/>
      </w:pPr>
      <w:rPr>
        <w:rFonts w:hint="default"/>
        <w:lang w:val="en-US" w:eastAsia="en-US" w:bidi="ar-SA"/>
      </w:rPr>
    </w:lvl>
    <w:lvl w:ilvl="5">
      <w:start w:val="0"/>
      <w:numFmt w:val="bullet"/>
      <w:lvlText w:val="•"/>
      <w:lvlJc w:val="left"/>
      <w:pPr>
        <w:ind w:left="5873" w:hanging="634"/>
      </w:pPr>
      <w:rPr>
        <w:rFonts w:hint="default"/>
        <w:lang w:val="en-US" w:eastAsia="en-US" w:bidi="ar-SA"/>
      </w:rPr>
    </w:lvl>
    <w:lvl w:ilvl="6">
      <w:start w:val="0"/>
      <w:numFmt w:val="bullet"/>
      <w:lvlText w:val="•"/>
      <w:lvlJc w:val="left"/>
      <w:pPr>
        <w:ind w:left="6766" w:hanging="634"/>
      </w:pPr>
      <w:rPr>
        <w:rFonts w:hint="default"/>
        <w:lang w:val="en-US" w:eastAsia="en-US" w:bidi="ar-SA"/>
      </w:rPr>
    </w:lvl>
    <w:lvl w:ilvl="7">
      <w:start w:val="0"/>
      <w:numFmt w:val="bullet"/>
      <w:lvlText w:val="•"/>
      <w:lvlJc w:val="left"/>
      <w:pPr>
        <w:ind w:left="7660" w:hanging="634"/>
      </w:pPr>
      <w:rPr>
        <w:rFonts w:hint="default"/>
        <w:lang w:val="en-US" w:eastAsia="en-US" w:bidi="ar-SA"/>
      </w:rPr>
    </w:lvl>
    <w:lvl w:ilvl="8">
      <w:start w:val="0"/>
      <w:numFmt w:val="bullet"/>
      <w:lvlText w:val="•"/>
      <w:lvlJc w:val="left"/>
      <w:pPr>
        <w:ind w:left="8553" w:hanging="634"/>
      </w:pPr>
      <w:rPr>
        <w:rFonts w:hint="default"/>
        <w:lang w:val="en-US" w:eastAsia="en-US" w:bidi="ar-SA"/>
      </w:rPr>
    </w:lvl>
  </w:abstractNum>
  <w:abstractNum w:abstractNumId="12">
    <w:multiLevelType w:val="hybridMultilevel"/>
    <w:lvl w:ilvl="0">
      <w:start w:val="1"/>
      <w:numFmt w:val="decimal"/>
      <w:lvlText w:val="%1."/>
      <w:lvlJc w:val="left"/>
      <w:pPr>
        <w:ind w:left="1579" w:hanging="360"/>
        <w:jc w:val="left"/>
      </w:pPr>
      <w:rPr>
        <w:rFonts w:hint="default"/>
        <w:spacing w:val="-1"/>
        <w:w w:val="99"/>
        <w:lang w:val="en-US" w:eastAsia="en-US" w:bidi="ar-SA"/>
      </w:rPr>
    </w:lvl>
    <w:lvl w:ilvl="1">
      <w:start w:val="0"/>
      <w:numFmt w:val="bullet"/>
      <w:lvlText w:val="•"/>
      <w:lvlJc w:val="left"/>
      <w:pPr>
        <w:ind w:left="2456" w:hanging="360"/>
      </w:pPr>
      <w:rPr>
        <w:rFonts w:hint="default"/>
        <w:lang w:val="en-US" w:eastAsia="en-US" w:bidi="ar-SA"/>
      </w:rPr>
    </w:lvl>
    <w:lvl w:ilvl="2">
      <w:start w:val="0"/>
      <w:numFmt w:val="bullet"/>
      <w:lvlText w:val="•"/>
      <w:lvlJc w:val="left"/>
      <w:pPr>
        <w:ind w:left="3332" w:hanging="360"/>
      </w:pPr>
      <w:rPr>
        <w:rFonts w:hint="default"/>
        <w:lang w:val="en-US" w:eastAsia="en-US" w:bidi="ar-SA"/>
      </w:rPr>
    </w:lvl>
    <w:lvl w:ilvl="3">
      <w:start w:val="0"/>
      <w:numFmt w:val="bullet"/>
      <w:lvlText w:val="•"/>
      <w:lvlJc w:val="left"/>
      <w:pPr>
        <w:ind w:left="4208" w:hanging="360"/>
      </w:pPr>
      <w:rPr>
        <w:rFonts w:hint="default"/>
        <w:lang w:val="en-US" w:eastAsia="en-US" w:bidi="ar-SA"/>
      </w:rPr>
    </w:lvl>
    <w:lvl w:ilvl="4">
      <w:start w:val="0"/>
      <w:numFmt w:val="bullet"/>
      <w:lvlText w:val="•"/>
      <w:lvlJc w:val="left"/>
      <w:pPr>
        <w:ind w:left="5084" w:hanging="360"/>
      </w:pPr>
      <w:rPr>
        <w:rFonts w:hint="default"/>
        <w:lang w:val="en-US" w:eastAsia="en-US" w:bidi="ar-SA"/>
      </w:rPr>
    </w:lvl>
    <w:lvl w:ilvl="5">
      <w:start w:val="0"/>
      <w:numFmt w:val="bullet"/>
      <w:lvlText w:val="•"/>
      <w:lvlJc w:val="left"/>
      <w:pPr>
        <w:ind w:left="5960" w:hanging="360"/>
      </w:pPr>
      <w:rPr>
        <w:rFonts w:hint="default"/>
        <w:lang w:val="en-US" w:eastAsia="en-US" w:bidi="ar-SA"/>
      </w:rPr>
    </w:lvl>
    <w:lvl w:ilvl="6">
      <w:start w:val="0"/>
      <w:numFmt w:val="bullet"/>
      <w:lvlText w:val="•"/>
      <w:lvlJc w:val="left"/>
      <w:pPr>
        <w:ind w:left="6836" w:hanging="360"/>
      </w:pPr>
      <w:rPr>
        <w:rFonts w:hint="default"/>
        <w:lang w:val="en-US" w:eastAsia="en-US" w:bidi="ar-SA"/>
      </w:rPr>
    </w:lvl>
    <w:lvl w:ilvl="7">
      <w:start w:val="0"/>
      <w:numFmt w:val="bullet"/>
      <w:lvlText w:val="•"/>
      <w:lvlJc w:val="left"/>
      <w:pPr>
        <w:ind w:left="7712" w:hanging="360"/>
      </w:pPr>
      <w:rPr>
        <w:rFonts w:hint="default"/>
        <w:lang w:val="en-US" w:eastAsia="en-US" w:bidi="ar-SA"/>
      </w:rPr>
    </w:lvl>
    <w:lvl w:ilvl="8">
      <w:start w:val="0"/>
      <w:numFmt w:val="bullet"/>
      <w:lvlText w:val="•"/>
      <w:lvlJc w:val="left"/>
      <w:pPr>
        <w:ind w:left="8588" w:hanging="360"/>
      </w:pPr>
      <w:rPr>
        <w:rFonts w:hint="default"/>
        <w:lang w:val="en-US" w:eastAsia="en-US" w:bidi="ar-SA"/>
      </w:rPr>
    </w:lvl>
  </w:abstractNum>
  <w:abstractNum w:abstractNumId="11">
    <w:multiLevelType w:val="hybridMultilevel"/>
    <w:lvl w:ilvl="0">
      <w:start w:val="1"/>
      <w:numFmt w:val="decimal"/>
      <w:lvlText w:val="%1."/>
      <w:lvlJc w:val="left"/>
      <w:pPr>
        <w:ind w:left="1579" w:hanging="360"/>
        <w:jc w:val="left"/>
      </w:pPr>
      <w:rPr>
        <w:rFonts w:hint="default" w:ascii="Arial" w:hAnsi="Arial" w:eastAsia="Arial" w:cs="Arial"/>
        <w:b w:val="0"/>
        <w:bCs w:val="0"/>
        <w:i w:val="0"/>
        <w:iCs w:val="0"/>
        <w:spacing w:val="-1"/>
        <w:w w:val="99"/>
        <w:sz w:val="20"/>
        <w:szCs w:val="20"/>
        <w:lang w:val="en-US" w:eastAsia="en-US" w:bidi="ar-SA"/>
      </w:rPr>
    </w:lvl>
    <w:lvl w:ilvl="1">
      <w:start w:val="0"/>
      <w:numFmt w:val="bullet"/>
      <w:lvlText w:val="•"/>
      <w:lvlJc w:val="left"/>
      <w:pPr>
        <w:ind w:left="2456" w:hanging="360"/>
      </w:pPr>
      <w:rPr>
        <w:rFonts w:hint="default"/>
        <w:lang w:val="en-US" w:eastAsia="en-US" w:bidi="ar-SA"/>
      </w:rPr>
    </w:lvl>
    <w:lvl w:ilvl="2">
      <w:start w:val="0"/>
      <w:numFmt w:val="bullet"/>
      <w:lvlText w:val="•"/>
      <w:lvlJc w:val="left"/>
      <w:pPr>
        <w:ind w:left="3332" w:hanging="360"/>
      </w:pPr>
      <w:rPr>
        <w:rFonts w:hint="default"/>
        <w:lang w:val="en-US" w:eastAsia="en-US" w:bidi="ar-SA"/>
      </w:rPr>
    </w:lvl>
    <w:lvl w:ilvl="3">
      <w:start w:val="0"/>
      <w:numFmt w:val="bullet"/>
      <w:lvlText w:val="•"/>
      <w:lvlJc w:val="left"/>
      <w:pPr>
        <w:ind w:left="4208" w:hanging="360"/>
      </w:pPr>
      <w:rPr>
        <w:rFonts w:hint="default"/>
        <w:lang w:val="en-US" w:eastAsia="en-US" w:bidi="ar-SA"/>
      </w:rPr>
    </w:lvl>
    <w:lvl w:ilvl="4">
      <w:start w:val="0"/>
      <w:numFmt w:val="bullet"/>
      <w:lvlText w:val="•"/>
      <w:lvlJc w:val="left"/>
      <w:pPr>
        <w:ind w:left="5084" w:hanging="360"/>
      </w:pPr>
      <w:rPr>
        <w:rFonts w:hint="default"/>
        <w:lang w:val="en-US" w:eastAsia="en-US" w:bidi="ar-SA"/>
      </w:rPr>
    </w:lvl>
    <w:lvl w:ilvl="5">
      <w:start w:val="0"/>
      <w:numFmt w:val="bullet"/>
      <w:lvlText w:val="•"/>
      <w:lvlJc w:val="left"/>
      <w:pPr>
        <w:ind w:left="5960" w:hanging="360"/>
      </w:pPr>
      <w:rPr>
        <w:rFonts w:hint="default"/>
        <w:lang w:val="en-US" w:eastAsia="en-US" w:bidi="ar-SA"/>
      </w:rPr>
    </w:lvl>
    <w:lvl w:ilvl="6">
      <w:start w:val="0"/>
      <w:numFmt w:val="bullet"/>
      <w:lvlText w:val="•"/>
      <w:lvlJc w:val="left"/>
      <w:pPr>
        <w:ind w:left="6836" w:hanging="360"/>
      </w:pPr>
      <w:rPr>
        <w:rFonts w:hint="default"/>
        <w:lang w:val="en-US" w:eastAsia="en-US" w:bidi="ar-SA"/>
      </w:rPr>
    </w:lvl>
    <w:lvl w:ilvl="7">
      <w:start w:val="0"/>
      <w:numFmt w:val="bullet"/>
      <w:lvlText w:val="•"/>
      <w:lvlJc w:val="left"/>
      <w:pPr>
        <w:ind w:left="7712" w:hanging="360"/>
      </w:pPr>
      <w:rPr>
        <w:rFonts w:hint="default"/>
        <w:lang w:val="en-US" w:eastAsia="en-US" w:bidi="ar-SA"/>
      </w:rPr>
    </w:lvl>
    <w:lvl w:ilvl="8">
      <w:start w:val="0"/>
      <w:numFmt w:val="bullet"/>
      <w:lvlText w:val="•"/>
      <w:lvlJc w:val="left"/>
      <w:pPr>
        <w:ind w:left="8588" w:hanging="360"/>
      </w:pPr>
      <w:rPr>
        <w:rFonts w:hint="default"/>
        <w:lang w:val="en-US" w:eastAsia="en-US" w:bidi="ar-SA"/>
      </w:rPr>
    </w:lvl>
  </w:abstractNum>
  <w:abstractNum w:abstractNumId="10">
    <w:multiLevelType w:val="hybridMultilevel"/>
    <w:lvl w:ilvl="0">
      <w:start w:val="1"/>
      <w:numFmt w:val="decimal"/>
      <w:lvlText w:val="%1."/>
      <w:lvlJc w:val="left"/>
      <w:pPr>
        <w:ind w:left="1580" w:hanging="346"/>
        <w:jc w:val="left"/>
      </w:pPr>
      <w:rPr>
        <w:rFonts w:hint="default" w:ascii="Arial" w:hAnsi="Arial" w:eastAsia="Arial" w:cs="Arial"/>
        <w:b w:val="0"/>
        <w:bCs w:val="0"/>
        <w:i w:val="0"/>
        <w:iCs w:val="0"/>
        <w:spacing w:val="-1"/>
        <w:w w:val="99"/>
        <w:sz w:val="20"/>
        <w:szCs w:val="20"/>
        <w:lang w:val="en-US" w:eastAsia="en-US" w:bidi="ar-SA"/>
      </w:rPr>
    </w:lvl>
    <w:lvl w:ilvl="1">
      <w:start w:val="1"/>
      <w:numFmt w:val="lowerLetter"/>
      <w:lvlText w:val="%2."/>
      <w:lvlJc w:val="left"/>
      <w:pPr>
        <w:ind w:left="1940" w:hanging="360"/>
        <w:jc w:val="left"/>
      </w:pPr>
      <w:rPr>
        <w:rFonts w:hint="default" w:ascii="Arial" w:hAnsi="Arial" w:eastAsia="Arial" w:cs="Arial"/>
        <w:b w:val="0"/>
        <w:bCs w:val="0"/>
        <w:i w:val="0"/>
        <w:iCs w:val="0"/>
        <w:spacing w:val="-1"/>
        <w:w w:val="99"/>
        <w:sz w:val="20"/>
        <w:szCs w:val="20"/>
        <w:lang w:val="en-US" w:eastAsia="en-US" w:bidi="ar-SA"/>
      </w:rPr>
    </w:lvl>
    <w:lvl w:ilvl="2">
      <w:start w:val="0"/>
      <w:numFmt w:val="bullet"/>
      <w:lvlText w:val="•"/>
      <w:lvlJc w:val="left"/>
      <w:pPr>
        <w:ind w:left="2873" w:hanging="360"/>
      </w:pPr>
      <w:rPr>
        <w:rFonts w:hint="default"/>
        <w:lang w:val="en-US" w:eastAsia="en-US" w:bidi="ar-SA"/>
      </w:rPr>
    </w:lvl>
    <w:lvl w:ilvl="3">
      <w:start w:val="0"/>
      <w:numFmt w:val="bullet"/>
      <w:lvlText w:val="•"/>
      <w:lvlJc w:val="left"/>
      <w:pPr>
        <w:ind w:left="3806" w:hanging="360"/>
      </w:pPr>
      <w:rPr>
        <w:rFonts w:hint="default"/>
        <w:lang w:val="en-US" w:eastAsia="en-US" w:bidi="ar-SA"/>
      </w:rPr>
    </w:lvl>
    <w:lvl w:ilvl="4">
      <w:start w:val="0"/>
      <w:numFmt w:val="bullet"/>
      <w:lvlText w:val="•"/>
      <w:lvlJc w:val="left"/>
      <w:pPr>
        <w:ind w:left="4740" w:hanging="360"/>
      </w:pPr>
      <w:rPr>
        <w:rFonts w:hint="default"/>
        <w:lang w:val="en-US" w:eastAsia="en-US" w:bidi="ar-SA"/>
      </w:rPr>
    </w:lvl>
    <w:lvl w:ilvl="5">
      <w:start w:val="0"/>
      <w:numFmt w:val="bullet"/>
      <w:lvlText w:val="•"/>
      <w:lvlJc w:val="left"/>
      <w:pPr>
        <w:ind w:left="5673" w:hanging="360"/>
      </w:pPr>
      <w:rPr>
        <w:rFonts w:hint="default"/>
        <w:lang w:val="en-US" w:eastAsia="en-US" w:bidi="ar-SA"/>
      </w:rPr>
    </w:lvl>
    <w:lvl w:ilvl="6">
      <w:start w:val="0"/>
      <w:numFmt w:val="bullet"/>
      <w:lvlText w:val="•"/>
      <w:lvlJc w:val="left"/>
      <w:pPr>
        <w:ind w:left="6606" w:hanging="360"/>
      </w:pPr>
      <w:rPr>
        <w:rFonts w:hint="default"/>
        <w:lang w:val="en-US" w:eastAsia="en-US" w:bidi="ar-SA"/>
      </w:rPr>
    </w:lvl>
    <w:lvl w:ilvl="7">
      <w:start w:val="0"/>
      <w:numFmt w:val="bullet"/>
      <w:lvlText w:val="•"/>
      <w:lvlJc w:val="left"/>
      <w:pPr>
        <w:ind w:left="7540" w:hanging="360"/>
      </w:pPr>
      <w:rPr>
        <w:rFonts w:hint="default"/>
        <w:lang w:val="en-US" w:eastAsia="en-US" w:bidi="ar-SA"/>
      </w:rPr>
    </w:lvl>
    <w:lvl w:ilvl="8">
      <w:start w:val="0"/>
      <w:numFmt w:val="bullet"/>
      <w:lvlText w:val="•"/>
      <w:lvlJc w:val="left"/>
      <w:pPr>
        <w:ind w:left="8473" w:hanging="360"/>
      </w:pPr>
      <w:rPr>
        <w:rFonts w:hint="default"/>
        <w:lang w:val="en-US" w:eastAsia="en-US" w:bidi="ar-SA"/>
      </w:rPr>
    </w:lvl>
  </w:abstractNum>
  <w:abstractNum w:abstractNumId="9">
    <w:multiLevelType w:val="hybridMultilevel"/>
    <w:lvl w:ilvl="0">
      <w:start w:val="1"/>
      <w:numFmt w:val="decimal"/>
      <w:lvlText w:val="%1"/>
      <w:lvlJc w:val="left"/>
      <w:pPr>
        <w:ind w:left="1939" w:hanging="720"/>
        <w:jc w:val="left"/>
      </w:pPr>
      <w:rPr>
        <w:rFonts w:hint="default"/>
        <w:lang w:val="en-US" w:eastAsia="en-US" w:bidi="ar-SA"/>
      </w:rPr>
    </w:lvl>
    <w:lvl w:ilvl="1">
      <w:start w:val="1"/>
      <w:numFmt w:val="decimal"/>
      <w:lvlText w:val="%1.%2"/>
      <w:lvlJc w:val="left"/>
      <w:pPr>
        <w:ind w:left="1939" w:hanging="720"/>
        <w:jc w:val="left"/>
      </w:pPr>
      <w:rPr>
        <w:rFonts w:hint="default"/>
        <w:lang w:val="en-US" w:eastAsia="en-US" w:bidi="ar-SA"/>
      </w:rPr>
    </w:lvl>
    <w:lvl w:ilvl="2">
      <w:start w:val="2"/>
      <w:numFmt w:val="decimal"/>
      <w:lvlText w:val="%1.%2.%3."/>
      <w:lvlJc w:val="left"/>
      <w:pPr>
        <w:ind w:left="1939" w:hanging="720"/>
        <w:jc w:val="right"/>
      </w:pPr>
      <w:rPr>
        <w:rFonts w:hint="default" w:ascii="Arial" w:hAnsi="Arial" w:eastAsia="Arial" w:cs="Arial"/>
        <w:b/>
        <w:bCs/>
        <w:i w:val="0"/>
        <w:iCs w:val="0"/>
        <w:spacing w:val="-3"/>
        <w:w w:val="100"/>
        <w:sz w:val="26"/>
        <w:szCs w:val="26"/>
        <w:lang w:val="en-US" w:eastAsia="en-US" w:bidi="ar-SA"/>
      </w:rPr>
    </w:lvl>
    <w:lvl w:ilvl="3">
      <w:start w:val="1"/>
      <w:numFmt w:val="decimal"/>
      <w:lvlText w:val="%1.%2.%3.%4."/>
      <w:lvlJc w:val="left"/>
      <w:pPr>
        <w:ind w:left="1580" w:hanging="1009"/>
        <w:jc w:val="left"/>
      </w:pPr>
      <w:rPr>
        <w:rFonts w:hint="default"/>
        <w:spacing w:val="-3"/>
        <w:w w:val="100"/>
        <w:lang w:val="en-US" w:eastAsia="en-US" w:bidi="ar-SA"/>
      </w:rPr>
    </w:lvl>
    <w:lvl w:ilvl="4">
      <w:start w:val="1"/>
      <w:numFmt w:val="decimal"/>
      <w:lvlText w:val="%5."/>
      <w:lvlJc w:val="left"/>
      <w:pPr>
        <w:ind w:left="1939" w:hanging="360"/>
        <w:jc w:val="left"/>
      </w:pPr>
      <w:rPr>
        <w:rFonts w:hint="default" w:ascii="Arial" w:hAnsi="Arial" w:eastAsia="Arial" w:cs="Arial"/>
        <w:b w:val="0"/>
        <w:bCs w:val="0"/>
        <w:i w:val="0"/>
        <w:iCs w:val="0"/>
        <w:spacing w:val="-1"/>
        <w:w w:val="99"/>
        <w:sz w:val="20"/>
        <w:szCs w:val="20"/>
        <w:lang w:val="en-US" w:eastAsia="en-US" w:bidi="ar-SA"/>
      </w:rPr>
    </w:lvl>
    <w:lvl w:ilvl="5">
      <w:start w:val="1"/>
      <w:numFmt w:val="lowerLetter"/>
      <w:lvlText w:val="%6."/>
      <w:lvlJc w:val="left"/>
      <w:pPr>
        <w:ind w:left="2299" w:hanging="360"/>
        <w:jc w:val="left"/>
      </w:pPr>
      <w:rPr>
        <w:rFonts w:hint="default" w:ascii="Arial" w:hAnsi="Arial" w:eastAsia="Arial" w:cs="Arial"/>
        <w:b w:val="0"/>
        <w:bCs w:val="0"/>
        <w:i w:val="0"/>
        <w:iCs w:val="0"/>
        <w:spacing w:val="-1"/>
        <w:w w:val="99"/>
        <w:sz w:val="20"/>
        <w:szCs w:val="20"/>
        <w:lang w:val="en-US" w:eastAsia="en-US" w:bidi="ar-SA"/>
      </w:rPr>
    </w:lvl>
    <w:lvl w:ilvl="6">
      <w:start w:val="0"/>
      <w:numFmt w:val="bullet"/>
      <w:lvlText w:val="•"/>
      <w:lvlJc w:val="left"/>
      <w:pPr>
        <w:ind w:left="6320" w:hanging="360"/>
      </w:pPr>
      <w:rPr>
        <w:rFonts w:hint="default"/>
        <w:lang w:val="en-US" w:eastAsia="en-US" w:bidi="ar-SA"/>
      </w:rPr>
    </w:lvl>
    <w:lvl w:ilvl="7">
      <w:start w:val="0"/>
      <w:numFmt w:val="bullet"/>
      <w:lvlText w:val="•"/>
      <w:lvlJc w:val="left"/>
      <w:pPr>
        <w:ind w:left="7325" w:hanging="360"/>
      </w:pPr>
      <w:rPr>
        <w:rFonts w:hint="default"/>
        <w:lang w:val="en-US" w:eastAsia="en-US" w:bidi="ar-SA"/>
      </w:rPr>
    </w:lvl>
    <w:lvl w:ilvl="8">
      <w:start w:val="0"/>
      <w:numFmt w:val="bullet"/>
      <w:lvlText w:val="•"/>
      <w:lvlJc w:val="left"/>
      <w:pPr>
        <w:ind w:left="8330" w:hanging="360"/>
      </w:pPr>
      <w:rPr>
        <w:rFonts w:hint="default"/>
        <w:lang w:val="en-US" w:eastAsia="en-US" w:bidi="ar-SA"/>
      </w:rPr>
    </w:lvl>
  </w:abstractNum>
  <w:abstractNum w:abstractNumId="8">
    <w:multiLevelType w:val="hybridMultilevel"/>
    <w:lvl w:ilvl="0">
      <w:start w:val="1"/>
      <w:numFmt w:val="decimal"/>
      <w:lvlText w:val="%1."/>
      <w:lvlJc w:val="left"/>
      <w:pPr>
        <w:ind w:left="859" w:hanging="360"/>
        <w:jc w:val="left"/>
      </w:pPr>
      <w:rPr>
        <w:rFonts w:hint="default" w:ascii="Arial" w:hAnsi="Arial" w:eastAsia="Arial" w:cs="Arial"/>
        <w:b/>
        <w:bCs/>
        <w:i w:val="0"/>
        <w:iCs w:val="0"/>
        <w:spacing w:val="-1"/>
        <w:w w:val="100"/>
        <w:sz w:val="28"/>
        <w:szCs w:val="28"/>
        <w:lang w:val="en-US" w:eastAsia="en-US" w:bidi="ar-SA"/>
      </w:rPr>
    </w:lvl>
    <w:lvl w:ilvl="1">
      <w:start w:val="1"/>
      <w:numFmt w:val="decimal"/>
      <w:lvlText w:val="%1.%2."/>
      <w:lvlJc w:val="left"/>
      <w:pPr>
        <w:ind w:left="1292" w:hanging="433"/>
        <w:jc w:val="left"/>
      </w:pPr>
      <w:rPr>
        <w:rFonts w:hint="default" w:ascii="Arial" w:hAnsi="Arial" w:eastAsia="Arial" w:cs="Arial"/>
        <w:b w:val="0"/>
        <w:bCs w:val="0"/>
        <w:i w:val="0"/>
        <w:iCs w:val="0"/>
        <w:spacing w:val="-1"/>
        <w:w w:val="99"/>
        <w:sz w:val="20"/>
        <w:szCs w:val="20"/>
        <w:lang w:val="en-US" w:eastAsia="en-US" w:bidi="ar-SA"/>
      </w:rPr>
    </w:lvl>
    <w:lvl w:ilvl="2">
      <w:start w:val="1"/>
      <w:numFmt w:val="decimal"/>
      <w:lvlText w:val="%1.%2.%3."/>
      <w:lvlJc w:val="left"/>
      <w:pPr>
        <w:ind w:left="1724" w:hanging="504"/>
        <w:jc w:val="left"/>
      </w:pPr>
      <w:rPr>
        <w:rFonts w:hint="default" w:ascii="Arial" w:hAnsi="Arial" w:eastAsia="Arial" w:cs="Arial"/>
        <w:b w:val="0"/>
        <w:bCs w:val="0"/>
        <w:i w:val="0"/>
        <w:iCs w:val="0"/>
        <w:spacing w:val="-1"/>
        <w:w w:val="99"/>
        <w:sz w:val="18"/>
        <w:szCs w:val="18"/>
        <w:lang w:val="en-US" w:eastAsia="en-US" w:bidi="ar-SA"/>
      </w:rPr>
    </w:lvl>
    <w:lvl w:ilvl="3">
      <w:start w:val="1"/>
      <w:numFmt w:val="decimal"/>
      <w:lvlText w:val="%1.%2.%3.%4."/>
      <w:lvlJc w:val="left"/>
      <w:pPr>
        <w:ind w:left="2300" w:hanging="720"/>
        <w:jc w:val="right"/>
      </w:pPr>
      <w:rPr>
        <w:rFonts w:hint="default"/>
        <w:spacing w:val="-1"/>
        <w:w w:val="99"/>
        <w:lang w:val="en-US" w:eastAsia="en-US" w:bidi="ar-SA"/>
      </w:rPr>
    </w:lvl>
    <w:lvl w:ilvl="4">
      <w:start w:val="0"/>
      <w:numFmt w:val="bullet"/>
      <w:lvlText w:val="•"/>
      <w:lvlJc w:val="left"/>
      <w:pPr>
        <w:ind w:left="3448" w:hanging="720"/>
      </w:pPr>
      <w:rPr>
        <w:rFonts w:hint="default"/>
        <w:lang w:val="en-US" w:eastAsia="en-US" w:bidi="ar-SA"/>
      </w:rPr>
    </w:lvl>
    <w:lvl w:ilvl="5">
      <w:start w:val="0"/>
      <w:numFmt w:val="bullet"/>
      <w:lvlText w:val="•"/>
      <w:lvlJc w:val="left"/>
      <w:pPr>
        <w:ind w:left="4597" w:hanging="720"/>
      </w:pPr>
      <w:rPr>
        <w:rFonts w:hint="default"/>
        <w:lang w:val="en-US" w:eastAsia="en-US" w:bidi="ar-SA"/>
      </w:rPr>
    </w:lvl>
    <w:lvl w:ilvl="6">
      <w:start w:val="0"/>
      <w:numFmt w:val="bullet"/>
      <w:lvlText w:val="•"/>
      <w:lvlJc w:val="left"/>
      <w:pPr>
        <w:ind w:left="5745" w:hanging="720"/>
      </w:pPr>
      <w:rPr>
        <w:rFonts w:hint="default"/>
        <w:lang w:val="en-US" w:eastAsia="en-US" w:bidi="ar-SA"/>
      </w:rPr>
    </w:lvl>
    <w:lvl w:ilvl="7">
      <w:start w:val="0"/>
      <w:numFmt w:val="bullet"/>
      <w:lvlText w:val="•"/>
      <w:lvlJc w:val="left"/>
      <w:pPr>
        <w:ind w:left="6894" w:hanging="720"/>
      </w:pPr>
      <w:rPr>
        <w:rFonts w:hint="default"/>
        <w:lang w:val="en-US" w:eastAsia="en-US" w:bidi="ar-SA"/>
      </w:rPr>
    </w:lvl>
    <w:lvl w:ilvl="8">
      <w:start w:val="0"/>
      <w:numFmt w:val="bullet"/>
      <w:lvlText w:val="•"/>
      <w:lvlJc w:val="left"/>
      <w:pPr>
        <w:ind w:left="8042" w:hanging="720"/>
      </w:pPr>
      <w:rPr>
        <w:rFonts w:hint="default"/>
        <w:lang w:val="en-US" w:eastAsia="en-US" w:bidi="ar-SA"/>
      </w:rPr>
    </w:lvl>
  </w:abstractNum>
  <w:abstractNum w:abstractNumId="7">
    <w:multiLevelType w:val="hybridMultilevel"/>
    <w:lvl w:ilvl="0">
      <w:start w:val="3"/>
      <w:numFmt w:val="decimal"/>
      <w:lvlText w:val="%1."/>
      <w:lvlJc w:val="left"/>
      <w:pPr>
        <w:ind w:left="857" w:hanging="360"/>
        <w:jc w:val="left"/>
      </w:pPr>
      <w:rPr>
        <w:rFonts w:hint="default" w:ascii="Arial" w:hAnsi="Arial" w:eastAsia="Arial" w:cs="Arial"/>
        <w:b w:val="0"/>
        <w:bCs w:val="0"/>
        <w:i w:val="0"/>
        <w:iCs w:val="0"/>
        <w:spacing w:val="-1"/>
        <w:w w:val="99"/>
        <w:sz w:val="20"/>
        <w:szCs w:val="20"/>
        <w:lang w:val="en-US" w:eastAsia="en-US" w:bidi="ar-SA"/>
      </w:rPr>
    </w:lvl>
    <w:lvl w:ilvl="1">
      <w:start w:val="1"/>
      <w:numFmt w:val="decimal"/>
      <w:lvlText w:val="%1.%2."/>
      <w:lvlJc w:val="left"/>
      <w:pPr>
        <w:ind w:left="1288" w:hanging="433"/>
        <w:jc w:val="left"/>
      </w:pPr>
      <w:rPr>
        <w:rFonts w:hint="default" w:ascii="Arial" w:hAnsi="Arial" w:eastAsia="Arial" w:cs="Arial"/>
        <w:b w:val="0"/>
        <w:bCs w:val="0"/>
        <w:i w:val="0"/>
        <w:iCs w:val="0"/>
        <w:spacing w:val="-1"/>
        <w:w w:val="99"/>
        <w:sz w:val="20"/>
        <w:szCs w:val="20"/>
        <w:lang w:val="en-US" w:eastAsia="en-US" w:bidi="ar-SA"/>
      </w:rPr>
    </w:lvl>
    <w:lvl w:ilvl="2">
      <w:start w:val="1"/>
      <w:numFmt w:val="decimal"/>
      <w:lvlText w:val="%1.%2.%3."/>
      <w:lvlJc w:val="left"/>
      <w:pPr>
        <w:ind w:left="1720" w:hanging="504"/>
        <w:jc w:val="left"/>
      </w:pPr>
      <w:rPr>
        <w:rFonts w:hint="default" w:ascii="Arial" w:hAnsi="Arial" w:eastAsia="Arial" w:cs="Arial"/>
        <w:b w:val="0"/>
        <w:bCs w:val="0"/>
        <w:i w:val="0"/>
        <w:iCs w:val="0"/>
        <w:spacing w:val="-1"/>
        <w:w w:val="99"/>
        <w:sz w:val="18"/>
        <w:szCs w:val="18"/>
        <w:lang w:val="en-US" w:eastAsia="en-US" w:bidi="ar-SA"/>
      </w:rPr>
    </w:lvl>
    <w:lvl w:ilvl="3">
      <w:start w:val="0"/>
      <w:numFmt w:val="bullet"/>
      <w:lvlText w:val="•"/>
      <w:lvlJc w:val="left"/>
      <w:pPr>
        <w:ind w:left="2797" w:hanging="504"/>
      </w:pPr>
      <w:rPr>
        <w:rFonts w:hint="default"/>
        <w:lang w:val="en-US" w:eastAsia="en-US" w:bidi="ar-SA"/>
      </w:rPr>
    </w:lvl>
    <w:lvl w:ilvl="4">
      <w:start w:val="0"/>
      <w:numFmt w:val="bullet"/>
      <w:lvlText w:val="•"/>
      <w:lvlJc w:val="left"/>
      <w:pPr>
        <w:ind w:left="3875" w:hanging="504"/>
      </w:pPr>
      <w:rPr>
        <w:rFonts w:hint="default"/>
        <w:lang w:val="en-US" w:eastAsia="en-US" w:bidi="ar-SA"/>
      </w:rPr>
    </w:lvl>
    <w:lvl w:ilvl="5">
      <w:start w:val="0"/>
      <w:numFmt w:val="bullet"/>
      <w:lvlText w:val="•"/>
      <w:lvlJc w:val="left"/>
      <w:pPr>
        <w:ind w:left="4952" w:hanging="504"/>
      </w:pPr>
      <w:rPr>
        <w:rFonts w:hint="default"/>
        <w:lang w:val="en-US" w:eastAsia="en-US" w:bidi="ar-SA"/>
      </w:rPr>
    </w:lvl>
    <w:lvl w:ilvl="6">
      <w:start w:val="0"/>
      <w:numFmt w:val="bullet"/>
      <w:lvlText w:val="•"/>
      <w:lvlJc w:val="left"/>
      <w:pPr>
        <w:ind w:left="6030" w:hanging="504"/>
      </w:pPr>
      <w:rPr>
        <w:rFonts w:hint="default"/>
        <w:lang w:val="en-US" w:eastAsia="en-US" w:bidi="ar-SA"/>
      </w:rPr>
    </w:lvl>
    <w:lvl w:ilvl="7">
      <w:start w:val="0"/>
      <w:numFmt w:val="bullet"/>
      <w:lvlText w:val="•"/>
      <w:lvlJc w:val="left"/>
      <w:pPr>
        <w:ind w:left="7107" w:hanging="504"/>
      </w:pPr>
      <w:rPr>
        <w:rFonts w:hint="default"/>
        <w:lang w:val="en-US" w:eastAsia="en-US" w:bidi="ar-SA"/>
      </w:rPr>
    </w:lvl>
    <w:lvl w:ilvl="8">
      <w:start w:val="0"/>
      <w:numFmt w:val="bullet"/>
      <w:lvlText w:val="•"/>
      <w:lvlJc w:val="left"/>
      <w:pPr>
        <w:ind w:left="8185" w:hanging="504"/>
      </w:pPr>
      <w:rPr>
        <w:rFonts w:hint="default"/>
        <w:lang w:val="en-US" w:eastAsia="en-US" w:bidi="ar-SA"/>
      </w:rPr>
    </w:lvl>
  </w:abstractNum>
  <w:abstractNum w:abstractNumId="6">
    <w:multiLevelType w:val="hybridMultilevel"/>
    <w:lvl w:ilvl="0">
      <w:start w:val="2"/>
      <w:numFmt w:val="decimal"/>
      <w:lvlText w:val="%1"/>
      <w:lvlJc w:val="left"/>
      <w:pPr>
        <w:ind w:left="1291" w:hanging="433"/>
        <w:jc w:val="left"/>
      </w:pPr>
      <w:rPr>
        <w:rFonts w:hint="default"/>
        <w:lang w:val="en-US" w:eastAsia="en-US" w:bidi="ar-SA"/>
      </w:rPr>
    </w:lvl>
    <w:lvl w:ilvl="1">
      <w:start w:val="2"/>
      <w:numFmt w:val="decimal"/>
      <w:lvlText w:val="%1.%2."/>
      <w:lvlJc w:val="left"/>
      <w:pPr>
        <w:ind w:left="1291" w:hanging="433"/>
        <w:jc w:val="left"/>
      </w:pPr>
      <w:rPr>
        <w:rFonts w:hint="default" w:ascii="Arial" w:hAnsi="Arial" w:eastAsia="Arial" w:cs="Arial"/>
        <w:b w:val="0"/>
        <w:bCs w:val="0"/>
        <w:i w:val="0"/>
        <w:iCs w:val="0"/>
        <w:spacing w:val="-1"/>
        <w:w w:val="99"/>
        <w:sz w:val="20"/>
        <w:szCs w:val="20"/>
        <w:lang w:val="en-US" w:eastAsia="en-US" w:bidi="ar-SA"/>
      </w:rPr>
    </w:lvl>
    <w:lvl w:ilvl="2">
      <w:start w:val="1"/>
      <w:numFmt w:val="decimal"/>
      <w:lvlText w:val="%1.%2.%3."/>
      <w:lvlJc w:val="left"/>
      <w:pPr>
        <w:ind w:left="1723" w:hanging="504"/>
        <w:jc w:val="left"/>
      </w:pPr>
      <w:rPr>
        <w:rFonts w:hint="default" w:ascii="Arial" w:hAnsi="Arial" w:eastAsia="Arial" w:cs="Arial"/>
        <w:b w:val="0"/>
        <w:bCs w:val="0"/>
        <w:i w:val="0"/>
        <w:iCs w:val="0"/>
        <w:spacing w:val="-1"/>
        <w:w w:val="99"/>
        <w:sz w:val="18"/>
        <w:szCs w:val="18"/>
        <w:lang w:val="en-US" w:eastAsia="en-US" w:bidi="ar-SA"/>
      </w:rPr>
    </w:lvl>
    <w:lvl w:ilvl="3">
      <w:start w:val="0"/>
      <w:numFmt w:val="bullet"/>
      <w:lvlText w:val="•"/>
      <w:lvlJc w:val="left"/>
      <w:pPr>
        <w:ind w:left="3635" w:hanging="504"/>
      </w:pPr>
      <w:rPr>
        <w:rFonts w:hint="default"/>
        <w:lang w:val="en-US" w:eastAsia="en-US" w:bidi="ar-SA"/>
      </w:rPr>
    </w:lvl>
    <w:lvl w:ilvl="4">
      <w:start w:val="0"/>
      <w:numFmt w:val="bullet"/>
      <w:lvlText w:val="•"/>
      <w:lvlJc w:val="left"/>
      <w:pPr>
        <w:ind w:left="4593" w:hanging="504"/>
      </w:pPr>
      <w:rPr>
        <w:rFonts w:hint="default"/>
        <w:lang w:val="en-US" w:eastAsia="en-US" w:bidi="ar-SA"/>
      </w:rPr>
    </w:lvl>
    <w:lvl w:ilvl="5">
      <w:start w:val="0"/>
      <w:numFmt w:val="bullet"/>
      <w:lvlText w:val="•"/>
      <w:lvlJc w:val="left"/>
      <w:pPr>
        <w:ind w:left="5551" w:hanging="504"/>
      </w:pPr>
      <w:rPr>
        <w:rFonts w:hint="default"/>
        <w:lang w:val="en-US" w:eastAsia="en-US" w:bidi="ar-SA"/>
      </w:rPr>
    </w:lvl>
    <w:lvl w:ilvl="6">
      <w:start w:val="0"/>
      <w:numFmt w:val="bullet"/>
      <w:lvlText w:val="•"/>
      <w:lvlJc w:val="left"/>
      <w:pPr>
        <w:ind w:left="6508" w:hanging="504"/>
      </w:pPr>
      <w:rPr>
        <w:rFonts w:hint="default"/>
        <w:lang w:val="en-US" w:eastAsia="en-US" w:bidi="ar-SA"/>
      </w:rPr>
    </w:lvl>
    <w:lvl w:ilvl="7">
      <w:start w:val="0"/>
      <w:numFmt w:val="bullet"/>
      <w:lvlText w:val="•"/>
      <w:lvlJc w:val="left"/>
      <w:pPr>
        <w:ind w:left="7466" w:hanging="504"/>
      </w:pPr>
      <w:rPr>
        <w:rFonts w:hint="default"/>
        <w:lang w:val="en-US" w:eastAsia="en-US" w:bidi="ar-SA"/>
      </w:rPr>
    </w:lvl>
    <w:lvl w:ilvl="8">
      <w:start w:val="0"/>
      <w:numFmt w:val="bullet"/>
      <w:lvlText w:val="•"/>
      <w:lvlJc w:val="left"/>
      <w:pPr>
        <w:ind w:left="8424" w:hanging="504"/>
      </w:pPr>
      <w:rPr>
        <w:rFonts w:hint="default"/>
        <w:lang w:val="en-US" w:eastAsia="en-US" w:bidi="ar-SA"/>
      </w:rPr>
    </w:lvl>
  </w:abstractNum>
  <w:abstractNum w:abstractNumId="5">
    <w:multiLevelType w:val="hybridMultilevel"/>
    <w:lvl w:ilvl="0">
      <w:start w:val="3"/>
      <w:numFmt w:val="upperLetter"/>
      <w:lvlText w:val="%1"/>
      <w:lvlJc w:val="left"/>
      <w:pPr>
        <w:ind w:left="2659" w:hanging="720"/>
        <w:jc w:val="left"/>
      </w:pPr>
      <w:rPr>
        <w:rFonts w:hint="default"/>
        <w:lang w:val="en-US" w:eastAsia="en-US" w:bidi="ar-SA"/>
      </w:rPr>
    </w:lvl>
    <w:lvl w:ilvl="1">
      <w:start w:val="7"/>
      <w:numFmt w:val="decimal"/>
      <w:lvlText w:val="%1-%2"/>
      <w:lvlJc w:val="left"/>
      <w:pPr>
        <w:ind w:left="2659" w:hanging="720"/>
        <w:jc w:val="left"/>
      </w:pPr>
      <w:rPr>
        <w:rFonts w:hint="default" w:ascii="Arial" w:hAnsi="Arial" w:eastAsia="Arial" w:cs="Arial"/>
        <w:b w:val="0"/>
        <w:bCs w:val="0"/>
        <w:i w:val="0"/>
        <w:iCs w:val="0"/>
        <w:w w:val="99"/>
        <w:sz w:val="20"/>
        <w:szCs w:val="20"/>
        <w:lang w:val="en-US" w:eastAsia="en-US" w:bidi="ar-SA"/>
      </w:rPr>
    </w:lvl>
    <w:lvl w:ilvl="2">
      <w:start w:val="0"/>
      <w:numFmt w:val="bullet"/>
      <w:lvlText w:val="•"/>
      <w:lvlJc w:val="left"/>
      <w:pPr>
        <w:ind w:left="4196" w:hanging="720"/>
      </w:pPr>
      <w:rPr>
        <w:rFonts w:hint="default"/>
        <w:lang w:val="en-US" w:eastAsia="en-US" w:bidi="ar-SA"/>
      </w:rPr>
    </w:lvl>
    <w:lvl w:ilvl="3">
      <w:start w:val="0"/>
      <w:numFmt w:val="bullet"/>
      <w:lvlText w:val="•"/>
      <w:lvlJc w:val="left"/>
      <w:pPr>
        <w:ind w:left="4964" w:hanging="720"/>
      </w:pPr>
      <w:rPr>
        <w:rFonts w:hint="default"/>
        <w:lang w:val="en-US" w:eastAsia="en-US" w:bidi="ar-SA"/>
      </w:rPr>
    </w:lvl>
    <w:lvl w:ilvl="4">
      <w:start w:val="0"/>
      <w:numFmt w:val="bullet"/>
      <w:lvlText w:val="•"/>
      <w:lvlJc w:val="left"/>
      <w:pPr>
        <w:ind w:left="5732" w:hanging="720"/>
      </w:pPr>
      <w:rPr>
        <w:rFonts w:hint="default"/>
        <w:lang w:val="en-US" w:eastAsia="en-US" w:bidi="ar-SA"/>
      </w:rPr>
    </w:lvl>
    <w:lvl w:ilvl="5">
      <w:start w:val="0"/>
      <w:numFmt w:val="bullet"/>
      <w:lvlText w:val="•"/>
      <w:lvlJc w:val="left"/>
      <w:pPr>
        <w:ind w:left="6500" w:hanging="720"/>
      </w:pPr>
      <w:rPr>
        <w:rFonts w:hint="default"/>
        <w:lang w:val="en-US" w:eastAsia="en-US" w:bidi="ar-SA"/>
      </w:rPr>
    </w:lvl>
    <w:lvl w:ilvl="6">
      <w:start w:val="0"/>
      <w:numFmt w:val="bullet"/>
      <w:lvlText w:val="•"/>
      <w:lvlJc w:val="left"/>
      <w:pPr>
        <w:ind w:left="7268" w:hanging="720"/>
      </w:pPr>
      <w:rPr>
        <w:rFonts w:hint="default"/>
        <w:lang w:val="en-US" w:eastAsia="en-US" w:bidi="ar-SA"/>
      </w:rPr>
    </w:lvl>
    <w:lvl w:ilvl="7">
      <w:start w:val="0"/>
      <w:numFmt w:val="bullet"/>
      <w:lvlText w:val="•"/>
      <w:lvlJc w:val="left"/>
      <w:pPr>
        <w:ind w:left="8036" w:hanging="720"/>
      </w:pPr>
      <w:rPr>
        <w:rFonts w:hint="default"/>
        <w:lang w:val="en-US" w:eastAsia="en-US" w:bidi="ar-SA"/>
      </w:rPr>
    </w:lvl>
    <w:lvl w:ilvl="8">
      <w:start w:val="0"/>
      <w:numFmt w:val="bullet"/>
      <w:lvlText w:val="•"/>
      <w:lvlJc w:val="left"/>
      <w:pPr>
        <w:ind w:left="8804" w:hanging="720"/>
      </w:pPr>
      <w:rPr>
        <w:rFonts w:hint="default"/>
        <w:lang w:val="en-US" w:eastAsia="en-US" w:bidi="ar-SA"/>
      </w:rPr>
    </w:lvl>
  </w:abstractNum>
  <w:abstractNum w:abstractNumId="4">
    <w:multiLevelType w:val="hybridMultilevel"/>
    <w:lvl w:ilvl="0">
      <w:start w:val="3"/>
      <w:numFmt w:val="upperLetter"/>
      <w:lvlText w:val="%1"/>
      <w:lvlJc w:val="left"/>
      <w:pPr>
        <w:ind w:left="2654" w:hanging="720"/>
        <w:jc w:val="left"/>
      </w:pPr>
      <w:rPr>
        <w:rFonts w:hint="default"/>
        <w:lang w:val="en-US" w:eastAsia="en-US" w:bidi="ar-SA"/>
      </w:rPr>
    </w:lvl>
    <w:lvl w:ilvl="1">
      <w:start w:val="1"/>
      <w:numFmt w:val="decimal"/>
      <w:lvlText w:val="%1-%2"/>
      <w:lvlJc w:val="left"/>
      <w:pPr>
        <w:ind w:left="2654" w:hanging="720"/>
        <w:jc w:val="left"/>
      </w:pPr>
      <w:rPr>
        <w:rFonts w:hint="default" w:ascii="Arial" w:hAnsi="Arial" w:eastAsia="Arial" w:cs="Arial"/>
        <w:b w:val="0"/>
        <w:bCs w:val="0"/>
        <w:i w:val="0"/>
        <w:iCs w:val="0"/>
        <w:w w:val="99"/>
        <w:sz w:val="20"/>
        <w:szCs w:val="20"/>
        <w:lang w:val="en-US" w:eastAsia="en-US" w:bidi="ar-SA"/>
      </w:rPr>
    </w:lvl>
    <w:lvl w:ilvl="2">
      <w:start w:val="0"/>
      <w:numFmt w:val="bullet"/>
      <w:lvlText w:val="•"/>
      <w:lvlJc w:val="left"/>
      <w:pPr>
        <w:ind w:left="4196" w:hanging="720"/>
      </w:pPr>
      <w:rPr>
        <w:rFonts w:hint="default"/>
        <w:lang w:val="en-US" w:eastAsia="en-US" w:bidi="ar-SA"/>
      </w:rPr>
    </w:lvl>
    <w:lvl w:ilvl="3">
      <w:start w:val="0"/>
      <w:numFmt w:val="bullet"/>
      <w:lvlText w:val="•"/>
      <w:lvlJc w:val="left"/>
      <w:pPr>
        <w:ind w:left="4964" w:hanging="720"/>
      </w:pPr>
      <w:rPr>
        <w:rFonts w:hint="default"/>
        <w:lang w:val="en-US" w:eastAsia="en-US" w:bidi="ar-SA"/>
      </w:rPr>
    </w:lvl>
    <w:lvl w:ilvl="4">
      <w:start w:val="0"/>
      <w:numFmt w:val="bullet"/>
      <w:lvlText w:val="•"/>
      <w:lvlJc w:val="left"/>
      <w:pPr>
        <w:ind w:left="5732" w:hanging="720"/>
      </w:pPr>
      <w:rPr>
        <w:rFonts w:hint="default"/>
        <w:lang w:val="en-US" w:eastAsia="en-US" w:bidi="ar-SA"/>
      </w:rPr>
    </w:lvl>
    <w:lvl w:ilvl="5">
      <w:start w:val="0"/>
      <w:numFmt w:val="bullet"/>
      <w:lvlText w:val="•"/>
      <w:lvlJc w:val="left"/>
      <w:pPr>
        <w:ind w:left="6500" w:hanging="720"/>
      </w:pPr>
      <w:rPr>
        <w:rFonts w:hint="default"/>
        <w:lang w:val="en-US" w:eastAsia="en-US" w:bidi="ar-SA"/>
      </w:rPr>
    </w:lvl>
    <w:lvl w:ilvl="6">
      <w:start w:val="0"/>
      <w:numFmt w:val="bullet"/>
      <w:lvlText w:val="•"/>
      <w:lvlJc w:val="left"/>
      <w:pPr>
        <w:ind w:left="7268" w:hanging="720"/>
      </w:pPr>
      <w:rPr>
        <w:rFonts w:hint="default"/>
        <w:lang w:val="en-US" w:eastAsia="en-US" w:bidi="ar-SA"/>
      </w:rPr>
    </w:lvl>
    <w:lvl w:ilvl="7">
      <w:start w:val="0"/>
      <w:numFmt w:val="bullet"/>
      <w:lvlText w:val="•"/>
      <w:lvlJc w:val="left"/>
      <w:pPr>
        <w:ind w:left="8036" w:hanging="720"/>
      </w:pPr>
      <w:rPr>
        <w:rFonts w:hint="default"/>
        <w:lang w:val="en-US" w:eastAsia="en-US" w:bidi="ar-SA"/>
      </w:rPr>
    </w:lvl>
    <w:lvl w:ilvl="8">
      <w:start w:val="0"/>
      <w:numFmt w:val="bullet"/>
      <w:lvlText w:val="•"/>
      <w:lvlJc w:val="left"/>
      <w:pPr>
        <w:ind w:left="8804" w:hanging="720"/>
      </w:pPr>
      <w:rPr>
        <w:rFonts w:hint="default"/>
        <w:lang w:val="en-US" w:eastAsia="en-US" w:bidi="ar-SA"/>
      </w:rPr>
    </w:lvl>
  </w:abstractNum>
  <w:abstractNum w:abstractNumId="3">
    <w:multiLevelType w:val="hybridMultilevel"/>
    <w:lvl w:ilvl="0">
      <w:start w:val="2"/>
      <w:numFmt w:val="upperLetter"/>
      <w:lvlText w:val="%1"/>
      <w:lvlJc w:val="left"/>
      <w:pPr>
        <w:ind w:left="2656" w:hanging="720"/>
        <w:jc w:val="left"/>
      </w:pPr>
      <w:rPr>
        <w:rFonts w:hint="default"/>
        <w:lang w:val="en-US" w:eastAsia="en-US" w:bidi="ar-SA"/>
      </w:rPr>
    </w:lvl>
    <w:lvl w:ilvl="1">
      <w:start w:val="7"/>
      <w:numFmt w:val="decimal"/>
      <w:lvlText w:val="%1-%2"/>
      <w:lvlJc w:val="left"/>
      <w:pPr>
        <w:ind w:left="2656" w:hanging="720"/>
        <w:jc w:val="left"/>
      </w:pPr>
      <w:rPr>
        <w:rFonts w:hint="default" w:ascii="Arial" w:hAnsi="Arial" w:eastAsia="Arial" w:cs="Arial"/>
        <w:b w:val="0"/>
        <w:bCs w:val="0"/>
        <w:i w:val="0"/>
        <w:iCs w:val="0"/>
        <w:spacing w:val="-1"/>
        <w:w w:val="99"/>
        <w:sz w:val="20"/>
        <w:szCs w:val="20"/>
        <w:lang w:val="en-US" w:eastAsia="en-US" w:bidi="ar-SA"/>
      </w:rPr>
    </w:lvl>
    <w:lvl w:ilvl="2">
      <w:start w:val="0"/>
      <w:numFmt w:val="bullet"/>
      <w:lvlText w:val="•"/>
      <w:lvlJc w:val="left"/>
      <w:pPr>
        <w:ind w:left="4196" w:hanging="720"/>
      </w:pPr>
      <w:rPr>
        <w:rFonts w:hint="default"/>
        <w:lang w:val="en-US" w:eastAsia="en-US" w:bidi="ar-SA"/>
      </w:rPr>
    </w:lvl>
    <w:lvl w:ilvl="3">
      <w:start w:val="0"/>
      <w:numFmt w:val="bullet"/>
      <w:lvlText w:val="•"/>
      <w:lvlJc w:val="left"/>
      <w:pPr>
        <w:ind w:left="4964" w:hanging="720"/>
      </w:pPr>
      <w:rPr>
        <w:rFonts w:hint="default"/>
        <w:lang w:val="en-US" w:eastAsia="en-US" w:bidi="ar-SA"/>
      </w:rPr>
    </w:lvl>
    <w:lvl w:ilvl="4">
      <w:start w:val="0"/>
      <w:numFmt w:val="bullet"/>
      <w:lvlText w:val="•"/>
      <w:lvlJc w:val="left"/>
      <w:pPr>
        <w:ind w:left="5732" w:hanging="720"/>
      </w:pPr>
      <w:rPr>
        <w:rFonts w:hint="default"/>
        <w:lang w:val="en-US" w:eastAsia="en-US" w:bidi="ar-SA"/>
      </w:rPr>
    </w:lvl>
    <w:lvl w:ilvl="5">
      <w:start w:val="0"/>
      <w:numFmt w:val="bullet"/>
      <w:lvlText w:val="•"/>
      <w:lvlJc w:val="left"/>
      <w:pPr>
        <w:ind w:left="6500" w:hanging="720"/>
      </w:pPr>
      <w:rPr>
        <w:rFonts w:hint="default"/>
        <w:lang w:val="en-US" w:eastAsia="en-US" w:bidi="ar-SA"/>
      </w:rPr>
    </w:lvl>
    <w:lvl w:ilvl="6">
      <w:start w:val="0"/>
      <w:numFmt w:val="bullet"/>
      <w:lvlText w:val="•"/>
      <w:lvlJc w:val="left"/>
      <w:pPr>
        <w:ind w:left="7268" w:hanging="720"/>
      </w:pPr>
      <w:rPr>
        <w:rFonts w:hint="default"/>
        <w:lang w:val="en-US" w:eastAsia="en-US" w:bidi="ar-SA"/>
      </w:rPr>
    </w:lvl>
    <w:lvl w:ilvl="7">
      <w:start w:val="0"/>
      <w:numFmt w:val="bullet"/>
      <w:lvlText w:val="•"/>
      <w:lvlJc w:val="left"/>
      <w:pPr>
        <w:ind w:left="8036" w:hanging="720"/>
      </w:pPr>
      <w:rPr>
        <w:rFonts w:hint="default"/>
        <w:lang w:val="en-US" w:eastAsia="en-US" w:bidi="ar-SA"/>
      </w:rPr>
    </w:lvl>
    <w:lvl w:ilvl="8">
      <w:start w:val="0"/>
      <w:numFmt w:val="bullet"/>
      <w:lvlText w:val="•"/>
      <w:lvlJc w:val="left"/>
      <w:pPr>
        <w:ind w:left="8804" w:hanging="720"/>
      </w:pPr>
      <w:rPr>
        <w:rFonts w:hint="default"/>
        <w:lang w:val="en-US" w:eastAsia="en-US" w:bidi="ar-SA"/>
      </w:rPr>
    </w:lvl>
  </w:abstractNum>
  <w:abstractNum w:abstractNumId="2">
    <w:multiLevelType w:val="hybridMultilevel"/>
    <w:lvl w:ilvl="0">
      <w:start w:val="2"/>
      <w:numFmt w:val="upperLetter"/>
      <w:lvlText w:val="%1"/>
      <w:lvlJc w:val="left"/>
      <w:pPr>
        <w:ind w:left="2657" w:hanging="720"/>
        <w:jc w:val="left"/>
      </w:pPr>
      <w:rPr>
        <w:rFonts w:hint="default"/>
        <w:lang w:val="en-US" w:eastAsia="en-US" w:bidi="ar-SA"/>
      </w:rPr>
    </w:lvl>
    <w:lvl w:ilvl="1">
      <w:start w:val="1"/>
      <w:numFmt w:val="decimal"/>
      <w:lvlText w:val="%1-%2"/>
      <w:lvlJc w:val="left"/>
      <w:pPr>
        <w:ind w:left="2657" w:hanging="720"/>
        <w:jc w:val="left"/>
      </w:pPr>
      <w:rPr>
        <w:rFonts w:hint="default" w:ascii="Arial" w:hAnsi="Arial" w:eastAsia="Arial" w:cs="Arial"/>
        <w:b w:val="0"/>
        <w:bCs w:val="0"/>
        <w:i w:val="0"/>
        <w:iCs w:val="0"/>
        <w:spacing w:val="-1"/>
        <w:w w:val="99"/>
        <w:sz w:val="20"/>
        <w:szCs w:val="20"/>
        <w:lang w:val="en-US" w:eastAsia="en-US" w:bidi="ar-SA"/>
      </w:rPr>
    </w:lvl>
    <w:lvl w:ilvl="2">
      <w:start w:val="0"/>
      <w:numFmt w:val="bullet"/>
      <w:lvlText w:val="•"/>
      <w:lvlJc w:val="left"/>
      <w:pPr>
        <w:ind w:left="4196" w:hanging="720"/>
      </w:pPr>
      <w:rPr>
        <w:rFonts w:hint="default"/>
        <w:lang w:val="en-US" w:eastAsia="en-US" w:bidi="ar-SA"/>
      </w:rPr>
    </w:lvl>
    <w:lvl w:ilvl="3">
      <w:start w:val="0"/>
      <w:numFmt w:val="bullet"/>
      <w:lvlText w:val="•"/>
      <w:lvlJc w:val="left"/>
      <w:pPr>
        <w:ind w:left="4964" w:hanging="720"/>
      </w:pPr>
      <w:rPr>
        <w:rFonts w:hint="default"/>
        <w:lang w:val="en-US" w:eastAsia="en-US" w:bidi="ar-SA"/>
      </w:rPr>
    </w:lvl>
    <w:lvl w:ilvl="4">
      <w:start w:val="0"/>
      <w:numFmt w:val="bullet"/>
      <w:lvlText w:val="•"/>
      <w:lvlJc w:val="left"/>
      <w:pPr>
        <w:ind w:left="5732" w:hanging="720"/>
      </w:pPr>
      <w:rPr>
        <w:rFonts w:hint="default"/>
        <w:lang w:val="en-US" w:eastAsia="en-US" w:bidi="ar-SA"/>
      </w:rPr>
    </w:lvl>
    <w:lvl w:ilvl="5">
      <w:start w:val="0"/>
      <w:numFmt w:val="bullet"/>
      <w:lvlText w:val="•"/>
      <w:lvlJc w:val="left"/>
      <w:pPr>
        <w:ind w:left="6500" w:hanging="720"/>
      </w:pPr>
      <w:rPr>
        <w:rFonts w:hint="default"/>
        <w:lang w:val="en-US" w:eastAsia="en-US" w:bidi="ar-SA"/>
      </w:rPr>
    </w:lvl>
    <w:lvl w:ilvl="6">
      <w:start w:val="0"/>
      <w:numFmt w:val="bullet"/>
      <w:lvlText w:val="•"/>
      <w:lvlJc w:val="left"/>
      <w:pPr>
        <w:ind w:left="7268" w:hanging="720"/>
      </w:pPr>
      <w:rPr>
        <w:rFonts w:hint="default"/>
        <w:lang w:val="en-US" w:eastAsia="en-US" w:bidi="ar-SA"/>
      </w:rPr>
    </w:lvl>
    <w:lvl w:ilvl="7">
      <w:start w:val="0"/>
      <w:numFmt w:val="bullet"/>
      <w:lvlText w:val="•"/>
      <w:lvlJc w:val="left"/>
      <w:pPr>
        <w:ind w:left="8036" w:hanging="720"/>
      </w:pPr>
      <w:rPr>
        <w:rFonts w:hint="default"/>
        <w:lang w:val="en-US" w:eastAsia="en-US" w:bidi="ar-SA"/>
      </w:rPr>
    </w:lvl>
    <w:lvl w:ilvl="8">
      <w:start w:val="0"/>
      <w:numFmt w:val="bullet"/>
      <w:lvlText w:val="•"/>
      <w:lvlJc w:val="left"/>
      <w:pPr>
        <w:ind w:left="8804" w:hanging="720"/>
      </w:pPr>
      <w:rPr>
        <w:rFonts w:hint="default"/>
        <w:lang w:val="en-US" w:eastAsia="en-US" w:bidi="ar-SA"/>
      </w:rPr>
    </w:lvl>
  </w:abstractNum>
  <w:abstractNum w:abstractNumId="1">
    <w:multiLevelType w:val="hybridMultilevel"/>
    <w:lvl w:ilvl="0">
      <w:start w:val="1"/>
      <w:numFmt w:val="upperLetter"/>
      <w:lvlText w:val="%1"/>
      <w:lvlJc w:val="left"/>
      <w:pPr>
        <w:ind w:left="2659" w:hanging="720"/>
        <w:jc w:val="left"/>
      </w:pPr>
      <w:rPr>
        <w:rFonts w:hint="default"/>
        <w:lang w:val="en-US" w:eastAsia="en-US" w:bidi="ar-SA"/>
      </w:rPr>
    </w:lvl>
    <w:lvl w:ilvl="1">
      <w:start w:val="2"/>
      <w:numFmt w:val="decimal"/>
      <w:lvlText w:val="%1-%2"/>
      <w:lvlJc w:val="left"/>
      <w:pPr>
        <w:ind w:left="2659" w:hanging="720"/>
        <w:jc w:val="left"/>
      </w:pPr>
      <w:rPr>
        <w:rFonts w:hint="default" w:ascii="Arial" w:hAnsi="Arial" w:eastAsia="Arial" w:cs="Arial"/>
        <w:b w:val="0"/>
        <w:bCs w:val="0"/>
        <w:i w:val="0"/>
        <w:iCs w:val="0"/>
        <w:spacing w:val="-1"/>
        <w:w w:val="99"/>
        <w:sz w:val="20"/>
        <w:szCs w:val="20"/>
        <w:lang w:val="en-US" w:eastAsia="en-US" w:bidi="ar-SA"/>
      </w:rPr>
    </w:lvl>
    <w:lvl w:ilvl="2">
      <w:start w:val="0"/>
      <w:numFmt w:val="bullet"/>
      <w:lvlText w:val="•"/>
      <w:lvlJc w:val="left"/>
      <w:pPr>
        <w:ind w:left="4196" w:hanging="720"/>
      </w:pPr>
      <w:rPr>
        <w:rFonts w:hint="default"/>
        <w:lang w:val="en-US" w:eastAsia="en-US" w:bidi="ar-SA"/>
      </w:rPr>
    </w:lvl>
    <w:lvl w:ilvl="3">
      <w:start w:val="0"/>
      <w:numFmt w:val="bullet"/>
      <w:lvlText w:val="•"/>
      <w:lvlJc w:val="left"/>
      <w:pPr>
        <w:ind w:left="4964" w:hanging="720"/>
      </w:pPr>
      <w:rPr>
        <w:rFonts w:hint="default"/>
        <w:lang w:val="en-US" w:eastAsia="en-US" w:bidi="ar-SA"/>
      </w:rPr>
    </w:lvl>
    <w:lvl w:ilvl="4">
      <w:start w:val="0"/>
      <w:numFmt w:val="bullet"/>
      <w:lvlText w:val="•"/>
      <w:lvlJc w:val="left"/>
      <w:pPr>
        <w:ind w:left="5732" w:hanging="720"/>
      </w:pPr>
      <w:rPr>
        <w:rFonts w:hint="default"/>
        <w:lang w:val="en-US" w:eastAsia="en-US" w:bidi="ar-SA"/>
      </w:rPr>
    </w:lvl>
    <w:lvl w:ilvl="5">
      <w:start w:val="0"/>
      <w:numFmt w:val="bullet"/>
      <w:lvlText w:val="•"/>
      <w:lvlJc w:val="left"/>
      <w:pPr>
        <w:ind w:left="6500" w:hanging="720"/>
      </w:pPr>
      <w:rPr>
        <w:rFonts w:hint="default"/>
        <w:lang w:val="en-US" w:eastAsia="en-US" w:bidi="ar-SA"/>
      </w:rPr>
    </w:lvl>
    <w:lvl w:ilvl="6">
      <w:start w:val="0"/>
      <w:numFmt w:val="bullet"/>
      <w:lvlText w:val="•"/>
      <w:lvlJc w:val="left"/>
      <w:pPr>
        <w:ind w:left="7268" w:hanging="720"/>
      </w:pPr>
      <w:rPr>
        <w:rFonts w:hint="default"/>
        <w:lang w:val="en-US" w:eastAsia="en-US" w:bidi="ar-SA"/>
      </w:rPr>
    </w:lvl>
    <w:lvl w:ilvl="7">
      <w:start w:val="0"/>
      <w:numFmt w:val="bullet"/>
      <w:lvlText w:val="•"/>
      <w:lvlJc w:val="left"/>
      <w:pPr>
        <w:ind w:left="8036" w:hanging="720"/>
      </w:pPr>
      <w:rPr>
        <w:rFonts w:hint="default"/>
        <w:lang w:val="en-US" w:eastAsia="en-US" w:bidi="ar-SA"/>
      </w:rPr>
    </w:lvl>
    <w:lvl w:ilvl="8">
      <w:start w:val="0"/>
      <w:numFmt w:val="bullet"/>
      <w:lvlText w:val="•"/>
      <w:lvlJc w:val="left"/>
      <w:pPr>
        <w:ind w:left="8804" w:hanging="720"/>
      </w:pPr>
      <w:rPr>
        <w:rFonts w:hint="default"/>
        <w:lang w:val="en-US" w:eastAsia="en-US" w:bidi="ar-SA"/>
      </w:rPr>
    </w:lvl>
  </w:abstractNum>
  <w:abstractNum w:abstractNumId="0">
    <w:multiLevelType w:val="hybridMultilevel"/>
    <w:lvl w:ilvl="0">
      <w:start w:val="1"/>
      <w:numFmt w:val="decimal"/>
      <w:lvlText w:val="%1."/>
      <w:lvlJc w:val="left"/>
      <w:pPr>
        <w:ind w:left="859" w:hanging="360"/>
        <w:jc w:val="left"/>
      </w:pPr>
      <w:rPr>
        <w:rFonts w:hint="default" w:ascii="Arial" w:hAnsi="Arial" w:eastAsia="Arial" w:cs="Arial"/>
        <w:b w:val="0"/>
        <w:bCs w:val="0"/>
        <w:i w:val="0"/>
        <w:iCs w:val="0"/>
        <w:spacing w:val="-1"/>
        <w:w w:val="99"/>
        <w:sz w:val="20"/>
        <w:szCs w:val="20"/>
        <w:lang w:val="en-US" w:eastAsia="en-US" w:bidi="ar-SA"/>
      </w:rPr>
    </w:lvl>
    <w:lvl w:ilvl="1">
      <w:start w:val="1"/>
      <w:numFmt w:val="decimal"/>
      <w:lvlText w:val="%1.%2."/>
      <w:lvlJc w:val="left"/>
      <w:pPr>
        <w:ind w:left="1292" w:hanging="433"/>
        <w:jc w:val="left"/>
      </w:pPr>
      <w:rPr>
        <w:rFonts w:hint="default" w:ascii="Arial" w:hAnsi="Arial" w:eastAsia="Arial" w:cs="Arial"/>
        <w:b w:val="0"/>
        <w:bCs w:val="0"/>
        <w:i w:val="0"/>
        <w:iCs w:val="0"/>
        <w:spacing w:val="-1"/>
        <w:w w:val="99"/>
        <w:sz w:val="20"/>
        <w:szCs w:val="20"/>
        <w:lang w:val="en-US" w:eastAsia="en-US" w:bidi="ar-SA"/>
      </w:rPr>
    </w:lvl>
    <w:lvl w:ilvl="2">
      <w:start w:val="1"/>
      <w:numFmt w:val="decimal"/>
      <w:lvlText w:val="%1.%2.%3."/>
      <w:lvlJc w:val="left"/>
      <w:pPr>
        <w:ind w:left="1723" w:hanging="504"/>
        <w:jc w:val="left"/>
      </w:pPr>
      <w:rPr>
        <w:rFonts w:hint="default" w:ascii="Arial" w:hAnsi="Arial" w:eastAsia="Arial" w:cs="Arial"/>
        <w:b w:val="0"/>
        <w:bCs w:val="0"/>
        <w:i w:val="0"/>
        <w:iCs w:val="0"/>
        <w:spacing w:val="-1"/>
        <w:w w:val="99"/>
        <w:sz w:val="18"/>
        <w:szCs w:val="18"/>
        <w:lang w:val="en-US" w:eastAsia="en-US" w:bidi="ar-SA"/>
      </w:rPr>
    </w:lvl>
    <w:lvl w:ilvl="3">
      <w:start w:val="1"/>
      <w:numFmt w:val="decimal"/>
      <w:lvlText w:val="%1.%2.%3.%4."/>
      <w:lvlJc w:val="left"/>
      <w:pPr>
        <w:ind w:left="2659" w:hanging="1080"/>
        <w:jc w:val="left"/>
      </w:pPr>
      <w:rPr>
        <w:rFonts w:hint="default" w:ascii="Arial" w:hAnsi="Arial" w:eastAsia="Arial" w:cs="Arial"/>
        <w:b w:val="0"/>
        <w:bCs w:val="0"/>
        <w:i w:val="0"/>
        <w:iCs w:val="0"/>
        <w:spacing w:val="-1"/>
        <w:w w:val="99"/>
        <w:sz w:val="20"/>
        <w:szCs w:val="20"/>
        <w:lang w:val="en-US" w:eastAsia="en-US" w:bidi="ar-SA"/>
      </w:rPr>
    </w:lvl>
    <w:lvl w:ilvl="4">
      <w:start w:val="0"/>
      <w:numFmt w:val="bullet"/>
      <w:lvlText w:val="•"/>
      <w:lvlJc w:val="left"/>
      <w:pPr>
        <w:ind w:left="3757" w:hanging="1080"/>
      </w:pPr>
      <w:rPr>
        <w:rFonts w:hint="default"/>
        <w:lang w:val="en-US" w:eastAsia="en-US" w:bidi="ar-SA"/>
      </w:rPr>
    </w:lvl>
    <w:lvl w:ilvl="5">
      <w:start w:val="0"/>
      <w:numFmt w:val="bullet"/>
      <w:lvlText w:val="•"/>
      <w:lvlJc w:val="left"/>
      <w:pPr>
        <w:ind w:left="4854" w:hanging="1080"/>
      </w:pPr>
      <w:rPr>
        <w:rFonts w:hint="default"/>
        <w:lang w:val="en-US" w:eastAsia="en-US" w:bidi="ar-SA"/>
      </w:rPr>
    </w:lvl>
    <w:lvl w:ilvl="6">
      <w:start w:val="0"/>
      <w:numFmt w:val="bullet"/>
      <w:lvlText w:val="•"/>
      <w:lvlJc w:val="left"/>
      <w:pPr>
        <w:ind w:left="5951" w:hanging="1080"/>
      </w:pPr>
      <w:rPr>
        <w:rFonts w:hint="default"/>
        <w:lang w:val="en-US" w:eastAsia="en-US" w:bidi="ar-SA"/>
      </w:rPr>
    </w:lvl>
    <w:lvl w:ilvl="7">
      <w:start w:val="0"/>
      <w:numFmt w:val="bullet"/>
      <w:lvlText w:val="•"/>
      <w:lvlJc w:val="left"/>
      <w:pPr>
        <w:ind w:left="7048" w:hanging="1080"/>
      </w:pPr>
      <w:rPr>
        <w:rFonts w:hint="default"/>
        <w:lang w:val="en-US" w:eastAsia="en-US" w:bidi="ar-SA"/>
      </w:rPr>
    </w:lvl>
    <w:lvl w:ilvl="8">
      <w:start w:val="0"/>
      <w:numFmt w:val="bullet"/>
      <w:lvlText w:val="•"/>
      <w:lvlJc w:val="left"/>
      <w:pPr>
        <w:ind w:left="8145" w:hanging="1080"/>
      </w:pPr>
      <w:rPr>
        <w:rFonts w:hint="default"/>
        <w:lang w:val="en-US" w:eastAsia="en-US" w:bidi="ar-SA"/>
      </w:rPr>
    </w:lvl>
  </w:abstractNum>
  <w:num w:numId="82">
    <w:abstractNumId w:val="81"/>
  </w:num>
  <w:num w:numId="42">
    <w:abstractNumId w:val="41"/>
  </w:num>
  <w:num w:numId="85">
    <w:abstractNumId w:val="84"/>
  </w:num>
  <w:num w:numId="84">
    <w:abstractNumId w:val="83"/>
  </w:num>
  <w:num w:numId="83">
    <w:abstractNumId w:val="82"/>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TOC1" w:type="paragraph">
    <w:name w:val="TOC 1"/>
    <w:basedOn w:val="Normal"/>
    <w:uiPriority w:val="1"/>
    <w:qFormat/>
    <w:pPr>
      <w:spacing w:before="199"/>
      <w:ind w:left="859" w:hanging="361"/>
    </w:pPr>
    <w:rPr>
      <w:rFonts w:ascii="Arial" w:hAnsi="Arial" w:eastAsia="Arial" w:cs="Arial"/>
      <w:sz w:val="20"/>
      <w:szCs w:val="20"/>
      <w:lang w:val="en-US" w:eastAsia="en-US" w:bidi="ar-SA"/>
    </w:rPr>
  </w:style>
  <w:style w:styleId="TOC2" w:type="paragraph">
    <w:name w:val="TOC 2"/>
    <w:basedOn w:val="Normal"/>
    <w:uiPriority w:val="1"/>
    <w:qFormat/>
    <w:pPr>
      <w:spacing w:before="200"/>
      <w:ind w:left="1292" w:hanging="433"/>
    </w:pPr>
    <w:rPr>
      <w:rFonts w:ascii="Arial" w:hAnsi="Arial" w:eastAsia="Arial" w:cs="Arial"/>
      <w:sz w:val="20"/>
      <w:szCs w:val="20"/>
      <w:lang w:val="en-US" w:eastAsia="en-US" w:bidi="ar-SA"/>
    </w:rPr>
  </w:style>
  <w:style w:styleId="TOC3" w:type="paragraph">
    <w:name w:val="TOC 3"/>
    <w:basedOn w:val="Normal"/>
    <w:uiPriority w:val="1"/>
    <w:qFormat/>
    <w:pPr>
      <w:spacing w:before="197"/>
      <w:ind w:left="1719" w:hanging="505"/>
    </w:pPr>
    <w:rPr>
      <w:rFonts w:ascii="Arial" w:hAnsi="Arial" w:eastAsia="Arial" w:cs="Arial"/>
      <w:b/>
      <w:bCs/>
      <w:sz w:val="20"/>
      <w:szCs w:val="20"/>
      <w:lang w:val="en-US" w:eastAsia="en-US" w:bidi="ar-SA"/>
    </w:rPr>
  </w:style>
  <w:style w:styleId="TOC4" w:type="paragraph">
    <w:name w:val="TOC 4"/>
    <w:basedOn w:val="Normal"/>
    <w:uiPriority w:val="1"/>
    <w:qFormat/>
    <w:pPr>
      <w:spacing w:before="200"/>
      <w:ind w:left="1723" w:hanging="505"/>
    </w:pPr>
    <w:rPr>
      <w:rFonts w:ascii="Arial" w:hAnsi="Arial" w:eastAsia="Arial" w:cs="Arial"/>
      <w:sz w:val="20"/>
      <w:szCs w:val="20"/>
      <w:lang w:val="en-US" w:eastAsia="en-US" w:bidi="ar-SA"/>
    </w:rPr>
  </w:style>
  <w:style w:styleId="TOC5" w:type="paragraph">
    <w:name w:val="TOC 5"/>
    <w:basedOn w:val="Normal"/>
    <w:uiPriority w:val="1"/>
    <w:qFormat/>
    <w:pPr>
      <w:spacing w:before="197"/>
      <w:ind w:left="1718" w:hanging="505"/>
    </w:pPr>
    <w:rPr>
      <w:rFonts w:ascii="Arial" w:hAnsi="Arial" w:eastAsia="Arial" w:cs="Arial"/>
      <w:b/>
      <w:bCs/>
      <w:i/>
      <w:iCs/>
      <w:lang w:val="en-US" w:eastAsia="en-US" w:bidi="ar-SA"/>
    </w:rPr>
  </w:style>
  <w:style w:styleId="TOC6" w:type="paragraph">
    <w:name w:val="TOC 6"/>
    <w:basedOn w:val="Normal"/>
    <w:uiPriority w:val="1"/>
    <w:qFormat/>
    <w:pPr>
      <w:spacing w:before="200"/>
      <w:ind w:left="2658" w:hanging="1081"/>
    </w:pPr>
    <w:rPr>
      <w:rFonts w:ascii="Arial" w:hAnsi="Arial" w:eastAsia="Arial" w:cs="Arial"/>
      <w:sz w:val="20"/>
      <w:szCs w:val="20"/>
      <w:lang w:val="en-US" w:eastAsia="en-US" w:bidi="ar-SA"/>
    </w:rPr>
  </w:style>
  <w:style w:styleId="TOC7" w:type="paragraph">
    <w:name w:val="TOC 7"/>
    <w:basedOn w:val="Normal"/>
    <w:uiPriority w:val="1"/>
    <w:qFormat/>
    <w:pPr>
      <w:spacing w:before="200"/>
      <w:ind w:left="2659" w:hanging="721"/>
    </w:pPr>
    <w:rPr>
      <w:rFonts w:ascii="Arial" w:hAnsi="Arial" w:eastAsia="Arial" w:cs="Arial"/>
      <w:sz w:val="20"/>
      <w:szCs w:val="20"/>
      <w:lang w:val="en-US" w:eastAsia="en-US" w:bidi="ar-SA"/>
    </w:rPr>
  </w:style>
  <w:style w:styleId="BodyText" w:type="paragraph">
    <w:name w:val="Body Text"/>
    <w:basedOn w:val="Normal"/>
    <w:uiPriority w:val="1"/>
    <w:qFormat/>
    <w:pPr/>
    <w:rPr>
      <w:rFonts w:ascii="Arial" w:hAnsi="Arial" w:eastAsia="Arial" w:cs="Arial"/>
      <w:sz w:val="20"/>
      <w:szCs w:val="20"/>
      <w:lang w:val="en-US" w:eastAsia="en-US" w:bidi="ar-SA"/>
    </w:rPr>
  </w:style>
  <w:style w:styleId="Heading1" w:type="paragraph">
    <w:name w:val="Heading 1"/>
    <w:basedOn w:val="Normal"/>
    <w:uiPriority w:val="1"/>
    <w:qFormat/>
    <w:pPr>
      <w:spacing w:before="69"/>
      <w:ind w:left="440"/>
      <w:outlineLvl w:val="1"/>
    </w:pPr>
    <w:rPr>
      <w:rFonts w:ascii="Arial" w:hAnsi="Arial" w:eastAsia="Arial" w:cs="Arial"/>
      <w:b/>
      <w:bCs/>
      <w:sz w:val="36"/>
      <w:szCs w:val="36"/>
      <w:lang w:val="en-US" w:eastAsia="en-US" w:bidi="ar-SA"/>
    </w:rPr>
  </w:style>
  <w:style w:styleId="Heading2" w:type="paragraph">
    <w:name w:val="Heading 2"/>
    <w:basedOn w:val="Normal"/>
    <w:uiPriority w:val="1"/>
    <w:qFormat/>
    <w:pPr>
      <w:spacing w:line="355" w:lineRule="exact"/>
      <w:ind w:left="7505"/>
      <w:outlineLvl w:val="2"/>
    </w:pPr>
    <w:rPr>
      <w:rFonts w:ascii="Times New Roman" w:hAnsi="Times New Roman" w:eastAsia="Times New Roman" w:cs="Times New Roman"/>
      <w:sz w:val="34"/>
      <w:szCs w:val="34"/>
      <w:lang w:val="en-US" w:eastAsia="en-US" w:bidi="ar-SA"/>
    </w:rPr>
  </w:style>
  <w:style w:styleId="Heading3" w:type="paragraph">
    <w:name w:val="Heading 3"/>
    <w:basedOn w:val="Normal"/>
    <w:uiPriority w:val="1"/>
    <w:qFormat/>
    <w:pPr>
      <w:ind w:left="1027" w:right="1194"/>
      <w:jc w:val="center"/>
      <w:outlineLvl w:val="3"/>
    </w:pPr>
    <w:rPr>
      <w:rFonts w:ascii="Arial" w:hAnsi="Arial" w:eastAsia="Arial" w:cs="Arial"/>
      <w:sz w:val="32"/>
      <w:szCs w:val="32"/>
      <w:lang w:val="en-US" w:eastAsia="en-US" w:bidi="ar-SA"/>
    </w:rPr>
  </w:style>
  <w:style w:styleId="Heading4" w:type="paragraph">
    <w:name w:val="Heading 4"/>
    <w:basedOn w:val="Normal"/>
    <w:uiPriority w:val="1"/>
    <w:qFormat/>
    <w:pPr>
      <w:spacing w:line="323" w:lineRule="exact"/>
      <w:ind w:left="1038" w:right="1041" w:hanging="1039"/>
      <w:jc w:val="right"/>
      <w:outlineLvl w:val="4"/>
    </w:pPr>
    <w:rPr>
      <w:rFonts w:ascii="Arial" w:hAnsi="Arial" w:eastAsia="Arial" w:cs="Arial"/>
      <w:sz w:val="30"/>
      <w:szCs w:val="30"/>
      <w:lang w:val="en-US" w:eastAsia="en-US" w:bidi="ar-SA"/>
    </w:rPr>
  </w:style>
  <w:style w:styleId="Heading5" w:type="paragraph">
    <w:name w:val="Heading 5"/>
    <w:basedOn w:val="Normal"/>
    <w:uiPriority w:val="1"/>
    <w:qFormat/>
    <w:pPr>
      <w:spacing w:before="74"/>
      <w:ind w:left="1580" w:hanging="1010"/>
      <w:outlineLvl w:val="5"/>
    </w:pPr>
    <w:rPr>
      <w:rFonts w:ascii="Arial" w:hAnsi="Arial" w:eastAsia="Arial" w:cs="Arial"/>
      <w:b/>
      <w:bCs/>
      <w:sz w:val="28"/>
      <w:szCs w:val="28"/>
      <w:lang w:val="en-US" w:eastAsia="en-US" w:bidi="ar-SA"/>
    </w:rPr>
  </w:style>
  <w:style w:styleId="Heading6" w:type="paragraph">
    <w:name w:val="Heading 6"/>
    <w:basedOn w:val="Normal"/>
    <w:uiPriority w:val="1"/>
    <w:qFormat/>
    <w:pPr>
      <w:spacing w:before="63"/>
      <w:ind w:left="440"/>
      <w:outlineLvl w:val="6"/>
    </w:pPr>
    <w:rPr>
      <w:rFonts w:ascii="Arial" w:hAnsi="Arial" w:eastAsia="Arial" w:cs="Arial"/>
      <w:sz w:val="28"/>
      <w:szCs w:val="28"/>
      <w:lang w:val="en-US" w:eastAsia="en-US" w:bidi="ar-SA"/>
    </w:rPr>
  </w:style>
  <w:style w:styleId="Heading7" w:type="paragraph">
    <w:name w:val="Heading 7"/>
    <w:basedOn w:val="Normal"/>
    <w:uiPriority w:val="1"/>
    <w:qFormat/>
    <w:pPr>
      <w:outlineLvl w:val="7"/>
    </w:pPr>
    <w:rPr>
      <w:rFonts w:ascii="Arial" w:hAnsi="Arial" w:eastAsia="Arial" w:cs="Arial"/>
      <w:sz w:val="25"/>
      <w:szCs w:val="25"/>
      <w:lang w:val="en-US" w:eastAsia="en-US" w:bidi="ar-SA"/>
    </w:rPr>
  </w:style>
  <w:style w:styleId="Heading8" w:type="paragraph">
    <w:name w:val="Heading 8"/>
    <w:basedOn w:val="Normal"/>
    <w:uiPriority w:val="1"/>
    <w:qFormat/>
    <w:pPr>
      <w:ind w:left="439"/>
      <w:outlineLvl w:val="8"/>
    </w:pPr>
    <w:rPr>
      <w:rFonts w:ascii="Arial" w:hAnsi="Arial" w:eastAsia="Arial" w:cs="Arial"/>
      <w:b/>
      <w:bCs/>
      <w:sz w:val="22"/>
      <w:szCs w:val="22"/>
      <w:lang w:val="en-US" w:eastAsia="en-US" w:bidi="ar-SA"/>
    </w:rPr>
  </w:style>
  <w:style w:styleId="Heading9" w:type="paragraph">
    <w:name w:val="Heading 9"/>
    <w:basedOn w:val="Normal"/>
    <w:uiPriority w:val="1"/>
    <w:qFormat/>
    <w:pPr>
      <w:ind w:left="1078" w:hanging="2"/>
      <w:outlineLvl w:val="9"/>
    </w:pPr>
    <w:rPr>
      <w:rFonts w:ascii="Arial" w:hAnsi="Arial" w:eastAsia="Arial" w:cs="Arial"/>
      <w:b/>
      <w:bCs/>
      <w:sz w:val="21"/>
      <w:szCs w:val="21"/>
      <w:lang w:val="en-US" w:eastAsia="en-US" w:bidi="ar-SA"/>
    </w:rPr>
  </w:style>
  <w:style w:styleId="ListParagraph" w:type="paragraph">
    <w:name w:val="List Paragraph"/>
    <w:basedOn w:val="Normal"/>
    <w:uiPriority w:val="1"/>
    <w:qFormat/>
    <w:pPr>
      <w:ind w:left="1519" w:hanging="360"/>
    </w:pPr>
    <w:rPr>
      <w:rFonts w:ascii="Arial" w:hAnsi="Arial" w:eastAsia="Arial" w:cs="Arial"/>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robert.easter@hamptonu.edu" TargetMode="External"/><Relationship Id="rId6" Type="http://schemas.openxmlformats.org/officeDocument/2006/relationships/image" Target="media/image1.pn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hyperlink" Target="http://www.ocgp.org/" TargetMode="External"/><Relationship Id="rId10" Type="http://schemas.openxmlformats.org/officeDocument/2006/relationships/header" Target="header1.xml"/><Relationship Id="rId11" Type="http://schemas.openxmlformats.org/officeDocument/2006/relationships/footer" Target="footer3.xml"/><Relationship Id="rId12" Type="http://schemas.openxmlformats.org/officeDocument/2006/relationships/header" Target="header2.xml"/><Relationship Id="rId13" Type="http://schemas.openxmlformats.org/officeDocument/2006/relationships/footer" Target="footer4.xml"/><Relationship Id="rId14" Type="http://schemas.openxmlformats.org/officeDocument/2006/relationships/header" Target="header3.xml"/><Relationship Id="rId15" Type="http://schemas.openxmlformats.org/officeDocument/2006/relationships/footer" Target="footer5.xml"/><Relationship Id="rId16" Type="http://schemas.openxmlformats.org/officeDocument/2006/relationships/header" Target="header4.xml"/><Relationship Id="rId17" Type="http://schemas.openxmlformats.org/officeDocument/2006/relationships/footer" Target="footer6.xml"/><Relationship Id="rId18" Type="http://schemas.openxmlformats.org/officeDocument/2006/relationships/header" Target="header5.xml"/><Relationship Id="rId19" Type="http://schemas.openxmlformats.org/officeDocument/2006/relationships/footer" Target="footer7.xml"/><Relationship Id="rId20" Type="http://schemas.openxmlformats.org/officeDocument/2006/relationships/header" Target="header6.xml"/><Relationship Id="rId21" Type="http://schemas.openxmlformats.org/officeDocument/2006/relationships/footer" Target="footer8.xml"/><Relationship Id="rId22" Type="http://schemas.openxmlformats.org/officeDocument/2006/relationships/header" Target="header7.xml"/><Relationship Id="rId23" Type="http://schemas.openxmlformats.org/officeDocument/2006/relationships/footer" Target="footer9.xml"/><Relationship Id="rId24" Type="http://schemas.openxmlformats.org/officeDocument/2006/relationships/header" Target="header8.xml"/><Relationship Id="rId25" Type="http://schemas.openxmlformats.org/officeDocument/2006/relationships/footer" Target="footer10.xml"/><Relationship Id="rId26" Type="http://schemas.openxmlformats.org/officeDocument/2006/relationships/header" Target="header9.xml"/><Relationship Id="rId27" Type="http://schemas.openxmlformats.org/officeDocument/2006/relationships/footer" Target="footer11.xml"/><Relationship Id="rId28" Type="http://schemas.openxmlformats.org/officeDocument/2006/relationships/header" Target="header10.xml"/><Relationship Id="rId29" Type="http://schemas.openxmlformats.org/officeDocument/2006/relationships/footer" Target="footer12.xml"/><Relationship Id="rId30" Type="http://schemas.openxmlformats.org/officeDocument/2006/relationships/header" Target="header11.xml"/><Relationship Id="rId31" Type="http://schemas.openxmlformats.org/officeDocument/2006/relationships/footer" Target="footer13.xml"/><Relationship Id="rId32" Type="http://schemas.openxmlformats.org/officeDocument/2006/relationships/header" Target="header12.xml"/><Relationship Id="rId33" Type="http://schemas.openxmlformats.org/officeDocument/2006/relationships/footer" Target="footer14.xml"/><Relationship Id="rId34" Type="http://schemas.openxmlformats.org/officeDocument/2006/relationships/header" Target="header13.xml"/><Relationship Id="rId35" Type="http://schemas.openxmlformats.org/officeDocument/2006/relationships/footer" Target="footer15.xml"/><Relationship Id="rId36" Type="http://schemas.openxmlformats.org/officeDocument/2006/relationships/header" Target="header14.xml"/><Relationship Id="rId37" Type="http://schemas.openxmlformats.org/officeDocument/2006/relationships/footer" Target="footer16.xml"/><Relationship Id="rId38" Type="http://schemas.openxmlformats.org/officeDocument/2006/relationships/header" Target="header15.xml"/><Relationship Id="rId39" Type="http://schemas.openxmlformats.org/officeDocument/2006/relationships/footer" Target="footer17.xml"/><Relationship Id="rId40" Type="http://schemas.openxmlformats.org/officeDocument/2006/relationships/header" Target="header16.xml"/><Relationship Id="rId41" Type="http://schemas.openxmlformats.org/officeDocument/2006/relationships/footer" Target="footer18.xml"/><Relationship Id="rId42" Type="http://schemas.openxmlformats.org/officeDocument/2006/relationships/header" Target="header17.xml"/><Relationship Id="rId43" Type="http://schemas.openxmlformats.org/officeDocument/2006/relationships/footer" Target="footer19.xml"/><Relationship Id="rId44" Type="http://schemas.openxmlformats.org/officeDocument/2006/relationships/header" Target="header18.xml"/><Relationship Id="rId45" Type="http://schemas.openxmlformats.org/officeDocument/2006/relationships/footer" Target="footer20.xml"/><Relationship Id="rId46" Type="http://schemas.openxmlformats.org/officeDocument/2006/relationships/header" Target="header19.xml"/><Relationship Id="rId47" Type="http://schemas.openxmlformats.org/officeDocument/2006/relationships/footer" Target="footer21.xml"/><Relationship Id="rId48" Type="http://schemas.openxmlformats.org/officeDocument/2006/relationships/header" Target="header20.xml"/><Relationship Id="rId49" Type="http://schemas.openxmlformats.org/officeDocument/2006/relationships/footer" Target="footer22.xml"/><Relationship Id="rId50" Type="http://schemas.openxmlformats.org/officeDocument/2006/relationships/header" Target="header21.xml"/><Relationship Id="rId51" Type="http://schemas.openxmlformats.org/officeDocument/2006/relationships/footer" Target="footer23.xml"/><Relationship Id="rId52" Type="http://schemas.openxmlformats.org/officeDocument/2006/relationships/header" Target="header22.xml"/><Relationship Id="rId53" Type="http://schemas.openxmlformats.org/officeDocument/2006/relationships/footer" Target="footer24.xml"/><Relationship Id="rId54" Type="http://schemas.openxmlformats.org/officeDocument/2006/relationships/header" Target="header23.xml"/><Relationship Id="rId55" Type="http://schemas.openxmlformats.org/officeDocument/2006/relationships/footer" Target="footer25.xml"/><Relationship Id="rId56" Type="http://schemas.openxmlformats.org/officeDocument/2006/relationships/image" Target="media/image2.png"/><Relationship Id="rId57" Type="http://schemas.openxmlformats.org/officeDocument/2006/relationships/header" Target="header24.xml"/><Relationship Id="rId58" Type="http://schemas.openxmlformats.org/officeDocument/2006/relationships/footer" Target="footer26.xml"/><Relationship Id="rId59" Type="http://schemas.openxmlformats.org/officeDocument/2006/relationships/image" Target="media/image3.png"/><Relationship Id="rId60" Type="http://schemas.openxmlformats.org/officeDocument/2006/relationships/header" Target="header25.xml"/><Relationship Id="rId61" Type="http://schemas.openxmlformats.org/officeDocument/2006/relationships/footer" Target="footer27.xml"/><Relationship Id="rId62" Type="http://schemas.openxmlformats.org/officeDocument/2006/relationships/image" Target="media/image4.jpeg"/><Relationship Id="rId63" Type="http://schemas.openxmlformats.org/officeDocument/2006/relationships/header" Target="header26.xml"/><Relationship Id="rId64" Type="http://schemas.openxmlformats.org/officeDocument/2006/relationships/footer" Target="footer28.xml"/><Relationship Id="rId65" Type="http://schemas.openxmlformats.org/officeDocument/2006/relationships/header" Target="header27.xml"/><Relationship Id="rId66" Type="http://schemas.openxmlformats.org/officeDocument/2006/relationships/footer" Target="footer29.xml"/><Relationship Id="rId67" Type="http://schemas.openxmlformats.org/officeDocument/2006/relationships/header" Target="header28.xml"/><Relationship Id="rId68" Type="http://schemas.openxmlformats.org/officeDocument/2006/relationships/footer" Target="footer30.xml"/><Relationship Id="rId69" Type="http://schemas.openxmlformats.org/officeDocument/2006/relationships/header" Target="header29.xml"/><Relationship Id="rId70" Type="http://schemas.openxmlformats.org/officeDocument/2006/relationships/footer" Target="footer31.xml"/><Relationship Id="rId71" Type="http://schemas.openxmlformats.org/officeDocument/2006/relationships/header" Target="header30.xml"/><Relationship Id="rId72" Type="http://schemas.openxmlformats.org/officeDocument/2006/relationships/footer" Target="footer32.xml"/><Relationship Id="rId73" Type="http://schemas.openxmlformats.org/officeDocument/2006/relationships/header" Target="header31.xml"/><Relationship Id="rId74" Type="http://schemas.openxmlformats.org/officeDocument/2006/relationships/footer" Target="footer33.xml"/><Relationship Id="rId75" Type="http://schemas.openxmlformats.org/officeDocument/2006/relationships/header" Target="header32.xml"/><Relationship Id="rId76" Type="http://schemas.openxmlformats.org/officeDocument/2006/relationships/footer" Target="footer34.xml"/><Relationship Id="rId77" Type="http://schemas.openxmlformats.org/officeDocument/2006/relationships/header" Target="header33.xml"/><Relationship Id="rId78" Type="http://schemas.openxmlformats.org/officeDocument/2006/relationships/footer" Target="footer35.xml"/><Relationship Id="rId79" Type="http://schemas.openxmlformats.org/officeDocument/2006/relationships/header" Target="header34.xml"/><Relationship Id="rId80" Type="http://schemas.openxmlformats.org/officeDocument/2006/relationships/footer" Target="footer36.xml"/><Relationship Id="rId81" Type="http://schemas.openxmlformats.org/officeDocument/2006/relationships/header" Target="header35.xml"/><Relationship Id="rId82" Type="http://schemas.openxmlformats.org/officeDocument/2006/relationships/footer" Target="footer37.xml"/><Relationship Id="rId83" Type="http://schemas.openxmlformats.org/officeDocument/2006/relationships/header" Target="header36.xml"/><Relationship Id="rId84" Type="http://schemas.openxmlformats.org/officeDocument/2006/relationships/footer" Target="footer38.xml"/><Relationship Id="rId85" Type="http://schemas.openxmlformats.org/officeDocument/2006/relationships/header" Target="header37.xml"/><Relationship Id="rId86" Type="http://schemas.openxmlformats.org/officeDocument/2006/relationships/footer" Target="footer39.xml"/><Relationship Id="rId87" Type="http://schemas.openxmlformats.org/officeDocument/2006/relationships/hyperlink" Target="http://www.hamptonu.edu/universityservices/library" TargetMode="External"/><Relationship Id="rId88" Type="http://schemas.openxmlformats.org/officeDocument/2006/relationships/header" Target="header38.xml"/><Relationship Id="rId89" Type="http://schemas.openxmlformats.org/officeDocument/2006/relationships/footer" Target="footer40.xml"/><Relationship Id="rId90" Type="http://schemas.openxmlformats.org/officeDocument/2006/relationships/header" Target="header39.xml"/><Relationship Id="rId91" Type="http://schemas.openxmlformats.org/officeDocument/2006/relationships/footer" Target="footer41.xml"/><Relationship Id="rId92" Type="http://schemas.openxmlformats.org/officeDocument/2006/relationships/image" Target="media/image5.png"/><Relationship Id="rId93" Type="http://schemas.openxmlformats.org/officeDocument/2006/relationships/header" Target="header40.xml"/><Relationship Id="rId94" Type="http://schemas.openxmlformats.org/officeDocument/2006/relationships/footer" Target="footer42.xml"/><Relationship Id="rId95" Type="http://schemas.openxmlformats.org/officeDocument/2006/relationships/header" Target="header41.xml"/><Relationship Id="rId96" Type="http://schemas.openxmlformats.org/officeDocument/2006/relationships/footer" Target="footer43.xml"/><Relationship Id="rId97" Type="http://schemas.openxmlformats.org/officeDocument/2006/relationships/header" Target="header42.xml"/><Relationship Id="rId98" Type="http://schemas.openxmlformats.org/officeDocument/2006/relationships/footer" Target="footer44.xml"/><Relationship Id="rId99" Type="http://schemas.openxmlformats.org/officeDocument/2006/relationships/header" Target="header43.xml"/><Relationship Id="rId100" Type="http://schemas.openxmlformats.org/officeDocument/2006/relationships/footer" Target="footer45.xml"/><Relationship Id="rId101" Type="http://schemas.openxmlformats.org/officeDocument/2006/relationships/header" Target="header44.xml"/><Relationship Id="rId102" Type="http://schemas.openxmlformats.org/officeDocument/2006/relationships/footer" Target="footer46.xml"/><Relationship Id="rId103" Type="http://schemas.openxmlformats.org/officeDocument/2006/relationships/header" Target="header45.xml"/><Relationship Id="rId104" Type="http://schemas.openxmlformats.org/officeDocument/2006/relationships/footer" Target="footer47.xml"/><Relationship Id="rId105" Type="http://schemas.openxmlformats.org/officeDocument/2006/relationships/header" Target="header46.xml"/><Relationship Id="rId106" Type="http://schemas.openxmlformats.org/officeDocument/2006/relationships/footer" Target="footer48.xml"/><Relationship Id="rId107" Type="http://schemas.openxmlformats.org/officeDocument/2006/relationships/header" Target="header47.xml"/><Relationship Id="rId108" Type="http://schemas.openxmlformats.org/officeDocument/2006/relationships/footer" Target="footer49.xml"/><Relationship Id="rId109" Type="http://schemas.openxmlformats.org/officeDocument/2006/relationships/header" Target="header48.xml"/><Relationship Id="rId110" Type="http://schemas.openxmlformats.org/officeDocument/2006/relationships/footer" Target="footer50.xml"/><Relationship Id="rId111" Type="http://schemas.openxmlformats.org/officeDocument/2006/relationships/header" Target="header49.xml"/><Relationship Id="rId112" Type="http://schemas.openxmlformats.org/officeDocument/2006/relationships/footer" Target="footer51.xml"/><Relationship Id="rId113" Type="http://schemas.openxmlformats.org/officeDocument/2006/relationships/header" Target="header50.xml"/><Relationship Id="rId114" Type="http://schemas.openxmlformats.org/officeDocument/2006/relationships/footer" Target="footer52.xml"/><Relationship Id="rId115" Type="http://schemas.openxmlformats.org/officeDocument/2006/relationships/header" Target="header51.xml"/><Relationship Id="rId116" Type="http://schemas.openxmlformats.org/officeDocument/2006/relationships/footer" Target="footer53.xml"/><Relationship Id="rId117" Type="http://schemas.openxmlformats.org/officeDocument/2006/relationships/header" Target="header52.xml"/><Relationship Id="rId118" Type="http://schemas.openxmlformats.org/officeDocument/2006/relationships/footer" Target="footer54.xml"/><Relationship Id="rId119" Type="http://schemas.openxmlformats.org/officeDocument/2006/relationships/header" Target="header53.xml"/><Relationship Id="rId120" Type="http://schemas.openxmlformats.org/officeDocument/2006/relationships/footer" Target="footer55.xml"/><Relationship Id="rId121" Type="http://schemas.openxmlformats.org/officeDocument/2006/relationships/header" Target="header54.xml"/><Relationship Id="rId122" Type="http://schemas.openxmlformats.org/officeDocument/2006/relationships/footer" Target="footer56.xml"/><Relationship Id="rId123" Type="http://schemas.openxmlformats.org/officeDocument/2006/relationships/header" Target="header55.xml"/><Relationship Id="rId124" Type="http://schemas.openxmlformats.org/officeDocument/2006/relationships/footer" Target="footer57.xml"/><Relationship Id="rId125" Type="http://schemas.openxmlformats.org/officeDocument/2006/relationships/header" Target="header56.xml"/><Relationship Id="rId126" Type="http://schemas.openxmlformats.org/officeDocument/2006/relationships/footer" Target="footer58.xml"/><Relationship Id="rId127" Type="http://schemas.openxmlformats.org/officeDocument/2006/relationships/header" Target="header57.xml"/><Relationship Id="rId128" Type="http://schemas.openxmlformats.org/officeDocument/2006/relationships/footer" Target="footer59.xml"/><Relationship Id="rId129" Type="http://schemas.openxmlformats.org/officeDocument/2006/relationships/header" Target="header58.xml"/><Relationship Id="rId130" Type="http://schemas.openxmlformats.org/officeDocument/2006/relationships/footer" Target="footer60.xml"/><Relationship Id="rId131" Type="http://schemas.openxmlformats.org/officeDocument/2006/relationships/header" Target="header59.xml"/><Relationship Id="rId132" Type="http://schemas.openxmlformats.org/officeDocument/2006/relationships/footer" Target="footer61.xml"/><Relationship Id="rId133" Type="http://schemas.openxmlformats.org/officeDocument/2006/relationships/header" Target="header60.xml"/><Relationship Id="rId134" Type="http://schemas.openxmlformats.org/officeDocument/2006/relationships/footer" Target="footer62.xml"/><Relationship Id="rId135" Type="http://schemas.openxmlformats.org/officeDocument/2006/relationships/header" Target="header61.xml"/><Relationship Id="rId136" Type="http://schemas.openxmlformats.org/officeDocument/2006/relationships/footer" Target="footer63.xml"/><Relationship Id="rId137" Type="http://schemas.openxmlformats.org/officeDocument/2006/relationships/hyperlink" Target="http://set.hamptonu.edu/architecture/" TargetMode="External"/><Relationship Id="rId138" Type="http://schemas.openxmlformats.org/officeDocument/2006/relationships/hyperlink" Target="http://www.hamptonu.edu/studentservices/careercenter/" TargetMode="External"/><Relationship Id="rId139" Type="http://schemas.openxmlformats.org/officeDocument/2006/relationships/header" Target="header62.xml"/><Relationship Id="rId140" Type="http://schemas.openxmlformats.org/officeDocument/2006/relationships/footer" Target="footer64.xml"/><Relationship Id="rId141" Type="http://schemas.openxmlformats.org/officeDocument/2006/relationships/header" Target="header63.xml"/><Relationship Id="rId142" Type="http://schemas.openxmlformats.org/officeDocument/2006/relationships/footer" Target="footer65.xml"/><Relationship Id="rId143" Type="http://schemas.openxmlformats.org/officeDocument/2006/relationships/header" Target="header64.xml"/><Relationship Id="rId144" Type="http://schemas.openxmlformats.org/officeDocument/2006/relationships/footer" Target="footer66.xml"/><Relationship Id="rId145" Type="http://schemas.openxmlformats.org/officeDocument/2006/relationships/header" Target="header65.xml"/><Relationship Id="rId146" Type="http://schemas.openxmlformats.org/officeDocument/2006/relationships/footer" Target="footer67.xml"/><Relationship Id="rId147" Type="http://schemas.openxmlformats.org/officeDocument/2006/relationships/header" Target="header66.xml"/><Relationship Id="rId148" Type="http://schemas.openxmlformats.org/officeDocument/2006/relationships/footer" Target="footer68.xml"/><Relationship Id="rId149" Type="http://schemas.openxmlformats.org/officeDocument/2006/relationships/header" Target="header67.xml"/><Relationship Id="rId150" Type="http://schemas.openxmlformats.org/officeDocument/2006/relationships/footer" Target="footer69.xml"/><Relationship Id="rId151" Type="http://schemas.openxmlformats.org/officeDocument/2006/relationships/header" Target="header68.xml"/><Relationship Id="rId152" Type="http://schemas.openxmlformats.org/officeDocument/2006/relationships/footer" Target="footer70.xml"/><Relationship Id="rId153" Type="http://schemas.openxmlformats.org/officeDocument/2006/relationships/header" Target="header69.xml"/><Relationship Id="rId154" Type="http://schemas.openxmlformats.org/officeDocument/2006/relationships/footer" Target="footer71.xml"/><Relationship Id="rId155" Type="http://schemas.openxmlformats.org/officeDocument/2006/relationships/header" Target="header70.xml"/><Relationship Id="rId156" Type="http://schemas.openxmlformats.org/officeDocument/2006/relationships/footer" Target="footer72.xml"/><Relationship Id="rId157" Type="http://schemas.openxmlformats.org/officeDocument/2006/relationships/header" Target="header71.xml"/><Relationship Id="rId158" Type="http://schemas.openxmlformats.org/officeDocument/2006/relationships/footer" Target="footer73.xml"/><Relationship Id="rId159" Type="http://schemas.openxmlformats.org/officeDocument/2006/relationships/header" Target="header72.xml"/><Relationship Id="rId160" Type="http://schemas.openxmlformats.org/officeDocument/2006/relationships/footer" Target="footer74.xml"/><Relationship Id="rId161" Type="http://schemas.openxmlformats.org/officeDocument/2006/relationships/header" Target="header73.xml"/><Relationship Id="rId162" Type="http://schemas.openxmlformats.org/officeDocument/2006/relationships/footer" Target="footer75.xml"/><Relationship Id="rId163" Type="http://schemas.openxmlformats.org/officeDocument/2006/relationships/header" Target="header74.xml"/><Relationship Id="rId164" Type="http://schemas.openxmlformats.org/officeDocument/2006/relationships/footer" Target="footer76.xml"/><Relationship Id="rId165" Type="http://schemas.openxmlformats.org/officeDocument/2006/relationships/header" Target="header75.xml"/><Relationship Id="rId166" Type="http://schemas.openxmlformats.org/officeDocument/2006/relationships/footer" Target="footer77.xml"/><Relationship Id="rId167" Type="http://schemas.openxmlformats.org/officeDocument/2006/relationships/header" Target="header76.xml"/><Relationship Id="rId168" Type="http://schemas.openxmlformats.org/officeDocument/2006/relationships/footer" Target="footer78.xml"/><Relationship Id="rId169" Type="http://schemas.openxmlformats.org/officeDocument/2006/relationships/header" Target="header77.xml"/><Relationship Id="rId170" Type="http://schemas.openxmlformats.org/officeDocument/2006/relationships/footer" Target="footer79.xml"/><Relationship Id="rId171" Type="http://schemas.openxmlformats.org/officeDocument/2006/relationships/header" Target="header78.xml"/><Relationship Id="rId172" Type="http://schemas.openxmlformats.org/officeDocument/2006/relationships/footer" Target="footer80.xml"/><Relationship Id="rId173" Type="http://schemas.openxmlformats.org/officeDocument/2006/relationships/header" Target="header79.xml"/><Relationship Id="rId174" Type="http://schemas.openxmlformats.org/officeDocument/2006/relationships/footer" Target="footer81.xml"/><Relationship Id="rId175" Type="http://schemas.openxmlformats.org/officeDocument/2006/relationships/header" Target="header80.xml"/><Relationship Id="rId176" Type="http://schemas.openxmlformats.org/officeDocument/2006/relationships/footer" Target="footer82.xml"/><Relationship Id="rId177" Type="http://schemas.openxmlformats.org/officeDocument/2006/relationships/header" Target="header81.xml"/><Relationship Id="rId178" Type="http://schemas.openxmlformats.org/officeDocument/2006/relationships/footer" Target="footer83.xml"/><Relationship Id="rId179" Type="http://schemas.openxmlformats.org/officeDocument/2006/relationships/header" Target="header82.xml"/><Relationship Id="rId180" Type="http://schemas.openxmlformats.org/officeDocument/2006/relationships/footer" Target="footer84.xml"/><Relationship Id="rId181" Type="http://schemas.openxmlformats.org/officeDocument/2006/relationships/header" Target="header83.xml"/><Relationship Id="rId182" Type="http://schemas.openxmlformats.org/officeDocument/2006/relationships/footer" Target="footer85.xml"/><Relationship Id="rId183" Type="http://schemas.openxmlformats.org/officeDocument/2006/relationships/header" Target="header84.xml"/><Relationship Id="rId184" Type="http://schemas.openxmlformats.org/officeDocument/2006/relationships/footer" Target="footer86.xml"/><Relationship Id="rId185" Type="http://schemas.openxmlformats.org/officeDocument/2006/relationships/header" Target="header85.xml"/><Relationship Id="rId186" Type="http://schemas.openxmlformats.org/officeDocument/2006/relationships/footer" Target="footer87.xml"/><Relationship Id="rId187" Type="http://schemas.openxmlformats.org/officeDocument/2006/relationships/hyperlink" Target="http://www.amazon.com/Sun-Wind-Light" TargetMode="External"/><Relationship Id="rId188" Type="http://schemas.openxmlformats.org/officeDocument/2006/relationships/hyperlink" Target="http://www.amazon.com/Precedents-Architecture-Analytic-Diagrams-Formative/dp/0471479748)" TargetMode="External"/><Relationship Id="rId189" Type="http://schemas.openxmlformats.org/officeDocument/2006/relationships/header" Target="header86.xml"/><Relationship Id="rId190" Type="http://schemas.openxmlformats.org/officeDocument/2006/relationships/footer" Target="footer88.xml"/><Relationship Id="rId191" Type="http://schemas.openxmlformats.org/officeDocument/2006/relationships/header" Target="header87.xml"/><Relationship Id="rId192" Type="http://schemas.openxmlformats.org/officeDocument/2006/relationships/footer" Target="footer89.xml"/><Relationship Id="rId193" Type="http://schemas.openxmlformats.org/officeDocument/2006/relationships/header" Target="header88.xml"/><Relationship Id="rId194" Type="http://schemas.openxmlformats.org/officeDocument/2006/relationships/footer" Target="footer90.xml"/><Relationship Id="rId195" Type="http://schemas.openxmlformats.org/officeDocument/2006/relationships/header" Target="header89.xml"/><Relationship Id="rId196" Type="http://schemas.openxmlformats.org/officeDocument/2006/relationships/footer" Target="footer91.xml"/><Relationship Id="rId197" Type="http://schemas.openxmlformats.org/officeDocument/2006/relationships/header" Target="header90.xml"/><Relationship Id="rId198" Type="http://schemas.openxmlformats.org/officeDocument/2006/relationships/footer" Target="footer92.xml"/><Relationship Id="rId199" Type="http://schemas.openxmlformats.org/officeDocument/2006/relationships/header" Target="header91.xml"/><Relationship Id="rId200" Type="http://schemas.openxmlformats.org/officeDocument/2006/relationships/footer" Target="footer93.xml"/><Relationship Id="rId201" Type="http://schemas.openxmlformats.org/officeDocument/2006/relationships/header" Target="header92.xml"/><Relationship Id="rId202" Type="http://schemas.openxmlformats.org/officeDocument/2006/relationships/footer" Target="footer94.xml"/><Relationship Id="rId203" Type="http://schemas.openxmlformats.org/officeDocument/2006/relationships/header" Target="header93.xml"/><Relationship Id="rId204" Type="http://schemas.openxmlformats.org/officeDocument/2006/relationships/footer" Target="footer95.xml"/><Relationship Id="rId205" Type="http://schemas.openxmlformats.org/officeDocument/2006/relationships/header" Target="header94.xml"/><Relationship Id="rId206" Type="http://schemas.openxmlformats.org/officeDocument/2006/relationships/footer" Target="footer96.xml"/><Relationship Id="rId207" Type="http://schemas.openxmlformats.org/officeDocument/2006/relationships/header" Target="header95.xml"/><Relationship Id="rId208" Type="http://schemas.openxmlformats.org/officeDocument/2006/relationships/footer" Target="footer97.xml"/><Relationship Id="rId209" Type="http://schemas.openxmlformats.org/officeDocument/2006/relationships/header" Target="header96.xml"/><Relationship Id="rId210" Type="http://schemas.openxmlformats.org/officeDocument/2006/relationships/footer" Target="footer98.xml"/><Relationship Id="rId211" Type="http://schemas.openxmlformats.org/officeDocument/2006/relationships/header" Target="header97.xml"/><Relationship Id="rId212" Type="http://schemas.openxmlformats.org/officeDocument/2006/relationships/footer" Target="footer99.xml"/><Relationship Id="rId213" Type="http://schemas.openxmlformats.org/officeDocument/2006/relationships/header" Target="header98.xml"/><Relationship Id="rId214" Type="http://schemas.openxmlformats.org/officeDocument/2006/relationships/footer" Target="footer100.xml"/><Relationship Id="rId215" Type="http://schemas.openxmlformats.org/officeDocument/2006/relationships/header" Target="header99.xml"/><Relationship Id="rId216" Type="http://schemas.openxmlformats.org/officeDocument/2006/relationships/footer" Target="footer101.xml"/><Relationship Id="rId217" Type="http://schemas.openxmlformats.org/officeDocument/2006/relationships/header" Target="header100.xml"/><Relationship Id="rId218" Type="http://schemas.openxmlformats.org/officeDocument/2006/relationships/footer" Target="footer102.xml"/><Relationship Id="rId219" Type="http://schemas.openxmlformats.org/officeDocument/2006/relationships/header" Target="header101.xml"/><Relationship Id="rId220" Type="http://schemas.openxmlformats.org/officeDocument/2006/relationships/footer" Target="footer103.xml"/><Relationship Id="rId221" Type="http://schemas.openxmlformats.org/officeDocument/2006/relationships/header" Target="header102.xml"/><Relationship Id="rId222" Type="http://schemas.openxmlformats.org/officeDocument/2006/relationships/footer" Target="footer104.xml"/><Relationship Id="rId223" Type="http://schemas.openxmlformats.org/officeDocument/2006/relationships/hyperlink" Target="http://www.constructionbook.com/icc-ansi-a1171-2003-standard-on-accessible-usable-buildings-" TargetMode="External"/><Relationship Id="rId224" Type="http://schemas.openxmlformats.org/officeDocument/2006/relationships/header" Target="header103.xml"/><Relationship Id="rId225" Type="http://schemas.openxmlformats.org/officeDocument/2006/relationships/footer" Target="footer105.xml"/><Relationship Id="rId226" Type="http://schemas.openxmlformats.org/officeDocument/2006/relationships/header" Target="header104.xml"/><Relationship Id="rId227" Type="http://schemas.openxmlformats.org/officeDocument/2006/relationships/footer" Target="footer106.xml"/><Relationship Id="rId228" Type="http://schemas.openxmlformats.org/officeDocument/2006/relationships/hyperlink" Target="https://webmail.hamptonu.edu/owa/redir.aspx?C=LOLrOs7qnESoRTaf1WYKYZHjrkumoNEIIqCyh76RO1ezWC_rCZLquzKxjEzA9Lc8gl5S5WwyIS8.&amp;URL=http%3a%2f%2fwww.NAAB.org" TargetMode="External"/><Relationship Id="rId229" Type="http://schemas.openxmlformats.org/officeDocument/2006/relationships/header" Target="header105.xml"/><Relationship Id="rId230" Type="http://schemas.openxmlformats.org/officeDocument/2006/relationships/footer" Target="footer107.xml"/><Relationship Id="rId231" Type="http://schemas.openxmlformats.org/officeDocument/2006/relationships/header" Target="header106.xml"/><Relationship Id="rId232" Type="http://schemas.openxmlformats.org/officeDocument/2006/relationships/footer" Target="footer108.xml"/><Relationship Id="rId233" Type="http://schemas.openxmlformats.org/officeDocument/2006/relationships/header" Target="header107.xml"/><Relationship Id="rId234" Type="http://schemas.openxmlformats.org/officeDocument/2006/relationships/footer" Target="footer109.xml"/><Relationship Id="rId235" Type="http://schemas.openxmlformats.org/officeDocument/2006/relationships/header" Target="header108.xml"/><Relationship Id="rId236" Type="http://schemas.openxmlformats.org/officeDocument/2006/relationships/footer" Target="footer110.xml"/><Relationship Id="rId237" Type="http://schemas.openxmlformats.org/officeDocument/2006/relationships/header" Target="header109.xml"/><Relationship Id="rId238" Type="http://schemas.openxmlformats.org/officeDocument/2006/relationships/footer" Target="footer111.xml"/><Relationship Id="rId239" Type="http://schemas.openxmlformats.org/officeDocument/2006/relationships/header" Target="header110.xml"/><Relationship Id="rId240" Type="http://schemas.openxmlformats.org/officeDocument/2006/relationships/footer" Target="footer112.xml"/><Relationship Id="rId241" Type="http://schemas.openxmlformats.org/officeDocument/2006/relationships/header" Target="header111.xml"/><Relationship Id="rId242" Type="http://schemas.openxmlformats.org/officeDocument/2006/relationships/footer" Target="footer113.xml"/><Relationship Id="rId243" Type="http://schemas.openxmlformats.org/officeDocument/2006/relationships/header" Target="header112.xml"/><Relationship Id="rId244" Type="http://schemas.openxmlformats.org/officeDocument/2006/relationships/footer" Target="footer114.xml"/><Relationship Id="rId245" Type="http://schemas.openxmlformats.org/officeDocument/2006/relationships/header" Target="header113.xml"/><Relationship Id="rId246" Type="http://schemas.openxmlformats.org/officeDocument/2006/relationships/footer" Target="footer115.xml"/><Relationship Id="rId247" Type="http://schemas.openxmlformats.org/officeDocument/2006/relationships/header" Target="header114.xml"/><Relationship Id="rId248" Type="http://schemas.openxmlformats.org/officeDocument/2006/relationships/footer" Target="footer116.xml"/><Relationship Id="rId249" Type="http://schemas.openxmlformats.org/officeDocument/2006/relationships/header" Target="header115.xml"/><Relationship Id="rId250" Type="http://schemas.openxmlformats.org/officeDocument/2006/relationships/footer" Target="footer117.xml"/><Relationship Id="rId251" Type="http://schemas.openxmlformats.org/officeDocument/2006/relationships/header" Target="header116.xml"/><Relationship Id="rId252" Type="http://schemas.openxmlformats.org/officeDocument/2006/relationships/footer" Target="footer118.xml"/><Relationship Id="rId253" Type="http://schemas.openxmlformats.org/officeDocument/2006/relationships/header" Target="header117.xml"/><Relationship Id="rId254" Type="http://schemas.openxmlformats.org/officeDocument/2006/relationships/footer" Target="footer119.xml"/><Relationship Id="rId255" Type="http://schemas.openxmlformats.org/officeDocument/2006/relationships/header" Target="header118.xml"/><Relationship Id="rId256" Type="http://schemas.openxmlformats.org/officeDocument/2006/relationships/footer" Target="footer120.xml"/><Relationship Id="rId257" Type="http://schemas.openxmlformats.org/officeDocument/2006/relationships/header" Target="header119.xml"/><Relationship Id="rId258" Type="http://schemas.openxmlformats.org/officeDocument/2006/relationships/footer" Target="footer121.xml"/><Relationship Id="rId259" Type="http://schemas.openxmlformats.org/officeDocument/2006/relationships/header" Target="header120.xml"/><Relationship Id="rId260" Type="http://schemas.openxmlformats.org/officeDocument/2006/relationships/footer" Target="footer122.xml"/><Relationship Id="rId261" Type="http://schemas.openxmlformats.org/officeDocument/2006/relationships/header" Target="header121.xml"/><Relationship Id="rId262" Type="http://schemas.openxmlformats.org/officeDocument/2006/relationships/footer" Target="footer123.xml"/><Relationship Id="rId263" Type="http://schemas.openxmlformats.org/officeDocument/2006/relationships/header" Target="header122.xml"/><Relationship Id="rId264" Type="http://schemas.openxmlformats.org/officeDocument/2006/relationships/footer" Target="footer124.xml"/><Relationship Id="rId265" Type="http://schemas.openxmlformats.org/officeDocument/2006/relationships/header" Target="header123.xml"/><Relationship Id="rId266" Type="http://schemas.openxmlformats.org/officeDocument/2006/relationships/footer" Target="footer125.xml"/><Relationship Id="rId267" Type="http://schemas.openxmlformats.org/officeDocument/2006/relationships/header" Target="header124.xml"/><Relationship Id="rId268" Type="http://schemas.openxmlformats.org/officeDocument/2006/relationships/footer" Target="footer126.xml"/><Relationship Id="rId269" Type="http://schemas.openxmlformats.org/officeDocument/2006/relationships/header" Target="header125.xml"/><Relationship Id="rId270" Type="http://schemas.openxmlformats.org/officeDocument/2006/relationships/footer" Target="footer127.xml"/><Relationship Id="rId271" Type="http://schemas.openxmlformats.org/officeDocument/2006/relationships/header" Target="header126.xml"/><Relationship Id="rId272" Type="http://schemas.openxmlformats.org/officeDocument/2006/relationships/footer" Target="footer128.xml"/><Relationship Id="rId273" Type="http://schemas.openxmlformats.org/officeDocument/2006/relationships/header" Target="header127.xml"/><Relationship Id="rId274" Type="http://schemas.openxmlformats.org/officeDocument/2006/relationships/footer" Target="footer129.xml"/><Relationship Id="rId275" Type="http://schemas.openxmlformats.org/officeDocument/2006/relationships/header" Target="header128.xml"/><Relationship Id="rId276" Type="http://schemas.openxmlformats.org/officeDocument/2006/relationships/footer" Target="footer130.xml"/><Relationship Id="rId277" Type="http://schemas.openxmlformats.org/officeDocument/2006/relationships/header" Target="header129.xml"/><Relationship Id="rId278" Type="http://schemas.openxmlformats.org/officeDocument/2006/relationships/footer" Target="footer131.xml"/><Relationship Id="rId279" Type="http://schemas.openxmlformats.org/officeDocument/2006/relationships/hyperlink" Target="http://docs.hamptonu.edu/student/2012-2014_Academic_Catalog_20120921151350.pdf" TargetMode="External"/><Relationship Id="rId280" Type="http://schemas.openxmlformats.org/officeDocument/2006/relationships/header" Target="header130.xml"/><Relationship Id="rId281" Type="http://schemas.openxmlformats.org/officeDocument/2006/relationships/footer" Target="footer132.xml"/><Relationship Id="rId282" Type="http://schemas.openxmlformats.org/officeDocument/2006/relationships/header" Target="header131.xml"/><Relationship Id="rId283" Type="http://schemas.openxmlformats.org/officeDocument/2006/relationships/footer" Target="footer133.xml"/><Relationship Id="rId284" Type="http://schemas.openxmlformats.org/officeDocument/2006/relationships/image" Target="media/image6.png"/><Relationship Id="rId285" Type="http://schemas.openxmlformats.org/officeDocument/2006/relationships/header" Target="header132.xml"/><Relationship Id="rId286" Type="http://schemas.openxmlformats.org/officeDocument/2006/relationships/footer" Target="footer134.xml"/><Relationship Id="rId287" Type="http://schemas.openxmlformats.org/officeDocument/2006/relationships/header" Target="header133.xml"/><Relationship Id="rId288" Type="http://schemas.openxmlformats.org/officeDocument/2006/relationships/footer" Target="footer135.xml"/><Relationship Id="rId289" Type="http://schemas.openxmlformats.org/officeDocument/2006/relationships/header" Target="header134.xml"/><Relationship Id="rId290" Type="http://schemas.openxmlformats.org/officeDocument/2006/relationships/footer" Target="footer136.xml"/><Relationship Id="rId291" Type="http://schemas.openxmlformats.org/officeDocument/2006/relationships/header" Target="header135.xml"/><Relationship Id="rId292" Type="http://schemas.openxmlformats.org/officeDocument/2006/relationships/footer" Target="footer137.xml"/><Relationship Id="rId293" Type="http://schemas.openxmlformats.org/officeDocument/2006/relationships/header" Target="header136.xml"/><Relationship Id="rId294" Type="http://schemas.openxmlformats.org/officeDocument/2006/relationships/footer" Target="footer138.xml"/><Relationship Id="rId295" Type="http://schemas.openxmlformats.org/officeDocument/2006/relationships/header" Target="header137.xml"/><Relationship Id="rId296" Type="http://schemas.openxmlformats.org/officeDocument/2006/relationships/footer" Target="footer139.xml"/><Relationship Id="rId297" Type="http://schemas.openxmlformats.org/officeDocument/2006/relationships/header" Target="header138.xml"/><Relationship Id="rId298" Type="http://schemas.openxmlformats.org/officeDocument/2006/relationships/footer" Target="footer140.xml"/><Relationship Id="rId299" Type="http://schemas.openxmlformats.org/officeDocument/2006/relationships/header" Target="header139.xml"/><Relationship Id="rId300" Type="http://schemas.openxmlformats.org/officeDocument/2006/relationships/footer" Target="footer141.xml"/><Relationship Id="rId301" Type="http://schemas.openxmlformats.org/officeDocument/2006/relationships/header" Target="header140.xml"/><Relationship Id="rId302" Type="http://schemas.openxmlformats.org/officeDocument/2006/relationships/footer" Target="footer142.xml"/><Relationship Id="rId303" Type="http://schemas.openxmlformats.org/officeDocument/2006/relationships/header" Target="header141.xml"/><Relationship Id="rId304" Type="http://schemas.openxmlformats.org/officeDocument/2006/relationships/footer" Target="footer143.xml"/><Relationship Id="rId305" Type="http://schemas.openxmlformats.org/officeDocument/2006/relationships/header" Target="header142.xml"/><Relationship Id="rId306" Type="http://schemas.openxmlformats.org/officeDocument/2006/relationships/footer" Target="footer144.xml"/><Relationship Id="rId307" Type="http://schemas.openxmlformats.org/officeDocument/2006/relationships/header" Target="header143.xml"/><Relationship Id="rId308" Type="http://schemas.openxmlformats.org/officeDocument/2006/relationships/footer" Target="footer145.xml"/><Relationship Id="rId309" Type="http://schemas.openxmlformats.org/officeDocument/2006/relationships/header" Target="header144.xml"/><Relationship Id="rId310" Type="http://schemas.openxmlformats.org/officeDocument/2006/relationships/footer" Target="footer146.xml"/><Relationship Id="rId311" Type="http://schemas.openxmlformats.org/officeDocument/2006/relationships/header" Target="header145.xml"/><Relationship Id="rId312" Type="http://schemas.openxmlformats.org/officeDocument/2006/relationships/footer" Target="footer147.xml"/><Relationship Id="rId313" Type="http://schemas.openxmlformats.org/officeDocument/2006/relationships/header" Target="header146.xml"/><Relationship Id="rId314" Type="http://schemas.openxmlformats.org/officeDocument/2006/relationships/footer" Target="footer148.xml"/><Relationship Id="rId315" Type="http://schemas.openxmlformats.org/officeDocument/2006/relationships/header" Target="header147.xml"/><Relationship Id="rId316" Type="http://schemas.openxmlformats.org/officeDocument/2006/relationships/footer" Target="footer149.xml"/><Relationship Id="rId317" Type="http://schemas.openxmlformats.org/officeDocument/2006/relationships/header" Target="header148.xml"/><Relationship Id="rId318" Type="http://schemas.openxmlformats.org/officeDocument/2006/relationships/footer" Target="footer150.xml"/><Relationship Id="rId319" Type="http://schemas.openxmlformats.org/officeDocument/2006/relationships/header" Target="header149.xml"/><Relationship Id="rId320" Type="http://schemas.openxmlformats.org/officeDocument/2006/relationships/footer" Target="footer151.xml"/><Relationship Id="rId321" Type="http://schemas.openxmlformats.org/officeDocument/2006/relationships/header" Target="header150.xml"/><Relationship Id="rId322" Type="http://schemas.openxmlformats.org/officeDocument/2006/relationships/footer" Target="footer152.xml"/><Relationship Id="rId323" Type="http://schemas.openxmlformats.org/officeDocument/2006/relationships/header" Target="header151.xml"/><Relationship Id="rId324" Type="http://schemas.openxmlformats.org/officeDocument/2006/relationships/footer" Target="footer153.xml"/><Relationship Id="rId325" Type="http://schemas.openxmlformats.org/officeDocument/2006/relationships/header" Target="header152.xml"/><Relationship Id="rId326" Type="http://schemas.openxmlformats.org/officeDocument/2006/relationships/footer" Target="footer154.xml"/><Relationship Id="rId327" Type="http://schemas.openxmlformats.org/officeDocument/2006/relationships/header" Target="header153.xml"/><Relationship Id="rId328" Type="http://schemas.openxmlformats.org/officeDocument/2006/relationships/footer" Target="footer155.xml"/><Relationship Id="rId329" Type="http://schemas.openxmlformats.org/officeDocument/2006/relationships/header" Target="header154.xml"/><Relationship Id="rId330" Type="http://schemas.openxmlformats.org/officeDocument/2006/relationships/footer" Target="footer156.xml"/><Relationship Id="rId331" Type="http://schemas.openxmlformats.org/officeDocument/2006/relationships/header" Target="header155.xml"/><Relationship Id="rId332" Type="http://schemas.openxmlformats.org/officeDocument/2006/relationships/footer" Target="footer157.xml"/><Relationship Id="rId333" Type="http://schemas.openxmlformats.org/officeDocument/2006/relationships/header" Target="header156.xml"/><Relationship Id="rId334" Type="http://schemas.openxmlformats.org/officeDocument/2006/relationships/footer" Target="footer158.xml"/><Relationship Id="rId335" Type="http://schemas.openxmlformats.org/officeDocument/2006/relationships/header" Target="header157.xml"/><Relationship Id="rId336" Type="http://schemas.openxmlformats.org/officeDocument/2006/relationships/footer" Target="footer159.xml"/><Relationship Id="rId337" Type="http://schemas.openxmlformats.org/officeDocument/2006/relationships/header" Target="header158.xml"/><Relationship Id="rId338" Type="http://schemas.openxmlformats.org/officeDocument/2006/relationships/footer" Target="footer160.xml"/><Relationship Id="rId339" Type="http://schemas.openxmlformats.org/officeDocument/2006/relationships/image" Target="media/image7.jpeg"/><Relationship Id="rId340" Type="http://schemas.openxmlformats.org/officeDocument/2006/relationships/image" Target="media/image8.jpeg"/><Relationship Id="rId341" Type="http://schemas.openxmlformats.org/officeDocument/2006/relationships/image" Target="media/image9.jpeg"/><Relationship Id="rId342" Type="http://schemas.openxmlformats.org/officeDocument/2006/relationships/image" Target="media/image10.jpeg"/><Relationship Id="rId343" Type="http://schemas.openxmlformats.org/officeDocument/2006/relationships/header" Target="header159.xml"/><Relationship Id="rId344" Type="http://schemas.openxmlformats.org/officeDocument/2006/relationships/footer" Target="footer161.xml"/><Relationship Id="rId345" Type="http://schemas.openxmlformats.org/officeDocument/2006/relationships/image" Target="media/image11.jpeg"/><Relationship Id="rId346" Type="http://schemas.openxmlformats.org/officeDocument/2006/relationships/image" Target="media/image12.jpeg"/><Relationship Id="rId347" Type="http://schemas.openxmlformats.org/officeDocument/2006/relationships/header" Target="header160.xml"/><Relationship Id="rId348" Type="http://schemas.openxmlformats.org/officeDocument/2006/relationships/footer" Target="footer162.xml"/><Relationship Id="rId349" Type="http://schemas.openxmlformats.org/officeDocument/2006/relationships/image" Target="media/image13.jpeg"/><Relationship Id="rId350" Type="http://schemas.openxmlformats.org/officeDocument/2006/relationships/header" Target="header161.xml"/><Relationship Id="rId351" Type="http://schemas.openxmlformats.org/officeDocument/2006/relationships/footer" Target="footer163.xml"/><Relationship Id="rId352" Type="http://schemas.openxmlformats.org/officeDocument/2006/relationships/header" Target="header162.xml"/><Relationship Id="rId353" Type="http://schemas.openxmlformats.org/officeDocument/2006/relationships/footer" Target="footer164.xml"/><Relationship Id="rId354" Type="http://schemas.openxmlformats.org/officeDocument/2006/relationships/image" Target="media/image14.jpeg"/><Relationship Id="rId355" Type="http://schemas.openxmlformats.org/officeDocument/2006/relationships/image" Target="media/image15.jpeg"/><Relationship Id="rId356" Type="http://schemas.openxmlformats.org/officeDocument/2006/relationships/image" Target="media/image16.jpeg"/><Relationship Id="rId357" Type="http://schemas.openxmlformats.org/officeDocument/2006/relationships/header" Target="header163.xml"/><Relationship Id="rId358" Type="http://schemas.openxmlformats.org/officeDocument/2006/relationships/footer" Target="footer165.xml"/><Relationship Id="rId359" Type="http://schemas.openxmlformats.org/officeDocument/2006/relationships/header" Target="header164.xml"/><Relationship Id="rId360" Type="http://schemas.openxmlformats.org/officeDocument/2006/relationships/footer" Target="footer166.xml"/><Relationship Id="rId361" Type="http://schemas.openxmlformats.org/officeDocument/2006/relationships/header" Target="header165.xml"/><Relationship Id="rId362" Type="http://schemas.openxmlformats.org/officeDocument/2006/relationships/footer" Target="footer167.xml"/><Relationship Id="rId363" Type="http://schemas.openxmlformats.org/officeDocument/2006/relationships/header" Target="header166.xml"/><Relationship Id="rId364" Type="http://schemas.openxmlformats.org/officeDocument/2006/relationships/footer" Target="footer168.xml"/><Relationship Id="rId365" Type="http://schemas.openxmlformats.org/officeDocument/2006/relationships/header" Target="header167.xml"/><Relationship Id="rId366" Type="http://schemas.openxmlformats.org/officeDocument/2006/relationships/footer" Target="footer169.xml"/><Relationship Id="rId367" Type="http://schemas.openxmlformats.org/officeDocument/2006/relationships/header" Target="header168.xml"/><Relationship Id="rId368" Type="http://schemas.openxmlformats.org/officeDocument/2006/relationships/footer" Target="footer170.xml"/><Relationship Id="rId369" Type="http://schemas.openxmlformats.org/officeDocument/2006/relationships/header" Target="header169.xml"/><Relationship Id="rId370" Type="http://schemas.openxmlformats.org/officeDocument/2006/relationships/footer" Target="footer171.xml"/><Relationship Id="rId371" Type="http://schemas.openxmlformats.org/officeDocument/2006/relationships/header" Target="header170.xml"/><Relationship Id="rId372" Type="http://schemas.openxmlformats.org/officeDocument/2006/relationships/footer" Target="footer172.xml"/><Relationship Id="rId373" Type="http://schemas.openxmlformats.org/officeDocument/2006/relationships/header" Target="header171.xml"/><Relationship Id="rId374" Type="http://schemas.openxmlformats.org/officeDocument/2006/relationships/footer" Target="footer173.xml"/><Relationship Id="rId375" Type="http://schemas.openxmlformats.org/officeDocument/2006/relationships/header" Target="header172.xml"/><Relationship Id="rId376" Type="http://schemas.openxmlformats.org/officeDocument/2006/relationships/footer" Target="footer174.xml"/><Relationship Id="rId377" Type="http://schemas.openxmlformats.org/officeDocument/2006/relationships/header" Target="header173.xml"/><Relationship Id="rId378" Type="http://schemas.openxmlformats.org/officeDocument/2006/relationships/footer" Target="footer175.xml"/><Relationship Id="rId379" Type="http://schemas.openxmlformats.org/officeDocument/2006/relationships/header" Target="header174.xml"/><Relationship Id="rId380" Type="http://schemas.openxmlformats.org/officeDocument/2006/relationships/footer" Target="footer176.xml"/><Relationship Id="rId381" Type="http://schemas.openxmlformats.org/officeDocument/2006/relationships/header" Target="header175.xml"/><Relationship Id="rId382" Type="http://schemas.openxmlformats.org/officeDocument/2006/relationships/footer" Target="footer177.xml"/><Relationship Id="rId383" Type="http://schemas.openxmlformats.org/officeDocument/2006/relationships/header" Target="header176.xml"/><Relationship Id="rId384" Type="http://schemas.openxmlformats.org/officeDocument/2006/relationships/footer" Target="footer178.xml"/><Relationship Id="rId385" Type="http://schemas.openxmlformats.org/officeDocument/2006/relationships/header" Target="header177.xml"/><Relationship Id="rId386" Type="http://schemas.openxmlformats.org/officeDocument/2006/relationships/footer" Target="footer179.xml"/><Relationship Id="rId387" Type="http://schemas.openxmlformats.org/officeDocument/2006/relationships/header" Target="header178.xml"/><Relationship Id="rId388" Type="http://schemas.openxmlformats.org/officeDocument/2006/relationships/footer" Target="footer180.xml"/><Relationship Id="rId389" Type="http://schemas.openxmlformats.org/officeDocument/2006/relationships/header" Target="header179.xml"/><Relationship Id="rId390" Type="http://schemas.openxmlformats.org/officeDocument/2006/relationships/footer" Target="footer181.xml"/><Relationship Id="rId391" Type="http://schemas.openxmlformats.org/officeDocument/2006/relationships/header" Target="header180.xml"/><Relationship Id="rId392" Type="http://schemas.openxmlformats.org/officeDocument/2006/relationships/footer" Target="footer182.xml"/><Relationship Id="rId393" Type="http://schemas.openxmlformats.org/officeDocument/2006/relationships/header" Target="header181.xml"/><Relationship Id="rId394" Type="http://schemas.openxmlformats.org/officeDocument/2006/relationships/footer" Target="footer183.xml"/><Relationship Id="rId395" Type="http://schemas.openxmlformats.org/officeDocument/2006/relationships/header" Target="header182.xml"/><Relationship Id="rId396" Type="http://schemas.openxmlformats.org/officeDocument/2006/relationships/footer" Target="footer184.xml"/><Relationship Id="rId397" Type="http://schemas.openxmlformats.org/officeDocument/2006/relationships/header" Target="header183.xml"/><Relationship Id="rId398" Type="http://schemas.openxmlformats.org/officeDocument/2006/relationships/footer" Target="footer185.xml"/><Relationship Id="rId399" Type="http://schemas.openxmlformats.org/officeDocument/2006/relationships/header" Target="header184.xml"/><Relationship Id="rId400" Type="http://schemas.openxmlformats.org/officeDocument/2006/relationships/footer" Target="footer186.xml"/><Relationship Id="rId401" Type="http://schemas.openxmlformats.org/officeDocument/2006/relationships/header" Target="header185.xml"/><Relationship Id="rId402" Type="http://schemas.openxmlformats.org/officeDocument/2006/relationships/footer" Target="footer187.xml"/><Relationship Id="rId403" Type="http://schemas.openxmlformats.org/officeDocument/2006/relationships/header" Target="header186.xml"/><Relationship Id="rId404" Type="http://schemas.openxmlformats.org/officeDocument/2006/relationships/footer" Target="footer188.xml"/><Relationship Id="rId405" Type="http://schemas.openxmlformats.org/officeDocument/2006/relationships/header" Target="header187.xml"/><Relationship Id="rId406" Type="http://schemas.openxmlformats.org/officeDocument/2006/relationships/footer" Target="footer189.xml"/><Relationship Id="rId407" Type="http://schemas.openxmlformats.org/officeDocument/2006/relationships/header" Target="header188.xml"/><Relationship Id="rId408" Type="http://schemas.openxmlformats.org/officeDocument/2006/relationships/footer" Target="footer190.xml"/><Relationship Id="rId409" Type="http://schemas.openxmlformats.org/officeDocument/2006/relationships/header" Target="header189.xml"/><Relationship Id="rId410" Type="http://schemas.openxmlformats.org/officeDocument/2006/relationships/footer" Target="footer191.xml"/><Relationship Id="rId411" Type="http://schemas.openxmlformats.org/officeDocument/2006/relationships/header" Target="header190.xml"/><Relationship Id="rId412" Type="http://schemas.openxmlformats.org/officeDocument/2006/relationships/footer" Target="footer192.xml"/><Relationship Id="rId413" Type="http://schemas.openxmlformats.org/officeDocument/2006/relationships/header" Target="header191.xml"/><Relationship Id="rId414" Type="http://schemas.openxmlformats.org/officeDocument/2006/relationships/footer" Target="footer193.xml"/><Relationship Id="rId415" Type="http://schemas.openxmlformats.org/officeDocument/2006/relationships/header" Target="header192.xml"/><Relationship Id="rId416" Type="http://schemas.openxmlformats.org/officeDocument/2006/relationships/footer" Target="footer194.xml"/><Relationship Id="rId417" Type="http://schemas.openxmlformats.org/officeDocument/2006/relationships/header" Target="header193.xml"/><Relationship Id="rId418" Type="http://schemas.openxmlformats.org/officeDocument/2006/relationships/footer" Target="footer195.xml"/><Relationship Id="rId419" Type="http://schemas.openxmlformats.org/officeDocument/2006/relationships/header" Target="header194.xml"/><Relationship Id="rId420" Type="http://schemas.openxmlformats.org/officeDocument/2006/relationships/footer" Target="footer196.xml"/><Relationship Id="rId421" Type="http://schemas.openxmlformats.org/officeDocument/2006/relationships/header" Target="header195.xml"/><Relationship Id="rId422" Type="http://schemas.openxmlformats.org/officeDocument/2006/relationships/footer" Target="footer197.xml"/><Relationship Id="rId423" Type="http://schemas.openxmlformats.org/officeDocument/2006/relationships/header" Target="header196.xml"/><Relationship Id="rId424" Type="http://schemas.openxmlformats.org/officeDocument/2006/relationships/footer" Target="footer198.xml"/><Relationship Id="rId425" Type="http://schemas.openxmlformats.org/officeDocument/2006/relationships/header" Target="header197.xml"/><Relationship Id="rId426" Type="http://schemas.openxmlformats.org/officeDocument/2006/relationships/footer" Target="footer199.xml"/><Relationship Id="rId427" Type="http://schemas.openxmlformats.org/officeDocument/2006/relationships/header" Target="header198.xml"/><Relationship Id="rId428" Type="http://schemas.openxmlformats.org/officeDocument/2006/relationships/footer" Target="footer200.xml"/><Relationship Id="rId429" Type="http://schemas.openxmlformats.org/officeDocument/2006/relationships/header" Target="header199.xml"/><Relationship Id="rId430" Type="http://schemas.openxmlformats.org/officeDocument/2006/relationships/footer" Target="footer201.xml"/><Relationship Id="rId431" Type="http://schemas.openxmlformats.org/officeDocument/2006/relationships/header" Target="header200.xml"/><Relationship Id="rId432" Type="http://schemas.openxmlformats.org/officeDocument/2006/relationships/footer" Target="footer202.xml"/><Relationship Id="rId433" Type="http://schemas.openxmlformats.org/officeDocument/2006/relationships/hyperlink" Target="mailto:marzettefisher@gmail.com" TargetMode="External"/><Relationship Id="rId434" Type="http://schemas.openxmlformats.org/officeDocument/2006/relationships/hyperlink" Target="mailto:bingj@drexel.edu" TargetMode="External"/><Relationship Id="rId435" Type="http://schemas.openxmlformats.org/officeDocument/2006/relationships/hyperlink" Target="mailto:ryan.murphy19@gmail.com" TargetMode="External"/><Relationship Id="rId436" Type="http://schemas.openxmlformats.org/officeDocument/2006/relationships/hyperlink" Target="mailto:jonl@slarchitects.com" TargetMode="External"/><Relationship Id="rId437" Type="http://schemas.openxmlformats.org/officeDocument/2006/relationships/hyperlink" Target="mailto:Dale.O.Jackson@usace.army.mil" TargetMode="External"/><Relationship Id="rId438" Type="http://schemas.openxmlformats.org/officeDocument/2006/relationships/header" Target="header201.xml"/><Relationship Id="rId439" Type="http://schemas.openxmlformats.org/officeDocument/2006/relationships/footer" Target="footer203.xml"/><Relationship Id="rId440" Type="http://schemas.openxmlformats.org/officeDocument/2006/relationships/header" Target="header202.xml"/><Relationship Id="rId441" Type="http://schemas.openxmlformats.org/officeDocument/2006/relationships/footer" Target="footer204.xml"/><Relationship Id="rId442" Type="http://schemas.openxmlformats.org/officeDocument/2006/relationships/header" Target="header203.xml"/><Relationship Id="rId443" Type="http://schemas.openxmlformats.org/officeDocument/2006/relationships/footer" Target="footer205.xml"/><Relationship Id="rId444" Type="http://schemas.openxmlformats.org/officeDocument/2006/relationships/image" Target="media/image17.png"/><Relationship Id="rId445" Type="http://schemas.openxmlformats.org/officeDocument/2006/relationships/image" Target="media/image18.png"/><Relationship Id="rId446" Type="http://schemas.openxmlformats.org/officeDocument/2006/relationships/image" Target="media/image19.png"/><Relationship Id="rId447" Type="http://schemas.openxmlformats.org/officeDocument/2006/relationships/image" Target="media/image20.png"/><Relationship Id="rId448" Type="http://schemas.openxmlformats.org/officeDocument/2006/relationships/image" Target="media/image21.png"/><Relationship Id="rId449" Type="http://schemas.openxmlformats.org/officeDocument/2006/relationships/header" Target="header204.xml"/><Relationship Id="rId450" Type="http://schemas.openxmlformats.org/officeDocument/2006/relationships/footer" Target="footer206.xml"/><Relationship Id="rId451" Type="http://schemas.openxmlformats.org/officeDocument/2006/relationships/image" Target="media/image22.jpeg"/><Relationship Id="rId452" Type="http://schemas.openxmlformats.org/officeDocument/2006/relationships/image" Target="media/image23.jpeg"/><Relationship Id="rId453" Type="http://schemas.openxmlformats.org/officeDocument/2006/relationships/image" Target="media/image24.jpeg"/><Relationship Id="rId454" Type="http://schemas.openxmlformats.org/officeDocument/2006/relationships/image" Target="media/image25.jpeg"/><Relationship Id="rId455" Type="http://schemas.openxmlformats.org/officeDocument/2006/relationships/image" Target="media/image26.jpeg"/><Relationship Id="rId456" Type="http://schemas.openxmlformats.org/officeDocument/2006/relationships/header" Target="header205.xml"/><Relationship Id="rId457" Type="http://schemas.openxmlformats.org/officeDocument/2006/relationships/footer" Target="footer207.xml"/><Relationship Id="rId458" Type="http://schemas.openxmlformats.org/officeDocument/2006/relationships/header" Target="header206.xml"/><Relationship Id="rId459" Type="http://schemas.openxmlformats.org/officeDocument/2006/relationships/footer" Target="footer208.xml"/><Relationship Id="rId460" Type="http://schemas.openxmlformats.org/officeDocument/2006/relationships/header" Target="header207.xml"/><Relationship Id="rId461" Type="http://schemas.openxmlformats.org/officeDocument/2006/relationships/footer" Target="footer209.xml"/><Relationship Id="rId462" Type="http://schemas.openxmlformats.org/officeDocument/2006/relationships/header" Target="header208.xml"/><Relationship Id="rId463" Type="http://schemas.openxmlformats.org/officeDocument/2006/relationships/footer" Target="footer210.xml"/><Relationship Id="rId464" Type="http://schemas.openxmlformats.org/officeDocument/2006/relationships/header" Target="header209.xml"/><Relationship Id="rId465" Type="http://schemas.openxmlformats.org/officeDocument/2006/relationships/footer" Target="footer211.xml"/><Relationship Id="rId466" Type="http://schemas.openxmlformats.org/officeDocument/2006/relationships/hyperlink" Target="mailto:douglase@tessierarchitects.com" TargetMode="External"/><Relationship Id="rId467" Type="http://schemas.openxmlformats.org/officeDocument/2006/relationships/hyperlink" Target="mailto:spencer.telneweber@gmarl.com" TargetMode="External"/><Relationship Id="rId468" Type="http://schemas.openxmlformats.org/officeDocument/2006/relationships/header" Target="header210.xml"/><Relationship Id="rId469" Type="http://schemas.openxmlformats.org/officeDocument/2006/relationships/footer" Target="footer212.xml"/><Relationship Id="rId470" Type="http://schemas.openxmlformats.org/officeDocument/2006/relationships/image" Target="media/image27.jpeg"/><Relationship Id="rId471" Type="http://schemas.openxmlformats.org/officeDocument/2006/relationships/image" Target="media/image28.jpeg"/><Relationship Id="rId47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Hampton University</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L. Easater</dc:creator>
  <dcterms:created xsi:type="dcterms:W3CDTF">2022-08-04T18:36:24Z</dcterms:created>
  <dcterms:modified xsi:type="dcterms:W3CDTF">2022-08-04T18:36:24Z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2014-09-11T00:00:00Z</vt:filetime>
  </property>
  <property fmtid="{D5CDD505-2E9C-101B-9397-08002B2CF9AE}" pid="3" name="Creator">
    <vt:lpwstr>Acrobat PDFMaker 11 for Word</vt:lpwstr>
  </property>
  <property fmtid="{D5CDD505-2E9C-101B-9397-08002B2CF9AE}" pid="4" name="LastSaved">
    <vt:filetime>2022-08-04T00:00:00Z</vt:filetime>
  </property>
  <property fmtid="{D5CDD505-2E9C-101B-9397-08002B2CF9AE}" pid="5" name="Producer">
    <vt:lpwstr>Adobe PDF Library 11.0</vt:lpwstr>
  </property>
  <property fmtid="{D5CDD505-2E9C-101B-9397-08002B2CF9AE}" pid="6" name="SourceModified">
    <vt:lpwstr>D:20140911185807</vt:lpwstr>
  </property>
</Properties>
</file>